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oter4.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2E65" w14:textId="77777777" w:rsidR="00A206F8" w:rsidRPr="004E4188" w:rsidRDefault="00BE61E1" w:rsidP="00A206F8">
      <w:pPr>
        <w:pStyle w:val="MainHeading"/>
        <w:rPr>
          <w:rFonts w:ascii="Times New Roman Bold" w:hAnsi="Times New Roman Bold"/>
          <w:b w:val="0"/>
          <w:spacing w:val="80"/>
          <w:sz w:val="48"/>
          <w:lang w:val="fr-FR"/>
        </w:rPr>
      </w:pPr>
      <w:r w:rsidRPr="004E4188">
        <w:rPr>
          <w:noProof/>
        </w:rPr>
        <mc:AlternateContent>
          <mc:Choice Requires="wps">
            <w:drawing>
              <wp:anchor distT="0" distB="0" distL="114300" distR="114300" simplePos="0" relativeHeight="251656704" behindDoc="0" locked="0" layoutInCell="1" allowOverlap="1" wp14:anchorId="674B02A4" wp14:editId="1A54AD22">
                <wp:simplePos x="0" y="0"/>
                <wp:positionH relativeFrom="column">
                  <wp:posOffset>3811905</wp:posOffset>
                </wp:positionH>
                <wp:positionV relativeFrom="paragraph">
                  <wp:posOffset>297</wp:posOffset>
                </wp:positionV>
                <wp:extent cx="1905000" cy="5257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25780"/>
                        </a:xfrm>
                        <a:prstGeom prst="rect">
                          <a:avLst/>
                        </a:prstGeom>
                        <a:solidFill>
                          <a:srgbClr val="FFFFFF"/>
                        </a:solidFill>
                        <a:ln w="9525">
                          <a:solidFill>
                            <a:srgbClr val="000000"/>
                          </a:solidFill>
                          <a:miter lim="800000"/>
                          <a:headEnd/>
                          <a:tailEnd/>
                        </a:ln>
                      </wps:spPr>
                      <wps:txbx>
                        <w:txbxContent>
                          <w:p w14:paraId="20322193" w14:textId="62792AF2" w:rsidR="0037332F" w:rsidRPr="001B6085" w:rsidRDefault="0037332F" w:rsidP="009F209F">
                            <w:pPr>
                              <w:pStyle w:val="MainHeading"/>
                              <w:spacing w:beforeLines="50" w:before="120" w:afterLines="50" w:after="120"/>
                              <w:rPr>
                                <w:rFonts w:ascii="Times New Roman" w:hAnsi="Times New Roman"/>
                                <w:sz w:val="36"/>
                                <w:szCs w:val="36"/>
                                <w:lang w:val="fr-FR"/>
                              </w:rPr>
                            </w:pPr>
                            <w:r w:rsidRPr="00D95CED">
                              <w:rPr>
                                <w:rFonts w:ascii="Times New Roman" w:hAnsi="Times New Roman"/>
                                <w:sz w:val="36"/>
                                <w:szCs w:val="36"/>
                              </w:rPr>
                              <w:t>É</w:t>
                            </w:r>
                            <w:r w:rsidRPr="00D95CED">
                              <w:rPr>
                                <w:rFonts w:ascii="Times New Roman" w:hAnsi="Times New Roman"/>
                                <w:sz w:val="36"/>
                                <w:szCs w:val="36"/>
                                <w:lang w:val="fr-FR"/>
                              </w:rPr>
                              <w:t>quipements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B02A4" id="_x0000_t202" coordsize="21600,21600" o:spt="202" path="m,l,21600r21600,l21600,xe">
                <v:stroke joinstyle="miter"/>
                <v:path gradientshapeok="t" o:connecttype="rect"/>
              </v:shapetype>
              <v:shape id="Text Box 2" o:spid="_x0000_s1026" type="#_x0000_t202" style="position:absolute;left:0;text-align:left;margin-left:300.15pt;margin-top:0;width:150pt;height:4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">
                <v:textbox inset="5.85pt,.7pt,5.85pt,.7pt">
                  <w:txbxContent>
                    <w:p w14:paraId="20322193" w14:textId="62792AF2" w:rsidR="0037332F" w:rsidRPr="001B6085" w:rsidRDefault="0037332F" w:rsidP="009F209F">
                      <w:pPr>
                        <w:pStyle w:val="MainHeading"/>
                        <w:spacing w:beforeLines="50" w:before="120" w:afterLines="50" w:after="120"/>
                        <w:rPr>
                          <w:rFonts w:ascii="Times New Roman" w:hAnsi="Times New Roman"/>
                          <w:sz w:val="36"/>
                          <w:szCs w:val="36"/>
                          <w:lang w:val="fr-FR"/>
                        </w:rPr>
                      </w:pPr>
                      <w:r w:rsidRPr="00D95CED">
                        <w:rPr>
                          <w:rFonts w:ascii="Times New Roman" w:hAnsi="Times New Roman"/>
                          <w:sz w:val="36"/>
                          <w:szCs w:val="36"/>
                        </w:rPr>
                        <w:t>É</w:t>
                      </w:r>
                      <w:r w:rsidRPr="00D95CED">
                        <w:rPr>
                          <w:rFonts w:ascii="Times New Roman" w:hAnsi="Times New Roman"/>
                          <w:sz w:val="36"/>
                          <w:szCs w:val="36"/>
                          <w:lang w:val="fr-FR"/>
                        </w:rPr>
                        <w:t>quipements</w:t>
                      </w:r>
                    </w:p>
                  </w:txbxContent>
                </v:textbox>
                <w10:wrap type="square"/>
              </v:shape>
            </w:pict>
          </mc:Fallback>
        </mc:AlternateContent>
      </w:r>
    </w:p>
    <w:p w14:paraId="3A86A678" w14:textId="77777777" w:rsidR="00A76CB4" w:rsidRPr="004E4188" w:rsidRDefault="00A76CB4" w:rsidP="00A206F8">
      <w:pPr>
        <w:pStyle w:val="MainHeading"/>
        <w:jc w:val="both"/>
        <w:rPr>
          <w:rFonts w:ascii="Times New Roman Bold" w:hAnsi="Times New Roman Bold"/>
          <w:b w:val="0"/>
          <w:spacing w:val="80"/>
          <w:sz w:val="48"/>
          <w:lang w:val="fr-FR"/>
        </w:rPr>
      </w:pPr>
    </w:p>
    <w:p w14:paraId="117FD68B" w14:textId="77777777" w:rsidR="00126979" w:rsidRPr="004E4188" w:rsidRDefault="00126979" w:rsidP="00A206F8">
      <w:pPr>
        <w:pStyle w:val="MainHeading"/>
        <w:jc w:val="both"/>
        <w:rPr>
          <w:rFonts w:ascii="Times New Roman Bold" w:hAnsi="Times New Roman Bold"/>
          <w:b w:val="0"/>
          <w:spacing w:val="80"/>
          <w:sz w:val="48"/>
          <w:lang w:val="fr-FR"/>
        </w:rPr>
      </w:pPr>
    </w:p>
    <w:p w14:paraId="5AAD28E7" w14:textId="77777777" w:rsidR="00A206F8" w:rsidRPr="004E4188" w:rsidRDefault="00A206F8" w:rsidP="00A206F8">
      <w:pPr>
        <w:pStyle w:val="MainHeading"/>
        <w:rPr>
          <w:rFonts w:ascii="Arial" w:hAnsi="Arial" w:cs="Arial"/>
          <w:i/>
          <w:caps w:val="0"/>
          <w:sz w:val="48"/>
          <w:lang w:val="fr-FR"/>
        </w:rPr>
      </w:pPr>
      <w:r w:rsidRPr="004E4188">
        <w:rPr>
          <w:rFonts w:ascii="Arial" w:hAnsi="Arial" w:cs="Arial"/>
          <w:i/>
          <w:caps w:val="0"/>
          <w:sz w:val="48"/>
          <w:lang w:val="fr-FR"/>
        </w:rPr>
        <w:t xml:space="preserve">DOSSIER STANDARD D’APPEL D’OFFRES </w:t>
      </w:r>
    </w:p>
    <w:p w14:paraId="4007018E" w14:textId="77777777" w:rsidR="00A206F8" w:rsidRPr="004E4188" w:rsidRDefault="00A206F8" w:rsidP="00A206F8">
      <w:pPr>
        <w:pStyle w:val="MainHeading"/>
        <w:rPr>
          <w:rFonts w:ascii="Arial" w:hAnsi="Arial" w:cs="Arial"/>
          <w:i/>
          <w:caps w:val="0"/>
          <w:sz w:val="48"/>
          <w:lang w:val="fr-FR"/>
        </w:rPr>
      </w:pPr>
      <w:r w:rsidRPr="004E4188">
        <w:rPr>
          <w:rFonts w:ascii="Arial" w:hAnsi="Arial" w:cs="Arial"/>
          <w:i/>
          <w:caps w:val="0"/>
          <w:sz w:val="48"/>
          <w:lang w:val="fr-FR"/>
        </w:rPr>
        <w:t xml:space="preserve">SOUS FINANCEMENT </w:t>
      </w:r>
    </w:p>
    <w:p w14:paraId="67D3840B" w14:textId="77777777" w:rsidR="00CB074D" w:rsidRPr="004E4188" w:rsidRDefault="00A206F8" w:rsidP="00A206F8">
      <w:pPr>
        <w:jc w:val="center"/>
        <w:rPr>
          <w:rFonts w:ascii="Arial" w:hAnsi="Arial" w:cs="Arial"/>
          <w:b/>
          <w:i/>
          <w:lang w:eastAsia="ja-JP"/>
        </w:rPr>
      </w:pPr>
      <w:r w:rsidRPr="004E4188">
        <w:rPr>
          <w:rFonts w:ascii="Arial" w:hAnsi="Arial" w:cs="Arial"/>
          <w:b/>
          <w:i/>
          <w:caps/>
          <w:sz w:val="48"/>
        </w:rPr>
        <w:t>PAR PRETS APD DU JAPON</w:t>
      </w:r>
    </w:p>
    <w:p w14:paraId="387D8392" w14:textId="77777777" w:rsidR="00CB074D" w:rsidRPr="004E4188" w:rsidRDefault="00CB074D">
      <w:pPr>
        <w:rPr>
          <w:rFonts w:ascii="Arial" w:hAnsi="Arial" w:cs="Arial"/>
          <w:b/>
        </w:rPr>
      </w:pPr>
    </w:p>
    <w:p w14:paraId="422D4F41" w14:textId="77777777" w:rsidR="00CB074D" w:rsidRPr="004E4188" w:rsidRDefault="00CB074D"/>
    <w:p w14:paraId="5F465AEF" w14:textId="77777777" w:rsidR="00A206F8" w:rsidRPr="004E4188" w:rsidRDefault="00A206F8">
      <w:pPr>
        <w:rPr>
          <w:lang w:eastAsia="ja-JP"/>
        </w:rPr>
      </w:pPr>
    </w:p>
    <w:p w14:paraId="291B795D" w14:textId="35A89753" w:rsidR="00CB074D" w:rsidRPr="004E4188" w:rsidRDefault="00CB074D" w:rsidP="00080B61">
      <w:pPr>
        <w:jc w:val="center"/>
        <w:rPr>
          <w:rFonts w:ascii="Arial" w:hAnsi="Arial" w:cs="Arial"/>
          <w:sz w:val="36"/>
          <w:szCs w:val="36"/>
        </w:rPr>
      </w:pPr>
      <w:r w:rsidRPr="004E4188">
        <w:rPr>
          <w:rFonts w:ascii="Arial" w:hAnsi="Arial" w:cs="Arial"/>
          <w:sz w:val="36"/>
          <w:szCs w:val="36"/>
        </w:rPr>
        <w:t>Passation de</w:t>
      </w:r>
      <w:r w:rsidR="00EB40F0" w:rsidRPr="004E4188">
        <w:rPr>
          <w:rFonts w:ascii="Arial" w:hAnsi="Arial" w:cs="Arial"/>
          <w:sz w:val="36"/>
          <w:szCs w:val="36"/>
        </w:rPr>
        <w:t xml:space="preserve"> Marchés de</w:t>
      </w:r>
      <w:r w:rsidR="00DB2E30" w:rsidRPr="004E4188">
        <w:rPr>
          <w:rFonts w:ascii="Arial" w:hAnsi="Arial" w:cs="Arial"/>
          <w:sz w:val="36"/>
          <w:szCs w:val="36"/>
          <w:lang w:eastAsia="ja-JP"/>
        </w:rPr>
        <w:br/>
      </w:r>
      <w:r w:rsidR="004D1BBB" w:rsidRPr="004E4188">
        <w:rPr>
          <w:rFonts w:ascii="Arial" w:hAnsi="Arial" w:cs="Arial"/>
          <w:sz w:val="36"/>
          <w:szCs w:val="36"/>
        </w:rPr>
        <w:t>Conception-Fourniture-Montage d’</w:t>
      </w:r>
      <w:r w:rsidR="003B0C6D" w:rsidRPr="004E4188">
        <w:rPr>
          <w:rFonts w:ascii="Arial" w:hAnsi="Arial" w:cs="Arial"/>
          <w:sz w:val="36"/>
          <w:szCs w:val="36"/>
        </w:rPr>
        <w:t>É</w:t>
      </w:r>
      <w:r w:rsidR="00571CC7" w:rsidRPr="004E4188">
        <w:rPr>
          <w:rFonts w:ascii="Arial" w:hAnsi="Arial" w:cs="Arial"/>
          <w:sz w:val="36"/>
          <w:szCs w:val="36"/>
        </w:rPr>
        <w:t>quipements</w:t>
      </w:r>
    </w:p>
    <w:p w14:paraId="1E0BA5E6" w14:textId="77777777" w:rsidR="00CB074D" w:rsidRPr="004E4188" w:rsidRDefault="00CB074D"/>
    <w:p w14:paraId="3FE83C7A" w14:textId="77777777" w:rsidR="00CB074D" w:rsidRPr="004E4188" w:rsidRDefault="00CB074D"/>
    <w:p w14:paraId="4B64D894" w14:textId="77777777" w:rsidR="00CB074D" w:rsidRPr="004E4188" w:rsidRDefault="00CB074D">
      <w:pPr>
        <w:rPr>
          <w:lang w:eastAsia="ja-JP"/>
        </w:rPr>
      </w:pPr>
    </w:p>
    <w:p w14:paraId="76D591CF" w14:textId="77777777" w:rsidR="008E2F59" w:rsidRPr="004E4188" w:rsidRDefault="00BE61E1" w:rsidP="001B6085">
      <w:pPr>
        <w:jc w:val="left"/>
        <w:rPr>
          <w:iCs/>
          <w:sz w:val="48"/>
          <w:szCs w:val="48"/>
          <w:lang w:eastAsia="ja-JP"/>
        </w:rPr>
      </w:pPr>
      <w:r w:rsidRPr="004E4188">
        <w:rPr>
          <w:noProof/>
          <w:lang w:val="en-US" w:eastAsia="ja-JP"/>
        </w:rPr>
        <w:drawing>
          <wp:anchor distT="0" distB="0" distL="114300" distR="114300" simplePos="0" relativeHeight="251657728" behindDoc="0" locked="0" layoutInCell="1" allowOverlap="1" wp14:anchorId="02F94F3B" wp14:editId="316138F7">
            <wp:simplePos x="0" y="0"/>
            <wp:positionH relativeFrom="column">
              <wp:posOffset>1797050</wp:posOffset>
            </wp:positionH>
            <wp:positionV relativeFrom="paragraph">
              <wp:posOffset>15875</wp:posOffset>
            </wp:positionV>
            <wp:extent cx="2080895" cy="1828800"/>
            <wp:effectExtent l="0" t="0" r="0" b="0"/>
            <wp:wrapSquare wrapText="r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89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085" w:rsidRPr="004E4188">
        <w:rPr>
          <w:iCs/>
          <w:sz w:val="48"/>
          <w:szCs w:val="48"/>
          <w:lang w:eastAsia="ja-JP"/>
        </w:rPr>
        <w:br w:type="textWrapping" w:clear="all"/>
      </w:r>
    </w:p>
    <w:p w14:paraId="7A47AF8D" w14:textId="77777777" w:rsidR="00CB074D" w:rsidRPr="004E4188" w:rsidRDefault="00CB074D">
      <w:pPr>
        <w:jc w:val="center"/>
        <w:rPr>
          <w:b/>
          <w:sz w:val="36"/>
          <w:szCs w:val="36"/>
          <w:lang w:eastAsia="ja-JP"/>
        </w:rPr>
      </w:pPr>
    </w:p>
    <w:p w14:paraId="2B26B015" w14:textId="77777777" w:rsidR="001B6085" w:rsidRPr="004E4188" w:rsidRDefault="001B6085">
      <w:pPr>
        <w:jc w:val="center"/>
        <w:rPr>
          <w:rFonts w:ascii="Arial" w:hAnsi="Arial" w:cs="Arial"/>
          <w:b/>
          <w:i/>
          <w:sz w:val="36"/>
          <w:szCs w:val="36"/>
          <w:lang w:eastAsia="ja-JP"/>
        </w:rPr>
      </w:pPr>
      <w:r w:rsidRPr="004E4188">
        <w:rPr>
          <w:rFonts w:ascii="Arial" w:hAnsi="Arial" w:cs="Arial"/>
          <w:b/>
          <w:i/>
          <w:sz w:val="36"/>
          <w:szCs w:val="36"/>
          <w:lang w:eastAsia="ja-JP"/>
        </w:rPr>
        <w:t>Agence Japonaise de Coop</w:t>
      </w:r>
      <w:r w:rsidRPr="004E4188">
        <w:rPr>
          <w:rFonts w:ascii="Arial" w:hAnsi="Arial" w:cs="Arial"/>
          <w:b/>
          <w:i/>
          <w:sz w:val="36"/>
          <w:szCs w:val="36"/>
        </w:rPr>
        <w:t>é</w:t>
      </w:r>
      <w:r w:rsidRPr="004E4188">
        <w:rPr>
          <w:rFonts w:ascii="Arial" w:hAnsi="Arial" w:cs="Arial"/>
          <w:b/>
          <w:i/>
          <w:sz w:val="36"/>
          <w:szCs w:val="36"/>
          <w:lang w:eastAsia="ja-JP"/>
        </w:rPr>
        <w:t>ration Internationale</w:t>
      </w:r>
    </w:p>
    <w:p w14:paraId="063DD2D9" w14:textId="77777777" w:rsidR="001B6085" w:rsidRPr="004E4188" w:rsidRDefault="001B6085" w:rsidP="001B6085">
      <w:pPr>
        <w:jc w:val="center"/>
        <w:rPr>
          <w:rFonts w:ascii="Arial" w:hAnsi="Arial" w:cs="Arial"/>
          <w:b/>
          <w:i/>
          <w:sz w:val="36"/>
          <w:lang w:eastAsia="ja-JP"/>
        </w:rPr>
      </w:pPr>
      <w:r w:rsidRPr="004E4188">
        <w:rPr>
          <w:rFonts w:ascii="Arial" w:hAnsi="Arial" w:cs="Arial" w:hint="eastAsia"/>
          <w:b/>
          <w:i/>
          <w:sz w:val="36"/>
          <w:lang w:eastAsia="ja-JP"/>
        </w:rPr>
        <w:t>(JICA)</w:t>
      </w:r>
    </w:p>
    <w:p w14:paraId="0CCE91AC" w14:textId="77777777" w:rsidR="008E2F59" w:rsidRPr="004E4188" w:rsidRDefault="008E2F59" w:rsidP="00A206F8">
      <w:pPr>
        <w:jc w:val="center"/>
        <w:rPr>
          <w:rFonts w:ascii="Arial" w:hAnsi="Arial" w:cs="Arial"/>
          <w:b/>
          <w:i/>
          <w:sz w:val="36"/>
          <w:lang w:eastAsia="ja-JP"/>
        </w:rPr>
      </w:pPr>
    </w:p>
    <w:p w14:paraId="6BB727DB" w14:textId="7B22B987" w:rsidR="00A206F8" w:rsidRPr="004E4188" w:rsidRDefault="00452FEA" w:rsidP="00A206F8">
      <w:pPr>
        <w:jc w:val="center"/>
        <w:rPr>
          <w:rFonts w:ascii="Arial" w:hAnsi="Arial" w:cs="Arial"/>
          <w:b/>
          <w:i/>
          <w:sz w:val="36"/>
          <w:lang w:eastAsia="ja-JP"/>
        </w:rPr>
      </w:pPr>
      <w:r w:rsidRPr="004E4188">
        <w:rPr>
          <w:rFonts w:ascii="Arial" w:hAnsi="Arial" w:cs="Arial"/>
          <w:b/>
          <w:i/>
          <w:sz w:val="36"/>
          <w:lang w:eastAsia="ja-JP"/>
        </w:rPr>
        <w:t>Mai</w:t>
      </w:r>
      <w:r w:rsidR="00A206F8" w:rsidRPr="004E4188">
        <w:rPr>
          <w:rFonts w:ascii="Arial" w:eastAsia="Times New Roman" w:hAnsi="Arial" w:cs="Arial"/>
          <w:b/>
          <w:i/>
          <w:sz w:val="36"/>
        </w:rPr>
        <w:t xml:space="preserve"> </w:t>
      </w:r>
      <w:r w:rsidRPr="004E4188">
        <w:rPr>
          <w:rFonts w:ascii="Arial" w:eastAsia="Times New Roman" w:hAnsi="Arial" w:cs="Arial"/>
          <w:b/>
          <w:i/>
          <w:sz w:val="36"/>
        </w:rPr>
        <w:t>2021</w:t>
      </w:r>
    </w:p>
    <w:p w14:paraId="6C80FB7C" w14:textId="77777777" w:rsidR="00A206F8" w:rsidRPr="004E4188" w:rsidRDefault="00A206F8" w:rsidP="00A206F8">
      <w:pPr>
        <w:rPr>
          <w:b/>
          <w:lang w:eastAsia="ja-JP"/>
        </w:rPr>
      </w:pPr>
    </w:p>
    <w:p w14:paraId="2B3CB8DD" w14:textId="77777777" w:rsidR="001B6085" w:rsidRPr="004E4188" w:rsidRDefault="001B6085" w:rsidP="00A206F8">
      <w:pPr>
        <w:rPr>
          <w:b/>
          <w:lang w:eastAsia="ja-JP"/>
        </w:rPr>
      </w:pPr>
    </w:p>
    <w:p w14:paraId="5761E39D" w14:textId="529DFFBE" w:rsidR="00A206F8" w:rsidRPr="004E4188" w:rsidRDefault="006E7A55" w:rsidP="00A206F8">
      <w:pPr>
        <w:jc w:val="right"/>
        <w:rPr>
          <w:sz w:val="28"/>
          <w:szCs w:val="28"/>
          <w:lang w:eastAsia="ja-JP"/>
        </w:rPr>
        <w:sectPr w:rsidR="00A206F8" w:rsidRPr="004E4188" w:rsidSect="006E7A55">
          <w:headerReference w:type="even" r:id="rId9"/>
          <w:headerReference w:type="default" r:id="rId10"/>
          <w:footerReference w:type="even" r:id="rId11"/>
          <w:footerReference w:type="default" r:id="rId12"/>
          <w:headerReference w:type="first" r:id="rId13"/>
          <w:footerReference w:type="first" r:id="rId14"/>
          <w:type w:val="nextColumn"/>
          <w:pgSz w:w="12240" w:h="15840" w:code="1"/>
          <w:pgMar w:top="1440" w:right="1440" w:bottom="1440" w:left="1797" w:header="720" w:footer="720" w:gutter="0"/>
          <w:pgNumType w:fmt="lowerRoman" w:start="1"/>
          <w:cols w:space="720"/>
          <w:noEndnote/>
          <w:titlePg/>
        </w:sectPr>
      </w:pPr>
      <w:r w:rsidRPr="004E4188">
        <w:rPr>
          <w:rFonts w:eastAsia="Times New Roman"/>
          <w:sz w:val="28"/>
          <w:szCs w:val="28"/>
        </w:rPr>
        <w:t>V</w:t>
      </w:r>
      <w:r w:rsidR="00A206F8" w:rsidRPr="004E4188">
        <w:rPr>
          <w:rFonts w:eastAsia="Times New Roman"/>
          <w:sz w:val="28"/>
          <w:szCs w:val="28"/>
        </w:rPr>
        <w:t xml:space="preserve">ersion </w:t>
      </w:r>
      <w:r w:rsidR="00452FEA" w:rsidRPr="004E4188">
        <w:rPr>
          <w:rFonts w:eastAsia="Times New Roman"/>
          <w:sz w:val="28"/>
          <w:szCs w:val="28"/>
        </w:rPr>
        <w:t>2.</w:t>
      </w:r>
      <w:r w:rsidR="00672270">
        <w:rPr>
          <w:rFonts w:eastAsia="Times New Roman"/>
          <w:sz w:val="28"/>
          <w:szCs w:val="28"/>
        </w:rPr>
        <w:t>2</w:t>
      </w:r>
    </w:p>
    <w:p w14:paraId="53FA62A2" w14:textId="77777777" w:rsidR="001D62E0" w:rsidRDefault="001D62E0" w:rsidP="001D62E0">
      <w:pPr>
        <w:rPr>
          <w:sz w:val="40"/>
          <w:szCs w:val="40"/>
        </w:rPr>
      </w:pPr>
      <w:r w:rsidRPr="00505293">
        <w:rPr>
          <w:sz w:val="40"/>
          <w:szCs w:val="40"/>
        </w:rPr>
        <w:lastRenderedPageBreak/>
        <w:t>Révisions</w:t>
      </w:r>
    </w:p>
    <w:p w14:paraId="47A6C7E1" w14:textId="77777777" w:rsidR="001D62E0" w:rsidRPr="00505293" w:rsidRDefault="001D62E0" w:rsidP="001D62E0">
      <w:pPr>
        <w:rPr>
          <w:sz w:val="40"/>
          <w:szCs w:val="40"/>
        </w:rPr>
      </w:pPr>
    </w:p>
    <w:p w14:paraId="28A3A5D7" w14:textId="3EDEAA8C" w:rsidR="00672270" w:rsidRPr="00672270" w:rsidRDefault="00672270" w:rsidP="00672270">
      <w:pPr>
        <w:rPr>
          <w:sz w:val="28"/>
          <w:szCs w:val="28"/>
          <w:lang w:eastAsia="ja-JP"/>
        </w:rPr>
      </w:pPr>
      <w:r>
        <w:rPr>
          <w:sz w:val="28"/>
          <w:szCs w:val="28"/>
          <w:lang w:eastAsia="ja-JP"/>
        </w:rPr>
        <w:t>Octobre</w:t>
      </w:r>
      <w:r w:rsidRPr="00672270">
        <w:rPr>
          <w:sz w:val="28"/>
          <w:szCs w:val="28"/>
          <w:lang w:eastAsia="ja-JP"/>
        </w:rPr>
        <w:t xml:space="preserve"> 2023</w:t>
      </w:r>
    </w:p>
    <w:p w14:paraId="2266193E" w14:textId="77777777" w:rsidR="00D30DD9" w:rsidRPr="00D30DD9" w:rsidRDefault="00D30DD9" w:rsidP="00D30DD9">
      <w:pPr>
        <w:rPr>
          <w:szCs w:val="24"/>
          <w:lang w:eastAsia="ja-JP"/>
        </w:rPr>
      </w:pPr>
      <w:r w:rsidRPr="00D30DD9">
        <w:rPr>
          <w:szCs w:val="24"/>
          <w:lang w:eastAsia="ja-JP"/>
        </w:rPr>
        <w:t>Cette révision englobe des modifications qui reflètent la publication des Directives pour les passations de marchés sous financement par Prêts APD du Japon, octobre 2023. Les dispositions concernant les « pratiques corrompues ou frauduleuses » stipulées dans IS 3.1(c) ont été modifiées en conséquence.</w:t>
      </w:r>
    </w:p>
    <w:p w14:paraId="2386E57B" w14:textId="414A1E94" w:rsidR="00672270" w:rsidRDefault="00D30DD9" w:rsidP="00D30DD9">
      <w:pPr>
        <w:rPr>
          <w:szCs w:val="24"/>
          <w:lang w:eastAsia="ja-JP"/>
        </w:rPr>
      </w:pPr>
      <w:r w:rsidRPr="00D30DD9">
        <w:rPr>
          <w:szCs w:val="24"/>
          <w:lang w:eastAsia="ja-JP"/>
        </w:rPr>
        <w:t>Des améliorations éditoriales ont également été effectuées.</w:t>
      </w:r>
    </w:p>
    <w:p w14:paraId="5383ED61" w14:textId="77777777" w:rsidR="00473D74" w:rsidRDefault="00473D74" w:rsidP="00D30DD9">
      <w:pPr>
        <w:rPr>
          <w:sz w:val="28"/>
          <w:szCs w:val="28"/>
          <w:lang w:eastAsia="ja-JP"/>
        </w:rPr>
      </w:pPr>
    </w:p>
    <w:p w14:paraId="644ED336" w14:textId="27F2AA95" w:rsidR="001D62E0" w:rsidRPr="00505293" w:rsidRDefault="001D62E0" w:rsidP="001D62E0">
      <w:pPr>
        <w:rPr>
          <w:sz w:val="28"/>
          <w:szCs w:val="28"/>
        </w:rPr>
      </w:pPr>
      <w:r>
        <w:rPr>
          <w:rFonts w:hint="eastAsia"/>
          <w:sz w:val="28"/>
          <w:szCs w:val="28"/>
          <w:lang w:eastAsia="ja-JP"/>
        </w:rPr>
        <w:t>A</w:t>
      </w:r>
      <w:r w:rsidRPr="00505293">
        <w:rPr>
          <w:sz w:val="28"/>
          <w:szCs w:val="28"/>
        </w:rPr>
        <w:t>vril 2023</w:t>
      </w:r>
    </w:p>
    <w:p w14:paraId="3F099B9B" w14:textId="178CA66C" w:rsidR="001D62E0" w:rsidRDefault="001D62E0" w:rsidP="001D62E0">
      <w:r>
        <w:t xml:space="preserve">Cette révision </w:t>
      </w:r>
      <w:r w:rsidR="00AF7982" w:rsidRPr="00AF7982">
        <w:t>englobe</w:t>
      </w:r>
      <w:r>
        <w:t xml:space="preserve"> des modifications qui reflètent la révision </w:t>
      </w:r>
      <w:r w:rsidR="00AF7982" w:rsidRPr="00AF7982">
        <w:t>effectuée en avril 2023 sur les</w:t>
      </w:r>
      <w:r>
        <w:t xml:space="preserve"> Directives pour les passations de marchés sous financement par Prêts APD du Japon, avril 2012 concernant le principe « Une offre par soumissionnaire » stipulé dans IS 4.2(c).</w:t>
      </w:r>
    </w:p>
    <w:p w14:paraId="6EA34CBE" w14:textId="77777777" w:rsidR="001D62E0" w:rsidRDefault="001D62E0" w:rsidP="001D62E0">
      <w:pPr>
        <w:jc w:val="left"/>
        <w:rPr>
          <w:b/>
          <w:sz w:val="48"/>
        </w:rPr>
      </w:pPr>
      <w:r>
        <w:t>Des améliorations éditoriales ont également été effectuées.</w:t>
      </w:r>
    </w:p>
    <w:p w14:paraId="34B9A8A4" w14:textId="77777777" w:rsidR="001D62E0" w:rsidRDefault="001D62E0" w:rsidP="001D62E0">
      <w:pPr>
        <w:jc w:val="left"/>
        <w:rPr>
          <w:b/>
          <w:sz w:val="48"/>
        </w:rPr>
      </w:pPr>
    </w:p>
    <w:p w14:paraId="55E3EDB4" w14:textId="2422FF30" w:rsidR="001D62E0" w:rsidRDefault="001D62E0">
      <w:pPr>
        <w:suppressAutoHyphens w:val="0"/>
        <w:overflowPunct/>
        <w:autoSpaceDE/>
        <w:autoSpaceDN/>
        <w:adjustRightInd/>
        <w:jc w:val="left"/>
        <w:textAlignment w:val="auto"/>
        <w:rPr>
          <w:b/>
          <w:sz w:val="48"/>
        </w:rPr>
      </w:pPr>
      <w:r>
        <w:rPr>
          <w:b/>
          <w:sz w:val="48"/>
        </w:rPr>
        <w:br w:type="page"/>
      </w:r>
    </w:p>
    <w:p w14:paraId="6DA4A462" w14:textId="77777777" w:rsidR="001D62E0" w:rsidRDefault="001D62E0" w:rsidP="00E831AC">
      <w:pPr>
        <w:jc w:val="center"/>
        <w:rPr>
          <w:b/>
          <w:sz w:val="48"/>
        </w:rPr>
      </w:pPr>
    </w:p>
    <w:p w14:paraId="6165DBEB" w14:textId="51877D6F" w:rsidR="00E831AC" w:rsidRPr="004E4188" w:rsidRDefault="00E831AC" w:rsidP="00E831AC">
      <w:pPr>
        <w:jc w:val="center"/>
        <w:rPr>
          <w:b/>
          <w:sz w:val="48"/>
        </w:rPr>
      </w:pPr>
      <w:r w:rsidRPr="004E4188">
        <w:rPr>
          <w:b/>
          <w:sz w:val="48"/>
        </w:rPr>
        <w:t>Préface</w:t>
      </w:r>
    </w:p>
    <w:p w14:paraId="1BB2B711" w14:textId="77777777" w:rsidR="00E831AC" w:rsidRPr="004E4188" w:rsidRDefault="00E831AC" w:rsidP="00E831AC">
      <w:pPr>
        <w:rPr>
          <w:strike/>
        </w:rPr>
      </w:pPr>
    </w:p>
    <w:p w14:paraId="3225C1D9" w14:textId="1DE2C592" w:rsidR="00E72C4E" w:rsidRPr="004E4188" w:rsidRDefault="00E72C4E" w:rsidP="00E72C4E">
      <w:pPr>
        <w:pStyle w:val="i"/>
        <w:suppressAutoHyphens w:val="0"/>
        <w:rPr>
          <w:rFonts w:ascii="Times New Roman" w:hAnsi="Times New Roman"/>
          <w:lang w:val="fr-FR" w:eastAsia="ja-JP"/>
        </w:rPr>
      </w:pPr>
      <w:r w:rsidRPr="004E4188">
        <w:rPr>
          <w:rFonts w:ascii="Times New Roman" w:hAnsi="Times New Roman"/>
          <w:lang w:val="fr-FR"/>
        </w:rPr>
        <w:t xml:space="preserve">Le présent Dossier </w:t>
      </w:r>
      <w:r w:rsidRPr="004E4188">
        <w:rPr>
          <w:rFonts w:ascii="Times New Roman" w:hAnsi="Times New Roman"/>
          <w:lang w:val="fr-FR" w:eastAsia="ja-JP"/>
        </w:rPr>
        <w:t>Standard</w:t>
      </w:r>
      <w:r w:rsidRPr="004E4188">
        <w:rPr>
          <w:rFonts w:ascii="Times New Roman" w:hAnsi="Times New Roman"/>
          <w:lang w:val="fr-FR"/>
        </w:rPr>
        <w:t xml:space="preserve"> </w:t>
      </w:r>
      <w:r w:rsidR="00B6511C" w:rsidRPr="004E4188">
        <w:rPr>
          <w:rFonts w:ascii="Times New Roman" w:hAnsi="Times New Roman"/>
          <w:lang w:val="fr-FR"/>
        </w:rPr>
        <w:t>d’Appel d’Offres pour la passation</w:t>
      </w:r>
      <w:r w:rsidRPr="004E4188">
        <w:rPr>
          <w:rFonts w:ascii="Times New Roman" w:hAnsi="Times New Roman"/>
          <w:lang w:val="fr-FR"/>
        </w:rPr>
        <w:t xml:space="preserve"> de marchés de</w:t>
      </w:r>
      <w:r w:rsidR="004D1BBB" w:rsidRPr="004E4188">
        <w:rPr>
          <w:rFonts w:ascii="Times New Roman" w:hAnsi="Times New Roman"/>
          <w:lang w:val="fr-FR"/>
        </w:rPr>
        <w:t xml:space="preserve"> Conception, Fourn</w:t>
      </w:r>
      <w:r w:rsidR="00DA4E59" w:rsidRPr="004E4188">
        <w:rPr>
          <w:rFonts w:ascii="Times New Roman" w:hAnsi="Times New Roman"/>
          <w:lang w:val="fr-FR"/>
        </w:rPr>
        <w:t>iture et Montage d’</w:t>
      </w:r>
      <w:r w:rsidR="008623E7" w:rsidRPr="004E4188">
        <w:rPr>
          <w:rFonts w:ascii="Times New Roman" w:hAnsi="Times New Roman"/>
          <w:szCs w:val="24"/>
          <w:lang w:val="fr-FR"/>
        </w:rPr>
        <w:t>É</w:t>
      </w:r>
      <w:r w:rsidR="00DA4E59" w:rsidRPr="004E4188">
        <w:rPr>
          <w:rFonts w:ascii="Times New Roman" w:hAnsi="Times New Roman"/>
          <w:lang w:val="fr-FR"/>
        </w:rPr>
        <w:t>quipements</w:t>
      </w:r>
      <w:r w:rsidRPr="004E4188">
        <w:rPr>
          <w:rFonts w:ascii="Times New Roman" w:hAnsi="Times New Roman"/>
          <w:lang w:val="fr-FR"/>
        </w:rPr>
        <w:t xml:space="preserve"> (D</w:t>
      </w:r>
      <w:r w:rsidRPr="004E4188">
        <w:rPr>
          <w:rFonts w:ascii="Times New Roman" w:hAnsi="Times New Roman"/>
          <w:lang w:val="fr-FR" w:eastAsia="ja-JP"/>
        </w:rPr>
        <w:t>S</w:t>
      </w:r>
      <w:r w:rsidR="00785F31" w:rsidRPr="004E4188">
        <w:rPr>
          <w:rFonts w:ascii="Times New Roman" w:hAnsi="Times New Roman"/>
          <w:lang w:val="fr-FR"/>
        </w:rPr>
        <w:t>AO (</w:t>
      </w:r>
      <w:r w:rsidR="008623E7" w:rsidRPr="004E4188">
        <w:rPr>
          <w:rFonts w:ascii="Times New Roman" w:hAnsi="Times New Roman"/>
          <w:szCs w:val="24"/>
          <w:lang w:val="fr-FR"/>
        </w:rPr>
        <w:t>É</w:t>
      </w:r>
      <w:r w:rsidR="00DA4E59" w:rsidRPr="004E4188">
        <w:rPr>
          <w:rFonts w:ascii="Times New Roman" w:hAnsi="Times New Roman"/>
          <w:lang w:val="fr-FR"/>
        </w:rPr>
        <w:t>quipements</w:t>
      </w:r>
      <w:r w:rsidRPr="004E4188">
        <w:rPr>
          <w:rFonts w:ascii="Times New Roman" w:hAnsi="Times New Roman"/>
          <w:lang w:val="fr-FR"/>
        </w:rPr>
        <w:t xml:space="preserve">)) a été préparé par </w:t>
      </w:r>
      <w:r w:rsidRPr="004E4188">
        <w:rPr>
          <w:rFonts w:ascii="Times New Roman" w:hAnsi="Times New Roman"/>
          <w:lang w:val="fr-FR" w:eastAsia="ja-JP"/>
        </w:rPr>
        <w:t>l’Agence Japonaise de Coopération Internationale (JICA)</w:t>
      </w:r>
      <w:r w:rsidR="00A1293E" w:rsidRPr="004E4188">
        <w:rPr>
          <w:lang w:val="fr-FR" w:eastAsia="ja-JP"/>
        </w:rPr>
        <w:t xml:space="preserve"> pour être utilisé dans des projets financés, en totalité ou en partie, par ses prêts d’aide publique au développement (APD)</w:t>
      </w:r>
      <w:r w:rsidRPr="004E4188">
        <w:rPr>
          <w:rFonts w:ascii="Times New Roman" w:hAnsi="Times New Roman"/>
          <w:lang w:val="fr-FR" w:eastAsia="ja-JP"/>
        </w:rPr>
        <w:t>.</w:t>
      </w:r>
    </w:p>
    <w:p w14:paraId="6D8A5DEC" w14:textId="77777777" w:rsidR="00E72C4E" w:rsidRPr="004E4188" w:rsidRDefault="00E72C4E" w:rsidP="00E72C4E">
      <w:pPr>
        <w:pStyle w:val="i"/>
        <w:suppressAutoHyphens w:val="0"/>
        <w:rPr>
          <w:rFonts w:ascii="Times New Roman" w:hAnsi="Times New Roman"/>
          <w:lang w:val="fr-FR" w:eastAsia="ja-JP"/>
        </w:rPr>
      </w:pPr>
    </w:p>
    <w:p w14:paraId="32FF6C67" w14:textId="0D4CBFD9" w:rsidR="00785F31" w:rsidRPr="004E4188" w:rsidRDefault="00785F31" w:rsidP="00F673BE">
      <w:pPr>
        <w:pStyle w:val="i"/>
        <w:suppressAutoHyphens w:val="0"/>
        <w:spacing w:afterLines="50" w:after="120"/>
        <w:rPr>
          <w:rFonts w:ascii="Times New Roman" w:hAnsi="Times New Roman"/>
          <w:lang w:val="fr-FR" w:eastAsia="ja-JP"/>
        </w:rPr>
      </w:pPr>
      <w:r w:rsidRPr="004E4188">
        <w:rPr>
          <w:rFonts w:ascii="Times New Roman" w:hAnsi="Times New Roman"/>
          <w:lang w:val="fr-FR" w:eastAsia="ja-JP"/>
        </w:rPr>
        <w:t xml:space="preserve">Ce DSAO </w:t>
      </w:r>
      <w:r w:rsidR="00CC347B" w:rsidRPr="004E4188">
        <w:rPr>
          <w:rFonts w:ascii="Times New Roman" w:hAnsi="Times New Roman"/>
          <w:lang w:val="fr-FR"/>
        </w:rPr>
        <w:t>(</w:t>
      </w:r>
      <w:r w:rsidR="00663384" w:rsidRPr="004E4188">
        <w:rPr>
          <w:rFonts w:ascii="Times New Roman" w:hAnsi="Times New Roman"/>
          <w:szCs w:val="24"/>
          <w:lang w:val="fr-FR"/>
        </w:rPr>
        <w:t>É</w:t>
      </w:r>
      <w:r w:rsidR="00CC347B" w:rsidRPr="004E4188">
        <w:rPr>
          <w:rFonts w:ascii="Times New Roman" w:hAnsi="Times New Roman"/>
          <w:lang w:val="fr-FR"/>
        </w:rPr>
        <w:t>quipements)</w:t>
      </w:r>
      <w:r w:rsidR="00E72C4E" w:rsidRPr="004E4188">
        <w:rPr>
          <w:rFonts w:ascii="Times New Roman" w:hAnsi="Times New Roman"/>
          <w:lang w:val="fr-FR" w:eastAsia="ja-JP"/>
        </w:rPr>
        <w:t xml:space="preserve"> </w:t>
      </w:r>
      <w:r w:rsidR="00A1293E" w:rsidRPr="004E4188">
        <w:rPr>
          <w:rFonts w:ascii="Times New Roman" w:hAnsi="Times New Roman"/>
          <w:lang w:val="fr-FR" w:eastAsia="ja-JP"/>
        </w:rPr>
        <w:t xml:space="preserve">est destiné à </w:t>
      </w:r>
      <w:r w:rsidR="00E72C4E" w:rsidRPr="004E4188">
        <w:rPr>
          <w:rFonts w:ascii="Times New Roman" w:hAnsi="Times New Roman"/>
          <w:lang w:val="fr-FR" w:eastAsia="ja-JP"/>
        </w:rPr>
        <w:t xml:space="preserve">être utilisé pour les passations de marchés </w:t>
      </w:r>
      <w:r w:rsidR="008623E7" w:rsidRPr="004E4188">
        <w:rPr>
          <w:rFonts w:ascii="Times New Roman" w:hAnsi="Times New Roman"/>
          <w:lang w:val="fr-FR" w:eastAsia="ja-JP"/>
        </w:rPr>
        <w:t>de conception, fourniture et montage d’é</w:t>
      </w:r>
      <w:r w:rsidR="00A1293E" w:rsidRPr="004E4188">
        <w:rPr>
          <w:rFonts w:ascii="Times New Roman" w:hAnsi="Times New Roman"/>
          <w:lang w:val="fr-FR" w:eastAsia="ja-JP"/>
        </w:rPr>
        <w:t>quipements</w:t>
      </w:r>
      <w:r w:rsidR="001A718B" w:rsidRPr="004E4188">
        <w:rPr>
          <w:rFonts w:ascii="Times New Roman" w:hAnsi="Times New Roman"/>
          <w:lang w:val="fr-FR" w:eastAsia="ja-JP"/>
        </w:rPr>
        <w:t xml:space="preserve"> </w:t>
      </w:r>
      <w:r w:rsidR="00797780" w:rsidRPr="004E4188">
        <w:rPr>
          <w:rFonts w:ascii="Times New Roman" w:hAnsi="Times New Roman"/>
          <w:lang w:val="fr-FR" w:eastAsia="ja-JP"/>
        </w:rPr>
        <w:t>faisant l’objet d’appels d’offres i</w:t>
      </w:r>
      <w:r w:rsidR="00E72C4E" w:rsidRPr="004E4188">
        <w:rPr>
          <w:rFonts w:ascii="Times New Roman" w:hAnsi="Times New Roman"/>
          <w:lang w:val="fr-FR" w:eastAsia="ja-JP"/>
        </w:rPr>
        <w:t>nternationaux</w:t>
      </w:r>
      <w:r w:rsidR="001A718B" w:rsidRPr="004E4188">
        <w:rPr>
          <w:rFonts w:ascii="Times New Roman" w:hAnsi="Times New Roman"/>
          <w:lang w:val="fr-FR" w:eastAsia="ja-JP"/>
        </w:rPr>
        <w:t xml:space="preserve"> (AOI)</w:t>
      </w:r>
      <w:r w:rsidRPr="004E4188">
        <w:rPr>
          <w:rFonts w:ascii="Times New Roman" w:hAnsi="Times New Roman"/>
          <w:lang w:val="fr-FR" w:eastAsia="ja-JP"/>
        </w:rPr>
        <w:t>, lorsque :</w:t>
      </w:r>
    </w:p>
    <w:p w14:paraId="0BEE8569" w14:textId="06B4165C" w:rsidR="00E72C4E" w:rsidRPr="004E4188" w:rsidRDefault="005B510C" w:rsidP="00DC0CD5">
      <w:pPr>
        <w:pStyle w:val="i"/>
        <w:numPr>
          <w:ilvl w:val="0"/>
          <w:numId w:val="15"/>
        </w:numPr>
        <w:suppressAutoHyphens w:val="0"/>
        <w:spacing w:after="200"/>
        <w:ind w:left="783"/>
        <w:rPr>
          <w:rFonts w:ascii="Times New Roman" w:hAnsi="Times New Roman"/>
          <w:lang w:val="fr-FR" w:eastAsia="ja-JP"/>
        </w:rPr>
      </w:pPr>
      <w:r w:rsidRPr="004E4188">
        <w:rPr>
          <w:spacing w:val="-3"/>
          <w:lang w:val="fr-FR"/>
        </w:rPr>
        <w:t>l</w:t>
      </w:r>
      <w:r w:rsidR="00F82592" w:rsidRPr="004E4188">
        <w:rPr>
          <w:spacing w:val="-3"/>
          <w:lang w:val="fr-FR"/>
        </w:rPr>
        <w:t xml:space="preserve">e marché comprend la conception, la fourniture, le montage et la mise en service d’équipements conçus spécialement tels que </w:t>
      </w:r>
      <w:r w:rsidR="00CC347B" w:rsidRPr="004E4188">
        <w:rPr>
          <w:spacing w:val="-3"/>
          <w:lang w:val="fr-FR"/>
        </w:rPr>
        <w:t xml:space="preserve">des </w:t>
      </w:r>
      <w:r w:rsidR="00F82592" w:rsidRPr="004E4188">
        <w:rPr>
          <w:spacing w:val="-3"/>
          <w:lang w:val="fr-FR"/>
        </w:rPr>
        <w:t xml:space="preserve">turbines, générateurs, chaudières, postes </w:t>
      </w:r>
      <w:r w:rsidR="00CC347B" w:rsidRPr="004E4188">
        <w:rPr>
          <w:spacing w:val="-3"/>
          <w:lang w:val="fr-FR"/>
        </w:rPr>
        <w:t>d’interconnexion</w:t>
      </w:r>
      <w:r w:rsidR="00F82592" w:rsidRPr="004E4188">
        <w:rPr>
          <w:spacing w:val="-3"/>
          <w:lang w:val="fr-FR"/>
        </w:rPr>
        <w:t xml:space="preserve">, stations de pompages, </w:t>
      </w:r>
      <w:r w:rsidRPr="004E4188">
        <w:rPr>
          <w:spacing w:val="-3"/>
          <w:lang w:val="fr-FR"/>
        </w:rPr>
        <w:t xml:space="preserve">et </w:t>
      </w:r>
      <w:r w:rsidR="00F82592" w:rsidRPr="004E4188">
        <w:rPr>
          <w:spacing w:val="-3"/>
          <w:lang w:val="fr-FR"/>
        </w:rPr>
        <w:t>stations de tr</w:t>
      </w:r>
      <w:r w:rsidR="00CC347B" w:rsidRPr="004E4188">
        <w:rPr>
          <w:spacing w:val="-3"/>
          <w:lang w:val="fr-FR"/>
        </w:rPr>
        <w:t>aitement</w:t>
      </w:r>
      <w:r w:rsidRPr="004E4188">
        <w:rPr>
          <w:spacing w:val="-3"/>
          <w:lang w:val="fr-FR"/>
        </w:rPr>
        <w:t xml:space="preserve"> </w:t>
      </w:r>
      <w:r w:rsidR="00F82592" w:rsidRPr="004E4188">
        <w:rPr>
          <w:spacing w:val="-3"/>
          <w:lang w:val="fr-FR"/>
        </w:rPr>
        <w:t>;</w:t>
      </w:r>
    </w:p>
    <w:p w14:paraId="275CFBED" w14:textId="01FC70B3" w:rsidR="00C351C9" w:rsidRPr="004E4188" w:rsidRDefault="00F82592" w:rsidP="00DC0CD5">
      <w:pPr>
        <w:pStyle w:val="i"/>
        <w:numPr>
          <w:ilvl w:val="0"/>
          <w:numId w:val="15"/>
        </w:numPr>
        <w:suppressAutoHyphens w:val="0"/>
        <w:spacing w:after="200"/>
        <w:ind w:left="783"/>
        <w:rPr>
          <w:rFonts w:ascii="Times New Roman" w:hAnsi="Times New Roman"/>
          <w:lang w:val="fr-FR" w:eastAsia="ja-JP"/>
        </w:rPr>
      </w:pPr>
      <w:r w:rsidRPr="004E4188">
        <w:rPr>
          <w:spacing w:val="-3"/>
          <w:lang w:val="fr-FR"/>
        </w:rPr>
        <w:t xml:space="preserve">la valeur de la part des </w:t>
      </w:r>
      <w:r w:rsidR="00CC347B" w:rsidRPr="004E4188">
        <w:rPr>
          <w:spacing w:val="-3"/>
          <w:lang w:val="fr-FR"/>
        </w:rPr>
        <w:t xml:space="preserve">équipements </w:t>
      </w:r>
      <w:r w:rsidRPr="004E4188">
        <w:rPr>
          <w:spacing w:val="-3"/>
          <w:lang w:val="fr-FR"/>
        </w:rPr>
        <w:t>représente la majeure partie de la valeur estimée du marché</w:t>
      </w:r>
      <w:r w:rsidR="00FC17C3" w:rsidRPr="004E4188">
        <w:rPr>
          <w:spacing w:val="-3"/>
          <w:lang w:val="fr-FR"/>
        </w:rPr>
        <w:t xml:space="preserve"> (même si le marché comprend une faible part de génie civil)</w:t>
      </w:r>
      <w:r w:rsidR="00C351C9" w:rsidRPr="004E4188">
        <w:rPr>
          <w:spacing w:val="-3"/>
          <w:lang w:val="fr-FR"/>
        </w:rPr>
        <w:t> ;</w:t>
      </w:r>
      <w:r w:rsidRPr="004E4188">
        <w:rPr>
          <w:spacing w:val="-3"/>
          <w:lang w:val="fr-FR"/>
        </w:rPr>
        <w:t xml:space="preserve"> </w:t>
      </w:r>
    </w:p>
    <w:p w14:paraId="5880C663" w14:textId="10EE4B81" w:rsidR="00F82592" w:rsidRPr="004E4188" w:rsidRDefault="00B81C58" w:rsidP="00DC0CD5">
      <w:pPr>
        <w:pStyle w:val="i"/>
        <w:numPr>
          <w:ilvl w:val="0"/>
          <w:numId w:val="15"/>
        </w:numPr>
        <w:suppressAutoHyphens w:val="0"/>
        <w:spacing w:after="200"/>
        <w:ind w:left="783"/>
        <w:rPr>
          <w:rFonts w:ascii="Times New Roman" w:hAnsi="Times New Roman"/>
          <w:lang w:val="fr-FR" w:eastAsia="ja-JP"/>
        </w:rPr>
      </w:pPr>
      <w:r w:rsidRPr="004E4188">
        <w:rPr>
          <w:spacing w:val="-3"/>
          <w:lang w:val="fr-FR"/>
        </w:rPr>
        <w:t xml:space="preserve">la nature et la complexité </w:t>
      </w:r>
      <w:r w:rsidR="00DF6B8E" w:rsidRPr="004E4188">
        <w:rPr>
          <w:spacing w:val="-3"/>
          <w:lang w:val="fr-FR"/>
        </w:rPr>
        <w:t>des équipements</w:t>
      </w:r>
      <w:r w:rsidRPr="004E4188">
        <w:rPr>
          <w:spacing w:val="-3"/>
          <w:lang w:val="fr-FR"/>
        </w:rPr>
        <w:t xml:space="preserve"> sont</w:t>
      </w:r>
      <w:r w:rsidR="00F82592" w:rsidRPr="004E4188">
        <w:rPr>
          <w:spacing w:val="-3"/>
          <w:lang w:val="fr-FR"/>
        </w:rPr>
        <w:t xml:space="preserve"> telle</w:t>
      </w:r>
      <w:r w:rsidRPr="004E4188">
        <w:rPr>
          <w:spacing w:val="-3"/>
          <w:lang w:val="fr-FR"/>
        </w:rPr>
        <w:t>s</w:t>
      </w:r>
      <w:r w:rsidR="00F82592" w:rsidRPr="004E4188">
        <w:rPr>
          <w:spacing w:val="-3"/>
          <w:lang w:val="fr-FR"/>
        </w:rPr>
        <w:t xml:space="preserve"> que la pr</w:t>
      </w:r>
      <w:r w:rsidRPr="004E4188">
        <w:rPr>
          <w:spacing w:val="-3"/>
          <w:lang w:val="fr-FR"/>
        </w:rPr>
        <w:t>ise de possession</w:t>
      </w:r>
      <w:r w:rsidR="00F82592" w:rsidRPr="004E4188">
        <w:rPr>
          <w:spacing w:val="-3"/>
          <w:lang w:val="fr-FR"/>
        </w:rPr>
        <w:t xml:space="preserve"> des </w:t>
      </w:r>
      <w:r w:rsidR="00CD0E14" w:rsidRPr="004E4188">
        <w:rPr>
          <w:spacing w:val="-3"/>
          <w:lang w:val="fr-FR"/>
        </w:rPr>
        <w:t xml:space="preserve">équipements </w:t>
      </w:r>
      <w:r w:rsidR="00460386" w:rsidRPr="004E4188">
        <w:rPr>
          <w:spacing w:val="-3"/>
          <w:lang w:val="fr-FR"/>
        </w:rPr>
        <w:t>une fois achevés</w:t>
      </w:r>
      <w:r w:rsidRPr="004E4188">
        <w:rPr>
          <w:spacing w:val="-3"/>
          <w:lang w:val="fr-FR"/>
        </w:rPr>
        <w:t xml:space="preserve"> par le Maître d</w:t>
      </w:r>
      <w:r w:rsidR="00F82592" w:rsidRPr="004E4188">
        <w:rPr>
          <w:spacing w:val="-3"/>
          <w:lang w:val="fr-FR"/>
        </w:rPr>
        <w:t xml:space="preserve">’ouvrage </w:t>
      </w:r>
      <w:r w:rsidRPr="004E4188">
        <w:rPr>
          <w:spacing w:val="-3"/>
          <w:lang w:val="fr-FR"/>
        </w:rPr>
        <w:t>ne peut avoir lieu en toute sécurité sans la réalisation d’</w:t>
      </w:r>
      <w:r w:rsidR="00F82592" w:rsidRPr="004E4188">
        <w:rPr>
          <w:spacing w:val="-3"/>
          <w:lang w:val="fr-FR"/>
        </w:rPr>
        <w:t>essais</w:t>
      </w:r>
      <w:r w:rsidRPr="004E4188">
        <w:rPr>
          <w:spacing w:val="-3"/>
          <w:lang w:val="fr-FR"/>
        </w:rPr>
        <w:t xml:space="preserve"> complets</w:t>
      </w:r>
      <w:r w:rsidR="00F82592" w:rsidRPr="004E4188">
        <w:rPr>
          <w:spacing w:val="-3"/>
          <w:lang w:val="fr-FR"/>
        </w:rPr>
        <w:t xml:space="preserve">, </w:t>
      </w:r>
      <w:r w:rsidR="001A6872" w:rsidRPr="004E4188">
        <w:rPr>
          <w:spacing w:val="-3"/>
          <w:lang w:val="fr-FR"/>
        </w:rPr>
        <w:t>d’opérations de pré-mise en service</w:t>
      </w:r>
      <w:r w:rsidR="006A3C0F" w:rsidRPr="004E4188">
        <w:rPr>
          <w:spacing w:val="-3"/>
          <w:lang w:val="fr-FR"/>
        </w:rPr>
        <w:t xml:space="preserve"> et</w:t>
      </w:r>
      <w:r w:rsidR="001A6872" w:rsidRPr="004E4188">
        <w:rPr>
          <w:spacing w:val="-3"/>
          <w:lang w:val="fr-FR"/>
        </w:rPr>
        <w:t xml:space="preserve"> de mise en service et sans la conduite des procédures de</w:t>
      </w:r>
      <w:r w:rsidR="00F82592" w:rsidRPr="004E4188">
        <w:rPr>
          <w:spacing w:val="-3"/>
          <w:lang w:val="fr-FR"/>
        </w:rPr>
        <w:t xml:space="preserve"> réception opérationnelle</w:t>
      </w:r>
      <w:r w:rsidR="00CD0E14" w:rsidRPr="004E4188">
        <w:rPr>
          <w:spacing w:val="-3"/>
          <w:lang w:val="fr-FR"/>
        </w:rPr>
        <w:t> ; et</w:t>
      </w:r>
    </w:p>
    <w:p w14:paraId="5DF0064B" w14:textId="1BC320ED" w:rsidR="00785F31" w:rsidRPr="004E4188" w:rsidRDefault="00027693" w:rsidP="00DC0CD5">
      <w:pPr>
        <w:pStyle w:val="i"/>
        <w:numPr>
          <w:ilvl w:val="0"/>
          <w:numId w:val="15"/>
        </w:numPr>
        <w:suppressAutoHyphens w:val="0"/>
        <w:ind w:left="783"/>
        <w:rPr>
          <w:rFonts w:ascii="Times New Roman" w:hAnsi="Times New Roman"/>
          <w:lang w:val="fr-FR"/>
        </w:rPr>
      </w:pPr>
      <w:r w:rsidRPr="004E4188">
        <w:rPr>
          <w:rFonts w:ascii="Times New Roman" w:hAnsi="Times New Roman"/>
          <w:lang w:val="fr-FR" w:eastAsia="ja-JP"/>
        </w:rPr>
        <w:t>l</w:t>
      </w:r>
      <w:r w:rsidR="009C068C" w:rsidRPr="004E4188">
        <w:rPr>
          <w:rFonts w:ascii="Times New Roman" w:hAnsi="Times New Roman"/>
          <w:lang w:val="fr-FR" w:eastAsia="ja-JP"/>
        </w:rPr>
        <w:t xml:space="preserve">e Marché </w:t>
      </w:r>
      <w:r w:rsidR="00C43FAD" w:rsidRPr="004E4188">
        <w:rPr>
          <w:rFonts w:ascii="Times New Roman" w:hAnsi="Times New Roman"/>
          <w:lang w:val="fr-FR" w:eastAsia="ja-JP"/>
        </w:rPr>
        <w:t>est destiné à</w:t>
      </w:r>
      <w:r w:rsidR="009C068C" w:rsidRPr="004E4188">
        <w:rPr>
          <w:rFonts w:ascii="Times New Roman" w:hAnsi="Times New Roman"/>
          <w:lang w:val="fr-FR" w:eastAsia="ja-JP"/>
        </w:rPr>
        <w:t xml:space="preserve"> être exécuté sur la base d’une </w:t>
      </w:r>
      <w:r w:rsidR="007D635B" w:rsidRPr="004E4188">
        <w:rPr>
          <w:spacing w:val="-3"/>
          <w:lang w:val="fr-FR"/>
        </w:rPr>
        <w:t xml:space="preserve">responsabilité unique, </w:t>
      </w:r>
      <w:r w:rsidR="009C068C" w:rsidRPr="004E4188">
        <w:rPr>
          <w:spacing w:val="-3"/>
          <w:lang w:val="fr-FR"/>
        </w:rPr>
        <w:t xml:space="preserve">même si </w:t>
      </w:r>
      <w:r w:rsidR="007D635B" w:rsidRPr="004E4188">
        <w:rPr>
          <w:spacing w:val="-3"/>
          <w:lang w:val="fr-FR"/>
        </w:rPr>
        <w:t>certaines activités, telles</w:t>
      </w:r>
      <w:r w:rsidR="00CE63FF" w:rsidRPr="004E4188">
        <w:rPr>
          <w:spacing w:val="-3"/>
          <w:lang w:val="fr-FR"/>
        </w:rPr>
        <w:t xml:space="preserve"> que la réalisation</w:t>
      </w:r>
      <w:r w:rsidR="007D635B" w:rsidRPr="004E4188">
        <w:rPr>
          <w:spacing w:val="-3"/>
          <w:lang w:val="fr-FR"/>
        </w:rPr>
        <w:t xml:space="preserve"> d’une partie de </w:t>
      </w:r>
      <w:r w:rsidR="0016434A" w:rsidRPr="004E4188">
        <w:rPr>
          <w:spacing w:val="-3"/>
          <w:lang w:val="fr-FR"/>
        </w:rPr>
        <w:t>la conception</w:t>
      </w:r>
      <w:r w:rsidR="007D635B" w:rsidRPr="004E4188">
        <w:rPr>
          <w:spacing w:val="-3"/>
          <w:lang w:val="fr-FR"/>
        </w:rPr>
        <w:t xml:space="preserve"> ou les travaux préparatoires sur </w:t>
      </w:r>
      <w:r w:rsidR="00CE63FF" w:rsidRPr="004E4188">
        <w:rPr>
          <w:spacing w:val="-3"/>
          <w:lang w:val="fr-FR"/>
        </w:rPr>
        <w:t xml:space="preserve">le </w:t>
      </w:r>
      <w:r w:rsidR="007D635B" w:rsidRPr="004E4188">
        <w:rPr>
          <w:spacing w:val="-3"/>
          <w:lang w:val="fr-FR"/>
        </w:rPr>
        <w:t>site</w:t>
      </w:r>
      <w:r w:rsidR="005F6DA6" w:rsidRPr="004E4188">
        <w:rPr>
          <w:spacing w:val="-3"/>
          <w:lang w:val="fr-FR"/>
        </w:rPr>
        <w:t>,</w:t>
      </w:r>
      <w:r w:rsidR="007D635B" w:rsidRPr="004E4188">
        <w:rPr>
          <w:spacing w:val="-3"/>
          <w:lang w:val="fr-FR"/>
        </w:rPr>
        <w:t xml:space="preserve"> </w:t>
      </w:r>
      <w:r w:rsidR="00A16957" w:rsidRPr="004E4188">
        <w:rPr>
          <w:spacing w:val="-3"/>
          <w:lang w:val="fr-FR"/>
        </w:rPr>
        <w:t xml:space="preserve">peuvent être </w:t>
      </w:r>
      <w:r w:rsidR="007D635B" w:rsidRPr="004E4188">
        <w:rPr>
          <w:spacing w:val="-3"/>
          <w:lang w:val="fr-FR"/>
        </w:rPr>
        <w:t>effectuées par d’autres intervenants.</w:t>
      </w:r>
    </w:p>
    <w:p w14:paraId="5C2E5651" w14:textId="77777777" w:rsidR="007D635B" w:rsidRPr="004E4188" w:rsidRDefault="007D635B" w:rsidP="00E72C4E">
      <w:pPr>
        <w:pStyle w:val="i"/>
        <w:suppressAutoHyphens w:val="0"/>
        <w:rPr>
          <w:rFonts w:ascii="Times New Roman" w:hAnsi="Times New Roman"/>
          <w:lang w:val="fr-FR"/>
        </w:rPr>
      </w:pPr>
    </w:p>
    <w:p w14:paraId="78B250EA" w14:textId="34838BE5" w:rsidR="00E831AC" w:rsidRPr="004E4188" w:rsidRDefault="0016434A" w:rsidP="00E72C4E">
      <w:pPr>
        <w:pStyle w:val="i"/>
        <w:suppressAutoHyphens w:val="0"/>
        <w:rPr>
          <w:rFonts w:ascii="Times New Roman" w:hAnsi="Times New Roman"/>
          <w:lang w:val="fr-FR"/>
        </w:rPr>
      </w:pPr>
      <w:r w:rsidRPr="004E4188">
        <w:rPr>
          <w:rFonts w:ascii="Times New Roman" w:hAnsi="Times New Roman"/>
          <w:lang w:val="fr-FR"/>
        </w:rPr>
        <w:t>Ce DSAO (</w:t>
      </w:r>
      <w:r w:rsidR="00DA33EA" w:rsidRPr="004E4188">
        <w:rPr>
          <w:rFonts w:ascii="Times New Roman" w:hAnsi="Times New Roman"/>
          <w:szCs w:val="24"/>
          <w:lang w:val="fr-FR"/>
        </w:rPr>
        <w:t>É</w:t>
      </w:r>
      <w:r w:rsidRPr="004E4188">
        <w:rPr>
          <w:rFonts w:ascii="Times New Roman" w:hAnsi="Times New Roman"/>
          <w:lang w:val="fr-FR"/>
        </w:rPr>
        <w:t>quipements) est conforme aux « Directives pour les passations de marchés sous financement par Prêts APD du Japon »</w:t>
      </w:r>
      <w:r w:rsidR="0040204F" w:rsidRPr="004E4188">
        <w:rPr>
          <w:rFonts w:ascii="Times New Roman" w:hAnsi="Times New Roman"/>
          <w:lang w:val="fr-FR"/>
        </w:rPr>
        <w:t xml:space="preserve">, </w:t>
      </w:r>
      <w:r w:rsidR="00193A03" w:rsidRPr="00193A03">
        <w:rPr>
          <w:rFonts w:ascii="Times New Roman" w:hAnsi="Times New Roman"/>
          <w:lang w:val="fr-FR"/>
        </w:rPr>
        <w:t xml:space="preserve">publiées en </w:t>
      </w:r>
      <w:r w:rsidR="0040204F" w:rsidRPr="004E4188">
        <w:rPr>
          <w:rFonts w:ascii="Times New Roman" w:hAnsi="Times New Roman"/>
          <w:lang w:val="fr-FR"/>
        </w:rPr>
        <w:t>avril 2012</w:t>
      </w:r>
      <w:r w:rsidR="00193A03" w:rsidRPr="00193A03">
        <w:rPr>
          <w:lang w:val="fr-FR"/>
        </w:rPr>
        <w:t xml:space="preserve"> </w:t>
      </w:r>
      <w:r w:rsidR="00193A03" w:rsidRPr="00193A03">
        <w:rPr>
          <w:rFonts w:ascii="Times New Roman" w:hAnsi="Times New Roman"/>
          <w:lang w:val="fr-FR"/>
        </w:rPr>
        <w:t>ou octobre 2023</w:t>
      </w:r>
      <w:r w:rsidR="0040204F" w:rsidRPr="004E4188">
        <w:rPr>
          <w:rFonts w:ascii="Times New Roman" w:hAnsi="Times New Roman"/>
          <w:lang w:val="fr-FR"/>
        </w:rPr>
        <w:t xml:space="preserve"> et son </w:t>
      </w:r>
      <w:r w:rsidR="003726D0" w:rsidRPr="004E4188">
        <w:rPr>
          <w:rFonts w:ascii="Times New Roman" w:hAnsi="Times New Roman"/>
          <w:lang w:val="fr-FR"/>
        </w:rPr>
        <w:t>utilisation</w:t>
      </w:r>
      <w:r w:rsidR="0040204F" w:rsidRPr="004E4188">
        <w:rPr>
          <w:rFonts w:ascii="Times New Roman" w:hAnsi="Times New Roman"/>
          <w:lang w:val="fr-FR"/>
        </w:rPr>
        <w:t xml:space="preserve"> est </w:t>
      </w:r>
      <w:r w:rsidR="0040204F" w:rsidRPr="004E4188">
        <w:rPr>
          <w:rFonts w:ascii="Times New Roman" w:hAnsi="Times New Roman"/>
          <w:b/>
          <w:lang w:val="fr-FR"/>
        </w:rPr>
        <w:t>requis</w:t>
      </w:r>
      <w:r w:rsidR="003726D0" w:rsidRPr="004E4188">
        <w:rPr>
          <w:rFonts w:ascii="Times New Roman" w:hAnsi="Times New Roman"/>
          <w:b/>
          <w:lang w:val="fr-FR"/>
        </w:rPr>
        <w:t>e</w:t>
      </w:r>
      <w:r w:rsidR="0040204F" w:rsidRPr="004E4188">
        <w:rPr>
          <w:rFonts w:ascii="Times New Roman" w:hAnsi="Times New Roman"/>
          <w:lang w:val="fr-FR"/>
        </w:rPr>
        <w:t xml:space="preserve"> </w:t>
      </w:r>
      <w:r w:rsidR="00D548F5" w:rsidRPr="004E4188">
        <w:rPr>
          <w:rFonts w:ascii="Times New Roman" w:hAnsi="Times New Roman"/>
          <w:lang w:val="fr-FR"/>
        </w:rPr>
        <w:t xml:space="preserve">pour de tels marchés de </w:t>
      </w:r>
      <w:r w:rsidR="00311141" w:rsidRPr="004E4188">
        <w:rPr>
          <w:rFonts w:ascii="Times New Roman" w:hAnsi="Times New Roman"/>
          <w:lang w:val="fr-FR"/>
        </w:rPr>
        <w:t>conception, fourniture et m</w:t>
      </w:r>
      <w:r w:rsidR="00D548F5" w:rsidRPr="004E4188">
        <w:rPr>
          <w:rFonts w:ascii="Times New Roman" w:hAnsi="Times New Roman"/>
          <w:lang w:val="fr-FR"/>
        </w:rPr>
        <w:t>ontage d’</w:t>
      </w:r>
      <w:r w:rsidR="00311141" w:rsidRPr="004E4188">
        <w:rPr>
          <w:rFonts w:ascii="Times New Roman" w:hAnsi="Times New Roman"/>
          <w:lang w:val="fr-FR"/>
        </w:rPr>
        <w:t>é</w:t>
      </w:r>
      <w:r w:rsidR="00D548F5" w:rsidRPr="004E4188">
        <w:rPr>
          <w:rFonts w:ascii="Times New Roman" w:hAnsi="Times New Roman"/>
          <w:lang w:val="fr-FR"/>
        </w:rPr>
        <w:t xml:space="preserve">quipements </w:t>
      </w:r>
      <w:r w:rsidR="003726D0" w:rsidRPr="004E4188">
        <w:rPr>
          <w:rFonts w:ascii="Times New Roman" w:hAnsi="Times New Roman"/>
          <w:lang w:val="fr-FR"/>
        </w:rPr>
        <w:t xml:space="preserve">dans le cadre des Directives. </w:t>
      </w:r>
      <w:r w:rsidR="003A1BAD" w:rsidRPr="004E4188">
        <w:rPr>
          <w:rFonts w:ascii="Times New Roman" w:hAnsi="Times New Roman"/>
          <w:lang w:val="fr-FR"/>
        </w:rPr>
        <w:t xml:space="preserve">Comme ce DSAO </w:t>
      </w:r>
      <w:r w:rsidR="007A6C30" w:rsidRPr="004E4188">
        <w:rPr>
          <w:rFonts w:ascii="Times New Roman" w:hAnsi="Times New Roman"/>
          <w:lang w:val="fr-FR"/>
        </w:rPr>
        <w:t>(</w:t>
      </w:r>
      <w:r w:rsidR="008623E7" w:rsidRPr="004E4188">
        <w:rPr>
          <w:rFonts w:ascii="Times New Roman" w:hAnsi="Times New Roman"/>
          <w:szCs w:val="24"/>
          <w:lang w:val="fr-FR"/>
        </w:rPr>
        <w:t>É</w:t>
      </w:r>
      <w:r w:rsidR="007A6C30" w:rsidRPr="004E4188">
        <w:rPr>
          <w:rFonts w:ascii="Times New Roman" w:hAnsi="Times New Roman"/>
          <w:lang w:val="fr-FR"/>
        </w:rPr>
        <w:t>quipements)</w:t>
      </w:r>
      <w:r w:rsidR="007A6C30" w:rsidRPr="004E4188">
        <w:rPr>
          <w:lang w:val="fr-FR" w:eastAsia="ja-JP"/>
        </w:rPr>
        <w:t xml:space="preserve"> intègre les meilleures pratiques actuelles en matière de passations de marchés publics, ainsi que la politique générale de la JICA, son </w:t>
      </w:r>
      <w:r w:rsidR="00DD3709" w:rsidRPr="00DD3709">
        <w:rPr>
          <w:lang w:val="fr-FR" w:eastAsia="ja-JP"/>
        </w:rPr>
        <w:t>utilisation</w:t>
      </w:r>
      <w:r w:rsidR="007A6C30" w:rsidRPr="004E4188">
        <w:rPr>
          <w:lang w:val="fr-FR" w:eastAsia="ja-JP"/>
        </w:rPr>
        <w:t xml:space="preserve"> est également </w:t>
      </w:r>
      <w:r w:rsidR="00BB522A" w:rsidRPr="00BB522A">
        <w:rPr>
          <w:lang w:val="fr-FR" w:eastAsia="ja-JP"/>
        </w:rPr>
        <w:t xml:space="preserve">recommandée </w:t>
      </w:r>
      <w:r w:rsidR="007A6C30" w:rsidRPr="004E4188">
        <w:rPr>
          <w:lang w:val="fr-FR" w:eastAsia="ja-JP"/>
        </w:rPr>
        <w:t>pour les marchés passés selon les « Directives pour les passations de marchés » publiées en octobre 1999 ou mars 2009.</w:t>
      </w:r>
    </w:p>
    <w:p w14:paraId="6BD72BFF" w14:textId="77777777" w:rsidR="00E831AC" w:rsidRPr="004E4188" w:rsidRDefault="00E831AC" w:rsidP="00E831AC">
      <w:pPr>
        <w:pStyle w:val="i"/>
        <w:suppressAutoHyphens w:val="0"/>
        <w:rPr>
          <w:rFonts w:ascii="Times New Roman" w:hAnsi="Times New Roman"/>
          <w:lang w:val="fr-FR"/>
        </w:rPr>
      </w:pPr>
    </w:p>
    <w:p w14:paraId="38BFD3BE" w14:textId="669FFEBF" w:rsidR="00E831AC" w:rsidRPr="004E4188" w:rsidRDefault="00E72C4E" w:rsidP="00E831AC">
      <w:r w:rsidRPr="004E4188">
        <w:t>Pour toute question concernant l</w:t>
      </w:r>
      <w:r w:rsidR="00F67967" w:rsidRPr="004E4188">
        <w:t>’utilisation de ce DSAO</w:t>
      </w:r>
      <w:r w:rsidR="00D5470E" w:rsidRPr="004E4188">
        <w:t xml:space="preserve"> (</w:t>
      </w:r>
      <w:r w:rsidR="00BF2E15" w:rsidRPr="004E4188">
        <w:rPr>
          <w:szCs w:val="24"/>
        </w:rPr>
        <w:t>É</w:t>
      </w:r>
      <w:r w:rsidR="00D5470E" w:rsidRPr="004E4188">
        <w:t>quipements)</w:t>
      </w:r>
      <w:r w:rsidRPr="004E4188">
        <w:t>, veuillez prendre contact avec l’agent responsable au sein de la JICA.</w:t>
      </w:r>
    </w:p>
    <w:p w14:paraId="322AEE79" w14:textId="77777777" w:rsidR="00CB074D" w:rsidRPr="004E4188" w:rsidRDefault="00C17470" w:rsidP="009D0367">
      <w:pPr>
        <w:pStyle w:val="af2"/>
        <w:spacing w:afterLines="100" w:after="240"/>
        <w:outlineLvl w:val="0"/>
        <w:rPr>
          <w:lang w:val="fr-FR"/>
        </w:rPr>
      </w:pPr>
      <w:r w:rsidRPr="004E4188">
        <w:rPr>
          <w:spacing w:val="-3"/>
          <w:lang w:val="fr-FR"/>
        </w:rPr>
        <w:br w:type="page"/>
      </w:r>
      <w:r w:rsidR="00E72C4E" w:rsidRPr="004E4188">
        <w:rPr>
          <w:lang w:val="fr-FR"/>
        </w:rPr>
        <w:t>Description s</w:t>
      </w:r>
      <w:r w:rsidR="00CB074D" w:rsidRPr="004E4188">
        <w:rPr>
          <w:lang w:val="fr-FR"/>
        </w:rPr>
        <w:t>ommaire</w:t>
      </w:r>
    </w:p>
    <w:p w14:paraId="340B789E" w14:textId="77777777" w:rsidR="00CB074D" w:rsidRPr="004E4188" w:rsidRDefault="00CB074D"/>
    <w:p w14:paraId="371F0503" w14:textId="5ADB4535" w:rsidR="007D1CCE" w:rsidRPr="004E4188" w:rsidRDefault="00BD2862" w:rsidP="000F58FE">
      <w:r w:rsidRPr="004E4188">
        <w:t xml:space="preserve">Le présent Dossier </w:t>
      </w:r>
      <w:r w:rsidRPr="004E4188">
        <w:rPr>
          <w:lang w:eastAsia="ja-JP"/>
        </w:rPr>
        <w:t>Standard</w:t>
      </w:r>
      <w:r w:rsidRPr="004E4188">
        <w:t xml:space="preserve"> </w:t>
      </w:r>
      <w:r w:rsidR="00385950" w:rsidRPr="004E4188">
        <w:t>d’Appel d’Offres pour la passation</w:t>
      </w:r>
      <w:r w:rsidRPr="004E4188">
        <w:t xml:space="preserve"> de marchés de </w:t>
      </w:r>
      <w:r w:rsidR="007D1CCE" w:rsidRPr="004E4188">
        <w:t>Conception, Fourn</w:t>
      </w:r>
      <w:r w:rsidR="00D5470E" w:rsidRPr="004E4188">
        <w:t>iture et Montage d’</w:t>
      </w:r>
      <w:r w:rsidR="00BF2E15" w:rsidRPr="004E4188">
        <w:rPr>
          <w:szCs w:val="24"/>
        </w:rPr>
        <w:t>É</w:t>
      </w:r>
      <w:r w:rsidR="00D5470E" w:rsidRPr="004E4188">
        <w:t>quipement</w:t>
      </w:r>
      <w:r w:rsidR="002116FB" w:rsidRPr="004E4188">
        <w:t>s</w:t>
      </w:r>
      <w:r w:rsidR="007D1CCE" w:rsidRPr="004E4188">
        <w:t xml:space="preserve"> (D</w:t>
      </w:r>
      <w:r w:rsidR="007D1CCE" w:rsidRPr="004E4188">
        <w:rPr>
          <w:lang w:eastAsia="ja-JP"/>
        </w:rPr>
        <w:t>S</w:t>
      </w:r>
      <w:r w:rsidR="007D1CCE" w:rsidRPr="004E4188">
        <w:t>AO</w:t>
      </w:r>
      <w:r w:rsidR="00D5470E" w:rsidRPr="004E4188">
        <w:t xml:space="preserve"> (</w:t>
      </w:r>
      <w:r w:rsidR="00BF2E15" w:rsidRPr="004E4188">
        <w:rPr>
          <w:szCs w:val="24"/>
        </w:rPr>
        <w:t>É</w:t>
      </w:r>
      <w:r w:rsidR="00D5470E" w:rsidRPr="004E4188">
        <w:t>quipements)</w:t>
      </w:r>
      <w:r w:rsidR="007D1CCE" w:rsidRPr="004E4188">
        <w:t xml:space="preserve">) </w:t>
      </w:r>
      <w:r w:rsidRPr="004E4188">
        <w:t>comprend les procédures d’appel d’offres à une</w:t>
      </w:r>
      <w:r w:rsidR="007D1CCE" w:rsidRPr="004E4188">
        <w:t xml:space="preserve"> étape-deux</w:t>
      </w:r>
      <w:r w:rsidRPr="004E4188">
        <w:t xml:space="preserve"> enveloppe</w:t>
      </w:r>
      <w:r w:rsidR="007D1CCE" w:rsidRPr="004E4188">
        <w:t>s</w:t>
      </w:r>
      <w:r w:rsidRPr="004E4188">
        <w:t xml:space="preserve"> (Option A) et à deux</w:t>
      </w:r>
      <w:r w:rsidR="007D1CCE" w:rsidRPr="004E4188">
        <w:t xml:space="preserve"> étapes-une enveloppe</w:t>
      </w:r>
      <w:r w:rsidRPr="004E4188">
        <w:t xml:space="preserve"> (Option B). Le Maître d’</w:t>
      </w:r>
      <w:r w:rsidR="00CB50EC" w:rsidRPr="004E4188">
        <w:t>o</w:t>
      </w:r>
      <w:r w:rsidRPr="004E4188">
        <w:t>uvrage choisira la procédure la mieux adaptée à chaque circonstance</w:t>
      </w:r>
      <w:r w:rsidR="007D1CCE" w:rsidRPr="004E4188">
        <w:t>.</w:t>
      </w:r>
    </w:p>
    <w:p w14:paraId="3C102619" w14:textId="4160902E" w:rsidR="00CB074D" w:rsidRPr="004E4188" w:rsidRDefault="00D5470E" w:rsidP="00145DDE">
      <w:pPr>
        <w:spacing w:afterLines="150" w:after="360"/>
      </w:pPr>
      <w:r w:rsidRPr="004E4188">
        <w:t>Le présent DSAO (</w:t>
      </w:r>
      <w:r w:rsidR="00BF2E15" w:rsidRPr="004E4188">
        <w:rPr>
          <w:szCs w:val="24"/>
        </w:rPr>
        <w:t>É</w:t>
      </w:r>
      <w:r w:rsidRPr="004E4188">
        <w:t xml:space="preserve">quipements) </w:t>
      </w:r>
      <w:r w:rsidR="00CB50EC" w:rsidRPr="004E4188">
        <w:t xml:space="preserve">est applicable soit lorsqu’une préqualification a eu lieu préalablement à l’appel d’offres </w:t>
      </w:r>
      <w:r w:rsidR="009E2DFC" w:rsidRPr="004E4188">
        <w:t xml:space="preserve">ou sans qu’une telle procédure </w:t>
      </w:r>
      <w:r w:rsidR="00CB50EC" w:rsidRPr="004E4188">
        <w:t>ait été conduite</w:t>
      </w:r>
      <w:r w:rsidR="007C10BA" w:rsidRPr="004E4188">
        <w:t xml:space="preserve">. </w:t>
      </w:r>
      <w:r w:rsidR="00CB074D" w:rsidRPr="004E4188">
        <w:t>Une brève description de ce document figure ci-après.</w:t>
      </w:r>
    </w:p>
    <w:p w14:paraId="17CFA0A6" w14:textId="799CE7B1" w:rsidR="00CA3C78" w:rsidRPr="004E4188" w:rsidRDefault="007A0FDC" w:rsidP="00145DDE">
      <w:pPr>
        <w:spacing w:afterLines="150" w:after="360"/>
        <w:rPr>
          <w:b/>
        </w:rPr>
      </w:pPr>
      <w:r w:rsidRPr="004E4188">
        <w:rPr>
          <w:b/>
        </w:rPr>
        <w:t>Il est à noter que dans le présent document</w:t>
      </w:r>
      <w:r w:rsidR="006F535C" w:rsidRPr="004E4188">
        <w:rPr>
          <w:rFonts w:hint="eastAsia"/>
          <w:b/>
        </w:rPr>
        <w:t>, les termes</w:t>
      </w:r>
      <w:r w:rsidRPr="004E4188">
        <w:rPr>
          <w:b/>
        </w:rPr>
        <w:t xml:space="preserve"> </w:t>
      </w:r>
      <w:r w:rsidR="002244C1" w:rsidRPr="004E4188">
        <w:rPr>
          <w:b/>
        </w:rPr>
        <w:t>« Installations »</w:t>
      </w:r>
      <w:r w:rsidR="002244C1" w:rsidRPr="004E4188">
        <w:rPr>
          <w:b/>
          <w:lang w:eastAsia="ja-JP"/>
        </w:rPr>
        <w:t xml:space="preserve"> et « </w:t>
      </w:r>
      <w:r w:rsidR="00BF2E15" w:rsidRPr="004E4188">
        <w:rPr>
          <w:b/>
          <w:szCs w:val="24"/>
        </w:rPr>
        <w:t>É</w:t>
      </w:r>
      <w:r w:rsidR="00586B37" w:rsidRPr="004E4188">
        <w:rPr>
          <w:b/>
          <w:lang w:eastAsia="ja-JP"/>
        </w:rPr>
        <w:t>quipements et S</w:t>
      </w:r>
      <w:r w:rsidR="002244C1" w:rsidRPr="004E4188">
        <w:rPr>
          <w:b/>
          <w:lang w:eastAsia="ja-JP"/>
        </w:rPr>
        <w:t xml:space="preserve">ervices de </w:t>
      </w:r>
      <w:r w:rsidR="00586B37" w:rsidRPr="004E4188">
        <w:rPr>
          <w:b/>
          <w:lang w:eastAsia="ja-JP"/>
        </w:rPr>
        <w:t>montage » s</w:t>
      </w:r>
      <w:r w:rsidRPr="004E4188">
        <w:rPr>
          <w:b/>
        </w:rPr>
        <w:t>ont synonymes d</w:t>
      </w:r>
      <w:r w:rsidR="006F535C" w:rsidRPr="004E4188">
        <w:rPr>
          <w:b/>
        </w:rPr>
        <w:t xml:space="preserve">u terme « Conception, </w:t>
      </w:r>
      <w:r w:rsidR="008A54CF" w:rsidRPr="004E4188">
        <w:rPr>
          <w:b/>
        </w:rPr>
        <w:t>f</w:t>
      </w:r>
      <w:r w:rsidR="006F535C" w:rsidRPr="004E4188">
        <w:rPr>
          <w:b/>
        </w:rPr>
        <w:t xml:space="preserve">ourniture et </w:t>
      </w:r>
      <w:r w:rsidR="008A54CF" w:rsidRPr="004E4188">
        <w:rPr>
          <w:b/>
        </w:rPr>
        <w:t>m</w:t>
      </w:r>
      <w:r w:rsidR="006F535C" w:rsidRPr="004E4188">
        <w:rPr>
          <w:b/>
        </w:rPr>
        <w:t>ontage d</w:t>
      </w:r>
      <w:r w:rsidR="00663384" w:rsidRPr="004E4188">
        <w:rPr>
          <w:b/>
        </w:rPr>
        <w:t>’</w:t>
      </w:r>
      <w:r w:rsidR="00931095" w:rsidRPr="004E4188">
        <w:rPr>
          <w:b/>
          <w:szCs w:val="24"/>
        </w:rPr>
        <w:t>é</w:t>
      </w:r>
      <w:r w:rsidR="006F535C" w:rsidRPr="004E4188">
        <w:rPr>
          <w:b/>
        </w:rPr>
        <w:t>quipements ».</w:t>
      </w:r>
    </w:p>
    <w:p w14:paraId="52925709" w14:textId="30880004" w:rsidR="00CB074D" w:rsidRPr="004E4188" w:rsidRDefault="00CB074D" w:rsidP="004E7317">
      <w:pPr>
        <w:jc w:val="center"/>
        <w:rPr>
          <w:b/>
          <w:sz w:val="40"/>
          <w:szCs w:val="40"/>
        </w:rPr>
      </w:pPr>
      <w:bookmarkStart w:id="0" w:name="_Toc494778662"/>
      <w:r w:rsidRPr="004E4188">
        <w:rPr>
          <w:b/>
          <w:sz w:val="40"/>
          <w:szCs w:val="40"/>
        </w:rPr>
        <w:t xml:space="preserve">Dossier </w:t>
      </w:r>
      <w:r w:rsidR="007C10BA" w:rsidRPr="004E4188">
        <w:rPr>
          <w:b/>
          <w:sz w:val="40"/>
          <w:szCs w:val="40"/>
        </w:rPr>
        <w:t xml:space="preserve">Standard </w:t>
      </w:r>
      <w:r w:rsidRPr="004E4188">
        <w:rPr>
          <w:b/>
          <w:sz w:val="40"/>
          <w:szCs w:val="40"/>
        </w:rPr>
        <w:t>d’</w:t>
      </w:r>
      <w:r w:rsidR="007C10BA" w:rsidRPr="004E4188">
        <w:rPr>
          <w:b/>
          <w:sz w:val="40"/>
          <w:szCs w:val="40"/>
        </w:rPr>
        <w:t>A</w:t>
      </w:r>
      <w:r w:rsidRPr="004E4188">
        <w:rPr>
          <w:b/>
          <w:sz w:val="40"/>
          <w:szCs w:val="40"/>
        </w:rPr>
        <w:t>ppel d’</w:t>
      </w:r>
      <w:r w:rsidR="007C10BA" w:rsidRPr="004E4188">
        <w:rPr>
          <w:b/>
          <w:sz w:val="40"/>
          <w:szCs w:val="40"/>
        </w:rPr>
        <w:t>O</w:t>
      </w:r>
      <w:r w:rsidRPr="004E4188">
        <w:rPr>
          <w:b/>
          <w:sz w:val="40"/>
          <w:szCs w:val="40"/>
        </w:rPr>
        <w:t xml:space="preserve">ffres pour la passation de marchés de </w:t>
      </w:r>
      <w:bookmarkStart w:id="1" w:name="_Toc438270254"/>
      <w:bookmarkStart w:id="2" w:name="_Toc438366661"/>
      <w:bookmarkEnd w:id="0"/>
      <w:r w:rsidR="007D1CCE" w:rsidRPr="004E4188">
        <w:rPr>
          <w:b/>
          <w:sz w:val="40"/>
          <w:szCs w:val="40"/>
        </w:rPr>
        <w:t>Conception, Four</w:t>
      </w:r>
      <w:r w:rsidR="00D5470E" w:rsidRPr="004E4188">
        <w:rPr>
          <w:b/>
          <w:sz w:val="40"/>
          <w:szCs w:val="40"/>
        </w:rPr>
        <w:t>niture et Montage d’</w:t>
      </w:r>
      <w:r w:rsidR="00BF2E15" w:rsidRPr="004E4188">
        <w:rPr>
          <w:b/>
          <w:sz w:val="40"/>
          <w:szCs w:val="40"/>
        </w:rPr>
        <w:t>É</w:t>
      </w:r>
      <w:r w:rsidR="00D5470E" w:rsidRPr="004E4188">
        <w:rPr>
          <w:b/>
          <w:sz w:val="40"/>
          <w:szCs w:val="40"/>
        </w:rPr>
        <w:t>quipement</w:t>
      </w:r>
      <w:r w:rsidR="007D1CCE" w:rsidRPr="004E4188">
        <w:rPr>
          <w:b/>
          <w:sz w:val="40"/>
          <w:szCs w:val="40"/>
        </w:rPr>
        <w:t>s</w:t>
      </w:r>
    </w:p>
    <w:p w14:paraId="5321D8D3" w14:textId="77777777" w:rsidR="00CB074D" w:rsidRPr="004E4188" w:rsidRDefault="00CB074D" w:rsidP="00F73E6C">
      <w:pPr>
        <w:spacing w:after="200"/>
        <w:rPr>
          <w:b/>
          <w:sz w:val="28"/>
          <w:u w:val="single"/>
        </w:rPr>
      </w:pPr>
    </w:p>
    <w:p w14:paraId="5487E759" w14:textId="77777777" w:rsidR="00CB074D" w:rsidRPr="004E4188" w:rsidRDefault="007C10BA" w:rsidP="007C10BA">
      <w:pPr>
        <w:spacing w:after="120"/>
        <w:rPr>
          <w:b/>
          <w:szCs w:val="24"/>
        </w:rPr>
      </w:pPr>
      <w:r w:rsidRPr="004E4188">
        <w:rPr>
          <w:b/>
          <w:szCs w:val="24"/>
        </w:rPr>
        <w:t>Avis d’appel d’offres (AAO)</w:t>
      </w:r>
    </w:p>
    <w:p w14:paraId="7CC33338" w14:textId="27BD9D3E" w:rsidR="007C10BA" w:rsidRPr="004E4188" w:rsidRDefault="005A2F7B" w:rsidP="00742725">
      <w:pPr>
        <w:spacing w:before="120" w:after="240"/>
        <w:ind w:leftChars="563" w:left="1351"/>
      </w:pPr>
      <w:r w:rsidRPr="004E4188">
        <w:rPr>
          <w:szCs w:val="24"/>
        </w:rPr>
        <w:t xml:space="preserve">Un </w:t>
      </w:r>
      <w:r w:rsidR="007C10BA" w:rsidRPr="004E4188">
        <w:rPr>
          <w:szCs w:val="24"/>
        </w:rPr>
        <w:t xml:space="preserve">modèle d’Avis d’appel d’offres </w:t>
      </w:r>
      <w:r w:rsidRPr="004E4188">
        <w:t xml:space="preserve">est </w:t>
      </w:r>
      <w:r w:rsidR="007C10BA" w:rsidRPr="004E4188">
        <w:t>fourni au début d</w:t>
      </w:r>
      <w:r w:rsidR="000D004A" w:rsidRPr="004E4188">
        <w:t xml:space="preserve">e ce DSAO </w:t>
      </w:r>
      <w:r w:rsidR="00954905" w:rsidRPr="004E4188">
        <w:t>(</w:t>
      </w:r>
      <w:r w:rsidR="00663384" w:rsidRPr="004E4188">
        <w:rPr>
          <w:szCs w:val="24"/>
        </w:rPr>
        <w:t>É</w:t>
      </w:r>
      <w:r w:rsidR="00954905" w:rsidRPr="004E4188">
        <w:t>quipements)</w:t>
      </w:r>
      <w:r w:rsidR="007C10BA" w:rsidRPr="004E4188">
        <w:t>.</w:t>
      </w:r>
    </w:p>
    <w:p w14:paraId="6790EF24" w14:textId="77777777" w:rsidR="007C10BA" w:rsidRPr="004E4188" w:rsidRDefault="007C10BA">
      <w:pPr>
        <w:rPr>
          <w:b/>
          <w:sz w:val="28"/>
          <w:u w:val="single"/>
        </w:rPr>
      </w:pPr>
    </w:p>
    <w:p w14:paraId="3E332566" w14:textId="26B13991" w:rsidR="00107358" w:rsidRPr="004E4188" w:rsidRDefault="00CB074D" w:rsidP="000F58FE">
      <w:pPr>
        <w:spacing w:after="360"/>
        <w:rPr>
          <w:b/>
          <w:sz w:val="28"/>
          <w:lang w:eastAsia="ja-JP"/>
        </w:rPr>
      </w:pPr>
      <w:r w:rsidRPr="004E4188">
        <w:rPr>
          <w:b/>
          <w:sz w:val="28"/>
        </w:rPr>
        <w:t>PREMIÈRE PARTIE –</w:t>
      </w:r>
      <w:r w:rsidR="007C10BA" w:rsidRPr="004E4188">
        <w:rPr>
          <w:b/>
          <w:sz w:val="28"/>
        </w:rPr>
        <w:t xml:space="preserve"> </w:t>
      </w:r>
      <w:r w:rsidRPr="004E4188">
        <w:rPr>
          <w:b/>
          <w:sz w:val="28"/>
        </w:rPr>
        <w:t>PROCÉDURES</w:t>
      </w:r>
      <w:bookmarkEnd w:id="1"/>
      <w:bookmarkEnd w:id="2"/>
      <w:r w:rsidRPr="004E4188">
        <w:rPr>
          <w:b/>
          <w:sz w:val="28"/>
        </w:rPr>
        <w:t xml:space="preserve"> D’APPEL D’OFFRES</w:t>
      </w:r>
    </w:p>
    <w:p w14:paraId="4B2E946B" w14:textId="77777777" w:rsidR="00CB074D" w:rsidRPr="004E4188" w:rsidRDefault="008A09A6" w:rsidP="00F776B5">
      <w:pPr>
        <w:pStyle w:val="Outline"/>
        <w:spacing w:before="0" w:afterLines="150" w:after="360"/>
        <w:ind w:left="1205" w:hangingChars="500" w:hanging="1205"/>
        <w:rPr>
          <w:kern w:val="0"/>
        </w:rPr>
      </w:pPr>
      <w:r w:rsidRPr="004E4188">
        <w:rPr>
          <w:b/>
        </w:rPr>
        <w:t xml:space="preserve">Option A </w:t>
      </w:r>
      <w:r w:rsidR="000D004A" w:rsidRPr="004E4188">
        <w:rPr>
          <w:b/>
        </w:rPr>
        <w:t>– Appel d’offres à une étape-deux enveloppes</w:t>
      </w:r>
    </w:p>
    <w:p w14:paraId="5500A8F5" w14:textId="77777777" w:rsidR="00CB074D" w:rsidRPr="004E4188" w:rsidRDefault="00CB074D" w:rsidP="00742725">
      <w:pPr>
        <w:tabs>
          <w:tab w:val="left" w:pos="1350"/>
        </w:tabs>
        <w:rPr>
          <w:b/>
        </w:rPr>
      </w:pPr>
      <w:r w:rsidRPr="004E4188">
        <w:rPr>
          <w:b/>
        </w:rPr>
        <w:t>Section I.</w:t>
      </w:r>
      <w:r w:rsidRPr="004E4188">
        <w:rPr>
          <w:b/>
        </w:rPr>
        <w:tab/>
        <w:t>Instructions aux soumissionnaires (IS)</w:t>
      </w:r>
    </w:p>
    <w:p w14:paraId="155EA1EA" w14:textId="3E02A86E" w:rsidR="00CB074D" w:rsidRPr="004E4188" w:rsidRDefault="00CB074D" w:rsidP="00742725">
      <w:pPr>
        <w:spacing w:before="120" w:after="240"/>
        <w:ind w:leftChars="563" w:left="1351"/>
        <w:rPr>
          <w:b/>
        </w:rPr>
      </w:pPr>
      <w:r w:rsidRPr="004E4188">
        <w:t xml:space="preserve">Cette </w:t>
      </w:r>
      <w:r w:rsidR="001E39E1" w:rsidRPr="004E4188">
        <w:t>s</w:t>
      </w:r>
      <w:r w:rsidRPr="004E4188">
        <w:t xml:space="preserve">ection </w:t>
      </w:r>
      <w:r w:rsidR="00983016" w:rsidRPr="004E4188">
        <w:t>indique les procédures à suivre par les Soumissionnaires lors de la préparation et de la soumission de leurs offres technique et financière</w:t>
      </w:r>
      <w:r w:rsidRPr="004E4188">
        <w:t xml:space="preserve">. Elle comporte </w:t>
      </w:r>
      <w:r w:rsidR="002B57DC" w:rsidRPr="004E4188">
        <w:t>également</w:t>
      </w:r>
      <w:r w:rsidRPr="004E4188">
        <w:t xml:space="preserve"> des renseignements sur l’ouverture et l’évaluation des offres, et sur l’attribution </w:t>
      </w:r>
      <w:r w:rsidR="003A4268" w:rsidRPr="004E4188">
        <w:t xml:space="preserve">du </w:t>
      </w:r>
      <w:r w:rsidR="002E5851" w:rsidRPr="004E4188">
        <w:t>M</w:t>
      </w:r>
      <w:r w:rsidRPr="004E4188">
        <w:t>arché.</w:t>
      </w:r>
      <w:r w:rsidRPr="004E4188">
        <w:rPr>
          <w:b/>
        </w:rPr>
        <w:t xml:space="preserve"> Les dispositions figurant dans cette Section I ne doivent pas être modifiées.</w:t>
      </w:r>
    </w:p>
    <w:p w14:paraId="6A76387D" w14:textId="77777777" w:rsidR="00CB074D" w:rsidRPr="004E4188" w:rsidRDefault="00CB074D">
      <w:pPr>
        <w:tabs>
          <w:tab w:val="left" w:pos="1350"/>
        </w:tabs>
        <w:rPr>
          <w:b/>
        </w:rPr>
      </w:pPr>
      <w:bookmarkStart w:id="3" w:name="_Toc494778663"/>
      <w:bookmarkStart w:id="4" w:name="_Toc499607131"/>
      <w:bookmarkStart w:id="5" w:name="_Toc499608184"/>
      <w:r w:rsidRPr="004E4188">
        <w:rPr>
          <w:b/>
        </w:rPr>
        <w:t>Section II.</w:t>
      </w:r>
      <w:r w:rsidRPr="004E4188">
        <w:rPr>
          <w:b/>
        </w:rPr>
        <w:tab/>
        <w:t>Données particulières</w:t>
      </w:r>
      <w:bookmarkEnd w:id="3"/>
      <w:bookmarkEnd w:id="4"/>
      <w:bookmarkEnd w:id="5"/>
      <w:r w:rsidRPr="004E4188">
        <w:rPr>
          <w:b/>
        </w:rPr>
        <w:t xml:space="preserve"> (DP)</w:t>
      </w:r>
    </w:p>
    <w:p w14:paraId="5462133D" w14:textId="3389AFA1" w:rsidR="00CB074D" w:rsidRPr="004E4188" w:rsidRDefault="00CB074D" w:rsidP="00742725">
      <w:pPr>
        <w:spacing w:before="120" w:after="240"/>
        <w:ind w:leftChars="563" w:left="1351"/>
      </w:pPr>
      <w:r w:rsidRPr="004E4188">
        <w:t xml:space="preserve">Cette </w:t>
      </w:r>
      <w:r w:rsidR="001E39E1" w:rsidRPr="004E4188">
        <w:t>s</w:t>
      </w:r>
      <w:r w:rsidRPr="004E4188">
        <w:t xml:space="preserve">ection </w:t>
      </w:r>
      <w:r w:rsidR="001607C0" w:rsidRPr="004E4188">
        <w:t xml:space="preserve">contient les informations et </w:t>
      </w:r>
      <w:r w:rsidRPr="004E4188">
        <w:t xml:space="preserve">les dispositions </w:t>
      </w:r>
      <w:r w:rsidR="001E39E1" w:rsidRPr="004E4188">
        <w:t xml:space="preserve">spécifiques </w:t>
      </w:r>
      <w:r w:rsidRPr="004E4188">
        <w:t>à chaque passation de marché</w:t>
      </w:r>
      <w:r w:rsidR="003A4268" w:rsidRPr="004E4188">
        <w:t xml:space="preserve"> </w:t>
      </w:r>
      <w:r w:rsidRPr="004E4188">
        <w:t xml:space="preserve">qui complètent la Section I, Instructions aux soumissionnaires. </w:t>
      </w:r>
    </w:p>
    <w:p w14:paraId="5188E05A" w14:textId="1E8663A9" w:rsidR="00145DDE" w:rsidRPr="004E4188" w:rsidRDefault="00145DDE" w:rsidP="00145DDE">
      <w:pPr>
        <w:tabs>
          <w:tab w:val="left" w:pos="1350"/>
        </w:tabs>
        <w:rPr>
          <w:b/>
        </w:rPr>
      </w:pPr>
      <w:r w:rsidRPr="004E4188">
        <w:rPr>
          <w:b/>
        </w:rPr>
        <w:t>Section III.</w:t>
      </w:r>
      <w:r w:rsidRPr="004E4188">
        <w:rPr>
          <w:b/>
        </w:rPr>
        <w:tab/>
        <w:t>Critères d’évaluation et de qualification</w:t>
      </w:r>
      <w:r w:rsidR="005015D2" w:rsidRPr="004E4188">
        <w:rPr>
          <w:b/>
        </w:rPr>
        <w:t xml:space="preserve"> (CEQ)</w:t>
      </w:r>
    </w:p>
    <w:p w14:paraId="0B13CAB2" w14:textId="5D2E1A71" w:rsidR="00145DDE" w:rsidRPr="004E4188" w:rsidRDefault="00145DDE" w:rsidP="00742725">
      <w:pPr>
        <w:spacing w:before="120" w:after="240"/>
        <w:ind w:leftChars="563" w:left="1351"/>
      </w:pPr>
      <w:r w:rsidRPr="004E4188">
        <w:t>Cette section indique les critères utilisés pour déterminer l’offre évaluée la moins-disante et pour établir si le Soumissionnaire possède les qualifications nécessaires pour exécuter le Marché. Deux versions alternatives de la Section III, Critères d’évaluation et de qualification, sont fournies pour répondre aux cas de passations de marchés</w:t>
      </w:r>
      <w:r w:rsidR="00177C69" w:rsidRPr="004E4188">
        <w:t xml:space="preserve"> où les Soumissionnaires ont été préqualifiés </w:t>
      </w:r>
      <w:r w:rsidR="0085755D" w:rsidRPr="004E4188">
        <w:t>ou pas</w:t>
      </w:r>
      <w:r w:rsidR="00D2209C" w:rsidRPr="004E4188">
        <w:rPr>
          <w:rFonts w:hint="eastAsia"/>
        </w:rPr>
        <w:t xml:space="preserve"> </w:t>
      </w:r>
      <w:r w:rsidR="00380F16" w:rsidRPr="004E4188">
        <w:t>avant la procédure d’appel d’offres</w:t>
      </w:r>
      <w:r w:rsidR="00EE7EF9" w:rsidRPr="004E4188">
        <w:t>.</w:t>
      </w:r>
    </w:p>
    <w:p w14:paraId="4662AF2D" w14:textId="77777777" w:rsidR="00474B4F" w:rsidRPr="004E4188" w:rsidRDefault="001E39E1" w:rsidP="00474B4F">
      <w:pPr>
        <w:rPr>
          <w:b/>
          <w:lang w:eastAsia="ja-JP"/>
        </w:rPr>
      </w:pPr>
      <w:r w:rsidRPr="004E4188">
        <w:rPr>
          <w:b/>
        </w:rPr>
        <w:t>Option B – Appel d’offres à deux</w:t>
      </w:r>
      <w:r w:rsidR="00EE7EF9" w:rsidRPr="004E4188">
        <w:rPr>
          <w:b/>
        </w:rPr>
        <w:t xml:space="preserve"> étapes-une enveloppe</w:t>
      </w:r>
      <w:r w:rsidR="00474B4F" w:rsidRPr="004E4188">
        <w:rPr>
          <w:b/>
        </w:rPr>
        <w:t xml:space="preserve"> </w:t>
      </w:r>
      <w:r w:rsidR="00474B4F" w:rsidRPr="004E4188">
        <w:rPr>
          <w:b/>
          <w:lang w:eastAsia="ja-JP"/>
        </w:rPr>
        <w:t>(Les Sections I, II et III de l’Option B ne sont pas incluses dans l’édition imprimée</w:t>
      </w:r>
      <w:r w:rsidR="00474B4F" w:rsidRPr="004E4188">
        <w:rPr>
          <w:rFonts w:hint="eastAsia"/>
          <w:b/>
          <w:lang w:eastAsia="ja-JP"/>
        </w:rPr>
        <w:t xml:space="preserve"> </w:t>
      </w:r>
      <w:r w:rsidR="00474B4F" w:rsidRPr="004E4188">
        <w:rPr>
          <w:b/>
          <w:lang w:eastAsia="ja-JP"/>
        </w:rPr>
        <w:t>du Dossier Standard d’Appel d’Offres. Des copies peuvent être obtenues sur le site Web de la JICA.</w:t>
      </w:r>
    </w:p>
    <w:p w14:paraId="1153B4A8" w14:textId="52E73A8C" w:rsidR="001E39E1" w:rsidRPr="004E4188" w:rsidRDefault="00474B4F" w:rsidP="00B62766">
      <w:pPr>
        <w:pStyle w:val="af4"/>
        <w:spacing w:before="0" w:after="360"/>
        <w:ind w:left="0"/>
        <w:rPr>
          <w:lang w:val="fr-FR"/>
        </w:rPr>
      </w:pPr>
      <w:r w:rsidRPr="004E4188">
        <w:rPr>
          <w:b/>
          <w:lang w:val="fr-FR" w:eastAsia="ja-JP"/>
        </w:rPr>
        <w:t>www.jica.go.jp/english/our_work/types_of_assistance/oda_loans/oda_op_info/guide/tender/index.html)</w:t>
      </w:r>
    </w:p>
    <w:p w14:paraId="53464807" w14:textId="77777777" w:rsidR="001E39E1" w:rsidRPr="004E4188" w:rsidRDefault="001E39E1" w:rsidP="001E39E1">
      <w:pPr>
        <w:tabs>
          <w:tab w:val="left" w:pos="1350"/>
        </w:tabs>
        <w:rPr>
          <w:b/>
        </w:rPr>
      </w:pPr>
      <w:r w:rsidRPr="004E4188">
        <w:rPr>
          <w:b/>
        </w:rPr>
        <w:t>Section I.</w:t>
      </w:r>
      <w:r w:rsidRPr="004E4188">
        <w:rPr>
          <w:b/>
        </w:rPr>
        <w:tab/>
        <w:t>Instructions aux soumissionnaires (IS)</w:t>
      </w:r>
    </w:p>
    <w:p w14:paraId="4A461AD2" w14:textId="7F755C6B" w:rsidR="001E39E1" w:rsidRPr="004E4188" w:rsidRDefault="001E39E1" w:rsidP="00742725">
      <w:pPr>
        <w:spacing w:before="120" w:after="240"/>
        <w:ind w:leftChars="563" w:left="1351"/>
        <w:rPr>
          <w:b/>
        </w:rPr>
      </w:pPr>
      <w:r w:rsidRPr="004E4188">
        <w:t xml:space="preserve">Cette section </w:t>
      </w:r>
      <w:r w:rsidR="00103535" w:rsidRPr="004E4188">
        <w:t>indique les procédures à suivre par les Soumissionnaires lors de la préparation et de la soumission de leurs offres</w:t>
      </w:r>
      <w:r w:rsidR="00392840" w:rsidRPr="004E4188">
        <w:t>. Elle comporte également</w:t>
      </w:r>
      <w:r w:rsidRPr="004E4188">
        <w:t xml:space="preserve"> des renseignements sur l’ouverture et l’évaluation des offres, et sur l’attribution </w:t>
      </w:r>
      <w:r w:rsidR="00F61442" w:rsidRPr="004E4188">
        <w:t>du M</w:t>
      </w:r>
      <w:r w:rsidRPr="004E4188">
        <w:t>arché.</w:t>
      </w:r>
      <w:r w:rsidRPr="004E4188">
        <w:rPr>
          <w:b/>
        </w:rPr>
        <w:t xml:space="preserve"> Les dispositions figurant dans cette Section I ne doivent pas être modifiées.</w:t>
      </w:r>
    </w:p>
    <w:p w14:paraId="7E7FC1CD" w14:textId="77777777" w:rsidR="001E39E1" w:rsidRPr="004E4188" w:rsidRDefault="001E39E1" w:rsidP="001E39E1">
      <w:pPr>
        <w:tabs>
          <w:tab w:val="left" w:pos="1350"/>
        </w:tabs>
        <w:rPr>
          <w:b/>
        </w:rPr>
      </w:pPr>
      <w:r w:rsidRPr="004E4188">
        <w:rPr>
          <w:b/>
        </w:rPr>
        <w:t>Section II.</w:t>
      </w:r>
      <w:r w:rsidRPr="004E4188">
        <w:rPr>
          <w:b/>
        </w:rPr>
        <w:tab/>
        <w:t>Données particulières (DP)</w:t>
      </w:r>
    </w:p>
    <w:p w14:paraId="063ADBAC" w14:textId="6E064170" w:rsidR="001E39E1" w:rsidRPr="004E4188" w:rsidRDefault="001E39E1" w:rsidP="00742725">
      <w:pPr>
        <w:spacing w:before="120" w:after="240"/>
        <w:ind w:leftChars="563" w:left="1351"/>
      </w:pPr>
      <w:r w:rsidRPr="004E4188">
        <w:t xml:space="preserve">Cette section </w:t>
      </w:r>
      <w:r w:rsidR="00103535" w:rsidRPr="004E4188">
        <w:t xml:space="preserve">contient les informations et </w:t>
      </w:r>
      <w:r w:rsidRPr="004E4188">
        <w:t>les dispositions spécifiques à chaque passation de marché</w:t>
      </w:r>
      <w:r w:rsidR="00392840" w:rsidRPr="004E4188">
        <w:t xml:space="preserve"> qui </w:t>
      </w:r>
      <w:r w:rsidRPr="004E4188">
        <w:t>complète</w:t>
      </w:r>
      <w:r w:rsidR="00392840" w:rsidRPr="004E4188">
        <w:t>nt</w:t>
      </w:r>
      <w:r w:rsidRPr="004E4188">
        <w:t xml:space="preserve"> la Section I, Instructions aux soumissionnaires.</w:t>
      </w:r>
    </w:p>
    <w:p w14:paraId="1B0A1540" w14:textId="1C8E6630" w:rsidR="00CB074D" w:rsidRPr="004E4188" w:rsidRDefault="00CB074D">
      <w:pPr>
        <w:tabs>
          <w:tab w:val="left" w:pos="1350"/>
        </w:tabs>
        <w:rPr>
          <w:b/>
        </w:rPr>
      </w:pPr>
      <w:bookmarkStart w:id="6" w:name="_Toc494778664"/>
      <w:bookmarkStart w:id="7" w:name="_Toc499607132"/>
      <w:bookmarkStart w:id="8" w:name="_Toc499608185"/>
      <w:r w:rsidRPr="004E4188">
        <w:rPr>
          <w:b/>
        </w:rPr>
        <w:t>Section III.</w:t>
      </w:r>
      <w:r w:rsidRPr="004E4188">
        <w:rPr>
          <w:b/>
        </w:rPr>
        <w:tab/>
        <w:t>Critères d’évaluation et de qualification</w:t>
      </w:r>
      <w:bookmarkEnd w:id="6"/>
      <w:bookmarkEnd w:id="7"/>
      <w:bookmarkEnd w:id="8"/>
      <w:r w:rsidR="005209B1" w:rsidRPr="004E4188">
        <w:rPr>
          <w:b/>
        </w:rPr>
        <w:t xml:space="preserve"> (CEQ)</w:t>
      </w:r>
    </w:p>
    <w:p w14:paraId="6D1FCD8A" w14:textId="455614A0" w:rsidR="00B71BC8" w:rsidRPr="004E4188" w:rsidRDefault="00CB074D" w:rsidP="00B71BC8">
      <w:pPr>
        <w:spacing w:before="120" w:after="240"/>
        <w:ind w:leftChars="563" w:left="1351"/>
      </w:pPr>
      <w:r w:rsidRPr="004E4188">
        <w:t xml:space="preserve">Cette </w:t>
      </w:r>
      <w:r w:rsidR="00C74BCC" w:rsidRPr="004E4188">
        <w:t>s</w:t>
      </w:r>
      <w:r w:rsidRPr="004E4188">
        <w:t xml:space="preserve">ection indique les critères utilisés pour déterminer l’offre évaluée la moins-disante et pour établir si le Soumissionnaire possède les qualifications nécessaires pour exécuter le Marché. </w:t>
      </w:r>
      <w:r w:rsidR="00C74BCC" w:rsidRPr="004E4188">
        <w:t xml:space="preserve">Deux </w:t>
      </w:r>
      <w:r w:rsidR="00794152" w:rsidRPr="004E4188">
        <w:t xml:space="preserve">versions </w:t>
      </w:r>
      <w:r w:rsidR="00C74BCC" w:rsidRPr="004E4188">
        <w:t>alternatives de la Section III</w:t>
      </w:r>
      <w:r w:rsidR="00794152" w:rsidRPr="004E4188">
        <w:t>, Critères d’évaluation et de qualification,</w:t>
      </w:r>
      <w:r w:rsidR="00C74BCC" w:rsidRPr="004E4188">
        <w:t xml:space="preserve"> sont fournies</w:t>
      </w:r>
      <w:r w:rsidR="00794152" w:rsidRPr="004E4188">
        <w:t xml:space="preserve"> pour répondre aux cas de passations de marchés</w:t>
      </w:r>
      <w:r w:rsidR="00177C69" w:rsidRPr="004E4188">
        <w:t xml:space="preserve"> où les Soumissionnaires ont été préqualifiés </w:t>
      </w:r>
      <w:r w:rsidR="007841D3" w:rsidRPr="004E4188">
        <w:t>ou</w:t>
      </w:r>
      <w:r w:rsidR="00177C69" w:rsidRPr="004E4188">
        <w:t xml:space="preserve"> pas </w:t>
      </w:r>
      <w:r w:rsidR="001F4853" w:rsidRPr="004E4188">
        <w:rPr>
          <w:rFonts w:hint="eastAsia"/>
        </w:rPr>
        <w:t xml:space="preserve"> </w:t>
      </w:r>
      <w:r w:rsidR="001F4853" w:rsidRPr="004E4188">
        <w:t>avant la procédure d’appel d’offres</w:t>
      </w:r>
      <w:r w:rsidR="00794152" w:rsidRPr="004E4188">
        <w:t>.</w:t>
      </w:r>
    </w:p>
    <w:p w14:paraId="0F3BBE7C" w14:textId="77777777" w:rsidR="00B62766" w:rsidRPr="004E4188" w:rsidRDefault="00B71BC8" w:rsidP="00B71BC8">
      <w:pPr>
        <w:suppressAutoHyphens w:val="0"/>
        <w:overflowPunct/>
        <w:autoSpaceDE/>
        <w:autoSpaceDN/>
        <w:adjustRightInd/>
        <w:textAlignment w:val="auto"/>
        <w:rPr>
          <w:lang w:eastAsia="ja-JP"/>
        </w:rPr>
      </w:pPr>
      <w:r w:rsidRPr="004E4188">
        <w:rPr>
          <w:lang w:eastAsia="ja-JP"/>
        </w:rPr>
        <w:t xml:space="preserve">Les Sections IV et V ci-dessous sont aussi bien utilisées avec </w:t>
      </w:r>
      <w:r w:rsidRPr="004E4188">
        <w:rPr>
          <w:b/>
          <w:lang w:eastAsia="ja-JP"/>
        </w:rPr>
        <w:t>l’Option A – Appel d’offres à une étape-deux enveloppes</w:t>
      </w:r>
      <w:r w:rsidRPr="004E4188">
        <w:rPr>
          <w:lang w:eastAsia="ja-JP"/>
        </w:rPr>
        <w:t xml:space="preserve"> ou </w:t>
      </w:r>
      <w:r w:rsidRPr="004E4188">
        <w:rPr>
          <w:b/>
          <w:lang w:eastAsia="ja-JP"/>
        </w:rPr>
        <w:t>l’Option B – Appel d’offres à deux étapes-une enveloppe</w:t>
      </w:r>
      <w:r w:rsidRPr="004E4188">
        <w:rPr>
          <w:lang w:eastAsia="ja-JP"/>
        </w:rPr>
        <w:t>.</w:t>
      </w:r>
    </w:p>
    <w:p w14:paraId="79C4D1B7" w14:textId="77777777" w:rsidR="00B71BC8" w:rsidRPr="004E4188" w:rsidRDefault="00B71BC8" w:rsidP="00B71BC8">
      <w:pPr>
        <w:suppressAutoHyphens w:val="0"/>
        <w:overflowPunct/>
        <w:autoSpaceDE/>
        <w:autoSpaceDN/>
        <w:adjustRightInd/>
        <w:textAlignment w:val="auto"/>
        <w:rPr>
          <w:lang w:eastAsia="ja-JP"/>
        </w:rPr>
      </w:pPr>
    </w:p>
    <w:p w14:paraId="1BF90A18" w14:textId="77777777" w:rsidR="00CB074D" w:rsidRPr="004E4188" w:rsidRDefault="00CB074D">
      <w:pPr>
        <w:tabs>
          <w:tab w:val="left" w:pos="1350"/>
        </w:tabs>
        <w:rPr>
          <w:b/>
        </w:rPr>
      </w:pPr>
      <w:bookmarkStart w:id="9" w:name="_Toc494778665"/>
      <w:bookmarkStart w:id="10" w:name="_Toc499607133"/>
      <w:bookmarkStart w:id="11" w:name="_Toc499608186"/>
      <w:r w:rsidRPr="004E4188">
        <w:rPr>
          <w:b/>
        </w:rPr>
        <w:t>Section IV.</w:t>
      </w:r>
      <w:r w:rsidRPr="004E4188">
        <w:rPr>
          <w:b/>
        </w:rPr>
        <w:tab/>
        <w:t>Formulaires de soumission</w:t>
      </w:r>
      <w:bookmarkEnd w:id="9"/>
      <w:bookmarkEnd w:id="10"/>
      <w:bookmarkEnd w:id="11"/>
    </w:p>
    <w:p w14:paraId="3C04F9BC" w14:textId="77059D0B" w:rsidR="00CB074D" w:rsidRPr="004E4188" w:rsidRDefault="00CB074D" w:rsidP="00742725">
      <w:pPr>
        <w:spacing w:before="120" w:after="240"/>
        <w:ind w:leftChars="563" w:left="1351"/>
      </w:pPr>
      <w:r w:rsidRPr="004E4188">
        <w:t xml:space="preserve">Cette </w:t>
      </w:r>
      <w:r w:rsidR="00794152" w:rsidRPr="004E4188">
        <w:t>s</w:t>
      </w:r>
      <w:r w:rsidRPr="004E4188">
        <w:t>ection co</w:t>
      </w:r>
      <w:r w:rsidR="00794152" w:rsidRPr="004E4188">
        <w:t>mprend</w:t>
      </w:r>
      <w:r w:rsidRPr="004E4188">
        <w:t xml:space="preserve"> les formulaires </w:t>
      </w:r>
      <w:r w:rsidR="00794152" w:rsidRPr="004E4188">
        <w:t>qui doivent être complétés par les S</w:t>
      </w:r>
      <w:r w:rsidRPr="004E4188">
        <w:t xml:space="preserve">oumissionnaires </w:t>
      </w:r>
      <w:r w:rsidR="00794152" w:rsidRPr="004E4188">
        <w:t xml:space="preserve">et remis avec </w:t>
      </w:r>
      <w:r w:rsidR="00B71BC8" w:rsidRPr="004E4188">
        <w:t>leur</w:t>
      </w:r>
      <w:r w:rsidR="00CE52B8" w:rsidRPr="004E4188">
        <w:rPr>
          <w:rFonts w:hint="eastAsia"/>
        </w:rPr>
        <w:t xml:space="preserve"> </w:t>
      </w:r>
      <w:r w:rsidR="00186AF7" w:rsidRPr="004E4188">
        <w:t>o</w:t>
      </w:r>
      <w:r w:rsidR="00A835F9" w:rsidRPr="004E4188">
        <w:t>ffre</w:t>
      </w:r>
      <w:r w:rsidRPr="004E4188">
        <w:t xml:space="preserve">. </w:t>
      </w:r>
    </w:p>
    <w:p w14:paraId="25ED71EC" w14:textId="77777777" w:rsidR="00CB074D" w:rsidRPr="004E4188" w:rsidRDefault="00CB074D">
      <w:pPr>
        <w:tabs>
          <w:tab w:val="left" w:pos="1350"/>
        </w:tabs>
        <w:rPr>
          <w:b/>
        </w:rPr>
      </w:pPr>
      <w:r w:rsidRPr="004E4188">
        <w:rPr>
          <w:b/>
        </w:rPr>
        <w:t>Section V.</w:t>
      </w:r>
      <w:r w:rsidRPr="004E4188">
        <w:rPr>
          <w:b/>
        </w:rPr>
        <w:tab/>
        <w:t xml:space="preserve">Pays </w:t>
      </w:r>
      <w:r w:rsidR="00A835F9" w:rsidRPr="004E4188">
        <w:rPr>
          <w:b/>
        </w:rPr>
        <w:t xml:space="preserve">d’origine </w:t>
      </w:r>
      <w:r w:rsidRPr="004E4188">
        <w:rPr>
          <w:b/>
        </w:rPr>
        <w:t>éligibles</w:t>
      </w:r>
      <w:r w:rsidR="00A835F9" w:rsidRPr="004E4188">
        <w:rPr>
          <w:b/>
        </w:rPr>
        <w:t xml:space="preserve"> des Prêts APD du Japon</w:t>
      </w:r>
    </w:p>
    <w:p w14:paraId="21382F4C" w14:textId="280159E6" w:rsidR="00CB074D" w:rsidRPr="004E4188" w:rsidRDefault="00CB074D" w:rsidP="00742725">
      <w:pPr>
        <w:spacing w:before="120" w:after="240"/>
        <w:ind w:leftChars="563" w:left="1351"/>
      </w:pPr>
      <w:r w:rsidRPr="004E4188">
        <w:t xml:space="preserve">Cette </w:t>
      </w:r>
      <w:r w:rsidR="00CD4D81" w:rsidRPr="004E4188">
        <w:t>s</w:t>
      </w:r>
      <w:r w:rsidRPr="004E4188">
        <w:t xml:space="preserve">ection contient les </w:t>
      </w:r>
      <w:r w:rsidR="00A835F9" w:rsidRPr="004E4188">
        <w:t xml:space="preserve">informations </w:t>
      </w:r>
      <w:r w:rsidR="004D0796" w:rsidRPr="004E4188">
        <w:t xml:space="preserve">et les dispositions relatives aux </w:t>
      </w:r>
      <w:r w:rsidR="00A835F9" w:rsidRPr="004E4188">
        <w:t xml:space="preserve">pays d’origine éligibles </w:t>
      </w:r>
      <w:r w:rsidR="004D0796" w:rsidRPr="004E4188">
        <w:t>applicables aux Soumissionnaires, et aux biens et services faisant l’objet du présent Marché, telles qu’elles figurent dans l’Accord de Prêt avec la JICA</w:t>
      </w:r>
      <w:r w:rsidR="00A835F9" w:rsidRPr="004E4188">
        <w:t>.</w:t>
      </w:r>
    </w:p>
    <w:p w14:paraId="28327258" w14:textId="77777777" w:rsidR="00177C69" w:rsidRPr="004E4188" w:rsidRDefault="00177C69" w:rsidP="00107358">
      <w:pPr>
        <w:suppressAutoHyphens w:val="0"/>
        <w:overflowPunct/>
        <w:autoSpaceDE/>
        <w:autoSpaceDN/>
        <w:adjustRightInd/>
        <w:jc w:val="left"/>
        <w:textAlignment w:val="auto"/>
        <w:rPr>
          <w:b/>
        </w:rPr>
      </w:pPr>
    </w:p>
    <w:p w14:paraId="325970E3" w14:textId="68D0948C" w:rsidR="00107358" w:rsidRPr="004E4188" w:rsidRDefault="00CB074D" w:rsidP="00107358">
      <w:pPr>
        <w:spacing w:after="120"/>
        <w:rPr>
          <w:b/>
        </w:rPr>
      </w:pPr>
      <w:bookmarkStart w:id="12" w:name="_Toc438267875"/>
      <w:bookmarkStart w:id="13" w:name="_Toc438270255"/>
      <w:bookmarkStart w:id="14" w:name="_Toc438366662"/>
      <w:r w:rsidRPr="004E4188">
        <w:rPr>
          <w:b/>
          <w:sz w:val="28"/>
        </w:rPr>
        <w:t xml:space="preserve">DEUXIÈME PARTIE – </w:t>
      </w:r>
      <w:r w:rsidR="00177C69" w:rsidRPr="004E4188">
        <w:rPr>
          <w:b/>
          <w:sz w:val="28"/>
        </w:rPr>
        <w:t>EXIGENCES DU MAÎTRE D’OUVRAGE</w:t>
      </w:r>
    </w:p>
    <w:bookmarkEnd w:id="12"/>
    <w:bookmarkEnd w:id="13"/>
    <w:bookmarkEnd w:id="14"/>
    <w:p w14:paraId="2C4C82EB" w14:textId="77777777" w:rsidR="00CB074D" w:rsidRPr="004E4188" w:rsidRDefault="00CB074D" w:rsidP="00B62766">
      <w:pPr>
        <w:rPr>
          <w:b/>
        </w:rPr>
      </w:pPr>
    </w:p>
    <w:p w14:paraId="0E472BAB" w14:textId="77777777" w:rsidR="00CB074D" w:rsidRPr="004E4188" w:rsidRDefault="00CB074D">
      <w:pPr>
        <w:tabs>
          <w:tab w:val="left" w:pos="1350"/>
        </w:tabs>
        <w:rPr>
          <w:b/>
        </w:rPr>
      </w:pPr>
      <w:r w:rsidRPr="004E4188">
        <w:rPr>
          <w:b/>
        </w:rPr>
        <w:t>Section VI.</w:t>
      </w:r>
      <w:r w:rsidRPr="004E4188">
        <w:rPr>
          <w:b/>
        </w:rPr>
        <w:tab/>
      </w:r>
      <w:r w:rsidR="00177C69" w:rsidRPr="004E4188">
        <w:rPr>
          <w:b/>
        </w:rPr>
        <w:t>Exigences du Maître d’ouvrage</w:t>
      </w:r>
    </w:p>
    <w:p w14:paraId="5B62FEBC" w14:textId="26222897" w:rsidR="00CB074D" w:rsidRPr="004E4188" w:rsidRDefault="00B34919" w:rsidP="00742725">
      <w:pPr>
        <w:spacing w:before="120" w:after="240"/>
        <w:ind w:leftChars="563" w:left="1351"/>
      </w:pPr>
      <w:r w:rsidRPr="004E4188">
        <w:t>C</w:t>
      </w:r>
      <w:r w:rsidR="00CB074D" w:rsidRPr="004E4188">
        <w:t xml:space="preserve">ette </w:t>
      </w:r>
      <w:r w:rsidRPr="004E4188">
        <w:t>s</w:t>
      </w:r>
      <w:r w:rsidR="00CB074D" w:rsidRPr="004E4188">
        <w:t>ection</w:t>
      </w:r>
      <w:r w:rsidRPr="004E4188">
        <w:t xml:space="preserve"> </w:t>
      </w:r>
      <w:r w:rsidR="009F3645" w:rsidRPr="004E4188">
        <w:rPr>
          <w:lang w:eastAsia="ja-JP"/>
        </w:rPr>
        <w:t xml:space="preserve">contient une description </w:t>
      </w:r>
      <w:r w:rsidR="009F3645" w:rsidRPr="004E4188">
        <w:t xml:space="preserve">de la spécification fonctionnelle et / ou de performance des </w:t>
      </w:r>
      <w:r w:rsidR="00143F14" w:rsidRPr="004E4188">
        <w:t>installations</w:t>
      </w:r>
      <w:r w:rsidR="00036090" w:rsidRPr="004E4188">
        <w:t xml:space="preserve"> à concevoir et à construire</w:t>
      </w:r>
      <w:r w:rsidR="00CB074D" w:rsidRPr="004E4188">
        <w:t>.</w:t>
      </w:r>
      <w:r w:rsidR="009F3645" w:rsidRPr="004E4188">
        <w:t xml:space="preserve"> </w:t>
      </w:r>
      <w:r w:rsidR="009F3645" w:rsidRPr="004E4188">
        <w:rPr>
          <w:lang w:eastAsia="en-US"/>
        </w:rPr>
        <w:t>Elle doit présenter, le cas échéant, un énoncé des normes requises concernant les matériaux, les équipements, les fournitures et le travail à fournir, tel que la portée des</w:t>
      </w:r>
      <w:r w:rsidR="005209B1" w:rsidRPr="004E4188">
        <w:rPr>
          <w:lang w:eastAsia="en-US"/>
        </w:rPr>
        <w:t xml:space="preserve"> </w:t>
      </w:r>
      <w:r w:rsidR="005209B1" w:rsidRPr="004E4188">
        <w:rPr>
          <w:szCs w:val="24"/>
        </w:rPr>
        <w:t>É</w:t>
      </w:r>
      <w:r w:rsidR="005209B1" w:rsidRPr="004E4188">
        <w:rPr>
          <w:lang w:eastAsia="en-US"/>
        </w:rPr>
        <w:t>quipements et Services de montage</w:t>
      </w:r>
      <w:r w:rsidR="009F3645" w:rsidRPr="004E4188">
        <w:rPr>
          <w:lang w:eastAsia="en-US"/>
        </w:rPr>
        <w:t xml:space="preserve">, les spécifications et les plans décrivant les </w:t>
      </w:r>
      <w:r w:rsidR="00965A73" w:rsidRPr="004E4188">
        <w:rPr>
          <w:lang w:eastAsia="en-US"/>
        </w:rPr>
        <w:t>Installations</w:t>
      </w:r>
      <w:r w:rsidR="009F3645" w:rsidRPr="004E4188">
        <w:rPr>
          <w:lang w:eastAsia="en-US"/>
        </w:rPr>
        <w:t>, et les informations complémentaires.</w:t>
      </w:r>
      <w:r w:rsidR="00CB074D" w:rsidRPr="004E4188">
        <w:t xml:space="preserve"> </w:t>
      </w:r>
    </w:p>
    <w:p w14:paraId="7FD3544D" w14:textId="77777777" w:rsidR="00CB074D" w:rsidRPr="004E4188" w:rsidRDefault="00CB074D">
      <w:pPr>
        <w:rPr>
          <w:b/>
          <w:sz w:val="28"/>
        </w:rPr>
      </w:pPr>
      <w:bookmarkStart w:id="15" w:name="_Toc438267876"/>
      <w:bookmarkStart w:id="16" w:name="_Toc438270256"/>
      <w:bookmarkStart w:id="17" w:name="_Toc438366663"/>
    </w:p>
    <w:p w14:paraId="6955FE4A" w14:textId="077BE660" w:rsidR="00107358" w:rsidRPr="004E4188" w:rsidRDefault="00CB074D" w:rsidP="006E7A55">
      <w:pPr>
        <w:spacing w:after="120"/>
        <w:rPr>
          <w:b/>
          <w:sz w:val="28"/>
        </w:rPr>
      </w:pPr>
      <w:r w:rsidRPr="004E4188">
        <w:rPr>
          <w:b/>
          <w:sz w:val="28"/>
        </w:rPr>
        <w:t xml:space="preserve">TROISIÈME PARTIE – </w:t>
      </w:r>
      <w:r w:rsidR="009F3645" w:rsidRPr="004E4188">
        <w:rPr>
          <w:b/>
          <w:sz w:val="28"/>
        </w:rPr>
        <w:t xml:space="preserve">CONDITIONS DU MARCHÉ ET FORMULAIRES DU MARCHÉ </w:t>
      </w:r>
      <w:bookmarkEnd w:id="15"/>
      <w:bookmarkEnd w:id="16"/>
      <w:bookmarkEnd w:id="17"/>
    </w:p>
    <w:p w14:paraId="23094183" w14:textId="77777777" w:rsidR="00CB074D" w:rsidRPr="004E4188" w:rsidRDefault="00CB074D" w:rsidP="00B62766"/>
    <w:p w14:paraId="35231642" w14:textId="5749E566" w:rsidR="00CB074D" w:rsidRPr="004E4188" w:rsidRDefault="00CB074D">
      <w:pPr>
        <w:tabs>
          <w:tab w:val="left" w:pos="1350"/>
        </w:tabs>
        <w:rPr>
          <w:b/>
        </w:rPr>
      </w:pPr>
      <w:r w:rsidRPr="004E4188">
        <w:rPr>
          <w:b/>
        </w:rPr>
        <w:t>Section VII.</w:t>
      </w:r>
      <w:r w:rsidRPr="004E4188">
        <w:rPr>
          <w:b/>
        </w:rPr>
        <w:tab/>
      </w:r>
      <w:r w:rsidR="00CD6539" w:rsidRPr="004E4188">
        <w:rPr>
          <w:b/>
        </w:rPr>
        <w:t>Conditions Générales (CG)</w:t>
      </w:r>
      <w:r w:rsidR="00CD6539" w:rsidRPr="004E4188" w:rsidDel="00CD6539">
        <w:rPr>
          <w:b/>
        </w:rPr>
        <w:t xml:space="preserve"> </w:t>
      </w:r>
    </w:p>
    <w:p w14:paraId="1E19A963" w14:textId="77777777" w:rsidR="00CB074D" w:rsidRPr="004E4188" w:rsidRDefault="00CB074D" w:rsidP="00742725">
      <w:pPr>
        <w:spacing w:before="120" w:after="240"/>
        <w:ind w:leftChars="563" w:left="1351"/>
      </w:pPr>
      <w:r w:rsidRPr="004E4188">
        <w:t xml:space="preserve">Cette </w:t>
      </w:r>
      <w:r w:rsidR="00B34919" w:rsidRPr="004E4188">
        <w:t>s</w:t>
      </w:r>
      <w:r w:rsidRPr="004E4188">
        <w:t xml:space="preserve">ection contient les dispositions générales applicables à tous les marchés. </w:t>
      </w:r>
      <w:r w:rsidRPr="004E4188">
        <w:rPr>
          <w:b/>
        </w:rPr>
        <w:t xml:space="preserve">La formulation des clauses de cette </w:t>
      </w:r>
      <w:r w:rsidR="00B34919" w:rsidRPr="004E4188">
        <w:rPr>
          <w:b/>
        </w:rPr>
        <w:t>s</w:t>
      </w:r>
      <w:r w:rsidRPr="004E4188">
        <w:rPr>
          <w:b/>
        </w:rPr>
        <w:t>ection ne doit pas être modifiée</w:t>
      </w:r>
      <w:r w:rsidRPr="004E4188">
        <w:t xml:space="preserve">. </w:t>
      </w:r>
    </w:p>
    <w:p w14:paraId="5983F269" w14:textId="1463C00A" w:rsidR="00CB074D" w:rsidRPr="004E4188" w:rsidRDefault="00CB074D">
      <w:pPr>
        <w:tabs>
          <w:tab w:val="left" w:pos="1350"/>
        </w:tabs>
        <w:rPr>
          <w:b/>
        </w:rPr>
      </w:pPr>
      <w:r w:rsidRPr="004E4188">
        <w:rPr>
          <w:b/>
        </w:rPr>
        <w:t xml:space="preserve">Section </w:t>
      </w:r>
      <w:r w:rsidR="00B34919" w:rsidRPr="004E4188">
        <w:rPr>
          <w:b/>
        </w:rPr>
        <w:t>VIII</w:t>
      </w:r>
      <w:r w:rsidRPr="004E4188">
        <w:rPr>
          <w:b/>
        </w:rPr>
        <w:t>.</w:t>
      </w:r>
      <w:r w:rsidRPr="004E4188">
        <w:rPr>
          <w:b/>
        </w:rPr>
        <w:tab/>
      </w:r>
      <w:r w:rsidR="00CD6539" w:rsidRPr="004E4188">
        <w:rPr>
          <w:b/>
        </w:rPr>
        <w:t>Conditions Particu</w:t>
      </w:r>
      <w:r w:rsidR="00CD6539" w:rsidRPr="004E4188">
        <w:rPr>
          <w:rFonts w:hint="eastAsia"/>
          <w:b/>
        </w:rPr>
        <w:t>lières (CP)</w:t>
      </w:r>
      <w:r w:rsidRPr="004E4188">
        <w:rPr>
          <w:b/>
        </w:rPr>
        <w:t xml:space="preserve"> </w:t>
      </w:r>
    </w:p>
    <w:p w14:paraId="35F78FDF" w14:textId="039FB097" w:rsidR="00564D71" w:rsidRPr="004E4188" w:rsidRDefault="00CB074D" w:rsidP="00742725">
      <w:pPr>
        <w:spacing w:before="120" w:after="240"/>
        <w:ind w:leftChars="563" w:left="1351"/>
      </w:pPr>
      <w:r w:rsidRPr="004E4188">
        <w:t xml:space="preserve">Cette </w:t>
      </w:r>
      <w:r w:rsidR="00A3028F" w:rsidRPr="004E4188">
        <w:t>s</w:t>
      </w:r>
      <w:r w:rsidRPr="004E4188">
        <w:t>ection</w:t>
      </w:r>
      <w:r w:rsidR="000B0887" w:rsidRPr="004E4188">
        <w:t xml:space="preserve"> se compose de la Partie A, Données du Marché, qui contient les données spécifiques à chaque </w:t>
      </w:r>
      <w:r w:rsidR="001A2B06" w:rsidRPr="004E4188">
        <w:t>m</w:t>
      </w:r>
      <w:r w:rsidR="000B0887" w:rsidRPr="004E4188">
        <w:t xml:space="preserve">arché, et la Partie B, Dispositions spécifiques qui contient les articles spécifiques à chaque </w:t>
      </w:r>
      <w:r w:rsidR="00C4150D" w:rsidRPr="004E4188">
        <w:t>marché</w:t>
      </w:r>
      <w:r w:rsidR="000B0887" w:rsidRPr="004E4188">
        <w:t xml:space="preserve">. Le contenu de cette </w:t>
      </w:r>
      <w:r w:rsidR="00965A73" w:rsidRPr="004E4188">
        <w:t>s</w:t>
      </w:r>
      <w:r w:rsidR="000B0887" w:rsidRPr="004E4188">
        <w:t>ection complète les Conditions Générales.</w:t>
      </w:r>
    </w:p>
    <w:p w14:paraId="75571CCC" w14:textId="77777777" w:rsidR="00CB074D" w:rsidRPr="004E4188" w:rsidRDefault="00CB074D">
      <w:pPr>
        <w:tabs>
          <w:tab w:val="left" w:pos="1350"/>
        </w:tabs>
        <w:rPr>
          <w:b/>
        </w:rPr>
      </w:pPr>
      <w:bookmarkStart w:id="18" w:name="_Toc494778667"/>
      <w:bookmarkStart w:id="19" w:name="_Toc499607135"/>
      <w:bookmarkStart w:id="20" w:name="_Toc499608188"/>
      <w:r w:rsidRPr="004E4188">
        <w:rPr>
          <w:b/>
        </w:rPr>
        <w:t xml:space="preserve">Section </w:t>
      </w:r>
      <w:r w:rsidR="00B34919" w:rsidRPr="004E4188">
        <w:rPr>
          <w:b/>
        </w:rPr>
        <w:t>I</w:t>
      </w:r>
      <w:r w:rsidRPr="004E4188">
        <w:rPr>
          <w:b/>
        </w:rPr>
        <w:t>X.</w:t>
      </w:r>
      <w:r w:rsidRPr="004E4188">
        <w:rPr>
          <w:b/>
        </w:rPr>
        <w:tab/>
        <w:t>Formulaires du Marché</w:t>
      </w:r>
      <w:bookmarkEnd w:id="18"/>
      <w:bookmarkEnd w:id="19"/>
      <w:bookmarkEnd w:id="20"/>
    </w:p>
    <w:p w14:paraId="47E60695" w14:textId="204652DF" w:rsidR="00CB074D" w:rsidRPr="004E4188" w:rsidRDefault="00CB074D" w:rsidP="00680789">
      <w:pPr>
        <w:spacing w:before="120" w:after="240"/>
        <w:ind w:leftChars="563" w:left="1351"/>
        <w:rPr>
          <w:i/>
          <w:sz w:val="22"/>
        </w:rPr>
      </w:pPr>
      <w:r w:rsidRPr="004E4188">
        <w:t xml:space="preserve">Cette </w:t>
      </w:r>
      <w:r w:rsidR="00A3028F" w:rsidRPr="004E4188">
        <w:t>s</w:t>
      </w:r>
      <w:r w:rsidRPr="004E4188">
        <w:t xml:space="preserve">ection contient </w:t>
      </w:r>
      <w:r w:rsidR="005944CB" w:rsidRPr="004E4188">
        <w:t xml:space="preserve">des formulaires </w:t>
      </w:r>
      <w:r w:rsidRPr="004E4188">
        <w:t xml:space="preserve">qui, une fois remplis, seront incorporés au Marché. La garantie de bonne exécution et la garantie de restitution d’avance, le cas échéant, seront </w:t>
      </w:r>
      <w:r w:rsidR="00761633" w:rsidRPr="004E4188">
        <w:t xml:space="preserve">complétées uniquement </w:t>
      </w:r>
      <w:r w:rsidRPr="004E4188">
        <w:t>par le Soumissionnaire retenu après l’attribution du Marché.</w:t>
      </w:r>
    </w:p>
    <w:p w14:paraId="5E976987" w14:textId="77777777" w:rsidR="00CB074D" w:rsidRPr="004E4188" w:rsidRDefault="00CB074D">
      <w:pPr>
        <w:pStyle w:val="af4"/>
        <w:rPr>
          <w:lang w:val="fr-FR"/>
        </w:rPr>
      </w:pPr>
    </w:p>
    <w:p w14:paraId="71B8535B" w14:textId="6AD4C8A0" w:rsidR="007C0ECF" w:rsidRPr="004E4188" w:rsidRDefault="0089713F" w:rsidP="007C0ECF">
      <w:pPr>
        <w:jc w:val="center"/>
        <w:rPr>
          <w:b/>
          <w:sz w:val="44"/>
          <w:szCs w:val="44"/>
        </w:rPr>
      </w:pPr>
      <w:r w:rsidRPr="004E4188">
        <w:rPr>
          <w:b/>
          <w:sz w:val="48"/>
          <w:szCs w:val="48"/>
        </w:rPr>
        <w:br w:type="page"/>
      </w:r>
      <w:r w:rsidR="007C0ECF" w:rsidRPr="004E4188">
        <w:rPr>
          <w:b/>
          <w:sz w:val="44"/>
          <w:szCs w:val="44"/>
        </w:rPr>
        <w:t>Notes aux utilisateurs</w:t>
      </w:r>
      <w:r w:rsidR="00E32960" w:rsidRPr="004E4188">
        <w:rPr>
          <w:b/>
          <w:sz w:val="44"/>
          <w:szCs w:val="44"/>
        </w:rPr>
        <w:t xml:space="preserve"> (aux Maître</w:t>
      </w:r>
      <w:r w:rsidR="00D45EAD" w:rsidRPr="004E4188">
        <w:rPr>
          <w:b/>
          <w:sz w:val="44"/>
          <w:szCs w:val="44"/>
        </w:rPr>
        <w:t>s</w:t>
      </w:r>
      <w:r w:rsidR="00E32960" w:rsidRPr="004E4188">
        <w:rPr>
          <w:b/>
          <w:sz w:val="44"/>
          <w:szCs w:val="44"/>
        </w:rPr>
        <w:t xml:space="preserve"> d’ouvrage)</w:t>
      </w:r>
    </w:p>
    <w:p w14:paraId="4762B8CD" w14:textId="77777777" w:rsidR="007C0ECF" w:rsidRPr="004E4188" w:rsidRDefault="007C0ECF" w:rsidP="007C0ECF">
      <w:pPr>
        <w:rPr>
          <w:lang w:eastAsia="ja-JP"/>
        </w:rPr>
      </w:pPr>
    </w:p>
    <w:p w14:paraId="31587C4C" w14:textId="77777777" w:rsidR="007C0ECF" w:rsidRPr="004E4188" w:rsidRDefault="007C0ECF" w:rsidP="007C0ECF">
      <w:pPr>
        <w:rPr>
          <w:lang w:eastAsia="ja-JP"/>
        </w:rPr>
      </w:pPr>
    </w:p>
    <w:p w14:paraId="63CBD1B7" w14:textId="5DB9CEFE" w:rsidR="00E24EC0" w:rsidRPr="004E4188" w:rsidRDefault="002A5F20" w:rsidP="00FC7E62">
      <w:pPr>
        <w:suppressAutoHyphens w:val="0"/>
        <w:overflowPunct/>
        <w:autoSpaceDE/>
        <w:autoSpaceDN/>
        <w:adjustRightInd/>
        <w:spacing w:after="200"/>
        <w:ind w:left="480" w:hangingChars="200" w:hanging="480"/>
        <w:textAlignment w:val="auto"/>
        <w:rPr>
          <w:szCs w:val="24"/>
        </w:rPr>
      </w:pPr>
      <w:r w:rsidRPr="004E4188">
        <w:rPr>
          <w:szCs w:val="24"/>
          <w:lang w:eastAsia="ja-JP"/>
        </w:rPr>
        <w:t>(a)</w:t>
      </w:r>
      <w:r w:rsidR="00D45EAD" w:rsidRPr="004E4188">
        <w:tab/>
      </w:r>
      <w:r w:rsidR="007C0ECF" w:rsidRPr="004E4188">
        <w:rPr>
          <w:szCs w:val="24"/>
          <w:lang w:eastAsia="ja-JP"/>
        </w:rPr>
        <w:t>L’utilisation du présent Dossier</w:t>
      </w:r>
      <w:r w:rsidR="007C0ECF" w:rsidRPr="004E4188">
        <w:rPr>
          <w:szCs w:val="24"/>
        </w:rPr>
        <w:t xml:space="preserve"> </w:t>
      </w:r>
      <w:r w:rsidR="007C0ECF" w:rsidRPr="004E4188">
        <w:rPr>
          <w:szCs w:val="24"/>
          <w:lang w:eastAsia="ja-JP"/>
        </w:rPr>
        <w:t>Standard</w:t>
      </w:r>
      <w:r w:rsidR="007C0ECF" w:rsidRPr="004E4188">
        <w:rPr>
          <w:szCs w:val="24"/>
        </w:rPr>
        <w:t xml:space="preserve"> </w:t>
      </w:r>
      <w:r w:rsidR="0087070D" w:rsidRPr="004E4188">
        <w:rPr>
          <w:szCs w:val="24"/>
        </w:rPr>
        <w:t>d’Appel d’Offres pour la passation</w:t>
      </w:r>
      <w:r w:rsidR="007C0ECF" w:rsidRPr="004E4188">
        <w:rPr>
          <w:szCs w:val="24"/>
        </w:rPr>
        <w:t xml:space="preserve"> de marchés de </w:t>
      </w:r>
      <w:r w:rsidR="0062613A" w:rsidRPr="004E4188">
        <w:rPr>
          <w:szCs w:val="24"/>
        </w:rPr>
        <w:t>Conception, Fourn</w:t>
      </w:r>
      <w:r w:rsidR="00527D59" w:rsidRPr="004E4188">
        <w:rPr>
          <w:szCs w:val="24"/>
        </w:rPr>
        <w:t>iture et Montage d’</w:t>
      </w:r>
      <w:r w:rsidR="00663384" w:rsidRPr="004E4188">
        <w:rPr>
          <w:szCs w:val="24"/>
        </w:rPr>
        <w:t xml:space="preserve"> É</w:t>
      </w:r>
      <w:r w:rsidR="00527D59" w:rsidRPr="004E4188">
        <w:rPr>
          <w:szCs w:val="24"/>
        </w:rPr>
        <w:t>quipements</w:t>
      </w:r>
      <w:r w:rsidR="0062613A" w:rsidRPr="004E4188">
        <w:rPr>
          <w:szCs w:val="24"/>
        </w:rPr>
        <w:t xml:space="preserve"> (D</w:t>
      </w:r>
      <w:r w:rsidR="0062613A" w:rsidRPr="004E4188">
        <w:rPr>
          <w:szCs w:val="24"/>
          <w:lang w:eastAsia="ja-JP"/>
        </w:rPr>
        <w:t>S</w:t>
      </w:r>
      <w:r w:rsidR="0062613A" w:rsidRPr="004E4188">
        <w:rPr>
          <w:szCs w:val="24"/>
        </w:rPr>
        <w:t>AO</w:t>
      </w:r>
      <w:r w:rsidR="003F27FF" w:rsidRPr="004E4188">
        <w:rPr>
          <w:szCs w:val="24"/>
        </w:rPr>
        <w:t xml:space="preserve"> (</w:t>
      </w:r>
      <w:r w:rsidR="00ED0902" w:rsidRPr="004E4188">
        <w:rPr>
          <w:szCs w:val="24"/>
        </w:rPr>
        <w:t>É</w:t>
      </w:r>
      <w:r w:rsidR="003F27FF" w:rsidRPr="004E4188">
        <w:rPr>
          <w:szCs w:val="24"/>
        </w:rPr>
        <w:t>quipements)</w:t>
      </w:r>
      <w:r w:rsidR="0062613A" w:rsidRPr="004E4188">
        <w:rPr>
          <w:szCs w:val="24"/>
        </w:rPr>
        <w:t xml:space="preserve">) </w:t>
      </w:r>
      <w:r w:rsidR="007C0ECF" w:rsidRPr="004E4188">
        <w:rPr>
          <w:szCs w:val="24"/>
          <w:lang w:eastAsia="ja-JP"/>
        </w:rPr>
        <w:t xml:space="preserve">publié par la JICA est </w:t>
      </w:r>
      <w:r w:rsidR="007C0ECF" w:rsidRPr="004E4188">
        <w:rPr>
          <w:b/>
          <w:szCs w:val="24"/>
          <w:lang w:eastAsia="ja-JP"/>
        </w:rPr>
        <w:t>requise</w:t>
      </w:r>
      <w:r w:rsidR="007C0ECF" w:rsidRPr="004E4188">
        <w:rPr>
          <w:szCs w:val="24"/>
          <w:lang w:eastAsia="ja-JP"/>
        </w:rPr>
        <w:t xml:space="preserve"> pour les marchés </w:t>
      </w:r>
      <w:r w:rsidR="0062613A" w:rsidRPr="004E4188">
        <w:rPr>
          <w:szCs w:val="24"/>
        </w:rPr>
        <w:t>de conception, fourniture et montage d’</w:t>
      </w:r>
      <w:r w:rsidR="00527D59" w:rsidRPr="004E4188">
        <w:rPr>
          <w:szCs w:val="24"/>
        </w:rPr>
        <w:t>équipements</w:t>
      </w:r>
      <w:r w:rsidR="0062613A" w:rsidRPr="004E4188">
        <w:rPr>
          <w:szCs w:val="24"/>
        </w:rPr>
        <w:t xml:space="preserve"> </w:t>
      </w:r>
      <w:r w:rsidR="00680789" w:rsidRPr="004E4188">
        <w:rPr>
          <w:szCs w:val="24"/>
          <w:lang w:eastAsia="ja-JP"/>
        </w:rPr>
        <w:t>faisant l’objet d’appels d’offres internationaux (AOI)</w:t>
      </w:r>
      <w:r w:rsidR="00680789" w:rsidRPr="004E4188">
        <w:rPr>
          <w:szCs w:val="24"/>
        </w:rPr>
        <w:t xml:space="preserve"> et </w:t>
      </w:r>
      <w:r w:rsidR="0062613A" w:rsidRPr="004E4188">
        <w:rPr>
          <w:szCs w:val="24"/>
        </w:rPr>
        <w:t>f</w:t>
      </w:r>
      <w:r w:rsidR="007C0ECF" w:rsidRPr="004E4188">
        <w:rPr>
          <w:szCs w:val="24"/>
          <w:lang w:eastAsia="ja-JP"/>
        </w:rPr>
        <w:t>inancés par Prêts APD du Japon.</w:t>
      </w:r>
    </w:p>
    <w:p w14:paraId="25133292" w14:textId="35A4722B" w:rsidR="007C0ECF" w:rsidRPr="004E4188" w:rsidRDefault="002A5F20" w:rsidP="00FC7E62">
      <w:pPr>
        <w:ind w:left="480" w:hangingChars="200" w:hanging="480"/>
        <w:rPr>
          <w:szCs w:val="24"/>
          <w:lang w:eastAsia="ja-JP"/>
        </w:rPr>
      </w:pPr>
      <w:r w:rsidRPr="004E4188">
        <w:rPr>
          <w:szCs w:val="24"/>
        </w:rPr>
        <w:t>(b)</w:t>
      </w:r>
      <w:r w:rsidR="00D45EAD" w:rsidRPr="004E4188">
        <w:t xml:space="preserve"> </w:t>
      </w:r>
      <w:r w:rsidR="00D45EAD" w:rsidRPr="004E4188">
        <w:tab/>
      </w:r>
      <w:r w:rsidR="007C0ECF" w:rsidRPr="004E4188">
        <w:rPr>
          <w:szCs w:val="24"/>
        </w:rPr>
        <w:t>Ce DS</w:t>
      </w:r>
      <w:r w:rsidR="0062613A" w:rsidRPr="004E4188">
        <w:rPr>
          <w:szCs w:val="24"/>
        </w:rPr>
        <w:t xml:space="preserve">AO </w:t>
      </w:r>
      <w:r w:rsidR="003F27FF" w:rsidRPr="004E4188">
        <w:rPr>
          <w:szCs w:val="24"/>
        </w:rPr>
        <w:t>(</w:t>
      </w:r>
      <w:r w:rsidR="00ED0902" w:rsidRPr="004E4188">
        <w:rPr>
          <w:szCs w:val="24"/>
        </w:rPr>
        <w:t>É</w:t>
      </w:r>
      <w:r w:rsidR="003F27FF" w:rsidRPr="004E4188">
        <w:rPr>
          <w:szCs w:val="24"/>
        </w:rPr>
        <w:t>quipements)</w:t>
      </w:r>
      <w:r w:rsidR="007C0ECF" w:rsidRPr="004E4188">
        <w:rPr>
          <w:szCs w:val="24"/>
        </w:rPr>
        <w:t xml:space="preserve"> a été préparé comme dossier standard qui doit être utilisé sans ajout ou suppression de texte dans les sections</w:t>
      </w:r>
      <w:r w:rsidR="00111E72" w:rsidRPr="004E4188">
        <w:rPr>
          <w:szCs w:val="24"/>
        </w:rPr>
        <w:t xml:space="preserve"> standard du D</w:t>
      </w:r>
      <w:r w:rsidR="007C0ECF" w:rsidRPr="004E4188">
        <w:rPr>
          <w:szCs w:val="24"/>
        </w:rPr>
        <w:t xml:space="preserve">ossier, la Section I - Instructions aux soumissionnaires (IS standard) et la Section VII </w:t>
      </w:r>
      <w:r w:rsidR="00CE5AD8" w:rsidRPr="004E4188">
        <w:rPr>
          <w:szCs w:val="24"/>
        </w:rPr>
        <w:t xml:space="preserve">- </w:t>
      </w:r>
      <w:r w:rsidR="00FD054E" w:rsidRPr="004E4188">
        <w:rPr>
          <w:szCs w:val="24"/>
        </w:rPr>
        <w:t>Conditions Générales</w:t>
      </w:r>
      <w:r w:rsidR="0062613A" w:rsidRPr="004E4188">
        <w:rPr>
          <w:szCs w:val="24"/>
        </w:rPr>
        <w:t xml:space="preserve"> (C</w:t>
      </w:r>
      <w:r w:rsidR="007C0ECF" w:rsidRPr="004E4188">
        <w:rPr>
          <w:szCs w:val="24"/>
        </w:rPr>
        <w:t>G standard).</w:t>
      </w:r>
      <w:r w:rsidR="007C0ECF" w:rsidRPr="004E4188">
        <w:rPr>
          <w:b/>
          <w:szCs w:val="24"/>
        </w:rPr>
        <w:t xml:space="preserve"> </w:t>
      </w:r>
      <w:r w:rsidR="007C0ECF" w:rsidRPr="004E4188">
        <w:rPr>
          <w:b/>
          <w:szCs w:val="24"/>
          <w:lang w:eastAsia="ja-JP"/>
        </w:rPr>
        <w:t xml:space="preserve">Si les IS </w:t>
      </w:r>
      <w:r w:rsidR="0062613A" w:rsidRPr="004E4188">
        <w:rPr>
          <w:b/>
          <w:szCs w:val="24"/>
          <w:lang w:eastAsia="ja-JP"/>
        </w:rPr>
        <w:t>et/</w:t>
      </w:r>
      <w:r w:rsidR="007C0ECF" w:rsidRPr="004E4188">
        <w:rPr>
          <w:b/>
          <w:szCs w:val="24"/>
          <w:lang w:eastAsia="ja-JP"/>
        </w:rPr>
        <w:t>ou le</w:t>
      </w:r>
      <w:r w:rsidR="00DF56F1" w:rsidRPr="004E4188">
        <w:rPr>
          <w:b/>
          <w:szCs w:val="24"/>
          <w:lang w:eastAsia="ja-JP"/>
        </w:rPr>
        <w:t>s</w:t>
      </w:r>
      <w:r w:rsidR="0062613A" w:rsidRPr="004E4188">
        <w:rPr>
          <w:b/>
          <w:szCs w:val="24"/>
          <w:lang w:eastAsia="ja-JP"/>
        </w:rPr>
        <w:t xml:space="preserve"> C</w:t>
      </w:r>
      <w:r w:rsidR="007C0ECF" w:rsidRPr="004E4188">
        <w:rPr>
          <w:b/>
          <w:szCs w:val="24"/>
          <w:lang w:eastAsia="ja-JP"/>
        </w:rPr>
        <w:t>G dans le Dossier d’appel d’offres préparé par le Maître d’ouvrage contiennent des modifications par rapport aux IS standard et/ou au</w:t>
      </w:r>
      <w:r w:rsidR="00DF56F1" w:rsidRPr="004E4188">
        <w:rPr>
          <w:b/>
          <w:szCs w:val="24"/>
          <w:lang w:eastAsia="ja-JP"/>
        </w:rPr>
        <w:t>x</w:t>
      </w:r>
      <w:r w:rsidR="0062613A" w:rsidRPr="004E4188">
        <w:rPr>
          <w:b/>
          <w:szCs w:val="24"/>
          <w:lang w:eastAsia="ja-JP"/>
        </w:rPr>
        <w:t xml:space="preserve"> C</w:t>
      </w:r>
      <w:r w:rsidR="007C0ECF" w:rsidRPr="004E4188">
        <w:rPr>
          <w:b/>
          <w:szCs w:val="24"/>
          <w:lang w:eastAsia="ja-JP"/>
        </w:rPr>
        <w:t>G standa</w:t>
      </w:r>
      <w:r w:rsidR="00107358" w:rsidRPr="004E4188">
        <w:rPr>
          <w:b/>
          <w:szCs w:val="24"/>
          <w:lang w:eastAsia="ja-JP"/>
        </w:rPr>
        <w:t>rd inclus dans ce DSAO</w:t>
      </w:r>
      <w:r w:rsidR="003F27FF" w:rsidRPr="004E4188">
        <w:rPr>
          <w:b/>
          <w:szCs w:val="24"/>
          <w:lang w:eastAsia="ja-JP"/>
        </w:rPr>
        <w:t xml:space="preserve"> </w:t>
      </w:r>
      <w:r w:rsidR="003F27FF" w:rsidRPr="004E4188">
        <w:rPr>
          <w:b/>
          <w:szCs w:val="24"/>
        </w:rPr>
        <w:t>(</w:t>
      </w:r>
      <w:r w:rsidR="00ED0902" w:rsidRPr="004E4188">
        <w:rPr>
          <w:b/>
          <w:szCs w:val="24"/>
        </w:rPr>
        <w:t>É</w:t>
      </w:r>
      <w:r w:rsidR="003F27FF" w:rsidRPr="004E4188">
        <w:rPr>
          <w:b/>
          <w:szCs w:val="24"/>
        </w:rPr>
        <w:t>quipements)</w:t>
      </w:r>
      <w:r w:rsidR="007C0ECF" w:rsidRPr="004E4188">
        <w:rPr>
          <w:b/>
          <w:szCs w:val="24"/>
          <w:lang w:eastAsia="ja-JP"/>
        </w:rPr>
        <w:t>, la JICA ne les considèrera pas valides</w:t>
      </w:r>
      <w:r w:rsidR="00107358" w:rsidRPr="004E4188">
        <w:rPr>
          <w:b/>
          <w:szCs w:val="24"/>
          <w:lang w:eastAsia="ja-JP"/>
        </w:rPr>
        <w:t xml:space="preserve"> et </w:t>
      </w:r>
      <w:r w:rsidR="00C9784E" w:rsidRPr="004E4188">
        <w:rPr>
          <w:b/>
          <w:szCs w:val="24"/>
        </w:rPr>
        <w:t>demandera au Maître d’ouvrage de modifier le Dossier d’appel d’offres afin que</w:t>
      </w:r>
      <w:r w:rsidR="00C9784E" w:rsidRPr="004E4188">
        <w:rPr>
          <w:b/>
          <w:szCs w:val="24"/>
          <w:lang w:eastAsia="ja-JP"/>
        </w:rPr>
        <w:t xml:space="preserve"> </w:t>
      </w:r>
      <w:r w:rsidR="00107358" w:rsidRPr="004E4188">
        <w:rPr>
          <w:b/>
          <w:szCs w:val="24"/>
          <w:lang w:eastAsia="ja-JP"/>
        </w:rPr>
        <w:t>les IS</w:t>
      </w:r>
      <w:r w:rsidR="007C0ECF" w:rsidRPr="004E4188">
        <w:rPr>
          <w:b/>
          <w:szCs w:val="24"/>
          <w:lang w:eastAsia="ja-JP"/>
        </w:rPr>
        <w:t xml:space="preserve"> standard</w:t>
      </w:r>
      <w:r w:rsidR="00107358" w:rsidRPr="004E4188">
        <w:rPr>
          <w:b/>
          <w:szCs w:val="24"/>
          <w:lang w:eastAsia="ja-JP"/>
        </w:rPr>
        <w:t xml:space="preserve"> et/ou le</w:t>
      </w:r>
      <w:r w:rsidR="009E7FD3" w:rsidRPr="004E4188">
        <w:rPr>
          <w:b/>
          <w:szCs w:val="24"/>
          <w:lang w:eastAsia="ja-JP"/>
        </w:rPr>
        <w:t>s</w:t>
      </w:r>
      <w:r w:rsidR="0062613A" w:rsidRPr="004E4188">
        <w:rPr>
          <w:b/>
          <w:szCs w:val="24"/>
          <w:lang w:eastAsia="ja-JP"/>
        </w:rPr>
        <w:t xml:space="preserve"> C</w:t>
      </w:r>
      <w:r w:rsidR="00107358" w:rsidRPr="004E4188">
        <w:rPr>
          <w:b/>
          <w:szCs w:val="24"/>
          <w:lang w:eastAsia="ja-JP"/>
        </w:rPr>
        <w:t>G standard, tels que défini</w:t>
      </w:r>
      <w:r w:rsidR="007C0ECF" w:rsidRPr="004E4188">
        <w:rPr>
          <w:b/>
          <w:szCs w:val="24"/>
          <w:lang w:eastAsia="ja-JP"/>
        </w:rPr>
        <w:t xml:space="preserve">s ci-dessus, </w:t>
      </w:r>
      <w:r w:rsidR="009E7FD3" w:rsidRPr="004E4188">
        <w:rPr>
          <w:b/>
          <w:szCs w:val="24"/>
          <w:lang w:eastAsia="ja-JP"/>
        </w:rPr>
        <w:t>s</w:t>
      </w:r>
      <w:r w:rsidR="00410B3C" w:rsidRPr="004E4188">
        <w:rPr>
          <w:b/>
          <w:szCs w:val="24"/>
          <w:lang w:eastAsia="ja-JP"/>
        </w:rPr>
        <w:t>’appliquent</w:t>
      </w:r>
      <w:r w:rsidR="007C0ECF" w:rsidRPr="004E4188">
        <w:rPr>
          <w:b/>
          <w:szCs w:val="24"/>
          <w:lang w:eastAsia="ja-JP"/>
        </w:rPr>
        <w:t xml:space="preserve">. </w:t>
      </w:r>
    </w:p>
    <w:p w14:paraId="05B1B398" w14:textId="77777777" w:rsidR="00107358" w:rsidRPr="004E4188" w:rsidRDefault="00107358" w:rsidP="007C0ECF">
      <w:pPr>
        <w:rPr>
          <w:lang w:eastAsia="ja-JP"/>
        </w:rPr>
      </w:pPr>
    </w:p>
    <w:p w14:paraId="0D437017" w14:textId="31475388" w:rsidR="007C0ECF" w:rsidRPr="004E4188" w:rsidRDefault="00A368A3" w:rsidP="00B62766">
      <w:pPr>
        <w:ind w:left="480" w:hangingChars="200" w:hanging="480"/>
        <w:rPr>
          <w:lang w:eastAsia="ja-JP"/>
        </w:rPr>
      </w:pPr>
      <w:r w:rsidRPr="004E4188">
        <w:rPr>
          <w:lang w:eastAsia="ja-JP"/>
        </w:rPr>
        <w:t>(c)</w:t>
      </w:r>
      <w:r w:rsidR="00D45EAD" w:rsidRPr="004E4188">
        <w:t xml:space="preserve"> </w:t>
      </w:r>
      <w:r w:rsidR="00D45EAD" w:rsidRPr="004E4188">
        <w:tab/>
      </w:r>
      <w:r w:rsidR="007C0ECF" w:rsidRPr="004E4188">
        <w:rPr>
          <w:lang w:eastAsia="ja-JP"/>
        </w:rPr>
        <w:t xml:space="preserve">Toutes les informations et données particulières à chaque marché, requises par les </w:t>
      </w:r>
      <w:r w:rsidR="00CD4D81" w:rsidRPr="004E4188">
        <w:rPr>
          <w:lang w:eastAsia="ja-JP"/>
        </w:rPr>
        <w:t>Soumissionnaires</w:t>
      </w:r>
      <w:r w:rsidR="007C0ECF" w:rsidRPr="004E4188">
        <w:rPr>
          <w:lang w:eastAsia="ja-JP"/>
        </w:rPr>
        <w:t xml:space="preserve"> afin de préparer </w:t>
      </w:r>
      <w:r w:rsidR="00186AF7" w:rsidRPr="004E4188">
        <w:rPr>
          <w:lang w:eastAsia="ja-JP"/>
        </w:rPr>
        <w:t>des o</w:t>
      </w:r>
      <w:r w:rsidR="00CD4D81" w:rsidRPr="004E4188">
        <w:rPr>
          <w:lang w:eastAsia="ja-JP"/>
        </w:rPr>
        <w:t>ffres</w:t>
      </w:r>
      <w:r w:rsidR="007C0ECF" w:rsidRPr="004E4188">
        <w:rPr>
          <w:lang w:eastAsia="ja-JP"/>
        </w:rPr>
        <w:t xml:space="preserve"> répondant aux conditions exigées, doivent être fournies par le Maître d’ouvrage dans les Données particulières (Section II), les C</w:t>
      </w:r>
      <w:r w:rsidR="00186AF7" w:rsidRPr="004E4188">
        <w:rPr>
          <w:lang w:eastAsia="ja-JP"/>
        </w:rPr>
        <w:t>ritères d’évaluation et</w:t>
      </w:r>
      <w:r w:rsidR="007C0ECF" w:rsidRPr="004E4188">
        <w:rPr>
          <w:lang w:eastAsia="ja-JP"/>
        </w:rPr>
        <w:t xml:space="preserve"> de qualification (Section III), les Pays d’origine éligibles des</w:t>
      </w:r>
      <w:r w:rsidR="006E0ABA" w:rsidRPr="004E4188">
        <w:rPr>
          <w:lang w:eastAsia="ja-JP"/>
        </w:rPr>
        <w:t xml:space="preserve"> Prêts APD du Japon (Section V), </w:t>
      </w:r>
      <w:r w:rsidR="007C0ECF" w:rsidRPr="004E4188">
        <w:rPr>
          <w:lang w:eastAsia="ja-JP"/>
        </w:rPr>
        <w:t>le</w:t>
      </w:r>
      <w:r w:rsidR="00186AF7" w:rsidRPr="004E4188">
        <w:rPr>
          <w:lang w:eastAsia="ja-JP"/>
        </w:rPr>
        <w:t xml:space="preserve">s </w:t>
      </w:r>
      <w:r w:rsidR="00A219F6" w:rsidRPr="004E4188">
        <w:rPr>
          <w:lang w:eastAsia="ja-JP"/>
        </w:rPr>
        <w:t>Exigences du Maître d’ouvrage</w:t>
      </w:r>
      <w:r w:rsidR="007C0ECF" w:rsidRPr="004E4188">
        <w:rPr>
          <w:lang w:eastAsia="ja-JP"/>
        </w:rPr>
        <w:t xml:space="preserve"> (Section VI)</w:t>
      </w:r>
      <w:r w:rsidR="00186AF7" w:rsidRPr="004E4188">
        <w:rPr>
          <w:lang w:eastAsia="ja-JP"/>
        </w:rPr>
        <w:t xml:space="preserve">, </w:t>
      </w:r>
      <w:r w:rsidRPr="004E4188">
        <w:rPr>
          <w:lang w:eastAsia="ja-JP"/>
        </w:rPr>
        <w:t xml:space="preserve">les Conditions Particulières </w:t>
      </w:r>
      <w:r w:rsidR="00186AF7" w:rsidRPr="004E4188">
        <w:rPr>
          <w:lang w:eastAsia="ja-JP"/>
        </w:rPr>
        <w:t>(Section VIII)</w:t>
      </w:r>
      <w:r w:rsidR="00DD4E1F" w:rsidRPr="004E4188">
        <w:rPr>
          <w:lang w:eastAsia="ja-JP"/>
        </w:rPr>
        <w:t xml:space="preserve"> et les Formulaires du Marché</w:t>
      </w:r>
      <w:r w:rsidR="006E0ABA" w:rsidRPr="004E4188">
        <w:rPr>
          <w:lang w:eastAsia="ja-JP"/>
        </w:rPr>
        <w:t xml:space="preserve"> (Section IX)</w:t>
      </w:r>
      <w:r w:rsidR="007C0ECF" w:rsidRPr="004E4188">
        <w:rPr>
          <w:lang w:eastAsia="ja-JP"/>
        </w:rPr>
        <w:t xml:space="preserve">. </w:t>
      </w:r>
    </w:p>
    <w:p w14:paraId="6F2FD9BA" w14:textId="77777777" w:rsidR="007C0ECF" w:rsidRPr="004E4188" w:rsidRDefault="007C0ECF" w:rsidP="007C0ECF">
      <w:pPr>
        <w:rPr>
          <w:lang w:eastAsia="ja-JP"/>
        </w:rPr>
      </w:pPr>
    </w:p>
    <w:p w14:paraId="19C09754" w14:textId="2C2C29EA" w:rsidR="007C0ECF" w:rsidRPr="004E4188" w:rsidRDefault="00FD4D43" w:rsidP="00B62766">
      <w:pPr>
        <w:spacing w:after="200"/>
        <w:ind w:left="480" w:hangingChars="200" w:hanging="480"/>
        <w:rPr>
          <w:lang w:eastAsia="ja-JP"/>
        </w:rPr>
      </w:pPr>
      <w:r w:rsidRPr="004E4188">
        <w:rPr>
          <w:lang w:eastAsia="ja-JP"/>
        </w:rPr>
        <w:t>(d)</w:t>
      </w:r>
      <w:r w:rsidR="00D45EAD" w:rsidRPr="004E4188">
        <w:t xml:space="preserve"> </w:t>
      </w:r>
      <w:r w:rsidR="00D45EAD" w:rsidRPr="004E4188">
        <w:tab/>
      </w:r>
      <w:r w:rsidRPr="004E4188">
        <w:rPr>
          <w:lang w:eastAsia="ja-JP"/>
        </w:rPr>
        <w:t>Lorsque</w:t>
      </w:r>
      <w:r w:rsidRPr="004E4188">
        <w:rPr>
          <w:szCs w:val="24"/>
        </w:rPr>
        <w:t xml:space="preserve"> des informations et des données sont fournies dans les sections décrites ci-dessus,</w:t>
      </w:r>
      <w:r w:rsidRPr="004E4188">
        <w:rPr>
          <w:lang w:eastAsia="ja-JP"/>
        </w:rPr>
        <w:t xml:space="preserve"> l</w:t>
      </w:r>
      <w:r w:rsidR="007C0ECF" w:rsidRPr="004E4188">
        <w:rPr>
          <w:lang w:eastAsia="ja-JP"/>
        </w:rPr>
        <w:t>es directives suivantes devront être observées :</w:t>
      </w:r>
    </w:p>
    <w:p w14:paraId="0C7A3494" w14:textId="73911690" w:rsidR="007C0ECF" w:rsidRPr="004E4188" w:rsidRDefault="007C0ECF" w:rsidP="00B62766">
      <w:pPr>
        <w:numPr>
          <w:ilvl w:val="0"/>
          <w:numId w:val="13"/>
        </w:numPr>
        <w:tabs>
          <w:tab w:val="clear" w:pos="720"/>
          <w:tab w:val="left" w:pos="990"/>
        </w:tabs>
        <w:suppressAutoHyphens w:val="0"/>
        <w:overflowPunct/>
        <w:autoSpaceDE/>
        <w:autoSpaceDN/>
        <w:adjustRightInd/>
        <w:spacing w:after="200"/>
        <w:ind w:leftChars="200" w:left="1019" w:hanging="539"/>
        <w:textAlignment w:val="auto"/>
        <w:rPr>
          <w:lang w:eastAsia="ja-JP"/>
        </w:rPr>
      </w:pPr>
      <w:r w:rsidRPr="004E4188">
        <w:rPr>
          <w:lang w:eastAsia="en-US"/>
        </w:rPr>
        <w:t>Les</w:t>
      </w:r>
      <w:r w:rsidRPr="004E4188">
        <w:rPr>
          <w:lang w:eastAsia="ja-JP"/>
        </w:rPr>
        <w:t xml:space="preserve"> détails spécifiques, tels que le nom du Maître d’ouvrage</w:t>
      </w:r>
      <w:r w:rsidR="005D71BA" w:rsidRPr="004E4188">
        <w:rPr>
          <w:lang w:eastAsia="ja-JP"/>
        </w:rPr>
        <w:t xml:space="preserve"> et</w:t>
      </w:r>
      <w:r w:rsidRPr="004E4188">
        <w:rPr>
          <w:lang w:eastAsia="ja-JP"/>
        </w:rPr>
        <w:t xml:space="preserve"> l’adresse de sou</w:t>
      </w:r>
      <w:r w:rsidR="00996E75" w:rsidRPr="004E4188">
        <w:rPr>
          <w:lang w:eastAsia="ja-JP"/>
        </w:rPr>
        <w:t>mission des offres</w:t>
      </w:r>
      <w:r w:rsidRPr="004E4188">
        <w:rPr>
          <w:lang w:eastAsia="ja-JP"/>
        </w:rPr>
        <w:t>, devront être indiqués dans les espaces prévus à cet effet, en suivant les instructions des notes en italique entre crochets.</w:t>
      </w:r>
    </w:p>
    <w:p w14:paraId="473FDB0C" w14:textId="08C39813" w:rsidR="007C0ECF" w:rsidRPr="004E4188" w:rsidRDefault="007C0ECF" w:rsidP="00B62766">
      <w:pPr>
        <w:numPr>
          <w:ilvl w:val="0"/>
          <w:numId w:val="13"/>
        </w:numPr>
        <w:tabs>
          <w:tab w:val="clear" w:pos="720"/>
          <w:tab w:val="left" w:pos="990"/>
        </w:tabs>
        <w:suppressAutoHyphens w:val="0"/>
        <w:overflowPunct/>
        <w:autoSpaceDE/>
        <w:autoSpaceDN/>
        <w:adjustRightInd/>
        <w:spacing w:after="200"/>
        <w:ind w:leftChars="200" w:left="1018" w:hanging="538"/>
        <w:textAlignment w:val="auto"/>
        <w:rPr>
          <w:lang w:eastAsia="ja-JP"/>
        </w:rPr>
      </w:pPr>
      <w:r w:rsidRPr="004E4188">
        <w:rPr>
          <w:lang w:eastAsia="ja-JP"/>
        </w:rPr>
        <w:t>Les notes de bas de page, « en encadré » et celles en italique dans ce DS</w:t>
      </w:r>
      <w:r w:rsidR="00A219F6" w:rsidRPr="004E4188">
        <w:rPr>
          <w:lang w:eastAsia="ja-JP"/>
        </w:rPr>
        <w:t>AO</w:t>
      </w:r>
      <w:r w:rsidR="00B503A0" w:rsidRPr="004E4188">
        <w:rPr>
          <w:lang w:eastAsia="ja-JP"/>
        </w:rPr>
        <w:t xml:space="preserve"> </w:t>
      </w:r>
      <w:r w:rsidR="00B503A0" w:rsidRPr="004E4188">
        <w:t>(</w:t>
      </w:r>
      <w:r w:rsidR="00ED0902" w:rsidRPr="004E4188">
        <w:rPr>
          <w:szCs w:val="24"/>
        </w:rPr>
        <w:t>É</w:t>
      </w:r>
      <w:r w:rsidR="00B503A0" w:rsidRPr="004E4188">
        <w:t>quipements)</w:t>
      </w:r>
      <w:r w:rsidRPr="004E4188">
        <w:rPr>
          <w:lang w:eastAsia="ja-JP"/>
        </w:rPr>
        <w:t xml:space="preserve">, à l’exception des notes concernant les formulaires à remplir par les </w:t>
      </w:r>
      <w:r w:rsidR="00996E75" w:rsidRPr="004E4188">
        <w:rPr>
          <w:lang w:eastAsia="ja-JP"/>
        </w:rPr>
        <w:t>Soumissionnaire</w:t>
      </w:r>
      <w:r w:rsidRPr="004E4188">
        <w:rPr>
          <w:lang w:eastAsia="ja-JP"/>
        </w:rPr>
        <w:t xml:space="preserve">s ou </w:t>
      </w:r>
      <w:r w:rsidR="00332963" w:rsidRPr="004E4188">
        <w:rPr>
          <w:lang w:eastAsia="ja-JP"/>
        </w:rPr>
        <w:t>d</w:t>
      </w:r>
      <w:r w:rsidRPr="004E4188">
        <w:rPr>
          <w:lang w:eastAsia="ja-JP"/>
        </w:rPr>
        <w:t xml:space="preserve">es </w:t>
      </w:r>
      <w:r w:rsidR="00996E75" w:rsidRPr="004E4188">
        <w:rPr>
          <w:lang w:eastAsia="ja-JP"/>
        </w:rPr>
        <w:t>instructions</w:t>
      </w:r>
      <w:r w:rsidR="00537436" w:rsidRPr="004E4188">
        <w:rPr>
          <w:lang w:eastAsia="ja-JP"/>
        </w:rPr>
        <w:t xml:space="preserve"> et notes</w:t>
      </w:r>
      <w:r w:rsidR="00996E75" w:rsidRPr="004E4188">
        <w:rPr>
          <w:lang w:eastAsia="ja-JP"/>
        </w:rPr>
        <w:t xml:space="preserve"> à l</w:t>
      </w:r>
      <w:r w:rsidR="00332963" w:rsidRPr="004E4188">
        <w:rPr>
          <w:lang w:eastAsia="ja-JP"/>
        </w:rPr>
        <w:t>eur intention,</w:t>
      </w:r>
      <w:r w:rsidRPr="004E4188">
        <w:rPr>
          <w:lang w:eastAsia="ja-JP"/>
        </w:rPr>
        <w:t xml:space="preserve"> ne font pas partie du Dossier</w:t>
      </w:r>
      <w:r w:rsidR="00996E75" w:rsidRPr="004E4188">
        <w:rPr>
          <w:lang w:eastAsia="ja-JP"/>
        </w:rPr>
        <w:t xml:space="preserve"> d’appel d’offres</w:t>
      </w:r>
      <w:r w:rsidRPr="004E4188">
        <w:rPr>
          <w:lang w:eastAsia="ja-JP"/>
        </w:rPr>
        <w:t xml:space="preserve">, mais contiennent des indications et des instructions </w:t>
      </w:r>
      <w:r w:rsidR="00332963" w:rsidRPr="004E4188">
        <w:rPr>
          <w:lang w:eastAsia="ja-JP"/>
        </w:rPr>
        <w:t>pour le</w:t>
      </w:r>
      <w:r w:rsidRPr="004E4188">
        <w:rPr>
          <w:lang w:eastAsia="ja-JP"/>
        </w:rPr>
        <w:t xml:space="preserve"> Maître d’ouvrage. </w:t>
      </w:r>
      <w:r w:rsidR="00BC5BAD" w:rsidRPr="004E4188">
        <w:rPr>
          <w:lang w:eastAsia="ja-JP"/>
        </w:rPr>
        <w:t>Elles doivent être retirées du Dossier d’appel d’offres qui sera remis aux Soumissionnaires.</w:t>
      </w:r>
    </w:p>
    <w:p w14:paraId="77C3278F" w14:textId="44E5E976" w:rsidR="007C0ECF" w:rsidRPr="004E4188" w:rsidRDefault="007C0ECF" w:rsidP="00B62766">
      <w:pPr>
        <w:numPr>
          <w:ilvl w:val="0"/>
          <w:numId w:val="13"/>
        </w:numPr>
        <w:tabs>
          <w:tab w:val="clear" w:pos="720"/>
          <w:tab w:val="left" w:pos="990"/>
        </w:tabs>
        <w:suppressAutoHyphens w:val="0"/>
        <w:overflowPunct/>
        <w:autoSpaceDE/>
        <w:autoSpaceDN/>
        <w:adjustRightInd/>
        <w:spacing w:after="200"/>
        <w:ind w:leftChars="200" w:left="1018" w:hanging="538"/>
        <w:textAlignment w:val="auto"/>
        <w:rPr>
          <w:lang w:eastAsia="ja-JP"/>
        </w:rPr>
      </w:pPr>
      <w:r w:rsidRPr="004E4188">
        <w:rPr>
          <w:lang w:eastAsia="ja-JP"/>
        </w:rPr>
        <w:t xml:space="preserve">Lorsque des clauses ou textes alternatifs sont proposés, sélectionnez les mieux adaptés aux spécificités </w:t>
      </w:r>
      <w:r w:rsidR="00066B69" w:rsidRPr="004E4188">
        <w:rPr>
          <w:lang w:eastAsia="ja-JP"/>
        </w:rPr>
        <w:t>du marché</w:t>
      </w:r>
      <w:r w:rsidR="00622367" w:rsidRPr="004E4188">
        <w:rPr>
          <w:lang w:eastAsia="ja-JP"/>
        </w:rPr>
        <w:t xml:space="preserve"> </w:t>
      </w:r>
      <w:r w:rsidRPr="004E4188">
        <w:rPr>
          <w:lang w:eastAsia="ja-JP"/>
        </w:rPr>
        <w:t>et éliminez</w:t>
      </w:r>
      <w:r w:rsidR="00332963" w:rsidRPr="004E4188">
        <w:rPr>
          <w:lang w:eastAsia="ja-JP"/>
        </w:rPr>
        <w:t xml:space="preserve"> les alternatives inutiles</w:t>
      </w:r>
      <w:r w:rsidRPr="004E4188">
        <w:rPr>
          <w:lang w:eastAsia="ja-JP"/>
        </w:rPr>
        <w:t>.</w:t>
      </w:r>
    </w:p>
    <w:p w14:paraId="0D5315FB" w14:textId="08A92DAA" w:rsidR="009D2A43" w:rsidRPr="004E4188" w:rsidRDefault="00D0723B" w:rsidP="00B62766">
      <w:pPr>
        <w:spacing w:after="200"/>
        <w:ind w:left="480" w:hangingChars="200" w:hanging="480"/>
        <w:rPr>
          <w:szCs w:val="24"/>
        </w:rPr>
      </w:pPr>
      <w:r w:rsidRPr="004E4188">
        <w:rPr>
          <w:rFonts w:hint="eastAsia"/>
          <w:lang w:eastAsia="ja-JP"/>
        </w:rPr>
        <w:t>(e)</w:t>
      </w:r>
      <w:r w:rsidR="00D45EAD" w:rsidRPr="004E4188">
        <w:t xml:space="preserve"> </w:t>
      </w:r>
      <w:r w:rsidR="00D45EAD" w:rsidRPr="004E4188">
        <w:tab/>
      </w:r>
      <w:r w:rsidR="00A44593" w:rsidRPr="004E4188">
        <w:rPr>
          <w:lang w:eastAsia="ja-JP"/>
        </w:rPr>
        <w:t xml:space="preserve">Sauf </w:t>
      </w:r>
      <w:r w:rsidR="00A44593" w:rsidRPr="004E4188">
        <w:rPr>
          <w:szCs w:val="24"/>
        </w:rPr>
        <w:t>autorisation spécifique de la JICA, les Conditions Particulières ne doivent pas modifier de façon substantielle les dispositions des Conditions Générales.</w:t>
      </w:r>
    </w:p>
    <w:p w14:paraId="15372702" w14:textId="5D4983D6" w:rsidR="00A44593" w:rsidRPr="004E4188" w:rsidRDefault="00A44593" w:rsidP="00B62766">
      <w:pPr>
        <w:spacing w:after="200"/>
        <w:ind w:left="480" w:hangingChars="200" w:hanging="480"/>
        <w:rPr>
          <w:szCs w:val="24"/>
          <w:lang w:eastAsia="en-US"/>
        </w:rPr>
      </w:pPr>
      <w:r w:rsidRPr="004E4188">
        <w:rPr>
          <w:szCs w:val="24"/>
        </w:rPr>
        <w:t>(f)</w:t>
      </w:r>
      <w:r w:rsidR="00D45EAD" w:rsidRPr="004E4188">
        <w:t xml:space="preserve"> </w:t>
      </w:r>
      <w:r w:rsidR="00D45EAD" w:rsidRPr="004E4188">
        <w:tab/>
      </w:r>
      <w:r w:rsidRPr="004E4188">
        <w:rPr>
          <w:szCs w:val="24"/>
        </w:rPr>
        <w:t xml:space="preserve">La </w:t>
      </w:r>
      <w:r w:rsidRPr="004E4188">
        <w:rPr>
          <w:szCs w:val="24"/>
          <w:lang w:eastAsia="en-US"/>
        </w:rPr>
        <w:t xml:space="preserve">préqualification doit suivre la procédure indiquée dans le </w:t>
      </w:r>
      <w:r w:rsidRPr="004E4188">
        <w:rPr>
          <w:i/>
          <w:szCs w:val="24"/>
          <w:lang w:eastAsia="en-US"/>
        </w:rPr>
        <w:t>Dossier Standard de Préqualification sous financement par Prêts APD du Japon</w:t>
      </w:r>
      <w:r w:rsidRPr="004E4188">
        <w:rPr>
          <w:szCs w:val="24"/>
          <w:lang w:eastAsia="en-US"/>
        </w:rPr>
        <w:t>, publié par la JICA. La préqualification est en principe requise préalablement à l’appel d’offres pour</w:t>
      </w:r>
      <w:r w:rsidR="00A46DFB" w:rsidRPr="004E4188">
        <w:rPr>
          <w:szCs w:val="24"/>
          <w:lang w:eastAsia="en-US"/>
        </w:rPr>
        <w:t xml:space="preserve"> </w:t>
      </w:r>
      <w:r w:rsidR="009854AF" w:rsidRPr="004E4188">
        <w:rPr>
          <w:szCs w:val="24"/>
          <w:lang w:eastAsia="en-US"/>
        </w:rPr>
        <w:t>la passation de marchés de c</w:t>
      </w:r>
      <w:r w:rsidR="00A46DFB" w:rsidRPr="004E4188">
        <w:rPr>
          <w:szCs w:val="24"/>
          <w:lang w:eastAsia="en-US"/>
        </w:rPr>
        <w:t xml:space="preserve">onception, </w:t>
      </w:r>
      <w:r w:rsidR="009854AF" w:rsidRPr="004E4188">
        <w:rPr>
          <w:szCs w:val="24"/>
          <w:lang w:eastAsia="en-US"/>
        </w:rPr>
        <w:t>f</w:t>
      </w:r>
      <w:r w:rsidR="00A46DFB" w:rsidRPr="004E4188">
        <w:rPr>
          <w:szCs w:val="24"/>
          <w:lang w:eastAsia="en-US"/>
        </w:rPr>
        <w:t>ourniture et</w:t>
      </w:r>
      <w:r w:rsidR="009854AF" w:rsidRPr="004E4188">
        <w:rPr>
          <w:szCs w:val="24"/>
          <w:lang w:eastAsia="en-US"/>
        </w:rPr>
        <w:t> m</w:t>
      </w:r>
      <w:r w:rsidR="00A46DFB" w:rsidRPr="004E4188">
        <w:rPr>
          <w:szCs w:val="24"/>
          <w:lang w:eastAsia="en-US"/>
        </w:rPr>
        <w:t>ontage d’</w:t>
      </w:r>
      <w:r w:rsidR="009854AF" w:rsidRPr="004E4188">
        <w:rPr>
          <w:szCs w:val="24"/>
          <w:lang w:eastAsia="en-US"/>
        </w:rPr>
        <w:t>é</w:t>
      </w:r>
      <w:r w:rsidR="00A46DFB" w:rsidRPr="004E4188">
        <w:rPr>
          <w:szCs w:val="24"/>
          <w:lang w:eastAsia="en-US"/>
        </w:rPr>
        <w:t xml:space="preserve">quipements </w:t>
      </w:r>
      <w:r w:rsidRPr="004E4188">
        <w:rPr>
          <w:szCs w:val="24"/>
          <w:lang w:eastAsia="en-US"/>
        </w:rPr>
        <w:t>importants ou complexes. S’il n’y a pas eu de préqualification avant la procédure d’appel d’offres, l’évaluation des critères de qualification sera effectuée au stade de l’appel d’offres. Par conséquent, la Section III, Critères d’évaluation et de qualification, propose deux alternatives et le Maître d’ouvrage sélectionnera l’alternative appropriée à inclure dans le Dossier d’appel d’offres.</w:t>
      </w:r>
    </w:p>
    <w:p w14:paraId="0AA19DA4" w14:textId="6853819B" w:rsidR="00105592" w:rsidRPr="004E4188" w:rsidRDefault="00105592" w:rsidP="00B62766">
      <w:pPr>
        <w:spacing w:after="200"/>
        <w:ind w:left="480" w:hangingChars="200" w:hanging="480"/>
        <w:rPr>
          <w:lang w:eastAsia="ja-JP"/>
        </w:rPr>
      </w:pPr>
      <w:r w:rsidRPr="004E4188">
        <w:rPr>
          <w:szCs w:val="24"/>
          <w:lang w:eastAsia="en-US"/>
        </w:rPr>
        <w:t>(g)</w:t>
      </w:r>
      <w:r w:rsidR="00D45EAD" w:rsidRPr="004E4188">
        <w:t xml:space="preserve"> </w:t>
      </w:r>
      <w:r w:rsidR="00D45EAD" w:rsidRPr="004E4188">
        <w:tab/>
      </w:r>
      <w:r w:rsidRPr="004E4188">
        <w:rPr>
          <w:szCs w:val="24"/>
          <w:lang w:eastAsia="en-US"/>
        </w:rPr>
        <w:t xml:space="preserve">Le </w:t>
      </w:r>
      <w:r w:rsidRPr="004E4188">
        <w:rPr>
          <w:szCs w:val="24"/>
          <w:lang w:eastAsia="ja-JP"/>
        </w:rPr>
        <w:t>projet du Dossier d’appel d’offres complet préparé par le Maître d’ouvrage sera soumis à la JICA afin d’être examiné et approuvé conformément à l’Accord de Prêt avant sa diffusion aux Soumissionnaires potentiels.</w:t>
      </w:r>
    </w:p>
    <w:p w14:paraId="154EBABF" w14:textId="526AA2F2" w:rsidR="009A37E8" w:rsidRPr="004E4188" w:rsidRDefault="009A37E8" w:rsidP="0079697E">
      <w:pPr>
        <w:rPr>
          <w:lang w:eastAsia="ja-JP"/>
        </w:rPr>
        <w:sectPr w:rsidR="009A37E8" w:rsidRPr="004E4188" w:rsidSect="001D56CC">
          <w:headerReference w:type="even" r:id="rId15"/>
          <w:headerReference w:type="default" r:id="rId16"/>
          <w:headerReference w:type="first" r:id="rId17"/>
          <w:footnotePr>
            <w:numRestart w:val="eachPage"/>
          </w:footnotePr>
          <w:endnotePr>
            <w:numFmt w:val="decimal"/>
          </w:endnotePr>
          <w:type w:val="nextColumn"/>
          <w:pgSz w:w="12240" w:h="15840" w:code="1"/>
          <w:pgMar w:top="1440" w:right="1440" w:bottom="1440" w:left="1797" w:header="720" w:footer="720" w:gutter="0"/>
          <w:pgNumType w:fmt="lowerRoman" w:start="1"/>
          <w:cols w:space="720"/>
        </w:sectPr>
      </w:pPr>
    </w:p>
    <w:p w14:paraId="11199148" w14:textId="77777777" w:rsidR="00414791" w:rsidRPr="004E4188" w:rsidRDefault="00414791" w:rsidP="00414791">
      <w:pPr>
        <w:spacing w:before="120" w:after="120"/>
        <w:jc w:val="center"/>
        <w:rPr>
          <w:b/>
          <w:sz w:val="36"/>
          <w:szCs w:val="36"/>
        </w:rPr>
      </w:pPr>
      <w:bookmarkStart w:id="21" w:name="_Toc197842300"/>
      <w:bookmarkStart w:id="22" w:name="_Toc197844048"/>
      <w:bookmarkStart w:id="23" w:name="_Toc126998750"/>
      <w:r w:rsidRPr="004E4188">
        <w:rPr>
          <w:b/>
          <w:sz w:val="36"/>
          <w:szCs w:val="36"/>
        </w:rPr>
        <w:t>Procédure</w:t>
      </w:r>
      <w:bookmarkEnd w:id="21"/>
      <w:bookmarkEnd w:id="22"/>
      <w:bookmarkEnd w:id="23"/>
      <w:r w:rsidRPr="004E4188">
        <w:rPr>
          <w:b/>
          <w:sz w:val="36"/>
          <w:szCs w:val="36"/>
        </w:rPr>
        <w:t xml:space="preserve"> d’appel d’offres</w:t>
      </w:r>
    </w:p>
    <w:p w14:paraId="1CE720E5" w14:textId="77777777" w:rsidR="00414791" w:rsidRPr="004E4188" w:rsidRDefault="00414791" w:rsidP="00414791">
      <w:pPr>
        <w:spacing w:before="120" w:after="120"/>
        <w:jc w:val="center"/>
        <w:rPr>
          <w:b/>
          <w:sz w:val="36"/>
          <w:szCs w:val="36"/>
        </w:rPr>
      </w:pPr>
      <w:r w:rsidRPr="004E4188">
        <w:rPr>
          <w:b/>
          <w:sz w:val="36"/>
          <w:szCs w:val="36"/>
        </w:rPr>
        <w:t>Une étape-deux enveloppes</w:t>
      </w:r>
    </w:p>
    <w:p w14:paraId="69E5AB55" w14:textId="77777777" w:rsidR="00414791" w:rsidRPr="004E4188" w:rsidRDefault="00414791" w:rsidP="00414791">
      <w:pPr>
        <w:rPr>
          <w:lang w:eastAsia="ja-JP"/>
        </w:rPr>
      </w:pPr>
    </w:p>
    <w:p w14:paraId="2AEADA49" w14:textId="7779ABC3" w:rsidR="00414791" w:rsidRPr="004E4188" w:rsidRDefault="00C70C43" w:rsidP="00414791">
      <w:pPr>
        <w:spacing w:afterLines="100" w:after="240"/>
        <w:jc w:val="left"/>
        <w:rPr>
          <w:b/>
          <w:bCs/>
          <w:sz w:val="32"/>
          <w:szCs w:val="32"/>
        </w:rPr>
      </w:pPr>
      <w:r w:rsidRPr="004E4188">
        <w:rPr>
          <w:b/>
          <w:bCs/>
          <w:sz w:val="32"/>
          <w:szCs w:val="32"/>
        </w:rPr>
        <w:t>Composition du dossier</w:t>
      </w:r>
    </w:p>
    <w:tbl>
      <w:tblPr>
        <w:tblW w:w="9116" w:type="dxa"/>
        <w:tblLayout w:type="fixed"/>
        <w:tblLook w:val="0000" w:firstRow="0" w:lastRow="0" w:firstColumn="0" w:lastColumn="0" w:noHBand="0" w:noVBand="0"/>
      </w:tblPr>
      <w:tblGrid>
        <w:gridCol w:w="288"/>
        <w:gridCol w:w="540"/>
        <w:gridCol w:w="698"/>
        <w:gridCol w:w="425"/>
        <w:gridCol w:w="6925"/>
        <w:gridCol w:w="240"/>
      </w:tblGrid>
      <w:tr w:rsidR="00414791" w:rsidRPr="004E4188" w14:paraId="3418DAB1" w14:textId="77777777" w:rsidTr="00C937EF">
        <w:tc>
          <w:tcPr>
            <w:tcW w:w="288" w:type="dxa"/>
            <w:tcMar>
              <w:top w:w="57" w:type="dxa"/>
              <w:bottom w:w="57" w:type="dxa"/>
            </w:tcMar>
          </w:tcPr>
          <w:p w14:paraId="0EC4E668" w14:textId="77777777" w:rsidR="00414791" w:rsidRPr="004E4188" w:rsidRDefault="00414791" w:rsidP="00414791">
            <w:pPr>
              <w:rPr>
                <w:sz w:val="20"/>
              </w:rPr>
            </w:pPr>
          </w:p>
        </w:tc>
        <w:tc>
          <w:tcPr>
            <w:tcW w:w="8588" w:type="dxa"/>
            <w:gridSpan w:val="4"/>
            <w:tcBorders>
              <w:top w:val="single" w:sz="6" w:space="0" w:color="auto"/>
              <w:left w:val="single" w:sz="6" w:space="0" w:color="auto"/>
              <w:right w:val="single" w:sz="6" w:space="0" w:color="auto"/>
            </w:tcBorders>
            <w:tcMar>
              <w:top w:w="57" w:type="dxa"/>
              <w:bottom w:w="57" w:type="dxa"/>
            </w:tcMar>
          </w:tcPr>
          <w:p w14:paraId="32C7ECFD" w14:textId="77777777" w:rsidR="00414791" w:rsidRPr="004E4188" w:rsidRDefault="00414791" w:rsidP="00414791">
            <w:pPr>
              <w:jc w:val="center"/>
              <w:rPr>
                <w:b/>
              </w:rPr>
            </w:pPr>
            <w:r w:rsidRPr="004E4188">
              <w:rPr>
                <w:b/>
              </w:rPr>
              <w:t>I. Dossier d’appel d’offres</w:t>
            </w:r>
          </w:p>
          <w:p w14:paraId="3ADB6B25" w14:textId="11BF507A" w:rsidR="00414791" w:rsidRPr="004E4188" w:rsidRDefault="00C70C43" w:rsidP="00C70C43">
            <w:pPr>
              <w:jc w:val="center"/>
              <w:rPr>
                <w:sz w:val="20"/>
              </w:rPr>
            </w:pPr>
            <w:r w:rsidRPr="004E4188">
              <w:rPr>
                <w:b/>
                <w:sz w:val="20"/>
              </w:rPr>
              <w:t xml:space="preserve">Préparé </w:t>
            </w:r>
            <w:r w:rsidR="00414791" w:rsidRPr="004E4188">
              <w:rPr>
                <w:b/>
                <w:sz w:val="20"/>
              </w:rPr>
              <w:t>par le Maître d’ouvrage</w:t>
            </w:r>
          </w:p>
        </w:tc>
        <w:tc>
          <w:tcPr>
            <w:tcW w:w="240" w:type="dxa"/>
            <w:tcBorders>
              <w:left w:val="nil"/>
            </w:tcBorders>
            <w:tcMar>
              <w:top w:w="57" w:type="dxa"/>
              <w:bottom w:w="57" w:type="dxa"/>
            </w:tcMar>
          </w:tcPr>
          <w:p w14:paraId="0EAA3DFD" w14:textId="77777777" w:rsidR="00414791" w:rsidRPr="004E4188" w:rsidRDefault="00414791" w:rsidP="00414791"/>
        </w:tc>
      </w:tr>
      <w:tr w:rsidR="00414791" w:rsidRPr="004E4188" w14:paraId="561A85DF" w14:textId="77777777" w:rsidTr="00C937EF">
        <w:tc>
          <w:tcPr>
            <w:tcW w:w="288" w:type="dxa"/>
            <w:tcMar>
              <w:top w:w="57" w:type="dxa"/>
              <w:bottom w:w="57" w:type="dxa"/>
            </w:tcMar>
          </w:tcPr>
          <w:p w14:paraId="388A9297" w14:textId="77777777" w:rsidR="00414791" w:rsidRPr="004E4188" w:rsidRDefault="00414791" w:rsidP="00414791">
            <w:pPr>
              <w:rPr>
                <w:sz w:val="20"/>
              </w:rPr>
            </w:pPr>
          </w:p>
        </w:tc>
        <w:tc>
          <w:tcPr>
            <w:tcW w:w="1238" w:type="dxa"/>
            <w:gridSpan w:val="2"/>
            <w:tcBorders>
              <w:left w:val="single" w:sz="6" w:space="0" w:color="auto"/>
              <w:bottom w:val="single" w:sz="6" w:space="0" w:color="auto"/>
            </w:tcBorders>
            <w:tcMar>
              <w:top w:w="57" w:type="dxa"/>
              <w:bottom w:w="57" w:type="dxa"/>
            </w:tcMar>
          </w:tcPr>
          <w:p w14:paraId="37267FFA" w14:textId="77777777" w:rsidR="00414791" w:rsidRPr="004E4188" w:rsidRDefault="00414791" w:rsidP="00414791">
            <w:pPr>
              <w:jc w:val="left"/>
              <w:rPr>
                <w:sz w:val="18"/>
                <w:szCs w:val="18"/>
              </w:rPr>
            </w:pPr>
            <w:r w:rsidRPr="004E4188">
              <w:rPr>
                <w:sz w:val="18"/>
                <w:szCs w:val="18"/>
              </w:rPr>
              <w:t xml:space="preserve">Section </w:t>
            </w:r>
            <w:r w:rsidRPr="004E4188">
              <w:rPr>
                <w:sz w:val="18"/>
                <w:szCs w:val="18"/>
                <w:lang w:eastAsia="ja-JP"/>
              </w:rPr>
              <w:t>I</w:t>
            </w:r>
          </w:p>
          <w:p w14:paraId="5B085A7B" w14:textId="77777777" w:rsidR="00414791" w:rsidRPr="004E4188" w:rsidRDefault="00414791" w:rsidP="00414791">
            <w:pPr>
              <w:jc w:val="left"/>
              <w:rPr>
                <w:sz w:val="18"/>
                <w:szCs w:val="18"/>
                <w:lang w:eastAsia="ja-JP"/>
              </w:rPr>
            </w:pPr>
            <w:r w:rsidRPr="004E4188">
              <w:rPr>
                <w:sz w:val="18"/>
                <w:szCs w:val="18"/>
              </w:rPr>
              <w:t xml:space="preserve">Section </w:t>
            </w:r>
            <w:r w:rsidRPr="004E4188">
              <w:rPr>
                <w:sz w:val="18"/>
                <w:szCs w:val="18"/>
                <w:lang w:eastAsia="ja-JP"/>
              </w:rPr>
              <w:t>II</w:t>
            </w:r>
          </w:p>
          <w:p w14:paraId="6A841785" w14:textId="77777777" w:rsidR="00414791" w:rsidRPr="004E4188" w:rsidRDefault="00414791" w:rsidP="00414791">
            <w:pPr>
              <w:jc w:val="left"/>
              <w:rPr>
                <w:sz w:val="18"/>
                <w:szCs w:val="18"/>
              </w:rPr>
            </w:pPr>
            <w:r w:rsidRPr="004E4188">
              <w:rPr>
                <w:sz w:val="18"/>
                <w:szCs w:val="18"/>
              </w:rPr>
              <w:t xml:space="preserve">Section </w:t>
            </w:r>
            <w:r w:rsidRPr="004E4188">
              <w:rPr>
                <w:sz w:val="18"/>
                <w:szCs w:val="18"/>
                <w:lang w:eastAsia="ja-JP"/>
              </w:rPr>
              <w:t>III</w:t>
            </w:r>
          </w:p>
          <w:p w14:paraId="6887264D" w14:textId="77777777" w:rsidR="00414791" w:rsidRPr="004E4188" w:rsidRDefault="00414791" w:rsidP="00414791">
            <w:pPr>
              <w:jc w:val="left"/>
              <w:rPr>
                <w:sz w:val="18"/>
                <w:szCs w:val="18"/>
                <w:lang w:eastAsia="ja-JP"/>
              </w:rPr>
            </w:pPr>
            <w:r w:rsidRPr="004E4188">
              <w:rPr>
                <w:sz w:val="18"/>
                <w:szCs w:val="18"/>
              </w:rPr>
              <w:t xml:space="preserve">Section </w:t>
            </w:r>
            <w:r w:rsidRPr="004E4188">
              <w:rPr>
                <w:sz w:val="18"/>
                <w:szCs w:val="18"/>
                <w:lang w:eastAsia="ja-JP"/>
              </w:rPr>
              <w:t>IV</w:t>
            </w:r>
          </w:p>
          <w:p w14:paraId="23D541C6" w14:textId="77777777" w:rsidR="00414791" w:rsidRPr="004E4188" w:rsidRDefault="00414791" w:rsidP="00414791">
            <w:pPr>
              <w:jc w:val="left"/>
              <w:rPr>
                <w:sz w:val="18"/>
                <w:szCs w:val="18"/>
                <w:lang w:eastAsia="ja-JP"/>
              </w:rPr>
            </w:pPr>
            <w:r w:rsidRPr="004E4188">
              <w:rPr>
                <w:sz w:val="18"/>
                <w:szCs w:val="18"/>
              </w:rPr>
              <w:t xml:space="preserve">Section </w:t>
            </w:r>
            <w:r w:rsidRPr="004E4188">
              <w:rPr>
                <w:sz w:val="18"/>
                <w:szCs w:val="18"/>
                <w:lang w:eastAsia="ja-JP"/>
              </w:rPr>
              <w:t>V</w:t>
            </w:r>
          </w:p>
          <w:p w14:paraId="47490EB0" w14:textId="77777777" w:rsidR="00414791" w:rsidRPr="004E4188" w:rsidRDefault="00414791" w:rsidP="00414791">
            <w:pPr>
              <w:jc w:val="left"/>
              <w:rPr>
                <w:sz w:val="18"/>
                <w:szCs w:val="18"/>
                <w:lang w:eastAsia="ja-JP"/>
              </w:rPr>
            </w:pPr>
            <w:r w:rsidRPr="004E4188">
              <w:rPr>
                <w:sz w:val="18"/>
                <w:szCs w:val="18"/>
              </w:rPr>
              <w:t xml:space="preserve">Section </w:t>
            </w:r>
            <w:r w:rsidRPr="004E4188">
              <w:rPr>
                <w:sz w:val="18"/>
                <w:szCs w:val="18"/>
                <w:lang w:eastAsia="ja-JP"/>
              </w:rPr>
              <w:t>VI</w:t>
            </w:r>
          </w:p>
          <w:p w14:paraId="58C553E5" w14:textId="77777777" w:rsidR="00414791" w:rsidRPr="004E4188" w:rsidRDefault="00414791" w:rsidP="00414791">
            <w:pPr>
              <w:jc w:val="left"/>
              <w:rPr>
                <w:sz w:val="18"/>
                <w:szCs w:val="18"/>
                <w:lang w:eastAsia="ja-JP"/>
              </w:rPr>
            </w:pPr>
            <w:r w:rsidRPr="004E4188">
              <w:rPr>
                <w:sz w:val="18"/>
                <w:szCs w:val="18"/>
              </w:rPr>
              <w:t xml:space="preserve">Section </w:t>
            </w:r>
            <w:r w:rsidRPr="004E4188">
              <w:rPr>
                <w:sz w:val="18"/>
                <w:szCs w:val="18"/>
                <w:lang w:eastAsia="ja-JP"/>
              </w:rPr>
              <w:t>VII</w:t>
            </w:r>
          </w:p>
          <w:p w14:paraId="25306FDB" w14:textId="77777777" w:rsidR="00414791" w:rsidRPr="004E4188" w:rsidRDefault="00414791" w:rsidP="00414791">
            <w:pPr>
              <w:jc w:val="left"/>
              <w:rPr>
                <w:sz w:val="18"/>
                <w:szCs w:val="18"/>
                <w:lang w:eastAsia="ja-JP"/>
              </w:rPr>
            </w:pPr>
            <w:r w:rsidRPr="004E4188">
              <w:rPr>
                <w:sz w:val="18"/>
                <w:szCs w:val="18"/>
              </w:rPr>
              <w:t xml:space="preserve">Section </w:t>
            </w:r>
            <w:r w:rsidRPr="004E4188">
              <w:rPr>
                <w:sz w:val="18"/>
                <w:szCs w:val="18"/>
                <w:lang w:eastAsia="ja-JP"/>
              </w:rPr>
              <w:t>VIII</w:t>
            </w:r>
          </w:p>
          <w:p w14:paraId="4E3FDB1B" w14:textId="77777777" w:rsidR="00414791" w:rsidRPr="004E4188" w:rsidRDefault="00414791" w:rsidP="00414791">
            <w:pPr>
              <w:jc w:val="left"/>
              <w:rPr>
                <w:sz w:val="18"/>
                <w:szCs w:val="18"/>
                <w:lang w:eastAsia="ja-JP"/>
              </w:rPr>
            </w:pPr>
            <w:r w:rsidRPr="004E4188">
              <w:rPr>
                <w:sz w:val="18"/>
                <w:szCs w:val="18"/>
              </w:rPr>
              <w:t xml:space="preserve">Section </w:t>
            </w:r>
            <w:r w:rsidRPr="004E4188">
              <w:rPr>
                <w:sz w:val="18"/>
                <w:szCs w:val="18"/>
                <w:lang w:eastAsia="ja-JP"/>
              </w:rPr>
              <w:t>IX</w:t>
            </w:r>
          </w:p>
        </w:tc>
        <w:tc>
          <w:tcPr>
            <w:tcW w:w="425" w:type="dxa"/>
            <w:tcBorders>
              <w:bottom w:val="single" w:sz="6" w:space="0" w:color="auto"/>
            </w:tcBorders>
            <w:tcMar>
              <w:top w:w="57" w:type="dxa"/>
              <w:bottom w:w="57" w:type="dxa"/>
            </w:tcMar>
          </w:tcPr>
          <w:p w14:paraId="02C57DA5" w14:textId="77777777" w:rsidR="00414791" w:rsidRPr="004E4188" w:rsidRDefault="00414791" w:rsidP="00414791">
            <w:pPr>
              <w:jc w:val="left"/>
              <w:rPr>
                <w:sz w:val="18"/>
                <w:szCs w:val="18"/>
                <w:lang w:eastAsia="ja-JP"/>
              </w:rPr>
            </w:pPr>
            <w:r w:rsidRPr="004E4188">
              <w:rPr>
                <w:sz w:val="18"/>
                <w:szCs w:val="18"/>
                <w:lang w:eastAsia="ja-JP"/>
              </w:rPr>
              <w:t>-</w:t>
            </w:r>
          </w:p>
          <w:p w14:paraId="6D71C674" w14:textId="77777777" w:rsidR="00414791" w:rsidRPr="004E4188" w:rsidRDefault="00414791" w:rsidP="00414791">
            <w:pPr>
              <w:jc w:val="left"/>
              <w:rPr>
                <w:sz w:val="18"/>
                <w:szCs w:val="18"/>
                <w:lang w:eastAsia="ja-JP"/>
              </w:rPr>
            </w:pPr>
            <w:r w:rsidRPr="004E4188">
              <w:rPr>
                <w:sz w:val="18"/>
                <w:szCs w:val="18"/>
                <w:lang w:eastAsia="ja-JP"/>
              </w:rPr>
              <w:t>-</w:t>
            </w:r>
          </w:p>
          <w:p w14:paraId="40D75418" w14:textId="77777777" w:rsidR="00414791" w:rsidRPr="004E4188" w:rsidRDefault="00414791" w:rsidP="00414791">
            <w:pPr>
              <w:jc w:val="left"/>
              <w:rPr>
                <w:sz w:val="18"/>
                <w:szCs w:val="18"/>
                <w:lang w:eastAsia="ja-JP"/>
              </w:rPr>
            </w:pPr>
            <w:r w:rsidRPr="004E4188">
              <w:rPr>
                <w:sz w:val="18"/>
                <w:szCs w:val="18"/>
                <w:lang w:eastAsia="ja-JP"/>
              </w:rPr>
              <w:t>-</w:t>
            </w:r>
          </w:p>
          <w:p w14:paraId="1FC1E22E" w14:textId="77777777" w:rsidR="00414791" w:rsidRPr="004E4188" w:rsidRDefault="00414791" w:rsidP="00414791">
            <w:pPr>
              <w:jc w:val="left"/>
              <w:rPr>
                <w:sz w:val="18"/>
                <w:szCs w:val="18"/>
                <w:lang w:eastAsia="ja-JP"/>
              </w:rPr>
            </w:pPr>
            <w:r w:rsidRPr="004E4188">
              <w:rPr>
                <w:sz w:val="18"/>
                <w:szCs w:val="18"/>
                <w:lang w:eastAsia="ja-JP"/>
              </w:rPr>
              <w:t>-</w:t>
            </w:r>
          </w:p>
          <w:p w14:paraId="6C0EC0CC" w14:textId="77777777" w:rsidR="00414791" w:rsidRPr="004E4188" w:rsidRDefault="00414791" w:rsidP="00414791">
            <w:pPr>
              <w:jc w:val="left"/>
              <w:rPr>
                <w:sz w:val="18"/>
                <w:szCs w:val="18"/>
                <w:lang w:eastAsia="ja-JP"/>
              </w:rPr>
            </w:pPr>
            <w:r w:rsidRPr="004E4188">
              <w:rPr>
                <w:sz w:val="18"/>
                <w:szCs w:val="18"/>
                <w:lang w:eastAsia="ja-JP"/>
              </w:rPr>
              <w:t>-</w:t>
            </w:r>
          </w:p>
          <w:p w14:paraId="0D0733E5" w14:textId="77777777" w:rsidR="00414791" w:rsidRPr="004E4188" w:rsidRDefault="00414791" w:rsidP="00414791">
            <w:pPr>
              <w:jc w:val="left"/>
              <w:rPr>
                <w:sz w:val="18"/>
                <w:szCs w:val="18"/>
                <w:lang w:eastAsia="ja-JP"/>
              </w:rPr>
            </w:pPr>
            <w:r w:rsidRPr="004E4188">
              <w:rPr>
                <w:sz w:val="18"/>
                <w:szCs w:val="18"/>
                <w:lang w:eastAsia="ja-JP"/>
              </w:rPr>
              <w:t>-</w:t>
            </w:r>
          </w:p>
          <w:p w14:paraId="685E8D50" w14:textId="77777777" w:rsidR="00414791" w:rsidRPr="004E4188" w:rsidRDefault="00414791" w:rsidP="00414791">
            <w:pPr>
              <w:jc w:val="left"/>
              <w:rPr>
                <w:sz w:val="18"/>
                <w:szCs w:val="18"/>
                <w:lang w:eastAsia="ja-JP"/>
              </w:rPr>
            </w:pPr>
            <w:r w:rsidRPr="004E4188">
              <w:rPr>
                <w:sz w:val="18"/>
                <w:szCs w:val="18"/>
                <w:lang w:eastAsia="ja-JP"/>
              </w:rPr>
              <w:t>-</w:t>
            </w:r>
          </w:p>
          <w:p w14:paraId="0E602DF3" w14:textId="77777777" w:rsidR="00414791" w:rsidRPr="004E4188" w:rsidRDefault="00414791" w:rsidP="00414791">
            <w:pPr>
              <w:jc w:val="left"/>
              <w:rPr>
                <w:sz w:val="18"/>
                <w:szCs w:val="18"/>
                <w:lang w:eastAsia="ja-JP"/>
              </w:rPr>
            </w:pPr>
            <w:r w:rsidRPr="004E4188">
              <w:rPr>
                <w:sz w:val="18"/>
                <w:szCs w:val="18"/>
                <w:lang w:eastAsia="ja-JP"/>
              </w:rPr>
              <w:t>-</w:t>
            </w:r>
          </w:p>
          <w:p w14:paraId="1ACF8EBC" w14:textId="77777777" w:rsidR="00414791" w:rsidRPr="004E4188" w:rsidRDefault="00414791" w:rsidP="00414791">
            <w:pPr>
              <w:jc w:val="left"/>
              <w:rPr>
                <w:sz w:val="18"/>
                <w:szCs w:val="18"/>
                <w:lang w:eastAsia="ja-JP"/>
              </w:rPr>
            </w:pPr>
            <w:r w:rsidRPr="004E4188">
              <w:rPr>
                <w:sz w:val="18"/>
                <w:szCs w:val="18"/>
                <w:lang w:eastAsia="ja-JP"/>
              </w:rPr>
              <w:t>-</w:t>
            </w:r>
          </w:p>
        </w:tc>
        <w:tc>
          <w:tcPr>
            <w:tcW w:w="6925" w:type="dxa"/>
            <w:tcBorders>
              <w:bottom w:val="single" w:sz="6" w:space="0" w:color="auto"/>
              <w:right w:val="single" w:sz="6" w:space="0" w:color="auto"/>
            </w:tcBorders>
            <w:tcMar>
              <w:top w:w="57" w:type="dxa"/>
              <w:bottom w:w="57" w:type="dxa"/>
            </w:tcMar>
          </w:tcPr>
          <w:p w14:paraId="27A37267" w14:textId="77777777" w:rsidR="00414791" w:rsidRPr="004E4188" w:rsidRDefault="00414791" w:rsidP="00414791">
            <w:pPr>
              <w:jc w:val="left"/>
              <w:rPr>
                <w:sz w:val="18"/>
                <w:szCs w:val="18"/>
                <w:lang w:eastAsia="ja-JP"/>
              </w:rPr>
            </w:pPr>
            <w:r w:rsidRPr="004E4188">
              <w:rPr>
                <w:sz w:val="18"/>
                <w:szCs w:val="18"/>
              </w:rPr>
              <w:t>Instructions aux soumissionnaires (IS)</w:t>
            </w:r>
          </w:p>
          <w:p w14:paraId="4468A46C" w14:textId="77777777" w:rsidR="00414791" w:rsidRPr="004E4188" w:rsidRDefault="00414791" w:rsidP="00414791">
            <w:pPr>
              <w:jc w:val="left"/>
              <w:rPr>
                <w:sz w:val="18"/>
                <w:szCs w:val="18"/>
              </w:rPr>
            </w:pPr>
            <w:r w:rsidRPr="004E4188">
              <w:rPr>
                <w:sz w:val="18"/>
                <w:szCs w:val="18"/>
              </w:rPr>
              <w:t>Données particulières (DP)</w:t>
            </w:r>
          </w:p>
          <w:p w14:paraId="7D789640" w14:textId="77777777" w:rsidR="00414791" w:rsidRPr="004E4188" w:rsidRDefault="00414791" w:rsidP="00414791">
            <w:pPr>
              <w:jc w:val="left"/>
              <w:rPr>
                <w:sz w:val="18"/>
                <w:szCs w:val="18"/>
                <w:lang w:eastAsia="ja-JP"/>
              </w:rPr>
            </w:pPr>
            <w:r w:rsidRPr="004E4188">
              <w:rPr>
                <w:sz w:val="18"/>
                <w:szCs w:val="18"/>
              </w:rPr>
              <w:t>Critères d’évaluation et de qualification</w:t>
            </w:r>
            <w:r w:rsidRPr="004E4188">
              <w:rPr>
                <w:sz w:val="18"/>
                <w:szCs w:val="18"/>
                <w:lang w:eastAsia="ja-JP"/>
              </w:rPr>
              <w:t xml:space="preserve"> (CEQ)</w:t>
            </w:r>
          </w:p>
          <w:p w14:paraId="16291F59" w14:textId="77777777" w:rsidR="00414791" w:rsidRPr="004E4188" w:rsidRDefault="00414791" w:rsidP="00414791">
            <w:pPr>
              <w:jc w:val="left"/>
              <w:rPr>
                <w:sz w:val="18"/>
                <w:szCs w:val="18"/>
              </w:rPr>
            </w:pPr>
            <w:r w:rsidRPr="004E4188">
              <w:rPr>
                <w:sz w:val="18"/>
                <w:szCs w:val="18"/>
              </w:rPr>
              <w:t>Formulaires de soumission</w:t>
            </w:r>
          </w:p>
          <w:p w14:paraId="42A443D1" w14:textId="77777777" w:rsidR="00414791" w:rsidRPr="004E4188" w:rsidRDefault="00414791" w:rsidP="00414791">
            <w:pPr>
              <w:jc w:val="left"/>
              <w:rPr>
                <w:sz w:val="18"/>
                <w:szCs w:val="18"/>
                <w:lang w:eastAsia="ja-JP"/>
              </w:rPr>
            </w:pPr>
            <w:r w:rsidRPr="004E4188">
              <w:rPr>
                <w:sz w:val="18"/>
                <w:szCs w:val="18"/>
              </w:rPr>
              <w:t>Pays d’origine éligibles des Prêts APD du Japon</w:t>
            </w:r>
          </w:p>
          <w:p w14:paraId="32CA8264" w14:textId="77777777" w:rsidR="00414791" w:rsidRPr="004E4188" w:rsidRDefault="00414791" w:rsidP="00414791">
            <w:pPr>
              <w:jc w:val="left"/>
              <w:rPr>
                <w:sz w:val="18"/>
                <w:szCs w:val="18"/>
              </w:rPr>
            </w:pPr>
            <w:r w:rsidRPr="004E4188">
              <w:rPr>
                <w:sz w:val="18"/>
                <w:szCs w:val="18"/>
              </w:rPr>
              <w:t>Exigences du Maître d’ouvrage</w:t>
            </w:r>
          </w:p>
          <w:p w14:paraId="1DF90B86" w14:textId="6E83C54B" w:rsidR="00414791" w:rsidRPr="004E4188" w:rsidRDefault="00D400F9" w:rsidP="00414791">
            <w:pPr>
              <w:jc w:val="left"/>
              <w:rPr>
                <w:sz w:val="18"/>
                <w:szCs w:val="18"/>
                <w:lang w:eastAsia="ja-JP"/>
              </w:rPr>
            </w:pPr>
            <w:r w:rsidRPr="004E4188">
              <w:rPr>
                <w:sz w:val="18"/>
                <w:szCs w:val="18"/>
              </w:rPr>
              <w:t>Conditions Générales (CG)</w:t>
            </w:r>
          </w:p>
          <w:p w14:paraId="763BDB4F" w14:textId="4C1B8807" w:rsidR="00414791" w:rsidRPr="004E4188" w:rsidRDefault="00D51924" w:rsidP="00414791">
            <w:pPr>
              <w:jc w:val="left"/>
              <w:rPr>
                <w:sz w:val="18"/>
                <w:szCs w:val="18"/>
                <w:lang w:eastAsia="ja-JP"/>
              </w:rPr>
            </w:pPr>
            <w:r w:rsidRPr="004E4188">
              <w:rPr>
                <w:sz w:val="18"/>
                <w:szCs w:val="18"/>
              </w:rPr>
              <w:t>Condit</w:t>
            </w:r>
            <w:r w:rsidR="00E539E9" w:rsidRPr="004E4188">
              <w:rPr>
                <w:sz w:val="18"/>
                <w:szCs w:val="18"/>
              </w:rPr>
              <w:t>i</w:t>
            </w:r>
            <w:r w:rsidRPr="004E4188">
              <w:rPr>
                <w:sz w:val="18"/>
                <w:szCs w:val="18"/>
              </w:rPr>
              <w:t>ons Particulières (CP)</w:t>
            </w:r>
          </w:p>
          <w:p w14:paraId="71595869" w14:textId="77777777" w:rsidR="00414791" w:rsidRPr="004E4188" w:rsidRDefault="00414791" w:rsidP="00414791">
            <w:pPr>
              <w:jc w:val="left"/>
              <w:rPr>
                <w:sz w:val="18"/>
                <w:szCs w:val="18"/>
                <w:lang w:eastAsia="ja-JP"/>
              </w:rPr>
            </w:pPr>
            <w:r w:rsidRPr="004E4188">
              <w:rPr>
                <w:sz w:val="18"/>
                <w:szCs w:val="18"/>
              </w:rPr>
              <w:t>Formulaires du Marché</w:t>
            </w:r>
          </w:p>
        </w:tc>
        <w:tc>
          <w:tcPr>
            <w:tcW w:w="240" w:type="dxa"/>
            <w:tcBorders>
              <w:left w:val="nil"/>
            </w:tcBorders>
            <w:tcMar>
              <w:top w:w="57" w:type="dxa"/>
              <w:bottom w:w="57" w:type="dxa"/>
            </w:tcMar>
          </w:tcPr>
          <w:p w14:paraId="0BA1B7F2" w14:textId="77777777" w:rsidR="00414791" w:rsidRPr="004E4188" w:rsidRDefault="00414791" w:rsidP="00414791"/>
        </w:tc>
      </w:tr>
      <w:tr w:rsidR="00414791" w:rsidRPr="004E4188" w14:paraId="432BBCF6" w14:textId="77777777" w:rsidTr="005848E6">
        <w:tc>
          <w:tcPr>
            <w:tcW w:w="9116" w:type="dxa"/>
            <w:gridSpan w:val="6"/>
            <w:tcMar>
              <w:top w:w="57" w:type="dxa"/>
              <w:bottom w:w="57" w:type="dxa"/>
            </w:tcMar>
          </w:tcPr>
          <w:p w14:paraId="528E9660" w14:textId="77777777" w:rsidR="00414791" w:rsidRPr="004E4188" w:rsidRDefault="00414791" w:rsidP="00414791">
            <w:pPr>
              <w:jc w:val="center"/>
              <w:rPr>
                <w:b/>
                <w:sz w:val="48"/>
                <w:szCs w:val="48"/>
                <w:lang w:eastAsia="ja-JP"/>
              </w:rPr>
            </w:pPr>
            <w:r w:rsidRPr="004E4188">
              <w:rPr>
                <w:b/>
                <w:sz w:val="48"/>
                <w:szCs w:val="48"/>
              </w:rPr>
              <w:sym w:font="Symbol" w:char="F0AF"/>
            </w:r>
          </w:p>
        </w:tc>
      </w:tr>
      <w:tr w:rsidR="00414791" w:rsidRPr="004E4188" w14:paraId="739A7581" w14:textId="77777777" w:rsidTr="00C937EF">
        <w:tc>
          <w:tcPr>
            <w:tcW w:w="288" w:type="dxa"/>
            <w:tcMar>
              <w:top w:w="57" w:type="dxa"/>
              <w:bottom w:w="57" w:type="dxa"/>
            </w:tcMar>
          </w:tcPr>
          <w:p w14:paraId="7FFD0C45" w14:textId="77777777" w:rsidR="00414791" w:rsidRPr="004E4188" w:rsidRDefault="00414791" w:rsidP="00414791">
            <w:pPr>
              <w:rPr>
                <w:sz w:val="20"/>
              </w:rPr>
            </w:pPr>
          </w:p>
        </w:tc>
        <w:tc>
          <w:tcPr>
            <w:tcW w:w="8588" w:type="dxa"/>
            <w:gridSpan w:val="4"/>
            <w:tcBorders>
              <w:top w:val="single" w:sz="6" w:space="0" w:color="auto"/>
              <w:left w:val="single" w:sz="6" w:space="0" w:color="auto"/>
              <w:right w:val="single" w:sz="6" w:space="0" w:color="auto"/>
            </w:tcBorders>
            <w:tcMar>
              <w:top w:w="57" w:type="dxa"/>
              <w:bottom w:w="57" w:type="dxa"/>
            </w:tcMar>
          </w:tcPr>
          <w:p w14:paraId="29CCAA47" w14:textId="203A5248" w:rsidR="00414791" w:rsidRPr="004E4188" w:rsidRDefault="00414791" w:rsidP="00414791">
            <w:pPr>
              <w:ind w:left="274" w:hanging="274"/>
              <w:jc w:val="center"/>
              <w:rPr>
                <w:b/>
              </w:rPr>
            </w:pPr>
            <w:r w:rsidRPr="004E4188">
              <w:rPr>
                <w:b/>
              </w:rPr>
              <w:t xml:space="preserve">II. Offre </w:t>
            </w:r>
          </w:p>
          <w:p w14:paraId="2BAD3F55" w14:textId="573E51D4" w:rsidR="00414791" w:rsidRPr="004E4188" w:rsidRDefault="00C70C43" w:rsidP="00C70C43">
            <w:pPr>
              <w:ind w:left="272" w:hanging="272"/>
              <w:jc w:val="center"/>
              <w:rPr>
                <w:sz w:val="20"/>
              </w:rPr>
            </w:pPr>
            <w:r w:rsidRPr="004E4188">
              <w:rPr>
                <w:b/>
                <w:sz w:val="20"/>
              </w:rPr>
              <w:t>R</w:t>
            </w:r>
            <w:r w:rsidR="00414791" w:rsidRPr="004E4188">
              <w:rPr>
                <w:b/>
                <w:sz w:val="20"/>
              </w:rPr>
              <w:t>emise par le Soumissionnaire</w:t>
            </w:r>
          </w:p>
        </w:tc>
        <w:tc>
          <w:tcPr>
            <w:tcW w:w="240" w:type="dxa"/>
            <w:tcBorders>
              <w:left w:val="nil"/>
            </w:tcBorders>
            <w:tcMar>
              <w:top w:w="57" w:type="dxa"/>
              <w:bottom w:w="57" w:type="dxa"/>
            </w:tcMar>
          </w:tcPr>
          <w:p w14:paraId="30637C0B" w14:textId="77777777" w:rsidR="00414791" w:rsidRPr="004E4188" w:rsidRDefault="00414791" w:rsidP="00414791">
            <w:pPr>
              <w:rPr>
                <w:sz w:val="20"/>
              </w:rPr>
            </w:pPr>
          </w:p>
        </w:tc>
      </w:tr>
      <w:tr w:rsidR="00414791" w:rsidRPr="004E4188" w14:paraId="6E48DE72" w14:textId="77777777" w:rsidTr="00C937EF">
        <w:tc>
          <w:tcPr>
            <w:tcW w:w="288" w:type="dxa"/>
            <w:tcMar>
              <w:top w:w="57" w:type="dxa"/>
              <w:bottom w:w="57" w:type="dxa"/>
            </w:tcMar>
          </w:tcPr>
          <w:p w14:paraId="079AC8F5" w14:textId="77777777" w:rsidR="00414791" w:rsidRPr="004E4188" w:rsidRDefault="00414791" w:rsidP="00414791">
            <w:pPr>
              <w:rPr>
                <w:sz w:val="20"/>
              </w:rPr>
            </w:pPr>
          </w:p>
        </w:tc>
        <w:tc>
          <w:tcPr>
            <w:tcW w:w="8588" w:type="dxa"/>
            <w:gridSpan w:val="4"/>
            <w:tcBorders>
              <w:left w:val="single" w:sz="6" w:space="0" w:color="auto"/>
              <w:right w:val="single" w:sz="6" w:space="0" w:color="auto"/>
            </w:tcBorders>
            <w:tcMar>
              <w:top w:w="57" w:type="dxa"/>
              <w:bottom w:w="57" w:type="dxa"/>
            </w:tcMar>
          </w:tcPr>
          <w:p w14:paraId="581C127A" w14:textId="77777777" w:rsidR="00414791" w:rsidRPr="004E4188" w:rsidRDefault="00414791" w:rsidP="00414791">
            <w:pPr>
              <w:ind w:left="259" w:hanging="259"/>
              <w:rPr>
                <w:b/>
                <w:sz w:val="18"/>
                <w:szCs w:val="18"/>
                <w:u w:val="single"/>
                <w:lang w:eastAsia="ja-JP"/>
              </w:rPr>
            </w:pPr>
            <w:r w:rsidRPr="004E4188">
              <w:rPr>
                <w:b/>
                <w:sz w:val="18"/>
                <w:szCs w:val="18"/>
                <w:u w:val="single"/>
                <w:lang w:eastAsia="ja-JP"/>
              </w:rPr>
              <w:t>Offre Technique</w:t>
            </w:r>
          </w:p>
        </w:tc>
        <w:tc>
          <w:tcPr>
            <w:tcW w:w="240" w:type="dxa"/>
            <w:tcBorders>
              <w:left w:val="nil"/>
            </w:tcBorders>
            <w:tcMar>
              <w:top w:w="57" w:type="dxa"/>
              <w:bottom w:w="57" w:type="dxa"/>
            </w:tcMar>
          </w:tcPr>
          <w:p w14:paraId="47FDCA5B" w14:textId="77777777" w:rsidR="00414791" w:rsidRPr="004E4188" w:rsidRDefault="00414791" w:rsidP="00414791">
            <w:pPr>
              <w:rPr>
                <w:sz w:val="20"/>
              </w:rPr>
            </w:pPr>
          </w:p>
        </w:tc>
      </w:tr>
      <w:tr w:rsidR="00414791" w:rsidRPr="004E4188" w14:paraId="30D47253" w14:textId="77777777" w:rsidTr="005848E6">
        <w:tc>
          <w:tcPr>
            <w:tcW w:w="288" w:type="dxa"/>
            <w:tcMar>
              <w:top w:w="57" w:type="dxa"/>
              <w:bottom w:w="57" w:type="dxa"/>
            </w:tcMar>
          </w:tcPr>
          <w:p w14:paraId="7C8AB000" w14:textId="77777777" w:rsidR="00414791" w:rsidRPr="004E4188" w:rsidRDefault="00414791" w:rsidP="00414791">
            <w:pPr>
              <w:rPr>
                <w:sz w:val="20"/>
              </w:rPr>
            </w:pPr>
          </w:p>
        </w:tc>
        <w:tc>
          <w:tcPr>
            <w:tcW w:w="540" w:type="dxa"/>
            <w:tcBorders>
              <w:left w:val="single" w:sz="6" w:space="0" w:color="auto"/>
            </w:tcBorders>
            <w:tcMar>
              <w:top w:w="57" w:type="dxa"/>
              <w:bottom w:w="57" w:type="dxa"/>
            </w:tcMar>
          </w:tcPr>
          <w:p w14:paraId="6F8EE21D" w14:textId="276CAF99" w:rsidR="00414791" w:rsidRPr="004E4188" w:rsidRDefault="00414791" w:rsidP="00414791">
            <w:pPr>
              <w:ind w:left="259" w:hanging="259"/>
              <w:rPr>
                <w:sz w:val="18"/>
                <w:szCs w:val="18"/>
                <w:lang w:val="pt-PT" w:eastAsia="ja-JP"/>
              </w:rPr>
            </w:pPr>
            <w:r w:rsidRPr="004E4188">
              <w:rPr>
                <w:sz w:val="18"/>
                <w:szCs w:val="18"/>
                <w:lang w:val="pt-PT" w:eastAsia="ja-JP"/>
              </w:rPr>
              <w:t>(a)</w:t>
            </w:r>
          </w:p>
          <w:p w14:paraId="578564F3" w14:textId="77777777" w:rsidR="00414791" w:rsidRPr="004E4188" w:rsidRDefault="00414791" w:rsidP="00414791">
            <w:pPr>
              <w:ind w:left="259" w:hanging="259"/>
              <w:rPr>
                <w:sz w:val="18"/>
                <w:szCs w:val="18"/>
                <w:lang w:val="pt-PT"/>
              </w:rPr>
            </w:pPr>
            <w:r w:rsidRPr="004E4188">
              <w:rPr>
                <w:sz w:val="18"/>
                <w:szCs w:val="18"/>
                <w:lang w:val="pt-PT"/>
              </w:rPr>
              <w:t>(b)</w:t>
            </w:r>
          </w:p>
          <w:p w14:paraId="337EA634" w14:textId="77777777" w:rsidR="00414791" w:rsidRPr="004E4188" w:rsidRDefault="00414791" w:rsidP="00414791">
            <w:pPr>
              <w:ind w:left="259" w:hanging="259"/>
              <w:rPr>
                <w:sz w:val="18"/>
                <w:szCs w:val="18"/>
                <w:lang w:val="pt-PT"/>
              </w:rPr>
            </w:pPr>
            <w:r w:rsidRPr="004E4188">
              <w:rPr>
                <w:sz w:val="18"/>
                <w:szCs w:val="18"/>
                <w:lang w:val="pt-PT"/>
              </w:rPr>
              <w:t>(c)</w:t>
            </w:r>
          </w:p>
          <w:p w14:paraId="0E6B8091" w14:textId="77777777" w:rsidR="005835EB" w:rsidRPr="004E4188" w:rsidRDefault="005835EB" w:rsidP="001D5FCE">
            <w:pPr>
              <w:rPr>
                <w:sz w:val="18"/>
                <w:szCs w:val="18"/>
                <w:lang w:val="pt-PT"/>
              </w:rPr>
            </w:pPr>
          </w:p>
          <w:p w14:paraId="4A9FE5DF" w14:textId="4523DC0D" w:rsidR="00414791" w:rsidRPr="004E4188" w:rsidRDefault="00414791" w:rsidP="00414791">
            <w:pPr>
              <w:ind w:left="259" w:hanging="259"/>
              <w:rPr>
                <w:sz w:val="18"/>
                <w:szCs w:val="18"/>
                <w:lang w:val="pt-PT" w:eastAsia="ja-JP"/>
              </w:rPr>
            </w:pPr>
            <w:r w:rsidRPr="004E4188">
              <w:rPr>
                <w:sz w:val="18"/>
                <w:szCs w:val="18"/>
                <w:lang w:val="pt-PT" w:eastAsia="ja-JP"/>
              </w:rPr>
              <w:t>(d)</w:t>
            </w:r>
          </w:p>
          <w:p w14:paraId="0DF6F1AC" w14:textId="77777777" w:rsidR="001D5FCE" w:rsidRPr="004E4188" w:rsidRDefault="001D5FCE" w:rsidP="00414791">
            <w:pPr>
              <w:ind w:left="259" w:hanging="259"/>
              <w:rPr>
                <w:sz w:val="18"/>
                <w:szCs w:val="18"/>
                <w:lang w:val="pt-PT" w:eastAsia="ja-JP"/>
              </w:rPr>
            </w:pPr>
          </w:p>
          <w:p w14:paraId="5AC0BA8F" w14:textId="77777777" w:rsidR="00414791" w:rsidRPr="004E4188" w:rsidRDefault="00414791" w:rsidP="00414791">
            <w:pPr>
              <w:ind w:left="259" w:hanging="259"/>
              <w:rPr>
                <w:sz w:val="18"/>
                <w:szCs w:val="18"/>
                <w:lang w:val="pt-PT" w:eastAsia="ja-JP"/>
              </w:rPr>
            </w:pPr>
            <w:r w:rsidRPr="004E4188">
              <w:rPr>
                <w:sz w:val="18"/>
                <w:szCs w:val="18"/>
                <w:lang w:val="pt-PT" w:eastAsia="ja-JP"/>
              </w:rPr>
              <w:t>(e)</w:t>
            </w:r>
          </w:p>
          <w:p w14:paraId="2EC1F344" w14:textId="77777777" w:rsidR="00414791" w:rsidRPr="004E4188" w:rsidRDefault="00414791" w:rsidP="00414791">
            <w:pPr>
              <w:ind w:left="259" w:hanging="259"/>
              <w:rPr>
                <w:sz w:val="18"/>
                <w:szCs w:val="18"/>
                <w:lang w:val="pt-PT" w:eastAsia="ja-JP"/>
              </w:rPr>
            </w:pPr>
          </w:p>
          <w:p w14:paraId="0F0D514E" w14:textId="77777777" w:rsidR="00414791" w:rsidRPr="004E4188" w:rsidRDefault="00414791" w:rsidP="00414791">
            <w:pPr>
              <w:ind w:left="259" w:hanging="259"/>
              <w:rPr>
                <w:sz w:val="18"/>
                <w:szCs w:val="18"/>
                <w:lang w:val="pt-PT" w:eastAsia="ja-JP"/>
              </w:rPr>
            </w:pPr>
            <w:r w:rsidRPr="004E4188">
              <w:rPr>
                <w:sz w:val="18"/>
                <w:szCs w:val="18"/>
                <w:lang w:val="pt-PT" w:eastAsia="ja-JP"/>
              </w:rPr>
              <w:t>(f)</w:t>
            </w:r>
          </w:p>
          <w:p w14:paraId="0CF4D17D" w14:textId="77777777" w:rsidR="00414791" w:rsidRPr="004E4188" w:rsidRDefault="00414791" w:rsidP="00414791">
            <w:pPr>
              <w:ind w:left="259" w:hanging="259"/>
              <w:rPr>
                <w:sz w:val="18"/>
                <w:szCs w:val="18"/>
                <w:lang w:val="pt-PT" w:eastAsia="ja-JP"/>
              </w:rPr>
            </w:pPr>
          </w:p>
          <w:p w14:paraId="27156C12" w14:textId="77777777" w:rsidR="00414791" w:rsidRPr="004E4188" w:rsidRDefault="00414791" w:rsidP="00414791">
            <w:pPr>
              <w:ind w:left="259" w:hanging="259"/>
              <w:rPr>
                <w:sz w:val="18"/>
                <w:szCs w:val="18"/>
                <w:lang w:val="pt-PT" w:eastAsia="ja-JP"/>
              </w:rPr>
            </w:pPr>
            <w:r w:rsidRPr="004E4188">
              <w:rPr>
                <w:sz w:val="18"/>
                <w:szCs w:val="18"/>
                <w:lang w:val="pt-PT" w:eastAsia="ja-JP"/>
              </w:rPr>
              <w:t>(g)</w:t>
            </w:r>
          </w:p>
          <w:p w14:paraId="5336A17D" w14:textId="77777777" w:rsidR="00414791" w:rsidRPr="004E4188" w:rsidRDefault="00414791" w:rsidP="002D6DB2">
            <w:pPr>
              <w:rPr>
                <w:sz w:val="18"/>
                <w:szCs w:val="18"/>
                <w:lang w:val="pt-PT" w:eastAsia="ja-JP"/>
              </w:rPr>
            </w:pPr>
            <w:r w:rsidRPr="004E4188">
              <w:rPr>
                <w:sz w:val="18"/>
                <w:szCs w:val="18"/>
                <w:lang w:val="pt-PT" w:eastAsia="ja-JP"/>
              </w:rPr>
              <w:t>(h)</w:t>
            </w:r>
          </w:p>
          <w:p w14:paraId="4375804E" w14:textId="77777777" w:rsidR="002D6DB2" w:rsidRPr="004E4188" w:rsidRDefault="002D6DB2" w:rsidP="00414791">
            <w:pPr>
              <w:ind w:left="259" w:hanging="259"/>
              <w:rPr>
                <w:sz w:val="18"/>
                <w:szCs w:val="18"/>
                <w:lang w:val="pt-PT" w:eastAsia="ja-JP"/>
              </w:rPr>
            </w:pPr>
          </w:p>
          <w:p w14:paraId="4E6962A8" w14:textId="18365AB9" w:rsidR="00414791" w:rsidRPr="004E4188" w:rsidRDefault="00414791" w:rsidP="002D6DB2">
            <w:pPr>
              <w:ind w:left="259" w:hanging="259"/>
              <w:rPr>
                <w:sz w:val="18"/>
                <w:szCs w:val="18"/>
                <w:lang w:val="pt-PT" w:eastAsia="ja-JP"/>
              </w:rPr>
            </w:pPr>
            <w:r w:rsidRPr="004E4188">
              <w:rPr>
                <w:sz w:val="18"/>
                <w:szCs w:val="18"/>
                <w:lang w:val="pt-PT" w:eastAsia="ja-JP"/>
              </w:rPr>
              <w:t>(i)</w:t>
            </w:r>
          </w:p>
        </w:tc>
        <w:tc>
          <w:tcPr>
            <w:tcW w:w="8048" w:type="dxa"/>
            <w:gridSpan w:val="3"/>
            <w:tcBorders>
              <w:right w:val="single" w:sz="6" w:space="0" w:color="auto"/>
            </w:tcBorders>
          </w:tcPr>
          <w:p w14:paraId="3BFAA751" w14:textId="0B6378CB" w:rsidR="00414791" w:rsidRPr="004E4188" w:rsidRDefault="0004043D" w:rsidP="00414791">
            <w:pPr>
              <w:ind w:left="259" w:hanging="259"/>
              <w:rPr>
                <w:sz w:val="18"/>
                <w:szCs w:val="18"/>
              </w:rPr>
            </w:pPr>
            <w:r w:rsidRPr="004E4188">
              <w:rPr>
                <w:sz w:val="18"/>
                <w:szCs w:val="18"/>
              </w:rPr>
              <w:t>L</w:t>
            </w:r>
            <w:r w:rsidR="00414791" w:rsidRPr="004E4188">
              <w:rPr>
                <w:sz w:val="18"/>
                <w:szCs w:val="18"/>
              </w:rPr>
              <w:t xml:space="preserve">a </w:t>
            </w:r>
            <w:r w:rsidR="00414791" w:rsidRPr="004E4188">
              <w:rPr>
                <w:sz w:val="18"/>
                <w:szCs w:val="18"/>
                <w:lang w:eastAsia="ja-JP"/>
              </w:rPr>
              <w:t>L</w:t>
            </w:r>
            <w:r w:rsidR="00414791" w:rsidRPr="004E4188">
              <w:rPr>
                <w:sz w:val="18"/>
                <w:szCs w:val="18"/>
              </w:rPr>
              <w:t>ettre de soumission de l’Offre Technique</w:t>
            </w:r>
            <w:r w:rsidR="00F01AB4" w:rsidRPr="004E4188">
              <w:rPr>
                <w:sz w:val="18"/>
                <w:szCs w:val="18"/>
              </w:rPr>
              <w:t xml:space="preserve"> établie </w:t>
            </w:r>
            <w:r w:rsidR="00672903" w:rsidRPr="004E4188">
              <w:rPr>
                <w:sz w:val="18"/>
                <w:szCs w:val="18"/>
              </w:rPr>
              <w:t>conformément à IS 12.1</w:t>
            </w:r>
            <w:r w:rsidRPr="004E4188">
              <w:rPr>
                <w:sz w:val="18"/>
                <w:szCs w:val="18"/>
              </w:rPr>
              <w:t>.</w:t>
            </w:r>
          </w:p>
          <w:p w14:paraId="19F19190" w14:textId="1F806435" w:rsidR="00414791" w:rsidRPr="004E4188" w:rsidRDefault="0004043D" w:rsidP="00414791">
            <w:pPr>
              <w:ind w:left="259" w:hanging="259"/>
              <w:rPr>
                <w:sz w:val="18"/>
                <w:szCs w:val="18"/>
              </w:rPr>
            </w:pPr>
            <w:r w:rsidRPr="004E4188">
              <w:rPr>
                <w:sz w:val="18"/>
                <w:szCs w:val="18"/>
              </w:rPr>
              <w:t>L</w:t>
            </w:r>
            <w:r w:rsidR="00414791" w:rsidRPr="004E4188">
              <w:rPr>
                <w:sz w:val="18"/>
                <w:szCs w:val="18"/>
              </w:rPr>
              <w:t xml:space="preserve">a garantie de soumission, </w:t>
            </w:r>
            <w:r w:rsidR="00F6473D" w:rsidRPr="004E4188">
              <w:rPr>
                <w:sz w:val="18"/>
                <w:szCs w:val="18"/>
              </w:rPr>
              <w:t xml:space="preserve">établie </w:t>
            </w:r>
            <w:r w:rsidR="00414791" w:rsidRPr="004E4188">
              <w:rPr>
                <w:sz w:val="18"/>
                <w:szCs w:val="18"/>
              </w:rPr>
              <w:t xml:space="preserve">conformément à IS </w:t>
            </w:r>
            <w:r w:rsidR="00557E0D" w:rsidRPr="004E4188">
              <w:rPr>
                <w:sz w:val="18"/>
                <w:szCs w:val="18"/>
              </w:rPr>
              <w:t>19</w:t>
            </w:r>
            <w:r w:rsidRPr="004E4188">
              <w:rPr>
                <w:sz w:val="18"/>
                <w:szCs w:val="18"/>
                <w:lang w:eastAsia="ja-JP"/>
              </w:rPr>
              <w:t>.</w:t>
            </w:r>
          </w:p>
          <w:p w14:paraId="636A118F" w14:textId="25CDB6A6" w:rsidR="00414791" w:rsidRPr="004E4188" w:rsidRDefault="0004043D" w:rsidP="00414791">
            <w:pPr>
              <w:ind w:leftChars="5" w:left="12"/>
              <w:jc w:val="left"/>
              <w:rPr>
                <w:sz w:val="18"/>
                <w:szCs w:val="18"/>
                <w:lang w:eastAsia="ja-JP"/>
              </w:rPr>
            </w:pPr>
            <w:r w:rsidRPr="004E4188">
              <w:rPr>
                <w:sz w:val="18"/>
                <w:szCs w:val="18"/>
              </w:rPr>
              <w:t>L</w:t>
            </w:r>
            <w:r w:rsidR="00511F13" w:rsidRPr="004E4188">
              <w:rPr>
                <w:sz w:val="18"/>
                <w:szCs w:val="18"/>
              </w:rPr>
              <w:t xml:space="preserve">a procuration attestant que le signataire de l’offre est habilité à engager le Soumissionnaire conformément à IS </w:t>
            </w:r>
            <w:r w:rsidR="003E5C28" w:rsidRPr="004E4188">
              <w:rPr>
                <w:sz w:val="18"/>
                <w:szCs w:val="18"/>
              </w:rPr>
              <w:t>20</w:t>
            </w:r>
            <w:r w:rsidR="00511F13" w:rsidRPr="004E4188">
              <w:rPr>
                <w:sz w:val="18"/>
                <w:szCs w:val="18"/>
              </w:rPr>
              <w:t xml:space="preserve">.2 et IS </w:t>
            </w:r>
            <w:r w:rsidR="003E5C28" w:rsidRPr="004E4188">
              <w:rPr>
                <w:sz w:val="18"/>
                <w:szCs w:val="18"/>
              </w:rPr>
              <w:t>20</w:t>
            </w:r>
            <w:r w:rsidR="00511F13" w:rsidRPr="004E4188">
              <w:rPr>
                <w:sz w:val="18"/>
                <w:szCs w:val="18"/>
              </w:rPr>
              <w:t>.3</w:t>
            </w:r>
            <w:r w:rsidRPr="004E4188">
              <w:rPr>
                <w:sz w:val="18"/>
                <w:szCs w:val="18"/>
              </w:rPr>
              <w:t>.</w:t>
            </w:r>
          </w:p>
          <w:p w14:paraId="1C13B77E" w14:textId="1127B1D6" w:rsidR="00414791" w:rsidRPr="004E4188" w:rsidRDefault="0004043D" w:rsidP="00414791">
            <w:pPr>
              <w:rPr>
                <w:sz w:val="18"/>
                <w:szCs w:val="18"/>
                <w:lang w:eastAsia="ja-JP"/>
              </w:rPr>
            </w:pPr>
            <w:r w:rsidRPr="004E4188">
              <w:rPr>
                <w:sz w:val="18"/>
                <w:szCs w:val="18"/>
                <w:lang w:eastAsia="ja-JP"/>
              </w:rPr>
              <w:t>D</w:t>
            </w:r>
            <w:r w:rsidR="003E5C28" w:rsidRPr="004E4188">
              <w:rPr>
                <w:sz w:val="18"/>
                <w:szCs w:val="18"/>
                <w:lang w:eastAsia="ja-JP"/>
              </w:rPr>
              <w:t>ans le cas d</w:t>
            </w:r>
            <w:r w:rsidR="00811905" w:rsidRPr="004E4188">
              <w:rPr>
                <w:sz w:val="18"/>
                <w:szCs w:val="18"/>
                <w:lang w:eastAsia="ja-JP"/>
              </w:rPr>
              <w:t>’une</w:t>
            </w:r>
            <w:r w:rsidR="003E5C28" w:rsidRPr="004E4188">
              <w:rPr>
                <w:sz w:val="18"/>
                <w:szCs w:val="18"/>
                <w:lang w:eastAsia="ja-JP"/>
              </w:rPr>
              <w:t xml:space="preserve"> offre </w:t>
            </w:r>
            <w:r w:rsidR="003E5C28" w:rsidRPr="004E4188">
              <w:rPr>
                <w:sz w:val="18"/>
                <w:szCs w:val="18"/>
              </w:rPr>
              <w:t>soumise par un Groupement d’entreprises,</w:t>
            </w:r>
            <w:r w:rsidR="003E5C28" w:rsidRPr="004E4188">
              <w:rPr>
                <w:sz w:val="18"/>
                <w:szCs w:val="18"/>
                <w:lang w:eastAsia="ja-JP"/>
              </w:rPr>
              <w:t xml:space="preserve"> </w:t>
            </w:r>
            <w:r w:rsidR="00414791" w:rsidRPr="004E4188">
              <w:rPr>
                <w:sz w:val="18"/>
                <w:szCs w:val="18"/>
                <w:lang w:eastAsia="ja-JP"/>
              </w:rPr>
              <w:t>la copie de l’accord de Groupement</w:t>
            </w:r>
            <w:r w:rsidR="003E5C28" w:rsidRPr="004E4188">
              <w:rPr>
                <w:sz w:val="18"/>
                <w:szCs w:val="18"/>
                <w:lang w:eastAsia="ja-JP"/>
              </w:rPr>
              <w:t>,</w:t>
            </w:r>
            <w:r w:rsidR="00414791" w:rsidRPr="004E4188">
              <w:rPr>
                <w:sz w:val="18"/>
                <w:szCs w:val="18"/>
                <w:lang w:eastAsia="ja-JP"/>
              </w:rPr>
              <w:t xml:space="preserve"> ou la lettre d’intention de </w:t>
            </w:r>
            <w:r w:rsidR="003E5C28" w:rsidRPr="004E4188">
              <w:rPr>
                <w:sz w:val="18"/>
                <w:szCs w:val="18"/>
                <w:lang w:eastAsia="ja-JP"/>
              </w:rPr>
              <w:t xml:space="preserve">constituer </w:t>
            </w:r>
            <w:r w:rsidR="00414791" w:rsidRPr="004E4188">
              <w:rPr>
                <w:sz w:val="18"/>
                <w:szCs w:val="18"/>
                <w:lang w:eastAsia="ja-JP"/>
              </w:rPr>
              <w:t xml:space="preserve">un Groupement incluant le projet </w:t>
            </w:r>
            <w:r w:rsidR="00C073A2" w:rsidRPr="004E4188">
              <w:rPr>
                <w:sz w:val="18"/>
                <w:szCs w:val="18"/>
                <w:lang w:eastAsia="ja-JP"/>
              </w:rPr>
              <w:t>d</w:t>
            </w:r>
            <w:r w:rsidR="00414791" w:rsidRPr="004E4188">
              <w:rPr>
                <w:sz w:val="18"/>
                <w:szCs w:val="18"/>
                <w:lang w:eastAsia="ja-JP"/>
              </w:rPr>
              <w:t>’accord,</w:t>
            </w:r>
            <w:r w:rsidR="003E5C28" w:rsidRPr="004E4188">
              <w:rPr>
                <w:sz w:val="18"/>
                <w:szCs w:val="18"/>
                <w:lang w:eastAsia="ja-JP"/>
              </w:rPr>
              <w:t xml:space="preserve"> établie</w:t>
            </w:r>
            <w:r w:rsidR="00557E0D" w:rsidRPr="004E4188">
              <w:rPr>
                <w:sz w:val="18"/>
                <w:szCs w:val="18"/>
                <w:lang w:eastAsia="ja-JP"/>
              </w:rPr>
              <w:t>s</w:t>
            </w:r>
            <w:r w:rsidR="003E5C28" w:rsidRPr="004E4188">
              <w:rPr>
                <w:sz w:val="18"/>
                <w:szCs w:val="18"/>
                <w:lang w:eastAsia="ja-JP"/>
              </w:rPr>
              <w:t xml:space="preserve"> conformément à IS 4.1.</w:t>
            </w:r>
          </w:p>
          <w:p w14:paraId="30941F91" w14:textId="5771A34B" w:rsidR="00F819C1" w:rsidRPr="004E4188" w:rsidRDefault="0004043D" w:rsidP="00414791">
            <w:pPr>
              <w:rPr>
                <w:sz w:val="18"/>
                <w:szCs w:val="18"/>
                <w:lang w:eastAsia="ja-JP"/>
              </w:rPr>
            </w:pPr>
            <w:r w:rsidRPr="004E4188">
              <w:rPr>
                <w:sz w:val="18"/>
                <w:szCs w:val="18"/>
                <w:lang w:eastAsia="ja-JP"/>
              </w:rPr>
              <w:t>L</w:t>
            </w:r>
            <w:r w:rsidR="00F819C1" w:rsidRPr="004E4188">
              <w:rPr>
                <w:rFonts w:hint="eastAsia"/>
                <w:sz w:val="18"/>
                <w:szCs w:val="18"/>
                <w:lang w:eastAsia="ja-JP"/>
              </w:rPr>
              <w:t xml:space="preserve">es </w:t>
            </w:r>
            <w:r w:rsidR="00F819C1" w:rsidRPr="004E4188">
              <w:rPr>
                <w:sz w:val="18"/>
                <w:szCs w:val="18"/>
              </w:rPr>
              <w:t>documents attestant que le Soumissionnaire répond aux critères d’éligibilité et possède les qualifications requises pour exécuter le Marché si son offre est retenue, conformément à IS 17</w:t>
            </w:r>
            <w:r w:rsidRPr="004E4188">
              <w:rPr>
                <w:sz w:val="18"/>
                <w:szCs w:val="18"/>
              </w:rPr>
              <w:t>.</w:t>
            </w:r>
          </w:p>
          <w:p w14:paraId="3F6E9B7D" w14:textId="19257508" w:rsidR="00414791" w:rsidRPr="004E4188" w:rsidRDefault="0004043D" w:rsidP="00414791">
            <w:pPr>
              <w:rPr>
                <w:sz w:val="18"/>
                <w:szCs w:val="18"/>
              </w:rPr>
            </w:pPr>
            <w:r w:rsidRPr="004E4188">
              <w:rPr>
                <w:sz w:val="18"/>
                <w:szCs w:val="18"/>
                <w:lang w:eastAsia="ja-JP"/>
              </w:rPr>
              <w:t>L</w:t>
            </w:r>
            <w:r w:rsidR="00414791" w:rsidRPr="004E4188">
              <w:rPr>
                <w:sz w:val="18"/>
                <w:szCs w:val="18"/>
                <w:lang w:eastAsia="ja-JP"/>
              </w:rPr>
              <w:t xml:space="preserve">es documents attestant, conformément à IS </w:t>
            </w:r>
            <w:r w:rsidR="00414791" w:rsidRPr="004E4188">
              <w:rPr>
                <w:sz w:val="18"/>
                <w:szCs w:val="18"/>
              </w:rPr>
              <w:t>16</w:t>
            </w:r>
            <w:r w:rsidR="00CD14A9" w:rsidRPr="004E4188">
              <w:rPr>
                <w:sz w:val="18"/>
                <w:szCs w:val="18"/>
              </w:rPr>
              <w:t>.2</w:t>
            </w:r>
            <w:r w:rsidR="00414791" w:rsidRPr="004E4188">
              <w:rPr>
                <w:sz w:val="18"/>
                <w:szCs w:val="18"/>
              </w:rPr>
              <w:t xml:space="preserve">, que les </w:t>
            </w:r>
            <w:r w:rsidR="00A14B9B" w:rsidRPr="004E4188">
              <w:rPr>
                <w:sz w:val="18"/>
                <w:szCs w:val="18"/>
              </w:rPr>
              <w:t>É</w:t>
            </w:r>
            <w:r w:rsidR="00414791" w:rsidRPr="004E4188">
              <w:rPr>
                <w:sz w:val="18"/>
                <w:szCs w:val="18"/>
              </w:rPr>
              <w:t>quipements et Services de montage offerts par le Soumissionnaire sont conformes au Dossier d’appel d’offres</w:t>
            </w:r>
            <w:r w:rsidRPr="004E4188">
              <w:rPr>
                <w:sz w:val="18"/>
                <w:szCs w:val="18"/>
              </w:rPr>
              <w:t>.</w:t>
            </w:r>
          </w:p>
          <w:p w14:paraId="2A74928E" w14:textId="661812BA" w:rsidR="002E7642" w:rsidRPr="004E4188" w:rsidRDefault="0004043D" w:rsidP="001D5FCE">
            <w:pPr>
              <w:rPr>
                <w:sz w:val="18"/>
                <w:szCs w:val="18"/>
              </w:rPr>
            </w:pPr>
            <w:r w:rsidRPr="004E4188">
              <w:rPr>
                <w:sz w:val="18"/>
                <w:szCs w:val="18"/>
              </w:rPr>
              <w:t>L</w:t>
            </w:r>
            <w:r w:rsidR="00CD14A9" w:rsidRPr="004E4188">
              <w:rPr>
                <w:rFonts w:hint="eastAsia"/>
                <w:sz w:val="18"/>
                <w:szCs w:val="18"/>
              </w:rPr>
              <w:t xml:space="preserve">a Proposition technique </w:t>
            </w:r>
            <w:r w:rsidR="002D6DB2" w:rsidRPr="004E4188">
              <w:rPr>
                <w:sz w:val="18"/>
                <w:szCs w:val="18"/>
              </w:rPr>
              <w:t>soumise</w:t>
            </w:r>
            <w:r w:rsidR="00CD14A9" w:rsidRPr="004E4188">
              <w:rPr>
                <w:rFonts w:hint="eastAsia"/>
                <w:sz w:val="18"/>
                <w:szCs w:val="18"/>
              </w:rPr>
              <w:t xml:space="preserve"> conformément à IS 16</w:t>
            </w:r>
            <w:r w:rsidRPr="004E4188">
              <w:rPr>
                <w:sz w:val="18"/>
                <w:szCs w:val="18"/>
              </w:rPr>
              <w:t>.</w:t>
            </w:r>
          </w:p>
          <w:p w14:paraId="307E819D" w14:textId="1E45328E" w:rsidR="001D5FCE" w:rsidRPr="004E4188" w:rsidRDefault="006A226E" w:rsidP="001D5FCE">
            <w:pPr>
              <w:rPr>
                <w:sz w:val="18"/>
                <w:szCs w:val="18"/>
              </w:rPr>
            </w:pPr>
            <w:r w:rsidRPr="004E4188">
              <w:rPr>
                <w:sz w:val="18"/>
                <w:szCs w:val="18"/>
              </w:rPr>
              <w:t>L</w:t>
            </w:r>
            <w:r w:rsidR="001D5FCE" w:rsidRPr="004E4188">
              <w:rPr>
                <w:sz w:val="18"/>
                <w:szCs w:val="18"/>
              </w:rPr>
              <w:t>a Reconnaissance du respect des Directives pour les passations de marchés sous financement par Prêts APD du Japon</w:t>
            </w:r>
            <w:r w:rsidR="001D5FCE" w:rsidRPr="004E4188">
              <w:rPr>
                <w:sz w:val="18"/>
                <w:szCs w:val="18"/>
                <w:lang w:eastAsia="ja-JP"/>
              </w:rPr>
              <w:t xml:space="preserve"> (Formulaire REC)</w:t>
            </w:r>
            <w:r w:rsidR="00C71E48" w:rsidRPr="004E4188">
              <w:rPr>
                <w:sz w:val="18"/>
                <w:szCs w:val="18"/>
                <w:lang w:eastAsia="ja-JP"/>
              </w:rPr>
              <w:t>.</w:t>
            </w:r>
            <w:r w:rsidR="00C71E48" w:rsidRPr="004E4188">
              <w:rPr>
                <w:rFonts w:hint="eastAsia"/>
                <w:sz w:val="18"/>
                <w:szCs w:val="18"/>
                <w:lang w:eastAsia="ja-JP"/>
              </w:rPr>
              <w:t xml:space="preserve"> </w:t>
            </w:r>
            <w:r w:rsidR="00C71E48" w:rsidRPr="004E4188">
              <w:rPr>
                <w:sz w:val="18"/>
                <w:szCs w:val="18"/>
              </w:rPr>
              <w:t>Le représentant habilité du Soumissionnaire doit signer et dater ce formulaire.</w:t>
            </w:r>
          </w:p>
          <w:p w14:paraId="7D284204" w14:textId="13C18655" w:rsidR="00414791" w:rsidRPr="004E4188" w:rsidRDefault="00927930" w:rsidP="002D6DB2">
            <w:pPr>
              <w:rPr>
                <w:sz w:val="18"/>
                <w:szCs w:val="18"/>
                <w:u w:val="single"/>
                <w:lang w:eastAsia="ja-JP"/>
              </w:rPr>
            </w:pPr>
            <w:r w:rsidRPr="004E4188">
              <w:rPr>
                <w:sz w:val="18"/>
                <w:szCs w:val="18"/>
              </w:rPr>
              <w:t>T</w:t>
            </w:r>
            <w:r w:rsidR="00414791" w:rsidRPr="004E4188">
              <w:rPr>
                <w:sz w:val="18"/>
                <w:szCs w:val="18"/>
              </w:rPr>
              <w:t xml:space="preserve">out autre document requis </w:t>
            </w:r>
            <w:r w:rsidR="000939CF" w:rsidRPr="004E4188">
              <w:rPr>
                <w:sz w:val="18"/>
                <w:szCs w:val="18"/>
              </w:rPr>
              <w:t xml:space="preserve">par </w:t>
            </w:r>
            <w:r w:rsidR="00414791" w:rsidRPr="004E4188">
              <w:rPr>
                <w:sz w:val="18"/>
                <w:szCs w:val="18"/>
              </w:rPr>
              <w:t>DP</w:t>
            </w:r>
            <w:r w:rsidR="00FF6CBE" w:rsidRPr="004E4188">
              <w:rPr>
                <w:sz w:val="18"/>
                <w:szCs w:val="18"/>
              </w:rPr>
              <w:t xml:space="preserve"> </w:t>
            </w:r>
            <w:r w:rsidR="002D6DB2" w:rsidRPr="004E4188">
              <w:rPr>
                <w:sz w:val="18"/>
                <w:szCs w:val="18"/>
              </w:rPr>
              <w:t>11.2(i)</w:t>
            </w:r>
            <w:r w:rsidR="00414791" w:rsidRPr="004E4188">
              <w:rPr>
                <w:sz w:val="18"/>
                <w:szCs w:val="18"/>
              </w:rPr>
              <w:t>.</w:t>
            </w:r>
          </w:p>
        </w:tc>
        <w:tc>
          <w:tcPr>
            <w:tcW w:w="240" w:type="dxa"/>
            <w:tcBorders>
              <w:left w:val="nil"/>
            </w:tcBorders>
            <w:tcMar>
              <w:top w:w="57" w:type="dxa"/>
              <w:bottom w:w="57" w:type="dxa"/>
            </w:tcMar>
          </w:tcPr>
          <w:p w14:paraId="0C799EF9" w14:textId="77777777" w:rsidR="00414791" w:rsidRPr="004E4188" w:rsidRDefault="00414791" w:rsidP="00414791">
            <w:pPr>
              <w:rPr>
                <w:sz w:val="20"/>
              </w:rPr>
            </w:pPr>
          </w:p>
        </w:tc>
      </w:tr>
      <w:tr w:rsidR="00414791" w:rsidRPr="004E4188" w14:paraId="781C2D25" w14:textId="77777777" w:rsidTr="005848E6">
        <w:tc>
          <w:tcPr>
            <w:tcW w:w="288" w:type="dxa"/>
            <w:tcMar>
              <w:top w:w="57" w:type="dxa"/>
              <w:bottom w:w="57" w:type="dxa"/>
            </w:tcMar>
          </w:tcPr>
          <w:p w14:paraId="6132B903" w14:textId="77777777" w:rsidR="00414791" w:rsidRPr="004E4188" w:rsidRDefault="00414791" w:rsidP="00414791">
            <w:pPr>
              <w:rPr>
                <w:sz w:val="20"/>
              </w:rPr>
            </w:pPr>
          </w:p>
        </w:tc>
        <w:tc>
          <w:tcPr>
            <w:tcW w:w="8588" w:type="dxa"/>
            <w:gridSpan w:val="4"/>
            <w:tcBorders>
              <w:left w:val="single" w:sz="6" w:space="0" w:color="auto"/>
              <w:right w:val="single" w:sz="6" w:space="0" w:color="auto"/>
            </w:tcBorders>
            <w:tcMar>
              <w:top w:w="57" w:type="dxa"/>
              <w:bottom w:w="57" w:type="dxa"/>
            </w:tcMar>
          </w:tcPr>
          <w:p w14:paraId="71F08047" w14:textId="77777777" w:rsidR="00414791" w:rsidRPr="004E4188" w:rsidRDefault="00414791" w:rsidP="00414791">
            <w:pPr>
              <w:ind w:left="259" w:hanging="259"/>
              <w:rPr>
                <w:b/>
                <w:sz w:val="18"/>
                <w:szCs w:val="18"/>
                <w:u w:val="single"/>
                <w:lang w:eastAsia="ja-JP"/>
              </w:rPr>
            </w:pPr>
            <w:r w:rsidRPr="004E4188">
              <w:rPr>
                <w:b/>
                <w:sz w:val="18"/>
                <w:szCs w:val="18"/>
                <w:u w:val="single"/>
                <w:lang w:eastAsia="ja-JP"/>
              </w:rPr>
              <w:t>Offre Financière</w:t>
            </w:r>
          </w:p>
        </w:tc>
        <w:tc>
          <w:tcPr>
            <w:tcW w:w="240" w:type="dxa"/>
            <w:tcBorders>
              <w:left w:val="nil"/>
            </w:tcBorders>
            <w:tcMar>
              <w:top w:w="57" w:type="dxa"/>
              <w:bottom w:w="57" w:type="dxa"/>
            </w:tcMar>
          </w:tcPr>
          <w:p w14:paraId="32761BFB" w14:textId="77777777" w:rsidR="00414791" w:rsidRPr="004E4188" w:rsidRDefault="00414791" w:rsidP="00414791">
            <w:pPr>
              <w:rPr>
                <w:sz w:val="20"/>
              </w:rPr>
            </w:pPr>
          </w:p>
        </w:tc>
      </w:tr>
      <w:tr w:rsidR="00414791" w:rsidRPr="004E4188" w14:paraId="2E1B95AB" w14:textId="77777777" w:rsidTr="005848E6">
        <w:tc>
          <w:tcPr>
            <w:tcW w:w="288" w:type="dxa"/>
            <w:tcMar>
              <w:top w:w="57" w:type="dxa"/>
              <w:bottom w:w="57" w:type="dxa"/>
            </w:tcMar>
          </w:tcPr>
          <w:p w14:paraId="6BFCD0C9" w14:textId="77777777" w:rsidR="00414791" w:rsidRPr="004E4188" w:rsidRDefault="00414791" w:rsidP="00414791">
            <w:pPr>
              <w:rPr>
                <w:sz w:val="20"/>
              </w:rPr>
            </w:pPr>
          </w:p>
        </w:tc>
        <w:tc>
          <w:tcPr>
            <w:tcW w:w="540" w:type="dxa"/>
            <w:tcBorders>
              <w:left w:val="single" w:sz="6" w:space="0" w:color="auto"/>
              <w:bottom w:val="single" w:sz="6" w:space="0" w:color="auto"/>
            </w:tcBorders>
            <w:tcMar>
              <w:top w:w="57" w:type="dxa"/>
              <w:bottom w:w="57" w:type="dxa"/>
            </w:tcMar>
          </w:tcPr>
          <w:p w14:paraId="5CE2A208" w14:textId="77777777" w:rsidR="00414791" w:rsidRPr="004E4188" w:rsidRDefault="00414791" w:rsidP="00414791">
            <w:pPr>
              <w:ind w:left="259" w:hanging="259"/>
              <w:rPr>
                <w:sz w:val="18"/>
                <w:szCs w:val="18"/>
              </w:rPr>
            </w:pPr>
            <w:r w:rsidRPr="004E4188">
              <w:rPr>
                <w:sz w:val="18"/>
                <w:szCs w:val="18"/>
              </w:rPr>
              <w:t>(</w:t>
            </w:r>
            <w:r w:rsidRPr="004E4188">
              <w:rPr>
                <w:sz w:val="18"/>
                <w:szCs w:val="18"/>
                <w:lang w:eastAsia="ja-JP"/>
              </w:rPr>
              <w:t>a</w:t>
            </w:r>
            <w:r w:rsidRPr="004E4188">
              <w:rPr>
                <w:sz w:val="18"/>
                <w:szCs w:val="18"/>
              </w:rPr>
              <w:t>)</w:t>
            </w:r>
          </w:p>
          <w:p w14:paraId="7D6F0636" w14:textId="77777777" w:rsidR="00414791" w:rsidRPr="004E4188" w:rsidRDefault="00414791" w:rsidP="00414791">
            <w:pPr>
              <w:ind w:left="259" w:hanging="259"/>
              <w:rPr>
                <w:sz w:val="18"/>
                <w:szCs w:val="18"/>
                <w:lang w:eastAsia="ja-JP"/>
              </w:rPr>
            </w:pPr>
            <w:r w:rsidRPr="004E4188">
              <w:rPr>
                <w:sz w:val="18"/>
                <w:szCs w:val="18"/>
                <w:lang w:eastAsia="ja-JP"/>
              </w:rPr>
              <w:t>(b)</w:t>
            </w:r>
          </w:p>
          <w:p w14:paraId="03097146" w14:textId="77777777" w:rsidR="00ED78DB" w:rsidRPr="004E4188" w:rsidRDefault="00ED78DB" w:rsidP="00414791">
            <w:pPr>
              <w:ind w:left="259" w:hanging="259"/>
              <w:rPr>
                <w:sz w:val="18"/>
                <w:szCs w:val="18"/>
              </w:rPr>
            </w:pPr>
          </w:p>
          <w:p w14:paraId="1C4B45C7" w14:textId="77777777" w:rsidR="00ED78DB" w:rsidRPr="004E4188" w:rsidRDefault="00ED78DB" w:rsidP="00414791">
            <w:pPr>
              <w:ind w:left="259" w:hanging="259"/>
              <w:rPr>
                <w:sz w:val="18"/>
                <w:szCs w:val="18"/>
              </w:rPr>
            </w:pPr>
          </w:p>
          <w:p w14:paraId="01497612" w14:textId="677E2E67" w:rsidR="00414791" w:rsidRPr="004E4188" w:rsidRDefault="00414791" w:rsidP="00ED78DB">
            <w:pPr>
              <w:ind w:left="259" w:hanging="259"/>
              <w:rPr>
                <w:sz w:val="18"/>
                <w:szCs w:val="18"/>
                <w:u w:val="single"/>
                <w:lang w:eastAsia="ja-JP"/>
              </w:rPr>
            </w:pPr>
            <w:r w:rsidRPr="004E4188">
              <w:rPr>
                <w:sz w:val="18"/>
                <w:szCs w:val="18"/>
              </w:rPr>
              <w:t>(</w:t>
            </w:r>
            <w:r w:rsidRPr="004E4188">
              <w:rPr>
                <w:sz w:val="18"/>
                <w:szCs w:val="18"/>
                <w:lang w:eastAsia="ja-JP"/>
              </w:rPr>
              <w:t>c</w:t>
            </w:r>
            <w:r w:rsidRPr="004E4188">
              <w:rPr>
                <w:sz w:val="18"/>
                <w:szCs w:val="18"/>
              </w:rPr>
              <w:t>)</w:t>
            </w:r>
          </w:p>
        </w:tc>
        <w:tc>
          <w:tcPr>
            <w:tcW w:w="8048" w:type="dxa"/>
            <w:gridSpan w:val="3"/>
            <w:tcBorders>
              <w:bottom w:val="single" w:sz="6" w:space="0" w:color="auto"/>
              <w:right w:val="single" w:sz="6" w:space="0" w:color="auto"/>
            </w:tcBorders>
          </w:tcPr>
          <w:p w14:paraId="7A434A3B" w14:textId="677707E4" w:rsidR="00414791" w:rsidRPr="004E4188" w:rsidRDefault="00927930" w:rsidP="000A46E7">
            <w:pPr>
              <w:tabs>
                <w:tab w:val="left" w:pos="385"/>
              </w:tabs>
              <w:suppressAutoHyphens w:val="0"/>
              <w:overflowPunct/>
              <w:autoSpaceDE/>
              <w:autoSpaceDN/>
              <w:adjustRightInd/>
              <w:ind w:left="386" w:hanging="386"/>
              <w:textAlignment w:val="auto"/>
              <w:rPr>
                <w:sz w:val="18"/>
                <w:szCs w:val="18"/>
                <w:lang w:eastAsia="en-US"/>
              </w:rPr>
            </w:pPr>
            <w:r w:rsidRPr="004E4188">
              <w:rPr>
                <w:sz w:val="18"/>
                <w:szCs w:val="18"/>
                <w:lang w:eastAsia="en-US"/>
              </w:rPr>
              <w:t>L</w:t>
            </w:r>
            <w:r w:rsidR="00414791" w:rsidRPr="004E4188">
              <w:rPr>
                <w:sz w:val="18"/>
                <w:szCs w:val="18"/>
                <w:lang w:eastAsia="en-US"/>
              </w:rPr>
              <w:t>a Lettre de soumission de l’Offre Financière</w:t>
            </w:r>
            <w:r w:rsidR="00A34EAF" w:rsidRPr="004E4188">
              <w:rPr>
                <w:sz w:val="18"/>
                <w:szCs w:val="18"/>
                <w:lang w:eastAsia="en-US"/>
              </w:rPr>
              <w:t xml:space="preserve"> établie conformément à IS 12.1.</w:t>
            </w:r>
          </w:p>
          <w:p w14:paraId="1AEABBD3" w14:textId="2A21674B" w:rsidR="00ED78DB" w:rsidRPr="004E4188" w:rsidRDefault="00927930" w:rsidP="00D45EAD">
            <w:pPr>
              <w:tabs>
                <w:tab w:val="left" w:pos="385"/>
              </w:tabs>
              <w:rPr>
                <w:sz w:val="18"/>
                <w:szCs w:val="18"/>
              </w:rPr>
            </w:pPr>
            <w:r w:rsidRPr="004E4188">
              <w:rPr>
                <w:sz w:val="18"/>
                <w:szCs w:val="18"/>
                <w:lang w:eastAsia="en-US"/>
              </w:rPr>
              <w:t>L</w:t>
            </w:r>
            <w:r w:rsidR="00414791" w:rsidRPr="004E4188">
              <w:rPr>
                <w:sz w:val="18"/>
                <w:szCs w:val="18"/>
                <w:lang w:eastAsia="en-US"/>
              </w:rPr>
              <w:t xml:space="preserve">es </w:t>
            </w:r>
            <w:r w:rsidR="000A46E7" w:rsidRPr="004E4188">
              <w:rPr>
                <w:sz w:val="18"/>
                <w:szCs w:val="18"/>
                <w:lang w:eastAsia="en-US"/>
              </w:rPr>
              <w:t>B</w:t>
            </w:r>
            <w:r w:rsidR="00414791" w:rsidRPr="004E4188">
              <w:rPr>
                <w:sz w:val="18"/>
                <w:szCs w:val="18"/>
                <w:lang w:eastAsia="en-US"/>
              </w:rPr>
              <w:t>ordereaux complétés, conformément à IS 12</w:t>
            </w:r>
            <w:r w:rsidR="00ED78DB" w:rsidRPr="004E4188">
              <w:rPr>
                <w:sz w:val="18"/>
                <w:szCs w:val="18"/>
                <w:lang w:eastAsia="en-US"/>
              </w:rPr>
              <w:t>.1</w:t>
            </w:r>
            <w:r w:rsidR="00414791" w:rsidRPr="004E4188">
              <w:rPr>
                <w:sz w:val="18"/>
                <w:szCs w:val="18"/>
                <w:lang w:eastAsia="en-US"/>
              </w:rPr>
              <w:t xml:space="preserve"> et IS 1</w:t>
            </w:r>
            <w:r w:rsidR="00ED78DB" w:rsidRPr="004E4188">
              <w:rPr>
                <w:sz w:val="18"/>
                <w:szCs w:val="18"/>
                <w:lang w:eastAsia="en-US"/>
              </w:rPr>
              <w:t xml:space="preserve">4, y compris les Bordereaux des prix complétés et le Bordereau des données de révision des prix complété </w:t>
            </w:r>
            <w:r w:rsidR="00ED78DB" w:rsidRPr="004E4188">
              <w:rPr>
                <w:sz w:val="18"/>
                <w:szCs w:val="18"/>
              </w:rPr>
              <w:t>(si requis conformément à IS 14.7) mais en excluant ceux requis par IS 11.2.</w:t>
            </w:r>
          </w:p>
          <w:p w14:paraId="19683C78" w14:textId="3D1D696E" w:rsidR="00414791" w:rsidRPr="004E4188" w:rsidRDefault="00927930" w:rsidP="000939CF">
            <w:pPr>
              <w:tabs>
                <w:tab w:val="left" w:pos="385"/>
              </w:tabs>
              <w:suppressAutoHyphens w:val="0"/>
              <w:overflowPunct/>
              <w:autoSpaceDE/>
              <w:autoSpaceDN/>
              <w:adjustRightInd/>
              <w:ind w:left="386" w:hanging="386"/>
              <w:textAlignment w:val="auto"/>
              <w:rPr>
                <w:sz w:val="18"/>
                <w:szCs w:val="18"/>
                <w:lang w:eastAsia="en-US"/>
              </w:rPr>
            </w:pPr>
            <w:r w:rsidRPr="004E4188">
              <w:rPr>
                <w:sz w:val="18"/>
                <w:szCs w:val="18"/>
                <w:lang w:eastAsia="en-US"/>
              </w:rPr>
              <w:t>T</w:t>
            </w:r>
            <w:r w:rsidR="00414791" w:rsidRPr="004E4188">
              <w:rPr>
                <w:sz w:val="18"/>
                <w:szCs w:val="18"/>
                <w:lang w:eastAsia="en-US"/>
              </w:rPr>
              <w:t xml:space="preserve">out autre document requis </w:t>
            </w:r>
            <w:r w:rsidR="000939CF" w:rsidRPr="004E4188">
              <w:rPr>
                <w:sz w:val="18"/>
                <w:szCs w:val="18"/>
                <w:lang w:eastAsia="en-US"/>
              </w:rPr>
              <w:t xml:space="preserve">par </w:t>
            </w:r>
            <w:r w:rsidR="00414791" w:rsidRPr="004E4188">
              <w:rPr>
                <w:sz w:val="18"/>
                <w:szCs w:val="18"/>
                <w:lang w:eastAsia="en-US"/>
              </w:rPr>
              <w:t>DP</w:t>
            </w:r>
            <w:r w:rsidR="009E0CDD" w:rsidRPr="004E4188">
              <w:rPr>
                <w:sz w:val="18"/>
                <w:szCs w:val="18"/>
                <w:lang w:eastAsia="en-US"/>
              </w:rPr>
              <w:t xml:space="preserve"> 11.3(c)</w:t>
            </w:r>
            <w:r w:rsidR="00414791" w:rsidRPr="004E4188">
              <w:rPr>
                <w:sz w:val="18"/>
                <w:szCs w:val="18"/>
                <w:lang w:eastAsia="en-US"/>
              </w:rPr>
              <w:t>.</w:t>
            </w:r>
          </w:p>
        </w:tc>
        <w:tc>
          <w:tcPr>
            <w:tcW w:w="240" w:type="dxa"/>
            <w:tcBorders>
              <w:left w:val="nil"/>
            </w:tcBorders>
            <w:tcMar>
              <w:top w:w="57" w:type="dxa"/>
              <w:bottom w:w="57" w:type="dxa"/>
            </w:tcMar>
          </w:tcPr>
          <w:p w14:paraId="4EE479A5" w14:textId="77777777" w:rsidR="00414791" w:rsidRPr="004E4188" w:rsidRDefault="00414791" w:rsidP="00414791">
            <w:pPr>
              <w:rPr>
                <w:sz w:val="20"/>
              </w:rPr>
            </w:pPr>
          </w:p>
        </w:tc>
      </w:tr>
      <w:tr w:rsidR="00414791" w:rsidRPr="004E4188" w14:paraId="13B10A76" w14:textId="77777777" w:rsidTr="005848E6">
        <w:tc>
          <w:tcPr>
            <w:tcW w:w="9116" w:type="dxa"/>
            <w:gridSpan w:val="6"/>
            <w:tcMar>
              <w:top w:w="57" w:type="dxa"/>
              <w:bottom w:w="57" w:type="dxa"/>
            </w:tcMar>
          </w:tcPr>
          <w:p w14:paraId="73499C15" w14:textId="77777777" w:rsidR="00414791" w:rsidRPr="004E4188" w:rsidRDefault="00414791" w:rsidP="00414791">
            <w:pPr>
              <w:jc w:val="center"/>
              <w:rPr>
                <w:b/>
                <w:sz w:val="48"/>
                <w:szCs w:val="48"/>
              </w:rPr>
            </w:pPr>
          </w:p>
          <w:p w14:paraId="2BD91773" w14:textId="77777777" w:rsidR="00414791" w:rsidRPr="004E4188" w:rsidRDefault="00414791" w:rsidP="00414791">
            <w:pPr>
              <w:jc w:val="center"/>
              <w:rPr>
                <w:b/>
                <w:sz w:val="48"/>
                <w:szCs w:val="48"/>
              </w:rPr>
            </w:pPr>
            <w:r w:rsidRPr="004E4188">
              <w:rPr>
                <w:b/>
                <w:sz w:val="48"/>
                <w:szCs w:val="48"/>
              </w:rPr>
              <w:sym w:font="Symbol" w:char="F0AF"/>
            </w:r>
          </w:p>
          <w:p w14:paraId="69F5BF19" w14:textId="77777777" w:rsidR="00B62766" w:rsidRPr="004E4188" w:rsidRDefault="00B62766" w:rsidP="00414791">
            <w:pPr>
              <w:jc w:val="center"/>
              <w:rPr>
                <w:sz w:val="48"/>
                <w:szCs w:val="48"/>
              </w:rPr>
            </w:pPr>
          </w:p>
        </w:tc>
      </w:tr>
      <w:tr w:rsidR="00414791" w:rsidRPr="004E4188" w14:paraId="151D3257" w14:textId="77777777" w:rsidTr="00C937EF">
        <w:tc>
          <w:tcPr>
            <w:tcW w:w="288" w:type="dxa"/>
            <w:tcMar>
              <w:top w:w="57" w:type="dxa"/>
              <w:bottom w:w="57" w:type="dxa"/>
            </w:tcMar>
          </w:tcPr>
          <w:p w14:paraId="09EB0552" w14:textId="77777777" w:rsidR="00414791" w:rsidRPr="004E4188" w:rsidRDefault="00414791" w:rsidP="00414791">
            <w:pPr>
              <w:rPr>
                <w:sz w:val="20"/>
              </w:rPr>
            </w:pPr>
          </w:p>
        </w:tc>
        <w:tc>
          <w:tcPr>
            <w:tcW w:w="8588" w:type="dxa"/>
            <w:gridSpan w:val="4"/>
            <w:tcBorders>
              <w:top w:val="single" w:sz="6" w:space="0" w:color="auto"/>
              <w:left w:val="single" w:sz="6" w:space="0" w:color="auto"/>
              <w:right w:val="single" w:sz="6" w:space="0" w:color="auto"/>
            </w:tcBorders>
            <w:tcMar>
              <w:top w:w="57" w:type="dxa"/>
              <w:bottom w:w="57" w:type="dxa"/>
            </w:tcMar>
          </w:tcPr>
          <w:p w14:paraId="1837D3F6" w14:textId="2C62642C" w:rsidR="00414791" w:rsidRPr="004E4188" w:rsidRDefault="00414791" w:rsidP="00414791">
            <w:pPr>
              <w:ind w:left="274" w:hanging="274"/>
              <w:jc w:val="center"/>
              <w:rPr>
                <w:b/>
              </w:rPr>
            </w:pPr>
            <w:r w:rsidRPr="004E4188">
              <w:rPr>
                <w:b/>
              </w:rPr>
              <w:t xml:space="preserve">III. </w:t>
            </w:r>
            <w:r w:rsidR="00C70C43" w:rsidRPr="004E4188">
              <w:rPr>
                <w:b/>
              </w:rPr>
              <w:t>Pièces contractuelles</w:t>
            </w:r>
            <w:r w:rsidRPr="004E4188">
              <w:rPr>
                <w:b/>
              </w:rPr>
              <w:t xml:space="preserve"> </w:t>
            </w:r>
          </w:p>
          <w:p w14:paraId="30CB4E8C" w14:textId="6CB265D9" w:rsidR="00414791" w:rsidRPr="004E4188" w:rsidRDefault="00C70C43" w:rsidP="00C70C43">
            <w:pPr>
              <w:ind w:left="272" w:hanging="272"/>
              <w:jc w:val="center"/>
              <w:rPr>
                <w:sz w:val="20"/>
              </w:rPr>
            </w:pPr>
            <w:r w:rsidRPr="004E4188">
              <w:rPr>
                <w:b/>
                <w:sz w:val="20"/>
              </w:rPr>
              <w:t xml:space="preserve">Préparées </w:t>
            </w:r>
            <w:r w:rsidR="00414791" w:rsidRPr="004E4188">
              <w:rPr>
                <w:b/>
                <w:sz w:val="20"/>
              </w:rPr>
              <w:t xml:space="preserve">par le Maître d’ouvrage </w:t>
            </w:r>
            <w:r w:rsidRPr="004E4188">
              <w:rPr>
                <w:rFonts w:hint="eastAsia"/>
                <w:b/>
                <w:sz w:val="20"/>
                <w:lang w:eastAsia="ja-JP"/>
              </w:rPr>
              <w:t>&amp;</w:t>
            </w:r>
            <w:r w:rsidRPr="004E4188">
              <w:rPr>
                <w:b/>
                <w:sz w:val="20"/>
                <w:lang w:eastAsia="ja-JP"/>
              </w:rPr>
              <w:t xml:space="preserve"> </w:t>
            </w:r>
            <w:r w:rsidR="00414791" w:rsidRPr="004E4188">
              <w:rPr>
                <w:b/>
                <w:sz w:val="20"/>
              </w:rPr>
              <w:t>remis</w:t>
            </w:r>
            <w:r w:rsidR="00B1335B" w:rsidRPr="004E4188">
              <w:rPr>
                <w:b/>
                <w:sz w:val="20"/>
              </w:rPr>
              <w:t>es</w:t>
            </w:r>
            <w:r w:rsidR="00414791" w:rsidRPr="004E4188">
              <w:rPr>
                <w:b/>
                <w:sz w:val="20"/>
              </w:rPr>
              <w:t xml:space="preserve"> par le Soumissionnaire</w:t>
            </w:r>
          </w:p>
        </w:tc>
        <w:tc>
          <w:tcPr>
            <w:tcW w:w="240" w:type="dxa"/>
            <w:tcBorders>
              <w:left w:val="nil"/>
            </w:tcBorders>
            <w:tcMar>
              <w:top w:w="57" w:type="dxa"/>
              <w:bottom w:w="57" w:type="dxa"/>
            </w:tcMar>
          </w:tcPr>
          <w:p w14:paraId="029123F5" w14:textId="77777777" w:rsidR="00414791" w:rsidRPr="004E4188" w:rsidRDefault="00414791" w:rsidP="00414791">
            <w:pPr>
              <w:rPr>
                <w:sz w:val="20"/>
              </w:rPr>
            </w:pPr>
          </w:p>
        </w:tc>
      </w:tr>
      <w:tr w:rsidR="00414791" w:rsidRPr="004E4188" w14:paraId="3D835D5C" w14:textId="77777777" w:rsidTr="00C937EF">
        <w:tc>
          <w:tcPr>
            <w:tcW w:w="288" w:type="dxa"/>
            <w:tcMar>
              <w:top w:w="57" w:type="dxa"/>
              <w:bottom w:w="57" w:type="dxa"/>
            </w:tcMar>
          </w:tcPr>
          <w:p w14:paraId="1C210043" w14:textId="77777777" w:rsidR="00414791" w:rsidRPr="004E4188" w:rsidRDefault="00414791" w:rsidP="00414791">
            <w:pPr>
              <w:rPr>
                <w:sz w:val="20"/>
              </w:rPr>
            </w:pPr>
          </w:p>
        </w:tc>
        <w:tc>
          <w:tcPr>
            <w:tcW w:w="540" w:type="dxa"/>
            <w:tcBorders>
              <w:left w:val="single" w:sz="6" w:space="0" w:color="auto"/>
              <w:bottom w:val="single" w:sz="6" w:space="0" w:color="auto"/>
            </w:tcBorders>
            <w:tcMar>
              <w:top w:w="57" w:type="dxa"/>
              <w:bottom w:w="57" w:type="dxa"/>
            </w:tcMar>
          </w:tcPr>
          <w:p w14:paraId="3913CDDA" w14:textId="77777777" w:rsidR="00414791" w:rsidRPr="004E4188" w:rsidRDefault="00414791" w:rsidP="00414791">
            <w:pPr>
              <w:jc w:val="left"/>
              <w:rPr>
                <w:sz w:val="18"/>
                <w:szCs w:val="18"/>
                <w:lang w:val="pt-PT"/>
              </w:rPr>
            </w:pPr>
            <w:r w:rsidRPr="004E4188">
              <w:rPr>
                <w:sz w:val="18"/>
                <w:szCs w:val="18"/>
                <w:lang w:val="pt-PT"/>
              </w:rPr>
              <w:t>(a)</w:t>
            </w:r>
          </w:p>
          <w:p w14:paraId="47CCF0EC" w14:textId="77777777" w:rsidR="00414791" w:rsidRPr="004E4188" w:rsidRDefault="00414791" w:rsidP="00414791">
            <w:pPr>
              <w:jc w:val="left"/>
              <w:rPr>
                <w:sz w:val="18"/>
                <w:szCs w:val="18"/>
                <w:lang w:val="pt-PT"/>
              </w:rPr>
            </w:pPr>
            <w:r w:rsidRPr="004E4188">
              <w:rPr>
                <w:sz w:val="18"/>
                <w:szCs w:val="18"/>
                <w:lang w:val="pt-PT"/>
              </w:rPr>
              <w:t>(b)</w:t>
            </w:r>
          </w:p>
          <w:p w14:paraId="1C436793" w14:textId="77777777" w:rsidR="00414791" w:rsidRPr="004E4188" w:rsidRDefault="00414791" w:rsidP="00414791">
            <w:pPr>
              <w:jc w:val="left"/>
              <w:rPr>
                <w:sz w:val="18"/>
                <w:szCs w:val="18"/>
                <w:lang w:val="pt-PT"/>
              </w:rPr>
            </w:pPr>
            <w:r w:rsidRPr="004E4188">
              <w:rPr>
                <w:sz w:val="18"/>
                <w:szCs w:val="18"/>
                <w:lang w:val="pt-PT"/>
              </w:rPr>
              <w:t>(c)</w:t>
            </w:r>
          </w:p>
          <w:p w14:paraId="60E94413" w14:textId="77777777" w:rsidR="00414791" w:rsidRPr="004E4188" w:rsidRDefault="00414791" w:rsidP="00414791">
            <w:pPr>
              <w:jc w:val="left"/>
              <w:rPr>
                <w:sz w:val="18"/>
                <w:szCs w:val="18"/>
                <w:lang w:val="pt-PT" w:eastAsia="ja-JP"/>
              </w:rPr>
            </w:pPr>
            <w:r w:rsidRPr="004E4188">
              <w:rPr>
                <w:sz w:val="18"/>
                <w:szCs w:val="18"/>
                <w:lang w:val="pt-PT" w:eastAsia="ja-JP"/>
              </w:rPr>
              <w:t>(d)</w:t>
            </w:r>
          </w:p>
          <w:p w14:paraId="6FE5664A" w14:textId="77777777" w:rsidR="00414791" w:rsidRPr="004E4188" w:rsidRDefault="00414791" w:rsidP="00414791">
            <w:pPr>
              <w:jc w:val="left"/>
              <w:rPr>
                <w:sz w:val="18"/>
                <w:szCs w:val="18"/>
                <w:lang w:val="pt-PT"/>
              </w:rPr>
            </w:pPr>
            <w:r w:rsidRPr="004E4188">
              <w:rPr>
                <w:sz w:val="18"/>
                <w:szCs w:val="18"/>
                <w:lang w:val="pt-PT"/>
              </w:rPr>
              <w:t>(</w:t>
            </w:r>
            <w:r w:rsidRPr="004E4188">
              <w:rPr>
                <w:sz w:val="18"/>
                <w:szCs w:val="18"/>
                <w:lang w:val="pt-PT" w:eastAsia="ja-JP"/>
              </w:rPr>
              <w:t>e</w:t>
            </w:r>
            <w:r w:rsidRPr="004E4188">
              <w:rPr>
                <w:sz w:val="18"/>
                <w:szCs w:val="18"/>
                <w:lang w:val="pt-PT"/>
              </w:rPr>
              <w:t>)</w:t>
            </w:r>
          </w:p>
          <w:p w14:paraId="4E921978" w14:textId="77777777" w:rsidR="00414791" w:rsidRPr="004E4188" w:rsidRDefault="00414791" w:rsidP="00414791">
            <w:pPr>
              <w:jc w:val="left"/>
              <w:rPr>
                <w:sz w:val="18"/>
                <w:szCs w:val="18"/>
                <w:lang w:val="pt-PT"/>
              </w:rPr>
            </w:pPr>
            <w:r w:rsidRPr="004E4188">
              <w:rPr>
                <w:sz w:val="18"/>
                <w:szCs w:val="18"/>
                <w:lang w:val="pt-PT"/>
              </w:rPr>
              <w:t>(</w:t>
            </w:r>
            <w:r w:rsidRPr="004E4188">
              <w:rPr>
                <w:sz w:val="18"/>
                <w:szCs w:val="18"/>
                <w:lang w:val="pt-PT" w:eastAsia="ja-JP"/>
              </w:rPr>
              <w:t>f</w:t>
            </w:r>
            <w:r w:rsidRPr="004E4188">
              <w:rPr>
                <w:sz w:val="18"/>
                <w:szCs w:val="18"/>
                <w:lang w:val="pt-PT"/>
              </w:rPr>
              <w:t>)</w:t>
            </w:r>
          </w:p>
          <w:p w14:paraId="55E802B5" w14:textId="77777777" w:rsidR="00414791" w:rsidRPr="004E4188" w:rsidRDefault="00414791" w:rsidP="00414791">
            <w:pPr>
              <w:jc w:val="left"/>
              <w:rPr>
                <w:sz w:val="18"/>
                <w:szCs w:val="18"/>
                <w:lang w:val="pt-PT"/>
              </w:rPr>
            </w:pPr>
            <w:r w:rsidRPr="004E4188">
              <w:rPr>
                <w:sz w:val="18"/>
                <w:szCs w:val="18"/>
                <w:lang w:val="pt-PT"/>
              </w:rPr>
              <w:t>(</w:t>
            </w:r>
            <w:r w:rsidRPr="004E4188">
              <w:rPr>
                <w:sz w:val="18"/>
                <w:szCs w:val="18"/>
                <w:lang w:val="pt-PT" w:eastAsia="ja-JP"/>
              </w:rPr>
              <w:t>g</w:t>
            </w:r>
            <w:r w:rsidRPr="004E4188">
              <w:rPr>
                <w:sz w:val="18"/>
                <w:szCs w:val="18"/>
                <w:lang w:val="pt-PT"/>
              </w:rPr>
              <w:t>)</w:t>
            </w:r>
          </w:p>
          <w:p w14:paraId="69C5D8B6" w14:textId="12FA2C5F" w:rsidR="002466C9" w:rsidRPr="004E4188" w:rsidRDefault="00414791" w:rsidP="00414791">
            <w:pPr>
              <w:jc w:val="left"/>
              <w:rPr>
                <w:sz w:val="18"/>
                <w:szCs w:val="18"/>
                <w:lang w:val="pt-PT"/>
              </w:rPr>
            </w:pPr>
            <w:r w:rsidRPr="004E4188">
              <w:rPr>
                <w:sz w:val="18"/>
                <w:szCs w:val="18"/>
                <w:lang w:val="pt-PT"/>
              </w:rPr>
              <w:t>(</w:t>
            </w:r>
            <w:r w:rsidRPr="004E4188">
              <w:rPr>
                <w:sz w:val="18"/>
                <w:szCs w:val="18"/>
                <w:lang w:val="pt-PT" w:eastAsia="ja-JP"/>
              </w:rPr>
              <w:t>h</w:t>
            </w:r>
            <w:r w:rsidRPr="004E4188">
              <w:rPr>
                <w:sz w:val="18"/>
                <w:szCs w:val="18"/>
                <w:lang w:val="pt-PT"/>
              </w:rPr>
              <w:t>)</w:t>
            </w:r>
          </w:p>
          <w:p w14:paraId="16F3FDEC" w14:textId="2284F9C7" w:rsidR="002466C9" w:rsidRPr="004E4188" w:rsidRDefault="00414791" w:rsidP="00414791">
            <w:pPr>
              <w:jc w:val="left"/>
              <w:rPr>
                <w:sz w:val="18"/>
                <w:szCs w:val="18"/>
                <w:lang w:val="pt-PT"/>
              </w:rPr>
            </w:pPr>
            <w:r w:rsidRPr="004E4188">
              <w:rPr>
                <w:sz w:val="18"/>
                <w:szCs w:val="18"/>
                <w:lang w:val="pt-PT"/>
              </w:rPr>
              <w:t>(</w:t>
            </w:r>
            <w:r w:rsidRPr="004E4188">
              <w:rPr>
                <w:sz w:val="18"/>
                <w:szCs w:val="18"/>
                <w:lang w:val="pt-PT" w:eastAsia="ja-JP"/>
              </w:rPr>
              <w:t>i</w:t>
            </w:r>
            <w:r w:rsidRPr="004E4188">
              <w:rPr>
                <w:sz w:val="18"/>
                <w:szCs w:val="18"/>
                <w:lang w:val="pt-PT"/>
              </w:rPr>
              <w:t>)</w:t>
            </w:r>
          </w:p>
          <w:p w14:paraId="2960FCAF" w14:textId="77777777" w:rsidR="00414791" w:rsidRPr="004E4188" w:rsidRDefault="00414791" w:rsidP="00414791">
            <w:pPr>
              <w:jc w:val="left"/>
              <w:rPr>
                <w:sz w:val="18"/>
                <w:szCs w:val="18"/>
                <w:lang w:val="pt-PT"/>
              </w:rPr>
            </w:pPr>
            <w:r w:rsidRPr="004E4188">
              <w:rPr>
                <w:sz w:val="18"/>
                <w:szCs w:val="18"/>
                <w:lang w:val="pt-PT"/>
              </w:rPr>
              <w:t>(</w:t>
            </w:r>
            <w:r w:rsidRPr="004E4188">
              <w:rPr>
                <w:sz w:val="18"/>
                <w:szCs w:val="18"/>
                <w:lang w:val="pt-PT" w:eastAsia="ja-JP"/>
              </w:rPr>
              <w:t>j</w:t>
            </w:r>
            <w:r w:rsidRPr="004E4188">
              <w:rPr>
                <w:sz w:val="18"/>
                <w:szCs w:val="18"/>
                <w:lang w:val="pt-PT"/>
              </w:rPr>
              <w:t>)</w:t>
            </w:r>
          </w:p>
          <w:p w14:paraId="39A811F6" w14:textId="77777777" w:rsidR="002466C9" w:rsidRPr="004E4188" w:rsidRDefault="002466C9" w:rsidP="00414791">
            <w:pPr>
              <w:jc w:val="left"/>
              <w:rPr>
                <w:sz w:val="18"/>
                <w:szCs w:val="18"/>
              </w:rPr>
            </w:pPr>
            <w:r w:rsidRPr="004E4188">
              <w:rPr>
                <w:sz w:val="18"/>
                <w:szCs w:val="18"/>
              </w:rPr>
              <w:t>(k)</w:t>
            </w:r>
          </w:p>
          <w:p w14:paraId="7FC5E0E8" w14:textId="77777777" w:rsidR="002466C9" w:rsidRPr="004E4188" w:rsidRDefault="002466C9" w:rsidP="00414791">
            <w:pPr>
              <w:jc w:val="left"/>
              <w:rPr>
                <w:sz w:val="18"/>
                <w:szCs w:val="18"/>
              </w:rPr>
            </w:pPr>
          </w:p>
          <w:p w14:paraId="62EDEFDF" w14:textId="65521C9D" w:rsidR="002466C9" w:rsidRPr="004E4188" w:rsidRDefault="002466C9" w:rsidP="00414791">
            <w:pPr>
              <w:jc w:val="left"/>
              <w:rPr>
                <w:sz w:val="18"/>
                <w:szCs w:val="18"/>
              </w:rPr>
            </w:pPr>
            <w:r w:rsidRPr="004E4188">
              <w:rPr>
                <w:sz w:val="18"/>
                <w:szCs w:val="18"/>
              </w:rPr>
              <w:t>(l)</w:t>
            </w:r>
          </w:p>
        </w:tc>
        <w:tc>
          <w:tcPr>
            <w:tcW w:w="8048" w:type="dxa"/>
            <w:gridSpan w:val="3"/>
            <w:tcBorders>
              <w:bottom w:val="single" w:sz="6" w:space="0" w:color="auto"/>
              <w:right w:val="single" w:sz="6" w:space="0" w:color="auto"/>
            </w:tcBorders>
          </w:tcPr>
          <w:p w14:paraId="03E14F22" w14:textId="43868F25" w:rsidR="00414791" w:rsidRPr="004E4188" w:rsidRDefault="00927930" w:rsidP="00414791">
            <w:pPr>
              <w:jc w:val="left"/>
              <w:rPr>
                <w:sz w:val="18"/>
                <w:szCs w:val="18"/>
                <w:lang w:eastAsia="ja-JP"/>
              </w:rPr>
            </w:pPr>
            <w:r w:rsidRPr="004E4188">
              <w:rPr>
                <w:sz w:val="18"/>
                <w:szCs w:val="18"/>
              </w:rPr>
              <w:t>L</w:t>
            </w:r>
            <w:r w:rsidR="00414791" w:rsidRPr="004E4188">
              <w:rPr>
                <w:sz w:val="18"/>
                <w:szCs w:val="18"/>
              </w:rPr>
              <w:t>’Acte d’engagement et ces annexes</w:t>
            </w:r>
            <w:r w:rsidR="004F42E8" w:rsidRPr="004E4188">
              <w:rPr>
                <w:sz w:val="18"/>
                <w:szCs w:val="18"/>
              </w:rPr>
              <w:t>.</w:t>
            </w:r>
          </w:p>
          <w:p w14:paraId="51326FB3" w14:textId="1C2E5104" w:rsidR="002466C9" w:rsidRPr="004E4188" w:rsidRDefault="00927930" w:rsidP="00414791">
            <w:pPr>
              <w:jc w:val="left"/>
              <w:rPr>
                <w:sz w:val="18"/>
                <w:szCs w:val="18"/>
                <w:lang w:eastAsia="ja-JP"/>
              </w:rPr>
            </w:pPr>
            <w:r w:rsidRPr="004E4188">
              <w:rPr>
                <w:sz w:val="18"/>
                <w:szCs w:val="18"/>
              </w:rPr>
              <w:t>L</w:t>
            </w:r>
            <w:r w:rsidR="00ED78DB" w:rsidRPr="004E4188">
              <w:rPr>
                <w:sz w:val="18"/>
                <w:szCs w:val="18"/>
              </w:rPr>
              <w:t>a Lettre d’acceptation de l’offre</w:t>
            </w:r>
            <w:r w:rsidR="004F42E8" w:rsidRPr="004E4188">
              <w:rPr>
                <w:sz w:val="18"/>
                <w:szCs w:val="18"/>
              </w:rPr>
              <w:t>.</w:t>
            </w:r>
          </w:p>
          <w:p w14:paraId="75A58498" w14:textId="2A6EE603" w:rsidR="00414791" w:rsidRPr="004E4188" w:rsidRDefault="00927930" w:rsidP="00414791">
            <w:pPr>
              <w:jc w:val="left"/>
              <w:rPr>
                <w:sz w:val="18"/>
                <w:szCs w:val="18"/>
                <w:lang w:eastAsia="ja-JP"/>
              </w:rPr>
            </w:pPr>
            <w:r w:rsidRPr="004E4188">
              <w:rPr>
                <w:sz w:val="18"/>
                <w:szCs w:val="18"/>
              </w:rPr>
              <w:t>L</w:t>
            </w:r>
            <w:r w:rsidR="00414791" w:rsidRPr="004E4188">
              <w:rPr>
                <w:sz w:val="18"/>
                <w:szCs w:val="18"/>
              </w:rPr>
              <w:t>a Lettre de soumission de l’Offre Technique</w:t>
            </w:r>
            <w:r w:rsidR="004F42E8" w:rsidRPr="004E4188">
              <w:rPr>
                <w:sz w:val="18"/>
                <w:szCs w:val="18"/>
              </w:rPr>
              <w:t>.</w:t>
            </w:r>
          </w:p>
          <w:p w14:paraId="69DCB2BA" w14:textId="31BDBEB0" w:rsidR="00414791" w:rsidRPr="004E4188" w:rsidRDefault="00927930" w:rsidP="00414791">
            <w:pPr>
              <w:jc w:val="left"/>
              <w:rPr>
                <w:sz w:val="18"/>
                <w:szCs w:val="18"/>
                <w:lang w:eastAsia="ja-JP"/>
              </w:rPr>
            </w:pPr>
            <w:r w:rsidRPr="004E4188">
              <w:rPr>
                <w:sz w:val="18"/>
                <w:szCs w:val="18"/>
                <w:lang w:eastAsia="ja-JP"/>
              </w:rPr>
              <w:t>L</w:t>
            </w:r>
            <w:r w:rsidR="00414791" w:rsidRPr="004E4188">
              <w:rPr>
                <w:sz w:val="18"/>
                <w:szCs w:val="18"/>
                <w:lang w:eastAsia="ja-JP"/>
              </w:rPr>
              <w:t>a Lettre de soumission de l’Offre Financière</w:t>
            </w:r>
            <w:r w:rsidR="004F42E8" w:rsidRPr="004E4188">
              <w:rPr>
                <w:sz w:val="18"/>
                <w:szCs w:val="18"/>
                <w:lang w:eastAsia="ja-JP"/>
              </w:rPr>
              <w:t>.</w:t>
            </w:r>
          </w:p>
          <w:p w14:paraId="2548B1D2" w14:textId="0EEA69C3" w:rsidR="00C0601B" w:rsidRPr="004E4188" w:rsidRDefault="00C0601B" w:rsidP="00414791">
            <w:pPr>
              <w:jc w:val="left"/>
              <w:rPr>
                <w:sz w:val="18"/>
                <w:szCs w:val="18"/>
                <w:lang w:eastAsia="ja-JP"/>
              </w:rPr>
            </w:pPr>
            <w:r w:rsidRPr="004E4188">
              <w:rPr>
                <w:sz w:val="18"/>
                <w:szCs w:val="18"/>
                <w:lang w:eastAsia="ja-JP"/>
              </w:rPr>
              <w:t>Les avenants, le cas échéant.</w:t>
            </w:r>
          </w:p>
          <w:p w14:paraId="4B53B427" w14:textId="72344C37" w:rsidR="00DF57D4" w:rsidRPr="004E4188" w:rsidRDefault="00DF57D4" w:rsidP="00DF57D4">
            <w:pPr>
              <w:tabs>
                <w:tab w:val="left" w:pos="422"/>
              </w:tabs>
              <w:suppressAutoHyphens w:val="0"/>
              <w:overflowPunct/>
              <w:autoSpaceDE/>
              <w:autoSpaceDN/>
              <w:textAlignment w:val="auto"/>
              <w:rPr>
                <w:sz w:val="18"/>
                <w:szCs w:val="18"/>
                <w:lang w:eastAsia="en-US"/>
              </w:rPr>
            </w:pPr>
            <w:r w:rsidRPr="004E4188">
              <w:rPr>
                <w:sz w:val="18"/>
                <w:szCs w:val="18"/>
                <w:lang w:eastAsia="en-US"/>
              </w:rPr>
              <w:t xml:space="preserve">Les Conditions Particulières : Partie A </w:t>
            </w:r>
            <w:r w:rsidR="00E16ADC" w:rsidRPr="004E4188">
              <w:rPr>
                <w:sz w:val="18"/>
                <w:szCs w:val="18"/>
                <w:lang w:eastAsia="en-US"/>
              </w:rPr>
              <w:t>-</w:t>
            </w:r>
            <w:r w:rsidRPr="004E4188">
              <w:rPr>
                <w:sz w:val="18"/>
                <w:szCs w:val="18"/>
                <w:lang w:eastAsia="en-US"/>
              </w:rPr>
              <w:t xml:space="preserve"> Données du Marché. </w:t>
            </w:r>
          </w:p>
          <w:p w14:paraId="066B219B" w14:textId="5B5CC055" w:rsidR="00DF57D4" w:rsidRPr="004E4188" w:rsidRDefault="00DF57D4" w:rsidP="00414791">
            <w:pPr>
              <w:jc w:val="left"/>
              <w:rPr>
                <w:sz w:val="18"/>
                <w:szCs w:val="18"/>
              </w:rPr>
            </w:pPr>
            <w:r w:rsidRPr="004E4188">
              <w:rPr>
                <w:rFonts w:hint="eastAsia"/>
                <w:sz w:val="18"/>
                <w:szCs w:val="18"/>
                <w:lang w:eastAsia="ja-JP"/>
              </w:rPr>
              <w:t>L</w:t>
            </w:r>
            <w:r w:rsidRPr="004E4188">
              <w:rPr>
                <w:sz w:val="18"/>
                <w:szCs w:val="18"/>
                <w:lang w:eastAsia="ja-JP"/>
              </w:rPr>
              <w:t xml:space="preserve">es </w:t>
            </w:r>
            <w:r w:rsidRPr="004E4188">
              <w:rPr>
                <w:sz w:val="18"/>
                <w:szCs w:val="18"/>
              </w:rPr>
              <w:t xml:space="preserve">Conditions Particulières : Partie B </w:t>
            </w:r>
            <w:r w:rsidR="00E16ADC" w:rsidRPr="004E4188">
              <w:rPr>
                <w:sz w:val="18"/>
                <w:szCs w:val="18"/>
                <w:lang w:eastAsia="en-US"/>
              </w:rPr>
              <w:t>-</w:t>
            </w:r>
            <w:r w:rsidRPr="004E4188">
              <w:rPr>
                <w:sz w:val="18"/>
                <w:szCs w:val="18"/>
              </w:rPr>
              <w:t xml:space="preserve"> Dispositions spécifiques.</w:t>
            </w:r>
          </w:p>
          <w:p w14:paraId="11A6FF03" w14:textId="4E91E01F" w:rsidR="00760092" w:rsidRPr="004E4188" w:rsidRDefault="00760092" w:rsidP="00414791">
            <w:pPr>
              <w:jc w:val="left"/>
              <w:rPr>
                <w:sz w:val="18"/>
                <w:szCs w:val="18"/>
                <w:lang w:eastAsia="ja-JP"/>
              </w:rPr>
            </w:pPr>
            <w:r w:rsidRPr="004E4188">
              <w:rPr>
                <w:sz w:val="18"/>
                <w:szCs w:val="18"/>
              </w:rPr>
              <w:t>Les Conditions Générales.</w:t>
            </w:r>
          </w:p>
          <w:p w14:paraId="539F5714" w14:textId="3C9AB1D4" w:rsidR="00414791" w:rsidRPr="004E4188" w:rsidRDefault="004F42E8" w:rsidP="00414791">
            <w:pPr>
              <w:jc w:val="left"/>
              <w:rPr>
                <w:sz w:val="18"/>
                <w:szCs w:val="18"/>
                <w:lang w:eastAsia="ja-JP"/>
              </w:rPr>
            </w:pPr>
            <w:r w:rsidRPr="004E4188">
              <w:rPr>
                <w:sz w:val="18"/>
                <w:szCs w:val="18"/>
              </w:rPr>
              <w:t>L</w:t>
            </w:r>
            <w:r w:rsidR="00414791" w:rsidRPr="004E4188">
              <w:rPr>
                <w:sz w:val="18"/>
                <w:szCs w:val="18"/>
              </w:rPr>
              <w:t>es Exigences du Maître d’ouvrage</w:t>
            </w:r>
            <w:r w:rsidRPr="004E4188">
              <w:rPr>
                <w:sz w:val="18"/>
                <w:szCs w:val="18"/>
              </w:rPr>
              <w:t>.</w:t>
            </w:r>
          </w:p>
          <w:p w14:paraId="22DC7F45" w14:textId="743AF3BE" w:rsidR="00414791" w:rsidRPr="004E4188" w:rsidRDefault="0031048E" w:rsidP="00414791">
            <w:pPr>
              <w:jc w:val="left"/>
              <w:rPr>
                <w:sz w:val="18"/>
                <w:szCs w:val="18"/>
              </w:rPr>
            </w:pPr>
            <w:r w:rsidRPr="004E4188">
              <w:rPr>
                <w:sz w:val="18"/>
                <w:szCs w:val="18"/>
              </w:rPr>
              <w:t>L</w:t>
            </w:r>
            <w:r w:rsidR="00414791" w:rsidRPr="004E4188">
              <w:rPr>
                <w:sz w:val="18"/>
                <w:szCs w:val="18"/>
              </w:rPr>
              <w:t>es autres formulaires de soumission complétés remis avec l’offre</w:t>
            </w:r>
            <w:r w:rsidRPr="004E4188">
              <w:rPr>
                <w:sz w:val="18"/>
                <w:szCs w:val="18"/>
              </w:rPr>
              <w:t>.</w:t>
            </w:r>
          </w:p>
          <w:p w14:paraId="000B4E37" w14:textId="7E1F12AF" w:rsidR="00414791" w:rsidRPr="004E4188" w:rsidRDefault="0031048E" w:rsidP="00414791">
            <w:pPr>
              <w:jc w:val="left"/>
              <w:rPr>
                <w:sz w:val="18"/>
                <w:szCs w:val="18"/>
                <w:lang w:eastAsia="ja-JP"/>
              </w:rPr>
            </w:pPr>
            <w:r w:rsidRPr="004E4188">
              <w:rPr>
                <w:sz w:val="18"/>
                <w:szCs w:val="18"/>
                <w:lang w:eastAsia="ja-JP"/>
              </w:rPr>
              <w:t>L</w:t>
            </w:r>
            <w:r w:rsidR="00414791" w:rsidRPr="004E4188">
              <w:rPr>
                <w:sz w:val="18"/>
                <w:szCs w:val="18"/>
                <w:lang w:eastAsia="ja-JP"/>
              </w:rPr>
              <w:t>a Reconnaissance du respect des Directives pour les passations de marchés sous financement par Prêts APD du Japon</w:t>
            </w:r>
            <w:r w:rsidRPr="004E4188">
              <w:rPr>
                <w:sz w:val="18"/>
                <w:szCs w:val="18"/>
                <w:lang w:eastAsia="ja-JP"/>
              </w:rPr>
              <w:t>.</w:t>
            </w:r>
          </w:p>
          <w:p w14:paraId="4CC446C8" w14:textId="31B76236" w:rsidR="00414791" w:rsidRPr="004E4188" w:rsidRDefault="00880416" w:rsidP="002466C9">
            <w:pPr>
              <w:jc w:val="left"/>
              <w:rPr>
                <w:sz w:val="18"/>
                <w:szCs w:val="18"/>
                <w:lang w:eastAsia="ja-JP"/>
              </w:rPr>
            </w:pPr>
            <w:r w:rsidRPr="004E4188">
              <w:rPr>
                <w:sz w:val="18"/>
                <w:szCs w:val="18"/>
              </w:rPr>
              <w:t>T</w:t>
            </w:r>
            <w:r w:rsidR="00414791" w:rsidRPr="004E4188">
              <w:rPr>
                <w:sz w:val="18"/>
                <w:szCs w:val="18"/>
              </w:rPr>
              <w:t xml:space="preserve">out autre document </w:t>
            </w:r>
            <w:r w:rsidR="002466C9" w:rsidRPr="004E4188">
              <w:rPr>
                <w:sz w:val="18"/>
                <w:szCs w:val="18"/>
              </w:rPr>
              <w:t>faisant partie du Marché.</w:t>
            </w:r>
          </w:p>
        </w:tc>
        <w:tc>
          <w:tcPr>
            <w:tcW w:w="240" w:type="dxa"/>
            <w:tcBorders>
              <w:left w:val="nil"/>
            </w:tcBorders>
            <w:tcMar>
              <w:top w:w="57" w:type="dxa"/>
              <w:bottom w:w="57" w:type="dxa"/>
            </w:tcMar>
          </w:tcPr>
          <w:p w14:paraId="20DC4658" w14:textId="77777777" w:rsidR="00414791" w:rsidRPr="004E4188" w:rsidRDefault="00414791" w:rsidP="00414791">
            <w:pPr>
              <w:rPr>
                <w:sz w:val="20"/>
              </w:rPr>
            </w:pPr>
          </w:p>
        </w:tc>
      </w:tr>
    </w:tbl>
    <w:p w14:paraId="73A15F85" w14:textId="77777777" w:rsidR="00414791" w:rsidRPr="004E4188" w:rsidRDefault="00414791" w:rsidP="00414791">
      <w:pPr>
        <w:rPr>
          <w:lang w:eastAsia="ja-JP"/>
        </w:rPr>
        <w:sectPr w:rsidR="00414791" w:rsidRPr="004E4188" w:rsidSect="00FB7055">
          <w:headerReference w:type="even" r:id="rId18"/>
          <w:headerReference w:type="default" r:id="rId19"/>
          <w:headerReference w:type="first" r:id="rId20"/>
          <w:type w:val="nextColumn"/>
          <w:pgSz w:w="12240" w:h="15840" w:code="1"/>
          <w:pgMar w:top="1440" w:right="1440" w:bottom="1440" w:left="1797" w:header="720" w:footer="862" w:gutter="0"/>
          <w:pgNumType w:fmt="lowerRoman"/>
          <w:cols w:space="720"/>
        </w:sectPr>
      </w:pPr>
    </w:p>
    <w:p w14:paraId="10DA6E00" w14:textId="77777777" w:rsidR="00414791" w:rsidRPr="004E4188" w:rsidRDefault="00414791" w:rsidP="00414791">
      <w:pPr>
        <w:spacing w:before="120" w:after="120"/>
        <w:jc w:val="center"/>
        <w:rPr>
          <w:b/>
          <w:sz w:val="36"/>
          <w:szCs w:val="36"/>
        </w:rPr>
      </w:pPr>
      <w:r w:rsidRPr="004E4188">
        <w:rPr>
          <w:b/>
          <w:sz w:val="36"/>
          <w:szCs w:val="36"/>
        </w:rPr>
        <w:t>Procédure d’appel d’offres</w:t>
      </w:r>
    </w:p>
    <w:p w14:paraId="26BAB312" w14:textId="77777777" w:rsidR="00414791" w:rsidRPr="004E4188" w:rsidRDefault="00414791" w:rsidP="00414791">
      <w:pPr>
        <w:spacing w:before="120" w:after="120"/>
        <w:jc w:val="center"/>
        <w:rPr>
          <w:b/>
          <w:sz w:val="36"/>
          <w:szCs w:val="36"/>
        </w:rPr>
      </w:pPr>
      <w:r w:rsidRPr="004E4188">
        <w:rPr>
          <w:b/>
          <w:sz w:val="36"/>
          <w:szCs w:val="36"/>
        </w:rPr>
        <w:t>Deux étapes-une enveloppe</w:t>
      </w:r>
    </w:p>
    <w:p w14:paraId="63746E70" w14:textId="633F79FF" w:rsidR="00414791" w:rsidRPr="004E4188" w:rsidRDefault="00406885" w:rsidP="00414791">
      <w:pPr>
        <w:suppressAutoHyphens w:val="0"/>
        <w:overflowPunct/>
        <w:autoSpaceDE/>
        <w:autoSpaceDN/>
        <w:adjustRightInd/>
        <w:spacing w:afterLines="100" w:after="240"/>
        <w:jc w:val="left"/>
        <w:textAlignment w:val="auto"/>
        <w:rPr>
          <w:b/>
          <w:bCs/>
          <w:sz w:val="32"/>
          <w:szCs w:val="32"/>
          <w:lang w:eastAsia="en-US"/>
        </w:rPr>
      </w:pPr>
      <w:r w:rsidRPr="004E4188">
        <w:rPr>
          <w:b/>
          <w:bCs/>
          <w:sz w:val="32"/>
          <w:szCs w:val="32"/>
          <w:lang w:eastAsia="en-US"/>
        </w:rPr>
        <w:t>C</w:t>
      </w:r>
      <w:r w:rsidRPr="004E4188">
        <w:rPr>
          <w:b/>
          <w:bCs/>
          <w:sz w:val="32"/>
          <w:szCs w:val="32"/>
        </w:rPr>
        <w:t>omposition du dossier</w:t>
      </w:r>
    </w:p>
    <w:tbl>
      <w:tblPr>
        <w:tblW w:w="0" w:type="auto"/>
        <w:tblInd w:w="-447" w:type="dxa"/>
        <w:tblLayout w:type="fixed"/>
        <w:tblLook w:val="0000" w:firstRow="0" w:lastRow="0" w:firstColumn="0" w:lastColumn="0" w:noHBand="0" w:noVBand="0"/>
      </w:tblPr>
      <w:tblGrid>
        <w:gridCol w:w="447"/>
        <w:gridCol w:w="21"/>
        <w:gridCol w:w="267"/>
        <w:gridCol w:w="1238"/>
        <w:gridCol w:w="425"/>
        <w:gridCol w:w="5897"/>
        <w:gridCol w:w="236"/>
        <w:gridCol w:w="304"/>
        <w:gridCol w:w="468"/>
      </w:tblGrid>
      <w:tr w:rsidR="005848E6" w:rsidRPr="004E4188" w14:paraId="7E3C97D5" w14:textId="77777777" w:rsidTr="005420A0">
        <w:trPr>
          <w:gridBefore w:val="1"/>
          <w:wBefore w:w="447" w:type="dxa"/>
        </w:trPr>
        <w:tc>
          <w:tcPr>
            <w:tcW w:w="288" w:type="dxa"/>
            <w:gridSpan w:val="2"/>
            <w:tcMar>
              <w:top w:w="57" w:type="dxa"/>
              <w:bottom w:w="57" w:type="dxa"/>
            </w:tcMar>
          </w:tcPr>
          <w:p w14:paraId="096657C8" w14:textId="77777777" w:rsidR="005848E6" w:rsidRPr="004E4188" w:rsidRDefault="005848E6" w:rsidP="005420A0">
            <w:pPr>
              <w:rPr>
                <w:sz w:val="20"/>
                <w:lang w:val="en-GB"/>
              </w:rPr>
            </w:pPr>
          </w:p>
        </w:tc>
        <w:tc>
          <w:tcPr>
            <w:tcW w:w="8100" w:type="dxa"/>
            <w:gridSpan w:val="5"/>
            <w:tcBorders>
              <w:top w:val="single" w:sz="6" w:space="0" w:color="auto"/>
              <w:left w:val="single" w:sz="6" w:space="0" w:color="auto"/>
              <w:right w:val="single" w:sz="6" w:space="0" w:color="auto"/>
            </w:tcBorders>
            <w:tcMar>
              <w:top w:w="57" w:type="dxa"/>
              <w:bottom w:w="57" w:type="dxa"/>
            </w:tcMar>
          </w:tcPr>
          <w:p w14:paraId="36425C0A" w14:textId="5CE2563C" w:rsidR="005848E6" w:rsidRPr="004E4188" w:rsidRDefault="005848E6" w:rsidP="005420A0">
            <w:pPr>
              <w:ind w:left="274" w:hanging="274"/>
              <w:jc w:val="center"/>
              <w:rPr>
                <w:b/>
              </w:rPr>
            </w:pPr>
            <w:r w:rsidRPr="004E4188">
              <w:rPr>
                <w:b/>
              </w:rPr>
              <w:t xml:space="preserve">I. </w:t>
            </w:r>
            <w:r w:rsidR="00CF30BA" w:rsidRPr="004E4188">
              <w:rPr>
                <w:b/>
              </w:rPr>
              <w:t>Dossier d’appel d’offres</w:t>
            </w:r>
            <w:r w:rsidRPr="004E4188">
              <w:rPr>
                <w:b/>
              </w:rPr>
              <w:t xml:space="preserve"> </w:t>
            </w:r>
          </w:p>
          <w:p w14:paraId="2AD1B0F1" w14:textId="15381750" w:rsidR="005848E6" w:rsidRPr="004E4188" w:rsidRDefault="004205FC" w:rsidP="004205FC">
            <w:pPr>
              <w:ind w:left="272" w:hanging="272"/>
              <w:jc w:val="center"/>
              <w:rPr>
                <w:sz w:val="20"/>
              </w:rPr>
            </w:pPr>
            <w:r w:rsidRPr="004E4188">
              <w:rPr>
                <w:b/>
                <w:sz w:val="20"/>
              </w:rPr>
              <w:t xml:space="preserve">Préparé </w:t>
            </w:r>
            <w:r w:rsidR="00CF30BA" w:rsidRPr="004E4188">
              <w:rPr>
                <w:b/>
                <w:sz w:val="20"/>
              </w:rPr>
              <w:t>par le Maître d’ouvrage</w:t>
            </w:r>
          </w:p>
        </w:tc>
        <w:tc>
          <w:tcPr>
            <w:tcW w:w="468" w:type="dxa"/>
            <w:tcBorders>
              <w:left w:val="nil"/>
            </w:tcBorders>
            <w:tcMar>
              <w:top w:w="57" w:type="dxa"/>
              <w:bottom w:w="57" w:type="dxa"/>
            </w:tcMar>
          </w:tcPr>
          <w:p w14:paraId="497DE810" w14:textId="77777777" w:rsidR="005848E6" w:rsidRPr="004E4188" w:rsidRDefault="005848E6" w:rsidP="005420A0"/>
        </w:tc>
      </w:tr>
      <w:tr w:rsidR="005848E6" w:rsidRPr="004E4188" w14:paraId="25FE2208" w14:textId="77777777" w:rsidTr="005420A0">
        <w:trPr>
          <w:gridBefore w:val="1"/>
          <w:wBefore w:w="447" w:type="dxa"/>
        </w:trPr>
        <w:tc>
          <w:tcPr>
            <w:tcW w:w="288" w:type="dxa"/>
            <w:gridSpan w:val="2"/>
            <w:tcMar>
              <w:top w:w="57" w:type="dxa"/>
              <w:bottom w:w="57" w:type="dxa"/>
            </w:tcMar>
          </w:tcPr>
          <w:p w14:paraId="7599C767" w14:textId="77777777" w:rsidR="005848E6" w:rsidRPr="004E4188" w:rsidRDefault="005848E6" w:rsidP="005420A0">
            <w:pPr>
              <w:rPr>
                <w:sz w:val="20"/>
              </w:rPr>
            </w:pPr>
          </w:p>
        </w:tc>
        <w:tc>
          <w:tcPr>
            <w:tcW w:w="1238" w:type="dxa"/>
            <w:tcBorders>
              <w:left w:val="single" w:sz="6" w:space="0" w:color="auto"/>
              <w:bottom w:val="single" w:sz="6" w:space="0" w:color="auto"/>
            </w:tcBorders>
            <w:tcMar>
              <w:top w:w="57" w:type="dxa"/>
              <w:bottom w:w="57" w:type="dxa"/>
            </w:tcMar>
          </w:tcPr>
          <w:p w14:paraId="2783B288" w14:textId="77777777" w:rsidR="005848E6" w:rsidRPr="004E4188" w:rsidRDefault="005848E6" w:rsidP="005420A0">
            <w:pPr>
              <w:jc w:val="left"/>
              <w:rPr>
                <w:sz w:val="18"/>
                <w:szCs w:val="18"/>
              </w:rPr>
            </w:pPr>
            <w:r w:rsidRPr="004E4188">
              <w:rPr>
                <w:sz w:val="18"/>
                <w:szCs w:val="18"/>
              </w:rPr>
              <w:t xml:space="preserve">Section </w:t>
            </w:r>
            <w:r w:rsidRPr="004E4188">
              <w:rPr>
                <w:sz w:val="18"/>
                <w:szCs w:val="18"/>
                <w:lang w:eastAsia="ja-JP"/>
              </w:rPr>
              <w:t>I</w:t>
            </w:r>
          </w:p>
          <w:p w14:paraId="0264C57B" w14:textId="77777777" w:rsidR="005848E6" w:rsidRPr="004E4188" w:rsidRDefault="005848E6" w:rsidP="005420A0">
            <w:pPr>
              <w:jc w:val="left"/>
              <w:rPr>
                <w:sz w:val="18"/>
                <w:szCs w:val="18"/>
                <w:lang w:eastAsia="ja-JP"/>
              </w:rPr>
            </w:pPr>
            <w:r w:rsidRPr="004E4188">
              <w:rPr>
                <w:sz w:val="18"/>
                <w:szCs w:val="18"/>
              </w:rPr>
              <w:t xml:space="preserve">Section </w:t>
            </w:r>
            <w:r w:rsidRPr="004E4188">
              <w:rPr>
                <w:sz w:val="18"/>
                <w:szCs w:val="18"/>
                <w:lang w:eastAsia="ja-JP"/>
              </w:rPr>
              <w:t>II</w:t>
            </w:r>
          </w:p>
          <w:p w14:paraId="6EF8AA64" w14:textId="77777777" w:rsidR="005848E6" w:rsidRPr="004E4188" w:rsidRDefault="005848E6" w:rsidP="005420A0">
            <w:pPr>
              <w:jc w:val="left"/>
              <w:rPr>
                <w:sz w:val="18"/>
                <w:szCs w:val="18"/>
              </w:rPr>
            </w:pPr>
            <w:r w:rsidRPr="004E4188">
              <w:rPr>
                <w:sz w:val="18"/>
                <w:szCs w:val="18"/>
              </w:rPr>
              <w:t xml:space="preserve">Section </w:t>
            </w:r>
            <w:r w:rsidRPr="004E4188">
              <w:rPr>
                <w:sz w:val="18"/>
                <w:szCs w:val="18"/>
                <w:lang w:eastAsia="ja-JP"/>
              </w:rPr>
              <w:t>III</w:t>
            </w:r>
          </w:p>
          <w:p w14:paraId="54ADACB3" w14:textId="77777777" w:rsidR="005848E6" w:rsidRPr="004E4188" w:rsidRDefault="005848E6" w:rsidP="005420A0">
            <w:pPr>
              <w:jc w:val="left"/>
              <w:rPr>
                <w:sz w:val="18"/>
                <w:szCs w:val="18"/>
                <w:lang w:eastAsia="ja-JP"/>
              </w:rPr>
            </w:pPr>
            <w:r w:rsidRPr="004E4188">
              <w:rPr>
                <w:sz w:val="18"/>
                <w:szCs w:val="18"/>
              </w:rPr>
              <w:t xml:space="preserve">Section </w:t>
            </w:r>
            <w:r w:rsidRPr="004E4188">
              <w:rPr>
                <w:sz w:val="18"/>
                <w:szCs w:val="18"/>
                <w:lang w:eastAsia="ja-JP"/>
              </w:rPr>
              <w:t>IV</w:t>
            </w:r>
          </w:p>
          <w:p w14:paraId="25C72EDD" w14:textId="77777777" w:rsidR="005848E6" w:rsidRPr="004E4188" w:rsidRDefault="005848E6" w:rsidP="005420A0">
            <w:pPr>
              <w:jc w:val="left"/>
              <w:rPr>
                <w:sz w:val="18"/>
                <w:szCs w:val="18"/>
                <w:lang w:eastAsia="ja-JP"/>
              </w:rPr>
            </w:pPr>
            <w:r w:rsidRPr="004E4188">
              <w:rPr>
                <w:sz w:val="18"/>
                <w:szCs w:val="18"/>
              </w:rPr>
              <w:t xml:space="preserve">Section </w:t>
            </w:r>
            <w:r w:rsidRPr="004E4188">
              <w:rPr>
                <w:sz w:val="18"/>
                <w:szCs w:val="18"/>
                <w:lang w:eastAsia="ja-JP"/>
              </w:rPr>
              <w:t>V</w:t>
            </w:r>
          </w:p>
          <w:p w14:paraId="655D93F9" w14:textId="77777777" w:rsidR="005848E6" w:rsidRPr="004E4188" w:rsidRDefault="005848E6" w:rsidP="005420A0">
            <w:pPr>
              <w:jc w:val="left"/>
              <w:rPr>
                <w:sz w:val="18"/>
                <w:szCs w:val="18"/>
                <w:lang w:eastAsia="ja-JP"/>
              </w:rPr>
            </w:pPr>
            <w:r w:rsidRPr="004E4188">
              <w:rPr>
                <w:sz w:val="18"/>
                <w:szCs w:val="18"/>
              </w:rPr>
              <w:t xml:space="preserve">Section </w:t>
            </w:r>
            <w:r w:rsidRPr="004E4188">
              <w:rPr>
                <w:sz w:val="18"/>
                <w:szCs w:val="18"/>
                <w:lang w:eastAsia="ja-JP"/>
              </w:rPr>
              <w:t>VI</w:t>
            </w:r>
          </w:p>
          <w:p w14:paraId="5202A06E" w14:textId="77777777" w:rsidR="005848E6" w:rsidRPr="004E4188" w:rsidRDefault="005848E6" w:rsidP="005420A0">
            <w:pPr>
              <w:jc w:val="left"/>
              <w:rPr>
                <w:sz w:val="18"/>
                <w:szCs w:val="18"/>
                <w:lang w:eastAsia="ja-JP"/>
              </w:rPr>
            </w:pPr>
            <w:r w:rsidRPr="004E4188">
              <w:rPr>
                <w:sz w:val="18"/>
                <w:szCs w:val="18"/>
              </w:rPr>
              <w:t xml:space="preserve">Section </w:t>
            </w:r>
            <w:r w:rsidRPr="004E4188">
              <w:rPr>
                <w:sz w:val="18"/>
                <w:szCs w:val="18"/>
                <w:lang w:eastAsia="ja-JP"/>
              </w:rPr>
              <w:t>VII</w:t>
            </w:r>
          </w:p>
          <w:p w14:paraId="49D18828" w14:textId="77777777" w:rsidR="005848E6" w:rsidRPr="004E4188" w:rsidRDefault="005848E6" w:rsidP="005420A0">
            <w:pPr>
              <w:jc w:val="left"/>
              <w:rPr>
                <w:sz w:val="18"/>
                <w:szCs w:val="18"/>
                <w:lang w:eastAsia="ja-JP"/>
              </w:rPr>
            </w:pPr>
            <w:r w:rsidRPr="004E4188">
              <w:rPr>
                <w:sz w:val="18"/>
                <w:szCs w:val="18"/>
              </w:rPr>
              <w:t xml:space="preserve">Section </w:t>
            </w:r>
            <w:r w:rsidRPr="004E4188">
              <w:rPr>
                <w:sz w:val="18"/>
                <w:szCs w:val="18"/>
                <w:lang w:eastAsia="ja-JP"/>
              </w:rPr>
              <w:t>VIII</w:t>
            </w:r>
          </w:p>
          <w:p w14:paraId="06614B77" w14:textId="77777777" w:rsidR="005848E6" w:rsidRPr="004E4188" w:rsidRDefault="005848E6" w:rsidP="005420A0">
            <w:pPr>
              <w:jc w:val="left"/>
              <w:rPr>
                <w:sz w:val="18"/>
                <w:szCs w:val="18"/>
                <w:lang w:eastAsia="ja-JP"/>
              </w:rPr>
            </w:pPr>
            <w:r w:rsidRPr="004E4188">
              <w:rPr>
                <w:sz w:val="18"/>
                <w:szCs w:val="18"/>
              </w:rPr>
              <w:t xml:space="preserve">Section </w:t>
            </w:r>
            <w:r w:rsidRPr="004E4188">
              <w:rPr>
                <w:sz w:val="18"/>
                <w:szCs w:val="18"/>
                <w:lang w:eastAsia="ja-JP"/>
              </w:rPr>
              <w:t>IX</w:t>
            </w:r>
          </w:p>
        </w:tc>
        <w:tc>
          <w:tcPr>
            <w:tcW w:w="425" w:type="dxa"/>
            <w:tcBorders>
              <w:bottom w:val="single" w:sz="6" w:space="0" w:color="auto"/>
            </w:tcBorders>
            <w:tcMar>
              <w:top w:w="57" w:type="dxa"/>
              <w:bottom w:w="57" w:type="dxa"/>
            </w:tcMar>
          </w:tcPr>
          <w:p w14:paraId="5D98BB0B" w14:textId="77777777" w:rsidR="005848E6" w:rsidRPr="004E4188" w:rsidRDefault="005848E6" w:rsidP="005420A0">
            <w:pPr>
              <w:jc w:val="left"/>
              <w:rPr>
                <w:sz w:val="18"/>
                <w:szCs w:val="18"/>
                <w:lang w:val="en-GB" w:eastAsia="ja-JP"/>
              </w:rPr>
            </w:pPr>
            <w:r w:rsidRPr="004E4188">
              <w:rPr>
                <w:sz w:val="18"/>
                <w:szCs w:val="18"/>
                <w:lang w:val="en-GB" w:eastAsia="ja-JP"/>
              </w:rPr>
              <w:t>-</w:t>
            </w:r>
          </w:p>
          <w:p w14:paraId="474C7248" w14:textId="77777777" w:rsidR="005848E6" w:rsidRPr="004E4188" w:rsidRDefault="005848E6" w:rsidP="005420A0">
            <w:pPr>
              <w:jc w:val="left"/>
              <w:rPr>
                <w:sz w:val="18"/>
                <w:szCs w:val="18"/>
                <w:lang w:val="en-GB" w:eastAsia="ja-JP"/>
              </w:rPr>
            </w:pPr>
            <w:r w:rsidRPr="004E4188">
              <w:rPr>
                <w:sz w:val="18"/>
                <w:szCs w:val="18"/>
                <w:lang w:val="en-GB" w:eastAsia="ja-JP"/>
              </w:rPr>
              <w:t>-</w:t>
            </w:r>
          </w:p>
          <w:p w14:paraId="5AC91377" w14:textId="77777777" w:rsidR="005848E6" w:rsidRPr="004E4188" w:rsidRDefault="005848E6" w:rsidP="005420A0">
            <w:pPr>
              <w:jc w:val="left"/>
              <w:rPr>
                <w:sz w:val="18"/>
                <w:szCs w:val="18"/>
                <w:lang w:val="en-GB" w:eastAsia="ja-JP"/>
              </w:rPr>
            </w:pPr>
            <w:r w:rsidRPr="004E4188">
              <w:rPr>
                <w:sz w:val="18"/>
                <w:szCs w:val="18"/>
                <w:lang w:val="en-GB" w:eastAsia="ja-JP"/>
              </w:rPr>
              <w:t>-</w:t>
            </w:r>
          </w:p>
          <w:p w14:paraId="6EFC97DD" w14:textId="77777777" w:rsidR="005848E6" w:rsidRPr="004E4188" w:rsidRDefault="005848E6" w:rsidP="005420A0">
            <w:pPr>
              <w:jc w:val="left"/>
              <w:rPr>
                <w:sz w:val="18"/>
                <w:szCs w:val="18"/>
                <w:lang w:val="en-GB" w:eastAsia="ja-JP"/>
              </w:rPr>
            </w:pPr>
            <w:r w:rsidRPr="004E4188">
              <w:rPr>
                <w:sz w:val="18"/>
                <w:szCs w:val="18"/>
                <w:lang w:val="en-GB" w:eastAsia="ja-JP"/>
              </w:rPr>
              <w:t>-</w:t>
            </w:r>
          </w:p>
          <w:p w14:paraId="6B5AFF1B" w14:textId="77777777" w:rsidR="005848E6" w:rsidRPr="004E4188" w:rsidRDefault="005848E6" w:rsidP="005420A0">
            <w:pPr>
              <w:jc w:val="left"/>
              <w:rPr>
                <w:sz w:val="18"/>
                <w:szCs w:val="18"/>
                <w:lang w:val="en-GB" w:eastAsia="ja-JP"/>
              </w:rPr>
            </w:pPr>
            <w:r w:rsidRPr="004E4188">
              <w:rPr>
                <w:sz w:val="18"/>
                <w:szCs w:val="18"/>
                <w:lang w:val="en-GB" w:eastAsia="ja-JP"/>
              </w:rPr>
              <w:t>-</w:t>
            </w:r>
          </w:p>
          <w:p w14:paraId="1CF99889" w14:textId="77777777" w:rsidR="005848E6" w:rsidRPr="004E4188" w:rsidRDefault="005848E6" w:rsidP="005420A0">
            <w:pPr>
              <w:jc w:val="left"/>
              <w:rPr>
                <w:sz w:val="18"/>
                <w:szCs w:val="18"/>
                <w:lang w:val="en-GB" w:eastAsia="ja-JP"/>
              </w:rPr>
            </w:pPr>
            <w:r w:rsidRPr="004E4188">
              <w:rPr>
                <w:sz w:val="18"/>
                <w:szCs w:val="18"/>
                <w:lang w:val="en-GB" w:eastAsia="ja-JP"/>
              </w:rPr>
              <w:t>-</w:t>
            </w:r>
          </w:p>
          <w:p w14:paraId="2E5D7EA3" w14:textId="77777777" w:rsidR="005848E6" w:rsidRPr="004E4188" w:rsidRDefault="005848E6" w:rsidP="005420A0">
            <w:pPr>
              <w:jc w:val="left"/>
              <w:rPr>
                <w:sz w:val="18"/>
                <w:szCs w:val="18"/>
                <w:lang w:val="en-GB" w:eastAsia="ja-JP"/>
              </w:rPr>
            </w:pPr>
            <w:r w:rsidRPr="004E4188">
              <w:rPr>
                <w:sz w:val="18"/>
                <w:szCs w:val="18"/>
                <w:lang w:val="en-GB" w:eastAsia="ja-JP"/>
              </w:rPr>
              <w:t>-</w:t>
            </w:r>
          </w:p>
          <w:p w14:paraId="53CFF5E6" w14:textId="77777777" w:rsidR="005848E6" w:rsidRPr="004E4188" w:rsidRDefault="005848E6" w:rsidP="005420A0">
            <w:pPr>
              <w:jc w:val="left"/>
              <w:rPr>
                <w:sz w:val="18"/>
                <w:szCs w:val="18"/>
                <w:lang w:val="en-GB" w:eastAsia="ja-JP"/>
              </w:rPr>
            </w:pPr>
            <w:r w:rsidRPr="004E4188">
              <w:rPr>
                <w:sz w:val="18"/>
                <w:szCs w:val="18"/>
                <w:lang w:val="en-GB" w:eastAsia="ja-JP"/>
              </w:rPr>
              <w:t>-</w:t>
            </w:r>
          </w:p>
          <w:p w14:paraId="6C196BB8" w14:textId="77777777" w:rsidR="005848E6" w:rsidRPr="004E4188" w:rsidRDefault="005848E6" w:rsidP="005420A0">
            <w:pPr>
              <w:jc w:val="left"/>
              <w:rPr>
                <w:sz w:val="18"/>
                <w:szCs w:val="18"/>
                <w:lang w:val="en-GB" w:eastAsia="ja-JP"/>
              </w:rPr>
            </w:pPr>
            <w:r w:rsidRPr="004E4188">
              <w:rPr>
                <w:sz w:val="18"/>
                <w:szCs w:val="18"/>
                <w:lang w:val="en-GB" w:eastAsia="ja-JP"/>
              </w:rPr>
              <w:t>-</w:t>
            </w:r>
          </w:p>
        </w:tc>
        <w:tc>
          <w:tcPr>
            <w:tcW w:w="6437" w:type="dxa"/>
            <w:gridSpan w:val="3"/>
            <w:tcBorders>
              <w:bottom w:val="single" w:sz="6" w:space="0" w:color="auto"/>
              <w:right w:val="single" w:sz="6" w:space="0" w:color="auto"/>
            </w:tcBorders>
            <w:tcMar>
              <w:top w:w="57" w:type="dxa"/>
              <w:bottom w:w="57" w:type="dxa"/>
            </w:tcMar>
          </w:tcPr>
          <w:p w14:paraId="264652A7" w14:textId="2A624BF1" w:rsidR="005848E6" w:rsidRPr="004E4188" w:rsidRDefault="005848E6" w:rsidP="005420A0">
            <w:pPr>
              <w:jc w:val="left"/>
              <w:rPr>
                <w:sz w:val="18"/>
                <w:szCs w:val="18"/>
                <w:lang w:eastAsia="ja-JP"/>
              </w:rPr>
            </w:pPr>
            <w:r w:rsidRPr="004E4188">
              <w:rPr>
                <w:sz w:val="18"/>
                <w:szCs w:val="18"/>
              </w:rPr>
              <w:t>Instructions aux Soumissionnaires (IS)</w:t>
            </w:r>
          </w:p>
          <w:p w14:paraId="2A9DCC38" w14:textId="77777777" w:rsidR="005848E6" w:rsidRPr="004E4188" w:rsidRDefault="005848E6" w:rsidP="005848E6">
            <w:pPr>
              <w:rPr>
                <w:sz w:val="18"/>
                <w:szCs w:val="18"/>
                <w:lang w:eastAsia="ja-JP"/>
              </w:rPr>
            </w:pPr>
            <w:r w:rsidRPr="004E4188">
              <w:rPr>
                <w:sz w:val="18"/>
                <w:szCs w:val="18"/>
              </w:rPr>
              <w:t>Données particulières (DP)</w:t>
            </w:r>
          </w:p>
          <w:p w14:paraId="3B0BA41C" w14:textId="69E2363F" w:rsidR="005848E6" w:rsidRPr="004E4188" w:rsidRDefault="005848E6" w:rsidP="005420A0">
            <w:pPr>
              <w:jc w:val="left"/>
              <w:rPr>
                <w:sz w:val="18"/>
                <w:szCs w:val="18"/>
                <w:lang w:eastAsia="ja-JP"/>
              </w:rPr>
            </w:pPr>
            <w:r w:rsidRPr="004E4188">
              <w:rPr>
                <w:sz w:val="18"/>
                <w:szCs w:val="18"/>
              </w:rPr>
              <w:t>Critères d’évaluation et de qualification (CEQ)</w:t>
            </w:r>
          </w:p>
          <w:p w14:paraId="13018A41" w14:textId="77777777" w:rsidR="005848E6" w:rsidRPr="004E4188" w:rsidRDefault="005848E6" w:rsidP="005848E6">
            <w:pPr>
              <w:rPr>
                <w:sz w:val="18"/>
                <w:szCs w:val="18"/>
                <w:lang w:eastAsia="ja-JP"/>
              </w:rPr>
            </w:pPr>
            <w:r w:rsidRPr="004E4188">
              <w:rPr>
                <w:sz w:val="18"/>
                <w:szCs w:val="18"/>
              </w:rPr>
              <w:t>Formulaires de soumission</w:t>
            </w:r>
          </w:p>
          <w:p w14:paraId="0BB2A7DD" w14:textId="77777777" w:rsidR="005848E6" w:rsidRPr="004E4188" w:rsidRDefault="005848E6" w:rsidP="005848E6">
            <w:pPr>
              <w:rPr>
                <w:sz w:val="18"/>
                <w:szCs w:val="18"/>
                <w:lang w:eastAsia="ja-JP"/>
              </w:rPr>
            </w:pPr>
            <w:r w:rsidRPr="004E4188">
              <w:rPr>
                <w:sz w:val="18"/>
                <w:szCs w:val="18"/>
              </w:rPr>
              <w:t>Pays d’origine éligibles des Prêts APD du Japon</w:t>
            </w:r>
          </w:p>
          <w:p w14:paraId="327F06B5" w14:textId="77777777" w:rsidR="002D08CD" w:rsidRPr="004E4188" w:rsidRDefault="002D08CD" w:rsidP="002D08CD">
            <w:pPr>
              <w:rPr>
                <w:sz w:val="18"/>
                <w:szCs w:val="18"/>
                <w:lang w:eastAsia="ja-JP"/>
              </w:rPr>
            </w:pPr>
            <w:r w:rsidRPr="004E4188">
              <w:rPr>
                <w:sz w:val="18"/>
                <w:szCs w:val="18"/>
              </w:rPr>
              <w:t>Exigences du Maître d’ouvrage</w:t>
            </w:r>
          </w:p>
          <w:p w14:paraId="30C6D9F9" w14:textId="510D373E" w:rsidR="005420A0" w:rsidRPr="004E4188" w:rsidRDefault="00C47E52" w:rsidP="005420A0">
            <w:pPr>
              <w:jc w:val="left"/>
              <w:rPr>
                <w:sz w:val="18"/>
                <w:szCs w:val="18"/>
                <w:lang w:eastAsia="ja-JP"/>
              </w:rPr>
            </w:pPr>
            <w:r w:rsidRPr="004E4188">
              <w:rPr>
                <w:sz w:val="18"/>
                <w:szCs w:val="18"/>
              </w:rPr>
              <w:t>Conditions Générales (CG)</w:t>
            </w:r>
          </w:p>
          <w:p w14:paraId="3F8905D1" w14:textId="77777777" w:rsidR="00D45EAD" w:rsidRPr="004E4188" w:rsidRDefault="00C47E52" w:rsidP="005420A0">
            <w:pPr>
              <w:jc w:val="left"/>
              <w:rPr>
                <w:sz w:val="18"/>
                <w:szCs w:val="18"/>
              </w:rPr>
            </w:pPr>
            <w:r w:rsidRPr="004E4188">
              <w:rPr>
                <w:sz w:val="18"/>
                <w:szCs w:val="18"/>
              </w:rPr>
              <w:t>Condit</w:t>
            </w:r>
            <w:r w:rsidR="00E539E9" w:rsidRPr="004E4188">
              <w:rPr>
                <w:sz w:val="18"/>
                <w:szCs w:val="18"/>
              </w:rPr>
              <w:t>i</w:t>
            </w:r>
            <w:r w:rsidRPr="004E4188">
              <w:rPr>
                <w:sz w:val="18"/>
                <w:szCs w:val="18"/>
              </w:rPr>
              <w:t>ons Particulières (CP)</w:t>
            </w:r>
          </w:p>
          <w:p w14:paraId="3B7F067F" w14:textId="049C64BA" w:rsidR="005848E6" w:rsidRPr="004E4188" w:rsidRDefault="005420A0" w:rsidP="005420A0">
            <w:pPr>
              <w:jc w:val="left"/>
              <w:rPr>
                <w:sz w:val="18"/>
                <w:szCs w:val="18"/>
                <w:lang w:eastAsia="ja-JP"/>
              </w:rPr>
            </w:pPr>
            <w:r w:rsidRPr="004E4188">
              <w:rPr>
                <w:sz w:val="18"/>
                <w:szCs w:val="18"/>
              </w:rPr>
              <w:t>Formulaires du Marché</w:t>
            </w:r>
          </w:p>
        </w:tc>
        <w:tc>
          <w:tcPr>
            <w:tcW w:w="468" w:type="dxa"/>
            <w:tcBorders>
              <w:left w:val="nil"/>
            </w:tcBorders>
            <w:tcMar>
              <w:top w:w="57" w:type="dxa"/>
              <w:bottom w:w="57" w:type="dxa"/>
            </w:tcMar>
          </w:tcPr>
          <w:p w14:paraId="1328F9A6" w14:textId="77777777" w:rsidR="005848E6" w:rsidRPr="004E4188" w:rsidRDefault="005848E6" w:rsidP="005420A0"/>
        </w:tc>
      </w:tr>
      <w:tr w:rsidR="005848E6" w:rsidRPr="004E4188" w14:paraId="56AE7F0F" w14:textId="77777777" w:rsidTr="005420A0">
        <w:trPr>
          <w:gridBefore w:val="1"/>
          <w:wBefore w:w="447" w:type="dxa"/>
        </w:trPr>
        <w:tc>
          <w:tcPr>
            <w:tcW w:w="8856" w:type="dxa"/>
            <w:gridSpan w:val="8"/>
            <w:tcMar>
              <w:top w:w="57" w:type="dxa"/>
              <w:bottom w:w="57" w:type="dxa"/>
            </w:tcMar>
          </w:tcPr>
          <w:p w14:paraId="216C66BF" w14:textId="77777777" w:rsidR="005848E6" w:rsidRPr="004E4188" w:rsidRDefault="005848E6" w:rsidP="005420A0">
            <w:pPr>
              <w:jc w:val="center"/>
              <w:rPr>
                <w:b/>
                <w:sz w:val="48"/>
                <w:szCs w:val="48"/>
                <w:lang w:val="en-GB" w:eastAsia="ja-JP"/>
              </w:rPr>
            </w:pPr>
            <w:r w:rsidRPr="004E4188">
              <w:rPr>
                <w:b/>
                <w:sz w:val="48"/>
                <w:szCs w:val="48"/>
                <w:lang w:val="en-GB"/>
              </w:rPr>
              <w:sym w:font="Symbol" w:char="F0AF"/>
            </w:r>
          </w:p>
        </w:tc>
      </w:tr>
      <w:tr w:rsidR="005848E6" w:rsidRPr="004E4188" w14:paraId="181F40E7" w14:textId="77777777" w:rsidTr="005420A0">
        <w:trPr>
          <w:gridBefore w:val="1"/>
          <w:wBefore w:w="447" w:type="dxa"/>
        </w:trPr>
        <w:tc>
          <w:tcPr>
            <w:tcW w:w="288" w:type="dxa"/>
            <w:gridSpan w:val="2"/>
            <w:tcMar>
              <w:top w:w="57" w:type="dxa"/>
              <w:bottom w:w="57" w:type="dxa"/>
            </w:tcMar>
          </w:tcPr>
          <w:p w14:paraId="7F4D3BD6" w14:textId="77777777" w:rsidR="005848E6" w:rsidRPr="004E4188" w:rsidRDefault="005848E6" w:rsidP="005420A0">
            <w:pPr>
              <w:rPr>
                <w:sz w:val="20"/>
                <w:lang w:val="en-GB"/>
              </w:rPr>
            </w:pPr>
          </w:p>
        </w:tc>
        <w:tc>
          <w:tcPr>
            <w:tcW w:w="8100" w:type="dxa"/>
            <w:gridSpan w:val="5"/>
            <w:tcBorders>
              <w:top w:val="single" w:sz="6" w:space="0" w:color="auto"/>
              <w:left w:val="single" w:sz="6" w:space="0" w:color="auto"/>
              <w:right w:val="single" w:sz="6" w:space="0" w:color="auto"/>
            </w:tcBorders>
            <w:tcMar>
              <w:top w:w="57" w:type="dxa"/>
              <w:bottom w:w="57" w:type="dxa"/>
            </w:tcMar>
          </w:tcPr>
          <w:p w14:paraId="50FD7554" w14:textId="45B35E68" w:rsidR="005848E6" w:rsidRPr="004E4188" w:rsidRDefault="005848E6" w:rsidP="005420A0">
            <w:pPr>
              <w:ind w:left="274" w:hanging="274"/>
              <w:jc w:val="center"/>
              <w:rPr>
                <w:b/>
              </w:rPr>
            </w:pPr>
            <w:r w:rsidRPr="004E4188">
              <w:rPr>
                <w:b/>
              </w:rPr>
              <w:t xml:space="preserve">II. </w:t>
            </w:r>
            <w:r w:rsidR="00AC5CFC" w:rsidRPr="004E4188">
              <w:rPr>
                <w:b/>
              </w:rPr>
              <w:t>Offre de la première étape</w:t>
            </w:r>
          </w:p>
          <w:p w14:paraId="268B09A2" w14:textId="406B55EC" w:rsidR="005848E6" w:rsidRPr="004E4188" w:rsidRDefault="004205FC" w:rsidP="004205FC">
            <w:pPr>
              <w:ind w:left="272" w:hanging="272"/>
              <w:jc w:val="center"/>
              <w:rPr>
                <w:sz w:val="20"/>
                <w:lang w:val="en-GB"/>
              </w:rPr>
            </w:pPr>
            <w:r w:rsidRPr="004E4188">
              <w:rPr>
                <w:b/>
                <w:sz w:val="20"/>
              </w:rPr>
              <w:t>R</w:t>
            </w:r>
            <w:r w:rsidR="00AC5CFC" w:rsidRPr="004E4188">
              <w:rPr>
                <w:b/>
                <w:sz w:val="20"/>
              </w:rPr>
              <w:t>emise par le Soumissionnaire</w:t>
            </w:r>
          </w:p>
        </w:tc>
        <w:tc>
          <w:tcPr>
            <w:tcW w:w="468" w:type="dxa"/>
            <w:tcBorders>
              <w:left w:val="nil"/>
            </w:tcBorders>
            <w:tcMar>
              <w:top w:w="57" w:type="dxa"/>
              <w:bottom w:w="57" w:type="dxa"/>
            </w:tcMar>
          </w:tcPr>
          <w:p w14:paraId="3EFD57D4" w14:textId="77777777" w:rsidR="005848E6" w:rsidRPr="004E4188" w:rsidRDefault="005848E6" w:rsidP="005420A0">
            <w:pPr>
              <w:rPr>
                <w:sz w:val="20"/>
                <w:lang w:val="en-GB"/>
              </w:rPr>
            </w:pPr>
          </w:p>
        </w:tc>
      </w:tr>
      <w:tr w:rsidR="005848E6" w:rsidRPr="004E4188" w14:paraId="77F442B9" w14:textId="77777777" w:rsidTr="005420A0">
        <w:trPr>
          <w:gridBefore w:val="1"/>
          <w:wBefore w:w="447" w:type="dxa"/>
        </w:trPr>
        <w:tc>
          <w:tcPr>
            <w:tcW w:w="288" w:type="dxa"/>
            <w:gridSpan w:val="2"/>
            <w:tcMar>
              <w:top w:w="57" w:type="dxa"/>
              <w:bottom w:w="57" w:type="dxa"/>
            </w:tcMar>
          </w:tcPr>
          <w:p w14:paraId="02098C14" w14:textId="77777777" w:rsidR="005848E6" w:rsidRPr="004E4188" w:rsidRDefault="005848E6" w:rsidP="005420A0">
            <w:pPr>
              <w:rPr>
                <w:sz w:val="20"/>
                <w:lang w:val="en-GB"/>
              </w:rPr>
            </w:pPr>
          </w:p>
        </w:tc>
        <w:tc>
          <w:tcPr>
            <w:tcW w:w="8100" w:type="dxa"/>
            <w:gridSpan w:val="5"/>
            <w:tcBorders>
              <w:left w:val="single" w:sz="6" w:space="0" w:color="auto"/>
              <w:bottom w:val="single" w:sz="6" w:space="0" w:color="auto"/>
              <w:right w:val="single" w:sz="6" w:space="0" w:color="auto"/>
            </w:tcBorders>
            <w:tcMar>
              <w:top w:w="57" w:type="dxa"/>
              <w:bottom w:w="57" w:type="dxa"/>
            </w:tcMar>
          </w:tcPr>
          <w:p w14:paraId="434F8A8C" w14:textId="621F4254" w:rsidR="005848E6" w:rsidRPr="004E4188" w:rsidRDefault="005848E6" w:rsidP="00D66BE0">
            <w:pPr>
              <w:tabs>
                <w:tab w:val="left" w:pos="422"/>
              </w:tabs>
              <w:ind w:left="418" w:hanging="425"/>
              <w:rPr>
                <w:sz w:val="18"/>
                <w:szCs w:val="18"/>
                <w:lang w:eastAsia="ja-JP"/>
              </w:rPr>
            </w:pPr>
            <w:r w:rsidRPr="004E4188">
              <w:rPr>
                <w:sz w:val="18"/>
                <w:szCs w:val="18"/>
                <w:lang w:eastAsia="ja-JP"/>
              </w:rPr>
              <w:t xml:space="preserve">(a) </w:t>
            </w:r>
            <w:r w:rsidRPr="004E4188">
              <w:rPr>
                <w:sz w:val="18"/>
                <w:szCs w:val="18"/>
                <w:lang w:eastAsia="ja-JP"/>
              </w:rPr>
              <w:tab/>
            </w:r>
            <w:r w:rsidR="004205FC" w:rsidRPr="004E4188">
              <w:rPr>
                <w:sz w:val="18"/>
                <w:szCs w:val="18"/>
                <w:lang w:eastAsia="ja-JP"/>
              </w:rPr>
              <w:t>L</w:t>
            </w:r>
            <w:r w:rsidR="00AC5CFC" w:rsidRPr="004E4188">
              <w:rPr>
                <w:sz w:val="18"/>
                <w:szCs w:val="18"/>
                <w:lang w:eastAsia="ja-JP"/>
              </w:rPr>
              <w:t>a Lettre de soumission de l’offre de la première étape</w:t>
            </w:r>
            <w:r w:rsidR="004A6CF1" w:rsidRPr="004E4188">
              <w:rPr>
                <w:sz w:val="18"/>
                <w:szCs w:val="18"/>
                <w:lang w:eastAsia="ja-JP"/>
              </w:rPr>
              <w:t xml:space="preserve"> établi</w:t>
            </w:r>
            <w:r w:rsidR="004F6348" w:rsidRPr="004E4188">
              <w:rPr>
                <w:sz w:val="18"/>
                <w:szCs w:val="18"/>
                <w:lang w:eastAsia="ja-JP"/>
              </w:rPr>
              <w:t>e</w:t>
            </w:r>
            <w:r w:rsidR="004A6CF1" w:rsidRPr="004E4188">
              <w:rPr>
                <w:sz w:val="18"/>
                <w:szCs w:val="18"/>
                <w:lang w:eastAsia="ja-JP"/>
              </w:rPr>
              <w:t xml:space="preserve"> </w:t>
            </w:r>
            <w:r w:rsidR="004A6CF1" w:rsidRPr="004E4188">
              <w:rPr>
                <w:sz w:val="18"/>
                <w:szCs w:val="18"/>
              </w:rPr>
              <w:t>conformément à IS 12.1.</w:t>
            </w:r>
          </w:p>
          <w:p w14:paraId="5D82E7F0" w14:textId="70CE746D" w:rsidR="005848E6" w:rsidRPr="004E4188" w:rsidRDefault="005848E6" w:rsidP="00D66BE0">
            <w:pPr>
              <w:tabs>
                <w:tab w:val="left" w:pos="422"/>
              </w:tabs>
              <w:ind w:left="418" w:hanging="425"/>
              <w:rPr>
                <w:sz w:val="18"/>
                <w:szCs w:val="18"/>
                <w:lang w:eastAsia="ja-JP"/>
              </w:rPr>
            </w:pPr>
            <w:r w:rsidRPr="004E4188">
              <w:rPr>
                <w:sz w:val="18"/>
                <w:szCs w:val="18"/>
                <w:lang w:eastAsia="ja-JP"/>
              </w:rPr>
              <w:t xml:space="preserve">(b) </w:t>
            </w:r>
            <w:r w:rsidRPr="004E4188">
              <w:rPr>
                <w:sz w:val="18"/>
                <w:szCs w:val="18"/>
                <w:lang w:eastAsia="ja-JP"/>
              </w:rPr>
              <w:tab/>
            </w:r>
            <w:r w:rsidR="00670DC5" w:rsidRPr="004E4188">
              <w:rPr>
                <w:sz w:val="18"/>
                <w:szCs w:val="18"/>
                <w:lang w:eastAsia="ja-JP"/>
              </w:rPr>
              <w:t>La procuration attestant que le signataire</w:t>
            </w:r>
            <w:r w:rsidR="004A6CF1" w:rsidRPr="004E4188">
              <w:rPr>
                <w:sz w:val="18"/>
                <w:szCs w:val="18"/>
                <w:lang w:eastAsia="ja-JP"/>
              </w:rPr>
              <w:t xml:space="preserve"> de l’offre est habilité à engager le Soumissionnaire </w:t>
            </w:r>
            <w:r w:rsidR="004A6CF1" w:rsidRPr="004E4188">
              <w:rPr>
                <w:sz w:val="18"/>
                <w:szCs w:val="18"/>
              </w:rPr>
              <w:t>conformément à IS 16.2 et IS 16.3.</w:t>
            </w:r>
          </w:p>
          <w:p w14:paraId="279A6241" w14:textId="3573498A" w:rsidR="005848E6" w:rsidRPr="004E4188" w:rsidRDefault="005848E6" w:rsidP="00D66BE0">
            <w:pPr>
              <w:tabs>
                <w:tab w:val="left" w:pos="422"/>
              </w:tabs>
              <w:ind w:left="418" w:hanging="425"/>
              <w:rPr>
                <w:sz w:val="18"/>
                <w:szCs w:val="18"/>
                <w:lang w:eastAsia="ja-JP"/>
              </w:rPr>
            </w:pPr>
            <w:r w:rsidRPr="004E4188">
              <w:rPr>
                <w:sz w:val="18"/>
                <w:szCs w:val="18"/>
                <w:lang w:eastAsia="ja-JP"/>
              </w:rPr>
              <w:t xml:space="preserve">(c) </w:t>
            </w:r>
            <w:r w:rsidRPr="004E4188">
              <w:rPr>
                <w:sz w:val="18"/>
                <w:szCs w:val="18"/>
                <w:lang w:eastAsia="ja-JP"/>
              </w:rPr>
              <w:tab/>
            </w:r>
            <w:r w:rsidR="004A6CF1" w:rsidRPr="004E4188">
              <w:rPr>
                <w:sz w:val="18"/>
                <w:szCs w:val="18"/>
                <w:lang w:eastAsia="ja-JP"/>
              </w:rPr>
              <w:t xml:space="preserve">Dans le cas d’une </w:t>
            </w:r>
            <w:r w:rsidR="009C2960" w:rsidRPr="004E4188">
              <w:rPr>
                <w:sz w:val="18"/>
                <w:szCs w:val="18"/>
                <w:lang w:eastAsia="ja-JP"/>
              </w:rPr>
              <w:t>offre</w:t>
            </w:r>
            <w:r w:rsidR="004A6CF1" w:rsidRPr="004E4188">
              <w:rPr>
                <w:sz w:val="18"/>
                <w:szCs w:val="18"/>
                <w:lang w:eastAsia="ja-JP"/>
              </w:rPr>
              <w:t xml:space="preserve"> </w:t>
            </w:r>
            <w:r w:rsidR="004A6CF1" w:rsidRPr="004E4188">
              <w:rPr>
                <w:sz w:val="18"/>
                <w:szCs w:val="18"/>
              </w:rPr>
              <w:t>soumise par</w:t>
            </w:r>
            <w:r w:rsidR="004A6CF1" w:rsidRPr="004E4188">
              <w:rPr>
                <w:sz w:val="18"/>
                <w:szCs w:val="18"/>
                <w:lang w:eastAsia="ja-JP"/>
              </w:rPr>
              <w:t xml:space="preserve"> </w:t>
            </w:r>
            <w:r w:rsidR="004A6CF1" w:rsidRPr="004E4188">
              <w:rPr>
                <w:sz w:val="18"/>
                <w:szCs w:val="18"/>
              </w:rPr>
              <w:t>un Groupement d’entreprises,</w:t>
            </w:r>
            <w:r w:rsidR="004A6CF1" w:rsidRPr="004E4188">
              <w:rPr>
                <w:sz w:val="18"/>
                <w:szCs w:val="18"/>
                <w:lang w:eastAsia="ja-JP"/>
              </w:rPr>
              <w:t xml:space="preserve"> </w:t>
            </w:r>
            <w:r w:rsidR="00AC5CFC" w:rsidRPr="004E4188">
              <w:rPr>
                <w:sz w:val="18"/>
                <w:szCs w:val="18"/>
                <w:lang w:eastAsia="ja-JP"/>
              </w:rPr>
              <w:t xml:space="preserve">la </w:t>
            </w:r>
            <w:r w:rsidR="00A56378" w:rsidRPr="004E4188">
              <w:rPr>
                <w:sz w:val="18"/>
                <w:szCs w:val="18"/>
                <w:lang w:eastAsia="ja-JP"/>
              </w:rPr>
              <w:t xml:space="preserve">copie de l’accord de Groupement ou la lettre d’intention de </w:t>
            </w:r>
            <w:r w:rsidR="004A6CF1" w:rsidRPr="004E4188">
              <w:rPr>
                <w:sz w:val="18"/>
                <w:szCs w:val="18"/>
                <w:lang w:eastAsia="ja-JP"/>
              </w:rPr>
              <w:t xml:space="preserve">constituer </w:t>
            </w:r>
            <w:r w:rsidR="00A56378" w:rsidRPr="004E4188">
              <w:rPr>
                <w:sz w:val="18"/>
                <w:szCs w:val="18"/>
                <w:lang w:eastAsia="ja-JP"/>
              </w:rPr>
              <w:t xml:space="preserve">un Groupement incluant le projet d’accord, </w:t>
            </w:r>
            <w:r w:rsidR="004A6CF1" w:rsidRPr="004E4188">
              <w:rPr>
                <w:sz w:val="18"/>
                <w:szCs w:val="18"/>
                <w:lang w:eastAsia="ja-JP"/>
              </w:rPr>
              <w:t>établie</w:t>
            </w:r>
            <w:r w:rsidR="00A37195" w:rsidRPr="004E4188">
              <w:rPr>
                <w:sz w:val="18"/>
                <w:szCs w:val="18"/>
                <w:lang w:eastAsia="ja-JP"/>
              </w:rPr>
              <w:t>s</w:t>
            </w:r>
            <w:r w:rsidR="004A6CF1" w:rsidRPr="004E4188">
              <w:rPr>
                <w:sz w:val="18"/>
                <w:szCs w:val="18"/>
                <w:lang w:eastAsia="ja-JP"/>
              </w:rPr>
              <w:t xml:space="preserve"> conformément à IS 4.1.</w:t>
            </w:r>
            <w:r w:rsidRPr="004E4188">
              <w:rPr>
                <w:sz w:val="18"/>
                <w:szCs w:val="18"/>
                <w:lang w:eastAsia="ja-JP"/>
              </w:rPr>
              <w:t xml:space="preserve"> </w:t>
            </w:r>
          </w:p>
          <w:p w14:paraId="7C204564" w14:textId="0DCC6448" w:rsidR="005848E6" w:rsidRPr="004E4188" w:rsidRDefault="005848E6" w:rsidP="000662E5">
            <w:pPr>
              <w:tabs>
                <w:tab w:val="left" w:pos="422"/>
              </w:tabs>
              <w:ind w:left="418" w:hanging="425"/>
              <w:rPr>
                <w:sz w:val="18"/>
                <w:szCs w:val="18"/>
                <w:lang w:eastAsia="ja-JP"/>
              </w:rPr>
            </w:pPr>
            <w:r w:rsidRPr="004E4188">
              <w:rPr>
                <w:sz w:val="18"/>
                <w:szCs w:val="18"/>
                <w:lang w:eastAsia="ja-JP"/>
              </w:rPr>
              <w:t>(</w:t>
            </w:r>
            <w:r w:rsidR="00C8713F" w:rsidRPr="004E4188">
              <w:rPr>
                <w:sz w:val="18"/>
                <w:szCs w:val="18"/>
                <w:lang w:eastAsia="ja-JP"/>
              </w:rPr>
              <w:t>d</w:t>
            </w:r>
            <w:r w:rsidRPr="004E4188">
              <w:rPr>
                <w:sz w:val="18"/>
                <w:szCs w:val="18"/>
                <w:lang w:eastAsia="ja-JP"/>
              </w:rPr>
              <w:t xml:space="preserve">) </w:t>
            </w:r>
            <w:r w:rsidRPr="004E4188">
              <w:rPr>
                <w:sz w:val="18"/>
                <w:szCs w:val="18"/>
                <w:lang w:eastAsia="ja-JP"/>
              </w:rPr>
              <w:tab/>
            </w:r>
            <w:r w:rsidR="00C8713F" w:rsidRPr="004E4188">
              <w:rPr>
                <w:sz w:val="18"/>
                <w:szCs w:val="18"/>
                <w:lang w:eastAsia="ja-JP"/>
              </w:rPr>
              <w:t>L</w:t>
            </w:r>
            <w:r w:rsidR="00A56378" w:rsidRPr="004E4188">
              <w:rPr>
                <w:sz w:val="18"/>
                <w:szCs w:val="18"/>
                <w:lang w:eastAsia="ja-JP"/>
              </w:rPr>
              <w:t>es documents attestant</w:t>
            </w:r>
            <w:r w:rsidR="007B202F" w:rsidRPr="004E4188">
              <w:rPr>
                <w:sz w:val="18"/>
                <w:szCs w:val="18"/>
                <w:lang w:eastAsia="ja-JP"/>
              </w:rPr>
              <w:t xml:space="preserve"> que </w:t>
            </w:r>
            <w:r w:rsidR="007B202F" w:rsidRPr="004E4188">
              <w:rPr>
                <w:sz w:val="18"/>
                <w:szCs w:val="18"/>
              </w:rPr>
              <w:t>le Soumissionnaire répond aux critères d’éligibilité et possède les qualifications requises pour exécuter le Marché si son offre est retenue</w:t>
            </w:r>
            <w:r w:rsidR="00A56378" w:rsidRPr="004E4188">
              <w:rPr>
                <w:sz w:val="18"/>
                <w:szCs w:val="18"/>
                <w:lang w:eastAsia="ja-JP"/>
              </w:rPr>
              <w:t>, conformément à IS 15</w:t>
            </w:r>
            <w:r w:rsidR="007B202F" w:rsidRPr="004E4188">
              <w:rPr>
                <w:sz w:val="18"/>
                <w:szCs w:val="18"/>
                <w:lang w:eastAsia="ja-JP"/>
              </w:rPr>
              <w:t>.</w:t>
            </w:r>
          </w:p>
          <w:p w14:paraId="13EFA29D" w14:textId="26F611F2" w:rsidR="00C8713F" w:rsidRPr="004E4188" w:rsidRDefault="005848E6" w:rsidP="00503E7D">
            <w:pPr>
              <w:tabs>
                <w:tab w:val="left" w:pos="422"/>
              </w:tabs>
              <w:ind w:left="418" w:hanging="425"/>
              <w:rPr>
                <w:sz w:val="18"/>
                <w:szCs w:val="18"/>
                <w:lang w:eastAsia="ja-JP"/>
              </w:rPr>
            </w:pPr>
            <w:r w:rsidRPr="004E4188">
              <w:rPr>
                <w:sz w:val="18"/>
                <w:szCs w:val="18"/>
                <w:lang w:eastAsia="ja-JP"/>
              </w:rPr>
              <w:t>(</w:t>
            </w:r>
            <w:r w:rsidR="00C8713F" w:rsidRPr="004E4188">
              <w:rPr>
                <w:sz w:val="18"/>
                <w:szCs w:val="18"/>
                <w:lang w:eastAsia="ja-JP"/>
              </w:rPr>
              <w:t>e</w:t>
            </w:r>
            <w:r w:rsidRPr="004E4188">
              <w:rPr>
                <w:sz w:val="18"/>
                <w:szCs w:val="18"/>
                <w:lang w:eastAsia="ja-JP"/>
              </w:rPr>
              <w:t xml:space="preserve">) </w:t>
            </w:r>
            <w:r w:rsidRPr="004E4188">
              <w:rPr>
                <w:sz w:val="18"/>
                <w:szCs w:val="18"/>
                <w:lang w:eastAsia="ja-JP"/>
              </w:rPr>
              <w:tab/>
            </w:r>
            <w:r w:rsidR="00C8713F" w:rsidRPr="004E4188">
              <w:rPr>
                <w:sz w:val="18"/>
                <w:szCs w:val="18"/>
                <w:lang w:eastAsia="ja-JP"/>
              </w:rPr>
              <w:t>L</w:t>
            </w:r>
            <w:r w:rsidR="00A56378" w:rsidRPr="004E4188">
              <w:rPr>
                <w:sz w:val="18"/>
                <w:szCs w:val="18"/>
                <w:lang w:eastAsia="ja-JP"/>
              </w:rPr>
              <w:t>es documents attestant, conformément à IS 1</w:t>
            </w:r>
            <w:r w:rsidR="00C8713F" w:rsidRPr="004E4188">
              <w:rPr>
                <w:sz w:val="18"/>
                <w:szCs w:val="18"/>
                <w:lang w:eastAsia="ja-JP"/>
              </w:rPr>
              <w:t>4.2</w:t>
            </w:r>
            <w:r w:rsidR="00FB579A" w:rsidRPr="004E4188">
              <w:rPr>
                <w:sz w:val="18"/>
                <w:szCs w:val="18"/>
                <w:lang w:eastAsia="ja-JP"/>
              </w:rPr>
              <w:t>,</w:t>
            </w:r>
            <w:r w:rsidR="00A56378" w:rsidRPr="004E4188">
              <w:rPr>
                <w:sz w:val="18"/>
                <w:szCs w:val="18"/>
                <w:lang w:eastAsia="ja-JP"/>
              </w:rPr>
              <w:t xml:space="preserve"> que les </w:t>
            </w:r>
            <w:r w:rsidR="00A14B9B" w:rsidRPr="004E4188">
              <w:rPr>
                <w:sz w:val="18"/>
                <w:szCs w:val="18"/>
              </w:rPr>
              <w:t>É</w:t>
            </w:r>
            <w:r w:rsidR="00A56378" w:rsidRPr="004E4188">
              <w:rPr>
                <w:sz w:val="18"/>
                <w:szCs w:val="18"/>
                <w:lang w:eastAsia="ja-JP"/>
              </w:rPr>
              <w:t xml:space="preserve">quipements et Services de montage </w:t>
            </w:r>
            <w:r w:rsidR="006A1E34" w:rsidRPr="004E4188">
              <w:rPr>
                <w:sz w:val="18"/>
                <w:szCs w:val="18"/>
                <w:lang w:eastAsia="ja-JP"/>
              </w:rPr>
              <w:t xml:space="preserve">proposés </w:t>
            </w:r>
            <w:r w:rsidR="00A56378" w:rsidRPr="004E4188">
              <w:rPr>
                <w:sz w:val="18"/>
                <w:szCs w:val="18"/>
                <w:lang w:eastAsia="ja-JP"/>
              </w:rPr>
              <w:t>par le Soumissionnaire sont conformes au Dossier d’appel d’offres</w:t>
            </w:r>
            <w:r w:rsidR="00C8713F" w:rsidRPr="004E4188">
              <w:rPr>
                <w:sz w:val="18"/>
                <w:szCs w:val="18"/>
                <w:lang w:eastAsia="ja-JP"/>
              </w:rPr>
              <w:t>.</w:t>
            </w:r>
          </w:p>
          <w:p w14:paraId="1A18C669" w14:textId="4493534B" w:rsidR="000662E5" w:rsidRPr="004E4188" w:rsidRDefault="00C8713F" w:rsidP="00D66BE0">
            <w:pPr>
              <w:tabs>
                <w:tab w:val="left" w:pos="422"/>
              </w:tabs>
              <w:ind w:left="418" w:hanging="425"/>
              <w:rPr>
                <w:sz w:val="18"/>
                <w:szCs w:val="18"/>
                <w:lang w:eastAsia="ja-JP"/>
              </w:rPr>
            </w:pPr>
            <w:r w:rsidRPr="004E4188">
              <w:rPr>
                <w:sz w:val="18"/>
                <w:szCs w:val="18"/>
                <w:lang w:eastAsia="ja-JP"/>
              </w:rPr>
              <w:t xml:space="preserve">(f) </w:t>
            </w:r>
            <w:r w:rsidRPr="004E4188">
              <w:rPr>
                <w:sz w:val="18"/>
                <w:szCs w:val="18"/>
                <w:lang w:eastAsia="ja-JP"/>
              </w:rPr>
              <w:tab/>
              <w:t xml:space="preserve">La Proposition technique </w:t>
            </w:r>
            <w:r w:rsidR="006A1E34" w:rsidRPr="004E4188">
              <w:rPr>
                <w:sz w:val="18"/>
                <w:szCs w:val="18"/>
                <w:lang w:eastAsia="ja-JP"/>
              </w:rPr>
              <w:t>soumise</w:t>
            </w:r>
            <w:r w:rsidRPr="004E4188">
              <w:rPr>
                <w:sz w:val="18"/>
                <w:szCs w:val="18"/>
                <w:lang w:eastAsia="ja-JP"/>
              </w:rPr>
              <w:t xml:space="preserve"> conformément à IS 14.</w:t>
            </w:r>
          </w:p>
          <w:p w14:paraId="4C59D9D8" w14:textId="195CB3D5" w:rsidR="00D45EAD" w:rsidRPr="004E4188" w:rsidRDefault="005848E6" w:rsidP="00D66BE0">
            <w:pPr>
              <w:tabs>
                <w:tab w:val="left" w:pos="422"/>
              </w:tabs>
              <w:ind w:left="418" w:hanging="425"/>
              <w:rPr>
                <w:sz w:val="18"/>
                <w:szCs w:val="18"/>
                <w:lang w:eastAsia="ja-JP"/>
              </w:rPr>
            </w:pPr>
            <w:r w:rsidRPr="004E4188">
              <w:rPr>
                <w:sz w:val="18"/>
                <w:szCs w:val="18"/>
                <w:lang w:eastAsia="ja-JP"/>
              </w:rPr>
              <w:t>(</w:t>
            </w:r>
            <w:r w:rsidR="00C8713F" w:rsidRPr="004E4188">
              <w:rPr>
                <w:sz w:val="18"/>
                <w:szCs w:val="18"/>
                <w:lang w:eastAsia="ja-JP"/>
              </w:rPr>
              <w:t>g</w:t>
            </w:r>
            <w:r w:rsidRPr="004E4188">
              <w:rPr>
                <w:sz w:val="18"/>
                <w:szCs w:val="18"/>
                <w:lang w:eastAsia="ja-JP"/>
              </w:rPr>
              <w:t xml:space="preserve">) </w:t>
            </w:r>
            <w:r w:rsidRPr="004E4188">
              <w:rPr>
                <w:sz w:val="18"/>
                <w:szCs w:val="18"/>
                <w:lang w:eastAsia="ja-JP"/>
              </w:rPr>
              <w:tab/>
            </w:r>
            <w:r w:rsidR="00C8713F" w:rsidRPr="004E4188">
              <w:rPr>
                <w:sz w:val="18"/>
                <w:szCs w:val="18"/>
                <w:lang w:eastAsia="ja-JP"/>
              </w:rPr>
              <w:t>La</w:t>
            </w:r>
            <w:r w:rsidR="003642BF" w:rsidRPr="004E4188">
              <w:rPr>
                <w:sz w:val="18"/>
                <w:szCs w:val="18"/>
                <w:lang w:eastAsia="ja-JP"/>
              </w:rPr>
              <w:t xml:space="preserve"> Proposition technique variant</w:t>
            </w:r>
            <w:r w:rsidR="004A018C" w:rsidRPr="004E4188">
              <w:rPr>
                <w:sz w:val="18"/>
                <w:szCs w:val="18"/>
                <w:lang w:eastAsia="ja-JP"/>
              </w:rPr>
              <w:t>e</w:t>
            </w:r>
            <w:r w:rsidR="003642BF" w:rsidRPr="004E4188">
              <w:rPr>
                <w:sz w:val="18"/>
                <w:szCs w:val="18"/>
                <w:lang w:eastAsia="ja-JP"/>
              </w:rPr>
              <w:t>, si autorisée, conformément à IS 13</w:t>
            </w:r>
            <w:r w:rsidR="00A80560" w:rsidRPr="004E4188">
              <w:rPr>
                <w:sz w:val="18"/>
                <w:szCs w:val="18"/>
                <w:lang w:eastAsia="ja-JP"/>
              </w:rPr>
              <w:t>.</w:t>
            </w:r>
          </w:p>
          <w:p w14:paraId="3D4362AE" w14:textId="760A26C2" w:rsidR="005848E6" w:rsidRPr="004E4188" w:rsidRDefault="005848E6" w:rsidP="00D66BE0">
            <w:pPr>
              <w:tabs>
                <w:tab w:val="left" w:pos="422"/>
              </w:tabs>
              <w:ind w:left="418" w:hanging="425"/>
              <w:rPr>
                <w:sz w:val="18"/>
                <w:szCs w:val="18"/>
                <w:lang w:eastAsia="ja-JP"/>
              </w:rPr>
            </w:pPr>
            <w:r w:rsidRPr="004E4188">
              <w:rPr>
                <w:sz w:val="18"/>
                <w:szCs w:val="18"/>
                <w:lang w:eastAsia="ja-JP"/>
              </w:rPr>
              <w:t>(</w:t>
            </w:r>
            <w:r w:rsidR="00A41978" w:rsidRPr="004E4188">
              <w:rPr>
                <w:sz w:val="18"/>
                <w:szCs w:val="18"/>
                <w:lang w:eastAsia="ja-JP"/>
              </w:rPr>
              <w:t>h</w:t>
            </w:r>
            <w:r w:rsidRPr="004E4188">
              <w:rPr>
                <w:sz w:val="18"/>
                <w:szCs w:val="18"/>
                <w:lang w:eastAsia="ja-JP"/>
              </w:rPr>
              <w:t xml:space="preserve">) </w:t>
            </w:r>
            <w:r w:rsidRPr="004E4188">
              <w:rPr>
                <w:sz w:val="18"/>
                <w:szCs w:val="18"/>
                <w:lang w:eastAsia="ja-JP"/>
              </w:rPr>
              <w:tab/>
            </w:r>
            <w:r w:rsidR="00A41978" w:rsidRPr="004E4188">
              <w:rPr>
                <w:sz w:val="18"/>
                <w:szCs w:val="18"/>
                <w:lang w:eastAsia="ja-JP"/>
              </w:rPr>
              <w:t>La Reconnaissance du respect des Directives pour les passations de marchés sous financement par Prêts APD du Japon</w:t>
            </w:r>
            <w:r w:rsidR="008A7BFF" w:rsidRPr="004E4188">
              <w:rPr>
                <w:sz w:val="18"/>
                <w:szCs w:val="18"/>
                <w:lang w:eastAsia="ja-JP"/>
              </w:rPr>
              <w:t xml:space="preserve"> (Formulaire REC)</w:t>
            </w:r>
            <w:r w:rsidR="00A41978" w:rsidRPr="004E4188">
              <w:rPr>
                <w:sz w:val="18"/>
                <w:szCs w:val="18"/>
                <w:lang w:eastAsia="ja-JP"/>
              </w:rPr>
              <w:t>.</w:t>
            </w:r>
            <w:r w:rsidR="00A41978" w:rsidRPr="004E4188" w:rsidDel="00A41978">
              <w:rPr>
                <w:sz w:val="18"/>
                <w:szCs w:val="18"/>
                <w:lang w:eastAsia="ja-JP"/>
              </w:rPr>
              <w:t xml:space="preserve"> </w:t>
            </w:r>
            <w:r w:rsidR="00E97720" w:rsidRPr="004E4188">
              <w:rPr>
                <w:sz w:val="18"/>
                <w:szCs w:val="18"/>
              </w:rPr>
              <w:t>Le représentant habilité du Soumissionnaire doit signer et dater ce formulaire.</w:t>
            </w:r>
            <w:r w:rsidR="00424A02" w:rsidRPr="004E4188">
              <w:rPr>
                <w:sz w:val="18"/>
                <w:szCs w:val="18"/>
                <w:lang w:eastAsia="ja-JP"/>
              </w:rPr>
              <w:t xml:space="preserve"> </w:t>
            </w:r>
          </w:p>
          <w:p w14:paraId="3FA912DA" w14:textId="7FD2F2A3" w:rsidR="00424A02" w:rsidRPr="004E4188" w:rsidRDefault="00503E7D" w:rsidP="00D45EAD">
            <w:pPr>
              <w:tabs>
                <w:tab w:val="left" w:pos="422"/>
              </w:tabs>
              <w:ind w:left="418" w:hanging="425"/>
              <w:rPr>
                <w:sz w:val="18"/>
                <w:szCs w:val="18"/>
                <w:lang w:eastAsia="ja-JP"/>
              </w:rPr>
            </w:pPr>
            <w:r w:rsidRPr="004E4188">
              <w:rPr>
                <w:sz w:val="18"/>
                <w:szCs w:val="18"/>
                <w:lang w:eastAsia="ja-JP"/>
              </w:rPr>
              <w:t>(</w:t>
            </w:r>
            <w:r w:rsidR="00E97720" w:rsidRPr="004E4188">
              <w:rPr>
                <w:sz w:val="18"/>
                <w:szCs w:val="18"/>
                <w:lang w:eastAsia="ja-JP"/>
              </w:rPr>
              <w:t>i</w:t>
            </w:r>
            <w:r w:rsidRPr="004E4188">
              <w:rPr>
                <w:sz w:val="18"/>
                <w:szCs w:val="18"/>
                <w:lang w:eastAsia="ja-JP"/>
              </w:rPr>
              <w:t xml:space="preserve">) </w:t>
            </w:r>
            <w:r w:rsidRPr="004E4188">
              <w:rPr>
                <w:sz w:val="18"/>
                <w:szCs w:val="18"/>
                <w:lang w:eastAsia="ja-JP"/>
              </w:rPr>
              <w:tab/>
            </w:r>
            <w:r w:rsidR="008A7BFF" w:rsidRPr="004E4188">
              <w:rPr>
                <w:sz w:val="18"/>
                <w:szCs w:val="18"/>
                <w:lang w:eastAsia="ja-JP"/>
              </w:rPr>
              <w:t>T</w:t>
            </w:r>
            <w:r w:rsidRPr="004E4188">
              <w:rPr>
                <w:sz w:val="18"/>
                <w:szCs w:val="18"/>
                <w:lang w:eastAsia="ja-JP"/>
              </w:rPr>
              <w:t xml:space="preserve">out autre document requis </w:t>
            </w:r>
            <w:r w:rsidR="00A41978" w:rsidRPr="004E4188">
              <w:rPr>
                <w:sz w:val="18"/>
                <w:szCs w:val="18"/>
                <w:lang w:eastAsia="ja-JP"/>
              </w:rPr>
              <w:t xml:space="preserve">par </w:t>
            </w:r>
            <w:r w:rsidRPr="004E4188">
              <w:rPr>
                <w:sz w:val="18"/>
                <w:szCs w:val="18"/>
                <w:lang w:eastAsia="ja-JP"/>
              </w:rPr>
              <w:t>DP</w:t>
            </w:r>
            <w:r w:rsidR="00A41978" w:rsidRPr="004E4188">
              <w:rPr>
                <w:sz w:val="18"/>
                <w:szCs w:val="18"/>
                <w:lang w:eastAsia="ja-JP"/>
              </w:rPr>
              <w:t xml:space="preserve"> 11.1(i)</w:t>
            </w:r>
            <w:r w:rsidRPr="004E4188">
              <w:rPr>
                <w:sz w:val="18"/>
                <w:szCs w:val="18"/>
                <w:lang w:eastAsia="ja-JP"/>
              </w:rPr>
              <w:t>.</w:t>
            </w:r>
          </w:p>
        </w:tc>
        <w:tc>
          <w:tcPr>
            <w:tcW w:w="468" w:type="dxa"/>
            <w:tcBorders>
              <w:left w:val="nil"/>
            </w:tcBorders>
            <w:tcMar>
              <w:top w:w="57" w:type="dxa"/>
              <w:bottom w:w="57" w:type="dxa"/>
            </w:tcMar>
          </w:tcPr>
          <w:p w14:paraId="54450C43" w14:textId="77777777" w:rsidR="005848E6" w:rsidRPr="004E4188" w:rsidRDefault="005848E6" w:rsidP="005420A0">
            <w:pPr>
              <w:rPr>
                <w:sz w:val="20"/>
              </w:rPr>
            </w:pPr>
          </w:p>
        </w:tc>
      </w:tr>
      <w:tr w:rsidR="005848E6" w:rsidRPr="004E4188" w14:paraId="45A8F746" w14:textId="77777777" w:rsidTr="005420A0">
        <w:trPr>
          <w:gridBefore w:val="1"/>
          <w:wBefore w:w="447" w:type="dxa"/>
        </w:trPr>
        <w:tc>
          <w:tcPr>
            <w:tcW w:w="8856" w:type="dxa"/>
            <w:gridSpan w:val="8"/>
            <w:tcMar>
              <w:top w:w="57" w:type="dxa"/>
              <w:bottom w:w="57" w:type="dxa"/>
            </w:tcMar>
          </w:tcPr>
          <w:p w14:paraId="70B0B1FC" w14:textId="77777777" w:rsidR="005848E6" w:rsidRPr="004E4188" w:rsidRDefault="005848E6" w:rsidP="005420A0">
            <w:pPr>
              <w:jc w:val="center"/>
              <w:rPr>
                <w:b/>
                <w:sz w:val="48"/>
                <w:szCs w:val="48"/>
                <w:lang w:val="en-GB"/>
              </w:rPr>
            </w:pPr>
            <w:r w:rsidRPr="004E4188">
              <w:rPr>
                <w:b/>
                <w:sz w:val="48"/>
                <w:szCs w:val="48"/>
                <w:lang w:val="en-GB"/>
              </w:rPr>
              <w:sym w:font="Symbol" w:char="F0AF"/>
            </w:r>
          </w:p>
        </w:tc>
      </w:tr>
      <w:tr w:rsidR="005848E6" w:rsidRPr="004E4188" w14:paraId="610A45B7" w14:textId="77777777" w:rsidTr="005420A0">
        <w:trPr>
          <w:gridBefore w:val="1"/>
          <w:wBefore w:w="447" w:type="dxa"/>
        </w:trPr>
        <w:tc>
          <w:tcPr>
            <w:tcW w:w="288" w:type="dxa"/>
            <w:gridSpan w:val="2"/>
            <w:tcMar>
              <w:top w:w="57" w:type="dxa"/>
              <w:bottom w:w="57" w:type="dxa"/>
            </w:tcMar>
          </w:tcPr>
          <w:p w14:paraId="7E231377" w14:textId="77777777" w:rsidR="005848E6" w:rsidRPr="004E4188" w:rsidRDefault="005848E6" w:rsidP="005420A0">
            <w:pPr>
              <w:rPr>
                <w:sz w:val="20"/>
                <w:lang w:val="en-GB"/>
              </w:rPr>
            </w:pPr>
          </w:p>
        </w:tc>
        <w:tc>
          <w:tcPr>
            <w:tcW w:w="8100" w:type="dxa"/>
            <w:gridSpan w:val="5"/>
            <w:tcBorders>
              <w:top w:val="single" w:sz="6" w:space="0" w:color="auto"/>
              <w:left w:val="single" w:sz="6" w:space="0" w:color="auto"/>
              <w:right w:val="single" w:sz="6" w:space="0" w:color="auto"/>
            </w:tcBorders>
            <w:tcMar>
              <w:top w:w="57" w:type="dxa"/>
              <w:bottom w:w="57" w:type="dxa"/>
            </w:tcMar>
          </w:tcPr>
          <w:p w14:paraId="22AEB0AC" w14:textId="5AB34F79" w:rsidR="005848E6" w:rsidRPr="004E4188" w:rsidRDefault="005848E6" w:rsidP="005420A0">
            <w:pPr>
              <w:jc w:val="center"/>
              <w:rPr>
                <w:b/>
              </w:rPr>
            </w:pPr>
            <w:r w:rsidRPr="004E4188">
              <w:rPr>
                <w:b/>
              </w:rPr>
              <w:t xml:space="preserve">III. </w:t>
            </w:r>
            <w:r w:rsidR="00F81E16" w:rsidRPr="004E4188">
              <w:rPr>
                <w:b/>
                <w:szCs w:val="24"/>
              </w:rPr>
              <w:t>É</w:t>
            </w:r>
            <w:r w:rsidR="00505573" w:rsidRPr="004E4188">
              <w:rPr>
                <w:b/>
              </w:rPr>
              <w:t>claircissements apportés aux offres de la première étape</w:t>
            </w:r>
          </w:p>
          <w:p w14:paraId="22BC7474" w14:textId="2BFCC354" w:rsidR="005848E6" w:rsidRPr="004E4188" w:rsidRDefault="00F81E16" w:rsidP="00F81E16">
            <w:pPr>
              <w:ind w:left="272" w:hanging="272"/>
              <w:jc w:val="center"/>
              <w:rPr>
                <w:sz w:val="20"/>
              </w:rPr>
            </w:pPr>
            <w:r w:rsidRPr="004E4188">
              <w:rPr>
                <w:b/>
                <w:sz w:val="20"/>
              </w:rPr>
              <w:t xml:space="preserve">Préparés </w:t>
            </w:r>
            <w:r w:rsidR="00D90A1E" w:rsidRPr="004E4188">
              <w:rPr>
                <w:b/>
                <w:sz w:val="20"/>
              </w:rPr>
              <w:t>par le Maître d’ouvrage</w:t>
            </w:r>
          </w:p>
        </w:tc>
        <w:tc>
          <w:tcPr>
            <w:tcW w:w="468" w:type="dxa"/>
            <w:tcBorders>
              <w:left w:val="nil"/>
            </w:tcBorders>
            <w:tcMar>
              <w:top w:w="57" w:type="dxa"/>
              <w:bottom w:w="57" w:type="dxa"/>
            </w:tcMar>
          </w:tcPr>
          <w:p w14:paraId="32CC41EF" w14:textId="77777777" w:rsidR="005848E6" w:rsidRPr="004E4188" w:rsidRDefault="005848E6" w:rsidP="005420A0">
            <w:pPr>
              <w:rPr>
                <w:sz w:val="20"/>
              </w:rPr>
            </w:pPr>
          </w:p>
        </w:tc>
      </w:tr>
      <w:tr w:rsidR="005848E6" w:rsidRPr="004E4188" w14:paraId="334783B4" w14:textId="77777777" w:rsidTr="005420A0">
        <w:trPr>
          <w:gridBefore w:val="1"/>
          <w:wBefore w:w="447" w:type="dxa"/>
        </w:trPr>
        <w:tc>
          <w:tcPr>
            <w:tcW w:w="288" w:type="dxa"/>
            <w:gridSpan w:val="2"/>
            <w:tcMar>
              <w:top w:w="57" w:type="dxa"/>
              <w:bottom w:w="57" w:type="dxa"/>
            </w:tcMar>
          </w:tcPr>
          <w:p w14:paraId="622159CA" w14:textId="77777777" w:rsidR="005848E6" w:rsidRPr="004E4188" w:rsidRDefault="005848E6" w:rsidP="005420A0">
            <w:pPr>
              <w:rPr>
                <w:sz w:val="20"/>
              </w:rPr>
            </w:pPr>
          </w:p>
        </w:tc>
        <w:tc>
          <w:tcPr>
            <w:tcW w:w="8100" w:type="dxa"/>
            <w:gridSpan w:val="5"/>
            <w:tcBorders>
              <w:left w:val="single" w:sz="6" w:space="0" w:color="auto"/>
              <w:bottom w:val="single" w:sz="6" w:space="0" w:color="auto"/>
              <w:right w:val="single" w:sz="6" w:space="0" w:color="auto"/>
            </w:tcBorders>
            <w:tcMar>
              <w:top w:w="57" w:type="dxa"/>
              <w:bottom w:w="57" w:type="dxa"/>
            </w:tcMar>
          </w:tcPr>
          <w:p w14:paraId="347E9232" w14:textId="59D7BD16" w:rsidR="005848E6" w:rsidRPr="004E4188" w:rsidRDefault="005848E6" w:rsidP="005420A0">
            <w:pPr>
              <w:tabs>
                <w:tab w:val="left" w:pos="422"/>
              </w:tabs>
              <w:ind w:left="422" w:hanging="422"/>
              <w:rPr>
                <w:sz w:val="18"/>
                <w:szCs w:val="18"/>
              </w:rPr>
            </w:pPr>
            <w:r w:rsidRPr="004E4188">
              <w:rPr>
                <w:sz w:val="18"/>
                <w:szCs w:val="18"/>
              </w:rPr>
              <w:t xml:space="preserve">(a) </w:t>
            </w:r>
            <w:r w:rsidRPr="004E4188">
              <w:rPr>
                <w:sz w:val="18"/>
                <w:szCs w:val="18"/>
              </w:rPr>
              <w:tab/>
            </w:r>
            <w:r w:rsidR="00F81E16" w:rsidRPr="004E4188">
              <w:rPr>
                <w:sz w:val="18"/>
                <w:szCs w:val="18"/>
              </w:rPr>
              <w:t>L</w:t>
            </w:r>
            <w:r w:rsidR="004A018C" w:rsidRPr="004E4188">
              <w:rPr>
                <w:sz w:val="18"/>
                <w:szCs w:val="18"/>
              </w:rPr>
              <w:t>e mémorandum intitulé</w:t>
            </w:r>
            <w:r w:rsidR="00D90A1E" w:rsidRPr="004E4188">
              <w:rPr>
                <w:sz w:val="18"/>
                <w:szCs w:val="18"/>
              </w:rPr>
              <w:t xml:space="preserve"> « </w:t>
            </w:r>
            <w:r w:rsidR="00D90A1E" w:rsidRPr="004E4188">
              <w:rPr>
                <w:i/>
                <w:sz w:val="18"/>
                <w:szCs w:val="18"/>
              </w:rPr>
              <w:t>Modifications requises suite à l’évaluation des offres de la première étape</w:t>
            </w:r>
            <w:r w:rsidR="00D90A1E" w:rsidRPr="004E4188">
              <w:rPr>
                <w:sz w:val="18"/>
                <w:szCs w:val="18"/>
              </w:rPr>
              <w:t> »</w:t>
            </w:r>
            <w:r w:rsidR="00F81E16" w:rsidRPr="004E4188">
              <w:rPr>
                <w:sz w:val="18"/>
                <w:szCs w:val="18"/>
              </w:rPr>
              <w:t>.</w:t>
            </w:r>
          </w:p>
          <w:p w14:paraId="76BB4CA5" w14:textId="3EC3343B" w:rsidR="005848E6" w:rsidRPr="004E4188" w:rsidRDefault="005848E6" w:rsidP="005420A0">
            <w:pPr>
              <w:tabs>
                <w:tab w:val="left" w:pos="422"/>
              </w:tabs>
              <w:ind w:left="422" w:hanging="422"/>
              <w:rPr>
                <w:sz w:val="18"/>
                <w:szCs w:val="18"/>
              </w:rPr>
            </w:pPr>
            <w:r w:rsidRPr="004E4188">
              <w:rPr>
                <w:sz w:val="18"/>
                <w:szCs w:val="18"/>
              </w:rPr>
              <w:t xml:space="preserve">(b) </w:t>
            </w:r>
            <w:r w:rsidRPr="004E4188">
              <w:rPr>
                <w:sz w:val="18"/>
                <w:szCs w:val="18"/>
              </w:rPr>
              <w:tab/>
            </w:r>
            <w:r w:rsidR="00F81E16" w:rsidRPr="004E4188">
              <w:rPr>
                <w:sz w:val="18"/>
                <w:szCs w:val="18"/>
              </w:rPr>
              <w:t>L’</w:t>
            </w:r>
            <w:r w:rsidRPr="004E4188">
              <w:rPr>
                <w:sz w:val="18"/>
                <w:szCs w:val="18"/>
              </w:rPr>
              <w:t xml:space="preserve">Invitation </w:t>
            </w:r>
            <w:r w:rsidR="00D90A1E" w:rsidRPr="004E4188">
              <w:rPr>
                <w:sz w:val="18"/>
                <w:szCs w:val="18"/>
              </w:rPr>
              <w:t>à soumissionner pour la deuxième étape</w:t>
            </w:r>
            <w:r w:rsidR="00F81E16" w:rsidRPr="004E4188">
              <w:rPr>
                <w:rFonts w:hint="eastAsia"/>
                <w:sz w:val="18"/>
                <w:szCs w:val="18"/>
              </w:rPr>
              <w:t>.</w:t>
            </w:r>
            <w:r w:rsidR="00D90A1E" w:rsidRPr="004E4188">
              <w:rPr>
                <w:sz w:val="18"/>
                <w:szCs w:val="18"/>
              </w:rPr>
              <w:t xml:space="preserve"> </w:t>
            </w:r>
          </w:p>
          <w:p w14:paraId="0A7856E6" w14:textId="61B7847D" w:rsidR="005848E6" w:rsidRPr="004E4188" w:rsidRDefault="005848E6" w:rsidP="00F81E16">
            <w:pPr>
              <w:tabs>
                <w:tab w:val="left" w:pos="422"/>
              </w:tabs>
              <w:ind w:left="422" w:hanging="422"/>
              <w:rPr>
                <w:sz w:val="18"/>
                <w:szCs w:val="18"/>
              </w:rPr>
            </w:pPr>
            <w:r w:rsidRPr="004E4188">
              <w:rPr>
                <w:sz w:val="18"/>
                <w:szCs w:val="18"/>
              </w:rPr>
              <w:t xml:space="preserve">(c) </w:t>
            </w:r>
            <w:r w:rsidRPr="004E4188">
              <w:rPr>
                <w:sz w:val="18"/>
                <w:szCs w:val="18"/>
              </w:rPr>
              <w:tab/>
            </w:r>
            <w:r w:rsidR="00F81E16" w:rsidRPr="004E4188">
              <w:rPr>
                <w:sz w:val="18"/>
                <w:szCs w:val="18"/>
              </w:rPr>
              <w:t>T</w:t>
            </w:r>
            <w:r w:rsidR="00D90A1E" w:rsidRPr="004E4188">
              <w:rPr>
                <w:sz w:val="18"/>
                <w:szCs w:val="18"/>
              </w:rPr>
              <w:t>out avenant au Dossier d’appel d’offres, conformément à IS 8, le cas échéant.</w:t>
            </w:r>
          </w:p>
        </w:tc>
        <w:tc>
          <w:tcPr>
            <w:tcW w:w="468" w:type="dxa"/>
            <w:tcBorders>
              <w:left w:val="nil"/>
            </w:tcBorders>
            <w:tcMar>
              <w:top w:w="57" w:type="dxa"/>
              <w:bottom w:w="57" w:type="dxa"/>
            </w:tcMar>
          </w:tcPr>
          <w:p w14:paraId="45AA59E5" w14:textId="77777777" w:rsidR="005848E6" w:rsidRPr="004E4188" w:rsidRDefault="005848E6" w:rsidP="005420A0">
            <w:pPr>
              <w:rPr>
                <w:sz w:val="20"/>
              </w:rPr>
            </w:pPr>
          </w:p>
        </w:tc>
      </w:tr>
      <w:tr w:rsidR="005848E6" w:rsidRPr="004E4188" w14:paraId="3ACC55B1" w14:textId="77777777" w:rsidTr="005420A0">
        <w:trPr>
          <w:gridBefore w:val="1"/>
          <w:wBefore w:w="447" w:type="dxa"/>
        </w:trPr>
        <w:tc>
          <w:tcPr>
            <w:tcW w:w="8856" w:type="dxa"/>
            <w:gridSpan w:val="8"/>
            <w:tcMar>
              <w:top w:w="57" w:type="dxa"/>
              <w:bottom w:w="57" w:type="dxa"/>
            </w:tcMar>
          </w:tcPr>
          <w:p w14:paraId="4234F7B0" w14:textId="58628D12" w:rsidR="00FE5AA5" w:rsidRPr="004E4188" w:rsidRDefault="005848E6" w:rsidP="005420A0">
            <w:pPr>
              <w:jc w:val="center"/>
              <w:rPr>
                <w:b/>
                <w:sz w:val="52"/>
                <w:szCs w:val="52"/>
                <w:lang w:val="en-GB"/>
              </w:rPr>
            </w:pPr>
            <w:r w:rsidRPr="004E4188">
              <w:rPr>
                <w:b/>
                <w:sz w:val="52"/>
                <w:szCs w:val="52"/>
                <w:lang w:val="en-GB"/>
              </w:rPr>
              <w:sym w:font="Symbol" w:char="F0AF"/>
            </w:r>
          </w:p>
          <w:p w14:paraId="2BF03FCD" w14:textId="77777777" w:rsidR="005848E6" w:rsidRPr="004E4188" w:rsidRDefault="005848E6" w:rsidP="00D45EAD">
            <w:pPr>
              <w:jc w:val="center"/>
              <w:rPr>
                <w:sz w:val="20"/>
                <w:lang w:val="en-GB"/>
              </w:rPr>
            </w:pPr>
          </w:p>
        </w:tc>
      </w:tr>
      <w:tr w:rsidR="005848E6" w:rsidRPr="004E4188" w14:paraId="49503F4B" w14:textId="77777777" w:rsidTr="005420A0">
        <w:tblPrEx>
          <w:jc w:val="center"/>
          <w:tblInd w:w="0" w:type="dxa"/>
        </w:tblPrEx>
        <w:trPr>
          <w:gridAfter w:val="2"/>
          <w:wAfter w:w="772" w:type="dxa"/>
          <w:jc w:val="center"/>
        </w:trPr>
        <w:tc>
          <w:tcPr>
            <w:tcW w:w="468" w:type="dxa"/>
            <w:gridSpan w:val="2"/>
            <w:tcMar>
              <w:top w:w="57" w:type="dxa"/>
              <w:bottom w:w="57" w:type="dxa"/>
            </w:tcMar>
          </w:tcPr>
          <w:p w14:paraId="4C00464F" w14:textId="77777777" w:rsidR="005848E6" w:rsidRPr="004E4188" w:rsidRDefault="005848E6" w:rsidP="005420A0">
            <w:pPr>
              <w:rPr>
                <w:sz w:val="20"/>
                <w:lang w:val="en-GB"/>
              </w:rPr>
            </w:pPr>
          </w:p>
        </w:tc>
        <w:tc>
          <w:tcPr>
            <w:tcW w:w="7827" w:type="dxa"/>
            <w:gridSpan w:val="4"/>
            <w:tcMar>
              <w:top w:w="57" w:type="dxa"/>
              <w:bottom w:w="57" w:type="dxa"/>
            </w:tcMar>
          </w:tcPr>
          <w:p w14:paraId="41962AD4" w14:textId="77777777" w:rsidR="005848E6" w:rsidRPr="004E4188" w:rsidRDefault="005848E6" w:rsidP="005420A0">
            <w:pPr>
              <w:rPr>
                <w:sz w:val="20"/>
                <w:lang w:val="en-GB"/>
              </w:rPr>
            </w:pPr>
          </w:p>
        </w:tc>
        <w:tc>
          <w:tcPr>
            <w:tcW w:w="236" w:type="dxa"/>
            <w:tcMar>
              <w:top w:w="57" w:type="dxa"/>
              <w:bottom w:w="57" w:type="dxa"/>
            </w:tcMar>
          </w:tcPr>
          <w:p w14:paraId="38F5D099" w14:textId="77777777" w:rsidR="005848E6" w:rsidRPr="004E4188" w:rsidRDefault="005848E6" w:rsidP="005420A0">
            <w:pPr>
              <w:ind w:left="318" w:hanging="318"/>
              <w:rPr>
                <w:sz w:val="20"/>
                <w:lang w:val="en-GB"/>
              </w:rPr>
            </w:pPr>
          </w:p>
        </w:tc>
      </w:tr>
      <w:tr w:rsidR="005848E6" w:rsidRPr="004E4188" w14:paraId="03B80C1F" w14:textId="77777777" w:rsidTr="005420A0">
        <w:trPr>
          <w:gridBefore w:val="1"/>
          <w:wBefore w:w="447" w:type="dxa"/>
        </w:trPr>
        <w:tc>
          <w:tcPr>
            <w:tcW w:w="288" w:type="dxa"/>
            <w:gridSpan w:val="2"/>
            <w:tcMar>
              <w:top w:w="57" w:type="dxa"/>
              <w:bottom w:w="57" w:type="dxa"/>
            </w:tcMar>
          </w:tcPr>
          <w:p w14:paraId="2699058D" w14:textId="77777777" w:rsidR="005848E6" w:rsidRPr="004E4188" w:rsidRDefault="005848E6" w:rsidP="005420A0">
            <w:pPr>
              <w:rPr>
                <w:sz w:val="20"/>
                <w:lang w:val="en-GB"/>
              </w:rPr>
            </w:pPr>
          </w:p>
        </w:tc>
        <w:tc>
          <w:tcPr>
            <w:tcW w:w="8100" w:type="dxa"/>
            <w:gridSpan w:val="5"/>
            <w:tcBorders>
              <w:top w:val="single" w:sz="6" w:space="0" w:color="auto"/>
              <w:left w:val="single" w:sz="6" w:space="0" w:color="auto"/>
              <w:right w:val="single" w:sz="6" w:space="0" w:color="auto"/>
            </w:tcBorders>
            <w:tcMar>
              <w:top w:w="57" w:type="dxa"/>
              <w:bottom w:w="57" w:type="dxa"/>
            </w:tcMar>
          </w:tcPr>
          <w:p w14:paraId="5776BBE0" w14:textId="12F97F8B" w:rsidR="005848E6" w:rsidRPr="004E4188" w:rsidRDefault="005848E6" w:rsidP="005420A0">
            <w:pPr>
              <w:ind w:left="274" w:hanging="274"/>
              <w:jc w:val="center"/>
              <w:rPr>
                <w:b/>
              </w:rPr>
            </w:pPr>
            <w:r w:rsidRPr="004E4188">
              <w:rPr>
                <w:b/>
              </w:rPr>
              <w:t xml:space="preserve">IV. </w:t>
            </w:r>
            <w:r w:rsidR="00D90A1E" w:rsidRPr="004E4188">
              <w:rPr>
                <w:b/>
              </w:rPr>
              <w:t>Offre de la deuxième étape</w:t>
            </w:r>
            <w:r w:rsidRPr="004E4188">
              <w:rPr>
                <w:b/>
              </w:rPr>
              <w:t xml:space="preserve"> </w:t>
            </w:r>
          </w:p>
          <w:p w14:paraId="01126F6C" w14:textId="57CAC753" w:rsidR="005848E6" w:rsidRPr="004E4188" w:rsidRDefault="00004387" w:rsidP="00004387">
            <w:pPr>
              <w:ind w:left="272" w:hanging="272"/>
              <w:jc w:val="center"/>
              <w:rPr>
                <w:b/>
                <w:sz w:val="20"/>
              </w:rPr>
            </w:pPr>
            <w:r w:rsidRPr="004E4188">
              <w:rPr>
                <w:b/>
                <w:sz w:val="20"/>
              </w:rPr>
              <w:t>R</w:t>
            </w:r>
            <w:r w:rsidR="00D90A1E" w:rsidRPr="004E4188">
              <w:rPr>
                <w:b/>
                <w:sz w:val="20"/>
              </w:rPr>
              <w:t>emise par le Soumissionnaire</w:t>
            </w:r>
          </w:p>
        </w:tc>
        <w:tc>
          <w:tcPr>
            <w:tcW w:w="468" w:type="dxa"/>
            <w:tcBorders>
              <w:left w:val="nil"/>
            </w:tcBorders>
            <w:tcMar>
              <w:top w:w="57" w:type="dxa"/>
              <w:bottom w:w="57" w:type="dxa"/>
            </w:tcMar>
          </w:tcPr>
          <w:p w14:paraId="3B493D0E" w14:textId="77777777" w:rsidR="005848E6" w:rsidRPr="004E4188" w:rsidRDefault="005848E6" w:rsidP="005420A0">
            <w:pPr>
              <w:rPr>
                <w:sz w:val="20"/>
              </w:rPr>
            </w:pPr>
          </w:p>
        </w:tc>
      </w:tr>
      <w:tr w:rsidR="005848E6" w:rsidRPr="004E4188" w14:paraId="7C379A8C" w14:textId="77777777" w:rsidTr="005420A0">
        <w:trPr>
          <w:gridBefore w:val="1"/>
          <w:wBefore w:w="447" w:type="dxa"/>
        </w:trPr>
        <w:tc>
          <w:tcPr>
            <w:tcW w:w="288" w:type="dxa"/>
            <w:gridSpan w:val="2"/>
            <w:tcMar>
              <w:top w:w="57" w:type="dxa"/>
              <w:bottom w:w="57" w:type="dxa"/>
            </w:tcMar>
          </w:tcPr>
          <w:p w14:paraId="46B5AB85" w14:textId="77777777" w:rsidR="005848E6" w:rsidRPr="004E4188" w:rsidRDefault="005848E6" w:rsidP="005420A0">
            <w:pPr>
              <w:rPr>
                <w:sz w:val="20"/>
              </w:rPr>
            </w:pPr>
          </w:p>
        </w:tc>
        <w:tc>
          <w:tcPr>
            <w:tcW w:w="8100" w:type="dxa"/>
            <w:gridSpan w:val="5"/>
            <w:tcBorders>
              <w:left w:val="single" w:sz="6" w:space="0" w:color="auto"/>
              <w:bottom w:val="single" w:sz="6" w:space="0" w:color="auto"/>
              <w:right w:val="single" w:sz="6" w:space="0" w:color="auto"/>
            </w:tcBorders>
            <w:tcMar>
              <w:top w:w="57" w:type="dxa"/>
              <w:bottom w:w="57" w:type="dxa"/>
            </w:tcMar>
          </w:tcPr>
          <w:p w14:paraId="4281F83D" w14:textId="5347E431" w:rsidR="005848E6" w:rsidRPr="004E4188" w:rsidRDefault="005848E6" w:rsidP="005420A0">
            <w:pPr>
              <w:tabs>
                <w:tab w:val="left" w:pos="422"/>
              </w:tabs>
              <w:ind w:left="422" w:hanging="422"/>
              <w:rPr>
                <w:sz w:val="18"/>
                <w:szCs w:val="18"/>
              </w:rPr>
            </w:pPr>
            <w:r w:rsidRPr="004E4188">
              <w:rPr>
                <w:sz w:val="18"/>
                <w:szCs w:val="18"/>
              </w:rPr>
              <w:t xml:space="preserve">(a) </w:t>
            </w:r>
            <w:r w:rsidRPr="004E4188">
              <w:rPr>
                <w:sz w:val="18"/>
                <w:szCs w:val="18"/>
              </w:rPr>
              <w:tab/>
            </w:r>
            <w:r w:rsidR="00004387" w:rsidRPr="004E4188">
              <w:rPr>
                <w:sz w:val="18"/>
                <w:szCs w:val="18"/>
              </w:rPr>
              <w:t>L</w:t>
            </w:r>
            <w:r w:rsidR="000F1879" w:rsidRPr="004E4188">
              <w:rPr>
                <w:sz w:val="18"/>
                <w:szCs w:val="18"/>
              </w:rPr>
              <w:t>a Lettre de soumission de l’offre de la deuxième étape</w:t>
            </w:r>
            <w:r w:rsidR="00004387" w:rsidRPr="004E4188">
              <w:rPr>
                <w:sz w:val="18"/>
                <w:szCs w:val="18"/>
              </w:rPr>
              <w:t xml:space="preserve"> établie conformément à IS 29.</w:t>
            </w:r>
          </w:p>
          <w:p w14:paraId="0F1D1DB8" w14:textId="15B58D79" w:rsidR="005848E6" w:rsidRPr="004E4188" w:rsidRDefault="005848E6" w:rsidP="005420A0">
            <w:pPr>
              <w:tabs>
                <w:tab w:val="left" w:pos="422"/>
              </w:tabs>
              <w:ind w:left="422" w:hanging="422"/>
              <w:rPr>
                <w:sz w:val="18"/>
                <w:szCs w:val="18"/>
              </w:rPr>
            </w:pPr>
            <w:r w:rsidRPr="004E4188">
              <w:rPr>
                <w:sz w:val="18"/>
                <w:szCs w:val="18"/>
              </w:rPr>
              <w:t xml:space="preserve">(b) </w:t>
            </w:r>
            <w:r w:rsidRPr="004E4188">
              <w:rPr>
                <w:sz w:val="18"/>
                <w:szCs w:val="18"/>
              </w:rPr>
              <w:tab/>
            </w:r>
            <w:r w:rsidR="00740A92" w:rsidRPr="004E4188">
              <w:rPr>
                <w:sz w:val="18"/>
                <w:szCs w:val="18"/>
              </w:rPr>
              <w:t>L</w:t>
            </w:r>
            <w:r w:rsidR="000F1879" w:rsidRPr="004E4188">
              <w:rPr>
                <w:sz w:val="18"/>
                <w:szCs w:val="18"/>
              </w:rPr>
              <w:t xml:space="preserve">es </w:t>
            </w:r>
            <w:r w:rsidR="00740A92" w:rsidRPr="004E4188">
              <w:rPr>
                <w:sz w:val="18"/>
                <w:szCs w:val="18"/>
              </w:rPr>
              <w:t xml:space="preserve">Bordereaux </w:t>
            </w:r>
            <w:r w:rsidR="000F1879" w:rsidRPr="004E4188">
              <w:rPr>
                <w:sz w:val="18"/>
                <w:szCs w:val="18"/>
              </w:rPr>
              <w:t xml:space="preserve">complétés </w:t>
            </w:r>
            <w:r w:rsidR="00740A92" w:rsidRPr="004E4188">
              <w:rPr>
                <w:sz w:val="18"/>
                <w:szCs w:val="18"/>
              </w:rPr>
              <w:t xml:space="preserve">conformément à IS 29.1 et IS 30, </w:t>
            </w:r>
            <w:r w:rsidR="000F1879" w:rsidRPr="004E4188">
              <w:rPr>
                <w:sz w:val="18"/>
                <w:szCs w:val="18"/>
              </w:rPr>
              <w:t xml:space="preserve">y compris les </w:t>
            </w:r>
            <w:r w:rsidR="00740A92" w:rsidRPr="004E4188">
              <w:rPr>
                <w:sz w:val="18"/>
                <w:szCs w:val="18"/>
              </w:rPr>
              <w:t>B</w:t>
            </w:r>
            <w:r w:rsidR="000F1879" w:rsidRPr="004E4188">
              <w:rPr>
                <w:sz w:val="18"/>
                <w:szCs w:val="18"/>
              </w:rPr>
              <w:t>ordereaux des prix</w:t>
            </w:r>
            <w:r w:rsidR="00E539E9" w:rsidRPr="004E4188">
              <w:rPr>
                <w:sz w:val="18"/>
                <w:szCs w:val="18"/>
              </w:rPr>
              <w:t xml:space="preserve"> compl</w:t>
            </w:r>
            <w:r w:rsidR="00740A92" w:rsidRPr="004E4188">
              <w:rPr>
                <w:sz w:val="18"/>
                <w:szCs w:val="18"/>
              </w:rPr>
              <w:t>étés et le Bordereau des données de révision des prix complété (si requis conformément à IS 30.7).</w:t>
            </w:r>
          </w:p>
          <w:p w14:paraId="6B09E259" w14:textId="5D9979E3" w:rsidR="005848E6" w:rsidRPr="004E4188" w:rsidRDefault="005848E6" w:rsidP="005420A0">
            <w:pPr>
              <w:tabs>
                <w:tab w:val="left" w:pos="422"/>
              </w:tabs>
              <w:ind w:left="422" w:hanging="422"/>
              <w:rPr>
                <w:sz w:val="18"/>
                <w:szCs w:val="18"/>
              </w:rPr>
            </w:pPr>
            <w:r w:rsidRPr="004E4188">
              <w:rPr>
                <w:sz w:val="18"/>
                <w:szCs w:val="18"/>
              </w:rPr>
              <w:t xml:space="preserve">(c) </w:t>
            </w:r>
            <w:r w:rsidRPr="004E4188">
              <w:rPr>
                <w:sz w:val="18"/>
                <w:szCs w:val="18"/>
              </w:rPr>
              <w:tab/>
            </w:r>
            <w:r w:rsidR="006E6496" w:rsidRPr="004E4188">
              <w:rPr>
                <w:sz w:val="18"/>
                <w:szCs w:val="18"/>
              </w:rPr>
              <w:t>L</w:t>
            </w:r>
            <w:r w:rsidR="000F1879" w:rsidRPr="004E4188">
              <w:rPr>
                <w:sz w:val="18"/>
                <w:szCs w:val="18"/>
              </w:rPr>
              <w:t>a garantie de soumission</w:t>
            </w:r>
            <w:r w:rsidR="006E6496" w:rsidRPr="004E4188">
              <w:rPr>
                <w:rFonts w:hint="eastAsia"/>
                <w:sz w:val="18"/>
                <w:szCs w:val="18"/>
              </w:rPr>
              <w:t xml:space="preserve"> établie</w:t>
            </w:r>
            <w:r w:rsidR="000F1879" w:rsidRPr="004E4188">
              <w:rPr>
                <w:sz w:val="18"/>
                <w:szCs w:val="18"/>
              </w:rPr>
              <w:t xml:space="preserve"> conformément à IS 3</w:t>
            </w:r>
            <w:r w:rsidR="006E6496" w:rsidRPr="004E4188">
              <w:rPr>
                <w:sz w:val="18"/>
                <w:szCs w:val="18"/>
              </w:rPr>
              <w:t>3.</w:t>
            </w:r>
          </w:p>
          <w:p w14:paraId="753D6D9C" w14:textId="1815BDAB" w:rsidR="005848E6" w:rsidRPr="004E4188" w:rsidRDefault="006E6496" w:rsidP="002B2D74">
            <w:pPr>
              <w:ind w:left="422" w:hanging="422"/>
              <w:rPr>
                <w:sz w:val="18"/>
                <w:szCs w:val="18"/>
              </w:rPr>
            </w:pPr>
            <w:r w:rsidRPr="004E4188">
              <w:rPr>
                <w:sz w:val="18"/>
                <w:szCs w:val="18"/>
              </w:rPr>
              <w:t xml:space="preserve">(d) </w:t>
            </w:r>
            <w:r w:rsidRPr="004E4188">
              <w:rPr>
                <w:sz w:val="18"/>
                <w:szCs w:val="18"/>
              </w:rPr>
              <w:tab/>
              <w:t>La procuration attestant que le signataire de l</w:t>
            </w:r>
            <w:r w:rsidR="00D65452" w:rsidRPr="004E4188">
              <w:rPr>
                <w:sz w:val="18"/>
                <w:szCs w:val="18"/>
              </w:rPr>
              <w:t>’</w:t>
            </w:r>
            <w:r w:rsidRPr="004E4188">
              <w:rPr>
                <w:sz w:val="18"/>
                <w:szCs w:val="18"/>
              </w:rPr>
              <w:t>offre est habilité à engager le Soumissionnaire conformément à IS 34.2 et IS 34.3.</w:t>
            </w:r>
          </w:p>
          <w:p w14:paraId="4C991E3D" w14:textId="68C601B8" w:rsidR="005848E6" w:rsidRPr="004E4188" w:rsidRDefault="005848E6" w:rsidP="00BF49DA">
            <w:pPr>
              <w:ind w:left="422" w:hanging="422"/>
              <w:rPr>
                <w:sz w:val="18"/>
                <w:szCs w:val="18"/>
              </w:rPr>
            </w:pPr>
            <w:r w:rsidRPr="004E4188">
              <w:rPr>
                <w:sz w:val="18"/>
                <w:szCs w:val="18"/>
              </w:rPr>
              <w:t>(</w:t>
            </w:r>
            <w:r w:rsidR="00BF49DA" w:rsidRPr="004E4188">
              <w:rPr>
                <w:rFonts w:hint="eastAsia"/>
                <w:sz w:val="18"/>
                <w:szCs w:val="18"/>
                <w:lang w:eastAsia="ja-JP"/>
              </w:rPr>
              <w:t>e</w:t>
            </w:r>
            <w:r w:rsidRPr="004E4188">
              <w:rPr>
                <w:sz w:val="18"/>
                <w:szCs w:val="18"/>
              </w:rPr>
              <w:t xml:space="preserve">) </w:t>
            </w:r>
            <w:r w:rsidRPr="004E4188">
              <w:rPr>
                <w:sz w:val="18"/>
                <w:szCs w:val="18"/>
              </w:rPr>
              <w:tab/>
            </w:r>
            <w:r w:rsidR="00CE491C" w:rsidRPr="004E4188">
              <w:rPr>
                <w:sz w:val="18"/>
                <w:szCs w:val="18"/>
              </w:rPr>
              <w:t>L</w:t>
            </w:r>
            <w:r w:rsidR="000F1879" w:rsidRPr="004E4188">
              <w:rPr>
                <w:sz w:val="18"/>
                <w:szCs w:val="18"/>
              </w:rPr>
              <w:t xml:space="preserve">’offre </w:t>
            </w:r>
            <w:r w:rsidR="00DC7982" w:rsidRPr="004E4188">
              <w:rPr>
                <w:sz w:val="18"/>
                <w:szCs w:val="18"/>
              </w:rPr>
              <w:t>de la première étape mise à jour, comprenant toutes les modifications requises par le mémorandum intitulé</w:t>
            </w:r>
            <w:r w:rsidR="00273031" w:rsidRPr="004E4188">
              <w:rPr>
                <w:sz w:val="18"/>
                <w:szCs w:val="18"/>
              </w:rPr>
              <w:t> :</w:t>
            </w:r>
            <w:r w:rsidR="00DC7982" w:rsidRPr="004E4188">
              <w:rPr>
                <w:sz w:val="18"/>
                <w:szCs w:val="18"/>
              </w:rPr>
              <w:t xml:space="preserve"> « Modifications requises suite à l’évaluation des offres de la première étape »</w:t>
            </w:r>
            <w:r w:rsidR="00273031" w:rsidRPr="004E4188">
              <w:rPr>
                <w:sz w:val="18"/>
                <w:szCs w:val="18"/>
              </w:rPr>
              <w:t>,</w:t>
            </w:r>
            <w:r w:rsidR="00BF49DA" w:rsidRPr="004E4188">
              <w:rPr>
                <w:sz w:val="18"/>
                <w:szCs w:val="18"/>
              </w:rPr>
              <w:t xml:space="preserve"> conformément à IS 28.1(e).</w:t>
            </w:r>
            <w:r w:rsidRPr="004E4188">
              <w:rPr>
                <w:sz w:val="18"/>
                <w:szCs w:val="18"/>
              </w:rPr>
              <w:t xml:space="preserve"> </w:t>
            </w:r>
          </w:p>
          <w:p w14:paraId="3BF404E2" w14:textId="213D3ACA" w:rsidR="00503E7D" w:rsidRPr="004E4188" w:rsidRDefault="00503E7D" w:rsidP="00503E7D">
            <w:pPr>
              <w:tabs>
                <w:tab w:val="left" w:pos="422"/>
              </w:tabs>
              <w:ind w:left="422" w:hanging="422"/>
              <w:rPr>
                <w:sz w:val="18"/>
                <w:szCs w:val="18"/>
              </w:rPr>
            </w:pPr>
            <w:r w:rsidRPr="004E4188">
              <w:rPr>
                <w:sz w:val="18"/>
                <w:szCs w:val="18"/>
              </w:rPr>
              <w:t>(</w:t>
            </w:r>
            <w:r w:rsidR="00BF49DA" w:rsidRPr="004E4188">
              <w:rPr>
                <w:sz w:val="18"/>
                <w:szCs w:val="18"/>
              </w:rPr>
              <w:t>f</w:t>
            </w:r>
            <w:r w:rsidRPr="004E4188">
              <w:rPr>
                <w:sz w:val="18"/>
                <w:szCs w:val="18"/>
              </w:rPr>
              <w:t xml:space="preserve">) </w:t>
            </w:r>
            <w:r w:rsidRPr="004E4188">
              <w:rPr>
                <w:sz w:val="18"/>
                <w:szCs w:val="18"/>
              </w:rPr>
              <w:tab/>
            </w:r>
            <w:r w:rsidR="00CE491C" w:rsidRPr="004E4188">
              <w:rPr>
                <w:sz w:val="18"/>
                <w:szCs w:val="18"/>
              </w:rPr>
              <w:t>L</w:t>
            </w:r>
            <w:r w:rsidRPr="004E4188">
              <w:rPr>
                <w:sz w:val="18"/>
                <w:szCs w:val="18"/>
              </w:rPr>
              <w:t>es documents concernant tout changement qui pourrait avoir eu lieu entre la remise des offres de la première et de la deuxième étapes et qui affecterait l’éligibilité du Soumissionnaire et ses qualifications à exécuter le Marché</w:t>
            </w:r>
            <w:r w:rsidR="00273031" w:rsidRPr="004E4188">
              <w:rPr>
                <w:sz w:val="18"/>
                <w:szCs w:val="18"/>
              </w:rPr>
              <w:t>,</w:t>
            </w:r>
            <w:r w:rsidR="00BF49DA" w:rsidRPr="004E4188">
              <w:rPr>
                <w:sz w:val="18"/>
                <w:szCs w:val="18"/>
              </w:rPr>
              <w:t xml:space="preserve"> conformément à IS 28.1(f).</w:t>
            </w:r>
            <w:r w:rsidRPr="004E4188">
              <w:rPr>
                <w:sz w:val="18"/>
                <w:szCs w:val="18"/>
              </w:rPr>
              <w:t xml:space="preserve"> </w:t>
            </w:r>
          </w:p>
          <w:p w14:paraId="7CFEA1D9" w14:textId="13BC7513" w:rsidR="005848E6" w:rsidRPr="004E4188" w:rsidRDefault="005848E6" w:rsidP="00C21EF4">
            <w:pPr>
              <w:tabs>
                <w:tab w:val="left" w:pos="422"/>
              </w:tabs>
              <w:ind w:left="422" w:hanging="422"/>
              <w:rPr>
                <w:sz w:val="18"/>
                <w:szCs w:val="18"/>
              </w:rPr>
            </w:pPr>
            <w:r w:rsidRPr="004E4188">
              <w:rPr>
                <w:sz w:val="18"/>
                <w:szCs w:val="18"/>
              </w:rPr>
              <w:t>(</w:t>
            </w:r>
            <w:r w:rsidR="00CE491C" w:rsidRPr="004E4188">
              <w:rPr>
                <w:sz w:val="18"/>
                <w:szCs w:val="18"/>
              </w:rPr>
              <w:t>g</w:t>
            </w:r>
            <w:r w:rsidRPr="004E4188">
              <w:rPr>
                <w:sz w:val="18"/>
                <w:szCs w:val="18"/>
              </w:rPr>
              <w:t xml:space="preserve">) </w:t>
            </w:r>
            <w:r w:rsidRPr="004E4188">
              <w:rPr>
                <w:sz w:val="18"/>
                <w:szCs w:val="18"/>
              </w:rPr>
              <w:tab/>
            </w:r>
            <w:r w:rsidR="00CE491C" w:rsidRPr="004E4188">
              <w:rPr>
                <w:sz w:val="18"/>
                <w:szCs w:val="18"/>
              </w:rPr>
              <w:t>L</w:t>
            </w:r>
            <w:r w:rsidR="00DC7982" w:rsidRPr="004E4188">
              <w:rPr>
                <w:sz w:val="18"/>
                <w:szCs w:val="18"/>
              </w:rPr>
              <w:t xml:space="preserve">es documents </w:t>
            </w:r>
            <w:r w:rsidR="00C21EF4" w:rsidRPr="004E4188">
              <w:rPr>
                <w:sz w:val="18"/>
                <w:szCs w:val="18"/>
              </w:rPr>
              <w:t>attestant que les Installations supplémentaires ou modifiées fournies et montées par le Soumissionnaire, conformément aux exigences du mémorandum intitulé</w:t>
            </w:r>
            <w:r w:rsidR="00273031" w:rsidRPr="004E4188">
              <w:rPr>
                <w:sz w:val="18"/>
                <w:szCs w:val="18"/>
              </w:rPr>
              <w:t> :</w:t>
            </w:r>
            <w:r w:rsidR="00C21EF4" w:rsidRPr="004E4188">
              <w:rPr>
                <w:sz w:val="18"/>
                <w:szCs w:val="18"/>
              </w:rPr>
              <w:t xml:space="preserve"> « Modifications requises suite à l’évaluation des offres de la première étape » sont techniquement conformes</w:t>
            </w:r>
            <w:r w:rsidR="00F81F40" w:rsidRPr="004E4188">
              <w:rPr>
                <w:sz w:val="18"/>
                <w:szCs w:val="18"/>
              </w:rPr>
              <w:t>,</w:t>
            </w:r>
            <w:r w:rsidR="004827D0" w:rsidRPr="004E4188">
              <w:rPr>
                <w:sz w:val="18"/>
                <w:szCs w:val="18"/>
              </w:rPr>
              <w:t xml:space="preserve"> confor</w:t>
            </w:r>
            <w:r w:rsidR="00CE491C" w:rsidRPr="004E4188">
              <w:rPr>
                <w:sz w:val="18"/>
                <w:szCs w:val="18"/>
              </w:rPr>
              <w:t>mément à IS 28.1(g).</w:t>
            </w:r>
          </w:p>
          <w:p w14:paraId="2E2FCF5F" w14:textId="695F07E7" w:rsidR="00503E7D" w:rsidRPr="004E4188" w:rsidRDefault="00503E7D" w:rsidP="00503E7D">
            <w:pPr>
              <w:tabs>
                <w:tab w:val="left" w:pos="422"/>
              </w:tabs>
              <w:ind w:left="422" w:hanging="422"/>
              <w:rPr>
                <w:sz w:val="18"/>
                <w:szCs w:val="18"/>
              </w:rPr>
            </w:pPr>
            <w:r w:rsidRPr="004E4188">
              <w:rPr>
                <w:sz w:val="18"/>
                <w:szCs w:val="18"/>
              </w:rPr>
              <w:t>(</w:t>
            </w:r>
            <w:r w:rsidR="00661B30" w:rsidRPr="004E4188">
              <w:rPr>
                <w:sz w:val="18"/>
                <w:szCs w:val="18"/>
              </w:rPr>
              <w:t>h</w:t>
            </w:r>
            <w:r w:rsidRPr="004E4188">
              <w:rPr>
                <w:sz w:val="18"/>
                <w:szCs w:val="18"/>
              </w:rPr>
              <w:t xml:space="preserve">) </w:t>
            </w:r>
            <w:r w:rsidRPr="004E4188">
              <w:rPr>
                <w:sz w:val="18"/>
                <w:szCs w:val="18"/>
              </w:rPr>
              <w:tab/>
            </w:r>
            <w:r w:rsidR="00DD6C86" w:rsidRPr="004E4188">
              <w:rPr>
                <w:sz w:val="18"/>
                <w:szCs w:val="18"/>
              </w:rPr>
              <w:t xml:space="preserve">Les </w:t>
            </w:r>
            <w:r w:rsidR="00DD6C86" w:rsidRPr="004E4188">
              <w:rPr>
                <w:sz w:val="18"/>
                <w:szCs w:val="18"/>
                <w:lang w:eastAsia="en-US"/>
              </w:rPr>
              <w:t>détails sur les sous-traitants proposés, y compris les fabricants, si, pour répondre aux exigences du mémorandum</w:t>
            </w:r>
            <w:r w:rsidR="00F81F40" w:rsidRPr="004E4188">
              <w:rPr>
                <w:sz w:val="18"/>
                <w:szCs w:val="18"/>
                <w:lang w:eastAsia="en-US"/>
              </w:rPr>
              <w:t> :</w:t>
            </w:r>
            <w:r w:rsidR="00DD6C86" w:rsidRPr="004E4188">
              <w:rPr>
                <w:sz w:val="18"/>
                <w:szCs w:val="18"/>
                <w:lang w:eastAsia="en-US"/>
              </w:rPr>
              <w:t xml:space="preserve"> « Modifications requises suite à l’évaluation des offres de la première étape », le Soumissionnaire </w:t>
            </w:r>
            <w:r w:rsidR="00516FD7" w:rsidRPr="004E4188">
              <w:rPr>
                <w:sz w:val="18"/>
                <w:szCs w:val="18"/>
              </w:rPr>
              <w:t>prévoit d’employer</w:t>
            </w:r>
            <w:r w:rsidR="00516FD7" w:rsidRPr="004E4188">
              <w:rPr>
                <w:sz w:val="18"/>
                <w:szCs w:val="18"/>
                <w:lang w:eastAsia="en-US"/>
              </w:rPr>
              <w:t xml:space="preserve"> </w:t>
            </w:r>
            <w:r w:rsidR="00DD6C86" w:rsidRPr="004E4188">
              <w:rPr>
                <w:sz w:val="18"/>
                <w:szCs w:val="18"/>
                <w:lang w:eastAsia="en-US"/>
              </w:rPr>
              <w:t xml:space="preserve">des sous-traitants ou des fabricants </w:t>
            </w:r>
            <w:r w:rsidRPr="004E4188">
              <w:rPr>
                <w:sz w:val="18"/>
                <w:szCs w:val="18"/>
              </w:rPr>
              <w:t xml:space="preserve">supplémentaires ou différents de ceux proposés dans </w:t>
            </w:r>
            <w:r w:rsidR="00F81F40" w:rsidRPr="004E4188">
              <w:rPr>
                <w:sz w:val="18"/>
                <w:szCs w:val="18"/>
              </w:rPr>
              <w:t xml:space="preserve">son offre </w:t>
            </w:r>
            <w:r w:rsidRPr="004E4188">
              <w:rPr>
                <w:sz w:val="18"/>
                <w:szCs w:val="18"/>
              </w:rPr>
              <w:t>de la première étape</w:t>
            </w:r>
            <w:r w:rsidR="00DD6C86" w:rsidRPr="004E4188">
              <w:rPr>
                <w:sz w:val="18"/>
                <w:szCs w:val="18"/>
              </w:rPr>
              <w:t xml:space="preserve"> conformément à IS 28.1(h).</w:t>
            </w:r>
          </w:p>
          <w:p w14:paraId="47B7DEB0" w14:textId="71DF6921" w:rsidR="0036092A" w:rsidRPr="004E4188" w:rsidRDefault="00503E7D" w:rsidP="00DD6C86">
            <w:pPr>
              <w:tabs>
                <w:tab w:val="left" w:pos="422"/>
              </w:tabs>
              <w:ind w:left="422" w:hanging="422"/>
              <w:rPr>
                <w:sz w:val="18"/>
                <w:szCs w:val="18"/>
              </w:rPr>
            </w:pPr>
            <w:r w:rsidRPr="004E4188">
              <w:rPr>
                <w:sz w:val="18"/>
                <w:szCs w:val="18"/>
              </w:rPr>
              <w:t>(</w:t>
            </w:r>
            <w:r w:rsidR="00DD6C86" w:rsidRPr="004E4188">
              <w:rPr>
                <w:sz w:val="18"/>
                <w:szCs w:val="18"/>
              </w:rPr>
              <w:t>i</w:t>
            </w:r>
            <w:r w:rsidRPr="004E4188">
              <w:rPr>
                <w:sz w:val="18"/>
                <w:szCs w:val="18"/>
              </w:rPr>
              <w:t xml:space="preserve">) </w:t>
            </w:r>
            <w:r w:rsidRPr="004E4188">
              <w:rPr>
                <w:sz w:val="18"/>
                <w:szCs w:val="18"/>
              </w:rPr>
              <w:tab/>
            </w:r>
            <w:r w:rsidR="00DD6C86" w:rsidRPr="004E4188">
              <w:rPr>
                <w:sz w:val="18"/>
                <w:szCs w:val="18"/>
              </w:rPr>
              <w:t>T</w:t>
            </w:r>
            <w:r w:rsidRPr="004E4188">
              <w:rPr>
                <w:sz w:val="18"/>
                <w:szCs w:val="18"/>
              </w:rPr>
              <w:t xml:space="preserve">out autre document </w:t>
            </w:r>
            <w:r w:rsidR="00DD6C86" w:rsidRPr="004E4188">
              <w:rPr>
                <w:sz w:val="18"/>
                <w:szCs w:val="18"/>
              </w:rPr>
              <w:t>requis par DP 28.1(i).</w:t>
            </w:r>
            <w:r w:rsidR="00DD6C86" w:rsidRPr="004E4188" w:rsidDel="00DD6C86">
              <w:rPr>
                <w:sz w:val="18"/>
                <w:szCs w:val="18"/>
              </w:rPr>
              <w:t xml:space="preserve"> </w:t>
            </w:r>
          </w:p>
        </w:tc>
        <w:tc>
          <w:tcPr>
            <w:tcW w:w="468" w:type="dxa"/>
            <w:tcBorders>
              <w:left w:val="nil"/>
            </w:tcBorders>
            <w:tcMar>
              <w:top w:w="57" w:type="dxa"/>
              <w:bottom w:w="57" w:type="dxa"/>
            </w:tcMar>
          </w:tcPr>
          <w:p w14:paraId="73E6E6F7" w14:textId="77777777" w:rsidR="005848E6" w:rsidRPr="004E4188" w:rsidRDefault="005848E6" w:rsidP="005420A0">
            <w:pPr>
              <w:rPr>
                <w:sz w:val="20"/>
              </w:rPr>
            </w:pPr>
          </w:p>
        </w:tc>
      </w:tr>
      <w:tr w:rsidR="005848E6" w:rsidRPr="004E4188" w14:paraId="7A2BE5C4" w14:textId="77777777" w:rsidTr="005420A0">
        <w:trPr>
          <w:gridBefore w:val="1"/>
          <w:wBefore w:w="447" w:type="dxa"/>
        </w:trPr>
        <w:tc>
          <w:tcPr>
            <w:tcW w:w="8856" w:type="dxa"/>
            <w:gridSpan w:val="8"/>
            <w:tcMar>
              <w:top w:w="57" w:type="dxa"/>
              <w:bottom w:w="57" w:type="dxa"/>
            </w:tcMar>
          </w:tcPr>
          <w:p w14:paraId="7C30E0C5" w14:textId="77777777" w:rsidR="005848E6" w:rsidRPr="004E4188" w:rsidRDefault="005848E6" w:rsidP="005420A0">
            <w:pPr>
              <w:jc w:val="center"/>
              <w:rPr>
                <w:b/>
                <w:sz w:val="48"/>
                <w:szCs w:val="48"/>
                <w:lang w:val="en-GB"/>
              </w:rPr>
            </w:pPr>
            <w:r w:rsidRPr="004E4188">
              <w:rPr>
                <w:b/>
                <w:sz w:val="48"/>
                <w:szCs w:val="48"/>
                <w:lang w:val="en-GB"/>
              </w:rPr>
              <w:sym w:font="Symbol" w:char="F0AF"/>
            </w:r>
          </w:p>
        </w:tc>
      </w:tr>
      <w:tr w:rsidR="005848E6" w:rsidRPr="004E4188" w14:paraId="714A2C09" w14:textId="77777777" w:rsidTr="005420A0">
        <w:trPr>
          <w:gridBefore w:val="1"/>
          <w:wBefore w:w="447" w:type="dxa"/>
        </w:trPr>
        <w:tc>
          <w:tcPr>
            <w:tcW w:w="288" w:type="dxa"/>
            <w:gridSpan w:val="2"/>
            <w:tcMar>
              <w:top w:w="57" w:type="dxa"/>
              <w:bottom w:w="57" w:type="dxa"/>
            </w:tcMar>
          </w:tcPr>
          <w:p w14:paraId="011A8851" w14:textId="77777777" w:rsidR="005848E6" w:rsidRPr="004E4188" w:rsidRDefault="005848E6" w:rsidP="005420A0">
            <w:pPr>
              <w:rPr>
                <w:sz w:val="20"/>
                <w:lang w:val="en-GB"/>
              </w:rPr>
            </w:pPr>
          </w:p>
        </w:tc>
        <w:tc>
          <w:tcPr>
            <w:tcW w:w="8100" w:type="dxa"/>
            <w:gridSpan w:val="5"/>
            <w:tcBorders>
              <w:top w:val="single" w:sz="6" w:space="0" w:color="auto"/>
              <w:left w:val="single" w:sz="6" w:space="0" w:color="auto"/>
              <w:right w:val="single" w:sz="6" w:space="0" w:color="auto"/>
            </w:tcBorders>
            <w:tcMar>
              <w:top w:w="57" w:type="dxa"/>
              <w:bottom w:w="57" w:type="dxa"/>
            </w:tcMar>
          </w:tcPr>
          <w:p w14:paraId="71EC457E" w14:textId="22D10835" w:rsidR="005848E6" w:rsidRPr="004E4188" w:rsidRDefault="005848E6" w:rsidP="005420A0">
            <w:pPr>
              <w:ind w:left="274" w:hanging="274"/>
              <w:jc w:val="center"/>
              <w:rPr>
                <w:b/>
              </w:rPr>
            </w:pPr>
            <w:r w:rsidRPr="004E4188">
              <w:rPr>
                <w:b/>
              </w:rPr>
              <w:t xml:space="preserve">V. </w:t>
            </w:r>
            <w:r w:rsidR="00004387" w:rsidRPr="004E4188">
              <w:rPr>
                <w:b/>
              </w:rPr>
              <w:t>Pièces contractuelles</w:t>
            </w:r>
            <w:r w:rsidRPr="004E4188">
              <w:rPr>
                <w:b/>
              </w:rPr>
              <w:t xml:space="preserve"> </w:t>
            </w:r>
          </w:p>
          <w:p w14:paraId="1032EA37" w14:textId="25AE1516" w:rsidR="005848E6" w:rsidRPr="004E4188" w:rsidRDefault="00004387" w:rsidP="00004387">
            <w:pPr>
              <w:ind w:left="272" w:hanging="272"/>
              <w:jc w:val="center"/>
              <w:rPr>
                <w:sz w:val="20"/>
                <w:lang w:eastAsia="ja-JP"/>
              </w:rPr>
            </w:pPr>
            <w:r w:rsidRPr="004E4188">
              <w:rPr>
                <w:b/>
                <w:sz w:val="20"/>
              </w:rPr>
              <w:t xml:space="preserve">Préparées </w:t>
            </w:r>
            <w:r w:rsidR="00024D42" w:rsidRPr="004E4188">
              <w:rPr>
                <w:b/>
                <w:sz w:val="20"/>
              </w:rPr>
              <w:t xml:space="preserve">par le Maître d’ouvrage </w:t>
            </w:r>
            <w:r w:rsidRPr="004E4188">
              <w:rPr>
                <w:rFonts w:hint="eastAsia"/>
                <w:b/>
                <w:sz w:val="20"/>
                <w:lang w:eastAsia="ja-JP"/>
              </w:rPr>
              <w:t>&amp;</w:t>
            </w:r>
            <w:r w:rsidR="00024D42" w:rsidRPr="004E4188">
              <w:rPr>
                <w:b/>
                <w:sz w:val="20"/>
              </w:rPr>
              <w:t xml:space="preserve"> remis</w:t>
            </w:r>
            <w:r w:rsidRPr="004E4188">
              <w:rPr>
                <w:b/>
                <w:sz w:val="20"/>
              </w:rPr>
              <w:t>es</w:t>
            </w:r>
            <w:r w:rsidR="00024D42" w:rsidRPr="004E4188">
              <w:rPr>
                <w:b/>
                <w:sz w:val="20"/>
              </w:rPr>
              <w:t xml:space="preserve"> par le Soumissionnaire</w:t>
            </w:r>
          </w:p>
        </w:tc>
        <w:tc>
          <w:tcPr>
            <w:tcW w:w="468" w:type="dxa"/>
            <w:tcBorders>
              <w:left w:val="nil"/>
            </w:tcBorders>
            <w:tcMar>
              <w:top w:w="57" w:type="dxa"/>
              <w:bottom w:w="57" w:type="dxa"/>
            </w:tcMar>
          </w:tcPr>
          <w:p w14:paraId="0C4FED2A" w14:textId="77777777" w:rsidR="005848E6" w:rsidRPr="004E4188" w:rsidRDefault="005848E6" w:rsidP="005420A0">
            <w:pPr>
              <w:rPr>
                <w:sz w:val="20"/>
              </w:rPr>
            </w:pPr>
          </w:p>
        </w:tc>
      </w:tr>
      <w:tr w:rsidR="005848E6" w:rsidRPr="004E4188" w14:paraId="10654B67" w14:textId="77777777" w:rsidTr="005420A0">
        <w:trPr>
          <w:gridBefore w:val="1"/>
          <w:wBefore w:w="447" w:type="dxa"/>
        </w:trPr>
        <w:tc>
          <w:tcPr>
            <w:tcW w:w="288" w:type="dxa"/>
            <w:gridSpan w:val="2"/>
            <w:tcMar>
              <w:top w:w="57" w:type="dxa"/>
              <w:bottom w:w="57" w:type="dxa"/>
            </w:tcMar>
          </w:tcPr>
          <w:p w14:paraId="458855EC" w14:textId="77777777" w:rsidR="005848E6" w:rsidRPr="004E4188" w:rsidRDefault="005848E6" w:rsidP="005420A0">
            <w:pPr>
              <w:rPr>
                <w:sz w:val="20"/>
              </w:rPr>
            </w:pPr>
          </w:p>
        </w:tc>
        <w:tc>
          <w:tcPr>
            <w:tcW w:w="8100" w:type="dxa"/>
            <w:gridSpan w:val="5"/>
            <w:tcBorders>
              <w:left w:val="single" w:sz="6" w:space="0" w:color="auto"/>
              <w:bottom w:val="single" w:sz="6" w:space="0" w:color="auto"/>
              <w:right w:val="single" w:sz="6" w:space="0" w:color="auto"/>
            </w:tcBorders>
            <w:tcMar>
              <w:top w:w="57" w:type="dxa"/>
              <w:bottom w:w="57" w:type="dxa"/>
            </w:tcMar>
          </w:tcPr>
          <w:p w14:paraId="1A5513EE" w14:textId="0394DAF7" w:rsidR="005848E6" w:rsidRPr="004E4188" w:rsidRDefault="005848E6" w:rsidP="00F320EC">
            <w:pPr>
              <w:rPr>
                <w:sz w:val="18"/>
                <w:szCs w:val="18"/>
                <w:lang w:eastAsia="ja-JP"/>
              </w:rPr>
            </w:pPr>
          </w:p>
          <w:p w14:paraId="4CEA5918" w14:textId="6D3F942E" w:rsidR="005848E6" w:rsidRPr="004E4188" w:rsidRDefault="005848E6" w:rsidP="005420A0">
            <w:pPr>
              <w:tabs>
                <w:tab w:val="left" w:pos="422"/>
              </w:tabs>
              <w:rPr>
                <w:sz w:val="18"/>
                <w:szCs w:val="18"/>
                <w:lang w:eastAsia="ja-JP"/>
              </w:rPr>
            </w:pPr>
            <w:r w:rsidRPr="004E4188">
              <w:rPr>
                <w:sz w:val="18"/>
                <w:szCs w:val="18"/>
                <w:lang w:eastAsia="ja-JP"/>
              </w:rPr>
              <w:t>(</w:t>
            </w:r>
            <w:r w:rsidR="00F320EC" w:rsidRPr="004E4188">
              <w:rPr>
                <w:sz w:val="18"/>
                <w:szCs w:val="18"/>
                <w:lang w:eastAsia="ja-JP"/>
              </w:rPr>
              <w:t>a</w:t>
            </w:r>
            <w:r w:rsidRPr="004E4188">
              <w:rPr>
                <w:sz w:val="18"/>
                <w:szCs w:val="18"/>
              </w:rPr>
              <w:t>)</w:t>
            </w:r>
            <w:r w:rsidRPr="004E4188">
              <w:rPr>
                <w:sz w:val="18"/>
                <w:szCs w:val="18"/>
              </w:rPr>
              <w:tab/>
            </w:r>
            <w:r w:rsidR="00F320EC" w:rsidRPr="004E4188">
              <w:rPr>
                <w:sz w:val="18"/>
                <w:szCs w:val="18"/>
              </w:rPr>
              <w:t>L</w:t>
            </w:r>
            <w:r w:rsidR="009A6F0B" w:rsidRPr="004E4188">
              <w:rPr>
                <w:sz w:val="18"/>
                <w:szCs w:val="18"/>
                <w:lang w:eastAsia="ja-JP"/>
              </w:rPr>
              <w:t>’Acte d’engagement et ces annexes</w:t>
            </w:r>
            <w:r w:rsidR="00F320EC" w:rsidRPr="004E4188">
              <w:rPr>
                <w:sz w:val="18"/>
                <w:szCs w:val="18"/>
                <w:lang w:eastAsia="ja-JP"/>
              </w:rPr>
              <w:t>.</w:t>
            </w:r>
          </w:p>
          <w:p w14:paraId="18832CC6" w14:textId="3B249D73" w:rsidR="00D45EAD" w:rsidRPr="004E4188" w:rsidRDefault="00F320EC" w:rsidP="00F320EC">
            <w:pPr>
              <w:tabs>
                <w:tab w:val="left" w:pos="422"/>
              </w:tabs>
              <w:ind w:left="421" w:hanging="421"/>
              <w:rPr>
                <w:sz w:val="18"/>
                <w:szCs w:val="18"/>
              </w:rPr>
            </w:pPr>
            <w:r w:rsidRPr="004E4188">
              <w:rPr>
                <w:sz w:val="18"/>
                <w:szCs w:val="18"/>
              </w:rPr>
              <w:t>(b)</w:t>
            </w:r>
            <w:r w:rsidRPr="004E4188">
              <w:rPr>
                <w:sz w:val="18"/>
                <w:szCs w:val="18"/>
              </w:rPr>
              <w:tab/>
              <w:t>La Lettre d’acceptation de l’offre.</w:t>
            </w:r>
          </w:p>
          <w:p w14:paraId="5568BA12" w14:textId="2AD2C099" w:rsidR="005848E6" w:rsidRPr="004E4188" w:rsidRDefault="005848E6" w:rsidP="00F320EC">
            <w:pPr>
              <w:tabs>
                <w:tab w:val="left" w:pos="422"/>
              </w:tabs>
              <w:rPr>
                <w:sz w:val="18"/>
                <w:szCs w:val="18"/>
              </w:rPr>
            </w:pPr>
            <w:r w:rsidRPr="004E4188">
              <w:rPr>
                <w:sz w:val="18"/>
                <w:szCs w:val="18"/>
              </w:rPr>
              <w:t>(c)</w:t>
            </w:r>
            <w:r w:rsidRPr="004E4188">
              <w:rPr>
                <w:sz w:val="18"/>
                <w:szCs w:val="18"/>
              </w:rPr>
              <w:tab/>
            </w:r>
            <w:r w:rsidR="00B7782B" w:rsidRPr="004E4188">
              <w:rPr>
                <w:sz w:val="18"/>
                <w:szCs w:val="18"/>
              </w:rPr>
              <w:t xml:space="preserve">La </w:t>
            </w:r>
            <w:r w:rsidRPr="004E4188">
              <w:rPr>
                <w:sz w:val="18"/>
                <w:szCs w:val="18"/>
              </w:rPr>
              <w:t>Lett</w:t>
            </w:r>
            <w:r w:rsidR="009A6F0B" w:rsidRPr="004E4188">
              <w:rPr>
                <w:sz w:val="18"/>
                <w:szCs w:val="18"/>
              </w:rPr>
              <w:t>re de soumission de l’offre de la deuxième étape</w:t>
            </w:r>
            <w:r w:rsidR="00D55B4D" w:rsidRPr="004E4188">
              <w:rPr>
                <w:sz w:val="18"/>
                <w:szCs w:val="18"/>
              </w:rPr>
              <w:t>.</w:t>
            </w:r>
          </w:p>
          <w:p w14:paraId="2DB721E7" w14:textId="0B87DFB2" w:rsidR="005848E6" w:rsidRPr="004E4188" w:rsidRDefault="005848E6" w:rsidP="005420A0">
            <w:pPr>
              <w:tabs>
                <w:tab w:val="left" w:pos="422"/>
              </w:tabs>
              <w:ind w:left="421" w:hanging="421"/>
              <w:rPr>
                <w:sz w:val="18"/>
                <w:szCs w:val="18"/>
              </w:rPr>
            </w:pPr>
            <w:r w:rsidRPr="004E4188">
              <w:rPr>
                <w:sz w:val="18"/>
                <w:szCs w:val="18"/>
              </w:rPr>
              <w:t>(d)</w:t>
            </w:r>
            <w:r w:rsidRPr="004E4188">
              <w:rPr>
                <w:sz w:val="18"/>
                <w:szCs w:val="18"/>
              </w:rPr>
              <w:tab/>
            </w:r>
            <w:r w:rsidR="00F320EC" w:rsidRPr="004E4188">
              <w:rPr>
                <w:sz w:val="18"/>
                <w:szCs w:val="18"/>
              </w:rPr>
              <w:t>Les avenants, le cas échéant</w:t>
            </w:r>
            <w:r w:rsidR="00880416" w:rsidRPr="004E4188">
              <w:rPr>
                <w:sz w:val="18"/>
                <w:szCs w:val="18"/>
              </w:rPr>
              <w:t>.</w:t>
            </w:r>
          </w:p>
          <w:p w14:paraId="659C5AD4" w14:textId="213D35AA" w:rsidR="005848E6" w:rsidRPr="004E4188" w:rsidRDefault="005848E6" w:rsidP="005420A0">
            <w:pPr>
              <w:tabs>
                <w:tab w:val="left" w:pos="422"/>
              </w:tabs>
              <w:rPr>
                <w:sz w:val="18"/>
                <w:szCs w:val="18"/>
              </w:rPr>
            </w:pPr>
            <w:r w:rsidRPr="004E4188">
              <w:rPr>
                <w:sz w:val="18"/>
                <w:szCs w:val="18"/>
              </w:rPr>
              <w:t>(e)</w:t>
            </w:r>
            <w:r w:rsidRPr="004E4188">
              <w:rPr>
                <w:sz w:val="18"/>
                <w:szCs w:val="18"/>
              </w:rPr>
              <w:tab/>
            </w:r>
            <w:r w:rsidR="00880416" w:rsidRPr="004E4188">
              <w:rPr>
                <w:sz w:val="18"/>
                <w:szCs w:val="18"/>
              </w:rPr>
              <w:t xml:space="preserve">Les </w:t>
            </w:r>
            <w:r w:rsidR="00880416" w:rsidRPr="004E4188">
              <w:rPr>
                <w:sz w:val="18"/>
                <w:szCs w:val="18"/>
                <w:lang w:eastAsia="en-US"/>
              </w:rPr>
              <w:t xml:space="preserve">Conditions Particulières : Partie A </w:t>
            </w:r>
            <w:r w:rsidR="00EC7730" w:rsidRPr="004E4188">
              <w:rPr>
                <w:sz w:val="18"/>
                <w:szCs w:val="18"/>
                <w:lang w:eastAsia="en-US"/>
              </w:rPr>
              <w:t>-</w:t>
            </w:r>
            <w:r w:rsidR="00880416" w:rsidRPr="004E4188">
              <w:rPr>
                <w:sz w:val="18"/>
                <w:szCs w:val="18"/>
                <w:lang w:eastAsia="en-US"/>
              </w:rPr>
              <w:t xml:space="preserve"> Données du Marché.</w:t>
            </w:r>
          </w:p>
          <w:p w14:paraId="3A5574E5" w14:textId="79BD23D7" w:rsidR="005848E6" w:rsidRPr="004E4188" w:rsidRDefault="005848E6" w:rsidP="005420A0">
            <w:pPr>
              <w:tabs>
                <w:tab w:val="left" w:pos="422"/>
              </w:tabs>
              <w:rPr>
                <w:sz w:val="18"/>
                <w:szCs w:val="18"/>
              </w:rPr>
            </w:pPr>
            <w:r w:rsidRPr="004E4188">
              <w:rPr>
                <w:sz w:val="18"/>
                <w:szCs w:val="18"/>
              </w:rPr>
              <w:t>(f)</w:t>
            </w:r>
            <w:r w:rsidRPr="004E4188">
              <w:rPr>
                <w:sz w:val="18"/>
                <w:szCs w:val="18"/>
              </w:rPr>
              <w:tab/>
            </w:r>
            <w:r w:rsidR="00880416" w:rsidRPr="004E4188">
              <w:rPr>
                <w:sz w:val="18"/>
                <w:szCs w:val="18"/>
              </w:rPr>
              <w:t xml:space="preserve">Les Conditions Particulières : Partie B </w:t>
            </w:r>
            <w:r w:rsidR="00EC7730" w:rsidRPr="004E4188">
              <w:rPr>
                <w:sz w:val="18"/>
                <w:szCs w:val="18"/>
              </w:rPr>
              <w:t>-</w:t>
            </w:r>
            <w:r w:rsidR="00880416" w:rsidRPr="004E4188">
              <w:rPr>
                <w:sz w:val="18"/>
                <w:szCs w:val="18"/>
              </w:rPr>
              <w:t xml:space="preserve"> Dispositions spécifiques.</w:t>
            </w:r>
          </w:p>
          <w:p w14:paraId="7B725505" w14:textId="493A0477" w:rsidR="005848E6" w:rsidRPr="004E4188" w:rsidRDefault="005848E6" w:rsidP="005420A0">
            <w:pPr>
              <w:tabs>
                <w:tab w:val="left" w:pos="422"/>
              </w:tabs>
              <w:ind w:left="421" w:hanging="421"/>
              <w:rPr>
                <w:sz w:val="18"/>
                <w:szCs w:val="18"/>
              </w:rPr>
            </w:pPr>
            <w:r w:rsidRPr="004E4188">
              <w:rPr>
                <w:sz w:val="18"/>
                <w:szCs w:val="18"/>
              </w:rPr>
              <w:t>(g)</w:t>
            </w:r>
            <w:r w:rsidRPr="004E4188">
              <w:rPr>
                <w:sz w:val="18"/>
                <w:szCs w:val="18"/>
              </w:rPr>
              <w:tab/>
            </w:r>
            <w:r w:rsidR="00880416" w:rsidRPr="004E4188">
              <w:rPr>
                <w:sz w:val="18"/>
                <w:szCs w:val="18"/>
              </w:rPr>
              <w:t>Les Conditions Générales.</w:t>
            </w:r>
            <w:r w:rsidR="00880416" w:rsidRPr="004E4188" w:rsidDel="00880416">
              <w:rPr>
                <w:sz w:val="18"/>
                <w:szCs w:val="18"/>
              </w:rPr>
              <w:t xml:space="preserve"> </w:t>
            </w:r>
          </w:p>
          <w:p w14:paraId="41D5757F" w14:textId="2B164B84" w:rsidR="00880416" w:rsidRPr="004E4188" w:rsidRDefault="00880416" w:rsidP="005420A0">
            <w:pPr>
              <w:tabs>
                <w:tab w:val="left" w:pos="422"/>
              </w:tabs>
              <w:ind w:left="421" w:hanging="421"/>
              <w:rPr>
                <w:sz w:val="18"/>
                <w:szCs w:val="18"/>
              </w:rPr>
            </w:pPr>
            <w:r w:rsidRPr="004E4188">
              <w:rPr>
                <w:sz w:val="18"/>
                <w:szCs w:val="18"/>
              </w:rPr>
              <w:t>(h)</w:t>
            </w:r>
            <w:r w:rsidRPr="004E4188">
              <w:rPr>
                <w:sz w:val="18"/>
                <w:szCs w:val="18"/>
              </w:rPr>
              <w:tab/>
              <w:t>Les Exigences du Maître d’ouvrage.</w:t>
            </w:r>
          </w:p>
          <w:p w14:paraId="2EAC1D01" w14:textId="115BE358" w:rsidR="00880416" w:rsidRPr="004E4188" w:rsidRDefault="00880416" w:rsidP="00880416">
            <w:pPr>
              <w:tabs>
                <w:tab w:val="left" w:pos="422"/>
              </w:tabs>
              <w:ind w:left="421" w:hanging="421"/>
              <w:rPr>
                <w:sz w:val="18"/>
                <w:szCs w:val="18"/>
              </w:rPr>
            </w:pPr>
            <w:r w:rsidRPr="004E4188">
              <w:rPr>
                <w:sz w:val="18"/>
                <w:szCs w:val="18"/>
              </w:rPr>
              <w:t>(i)</w:t>
            </w:r>
            <w:r w:rsidRPr="004E4188">
              <w:rPr>
                <w:sz w:val="18"/>
                <w:szCs w:val="18"/>
              </w:rPr>
              <w:tab/>
              <w:t>Les autres formulaires de soumission complétés remis avec l’offre.</w:t>
            </w:r>
          </w:p>
          <w:p w14:paraId="6C34AD3B" w14:textId="7D22285E" w:rsidR="005848E6" w:rsidRPr="004E4188" w:rsidRDefault="005848E6" w:rsidP="005420A0">
            <w:pPr>
              <w:tabs>
                <w:tab w:val="left" w:pos="422"/>
              </w:tabs>
              <w:ind w:left="421" w:hanging="421"/>
              <w:rPr>
                <w:sz w:val="18"/>
                <w:szCs w:val="18"/>
              </w:rPr>
            </w:pPr>
            <w:r w:rsidRPr="004E4188">
              <w:rPr>
                <w:sz w:val="18"/>
                <w:szCs w:val="18"/>
              </w:rPr>
              <w:t>(</w:t>
            </w:r>
            <w:r w:rsidR="00880416" w:rsidRPr="004E4188">
              <w:rPr>
                <w:sz w:val="18"/>
                <w:szCs w:val="18"/>
              </w:rPr>
              <w:t>j</w:t>
            </w:r>
            <w:r w:rsidRPr="004E4188">
              <w:rPr>
                <w:sz w:val="18"/>
                <w:szCs w:val="18"/>
              </w:rPr>
              <w:t>)</w:t>
            </w:r>
            <w:r w:rsidR="00D45EAD" w:rsidRPr="004E4188">
              <w:rPr>
                <w:sz w:val="18"/>
                <w:szCs w:val="18"/>
              </w:rPr>
              <w:tab/>
            </w:r>
            <w:r w:rsidR="00A6368C" w:rsidRPr="004E4188">
              <w:rPr>
                <w:sz w:val="18"/>
                <w:szCs w:val="18"/>
              </w:rPr>
              <w:t xml:space="preserve">La </w:t>
            </w:r>
            <w:r w:rsidR="0034130B" w:rsidRPr="004E4188">
              <w:rPr>
                <w:sz w:val="18"/>
                <w:szCs w:val="18"/>
                <w:lang w:eastAsia="ja-JP"/>
              </w:rPr>
              <w:t>Reconnaissance du respect des Directives pour les passations de marchés sous financement par Prêts APD du Japon</w:t>
            </w:r>
            <w:r w:rsidR="00880416" w:rsidRPr="004E4188">
              <w:rPr>
                <w:sz w:val="18"/>
                <w:szCs w:val="18"/>
                <w:lang w:eastAsia="ja-JP"/>
              </w:rPr>
              <w:t>.</w:t>
            </w:r>
          </w:p>
          <w:p w14:paraId="7A460D66" w14:textId="7755548C" w:rsidR="005848E6" w:rsidRPr="004E4188" w:rsidRDefault="005848E6" w:rsidP="00880416">
            <w:pPr>
              <w:tabs>
                <w:tab w:val="left" w:pos="422"/>
              </w:tabs>
              <w:ind w:left="421" w:hanging="421"/>
              <w:rPr>
                <w:sz w:val="18"/>
                <w:szCs w:val="18"/>
                <w:lang w:eastAsia="ja-JP"/>
              </w:rPr>
            </w:pPr>
            <w:r w:rsidRPr="004E4188">
              <w:rPr>
                <w:sz w:val="18"/>
                <w:szCs w:val="18"/>
              </w:rPr>
              <w:t>(</w:t>
            </w:r>
            <w:r w:rsidR="0058317B" w:rsidRPr="004E4188">
              <w:rPr>
                <w:sz w:val="18"/>
                <w:szCs w:val="18"/>
              </w:rPr>
              <w:t>k</w:t>
            </w:r>
            <w:r w:rsidRPr="004E4188">
              <w:rPr>
                <w:sz w:val="18"/>
                <w:szCs w:val="18"/>
              </w:rPr>
              <w:t>)</w:t>
            </w:r>
            <w:r w:rsidRPr="004E4188">
              <w:rPr>
                <w:sz w:val="18"/>
                <w:szCs w:val="18"/>
              </w:rPr>
              <w:tab/>
            </w:r>
            <w:r w:rsidR="00880416" w:rsidRPr="004E4188">
              <w:rPr>
                <w:sz w:val="18"/>
                <w:szCs w:val="18"/>
              </w:rPr>
              <w:t>T</w:t>
            </w:r>
            <w:r w:rsidR="0034130B" w:rsidRPr="004E4188">
              <w:rPr>
                <w:sz w:val="18"/>
                <w:szCs w:val="18"/>
              </w:rPr>
              <w:t xml:space="preserve">out autre document </w:t>
            </w:r>
            <w:r w:rsidR="00880416" w:rsidRPr="004E4188">
              <w:rPr>
                <w:sz w:val="18"/>
                <w:szCs w:val="18"/>
              </w:rPr>
              <w:t>faisant partie du Marché.</w:t>
            </w:r>
          </w:p>
        </w:tc>
        <w:tc>
          <w:tcPr>
            <w:tcW w:w="468" w:type="dxa"/>
            <w:tcBorders>
              <w:left w:val="nil"/>
            </w:tcBorders>
            <w:tcMar>
              <w:top w:w="57" w:type="dxa"/>
              <w:bottom w:w="57" w:type="dxa"/>
            </w:tcMar>
          </w:tcPr>
          <w:p w14:paraId="6C7CF238" w14:textId="77777777" w:rsidR="005848E6" w:rsidRPr="004E4188" w:rsidRDefault="005848E6" w:rsidP="005420A0">
            <w:pPr>
              <w:rPr>
                <w:sz w:val="20"/>
              </w:rPr>
            </w:pPr>
          </w:p>
        </w:tc>
      </w:tr>
    </w:tbl>
    <w:p w14:paraId="1FEEDE32" w14:textId="77777777" w:rsidR="005848E6" w:rsidRPr="004E4188" w:rsidRDefault="005848E6" w:rsidP="00414791">
      <w:pPr>
        <w:suppressAutoHyphens w:val="0"/>
        <w:overflowPunct/>
        <w:autoSpaceDE/>
        <w:autoSpaceDN/>
        <w:adjustRightInd/>
        <w:spacing w:afterLines="100" w:after="240"/>
        <w:jc w:val="left"/>
        <w:textAlignment w:val="auto"/>
        <w:rPr>
          <w:b/>
          <w:bCs/>
          <w:sz w:val="32"/>
          <w:szCs w:val="32"/>
          <w:lang w:eastAsia="en-US"/>
        </w:rPr>
      </w:pPr>
    </w:p>
    <w:p w14:paraId="29CEE7C0" w14:textId="77777777" w:rsidR="005848E6" w:rsidRPr="004E4188" w:rsidRDefault="005848E6" w:rsidP="00414791">
      <w:pPr>
        <w:suppressAutoHyphens w:val="0"/>
        <w:overflowPunct/>
        <w:autoSpaceDE/>
        <w:autoSpaceDN/>
        <w:adjustRightInd/>
        <w:spacing w:afterLines="100" w:after="240"/>
        <w:jc w:val="left"/>
        <w:textAlignment w:val="auto"/>
        <w:rPr>
          <w:b/>
          <w:iCs/>
          <w:spacing w:val="80"/>
          <w:sz w:val="32"/>
          <w:szCs w:val="32"/>
          <w:lang w:eastAsia="ja-JP"/>
        </w:rPr>
      </w:pPr>
    </w:p>
    <w:p w14:paraId="7A107D01" w14:textId="77777777" w:rsidR="00414791" w:rsidRPr="004E4188" w:rsidRDefault="00414791" w:rsidP="00414791">
      <w:pPr>
        <w:spacing w:after="40"/>
        <w:ind w:left="270" w:hangingChars="150" w:hanging="270"/>
        <w:rPr>
          <w:sz w:val="18"/>
          <w:szCs w:val="18"/>
          <w:lang w:eastAsia="ja-JP"/>
        </w:rPr>
        <w:sectPr w:rsidR="00414791" w:rsidRPr="004E4188" w:rsidSect="00FB7055">
          <w:headerReference w:type="even" r:id="rId21"/>
          <w:headerReference w:type="default" r:id="rId22"/>
          <w:headerReference w:type="first" r:id="rId23"/>
          <w:footnotePr>
            <w:numRestart w:val="eachPage"/>
          </w:footnotePr>
          <w:endnotePr>
            <w:numFmt w:val="decimal"/>
          </w:endnotePr>
          <w:type w:val="nextColumn"/>
          <w:pgSz w:w="12240" w:h="15840" w:code="1"/>
          <w:pgMar w:top="1440" w:right="1440" w:bottom="1440" w:left="1797" w:header="720" w:footer="720" w:gutter="0"/>
          <w:pgNumType w:fmt="lowerRoman"/>
          <w:cols w:space="720"/>
        </w:sectPr>
      </w:pPr>
    </w:p>
    <w:p w14:paraId="22064BBF" w14:textId="77777777" w:rsidR="006F129D" w:rsidRPr="004E4188" w:rsidRDefault="006F129D" w:rsidP="00560917">
      <w:pPr>
        <w:pStyle w:val="SHeader"/>
        <w:rPr>
          <w:lang w:val="fr-FR"/>
        </w:rPr>
      </w:pPr>
      <w:bookmarkStart w:id="24" w:name="DocIndex"/>
      <w:bookmarkStart w:id="25" w:name="_Toc354567689"/>
      <w:bookmarkStart w:id="26" w:name="_Toc112413554"/>
      <w:bookmarkEnd w:id="24"/>
      <w:r w:rsidRPr="004E4188">
        <w:rPr>
          <w:lang w:val="fr-FR"/>
        </w:rPr>
        <w:t>Avis d’appel d’offres : après préqualification</w:t>
      </w:r>
      <w:bookmarkEnd w:id="25"/>
      <w:bookmarkEnd w:id="26"/>
    </w:p>
    <w:p w14:paraId="6694A1D2" w14:textId="77777777" w:rsidR="006F129D" w:rsidRPr="004E4188" w:rsidRDefault="006F129D" w:rsidP="00B6511C"/>
    <w:tbl>
      <w:tblPr>
        <w:tblW w:w="0" w:type="auto"/>
        <w:tblInd w:w="120" w:type="dxa"/>
        <w:tblLayout w:type="fixed"/>
        <w:tblLook w:val="0000" w:firstRow="0" w:lastRow="0" w:firstColumn="0" w:lastColumn="0" w:noHBand="0" w:noVBand="0"/>
      </w:tblPr>
      <w:tblGrid>
        <w:gridCol w:w="9000"/>
      </w:tblGrid>
      <w:tr w:rsidR="006F129D" w:rsidRPr="004E4188" w14:paraId="0F914806" w14:textId="77777777" w:rsidTr="0015572B">
        <w:tc>
          <w:tcPr>
            <w:tcW w:w="9000" w:type="dxa"/>
            <w:tcBorders>
              <w:top w:val="single" w:sz="6" w:space="0" w:color="auto"/>
              <w:left w:val="single" w:sz="6" w:space="0" w:color="auto"/>
              <w:bottom w:val="single" w:sz="6" w:space="0" w:color="auto"/>
              <w:right w:val="single" w:sz="6" w:space="0" w:color="auto"/>
            </w:tcBorders>
          </w:tcPr>
          <w:p w14:paraId="6F10E168" w14:textId="77777777" w:rsidR="006F129D" w:rsidRPr="004E4188" w:rsidRDefault="006F129D" w:rsidP="0015572B">
            <w:pPr>
              <w:jc w:val="center"/>
              <w:outlineLvl w:val="1"/>
              <w:rPr>
                <w:b/>
                <w:sz w:val="28"/>
              </w:rPr>
            </w:pPr>
          </w:p>
          <w:p w14:paraId="75A4571A" w14:textId="799F6287" w:rsidR="006F129D" w:rsidRPr="004E4188" w:rsidRDefault="006F129D" w:rsidP="00845E94">
            <w:pPr>
              <w:spacing w:afterLines="100" w:after="240"/>
              <w:jc w:val="center"/>
              <w:rPr>
                <w:b/>
                <w:sz w:val="28"/>
                <w:szCs w:val="28"/>
              </w:rPr>
            </w:pPr>
            <w:r w:rsidRPr="004E4188">
              <w:rPr>
                <w:b/>
                <w:sz w:val="28"/>
                <w:szCs w:val="28"/>
              </w:rPr>
              <w:t xml:space="preserve">Notes </w:t>
            </w:r>
            <w:r w:rsidRPr="004E4188">
              <w:rPr>
                <w:rFonts w:hint="eastAsia"/>
                <w:b/>
                <w:sz w:val="28"/>
                <w:szCs w:val="28"/>
              </w:rPr>
              <w:t>à</w:t>
            </w:r>
            <w:r w:rsidRPr="004E4188">
              <w:rPr>
                <w:b/>
                <w:sz w:val="28"/>
                <w:szCs w:val="28"/>
              </w:rPr>
              <w:t xml:space="preserve"> l’intention du Maître d’ouvrage</w:t>
            </w:r>
          </w:p>
          <w:p w14:paraId="3CAE7842" w14:textId="77777777" w:rsidR="006F129D" w:rsidRPr="004E4188" w:rsidRDefault="006F129D" w:rsidP="0015572B"/>
          <w:p w14:paraId="0C48408A" w14:textId="657C36CD" w:rsidR="006F129D" w:rsidRPr="004E4188" w:rsidRDefault="006F129D" w:rsidP="0015572B">
            <w:r w:rsidRPr="004E4188">
              <w:t>L’Avis d’appel d’offres, dans le cas de marchés dont la procédure de passation a été précédée d’une préqualification, est adressé uniquement aux entreprises jugées qualifiées suite à la préqualification conduite par le Maître d’ouvrage. Cette procédure de préqualification requiert l’examen et la non-objection de la JICA.</w:t>
            </w:r>
          </w:p>
          <w:p w14:paraId="4AE0A953" w14:textId="77777777" w:rsidR="006F129D" w:rsidRPr="004E4188" w:rsidRDefault="006F129D" w:rsidP="0015572B"/>
          <w:p w14:paraId="221A8889" w14:textId="79C8A5A5" w:rsidR="006F129D" w:rsidRPr="004E4188" w:rsidRDefault="006F129D" w:rsidP="0015572B">
            <w:r w:rsidRPr="004E4188">
              <w:t>L’idéal est d’envoyer l’Avis d’appel d’offres aux Soumissionnaires préqualifiés en même temps que sont annoncés les résultats de la préqualification. Dans le cas d’un appel d’offres ouvert sans préqualification, l’Avis d’appel d’offres (sans préqualification) doit être utilisé.</w:t>
            </w:r>
          </w:p>
          <w:p w14:paraId="6EF4AA23" w14:textId="77777777" w:rsidR="006F129D" w:rsidRPr="004E4188" w:rsidRDefault="006F129D" w:rsidP="0015572B"/>
          <w:p w14:paraId="3B2FEDA9" w14:textId="77777777" w:rsidR="006F129D" w:rsidRPr="004E4188" w:rsidRDefault="006F129D" w:rsidP="0015572B">
            <w:pPr>
              <w:rPr>
                <w:szCs w:val="24"/>
              </w:rPr>
            </w:pPr>
            <w:r w:rsidRPr="004E4188">
              <w:t>Lors de la préparation de l’Avis d’appel d’offres :</w:t>
            </w:r>
          </w:p>
          <w:p w14:paraId="38BD4A6E" w14:textId="723380AD" w:rsidR="006F129D" w:rsidRPr="004E4188" w:rsidRDefault="006F129D" w:rsidP="003D46CF">
            <w:pPr>
              <w:pStyle w:val="aff7"/>
              <w:numPr>
                <w:ilvl w:val="0"/>
                <w:numId w:val="19"/>
              </w:numPr>
              <w:spacing w:after="60" w:line="240" w:lineRule="auto"/>
              <w:ind w:leftChars="0"/>
              <w:rPr>
                <w:rFonts w:ascii="Times New Roman" w:hAnsi="Times New Roman"/>
                <w:sz w:val="24"/>
                <w:szCs w:val="24"/>
                <w:lang w:val="fr-FR"/>
              </w:rPr>
            </w:pPr>
            <w:r w:rsidRPr="004E4188">
              <w:rPr>
                <w:rFonts w:ascii="Times New Roman" w:hAnsi="Times New Roman"/>
                <w:sz w:val="24"/>
                <w:szCs w:val="24"/>
                <w:lang w:val="x-none"/>
              </w:rPr>
              <w:t>Les</w:t>
            </w:r>
            <w:r w:rsidRPr="004E4188">
              <w:rPr>
                <w:rFonts w:ascii="Times New Roman" w:hAnsi="Times New Roman"/>
                <w:sz w:val="24"/>
                <w:szCs w:val="24"/>
                <w:lang w:val="fr-FR"/>
              </w:rPr>
              <w:t xml:space="preserve"> détails spécifiques, tels que le nom du Maître d’ouvrage</w:t>
            </w:r>
            <w:r w:rsidR="002942C1" w:rsidRPr="004E4188">
              <w:rPr>
                <w:rFonts w:ascii="Times New Roman" w:hAnsi="Times New Roman"/>
                <w:sz w:val="24"/>
                <w:szCs w:val="24"/>
                <w:lang w:val="fr-FR"/>
              </w:rPr>
              <w:t xml:space="preserve"> et</w:t>
            </w:r>
            <w:r w:rsidRPr="004E4188">
              <w:rPr>
                <w:rFonts w:ascii="Times New Roman" w:hAnsi="Times New Roman"/>
                <w:sz w:val="24"/>
                <w:szCs w:val="24"/>
                <w:lang w:val="fr-FR"/>
              </w:rPr>
              <w:t xml:space="preserve"> l’adresse de soumission des offres devront être indiqués dans les espaces prévus à cet effet, en suivant les instructions des notes en italique entre crochets.</w:t>
            </w:r>
          </w:p>
          <w:p w14:paraId="50DD363A" w14:textId="300ADE76" w:rsidR="006F129D" w:rsidRPr="004E4188" w:rsidRDefault="006F129D" w:rsidP="003D46CF">
            <w:pPr>
              <w:pStyle w:val="aff7"/>
              <w:numPr>
                <w:ilvl w:val="0"/>
                <w:numId w:val="19"/>
              </w:numPr>
              <w:spacing w:after="60" w:line="240" w:lineRule="auto"/>
              <w:ind w:leftChars="0"/>
              <w:rPr>
                <w:rFonts w:ascii="Times New Roman" w:hAnsi="Times New Roman"/>
                <w:sz w:val="24"/>
                <w:szCs w:val="24"/>
                <w:lang w:val="fr-FR"/>
              </w:rPr>
            </w:pPr>
            <w:r w:rsidRPr="004E4188">
              <w:rPr>
                <w:rFonts w:ascii="Times New Roman" w:hAnsi="Times New Roman"/>
                <w:sz w:val="24"/>
                <w:szCs w:val="24"/>
                <w:lang w:val="fr-FR"/>
              </w:rPr>
              <w:t>Les notes de bas de page et celles en italique ne font pas partie de l’Avis d’appel d’offres, mais contiennent des indications et des instructions à l’intention du Maître d’ouvrage. Elles doivent être retirées du Dossier d’appel d’offres qui sera remis aux Soumissionnaires.</w:t>
            </w:r>
          </w:p>
          <w:p w14:paraId="517627DC" w14:textId="77777777" w:rsidR="006F129D" w:rsidRPr="004E4188" w:rsidRDefault="006F129D" w:rsidP="0015572B"/>
          <w:p w14:paraId="3915ACC1" w14:textId="34D1693E" w:rsidR="006F129D" w:rsidRPr="004E4188" w:rsidRDefault="006F129D" w:rsidP="0058317B">
            <w:pPr>
              <w:spacing w:afterLines="100" w:after="240"/>
            </w:pPr>
            <w:r w:rsidRPr="004E4188">
              <w:t xml:space="preserve">L’Avis d’appel d’offres ne fait pas partie du Dossier d’appel d’offres. </w:t>
            </w:r>
            <w:r w:rsidRPr="004E4188">
              <w:rPr>
                <w:szCs w:val="24"/>
              </w:rPr>
              <w:t xml:space="preserve">Cependant, le Maître d’ouvrage veillera à ce que son contenu soit cohérent avec les informations données à la Section II, Données </w:t>
            </w:r>
            <w:r w:rsidRPr="004E4188">
              <w:rPr>
                <w:szCs w:val="24"/>
                <w:lang w:eastAsia="ja-JP"/>
              </w:rPr>
              <w:t>p</w:t>
            </w:r>
            <w:r w:rsidRPr="004E4188">
              <w:rPr>
                <w:szCs w:val="24"/>
              </w:rPr>
              <w:t>articulières.</w:t>
            </w:r>
          </w:p>
        </w:tc>
      </w:tr>
    </w:tbl>
    <w:p w14:paraId="5384D4D6" w14:textId="77777777" w:rsidR="006F129D" w:rsidRPr="004E4188" w:rsidRDefault="006F129D" w:rsidP="00B6511C">
      <w:pPr>
        <w:sectPr w:rsidR="006F129D" w:rsidRPr="004E4188" w:rsidSect="00FB7055">
          <w:headerReference w:type="even" r:id="rId24"/>
          <w:headerReference w:type="default" r:id="rId25"/>
          <w:footnotePr>
            <w:numRestart w:val="eachSect"/>
          </w:footnotePr>
          <w:endnotePr>
            <w:numFmt w:val="decimal"/>
          </w:endnotePr>
          <w:type w:val="nextColumn"/>
          <w:pgSz w:w="12240" w:h="15840"/>
          <w:pgMar w:top="1440" w:right="1440" w:bottom="1440" w:left="1797" w:header="720" w:footer="720" w:gutter="0"/>
          <w:pgNumType w:start="1"/>
          <w:cols w:space="720"/>
        </w:sectPr>
      </w:pPr>
    </w:p>
    <w:p w14:paraId="29E5FA99" w14:textId="77777777" w:rsidR="006F129D" w:rsidRPr="004E4188" w:rsidRDefault="006F129D" w:rsidP="00885D98">
      <w:pPr>
        <w:spacing w:beforeLines="50" w:before="120"/>
        <w:jc w:val="center"/>
        <w:rPr>
          <w:b/>
          <w:sz w:val="28"/>
          <w:szCs w:val="28"/>
          <w:u w:val="single"/>
        </w:rPr>
      </w:pPr>
      <w:r w:rsidRPr="004E4188">
        <w:rPr>
          <w:b/>
          <w:sz w:val="28"/>
          <w:szCs w:val="28"/>
          <w:u w:val="single"/>
        </w:rPr>
        <w:t>Avis d’appel d’offres</w:t>
      </w:r>
    </w:p>
    <w:p w14:paraId="76CB85C9" w14:textId="77777777" w:rsidR="006F129D" w:rsidRPr="004E4188" w:rsidRDefault="006F129D" w:rsidP="00885D98">
      <w:pPr>
        <w:rPr>
          <w:b/>
          <w:szCs w:val="24"/>
        </w:rPr>
      </w:pPr>
    </w:p>
    <w:p w14:paraId="78D877C9" w14:textId="77777777" w:rsidR="006F129D" w:rsidRPr="004E4188" w:rsidRDefault="006F129D" w:rsidP="00B6511C"/>
    <w:p w14:paraId="23785F52" w14:textId="2188D356" w:rsidR="006F129D" w:rsidRPr="004E4188" w:rsidRDefault="006F129D" w:rsidP="00D45EAD">
      <w:pPr>
        <w:rPr>
          <w:iCs/>
          <w:spacing w:val="-6"/>
        </w:rPr>
      </w:pPr>
      <w:r w:rsidRPr="004E4188">
        <w:rPr>
          <w:iCs/>
          <w:spacing w:val="-6"/>
        </w:rPr>
        <w:t>Date : [</w:t>
      </w:r>
      <w:r w:rsidRPr="004E4188">
        <w:rPr>
          <w:i/>
          <w:iCs/>
          <w:spacing w:val="-6"/>
        </w:rPr>
        <w:t>insérer la date de publication de l’Avis d’appel d’offres</w:t>
      </w:r>
      <w:r w:rsidRPr="004E4188">
        <w:rPr>
          <w:iCs/>
          <w:spacing w:val="-6"/>
        </w:rPr>
        <w:t>]</w:t>
      </w:r>
    </w:p>
    <w:p w14:paraId="422D7910" w14:textId="3CDC578C" w:rsidR="006F129D" w:rsidRPr="004E4188" w:rsidRDefault="006F129D" w:rsidP="00D45EAD">
      <w:pPr>
        <w:rPr>
          <w:iCs/>
          <w:spacing w:val="-6"/>
        </w:rPr>
      </w:pPr>
      <w:r w:rsidRPr="004E4188">
        <w:rPr>
          <w:iCs/>
          <w:spacing w:val="-6"/>
        </w:rPr>
        <w:t>AAO n</w:t>
      </w:r>
      <w:r w:rsidR="00854ABC" w:rsidRPr="004E4188">
        <w:rPr>
          <w:spacing w:val="-4"/>
          <w:vertAlign w:val="superscript"/>
          <w:lang w:eastAsia="ja-JP"/>
        </w:rPr>
        <w:t>o</w:t>
      </w:r>
      <w:r w:rsidRPr="004E4188">
        <w:rPr>
          <w:iCs/>
          <w:spacing w:val="-6"/>
        </w:rPr>
        <w:t> : [</w:t>
      </w:r>
      <w:r w:rsidRPr="004E4188">
        <w:rPr>
          <w:i/>
          <w:iCs/>
          <w:spacing w:val="-6"/>
        </w:rPr>
        <w:t>insérer le numéro de l’Avis d’appel d’offres</w:t>
      </w:r>
      <w:r w:rsidRPr="004E4188">
        <w:rPr>
          <w:iCs/>
          <w:spacing w:val="-6"/>
        </w:rPr>
        <w:t>]</w:t>
      </w:r>
    </w:p>
    <w:p w14:paraId="658A3E64" w14:textId="77777777" w:rsidR="006F129D" w:rsidRPr="004E4188" w:rsidRDefault="006F129D" w:rsidP="00D45EAD">
      <w:pPr>
        <w:rPr>
          <w:iCs/>
          <w:spacing w:val="-6"/>
        </w:rPr>
      </w:pPr>
      <w:r w:rsidRPr="004E4188">
        <w:rPr>
          <w:iCs/>
          <w:spacing w:val="-6"/>
        </w:rPr>
        <w:t>Maître d’ouvrage : [</w:t>
      </w:r>
      <w:r w:rsidRPr="004E4188">
        <w:rPr>
          <w:i/>
          <w:iCs/>
          <w:spacing w:val="-6"/>
        </w:rPr>
        <w:t>insérer le nom du Maître d’ouvrage</w:t>
      </w:r>
      <w:r w:rsidRPr="004E4188">
        <w:rPr>
          <w:iCs/>
          <w:spacing w:val="-6"/>
        </w:rPr>
        <w:t>]</w:t>
      </w:r>
    </w:p>
    <w:p w14:paraId="03886B88" w14:textId="77777777" w:rsidR="006F129D" w:rsidRPr="004E4188" w:rsidRDefault="006F129D" w:rsidP="00D45EAD">
      <w:pPr>
        <w:rPr>
          <w:iCs/>
          <w:spacing w:val="-6"/>
        </w:rPr>
      </w:pPr>
      <w:r w:rsidRPr="004E4188">
        <w:rPr>
          <w:iCs/>
          <w:spacing w:val="-6"/>
        </w:rPr>
        <w:t>Pays : [</w:t>
      </w:r>
      <w:r w:rsidRPr="004E4188">
        <w:rPr>
          <w:i/>
          <w:iCs/>
          <w:spacing w:val="-6"/>
        </w:rPr>
        <w:t>insérer le nom du pays du Maître d’ouvrage/de l’Emprunteur</w:t>
      </w:r>
      <w:r w:rsidRPr="004E4188">
        <w:rPr>
          <w:iCs/>
          <w:spacing w:val="-6"/>
        </w:rPr>
        <w:t>]</w:t>
      </w:r>
    </w:p>
    <w:p w14:paraId="2391F4C8" w14:textId="6C176282" w:rsidR="006F129D" w:rsidRPr="004E4188" w:rsidRDefault="006F129D" w:rsidP="00D45EAD">
      <w:pPr>
        <w:rPr>
          <w:iCs/>
          <w:spacing w:val="-6"/>
        </w:rPr>
      </w:pPr>
      <w:r w:rsidRPr="004E4188">
        <w:rPr>
          <w:iCs/>
          <w:spacing w:val="-6"/>
        </w:rPr>
        <w:t>Prêt de la JICA n</w:t>
      </w:r>
      <w:r w:rsidR="00854ABC" w:rsidRPr="004E4188">
        <w:rPr>
          <w:spacing w:val="-4"/>
          <w:vertAlign w:val="superscript"/>
          <w:lang w:eastAsia="ja-JP"/>
        </w:rPr>
        <w:t>o</w:t>
      </w:r>
      <w:r w:rsidRPr="004E4188">
        <w:rPr>
          <w:iCs/>
          <w:spacing w:val="-6"/>
        </w:rPr>
        <w:t> : [</w:t>
      </w:r>
      <w:r w:rsidRPr="004E4188">
        <w:rPr>
          <w:i/>
          <w:iCs/>
          <w:spacing w:val="-6"/>
        </w:rPr>
        <w:t>insére</w:t>
      </w:r>
      <w:r w:rsidRPr="004E4188">
        <w:rPr>
          <w:rFonts w:hint="eastAsia"/>
          <w:i/>
          <w:iCs/>
          <w:spacing w:val="-6"/>
        </w:rPr>
        <w:t>r</w:t>
      </w:r>
      <w:r w:rsidRPr="004E4188">
        <w:rPr>
          <w:i/>
          <w:iCs/>
          <w:spacing w:val="-6"/>
        </w:rPr>
        <w:t xml:space="preserve"> le numéro de l’Accord de </w:t>
      </w:r>
      <w:r w:rsidRPr="004E4188">
        <w:rPr>
          <w:rFonts w:hint="eastAsia"/>
          <w:i/>
          <w:iCs/>
          <w:spacing w:val="-6"/>
        </w:rPr>
        <w:t>P</w:t>
      </w:r>
      <w:r w:rsidRPr="004E4188">
        <w:rPr>
          <w:i/>
          <w:iCs/>
          <w:spacing w:val="-6"/>
        </w:rPr>
        <w:t>rêt de la JICA</w:t>
      </w:r>
      <w:r w:rsidRPr="004E4188">
        <w:rPr>
          <w:iCs/>
          <w:spacing w:val="-6"/>
        </w:rPr>
        <w:t>]</w:t>
      </w:r>
    </w:p>
    <w:p w14:paraId="31687539" w14:textId="77777777" w:rsidR="006F129D" w:rsidRPr="004E4188" w:rsidRDefault="006F129D" w:rsidP="00D45EAD">
      <w:pPr>
        <w:rPr>
          <w:iCs/>
          <w:spacing w:val="-6"/>
        </w:rPr>
      </w:pPr>
      <w:r w:rsidRPr="004E4188">
        <w:rPr>
          <w:iCs/>
          <w:spacing w:val="-6"/>
        </w:rPr>
        <w:t>Nom de projet : [</w:t>
      </w:r>
      <w:r w:rsidRPr="004E4188">
        <w:rPr>
          <w:i/>
          <w:iCs/>
          <w:spacing w:val="-6"/>
        </w:rPr>
        <w:t>insérer le nom du projet</w:t>
      </w:r>
      <w:r w:rsidRPr="004E4188">
        <w:rPr>
          <w:iCs/>
          <w:spacing w:val="-6"/>
        </w:rPr>
        <w:t>]</w:t>
      </w:r>
    </w:p>
    <w:p w14:paraId="0F65DA03" w14:textId="77777777" w:rsidR="006F129D" w:rsidRPr="004E4188" w:rsidRDefault="006F129D" w:rsidP="00D45EAD">
      <w:pPr>
        <w:rPr>
          <w:iCs/>
          <w:spacing w:val="-6"/>
        </w:rPr>
      </w:pPr>
      <w:r w:rsidRPr="004E4188">
        <w:rPr>
          <w:rFonts w:hint="eastAsia"/>
          <w:iCs/>
          <w:spacing w:val="-6"/>
        </w:rPr>
        <w:t>Marché</w:t>
      </w:r>
      <w:r w:rsidRPr="004E4188">
        <w:rPr>
          <w:iCs/>
          <w:spacing w:val="-6"/>
        </w:rPr>
        <w:t> </w:t>
      </w:r>
      <w:r w:rsidRPr="004E4188">
        <w:rPr>
          <w:rFonts w:hint="eastAsia"/>
          <w:iCs/>
          <w:spacing w:val="-6"/>
        </w:rPr>
        <w:t>:</w:t>
      </w:r>
      <w:r w:rsidRPr="004E4188">
        <w:rPr>
          <w:iCs/>
          <w:spacing w:val="-6"/>
        </w:rPr>
        <w:t xml:space="preserve"> [</w:t>
      </w:r>
      <w:r w:rsidRPr="004E4188">
        <w:rPr>
          <w:i/>
          <w:iCs/>
          <w:spacing w:val="-6"/>
        </w:rPr>
        <w:t>insérer le nom du Marché</w:t>
      </w:r>
      <w:r w:rsidRPr="004E4188">
        <w:rPr>
          <w:iCs/>
          <w:spacing w:val="-6"/>
        </w:rPr>
        <w:t>]</w:t>
      </w:r>
    </w:p>
    <w:p w14:paraId="51695172" w14:textId="77777777" w:rsidR="006F129D" w:rsidRPr="004E4188" w:rsidRDefault="006F129D" w:rsidP="00D45EAD">
      <w:pPr>
        <w:rPr>
          <w:iCs/>
          <w:spacing w:val="-6"/>
        </w:rPr>
      </w:pPr>
    </w:p>
    <w:tbl>
      <w:tblPr>
        <w:tblW w:w="0" w:type="auto"/>
        <w:tblBorders>
          <w:insideH w:val="single" w:sz="4" w:space="0" w:color="auto"/>
        </w:tblBorders>
        <w:tblLook w:val="01E0" w:firstRow="1" w:lastRow="1" w:firstColumn="1" w:lastColumn="1" w:noHBand="0" w:noVBand="0"/>
      </w:tblPr>
      <w:tblGrid>
        <w:gridCol w:w="567"/>
        <w:gridCol w:w="8436"/>
      </w:tblGrid>
      <w:tr w:rsidR="006F129D" w:rsidRPr="004E4188" w14:paraId="4C9E7B2B" w14:textId="77777777" w:rsidTr="0058317B">
        <w:tc>
          <w:tcPr>
            <w:tcW w:w="567" w:type="dxa"/>
            <w:tcBorders>
              <w:top w:val="nil"/>
              <w:bottom w:val="nil"/>
            </w:tcBorders>
            <w:shd w:val="clear" w:color="auto" w:fill="auto"/>
          </w:tcPr>
          <w:p w14:paraId="506670A2" w14:textId="77777777" w:rsidR="006F129D" w:rsidRPr="004E4188" w:rsidRDefault="006F129D" w:rsidP="000B6ED8">
            <w:pPr>
              <w:rPr>
                <w:lang w:eastAsia="ja-JP"/>
              </w:rPr>
            </w:pPr>
            <w:r w:rsidRPr="004E4188">
              <w:rPr>
                <w:lang w:eastAsia="ja-JP"/>
              </w:rPr>
              <w:t>1.</w:t>
            </w:r>
          </w:p>
        </w:tc>
        <w:tc>
          <w:tcPr>
            <w:tcW w:w="8436" w:type="dxa"/>
            <w:tcBorders>
              <w:top w:val="nil"/>
              <w:bottom w:val="nil"/>
            </w:tcBorders>
            <w:shd w:val="clear" w:color="auto" w:fill="auto"/>
          </w:tcPr>
          <w:p w14:paraId="04FBD81D" w14:textId="4ADDF5BA" w:rsidR="006F129D" w:rsidRPr="004E4188" w:rsidRDefault="006F129D" w:rsidP="00D45EAD">
            <w:pPr>
              <w:spacing w:afterLines="100" w:after="240"/>
              <w:rPr>
                <w:vertAlign w:val="superscript"/>
                <w:lang w:eastAsia="ja-JP"/>
              </w:rPr>
            </w:pPr>
            <w:r w:rsidRPr="004E4188">
              <w:rPr>
                <w:iCs/>
              </w:rPr>
              <w:t>[</w:t>
            </w:r>
            <w:r w:rsidRPr="004E4188">
              <w:rPr>
                <w:i/>
                <w:iCs/>
              </w:rPr>
              <w:t>Indiquer le nom de l’Emprunteur</w:t>
            </w:r>
            <w:r w:rsidRPr="004E4188">
              <w:rPr>
                <w:iCs/>
              </w:rPr>
              <w:t>]</w:t>
            </w:r>
            <w:r w:rsidRPr="004E4188" w:rsidDel="00B2701E">
              <w:rPr>
                <w:iCs/>
              </w:rPr>
              <w:t xml:space="preserve"> </w:t>
            </w:r>
            <w:r w:rsidRPr="004E4188">
              <w:rPr>
                <w:iCs/>
              </w:rPr>
              <w:t>a reçu</w:t>
            </w:r>
            <w:r w:rsidRPr="004E4188">
              <w:rPr>
                <w:iCs/>
                <w:vertAlign w:val="superscript"/>
              </w:rPr>
              <w:t>1</w:t>
            </w:r>
            <w:r w:rsidRPr="004E4188">
              <w:rPr>
                <w:i/>
                <w:iCs/>
              </w:rPr>
              <w:t xml:space="preserve"> </w:t>
            </w:r>
            <w:r w:rsidRPr="004E4188">
              <w:t xml:space="preserve">un Prêt de l’Agence Japonaise de Coopération Internationale (« la JICA ») afin de financer </w:t>
            </w:r>
            <w:r w:rsidRPr="004E4188">
              <w:rPr>
                <w:iCs/>
              </w:rPr>
              <w:t>[</w:t>
            </w:r>
            <w:r w:rsidRPr="004E4188">
              <w:rPr>
                <w:i/>
                <w:iCs/>
              </w:rPr>
              <w:t>indiquer le nom du projet</w:t>
            </w:r>
            <w:r w:rsidRPr="004E4188">
              <w:rPr>
                <w:iCs/>
              </w:rPr>
              <w:t>]</w:t>
            </w:r>
            <w:r w:rsidRPr="004E4188">
              <w:t xml:space="preserve"> </w:t>
            </w:r>
            <w:r w:rsidRPr="004E4188">
              <w:rPr>
                <w:i/>
                <w:iCs/>
                <w:lang w:eastAsia="ja-JP"/>
              </w:rPr>
              <w:t>et à l’intention d’utiliser</w:t>
            </w:r>
            <w:r w:rsidRPr="004E4188">
              <w:rPr>
                <w:iCs/>
                <w:lang w:eastAsia="ja-JP"/>
              </w:rPr>
              <w:t xml:space="preserve"> une partie des fonds pour effectuer les paiements autorisés au titre du Marché</w:t>
            </w:r>
            <w:r w:rsidRPr="004E4188">
              <w:rPr>
                <w:iCs/>
                <w:vertAlign w:val="superscript"/>
                <w:lang w:eastAsia="ja-JP"/>
              </w:rPr>
              <w:t>2</w:t>
            </w:r>
            <w:r w:rsidRPr="004E4188">
              <w:rPr>
                <w:iCs/>
                <w:lang w:eastAsia="ja-JP"/>
              </w:rPr>
              <w:t xml:space="preserve"> de</w:t>
            </w:r>
            <w:r w:rsidRPr="004E4188">
              <w:t xml:space="preserve"> </w:t>
            </w:r>
            <w:r w:rsidRPr="004E4188">
              <w:rPr>
                <w:iCs/>
              </w:rPr>
              <w:t>[</w:t>
            </w:r>
            <w:r w:rsidRPr="004E4188">
              <w:rPr>
                <w:i/>
                <w:iCs/>
              </w:rPr>
              <w:t>indiquer le nom du Marché</w:t>
            </w:r>
            <w:r w:rsidRPr="004E4188">
              <w:rPr>
                <w:iCs/>
              </w:rPr>
              <w:t>]</w:t>
            </w:r>
            <w:r w:rsidRPr="004E4188">
              <w:rPr>
                <w:iCs/>
                <w:lang w:eastAsia="ja-JP"/>
              </w:rPr>
              <w:t>.</w:t>
            </w:r>
          </w:p>
        </w:tc>
      </w:tr>
      <w:tr w:rsidR="006F129D" w:rsidRPr="004E4188" w14:paraId="19B42FCF" w14:textId="77777777" w:rsidTr="0058317B">
        <w:tc>
          <w:tcPr>
            <w:tcW w:w="567" w:type="dxa"/>
            <w:tcBorders>
              <w:top w:val="nil"/>
              <w:bottom w:val="nil"/>
            </w:tcBorders>
            <w:shd w:val="clear" w:color="auto" w:fill="auto"/>
          </w:tcPr>
          <w:p w14:paraId="76E80805" w14:textId="77777777" w:rsidR="006F129D" w:rsidRPr="004E4188" w:rsidRDefault="006F129D" w:rsidP="000B6ED8">
            <w:pPr>
              <w:rPr>
                <w:lang w:eastAsia="ja-JP"/>
              </w:rPr>
            </w:pPr>
            <w:r w:rsidRPr="004E4188">
              <w:rPr>
                <w:rFonts w:hint="eastAsia"/>
                <w:lang w:eastAsia="ja-JP"/>
              </w:rPr>
              <w:t>2</w:t>
            </w:r>
            <w:r w:rsidRPr="004E4188">
              <w:rPr>
                <w:lang w:eastAsia="ja-JP"/>
              </w:rPr>
              <w:t>.</w:t>
            </w:r>
          </w:p>
        </w:tc>
        <w:tc>
          <w:tcPr>
            <w:tcW w:w="8436" w:type="dxa"/>
            <w:tcBorders>
              <w:top w:val="nil"/>
              <w:bottom w:val="nil"/>
            </w:tcBorders>
            <w:shd w:val="clear" w:color="auto" w:fill="auto"/>
          </w:tcPr>
          <w:p w14:paraId="3E889B22" w14:textId="77BD4635" w:rsidR="006F129D" w:rsidRPr="004E4188" w:rsidRDefault="006F129D" w:rsidP="00D45EAD">
            <w:pPr>
              <w:spacing w:afterLines="100" w:after="240"/>
              <w:rPr>
                <w:iCs/>
              </w:rPr>
            </w:pPr>
            <w:r w:rsidRPr="004E4188">
              <w:rPr>
                <w:iCs/>
              </w:rPr>
              <w:t>[</w:t>
            </w:r>
            <w:r w:rsidRPr="004E4188">
              <w:rPr>
                <w:i/>
                <w:iCs/>
              </w:rPr>
              <w:t>Indiquer le nom du Maître d’ouvrage</w:t>
            </w:r>
            <w:r w:rsidRPr="004E4188">
              <w:rPr>
                <w:iCs/>
              </w:rPr>
              <w:t>]</w:t>
            </w:r>
            <w:r w:rsidRPr="004E4188">
              <w:rPr>
                <w:iCs/>
                <w:lang w:eastAsia="ja-JP"/>
              </w:rPr>
              <w:t xml:space="preserve"> </w:t>
            </w:r>
            <w:r w:rsidRPr="004E4188">
              <w:rPr>
                <w:spacing w:val="-3"/>
              </w:rPr>
              <w:t>invite, par le présent Avis d’appel d’offres, les Soumissionnaires préqualifiés éligibles à présenter leurs offres sous pli fermé, pour la conception et la réalisation de [</w:t>
            </w:r>
            <w:r w:rsidRPr="004E4188">
              <w:rPr>
                <w:i/>
                <w:iCs/>
              </w:rPr>
              <w:t>donne</w:t>
            </w:r>
            <w:r w:rsidRPr="004E4188">
              <w:rPr>
                <w:i/>
                <w:iCs/>
                <w:lang w:eastAsia="ja-JP"/>
              </w:rPr>
              <w:t>r</w:t>
            </w:r>
            <w:r w:rsidRPr="004E4188">
              <w:rPr>
                <w:i/>
                <w:iCs/>
              </w:rPr>
              <w:t xml:space="preserve"> une</w:t>
            </w:r>
            <w:r w:rsidRPr="004E4188">
              <w:rPr>
                <w:i/>
                <w:spacing w:val="-3"/>
              </w:rPr>
              <w:t xml:space="preserve"> description succincte des Équipements et Services de montage faisant l’objet de l’appel d’offres</w:t>
            </w:r>
            <w:r w:rsidRPr="004E4188">
              <w:rPr>
                <w:spacing w:val="-3"/>
              </w:rPr>
              <w:t>]</w:t>
            </w:r>
            <w:r w:rsidRPr="004E4188">
              <w:rPr>
                <w:spacing w:val="-3"/>
                <w:vertAlign w:val="superscript"/>
              </w:rPr>
              <w:t>3</w:t>
            </w:r>
            <w:r w:rsidRPr="004E4188">
              <w:rPr>
                <w:spacing w:val="-3"/>
              </w:rPr>
              <w:t xml:space="preserve"> (« les Installations »). Cet appel d’offres international sera mené conformément à la procédure de passation de marchés [</w:t>
            </w:r>
            <w:r w:rsidRPr="004E4188">
              <w:rPr>
                <w:i/>
                <w:spacing w:val="-3"/>
              </w:rPr>
              <w:t>choisir « à une étape-deux enveloppes » ou « à deux étapes</w:t>
            </w:r>
            <w:r w:rsidRPr="004E4188">
              <w:rPr>
                <w:rFonts w:hint="eastAsia"/>
                <w:i/>
                <w:noProof/>
                <w:lang w:eastAsia="ja-JP"/>
              </w:rPr>
              <w:t>-</w:t>
            </w:r>
            <w:r w:rsidRPr="004E4188">
              <w:rPr>
                <w:i/>
                <w:noProof/>
                <w:lang w:eastAsia="ja-JP"/>
              </w:rPr>
              <w:t>une enveloppe</w:t>
            </w:r>
            <w:r w:rsidRPr="004E4188">
              <w:rPr>
                <w:i/>
                <w:spacing w:val="-3"/>
              </w:rPr>
              <w:t> », selon le cas</w:t>
            </w:r>
            <w:r w:rsidRPr="004E4188">
              <w:rPr>
                <w:spacing w:val="-3"/>
              </w:rPr>
              <w:t>].</w:t>
            </w:r>
          </w:p>
        </w:tc>
      </w:tr>
      <w:tr w:rsidR="006F129D" w:rsidRPr="004E4188" w14:paraId="33DB1A84" w14:textId="77777777" w:rsidTr="0058317B">
        <w:tc>
          <w:tcPr>
            <w:tcW w:w="567" w:type="dxa"/>
            <w:tcBorders>
              <w:top w:val="nil"/>
              <w:bottom w:val="nil"/>
            </w:tcBorders>
            <w:shd w:val="clear" w:color="auto" w:fill="auto"/>
          </w:tcPr>
          <w:p w14:paraId="309AE47A" w14:textId="333B54AB" w:rsidR="006F129D" w:rsidRPr="004E4188" w:rsidRDefault="006F129D" w:rsidP="000B6ED8">
            <w:pPr>
              <w:rPr>
                <w:lang w:eastAsia="ja-JP"/>
              </w:rPr>
            </w:pPr>
            <w:r w:rsidRPr="004E4188">
              <w:rPr>
                <w:lang w:eastAsia="ja-JP"/>
              </w:rPr>
              <w:t>3.</w:t>
            </w:r>
          </w:p>
        </w:tc>
        <w:tc>
          <w:tcPr>
            <w:tcW w:w="8436" w:type="dxa"/>
            <w:tcBorders>
              <w:top w:val="nil"/>
              <w:bottom w:val="nil"/>
            </w:tcBorders>
            <w:shd w:val="clear" w:color="auto" w:fill="auto"/>
          </w:tcPr>
          <w:p w14:paraId="413BF2B6" w14:textId="5E9E305A" w:rsidR="006F129D" w:rsidRPr="004E4188" w:rsidRDefault="006F129D" w:rsidP="00583323">
            <w:pPr>
              <w:spacing w:afterLines="100" w:after="240"/>
              <w:rPr>
                <w:iCs/>
              </w:rPr>
            </w:pPr>
            <w:r w:rsidRPr="004E4188">
              <w:t>L’appel d’offres sera mené selon les procédures spécifiées dans les Directives applicables pour les passations de marchés sous financement par Prêts APD du Japon, et il est ouvert à tous les Soumissionnaires préqualifiés des pays d’origine éligibles, tels que définis dans le Dossier de préqualification et le Dossier d’appel d’offres.</w:t>
            </w:r>
          </w:p>
        </w:tc>
      </w:tr>
      <w:tr w:rsidR="006F129D" w:rsidRPr="004E4188" w14:paraId="2BBE5DB1" w14:textId="77777777" w:rsidTr="0058317B">
        <w:tc>
          <w:tcPr>
            <w:tcW w:w="567" w:type="dxa"/>
            <w:tcBorders>
              <w:top w:val="nil"/>
              <w:bottom w:val="nil"/>
            </w:tcBorders>
            <w:shd w:val="clear" w:color="auto" w:fill="auto"/>
          </w:tcPr>
          <w:p w14:paraId="0128AF03" w14:textId="77777777" w:rsidR="006F129D" w:rsidRPr="004E4188" w:rsidRDefault="006F129D" w:rsidP="000B6ED8">
            <w:pPr>
              <w:rPr>
                <w:lang w:eastAsia="ja-JP"/>
              </w:rPr>
            </w:pPr>
            <w:r w:rsidRPr="004E4188">
              <w:rPr>
                <w:lang w:eastAsia="ja-JP"/>
              </w:rPr>
              <w:t>4.</w:t>
            </w:r>
          </w:p>
        </w:tc>
        <w:tc>
          <w:tcPr>
            <w:tcW w:w="8436" w:type="dxa"/>
            <w:tcBorders>
              <w:top w:val="nil"/>
              <w:bottom w:val="nil"/>
            </w:tcBorders>
            <w:shd w:val="clear" w:color="auto" w:fill="auto"/>
          </w:tcPr>
          <w:p w14:paraId="10CEAEEE" w14:textId="41287B49" w:rsidR="006F129D" w:rsidRPr="004E4188" w:rsidRDefault="006F129D" w:rsidP="00D45EAD">
            <w:pPr>
              <w:tabs>
                <w:tab w:val="left" w:pos="-720"/>
                <w:tab w:val="left" w:pos="426"/>
              </w:tabs>
              <w:overflowPunct/>
              <w:autoSpaceDE/>
              <w:autoSpaceDN/>
              <w:adjustRightInd/>
              <w:textAlignment w:val="auto"/>
              <w:rPr>
                <w:spacing w:val="-3"/>
                <w:szCs w:val="24"/>
              </w:rPr>
            </w:pPr>
            <w:r w:rsidRPr="004E4188">
              <w:t>Les Soumissionnaires</w:t>
            </w:r>
            <w:r w:rsidRPr="004E4188">
              <w:rPr>
                <w:spacing w:val="-3"/>
              </w:rPr>
              <w:t xml:space="preserve"> préqualifiés intéressés peuvent obtenir des informations supplémentaires et consulter le Dossier d’appel d’offres durant les heures ouvrables à l’adresse suivante </w:t>
            </w:r>
            <w:r w:rsidRPr="004E4188">
              <w:rPr>
                <w:spacing w:val="-3"/>
                <w:szCs w:val="24"/>
              </w:rPr>
              <w:t>:</w:t>
            </w:r>
          </w:p>
          <w:p w14:paraId="6419AAB5" w14:textId="77777777" w:rsidR="006F129D" w:rsidRPr="004E4188" w:rsidRDefault="006F129D" w:rsidP="00D45EAD">
            <w:pPr>
              <w:pStyle w:val="Style11"/>
              <w:spacing w:line="240" w:lineRule="auto"/>
              <w:rPr>
                <w:i/>
                <w:iCs/>
                <w:spacing w:val="-6"/>
                <w:lang w:val="fr-FR"/>
              </w:rPr>
            </w:pPr>
            <w:r w:rsidRPr="004E4188">
              <w:rPr>
                <w:iCs/>
                <w:spacing w:val="-6"/>
                <w:lang w:val="fr-FR"/>
              </w:rPr>
              <w:t>[</w:t>
            </w:r>
            <w:r w:rsidRPr="004E4188">
              <w:rPr>
                <w:i/>
                <w:iCs/>
                <w:spacing w:val="-6"/>
                <w:lang w:val="fr-FR"/>
              </w:rPr>
              <w:t>indiquer le nom du bureau</w:t>
            </w:r>
            <w:r w:rsidRPr="004E4188">
              <w:rPr>
                <w:iCs/>
                <w:spacing w:val="-6"/>
                <w:lang w:val="fr-FR"/>
              </w:rPr>
              <w:t>]</w:t>
            </w:r>
          </w:p>
          <w:p w14:paraId="47B6CF0E" w14:textId="3067EF0B" w:rsidR="006F129D" w:rsidRPr="004E4188" w:rsidRDefault="006F129D" w:rsidP="00D45EAD">
            <w:pPr>
              <w:tabs>
                <w:tab w:val="num" w:pos="34"/>
              </w:tabs>
              <w:rPr>
                <w:spacing w:val="-3"/>
              </w:rPr>
            </w:pPr>
            <w:r w:rsidRPr="004E4188">
              <w:rPr>
                <w:spacing w:val="-3"/>
              </w:rPr>
              <w:t>[</w:t>
            </w:r>
            <w:r w:rsidRPr="004E4188">
              <w:rPr>
                <w:i/>
                <w:spacing w:val="-3"/>
              </w:rPr>
              <w:t>indiquer le nom d</w:t>
            </w:r>
            <w:r w:rsidRPr="004E4188">
              <w:rPr>
                <w:i/>
                <w:iCs/>
                <w:spacing w:val="-6"/>
              </w:rPr>
              <w:t>e la personne responsable</w:t>
            </w:r>
            <w:r w:rsidRPr="004E4188">
              <w:rPr>
                <w:spacing w:val="-3"/>
              </w:rPr>
              <w:t>]</w:t>
            </w:r>
          </w:p>
          <w:p w14:paraId="4B322E51" w14:textId="77777777" w:rsidR="006F129D" w:rsidRPr="004E4188" w:rsidRDefault="006F129D" w:rsidP="00D45EAD">
            <w:pPr>
              <w:tabs>
                <w:tab w:val="num" w:pos="34"/>
              </w:tabs>
              <w:rPr>
                <w:iCs/>
                <w:spacing w:val="-6"/>
              </w:rPr>
            </w:pPr>
            <w:r w:rsidRPr="004E4188">
              <w:rPr>
                <w:spacing w:val="-3"/>
              </w:rPr>
              <w:t>[</w:t>
            </w:r>
            <w:r w:rsidRPr="004E4188">
              <w:rPr>
                <w:i/>
                <w:spacing w:val="-3"/>
              </w:rPr>
              <w:t>indiquer l’adresse postale</w:t>
            </w:r>
            <w:r w:rsidRPr="004E4188">
              <w:rPr>
                <w:iCs/>
                <w:spacing w:val="-6"/>
              </w:rPr>
              <w:t>]</w:t>
            </w:r>
          </w:p>
          <w:p w14:paraId="5F27B849" w14:textId="77777777" w:rsidR="006F129D" w:rsidRPr="004E4188" w:rsidRDefault="006F129D" w:rsidP="00D45EAD">
            <w:pPr>
              <w:tabs>
                <w:tab w:val="num" w:pos="34"/>
              </w:tabs>
              <w:rPr>
                <w:iCs/>
                <w:spacing w:val="-6"/>
              </w:rPr>
            </w:pPr>
            <w:r w:rsidRPr="004E4188">
              <w:rPr>
                <w:iCs/>
                <w:spacing w:val="-6"/>
              </w:rPr>
              <w:t>[</w:t>
            </w:r>
            <w:r w:rsidRPr="004E4188">
              <w:rPr>
                <w:i/>
                <w:iCs/>
                <w:spacing w:val="-6"/>
              </w:rPr>
              <w:t>indiquer les heures ouvrables</w:t>
            </w:r>
            <w:r w:rsidRPr="004E4188">
              <w:rPr>
                <w:iCs/>
                <w:spacing w:val="-6"/>
              </w:rPr>
              <w:t>]</w:t>
            </w:r>
          </w:p>
          <w:p w14:paraId="11D5A0B7" w14:textId="77777777" w:rsidR="006F129D" w:rsidRPr="004E4188" w:rsidRDefault="006F129D" w:rsidP="00D45EAD">
            <w:pPr>
              <w:pStyle w:val="Style11"/>
              <w:spacing w:line="240" w:lineRule="auto"/>
              <w:rPr>
                <w:iCs/>
                <w:spacing w:val="-6"/>
                <w:lang w:val="fr-FR"/>
              </w:rPr>
            </w:pPr>
            <w:r w:rsidRPr="004E4188">
              <w:rPr>
                <w:iCs/>
                <w:spacing w:val="-6"/>
                <w:lang w:val="fr-FR"/>
              </w:rPr>
              <w:t>[</w:t>
            </w:r>
            <w:r w:rsidRPr="004E4188">
              <w:rPr>
                <w:i/>
                <w:iCs/>
                <w:spacing w:val="-6"/>
                <w:lang w:val="fr-FR"/>
              </w:rPr>
              <w:t>indiquer le numéro de téléphone ainsi que les codes pays/ville</w:t>
            </w:r>
            <w:r w:rsidRPr="004E4188">
              <w:rPr>
                <w:iCs/>
                <w:spacing w:val="-6"/>
                <w:lang w:val="fr-FR"/>
              </w:rPr>
              <w:t>]</w:t>
            </w:r>
          </w:p>
          <w:p w14:paraId="4B8337F0" w14:textId="77777777" w:rsidR="006F129D" w:rsidRPr="004E4188" w:rsidRDefault="006F129D" w:rsidP="00D45EAD">
            <w:pPr>
              <w:pStyle w:val="Style11"/>
              <w:spacing w:line="240" w:lineRule="auto"/>
              <w:rPr>
                <w:i/>
                <w:iCs/>
                <w:spacing w:val="-6"/>
                <w:lang w:val="fr-FR"/>
              </w:rPr>
            </w:pPr>
            <w:r w:rsidRPr="004E4188">
              <w:rPr>
                <w:iCs/>
                <w:spacing w:val="-6"/>
                <w:lang w:val="fr-FR"/>
              </w:rPr>
              <w:t>[</w:t>
            </w:r>
            <w:r w:rsidRPr="004E4188">
              <w:rPr>
                <w:i/>
                <w:iCs/>
                <w:spacing w:val="-6"/>
                <w:lang w:val="fr-FR"/>
              </w:rPr>
              <w:t>indiquer le numéro de fax ainsi que les codes pays/ville</w:t>
            </w:r>
            <w:r w:rsidRPr="004E4188">
              <w:rPr>
                <w:iCs/>
                <w:spacing w:val="-6"/>
                <w:lang w:val="fr-FR"/>
              </w:rPr>
              <w:t>]</w:t>
            </w:r>
            <w:r w:rsidRPr="004E4188">
              <w:rPr>
                <w:i/>
                <w:iCs/>
                <w:spacing w:val="-6"/>
                <w:lang w:val="fr-FR"/>
              </w:rPr>
              <w:t xml:space="preserve"> </w:t>
            </w:r>
          </w:p>
          <w:p w14:paraId="0405D985" w14:textId="77777777" w:rsidR="006F129D" w:rsidRPr="004E4188" w:rsidRDefault="006F129D" w:rsidP="00D45EAD">
            <w:pPr>
              <w:rPr>
                <w:iCs/>
                <w:spacing w:val="-6"/>
              </w:rPr>
            </w:pPr>
            <w:r w:rsidRPr="004E4188">
              <w:rPr>
                <w:iCs/>
                <w:spacing w:val="-6"/>
              </w:rPr>
              <w:t>[</w:t>
            </w:r>
            <w:r w:rsidRPr="004E4188">
              <w:rPr>
                <w:i/>
                <w:iCs/>
                <w:spacing w:val="-6"/>
              </w:rPr>
              <w:t>indiquer l’adresse e-mail</w:t>
            </w:r>
            <w:r w:rsidRPr="004E4188">
              <w:rPr>
                <w:iCs/>
                <w:spacing w:val="-6"/>
              </w:rPr>
              <w:t>]</w:t>
            </w:r>
            <w:r w:rsidRPr="004E4188" w:rsidDel="00A41B9C">
              <w:rPr>
                <w:iCs/>
                <w:spacing w:val="-6"/>
              </w:rPr>
              <w:t xml:space="preserve"> </w:t>
            </w:r>
          </w:p>
          <w:p w14:paraId="6F7662EF" w14:textId="521D8770" w:rsidR="006F129D" w:rsidRPr="004E4188" w:rsidRDefault="006F129D" w:rsidP="00D45EAD">
            <w:pPr>
              <w:rPr>
                <w:i/>
                <w:spacing w:val="-3"/>
              </w:rPr>
            </w:pPr>
          </w:p>
        </w:tc>
      </w:tr>
      <w:tr w:rsidR="006F129D" w:rsidRPr="004E4188" w14:paraId="227E708A" w14:textId="77777777" w:rsidTr="0058317B">
        <w:tc>
          <w:tcPr>
            <w:tcW w:w="567" w:type="dxa"/>
            <w:tcBorders>
              <w:top w:val="nil"/>
              <w:bottom w:val="nil"/>
            </w:tcBorders>
            <w:shd w:val="clear" w:color="auto" w:fill="auto"/>
          </w:tcPr>
          <w:p w14:paraId="411D144F" w14:textId="77777777" w:rsidR="006F129D" w:rsidRPr="004E4188" w:rsidRDefault="006F129D" w:rsidP="000B6ED8">
            <w:pPr>
              <w:rPr>
                <w:lang w:eastAsia="ja-JP"/>
              </w:rPr>
            </w:pPr>
            <w:r w:rsidRPr="004E4188">
              <w:rPr>
                <w:lang w:eastAsia="ja-JP"/>
              </w:rPr>
              <w:t>5.</w:t>
            </w:r>
          </w:p>
        </w:tc>
        <w:tc>
          <w:tcPr>
            <w:tcW w:w="8436" w:type="dxa"/>
            <w:tcBorders>
              <w:top w:val="nil"/>
              <w:bottom w:val="nil"/>
            </w:tcBorders>
            <w:shd w:val="clear" w:color="auto" w:fill="auto"/>
          </w:tcPr>
          <w:p w14:paraId="13A0FFB5" w14:textId="55973B7C" w:rsidR="006F129D" w:rsidRPr="004E4188" w:rsidRDefault="006F129D" w:rsidP="00D45EAD">
            <w:pPr>
              <w:tabs>
                <w:tab w:val="num" w:pos="34"/>
              </w:tabs>
              <w:spacing w:afterLines="100" w:after="240"/>
              <w:rPr>
                <w:szCs w:val="24"/>
              </w:rPr>
            </w:pPr>
            <w:r w:rsidRPr="004E4188">
              <w:rPr>
                <w:szCs w:val="24"/>
              </w:rPr>
              <w:t xml:space="preserve">Les </w:t>
            </w:r>
            <w:r w:rsidRPr="004E4188">
              <w:t>Soumissionnaires</w:t>
            </w:r>
            <w:r w:rsidRPr="004E4188">
              <w:rPr>
                <w:spacing w:val="-3"/>
              </w:rPr>
              <w:t xml:space="preserve"> préqualifiés </w:t>
            </w:r>
            <w:r w:rsidRPr="004E4188">
              <w:t>intéressés</w:t>
            </w:r>
            <w:r w:rsidRPr="004E4188">
              <w:rPr>
                <w:spacing w:val="-3"/>
              </w:rPr>
              <w:t xml:space="preserve"> </w:t>
            </w:r>
            <w:r w:rsidRPr="004E4188">
              <w:t>peuvent obtenir le</w:t>
            </w:r>
            <w:r w:rsidRPr="004E4188">
              <w:rPr>
                <w:szCs w:val="24"/>
              </w:rPr>
              <w:t xml:space="preserve"> Dossier d’appel d’offres </w:t>
            </w:r>
            <w:r w:rsidRPr="004E4188">
              <w:t>sur soumission d’une demande écrite à l’adresse ci-dessus et moyennant paiement des frais non remboursables</w:t>
            </w:r>
            <w:r w:rsidRPr="004E4188">
              <w:rPr>
                <w:vertAlign w:val="superscript"/>
                <w:lang w:eastAsia="ja-JP"/>
              </w:rPr>
              <w:t xml:space="preserve"> </w:t>
            </w:r>
            <w:r w:rsidRPr="004E4188">
              <w:t xml:space="preserve">suivants : </w:t>
            </w:r>
            <w:r w:rsidRPr="004E4188">
              <w:rPr>
                <w:iCs/>
              </w:rPr>
              <w:t>[</w:t>
            </w:r>
            <w:r w:rsidRPr="004E4188">
              <w:rPr>
                <w:i/>
                <w:iCs/>
              </w:rPr>
              <w:t>indiquer un montant dans la monnaie du pays du Maître d’ouvrage ou dans une devise convertible</w:t>
            </w:r>
            <w:r w:rsidRPr="004E4188">
              <w:rPr>
                <w:iCs/>
              </w:rPr>
              <w:t>]</w:t>
            </w:r>
            <w:r w:rsidRPr="004E4188">
              <w:rPr>
                <w:iCs/>
                <w:vertAlign w:val="superscript"/>
              </w:rPr>
              <w:t>4</w:t>
            </w:r>
            <w:r w:rsidRPr="004E4188">
              <w:rPr>
                <w:iCs/>
              </w:rPr>
              <w:t>.</w:t>
            </w:r>
            <w:r w:rsidRPr="004E4188">
              <w:t xml:space="preserve"> </w:t>
            </w:r>
            <w:r w:rsidRPr="004E4188">
              <w:rPr>
                <w:iCs/>
              </w:rPr>
              <w:t>La méthode de paiement sera [</w:t>
            </w:r>
            <w:r w:rsidRPr="004E4188">
              <w:rPr>
                <w:i/>
                <w:iCs/>
              </w:rPr>
              <w:t>indiquer la forme de paiement</w:t>
            </w:r>
            <w:r w:rsidRPr="004E4188">
              <w:rPr>
                <w:iCs/>
              </w:rPr>
              <w:t>]</w:t>
            </w:r>
            <w:r w:rsidRPr="004E4188">
              <w:rPr>
                <w:iCs/>
                <w:vertAlign w:val="superscript"/>
              </w:rPr>
              <w:t>5</w:t>
            </w:r>
            <w:r w:rsidRPr="004E4188">
              <w:rPr>
                <w:iCs/>
              </w:rPr>
              <w:t>. Le Dossier d’appel d’offres sera adressé par [</w:t>
            </w:r>
            <w:r w:rsidRPr="004E4188">
              <w:rPr>
                <w:i/>
                <w:iCs/>
              </w:rPr>
              <w:t>indiquer le mode d’acheminement</w:t>
            </w:r>
            <w:r w:rsidRPr="004E4188">
              <w:rPr>
                <w:iCs/>
              </w:rPr>
              <w:t>].</w:t>
            </w:r>
          </w:p>
        </w:tc>
      </w:tr>
      <w:tr w:rsidR="006F129D" w:rsidRPr="004E4188" w14:paraId="0AFCD359" w14:textId="77777777" w:rsidTr="0058317B">
        <w:tc>
          <w:tcPr>
            <w:tcW w:w="567" w:type="dxa"/>
            <w:tcBorders>
              <w:top w:val="nil"/>
              <w:bottom w:val="nil"/>
            </w:tcBorders>
            <w:shd w:val="clear" w:color="auto" w:fill="auto"/>
          </w:tcPr>
          <w:p w14:paraId="67B010EF" w14:textId="77777777" w:rsidR="006F129D" w:rsidRPr="004E4188" w:rsidRDefault="006F129D" w:rsidP="000B6ED8">
            <w:pPr>
              <w:rPr>
                <w:lang w:eastAsia="ja-JP"/>
              </w:rPr>
            </w:pPr>
            <w:r w:rsidRPr="004E4188">
              <w:rPr>
                <w:lang w:eastAsia="ja-JP"/>
              </w:rPr>
              <w:t>6.</w:t>
            </w:r>
          </w:p>
        </w:tc>
        <w:tc>
          <w:tcPr>
            <w:tcW w:w="8436" w:type="dxa"/>
            <w:tcBorders>
              <w:top w:val="nil"/>
              <w:bottom w:val="nil"/>
            </w:tcBorders>
            <w:shd w:val="clear" w:color="auto" w:fill="auto"/>
          </w:tcPr>
          <w:p w14:paraId="68868081" w14:textId="34E102FD" w:rsidR="006F129D" w:rsidRPr="004E4188" w:rsidRDefault="006F129D" w:rsidP="00D45EAD">
            <w:pPr>
              <w:tabs>
                <w:tab w:val="num" w:pos="34"/>
              </w:tabs>
              <w:spacing w:afterLines="100" w:after="240"/>
              <w:rPr>
                <w:lang w:eastAsia="ja-JP"/>
              </w:rPr>
            </w:pPr>
            <w:r w:rsidRPr="004E4188">
              <w:t>Les offres doivent être remises à l’adresse ci-dessus</w:t>
            </w:r>
            <w:r w:rsidRPr="004E4188">
              <w:rPr>
                <w:vertAlign w:val="superscript"/>
              </w:rPr>
              <w:t>6</w:t>
            </w:r>
            <w:r w:rsidRPr="004E4188">
              <w:t xml:space="preserve"> au plus tard à </w:t>
            </w:r>
            <w:r w:rsidRPr="004E4188">
              <w:rPr>
                <w:iCs/>
              </w:rPr>
              <w:t>[</w:t>
            </w:r>
            <w:r w:rsidRPr="004E4188">
              <w:rPr>
                <w:i/>
                <w:iCs/>
              </w:rPr>
              <w:t xml:space="preserve">indiquer </w:t>
            </w:r>
            <w:r w:rsidRPr="004E4188">
              <w:rPr>
                <w:i/>
                <w:iCs/>
                <w:szCs w:val="24"/>
              </w:rPr>
              <w:t>l’heure</w:t>
            </w:r>
            <w:r w:rsidRPr="004E4188">
              <w:rPr>
                <w:szCs w:val="24"/>
              </w:rPr>
              <w:t>] le [</w:t>
            </w:r>
            <w:r w:rsidRPr="004E4188">
              <w:rPr>
                <w:i/>
                <w:iCs/>
                <w:szCs w:val="24"/>
              </w:rPr>
              <w:t>indiquer la date</w:t>
            </w:r>
            <w:r w:rsidRPr="004E4188">
              <w:rPr>
                <w:iCs/>
                <w:szCs w:val="24"/>
              </w:rPr>
              <w:t>]</w:t>
            </w:r>
            <w:r w:rsidRPr="004E4188">
              <w:rPr>
                <w:lang w:eastAsia="ja-JP"/>
              </w:rPr>
              <w:t xml:space="preserve"> et doivent être accompagnées d’une garantie de soumission</w:t>
            </w:r>
            <w:r w:rsidRPr="004E4188">
              <w:rPr>
                <w:vertAlign w:val="superscript"/>
                <w:lang w:eastAsia="ja-JP"/>
              </w:rPr>
              <w:t>7</w:t>
            </w:r>
            <w:r w:rsidRPr="004E4188">
              <w:rPr>
                <w:lang w:eastAsia="ja-JP"/>
              </w:rPr>
              <w:t xml:space="preserve"> d’un montant de </w:t>
            </w:r>
            <w:r w:rsidRPr="004E4188">
              <w:rPr>
                <w:szCs w:val="24"/>
              </w:rPr>
              <w:t>[</w:t>
            </w:r>
            <w:r w:rsidRPr="004E4188">
              <w:rPr>
                <w:i/>
                <w:iCs/>
                <w:szCs w:val="24"/>
              </w:rPr>
              <w:t>indiquer une somme fixe</w:t>
            </w:r>
            <w:r w:rsidRPr="004E4188">
              <w:rPr>
                <w:iCs/>
                <w:szCs w:val="24"/>
              </w:rPr>
              <w:t>]</w:t>
            </w:r>
            <w:r w:rsidRPr="004E4188">
              <w:rPr>
                <w:lang w:eastAsia="ja-JP"/>
              </w:rPr>
              <w:t>.</w:t>
            </w:r>
          </w:p>
        </w:tc>
      </w:tr>
      <w:tr w:rsidR="006F129D" w:rsidRPr="004E4188" w14:paraId="30BA7845" w14:textId="77777777" w:rsidTr="0058317B">
        <w:tc>
          <w:tcPr>
            <w:tcW w:w="567" w:type="dxa"/>
            <w:tcBorders>
              <w:top w:val="nil"/>
              <w:bottom w:val="nil"/>
            </w:tcBorders>
            <w:shd w:val="clear" w:color="auto" w:fill="auto"/>
          </w:tcPr>
          <w:p w14:paraId="2044A1D3" w14:textId="77777777" w:rsidR="006F129D" w:rsidRPr="004E4188" w:rsidRDefault="006F129D" w:rsidP="000B6ED8">
            <w:pPr>
              <w:rPr>
                <w:lang w:eastAsia="ja-JP"/>
              </w:rPr>
            </w:pPr>
            <w:r w:rsidRPr="004E4188">
              <w:rPr>
                <w:lang w:eastAsia="ja-JP"/>
              </w:rPr>
              <w:t>7.</w:t>
            </w:r>
          </w:p>
        </w:tc>
        <w:tc>
          <w:tcPr>
            <w:tcW w:w="8436" w:type="dxa"/>
            <w:tcBorders>
              <w:top w:val="nil"/>
              <w:bottom w:val="nil"/>
            </w:tcBorders>
            <w:shd w:val="clear" w:color="auto" w:fill="auto"/>
          </w:tcPr>
          <w:p w14:paraId="0400E0BD" w14:textId="7C6B12C0" w:rsidR="006F129D" w:rsidRPr="004E4188" w:rsidRDefault="006F129D" w:rsidP="00D06EBD">
            <w:pPr>
              <w:tabs>
                <w:tab w:val="num" w:pos="34"/>
              </w:tabs>
              <w:spacing w:afterLines="100" w:after="240"/>
              <w:ind w:firstLine="28"/>
              <w:rPr>
                <w:szCs w:val="24"/>
              </w:rPr>
            </w:pPr>
            <w:r w:rsidRPr="004E4188">
              <w:rPr>
                <w:szCs w:val="24"/>
              </w:rPr>
              <w:t xml:space="preserve">Les offres seront ouvertes en présence des représentants des Soumissionnaires qui souhaitent assister à l’ouverture des plis </w:t>
            </w:r>
            <w:r w:rsidRPr="004E4188">
              <w:rPr>
                <w:rFonts w:hint="eastAsia"/>
                <w:szCs w:val="24"/>
              </w:rPr>
              <w:t>à</w:t>
            </w:r>
            <w:r w:rsidRPr="004E4188">
              <w:rPr>
                <w:szCs w:val="24"/>
              </w:rPr>
              <w:t xml:space="preserve"> l’adresse du bureau en charge indiquée dans le Dossier d’appel d’offres.</w:t>
            </w:r>
          </w:p>
        </w:tc>
      </w:tr>
    </w:tbl>
    <w:p w14:paraId="7CA4BF16" w14:textId="77777777" w:rsidR="006F129D" w:rsidRPr="004E4188" w:rsidRDefault="006F129D" w:rsidP="00E34DF3">
      <w:pPr>
        <w:spacing w:line="480" w:lineRule="atLeast"/>
        <w:rPr>
          <w:iCs/>
          <w:spacing w:val="-6"/>
        </w:rPr>
      </w:pPr>
    </w:p>
    <w:p w14:paraId="5743AEE5" w14:textId="77777777" w:rsidR="006F129D" w:rsidRPr="004E4188" w:rsidRDefault="006F129D" w:rsidP="00E34DF3">
      <w:pPr>
        <w:spacing w:line="480" w:lineRule="atLeast"/>
        <w:rPr>
          <w:i/>
          <w:iCs/>
          <w:spacing w:val="-6"/>
        </w:rPr>
      </w:pPr>
      <w:r w:rsidRPr="004E4188">
        <w:rPr>
          <w:iCs/>
          <w:spacing w:val="-6"/>
        </w:rPr>
        <w:t>[</w:t>
      </w:r>
      <w:r w:rsidRPr="004E4188">
        <w:rPr>
          <w:i/>
          <w:iCs/>
          <w:spacing w:val="-6"/>
        </w:rPr>
        <w:t>Indiquer le nom du bureau</w:t>
      </w:r>
      <w:r w:rsidRPr="004E4188">
        <w:rPr>
          <w:iCs/>
          <w:spacing w:val="-6"/>
        </w:rPr>
        <w:t>]</w:t>
      </w:r>
    </w:p>
    <w:p w14:paraId="5A99636D" w14:textId="77777777" w:rsidR="006F129D" w:rsidRPr="004E4188" w:rsidRDefault="006F129D" w:rsidP="00E34DF3">
      <w:pPr>
        <w:pStyle w:val="Style11"/>
        <w:spacing w:line="240" w:lineRule="auto"/>
        <w:rPr>
          <w:i/>
          <w:iCs/>
          <w:spacing w:val="-6"/>
          <w:lang w:val="fr-FR"/>
        </w:rPr>
      </w:pPr>
      <w:r w:rsidRPr="004E4188">
        <w:rPr>
          <w:iCs/>
          <w:spacing w:val="-6"/>
          <w:lang w:val="fr-FR"/>
        </w:rPr>
        <w:t>[</w:t>
      </w:r>
      <w:r w:rsidRPr="004E4188">
        <w:rPr>
          <w:i/>
          <w:iCs/>
          <w:spacing w:val="-6"/>
          <w:lang w:val="fr-FR"/>
        </w:rPr>
        <w:t>Indiquer le nom de la personne responsable</w:t>
      </w:r>
      <w:r w:rsidRPr="004E4188">
        <w:rPr>
          <w:iCs/>
          <w:spacing w:val="-6"/>
          <w:lang w:val="fr-FR"/>
        </w:rPr>
        <w:t>]</w:t>
      </w:r>
    </w:p>
    <w:p w14:paraId="49883D70" w14:textId="6BA5B8CB" w:rsidR="006F129D" w:rsidRPr="004E4188" w:rsidRDefault="006F129D" w:rsidP="00E34DF3">
      <w:pPr>
        <w:pStyle w:val="Style11"/>
        <w:spacing w:line="240" w:lineRule="auto"/>
        <w:rPr>
          <w:i/>
          <w:iCs/>
          <w:spacing w:val="-6"/>
          <w:lang w:val="fr-FR"/>
        </w:rPr>
      </w:pPr>
      <w:r w:rsidRPr="004E4188">
        <w:rPr>
          <w:iCs/>
          <w:spacing w:val="-6"/>
          <w:lang w:val="fr-FR"/>
        </w:rPr>
        <w:t>[</w:t>
      </w:r>
      <w:r w:rsidRPr="004E4188">
        <w:rPr>
          <w:i/>
          <w:iCs/>
          <w:spacing w:val="-6"/>
          <w:lang w:val="fr-FR"/>
        </w:rPr>
        <w:t>Indiquer l’adresse postale</w:t>
      </w:r>
      <w:r w:rsidRPr="004E4188">
        <w:rPr>
          <w:iCs/>
          <w:spacing w:val="-6"/>
          <w:lang w:val="fr-FR"/>
        </w:rPr>
        <w:t>]</w:t>
      </w:r>
    </w:p>
    <w:p w14:paraId="0AA9E0A9" w14:textId="4FAF2D78" w:rsidR="006F129D" w:rsidRPr="004E4188" w:rsidRDefault="006F129D" w:rsidP="00E34DF3">
      <w:pPr>
        <w:pStyle w:val="Style11"/>
        <w:spacing w:line="240" w:lineRule="auto"/>
        <w:rPr>
          <w:i/>
          <w:iCs/>
          <w:spacing w:val="-6"/>
          <w:lang w:val="fr-FR"/>
        </w:rPr>
      </w:pPr>
      <w:r w:rsidRPr="004E4188">
        <w:rPr>
          <w:iCs/>
          <w:spacing w:val="-6"/>
          <w:lang w:val="fr-FR"/>
        </w:rPr>
        <w:t>[</w:t>
      </w:r>
      <w:r w:rsidRPr="004E4188">
        <w:rPr>
          <w:i/>
          <w:iCs/>
          <w:spacing w:val="-6"/>
          <w:lang w:val="fr-FR"/>
        </w:rPr>
        <w:t>Indiquer le numéro de téléphone avec les codes pays/ville</w:t>
      </w:r>
      <w:r w:rsidRPr="004E4188">
        <w:rPr>
          <w:iCs/>
          <w:spacing w:val="-6"/>
          <w:lang w:val="fr-FR"/>
        </w:rPr>
        <w:t>]</w:t>
      </w:r>
    </w:p>
    <w:p w14:paraId="321C673F" w14:textId="77777777" w:rsidR="006F129D" w:rsidRPr="004E4188" w:rsidRDefault="006F129D" w:rsidP="00E34DF3">
      <w:pPr>
        <w:ind w:right="944"/>
        <w:rPr>
          <w:i/>
          <w:iCs/>
          <w:spacing w:val="-6"/>
        </w:rPr>
      </w:pPr>
      <w:r w:rsidRPr="004E4188">
        <w:rPr>
          <w:iCs/>
          <w:spacing w:val="-6"/>
        </w:rPr>
        <w:t>[</w:t>
      </w:r>
      <w:r w:rsidRPr="004E4188">
        <w:rPr>
          <w:i/>
          <w:iCs/>
          <w:spacing w:val="-6"/>
        </w:rPr>
        <w:t>Indiquer le numéro de fax avec les codes pays/ville</w:t>
      </w:r>
      <w:r w:rsidRPr="004E4188">
        <w:rPr>
          <w:iCs/>
          <w:spacing w:val="-6"/>
        </w:rPr>
        <w:t xml:space="preserve">] </w:t>
      </w:r>
    </w:p>
    <w:p w14:paraId="06B1AA0A" w14:textId="77777777" w:rsidR="006F129D" w:rsidRPr="004E4188" w:rsidRDefault="006F129D" w:rsidP="00F56EDC">
      <w:pPr>
        <w:ind w:right="944"/>
        <w:rPr>
          <w:iCs/>
          <w:spacing w:val="-6"/>
        </w:rPr>
      </w:pPr>
      <w:r w:rsidRPr="004E4188">
        <w:rPr>
          <w:iCs/>
          <w:spacing w:val="-6"/>
        </w:rPr>
        <w:t>[</w:t>
      </w:r>
      <w:r w:rsidRPr="004E4188">
        <w:rPr>
          <w:i/>
          <w:iCs/>
          <w:spacing w:val="-6"/>
        </w:rPr>
        <w:t>Indiquer l’adresse e-mail</w:t>
      </w:r>
      <w:r w:rsidRPr="004E4188">
        <w:rPr>
          <w:iCs/>
          <w:spacing w:val="-6"/>
        </w:rPr>
        <w:t>]</w:t>
      </w:r>
    </w:p>
    <w:p w14:paraId="68D5066A" w14:textId="77777777" w:rsidR="006F129D" w:rsidRDefault="006F129D" w:rsidP="00F56EDC">
      <w:pPr>
        <w:ind w:right="944"/>
        <w:rPr>
          <w:iCs/>
          <w:spacing w:val="-6"/>
        </w:rPr>
      </w:pPr>
    </w:p>
    <w:p w14:paraId="3B9838BE" w14:textId="77777777" w:rsidR="0006470B" w:rsidRPr="004E4188" w:rsidRDefault="0006470B" w:rsidP="00F56EDC">
      <w:pPr>
        <w:ind w:right="944"/>
        <w:rPr>
          <w:iCs/>
          <w:spacing w:val="-6"/>
        </w:rPr>
      </w:pPr>
    </w:p>
    <w:p w14:paraId="4F6406F8" w14:textId="77777777" w:rsidR="006F129D" w:rsidRPr="004E4188" w:rsidRDefault="006F129D" w:rsidP="00D45EAD">
      <w:pPr>
        <w:suppressAutoHyphens w:val="0"/>
        <w:overflowPunct/>
        <w:autoSpaceDE/>
        <w:autoSpaceDN/>
        <w:adjustRightInd/>
        <w:spacing w:after="120"/>
        <w:jc w:val="left"/>
        <w:textAlignment w:val="auto"/>
        <w:rPr>
          <w:iCs/>
          <w:spacing w:val="-6"/>
          <w:u w:val="single"/>
        </w:rPr>
      </w:pPr>
      <w:r w:rsidRPr="004E4188">
        <w:rPr>
          <w:rFonts w:hint="eastAsia"/>
          <w:iCs/>
          <w:spacing w:val="-6"/>
          <w:u w:val="single"/>
        </w:rPr>
        <w:t>Notes à l</w:t>
      </w:r>
      <w:r w:rsidRPr="004E4188">
        <w:rPr>
          <w:iCs/>
          <w:spacing w:val="-6"/>
          <w:u w:val="single"/>
        </w:rPr>
        <w:t>’intention du Maître d’ouvrage</w:t>
      </w:r>
    </w:p>
    <w:p w14:paraId="4B6C389A" w14:textId="77777777" w:rsidR="006F129D" w:rsidRPr="004E4188" w:rsidRDefault="006F129D" w:rsidP="003D46CF">
      <w:pPr>
        <w:numPr>
          <w:ilvl w:val="0"/>
          <w:numId w:val="20"/>
        </w:numPr>
        <w:tabs>
          <w:tab w:val="left" w:pos="284"/>
        </w:tabs>
        <w:suppressAutoHyphens w:val="0"/>
        <w:overflowPunct/>
        <w:autoSpaceDE/>
        <w:autoSpaceDN/>
        <w:adjustRightInd/>
        <w:spacing w:after="60"/>
        <w:ind w:left="267" w:hangingChars="135" w:hanging="267"/>
        <w:textAlignment w:val="auto"/>
        <w:rPr>
          <w:i/>
          <w:iCs/>
          <w:spacing w:val="-6"/>
          <w:sz w:val="21"/>
          <w:szCs w:val="21"/>
        </w:rPr>
      </w:pPr>
      <w:r w:rsidRPr="004E4188">
        <w:rPr>
          <w:i/>
          <w:iCs/>
          <w:spacing w:val="-6"/>
          <w:sz w:val="21"/>
          <w:szCs w:val="21"/>
        </w:rPr>
        <w:t>Remplace</w:t>
      </w:r>
      <w:r w:rsidRPr="004E4188">
        <w:rPr>
          <w:i/>
          <w:iCs/>
          <w:spacing w:val="-6"/>
          <w:sz w:val="21"/>
          <w:szCs w:val="21"/>
          <w:lang w:eastAsia="ja-JP"/>
        </w:rPr>
        <w:t>r</w:t>
      </w:r>
      <w:r w:rsidRPr="004E4188">
        <w:rPr>
          <w:i/>
          <w:iCs/>
          <w:spacing w:val="-6"/>
          <w:sz w:val="21"/>
          <w:szCs w:val="21"/>
        </w:rPr>
        <w:t xml:space="preserve"> par « a demandé », le cas échéant.</w:t>
      </w:r>
    </w:p>
    <w:p w14:paraId="11C443FD" w14:textId="77777777" w:rsidR="006F129D" w:rsidRPr="004E4188" w:rsidRDefault="006F129D" w:rsidP="003D46CF">
      <w:pPr>
        <w:numPr>
          <w:ilvl w:val="0"/>
          <w:numId w:val="20"/>
        </w:numPr>
        <w:tabs>
          <w:tab w:val="left" w:pos="284"/>
        </w:tabs>
        <w:suppressAutoHyphens w:val="0"/>
        <w:overflowPunct/>
        <w:autoSpaceDE/>
        <w:autoSpaceDN/>
        <w:adjustRightInd/>
        <w:spacing w:after="60"/>
        <w:ind w:left="283" w:hangingChars="135" w:hanging="283"/>
        <w:textAlignment w:val="auto"/>
        <w:rPr>
          <w:i/>
          <w:iCs/>
          <w:spacing w:val="-6"/>
          <w:sz w:val="21"/>
          <w:szCs w:val="21"/>
        </w:rPr>
      </w:pPr>
      <w:r w:rsidRPr="004E4188">
        <w:rPr>
          <w:rFonts w:eastAsia="ＭＳ Ｐゴシック" w:cs="ＭＳ Ｐゴシック"/>
          <w:i/>
          <w:sz w:val="21"/>
          <w:szCs w:val="21"/>
          <w:lang w:eastAsia="ja-JP" w:bidi="ta-IN"/>
        </w:rPr>
        <w:t>R</w:t>
      </w:r>
      <w:r w:rsidRPr="004E4188">
        <w:rPr>
          <w:i/>
          <w:sz w:val="21"/>
          <w:szCs w:val="21"/>
        </w:rPr>
        <w:t>emplacer par « des Marchés » si l’appel d’offres concerne des lots multiples. Ajouter un nouveau paragraphe 4 dont le texte est le suivant : « Les Soumissionnaires peuvent soumettre des offres pour un ou plusieurs lots, tel que précisé dans le Dossier d’appel d’offres. Les Soumissionnaires souhaitant offrir des rabais, en cas d’attribution de lots multiples, sont autorisés à le faire, à la condition que ces rabais soient spécifiés dans la Lettre de soumission de l’Offre Financière ou de l’offre</w:t>
      </w:r>
      <w:r w:rsidRPr="004E4188">
        <w:rPr>
          <w:rFonts w:eastAsia="ＭＳ Ｐゴシック" w:cs="ＭＳ Ｐゴシック"/>
          <w:i/>
          <w:sz w:val="21"/>
          <w:szCs w:val="21"/>
          <w:lang w:eastAsia="ja-JP" w:bidi="ta-IN"/>
        </w:rPr>
        <w:t xml:space="preserve"> de la deuxième étape</w:t>
      </w:r>
      <w:r w:rsidRPr="004E4188">
        <w:rPr>
          <w:i/>
          <w:sz w:val="21"/>
          <w:szCs w:val="21"/>
        </w:rPr>
        <w:t>, selon le cas. » ; et modifier la numérotation des paragraphes 4 à 7</w:t>
      </w:r>
      <w:r w:rsidRPr="004E4188">
        <w:rPr>
          <w:rFonts w:eastAsia="ＭＳ Ｐゴシック" w:cs="ＭＳ Ｐゴシック"/>
          <w:i/>
          <w:sz w:val="21"/>
          <w:szCs w:val="21"/>
          <w:lang w:eastAsia="ja-JP" w:bidi="ta-IN"/>
        </w:rPr>
        <w:t>.</w:t>
      </w:r>
    </w:p>
    <w:p w14:paraId="317104CC" w14:textId="582B0E76" w:rsidR="006F129D" w:rsidRPr="004E4188" w:rsidRDefault="006F129D" w:rsidP="003D46CF">
      <w:pPr>
        <w:numPr>
          <w:ilvl w:val="0"/>
          <w:numId w:val="20"/>
        </w:numPr>
        <w:tabs>
          <w:tab w:val="left" w:pos="284"/>
        </w:tabs>
        <w:suppressAutoHyphens w:val="0"/>
        <w:overflowPunct/>
        <w:autoSpaceDE/>
        <w:autoSpaceDN/>
        <w:adjustRightInd/>
        <w:spacing w:after="60"/>
        <w:ind w:left="270" w:hangingChars="135" w:hanging="270"/>
        <w:textAlignment w:val="auto"/>
        <w:rPr>
          <w:i/>
          <w:iCs/>
          <w:spacing w:val="-6"/>
          <w:sz w:val="21"/>
          <w:szCs w:val="21"/>
        </w:rPr>
      </w:pPr>
      <w:r w:rsidRPr="004E4188">
        <w:rPr>
          <w:rFonts w:eastAsia="ＭＳ Ｐゴシック" w:cs="ＭＳ Ｐゴシック"/>
          <w:i/>
          <w:sz w:val="20"/>
          <w:lang w:eastAsia="ja-JP" w:bidi="ta-IN"/>
        </w:rPr>
        <w:t xml:space="preserve">Les Équipements et Services de montage </w:t>
      </w:r>
      <w:r w:rsidRPr="004E4188">
        <w:rPr>
          <w:rFonts w:eastAsia="ＭＳ Ｐゴシック" w:cs="ＭＳ Ｐゴシック"/>
          <w:i/>
          <w:sz w:val="21"/>
          <w:szCs w:val="21"/>
          <w:lang w:eastAsia="ja-JP" w:bidi="ta-IN"/>
        </w:rPr>
        <w:t xml:space="preserve">devront être décrits succinctement, y compris le nombre des </w:t>
      </w:r>
      <w:r w:rsidRPr="004E4188">
        <w:rPr>
          <w:i/>
          <w:sz w:val="21"/>
          <w:szCs w:val="21"/>
        </w:rPr>
        <w:t>équipements</w:t>
      </w:r>
      <w:r w:rsidRPr="004E4188">
        <w:rPr>
          <w:rFonts w:eastAsia="ＭＳ Ｐゴシック" w:cs="ＭＳ Ｐゴシック"/>
          <w:i/>
          <w:sz w:val="21"/>
          <w:szCs w:val="21"/>
          <w:lang w:eastAsia="ja-JP" w:bidi="ta-IN"/>
        </w:rPr>
        <w:t>, leurs capacités, la localisation du projet et toute autre information nécessaire pour permettre aux Soumissionnaires potentiels de décider de répondre ou non à l’Avis. Le Dossier d’appel d’offres peut requérir des Soumissionnaires d’avoir une expérience ou des capacités spécifiques</w:t>
      </w:r>
      <w:r w:rsidR="002775C0" w:rsidRPr="004E4188">
        <w:rPr>
          <w:rFonts w:eastAsia="ＭＳ Ｐゴシック" w:cs="ＭＳ Ｐゴシック"/>
          <w:i/>
          <w:sz w:val="21"/>
          <w:szCs w:val="21"/>
          <w:lang w:eastAsia="ja-JP" w:bidi="ta-IN"/>
        </w:rPr>
        <w:t> ;</w:t>
      </w:r>
      <w:r w:rsidRPr="004E4188">
        <w:rPr>
          <w:rFonts w:eastAsia="ＭＳ Ｐゴシック" w:cs="ＭＳ Ｐゴシック"/>
          <w:i/>
          <w:sz w:val="21"/>
          <w:szCs w:val="21"/>
          <w:lang w:eastAsia="ja-JP" w:bidi="ta-IN"/>
        </w:rPr>
        <w:t xml:space="preserve"> de telles conditions devront être incluses dans ce paragraphe.</w:t>
      </w:r>
    </w:p>
    <w:p w14:paraId="57D1CF50" w14:textId="77777777" w:rsidR="006F129D" w:rsidRPr="004E4188" w:rsidRDefault="006F129D" w:rsidP="003D46CF">
      <w:pPr>
        <w:numPr>
          <w:ilvl w:val="0"/>
          <w:numId w:val="20"/>
        </w:numPr>
        <w:tabs>
          <w:tab w:val="left" w:pos="284"/>
        </w:tabs>
        <w:suppressAutoHyphens w:val="0"/>
        <w:overflowPunct/>
        <w:autoSpaceDE/>
        <w:autoSpaceDN/>
        <w:adjustRightInd/>
        <w:spacing w:after="60"/>
        <w:textAlignment w:val="auto"/>
        <w:rPr>
          <w:i/>
          <w:iCs/>
          <w:spacing w:val="-6"/>
          <w:sz w:val="21"/>
          <w:szCs w:val="21"/>
        </w:rPr>
      </w:pPr>
      <w:r w:rsidRPr="004E4188">
        <w:rPr>
          <w:i/>
          <w:iCs/>
          <w:spacing w:val="-6"/>
          <w:sz w:val="21"/>
          <w:szCs w:val="21"/>
        </w:rPr>
        <w:t>Les frais destinés à couvrir les coûts d’impression et d’envoi doivent être nominaux.</w:t>
      </w:r>
    </w:p>
    <w:p w14:paraId="270B1BA9" w14:textId="77777777" w:rsidR="006F129D" w:rsidRPr="004E4188" w:rsidRDefault="006F129D" w:rsidP="003D46CF">
      <w:pPr>
        <w:numPr>
          <w:ilvl w:val="0"/>
          <w:numId w:val="20"/>
        </w:numPr>
        <w:tabs>
          <w:tab w:val="left" w:pos="284"/>
        </w:tabs>
        <w:suppressAutoHyphens w:val="0"/>
        <w:overflowPunct/>
        <w:autoSpaceDE/>
        <w:autoSpaceDN/>
        <w:adjustRightInd/>
        <w:spacing w:after="60"/>
        <w:textAlignment w:val="auto"/>
        <w:rPr>
          <w:i/>
          <w:iCs/>
          <w:spacing w:val="-6"/>
          <w:sz w:val="21"/>
          <w:szCs w:val="21"/>
        </w:rPr>
      </w:pPr>
      <w:bookmarkStart w:id="27" w:name="_Hlk516162699"/>
      <w:r w:rsidRPr="004E4188">
        <w:rPr>
          <w:rFonts w:eastAsia="ＭＳ Ｐゴシック" w:cs="ＭＳ Ｐゴシック"/>
          <w:i/>
          <w:sz w:val="21"/>
          <w:szCs w:val="21"/>
          <w:lang w:eastAsia="ja-JP" w:bidi="ta-IN"/>
        </w:rPr>
        <w:t>Par exemple, chèque de banque, versement direct sur un numéro de compte spécifié, etc.</w:t>
      </w:r>
      <w:bookmarkEnd w:id="27"/>
    </w:p>
    <w:p w14:paraId="7030F5F0" w14:textId="6D57CAC6" w:rsidR="006F129D" w:rsidRPr="004E4188" w:rsidRDefault="006F129D" w:rsidP="003D46CF">
      <w:pPr>
        <w:numPr>
          <w:ilvl w:val="0"/>
          <w:numId w:val="20"/>
        </w:numPr>
        <w:tabs>
          <w:tab w:val="left" w:pos="284"/>
        </w:tabs>
        <w:suppressAutoHyphens w:val="0"/>
        <w:overflowPunct/>
        <w:autoSpaceDE/>
        <w:autoSpaceDN/>
        <w:adjustRightInd/>
        <w:spacing w:after="60"/>
        <w:ind w:left="283" w:hangingChars="135" w:hanging="283"/>
        <w:textAlignment w:val="auto"/>
        <w:rPr>
          <w:i/>
          <w:iCs/>
          <w:spacing w:val="-6"/>
          <w:sz w:val="21"/>
          <w:szCs w:val="21"/>
        </w:rPr>
      </w:pPr>
      <w:r w:rsidRPr="004E4188">
        <w:rPr>
          <w:rFonts w:eastAsia="ＭＳ Ｐゴシック" w:cs="ＭＳ Ｐゴシック"/>
          <w:i/>
          <w:sz w:val="21"/>
          <w:szCs w:val="21"/>
          <w:lang w:eastAsia="ja-JP" w:bidi="ta-IN"/>
        </w:rPr>
        <w:t>Remplacer par « ci-dessous » et i</w:t>
      </w:r>
      <w:r w:rsidRPr="004E4188">
        <w:rPr>
          <w:i/>
          <w:iCs/>
          <w:spacing w:val="-6"/>
          <w:sz w:val="21"/>
          <w:szCs w:val="21"/>
        </w:rPr>
        <w:t xml:space="preserve">ndiquer l’adresse de soumission des offres </w:t>
      </w:r>
      <w:r w:rsidRPr="004E4188">
        <w:rPr>
          <w:i/>
          <w:sz w:val="21"/>
          <w:szCs w:val="21"/>
        </w:rPr>
        <w:t>juste en-dessous de ce paragraphe</w:t>
      </w:r>
      <w:r w:rsidRPr="004E4188">
        <w:rPr>
          <w:i/>
          <w:iCs/>
          <w:spacing w:val="-6"/>
          <w:sz w:val="21"/>
          <w:szCs w:val="21"/>
        </w:rPr>
        <w:t>, si différente de celle où obtenir les Dossiers d’appel d’offres</w:t>
      </w:r>
      <w:r w:rsidR="00800831" w:rsidRPr="004E4188">
        <w:rPr>
          <w:i/>
          <w:iCs/>
          <w:spacing w:val="-6"/>
          <w:sz w:val="21"/>
          <w:szCs w:val="21"/>
        </w:rPr>
        <w:t>.</w:t>
      </w:r>
    </w:p>
    <w:p w14:paraId="2157E656" w14:textId="77777777" w:rsidR="006F129D" w:rsidRPr="004E4188" w:rsidRDefault="006F129D" w:rsidP="003D46CF">
      <w:pPr>
        <w:numPr>
          <w:ilvl w:val="0"/>
          <w:numId w:val="20"/>
        </w:numPr>
        <w:tabs>
          <w:tab w:val="left" w:pos="284"/>
        </w:tabs>
        <w:suppressAutoHyphens w:val="0"/>
        <w:overflowPunct/>
        <w:autoSpaceDE/>
        <w:autoSpaceDN/>
        <w:adjustRightInd/>
        <w:spacing w:after="60"/>
        <w:ind w:left="283" w:hangingChars="135" w:hanging="283"/>
        <w:textAlignment w:val="auto"/>
        <w:rPr>
          <w:i/>
          <w:iCs/>
          <w:spacing w:val="-6"/>
          <w:sz w:val="21"/>
          <w:szCs w:val="21"/>
        </w:rPr>
      </w:pPr>
      <w:r w:rsidRPr="004E4188">
        <w:rPr>
          <w:rFonts w:eastAsia="ＭＳ Ｐゴシック" w:cs="ＭＳ Ｐゴシック"/>
          <w:i/>
          <w:sz w:val="21"/>
          <w:szCs w:val="21"/>
          <w:lang w:eastAsia="ja-JP" w:bidi="ta-IN"/>
        </w:rPr>
        <w:t>Supprimer l’exigence de garantie lorsque la procédure d’appel d’offres à deux étapes-une enveloppe est utilisée parce que cette garantie sera exigée dans l’Invitation à soumissionner pour la deuxième étape.</w:t>
      </w:r>
    </w:p>
    <w:p w14:paraId="442C2551" w14:textId="77777777" w:rsidR="006F129D" w:rsidRPr="004E4188" w:rsidRDefault="006F129D" w:rsidP="00F56EDC">
      <w:pPr>
        <w:ind w:right="944"/>
        <w:rPr>
          <w:iCs/>
          <w:spacing w:val="-6"/>
        </w:rPr>
      </w:pPr>
    </w:p>
    <w:p w14:paraId="6CA0777B" w14:textId="77777777" w:rsidR="006F129D" w:rsidRPr="004E4188" w:rsidRDefault="006F129D" w:rsidP="00F56EDC">
      <w:pPr>
        <w:ind w:right="944"/>
        <w:rPr>
          <w:iCs/>
          <w:spacing w:val="-6"/>
        </w:rPr>
      </w:pPr>
    </w:p>
    <w:p w14:paraId="63148877" w14:textId="77777777" w:rsidR="006F129D" w:rsidRPr="004E4188" w:rsidRDefault="006F129D" w:rsidP="00F56EDC">
      <w:pPr>
        <w:ind w:right="944"/>
        <w:rPr>
          <w:iCs/>
          <w:spacing w:val="-6"/>
        </w:rPr>
        <w:sectPr w:rsidR="006F129D" w:rsidRPr="004E4188" w:rsidSect="00FB7055">
          <w:headerReference w:type="even" r:id="rId26"/>
          <w:headerReference w:type="default" r:id="rId27"/>
          <w:footnotePr>
            <w:numRestart w:val="eachSect"/>
          </w:footnotePr>
          <w:endnotePr>
            <w:numFmt w:val="decimal"/>
          </w:endnotePr>
          <w:type w:val="nextColumn"/>
          <w:pgSz w:w="12240" w:h="15840"/>
          <w:pgMar w:top="1440" w:right="1440" w:bottom="1440" w:left="1797" w:header="720" w:footer="720" w:gutter="0"/>
          <w:pgNumType w:start="1"/>
          <w:cols w:space="720"/>
        </w:sectPr>
      </w:pPr>
    </w:p>
    <w:p w14:paraId="732DEBBD" w14:textId="77777777" w:rsidR="006F129D" w:rsidRPr="004E4188" w:rsidRDefault="006F129D" w:rsidP="00DA1771">
      <w:pPr>
        <w:pStyle w:val="SHeader"/>
        <w:rPr>
          <w:lang w:val="fr-FR"/>
        </w:rPr>
      </w:pPr>
      <w:bookmarkStart w:id="28" w:name="_Toc354567690"/>
      <w:bookmarkStart w:id="29" w:name="_Toc112413555"/>
      <w:r w:rsidRPr="004E4188">
        <w:rPr>
          <w:lang w:val="fr-FR"/>
        </w:rPr>
        <w:t>Avis d’appel d’offres : sans préqualification</w:t>
      </w:r>
      <w:bookmarkEnd w:id="28"/>
      <w:bookmarkEnd w:id="29"/>
    </w:p>
    <w:p w14:paraId="43B9947E" w14:textId="77777777" w:rsidR="006F129D" w:rsidRPr="004E4188" w:rsidRDefault="006F129D" w:rsidP="00F56EDC"/>
    <w:tbl>
      <w:tblPr>
        <w:tblW w:w="0" w:type="auto"/>
        <w:tblInd w:w="120" w:type="dxa"/>
        <w:tblLayout w:type="fixed"/>
        <w:tblLook w:val="0000" w:firstRow="0" w:lastRow="0" w:firstColumn="0" w:lastColumn="0" w:noHBand="0" w:noVBand="0"/>
      </w:tblPr>
      <w:tblGrid>
        <w:gridCol w:w="9000"/>
      </w:tblGrid>
      <w:tr w:rsidR="006F129D" w:rsidRPr="004E4188" w14:paraId="519524CE" w14:textId="77777777" w:rsidTr="00994177">
        <w:tc>
          <w:tcPr>
            <w:tcW w:w="9000" w:type="dxa"/>
            <w:tcBorders>
              <w:top w:val="single" w:sz="6" w:space="0" w:color="auto"/>
              <w:left w:val="single" w:sz="6" w:space="0" w:color="auto"/>
              <w:bottom w:val="single" w:sz="6" w:space="0" w:color="auto"/>
              <w:right w:val="single" w:sz="6" w:space="0" w:color="auto"/>
            </w:tcBorders>
          </w:tcPr>
          <w:p w14:paraId="41826FBA" w14:textId="77777777" w:rsidR="006F129D" w:rsidRPr="004E4188" w:rsidRDefault="006F129D" w:rsidP="00994177">
            <w:pPr>
              <w:jc w:val="center"/>
              <w:outlineLvl w:val="1"/>
              <w:rPr>
                <w:b/>
                <w:sz w:val="28"/>
              </w:rPr>
            </w:pPr>
          </w:p>
          <w:p w14:paraId="44051720" w14:textId="2A98F3C2" w:rsidR="006F129D" w:rsidRPr="004E4188" w:rsidRDefault="006F129D" w:rsidP="00994177">
            <w:pPr>
              <w:spacing w:afterLines="100" w:after="240"/>
              <w:jc w:val="center"/>
              <w:rPr>
                <w:b/>
                <w:sz w:val="28"/>
                <w:szCs w:val="28"/>
              </w:rPr>
            </w:pPr>
            <w:r w:rsidRPr="004E4188">
              <w:rPr>
                <w:b/>
                <w:sz w:val="28"/>
                <w:szCs w:val="28"/>
              </w:rPr>
              <w:t>Notes à l’intention du Maître d’ouvrage</w:t>
            </w:r>
          </w:p>
          <w:p w14:paraId="1254F753" w14:textId="77777777" w:rsidR="006F129D" w:rsidRPr="004E4188" w:rsidRDefault="006F129D" w:rsidP="00994177"/>
          <w:p w14:paraId="1A244EA6" w14:textId="06D69AD0" w:rsidR="006F129D" w:rsidRPr="004E4188" w:rsidRDefault="006F129D" w:rsidP="00D45EAD">
            <w:pPr>
              <w:rPr>
                <w:szCs w:val="24"/>
                <w:lang w:eastAsia="ja-JP"/>
              </w:rPr>
            </w:pPr>
            <w:r w:rsidRPr="004E4188">
              <w:t xml:space="preserve">Si des </w:t>
            </w:r>
            <w:r w:rsidR="004C0F58" w:rsidRPr="004E4188">
              <w:t xml:space="preserve">entreprises </w:t>
            </w:r>
            <w:r w:rsidRPr="004E4188">
              <w:t>sont invité</w:t>
            </w:r>
            <w:r w:rsidR="004C0F58" w:rsidRPr="004E4188">
              <w:t>e</w:t>
            </w:r>
            <w:r w:rsidRPr="004E4188">
              <w:t xml:space="preserve">s ouvertement à soumettre des offres sans qu’une procédure de préqualification ait eu lieu, l’Avis d’appel d’offres </w:t>
            </w:r>
            <w:r w:rsidRPr="004E4188">
              <w:rPr>
                <w:szCs w:val="24"/>
                <w:lang w:eastAsia="ja-JP"/>
              </w:rPr>
              <w:t>devra être directement rendu public (voir l’Article correspondant des Directives pour les passations de marchés sous financement par Prêts APD du Japon) </w:t>
            </w:r>
            <w:r w:rsidRPr="004E4188">
              <w:t>:</w:t>
            </w:r>
          </w:p>
          <w:p w14:paraId="14A2EDD6" w14:textId="426A451E" w:rsidR="006F129D" w:rsidRPr="004E4188" w:rsidRDefault="006F129D" w:rsidP="003D46CF">
            <w:pPr>
              <w:pStyle w:val="aff7"/>
              <w:numPr>
                <w:ilvl w:val="0"/>
                <w:numId w:val="21"/>
              </w:numPr>
              <w:spacing w:after="60" w:line="240" w:lineRule="auto"/>
              <w:ind w:leftChars="0"/>
              <w:rPr>
                <w:rFonts w:ascii="Times New Roman" w:hAnsi="Times New Roman"/>
                <w:sz w:val="24"/>
                <w:szCs w:val="24"/>
                <w:lang w:val="fr-FR"/>
              </w:rPr>
            </w:pPr>
            <w:r w:rsidRPr="004E4188">
              <w:rPr>
                <w:rFonts w:ascii="Times New Roman" w:hAnsi="Times New Roman"/>
                <w:sz w:val="24"/>
                <w:szCs w:val="24"/>
                <w:lang w:val="fr-FR"/>
              </w:rPr>
              <w:t>par publicité dans au moins un journal de grande diffusion dans le pays de l’Emprunteur/du Maître d’ouvrage ; et</w:t>
            </w:r>
          </w:p>
          <w:p w14:paraId="707310E4" w14:textId="01EA6F10" w:rsidR="006F129D" w:rsidRPr="004E4188" w:rsidRDefault="006F129D" w:rsidP="003D46CF">
            <w:pPr>
              <w:pStyle w:val="aff7"/>
              <w:numPr>
                <w:ilvl w:val="0"/>
                <w:numId w:val="21"/>
              </w:numPr>
              <w:spacing w:after="60" w:line="240" w:lineRule="auto"/>
              <w:ind w:leftChars="0"/>
              <w:rPr>
                <w:rFonts w:ascii="Times New Roman" w:hAnsi="Times New Roman"/>
                <w:spacing w:val="-2"/>
                <w:sz w:val="24"/>
                <w:szCs w:val="24"/>
                <w:lang w:val="fr-FR"/>
              </w:rPr>
            </w:pPr>
            <w:r w:rsidRPr="004E4188">
              <w:rPr>
                <w:rFonts w:ascii="Times New Roman" w:hAnsi="Times New Roman"/>
                <w:sz w:val="24"/>
                <w:szCs w:val="24"/>
                <w:lang w:val="fr-FR"/>
              </w:rPr>
              <w:t>avec envoi d’une copie de l’Avis à la JICA.</w:t>
            </w:r>
          </w:p>
          <w:p w14:paraId="095BF171" w14:textId="77777777" w:rsidR="006F129D" w:rsidRPr="004E4188" w:rsidRDefault="006F129D" w:rsidP="007106EE">
            <w:pPr>
              <w:rPr>
                <w:spacing w:val="-2"/>
                <w:szCs w:val="24"/>
                <w:lang w:eastAsia="ja-JP"/>
              </w:rPr>
            </w:pPr>
          </w:p>
          <w:p w14:paraId="274A4435" w14:textId="77777777" w:rsidR="006F129D" w:rsidRPr="004E4188" w:rsidRDefault="006F129D" w:rsidP="00D45EAD">
            <w:pPr>
              <w:pStyle w:val="explanatorynotes"/>
              <w:spacing w:after="0" w:line="240" w:lineRule="auto"/>
              <w:rPr>
                <w:rFonts w:ascii="Times New Roman" w:hAnsi="Times New Roman"/>
                <w:sz w:val="24"/>
                <w:szCs w:val="24"/>
                <w:lang w:val="fr-FR"/>
              </w:rPr>
            </w:pPr>
            <w:r w:rsidRPr="004E4188">
              <w:rPr>
                <w:rFonts w:ascii="Times New Roman" w:hAnsi="Times New Roman"/>
                <w:sz w:val="24"/>
                <w:szCs w:val="24"/>
                <w:lang w:val="fr-FR"/>
              </w:rPr>
              <w:t>Lors de la préparation de l’Avis d’appel d’offres :</w:t>
            </w:r>
          </w:p>
          <w:p w14:paraId="67277C05" w14:textId="77777777" w:rsidR="006F129D" w:rsidRPr="004E4188" w:rsidRDefault="006F129D" w:rsidP="003D46CF">
            <w:pPr>
              <w:pStyle w:val="aff7"/>
              <w:numPr>
                <w:ilvl w:val="0"/>
                <w:numId w:val="22"/>
              </w:numPr>
              <w:spacing w:after="60" w:line="240" w:lineRule="auto"/>
              <w:ind w:leftChars="0"/>
              <w:rPr>
                <w:rFonts w:ascii="Times New Roman" w:hAnsi="Times New Roman"/>
                <w:sz w:val="24"/>
                <w:szCs w:val="24"/>
                <w:lang w:val="fr-FR"/>
              </w:rPr>
            </w:pPr>
            <w:r w:rsidRPr="004E4188">
              <w:rPr>
                <w:rFonts w:ascii="Times New Roman" w:hAnsi="Times New Roman"/>
                <w:sz w:val="24"/>
                <w:szCs w:val="24"/>
                <w:lang w:val="fr-FR"/>
              </w:rPr>
              <w:t>L</w:t>
            </w:r>
            <w:r w:rsidRPr="004E4188">
              <w:rPr>
                <w:rFonts w:ascii="Times New Roman" w:hAnsi="Times New Roman"/>
                <w:sz w:val="24"/>
                <w:szCs w:val="24"/>
                <w:lang w:val="x-none"/>
              </w:rPr>
              <w:t>es détails spécifiques, tels que le nom du Maître d’ouvrage</w:t>
            </w:r>
            <w:r w:rsidRPr="004E4188">
              <w:rPr>
                <w:rFonts w:ascii="Times New Roman" w:hAnsi="Times New Roman"/>
                <w:sz w:val="24"/>
                <w:szCs w:val="24"/>
                <w:lang w:val="fr-FR"/>
              </w:rPr>
              <w:t xml:space="preserve"> et</w:t>
            </w:r>
            <w:r w:rsidRPr="004E4188">
              <w:rPr>
                <w:rFonts w:ascii="Times New Roman" w:hAnsi="Times New Roman"/>
                <w:sz w:val="24"/>
                <w:szCs w:val="24"/>
                <w:lang w:val="x-none"/>
              </w:rPr>
              <w:t xml:space="preserve"> l’adresse de soumission des offres devront être indiqués dans les espaces prévus à cet effet, en suivant les instructions des notes en italique entre crochets</w:t>
            </w:r>
            <w:r w:rsidRPr="004E4188">
              <w:rPr>
                <w:rFonts w:ascii="Times New Roman" w:hAnsi="Times New Roman"/>
                <w:sz w:val="24"/>
                <w:szCs w:val="24"/>
                <w:lang w:val="fr-FR"/>
              </w:rPr>
              <w:t>.</w:t>
            </w:r>
          </w:p>
          <w:p w14:paraId="70CDB2B1" w14:textId="77777777" w:rsidR="006F129D" w:rsidRPr="004E4188" w:rsidRDefault="006F129D" w:rsidP="003D46CF">
            <w:pPr>
              <w:pStyle w:val="aff7"/>
              <w:numPr>
                <w:ilvl w:val="0"/>
                <w:numId w:val="22"/>
              </w:numPr>
              <w:spacing w:after="60" w:line="240" w:lineRule="auto"/>
              <w:ind w:leftChars="0"/>
              <w:rPr>
                <w:rFonts w:ascii="Times New Roman" w:hAnsi="Times New Roman"/>
                <w:sz w:val="24"/>
                <w:szCs w:val="24"/>
                <w:lang w:val="fr-FR"/>
              </w:rPr>
            </w:pPr>
            <w:r w:rsidRPr="004E4188">
              <w:rPr>
                <w:rFonts w:ascii="Times New Roman" w:hAnsi="Times New Roman"/>
                <w:sz w:val="24"/>
                <w:szCs w:val="24"/>
                <w:lang w:val="fr-FR"/>
              </w:rPr>
              <w:t xml:space="preserve">Les </w:t>
            </w:r>
            <w:r w:rsidRPr="004E4188">
              <w:rPr>
                <w:rFonts w:ascii="Times New Roman" w:hAnsi="Times New Roman"/>
                <w:sz w:val="24"/>
                <w:szCs w:val="24"/>
                <w:lang w:val="x-none"/>
              </w:rPr>
              <w:t xml:space="preserve">notes de bas de page et celles en italique ne font pas partie </w:t>
            </w:r>
            <w:r w:rsidRPr="004E4188">
              <w:rPr>
                <w:rFonts w:ascii="Times New Roman" w:hAnsi="Times New Roman"/>
                <w:sz w:val="24"/>
                <w:szCs w:val="24"/>
                <w:lang w:val="fr-FR"/>
              </w:rPr>
              <w:t>de l’Avis</w:t>
            </w:r>
            <w:r w:rsidRPr="004E4188">
              <w:rPr>
                <w:rFonts w:ascii="Times New Roman" w:hAnsi="Times New Roman"/>
                <w:sz w:val="24"/>
                <w:szCs w:val="24"/>
                <w:lang w:val="x-none"/>
              </w:rPr>
              <w:t xml:space="preserve"> d’appel d’offres, mais contiennent des indications et des instructions </w:t>
            </w:r>
            <w:r w:rsidRPr="004E4188">
              <w:rPr>
                <w:rFonts w:ascii="Times New Roman" w:hAnsi="Times New Roman"/>
                <w:sz w:val="24"/>
                <w:szCs w:val="24"/>
                <w:lang w:val="fr-FR"/>
              </w:rPr>
              <w:t>à l’intention du</w:t>
            </w:r>
            <w:r w:rsidRPr="004E4188">
              <w:rPr>
                <w:rFonts w:ascii="Times New Roman" w:hAnsi="Times New Roman"/>
                <w:sz w:val="24"/>
                <w:szCs w:val="24"/>
                <w:lang w:val="x-none"/>
              </w:rPr>
              <w:t xml:space="preserve"> Maître d’ouvrage. </w:t>
            </w:r>
            <w:r w:rsidRPr="004E4188">
              <w:rPr>
                <w:rFonts w:ascii="Times New Roman" w:hAnsi="Times New Roman"/>
                <w:sz w:val="24"/>
                <w:szCs w:val="24"/>
                <w:lang w:val="fr-FR"/>
              </w:rPr>
              <w:t>Elles doivent être retirées du</w:t>
            </w:r>
            <w:r w:rsidRPr="004E4188">
              <w:rPr>
                <w:rFonts w:ascii="Times New Roman" w:hAnsi="Times New Roman"/>
                <w:sz w:val="24"/>
                <w:szCs w:val="24"/>
                <w:lang w:val="x-none"/>
              </w:rPr>
              <w:t xml:space="preserve"> Dossier d’appel d’offres</w:t>
            </w:r>
            <w:r w:rsidRPr="004E4188">
              <w:rPr>
                <w:rFonts w:ascii="Times New Roman" w:hAnsi="Times New Roman"/>
                <w:sz w:val="24"/>
                <w:szCs w:val="24"/>
                <w:lang w:val="fr-FR"/>
              </w:rPr>
              <w:t xml:space="preserve"> qui sera remis aux Soumissionnaires.</w:t>
            </w:r>
          </w:p>
          <w:p w14:paraId="4031870F" w14:textId="77777777" w:rsidR="006F129D" w:rsidRPr="004E4188" w:rsidRDefault="006F129D" w:rsidP="00994177"/>
          <w:p w14:paraId="5EE35087" w14:textId="2ECDD2A0" w:rsidR="006F129D" w:rsidRPr="004E4188" w:rsidRDefault="006F129D" w:rsidP="0058317B">
            <w:pPr>
              <w:spacing w:afterLines="100" w:after="240"/>
            </w:pPr>
            <w:r w:rsidRPr="004E4188">
              <w:t>L</w:t>
            </w:r>
            <w:r w:rsidRPr="004E4188">
              <w:rPr>
                <w:szCs w:val="24"/>
              </w:rPr>
              <w:t>’Avis d’appel d’offres ne fait pas partie du Dossier d’appel d’offres. Cependant, le Maître d’ouvrage veillera à ce que son contenu soit</w:t>
            </w:r>
            <w:r w:rsidRPr="004E4188" w:rsidDel="00521368">
              <w:rPr>
                <w:szCs w:val="24"/>
              </w:rPr>
              <w:t xml:space="preserve"> </w:t>
            </w:r>
            <w:r w:rsidRPr="004E4188">
              <w:rPr>
                <w:szCs w:val="24"/>
              </w:rPr>
              <w:t xml:space="preserve">cohérent avec les informations données à la Section II, Données </w:t>
            </w:r>
            <w:r w:rsidRPr="004E4188">
              <w:rPr>
                <w:szCs w:val="24"/>
                <w:lang w:eastAsia="ja-JP"/>
              </w:rPr>
              <w:t>p</w:t>
            </w:r>
            <w:r w:rsidRPr="004E4188">
              <w:rPr>
                <w:szCs w:val="24"/>
              </w:rPr>
              <w:t>articulières.</w:t>
            </w:r>
          </w:p>
        </w:tc>
      </w:tr>
    </w:tbl>
    <w:p w14:paraId="61B1E3E7" w14:textId="77777777" w:rsidR="006F129D" w:rsidRPr="004E4188" w:rsidRDefault="006F129D" w:rsidP="00B6511C">
      <w:pPr>
        <w:suppressAutoHyphens w:val="0"/>
        <w:jc w:val="left"/>
      </w:pPr>
    </w:p>
    <w:p w14:paraId="0080F26F" w14:textId="77777777" w:rsidR="006F129D" w:rsidRPr="004E4188" w:rsidRDefault="006F129D" w:rsidP="00B6511C">
      <w:pPr>
        <w:tabs>
          <w:tab w:val="left" w:pos="720"/>
        </w:tabs>
        <w:jc w:val="center"/>
        <w:rPr>
          <w:sz w:val="20"/>
        </w:rPr>
      </w:pPr>
    </w:p>
    <w:p w14:paraId="6DE133CF" w14:textId="77777777" w:rsidR="006F129D" w:rsidRPr="004E4188" w:rsidRDefault="006F129D" w:rsidP="00994177">
      <w:pPr>
        <w:pStyle w:val="UG-Title"/>
        <w:rPr>
          <w:lang w:val="fr-FR"/>
        </w:rPr>
        <w:sectPr w:rsidR="006F129D" w:rsidRPr="004E4188" w:rsidSect="00FB7055">
          <w:headerReference w:type="default" r:id="rId28"/>
          <w:footnotePr>
            <w:numRestart w:val="eachSect"/>
          </w:footnotePr>
          <w:endnotePr>
            <w:numFmt w:val="decimal"/>
          </w:endnotePr>
          <w:type w:val="nextColumn"/>
          <w:pgSz w:w="12240" w:h="15840"/>
          <w:pgMar w:top="1440" w:right="1440" w:bottom="1440" w:left="1797" w:header="720" w:footer="720" w:gutter="0"/>
          <w:cols w:space="720"/>
        </w:sectPr>
      </w:pPr>
    </w:p>
    <w:p w14:paraId="738D81D6" w14:textId="77777777" w:rsidR="006F129D" w:rsidRPr="004E4188" w:rsidRDefault="006F129D" w:rsidP="00885D98">
      <w:pPr>
        <w:spacing w:beforeLines="50" w:before="120"/>
        <w:jc w:val="center"/>
        <w:rPr>
          <w:b/>
          <w:sz w:val="40"/>
          <w:szCs w:val="40"/>
        </w:rPr>
      </w:pPr>
      <w:r w:rsidRPr="004E4188">
        <w:rPr>
          <w:b/>
          <w:sz w:val="40"/>
          <w:szCs w:val="40"/>
        </w:rPr>
        <w:t>Avis d’appel d’offres</w:t>
      </w:r>
    </w:p>
    <w:p w14:paraId="16BADADE" w14:textId="77777777" w:rsidR="006F129D" w:rsidRPr="004E4188" w:rsidRDefault="006F129D" w:rsidP="00994177"/>
    <w:p w14:paraId="196B2E53" w14:textId="77777777" w:rsidR="006F129D" w:rsidRPr="004E4188" w:rsidRDefault="006F129D" w:rsidP="00994177"/>
    <w:p w14:paraId="3FDCD80E" w14:textId="2515CBFC" w:rsidR="006F129D" w:rsidRPr="004E4188" w:rsidRDefault="006F129D" w:rsidP="00D45EAD">
      <w:pPr>
        <w:rPr>
          <w:spacing w:val="-4"/>
          <w:lang w:eastAsia="ja-JP"/>
        </w:rPr>
      </w:pPr>
      <w:r w:rsidRPr="004E4188">
        <w:rPr>
          <w:iCs/>
          <w:spacing w:val="-6"/>
        </w:rPr>
        <w:t>Date : [</w:t>
      </w:r>
      <w:r w:rsidRPr="004E4188">
        <w:rPr>
          <w:i/>
          <w:iCs/>
          <w:spacing w:val="-6"/>
        </w:rPr>
        <w:t>insérer</w:t>
      </w:r>
      <w:r w:rsidRPr="004E4188">
        <w:rPr>
          <w:i/>
          <w:iCs/>
          <w:spacing w:val="-6"/>
          <w:lang w:eastAsia="ja-JP"/>
        </w:rPr>
        <w:t xml:space="preserve"> la date de publication de l’Avis d’appel d’offres</w:t>
      </w:r>
      <w:r w:rsidRPr="004E4188">
        <w:rPr>
          <w:spacing w:val="-4"/>
        </w:rPr>
        <w:t>]</w:t>
      </w:r>
    </w:p>
    <w:p w14:paraId="7F3F9994" w14:textId="71FDDE26" w:rsidR="006F129D" w:rsidRPr="004E4188" w:rsidRDefault="006F129D" w:rsidP="00D45EAD">
      <w:pPr>
        <w:rPr>
          <w:spacing w:val="-4"/>
        </w:rPr>
      </w:pPr>
      <w:r w:rsidRPr="004E4188">
        <w:rPr>
          <w:iCs/>
          <w:spacing w:val="-6"/>
        </w:rPr>
        <w:t xml:space="preserve">AAO </w:t>
      </w:r>
      <w:r w:rsidRPr="004E4188">
        <w:rPr>
          <w:spacing w:val="-4"/>
          <w:lang w:eastAsia="ja-JP"/>
        </w:rPr>
        <w:t>n</w:t>
      </w:r>
      <w:r w:rsidRPr="004E4188">
        <w:rPr>
          <w:spacing w:val="-4"/>
          <w:vertAlign w:val="superscript"/>
          <w:lang w:eastAsia="ja-JP"/>
        </w:rPr>
        <w:t>o</w:t>
      </w:r>
      <w:r w:rsidRPr="004E4188">
        <w:rPr>
          <w:spacing w:val="-4"/>
          <w:lang w:eastAsia="ja-JP"/>
        </w:rPr>
        <w:t xml:space="preserve"> : </w:t>
      </w:r>
      <w:r w:rsidRPr="004E4188">
        <w:rPr>
          <w:iCs/>
          <w:spacing w:val="-6"/>
        </w:rPr>
        <w:t>[</w:t>
      </w:r>
      <w:r w:rsidRPr="004E4188">
        <w:rPr>
          <w:i/>
          <w:iCs/>
          <w:spacing w:val="-6"/>
          <w:lang w:eastAsia="ja-JP"/>
        </w:rPr>
        <w:t>insérer</w:t>
      </w:r>
      <w:r w:rsidRPr="004E4188">
        <w:rPr>
          <w:i/>
          <w:iCs/>
          <w:spacing w:val="-6"/>
        </w:rPr>
        <w:t xml:space="preserve"> le numéro de l’Avis d’appel d’offres</w:t>
      </w:r>
      <w:r w:rsidRPr="004E4188">
        <w:rPr>
          <w:spacing w:val="-4"/>
        </w:rPr>
        <w:t>]</w:t>
      </w:r>
    </w:p>
    <w:p w14:paraId="45F3AF7D" w14:textId="77777777" w:rsidR="006F129D" w:rsidRPr="004E4188" w:rsidRDefault="006F129D" w:rsidP="00D45EAD">
      <w:pPr>
        <w:rPr>
          <w:spacing w:val="-4"/>
          <w:szCs w:val="24"/>
        </w:rPr>
      </w:pPr>
      <w:r w:rsidRPr="004E4188">
        <w:rPr>
          <w:spacing w:val="-4"/>
          <w:szCs w:val="24"/>
        </w:rPr>
        <w:t>Maître d’ouvrage : [</w:t>
      </w:r>
      <w:r w:rsidRPr="004E4188">
        <w:rPr>
          <w:i/>
          <w:spacing w:val="-4"/>
          <w:szCs w:val="24"/>
        </w:rPr>
        <w:t>insérer le nom du Maître d’ouvrage</w:t>
      </w:r>
      <w:r w:rsidRPr="004E4188">
        <w:rPr>
          <w:spacing w:val="-4"/>
          <w:szCs w:val="24"/>
        </w:rPr>
        <w:t>]</w:t>
      </w:r>
    </w:p>
    <w:p w14:paraId="30A01777" w14:textId="77777777" w:rsidR="006F129D" w:rsidRPr="004E4188" w:rsidRDefault="006F129D" w:rsidP="00D45EAD">
      <w:pPr>
        <w:rPr>
          <w:spacing w:val="-4"/>
          <w:szCs w:val="24"/>
        </w:rPr>
      </w:pPr>
      <w:r w:rsidRPr="004E4188">
        <w:rPr>
          <w:spacing w:val="-4"/>
          <w:szCs w:val="24"/>
        </w:rPr>
        <w:t>Pays : [</w:t>
      </w:r>
      <w:r w:rsidRPr="004E4188">
        <w:rPr>
          <w:i/>
          <w:spacing w:val="-4"/>
          <w:szCs w:val="24"/>
        </w:rPr>
        <w:t>insérer le nom du pays du Maître d’ouvrage/de l’Emprunteur</w:t>
      </w:r>
      <w:r w:rsidRPr="004E4188">
        <w:rPr>
          <w:spacing w:val="-4"/>
          <w:szCs w:val="24"/>
        </w:rPr>
        <w:t>]</w:t>
      </w:r>
    </w:p>
    <w:p w14:paraId="08B10DE5" w14:textId="77777777" w:rsidR="006F129D" w:rsidRPr="004E4188" w:rsidRDefault="006F129D" w:rsidP="00D45EAD">
      <w:pPr>
        <w:rPr>
          <w:spacing w:val="-4"/>
        </w:rPr>
      </w:pPr>
      <w:r w:rsidRPr="004E4188">
        <w:rPr>
          <w:spacing w:val="-4"/>
          <w:lang w:eastAsia="ja-JP"/>
        </w:rPr>
        <w:t>Prêt de la JICA n</w:t>
      </w:r>
      <w:r w:rsidRPr="004E4188">
        <w:rPr>
          <w:spacing w:val="-4"/>
          <w:vertAlign w:val="superscript"/>
          <w:lang w:eastAsia="ja-JP"/>
        </w:rPr>
        <w:t>o</w:t>
      </w:r>
      <w:r w:rsidRPr="004E4188">
        <w:rPr>
          <w:spacing w:val="-4"/>
          <w:lang w:eastAsia="ja-JP"/>
        </w:rPr>
        <w:t xml:space="preserve"> : </w:t>
      </w:r>
      <w:r w:rsidRPr="004E4188">
        <w:rPr>
          <w:iCs/>
          <w:spacing w:val="-6"/>
        </w:rPr>
        <w:t>[</w:t>
      </w:r>
      <w:r w:rsidRPr="004E4188">
        <w:rPr>
          <w:i/>
          <w:iCs/>
          <w:spacing w:val="-6"/>
        </w:rPr>
        <w:t>insére</w:t>
      </w:r>
      <w:r w:rsidRPr="004E4188">
        <w:rPr>
          <w:rFonts w:hint="eastAsia"/>
          <w:i/>
          <w:iCs/>
          <w:spacing w:val="-6"/>
          <w:lang w:eastAsia="ja-JP"/>
        </w:rPr>
        <w:t>r</w:t>
      </w:r>
      <w:r w:rsidRPr="004E4188">
        <w:rPr>
          <w:i/>
          <w:iCs/>
          <w:spacing w:val="-6"/>
        </w:rPr>
        <w:t xml:space="preserve"> le numéro de</w:t>
      </w:r>
      <w:r w:rsidRPr="004E4188">
        <w:rPr>
          <w:i/>
          <w:iCs/>
          <w:spacing w:val="-6"/>
          <w:lang w:eastAsia="ja-JP"/>
        </w:rPr>
        <w:t xml:space="preserve"> l’Accord de </w:t>
      </w:r>
      <w:r w:rsidRPr="004E4188">
        <w:rPr>
          <w:rFonts w:hint="eastAsia"/>
          <w:i/>
          <w:iCs/>
          <w:spacing w:val="-6"/>
          <w:lang w:eastAsia="ja-JP"/>
        </w:rPr>
        <w:t>P</w:t>
      </w:r>
      <w:r w:rsidRPr="004E4188">
        <w:rPr>
          <w:i/>
          <w:iCs/>
          <w:spacing w:val="-6"/>
          <w:lang w:eastAsia="ja-JP"/>
        </w:rPr>
        <w:t>rêt de la JICA</w:t>
      </w:r>
      <w:r w:rsidRPr="004E4188">
        <w:rPr>
          <w:spacing w:val="-4"/>
        </w:rPr>
        <w:t>]</w:t>
      </w:r>
    </w:p>
    <w:p w14:paraId="0B6EBF9E" w14:textId="77777777" w:rsidR="006F129D" w:rsidRPr="004E4188" w:rsidRDefault="006F129D" w:rsidP="00D45EAD">
      <w:pPr>
        <w:rPr>
          <w:spacing w:val="-4"/>
          <w:lang w:eastAsia="ja-JP"/>
        </w:rPr>
      </w:pPr>
      <w:r w:rsidRPr="004E4188">
        <w:rPr>
          <w:spacing w:val="-4"/>
          <w:lang w:eastAsia="ja-JP"/>
        </w:rPr>
        <w:t>Nom de projet : [</w:t>
      </w:r>
      <w:r w:rsidRPr="004E4188">
        <w:rPr>
          <w:i/>
          <w:spacing w:val="-4"/>
          <w:lang w:eastAsia="ja-JP"/>
        </w:rPr>
        <w:t>insérer le nom du projet</w:t>
      </w:r>
      <w:r w:rsidRPr="004E4188">
        <w:rPr>
          <w:spacing w:val="-4"/>
          <w:lang w:eastAsia="ja-JP"/>
        </w:rPr>
        <w:t>]</w:t>
      </w:r>
    </w:p>
    <w:p w14:paraId="32B9D76E" w14:textId="77777777" w:rsidR="006F129D" w:rsidRPr="004E4188" w:rsidRDefault="006F129D" w:rsidP="00D45EAD">
      <w:pPr>
        <w:tabs>
          <w:tab w:val="left" w:pos="1418"/>
        </w:tabs>
        <w:rPr>
          <w:spacing w:val="-2"/>
          <w:szCs w:val="24"/>
        </w:rPr>
      </w:pPr>
      <w:r w:rsidRPr="004E4188">
        <w:rPr>
          <w:rFonts w:hint="eastAsia"/>
          <w:spacing w:val="-4"/>
        </w:rPr>
        <w:t>Marché</w:t>
      </w:r>
      <w:r w:rsidRPr="004E4188">
        <w:rPr>
          <w:spacing w:val="-4"/>
        </w:rPr>
        <w:t> </w:t>
      </w:r>
      <w:r w:rsidRPr="004E4188">
        <w:rPr>
          <w:rFonts w:hint="eastAsia"/>
          <w:spacing w:val="-4"/>
        </w:rPr>
        <w:t>:</w:t>
      </w:r>
      <w:r w:rsidRPr="004E4188">
        <w:rPr>
          <w:spacing w:val="-4"/>
        </w:rPr>
        <w:t xml:space="preserve"> </w:t>
      </w:r>
      <w:r w:rsidRPr="004E4188">
        <w:rPr>
          <w:spacing w:val="-4"/>
          <w:lang w:eastAsia="ja-JP"/>
        </w:rPr>
        <w:t>[</w:t>
      </w:r>
      <w:r w:rsidRPr="004E4188">
        <w:rPr>
          <w:i/>
          <w:spacing w:val="-4"/>
          <w:lang w:eastAsia="ja-JP"/>
        </w:rPr>
        <w:t>insérer le nom du Marché</w:t>
      </w:r>
      <w:r w:rsidRPr="004E4188">
        <w:rPr>
          <w:spacing w:val="-2"/>
          <w:szCs w:val="24"/>
        </w:rPr>
        <w:t>]</w:t>
      </w:r>
    </w:p>
    <w:p w14:paraId="1E8A784C" w14:textId="77777777" w:rsidR="006F129D" w:rsidRPr="004E4188" w:rsidRDefault="006F129D" w:rsidP="00D45EAD">
      <w:pPr>
        <w:tabs>
          <w:tab w:val="left" w:pos="1418"/>
        </w:tabs>
        <w:rPr>
          <w:spacing w:val="-3"/>
          <w:szCs w:val="24"/>
        </w:rPr>
      </w:pPr>
    </w:p>
    <w:tbl>
      <w:tblPr>
        <w:tblW w:w="0" w:type="auto"/>
        <w:tblBorders>
          <w:insideH w:val="single" w:sz="4" w:space="0" w:color="auto"/>
        </w:tblBorders>
        <w:tblLook w:val="01E0" w:firstRow="1" w:lastRow="1" w:firstColumn="1" w:lastColumn="1" w:noHBand="0" w:noVBand="0"/>
      </w:tblPr>
      <w:tblGrid>
        <w:gridCol w:w="567"/>
        <w:gridCol w:w="8436"/>
      </w:tblGrid>
      <w:tr w:rsidR="006F129D" w:rsidRPr="004E4188" w14:paraId="75C7EBE1" w14:textId="77777777" w:rsidTr="0058317B">
        <w:tc>
          <w:tcPr>
            <w:tcW w:w="567" w:type="dxa"/>
            <w:tcBorders>
              <w:bottom w:val="nil"/>
            </w:tcBorders>
            <w:shd w:val="clear" w:color="auto" w:fill="auto"/>
          </w:tcPr>
          <w:p w14:paraId="4135AD36" w14:textId="77777777" w:rsidR="006F129D" w:rsidRPr="004E4188" w:rsidRDefault="006F129D" w:rsidP="00EE6612">
            <w:pPr>
              <w:rPr>
                <w:lang w:eastAsia="ja-JP"/>
              </w:rPr>
            </w:pPr>
            <w:r w:rsidRPr="004E4188">
              <w:rPr>
                <w:lang w:eastAsia="ja-JP"/>
              </w:rPr>
              <w:t>1.</w:t>
            </w:r>
          </w:p>
        </w:tc>
        <w:tc>
          <w:tcPr>
            <w:tcW w:w="8436" w:type="dxa"/>
            <w:tcBorders>
              <w:bottom w:val="nil"/>
            </w:tcBorders>
            <w:shd w:val="clear" w:color="auto" w:fill="auto"/>
          </w:tcPr>
          <w:p w14:paraId="4342D3E6" w14:textId="32744A5C" w:rsidR="006F129D" w:rsidRPr="004E4188" w:rsidRDefault="006F129D" w:rsidP="00D45EAD">
            <w:pPr>
              <w:spacing w:afterLines="100" w:after="240"/>
              <w:rPr>
                <w:vertAlign w:val="superscript"/>
                <w:lang w:eastAsia="ja-JP"/>
              </w:rPr>
            </w:pPr>
            <w:r w:rsidRPr="004E4188">
              <w:rPr>
                <w:iCs/>
              </w:rPr>
              <w:t>[</w:t>
            </w:r>
            <w:r w:rsidRPr="004E4188">
              <w:rPr>
                <w:i/>
                <w:iCs/>
              </w:rPr>
              <w:t>Indiquer le nom de l’Emprunteur</w:t>
            </w:r>
            <w:r w:rsidRPr="004E4188">
              <w:rPr>
                <w:iCs/>
              </w:rPr>
              <w:t>]</w:t>
            </w:r>
            <w:r w:rsidRPr="004E4188" w:rsidDel="00B2701E">
              <w:rPr>
                <w:iCs/>
              </w:rPr>
              <w:t xml:space="preserve"> </w:t>
            </w:r>
            <w:r w:rsidRPr="004E4188">
              <w:rPr>
                <w:iCs/>
              </w:rPr>
              <w:t>a reçu</w:t>
            </w:r>
            <w:r w:rsidRPr="004E4188">
              <w:rPr>
                <w:iCs/>
                <w:vertAlign w:val="superscript"/>
              </w:rPr>
              <w:t>1</w:t>
            </w:r>
            <w:r w:rsidRPr="004E4188">
              <w:rPr>
                <w:i/>
                <w:iCs/>
              </w:rPr>
              <w:t xml:space="preserve"> </w:t>
            </w:r>
            <w:r w:rsidRPr="004E4188">
              <w:t xml:space="preserve">un Prêt de l’Agence Japonaise de Coopération Internationale (« la JICA ») afin de financer </w:t>
            </w:r>
            <w:r w:rsidRPr="004E4188">
              <w:rPr>
                <w:iCs/>
              </w:rPr>
              <w:t>[</w:t>
            </w:r>
            <w:r w:rsidRPr="004E4188">
              <w:rPr>
                <w:i/>
                <w:iCs/>
              </w:rPr>
              <w:t>indiquer le nom du projet</w:t>
            </w:r>
            <w:r w:rsidRPr="004E4188">
              <w:rPr>
                <w:iCs/>
              </w:rPr>
              <w:t>]</w:t>
            </w:r>
            <w:r w:rsidRPr="004E4188">
              <w:rPr>
                <w:iCs/>
                <w:lang w:eastAsia="ja-JP"/>
              </w:rPr>
              <w:t xml:space="preserve"> et à l’intention d’utiliser</w:t>
            </w:r>
            <w:r w:rsidRPr="004E4188" w:rsidDel="00D36408">
              <w:rPr>
                <w:i/>
                <w:iCs/>
                <w:lang w:eastAsia="ja-JP"/>
              </w:rPr>
              <w:t xml:space="preserve"> </w:t>
            </w:r>
            <w:r w:rsidRPr="004E4188">
              <w:rPr>
                <w:iCs/>
                <w:lang w:eastAsia="ja-JP"/>
              </w:rPr>
              <w:t>une partie des fonds pour effectuer les paiements autorisés au titre du Marché</w:t>
            </w:r>
            <w:r w:rsidRPr="004E4188">
              <w:rPr>
                <w:iCs/>
                <w:vertAlign w:val="superscript"/>
                <w:lang w:eastAsia="ja-JP"/>
              </w:rPr>
              <w:t>2</w:t>
            </w:r>
            <w:r w:rsidRPr="004E4188">
              <w:rPr>
                <w:iCs/>
                <w:lang w:eastAsia="ja-JP"/>
              </w:rPr>
              <w:t xml:space="preserve"> de</w:t>
            </w:r>
            <w:r w:rsidRPr="004E4188">
              <w:t xml:space="preserve"> </w:t>
            </w:r>
            <w:r w:rsidRPr="004E4188">
              <w:rPr>
                <w:iCs/>
              </w:rPr>
              <w:t>[</w:t>
            </w:r>
            <w:r w:rsidRPr="004E4188">
              <w:rPr>
                <w:i/>
                <w:iCs/>
              </w:rPr>
              <w:t>indiquer le nom du Marché</w:t>
            </w:r>
            <w:r w:rsidRPr="004E4188">
              <w:rPr>
                <w:iCs/>
              </w:rPr>
              <w:t>]</w:t>
            </w:r>
            <w:r w:rsidRPr="004E4188">
              <w:rPr>
                <w:iCs/>
                <w:lang w:eastAsia="ja-JP"/>
              </w:rPr>
              <w:t>.</w:t>
            </w:r>
          </w:p>
        </w:tc>
      </w:tr>
      <w:tr w:rsidR="006F129D" w:rsidRPr="004E4188" w14:paraId="2D9D8B95" w14:textId="77777777" w:rsidTr="0058317B">
        <w:tc>
          <w:tcPr>
            <w:tcW w:w="567" w:type="dxa"/>
            <w:tcBorders>
              <w:top w:val="nil"/>
              <w:bottom w:val="nil"/>
            </w:tcBorders>
            <w:shd w:val="clear" w:color="auto" w:fill="auto"/>
          </w:tcPr>
          <w:p w14:paraId="11B101F7" w14:textId="77777777" w:rsidR="006F129D" w:rsidRPr="004E4188" w:rsidRDefault="006F129D" w:rsidP="00EE6612">
            <w:pPr>
              <w:rPr>
                <w:lang w:eastAsia="ja-JP"/>
              </w:rPr>
            </w:pPr>
            <w:r w:rsidRPr="004E4188">
              <w:rPr>
                <w:rFonts w:hint="eastAsia"/>
                <w:lang w:eastAsia="ja-JP"/>
              </w:rPr>
              <w:t>2</w:t>
            </w:r>
            <w:r w:rsidRPr="004E4188">
              <w:rPr>
                <w:lang w:eastAsia="ja-JP"/>
              </w:rPr>
              <w:t>.</w:t>
            </w:r>
          </w:p>
        </w:tc>
        <w:tc>
          <w:tcPr>
            <w:tcW w:w="8436" w:type="dxa"/>
            <w:tcBorders>
              <w:top w:val="nil"/>
              <w:bottom w:val="nil"/>
            </w:tcBorders>
            <w:shd w:val="clear" w:color="auto" w:fill="auto"/>
          </w:tcPr>
          <w:p w14:paraId="4EA51182" w14:textId="25108175" w:rsidR="006F129D" w:rsidRPr="004E4188" w:rsidRDefault="006F129D" w:rsidP="00D45EAD">
            <w:pPr>
              <w:spacing w:afterLines="100" w:after="240"/>
              <w:rPr>
                <w:iCs/>
              </w:rPr>
            </w:pPr>
            <w:r w:rsidRPr="004E4188">
              <w:rPr>
                <w:iCs/>
              </w:rPr>
              <w:t>[</w:t>
            </w:r>
            <w:r w:rsidRPr="004E4188">
              <w:rPr>
                <w:i/>
                <w:iCs/>
              </w:rPr>
              <w:t>Indiquer le nom du Maître d’ouvrage</w:t>
            </w:r>
            <w:r w:rsidRPr="004E4188">
              <w:rPr>
                <w:iCs/>
              </w:rPr>
              <w:t>]</w:t>
            </w:r>
            <w:r w:rsidRPr="004E4188">
              <w:rPr>
                <w:iCs/>
                <w:lang w:eastAsia="ja-JP"/>
              </w:rPr>
              <w:t xml:space="preserve"> </w:t>
            </w:r>
            <w:r w:rsidRPr="004E4188">
              <w:rPr>
                <w:spacing w:val="-3"/>
              </w:rPr>
              <w:t>invite, par le présent Avis d’appel d’offres, les Soumissionnaires éligibles à présenter leurs offres sous pli fermé, pour la conception et la réalisation de [</w:t>
            </w:r>
            <w:r w:rsidRPr="004E4188">
              <w:rPr>
                <w:i/>
                <w:iCs/>
              </w:rPr>
              <w:t>donne</w:t>
            </w:r>
            <w:r w:rsidRPr="004E4188">
              <w:rPr>
                <w:i/>
                <w:iCs/>
                <w:lang w:eastAsia="ja-JP"/>
              </w:rPr>
              <w:t>r</w:t>
            </w:r>
            <w:r w:rsidRPr="004E4188">
              <w:rPr>
                <w:i/>
                <w:iCs/>
              </w:rPr>
              <w:t xml:space="preserve"> une</w:t>
            </w:r>
            <w:r w:rsidRPr="004E4188">
              <w:rPr>
                <w:i/>
                <w:spacing w:val="-3"/>
              </w:rPr>
              <w:t xml:space="preserve"> description succincte des Équipements et Services de montage faisant l’objet de l’appel d’offres</w:t>
            </w:r>
            <w:r w:rsidRPr="004E4188">
              <w:rPr>
                <w:spacing w:val="-3"/>
              </w:rPr>
              <w:t>]</w:t>
            </w:r>
            <w:r w:rsidRPr="004E4188">
              <w:rPr>
                <w:spacing w:val="-3"/>
                <w:vertAlign w:val="superscript"/>
              </w:rPr>
              <w:t>3</w:t>
            </w:r>
            <w:r w:rsidRPr="004E4188">
              <w:rPr>
                <w:spacing w:val="-3"/>
              </w:rPr>
              <w:t xml:space="preserve"> (« les Installations »). Cet appel d’offres international sera mené conformément à la procédure de passation de marchés [</w:t>
            </w:r>
            <w:r w:rsidRPr="004E4188">
              <w:rPr>
                <w:i/>
                <w:spacing w:val="-3"/>
              </w:rPr>
              <w:t>choisir « à une étape-deux enveloppes » ou « à deux étapes</w:t>
            </w:r>
            <w:r w:rsidRPr="004E4188">
              <w:rPr>
                <w:rFonts w:hint="eastAsia"/>
                <w:i/>
                <w:noProof/>
                <w:lang w:eastAsia="ja-JP"/>
              </w:rPr>
              <w:t>-</w:t>
            </w:r>
            <w:r w:rsidRPr="004E4188">
              <w:rPr>
                <w:i/>
                <w:noProof/>
                <w:lang w:eastAsia="ja-JP"/>
              </w:rPr>
              <w:t>une enveloppe</w:t>
            </w:r>
            <w:r w:rsidRPr="004E4188">
              <w:rPr>
                <w:i/>
                <w:spacing w:val="-3"/>
              </w:rPr>
              <w:t> », selon le cas</w:t>
            </w:r>
            <w:r w:rsidRPr="004E4188">
              <w:rPr>
                <w:spacing w:val="-3"/>
              </w:rPr>
              <w:t>].</w:t>
            </w:r>
          </w:p>
        </w:tc>
      </w:tr>
      <w:tr w:rsidR="006F129D" w:rsidRPr="004E4188" w14:paraId="6ABCD7AE" w14:textId="77777777" w:rsidTr="0058317B">
        <w:tc>
          <w:tcPr>
            <w:tcW w:w="567" w:type="dxa"/>
            <w:tcBorders>
              <w:top w:val="nil"/>
              <w:bottom w:val="nil"/>
            </w:tcBorders>
            <w:shd w:val="clear" w:color="auto" w:fill="auto"/>
          </w:tcPr>
          <w:p w14:paraId="1000A76D" w14:textId="05433528" w:rsidR="006F129D" w:rsidRPr="004E4188" w:rsidRDefault="006F129D" w:rsidP="00EE6612">
            <w:pPr>
              <w:rPr>
                <w:lang w:eastAsia="ja-JP"/>
              </w:rPr>
            </w:pPr>
            <w:r w:rsidRPr="004E4188">
              <w:rPr>
                <w:lang w:eastAsia="ja-JP"/>
              </w:rPr>
              <w:t>3.</w:t>
            </w:r>
          </w:p>
        </w:tc>
        <w:tc>
          <w:tcPr>
            <w:tcW w:w="8436" w:type="dxa"/>
            <w:tcBorders>
              <w:top w:val="nil"/>
              <w:bottom w:val="nil"/>
            </w:tcBorders>
            <w:shd w:val="clear" w:color="auto" w:fill="auto"/>
          </w:tcPr>
          <w:p w14:paraId="0423C157" w14:textId="02A4FFD7" w:rsidR="006F129D" w:rsidRPr="004E4188" w:rsidRDefault="006F129D" w:rsidP="00994177">
            <w:pPr>
              <w:tabs>
                <w:tab w:val="num" w:pos="34"/>
              </w:tabs>
              <w:spacing w:afterLines="100" w:after="240"/>
            </w:pPr>
            <w:r w:rsidRPr="004E4188">
              <w:t>L’appel d’offres sera mené selon les procédures spécifiées dans les Directives applicables pour les passations de marchés sous financement par Prêts APD du Japon, et il est ouvert à tous les Soumissionnaires des pays d’origine éligibles, tels que définis dans le Dossier d’appel d’offres.</w:t>
            </w:r>
          </w:p>
        </w:tc>
      </w:tr>
      <w:tr w:rsidR="006F129D" w:rsidRPr="004E4188" w14:paraId="4293A73B" w14:textId="77777777" w:rsidTr="0058317B">
        <w:tc>
          <w:tcPr>
            <w:tcW w:w="567" w:type="dxa"/>
            <w:tcBorders>
              <w:top w:val="nil"/>
              <w:bottom w:val="nil"/>
            </w:tcBorders>
            <w:shd w:val="clear" w:color="auto" w:fill="auto"/>
          </w:tcPr>
          <w:p w14:paraId="3145E109" w14:textId="77777777" w:rsidR="006F129D" w:rsidRPr="004E4188" w:rsidRDefault="006F129D" w:rsidP="00EE6612">
            <w:pPr>
              <w:rPr>
                <w:lang w:eastAsia="ja-JP"/>
              </w:rPr>
            </w:pPr>
            <w:r w:rsidRPr="004E4188">
              <w:rPr>
                <w:lang w:eastAsia="ja-JP"/>
              </w:rPr>
              <w:t>4.</w:t>
            </w:r>
          </w:p>
        </w:tc>
        <w:tc>
          <w:tcPr>
            <w:tcW w:w="8436" w:type="dxa"/>
            <w:tcBorders>
              <w:top w:val="nil"/>
              <w:bottom w:val="nil"/>
            </w:tcBorders>
            <w:shd w:val="clear" w:color="auto" w:fill="auto"/>
          </w:tcPr>
          <w:p w14:paraId="60D6E970" w14:textId="4C47E33B" w:rsidR="006F129D" w:rsidRPr="004E4188" w:rsidRDefault="006F129D" w:rsidP="00D45EAD">
            <w:pPr>
              <w:tabs>
                <w:tab w:val="left" w:pos="-720"/>
                <w:tab w:val="left" w:pos="426"/>
              </w:tabs>
              <w:overflowPunct/>
              <w:autoSpaceDE/>
              <w:autoSpaceDN/>
              <w:adjustRightInd/>
              <w:textAlignment w:val="auto"/>
              <w:rPr>
                <w:spacing w:val="-3"/>
                <w:szCs w:val="24"/>
              </w:rPr>
            </w:pPr>
            <w:r w:rsidRPr="004E4188">
              <w:t>Les Soumissionnaires</w:t>
            </w:r>
            <w:r w:rsidRPr="004E4188">
              <w:rPr>
                <w:spacing w:val="-3"/>
              </w:rPr>
              <w:t xml:space="preserve"> intéressés peuvent obtenir des informations supplémentaires et consulter le Dossier d’appel d’offres durant les heures ouvrables à l’adresse suivante </w:t>
            </w:r>
            <w:r w:rsidRPr="004E4188">
              <w:rPr>
                <w:spacing w:val="-3"/>
                <w:szCs w:val="24"/>
              </w:rPr>
              <w:t>:</w:t>
            </w:r>
          </w:p>
          <w:p w14:paraId="2FC65F5B" w14:textId="77777777" w:rsidR="006F129D" w:rsidRPr="004E4188" w:rsidRDefault="006F129D" w:rsidP="00D45EAD">
            <w:pPr>
              <w:pStyle w:val="Style11"/>
              <w:spacing w:line="240" w:lineRule="auto"/>
              <w:rPr>
                <w:iCs/>
                <w:spacing w:val="-6"/>
                <w:lang w:val="fr-FR"/>
              </w:rPr>
            </w:pPr>
            <w:r w:rsidRPr="004E4188">
              <w:rPr>
                <w:iCs/>
                <w:spacing w:val="-6"/>
                <w:lang w:val="fr-FR"/>
              </w:rPr>
              <w:t>[</w:t>
            </w:r>
            <w:r w:rsidRPr="004E4188">
              <w:rPr>
                <w:i/>
                <w:iCs/>
                <w:spacing w:val="-6"/>
                <w:lang w:val="fr-FR"/>
              </w:rPr>
              <w:t>indiquer le nom du bureau</w:t>
            </w:r>
            <w:r w:rsidRPr="004E4188">
              <w:rPr>
                <w:iCs/>
                <w:spacing w:val="-6"/>
                <w:lang w:val="fr-FR"/>
              </w:rPr>
              <w:t>]</w:t>
            </w:r>
          </w:p>
          <w:p w14:paraId="6844EE96" w14:textId="31BE7DF6" w:rsidR="006F129D" w:rsidRPr="004E4188" w:rsidRDefault="006F129D" w:rsidP="00D45EAD">
            <w:pPr>
              <w:pStyle w:val="Style11"/>
              <w:spacing w:line="240" w:lineRule="auto"/>
              <w:rPr>
                <w:spacing w:val="-3"/>
                <w:lang w:val="fr-FR"/>
              </w:rPr>
            </w:pPr>
            <w:r w:rsidRPr="004E4188">
              <w:rPr>
                <w:spacing w:val="-3"/>
                <w:lang w:val="fr-FR"/>
              </w:rPr>
              <w:t>[</w:t>
            </w:r>
            <w:r w:rsidRPr="004E4188">
              <w:rPr>
                <w:i/>
                <w:spacing w:val="-3"/>
                <w:lang w:val="fr-FR"/>
              </w:rPr>
              <w:t>indiquer le nom d</w:t>
            </w:r>
            <w:r w:rsidRPr="004E4188">
              <w:rPr>
                <w:i/>
                <w:iCs/>
                <w:spacing w:val="-6"/>
                <w:lang w:val="fr-FR"/>
              </w:rPr>
              <w:t>e la personne responsable</w:t>
            </w:r>
            <w:r w:rsidRPr="004E4188">
              <w:rPr>
                <w:spacing w:val="-3"/>
                <w:lang w:val="fr-FR"/>
              </w:rPr>
              <w:t xml:space="preserve">] </w:t>
            </w:r>
          </w:p>
          <w:p w14:paraId="3781EA1A" w14:textId="77777777" w:rsidR="006F129D" w:rsidRPr="004E4188" w:rsidRDefault="006F129D" w:rsidP="00D45EAD">
            <w:pPr>
              <w:pStyle w:val="Style11"/>
              <w:spacing w:line="240" w:lineRule="auto"/>
              <w:rPr>
                <w:iCs/>
                <w:spacing w:val="-6"/>
                <w:lang w:val="fr-FR"/>
              </w:rPr>
            </w:pPr>
            <w:r w:rsidRPr="004E4188">
              <w:rPr>
                <w:spacing w:val="-3"/>
                <w:lang w:val="fr-FR"/>
              </w:rPr>
              <w:t>[</w:t>
            </w:r>
            <w:r w:rsidRPr="004E4188">
              <w:rPr>
                <w:i/>
                <w:spacing w:val="-3"/>
                <w:lang w:val="fr-FR"/>
              </w:rPr>
              <w:t>indiquer l’adresse postale</w:t>
            </w:r>
            <w:r w:rsidRPr="004E4188">
              <w:rPr>
                <w:iCs/>
                <w:spacing w:val="-6"/>
                <w:lang w:val="fr-FR"/>
              </w:rPr>
              <w:t>]</w:t>
            </w:r>
          </w:p>
          <w:p w14:paraId="0DFEB9B8" w14:textId="77777777" w:rsidR="006F129D" w:rsidRPr="004E4188" w:rsidRDefault="006F129D" w:rsidP="00D45EAD">
            <w:pPr>
              <w:tabs>
                <w:tab w:val="num" w:pos="34"/>
              </w:tabs>
              <w:rPr>
                <w:iCs/>
                <w:spacing w:val="-6"/>
              </w:rPr>
            </w:pPr>
            <w:r w:rsidRPr="004E4188">
              <w:rPr>
                <w:iCs/>
                <w:spacing w:val="-6"/>
              </w:rPr>
              <w:t>[</w:t>
            </w:r>
            <w:r w:rsidRPr="004E4188">
              <w:rPr>
                <w:i/>
                <w:iCs/>
                <w:spacing w:val="-6"/>
              </w:rPr>
              <w:t>indiquer les heures ouvrables</w:t>
            </w:r>
            <w:r w:rsidRPr="004E4188">
              <w:rPr>
                <w:iCs/>
                <w:spacing w:val="-6"/>
              </w:rPr>
              <w:t>]</w:t>
            </w:r>
          </w:p>
          <w:p w14:paraId="00278C42" w14:textId="77777777" w:rsidR="006F129D" w:rsidRPr="004E4188" w:rsidRDefault="006F129D" w:rsidP="00D45EAD">
            <w:pPr>
              <w:pStyle w:val="Style11"/>
              <w:spacing w:line="240" w:lineRule="auto"/>
              <w:rPr>
                <w:iCs/>
                <w:spacing w:val="-6"/>
                <w:lang w:val="fr-FR"/>
              </w:rPr>
            </w:pPr>
            <w:r w:rsidRPr="004E4188">
              <w:rPr>
                <w:iCs/>
                <w:spacing w:val="-6"/>
                <w:lang w:val="fr-FR"/>
              </w:rPr>
              <w:t>[</w:t>
            </w:r>
            <w:r w:rsidRPr="004E4188">
              <w:rPr>
                <w:i/>
                <w:iCs/>
                <w:spacing w:val="-6"/>
                <w:lang w:val="fr-FR"/>
              </w:rPr>
              <w:t>indiquer le numéro de téléphone avec les codes pays/ville</w:t>
            </w:r>
            <w:r w:rsidRPr="004E4188">
              <w:rPr>
                <w:iCs/>
                <w:spacing w:val="-6"/>
                <w:lang w:val="fr-FR"/>
              </w:rPr>
              <w:t>]</w:t>
            </w:r>
          </w:p>
          <w:p w14:paraId="083C6D3D" w14:textId="77777777" w:rsidR="006F129D" w:rsidRPr="004E4188" w:rsidRDefault="006F129D" w:rsidP="00D45EAD">
            <w:pPr>
              <w:pStyle w:val="Style11"/>
              <w:spacing w:line="240" w:lineRule="auto"/>
              <w:rPr>
                <w:i/>
                <w:iCs/>
                <w:spacing w:val="-6"/>
                <w:lang w:val="fr-FR"/>
              </w:rPr>
            </w:pPr>
            <w:r w:rsidRPr="004E4188">
              <w:rPr>
                <w:iCs/>
                <w:spacing w:val="-6"/>
                <w:lang w:val="fr-FR"/>
              </w:rPr>
              <w:t>[</w:t>
            </w:r>
            <w:r w:rsidRPr="004E4188">
              <w:rPr>
                <w:i/>
                <w:iCs/>
                <w:spacing w:val="-6"/>
                <w:lang w:val="fr-FR"/>
              </w:rPr>
              <w:t>indiquer le numéro de fax avec les codes pays/ville</w:t>
            </w:r>
            <w:r w:rsidRPr="004E4188">
              <w:rPr>
                <w:iCs/>
                <w:spacing w:val="-6"/>
                <w:lang w:val="fr-FR"/>
              </w:rPr>
              <w:t>]</w:t>
            </w:r>
            <w:r w:rsidRPr="004E4188">
              <w:rPr>
                <w:i/>
                <w:iCs/>
                <w:spacing w:val="-6"/>
                <w:lang w:val="fr-FR"/>
              </w:rPr>
              <w:t xml:space="preserve"> </w:t>
            </w:r>
          </w:p>
          <w:p w14:paraId="1137658D" w14:textId="77777777" w:rsidR="006F129D" w:rsidRPr="004E4188" w:rsidRDefault="006F129D" w:rsidP="00D45EAD">
            <w:pPr>
              <w:rPr>
                <w:iCs/>
                <w:spacing w:val="-6"/>
              </w:rPr>
            </w:pPr>
            <w:r w:rsidRPr="004E4188">
              <w:rPr>
                <w:iCs/>
                <w:spacing w:val="-6"/>
              </w:rPr>
              <w:t>[</w:t>
            </w:r>
            <w:r w:rsidRPr="004E4188">
              <w:rPr>
                <w:i/>
                <w:iCs/>
                <w:spacing w:val="-6"/>
              </w:rPr>
              <w:t>indiquer l’adresse e-mail</w:t>
            </w:r>
            <w:r w:rsidRPr="004E4188">
              <w:rPr>
                <w:iCs/>
                <w:spacing w:val="-6"/>
              </w:rPr>
              <w:t>]</w:t>
            </w:r>
            <w:r w:rsidRPr="004E4188" w:rsidDel="00A41B9C">
              <w:rPr>
                <w:iCs/>
                <w:spacing w:val="-6"/>
              </w:rPr>
              <w:t xml:space="preserve"> </w:t>
            </w:r>
          </w:p>
          <w:p w14:paraId="153F9068" w14:textId="26C3A76D" w:rsidR="006F129D" w:rsidRPr="004E4188" w:rsidRDefault="006F129D" w:rsidP="00D45EAD">
            <w:pPr>
              <w:pStyle w:val="Style11"/>
              <w:spacing w:line="240" w:lineRule="auto"/>
              <w:rPr>
                <w:i/>
                <w:spacing w:val="-3"/>
              </w:rPr>
            </w:pPr>
          </w:p>
        </w:tc>
      </w:tr>
      <w:tr w:rsidR="006F129D" w:rsidRPr="004E4188" w14:paraId="034AA7A5" w14:textId="77777777" w:rsidTr="0058317B">
        <w:tc>
          <w:tcPr>
            <w:tcW w:w="567" w:type="dxa"/>
            <w:tcBorders>
              <w:top w:val="nil"/>
              <w:bottom w:val="nil"/>
            </w:tcBorders>
            <w:shd w:val="clear" w:color="auto" w:fill="auto"/>
          </w:tcPr>
          <w:p w14:paraId="35836288" w14:textId="77777777" w:rsidR="006F129D" w:rsidRPr="004E4188" w:rsidRDefault="006F129D" w:rsidP="00EE6612">
            <w:pPr>
              <w:rPr>
                <w:lang w:eastAsia="ja-JP"/>
              </w:rPr>
            </w:pPr>
            <w:r w:rsidRPr="004E4188">
              <w:rPr>
                <w:lang w:eastAsia="ja-JP"/>
              </w:rPr>
              <w:t>5.</w:t>
            </w:r>
          </w:p>
        </w:tc>
        <w:tc>
          <w:tcPr>
            <w:tcW w:w="8436" w:type="dxa"/>
            <w:tcBorders>
              <w:top w:val="nil"/>
              <w:bottom w:val="nil"/>
            </w:tcBorders>
            <w:shd w:val="clear" w:color="auto" w:fill="auto"/>
          </w:tcPr>
          <w:p w14:paraId="0C67C058" w14:textId="5FB9D19C" w:rsidR="006F129D" w:rsidRPr="004E4188" w:rsidRDefault="006F129D" w:rsidP="00D45EAD">
            <w:pPr>
              <w:tabs>
                <w:tab w:val="num" w:pos="34"/>
              </w:tabs>
              <w:spacing w:afterLines="100" w:after="240"/>
              <w:rPr>
                <w:szCs w:val="24"/>
              </w:rPr>
            </w:pPr>
            <w:r w:rsidRPr="004E4188">
              <w:rPr>
                <w:szCs w:val="24"/>
              </w:rPr>
              <w:t xml:space="preserve">Les </w:t>
            </w:r>
            <w:r w:rsidRPr="004E4188">
              <w:t>Soumissionnaires</w:t>
            </w:r>
            <w:r w:rsidRPr="004E4188">
              <w:rPr>
                <w:spacing w:val="-3"/>
              </w:rPr>
              <w:t xml:space="preserve"> </w:t>
            </w:r>
            <w:r w:rsidRPr="004E4188">
              <w:t>intéressés</w:t>
            </w:r>
            <w:r w:rsidRPr="004E4188">
              <w:rPr>
                <w:spacing w:val="-3"/>
              </w:rPr>
              <w:t xml:space="preserve"> </w:t>
            </w:r>
            <w:r w:rsidRPr="004E4188">
              <w:t>peuvent obtenir le</w:t>
            </w:r>
            <w:r w:rsidRPr="004E4188">
              <w:rPr>
                <w:szCs w:val="24"/>
              </w:rPr>
              <w:t xml:space="preserve"> Dossier d’appel d’offres </w:t>
            </w:r>
            <w:r w:rsidRPr="004E4188">
              <w:t>sur soumission d’une demande écrite à l’adresse ci-dessus et moyennant paiement des frais non remboursables</w:t>
            </w:r>
            <w:r w:rsidRPr="004E4188">
              <w:rPr>
                <w:vertAlign w:val="superscript"/>
                <w:lang w:eastAsia="ja-JP"/>
              </w:rPr>
              <w:t xml:space="preserve"> </w:t>
            </w:r>
            <w:r w:rsidRPr="004E4188">
              <w:t xml:space="preserve">suivants : </w:t>
            </w:r>
            <w:r w:rsidRPr="004E4188">
              <w:rPr>
                <w:iCs/>
              </w:rPr>
              <w:t>[</w:t>
            </w:r>
            <w:r w:rsidRPr="004E4188">
              <w:rPr>
                <w:i/>
                <w:iCs/>
              </w:rPr>
              <w:t xml:space="preserve">indiquer un montant dans la monnaie du pays </w:t>
            </w:r>
            <w:r w:rsidR="0069046E" w:rsidRPr="004E4188">
              <w:rPr>
                <w:i/>
                <w:iCs/>
              </w:rPr>
              <w:t>du Maître d’ouvrage</w:t>
            </w:r>
            <w:r w:rsidRPr="004E4188">
              <w:rPr>
                <w:i/>
                <w:iCs/>
              </w:rPr>
              <w:t xml:space="preserve"> ou dans une devise convertible</w:t>
            </w:r>
            <w:r w:rsidRPr="004E4188">
              <w:rPr>
                <w:iCs/>
              </w:rPr>
              <w:t>]</w:t>
            </w:r>
            <w:r w:rsidRPr="004E4188">
              <w:rPr>
                <w:iCs/>
                <w:vertAlign w:val="superscript"/>
              </w:rPr>
              <w:t>4</w:t>
            </w:r>
            <w:r w:rsidRPr="004E4188">
              <w:rPr>
                <w:iCs/>
              </w:rPr>
              <w:t>. La méthode de paiement sera </w:t>
            </w:r>
            <w:r w:rsidRPr="004E4188">
              <w:rPr>
                <w:rFonts w:hint="eastAsia"/>
                <w:iCs/>
                <w:lang w:eastAsia="ja-JP"/>
              </w:rPr>
              <w:t>[</w:t>
            </w:r>
            <w:r w:rsidRPr="004E4188">
              <w:rPr>
                <w:i/>
                <w:iCs/>
                <w:lang w:eastAsia="ja-JP"/>
              </w:rPr>
              <w:t>indiquer la forme de paiement</w:t>
            </w:r>
            <w:r w:rsidRPr="004E4188">
              <w:rPr>
                <w:iCs/>
                <w:lang w:eastAsia="ja-JP"/>
              </w:rPr>
              <w:t>]</w:t>
            </w:r>
            <w:r w:rsidRPr="004E4188">
              <w:rPr>
                <w:iCs/>
                <w:vertAlign w:val="superscript"/>
                <w:lang w:eastAsia="ja-JP"/>
              </w:rPr>
              <w:t>5</w:t>
            </w:r>
            <w:r w:rsidRPr="004E4188">
              <w:rPr>
                <w:iCs/>
                <w:lang w:eastAsia="ja-JP"/>
              </w:rPr>
              <w:t>. Le Dossier d’appel d’offres sera adressé par [</w:t>
            </w:r>
            <w:r w:rsidRPr="004E4188">
              <w:rPr>
                <w:i/>
                <w:iCs/>
                <w:lang w:eastAsia="ja-JP"/>
              </w:rPr>
              <w:t>indiquer le mode d’acheminement</w:t>
            </w:r>
            <w:r w:rsidRPr="004E4188">
              <w:rPr>
                <w:iCs/>
                <w:lang w:eastAsia="ja-JP"/>
              </w:rPr>
              <w:t>]</w:t>
            </w:r>
            <w:r w:rsidRPr="004E4188">
              <w:rPr>
                <w:spacing w:val="-2"/>
                <w:szCs w:val="24"/>
                <w:lang w:eastAsia="ja-JP"/>
              </w:rPr>
              <w:t>.</w:t>
            </w:r>
          </w:p>
        </w:tc>
      </w:tr>
      <w:tr w:rsidR="006F129D" w:rsidRPr="004E4188" w14:paraId="7DFB1F2E" w14:textId="77777777" w:rsidTr="0058317B">
        <w:tc>
          <w:tcPr>
            <w:tcW w:w="567" w:type="dxa"/>
            <w:tcBorders>
              <w:top w:val="nil"/>
              <w:bottom w:val="nil"/>
            </w:tcBorders>
            <w:shd w:val="clear" w:color="auto" w:fill="auto"/>
          </w:tcPr>
          <w:p w14:paraId="620E16D8" w14:textId="77777777" w:rsidR="006F129D" w:rsidRPr="004E4188" w:rsidRDefault="006F129D" w:rsidP="00EE6612">
            <w:pPr>
              <w:rPr>
                <w:lang w:eastAsia="ja-JP"/>
              </w:rPr>
            </w:pPr>
            <w:r w:rsidRPr="004E4188">
              <w:rPr>
                <w:lang w:eastAsia="ja-JP"/>
              </w:rPr>
              <w:t>6.</w:t>
            </w:r>
          </w:p>
        </w:tc>
        <w:tc>
          <w:tcPr>
            <w:tcW w:w="8436" w:type="dxa"/>
            <w:tcBorders>
              <w:top w:val="nil"/>
              <w:bottom w:val="nil"/>
            </w:tcBorders>
            <w:shd w:val="clear" w:color="auto" w:fill="auto"/>
          </w:tcPr>
          <w:p w14:paraId="518F3543" w14:textId="657C9CC5" w:rsidR="006F129D" w:rsidRPr="004E4188" w:rsidRDefault="006F129D" w:rsidP="00D45EAD">
            <w:pPr>
              <w:tabs>
                <w:tab w:val="num" w:pos="34"/>
              </w:tabs>
              <w:spacing w:afterLines="100" w:after="240"/>
              <w:rPr>
                <w:lang w:eastAsia="ja-JP"/>
              </w:rPr>
            </w:pPr>
            <w:r w:rsidRPr="004E4188">
              <w:t>Les offres doivent être remises à l’adresse ci-dessus</w:t>
            </w:r>
            <w:r w:rsidRPr="004E4188">
              <w:rPr>
                <w:vertAlign w:val="superscript"/>
              </w:rPr>
              <w:t>6</w:t>
            </w:r>
            <w:r w:rsidRPr="004E4188">
              <w:t xml:space="preserve"> au plus tard à </w:t>
            </w:r>
            <w:r w:rsidRPr="004E4188">
              <w:rPr>
                <w:iCs/>
              </w:rPr>
              <w:t>[</w:t>
            </w:r>
            <w:r w:rsidRPr="004E4188">
              <w:rPr>
                <w:i/>
                <w:iCs/>
              </w:rPr>
              <w:t xml:space="preserve">indiquer </w:t>
            </w:r>
            <w:r w:rsidRPr="004E4188">
              <w:rPr>
                <w:i/>
                <w:iCs/>
                <w:szCs w:val="24"/>
              </w:rPr>
              <w:t>l’heure</w:t>
            </w:r>
            <w:r w:rsidRPr="004E4188">
              <w:rPr>
                <w:szCs w:val="24"/>
              </w:rPr>
              <w:t>] le [</w:t>
            </w:r>
            <w:r w:rsidRPr="004E4188">
              <w:rPr>
                <w:i/>
                <w:iCs/>
                <w:szCs w:val="24"/>
              </w:rPr>
              <w:t>indiquer la date</w:t>
            </w:r>
            <w:r w:rsidRPr="004E4188">
              <w:rPr>
                <w:iCs/>
                <w:szCs w:val="24"/>
              </w:rPr>
              <w:t>]</w:t>
            </w:r>
            <w:r w:rsidRPr="004E4188">
              <w:rPr>
                <w:lang w:eastAsia="ja-JP"/>
              </w:rPr>
              <w:t xml:space="preserve"> et doivent être accompagnées d’une garantie de soumission</w:t>
            </w:r>
            <w:r w:rsidRPr="004E4188">
              <w:rPr>
                <w:vertAlign w:val="superscript"/>
                <w:lang w:eastAsia="ja-JP"/>
              </w:rPr>
              <w:t>7</w:t>
            </w:r>
            <w:r w:rsidRPr="004E4188">
              <w:rPr>
                <w:lang w:eastAsia="ja-JP"/>
              </w:rPr>
              <w:t xml:space="preserve"> d’un montant de </w:t>
            </w:r>
            <w:r w:rsidRPr="004E4188">
              <w:rPr>
                <w:szCs w:val="24"/>
              </w:rPr>
              <w:t>[</w:t>
            </w:r>
            <w:r w:rsidRPr="004E4188">
              <w:rPr>
                <w:i/>
                <w:iCs/>
                <w:szCs w:val="24"/>
              </w:rPr>
              <w:t>indiquer une somme fixe</w:t>
            </w:r>
            <w:r w:rsidRPr="004E4188">
              <w:rPr>
                <w:iCs/>
                <w:szCs w:val="24"/>
              </w:rPr>
              <w:t>]</w:t>
            </w:r>
            <w:r w:rsidRPr="004E4188">
              <w:rPr>
                <w:lang w:eastAsia="ja-JP"/>
              </w:rPr>
              <w:t>.</w:t>
            </w:r>
          </w:p>
        </w:tc>
      </w:tr>
      <w:tr w:rsidR="006F129D" w:rsidRPr="004E4188" w14:paraId="46379505" w14:textId="77777777" w:rsidTr="0058317B">
        <w:tc>
          <w:tcPr>
            <w:tcW w:w="567" w:type="dxa"/>
            <w:tcBorders>
              <w:top w:val="nil"/>
              <w:bottom w:val="nil"/>
            </w:tcBorders>
            <w:shd w:val="clear" w:color="auto" w:fill="auto"/>
          </w:tcPr>
          <w:p w14:paraId="25E831BB" w14:textId="77777777" w:rsidR="006F129D" w:rsidRPr="004E4188" w:rsidRDefault="006F129D" w:rsidP="00EE6612">
            <w:pPr>
              <w:rPr>
                <w:lang w:eastAsia="ja-JP"/>
              </w:rPr>
            </w:pPr>
            <w:r w:rsidRPr="004E4188">
              <w:rPr>
                <w:lang w:eastAsia="ja-JP"/>
              </w:rPr>
              <w:t>7.</w:t>
            </w:r>
          </w:p>
        </w:tc>
        <w:tc>
          <w:tcPr>
            <w:tcW w:w="8436" w:type="dxa"/>
            <w:tcBorders>
              <w:top w:val="nil"/>
              <w:bottom w:val="nil"/>
            </w:tcBorders>
            <w:shd w:val="clear" w:color="auto" w:fill="auto"/>
          </w:tcPr>
          <w:p w14:paraId="57C89CE3" w14:textId="48134ECB" w:rsidR="006F129D" w:rsidRPr="004E4188" w:rsidRDefault="006F129D" w:rsidP="00D45EAD">
            <w:pPr>
              <w:tabs>
                <w:tab w:val="num" w:pos="34"/>
              </w:tabs>
              <w:spacing w:afterLines="100" w:after="240"/>
              <w:rPr>
                <w:szCs w:val="24"/>
              </w:rPr>
            </w:pPr>
            <w:r w:rsidRPr="004E4188">
              <w:rPr>
                <w:szCs w:val="24"/>
              </w:rPr>
              <w:t>Les offres seront ouvertes en présence des représentants des Soumissionnaires qui souhaitent assister à l’ouverture des plis à l’adresse du bureau en charge indiquée dans le Dossier d’appel d’offres</w:t>
            </w:r>
            <w:r w:rsidRPr="004E4188">
              <w:rPr>
                <w:spacing w:val="-3"/>
                <w:szCs w:val="24"/>
              </w:rPr>
              <w:t>.</w:t>
            </w:r>
          </w:p>
        </w:tc>
      </w:tr>
    </w:tbl>
    <w:p w14:paraId="5D5CB183" w14:textId="77777777" w:rsidR="006F129D" w:rsidRPr="004E4188" w:rsidRDefault="006F129D" w:rsidP="00994177">
      <w:pPr>
        <w:spacing w:line="480" w:lineRule="atLeast"/>
        <w:rPr>
          <w:iCs/>
          <w:spacing w:val="-6"/>
        </w:rPr>
      </w:pPr>
    </w:p>
    <w:p w14:paraId="4812E07B" w14:textId="77777777" w:rsidR="006F129D" w:rsidRPr="004E4188" w:rsidRDefault="006F129D" w:rsidP="00994177">
      <w:pPr>
        <w:spacing w:line="480" w:lineRule="atLeast"/>
        <w:rPr>
          <w:i/>
          <w:iCs/>
          <w:spacing w:val="-6"/>
        </w:rPr>
      </w:pPr>
      <w:r w:rsidRPr="004E4188">
        <w:rPr>
          <w:iCs/>
          <w:spacing w:val="-6"/>
        </w:rPr>
        <w:t>[</w:t>
      </w:r>
      <w:r w:rsidRPr="004E4188">
        <w:rPr>
          <w:i/>
          <w:iCs/>
          <w:spacing w:val="-6"/>
        </w:rPr>
        <w:t>Indiquer le nom du bureau</w:t>
      </w:r>
      <w:r w:rsidRPr="004E4188">
        <w:rPr>
          <w:iCs/>
          <w:spacing w:val="-6"/>
        </w:rPr>
        <w:t>]</w:t>
      </w:r>
    </w:p>
    <w:p w14:paraId="173AAC1F" w14:textId="77777777" w:rsidR="006F129D" w:rsidRPr="004E4188" w:rsidRDefault="006F129D" w:rsidP="00994177">
      <w:pPr>
        <w:pStyle w:val="Style11"/>
        <w:spacing w:line="240" w:lineRule="auto"/>
        <w:rPr>
          <w:i/>
          <w:iCs/>
          <w:spacing w:val="-6"/>
          <w:lang w:val="fr-FR"/>
        </w:rPr>
      </w:pPr>
      <w:r w:rsidRPr="004E4188">
        <w:rPr>
          <w:iCs/>
          <w:spacing w:val="-6"/>
          <w:lang w:val="fr-FR"/>
        </w:rPr>
        <w:t>[</w:t>
      </w:r>
      <w:r w:rsidRPr="004E4188">
        <w:rPr>
          <w:i/>
          <w:iCs/>
          <w:spacing w:val="-6"/>
          <w:lang w:val="fr-FR"/>
        </w:rPr>
        <w:t>Indiquer le nom de la personne responsable</w:t>
      </w:r>
      <w:r w:rsidRPr="004E4188">
        <w:rPr>
          <w:iCs/>
          <w:spacing w:val="-6"/>
          <w:lang w:val="fr-FR"/>
        </w:rPr>
        <w:t>]</w:t>
      </w:r>
    </w:p>
    <w:p w14:paraId="40E9E825" w14:textId="2FE96E5A" w:rsidR="006F129D" w:rsidRPr="004E4188" w:rsidRDefault="006F129D" w:rsidP="00994177">
      <w:pPr>
        <w:pStyle w:val="Style11"/>
        <w:spacing w:line="240" w:lineRule="auto"/>
        <w:rPr>
          <w:i/>
          <w:iCs/>
          <w:spacing w:val="-6"/>
          <w:lang w:val="fr-FR"/>
        </w:rPr>
      </w:pPr>
      <w:r w:rsidRPr="004E4188">
        <w:rPr>
          <w:iCs/>
          <w:spacing w:val="-6"/>
          <w:lang w:val="fr-FR"/>
        </w:rPr>
        <w:t>[</w:t>
      </w:r>
      <w:r w:rsidRPr="004E4188">
        <w:rPr>
          <w:i/>
          <w:iCs/>
          <w:spacing w:val="-6"/>
          <w:lang w:val="fr-FR"/>
        </w:rPr>
        <w:t>Indiquer l’adresse postale</w:t>
      </w:r>
      <w:r w:rsidRPr="004E4188">
        <w:rPr>
          <w:iCs/>
          <w:spacing w:val="-6"/>
          <w:lang w:val="fr-FR"/>
        </w:rPr>
        <w:t>]</w:t>
      </w:r>
    </w:p>
    <w:p w14:paraId="687BA6D6" w14:textId="63081489" w:rsidR="006F129D" w:rsidRPr="004E4188" w:rsidRDefault="006F129D" w:rsidP="00994177">
      <w:pPr>
        <w:pStyle w:val="Style11"/>
        <w:spacing w:line="240" w:lineRule="auto"/>
        <w:rPr>
          <w:i/>
          <w:iCs/>
          <w:spacing w:val="-6"/>
          <w:lang w:val="fr-FR"/>
        </w:rPr>
      </w:pPr>
      <w:r w:rsidRPr="004E4188">
        <w:rPr>
          <w:iCs/>
          <w:spacing w:val="-6"/>
          <w:lang w:val="fr-FR"/>
        </w:rPr>
        <w:t>[</w:t>
      </w:r>
      <w:r w:rsidRPr="004E4188">
        <w:rPr>
          <w:i/>
          <w:iCs/>
          <w:spacing w:val="-6"/>
          <w:lang w:val="fr-FR"/>
        </w:rPr>
        <w:t>Indiquer le numéro de téléphone avec les codes pays/ville</w:t>
      </w:r>
      <w:r w:rsidRPr="004E4188">
        <w:rPr>
          <w:iCs/>
          <w:spacing w:val="-6"/>
          <w:lang w:val="fr-FR"/>
        </w:rPr>
        <w:t>]</w:t>
      </w:r>
    </w:p>
    <w:p w14:paraId="6ABC3FF3" w14:textId="77777777" w:rsidR="006F129D" w:rsidRPr="004E4188" w:rsidRDefault="006F129D" w:rsidP="00994177">
      <w:pPr>
        <w:ind w:right="944"/>
        <w:rPr>
          <w:i/>
          <w:iCs/>
          <w:spacing w:val="-6"/>
        </w:rPr>
      </w:pPr>
      <w:r w:rsidRPr="004E4188">
        <w:rPr>
          <w:iCs/>
          <w:spacing w:val="-6"/>
        </w:rPr>
        <w:t>[</w:t>
      </w:r>
      <w:r w:rsidRPr="004E4188">
        <w:rPr>
          <w:i/>
          <w:iCs/>
          <w:spacing w:val="-6"/>
        </w:rPr>
        <w:t>Indiquer le numéro de fax avec les codes pays/ville</w:t>
      </w:r>
      <w:r w:rsidRPr="004E4188">
        <w:rPr>
          <w:iCs/>
          <w:spacing w:val="-6"/>
        </w:rPr>
        <w:t xml:space="preserve">] </w:t>
      </w:r>
    </w:p>
    <w:p w14:paraId="52EE2FCF" w14:textId="77777777" w:rsidR="006F129D" w:rsidRPr="004E4188" w:rsidRDefault="006F129D" w:rsidP="00994177">
      <w:pPr>
        <w:ind w:right="944"/>
        <w:rPr>
          <w:iCs/>
          <w:spacing w:val="-6"/>
        </w:rPr>
      </w:pPr>
      <w:r w:rsidRPr="004E4188">
        <w:rPr>
          <w:iCs/>
          <w:spacing w:val="-6"/>
        </w:rPr>
        <w:t>[</w:t>
      </w:r>
      <w:r w:rsidRPr="004E4188">
        <w:rPr>
          <w:i/>
          <w:iCs/>
          <w:spacing w:val="-6"/>
        </w:rPr>
        <w:t>Indiquer l’adresse e-mail</w:t>
      </w:r>
      <w:r w:rsidRPr="004E4188">
        <w:rPr>
          <w:iCs/>
          <w:spacing w:val="-6"/>
        </w:rPr>
        <w:t>]</w:t>
      </w:r>
    </w:p>
    <w:p w14:paraId="16ACEC92" w14:textId="77777777" w:rsidR="006F129D" w:rsidRDefault="006F129D" w:rsidP="00994177">
      <w:pPr>
        <w:ind w:right="944"/>
        <w:rPr>
          <w:iCs/>
          <w:spacing w:val="-6"/>
        </w:rPr>
      </w:pPr>
    </w:p>
    <w:p w14:paraId="0922F82A" w14:textId="77777777" w:rsidR="0006470B" w:rsidRPr="004E4188" w:rsidRDefault="0006470B" w:rsidP="00994177">
      <w:pPr>
        <w:ind w:right="944"/>
        <w:rPr>
          <w:iCs/>
          <w:spacing w:val="-6"/>
        </w:rPr>
      </w:pPr>
    </w:p>
    <w:p w14:paraId="02FC64C0" w14:textId="77777777" w:rsidR="006F129D" w:rsidRPr="004E4188" w:rsidRDefault="006F129D" w:rsidP="00D45EAD">
      <w:pPr>
        <w:suppressAutoHyphens w:val="0"/>
        <w:overflowPunct/>
        <w:autoSpaceDE/>
        <w:autoSpaceDN/>
        <w:adjustRightInd/>
        <w:spacing w:after="120"/>
        <w:jc w:val="left"/>
        <w:textAlignment w:val="auto"/>
        <w:rPr>
          <w:iCs/>
          <w:spacing w:val="-6"/>
          <w:u w:val="single"/>
        </w:rPr>
      </w:pPr>
      <w:r w:rsidRPr="004E4188">
        <w:rPr>
          <w:rFonts w:hint="eastAsia"/>
          <w:iCs/>
          <w:spacing w:val="-6"/>
          <w:u w:val="single"/>
        </w:rPr>
        <w:t>Notes à l</w:t>
      </w:r>
      <w:r w:rsidRPr="004E4188">
        <w:rPr>
          <w:iCs/>
          <w:spacing w:val="-6"/>
          <w:u w:val="single"/>
        </w:rPr>
        <w:t>’intention du Maître d’ouvrage</w:t>
      </w:r>
    </w:p>
    <w:p w14:paraId="27B1C6B5" w14:textId="77777777" w:rsidR="006F129D" w:rsidRPr="004E4188" w:rsidRDefault="006F129D" w:rsidP="003D46CF">
      <w:pPr>
        <w:numPr>
          <w:ilvl w:val="0"/>
          <w:numId w:val="23"/>
        </w:numPr>
        <w:tabs>
          <w:tab w:val="left" w:pos="284"/>
        </w:tabs>
        <w:suppressAutoHyphens w:val="0"/>
        <w:overflowPunct/>
        <w:autoSpaceDE/>
        <w:autoSpaceDN/>
        <w:adjustRightInd/>
        <w:spacing w:after="60"/>
        <w:textAlignment w:val="auto"/>
        <w:rPr>
          <w:i/>
          <w:iCs/>
          <w:spacing w:val="-6"/>
          <w:sz w:val="21"/>
          <w:szCs w:val="21"/>
        </w:rPr>
      </w:pPr>
      <w:r w:rsidRPr="004E4188">
        <w:rPr>
          <w:i/>
          <w:iCs/>
          <w:spacing w:val="-6"/>
          <w:sz w:val="21"/>
          <w:szCs w:val="21"/>
        </w:rPr>
        <w:t>Remplace</w:t>
      </w:r>
      <w:r w:rsidRPr="004E4188">
        <w:rPr>
          <w:i/>
          <w:iCs/>
          <w:spacing w:val="-6"/>
          <w:sz w:val="21"/>
          <w:szCs w:val="21"/>
          <w:lang w:eastAsia="ja-JP"/>
        </w:rPr>
        <w:t>r</w:t>
      </w:r>
      <w:r w:rsidRPr="004E4188">
        <w:rPr>
          <w:i/>
          <w:iCs/>
          <w:spacing w:val="-6"/>
          <w:sz w:val="21"/>
          <w:szCs w:val="21"/>
        </w:rPr>
        <w:t xml:space="preserve"> par « a demandé », le cas échéant.</w:t>
      </w:r>
    </w:p>
    <w:p w14:paraId="6A20E6FE" w14:textId="77777777" w:rsidR="006F129D" w:rsidRPr="004E4188" w:rsidRDefault="006F129D" w:rsidP="003D46CF">
      <w:pPr>
        <w:numPr>
          <w:ilvl w:val="0"/>
          <w:numId w:val="23"/>
        </w:numPr>
        <w:tabs>
          <w:tab w:val="left" w:pos="284"/>
        </w:tabs>
        <w:suppressAutoHyphens w:val="0"/>
        <w:overflowPunct/>
        <w:autoSpaceDE/>
        <w:autoSpaceDN/>
        <w:adjustRightInd/>
        <w:spacing w:after="60"/>
        <w:ind w:left="283" w:hangingChars="135" w:hanging="283"/>
        <w:textAlignment w:val="auto"/>
        <w:rPr>
          <w:i/>
          <w:iCs/>
          <w:spacing w:val="-6"/>
          <w:sz w:val="21"/>
          <w:szCs w:val="21"/>
        </w:rPr>
      </w:pPr>
      <w:r w:rsidRPr="004E4188">
        <w:rPr>
          <w:rFonts w:eastAsia="ＭＳ Ｐゴシック" w:cs="ＭＳ Ｐゴシック"/>
          <w:i/>
          <w:sz w:val="21"/>
          <w:szCs w:val="21"/>
          <w:lang w:eastAsia="ja-JP" w:bidi="ta-IN"/>
        </w:rPr>
        <w:t>R</w:t>
      </w:r>
      <w:r w:rsidRPr="004E4188">
        <w:rPr>
          <w:i/>
          <w:sz w:val="21"/>
          <w:szCs w:val="21"/>
        </w:rPr>
        <w:t>emplacer par « des Marchés » si l’appel d’offres concerne des lots multiples. Ajouter un nouveau paragraphe 4 dont le texte est le suivant : « Les Soumissionnaires peuvent soumettre une offre pour un ou plusieurs marchés, tel que précisé dans le Dossier d’appel d’offres. Les Soumissionnaires souhaitant offrir des rabais, en cas d’attribution de lots multiples, sont autorisés à le faire, à la condition que ces rabais soient spécifiés dans la Lettre de soumission de l’Offre Financière ou de l’offre</w:t>
      </w:r>
      <w:r w:rsidRPr="004E4188">
        <w:rPr>
          <w:rFonts w:eastAsia="ＭＳ Ｐゴシック" w:cs="ＭＳ Ｐゴシック"/>
          <w:i/>
          <w:sz w:val="21"/>
          <w:szCs w:val="21"/>
          <w:lang w:eastAsia="ja-JP" w:bidi="ta-IN"/>
        </w:rPr>
        <w:t xml:space="preserve"> de la deuxième étape</w:t>
      </w:r>
      <w:r w:rsidRPr="004E4188">
        <w:rPr>
          <w:i/>
          <w:sz w:val="21"/>
          <w:szCs w:val="21"/>
        </w:rPr>
        <w:t>, selon le cas. » ; et modifier la numérotation des paragraphes 4 à 7</w:t>
      </w:r>
      <w:r w:rsidRPr="004E4188">
        <w:rPr>
          <w:rFonts w:eastAsia="ＭＳ Ｐゴシック" w:cs="ＭＳ Ｐゴシック"/>
          <w:i/>
          <w:sz w:val="21"/>
          <w:szCs w:val="21"/>
          <w:lang w:eastAsia="ja-JP" w:bidi="ta-IN"/>
        </w:rPr>
        <w:t>.</w:t>
      </w:r>
    </w:p>
    <w:p w14:paraId="0B4A9BEF" w14:textId="334047AC" w:rsidR="006F129D" w:rsidRPr="004E4188" w:rsidRDefault="006F129D" w:rsidP="003D46CF">
      <w:pPr>
        <w:numPr>
          <w:ilvl w:val="0"/>
          <w:numId w:val="23"/>
        </w:numPr>
        <w:tabs>
          <w:tab w:val="left" w:pos="284"/>
        </w:tabs>
        <w:suppressAutoHyphens w:val="0"/>
        <w:overflowPunct/>
        <w:autoSpaceDE/>
        <w:autoSpaceDN/>
        <w:adjustRightInd/>
        <w:spacing w:after="60"/>
        <w:ind w:left="270" w:hangingChars="135" w:hanging="270"/>
        <w:textAlignment w:val="auto"/>
        <w:rPr>
          <w:i/>
          <w:iCs/>
          <w:spacing w:val="-6"/>
          <w:sz w:val="21"/>
          <w:szCs w:val="21"/>
        </w:rPr>
      </w:pPr>
      <w:r w:rsidRPr="004E4188">
        <w:rPr>
          <w:rFonts w:eastAsia="ＭＳ Ｐゴシック" w:cs="ＭＳ Ｐゴシック"/>
          <w:i/>
          <w:sz w:val="20"/>
          <w:lang w:eastAsia="ja-JP" w:bidi="ta-IN"/>
        </w:rPr>
        <w:t xml:space="preserve">Les Équipements et Services de montage </w:t>
      </w:r>
      <w:r w:rsidRPr="004E4188">
        <w:rPr>
          <w:rFonts w:eastAsia="ＭＳ Ｐゴシック" w:cs="ＭＳ Ｐゴシック"/>
          <w:i/>
          <w:sz w:val="21"/>
          <w:szCs w:val="21"/>
          <w:lang w:eastAsia="ja-JP" w:bidi="ta-IN"/>
        </w:rPr>
        <w:t xml:space="preserve">devront être décrits succinctement, y compris le nombre des </w:t>
      </w:r>
      <w:r w:rsidRPr="004E4188">
        <w:rPr>
          <w:i/>
          <w:sz w:val="21"/>
          <w:szCs w:val="21"/>
        </w:rPr>
        <w:t>équipements</w:t>
      </w:r>
      <w:r w:rsidRPr="004E4188">
        <w:rPr>
          <w:rFonts w:eastAsia="ＭＳ Ｐゴシック" w:cs="ＭＳ Ｐゴシック"/>
          <w:i/>
          <w:sz w:val="21"/>
          <w:szCs w:val="21"/>
          <w:lang w:eastAsia="ja-JP" w:bidi="ta-IN"/>
        </w:rPr>
        <w:t>, leurs capacités, la localisation du projet et toute autre information nécessaire pour permettre aux Soumissionnaires potentiels de décider de répondre ou non à l’Avis. Le Dossier d’appel d’offres peut requérir des Soumissionnaires d’avoir une expérience ou des capacités spécifiques</w:t>
      </w:r>
      <w:r w:rsidR="004D17C6" w:rsidRPr="004E4188">
        <w:rPr>
          <w:rFonts w:eastAsia="ＭＳ Ｐゴシック" w:cs="ＭＳ Ｐゴシック"/>
          <w:i/>
          <w:sz w:val="21"/>
          <w:szCs w:val="21"/>
          <w:lang w:eastAsia="ja-JP" w:bidi="ta-IN"/>
        </w:rPr>
        <w:t> ;</w:t>
      </w:r>
      <w:r w:rsidRPr="004E4188">
        <w:rPr>
          <w:rFonts w:eastAsia="ＭＳ Ｐゴシック" w:cs="ＭＳ Ｐゴシック"/>
          <w:i/>
          <w:sz w:val="21"/>
          <w:szCs w:val="21"/>
          <w:lang w:eastAsia="ja-JP" w:bidi="ta-IN"/>
        </w:rPr>
        <w:t xml:space="preserve"> de telles conditions devront être incluses dans ce paragraphe.</w:t>
      </w:r>
    </w:p>
    <w:p w14:paraId="484CC464" w14:textId="77777777" w:rsidR="006F129D" w:rsidRPr="004E4188" w:rsidRDefault="006F129D" w:rsidP="003D46CF">
      <w:pPr>
        <w:numPr>
          <w:ilvl w:val="0"/>
          <w:numId w:val="23"/>
        </w:numPr>
        <w:tabs>
          <w:tab w:val="left" w:pos="284"/>
        </w:tabs>
        <w:suppressAutoHyphens w:val="0"/>
        <w:overflowPunct/>
        <w:autoSpaceDE/>
        <w:autoSpaceDN/>
        <w:adjustRightInd/>
        <w:spacing w:after="60"/>
        <w:textAlignment w:val="auto"/>
        <w:rPr>
          <w:i/>
          <w:iCs/>
          <w:spacing w:val="-6"/>
          <w:sz w:val="21"/>
          <w:szCs w:val="21"/>
        </w:rPr>
      </w:pPr>
      <w:r w:rsidRPr="004E4188">
        <w:rPr>
          <w:i/>
          <w:iCs/>
          <w:spacing w:val="-6"/>
          <w:sz w:val="21"/>
          <w:szCs w:val="21"/>
        </w:rPr>
        <w:t>Les frais destinés à couvrir les coûts d’impression et d’envoi doivent être nominaux.</w:t>
      </w:r>
    </w:p>
    <w:p w14:paraId="4416FC61" w14:textId="77777777" w:rsidR="006F129D" w:rsidRPr="004E4188" w:rsidRDefault="006F129D" w:rsidP="003D46CF">
      <w:pPr>
        <w:numPr>
          <w:ilvl w:val="0"/>
          <w:numId w:val="23"/>
        </w:numPr>
        <w:tabs>
          <w:tab w:val="left" w:pos="284"/>
        </w:tabs>
        <w:suppressAutoHyphens w:val="0"/>
        <w:overflowPunct/>
        <w:autoSpaceDE/>
        <w:autoSpaceDN/>
        <w:adjustRightInd/>
        <w:spacing w:after="60"/>
        <w:textAlignment w:val="auto"/>
        <w:rPr>
          <w:i/>
          <w:iCs/>
          <w:spacing w:val="-6"/>
          <w:sz w:val="21"/>
          <w:szCs w:val="21"/>
        </w:rPr>
      </w:pPr>
      <w:r w:rsidRPr="004E4188">
        <w:rPr>
          <w:rFonts w:eastAsia="ＭＳ Ｐゴシック" w:cs="ＭＳ Ｐゴシック"/>
          <w:i/>
          <w:sz w:val="21"/>
          <w:szCs w:val="21"/>
          <w:lang w:eastAsia="ja-JP" w:bidi="ta-IN"/>
        </w:rPr>
        <w:t>Par exemple, chèque de banque, versement direct sur un numéro de compte spécifié, etc.</w:t>
      </w:r>
    </w:p>
    <w:p w14:paraId="40DCFD17" w14:textId="77777777" w:rsidR="006F129D" w:rsidRPr="004E4188" w:rsidRDefault="006F129D" w:rsidP="003D46CF">
      <w:pPr>
        <w:numPr>
          <w:ilvl w:val="0"/>
          <w:numId w:val="23"/>
        </w:numPr>
        <w:tabs>
          <w:tab w:val="left" w:pos="284"/>
        </w:tabs>
        <w:suppressAutoHyphens w:val="0"/>
        <w:overflowPunct/>
        <w:autoSpaceDE/>
        <w:autoSpaceDN/>
        <w:adjustRightInd/>
        <w:spacing w:after="60"/>
        <w:ind w:left="283" w:hangingChars="135" w:hanging="283"/>
        <w:textAlignment w:val="auto"/>
        <w:rPr>
          <w:i/>
          <w:iCs/>
          <w:spacing w:val="-6"/>
          <w:sz w:val="21"/>
          <w:szCs w:val="21"/>
        </w:rPr>
      </w:pPr>
      <w:r w:rsidRPr="004E4188">
        <w:rPr>
          <w:rFonts w:eastAsia="ＭＳ Ｐゴシック" w:cs="ＭＳ Ｐゴシック"/>
          <w:i/>
          <w:sz w:val="21"/>
          <w:szCs w:val="21"/>
          <w:lang w:eastAsia="ja-JP" w:bidi="ta-IN"/>
        </w:rPr>
        <w:t>Remplacer par « ci-dessous » et i</w:t>
      </w:r>
      <w:r w:rsidRPr="004E4188">
        <w:rPr>
          <w:i/>
          <w:iCs/>
          <w:spacing w:val="-6"/>
          <w:sz w:val="21"/>
          <w:szCs w:val="21"/>
        </w:rPr>
        <w:t xml:space="preserve">ndiquer l’adresse de soumission des offres </w:t>
      </w:r>
      <w:r w:rsidRPr="004E4188">
        <w:rPr>
          <w:i/>
          <w:sz w:val="21"/>
          <w:szCs w:val="21"/>
        </w:rPr>
        <w:t>juste en-dessous de ce paragraphe</w:t>
      </w:r>
      <w:r w:rsidRPr="004E4188">
        <w:rPr>
          <w:i/>
          <w:iCs/>
          <w:spacing w:val="-6"/>
          <w:sz w:val="21"/>
          <w:szCs w:val="21"/>
        </w:rPr>
        <w:t>, si différente de celle où obtenir les Dossiers d’appel d’offres.</w:t>
      </w:r>
    </w:p>
    <w:p w14:paraId="78E62BC0" w14:textId="77777777" w:rsidR="006F129D" w:rsidRPr="004E4188" w:rsidRDefault="006F129D" w:rsidP="003D46CF">
      <w:pPr>
        <w:numPr>
          <w:ilvl w:val="0"/>
          <w:numId w:val="23"/>
        </w:numPr>
        <w:tabs>
          <w:tab w:val="left" w:pos="284"/>
        </w:tabs>
        <w:suppressAutoHyphens w:val="0"/>
        <w:overflowPunct/>
        <w:autoSpaceDE/>
        <w:autoSpaceDN/>
        <w:adjustRightInd/>
        <w:spacing w:after="60"/>
        <w:ind w:left="283" w:hangingChars="135" w:hanging="283"/>
        <w:textAlignment w:val="auto"/>
        <w:rPr>
          <w:i/>
          <w:iCs/>
          <w:spacing w:val="-6"/>
          <w:sz w:val="21"/>
          <w:szCs w:val="21"/>
        </w:rPr>
      </w:pPr>
      <w:r w:rsidRPr="004E4188">
        <w:rPr>
          <w:rFonts w:eastAsia="ＭＳ Ｐゴシック" w:cs="ＭＳ Ｐゴシック"/>
          <w:i/>
          <w:sz w:val="21"/>
          <w:szCs w:val="21"/>
          <w:lang w:eastAsia="ja-JP" w:bidi="ta-IN"/>
        </w:rPr>
        <w:t>Supprimer l’exigence de garantie lorsque la procédure d’appel d’offres à deux étapes-une enveloppe est utilisée parce que cette garantie sera exigée dans l’Invitation à soumissionner pour la deuxième étape.</w:t>
      </w:r>
    </w:p>
    <w:p w14:paraId="31296122" w14:textId="77777777" w:rsidR="006F129D" w:rsidRPr="004E4188" w:rsidRDefault="006F129D" w:rsidP="00994177">
      <w:pPr>
        <w:ind w:right="944"/>
        <w:rPr>
          <w:iCs/>
          <w:spacing w:val="-6"/>
        </w:rPr>
      </w:pPr>
    </w:p>
    <w:p w14:paraId="1B801CE9" w14:textId="77777777" w:rsidR="006F129D" w:rsidRPr="004E4188" w:rsidRDefault="006F129D" w:rsidP="00994177">
      <w:pPr>
        <w:ind w:right="944"/>
        <w:rPr>
          <w:iCs/>
          <w:spacing w:val="-6"/>
        </w:rPr>
      </w:pPr>
    </w:p>
    <w:p w14:paraId="1CE1DC08" w14:textId="77777777" w:rsidR="006F129D" w:rsidRPr="004E4188" w:rsidRDefault="006F129D" w:rsidP="00994177">
      <w:pPr>
        <w:ind w:right="944"/>
        <w:rPr>
          <w:iCs/>
          <w:spacing w:val="-6"/>
        </w:rPr>
      </w:pPr>
    </w:p>
    <w:p w14:paraId="1FC2DA07" w14:textId="77777777" w:rsidR="006F129D" w:rsidRPr="004E4188" w:rsidRDefault="006F129D" w:rsidP="00994177">
      <w:pPr>
        <w:ind w:right="944"/>
        <w:rPr>
          <w:iCs/>
          <w:spacing w:val="-6"/>
        </w:rPr>
        <w:sectPr w:rsidR="006F129D" w:rsidRPr="004E4188" w:rsidSect="00FB7055">
          <w:headerReference w:type="even" r:id="rId29"/>
          <w:headerReference w:type="default" r:id="rId30"/>
          <w:footnotePr>
            <w:numRestart w:val="eachSect"/>
          </w:footnotePr>
          <w:endnotePr>
            <w:numFmt w:val="decimal"/>
          </w:endnotePr>
          <w:type w:val="nextColumn"/>
          <w:pgSz w:w="12240" w:h="15840"/>
          <w:pgMar w:top="1440" w:right="1440" w:bottom="1440" w:left="1797" w:header="720" w:footer="720" w:gutter="0"/>
          <w:pgNumType w:start="1"/>
          <w:cols w:space="720"/>
        </w:sectPr>
      </w:pPr>
    </w:p>
    <w:p w14:paraId="24E05E52" w14:textId="77777777" w:rsidR="006F129D" w:rsidRPr="004E4188" w:rsidRDefault="006F129D" w:rsidP="00D45EAD">
      <w:pPr>
        <w:pStyle w:val="S9Header"/>
        <w:jc w:val="both"/>
        <w:rPr>
          <w:lang w:eastAsia="ja-JP"/>
        </w:rPr>
      </w:pPr>
    </w:p>
    <w:p w14:paraId="1DE8E759" w14:textId="77777777" w:rsidR="006F129D" w:rsidRPr="004E4188" w:rsidRDefault="006F129D" w:rsidP="00D45EAD">
      <w:pPr>
        <w:pStyle w:val="af2"/>
        <w:rPr>
          <w:sz w:val="72"/>
          <w:lang w:val="fr-FR"/>
        </w:rPr>
      </w:pPr>
      <w:r w:rsidRPr="004E4188">
        <w:rPr>
          <w:spacing w:val="80"/>
          <w:sz w:val="40"/>
          <w:lang w:val="fr-FR"/>
        </w:rPr>
        <w:t>DOSSIER D’APPEL D’OFFRES</w:t>
      </w:r>
    </w:p>
    <w:p w14:paraId="0B001388" w14:textId="77777777" w:rsidR="006F129D" w:rsidRPr="004E4188" w:rsidRDefault="006F129D" w:rsidP="00D45EAD">
      <w:pPr>
        <w:ind w:left="720"/>
      </w:pPr>
    </w:p>
    <w:p w14:paraId="1CFA05DA" w14:textId="77777777" w:rsidR="006F129D" w:rsidRPr="004E4188" w:rsidRDefault="006F129D" w:rsidP="00D45EAD"/>
    <w:p w14:paraId="3EBF2D93" w14:textId="77777777" w:rsidR="006F129D" w:rsidRPr="004E4188" w:rsidRDefault="006F129D" w:rsidP="00D45EAD"/>
    <w:p w14:paraId="47442EC7" w14:textId="77777777" w:rsidR="006F129D" w:rsidRPr="004E4188" w:rsidRDefault="006F129D" w:rsidP="00D45EAD"/>
    <w:p w14:paraId="1DC361FC" w14:textId="77777777" w:rsidR="006F129D" w:rsidRPr="004E4188" w:rsidRDefault="006F129D" w:rsidP="00895EFB">
      <w:pPr>
        <w:jc w:val="center"/>
        <w:rPr>
          <w:b/>
          <w:sz w:val="40"/>
          <w:szCs w:val="40"/>
        </w:rPr>
      </w:pPr>
      <w:r w:rsidRPr="004E4188">
        <w:rPr>
          <w:b/>
          <w:sz w:val="40"/>
          <w:szCs w:val="40"/>
        </w:rPr>
        <w:t>Pour</w:t>
      </w:r>
    </w:p>
    <w:p w14:paraId="6B92C448" w14:textId="77777777" w:rsidR="006F129D" w:rsidRPr="004E4188" w:rsidRDefault="006F129D" w:rsidP="00800831">
      <w:pPr>
        <w:jc w:val="center"/>
        <w:rPr>
          <w:b/>
          <w:sz w:val="28"/>
        </w:rPr>
      </w:pPr>
    </w:p>
    <w:p w14:paraId="7880DFC9" w14:textId="77777777" w:rsidR="006F129D" w:rsidRPr="004E4188" w:rsidRDefault="006F129D" w:rsidP="00800831">
      <w:pPr>
        <w:jc w:val="center"/>
        <w:rPr>
          <w:b/>
          <w:sz w:val="28"/>
        </w:rPr>
      </w:pPr>
    </w:p>
    <w:p w14:paraId="031615F0" w14:textId="77777777" w:rsidR="006F129D" w:rsidRPr="004E4188" w:rsidRDefault="006F129D" w:rsidP="00D45EAD">
      <w:pPr>
        <w:jc w:val="center"/>
        <w:rPr>
          <w:b/>
          <w:sz w:val="72"/>
        </w:rPr>
      </w:pPr>
      <w:r w:rsidRPr="004E4188">
        <w:rPr>
          <w:b/>
          <w:sz w:val="72"/>
          <w:lang w:eastAsia="ja-JP"/>
        </w:rPr>
        <w:t>l</w:t>
      </w:r>
      <w:r w:rsidRPr="004E4188">
        <w:rPr>
          <w:b/>
          <w:sz w:val="72"/>
        </w:rPr>
        <w:t xml:space="preserve">a Passation d’un Marché de </w:t>
      </w:r>
    </w:p>
    <w:p w14:paraId="01544BAB" w14:textId="77777777" w:rsidR="006F129D" w:rsidRPr="004E4188" w:rsidRDefault="006F129D" w:rsidP="00D45EAD">
      <w:pPr>
        <w:jc w:val="center"/>
        <w:rPr>
          <w:sz w:val="56"/>
          <w:szCs w:val="56"/>
        </w:rPr>
      </w:pPr>
      <w:r w:rsidRPr="004E4188">
        <w:rPr>
          <w:sz w:val="56"/>
          <w:szCs w:val="56"/>
        </w:rPr>
        <w:t>[</w:t>
      </w:r>
      <w:r w:rsidRPr="004E4188">
        <w:rPr>
          <w:b/>
          <w:bCs/>
          <w:i/>
          <w:iCs/>
          <w:sz w:val="56"/>
        </w:rPr>
        <w:t>insérer l’intitulé des Installations</w:t>
      </w:r>
      <w:r w:rsidRPr="004E4188">
        <w:rPr>
          <w:sz w:val="56"/>
          <w:szCs w:val="56"/>
        </w:rPr>
        <w:t>]</w:t>
      </w:r>
    </w:p>
    <w:p w14:paraId="19E78A6F" w14:textId="77777777" w:rsidR="006F129D" w:rsidRPr="004E4188" w:rsidRDefault="006F129D" w:rsidP="00D45EAD">
      <w:pPr>
        <w:pStyle w:val="af2"/>
        <w:rPr>
          <w:b w:val="0"/>
          <w:sz w:val="56"/>
          <w:lang w:val="fr-FR"/>
        </w:rPr>
      </w:pPr>
      <w:r w:rsidRPr="004E4188">
        <w:rPr>
          <w:b w:val="0"/>
          <w:sz w:val="56"/>
          <w:lang w:val="fr-FR"/>
        </w:rPr>
        <w:t>____________________________</w:t>
      </w:r>
    </w:p>
    <w:p w14:paraId="62B68E59" w14:textId="77777777" w:rsidR="006F129D" w:rsidRPr="004E4188" w:rsidRDefault="006F129D" w:rsidP="00D45EAD">
      <w:pPr>
        <w:pStyle w:val="af2"/>
        <w:rPr>
          <w:b w:val="0"/>
          <w:sz w:val="56"/>
          <w:lang w:val="fr-FR"/>
        </w:rPr>
      </w:pPr>
      <w:r w:rsidRPr="004E4188">
        <w:rPr>
          <w:b w:val="0"/>
          <w:sz w:val="56"/>
          <w:lang w:val="fr-FR"/>
        </w:rPr>
        <w:t>____________________________</w:t>
      </w:r>
    </w:p>
    <w:p w14:paraId="107FC4BB" w14:textId="77777777" w:rsidR="006F129D" w:rsidRPr="004E4188" w:rsidRDefault="006F129D" w:rsidP="00D45EAD"/>
    <w:p w14:paraId="10AB022B" w14:textId="77777777" w:rsidR="006F129D" w:rsidRPr="004E4188" w:rsidRDefault="006F129D" w:rsidP="00D45EAD"/>
    <w:p w14:paraId="0B7EE2FF" w14:textId="77777777" w:rsidR="006F129D" w:rsidRPr="004E4188" w:rsidRDefault="006F129D" w:rsidP="00D45EAD"/>
    <w:p w14:paraId="5E1BAED1" w14:textId="77777777" w:rsidR="006F129D" w:rsidRPr="004E4188" w:rsidRDefault="006F129D" w:rsidP="00D45EAD"/>
    <w:p w14:paraId="670E69A1" w14:textId="77777777" w:rsidR="006F129D" w:rsidRPr="004E4188" w:rsidRDefault="006F129D" w:rsidP="00D45EAD">
      <w:pPr>
        <w:pStyle w:val="BankNormal"/>
        <w:tabs>
          <w:tab w:val="left" w:pos="3240"/>
        </w:tabs>
        <w:overflowPunct/>
        <w:autoSpaceDE/>
        <w:autoSpaceDN/>
        <w:adjustRightInd/>
        <w:spacing w:after="120"/>
        <w:ind w:left="3572" w:hanging="3572"/>
        <w:textAlignment w:val="auto"/>
        <w:rPr>
          <w:bCs/>
          <w:iCs/>
          <w:sz w:val="40"/>
          <w:lang w:val="fr-FR"/>
        </w:rPr>
      </w:pPr>
      <w:r w:rsidRPr="004E4188">
        <w:rPr>
          <w:b/>
          <w:sz w:val="40"/>
          <w:lang w:val="fr-FR"/>
        </w:rPr>
        <w:t>AAO</w:t>
      </w:r>
      <w:r w:rsidRPr="004E4188">
        <w:rPr>
          <w:b/>
          <w:sz w:val="40"/>
          <w:lang w:val="fr-FR" w:eastAsia="ja-JP"/>
        </w:rPr>
        <w:t xml:space="preserve"> n</w:t>
      </w:r>
      <w:r w:rsidRPr="004E4188">
        <w:rPr>
          <w:b/>
          <w:sz w:val="40"/>
          <w:vertAlign w:val="superscript"/>
          <w:lang w:val="fr-FR" w:eastAsia="ja-JP"/>
        </w:rPr>
        <w:t>o</w:t>
      </w:r>
      <w:r w:rsidRPr="004E4188">
        <w:rPr>
          <w:b/>
          <w:sz w:val="40"/>
          <w:vertAlign w:val="superscript"/>
          <w:lang w:val="fr-FR" w:eastAsia="ja-JP"/>
        </w:rPr>
        <w:tab/>
      </w:r>
      <w:r w:rsidRPr="004E4188">
        <w:rPr>
          <w:b/>
          <w:sz w:val="40"/>
          <w:lang w:val="fr-FR"/>
        </w:rPr>
        <w:t xml:space="preserve">: </w:t>
      </w:r>
      <w:r w:rsidRPr="004E4188">
        <w:rPr>
          <w:bCs/>
          <w:iCs/>
          <w:sz w:val="40"/>
          <w:lang w:val="fr-FR"/>
        </w:rPr>
        <w:t>[</w:t>
      </w:r>
      <w:r w:rsidRPr="004E4188">
        <w:rPr>
          <w:bCs/>
          <w:i/>
          <w:iCs/>
          <w:sz w:val="40"/>
          <w:lang w:val="fr-FR"/>
        </w:rPr>
        <w:t>insérer le numéro de l’Avis d’appel d’offres</w:t>
      </w:r>
      <w:r w:rsidRPr="004E4188">
        <w:rPr>
          <w:bCs/>
          <w:iCs/>
          <w:sz w:val="40"/>
          <w:lang w:val="fr-FR"/>
        </w:rPr>
        <w:t>]</w:t>
      </w:r>
    </w:p>
    <w:p w14:paraId="2EF7404C" w14:textId="77777777" w:rsidR="006F129D" w:rsidRPr="004E4188" w:rsidRDefault="006F129D" w:rsidP="00D45EAD">
      <w:pPr>
        <w:pStyle w:val="BankNormal"/>
        <w:tabs>
          <w:tab w:val="left" w:pos="3240"/>
        </w:tabs>
        <w:overflowPunct/>
        <w:autoSpaceDE/>
        <w:autoSpaceDN/>
        <w:adjustRightInd/>
        <w:spacing w:after="120"/>
        <w:ind w:left="3572" w:hanging="3572"/>
        <w:textAlignment w:val="auto"/>
        <w:rPr>
          <w:lang w:val="fr-FR" w:eastAsia="ja-JP"/>
        </w:rPr>
      </w:pPr>
      <w:r w:rsidRPr="004E4188">
        <w:rPr>
          <w:b/>
          <w:sz w:val="40"/>
          <w:lang w:val="fr-FR"/>
        </w:rPr>
        <w:t>Maître d’ouvrage</w:t>
      </w:r>
      <w:r w:rsidRPr="004E4188">
        <w:rPr>
          <w:b/>
          <w:sz w:val="40"/>
          <w:vertAlign w:val="superscript"/>
          <w:lang w:val="fr-FR" w:eastAsia="ja-JP"/>
        </w:rPr>
        <w:tab/>
      </w:r>
      <w:r w:rsidRPr="004E4188">
        <w:rPr>
          <w:b/>
          <w:sz w:val="40"/>
          <w:lang w:val="fr-FR"/>
        </w:rPr>
        <w:t xml:space="preserve">: </w:t>
      </w:r>
      <w:r w:rsidRPr="004E4188">
        <w:rPr>
          <w:bCs/>
          <w:iCs/>
          <w:sz w:val="40"/>
          <w:lang w:val="fr-FR"/>
        </w:rPr>
        <w:t>[</w:t>
      </w:r>
      <w:r w:rsidRPr="004E4188">
        <w:rPr>
          <w:bCs/>
          <w:i/>
          <w:iCs/>
          <w:sz w:val="40"/>
          <w:lang w:val="fr-FR"/>
        </w:rPr>
        <w:t>insérer le nom du Maître d’ouvrage</w:t>
      </w:r>
      <w:r w:rsidRPr="004E4188">
        <w:rPr>
          <w:bCs/>
          <w:iCs/>
          <w:sz w:val="40"/>
          <w:lang w:val="fr-FR"/>
        </w:rPr>
        <w:t>]</w:t>
      </w:r>
    </w:p>
    <w:p w14:paraId="5E6A7248" w14:textId="77777777" w:rsidR="006F129D" w:rsidRPr="004E4188" w:rsidRDefault="006F129D" w:rsidP="00D45EAD">
      <w:pPr>
        <w:pStyle w:val="BankNormal"/>
        <w:tabs>
          <w:tab w:val="left" w:pos="3240"/>
        </w:tabs>
        <w:overflowPunct/>
        <w:autoSpaceDE/>
        <w:autoSpaceDN/>
        <w:adjustRightInd/>
        <w:spacing w:after="120"/>
        <w:ind w:left="3572" w:hanging="3572"/>
        <w:textAlignment w:val="auto"/>
        <w:rPr>
          <w:bCs/>
          <w:iCs/>
          <w:sz w:val="40"/>
          <w:lang w:val="fr-FR"/>
        </w:rPr>
      </w:pPr>
      <w:r w:rsidRPr="004E4188">
        <w:rPr>
          <w:b/>
          <w:sz w:val="40"/>
          <w:lang w:val="fr-FR" w:eastAsia="ja-JP"/>
        </w:rPr>
        <w:t>Pays</w:t>
      </w:r>
      <w:r w:rsidRPr="004E4188">
        <w:rPr>
          <w:b/>
          <w:sz w:val="40"/>
          <w:vertAlign w:val="superscript"/>
          <w:lang w:val="fr-FR" w:eastAsia="ja-JP"/>
        </w:rPr>
        <w:tab/>
      </w:r>
      <w:r w:rsidRPr="004E4188">
        <w:rPr>
          <w:b/>
          <w:sz w:val="40"/>
          <w:lang w:val="fr-FR"/>
        </w:rPr>
        <w:t xml:space="preserve">: </w:t>
      </w:r>
      <w:r w:rsidRPr="004E4188">
        <w:rPr>
          <w:bCs/>
          <w:iCs/>
          <w:sz w:val="40"/>
          <w:lang w:val="fr-FR"/>
        </w:rPr>
        <w:t>[</w:t>
      </w:r>
      <w:r w:rsidRPr="004E4188">
        <w:rPr>
          <w:bCs/>
          <w:i/>
          <w:iCs/>
          <w:sz w:val="40"/>
          <w:lang w:val="fr-FR"/>
        </w:rPr>
        <w:t>insérer le nom du pays du Maître d’ouvrage/de l’Emprunteur</w:t>
      </w:r>
      <w:r w:rsidRPr="004E4188">
        <w:rPr>
          <w:bCs/>
          <w:iCs/>
          <w:sz w:val="40"/>
          <w:lang w:val="fr-FR"/>
        </w:rPr>
        <w:t>]</w:t>
      </w:r>
    </w:p>
    <w:p w14:paraId="34AF29B8" w14:textId="77777777" w:rsidR="006F129D" w:rsidRPr="004E4188" w:rsidRDefault="006F129D" w:rsidP="00D45EAD">
      <w:pPr>
        <w:tabs>
          <w:tab w:val="left" w:pos="3240"/>
        </w:tabs>
        <w:spacing w:after="120"/>
        <w:ind w:left="3572" w:hanging="3572"/>
        <w:jc w:val="left"/>
        <w:rPr>
          <w:bCs/>
          <w:i/>
          <w:iCs/>
          <w:sz w:val="40"/>
          <w:lang w:eastAsia="ja-JP"/>
        </w:rPr>
      </w:pPr>
      <w:r w:rsidRPr="004E4188">
        <w:rPr>
          <w:b/>
          <w:sz w:val="40"/>
        </w:rPr>
        <w:t xml:space="preserve">Prêt de la JICA </w:t>
      </w:r>
      <w:r w:rsidRPr="004E4188">
        <w:rPr>
          <w:b/>
          <w:sz w:val="40"/>
          <w:lang w:eastAsia="ja-JP"/>
        </w:rPr>
        <w:t>n</w:t>
      </w:r>
      <w:r w:rsidRPr="004E4188">
        <w:rPr>
          <w:b/>
          <w:sz w:val="40"/>
          <w:vertAlign w:val="superscript"/>
          <w:lang w:eastAsia="ja-JP"/>
        </w:rPr>
        <w:t>o</w:t>
      </w:r>
      <w:r w:rsidRPr="004E4188">
        <w:rPr>
          <w:b/>
          <w:sz w:val="40"/>
          <w:vertAlign w:val="superscript"/>
          <w:lang w:eastAsia="ja-JP"/>
        </w:rPr>
        <w:tab/>
      </w:r>
      <w:r w:rsidRPr="004E4188">
        <w:rPr>
          <w:b/>
          <w:sz w:val="40"/>
        </w:rPr>
        <w:t xml:space="preserve">: </w:t>
      </w:r>
      <w:r w:rsidRPr="004E4188">
        <w:rPr>
          <w:bCs/>
          <w:iCs/>
          <w:sz w:val="40"/>
        </w:rPr>
        <w:t>[</w:t>
      </w:r>
      <w:r w:rsidRPr="004E4188">
        <w:rPr>
          <w:bCs/>
          <w:i/>
          <w:iCs/>
          <w:sz w:val="40"/>
        </w:rPr>
        <w:t xml:space="preserve">insérer </w:t>
      </w:r>
      <w:r w:rsidRPr="004E4188">
        <w:rPr>
          <w:bCs/>
          <w:i/>
          <w:iCs/>
          <w:sz w:val="40"/>
          <w:lang w:eastAsia="ja-JP"/>
        </w:rPr>
        <w:t>le numéro de l’Accord de Prêt de la JICA</w:t>
      </w:r>
      <w:r w:rsidRPr="004E4188">
        <w:rPr>
          <w:bCs/>
          <w:iCs/>
          <w:sz w:val="40"/>
        </w:rPr>
        <w:t>]</w:t>
      </w:r>
    </w:p>
    <w:p w14:paraId="3EE05175" w14:textId="77777777" w:rsidR="006F129D" w:rsidRPr="004E4188" w:rsidRDefault="006F129D" w:rsidP="00D45EAD">
      <w:pPr>
        <w:tabs>
          <w:tab w:val="left" w:pos="3240"/>
        </w:tabs>
        <w:spacing w:after="120"/>
        <w:ind w:left="3572" w:hanging="3572"/>
        <w:jc w:val="left"/>
        <w:rPr>
          <w:bCs/>
          <w:i/>
          <w:iCs/>
          <w:sz w:val="40"/>
          <w:lang w:eastAsia="ja-JP"/>
        </w:rPr>
      </w:pPr>
      <w:r w:rsidRPr="004E4188">
        <w:rPr>
          <w:b/>
          <w:sz w:val="40"/>
        </w:rPr>
        <w:t>Projet</w:t>
      </w:r>
      <w:r w:rsidRPr="004E4188">
        <w:rPr>
          <w:b/>
          <w:sz w:val="40"/>
          <w:vertAlign w:val="superscript"/>
          <w:lang w:eastAsia="ja-JP"/>
        </w:rPr>
        <w:tab/>
      </w:r>
      <w:r w:rsidRPr="004E4188">
        <w:rPr>
          <w:b/>
          <w:sz w:val="40"/>
        </w:rPr>
        <w:t xml:space="preserve">: </w:t>
      </w:r>
      <w:r w:rsidRPr="004E4188">
        <w:rPr>
          <w:bCs/>
          <w:iCs/>
          <w:sz w:val="40"/>
        </w:rPr>
        <w:t>[</w:t>
      </w:r>
      <w:r w:rsidRPr="004E4188">
        <w:rPr>
          <w:bCs/>
          <w:i/>
          <w:iCs/>
          <w:sz w:val="40"/>
        </w:rPr>
        <w:t>insérer le nom du projet</w:t>
      </w:r>
      <w:r w:rsidRPr="004E4188">
        <w:rPr>
          <w:bCs/>
          <w:iCs/>
          <w:sz w:val="40"/>
        </w:rPr>
        <w:t>]</w:t>
      </w:r>
    </w:p>
    <w:p w14:paraId="6200A49A" w14:textId="442B22F7" w:rsidR="006F129D" w:rsidRPr="004E4188" w:rsidRDefault="006F129D" w:rsidP="0003191E">
      <w:pPr>
        <w:tabs>
          <w:tab w:val="left" w:pos="3240"/>
        </w:tabs>
        <w:spacing w:after="120"/>
        <w:ind w:left="3572" w:hanging="3572"/>
        <w:jc w:val="left"/>
      </w:pPr>
      <w:r w:rsidRPr="004E4188">
        <w:rPr>
          <w:b/>
          <w:sz w:val="40"/>
        </w:rPr>
        <w:t>Marché</w:t>
      </w:r>
      <w:r w:rsidRPr="004E4188">
        <w:rPr>
          <w:b/>
          <w:sz w:val="40"/>
          <w:vertAlign w:val="superscript"/>
          <w:lang w:eastAsia="ja-JP"/>
        </w:rPr>
        <w:tab/>
      </w:r>
      <w:r w:rsidRPr="004E4188">
        <w:rPr>
          <w:b/>
          <w:sz w:val="40"/>
        </w:rPr>
        <w:t xml:space="preserve">: </w:t>
      </w:r>
      <w:r w:rsidRPr="004E4188">
        <w:rPr>
          <w:bCs/>
          <w:iCs/>
          <w:sz w:val="40"/>
        </w:rPr>
        <w:t>[</w:t>
      </w:r>
      <w:r w:rsidRPr="004E4188">
        <w:rPr>
          <w:bCs/>
          <w:i/>
          <w:iCs/>
          <w:sz w:val="40"/>
        </w:rPr>
        <w:t>insérer le nom du Marché</w:t>
      </w:r>
      <w:r w:rsidRPr="004E4188">
        <w:rPr>
          <w:bCs/>
          <w:iCs/>
          <w:sz w:val="40"/>
        </w:rPr>
        <w:t>]</w:t>
      </w:r>
      <w:r w:rsidRPr="004E4188">
        <w:br w:type="page"/>
      </w:r>
    </w:p>
    <w:p w14:paraId="4DB79B69" w14:textId="77777777" w:rsidR="006F129D" w:rsidRPr="004E4188" w:rsidRDefault="006F129D" w:rsidP="00D45EAD"/>
    <w:p w14:paraId="17D1E177" w14:textId="77777777" w:rsidR="006F129D" w:rsidRPr="004E4188" w:rsidRDefault="006F129D" w:rsidP="00D45EAD">
      <w:pPr>
        <w:jc w:val="center"/>
        <w:rPr>
          <w:b/>
          <w:sz w:val="40"/>
          <w:szCs w:val="40"/>
        </w:rPr>
      </w:pPr>
      <w:r w:rsidRPr="004E4188">
        <w:rPr>
          <w:b/>
          <w:sz w:val="40"/>
          <w:szCs w:val="40"/>
        </w:rPr>
        <w:t>Table des matières</w:t>
      </w:r>
    </w:p>
    <w:p w14:paraId="69C34F4B" w14:textId="77777777" w:rsidR="006F129D" w:rsidRPr="004E4188" w:rsidRDefault="006F129D" w:rsidP="00D45EAD"/>
    <w:p w14:paraId="1C856BC5" w14:textId="77777777" w:rsidR="000A15D8" w:rsidRPr="004E4188" w:rsidRDefault="000A15D8" w:rsidP="000A15D8">
      <w:pPr>
        <w:pStyle w:val="51"/>
        <w:rPr>
          <w:rFonts w:ascii="Century" w:hAnsi="Century"/>
          <w:kern w:val="2"/>
          <w:sz w:val="21"/>
          <w:szCs w:val="24"/>
          <w:lang w:val="fr-FR" w:eastAsia="ja-JP"/>
        </w:rPr>
      </w:pPr>
      <w:r w:rsidRPr="004E4188">
        <w:rPr>
          <w:b/>
          <w:lang w:val="fr-FR"/>
        </w:rPr>
        <w:fldChar w:fldCharType="begin"/>
      </w:r>
      <w:r w:rsidRPr="004E4188">
        <w:rPr>
          <w:b/>
          <w:lang w:val="fr-FR"/>
        </w:rPr>
        <w:instrText xml:space="preserve"> TOC \h \z \t "Subtitle,2,Part 1,1,Option,</w:instrText>
      </w:r>
      <w:r w:rsidRPr="004E4188">
        <w:rPr>
          <w:b/>
          <w:lang w:val="fr-FR" w:eastAsia="ja-JP"/>
        </w:rPr>
        <w:instrText>3,S</w:instrText>
      </w:r>
      <w:r w:rsidRPr="004E4188">
        <w:rPr>
          <w:b/>
          <w:lang w:val="fr-FR"/>
        </w:rPr>
        <w:instrText xml:space="preserve"> </w:instrText>
      </w:r>
      <w:r w:rsidRPr="004E4188">
        <w:rPr>
          <w:b/>
          <w:lang w:val="fr-FR" w:eastAsia="ja-JP"/>
        </w:rPr>
        <w:instrText>Header,5,Subtitle</w:instrText>
      </w:r>
      <w:r w:rsidRPr="004E4188">
        <w:rPr>
          <w:b/>
          <w:lang w:val="fr-FR"/>
        </w:rPr>
        <w:instrText xml:space="preserve"> </w:instrText>
      </w:r>
      <w:r w:rsidRPr="004E4188">
        <w:rPr>
          <w:b/>
          <w:lang w:val="fr-FR" w:eastAsia="ja-JP"/>
        </w:rPr>
        <w:instrText>2,6</w:instrText>
      </w:r>
      <w:r w:rsidRPr="004E4188">
        <w:rPr>
          <w:b/>
          <w:lang w:val="fr-FR"/>
        </w:rPr>
        <w:instrText xml:space="preserve">" \n </w:instrText>
      </w:r>
      <w:r w:rsidRPr="004E4188">
        <w:rPr>
          <w:b/>
          <w:lang w:val="fr-FR" w:eastAsia="ja-JP"/>
        </w:rPr>
        <w:instrText>1</w:instrText>
      </w:r>
      <w:r w:rsidRPr="004E4188">
        <w:rPr>
          <w:b/>
          <w:lang w:val="fr-FR"/>
        </w:rPr>
        <w:instrText>-</w:instrText>
      </w:r>
      <w:r w:rsidRPr="004E4188">
        <w:rPr>
          <w:b/>
          <w:lang w:val="fr-FR" w:eastAsia="ja-JP"/>
        </w:rPr>
        <w:instrText>6</w:instrText>
      </w:r>
      <w:r w:rsidRPr="004E4188">
        <w:rPr>
          <w:b/>
          <w:lang w:val="fr-FR"/>
        </w:rPr>
        <w:instrText xml:space="preserve"> </w:instrText>
      </w:r>
      <w:r w:rsidRPr="004E4188">
        <w:rPr>
          <w:b/>
          <w:lang w:val="fr-FR"/>
        </w:rPr>
        <w:fldChar w:fldCharType="separate"/>
      </w:r>
    </w:p>
    <w:p w14:paraId="4584211C" w14:textId="77777777" w:rsidR="000A15D8" w:rsidRPr="004E4188" w:rsidRDefault="00000000" w:rsidP="000A15D8">
      <w:pPr>
        <w:pStyle w:val="12"/>
        <w:rPr>
          <w:rFonts w:ascii="Century" w:hAnsi="Century"/>
          <w:b w:val="0"/>
          <w:kern w:val="2"/>
          <w:sz w:val="21"/>
          <w:szCs w:val="24"/>
          <w:lang w:val="fr-FR" w:eastAsia="ja-JP"/>
        </w:rPr>
      </w:pPr>
      <w:hyperlink w:anchor="_Toc354567692" w:history="1">
        <w:r w:rsidR="000A15D8" w:rsidRPr="004E4188">
          <w:rPr>
            <w:rStyle w:val="af1"/>
            <w:color w:val="auto"/>
            <w:u w:val="none"/>
            <w:lang w:val="fr-FR"/>
          </w:rPr>
          <w:t>PREMIÈRE PARTIE – Procédures d’appel d’offres</w:t>
        </w:r>
      </w:hyperlink>
    </w:p>
    <w:p w14:paraId="78F70004" w14:textId="77777777" w:rsidR="000A15D8" w:rsidRPr="004E4188" w:rsidRDefault="00000000" w:rsidP="000A15D8">
      <w:pPr>
        <w:pStyle w:val="31"/>
        <w:rPr>
          <w:rFonts w:ascii="Century" w:hAnsi="Century"/>
          <w:kern w:val="2"/>
          <w:sz w:val="21"/>
          <w:szCs w:val="24"/>
          <w:lang w:eastAsia="ja-JP"/>
        </w:rPr>
      </w:pPr>
      <w:hyperlink w:anchor="_Toc354567693" w:history="1">
        <w:r w:rsidR="000A15D8" w:rsidRPr="004E4188">
          <w:rPr>
            <w:rStyle w:val="af1"/>
            <w:color w:val="auto"/>
            <w:u w:val="none"/>
            <w:lang w:val="fr-FR"/>
          </w:rPr>
          <w:t>OPTION A : appel d’offres à une étape-deux enveloppes</w:t>
        </w:r>
      </w:hyperlink>
    </w:p>
    <w:p w14:paraId="36C89948" w14:textId="77777777" w:rsidR="000A15D8" w:rsidRPr="004E4188" w:rsidRDefault="00000000" w:rsidP="000A15D8">
      <w:pPr>
        <w:pStyle w:val="21"/>
        <w:tabs>
          <w:tab w:val="left" w:pos="1985"/>
        </w:tabs>
        <w:ind w:left="934"/>
        <w:rPr>
          <w:rFonts w:ascii="Century" w:hAnsi="Century"/>
          <w:noProof w:val="0"/>
          <w:kern w:val="2"/>
          <w:sz w:val="21"/>
          <w:szCs w:val="24"/>
          <w:lang w:val="fr-FR" w:eastAsia="ja-JP"/>
        </w:rPr>
      </w:pPr>
      <w:hyperlink w:anchor="_Toc354567694" w:history="1">
        <w:r w:rsidR="000A15D8" w:rsidRPr="004E4188">
          <w:rPr>
            <w:rStyle w:val="af1"/>
            <w:noProof w:val="0"/>
            <w:color w:val="auto"/>
            <w:u w:val="none"/>
            <w:lang w:val="fr-FR"/>
          </w:rPr>
          <w:t>Section I.</w:t>
        </w:r>
        <w:r w:rsidR="000A15D8" w:rsidRPr="004E4188">
          <w:rPr>
            <w:rStyle w:val="af1"/>
            <w:noProof w:val="0"/>
            <w:color w:val="auto"/>
            <w:u w:val="none"/>
            <w:lang w:val="fr-FR"/>
          </w:rPr>
          <w:tab/>
          <w:t>Instructions aux soumissionnaires</w:t>
        </w:r>
      </w:hyperlink>
      <w:r w:rsidR="000A15D8" w:rsidRPr="004E4188">
        <w:rPr>
          <w:rStyle w:val="af1"/>
          <w:noProof w:val="0"/>
          <w:color w:val="auto"/>
          <w:u w:val="none"/>
          <w:lang w:val="fr-FR" w:eastAsia="ja-JP"/>
        </w:rPr>
        <w:tab/>
        <w:t>IS(A)-1</w:t>
      </w:r>
    </w:p>
    <w:p w14:paraId="48AD3480" w14:textId="77777777" w:rsidR="000A15D8" w:rsidRPr="004E4188" w:rsidRDefault="00000000" w:rsidP="000A15D8">
      <w:pPr>
        <w:pStyle w:val="21"/>
        <w:tabs>
          <w:tab w:val="left" w:pos="1985"/>
        </w:tabs>
        <w:ind w:left="934"/>
        <w:rPr>
          <w:rFonts w:ascii="Century" w:hAnsi="Century"/>
          <w:noProof w:val="0"/>
          <w:kern w:val="2"/>
          <w:sz w:val="21"/>
          <w:szCs w:val="24"/>
          <w:lang w:val="fr-FR" w:eastAsia="ja-JP"/>
        </w:rPr>
      </w:pPr>
      <w:hyperlink w:anchor="_Toc354567695" w:history="1">
        <w:r w:rsidR="000A15D8" w:rsidRPr="004E4188">
          <w:rPr>
            <w:rStyle w:val="af1"/>
            <w:noProof w:val="0"/>
            <w:color w:val="auto"/>
            <w:u w:val="none"/>
            <w:lang w:val="fr-FR"/>
          </w:rPr>
          <w:t>Section II.</w:t>
        </w:r>
        <w:r w:rsidR="000A15D8" w:rsidRPr="004E4188">
          <w:rPr>
            <w:rStyle w:val="af1"/>
            <w:noProof w:val="0"/>
            <w:color w:val="auto"/>
            <w:u w:val="none"/>
            <w:lang w:val="fr-FR"/>
          </w:rPr>
          <w:tab/>
          <w:t>Données particulières</w:t>
        </w:r>
      </w:hyperlink>
      <w:r w:rsidR="000A15D8" w:rsidRPr="004E4188">
        <w:rPr>
          <w:rStyle w:val="af1"/>
          <w:noProof w:val="0"/>
          <w:color w:val="auto"/>
          <w:u w:val="none"/>
          <w:lang w:val="fr-FR" w:eastAsia="ja-JP"/>
        </w:rPr>
        <w:tab/>
        <w:t>DP(A)-1</w:t>
      </w:r>
    </w:p>
    <w:p w14:paraId="37C3E812" w14:textId="77777777" w:rsidR="000A15D8" w:rsidRPr="004E4188" w:rsidRDefault="00000000" w:rsidP="000A15D8">
      <w:pPr>
        <w:pStyle w:val="21"/>
        <w:tabs>
          <w:tab w:val="left" w:pos="1985"/>
        </w:tabs>
        <w:ind w:left="934"/>
        <w:rPr>
          <w:rStyle w:val="af1"/>
          <w:noProof w:val="0"/>
          <w:color w:val="auto"/>
          <w:u w:val="none"/>
          <w:lang w:val="fr-FR" w:eastAsia="ja-JP"/>
        </w:rPr>
      </w:pPr>
      <w:hyperlink w:anchor="_Toc354567696" w:history="1">
        <w:r w:rsidR="000A15D8" w:rsidRPr="004E4188">
          <w:rPr>
            <w:rStyle w:val="af1"/>
            <w:noProof w:val="0"/>
            <w:color w:val="auto"/>
            <w:u w:val="none"/>
            <w:lang w:val="fr-FR"/>
          </w:rPr>
          <w:t>Section III.</w:t>
        </w:r>
        <w:r w:rsidR="000A15D8" w:rsidRPr="004E4188">
          <w:rPr>
            <w:rStyle w:val="af1"/>
            <w:noProof w:val="0"/>
            <w:color w:val="auto"/>
            <w:u w:val="none"/>
            <w:lang w:val="fr-FR"/>
          </w:rPr>
          <w:tab/>
          <w:t>Critères d’évaluation et de qualification (CEQ)</w:t>
        </w:r>
      </w:hyperlink>
    </w:p>
    <w:p w14:paraId="71AABEA5" w14:textId="77777777" w:rsidR="000A15D8" w:rsidRPr="001D62E0" w:rsidRDefault="000A15D8" w:rsidP="000A15D8">
      <w:pPr>
        <w:pStyle w:val="21"/>
        <w:ind w:leftChars="0" w:left="2467"/>
        <w:rPr>
          <w:lang w:val="fr-FR" w:eastAsia="ja-JP"/>
        </w:rPr>
      </w:pPr>
      <w:r w:rsidRPr="004E4188">
        <w:rPr>
          <w:lang w:val="fr-FR" w:eastAsia="ja-JP"/>
        </w:rPr>
        <w:t>Option I : après préqualification</w:t>
      </w:r>
      <w:r w:rsidRPr="004E4188">
        <w:rPr>
          <w:rStyle w:val="af1"/>
          <w:noProof w:val="0"/>
          <w:color w:val="auto"/>
          <w:u w:val="none"/>
          <w:lang w:val="fr-FR" w:eastAsia="ja-JP"/>
        </w:rPr>
        <w:tab/>
      </w:r>
      <w:r w:rsidRPr="001D62E0">
        <w:rPr>
          <w:lang w:val="fr-FR" w:eastAsia="ja-JP"/>
        </w:rPr>
        <w:t>CEQ(A)(I)-1</w:t>
      </w:r>
    </w:p>
    <w:p w14:paraId="3E60C46A" w14:textId="77777777" w:rsidR="000A15D8" w:rsidRPr="004E4188" w:rsidRDefault="00000000" w:rsidP="000A15D8">
      <w:pPr>
        <w:pStyle w:val="21"/>
        <w:spacing w:after="240"/>
        <w:ind w:leftChars="0" w:left="2467"/>
        <w:rPr>
          <w:rFonts w:ascii="Century" w:hAnsi="Century"/>
          <w:noProof w:val="0"/>
          <w:kern w:val="2"/>
          <w:sz w:val="21"/>
          <w:szCs w:val="24"/>
          <w:lang w:eastAsia="ja-JP"/>
        </w:rPr>
      </w:pPr>
      <w:hyperlink w:anchor="_Toc354567697" w:history="1">
        <w:r w:rsidR="000A15D8" w:rsidRPr="004E4188">
          <w:rPr>
            <w:rStyle w:val="af1"/>
            <w:noProof w:val="0"/>
            <w:color w:val="auto"/>
            <w:u w:val="none"/>
          </w:rPr>
          <w:t>Option II : sans préqualification</w:t>
        </w:r>
      </w:hyperlink>
      <w:r w:rsidR="000A15D8" w:rsidRPr="004E4188">
        <w:rPr>
          <w:rStyle w:val="af1"/>
          <w:noProof w:val="0"/>
          <w:color w:val="auto"/>
          <w:u w:val="none"/>
          <w:lang w:eastAsia="ja-JP"/>
        </w:rPr>
        <w:tab/>
        <w:t>CEQ(A)(II)-1</w:t>
      </w:r>
    </w:p>
    <w:p w14:paraId="215BF5BE" w14:textId="77777777" w:rsidR="000A15D8" w:rsidRPr="004E4188" w:rsidRDefault="00000000" w:rsidP="000A15D8">
      <w:pPr>
        <w:pStyle w:val="31"/>
        <w:rPr>
          <w:rStyle w:val="af1"/>
          <w:color w:val="auto"/>
          <w:u w:val="none"/>
          <w:lang w:val="fr-FR"/>
        </w:rPr>
      </w:pPr>
      <w:hyperlink w:anchor="_Toc354567698" w:history="1">
        <w:r w:rsidR="000A15D8" w:rsidRPr="004E4188">
          <w:rPr>
            <w:rStyle w:val="af1"/>
            <w:color w:val="auto"/>
            <w:u w:val="none"/>
            <w:lang w:val="fr-FR"/>
          </w:rPr>
          <w:t>OPTION B : appel d’offres à deux étapes-une enveloppe</w:t>
        </w:r>
      </w:hyperlink>
    </w:p>
    <w:p w14:paraId="5FEF4EB1" w14:textId="77777777" w:rsidR="000A15D8" w:rsidRPr="004E4188" w:rsidRDefault="000A15D8" w:rsidP="000A15D8">
      <w:pPr>
        <w:ind w:leftChars="100" w:left="240"/>
        <w:rPr>
          <w:lang w:eastAsia="en-US"/>
        </w:rPr>
      </w:pPr>
      <w:r w:rsidRPr="004E4188">
        <w:rPr>
          <w:lang w:eastAsia="en-US"/>
        </w:rPr>
        <w:t>(Les Sections I, II et III de l’Option B ne sont pas incluses dans l’édition imprimée du Dossier Standard d’Appel d’Offres. Des copies peuvent être obtenues sur le site Web de la JICA.</w:t>
      </w:r>
    </w:p>
    <w:p w14:paraId="7AAABFE1" w14:textId="77777777" w:rsidR="000A15D8" w:rsidRPr="004E4188" w:rsidRDefault="000A15D8" w:rsidP="000A15D8">
      <w:pPr>
        <w:spacing w:after="200"/>
        <w:ind w:leftChars="100" w:left="240"/>
        <w:rPr>
          <w:lang w:eastAsia="en-US"/>
        </w:rPr>
      </w:pPr>
      <w:r w:rsidRPr="004E4188">
        <w:rPr>
          <w:lang w:eastAsia="en-US"/>
        </w:rPr>
        <w:t>www.jica.go.jp/english/our_work/types_of_assistance/oda_loans/oda_op_info/guide/tender/index.html)</w:t>
      </w:r>
    </w:p>
    <w:p w14:paraId="039003F1" w14:textId="77777777" w:rsidR="000A15D8" w:rsidRPr="004E4188" w:rsidRDefault="00000000" w:rsidP="000A15D8">
      <w:pPr>
        <w:pStyle w:val="21"/>
        <w:tabs>
          <w:tab w:val="left" w:pos="1985"/>
        </w:tabs>
        <w:ind w:left="934"/>
        <w:rPr>
          <w:rFonts w:ascii="Century" w:hAnsi="Century"/>
          <w:noProof w:val="0"/>
          <w:kern w:val="2"/>
          <w:sz w:val="21"/>
          <w:szCs w:val="24"/>
          <w:lang w:eastAsia="ja-JP"/>
        </w:rPr>
      </w:pPr>
      <w:hyperlink w:anchor="_Toc354567699" w:history="1">
        <w:r w:rsidR="000A15D8" w:rsidRPr="004E4188">
          <w:rPr>
            <w:rStyle w:val="af1"/>
            <w:noProof w:val="0"/>
            <w:color w:val="auto"/>
            <w:u w:val="none"/>
          </w:rPr>
          <w:t>Section I.</w:t>
        </w:r>
        <w:r w:rsidR="000A15D8" w:rsidRPr="004E4188">
          <w:rPr>
            <w:rStyle w:val="af1"/>
            <w:noProof w:val="0"/>
            <w:color w:val="auto"/>
            <w:u w:val="none"/>
          </w:rPr>
          <w:tab/>
          <w:t>Instructions aux soumissionnaires</w:t>
        </w:r>
      </w:hyperlink>
      <w:r w:rsidR="000A15D8" w:rsidRPr="004E4188">
        <w:rPr>
          <w:rStyle w:val="af1"/>
          <w:noProof w:val="0"/>
          <w:color w:val="auto"/>
          <w:u w:val="none"/>
          <w:lang w:eastAsia="ja-JP"/>
        </w:rPr>
        <w:tab/>
        <w:t>IS(B)-1</w:t>
      </w:r>
    </w:p>
    <w:p w14:paraId="46F3E8ED" w14:textId="77777777" w:rsidR="000A15D8" w:rsidRPr="004E4188" w:rsidRDefault="00000000" w:rsidP="000A15D8">
      <w:pPr>
        <w:pStyle w:val="21"/>
        <w:tabs>
          <w:tab w:val="left" w:pos="1985"/>
        </w:tabs>
        <w:ind w:left="934"/>
        <w:rPr>
          <w:rFonts w:ascii="Century" w:hAnsi="Century"/>
          <w:noProof w:val="0"/>
          <w:kern w:val="2"/>
          <w:sz w:val="21"/>
          <w:szCs w:val="24"/>
          <w:lang w:eastAsia="ja-JP"/>
        </w:rPr>
      </w:pPr>
      <w:hyperlink w:anchor="_Toc354567700" w:history="1">
        <w:r w:rsidR="000A15D8" w:rsidRPr="004E4188">
          <w:rPr>
            <w:rStyle w:val="af1"/>
            <w:noProof w:val="0"/>
            <w:color w:val="auto"/>
            <w:u w:val="none"/>
          </w:rPr>
          <w:t>Section II.</w:t>
        </w:r>
        <w:r w:rsidR="000A15D8" w:rsidRPr="004E4188">
          <w:rPr>
            <w:rStyle w:val="af1"/>
            <w:noProof w:val="0"/>
            <w:color w:val="auto"/>
            <w:u w:val="none"/>
          </w:rPr>
          <w:tab/>
          <w:t>Données particulières</w:t>
        </w:r>
      </w:hyperlink>
      <w:r w:rsidR="000A15D8" w:rsidRPr="004E4188">
        <w:rPr>
          <w:rStyle w:val="af1"/>
          <w:noProof w:val="0"/>
          <w:color w:val="auto"/>
          <w:u w:val="none"/>
          <w:lang w:eastAsia="ja-JP"/>
        </w:rPr>
        <w:tab/>
        <w:t>DP(B)-1</w:t>
      </w:r>
    </w:p>
    <w:p w14:paraId="163BA4AA" w14:textId="77777777" w:rsidR="000A15D8" w:rsidRPr="004E4188" w:rsidRDefault="00000000" w:rsidP="000A15D8">
      <w:pPr>
        <w:pStyle w:val="21"/>
        <w:tabs>
          <w:tab w:val="left" w:pos="1985"/>
        </w:tabs>
        <w:ind w:left="934"/>
        <w:rPr>
          <w:rStyle w:val="af1"/>
          <w:noProof w:val="0"/>
          <w:color w:val="auto"/>
          <w:u w:val="none"/>
          <w:lang w:eastAsia="ja-JP"/>
        </w:rPr>
      </w:pPr>
      <w:hyperlink w:anchor="_Toc354567701" w:history="1">
        <w:r w:rsidR="000A15D8" w:rsidRPr="004E4188">
          <w:rPr>
            <w:rStyle w:val="af1"/>
            <w:noProof w:val="0"/>
            <w:color w:val="auto"/>
            <w:u w:val="none"/>
          </w:rPr>
          <w:t>Section III.</w:t>
        </w:r>
        <w:r w:rsidR="000A15D8" w:rsidRPr="004E4188">
          <w:rPr>
            <w:rStyle w:val="af1"/>
            <w:noProof w:val="0"/>
            <w:color w:val="auto"/>
            <w:u w:val="none"/>
          </w:rPr>
          <w:tab/>
          <w:t>Critères d’évaluation et de qualification (CEQ)</w:t>
        </w:r>
        <w:r w:rsidR="000A15D8" w:rsidRPr="004E4188" w:rsidDel="00353141">
          <w:rPr>
            <w:rStyle w:val="af1"/>
            <w:noProof w:val="0"/>
            <w:color w:val="auto"/>
            <w:u w:val="none"/>
          </w:rPr>
          <w:t xml:space="preserve"> </w:t>
        </w:r>
      </w:hyperlink>
    </w:p>
    <w:p w14:paraId="0928DC10" w14:textId="77777777" w:rsidR="000A15D8" w:rsidRPr="004E4188" w:rsidRDefault="000A15D8" w:rsidP="000A15D8">
      <w:pPr>
        <w:tabs>
          <w:tab w:val="right" w:leader="dot" w:pos="9000"/>
        </w:tabs>
        <w:spacing w:after="80"/>
        <w:ind w:left="2013"/>
        <w:rPr>
          <w:lang w:eastAsia="ja-JP"/>
        </w:rPr>
      </w:pPr>
      <w:r w:rsidRPr="004E4188">
        <w:rPr>
          <w:rFonts w:hint="eastAsia"/>
          <w:lang w:eastAsia="ja-JP"/>
        </w:rPr>
        <w:t>Option I</w:t>
      </w:r>
      <w:r w:rsidRPr="004E4188">
        <w:rPr>
          <w:lang w:eastAsia="ja-JP"/>
        </w:rPr>
        <w:t xml:space="preserve"> </w:t>
      </w:r>
      <w:r w:rsidRPr="004E4188">
        <w:rPr>
          <w:rFonts w:hint="eastAsia"/>
          <w:lang w:eastAsia="ja-JP"/>
        </w:rPr>
        <w:t>: après préqualification</w:t>
      </w:r>
      <w:r w:rsidRPr="004E4188">
        <w:rPr>
          <w:lang w:eastAsia="ja-JP"/>
        </w:rPr>
        <w:tab/>
        <w:t>CEQ(B)(I)-1</w:t>
      </w:r>
    </w:p>
    <w:p w14:paraId="7F8EFE2B" w14:textId="77777777" w:rsidR="000A15D8" w:rsidRPr="004E4188" w:rsidRDefault="00000000" w:rsidP="000A15D8">
      <w:pPr>
        <w:pStyle w:val="21"/>
        <w:spacing w:after="360"/>
        <w:ind w:leftChars="0" w:left="2467"/>
        <w:rPr>
          <w:rFonts w:ascii="Century" w:hAnsi="Century"/>
          <w:noProof w:val="0"/>
          <w:kern w:val="2"/>
          <w:sz w:val="21"/>
          <w:szCs w:val="24"/>
          <w:lang w:val="fr-FR" w:eastAsia="ja-JP"/>
        </w:rPr>
      </w:pPr>
      <w:hyperlink w:anchor="_Toc354567702" w:history="1">
        <w:r w:rsidR="000A15D8" w:rsidRPr="004E4188">
          <w:rPr>
            <w:rStyle w:val="af1"/>
            <w:noProof w:val="0"/>
            <w:color w:val="auto"/>
            <w:u w:val="none"/>
            <w:lang w:val="fr-FR"/>
          </w:rPr>
          <w:t>Option II : sans préqualification</w:t>
        </w:r>
      </w:hyperlink>
      <w:r w:rsidR="000A15D8" w:rsidRPr="004E4188">
        <w:rPr>
          <w:rStyle w:val="af1"/>
          <w:noProof w:val="0"/>
          <w:color w:val="auto"/>
          <w:u w:val="none"/>
          <w:lang w:val="fr-FR" w:eastAsia="ja-JP"/>
        </w:rPr>
        <w:tab/>
        <w:t>CEQ(B)(II)-1</w:t>
      </w:r>
    </w:p>
    <w:p w14:paraId="2BB9A5D8" w14:textId="77777777" w:rsidR="000A15D8" w:rsidRPr="004E4188" w:rsidRDefault="00000000" w:rsidP="000A15D8">
      <w:pPr>
        <w:pStyle w:val="61"/>
        <w:tabs>
          <w:tab w:val="left" w:pos="1985"/>
        </w:tabs>
        <w:ind w:left="480"/>
        <w:rPr>
          <w:rFonts w:ascii="Century" w:hAnsi="Century"/>
          <w:kern w:val="2"/>
          <w:sz w:val="21"/>
          <w:szCs w:val="24"/>
          <w:lang w:val="fr-FR" w:eastAsia="ja-JP"/>
        </w:rPr>
      </w:pPr>
      <w:hyperlink w:anchor="_Toc354567703" w:history="1">
        <w:r w:rsidR="000A15D8" w:rsidRPr="004E4188">
          <w:rPr>
            <w:rStyle w:val="af1"/>
            <w:color w:val="auto"/>
            <w:u w:val="none"/>
            <w:lang w:val="fr-FR"/>
          </w:rPr>
          <w:t>Section IV.</w:t>
        </w:r>
        <w:r w:rsidR="000A15D8" w:rsidRPr="004E4188">
          <w:rPr>
            <w:rStyle w:val="af1"/>
            <w:color w:val="auto"/>
            <w:u w:val="none"/>
            <w:lang w:val="fr-FR"/>
          </w:rPr>
          <w:tab/>
          <w:t>Formulaires de soumission</w:t>
        </w:r>
      </w:hyperlink>
      <w:r w:rsidR="000A15D8" w:rsidRPr="004E4188">
        <w:rPr>
          <w:rStyle w:val="af1"/>
          <w:color w:val="auto"/>
          <w:u w:val="none"/>
          <w:lang w:val="fr-FR" w:eastAsia="ja-JP"/>
        </w:rPr>
        <w:tab/>
        <w:t>FS-1</w:t>
      </w:r>
    </w:p>
    <w:p w14:paraId="0C1C0A71" w14:textId="77777777" w:rsidR="000A15D8" w:rsidRPr="004E4188" w:rsidRDefault="00000000" w:rsidP="000A15D8">
      <w:pPr>
        <w:pStyle w:val="21"/>
        <w:tabs>
          <w:tab w:val="left" w:pos="1985"/>
        </w:tabs>
        <w:ind w:left="934"/>
        <w:rPr>
          <w:rFonts w:ascii="Century" w:hAnsi="Century"/>
          <w:noProof w:val="0"/>
          <w:kern w:val="2"/>
          <w:sz w:val="21"/>
          <w:szCs w:val="24"/>
          <w:lang w:val="fr-FR" w:eastAsia="ja-JP"/>
        </w:rPr>
      </w:pPr>
      <w:hyperlink w:anchor="_Toc354567704" w:history="1">
        <w:r w:rsidR="000A15D8" w:rsidRPr="004E4188">
          <w:rPr>
            <w:rStyle w:val="af1"/>
            <w:noProof w:val="0"/>
            <w:color w:val="auto"/>
            <w:u w:val="none"/>
            <w:lang w:val="fr-FR"/>
          </w:rPr>
          <w:t>Section V.</w:t>
        </w:r>
        <w:r w:rsidR="000A15D8" w:rsidRPr="004E4188">
          <w:rPr>
            <w:rStyle w:val="af1"/>
            <w:noProof w:val="0"/>
            <w:color w:val="auto"/>
            <w:u w:val="none"/>
            <w:lang w:val="fr-FR"/>
          </w:rPr>
          <w:tab/>
          <w:t>Pays d’origine éligibles des Prêts APD du Japon</w:t>
        </w:r>
      </w:hyperlink>
      <w:r w:rsidR="000A15D8" w:rsidRPr="004E4188">
        <w:rPr>
          <w:rStyle w:val="af1"/>
          <w:noProof w:val="0"/>
          <w:color w:val="auto"/>
          <w:u w:val="none"/>
          <w:lang w:val="fr-FR" w:eastAsia="ja-JP"/>
        </w:rPr>
        <w:tab/>
        <w:t>PE-1</w:t>
      </w:r>
    </w:p>
    <w:p w14:paraId="2AC942A8" w14:textId="77777777" w:rsidR="000A15D8" w:rsidRPr="004E4188" w:rsidRDefault="00000000" w:rsidP="000A15D8">
      <w:pPr>
        <w:pStyle w:val="12"/>
        <w:rPr>
          <w:rFonts w:ascii="Century" w:hAnsi="Century"/>
          <w:b w:val="0"/>
          <w:kern w:val="2"/>
          <w:sz w:val="21"/>
          <w:szCs w:val="24"/>
          <w:lang w:val="fr-FR" w:eastAsia="ja-JP"/>
        </w:rPr>
      </w:pPr>
      <w:hyperlink w:anchor="_Toc354567705" w:history="1">
        <w:r w:rsidR="000A15D8" w:rsidRPr="004E4188">
          <w:rPr>
            <w:rStyle w:val="af1"/>
            <w:color w:val="auto"/>
            <w:u w:val="none"/>
            <w:lang w:val="fr-FR"/>
          </w:rPr>
          <w:t>DEUXIÈME PARTIE – Exigences du Maître d’ouvrage</w:t>
        </w:r>
      </w:hyperlink>
    </w:p>
    <w:p w14:paraId="060EE3F4" w14:textId="77777777" w:rsidR="000A15D8" w:rsidRPr="004E4188" w:rsidRDefault="00000000" w:rsidP="000A15D8">
      <w:pPr>
        <w:pStyle w:val="21"/>
        <w:tabs>
          <w:tab w:val="left" w:pos="1985"/>
        </w:tabs>
        <w:ind w:left="934"/>
        <w:rPr>
          <w:rFonts w:ascii="Century" w:hAnsi="Century"/>
          <w:noProof w:val="0"/>
          <w:kern w:val="2"/>
          <w:sz w:val="21"/>
          <w:szCs w:val="24"/>
          <w:lang w:val="fr-FR" w:eastAsia="ja-JP"/>
        </w:rPr>
      </w:pPr>
      <w:hyperlink w:anchor="_Toc354567706" w:history="1">
        <w:r w:rsidR="000A15D8" w:rsidRPr="004E4188">
          <w:rPr>
            <w:rStyle w:val="af1"/>
            <w:noProof w:val="0"/>
            <w:color w:val="auto"/>
            <w:u w:val="none"/>
            <w:lang w:val="fr-FR"/>
          </w:rPr>
          <w:t>Section VI.</w:t>
        </w:r>
        <w:r w:rsidR="000A15D8" w:rsidRPr="004E4188">
          <w:rPr>
            <w:rStyle w:val="af1"/>
            <w:noProof w:val="0"/>
            <w:color w:val="auto"/>
            <w:u w:val="none"/>
            <w:lang w:val="fr-FR"/>
          </w:rPr>
          <w:tab/>
          <w:t>Exigences du Maître d’ouvrage</w:t>
        </w:r>
      </w:hyperlink>
      <w:r w:rsidR="000A15D8" w:rsidRPr="004E4188">
        <w:rPr>
          <w:rStyle w:val="af1"/>
          <w:noProof w:val="0"/>
          <w:color w:val="auto"/>
          <w:u w:val="none"/>
          <w:lang w:val="fr-FR" w:eastAsia="ja-JP"/>
        </w:rPr>
        <w:tab/>
        <w:t>EMO-1</w:t>
      </w:r>
    </w:p>
    <w:p w14:paraId="044BAE9B" w14:textId="440A72AB" w:rsidR="000A15D8" w:rsidRPr="004E4188" w:rsidRDefault="00000000" w:rsidP="000A15D8">
      <w:pPr>
        <w:pStyle w:val="12"/>
        <w:rPr>
          <w:rFonts w:ascii="Century" w:hAnsi="Century"/>
          <w:b w:val="0"/>
          <w:kern w:val="2"/>
          <w:sz w:val="21"/>
          <w:szCs w:val="24"/>
          <w:lang w:val="fr-FR" w:eastAsia="ja-JP"/>
        </w:rPr>
      </w:pPr>
      <w:hyperlink w:anchor="_Toc354567707" w:history="1">
        <w:r w:rsidR="000A15D8" w:rsidRPr="004E4188">
          <w:rPr>
            <w:rStyle w:val="af1"/>
            <w:color w:val="auto"/>
            <w:u w:val="none"/>
            <w:lang w:val="fr-FR"/>
          </w:rPr>
          <w:t>TROISIÈME PARTIE – Conditions du Marché</w:t>
        </w:r>
      </w:hyperlink>
      <w:r w:rsidR="000A15D8" w:rsidRPr="004E4188">
        <w:rPr>
          <w:rStyle w:val="af1"/>
          <w:color w:val="auto"/>
          <w:u w:val="none"/>
          <w:lang w:val="fr-FR"/>
        </w:rPr>
        <w:t xml:space="preserve"> et </w:t>
      </w:r>
      <w:r w:rsidR="00D87EC1" w:rsidRPr="004E4188">
        <w:rPr>
          <w:rStyle w:val="af1"/>
          <w:color w:val="auto"/>
          <w:u w:val="none"/>
          <w:lang w:val="fr-FR"/>
        </w:rPr>
        <w:t>f</w:t>
      </w:r>
      <w:r w:rsidR="000A15D8" w:rsidRPr="004E4188">
        <w:rPr>
          <w:rStyle w:val="af1"/>
          <w:color w:val="auto"/>
          <w:u w:val="none"/>
          <w:lang w:val="fr-FR"/>
        </w:rPr>
        <w:t>ormulaires du Marché</w:t>
      </w:r>
    </w:p>
    <w:p w14:paraId="6676352A" w14:textId="77777777" w:rsidR="000A15D8" w:rsidRPr="004E4188" w:rsidRDefault="00000000" w:rsidP="000A15D8">
      <w:pPr>
        <w:pStyle w:val="21"/>
        <w:tabs>
          <w:tab w:val="left" w:pos="1985"/>
        </w:tabs>
        <w:ind w:left="934"/>
        <w:rPr>
          <w:rFonts w:ascii="Century" w:hAnsi="Century"/>
          <w:noProof w:val="0"/>
          <w:kern w:val="2"/>
          <w:sz w:val="21"/>
          <w:szCs w:val="24"/>
          <w:lang w:val="fr-FR" w:eastAsia="ja-JP"/>
        </w:rPr>
      </w:pPr>
      <w:hyperlink w:anchor="_Toc354567708" w:history="1">
        <w:r w:rsidR="000A15D8" w:rsidRPr="004E4188">
          <w:rPr>
            <w:rStyle w:val="af1"/>
            <w:noProof w:val="0"/>
            <w:color w:val="auto"/>
            <w:u w:val="none"/>
            <w:lang w:val="fr-FR"/>
          </w:rPr>
          <w:t>Section VII.</w:t>
        </w:r>
        <w:r w:rsidR="000A15D8" w:rsidRPr="004E4188">
          <w:rPr>
            <w:rStyle w:val="af1"/>
            <w:noProof w:val="0"/>
            <w:color w:val="auto"/>
            <w:u w:val="none"/>
            <w:lang w:val="fr-FR"/>
          </w:rPr>
          <w:tab/>
          <w:t>Conditions Générales</w:t>
        </w:r>
      </w:hyperlink>
      <w:r w:rsidR="000A15D8" w:rsidRPr="004E4188">
        <w:rPr>
          <w:rStyle w:val="af1"/>
          <w:noProof w:val="0"/>
          <w:color w:val="auto"/>
          <w:u w:val="none"/>
          <w:lang w:val="fr-FR"/>
        </w:rPr>
        <w:t xml:space="preserve"> (CG)</w:t>
      </w:r>
      <w:r w:rsidR="000A15D8" w:rsidRPr="004E4188">
        <w:rPr>
          <w:rStyle w:val="af1"/>
          <w:noProof w:val="0"/>
          <w:color w:val="auto"/>
          <w:u w:val="none"/>
          <w:lang w:val="fr-FR" w:eastAsia="ja-JP"/>
        </w:rPr>
        <w:tab/>
        <w:t>CG-1</w:t>
      </w:r>
    </w:p>
    <w:p w14:paraId="5FE289B0" w14:textId="77777777" w:rsidR="000A15D8" w:rsidRPr="004E4188" w:rsidRDefault="00000000" w:rsidP="000A15D8">
      <w:pPr>
        <w:pStyle w:val="21"/>
        <w:tabs>
          <w:tab w:val="left" w:pos="1985"/>
        </w:tabs>
        <w:ind w:left="934"/>
        <w:rPr>
          <w:rFonts w:ascii="Century" w:hAnsi="Century"/>
          <w:noProof w:val="0"/>
          <w:kern w:val="2"/>
          <w:sz w:val="21"/>
          <w:szCs w:val="24"/>
          <w:lang w:val="fr-FR" w:eastAsia="ja-JP"/>
        </w:rPr>
      </w:pPr>
      <w:hyperlink w:anchor="_Toc354567709" w:history="1">
        <w:r w:rsidR="000A15D8" w:rsidRPr="004E4188">
          <w:rPr>
            <w:rStyle w:val="af1"/>
            <w:noProof w:val="0"/>
            <w:color w:val="auto"/>
            <w:u w:val="none"/>
            <w:lang w:val="fr-FR"/>
          </w:rPr>
          <w:t>Section VIII.</w:t>
        </w:r>
        <w:r w:rsidR="000A15D8" w:rsidRPr="004E4188">
          <w:rPr>
            <w:rStyle w:val="af1"/>
            <w:noProof w:val="0"/>
            <w:color w:val="auto"/>
            <w:u w:val="none"/>
            <w:lang w:val="fr-FR"/>
          </w:rPr>
          <w:tab/>
          <w:t>Conditions Particulières</w:t>
        </w:r>
      </w:hyperlink>
      <w:r w:rsidR="000A15D8" w:rsidRPr="004E4188">
        <w:rPr>
          <w:rStyle w:val="af1"/>
          <w:noProof w:val="0"/>
          <w:color w:val="auto"/>
          <w:u w:val="none"/>
          <w:lang w:val="fr-FR"/>
        </w:rPr>
        <w:t xml:space="preserve"> (CP)</w:t>
      </w:r>
      <w:r w:rsidR="000A15D8" w:rsidRPr="004E4188">
        <w:rPr>
          <w:rStyle w:val="af1"/>
          <w:noProof w:val="0"/>
          <w:color w:val="auto"/>
          <w:u w:val="none"/>
          <w:lang w:val="fr-FR" w:eastAsia="ja-JP"/>
        </w:rPr>
        <w:tab/>
        <w:t>CP-1</w:t>
      </w:r>
    </w:p>
    <w:p w14:paraId="10C90154" w14:textId="77777777" w:rsidR="000A15D8" w:rsidRPr="004E4188" w:rsidRDefault="00000000" w:rsidP="000A15D8">
      <w:pPr>
        <w:pStyle w:val="21"/>
        <w:tabs>
          <w:tab w:val="left" w:pos="1985"/>
        </w:tabs>
        <w:ind w:left="934"/>
        <w:rPr>
          <w:rFonts w:ascii="Century" w:hAnsi="Century"/>
          <w:noProof w:val="0"/>
          <w:kern w:val="2"/>
          <w:sz w:val="21"/>
          <w:szCs w:val="24"/>
          <w:lang w:val="fr-FR" w:eastAsia="ja-JP"/>
        </w:rPr>
      </w:pPr>
      <w:hyperlink w:anchor="_Toc354567710" w:history="1">
        <w:r w:rsidR="000A15D8" w:rsidRPr="004E4188">
          <w:rPr>
            <w:rStyle w:val="af1"/>
            <w:noProof w:val="0"/>
            <w:color w:val="auto"/>
            <w:u w:val="none"/>
            <w:lang w:val="fr-FR"/>
          </w:rPr>
          <w:t>Section IX.</w:t>
        </w:r>
        <w:r w:rsidR="000A15D8" w:rsidRPr="004E4188">
          <w:rPr>
            <w:rStyle w:val="af1"/>
            <w:noProof w:val="0"/>
            <w:color w:val="auto"/>
            <w:u w:val="none"/>
            <w:lang w:val="fr-FR"/>
          </w:rPr>
          <w:tab/>
          <w:t>Formulaires du Marché</w:t>
        </w:r>
      </w:hyperlink>
      <w:r w:rsidR="000A15D8" w:rsidRPr="004E4188">
        <w:rPr>
          <w:rStyle w:val="af1"/>
          <w:noProof w:val="0"/>
          <w:color w:val="auto"/>
          <w:u w:val="none"/>
          <w:lang w:val="fr-FR" w:eastAsia="ja-JP"/>
        </w:rPr>
        <w:tab/>
        <w:t>FM-1</w:t>
      </w:r>
    </w:p>
    <w:p w14:paraId="586AE351" w14:textId="734D5461" w:rsidR="006F129D" w:rsidRPr="004E4188" w:rsidRDefault="000A15D8" w:rsidP="00D45EAD">
      <w:pPr>
        <w:tabs>
          <w:tab w:val="left" w:pos="2225"/>
        </w:tabs>
      </w:pPr>
      <w:r w:rsidRPr="004E4188">
        <w:fldChar w:fldCharType="end"/>
      </w:r>
    </w:p>
    <w:p w14:paraId="179F7910" w14:textId="77777777" w:rsidR="006F129D" w:rsidRPr="004E4188" w:rsidRDefault="006F129D" w:rsidP="00D45EAD">
      <w:pPr>
        <w:tabs>
          <w:tab w:val="left" w:pos="2225"/>
        </w:tabs>
        <w:sectPr w:rsidR="006F129D" w:rsidRPr="004E4188" w:rsidSect="00800831">
          <w:headerReference w:type="even" r:id="rId31"/>
          <w:headerReference w:type="default" r:id="rId32"/>
          <w:headerReference w:type="first" r:id="rId33"/>
          <w:footnotePr>
            <w:numRestart w:val="eachPage"/>
          </w:footnotePr>
          <w:endnotePr>
            <w:numFmt w:val="decimal"/>
          </w:endnotePr>
          <w:type w:val="nextColumn"/>
          <w:pgSz w:w="12240" w:h="15840" w:code="1"/>
          <w:pgMar w:top="1440" w:right="1440" w:bottom="1440" w:left="1797" w:header="720" w:footer="720" w:gutter="0"/>
          <w:pgNumType w:start="1"/>
          <w:cols w:space="720"/>
        </w:sectPr>
      </w:pPr>
    </w:p>
    <w:p w14:paraId="19446C9E" w14:textId="77777777" w:rsidR="002071F2" w:rsidRPr="004E4188" w:rsidRDefault="006F129D" w:rsidP="00D45EAD">
      <w:pPr>
        <w:pStyle w:val="Parts"/>
        <w:rPr>
          <w:szCs w:val="56"/>
          <w:lang w:val="fr-FR"/>
        </w:rPr>
        <w:sectPr w:rsidR="002071F2" w:rsidRPr="004E4188" w:rsidSect="00C0434E">
          <w:headerReference w:type="first" r:id="rId34"/>
          <w:footnotePr>
            <w:numRestart w:val="eachPage"/>
          </w:footnotePr>
          <w:endnotePr>
            <w:numFmt w:val="decimal"/>
          </w:endnotePr>
          <w:type w:val="nextColumn"/>
          <w:pgSz w:w="12240" w:h="15840" w:code="1"/>
          <w:pgMar w:top="1440" w:right="1440" w:bottom="1440" w:left="1797" w:header="720" w:footer="720" w:gutter="0"/>
          <w:pgNumType w:start="1"/>
          <w:cols w:space="720"/>
          <w:vAlign w:val="center"/>
          <w:titlePg/>
        </w:sectPr>
      </w:pPr>
      <w:bookmarkStart w:id="30" w:name="_Toc327446551"/>
      <w:r w:rsidRPr="004E4188">
        <w:rPr>
          <w:szCs w:val="56"/>
          <w:lang w:val="fr-FR"/>
        </w:rPr>
        <w:t xml:space="preserve">PREMIÈRE PARTIE </w:t>
      </w:r>
      <w:r w:rsidR="00C0434E" w:rsidRPr="004E4188">
        <w:rPr>
          <w:szCs w:val="56"/>
          <w:lang w:val="fr-FR"/>
        </w:rPr>
        <w:t xml:space="preserve">– </w:t>
      </w:r>
      <w:r w:rsidR="00C0434E" w:rsidRPr="004E4188">
        <w:rPr>
          <w:szCs w:val="56"/>
          <w:lang w:val="fr-FR" w:eastAsia="ja-JP"/>
        </w:rPr>
        <w:br/>
      </w:r>
      <w:bookmarkEnd w:id="30"/>
      <w:r w:rsidRPr="004E4188">
        <w:rPr>
          <w:szCs w:val="56"/>
          <w:lang w:val="fr-FR"/>
        </w:rPr>
        <w:t>PROCÉDURES D’APPEL D’OFFRES</w:t>
      </w:r>
    </w:p>
    <w:p w14:paraId="2BFC6424" w14:textId="77777777" w:rsidR="002071F2" w:rsidRPr="004E4188" w:rsidRDefault="002071F2" w:rsidP="002071F2">
      <w:pPr>
        <w:overflowPunct/>
        <w:autoSpaceDE/>
        <w:autoSpaceDN/>
        <w:adjustRightInd/>
        <w:spacing w:before="60" w:after="60"/>
        <w:jc w:val="center"/>
        <w:textAlignment w:val="auto"/>
        <w:outlineLvl w:val="1"/>
        <w:rPr>
          <w:rFonts w:ascii="Times New Roman Bold" w:hAnsi="Times New Roman Bold"/>
          <w:sz w:val="44"/>
          <w:szCs w:val="44"/>
          <w:lang w:eastAsia="ja-JP"/>
        </w:rPr>
      </w:pPr>
      <w:bookmarkStart w:id="31" w:name="_Toc34227270"/>
      <w:bookmarkStart w:id="32" w:name="_Toc35533608"/>
      <w:r w:rsidRPr="004E4188">
        <w:rPr>
          <w:rFonts w:ascii="Times New Roman Bold" w:hAnsi="Times New Roman Bold"/>
          <w:b/>
          <w:sz w:val="44"/>
          <w:szCs w:val="44"/>
          <w:lang w:eastAsia="ja-JP"/>
        </w:rPr>
        <w:t>OPTION A :</w:t>
      </w:r>
      <w:bookmarkStart w:id="33" w:name="_Toc34227271"/>
      <w:bookmarkStart w:id="34" w:name="_Toc35533609"/>
      <w:bookmarkEnd w:id="31"/>
      <w:bookmarkEnd w:id="32"/>
      <w:r w:rsidRPr="004E4188">
        <w:rPr>
          <w:rFonts w:ascii="Times New Roman Bold" w:hAnsi="Times New Roman Bold"/>
          <w:b/>
          <w:sz w:val="44"/>
          <w:szCs w:val="44"/>
          <w:lang w:eastAsia="ja-JP"/>
        </w:rPr>
        <w:t xml:space="preserve"> appel </w:t>
      </w:r>
      <w:r w:rsidRPr="004E4188">
        <w:rPr>
          <w:rFonts w:ascii="Times New Roman Bold" w:hAnsi="Times New Roman Bold"/>
          <w:sz w:val="44"/>
          <w:szCs w:val="44"/>
          <w:lang w:eastAsia="ja-JP"/>
        </w:rPr>
        <w:t>d’offres</w:t>
      </w:r>
      <w:r w:rsidRPr="004E4188">
        <w:rPr>
          <w:rFonts w:ascii="Times New Roman Bold" w:hAnsi="Times New Roman Bold"/>
          <w:sz w:val="44"/>
          <w:szCs w:val="44"/>
          <w:lang w:eastAsia="ja-JP"/>
        </w:rPr>
        <w:br/>
        <w:t xml:space="preserve">à </w:t>
      </w:r>
      <w:bookmarkEnd w:id="33"/>
      <w:bookmarkEnd w:id="34"/>
      <w:r w:rsidRPr="004E4188">
        <w:rPr>
          <w:rFonts w:ascii="Times New Roman Bold" w:hAnsi="Times New Roman Bold"/>
          <w:sz w:val="44"/>
          <w:szCs w:val="44"/>
          <w:lang w:eastAsia="ja-JP"/>
        </w:rPr>
        <w:t>une étape-deux enveloppes</w:t>
      </w:r>
    </w:p>
    <w:p w14:paraId="6560ACC5" w14:textId="77777777" w:rsidR="006F129D" w:rsidRPr="004E4188" w:rsidRDefault="006F129D" w:rsidP="00AB735F">
      <w:pPr>
        <w:pStyle w:val="Part"/>
        <w:sectPr w:rsidR="006F129D" w:rsidRPr="004E4188" w:rsidSect="002071F2">
          <w:footnotePr>
            <w:numRestart w:val="eachPage"/>
          </w:footnotePr>
          <w:endnotePr>
            <w:numFmt w:val="decimal"/>
          </w:endnotePr>
          <w:type w:val="oddPage"/>
          <w:pgSz w:w="12240" w:h="15840" w:code="1"/>
          <w:pgMar w:top="1440" w:right="1440" w:bottom="1440" w:left="1797" w:header="720" w:footer="720" w:gutter="0"/>
          <w:pgNumType w:start="1"/>
          <w:cols w:space="720"/>
          <w:vAlign w:val="center"/>
          <w:titlePg/>
        </w:sectPr>
      </w:pPr>
    </w:p>
    <w:p w14:paraId="7808DC18" w14:textId="6A213301" w:rsidR="006F129D" w:rsidRPr="004E4188" w:rsidRDefault="006F129D" w:rsidP="00BA21D0">
      <w:pPr>
        <w:pStyle w:val="2"/>
        <w:rPr>
          <w:b w:val="0"/>
          <w:sz w:val="44"/>
          <w:szCs w:val="44"/>
          <w:lang w:val="fr-FR"/>
        </w:rPr>
      </w:pPr>
      <w:bookmarkStart w:id="35" w:name="_Toc349055420"/>
      <w:r w:rsidRPr="004E4188">
        <w:rPr>
          <w:sz w:val="44"/>
          <w:szCs w:val="44"/>
          <w:lang w:val="fr-FR"/>
        </w:rPr>
        <w:t>Section I. Instructions aux soumissionnaires</w:t>
      </w:r>
      <w:bookmarkEnd w:id="35"/>
    </w:p>
    <w:p w14:paraId="06F088AC" w14:textId="77777777" w:rsidR="006F129D" w:rsidRPr="004E4188" w:rsidRDefault="006F129D" w:rsidP="00376C2E">
      <w:pPr>
        <w:pStyle w:val="af5"/>
        <w:jc w:val="both"/>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6F129D" w:rsidRPr="004E4188" w14:paraId="6F79026A" w14:textId="77777777" w:rsidTr="00CC13EE">
        <w:tc>
          <w:tcPr>
            <w:tcW w:w="9108" w:type="dxa"/>
          </w:tcPr>
          <w:p w14:paraId="54B7DD04" w14:textId="77777777" w:rsidR="006F129D" w:rsidRPr="004E4188" w:rsidRDefault="006F129D" w:rsidP="00376C2E">
            <w:pPr>
              <w:jc w:val="center"/>
              <w:rPr>
                <w:b/>
                <w:bCs/>
                <w:sz w:val="28"/>
                <w:szCs w:val="28"/>
                <w:lang w:eastAsia="ja-JP"/>
              </w:rPr>
            </w:pPr>
          </w:p>
          <w:p w14:paraId="2CA6B493" w14:textId="6840DC6F" w:rsidR="006F129D" w:rsidRPr="004E4188" w:rsidRDefault="006F129D" w:rsidP="0062613A">
            <w:pPr>
              <w:spacing w:afterLines="100" w:after="240"/>
              <w:jc w:val="center"/>
              <w:rPr>
                <w:b/>
                <w:bCs/>
                <w:sz w:val="28"/>
                <w:szCs w:val="28"/>
                <w:lang w:eastAsia="ja-JP"/>
              </w:rPr>
            </w:pPr>
            <w:r w:rsidRPr="004E4188">
              <w:rPr>
                <w:b/>
                <w:bCs/>
                <w:sz w:val="28"/>
                <w:szCs w:val="28"/>
              </w:rPr>
              <w:t>Notes à l’intention du Maître d’ouvrage</w:t>
            </w:r>
          </w:p>
          <w:p w14:paraId="126A483E" w14:textId="77777777" w:rsidR="006F129D" w:rsidRPr="004E4188" w:rsidRDefault="006F129D" w:rsidP="00376C2E">
            <w:pPr>
              <w:rPr>
                <w:lang w:eastAsia="ja-JP"/>
              </w:rPr>
            </w:pPr>
          </w:p>
          <w:p w14:paraId="12622806" w14:textId="6AD9E017" w:rsidR="006F129D" w:rsidRPr="004E4188" w:rsidRDefault="006F129D" w:rsidP="00AA149B">
            <w:pPr>
              <w:spacing w:after="240"/>
              <w:rPr>
                <w:bCs/>
              </w:rPr>
            </w:pPr>
            <w:r w:rsidRPr="004E4188">
              <w:rPr>
                <w:bCs/>
              </w:rPr>
              <w:t xml:space="preserve">La Section </w:t>
            </w:r>
            <w:r w:rsidRPr="004E4188">
              <w:rPr>
                <w:bCs/>
                <w:lang w:eastAsia="ja-JP"/>
              </w:rPr>
              <w:t xml:space="preserve">I, </w:t>
            </w:r>
            <w:r w:rsidRPr="004E4188">
              <w:rPr>
                <w:bCs/>
              </w:rPr>
              <w:t xml:space="preserve">Instructions aux soumissionnaires, indique les procédures à suivre par les Soumissionnaires lors de la préparation et de la soumission de leurs </w:t>
            </w:r>
            <w:r w:rsidR="002071F2" w:rsidRPr="004E4188">
              <w:rPr>
                <w:bCs/>
              </w:rPr>
              <w:t>o</w:t>
            </w:r>
            <w:r w:rsidRPr="004E4188">
              <w:rPr>
                <w:bCs/>
              </w:rPr>
              <w:t xml:space="preserve">ffres </w:t>
            </w:r>
            <w:r w:rsidR="002071F2" w:rsidRPr="004E4188">
              <w:rPr>
                <w:bCs/>
              </w:rPr>
              <w:t>t</w:t>
            </w:r>
            <w:r w:rsidRPr="004E4188">
              <w:rPr>
                <w:bCs/>
              </w:rPr>
              <w:t xml:space="preserve">echnique et </w:t>
            </w:r>
            <w:r w:rsidR="002071F2" w:rsidRPr="004E4188">
              <w:rPr>
                <w:bCs/>
              </w:rPr>
              <w:t>f</w:t>
            </w:r>
            <w:r w:rsidRPr="004E4188">
              <w:rPr>
                <w:bCs/>
              </w:rPr>
              <w:t>inancière. Elle fournit également des renseignements sur l’ouverture et l’évaluation des offres, ainsi que sur l’attribution du Marché.</w:t>
            </w:r>
          </w:p>
          <w:p w14:paraId="5AA63C2E" w14:textId="331A1773" w:rsidR="006F129D" w:rsidRPr="004E4188" w:rsidRDefault="006F129D" w:rsidP="00AA149B">
            <w:pPr>
              <w:pStyle w:val="explanatorynotes"/>
              <w:spacing w:after="240" w:line="240" w:lineRule="auto"/>
              <w:rPr>
                <w:rFonts w:ascii="Times New Roman" w:hAnsi="Times New Roman"/>
                <w:bCs/>
                <w:sz w:val="24"/>
                <w:szCs w:val="24"/>
                <w:lang w:val="fr-FR"/>
              </w:rPr>
            </w:pPr>
            <w:r w:rsidRPr="004E4188">
              <w:rPr>
                <w:rFonts w:ascii="Times New Roman" w:hAnsi="Times New Roman"/>
                <w:bCs/>
                <w:sz w:val="24"/>
                <w:szCs w:val="24"/>
                <w:lang w:val="fr-FR"/>
              </w:rPr>
              <w:t>L’utilisation des Instructions aux soumissionnaires standard (ci-après désignées « IS standard ») de la Section I de ce Dossier Standard d’Appel d’Offres pour la passation de marchés de</w:t>
            </w:r>
            <w:r w:rsidRPr="004E4188">
              <w:rPr>
                <w:rFonts w:ascii="Times New Roman" w:hAnsi="Times New Roman"/>
                <w:sz w:val="24"/>
                <w:szCs w:val="24"/>
                <w:lang w:val="fr-FR"/>
              </w:rPr>
              <w:t xml:space="preserve"> Conception, Fourniture et Montage d’Équipements</w:t>
            </w:r>
            <w:r w:rsidRPr="004E4188">
              <w:rPr>
                <w:rFonts w:ascii="Times New Roman" w:hAnsi="Times New Roman"/>
                <w:bCs/>
                <w:sz w:val="24"/>
                <w:szCs w:val="24"/>
                <w:lang w:val="fr-FR"/>
              </w:rPr>
              <w:t xml:space="preserve">, est </w:t>
            </w:r>
            <w:r w:rsidRPr="004E4188">
              <w:rPr>
                <w:rFonts w:ascii="Times New Roman" w:hAnsi="Times New Roman"/>
                <w:b/>
                <w:bCs/>
                <w:sz w:val="24"/>
                <w:szCs w:val="24"/>
                <w:lang w:val="fr-FR"/>
              </w:rPr>
              <w:t>requise</w:t>
            </w:r>
            <w:r w:rsidRPr="004E4188">
              <w:rPr>
                <w:rFonts w:ascii="Times New Roman" w:hAnsi="Times New Roman"/>
                <w:bCs/>
                <w:sz w:val="24"/>
                <w:szCs w:val="24"/>
                <w:lang w:val="fr-FR"/>
              </w:rPr>
              <w:t xml:space="preserve"> pour tous les Dossiers d’appel d’offres préparés pour la passation de marchés de</w:t>
            </w:r>
            <w:r w:rsidRPr="004E4188">
              <w:rPr>
                <w:rFonts w:ascii="Times New Roman" w:hAnsi="Times New Roman"/>
                <w:sz w:val="24"/>
                <w:szCs w:val="24"/>
                <w:lang w:val="fr-FR"/>
              </w:rPr>
              <w:t xml:space="preserve"> conception, fourniture et montage d’équipements, faisant l’objet d’appels d’offres internationaux (AOI) et </w:t>
            </w:r>
            <w:r w:rsidRPr="004E4188">
              <w:rPr>
                <w:rFonts w:ascii="Times New Roman" w:hAnsi="Times New Roman"/>
                <w:bCs/>
                <w:sz w:val="24"/>
                <w:szCs w:val="24"/>
                <w:lang w:val="fr-FR"/>
              </w:rPr>
              <w:t>financés par Prêts APD du Japon. Les IS standard doivent être utilisées sans être modifiées.</w:t>
            </w:r>
          </w:p>
          <w:p w14:paraId="365F8DEC" w14:textId="77777777" w:rsidR="006F129D" w:rsidRPr="004E4188" w:rsidRDefault="006F129D" w:rsidP="00AA149B">
            <w:pPr>
              <w:pStyle w:val="explanatorynotes"/>
              <w:spacing w:after="240" w:line="240" w:lineRule="auto"/>
              <w:rPr>
                <w:rFonts w:ascii="Times New Roman" w:hAnsi="Times New Roman"/>
                <w:sz w:val="24"/>
                <w:szCs w:val="24"/>
                <w:lang w:val="fr-FR"/>
              </w:rPr>
            </w:pPr>
            <w:r w:rsidRPr="004E4188">
              <w:rPr>
                <w:rFonts w:ascii="Times New Roman" w:hAnsi="Times New Roman"/>
                <w:bCs/>
                <w:sz w:val="24"/>
                <w:szCs w:val="24"/>
                <w:lang w:val="fr-FR"/>
              </w:rPr>
              <w:t>Les Instructions aux soumissionnaires régissant les procédures d’appel d’offres sont les Instructions aux soumissionnaires standard de l’</w:t>
            </w:r>
            <w:r w:rsidRPr="004E4188">
              <w:rPr>
                <w:rFonts w:ascii="Times New Roman" w:hAnsi="Times New Roman"/>
                <w:b/>
                <w:bCs/>
                <w:sz w:val="24"/>
                <w:szCs w:val="24"/>
                <w:lang w:val="fr-FR"/>
              </w:rPr>
              <w:t>Option A</w:t>
            </w:r>
            <w:r w:rsidRPr="004E4188">
              <w:rPr>
                <w:rFonts w:ascii="Times New Roman" w:hAnsi="Times New Roman"/>
                <w:bCs/>
                <w:sz w:val="24"/>
                <w:szCs w:val="24"/>
                <w:lang w:val="fr-FR"/>
              </w:rPr>
              <w:t xml:space="preserve"> : procédure d’appel d’offres à une étape-deux enveloppes de la dernière version du Dossier Standard d’Appel d’Offres pour la passation de marchés de </w:t>
            </w:r>
            <w:r w:rsidRPr="004E4188">
              <w:rPr>
                <w:rFonts w:ascii="Times New Roman" w:hAnsi="Times New Roman"/>
                <w:sz w:val="24"/>
                <w:szCs w:val="24"/>
                <w:lang w:val="fr-FR"/>
              </w:rPr>
              <w:t>Conception, Fourniture et Montage d’Équipements (DSAO (Équipements)).</w:t>
            </w:r>
          </w:p>
          <w:p w14:paraId="0AD46F14" w14:textId="77777777" w:rsidR="006F129D" w:rsidRPr="004E4188" w:rsidRDefault="006F129D" w:rsidP="00AA149B">
            <w:pPr>
              <w:pStyle w:val="explanatorynotes"/>
              <w:spacing w:after="240" w:line="240" w:lineRule="auto"/>
              <w:rPr>
                <w:rFonts w:ascii="Times New Roman" w:hAnsi="Times New Roman"/>
                <w:bCs/>
                <w:sz w:val="24"/>
                <w:lang w:val="fr-FR"/>
              </w:rPr>
            </w:pPr>
            <w:r w:rsidRPr="004E4188">
              <w:rPr>
                <w:rFonts w:ascii="Times New Roman" w:hAnsi="Times New Roman"/>
                <w:bCs/>
                <w:sz w:val="24"/>
                <w:lang w:val="fr-FR"/>
              </w:rPr>
              <w:t>Une copie de ces Instructions aux soumissionnaires standard doit être jointe au Dossier d’appel d’offres préparé par le Maître d’ouvrage. Si les Instructions aux soumissionnaires du Dossier d’appel d’offres incluent des modifications par rapport aux Instructions aux soumissionnaires standard, la JICA ne les considèrera pas valides et demandera au Maître d’ouvrage de modifier le Dossier d’appel d’offres afin que les Instructions aux soumissionnaires standard, telles que définies ci-dessus, s’appliquent.</w:t>
            </w:r>
          </w:p>
          <w:p w14:paraId="12B60BAA" w14:textId="0B027232" w:rsidR="006F129D" w:rsidRPr="004E4188" w:rsidRDefault="006F129D" w:rsidP="00AA149B">
            <w:pPr>
              <w:pStyle w:val="explanatorynotes"/>
              <w:spacing w:after="240" w:line="240" w:lineRule="auto"/>
              <w:rPr>
                <w:rFonts w:ascii="Times New Roman" w:hAnsi="Times New Roman"/>
                <w:bCs/>
                <w:sz w:val="24"/>
                <w:lang w:val="fr-FR"/>
              </w:rPr>
            </w:pPr>
            <w:r w:rsidRPr="004E4188">
              <w:rPr>
                <w:rFonts w:ascii="Times New Roman" w:hAnsi="Times New Roman"/>
                <w:bCs/>
                <w:sz w:val="24"/>
                <w:lang w:val="fr-FR"/>
              </w:rPr>
              <w:t>Tout changement, acceptable pour la JICA, apporté afin de répondre à la situation spécifique du pays et à des conditions particulières à chaque marché, sera introduit uniquement dans les Données particulières.</w:t>
            </w:r>
          </w:p>
          <w:p w14:paraId="6CEA317A" w14:textId="77777777" w:rsidR="006F129D" w:rsidRPr="004E4188" w:rsidRDefault="006F129D" w:rsidP="00AA149B">
            <w:pPr>
              <w:spacing w:after="240"/>
              <w:rPr>
                <w:lang w:eastAsia="ja-JP"/>
              </w:rPr>
            </w:pPr>
            <w:r w:rsidRPr="004E4188">
              <w:rPr>
                <w:bCs/>
              </w:rPr>
              <w:t xml:space="preserve">Les Instructions aux </w:t>
            </w:r>
            <w:r w:rsidRPr="004E4188">
              <w:rPr>
                <w:bCs/>
                <w:lang w:eastAsia="ja-JP"/>
              </w:rPr>
              <w:t>soumissionnaires</w:t>
            </w:r>
            <w:r w:rsidRPr="004E4188">
              <w:rPr>
                <w:bCs/>
              </w:rPr>
              <w:t xml:space="preserve"> ne feront pas partie du Marché.</w:t>
            </w:r>
          </w:p>
        </w:tc>
      </w:tr>
    </w:tbl>
    <w:p w14:paraId="3C29BD11" w14:textId="77777777" w:rsidR="00C0434E" w:rsidRPr="004E4188" w:rsidRDefault="00C0434E" w:rsidP="00376C2E">
      <w:pPr>
        <w:jc w:val="center"/>
        <w:rPr>
          <w:b/>
          <w:sz w:val="44"/>
          <w:szCs w:val="44"/>
        </w:rPr>
        <w:sectPr w:rsidR="00C0434E" w:rsidRPr="004E4188" w:rsidSect="00413E17">
          <w:headerReference w:type="default" r:id="rId35"/>
          <w:footnotePr>
            <w:numRestart w:val="eachPage"/>
          </w:footnotePr>
          <w:type w:val="nextColumn"/>
          <w:pgSz w:w="12240" w:h="15840"/>
          <w:pgMar w:top="1440" w:right="1440" w:bottom="1440" w:left="1797" w:header="720" w:footer="720" w:gutter="0"/>
          <w:pgNumType w:start="1"/>
          <w:cols w:space="720"/>
        </w:sectPr>
      </w:pPr>
    </w:p>
    <w:p w14:paraId="15A0E70B" w14:textId="77E38C5A" w:rsidR="006F129D" w:rsidRPr="004E4188" w:rsidRDefault="006F129D" w:rsidP="00725FEE">
      <w:pPr>
        <w:spacing w:after="240"/>
        <w:jc w:val="center"/>
        <w:rPr>
          <w:b/>
          <w:sz w:val="44"/>
          <w:szCs w:val="44"/>
        </w:rPr>
      </w:pPr>
      <w:r w:rsidRPr="004E4188">
        <w:rPr>
          <w:b/>
          <w:sz w:val="44"/>
          <w:szCs w:val="44"/>
        </w:rPr>
        <w:t>Section I. Instructions aux soumissionnaires</w:t>
      </w:r>
    </w:p>
    <w:p w14:paraId="6F556E3C" w14:textId="77777777" w:rsidR="006F129D" w:rsidRPr="004E4188" w:rsidRDefault="006F129D" w:rsidP="00385271">
      <w:pPr>
        <w:pStyle w:val="3"/>
        <w:ind w:left="432"/>
        <w:jc w:val="center"/>
        <w:rPr>
          <w:b/>
          <w:sz w:val="40"/>
          <w:szCs w:val="40"/>
          <w:lang w:val="fr-FR"/>
        </w:rPr>
      </w:pPr>
      <w:bookmarkStart w:id="36" w:name="_Toc494778684"/>
      <w:bookmarkStart w:id="37" w:name="Table_IS_OPTIONA"/>
      <w:r w:rsidRPr="004E4188">
        <w:rPr>
          <w:b/>
          <w:sz w:val="40"/>
          <w:szCs w:val="40"/>
          <w:lang w:val="fr-FR"/>
        </w:rPr>
        <w:t>Table des matières</w:t>
      </w:r>
      <w:bookmarkEnd w:id="36"/>
    </w:p>
    <w:bookmarkEnd w:id="37"/>
    <w:p w14:paraId="3B72D594" w14:textId="77777777" w:rsidR="006F129D" w:rsidRPr="004E4188" w:rsidRDefault="006F129D">
      <w:pPr>
        <w:pStyle w:val="Outline"/>
        <w:spacing w:before="0"/>
        <w:rPr>
          <w:kern w:val="0"/>
        </w:rPr>
      </w:pPr>
      <w:r w:rsidRPr="004E4188">
        <w:rPr>
          <w:noProof/>
          <w:lang w:val="en-US" w:eastAsia="ja-JP"/>
        </w:rPr>
        <mc:AlternateContent>
          <mc:Choice Requires="wps">
            <w:drawing>
              <wp:anchor distT="0" distB="0" distL="114300" distR="114300" simplePos="0" relativeHeight="251659776" behindDoc="0" locked="0" layoutInCell="1" allowOverlap="1" wp14:anchorId="18C2AF81" wp14:editId="7FD3A048">
                <wp:simplePos x="0" y="0"/>
                <wp:positionH relativeFrom="column">
                  <wp:posOffset>5237825</wp:posOffset>
                </wp:positionH>
                <wp:positionV relativeFrom="paragraph">
                  <wp:posOffset>88142</wp:posOffset>
                </wp:positionV>
                <wp:extent cx="694690" cy="208280"/>
                <wp:effectExtent l="635"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C98AC" w14:textId="77777777" w:rsidR="0037332F" w:rsidRDefault="0037332F" w:rsidP="00D45EAD">
                            <w:pPr>
                              <w:ind w:firstLineChars="50" w:firstLine="120"/>
                              <w:rPr>
                                <w:lang w:eastAsia="ja-JP"/>
                              </w:rPr>
                            </w:pPr>
                            <w:r>
                              <w:rPr>
                                <w:rFonts w:hint="eastAsia"/>
                                <w:lang w:eastAsia="ja-JP"/>
                              </w:rPr>
                              <w:t>I</w:t>
                            </w:r>
                            <w:r>
                              <w:rPr>
                                <w:lang w:eastAsia="ja-JP"/>
                              </w:rPr>
                              <w:t>S</w:t>
                            </w:r>
                            <w:r>
                              <w:rPr>
                                <w:rFonts w:hint="eastAsia"/>
                                <w:lang w:eastAsia="ja-JP"/>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2AF81" id="_x0000_s1027" type="#_x0000_t202" style="position:absolute;margin-left:412.45pt;margin-top:6.95pt;width:54.7pt;height:1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" stroked="f">
                <v:textbox inset="5.85pt,.7pt,5.85pt,.7pt">
                  <w:txbxContent>
                    <w:p w14:paraId="20EC98AC" w14:textId="77777777" w:rsidR="0037332F" w:rsidRDefault="0037332F" w:rsidP="00D45EAD">
                      <w:pPr>
                        <w:ind w:firstLineChars="50" w:firstLine="120"/>
                        <w:rPr>
                          <w:lang w:eastAsia="ja-JP"/>
                        </w:rPr>
                      </w:pPr>
                      <w:r>
                        <w:rPr>
                          <w:rFonts w:hint="eastAsia"/>
                          <w:lang w:eastAsia="ja-JP"/>
                        </w:rPr>
                        <w:t>I</w:t>
                      </w:r>
                      <w:r>
                        <w:rPr>
                          <w:lang w:eastAsia="ja-JP"/>
                        </w:rPr>
                        <w:t>S</w:t>
                      </w:r>
                      <w:r>
                        <w:rPr>
                          <w:rFonts w:hint="eastAsia"/>
                          <w:lang w:eastAsia="ja-JP"/>
                        </w:rPr>
                        <w:t>(A)</w:t>
                      </w:r>
                    </w:p>
                  </w:txbxContent>
                </v:textbox>
              </v:shape>
            </w:pict>
          </mc:Fallback>
        </mc:AlternateContent>
      </w:r>
    </w:p>
    <w:p w14:paraId="22D23939" w14:textId="4EBAC346" w:rsidR="008F4F37" w:rsidRPr="004E4188" w:rsidRDefault="003B3ACC">
      <w:pPr>
        <w:pStyle w:val="12"/>
        <w:rPr>
          <w:rFonts w:asciiTheme="minorHAnsi" w:eastAsiaTheme="minorEastAsia" w:hAnsiTheme="minorHAnsi" w:cstheme="minorBidi"/>
          <w:b w:val="0"/>
          <w:noProof/>
          <w:kern w:val="2"/>
          <w:sz w:val="21"/>
          <w:szCs w:val="22"/>
          <w:lang w:eastAsia="ja-JP"/>
        </w:rPr>
      </w:pPr>
      <w:r w:rsidRPr="004E4188">
        <w:rPr>
          <w:lang w:val="fr-FR"/>
        </w:rPr>
        <w:fldChar w:fldCharType="begin"/>
      </w:r>
      <w:r w:rsidRPr="004E4188">
        <w:rPr>
          <w:lang w:val="fr-FR"/>
        </w:rPr>
        <w:instrText xml:space="preserve"> TOC \h \z \t "S1-Header2,2,S1-Header,1" </w:instrText>
      </w:r>
      <w:r w:rsidRPr="004E4188">
        <w:rPr>
          <w:lang w:val="fr-FR"/>
        </w:rPr>
        <w:fldChar w:fldCharType="separate"/>
      </w:r>
      <w:hyperlink w:anchor="_Toc113293286" w:history="1">
        <w:r w:rsidR="008F4F37" w:rsidRPr="004E4188">
          <w:rPr>
            <w:rStyle w:val="af1"/>
            <w:noProof/>
          </w:rPr>
          <w:t xml:space="preserve">A. </w:t>
        </w:r>
        <w:r w:rsidR="008F4F37" w:rsidRPr="004E4188">
          <w:rPr>
            <w:rStyle w:val="af1"/>
            <w:noProof/>
            <w:lang w:val="en-GB" w:eastAsia="ja-JP"/>
          </w:rPr>
          <w:t>Généralités</w:t>
        </w:r>
        <w:r w:rsidR="008F4F37" w:rsidRPr="004E4188">
          <w:rPr>
            <w:noProof/>
            <w:webHidden/>
          </w:rPr>
          <w:tab/>
        </w:r>
        <w:r w:rsidR="008F4F37" w:rsidRPr="004E4188">
          <w:rPr>
            <w:noProof/>
            <w:webHidden/>
          </w:rPr>
          <w:fldChar w:fldCharType="begin"/>
        </w:r>
        <w:r w:rsidR="008F4F37" w:rsidRPr="004E4188">
          <w:rPr>
            <w:noProof/>
            <w:webHidden/>
          </w:rPr>
          <w:instrText xml:space="preserve"> PAGEREF _Toc113293286 \h </w:instrText>
        </w:r>
        <w:r w:rsidR="008F4F37" w:rsidRPr="004E4188">
          <w:rPr>
            <w:noProof/>
            <w:webHidden/>
          </w:rPr>
        </w:r>
        <w:r w:rsidR="008F4F37" w:rsidRPr="004E4188">
          <w:rPr>
            <w:noProof/>
            <w:webHidden/>
          </w:rPr>
          <w:fldChar w:fldCharType="separate"/>
        </w:r>
        <w:r w:rsidR="0048496E">
          <w:rPr>
            <w:noProof/>
            <w:webHidden/>
          </w:rPr>
          <w:t>3</w:t>
        </w:r>
        <w:r w:rsidR="008F4F37" w:rsidRPr="004E4188">
          <w:rPr>
            <w:noProof/>
            <w:webHidden/>
          </w:rPr>
          <w:fldChar w:fldCharType="end"/>
        </w:r>
      </w:hyperlink>
    </w:p>
    <w:p w14:paraId="75EA0B02" w14:textId="179A6FD0"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287" w:history="1">
        <w:r w:rsidR="008F4F37" w:rsidRPr="004E4188">
          <w:rPr>
            <w:rStyle w:val="af1"/>
          </w:rPr>
          <w:t>1.</w:t>
        </w:r>
        <w:r w:rsidR="008F4F37" w:rsidRPr="004E4188">
          <w:rPr>
            <w:rFonts w:asciiTheme="minorHAnsi" w:eastAsiaTheme="minorEastAsia" w:hAnsiTheme="minorHAnsi" w:cstheme="minorBidi"/>
            <w:kern w:val="2"/>
            <w:sz w:val="21"/>
            <w:szCs w:val="22"/>
            <w:lang w:eastAsia="ja-JP"/>
          </w:rPr>
          <w:tab/>
        </w:r>
        <w:r w:rsidR="008F4F37" w:rsidRPr="004E4188">
          <w:rPr>
            <w:rStyle w:val="af1"/>
            <w:lang w:val="en-GB"/>
          </w:rPr>
          <w:t>Objet</w:t>
        </w:r>
        <w:r w:rsidR="008F4F37" w:rsidRPr="004E4188">
          <w:rPr>
            <w:rStyle w:val="af1"/>
          </w:rPr>
          <w:t xml:space="preserve"> du Marché</w:t>
        </w:r>
        <w:r w:rsidR="008F4F37" w:rsidRPr="004E4188">
          <w:rPr>
            <w:webHidden/>
          </w:rPr>
          <w:tab/>
        </w:r>
        <w:r w:rsidR="008F4F37" w:rsidRPr="004E4188">
          <w:rPr>
            <w:webHidden/>
          </w:rPr>
          <w:fldChar w:fldCharType="begin"/>
        </w:r>
        <w:r w:rsidR="008F4F37" w:rsidRPr="004E4188">
          <w:rPr>
            <w:webHidden/>
          </w:rPr>
          <w:instrText xml:space="preserve"> PAGEREF _Toc113293287 \h </w:instrText>
        </w:r>
        <w:r w:rsidR="008F4F37" w:rsidRPr="004E4188">
          <w:rPr>
            <w:webHidden/>
          </w:rPr>
        </w:r>
        <w:r w:rsidR="008F4F37" w:rsidRPr="004E4188">
          <w:rPr>
            <w:webHidden/>
          </w:rPr>
          <w:fldChar w:fldCharType="separate"/>
        </w:r>
        <w:r w:rsidR="0048496E">
          <w:rPr>
            <w:webHidden/>
          </w:rPr>
          <w:t>3</w:t>
        </w:r>
        <w:r w:rsidR="008F4F37" w:rsidRPr="004E4188">
          <w:rPr>
            <w:webHidden/>
          </w:rPr>
          <w:fldChar w:fldCharType="end"/>
        </w:r>
      </w:hyperlink>
    </w:p>
    <w:p w14:paraId="2EB53A9F" w14:textId="5B496FEC"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288" w:history="1">
        <w:r w:rsidR="008F4F37" w:rsidRPr="004E4188">
          <w:rPr>
            <w:rStyle w:val="af1"/>
          </w:rPr>
          <w:t>2.</w:t>
        </w:r>
        <w:r w:rsidR="008F4F37" w:rsidRPr="004E4188">
          <w:rPr>
            <w:rFonts w:asciiTheme="minorHAnsi" w:eastAsiaTheme="minorEastAsia" w:hAnsiTheme="minorHAnsi" w:cstheme="minorBidi"/>
            <w:kern w:val="2"/>
            <w:sz w:val="21"/>
            <w:szCs w:val="22"/>
            <w:lang w:eastAsia="ja-JP"/>
          </w:rPr>
          <w:tab/>
        </w:r>
        <w:r w:rsidR="008F4F37" w:rsidRPr="004E4188">
          <w:rPr>
            <w:rStyle w:val="af1"/>
          </w:rPr>
          <w:t xml:space="preserve">Origine des </w:t>
        </w:r>
        <w:r w:rsidR="008F4F37" w:rsidRPr="004E4188">
          <w:rPr>
            <w:rStyle w:val="af1"/>
            <w:lang w:val="en-GB"/>
          </w:rPr>
          <w:t>fonds</w:t>
        </w:r>
        <w:r w:rsidR="008F4F37" w:rsidRPr="004E4188">
          <w:rPr>
            <w:webHidden/>
          </w:rPr>
          <w:tab/>
        </w:r>
        <w:r w:rsidR="008F4F37" w:rsidRPr="004E4188">
          <w:rPr>
            <w:webHidden/>
          </w:rPr>
          <w:fldChar w:fldCharType="begin"/>
        </w:r>
        <w:r w:rsidR="008F4F37" w:rsidRPr="004E4188">
          <w:rPr>
            <w:webHidden/>
          </w:rPr>
          <w:instrText xml:space="preserve"> PAGEREF _Toc113293288 \h </w:instrText>
        </w:r>
        <w:r w:rsidR="008F4F37" w:rsidRPr="004E4188">
          <w:rPr>
            <w:webHidden/>
          </w:rPr>
        </w:r>
        <w:r w:rsidR="008F4F37" w:rsidRPr="004E4188">
          <w:rPr>
            <w:webHidden/>
          </w:rPr>
          <w:fldChar w:fldCharType="separate"/>
        </w:r>
        <w:r w:rsidR="0048496E">
          <w:rPr>
            <w:webHidden/>
          </w:rPr>
          <w:t>3</w:t>
        </w:r>
        <w:r w:rsidR="008F4F37" w:rsidRPr="004E4188">
          <w:rPr>
            <w:webHidden/>
          </w:rPr>
          <w:fldChar w:fldCharType="end"/>
        </w:r>
      </w:hyperlink>
    </w:p>
    <w:p w14:paraId="7996B901" w14:textId="5B7F97A3"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289" w:history="1">
        <w:r w:rsidR="008F4F37" w:rsidRPr="004E4188">
          <w:rPr>
            <w:rStyle w:val="af1"/>
          </w:rPr>
          <w:t>3.</w:t>
        </w:r>
        <w:r w:rsidR="008F4F37" w:rsidRPr="004E4188">
          <w:rPr>
            <w:rFonts w:asciiTheme="minorHAnsi" w:eastAsiaTheme="minorEastAsia" w:hAnsiTheme="minorHAnsi" w:cstheme="minorBidi"/>
            <w:kern w:val="2"/>
            <w:sz w:val="21"/>
            <w:szCs w:val="22"/>
            <w:lang w:eastAsia="ja-JP"/>
          </w:rPr>
          <w:tab/>
        </w:r>
        <w:r w:rsidR="008F4F37" w:rsidRPr="004E4188">
          <w:rPr>
            <w:rStyle w:val="af1"/>
            <w:lang w:val="en-GB"/>
          </w:rPr>
          <w:t>Pratiques</w:t>
        </w:r>
        <w:r w:rsidR="008F4F37" w:rsidRPr="004E4188">
          <w:rPr>
            <w:rStyle w:val="af1"/>
          </w:rPr>
          <w:t xml:space="preserve"> corrompues ou frauduleuses</w:t>
        </w:r>
        <w:r w:rsidR="008F4F37" w:rsidRPr="004E4188">
          <w:rPr>
            <w:webHidden/>
          </w:rPr>
          <w:tab/>
        </w:r>
        <w:r w:rsidR="008F4F37" w:rsidRPr="004E4188">
          <w:rPr>
            <w:webHidden/>
          </w:rPr>
          <w:fldChar w:fldCharType="begin"/>
        </w:r>
        <w:r w:rsidR="008F4F37" w:rsidRPr="004E4188">
          <w:rPr>
            <w:webHidden/>
          </w:rPr>
          <w:instrText xml:space="preserve"> PAGEREF _Toc113293289 \h </w:instrText>
        </w:r>
        <w:r w:rsidR="008F4F37" w:rsidRPr="004E4188">
          <w:rPr>
            <w:webHidden/>
          </w:rPr>
        </w:r>
        <w:r w:rsidR="008F4F37" w:rsidRPr="004E4188">
          <w:rPr>
            <w:webHidden/>
          </w:rPr>
          <w:fldChar w:fldCharType="separate"/>
        </w:r>
        <w:r w:rsidR="0048496E">
          <w:rPr>
            <w:webHidden/>
          </w:rPr>
          <w:t>4</w:t>
        </w:r>
        <w:r w:rsidR="008F4F37" w:rsidRPr="004E4188">
          <w:rPr>
            <w:webHidden/>
          </w:rPr>
          <w:fldChar w:fldCharType="end"/>
        </w:r>
      </w:hyperlink>
    </w:p>
    <w:p w14:paraId="26445400" w14:textId="35FCA008"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290" w:history="1">
        <w:r w:rsidR="008F4F37" w:rsidRPr="004E4188">
          <w:rPr>
            <w:rStyle w:val="af1"/>
            <w:lang w:val="fr-FR"/>
          </w:rPr>
          <w:t>4.</w:t>
        </w:r>
        <w:r w:rsidR="008F4F37" w:rsidRPr="004E4188">
          <w:rPr>
            <w:rFonts w:asciiTheme="minorHAnsi" w:eastAsiaTheme="minorEastAsia" w:hAnsiTheme="minorHAnsi" w:cstheme="minorBidi"/>
            <w:kern w:val="2"/>
            <w:sz w:val="21"/>
            <w:szCs w:val="22"/>
            <w:lang w:eastAsia="ja-JP"/>
          </w:rPr>
          <w:tab/>
        </w:r>
        <w:r w:rsidR="008F4F37" w:rsidRPr="004E4188">
          <w:rPr>
            <w:rStyle w:val="af1"/>
          </w:rPr>
          <w:t>Soumissionnaires</w:t>
        </w:r>
        <w:r w:rsidR="008F4F37" w:rsidRPr="004E4188">
          <w:rPr>
            <w:rStyle w:val="af1"/>
            <w:lang w:val="fr-FR" w:eastAsia="ja-JP"/>
          </w:rPr>
          <w:t xml:space="preserve"> éligibles</w:t>
        </w:r>
        <w:r w:rsidR="008F4F37" w:rsidRPr="004E4188">
          <w:rPr>
            <w:webHidden/>
          </w:rPr>
          <w:tab/>
        </w:r>
        <w:r w:rsidR="008F4F37" w:rsidRPr="004E4188">
          <w:rPr>
            <w:webHidden/>
          </w:rPr>
          <w:fldChar w:fldCharType="begin"/>
        </w:r>
        <w:r w:rsidR="008F4F37" w:rsidRPr="004E4188">
          <w:rPr>
            <w:webHidden/>
          </w:rPr>
          <w:instrText xml:space="preserve"> PAGEREF _Toc113293290 \h </w:instrText>
        </w:r>
        <w:r w:rsidR="008F4F37" w:rsidRPr="004E4188">
          <w:rPr>
            <w:webHidden/>
          </w:rPr>
        </w:r>
        <w:r w:rsidR="008F4F37" w:rsidRPr="004E4188">
          <w:rPr>
            <w:webHidden/>
          </w:rPr>
          <w:fldChar w:fldCharType="separate"/>
        </w:r>
        <w:r w:rsidR="0048496E">
          <w:rPr>
            <w:webHidden/>
          </w:rPr>
          <w:t>6</w:t>
        </w:r>
        <w:r w:rsidR="008F4F37" w:rsidRPr="004E4188">
          <w:rPr>
            <w:webHidden/>
          </w:rPr>
          <w:fldChar w:fldCharType="end"/>
        </w:r>
      </w:hyperlink>
    </w:p>
    <w:p w14:paraId="26574890" w14:textId="4788CF76"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291" w:history="1">
        <w:r w:rsidR="008F4F37" w:rsidRPr="004E4188">
          <w:rPr>
            <w:rStyle w:val="af1"/>
          </w:rPr>
          <w:t>5.</w:t>
        </w:r>
        <w:r w:rsidR="008F4F37" w:rsidRPr="004E4188">
          <w:rPr>
            <w:rFonts w:asciiTheme="minorHAnsi" w:eastAsiaTheme="minorEastAsia" w:hAnsiTheme="minorHAnsi" w:cstheme="minorBidi"/>
            <w:kern w:val="2"/>
            <w:sz w:val="21"/>
            <w:szCs w:val="22"/>
            <w:lang w:eastAsia="ja-JP"/>
          </w:rPr>
          <w:tab/>
        </w:r>
        <w:r w:rsidR="008F4F37" w:rsidRPr="004E4188">
          <w:rPr>
            <w:rStyle w:val="af1"/>
            <w:lang w:val="en-GB"/>
          </w:rPr>
          <w:t>Biens</w:t>
        </w:r>
        <w:r w:rsidR="008F4F37" w:rsidRPr="004E4188">
          <w:rPr>
            <w:rStyle w:val="af1"/>
          </w:rPr>
          <w:t xml:space="preserve"> et services éligibles</w:t>
        </w:r>
        <w:r w:rsidR="008F4F37" w:rsidRPr="004E4188">
          <w:rPr>
            <w:webHidden/>
          </w:rPr>
          <w:tab/>
        </w:r>
        <w:r w:rsidR="008F4F37" w:rsidRPr="004E4188">
          <w:rPr>
            <w:webHidden/>
          </w:rPr>
          <w:fldChar w:fldCharType="begin"/>
        </w:r>
        <w:r w:rsidR="008F4F37" w:rsidRPr="004E4188">
          <w:rPr>
            <w:webHidden/>
          </w:rPr>
          <w:instrText xml:space="preserve"> PAGEREF _Toc113293291 \h </w:instrText>
        </w:r>
        <w:r w:rsidR="008F4F37" w:rsidRPr="004E4188">
          <w:rPr>
            <w:webHidden/>
          </w:rPr>
        </w:r>
        <w:r w:rsidR="008F4F37" w:rsidRPr="004E4188">
          <w:rPr>
            <w:webHidden/>
          </w:rPr>
          <w:fldChar w:fldCharType="separate"/>
        </w:r>
        <w:r w:rsidR="0048496E">
          <w:rPr>
            <w:webHidden/>
          </w:rPr>
          <w:t>8</w:t>
        </w:r>
        <w:r w:rsidR="008F4F37" w:rsidRPr="004E4188">
          <w:rPr>
            <w:webHidden/>
          </w:rPr>
          <w:fldChar w:fldCharType="end"/>
        </w:r>
      </w:hyperlink>
    </w:p>
    <w:p w14:paraId="7D877781" w14:textId="1728FD66" w:rsidR="008F4F37" w:rsidRPr="004E4188" w:rsidRDefault="00000000">
      <w:pPr>
        <w:pStyle w:val="12"/>
        <w:rPr>
          <w:rFonts w:asciiTheme="minorHAnsi" w:eastAsiaTheme="minorEastAsia" w:hAnsiTheme="minorHAnsi" w:cstheme="minorBidi"/>
          <w:b w:val="0"/>
          <w:noProof/>
          <w:kern w:val="2"/>
          <w:sz w:val="21"/>
          <w:szCs w:val="22"/>
          <w:lang w:eastAsia="ja-JP"/>
        </w:rPr>
      </w:pPr>
      <w:hyperlink w:anchor="_Toc113293292" w:history="1">
        <w:r w:rsidR="008F4F37" w:rsidRPr="004E4188">
          <w:rPr>
            <w:rStyle w:val="af1"/>
            <w:noProof/>
          </w:rPr>
          <w:t>B. Contenu du Dossier d’appel d’offres</w:t>
        </w:r>
        <w:r w:rsidR="008F4F37" w:rsidRPr="004E4188">
          <w:rPr>
            <w:noProof/>
            <w:webHidden/>
          </w:rPr>
          <w:tab/>
        </w:r>
        <w:r w:rsidR="008F4F37" w:rsidRPr="004E4188">
          <w:rPr>
            <w:noProof/>
            <w:webHidden/>
          </w:rPr>
          <w:fldChar w:fldCharType="begin"/>
        </w:r>
        <w:r w:rsidR="008F4F37" w:rsidRPr="004E4188">
          <w:rPr>
            <w:noProof/>
            <w:webHidden/>
          </w:rPr>
          <w:instrText xml:space="preserve"> PAGEREF _Toc113293292 \h </w:instrText>
        </w:r>
        <w:r w:rsidR="008F4F37" w:rsidRPr="004E4188">
          <w:rPr>
            <w:noProof/>
            <w:webHidden/>
          </w:rPr>
        </w:r>
        <w:r w:rsidR="008F4F37" w:rsidRPr="004E4188">
          <w:rPr>
            <w:noProof/>
            <w:webHidden/>
          </w:rPr>
          <w:fldChar w:fldCharType="separate"/>
        </w:r>
        <w:r w:rsidR="0048496E">
          <w:rPr>
            <w:noProof/>
            <w:webHidden/>
          </w:rPr>
          <w:t>8</w:t>
        </w:r>
        <w:r w:rsidR="008F4F37" w:rsidRPr="004E4188">
          <w:rPr>
            <w:noProof/>
            <w:webHidden/>
          </w:rPr>
          <w:fldChar w:fldCharType="end"/>
        </w:r>
      </w:hyperlink>
    </w:p>
    <w:p w14:paraId="51007CBC" w14:textId="50F620B7"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293" w:history="1">
        <w:r w:rsidR="008F4F37" w:rsidRPr="004E4188">
          <w:rPr>
            <w:rStyle w:val="af1"/>
            <w:lang w:val="fr-FR"/>
          </w:rPr>
          <w:t>6.</w:t>
        </w:r>
        <w:r w:rsidR="008F4F37" w:rsidRPr="004E4188">
          <w:rPr>
            <w:rFonts w:asciiTheme="minorHAnsi" w:eastAsiaTheme="minorEastAsia" w:hAnsiTheme="minorHAnsi" w:cstheme="minorBidi"/>
            <w:kern w:val="2"/>
            <w:sz w:val="21"/>
            <w:szCs w:val="22"/>
            <w:lang w:eastAsia="ja-JP"/>
          </w:rPr>
          <w:tab/>
        </w:r>
        <w:r w:rsidR="008F4F37" w:rsidRPr="004E4188">
          <w:rPr>
            <w:rStyle w:val="af1"/>
            <w:lang w:val="fr-FR"/>
          </w:rPr>
          <w:t>Sections du Dossier d’appel d’offres</w:t>
        </w:r>
        <w:r w:rsidR="008F4F37" w:rsidRPr="004E4188">
          <w:rPr>
            <w:webHidden/>
          </w:rPr>
          <w:tab/>
        </w:r>
        <w:r w:rsidR="008F4F37" w:rsidRPr="004E4188">
          <w:rPr>
            <w:webHidden/>
          </w:rPr>
          <w:fldChar w:fldCharType="begin"/>
        </w:r>
        <w:r w:rsidR="008F4F37" w:rsidRPr="004E4188">
          <w:rPr>
            <w:webHidden/>
          </w:rPr>
          <w:instrText xml:space="preserve"> PAGEREF _Toc113293293 \h </w:instrText>
        </w:r>
        <w:r w:rsidR="008F4F37" w:rsidRPr="004E4188">
          <w:rPr>
            <w:webHidden/>
          </w:rPr>
        </w:r>
        <w:r w:rsidR="008F4F37" w:rsidRPr="004E4188">
          <w:rPr>
            <w:webHidden/>
          </w:rPr>
          <w:fldChar w:fldCharType="separate"/>
        </w:r>
        <w:r w:rsidR="0048496E">
          <w:rPr>
            <w:webHidden/>
          </w:rPr>
          <w:t>8</w:t>
        </w:r>
        <w:r w:rsidR="008F4F37" w:rsidRPr="004E4188">
          <w:rPr>
            <w:webHidden/>
          </w:rPr>
          <w:fldChar w:fldCharType="end"/>
        </w:r>
      </w:hyperlink>
    </w:p>
    <w:p w14:paraId="1ABE0F4B" w14:textId="1B1D1C88"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294" w:history="1">
        <w:r w:rsidR="008F4F37" w:rsidRPr="004E4188">
          <w:rPr>
            <w:rStyle w:val="af1"/>
            <w:lang w:val="fr-FR"/>
          </w:rPr>
          <w:t>7.</w:t>
        </w:r>
        <w:r w:rsidR="008F4F37" w:rsidRPr="004E4188">
          <w:rPr>
            <w:rFonts w:asciiTheme="minorHAnsi" w:eastAsiaTheme="minorEastAsia" w:hAnsiTheme="minorHAnsi" w:cstheme="minorBidi"/>
            <w:kern w:val="2"/>
            <w:sz w:val="21"/>
            <w:szCs w:val="22"/>
            <w:lang w:eastAsia="ja-JP"/>
          </w:rPr>
          <w:tab/>
        </w:r>
        <w:r w:rsidR="008F4F37" w:rsidRPr="004E4188">
          <w:rPr>
            <w:rStyle w:val="af1"/>
            <w:lang w:val="fr-FR"/>
          </w:rPr>
          <w:t>Éclaircissements apportés au Dossier d’appel d’offres, visite du site et réunion préparatoire</w:t>
        </w:r>
        <w:r w:rsidR="008F4F37" w:rsidRPr="004E4188">
          <w:rPr>
            <w:webHidden/>
          </w:rPr>
          <w:tab/>
        </w:r>
        <w:r w:rsidR="008F4F37" w:rsidRPr="004E4188">
          <w:rPr>
            <w:webHidden/>
          </w:rPr>
          <w:fldChar w:fldCharType="begin"/>
        </w:r>
        <w:r w:rsidR="008F4F37" w:rsidRPr="004E4188">
          <w:rPr>
            <w:webHidden/>
          </w:rPr>
          <w:instrText xml:space="preserve"> PAGEREF _Toc113293294 \h </w:instrText>
        </w:r>
        <w:r w:rsidR="008F4F37" w:rsidRPr="004E4188">
          <w:rPr>
            <w:webHidden/>
          </w:rPr>
        </w:r>
        <w:r w:rsidR="008F4F37" w:rsidRPr="004E4188">
          <w:rPr>
            <w:webHidden/>
          </w:rPr>
          <w:fldChar w:fldCharType="separate"/>
        </w:r>
        <w:r w:rsidR="0048496E">
          <w:rPr>
            <w:webHidden/>
          </w:rPr>
          <w:t>9</w:t>
        </w:r>
        <w:r w:rsidR="008F4F37" w:rsidRPr="004E4188">
          <w:rPr>
            <w:webHidden/>
          </w:rPr>
          <w:fldChar w:fldCharType="end"/>
        </w:r>
      </w:hyperlink>
    </w:p>
    <w:p w14:paraId="085D5F4E" w14:textId="0C1C1F7B"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295" w:history="1">
        <w:r w:rsidR="008F4F37" w:rsidRPr="004E4188">
          <w:rPr>
            <w:rStyle w:val="af1"/>
            <w:lang w:val="fr-FR"/>
          </w:rPr>
          <w:t>8.</w:t>
        </w:r>
        <w:r w:rsidR="008F4F37" w:rsidRPr="004E4188">
          <w:rPr>
            <w:rFonts w:asciiTheme="minorHAnsi" w:eastAsiaTheme="minorEastAsia" w:hAnsiTheme="minorHAnsi" w:cstheme="minorBidi"/>
            <w:kern w:val="2"/>
            <w:sz w:val="21"/>
            <w:szCs w:val="22"/>
            <w:lang w:eastAsia="ja-JP"/>
          </w:rPr>
          <w:tab/>
        </w:r>
        <w:r w:rsidR="008F4F37" w:rsidRPr="004E4188">
          <w:rPr>
            <w:rStyle w:val="af1"/>
            <w:lang w:val="fr-FR"/>
          </w:rPr>
          <w:t>Modifications apportées au Dossier d’appel d’offres</w:t>
        </w:r>
        <w:r w:rsidR="008F4F37" w:rsidRPr="004E4188">
          <w:rPr>
            <w:webHidden/>
          </w:rPr>
          <w:tab/>
        </w:r>
        <w:r w:rsidR="008F4F37" w:rsidRPr="004E4188">
          <w:rPr>
            <w:webHidden/>
          </w:rPr>
          <w:fldChar w:fldCharType="begin"/>
        </w:r>
        <w:r w:rsidR="008F4F37" w:rsidRPr="004E4188">
          <w:rPr>
            <w:webHidden/>
          </w:rPr>
          <w:instrText xml:space="preserve"> PAGEREF _Toc113293295 \h </w:instrText>
        </w:r>
        <w:r w:rsidR="008F4F37" w:rsidRPr="004E4188">
          <w:rPr>
            <w:webHidden/>
          </w:rPr>
        </w:r>
        <w:r w:rsidR="008F4F37" w:rsidRPr="004E4188">
          <w:rPr>
            <w:webHidden/>
          </w:rPr>
          <w:fldChar w:fldCharType="separate"/>
        </w:r>
        <w:r w:rsidR="0048496E">
          <w:rPr>
            <w:webHidden/>
          </w:rPr>
          <w:t>10</w:t>
        </w:r>
        <w:r w:rsidR="008F4F37" w:rsidRPr="004E4188">
          <w:rPr>
            <w:webHidden/>
          </w:rPr>
          <w:fldChar w:fldCharType="end"/>
        </w:r>
      </w:hyperlink>
    </w:p>
    <w:p w14:paraId="011DE983" w14:textId="7D00898F" w:rsidR="008F4F37" w:rsidRPr="004E4188" w:rsidRDefault="00000000">
      <w:pPr>
        <w:pStyle w:val="12"/>
        <w:rPr>
          <w:rFonts w:asciiTheme="minorHAnsi" w:eastAsiaTheme="minorEastAsia" w:hAnsiTheme="minorHAnsi" w:cstheme="minorBidi"/>
          <w:b w:val="0"/>
          <w:noProof/>
          <w:kern w:val="2"/>
          <w:sz w:val="21"/>
          <w:szCs w:val="22"/>
          <w:lang w:eastAsia="ja-JP"/>
        </w:rPr>
      </w:pPr>
      <w:hyperlink w:anchor="_Toc113293296" w:history="1">
        <w:r w:rsidR="008F4F37" w:rsidRPr="004E4188">
          <w:rPr>
            <w:rStyle w:val="af1"/>
            <w:noProof/>
          </w:rPr>
          <w:t xml:space="preserve">C. </w:t>
        </w:r>
        <w:r w:rsidR="008F4F37" w:rsidRPr="004E4188">
          <w:rPr>
            <w:rStyle w:val="af1"/>
            <w:noProof/>
            <w:lang w:val="en-GB"/>
          </w:rPr>
          <w:t>Préparation</w:t>
        </w:r>
        <w:r w:rsidR="008F4F37" w:rsidRPr="004E4188">
          <w:rPr>
            <w:rStyle w:val="af1"/>
            <w:noProof/>
          </w:rPr>
          <w:t xml:space="preserve"> des offres</w:t>
        </w:r>
        <w:r w:rsidR="008F4F37" w:rsidRPr="004E4188">
          <w:rPr>
            <w:noProof/>
            <w:webHidden/>
          </w:rPr>
          <w:tab/>
        </w:r>
        <w:r w:rsidR="008F4F37" w:rsidRPr="004E4188">
          <w:rPr>
            <w:noProof/>
            <w:webHidden/>
          </w:rPr>
          <w:fldChar w:fldCharType="begin"/>
        </w:r>
        <w:r w:rsidR="008F4F37" w:rsidRPr="004E4188">
          <w:rPr>
            <w:noProof/>
            <w:webHidden/>
          </w:rPr>
          <w:instrText xml:space="preserve"> PAGEREF _Toc113293296 \h </w:instrText>
        </w:r>
        <w:r w:rsidR="008F4F37" w:rsidRPr="004E4188">
          <w:rPr>
            <w:noProof/>
            <w:webHidden/>
          </w:rPr>
        </w:r>
        <w:r w:rsidR="008F4F37" w:rsidRPr="004E4188">
          <w:rPr>
            <w:noProof/>
            <w:webHidden/>
          </w:rPr>
          <w:fldChar w:fldCharType="separate"/>
        </w:r>
        <w:r w:rsidR="0048496E">
          <w:rPr>
            <w:noProof/>
            <w:webHidden/>
          </w:rPr>
          <w:t>11</w:t>
        </w:r>
        <w:r w:rsidR="008F4F37" w:rsidRPr="004E4188">
          <w:rPr>
            <w:noProof/>
            <w:webHidden/>
          </w:rPr>
          <w:fldChar w:fldCharType="end"/>
        </w:r>
      </w:hyperlink>
    </w:p>
    <w:p w14:paraId="73940693" w14:textId="54DAEC84"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297" w:history="1">
        <w:r w:rsidR="008F4F37" w:rsidRPr="004E4188">
          <w:rPr>
            <w:rStyle w:val="af1"/>
          </w:rPr>
          <w:t>9.</w:t>
        </w:r>
        <w:r w:rsidR="008F4F37" w:rsidRPr="004E4188">
          <w:rPr>
            <w:rFonts w:asciiTheme="minorHAnsi" w:eastAsiaTheme="minorEastAsia" w:hAnsiTheme="minorHAnsi" w:cstheme="minorBidi"/>
            <w:kern w:val="2"/>
            <w:sz w:val="21"/>
            <w:szCs w:val="22"/>
            <w:lang w:eastAsia="ja-JP"/>
          </w:rPr>
          <w:tab/>
        </w:r>
        <w:r w:rsidR="008F4F37" w:rsidRPr="004E4188">
          <w:rPr>
            <w:rStyle w:val="af1"/>
          </w:rPr>
          <w:t xml:space="preserve">Frais de </w:t>
        </w:r>
        <w:r w:rsidR="008F4F37" w:rsidRPr="004E4188">
          <w:rPr>
            <w:rStyle w:val="af1"/>
            <w:lang w:val="en-GB"/>
          </w:rPr>
          <w:t>soumission</w:t>
        </w:r>
        <w:r w:rsidR="008F4F37" w:rsidRPr="004E4188">
          <w:rPr>
            <w:webHidden/>
          </w:rPr>
          <w:tab/>
        </w:r>
        <w:r w:rsidR="008F4F37" w:rsidRPr="004E4188">
          <w:rPr>
            <w:webHidden/>
          </w:rPr>
          <w:fldChar w:fldCharType="begin"/>
        </w:r>
        <w:r w:rsidR="008F4F37" w:rsidRPr="004E4188">
          <w:rPr>
            <w:webHidden/>
          </w:rPr>
          <w:instrText xml:space="preserve"> PAGEREF _Toc113293297 \h </w:instrText>
        </w:r>
        <w:r w:rsidR="008F4F37" w:rsidRPr="004E4188">
          <w:rPr>
            <w:webHidden/>
          </w:rPr>
        </w:r>
        <w:r w:rsidR="008F4F37" w:rsidRPr="004E4188">
          <w:rPr>
            <w:webHidden/>
          </w:rPr>
          <w:fldChar w:fldCharType="separate"/>
        </w:r>
        <w:r w:rsidR="0048496E">
          <w:rPr>
            <w:webHidden/>
          </w:rPr>
          <w:t>11</w:t>
        </w:r>
        <w:r w:rsidR="008F4F37" w:rsidRPr="004E4188">
          <w:rPr>
            <w:webHidden/>
          </w:rPr>
          <w:fldChar w:fldCharType="end"/>
        </w:r>
      </w:hyperlink>
    </w:p>
    <w:p w14:paraId="10CD3A41" w14:textId="2504C426"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298" w:history="1">
        <w:r w:rsidR="008F4F37" w:rsidRPr="004E4188">
          <w:rPr>
            <w:rStyle w:val="af1"/>
          </w:rPr>
          <w:t>10.</w:t>
        </w:r>
        <w:r w:rsidR="008F4F37" w:rsidRPr="004E4188">
          <w:rPr>
            <w:rFonts w:asciiTheme="minorHAnsi" w:eastAsiaTheme="minorEastAsia" w:hAnsiTheme="minorHAnsi" w:cstheme="minorBidi"/>
            <w:kern w:val="2"/>
            <w:sz w:val="21"/>
            <w:szCs w:val="22"/>
            <w:lang w:eastAsia="ja-JP"/>
          </w:rPr>
          <w:tab/>
        </w:r>
        <w:r w:rsidR="008F4F37" w:rsidRPr="004E4188">
          <w:rPr>
            <w:rStyle w:val="af1"/>
            <w:lang w:val="en-GB"/>
          </w:rPr>
          <w:t>Langue</w:t>
        </w:r>
        <w:r w:rsidR="008F4F37" w:rsidRPr="004E4188">
          <w:rPr>
            <w:rStyle w:val="af1"/>
          </w:rPr>
          <w:t xml:space="preserve"> de l’offre</w:t>
        </w:r>
        <w:r w:rsidR="008F4F37" w:rsidRPr="004E4188">
          <w:rPr>
            <w:webHidden/>
          </w:rPr>
          <w:tab/>
        </w:r>
        <w:r w:rsidR="008F4F37" w:rsidRPr="004E4188">
          <w:rPr>
            <w:webHidden/>
          </w:rPr>
          <w:fldChar w:fldCharType="begin"/>
        </w:r>
        <w:r w:rsidR="008F4F37" w:rsidRPr="004E4188">
          <w:rPr>
            <w:webHidden/>
          </w:rPr>
          <w:instrText xml:space="preserve"> PAGEREF _Toc113293298 \h </w:instrText>
        </w:r>
        <w:r w:rsidR="008F4F37" w:rsidRPr="004E4188">
          <w:rPr>
            <w:webHidden/>
          </w:rPr>
        </w:r>
        <w:r w:rsidR="008F4F37" w:rsidRPr="004E4188">
          <w:rPr>
            <w:webHidden/>
          </w:rPr>
          <w:fldChar w:fldCharType="separate"/>
        </w:r>
        <w:r w:rsidR="0048496E">
          <w:rPr>
            <w:webHidden/>
          </w:rPr>
          <w:t>11</w:t>
        </w:r>
        <w:r w:rsidR="008F4F37" w:rsidRPr="004E4188">
          <w:rPr>
            <w:webHidden/>
          </w:rPr>
          <w:fldChar w:fldCharType="end"/>
        </w:r>
      </w:hyperlink>
    </w:p>
    <w:p w14:paraId="2C409094" w14:textId="00388E2C"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299" w:history="1">
        <w:r w:rsidR="008F4F37" w:rsidRPr="004E4188">
          <w:rPr>
            <w:rStyle w:val="af1"/>
          </w:rPr>
          <w:t>11.</w:t>
        </w:r>
        <w:r w:rsidR="008F4F37" w:rsidRPr="004E4188">
          <w:rPr>
            <w:rFonts w:asciiTheme="minorHAnsi" w:eastAsiaTheme="minorEastAsia" w:hAnsiTheme="minorHAnsi" w:cstheme="minorBidi"/>
            <w:kern w:val="2"/>
            <w:sz w:val="21"/>
            <w:szCs w:val="22"/>
            <w:lang w:eastAsia="ja-JP"/>
          </w:rPr>
          <w:tab/>
        </w:r>
        <w:r w:rsidR="008F4F37" w:rsidRPr="004E4188">
          <w:rPr>
            <w:rStyle w:val="af1"/>
            <w:lang w:val="en-GB"/>
          </w:rPr>
          <w:t>Documents</w:t>
        </w:r>
        <w:r w:rsidR="008F4F37" w:rsidRPr="004E4188">
          <w:rPr>
            <w:rStyle w:val="af1"/>
          </w:rPr>
          <w:t xml:space="preserve"> constitutifs de l’offre</w:t>
        </w:r>
        <w:r w:rsidR="008F4F37" w:rsidRPr="004E4188">
          <w:rPr>
            <w:webHidden/>
          </w:rPr>
          <w:tab/>
        </w:r>
        <w:r w:rsidR="008F4F37" w:rsidRPr="004E4188">
          <w:rPr>
            <w:webHidden/>
          </w:rPr>
          <w:fldChar w:fldCharType="begin"/>
        </w:r>
        <w:r w:rsidR="008F4F37" w:rsidRPr="004E4188">
          <w:rPr>
            <w:webHidden/>
          </w:rPr>
          <w:instrText xml:space="preserve"> PAGEREF _Toc113293299 \h </w:instrText>
        </w:r>
        <w:r w:rsidR="008F4F37" w:rsidRPr="004E4188">
          <w:rPr>
            <w:webHidden/>
          </w:rPr>
        </w:r>
        <w:r w:rsidR="008F4F37" w:rsidRPr="004E4188">
          <w:rPr>
            <w:webHidden/>
          </w:rPr>
          <w:fldChar w:fldCharType="separate"/>
        </w:r>
        <w:r w:rsidR="0048496E">
          <w:rPr>
            <w:webHidden/>
          </w:rPr>
          <w:t>11</w:t>
        </w:r>
        <w:r w:rsidR="008F4F37" w:rsidRPr="004E4188">
          <w:rPr>
            <w:webHidden/>
          </w:rPr>
          <w:fldChar w:fldCharType="end"/>
        </w:r>
      </w:hyperlink>
    </w:p>
    <w:p w14:paraId="43F743C0" w14:textId="2EA5705A"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00" w:history="1">
        <w:r w:rsidR="008F4F37" w:rsidRPr="004E4188">
          <w:rPr>
            <w:rStyle w:val="af1"/>
            <w:lang w:val="fr-FR"/>
          </w:rPr>
          <w:t>12.</w:t>
        </w:r>
        <w:r w:rsidR="008F4F37" w:rsidRPr="004E4188">
          <w:rPr>
            <w:rFonts w:asciiTheme="minorHAnsi" w:eastAsiaTheme="minorEastAsia" w:hAnsiTheme="minorHAnsi" w:cstheme="minorBidi"/>
            <w:kern w:val="2"/>
            <w:sz w:val="21"/>
            <w:szCs w:val="22"/>
            <w:lang w:eastAsia="ja-JP"/>
          </w:rPr>
          <w:tab/>
        </w:r>
        <w:r w:rsidR="008F4F37" w:rsidRPr="004E4188">
          <w:rPr>
            <w:rStyle w:val="af1"/>
            <w:lang w:val="fr-FR"/>
          </w:rPr>
          <w:t>Lettres de soumission et Bordereaux</w:t>
        </w:r>
        <w:r w:rsidR="008F4F37" w:rsidRPr="004E4188">
          <w:rPr>
            <w:webHidden/>
          </w:rPr>
          <w:tab/>
        </w:r>
        <w:r w:rsidR="008F4F37" w:rsidRPr="004E4188">
          <w:rPr>
            <w:webHidden/>
          </w:rPr>
          <w:fldChar w:fldCharType="begin"/>
        </w:r>
        <w:r w:rsidR="008F4F37" w:rsidRPr="004E4188">
          <w:rPr>
            <w:webHidden/>
          </w:rPr>
          <w:instrText xml:space="preserve"> PAGEREF _Toc113293300 \h </w:instrText>
        </w:r>
        <w:r w:rsidR="008F4F37" w:rsidRPr="004E4188">
          <w:rPr>
            <w:webHidden/>
          </w:rPr>
        </w:r>
        <w:r w:rsidR="008F4F37" w:rsidRPr="004E4188">
          <w:rPr>
            <w:webHidden/>
          </w:rPr>
          <w:fldChar w:fldCharType="separate"/>
        </w:r>
        <w:r w:rsidR="0048496E">
          <w:rPr>
            <w:webHidden/>
          </w:rPr>
          <w:t>12</w:t>
        </w:r>
        <w:r w:rsidR="008F4F37" w:rsidRPr="004E4188">
          <w:rPr>
            <w:webHidden/>
          </w:rPr>
          <w:fldChar w:fldCharType="end"/>
        </w:r>
      </w:hyperlink>
    </w:p>
    <w:p w14:paraId="7FEEE940" w14:textId="2CA0F6CF"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01" w:history="1">
        <w:r w:rsidR="008F4F37" w:rsidRPr="004E4188">
          <w:rPr>
            <w:rStyle w:val="af1"/>
            <w:lang w:val="fr-FR"/>
          </w:rPr>
          <w:t>13.</w:t>
        </w:r>
        <w:r w:rsidR="008F4F37" w:rsidRPr="004E4188">
          <w:rPr>
            <w:rFonts w:asciiTheme="minorHAnsi" w:eastAsiaTheme="minorEastAsia" w:hAnsiTheme="minorHAnsi" w:cstheme="minorBidi"/>
            <w:kern w:val="2"/>
            <w:sz w:val="21"/>
            <w:szCs w:val="22"/>
            <w:lang w:eastAsia="ja-JP"/>
          </w:rPr>
          <w:tab/>
        </w:r>
        <w:r w:rsidR="008F4F37" w:rsidRPr="004E4188">
          <w:rPr>
            <w:rStyle w:val="af1"/>
            <w:lang w:val="fr-FR"/>
          </w:rPr>
          <w:t>Variantes aux exigences de l’appel d’offres et offres variantes</w:t>
        </w:r>
        <w:r w:rsidR="008F4F37" w:rsidRPr="004E4188">
          <w:rPr>
            <w:webHidden/>
          </w:rPr>
          <w:tab/>
        </w:r>
        <w:r w:rsidR="008F4F37" w:rsidRPr="004E4188">
          <w:rPr>
            <w:webHidden/>
          </w:rPr>
          <w:fldChar w:fldCharType="begin"/>
        </w:r>
        <w:r w:rsidR="008F4F37" w:rsidRPr="004E4188">
          <w:rPr>
            <w:webHidden/>
          </w:rPr>
          <w:instrText xml:space="preserve"> PAGEREF _Toc113293301 \h </w:instrText>
        </w:r>
        <w:r w:rsidR="008F4F37" w:rsidRPr="004E4188">
          <w:rPr>
            <w:webHidden/>
          </w:rPr>
        </w:r>
        <w:r w:rsidR="008F4F37" w:rsidRPr="004E4188">
          <w:rPr>
            <w:webHidden/>
          </w:rPr>
          <w:fldChar w:fldCharType="separate"/>
        </w:r>
        <w:r w:rsidR="0048496E">
          <w:rPr>
            <w:webHidden/>
          </w:rPr>
          <w:t>12</w:t>
        </w:r>
        <w:r w:rsidR="008F4F37" w:rsidRPr="004E4188">
          <w:rPr>
            <w:webHidden/>
          </w:rPr>
          <w:fldChar w:fldCharType="end"/>
        </w:r>
      </w:hyperlink>
    </w:p>
    <w:p w14:paraId="0B77278D" w14:textId="6576AD0E"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02" w:history="1">
        <w:r w:rsidR="008F4F37" w:rsidRPr="004E4188">
          <w:rPr>
            <w:rStyle w:val="af1"/>
            <w:lang w:val="fr-FR"/>
          </w:rPr>
          <w:t>14.</w:t>
        </w:r>
        <w:r w:rsidR="008F4F37" w:rsidRPr="004E4188">
          <w:rPr>
            <w:rFonts w:asciiTheme="minorHAnsi" w:eastAsiaTheme="minorEastAsia" w:hAnsiTheme="minorHAnsi" w:cstheme="minorBidi"/>
            <w:kern w:val="2"/>
            <w:sz w:val="21"/>
            <w:szCs w:val="22"/>
            <w:lang w:eastAsia="ja-JP"/>
          </w:rPr>
          <w:tab/>
        </w:r>
        <w:r w:rsidR="008F4F37" w:rsidRPr="004E4188">
          <w:rPr>
            <w:rStyle w:val="af1"/>
            <w:lang w:val="fr-FR"/>
          </w:rPr>
          <w:t>Prix de l’offre et</w:t>
        </w:r>
        <w:r w:rsidR="008F4F37" w:rsidRPr="004E4188">
          <w:rPr>
            <w:rStyle w:val="af1"/>
            <w:lang w:val="fr-FR" w:eastAsia="ja-JP"/>
          </w:rPr>
          <w:t xml:space="preserve"> </w:t>
        </w:r>
        <w:r w:rsidR="008F4F37" w:rsidRPr="004E4188">
          <w:rPr>
            <w:rStyle w:val="af1"/>
            <w:lang w:val="fr-FR"/>
          </w:rPr>
          <w:t>rabais</w:t>
        </w:r>
        <w:r w:rsidR="008F4F37" w:rsidRPr="004E4188">
          <w:rPr>
            <w:webHidden/>
          </w:rPr>
          <w:tab/>
        </w:r>
        <w:r w:rsidR="008F4F37" w:rsidRPr="004E4188">
          <w:rPr>
            <w:webHidden/>
          </w:rPr>
          <w:fldChar w:fldCharType="begin"/>
        </w:r>
        <w:r w:rsidR="008F4F37" w:rsidRPr="004E4188">
          <w:rPr>
            <w:webHidden/>
          </w:rPr>
          <w:instrText xml:space="preserve"> PAGEREF _Toc113293302 \h </w:instrText>
        </w:r>
        <w:r w:rsidR="008F4F37" w:rsidRPr="004E4188">
          <w:rPr>
            <w:webHidden/>
          </w:rPr>
        </w:r>
        <w:r w:rsidR="008F4F37" w:rsidRPr="004E4188">
          <w:rPr>
            <w:webHidden/>
          </w:rPr>
          <w:fldChar w:fldCharType="separate"/>
        </w:r>
        <w:r w:rsidR="0048496E">
          <w:rPr>
            <w:webHidden/>
          </w:rPr>
          <w:t>13</w:t>
        </w:r>
        <w:r w:rsidR="008F4F37" w:rsidRPr="004E4188">
          <w:rPr>
            <w:webHidden/>
          </w:rPr>
          <w:fldChar w:fldCharType="end"/>
        </w:r>
      </w:hyperlink>
    </w:p>
    <w:p w14:paraId="753503E4" w14:textId="05AFCF66"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03" w:history="1">
        <w:r w:rsidR="008F4F37" w:rsidRPr="004E4188">
          <w:rPr>
            <w:rStyle w:val="af1"/>
            <w:lang w:val="fr-FR"/>
          </w:rPr>
          <w:t>15.</w:t>
        </w:r>
        <w:r w:rsidR="008F4F37" w:rsidRPr="004E4188">
          <w:rPr>
            <w:rFonts w:asciiTheme="minorHAnsi" w:eastAsiaTheme="minorEastAsia" w:hAnsiTheme="minorHAnsi" w:cstheme="minorBidi"/>
            <w:kern w:val="2"/>
            <w:sz w:val="21"/>
            <w:szCs w:val="22"/>
            <w:lang w:eastAsia="ja-JP"/>
          </w:rPr>
          <w:tab/>
        </w:r>
        <w:r w:rsidR="008F4F37" w:rsidRPr="004E4188">
          <w:rPr>
            <w:rStyle w:val="af1"/>
            <w:lang w:val="fr-FR"/>
          </w:rPr>
          <w:t>Monnaies de l’offre et de règlement</w:t>
        </w:r>
        <w:r w:rsidR="008F4F37" w:rsidRPr="004E4188">
          <w:rPr>
            <w:webHidden/>
          </w:rPr>
          <w:tab/>
        </w:r>
        <w:r w:rsidR="008F4F37" w:rsidRPr="004E4188">
          <w:rPr>
            <w:webHidden/>
          </w:rPr>
          <w:fldChar w:fldCharType="begin"/>
        </w:r>
        <w:r w:rsidR="008F4F37" w:rsidRPr="004E4188">
          <w:rPr>
            <w:webHidden/>
          </w:rPr>
          <w:instrText xml:space="preserve"> PAGEREF _Toc113293303 \h </w:instrText>
        </w:r>
        <w:r w:rsidR="008F4F37" w:rsidRPr="004E4188">
          <w:rPr>
            <w:webHidden/>
          </w:rPr>
        </w:r>
        <w:r w:rsidR="008F4F37" w:rsidRPr="004E4188">
          <w:rPr>
            <w:webHidden/>
          </w:rPr>
          <w:fldChar w:fldCharType="separate"/>
        </w:r>
        <w:r w:rsidR="0048496E">
          <w:rPr>
            <w:webHidden/>
          </w:rPr>
          <w:t>15</w:t>
        </w:r>
        <w:r w:rsidR="008F4F37" w:rsidRPr="004E4188">
          <w:rPr>
            <w:webHidden/>
          </w:rPr>
          <w:fldChar w:fldCharType="end"/>
        </w:r>
      </w:hyperlink>
    </w:p>
    <w:p w14:paraId="0DE34076" w14:textId="4F3CE9D4"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04" w:history="1">
        <w:r w:rsidR="008F4F37" w:rsidRPr="004E4188">
          <w:rPr>
            <w:rStyle w:val="af1"/>
            <w:lang w:val="fr-FR"/>
          </w:rPr>
          <w:t>16.</w:t>
        </w:r>
        <w:r w:rsidR="008F4F37" w:rsidRPr="004E4188">
          <w:rPr>
            <w:rFonts w:asciiTheme="minorHAnsi" w:eastAsiaTheme="minorEastAsia" w:hAnsiTheme="minorHAnsi" w:cstheme="minorBidi"/>
            <w:kern w:val="2"/>
            <w:sz w:val="21"/>
            <w:szCs w:val="22"/>
            <w:lang w:eastAsia="ja-JP"/>
          </w:rPr>
          <w:tab/>
        </w:r>
        <w:r w:rsidR="008F4F37" w:rsidRPr="004E4188">
          <w:rPr>
            <w:rStyle w:val="af1"/>
            <w:lang w:val="fr-FR"/>
          </w:rPr>
          <w:t>Proposition technique et sous-traitants</w:t>
        </w:r>
        <w:r w:rsidR="008F4F37" w:rsidRPr="004E4188">
          <w:rPr>
            <w:webHidden/>
          </w:rPr>
          <w:tab/>
        </w:r>
        <w:r w:rsidR="008F4F37" w:rsidRPr="004E4188">
          <w:rPr>
            <w:webHidden/>
          </w:rPr>
          <w:fldChar w:fldCharType="begin"/>
        </w:r>
        <w:r w:rsidR="008F4F37" w:rsidRPr="004E4188">
          <w:rPr>
            <w:webHidden/>
          </w:rPr>
          <w:instrText xml:space="preserve"> PAGEREF _Toc113293304 \h </w:instrText>
        </w:r>
        <w:r w:rsidR="008F4F37" w:rsidRPr="004E4188">
          <w:rPr>
            <w:webHidden/>
          </w:rPr>
        </w:r>
        <w:r w:rsidR="008F4F37" w:rsidRPr="004E4188">
          <w:rPr>
            <w:webHidden/>
          </w:rPr>
          <w:fldChar w:fldCharType="separate"/>
        </w:r>
        <w:r w:rsidR="0048496E">
          <w:rPr>
            <w:webHidden/>
          </w:rPr>
          <w:t>16</w:t>
        </w:r>
        <w:r w:rsidR="008F4F37" w:rsidRPr="004E4188">
          <w:rPr>
            <w:webHidden/>
          </w:rPr>
          <w:fldChar w:fldCharType="end"/>
        </w:r>
      </w:hyperlink>
    </w:p>
    <w:p w14:paraId="622CA171" w14:textId="20475361"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05" w:history="1">
        <w:r w:rsidR="008F4F37" w:rsidRPr="004E4188">
          <w:rPr>
            <w:rStyle w:val="af1"/>
            <w:lang w:val="fr-FR"/>
          </w:rPr>
          <w:t>17.</w:t>
        </w:r>
        <w:r w:rsidR="008F4F37" w:rsidRPr="004E4188">
          <w:rPr>
            <w:rFonts w:asciiTheme="minorHAnsi" w:eastAsiaTheme="minorEastAsia" w:hAnsiTheme="minorHAnsi" w:cstheme="minorBidi"/>
            <w:kern w:val="2"/>
            <w:sz w:val="21"/>
            <w:szCs w:val="22"/>
            <w:lang w:eastAsia="ja-JP"/>
          </w:rPr>
          <w:tab/>
        </w:r>
        <w:r w:rsidR="008F4F37" w:rsidRPr="004E4188">
          <w:rPr>
            <w:rStyle w:val="af1"/>
            <w:lang w:val="fr-FR"/>
          </w:rPr>
          <w:t>Documents attestant des qualifications du Soumissionnaire</w:t>
        </w:r>
        <w:r w:rsidR="008F4F37" w:rsidRPr="004E4188">
          <w:rPr>
            <w:webHidden/>
          </w:rPr>
          <w:tab/>
        </w:r>
        <w:r w:rsidR="008F4F37" w:rsidRPr="004E4188">
          <w:rPr>
            <w:webHidden/>
          </w:rPr>
          <w:fldChar w:fldCharType="begin"/>
        </w:r>
        <w:r w:rsidR="008F4F37" w:rsidRPr="004E4188">
          <w:rPr>
            <w:webHidden/>
          </w:rPr>
          <w:instrText xml:space="preserve"> PAGEREF _Toc113293305 \h </w:instrText>
        </w:r>
        <w:r w:rsidR="008F4F37" w:rsidRPr="004E4188">
          <w:rPr>
            <w:webHidden/>
          </w:rPr>
        </w:r>
        <w:r w:rsidR="008F4F37" w:rsidRPr="004E4188">
          <w:rPr>
            <w:webHidden/>
          </w:rPr>
          <w:fldChar w:fldCharType="separate"/>
        </w:r>
        <w:r w:rsidR="0048496E">
          <w:rPr>
            <w:webHidden/>
          </w:rPr>
          <w:t>18</w:t>
        </w:r>
        <w:r w:rsidR="008F4F37" w:rsidRPr="004E4188">
          <w:rPr>
            <w:webHidden/>
          </w:rPr>
          <w:fldChar w:fldCharType="end"/>
        </w:r>
      </w:hyperlink>
    </w:p>
    <w:p w14:paraId="653A5D31" w14:textId="6DF1217E"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06" w:history="1">
        <w:r w:rsidR="008F4F37" w:rsidRPr="004E4188">
          <w:rPr>
            <w:rStyle w:val="af1"/>
            <w:lang w:val="fr-FR"/>
          </w:rPr>
          <w:t>18.</w:t>
        </w:r>
        <w:r w:rsidR="008F4F37" w:rsidRPr="004E4188">
          <w:rPr>
            <w:rFonts w:asciiTheme="minorHAnsi" w:eastAsiaTheme="minorEastAsia" w:hAnsiTheme="minorHAnsi" w:cstheme="minorBidi"/>
            <w:kern w:val="2"/>
            <w:sz w:val="21"/>
            <w:szCs w:val="22"/>
            <w:lang w:eastAsia="ja-JP"/>
          </w:rPr>
          <w:tab/>
        </w:r>
        <w:r w:rsidR="008F4F37" w:rsidRPr="004E4188">
          <w:rPr>
            <w:rStyle w:val="af1"/>
            <w:lang w:val="fr-FR"/>
          </w:rPr>
          <w:t>Période de validité des offres</w:t>
        </w:r>
        <w:r w:rsidR="008F4F37" w:rsidRPr="004E4188">
          <w:rPr>
            <w:webHidden/>
          </w:rPr>
          <w:tab/>
        </w:r>
        <w:r w:rsidR="008F4F37" w:rsidRPr="004E4188">
          <w:rPr>
            <w:webHidden/>
          </w:rPr>
          <w:fldChar w:fldCharType="begin"/>
        </w:r>
        <w:r w:rsidR="008F4F37" w:rsidRPr="004E4188">
          <w:rPr>
            <w:webHidden/>
          </w:rPr>
          <w:instrText xml:space="preserve"> PAGEREF _Toc113293306 \h </w:instrText>
        </w:r>
        <w:r w:rsidR="008F4F37" w:rsidRPr="004E4188">
          <w:rPr>
            <w:webHidden/>
          </w:rPr>
        </w:r>
        <w:r w:rsidR="008F4F37" w:rsidRPr="004E4188">
          <w:rPr>
            <w:webHidden/>
          </w:rPr>
          <w:fldChar w:fldCharType="separate"/>
        </w:r>
        <w:r w:rsidR="0048496E">
          <w:rPr>
            <w:webHidden/>
          </w:rPr>
          <w:t>19</w:t>
        </w:r>
        <w:r w:rsidR="008F4F37" w:rsidRPr="004E4188">
          <w:rPr>
            <w:webHidden/>
          </w:rPr>
          <w:fldChar w:fldCharType="end"/>
        </w:r>
      </w:hyperlink>
    </w:p>
    <w:p w14:paraId="0B160548" w14:textId="25EE84D0"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07" w:history="1">
        <w:r w:rsidR="008F4F37" w:rsidRPr="004E4188">
          <w:rPr>
            <w:rStyle w:val="af1"/>
          </w:rPr>
          <w:t>19.</w:t>
        </w:r>
        <w:r w:rsidR="008F4F37" w:rsidRPr="004E4188">
          <w:rPr>
            <w:rFonts w:asciiTheme="minorHAnsi" w:eastAsiaTheme="minorEastAsia" w:hAnsiTheme="minorHAnsi" w:cstheme="minorBidi"/>
            <w:kern w:val="2"/>
            <w:sz w:val="21"/>
            <w:szCs w:val="22"/>
            <w:lang w:eastAsia="ja-JP"/>
          </w:rPr>
          <w:tab/>
        </w:r>
        <w:r w:rsidR="008F4F37" w:rsidRPr="004E4188">
          <w:rPr>
            <w:rStyle w:val="af1"/>
          </w:rPr>
          <w:t>Garantie de soumission</w:t>
        </w:r>
        <w:r w:rsidR="008F4F37" w:rsidRPr="004E4188">
          <w:rPr>
            <w:webHidden/>
          </w:rPr>
          <w:tab/>
        </w:r>
        <w:r w:rsidR="008F4F37" w:rsidRPr="004E4188">
          <w:rPr>
            <w:webHidden/>
          </w:rPr>
          <w:fldChar w:fldCharType="begin"/>
        </w:r>
        <w:r w:rsidR="008F4F37" w:rsidRPr="004E4188">
          <w:rPr>
            <w:webHidden/>
          </w:rPr>
          <w:instrText xml:space="preserve"> PAGEREF _Toc113293307 \h </w:instrText>
        </w:r>
        <w:r w:rsidR="008F4F37" w:rsidRPr="004E4188">
          <w:rPr>
            <w:webHidden/>
          </w:rPr>
        </w:r>
        <w:r w:rsidR="008F4F37" w:rsidRPr="004E4188">
          <w:rPr>
            <w:webHidden/>
          </w:rPr>
          <w:fldChar w:fldCharType="separate"/>
        </w:r>
        <w:r w:rsidR="0048496E">
          <w:rPr>
            <w:webHidden/>
          </w:rPr>
          <w:t>19</w:t>
        </w:r>
        <w:r w:rsidR="008F4F37" w:rsidRPr="004E4188">
          <w:rPr>
            <w:webHidden/>
          </w:rPr>
          <w:fldChar w:fldCharType="end"/>
        </w:r>
      </w:hyperlink>
    </w:p>
    <w:p w14:paraId="66D564E2" w14:textId="5C896D7F"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08" w:history="1">
        <w:r w:rsidR="008F4F37" w:rsidRPr="004E4188">
          <w:rPr>
            <w:rStyle w:val="af1"/>
            <w:lang w:val="fr-FR"/>
          </w:rPr>
          <w:t>20.</w:t>
        </w:r>
        <w:r w:rsidR="008F4F37" w:rsidRPr="004E4188">
          <w:rPr>
            <w:rFonts w:asciiTheme="minorHAnsi" w:eastAsiaTheme="minorEastAsia" w:hAnsiTheme="minorHAnsi" w:cstheme="minorBidi"/>
            <w:kern w:val="2"/>
            <w:sz w:val="21"/>
            <w:szCs w:val="22"/>
            <w:lang w:eastAsia="ja-JP"/>
          </w:rPr>
          <w:tab/>
        </w:r>
        <w:r w:rsidR="008F4F37" w:rsidRPr="004E4188">
          <w:rPr>
            <w:rStyle w:val="af1"/>
            <w:lang w:val="fr-FR"/>
          </w:rPr>
          <w:t>Forme et signature de l’offre</w:t>
        </w:r>
        <w:r w:rsidR="008F4F37" w:rsidRPr="004E4188">
          <w:rPr>
            <w:webHidden/>
          </w:rPr>
          <w:tab/>
        </w:r>
        <w:r w:rsidR="008F4F37" w:rsidRPr="004E4188">
          <w:rPr>
            <w:webHidden/>
          </w:rPr>
          <w:fldChar w:fldCharType="begin"/>
        </w:r>
        <w:r w:rsidR="008F4F37" w:rsidRPr="004E4188">
          <w:rPr>
            <w:webHidden/>
          </w:rPr>
          <w:instrText xml:space="preserve"> PAGEREF _Toc113293308 \h </w:instrText>
        </w:r>
        <w:r w:rsidR="008F4F37" w:rsidRPr="004E4188">
          <w:rPr>
            <w:webHidden/>
          </w:rPr>
        </w:r>
        <w:r w:rsidR="008F4F37" w:rsidRPr="004E4188">
          <w:rPr>
            <w:webHidden/>
          </w:rPr>
          <w:fldChar w:fldCharType="separate"/>
        </w:r>
        <w:r w:rsidR="0048496E">
          <w:rPr>
            <w:webHidden/>
          </w:rPr>
          <w:t>21</w:t>
        </w:r>
        <w:r w:rsidR="008F4F37" w:rsidRPr="004E4188">
          <w:rPr>
            <w:webHidden/>
          </w:rPr>
          <w:fldChar w:fldCharType="end"/>
        </w:r>
      </w:hyperlink>
    </w:p>
    <w:p w14:paraId="238C281E" w14:textId="2407DDEA" w:rsidR="008F4F37" w:rsidRPr="004E4188" w:rsidRDefault="00000000">
      <w:pPr>
        <w:pStyle w:val="12"/>
        <w:rPr>
          <w:rFonts w:asciiTheme="minorHAnsi" w:eastAsiaTheme="minorEastAsia" w:hAnsiTheme="minorHAnsi" w:cstheme="minorBidi"/>
          <w:b w:val="0"/>
          <w:noProof/>
          <w:kern w:val="2"/>
          <w:sz w:val="21"/>
          <w:szCs w:val="22"/>
          <w:lang w:eastAsia="ja-JP"/>
        </w:rPr>
      </w:pPr>
      <w:hyperlink w:anchor="_Toc113293309" w:history="1">
        <w:r w:rsidR="008F4F37" w:rsidRPr="004E4188">
          <w:rPr>
            <w:rStyle w:val="af1"/>
            <w:noProof/>
          </w:rPr>
          <w:t>D. Remise et ouverture des offres</w:t>
        </w:r>
        <w:r w:rsidR="008F4F37" w:rsidRPr="004E4188">
          <w:rPr>
            <w:noProof/>
            <w:webHidden/>
          </w:rPr>
          <w:tab/>
        </w:r>
        <w:r w:rsidR="008F4F37" w:rsidRPr="004E4188">
          <w:rPr>
            <w:noProof/>
            <w:webHidden/>
          </w:rPr>
          <w:fldChar w:fldCharType="begin"/>
        </w:r>
        <w:r w:rsidR="008F4F37" w:rsidRPr="004E4188">
          <w:rPr>
            <w:noProof/>
            <w:webHidden/>
          </w:rPr>
          <w:instrText xml:space="preserve"> PAGEREF _Toc113293309 \h </w:instrText>
        </w:r>
        <w:r w:rsidR="008F4F37" w:rsidRPr="004E4188">
          <w:rPr>
            <w:noProof/>
            <w:webHidden/>
          </w:rPr>
        </w:r>
        <w:r w:rsidR="008F4F37" w:rsidRPr="004E4188">
          <w:rPr>
            <w:noProof/>
            <w:webHidden/>
          </w:rPr>
          <w:fldChar w:fldCharType="separate"/>
        </w:r>
        <w:r w:rsidR="0048496E">
          <w:rPr>
            <w:noProof/>
            <w:webHidden/>
          </w:rPr>
          <w:t>22</w:t>
        </w:r>
        <w:r w:rsidR="008F4F37" w:rsidRPr="004E4188">
          <w:rPr>
            <w:noProof/>
            <w:webHidden/>
          </w:rPr>
          <w:fldChar w:fldCharType="end"/>
        </w:r>
      </w:hyperlink>
    </w:p>
    <w:p w14:paraId="52EBBD98" w14:textId="0F542F4C"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10" w:history="1">
        <w:r w:rsidR="008F4F37" w:rsidRPr="004E4188">
          <w:rPr>
            <w:rStyle w:val="af1"/>
          </w:rPr>
          <w:t>21.</w:t>
        </w:r>
        <w:r w:rsidR="008F4F37" w:rsidRPr="004E4188">
          <w:rPr>
            <w:rFonts w:asciiTheme="minorHAnsi" w:eastAsiaTheme="minorEastAsia" w:hAnsiTheme="minorHAnsi" w:cstheme="minorBidi"/>
            <w:kern w:val="2"/>
            <w:sz w:val="21"/>
            <w:szCs w:val="22"/>
            <w:lang w:eastAsia="ja-JP"/>
          </w:rPr>
          <w:tab/>
        </w:r>
        <w:r w:rsidR="008F4F37" w:rsidRPr="004E4188">
          <w:rPr>
            <w:rStyle w:val="af1"/>
          </w:rPr>
          <w:t>Cachetage et marquage des offres</w:t>
        </w:r>
        <w:r w:rsidR="008F4F37" w:rsidRPr="004E4188">
          <w:rPr>
            <w:webHidden/>
          </w:rPr>
          <w:tab/>
        </w:r>
        <w:r w:rsidR="008F4F37" w:rsidRPr="004E4188">
          <w:rPr>
            <w:webHidden/>
          </w:rPr>
          <w:fldChar w:fldCharType="begin"/>
        </w:r>
        <w:r w:rsidR="008F4F37" w:rsidRPr="004E4188">
          <w:rPr>
            <w:webHidden/>
          </w:rPr>
          <w:instrText xml:space="preserve"> PAGEREF _Toc113293310 \h </w:instrText>
        </w:r>
        <w:r w:rsidR="008F4F37" w:rsidRPr="004E4188">
          <w:rPr>
            <w:webHidden/>
          </w:rPr>
        </w:r>
        <w:r w:rsidR="008F4F37" w:rsidRPr="004E4188">
          <w:rPr>
            <w:webHidden/>
          </w:rPr>
          <w:fldChar w:fldCharType="separate"/>
        </w:r>
        <w:r w:rsidR="0048496E">
          <w:rPr>
            <w:webHidden/>
          </w:rPr>
          <w:t>22</w:t>
        </w:r>
        <w:r w:rsidR="008F4F37" w:rsidRPr="004E4188">
          <w:rPr>
            <w:webHidden/>
          </w:rPr>
          <w:fldChar w:fldCharType="end"/>
        </w:r>
      </w:hyperlink>
    </w:p>
    <w:p w14:paraId="38D560FD" w14:textId="490328C6"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11" w:history="1">
        <w:r w:rsidR="008F4F37" w:rsidRPr="004E4188">
          <w:rPr>
            <w:rStyle w:val="af1"/>
            <w:lang w:val="fr-FR"/>
          </w:rPr>
          <w:t>22.</w:t>
        </w:r>
        <w:r w:rsidR="008F4F37" w:rsidRPr="004E4188">
          <w:rPr>
            <w:rFonts w:asciiTheme="minorHAnsi" w:eastAsiaTheme="minorEastAsia" w:hAnsiTheme="minorHAnsi" w:cstheme="minorBidi"/>
            <w:kern w:val="2"/>
            <w:sz w:val="21"/>
            <w:szCs w:val="22"/>
            <w:lang w:eastAsia="ja-JP"/>
          </w:rPr>
          <w:tab/>
        </w:r>
        <w:r w:rsidR="008F4F37" w:rsidRPr="004E4188">
          <w:rPr>
            <w:rStyle w:val="af1"/>
            <w:lang w:val="fr-FR"/>
          </w:rPr>
          <w:t>Date limite de remise des offres</w:t>
        </w:r>
        <w:r w:rsidR="008F4F37" w:rsidRPr="004E4188">
          <w:rPr>
            <w:webHidden/>
          </w:rPr>
          <w:tab/>
        </w:r>
        <w:r w:rsidR="008F4F37" w:rsidRPr="004E4188">
          <w:rPr>
            <w:webHidden/>
          </w:rPr>
          <w:fldChar w:fldCharType="begin"/>
        </w:r>
        <w:r w:rsidR="008F4F37" w:rsidRPr="004E4188">
          <w:rPr>
            <w:webHidden/>
          </w:rPr>
          <w:instrText xml:space="preserve"> PAGEREF _Toc113293311 \h </w:instrText>
        </w:r>
        <w:r w:rsidR="008F4F37" w:rsidRPr="004E4188">
          <w:rPr>
            <w:webHidden/>
          </w:rPr>
        </w:r>
        <w:r w:rsidR="008F4F37" w:rsidRPr="004E4188">
          <w:rPr>
            <w:webHidden/>
          </w:rPr>
          <w:fldChar w:fldCharType="separate"/>
        </w:r>
        <w:r w:rsidR="0048496E">
          <w:rPr>
            <w:webHidden/>
          </w:rPr>
          <w:t>23</w:t>
        </w:r>
        <w:r w:rsidR="008F4F37" w:rsidRPr="004E4188">
          <w:rPr>
            <w:webHidden/>
          </w:rPr>
          <w:fldChar w:fldCharType="end"/>
        </w:r>
      </w:hyperlink>
    </w:p>
    <w:p w14:paraId="6CF68B8C" w14:textId="4937B1EB"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12" w:history="1">
        <w:r w:rsidR="008F4F37" w:rsidRPr="004E4188">
          <w:rPr>
            <w:rStyle w:val="af1"/>
          </w:rPr>
          <w:t>23.</w:t>
        </w:r>
        <w:r w:rsidR="008F4F37" w:rsidRPr="004E4188">
          <w:rPr>
            <w:rFonts w:asciiTheme="minorHAnsi" w:eastAsiaTheme="minorEastAsia" w:hAnsiTheme="minorHAnsi" w:cstheme="minorBidi"/>
            <w:kern w:val="2"/>
            <w:sz w:val="21"/>
            <w:szCs w:val="22"/>
            <w:lang w:eastAsia="ja-JP"/>
          </w:rPr>
          <w:tab/>
        </w:r>
        <w:r w:rsidR="008F4F37" w:rsidRPr="004E4188">
          <w:rPr>
            <w:rStyle w:val="af1"/>
          </w:rPr>
          <w:t>Offres hors délai</w:t>
        </w:r>
        <w:r w:rsidR="008F4F37" w:rsidRPr="004E4188">
          <w:rPr>
            <w:webHidden/>
          </w:rPr>
          <w:tab/>
        </w:r>
        <w:r w:rsidR="008F4F37" w:rsidRPr="004E4188">
          <w:rPr>
            <w:webHidden/>
          </w:rPr>
          <w:fldChar w:fldCharType="begin"/>
        </w:r>
        <w:r w:rsidR="008F4F37" w:rsidRPr="004E4188">
          <w:rPr>
            <w:webHidden/>
          </w:rPr>
          <w:instrText xml:space="preserve"> PAGEREF _Toc113293312 \h </w:instrText>
        </w:r>
        <w:r w:rsidR="008F4F37" w:rsidRPr="004E4188">
          <w:rPr>
            <w:webHidden/>
          </w:rPr>
        </w:r>
        <w:r w:rsidR="008F4F37" w:rsidRPr="004E4188">
          <w:rPr>
            <w:webHidden/>
          </w:rPr>
          <w:fldChar w:fldCharType="separate"/>
        </w:r>
        <w:r w:rsidR="0048496E">
          <w:rPr>
            <w:webHidden/>
          </w:rPr>
          <w:t>23</w:t>
        </w:r>
        <w:r w:rsidR="008F4F37" w:rsidRPr="004E4188">
          <w:rPr>
            <w:webHidden/>
          </w:rPr>
          <w:fldChar w:fldCharType="end"/>
        </w:r>
      </w:hyperlink>
    </w:p>
    <w:p w14:paraId="49545832" w14:textId="49AE55D0"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13" w:history="1">
        <w:r w:rsidR="008F4F37" w:rsidRPr="004E4188">
          <w:rPr>
            <w:rStyle w:val="af1"/>
          </w:rPr>
          <w:t>2</w:t>
        </w:r>
        <w:r w:rsidR="008F4F37" w:rsidRPr="004E4188">
          <w:rPr>
            <w:rStyle w:val="af1"/>
            <w:lang w:eastAsia="ja-JP"/>
          </w:rPr>
          <w:t>4</w:t>
        </w:r>
        <w:r w:rsidR="008F4F37" w:rsidRPr="004E4188">
          <w:rPr>
            <w:rStyle w:val="af1"/>
          </w:rPr>
          <w:t>.</w:t>
        </w:r>
        <w:r w:rsidR="008F4F37" w:rsidRPr="004E4188">
          <w:rPr>
            <w:rFonts w:asciiTheme="minorHAnsi" w:eastAsiaTheme="minorEastAsia" w:hAnsiTheme="minorHAnsi" w:cstheme="minorBidi"/>
            <w:kern w:val="2"/>
            <w:sz w:val="21"/>
            <w:szCs w:val="22"/>
            <w:lang w:eastAsia="ja-JP"/>
          </w:rPr>
          <w:tab/>
        </w:r>
        <w:r w:rsidR="008F4F37" w:rsidRPr="004E4188">
          <w:rPr>
            <w:rStyle w:val="af1"/>
          </w:rPr>
          <w:t>Retrait, substitution et modification des offres</w:t>
        </w:r>
        <w:r w:rsidR="008F4F37" w:rsidRPr="004E4188">
          <w:rPr>
            <w:webHidden/>
          </w:rPr>
          <w:tab/>
        </w:r>
        <w:r w:rsidR="008F4F37" w:rsidRPr="004E4188">
          <w:rPr>
            <w:webHidden/>
          </w:rPr>
          <w:fldChar w:fldCharType="begin"/>
        </w:r>
        <w:r w:rsidR="008F4F37" w:rsidRPr="004E4188">
          <w:rPr>
            <w:webHidden/>
          </w:rPr>
          <w:instrText xml:space="preserve"> PAGEREF _Toc113293313 \h </w:instrText>
        </w:r>
        <w:r w:rsidR="008F4F37" w:rsidRPr="004E4188">
          <w:rPr>
            <w:webHidden/>
          </w:rPr>
        </w:r>
        <w:r w:rsidR="008F4F37" w:rsidRPr="004E4188">
          <w:rPr>
            <w:webHidden/>
          </w:rPr>
          <w:fldChar w:fldCharType="separate"/>
        </w:r>
        <w:r w:rsidR="0048496E">
          <w:rPr>
            <w:webHidden/>
          </w:rPr>
          <w:t>23</w:t>
        </w:r>
        <w:r w:rsidR="008F4F37" w:rsidRPr="004E4188">
          <w:rPr>
            <w:webHidden/>
          </w:rPr>
          <w:fldChar w:fldCharType="end"/>
        </w:r>
      </w:hyperlink>
    </w:p>
    <w:p w14:paraId="43C84404" w14:textId="7B7CDA78"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14" w:history="1">
        <w:r w:rsidR="008F4F37" w:rsidRPr="004E4188">
          <w:rPr>
            <w:rStyle w:val="af1"/>
          </w:rPr>
          <w:t>25.</w:t>
        </w:r>
        <w:r w:rsidR="008F4F37" w:rsidRPr="004E4188">
          <w:rPr>
            <w:rFonts w:asciiTheme="minorHAnsi" w:eastAsiaTheme="minorEastAsia" w:hAnsiTheme="minorHAnsi" w:cstheme="minorBidi"/>
            <w:kern w:val="2"/>
            <w:sz w:val="21"/>
            <w:szCs w:val="22"/>
            <w:lang w:eastAsia="ja-JP"/>
          </w:rPr>
          <w:tab/>
        </w:r>
        <w:r w:rsidR="008F4F37" w:rsidRPr="004E4188">
          <w:rPr>
            <w:rStyle w:val="af1"/>
          </w:rPr>
          <w:t>Ouverture des</w:t>
        </w:r>
        <w:r w:rsidR="008F4F37" w:rsidRPr="004E4188">
          <w:rPr>
            <w:rStyle w:val="af1"/>
            <w:lang w:eastAsia="ja-JP"/>
          </w:rPr>
          <w:t xml:space="preserve"> </w:t>
        </w:r>
        <w:r w:rsidR="008F4F37" w:rsidRPr="004E4188">
          <w:rPr>
            <w:rStyle w:val="af1"/>
          </w:rPr>
          <w:t>offres</w:t>
        </w:r>
        <w:r w:rsidR="008F4F37" w:rsidRPr="004E4188">
          <w:rPr>
            <w:webHidden/>
          </w:rPr>
          <w:tab/>
        </w:r>
        <w:r w:rsidR="008F4F37" w:rsidRPr="004E4188">
          <w:rPr>
            <w:webHidden/>
          </w:rPr>
          <w:fldChar w:fldCharType="begin"/>
        </w:r>
        <w:r w:rsidR="008F4F37" w:rsidRPr="004E4188">
          <w:rPr>
            <w:webHidden/>
          </w:rPr>
          <w:instrText xml:space="preserve"> PAGEREF _Toc113293314 \h </w:instrText>
        </w:r>
        <w:r w:rsidR="008F4F37" w:rsidRPr="004E4188">
          <w:rPr>
            <w:webHidden/>
          </w:rPr>
        </w:r>
        <w:r w:rsidR="008F4F37" w:rsidRPr="004E4188">
          <w:rPr>
            <w:webHidden/>
          </w:rPr>
          <w:fldChar w:fldCharType="separate"/>
        </w:r>
        <w:r w:rsidR="0048496E">
          <w:rPr>
            <w:webHidden/>
          </w:rPr>
          <w:t>24</w:t>
        </w:r>
        <w:r w:rsidR="008F4F37" w:rsidRPr="004E4188">
          <w:rPr>
            <w:webHidden/>
          </w:rPr>
          <w:fldChar w:fldCharType="end"/>
        </w:r>
      </w:hyperlink>
    </w:p>
    <w:p w14:paraId="74E61CB9" w14:textId="5371A1D8" w:rsidR="008F4F37" w:rsidRPr="004E4188" w:rsidRDefault="00000000">
      <w:pPr>
        <w:pStyle w:val="12"/>
        <w:rPr>
          <w:rFonts w:asciiTheme="minorHAnsi" w:eastAsiaTheme="minorEastAsia" w:hAnsiTheme="minorHAnsi" w:cstheme="minorBidi"/>
          <w:b w:val="0"/>
          <w:noProof/>
          <w:kern w:val="2"/>
          <w:sz w:val="21"/>
          <w:szCs w:val="22"/>
          <w:lang w:eastAsia="ja-JP"/>
        </w:rPr>
      </w:pPr>
      <w:hyperlink w:anchor="_Toc113293315" w:history="1">
        <w:r w:rsidR="008F4F37" w:rsidRPr="004E4188">
          <w:rPr>
            <w:rStyle w:val="af1"/>
            <w:noProof/>
          </w:rPr>
          <w:t>E. Évaluation et comparaison des offres</w:t>
        </w:r>
        <w:r w:rsidR="008F4F37" w:rsidRPr="004E4188">
          <w:rPr>
            <w:noProof/>
            <w:webHidden/>
          </w:rPr>
          <w:tab/>
        </w:r>
        <w:r w:rsidR="008F4F37" w:rsidRPr="004E4188">
          <w:rPr>
            <w:noProof/>
            <w:webHidden/>
          </w:rPr>
          <w:fldChar w:fldCharType="begin"/>
        </w:r>
        <w:r w:rsidR="008F4F37" w:rsidRPr="004E4188">
          <w:rPr>
            <w:noProof/>
            <w:webHidden/>
          </w:rPr>
          <w:instrText xml:space="preserve"> PAGEREF _Toc113293315 \h </w:instrText>
        </w:r>
        <w:r w:rsidR="008F4F37" w:rsidRPr="004E4188">
          <w:rPr>
            <w:noProof/>
            <w:webHidden/>
          </w:rPr>
        </w:r>
        <w:r w:rsidR="008F4F37" w:rsidRPr="004E4188">
          <w:rPr>
            <w:noProof/>
            <w:webHidden/>
          </w:rPr>
          <w:fldChar w:fldCharType="separate"/>
        </w:r>
        <w:r w:rsidR="0048496E">
          <w:rPr>
            <w:noProof/>
            <w:webHidden/>
          </w:rPr>
          <w:t>27</w:t>
        </w:r>
        <w:r w:rsidR="008F4F37" w:rsidRPr="004E4188">
          <w:rPr>
            <w:noProof/>
            <w:webHidden/>
          </w:rPr>
          <w:fldChar w:fldCharType="end"/>
        </w:r>
      </w:hyperlink>
    </w:p>
    <w:p w14:paraId="3AE8EC27" w14:textId="374F305B"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16" w:history="1">
        <w:r w:rsidR="008F4F37" w:rsidRPr="004E4188">
          <w:rPr>
            <w:rStyle w:val="af1"/>
            <w:lang w:val="fr-FR"/>
          </w:rPr>
          <w:t>2</w:t>
        </w:r>
        <w:r w:rsidR="008F4F37" w:rsidRPr="004E4188">
          <w:rPr>
            <w:rStyle w:val="af1"/>
            <w:lang w:val="fr-FR" w:eastAsia="ja-JP"/>
          </w:rPr>
          <w:t>6</w:t>
        </w:r>
        <w:r w:rsidR="008F4F37" w:rsidRPr="004E4188">
          <w:rPr>
            <w:rStyle w:val="af1"/>
            <w:lang w:val="fr-FR"/>
          </w:rPr>
          <w:t>.</w:t>
        </w:r>
        <w:r w:rsidR="008F4F37" w:rsidRPr="004E4188">
          <w:rPr>
            <w:rFonts w:asciiTheme="minorHAnsi" w:eastAsiaTheme="minorEastAsia" w:hAnsiTheme="minorHAnsi" w:cstheme="minorBidi"/>
            <w:kern w:val="2"/>
            <w:sz w:val="21"/>
            <w:szCs w:val="22"/>
            <w:lang w:eastAsia="ja-JP"/>
          </w:rPr>
          <w:tab/>
        </w:r>
        <w:r w:rsidR="008F4F37" w:rsidRPr="004E4188">
          <w:rPr>
            <w:rStyle w:val="af1"/>
          </w:rPr>
          <w:t>Confidentialité</w:t>
        </w:r>
        <w:r w:rsidR="008F4F37" w:rsidRPr="004E4188">
          <w:rPr>
            <w:webHidden/>
          </w:rPr>
          <w:tab/>
        </w:r>
        <w:r w:rsidR="008F4F37" w:rsidRPr="004E4188">
          <w:rPr>
            <w:webHidden/>
          </w:rPr>
          <w:fldChar w:fldCharType="begin"/>
        </w:r>
        <w:r w:rsidR="008F4F37" w:rsidRPr="004E4188">
          <w:rPr>
            <w:webHidden/>
          </w:rPr>
          <w:instrText xml:space="preserve"> PAGEREF _Toc113293316 \h </w:instrText>
        </w:r>
        <w:r w:rsidR="008F4F37" w:rsidRPr="004E4188">
          <w:rPr>
            <w:webHidden/>
          </w:rPr>
        </w:r>
        <w:r w:rsidR="008F4F37" w:rsidRPr="004E4188">
          <w:rPr>
            <w:webHidden/>
          </w:rPr>
          <w:fldChar w:fldCharType="separate"/>
        </w:r>
        <w:r w:rsidR="0048496E">
          <w:rPr>
            <w:webHidden/>
          </w:rPr>
          <w:t>27</w:t>
        </w:r>
        <w:r w:rsidR="008F4F37" w:rsidRPr="004E4188">
          <w:rPr>
            <w:webHidden/>
          </w:rPr>
          <w:fldChar w:fldCharType="end"/>
        </w:r>
      </w:hyperlink>
    </w:p>
    <w:p w14:paraId="14B87341" w14:textId="149C9332"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17" w:history="1">
        <w:r w:rsidR="008F4F37" w:rsidRPr="004E4188">
          <w:rPr>
            <w:rStyle w:val="af1"/>
          </w:rPr>
          <w:t>27.</w:t>
        </w:r>
        <w:r w:rsidR="008F4F37" w:rsidRPr="004E4188">
          <w:rPr>
            <w:rFonts w:asciiTheme="minorHAnsi" w:eastAsiaTheme="minorEastAsia" w:hAnsiTheme="minorHAnsi" w:cstheme="minorBidi"/>
            <w:kern w:val="2"/>
            <w:sz w:val="21"/>
            <w:szCs w:val="22"/>
            <w:lang w:eastAsia="ja-JP"/>
          </w:rPr>
          <w:tab/>
        </w:r>
        <w:r w:rsidR="008F4F37" w:rsidRPr="004E4188">
          <w:rPr>
            <w:rStyle w:val="af1"/>
            <w:lang w:val="en-GB"/>
          </w:rPr>
          <w:t>Éclaircissements</w:t>
        </w:r>
        <w:r w:rsidR="008F4F37" w:rsidRPr="004E4188">
          <w:rPr>
            <w:rStyle w:val="af1"/>
          </w:rPr>
          <w:t xml:space="preserve"> sur les offres</w:t>
        </w:r>
        <w:r w:rsidR="008F4F37" w:rsidRPr="004E4188">
          <w:rPr>
            <w:webHidden/>
          </w:rPr>
          <w:tab/>
        </w:r>
        <w:r w:rsidR="008F4F37" w:rsidRPr="004E4188">
          <w:rPr>
            <w:webHidden/>
          </w:rPr>
          <w:fldChar w:fldCharType="begin"/>
        </w:r>
        <w:r w:rsidR="008F4F37" w:rsidRPr="004E4188">
          <w:rPr>
            <w:webHidden/>
          </w:rPr>
          <w:instrText xml:space="preserve"> PAGEREF _Toc113293317 \h </w:instrText>
        </w:r>
        <w:r w:rsidR="008F4F37" w:rsidRPr="004E4188">
          <w:rPr>
            <w:webHidden/>
          </w:rPr>
        </w:r>
        <w:r w:rsidR="008F4F37" w:rsidRPr="004E4188">
          <w:rPr>
            <w:webHidden/>
          </w:rPr>
          <w:fldChar w:fldCharType="separate"/>
        </w:r>
        <w:r w:rsidR="0048496E">
          <w:rPr>
            <w:webHidden/>
          </w:rPr>
          <w:t>28</w:t>
        </w:r>
        <w:r w:rsidR="008F4F37" w:rsidRPr="004E4188">
          <w:rPr>
            <w:webHidden/>
          </w:rPr>
          <w:fldChar w:fldCharType="end"/>
        </w:r>
      </w:hyperlink>
    </w:p>
    <w:p w14:paraId="032A4B5A" w14:textId="68A175EF"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18" w:history="1">
        <w:r w:rsidR="008F4F37" w:rsidRPr="004E4188">
          <w:rPr>
            <w:rStyle w:val="af1"/>
          </w:rPr>
          <w:t>28.</w:t>
        </w:r>
        <w:r w:rsidR="008F4F37" w:rsidRPr="004E4188">
          <w:rPr>
            <w:rFonts w:asciiTheme="minorHAnsi" w:eastAsiaTheme="minorEastAsia" w:hAnsiTheme="minorHAnsi" w:cstheme="minorBidi"/>
            <w:kern w:val="2"/>
            <w:sz w:val="21"/>
            <w:szCs w:val="22"/>
            <w:lang w:eastAsia="ja-JP"/>
          </w:rPr>
          <w:tab/>
        </w:r>
        <w:r w:rsidR="008F4F37" w:rsidRPr="004E4188">
          <w:rPr>
            <w:rStyle w:val="af1"/>
          </w:rPr>
          <w:t>Divergences, réserves ou omissions</w:t>
        </w:r>
        <w:r w:rsidR="008F4F37" w:rsidRPr="004E4188">
          <w:rPr>
            <w:webHidden/>
          </w:rPr>
          <w:tab/>
        </w:r>
        <w:r w:rsidR="008F4F37" w:rsidRPr="004E4188">
          <w:rPr>
            <w:webHidden/>
          </w:rPr>
          <w:fldChar w:fldCharType="begin"/>
        </w:r>
        <w:r w:rsidR="008F4F37" w:rsidRPr="004E4188">
          <w:rPr>
            <w:webHidden/>
          </w:rPr>
          <w:instrText xml:space="preserve"> PAGEREF _Toc113293318 \h </w:instrText>
        </w:r>
        <w:r w:rsidR="008F4F37" w:rsidRPr="004E4188">
          <w:rPr>
            <w:webHidden/>
          </w:rPr>
        </w:r>
        <w:r w:rsidR="008F4F37" w:rsidRPr="004E4188">
          <w:rPr>
            <w:webHidden/>
          </w:rPr>
          <w:fldChar w:fldCharType="separate"/>
        </w:r>
        <w:r w:rsidR="0048496E">
          <w:rPr>
            <w:webHidden/>
          </w:rPr>
          <w:t>28</w:t>
        </w:r>
        <w:r w:rsidR="008F4F37" w:rsidRPr="004E4188">
          <w:rPr>
            <w:webHidden/>
          </w:rPr>
          <w:fldChar w:fldCharType="end"/>
        </w:r>
      </w:hyperlink>
    </w:p>
    <w:p w14:paraId="08995ACB" w14:textId="5C1E9471"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19" w:history="1">
        <w:r w:rsidR="008F4F37" w:rsidRPr="004E4188">
          <w:rPr>
            <w:rStyle w:val="af1"/>
            <w:lang w:val="fr-FR"/>
          </w:rPr>
          <w:t>29.</w:t>
        </w:r>
        <w:r w:rsidR="008F4F37" w:rsidRPr="004E4188">
          <w:rPr>
            <w:rFonts w:asciiTheme="minorHAnsi" w:eastAsiaTheme="minorEastAsia" w:hAnsiTheme="minorHAnsi" w:cstheme="minorBidi"/>
            <w:kern w:val="2"/>
            <w:sz w:val="21"/>
            <w:szCs w:val="22"/>
            <w:lang w:eastAsia="ja-JP"/>
          </w:rPr>
          <w:tab/>
        </w:r>
        <w:r w:rsidR="008F4F37" w:rsidRPr="004E4188">
          <w:rPr>
            <w:rStyle w:val="af1"/>
            <w:lang w:val="fr-FR"/>
          </w:rPr>
          <w:t>Examen préliminaire des Offres Techniques</w:t>
        </w:r>
        <w:r w:rsidR="008F4F37" w:rsidRPr="004E4188">
          <w:rPr>
            <w:webHidden/>
          </w:rPr>
          <w:tab/>
        </w:r>
        <w:r w:rsidR="008F4F37" w:rsidRPr="004E4188">
          <w:rPr>
            <w:webHidden/>
          </w:rPr>
          <w:fldChar w:fldCharType="begin"/>
        </w:r>
        <w:r w:rsidR="008F4F37" w:rsidRPr="004E4188">
          <w:rPr>
            <w:webHidden/>
          </w:rPr>
          <w:instrText xml:space="preserve"> PAGEREF _Toc113293319 \h </w:instrText>
        </w:r>
        <w:r w:rsidR="008F4F37" w:rsidRPr="004E4188">
          <w:rPr>
            <w:webHidden/>
          </w:rPr>
        </w:r>
        <w:r w:rsidR="008F4F37" w:rsidRPr="004E4188">
          <w:rPr>
            <w:webHidden/>
          </w:rPr>
          <w:fldChar w:fldCharType="separate"/>
        </w:r>
        <w:r w:rsidR="0048496E">
          <w:rPr>
            <w:webHidden/>
          </w:rPr>
          <w:t>28</w:t>
        </w:r>
        <w:r w:rsidR="008F4F37" w:rsidRPr="004E4188">
          <w:rPr>
            <w:webHidden/>
          </w:rPr>
          <w:fldChar w:fldCharType="end"/>
        </w:r>
      </w:hyperlink>
    </w:p>
    <w:p w14:paraId="7E3CDFD5" w14:textId="38242864"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20" w:history="1">
        <w:r w:rsidR="008F4F37" w:rsidRPr="004E4188">
          <w:rPr>
            <w:rStyle w:val="af1"/>
          </w:rPr>
          <w:t>30.</w:t>
        </w:r>
        <w:r w:rsidR="008F4F37" w:rsidRPr="004E4188">
          <w:rPr>
            <w:rFonts w:asciiTheme="minorHAnsi" w:eastAsiaTheme="minorEastAsia" w:hAnsiTheme="minorHAnsi" w:cstheme="minorBidi"/>
            <w:kern w:val="2"/>
            <w:sz w:val="21"/>
            <w:szCs w:val="22"/>
            <w:lang w:eastAsia="ja-JP"/>
          </w:rPr>
          <w:tab/>
        </w:r>
        <w:r w:rsidR="008F4F37" w:rsidRPr="004E4188">
          <w:rPr>
            <w:rStyle w:val="af1"/>
          </w:rPr>
          <w:t>Qualification des Soumissionnaires</w:t>
        </w:r>
        <w:r w:rsidR="008F4F37" w:rsidRPr="004E4188">
          <w:rPr>
            <w:webHidden/>
          </w:rPr>
          <w:tab/>
        </w:r>
        <w:r w:rsidR="008F4F37" w:rsidRPr="004E4188">
          <w:rPr>
            <w:webHidden/>
          </w:rPr>
          <w:fldChar w:fldCharType="begin"/>
        </w:r>
        <w:r w:rsidR="008F4F37" w:rsidRPr="004E4188">
          <w:rPr>
            <w:webHidden/>
          </w:rPr>
          <w:instrText xml:space="preserve"> PAGEREF _Toc113293320 \h </w:instrText>
        </w:r>
        <w:r w:rsidR="008F4F37" w:rsidRPr="004E4188">
          <w:rPr>
            <w:webHidden/>
          </w:rPr>
        </w:r>
        <w:r w:rsidR="008F4F37" w:rsidRPr="004E4188">
          <w:rPr>
            <w:webHidden/>
          </w:rPr>
          <w:fldChar w:fldCharType="separate"/>
        </w:r>
        <w:r w:rsidR="0048496E">
          <w:rPr>
            <w:webHidden/>
          </w:rPr>
          <w:t>29</w:t>
        </w:r>
        <w:r w:rsidR="008F4F37" w:rsidRPr="004E4188">
          <w:rPr>
            <w:webHidden/>
          </w:rPr>
          <w:fldChar w:fldCharType="end"/>
        </w:r>
      </w:hyperlink>
    </w:p>
    <w:p w14:paraId="0063E728" w14:textId="3407A77C"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21" w:history="1">
        <w:r w:rsidR="008F4F37" w:rsidRPr="004E4188">
          <w:rPr>
            <w:rStyle w:val="af1"/>
          </w:rPr>
          <w:t>31.</w:t>
        </w:r>
        <w:r w:rsidR="008F4F37" w:rsidRPr="004E4188">
          <w:rPr>
            <w:rFonts w:asciiTheme="minorHAnsi" w:eastAsiaTheme="minorEastAsia" w:hAnsiTheme="minorHAnsi" w:cstheme="minorBidi"/>
            <w:kern w:val="2"/>
            <w:sz w:val="21"/>
            <w:szCs w:val="22"/>
            <w:lang w:eastAsia="ja-JP"/>
          </w:rPr>
          <w:tab/>
        </w:r>
        <w:r w:rsidR="008F4F37" w:rsidRPr="004E4188">
          <w:rPr>
            <w:rStyle w:val="af1"/>
          </w:rPr>
          <w:t>Conformité des</w:t>
        </w:r>
        <w:r w:rsidR="008F4F37" w:rsidRPr="004E4188">
          <w:rPr>
            <w:rStyle w:val="af1"/>
            <w:lang w:eastAsia="ja-JP"/>
          </w:rPr>
          <w:t xml:space="preserve"> </w:t>
        </w:r>
        <w:r w:rsidR="008F4F37" w:rsidRPr="004E4188">
          <w:rPr>
            <w:rStyle w:val="af1"/>
          </w:rPr>
          <w:t>Offres Techniques</w:t>
        </w:r>
        <w:r w:rsidR="008F4F37" w:rsidRPr="004E4188">
          <w:rPr>
            <w:webHidden/>
          </w:rPr>
          <w:tab/>
        </w:r>
        <w:r w:rsidR="008F4F37" w:rsidRPr="004E4188">
          <w:rPr>
            <w:webHidden/>
          </w:rPr>
          <w:fldChar w:fldCharType="begin"/>
        </w:r>
        <w:r w:rsidR="008F4F37" w:rsidRPr="004E4188">
          <w:rPr>
            <w:webHidden/>
          </w:rPr>
          <w:instrText xml:space="preserve"> PAGEREF _Toc113293321 \h </w:instrText>
        </w:r>
        <w:r w:rsidR="008F4F37" w:rsidRPr="004E4188">
          <w:rPr>
            <w:webHidden/>
          </w:rPr>
        </w:r>
        <w:r w:rsidR="008F4F37" w:rsidRPr="004E4188">
          <w:rPr>
            <w:webHidden/>
          </w:rPr>
          <w:fldChar w:fldCharType="separate"/>
        </w:r>
        <w:r w:rsidR="0048496E">
          <w:rPr>
            <w:webHidden/>
          </w:rPr>
          <w:t>30</w:t>
        </w:r>
        <w:r w:rsidR="008F4F37" w:rsidRPr="004E4188">
          <w:rPr>
            <w:webHidden/>
          </w:rPr>
          <w:fldChar w:fldCharType="end"/>
        </w:r>
      </w:hyperlink>
    </w:p>
    <w:p w14:paraId="13A7ACBF" w14:textId="36440D48"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22" w:history="1">
        <w:r w:rsidR="008F4F37" w:rsidRPr="004E4188">
          <w:rPr>
            <w:rStyle w:val="af1"/>
          </w:rPr>
          <w:t>32.</w:t>
        </w:r>
        <w:r w:rsidR="008F4F37" w:rsidRPr="004E4188">
          <w:rPr>
            <w:rFonts w:asciiTheme="minorHAnsi" w:eastAsiaTheme="minorEastAsia" w:hAnsiTheme="minorHAnsi" w:cstheme="minorBidi"/>
            <w:kern w:val="2"/>
            <w:sz w:val="21"/>
            <w:szCs w:val="22"/>
            <w:lang w:eastAsia="ja-JP"/>
          </w:rPr>
          <w:tab/>
        </w:r>
        <w:r w:rsidR="008F4F37" w:rsidRPr="004E4188">
          <w:rPr>
            <w:rStyle w:val="af1"/>
            <w:iCs/>
            <w:lang w:val="en-GB"/>
          </w:rPr>
          <w:t>Non</w:t>
        </w:r>
        <w:r w:rsidR="008F4F37" w:rsidRPr="004E4188">
          <w:rPr>
            <w:rStyle w:val="af1"/>
          </w:rPr>
          <w:t>-conformités non essentielles</w:t>
        </w:r>
        <w:r w:rsidR="008F4F37" w:rsidRPr="004E4188">
          <w:rPr>
            <w:webHidden/>
          </w:rPr>
          <w:tab/>
        </w:r>
        <w:r w:rsidR="008F4F37" w:rsidRPr="004E4188">
          <w:rPr>
            <w:webHidden/>
          </w:rPr>
          <w:fldChar w:fldCharType="begin"/>
        </w:r>
        <w:r w:rsidR="008F4F37" w:rsidRPr="004E4188">
          <w:rPr>
            <w:webHidden/>
          </w:rPr>
          <w:instrText xml:space="preserve"> PAGEREF _Toc113293322 \h </w:instrText>
        </w:r>
        <w:r w:rsidR="008F4F37" w:rsidRPr="004E4188">
          <w:rPr>
            <w:webHidden/>
          </w:rPr>
        </w:r>
        <w:r w:rsidR="008F4F37" w:rsidRPr="004E4188">
          <w:rPr>
            <w:webHidden/>
          </w:rPr>
          <w:fldChar w:fldCharType="separate"/>
        </w:r>
        <w:r w:rsidR="0048496E">
          <w:rPr>
            <w:webHidden/>
          </w:rPr>
          <w:t>31</w:t>
        </w:r>
        <w:r w:rsidR="008F4F37" w:rsidRPr="004E4188">
          <w:rPr>
            <w:webHidden/>
          </w:rPr>
          <w:fldChar w:fldCharType="end"/>
        </w:r>
      </w:hyperlink>
    </w:p>
    <w:p w14:paraId="229ACC3E" w14:textId="7D425F80"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23" w:history="1">
        <w:r w:rsidR="008F4F37" w:rsidRPr="004E4188">
          <w:rPr>
            <w:rStyle w:val="af1"/>
          </w:rPr>
          <w:t>33.</w:t>
        </w:r>
        <w:r w:rsidR="008F4F37" w:rsidRPr="004E4188">
          <w:rPr>
            <w:rFonts w:asciiTheme="minorHAnsi" w:eastAsiaTheme="minorEastAsia" w:hAnsiTheme="minorHAnsi" w:cstheme="minorBidi"/>
            <w:kern w:val="2"/>
            <w:sz w:val="21"/>
            <w:szCs w:val="22"/>
            <w:lang w:eastAsia="ja-JP"/>
          </w:rPr>
          <w:tab/>
        </w:r>
        <w:r w:rsidR="008F4F37" w:rsidRPr="004E4188">
          <w:rPr>
            <w:rStyle w:val="af1"/>
          </w:rPr>
          <w:t>Correction des erreurs arithmétiques</w:t>
        </w:r>
        <w:r w:rsidR="008F4F37" w:rsidRPr="004E4188">
          <w:rPr>
            <w:webHidden/>
          </w:rPr>
          <w:tab/>
        </w:r>
        <w:r w:rsidR="008F4F37" w:rsidRPr="004E4188">
          <w:rPr>
            <w:webHidden/>
          </w:rPr>
          <w:fldChar w:fldCharType="begin"/>
        </w:r>
        <w:r w:rsidR="008F4F37" w:rsidRPr="004E4188">
          <w:rPr>
            <w:webHidden/>
          </w:rPr>
          <w:instrText xml:space="preserve"> PAGEREF _Toc113293323 \h </w:instrText>
        </w:r>
        <w:r w:rsidR="008F4F37" w:rsidRPr="004E4188">
          <w:rPr>
            <w:webHidden/>
          </w:rPr>
        </w:r>
        <w:r w:rsidR="008F4F37" w:rsidRPr="004E4188">
          <w:rPr>
            <w:webHidden/>
          </w:rPr>
          <w:fldChar w:fldCharType="separate"/>
        </w:r>
        <w:r w:rsidR="0048496E">
          <w:rPr>
            <w:webHidden/>
          </w:rPr>
          <w:t>32</w:t>
        </w:r>
        <w:r w:rsidR="008F4F37" w:rsidRPr="004E4188">
          <w:rPr>
            <w:webHidden/>
          </w:rPr>
          <w:fldChar w:fldCharType="end"/>
        </w:r>
      </w:hyperlink>
    </w:p>
    <w:p w14:paraId="279A38DA" w14:textId="7628A0EE"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24" w:history="1">
        <w:r w:rsidR="008F4F37" w:rsidRPr="004E4188">
          <w:rPr>
            <w:rStyle w:val="af1"/>
            <w:lang w:val="fr-FR"/>
          </w:rPr>
          <w:t>34.</w:t>
        </w:r>
        <w:r w:rsidR="008F4F37" w:rsidRPr="004E4188">
          <w:rPr>
            <w:rFonts w:asciiTheme="minorHAnsi" w:eastAsiaTheme="minorEastAsia" w:hAnsiTheme="minorHAnsi" w:cstheme="minorBidi"/>
            <w:kern w:val="2"/>
            <w:sz w:val="21"/>
            <w:szCs w:val="22"/>
            <w:lang w:eastAsia="ja-JP"/>
          </w:rPr>
          <w:tab/>
        </w:r>
        <w:r w:rsidR="008F4F37" w:rsidRPr="004E4188">
          <w:rPr>
            <w:rStyle w:val="af1"/>
            <w:lang w:val="fr-FR"/>
          </w:rPr>
          <w:t>Conversion en une seule monnaie</w:t>
        </w:r>
        <w:r w:rsidR="008F4F37" w:rsidRPr="004E4188">
          <w:rPr>
            <w:webHidden/>
          </w:rPr>
          <w:tab/>
        </w:r>
        <w:r w:rsidR="008F4F37" w:rsidRPr="004E4188">
          <w:rPr>
            <w:webHidden/>
          </w:rPr>
          <w:fldChar w:fldCharType="begin"/>
        </w:r>
        <w:r w:rsidR="008F4F37" w:rsidRPr="004E4188">
          <w:rPr>
            <w:webHidden/>
          </w:rPr>
          <w:instrText xml:space="preserve"> PAGEREF _Toc113293324 \h </w:instrText>
        </w:r>
        <w:r w:rsidR="008F4F37" w:rsidRPr="004E4188">
          <w:rPr>
            <w:webHidden/>
          </w:rPr>
        </w:r>
        <w:r w:rsidR="008F4F37" w:rsidRPr="004E4188">
          <w:rPr>
            <w:webHidden/>
          </w:rPr>
          <w:fldChar w:fldCharType="separate"/>
        </w:r>
        <w:r w:rsidR="0048496E">
          <w:rPr>
            <w:webHidden/>
          </w:rPr>
          <w:t>32</w:t>
        </w:r>
        <w:r w:rsidR="008F4F37" w:rsidRPr="004E4188">
          <w:rPr>
            <w:webHidden/>
          </w:rPr>
          <w:fldChar w:fldCharType="end"/>
        </w:r>
      </w:hyperlink>
    </w:p>
    <w:p w14:paraId="6283D670" w14:textId="5613502A"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25" w:history="1">
        <w:r w:rsidR="008F4F37" w:rsidRPr="004E4188">
          <w:rPr>
            <w:rStyle w:val="af1"/>
          </w:rPr>
          <w:t>35.</w:t>
        </w:r>
        <w:r w:rsidR="008F4F37" w:rsidRPr="004E4188">
          <w:rPr>
            <w:rFonts w:asciiTheme="minorHAnsi" w:eastAsiaTheme="minorEastAsia" w:hAnsiTheme="minorHAnsi" w:cstheme="minorBidi"/>
            <w:kern w:val="2"/>
            <w:sz w:val="21"/>
            <w:szCs w:val="22"/>
            <w:lang w:eastAsia="ja-JP"/>
          </w:rPr>
          <w:tab/>
        </w:r>
        <w:r w:rsidR="008F4F37" w:rsidRPr="004E4188">
          <w:rPr>
            <w:rStyle w:val="af1"/>
            <w:lang w:val="fr-FR"/>
          </w:rPr>
          <w:t>Évaluation</w:t>
        </w:r>
        <w:r w:rsidR="008F4F37" w:rsidRPr="004E4188">
          <w:rPr>
            <w:rStyle w:val="af1"/>
          </w:rPr>
          <w:t xml:space="preserve"> des Offres Financières</w:t>
        </w:r>
        <w:r w:rsidR="008F4F37" w:rsidRPr="004E4188">
          <w:rPr>
            <w:webHidden/>
          </w:rPr>
          <w:tab/>
        </w:r>
        <w:r w:rsidR="008F4F37" w:rsidRPr="004E4188">
          <w:rPr>
            <w:webHidden/>
          </w:rPr>
          <w:fldChar w:fldCharType="begin"/>
        </w:r>
        <w:r w:rsidR="008F4F37" w:rsidRPr="004E4188">
          <w:rPr>
            <w:webHidden/>
          </w:rPr>
          <w:instrText xml:space="preserve"> PAGEREF _Toc113293325 \h </w:instrText>
        </w:r>
        <w:r w:rsidR="008F4F37" w:rsidRPr="004E4188">
          <w:rPr>
            <w:webHidden/>
          </w:rPr>
        </w:r>
        <w:r w:rsidR="008F4F37" w:rsidRPr="004E4188">
          <w:rPr>
            <w:webHidden/>
          </w:rPr>
          <w:fldChar w:fldCharType="separate"/>
        </w:r>
        <w:r w:rsidR="0048496E">
          <w:rPr>
            <w:webHidden/>
          </w:rPr>
          <w:t>32</w:t>
        </w:r>
        <w:r w:rsidR="008F4F37" w:rsidRPr="004E4188">
          <w:rPr>
            <w:webHidden/>
          </w:rPr>
          <w:fldChar w:fldCharType="end"/>
        </w:r>
      </w:hyperlink>
    </w:p>
    <w:p w14:paraId="76C67F52" w14:textId="4F807478"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26" w:history="1">
        <w:r w:rsidR="008F4F37" w:rsidRPr="004E4188">
          <w:rPr>
            <w:rStyle w:val="af1"/>
          </w:rPr>
          <w:t>36.</w:t>
        </w:r>
        <w:r w:rsidR="008F4F37" w:rsidRPr="004E4188">
          <w:rPr>
            <w:rFonts w:asciiTheme="minorHAnsi" w:eastAsiaTheme="minorEastAsia" w:hAnsiTheme="minorHAnsi" w:cstheme="minorBidi"/>
            <w:kern w:val="2"/>
            <w:sz w:val="21"/>
            <w:szCs w:val="22"/>
            <w:lang w:eastAsia="ja-JP"/>
          </w:rPr>
          <w:tab/>
        </w:r>
        <w:r w:rsidR="008F4F37" w:rsidRPr="004E4188">
          <w:rPr>
            <w:rStyle w:val="af1"/>
          </w:rPr>
          <w:t>Comparaison des offres</w:t>
        </w:r>
        <w:r w:rsidR="008F4F37" w:rsidRPr="004E4188">
          <w:rPr>
            <w:webHidden/>
          </w:rPr>
          <w:tab/>
        </w:r>
        <w:r w:rsidR="008F4F37" w:rsidRPr="004E4188">
          <w:rPr>
            <w:webHidden/>
          </w:rPr>
          <w:fldChar w:fldCharType="begin"/>
        </w:r>
        <w:r w:rsidR="008F4F37" w:rsidRPr="004E4188">
          <w:rPr>
            <w:webHidden/>
          </w:rPr>
          <w:instrText xml:space="preserve"> PAGEREF _Toc113293326 \h </w:instrText>
        </w:r>
        <w:r w:rsidR="008F4F37" w:rsidRPr="004E4188">
          <w:rPr>
            <w:webHidden/>
          </w:rPr>
        </w:r>
        <w:r w:rsidR="008F4F37" w:rsidRPr="004E4188">
          <w:rPr>
            <w:webHidden/>
          </w:rPr>
          <w:fldChar w:fldCharType="separate"/>
        </w:r>
        <w:r w:rsidR="0048496E">
          <w:rPr>
            <w:webHidden/>
          </w:rPr>
          <w:t>33</w:t>
        </w:r>
        <w:r w:rsidR="008F4F37" w:rsidRPr="004E4188">
          <w:rPr>
            <w:webHidden/>
          </w:rPr>
          <w:fldChar w:fldCharType="end"/>
        </w:r>
      </w:hyperlink>
    </w:p>
    <w:p w14:paraId="380F5790" w14:textId="57D538D4"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27" w:history="1">
        <w:r w:rsidR="008F4F37" w:rsidRPr="004E4188">
          <w:rPr>
            <w:rStyle w:val="af1"/>
            <w:lang w:val="fr-FR"/>
          </w:rPr>
          <w:t>37.</w:t>
        </w:r>
        <w:r w:rsidR="008F4F37" w:rsidRPr="004E4188">
          <w:rPr>
            <w:rFonts w:asciiTheme="minorHAnsi" w:eastAsiaTheme="minorEastAsia" w:hAnsiTheme="minorHAnsi" w:cstheme="minorBidi"/>
            <w:kern w:val="2"/>
            <w:sz w:val="21"/>
            <w:szCs w:val="22"/>
            <w:lang w:eastAsia="ja-JP"/>
          </w:rPr>
          <w:tab/>
        </w:r>
        <w:r w:rsidR="008F4F37" w:rsidRPr="004E4188">
          <w:rPr>
            <w:rStyle w:val="af1"/>
            <w:lang w:val="fr-FR"/>
          </w:rPr>
          <w:t>Droit du Maître d’ouvrage d’accepter l’une quelconque des offres et de rejeter une ou toutes les offres</w:t>
        </w:r>
        <w:r w:rsidR="008F4F37" w:rsidRPr="004E4188">
          <w:rPr>
            <w:webHidden/>
          </w:rPr>
          <w:tab/>
        </w:r>
        <w:r w:rsidR="008F4F37" w:rsidRPr="004E4188">
          <w:rPr>
            <w:webHidden/>
          </w:rPr>
          <w:fldChar w:fldCharType="begin"/>
        </w:r>
        <w:r w:rsidR="008F4F37" w:rsidRPr="004E4188">
          <w:rPr>
            <w:webHidden/>
          </w:rPr>
          <w:instrText xml:space="preserve"> PAGEREF _Toc113293327 \h </w:instrText>
        </w:r>
        <w:r w:rsidR="008F4F37" w:rsidRPr="004E4188">
          <w:rPr>
            <w:webHidden/>
          </w:rPr>
        </w:r>
        <w:r w:rsidR="008F4F37" w:rsidRPr="004E4188">
          <w:rPr>
            <w:webHidden/>
          </w:rPr>
          <w:fldChar w:fldCharType="separate"/>
        </w:r>
        <w:r w:rsidR="0048496E">
          <w:rPr>
            <w:webHidden/>
          </w:rPr>
          <w:t>34</w:t>
        </w:r>
        <w:r w:rsidR="008F4F37" w:rsidRPr="004E4188">
          <w:rPr>
            <w:webHidden/>
          </w:rPr>
          <w:fldChar w:fldCharType="end"/>
        </w:r>
      </w:hyperlink>
    </w:p>
    <w:p w14:paraId="3F9F0302" w14:textId="45D0FC1D" w:rsidR="008F4F37" w:rsidRPr="004E4188" w:rsidRDefault="00000000">
      <w:pPr>
        <w:pStyle w:val="12"/>
        <w:rPr>
          <w:rFonts w:asciiTheme="minorHAnsi" w:eastAsiaTheme="minorEastAsia" w:hAnsiTheme="minorHAnsi" w:cstheme="minorBidi"/>
          <w:b w:val="0"/>
          <w:noProof/>
          <w:kern w:val="2"/>
          <w:sz w:val="21"/>
          <w:szCs w:val="22"/>
          <w:lang w:eastAsia="ja-JP"/>
        </w:rPr>
      </w:pPr>
      <w:hyperlink w:anchor="_Toc113293328" w:history="1">
        <w:r w:rsidR="008F4F37" w:rsidRPr="004E4188">
          <w:rPr>
            <w:rStyle w:val="af1"/>
            <w:noProof/>
          </w:rPr>
          <w:t>F. Attribution du Marché</w:t>
        </w:r>
        <w:r w:rsidR="008F4F37" w:rsidRPr="004E4188">
          <w:rPr>
            <w:noProof/>
            <w:webHidden/>
          </w:rPr>
          <w:tab/>
        </w:r>
        <w:r w:rsidR="008F4F37" w:rsidRPr="004E4188">
          <w:rPr>
            <w:noProof/>
            <w:webHidden/>
          </w:rPr>
          <w:fldChar w:fldCharType="begin"/>
        </w:r>
        <w:r w:rsidR="008F4F37" w:rsidRPr="004E4188">
          <w:rPr>
            <w:noProof/>
            <w:webHidden/>
          </w:rPr>
          <w:instrText xml:space="preserve"> PAGEREF _Toc113293328 \h </w:instrText>
        </w:r>
        <w:r w:rsidR="008F4F37" w:rsidRPr="004E4188">
          <w:rPr>
            <w:noProof/>
            <w:webHidden/>
          </w:rPr>
        </w:r>
        <w:r w:rsidR="008F4F37" w:rsidRPr="004E4188">
          <w:rPr>
            <w:noProof/>
            <w:webHidden/>
          </w:rPr>
          <w:fldChar w:fldCharType="separate"/>
        </w:r>
        <w:r w:rsidR="0048496E">
          <w:rPr>
            <w:noProof/>
            <w:webHidden/>
          </w:rPr>
          <w:t>34</w:t>
        </w:r>
        <w:r w:rsidR="008F4F37" w:rsidRPr="004E4188">
          <w:rPr>
            <w:noProof/>
            <w:webHidden/>
          </w:rPr>
          <w:fldChar w:fldCharType="end"/>
        </w:r>
      </w:hyperlink>
    </w:p>
    <w:p w14:paraId="52433972" w14:textId="1DD11013"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29" w:history="1">
        <w:r w:rsidR="008F4F37" w:rsidRPr="004E4188">
          <w:rPr>
            <w:rStyle w:val="af1"/>
          </w:rPr>
          <w:t>38.</w:t>
        </w:r>
        <w:r w:rsidR="008F4F37" w:rsidRPr="004E4188">
          <w:rPr>
            <w:rFonts w:asciiTheme="minorHAnsi" w:eastAsiaTheme="minorEastAsia" w:hAnsiTheme="minorHAnsi" w:cstheme="minorBidi"/>
            <w:kern w:val="2"/>
            <w:sz w:val="21"/>
            <w:szCs w:val="22"/>
            <w:lang w:eastAsia="ja-JP"/>
          </w:rPr>
          <w:tab/>
        </w:r>
        <w:r w:rsidR="008F4F37" w:rsidRPr="004E4188">
          <w:rPr>
            <w:rStyle w:val="af1"/>
            <w:lang w:val="en-GB"/>
          </w:rPr>
          <w:t>Critères</w:t>
        </w:r>
        <w:r w:rsidR="008F4F37" w:rsidRPr="004E4188">
          <w:rPr>
            <w:rStyle w:val="af1"/>
          </w:rPr>
          <w:t xml:space="preserve"> d’attribution</w:t>
        </w:r>
        <w:r w:rsidR="008F4F37" w:rsidRPr="004E4188">
          <w:rPr>
            <w:webHidden/>
          </w:rPr>
          <w:tab/>
        </w:r>
        <w:r w:rsidR="008F4F37" w:rsidRPr="004E4188">
          <w:rPr>
            <w:webHidden/>
          </w:rPr>
          <w:fldChar w:fldCharType="begin"/>
        </w:r>
        <w:r w:rsidR="008F4F37" w:rsidRPr="004E4188">
          <w:rPr>
            <w:webHidden/>
          </w:rPr>
          <w:instrText xml:space="preserve"> PAGEREF _Toc113293329 \h </w:instrText>
        </w:r>
        <w:r w:rsidR="008F4F37" w:rsidRPr="004E4188">
          <w:rPr>
            <w:webHidden/>
          </w:rPr>
        </w:r>
        <w:r w:rsidR="008F4F37" w:rsidRPr="004E4188">
          <w:rPr>
            <w:webHidden/>
          </w:rPr>
          <w:fldChar w:fldCharType="separate"/>
        </w:r>
        <w:r w:rsidR="0048496E">
          <w:rPr>
            <w:webHidden/>
          </w:rPr>
          <w:t>34</w:t>
        </w:r>
        <w:r w:rsidR="008F4F37" w:rsidRPr="004E4188">
          <w:rPr>
            <w:webHidden/>
          </w:rPr>
          <w:fldChar w:fldCharType="end"/>
        </w:r>
      </w:hyperlink>
    </w:p>
    <w:p w14:paraId="77FF9C75" w14:textId="722833C4"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30" w:history="1">
        <w:r w:rsidR="008F4F37" w:rsidRPr="004E4188">
          <w:rPr>
            <w:rStyle w:val="af1"/>
            <w:lang w:val="fr-FR"/>
          </w:rPr>
          <w:t>39.</w:t>
        </w:r>
        <w:r w:rsidR="008F4F37" w:rsidRPr="004E4188">
          <w:rPr>
            <w:rFonts w:asciiTheme="minorHAnsi" w:eastAsiaTheme="minorEastAsia" w:hAnsiTheme="minorHAnsi" w:cstheme="minorBidi"/>
            <w:kern w:val="2"/>
            <w:sz w:val="21"/>
            <w:szCs w:val="22"/>
            <w:lang w:eastAsia="ja-JP"/>
          </w:rPr>
          <w:tab/>
        </w:r>
        <w:r w:rsidR="008F4F37" w:rsidRPr="004E4188">
          <w:rPr>
            <w:rStyle w:val="af1"/>
            <w:lang w:val="fr-FR"/>
          </w:rPr>
          <w:t>Notification de l’attribution du Marché</w:t>
        </w:r>
        <w:r w:rsidR="008F4F37" w:rsidRPr="004E4188">
          <w:rPr>
            <w:webHidden/>
          </w:rPr>
          <w:tab/>
        </w:r>
        <w:r w:rsidR="008F4F37" w:rsidRPr="004E4188">
          <w:rPr>
            <w:webHidden/>
          </w:rPr>
          <w:fldChar w:fldCharType="begin"/>
        </w:r>
        <w:r w:rsidR="008F4F37" w:rsidRPr="004E4188">
          <w:rPr>
            <w:webHidden/>
          </w:rPr>
          <w:instrText xml:space="preserve"> PAGEREF _Toc113293330 \h </w:instrText>
        </w:r>
        <w:r w:rsidR="008F4F37" w:rsidRPr="004E4188">
          <w:rPr>
            <w:webHidden/>
          </w:rPr>
        </w:r>
        <w:r w:rsidR="008F4F37" w:rsidRPr="004E4188">
          <w:rPr>
            <w:webHidden/>
          </w:rPr>
          <w:fldChar w:fldCharType="separate"/>
        </w:r>
        <w:r w:rsidR="0048496E">
          <w:rPr>
            <w:webHidden/>
          </w:rPr>
          <w:t>34</w:t>
        </w:r>
        <w:r w:rsidR="008F4F37" w:rsidRPr="004E4188">
          <w:rPr>
            <w:webHidden/>
          </w:rPr>
          <w:fldChar w:fldCharType="end"/>
        </w:r>
      </w:hyperlink>
    </w:p>
    <w:p w14:paraId="242230BD" w14:textId="205BEF53"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31" w:history="1">
        <w:r w:rsidR="008F4F37" w:rsidRPr="004E4188">
          <w:rPr>
            <w:rStyle w:val="af1"/>
          </w:rPr>
          <w:t>4</w:t>
        </w:r>
        <w:r w:rsidR="008F4F37" w:rsidRPr="004E4188">
          <w:rPr>
            <w:rStyle w:val="af1"/>
            <w:lang w:eastAsia="ja-JP"/>
          </w:rPr>
          <w:t>0</w:t>
        </w:r>
        <w:r w:rsidR="008F4F37" w:rsidRPr="004E4188">
          <w:rPr>
            <w:rStyle w:val="af1"/>
          </w:rPr>
          <w:t>.</w:t>
        </w:r>
        <w:r w:rsidR="008F4F37" w:rsidRPr="004E4188">
          <w:rPr>
            <w:rFonts w:asciiTheme="minorHAnsi" w:eastAsiaTheme="minorEastAsia" w:hAnsiTheme="minorHAnsi" w:cstheme="minorBidi"/>
            <w:kern w:val="2"/>
            <w:sz w:val="21"/>
            <w:szCs w:val="22"/>
            <w:lang w:eastAsia="ja-JP"/>
          </w:rPr>
          <w:tab/>
        </w:r>
        <w:r w:rsidR="008F4F37" w:rsidRPr="004E4188">
          <w:rPr>
            <w:rStyle w:val="af1"/>
            <w:lang w:val="en-GB"/>
          </w:rPr>
          <w:t>Signature</w:t>
        </w:r>
        <w:r w:rsidR="008F4F37" w:rsidRPr="004E4188">
          <w:rPr>
            <w:rStyle w:val="af1"/>
          </w:rPr>
          <w:t xml:space="preserve"> du Marché</w:t>
        </w:r>
        <w:r w:rsidR="008F4F37" w:rsidRPr="004E4188">
          <w:rPr>
            <w:webHidden/>
          </w:rPr>
          <w:tab/>
        </w:r>
        <w:r w:rsidR="008F4F37" w:rsidRPr="004E4188">
          <w:rPr>
            <w:webHidden/>
          </w:rPr>
          <w:fldChar w:fldCharType="begin"/>
        </w:r>
        <w:r w:rsidR="008F4F37" w:rsidRPr="004E4188">
          <w:rPr>
            <w:webHidden/>
          </w:rPr>
          <w:instrText xml:space="preserve"> PAGEREF _Toc113293331 \h </w:instrText>
        </w:r>
        <w:r w:rsidR="008F4F37" w:rsidRPr="004E4188">
          <w:rPr>
            <w:webHidden/>
          </w:rPr>
        </w:r>
        <w:r w:rsidR="008F4F37" w:rsidRPr="004E4188">
          <w:rPr>
            <w:webHidden/>
          </w:rPr>
          <w:fldChar w:fldCharType="separate"/>
        </w:r>
        <w:r w:rsidR="0048496E">
          <w:rPr>
            <w:webHidden/>
          </w:rPr>
          <w:t>35</w:t>
        </w:r>
        <w:r w:rsidR="008F4F37" w:rsidRPr="004E4188">
          <w:rPr>
            <w:webHidden/>
          </w:rPr>
          <w:fldChar w:fldCharType="end"/>
        </w:r>
      </w:hyperlink>
    </w:p>
    <w:p w14:paraId="4EB47C6E" w14:textId="472E6F41"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32" w:history="1">
        <w:r w:rsidR="008F4F37" w:rsidRPr="004E4188">
          <w:rPr>
            <w:rStyle w:val="af1"/>
          </w:rPr>
          <w:t>41.</w:t>
        </w:r>
        <w:r w:rsidR="008F4F37" w:rsidRPr="004E4188">
          <w:rPr>
            <w:rFonts w:asciiTheme="minorHAnsi" w:eastAsiaTheme="minorEastAsia" w:hAnsiTheme="minorHAnsi" w:cstheme="minorBidi"/>
            <w:kern w:val="2"/>
            <w:sz w:val="21"/>
            <w:szCs w:val="22"/>
            <w:lang w:eastAsia="ja-JP"/>
          </w:rPr>
          <w:tab/>
        </w:r>
        <w:r w:rsidR="008F4F37" w:rsidRPr="004E4188">
          <w:rPr>
            <w:rStyle w:val="af1"/>
          </w:rPr>
          <w:t>Garantie de bonne exécution</w:t>
        </w:r>
        <w:r w:rsidR="008F4F37" w:rsidRPr="004E4188">
          <w:rPr>
            <w:webHidden/>
          </w:rPr>
          <w:tab/>
        </w:r>
        <w:r w:rsidR="008F4F37" w:rsidRPr="004E4188">
          <w:rPr>
            <w:webHidden/>
          </w:rPr>
          <w:fldChar w:fldCharType="begin"/>
        </w:r>
        <w:r w:rsidR="008F4F37" w:rsidRPr="004E4188">
          <w:rPr>
            <w:webHidden/>
          </w:rPr>
          <w:instrText xml:space="preserve"> PAGEREF _Toc113293332 \h </w:instrText>
        </w:r>
        <w:r w:rsidR="008F4F37" w:rsidRPr="004E4188">
          <w:rPr>
            <w:webHidden/>
          </w:rPr>
        </w:r>
        <w:r w:rsidR="008F4F37" w:rsidRPr="004E4188">
          <w:rPr>
            <w:webHidden/>
          </w:rPr>
          <w:fldChar w:fldCharType="separate"/>
        </w:r>
        <w:r w:rsidR="0048496E">
          <w:rPr>
            <w:webHidden/>
          </w:rPr>
          <w:t>35</w:t>
        </w:r>
        <w:r w:rsidR="008F4F37" w:rsidRPr="004E4188">
          <w:rPr>
            <w:webHidden/>
          </w:rPr>
          <w:fldChar w:fldCharType="end"/>
        </w:r>
      </w:hyperlink>
    </w:p>
    <w:p w14:paraId="7D166385" w14:textId="4A811D2B" w:rsidR="008F4F37"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13293333" w:history="1">
        <w:r w:rsidR="008F4F37" w:rsidRPr="004E4188">
          <w:rPr>
            <w:rStyle w:val="af1"/>
            <w:lang w:val="fr-FR"/>
          </w:rPr>
          <w:t>42.</w:t>
        </w:r>
        <w:r w:rsidR="008F4F37" w:rsidRPr="004E4188">
          <w:rPr>
            <w:rFonts w:asciiTheme="minorHAnsi" w:eastAsiaTheme="minorEastAsia" w:hAnsiTheme="minorHAnsi" w:cstheme="minorBidi"/>
            <w:kern w:val="2"/>
            <w:sz w:val="21"/>
            <w:szCs w:val="22"/>
            <w:lang w:eastAsia="ja-JP"/>
          </w:rPr>
          <w:tab/>
        </w:r>
        <w:r w:rsidR="008F4F37" w:rsidRPr="004E4188">
          <w:rPr>
            <w:rStyle w:val="af1"/>
            <w:lang w:val="fr-FR"/>
          </w:rPr>
          <w:t>Notification aux Soumissionnaires non retenus et compte-rendu</w:t>
        </w:r>
        <w:r w:rsidR="008F4F37" w:rsidRPr="004E4188">
          <w:rPr>
            <w:webHidden/>
          </w:rPr>
          <w:tab/>
        </w:r>
        <w:r w:rsidR="008F4F37" w:rsidRPr="004E4188">
          <w:rPr>
            <w:webHidden/>
          </w:rPr>
          <w:fldChar w:fldCharType="begin"/>
        </w:r>
        <w:r w:rsidR="008F4F37" w:rsidRPr="004E4188">
          <w:rPr>
            <w:webHidden/>
          </w:rPr>
          <w:instrText xml:space="preserve"> PAGEREF _Toc113293333 \h </w:instrText>
        </w:r>
        <w:r w:rsidR="008F4F37" w:rsidRPr="004E4188">
          <w:rPr>
            <w:webHidden/>
          </w:rPr>
        </w:r>
        <w:r w:rsidR="008F4F37" w:rsidRPr="004E4188">
          <w:rPr>
            <w:webHidden/>
          </w:rPr>
          <w:fldChar w:fldCharType="separate"/>
        </w:r>
        <w:r w:rsidR="0048496E">
          <w:rPr>
            <w:webHidden/>
          </w:rPr>
          <w:t>36</w:t>
        </w:r>
        <w:r w:rsidR="008F4F37" w:rsidRPr="004E4188">
          <w:rPr>
            <w:webHidden/>
          </w:rPr>
          <w:fldChar w:fldCharType="end"/>
        </w:r>
      </w:hyperlink>
    </w:p>
    <w:p w14:paraId="2A65A944" w14:textId="4F5C2947" w:rsidR="006F129D" w:rsidRPr="004E4188" w:rsidRDefault="003B3ACC">
      <w:pPr>
        <w:pStyle w:val="Outline"/>
        <w:spacing w:before="0"/>
        <w:rPr>
          <w:kern w:val="0"/>
        </w:rPr>
      </w:pPr>
      <w:r w:rsidRPr="004E4188">
        <w:fldChar w:fldCharType="end"/>
      </w:r>
    </w:p>
    <w:p w14:paraId="48DE63D8" w14:textId="77777777" w:rsidR="006F129D" w:rsidRPr="004E4188" w:rsidRDefault="006F129D" w:rsidP="00271660">
      <w:pPr>
        <w:pStyle w:val="12"/>
        <w:outlineLvl w:val="9"/>
        <w:rPr>
          <w:lang w:val="fr-FR"/>
        </w:rPr>
      </w:pPr>
    </w:p>
    <w:p w14:paraId="16A94018" w14:textId="77777777" w:rsidR="006F129D" w:rsidRPr="004E4188" w:rsidRDefault="006F129D">
      <w:r w:rsidRPr="004E4188">
        <w:br w:type="page"/>
      </w:r>
      <w:bookmarkStart w:id="38" w:name="IS_OPTIONA"/>
    </w:p>
    <w:tbl>
      <w:tblPr>
        <w:tblW w:w="9288" w:type="dxa"/>
        <w:tblInd w:w="-72" w:type="dxa"/>
        <w:tblLayout w:type="fixed"/>
        <w:tblLook w:val="0000" w:firstRow="0" w:lastRow="0" w:firstColumn="0" w:lastColumn="0" w:noHBand="0" w:noVBand="0"/>
      </w:tblPr>
      <w:tblGrid>
        <w:gridCol w:w="2273"/>
        <w:gridCol w:w="7015"/>
      </w:tblGrid>
      <w:tr w:rsidR="006F129D" w:rsidRPr="004E4188" w14:paraId="09540DA4" w14:textId="77777777" w:rsidTr="00D45EAD">
        <w:trPr>
          <w:trHeight w:val="568"/>
        </w:trPr>
        <w:tc>
          <w:tcPr>
            <w:tcW w:w="9288" w:type="dxa"/>
            <w:gridSpan w:val="2"/>
            <w:tcBorders>
              <w:top w:val="nil"/>
              <w:left w:val="nil"/>
              <w:bottom w:val="nil"/>
              <w:right w:val="nil"/>
            </w:tcBorders>
          </w:tcPr>
          <w:p w14:paraId="5D25AC69" w14:textId="77777777" w:rsidR="006F129D" w:rsidRPr="004E4188" w:rsidRDefault="006F129D" w:rsidP="00D45EAD">
            <w:pPr>
              <w:pStyle w:val="S1-Header"/>
              <w:tabs>
                <w:tab w:val="num" w:pos="360"/>
              </w:tabs>
              <w:spacing w:after="200"/>
              <w:ind w:left="357" w:hanging="357"/>
            </w:pPr>
            <w:bookmarkStart w:id="39" w:name="_Toc438438819"/>
            <w:bookmarkStart w:id="40" w:name="_Toc438532553"/>
            <w:bookmarkStart w:id="41" w:name="_Toc438733963"/>
            <w:bookmarkStart w:id="42" w:name="_Toc438962045"/>
            <w:bookmarkStart w:id="43" w:name="_Toc461939616"/>
            <w:bookmarkStart w:id="44" w:name="_Toc113293286"/>
            <w:r w:rsidRPr="004E4188">
              <w:t xml:space="preserve">A. </w:t>
            </w:r>
            <w:r w:rsidRPr="004E4188">
              <w:rPr>
                <w:lang w:val="en-GB" w:eastAsia="ja-JP"/>
              </w:rPr>
              <w:t>Général</w:t>
            </w:r>
            <w:bookmarkEnd w:id="39"/>
            <w:bookmarkEnd w:id="40"/>
            <w:bookmarkEnd w:id="41"/>
            <w:bookmarkEnd w:id="42"/>
            <w:bookmarkEnd w:id="43"/>
            <w:r w:rsidRPr="004E4188">
              <w:rPr>
                <w:lang w:val="en-GB" w:eastAsia="ja-JP"/>
              </w:rPr>
              <w:t>ités</w:t>
            </w:r>
            <w:bookmarkEnd w:id="44"/>
          </w:p>
        </w:tc>
      </w:tr>
      <w:tr w:rsidR="006F129D" w:rsidRPr="004E4188" w14:paraId="79C8EC9E" w14:textId="77777777" w:rsidTr="00D45EAD">
        <w:tc>
          <w:tcPr>
            <w:tcW w:w="2273" w:type="dxa"/>
            <w:tcBorders>
              <w:top w:val="nil"/>
              <w:left w:val="nil"/>
              <w:bottom w:val="nil"/>
              <w:right w:val="nil"/>
            </w:tcBorders>
          </w:tcPr>
          <w:p w14:paraId="789C09B7" w14:textId="77777777" w:rsidR="006F129D" w:rsidRPr="004E4188" w:rsidRDefault="006F129D" w:rsidP="008A28CD">
            <w:pPr>
              <w:pStyle w:val="S1-Header20"/>
            </w:pPr>
            <w:bookmarkStart w:id="45" w:name="_Toc156373284"/>
            <w:bookmarkStart w:id="46" w:name="_Toc113293287"/>
            <w:r w:rsidRPr="004E4188">
              <w:t>1.</w:t>
            </w:r>
            <w:r w:rsidRPr="004E4188">
              <w:tab/>
            </w:r>
            <w:r w:rsidRPr="004E4188">
              <w:rPr>
                <w:lang w:val="en-GB"/>
              </w:rPr>
              <w:t>Objet</w:t>
            </w:r>
            <w:r w:rsidRPr="004E4188">
              <w:t xml:space="preserve"> du Marché</w:t>
            </w:r>
            <w:bookmarkEnd w:id="45"/>
            <w:bookmarkEnd w:id="46"/>
          </w:p>
        </w:tc>
        <w:tc>
          <w:tcPr>
            <w:tcW w:w="7015" w:type="dxa"/>
            <w:tcBorders>
              <w:top w:val="nil"/>
              <w:left w:val="nil"/>
              <w:bottom w:val="nil"/>
              <w:right w:val="nil"/>
            </w:tcBorders>
          </w:tcPr>
          <w:p w14:paraId="152DBA14" w14:textId="060F05C6" w:rsidR="006F129D" w:rsidRPr="004E4188" w:rsidRDefault="006F129D" w:rsidP="00426AA1">
            <w:pPr>
              <w:pStyle w:val="Header2-SubClauses"/>
              <w:tabs>
                <w:tab w:val="clear" w:pos="619"/>
                <w:tab w:val="left" w:pos="576"/>
              </w:tabs>
              <w:ind w:left="601" w:hanging="601"/>
              <w:rPr>
                <w:lang w:val="fr-FR"/>
              </w:rPr>
            </w:pPr>
            <w:r w:rsidRPr="004E4188">
              <w:rPr>
                <w:lang w:val="fr-FR"/>
              </w:rPr>
              <w:t>1.1</w:t>
            </w:r>
            <w:r w:rsidRPr="004E4188">
              <w:rPr>
                <w:lang w:val="fr-FR"/>
              </w:rPr>
              <w:tab/>
              <w:t xml:space="preserve">Suite à l’Avis d’appel d’offres </w:t>
            </w:r>
            <w:r w:rsidRPr="004E4188">
              <w:rPr>
                <w:b/>
                <w:lang w:val="fr-FR"/>
              </w:rPr>
              <w:t>dont la référence est donnée à la Section II, Données particulières (DP)</w:t>
            </w:r>
            <w:r w:rsidRPr="004E4188">
              <w:rPr>
                <w:lang w:val="fr-FR"/>
              </w:rPr>
              <w:t>, le Maître d’ouvrage</w:t>
            </w:r>
            <w:r w:rsidRPr="004E4188">
              <w:rPr>
                <w:b/>
                <w:lang w:val="fr-FR"/>
              </w:rPr>
              <w:t xml:space="preserve"> dont le nom figure dans les DP </w:t>
            </w:r>
            <w:r w:rsidRPr="004E4188">
              <w:rPr>
                <w:lang w:val="fr-FR"/>
              </w:rPr>
              <w:t>et établi dans le pays</w:t>
            </w:r>
            <w:r w:rsidRPr="004E4188">
              <w:rPr>
                <w:b/>
                <w:lang w:val="fr-FR"/>
              </w:rPr>
              <w:t xml:space="preserve"> indiqué dans les DP</w:t>
            </w:r>
            <w:r w:rsidRPr="004E4188">
              <w:rPr>
                <w:lang w:val="fr-FR"/>
              </w:rPr>
              <w:t xml:space="preserve">, émet le présent Dossier d’appel d’offres (ci-après désigné « le Dossier d’appel d’offres ») en vue de la conception, fourniture et montage d’équipements spécifiés à la Section VI, Exigences du Maître d’ouvrage. </w:t>
            </w:r>
          </w:p>
          <w:p w14:paraId="164849D7" w14:textId="75207BC6" w:rsidR="006F129D" w:rsidRPr="004E4188" w:rsidRDefault="006F129D" w:rsidP="00D45EAD">
            <w:pPr>
              <w:pStyle w:val="Header2-SubClauses"/>
              <w:tabs>
                <w:tab w:val="clear" w:pos="619"/>
                <w:tab w:val="left" w:pos="576"/>
              </w:tabs>
              <w:ind w:left="601"/>
              <w:rPr>
                <w:lang w:val="fr-FR"/>
              </w:rPr>
            </w:pPr>
            <w:r w:rsidRPr="004E4188">
              <w:rPr>
                <w:lang w:val="fr-FR"/>
              </w:rPr>
              <w:t xml:space="preserve">Le nom du projet et le nom du Marché </w:t>
            </w:r>
            <w:r w:rsidRPr="004E4188">
              <w:rPr>
                <w:b/>
                <w:lang w:val="fr-FR"/>
              </w:rPr>
              <w:t>figurent dans les DP</w:t>
            </w:r>
            <w:r w:rsidRPr="004E4188">
              <w:rPr>
                <w:lang w:val="fr-FR"/>
              </w:rPr>
              <w:t>.</w:t>
            </w:r>
          </w:p>
          <w:p w14:paraId="6E4575E6" w14:textId="77777777" w:rsidR="006F129D" w:rsidRPr="004E4188" w:rsidRDefault="006F129D" w:rsidP="00D45EAD">
            <w:pPr>
              <w:pStyle w:val="Header2-SubClauses"/>
              <w:tabs>
                <w:tab w:val="clear" w:pos="619"/>
                <w:tab w:val="left" w:pos="576"/>
              </w:tabs>
              <w:ind w:left="601"/>
              <w:rPr>
                <w:lang w:val="fr-FR"/>
              </w:rPr>
            </w:pPr>
            <w:r w:rsidRPr="004E4188">
              <w:rPr>
                <w:lang w:val="fr-FR"/>
              </w:rPr>
              <w:t xml:space="preserve">L’appel d’offre peut être lancé pour des lots multiples comme </w:t>
            </w:r>
            <w:r w:rsidRPr="004E4188">
              <w:rPr>
                <w:b/>
                <w:lang w:val="fr-FR"/>
              </w:rPr>
              <w:t>indiqué dans les DP</w:t>
            </w:r>
            <w:r w:rsidRPr="004E4188">
              <w:rPr>
                <w:lang w:val="fr-FR"/>
              </w:rPr>
              <w:t>. Les offres peuvent être remises pour des lots individuels ou pour toute combinaison de plusieurs lots.</w:t>
            </w:r>
          </w:p>
        </w:tc>
      </w:tr>
      <w:tr w:rsidR="006F129D" w:rsidRPr="004E4188" w14:paraId="1F1E291C" w14:textId="77777777" w:rsidTr="00D45EAD">
        <w:tc>
          <w:tcPr>
            <w:tcW w:w="2273" w:type="dxa"/>
            <w:tcBorders>
              <w:top w:val="nil"/>
              <w:left w:val="nil"/>
              <w:bottom w:val="nil"/>
              <w:right w:val="nil"/>
            </w:tcBorders>
          </w:tcPr>
          <w:p w14:paraId="2C2A512D" w14:textId="77777777" w:rsidR="006F129D" w:rsidRPr="004E4188" w:rsidRDefault="006F129D">
            <w:bookmarkStart w:id="47" w:name="_Toc438530847"/>
            <w:bookmarkStart w:id="48" w:name="_Toc438532555"/>
            <w:bookmarkEnd w:id="47"/>
            <w:bookmarkEnd w:id="48"/>
          </w:p>
        </w:tc>
        <w:tc>
          <w:tcPr>
            <w:tcW w:w="7015" w:type="dxa"/>
            <w:tcBorders>
              <w:top w:val="nil"/>
              <w:left w:val="nil"/>
              <w:bottom w:val="nil"/>
              <w:right w:val="nil"/>
            </w:tcBorders>
          </w:tcPr>
          <w:p w14:paraId="6E78F4DA" w14:textId="77777777" w:rsidR="006F129D" w:rsidRPr="004E4188" w:rsidRDefault="006F129D" w:rsidP="00426AA1">
            <w:pPr>
              <w:pStyle w:val="Header2-SubClauses"/>
              <w:tabs>
                <w:tab w:val="clear" w:pos="619"/>
                <w:tab w:val="left" w:pos="576"/>
              </w:tabs>
              <w:ind w:left="601" w:hanging="601"/>
              <w:rPr>
                <w:lang w:val="fr-FR"/>
              </w:rPr>
            </w:pPr>
            <w:r w:rsidRPr="004E4188">
              <w:rPr>
                <w:lang w:val="fr-FR"/>
              </w:rPr>
              <w:t>1.2</w:t>
            </w:r>
            <w:r w:rsidRPr="004E4188">
              <w:rPr>
                <w:lang w:val="fr-FR"/>
              </w:rPr>
              <w:tab/>
              <w:t>Dans le présent Dossier d’appel d’offres :</w:t>
            </w:r>
          </w:p>
          <w:p w14:paraId="3156304E" w14:textId="2277ABC1" w:rsidR="006F129D" w:rsidRPr="004E4188" w:rsidRDefault="006F129D" w:rsidP="00426AA1">
            <w:pPr>
              <w:pStyle w:val="Header3-Paragraph"/>
              <w:tabs>
                <w:tab w:val="clear" w:pos="504"/>
                <w:tab w:val="left" w:pos="576"/>
              </w:tabs>
              <w:ind w:left="1026" w:hanging="425"/>
              <w:rPr>
                <w:lang w:val="fr-FR" w:eastAsia="ja-JP"/>
              </w:rPr>
            </w:pPr>
            <w:r w:rsidRPr="004E4188">
              <w:rPr>
                <w:lang w:val="fr-FR"/>
              </w:rPr>
              <w:t>(a)</w:t>
            </w:r>
            <w:r w:rsidRPr="004E4188">
              <w:rPr>
                <w:lang w:val="fr-FR" w:eastAsia="ja-JP"/>
              </w:rPr>
              <w:tab/>
              <w:t>les termes « Installations » et « Équipements et Services de montage » sont synonymes du terme « Conception, fourniture et montage d</w:t>
            </w:r>
            <w:r w:rsidR="0050020F" w:rsidRPr="004E4188">
              <w:rPr>
                <w:lang w:val="fr-FR"/>
              </w:rPr>
              <w:t>’</w:t>
            </w:r>
            <w:r w:rsidRPr="004E4188">
              <w:rPr>
                <w:lang w:val="fr-FR" w:eastAsia="ja-JP"/>
              </w:rPr>
              <w:t>équipements » ;</w:t>
            </w:r>
          </w:p>
          <w:p w14:paraId="5287E365" w14:textId="77777777" w:rsidR="006F129D" w:rsidRPr="004E4188" w:rsidRDefault="006F129D" w:rsidP="00426AA1">
            <w:pPr>
              <w:pStyle w:val="Header3-Paragraph"/>
              <w:tabs>
                <w:tab w:val="clear" w:pos="504"/>
                <w:tab w:val="left" w:pos="576"/>
              </w:tabs>
              <w:ind w:left="1026" w:hanging="425"/>
              <w:rPr>
                <w:lang w:val="fr-FR"/>
              </w:rPr>
            </w:pPr>
            <w:r w:rsidRPr="004E4188">
              <w:rPr>
                <w:lang w:val="fr-FR"/>
              </w:rPr>
              <w:t>(b)</w:t>
            </w:r>
            <w:r w:rsidRPr="004E4188">
              <w:rPr>
                <w:lang w:val="fr-FR" w:eastAsia="ja-JP"/>
              </w:rPr>
              <w:tab/>
              <w:t>le</w:t>
            </w:r>
            <w:r w:rsidRPr="004E4188">
              <w:rPr>
                <w:lang w:val="fr-FR"/>
              </w:rPr>
              <w:t xml:space="preserve"> terme « par écrit » signifie communiqué sous forme écrite avec accusé de réception ;</w:t>
            </w:r>
          </w:p>
          <w:p w14:paraId="422B8956" w14:textId="06BA49E5" w:rsidR="006F129D" w:rsidRPr="004E4188" w:rsidRDefault="006F129D" w:rsidP="00426AA1">
            <w:pPr>
              <w:tabs>
                <w:tab w:val="left" w:pos="1062"/>
              </w:tabs>
              <w:suppressAutoHyphens w:val="0"/>
              <w:spacing w:after="200"/>
              <w:ind w:left="1026" w:hanging="425"/>
            </w:pPr>
            <w:r w:rsidRPr="004E4188">
              <w:t>(c)</w:t>
            </w:r>
            <w:r w:rsidRPr="004E4188">
              <w:rPr>
                <w:lang w:eastAsia="ja-JP"/>
              </w:rPr>
              <w:tab/>
            </w:r>
            <w:r w:rsidRPr="004E4188">
              <w:t>sauf si le contexte exige une interprétation différente, le singulier inclut le pluriel, et le pluriel inclut le singulier ;</w:t>
            </w:r>
          </w:p>
          <w:p w14:paraId="1B407472" w14:textId="33B199DA" w:rsidR="006F129D" w:rsidRPr="004E4188" w:rsidRDefault="006F129D" w:rsidP="00426AA1">
            <w:pPr>
              <w:tabs>
                <w:tab w:val="left" w:pos="576"/>
              </w:tabs>
              <w:suppressAutoHyphens w:val="0"/>
              <w:spacing w:after="200"/>
              <w:ind w:left="1026" w:hanging="425"/>
              <w:rPr>
                <w:lang w:eastAsia="ja-JP"/>
              </w:rPr>
            </w:pPr>
            <w:r w:rsidRPr="004E4188">
              <w:t>(d)</w:t>
            </w:r>
            <w:r w:rsidRPr="004E4188">
              <w:rPr>
                <w:lang w:eastAsia="ja-JP"/>
              </w:rPr>
              <w:tab/>
            </w:r>
            <w:r w:rsidRPr="004E4188">
              <w:t>le terme « jour » désigne un jour calendaire </w:t>
            </w:r>
            <w:r w:rsidRPr="004E4188">
              <w:rPr>
                <w:lang w:eastAsia="ja-JP"/>
              </w:rPr>
              <w:t>;</w:t>
            </w:r>
          </w:p>
          <w:p w14:paraId="12C008D7" w14:textId="6404DECE" w:rsidR="006F129D" w:rsidRPr="004E4188" w:rsidRDefault="006F129D" w:rsidP="00D45EAD">
            <w:pPr>
              <w:tabs>
                <w:tab w:val="left" w:pos="576"/>
              </w:tabs>
              <w:suppressAutoHyphens w:val="0"/>
              <w:spacing w:after="200"/>
              <w:ind w:left="1026" w:hanging="425"/>
              <w:rPr>
                <w:lang w:eastAsia="ja-JP"/>
              </w:rPr>
            </w:pPr>
            <w:r w:rsidRPr="004E4188">
              <w:t>(e)</w:t>
            </w:r>
            <w:r w:rsidRPr="004E4188">
              <w:rPr>
                <w:lang w:eastAsia="ja-JP"/>
              </w:rPr>
              <w:tab/>
            </w:r>
            <w:r w:rsidRPr="004E4188">
              <w:t>le terme « entreprise » désigne une entité privée, une entreprise ou institution publique, qui</w:t>
            </w:r>
            <w:r w:rsidRPr="004E4188">
              <w:rPr>
                <w:rFonts w:hint="eastAsia"/>
                <w:lang w:eastAsia="ja-JP"/>
              </w:rPr>
              <w:t xml:space="preserve"> </w:t>
            </w:r>
            <w:r w:rsidRPr="004E4188">
              <w:rPr>
                <w:lang w:eastAsia="ja-JP"/>
              </w:rPr>
              <w:t>est un synonyme du terme « firme </w:t>
            </w:r>
            <w:r w:rsidRPr="004E4188">
              <w:t>» ; et</w:t>
            </w:r>
          </w:p>
          <w:p w14:paraId="6C1FE842" w14:textId="29E480EB" w:rsidR="006F129D" w:rsidRPr="004E4188" w:rsidRDefault="006F129D" w:rsidP="00D45EAD">
            <w:pPr>
              <w:tabs>
                <w:tab w:val="left" w:pos="576"/>
              </w:tabs>
              <w:suppressAutoHyphens w:val="0"/>
              <w:spacing w:after="200"/>
              <w:ind w:left="1026" w:hanging="425"/>
            </w:pPr>
            <w:r w:rsidRPr="004E4188">
              <w:t>(f)</w:t>
            </w:r>
            <w:r w:rsidRPr="004E4188">
              <w:tab/>
              <w:t xml:space="preserve">le terme « Groupement » désigne toute combinaison de deux entreprises ou plus sous la forme d’un groupement, consortium, association ou groupe non constitué en personne morale ayant conclu un accord de Groupement ou ayant l’intention de conclure un tel accord, corroborée par une lettre d’intention formelle. </w:t>
            </w:r>
          </w:p>
        </w:tc>
      </w:tr>
      <w:tr w:rsidR="006F129D" w:rsidRPr="004E4188" w14:paraId="6B8603F7" w14:textId="77777777" w:rsidTr="00D45EAD">
        <w:tc>
          <w:tcPr>
            <w:tcW w:w="2273" w:type="dxa"/>
            <w:tcBorders>
              <w:top w:val="nil"/>
              <w:left w:val="nil"/>
              <w:bottom w:val="nil"/>
              <w:right w:val="nil"/>
            </w:tcBorders>
          </w:tcPr>
          <w:p w14:paraId="631BD7D5" w14:textId="2AD6C70B" w:rsidR="006F129D" w:rsidRPr="004E4188" w:rsidRDefault="006F129D" w:rsidP="008A28CD">
            <w:pPr>
              <w:pStyle w:val="S1-Header20"/>
            </w:pPr>
            <w:bookmarkStart w:id="49" w:name="_Toc438438821"/>
            <w:bookmarkStart w:id="50" w:name="_Toc438532556"/>
            <w:bookmarkStart w:id="51" w:name="_Toc438733965"/>
            <w:bookmarkStart w:id="52" w:name="_Toc438907006"/>
            <w:bookmarkStart w:id="53" w:name="_Toc438907205"/>
            <w:bookmarkStart w:id="54" w:name="_Toc156373285"/>
            <w:bookmarkStart w:id="55" w:name="_Toc113293288"/>
            <w:r w:rsidRPr="004E4188">
              <w:t>2.</w:t>
            </w:r>
            <w:r w:rsidRPr="004E4188">
              <w:tab/>
              <w:t xml:space="preserve">Origine des </w:t>
            </w:r>
            <w:r w:rsidRPr="004E4188">
              <w:rPr>
                <w:lang w:val="en-GB"/>
              </w:rPr>
              <w:t>fonds</w:t>
            </w:r>
            <w:bookmarkEnd w:id="49"/>
            <w:bookmarkEnd w:id="50"/>
            <w:bookmarkEnd w:id="51"/>
            <w:bookmarkEnd w:id="52"/>
            <w:bookmarkEnd w:id="53"/>
            <w:bookmarkEnd w:id="54"/>
            <w:bookmarkEnd w:id="55"/>
          </w:p>
        </w:tc>
        <w:tc>
          <w:tcPr>
            <w:tcW w:w="7015" w:type="dxa"/>
            <w:tcBorders>
              <w:top w:val="nil"/>
              <w:left w:val="nil"/>
              <w:bottom w:val="nil"/>
              <w:right w:val="nil"/>
            </w:tcBorders>
          </w:tcPr>
          <w:p w14:paraId="3E33FD37" w14:textId="3E61E1C0" w:rsidR="006F129D" w:rsidRPr="004E4188" w:rsidRDefault="006F129D" w:rsidP="00033512">
            <w:pPr>
              <w:pStyle w:val="Header2-SubClauses"/>
              <w:tabs>
                <w:tab w:val="clear" w:pos="619"/>
                <w:tab w:val="left" w:pos="576"/>
              </w:tabs>
              <w:ind w:left="601" w:hanging="601"/>
              <w:rPr>
                <w:lang w:val="fr-FR"/>
              </w:rPr>
            </w:pPr>
            <w:r w:rsidRPr="004E4188">
              <w:rPr>
                <w:lang w:val="fr-FR"/>
              </w:rPr>
              <w:t>2.1</w:t>
            </w:r>
            <w:r w:rsidRPr="004E4188">
              <w:rPr>
                <w:lang w:val="fr-FR"/>
              </w:rPr>
              <w:tab/>
              <w:t xml:space="preserve">L’Emprunteur dont le nom </w:t>
            </w:r>
            <w:r w:rsidRPr="004E4188">
              <w:rPr>
                <w:b/>
                <w:lang w:val="fr-FR"/>
              </w:rPr>
              <w:t>figure dans les D</w:t>
            </w:r>
            <w:r w:rsidRPr="004E4188">
              <w:rPr>
                <w:b/>
                <w:lang w:val="fr-FR" w:eastAsia="ja-JP"/>
              </w:rPr>
              <w:t>P</w:t>
            </w:r>
            <w:r w:rsidRPr="004E4188">
              <w:rPr>
                <w:lang w:val="fr-FR"/>
              </w:rPr>
              <w:t xml:space="preserve"> a sollicité ou obtenu un Prêt APD du Japon de l’Agence Japonaise de Coopération </w:t>
            </w:r>
            <w:r w:rsidRPr="004E4188">
              <w:rPr>
                <w:lang w:val="fr-FR" w:eastAsia="ja-JP"/>
              </w:rPr>
              <w:t xml:space="preserve">Internationale </w:t>
            </w:r>
            <w:r w:rsidRPr="004E4188">
              <w:rPr>
                <w:lang w:val="fr-FR"/>
              </w:rPr>
              <w:t>(ci-après dénommée « </w:t>
            </w:r>
            <w:r w:rsidR="00704607" w:rsidRPr="004E4188">
              <w:rPr>
                <w:rFonts w:hint="eastAsia"/>
                <w:lang w:val="fr-FR" w:eastAsia="ja-JP"/>
              </w:rPr>
              <w:t>l</w:t>
            </w:r>
            <w:r w:rsidR="00704607" w:rsidRPr="004E4188">
              <w:rPr>
                <w:lang w:val="fr-FR" w:eastAsia="ja-JP"/>
              </w:rPr>
              <w:t xml:space="preserve">a </w:t>
            </w:r>
            <w:r w:rsidRPr="004E4188">
              <w:rPr>
                <w:lang w:val="fr-FR" w:eastAsia="ja-JP"/>
              </w:rPr>
              <w:t>JICA</w:t>
            </w:r>
            <w:r w:rsidRPr="004E4188">
              <w:rPr>
                <w:lang w:val="fr-FR"/>
              </w:rPr>
              <w:t xml:space="preserve"> ») portant le numéro, du montant et à la date de signature de l’Accord de Prêt </w:t>
            </w:r>
            <w:r w:rsidRPr="004E4188">
              <w:rPr>
                <w:b/>
                <w:lang w:val="fr-FR"/>
              </w:rPr>
              <w:t>indiqués dans les DP</w:t>
            </w:r>
            <w:r w:rsidRPr="004E4188">
              <w:rPr>
                <w:lang w:val="fr-FR"/>
              </w:rPr>
              <w:t>, afin de financer le projet. L’Emprunteur a l’intention d’utiliser une partie des fonds pour effectuer les paiements autorisés au titre du(des) </w:t>
            </w:r>
            <w:r w:rsidR="00033512" w:rsidRPr="004E4188">
              <w:rPr>
                <w:lang w:val="fr-FR"/>
              </w:rPr>
              <w:t>m</w:t>
            </w:r>
            <w:r w:rsidRPr="004E4188">
              <w:rPr>
                <w:lang w:val="fr-FR"/>
              </w:rPr>
              <w:t>arché(s) pour lequel(lesquels) le présent appel d’offres est lancé.</w:t>
            </w:r>
          </w:p>
        </w:tc>
      </w:tr>
      <w:tr w:rsidR="006F129D" w:rsidRPr="004E4188" w14:paraId="300A7838" w14:textId="77777777" w:rsidTr="00D45EAD">
        <w:tc>
          <w:tcPr>
            <w:tcW w:w="2273" w:type="dxa"/>
            <w:tcBorders>
              <w:top w:val="nil"/>
              <w:left w:val="nil"/>
              <w:bottom w:val="nil"/>
              <w:right w:val="nil"/>
            </w:tcBorders>
          </w:tcPr>
          <w:p w14:paraId="0F530488" w14:textId="77777777" w:rsidR="006F129D" w:rsidRPr="004E4188" w:rsidRDefault="006F129D">
            <w:bookmarkStart w:id="56" w:name="_Toc438532557"/>
            <w:bookmarkEnd w:id="56"/>
          </w:p>
        </w:tc>
        <w:tc>
          <w:tcPr>
            <w:tcW w:w="7015" w:type="dxa"/>
            <w:tcBorders>
              <w:top w:val="nil"/>
              <w:left w:val="nil"/>
              <w:bottom w:val="nil"/>
              <w:right w:val="nil"/>
            </w:tcBorders>
          </w:tcPr>
          <w:p w14:paraId="7EE19B29" w14:textId="77777777" w:rsidR="006F129D" w:rsidRPr="004E4188" w:rsidRDefault="006F129D" w:rsidP="00AA2264">
            <w:pPr>
              <w:tabs>
                <w:tab w:val="left" w:pos="576"/>
              </w:tabs>
              <w:spacing w:after="200"/>
              <w:ind w:left="601" w:hanging="601"/>
              <w:rPr>
                <w:rFonts w:eastAsia="Times New Roman"/>
              </w:rPr>
            </w:pPr>
            <w:r w:rsidRPr="004E4188">
              <w:t>2.2</w:t>
            </w:r>
            <w:r w:rsidRPr="004E4188">
              <w:tab/>
            </w:r>
            <w:r w:rsidRPr="004E4188">
              <w:rPr>
                <w:lang w:eastAsia="ja-JP"/>
              </w:rPr>
              <w:t>L</w:t>
            </w:r>
            <w:r w:rsidRPr="004E4188">
              <w:rPr>
                <w:rFonts w:eastAsia="Times New Roman"/>
              </w:rPr>
              <w:t xml:space="preserve">e décaissement d’un Prêt APD du Japon par la JICA sera soumis à tous égards aux termes et conditions de l’Accord de Prêt, y compris les </w:t>
            </w:r>
            <w:r w:rsidRPr="004E4188">
              <w:t>procédures</w:t>
            </w:r>
            <w:r w:rsidRPr="004E4188">
              <w:rPr>
                <w:rFonts w:eastAsia="Times New Roman"/>
              </w:rPr>
              <w:t xml:space="preserve"> de décaissement et les Directives applicables pour les passations de marchés sous financement par Prêts APD du Japon, </w:t>
            </w:r>
            <w:r w:rsidRPr="004E4188">
              <w:rPr>
                <w:rFonts w:eastAsia="Times New Roman"/>
                <w:b/>
              </w:rPr>
              <w:t>indiquées dans les DP</w:t>
            </w:r>
            <w:r w:rsidRPr="004E4188">
              <w:rPr>
                <w:rFonts w:eastAsia="Times New Roman"/>
              </w:rPr>
              <w:t>. Nul autre que l’Emprunteur ne doit se prévaloir de l’Accord de Prêt pour obtenir un droit quelconque ou ne doit émettre de revendication concernant les versements du Prêt.</w:t>
            </w:r>
          </w:p>
        </w:tc>
      </w:tr>
      <w:tr w:rsidR="006F129D" w:rsidRPr="004E4188" w14:paraId="5FA21705" w14:textId="77777777" w:rsidTr="00D45EAD">
        <w:tc>
          <w:tcPr>
            <w:tcW w:w="2273" w:type="dxa"/>
            <w:tcBorders>
              <w:top w:val="nil"/>
              <w:left w:val="nil"/>
              <w:bottom w:val="nil"/>
              <w:right w:val="nil"/>
            </w:tcBorders>
          </w:tcPr>
          <w:p w14:paraId="1CB2CDCB" w14:textId="77777777" w:rsidR="006F129D" w:rsidRPr="004E4188" w:rsidRDefault="006F129D"/>
        </w:tc>
        <w:tc>
          <w:tcPr>
            <w:tcW w:w="7015" w:type="dxa"/>
            <w:tcBorders>
              <w:top w:val="nil"/>
              <w:left w:val="nil"/>
              <w:bottom w:val="nil"/>
              <w:right w:val="nil"/>
            </w:tcBorders>
          </w:tcPr>
          <w:p w14:paraId="128DA93C" w14:textId="2D54701B" w:rsidR="006F129D" w:rsidRPr="004E4188" w:rsidRDefault="006F129D" w:rsidP="00AA2264">
            <w:pPr>
              <w:tabs>
                <w:tab w:val="left" w:pos="576"/>
              </w:tabs>
              <w:spacing w:after="200"/>
              <w:ind w:left="601" w:hanging="601"/>
            </w:pPr>
            <w:r w:rsidRPr="004E4188">
              <w:rPr>
                <w:lang w:eastAsia="ja-JP"/>
              </w:rPr>
              <w:t>2.3</w:t>
            </w:r>
            <w:r w:rsidRPr="004E4188">
              <w:rPr>
                <w:lang w:eastAsia="ja-JP"/>
              </w:rPr>
              <w:tab/>
            </w:r>
            <w:r w:rsidRPr="004E4188">
              <w:t xml:space="preserve">L’Accord de Prêt susmentionné ne couvrira qu’une partie du </w:t>
            </w:r>
            <w:r w:rsidRPr="004E4188">
              <w:rPr>
                <w:rFonts w:eastAsia="Times New Roman"/>
              </w:rPr>
              <w:t>coût</w:t>
            </w:r>
            <w:r w:rsidRPr="004E4188">
              <w:t xml:space="preserve"> du projet</w:t>
            </w:r>
            <w:r w:rsidRPr="004E4188">
              <w:rPr>
                <w:lang w:eastAsia="ja-JP"/>
              </w:rPr>
              <w:t xml:space="preserve">. </w:t>
            </w:r>
            <w:r w:rsidRPr="004E4188">
              <w:rPr>
                <w:rFonts w:eastAsia="Times New Roman"/>
              </w:rPr>
              <w:t xml:space="preserve">Quant à la partie restante, l’Emprunteur, l’agence d’exécution du projet et le Maître d’ouvrage prendront les mesures nécessaires pour assurer son financement par d’autres sources </w:t>
            </w:r>
            <w:r w:rsidRPr="004E4188">
              <w:rPr>
                <w:rFonts w:eastAsia="Times New Roman"/>
                <w:b/>
              </w:rPr>
              <w:t>indiquées dans les DP</w:t>
            </w:r>
            <w:r w:rsidRPr="004E4188">
              <w:rPr>
                <w:rFonts w:eastAsia="Times New Roman"/>
              </w:rPr>
              <w:t>.</w:t>
            </w:r>
          </w:p>
        </w:tc>
      </w:tr>
      <w:tr w:rsidR="006F129D" w:rsidRPr="004E4188" w14:paraId="7EB85C60" w14:textId="77777777" w:rsidTr="00D45EAD">
        <w:tc>
          <w:tcPr>
            <w:tcW w:w="2273" w:type="dxa"/>
            <w:tcBorders>
              <w:top w:val="nil"/>
              <w:left w:val="nil"/>
              <w:bottom w:val="nil"/>
              <w:right w:val="nil"/>
            </w:tcBorders>
          </w:tcPr>
          <w:p w14:paraId="685A0BCE" w14:textId="4D0909A2" w:rsidR="006F129D" w:rsidRPr="004E4188" w:rsidRDefault="006F129D" w:rsidP="008A28CD">
            <w:pPr>
              <w:pStyle w:val="S1-Header20"/>
            </w:pPr>
            <w:bookmarkStart w:id="57" w:name="_Toc438532558"/>
            <w:bookmarkStart w:id="58" w:name="_Toc438002631"/>
            <w:bookmarkEnd w:id="57"/>
            <w:r w:rsidRPr="004E4188">
              <w:rPr>
                <w:lang w:val="fr-FR"/>
              </w:rPr>
              <w:br w:type="page"/>
            </w:r>
            <w:r w:rsidRPr="004E4188">
              <w:rPr>
                <w:lang w:val="fr-FR"/>
              </w:rPr>
              <w:br w:type="page"/>
            </w:r>
            <w:bookmarkStart w:id="59" w:name="_Toc113293289"/>
            <w:bookmarkStart w:id="60" w:name="_Toc438438822"/>
            <w:bookmarkStart w:id="61" w:name="_Toc438532559"/>
            <w:bookmarkStart w:id="62" w:name="_Toc438733966"/>
            <w:bookmarkStart w:id="63" w:name="_Toc438907007"/>
            <w:bookmarkStart w:id="64" w:name="_Toc438907206"/>
            <w:bookmarkStart w:id="65" w:name="_Toc156373286"/>
            <w:r w:rsidRPr="004E4188">
              <w:t>3.</w:t>
            </w:r>
            <w:r w:rsidRPr="004E4188">
              <w:tab/>
            </w:r>
            <w:r w:rsidRPr="004E4188">
              <w:rPr>
                <w:lang w:val="en-GB"/>
              </w:rPr>
              <w:t>Pratiques</w:t>
            </w:r>
            <w:r w:rsidRPr="004E4188">
              <w:t xml:space="preserve"> corrompues ou frauduleuses</w:t>
            </w:r>
            <w:bookmarkEnd w:id="59"/>
            <w:r w:rsidRPr="004E4188">
              <w:t xml:space="preserve"> </w:t>
            </w:r>
            <w:bookmarkEnd w:id="58"/>
            <w:bookmarkEnd w:id="60"/>
            <w:bookmarkEnd w:id="61"/>
            <w:bookmarkEnd w:id="62"/>
            <w:bookmarkEnd w:id="63"/>
            <w:bookmarkEnd w:id="64"/>
            <w:bookmarkEnd w:id="65"/>
          </w:p>
        </w:tc>
        <w:tc>
          <w:tcPr>
            <w:tcW w:w="7015" w:type="dxa"/>
            <w:tcBorders>
              <w:top w:val="nil"/>
              <w:left w:val="nil"/>
              <w:bottom w:val="nil"/>
              <w:right w:val="nil"/>
            </w:tcBorders>
          </w:tcPr>
          <w:p w14:paraId="6183DABD" w14:textId="3E32896B" w:rsidR="006F129D" w:rsidRPr="004E4188" w:rsidRDefault="006F129D" w:rsidP="00C44E82">
            <w:pPr>
              <w:tabs>
                <w:tab w:val="left" w:pos="576"/>
              </w:tabs>
              <w:spacing w:after="200"/>
              <w:ind w:left="601" w:hanging="601"/>
              <w:outlineLvl w:val="3"/>
            </w:pPr>
            <w:bookmarkStart w:id="66" w:name="_Toc291593228"/>
            <w:bookmarkStart w:id="67" w:name="_Toc291593451"/>
            <w:r w:rsidRPr="004E4188">
              <w:t>3.1</w:t>
            </w:r>
            <w:r w:rsidRPr="004E4188">
              <w:rPr>
                <w:lang w:eastAsia="ja-JP"/>
              </w:rPr>
              <w:tab/>
            </w:r>
            <w:r w:rsidRPr="004E4188">
              <w:t xml:space="preserve">La JICA a pour politique d’exiger des Soumissionnaires, des Entrepreneurs, ainsi que des Emprunteurs, des agences d’exécution et des Maîtres d’ouvrage, dans le cadre des marchés financés par </w:t>
            </w:r>
            <w:r w:rsidRPr="004E4188">
              <w:rPr>
                <w:szCs w:val="24"/>
              </w:rPr>
              <w:t>Prêts APD du Japon</w:t>
            </w:r>
            <w:r w:rsidRPr="004E4188">
              <w:t xml:space="preserve"> ou toute autre APD japonaise, qu’ils observent les règles d’éthique les plus élevées, lors de la passation et de l’exécution de tels marchés. En application de cette politique</w:t>
            </w:r>
            <w:r w:rsidRPr="004E4188">
              <w:rPr>
                <w:color w:val="000000"/>
                <w:szCs w:val="24"/>
              </w:rPr>
              <w:t>, la JICA </w:t>
            </w:r>
            <w:r w:rsidRPr="004E4188">
              <w:rPr>
                <w:color w:val="000000"/>
                <w:szCs w:val="24"/>
                <w:lang w:eastAsia="ja-JP"/>
              </w:rPr>
              <w:t>:</w:t>
            </w:r>
            <w:bookmarkEnd w:id="66"/>
            <w:bookmarkEnd w:id="67"/>
          </w:p>
          <w:p w14:paraId="1A6B7CFF" w14:textId="77777777" w:rsidR="006F129D" w:rsidRPr="004E4188" w:rsidRDefault="006F129D" w:rsidP="00F26DC2">
            <w:pPr>
              <w:tabs>
                <w:tab w:val="left" w:pos="1062"/>
              </w:tabs>
              <w:suppressAutoHyphens w:val="0"/>
              <w:spacing w:after="200"/>
              <w:ind w:left="1026" w:hanging="425"/>
            </w:pPr>
            <w:bookmarkStart w:id="68" w:name="_Toc291593229"/>
            <w:bookmarkStart w:id="69" w:name="_Toc291593452"/>
            <w:r w:rsidRPr="004E4188">
              <w:rPr>
                <w:color w:val="000000"/>
                <w:szCs w:val="24"/>
              </w:rPr>
              <w:t>(a)</w:t>
            </w:r>
            <w:r w:rsidRPr="004E4188">
              <w:rPr>
                <w:color w:val="000000"/>
                <w:szCs w:val="24"/>
                <w:lang w:eastAsia="ja-JP"/>
              </w:rPr>
              <w:tab/>
            </w:r>
            <w:r w:rsidRPr="004E4188">
              <w:rPr>
                <w:szCs w:val="24"/>
              </w:rPr>
              <w:t>rejettera une proposition d’adjudication si elle estime que le Soumi</w:t>
            </w:r>
            <w:r w:rsidRPr="004E4188">
              <w:t xml:space="preserve">ssionnaire recommandé pour l’adjudication s’est livré à des pratiques corrompues ou frauduleuses lors de la compétition pour le marché en question ; </w:t>
            </w:r>
            <w:bookmarkEnd w:id="68"/>
            <w:bookmarkEnd w:id="69"/>
          </w:p>
          <w:p w14:paraId="28A7118A" w14:textId="6EBBE490" w:rsidR="006F129D" w:rsidRPr="004E4188" w:rsidRDefault="006F129D" w:rsidP="00F26DC2">
            <w:pPr>
              <w:tabs>
                <w:tab w:val="left" w:pos="1062"/>
              </w:tabs>
              <w:suppressAutoHyphens w:val="0"/>
              <w:spacing w:after="200"/>
              <w:ind w:left="1026" w:hanging="425"/>
            </w:pPr>
            <w:bookmarkStart w:id="70" w:name="_Toc291593230"/>
            <w:bookmarkStart w:id="71" w:name="_Toc291593453"/>
            <w:r w:rsidRPr="004E4188">
              <w:t>(b)</w:t>
            </w:r>
            <w:r w:rsidRPr="004E4188">
              <w:tab/>
              <w:t>reconnaîtra l’inéligibilité d’un Entrepreneur, pour une période déterminée par la JICA, à l’adjudication d’un marché financé par Prêts APD du Japon, si à un moment ou à un autre, elle estime que le Soumissionnaire ou l’Entrepreneur s’est livré à des pratiques corrompues ou frauduleuses lors de la compétition ou de l’exécution d’un autre marché financé par Prêts APD du Japon ou toute autre APD japonaise.</w:t>
            </w:r>
            <w:bookmarkEnd w:id="70"/>
            <w:bookmarkEnd w:id="71"/>
            <w:r w:rsidRPr="004E4188">
              <w:rPr>
                <w:rFonts w:hint="eastAsia"/>
                <w:lang w:eastAsia="ja-JP"/>
              </w:rPr>
              <w:t xml:space="preserve"> </w:t>
            </w:r>
            <w:r w:rsidRPr="004E4188">
              <w:rPr>
                <w:lang w:eastAsia="ja-JP"/>
              </w:rPr>
              <w:t>La liste des personnes physiques et morales inéligibles est disponible à l’adresse électronique</w:t>
            </w:r>
            <w:r w:rsidRPr="004E4188">
              <w:rPr>
                <w:b/>
                <w:lang w:eastAsia="ja-JP"/>
              </w:rPr>
              <w:t xml:space="preserve"> indiquée dans les DP</w:t>
            </w:r>
            <w:r w:rsidRPr="004E4188">
              <w:rPr>
                <w:lang w:eastAsia="ja-JP"/>
              </w:rPr>
              <w:t xml:space="preserve"> ;</w:t>
            </w:r>
          </w:p>
          <w:p w14:paraId="2C5898E0" w14:textId="47679AFC" w:rsidR="006F129D" w:rsidRPr="004E4188" w:rsidRDefault="006F129D" w:rsidP="00F26DC2">
            <w:pPr>
              <w:tabs>
                <w:tab w:val="left" w:pos="1062"/>
              </w:tabs>
              <w:suppressAutoHyphens w:val="0"/>
              <w:spacing w:after="200"/>
              <w:ind w:left="1026" w:hanging="425"/>
            </w:pPr>
            <w:r w:rsidRPr="004E4188">
              <w:t>(c)</w:t>
            </w:r>
            <w:r w:rsidRPr="004E4188">
              <w:tab/>
              <w:t xml:space="preserve">reconnaîtra l’inéligibilité d’un Entrepreneur à l’adjudication d’un marché financé par Prêts APD du Japon, si l’Entrepreneur ou un </w:t>
            </w:r>
            <w:r w:rsidRPr="004E4188">
              <w:rPr>
                <w:szCs w:val="24"/>
              </w:rPr>
              <w:t>sous</w:t>
            </w:r>
            <w:r w:rsidRPr="004E4188">
              <w:t>-traitant employé directement par l’Entrepreneur ont été radiés par une décision d’exclusion croisée des Banques multilatérales de développement. Cette période d’inéligibilité ne doit pas dépasser trois (3) ans à compter de (et incluant) la date de la mise en application de l’exclusion croisée.</w:t>
            </w:r>
            <w:r w:rsidR="00193A03">
              <w:t xml:space="preserve"> </w:t>
            </w:r>
            <w:r w:rsidR="00193A03" w:rsidRPr="00193A03">
              <w:t>Nonobstant ce qui précède, en tenant compte de facteurs pertinents tels que l’état d’avancement du projet financé par Prêts APD du Japon, l’Emprunteur peut demander une non-objection de la JICA pour reconnaître, et sur l’obtention de la non-objection préalable de la JICA, peut reconnaître, l’éligibilité de tout entrepreneur ou sous-traitant ainsi radié, dans le cas où, de l’avis de l’Emprunteur, l’inéligibilité de l’entrepreneur ou sous-traitant lui porterait un préjudice indéniable et substantiel.</w:t>
            </w:r>
          </w:p>
          <w:p w14:paraId="5DED96A0" w14:textId="7DA4F28C" w:rsidR="006F129D" w:rsidRPr="004E4188" w:rsidRDefault="006F129D" w:rsidP="00C44E82">
            <w:pPr>
              <w:pStyle w:val="af7"/>
              <w:tabs>
                <w:tab w:val="left" w:pos="657"/>
              </w:tabs>
              <w:spacing w:after="200"/>
              <w:ind w:left="1026"/>
              <w:rPr>
                <w:lang w:val="fr-FR"/>
              </w:rPr>
            </w:pPr>
            <w:r w:rsidRPr="004E4188">
              <w:rPr>
                <w:lang w:val="fr-FR"/>
              </w:rPr>
              <w:t xml:space="preserve">« Une décision d’exclusion croisée par les Banques multilatérales de développement » est une sanction commune prise conformément à l’accord entre le Groupe de la Banque africaine de développement, la Banque asiatique de développement, la Banque européenne pour la reconstruction et le développement, le Groupe de la Banque interaméricaine de développement et le Groupe de la Banque mondiale, signé le 9 avril 2010 (tel qu’amendé, le cas échéant). La JICA reconnaîtra les </w:t>
            </w:r>
            <w:r w:rsidR="008442B7" w:rsidRPr="008442B7">
              <w:rPr>
                <w:lang w:val="fr-FR"/>
              </w:rPr>
              <w:t>radiations</w:t>
            </w:r>
            <w:r w:rsidRPr="004E4188">
              <w:rPr>
                <w:lang w:val="fr-FR"/>
              </w:rPr>
              <w:t xml:space="preserve"> du Groupe de la Banque mondiale d’une durée supérieure à un an, imposées après le 19 juillet 2010, date à laquelle le Groupe de la Banque mondiale a commencé à imposer des sanctions d’exclusions croisées en tant que « décisions d’exclusion croisée par les </w:t>
            </w:r>
            <w:r w:rsidR="00F37FF4">
              <w:rPr>
                <w:lang w:val="fr-FR"/>
              </w:rPr>
              <w:t>B</w:t>
            </w:r>
            <w:r w:rsidRPr="004E4188">
              <w:rPr>
                <w:lang w:val="fr-FR"/>
              </w:rPr>
              <w:t xml:space="preserve">anques multilatérales de développement ». La liste des personnes physiques et morales radiées est disponible à l’adresse électronique </w:t>
            </w:r>
            <w:r w:rsidRPr="004E4188">
              <w:rPr>
                <w:b/>
                <w:lang w:val="fr-FR"/>
              </w:rPr>
              <w:t>indiquée dans les</w:t>
            </w:r>
            <w:r w:rsidRPr="004E4188">
              <w:rPr>
                <w:lang w:val="fr-FR"/>
              </w:rPr>
              <w:t xml:space="preserve"> </w:t>
            </w:r>
            <w:r w:rsidRPr="004E4188">
              <w:rPr>
                <w:b/>
                <w:lang w:val="fr-FR"/>
              </w:rPr>
              <w:t>DP</w:t>
            </w:r>
            <w:r w:rsidRPr="004E4188">
              <w:rPr>
                <w:lang w:val="fr-FR"/>
              </w:rPr>
              <w:t>.</w:t>
            </w:r>
          </w:p>
        </w:tc>
      </w:tr>
      <w:tr w:rsidR="006F129D" w:rsidRPr="004E4188" w14:paraId="27C50B89" w14:textId="77777777" w:rsidTr="00D45EAD">
        <w:tc>
          <w:tcPr>
            <w:tcW w:w="2273" w:type="dxa"/>
            <w:tcBorders>
              <w:top w:val="nil"/>
              <w:left w:val="nil"/>
              <w:bottom w:val="nil"/>
              <w:right w:val="nil"/>
            </w:tcBorders>
          </w:tcPr>
          <w:p w14:paraId="01BCD06E" w14:textId="77777777" w:rsidR="006F129D" w:rsidRPr="004E4188" w:rsidRDefault="006F129D" w:rsidP="00E05669">
            <w:pPr>
              <w:pStyle w:val="Header1-Clauses"/>
              <w:rPr>
                <w:b w:val="0"/>
                <w:lang w:val="fr-FR"/>
              </w:rPr>
            </w:pPr>
          </w:p>
        </w:tc>
        <w:tc>
          <w:tcPr>
            <w:tcW w:w="7015" w:type="dxa"/>
            <w:tcBorders>
              <w:top w:val="nil"/>
              <w:left w:val="nil"/>
              <w:bottom w:val="nil"/>
              <w:right w:val="nil"/>
            </w:tcBorders>
          </w:tcPr>
          <w:p w14:paraId="4394C1AF" w14:textId="33918190" w:rsidR="006F129D" w:rsidRPr="004E4188" w:rsidRDefault="006F129D" w:rsidP="00C44E82">
            <w:pPr>
              <w:spacing w:after="200"/>
              <w:ind w:left="1026"/>
            </w:pPr>
            <w:r w:rsidRPr="004E4188">
              <w:t xml:space="preserve">La JICA reconnaîtra un Soumissionnaire ou un Entrepreneur inéligible à l’adjudication d’un marché financé par Prêts APD du Japon, si le Soumissionnaire ou l’Entrepreneur ont été </w:t>
            </w:r>
            <w:r w:rsidR="00663709" w:rsidRPr="00663709">
              <w:t>radiés</w:t>
            </w:r>
            <w:r w:rsidRPr="004E4188">
              <w:t xml:space="preserve"> par le Groupe de la Banque mondiale, pour une période commençant à la date de l’Avis d’appel d’offres, si aucune procédure de préqualification n’a été conduite, ou à la date de l’Avis de préqualification, dans le cas où une préqualification a eu lieu, et effective jusqu’à la signature du marché, à moins que (i) </w:t>
            </w:r>
            <w:r w:rsidR="00DD3709" w:rsidRPr="00DD3709">
              <w:t>la</w:t>
            </w:r>
            <w:r w:rsidRPr="004E4188">
              <w:t xml:space="preserve"> période d’exclusion ne dépasse pas un an, que (ii) trois (3) ans se soient écoulés depuis la décision d’exclusion</w:t>
            </w:r>
            <w:r w:rsidR="00077FFA" w:rsidRPr="00077FFA">
              <w:t>, ou que (iii) la JICA donne son non-objection sur l’éligibilité en cas de préjudice porté d’une manière claire et substantielle à l’Emprunteur</w:t>
            </w:r>
            <w:r w:rsidRPr="004E4188">
              <w:t>.</w:t>
            </w:r>
          </w:p>
          <w:p w14:paraId="3CD7397C" w14:textId="77777777" w:rsidR="006F129D" w:rsidRPr="004E4188" w:rsidRDefault="006F129D" w:rsidP="00C44E82">
            <w:pPr>
              <w:tabs>
                <w:tab w:val="left" w:pos="576"/>
              </w:tabs>
              <w:spacing w:after="200"/>
              <w:ind w:left="1026"/>
              <w:outlineLvl w:val="3"/>
            </w:pPr>
            <w:r w:rsidRPr="004E4188">
              <w:t>S’il s’avère que l’Entrepreneur est inéligible à l’adjudication d’un marché conformément</w:t>
            </w:r>
            <w:r w:rsidRPr="004E4188">
              <w:rPr>
                <w:lang w:eastAsia="ja-JP"/>
              </w:rPr>
              <w:t xml:space="preserve"> aux dispositions</w:t>
            </w:r>
            <w:r w:rsidRPr="004E4188">
              <w:t xml:space="preserve"> ci-dessus, la JICA imposera, en principe, des sanctions contre l’Entrepreneur.</w:t>
            </w:r>
          </w:p>
        </w:tc>
      </w:tr>
      <w:tr w:rsidR="006F129D" w:rsidRPr="004E4188" w14:paraId="29477523" w14:textId="77777777" w:rsidTr="00D45EAD">
        <w:tc>
          <w:tcPr>
            <w:tcW w:w="2273" w:type="dxa"/>
            <w:tcBorders>
              <w:top w:val="nil"/>
              <w:left w:val="nil"/>
              <w:bottom w:val="nil"/>
              <w:right w:val="nil"/>
            </w:tcBorders>
          </w:tcPr>
          <w:p w14:paraId="4D58572B" w14:textId="77777777" w:rsidR="006F129D" w:rsidRPr="004E4188" w:rsidRDefault="006F129D" w:rsidP="00E05669">
            <w:pPr>
              <w:pStyle w:val="Header1-Clauses"/>
              <w:rPr>
                <w:b w:val="0"/>
                <w:lang w:val="fr-FR"/>
              </w:rPr>
            </w:pPr>
          </w:p>
        </w:tc>
        <w:tc>
          <w:tcPr>
            <w:tcW w:w="7015" w:type="dxa"/>
            <w:tcBorders>
              <w:top w:val="nil"/>
              <w:left w:val="nil"/>
              <w:bottom w:val="nil"/>
              <w:right w:val="nil"/>
            </w:tcBorders>
          </w:tcPr>
          <w:p w14:paraId="5114E2A3" w14:textId="3BC88450" w:rsidR="006F129D" w:rsidRPr="004E4188" w:rsidRDefault="006F129D" w:rsidP="001D5886">
            <w:pPr>
              <w:tabs>
                <w:tab w:val="left" w:pos="576"/>
              </w:tabs>
              <w:spacing w:after="200"/>
              <w:ind w:left="1026"/>
              <w:outlineLvl w:val="3"/>
            </w:pPr>
            <w:r w:rsidRPr="004E4188">
              <w:t xml:space="preserve">S’il s’avère qu’un sous-traitant, ayant un marché direct avec l’Entrepreneur, a été </w:t>
            </w:r>
            <w:r w:rsidR="00871814" w:rsidRPr="00871814">
              <w:t>radié</w:t>
            </w:r>
            <w:r w:rsidRPr="004E4188">
              <w:t xml:space="preserve"> par le Groupe de la Banque mondiale à la date du marché de sous-traitance, la JICA requerra, en principe, de l’Emprunteur qu’il demande à l’Entrepreneur d’annuler immédiatement le marché de sous-traitance, à moins que (i) la période d’exclusion ne dépasse pas un an, que (ii) trois (3) ans se soient écoulés depuis la décision d’exclusion</w:t>
            </w:r>
            <w:r w:rsidR="002F22B9" w:rsidRPr="002F22B9">
              <w:t>, ou que (iii) la JICA donne son non-objection sur l’éligibilité en cas de préjudice porté d’une manière claire et substantielle à l’Emprunteur</w:t>
            </w:r>
            <w:r w:rsidRPr="004E4188">
              <w:t xml:space="preserve">. Si l’Entrepreneur s’oppose à cette demande, la JICA requerra de l’Emprunteur de déclarer invalide ou d’annuler le marché et demandera le remboursement des paiements effectués au titre du </w:t>
            </w:r>
            <w:r w:rsidR="001D5886" w:rsidRPr="004E4188">
              <w:t xml:space="preserve">Prêt </w:t>
            </w:r>
            <w:r w:rsidRPr="004E4188">
              <w:t>ou appliquera toute autre mesure sur motif de violation de marché.</w:t>
            </w:r>
          </w:p>
        </w:tc>
      </w:tr>
      <w:tr w:rsidR="006F129D" w:rsidRPr="004E4188" w14:paraId="02D30738" w14:textId="77777777" w:rsidTr="00D45EAD">
        <w:tc>
          <w:tcPr>
            <w:tcW w:w="2273" w:type="dxa"/>
            <w:tcBorders>
              <w:top w:val="nil"/>
              <w:left w:val="nil"/>
              <w:bottom w:val="nil"/>
              <w:right w:val="nil"/>
            </w:tcBorders>
          </w:tcPr>
          <w:p w14:paraId="35658519" w14:textId="77777777" w:rsidR="006F129D" w:rsidRPr="004E4188" w:rsidRDefault="006F129D"/>
        </w:tc>
        <w:tc>
          <w:tcPr>
            <w:tcW w:w="7015" w:type="dxa"/>
            <w:tcBorders>
              <w:top w:val="nil"/>
              <w:left w:val="nil"/>
              <w:bottom w:val="nil"/>
              <w:right w:val="nil"/>
            </w:tcBorders>
          </w:tcPr>
          <w:p w14:paraId="12AFF191" w14:textId="77777777" w:rsidR="006F129D" w:rsidRPr="004E4188" w:rsidRDefault="006F129D" w:rsidP="00C44E82">
            <w:pPr>
              <w:pStyle w:val="af7"/>
              <w:tabs>
                <w:tab w:val="left" w:pos="576"/>
              </w:tabs>
              <w:spacing w:after="200"/>
              <w:ind w:left="601" w:hanging="601"/>
              <w:rPr>
                <w:lang w:val="fr-FR"/>
              </w:rPr>
            </w:pPr>
            <w:r w:rsidRPr="004E4188">
              <w:rPr>
                <w:lang w:val="fr-FR"/>
              </w:rPr>
              <w:t>3.2</w:t>
            </w:r>
            <w:r w:rsidRPr="004E4188">
              <w:rPr>
                <w:lang w:val="fr-FR"/>
              </w:rPr>
              <w:tab/>
              <w:t>Si le Maître d’ouvrage établit, preuve suffisante à l’appui, qu’un Soumissionnaire s’est livré à des pratiques corrompues ou frauduleuses, le Maître d’ouvrage peut disqualifier ledit Soumissionnaire après avoir notifié les motifs du rejet de son offre.</w:t>
            </w:r>
          </w:p>
        </w:tc>
      </w:tr>
      <w:tr w:rsidR="006F129D" w:rsidRPr="004E4188" w14:paraId="20A62316" w14:textId="77777777" w:rsidTr="00D45EAD">
        <w:tc>
          <w:tcPr>
            <w:tcW w:w="2273" w:type="dxa"/>
            <w:tcBorders>
              <w:top w:val="nil"/>
              <w:left w:val="nil"/>
              <w:bottom w:val="nil"/>
              <w:right w:val="nil"/>
            </w:tcBorders>
          </w:tcPr>
          <w:p w14:paraId="74C8A404" w14:textId="77777777" w:rsidR="006F129D" w:rsidRPr="004E4188" w:rsidRDefault="006F129D"/>
        </w:tc>
        <w:tc>
          <w:tcPr>
            <w:tcW w:w="7015" w:type="dxa"/>
            <w:tcBorders>
              <w:top w:val="nil"/>
              <w:left w:val="nil"/>
              <w:bottom w:val="nil"/>
              <w:right w:val="nil"/>
            </w:tcBorders>
          </w:tcPr>
          <w:p w14:paraId="504921E5" w14:textId="41AC464D" w:rsidR="006F129D" w:rsidRPr="004E4188" w:rsidRDefault="006F129D" w:rsidP="00D45EAD">
            <w:pPr>
              <w:pStyle w:val="af7"/>
              <w:tabs>
                <w:tab w:val="left" w:pos="576"/>
              </w:tabs>
              <w:spacing w:after="200"/>
              <w:ind w:left="601" w:hanging="601"/>
              <w:rPr>
                <w:i/>
                <w:spacing w:val="-4"/>
                <w:lang w:val="fr-FR"/>
              </w:rPr>
            </w:pPr>
            <w:r w:rsidRPr="004E4188">
              <w:rPr>
                <w:lang w:val="fr-FR"/>
              </w:rPr>
              <w:t>3.3</w:t>
            </w:r>
            <w:r w:rsidRPr="004E4188">
              <w:rPr>
                <w:lang w:val="fr-FR"/>
              </w:rPr>
              <w:tab/>
              <w:t>De plus, les Soumissionnaires doivent avoir connaissance des dispositions énoncées à l’Article 6 des Conditions du Marché.</w:t>
            </w:r>
          </w:p>
        </w:tc>
      </w:tr>
      <w:tr w:rsidR="006F129D" w:rsidRPr="004E4188" w14:paraId="4D61E6D5" w14:textId="77777777" w:rsidTr="00846529">
        <w:trPr>
          <w:trHeight w:val="993"/>
        </w:trPr>
        <w:tc>
          <w:tcPr>
            <w:tcW w:w="2273" w:type="dxa"/>
            <w:tcBorders>
              <w:top w:val="nil"/>
              <w:left w:val="nil"/>
              <w:bottom w:val="nil"/>
              <w:right w:val="nil"/>
            </w:tcBorders>
          </w:tcPr>
          <w:p w14:paraId="209CD51E" w14:textId="7ACC3AD5" w:rsidR="006F129D" w:rsidRPr="004E4188" w:rsidRDefault="006F129D" w:rsidP="008A28CD">
            <w:pPr>
              <w:pStyle w:val="S1-Header20"/>
              <w:rPr>
                <w:lang w:val="fr-FR"/>
              </w:rPr>
            </w:pPr>
            <w:bookmarkStart w:id="72" w:name="_Toc156373287"/>
            <w:bookmarkStart w:id="73" w:name="_Toc113293290"/>
            <w:r w:rsidRPr="004E4188">
              <w:rPr>
                <w:lang w:val="fr-FR"/>
              </w:rPr>
              <w:t>4.</w:t>
            </w:r>
            <w:r w:rsidRPr="004E4188">
              <w:rPr>
                <w:lang w:val="fr-FR"/>
              </w:rPr>
              <w:tab/>
            </w:r>
            <w:r w:rsidRPr="004E4188">
              <w:rPr>
                <w:rFonts w:hint="eastAsia"/>
              </w:rPr>
              <w:t>Soum</w:t>
            </w:r>
            <w:r w:rsidRPr="004E4188">
              <w:t>ission</w:t>
            </w:r>
            <w:r w:rsidRPr="004E4188">
              <w:softHyphen/>
              <w:t>naires</w:t>
            </w:r>
            <w:r w:rsidRPr="004E4188">
              <w:rPr>
                <w:lang w:val="fr-FR" w:eastAsia="ja-JP"/>
              </w:rPr>
              <w:t xml:space="preserve"> éligibles</w:t>
            </w:r>
            <w:bookmarkEnd w:id="72"/>
            <w:bookmarkEnd w:id="73"/>
          </w:p>
        </w:tc>
        <w:tc>
          <w:tcPr>
            <w:tcW w:w="7015" w:type="dxa"/>
            <w:tcBorders>
              <w:top w:val="nil"/>
              <w:left w:val="nil"/>
              <w:bottom w:val="nil"/>
              <w:right w:val="nil"/>
            </w:tcBorders>
          </w:tcPr>
          <w:p w14:paraId="3BA8965F" w14:textId="11EC203A" w:rsidR="006F129D" w:rsidRPr="004E4188" w:rsidRDefault="006F129D" w:rsidP="00F05746">
            <w:pPr>
              <w:pStyle w:val="af7"/>
              <w:tabs>
                <w:tab w:val="left" w:pos="576"/>
              </w:tabs>
              <w:spacing w:after="200"/>
              <w:ind w:left="601" w:hanging="601"/>
              <w:rPr>
                <w:lang w:val="fr-FR"/>
              </w:rPr>
            </w:pPr>
            <w:r w:rsidRPr="004E4188">
              <w:rPr>
                <w:lang w:val="fr-FR"/>
              </w:rPr>
              <w:t>4.1</w:t>
            </w:r>
            <w:r w:rsidRPr="004E4188">
              <w:rPr>
                <w:lang w:val="fr-FR"/>
              </w:rPr>
              <w:tab/>
              <w:t>Le Soumissionnaire peut être une entreprise unique ou un Groupement. En cas de Groupement :</w:t>
            </w:r>
          </w:p>
          <w:p w14:paraId="4D9D9660" w14:textId="00D618FF" w:rsidR="006F129D" w:rsidRPr="004E4188" w:rsidRDefault="006F129D" w:rsidP="00DD1154">
            <w:pPr>
              <w:spacing w:after="200"/>
              <w:ind w:left="1026" w:hanging="425"/>
            </w:pPr>
            <w:bookmarkStart w:id="74" w:name="_Toc291593456"/>
            <w:r w:rsidRPr="004E4188">
              <w:t>(a)</w:t>
            </w:r>
            <w:r w:rsidRPr="004E4188">
              <w:rPr>
                <w:lang w:eastAsia="ja-JP"/>
              </w:rPr>
              <w:tab/>
              <w:t>T</w:t>
            </w:r>
            <w:r w:rsidRPr="004E4188">
              <w:t>ous les membres doivent être solidairement responsables pour l’exécution du Marché, conformément aux termes du Marché.</w:t>
            </w:r>
          </w:p>
          <w:p w14:paraId="319EAEE0" w14:textId="3089A230" w:rsidR="006F129D" w:rsidRPr="004E4188" w:rsidRDefault="006F129D" w:rsidP="00D45EAD">
            <w:pPr>
              <w:spacing w:after="200"/>
              <w:ind w:left="1026" w:hanging="425"/>
            </w:pPr>
            <w:r w:rsidRPr="004E4188">
              <w:t>(b)</w:t>
            </w:r>
            <w:r w:rsidRPr="004E4188">
              <w:rPr>
                <w:lang w:eastAsia="ja-JP"/>
              </w:rPr>
              <w:tab/>
              <w:t>L</w:t>
            </w:r>
            <w:r w:rsidRPr="004E4188">
              <w:t xml:space="preserve">e Groupement </w:t>
            </w:r>
            <w:bookmarkEnd w:id="74"/>
            <w:r w:rsidRPr="004E4188">
              <w:t>désignera un mandataire qui aura le pouvoir de conduire toutes les affaires pour et au nom de chacun et de tous les membres du Groupement lors de la procédure de l’appel d’offres et durant l’exécution du Marché, dans le cas où le Marché serait attribué au Groupement.</w:t>
            </w:r>
          </w:p>
          <w:p w14:paraId="2FA7A496" w14:textId="196C69A5" w:rsidR="006F129D" w:rsidRPr="004E4188" w:rsidRDefault="006F129D" w:rsidP="00D45EAD">
            <w:pPr>
              <w:spacing w:after="200"/>
              <w:ind w:left="1026" w:hanging="425"/>
            </w:pPr>
            <w:r w:rsidRPr="004E4188">
              <w:t>(c)</w:t>
            </w:r>
            <w:r w:rsidRPr="004E4188">
              <w:rPr>
                <w:lang w:eastAsia="ja-JP"/>
              </w:rPr>
              <w:tab/>
              <w:t xml:space="preserve">Une offre soumise par un Groupement doit inclure une copie de l’accord de Groupement conclu entre les membres du Groupement. Si l’accord n’est pas encore conclu, une lettre d’intention formelle de constituer un Groupement, si l’offre est retenue, doit être signée par tous les membres et remise avec l’offre, ainsi qu’une copie du projet d’accord. L’accord de Groupement ou le projet d’accord de Groupement, selon le cas, devra indiquer au moins la(les) partie(s) des </w:t>
            </w:r>
            <w:r w:rsidRPr="004E4188">
              <w:rPr>
                <w:szCs w:val="24"/>
              </w:rPr>
              <w:t>É</w:t>
            </w:r>
            <w:r w:rsidRPr="004E4188">
              <w:rPr>
                <w:lang w:eastAsia="ja-JP"/>
              </w:rPr>
              <w:t>quipements et Services de montage exécutée(s) par chaque membre.</w:t>
            </w:r>
            <w:r w:rsidRPr="004E4188">
              <w:t xml:space="preserve"> </w:t>
            </w:r>
          </w:p>
        </w:tc>
      </w:tr>
      <w:tr w:rsidR="006F129D" w:rsidRPr="004E4188" w14:paraId="53F0F4EA" w14:textId="77777777" w:rsidTr="00D45EAD">
        <w:trPr>
          <w:trHeight w:val="1702"/>
        </w:trPr>
        <w:tc>
          <w:tcPr>
            <w:tcW w:w="2273" w:type="dxa"/>
            <w:tcBorders>
              <w:top w:val="nil"/>
              <w:left w:val="nil"/>
              <w:bottom w:val="nil"/>
              <w:right w:val="nil"/>
            </w:tcBorders>
          </w:tcPr>
          <w:p w14:paraId="3FE15923" w14:textId="77777777" w:rsidR="006F129D" w:rsidRPr="004E4188" w:rsidRDefault="006F129D" w:rsidP="00F62709">
            <w:pPr>
              <w:pStyle w:val="Header1-Clauses"/>
              <w:ind w:rightChars="-32" w:right="-77"/>
              <w:rPr>
                <w:lang w:val="fr-FR"/>
              </w:rPr>
            </w:pPr>
          </w:p>
        </w:tc>
        <w:tc>
          <w:tcPr>
            <w:tcW w:w="7015" w:type="dxa"/>
            <w:tcBorders>
              <w:top w:val="nil"/>
              <w:left w:val="nil"/>
              <w:bottom w:val="nil"/>
              <w:right w:val="nil"/>
            </w:tcBorders>
          </w:tcPr>
          <w:p w14:paraId="432572CD" w14:textId="50E4A8F6" w:rsidR="006F129D" w:rsidRPr="004E4188" w:rsidRDefault="006F129D" w:rsidP="00C44E82">
            <w:pPr>
              <w:pStyle w:val="af7"/>
              <w:tabs>
                <w:tab w:val="left" w:pos="576"/>
              </w:tabs>
              <w:spacing w:after="200"/>
              <w:ind w:left="601" w:hanging="601"/>
              <w:rPr>
                <w:rStyle w:val="27"/>
              </w:rPr>
            </w:pPr>
            <w:r w:rsidRPr="004E4188">
              <w:rPr>
                <w:rStyle w:val="27"/>
                <w:lang w:eastAsia="ja-JP"/>
              </w:rPr>
              <w:t>4.2</w:t>
            </w:r>
            <w:r w:rsidRPr="004E4188">
              <w:rPr>
                <w:rStyle w:val="27"/>
                <w:lang w:eastAsia="ja-JP"/>
              </w:rPr>
              <w:tab/>
              <w:t xml:space="preserve">Le </w:t>
            </w:r>
            <w:r w:rsidRPr="004E4188">
              <w:rPr>
                <w:rStyle w:val="27"/>
              </w:rPr>
              <w:t xml:space="preserve">Soumissionnaire ne doit pas se trouver en situation de conflit d’intérêt. Le Soumissionnaire sera disqualifié dans l’une quelconque des circonstances </w:t>
            </w:r>
            <w:r w:rsidRPr="004E4188">
              <w:rPr>
                <w:lang w:val="fr-FR"/>
              </w:rPr>
              <w:t>indiquées</w:t>
            </w:r>
            <w:r w:rsidRPr="004E4188">
              <w:rPr>
                <w:rStyle w:val="27"/>
              </w:rPr>
              <w:t xml:space="preserve"> ci-dessous, où il </w:t>
            </w:r>
            <w:r w:rsidRPr="004E4188">
              <w:rPr>
                <w:lang w:val="fr-FR"/>
              </w:rPr>
              <w:t>est</w:t>
            </w:r>
            <w:r w:rsidRPr="004E4188">
              <w:rPr>
                <w:rStyle w:val="27"/>
              </w:rPr>
              <w:t xml:space="preserve"> considéré être en situation de conflit d’intérêt, durant tout le </w:t>
            </w:r>
            <w:r w:rsidRPr="004E4188">
              <w:rPr>
                <w:lang w:val="fr-FR"/>
              </w:rPr>
              <w:t>processus</w:t>
            </w:r>
            <w:r w:rsidRPr="004E4188">
              <w:rPr>
                <w:rStyle w:val="27"/>
              </w:rPr>
              <w:t xml:space="preserve"> de l’appel d’offres/de la sélection et/ou durant l’</w:t>
            </w:r>
            <w:r w:rsidRPr="004E4188">
              <w:rPr>
                <w:lang w:val="fr-FR"/>
              </w:rPr>
              <w:t>exécution</w:t>
            </w:r>
            <w:r w:rsidRPr="004E4188">
              <w:rPr>
                <w:rStyle w:val="27"/>
              </w:rPr>
              <w:t xml:space="preserve"> du Marché, à moins que le conflit n’ait été résolu de manière acceptable pour la JICA.</w:t>
            </w:r>
          </w:p>
          <w:p w14:paraId="0EB1E935" w14:textId="77777777" w:rsidR="006F129D" w:rsidRPr="004E4188" w:rsidRDefault="006F129D" w:rsidP="008F6517">
            <w:pPr>
              <w:spacing w:after="200"/>
              <w:ind w:left="1026" w:hanging="425"/>
            </w:pPr>
            <w:r w:rsidRPr="004E4188">
              <w:rPr>
                <w:lang w:eastAsia="ja-JP"/>
              </w:rPr>
              <w:t>(a)</w:t>
            </w:r>
            <w:r w:rsidRPr="004E4188">
              <w:rPr>
                <w:lang w:eastAsia="ja-JP"/>
              </w:rPr>
              <w:tab/>
            </w:r>
            <w:r w:rsidRPr="004E4188">
              <w:t>Une firme sera disqualifiée pour l’approvisionnement de biens ou la fourniture de services autres que ceux de consultant résultant de, ou directement liés aux services de consultant pour la préparation ou la mise en œuvre d’un projet qu’elle aurait fournis ou qui auraient été fournis par quelqu’affilié que ce soit contrôlant directement ou indirectement, est contrôlé par, ou est sous contrôle commun avec cette firme. Cette disposition ne s’applique pas aux diverses firmes (consultants, entrepreneurs ou fournisseurs) sous le seul prétexte que ces firmes remplissent ensemble les obligations de l’Entrepreneur dans le cadre d’un marché clé en main ou de conception et de construction.</w:t>
            </w:r>
          </w:p>
          <w:p w14:paraId="5A4C5BB6" w14:textId="084B8C86" w:rsidR="006F129D" w:rsidRPr="004E4188" w:rsidRDefault="006F129D" w:rsidP="008F6517">
            <w:pPr>
              <w:spacing w:after="200"/>
              <w:ind w:left="1026" w:hanging="425"/>
            </w:pPr>
            <w:r w:rsidRPr="004E4188">
              <w:t>(b)</w:t>
            </w:r>
            <w:r w:rsidRPr="004E4188">
              <w:tab/>
              <w:t xml:space="preserve">Une firme ayant une relation professionnelle étroite avec un membre du personnel professionnel de l’Emprunteur (ou de </w:t>
            </w:r>
            <w:r w:rsidRPr="004E4188">
              <w:rPr>
                <w:rFonts w:eastAsia="Times New Roman"/>
              </w:rPr>
              <w:t>l’agence d’exécution du projet ou du Maître d’ouvrage)</w:t>
            </w:r>
            <w:r w:rsidRPr="004E4188">
              <w:t xml:space="preserve"> directement ou indirectement impliqué dans quelque partie que ce soit de (i) la préparation du Dossier de préqualification (le cas échéant) et</w:t>
            </w:r>
            <w:r w:rsidRPr="004E4188">
              <w:rPr>
                <w:rFonts w:hint="eastAsia"/>
                <w:lang w:eastAsia="ja-JP"/>
              </w:rPr>
              <w:t>/</w:t>
            </w:r>
            <w:r w:rsidRPr="004E4188">
              <w:rPr>
                <w:lang w:eastAsia="ja-JP"/>
              </w:rPr>
              <w:t>ou du Dossier</w:t>
            </w:r>
            <w:r w:rsidRPr="004E4188">
              <w:t xml:space="preserve"> d’appel d’offres pour le Marché, (ii) l’évaluation de la préqualification (le cas échéant) et</w:t>
            </w:r>
            <w:r w:rsidRPr="004E4188">
              <w:rPr>
                <w:rFonts w:hint="eastAsia"/>
                <w:lang w:eastAsia="ja-JP"/>
              </w:rPr>
              <w:t>/</w:t>
            </w:r>
            <w:r w:rsidRPr="004E4188">
              <w:rPr>
                <w:lang w:eastAsia="ja-JP"/>
              </w:rPr>
              <w:t>ou</w:t>
            </w:r>
            <w:r w:rsidRPr="004E4188">
              <w:t xml:space="preserve"> l’évaluation des offres ou (iii) la supervision de ce même Marché, doit être disqualifiée.</w:t>
            </w:r>
          </w:p>
          <w:p w14:paraId="3E673D91" w14:textId="1A300255" w:rsidR="006F129D" w:rsidRPr="004E4188" w:rsidRDefault="006F129D" w:rsidP="008F6517">
            <w:pPr>
              <w:spacing w:after="200"/>
              <w:ind w:left="1026" w:hanging="425"/>
            </w:pPr>
            <w:r w:rsidRPr="004E4188">
              <w:t>(c)</w:t>
            </w:r>
            <w:r w:rsidRPr="004E4188">
              <w:rPr>
                <w:lang w:eastAsia="ja-JP"/>
              </w:rPr>
              <w:tab/>
            </w:r>
            <w:r w:rsidRPr="004E4188">
              <w:t xml:space="preserve">Sur la base du principe « Une offre par soumissionnaire » visant à assurer une compétition loyale, une firme et n’importe lequel de ses affiliés qui contrôle directement ou indirectement, est contrôlé par, ou est sous contrôle commun avec cette firme, ne doivent pas être autorisés à soumettre plus d’une offre, soit à titre individuel ou en tant que Groupement. </w:t>
            </w:r>
            <w:r w:rsidR="001D62E0" w:rsidRPr="00155C48">
              <w:t>Cependant, cela ne limite pas une firme (y compris son affilié) participant à une offre individuellement ou en tant que membre d’un Groupement à participer en même temps (y compris son affilié) aux autres offres en tant que sous-traitant, mais PAS en tant que sous-traitant spécialisé (se référer à lS 16.</w:t>
            </w:r>
            <w:r w:rsidR="001D62E0">
              <w:t>3</w:t>
            </w:r>
            <w:r w:rsidR="001D62E0" w:rsidRPr="00155C48">
              <w:t>). Une firme (y compris son affilié) agissant en tant que sous-traitant spécialisé ou en tant que sous-traitant dans une offre peut participer aux autres offres en tant que sous-traitant spécialisé ou en tant que sous-traitant.</w:t>
            </w:r>
          </w:p>
          <w:p w14:paraId="19B1C576" w14:textId="140A452B" w:rsidR="006F129D" w:rsidRPr="004E4188" w:rsidRDefault="006F129D" w:rsidP="00D45EAD">
            <w:pPr>
              <w:spacing w:after="200"/>
              <w:ind w:left="1026" w:hanging="425"/>
              <w:rPr>
                <w:lang w:eastAsia="ja-JP"/>
              </w:rPr>
            </w:pPr>
            <w:r w:rsidRPr="004E4188">
              <w:t>(d)</w:t>
            </w:r>
            <w:r w:rsidRPr="004E4188">
              <w:rPr>
                <w:lang w:eastAsia="ja-JP"/>
              </w:rPr>
              <w:tab/>
            </w:r>
            <w:r w:rsidRPr="004E4188">
              <w:t>Une firme se trouvant dans toute autre situation de conflit d’intérêt que celles citées aux alinéas (a) à (c) sera aussi disqualifiée.</w:t>
            </w:r>
          </w:p>
        </w:tc>
      </w:tr>
      <w:tr w:rsidR="006F129D" w:rsidRPr="004E4188" w14:paraId="2EC95094" w14:textId="77777777" w:rsidTr="00D45EAD">
        <w:trPr>
          <w:trHeight w:val="1059"/>
        </w:trPr>
        <w:tc>
          <w:tcPr>
            <w:tcW w:w="2273" w:type="dxa"/>
            <w:tcBorders>
              <w:top w:val="nil"/>
              <w:left w:val="nil"/>
              <w:bottom w:val="nil"/>
              <w:right w:val="nil"/>
            </w:tcBorders>
          </w:tcPr>
          <w:p w14:paraId="5DF0A5EC" w14:textId="77777777" w:rsidR="006F129D" w:rsidRPr="004E4188" w:rsidRDefault="006F129D" w:rsidP="00F62709">
            <w:pPr>
              <w:pStyle w:val="Header1-Clauses"/>
              <w:ind w:rightChars="-32" w:right="-77"/>
              <w:rPr>
                <w:lang w:val="fr-FR"/>
              </w:rPr>
            </w:pPr>
          </w:p>
        </w:tc>
        <w:tc>
          <w:tcPr>
            <w:tcW w:w="7015" w:type="dxa"/>
            <w:tcBorders>
              <w:top w:val="nil"/>
              <w:left w:val="nil"/>
              <w:bottom w:val="nil"/>
              <w:right w:val="nil"/>
            </w:tcBorders>
          </w:tcPr>
          <w:p w14:paraId="741A44AB" w14:textId="572A53E9" w:rsidR="006F129D" w:rsidRPr="004E4188" w:rsidRDefault="006F129D" w:rsidP="00C44E82">
            <w:pPr>
              <w:pStyle w:val="af7"/>
              <w:tabs>
                <w:tab w:val="left" w:pos="576"/>
              </w:tabs>
              <w:spacing w:after="200"/>
              <w:ind w:left="601" w:hanging="601"/>
              <w:rPr>
                <w:lang w:val="fr-FR"/>
              </w:rPr>
            </w:pPr>
            <w:r w:rsidRPr="004E4188">
              <w:rPr>
                <w:lang w:val="fr-FR"/>
              </w:rPr>
              <w:t>4.3</w:t>
            </w:r>
            <w:r w:rsidRPr="004E4188">
              <w:rPr>
                <w:lang w:val="fr-FR"/>
              </w:rPr>
              <w:tab/>
              <w:t>Le Soumissionnaire doit satisfaire aux exigences relatives à l’éligibilité des Soumissionnaires stipulées à la Section V, Pays d’origine éligibles des Prêts APD du Japon.</w:t>
            </w:r>
          </w:p>
        </w:tc>
      </w:tr>
      <w:tr w:rsidR="006F129D" w:rsidRPr="004E4188" w14:paraId="37C478F9" w14:textId="77777777" w:rsidTr="00D45EAD">
        <w:trPr>
          <w:trHeight w:val="835"/>
        </w:trPr>
        <w:tc>
          <w:tcPr>
            <w:tcW w:w="2273" w:type="dxa"/>
            <w:tcBorders>
              <w:top w:val="nil"/>
              <w:left w:val="nil"/>
              <w:bottom w:val="nil"/>
              <w:right w:val="nil"/>
            </w:tcBorders>
          </w:tcPr>
          <w:p w14:paraId="7C250C5D" w14:textId="77777777" w:rsidR="006F129D" w:rsidRPr="004E4188" w:rsidRDefault="006F129D" w:rsidP="00F62709">
            <w:pPr>
              <w:pStyle w:val="Header1-Clauses"/>
              <w:ind w:rightChars="-32" w:right="-77"/>
              <w:rPr>
                <w:lang w:val="fr-FR"/>
              </w:rPr>
            </w:pPr>
          </w:p>
        </w:tc>
        <w:tc>
          <w:tcPr>
            <w:tcW w:w="7015" w:type="dxa"/>
            <w:tcBorders>
              <w:top w:val="nil"/>
              <w:left w:val="nil"/>
              <w:bottom w:val="nil"/>
              <w:right w:val="nil"/>
            </w:tcBorders>
          </w:tcPr>
          <w:p w14:paraId="34583A61" w14:textId="3349B539" w:rsidR="006F129D" w:rsidRPr="004E4188" w:rsidRDefault="006F129D" w:rsidP="00D45EAD">
            <w:pPr>
              <w:pStyle w:val="af7"/>
              <w:tabs>
                <w:tab w:val="left" w:pos="576"/>
              </w:tabs>
              <w:spacing w:after="200"/>
              <w:ind w:left="601" w:hanging="601"/>
              <w:rPr>
                <w:lang w:val="fr-FR"/>
              </w:rPr>
            </w:pPr>
            <w:r w:rsidRPr="004E4188">
              <w:rPr>
                <w:lang w:val="fr-FR"/>
              </w:rPr>
              <w:t>4.4</w:t>
            </w:r>
            <w:r w:rsidRPr="004E4188">
              <w:rPr>
                <w:lang w:val="fr-FR"/>
              </w:rPr>
              <w:tab/>
              <w:t>Le Soumissionnaire déclaré inéligible par la JICA, conformément à IS 3.1, ne sera pas éligible à l’attribution d’un marché.</w:t>
            </w:r>
          </w:p>
        </w:tc>
      </w:tr>
      <w:tr w:rsidR="006F129D" w:rsidRPr="004E4188" w14:paraId="03776F8A" w14:textId="77777777" w:rsidTr="00D45EAD">
        <w:trPr>
          <w:trHeight w:val="836"/>
        </w:trPr>
        <w:tc>
          <w:tcPr>
            <w:tcW w:w="2273" w:type="dxa"/>
            <w:tcBorders>
              <w:top w:val="nil"/>
              <w:left w:val="nil"/>
              <w:bottom w:val="nil"/>
              <w:right w:val="nil"/>
            </w:tcBorders>
          </w:tcPr>
          <w:p w14:paraId="0761CB37" w14:textId="77777777" w:rsidR="006F129D" w:rsidRPr="004E4188" w:rsidRDefault="006F129D" w:rsidP="00F62709">
            <w:pPr>
              <w:pStyle w:val="Header1-Clauses"/>
              <w:ind w:rightChars="-32" w:right="-77"/>
              <w:rPr>
                <w:lang w:val="fr-FR"/>
              </w:rPr>
            </w:pPr>
          </w:p>
        </w:tc>
        <w:tc>
          <w:tcPr>
            <w:tcW w:w="7015" w:type="dxa"/>
            <w:tcBorders>
              <w:top w:val="nil"/>
              <w:left w:val="nil"/>
              <w:bottom w:val="nil"/>
              <w:right w:val="nil"/>
            </w:tcBorders>
          </w:tcPr>
          <w:p w14:paraId="4DBDBFE4" w14:textId="77777777" w:rsidR="006F129D" w:rsidRPr="004E4188" w:rsidRDefault="006F129D" w:rsidP="00F05746">
            <w:pPr>
              <w:pStyle w:val="af7"/>
              <w:tabs>
                <w:tab w:val="left" w:pos="576"/>
              </w:tabs>
              <w:spacing w:after="200"/>
              <w:ind w:left="601" w:hanging="601"/>
              <w:rPr>
                <w:lang w:val="fr-FR"/>
              </w:rPr>
            </w:pPr>
            <w:r w:rsidRPr="004E4188">
              <w:rPr>
                <w:lang w:val="fr-FR"/>
              </w:rPr>
              <w:t>4.5</w:t>
            </w:r>
            <w:r w:rsidRPr="004E4188">
              <w:rPr>
                <w:rStyle w:val="27"/>
                <w:lang w:eastAsia="ja-JP"/>
              </w:rPr>
              <w:tab/>
              <w:t xml:space="preserve">Cet appel d’offres est ouvert uniquement aux Soumissionnaires </w:t>
            </w:r>
            <w:r w:rsidRPr="004E4188">
              <w:rPr>
                <w:rStyle w:val="27"/>
              </w:rPr>
              <w:t>préqualifiés</w:t>
            </w:r>
            <w:r w:rsidRPr="004E4188">
              <w:rPr>
                <w:rStyle w:val="27"/>
                <w:lang w:eastAsia="ja-JP"/>
              </w:rPr>
              <w:t xml:space="preserve">, </w:t>
            </w:r>
            <w:r w:rsidRPr="004E4188">
              <w:rPr>
                <w:rStyle w:val="27"/>
                <w:b/>
                <w:lang w:eastAsia="ja-JP"/>
              </w:rPr>
              <w:t>sauf indication contraire dans les DP</w:t>
            </w:r>
            <w:r w:rsidRPr="004E4188">
              <w:rPr>
                <w:rStyle w:val="27"/>
                <w:lang w:eastAsia="ja-JP"/>
              </w:rPr>
              <w:t>.</w:t>
            </w:r>
          </w:p>
        </w:tc>
      </w:tr>
      <w:tr w:rsidR="006F129D" w:rsidRPr="004E4188" w14:paraId="00BDBF3C" w14:textId="77777777" w:rsidTr="00D45EAD">
        <w:trPr>
          <w:trHeight w:val="1080"/>
        </w:trPr>
        <w:tc>
          <w:tcPr>
            <w:tcW w:w="2273" w:type="dxa"/>
            <w:tcBorders>
              <w:top w:val="nil"/>
              <w:left w:val="nil"/>
              <w:bottom w:val="nil"/>
              <w:right w:val="nil"/>
            </w:tcBorders>
          </w:tcPr>
          <w:p w14:paraId="17FEAF37" w14:textId="77777777" w:rsidR="006F129D" w:rsidRPr="004E4188" w:rsidRDefault="006F129D" w:rsidP="00F62709">
            <w:pPr>
              <w:pStyle w:val="Header1-Clauses"/>
              <w:ind w:rightChars="-32" w:right="-77"/>
              <w:rPr>
                <w:lang w:val="fr-FR"/>
              </w:rPr>
            </w:pPr>
          </w:p>
        </w:tc>
        <w:tc>
          <w:tcPr>
            <w:tcW w:w="7015" w:type="dxa"/>
            <w:tcBorders>
              <w:top w:val="nil"/>
              <w:left w:val="nil"/>
              <w:bottom w:val="nil"/>
              <w:right w:val="nil"/>
            </w:tcBorders>
          </w:tcPr>
          <w:p w14:paraId="20949FA8" w14:textId="65A52B0C" w:rsidR="006F129D" w:rsidRPr="004E4188" w:rsidRDefault="006F129D" w:rsidP="00D45EAD">
            <w:pPr>
              <w:pStyle w:val="af7"/>
              <w:tabs>
                <w:tab w:val="left" w:pos="576"/>
              </w:tabs>
              <w:spacing w:after="200"/>
              <w:ind w:left="601" w:hanging="601"/>
              <w:rPr>
                <w:lang w:val="fr-FR"/>
              </w:rPr>
            </w:pPr>
            <w:r w:rsidRPr="004E4188">
              <w:rPr>
                <w:lang w:val="fr-FR"/>
              </w:rPr>
              <w:t>4.6</w:t>
            </w:r>
            <w:r w:rsidRPr="004E4188">
              <w:rPr>
                <w:rStyle w:val="27"/>
                <w:lang w:eastAsia="ja-JP"/>
              </w:rPr>
              <w:tab/>
              <w:t>Le Soumissionnaire doit</w:t>
            </w:r>
            <w:r w:rsidRPr="004E4188">
              <w:rPr>
                <w:lang w:val="fr-FR"/>
              </w:rPr>
              <w:t xml:space="preserve"> fournir la preuve </w:t>
            </w:r>
            <w:r w:rsidR="00533652" w:rsidRPr="004E4188">
              <w:rPr>
                <w:lang w:val="fr-FR"/>
              </w:rPr>
              <w:t xml:space="preserve">du maintien </w:t>
            </w:r>
            <w:r w:rsidRPr="004E4188">
              <w:rPr>
                <w:lang w:val="fr-FR"/>
              </w:rPr>
              <w:t xml:space="preserve">de son éligibilité, à la satisfaction du Maître d’ouvrage, s’il </w:t>
            </w:r>
            <w:r w:rsidRPr="004E4188">
              <w:rPr>
                <w:lang w:val="fr-FR" w:eastAsia="ja-JP"/>
              </w:rPr>
              <w:t xml:space="preserve">en </w:t>
            </w:r>
            <w:r w:rsidRPr="004E4188">
              <w:rPr>
                <w:lang w:val="fr-FR"/>
              </w:rPr>
              <w:t>est requis par le Maître d’ouvrage.</w:t>
            </w:r>
          </w:p>
        </w:tc>
      </w:tr>
      <w:tr w:rsidR="006F129D" w:rsidRPr="004E4188" w14:paraId="2210F3AB" w14:textId="77777777" w:rsidTr="00D45EAD">
        <w:tc>
          <w:tcPr>
            <w:tcW w:w="2273" w:type="dxa"/>
            <w:tcBorders>
              <w:top w:val="nil"/>
              <w:left w:val="nil"/>
              <w:bottom w:val="nil"/>
              <w:right w:val="nil"/>
            </w:tcBorders>
          </w:tcPr>
          <w:p w14:paraId="0A5E140D" w14:textId="0B1CB14C" w:rsidR="006F129D" w:rsidRPr="004E4188" w:rsidRDefault="006F129D" w:rsidP="008A28CD">
            <w:pPr>
              <w:pStyle w:val="S1-Header20"/>
            </w:pPr>
            <w:bookmarkStart w:id="75" w:name="_Toc438532561"/>
            <w:bookmarkStart w:id="76" w:name="_Toc438532562"/>
            <w:bookmarkStart w:id="77" w:name="_Toc438532563"/>
            <w:bookmarkStart w:id="78" w:name="_Toc438532564"/>
            <w:bookmarkStart w:id="79" w:name="_Toc438532565"/>
            <w:bookmarkStart w:id="80" w:name="_Toc438532566"/>
            <w:bookmarkStart w:id="81" w:name="_Toc438532567"/>
            <w:bookmarkStart w:id="82" w:name="_Toc113293291"/>
            <w:bookmarkStart w:id="83" w:name="_Toc438438824"/>
            <w:bookmarkStart w:id="84" w:name="_Toc438532568"/>
            <w:bookmarkStart w:id="85" w:name="_Toc438733968"/>
            <w:bookmarkStart w:id="86" w:name="_Toc438907009"/>
            <w:bookmarkStart w:id="87" w:name="_Toc438907208"/>
            <w:bookmarkStart w:id="88" w:name="_Toc461953561"/>
            <w:bookmarkStart w:id="89" w:name="_Toc156373288"/>
            <w:bookmarkEnd w:id="75"/>
            <w:bookmarkEnd w:id="76"/>
            <w:bookmarkEnd w:id="77"/>
            <w:bookmarkEnd w:id="78"/>
            <w:bookmarkEnd w:id="79"/>
            <w:bookmarkEnd w:id="80"/>
            <w:bookmarkEnd w:id="81"/>
            <w:r w:rsidRPr="004E4188">
              <w:t>5.</w:t>
            </w:r>
            <w:r w:rsidRPr="004E4188">
              <w:tab/>
            </w:r>
            <w:r w:rsidRPr="004E4188">
              <w:rPr>
                <w:lang w:val="en-GB"/>
              </w:rPr>
              <w:t>Biens</w:t>
            </w:r>
            <w:r w:rsidRPr="004E4188">
              <w:t xml:space="preserve"> et </w:t>
            </w:r>
            <w:r w:rsidRPr="004E4188">
              <w:rPr>
                <w:rFonts w:hint="eastAsia"/>
              </w:rPr>
              <w:t>s</w:t>
            </w:r>
            <w:r w:rsidRPr="004E4188">
              <w:t>ervices éligibles</w:t>
            </w:r>
            <w:bookmarkEnd w:id="82"/>
            <w:r w:rsidRPr="004E4188">
              <w:t xml:space="preserve"> </w:t>
            </w:r>
            <w:bookmarkEnd w:id="83"/>
            <w:bookmarkEnd w:id="84"/>
            <w:bookmarkEnd w:id="85"/>
            <w:bookmarkEnd w:id="86"/>
            <w:bookmarkEnd w:id="87"/>
            <w:bookmarkEnd w:id="88"/>
            <w:bookmarkEnd w:id="89"/>
          </w:p>
        </w:tc>
        <w:tc>
          <w:tcPr>
            <w:tcW w:w="7015" w:type="dxa"/>
            <w:tcBorders>
              <w:top w:val="nil"/>
              <w:left w:val="nil"/>
              <w:bottom w:val="nil"/>
              <w:right w:val="nil"/>
            </w:tcBorders>
          </w:tcPr>
          <w:p w14:paraId="5633F37D" w14:textId="62AAF5FF" w:rsidR="006F129D" w:rsidRPr="004E4188" w:rsidRDefault="006F129D" w:rsidP="00C44E82">
            <w:pPr>
              <w:pStyle w:val="af7"/>
              <w:tabs>
                <w:tab w:val="left" w:pos="576"/>
              </w:tabs>
              <w:spacing w:after="200"/>
              <w:ind w:left="601" w:hanging="601"/>
              <w:rPr>
                <w:rStyle w:val="27"/>
              </w:rPr>
            </w:pPr>
            <w:r w:rsidRPr="004E4188">
              <w:rPr>
                <w:rStyle w:val="27"/>
              </w:rPr>
              <w:t>5.1</w:t>
            </w:r>
            <w:r w:rsidRPr="004E4188">
              <w:rPr>
                <w:rStyle w:val="27"/>
              </w:rPr>
              <w:tab/>
              <w:t xml:space="preserve">Tous les biens et services constitutifs des </w:t>
            </w:r>
            <w:r w:rsidRPr="004E4188">
              <w:rPr>
                <w:szCs w:val="24"/>
                <w:lang w:val="fr-FR"/>
              </w:rPr>
              <w:t>É</w:t>
            </w:r>
            <w:r w:rsidRPr="004E4188">
              <w:rPr>
                <w:lang w:val="fr-FR" w:eastAsia="ja-JP"/>
              </w:rPr>
              <w:t>quipements et Services de montage</w:t>
            </w:r>
            <w:r w:rsidRPr="004E4188">
              <w:rPr>
                <w:rStyle w:val="27"/>
              </w:rPr>
              <w:t xml:space="preserve"> faisant l’objet du présent Marché et financés par la JICA doivent répondre aux exigences indiqué</w:t>
            </w:r>
            <w:r w:rsidRPr="004E4188">
              <w:rPr>
                <w:rStyle w:val="27"/>
                <w:rFonts w:hint="eastAsia"/>
                <w:lang w:eastAsia="ja-JP"/>
              </w:rPr>
              <w:t>e</w:t>
            </w:r>
            <w:r w:rsidRPr="004E4188">
              <w:rPr>
                <w:rStyle w:val="27"/>
                <w:lang w:eastAsia="ja-JP"/>
              </w:rPr>
              <w:t xml:space="preserve">s </w:t>
            </w:r>
            <w:r w:rsidRPr="004E4188">
              <w:rPr>
                <w:rStyle w:val="27"/>
              </w:rPr>
              <w:t xml:space="preserve">à la Section V, Pays d’origine </w:t>
            </w:r>
            <w:r w:rsidRPr="004E4188">
              <w:rPr>
                <w:rStyle w:val="27"/>
                <w:lang w:eastAsia="ja-JP"/>
              </w:rPr>
              <w:t>éligibles</w:t>
            </w:r>
            <w:r w:rsidRPr="004E4188">
              <w:rPr>
                <w:rStyle w:val="27"/>
              </w:rPr>
              <w:t xml:space="preserve"> des Prêts APD du Japon. </w:t>
            </w:r>
          </w:p>
        </w:tc>
      </w:tr>
      <w:tr w:rsidR="006F129D" w:rsidRPr="004E4188" w14:paraId="080186BA" w14:textId="77777777" w:rsidTr="00D45EAD">
        <w:tc>
          <w:tcPr>
            <w:tcW w:w="9288" w:type="dxa"/>
            <w:gridSpan w:val="2"/>
            <w:tcBorders>
              <w:top w:val="nil"/>
              <w:left w:val="nil"/>
              <w:bottom w:val="nil"/>
              <w:right w:val="nil"/>
            </w:tcBorders>
          </w:tcPr>
          <w:p w14:paraId="36697D87" w14:textId="18BB8E54" w:rsidR="006F129D" w:rsidRPr="004E4188" w:rsidRDefault="006F129D" w:rsidP="00D45EAD">
            <w:pPr>
              <w:pStyle w:val="S1-Header"/>
              <w:tabs>
                <w:tab w:val="num" w:pos="360"/>
              </w:tabs>
              <w:spacing w:after="200"/>
              <w:ind w:firstLine="578"/>
            </w:pPr>
            <w:bookmarkStart w:id="90" w:name="_Toc438532569"/>
            <w:bookmarkStart w:id="91" w:name="_Toc438532570"/>
            <w:bookmarkStart w:id="92" w:name="_Toc438532571"/>
            <w:bookmarkStart w:id="93" w:name="_Toc438532572"/>
            <w:bookmarkStart w:id="94" w:name="_Toc438438825"/>
            <w:bookmarkStart w:id="95" w:name="_Toc438532573"/>
            <w:bookmarkStart w:id="96" w:name="_Toc438733969"/>
            <w:bookmarkStart w:id="97" w:name="_Toc438962051"/>
            <w:bookmarkStart w:id="98" w:name="_Toc461939617"/>
            <w:bookmarkStart w:id="99" w:name="_Toc113293292"/>
            <w:bookmarkEnd w:id="90"/>
            <w:bookmarkEnd w:id="91"/>
            <w:bookmarkEnd w:id="92"/>
            <w:bookmarkEnd w:id="93"/>
            <w:r w:rsidRPr="004E4188">
              <w:t xml:space="preserve">B. Contenu du </w:t>
            </w:r>
            <w:bookmarkEnd w:id="94"/>
            <w:bookmarkEnd w:id="95"/>
            <w:bookmarkEnd w:id="96"/>
            <w:bookmarkEnd w:id="97"/>
            <w:bookmarkEnd w:id="98"/>
            <w:r w:rsidRPr="004E4188">
              <w:t>Dossier d’appel d’offres</w:t>
            </w:r>
            <w:bookmarkEnd w:id="99"/>
          </w:p>
        </w:tc>
      </w:tr>
      <w:tr w:rsidR="006F129D" w:rsidRPr="004E4188" w14:paraId="070038F2" w14:textId="77777777" w:rsidTr="00D45EAD">
        <w:tc>
          <w:tcPr>
            <w:tcW w:w="2273" w:type="dxa"/>
            <w:tcBorders>
              <w:top w:val="nil"/>
              <w:left w:val="nil"/>
              <w:bottom w:val="nil"/>
              <w:right w:val="nil"/>
            </w:tcBorders>
          </w:tcPr>
          <w:p w14:paraId="3D9A4983" w14:textId="27EF3812" w:rsidR="006F129D" w:rsidRPr="004E4188" w:rsidRDefault="006F129D" w:rsidP="008A28CD">
            <w:pPr>
              <w:pStyle w:val="S1-Header20"/>
              <w:rPr>
                <w:lang w:val="fr-FR"/>
              </w:rPr>
            </w:pPr>
            <w:bookmarkStart w:id="100" w:name="_Toc438438826"/>
            <w:bookmarkStart w:id="101" w:name="_Toc438532574"/>
            <w:bookmarkStart w:id="102" w:name="_Toc438733970"/>
            <w:bookmarkStart w:id="103" w:name="_Toc438907010"/>
            <w:bookmarkStart w:id="104" w:name="_Toc438907209"/>
            <w:bookmarkStart w:id="105" w:name="_Toc156373289"/>
            <w:bookmarkStart w:id="106" w:name="_Toc113293293"/>
            <w:r w:rsidRPr="004E4188">
              <w:rPr>
                <w:lang w:val="fr-FR"/>
              </w:rPr>
              <w:t>6.</w:t>
            </w:r>
            <w:r w:rsidRPr="004E4188">
              <w:rPr>
                <w:lang w:val="fr-FR"/>
              </w:rPr>
              <w:tab/>
              <w:t xml:space="preserve">Sections du </w:t>
            </w:r>
            <w:bookmarkEnd w:id="100"/>
            <w:bookmarkEnd w:id="101"/>
            <w:bookmarkEnd w:id="102"/>
            <w:bookmarkEnd w:id="103"/>
            <w:bookmarkEnd w:id="104"/>
            <w:bookmarkEnd w:id="105"/>
            <w:r w:rsidRPr="004E4188">
              <w:rPr>
                <w:lang w:val="fr-FR"/>
              </w:rPr>
              <w:t>Dossier d’appel d’offres</w:t>
            </w:r>
            <w:bookmarkEnd w:id="106"/>
          </w:p>
        </w:tc>
        <w:tc>
          <w:tcPr>
            <w:tcW w:w="7015" w:type="dxa"/>
            <w:tcBorders>
              <w:top w:val="nil"/>
              <w:left w:val="nil"/>
              <w:bottom w:val="nil"/>
              <w:right w:val="nil"/>
            </w:tcBorders>
          </w:tcPr>
          <w:p w14:paraId="63030C6A" w14:textId="77777777" w:rsidR="006F129D" w:rsidRPr="004E4188" w:rsidRDefault="006F129D" w:rsidP="00C44E82">
            <w:pPr>
              <w:spacing w:after="200"/>
              <w:ind w:left="601" w:hanging="601"/>
            </w:pPr>
            <w:r w:rsidRPr="004E4188">
              <w:rPr>
                <w:lang w:eastAsia="ja-JP"/>
              </w:rPr>
              <w:t>6.1</w:t>
            </w:r>
            <w:r w:rsidRPr="004E4188">
              <w:rPr>
                <w:lang w:eastAsia="ja-JP"/>
              </w:rPr>
              <w:tab/>
            </w:r>
            <w:r w:rsidRPr="004E4188">
              <w:t xml:space="preserve">Le Dossier d’appel d’offres se compose de trois parties qui </w:t>
            </w:r>
            <w:r w:rsidRPr="004E4188">
              <w:rPr>
                <w:rStyle w:val="27"/>
                <w:lang w:eastAsia="ja-JP"/>
              </w:rPr>
              <w:t>comprennent</w:t>
            </w:r>
            <w:r w:rsidRPr="004E4188">
              <w:t xml:space="preserve"> toutes les sections dont la liste figure ci-après, et qui doivent être </w:t>
            </w:r>
            <w:r w:rsidRPr="004E4188">
              <w:rPr>
                <w:rStyle w:val="27"/>
              </w:rPr>
              <w:t>interprétées</w:t>
            </w:r>
            <w:r w:rsidRPr="004E4188">
              <w:t xml:space="preserve"> à la lumière de tout avenant émis conformément à IS 8. </w:t>
            </w:r>
          </w:p>
        </w:tc>
      </w:tr>
      <w:tr w:rsidR="006F129D" w:rsidRPr="004E4188" w14:paraId="3F927348" w14:textId="77777777" w:rsidTr="00D45EAD">
        <w:tc>
          <w:tcPr>
            <w:tcW w:w="2273" w:type="dxa"/>
            <w:tcBorders>
              <w:top w:val="nil"/>
              <w:left w:val="nil"/>
              <w:bottom w:val="nil"/>
              <w:right w:val="nil"/>
            </w:tcBorders>
          </w:tcPr>
          <w:p w14:paraId="2E9547C0" w14:textId="77777777" w:rsidR="006F129D" w:rsidRPr="004E4188" w:rsidRDefault="006F129D"/>
        </w:tc>
        <w:tc>
          <w:tcPr>
            <w:tcW w:w="7015" w:type="dxa"/>
            <w:tcBorders>
              <w:top w:val="nil"/>
              <w:left w:val="nil"/>
              <w:bottom w:val="nil"/>
              <w:right w:val="nil"/>
            </w:tcBorders>
          </w:tcPr>
          <w:p w14:paraId="2FEE4E31" w14:textId="53AC2E3F" w:rsidR="006F129D" w:rsidRPr="004E4188" w:rsidRDefault="006F129D" w:rsidP="008E2A01">
            <w:pPr>
              <w:spacing w:after="200"/>
              <w:ind w:left="601"/>
              <w:rPr>
                <w:b/>
              </w:rPr>
            </w:pPr>
            <w:r w:rsidRPr="004E4188">
              <w:rPr>
                <w:b/>
              </w:rPr>
              <w:t>PREMIÈRE PARTIE : Procédures d’appel d’offres</w:t>
            </w:r>
          </w:p>
          <w:p w14:paraId="643A858A" w14:textId="77777777" w:rsidR="006F129D" w:rsidRPr="004E4188" w:rsidRDefault="006F129D" w:rsidP="00DA2ADF">
            <w:pPr>
              <w:numPr>
                <w:ilvl w:val="0"/>
                <w:numId w:val="2"/>
              </w:numPr>
              <w:suppressAutoHyphens w:val="0"/>
              <w:spacing w:after="100"/>
              <w:ind w:left="942" w:hanging="240"/>
            </w:pPr>
            <w:r w:rsidRPr="004E4188">
              <w:t>Section I. Instructions aux soumissionnaires (IS)</w:t>
            </w:r>
          </w:p>
          <w:p w14:paraId="3421F3DF" w14:textId="77777777" w:rsidR="006F129D" w:rsidRPr="004E4188" w:rsidRDefault="006F129D" w:rsidP="00DA2ADF">
            <w:pPr>
              <w:numPr>
                <w:ilvl w:val="0"/>
                <w:numId w:val="3"/>
              </w:numPr>
              <w:suppressAutoHyphens w:val="0"/>
              <w:spacing w:after="100"/>
              <w:ind w:left="942" w:hanging="240"/>
            </w:pPr>
            <w:r w:rsidRPr="004E4188">
              <w:t>Section II. Données particulières (DP)</w:t>
            </w:r>
          </w:p>
          <w:p w14:paraId="15958BB4" w14:textId="77777777" w:rsidR="006F129D" w:rsidRPr="004E4188" w:rsidRDefault="006F129D" w:rsidP="00DA2ADF">
            <w:pPr>
              <w:numPr>
                <w:ilvl w:val="0"/>
                <w:numId w:val="4"/>
              </w:numPr>
              <w:suppressAutoHyphens w:val="0"/>
              <w:spacing w:after="100"/>
              <w:ind w:left="942" w:hanging="240"/>
            </w:pPr>
            <w:r w:rsidRPr="004E4188">
              <w:t>Section III. Critères d’évaluation et de qualification (CEQ)</w:t>
            </w:r>
          </w:p>
          <w:p w14:paraId="251D3C21" w14:textId="77777777" w:rsidR="006F129D" w:rsidRPr="004E4188" w:rsidRDefault="006F129D" w:rsidP="00DA2ADF">
            <w:pPr>
              <w:numPr>
                <w:ilvl w:val="0"/>
                <w:numId w:val="5"/>
              </w:numPr>
              <w:suppressAutoHyphens w:val="0"/>
              <w:spacing w:after="100"/>
              <w:ind w:left="942" w:hanging="240"/>
            </w:pPr>
            <w:r w:rsidRPr="004E4188">
              <w:t>Section IV. Formulaires de soumission</w:t>
            </w:r>
          </w:p>
          <w:p w14:paraId="6D987941" w14:textId="77777777" w:rsidR="006F129D" w:rsidRPr="004E4188" w:rsidRDefault="006F129D" w:rsidP="00DA2ADF">
            <w:pPr>
              <w:numPr>
                <w:ilvl w:val="0"/>
                <w:numId w:val="6"/>
              </w:numPr>
              <w:suppressAutoHyphens w:val="0"/>
              <w:spacing w:after="200"/>
              <w:ind w:left="942" w:hanging="240"/>
            </w:pPr>
            <w:r w:rsidRPr="004E4188">
              <w:t>Section V. Pays d’origine éligibles des Prêts APD du Japon</w:t>
            </w:r>
          </w:p>
          <w:p w14:paraId="0D70A675" w14:textId="0F771556" w:rsidR="006F129D" w:rsidRPr="004E4188" w:rsidRDefault="006F129D" w:rsidP="008E2A01">
            <w:pPr>
              <w:numPr>
                <w:ilvl w:val="12"/>
                <w:numId w:val="0"/>
              </w:numPr>
              <w:spacing w:after="200"/>
              <w:ind w:left="601"/>
              <w:rPr>
                <w:b/>
              </w:rPr>
            </w:pPr>
            <w:r w:rsidRPr="004E4188">
              <w:rPr>
                <w:b/>
              </w:rPr>
              <w:t>DEUXIÈME PARTIE : Exigences du Maître d’ouvrage</w:t>
            </w:r>
          </w:p>
          <w:p w14:paraId="35AE8316" w14:textId="77777777" w:rsidR="006F129D" w:rsidRPr="004E4188" w:rsidRDefault="006F129D" w:rsidP="00DA2ADF">
            <w:pPr>
              <w:numPr>
                <w:ilvl w:val="0"/>
                <w:numId w:val="7"/>
              </w:numPr>
              <w:suppressAutoHyphens w:val="0"/>
              <w:spacing w:after="200"/>
              <w:ind w:left="1062"/>
            </w:pPr>
            <w:r w:rsidRPr="004E4188">
              <w:t>Section VI. Exigences du Maître d’ouvrage</w:t>
            </w:r>
          </w:p>
          <w:p w14:paraId="02E7BFC2" w14:textId="6D842229" w:rsidR="006F129D" w:rsidRPr="004E4188" w:rsidRDefault="006F129D" w:rsidP="008E2A01">
            <w:pPr>
              <w:numPr>
                <w:ilvl w:val="12"/>
                <w:numId w:val="0"/>
              </w:numPr>
              <w:spacing w:after="200"/>
              <w:ind w:left="601"/>
              <w:rPr>
                <w:b/>
              </w:rPr>
            </w:pPr>
            <w:r w:rsidRPr="004E4188">
              <w:rPr>
                <w:b/>
              </w:rPr>
              <w:t xml:space="preserve">TROISIÈME PARTIE : Conditions du Marché et </w:t>
            </w:r>
            <w:r w:rsidR="002175B5" w:rsidRPr="004E4188">
              <w:rPr>
                <w:b/>
              </w:rPr>
              <w:t>f</w:t>
            </w:r>
            <w:r w:rsidRPr="004E4188">
              <w:rPr>
                <w:b/>
              </w:rPr>
              <w:t>ormulaires du Marché</w:t>
            </w:r>
          </w:p>
          <w:p w14:paraId="0FB42403" w14:textId="24CE171A" w:rsidR="006F129D" w:rsidRPr="004E4188" w:rsidRDefault="006F129D" w:rsidP="00DA2ADF">
            <w:pPr>
              <w:numPr>
                <w:ilvl w:val="0"/>
                <w:numId w:val="8"/>
              </w:numPr>
              <w:suppressAutoHyphens w:val="0"/>
              <w:spacing w:after="100"/>
              <w:ind w:left="1062"/>
            </w:pPr>
            <w:r w:rsidRPr="004E4188">
              <w:t>Section VII. Conditions Générales (CG)</w:t>
            </w:r>
          </w:p>
          <w:p w14:paraId="0CD632DB" w14:textId="1D3EEEA6" w:rsidR="006F129D" w:rsidRPr="004E4188" w:rsidRDefault="006F129D" w:rsidP="00DA2ADF">
            <w:pPr>
              <w:numPr>
                <w:ilvl w:val="0"/>
                <w:numId w:val="9"/>
              </w:numPr>
              <w:suppressAutoHyphens w:val="0"/>
              <w:spacing w:after="100"/>
              <w:ind w:left="1062"/>
            </w:pPr>
            <w:r w:rsidRPr="004E4188">
              <w:t>Section VIII. Conditions Particulières (CP)</w:t>
            </w:r>
          </w:p>
          <w:p w14:paraId="1069A2AD" w14:textId="77777777" w:rsidR="006F129D" w:rsidRPr="004E4188" w:rsidRDefault="006F129D" w:rsidP="00DA2ADF">
            <w:pPr>
              <w:numPr>
                <w:ilvl w:val="0"/>
                <w:numId w:val="10"/>
              </w:numPr>
              <w:suppressAutoHyphens w:val="0"/>
              <w:spacing w:after="200"/>
              <w:ind w:left="1062"/>
            </w:pPr>
            <w:r w:rsidRPr="004E4188">
              <w:t>Section IX. Formulaires du Marché</w:t>
            </w:r>
          </w:p>
        </w:tc>
      </w:tr>
      <w:tr w:rsidR="006F129D" w:rsidRPr="004E4188" w14:paraId="59F00087" w14:textId="77777777" w:rsidTr="00D45EAD">
        <w:tc>
          <w:tcPr>
            <w:tcW w:w="2273" w:type="dxa"/>
            <w:tcBorders>
              <w:top w:val="nil"/>
              <w:left w:val="nil"/>
              <w:bottom w:val="nil"/>
              <w:right w:val="nil"/>
            </w:tcBorders>
          </w:tcPr>
          <w:p w14:paraId="705D5FFA" w14:textId="77777777" w:rsidR="006F129D" w:rsidRPr="004E4188" w:rsidRDefault="006F129D" w:rsidP="006D7379">
            <w:pPr>
              <w:suppressAutoHyphens w:val="0"/>
              <w:ind w:left="432" w:hanging="432"/>
              <w:jc w:val="left"/>
            </w:pPr>
          </w:p>
        </w:tc>
        <w:tc>
          <w:tcPr>
            <w:tcW w:w="7015" w:type="dxa"/>
            <w:tcBorders>
              <w:top w:val="nil"/>
              <w:left w:val="nil"/>
              <w:bottom w:val="nil"/>
              <w:right w:val="nil"/>
            </w:tcBorders>
          </w:tcPr>
          <w:p w14:paraId="4937FD52" w14:textId="77777777" w:rsidR="006F129D" w:rsidRPr="004E4188" w:rsidRDefault="006F129D" w:rsidP="004A0D61">
            <w:pPr>
              <w:spacing w:after="200"/>
              <w:ind w:left="601" w:hanging="601"/>
              <w:rPr>
                <w:rStyle w:val="27"/>
                <w:lang w:eastAsia="ja-JP"/>
              </w:rPr>
            </w:pPr>
            <w:r w:rsidRPr="004E4188">
              <w:rPr>
                <w:szCs w:val="24"/>
                <w:lang w:eastAsia="ja-JP"/>
              </w:rPr>
              <w:t>6.2</w:t>
            </w:r>
            <w:r w:rsidRPr="004E4188">
              <w:rPr>
                <w:szCs w:val="24"/>
                <w:lang w:eastAsia="ja-JP"/>
              </w:rPr>
              <w:tab/>
            </w:r>
            <w:r w:rsidRPr="004E4188">
              <w:rPr>
                <w:szCs w:val="24"/>
              </w:rPr>
              <w:t>L’Avis d’</w:t>
            </w:r>
            <w:r w:rsidRPr="004E4188">
              <w:t>appel</w:t>
            </w:r>
            <w:r w:rsidRPr="004E4188">
              <w:rPr>
                <w:szCs w:val="24"/>
              </w:rPr>
              <w:t xml:space="preserve"> d’offres émis par le Maître d’ouvrage ne fait pas partie d</w:t>
            </w:r>
            <w:r w:rsidRPr="004E4188">
              <w:rPr>
                <w:rStyle w:val="27"/>
              </w:rPr>
              <w:t>u Dossier</w:t>
            </w:r>
            <w:r w:rsidRPr="004E4188">
              <w:rPr>
                <w:rStyle w:val="27"/>
                <w:lang w:eastAsia="ja-JP"/>
              </w:rPr>
              <w:t xml:space="preserve"> d’appel d’offres.</w:t>
            </w:r>
          </w:p>
          <w:p w14:paraId="03FE043D" w14:textId="77777777" w:rsidR="006F129D" w:rsidRPr="004E4188" w:rsidRDefault="006F129D" w:rsidP="004A0D61">
            <w:pPr>
              <w:spacing w:after="200"/>
              <w:ind w:left="601" w:hanging="601"/>
            </w:pPr>
            <w:r w:rsidRPr="004E4188">
              <w:rPr>
                <w:rStyle w:val="27"/>
                <w:lang w:eastAsia="ja-JP"/>
              </w:rPr>
              <w:t>6.3</w:t>
            </w:r>
            <w:r w:rsidRPr="004E4188">
              <w:rPr>
                <w:rStyle w:val="27"/>
                <w:lang w:eastAsia="ja-JP"/>
              </w:rPr>
              <w:tab/>
              <w:t xml:space="preserve">Le </w:t>
            </w:r>
            <w:r w:rsidRPr="004E4188">
              <w:t>Maître</w:t>
            </w:r>
            <w:r w:rsidRPr="004E4188">
              <w:rPr>
                <w:rStyle w:val="27"/>
                <w:lang w:eastAsia="ja-JP"/>
              </w:rPr>
              <w:t xml:space="preserve"> </w:t>
            </w:r>
            <w:r w:rsidRPr="004E4188">
              <w:t>d’ouvrage ne peut être tenu responsable de</w:t>
            </w:r>
            <w:r w:rsidRPr="004E4188">
              <w:rPr>
                <w:rFonts w:hint="eastAsia"/>
                <w:lang w:eastAsia="ja-JP"/>
              </w:rPr>
              <w:t xml:space="preserve"> </w:t>
            </w:r>
            <w:r w:rsidRPr="004E4188">
              <w:t>l’</w:t>
            </w:r>
            <w:r w:rsidRPr="004E4188">
              <w:rPr>
                <w:rStyle w:val="27"/>
              </w:rPr>
              <w:t>exhaustivité</w:t>
            </w:r>
            <w:r w:rsidRPr="004E4188">
              <w:t xml:space="preserve"> du </w:t>
            </w:r>
            <w:r w:rsidRPr="004E4188">
              <w:rPr>
                <w:rStyle w:val="27"/>
              </w:rPr>
              <w:t>Dossier</w:t>
            </w:r>
            <w:r w:rsidRPr="004E4188">
              <w:t xml:space="preserve"> d’appel d’offres, des réponses aux demandes d’éclaircissements, du procès-verbal de la réunion préparatoire à la soumission (le cas échéant) ou des avenants au Dossier d’appel d’offres émis conformément à IS 8, si ces documents n’ont été obtenus directement du Maître d’ouvrage.</w:t>
            </w:r>
            <w:r w:rsidRPr="004E4188">
              <w:rPr>
                <w:rFonts w:hint="eastAsia"/>
                <w:lang w:eastAsia="ja-JP"/>
              </w:rPr>
              <w:t xml:space="preserve"> </w:t>
            </w:r>
            <w:r w:rsidRPr="004E4188">
              <w:t>En cas de différence, les documents publiés directement par le Maître d’ouvrage feront foi.</w:t>
            </w:r>
          </w:p>
          <w:p w14:paraId="42F55CA5" w14:textId="77777777" w:rsidR="006F129D" w:rsidRPr="004E4188" w:rsidRDefault="006F129D" w:rsidP="004A0D61">
            <w:pPr>
              <w:spacing w:after="200"/>
              <w:ind w:left="601" w:hanging="601"/>
              <w:rPr>
                <w:szCs w:val="24"/>
                <w:lang w:eastAsia="ja-JP"/>
              </w:rPr>
            </w:pPr>
            <w:r w:rsidRPr="004E4188">
              <w:rPr>
                <w:szCs w:val="24"/>
              </w:rPr>
              <w:t>6.4</w:t>
            </w:r>
            <w:r w:rsidRPr="004E4188">
              <w:rPr>
                <w:szCs w:val="24"/>
              </w:rPr>
              <w:tab/>
              <w:t xml:space="preserve">Le </w:t>
            </w:r>
            <w:r w:rsidRPr="004E4188">
              <w:t>Soumissionnaire</w:t>
            </w:r>
            <w:r w:rsidRPr="004E4188">
              <w:rPr>
                <w:szCs w:val="24"/>
              </w:rPr>
              <w:t xml:space="preserve"> doit examiner l’ensemble des instructions, </w:t>
            </w:r>
            <w:r w:rsidRPr="004E4188">
              <w:rPr>
                <w:rStyle w:val="27"/>
              </w:rPr>
              <w:t>formulaires</w:t>
            </w:r>
            <w:r w:rsidRPr="004E4188">
              <w:rPr>
                <w:szCs w:val="24"/>
              </w:rPr>
              <w:t xml:space="preserve">, </w:t>
            </w:r>
            <w:r w:rsidRPr="004E4188">
              <w:rPr>
                <w:rStyle w:val="27"/>
                <w:lang w:eastAsia="ja-JP"/>
              </w:rPr>
              <w:t>conditions</w:t>
            </w:r>
            <w:r w:rsidRPr="004E4188">
              <w:rPr>
                <w:szCs w:val="24"/>
              </w:rPr>
              <w:t xml:space="preserve"> et spécifications figurant au Dossier d’appel d’offres et fournir dans son offre tous les renseignements et documents demandés dans le Dossier d’appel d’offres. Les renseignements et documents doivent être complets, exactes, à jour et vérifiables.</w:t>
            </w:r>
          </w:p>
        </w:tc>
      </w:tr>
      <w:tr w:rsidR="006F129D" w:rsidRPr="004E4188" w14:paraId="6A849C88" w14:textId="77777777" w:rsidTr="00D45EAD">
        <w:tc>
          <w:tcPr>
            <w:tcW w:w="2273" w:type="dxa"/>
            <w:tcBorders>
              <w:top w:val="nil"/>
              <w:left w:val="nil"/>
              <w:bottom w:val="nil"/>
              <w:right w:val="nil"/>
            </w:tcBorders>
          </w:tcPr>
          <w:p w14:paraId="67512C08" w14:textId="26EEE1AC" w:rsidR="006F129D" w:rsidRPr="004E4188" w:rsidRDefault="006F129D" w:rsidP="008A28CD">
            <w:pPr>
              <w:pStyle w:val="S1-Header20"/>
              <w:rPr>
                <w:lang w:val="fr-FR"/>
              </w:rPr>
            </w:pPr>
            <w:bookmarkStart w:id="107" w:name="_Toc156373290"/>
            <w:bookmarkStart w:id="108" w:name="_Toc113293294"/>
            <w:r w:rsidRPr="004E4188">
              <w:rPr>
                <w:lang w:val="fr-FR"/>
              </w:rPr>
              <w:t>7.</w:t>
            </w:r>
            <w:r w:rsidRPr="004E4188">
              <w:rPr>
                <w:lang w:val="fr-FR"/>
              </w:rPr>
              <w:tab/>
              <w:t>Éclaircisse</w:t>
            </w:r>
            <w:r w:rsidRPr="004E4188">
              <w:rPr>
                <w:lang w:val="fr-FR"/>
              </w:rPr>
              <w:softHyphen/>
              <w:t>ments apportés au Dossier d’appel d’offres, visite du site et réunion préparatoire</w:t>
            </w:r>
            <w:bookmarkEnd w:id="107"/>
            <w:bookmarkEnd w:id="108"/>
          </w:p>
        </w:tc>
        <w:tc>
          <w:tcPr>
            <w:tcW w:w="7015" w:type="dxa"/>
            <w:tcBorders>
              <w:top w:val="nil"/>
              <w:left w:val="nil"/>
              <w:bottom w:val="nil"/>
              <w:right w:val="nil"/>
            </w:tcBorders>
          </w:tcPr>
          <w:p w14:paraId="30132BD0" w14:textId="194A6B62" w:rsidR="006F129D" w:rsidRPr="004E4188" w:rsidRDefault="006F129D" w:rsidP="008F6F9F">
            <w:pPr>
              <w:numPr>
                <w:ilvl w:val="0"/>
                <w:numId w:val="11"/>
              </w:numPr>
              <w:tabs>
                <w:tab w:val="left" w:pos="582"/>
              </w:tabs>
              <w:suppressAutoHyphens w:val="0"/>
              <w:spacing w:after="200"/>
              <w:ind w:left="601" w:hanging="601"/>
            </w:pPr>
            <w:r w:rsidRPr="004E4188">
              <w:t>Le Soumissionnaire désirant obtenir des éclaircissements sur le Dossier d’appel d’offres contactera le Maître d’ouvrage, par écrit, à l’adresse du Maître d’ouvrage</w:t>
            </w:r>
            <w:r w:rsidRPr="004E4188">
              <w:rPr>
                <w:b/>
              </w:rPr>
              <w:t xml:space="preserve"> indiquée dans les DP</w:t>
            </w:r>
            <w:r w:rsidRPr="004E4188">
              <w:t xml:space="preserve"> ou soumettra sa demande durant la réunion préparatoire prévue, le cas échéant, conformément à IS</w:t>
            </w:r>
            <w:r w:rsidR="00A67362" w:rsidRPr="004E4188">
              <w:rPr>
                <w:lang w:eastAsia="ja-JP"/>
              </w:rPr>
              <w:t> </w:t>
            </w:r>
            <w:r w:rsidRPr="004E4188">
              <w:t>7.4. Le Maître d’ouvrage répondra par écrit à toute demande d’éclaircissements reçue au plus tard quatorze (14) jours avant la date limite de remise des offres. Il adressera une copie de sa réponse à tous les Soumissionnaires qui auront obtenu le Dossier d’appel d’offres conformément à IS</w:t>
            </w:r>
            <w:r w:rsidR="00A67362" w:rsidRPr="004E4188">
              <w:rPr>
                <w:lang w:eastAsia="ja-JP"/>
              </w:rPr>
              <w:t> </w:t>
            </w:r>
            <w:r w:rsidRPr="004E4188">
              <w:t xml:space="preserve">6.3, incluant la question posée mais sans mention de l’auteur. Si </w:t>
            </w:r>
            <w:r w:rsidRPr="004E4188">
              <w:rPr>
                <w:b/>
              </w:rPr>
              <w:t>les DP le précisent</w:t>
            </w:r>
            <w:r w:rsidRPr="004E4188">
              <w:t>, le Maître d’ouvrage publiera également, dans les meilleurs délai</w:t>
            </w:r>
            <w:r w:rsidR="008F6F9F" w:rsidRPr="004E4188">
              <w:t>s</w:t>
            </w:r>
            <w:r w:rsidRPr="004E4188">
              <w:t xml:space="preserve">, sa réponse sur le site internet du Maître d’ouvrage </w:t>
            </w:r>
            <w:r w:rsidRPr="004E4188">
              <w:rPr>
                <w:b/>
              </w:rPr>
              <w:t>indiqué dans les DP</w:t>
            </w:r>
            <w:r w:rsidRPr="004E4188">
              <w:t>. Au cas où les éclaircissements apportés entraîneraient des changements dans les éléments essentiels du Dossier d’appel d’offres, le Maître d’ouvrage modifiera le Dossier d’appel d’offres conformément à la procédure stipulée à IS 8 et à IS 22.2.</w:t>
            </w:r>
          </w:p>
        </w:tc>
      </w:tr>
      <w:tr w:rsidR="006F129D" w:rsidRPr="004E4188" w14:paraId="6E9F85ED" w14:textId="77777777" w:rsidTr="00D45EAD">
        <w:tc>
          <w:tcPr>
            <w:tcW w:w="2273" w:type="dxa"/>
            <w:tcBorders>
              <w:top w:val="nil"/>
              <w:left w:val="nil"/>
              <w:bottom w:val="nil"/>
              <w:right w:val="nil"/>
            </w:tcBorders>
          </w:tcPr>
          <w:p w14:paraId="7C7602AA" w14:textId="77777777" w:rsidR="006F129D" w:rsidRPr="004E4188" w:rsidRDefault="006F129D">
            <w:pPr>
              <w:pStyle w:val="Header1-Clauses"/>
              <w:ind w:left="288" w:hanging="288"/>
              <w:rPr>
                <w:lang w:val="fr-FR"/>
              </w:rPr>
            </w:pPr>
          </w:p>
        </w:tc>
        <w:tc>
          <w:tcPr>
            <w:tcW w:w="7015" w:type="dxa"/>
            <w:tcBorders>
              <w:top w:val="nil"/>
              <w:left w:val="nil"/>
              <w:bottom w:val="nil"/>
              <w:right w:val="nil"/>
            </w:tcBorders>
          </w:tcPr>
          <w:p w14:paraId="56513E39" w14:textId="132E8B3B" w:rsidR="006F129D" w:rsidRPr="004E4188" w:rsidRDefault="006F129D" w:rsidP="000B3646">
            <w:pPr>
              <w:numPr>
                <w:ilvl w:val="0"/>
                <w:numId w:val="11"/>
              </w:numPr>
              <w:tabs>
                <w:tab w:val="clear" w:pos="0"/>
              </w:tabs>
              <w:suppressAutoHyphens w:val="0"/>
              <w:spacing w:after="200"/>
              <w:ind w:left="601" w:hanging="601"/>
            </w:pPr>
            <w:r w:rsidRPr="004E4188">
              <w:t xml:space="preserve">Il est conseillé au Soumissionnaire de visiter et d’inspecter le site où les </w:t>
            </w:r>
            <w:r w:rsidRPr="004E4188">
              <w:rPr>
                <w:szCs w:val="24"/>
              </w:rPr>
              <w:t>É</w:t>
            </w:r>
            <w:r w:rsidRPr="004E4188">
              <w:t xml:space="preserve">quipements seront montés et ses environs et d’obtenir par lui-même, et sous sa propre responsabilité, tous les renseignements qui peuvent être nécessaires pour la préparation de son offre et la signature d’un marché pour l’exécution des </w:t>
            </w:r>
            <w:r w:rsidRPr="004E4188">
              <w:rPr>
                <w:szCs w:val="24"/>
              </w:rPr>
              <w:t>É</w:t>
            </w:r>
            <w:r w:rsidRPr="004E4188">
              <w:t>quipements et Services de montage. Les coûts liés à la visite du site sont entièrement à la charge du Soumissionnaire.</w:t>
            </w:r>
          </w:p>
          <w:p w14:paraId="05CD0453" w14:textId="7BA00795" w:rsidR="006F129D" w:rsidRPr="004E4188" w:rsidRDefault="006F129D" w:rsidP="000B3646">
            <w:pPr>
              <w:numPr>
                <w:ilvl w:val="0"/>
                <w:numId w:val="11"/>
              </w:numPr>
              <w:tabs>
                <w:tab w:val="clear" w:pos="0"/>
              </w:tabs>
              <w:suppressAutoHyphens w:val="0"/>
              <w:spacing w:after="200"/>
              <w:ind w:left="601" w:hanging="601"/>
            </w:pPr>
            <w:r w:rsidRPr="004E4188">
              <w:t>Le Maître d’ouvrage autorisera le Soumissionnaire et ses employés ou agents à pénétrer dans ses locaux et sur ses terrains aux fins de cette visite, mais seulement à la condition expresse que le Soumissionnaire, ses employés et agents dégagent le Maître d’ouvrage, ses employés et agents, de toute responsabilité pouvant en résulter et qu’ils soient responsables des accidents mortels ou corporels, des pertes ou dommages matériels ou autres, des coûts et des frais encourus du fait de cette visite.</w:t>
            </w:r>
          </w:p>
          <w:p w14:paraId="252BA20C" w14:textId="1C657A60" w:rsidR="006F129D" w:rsidRPr="004E4188" w:rsidRDefault="006F129D" w:rsidP="000B3646">
            <w:pPr>
              <w:numPr>
                <w:ilvl w:val="0"/>
                <w:numId w:val="11"/>
              </w:numPr>
              <w:tabs>
                <w:tab w:val="clear" w:pos="0"/>
              </w:tabs>
              <w:suppressAutoHyphens w:val="0"/>
              <w:spacing w:after="200"/>
              <w:ind w:left="601" w:hanging="601"/>
            </w:pPr>
            <w:r w:rsidRPr="004E4188">
              <w:t xml:space="preserve">Lorsque </w:t>
            </w:r>
            <w:r w:rsidRPr="004E4188">
              <w:rPr>
                <w:b/>
              </w:rPr>
              <w:t>les DP le prévoient</w:t>
            </w:r>
            <w:r w:rsidRPr="004E4188">
              <w:t xml:space="preserve">, le représentant habilité du Soumissionnaire est invité à participer à une réunion préparatoire à la soumission. L’objet de la réunion est d’éclaircir tous les points et de répondre à toutes les questions sur quelque sujet que ce soit qui pourraient être soulevées à ce stade. </w:t>
            </w:r>
          </w:p>
          <w:p w14:paraId="15F45B30" w14:textId="7C1473E3" w:rsidR="006F129D" w:rsidRPr="004E4188" w:rsidRDefault="006F129D" w:rsidP="000B3646">
            <w:pPr>
              <w:numPr>
                <w:ilvl w:val="0"/>
                <w:numId w:val="11"/>
              </w:numPr>
              <w:tabs>
                <w:tab w:val="clear" w:pos="0"/>
              </w:tabs>
              <w:suppressAutoHyphens w:val="0"/>
              <w:spacing w:after="200"/>
              <w:ind w:left="601" w:hanging="601"/>
            </w:pPr>
            <w:r w:rsidRPr="004E4188">
              <w:t xml:space="preserve">Il est demandé que le Soumissionnaire soumette toutes ses questions par écrit, de façon à ce qu’elles parviennent au Maître d’ouvrage au plus tard </w:t>
            </w:r>
            <w:r w:rsidRPr="004E4188">
              <w:rPr>
                <w:rFonts w:hint="eastAsia"/>
                <w:lang w:eastAsia="ja-JP"/>
              </w:rPr>
              <w:t>s</w:t>
            </w:r>
            <w:r w:rsidRPr="004E4188">
              <w:rPr>
                <w:lang w:eastAsia="ja-JP"/>
              </w:rPr>
              <w:t xml:space="preserve">ept (7) jours </w:t>
            </w:r>
            <w:r w:rsidRPr="004E4188">
              <w:t>avant la réunion préparatoire.</w:t>
            </w:r>
          </w:p>
          <w:p w14:paraId="5A5AF616" w14:textId="011F6E64" w:rsidR="006F129D" w:rsidRPr="004E4188" w:rsidRDefault="006F129D" w:rsidP="000C4481">
            <w:pPr>
              <w:numPr>
                <w:ilvl w:val="0"/>
                <w:numId w:val="11"/>
              </w:numPr>
              <w:tabs>
                <w:tab w:val="clear" w:pos="0"/>
              </w:tabs>
              <w:suppressAutoHyphens w:val="0"/>
              <w:spacing w:after="200"/>
              <w:ind w:left="601" w:hanging="601"/>
            </w:pPr>
            <w:r w:rsidRPr="004E4188">
              <w:t xml:space="preserve">Le procès-verbal de la réunion préparatoire, le cas échéant, incluant le texte des questions posées par les Soumissionnaires, sans en identifier la source, et </w:t>
            </w:r>
            <w:r w:rsidR="000C4481" w:rsidRPr="004E4188">
              <w:t xml:space="preserve">les </w:t>
            </w:r>
            <w:r w:rsidRPr="004E4188">
              <w:t>réponses données, y compris les réponses préparées après la réunion, sera transmis sans délai à tous les Soumissionnaires qui ont obtenu le Dossier d’appel d’offres conformément à IS 6.3. Toute modification du Dossier d’appel d’offres qui pourrait s’avérer nécessaire à l’issue de la réunion préparatoire sera faite par le Maître d’ouvrage uniquement par voie d’avenant conformément à IS 8, et non par le biais du procès-verbal de la réunion préparatoire. Le fait qu’un Soumissionnaire n’assiste pas à la réunion préparatoire à la soumission ne constituera pas motif à sa disqualification.</w:t>
            </w:r>
          </w:p>
        </w:tc>
      </w:tr>
      <w:tr w:rsidR="006F129D" w:rsidRPr="004E4188" w14:paraId="7BADC8DF" w14:textId="77777777" w:rsidTr="00D45EAD">
        <w:tc>
          <w:tcPr>
            <w:tcW w:w="2273" w:type="dxa"/>
            <w:tcBorders>
              <w:top w:val="nil"/>
              <w:left w:val="nil"/>
              <w:bottom w:val="nil"/>
              <w:right w:val="nil"/>
            </w:tcBorders>
          </w:tcPr>
          <w:p w14:paraId="78E1D06D" w14:textId="1159FBB0" w:rsidR="006F129D" w:rsidRPr="004E4188" w:rsidRDefault="006F129D" w:rsidP="008A28CD">
            <w:pPr>
              <w:pStyle w:val="S1-Header20"/>
              <w:rPr>
                <w:lang w:val="fr-FR"/>
              </w:rPr>
            </w:pPr>
            <w:bookmarkStart w:id="109" w:name="_Toc156373291"/>
            <w:bookmarkStart w:id="110" w:name="_Toc113293295"/>
            <w:r w:rsidRPr="004E4188">
              <w:rPr>
                <w:lang w:val="fr-FR"/>
              </w:rPr>
              <w:t>8.</w:t>
            </w:r>
            <w:r w:rsidRPr="004E4188">
              <w:rPr>
                <w:lang w:val="fr-FR" w:eastAsia="ja-JP"/>
              </w:rPr>
              <w:tab/>
            </w:r>
            <w:r w:rsidRPr="004E4188">
              <w:rPr>
                <w:lang w:val="fr-FR"/>
              </w:rPr>
              <w:t xml:space="preserve">Modifications apportées au </w:t>
            </w:r>
            <w:bookmarkEnd w:id="109"/>
            <w:r w:rsidRPr="004E4188">
              <w:rPr>
                <w:lang w:val="fr-FR"/>
              </w:rPr>
              <w:t>Dossier d’appel d’offres</w:t>
            </w:r>
            <w:bookmarkEnd w:id="110"/>
            <w:r w:rsidRPr="004E4188">
              <w:rPr>
                <w:lang w:val="fr-FR"/>
              </w:rPr>
              <w:t xml:space="preserve"> </w:t>
            </w:r>
          </w:p>
        </w:tc>
        <w:tc>
          <w:tcPr>
            <w:tcW w:w="7015" w:type="dxa"/>
            <w:tcBorders>
              <w:top w:val="nil"/>
              <w:left w:val="nil"/>
              <w:bottom w:val="nil"/>
              <w:right w:val="nil"/>
            </w:tcBorders>
          </w:tcPr>
          <w:p w14:paraId="0A05E534" w14:textId="77777777" w:rsidR="006F129D" w:rsidRPr="004E4188" w:rsidRDefault="006F129D" w:rsidP="007C436B">
            <w:pPr>
              <w:spacing w:after="200"/>
              <w:ind w:left="601" w:hanging="601"/>
            </w:pPr>
            <w:r w:rsidRPr="004E4188">
              <w:t>8.1</w:t>
            </w:r>
            <w:r w:rsidRPr="004E4188">
              <w:tab/>
              <w:t xml:space="preserve">Le Maître d’ouvrage peut à tout moment avant la date limite de remise des offres, modifier le Dossier d’appel d’offres en publiant un avenant. </w:t>
            </w:r>
          </w:p>
          <w:p w14:paraId="1F36BC42" w14:textId="77777777" w:rsidR="006F129D" w:rsidRPr="004E4188" w:rsidRDefault="006F129D" w:rsidP="007C436B">
            <w:pPr>
              <w:tabs>
                <w:tab w:val="left" w:pos="582"/>
              </w:tabs>
              <w:spacing w:after="200"/>
              <w:ind w:left="601" w:hanging="601"/>
              <w:rPr>
                <w:lang w:eastAsia="ja-JP"/>
              </w:rPr>
            </w:pPr>
            <w:r w:rsidRPr="004E4188">
              <w:t>8.2</w:t>
            </w:r>
            <w:r w:rsidRPr="004E4188">
              <w:tab/>
              <w:t xml:space="preserve">Tout avenant publié sera considéré comme faisant partie intégrante du Dossier d’appel d’offres et sera communiqué par écrit à tous les Soumissionnaires qui ont obtenu le Dossier d’appel d’offres du Maître d’ouvrage conformément à IS 6.3. Si </w:t>
            </w:r>
            <w:r w:rsidRPr="004E4188">
              <w:rPr>
                <w:b/>
              </w:rPr>
              <w:t>les DP l’indiquent</w:t>
            </w:r>
            <w:r w:rsidRPr="004E4188">
              <w:t>, le Maître d’ouvrage publiera immédiatement l’avenant sur son site internet, conformément à IS 7.1.</w:t>
            </w:r>
          </w:p>
          <w:p w14:paraId="11E0E494" w14:textId="6A2FD495" w:rsidR="006F129D" w:rsidRPr="004E4188" w:rsidRDefault="006F129D" w:rsidP="00D45EAD">
            <w:pPr>
              <w:tabs>
                <w:tab w:val="left" w:pos="612"/>
              </w:tabs>
              <w:spacing w:after="200"/>
              <w:ind w:left="601" w:hanging="601"/>
            </w:pPr>
            <w:r w:rsidRPr="004E4188">
              <w:t>8.3</w:t>
            </w:r>
            <w:r w:rsidRPr="004E4188">
              <w:tab/>
              <w:t xml:space="preserve">Afin de laisser aux Soumissionnaires un délai raisonnable pour prendre en compte un avenant dans la préparation de leur offre, le Maître d’ouvrage peut reporter la date limite de remise des offres conformément à IS 22.2. </w:t>
            </w:r>
          </w:p>
        </w:tc>
      </w:tr>
      <w:tr w:rsidR="006F129D" w:rsidRPr="004E4188" w14:paraId="7B58FFE7" w14:textId="77777777" w:rsidTr="00D45EAD">
        <w:tc>
          <w:tcPr>
            <w:tcW w:w="9288" w:type="dxa"/>
            <w:gridSpan w:val="2"/>
            <w:tcBorders>
              <w:top w:val="nil"/>
              <w:left w:val="nil"/>
              <w:bottom w:val="nil"/>
              <w:right w:val="nil"/>
            </w:tcBorders>
          </w:tcPr>
          <w:p w14:paraId="54FFFB50" w14:textId="5E0DD3FF" w:rsidR="006F129D" w:rsidRPr="004E4188" w:rsidRDefault="006F129D" w:rsidP="00D45EAD">
            <w:pPr>
              <w:pStyle w:val="S1-Header"/>
              <w:tabs>
                <w:tab w:val="num" w:pos="360"/>
              </w:tabs>
              <w:spacing w:after="200"/>
              <w:ind w:left="357" w:hanging="357"/>
            </w:pPr>
            <w:bookmarkStart w:id="111" w:name="_Toc438438829"/>
            <w:bookmarkStart w:id="112" w:name="_Toc438532577"/>
            <w:bookmarkStart w:id="113" w:name="_Toc438733973"/>
            <w:bookmarkStart w:id="114" w:name="_Toc438962055"/>
            <w:bookmarkStart w:id="115" w:name="_Toc461939618"/>
            <w:bookmarkStart w:id="116" w:name="_Toc113293296"/>
            <w:r w:rsidRPr="004E4188">
              <w:t xml:space="preserve">C. </w:t>
            </w:r>
            <w:r w:rsidRPr="004E4188">
              <w:rPr>
                <w:lang w:val="en-GB" w:eastAsia="en-US"/>
              </w:rPr>
              <w:t>Préparation</w:t>
            </w:r>
            <w:r w:rsidRPr="004E4188">
              <w:t xml:space="preserve"> des offres</w:t>
            </w:r>
            <w:bookmarkEnd w:id="111"/>
            <w:bookmarkEnd w:id="112"/>
            <w:bookmarkEnd w:id="113"/>
            <w:bookmarkEnd w:id="114"/>
            <w:bookmarkEnd w:id="115"/>
            <w:bookmarkEnd w:id="116"/>
          </w:p>
        </w:tc>
      </w:tr>
      <w:tr w:rsidR="006F129D" w:rsidRPr="004E4188" w14:paraId="751880A1" w14:textId="77777777" w:rsidTr="00D45EAD">
        <w:tc>
          <w:tcPr>
            <w:tcW w:w="2273" w:type="dxa"/>
            <w:tcBorders>
              <w:top w:val="nil"/>
              <w:left w:val="nil"/>
              <w:bottom w:val="nil"/>
              <w:right w:val="nil"/>
            </w:tcBorders>
          </w:tcPr>
          <w:p w14:paraId="205E4AF0" w14:textId="4C48A573" w:rsidR="006F129D" w:rsidRPr="004E4188" w:rsidRDefault="006F129D" w:rsidP="008A28CD">
            <w:pPr>
              <w:pStyle w:val="S1-Header20"/>
            </w:pPr>
            <w:bookmarkStart w:id="117" w:name="_Toc156373292"/>
            <w:bookmarkStart w:id="118" w:name="_Toc113293297"/>
            <w:bookmarkStart w:id="119" w:name="_Toc438438830"/>
            <w:bookmarkStart w:id="120" w:name="_Toc438532578"/>
            <w:bookmarkStart w:id="121" w:name="_Toc438733974"/>
            <w:bookmarkStart w:id="122" w:name="_Toc438907013"/>
            <w:bookmarkStart w:id="123" w:name="_Toc438907212"/>
            <w:r w:rsidRPr="004E4188">
              <w:t>9.</w:t>
            </w:r>
            <w:r w:rsidRPr="004E4188">
              <w:tab/>
              <w:t xml:space="preserve">Frais de </w:t>
            </w:r>
            <w:r w:rsidRPr="004E4188">
              <w:rPr>
                <w:lang w:val="en-GB"/>
              </w:rPr>
              <w:t>soumission</w:t>
            </w:r>
            <w:bookmarkEnd w:id="117"/>
            <w:bookmarkEnd w:id="118"/>
            <w:r w:rsidRPr="004E4188">
              <w:t xml:space="preserve"> </w:t>
            </w:r>
            <w:bookmarkEnd w:id="119"/>
            <w:bookmarkEnd w:id="120"/>
            <w:bookmarkEnd w:id="121"/>
            <w:bookmarkEnd w:id="122"/>
            <w:bookmarkEnd w:id="123"/>
          </w:p>
        </w:tc>
        <w:tc>
          <w:tcPr>
            <w:tcW w:w="7015" w:type="dxa"/>
            <w:tcBorders>
              <w:top w:val="nil"/>
              <w:left w:val="nil"/>
              <w:bottom w:val="nil"/>
              <w:right w:val="nil"/>
            </w:tcBorders>
          </w:tcPr>
          <w:p w14:paraId="5C6DA324" w14:textId="77777777" w:rsidR="006F129D" w:rsidRPr="004E4188" w:rsidRDefault="006F129D" w:rsidP="00016BCA">
            <w:pPr>
              <w:tabs>
                <w:tab w:val="left" w:pos="576"/>
              </w:tabs>
              <w:spacing w:after="200"/>
              <w:ind w:left="601" w:hanging="601"/>
            </w:pPr>
            <w:r w:rsidRPr="004E4188">
              <w:t>9.1</w:t>
            </w:r>
            <w:r w:rsidRPr="004E4188">
              <w:tab/>
              <w:t>Le Soumissionnaire supportera tous les frais afférents à la préparation et à la soumission de son offre, et le Maître d’ouvrage ne sera en aucun cas responsable de ces frais ni tenu de les régler, quels que soient le déroulement et l’issue de la procédure d’appel d’offres.</w:t>
            </w:r>
          </w:p>
        </w:tc>
      </w:tr>
      <w:tr w:rsidR="006F129D" w:rsidRPr="004E4188" w14:paraId="481BCE0E" w14:textId="77777777" w:rsidTr="00D45EAD">
        <w:tc>
          <w:tcPr>
            <w:tcW w:w="2273" w:type="dxa"/>
            <w:tcBorders>
              <w:top w:val="nil"/>
              <w:left w:val="nil"/>
              <w:bottom w:val="nil"/>
              <w:right w:val="nil"/>
            </w:tcBorders>
          </w:tcPr>
          <w:p w14:paraId="480B978D" w14:textId="0E5C74F5" w:rsidR="006F129D" w:rsidRPr="004E4188" w:rsidRDefault="006F129D" w:rsidP="008A28CD">
            <w:pPr>
              <w:pStyle w:val="S1-Header20"/>
            </w:pPr>
            <w:bookmarkStart w:id="124" w:name="_Toc438438831"/>
            <w:bookmarkStart w:id="125" w:name="_Toc438532579"/>
            <w:bookmarkStart w:id="126" w:name="_Toc438733975"/>
            <w:bookmarkStart w:id="127" w:name="_Toc438907014"/>
            <w:bookmarkStart w:id="128" w:name="_Toc438907213"/>
            <w:bookmarkStart w:id="129" w:name="_Toc156373293"/>
            <w:bookmarkStart w:id="130" w:name="_Toc113293298"/>
            <w:r w:rsidRPr="004E4188">
              <w:t>10.</w:t>
            </w:r>
            <w:r w:rsidRPr="004E4188">
              <w:tab/>
            </w:r>
            <w:r w:rsidRPr="004E4188">
              <w:rPr>
                <w:lang w:val="en-GB"/>
              </w:rPr>
              <w:t>Langue</w:t>
            </w:r>
            <w:r w:rsidRPr="004E4188">
              <w:t xml:space="preserve"> de l’offre</w:t>
            </w:r>
            <w:bookmarkEnd w:id="124"/>
            <w:bookmarkEnd w:id="125"/>
            <w:bookmarkEnd w:id="126"/>
            <w:bookmarkEnd w:id="127"/>
            <w:bookmarkEnd w:id="128"/>
            <w:bookmarkEnd w:id="129"/>
            <w:bookmarkEnd w:id="130"/>
          </w:p>
        </w:tc>
        <w:tc>
          <w:tcPr>
            <w:tcW w:w="7015" w:type="dxa"/>
            <w:tcBorders>
              <w:top w:val="nil"/>
              <w:left w:val="nil"/>
              <w:bottom w:val="nil"/>
              <w:right w:val="nil"/>
            </w:tcBorders>
          </w:tcPr>
          <w:p w14:paraId="7FC1C7D2" w14:textId="77777777" w:rsidR="006F129D" w:rsidRPr="004E4188" w:rsidRDefault="006F129D" w:rsidP="00016BCA">
            <w:pPr>
              <w:tabs>
                <w:tab w:val="left" w:pos="576"/>
              </w:tabs>
              <w:spacing w:after="200"/>
              <w:ind w:left="601" w:hanging="601"/>
            </w:pPr>
            <w:r w:rsidRPr="004E4188">
              <w:t>10.1</w:t>
            </w:r>
            <w:r w:rsidRPr="004E4188">
              <w:tab/>
              <w:t>L’offre, ainsi que toute la correspondance et tous les documents la concernant échangés entre le Soumissionnaire et le Maître d’ouvrage seront rédigés dans la langue</w:t>
            </w:r>
            <w:r w:rsidRPr="004E4188">
              <w:rPr>
                <w:b/>
              </w:rPr>
              <w:t xml:space="preserve"> indiquée dans les DP</w:t>
            </w:r>
            <w:r w:rsidRPr="004E4188">
              <w:t>. Les documents complémentaires et les imprimés qui font partie de l’offre peuvent être rédigés dans une autre langue à condition d’être accompagnés d’une traduction exacte des passages pertinents dans la langue de l’offre, auquel cas, aux fins d’interprétation de l’offre, la traduction fera foi.</w:t>
            </w:r>
          </w:p>
        </w:tc>
      </w:tr>
      <w:tr w:rsidR="006F129D" w:rsidRPr="004E4188" w14:paraId="4954A9CD" w14:textId="77777777" w:rsidTr="00D45EAD">
        <w:tc>
          <w:tcPr>
            <w:tcW w:w="2273" w:type="dxa"/>
            <w:tcBorders>
              <w:top w:val="nil"/>
              <w:left w:val="nil"/>
              <w:bottom w:val="nil"/>
              <w:right w:val="nil"/>
            </w:tcBorders>
          </w:tcPr>
          <w:p w14:paraId="6DBCD835" w14:textId="3B289008" w:rsidR="006F129D" w:rsidRPr="004E4188" w:rsidRDefault="006F129D" w:rsidP="008A28CD">
            <w:pPr>
              <w:pStyle w:val="S1-Header20"/>
            </w:pPr>
            <w:bookmarkStart w:id="131" w:name="_Toc438438832"/>
            <w:bookmarkStart w:id="132" w:name="_Toc438532580"/>
            <w:bookmarkStart w:id="133" w:name="_Toc438733976"/>
            <w:bookmarkStart w:id="134" w:name="_Toc438907015"/>
            <w:bookmarkStart w:id="135" w:name="_Toc438907214"/>
            <w:bookmarkStart w:id="136" w:name="_Toc156373294"/>
            <w:bookmarkStart w:id="137" w:name="_Toc113293299"/>
            <w:r w:rsidRPr="004E4188">
              <w:t>11.</w:t>
            </w:r>
            <w:r w:rsidRPr="004E4188">
              <w:tab/>
            </w:r>
            <w:r w:rsidRPr="004E4188">
              <w:rPr>
                <w:lang w:val="en-GB"/>
              </w:rPr>
              <w:t>Documents</w:t>
            </w:r>
            <w:r w:rsidRPr="004E4188">
              <w:t xml:space="preserve"> constitutifs de l’offre</w:t>
            </w:r>
            <w:bookmarkEnd w:id="131"/>
            <w:bookmarkEnd w:id="132"/>
            <w:bookmarkEnd w:id="133"/>
            <w:bookmarkEnd w:id="134"/>
            <w:bookmarkEnd w:id="135"/>
            <w:bookmarkEnd w:id="136"/>
            <w:bookmarkEnd w:id="137"/>
          </w:p>
        </w:tc>
        <w:tc>
          <w:tcPr>
            <w:tcW w:w="7015" w:type="dxa"/>
            <w:tcBorders>
              <w:top w:val="nil"/>
              <w:left w:val="nil"/>
              <w:bottom w:val="nil"/>
              <w:right w:val="nil"/>
            </w:tcBorders>
          </w:tcPr>
          <w:p w14:paraId="00BF6364" w14:textId="0F65AD76" w:rsidR="006F129D" w:rsidRPr="004E4188" w:rsidRDefault="006F129D" w:rsidP="00016BCA">
            <w:pPr>
              <w:suppressAutoHyphens w:val="0"/>
              <w:spacing w:after="200"/>
              <w:ind w:left="601" w:hanging="601"/>
            </w:pPr>
            <w:r w:rsidRPr="004E4188">
              <w:t>11.1</w:t>
            </w:r>
            <w:r w:rsidRPr="004E4188">
              <w:tab/>
              <w:t>L’offre comprendra deux enveloppes soumises simultanément, l’une appelée l’Offre Technique incluant les documents stipulés à IS</w:t>
            </w:r>
            <w:r w:rsidR="00063DD9" w:rsidRPr="004E4188">
              <w:rPr>
                <w:lang w:eastAsia="ja-JP"/>
              </w:rPr>
              <w:t> </w:t>
            </w:r>
            <w:r w:rsidRPr="004E4188">
              <w:t>11.2, et l’autre appelée l’Offre Financière incluant les documents énumérés à IS</w:t>
            </w:r>
            <w:r w:rsidR="00063DD9" w:rsidRPr="004E4188">
              <w:rPr>
                <w:lang w:eastAsia="ja-JP"/>
              </w:rPr>
              <w:t> </w:t>
            </w:r>
            <w:r w:rsidRPr="004E4188">
              <w:t>11.3, toutes deux placées dans une même enveloppe extérieure.</w:t>
            </w:r>
          </w:p>
        </w:tc>
      </w:tr>
      <w:tr w:rsidR="006F129D" w:rsidRPr="004E4188" w14:paraId="598E6383" w14:textId="77777777" w:rsidTr="00D45EAD">
        <w:tc>
          <w:tcPr>
            <w:tcW w:w="2273" w:type="dxa"/>
            <w:tcBorders>
              <w:top w:val="nil"/>
              <w:left w:val="nil"/>
              <w:bottom w:val="nil"/>
              <w:right w:val="nil"/>
            </w:tcBorders>
          </w:tcPr>
          <w:p w14:paraId="5002F956" w14:textId="77777777" w:rsidR="006F129D" w:rsidRPr="004E4188" w:rsidRDefault="006F129D" w:rsidP="004E0251">
            <w:pPr>
              <w:pStyle w:val="Header1-Clauses"/>
              <w:rPr>
                <w:lang w:val="fr-FR"/>
              </w:rPr>
            </w:pPr>
          </w:p>
        </w:tc>
        <w:tc>
          <w:tcPr>
            <w:tcW w:w="7015" w:type="dxa"/>
            <w:tcBorders>
              <w:top w:val="nil"/>
              <w:left w:val="nil"/>
              <w:bottom w:val="nil"/>
              <w:right w:val="nil"/>
            </w:tcBorders>
          </w:tcPr>
          <w:p w14:paraId="1D2431B6" w14:textId="0D92E7EC" w:rsidR="006F129D" w:rsidRPr="004E4188" w:rsidRDefault="006F129D" w:rsidP="00DA651C">
            <w:pPr>
              <w:spacing w:after="200"/>
              <w:ind w:left="601" w:hanging="601"/>
              <w:rPr>
                <w:lang w:eastAsia="ja-JP"/>
              </w:rPr>
            </w:pPr>
            <w:r w:rsidRPr="004E4188">
              <w:t>11.2</w:t>
            </w:r>
            <w:r w:rsidRPr="004E4188">
              <w:rPr>
                <w:lang w:eastAsia="ja-JP"/>
              </w:rPr>
              <w:tab/>
            </w:r>
            <w:r w:rsidRPr="004E4188">
              <w:t>L’Offre Technique comprendra les documents suivants </w:t>
            </w:r>
            <w:r w:rsidRPr="004E4188">
              <w:rPr>
                <w:lang w:eastAsia="ja-JP"/>
              </w:rPr>
              <w:t>:</w:t>
            </w:r>
          </w:p>
          <w:p w14:paraId="1093C1F3" w14:textId="77777777" w:rsidR="006F129D" w:rsidRPr="004E4188" w:rsidRDefault="006F129D" w:rsidP="00016BCA">
            <w:pPr>
              <w:spacing w:after="200"/>
              <w:ind w:left="1026" w:hanging="425"/>
              <w:rPr>
                <w:lang w:eastAsia="ja-JP"/>
              </w:rPr>
            </w:pPr>
            <w:r w:rsidRPr="004E4188">
              <w:rPr>
                <w:lang w:eastAsia="ja-JP"/>
              </w:rPr>
              <w:t>(a)</w:t>
            </w:r>
            <w:r w:rsidRPr="004E4188">
              <w:rPr>
                <w:lang w:eastAsia="ja-JP"/>
              </w:rPr>
              <w:tab/>
              <w:t>la Lettre de soumission de l’Offre Technique</w:t>
            </w:r>
            <w:r w:rsidRPr="004E4188">
              <w:t xml:space="preserve"> établie conformément à IS 12.1</w:t>
            </w:r>
            <w:r w:rsidRPr="004E4188">
              <w:rPr>
                <w:lang w:eastAsia="ja-JP"/>
              </w:rPr>
              <w:t> ;</w:t>
            </w:r>
          </w:p>
          <w:p w14:paraId="0F844EE9" w14:textId="57D7F0D2" w:rsidR="006F129D" w:rsidRPr="004E4188" w:rsidRDefault="006F129D" w:rsidP="00016BCA">
            <w:pPr>
              <w:spacing w:after="200"/>
              <w:ind w:left="1026" w:hanging="425"/>
            </w:pPr>
            <w:r w:rsidRPr="004E4188">
              <w:rPr>
                <w:lang w:eastAsia="ja-JP"/>
              </w:rPr>
              <w:t>(b)</w:t>
            </w:r>
            <w:r w:rsidRPr="004E4188">
              <w:rPr>
                <w:lang w:eastAsia="ja-JP"/>
              </w:rPr>
              <w:tab/>
            </w:r>
            <w:r w:rsidRPr="004E4188">
              <w:t>la garantie de soumission établie conformément à IS 19 ;</w:t>
            </w:r>
          </w:p>
          <w:p w14:paraId="61D40CFF" w14:textId="53B6928C" w:rsidR="006F129D" w:rsidRPr="004E4188" w:rsidRDefault="006F129D" w:rsidP="00016BCA">
            <w:pPr>
              <w:spacing w:after="200"/>
              <w:ind w:left="1026" w:hanging="425"/>
            </w:pPr>
            <w:r w:rsidRPr="004E4188">
              <w:t>(c)</w:t>
            </w:r>
            <w:r w:rsidRPr="004E4188">
              <w:rPr>
                <w:lang w:eastAsia="ja-JP"/>
              </w:rPr>
              <w:tab/>
              <w:t xml:space="preserve">la </w:t>
            </w:r>
            <w:r w:rsidRPr="004E4188">
              <w:rPr>
                <w:szCs w:val="24"/>
              </w:rPr>
              <w:t>procuration attestant que le signataire de l’offre est habilité à</w:t>
            </w:r>
            <w:r w:rsidRPr="004E4188">
              <w:t xml:space="preserve"> </w:t>
            </w:r>
            <w:r w:rsidRPr="004E4188">
              <w:rPr>
                <w:szCs w:val="24"/>
              </w:rPr>
              <w:t>engager le Soumissionnaire conformément à IS</w:t>
            </w:r>
            <w:r w:rsidR="00063DD9" w:rsidRPr="004E4188">
              <w:rPr>
                <w:lang w:eastAsia="ja-JP"/>
              </w:rPr>
              <w:t> </w:t>
            </w:r>
            <w:r w:rsidRPr="004E4188">
              <w:rPr>
                <w:szCs w:val="24"/>
              </w:rPr>
              <w:t>20.2 et IS</w:t>
            </w:r>
            <w:r w:rsidR="00063DD9" w:rsidRPr="004E4188">
              <w:rPr>
                <w:lang w:eastAsia="ja-JP"/>
              </w:rPr>
              <w:t> </w:t>
            </w:r>
            <w:r w:rsidRPr="004E4188">
              <w:rPr>
                <w:szCs w:val="24"/>
              </w:rPr>
              <w:t>20.3</w:t>
            </w:r>
            <w:r w:rsidRPr="004E4188">
              <w:t> ;</w:t>
            </w:r>
          </w:p>
          <w:p w14:paraId="61EC6FE9" w14:textId="3CB752B1" w:rsidR="006F129D" w:rsidRPr="004E4188" w:rsidRDefault="006F129D" w:rsidP="00D45EAD">
            <w:pPr>
              <w:tabs>
                <w:tab w:val="left" w:pos="1182"/>
              </w:tabs>
              <w:spacing w:after="200"/>
              <w:ind w:left="1026" w:hanging="425"/>
              <w:rPr>
                <w:lang w:eastAsia="ja-JP"/>
              </w:rPr>
            </w:pPr>
            <w:r w:rsidRPr="004E4188">
              <w:t>(d)</w:t>
            </w:r>
            <w:r w:rsidRPr="004E4188">
              <w:rPr>
                <w:lang w:eastAsia="ja-JP"/>
              </w:rPr>
              <w:tab/>
              <w:t xml:space="preserve">dans le cas </w:t>
            </w:r>
            <w:r w:rsidR="00D24B09" w:rsidRPr="004E4188">
              <w:rPr>
                <w:lang w:eastAsia="ja-JP"/>
              </w:rPr>
              <w:t>d’une offre</w:t>
            </w:r>
            <w:r w:rsidRPr="004E4188">
              <w:rPr>
                <w:lang w:eastAsia="ja-JP"/>
              </w:rPr>
              <w:t xml:space="preserve"> soumise par un Groupement</w:t>
            </w:r>
            <w:r w:rsidRPr="004E4188">
              <w:t xml:space="preserve"> d’entreprises</w:t>
            </w:r>
            <w:r w:rsidRPr="004E4188">
              <w:rPr>
                <w:lang w:eastAsia="ja-JP"/>
              </w:rPr>
              <w:t xml:space="preserve">, </w:t>
            </w:r>
            <w:r w:rsidR="00D24B09" w:rsidRPr="004E4188">
              <w:rPr>
                <w:lang w:eastAsia="ja-JP"/>
              </w:rPr>
              <w:t xml:space="preserve">la </w:t>
            </w:r>
            <w:r w:rsidRPr="004E4188">
              <w:rPr>
                <w:lang w:eastAsia="ja-JP"/>
              </w:rPr>
              <w:t xml:space="preserve">copie de l’accord de Groupement, ou </w:t>
            </w:r>
            <w:r w:rsidR="00D24B09" w:rsidRPr="004E4188">
              <w:rPr>
                <w:lang w:eastAsia="ja-JP"/>
              </w:rPr>
              <w:t xml:space="preserve">la </w:t>
            </w:r>
            <w:r w:rsidRPr="004E4188">
              <w:rPr>
                <w:lang w:eastAsia="ja-JP"/>
              </w:rPr>
              <w:t>lettre d’intention de constituer un Groupement</w:t>
            </w:r>
            <w:r w:rsidRPr="004E4188">
              <w:t xml:space="preserve"> incluant le projet d’accord, établies conformément à IS 4.1</w:t>
            </w:r>
            <w:r w:rsidRPr="004E4188">
              <w:rPr>
                <w:lang w:eastAsia="ja-JP"/>
              </w:rPr>
              <w:t> ;</w:t>
            </w:r>
          </w:p>
          <w:p w14:paraId="468E3B86" w14:textId="2FBA296D" w:rsidR="006F129D" w:rsidRPr="004E4188" w:rsidRDefault="006F129D" w:rsidP="00D45EAD">
            <w:pPr>
              <w:suppressAutoHyphens w:val="0"/>
              <w:spacing w:after="200"/>
              <w:ind w:left="1026" w:hanging="425"/>
            </w:pPr>
            <w:r w:rsidRPr="004E4188">
              <w:t>(e)</w:t>
            </w:r>
            <w:r w:rsidRPr="004E4188">
              <w:rPr>
                <w:lang w:eastAsia="ja-JP"/>
              </w:rPr>
              <w:tab/>
            </w:r>
            <w:r w:rsidRPr="004E4188">
              <w:t>les documents attestant que le Soumissionnaire répond aux critères d’éligibilité et possède les qualifications requises pour exécuter le Marché si son offre est retenue, conformément à IS 17</w:t>
            </w:r>
            <w:r w:rsidR="00063DD9" w:rsidRPr="004E4188">
              <w:rPr>
                <w:lang w:eastAsia="ja-JP"/>
              </w:rPr>
              <w:t> </w:t>
            </w:r>
            <w:r w:rsidRPr="004E4188">
              <w:t>;</w:t>
            </w:r>
          </w:p>
        </w:tc>
      </w:tr>
      <w:tr w:rsidR="006F129D" w:rsidRPr="004E4188" w14:paraId="18C0963D" w14:textId="77777777" w:rsidTr="00D45EAD">
        <w:tc>
          <w:tcPr>
            <w:tcW w:w="2273" w:type="dxa"/>
            <w:tcBorders>
              <w:top w:val="nil"/>
              <w:left w:val="nil"/>
              <w:bottom w:val="nil"/>
              <w:right w:val="nil"/>
            </w:tcBorders>
          </w:tcPr>
          <w:p w14:paraId="468C7EA4" w14:textId="77777777" w:rsidR="006F129D" w:rsidRPr="004E4188" w:rsidRDefault="006F129D" w:rsidP="0079054E">
            <w:pPr>
              <w:numPr>
                <w:ilvl w:val="12"/>
                <w:numId w:val="0"/>
              </w:numPr>
            </w:pPr>
            <w:bookmarkStart w:id="138" w:name="_Toc438532581"/>
            <w:bookmarkEnd w:id="138"/>
          </w:p>
        </w:tc>
        <w:tc>
          <w:tcPr>
            <w:tcW w:w="7015" w:type="dxa"/>
            <w:tcBorders>
              <w:top w:val="nil"/>
              <w:left w:val="nil"/>
              <w:bottom w:val="nil"/>
              <w:right w:val="nil"/>
            </w:tcBorders>
          </w:tcPr>
          <w:p w14:paraId="16E3428E" w14:textId="13D4030E" w:rsidR="006F129D" w:rsidRPr="004E4188" w:rsidRDefault="006F129D" w:rsidP="00D45EAD">
            <w:pPr>
              <w:tabs>
                <w:tab w:val="left" w:pos="576"/>
                <w:tab w:val="left" w:pos="1182"/>
              </w:tabs>
              <w:suppressAutoHyphens w:val="0"/>
              <w:spacing w:after="200"/>
              <w:ind w:left="1026" w:hanging="425"/>
            </w:pPr>
            <w:r w:rsidRPr="004E4188">
              <w:t>(f)</w:t>
            </w:r>
            <w:r w:rsidRPr="004E4188">
              <w:rPr>
                <w:lang w:eastAsia="ja-JP"/>
              </w:rPr>
              <w:tab/>
            </w:r>
            <w:r w:rsidRPr="004E4188">
              <w:t>les documents attestant, conformément à IS</w:t>
            </w:r>
            <w:r w:rsidR="00063DD9" w:rsidRPr="004E4188">
              <w:rPr>
                <w:lang w:eastAsia="ja-JP"/>
              </w:rPr>
              <w:t> </w:t>
            </w:r>
            <w:r w:rsidRPr="004E4188">
              <w:t xml:space="preserve">16.2, que les </w:t>
            </w:r>
            <w:r w:rsidRPr="004E4188">
              <w:rPr>
                <w:szCs w:val="24"/>
              </w:rPr>
              <w:t>É</w:t>
            </w:r>
            <w:r w:rsidRPr="004E4188">
              <w:t>quipements et Services de montage proposés par le Soumissionnaire sont conformes au Dossier d’appel d’offres ;</w:t>
            </w:r>
          </w:p>
          <w:p w14:paraId="48311DA6" w14:textId="4785FC5D" w:rsidR="006F129D" w:rsidRPr="004E4188" w:rsidRDefault="006F129D" w:rsidP="00D45EAD">
            <w:pPr>
              <w:tabs>
                <w:tab w:val="left" w:pos="576"/>
                <w:tab w:val="left" w:pos="1182"/>
              </w:tabs>
              <w:suppressAutoHyphens w:val="0"/>
              <w:spacing w:after="200"/>
              <w:ind w:left="1026" w:hanging="425"/>
            </w:pPr>
            <w:r w:rsidRPr="004E4188">
              <w:t>(g)</w:t>
            </w:r>
            <w:r w:rsidRPr="004E4188">
              <w:rPr>
                <w:lang w:eastAsia="ja-JP"/>
              </w:rPr>
              <w:tab/>
            </w:r>
            <w:r w:rsidRPr="004E4188">
              <w:t>la Proposition technique soumise conformément à IS 16</w:t>
            </w:r>
            <w:r w:rsidR="00063DD9" w:rsidRPr="004E4188">
              <w:rPr>
                <w:lang w:eastAsia="ja-JP"/>
              </w:rPr>
              <w:t> </w:t>
            </w:r>
            <w:r w:rsidRPr="004E4188">
              <w:t xml:space="preserve">; </w:t>
            </w:r>
          </w:p>
          <w:p w14:paraId="1F4B4698" w14:textId="77777777" w:rsidR="006F129D" w:rsidRPr="004E4188" w:rsidRDefault="006F129D" w:rsidP="00D45EAD">
            <w:pPr>
              <w:spacing w:after="200"/>
              <w:ind w:left="1026" w:hanging="425"/>
            </w:pPr>
            <w:r w:rsidRPr="004E4188">
              <w:t>(h)</w:t>
            </w:r>
            <w:r w:rsidRPr="004E4188">
              <w:rPr>
                <w:lang w:eastAsia="ja-JP"/>
              </w:rPr>
              <w:tab/>
            </w:r>
            <w:r w:rsidRPr="004E4188">
              <w:t>la Reconnaissance du respect des Directives pour les passations de marchés sous financement par Prêts APD du Japon (Formulaire REC). Le représentant habilité du Soumissionnaire doit signer et dater ce formulaire ; et</w:t>
            </w:r>
          </w:p>
          <w:p w14:paraId="0954E422" w14:textId="3B97C64C" w:rsidR="006F129D" w:rsidRPr="004E4188" w:rsidRDefault="006F129D" w:rsidP="000D6F23">
            <w:pPr>
              <w:tabs>
                <w:tab w:val="left" w:pos="1152"/>
              </w:tabs>
              <w:suppressAutoHyphens w:val="0"/>
              <w:spacing w:after="200"/>
              <w:ind w:left="1026" w:hanging="425"/>
            </w:pPr>
            <w:r w:rsidRPr="004E4188">
              <w:t>(</w:t>
            </w:r>
            <w:r w:rsidR="00DC6182" w:rsidRPr="004E4188">
              <w:t>i</w:t>
            </w:r>
            <w:r w:rsidRPr="004E4188">
              <w:t>)</w:t>
            </w:r>
            <w:r w:rsidRPr="004E4188">
              <w:rPr>
                <w:lang w:eastAsia="ja-JP"/>
              </w:rPr>
              <w:tab/>
            </w:r>
            <w:r w:rsidRPr="004E4188">
              <w:t xml:space="preserve">tout autre document </w:t>
            </w:r>
            <w:r w:rsidRPr="004E4188">
              <w:rPr>
                <w:b/>
              </w:rPr>
              <w:t>requis par les DP</w:t>
            </w:r>
            <w:r w:rsidRPr="004E4188">
              <w:t>.</w:t>
            </w:r>
          </w:p>
        </w:tc>
      </w:tr>
      <w:tr w:rsidR="006F129D" w:rsidRPr="004E4188" w14:paraId="29393FA4" w14:textId="77777777" w:rsidTr="00D45EAD">
        <w:tc>
          <w:tcPr>
            <w:tcW w:w="2273" w:type="dxa"/>
            <w:tcBorders>
              <w:top w:val="nil"/>
              <w:left w:val="nil"/>
              <w:bottom w:val="nil"/>
              <w:right w:val="nil"/>
            </w:tcBorders>
          </w:tcPr>
          <w:p w14:paraId="2F506A3E" w14:textId="77777777" w:rsidR="006F129D" w:rsidRPr="004E4188" w:rsidRDefault="006F129D" w:rsidP="0079054E">
            <w:pPr>
              <w:numPr>
                <w:ilvl w:val="12"/>
                <w:numId w:val="0"/>
              </w:numPr>
            </w:pPr>
          </w:p>
        </w:tc>
        <w:tc>
          <w:tcPr>
            <w:tcW w:w="7015" w:type="dxa"/>
            <w:tcBorders>
              <w:top w:val="nil"/>
              <w:left w:val="nil"/>
              <w:bottom w:val="nil"/>
              <w:right w:val="nil"/>
            </w:tcBorders>
          </w:tcPr>
          <w:p w14:paraId="3B089C53" w14:textId="77777777" w:rsidR="006F129D" w:rsidRPr="004E4188" w:rsidRDefault="006F129D" w:rsidP="00707146">
            <w:pPr>
              <w:spacing w:after="200"/>
              <w:ind w:left="601" w:hanging="601"/>
              <w:rPr>
                <w:lang w:eastAsia="ja-JP"/>
              </w:rPr>
            </w:pPr>
            <w:r w:rsidRPr="004E4188">
              <w:t>11.3</w:t>
            </w:r>
            <w:r w:rsidRPr="004E4188">
              <w:rPr>
                <w:lang w:eastAsia="ja-JP"/>
              </w:rPr>
              <w:tab/>
            </w:r>
            <w:r w:rsidRPr="004E4188">
              <w:t>L’Offre Financière remise par le Soumissionnaire comprendra les documents suivants </w:t>
            </w:r>
            <w:r w:rsidRPr="004E4188">
              <w:rPr>
                <w:lang w:eastAsia="ja-JP"/>
              </w:rPr>
              <w:t>:</w:t>
            </w:r>
          </w:p>
          <w:p w14:paraId="5461E0C9" w14:textId="77777777" w:rsidR="006F129D" w:rsidRPr="004E4188" w:rsidRDefault="006F129D" w:rsidP="00016BCA">
            <w:pPr>
              <w:suppressAutoHyphens w:val="0"/>
              <w:spacing w:after="200"/>
              <w:ind w:left="1026" w:hanging="425"/>
            </w:pPr>
            <w:r w:rsidRPr="004E4188">
              <w:t>(a)</w:t>
            </w:r>
            <w:r w:rsidRPr="004E4188">
              <w:rPr>
                <w:lang w:eastAsia="ja-JP"/>
              </w:rPr>
              <w:tab/>
            </w:r>
            <w:r w:rsidRPr="004E4188">
              <w:t>la Lettre de soumission de l’Offre Financière établie conformément à IS 12.1 ;</w:t>
            </w:r>
          </w:p>
          <w:p w14:paraId="49F9678B" w14:textId="2DDAB098" w:rsidR="006F129D" w:rsidRPr="004E4188" w:rsidRDefault="006F129D" w:rsidP="00016BCA">
            <w:pPr>
              <w:suppressAutoHyphens w:val="0"/>
              <w:spacing w:after="200"/>
              <w:ind w:left="1026" w:hanging="425"/>
            </w:pPr>
            <w:r w:rsidRPr="004E4188">
              <w:t>(b)</w:t>
            </w:r>
            <w:r w:rsidRPr="004E4188">
              <w:tab/>
              <w:t xml:space="preserve">les </w:t>
            </w:r>
            <w:r w:rsidR="001D28BF" w:rsidRPr="004E4188">
              <w:t>B</w:t>
            </w:r>
            <w:r w:rsidRPr="004E4188">
              <w:t>ordereaux complétés conformément à IS 12.1 et IS 14, y compris les Bordereaux des prix complétés et le Bordereau des données de révision des prix complété (si requis conformément à IS</w:t>
            </w:r>
            <w:r w:rsidR="00063DD9" w:rsidRPr="004E4188">
              <w:rPr>
                <w:lang w:eastAsia="ja-JP"/>
              </w:rPr>
              <w:t> </w:t>
            </w:r>
            <w:r w:rsidRPr="004E4188">
              <w:t>14.7), à l’exclusion de tout formulaire requis par IS 11.2 ; et</w:t>
            </w:r>
          </w:p>
          <w:p w14:paraId="0742D02F" w14:textId="7195F003" w:rsidR="006F129D" w:rsidRPr="004E4188" w:rsidRDefault="006F129D" w:rsidP="00D45EAD">
            <w:pPr>
              <w:suppressAutoHyphens w:val="0"/>
              <w:spacing w:after="200"/>
              <w:ind w:left="1026" w:hanging="425"/>
            </w:pPr>
            <w:r w:rsidRPr="004E4188">
              <w:t>(c)</w:t>
            </w:r>
            <w:r w:rsidRPr="004E4188">
              <w:tab/>
              <w:t xml:space="preserve">tout autre document </w:t>
            </w:r>
            <w:r w:rsidRPr="004E4188">
              <w:rPr>
                <w:b/>
              </w:rPr>
              <w:t>requis par les DP</w:t>
            </w:r>
            <w:r w:rsidRPr="004E4188">
              <w:t>.</w:t>
            </w:r>
          </w:p>
        </w:tc>
      </w:tr>
      <w:tr w:rsidR="006F129D" w:rsidRPr="004E4188" w14:paraId="352EBE9C" w14:textId="77777777" w:rsidTr="00D45EAD">
        <w:trPr>
          <w:trHeight w:val="480"/>
        </w:trPr>
        <w:tc>
          <w:tcPr>
            <w:tcW w:w="2273" w:type="dxa"/>
          </w:tcPr>
          <w:p w14:paraId="144B504A" w14:textId="01B80016" w:rsidR="006F129D" w:rsidRPr="004E4188" w:rsidRDefault="006F129D" w:rsidP="008A28CD">
            <w:pPr>
              <w:pStyle w:val="S1-Header20"/>
              <w:rPr>
                <w:lang w:val="fr-FR"/>
              </w:rPr>
            </w:pPr>
            <w:bookmarkStart w:id="139" w:name="_Toc438532582"/>
            <w:bookmarkStart w:id="140" w:name="_Toc438438833"/>
            <w:bookmarkStart w:id="141" w:name="_Toc438532583"/>
            <w:bookmarkStart w:id="142" w:name="_Toc438733977"/>
            <w:bookmarkStart w:id="143" w:name="_Toc438907016"/>
            <w:bookmarkStart w:id="144" w:name="_Toc438907215"/>
            <w:bookmarkStart w:id="145" w:name="_Toc156373295"/>
            <w:bookmarkStart w:id="146" w:name="_Toc113293300"/>
            <w:bookmarkEnd w:id="139"/>
            <w:r w:rsidRPr="004E4188">
              <w:rPr>
                <w:lang w:val="fr-FR"/>
              </w:rPr>
              <w:t>12.</w:t>
            </w:r>
            <w:r w:rsidRPr="004E4188">
              <w:rPr>
                <w:lang w:val="fr-FR"/>
              </w:rPr>
              <w:tab/>
              <w:t xml:space="preserve">Lettres de soumission et </w:t>
            </w:r>
            <w:bookmarkEnd w:id="140"/>
            <w:bookmarkEnd w:id="141"/>
            <w:bookmarkEnd w:id="142"/>
            <w:bookmarkEnd w:id="143"/>
            <w:bookmarkEnd w:id="144"/>
            <w:bookmarkEnd w:id="145"/>
            <w:r w:rsidRPr="004E4188">
              <w:rPr>
                <w:lang w:val="fr-FR"/>
              </w:rPr>
              <w:t>Bordereaux</w:t>
            </w:r>
            <w:bookmarkEnd w:id="146"/>
          </w:p>
        </w:tc>
        <w:tc>
          <w:tcPr>
            <w:tcW w:w="7015" w:type="dxa"/>
          </w:tcPr>
          <w:p w14:paraId="2853E2C1" w14:textId="6C8F69B9" w:rsidR="006F129D" w:rsidRPr="004E4188" w:rsidRDefault="006F129D" w:rsidP="00D45EAD">
            <w:pPr>
              <w:spacing w:after="200"/>
              <w:ind w:left="601" w:hanging="601"/>
            </w:pPr>
            <w:r w:rsidRPr="004E4188">
              <w:t>12.1</w:t>
            </w:r>
            <w:r w:rsidRPr="004E4188">
              <w:tab/>
              <w:t>Le Soumissionnaire doit remplir la Lettre de soumission de l’Offre Technique et celle de l’Offre Financière, et les Bordereaux, y compris les Bordereaux des prix et le Bordereau des données de révision des prix (seulement si requis suivant IS</w:t>
            </w:r>
            <w:r w:rsidR="000F45A3" w:rsidRPr="004E4188">
              <w:rPr>
                <w:lang w:eastAsia="ja-JP"/>
              </w:rPr>
              <w:t> </w:t>
            </w:r>
            <w:r w:rsidRPr="004E4188">
              <w:t>14.7) en utilisant les formulaires correspondants fournis à la Section IV, Formulaires de soumission. Ces formulaires doivent être complétés sans apporter de modification au texte, et aucun autre format ne sera accepté. Toutes les rubriques doivent être complétées et inclure les renseignements demandés.</w:t>
            </w:r>
          </w:p>
        </w:tc>
      </w:tr>
      <w:tr w:rsidR="006F129D" w:rsidRPr="004E4188" w14:paraId="41A541A4" w14:textId="77777777" w:rsidTr="00D45EAD">
        <w:trPr>
          <w:trHeight w:val="810"/>
        </w:trPr>
        <w:tc>
          <w:tcPr>
            <w:tcW w:w="2273" w:type="dxa"/>
            <w:tcBorders>
              <w:top w:val="nil"/>
              <w:left w:val="nil"/>
              <w:bottom w:val="nil"/>
              <w:right w:val="nil"/>
            </w:tcBorders>
          </w:tcPr>
          <w:p w14:paraId="5D533EDC" w14:textId="25F246B2" w:rsidR="006F129D" w:rsidRPr="004E4188" w:rsidRDefault="006F129D" w:rsidP="008A28CD">
            <w:pPr>
              <w:pStyle w:val="S1-Header20"/>
              <w:rPr>
                <w:lang w:val="fr-FR"/>
              </w:rPr>
            </w:pPr>
            <w:bookmarkStart w:id="147" w:name="_Toc438532584"/>
            <w:bookmarkStart w:id="148" w:name="_Toc438532585"/>
            <w:bookmarkStart w:id="149" w:name="_Toc438532586"/>
            <w:bookmarkStart w:id="150" w:name="_Toc438438834"/>
            <w:bookmarkStart w:id="151" w:name="_Toc438532587"/>
            <w:bookmarkStart w:id="152" w:name="_Toc438733978"/>
            <w:bookmarkStart w:id="153" w:name="_Toc438907017"/>
            <w:bookmarkStart w:id="154" w:name="_Toc438907216"/>
            <w:bookmarkStart w:id="155" w:name="_Toc156373296"/>
            <w:bookmarkStart w:id="156" w:name="_Toc113293301"/>
            <w:bookmarkEnd w:id="147"/>
            <w:bookmarkEnd w:id="148"/>
            <w:bookmarkEnd w:id="149"/>
            <w:r w:rsidRPr="004E4188">
              <w:rPr>
                <w:lang w:val="fr-FR"/>
              </w:rPr>
              <w:t>13.</w:t>
            </w:r>
            <w:r w:rsidRPr="004E4188">
              <w:rPr>
                <w:lang w:val="fr-FR"/>
              </w:rPr>
              <w:tab/>
              <w:t>Variantes</w:t>
            </w:r>
            <w:bookmarkEnd w:id="150"/>
            <w:bookmarkEnd w:id="151"/>
            <w:bookmarkEnd w:id="152"/>
            <w:bookmarkEnd w:id="153"/>
            <w:bookmarkEnd w:id="154"/>
            <w:bookmarkEnd w:id="155"/>
            <w:r w:rsidRPr="004E4188">
              <w:rPr>
                <w:lang w:val="fr-FR"/>
              </w:rPr>
              <w:t xml:space="preserve"> aux exigences de l’appel d’offres et offres variantes</w:t>
            </w:r>
            <w:bookmarkEnd w:id="156"/>
          </w:p>
        </w:tc>
        <w:tc>
          <w:tcPr>
            <w:tcW w:w="7015" w:type="dxa"/>
            <w:tcBorders>
              <w:top w:val="nil"/>
              <w:left w:val="nil"/>
              <w:bottom w:val="nil"/>
              <w:right w:val="nil"/>
            </w:tcBorders>
          </w:tcPr>
          <w:p w14:paraId="4982D122" w14:textId="1926EB81" w:rsidR="006F129D" w:rsidRPr="004E4188" w:rsidRDefault="006F129D" w:rsidP="006202B9">
            <w:pPr>
              <w:spacing w:after="200"/>
              <w:ind w:left="601" w:hanging="601"/>
            </w:pPr>
            <w:r w:rsidRPr="004E4188">
              <w:rPr>
                <w:lang w:eastAsia="ja-JP"/>
              </w:rPr>
              <w:t>13.1</w:t>
            </w:r>
            <w:r w:rsidRPr="004E4188">
              <w:rPr>
                <w:lang w:eastAsia="ja-JP"/>
              </w:rPr>
              <w:tab/>
            </w:r>
            <w:r w:rsidRPr="004E4188">
              <w:rPr>
                <w:b/>
                <w:lang w:eastAsia="ja-JP"/>
              </w:rPr>
              <w:t>Lorsque les DP le prévoient</w:t>
            </w:r>
            <w:r w:rsidRPr="004E4188">
              <w:rPr>
                <w:lang w:eastAsia="ja-JP"/>
              </w:rPr>
              <w:t>, les variantes aux délais d’</w:t>
            </w:r>
            <w:r w:rsidR="00A42335" w:rsidRPr="004E4188">
              <w:rPr>
                <w:lang w:eastAsia="ja-JP"/>
              </w:rPr>
              <w:t>achèvement</w:t>
            </w:r>
            <w:r w:rsidRPr="004E4188">
              <w:rPr>
                <w:lang w:eastAsia="ja-JP"/>
              </w:rPr>
              <w:t xml:space="preserve"> des </w:t>
            </w:r>
            <w:r w:rsidR="00553D71" w:rsidRPr="004E4188">
              <w:rPr>
                <w:lang w:eastAsia="ja-JP"/>
              </w:rPr>
              <w:t>Installations</w:t>
            </w:r>
            <w:r w:rsidRPr="004E4188">
              <w:rPr>
                <w:lang w:eastAsia="ja-JP"/>
              </w:rPr>
              <w:t xml:space="preserve"> seront autorisées,</w:t>
            </w:r>
            <w:r w:rsidRPr="004E4188">
              <w:t xml:space="preserve"> et la méthode d’évaluation des délais d’</w:t>
            </w:r>
            <w:r w:rsidR="00A42335" w:rsidRPr="004E4188">
              <w:t xml:space="preserve">achèvement </w:t>
            </w:r>
            <w:r w:rsidRPr="004E4188">
              <w:t>sera comme indiquée dans la Section III, Critères d’évaluation et de qualification.</w:t>
            </w:r>
          </w:p>
          <w:p w14:paraId="3A9DF1B3" w14:textId="09A25059" w:rsidR="006F129D" w:rsidRPr="004E4188" w:rsidRDefault="006F129D" w:rsidP="00E3697E">
            <w:pPr>
              <w:suppressAutoHyphens w:val="0"/>
              <w:spacing w:after="200"/>
              <w:ind w:left="601" w:hanging="601"/>
            </w:pPr>
            <w:r w:rsidRPr="004E4188">
              <w:rPr>
                <w:lang w:eastAsia="ja-JP"/>
              </w:rPr>
              <w:t>13.2</w:t>
            </w:r>
            <w:r w:rsidRPr="004E4188">
              <w:rPr>
                <w:lang w:eastAsia="ja-JP"/>
              </w:rPr>
              <w:tab/>
            </w:r>
            <w:r w:rsidRPr="004E4188">
              <w:rPr>
                <w:b/>
                <w:lang w:eastAsia="ja-JP"/>
              </w:rPr>
              <w:t>Lorsque les DP le prévoient</w:t>
            </w:r>
            <w:r w:rsidRPr="004E4188">
              <w:rPr>
                <w:lang w:eastAsia="ja-JP"/>
              </w:rPr>
              <w:t xml:space="preserve">, les offres variantes seront autorisées, et </w:t>
            </w:r>
            <w:r w:rsidRPr="004E4188">
              <w:t xml:space="preserve">les Soumissionnaires souhaitant offrir des variantes techniques aux </w:t>
            </w:r>
            <w:r w:rsidRPr="004E4188">
              <w:rPr>
                <w:lang w:eastAsia="ja-JP"/>
              </w:rPr>
              <w:t>exigences relatives à l’offre pourront soumettre une offre variante en supplément de l’offre substantiellement conforme (ci-après désignée «</w:t>
            </w:r>
            <w:r w:rsidR="002C4251" w:rsidRPr="004E4188">
              <w:t> </w:t>
            </w:r>
            <w:r w:rsidRPr="004E4188">
              <w:rPr>
                <w:lang w:eastAsia="ja-JP"/>
              </w:rPr>
              <w:t>offre de base</w:t>
            </w:r>
            <w:r w:rsidR="002C4251" w:rsidRPr="004E4188">
              <w:t> </w:t>
            </w:r>
            <w:r w:rsidRPr="004E4188">
              <w:rPr>
                <w:lang w:eastAsia="ja-JP"/>
              </w:rPr>
              <w:t>»).</w:t>
            </w:r>
            <w:r w:rsidRPr="004E4188">
              <w:t xml:space="preserve"> L’offre variante sera complète et devra inclure tous les renseignements nécessaires à l’évaluation complète par le Maître d’ouvrage de la variante proposée, y compris les plans, calculs de conception, spécifications techniques, sous-détails des prix, méthodes de construction proposées, ainsi que tout autre détail nécessaire. </w:t>
            </w:r>
          </w:p>
          <w:p w14:paraId="4A0F2257" w14:textId="29795035" w:rsidR="006F129D" w:rsidRPr="004E4188" w:rsidRDefault="006F129D" w:rsidP="006B6D99">
            <w:pPr>
              <w:suppressAutoHyphens w:val="0"/>
              <w:spacing w:after="200"/>
              <w:ind w:left="601"/>
            </w:pPr>
            <w:r w:rsidRPr="004E4188">
              <w:t>Seules les offres variantes, le cas échéant, présentées par le Soumissionnaire dont l’offre de base a été évaluée la moins-disante conformément à IS</w:t>
            </w:r>
            <w:r w:rsidR="00F826CF" w:rsidRPr="004E4188">
              <w:t> </w:t>
            </w:r>
            <w:r w:rsidRPr="004E4188">
              <w:t>36.1 seront retenues par le Maître d’ouvrage.</w:t>
            </w:r>
          </w:p>
        </w:tc>
      </w:tr>
      <w:tr w:rsidR="006F129D" w:rsidRPr="004E4188" w14:paraId="4557D6C1" w14:textId="77777777" w:rsidTr="00D45EAD">
        <w:tc>
          <w:tcPr>
            <w:tcW w:w="2273" w:type="dxa"/>
            <w:tcBorders>
              <w:top w:val="nil"/>
              <w:left w:val="nil"/>
              <w:right w:val="nil"/>
            </w:tcBorders>
          </w:tcPr>
          <w:p w14:paraId="62E68BD8" w14:textId="1F3E0BDA" w:rsidR="006F129D" w:rsidRPr="004E4188" w:rsidRDefault="006F129D" w:rsidP="008A28CD">
            <w:pPr>
              <w:pStyle w:val="S1-Header20"/>
              <w:rPr>
                <w:lang w:val="fr-FR"/>
              </w:rPr>
            </w:pPr>
            <w:bookmarkStart w:id="157" w:name="_Toc113293302"/>
            <w:r w:rsidRPr="004E4188">
              <w:rPr>
                <w:lang w:val="fr-FR"/>
              </w:rPr>
              <w:t>14.</w:t>
            </w:r>
            <w:r w:rsidRPr="004E4188">
              <w:rPr>
                <w:lang w:val="fr-FR"/>
              </w:rPr>
              <w:tab/>
              <w:t>Prix de l’offre et</w:t>
            </w:r>
            <w:r w:rsidRPr="004E4188">
              <w:rPr>
                <w:rFonts w:hint="eastAsia"/>
                <w:lang w:val="fr-FR" w:eastAsia="ja-JP"/>
              </w:rPr>
              <w:t xml:space="preserve"> </w:t>
            </w:r>
            <w:r w:rsidRPr="004E4188">
              <w:rPr>
                <w:lang w:val="fr-FR"/>
              </w:rPr>
              <w:t>rabais</w:t>
            </w:r>
            <w:bookmarkEnd w:id="157"/>
          </w:p>
        </w:tc>
        <w:tc>
          <w:tcPr>
            <w:tcW w:w="7015" w:type="dxa"/>
            <w:tcBorders>
              <w:top w:val="nil"/>
              <w:left w:val="nil"/>
              <w:right w:val="nil"/>
            </w:tcBorders>
          </w:tcPr>
          <w:p w14:paraId="418FD129" w14:textId="02C383DB" w:rsidR="006F129D" w:rsidRPr="004E4188" w:rsidRDefault="006F129D" w:rsidP="00D45EAD">
            <w:pPr>
              <w:spacing w:after="200"/>
              <w:ind w:left="601" w:hanging="601"/>
              <w:rPr>
                <w:rFonts w:cs="HBKMBP+TimesNewRoman"/>
                <w:color w:val="000000"/>
                <w:szCs w:val="24"/>
              </w:rPr>
            </w:pPr>
            <w:r w:rsidRPr="004E4188">
              <w:rPr>
                <w:rFonts w:cs="HBKMBP+TimesNewRoman"/>
                <w:color w:val="000000"/>
                <w:szCs w:val="24"/>
              </w:rPr>
              <w:t>14.1</w:t>
            </w:r>
            <w:r w:rsidRPr="004E4188">
              <w:rPr>
                <w:rFonts w:cs="HBKMBP+TimesNewRoman"/>
                <w:color w:val="000000"/>
                <w:szCs w:val="24"/>
                <w:lang w:eastAsia="ja-JP"/>
              </w:rPr>
              <w:tab/>
            </w:r>
            <w:r w:rsidRPr="004E4188">
              <w:rPr>
                <w:rFonts w:cs="HBKMBP+TimesNewRoman"/>
                <w:color w:val="000000"/>
                <w:szCs w:val="24"/>
              </w:rPr>
              <w:t>Les prix et rabais indiqués par le Soumissionnaire dans la Lettre de soumission de l’Offre Financière et dans les Bordereaux des prix seront conformes aux stipulations ci-après.</w:t>
            </w:r>
          </w:p>
        </w:tc>
      </w:tr>
      <w:tr w:rsidR="006F129D" w:rsidRPr="004E4188" w14:paraId="5288D7DD" w14:textId="77777777" w:rsidTr="00D45EAD">
        <w:tc>
          <w:tcPr>
            <w:tcW w:w="2273" w:type="dxa"/>
            <w:tcBorders>
              <w:top w:val="nil"/>
              <w:left w:val="nil"/>
              <w:right w:val="nil"/>
            </w:tcBorders>
          </w:tcPr>
          <w:p w14:paraId="55D6812E" w14:textId="4F062182" w:rsidR="006F129D" w:rsidRPr="004E4188" w:rsidRDefault="006F129D" w:rsidP="00D45EAD">
            <w:pPr>
              <w:pStyle w:val="Header1-Clauses"/>
              <w:rPr>
                <w:lang w:val="fr-FR"/>
              </w:rPr>
            </w:pPr>
          </w:p>
        </w:tc>
        <w:tc>
          <w:tcPr>
            <w:tcW w:w="7015" w:type="dxa"/>
            <w:tcBorders>
              <w:top w:val="nil"/>
              <w:left w:val="nil"/>
              <w:right w:val="nil"/>
            </w:tcBorders>
          </w:tcPr>
          <w:p w14:paraId="21269E1A" w14:textId="39B58EE3" w:rsidR="006F129D" w:rsidRPr="004E4188" w:rsidRDefault="006F129D" w:rsidP="00D45EAD">
            <w:pPr>
              <w:spacing w:after="200"/>
              <w:ind w:left="601" w:hanging="601"/>
              <w:rPr>
                <w:rFonts w:cs="HBKMBP+TimesNewRoman"/>
                <w:color w:val="000000"/>
                <w:szCs w:val="24"/>
              </w:rPr>
            </w:pPr>
            <w:r w:rsidRPr="004E4188">
              <w:rPr>
                <w:rFonts w:cs="HBKMBP+TimesNewRoman"/>
                <w:color w:val="000000"/>
                <w:szCs w:val="24"/>
              </w:rPr>
              <w:t>14.2</w:t>
            </w:r>
            <w:r w:rsidRPr="004E4188">
              <w:rPr>
                <w:rFonts w:cs="HBKMBP+TimesNewRoman"/>
                <w:color w:val="000000"/>
                <w:szCs w:val="24"/>
                <w:lang w:eastAsia="ja-JP"/>
              </w:rPr>
              <w:tab/>
            </w:r>
            <w:r w:rsidRPr="004E4188">
              <w:rPr>
                <w:rFonts w:cs="HBKMBP+TimesNewRoman"/>
                <w:b/>
                <w:color w:val="000000"/>
                <w:szCs w:val="24"/>
              </w:rPr>
              <w:t>Sauf indication contraire dans les DP</w:t>
            </w:r>
            <w:r w:rsidRPr="004E4188">
              <w:rPr>
                <w:rFonts w:cs="HBKMBP+TimesNewRoman"/>
                <w:color w:val="000000"/>
                <w:szCs w:val="24"/>
              </w:rPr>
              <w:t xml:space="preserve">, les Soumissionnaires doivent chiffrer leur offre pour l’ensemble des </w:t>
            </w:r>
            <w:r w:rsidRPr="004E4188">
              <w:rPr>
                <w:szCs w:val="24"/>
              </w:rPr>
              <w:t>É</w:t>
            </w:r>
            <w:r w:rsidRPr="004E4188">
              <w:t>quipements et Services de montage</w:t>
            </w:r>
            <w:r w:rsidRPr="004E4188">
              <w:rPr>
                <w:rFonts w:cs="HBKMBP+TimesNewRoman"/>
                <w:color w:val="000000"/>
                <w:szCs w:val="24"/>
              </w:rPr>
              <w:t xml:space="preserve"> sur la base d’une « responsabilité unique », de sorte que le </w:t>
            </w:r>
            <w:r w:rsidR="001D28BF" w:rsidRPr="004E4188">
              <w:rPr>
                <w:rFonts w:cs="HBKMBP+TimesNewRoman"/>
                <w:color w:val="000000"/>
                <w:szCs w:val="24"/>
              </w:rPr>
              <w:t>m</w:t>
            </w:r>
            <w:r w:rsidRPr="004E4188">
              <w:rPr>
                <w:rFonts w:cs="HBKMBP+TimesNewRoman"/>
                <w:color w:val="000000"/>
                <w:szCs w:val="24"/>
              </w:rPr>
              <w:t xml:space="preserve">ontant total de l’offre couvre toutes les obligations de l’Entrepreneur mentionnées dans le Dossier d’appel d’offres ou qui en découlent, en ce qui concerne la conception, la fabrication, incluant l’approvisionnement et la sous-traitance (le cas échéant), la livraison, la construction, le montage, et l’achèvement des Installations. Sont également incluses les obligations de l’Entrepreneur en matière d’essais, de pré-mise en service et de mise en service des </w:t>
            </w:r>
            <w:r w:rsidRPr="004E4188">
              <w:rPr>
                <w:rFonts w:cs="HBKMBP+TimesNewRoman" w:hint="eastAsia"/>
                <w:color w:val="000000"/>
                <w:szCs w:val="24"/>
              </w:rPr>
              <w:t>É</w:t>
            </w:r>
            <w:r w:rsidRPr="004E4188">
              <w:rPr>
                <w:rFonts w:cs="HBKMBP+TimesNewRoman"/>
                <w:color w:val="000000"/>
                <w:szCs w:val="24"/>
              </w:rPr>
              <w:t xml:space="preserve">quipements, ainsi que les prestations de services de fonctionnement, maintenance et de formation, et toute autre prestation ou service comme indiqué, le cas échéant, dans le Dossier d’appel d’offres, conformément aux dispositions des Conditions du Marché. </w:t>
            </w:r>
          </w:p>
          <w:p w14:paraId="618BFD7F" w14:textId="77777777" w:rsidR="006F129D" w:rsidRPr="004E4188" w:rsidRDefault="006F129D" w:rsidP="00D45EAD">
            <w:pPr>
              <w:spacing w:after="200"/>
              <w:ind w:left="601"/>
              <w:rPr>
                <w:sz w:val="16"/>
              </w:rPr>
            </w:pPr>
            <w:r w:rsidRPr="004E4188">
              <w:rPr>
                <w:rFonts w:cs="HBKMBP+TimesNewRoman"/>
                <w:color w:val="000000"/>
                <w:szCs w:val="24"/>
              </w:rPr>
              <w:t xml:space="preserve">Les postes, pour lesquels aucun prix n’est fourni par le Soumissionnaire, ne seront pas payés par le Maître d’ouvrage suite à leur réalisation et seront considérés comme inclus dans les prix d’autres postes. </w:t>
            </w:r>
          </w:p>
        </w:tc>
      </w:tr>
      <w:tr w:rsidR="006F129D" w:rsidRPr="004E4188" w14:paraId="3DED153A" w14:textId="77777777" w:rsidTr="00D45EAD">
        <w:tc>
          <w:tcPr>
            <w:tcW w:w="2273" w:type="dxa"/>
            <w:tcBorders>
              <w:top w:val="nil"/>
              <w:left w:val="nil"/>
              <w:bottom w:val="nil"/>
              <w:right w:val="nil"/>
            </w:tcBorders>
          </w:tcPr>
          <w:p w14:paraId="4BFD4E44" w14:textId="77777777" w:rsidR="006F129D" w:rsidRPr="004E4188" w:rsidRDefault="006F129D">
            <w:pPr>
              <w:pStyle w:val="Header2-SubClauses"/>
              <w:tabs>
                <w:tab w:val="clear" w:pos="619"/>
              </w:tabs>
              <w:spacing w:after="0"/>
              <w:rPr>
                <w:lang w:val="fr-FR"/>
              </w:rPr>
            </w:pPr>
            <w:bookmarkStart w:id="158" w:name="_Toc438532590"/>
            <w:bookmarkEnd w:id="158"/>
          </w:p>
        </w:tc>
        <w:tc>
          <w:tcPr>
            <w:tcW w:w="7015" w:type="dxa"/>
            <w:tcBorders>
              <w:top w:val="nil"/>
              <w:left w:val="nil"/>
              <w:bottom w:val="nil"/>
              <w:right w:val="nil"/>
            </w:tcBorders>
          </w:tcPr>
          <w:p w14:paraId="4FB06A5B" w14:textId="6346A2A4" w:rsidR="006F129D" w:rsidRPr="004E4188" w:rsidRDefault="006F129D" w:rsidP="00712219">
            <w:pPr>
              <w:suppressAutoHyphens w:val="0"/>
              <w:spacing w:after="200"/>
              <w:ind w:left="601" w:hanging="601"/>
              <w:rPr>
                <w:rFonts w:cs="HBKMBP+TimesNewRoman"/>
                <w:color w:val="000000"/>
                <w:szCs w:val="24"/>
                <w:lang w:eastAsia="ja-JP"/>
              </w:rPr>
            </w:pPr>
            <w:r w:rsidRPr="004E4188">
              <w:t>14.3</w:t>
            </w:r>
            <w:r w:rsidRPr="004E4188">
              <w:rPr>
                <w:rFonts w:cs="HBKMBP+TimesNewRoman"/>
                <w:color w:val="000000"/>
                <w:szCs w:val="24"/>
                <w:lang w:eastAsia="ja-JP"/>
              </w:rPr>
              <w:tab/>
            </w:r>
            <w:r w:rsidRPr="004E4188">
              <w:rPr>
                <w:rFonts w:cs="HBKMBP+TimesNewRoman"/>
                <w:color w:val="000000"/>
                <w:szCs w:val="24"/>
              </w:rPr>
              <w:t>Les Soumissionnaires doivent fournir une décomposition des prix en respectant la forme et la présentation figurant dans les Bordereaux des prix inclus à la Section IV, Formulaires de soumission.</w:t>
            </w:r>
            <w:r w:rsidRPr="004E4188">
              <w:t xml:space="preserve"> </w:t>
            </w:r>
            <w:r w:rsidRPr="004E4188">
              <w:rPr>
                <w:rFonts w:cs="HBKMBP+TimesNewRoman"/>
                <w:color w:val="000000"/>
                <w:szCs w:val="24"/>
              </w:rPr>
              <w:t xml:space="preserve">Les Soumissionnaires donneront, dans les Bordereaux des prix, les renseignements demandés et la décomposition de leur prix de la manière suivante : </w:t>
            </w:r>
          </w:p>
        </w:tc>
      </w:tr>
      <w:tr w:rsidR="006F129D" w:rsidRPr="004E4188" w14:paraId="21193799" w14:textId="77777777" w:rsidTr="00D45EAD">
        <w:tc>
          <w:tcPr>
            <w:tcW w:w="2273" w:type="dxa"/>
            <w:tcBorders>
              <w:top w:val="nil"/>
              <w:left w:val="nil"/>
              <w:bottom w:val="nil"/>
              <w:right w:val="nil"/>
            </w:tcBorders>
          </w:tcPr>
          <w:p w14:paraId="2A84A9A5" w14:textId="77777777" w:rsidR="006F129D" w:rsidRPr="004E4188" w:rsidRDefault="006F129D" w:rsidP="0079054E">
            <w:pPr>
              <w:numPr>
                <w:ilvl w:val="12"/>
                <w:numId w:val="0"/>
              </w:numPr>
            </w:pPr>
            <w:bookmarkStart w:id="159" w:name="_Toc438532592"/>
            <w:bookmarkStart w:id="160" w:name="_Toc438532594"/>
            <w:bookmarkStart w:id="161" w:name="_Toc438532595"/>
            <w:bookmarkStart w:id="162" w:name="_Toc438532596"/>
            <w:bookmarkEnd w:id="159"/>
            <w:bookmarkEnd w:id="160"/>
            <w:bookmarkEnd w:id="161"/>
            <w:bookmarkEnd w:id="162"/>
          </w:p>
        </w:tc>
        <w:tc>
          <w:tcPr>
            <w:tcW w:w="7015" w:type="dxa"/>
            <w:tcBorders>
              <w:top w:val="nil"/>
              <w:left w:val="nil"/>
              <w:bottom w:val="nil"/>
              <w:right w:val="nil"/>
            </w:tcBorders>
          </w:tcPr>
          <w:p w14:paraId="7229E983" w14:textId="04EDB248" w:rsidR="006F129D" w:rsidRPr="004E4188" w:rsidRDefault="006F129D" w:rsidP="00B553A8">
            <w:pPr>
              <w:pStyle w:val="aff7"/>
              <w:widowControl/>
              <w:tabs>
                <w:tab w:val="num" w:pos="999"/>
              </w:tabs>
              <w:adjustRightInd/>
              <w:spacing w:line="240" w:lineRule="auto"/>
              <w:ind w:leftChars="0" w:left="1033" w:hanging="432"/>
              <w:jc w:val="left"/>
              <w:textAlignment w:val="auto"/>
              <w:rPr>
                <w:rFonts w:ascii="Times New Roman" w:hAnsi="Times New Roman"/>
                <w:color w:val="000000"/>
                <w:sz w:val="24"/>
                <w:szCs w:val="24"/>
                <w:lang w:val="fr-FR"/>
              </w:rPr>
            </w:pPr>
            <w:r w:rsidRPr="004E4188">
              <w:rPr>
                <w:rFonts w:ascii="Times New Roman" w:hAnsi="Times New Roman"/>
                <w:color w:val="000000"/>
                <w:sz w:val="24"/>
                <w:szCs w:val="24"/>
                <w:lang w:val="fr-FR"/>
              </w:rPr>
              <w:t>(a)</w:t>
            </w:r>
            <w:r w:rsidRPr="004E4188">
              <w:rPr>
                <w:rFonts w:ascii="Times New Roman" w:hAnsi="Times New Roman"/>
                <w:color w:val="000000"/>
                <w:sz w:val="24"/>
                <w:szCs w:val="24"/>
                <w:lang w:val="fr-FR"/>
              </w:rPr>
              <w:tab/>
            </w:r>
            <w:r w:rsidRPr="004E4188">
              <w:rPr>
                <w:rFonts w:ascii="Times New Roman" w:hAnsi="Times New Roman"/>
                <w:sz w:val="24"/>
                <w:szCs w:val="24"/>
                <w:lang w:val="fr-FR"/>
              </w:rPr>
              <w:t>É</w:t>
            </w:r>
            <w:r w:rsidRPr="004E4188">
              <w:rPr>
                <w:rFonts w:ascii="Times New Roman" w:hAnsi="Times New Roman"/>
                <w:color w:val="000000"/>
                <w:sz w:val="24"/>
                <w:szCs w:val="24"/>
                <w:lang w:val="fr-FR"/>
              </w:rPr>
              <w:t>quipements d’origine étrangère (Bordereau n°1) :</w:t>
            </w:r>
          </w:p>
          <w:p w14:paraId="4CF03509" w14:textId="157A83BA" w:rsidR="006F129D" w:rsidRPr="004E4188" w:rsidRDefault="006F129D" w:rsidP="00B75DBC">
            <w:pPr>
              <w:suppressAutoHyphens w:val="0"/>
              <w:spacing w:after="200"/>
              <w:ind w:left="1026" w:hanging="425"/>
            </w:pPr>
            <w:r w:rsidRPr="004E4188">
              <w:rPr>
                <w:rFonts w:cs="HBKMBP+TimesNewRoman"/>
                <w:color w:val="000000"/>
                <w:szCs w:val="24"/>
                <w:lang w:eastAsia="ja-JP"/>
              </w:rPr>
              <w:tab/>
            </w:r>
            <w:r w:rsidRPr="004E4188">
              <w:rPr>
                <w:rFonts w:cs="HBKMBP+TimesNewRoman"/>
                <w:color w:val="000000"/>
                <w:szCs w:val="24"/>
              </w:rPr>
              <w:t xml:space="preserve">Les </w:t>
            </w:r>
            <w:r w:rsidRPr="004E4188">
              <w:rPr>
                <w:rFonts w:cs="HBKMBP+TimesNewRoman" w:hint="eastAsia"/>
                <w:color w:val="000000"/>
                <w:szCs w:val="24"/>
              </w:rPr>
              <w:t>É</w:t>
            </w:r>
            <w:r w:rsidRPr="004E4188">
              <w:rPr>
                <w:rFonts w:cs="HBKMBP+TimesNewRoman"/>
                <w:color w:val="000000"/>
                <w:szCs w:val="24"/>
              </w:rPr>
              <w:t>quipements doivent être chiffrés sur la base du prix CIP - lieu de destination convenu</w:t>
            </w:r>
            <w:r w:rsidRPr="004E4188">
              <w:rPr>
                <w:rFonts w:cs="HBKMBP+TimesNewRoman"/>
                <w:b/>
                <w:color w:val="000000"/>
                <w:szCs w:val="24"/>
              </w:rPr>
              <w:t xml:space="preserve"> indiqué dans les DP</w:t>
            </w:r>
            <w:r w:rsidRPr="004E4188">
              <w:rPr>
                <w:rFonts w:cs="HBKMBP+TimesNewRoman"/>
                <w:color w:val="000000"/>
                <w:szCs w:val="24"/>
              </w:rPr>
              <w:t>.</w:t>
            </w:r>
          </w:p>
          <w:p w14:paraId="362F6A38" w14:textId="0FC18F47" w:rsidR="006F129D" w:rsidRPr="004E4188" w:rsidRDefault="006F129D" w:rsidP="00B553A8">
            <w:pPr>
              <w:suppressAutoHyphens w:val="0"/>
              <w:ind w:left="1026" w:hanging="425"/>
              <w:rPr>
                <w:rFonts w:cs="HBKMBP+TimesNewRoman"/>
                <w:color w:val="000000"/>
                <w:szCs w:val="24"/>
              </w:rPr>
            </w:pPr>
            <w:r w:rsidRPr="004E4188">
              <w:t>(b)</w:t>
            </w:r>
            <w:r w:rsidRPr="004E4188">
              <w:rPr>
                <w:lang w:eastAsia="ja-JP"/>
              </w:rPr>
              <w:tab/>
            </w:r>
            <w:r w:rsidRPr="004E4188">
              <w:rPr>
                <w:rFonts w:hint="eastAsia"/>
                <w:lang w:eastAsia="ja-JP"/>
              </w:rPr>
              <w:t>É</w:t>
            </w:r>
            <w:r w:rsidRPr="004E4188">
              <w:rPr>
                <w:rFonts w:cs="HBKMBP+TimesNewRoman"/>
                <w:color w:val="000000"/>
                <w:szCs w:val="24"/>
              </w:rPr>
              <w:t>quipements d’origine locale (Bordereau n°2) :</w:t>
            </w:r>
          </w:p>
          <w:p w14:paraId="540AB8EA" w14:textId="1287DDA7" w:rsidR="006F129D" w:rsidRPr="004E4188" w:rsidRDefault="006F129D" w:rsidP="00B75DBC">
            <w:pPr>
              <w:suppressAutoHyphens w:val="0"/>
              <w:spacing w:after="200"/>
              <w:ind w:left="1026" w:hanging="425"/>
              <w:rPr>
                <w:rFonts w:cs="HBKMBP+TimesNewRoman"/>
                <w:color w:val="000000"/>
                <w:szCs w:val="24"/>
              </w:rPr>
            </w:pPr>
            <w:r w:rsidRPr="004E4188">
              <w:rPr>
                <w:rFonts w:cs="HBKMBP+TimesNewRoman"/>
                <w:color w:val="000000"/>
                <w:szCs w:val="24"/>
                <w:lang w:eastAsia="ja-JP"/>
              </w:rPr>
              <w:tab/>
            </w:r>
            <w:r w:rsidRPr="004E4188">
              <w:rPr>
                <w:rFonts w:cs="HBKMBP+TimesNewRoman"/>
                <w:color w:val="000000"/>
                <w:szCs w:val="24"/>
              </w:rPr>
              <w:t xml:space="preserve">Les </w:t>
            </w:r>
            <w:r w:rsidRPr="004E4188">
              <w:rPr>
                <w:rFonts w:hint="eastAsia"/>
                <w:lang w:eastAsia="ja-JP"/>
              </w:rPr>
              <w:t>É</w:t>
            </w:r>
            <w:r w:rsidRPr="004E4188">
              <w:rPr>
                <w:rFonts w:cs="HBKMBP+TimesNewRoman"/>
                <w:color w:val="000000"/>
                <w:szCs w:val="24"/>
              </w:rPr>
              <w:t xml:space="preserve">quipements doivent être chiffrés sur la base d’un Incoterm EXW (tel que « ex-works », « ex-factory », « ex-warehouse » ou « off-the-shelf » selon le cas) et incluront la taxe de vente et toutes les autres charges imposées sur les </w:t>
            </w:r>
            <w:r w:rsidRPr="004E4188">
              <w:rPr>
                <w:szCs w:val="24"/>
              </w:rPr>
              <w:t>É</w:t>
            </w:r>
            <w:r w:rsidRPr="004E4188">
              <w:rPr>
                <w:rFonts w:cs="HBKMBP+TimesNewRoman"/>
                <w:color w:val="000000"/>
                <w:szCs w:val="24"/>
              </w:rPr>
              <w:t>quipements dans le pays du Maître d’ouvrage à la Date de référence, si le Marché est attribué au Soumissionnaire.</w:t>
            </w:r>
          </w:p>
          <w:p w14:paraId="3A64C94B" w14:textId="77777777" w:rsidR="006F129D" w:rsidRPr="004E4188" w:rsidRDefault="006F129D" w:rsidP="0021575B">
            <w:pPr>
              <w:suppressAutoHyphens w:val="0"/>
              <w:spacing w:after="200"/>
              <w:ind w:left="1026" w:hanging="425"/>
              <w:rPr>
                <w:rFonts w:cs="HBKMBP+TimesNewRoman"/>
                <w:color w:val="000000"/>
                <w:szCs w:val="24"/>
              </w:rPr>
            </w:pPr>
            <w:r w:rsidRPr="004E4188">
              <w:rPr>
                <w:rFonts w:cs="HBKMBP+TimesNewRoman"/>
                <w:color w:val="000000"/>
                <w:szCs w:val="24"/>
                <w:lang w:eastAsia="ja-JP"/>
              </w:rPr>
              <w:t>(c)</w:t>
            </w:r>
            <w:r w:rsidRPr="004E4188">
              <w:rPr>
                <w:rFonts w:cs="HBKMBP+TimesNewRoman"/>
                <w:color w:val="000000"/>
                <w:szCs w:val="24"/>
                <w:lang w:eastAsia="ja-JP"/>
              </w:rPr>
              <w:tab/>
            </w:r>
            <w:r w:rsidRPr="004E4188">
              <w:rPr>
                <w:rFonts w:cs="HBKMBP+TimesNewRoman"/>
                <w:color w:val="000000"/>
                <w:szCs w:val="24"/>
              </w:rPr>
              <w:t>Services de conception (Bordereau n°3)</w:t>
            </w:r>
          </w:p>
          <w:p w14:paraId="478B0562" w14:textId="4E35BFC1" w:rsidR="006F129D" w:rsidRPr="004E4188" w:rsidRDefault="006F129D" w:rsidP="00B553A8">
            <w:pPr>
              <w:suppressAutoHyphens w:val="0"/>
              <w:ind w:left="1026" w:hanging="425"/>
              <w:rPr>
                <w:rFonts w:cs="HBKMBP+TimesNewRoman"/>
                <w:color w:val="000000"/>
                <w:szCs w:val="24"/>
              </w:rPr>
            </w:pPr>
            <w:r w:rsidRPr="004E4188">
              <w:rPr>
                <w:rFonts w:cs="HBKMBP+TimesNewRoman"/>
                <w:color w:val="000000"/>
                <w:szCs w:val="24"/>
                <w:lang w:eastAsia="ja-JP"/>
              </w:rPr>
              <w:t>(d)</w:t>
            </w:r>
            <w:r w:rsidRPr="004E4188">
              <w:rPr>
                <w:rFonts w:cs="HBKMBP+TimesNewRoman"/>
                <w:color w:val="000000"/>
                <w:szCs w:val="24"/>
                <w:lang w:eastAsia="ja-JP"/>
              </w:rPr>
              <w:tab/>
            </w:r>
            <w:r w:rsidRPr="004E4188">
              <w:rPr>
                <w:rFonts w:cs="HBKMBP+TimesNewRoman"/>
                <w:color w:val="000000"/>
                <w:szCs w:val="24"/>
              </w:rPr>
              <w:t>Services de montage et tout autre service (Bordereau n°4) :</w:t>
            </w:r>
          </w:p>
          <w:p w14:paraId="3B5A50DA" w14:textId="05376D60" w:rsidR="006F129D" w:rsidRPr="004E4188" w:rsidRDefault="006F129D" w:rsidP="00B553A8">
            <w:pPr>
              <w:suppressAutoHyphens w:val="0"/>
              <w:spacing w:after="200"/>
              <w:ind w:left="1026"/>
            </w:pPr>
            <w:r w:rsidRPr="004E4188">
              <w:rPr>
                <w:rFonts w:cs="HBKMBP+TimesNewRoman"/>
                <w:color w:val="000000"/>
                <w:szCs w:val="24"/>
              </w:rPr>
              <w:t xml:space="preserve">Les prix doivent être chiffrés séparément et doivent inclure les taux ou prix du transport local au lieu convenu de destination finale </w:t>
            </w:r>
            <w:r w:rsidRPr="004E4188">
              <w:rPr>
                <w:rFonts w:cs="HBKMBP+TimesNewRoman"/>
                <w:b/>
                <w:color w:val="000000"/>
                <w:szCs w:val="24"/>
              </w:rPr>
              <w:t>indiqué dans les DP</w:t>
            </w:r>
            <w:r w:rsidRPr="004E4188">
              <w:rPr>
                <w:rFonts w:cs="HBKMBP+TimesNewRoman"/>
                <w:color w:val="000000"/>
                <w:szCs w:val="24"/>
              </w:rPr>
              <w:t xml:space="preserve">, les assurances et autres services liés à la livraison des </w:t>
            </w:r>
            <w:r w:rsidRPr="004E4188">
              <w:rPr>
                <w:szCs w:val="24"/>
              </w:rPr>
              <w:t>É</w:t>
            </w:r>
            <w:r w:rsidRPr="004E4188">
              <w:rPr>
                <w:rFonts w:cs="HBKMBP+TimesNewRoman"/>
                <w:color w:val="000000"/>
                <w:szCs w:val="24"/>
              </w:rPr>
              <w:t>quipements, le coût de la main d’</w:t>
            </w:r>
            <w:r w:rsidRPr="004E4188">
              <w:rPr>
                <w:color w:val="000000"/>
                <w:szCs w:val="24"/>
              </w:rPr>
              <w:t>œ</w:t>
            </w:r>
            <w:r w:rsidRPr="004E4188">
              <w:rPr>
                <w:rFonts w:cs="HBKMBP+TimesNewRoman"/>
                <w:color w:val="000000"/>
                <w:szCs w:val="24"/>
              </w:rPr>
              <w:t>uvre, les équipements de l’Entrepreneur, les installations temporaires, les matériaux, les produits consommables et tout autre élément de quelque nature que ce soit, incluant les services d’exploitation et de maintenance, la fourniture de manuels d’exploitation et de maintenance, la formation</w:t>
            </w:r>
            <w:r w:rsidR="00385271" w:rsidRPr="004E4188">
              <w:rPr>
                <w:rFonts w:cs="HBKMBP+TimesNewRoman"/>
                <w:color w:val="000000"/>
                <w:szCs w:val="24"/>
              </w:rPr>
              <w:t>,</w:t>
            </w:r>
            <w:r w:rsidRPr="004E4188">
              <w:rPr>
                <w:rFonts w:cs="HBKMBP+TimesNewRoman"/>
                <w:color w:val="000000"/>
                <w:szCs w:val="24"/>
              </w:rPr>
              <w:t xml:space="preserve"> etc., si mentionné dans le Dossier d’appel d’offres comme étant nécessaire à la bonne mise en place des</w:t>
            </w:r>
            <w:r w:rsidRPr="004E4188">
              <w:t xml:space="preserve"> </w:t>
            </w:r>
            <w:r w:rsidRPr="004E4188">
              <w:rPr>
                <w:szCs w:val="24"/>
              </w:rPr>
              <w:t>É</w:t>
            </w:r>
            <w:r w:rsidRPr="004E4188">
              <w:t>quipements et autres services</w:t>
            </w:r>
            <w:r w:rsidRPr="004E4188">
              <w:rPr>
                <w:rFonts w:cs="HBKMBP+TimesNewRoman"/>
                <w:color w:val="000000"/>
                <w:szCs w:val="24"/>
              </w:rPr>
              <w:t xml:space="preserve">, y compris les taxes, droits, prélèvements et charges imposables dans le pays du Maître d’ouvrage à la Date de référence vingt-huit (28) jours préalablement à la date limite de </w:t>
            </w:r>
            <w:r w:rsidR="00FC7041" w:rsidRPr="004E4188">
              <w:rPr>
                <w:rFonts w:cs="HBKMBP+TimesNewRoman"/>
                <w:color w:val="000000"/>
                <w:szCs w:val="24"/>
              </w:rPr>
              <w:t xml:space="preserve">remise </w:t>
            </w:r>
            <w:r w:rsidRPr="004E4188">
              <w:rPr>
                <w:rFonts w:cs="HBKMBP+TimesNewRoman"/>
                <w:color w:val="000000"/>
                <w:szCs w:val="24"/>
              </w:rPr>
              <w:t>des offres.</w:t>
            </w:r>
          </w:p>
          <w:p w14:paraId="12DC8348" w14:textId="77777777" w:rsidR="006F129D" w:rsidRPr="004E4188" w:rsidRDefault="006F129D" w:rsidP="0067298D">
            <w:pPr>
              <w:suppressAutoHyphens w:val="0"/>
              <w:ind w:left="1026" w:hanging="425"/>
              <w:rPr>
                <w:rFonts w:cs="HBKMBP+TimesNewRoman"/>
                <w:color w:val="000000"/>
                <w:szCs w:val="24"/>
              </w:rPr>
            </w:pPr>
            <w:r w:rsidRPr="004E4188">
              <w:rPr>
                <w:rFonts w:cs="HBKMBP+TimesNewRoman"/>
                <w:color w:val="000000"/>
                <w:szCs w:val="24"/>
                <w:lang w:eastAsia="ja-JP"/>
              </w:rPr>
              <w:t>(e)</w:t>
            </w:r>
            <w:r w:rsidRPr="004E4188">
              <w:rPr>
                <w:rFonts w:cs="HBKMBP+TimesNewRoman"/>
                <w:color w:val="000000"/>
                <w:szCs w:val="24"/>
                <w:lang w:eastAsia="ja-JP"/>
              </w:rPr>
              <w:tab/>
            </w:r>
            <w:r w:rsidRPr="004E4188">
              <w:rPr>
                <w:rFonts w:cs="HBKMBP+TimesNewRoman"/>
                <w:color w:val="000000"/>
                <w:szCs w:val="24"/>
              </w:rPr>
              <w:t>Pièces de rechange obligatoires (Bordereau n°5) :</w:t>
            </w:r>
          </w:p>
          <w:p w14:paraId="30A50A98" w14:textId="77777777" w:rsidR="006F129D" w:rsidRPr="004E4188" w:rsidRDefault="006F129D" w:rsidP="0067298D">
            <w:pPr>
              <w:suppressAutoHyphens w:val="0"/>
              <w:spacing w:after="200"/>
              <w:ind w:left="1026"/>
              <w:rPr>
                <w:rFonts w:cs="HBKMBP+TimesNewRoman"/>
                <w:color w:val="000000"/>
                <w:szCs w:val="24"/>
                <w:lang w:eastAsia="ja-JP"/>
              </w:rPr>
            </w:pPr>
            <w:r w:rsidRPr="004E4188">
              <w:rPr>
                <w:rFonts w:cs="HBKMBP+TimesNewRoman"/>
                <w:color w:val="000000"/>
                <w:szCs w:val="24"/>
              </w:rPr>
              <w:t>Les prix doivent être chiffrés séparément comme indiqué aux alinéas (a) ou (b) ci-dessus, en fonction de leur origine.</w:t>
            </w:r>
          </w:p>
          <w:p w14:paraId="46942DDA" w14:textId="395600F2" w:rsidR="006F129D" w:rsidRPr="004E4188" w:rsidRDefault="006F129D" w:rsidP="00712219">
            <w:pPr>
              <w:suppressAutoHyphens w:val="0"/>
              <w:ind w:left="1026" w:hanging="425"/>
              <w:rPr>
                <w:rFonts w:cs="HBKMBP+TimesNewRoman"/>
                <w:color w:val="000000"/>
                <w:szCs w:val="24"/>
              </w:rPr>
            </w:pPr>
            <w:r w:rsidRPr="004E4188">
              <w:rPr>
                <w:rFonts w:cs="HBKMBP+TimesNewRoman"/>
                <w:color w:val="000000"/>
                <w:szCs w:val="24"/>
                <w:lang w:eastAsia="ja-JP"/>
              </w:rPr>
              <w:t>(f)</w:t>
            </w:r>
            <w:r w:rsidRPr="004E4188">
              <w:rPr>
                <w:rFonts w:cs="HBKMBP+TimesNewRoman"/>
                <w:color w:val="000000"/>
                <w:szCs w:val="24"/>
                <w:lang w:eastAsia="ja-JP"/>
              </w:rPr>
              <w:tab/>
            </w:r>
            <w:r w:rsidRPr="004E4188">
              <w:rPr>
                <w:rFonts w:cs="HBKMBP+TimesNewRoman"/>
                <w:color w:val="000000"/>
                <w:szCs w:val="24"/>
              </w:rPr>
              <w:t>Pièces de rechange recommandées (Bordereau n°6) :</w:t>
            </w:r>
          </w:p>
          <w:p w14:paraId="3DAFECB9" w14:textId="3A6BC202" w:rsidR="006F129D" w:rsidRPr="004E4188" w:rsidDel="004A0315" w:rsidRDefault="006F129D" w:rsidP="00D45EAD">
            <w:pPr>
              <w:suppressAutoHyphens w:val="0"/>
              <w:spacing w:after="200"/>
              <w:ind w:left="1026"/>
            </w:pPr>
            <w:r w:rsidRPr="004E4188">
              <w:rPr>
                <w:rFonts w:cs="HBKMBP+TimesNewRoman"/>
                <w:color w:val="000000"/>
                <w:szCs w:val="24"/>
              </w:rPr>
              <w:t>Les prix doivent être chiffrés séparément comme indiqué aux alinéas (a) ou (b) ci-dessus, en fonction de leur origine.</w:t>
            </w:r>
          </w:p>
        </w:tc>
      </w:tr>
      <w:tr w:rsidR="006F129D" w:rsidRPr="004E4188" w14:paraId="7003175E" w14:textId="77777777" w:rsidTr="00D45EAD">
        <w:tc>
          <w:tcPr>
            <w:tcW w:w="2273" w:type="dxa"/>
            <w:tcBorders>
              <w:top w:val="nil"/>
              <w:left w:val="nil"/>
              <w:bottom w:val="nil"/>
              <w:right w:val="nil"/>
            </w:tcBorders>
          </w:tcPr>
          <w:p w14:paraId="5F769982" w14:textId="77777777" w:rsidR="006F129D" w:rsidRPr="004E4188" w:rsidRDefault="006F129D" w:rsidP="0079054E">
            <w:pPr>
              <w:numPr>
                <w:ilvl w:val="12"/>
                <w:numId w:val="0"/>
              </w:numPr>
            </w:pPr>
          </w:p>
        </w:tc>
        <w:tc>
          <w:tcPr>
            <w:tcW w:w="7015" w:type="dxa"/>
            <w:tcBorders>
              <w:top w:val="nil"/>
              <w:left w:val="nil"/>
              <w:bottom w:val="nil"/>
              <w:right w:val="nil"/>
            </w:tcBorders>
          </w:tcPr>
          <w:p w14:paraId="63EC0184" w14:textId="2DA00E07" w:rsidR="006F129D" w:rsidRPr="004E4188" w:rsidDel="004A0315" w:rsidRDefault="006F129D" w:rsidP="00D45EAD">
            <w:pPr>
              <w:suppressAutoHyphens w:val="0"/>
              <w:spacing w:after="200"/>
              <w:ind w:left="601" w:hanging="601"/>
            </w:pPr>
            <w:r w:rsidRPr="004E4188">
              <w:t>14.4</w:t>
            </w:r>
            <w:r w:rsidRPr="004E4188">
              <w:rPr>
                <w:lang w:eastAsia="ja-JP"/>
              </w:rPr>
              <w:tab/>
            </w:r>
            <w:r w:rsidRPr="004E4188">
              <w:t xml:space="preserve">La </w:t>
            </w:r>
            <w:r w:rsidRPr="004E4188">
              <w:rPr>
                <w:rFonts w:cs="HBKMBP+TimesNewRoman"/>
                <w:color w:val="000000"/>
                <w:szCs w:val="24"/>
              </w:rPr>
              <w:t>dernière</w:t>
            </w:r>
            <w:r w:rsidRPr="004E4188">
              <w:t xml:space="preserve"> édition (à la Date de référence) des Incoterms, publiés par la Chambre internationale de commerce, fera foi.</w:t>
            </w:r>
          </w:p>
        </w:tc>
      </w:tr>
      <w:tr w:rsidR="006F129D" w:rsidRPr="004E4188" w14:paraId="1C684FD1" w14:textId="77777777" w:rsidTr="00D45EAD">
        <w:tc>
          <w:tcPr>
            <w:tcW w:w="2273" w:type="dxa"/>
            <w:tcBorders>
              <w:top w:val="nil"/>
              <w:left w:val="nil"/>
              <w:bottom w:val="nil"/>
              <w:right w:val="nil"/>
            </w:tcBorders>
          </w:tcPr>
          <w:p w14:paraId="41A45900" w14:textId="77777777" w:rsidR="006F129D" w:rsidRPr="004E4188" w:rsidRDefault="006F129D" w:rsidP="0079054E">
            <w:pPr>
              <w:numPr>
                <w:ilvl w:val="12"/>
                <w:numId w:val="0"/>
              </w:numPr>
            </w:pPr>
          </w:p>
        </w:tc>
        <w:tc>
          <w:tcPr>
            <w:tcW w:w="7015" w:type="dxa"/>
            <w:tcBorders>
              <w:top w:val="nil"/>
              <w:left w:val="nil"/>
              <w:bottom w:val="nil"/>
              <w:right w:val="nil"/>
            </w:tcBorders>
          </w:tcPr>
          <w:p w14:paraId="58F7258C" w14:textId="766298F6" w:rsidR="006F129D" w:rsidRPr="004E4188" w:rsidRDefault="006F129D" w:rsidP="00D45EAD">
            <w:pPr>
              <w:suppressAutoHyphens w:val="0"/>
              <w:spacing w:after="200"/>
              <w:ind w:left="601" w:hanging="601"/>
              <w:rPr>
                <w:szCs w:val="24"/>
              </w:rPr>
            </w:pPr>
            <w:r w:rsidRPr="004E4188">
              <w:rPr>
                <w:rFonts w:cs="HBKMBP+TimesNewRoman"/>
                <w:color w:val="000000"/>
                <w:szCs w:val="24"/>
              </w:rPr>
              <w:t>14.5</w:t>
            </w:r>
            <w:r w:rsidRPr="004E4188">
              <w:rPr>
                <w:rFonts w:cs="HBKMBP+TimesNewRoman"/>
                <w:color w:val="000000"/>
                <w:szCs w:val="24"/>
              </w:rPr>
              <w:tab/>
              <w:t xml:space="preserve">Le </w:t>
            </w:r>
            <w:r w:rsidRPr="004E4188">
              <w:t>montant devant figurer dans la Lettre de soumission de l’Offre Financière, conformément à IS</w:t>
            </w:r>
            <w:r w:rsidR="008007E2" w:rsidRPr="004E4188">
              <w:rPr>
                <w:rFonts w:cs="HBKMBP+TimesNewRoman"/>
                <w:color w:val="000000"/>
                <w:szCs w:val="24"/>
              </w:rPr>
              <w:t> </w:t>
            </w:r>
            <w:r w:rsidRPr="004E4188">
              <w:t>12.1, sera le montant total de l’offre, à l’exclusion de tout rabais éventuel. L’absence du montant total de l’offre dans la Lettre de soumission de l’Offre Financière peut entraîner le rejet de l’offre.</w:t>
            </w:r>
          </w:p>
        </w:tc>
      </w:tr>
      <w:tr w:rsidR="006F129D" w:rsidRPr="004E4188" w14:paraId="6E71BB78" w14:textId="77777777" w:rsidTr="00D45EAD">
        <w:tc>
          <w:tcPr>
            <w:tcW w:w="2273" w:type="dxa"/>
            <w:tcBorders>
              <w:top w:val="nil"/>
              <w:left w:val="nil"/>
              <w:bottom w:val="nil"/>
              <w:right w:val="nil"/>
            </w:tcBorders>
          </w:tcPr>
          <w:p w14:paraId="68CAC43D" w14:textId="77777777" w:rsidR="006F129D" w:rsidRPr="004E4188" w:rsidRDefault="006F129D" w:rsidP="0079054E">
            <w:pPr>
              <w:numPr>
                <w:ilvl w:val="12"/>
                <w:numId w:val="0"/>
              </w:numPr>
            </w:pPr>
          </w:p>
        </w:tc>
        <w:tc>
          <w:tcPr>
            <w:tcW w:w="7015" w:type="dxa"/>
            <w:tcBorders>
              <w:top w:val="nil"/>
              <w:left w:val="nil"/>
              <w:bottom w:val="nil"/>
              <w:right w:val="nil"/>
            </w:tcBorders>
          </w:tcPr>
          <w:p w14:paraId="45D744A8" w14:textId="77777777" w:rsidR="006F129D" w:rsidRPr="004E4188" w:rsidRDefault="006F129D" w:rsidP="00D45EAD">
            <w:pPr>
              <w:suppressAutoHyphens w:val="0"/>
              <w:spacing w:after="200"/>
              <w:ind w:left="601" w:hanging="601"/>
              <w:rPr>
                <w:szCs w:val="24"/>
              </w:rPr>
            </w:pPr>
            <w:r w:rsidRPr="004E4188">
              <w:rPr>
                <w:rFonts w:cs="HBKMBP+TimesNewRoman"/>
                <w:color w:val="000000"/>
                <w:szCs w:val="24"/>
              </w:rPr>
              <w:t>14.6</w:t>
            </w:r>
            <w:r w:rsidRPr="004E4188">
              <w:rPr>
                <w:rFonts w:cs="HBKMBP+TimesNewRoman"/>
                <w:color w:val="000000"/>
                <w:szCs w:val="24"/>
              </w:rPr>
              <w:tab/>
              <w:t xml:space="preserve">Le </w:t>
            </w:r>
            <w:r w:rsidRPr="004E4188">
              <w:t>Soumissionnaire indiquera les rabais et leur méthode d’application dans la Lettre de soumission de l’Offre Financière, conformément à IS 12.1.</w:t>
            </w:r>
          </w:p>
        </w:tc>
      </w:tr>
      <w:tr w:rsidR="006F129D" w:rsidRPr="004E4188" w14:paraId="6C995B51" w14:textId="77777777" w:rsidTr="00D45EAD">
        <w:tc>
          <w:tcPr>
            <w:tcW w:w="2273" w:type="dxa"/>
            <w:tcBorders>
              <w:top w:val="nil"/>
              <w:left w:val="nil"/>
              <w:bottom w:val="nil"/>
              <w:right w:val="nil"/>
            </w:tcBorders>
          </w:tcPr>
          <w:p w14:paraId="1C31CDA7" w14:textId="77777777" w:rsidR="006F129D" w:rsidRPr="004E4188" w:rsidRDefault="006F129D" w:rsidP="0079054E">
            <w:pPr>
              <w:numPr>
                <w:ilvl w:val="12"/>
                <w:numId w:val="0"/>
              </w:numPr>
            </w:pPr>
          </w:p>
        </w:tc>
        <w:tc>
          <w:tcPr>
            <w:tcW w:w="7015" w:type="dxa"/>
            <w:tcBorders>
              <w:top w:val="nil"/>
              <w:left w:val="nil"/>
              <w:bottom w:val="nil"/>
              <w:right w:val="nil"/>
            </w:tcBorders>
          </w:tcPr>
          <w:p w14:paraId="3DAB383D" w14:textId="77777777" w:rsidR="006F129D" w:rsidRPr="004E4188" w:rsidRDefault="006F129D" w:rsidP="00D45EAD">
            <w:pPr>
              <w:suppressAutoHyphens w:val="0"/>
              <w:spacing w:after="200"/>
              <w:ind w:left="601" w:hanging="601"/>
              <w:rPr>
                <w:szCs w:val="24"/>
              </w:rPr>
            </w:pPr>
            <w:r w:rsidRPr="004E4188">
              <w:rPr>
                <w:rFonts w:cs="HBKMBP+TimesNewRoman"/>
                <w:color w:val="000000"/>
                <w:szCs w:val="24"/>
              </w:rPr>
              <w:t>14.7</w:t>
            </w:r>
            <w:r w:rsidRPr="004E4188">
              <w:rPr>
                <w:rFonts w:cs="HBKMBP+TimesNewRoman"/>
                <w:color w:val="000000"/>
                <w:szCs w:val="24"/>
              </w:rPr>
              <w:tab/>
            </w:r>
            <w:r w:rsidRPr="004E4188">
              <w:rPr>
                <w:b/>
                <w:bCs/>
                <w:lang w:eastAsia="en-US"/>
              </w:rPr>
              <w:t>S</w:t>
            </w:r>
            <w:r w:rsidRPr="004E4188">
              <w:rPr>
                <w:b/>
                <w:lang w:eastAsia="en-US"/>
              </w:rPr>
              <w:t xml:space="preserve">auf indication contraire dans les DP </w:t>
            </w:r>
            <w:r w:rsidRPr="004E4188">
              <w:rPr>
                <w:lang w:eastAsia="en-US"/>
              </w:rPr>
              <w:t xml:space="preserve">et l’annexe correspondante de l’Acte d’engagement et/ou les Conditions du </w:t>
            </w:r>
            <w:r w:rsidRPr="004E4188">
              <w:rPr>
                <w:b/>
                <w:lang w:eastAsia="en-US"/>
              </w:rPr>
              <w:t xml:space="preserve"> </w:t>
            </w:r>
            <w:r w:rsidRPr="004E4188">
              <w:rPr>
                <w:lang w:eastAsia="en-US"/>
              </w:rPr>
              <w:t>Marché, les taux et prix indiqués par le Soumissionnaire seront révisables durant l’exécution du Marché, conformément aux dispositions correspondantes du March</w:t>
            </w:r>
            <w:r w:rsidRPr="004E4188">
              <w:rPr>
                <w:rFonts w:eastAsia="SimSun"/>
                <w:lang w:eastAsia="en-US"/>
              </w:rPr>
              <w:t>é</w:t>
            </w:r>
            <w:r w:rsidRPr="004E4188">
              <w:rPr>
                <w:lang w:eastAsia="en-US"/>
              </w:rPr>
              <w:t>. Le Soumissionnaire devra fournir dans le Bordereau des donnée</w:t>
            </w:r>
            <w:r w:rsidRPr="004E4188">
              <w:rPr>
                <w:rFonts w:hint="eastAsia"/>
                <w:lang w:eastAsia="ja-JP"/>
              </w:rPr>
              <w:t>s de</w:t>
            </w:r>
            <w:r w:rsidRPr="004E4188">
              <w:rPr>
                <w:lang w:eastAsia="en-US"/>
              </w:rPr>
              <w:t xml:space="preserve"> révision des prix les indices et/ou paramètres retenus pour les formules de révision des prix. Le Maître d’ouvrage pourra exiger que le Soumissionnaire justifie les indices et paramètres qu’il propose.</w:t>
            </w:r>
          </w:p>
        </w:tc>
      </w:tr>
      <w:tr w:rsidR="006F129D" w:rsidRPr="004E4188" w14:paraId="0C8907DF" w14:textId="77777777" w:rsidTr="00D45EAD">
        <w:tc>
          <w:tcPr>
            <w:tcW w:w="2273" w:type="dxa"/>
            <w:tcBorders>
              <w:top w:val="nil"/>
              <w:left w:val="nil"/>
              <w:bottom w:val="nil"/>
              <w:right w:val="nil"/>
            </w:tcBorders>
          </w:tcPr>
          <w:p w14:paraId="5251267D" w14:textId="77777777" w:rsidR="006F129D" w:rsidRPr="004E4188" w:rsidRDefault="006F129D" w:rsidP="0079054E">
            <w:pPr>
              <w:numPr>
                <w:ilvl w:val="12"/>
                <w:numId w:val="0"/>
              </w:numPr>
            </w:pPr>
          </w:p>
        </w:tc>
        <w:tc>
          <w:tcPr>
            <w:tcW w:w="7015" w:type="dxa"/>
            <w:tcBorders>
              <w:top w:val="nil"/>
              <w:left w:val="nil"/>
              <w:bottom w:val="nil"/>
              <w:right w:val="nil"/>
            </w:tcBorders>
          </w:tcPr>
          <w:p w14:paraId="0E3E7130" w14:textId="77777777" w:rsidR="006F129D" w:rsidRPr="004E4188" w:rsidRDefault="006F129D" w:rsidP="00D45EAD">
            <w:pPr>
              <w:suppressAutoHyphens w:val="0"/>
              <w:spacing w:after="200"/>
              <w:ind w:left="601" w:hanging="601"/>
              <w:rPr>
                <w:szCs w:val="24"/>
              </w:rPr>
            </w:pPr>
            <w:r w:rsidRPr="004E4188">
              <w:rPr>
                <w:rFonts w:cs="HBKMBP+TimesNewRoman"/>
                <w:color w:val="000000"/>
                <w:szCs w:val="24"/>
              </w:rPr>
              <w:t>14.8</w:t>
            </w:r>
            <w:r w:rsidRPr="004E4188">
              <w:rPr>
                <w:rFonts w:cs="HBKMBP+TimesNewRoman"/>
                <w:color w:val="000000"/>
                <w:szCs w:val="24"/>
              </w:rPr>
              <w:tab/>
            </w:r>
            <w:r w:rsidRPr="004E4188">
              <w:rPr>
                <w:b/>
              </w:rPr>
              <w:t>L’Article 1.1 des DP indique</w:t>
            </w:r>
            <w:r w:rsidRPr="004E4188">
              <w:t xml:space="preserve"> si l’appel d’offres est lancé pour des lots multiples. Les Soumissionnaires désirant offrir tout rabais en cas d’attribution de plusieurs lots spécifieront dans leur Lettre de soumission de l’Offre Financière les rabais qui s’appliquent lors de cette attribution. Les rabais proposés seront présentés conformément à IS 14.6, à la condition toutefois que les offres pour l’ensemble des lots soient ouvertes en même temps.</w:t>
            </w:r>
          </w:p>
        </w:tc>
      </w:tr>
      <w:tr w:rsidR="006F129D" w:rsidRPr="004E4188" w14:paraId="340E90BB" w14:textId="77777777" w:rsidTr="00D45EAD">
        <w:tc>
          <w:tcPr>
            <w:tcW w:w="2273" w:type="dxa"/>
            <w:tcBorders>
              <w:top w:val="nil"/>
              <w:left w:val="nil"/>
              <w:bottom w:val="nil"/>
              <w:right w:val="nil"/>
            </w:tcBorders>
          </w:tcPr>
          <w:p w14:paraId="7FFFA9C9" w14:textId="77777777" w:rsidR="006F129D" w:rsidRPr="004E4188" w:rsidRDefault="006F129D" w:rsidP="0079054E">
            <w:pPr>
              <w:numPr>
                <w:ilvl w:val="12"/>
                <w:numId w:val="0"/>
              </w:numPr>
            </w:pPr>
          </w:p>
        </w:tc>
        <w:tc>
          <w:tcPr>
            <w:tcW w:w="7015" w:type="dxa"/>
            <w:tcBorders>
              <w:top w:val="nil"/>
              <w:left w:val="nil"/>
              <w:bottom w:val="nil"/>
              <w:right w:val="nil"/>
            </w:tcBorders>
          </w:tcPr>
          <w:p w14:paraId="0E217191" w14:textId="52FEA12A" w:rsidR="006F129D" w:rsidRPr="004E4188" w:rsidRDefault="006F129D" w:rsidP="00C7289D">
            <w:pPr>
              <w:suppressAutoHyphens w:val="0"/>
              <w:spacing w:after="200"/>
              <w:ind w:left="601" w:hanging="601"/>
              <w:rPr>
                <w:szCs w:val="24"/>
              </w:rPr>
            </w:pPr>
            <w:r w:rsidRPr="004E4188">
              <w:rPr>
                <w:rFonts w:cs="HBKMBP+TimesNewRoman"/>
                <w:color w:val="000000"/>
                <w:szCs w:val="24"/>
              </w:rPr>
              <w:t>14.9</w:t>
            </w:r>
            <w:r w:rsidRPr="004E4188">
              <w:rPr>
                <w:rFonts w:cs="HBKMBP+TimesNewRoman"/>
                <w:color w:val="000000"/>
                <w:szCs w:val="24"/>
              </w:rPr>
              <w:tab/>
            </w:r>
            <w:r w:rsidRPr="004E4188">
              <w:rPr>
                <w:b/>
                <w:lang w:eastAsia="ja-JP"/>
              </w:rPr>
              <w:t>S</w:t>
            </w:r>
            <w:r w:rsidRPr="004E4188">
              <w:rPr>
                <w:b/>
              </w:rPr>
              <w:t>auf indication contraire dans les DP</w:t>
            </w:r>
            <w:r w:rsidRPr="004E4188">
              <w:t>, tous les droits, taxes et autres prélèvements payables par l’Entrepreneur au titre du Marché, ou à tout autre titre, à la Date de référence seront réputés inclus dans les taux et prix et dans le montant total de l’</w:t>
            </w:r>
            <w:r w:rsidR="00C7289D" w:rsidRPr="004E4188">
              <w:t>offre</w:t>
            </w:r>
            <w:r w:rsidRPr="004E4188">
              <w:t xml:space="preserve"> présentée par le Soumissionnaire.</w:t>
            </w:r>
          </w:p>
        </w:tc>
      </w:tr>
      <w:tr w:rsidR="006F129D" w:rsidRPr="004E4188" w14:paraId="35AB55C2" w14:textId="77777777" w:rsidTr="00D45EAD">
        <w:tc>
          <w:tcPr>
            <w:tcW w:w="2273" w:type="dxa"/>
            <w:tcBorders>
              <w:top w:val="nil"/>
              <w:left w:val="nil"/>
              <w:bottom w:val="nil"/>
              <w:right w:val="nil"/>
            </w:tcBorders>
          </w:tcPr>
          <w:p w14:paraId="2DD33398" w14:textId="77777777" w:rsidR="006F129D" w:rsidRPr="004E4188" w:rsidRDefault="006F129D" w:rsidP="0079054E">
            <w:pPr>
              <w:numPr>
                <w:ilvl w:val="12"/>
                <w:numId w:val="0"/>
              </w:numPr>
            </w:pPr>
          </w:p>
        </w:tc>
        <w:tc>
          <w:tcPr>
            <w:tcW w:w="7015" w:type="dxa"/>
            <w:tcBorders>
              <w:top w:val="nil"/>
              <w:left w:val="nil"/>
              <w:bottom w:val="nil"/>
              <w:right w:val="nil"/>
            </w:tcBorders>
          </w:tcPr>
          <w:p w14:paraId="1A6F2A02" w14:textId="09280E5C" w:rsidR="006F129D" w:rsidRPr="004E4188" w:rsidRDefault="006F129D" w:rsidP="0067298D">
            <w:pPr>
              <w:spacing w:after="120"/>
              <w:ind w:left="601" w:hanging="601"/>
              <w:rPr>
                <w:szCs w:val="24"/>
              </w:rPr>
            </w:pPr>
            <w:r w:rsidRPr="004E4188">
              <w:rPr>
                <w:rFonts w:cs="HBKMBP+TimesNewRoman"/>
                <w:color w:val="000000"/>
                <w:szCs w:val="24"/>
              </w:rPr>
              <w:t>14.10</w:t>
            </w:r>
            <w:r w:rsidRPr="004E4188">
              <w:rPr>
                <w:rFonts w:cs="HBKMBP+TimesNewRoman"/>
                <w:color w:val="000000"/>
                <w:szCs w:val="24"/>
              </w:rPr>
              <w:tab/>
            </w:r>
            <w:r w:rsidRPr="004E4188">
              <w:rPr>
                <w:bCs/>
                <w:lang w:eastAsia="en-US"/>
              </w:rPr>
              <w:t>Le montant exact et la monnaie des sommes provisionnelles de nature spécifique et des provisions pour risque, le cas échéant, doivent être</w:t>
            </w:r>
            <w:r w:rsidRPr="004E4188">
              <w:t xml:space="preserve"> indiqués dans les Bordereaux des prix </w:t>
            </w:r>
            <w:r w:rsidRPr="004E4188">
              <w:rPr>
                <w:b/>
              </w:rPr>
              <w:t>comme</w:t>
            </w:r>
            <w:r w:rsidRPr="004E4188">
              <w:rPr>
                <w:bCs/>
                <w:lang w:eastAsia="en-US"/>
              </w:rPr>
              <w:t xml:space="preserve"> </w:t>
            </w:r>
            <w:r w:rsidRPr="004E4188">
              <w:rPr>
                <w:b/>
                <w:szCs w:val="24"/>
                <w:lang w:eastAsia="en-US"/>
              </w:rPr>
              <w:t>spécifié dans les DP</w:t>
            </w:r>
            <w:r w:rsidRPr="004E4188">
              <w:rPr>
                <w:lang w:eastAsia="en-US"/>
              </w:rPr>
              <w:t>. L</w:t>
            </w:r>
            <w:r w:rsidRPr="004E4188">
              <w:rPr>
                <w:szCs w:val="24"/>
                <w:lang w:eastAsia="en-US"/>
              </w:rPr>
              <w:t xml:space="preserve">es Soumissionnaires doivent avoir connaissance des dispositions énoncées à l’Article </w:t>
            </w:r>
            <w:r w:rsidRPr="004E4188">
              <w:rPr>
                <w:szCs w:val="24"/>
                <w:lang w:eastAsia="ja-JP"/>
              </w:rPr>
              <w:t>39.4</w:t>
            </w:r>
            <w:r w:rsidRPr="004E4188">
              <w:rPr>
                <w:szCs w:val="24"/>
                <w:lang w:eastAsia="en-US"/>
              </w:rPr>
              <w:t xml:space="preserve"> des Conditions du Marché</w:t>
            </w:r>
            <w:r w:rsidR="008007E2" w:rsidRPr="004E4188">
              <w:rPr>
                <w:lang w:eastAsia="en-US"/>
              </w:rPr>
              <w:t>.</w:t>
            </w:r>
          </w:p>
        </w:tc>
      </w:tr>
      <w:tr w:rsidR="006F129D" w:rsidRPr="004E4188" w14:paraId="3698545B" w14:textId="77777777" w:rsidTr="00D45EAD">
        <w:tc>
          <w:tcPr>
            <w:tcW w:w="2273" w:type="dxa"/>
            <w:tcBorders>
              <w:top w:val="nil"/>
              <w:left w:val="nil"/>
              <w:bottom w:val="nil"/>
              <w:right w:val="nil"/>
            </w:tcBorders>
          </w:tcPr>
          <w:p w14:paraId="2D9836C9" w14:textId="6C5E2102" w:rsidR="006F129D" w:rsidRPr="004E4188" w:rsidRDefault="006F129D" w:rsidP="008A28CD">
            <w:pPr>
              <w:pStyle w:val="S1-Header20"/>
              <w:rPr>
                <w:lang w:val="fr-FR"/>
              </w:rPr>
            </w:pPr>
            <w:bookmarkStart w:id="163" w:name="_Toc438438836"/>
            <w:bookmarkStart w:id="164" w:name="_Toc438532597"/>
            <w:bookmarkStart w:id="165" w:name="_Toc438733980"/>
            <w:bookmarkStart w:id="166" w:name="_Toc438907019"/>
            <w:bookmarkStart w:id="167" w:name="_Toc438907218"/>
            <w:bookmarkStart w:id="168" w:name="_Toc156373298"/>
            <w:bookmarkStart w:id="169" w:name="_Toc354651992"/>
            <w:bookmarkStart w:id="170" w:name="_Toc113293303"/>
            <w:r w:rsidRPr="004E4188">
              <w:rPr>
                <w:lang w:val="fr-FR"/>
              </w:rPr>
              <w:t>15.</w:t>
            </w:r>
            <w:r w:rsidRPr="004E4188">
              <w:rPr>
                <w:lang w:val="fr-FR"/>
              </w:rPr>
              <w:tab/>
              <w:t>Monnaies de l’offre</w:t>
            </w:r>
            <w:bookmarkEnd w:id="163"/>
            <w:bookmarkEnd w:id="164"/>
            <w:bookmarkEnd w:id="165"/>
            <w:bookmarkEnd w:id="166"/>
            <w:bookmarkEnd w:id="167"/>
            <w:bookmarkEnd w:id="168"/>
            <w:r w:rsidRPr="004E4188">
              <w:rPr>
                <w:lang w:val="fr-FR"/>
              </w:rPr>
              <w:t xml:space="preserve"> et de règlement</w:t>
            </w:r>
            <w:bookmarkEnd w:id="169"/>
            <w:bookmarkEnd w:id="170"/>
          </w:p>
        </w:tc>
        <w:tc>
          <w:tcPr>
            <w:tcW w:w="7015" w:type="dxa"/>
            <w:tcBorders>
              <w:top w:val="nil"/>
              <w:left w:val="nil"/>
              <w:bottom w:val="nil"/>
              <w:right w:val="nil"/>
            </w:tcBorders>
          </w:tcPr>
          <w:p w14:paraId="437A90DD" w14:textId="38F9C8F7" w:rsidR="006F129D" w:rsidRPr="004E4188" w:rsidRDefault="006F129D" w:rsidP="00820FF2">
            <w:pPr>
              <w:suppressAutoHyphens w:val="0"/>
              <w:spacing w:after="200"/>
              <w:ind w:left="601" w:hanging="601"/>
            </w:pPr>
            <w:r w:rsidRPr="004E4188">
              <w:rPr>
                <w:lang w:eastAsia="ja-JP"/>
              </w:rPr>
              <w:t>15.1</w:t>
            </w:r>
            <w:r w:rsidRPr="004E4188">
              <w:rPr>
                <w:lang w:eastAsia="ja-JP"/>
              </w:rPr>
              <w:tab/>
            </w:r>
            <w:r w:rsidRPr="004E4188">
              <w:t xml:space="preserve">Les monnaies de l’offre doivent être celles </w:t>
            </w:r>
            <w:r w:rsidRPr="004E4188">
              <w:rPr>
                <w:b/>
              </w:rPr>
              <w:t>indiquées dans les DP</w:t>
            </w:r>
            <w:r w:rsidRPr="004E4188">
              <w:t xml:space="preserve">. Le règlement du Montant du Marché sera effectué dans la(les) </w:t>
            </w:r>
            <w:r w:rsidRPr="004E4188">
              <w:rPr>
                <w:rFonts w:cs="HBKMBP+TimesNewRoman"/>
                <w:color w:val="000000"/>
                <w:szCs w:val="24"/>
              </w:rPr>
              <w:t>monnaie</w:t>
            </w:r>
            <w:r w:rsidRPr="004E4188">
              <w:t>(s) dans laquelle(lesquelles) le Montant de l’offre est indiqué dans l’offre du Soumissionnaire retenu.</w:t>
            </w:r>
          </w:p>
          <w:p w14:paraId="501451F0" w14:textId="4BC0B2F2" w:rsidR="006F129D" w:rsidRPr="004E4188" w:rsidRDefault="006F129D" w:rsidP="00ED0A9C">
            <w:pPr>
              <w:spacing w:after="200"/>
              <w:ind w:left="601" w:hanging="601"/>
              <w:rPr>
                <w:lang w:eastAsia="ja-JP"/>
              </w:rPr>
            </w:pPr>
            <w:r w:rsidRPr="004E4188">
              <w:t>15.2</w:t>
            </w:r>
            <w:r w:rsidRPr="004E4188">
              <w:rPr>
                <w:lang w:eastAsia="ja-JP"/>
              </w:rPr>
              <w:tab/>
            </w:r>
            <w:r w:rsidRPr="004E4188">
              <w:t xml:space="preserve">Le Maître d’ouvrage peut demander au Soumissionnaire d’expliquer, de </w:t>
            </w:r>
            <w:r w:rsidRPr="004E4188">
              <w:rPr>
                <w:rFonts w:cs="HBKMBP+TimesNewRoman"/>
                <w:color w:val="000000"/>
                <w:szCs w:val="24"/>
              </w:rPr>
              <w:t>façon</w:t>
            </w:r>
            <w:r w:rsidRPr="004E4188">
              <w:t xml:space="preserve"> </w:t>
            </w:r>
            <w:r w:rsidRPr="004E4188">
              <w:rPr>
                <w:rFonts w:cs="HBKMBP+TimesNewRoman"/>
                <w:color w:val="000000"/>
                <w:szCs w:val="24"/>
              </w:rPr>
              <w:t>satisfaisante</w:t>
            </w:r>
            <w:r w:rsidRPr="004E4188">
              <w:t xml:space="preserve"> pour le Maître d’ouvrage, la répartition des montants indiqués en monnaies nationale et étrangères</w:t>
            </w:r>
            <w:r w:rsidRPr="004E4188">
              <w:rPr>
                <w:rFonts w:hint="eastAsia"/>
                <w:lang w:eastAsia="ja-JP"/>
              </w:rPr>
              <w:t xml:space="preserve"> </w:t>
            </w:r>
            <w:r w:rsidRPr="004E4188">
              <w:rPr>
                <w:lang w:eastAsia="ja-JP"/>
              </w:rPr>
              <w:t xml:space="preserve">et </w:t>
            </w:r>
            <w:r w:rsidRPr="004E4188">
              <w:t>de justifier que les montants des prix unitaires et totaux indiqués dans le Bordereau des données de révision des prix, sont raisonnables.</w:t>
            </w:r>
          </w:p>
        </w:tc>
      </w:tr>
      <w:tr w:rsidR="006F129D" w:rsidRPr="004E4188" w14:paraId="2236462A" w14:textId="77777777" w:rsidTr="00D45EAD">
        <w:trPr>
          <w:trHeight w:val="1530"/>
        </w:trPr>
        <w:tc>
          <w:tcPr>
            <w:tcW w:w="2273" w:type="dxa"/>
          </w:tcPr>
          <w:p w14:paraId="0CE8FDAE" w14:textId="48E19E43" w:rsidR="006F129D" w:rsidRPr="004E4188" w:rsidRDefault="006F129D" w:rsidP="008A28CD">
            <w:pPr>
              <w:pStyle w:val="S1-Header20"/>
              <w:rPr>
                <w:lang w:val="fr-FR"/>
              </w:rPr>
            </w:pPr>
            <w:bookmarkStart w:id="171" w:name="_Toc99366359"/>
            <w:bookmarkStart w:id="172" w:name="_Toc113293304"/>
            <w:r w:rsidRPr="004E4188">
              <w:rPr>
                <w:lang w:val="fr-FR"/>
              </w:rPr>
              <w:t>16.</w:t>
            </w:r>
            <w:r w:rsidR="008A28CD" w:rsidRPr="004E4188">
              <w:rPr>
                <w:lang w:val="fr-FR"/>
              </w:rPr>
              <w:tab/>
            </w:r>
            <w:r w:rsidRPr="004E4188">
              <w:rPr>
                <w:lang w:val="fr-FR"/>
              </w:rPr>
              <w:t>Proposition technique et sous-traitants</w:t>
            </w:r>
            <w:bookmarkEnd w:id="171"/>
            <w:bookmarkEnd w:id="172"/>
          </w:p>
        </w:tc>
        <w:tc>
          <w:tcPr>
            <w:tcW w:w="7015" w:type="dxa"/>
          </w:tcPr>
          <w:p w14:paraId="6158AEC9" w14:textId="3C69CB89" w:rsidR="006F129D" w:rsidRPr="004E4188" w:rsidRDefault="006F129D" w:rsidP="00712219">
            <w:pPr>
              <w:suppressAutoHyphens w:val="0"/>
              <w:spacing w:after="200"/>
              <w:ind w:left="601" w:hanging="601"/>
            </w:pPr>
            <w:r w:rsidRPr="004E4188">
              <w:t>16.1</w:t>
            </w:r>
            <w:r w:rsidRPr="004E4188">
              <w:tab/>
              <w:t xml:space="preserve">Le Soumissionnaire devra fournir en tant que partie intégrante de son Offre Technique, une Proposition technique précisant la méthodologie de conception, les méthodes d’exécution des </w:t>
            </w:r>
            <w:r w:rsidR="00553D71" w:rsidRPr="004E4188">
              <w:t>t</w:t>
            </w:r>
            <w:r w:rsidRPr="004E4188">
              <w:t>ravaux, le matériel et personnel employés, le calendrier d’exécution, le plan de sécurité et tout autre renseignement demandé à la Section IV, Formulaires de soumission. La Proposition technique du Soumissionnaire devra être suffisamment détaillée pour permettre d’établir qu’elle est substantiellement conforme aux Exigences du Maître d’</w:t>
            </w:r>
            <w:r w:rsidRPr="004E4188">
              <w:rPr>
                <w:rFonts w:hint="eastAsia"/>
              </w:rPr>
              <w:t>o</w:t>
            </w:r>
            <w:r w:rsidRPr="004E4188">
              <w:t>uvrag</w:t>
            </w:r>
            <w:r w:rsidRPr="004E4188">
              <w:rPr>
                <w:rFonts w:hint="eastAsia"/>
                <w:lang w:eastAsia="ja-JP"/>
              </w:rPr>
              <w:t>e</w:t>
            </w:r>
            <w:r w:rsidRPr="004E4188">
              <w:t xml:space="preserve"> et au calendrier des </w:t>
            </w:r>
            <w:r w:rsidR="00553D71" w:rsidRPr="004E4188">
              <w:t>Installations</w:t>
            </w:r>
            <w:r w:rsidRPr="004E4188">
              <w:t>.</w:t>
            </w:r>
          </w:p>
        </w:tc>
      </w:tr>
      <w:tr w:rsidR="006F129D" w:rsidRPr="004E4188" w14:paraId="25F835A9" w14:textId="77777777" w:rsidTr="00D45EAD">
        <w:trPr>
          <w:trHeight w:val="1530"/>
        </w:trPr>
        <w:tc>
          <w:tcPr>
            <w:tcW w:w="2273" w:type="dxa"/>
          </w:tcPr>
          <w:p w14:paraId="172E7760" w14:textId="77777777" w:rsidR="006F129D" w:rsidRPr="004E4188" w:rsidRDefault="006F129D" w:rsidP="00D45EAD">
            <w:pPr>
              <w:pStyle w:val="Header1-Clauses"/>
              <w:rPr>
                <w:lang w:val="fr-FR"/>
              </w:rPr>
            </w:pPr>
          </w:p>
        </w:tc>
        <w:tc>
          <w:tcPr>
            <w:tcW w:w="7015" w:type="dxa"/>
          </w:tcPr>
          <w:p w14:paraId="6CA6679A" w14:textId="77777777" w:rsidR="006F129D" w:rsidRPr="004E4188" w:rsidRDefault="006F129D" w:rsidP="00712219">
            <w:pPr>
              <w:tabs>
                <w:tab w:val="num" w:pos="601"/>
              </w:tabs>
              <w:spacing w:after="200"/>
              <w:ind w:left="601" w:hanging="601"/>
            </w:pPr>
            <w:r w:rsidRPr="004E4188">
              <w:rPr>
                <w:lang w:eastAsia="ja-JP"/>
              </w:rPr>
              <w:t>16.2</w:t>
            </w:r>
            <w:r w:rsidRPr="004E4188">
              <w:rPr>
                <w:lang w:eastAsia="ja-JP"/>
              </w:rPr>
              <w:tab/>
            </w:r>
            <w:r w:rsidRPr="004E4188">
              <w:t xml:space="preserve">Les documents attestant de la conformité des </w:t>
            </w:r>
            <w:r w:rsidRPr="004E4188">
              <w:rPr>
                <w:szCs w:val="24"/>
              </w:rPr>
              <w:t>É</w:t>
            </w:r>
            <w:r w:rsidRPr="004E4188">
              <w:t>quipements et Services de montage avec le Dossier d’appel d’offres peuvent être sous la forme de documentation, de plans ou données et doivent comprendre</w:t>
            </w:r>
            <w:r w:rsidRPr="004E4188">
              <w:rPr>
                <w:rFonts w:hint="eastAsia"/>
                <w:lang w:eastAsia="ja-JP"/>
              </w:rPr>
              <w:t xml:space="preserve"> </w:t>
            </w:r>
            <w:r w:rsidRPr="004E4188">
              <w:t>:</w:t>
            </w:r>
          </w:p>
          <w:p w14:paraId="46E174F5" w14:textId="77777777" w:rsidR="006F129D" w:rsidRPr="004E4188" w:rsidRDefault="006F129D" w:rsidP="00712219">
            <w:pPr>
              <w:pStyle w:val="StyleStyleHeader1-ClausesAfter0ptLeft0Hanging"/>
              <w:tabs>
                <w:tab w:val="left" w:pos="1149"/>
              </w:tabs>
              <w:ind w:left="1055" w:hanging="454"/>
              <w:rPr>
                <w:lang w:val="fr-FR"/>
              </w:rPr>
            </w:pPr>
            <w:r w:rsidRPr="004E4188">
              <w:rPr>
                <w:lang w:val="fr-FR" w:eastAsia="ja-JP"/>
              </w:rPr>
              <w:t>(a)</w:t>
            </w:r>
            <w:r w:rsidRPr="004E4188">
              <w:rPr>
                <w:lang w:val="fr-FR" w:eastAsia="ja-JP"/>
              </w:rPr>
              <w:tab/>
              <w:t>u</w:t>
            </w:r>
            <w:r w:rsidRPr="004E4188">
              <w:rPr>
                <w:lang w:val="fr-FR"/>
              </w:rPr>
              <w:t xml:space="preserve">ne description détaillée des caractéristiques techniques et des performances essentielles des </w:t>
            </w:r>
            <w:r w:rsidRPr="004E4188">
              <w:rPr>
                <w:szCs w:val="24"/>
                <w:lang w:val="fr-FR"/>
              </w:rPr>
              <w:t>É</w:t>
            </w:r>
            <w:r w:rsidRPr="004E4188">
              <w:rPr>
                <w:lang w:val="fr-FR"/>
              </w:rPr>
              <w:t xml:space="preserve">quipements et Services de montage, y compris les garanties opérationnelles des </w:t>
            </w:r>
            <w:r w:rsidRPr="004E4188">
              <w:rPr>
                <w:szCs w:val="24"/>
                <w:lang w:val="fr-FR"/>
              </w:rPr>
              <w:t>É</w:t>
            </w:r>
            <w:r w:rsidRPr="004E4188">
              <w:rPr>
                <w:lang w:val="fr-FR"/>
              </w:rPr>
              <w:t>quipements et Services de montage proposés en réponse aux Exigences du Maître d’ouvrage</w:t>
            </w:r>
            <w:r w:rsidRPr="004E4188">
              <w:rPr>
                <w:lang w:val="fr-FR" w:eastAsia="ja-JP"/>
              </w:rPr>
              <w:t xml:space="preserve">. Les garanties  opérationnelles des </w:t>
            </w:r>
            <w:r w:rsidRPr="004E4188">
              <w:rPr>
                <w:szCs w:val="24"/>
                <w:lang w:val="fr-FR"/>
              </w:rPr>
              <w:t>É</w:t>
            </w:r>
            <w:r w:rsidRPr="004E4188">
              <w:rPr>
                <w:lang w:val="fr-FR" w:eastAsia="ja-JP"/>
              </w:rPr>
              <w:t xml:space="preserve">quipements et Services de montage proposés doivent être indiquées dans le formulaire prévu à cet effet à la Section IV, Formulaires de soumission ; </w:t>
            </w:r>
          </w:p>
          <w:p w14:paraId="5250B824" w14:textId="77777777" w:rsidR="006F129D" w:rsidRPr="004E4188" w:rsidRDefault="006F129D" w:rsidP="00712219">
            <w:pPr>
              <w:pStyle w:val="StyleStyleHeader1-ClausesAfter0ptLeft0Hanging"/>
              <w:tabs>
                <w:tab w:val="left" w:pos="1149"/>
              </w:tabs>
              <w:ind w:left="1055" w:hanging="454"/>
              <w:rPr>
                <w:lang w:val="fr-FR"/>
              </w:rPr>
            </w:pPr>
            <w:r w:rsidRPr="004E4188">
              <w:rPr>
                <w:lang w:val="fr-FR"/>
              </w:rPr>
              <w:t>(b)</w:t>
            </w:r>
            <w:r w:rsidRPr="004E4188">
              <w:rPr>
                <w:lang w:val="fr-FR"/>
              </w:rPr>
              <w:tab/>
              <w:t>une liste détaillée, spécifiant les sources de disponibilité, de toutes les pièces de rechange (c.-⁠à-⁠d. des p</w:t>
            </w:r>
            <w:r w:rsidRPr="004E4188">
              <w:rPr>
                <w:szCs w:val="22"/>
                <w:lang w:val="fr-FR"/>
              </w:rPr>
              <w:t>ièces de rechange obligatoires</w:t>
            </w:r>
            <w:r w:rsidRPr="004E4188">
              <w:rPr>
                <w:lang w:val="fr-FR"/>
              </w:rPr>
              <w:t xml:space="preserve"> et p</w:t>
            </w:r>
            <w:r w:rsidRPr="004E4188">
              <w:rPr>
                <w:szCs w:val="22"/>
                <w:lang w:val="fr-FR"/>
              </w:rPr>
              <w:t xml:space="preserve">ièces de rechange recommandées, </w:t>
            </w:r>
            <w:r w:rsidRPr="004E4188">
              <w:rPr>
                <w:lang w:val="fr-FR"/>
              </w:rPr>
              <w:t xml:space="preserve">le cas échéant) et outils spéciaux, etc. nécessaires pour le bon fonctionnement continu des équipements pour la période </w:t>
            </w:r>
            <w:r w:rsidRPr="004E4188">
              <w:rPr>
                <w:b/>
                <w:lang w:val="fr-FR"/>
              </w:rPr>
              <w:t>indiquée dans les DP</w:t>
            </w:r>
            <w:r w:rsidRPr="004E4188">
              <w:rPr>
                <w:lang w:val="fr-FR"/>
              </w:rPr>
              <w:t>, après la Réception opérationnelle des Installations conformément aux dispositions du Marché ; et</w:t>
            </w:r>
          </w:p>
          <w:p w14:paraId="7DB50E72" w14:textId="77777777" w:rsidR="006F129D" w:rsidRPr="004E4188" w:rsidRDefault="006F129D" w:rsidP="00712219">
            <w:pPr>
              <w:pStyle w:val="StyleStyleHeader1-ClausesAfter0ptLeft0Hanging"/>
              <w:tabs>
                <w:tab w:val="left" w:pos="1149"/>
                <w:tab w:val="left" w:pos="5869"/>
              </w:tabs>
              <w:ind w:left="1055" w:hanging="454"/>
              <w:rPr>
                <w:lang w:val="fr-FR"/>
              </w:rPr>
            </w:pPr>
            <w:r w:rsidRPr="004E4188">
              <w:rPr>
                <w:lang w:val="fr-FR" w:eastAsia="ja-JP"/>
              </w:rPr>
              <w:t>(c)</w:t>
            </w:r>
            <w:r w:rsidRPr="004E4188">
              <w:rPr>
                <w:lang w:val="fr-FR"/>
              </w:rPr>
              <w:tab/>
            </w:r>
            <w:r w:rsidRPr="004E4188">
              <w:rPr>
                <w:lang w:val="fr-FR" w:eastAsia="ja-JP"/>
              </w:rPr>
              <w:t>d</w:t>
            </w:r>
            <w:r w:rsidRPr="004E4188">
              <w:rPr>
                <w:lang w:val="fr-FR"/>
              </w:rPr>
              <w:t xml:space="preserve">es éléments de preuve suffisants attestant de la conformité générale des </w:t>
            </w:r>
            <w:r w:rsidRPr="004E4188">
              <w:rPr>
                <w:szCs w:val="24"/>
                <w:lang w:val="fr-FR"/>
              </w:rPr>
              <w:t>É</w:t>
            </w:r>
            <w:r w:rsidRPr="004E4188">
              <w:rPr>
                <w:lang w:val="fr-FR"/>
              </w:rPr>
              <w:t>quipements et Services de montage avec les Exigences du Maître d’</w:t>
            </w:r>
            <w:r w:rsidRPr="004E4188">
              <w:rPr>
                <w:rFonts w:hint="eastAsia"/>
                <w:lang w:val="fr-FR"/>
              </w:rPr>
              <w:t>o</w:t>
            </w:r>
            <w:r w:rsidRPr="004E4188">
              <w:rPr>
                <w:lang w:val="fr-FR"/>
              </w:rPr>
              <w:t xml:space="preserve">uvrage. Le Soumissionnaire notera </w:t>
            </w:r>
            <w:r w:rsidRPr="004E4188">
              <w:rPr>
                <w:rFonts w:cs="HBKMBP+TimesNewRoman"/>
                <w:color w:val="000000"/>
                <w:szCs w:val="24"/>
                <w:lang w:val="fr-FR"/>
              </w:rPr>
              <w:t>que les normes de qualité du travail, des matériaux et des équipements indiqués par le Maître d’ouvrage dans le Dossier d’appel d’</w:t>
            </w:r>
            <w:r w:rsidRPr="004E4188">
              <w:rPr>
                <w:lang w:val="fr-FR"/>
              </w:rPr>
              <w:t>offres</w:t>
            </w:r>
            <w:r w:rsidRPr="004E4188">
              <w:rPr>
                <w:rFonts w:cs="HBKMBP+TimesNewRoman"/>
                <w:color w:val="FF0000"/>
                <w:szCs w:val="24"/>
                <w:lang w:val="fr-FR"/>
              </w:rPr>
              <w:t xml:space="preserve"> </w:t>
            </w:r>
            <w:r w:rsidRPr="004E4188">
              <w:rPr>
                <w:rFonts w:cs="HBKMBP+TimesNewRoman"/>
                <w:szCs w:val="24"/>
                <w:lang w:val="fr-FR"/>
              </w:rPr>
              <w:t>le</w:t>
            </w:r>
            <w:r w:rsidRPr="004E4188">
              <w:rPr>
                <w:rFonts w:cs="HBKMBP+TimesNewRoman"/>
                <w:color w:val="FF0000"/>
                <w:szCs w:val="24"/>
                <w:lang w:val="fr-FR"/>
              </w:rPr>
              <w:t xml:space="preserve"> </w:t>
            </w:r>
            <w:r w:rsidRPr="004E4188">
              <w:rPr>
                <w:rFonts w:cs="HBKMBP+TimesNewRoman"/>
                <w:color w:val="000000"/>
                <w:szCs w:val="24"/>
                <w:lang w:val="fr-FR"/>
              </w:rPr>
              <w:t xml:space="preserve">sont uniquement dans un but descriptif (pour établir des normes de qualité et de performance) et non restrictif. Le Soumissionnaire peut les remplacer dans son Offre Technique par d’autres normes, marques, et/ou numéros de catalogues, pourvu qu’il démontre à la satisfaction du Maître d’ouvrage que les normes de substitution sont en substance équivalentes ou supérieures à celles décrites dans les </w:t>
            </w:r>
            <w:r w:rsidRPr="004E4188">
              <w:rPr>
                <w:lang w:val="fr-FR"/>
              </w:rPr>
              <w:t>Exigences du Maître d’</w:t>
            </w:r>
            <w:r w:rsidRPr="004E4188">
              <w:rPr>
                <w:rFonts w:hint="eastAsia"/>
                <w:lang w:val="fr-FR"/>
              </w:rPr>
              <w:t>o</w:t>
            </w:r>
            <w:r w:rsidRPr="004E4188">
              <w:rPr>
                <w:lang w:val="fr-FR"/>
              </w:rPr>
              <w:t>uvrage.</w:t>
            </w:r>
          </w:p>
        </w:tc>
      </w:tr>
      <w:tr w:rsidR="006F129D" w:rsidRPr="004E4188" w14:paraId="1DB3E0D9" w14:textId="77777777" w:rsidTr="00D45EAD">
        <w:trPr>
          <w:trHeight w:val="1530"/>
        </w:trPr>
        <w:tc>
          <w:tcPr>
            <w:tcW w:w="2273" w:type="dxa"/>
          </w:tcPr>
          <w:p w14:paraId="3E2F4CD1" w14:textId="77777777" w:rsidR="006F129D" w:rsidRPr="004E4188" w:rsidRDefault="006F129D" w:rsidP="00D45EAD">
            <w:pPr>
              <w:pStyle w:val="Header1-Clauses"/>
              <w:rPr>
                <w:lang w:val="fr-FR"/>
              </w:rPr>
            </w:pPr>
          </w:p>
        </w:tc>
        <w:tc>
          <w:tcPr>
            <w:tcW w:w="7015" w:type="dxa"/>
          </w:tcPr>
          <w:p w14:paraId="37A2BF26" w14:textId="2632328E" w:rsidR="006F129D" w:rsidRPr="004E4188" w:rsidRDefault="006F129D" w:rsidP="00D45EAD">
            <w:pPr>
              <w:pStyle w:val="StyleHeader1-ClausesAfter0pt"/>
              <w:tabs>
                <w:tab w:val="left" w:pos="576"/>
              </w:tabs>
              <w:ind w:left="576" w:hanging="576"/>
              <w:rPr>
                <w:lang w:val="fr-FR"/>
              </w:rPr>
            </w:pPr>
            <w:r w:rsidRPr="004E4188">
              <w:rPr>
                <w:lang w:val="fr-FR" w:eastAsia="ja-JP"/>
              </w:rPr>
              <w:t>16.3</w:t>
            </w:r>
            <w:r w:rsidRPr="004E4188">
              <w:rPr>
                <w:lang w:val="fr-FR" w:eastAsia="ja-JP"/>
              </w:rPr>
              <w:tab/>
            </w:r>
            <w:r w:rsidRPr="004E4188">
              <w:rPr>
                <w:lang w:val="fr-FR"/>
              </w:rPr>
              <w:t>Le Soumissionnaire peut proposer de sous-traiter l’une quelconque des activités principales pour lesquelles l’expérience des sous-traitants proposés a été évaluée durant la préqualification, ou autrement sont indiquées au Critère 2.4.2(b) de la Section III, Critères d’évaluation et de qualification (sous-traitants spécialisés). Dans un tel cas :</w:t>
            </w:r>
          </w:p>
          <w:p w14:paraId="798BEABF" w14:textId="77777777" w:rsidR="006F129D" w:rsidRPr="004E4188" w:rsidRDefault="006F129D" w:rsidP="003D46CF">
            <w:pPr>
              <w:pStyle w:val="StyleStyleHeader1-ClausesAfter0ptLeft0Hanging"/>
              <w:numPr>
                <w:ilvl w:val="0"/>
                <w:numId w:val="24"/>
              </w:numPr>
              <w:tabs>
                <w:tab w:val="clear" w:pos="576"/>
              </w:tabs>
              <w:ind w:left="1055" w:hanging="454"/>
              <w:rPr>
                <w:lang w:val="fr-FR"/>
              </w:rPr>
            </w:pPr>
            <w:r w:rsidRPr="004E4188">
              <w:rPr>
                <w:lang w:val="fr-FR"/>
              </w:rPr>
              <w:t>Le Soumissionnaire peut indiquer un ou plusieurs sous-traitants pour chacune des activités principales et la somme des résultats de qualification d’un sous-traitant pour remplir chacun des critères des activités principales est acceptée, sous réserve des dispositions de IS 16.3(d). Les taux et prix indiqués seront réputés s’appliquer quel que soit le sous-traitant choisi par</w:t>
            </w:r>
            <w:r w:rsidRPr="004E4188">
              <w:rPr>
                <w:color w:val="FF0000"/>
                <w:lang w:val="fr-FR"/>
              </w:rPr>
              <w:t xml:space="preserve"> </w:t>
            </w:r>
            <w:r w:rsidRPr="004E4188">
              <w:rPr>
                <w:lang w:val="fr-FR"/>
              </w:rPr>
              <w:t>l’entrepreneur et aucune révision de ces taux ou prix ne sera autorisée.</w:t>
            </w:r>
          </w:p>
          <w:p w14:paraId="07B98858" w14:textId="4AAC10CB" w:rsidR="006F129D" w:rsidRPr="004E4188" w:rsidRDefault="006F129D" w:rsidP="003D46CF">
            <w:pPr>
              <w:pStyle w:val="StyleStyleHeader1-ClausesAfter0ptLeft0Hanging"/>
              <w:numPr>
                <w:ilvl w:val="0"/>
                <w:numId w:val="24"/>
              </w:numPr>
              <w:tabs>
                <w:tab w:val="clear" w:pos="576"/>
              </w:tabs>
              <w:ind w:left="1055" w:hanging="454"/>
              <w:rPr>
                <w:lang w:val="fr-FR"/>
              </w:rPr>
            </w:pPr>
            <w:r w:rsidRPr="004E4188">
              <w:rPr>
                <w:lang w:val="fr-FR"/>
              </w:rPr>
              <w:t xml:space="preserve">Le Soumissionnaire doit clairement identifier le(s) sous-traitant(s) spécialisé(s) proposé(s) dans les formulaires ELI-3, EXP-2(b) </w:t>
            </w:r>
            <w:r w:rsidRPr="004E4188">
              <w:rPr>
                <w:rFonts w:hint="eastAsia"/>
                <w:lang w:val="fr-FR" w:eastAsia="ja-JP"/>
              </w:rPr>
              <w:t>e</w:t>
            </w:r>
            <w:r w:rsidRPr="004E4188">
              <w:rPr>
                <w:lang w:val="fr-FR" w:eastAsia="ja-JP"/>
              </w:rPr>
              <w:t xml:space="preserve">t FAB </w:t>
            </w:r>
            <w:r w:rsidRPr="004E4188">
              <w:rPr>
                <w:lang w:val="fr-FR"/>
              </w:rPr>
              <w:t>de la Section IV, Formulaires de soumission</w:t>
            </w:r>
            <w:r w:rsidR="00F1182A" w:rsidRPr="004E4188">
              <w:rPr>
                <w:lang w:val="fr-FR"/>
              </w:rPr>
              <w:t>,</w:t>
            </w:r>
            <w:r w:rsidRPr="004E4188">
              <w:rPr>
                <w:lang w:val="fr-FR"/>
              </w:rPr>
              <w:t xml:space="preserve"> et les indiquer tous dans le formulaire « Liste de sous-traitants » de la Section IV qui fait partie intégrante de sa Proposition technique, en ajoutant les informations attestant de la conformité avec les exigences indiquées par le Maître d’ouvrage. </w:t>
            </w:r>
          </w:p>
          <w:p w14:paraId="73B03B42" w14:textId="77777777" w:rsidR="006F129D" w:rsidRPr="004E4188" w:rsidRDefault="006F129D" w:rsidP="003D46CF">
            <w:pPr>
              <w:pStyle w:val="StyleStyleHeader1-ClausesAfter0ptLeft0Hanging"/>
              <w:numPr>
                <w:ilvl w:val="0"/>
                <w:numId w:val="24"/>
              </w:numPr>
              <w:tabs>
                <w:tab w:val="clear" w:pos="576"/>
              </w:tabs>
              <w:ind w:left="1055" w:hanging="454"/>
              <w:rPr>
                <w:lang w:val="fr-FR"/>
              </w:rPr>
            </w:pPr>
            <w:r w:rsidRPr="004E4188">
              <w:rPr>
                <w:lang w:val="fr-FR"/>
              </w:rPr>
              <w:t>La substitution d’un ou plusieurs sous-traitants ne sera pas permise après la date limite de remise des offres fixée par le Maître d’ouvrage conformément à IS 22.1.</w:t>
            </w:r>
          </w:p>
          <w:p w14:paraId="4ADE4205" w14:textId="2C761C50" w:rsidR="006F129D" w:rsidRPr="004E4188" w:rsidRDefault="006F129D" w:rsidP="003D46CF">
            <w:pPr>
              <w:pStyle w:val="StyleStyleHeader1-ClausesAfter0ptLeft0Hanging"/>
              <w:numPr>
                <w:ilvl w:val="0"/>
                <w:numId w:val="24"/>
              </w:numPr>
              <w:tabs>
                <w:tab w:val="clear" w:pos="576"/>
              </w:tabs>
              <w:ind w:left="1055" w:hanging="454"/>
              <w:rPr>
                <w:lang w:val="fr-FR"/>
              </w:rPr>
            </w:pPr>
            <w:r w:rsidRPr="004E4188">
              <w:rPr>
                <w:lang w:val="fr-FR"/>
              </w:rPr>
              <w:t>Si, le montant évalué de l’Offre Financière est directement ajusté en fonction des qualifications, des services et/ou du(des) produit(s) du(des) sous-traitant(s) dans la Section III, Critères d’évaluation et de qualification (p. ex.</w:t>
            </w:r>
            <w:r w:rsidR="00A373CC" w:rsidRPr="004E4188">
              <w:rPr>
                <w:lang w:val="fr-FR"/>
              </w:rPr>
              <w:t> :</w:t>
            </w:r>
            <w:r w:rsidRPr="004E4188">
              <w:rPr>
                <w:lang w:val="fr-FR"/>
              </w:rPr>
              <w:t xml:space="preserve"> le prix de l’Offre Financière est ajusté en fonction de la performance des équipements du sous-traitant), un seul sous-traitant ou une seule combinaison de sous-traitants doit être proposé.</w:t>
            </w:r>
          </w:p>
          <w:p w14:paraId="4B979B26" w14:textId="2DCAE99D" w:rsidR="006F129D" w:rsidRPr="004E4188" w:rsidRDefault="006F129D" w:rsidP="003D46CF">
            <w:pPr>
              <w:pStyle w:val="StyleStyleHeader1-ClausesAfter0ptLeft0Hanging"/>
              <w:numPr>
                <w:ilvl w:val="0"/>
                <w:numId w:val="24"/>
              </w:numPr>
              <w:tabs>
                <w:tab w:val="clear" w:pos="576"/>
              </w:tabs>
              <w:ind w:left="1055" w:hanging="454"/>
              <w:rPr>
                <w:lang w:val="fr-FR"/>
              </w:rPr>
            </w:pPr>
            <w:r w:rsidRPr="004E4188">
              <w:rPr>
                <w:lang w:val="fr-FR"/>
              </w:rPr>
              <w:t>Lorsque l’appel d’offres a été précédé d’une préqualification, le Soumissionnaire doit indiquer dans le formulaire « Liste de sous-traitants » les mêmes sous-traitants spécialisés dont l’expérience dans les activités principales a été évaluée au cours de la préqualification, sans en proposer de nouveaux, à moins que le(s) nouveau(x) sous-traitant(s) proposé(s) n’ait(aient) été approuvé(s) par le Maître d’ouvrage conformément à IS</w:t>
            </w:r>
            <w:r w:rsidR="00932E84" w:rsidRPr="004E4188">
              <w:rPr>
                <w:lang w:val="fr-FR" w:eastAsia="ja-JP"/>
              </w:rPr>
              <w:t> </w:t>
            </w:r>
            <w:r w:rsidRPr="004E4188">
              <w:rPr>
                <w:lang w:val="fr-FR"/>
              </w:rPr>
              <w:t>17.2.</w:t>
            </w:r>
          </w:p>
          <w:p w14:paraId="1227D8C6" w14:textId="77777777" w:rsidR="006F129D" w:rsidRPr="004E4188" w:rsidRDefault="006F129D" w:rsidP="002D0182">
            <w:pPr>
              <w:suppressAutoHyphens w:val="0"/>
              <w:spacing w:after="200"/>
              <w:ind w:left="601"/>
            </w:pPr>
            <w:r w:rsidRPr="004E4188">
              <w:t xml:space="preserve">Le Soumissionnaire peut également proposer de sous-traiter les éléments majeurs des </w:t>
            </w:r>
            <w:r w:rsidRPr="004E4188">
              <w:rPr>
                <w:szCs w:val="24"/>
              </w:rPr>
              <w:t>É</w:t>
            </w:r>
            <w:r w:rsidRPr="004E4188">
              <w:t>quipements énumérés par le Maître d’ouvrage à l’Article 1.1.3 de la Section III, Critères d’évaluation et de qualification. Dans un tel cas, les points (a) et (b) mentionnés ci-dessus doivent être appliqués, à l’exception de la soumission du formulaire EXP-2(b) dans la Section IV, Formulaires de soumission.</w:t>
            </w:r>
          </w:p>
        </w:tc>
      </w:tr>
      <w:tr w:rsidR="006F129D" w:rsidRPr="004E4188" w14:paraId="6B35D883" w14:textId="77777777" w:rsidTr="00A373CC">
        <w:trPr>
          <w:trHeight w:val="993"/>
        </w:trPr>
        <w:tc>
          <w:tcPr>
            <w:tcW w:w="2273" w:type="dxa"/>
          </w:tcPr>
          <w:p w14:paraId="18C5B229" w14:textId="64C984E4" w:rsidR="006F129D" w:rsidRPr="004E4188" w:rsidRDefault="006F129D" w:rsidP="008A28CD">
            <w:pPr>
              <w:pStyle w:val="S1-Header20"/>
              <w:rPr>
                <w:lang w:val="fr-FR"/>
              </w:rPr>
            </w:pPr>
            <w:bookmarkStart w:id="173" w:name="_Toc113293305"/>
            <w:r w:rsidRPr="004E4188">
              <w:rPr>
                <w:lang w:val="fr-FR"/>
              </w:rPr>
              <w:t>17.</w:t>
            </w:r>
            <w:r w:rsidRPr="004E4188">
              <w:rPr>
                <w:lang w:val="fr-FR"/>
              </w:rPr>
              <w:tab/>
              <w:t>Documents attestant des qualifications du Soumission</w:t>
            </w:r>
            <w:r w:rsidRPr="004E4188">
              <w:rPr>
                <w:lang w:val="fr-FR"/>
              </w:rPr>
              <w:softHyphen/>
              <w:t>naire</w:t>
            </w:r>
            <w:bookmarkEnd w:id="173"/>
          </w:p>
        </w:tc>
        <w:tc>
          <w:tcPr>
            <w:tcW w:w="7015" w:type="dxa"/>
          </w:tcPr>
          <w:p w14:paraId="735093C0" w14:textId="77777777" w:rsidR="006F129D" w:rsidRPr="004E4188" w:rsidRDefault="006F129D" w:rsidP="005558B9">
            <w:pPr>
              <w:spacing w:after="200"/>
              <w:ind w:left="601" w:hanging="601"/>
            </w:pPr>
            <w:r w:rsidRPr="004E4188">
              <w:t>17.1</w:t>
            </w:r>
            <w:r w:rsidRPr="004E4188">
              <w:tab/>
              <w:t>Conformément aux dispositions de la Section III, Critères d’évaluation et de qualification :</w:t>
            </w:r>
          </w:p>
          <w:p w14:paraId="75412A2D" w14:textId="77777777" w:rsidR="006F129D" w:rsidRPr="004E4188" w:rsidRDefault="006F129D" w:rsidP="003D46CF">
            <w:pPr>
              <w:pStyle w:val="StyleStyleHeader1-ClausesAfter0ptLeft0Hanging"/>
              <w:numPr>
                <w:ilvl w:val="0"/>
                <w:numId w:val="25"/>
              </w:numPr>
              <w:tabs>
                <w:tab w:val="clear" w:pos="576"/>
                <w:tab w:val="left" w:pos="1149"/>
              </w:tabs>
              <w:ind w:left="1026" w:hanging="425"/>
              <w:rPr>
                <w:lang w:val="fr-FR" w:eastAsia="ja-JP"/>
              </w:rPr>
            </w:pPr>
            <w:r w:rsidRPr="004E4188">
              <w:rPr>
                <w:lang w:val="fr-FR"/>
              </w:rPr>
              <w:t>si une procédure de préqualification a été conduite préalablement à l’appel d’offres, le Soumissionnaire fournira dans les formulaires correspondants figurant à la Section IV, Formulaires de soumission des informations actualisées sur tout aspect évalué au moment de la préqualification qui a changé depuis, pour établir que le Soumissionnaire continue de satisfaire aux critères de préqualification </w:t>
            </w:r>
            <w:r w:rsidRPr="004E4188">
              <w:rPr>
                <w:lang w:val="fr-FR" w:eastAsia="ja-JP"/>
              </w:rPr>
              <w:t>; et</w:t>
            </w:r>
          </w:p>
          <w:p w14:paraId="5FFC033F" w14:textId="77777777" w:rsidR="006F129D" w:rsidRPr="004E4188" w:rsidRDefault="006F129D" w:rsidP="003D46CF">
            <w:pPr>
              <w:pStyle w:val="StyleStyleHeader1-ClausesAfter0ptLeft0Hanging"/>
              <w:numPr>
                <w:ilvl w:val="0"/>
                <w:numId w:val="25"/>
              </w:numPr>
              <w:tabs>
                <w:tab w:val="clear" w:pos="576"/>
                <w:tab w:val="left" w:pos="1149"/>
              </w:tabs>
              <w:ind w:left="1026" w:hanging="425"/>
              <w:rPr>
                <w:lang w:val="fr-FR" w:eastAsia="ja-JP"/>
              </w:rPr>
            </w:pPr>
            <w:r w:rsidRPr="004E4188">
              <w:rPr>
                <w:lang w:val="fr-FR"/>
              </w:rPr>
              <w:t>si aucune préqualification n’a eu lieu avant le lancement de l’appel d’offres, le Soumissionnaire doit fournir les informations requises dans les formulaires correspondants de la Section IV, Formulaires de soumission.</w:t>
            </w:r>
          </w:p>
          <w:p w14:paraId="62156E50" w14:textId="77777777" w:rsidR="006F129D" w:rsidRPr="004E4188" w:rsidRDefault="006F129D" w:rsidP="002D0182">
            <w:pPr>
              <w:suppressAutoHyphens w:val="0"/>
              <w:spacing w:after="200"/>
              <w:ind w:left="601" w:hanging="601"/>
            </w:pPr>
            <w:r w:rsidRPr="004E4188">
              <w:rPr>
                <w:lang w:eastAsia="ja-JP"/>
              </w:rPr>
              <w:t xml:space="preserve"> </w:t>
            </w:r>
            <w:r w:rsidRPr="004E4188">
              <w:rPr>
                <w:lang w:eastAsia="ja-JP"/>
              </w:rPr>
              <w:tab/>
            </w:r>
            <w:r w:rsidRPr="004E4188">
              <w:t>Les critères d’évaluation et de qualification susmentionnés contiennent, entre autres, les exigences relatives à l’éligibilité indiquée dans IS 4.</w:t>
            </w:r>
          </w:p>
        </w:tc>
      </w:tr>
      <w:tr w:rsidR="006F129D" w:rsidRPr="004E4188" w14:paraId="6CFEFB15" w14:textId="77777777" w:rsidTr="00D45EAD">
        <w:trPr>
          <w:trHeight w:val="1530"/>
        </w:trPr>
        <w:tc>
          <w:tcPr>
            <w:tcW w:w="2273" w:type="dxa"/>
          </w:tcPr>
          <w:p w14:paraId="0BC0178C" w14:textId="77777777" w:rsidR="006F129D" w:rsidRPr="004E4188" w:rsidRDefault="006F129D" w:rsidP="00D45EAD">
            <w:pPr>
              <w:pStyle w:val="Header1-Clauses"/>
              <w:rPr>
                <w:lang w:val="fr-FR"/>
              </w:rPr>
            </w:pPr>
          </w:p>
        </w:tc>
        <w:tc>
          <w:tcPr>
            <w:tcW w:w="7015" w:type="dxa"/>
          </w:tcPr>
          <w:p w14:paraId="6354165F" w14:textId="77777777" w:rsidR="006F129D" w:rsidRPr="004E4188" w:rsidRDefault="006F129D" w:rsidP="005558B9">
            <w:pPr>
              <w:pStyle w:val="StyleHeader1-ClausesAfter0pt"/>
              <w:ind w:left="601" w:hanging="601"/>
              <w:rPr>
                <w:spacing w:val="-2"/>
                <w:lang w:val="fr-FR"/>
              </w:rPr>
            </w:pPr>
            <w:r w:rsidRPr="004E4188">
              <w:rPr>
                <w:lang w:val="fr-FR"/>
              </w:rPr>
              <w:t>17.</w:t>
            </w:r>
            <w:r w:rsidRPr="004E4188">
              <w:rPr>
                <w:lang w:val="fr-FR" w:eastAsia="ja-JP"/>
              </w:rPr>
              <w:t>2</w:t>
            </w:r>
            <w:r w:rsidRPr="004E4188">
              <w:rPr>
                <w:lang w:val="fr-FR"/>
              </w:rPr>
              <w:tab/>
            </w:r>
            <w:r w:rsidRPr="004E4188">
              <w:rPr>
                <w:spacing w:val="-2"/>
                <w:lang w:val="fr-FR"/>
              </w:rPr>
              <w:t>T</w:t>
            </w:r>
            <w:r w:rsidRPr="004E4188">
              <w:rPr>
                <w:lang w:val="fr-FR"/>
              </w:rPr>
              <w:t xml:space="preserve">out changement dans la structure ou la composition du Soumissionnaire intervenu postérieurement à la préqualification et au lancement de l’appel d’offres (y compris tout changement dans la structure ou la composition de tout membre d’un Groupement, lorsque le Soumissionnaire est un Groupement) fera l’objet de l’approbation écrite du Maître d’ouvrage préalablement à la date limite de remise des offres. Cette approbation sera refusée </w:t>
            </w:r>
            <w:r w:rsidRPr="004E4188">
              <w:rPr>
                <w:spacing w:val="-2"/>
                <w:lang w:val="fr-FR"/>
              </w:rPr>
              <w:t>:</w:t>
            </w:r>
          </w:p>
          <w:p w14:paraId="2BEB236A" w14:textId="77777777" w:rsidR="006F129D" w:rsidRPr="004E4188" w:rsidRDefault="006F129D" w:rsidP="003D46CF">
            <w:pPr>
              <w:pStyle w:val="StyleStyleHeader1-ClausesAfter0ptLeft0Hanging"/>
              <w:numPr>
                <w:ilvl w:val="0"/>
                <w:numId w:val="26"/>
              </w:numPr>
              <w:tabs>
                <w:tab w:val="clear" w:pos="576"/>
                <w:tab w:val="left" w:pos="1149"/>
              </w:tabs>
              <w:ind w:left="1026" w:hanging="425"/>
              <w:rPr>
                <w:spacing w:val="-2"/>
                <w:lang w:val="fr-FR"/>
              </w:rPr>
            </w:pPr>
            <w:r w:rsidRPr="004E4188">
              <w:rPr>
                <w:lang w:val="fr-FR"/>
              </w:rPr>
              <w:t>si le changement n’a pas été décidé librement par les entreprises concernées ;</w:t>
            </w:r>
          </w:p>
          <w:p w14:paraId="76BA585F" w14:textId="77777777" w:rsidR="006F129D" w:rsidRPr="004E4188" w:rsidRDefault="006F129D" w:rsidP="003D46CF">
            <w:pPr>
              <w:pStyle w:val="StyleStyleHeader1-ClausesAfter0ptLeft0Hanging"/>
              <w:numPr>
                <w:ilvl w:val="0"/>
                <w:numId w:val="26"/>
              </w:numPr>
              <w:tabs>
                <w:tab w:val="clear" w:pos="576"/>
                <w:tab w:val="left" w:pos="1149"/>
              </w:tabs>
              <w:ind w:left="1026" w:hanging="425"/>
              <w:rPr>
                <w:spacing w:val="-2"/>
                <w:lang w:val="fr-FR"/>
              </w:rPr>
            </w:pPr>
            <w:r w:rsidRPr="004E4188">
              <w:rPr>
                <w:spacing w:val="-2"/>
                <w:lang w:val="fr-FR"/>
              </w:rPr>
              <w:t>s</w:t>
            </w:r>
            <w:r w:rsidRPr="004E4188">
              <w:rPr>
                <w:lang w:val="fr-FR"/>
              </w:rPr>
              <w:t xml:space="preserve">i par suite de ce changement, le Soumissionnaire ne satisfait plus suffisamment aux critères de préqualification tels qu’ils figuraient dans le Dossier de préqualification ; </w:t>
            </w:r>
            <w:r w:rsidRPr="004E4188">
              <w:rPr>
                <w:spacing w:val="-2"/>
                <w:lang w:val="fr-FR"/>
              </w:rPr>
              <w:t>ou</w:t>
            </w:r>
          </w:p>
          <w:p w14:paraId="65DD1D8F" w14:textId="77777777" w:rsidR="006F129D" w:rsidRPr="004E4188" w:rsidRDefault="006F129D" w:rsidP="003D46CF">
            <w:pPr>
              <w:pStyle w:val="StyleStyleHeader1-ClausesAfter0ptLeft0Hanging"/>
              <w:numPr>
                <w:ilvl w:val="0"/>
                <w:numId w:val="26"/>
              </w:numPr>
              <w:tabs>
                <w:tab w:val="clear" w:pos="576"/>
                <w:tab w:val="left" w:pos="1149"/>
              </w:tabs>
              <w:ind w:left="1026" w:hanging="425"/>
              <w:rPr>
                <w:spacing w:val="-2"/>
                <w:lang w:val="fr-FR"/>
              </w:rPr>
            </w:pPr>
            <w:r w:rsidRPr="004E4188">
              <w:rPr>
                <w:spacing w:val="-2"/>
                <w:lang w:val="fr-FR"/>
              </w:rPr>
              <w:t>s</w:t>
            </w:r>
            <w:r w:rsidRPr="004E4188">
              <w:rPr>
                <w:lang w:val="fr-FR"/>
              </w:rPr>
              <w:t>i le Maître d’ouvrage considère qu’il en résulterait une diminution notable de la concurrence</w:t>
            </w:r>
            <w:r w:rsidRPr="004E4188">
              <w:rPr>
                <w:spacing w:val="-2"/>
                <w:lang w:val="fr-FR"/>
              </w:rPr>
              <w:t>.</w:t>
            </w:r>
          </w:p>
          <w:p w14:paraId="6EC3EA43" w14:textId="77777777" w:rsidR="006F129D" w:rsidRPr="004E4188" w:rsidRDefault="006F129D" w:rsidP="005558B9">
            <w:pPr>
              <w:suppressAutoHyphens w:val="0"/>
              <w:spacing w:after="200"/>
              <w:ind w:left="601" w:hanging="601"/>
            </w:pPr>
            <w:r w:rsidRPr="004E4188">
              <w:rPr>
                <w:spacing w:val="-2"/>
              </w:rPr>
              <w:tab/>
              <w:t>T</w:t>
            </w:r>
            <w:r w:rsidRPr="004E4188">
              <w:t>out changement de cette nature devra être soumis au Maître d’ouvrage au plus tard vingt-huit (28) jours avant la date limite de remise des offres</w:t>
            </w:r>
            <w:r w:rsidRPr="004E4188">
              <w:rPr>
                <w:spacing w:val="-2"/>
              </w:rPr>
              <w:t>.</w:t>
            </w:r>
          </w:p>
        </w:tc>
      </w:tr>
      <w:tr w:rsidR="006F129D" w:rsidRPr="004E4188" w14:paraId="6FA0C6B8" w14:textId="77777777" w:rsidTr="00D45EAD">
        <w:trPr>
          <w:trHeight w:val="1530"/>
        </w:trPr>
        <w:tc>
          <w:tcPr>
            <w:tcW w:w="2273" w:type="dxa"/>
            <w:tcBorders>
              <w:top w:val="nil"/>
              <w:left w:val="nil"/>
              <w:bottom w:val="nil"/>
              <w:right w:val="nil"/>
            </w:tcBorders>
          </w:tcPr>
          <w:p w14:paraId="0CF34074" w14:textId="11393DB3" w:rsidR="006F129D" w:rsidRPr="004E4188" w:rsidRDefault="006F129D" w:rsidP="008A28CD">
            <w:pPr>
              <w:pStyle w:val="S1-Header20"/>
              <w:rPr>
                <w:lang w:val="fr-FR"/>
              </w:rPr>
            </w:pPr>
            <w:bookmarkStart w:id="174" w:name="_Toc438532601"/>
            <w:bookmarkStart w:id="175" w:name="_Toc438532602"/>
            <w:bookmarkStart w:id="176" w:name="_Toc438438841"/>
            <w:bookmarkStart w:id="177" w:name="_Toc438532604"/>
            <w:bookmarkStart w:id="178" w:name="_Toc438733985"/>
            <w:bookmarkStart w:id="179" w:name="_Toc438907024"/>
            <w:bookmarkStart w:id="180" w:name="_Toc438907223"/>
            <w:bookmarkStart w:id="181" w:name="_Toc156373301"/>
            <w:bookmarkStart w:id="182" w:name="_Toc113293306"/>
            <w:bookmarkEnd w:id="174"/>
            <w:bookmarkEnd w:id="175"/>
            <w:r w:rsidRPr="004E4188">
              <w:rPr>
                <w:lang w:val="fr-FR"/>
              </w:rPr>
              <w:t>18.</w:t>
            </w:r>
            <w:r w:rsidRPr="004E4188">
              <w:rPr>
                <w:lang w:val="fr-FR"/>
              </w:rPr>
              <w:tab/>
              <w:t>Période de validité des offres</w:t>
            </w:r>
            <w:bookmarkEnd w:id="176"/>
            <w:bookmarkEnd w:id="177"/>
            <w:bookmarkEnd w:id="178"/>
            <w:bookmarkEnd w:id="179"/>
            <w:bookmarkEnd w:id="180"/>
            <w:bookmarkEnd w:id="181"/>
            <w:bookmarkEnd w:id="182"/>
          </w:p>
        </w:tc>
        <w:tc>
          <w:tcPr>
            <w:tcW w:w="7015" w:type="dxa"/>
            <w:tcBorders>
              <w:top w:val="nil"/>
              <w:left w:val="nil"/>
              <w:bottom w:val="nil"/>
              <w:right w:val="nil"/>
            </w:tcBorders>
          </w:tcPr>
          <w:p w14:paraId="6AFC644D" w14:textId="48705FD8" w:rsidR="006F129D" w:rsidRPr="004E4188" w:rsidRDefault="006F129D" w:rsidP="00D45EAD">
            <w:pPr>
              <w:suppressAutoHyphens w:val="0"/>
              <w:spacing w:after="200"/>
              <w:ind w:left="601" w:hanging="601"/>
            </w:pPr>
            <w:r w:rsidRPr="004E4188">
              <w:t>18.1</w:t>
            </w:r>
            <w:r w:rsidRPr="004E4188">
              <w:tab/>
              <w:t xml:space="preserve">Les offres doivent rester valides pour la période </w:t>
            </w:r>
            <w:r w:rsidRPr="004E4188">
              <w:rPr>
                <w:b/>
              </w:rPr>
              <w:t>indiquée dans les DP</w:t>
            </w:r>
            <w:r w:rsidRPr="004E4188">
              <w:t xml:space="preserve"> qui court à partir de la date limite de remise des offres fixée par le Maître d’ouvrage conformément à IS 22.1. Une offre valide pour une période plus courte sera considérée comme non conforme et rejetée par le Maître d’ouvrage.</w:t>
            </w:r>
          </w:p>
        </w:tc>
      </w:tr>
      <w:tr w:rsidR="006F129D" w:rsidRPr="004E4188" w14:paraId="413D5EAA" w14:textId="77777777" w:rsidTr="00D45EAD">
        <w:trPr>
          <w:trHeight w:val="480"/>
        </w:trPr>
        <w:tc>
          <w:tcPr>
            <w:tcW w:w="2273" w:type="dxa"/>
            <w:tcBorders>
              <w:top w:val="nil"/>
              <w:left w:val="nil"/>
              <w:bottom w:val="nil"/>
              <w:right w:val="nil"/>
            </w:tcBorders>
          </w:tcPr>
          <w:p w14:paraId="05F47EA7" w14:textId="77777777" w:rsidR="006F129D" w:rsidRPr="004E4188" w:rsidRDefault="006F129D" w:rsidP="00D45EAD"/>
        </w:tc>
        <w:tc>
          <w:tcPr>
            <w:tcW w:w="7015" w:type="dxa"/>
            <w:tcBorders>
              <w:top w:val="nil"/>
              <w:left w:val="nil"/>
              <w:bottom w:val="nil"/>
              <w:right w:val="nil"/>
            </w:tcBorders>
          </w:tcPr>
          <w:p w14:paraId="0FAB7F3F" w14:textId="25FD9E44" w:rsidR="006F129D" w:rsidRPr="004E4188" w:rsidRDefault="006F129D" w:rsidP="00D45EAD">
            <w:pPr>
              <w:suppressAutoHyphens w:val="0"/>
              <w:spacing w:after="200"/>
              <w:ind w:left="601" w:hanging="601"/>
            </w:pPr>
            <w:r w:rsidRPr="004E4188">
              <w:rPr>
                <w:spacing w:val="-4"/>
              </w:rPr>
              <w:t>18.2</w:t>
            </w:r>
            <w:r w:rsidRPr="004E4188">
              <w:rPr>
                <w:spacing w:val="-4"/>
              </w:rPr>
              <w:tab/>
              <w:t>E</w:t>
            </w:r>
            <w:r w:rsidRPr="004E4188">
              <w:t xml:space="preserve">xceptionnellement, avant l’expiration de la période de validité des offres, le Maître d’ouvrage peut demander aux Soumissionnaires de proroger la durée de validité de leur offre. La demande et les réponses seront formulées par écrit. La validité de la garantie de soumission sera également prolongée pour une durée de vingt-huit (28) jours au-delà de la date limite prorogée de validité des offres. Un Soumissionnaire peut refuser de proroger la validité de son offre sans que sa garantie de soumission ne soit saisie. Un Soumissionnaire qui consent à cette prorogation ne se verra pas demander de modifier son offre, ni ne sera autorisé à le faire, sous réserve des dispositions de IS 18.3. </w:t>
            </w:r>
          </w:p>
        </w:tc>
      </w:tr>
      <w:tr w:rsidR="006F129D" w:rsidRPr="004E4188" w14:paraId="0A51005E" w14:textId="77777777" w:rsidTr="00D45EAD">
        <w:tc>
          <w:tcPr>
            <w:tcW w:w="2273" w:type="dxa"/>
            <w:tcBorders>
              <w:top w:val="nil"/>
              <w:left w:val="nil"/>
              <w:bottom w:val="nil"/>
              <w:right w:val="nil"/>
            </w:tcBorders>
          </w:tcPr>
          <w:p w14:paraId="6A65843C" w14:textId="77777777" w:rsidR="006F129D" w:rsidRPr="004E4188" w:rsidRDefault="006F129D" w:rsidP="00D45EAD"/>
        </w:tc>
        <w:tc>
          <w:tcPr>
            <w:tcW w:w="7015" w:type="dxa"/>
            <w:tcBorders>
              <w:top w:val="nil"/>
              <w:left w:val="nil"/>
              <w:bottom w:val="nil"/>
              <w:right w:val="nil"/>
            </w:tcBorders>
          </w:tcPr>
          <w:p w14:paraId="538EE1E4" w14:textId="0DAD5C2A" w:rsidR="006F129D" w:rsidRPr="004E4188" w:rsidRDefault="006F129D" w:rsidP="00D45EAD">
            <w:pPr>
              <w:suppressAutoHyphens w:val="0"/>
              <w:spacing w:after="200"/>
              <w:ind w:left="601" w:hanging="601"/>
            </w:pPr>
            <w:r w:rsidRPr="004E4188">
              <w:t>18.3</w:t>
            </w:r>
            <w:r w:rsidRPr="004E4188">
              <w:tab/>
              <w:t xml:space="preserve">Si l’attribution du Marché est retardée de plus de cinquante-six (56) jours au-delà du délai initial </w:t>
            </w:r>
            <w:r w:rsidRPr="004E4188">
              <w:rPr>
                <w:szCs w:val="24"/>
              </w:rPr>
              <w:t>d’expiration de la</w:t>
            </w:r>
            <w:r w:rsidRPr="004E4188">
              <w:t xml:space="preserve"> validité des offres, le Montant du Marché sera actualisé comme suit : </w:t>
            </w:r>
          </w:p>
          <w:p w14:paraId="2B7CB77A" w14:textId="77777777" w:rsidR="006F129D" w:rsidRPr="004E4188" w:rsidRDefault="006F129D" w:rsidP="000E55D8">
            <w:pPr>
              <w:spacing w:after="200"/>
              <w:ind w:left="1026" w:hanging="425"/>
              <w:rPr>
                <w:b/>
                <w:sz w:val="28"/>
              </w:rPr>
            </w:pPr>
            <w:r w:rsidRPr="004E4188">
              <w:t>(a)</w:t>
            </w:r>
            <w:r w:rsidRPr="004E4188">
              <w:tab/>
              <w:t xml:space="preserve">dans le cas d’un marché à prix ferme, le Montant du Marché sera égal au Montant de l’offre actualisé par le facteur </w:t>
            </w:r>
            <w:r w:rsidRPr="004E4188">
              <w:rPr>
                <w:b/>
              </w:rPr>
              <w:t>spécifié dans les DP</w:t>
            </w:r>
            <w:r w:rsidRPr="004E4188">
              <w:t xml:space="preserve"> ; </w:t>
            </w:r>
          </w:p>
          <w:p w14:paraId="6A97A061" w14:textId="42662323" w:rsidR="006F129D" w:rsidRPr="004E4188" w:rsidRDefault="006F129D" w:rsidP="000E55D8">
            <w:pPr>
              <w:spacing w:after="200"/>
              <w:ind w:left="1026" w:hanging="425"/>
              <w:rPr>
                <w:i/>
                <w:sz w:val="20"/>
              </w:rPr>
            </w:pPr>
            <w:r w:rsidRPr="004E4188">
              <w:t>(b)</w:t>
            </w:r>
            <w:r w:rsidRPr="004E4188">
              <w:tab/>
              <w:t>dans le cas d’un marché à prix révisable, le Montant du Marché</w:t>
            </w:r>
            <w:r w:rsidRPr="004E4188">
              <w:rPr>
                <w:rFonts w:hint="eastAsia"/>
                <w:lang w:eastAsia="ja-JP"/>
              </w:rPr>
              <w:t xml:space="preserve"> </w:t>
            </w:r>
            <w:r w:rsidRPr="004E4188">
              <w:rPr>
                <w:lang w:eastAsia="ja-JP"/>
              </w:rPr>
              <w:t>sera</w:t>
            </w:r>
            <w:r w:rsidRPr="004E4188">
              <w:t xml:space="preserve"> le Montant de l’offre.</w:t>
            </w:r>
            <w:r w:rsidRPr="004E4188" w:rsidDel="00FB0142">
              <w:rPr>
                <w:i/>
                <w:sz w:val="20"/>
              </w:rPr>
              <w:t xml:space="preserve"> </w:t>
            </w:r>
          </w:p>
          <w:p w14:paraId="55F09A01" w14:textId="77777777" w:rsidR="006F129D" w:rsidRPr="004E4188" w:rsidRDefault="006F129D" w:rsidP="00D45EAD">
            <w:pPr>
              <w:spacing w:after="200"/>
              <w:ind w:left="601"/>
              <w:rPr>
                <w:b/>
                <w:sz w:val="28"/>
              </w:rPr>
            </w:pPr>
            <w:r w:rsidRPr="004E4188">
              <w:t xml:space="preserve">Dans tous les cas, les offres seront évaluées sur la base du Montant des offres sans prendre en considération l’actualisation susmentionnée. </w:t>
            </w:r>
          </w:p>
        </w:tc>
      </w:tr>
      <w:tr w:rsidR="006F129D" w:rsidRPr="004E4188" w14:paraId="472DCCF0" w14:textId="77777777" w:rsidTr="00D45EAD">
        <w:trPr>
          <w:trHeight w:val="1080"/>
        </w:trPr>
        <w:tc>
          <w:tcPr>
            <w:tcW w:w="2273" w:type="dxa"/>
            <w:tcBorders>
              <w:top w:val="nil"/>
              <w:left w:val="nil"/>
              <w:bottom w:val="nil"/>
              <w:right w:val="nil"/>
            </w:tcBorders>
          </w:tcPr>
          <w:p w14:paraId="6087CE1E" w14:textId="383DF7E8" w:rsidR="006F129D" w:rsidRPr="004E4188" w:rsidRDefault="006F129D" w:rsidP="008F4F37">
            <w:pPr>
              <w:pStyle w:val="S1-Header20"/>
            </w:pPr>
            <w:bookmarkStart w:id="183" w:name="_Toc156373302"/>
            <w:bookmarkStart w:id="184" w:name="_Toc113293307"/>
            <w:r w:rsidRPr="004E4188">
              <w:t>19.</w:t>
            </w:r>
            <w:r w:rsidRPr="004E4188">
              <w:rPr>
                <w:lang w:val="en-GB"/>
              </w:rPr>
              <w:tab/>
            </w:r>
            <w:r w:rsidRPr="004E4188">
              <w:t xml:space="preserve">Garantie </w:t>
            </w:r>
            <w:bookmarkEnd w:id="183"/>
            <w:r w:rsidRPr="004E4188">
              <w:t>de soumission</w:t>
            </w:r>
            <w:bookmarkEnd w:id="184"/>
          </w:p>
        </w:tc>
        <w:tc>
          <w:tcPr>
            <w:tcW w:w="7015" w:type="dxa"/>
            <w:tcBorders>
              <w:top w:val="nil"/>
              <w:left w:val="nil"/>
              <w:bottom w:val="nil"/>
              <w:right w:val="nil"/>
            </w:tcBorders>
          </w:tcPr>
          <w:p w14:paraId="54FB4909" w14:textId="71B2AAD5" w:rsidR="006F129D" w:rsidRPr="004E4188" w:rsidRDefault="006F129D" w:rsidP="00D45EAD">
            <w:pPr>
              <w:spacing w:after="200"/>
              <w:ind w:left="601" w:hanging="601"/>
            </w:pPr>
            <w:r w:rsidRPr="004E4188">
              <w:t>19.1</w:t>
            </w:r>
            <w:r w:rsidRPr="004E4188">
              <w:tab/>
              <w:t xml:space="preserve">Le Soumissionnaire doit fournir, en tant que partie intégrante de son Offre Technique, une garantie de soumission dont le montant et la monnaie de libellé sont </w:t>
            </w:r>
            <w:r w:rsidRPr="004E4188">
              <w:rPr>
                <w:b/>
              </w:rPr>
              <w:t>indiqués dans les DP</w:t>
            </w:r>
            <w:r w:rsidRPr="004E4188">
              <w:t>.</w:t>
            </w:r>
          </w:p>
        </w:tc>
      </w:tr>
      <w:tr w:rsidR="006F129D" w:rsidRPr="004E4188" w14:paraId="1FC0B9D5" w14:textId="77777777" w:rsidTr="00D45EAD">
        <w:trPr>
          <w:trHeight w:val="630"/>
        </w:trPr>
        <w:tc>
          <w:tcPr>
            <w:tcW w:w="2273" w:type="dxa"/>
            <w:tcBorders>
              <w:top w:val="nil"/>
              <w:left w:val="nil"/>
              <w:bottom w:val="nil"/>
              <w:right w:val="nil"/>
            </w:tcBorders>
          </w:tcPr>
          <w:p w14:paraId="431BF7E4" w14:textId="77777777" w:rsidR="006F129D" w:rsidRPr="004E4188" w:rsidRDefault="006F129D" w:rsidP="00D45EAD">
            <w:bookmarkStart w:id="185" w:name="_Toc438532606"/>
            <w:bookmarkEnd w:id="185"/>
          </w:p>
        </w:tc>
        <w:tc>
          <w:tcPr>
            <w:tcW w:w="7015" w:type="dxa"/>
            <w:tcBorders>
              <w:top w:val="nil"/>
              <w:left w:val="nil"/>
              <w:bottom w:val="nil"/>
              <w:right w:val="nil"/>
            </w:tcBorders>
          </w:tcPr>
          <w:p w14:paraId="2301C477" w14:textId="2393D354" w:rsidR="006F129D" w:rsidRPr="004E4188" w:rsidRDefault="006F129D" w:rsidP="00D45EAD">
            <w:pPr>
              <w:suppressAutoHyphens w:val="0"/>
              <w:spacing w:after="200"/>
              <w:ind w:left="601" w:hanging="601"/>
            </w:pPr>
            <w:r w:rsidRPr="004E4188">
              <w:t>19.2</w:t>
            </w:r>
            <w:r w:rsidRPr="004E4188">
              <w:tab/>
              <w:t>La garantie de soumission doit être, au choix du Soumissionnaire, une garantie à première demande sous l’une des formes ci-après :</w:t>
            </w:r>
          </w:p>
          <w:p w14:paraId="15DACC85" w14:textId="77777777" w:rsidR="006F129D" w:rsidRPr="004E4188" w:rsidRDefault="006F129D" w:rsidP="000E55D8">
            <w:pPr>
              <w:spacing w:after="200"/>
              <w:ind w:left="1026" w:hanging="425"/>
            </w:pPr>
            <w:r w:rsidRPr="004E4188">
              <w:t>(a)</w:t>
            </w:r>
            <w:r w:rsidRPr="004E4188">
              <w:rPr>
                <w:lang w:eastAsia="ja-JP"/>
              </w:rPr>
              <w:tab/>
            </w:r>
            <w:r w:rsidRPr="004E4188">
              <w:t xml:space="preserve">une garantie inconditionnelle émise par une banque ou un        organisme financier non bancaire (tel qu’une compagnie d’assurances ou une société de cautionnement) ; </w:t>
            </w:r>
          </w:p>
          <w:p w14:paraId="05E4C224" w14:textId="77777777" w:rsidR="006F129D" w:rsidRPr="004E4188" w:rsidRDefault="006F129D" w:rsidP="000E55D8">
            <w:pPr>
              <w:spacing w:after="200"/>
              <w:ind w:left="1026" w:hanging="425"/>
            </w:pPr>
            <w:r w:rsidRPr="004E4188">
              <w:t>(b)</w:t>
            </w:r>
            <w:r w:rsidRPr="004E4188">
              <w:tab/>
              <w:t xml:space="preserve">une lettre de crédit stand-by irrévocable ; </w:t>
            </w:r>
          </w:p>
          <w:p w14:paraId="33F89EEB" w14:textId="77777777" w:rsidR="006F129D" w:rsidRPr="004E4188" w:rsidRDefault="006F129D" w:rsidP="000E55D8">
            <w:pPr>
              <w:spacing w:after="200"/>
              <w:ind w:left="1026" w:hanging="425"/>
            </w:pPr>
            <w:r w:rsidRPr="004E4188">
              <w:t>(c)</w:t>
            </w:r>
            <w:r w:rsidRPr="004E4188">
              <w:tab/>
              <w:t>un chèque de banque ou un chèque certifié ; ou</w:t>
            </w:r>
          </w:p>
          <w:p w14:paraId="63F56DEB" w14:textId="77777777" w:rsidR="006F129D" w:rsidRPr="004E4188" w:rsidRDefault="006F129D" w:rsidP="000E55D8">
            <w:pPr>
              <w:spacing w:after="200"/>
              <w:ind w:left="1026" w:hanging="425"/>
            </w:pPr>
            <w:r w:rsidRPr="004E4188">
              <w:t>(d)</w:t>
            </w:r>
            <w:r w:rsidRPr="004E4188">
              <w:tab/>
              <w:t xml:space="preserve">toute autre garantie </w:t>
            </w:r>
            <w:r w:rsidRPr="004E4188">
              <w:rPr>
                <w:b/>
              </w:rPr>
              <w:t>mentionnée dans les DP</w:t>
            </w:r>
            <w:r w:rsidRPr="004E4188">
              <w:t>.</w:t>
            </w:r>
          </w:p>
          <w:p w14:paraId="5986B453" w14:textId="0D79AB51" w:rsidR="006F129D" w:rsidRPr="004E4188" w:rsidRDefault="006F129D" w:rsidP="00015103">
            <w:pPr>
              <w:spacing w:after="200"/>
              <w:ind w:left="601"/>
            </w:pPr>
            <w:r w:rsidRPr="004E4188">
              <w:t>Cette garantie sera émise par une source reconnue. Si la garantie est émise par un organisme financier non bancaire installé en dehors du pays du Maître d’ouvrage, l’organisme d’émission devra avoir un organisme financier correspondant dans le pays du Maître d’ouvrage afin d’en permettre l’exécution. Dans le cas d’une garantie bancaire, elle sera remise, soit en utilisant le formulaire de garantie de soumission figurant à la Section IV, Formulaires de soumission, ou sous une autre forme substantiellement similaire, ayant été approuvée par le Maître d’ouvrage préalablement à la remise des offres. Dans tous les cas, la garantie de soumission doit comporter l’identification complète du Soumissionnaire. La garantie de soumission doit rester valide vingt-huit (28) jours au-delà de la date d’expiration de la validité initiale des offres ou au-delà de la date d’expiration de la validité prorogée, le cas échéant, conformément à IS 18.2.</w:t>
            </w:r>
          </w:p>
        </w:tc>
      </w:tr>
      <w:tr w:rsidR="006F129D" w:rsidRPr="004E4188" w14:paraId="3244DC5F" w14:textId="77777777" w:rsidTr="00D45EAD">
        <w:trPr>
          <w:trHeight w:val="1082"/>
        </w:trPr>
        <w:tc>
          <w:tcPr>
            <w:tcW w:w="2273" w:type="dxa"/>
            <w:tcBorders>
              <w:top w:val="nil"/>
              <w:left w:val="nil"/>
              <w:bottom w:val="nil"/>
              <w:right w:val="nil"/>
            </w:tcBorders>
          </w:tcPr>
          <w:p w14:paraId="3FA5E683" w14:textId="77777777" w:rsidR="006F129D" w:rsidRPr="004E4188" w:rsidRDefault="006F129D" w:rsidP="00D45EAD">
            <w:bookmarkStart w:id="186" w:name="_Toc438532607"/>
            <w:bookmarkEnd w:id="186"/>
          </w:p>
        </w:tc>
        <w:tc>
          <w:tcPr>
            <w:tcW w:w="7015" w:type="dxa"/>
            <w:tcBorders>
              <w:top w:val="nil"/>
              <w:left w:val="nil"/>
              <w:bottom w:val="nil"/>
              <w:right w:val="nil"/>
            </w:tcBorders>
          </w:tcPr>
          <w:p w14:paraId="5A890A07" w14:textId="7EE8059D" w:rsidR="006F129D" w:rsidRPr="004E4188" w:rsidRDefault="006F129D" w:rsidP="00D45EAD">
            <w:pPr>
              <w:spacing w:after="200"/>
              <w:ind w:left="601" w:hanging="601"/>
            </w:pPr>
            <w:r w:rsidRPr="004E4188">
              <w:t>19.3</w:t>
            </w:r>
            <w:r w:rsidRPr="004E4188">
              <w:tab/>
              <w:t xml:space="preserve">Toute offre non accompagnée d’une garantie substantiellement conforme sera rejetée par le Maître d’ouvrage comme étant non conforme. </w:t>
            </w:r>
          </w:p>
          <w:p w14:paraId="56529199" w14:textId="207D280E" w:rsidR="006F129D" w:rsidRPr="004E4188" w:rsidRDefault="006F129D" w:rsidP="00D45EAD">
            <w:pPr>
              <w:tabs>
                <w:tab w:val="left" w:pos="576"/>
              </w:tabs>
              <w:spacing w:after="180"/>
              <w:ind w:left="576" w:hanging="576"/>
              <w:rPr>
                <w:bCs/>
                <w:lang w:eastAsia="ja-JP"/>
              </w:rPr>
            </w:pPr>
            <w:r w:rsidRPr="004E4188">
              <w:t>19.4</w:t>
            </w:r>
            <w:r w:rsidRPr="004E4188">
              <w:tab/>
              <w:t xml:space="preserve">Les garanties de soumission de tous les Soumissionnaires </w:t>
            </w:r>
            <w:r w:rsidRPr="004E4188">
              <w:rPr>
                <w:szCs w:val="24"/>
              </w:rPr>
              <w:t xml:space="preserve">dont l’Offre Technique aura été jugée non </w:t>
            </w:r>
            <w:r w:rsidRPr="004E4188">
              <w:t>substantiellement</w:t>
            </w:r>
            <w:r w:rsidRPr="004E4188">
              <w:rPr>
                <w:szCs w:val="24"/>
              </w:rPr>
              <w:t xml:space="preserve"> conforme aux exigences du Dossier d’appel d’offres</w:t>
            </w:r>
            <w:r w:rsidRPr="004E4188">
              <w:t xml:space="preserve"> leur seront restituées le plus rapidement possible suivant la notification par le Maître d’ouvrage de ce rejet</w:t>
            </w:r>
            <w:r w:rsidRPr="004E4188" w:rsidDel="00845731">
              <w:t xml:space="preserve"> </w:t>
            </w:r>
            <w:r w:rsidRPr="004E4188">
              <w:t>conformément à IS 25.8.</w:t>
            </w:r>
          </w:p>
          <w:p w14:paraId="38A8795E" w14:textId="77777777" w:rsidR="006F129D" w:rsidRPr="004E4188" w:rsidRDefault="006F129D" w:rsidP="00D45EAD">
            <w:pPr>
              <w:spacing w:after="200"/>
              <w:ind w:left="601" w:hanging="601"/>
            </w:pPr>
            <w:r w:rsidRPr="004E4188">
              <w:rPr>
                <w:lang w:eastAsia="ja-JP"/>
              </w:rPr>
              <w:tab/>
              <w:t>L</w:t>
            </w:r>
            <w:r w:rsidRPr="004E4188">
              <w:rPr>
                <w:lang w:eastAsia="en-US"/>
              </w:rPr>
              <w:t>es garanties de soumission de tous les Soumissionnaires non retenus (ceux pour lesquels l’alinéa précédent ne s’applique pas) leur seront restituées le plus rapidement possible dès que le Soumissionnaire retenu aura signé le Marché et fourni la garantie de bonne exécution, conformément à IS 41</w:t>
            </w:r>
            <w:r w:rsidRPr="004E4188">
              <w:rPr>
                <w:lang w:eastAsia="ja-JP"/>
              </w:rPr>
              <w:t>.</w:t>
            </w:r>
          </w:p>
        </w:tc>
      </w:tr>
      <w:tr w:rsidR="006F129D" w:rsidRPr="004E4188" w14:paraId="41AA5539" w14:textId="77777777" w:rsidTr="00D45EAD">
        <w:trPr>
          <w:trHeight w:val="983"/>
        </w:trPr>
        <w:tc>
          <w:tcPr>
            <w:tcW w:w="2273" w:type="dxa"/>
            <w:tcBorders>
              <w:top w:val="nil"/>
              <w:left w:val="nil"/>
              <w:bottom w:val="nil"/>
              <w:right w:val="nil"/>
            </w:tcBorders>
          </w:tcPr>
          <w:p w14:paraId="16C6FE75" w14:textId="77777777" w:rsidR="006F129D" w:rsidRPr="004E4188" w:rsidRDefault="006F129D" w:rsidP="00D45EAD">
            <w:bookmarkStart w:id="187" w:name="_Toc438532608"/>
            <w:bookmarkEnd w:id="187"/>
          </w:p>
        </w:tc>
        <w:tc>
          <w:tcPr>
            <w:tcW w:w="7015" w:type="dxa"/>
            <w:tcBorders>
              <w:top w:val="nil"/>
              <w:left w:val="nil"/>
              <w:bottom w:val="nil"/>
              <w:right w:val="nil"/>
            </w:tcBorders>
          </w:tcPr>
          <w:p w14:paraId="6B1C8F17" w14:textId="05B561D5" w:rsidR="006F129D" w:rsidRPr="004E4188" w:rsidRDefault="006F129D" w:rsidP="00D45EAD">
            <w:pPr>
              <w:spacing w:after="200"/>
              <w:ind w:left="601" w:hanging="601"/>
            </w:pPr>
            <w:r w:rsidRPr="004E4188">
              <w:t>19.5</w:t>
            </w:r>
            <w:r w:rsidRPr="004E4188">
              <w:tab/>
              <w:t xml:space="preserve">La garantie de soumission du Soumissionnaire retenu lui sera restituée </w:t>
            </w:r>
            <w:r w:rsidRPr="004E4188">
              <w:rPr>
                <w:szCs w:val="24"/>
              </w:rPr>
              <w:t>le plus rapidement possible</w:t>
            </w:r>
            <w:r w:rsidRPr="004E4188">
              <w:t xml:space="preserve"> après la signature du Marché et contre remise de la garantie de bonne exécution requise.</w:t>
            </w:r>
          </w:p>
        </w:tc>
      </w:tr>
      <w:tr w:rsidR="006F129D" w:rsidRPr="004E4188" w14:paraId="107D220F" w14:textId="77777777" w:rsidTr="00D45EAD">
        <w:tc>
          <w:tcPr>
            <w:tcW w:w="2273" w:type="dxa"/>
            <w:tcBorders>
              <w:top w:val="nil"/>
              <w:left w:val="nil"/>
              <w:bottom w:val="nil"/>
              <w:right w:val="nil"/>
            </w:tcBorders>
          </w:tcPr>
          <w:p w14:paraId="3E944CE4" w14:textId="77777777" w:rsidR="006F129D" w:rsidRPr="004E4188" w:rsidRDefault="006F129D" w:rsidP="00D45EAD">
            <w:bookmarkStart w:id="188" w:name="_Toc438532609"/>
            <w:bookmarkEnd w:id="188"/>
          </w:p>
        </w:tc>
        <w:tc>
          <w:tcPr>
            <w:tcW w:w="7015" w:type="dxa"/>
            <w:tcBorders>
              <w:top w:val="nil"/>
              <w:left w:val="nil"/>
              <w:bottom w:val="nil"/>
              <w:right w:val="nil"/>
            </w:tcBorders>
          </w:tcPr>
          <w:p w14:paraId="5A5690DB" w14:textId="1A76CBAC" w:rsidR="006F129D" w:rsidRPr="004E4188" w:rsidRDefault="006F129D" w:rsidP="00D45EAD">
            <w:pPr>
              <w:spacing w:after="200"/>
              <w:ind w:left="576" w:hanging="576"/>
            </w:pPr>
            <w:r w:rsidRPr="004E4188">
              <w:t>19.6</w:t>
            </w:r>
            <w:r w:rsidRPr="004E4188">
              <w:tab/>
              <w:t xml:space="preserve">La garantie de soumission peut être saisie : </w:t>
            </w:r>
          </w:p>
          <w:p w14:paraId="46000D15" w14:textId="77777777" w:rsidR="006F129D" w:rsidRPr="004E4188" w:rsidRDefault="006F129D" w:rsidP="00D45EAD">
            <w:pPr>
              <w:spacing w:after="200"/>
              <w:ind w:left="1026" w:hanging="425"/>
            </w:pPr>
            <w:r w:rsidRPr="004E4188">
              <w:t>(a)</w:t>
            </w:r>
            <w:r w:rsidRPr="004E4188">
              <w:rPr>
                <w:lang w:eastAsia="ja-JP"/>
              </w:rPr>
              <w:tab/>
            </w:r>
            <w:r w:rsidRPr="004E4188">
              <w:t>si le Soumissionnaire retire son offre pendant la période de validité qu’il aura spécifiée dans les Lettres de soumission des Offres Technique et Financière, ou toute prorogation de celle-ci acceptée par le Soumissionnaire ; ou</w:t>
            </w:r>
          </w:p>
          <w:p w14:paraId="0B02AB36" w14:textId="77777777" w:rsidR="006F129D" w:rsidRPr="004E4188" w:rsidRDefault="006F129D" w:rsidP="00D45EAD">
            <w:pPr>
              <w:spacing w:after="200"/>
              <w:ind w:left="1026" w:hanging="425"/>
            </w:pPr>
            <w:r w:rsidRPr="004E4188">
              <w:t>(b)</w:t>
            </w:r>
            <w:r w:rsidRPr="004E4188">
              <w:tab/>
              <w:t>si le Soumissionnaire retenu :</w:t>
            </w:r>
          </w:p>
          <w:p w14:paraId="006EDC29" w14:textId="5A704E2A" w:rsidR="006F129D" w:rsidRPr="004E4188" w:rsidRDefault="006F129D" w:rsidP="00E8559F">
            <w:pPr>
              <w:numPr>
                <w:ilvl w:val="0"/>
                <w:numId w:val="12"/>
              </w:numPr>
              <w:suppressAutoHyphens w:val="0"/>
              <w:spacing w:after="200"/>
              <w:ind w:left="1474" w:hanging="425"/>
            </w:pPr>
            <w:r w:rsidRPr="004E4188">
              <w:t>ne signe pas le Marché, conformément à IS 4</w:t>
            </w:r>
            <w:r w:rsidRPr="004E4188">
              <w:rPr>
                <w:rFonts w:hint="eastAsia"/>
                <w:lang w:eastAsia="ja-JP"/>
              </w:rPr>
              <w:t>0</w:t>
            </w:r>
            <w:r w:rsidRPr="004E4188">
              <w:t xml:space="preserve"> ; ou </w:t>
            </w:r>
          </w:p>
          <w:p w14:paraId="3800C472" w14:textId="21738271" w:rsidR="006F129D" w:rsidRPr="004E4188" w:rsidRDefault="006F129D" w:rsidP="006F129D">
            <w:pPr>
              <w:numPr>
                <w:ilvl w:val="0"/>
                <w:numId w:val="12"/>
              </w:numPr>
              <w:suppressAutoHyphens w:val="0"/>
              <w:spacing w:after="200"/>
              <w:ind w:left="1474" w:hanging="425"/>
            </w:pPr>
            <w:r w:rsidRPr="004E4188">
              <w:t>ne fournit pas la garantie de bonne exécution, conformément à IS 41.</w:t>
            </w:r>
          </w:p>
        </w:tc>
      </w:tr>
      <w:tr w:rsidR="006F129D" w:rsidRPr="004E4188" w14:paraId="3A0CF9E6" w14:textId="77777777" w:rsidTr="00D45EAD">
        <w:tc>
          <w:tcPr>
            <w:tcW w:w="2273" w:type="dxa"/>
            <w:tcBorders>
              <w:top w:val="nil"/>
              <w:left w:val="nil"/>
              <w:bottom w:val="nil"/>
              <w:right w:val="nil"/>
            </w:tcBorders>
          </w:tcPr>
          <w:p w14:paraId="2B9053D2" w14:textId="77777777" w:rsidR="006F129D" w:rsidRPr="004E4188" w:rsidRDefault="006F129D" w:rsidP="00D45EAD">
            <w:pPr>
              <w:pStyle w:val="Outline"/>
              <w:spacing w:before="0"/>
              <w:rPr>
                <w:kern w:val="0"/>
              </w:rPr>
            </w:pPr>
            <w:bookmarkStart w:id="189" w:name="_Toc438532610"/>
            <w:bookmarkStart w:id="190" w:name="_Toc438532611"/>
            <w:bookmarkEnd w:id="189"/>
            <w:bookmarkEnd w:id="190"/>
          </w:p>
        </w:tc>
        <w:tc>
          <w:tcPr>
            <w:tcW w:w="7015" w:type="dxa"/>
            <w:tcBorders>
              <w:top w:val="nil"/>
              <w:left w:val="nil"/>
              <w:bottom w:val="nil"/>
              <w:right w:val="nil"/>
            </w:tcBorders>
          </w:tcPr>
          <w:p w14:paraId="5AEC65DF" w14:textId="1A6BDEF6" w:rsidR="006F129D" w:rsidRPr="004E4188" w:rsidRDefault="006F129D" w:rsidP="00D45EAD">
            <w:pPr>
              <w:spacing w:after="200"/>
              <w:ind w:left="601" w:hanging="601"/>
            </w:pPr>
            <w:r w:rsidRPr="004E4188">
              <w:t>19.7</w:t>
            </w:r>
            <w:r w:rsidRPr="004E4188">
              <w:tab/>
              <w:t>La garantie de soumission d’un Groupement doit être au nom du Groupement qui a soumis l’offre. Si le Groupement n’est pas formellement constitué au moment de l’appel d’offres, la garantie de soumission doit être au nom de tous les futurs membres du Groupement, tels qu’ils sont désignés dans la lettre d’intention de former un Groupement mentionnée à IS 4.1.</w:t>
            </w:r>
          </w:p>
        </w:tc>
      </w:tr>
      <w:tr w:rsidR="006F129D" w:rsidRPr="004E4188" w14:paraId="59AB8483" w14:textId="77777777" w:rsidTr="00A373CC">
        <w:trPr>
          <w:trHeight w:val="567"/>
        </w:trPr>
        <w:tc>
          <w:tcPr>
            <w:tcW w:w="2273" w:type="dxa"/>
            <w:tcBorders>
              <w:top w:val="nil"/>
              <w:left w:val="nil"/>
              <w:bottom w:val="nil"/>
              <w:right w:val="nil"/>
            </w:tcBorders>
          </w:tcPr>
          <w:p w14:paraId="1EDBB6E3" w14:textId="7B60393C" w:rsidR="006F129D" w:rsidRPr="004E4188" w:rsidRDefault="006F129D" w:rsidP="008A28CD">
            <w:pPr>
              <w:pStyle w:val="S1-Header20"/>
              <w:rPr>
                <w:lang w:val="fr-FR"/>
              </w:rPr>
            </w:pPr>
            <w:bookmarkStart w:id="191" w:name="_Toc438438843"/>
            <w:bookmarkStart w:id="192" w:name="_Toc438532612"/>
            <w:bookmarkStart w:id="193" w:name="_Toc438733987"/>
            <w:bookmarkStart w:id="194" w:name="_Toc438907026"/>
            <w:bookmarkStart w:id="195" w:name="_Toc438907225"/>
            <w:bookmarkStart w:id="196" w:name="_Toc156373304"/>
            <w:bookmarkStart w:id="197" w:name="_Toc113293308"/>
            <w:r w:rsidRPr="004E4188">
              <w:rPr>
                <w:lang w:val="fr-FR"/>
              </w:rPr>
              <w:t>20.</w:t>
            </w:r>
            <w:r w:rsidR="00460162" w:rsidRPr="004E4188">
              <w:rPr>
                <w:lang w:val="fr-FR"/>
              </w:rPr>
              <w:tab/>
            </w:r>
            <w:r w:rsidRPr="004E4188">
              <w:rPr>
                <w:lang w:val="fr-FR"/>
              </w:rPr>
              <w:t>Forme et signature de l’offre</w:t>
            </w:r>
            <w:bookmarkEnd w:id="191"/>
            <w:bookmarkEnd w:id="192"/>
            <w:bookmarkEnd w:id="193"/>
            <w:bookmarkEnd w:id="194"/>
            <w:bookmarkEnd w:id="195"/>
            <w:bookmarkEnd w:id="196"/>
            <w:bookmarkEnd w:id="197"/>
          </w:p>
        </w:tc>
        <w:tc>
          <w:tcPr>
            <w:tcW w:w="7015" w:type="dxa"/>
            <w:tcBorders>
              <w:top w:val="nil"/>
              <w:left w:val="nil"/>
              <w:bottom w:val="nil"/>
              <w:right w:val="nil"/>
            </w:tcBorders>
          </w:tcPr>
          <w:p w14:paraId="6E03DD22" w14:textId="33BDA877" w:rsidR="006F129D" w:rsidRPr="004E4188" w:rsidRDefault="006F129D" w:rsidP="00932E84">
            <w:pPr>
              <w:pStyle w:val="StyleHeader1-ClausesAfter0pt"/>
              <w:spacing w:after="180"/>
              <w:ind w:left="601" w:hanging="601"/>
              <w:rPr>
                <w:lang w:val="fr-FR"/>
              </w:rPr>
            </w:pPr>
            <w:r w:rsidRPr="004E4188">
              <w:rPr>
                <w:lang w:val="fr-FR"/>
              </w:rPr>
              <w:t>20.1</w:t>
            </w:r>
            <w:r w:rsidRPr="004E4188">
              <w:rPr>
                <w:lang w:val="fr-FR"/>
              </w:rPr>
              <w:tab/>
              <w:t>Le Soumissionnaire préparera un original de l’Offre Technique et un original de l’Offre Financière comprenant les documents décrits à IS</w:t>
            </w:r>
            <w:r w:rsidR="00460162" w:rsidRPr="004E4188">
              <w:rPr>
                <w:lang w:val="fr-FR"/>
              </w:rPr>
              <w:t> </w:t>
            </w:r>
            <w:r w:rsidRPr="004E4188">
              <w:rPr>
                <w:lang w:val="fr-FR"/>
              </w:rPr>
              <w:t>11, en indiquant clairement la mention « </w:t>
            </w:r>
            <w:r w:rsidRPr="004E4188">
              <w:rPr>
                <w:smallCaps/>
                <w:spacing w:val="-4"/>
                <w:lang w:val="fr-FR"/>
              </w:rPr>
              <w:t>Offre Technique</w:t>
            </w:r>
            <w:r w:rsidRPr="004E4188">
              <w:rPr>
                <w:lang w:val="fr-FR"/>
              </w:rPr>
              <w:t xml:space="preserve"> - </w:t>
            </w:r>
            <w:r w:rsidRPr="004E4188">
              <w:rPr>
                <w:smallCaps/>
                <w:spacing w:val="-4"/>
                <w:lang w:val="fr-FR"/>
              </w:rPr>
              <w:t>Original</w:t>
            </w:r>
            <w:r w:rsidR="00460162" w:rsidRPr="004E4188">
              <w:rPr>
                <w:lang w:val="fr-FR"/>
              </w:rPr>
              <w:t> </w:t>
            </w:r>
            <w:r w:rsidRPr="004E4188">
              <w:rPr>
                <w:lang w:val="fr-FR"/>
              </w:rPr>
              <w:t>» et « </w:t>
            </w:r>
            <w:r w:rsidRPr="004E4188">
              <w:rPr>
                <w:smallCaps/>
                <w:spacing w:val="-4"/>
                <w:lang w:val="fr-FR"/>
              </w:rPr>
              <w:t>Offre Financi</w:t>
            </w:r>
            <w:r w:rsidR="002D0182" w:rsidRPr="004E4188">
              <w:rPr>
                <w:smallCaps/>
                <w:spacing w:val="-4"/>
                <w:lang w:val="fr-FR" w:eastAsia="ja-JP"/>
              </w:rPr>
              <w:t>è</w:t>
            </w:r>
            <w:r w:rsidRPr="004E4188">
              <w:rPr>
                <w:smallCaps/>
                <w:spacing w:val="-4"/>
                <w:lang w:val="fr-FR"/>
              </w:rPr>
              <w:t>re</w:t>
            </w:r>
            <w:r w:rsidRPr="004E4188">
              <w:rPr>
                <w:lang w:val="fr-FR"/>
              </w:rPr>
              <w:t xml:space="preserve"> - </w:t>
            </w:r>
            <w:r w:rsidRPr="004E4188">
              <w:rPr>
                <w:smallCaps/>
                <w:spacing w:val="-4"/>
                <w:lang w:val="fr-FR"/>
              </w:rPr>
              <w:t>Original</w:t>
            </w:r>
            <w:r w:rsidR="00460162" w:rsidRPr="004E4188">
              <w:rPr>
                <w:lang w:val="fr-FR"/>
              </w:rPr>
              <w:t> </w:t>
            </w:r>
            <w:r w:rsidRPr="004E4188">
              <w:rPr>
                <w:lang w:val="fr-FR"/>
              </w:rPr>
              <w:t>». Une offre variante, lorsqu’autorisée conformément à IS</w:t>
            </w:r>
            <w:r w:rsidR="00460162" w:rsidRPr="004E4188">
              <w:rPr>
                <w:lang w:val="fr-FR"/>
              </w:rPr>
              <w:t> </w:t>
            </w:r>
            <w:r w:rsidRPr="004E4188">
              <w:rPr>
                <w:lang w:val="fr-FR"/>
              </w:rPr>
              <w:t>13.2, portera clairement la mention « </w:t>
            </w:r>
            <w:r w:rsidRPr="004E4188">
              <w:rPr>
                <w:smallCaps/>
                <w:spacing w:val="-4"/>
                <w:lang w:val="fr-FR"/>
              </w:rPr>
              <w:t xml:space="preserve">Offre </w:t>
            </w:r>
            <w:r w:rsidRPr="004E4188">
              <w:rPr>
                <w:rFonts w:hint="eastAsia"/>
                <w:smallCaps/>
                <w:spacing w:val="-4"/>
                <w:lang w:val="fr-FR" w:eastAsia="ja-JP"/>
              </w:rPr>
              <w:t>V</w:t>
            </w:r>
            <w:r w:rsidRPr="004E4188">
              <w:rPr>
                <w:smallCaps/>
                <w:spacing w:val="-4"/>
                <w:lang w:val="fr-FR" w:eastAsia="ja-JP"/>
              </w:rPr>
              <w:t>ariante</w:t>
            </w:r>
            <w:r w:rsidRPr="004E4188">
              <w:rPr>
                <w:lang w:val="fr-FR"/>
              </w:rPr>
              <w:t xml:space="preserve"> - </w:t>
            </w:r>
            <w:r w:rsidRPr="004E4188">
              <w:rPr>
                <w:smallCaps/>
                <w:spacing w:val="-4"/>
                <w:lang w:val="fr-FR"/>
              </w:rPr>
              <w:t>Original</w:t>
            </w:r>
            <w:r w:rsidRPr="004E4188">
              <w:rPr>
                <w:lang w:val="fr-FR"/>
              </w:rPr>
              <w:t xml:space="preserve"> ». </w:t>
            </w:r>
          </w:p>
          <w:p w14:paraId="254743CF" w14:textId="0DF49FD8" w:rsidR="006F129D" w:rsidRPr="004E4188" w:rsidRDefault="006F129D" w:rsidP="00932E84">
            <w:pPr>
              <w:pStyle w:val="StyleHeader1-ClausesAfter0pt"/>
              <w:tabs>
                <w:tab w:val="left" w:pos="576"/>
              </w:tabs>
              <w:spacing w:after="180"/>
              <w:ind w:left="601"/>
              <w:rPr>
                <w:spacing w:val="-4"/>
                <w:lang w:val="fr-FR"/>
              </w:rPr>
            </w:pPr>
            <w:r w:rsidRPr="004E4188">
              <w:rPr>
                <w:spacing w:val="-4"/>
                <w:lang w:val="fr-FR"/>
              </w:rPr>
              <w:t xml:space="preserve">Par ailleurs, le Soumissionnaire remettra le nombre d’exemplaires supplémentaires de l’Offre Technique et de l’Offre Financière </w:t>
            </w:r>
            <w:r w:rsidRPr="004E4188">
              <w:rPr>
                <w:b/>
                <w:spacing w:val="-4"/>
                <w:lang w:val="fr-FR"/>
              </w:rPr>
              <w:t>indiqué dans les DP</w:t>
            </w:r>
            <w:r w:rsidRPr="004E4188">
              <w:rPr>
                <w:spacing w:val="-4"/>
                <w:lang w:val="fr-FR"/>
              </w:rPr>
              <w:t>, en mentionnant clairement sur ces exemplaires « </w:t>
            </w:r>
            <w:r w:rsidRPr="004E4188">
              <w:rPr>
                <w:smallCaps/>
                <w:spacing w:val="-4"/>
                <w:lang w:val="fr-FR"/>
              </w:rPr>
              <w:t>Offre Technique</w:t>
            </w:r>
            <w:r w:rsidRPr="004E4188">
              <w:rPr>
                <w:spacing w:val="-4"/>
                <w:lang w:val="fr-FR"/>
              </w:rPr>
              <w:t xml:space="preserve"> - </w:t>
            </w:r>
            <w:r w:rsidRPr="004E4188">
              <w:rPr>
                <w:smallCaps/>
                <w:spacing w:val="-4"/>
                <w:lang w:val="fr-FR"/>
              </w:rPr>
              <w:t>Copie</w:t>
            </w:r>
            <w:r w:rsidRPr="004E4188">
              <w:rPr>
                <w:spacing w:val="-4"/>
                <w:lang w:val="fr-FR"/>
              </w:rPr>
              <w:t> », « </w:t>
            </w:r>
            <w:r w:rsidRPr="004E4188">
              <w:rPr>
                <w:smallCaps/>
                <w:spacing w:val="-4"/>
                <w:lang w:val="fr-FR"/>
              </w:rPr>
              <w:t>Offre Financi</w:t>
            </w:r>
            <w:r w:rsidR="002D0182" w:rsidRPr="004E4188">
              <w:rPr>
                <w:smallCaps/>
                <w:spacing w:val="-4"/>
                <w:lang w:val="fr-FR" w:eastAsia="ja-JP"/>
              </w:rPr>
              <w:t>è</w:t>
            </w:r>
            <w:r w:rsidRPr="004E4188">
              <w:rPr>
                <w:smallCaps/>
                <w:spacing w:val="-4"/>
                <w:lang w:val="fr-FR"/>
              </w:rPr>
              <w:t>re</w:t>
            </w:r>
            <w:r w:rsidRPr="004E4188">
              <w:rPr>
                <w:spacing w:val="-4"/>
                <w:lang w:val="fr-FR"/>
              </w:rPr>
              <w:t xml:space="preserve"> - </w:t>
            </w:r>
            <w:r w:rsidRPr="004E4188">
              <w:rPr>
                <w:smallCaps/>
                <w:spacing w:val="-4"/>
                <w:lang w:val="fr-FR"/>
              </w:rPr>
              <w:t xml:space="preserve">Copie </w:t>
            </w:r>
            <w:r w:rsidRPr="004E4188">
              <w:rPr>
                <w:spacing w:val="-4"/>
                <w:lang w:val="fr-FR"/>
              </w:rPr>
              <w:t>» et « </w:t>
            </w:r>
            <w:r w:rsidRPr="004E4188">
              <w:rPr>
                <w:smallCaps/>
                <w:spacing w:val="-4"/>
                <w:lang w:val="fr-FR"/>
              </w:rPr>
              <w:t xml:space="preserve">Offre </w:t>
            </w:r>
            <w:r w:rsidRPr="004E4188">
              <w:rPr>
                <w:rFonts w:hint="eastAsia"/>
                <w:smallCaps/>
                <w:spacing w:val="-4"/>
                <w:lang w:val="fr-FR" w:eastAsia="ja-JP"/>
              </w:rPr>
              <w:t>V</w:t>
            </w:r>
            <w:r w:rsidRPr="004E4188">
              <w:rPr>
                <w:smallCaps/>
                <w:spacing w:val="-4"/>
                <w:lang w:val="fr-FR" w:eastAsia="ja-JP"/>
              </w:rPr>
              <w:t>ariante</w:t>
            </w:r>
            <w:r w:rsidRPr="004E4188">
              <w:rPr>
                <w:spacing w:val="-4"/>
                <w:lang w:val="fr-FR"/>
              </w:rPr>
              <w:t xml:space="preserve"> - </w:t>
            </w:r>
            <w:r w:rsidRPr="004E4188">
              <w:rPr>
                <w:smallCaps/>
                <w:spacing w:val="-4"/>
                <w:lang w:val="fr-FR"/>
              </w:rPr>
              <w:t>Copie</w:t>
            </w:r>
            <w:r w:rsidRPr="004E4188">
              <w:rPr>
                <w:spacing w:val="-4"/>
                <w:lang w:val="fr-FR"/>
              </w:rPr>
              <w:t xml:space="preserve"> », le cas échéant. </w:t>
            </w:r>
          </w:p>
          <w:p w14:paraId="3A0129C0" w14:textId="77777777" w:rsidR="006F129D" w:rsidRPr="004E4188" w:rsidRDefault="006F129D" w:rsidP="00C42BAE">
            <w:pPr>
              <w:pStyle w:val="StyleHeader1-ClausesAfter0pt"/>
              <w:tabs>
                <w:tab w:val="left" w:pos="576"/>
              </w:tabs>
              <w:ind w:left="601" w:firstLineChars="10" w:firstLine="24"/>
              <w:rPr>
                <w:lang w:val="fr-FR"/>
              </w:rPr>
            </w:pPr>
            <w:r w:rsidRPr="004E4188">
              <w:rPr>
                <w:lang w:val="fr-FR"/>
              </w:rPr>
              <w:t>En cas de différence entre les copies et l’original, l’original fera foi.</w:t>
            </w:r>
          </w:p>
        </w:tc>
      </w:tr>
      <w:tr w:rsidR="006F129D" w:rsidRPr="004E4188" w14:paraId="6F457A58" w14:textId="77777777" w:rsidTr="00D45EAD">
        <w:trPr>
          <w:trHeight w:val="851"/>
        </w:trPr>
        <w:tc>
          <w:tcPr>
            <w:tcW w:w="2273" w:type="dxa"/>
            <w:tcBorders>
              <w:top w:val="nil"/>
              <w:left w:val="nil"/>
              <w:bottom w:val="nil"/>
              <w:right w:val="nil"/>
            </w:tcBorders>
          </w:tcPr>
          <w:p w14:paraId="240786A9" w14:textId="77777777" w:rsidR="006F129D" w:rsidRPr="004E4188" w:rsidRDefault="006F129D" w:rsidP="00D45EAD"/>
        </w:tc>
        <w:tc>
          <w:tcPr>
            <w:tcW w:w="7015" w:type="dxa"/>
            <w:tcBorders>
              <w:top w:val="nil"/>
              <w:left w:val="nil"/>
              <w:bottom w:val="nil"/>
              <w:right w:val="nil"/>
            </w:tcBorders>
          </w:tcPr>
          <w:p w14:paraId="4FC5B88B" w14:textId="25E99853" w:rsidR="006F129D" w:rsidRPr="004E4188" w:rsidRDefault="006F129D" w:rsidP="00932E84">
            <w:pPr>
              <w:spacing w:after="200"/>
              <w:ind w:left="601" w:hanging="601"/>
            </w:pPr>
            <w:r w:rsidRPr="004E4188">
              <w:t>20.2</w:t>
            </w:r>
            <w:r w:rsidRPr="004E4188">
              <w:tab/>
              <w:t xml:space="preserve">L’original de l’offre sera dactylographié ou écrit à l’encre indélébile et sera signé par une personne dûment habilitée à le faire au nom du Soumissionnaire. Cette habilitation </w:t>
            </w:r>
            <w:r w:rsidRPr="004E4188">
              <w:rPr>
                <w:szCs w:val="24"/>
              </w:rPr>
              <w:t>consistera en une procuration</w:t>
            </w:r>
            <w:r w:rsidRPr="004E4188">
              <w:t xml:space="preserve"> jointe à l’Offre Technique. Toutes les pages de l’offre sur lesquelles des renseignements ont été donnés ou des modifications ont été apportées doivent être signées ou paraphées par la personne signataire de l’offre.</w:t>
            </w:r>
          </w:p>
        </w:tc>
      </w:tr>
      <w:tr w:rsidR="006F129D" w:rsidRPr="004E4188" w14:paraId="04B1AA95" w14:textId="77777777" w:rsidTr="00D45EAD">
        <w:tc>
          <w:tcPr>
            <w:tcW w:w="2273" w:type="dxa"/>
            <w:tcBorders>
              <w:top w:val="nil"/>
              <w:left w:val="nil"/>
              <w:bottom w:val="nil"/>
              <w:right w:val="nil"/>
            </w:tcBorders>
          </w:tcPr>
          <w:p w14:paraId="5773779B" w14:textId="77777777" w:rsidR="006F129D" w:rsidRPr="004E4188" w:rsidRDefault="006F129D" w:rsidP="00D45EAD"/>
        </w:tc>
        <w:tc>
          <w:tcPr>
            <w:tcW w:w="7015" w:type="dxa"/>
            <w:tcBorders>
              <w:top w:val="nil"/>
              <w:left w:val="nil"/>
              <w:bottom w:val="nil"/>
              <w:right w:val="nil"/>
            </w:tcBorders>
          </w:tcPr>
          <w:p w14:paraId="03C0560C" w14:textId="43E6CC74" w:rsidR="006F129D" w:rsidRPr="004E4188" w:rsidRDefault="006F129D" w:rsidP="00D45EAD">
            <w:pPr>
              <w:spacing w:after="200"/>
              <w:ind w:left="601" w:hanging="601"/>
            </w:pPr>
            <w:r w:rsidRPr="004E4188">
              <w:t>20.3</w:t>
            </w:r>
            <w:r w:rsidRPr="004E4188">
              <w:tab/>
              <w:t>Une offre soumise par un Groupement doit être signée par un représentant habilité du Groupement et accompagnée de la procuration de chacun des membres du Groupement attestant que ce représentant est habilité à signer en leur nom et</w:t>
            </w:r>
            <w:r w:rsidRPr="004E4188" w:rsidDel="00785C20">
              <w:t xml:space="preserve"> </w:t>
            </w:r>
            <w:r w:rsidRPr="004E4188">
              <w:t>afin d’être juridiquement contraignante pour tous les membres. Cette habilitation doit également être donnée par une personne dûment autorisée pour agir pour le compte de chaque membre et être attesté</w:t>
            </w:r>
            <w:r w:rsidRPr="004E4188">
              <w:rPr>
                <w:rFonts w:hint="eastAsia"/>
                <w:lang w:eastAsia="ja-JP"/>
              </w:rPr>
              <w:t>e</w:t>
            </w:r>
            <w:r w:rsidRPr="004E4188">
              <w:t xml:space="preserve"> par une procuration.</w:t>
            </w:r>
          </w:p>
        </w:tc>
      </w:tr>
      <w:tr w:rsidR="006F129D" w:rsidRPr="004E4188" w14:paraId="79BA9CAA" w14:textId="77777777" w:rsidTr="00D45EAD">
        <w:trPr>
          <w:trHeight w:val="799"/>
        </w:trPr>
        <w:tc>
          <w:tcPr>
            <w:tcW w:w="2273" w:type="dxa"/>
            <w:tcBorders>
              <w:top w:val="nil"/>
              <w:left w:val="nil"/>
              <w:bottom w:val="nil"/>
              <w:right w:val="nil"/>
            </w:tcBorders>
          </w:tcPr>
          <w:p w14:paraId="2EE9CDA7" w14:textId="77777777" w:rsidR="006F129D" w:rsidRPr="004E4188" w:rsidRDefault="006F129D" w:rsidP="00D45EAD"/>
        </w:tc>
        <w:tc>
          <w:tcPr>
            <w:tcW w:w="7015" w:type="dxa"/>
            <w:tcBorders>
              <w:top w:val="nil"/>
              <w:left w:val="nil"/>
              <w:bottom w:val="nil"/>
              <w:right w:val="nil"/>
            </w:tcBorders>
          </w:tcPr>
          <w:p w14:paraId="5A8349FF" w14:textId="083E4780" w:rsidR="006F129D" w:rsidRPr="004E4188" w:rsidRDefault="006F129D" w:rsidP="00D45EAD">
            <w:pPr>
              <w:spacing w:after="200"/>
              <w:ind w:left="601" w:hanging="601"/>
            </w:pPr>
            <w:r w:rsidRPr="004E4188">
              <w:t>20.4</w:t>
            </w:r>
            <w:r w:rsidRPr="004E4188">
              <w:tab/>
              <w:t>Tout ajout entre les lignes, rature ou surcharge, ne sera valide que si signé ou paraphé par la personne signataire de l’offre.</w:t>
            </w:r>
            <w:r w:rsidRPr="004E4188" w:rsidDel="00455C2A">
              <w:t xml:space="preserve"> </w:t>
            </w:r>
          </w:p>
        </w:tc>
      </w:tr>
      <w:tr w:rsidR="006F129D" w:rsidRPr="004E4188" w14:paraId="23CB4A31" w14:textId="77777777" w:rsidTr="00D45EAD">
        <w:trPr>
          <w:trHeight w:val="799"/>
        </w:trPr>
        <w:tc>
          <w:tcPr>
            <w:tcW w:w="2273" w:type="dxa"/>
            <w:tcBorders>
              <w:top w:val="nil"/>
              <w:left w:val="nil"/>
              <w:bottom w:val="nil"/>
              <w:right w:val="nil"/>
            </w:tcBorders>
          </w:tcPr>
          <w:p w14:paraId="07192E95" w14:textId="77777777" w:rsidR="006F129D" w:rsidRPr="004E4188" w:rsidRDefault="006F129D" w:rsidP="00D45EAD"/>
        </w:tc>
        <w:tc>
          <w:tcPr>
            <w:tcW w:w="7015" w:type="dxa"/>
            <w:tcBorders>
              <w:top w:val="nil"/>
              <w:left w:val="nil"/>
              <w:bottom w:val="nil"/>
              <w:right w:val="nil"/>
            </w:tcBorders>
          </w:tcPr>
          <w:p w14:paraId="6C1CB150" w14:textId="77777777" w:rsidR="006F129D" w:rsidRPr="004E4188" w:rsidRDefault="006F129D" w:rsidP="00D45EAD">
            <w:pPr>
              <w:spacing w:after="200"/>
              <w:ind w:left="601" w:hanging="601"/>
            </w:pPr>
            <w:r w:rsidRPr="004E4188">
              <w:t>20.5</w:t>
            </w:r>
            <w:r w:rsidRPr="004E4188">
              <w:tab/>
              <w:t>Le Soumissionnaire devra clairement marquer « </w:t>
            </w:r>
            <w:r w:rsidRPr="004E4188">
              <w:rPr>
                <w:smallCaps/>
                <w:szCs w:val="24"/>
                <w:lang w:eastAsia="ja-JP"/>
              </w:rPr>
              <w:t>Confidentie</w:t>
            </w:r>
            <w:r w:rsidRPr="004E4188">
              <w:rPr>
                <w:smallCaps/>
                <w:spacing w:val="-4"/>
              </w:rPr>
              <w:t>l</w:t>
            </w:r>
            <w:r w:rsidRPr="004E4188">
              <w:t> » tout renseignement qu’il considère comme confidentiel pour son activité. Ceci pourra inclure des informations exclusives, des secrets commerciaux, ou des informations commerciales ou financières sensibles.</w:t>
            </w:r>
            <w:r w:rsidRPr="004E4188" w:rsidDel="00455C2A">
              <w:t xml:space="preserve"> </w:t>
            </w:r>
          </w:p>
        </w:tc>
      </w:tr>
      <w:tr w:rsidR="006F129D" w:rsidRPr="004E4188" w14:paraId="1A775282" w14:textId="77777777" w:rsidTr="00D45EAD">
        <w:tc>
          <w:tcPr>
            <w:tcW w:w="9288" w:type="dxa"/>
            <w:gridSpan w:val="2"/>
            <w:tcBorders>
              <w:top w:val="nil"/>
              <w:left w:val="nil"/>
              <w:bottom w:val="nil"/>
              <w:right w:val="nil"/>
            </w:tcBorders>
          </w:tcPr>
          <w:p w14:paraId="54C1661D" w14:textId="03341E13" w:rsidR="006F129D" w:rsidRPr="004E4188" w:rsidRDefault="006F129D" w:rsidP="00D45EAD">
            <w:pPr>
              <w:pStyle w:val="S1-Header"/>
              <w:tabs>
                <w:tab w:val="num" w:pos="360"/>
              </w:tabs>
              <w:spacing w:after="200"/>
              <w:ind w:left="357" w:hanging="357"/>
              <w:rPr>
                <w:lang w:eastAsia="en-US"/>
              </w:rPr>
            </w:pPr>
            <w:bookmarkStart w:id="198" w:name="_Toc438438844"/>
            <w:bookmarkStart w:id="199" w:name="_Toc438532613"/>
            <w:bookmarkStart w:id="200" w:name="_Toc438733988"/>
            <w:bookmarkStart w:id="201" w:name="_Toc438962070"/>
            <w:bookmarkStart w:id="202" w:name="_Toc461939619"/>
            <w:bookmarkStart w:id="203" w:name="_Toc113293309"/>
            <w:r w:rsidRPr="004E4188">
              <w:rPr>
                <w:lang w:eastAsia="en-US"/>
              </w:rPr>
              <w:t>D. Remise et ouverture des offres</w:t>
            </w:r>
            <w:bookmarkEnd w:id="198"/>
            <w:bookmarkEnd w:id="199"/>
            <w:bookmarkEnd w:id="200"/>
            <w:bookmarkEnd w:id="201"/>
            <w:bookmarkEnd w:id="202"/>
            <w:bookmarkEnd w:id="203"/>
          </w:p>
        </w:tc>
      </w:tr>
      <w:tr w:rsidR="006F129D" w:rsidRPr="004E4188" w14:paraId="75154362" w14:textId="77777777" w:rsidTr="00D45EAD">
        <w:tc>
          <w:tcPr>
            <w:tcW w:w="2273" w:type="dxa"/>
            <w:tcBorders>
              <w:top w:val="nil"/>
              <w:left w:val="nil"/>
              <w:bottom w:val="nil"/>
              <w:right w:val="nil"/>
            </w:tcBorders>
          </w:tcPr>
          <w:p w14:paraId="6EA5153F" w14:textId="13D9CFDE" w:rsidR="006F129D" w:rsidRPr="004E4188" w:rsidRDefault="006F129D" w:rsidP="008F4F37">
            <w:pPr>
              <w:pStyle w:val="S1-Header20"/>
              <w:rPr>
                <w:lang w:val="fr-FR"/>
              </w:rPr>
            </w:pPr>
            <w:bookmarkStart w:id="204" w:name="_Toc156373305"/>
            <w:bookmarkStart w:id="205" w:name="_Toc113293310"/>
            <w:bookmarkStart w:id="206" w:name="_Toc438438845"/>
            <w:bookmarkStart w:id="207" w:name="_Toc438532614"/>
            <w:bookmarkStart w:id="208" w:name="_Toc438733989"/>
            <w:bookmarkStart w:id="209" w:name="_Toc438907027"/>
            <w:bookmarkStart w:id="210" w:name="_Toc438907226"/>
            <w:r w:rsidRPr="004E4188">
              <w:rPr>
                <w:lang w:val="fr-FR"/>
              </w:rPr>
              <w:t>21.</w:t>
            </w:r>
            <w:r w:rsidRPr="004E4188">
              <w:rPr>
                <w:lang w:val="fr-FR"/>
              </w:rPr>
              <w:tab/>
              <w:t>Cachetage et marquage des offres</w:t>
            </w:r>
            <w:bookmarkEnd w:id="204"/>
            <w:bookmarkEnd w:id="205"/>
            <w:r w:rsidRPr="004E4188">
              <w:rPr>
                <w:lang w:val="fr-FR"/>
              </w:rPr>
              <w:t xml:space="preserve"> </w:t>
            </w:r>
            <w:bookmarkEnd w:id="206"/>
            <w:bookmarkEnd w:id="207"/>
            <w:bookmarkEnd w:id="208"/>
            <w:bookmarkEnd w:id="209"/>
            <w:bookmarkEnd w:id="210"/>
          </w:p>
        </w:tc>
        <w:tc>
          <w:tcPr>
            <w:tcW w:w="7015" w:type="dxa"/>
            <w:tcBorders>
              <w:top w:val="nil"/>
              <w:left w:val="nil"/>
              <w:bottom w:val="nil"/>
              <w:right w:val="nil"/>
            </w:tcBorders>
          </w:tcPr>
          <w:p w14:paraId="32104E9F" w14:textId="733B3EE9" w:rsidR="006F129D" w:rsidRPr="004E4188" w:rsidRDefault="006F129D" w:rsidP="005558B9">
            <w:pPr>
              <w:spacing w:after="200"/>
              <w:ind w:left="601" w:hanging="601"/>
            </w:pPr>
            <w:r w:rsidRPr="004E4188">
              <w:t>21.1</w:t>
            </w:r>
            <w:r w:rsidRPr="004E4188">
              <w:tab/>
              <w:t>Le Soumissionnaire placera :</w:t>
            </w:r>
          </w:p>
          <w:p w14:paraId="36A4F43E" w14:textId="43A6ECF9" w:rsidR="006F129D" w:rsidRPr="004E4188" w:rsidRDefault="006F129D" w:rsidP="00E8559F">
            <w:pPr>
              <w:suppressAutoHyphens w:val="0"/>
              <w:overflowPunct/>
              <w:autoSpaceDE/>
              <w:autoSpaceDN/>
              <w:adjustRightInd/>
              <w:spacing w:after="200"/>
              <w:ind w:left="1026" w:hanging="425"/>
              <w:textAlignment w:val="auto"/>
              <w:rPr>
                <w:lang w:eastAsia="en-US"/>
              </w:rPr>
            </w:pPr>
            <w:r w:rsidRPr="004E4188">
              <w:rPr>
                <w:lang w:eastAsia="en-US"/>
              </w:rPr>
              <w:t>(a)</w:t>
            </w:r>
            <w:r w:rsidRPr="004E4188">
              <w:rPr>
                <w:lang w:eastAsia="en-US"/>
              </w:rPr>
              <w:tab/>
              <w:t>d</w:t>
            </w:r>
            <w:r w:rsidRPr="004E4188">
              <w:rPr>
                <w:szCs w:val="24"/>
                <w:lang w:eastAsia="en-US"/>
              </w:rPr>
              <w:t>ans une enveloppe cachetée, portant la mention « </w:t>
            </w:r>
            <w:r w:rsidRPr="004E4188">
              <w:rPr>
                <w:smallCaps/>
                <w:spacing w:val="-4"/>
                <w:szCs w:val="24"/>
                <w:lang w:eastAsia="en-US"/>
              </w:rPr>
              <w:t>Offre Technique - Original</w:t>
            </w:r>
            <w:r w:rsidR="00F826CF" w:rsidRPr="004E4188">
              <w:rPr>
                <w:szCs w:val="24"/>
                <w:lang w:eastAsia="en-US"/>
              </w:rPr>
              <w:t> </w:t>
            </w:r>
            <w:r w:rsidRPr="004E4188">
              <w:rPr>
                <w:szCs w:val="24"/>
                <w:lang w:eastAsia="en-US"/>
              </w:rPr>
              <w:t>», tous les documents constitutifs de l’Offre Technique, tels que décrits à IS 11.2 </w:t>
            </w:r>
            <w:r w:rsidRPr="004E4188">
              <w:rPr>
                <w:lang w:eastAsia="en-US"/>
              </w:rPr>
              <w:t>;</w:t>
            </w:r>
          </w:p>
          <w:p w14:paraId="713AB720" w14:textId="7CA4E74C" w:rsidR="006F129D" w:rsidRPr="004E4188" w:rsidRDefault="006F129D" w:rsidP="005558B9">
            <w:pPr>
              <w:suppressAutoHyphens w:val="0"/>
              <w:overflowPunct/>
              <w:autoSpaceDE/>
              <w:autoSpaceDN/>
              <w:adjustRightInd/>
              <w:spacing w:after="200"/>
              <w:ind w:left="1026" w:hanging="425"/>
              <w:textAlignment w:val="auto"/>
              <w:rPr>
                <w:lang w:eastAsia="en-US"/>
              </w:rPr>
            </w:pPr>
            <w:r w:rsidRPr="004E4188">
              <w:rPr>
                <w:lang w:eastAsia="en-US"/>
              </w:rPr>
              <w:t>(b)</w:t>
            </w:r>
            <w:r w:rsidRPr="004E4188">
              <w:rPr>
                <w:lang w:eastAsia="en-US"/>
              </w:rPr>
              <w:tab/>
              <w:t>d</w:t>
            </w:r>
            <w:r w:rsidRPr="004E4188">
              <w:rPr>
                <w:szCs w:val="24"/>
                <w:lang w:eastAsia="en-US"/>
              </w:rPr>
              <w:t>ans une enveloppe cachetée, portant la mention « </w:t>
            </w:r>
            <w:r w:rsidRPr="004E4188">
              <w:rPr>
                <w:smallCaps/>
                <w:spacing w:val="-4"/>
                <w:szCs w:val="24"/>
                <w:lang w:eastAsia="en-US"/>
              </w:rPr>
              <w:t>Offre Financi</w:t>
            </w:r>
            <w:r w:rsidR="002542AC" w:rsidRPr="004E4188">
              <w:rPr>
                <w:smallCaps/>
                <w:spacing w:val="-4"/>
                <w:lang w:eastAsia="ja-JP"/>
              </w:rPr>
              <w:t>è</w:t>
            </w:r>
            <w:r w:rsidRPr="004E4188">
              <w:rPr>
                <w:smallCaps/>
                <w:spacing w:val="-4"/>
                <w:szCs w:val="24"/>
                <w:lang w:eastAsia="en-US"/>
              </w:rPr>
              <w:t>re - Original</w:t>
            </w:r>
            <w:r w:rsidRPr="004E4188">
              <w:rPr>
                <w:szCs w:val="24"/>
                <w:lang w:eastAsia="en-US"/>
              </w:rPr>
              <w:t xml:space="preserve"> », tous les documents constitutifs de l’Offre Financière, tels que décrits à IS 11.3 </w:t>
            </w:r>
            <w:r w:rsidRPr="004E4188">
              <w:rPr>
                <w:lang w:eastAsia="en-US"/>
              </w:rPr>
              <w:t>;</w:t>
            </w:r>
          </w:p>
          <w:p w14:paraId="74904733" w14:textId="75DDDAAE" w:rsidR="006F129D" w:rsidRPr="004E4188" w:rsidRDefault="006F129D" w:rsidP="005558B9">
            <w:pPr>
              <w:suppressAutoHyphens w:val="0"/>
              <w:overflowPunct/>
              <w:autoSpaceDE/>
              <w:autoSpaceDN/>
              <w:adjustRightInd/>
              <w:spacing w:after="200"/>
              <w:ind w:left="1026" w:hanging="425"/>
              <w:textAlignment w:val="auto"/>
              <w:rPr>
                <w:lang w:eastAsia="en-US"/>
              </w:rPr>
            </w:pPr>
            <w:r w:rsidRPr="004E4188">
              <w:rPr>
                <w:lang w:eastAsia="en-US"/>
              </w:rPr>
              <w:t>(c)</w:t>
            </w:r>
            <w:r w:rsidRPr="004E4188">
              <w:rPr>
                <w:lang w:eastAsia="en-US"/>
              </w:rPr>
              <w:tab/>
              <w:t>d</w:t>
            </w:r>
            <w:r w:rsidRPr="004E4188">
              <w:rPr>
                <w:szCs w:val="24"/>
                <w:lang w:eastAsia="en-US"/>
              </w:rPr>
              <w:t>ans des enveloppes cachetées, portant la mention « </w:t>
            </w:r>
            <w:r w:rsidRPr="004E4188">
              <w:rPr>
                <w:smallCaps/>
                <w:spacing w:val="-4"/>
                <w:szCs w:val="24"/>
                <w:lang w:eastAsia="en-US"/>
              </w:rPr>
              <w:t>Offre Technique - Copie</w:t>
            </w:r>
            <w:r w:rsidR="00F826CF" w:rsidRPr="004E4188">
              <w:rPr>
                <w:szCs w:val="24"/>
                <w:lang w:eastAsia="en-US"/>
              </w:rPr>
              <w:t> </w:t>
            </w:r>
            <w:r w:rsidRPr="004E4188">
              <w:rPr>
                <w:szCs w:val="24"/>
                <w:lang w:eastAsia="en-US"/>
              </w:rPr>
              <w:t xml:space="preserve">», toutes les copies demandées de l’Offre Technique, numérotées de manière séquentielle </w:t>
            </w:r>
            <w:r w:rsidRPr="004E4188">
              <w:rPr>
                <w:lang w:eastAsia="en-US"/>
              </w:rPr>
              <w:t>;</w:t>
            </w:r>
          </w:p>
          <w:p w14:paraId="5E08640A" w14:textId="5D4A59E6" w:rsidR="006F129D" w:rsidRPr="004E4188" w:rsidRDefault="006F129D" w:rsidP="005558B9">
            <w:pPr>
              <w:suppressAutoHyphens w:val="0"/>
              <w:overflowPunct/>
              <w:autoSpaceDE/>
              <w:autoSpaceDN/>
              <w:adjustRightInd/>
              <w:spacing w:after="200"/>
              <w:ind w:left="1026" w:hanging="425"/>
              <w:textAlignment w:val="auto"/>
              <w:rPr>
                <w:lang w:eastAsia="en-US"/>
              </w:rPr>
            </w:pPr>
            <w:r w:rsidRPr="004E4188">
              <w:rPr>
                <w:lang w:eastAsia="en-US"/>
              </w:rPr>
              <w:t>(d)</w:t>
            </w:r>
            <w:r w:rsidRPr="004E4188">
              <w:rPr>
                <w:lang w:eastAsia="en-US"/>
              </w:rPr>
              <w:tab/>
              <w:t>d</w:t>
            </w:r>
            <w:r w:rsidRPr="004E4188">
              <w:rPr>
                <w:szCs w:val="24"/>
                <w:lang w:eastAsia="en-US"/>
              </w:rPr>
              <w:t>ans des enveloppes cachetées, portant la mention « </w:t>
            </w:r>
            <w:r w:rsidRPr="004E4188">
              <w:rPr>
                <w:smallCaps/>
                <w:spacing w:val="-4"/>
                <w:szCs w:val="24"/>
                <w:lang w:eastAsia="en-US"/>
              </w:rPr>
              <w:t>Offre Financière - Copie</w:t>
            </w:r>
            <w:r w:rsidRPr="004E4188">
              <w:rPr>
                <w:szCs w:val="24"/>
                <w:lang w:eastAsia="en-US"/>
              </w:rPr>
              <w:t> », toutes les copies demandées de l’Offre Financière, numérotées de manière séquentielle ; e</w:t>
            </w:r>
            <w:r w:rsidRPr="004E4188">
              <w:rPr>
                <w:lang w:eastAsia="en-US"/>
              </w:rPr>
              <w:t>t</w:t>
            </w:r>
          </w:p>
          <w:p w14:paraId="02F2BEDC" w14:textId="77777777" w:rsidR="006F129D" w:rsidRPr="004E4188" w:rsidRDefault="006F129D" w:rsidP="005558B9">
            <w:pPr>
              <w:tabs>
                <w:tab w:val="left" w:pos="1006"/>
              </w:tabs>
              <w:suppressAutoHyphens w:val="0"/>
              <w:overflowPunct/>
              <w:autoSpaceDE/>
              <w:autoSpaceDN/>
              <w:adjustRightInd/>
              <w:spacing w:after="200"/>
              <w:ind w:left="1026" w:hanging="425"/>
              <w:textAlignment w:val="auto"/>
              <w:rPr>
                <w:lang w:eastAsia="en-US"/>
              </w:rPr>
            </w:pPr>
            <w:r w:rsidRPr="004E4188">
              <w:rPr>
                <w:lang w:eastAsia="en-US"/>
              </w:rPr>
              <w:t>(e)</w:t>
            </w:r>
            <w:r w:rsidRPr="004E4188">
              <w:rPr>
                <w:lang w:eastAsia="en-US"/>
              </w:rPr>
              <w:tab/>
              <w:t>S</w:t>
            </w:r>
            <w:r w:rsidRPr="004E4188">
              <w:rPr>
                <w:szCs w:val="24"/>
                <w:lang w:eastAsia="en-US"/>
              </w:rPr>
              <w:t>i, le cas échéant, des offres variantes sont autorisées conformément à IS 13.2 </w:t>
            </w:r>
            <w:r w:rsidRPr="004E4188">
              <w:rPr>
                <w:lang w:eastAsia="en-US"/>
              </w:rPr>
              <w:t>:</w:t>
            </w:r>
          </w:p>
          <w:p w14:paraId="3590AEA0" w14:textId="1BB14BE3" w:rsidR="006F129D" w:rsidRPr="004E4188" w:rsidRDefault="006F129D" w:rsidP="002542AC">
            <w:pPr>
              <w:keepNext/>
              <w:tabs>
                <w:tab w:val="left" w:pos="1572"/>
              </w:tabs>
              <w:suppressAutoHyphens w:val="0"/>
              <w:overflowPunct/>
              <w:autoSpaceDE/>
              <w:autoSpaceDN/>
              <w:adjustRightInd/>
              <w:spacing w:after="180"/>
              <w:ind w:left="1451" w:right="17" w:hanging="425"/>
              <w:textAlignment w:val="auto"/>
              <w:outlineLvl w:val="3"/>
              <w:rPr>
                <w:bCs/>
                <w:lang w:eastAsia="en-US"/>
              </w:rPr>
            </w:pPr>
            <w:r w:rsidRPr="004E4188">
              <w:rPr>
                <w:bCs/>
                <w:lang w:eastAsia="en-US"/>
              </w:rPr>
              <w:t>(i)</w:t>
            </w:r>
            <w:r w:rsidRPr="004E4188">
              <w:rPr>
                <w:bCs/>
                <w:lang w:eastAsia="en-US"/>
              </w:rPr>
              <w:tab/>
              <w:t>dans une enveloppe cachetée portant la mention « </w:t>
            </w:r>
            <w:r w:rsidRPr="004E4188">
              <w:rPr>
                <w:smallCaps/>
                <w:spacing w:val="-4"/>
              </w:rPr>
              <w:t xml:space="preserve">Offre </w:t>
            </w:r>
            <w:r w:rsidRPr="004E4188">
              <w:rPr>
                <w:rFonts w:hint="eastAsia"/>
                <w:smallCaps/>
                <w:spacing w:val="-4"/>
                <w:lang w:eastAsia="ja-JP"/>
              </w:rPr>
              <w:t>V</w:t>
            </w:r>
            <w:r w:rsidRPr="004E4188">
              <w:rPr>
                <w:smallCaps/>
                <w:spacing w:val="-4"/>
                <w:lang w:eastAsia="ja-JP"/>
              </w:rPr>
              <w:t>ariante</w:t>
            </w:r>
            <w:r w:rsidRPr="004E4188">
              <w:t xml:space="preserve"> - </w:t>
            </w:r>
            <w:r w:rsidRPr="004E4188">
              <w:rPr>
                <w:smallCaps/>
                <w:spacing w:val="-4"/>
              </w:rPr>
              <w:t>Original</w:t>
            </w:r>
            <w:r w:rsidRPr="004E4188">
              <w:rPr>
                <w:bCs/>
                <w:lang w:eastAsia="en-US"/>
              </w:rPr>
              <w:t> », l’offre variante ; et</w:t>
            </w:r>
          </w:p>
          <w:p w14:paraId="0A880C84" w14:textId="6402E945" w:rsidR="006F129D" w:rsidRPr="004E4188" w:rsidRDefault="006F129D" w:rsidP="002542AC">
            <w:pPr>
              <w:keepNext/>
              <w:tabs>
                <w:tab w:val="left" w:pos="1572"/>
              </w:tabs>
              <w:suppressAutoHyphens w:val="0"/>
              <w:overflowPunct/>
              <w:autoSpaceDE/>
              <w:autoSpaceDN/>
              <w:adjustRightInd/>
              <w:spacing w:after="180"/>
              <w:ind w:left="1451" w:right="17" w:hanging="425"/>
              <w:textAlignment w:val="auto"/>
              <w:outlineLvl w:val="3"/>
              <w:rPr>
                <w:bCs/>
                <w:lang w:eastAsia="en-US"/>
              </w:rPr>
            </w:pPr>
            <w:r w:rsidRPr="004E4188">
              <w:rPr>
                <w:bCs/>
                <w:lang w:eastAsia="en-US"/>
              </w:rPr>
              <w:t>(ii)</w:t>
            </w:r>
            <w:r w:rsidRPr="004E4188">
              <w:rPr>
                <w:bCs/>
                <w:lang w:eastAsia="en-US"/>
              </w:rPr>
              <w:tab/>
            </w:r>
            <w:r w:rsidRPr="004E4188">
              <w:rPr>
                <w:bCs/>
                <w:spacing w:val="-2"/>
                <w:lang w:eastAsia="en-US"/>
              </w:rPr>
              <w:t>dans une enveloppe cachetée portant la mention « </w:t>
            </w:r>
            <w:r w:rsidRPr="004E4188">
              <w:rPr>
                <w:smallCaps/>
                <w:spacing w:val="-2"/>
              </w:rPr>
              <w:t xml:space="preserve">Offre </w:t>
            </w:r>
            <w:r w:rsidRPr="004E4188">
              <w:rPr>
                <w:rFonts w:hint="eastAsia"/>
                <w:smallCaps/>
                <w:spacing w:val="-2"/>
                <w:lang w:eastAsia="ja-JP"/>
              </w:rPr>
              <w:t>V</w:t>
            </w:r>
            <w:r w:rsidRPr="004E4188">
              <w:rPr>
                <w:smallCaps/>
                <w:spacing w:val="-2"/>
                <w:lang w:eastAsia="ja-JP"/>
              </w:rPr>
              <w:t>ariante</w:t>
            </w:r>
            <w:r w:rsidRPr="004E4188">
              <w:rPr>
                <w:spacing w:val="-2"/>
              </w:rPr>
              <w:t> -</w:t>
            </w:r>
            <w:r w:rsidR="00823061" w:rsidRPr="004E4188">
              <w:rPr>
                <w:spacing w:val="-2"/>
              </w:rPr>
              <w:t> </w:t>
            </w:r>
            <w:r w:rsidRPr="004E4188">
              <w:rPr>
                <w:smallCaps/>
                <w:spacing w:val="-2"/>
              </w:rPr>
              <w:t>Copie</w:t>
            </w:r>
            <w:r w:rsidRPr="004E4188">
              <w:rPr>
                <w:bCs/>
                <w:spacing w:val="-2"/>
                <w:lang w:eastAsia="en-US"/>
              </w:rPr>
              <w:t> », toutes les copies demandées de l’offre variante, numérotées de manière séquentielle.</w:t>
            </w:r>
          </w:p>
          <w:p w14:paraId="2054ED03" w14:textId="20F6CAE7" w:rsidR="006F129D" w:rsidRPr="004E4188" w:rsidRDefault="006F129D" w:rsidP="00D45EAD">
            <w:pPr>
              <w:spacing w:after="200"/>
              <w:ind w:left="601"/>
            </w:pPr>
            <w:r w:rsidRPr="004E4188">
              <w:rPr>
                <w:lang w:eastAsia="en-US"/>
              </w:rPr>
              <w:t>T</w:t>
            </w:r>
            <w:r w:rsidRPr="004E4188">
              <w:rPr>
                <w:szCs w:val="24"/>
                <w:lang w:eastAsia="en-US"/>
              </w:rPr>
              <w:t>outes ces enveloppes (enveloppes intérieures) contenant les originaux et copies seront elles-mêmes placées dans une même enveloppe (enveloppe extérieure)</w:t>
            </w:r>
            <w:r w:rsidRPr="004E4188">
              <w:rPr>
                <w:lang w:eastAsia="en-US"/>
              </w:rPr>
              <w:t>.</w:t>
            </w:r>
            <w:r w:rsidRPr="004E4188">
              <w:t xml:space="preserve"> </w:t>
            </w:r>
          </w:p>
        </w:tc>
      </w:tr>
      <w:tr w:rsidR="006F129D" w:rsidRPr="004E4188" w14:paraId="7CA42CA6" w14:textId="77777777" w:rsidTr="00D45EAD">
        <w:tc>
          <w:tcPr>
            <w:tcW w:w="2273" w:type="dxa"/>
            <w:tcBorders>
              <w:top w:val="nil"/>
              <w:left w:val="nil"/>
              <w:bottom w:val="nil"/>
              <w:right w:val="nil"/>
            </w:tcBorders>
          </w:tcPr>
          <w:p w14:paraId="4BC708C0" w14:textId="77777777" w:rsidR="006F129D" w:rsidRPr="004E4188" w:rsidRDefault="006F129D" w:rsidP="00D45EAD">
            <w:bookmarkStart w:id="211" w:name="_Toc438532615"/>
            <w:bookmarkEnd w:id="211"/>
          </w:p>
        </w:tc>
        <w:tc>
          <w:tcPr>
            <w:tcW w:w="7015" w:type="dxa"/>
            <w:tcBorders>
              <w:top w:val="nil"/>
              <w:left w:val="nil"/>
              <w:bottom w:val="nil"/>
              <w:right w:val="nil"/>
            </w:tcBorders>
          </w:tcPr>
          <w:p w14:paraId="2DA79B39" w14:textId="36D2CC59" w:rsidR="006F129D" w:rsidRPr="004E4188" w:rsidRDefault="006F129D" w:rsidP="005558B9">
            <w:pPr>
              <w:suppressAutoHyphens w:val="0"/>
              <w:spacing w:after="200"/>
              <w:ind w:left="601" w:hanging="601"/>
            </w:pPr>
            <w:r w:rsidRPr="004E4188">
              <w:t>21.2</w:t>
            </w:r>
            <w:r w:rsidRPr="004E4188">
              <w:tab/>
              <w:t>Les enveloppes intérieures et l’enveloppe extérieure devront :</w:t>
            </w:r>
          </w:p>
          <w:p w14:paraId="11FA9BA6" w14:textId="4FF6304C" w:rsidR="006F129D" w:rsidRPr="004E4188" w:rsidRDefault="006F129D" w:rsidP="00D45EAD">
            <w:pPr>
              <w:spacing w:after="200"/>
              <w:ind w:left="1026" w:hanging="425"/>
            </w:pPr>
            <w:r w:rsidRPr="004E4188">
              <w:t>(a)</w:t>
            </w:r>
            <w:r w:rsidRPr="004E4188">
              <w:rPr>
                <w:lang w:eastAsia="ja-JP"/>
              </w:rPr>
              <w:tab/>
            </w:r>
            <w:r w:rsidRPr="004E4188">
              <w:rPr>
                <w:bCs/>
              </w:rPr>
              <w:t>i</w:t>
            </w:r>
            <w:r w:rsidRPr="004E4188">
              <w:t>ndiquer clairement le nom et l’adresse du Soumissionnaire ;</w:t>
            </w:r>
          </w:p>
          <w:p w14:paraId="5631DCC9" w14:textId="4B6CCCB6" w:rsidR="006F129D" w:rsidRPr="004E4188" w:rsidRDefault="006F129D" w:rsidP="00D45EAD">
            <w:pPr>
              <w:spacing w:after="200"/>
              <w:ind w:left="1026" w:hanging="425"/>
            </w:pPr>
            <w:r w:rsidRPr="004E4188">
              <w:t>(b)</w:t>
            </w:r>
            <w:r w:rsidRPr="004E4188">
              <w:tab/>
              <w:t>être adressées au Maître d’ouvrage conformément à IS 22.1 ;</w:t>
            </w:r>
            <w:r w:rsidR="006C28F7" w:rsidRPr="004E4188">
              <w:t xml:space="preserve"> et</w:t>
            </w:r>
          </w:p>
          <w:p w14:paraId="51EFEEAC" w14:textId="66F4F818" w:rsidR="006F129D" w:rsidRPr="004E4188" w:rsidRDefault="006F129D" w:rsidP="00D45EAD">
            <w:pPr>
              <w:spacing w:after="200"/>
              <w:ind w:left="1026" w:hanging="425"/>
            </w:pPr>
            <w:r w:rsidRPr="004E4188">
              <w:t>(c)</w:t>
            </w:r>
            <w:r w:rsidRPr="004E4188">
              <w:tab/>
              <w:t xml:space="preserve">porter clairement l’identification spécifique de l’appel d’offres </w:t>
            </w:r>
            <w:r w:rsidRPr="004E4188">
              <w:rPr>
                <w:b/>
              </w:rPr>
              <w:t>donnée à l’Article 1.1 des DP</w:t>
            </w:r>
            <w:r w:rsidRPr="004E4188">
              <w:t>.</w:t>
            </w:r>
          </w:p>
        </w:tc>
      </w:tr>
      <w:tr w:rsidR="006F129D" w:rsidRPr="004E4188" w14:paraId="1810DFA6" w14:textId="77777777" w:rsidTr="00D45EAD">
        <w:tc>
          <w:tcPr>
            <w:tcW w:w="2273" w:type="dxa"/>
            <w:tcBorders>
              <w:top w:val="nil"/>
              <w:left w:val="nil"/>
              <w:bottom w:val="nil"/>
              <w:right w:val="nil"/>
            </w:tcBorders>
          </w:tcPr>
          <w:p w14:paraId="4151D949" w14:textId="77777777" w:rsidR="006F129D" w:rsidRPr="004E4188" w:rsidRDefault="006F129D" w:rsidP="00D45EAD"/>
        </w:tc>
        <w:tc>
          <w:tcPr>
            <w:tcW w:w="7015" w:type="dxa"/>
            <w:tcBorders>
              <w:top w:val="nil"/>
              <w:left w:val="nil"/>
              <w:bottom w:val="nil"/>
              <w:right w:val="nil"/>
            </w:tcBorders>
          </w:tcPr>
          <w:p w14:paraId="7C099E75" w14:textId="0F4415E1" w:rsidR="006F129D" w:rsidRPr="004E4188" w:rsidRDefault="006F129D" w:rsidP="005558B9">
            <w:pPr>
              <w:suppressAutoHyphens w:val="0"/>
              <w:spacing w:after="200"/>
              <w:ind w:left="601" w:hanging="601"/>
            </w:pPr>
            <w:r w:rsidRPr="004E4188">
              <w:t>21.3</w:t>
            </w:r>
            <w:r w:rsidRPr="004E4188">
              <w:tab/>
              <w:t xml:space="preserve">L’enveloppe extérieure et les enveloppes intérieures comprenant l’Offre Technique porteront clairement la mention </w:t>
            </w:r>
            <w:r w:rsidRPr="004E4188">
              <w:rPr>
                <w:rFonts w:eastAsiaTheme="minorEastAsia"/>
                <w:kern w:val="2"/>
                <w:szCs w:val="24"/>
                <w:lang w:eastAsia="ja-JP"/>
              </w:rPr>
              <w:t>« N</w:t>
            </w:r>
            <w:r w:rsidRPr="004E4188">
              <w:rPr>
                <w:rFonts w:eastAsiaTheme="minorEastAsia"/>
                <w:smallCaps/>
                <w:kern w:val="2"/>
                <w:szCs w:val="24"/>
                <w:lang w:eastAsia="ja-JP"/>
              </w:rPr>
              <w:t>e</w:t>
            </w:r>
            <w:r w:rsidRPr="004E4188">
              <w:rPr>
                <w:rFonts w:eastAsiaTheme="minorEastAsia"/>
                <w:kern w:val="2"/>
                <w:szCs w:val="24"/>
                <w:lang w:eastAsia="ja-JP"/>
              </w:rPr>
              <w:t xml:space="preserve"> P</w:t>
            </w:r>
            <w:r w:rsidRPr="004E4188">
              <w:rPr>
                <w:rFonts w:eastAsiaTheme="minorEastAsia"/>
                <w:smallCaps/>
                <w:kern w:val="2"/>
                <w:szCs w:val="24"/>
                <w:lang w:eastAsia="ja-JP"/>
              </w:rPr>
              <w:t>as</w:t>
            </w:r>
            <w:r w:rsidRPr="004E4188">
              <w:rPr>
                <w:rFonts w:eastAsiaTheme="minorEastAsia"/>
                <w:kern w:val="2"/>
                <w:szCs w:val="24"/>
                <w:lang w:eastAsia="ja-JP"/>
              </w:rPr>
              <w:t xml:space="preserve"> O</w:t>
            </w:r>
            <w:r w:rsidRPr="004E4188">
              <w:rPr>
                <w:rFonts w:eastAsiaTheme="minorEastAsia"/>
                <w:smallCaps/>
                <w:kern w:val="2"/>
                <w:szCs w:val="24"/>
                <w:lang w:eastAsia="ja-JP"/>
              </w:rPr>
              <w:t>uvrir</w:t>
            </w:r>
            <w:r w:rsidRPr="004E4188">
              <w:rPr>
                <w:rFonts w:eastAsiaTheme="minorEastAsia"/>
                <w:kern w:val="2"/>
                <w:szCs w:val="24"/>
                <w:lang w:eastAsia="ja-JP"/>
              </w:rPr>
              <w:t xml:space="preserve"> A</w:t>
            </w:r>
            <w:r w:rsidRPr="004E4188">
              <w:rPr>
                <w:rFonts w:eastAsiaTheme="minorEastAsia"/>
                <w:smallCaps/>
                <w:kern w:val="2"/>
                <w:szCs w:val="24"/>
                <w:lang w:eastAsia="ja-JP"/>
              </w:rPr>
              <w:t xml:space="preserve">vant </w:t>
            </w:r>
            <w:r w:rsidRPr="004E4188">
              <w:rPr>
                <w:rFonts w:eastAsiaTheme="minorEastAsia"/>
                <w:kern w:val="2"/>
                <w:szCs w:val="24"/>
                <w:lang w:eastAsia="ja-JP"/>
              </w:rPr>
              <w:t>L</w:t>
            </w:r>
            <w:r w:rsidRPr="004E4188">
              <w:rPr>
                <w:rFonts w:eastAsiaTheme="minorEastAsia"/>
                <w:smallCaps/>
                <w:kern w:val="2"/>
                <w:szCs w:val="24"/>
                <w:lang w:eastAsia="ja-JP"/>
              </w:rPr>
              <w:t>a</w:t>
            </w:r>
            <w:r w:rsidRPr="004E4188">
              <w:rPr>
                <w:rFonts w:eastAsiaTheme="minorEastAsia"/>
                <w:kern w:val="2"/>
                <w:szCs w:val="24"/>
                <w:lang w:eastAsia="ja-JP"/>
              </w:rPr>
              <w:t xml:space="preserve"> D</w:t>
            </w:r>
            <w:r w:rsidRPr="004E4188">
              <w:rPr>
                <w:rFonts w:eastAsiaTheme="minorEastAsia"/>
                <w:smallCaps/>
                <w:kern w:val="2"/>
                <w:szCs w:val="24"/>
                <w:lang w:eastAsia="ja-JP"/>
              </w:rPr>
              <w:t>ate</w:t>
            </w:r>
            <w:r w:rsidRPr="004E4188">
              <w:rPr>
                <w:rFonts w:eastAsiaTheme="minorEastAsia"/>
                <w:kern w:val="2"/>
                <w:szCs w:val="24"/>
                <w:lang w:eastAsia="ja-JP"/>
              </w:rPr>
              <w:t xml:space="preserve"> E</w:t>
            </w:r>
            <w:r w:rsidRPr="004E4188">
              <w:rPr>
                <w:rFonts w:eastAsiaTheme="minorEastAsia"/>
                <w:smallCaps/>
                <w:kern w:val="2"/>
                <w:szCs w:val="24"/>
                <w:lang w:eastAsia="ja-JP"/>
              </w:rPr>
              <w:t>t</w:t>
            </w:r>
            <w:r w:rsidRPr="004E4188">
              <w:rPr>
                <w:rFonts w:eastAsiaTheme="minorEastAsia"/>
                <w:kern w:val="2"/>
                <w:szCs w:val="24"/>
                <w:lang w:eastAsia="ja-JP"/>
              </w:rPr>
              <w:t xml:space="preserve"> L</w:t>
            </w:r>
            <w:r w:rsidRPr="004E4188">
              <w:rPr>
                <w:rFonts w:eastAsiaTheme="minorEastAsia"/>
                <w:smallCaps/>
                <w:kern w:val="2"/>
                <w:szCs w:val="24"/>
                <w:lang w:eastAsia="ja-JP"/>
              </w:rPr>
              <w:t>’heure</w:t>
            </w:r>
            <w:r w:rsidRPr="004E4188">
              <w:rPr>
                <w:rFonts w:eastAsiaTheme="minorEastAsia"/>
                <w:kern w:val="2"/>
                <w:szCs w:val="24"/>
                <w:lang w:eastAsia="ja-JP"/>
              </w:rPr>
              <w:t xml:space="preserve"> </w:t>
            </w:r>
            <w:r w:rsidRPr="004E4188">
              <w:rPr>
                <w:rFonts w:eastAsiaTheme="minorEastAsia"/>
                <w:smallCaps/>
                <w:kern w:val="2"/>
                <w:szCs w:val="24"/>
                <w:lang w:eastAsia="ja-JP"/>
              </w:rPr>
              <w:t>Fix</w:t>
            </w:r>
            <w:r w:rsidR="008108BB" w:rsidRPr="004E4188">
              <w:rPr>
                <w:rFonts w:eastAsiaTheme="minorEastAsia"/>
                <w:smallCaps/>
                <w:kern w:val="2"/>
                <w:szCs w:val="24"/>
                <w:lang w:eastAsia="ja-JP"/>
              </w:rPr>
              <w:t>é</w:t>
            </w:r>
            <w:r w:rsidRPr="004E4188">
              <w:rPr>
                <w:rFonts w:eastAsiaTheme="minorEastAsia"/>
                <w:smallCaps/>
                <w:kern w:val="2"/>
                <w:szCs w:val="24"/>
                <w:lang w:eastAsia="ja-JP"/>
              </w:rPr>
              <w:t>es Pour L’ouverture Des Offres Technique</w:t>
            </w:r>
            <w:r w:rsidRPr="004E4188">
              <w:rPr>
                <w:rFonts w:eastAsiaTheme="minorEastAsia"/>
                <w:kern w:val="2"/>
                <w:szCs w:val="24"/>
                <w:lang w:eastAsia="ja-JP"/>
              </w:rPr>
              <w:t> »</w:t>
            </w:r>
            <w:r w:rsidRPr="004E4188">
              <w:t>, conformément à IS 25.1.</w:t>
            </w:r>
          </w:p>
        </w:tc>
      </w:tr>
      <w:tr w:rsidR="006F129D" w:rsidRPr="004E4188" w14:paraId="09D0282A" w14:textId="77777777" w:rsidTr="00D45EAD">
        <w:tc>
          <w:tcPr>
            <w:tcW w:w="2273" w:type="dxa"/>
            <w:tcBorders>
              <w:top w:val="nil"/>
              <w:left w:val="nil"/>
              <w:bottom w:val="nil"/>
              <w:right w:val="nil"/>
            </w:tcBorders>
          </w:tcPr>
          <w:p w14:paraId="5A60A192" w14:textId="77777777" w:rsidR="006F129D" w:rsidRPr="004E4188" w:rsidRDefault="006F129D" w:rsidP="00D45EAD"/>
        </w:tc>
        <w:tc>
          <w:tcPr>
            <w:tcW w:w="7015" w:type="dxa"/>
            <w:tcBorders>
              <w:top w:val="nil"/>
              <w:left w:val="nil"/>
              <w:bottom w:val="nil"/>
              <w:right w:val="nil"/>
            </w:tcBorders>
          </w:tcPr>
          <w:p w14:paraId="482335B4" w14:textId="7C767706" w:rsidR="006F129D" w:rsidRPr="004E4188" w:rsidRDefault="006F129D" w:rsidP="005558B9">
            <w:pPr>
              <w:spacing w:after="200"/>
              <w:ind w:left="601" w:hanging="601"/>
            </w:pPr>
            <w:r w:rsidRPr="004E4188">
              <w:t>21.4</w:t>
            </w:r>
            <w:r w:rsidRPr="004E4188">
              <w:tab/>
              <w:t xml:space="preserve">Les enveloppes intérieures contenant l’Offre Financière porteront clairement la mention </w:t>
            </w:r>
            <w:r w:rsidRPr="004E4188">
              <w:rPr>
                <w:rFonts w:eastAsiaTheme="minorEastAsia"/>
                <w:kern w:val="2"/>
                <w:szCs w:val="24"/>
                <w:lang w:eastAsia="ja-JP"/>
              </w:rPr>
              <w:t>« N</w:t>
            </w:r>
            <w:r w:rsidRPr="004E4188">
              <w:rPr>
                <w:rFonts w:eastAsiaTheme="minorEastAsia"/>
                <w:smallCaps/>
                <w:kern w:val="2"/>
                <w:szCs w:val="24"/>
                <w:lang w:eastAsia="ja-JP"/>
              </w:rPr>
              <w:t>e</w:t>
            </w:r>
            <w:r w:rsidRPr="004E4188">
              <w:rPr>
                <w:rFonts w:eastAsiaTheme="minorEastAsia"/>
                <w:kern w:val="2"/>
                <w:szCs w:val="24"/>
                <w:lang w:eastAsia="ja-JP"/>
              </w:rPr>
              <w:t xml:space="preserve"> P</w:t>
            </w:r>
            <w:r w:rsidRPr="004E4188">
              <w:rPr>
                <w:rFonts w:eastAsiaTheme="minorEastAsia"/>
                <w:smallCaps/>
                <w:kern w:val="2"/>
                <w:szCs w:val="24"/>
                <w:lang w:eastAsia="ja-JP"/>
              </w:rPr>
              <w:t>as</w:t>
            </w:r>
            <w:r w:rsidRPr="004E4188">
              <w:rPr>
                <w:rFonts w:eastAsiaTheme="minorEastAsia"/>
                <w:kern w:val="2"/>
                <w:szCs w:val="24"/>
                <w:lang w:eastAsia="ja-JP"/>
              </w:rPr>
              <w:t xml:space="preserve"> O</w:t>
            </w:r>
            <w:r w:rsidRPr="004E4188">
              <w:rPr>
                <w:rFonts w:eastAsiaTheme="minorEastAsia"/>
                <w:smallCaps/>
                <w:kern w:val="2"/>
                <w:szCs w:val="24"/>
                <w:lang w:eastAsia="ja-JP"/>
              </w:rPr>
              <w:t>uvrir</w:t>
            </w:r>
            <w:r w:rsidRPr="004E4188">
              <w:rPr>
                <w:rFonts w:eastAsiaTheme="minorEastAsia"/>
                <w:kern w:val="2"/>
                <w:szCs w:val="24"/>
                <w:lang w:eastAsia="ja-JP"/>
              </w:rPr>
              <w:t xml:space="preserve"> A</w:t>
            </w:r>
            <w:r w:rsidRPr="004E4188">
              <w:rPr>
                <w:rFonts w:eastAsiaTheme="minorEastAsia"/>
                <w:smallCaps/>
                <w:kern w:val="2"/>
                <w:szCs w:val="24"/>
                <w:lang w:eastAsia="ja-JP"/>
              </w:rPr>
              <w:t xml:space="preserve">vant </w:t>
            </w:r>
            <w:r w:rsidRPr="004E4188">
              <w:rPr>
                <w:rFonts w:eastAsiaTheme="minorEastAsia"/>
                <w:kern w:val="2"/>
                <w:szCs w:val="24"/>
                <w:lang w:eastAsia="ja-JP"/>
              </w:rPr>
              <w:t>L</w:t>
            </w:r>
            <w:r w:rsidRPr="004E4188">
              <w:rPr>
                <w:rFonts w:eastAsiaTheme="minorEastAsia"/>
                <w:smallCaps/>
                <w:kern w:val="2"/>
                <w:szCs w:val="24"/>
                <w:lang w:eastAsia="ja-JP"/>
              </w:rPr>
              <w:t>a</w:t>
            </w:r>
            <w:r w:rsidRPr="004E4188">
              <w:rPr>
                <w:rFonts w:eastAsiaTheme="minorEastAsia"/>
                <w:kern w:val="2"/>
                <w:szCs w:val="24"/>
                <w:lang w:eastAsia="ja-JP"/>
              </w:rPr>
              <w:t xml:space="preserve"> D</w:t>
            </w:r>
            <w:r w:rsidRPr="004E4188">
              <w:rPr>
                <w:rFonts w:eastAsiaTheme="minorEastAsia"/>
                <w:smallCaps/>
                <w:kern w:val="2"/>
                <w:szCs w:val="24"/>
                <w:lang w:eastAsia="ja-JP"/>
              </w:rPr>
              <w:t>ate</w:t>
            </w:r>
            <w:r w:rsidRPr="004E4188">
              <w:rPr>
                <w:rFonts w:eastAsiaTheme="minorEastAsia"/>
                <w:kern w:val="2"/>
                <w:szCs w:val="24"/>
                <w:lang w:eastAsia="ja-JP"/>
              </w:rPr>
              <w:t xml:space="preserve"> E</w:t>
            </w:r>
            <w:r w:rsidRPr="004E4188">
              <w:rPr>
                <w:rFonts w:eastAsiaTheme="minorEastAsia"/>
                <w:smallCaps/>
                <w:kern w:val="2"/>
                <w:szCs w:val="24"/>
                <w:lang w:eastAsia="ja-JP"/>
              </w:rPr>
              <w:t>t</w:t>
            </w:r>
            <w:r w:rsidRPr="004E4188">
              <w:rPr>
                <w:rFonts w:eastAsiaTheme="minorEastAsia"/>
                <w:kern w:val="2"/>
                <w:szCs w:val="24"/>
                <w:lang w:eastAsia="ja-JP"/>
              </w:rPr>
              <w:t xml:space="preserve"> L</w:t>
            </w:r>
            <w:r w:rsidRPr="004E4188">
              <w:rPr>
                <w:rFonts w:eastAsiaTheme="minorEastAsia"/>
                <w:smallCaps/>
                <w:kern w:val="2"/>
                <w:szCs w:val="24"/>
                <w:lang w:eastAsia="ja-JP"/>
              </w:rPr>
              <w:t>’heure</w:t>
            </w:r>
            <w:r w:rsidRPr="004E4188">
              <w:rPr>
                <w:rFonts w:eastAsiaTheme="minorEastAsia"/>
                <w:kern w:val="2"/>
                <w:szCs w:val="24"/>
                <w:lang w:eastAsia="ja-JP"/>
              </w:rPr>
              <w:t xml:space="preserve"> C</w:t>
            </w:r>
            <w:r w:rsidRPr="004E4188">
              <w:rPr>
                <w:rFonts w:eastAsiaTheme="minorEastAsia"/>
                <w:smallCaps/>
                <w:kern w:val="2"/>
                <w:szCs w:val="24"/>
                <w:lang w:eastAsia="ja-JP"/>
              </w:rPr>
              <w:t>ommuniqu</w:t>
            </w:r>
            <w:r w:rsidR="008108BB" w:rsidRPr="004E4188">
              <w:rPr>
                <w:smallCaps/>
                <w:spacing w:val="-4"/>
                <w:lang w:eastAsia="ja-JP"/>
              </w:rPr>
              <w:t>é</w:t>
            </w:r>
            <w:r w:rsidRPr="004E4188">
              <w:rPr>
                <w:rFonts w:eastAsiaTheme="minorEastAsia"/>
                <w:smallCaps/>
                <w:kern w:val="2"/>
                <w:szCs w:val="24"/>
                <w:lang w:eastAsia="ja-JP"/>
              </w:rPr>
              <w:t>es Par Le Ma</w:t>
            </w:r>
            <w:r w:rsidR="008108BB" w:rsidRPr="004E4188">
              <w:rPr>
                <w:smallCaps/>
              </w:rPr>
              <w:t>î</w:t>
            </w:r>
            <w:r w:rsidRPr="004E4188">
              <w:rPr>
                <w:rFonts w:eastAsiaTheme="minorEastAsia"/>
                <w:smallCaps/>
                <w:kern w:val="2"/>
                <w:szCs w:val="24"/>
                <w:lang w:eastAsia="ja-JP"/>
              </w:rPr>
              <w:t>tre D’ouvrage</w:t>
            </w:r>
            <w:r w:rsidRPr="004E4188">
              <w:rPr>
                <w:rFonts w:eastAsiaTheme="minorEastAsia"/>
                <w:kern w:val="2"/>
                <w:szCs w:val="24"/>
                <w:lang w:eastAsia="ja-JP"/>
              </w:rPr>
              <w:t> »</w:t>
            </w:r>
            <w:r w:rsidRPr="004E4188">
              <w:t>, conformément à IS 25.7.</w:t>
            </w:r>
          </w:p>
        </w:tc>
      </w:tr>
      <w:tr w:rsidR="006F129D" w:rsidRPr="004E4188" w14:paraId="74F80EAF" w14:textId="77777777" w:rsidTr="00D45EAD">
        <w:tc>
          <w:tcPr>
            <w:tcW w:w="2273" w:type="dxa"/>
            <w:tcBorders>
              <w:top w:val="nil"/>
              <w:left w:val="nil"/>
              <w:bottom w:val="nil"/>
              <w:right w:val="nil"/>
            </w:tcBorders>
          </w:tcPr>
          <w:p w14:paraId="11A18AB5" w14:textId="77777777" w:rsidR="006F129D" w:rsidRPr="004E4188" w:rsidRDefault="006F129D" w:rsidP="00D45EAD"/>
        </w:tc>
        <w:tc>
          <w:tcPr>
            <w:tcW w:w="7015" w:type="dxa"/>
            <w:tcBorders>
              <w:top w:val="nil"/>
              <w:left w:val="nil"/>
              <w:bottom w:val="nil"/>
              <w:right w:val="nil"/>
            </w:tcBorders>
          </w:tcPr>
          <w:p w14:paraId="7D53051C" w14:textId="276413E8" w:rsidR="006F129D" w:rsidRPr="004E4188" w:rsidRDefault="006F129D" w:rsidP="00D24F28">
            <w:pPr>
              <w:suppressAutoHyphens w:val="0"/>
              <w:spacing w:after="200"/>
              <w:ind w:left="601" w:hanging="601"/>
            </w:pPr>
            <w:r w:rsidRPr="004E4188">
              <w:t>21.5</w:t>
            </w:r>
            <w:r w:rsidRPr="004E4188">
              <w:tab/>
              <w:t>Les enveloppes intérieures contenant les offres variantes, le cas échéant, porteront clairement la mention</w:t>
            </w:r>
            <w:r w:rsidRPr="004E4188">
              <w:rPr>
                <w:rFonts w:eastAsiaTheme="minorEastAsia"/>
                <w:kern w:val="2"/>
                <w:szCs w:val="24"/>
                <w:lang w:eastAsia="ja-JP"/>
              </w:rPr>
              <w:t xml:space="preserve"> « N</w:t>
            </w:r>
            <w:r w:rsidRPr="004E4188">
              <w:rPr>
                <w:rFonts w:eastAsiaTheme="minorEastAsia"/>
                <w:smallCaps/>
                <w:kern w:val="2"/>
                <w:szCs w:val="24"/>
                <w:lang w:eastAsia="ja-JP"/>
              </w:rPr>
              <w:t>e</w:t>
            </w:r>
            <w:r w:rsidRPr="004E4188">
              <w:rPr>
                <w:rFonts w:eastAsiaTheme="minorEastAsia"/>
                <w:kern w:val="2"/>
                <w:szCs w:val="24"/>
                <w:lang w:eastAsia="ja-JP"/>
              </w:rPr>
              <w:t xml:space="preserve"> P</w:t>
            </w:r>
            <w:r w:rsidRPr="004E4188">
              <w:rPr>
                <w:rFonts w:eastAsiaTheme="minorEastAsia"/>
                <w:smallCaps/>
                <w:kern w:val="2"/>
                <w:szCs w:val="24"/>
                <w:lang w:eastAsia="ja-JP"/>
              </w:rPr>
              <w:t>as</w:t>
            </w:r>
            <w:r w:rsidRPr="004E4188">
              <w:rPr>
                <w:rFonts w:eastAsiaTheme="minorEastAsia"/>
                <w:kern w:val="2"/>
                <w:szCs w:val="24"/>
                <w:lang w:eastAsia="ja-JP"/>
              </w:rPr>
              <w:t xml:space="preserve"> O</w:t>
            </w:r>
            <w:r w:rsidRPr="004E4188">
              <w:rPr>
                <w:rFonts w:eastAsiaTheme="minorEastAsia"/>
                <w:smallCaps/>
                <w:kern w:val="2"/>
                <w:szCs w:val="24"/>
                <w:lang w:eastAsia="ja-JP"/>
              </w:rPr>
              <w:t>uvrir</w:t>
            </w:r>
            <w:r w:rsidRPr="004E4188">
              <w:rPr>
                <w:rFonts w:eastAsiaTheme="minorEastAsia"/>
                <w:kern w:val="2"/>
                <w:szCs w:val="24"/>
                <w:lang w:eastAsia="ja-JP"/>
              </w:rPr>
              <w:t xml:space="preserve"> A</w:t>
            </w:r>
            <w:r w:rsidRPr="004E4188">
              <w:rPr>
                <w:rFonts w:eastAsiaTheme="minorEastAsia"/>
                <w:smallCaps/>
                <w:kern w:val="2"/>
                <w:szCs w:val="24"/>
                <w:lang w:eastAsia="ja-JP"/>
              </w:rPr>
              <w:t xml:space="preserve">vant </w:t>
            </w:r>
            <w:r w:rsidRPr="004E4188">
              <w:rPr>
                <w:rFonts w:eastAsiaTheme="minorEastAsia"/>
                <w:kern w:val="2"/>
                <w:szCs w:val="24"/>
                <w:lang w:eastAsia="ja-JP"/>
              </w:rPr>
              <w:t>L</w:t>
            </w:r>
            <w:r w:rsidRPr="004E4188">
              <w:rPr>
                <w:rFonts w:eastAsiaTheme="minorEastAsia"/>
                <w:smallCaps/>
                <w:kern w:val="2"/>
                <w:szCs w:val="24"/>
                <w:lang w:eastAsia="ja-JP"/>
              </w:rPr>
              <w:t>a</w:t>
            </w:r>
            <w:r w:rsidRPr="004E4188">
              <w:rPr>
                <w:rFonts w:eastAsiaTheme="minorEastAsia"/>
                <w:kern w:val="2"/>
                <w:szCs w:val="24"/>
                <w:lang w:eastAsia="ja-JP"/>
              </w:rPr>
              <w:t xml:space="preserve"> D</w:t>
            </w:r>
            <w:r w:rsidRPr="004E4188">
              <w:rPr>
                <w:rFonts w:eastAsiaTheme="minorEastAsia"/>
                <w:smallCaps/>
                <w:kern w:val="2"/>
                <w:szCs w:val="24"/>
                <w:lang w:eastAsia="ja-JP"/>
              </w:rPr>
              <w:t>ate</w:t>
            </w:r>
            <w:r w:rsidRPr="004E4188">
              <w:rPr>
                <w:rFonts w:eastAsiaTheme="minorEastAsia"/>
                <w:kern w:val="2"/>
                <w:szCs w:val="24"/>
                <w:lang w:eastAsia="ja-JP"/>
              </w:rPr>
              <w:t xml:space="preserve"> E</w:t>
            </w:r>
            <w:r w:rsidRPr="004E4188">
              <w:rPr>
                <w:rFonts w:eastAsiaTheme="minorEastAsia"/>
                <w:smallCaps/>
                <w:kern w:val="2"/>
                <w:szCs w:val="24"/>
                <w:lang w:eastAsia="ja-JP"/>
              </w:rPr>
              <w:t>t</w:t>
            </w:r>
            <w:r w:rsidRPr="004E4188">
              <w:rPr>
                <w:rFonts w:eastAsiaTheme="minorEastAsia"/>
                <w:kern w:val="2"/>
                <w:szCs w:val="24"/>
                <w:lang w:eastAsia="ja-JP"/>
              </w:rPr>
              <w:t xml:space="preserve"> L</w:t>
            </w:r>
            <w:r w:rsidRPr="004E4188">
              <w:rPr>
                <w:rFonts w:eastAsiaTheme="minorEastAsia"/>
                <w:smallCaps/>
                <w:kern w:val="2"/>
                <w:szCs w:val="24"/>
                <w:lang w:eastAsia="ja-JP"/>
              </w:rPr>
              <w:t>’heure</w:t>
            </w:r>
            <w:r w:rsidRPr="004E4188">
              <w:rPr>
                <w:rFonts w:eastAsiaTheme="minorEastAsia"/>
                <w:kern w:val="2"/>
                <w:szCs w:val="24"/>
                <w:lang w:eastAsia="ja-JP"/>
              </w:rPr>
              <w:t xml:space="preserve"> C</w:t>
            </w:r>
            <w:r w:rsidRPr="004E4188">
              <w:rPr>
                <w:rFonts w:eastAsiaTheme="minorEastAsia"/>
                <w:smallCaps/>
                <w:kern w:val="2"/>
                <w:szCs w:val="24"/>
                <w:lang w:eastAsia="ja-JP"/>
              </w:rPr>
              <w:t>ommuniqu</w:t>
            </w:r>
            <w:r w:rsidR="008108BB" w:rsidRPr="004E4188">
              <w:rPr>
                <w:smallCaps/>
                <w:spacing w:val="-4"/>
                <w:lang w:eastAsia="ja-JP"/>
              </w:rPr>
              <w:t>é</w:t>
            </w:r>
            <w:r w:rsidRPr="004E4188">
              <w:rPr>
                <w:rFonts w:eastAsiaTheme="minorEastAsia"/>
                <w:smallCaps/>
                <w:kern w:val="2"/>
                <w:szCs w:val="24"/>
                <w:lang w:eastAsia="ja-JP"/>
              </w:rPr>
              <w:t>es Par Le Ma</w:t>
            </w:r>
            <w:r w:rsidR="008108BB" w:rsidRPr="004E4188">
              <w:rPr>
                <w:smallCaps/>
              </w:rPr>
              <w:t>î</w:t>
            </w:r>
            <w:r w:rsidRPr="004E4188">
              <w:rPr>
                <w:rFonts w:eastAsiaTheme="minorEastAsia"/>
                <w:smallCaps/>
                <w:kern w:val="2"/>
                <w:szCs w:val="24"/>
                <w:lang w:eastAsia="ja-JP"/>
              </w:rPr>
              <w:t>tre D’ouvrage</w:t>
            </w:r>
            <w:r w:rsidRPr="004E4188">
              <w:rPr>
                <w:rFonts w:eastAsiaTheme="minorEastAsia"/>
                <w:kern w:val="2"/>
                <w:szCs w:val="24"/>
                <w:lang w:eastAsia="ja-JP"/>
              </w:rPr>
              <w:t> »</w:t>
            </w:r>
            <w:r w:rsidRPr="004E4188">
              <w:t>, conformément à IS 13.2.</w:t>
            </w:r>
          </w:p>
        </w:tc>
      </w:tr>
      <w:tr w:rsidR="006F129D" w:rsidRPr="004E4188" w14:paraId="785B4ED1" w14:textId="77777777" w:rsidTr="00D45EAD">
        <w:tc>
          <w:tcPr>
            <w:tcW w:w="2273" w:type="dxa"/>
            <w:tcBorders>
              <w:top w:val="nil"/>
              <w:left w:val="nil"/>
              <w:bottom w:val="nil"/>
              <w:right w:val="nil"/>
            </w:tcBorders>
          </w:tcPr>
          <w:p w14:paraId="6B58582B" w14:textId="77777777" w:rsidR="006F129D" w:rsidRPr="004E4188" w:rsidRDefault="006F129D" w:rsidP="00D45EAD"/>
        </w:tc>
        <w:tc>
          <w:tcPr>
            <w:tcW w:w="7015" w:type="dxa"/>
            <w:tcBorders>
              <w:top w:val="nil"/>
              <w:left w:val="nil"/>
              <w:bottom w:val="nil"/>
              <w:right w:val="nil"/>
            </w:tcBorders>
          </w:tcPr>
          <w:p w14:paraId="373B488E" w14:textId="314CD15D" w:rsidR="006F129D" w:rsidRPr="004E4188" w:rsidRDefault="006F129D" w:rsidP="00D45EAD">
            <w:pPr>
              <w:suppressAutoHyphens w:val="0"/>
              <w:spacing w:after="200"/>
              <w:ind w:left="601" w:hanging="601"/>
            </w:pPr>
            <w:r w:rsidRPr="004E4188">
              <w:t>21.6</w:t>
            </w:r>
            <w:r w:rsidRPr="004E4188">
              <w:tab/>
              <w:t>Si toutes les enveloppes ne sont pas cachetées et marquées comme stipulé, le Maître d’ouvrage ne sera nullement responsable si l’offre est égarée ou ouverte prématurément.</w:t>
            </w:r>
          </w:p>
        </w:tc>
      </w:tr>
      <w:tr w:rsidR="006F129D" w:rsidRPr="004E4188" w14:paraId="734F8208" w14:textId="77777777" w:rsidTr="00D45EAD">
        <w:tc>
          <w:tcPr>
            <w:tcW w:w="2273" w:type="dxa"/>
            <w:tcBorders>
              <w:top w:val="nil"/>
              <w:left w:val="nil"/>
              <w:bottom w:val="nil"/>
              <w:right w:val="nil"/>
            </w:tcBorders>
          </w:tcPr>
          <w:p w14:paraId="61EBA2F5" w14:textId="30D3D001" w:rsidR="006F129D" w:rsidRPr="004E4188" w:rsidRDefault="006F129D" w:rsidP="008A28CD">
            <w:pPr>
              <w:pStyle w:val="S1-Header20"/>
              <w:rPr>
                <w:lang w:val="fr-FR"/>
              </w:rPr>
            </w:pPr>
            <w:bookmarkStart w:id="212" w:name="_Toc438532616"/>
            <w:bookmarkStart w:id="213" w:name="_Toc438532617"/>
            <w:bookmarkStart w:id="214" w:name="_Toc156373306"/>
            <w:bookmarkStart w:id="215" w:name="_Toc113293311"/>
            <w:bookmarkStart w:id="216" w:name="_Toc424009124"/>
            <w:bookmarkStart w:id="217" w:name="_Toc438438846"/>
            <w:bookmarkStart w:id="218" w:name="_Toc438532618"/>
            <w:bookmarkStart w:id="219" w:name="_Toc438733990"/>
            <w:bookmarkStart w:id="220" w:name="_Toc438907028"/>
            <w:bookmarkStart w:id="221" w:name="_Toc438907227"/>
            <w:bookmarkEnd w:id="212"/>
            <w:bookmarkEnd w:id="213"/>
            <w:r w:rsidRPr="004E4188">
              <w:rPr>
                <w:lang w:val="fr-FR"/>
              </w:rPr>
              <w:t>22.</w:t>
            </w:r>
            <w:r w:rsidRPr="004E4188">
              <w:rPr>
                <w:lang w:val="fr-FR"/>
              </w:rPr>
              <w:tab/>
              <w:t>Date limite de remise des offres</w:t>
            </w:r>
            <w:bookmarkEnd w:id="214"/>
            <w:bookmarkEnd w:id="215"/>
            <w:bookmarkEnd w:id="216"/>
            <w:bookmarkEnd w:id="217"/>
            <w:bookmarkEnd w:id="218"/>
            <w:bookmarkEnd w:id="219"/>
            <w:bookmarkEnd w:id="220"/>
            <w:bookmarkEnd w:id="221"/>
          </w:p>
        </w:tc>
        <w:tc>
          <w:tcPr>
            <w:tcW w:w="7015" w:type="dxa"/>
            <w:tcBorders>
              <w:top w:val="nil"/>
              <w:left w:val="nil"/>
              <w:bottom w:val="nil"/>
              <w:right w:val="nil"/>
            </w:tcBorders>
          </w:tcPr>
          <w:p w14:paraId="27D774BC" w14:textId="43A71F99" w:rsidR="006F129D" w:rsidRPr="004E4188" w:rsidRDefault="006F129D" w:rsidP="00D45EAD">
            <w:pPr>
              <w:spacing w:after="200"/>
              <w:ind w:left="601" w:hanging="601"/>
            </w:pPr>
            <w:r w:rsidRPr="004E4188">
              <w:t>22.1</w:t>
            </w:r>
            <w:r w:rsidRPr="004E4188">
              <w:tab/>
              <w:t xml:space="preserve">Les offres doivent être reçues par le Maître d’ouvrage à l’adresse   et au plus tard à la date et à l’heure </w:t>
            </w:r>
            <w:r w:rsidRPr="004E4188">
              <w:rPr>
                <w:b/>
              </w:rPr>
              <w:t>indiquées dans les DP</w:t>
            </w:r>
            <w:r w:rsidRPr="004E4188">
              <w:t xml:space="preserve">. </w:t>
            </w:r>
          </w:p>
          <w:p w14:paraId="0FA62113" w14:textId="2CAD1801" w:rsidR="006F129D" w:rsidRPr="004E4188" w:rsidRDefault="006F129D" w:rsidP="00D45EAD">
            <w:pPr>
              <w:spacing w:after="200"/>
              <w:ind w:left="601" w:hanging="601"/>
            </w:pPr>
            <w:r w:rsidRPr="004E4188">
              <w:t>22.2</w:t>
            </w:r>
            <w:r w:rsidRPr="004E4188">
              <w:tab/>
              <w:t xml:space="preserve">Le Maître d’ouvrage peut, à sa discrétion, reporter la date limite de remise des offres en modifiant le Dossier d’appel d’offres conformément à IS 8. Dans ce cas, tous les droits et obligations du Maître d’ouvrage et des Soumissionnaires </w:t>
            </w:r>
            <w:r w:rsidR="003A6259" w:rsidRPr="004E4188">
              <w:t xml:space="preserve">préalablement </w:t>
            </w:r>
            <w:r w:rsidRPr="004E4188">
              <w:t xml:space="preserve">assujettis à la date limite initiale, seront assujettis à la nouvelle date limite telle que reportée. </w:t>
            </w:r>
          </w:p>
        </w:tc>
      </w:tr>
      <w:tr w:rsidR="006F129D" w:rsidRPr="004E4188" w14:paraId="3DCAFEA0" w14:textId="77777777" w:rsidTr="00D45EAD">
        <w:tc>
          <w:tcPr>
            <w:tcW w:w="2273" w:type="dxa"/>
            <w:tcBorders>
              <w:top w:val="nil"/>
              <w:left w:val="nil"/>
              <w:bottom w:val="nil"/>
              <w:right w:val="nil"/>
            </w:tcBorders>
          </w:tcPr>
          <w:p w14:paraId="4C3C6C95" w14:textId="60E281C1" w:rsidR="006F129D" w:rsidRPr="004E4188" w:rsidRDefault="006F129D" w:rsidP="008A28CD">
            <w:pPr>
              <w:pStyle w:val="S1-Header20"/>
            </w:pPr>
            <w:bookmarkStart w:id="222" w:name="_Toc438438847"/>
            <w:bookmarkStart w:id="223" w:name="_Toc438532619"/>
            <w:bookmarkStart w:id="224" w:name="_Toc438733991"/>
            <w:bookmarkStart w:id="225" w:name="_Toc438907029"/>
            <w:bookmarkStart w:id="226" w:name="_Toc438907228"/>
            <w:bookmarkStart w:id="227" w:name="_Toc156373307"/>
            <w:bookmarkStart w:id="228" w:name="_Toc113293312"/>
            <w:r w:rsidRPr="004E4188">
              <w:t>23.</w:t>
            </w:r>
            <w:r w:rsidRPr="004E4188">
              <w:tab/>
              <w:t>Offres hors délai</w:t>
            </w:r>
            <w:bookmarkEnd w:id="222"/>
            <w:bookmarkEnd w:id="223"/>
            <w:bookmarkEnd w:id="224"/>
            <w:bookmarkEnd w:id="225"/>
            <w:bookmarkEnd w:id="226"/>
            <w:bookmarkEnd w:id="227"/>
            <w:bookmarkEnd w:id="228"/>
          </w:p>
        </w:tc>
        <w:tc>
          <w:tcPr>
            <w:tcW w:w="7015" w:type="dxa"/>
            <w:tcBorders>
              <w:top w:val="nil"/>
              <w:left w:val="nil"/>
              <w:bottom w:val="nil"/>
              <w:right w:val="nil"/>
            </w:tcBorders>
          </w:tcPr>
          <w:p w14:paraId="451E7DC0" w14:textId="7D452022" w:rsidR="006F129D" w:rsidRPr="004E4188" w:rsidRDefault="006F129D" w:rsidP="00D45EAD">
            <w:pPr>
              <w:spacing w:after="200"/>
              <w:ind w:left="601" w:hanging="601"/>
            </w:pPr>
            <w:r w:rsidRPr="004E4188">
              <w:t>23.1</w:t>
            </w:r>
            <w:r w:rsidRPr="004E4188">
              <w:tab/>
              <w:t>Le Maître d’ouvrage n’acceptera aucune offre arrivée après l’expiration du délai de remise des offres arrêté conformément à IS 22. Toute offre reçue par le Maître d’ouvrage après la date et l’heure limites de remise des offres sera déclarée hors délai, écartée, et renvoyée cachetée au Soumissionnaire.</w:t>
            </w:r>
          </w:p>
        </w:tc>
      </w:tr>
      <w:tr w:rsidR="006F129D" w:rsidRPr="004E4188" w14:paraId="3D230A3E" w14:textId="77777777" w:rsidTr="00D45EAD">
        <w:tc>
          <w:tcPr>
            <w:tcW w:w="2273" w:type="dxa"/>
            <w:tcBorders>
              <w:top w:val="nil"/>
              <w:left w:val="nil"/>
              <w:bottom w:val="nil"/>
              <w:right w:val="nil"/>
            </w:tcBorders>
          </w:tcPr>
          <w:p w14:paraId="2F970BBB" w14:textId="1489BDBA" w:rsidR="006F129D" w:rsidRPr="004E4188" w:rsidRDefault="006F129D" w:rsidP="008F4F37">
            <w:pPr>
              <w:pStyle w:val="S1-Header20"/>
              <w:rPr>
                <w:lang w:val="fr-FR"/>
              </w:rPr>
            </w:pPr>
            <w:bookmarkStart w:id="229" w:name="_Toc424009126"/>
            <w:bookmarkStart w:id="230" w:name="_Toc438438848"/>
            <w:bookmarkStart w:id="231" w:name="_Toc438532620"/>
            <w:bookmarkStart w:id="232" w:name="_Toc438733992"/>
            <w:bookmarkStart w:id="233" w:name="_Toc438907030"/>
            <w:bookmarkStart w:id="234" w:name="_Toc438907229"/>
            <w:bookmarkStart w:id="235" w:name="_Toc156373308"/>
            <w:bookmarkStart w:id="236" w:name="_Toc113293313"/>
            <w:r w:rsidRPr="004E4188">
              <w:rPr>
                <w:lang w:val="fr-FR"/>
              </w:rPr>
              <w:t>2</w:t>
            </w:r>
            <w:r w:rsidRPr="004E4188">
              <w:rPr>
                <w:rFonts w:hint="eastAsia"/>
                <w:lang w:val="fr-FR" w:eastAsia="ja-JP"/>
              </w:rPr>
              <w:t>4</w:t>
            </w:r>
            <w:r w:rsidRPr="004E4188">
              <w:rPr>
                <w:lang w:val="fr-FR"/>
              </w:rPr>
              <w:t>.</w:t>
            </w:r>
            <w:r w:rsidRPr="004E4188">
              <w:rPr>
                <w:lang w:val="fr-FR"/>
              </w:rPr>
              <w:tab/>
              <w:t>Retrait, substitution et modification des offres</w:t>
            </w:r>
            <w:bookmarkEnd w:id="229"/>
            <w:bookmarkEnd w:id="230"/>
            <w:bookmarkEnd w:id="231"/>
            <w:bookmarkEnd w:id="232"/>
            <w:bookmarkEnd w:id="233"/>
            <w:bookmarkEnd w:id="234"/>
            <w:bookmarkEnd w:id="235"/>
            <w:bookmarkEnd w:id="236"/>
            <w:r w:rsidRPr="004E4188">
              <w:rPr>
                <w:lang w:val="fr-FR"/>
              </w:rPr>
              <w:t xml:space="preserve"> </w:t>
            </w:r>
          </w:p>
        </w:tc>
        <w:tc>
          <w:tcPr>
            <w:tcW w:w="7015" w:type="dxa"/>
            <w:tcBorders>
              <w:top w:val="nil"/>
              <w:left w:val="nil"/>
              <w:bottom w:val="nil"/>
              <w:right w:val="nil"/>
            </w:tcBorders>
          </w:tcPr>
          <w:p w14:paraId="50A9C2F9" w14:textId="3BC19ED4" w:rsidR="006F129D" w:rsidRPr="004E4188" w:rsidRDefault="006F129D" w:rsidP="00D45EAD">
            <w:pPr>
              <w:spacing w:after="200"/>
              <w:ind w:left="601" w:hanging="601"/>
            </w:pPr>
            <w:r w:rsidRPr="004E4188">
              <w:t>24.1</w:t>
            </w:r>
            <w:r w:rsidRPr="004E4188">
              <w:tab/>
              <w:t>Un Soumissionnaire peut préalablement à la date limite de remise des offres, retirer, substituer, ou modifier son offre (technique ou financière) après l’avoir remise, en envoyant une notification écrite, dûment signée par un représentant habilité, assortie d’une copie de la procuration conformément à IS</w:t>
            </w:r>
            <w:r w:rsidR="00460162" w:rsidRPr="004E4188">
              <w:t> </w:t>
            </w:r>
            <w:r w:rsidRPr="004E4188">
              <w:t>20.2 et IS 20.3. La modification ou l’offre de substitution correspondante doit être jointe à la notification écrite. Toutes les notifications doivent être :</w:t>
            </w:r>
          </w:p>
          <w:p w14:paraId="1BA9B395" w14:textId="51B91CF0" w:rsidR="006F129D" w:rsidRPr="004E4188" w:rsidRDefault="006F129D" w:rsidP="00D45EAD">
            <w:pPr>
              <w:suppressAutoHyphens w:val="0"/>
              <w:spacing w:after="200"/>
              <w:ind w:left="1026" w:hanging="425"/>
              <w:rPr>
                <w:spacing w:val="-4"/>
              </w:rPr>
            </w:pPr>
            <w:r w:rsidRPr="004E4188">
              <w:rPr>
                <w:spacing w:val="-4"/>
              </w:rPr>
              <w:t>(a)</w:t>
            </w:r>
            <w:r w:rsidRPr="004E4188">
              <w:rPr>
                <w:spacing w:val="-4"/>
                <w:lang w:eastAsia="ja-JP"/>
              </w:rPr>
              <w:tab/>
            </w:r>
            <w:r w:rsidRPr="004E4188">
              <w:t>préparées et délivrées conformément à IS 2</w:t>
            </w:r>
            <w:r w:rsidRPr="004E4188">
              <w:rPr>
                <w:rFonts w:hint="eastAsia"/>
                <w:lang w:eastAsia="ja-JP"/>
              </w:rPr>
              <w:t>0</w:t>
            </w:r>
            <w:r w:rsidRPr="004E4188">
              <w:t xml:space="preserve"> et IS 21 (sauf pour les notifications de retrait qui ne nécessitent pas de copie). Par ailleurs, les enveloppes extérieures doivent porter clairement, selon le cas, la mention « </w:t>
            </w:r>
            <w:r w:rsidRPr="004E4188">
              <w:rPr>
                <w:smallCaps/>
              </w:rPr>
              <w:t>Retrait</w:t>
            </w:r>
            <w:r w:rsidRPr="004E4188">
              <w:t> », « </w:t>
            </w:r>
            <w:r w:rsidRPr="004E4188">
              <w:rPr>
                <w:smallCaps/>
              </w:rPr>
              <w:t>Substitution</w:t>
            </w:r>
            <w:r w:rsidRPr="004E4188">
              <w:t> » ou « </w:t>
            </w:r>
            <w:r w:rsidRPr="004E4188">
              <w:rPr>
                <w:smallCaps/>
              </w:rPr>
              <w:t>Modification</w:t>
            </w:r>
            <w:r w:rsidRPr="004E4188">
              <w:t xml:space="preserve"> » ; et </w:t>
            </w:r>
          </w:p>
          <w:p w14:paraId="585B2EE6" w14:textId="45981335" w:rsidR="006F129D" w:rsidRPr="004E4188" w:rsidRDefault="006F129D" w:rsidP="00D45EAD">
            <w:pPr>
              <w:suppressAutoHyphens w:val="0"/>
              <w:spacing w:after="200"/>
              <w:ind w:left="1026" w:hanging="425"/>
              <w:rPr>
                <w:spacing w:val="-4"/>
              </w:rPr>
            </w:pPr>
            <w:r w:rsidRPr="004E4188">
              <w:rPr>
                <w:spacing w:val="-4"/>
              </w:rPr>
              <w:t>(b)</w:t>
            </w:r>
            <w:r w:rsidRPr="004E4188">
              <w:rPr>
                <w:spacing w:val="-4"/>
                <w:lang w:eastAsia="ja-JP"/>
              </w:rPr>
              <w:tab/>
            </w:r>
            <w:r w:rsidRPr="004E4188">
              <w:rPr>
                <w:spacing w:val="-4"/>
              </w:rPr>
              <w:t>reçues par le Maître d’ouvrage avant la date et l’heure limites de remise des offres conformément à IS 22.</w:t>
            </w:r>
          </w:p>
        </w:tc>
      </w:tr>
      <w:tr w:rsidR="006F129D" w:rsidRPr="004E4188" w14:paraId="37363047" w14:textId="77777777" w:rsidTr="00D45EAD">
        <w:trPr>
          <w:trHeight w:val="819"/>
        </w:trPr>
        <w:tc>
          <w:tcPr>
            <w:tcW w:w="2273" w:type="dxa"/>
            <w:tcBorders>
              <w:top w:val="nil"/>
              <w:left w:val="nil"/>
              <w:bottom w:val="nil"/>
              <w:right w:val="nil"/>
            </w:tcBorders>
          </w:tcPr>
          <w:p w14:paraId="044CBA74" w14:textId="77777777" w:rsidR="006F129D" w:rsidRPr="004E4188" w:rsidRDefault="006F129D" w:rsidP="00D45EAD">
            <w:bookmarkStart w:id="237" w:name="_Toc438532621"/>
            <w:bookmarkEnd w:id="237"/>
          </w:p>
        </w:tc>
        <w:tc>
          <w:tcPr>
            <w:tcW w:w="7015" w:type="dxa"/>
            <w:tcBorders>
              <w:top w:val="nil"/>
              <w:left w:val="nil"/>
              <w:bottom w:val="nil"/>
              <w:right w:val="nil"/>
            </w:tcBorders>
          </w:tcPr>
          <w:p w14:paraId="0E99A406" w14:textId="1C9BD202" w:rsidR="006F129D" w:rsidRPr="004E4188" w:rsidRDefault="006F129D" w:rsidP="00D45EAD">
            <w:pPr>
              <w:spacing w:after="200"/>
              <w:ind w:left="601" w:hanging="601"/>
            </w:pPr>
            <w:r w:rsidRPr="004E4188">
              <w:t>24.2</w:t>
            </w:r>
            <w:r w:rsidRPr="004E4188">
              <w:tab/>
              <w:t>Les offres dont les Soumissionnaires demandent le retrait conformément à IS 24.1 leur seront renvoyées cachetées.</w:t>
            </w:r>
          </w:p>
        </w:tc>
      </w:tr>
      <w:tr w:rsidR="006F129D" w:rsidRPr="004E4188" w14:paraId="32CE56FB" w14:textId="77777777" w:rsidTr="00D45EAD">
        <w:tc>
          <w:tcPr>
            <w:tcW w:w="2273" w:type="dxa"/>
            <w:tcBorders>
              <w:top w:val="nil"/>
              <w:left w:val="nil"/>
              <w:bottom w:val="nil"/>
              <w:right w:val="nil"/>
            </w:tcBorders>
          </w:tcPr>
          <w:p w14:paraId="34E6F32D" w14:textId="77777777" w:rsidR="006F129D" w:rsidRPr="004E4188" w:rsidRDefault="006F129D" w:rsidP="00D45EAD">
            <w:bookmarkStart w:id="238" w:name="_Toc438532622"/>
            <w:bookmarkEnd w:id="238"/>
          </w:p>
        </w:tc>
        <w:tc>
          <w:tcPr>
            <w:tcW w:w="7015" w:type="dxa"/>
            <w:tcBorders>
              <w:top w:val="nil"/>
              <w:left w:val="nil"/>
              <w:bottom w:val="nil"/>
              <w:right w:val="nil"/>
            </w:tcBorders>
          </w:tcPr>
          <w:p w14:paraId="1B0BE7F5" w14:textId="20D460D5" w:rsidR="006F129D" w:rsidRPr="004E4188" w:rsidRDefault="006F129D" w:rsidP="00D45EAD">
            <w:pPr>
              <w:spacing w:after="200"/>
              <w:ind w:left="601" w:hanging="601"/>
            </w:pPr>
            <w:r w:rsidRPr="004E4188">
              <w:t>24.3</w:t>
            </w:r>
            <w:r w:rsidRPr="004E4188">
              <w:tab/>
              <w:t>Aucune offre ne peut être retirée, substituée ou modifiée entre la date et l’heure limites de remise des offres et l’expiration de la période de validité de l’offre spécifiée par le Soumissionnaire dans les Lettres de soumission de l’Offre Technique et de l’Offre Financière, ou toute prorogation de celle-ci.</w:t>
            </w:r>
          </w:p>
        </w:tc>
      </w:tr>
      <w:tr w:rsidR="006F129D" w:rsidRPr="004E4188" w14:paraId="189D6880" w14:textId="77777777" w:rsidTr="00D45EAD">
        <w:tc>
          <w:tcPr>
            <w:tcW w:w="2273" w:type="dxa"/>
            <w:tcBorders>
              <w:top w:val="nil"/>
              <w:left w:val="nil"/>
              <w:bottom w:val="nil"/>
              <w:right w:val="nil"/>
            </w:tcBorders>
          </w:tcPr>
          <w:p w14:paraId="30EB9EC5" w14:textId="3AAD5743" w:rsidR="006F129D" w:rsidRPr="004E4188" w:rsidRDefault="006F129D" w:rsidP="008A28CD">
            <w:pPr>
              <w:pStyle w:val="S1-Header20"/>
            </w:pPr>
            <w:bookmarkStart w:id="239" w:name="_Toc156373309"/>
            <w:bookmarkStart w:id="240" w:name="_Toc113293314"/>
            <w:r w:rsidRPr="004E4188">
              <w:t>25.</w:t>
            </w:r>
            <w:r w:rsidRPr="004E4188">
              <w:tab/>
              <w:t>Ouverture des</w:t>
            </w:r>
            <w:r w:rsidRPr="004E4188">
              <w:rPr>
                <w:rFonts w:hint="eastAsia"/>
                <w:lang w:eastAsia="ja-JP"/>
              </w:rPr>
              <w:t xml:space="preserve"> </w:t>
            </w:r>
            <w:r w:rsidRPr="004E4188">
              <w:t>offres</w:t>
            </w:r>
            <w:bookmarkEnd w:id="239"/>
            <w:bookmarkEnd w:id="240"/>
            <w:r w:rsidRPr="004E4188">
              <w:t xml:space="preserve"> </w:t>
            </w:r>
          </w:p>
        </w:tc>
        <w:tc>
          <w:tcPr>
            <w:tcW w:w="7015" w:type="dxa"/>
            <w:tcBorders>
              <w:top w:val="nil"/>
              <w:left w:val="nil"/>
              <w:bottom w:val="nil"/>
              <w:right w:val="nil"/>
            </w:tcBorders>
          </w:tcPr>
          <w:p w14:paraId="5A36BF43" w14:textId="40FBE7BF" w:rsidR="006F129D" w:rsidRPr="004E4188" w:rsidRDefault="006F129D" w:rsidP="0064058A">
            <w:pPr>
              <w:tabs>
                <w:tab w:val="left" w:pos="576"/>
              </w:tabs>
              <w:spacing w:after="200"/>
              <w:ind w:left="576" w:hanging="576"/>
              <w:rPr>
                <w:bCs/>
                <w:lang w:eastAsia="ja-JP"/>
              </w:rPr>
            </w:pPr>
            <w:r w:rsidRPr="004E4188">
              <w:t>25.1</w:t>
            </w:r>
            <w:r w:rsidRPr="004E4188">
              <w:tab/>
              <w:t>Sous réserve des dispositions figurant à IS 23 et IS 24,</w:t>
            </w:r>
            <w:r w:rsidRPr="004E4188" w:rsidDel="00C03B1C">
              <w:t xml:space="preserve"> </w:t>
            </w:r>
            <w:r w:rsidRPr="004E4188">
              <w:t xml:space="preserve">le Maître d’ouvrage procédera à l’ouverture en public de toutes les Offres Techniques reçues </w:t>
            </w:r>
            <w:r w:rsidRPr="004E4188">
              <w:rPr>
                <w:spacing w:val="-4"/>
              </w:rPr>
              <w:t>avant la date et l’heure limites et donnera lecture de leur contenu conformément à IS 25.5,</w:t>
            </w:r>
            <w:r w:rsidRPr="004E4188">
              <w:t xml:space="preserve"> à la date, à l’heure et à l’adresse </w:t>
            </w:r>
            <w:r w:rsidRPr="004E4188">
              <w:rPr>
                <w:b/>
              </w:rPr>
              <w:t>indiquées dans les DP</w:t>
            </w:r>
            <w:r w:rsidRPr="004E4188">
              <w:t>, en présence des représentants habilités des Soumissionnaires et de toute autre personne qui souhaite y participer. Les Offres Financières resteront cachetées et seront conservées par le Maître d’ouvrage jusqu’au moment de leur ouverture spécifié conformément à IS 25.7. Les offres variantes, le cas échéant, resteront cachetées conformément à IS</w:t>
            </w:r>
            <w:r w:rsidR="00460162" w:rsidRPr="004E4188">
              <w:t> </w:t>
            </w:r>
            <w:r w:rsidRPr="004E4188">
              <w:t>13.2</w:t>
            </w:r>
            <w:r w:rsidRPr="004E4188">
              <w:rPr>
                <w:rFonts w:hint="eastAsia"/>
                <w:lang w:eastAsia="ja-JP"/>
              </w:rPr>
              <w:t>.</w:t>
            </w:r>
          </w:p>
          <w:p w14:paraId="01544310" w14:textId="77777777" w:rsidR="006F129D" w:rsidRPr="004E4188" w:rsidRDefault="006F129D" w:rsidP="00D45EAD">
            <w:pPr>
              <w:spacing w:after="200"/>
              <w:ind w:left="601" w:hanging="601"/>
            </w:pPr>
            <w:r w:rsidRPr="004E4188">
              <w:rPr>
                <w:lang w:eastAsia="ja-JP"/>
              </w:rPr>
              <w:tab/>
              <w:t>S</w:t>
            </w:r>
            <w:r w:rsidRPr="004E4188">
              <w:rPr>
                <w:lang w:eastAsia="en-US"/>
              </w:rPr>
              <w:t>i l’Offre Technique et l’Offre Financière sont remises dans une même enveloppe, le Maître d’ouvrage peut rejeter la totalité de l’offre</w:t>
            </w:r>
            <w:r w:rsidRPr="004E4188">
              <w:rPr>
                <w:rFonts w:hint="eastAsia"/>
                <w:lang w:eastAsia="ja-JP"/>
              </w:rPr>
              <w:t>.</w:t>
            </w:r>
          </w:p>
        </w:tc>
      </w:tr>
      <w:tr w:rsidR="006F129D" w:rsidRPr="004E4188" w14:paraId="00B0E426" w14:textId="77777777" w:rsidTr="00D45EAD">
        <w:tc>
          <w:tcPr>
            <w:tcW w:w="2273" w:type="dxa"/>
            <w:tcBorders>
              <w:top w:val="nil"/>
              <w:left w:val="nil"/>
              <w:bottom w:val="nil"/>
              <w:right w:val="nil"/>
            </w:tcBorders>
          </w:tcPr>
          <w:p w14:paraId="69BEA601" w14:textId="77777777" w:rsidR="006F129D" w:rsidRPr="004E4188" w:rsidRDefault="006F129D" w:rsidP="00D45EAD">
            <w:bookmarkStart w:id="241" w:name="_Toc438532624"/>
            <w:bookmarkStart w:id="242" w:name="_Toc438532625"/>
            <w:bookmarkEnd w:id="241"/>
            <w:bookmarkEnd w:id="242"/>
          </w:p>
        </w:tc>
        <w:tc>
          <w:tcPr>
            <w:tcW w:w="7015" w:type="dxa"/>
            <w:tcBorders>
              <w:top w:val="nil"/>
              <w:left w:val="nil"/>
              <w:bottom w:val="nil"/>
              <w:right w:val="nil"/>
            </w:tcBorders>
          </w:tcPr>
          <w:p w14:paraId="51F35FD9" w14:textId="08BE4E74" w:rsidR="006F129D" w:rsidRPr="004E4188" w:rsidRDefault="006F129D" w:rsidP="00D45EAD">
            <w:pPr>
              <w:spacing w:after="200"/>
              <w:ind w:left="601" w:hanging="601"/>
            </w:pPr>
            <w:r w:rsidRPr="004E4188">
              <w:t>25.2</w:t>
            </w:r>
            <w:r w:rsidRPr="004E4188">
              <w:rPr>
                <w:lang w:eastAsia="ja-JP"/>
              </w:rPr>
              <w:tab/>
            </w:r>
            <w:r w:rsidRPr="004E4188">
              <w:t>Dans un premier temps, les enveloppes marquées « </w:t>
            </w:r>
            <w:r w:rsidRPr="004E4188">
              <w:rPr>
                <w:smallCaps/>
                <w:spacing w:val="-4"/>
              </w:rPr>
              <w:t>Retrait</w:t>
            </w:r>
            <w:r w:rsidRPr="004E4188">
              <w:t> »   seront ouvertes et leur contenu annoncé à haute voix, et l’enveloppe contenant l’offre correspondante sera renvoyée au Soumissionnaire sans avoir été ouverte. Le retrait d’une offre ne sera permis que si la notification correspondante contient une autorisation valide de demande de retrait et que cette notification est lue à haute voix à l’ouverture des Offres Techniques.</w:t>
            </w:r>
          </w:p>
        </w:tc>
      </w:tr>
      <w:tr w:rsidR="006F129D" w:rsidRPr="004E4188" w14:paraId="078A6628" w14:textId="77777777" w:rsidTr="00D45EAD">
        <w:tc>
          <w:tcPr>
            <w:tcW w:w="2273" w:type="dxa"/>
            <w:tcBorders>
              <w:top w:val="nil"/>
              <w:left w:val="nil"/>
              <w:bottom w:val="nil"/>
              <w:right w:val="nil"/>
            </w:tcBorders>
          </w:tcPr>
          <w:p w14:paraId="1D2D30E4" w14:textId="77777777" w:rsidR="006F129D" w:rsidRPr="004E4188" w:rsidRDefault="006F129D" w:rsidP="00D45EAD"/>
        </w:tc>
        <w:tc>
          <w:tcPr>
            <w:tcW w:w="7015" w:type="dxa"/>
            <w:tcBorders>
              <w:top w:val="nil"/>
              <w:left w:val="nil"/>
              <w:bottom w:val="nil"/>
              <w:right w:val="nil"/>
            </w:tcBorders>
          </w:tcPr>
          <w:p w14:paraId="69B95F50" w14:textId="7A0D3EF8" w:rsidR="006F129D" w:rsidRPr="004E4188" w:rsidRDefault="006F129D" w:rsidP="00D45EAD">
            <w:pPr>
              <w:spacing w:after="200"/>
              <w:ind w:left="601" w:hanging="601"/>
            </w:pPr>
            <w:r w:rsidRPr="004E4188">
              <w:t>25.3</w:t>
            </w:r>
            <w:r w:rsidRPr="004E4188">
              <w:tab/>
              <w:t>Ensuite, les enveloppes extérieures marquées « </w:t>
            </w:r>
            <w:r w:rsidRPr="004E4188">
              <w:rPr>
                <w:smallCaps/>
                <w:spacing w:val="-4"/>
              </w:rPr>
              <w:t>Substitution</w:t>
            </w:r>
            <w:r w:rsidRPr="004E4188">
              <w:t> » seront ouvertes. Les enveloppes intérieures contenant l’Offre Technique de substitution et/ou l’Offre Financière de substitution seront échangées contre les enveloppes correspondantes initialement remises, qui seront renvoyées au Soumissionnaire sans avoir été ouvertes. Seule l’Offre Technique de substitution, le cas échéant, sera ouverte et lue à haute voix. L’Offre Financière de substitution restera cachetée conformément à IS</w:t>
            </w:r>
            <w:r w:rsidR="00460162" w:rsidRPr="004E4188">
              <w:t> </w:t>
            </w:r>
            <w:r w:rsidRPr="004E4188">
              <w:t>25.1. La substitution d’une offre</w:t>
            </w:r>
            <w:r w:rsidRPr="004E4188" w:rsidDel="00832FF7">
              <w:t xml:space="preserve"> </w:t>
            </w:r>
            <w:r w:rsidRPr="004E4188">
              <w:t>ne sera permise que si la notification correspondante contient une autorisation valide de demande de substitution et que cette notification est lue à haute voix à l’ouverture des Offres Techniques.</w:t>
            </w:r>
          </w:p>
        </w:tc>
      </w:tr>
      <w:tr w:rsidR="006F129D" w:rsidRPr="004E4188" w14:paraId="11E2E336" w14:textId="77777777" w:rsidTr="00D45EAD">
        <w:tc>
          <w:tcPr>
            <w:tcW w:w="2273" w:type="dxa"/>
            <w:tcBorders>
              <w:top w:val="nil"/>
              <w:left w:val="nil"/>
              <w:bottom w:val="nil"/>
              <w:right w:val="nil"/>
            </w:tcBorders>
          </w:tcPr>
          <w:p w14:paraId="637DBF7B" w14:textId="77777777" w:rsidR="006F129D" w:rsidRPr="004E4188" w:rsidRDefault="006F129D" w:rsidP="00D45EAD"/>
        </w:tc>
        <w:tc>
          <w:tcPr>
            <w:tcW w:w="7015" w:type="dxa"/>
            <w:tcBorders>
              <w:top w:val="nil"/>
              <w:left w:val="nil"/>
              <w:bottom w:val="nil"/>
              <w:right w:val="nil"/>
            </w:tcBorders>
          </w:tcPr>
          <w:p w14:paraId="6A27BF4D" w14:textId="67C12E7E" w:rsidR="006F129D" w:rsidRPr="004E4188" w:rsidRDefault="006F129D" w:rsidP="00845526">
            <w:pPr>
              <w:spacing w:after="200"/>
              <w:ind w:left="600" w:hangingChars="250" w:hanging="600"/>
            </w:pPr>
            <w:r w:rsidRPr="004E4188">
              <w:t>25.4</w:t>
            </w:r>
            <w:r w:rsidRPr="004E4188">
              <w:tab/>
              <w:t>Finalement, les enveloppes extérieures marquées « </w:t>
            </w:r>
            <w:r w:rsidR="00610FB5" w:rsidRPr="004E4188">
              <w:rPr>
                <w:smallCaps/>
                <w:spacing w:val="-4"/>
              </w:rPr>
              <w:t>M</w:t>
            </w:r>
            <w:r w:rsidRPr="004E4188">
              <w:rPr>
                <w:smallCaps/>
                <w:spacing w:val="-4"/>
              </w:rPr>
              <w:t>odification</w:t>
            </w:r>
            <w:r w:rsidRPr="004E4188">
              <w:t> » seront ouvertes. La modification des Offres</w:t>
            </w:r>
            <w:r w:rsidRPr="004E4188">
              <w:rPr>
                <w:lang w:eastAsia="ja-JP"/>
              </w:rPr>
              <w:t xml:space="preserve"> Techniques et/ou des Offres Financières ne sera permise </w:t>
            </w:r>
            <w:r w:rsidRPr="004E4188">
              <w:t>que si la notification de modification correspondante comporte</w:t>
            </w:r>
            <w:r w:rsidRPr="004E4188">
              <w:rPr>
                <w:rFonts w:hint="eastAsia"/>
                <w:lang w:eastAsia="ja-JP"/>
              </w:rPr>
              <w:t xml:space="preserve"> </w:t>
            </w:r>
            <w:r w:rsidRPr="004E4188">
              <w:t xml:space="preserve">une autorisation valide de demande de modification et que cette notification est lue à haute voix lors de l’ouverture des Offres Techniques. Seules les Offres Techniques, originales et modifiées, seront ouvertes et lues à haute voix </w:t>
            </w:r>
            <w:r w:rsidRPr="004E4188">
              <w:rPr>
                <w:rFonts w:hint="eastAsia"/>
              </w:rPr>
              <w:t>lors de</w:t>
            </w:r>
            <w:r w:rsidRPr="004E4188">
              <w:t xml:space="preserve"> l’ouverture des Offres Techniques. Les Offres Financières, initiales et modifiées, </w:t>
            </w:r>
            <w:r w:rsidR="00845526" w:rsidRPr="004E4188">
              <w:t xml:space="preserve">devront rester </w:t>
            </w:r>
            <w:r w:rsidRPr="004E4188">
              <w:t>cachetées conformément à IS 25.1.</w:t>
            </w:r>
          </w:p>
        </w:tc>
      </w:tr>
      <w:tr w:rsidR="006F129D" w:rsidRPr="004E4188" w14:paraId="65A2E353" w14:textId="77777777" w:rsidTr="00D45EAD">
        <w:tc>
          <w:tcPr>
            <w:tcW w:w="2273" w:type="dxa"/>
            <w:tcBorders>
              <w:top w:val="nil"/>
              <w:left w:val="nil"/>
              <w:bottom w:val="nil"/>
              <w:right w:val="nil"/>
            </w:tcBorders>
          </w:tcPr>
          <w:p w14:paraId="48335A38" w14:textId="77777777" w:rsidR="006F129D" w:rsidRPr="004E4188" w:rsidRDefault="006F129D" w:rsidP="00D45EAD">
            <w:bookmarkStart w:id="243" w:name="_Toc438532626"/>
            <w:bookmarkEnd w:id="243"/>
          </w:p>
        </w:tc>
        <w:tc>
          <w:tcPr>
            <w:tcW w:w="7015" w:type="dxa"/>
            <w:tcBorders>
              <w:top w:val="nil"/>
              <w:left w:val="nil"/>
              <w:bottom w:val="nil"/>
              <w:right w:val="nil"/>
            </w:tcBorders>
          </w:tcPr>
          <w:p w14:paraId="7518FABF" w14:textId="792187CA" w:rsidR="006F129D" w:rsidRPr="004E4188" w:rsidRDefault="006F129D" w:rsidP="005558B9">
            <w:pPr>
              <w:spacing w:after="200"/>
              <w:ind w:left="601" w:hanging="601"/>
            </w:pPr>
            <w:r w:rsidRPr="004E4188">
              <w:t>25.5</w:t>
            </w:r>
            <w:r w:rsidRPr="004E4188">
              <w:tab/>
            </w:r>
            <w:r w:rsidR="00C15A16" w:rsidRPr="004E4188">
              <w:t>T</w:t>
            </w:r>
            <w:r w:rsidRPr="004E4188">
              <w:t>outes les autres enveloppes comprenant les Offres Techniques seront ouvertes l’une après l’autre, annonçant à haute voix :</w:t>
            </w:r>
          </w:p>
          <w:p w14:paraId="5A585A83" w14:textId="77777777" w:rsidR="006F129D" w:rsidRPr="004E4188" w:rsidRDefault="006F129D" w:rsidP="00B54751">
            <w:pPr>
              <w:suppressAutoHyphens w:val="0"/>
              <w:spacing w:after="200"/>
              <w:ind w:left="1026" w:hanging="425"/>
              <w:rPr>
                <w:spacing w:val="-4"/>
              </w:rPr>
            </w:pPr>
            <w:r w:rsidRPr="004E4188">
              <w:rPr>
                <w:lang w:eastAsia="ja-JP"/>
              </w:rPr>
              <w:t>(a)</w:t>
            </w:r>
            <w:r w:rsidRPr="004E4188">
              <w:rPr>
                <w:lang w:eastAsia="ja-JP"/>
              </w:rPr>
              <w:tab/>
            </w:r>
            <w:r w:rsidRPr="004E4188">
              <w:t>l</w:t>
            </w:r>
            <w:r w:rsidRPr="004E4188">
              <w:rPr>
                <w:spacing w:val="-4"/>
              </w:rPr>
              <w:t>e nom du Soumissionnaire ;</w:t>
            </w:r>
          </w:p>
          <w:p w14:paraId="0A952770" w14:textId="16633F6E" w:rsidR="006F129D" w:rsidRPr="004E4188" w:rsidRDefault="006F129D" w:rsidP="00B54751">
            <w:pPr>
              <w:suppressAutoHyphens w:val="0"/>
              <w:spacing w:after="200"/>
              <w:ind w:left="1026" w:hanging="425"/>
              <w:rPr>
                <w:spacing w:val="-4"/>
              </w:rPr>
            </w:pPr>
            <w:r w:rsidRPr="004E4188">
              <w:rPr>
                <w:spacing w:val="-4"/>
                <w:lang w:eastAsia="ja-JP"/>
              </w:rPr>
              <w:t>(b)</w:t>
            </w:r>
            <w:r w:rsidRPr="004E4188">
              <w:rPr>
                <w:spacing w:val="-4"/>
                <w:lang w:eastAsia="ja-JP"/>
              </w:rPr>
              <w:tab/>
            </w:r>
            <w:r w:rsidRPr="004E4188">
              <w:rPr>
                <w:spacing w:val="-4"/>
              </w:rPr>
              <w:t xml:space="preserve">si </w:t>
            </w:r>
            <w:r w:rsidRPr="004E4188">
              <w:t xml:space="preserve">un retrait, une substitution ou </w:t>
            </w:r>
            <w:r w:rsidRPr="004E4188">
              <w:rPr>
                <w:spacing w:val="-4"/>
              </w:rPr>
              <w:t>une modification a été demandé ;</w:t>
            </w:r>
          </w:p>
          <w:p w14:paraId="1716B0FB" w14:textId="77777777" w:rsidR="006F129D" w:rsidRPr="004E4188" w:rsidRDefault="006F129D" w:rsidP="00B54751">
            <w:pPr>
              <w:suppressAutoHyphens w:val="0"/>
              <w:spacing w:after="200"/>
              <w:ind w:left="1026" w:hanging="425"/>
              <w:rPr>
                <w:spacing w:val="-4"/>
              </w:rPr>
            </w:pPr>
            <w:r w:rsidRPr="004E4188">
              <w:rPr>
                <w:spacing w:val="-4"/>
                <w:lang w:eastAsia="ja-JP"/>
              </w:rPr>
              <w:t>(c)</w:t>
            </w:r>
            <w:r w:rsidRPr="004E4188">
              <w:rPr>
                <w:spacing w:val="-4"/>
                <w:lang w:eastAsia="ja-JP"/>
              </w:rPr>
              <w:tab/>
            </w:r>
            <w:r w:rsidRPr="004E4188">
              <w:t>si une offre variante a été proposée sans ouvrir son enveloppe ;</w:t>
            </w:r>
          </w:p>
          <w:p w14:paraId="5C9056FD" w14:textId="298E9783" w:rsidR="006F129D" w:rsidRPr="004E4188" w:rsidRDefault="006F129D" w:rsidP="00B54751">
            <w:pPr>
              <w:suppressAutoHyphens w:val="0"/>
              <w:spacing w:after="200"/>
              <w:ind w:left="1026" w:hanging="425"/>
              <w:rPr>
                <w:spacing w:val="-4"/>
              </w:rPr>
            </w:pPr>
            <w:r w:rsidRPr="004E4188">
              <w:rPr>
                <w:spacing w:val="-4"/>
                <w:lang w:eastAsia="ja-JP"/>
              </w:rPr>
              <w:t>(d)</w:t>
            </w:r>
            <w:r w:rsidRPr="004E4188">
              <w:rPr>
                <w:spacing w:val="-4"/>
                <w:lang w:eastAsia="ja-JP"/>
              </w:rPr>
              <w:tab/>
            </w:r>
            <w:r w:rsidRPr="004E4188">
              <w:rPr>
                <w:spacing w:val="-4"/>
              </w:rPr>
              <w:t>la présence ou l’absence de la garantie de soumission ; et</w:t>
            </w:r>
          </w:p>
          <w:p w14:paraId="2865FE87" w14:textId="5E574844" w:rsidR="006F129D" w:rsidRPr="004E4188" w:rsidRDefault="006F129D" w:rsidP="00B54751">
            <w:pPr>
              <w:suppressAutoHyphens w:val="0"/>
              <w:spacing w:after="200"/>
              <w:ind w:left="1026" w:hanging="425"/>
            </w:pPr>
            <w:r w:rsidRPr="004E4188">
              <w:rPr>
                <w:spacing w:val="-4"/>
                <w:lang w:eastAsia="ja-JP"/>
              </w:rPr>
              <w:t>(e)</w:t>
            </w:r>
            <w:r w:rsidRPr="004E4188">
              <w:rPr>
                <w:spacing w:val="-4"/>
                <w:lang w:eastAsia="ja-JP"/>
              </w:rPr>
              <w:tab/>
            </w:r>
            <w:r w:rsidRPr="004E4188">
              <w:rPr>
                <w:spacing w:val="-4"/>
              </w:rPr>
              <w:t>t</w:t>
            </w:r>
            <w:r w:rsidRPr="004E4188">
              <w:t>out autre détail que le Maître d’ouvrage jugera bon d’annoncer.</w:t>
            </w:r>
          </w:p>
          <w:p w14:paraId="6BE259FB" w14:textId="1B4C71E9" w:rsidR="006F129D" w:rsidRPr="004E4188" w:rsidRDefault="006F129D" w:rsidP="00D45EAD">
            <w:pPr>
              <w:spacing w:after="200"/>
              <w:ind w:left="601"/>
            </w:pPr>
            <w:r w:rsidRPr="004E4188">
              <w:t>Seules les Offres Techniques annoncées à haute voix à l’ouverture des Offres Techniques seront prises en compte lors de l’évaluation. Le Maître d’ouvrage ne doit ni discuter des mérites d’une offre, ni rejeter une offre (à l’exception des offres hors délai, conformément à IS 23.1).</w:t>
            </w:r>
          </w:p>
        </w:tc>
      </w:tr>
      <w:tr w:rsidR="006F129D" w:rsidRPr="004E4188" w14:paraId="0CA2A92C" w14:textId="77777777" w:rsidTr="00D45EAD">
        <w:tc>
          <w:tcPr>
            <w:tcW w:w="2273" w:type="dxa"/>
            <w:tcBorders>
              <w:top w:val="nil"/>
              <w:left w:val="nil"/>
              <w:bottom w:val="nil"/>
              <w:right w:val="nil"/>
            </w:tcBorders>
          </w:tcPr>
          <w:p w14:paraId="34F7CBC8" w14:textId="77777777" w:rsidR="006F129D" w:rsidRPr="004E4188" w:rsidRDefault="006F129D" w:rsidP="00D45EAD"/>
        </w:tc>
        <w:tc>
          <w:tcPr>
            <w:tcW w:w="7015" w:type="dxa"/>
            <w:tcBorders>
              <w:top w:val="nil"/>
              <w:left w:val="nil"/>
              <w:bottom w:val="nil"/>
              <w:right w:val="nil"/>
            </w:tcBorders>
          </w:tcPr>
          <w:p w14:paraId="21518F53" w14:textId="5EBAA56D" w:rsidR="006F129D" w:rsidRPr="004E4188" w:rsidRDefault="006F129D" w:rsidP="00A373CC">
            <w:pPr>
              <w:pStyle w:val="StyleHeader1-ClausesAfter0pt"/>
              <w:spacing w:after="180"/>
              <w:ind w:left="601" w:hanging="601"/>
              <w:rPr>
                <w:lang w:val="fr-FR"/>
              </w:rPr>
            </w:pPr>
            <w:r w:rsidRPr="004E4188">
              <w:rPr>
                <w:lang w:val="fr-FR"/>
              </w:rPr>
              <w:t>25.6</w:t>
            </w:r>
            <w:r w:rsidRPr="004E4188">
              <w:rPr>
                <w:lang w:val="fr-FR"/>
              </w:rPr>
              <w:tab/>
              <w:t xml:space="preserve">Le Maître d’ouvrage établira le procès-verbal de la séance d’ouverture des Offres Techniques, qui comportera au minimum : </w:t>
            </w:r>
          </w:p>
          <w:p w14:paraId="50F42A8F" w14:textId="39691FC3" w:rsidR="006F129D" w:rsidRPr="004E4188" w:rsidRDefault="006F129D" w:rsidP="00B54751">
            <w:pPr>
              <w:pStyle w:val="P3Header1-Clauses"/>
              <w:tabs>
                <w:tab w:val="clear" w:pos="432"/>
                <w:tab w:val="clear" w:pos="864"/>
                <w:tab w:val="left" w:pos="1006"/>
              </w:tabs>
              <w:overflowPunct/>
              <w:autoSpaceDE/>
              <w:autoSpaceDN/>
              <w:adjustRightInd/>
              <w:spacing w:after="200"/>
              <w:ind w:left="1026" w:hanging="425"/>
              <w:jc w:val="both"/>
              <w:textAlignment w:val="auto"/>
              <w:rPr>
                <w:b w:val="0"/>
                <w:lang w:val="fr-FR" w:eastAsia="en-US"/>
              </w:rPr>
            </w:pPr>
            <w:r w:rsidRPr="004E4188">
              <w:rPr>
                <w:b w:val="0"/>
                <w:lang w:val="fr-FR"/>
              </w:rPr>
              <w:t>(</w:t>
            </w:r>
            <w:r w:rsidRPr="004E4188">
              <w:rPr>
                <w:b w:val="0"/>
                <w:lang w:val="fr-FR" w:eastAsia="en-US"/>
              </w:rPr>
              <w:t>a)</w:t>
            </w:r>
            <w:r w:rsidRPr="004E4188">
              <w:rPr>
                <w:b w:val="0"/>
                <w:lang w:val="fr-FR"/>
              </w:rPr>
              <w:t xml:space="preserve"> </w:t>
            </w:r>
            <w:r w:rsidRPr="004E4188">
              <w:rPr>
                <w:b w:val="0"/>
                <w:lang w:val="fr-FR"/>
              </w:rPr>
              <w:tab/>
            </w:r>
            <w:r w:rsidRPr="004E4188">
              <w:rPr>
                <w:b w:val="0"/>
                <w:lang w:val="fr-FR" w:eastAsia="en-US"/>
              </w:rPr>
              <w:t>le nom du Soumissionnaire ;</w:t>
            </w:r>
          </w:p>
          <w:p w14:paraId="42118DC2" w14:textId="0967FBCD" w:rsidR="006F129D" w:rsidRPr="004E4188" w:rsidRDefault="006F129D" w:rsidP="00B54751">
            <w:pPr>
              <w:pStyle w:val="P3Header1-Clauses"/>
              <w:tabs>
                <w:tab w:val="clear" w:pos="432"/>
                <w:tab w:val="clear" w:pos="864"/>
                <w:tab w:val="left" w:pos="1006"/>
              </w:tabs>
              <w:overflowPunct/>
              <w:autoSpaceDE/>
              <w:autoSpaceDN/>
              <w:adjustRightInd/>
              <w:spacing w:after="200"/>
              <w:ind w:left="1026" w:hanging="425"/>
              <w:jc w:val="both"/>
              <w:textAlignment w:val="auto"/>
              <w:rPr>
                <w:b w:val="0"/>
                <w:lang w:val="fr-FR" w:eastAsia="en-US"/>
              </w:rPr>
            </w:pPr>
            <w:r w:rsidRPr="004E4188">
              <w:rPr>
                <w:b w:val="0"/>
                <w:lang w:val="fr-FR" w:eastAsia="en-US"/>
              </w:rPr>
              <w:t>(b)</w:t>
            </w:r>
            <w:r w:rsidRPr="004E4188">
              <w:rPr>
                <w:b w:val="0"/>
                <w:lang w:val="fr-FR"/>
              </w:rPr>
              <w:t xml:space="preserve"> </w:t>
            </w:r>
            <w:r w:rsidRPr="004E4188">
              <w:rPr>
                <w:b w:val="0"/>
                <w:lang w:val="fr-FR"/>
              </w:rPr>
              <w:tab/>
            </w:r>
            <w:r w:rsidRPr="004E4188">
              <w:rPr>
                <w:b w:val="0"/>
                <w:lang w:val="fr-FR" w:eastAsia="en-US"/>
              </w:rPr>
              <w:t>s’il y a retrait, substitution ou modification de l’offre ;</w:t>
            </w:r>
          </w:p>
          <w:p w14:paraId="36783534" w14:textId="75338BF6" w:rsidR="006F129D" w:rsidRPr="004E4188" w:rsidRDefault="006F129D" w:rsidP="00B54751">
            <w:pPr>
              <w:pStyle w:val="P3Header1-Clauses"/>
              <w:tabs>
                <w:tab w:val="clear" w:pos="432"/>
                <w:tab w:val="clear" w:pos="864"/>
                <w:tab w:val="left" w:pos="1006"/>
              </w:tabs>
              <w:overflowPunct/>
              <w:autoSpaceDE/>
              <w:autoSpaceDN/>
              <w:adjustRightInd/>
              <w:spacing w:after="200"/>
              <w:ind w:left="1026" w:hanging="425"/>
              <w:jc w:val="both"/>
              <w:textAlignment w:val="auto"/>
              <w:rPr>
                <w:b w:val="0"/>
                <w:lang w:val="fr-FR" w:eastAsia="en-US"/>
              </w:rPr>
            </w:pPr>
            <w:r w:rsidRPr="004E4188">
              <w:rPr>
                <w:b w:val="0"/>
                <w:lang w:val="fr-FR" w:eastAsia="en-US"/>
              </w:rPr>
              <w:t>(c)</w:t>
            </w:r>
            <w:r w:rsidRPr="004E4188">
              <w:rPr>
                <w:b w:val="0"/>
                <w:lang w:val="fr-FR"/>
              </w:rPr>
              <w:t xml:space="preserve"> </w:t>
            </w:r>
            <w:r w:rsidRPr="004E4188">
              <w:rPr>
                <w:b w:val="0"/>
                <w:lang w:val="fr-FR"/>
              </w:rPr>
              <w:tab/>
            </w:r>
            <w:r w:rsidRPr="004E4188">
              <w:rPr>
                <w:b w:val="0"/>
                <w:lang w:val="fr-FR" w:eastAsia="en-US"/>
              </w:rPr>
              <w:t>les variantes proposées ; et</w:t>
            </w:r>
          </w:p>
          <w:p w14:paraId="3C9DCAAE" w14:textId="558D47D0" w:rsidR="006F129D" w:rsidRPr="004E4188" w:rsidRDefault="006F129D" w:rsidP="00B54751">
            <w:pPr>
              <w:pStyle w:val="P3Header1-Clauses"/>
              <w:tabs>
                <w:tab w:val="clear" w:pos="432"/>
                <w:tab w:val="clear" w:pos="864"/>
                <w:tab w:val="left" w:pos="1006"/>
              </w:tabs>
              <w:overflowPunct/>
              <w:autoSpaceDE/>
              <w:autoSpaceDN/>
              <w:adjustRightInd/>
              <w:spacing w:after="200"/>
              <w:ind w:left="1026" w:hanging="425"/>
              <w:jc w:val="both"/>
              <w:textAlignment w:val="auto"/>
              <w:rPr>
                <w:b w:val="0"/>
                <w:lang w:val="fr-FR" w:eastAsia="en-US"/>
              </w:rPr>
            </w:pPr>
            <w:r w:rsidRPr="004E4188">
              <w:rPr>
                <w:b w:val="0"/>
                <w:lang w:val="fr-FR" w:eastAsia="en-US"/>
              </w:rPr>
              <w:t>(d)</w:t>
            </w:r>
            <w:r w:rsidRPr="004E4188">
              <w:rPr>
                <w:b w:val="0"/>
                <w:lang w:val="fr-FR"/>
              </w:rPr>
              <w:t xml:space="preserve"> </w:t>
            </w:r>
            <w:r w:rsidRPr="004E4188">
              <w:rPr>
                <w:b w:val="0"/>
                <w:lang w:val="fr-FR"/>
              </w:rPr>
              <w:tab/>
            </w:r>
            <w:r w:rsidRPr="004E4188">
              <w:rPr>
                <w:b w:val="0"/>
                <w:lang w:val="fr-FR" w:eastAsia="en-US"/>
              </w:rPr>
              <w:t xml:space="preserve">la présence ou l’absence de la garantie de soumission. </w:t>
            </w:r>
          </w:p>
          <w:p w14:paraId="0C75574C" w14:textId="77777777" w:rsidR="006F129D" w:rsidRPr="004E4188" w:rsidRDefault="006F129D" w:rsidP="0064058A">
            <w:pPr>
              <w:tabs>
                <w:tab w:val="left" w:pos="1006"/>
              </w:tabs>
              <w:spacing w:after="200"/>
              <w:ind w:left="601"/>
            </w:pPr>
            <w:r w:rsidRPr="004E4188">
              <w:t xml:space="preserve">Il sera demandé aux représentants des Soumissionnaires présents de signer le procès-verbal. </w:t>
            </w:r>
            <w:r w:rsidRPr="004E4188">
              <w:rPr>
                <w:szCs w:val="24"/>
              </w:rPr>
              <w:t xml:space="preserve">L’omission de la signature d’un Soumissionnaire sur le procès-verbal n’invalide ni son contenu, ni sa portée. </w:t>
            </w:r>
            <w:r w:rsidRPr="004E4188">
              <w:t>Un exemplaire du procès-verbal sera distribué à tous les Soumissionnaires</w:t>
            </w:r>
            <w:r w:rsidRPr="004E4188">
              <w:rPr>
                <w:szCs w:val="24"/>
              </w:rPr>
              <w:t xml:space="preserve"> qui ont soumis une offre en temps voulu, et à la JICA</w:t>
            </w:r>
            <w:r w:rsidRPr="004E4188">
              <w:t>.</w:t>
            </w:r>
          </w:p>
        </w:tc>
      </w:tr>
      <w:tr w:rsidR="006F129D" w:rsidRPr="004E4188" w14:paraId="78249DE6" w14:textId="77777777" w:rsidTr="00D45EAD">
        <w:tc>
          <w:tcPr>
            <w:tcW w:w="2273" w:type="dxa"/>
            <w:tcBorders>
              <w:top w:val="nil"/>
              <w:left w:val="nil"/>
              <w:bottom w:val="nil"/>
              <w:right w:val="nil"/>
            </w:tcBorders>
          </w:tcPr>
          <w:p w14:paraId="5740B70D" w14:textId="77777777" w:rsidR="006F129D" w:rsidRPr="004E4188" w:rsidRDefault="006F129D" w:rsidP="00D45EAD"/>
        </w:tc>
        <w:tc>
          <w:tcPr>
            <w:tcW w:w="7015" w:type="dxa"/>
            <w:tcBorders>
              <w:top w:val="nil"/>
              <w:left w:val="nil"/>
              <w:bottom w:val="nil"/>
              <w:right w:val="nil"/>
            </w:tcBorders>
          </w:tcPr>
          <w:p w14:paraId="68BB6528" w14:textId="788519ED" w:rsidR="006F129D" w:rsidRPr="004E4188" w:rsidRDefault="006F129D" w:rsidP="00845526">
            <w:pPr>
              <w:spacing w:after="200"/>
              <w:ind w:left="601" w:hanging="601"/>
            </w:pPr>
            <w:r w:rsidRPr="004E4188">
              <w:rPr>
                <w:lang w:eastAsia="ja-JP"/>
              </w:rPr>
              <w:t>25.7</w:t>
            </w:r>
            <w:r w:rsidRPr="004E4188">
              <w:rPr>
                <w:lang w:eastAsia="ja-JP"/>
              </w:rPr>
              <w:tab/>
            </w:r>
            <w:r w:rsidR="00845526" w:rsidRPr="004E4188">
              <w:rPr>
                <w:szCs w:val="24"/>
              </w:rPr>
              <w:t xml:space="preserve">À </w:t>
            </w:r>
            <w:r w:rsidRPr="004E4188">
              <w:rPr>
                <w:szCs w:val="24"/>
              </w:rPr>
              <w:t>l’</w:t>
            </w:r>
            <w:r w:rsidRPr="004E4188">
              <w:t>issue</w:t>
            </w:r>
            <w:r w:rsidRPr="004E4188">
              <w:rPr>
                <w:szCs w:val="24"/>
              </w:rPr>
              <w:t xml:space="preserve"> de l’évaluation des Offres Techniques, le Maître d’ouvrage invitera les Soumissionnaires dont l’Offre Technique aura été jugée substantiellement conforme et qui auront été jugés qualifiés pour exécuter le Marché à participer à l’ouverture des Offres Financières. La date, l’heure et le lieu de l’ouverture des Offres Financières seront annoncés par écrit par le Maître d’ouvrage. La date d’ouverture devra être fixée de telle sorte que les Soumissionnaires puissent disposer de suffisamment de temps pour s’organiser afin de participer à l’ouverture des Offres Financières.</w:t>
            </w:r>
          </w:p>
        </w:tc>
      </w:tr>
      <w:tr w:rsidR="006F129D" w:rsidRPr="004E4188" w14:paraId="6F30FA03" w14:textId="77777777" w:rsidTr="00D45EAD">
        <w:tc>
          <w:tcPr>
            <w:tcW w:w="2273" w:type="dxa"/>
            <w:tcBorders>
              <w:top w:val="nil"/>
              <w:left w:val="nil"/>
              <w:bottom w:val="nil"/>
              <w:right w:val="nil"/>
            </w:tcBorders>
          </w:tcPr>
          <w:p w14:paraId="2FCA6FC0" w14:textId="77777777" w:rsidR="006F129D" w:rsidRPr="004E4188" w:rsidRDefault="006F129D" w:rsidP="00D45EAD"/>
        </w:tc>
        <w:tc>
          <w:tcPr>
            <w:tcW w:w="7015" w:type="dxa"/>
            <w:tcBorders>
              <w:top w:val="nil"/>
              <w:left w:val="nil"/>
              <w:bottom w:val="nil"/>
              <w:right w:val="nil"/>
            </w:tcBorders>
          </w:tcPr>
          <w:p w14:paraId="042DE182" w14:textId="77ED3188" w:rsidR="006F129D" w:rsidRPr="004E4188" w:rsidRDefault="006F129D" w:rsidP="00D45EAD">
            <w:pPr>
              <w:spacing w:after="200"/>
              <w:ind w:left="601" w:hanging="601"/>
              <w:rPr>
                <w:lang w:eastAsia="ja-JP"/>
              </w:rPr>
            </w:pPr>
            <w:r w:rsidRPr="004E4188">
              <w:t>25.8</w:t>
            </w:r>
            <w:r w:rsidRPr="004E4188">
              <w:rPr>
                <w:lang w:eastAsia="ja-JP"/>
              </w:rPr>
              <w:tab/>
            </w:r>
            <w:r w:rsidRPr="004E4188">
              <w:t>Le Maître d’ouvrage notifiera par écrit</w:t>
            </w:r>
            <w:r w:rsidRPr="004E4188">
              <w:rPr>
                <w:szCs w:val="24"/>
              </w:rPr>
              <w:t xml:space="preserve"> aux Soumissionnaires dont l’Offre Technique aura été jugée non substantiellement conforme aux exigences du Dossier d’appel d’offres le rejet de leur offre et/ou qui ont été déclarés comme étant disqualifiés pour l’attribution, et retournera leur Offre Financière cachetée, ainsi que leur garantie de soumission.</w:t>
            </w:r>
          </w:p>
        </w:tc>
      </w:tr>
      <w:tr w:rsidR="006F129D" w:rsidRPr="004E4188" w14:paraId="65952CB6" w14:textId="77777777" w:rsidTr="00D45EAD">
        <w:tc>
          <w:tcPr>
            <w:tcW w:w="2273" w:type="dxa"/>
            <w:tcBorders>
              <w:top w:val="nil"/>
              <w:left w:val="nil"/>
              <w:bottom w:val="nil"/>
              <w:right w:val="nil"/>
            </w:tcBorders>
          </w:tcPr>
          <w:p w14:paraId="44F4315C" w14:textId="77777777" w:rsidR="006F129D" w:rsidRPr="004E4188" w:rsidRDefault="006F129D" w:rsidP="00D45EAD"/>
        </w:tc>
        <w:tc>
          <w:tcPr>
            <w:tcW w:w="7015" w:type="dxa"/>
            <w:tcBorders>
              <w:top w:val="nil"/>
              <w:left w:val="nil"/>
              <w:bottom w:val="nil"/>
              <w:right w:val="nil"/>
            </w:tcBorders>
          </w:tcPr>
          <w:p w14:paraId="67168264" w14:textId="61922611" w:rsidR="006F129D" w:rsidRPr="004E4188" w:rsidRDefault="006F129D" w:rsidP="00D45EAD">
            <w:pPr>
              <w:spacing w:after="200"/>
              <w:ind w:left="601" w:hanging="601"/>
            </w:pPr>
            <w:r w:rsidRPr="004E4188">
              <w:rPr>
                <w:szCs w:val="24"/>
              </w:rPr>
              <w:t>25.9</w:t>
            </w:r>
            <w:r w:rsidRPr="004E4188">
              <w:rPr>
                <w:lang w:eastAsia="ja-JP"/>
              </w:rPr>
              <w:tab/>
            </w:r>
            <w:r w:rsidRPr="004E4188">
              <w:rPr>
                <w:szCs w:val="24"/>
              </w:rPr>
              <w:t>Le Maître d’ouvrage procédera à l’ouverture des Offres Financières de tous les Soumissionnaires dont l’Offre Technique aura été jugée substantiellement conforme et qui ont été déclarés comme étant qualifiés pour l’attribution, en présence des représentants des Soumissionnaires qui souhaitent y assister, à la date, à l’heure et à l’adresse spécifiées par le Maître d’ouvrage. Il sera demandé aux représentants des Soumissionnaires présents de signer un registre pour témoigner leur présence.</w:t>
            </w:r>
          </w:p>
        </w:tc>
      </w:tr>
      <w:tr w:rsidR="006F129D" w:rsidRPr="004E4188" w14:paraId="2CA33871" w14:textId="77777777" w:rsidTr="00D45EAD">
        <w:tc>
          <w:tcPr>
            <w:tcW w:w="2273" w:type="dxa"/>
            <w:tcBorders>
              <w:top w:val="nil"/>
              <w:left w:val="nil"/>
              <w:bottom w:val="nil"/>
              <w:right w:val="nil"/>
            </w:tcBorders>
          </w:tcPr>
          <w:p w14:paraId="26E14206" w14:textId="77777777" w:rsidR="006F129D" w:rsidRPr="004E4188" w:rsidRDefault="006F129D" w:rsidP="00D45EAD"/>
        </w:tc>
        <w:tc>
          <w:tcPr>
            <w:tcW w:w="7015" w:type="dxa"/>
            <w:tcBorders>
              <w:top w:val="nil"/>
              <w:left w:val="nil"/>
              <w:bottom w:val="nil"/>
              <w:right w:val="nil"/>
            </w:tcBorders>
          </w:tcPr>
          <w:p w14:paraId="2AAE95FB" w14:textId="3ECB372A" w:rsidR="006F129D" w:rsidRPr="004E4188" w:rsidRDefault="006F129D" w:rsidP="00D45EAD">
            <w:pPr>
              <w:spacing w:after="200"/>
              <w:ind w:left="601" w:hanging="601"/>
            </w:pPr>
            <w:r w:rsidRPr="004E4188">
              <w:t>25.10</w:t>
            </w:r>
            <w:r w:rsidRPr="004E4188">
              <w:tab/>
              <w:t>Toutes les enveloppes contenant les Offres Financières seront ouvertes l’une après l’autre, annonçant à haute voix :</w:t>
            </w:r>
          </w:p>
          <w:p w14:paraId="06BC81B3" w14:textId="77777777" w:rsidR="006F129D" w:rsidRPr="004E4188" w:rsidRDefault="006F129D" w:rsidP="00D45EAD">
            <w:pPr>
              <w:suppressAutoHyphens w:val="0"/>
              <w:spacing w:after="200"/>
              <w:ind w:left="1026" w:hanging="425"/>
              <w:rPr>
                <w:spacing w:val="-4"/>
              </w:rPr>
            </w:pPr>
            <w:r w:rsidRPr="004E4188">
              <w:t>(a)</w:t>
            </w:r>
            <w:r w:rsidRPr="004E4188">
              <w:tab/>
              <w:t>le n</w:t>
            </w:r>
            <w:r w:rsidRPr="004E4188">
              <w:rPr>
                <w:spacing w:val="-4"/>
              </w:rPr>
              <w:t>om du Soumissionnaire ;</w:t>
            </w:r>
          </w:p>
          <w:p w14:paraId="08C85665" w14:textId="2540976E" w:rsidR="006F129D" w:rsidRPr="004E4188" w:rsidRDefault="006F129D" w:rsidP="00D45EAD">
            <w:pPr>
              <w:suppressAutoHyphens w:val="0"/>
              <w:spacing w:after="200"/>
              <w:ind w:left="1026" w:hanging="425"/>
              <w:rPr>
                <w:spacing w:val="-4"/>
              </w:rPr>
            </w:pPr>
            <w:r w:rsidRPr="004E4188">
              <w:rPr>
                <w:spacing w:val="-4"/>
              </w:rPr>
              <w:t>(b)</w:t>
            </w:r>
            <w:r w:rsidRPr="004E4188">
              <w:rPr>
                <w:spacing w:val="-4"/>
              </w:rPr>
              <w:tab/>
              <w:t xml:space="preserve">si </w:t>
            </w:r>
            <w:r w:rsidRPr="004E4188">
              <w:t>un retrait, une substitution ou</w:t>
            </w:r>
            <w:r w:rsidRPr="004E4188">
              <w:rPr>
                <w:spacing w:val="-4"/>
              </w:rPr>
              <w:t xml:space="preserve"> une modification a été demandé ;</w:t>
            </w:r>
          </w:p>
          <w:p w14:paraId="08A7142C" w14:textId="77777777" w:rsidR="006F129D" w:rsidRPr="004E4188" w:rsidRDefault="006F129D" w:rsidP="00D45EAD">
            <w:pPr>
              <w:suppressAutoHyphens w:val="0"/>
              <w:spacing w:after="200"/>
              <w:ind w:left="1026" w:hanging="425"/>
              <w:rPr>
                <w:spacing w:val="-4"/>
              </w:rPr>
            </w:pPr>
            <w:r w:rsidRPr="004E4188">
              <w:rPr>
                <w:spacing w:val="-4"/>
              </w:rPr>
              <w:t>(c)</w:t>
            </w:r>
            <w:r w:rsidRPr="004E4188">
              <w:rPr>
                <w:spacing w:val="-4"/>
              </w:rPr>
              <w:tab/>
              <w:t>le Montant de l’offre, y compris les rabais et variantes,</w:t>
            </w:r>
            <w:r w:rsidRPr="004E4188">
              <w:t xml:space="preserve"> et dans le cas d’un appel d’offres lancé pour des lots multiples, le montant de chaque lot ainsi que la somme des montants de tous les lots, y compris les rabais</w:t>
            </w:r>
            <w:r w:rsidRPr="004E4188">
              <w:rPr>
                <w:spacing w:val="-4"/>
              </w:rPr>
              <w:t xml:space="preserve"> ; et </w:t>
            </w:r>
          </w:p>
          <w:p w14:paraId="0CBD874C" w14:textId="77777777" w:rsidR="006F129D" w:rsidRPr="004E4188" w:rsidRDefault="006F129D" w:rsidP="00D45EAD">
            <w:pPr>
              <w:suppressAutoHyphens w:val="0"/>
              <w:spacing w:after="200"/>
              <w:ind w:left="1026" w:hanging="425"/>
            </w:pPr>
            <w:r w:rsidRPr="004E4188">
              <w:rPr>
                <w:spacing w:val="-4"/>
              </w:rPr>
              <w:t>(d)</w:t>
            </w:r>
            <w:r w:rsidRPr="004E4188">
              <w:rPr>
                <w:spacing w:val="-4"/>
              </w:rPr>
              <w:tab/>
              <w:t xml:space="preserve">tout </w:t>
            </w:r>
            <w:r w:rsidRPr="004E4188">
              <w:t>autre détail que le Maître d’ouvrage jugera bon d’annoncer.</w:t>
            </w:r>
          </w:p>
          <w:p w14:paraId="5DFC21A2" w14:textId="643EAAC7" w:rsidR="006F129D" w:rsidRPr="004E4188" w:rsidRDefault="006F129D" w:rsidP="00D45EAD">
            <w:pPr>
              <w:spacing w:after="200"/>
              <w:ind w:left="601"/>
            </w:pPr>
            <w:r w:rsidRPr="004E4188">
              <w:t>Seul</w:t>
            </w:r>
            <w:r w:rsidR="002F4830" w:rsidRPr="004E4188">
              <w:t>e</w:t>
            </w:r>
            <w:r w:rsidRPr="004E4188">
              <w:t xml:space="preserve">s </w:t>
            </w:r>
            <w:r w:rsidRPr="004E4188">
              <w:rPr>
                <w:szCs w:val="24"/>
              </w:rPr>
              <w:t>les Offres Financières</w:t>
            </w:r>
            <w:r w:rsidRPr="004E4188">
              <w:t xml:space="preserve"> et les rabais des </w:t>
            </w:r>
            <w:r w:rsidRPr="004E4188">
              <w:rPr>
                <w:szCs w:val="24"/>
              </w:rPr>
              <w:t xml:space="preserve">Offres Financières </w:t>
            </w:r>
            <w:r w:rsidRPr="004E4188">
              <w:t>annoncés à haute voix et enregistrés lors de l’ouverture des Offres Financières seront pris en compte aux fins de l’évaluation. Le Maître d’ouvrage ne doit ni discuter des mérites d’une Offre Financière, ni rejeter une Offre Financière à l’ouverture des Offres Financières.</w:t>
            </w:r>
          </w:p>
        </w:tc>
      </w:tr>
      <w:tr w:rsidR="006F129D" w:rsidRPr="004E4188" w14:paraId="2CC5CCAD" w14:textId="77777777" w:rsidTr="00D45EAD">
        <w:tc>
          <w:tcPr>
            <w:tcW w:w="2273" w:type="dxa"/>
            <w:tcBorders>
              <w:top w:val="nil"/>
              <w:left w:val="nil"/>
              <w:bottom w:val="nil"/>
              <w:right w:val="nil"/>
            </w:tcBorders>
          </w:tcPr>
          <w:p w14:paraId="0CB912CF" w14:textId="77777777" w:rsidR="006F129D" w:rsidRPr="004E4188" w:rsidRDefault="006F129D" w:rsidP="00D45EAD">
            <w:bookmarkStart w:id="244" w:name="_Toc438532627"/>
            <w:bookmarkEnd w:id="244"/>
          </w:p>
        </w:tc>
        <w:tc>
          <w:tcPr>
            <w:tcW w:w="7015" w:type="dxa"/>
            <w:tcBorders>
              <w:top w:val="nil"/>
              <w:left w:val="nil"/>
              <w:bottom w:val="nil"/>
              <w:right w:val="nil"/>
            </w:tcBorders>
          </w:tcPr>
          <w:p w14:paraId="331334D0" w14:textId="4F69E31F" w:rsidR="006F129D" w:rsidRPr="004E4188" w:rsidRDefault="006F129D" w:rsidP="00D45EAD">
            <w:pPr>
              <w:spacing w:after="200"/>
              <w:ind w:left="601" w:hanging="601"/>
              <w:rPr>
                <w:szCs w:val="24"/>
              </w:rPr>
            </w:pPr>
            <w:r w:rsidRPr="004E4188">
              <w:rPr>
                <w:szCs w:val="24"/>
                <w:lang w:eastAsia="ja-JP"/>
              </w:rPr>
              <w:t>25.11</w:t>
            </w:r>
            <w:r w:rsidRPr="004E4188">
              <w:rPr>
                <w:szCs w:val="24"/>
                <w:lang w:eastAsia="ja-JP"/>
              </w:rPr>
              <w:tab/>
            </w:r>
            <w:r w:rsidRPr="004E4188">
              <w:rPr>
                <w:szCs w:val="24"/>
              </w:rPr>
              <w:t>Le Maître d’ouvrage établira un procès-verbal de la séance d’</w:t>
            </w:r>
            <w:r w:rsidRPr="004E4188">
              <w:t>ouverture</w:t>
            </w:r>
            <w:r w:rsidRPr="004E4188">
              <w:rPr>
                <w:szCs w:val="24"/>
              </w:rPr>
              <w:t xml:space="preserve"> des Offres Financières, qui comportera au minimum :</w:t>
            </w:r>
          </w:p>
          <w:p w14:paraId="02DDF073" w14:textId="705E6E51" w:rsidR="006F129D" w:rsidRPr="004E4188" w:rsidRDefault="006F129D" w:rsidP="00E57A4D">
            <w:pPr>
              <w:pStyle w:val="StyleHeader1-ClausesAfter0pt"/>
              <w:tabs>
                <w:tab w:val="left" w:pos="576"/>
              </w:tabs>
              <w:ind w:left="1028" w:hanging="427"/>
              <w:rPr>
                <w:szCs w:val="24"/>
                <w:lang w:val="fr-FR"/>
              </w:rPr>
            </w:pPr>
            <w:r w:rsidRPr="004E4188">
              <w:rPr>
                <w:szCs w:val="24"/>
                <w:lang w:val="fr-FR"/>
              </w:rPr>
              <w:t>(a)</w:t>
            </w:r>
            <w:r w:rsidRPr="004E4188">
              <w:rPr>
                <w:lang w:val="fr-FR"/>
              </w:rPr>
              <w:tab/>
            </w:r>
            <w:r w:rsidRPr="004E4188">
              <w:rPr>
                <w:szCs w:val="24"/>
                <w:lang w:val="fr-FR"/>
              </w:rPr>
              <w:t>le nom du Soumissionnaire ; et</w:t>
            </w:r>
          </w:p>
          <w:p w14:paraId="175E19F0" w14:textId="39FE1407" w:rsidR="006F129D" w:rsidRPr="004E4188" w:rsidRDefault="006F129D" w:rsidP="00E57A4D">
            <w:pPr>
              <w:pStyle w:val="StyleHeader1-ClausesAfter0pt"/>
              <w:tabs>
                <w:tab w:val="left" w:pos="576"/>
              </w:tabs>
              <w:ind w:left="1028" w:hanging="427"/>
              <w:rPr>
                <w:lang w:val="fr-FR"/>
              </w:rPr>
            </w:pPr>
            <w:r w:rsidRPr="004E4188">
              <w:rPr>
                <w:szCs w:val="24"/>
                <w:lang w:val="fr-FR"/>
              </w:rPr>
              <w:t>(b)</w:t>
            </w:r>
            <w:r w:rsidRPr="004E4188">
              <w:rPr>
                <w:lang w:val="fr-FR"/>
              </w:rPr>
              <w:t xml:space="preserve"> </w:t>
            </w:r>
            <w:r w:rsidRPr="004E4188">
              <w:rPr>
                <w:lang w:val="fr-FR"/>
              </w:rPr>
              <w:tab/>
            </w:r>
            <w:r w:rsidRPr="004E4188">
              <w:rPr>
                <w:szCs w:val="24"/>
                <w:lang w:val="fr-FR"/>
              </w:rPr>
              <w:t xml:space="preserve">le Montant de l’offre, y compris </w:t>
            </w:r>
            <w:r w:rsidR="000D1C36" w:rsidRPr="004E4188">
              <w:rPr>
                <w:szCs w:val="24"/>
                <w:lang w:val="fr-FR"/>
              </w:rPr>
              <w:t xml:space="preserve">les </w:t>
            </w:r>
            <w:r w:rsidRPr="004E4188">
              <w:rPr>
                <w:szCs w:val="24"/>
                <w:lang w:val="fr-FR"/>
              </w:rPr>
              <w:t>rabais et variante, et dans le cas d’un appel d’offres lancé pour des lots multiples, le montant de chaque lot ainsi que la somme des montants de tous les lots, y compris les rabais</w:t>
            </w:r>
            <w:r w:rsidRPr="004E4188">
              <w:rPr>
                <w:lang w:val="fr-FR"/>
              </w:rPr>
              <w:t>.</w:t>
            </w:r>
          </w:p>
          <w:p w14:paraId="1015BB79" w14:textId="6404300A" w:rsidR="006F129D" w:rsidRPr="004E4188" w:rsidRDefault="006F129D" w:rsidP="00D45EAD">
            <w:pPr>
              <w:spacing w:after="200"/>
              <w:ind w:left="601"/>
            </w:pPr>
            <w:r w:rsidRPr="004E4188">
              <w:rPr>
                <w:szCs w:val="24"/>
              </w:rPr>
              <w:t xml:space="preserve">Il </w:t>
            </w:r>
            <w:r w:rsidRPr="004E4188">
              <w:t>sera</w:t>
            </w:r>
            <w:r w:rsidRPr="004E4188">
              <w:rPr>
                <w:szCs w:val="24"/>
              </w:rPr>
              <w:t xml:space="preserve"> demandé aux représentants des Soumissionnaires présents de signer le procès-verbal. L’omission de la signature d’un Soumissionnaire sur le procès-verbal n’invalide ni son contenu, ni sa portée. Un exemplaire du procès-verbal sera distribué à tous les Soumissionnaires qui ont soumis une offre en temps voulu, et à la JICA.</w:t>
            </w:r>
          </w:p>
        </w:tc>
      </w:tr>
      <w:tr w:rsidR="006F129D" w:rsidRPr="004E4188" w14:paraId="1B343B00" w14:textId="77777777" w:rsidTr="00D45EAD">
        <w:tc>
          <w:tcPr>
            <w:tcW w:w="9288" w:type="dxa"/>
            <w:gridSpan w:val="2"/>
            <w:tcBorders>
              <w:top w:val="nil"/>
              <w:left w:val="nil"/>
              <w:bottom w:val="nil"/>
              <w:right w:val="nil"/>
            </w:tcBorders>
          </w:tcPr>
          <w:p w14:paraId="3B49D9C5" w14:textId="6D8922E3" w:rsidR="006F129D" w:rsidRPr="004E4188" w:rsidRDefault="006F129D" w:rsidP="003B3ACC">
            <w:pPr>
              <w:pStyle w:val="S1-Header"/>
              <w:tabs>
                <w:tab w:val="num" w:pos="360"/>
              </w:tabs>
              <w:spacing w:after="200"/>
              <w:ind w:left="357" w:hanging="357"/>
            </w:pPr>
            <w:bookmarkStart w:id="245" w:name="_Toc438438850"/>
            <w:bookmarkStart w:id="246" w:name="_Toc438532629"/>
            <w:bookmarkStart w:id="247" w:name="_Toc438733994"/>
            <w:bookmarkStart w:id="248" w:name="_Toc438962076"/>
            <w:bookmarkStart w:id="249" w:name="_Toc461939620"/>
            <w:bookmarkStart w:id="250" w:name="_Toc113293315"/>
            <w:r w:rsidRPr="004E4188">
              <w:t xml:space="preserve">E. </w:t>
            </w:r>
            <w:r w:rsidRPr="004E4188">
              <w:rPr>
                <w:lang w:eastAsia="en-US"/>
              </w:rPr>
              <w:t>Évaluation</w:t>
            </w:r>
            <w:r w:rsidRPr="004E4188">
              <w:t xml:space="preserve"> et comparaison des offres</w:t>
            </w:r>
            <w:bookmarkEnd w:id="245"/>
            <w:bookmarkEnd w:id="246"/>
            <w:bookmarkEnd w:id="247"/>
            <w:bookmarkEnd w:id="248"/>
            <w:bookmarkEnd w:id="249"/>
            <w:bookmarkEnd w:id="250"/>
          </w:p>
        </w:tc>
      </w:tr>
      <w:tr w:rsidR="006F129D" w:rsidRPr="004E4188" w14:paraId="1F52F814" w14:textId="77777777" w:rsidTr="00D45EAD">
        <w:tc>
          <w:tcPr>
            <w:tcW w:w="2273" w:type="dxa"/>
            <w:tcBorders>
              <w:top w:val="nil"/>
              <w:left w:val="nil"/>
              <w:bottom w:val="nil"/>
              <w:right w:val="nil"/>
            </w:tcBorders>
          </w:tcPr>
          <w:p w14:paraId="3DC84013" w14:textId="0C4029EF" w:rsidR="006F129D" w:rsidRPr="004E4188" w:rsidRDefault="006F129D" w:rsidP="008F4F37">
            <w:pPr>
              <w:pStyle w:val="S1-Header20"/>
              <w:rPr>
                <w:lang w:val="fr-FR"/>
              </w:rPr>
            </w:pPr>
            <w:bookmarkStart w:id="251" w:name="_Toc438532628"/>
            <w:bookmarkStart w:id="252" w:name="_Toc438438851"/>
            <w:bookmarkStart w:id="253" w:name="_Toc438532630"/>
            <w:bookmarkStart w:id="254" w:name="_Toc438733995"/>
            <w:bookmarkStart w:id="255" w:name="_Toc438907032"/>
            <w:bookmarkStart w:id="256" w:name="_Toc438907231"/>
            <w:bookmarkStart w:id="257" w:name="_Toc156373310"/>
            <w:bookmarkStart w:id="258" w:name="_Toc113293316"/>
            <w:bookmarkEnd w:id="251"/>
            <w:r w:rsidRPr="004E4188">
              <w:rPr>
                <w:lang w:val="fr-FR"/>
              </w:rPr>
              <w:t>2</w:t>
            </w:r>
            <w:r w:rsidRPr="004E4188">
              <w:rPr>
                <w:rFonts w:hint="eastAsia"/>
                <w:lang w:val="fr-FR" w:eastAsia="ja-JP"/>
              </w:rPr>
              <w:t>6</w:t>
            </w:r>
            <w:r w:rsidRPr="004E4188">
              <w:rPr>
                <w:lang w:val="fr-FR"/>
              </w:rPr>
              <w:t>.</w:t>
            </w:r>
            <w:r w:rsidRPr="004E4188">
              <w:rPr>
                <w:lang w:val="fr-FR"/>
              </w:rPr>
              <w:tab/>
            </w:r>
            <w:r w:rsidRPr="004E4188">
              <w:t>Confidentialité</w:t>
            </w:r>
            <w:bookmarkEnd w:id="252"/>
            <w:bookmarkEnd w:id="253"/>
            <w:bookmarkEnd w:id="254"/>
            <w:bookmarkEnd w:id="255"/>
            <w:bookmarkEnd w:id="256"/>
            <w:bookmarkEnd w:id="257"/>
            <w:bookmarkEnd w:id="258"/>
          </w:p>
        </w:tc>
        <w:tc>
          <w:tcPr>
            <w:tcW w:w="7015" w:type="dxa"/>
            <w:tcBorders>
              <w:top w:val="nil"/>
              <w:left w:val="nil"/>
              <w:bottom w:val="nil"/>
              <w:right w:val="nil"/>
            </w:tcBorders>
          </w:tcPr>
          <w:p w14:paraId="464EE0E9" w14:textId="46099103" w:rsidR="006F129D" w:rsidRPr="004E4188" w:rsidRDefault="006F129D" w:rsidP="00911875">
            <w:pPr>
              <w:tabs>
                <w:tab w:val="left" w:pos="576"/>
              </w:tabs>
              <w:spacing w:after="200"/>
              <w:ind w:left="576" w:hanging="576"/>
            </w:pPr>
            <w:r w:rsidRPr="004E4188">
              <w:t>26.1</w:t>
            </w:r>
            <w:r w:rsidRPr="004E4188">
              <w:tab/>
              <w:t>Aucune information concernant l’évaluation des offres et la recommandation d’attribution du Marché ne sera divulguée aux Soumissionnaires, ni à aucune autre personne non concernée officiellement par la procédure d’appel d’offres, tant que l’attribution du Marché n’aura pas été notifiée à tous les Soumissionnaires conformément à IS 39.</w:t>
            </w:r>
          </w:p>
          <w:p w14:paraId="5B171379" w14:textId="64C5AEC6" w:rsidR="006F129D" w:rsidRPr="004E4188" w:rsidRDefault="006F129D" w:rsidP="00911875">
            <w:pPr>
              <w:spacing w:after="200"/>
              <w:ind w:left="601"/>
            </w:pPr>
            <w:r w:rsidRPr="004E4188">
              <w:rPr>
                <w:lang w:eastAsia="en-US"/>
              </w:rPr>
              <w:t>L’utilisation par tout Soumissionnaire d’informations confidentielles relatives à la procédure d’appel d’offres peut entraîner le rejet de son offre</w:t>
            </w:r>
            <w:r w:rsidRPr="004E4188">
              <w:rPr>
                <w:szCs w:val="21"/>
                <w:lang w:eastAsia="en-US"/>
              </w:rPr>
              <w:t>.</w:t>
            </w:r>
            <w:r w:rsidRPr="004E4188">
              <w:t xml:space="preserve"> </w:t>
            </w:r>
          </w:p>
        </w:tc>
      </w:tr>
      <w:tr w:rsidR="006F129D" w:rsidRPr="004E4188" w14:paraId="5AC8032B" w14:textId="77777777" w:rsidTr="00D45EAD">
        <w:tc>
          <w:tcPr>
            <w:tcW w:w="2273" w:type="dxa"/>
            <w:tcBorders>
              <w:top w:val="nil"/>
              <w:left w:val="nil"/>
              <w:bottom w:val="nil"/>
              <w:right w:val="nil"/>
            </w:tcBorders>
          </w:tcPr>
          <w:p w14:paraId="4D03D90D" w14:textId="77777777" w:rsidR="006F129D" w:rsidRPr="004E4188" w:rsidRDefault="006F129D" w:rsidP="00D45EAD"/>
        </w:tc>
        <w:tc>
          <w:tcPr>
            <w:tcW w:w="7015" w:type="dxa"/>
            <w:tcBorders>
              <w:top w:val="nil"/>
              <w:left w:val="nil"/>
              <w:bottom w:val="nil"/>
              <w:right w:val="nil"/>
            </w:tcBorders>
          </w:tcPr>
          <w:p w14:paraId="27AAB3FF" w14:textId="780CFF65" w:rsidR="006F129D" w:rsidRPr="004E4188" w:rsidRDefault="006F129D" w:rsidP="00D45EAD">
            <w:pPr>
              <w:spacing w:after="200"/>
              <w:ind w:left="601" w:hanging="601"/>
            </w:pPr>
            <w:r w:rsidRPr="004E4188">
              <w:t>26.2</w:t>
            </w:r>
            <w:r w:rsidRPr="004E4188">
              <w:tab/>
              <w:t>Toute tentative de la part d’un Soumissionnaire d’influencer le Maître d’ouvrage sur l’évaluation des offres ou la décision d’attribution du Marché peut entraîner le rejet de son offre.</w:t>
            </w:r>
          </w:p>
        </w:tc>
      </w:tr>
      <w:tr w:rsidR="006F129D" w:rsidRPr="004E4188" w14:paraId="02321A0A" w14:textId="77777777" w:rsidTr="00D45EAD">
        <w:tc>
          <w:tcPr>
            <w:tcW w:w="2273" w:type="dxa"/>
            <w:tcBorders>
              <w:top w:val="nil"/>
              <w:left w:val="nil"/>
              <w:bottom w:val="nil"/>
              <w:right w:val="nil"/>
            </w:tcBorders>
          </w:tcPr>
          <w:p w14:paraId="462E780A" w14:textId="77777777" w:rsidR="006F129D" w:rsidRPr="004E4188" w:rsidRDefault="006F129D" w:rsidP="00D45EAD"/>
        </w:tc>
        <w:tc>
          <w:tcPr>
            <w:tcW w:w="7015" w:type="dxa"/>
            <w:tcBorders>
              <w:top w:val="nil"/>
              <w:left w:val="nil"/>
              <w:bottom w:val="nil"/>
              <w:right w:val="nil"/>
            </w:tcBorders>
          </w:tcPr>
          <w:p w14:paraId="7FBFF54A" w14:textId="3D2FB0D6" w:rsidR="006F129D" w:rsidRPr="004E4188" w:rsidRDefault="006F129D" w:rsidP="00D45EAD">
            <w:pPr>
              <w:spacing w:after="200"/>
              <w:ind w:left="601" w:hanging="601"/>
            </w:pPr>
            <w:r w:rsidRPr="004E4188">
              <w:t>26.3</w:t>
            </w:r>
            <w:r w:rsidRPr="004E4188">
              <w:tab/>
              <w:t>Nonobstant IS 26.2, entre le moment de l’ouverture des offres et celui où le Marché est attribué, si un Soumissionnaire souhaite prendre contact avec le Maître d’ouvrage pour toute question concernant la procédure d’appel d’offres, il doit le faire par écrit.</w:t>
            </w:r>
          </w:p>
        </w:tc>
      </w:tr>
      <w:tr w:rsidR="006F129D" w:rsidRPr="004E4188" w14:paraId="63BF7AC0" w14:textId="77777777" w:rsidTr="00D45EAD">
        <w:tc>
          <w:tcPr>
            <w:tcW w:w="2273" w:type="dxa"/>
            <w:tcBorders>
              <w:top w:val="nil"/>
              <w:left w:val="nil"/>
              <w:bottom w:val="nil"/>
              <w:right w:val="nil"/>
            </w:tcBorders>
          </w:tcPr>
          <w:p w14:paraId="571D9260" w14:textId="5184D7DF" w:rsidR="006F129D" w:rsidRPr="004E4188" w:rsidRDefault="006F129D" w:rsidP="008F4F37">
            <w:pPr>
              <w:pStyle w:val="S1-Header20"/>
            </w:pPr>
            <w:bookmarkStart w:id="259" w:name="_Toc424009129"/>
            <w:bookmarkStart w:id="260" w:name="_Toc438438852"/>
            <w:bookmarkStart w:id="261" w:name="_Toc438532631"/>
            <w:bookmarkStart w:id="262" w:name="_Toc438733996"/>
            <w:bookmarkStart w:id="263" w:name="_Toc438907033"/>
            <w:bookmarkStart w:id="264" w:name="_Toc438907232"/>
            <w:bookmarkStart w:id="265" w:name="_Toc156373311"/>
            <w:bookmarkStart w:id="266" w:name="_Toc113293317"/>
            <w:r w:rsidRPr="004E4188">
              <w:t>27.</w:t>
            </w:r>
            <w:r w:rsidRPr="004E4188">
              <w:tab/>
            </w:r>
            <w:r w:rsidRPr="004E4188">
              <w:rPr>
                <w:lang w:val="en-GB"/>
              </w:rPr>
              <w:t>Éclaircisse</w:t>
            </w:r>
            <w:r w:rsidRPr="004E4188">
              <w:rPr>
                <w:lang w:val="en-GB"/>
              </w:rPr>
              <w:softHyphen/>
              <w:t>ments</w:t>
            </w:r>
            <w:r w:rsidRPr="004E4188">
              <w:t xml:space="preserve"> sur les offres</w:t>
            </w:r>
            <w:bookmarkEnd w:id="259"/>
            <w:bookmarkEnd w:id="260"/>
            <w:bookmarkEnd w:id="261"/>
            <w:bookmarkEnd w:id="262"/>
            <w:bookmarkEnd w:id="263"/>
            <w:bookmarkEnd w:id="264"/>
            <w:bookmarkEnd w:id="265"/>
            <w:bookmarkEnd w:id="266"/>
          </w:p>
        </w:tc>
        <w:tc>
          <w:tcPr>
            <w:tcW w:w="7015" w:type="dxa"/>
            <w:tcBorders>
              <w:top w:val="nil"/>
              <w:left w:val="nil"/>
              <w:bottom w:val="nil"/>
              <w:right w:val="nil"/>
            </w:tcBorders>
          </w:tcPr>
          <w:p w14:paraId="2485552E" w14:textId="7F2382B6" w:rsidR="006F129D" w:rsidRPr="004E4188" w:rsidRDefault="006F129D" w:rsidP="00D45EAD">
            <w:pPr>
              <w:spacing w:after="200"/>
              <w:ind w:left="601" w:hanging="601"/>
            </w:pPr>
            <w:r w:rsidRPr="004E4188">
              <w:t>27.1</w:t>
            </w:r>
            <w:r w:rsidRPr="004E4188">
              <w:tab/>
              <w:t>Pour faciliter l’examen, l’évaluation, la comparaison des Offres Techniques et Financières et la vérification des qualifications des Soumissionnaires, le Maître d’ouvrage peut, à sa discrétion, demander à un Soumissionnaire des éclaircissements sur son offre, en accordant un délai suffisant pour la réponse. Aucun éclaircissement apporté par un Soumissionnaire autrement qu’en réponse à une demande du Maître d’ouvrage ne sera pris en compte. La demande d’éclaircissements du Maître d’ouvrage ainsi que la réponse qui y sera apportée devront être formulées par écrit. Aucun changement dans la substance de l’Offre Technique ou dans les montants de l’Offre Financière, y compris toute augmentation ou diminution volontaire de prix, ne sera demandé, offert ou autorisé, si ce n’est pour confirmer la correction des erreurs arithmétiques découvertes par le Maître d’ouvrage lors de l’évaluation des Offres Financières, conformément à IS 33.</w:t>
            </w:r>
          </w:p>
          <w:p w14:paraId="2A218A32" w14:textId="105A7323" w:rsidR="006F129D" w:rsidRPr="004E4188" w:rsidRDefault="006F129D" w:rsidP="00D45EAD">
            <w:pPr>
              <w:spacing w:after="200"/>
              <w:ind w:left="601" w:hanging="601"/>
            </w:pPr>
            <w:r w:rsidRPr="004E4188">
              <w:t>27.2</w:t>
            </w:r>
            <w:r w:rsidRPr="004E4188">
              <w:tab/>
              <w:t>Si un Soumissionnaire ne répond pas à une demande d’éclaircissements sur son offre avant la date et l’heure fixées par le Maître d’ouvrage dans la demande, son offre est susceptible d’être rejetée.</w:t>
            </w:r>
          </w:p>
        </w:tc>
      </w:tr>
      <w:tr w:rsidR="006F129D" w:rsidRPr="004E4188" w14:paraId="79FB43E2" w14:textId="77777777" w:rsidTr="00D45EAD">
        <w:tc>
          <w:tcPr>
            <w:tcW w:w="2273" w:type="dxa"/>
            <w:tcBorders>
              <w:top w:val="nil"/>
              <w:left w:val="nil"/>
              <w:right w:val="nil"/>
            </w:tcBorders>
          </w:tcPr>
          <w:p w14:paraId="43D508BE" w14:textId="1E57E46A" w:rsidR="006F129D" w:rsidRPr="004E4188" w:rsidRDefault="006F129D" w:rsidP="008A28CD">
            <w:pPr>
              <w:pStyle w:val="S1-Header20"/>
            </w:pPr>
            <w:bookmarkStart w:id="267" w:name="_Toc156373312"/>
            <w:bookmarkStart w:id="268" w:name="_Toc113293318"/>
            <w:r w:rsidRPr="004E4188">
              <w:t>28.</w:t>
            </w:r>
            <w:r w:rsidRPr="004E4188">
              <w:tab/>
              <w:t>Divergences, réserves ou omissions</w:t>
            </w:r>
            <w:bookmarkEnd w:id="267"/>
            <w:bookmarkEnd w:id="268"/>
          </w:p>
        </w:tc>
        <w:tc>
          <w:tcPr>
            <w:tcW w:w="7015" w:type="dxa"/>
            <w:tcBorders>
              <w:top w:val="nil"/>
              <w:left w:val="nil"/>
              <w:right w:val="nil"/>
            </w:tcBorders>
          </w:tcPr>
          <w:p w14:paraId="5EBD3790" w14:textId="0467EA60" w:rsidR="006F129D" w:rsidRPr="004E4188" w:rsidRDefault="006F129D" w:rsidP="00D45EAD">
            <w:pPr>
              <w:spacing w:after="200"/>
              <w:ind w:left="601" w:hanging="601"/>
            </w:pPr>
            <w:r w:rsidRPr="004E4188">
              <w:t>28.1</w:t>
            </w:r>
            <w:r w:rsidRPr="004E4188">
              <w:tab/>
              <w:t>Aux fins de l’évaluation des offres, les définitions suivantes s’appliquent :</w:t>
            </w:r>
          </w:p>
          <w:p w14:paraId="1C0987A6" w14:textId="77777777" w:rsidR="006F129D" w:rsidRPr="004E4188" w:rsidRDefault="006F129D" w:rsidP="00D45EAD">
            <w:pPr>
              <w:suppressAutoHyphens w:val="0"/>
              <w:spacing w:after="200"/>
              <w:ind w:left="1026" w:hanging="425"/>
            </w:pPr>
            <w:r w:rsidRPr="004E4188">
              <w:t>(a)</w:t>
            </w:r>
            <w:r w:rsidRPr="004E4188">
              <w:rPr>
                <w:lang w:eastAsia="ja-JP"/>
              </w:rPr>
              <w:tab/>
            </w:r>
            <w:r w:rsidRPr="004E4188">
              <w:t>un</w:t>
            </w:r>
            <w:r w:rsidRPr="004E4188">
              <w:rPr>
                <w:bCs/>
                <w:lang w:eastAsia="en-US"/>
              </w:rPr>
              <w:t xml:space="preserve">e </w:t>
            </w:r>
            <w:r w:rsidRPr="004E4188">
              <w:t>« divergence » est un écart par rapport aux stipulations du Dossier d’appel d’offres ;</w:t>
            </w:r>
          </w:p>
          <w:p w14:paraId="34A5BA35" w14:textId="77777777" w:rsidR="006F129D" w:rsidRPr="004E4188" w:rsidRDefault="006F129D" w:rsidP="00D45EAD">
            <w:pPr>
              <w:suppressAutoHyphens w:val="0"/>
              <w:spacing w:after="200"/>
              <w:ind w:left="1026" w:hanging="425"/>
            </w:pPr>
            <w:r w:rsidRPr="004E4188">
              <w:t>(b)</w:t>
            </w:r>
            <w:r w:rsidRPr="004E4188">
              <w:rPr>
                <w:lang w:eastAsia="ja-JP"/>
              </w:rPr>
              <w:tab/>
            </w:r>
            <w:r w:rsidRPr="004E4188">
              <w:t xml:space="preserve">une « réserve » est la formulation d’une condition restrictive,  ou le refus d’accepter dans leur intégralité les exigences du Dossier d’appel d’offres ; et </w:t>
            </w:r>
          </w:p>
          <w:p w14:paraId="54E540FE" w14:textId="63532BCE" w:rsidR="006F129D" w:rsidRPr="004E4188" w:rsidRDefault="006F129D" w:rsidP="00D90DCF">
            <w:pPr>
              <w:suppressAutoHyphens w:val="0"/>
              <w:spacing w:after="200"/>
              <w:ind w:left="1026" w:hanging="425"/>
            </w:pPr>
            <w:r w:rsidRPr="004E4188">
              <w:t>(c)</w:t>
            </w:r>
            <w:r w:rsidRPr="004E4188">
              <w:rPr>
                <w:lang w:eastAsia="ja-JP"/>
              </w:rPr>
              <w:tab/>
            </w:r>
            <w:r w:rsidRPr="004E4188">
              <w:t>une « omission » est la non</w:t>
            </w:r>
            <w:r w:rsidR="00D90DCF" w:rsidRPr="004E4188">
              <w:t>-</w:t>
            </w:r>
            <w:r w:rsidRPr="004E4188">
              <w:t xml:space="preserve">soumission totale ou partielle des renseignements ou documents exigés par le Dossier d’appel d’offres. </w:t>
            </w:r>
          </w:p>
        </w:tc>
      </w:tr>
      <w:tr w:rsidR="006F129D" w:rsidRPr="004E4188" w14:paraId="6DE853A0" w14:textId="77777777" w:rsidTr="00D45EAD">
        <w:tc>
          <w:tcPr>
            <w:tcW w:w="2273" w:type="dxa"/>
            <w:tcBorders>
              <w:top w:val="nil"/>
              <w:left w:val="nil"/>
              <w:right w:val="nil"/>
            </w:tcBorders>
          </w:tcPr>
          <w:p w14:paraId="37683FB8" w14:textId="440214F1" w:rsidR="006F129D" w:rsidRPr="004E4188" w:rsidRDefault="006F129D" w:rsidP="008A28CD">
            <w:pPr>
              <w:pStyle w:val="S1-Header20"/>
              <w:rPr>
                <w:lang w:val="fr-FR"/>
              </w:rPr>
            </w:pPr>
            <w:bookmarkStart w:id="269" w:name="_Toc113293319"/>
            <w:r w:rsidRPr="004E4188">
              <w:rPr>
                <w:lang w:val="fr-FR"/>
              </w:rPr>
              <w:t>29.</w:t>
            </w:r>
            <w:r w:rsidRPr="004E4188">
              <w:rPr>
                <w:lang w:val="fr-FR"/>
              </w:rPr>
              <w:tab/>
              <w:t>Examen préliminaire des Offres Techniques</w:t>
            </w:r>
            <w:bookmarkEnd w:id="269"/>
          </w:p>
        </w:tc>
        <w:tc>
          <w:tcPr>
            <w:tcW w:w="7015" w:type="dxa"/>
            <w:tcBorders>
              <w:top w:val="nil"/>
              <w:left w:val="nil"/>
              <w:right w:val="nil"/>
            </w:tcBorders>
          </w:tcPr>
          <w:p w14:paraId="3561512F" w14:textId="39BADE51" w:rsidR="006F129D" w:rsidRPr="004E4188" w:rsidRDefault="006F129D" w:rsidP="00D45EAD">
            <w:pPr>
              <w:spacing w:after="200"/>
              <w:ind w:left="601" w:hanging="601"/>
            </w:pPr>
            <w:r w:rsidRPr="004E4188">
              <w:t>29.1</w:t>
            </w:r>
            <w:r w:rsidRPr="004E4188">
              <w:rPr>
                <w:lang w:eastAsia="ja-JP"/>
              </w:rPr>
              <w:tab/>
            </w:r>
            <w:r w:rsidRPr="004E4188">
              <w:t>Le Maître d’ouvrage examinera les Offres Techniques pour s’assurer que tous les documents et renseignements</w:t>
            </w:r>
            <w:r w:rsidRPr="004E4188" w:rsidDel="00DF310A">
              <w:t xml:space="preserve"> </w:t>
            </w:r>
            <w:r w:rsidRPr="004E4188">
              <w:t>demandés à IS</w:t>
            </w:r>
            <w:r w:rsidR="00760160" w:rsidRPr="004E4188">
              <w:rPr>
                <w:lang w:eastAsia="en-US"/>
              </w:rPr>
              <w:t> </w:t>
            </w:r>
            <w:r w:rsidRPr="004E4188">
              <w:t>11.2 ont été fournis et pour déterminer que chacun des documents soumis est complet.</w:t>
            </w:r>
          </w:p>
          <w:p w14:paraId="71743BA8" w14:textId="08C460D2" w:rsidR="006F129D" w:rsidRPr="004E4188" w:rsidRDefault="006F129D" w:rsidP="00D45EAD">
            <w:pPr>
              <w:spacing w:after="200"/>
              <w:ind w:left="601" w:hanging="601"/>
            </w:pPr>
            <w:r w:rsidRPr="004E4188">
              <w:t>29.2</w:t>
            </w:r>
            <w:r w:rsidRPr="004E4188">
              <w:tab/>
              <w:t>Le Maître d’ouvrage doit s’assurer que les documents et renseignements suivants ont été fournis dans l’Offre Technique. Si l’un de ces documents ou renseignements manque, l’offre doit être rejetée</w:t>
            </w:r>
            <w:r w:rsidR="00DE566B" w:rsidRPr="004E4188">
              <w:t> :</w:t>
            </w:r>
          </w:p>
          <w:p w14:paraId="13219618" w14:textId="0FF18A29" w:rsidR="006F129D" w:rsidRPr="004E4188" w:rsidRDefault="006F129D" w:rsidP="00B54751">
            <w:pPr>
              <w:suppressAutoHyphens w:val="0"/>
              <w:spacing w:after="200"/>
              <w:ind w:left="1026" w:hanging="425"/>
            </w:pPr>
            <w:r w:rsidRPr="004E4188">
              <w:t>(a)</w:t>
            </w:r>
            <w:r w:rsidRPr="004E4188">
              <w:rPr>
                <w:lang w:eastAsia="ja-JP"/>
              </w:rPr>
              <w:tab/>
            </w:r>
            <w:r w:rsidRPr="004E4188">
              <w:t>la Lettre de soumission de l’Offre Technique</w:t>
            </w:r>
            <w:r w:rsidR="008F5F4B" w:rsidRPr="004E4188">
              <w:rPr>
                <w:lang w:eastAsia="en-US"/>
              </w:rPr>
              <w:t> </w:t>
            </w:r>
            <w:r w:rsidRPr="004E4188">
              <w:t>;</w:t>
            </w:r>
          </w:p>
          <w:p w14:paraId="0A87C627" w14:textId="057CFCFA" w:rsidR="006F129D" w:rsidRPr="004E4188" w:rsidRDefault="006F129D" w:rsidP="00B54751">
            <w:pPr>
              <w:suppressAutoHyphens w:val="0"/>
              <w:spacing w:after="200"/>
              <w:ind w:left="1026" w:hanging="425"/>
            </w:pPr>
            <w:r w:rsidRPr="004E4188">
              <w:t>(b)</w:t>
            </w:r>
            <w:r w:rsidRPr="004E4188">
              <w:tab/>
              <w:t>la procuration attestant</w:t>
            </w:r>
            <w:r w:rsidRPr="004E4188" w:rsidDel="00DF310A">
              <w:t xml:space="preserve"> </w:t>
            </w:r>
            <w:r w:rsidRPr="004E4188">
              <w:t>l’habilitation du signataire de l’offre à engager le Soumissionnaire ;</w:t>
            </w:r>
          </w:p>
          <w:p w14:paraId="15C978D3" w14:textId="77777777" w:rsidR="006F129D" w:rsidRPr="004E4188" w:rsidRDefault="006F129D" w:rsidP="00B54751">
            <w:pPr>
              <w:suppressAutoHyphens w:val="0"/>
              <w:spacing w:after="200"/>
              <w:ind w:left="1026" w:hanging="425"/>
            </w:pPr>
            <w:r w:rsidRPr="004E4188">
              <w:t>(c)</w:t>
            </w:r>
            <w:r w:rsidRPr="004E4188">
              <w:tab/>
              <w:t>la garantie de soumission ; et</w:t>
            </w:r>
          </w:p>
          <w:p w14:paraId="6D2CE209" w14:textId="77777777" w:rsidR="006F129D" w:rsidRPr="004E4188" w:rsidRDefault="006F129D" w:rsidP="00B54751">
            <w:pPr>
              <w:suppressAutoHyphens w:val="0"/>
              <w:spacing w:after="200"/>
              <w:ind w:left="1026" w:hanging="425"/>
            </w:pPr>
            <w:r w:rsidRPr="004E4188">
              <w:t>(d)</w:t>
            </w:r>
            <w:r w:rsidRPr="004E4188">
              <w:rPr>
                <w:lang w:eastAsia="ja-JP"/>
              </w:rPr>
              <w:tab/>
            </w:r>
            <w:r w:rsidRPr="004E4188">
              <w:t>la Proposition technique conformément à IS 16.</w:t>
            </w:r>
          </w:p>
        </w:tc>
      </w:tr>
      <w:tr w:rsidR="006F129D" w:rsidRPr="004E4188" w14:paraId="58ADAC3A" w14:textId="77777777" w:rsidTr="00D45EAD">
        <w:tc>
          <w:tcPr>
            <w:tcW w:w="2273" w:type="dxa"/>
            <w:tcBorders>
              <w:top w:val="nil"/>
              <w:left w:val="nil"/>
              <w:right w:val="nil"/>
            </w:tcBorders>
          </w:tcPr>
          <w:p w14:paraId="04DD11BF" w14:textId="39C5D9FB" w:rsidR="006F129D" w:rsidRPr="004E4188" w:rsidRDefault="006F129D" w:rsidP="008A28CD">
            <w:pPr>
              <w:pStyle w:val="S1-Header20"/>
            </w:pPr>
            <w:bookmarkStart w:id="270" w:name="_Toc113293320"/>
            <w:r w:rsidRPr="004E4188">
              <w:t>30.</w:t>
            </w:r>
            <w:r w:rsidRPr="004E4188">
              <w:tab/>
              <w:t>Qualification des Soumission</w:t>
            </w:r>
            <w:r w:rsidRPr="004E4188">
              <w:softHyphen/>
              <w:t>naires</w:t>
            </w:r>
            <w:bookmarkEnd w:id="270"/>
          </w:p>
        </w:tc>
        <w:tc>
          <w:tcPr>
            <w:tcW w:w="7015" w:type="dxa"/>
            <w:tcBorders>
              <w:top w:val="nil"/>
              <w:left w:val="nil"/>
              <w:right w:val="nil"/>
            </w:tcBorders>
          </w:tcPr>
          <w:p w14:paraId="2FFE802A" w14:textId="5CB38D18" w:rsidR="006F129D" w:rsidRPr="004E4188" w:rsidRDefault="006F129D" w:rsidP="00D45EAD">
            <w:pPr>
              <w:spacing w:after="200"/>
              <w:ind w:left="601" w:hanging="601"/>
            </w:pPr>
            <w:r w:rsidRPr="004E4188">
              <w:t>30.1</w:t>
            </w:r>
            <w:r w:rsidRPr="004E4188">
              <w:rPr>
                <w:lang w:eastAsia="ja-JP"/>
              </w:rPr>
              <w:tab/>
              <w:t xml:space="preserve">Le Soumissionnaire doit satisfaire ou dépasser suffisamment les exigences de qualification spécifiées. </w:t>
            </w:r>
            <w:r w:rsidRPr="004E4188">
              <w:t xml:space="preserve">Le Maître d’ouvrage doit s’assurer que les Soumissionnaires satisfont aux critères de qualification stipulés à la Section </w:t>
            </w:r>
            <w:smartTag w:uri="urn:schemas-microsoft-com:office:smarttags" w:element="stockticker">
              <w:r w:rsidRPr="004E4188">
                <w:t>III</w:t>
              </w:r>
            </w:smartTag>
            <w:r w:rsidRPr="004E4188">
              <w:t xml:space="preserve">, Critères d’évaluation et de qualification, lors de l’évaluation des Offres Techniques. Cependant, si une préqualification a été conduite préalablement à la procédure de l’appel d’offres, le Maître d’ouvrage peut procéder à la vérification des critères de qualification stipulés à la Section </w:t>
            </w:r>
            <w:smartTag w:uri="urn:schemas-microsoft-com:office:smarttags" w:element="stockticker">
              <w:r w:rsidRPr="004E4188">
                <w:t>III</w:t>
              </w:r>
            </w:smartTag>
            <w:r w:rsidRPr="004E4188">
              <w:t>, Critères d’évaluation et de qualification, uniquement pour le Soumissionnaire dont l’offre est substantiellement conforme et a été évaluée la moins-disante.</w:t>
            </w:r>
          </w:p>
          <w:p w14:paraId="51879270" w14:textId="70C309BD" w:rsidR="006F129D" w:rsidRPr="004E4188" w:rsidRDefault="006F129D" w:rsidP="00D45EAD">
            <w:pPr>
              <w:spacing w:after="200"/>
              <w:ind w:left="601" w:hanging="601"/>
            </w:pPr>
            <w:r w:rsidRPr="004E4188">
              <w:t>30.2</w:t>
            </w:r>
            <w:r w:rsidRPr="004E4188">
              <w:tab/>
              <w:t>Cette vérification sera fondée sur l’examen des preuves documentaires de la qualification du Soumissionnaire fournies par celui-ci, conformément à IS 17. Aux fins de cette vérification, uniquement la qualification de l’(des) entité(s) légale(s) comprenant le Soumissionnaire sera prise en considération. En particulier, la qualification des sociétés affiliées (telles que la(les) maison(s) mère(s), les sociétés du groupe, les filiales ou autres sociétés affilié</w:t>
            </w:r>
            <w:r w:rsidR="007203CC" w:rsidRPr="004E4188">
              <w:t>e</w:t>
            </w:r>
            <w:r w:rsidRPr="004E4188">
              <w:t>s) ne ser</w:t>
            </w:r>
            <w:r w:rsidR="001657EE" w:rsidRPr="004E4188">
              <w:t>a</w:t>
            </w:r>
            <w:r w:rsidRPr="004E4188">
              <w:t xml:space="preserve"> pas prise en compte à moins qu’elles ne </w:t>
            </w:r>
            <w:r w:rsidR="00094F94" w:rsidRPr="004E4188">
              <w:t xml:space="preserve">fassent </w:t>
            </w:r>
            <w:r w:rsidRPr="004E4188">
              <w:t>partie du Soumissionnaire dans le cadre d’un Groupement établi conformément à IS</w:t>
            </w:r>
            <w:r w:rsidR="00F826CF" w:rsidRPr="004E4188">
              <w:t> </w:t>
            </w:r>
            <w:r w:rsidRPr="004E4188">
              <w:t>4.1, ou de sous-traitants spécialisés employés conformément à IS</w:t>
            </w:r>
            <w:r w:rsidR="00F826CF" w:rsidRPr="004E4188">
              <w:t> </w:t>
            </w:r>
            <w:r w:rsidRPr="004E4188">
              <w:t xml:space="preserve">16.3 pour les activités principales définies au Critère 2.4.2(b) de la Section </w:t>
            </w:r>
            <w:smartTag w:uri="urn:schemas-microsoft-com:office:smarttags" w:element="stockticker">
              <w:r w:rsidRPr="004E4188">
                <w:t>III</w:t>
              </w:r>
            </w:smartTag>
            <w:r w:rsidRPr="004E4188">
              <w:t>, Critères d’évaluation et de qualification</w:t>
            </w:r>
            <w:bookmarkStart w:id="271" w:name="_Hlk514145711"/>
            <w:r w:rsidRPr="004E4188">
              <w:t>.</w:t>
            </w:r>
            <w:bookmarkEnd w:id="271"/>
          </w:p>
          <w:p w14:paraId="5909C1F4" w14:textId="77777777" w:rsidR="006F129D" w:rsidRPr="004E4188" w:rsidRDefault="006F129D" w:rsidP="00D45EAD">
            <w:pPr>
              <w:spacing w:after="200"/>
              <w:ind w:left="601" w:hanging="601"/>
            </w:pPr>
            <w:r w:rsidRPr="004E4188">
              <w:t>30.3</w:t>
            </w:r>
            <w:r w:rsidRPr="004E4188">
              <w:tab/>
              <w:t xml:space="preserve">Le Maître d’ouvrage se réserve le droit d’accepter des divergences mineures (non essentielles) dans les critères de qualification si elles n’affectent pas de manière importante les capacités techniques et financières pour exécuter le Marché. </w:t>
            </w:r>
          </w:p>
          <w:p w14:paraId="51CA1B23" w14:textId="587752CA" w:rsidR="00E57A4D" w:rsidRPr="004E4188" w:rsidRDefault="006F129D" w:rsidP="00E57A4D">
            <w:pPr>
              <w:spacing w:after="200"/>
              <w:ind w:left="601" w:hanging="601"/>
            </w:pPr>
            <w:r w:rsidRPr="004E4188">
              <w:t>30.4</w:t>
            </w:r>
            <w:r w:rsidRPr="004E4188">
              <w:tab/>
              <w:t xml:space="preserve">La confirmation des qualifications </w:t>
            </w:r>
            <w:r w:rsidR="00E26853" w:rsidRPr="004E4188">
              <w:t xml:space="preserve">du </w:t>
            </w:r>
            <w:r w:rsidRPr="004E4188">
              <w:t xml:space="preserve">Soumissionnaire est un prérequis à l’attribution du Marché. Un résultat négatif entraînera le rejet de l’offre. </w:t>
            </w:r>
          </w:p>
          <w:p w14:paraId="712FFA99" w14:textId="271E158B" w:rsidR="006F129D" w:rsidRPr="004E4188" w:rsidRDefault="006F129D" w:rsidP="00E57A4D">
            <w:pPr>
              <w:spacing w:after="200"/>
              <w:ind w:left="601"/>
            </w:pPr>
            <w:r w:rsidRPr="004E4188">
              <w:t>Si la vérification des qualifications du Soumissionnaire a été conduite uniquement pour le Soumissionnaire dont l’offre a été évaluée la moins</w:t>
            </w:r>
            <w:r w:rsidRPr="004E4188">
              <w:rPr>
                <w:rFonts w:hint="eastAsia"/>
                <w:lang w:eastAsia="ja-JP"/>
              </w:rPr>
              <w:t>-</w:t>
            </w:r>
            <w:r w:rsidRPr="004E4188">
              <w:t>disante, conformément à IS</w:t>
            </w:r>
            <w:r w:rsidR="00F826CF" w:rsidRPr="004E4188">
              <w:t> </w:t>
            </w:r>
            <w:r w:rsidRPr="004E4188">
              <w:t>30.1, et que le résultat de cette vérification est négatif, le Maître d’ouvrage procédera à l’examen de la seconde offre évaluée la moins-disante afin d’effectuer une détermination similaire.</w:t>
            </w:r>
          </w:p>
        </w:tc>
      </w:tr>
      <w:tr w:rsidR="006F129D" w:rsidRPr="004E4188" w14:paraId="6894CDE4" w14:textId="77777777" w:rsidTr="00D45EAD">
        <w:tc>
          <w:tcPr>
            <w:tcW w:w="2273" w:type="dxa"/>
            <w:tcBorders>
              <w:top w:val="nil"/>
              <w:left w:val="nil"/>
              <w:right w:val="nil"/>
            </w:tcBorders>
          </w:tcPr>
          <w:p w14:paraId="19B51599" w14:textId="77777777" w:rsidR="006F129D" w:rsidRPr="004E4188" w:rsidRDefault="006F129D" w:rsidP="00D45EAD">
            <w:pPr>
              <w:pStyle w:val="Header1-Clauses"/>
              <w:tabs>
                <w:tab w:val="clear" w:pos="432"/>
              </w:tabs>
              <w:ind w:rightChars="-82" w:right="-197"/>
              <w:rPr>
                <w:lang w:val="fr-FR"/>
              </w:rPr>
            </w:pPr>
          </w:p>
        </w:tc>
        <w:tc>
          <w:tcPr>
            <w:tcW w:w="7015" w:type="dxa"/>
            <w:tcBorders>
              <w:top w:val="nil"/>
              <w:left w:val="nil"/>
              <w:right w:val="nil"/>
            </w:tcBorders>
            <w:shd w:val="clear" w:color="auto" w:fill="auto"/>
          </w:tcPr>
          <w:p w14:paraId="530A50F8" w14:textId="5FE7B7CE" w:rsidR="006F129D" w:rsidRPr="004E4188" w:rsidRDefault="006F129D" w:rsidP="00E57A4D">
            <w:pPr>
              <w:spacing w:after="200"/>
              <w:ind w:left="601" w:hanging="601"/>
              <w:rPr>
                <w:bCs/>
                <w:lang w:eastAsia="en-US"/>
              </w:rPr>
            </w:pPr>
            <w:r w:rsidRPr="004E4188">
              <w:t>30.5</w:t>
            </w:r>
            <w:r w:rsidRPr="004E4188">
              <w:rPr>
                <w:lang w:eastAsia="ja-JP"/>
              </w:rPr>
              <w:tab/>
              <w:t xml:space="preserve">Les </w:t>
            </w:r>
            <w:r w:rsidRPr="004E4188">
              <w:rPr>
                <w:bCs/>
                <w:lang w:eastAsia="en-US"/>
              </w:rPr>
              <w:t>sous-traitants proposés dans l’offre du Soumissionnaire doivent remplir les critères d’éligibilité de IS 4.</w:t>
            </w:r>
          </w:p>
          <w:p w14:paraId="4DD11162" w14:textId="247A5989" w:rsidR="006F129D" w:rsidRPr="004E4188" w:rsidRDefault="006F129D" w:rsidP="00D45EAD">
            <w:pPr>
              <w:spacing w:after="200"/>
              <w:ind w:left="601" w:hanging="601"/>
            </w:pPr>
            <w:r w:rsidRPr="004E4188">
              <w:rPr>
                <w:lang w:eastAsia="en-US"/>
              </w:rPr>
              <w:tab/>
            </w:r>
            <w:r w:rsidRPr="004E4188">
              <w:rPr>
                <w:lang w:eastAsia="ja-JP"/>
              </w:rPr>
              <w:t>D</w:t>
            </w:r>
            <w:r w:rsidRPr="004E4188">
              <w:rPr>
                <w:rFonts w:hint="eastAsia"/>
                <w:lang w:eastAsia="en-US"/>
              </w:rPr>
              <w:t xml:space="preserve">e plus, </w:t>
            </w:r>
            <w:r w:rsidRPr="004E4188">
              <w:rPr>
                <w:lang w:eastAsia="en-US"/>
              </w:rPr>
              <w:t xml:space="preserve">si le sous-traitant spécialisé proposé conformément à IS 16.3 ne remplit pas les critères correspondants pour les activités principales définies au Critère 2.4.2(b) de la Section </w:t>
            </w:r>
            <w:smartTag w:uri="urn:schemas-microsoft-com:office:smarttags" w:element="stockticker">
              <w:r w:rsidRPr="004E4188">
                <w:rPr>
                  <w:lang w:eastAsia="en-US"/>
                </w:rPr>
                <w:t>III</w:t>
              </w:r>
            </w:smartTag>
            <w:r w:rsidRPr="004E4188">
              <w:rPr>
                <w:lang w:eastAsia="en-US"/>
              </w:rPr>
              <w:t>, Critères d’évaluation et de qualification, le Soumissionnaire qui a proposé ce sous-traitant spécialisé sera disqualifié</w:t>
            </w:r>
            <w:r w:rsidRPr="004E4188">
              <w:rPr>
                <w:rFonts w:hint="eastAsia"/>
                <w:lang w:eastAsia="ja-JP"/>
              </w:rPr>
              <w:t>.</w:t>
            </w:r>
          </w:p>
        </w:tc>
      </w:tr>
      <w:tr w:rsidR="006F129D" w:rsidRPr="004E4188" w14:paraId="376682A8" w14:textId="77777777" w:rsidTr="00D45EAD">
        <w:tc>
          <w:tcPr>
            <w:tcW w:w="2273" w:type="dxa"/>
            <w:tcBorders>
              <w:top w:val="nil"/>
              <w:left w:val="nil"/>
              <w:bottom w:val="nil"/>
              <w:right w:val="nil"/>
            </w:tcBorders>
          </w:tcPr>
          <w:p w14:paraId="2FAB963F" w14:textId="6E59D981" w:rsidR="006F129D" w:rsidRPr="004E4188" w:rsidRDefault="006F129D" w:rsidP="008A28CD">
            <w:pPr>
              <w:pStyle w:val="S1-Header20"/>
            </w:pPr>
            <w:bookmarkStart w:id="272" w:name="_Toc438532633"/>
            <w:bookmarkStart w:id="273" w:name="_Toc113293321"/>
            <w:bookmarkEnd w:id="272"/>
            <w:r w:rsidRPr="004E4188">
              <w:t>31.</w:t>
            </w:r>
            <w:r w:rsidRPr="004E4188">
              <w:tab/>
              <w:t>Conformité des</w:t>
            </w:r>
            <w:r w:rsidRPr="004E4188">
              <w:rPr>
                <w:rFonts w:hint="eastAsia"/>
                <w:lang w:eastAsia="ja-JP"/>
              </w:rPr>
              <w:t xml:space="preserve"> </w:t>
            </w:r>
            <w:r w:rsidRPr="004E4188">
              <w:t>Offres Techniques</w:t>
            </w:r>
            <w:bookmarkEnd w:id="273"/>
          </w:p>
          <w:p w14:paraId="64AFB05F" w14:textId="77777777" w:rsidR="006F129D" w:rsidRPr="004E4188" w:rsidRDefault="006F129D" w:rsidP="00D45EAD">
            <w:pPr>
              <w:numPr>
                <w:ilvl w:val="12"/>
                <w:numId w:val="0"/>
              </w:numPr>
            </w:pPr>
          </w:p>
        </w:tc>
        <w:tc>
          <w:tcPr>
            <w:tcW w:w="7015" w:type="dxa"/>
            <w:tcBorders>
              <w:top w:val="nil"/>
              <w:left w:val="nil"/>
              <w:bottom w:val="nil"/>
              <w:right w:val="nil"/>
            </w:tcBorders>
          </w:tcPr>
          <w:p w14:paraId="430E2346" w14:textId="71FC62AE" w:rsidR="006F129D" w:rsidRPr="004E4188" w:rsidRDefault="006F129D" w:rsidP="00D45EAD">
            <w:pPr>
              <w:spacing w:after="200"/>
              <w:ind w:left="601" w:hanging="601"/>
            </w:pPr>
            <w:r w:rsidRPr="004E4188">
              <w:t>31.1</w:t>
            </w:r>
            <w:r w:rsidRPr="004E4188">
              <w:tab/>
              <w:t>Le Maître d’ouvrage établira la conformité d’une Offre Technique sur la base de son seul contenu, tel que défini à IS</w:t>
            </w:r>
            <w:r w:rsidR="00E57A4D" w:rsidRPr="004E4188">
              <w:rPr>
                <w:lang w:eastAsia="en-US"/>
              </w:rPr>
              <w:t> </w:t>
            </w:r>
            <w:r w:rsidRPr="004E4188">
              <w:t>11.2.</w:t>
            </w:r>
          </w:p>
          <w:p w14:paraId="106C0A73" w14:textId="36E2CA69" w:rsidR="006F129D" w:rsidRPr="004E4188" w:rsidRDefault="006F129D" w:rsidP="00D45EAD">
            <w:pPr>
              <w:spacing w:after="200"/>
              <w:ind w:left="601" w:hanging="601"/>
            </w:pPr>
            <w:r w:rsidRPr="004E4188">
              <w:rPr>
                <w:spacing w:val="-4"/>
              </w:rPr>
              <w:t>31.2</w:t>
            </w:r>
            <w:r w:rsidRPr="004E4188">
              <w:rPr>
                <w:spacing w:val="-4"/>
              </w:rPr>
              <w:tab/>
              <w:t xml:space="preserve">Aux fins de cette détermination, une </w:t>
            </w:r>
            <w:r w:rsidRPr="004E4188">
              <w:t xml:space="preserve">Offre Technique </w:t>
            </w:r>
            <w:r w:rsidRPr="004E4188">
              <w:rPr>
                <w:szCs w:val="24"/>
              </w:rPr>
              <w:t>substantiellement</w:t>
            </w:r>
            <w:r w:rsidRPr="004E4188">
              <w:t xml:space="preserve"> </w:t>
            </w:r>
            <w:r w:rsidRPr="004E4188">
              <w:rPr>
                <w:spacing w:val="-4"/>
              </w:rPr>
              <w:t xml:space="preserve">conforme est une offre qui répond à toutes les exigences du Dossier d’appel d’offres, sans divergence, réserve </w:t>
            </w:r>
            <w:r w:rsidRPr="004E4188">
              <w:t>ou omission importante</w:t>
            </w:r>
            <w:r w:rsidRPr="004E4188">
              <w:rPr>
                <w:spacing w:val="-4"/>
              </w:rPr>
              <w:t xml:space="preserve">. Les divergences, réserves </w:t>
            </w:r>
            <w:r w:rsidRPr="004E4188">
              <w:t>ou omissions importantes</w:t>
            </w:r>
            <w:r w:rsidRPr="004E4188">
              <w:rPr>
                <w:spacing w:val="-4"/>
              </w:rPr>
              <w:t xml:space="preserve"> sont celles qui : </w:t>
            </w:r>
          </w:p>
          <w:p w14:paraId="1BD9A556" w14:textId="74B000D2" w:rsidR="006F129D" w:rsidRPr="004E4188" w:rsidRDefault="006F129D" w:rsidP="00D45EAD">
            <w:pPr>
              <w:suppressAutoHyphens w:val="0"/>
              <w:spacing w:after="200"/>
              <w:ind w:left="1026" w:hanging="425"/>
              <w:jc w:val="left"/>
            </w:pPr>
            <w:r w:rsidRPr="004E4188">
              <w:rPr>
                <w:spacing w:val="-4"/>
              </w:rPr>
              <w:t>(a)</w:t>
            </w:r>
            <w:r w:rsidRPr="004E4188">
              <w:rPr>
                <w:spacing w:val="-4"/>
                <w:lang w:eastAsia="ja-JP"/>
              </w:rPr>
              <w:tab/>
            </w:r>
            <w:r w:rsidRPr="004E4188">
              <w:rPr>
                <w:spacing w:val="-4"/>
              </w:rPr>
              <w:t>si elles étaient acceptées</w:t>
            </w:r>
            <w:r w:rsidR="00AA00F0" w:rsidRPr="004E4188">
              <w:rPr>
                <w:spacing w:val="-4"/>
              </w:rPr>
              <w:t> :</w:t>
            </w:r>
            <w:r w:rsidRPr="004E4188">
              <w:rPr>
                <w:spacing w:val="-4"/>
              </w:rPr>
              <w:t xml:space="preserve"> </w:t>
            </w:r>
          </w:p>
          <w:p w14:paraId="07A899A1" w14:textId="224D0B44" w:rsidR="006F129D" w:rsidRPr="004E4188" w:rsidRDefault="006F129D" w:rsidP="00D45EAD">
            <w:pPr>
              <w:suppressAutoHyphens w:val="0"/>
              <w:spacing w:after="200"/>
              <w:ind w:left="1451" w:hanging="425"/>
              <w:rPr>
                <w:spacing w:val="-4"/>
              </w:rPr>
            </w:pPr>
            <w:r w:rsidRPr="004E4188">
              <w:rPr>
                <w:spacing w:val="-4"/>
              </w:rPr>
              <w:t>(i)</w:t>
            </w:r>
            <w:r w:rsidRPr="004E4188">
              <w:rPr>
                <w:spacing w:val="-4"/>
                <w:lang w:eastAsia="ja-JP"/>
              </w:rPr>
              <w:tab/>
            </w:r>
            <w:r w:rsidRPr="004E4188">
              <w:rPr>
                <w:spacing w:val="-4"/>
              </w:rPr>
              <w:t xml:space="preserve">affecteraient de manière substantielle la portée, la qualité ou les performances </w:t>
            </w:r>
            <w:r w:rsidRPr="004E4188">
              <w:t xml:space="preserve">des </w:t>
            </w:r>
            <w:r w:rsidRPr="004E4188">
              <w:rPr>
                <w:szCs w:val="24"/>
              </w:rPr>
              <w:t>É</w:t>
            </w:r>
            <w:r w:rsidRPr="004E4188">
              <w:t>quipements et Services de montage</w:t>
            </w:r>
            <w:r w:rsidRPr="004E4188" w:rsidDel="00240DDE">
              <w:t xml:space="preserve"> </w:t>
            </w:r>
            <w:r w:rsidRPr="004E4188">
              <w:t xml:space="preserve">exigées </w:t>
            </w:r>
            <w:r w:rsidRPr="004E4188">
              <w:rPr>
                <w:spacing w:val="-4"/>
              </w:rPr>
              <w:t>au titre</w:t>
            </w:r>
            <w:r w:rsidRPr="004E4188">
              <w:t xml:space="preserve"> du Marché</w:t>
            </w:r>
            <w:r w:rsidR="00AA00F0" w:rsidRPr="004E4188">
              <w:rPr>
                <w:spacing w:val="-4"/>
              </w:rPr>
              <w:t>,</w:t>
            </w:r>
            <w:r w:rsidRPr="004E4188">
              <w:rPr>
                <w:spacing w:val="-4"/>
              </w:rPr>
              <w:t xml:space="preserve"> ou</w:t>
            </w:r>
          </w:p>
          <w:p w14:paraId="6A1A709B" w14:textId="77777777" w:rsidR="006F129D" w:rsidRPr="004E4188" w:rsidRDefault="006F129D" w:rsidP="00D45EAD">
            <w:pPr>
              <w:suppressAutoHyphens w:val="0"/>
              <w:spacing w:after="200"/>
              <w:ind w:left="1451" w:hanging="425"/>
            </w:pPr>
            <w:r w:rsidRPr="004E4188">
              <w:rPr>
                <w:spacing w:val="-4"/>
              </w:rPr>
              <w:t>(ii)</w:t>
            </w:r>
            <w:r w:rsidRPr="004E4188">
              <w:rPr>
                <w:spacing w:val="-4"/>
                <w:lang w:eastAsia="ja-JP"/>
              </w:rPr>
              <w:tab/>
            </w:r>
            <w:r w:rsidRPr="004E4188">
              <w:rPr>
                <w:spacing w:val="-4"/>
              </w:rPr>
              <w:t xml:space="preserve">limiteraient, d’une manière substantielle, en contradiction avec le Dossier d’appel d’offres, les droits du Maître d’ouvrage ou les obligations du Soumissionnaire au titre du Marché ; ou </w:t>
            </w:r>
          </w:p>
          <w:p w14:paraId="135ED037" w14:textId="77777777" w:rsidR="006F129D" w:rsidRPr="004E4188" w:rsidRDefault="006F129D" w:rsidP="00D45EAD">
            <w:pPr>
              <w:suppressAutoHyphens w:val="0"/>
              <w:spacing w:after="200"/>
              <w:ind w:left="1026" w:hanging="425"/>
            </w:pPr>
            <w:r w:rsidRPr="004E4188">
              <w:rPr>
                <w:spacing w:val="-4"/>
              </w:rPr>
              <w:t>(b)</w:t>
            </w:r>
            <w:r w:rsidRPr="004E4188">
              <w:rPr>
                <w:spacing w:val="-4"/>
                <w:lang w:eastAsia="ja-JP"/>
              </w:rPr>
              <w:tab/>
            </w:r>
            <w:r w:rsidRPr="004E4188">
              <w:rPr>
                <w:spacing w:val="-4"/>
              </w:rPr>
              <w:t xml:space="preserve">si elles étaient rectifiées, affecteraient injustement le classement concurrentiel des autres Soumissionnaires ayant présenté des offres </w:t>
            </w:r>
            <w:r w:rsidRPr="004E4188">
              <w:rPr>
                <w:szCs w:val="24"/>
              </w:rPr>
              <w:t>substantiellement</w:t>
            </w:r>
            <w:r w:rsidRPr="004E4188">
              <w:rPr>
                <w:spacing w:val="-4"/>
              </w:rPr>
              <w:t xml:space="preserve"> conformes.</w:t>
            </w:r>
          </w:p>
        </w:tc>
      </w:tr>
      <w:tr w:rsidR="006F129D" w:rsidRPr="004E4188" w14:paraId="158452B8" w14:textId="77777777" w:rsidTr="00D45EAD">
        <w:tc>
          <w:tcPr>
            <w:tcW w:w="2273" w:type="dxa"/>
            <w:tcBorders>
              <w:top w:val="nil"/>
              <w:left w:val="nil"/>
              <w:bottom w:val="nil"/>
              <w:right w:val="nil"/>
            </w:tcBorders>
          </w:tcPr>
          <w:p w14:paraId="72AF351B" w14:textId="77777777" w:rsidR="006F129D" w:rsidRPr="004E4188" w:rsidRDefault="006F129D" w:rsidP="00D45EAD"/>
        </w:tc>
        <w:tc>
          <w:tcPr>
            <w:tcW w:w="7015" w:type="dxa"/>
            <w:tcBorders>
              <w:top w:val="nil"/>
              <w:left w:val="nil"/>
              <w:bottom w:val="nil"/>
              <w:right w:val="nil"/>
            </w:tcBorders>
          </w:tcPr>
          <w:p w14:paraId="469530FD" w14:textId="22676188" w:rsidR="006F129D" w:rsidRPr="004E4188" w:rsidRDefault="006F129D" w:rsidP="00911875">
            <w:pPr>
              <w:tabs>
                <w:tab w:val="left" w:pos="576"/>
              </w:tabs>
              <w:spacing w:after="200"/>
              <w:ind w:left="576" w:hanging="576"/>
              <w:rPr>
                <w:bCs/>
                <w:lang w:eastAsia="en-US"/>
              </w:rPr>
            </w:pPr>
            <w:r w:rsidRPr="004E4188">
              <w:t>31.3</w:t>
            </w:r>
            <w:r w:rsidRPr="004E4188">
              <w:tab/>
              <w:t>Le Maître d’</w:t>
            </w:r>
            <w:r w:rsidRPr="004E4188">
              <w:rPr>
                <w:lang w:eastAsia="ja-JP"/>
              </w:rPr>
              <w:t>o</w:t>
            </w:r>
            <w:r w:rsidRPr="004E4188">
              <w:t>uvrage examinera les Offres Techniques, conformément à IS 16 et la Section III, Critères d’évaluation et de qualification, notamment pour s’assurer que toutes les exigences de la Section VI, Exigences du Maître d’ouvrage</w:t>
            </w:r>
            <w:r w:rsidR="00BF6635" w:rsidRPr="004E4188">
              <w:rPr>
                <w:rFonts w:hint="eastAsia"/>
                <w:lang w:eastAsia="ja-JP"/>
              </w:rPr>
              <w:t>,</w:t>
            </w:r>
            <w:r w:rsidRPr="004E4188">
              <w:t xml:space="preserve"> ont été satisfaites sans divergence, réserve ou omission importante.</w:t>
            </w:r>
            <w:r w:rsidRPr="004E4188">
              <w:rPr>
                <w:bCs/>
                <w:lang w:eastAsia="en-US"/>
              </w:rPr>
              <w:t xml:space="preserve"> Les pièces de rechange recommandées, le cas échéant, proposées par le Soumissionnaire, ne seront pas prises en considération lors de l’évaluation.</w:t>
            </w:r>
          </w:p>
          <w:p w14:paraId="644A67FD" w14:textId="00B5E176" w:rsidR="006F129D" w:rsidRPr="004E4188" w:rsidRDefault="006F129D" w:rsidP="00D45EAD">
            <w:pPr>
              <w:spacing w:after="200"/>
              <w:ind w:left="601" w:hanging="601"/>
            </w:pPr>
            <w:r w:rsidRPr="004E4188">
              <w:rPr>
                <w:lang w:eastAsia="en-US"/>
              </w:rPr>
              <w:tab/>
              <w:t>Si un fabricant ou un sous-traitant proposé en vertu d</w:t>
            </w:r>
            <w:r w:rsidRPr="004E4188">
              <w:rPr>
                <w:rFonts w:hint="eastAsia"/>
                <w:lang w:eastAsia="en-US"/>
              </w:rPr>
              <w:t>u</w:t>
            </w:r>
            <w:r w:rsidRPr="004E4188">
              <w:rPr>
                <w:lang w:eastAsia="en-US"/>
              </w:rPr>
              <w:t xml:space="preserve"> Critère 1.1.3 de la Section III, Critères d’évaluation et de qualification</w:t>
            </w:r>
            <w:r w:rsidR="00BF6635" w:rsidRPr="004E4188">
              <w:rPr>
                <w:lang w:eastAsia="en-US"/>
              </w:rPr>
              <w:t>,</w:t>
            </w:r>
            <w:r w:rsidRPr="004E4188">
              <w:rPr>
                <w:lang w:eastAsia="en-US"/>
              </w:rPr>
              <w:t xml:space="preserve"> est jugé inacceptable, l’offre ne sera pas rejetée, mais il sera demandé au Soumissionnaire qu’il remplace ce fabricant ou sous-traitant par un autre acceptable, sans que cela n’entraîne de changement dans le Montant de l’offre. Préalablement à la délivrance de la Lettre d’acceptation de l’offre, le formulaire correspondant qui doit être joint à l’Acte d’engagement sera complété, indiquant les fabricants et sous-traitants agréés pour chaque élément concerné.</w:t>
            </w:r>
          </w:p>
        </w:tc>
      </w:tr>
      <w:tr w:rsidR="006F129D" w:rsidRPr="004E4188" w14:paraId="3D9E86AE" w14:textId="77777777" w:rsidTr="00D45EAD">
        <w:tc>
          <w:tcPr>
            <w:tcW w:w="2273" w:type="dxa"/>
            <w:tcBorders>
              <w:top w:val="nil"/>
              <w:left w:val="nil"/>
              <w:bottom w:val="nil"/>
              <w:right w:val="nil"/>
            </w:tcBorders>
          </w:tcPr>
          <w:p w14:paraId="10660F59" w14:textId="77777777" w:rsidR="006F129D" w:rsidRPr="004E4188" w:rsidRDefault="006F129D" w:rsidP="00D45EAD">
            <w:pPr>
              <w:numPr>
                <w:ilvl w:val="12"/>
                <w:numId w:val="0"/>
              </w:numPr>
            </w:pPr>
            <w:bookmarkStart w:id="274" w:name="_Toc438532634"/>
            <w:bookmarkStart w:id="275" w:name="_Toc438532635"/>
            <w:bookmarkEnd w:id="274"/>
            <w:bookmarkEnd w:id="275"/>
          </w:p>
        </w:tc>
        <w:tc>
          <w:tcPr>
            <w:tcW w:w="7015" w:type="dxa"/>
            <w:tcBorders>
              <w:top w:val="nil"/>
              <w:left w:val="nil"/>
              <w:bottom w:val="nil"/>
              <w:right w:val="nil"/>
            </w:tcBorders>
          </w:tcPr>
          <w:p w14:paraId="36678D25" w14:textId="29B1C0EC" w:rsidR="006F129D" w:rsidRPr="004E4188" w:rsidRDefault="006F129D" w:rsidP="00D45EAD">
            <w:pPr>
              <w:spacing w:after="200"/>
              <w:ind w:left="601" w:hanging="601"/>
              <w:rPr>
                <w:spacing w:val="-4"/>
              </w:rPr>
            </w:pPr>
            <w:r w:rsidRPr="004E4188">
              <w:rPr>
                <w:spacing w:val="-4"/>
              </w:rPr>
              <w:t>31.4</w:t>
            </w:r>
            <w:r w:rsidRPr="004E4188">
              <w:rPr>
                <w:spacing w:val="-4"/>
              </w:rPr>
              <w:tab/>
              <w:t>Le Maître d’</w:t>
            </w:r>
            <w:r w:rsidRPr="004E4188">
              <w:rPr>
                <w:spacing w:val="-4"/>
                <w:lang w:eastAsia="ja-JP"/>
              </w:rPr>
              <w:t>o</w:t>
            </w:r>
            <w:r w:rsidRPr="004E4188">
              <w:rPr>
                <w:spacing w:val="-4"/>
              </w:rPr>
              <w:t xml:space="preserve">uvrage écartera toute </w:t>
            </w:r>
            <w:r w:rsidRPr="004E4188">
              <w:t>Offre Technique</w:t>
            </w:r>
            <w:r w:rsidRPr="004E4188">
              <w:rPr>
                <w:spacing w:val="-4"/>
              </w:rPr>
              <w:t xml:space="preserve"> qui n’est pas </w:t>
            </w:r>
            <w:r w:rsidRPr="004E4188">
              <w:rPr>
                <w:szCs w:val="24"/>
              </w:rPr>
              <w:t>substantiellement</w:t>
            </w:r>
            <w:r w:rsidRPr="004E4188">
              <w:rPr>
                <w:spacing w:val="-4"/>
              </w:rPr>
              <w:t xml:space="preserve"> conforme aux dispositions du Dossier d’appel d’offres et le Soumissionnaire ne pourra, par la suite, la rendre conforme en apportant des corrections aux divergences, réserves ou omissions importantes constatées. </w:t>
            </w:r>
          </w:p>
        </w:tc>
      </w:tr>
      <w:tr w:rsidR="006F129D" w:rsidRPr="004E4188" w14:paraId="3C5FE323" w14:textId="77777777" w:rsidTr="00D45EAD">
        <w:tc>
          <w:tcPr>
            <w:tcW w:w="2273" w:type="dxa"/>
            <w:tcBorders>
              <w:top w:val="nil"/>
              <w:left w:val="nil"/>
              <w:right w:val="nil"/>
            </w:tcBorders>
          </w:tcPr>
          <w:p w14:paraId="05A18A92" w14:textId="6E0B4E2C" w:rsidR="006F129D" w:rsidRPr="004E4188" w:rsidRDefault="006F129D" w:rsidP="008A28CD">
            <w:pPr>
              <w:pStyle w:val="S1-Header20"/>
            </w:pPr>
            <w:bookmarkStart w:id="276" w:name="_Toc438438854"/>
            <w:bookmarkStart w:id="277" w:name="_Toc438532636"/>
            <w:bookmarkStart w:id="278" w:name="_Toc438733998"/>
            <w:bookmarkStart w:id="279" w:name="_Toc438907035"/>
            <w:bookmarkStart w:id="280" w:name="_Toc438907234"/>
            <w:bookmarkStart w:id="281" w:name="_Toc156373314"/>
            <w:bookmarkStart w:id="282" w:name="_Toc113293322"/>
            <w:r w:rsidRPr="004E4188">
              <w:t>32.</w:t>
            </w:r>
            <w:r w:rsidRPr="004E4188">
              <w:rPr>
                <w:lang w:eastAsia="ja-JP"/>
              </w:rPr>
              <w:tab/>
            </w:r>
            <w:r w:rsidRPr="004E4188">
              <w:rPr>
                <w:iCs/>
                <w:lang w:val="en-GB"/>
              </w:rPr>
              <w:t>Non</w:t>
            </w:r>
            <w:r w:rsidRPr="004E4188">
              <w:t>-conformité</w:t>
            </w:r>
            <w:bookmarkStart w:id="283" w:name="_Hlt438533232"/>
            <w:bookmarkEnd w:id="276"/>
            <w:bookmarkEnd w:id="277"/>
            <w:bookmarkEnd w:id="278"/>
            <w:bookmarkEnd w:id="279"/>
            <w:bookmarkEnd w:id="280"/>
            <w:bookmarkEnd w:id="281"/>
            <w:bookmarkEnd w:id="283"/>
            <w:r w:rsidRPr="004E4188">
              <w:t>s non essentielles</w:t>
            </w:r>
            <w:bookmarkEnd w:id="282"/>
          </w:p>
        </w:tc>
        <w:tc>
          <w:tcPr>
            <w:tcW w:w="7015" w:type="dxa"/>
            <w:tcBorders>
              <w:top w:val="nil"/>
              <w:left w:val="nil"/>
              <w:right w:val="nil"/>
            </w:tcBorders>
          </w:tcPr>
          <w:p w14:paraId="214DAFD9" w14:textId="68A88449" w:rsidR="006F129D" w:rsidRPr="004E4188" w:rsidRDefault="006F129D" w:rsidP="00D45EAD">
            <w:pPr>
              <w:spacing w:after="200"/>
              <w:ind w:left="601" w:hanging="601"/>
            </w:pPr>
            <w:r w:rsidRPr="004E4188">
              <w:t>32.1</w:t>
            </w:r>
            <w:r w:rsidRPr="004E4188">
              <w:tab/>
              <w:t xml:space="preserve">Lorsqu’une Offre </w:t>
            </w:r>
            <w:r w:rsidRPr="004E4188">
              <w:rPr>
                <w:spacing w:val="-4"/>
              </w:rPr>
              <w:t>Technique</w:t>
            </w:r>
            <w:r w:rsidRPr="004E4188">
              <w:t xml:space="preserve"> est </w:t>
            </w:r>
            <w:r w:rsidRPr="004E4188">
              <w:rPr>
                <w:szCs w:val="24"/>
              </w:rPr>
              <w:t>substantiellement</w:t>
            </w:r>
            <w:r w:rsidRPr="004E4188">
              <w:t xml:space="preserve"> conforme, le Maître d’ouvrage peut accepter toute non-conformité (divergence, réserve ou omission) dans l’Offre Technique.</w:t>
            </w:r>
          </w:p>
        </w:tc>
      </w:tr>
      <w:tr w:rsidR="006F129D" w:rsidRPr="004E4188" w14:paraId="2A819A89" w14:textId="77777777" w:rsidTr="00D45EAD">
        <w:tc>
          <w:tcPr>
            <w:tcW w:w="2273" w:type="dxa"/>
            <w:tcBorders>
              <w:top w:val="nil"/>
              <w:left w:val="nil"/>
              <w:right w:val="nil"/>
            </w:tcBorders>
          </w:tcPr>
          <w:p w14:paraId="45997E3F" w14:textId="77777777" w:rsidR="006F129D" w:rsidRPr="004E4188" w:rsidRDefault="006F129D" w:rsidP="00D45EAD">
            <w:pPr>
              <w:spacing w:after="120"/>
              <w:ind w:left="576" w:hanging="576"/>
            </w:pPr>
            <w:bookmarkStart w:id="284" w:name="_Toc438532637"/>
            <w:bookmarkEnd w:id="284"/>
          </w:p>
        </w:tc>
        <w:tc>
          <w:tcPr>
            <w:tcW w:w="7015" w:type="dxa"/>
            <w:tcBorders>
              <w:top w:val="nil"/>
              <w:left w:val="nil"/>
              <w:right w:val="nil"/>
            </w:tcBorders>
          </w:tcPr>
          <w:p w14:paraId="2C8D0A22" w14:textId="2A5B5E82" w:rsidR="006F129D" w:rsidRPr="004E4188" w:rsidRDefault="006F129D" w:rsidP="00D45EAD">
            <w:pPr>
              <w:spacing w:after="200"/>
              <w:ind w:left="601" w:hanging="601"/>
            </w:pPr>
            <w:r w:rsidRPr="004E4188">
              <w:t>32.2</w:t>
            </w:r>
            <w:r w:rsidRPr="004E4188">
              <w:tab/>
              <w:t xml:space="preserve">Lorsqu’une Offre Technique est </w:t>
            </w:r>
            <w:r w:rsidRPr="004E4188">
              <w:rPr>
                <w:szCs w:val="24"/>
              </w:rPr>
              <w:t>substantiellement</w:t>
            </w:r>
            <w:r w:rsidRPr="004E4188">
              <w:t xml:space="preserve"> conforme, le Maître d’ouvrage peut demander au Soumissionnaire de présenter, dans un délai raisonnable, les informations ou l</w:t>
            </w:r>
            <w:r w:rsidR="006F7C88" w:rsidRPr="004E4188">
              <w:t>es</w:t>
            </w:r>
            <w:r w:rsidRPr="004E4188">
              <w:t xml:space="preserve"> document</w:t>
            </w:r>
            <w:r w:rsidR="006F7C88" w:rsidRPr="004E4188">
              <w:t>s</w:t>
            </w:r>
            <w:r w:rsidRPr="004E4188">
              <w:t xml:space="preserve"> nécessaires pour remédier aux non-conformités non essentielles</w:t>
            </w:r>
            <w:r w:rsidRPr="004E4188">
              <w:rPr>
                <w:szCs w:val="24"/>
              </w:rPr>
              <w:t xml:space="preserve"> constatées</w:t>
            </w:r>
            <w:r w:rsidRPr="004E4188">
              <w:t xml:space="preserve"> dans l’Offre Technique </w:t>
            </w:r>
            <w:r w:rsidRPr="004E4188">
              <w:rPr>
                <w:szCs w:val="24"/>
              </w:rPr>
              <w:t xml:space="preserve">concernant </w:t>
            </w:r>
            <w:r w:rsidRPr="004E4188">
              <w:t xml:space="preserve">la documentation requise par le Dossier d’appel d’offres. Une telle demande ne peut, en </w:t>
            </w:r>
            <w:r w:rsidRPr="004E4188">
              <w:rPr>
                <w:spacing w:val="-4"/>
              </w:rPr>
              <w:t>aucun</w:t>
            </w:r>
            <w:r w:rsidRPr="004E4188">
              <w:t xml:space="preserve"> cas, porter sur un élément </w:t>
            </w:r>
            <w:r w:rsidRPr="004E4188">
              <w:rPr>
                <w:szCs w:val="24"/>
              </w:rPr>
              <w:t>quelconque</w:t>
            </w:r>
            <w:r w:rsidRPr="004E4188">
              <w:t xml:space="preserve"> de l’Offre Financière. Le Soumissionnaire qui ne donnerait pas suite à cette demande peut voir son offre rejetée. </w:t>
            </w:r>
          </w:p>
          <w:p w14:paraId="39CA8CA0" w14:textId="2F3F56EC" w:rsidR="006F129D" w:rsidRPr="004E4188" w:rsidRDefault="006F129D" w:rsidP="00D45EAD">
            <w:pPr>
              <w:spacing w:after="200"/>
              <w:ind w:left="601" w:hanging="601"/>
            </w:pPr>
            <w:r w:rsidRPr="004E4188">
              <w:t>32.3</w:t>
            </w:r>
            <w:r w:rsidRPr="004E4188">
              <w:tab/>
              <w:t xml:space="preserve">Lorsqu’une Offre Technique est </w:t>
            </w:r>
            <w:r w:rsidRPr="004E4188">
              <w:rPr>
                <w:szCs w:val="24"/>
              </w:rPr>
              <w:t>substantiellement</w:t>
            </w:r>
            <w:r w:rsidRPr="004E4188">
              <w:t xml:space="preserve"> conforme, le Maître d’ouvrage rectifiera les non-conformités non essentielles quantifiables liées au Montant de l’offre. </w:t>
            </w:r>
            <w:r w:rsidR="0072430E" w:rsidRPr="004E4188">
              <w:t xml:space="preserve">À </w:t>
            </w:r>
            <w:r w:rsidRPr="004E4188">
              <w:t xml:space="preserve">cet effet, le Montant de l’offre sera ajusté, uniquement aux fins de l’évaluation, pour tenir compte du prix d’un poste ou d’un élément manquant ou non conforme, </w:t>
            </w:r>
            <w:r w:rsidRPr="004E4188">
              <w:rPr>
                <w:szCs w:val="24"/>
              </w:rPr>
              <w:t xml:space="preserve">en ajoutant la moyenne des </w:t>
            </w:r>
            <w:r w:rsidRPr="004E4188">
              <w:t>prix</w:t>
            </w:r>
            <w:r w:rsidRPr="004E4188">
              <w:rPr>
                <w:szCs w:val="24"/>
              </w:rPr>
              <w:t xml:space="preserve"> fournis pour le </w:t>
            </w:r>
            <w:r w:rsidRPr="004E4188">
              <w:t>poste ou élément par les autres soumissionnaires ayant remis des offres substantiellement conformes</w:t>
            </w:r>
            <w:r w:rsidRPr="004E4188">
              <w:rPr>
                <w:szCs w:val="24"/>
              </w:rPr>
              <w:t xml:space="preserve">. Si le prix de ce </w:t>
            </w:r>
            <w:r w:rsidRPr="004E4188">
              <w:t>poste ou élément</w:t>
            </w:r>
            <w:r w:rsidRPr="004E4188">
              <w:rPr>
                <w:szCs w:val="24"/>
              </w:rPr>
              <w:t xml:space="preserve"> ne peut pas être estimé par la prise en compte du prix des autres offres </w:t>
            </w:r>
            <w:r w:rsidRPr="004E4188">
              <w:t>substantiellement conformes</w:t>
            </w:r>
            <w:r w:rsidRPr="004E4188">
              <w:rPr>
                <w:szCs w:val="24"/>
              </w:rPr>
              <w:t>, le Maître d’ouvrage fera sa propre estimation</w:t>
            </w:r>
            <w:r w:rsidRPr="004E4188">
              <w:t>.</w:t>
            </w:r>
          </w:p>
        </w:tc>
      </w:tr>
      <w:tr w:rsidR="006F129D" w:rsidRPr="004E4188" w14:paraId="3DA82C1D" w14:textId="77777777" w:rsidTr="00D45EAD">
        <w:tc>
          <w:tcPr>
            <w:tcW w:w="2273" w:type="dxa"/>
            <w:tcBorders>
              <w:left w:val="nil"/>
              <w:bottom w:val="nil"/>
              <w:right w:val="nil"/>
            </w:tcBorders>
          </w:tcPr>
          <w:p w14:paraId="02B35053" w14:textId="1D2F3B0A" w:rsidR="006F129D" w:rsidRPr="004E4188" w:rsidRDefault="006F129D" w:rsidP="008A28CD">
            <w:pPr>
              <w:pStyle w:val="S1-Header20"/>
            </w:pPr>
            <w:bookmarkStart w:id="285" w:name="_Toc438532638"/>
            <w:bookmarkStart w:id="286" w:name="_Toc438532639"/>
            <w:bookmarkStart w:id="287" w:name="_Toc156373315"/>
            <w:bookmarkStart w:id="288" w:name="_Toc113293323"/>
            <w:bookmarkEnd w:id="285"/>
            <w:bookmarkEnd w:id="286"/>
            <w:r w:rsidRPr="004E4188">
              <w:t>33.</w:t>
            </w:r>
            <w:r w:rsidRPr="004E4188">
              <w:tab/>
              <w:t>Correction des erreurs arithmétiques</w:t>
            </w:r>
            <w:bookmarkEnd w:id="287"/>
            <w:bookmarkEnd w:id="288"/>
          </w:p>
        </w:tc>
        <w:tc>
          <w:tcPr>
            <w:tcW w:w="7015" w:type="dxa"/>
            <w:tcBorders>
              <w:left w:val="nil"/>
              <w:bottom w:val="nil"/>
              <w:right w:val="nil"/>
            </w:tcBorders>
          </w:tcPr>
          <w:p w14:paraId="341D2E76" w14:textId="503137F3" w:rsidR="006F129D" w:rsidRPr="004E4188" w:rsidRDefault="006F129D" w:rsidP="00D45EAD">
            <w:pPr>
              <w:spacing w:after="200"/>
              <w:ind w:left="601" w:hanging="601"/>
            </w:pPr>
            <w:r w:rsidRPr="004E4188">
              <w:t>33.1</w:t>
            </w:r>
            <w:r w:rsidRPr="004E4188">
              <w:tab/>
              <w:t>Le Maître d’</w:t>
            </w:r>
            <w:r w:rsidRPr="004E4188">
              <w:rPr>
                <w:rFonts w:cs="HBKMBP+TimesNewRoman"/>
                <w:color w:val="000000"/>
                <w:szCs w:val="24"/>
              </w:rPr>
              <w:t>ouvrage</w:t>
            </w:r>
            <w:r w:rsidRPr="004E4188">
              <w:t xml:space="preserve"> rectifiera les erreurs arithmétiques d’une offre substantiellement conforme sur la base suivante :</w:t>
            </w:r>
          </w:p>
          <w:p w14:paraId="5E8C2216" w14:textId="325EC167" w:rsidR="006F129D" w:rsidRPr="004E4188" w:rsidRDefault="006F129D" w:rsidP="00D45EAD">
            <w:pPr>
              <w:suppressAutoHyphens w:val="0"/>
              <w:spacing w:after="200"/>
              <w:ind w:left="1026" w:hanging="425"/>
              <w:rPr>
                <w:spacing w:val="-4"/>
              </w:rPr>
            </w:pPr>
            <w:r w:rsidRPr="004E4188">
              <w:t>(a)</w:t>
            </w:r>
            <w:r w:rsidRPr="004E4188">
              <w:tab/>
              <w:t>lorsqu’il y a erreur entre le total des montants inscrits dans la colonne du détail du prix et le montant figurant comme prix total, le total des montants inscrits dans la colonne du détail du prix fera foi et le montant figurant comme prix total sera corrigé en conséq</w:t>
            </w:r>
            <w:r w:rsidRPr="004E4188">
              <w:rPr>
                <w:spacing w:val="-4"/>
              </w:rPr>
              <w:t xml:space="preserve">uence ; </w:t>
            </w:r>
          </w:p>
          <w:p w14:paraId="41047FD5" w14:textId="62D4D441" w:rsidR="006F129D" w:rsidRPr="004E4188" w:rsidRDefault="006F129D" w:rsidP="00D45EAD">
            <w:pPr>
              <w:suppressAutoHyphens w:val="0"/>
              <w:spacing w:after="200"/>
              <w:ind w:left="1026" w:hanging="425"/>
            </w:pPr>
            <w:r w:rsidRPr="004E4188">
              <w:rPr>
                <w:spacing w:val="-4"/>
              </w:rPr>
              <w:t>(b)</w:t>
            </w:r>
            <w:r w:rsidRPr="004E4188">
              <w:rPr>
                <w:spacing w:val="-4"/>
              </w:rPr>
              <w:tab/>
              <w:t xml:space="preserve">lorsqu’il y a </w:t>
            </w:r>
            <w:r w:rsidRPr="004E4188">
              <w:t xml:space="preserve">erreur entre le total des montants des Bordereaux n°1 à 5 et le montant figurant au tableau récapitulatif, </w:t>
            </w:r>
            <w:r w:rsidRPr="004E4188">
              <w:rPr>
                <w:lang w:eastAsia="en-US"/>
              </w:rPr>
              <w:t>le total des montants des Bordereaux n°1 à 5</w:t>
            </w:r>
            <w:r w:rsidRPr="004E4188">
              <w:t xml:space="preserve"> fera foi et le montant figurant au tableau récapitulatif sera corrigé en conséquence ; et </w:t>
            </w:r>
          </w:p>
          <w:p w14:paraId="64A8E00D" w14:textId="62B0B503" w:rsidR="006F129D" w:rsidRPr="004E4188" w:rsidRDefault="006F129D" w:rsidP="00D45EAD">
            <w:pPr>
              <w:suppressAutoHyphens w:val="0"/>
              <w:spacing w:after="200"/>
              <w:ind w:left="1026" w:hanging="425"/>
            </w:pPr>
            <w:r w:rsidRPr="004E4188">
              <w:t>(c)</w:t>
            </w:r>
            <w:r w:rsidRPr="004E4188">
              <w:tab/>
              <w:t>lorsqu’il existe une contradiction entre le montant indiqué en lettres et le montant indiqué en chiffres, le montant en lettres fera foi, à moins que ce montant ne comporte une erreur arithmétique, auquel cas le montant en chiffres prévaudra sous réserve des alinéas (a) et (b) ci-dessus.</w:t>
            </w:r>
          </w:p>
        </w:tc>
      </w:tr>
      <w:tr w:rsidR="006F129D" w:rsidRPr="004E4188" w14:paraId="542CB945" w14:textId="77777777" w:rsidTr="00D45EAD">
        <w:tc>
          <w:tcPr>
            <w:tcW w:w="2273" w:type="dxa"/>
            <w:tcBorders>
              <w:top w:val="nil"/>
              <w:left w:val="nil"/>
              <w:bottom w:val="nil"/>
              <w:right w:val="nil"/>
            </w:tcBorders>
          </w:tcPr>
          <w:p w14:paraId="77B122C2" w14:textId="77777777" w:rsidR="006F129D" w:rsidRPr="004E4188" w:rsidRDefault="006F129D" w:rsidP="00D45EAD">
            <w:bookmarkStart w:id="289" w:name="_Toc438532640"/>
            <w:bookmarkStart w:id="290" w:name="_Toc438532641"/>
            <w:bookmarkEnd w:id="289"/>
            <w:bookmarkEnd w:id="290"/>
          </w:p>
        </w:tc>
        <w:tc>
          <w:tcPr>
            <w:tcW w:w="7015" w:type="dxa"/>
            <w:tcBorders>
              <w:top w:val="nil"/>
              <w:left w:val="nil"/>
              <w:bottom w:val="nil"/>
              <w:right w:val="nil"/>
            </w:tcBorders>
          </w:tcPr>
          <w:p w14:paraId="618F5E97" w14:textId="58C22BF1" w:rsidR="006F129D" w:rsidRPr="004E4188" w:rsidRDefault="006F129D" w:rsidP="0021591A">
            <w:pPr>
              <w:spacing w:after="200"/>
              <w:ind w:left="601" w:hanging="601"/>
            </w:pPr>
            <w:r w:rsidRPr="004E4188">
              <w:t>33.2</w:t>
            </w:r>
            <w:r w:rsidRPr="004E4188">
              <w:tab/>
              <w:t xml:space="preserve">Il sera demandé au Soumissionnaire d’accepter la correction des erreurs arithmétiques effectuée conformément à IS 33.1. S’ils refusent de le faire, leur offre sera rejetée. </w:t>
            </w:r>
          </w:p>
        </w:tc>
      </w:tr>
      <w:tr w:rsidR="006F129D" w:rsidRPr="004E4188" w14:paraId="5D143195" w14:textId="77777777" w:rsidTr="00D45EAD">
        <w:tc>
          <w:tcPr>
            <w:tcW w:w="2273" w:type="dxa"/>
            <w:tcBorders>
              <w:top w:val="nil"/>
              <w:left w:val="nil"/>
              <w:bottom w:val="nil"/>
              <w:right w:val="nil"/>
            </w:tcBorders>
          </w:tcPr>
          <w:p w14:paraId="52CC73EB" w14:textId="7E6169EE" w:rsidR="006F129D" w:rsidRPr="004E4188" w:rsidRDefault="006F129D" w:rsidP="008A28CD">
            <w:pPr>
              <w:pStyle w:val="S1-Header20"/>
              <w:rPr>
                <w:lang w:val="fr-FR"/>
              </w:rPr>
            </w:pPr>
            <w:bookmarkStart w:id="291" w:name="_Toc438532643"/>
            <w:bookmarkStart w:id="292" w:name="_Toc438532644"/>
            <w:bookmarkStart w:id="293" w:name="_Toc438438857"/>
            <w:bookmarkStart w:id="294" w:name="_Toc438532646"/>
            <w:bookmarkStart w:id="295" w:name="_Toc438734001"/>
            <w:bookmarkStart w:id="296" w:name="_Toc438907038"/>
            <w:bookmarkStart w:id="297" w:name="_Toc438907237"/>
            <w:bookmarkStart w:id="298" w:name="_Toc156373316"/>
            <w:bookmarkStart w:id="299" w:name="_Toc113293324"/>
            <w:bookmarkEnd w:id="291"/>
            <w:bookmarkEnd w:id="292"/>
            <w:r w:rsidRPr="004E4188">
              <w:rPr>
                <w:lang w:val="fr-FR"/>
              </w:rPr>
              <w:t>34.</w:t>
            </w:r>
            <w:r w:rsidRPr="004E4188">
              <w:rPr>
                <w:lang w:val="fr-FR"/>
              </w:rPr>
              <w:tab/>
              <w:t>Conversion en une seule monnaie</w:t>
            </w:r>
            <w:bookmarkEnd w:id="293"/>
            <w:bookmarkEnd w:id="294"/>
            <w:bookmarkEnd w:id="295"/>
            <w:bookmarkEnd w:id="296"/>
            <w:bookmarkEnd w:id="297"/>
            <w:bookmarkEnd w:id="298"/>
            <w:bookmarkEnd w:id="299"/>
          </w:p>
        </w:tc>
        <w:tc>
          <w:tcPr>
            <w:tcW w:w="7015" w:type="dxa"/>
            <w:tcBorders>
              <w:top w:val="nil"/>
              <w:left w:val="nil"/>
              <w:bottom w:val="nil"/>
              <w:right w:val="nil"/>
            </w:tcBorders>
          </w:tcPr>
          <w:p w14:paraId="0887CEC6" w14:textId="5417FB59" w:rsidR="006F129D" w:rsidRPr="004E4188" w:rsidRDefault="006F129D" w:rsidP="00D45EAD">
            <w:pPr>
              <w:spacing w:after="200"/>
              <w:ind w:left="601" w:hanging="601"/>
            </w:pPr>
            <w:r w:rsidRPr="004E4188">
              <w:t>34.1</w:t>
            </w:r>
            <w:r w:rsidRPr="004E4188">
              <w:tab/>
              <w:t>Aux fins de l’évaluation et de la comparaison des offres, les monnaies dans lesquelles les offres sont libellées seront converties dans la monnaie unique</w:t>
            </w:r>
            <w:r w:rsidRPr="004E4188">
              <w:rPr>
                <w:b/>
              </w:rPr>
              <w:t xml:space="preserve"> spécifiée dans les DP</w:t>
            </w:r>
            <w:r w:rsidRPr="004E4188">
              <w:t>. Le Maître d’ouvrage convertira les montants des offres, corrigés conformément à IS</w:t>
            </w:r>
            <w:r w:rsidR="00F826CF" w:rsidRPr="004E4188">
              <w:t> </w:t>
            </w:r>
            <w:r w:rsidRPr="004E4188">
              <w:t xml:space="preserve">33, libellés en diverses monnaies dans la monnaie unique spécifiée ci-dessus, en utilisant les </w:t>
            </w:r>
            <w:r w:rsidRPr="004E4188">
              <w:rPr>
                <w:rFonts w:hint="eastAsia"/>
                <w:lang w:eastAsia="ja-JP"/>
              </w:rPr>
              <w:t>c</w:t>
            </w:r>
            <w:r w:rsidRPr="004E4188">
              <w:rPr>
                <w:lang w:eastAsia="ja-JP"/>
              </w:rPr>
              <w:t>ours de vente</w:t>
            </w:r>
            <w:r w:rsidRPr="004E4188">
              <w:t xml:space="preserve"> établis pour des transactions similaires par la source et à la date</w:t>
            </w:r>
            <w:r w:rsidRPr="004E4188">
              <w:rPr>
                <w:b/>
              </w:rPr>
              <w:t xml:space="preserve"> indiquées dans les DP</w:t>
            </w:r>
            <w:r w:rsidRPr="004E4188">
              <w:t>.</w:t>
            </w:r>
          </w:p>
        </w:tc>
      </w:tr>
      <w:tr w:rsidR="006F129D" w:rsidRPr="004E4188" w14:paraId="093F6F34" w14:textId="77777777" w:rsidTr="00D45EAD">
        <w:tc>
          <w:tcPr>
            <w:tcW w:w="2273" w:type="dxa"/>
            <w:tcBorders>
              <w:top w:val="nil"/>
              <w:left w:val="nil"/>
              <w:bottom w:val="nil"/>
              <w:right w:val="nil"/>
            </w:tcBorders>
          </w:tcPr>
          <w:p w14:paraId="0E45D8CA" w14:textId="7478BF40" w:rsidR="006F129D" w:rsidRPr="004E4188" w:rsidRDefault="0001780E" w:rsidP="008A28CD">
            <w:pPr>
              <w:pStyle w:val="S1-Header20"/>
            </w:pPr>
            <w:bookmarkStart w:id="300" w:name="_Toc438532649"/>
            <w:bookmarkStart w:id="301" w:name="_Toc113293325"/>
            <w:bookmarkEnd w:id="300"/>
            <w:r w:rsidRPr="004E4188">
              <w:t>35.</w:t>
            </w:r>
            <w:r w:rsidRPr="004E4188">
              <w:tab/>
            </w:r>
            <w:r w:rsidRPr="004E4188">
              <w:rPr>
                <w:lang w:val="fr-FR"/>
              </w:rPr>
              <w:t>Évaluation</w:t>
            </w:r>
            <w:r w:rsidRPr="004E4188">
              <w:t xml:space="preserve"> des Offres Financières</w:t>
            </w:r>
            <w:bookmarkEnd w:id="301"/>
          </w:p>
        </w:tc>
        <w:tc>
          <w:tcPr>
            <w:tcW w:w="7015" w:type="dxa"/>
            <w:tcBorders>
              <w:top w:val="nil"/>
              <w:left w:val="nil"/>
              <w:bottom w:val="nil"/>
              <w:right w:val="nil"/>
            </w:tcBorders>
          </w:tcPr>
          <w:p w14:paraId="289A720F" w14:textId="1F750ABF" w:rsidR="006F129D" w:rsidRPr="004E4188" w:rsidRDefault="006F129D" w:rsidP="00D45EAD">
            <w:pPr>
              <w:spacing w:after="200"/>
              <w:ind w:left="601" w:hanging="601"/>
            </w:pPr>
            <w:r w:rsidRPr="004E4188">
              <w:t>35.1</w:t>
            </w:r>
            <w:r w:rsidRPr="004E4188">
              <w:tab/>
              <w:t>Pour évaluer les Offres Financières, le Maître d’ouvrage prendra en compte les éléments ci-après :</w:t>
            </w:r>
          </w:p>
          <w:p w14:paraId="48167786" w14:textId="0E45724D" w:rsidR="006F129D" w:rsidRPr="004E4188" w:rsidRDefault="006F129D" w:rsidP="00D45EAD">
            <w:pPr>
              <w:suppressAutoHyphens w:val="0"/>
              <w:spacing w:after="200"/>
              <w:ind w:left="1026" w:hanging="425"/>
            </w:pPr>
            <w:r w:rsidRPr="004E4188">
              <w:t>(a)</w:t>
            </w:r>
            <w:r w:rsidRPr="004E4188">
              <w:tab/>
              <w:t>le Montant de l’offre, en excluant les sommes provisionnelles de nature spécifique et, le cas échéant, les provisions pour risque figurant dans le table</w:t>
            </w:r>
            <w:r w:rsidR="000153F5" w:rsidRPr="004E4188">
              <w:t>a</w:t>
            </w:r>
            <w:r w:rsidRPr="004E4188">
              <w:t>u récapitulatif des Bordereaux des prix ;</w:t>
            </w:r>
          </w:p>
          <w:p w14:paraId="20F433DC" w14:textId="1DE26FB1" w:rsidR="006F129D" w:rsidRPr="004E4188" w:rsidRDefault="006F129D" w:rsidP="00D45EAD">
            <w:pPr>
              <w:suppressAutoHyphens w:val="0"/>
              <w:spacing w:after="200"/>
              <w:ind w:left="1026" w:hanging="425"/>
            </w:pPr>
            <w:r w:rsidRPr="004E4188">
              <w:t>(b)</w:t>
            </w:r>
            <w:r w:rsidRPr="004E4188">
              <w:tab/>
              <w:t>les ajustements apportés au prix pour rectifier les erreurs arithmétiques conformément à IS 33.1 ;</w:t>
            </w:r>
          </w:p>
          <w:p w14:paraId="53765324" w14:textId="42BE5060" w:rsidR="006F129D" w:rsidRPr="004E4188" w:rsidRDefault="006F129D" w:rsidP="00D45EAD">
            <w:pPr>
              <w:suppressAutoHyphens w:val="0"/>
              <w:spacing w:after="200"/>
              <w:ind w:left="1026" w:hanging="425"/>
            </w:pPr>
            <w:r w:rsidRPr="004E4188">
              <w:t>(c)</w:t>
            </w:r>
            <w:r w:rsidRPr="004E4188">
              <w:tab/>
              <w:t>les ajustements imputables aux rabais offerts, conformément à IS 14.6 ;</w:t>
            </w:r>
          </w:p>
          <w:p w14:paraId="7D606C35" w14:textId="1A1E37E3" w:rsidR="006F129D" w:rsidRPr="004E4188" w:rsidRDefault="006F129D" w:rsidP="00D45EAD">
            <w:pPr>
              <w:suppressAutoHyphens w:val="0"/>
              <w:spacing w:after="200"/>
              <w:ind w:left="1026" w:hanging="425"/>
            </w:pPr>
            <w:r w:rsidRPr="004E4188">
              <w:t>(d)</w:t>
            </w:r>
            <w:r w:rsidRPr="004E4188">
              <w:tab/>
              <w:t>les ajustements résultant de l’utilisation des facteurs d’évaluation additionnels figurant à la Section III, Critères d’évaluation et de qualification ;</w:t>
            </w:r>
            <w:r w:rsidRPr="004E4188" w:rsidDel="007C02B5">
              <w:t xml:space="preserve"> </w:t>
            </w:r>
          </w:p>
          <w:p w14:paraId="47A5B501" w14:textId="424FD78B" w:rsidR="0001780E" w:rsidRPr="004E4188" w:rsidRDefault="006F129D" w:rsidP="00D45EAD">
            <w:pPr>
              <w:suppressAutoHyphens w:val="0"/>
              <w:spacing w:after="200"/>
              <w:ind w:left="1026" w:hanging="425"/>
            </w:pPr>
            <w:r w:rsidRPr="004E4188">
              <w:t>(e)</w:t>
            </w:r>
            <w:r w:rsidRPr="004E4188">
              <w:tab/>
              <w:t xml:space="preserve">les ajustements apportés pour rectifier les non-conformités non essentielles quantifiables, conformément à IS 32.3 ; </w:t>
            </w:r>
            <w:r w:rsidRPr="004E4188">
              <w:rPr>
                <w:rFonts w:hint="eastAsia"/>
                <w:lang w:eastAsia="ja-JP"/>
              </w:rPr>
              <w:t>e</w:t>
            </w:r>
            <w:r w:rsidRPr="004E4188">
              <w:rPr>
                <w:lang w:eastAsia="ja-JP"/>
              </w:rPr>
              <w:t>t</w:t>
            </w:r>
          </w:p>
          <w:p w14:paraId="4232D05A" w14:textId="3EA99ACE" w:rsidR="006F129D" w:rsidRPr="004E4188" w:rsidRDefault="006F129D" w:rsidP="00D45EAD">
            <w:pPr>
              <w:suppressAutoHyphens w:val="0"/>
              <w:spacing w:after="200"/>
              <w:ind w:left="1026" w:hanging="425"/>
            </w:pPr>
            <w:r w:rsidRPr="004E4188">
              <w:rPr>
                <w:lang w:eastAsia="ja-JP"/>
              </w:rPr>
              <w:t>(f)</w:t>
            </w:r>
            <w:r w:rsidRPr="004E4188">
              <w:rPr>
                <w:lang w:eastAsia="ja-JP"/>
              </w:rPr>
              <w:tab/>
            </w:r>
            <w:r w:rsidRPr="004E4188">
              <w:t>la conversion en une seule monnaie des montants résultant des opérations (a), (b), (c)</w:t>
            </w:r>
            <w:r w:rsidRPr="004E4188">
              <w:rPr>
                <w:rFonts w:hint="eastAsia"/>
              </w:rPr>
              <w:t>,</w:t>
            </w:r>
            <w:r w:rsidRPr="004E4188">
              <w:t xml:space="preserve"> (d) et (e) ci-dessus, le cas échéant, conformément à IS 34.</w:t>
            </w:r>
          </w:p>
          <w:p w14:paraId="326FE20A" w14:textId="77777777" w:rsidR="006F129D" w:rsidRPr="004E4188" w:rsidRDefault="006F129D" w:rsidP="0001780E">
            <w:pPr>
              <w:pStyle w:val="StyleHeader1-ClausesAfter0pt"/>
              <w:ind w:left="601"/>
              <w:rPr>
                <w:lang w:val="fr-FR"/>
              </w:rPr>
            </w:pPr>
            <w:r w:rsidRPr="004E4188">
              <w:rPr>
                <w:lang w:val="fr-FR"/>
              </w:rPr>
              <w:t>Le coût des pièces de rechange recommandées, le cas échéant, chiffré dans les Bordereaux des prix ne sera pas pris en considération lors de l’évaluation.</w:t>
            </w:r>
          </w:p>
        </w:tc>
      </w:tr>
      <w:tr w:rsidR="006F129D" w:rsidRPr="004E4188" w14:paraId="335E2968" w14:textId="77777777" w:rsidTr="00D45EAD">
        <w:tc>
          <w:tcPr>
            <w:tcW w:w="2273" w:type="dxa"/>
            <w:tcBorders>
              <w:top w:val="nil"/>
              <w:left w:val="nil"/>
              <w:bottom w:val="nil"/>
              <w:right w:val="nil"/>
            </w:tcBorders>
          </w:tcPr>
          <w:p w14:paraId="6199E200" w14:textId="77777777" w:rsidR="006F129D" w:rsidRPr="004E4188" w:rsidRDefault="006F129D" w:rsidP="00D45EAD"/>
        </w:tc>
        <w:tc>
          <w:tcPr>
            <w:tcW w:w="7015" w:type="dxa"/>
            <w:tcBorders>
              <w:top w:val="nil"/>
              <w:left w:val="nil"/>
              <w:bottom w:val="nil"/>
              <w:right w:val="nil"/>
            </w:tcBorders>
          </w:tcPr>
          <w:p w14:paraId="677FF81C" w14:textId="073F8C36" w:rsidR="006F129D" w:rsidRPr="004E4188" w:rsidRDefault="006F129D" w:rsidP="00D45EAD">
            <w:pPr>
              <w:spacing w:after="200"/>
              <w:ind w:left="601" w:hanging="601"/>
            </w:pPr>
            <w:r w:rsidRPr="004E4188">
              <w:t>35.2</w:t>
            </w:r>
            <w:r w:rsidRPr="004E4188">
              <w:tab/>
              <w:t>Si la révision des prix est autorisée conformément à IS</w:t>
            </w:r>
            <w:r w:rsidR="00460162" w:rsidRPr="004E4188">
              <w:t> </w:t>
            </w:r>
            <w:r w:rsidRPr="004E4188">
              <w:t>14.7, l’effet éventuel des formules de révision des prix figurant dans les Conditions du Marché qui seront appliquées durant la période d’exécution du Marché, ne sera pas pris en considération lors de l’évaluation des offres.</w:t>
            </w:r>
          </w:p>
        </w:tc>
      </w:tr>
      <w:tr w:rsidR="006F129D" w:rsidRPr="004E4188" w14:paraId="64AC07A8" w14:textId="77777777" w:rsidTr="00D45EAD">
        <w:tc>
          <w:tcPr>
            <w:tcW w:w="2273" w:type="dxa"/>
            <w:tcBorders>
              <w:top w:val="nil"/>
              <w:left w:val="nil"/>
              <w:right w:val="nil"/>
            </w:tcBorders>
          </w:tcPr>
          <w:p w14:paraId="17C97CB8" w14:textId="77777777" w:rsidR="006F129D" w:rsidRPr="004E4188" w:rsidRDefault="006F129D" w:rsidP="00D45EAD"/>
        </w:tc>
        <w:tc>
          <w:tcPr>
            <w:tcW w:w="7015" w:type="dxa"/>
            <w:tcBorders>
              <w:top w:val="nil"/>
              <w:left w:val="nil"/>
              <w:right w:val="nil"/>
            </w:tcBorders>
          </w:tcPr>
          <w:p w14:paraId="27C2510C" w14:textId="59B56030" w:rsidR="006F129D" w:rsidRPr="004E4188" w:rsidRDefault="006F129D" w:rsidP="00D45EAD">
            <w:pPr>
              <w:spacing w:after="200"/>
              <w:ind w:left="601" w:hanging="601"/>
            </w:pPr>
            <w:r w:rsidRPr="004E4188">
              <w:t>35.3</w:t>
            </w:r>
            <w:r w:rsidRPr="004E4188">
              <w:tab/>
              <w:t>Dans le cas d’un appel d’offres lancé pour des lots multiples, la moins-disante des offres pour l’ensemble des lots sera déterminée comme indiquée dans la Section III, Critères d’évaluation et de qualification.</w:t>
            </w:r>
          </w:p>
        </w:tc>
      </w:tr>
      <w:tr w:rsidR="006F129D" w:rsidRPr="004E4188" w14:paraId="77AA345E" w14:textId="77777777" w:rsidTr="00D45EAD">
        <w:tc>
          <w:tcPr>
            <w:tcW w:w="2273" w:type="dxa"/>
            <w:tcBorders>
              <w:top w:val="nil"/>
              <w:left w:val="nil"/>
              <w:right w:val="nil"/>
            </w:tcBorders>
          </w:tcPr>
          <w:p w14:paraId="36AEB11E" w14:textId="5CCF0762" w:rsidR="006F129D" w:rsidRPr="004E4188" w:rsidRDefault="006F129D" w:rsidP="008A28CD">
            <w:pPr>
              <w:pStyle w:val="S1-Header20"/>
            </w:pPr>
            <w:bookmarkStart w:id="302" w:name="_Toc438532650"/>
            <w:bookmarkStart w:id="303" w:name="_Toc438532651"/>
            <w:bookmarkStart w:id="304" w:name="_Toc438438860"/>
            <w:bookmarkStart w:id="305" w:name="_Toc438532654"/>
            <w:bookmarkStart w:id="306" w:name="_Toc438734004"/>
            <w:bookmarkStart w:id="307" w:name="_Toc438907041"/>
            <w:bookmarkStart w:id="308" w:name="_Toc438907240"/>
            <w:bookmarkStart w:id="309" w:name="_Toc156373319"/>
            <w:bookmarkStart w:id="310" w:name="_Toc113293326"/>
            <w:bookmarkEnd w:id="302"/>
            <w:bookmarkEnd w:id="303"/>
            <w:r w:rsidRPr="004E4188">
              <w:t>36.</w:t>
            </w:r>
            <w:r w:rsidRPr="004E4188">
              <w:tab/>
              <w:t>Comparaison des offres</w:t>
            </w:r>
            <w:bookmarkEnd w:id="304"/>
            <w:bookmarkEnd w:id="305"/>
            <w:bookmarkEnd w:id="306"/>
            <w:bookmarkEnd w:id="307"/>
            <w:bookmarkEnd w:id="308"/>
            <w:bookmarkEnd w:id="309"/>
            <w:bookmarkEnd w:id="310"/>
          </w:p>
        </w:tc>
        <w:tc>
          <w:tcPr>
            <w:tcW w:w="7015" w:type="dxa"/>
            <w:tcBorders>
              <w:top w:val="nil"/>
              <w:left w:val="nil"/>
              <w:right w:val="nil"/>
            </w:tcBorders>
          </w:tcPr>
          <w:p w14:paraId="66CD93C1" w14:textId="482F32DD" w:rsidR="006F129D" w:rsidRPr="004E4188" w:rsidRDefault="006F129D" w:rsidP="00D45EAD">
            <w:pPr>
              <w:spacing w:after="200"/>
              <w:ind w:left="601" w:hanging="601"/>
              <w:rPr>
                <w:i/>
              </w:rPr>
            </w:pPr>
            <w:r w:rsidRPr="004E4188">
              <w:t>36.1</w:t>
            </w:r>
            <w:r w:rsidRPr="004E4188">
              <w:tab/>
              <w:t xml:space="preserve">Le Maître d’ouvrage comparera le montant évalué conformément à IS 35.1 de toutes les offres </w:t>
            </w:r>
            <w:r w:rsidRPr="004E4188">
              <w:rPr>
                <w:szCs w:val="24"/>
              </w:rPr>
              <w:t>substantiellement</w:t>
            </w:r>
            <w:r w:rsidRPr="004E4188">
              <w:t xml:space="preserve"> conformes aux dispositions du Dossier d’appel d’offres afin de déterminer l’offre évaluée la moins-disante</w:t>
            </w:r>
            <w:r w:rsidRPr="004E4188">
              <w:rPr>
                <w:i/>
              </w:rPr>
              <w:t>.</w:t>
            </w:r>
          </w:p>
        </w:tc>
      </w:tr>
      <w:tr w:rsidR="006F129D" w:rsidRPr="004E4188" w14:paraId="6340A04F" w14:textId="77777777" w:rsidTr="00D45EAD">
        <w:tc>
          <w:tcPr>
            <w:tcW w:w="2273" w:type="dxa"/>
          </w:tcPr>
          <w:p w14:paraId="57A7F182" w14:textId="77777777" w:rsidR="006F129D" w:rsidRPr="004E4188" w:rsidRDefault="006F129D" w:rsidP="00D45EAD">
            <w:pPr>
              <w:pStyle w:val="Header1-Clauses"/>
              <w:rPr>
                <w:lang w:val="fr-FR"/>
              </w:rPr>
            </w:pPr>
          </w:p>
        </w:tc>
        <w:tc>
          <w:tcPr>
            <w:tcW w:w="7015" w:type="dxa"/>
          </w:tcPr>
          <w:p w14:paraId="60E8EFB3" w14:textId="77777777" w:rsidR="006F129D" w:rsidRPr="004E4188" w:rsidRDefault="006F129D" w:rsidP="00D45EAD">
            <w:pPr>
              <w:spacing w:after="200"/>
              <w:ind w:left="601" w:hanging="601"/>
            </w:pPr>
            <w:r w:rsidRPr="004E4188">
              <w:t>3</w:t>
            </w:r>
            <w:r w:rsidRPr="004E4188">
              <w:rPr>
                <w:lang w:eastAsia="ja-JP"/>
              </w:rPr>
              <w:t>6</w:t>
            </w:r>
            <w:r w:rsidRPr="004E4188">
              <w:t>.2</w:t>
            </w:r>
            <w:r w:rsidRPr="004E4188">
              <w:tab/>
              <w:t xml:space="preserve">Si l’offre évaluée la moins-disante est, de l’avis du Maître d’ouvrage, fortement déséquilibrée ou impose des paiements importants en début d’exécution, le Maître d’ouvrage peut demander au Soumissionnaire de fournir le sous-détail des prix pour un ou tous les postes des Bordereaux des prix, afin d’établir que ces prix sont compatibles avec le descriptif de la conception, fourniture et montage </w:t>
            </w:r>
            <w:r w:rsidRPr="004E4188">
              <w:rPr>
                <w:szCs w:val="24"/>
              </w:rPr>
              <w:t>des é</w:t>
            </w:r>
            <w:r w:rsidRPr="004E4188">
              <w:t>quipements, la méthodologie proposée, le calendrier de réalisation, et toute autre exigence contenue dans le Dossier d’appel d’offres. Après avoir examiné le sous-détail des prix, prenant en compte les conditions de règlement, le Maître d’ouvrage peut demander que le montant de la garantie de bonne exécution soit porté, aux frais du Soumissionnaire, à un niveau suffisant pour protéger le Maître d’ouvrage contre toute perte financière au cas où le Soumissionnaire retenu viendrait à manquer à ses obligations au titre du Marché.</w:t>
            </w:r>
          </w:p>
        </w:tc>
      </w:tr>
      <w:tr w:rsidR="006F129D" w:rsidRPr="004E4188" w14:paraId="59D48804" w14:textId="77777777" w:rsidTr="00D45EAD">
        <w:tc>
          <w:tcPr>
            <w:tcW w:w="2273" w:type="dxa"/>
          </w:tcPr>
          <w:p w14:paraId="4152E153" w14:textId="77777777" w:rsidR="006F129D" w:rsidRPr="004E4188" w:rsidRDefault="006F129D" w:rsidP="00D45EAD">
            <w:pPr>
              <w:pStyle w:val="Header1-Clauses"/>
              <w:rPr>
                <w:lang w:val="fr-FR"/>
              </w:rPr>
            </w:pPr>
          </w:p>
        </w:tc>
        <w:tc>
          <w:tcPr>
            <w:tcW w:w="7015" w:type="dxa"/>
          </w:tcPr>
          <w:p w14:paraId="239AF2D6" w14:textId="77777777" w:rsidR="006F129D" w:rsidRPr="004E4188" w:rsidRDefault="006F129D" w:rsidP="00D45EAD">
            <w:pPr>
              <w:pStyle w:val="StyleHeader1-ClausesAfter0pt"/>
              <w:tabs>
                <w:tab w:val="left" w:pos="576"/>
              </w:tabs>
              <w:ind w:left="576" w:hanging="576"/>
              <w:rPr>
                <w:lang w:val="fr-FR"/>
              </w:rPr>
            </w:pPr>
            <w:r w:rsidRPr="004E4188">
              <w:rPr>
                <w:lang w:val="fr-FR"/>
              </w:rPr>
              <w:t>3</w:t>
            </w:r>
            <w:r w:rsidRPr="004E4188">
              <w:rPr>
                <w:lang w:val="fr-FR" w:eastAsia="ja-JP"/>
              </w:rPr>
              <w:t>6</w:t>
            </w:r>
            <w:r w:rsidRPr="004E4188">
              <w:rPr>
                <w:lang w:val="fr-FR"/>
              </w:rPr>
              <w:t>.3</w:t>
            </w:r>
            <w:r w:rsidRPr="004E4188">
              <w:rPr>
                <w:lang w:val="fr-FR"/>
              </w:rPr>
              <w:tab/>
            </w:r>
            <w:r w:rsidRPr="004E4188">
              <w:rPr>
                <w:bCs w:val="0"/>
                <w:lang w:val="fr-FR"/>
              </w:rPr>
              <w:t>D</w:t>
            </w:r>
            <w:r w:rsidRPr="004E4188">
              <w:rPr>
                <w:lang w:val="fr-FR"/>
              </w:rPr>
              <w:t>ans le cas où il considère que l’offre est anormalement basse, le Maître d’ouvrage devra demander au Soumissionnaire des éclaircissements par écrit, y compris une analyse détaillée du prix en relation avec l’objet du Marché, sa portée, la méthode proposée, le calendrier de réalisation, la répartition des risques et responsabilités, et toute autre exigence contenue dans le Dossier d’</w:t>
            </w:r>
            <w:r w:rsidRPr="004E4188">
              <w:rPr>
                <w:rFonts w:hint="eastAsia"/>
                <w:lang w:val="fr-FR" w:eastAsia="ja-JP"/>
              </w:rPr>
              <w:t>a</w:t>
            </w:r>
            <w:r w:rsidRPr="004E4188">
              <w:rPr>
                <w:lang w:val="fr-FR"/>
              </w:rPr>
              <w:t>ppel d’offres.</w:t>
            </w:r>
          </w:p>
          <w:p w14:paraId="0A62D2BD" w14:textId="77777777" w:rsidR="006F129D" w:rsidRPr="004E4188" w:rsidRDefault="006F129D" w:rsidP="00D45EAD">
            <w:pPr>
              <w:pStyle w:val="StyleHeader1-ClausesAfter0pt"/>
              <w:tabs>
                <w:tab w:val="left" w:pos="576"/>
              </w:tabs>
              <w:ind w:left="576" w:hanging="576"/>
              <w:rPr>
                <w:lang w:val="fr-FR"/>
              </w:rPr>
            </w:pPr>
            <w:r w:rsidRPr="004E4188">
              <w:rPr>
                <w:lang w:val="fr-FR"/>
              </w:rPr>
              <w:tab/>
              <w:t>Après avoir examiné les informations et le détail du prix fournis par le Soumissionnaire, dans le cas où le Maître d’ouvrage établit que le Soumissionnaire n’a pas démontré sa capacité à réaliser le Marché pour le prix proposé, il écartera l’offre.</w:t>
            </w:r>
          </w:p>
          <w:p w14:paraId="0C3B4BB8" w14:textId="77777777" w:rsidR="006F129D" w:rsidRPr="004E4188" w:rsidRDefault="006F129D" w:rsidP="00D45EAD">
            <w:pPr>
              <w:spacing w:after="200"/>
              <w:ind w:left="601" w:hanging="601"/>
            </w:pPr>
            <w:r w:rsidRPr="004E4188">
              <w:tab/>
              <w:t>Pour les besoins de IS 36.3, une offre anormalement basse est une offre qui, en tenant compte d’autres éléments de l’offre, apparait si basse qu’elle soulève des préoccupations chez le Maître d’ouvrage quant à la capacité du Soumissionnaire à réaliser le Marché pour le prix proposé.</w:t>
            </w:r>
          </w:p>
        </w:tc>
      </w:tr>
      <w:tr w:rsidR="006F129D" w:rsidRPr="004E4188" w14:paraId="50CD2D80" w14:textId="77777777" w:rsidTr="00D45EAD">
        <w:tc>
          <w:tcPr>
            <w:tcW w:w="2273" w:type="dxa"/>
            <w:tcBorders>
              <w:top w:val="nil"/>
              <w:left w:val="nil"/>
              <w:bottom w:val="nil"/>
              <w:right w:val="nil"/>
            </w:tcBorders>
          </w:tcPr>
          <w:p w14:paraId="4972E7CE" w14:textId="1A91322C" w:rsidR="006F129D" w:rsidRPr="004E4188" w:rsidRDefault="006F129D" w:rsidP="008A28CD">
            <w:pPr>
              <w:pStyle w:val="S1-Header20"/>
              <w:rPr>
                <w:lang w:val="fr-FR"/>
              </w:rPr>
            </w:pPr>
            <w:bookmarkStart w:id="311" w:name="_Toc156373321"/>
            <w:bookmarkStart w:id="312" w:name="_Toc113293327"/>
            <w:bookmarkStart w:id="313" w:name="_Toc438438862"/>
            <w:bookmarkStart w:id="314" w:name="_Toc438532656"/>
            <w:bookmarkStart w:id="315" w:name="_Toc438734006"/>
            <w:bookmarkStart w:id="316" w:name="_Toc438907043"/>
            <w:bookmarkStart w:id="317" w:name="_Toc438907242"/>
            <w:r w:rsidRPr="004E4188">
              <w:rPr>
                <w:lang w:val="fr-FR"/>
              </w:rPr>
              <w:t>37.</w:t>
            </w:r>
            <w:r w:rsidRPr="004E4188">
              <w:rPr>
                <w:lang w:val="fr-FR"/>
              </w:rPr>
              <w:tab/>
              <w:t>Droit du Maître d’ouvrage d’accepter l’une quelconque des offres et de rejeter une ou toutes les offres</w:t>
            </w:r>
            <w:bookmarkEnd w:id="311"/>
            <w:bookmarkEnd w:id="312"/>
            <w:r w:rsidRPr="004E4188">
              <w:rPr>
                <w:lang w:val="fr-FR"/>
              </w:rPr>
              <w:t xml:space="preserve"> </w:t>
            </w:r>
            <w:bookmarkEnd w:id="313"/>
            <w:bookmarkEnd w:id="314"/>
            <w:bookmarkEnd w:id="315"/>
            <w:bookmarkEnd w:id="316"/>
            <w:bookmarkEnd w:id="317"/>
          </w:p>
        </w:tc>
        <w:tc>
          <w:tcPr>
            <w:tcW w:w="7015" w:type="dxa"/>
            <w:tcBorders>
              <w:top w:val="nil"/>
              <w:left w:val="nil"/>
              <w:bottom w:val="nil"/>
              <w:right w:val="nil"/>
            </w:tcBorders>
          </w:tcPr>
          <w:p w14:paraId="5833A852" w14:textId="1F3126F3" w:rsidR="006F129D" w:rsidRPr="004E4188" w:rsidRDefault="006F129D" w:rsidP="00D45EAD">
            <w:pPr>
              <w:spacing w:after="200"/>
              <w:ind w:left="601" w:hanging="601"/>
            </w:pPr>
            <w:r w:rsidRPr="004E4188">
              <w:t>37.1</w:t>
            </w:r>
            <w:r w:rsidRPr="004E4188">
              <w:tab/>
              <w:t>Le Maître d’ouvrage se réserve le droit d’accepter ou de rejeter toute offre, et d’annuler la procédure d’appel d’offres et de rejeter toutes les offres à tout moment avant l’attribution du Marché, sans encourir de ce fait une responsabilité quelconque envers les Soumissionnaires. En cas d’annulation, toutes les offres soumises et particulièrement les garanties de soumission seront renvoyées sans délai aux Soumissionnaires.</w:t>
            </w:r>
          </w:p>
        </w:tc>
      </w:tr>
      <w:tr w:rsidR="006F129D" w:rsidRPr="004E4188" w14:paraId="3721028D" w14:textId="77777777" w:rsidTr="00D45EAD">
        <w:tc>
          <w:tcPr>
            <w:tcW w:w="9288" w:type="dxa"/>
            <w:gridSpan w:val="2"/>
            <w:tcBorders>
              <w:top w:val="nil"/>
              <w:left w:val="nil"/>
              <w:bottom w:val="nil"/>
              <w:right w:val="nil"/>
            </w:tcBorders>
          </w:tcPr>
          <w:p w14:paraId="6A576DED" w14:textId="68530F41" w:rsidR="006F129D" w:rsidRPr="004E4188" w:rsidRDefault="006F129D" w:rsidP="00D45EAD">
            <w:pPr>
              <w:pStyle w:val="S1-Header"/>
              <w:tabs>
                <w:tab w:val="num" w:pos="360"/>
              </w:tabs>
              <w:spacing w:after="200"/>
              <w:ind w:left="357" w:hanging="357"/>
            </w:pPr>
            <w:bookmarkStart w:id="318" w:name="_Toc438438863"/>
            <w:bookmarkStart w:id="319" w:name="_Toc438532657"/>
            <w:bookmarkStart w:id="320" w:name="_Toc438734007"/>
            <w:bookmarkStart w:id="321" w:name="_Toc438962089"/>
            <w:bookmarkStart w:id="322" w:name="_Toc461939621"/>
            <w:bookmarkStart w:id="323" w:name="_Toc113293328"/>
            <w:r w:rsidRPr="004E4188">
              <w:t>F. Attribution du Marché</w:t>
            </w:r>
            <w:bookmarkEnd w:id="318"/>
            <w:bookmarkEnd w:id="319"/>
            <w:bookmarkEnd w:id="320"/>
            <w:bookmarkEnd w:id="321"/>
            <w:bookmarkEnd w:id="322"/>
            <w:bookmarkEnd w:id="323"/>
          </w:p>
        </w:tc>
      </w:tr>
      <w:tr w:rsidR="006F129D" w:rsidRPr="004E4188" w14:paraId="71C21DB7" w14:textId="77777777" w:rsidTr="00A373CC">
        <w:trPr>
          <w:trHeight w:val="709"/>
        </w:trPr>
        <w:tc>
          <w:tcPr>
            <w:tcW w:w="2273" w:type="dxa"/>
            <w:tcBorders>
              <w:top w:val="nil"/>
              <w:left w:val="nil"/>
              <w:bottom w:val="nil"/>
              <w:right w:val="nil"/>
            </w:tcBorders>
          </w:tcPr>
          <w:p w14:paraId="086BB2D1" w14:textId="13C6FF80" w:rsidR="006F129D" w:rsidRPr="004E4188" w:rsidRDefault="006F129D" w:rsidP="008A28CD">
            <w:pPr>
              <w:pStyle w:val="S1-Header20"/>
            </w:pPr>
            <w:bookmarkStart w:id="324" w:name="_Toc438438864"/>
            <w:bookmarkStart w:id="325" w:name="_Toc438532658"/>
            <w:bookmarkStart w:id="326" w:name="_Toc438734008"/>
            <w:bookmarkStart w:id="327" w:name="_Toc438907044"/>
            <w:bookmarkStart w:id="328" w:name="_Toc438907243"/>
            <w:bookmarkStart w:id="329" w:name="_Toc156373322"/>
            <w:bookmarkStart w:id="330" w:name="_Toc113293329"/>
            <w:r w:rsidRPr="004E4188">
              <w:t>38.</w:t>
            </w:r>
            <w:r w:rsidRPr="004E4188">
              <w:tab/>
            </w:r>
            <w:r w:rsidRPr="004E4188">
              <w:rPr>
                <w:lang w:val="en-GB"/>
              </w:rPr>
              <w:t>Critères</w:t>
            </w:r>
            <w:r w:rsidRPr="004E4188">
              <w:t xml:space="preserve"> d’attribution</w:t>
            </w:r>
            <w:bookmarkEnd w:id="324"/>
            <w:bookmarkEnd w:id="325"/>
            <w:bookmarkEnd w:id="326"/>
            <w:bookmarkEnd w:id="327"/>
            <w:bookmarkEnd w:id="328"/>
            <w:bookmarkEnd w:id="329"/>
            <w:bookmarkEnd w:id="330"/>
          </w:p>
        </w:tc>
        <w:tc>
          <w:tcPr>
            <w:tcW w:w="7015" w:type="dxa"/>
            <w:tcBorders>
              <w:top w:val="nil"/>
              <w:left w:val="nil"/>
              <w:bottom w:val="nil"/>
              <w:right w:val="nil"/>
            </w:tcBorders>
          </w:tcPr>
          <w:p w14:paraId="26B7BC5E" w14:textId="1E11EF32" w:rsidR="006F129D" w:rsidRPr="004E4188" w:rsidRDefault="006F129D" w:rsidP="00D45EAD">
            <w:pPr>
              <w:spacing w:after="200"/>
              <w:ind w:left="601" w:hanging="601"/>
            </w:pPr>
            <w:r w:rsidRPr="004E4188">
              <w:t>38.1</w:t>
            </w:r>
            <w:r w:rsidRPr="004E4188">
              <w:tab/>
              <w:t>Sous réserve des dispositions de IS</w:t>
            </w:r>
            <w:r w:rsidR="00F826CF" w:rsidRPr="004E4188">
              <w:t> </w:t>
            </w:r>
            <w:r w:rsidRPr="004E4188">
              <w:t>37.1, le Maître d’ouvrage attribuera le Marché au Soumissionnaire dont l’offre aura été évaluée la moins-disante et jugée substantiellement conforme aux dispositions du Dossier d’appel d’offres, à condition que le Soumissionnaire soit en outre jugé qualifié pour exécuter le Marché de façon satisfaisante.</w:t>
            </w:r>
          </w:p>
        </w:tc>
      </w:tr>
      <w:tr w:rsidR="006F129D" w:rsidRPr="004E4188" w14:paraId="7539BAC3" w14:textId="77777777" w:rsidTr="00D45EAD">
        <w:tc>
          <w:tcPr>
            <w:tcW w:w="2273" w:type="dxa"/>
            <w:tcBorders>
              <w:top w:val="nil"/>
              <w:left w:val="nil"/>
              <w:bottom w:val="nil"/>
              <w:right w:val="nil"/>
            </w:tcBorders>
          </w:tcPr>
          <w:p w14:paraId="3EFADED4" w14:textId="71214FE8" w:rsidR="006F129D" w:rsidRPr="004E4188" w:rsidRDefault="006F129D" w:rsidP="008A28CD">
            <w:pPr>
              <w:pStyle w:val="S1-Header20"/>
              <w:rPr>
                <w:lang w:val="fr-FR"/>
              </w:rPr>
            </w:pPr>
            <w:bookmarkStart w:id="331" w:name="_Toc438438866"/>
            <w:bookmarkStart w:id="332" w:name="_Toc438532660"/>
            <w:bookmarkStart w:id="333" w:name="_Toc438734010"/>
            <w:bookmarkStart w:id="334" w:name="_Toc438907046"/>
            <w:bookmarkStart w:id="335" w:name="_Toc438907245"/>
            <w:bookmarkStart w:id="336" w:name="_Toc156373323"/>
            <w:bookmarkStart w:id="337" w:name="_Toc113293330"/>
            <w:r w:rsidRPr="004E4188">
              <w:rPr>
                <w:lang w:val="fr-FR"/>
              </w:rPr>
              <w:t>39.</w:t>
            </w:r>
            <w:r w:rsidRPr="004E4188">
              <w:rPr>
                <w:lang w:val="fr-FR"/>
              </w:rPr>
              <w:tab/>
              <w:t>Notification de l’attribution du Marché</w:t>
            </w:r>
            <w:bookmarkEnd w:id="331"/>
            <w:bookmarkEnd w:id="332"/>
            <w:bookmarkEnd w:id="333"/>
            <w:bookmarkEnd w:id="334"/>
            <w:bookmarkEnd w:id="335"/>
            <w:bookmarkEnd w:id="336"/>
            <w:bookmarkEnd w:id="337"/>
          </w:p>
        </w:tc>
        <w:tc>
          <w:tcPr>
            <w:tcW w:w="7015" w:type="dxa"/>
            <w:tcBorders>
              <w:top w:val="nil"/>
              <w:left w:val="nil"/>
              <w:bottom w:val="nil"/>
              <w:right w:val="nil"/>
            </w:tcBorders>
          </w:tcPr>
          <w:p w14:paraId="394353D7" w14:textId="453158C7" w:rsidR="006F129D" w:rsidRPr="004E4188" w:rsidRDefault="006F129D" w:rsidP="00D45EAD">
            <w:pPr>
              <w:spacing w:after="200"/>
              <w:ind w:left="601" w:hanging="601"/>
            </w:pPr>
            <w:r w:rsidRPr="004E4188">
              <w:t>39.1</w:t>
            </w:r>
            <w:r w:rsidRPr="004E4188">
              <w:tab/>
              <w:t xml:space="preserve">Avant l’expiration de la période de validité des offres, le Maître d’ouvrage notifiera par écrit au Soumissionnaire retenu que son offre a été acceptée. La lettre de notification (désignée ci-après et dans les Conditions du Marché et dans les formulaires du Marché par « Lettre d’acceptation de l’offre ») doit indiquer le montant que le Maître d’ouvrage réglera à l’Entrepreneur pour l’exécution et l’achèvement des </w:t>
            </w:r>
            <w:r w:rsidRPr="004E4188">
              <w:rPr>
                <w:szCs w:val="24"/>
              </w:rPr>
              <w:t>É</w:t>
            </w:r>
            <w:r w:rsidRPr="004E4188">
              <w:t>quipements et Services de montage</w:t>
            </w:r>
            <w:r w:rsidRPr="004E4188" w:rsidDel="00FD7915">
              <w:t xml:space="preserve"> </w:t>
            </w:r>
            <w:r w:rsidRPr="004E4188">
              <w:t xml:space="preserve">(désigné ci-après et dans les Conditions du Marché et dans les formulaires du Marché par « le Montant du Marché »). </w:t>
            </w:r>
          </w:p>
          <w:p w14:paraId="42E305F5" w14:textId="77CE3005" w:rsidR="006F129D" w:rsidRPr="004E4188" w:rsidRDefault="006F129D" w:rsidP="00D45EAD">
            <w:pPr>
              <w:spacing w:after="200"/>
              <w:ind w:left="601" w:hanging="601"/>
            </w:pPr>
            <w:r w:rsidRPr="004E4188">
              <w:t>39.2</w:t>
            </w:r>
            <w:r w:rsidRPr="004E4188">
              <w:rPr>
                <w:rFonts w:hint="eastAsia"/>
                <w:lang w:eastAsia="ja-JP"/>
              </w:rPr>
              <w:tab/>
            </w:r>
            <w:r w:rsidRPr="004E4188">
              <w:t xml:space="preserve">Après avoir déterminé qu’un marché est éligible au financement par Prêts APD du Japon, la JICA peut rendre publiques les informations suivantes : </w:t>
            </w:r>
          </w:p>
          <w:p w14:paraId="1A68546F" w14:textId="77777777" w:rsidR="006F129D" w:rsidRPr="004E4188" w:rsidRDefault="006F129D" w:rsidP="0021591A">
            <w:pPr>
              <w:spacing w:after="200"/>
              <w:ind w:left="1026" w:hanging="425"/>
            </w:pPr>
            <w:r w:rsidRPr="004E4188">
              <w:t>(a)</w:t>
            </w:r>
            <w:r w:rsidRPr="004E4188">
              <w:tab/>
              <w:t xml:space="preserve">le nom de chaque Soumissionnaire ayant remis une offre ; </w:t>
            </w:r>
          </w:p>
          <w:p w14:paraId="2F7BE44B" w14:textId="77777777" w:rsidR="006F129D" w:rsidRPr="004E4188" w:rsidRDefault="006F129D" w:rsidP="0021591A">
            <w:pPr>
              <w:spacing w:after="200"/>
              <w:ind w:left="1026" w:hanging="425"/>
            </w:pPr>
            <w:r w:rsidRPr="004E4188">
              <w:t>(b)</w:t>
            </w:r>
            <w:r w:rsidRPr="004E4188">
              <w:tab/>
              <w:t xml:space="preserve">le Montant des offres tel qu’annoncé lors de l’ouverture des offres ; </w:t>
            </w:r>
          </w:p>
          <w:p w14:paraId="3EF1CD0A" w14:textId="77777777" w:rsidR="006F129D" w:rsidRPr="004E4188" w:rsidRDefault="006F129D" w:rsidP="0021591A">
            <w:pPr>
              <w:spacing w:after="200"/>
              <w:ind w:left="1026" w:hanging="425"/>
            </w:pPr>
            <w:r w:rsidRPr="004E4188">
              <w:t>(c)</w:t>
            </w:r>
            <w:r w:rsidRPr="004E4188">
              <w:tab/>
              <w:t>le nom et l’adresse du Soumissionnaire retenu ; et</w:t>
            </w:r>
          </w:p>
          <w:p w14:paraId="5D53D086" w14:textId="3C1538C9" w:rsidR="006F129D" w:rsidRPr="004E4188" w:rsidRDefault="006F129D" w:rsidP="0021591A">
            <w:pPr>
              <w:spacing w:after="200"/>
              <w:ind w:left="1026" w:hanging="425"/>
            </w:pPr>
            <w:r w:rsidRPr="004E4188">
              <w:t>(d)</w:t>
            </w:r>
            <w:r w:rsidRPr="004E4188">
              <w:tab/>
              <w:t xml:space="preserve">la date de signature et le Montant du Marché. </w:t>
            </w:r>
          </w:p>
          <w:p w14:paraId="312861B9" w14:textId="72750105" w:rsidR="006F129D" w:rsidRPr="004E4188" w:rsidRDefault="006F129D" w:rsidP="00C42BAE">
            <w:pPr>
              <w:spacing w:after="200"/>
              <w:ind w:left="601" w:hanging="601"/>
            </w:pPr>
            <w:r w:rsidRPr="004E4188">
              <w:t>39.3</w:t>
            </w:r>
            <w:r w:rsidRPr="004E4188">
              <w:tab/>
              <w:t>Jusqu’à ce que le Marché soit formellement rédigé et signé, la Lettre d’acceptation de l’offre aura valeur d’engagement réciproque entre les Parties.</w:t>
            </w:r>
          </w:p>
        </w:tc>
      </w:tr>
      <w:tr w:rsidR="006F129D" w:rsidRPr="004E4188" w14:paraId="40D9E37B" w14:textId="77777777" w:rsidTr="00D45EAD">
        <w:tc>
          <w:tcPr>
            <w:tcW w:w="2273" w:type="dxa"/>
            <w:tcBorders>
              <w:top w:val="nil"/>
              <w:left w:val="nil"/>
              <w:bottom w:val="nil"/>
              <w:right w:val="nil"/>
            </w:tcBorders>
          </w:tcPr>
          <w:p w14:paraId="42BED2C3" w14:textId="49865071" w:rsidR="006F129D" w:rsidRPr="004E4188" w:rsidRDefault="006F129D" w:rsidP="008A28CD">
            <w:pPr>
              <w:pStyle w:val="S1-Header20"/>
            </w:pPr>
            <w:bookmarkStart w:id="338" w:name="_Toc438438867"/>
            <w:bookmarkStart w:id="339" w:name="_Toc438532661"/>
            <w:bookmarkStart w:id="340" w:name="_Toc438734011"/>
            <w:bookmarkStart w:id="341" w:name="_Toc438907047"/>
            <w:bookmarkStart w:id="342" w:name="_Toc438907246"/>
            <w:bookmarkStart w:id="343" w:name="_Toc156373324"/>
            <w:bookmarkStart w:id="344" w:name="_Toc113293331"/>
            <w:r w:rsidRPr="004E4188">
              <w:t>4</w:t>
            </w:r>
            <w:r w:rsidRPr="004E4188">
              <w:rPr>
                <w:rFonts w:hint="eastAsia"/>
                <w:lang w:eastAsia="ja-JP"/>
              </w:rPr>
              <w:t>0</w:t>
            </w:r>
            <w:r w:rsidRPr="004E4188">
              <w:t>.</w:t>
            </w:r>
            <w:r w:rsidRPr="004E4188">
              <w:tab/>
            </w:r>
            <w:r w:rsidRPr="004E4188">
              <w:rPr>
                <w:lang w:val="en-GB"/>
              </w:rPr>
              <w:t>Signature</w:t>
            </w:r>
            <w:r w:rsidRPr="004E4188">
              <w:t xml:space="preserve"> du Marché</w:t>
            </w:r>
            <w:bookmarkEnd w:id="338"/>
            <w:bookmarkEnd w:id="339"/>
            <w:bookmarkEnd w:id="340"/>
            <w:bookmarkEnd w:id="341"/>
            <w:bookmarkEnd w:id="342"/>
            <w:bookmarkEnd w:id="343"/>
            <w:bookmarkEnd w:id="344"/>
          </w:p>
        </w:tc>
        <w:tc>
          <w:tcPr>
            <w:tcW w:w="7015" w:type="dxa"/>
            <w:tcBorders>
              <w:top w:val="nil"/>
              <w:left w:val="nil"/>
              <w:bottom w:val="nil"/>
              <w:right w:val="nil"/>
            </w:tcBorders>
          </w:tcPr>
          <w:p w14:paraId="2DA84980" w14:textId="75CB75B8" w:rsidR="006F129D" w:rsidRPr="004E4188" w:rsidRDefault="006F129D" w:rsidP="00D45EAD">
            <w:pPr>
              <w:suppressAutoHyphens w:val="0"/>
              <w:spacing w:after="200"/>
              <w:ind w:left="601" w:hanging="601"/>
            </w:pPr>
            <w:r w:rsidRPr="004E4188">
              <w:t>40.1</w:t>
            </w:r>
            <w:r w:rsidRPr="004E4188">
              <w:tab/>
              <w:t>Dans les meilleurs délais suivant la notification de l’attribution du Marché, le Maître d’ouvrage enverra au Soumissionnaire retenu l’Acte d’engagement.</w:t>
            </w:r>
          </w:p>
          <w:p w14:paraId="2C1871FE" w14:textId="197009A2" w:rsidR="006F129D" w:rsidRPr="004E4188" w:rsidRDefault="006F129D" w:rsidP="00D45EAD">
            <w:pPr>
              <w:suppressAutoHyphens w:val="0"/>
              <w:spacing w:after="200"/>
              <w:ind w:left="601" w:hanging="601"/>
            </w:pPr>
            <w:r w:rsidRPr="004E4188">
              <w:t>40.2</w:t>
            </w:r>
            <w:r w:rsidRPr="004E4188">
              <w:tab/>
              <w:t>Dans les vingt-huit (28) jours suivant la réception de l’Acte d’engagement, le Soumissionnaire retenu le renverra au Maître d’ouvrage après l’avoir daté et signé.</w:t>
            </w:r>
          </w:p>
        </w:tc>
      </w:tr>
      <w:tr w:rsidR="006F129D" w:rsidRPr="004E4188" w14:paraId="0C4AA20C" w14:textId="77777777" w:rsidTr="00D45EAD">
        <w:tc>
          <w:tcPr>
            <w:tcW w:w="2273" w:type="dxa"/>
            <w:tcBorders>
              <w:top w:val="nil"/>
              <w:left w:val="nil"/>
              <w:bottom w:val="nil"/>
              <w:right w:val="nil"/>
            </w:tcBorders>
          </w:tcPr>
          <w:p w14:paraId="01F8C718" w14:textId="2B3FDBD0" w:rsidR="006F129D" w:rsidRPr="004E4188" w:rsidRDefault="006F129D" w:rsidP="008A28CD">
            <w:pPr>
              <w:pStyle w:val="S1-Header20"/>
            </w:pPr>
            <w:bookmarkStart w:id="345" w:name="_Toc438438868"/>
            <w:bookmarkStart w:id="346" w:name="_Toc438532662"/>
            <w:bookmarkStart w:id="347" w:name="_Toc438734012"/>
            <w:bookmarkStart w:id="348" w:name="_Toc438907048"/>
            <w:bookmarkStart w:id="349" w:name="_Toc438907247"/>
            <w:bookmarkStart w:id="350" w:name="_Toc156373325"/>
            <w:bookmarkStart w:id="351" w:name="_Toc113293332"/>
            <w:r w:rsidRPr="004E4188">
              <w:t>41.</w:t>
            </w:r>
            <w:r w:rsidRPr="004E4188">
              <w:rPr>
                <w:lang w:eastAsia="ja-JP"/>
              </w:rPr>
              <w:tab/>
            </w:r>
            <w:r w:rsidRPr="004E4188">
              <w:t>Garantie de bonne exécution</w:t>
            </w:r>
            <w:bookmarkEnd w:id="345"/>
            <w:bookmarkEnd w:id="346"/>
            <w:bookmarkEnd w:id="347"/>
            <w:bookmarkEnd w:id="348"/>
            <w:bookmarkEnd w:id="349"/>
            <w:bookmarkEnd w:id="350"/>
            <w:bookmarkEnd w:id="351"/>
          </w:p>
        </w:tc>
        <w:tc>
          <w:tcPr>
            <w:tcW w:w="7015" w:type="dxa"/>
            <w:tcBorders>
              <w:top w:val="nil"/>
              <w:left w:val="nil"/>
              <w:bottom w:val="nil"/>
              <w:right w:val="nil"/>
            </w:tcBorders>
          </w:tcPr>
          <w:p w14:paraId="3FFA9C4A" w14:textId="41BDB482" w:rsidR="006F129D" w:rsidRPr="004E4188" w:rsidRDefault="006F129D" w:rsidP="00D45EAD">
            <w:pPr>
              <w:tabs>
                <w:tab w:val="left" w:pos="576"/>
                <w:tab w:val="left" w:pos="1152"/>
              </w:tabs>
              <w:spacing w:after="200"/>
              <w:ind w:left="601" w:hanging="601"/>
            </w:pPr>
            <w:r w:rsidRPr="004E4188">
              <w:t>41.1</w:t>
            </w:r>
            <w:r w:rsidRPr="004E4188">
              <w:tab/>
              <w:t>Dans les vingt-huit (28) jours suivant la réception de la Lettre d’acceptation de l’offre de la part du Maître d’ouvrage, le Soumissionnaire retenu devra fournir la garantie de bonne exécution conformément aux Conditions du Marché, sous réserve des dispositions de IS</w:t>
            </w:r>
            <w:r w:rsidR="00F826CF" w:rsidRPr="004E4188">
              <w:t> </w:t>
            </w:r>
            <w:r w:rsidRPr="004E4188">
              <w:t>36.2, en utilisant le modèle de garantie de bonne exécution figurant à la Section IX, Formulaires du Marché, ou tout autre modèle jugé acceptable par le Maître d’ouvrage. Si la garantie de bonne exécution fournie par le Soumissionnaire retenu est sous la forme d’une caution, cette dernière devra être émise par une société de cautionnement ou une compagnie d’assurances jugée par le Soumissionnaire retenu comme étant acceptable pour le Maître d’ouvrage. Un organisme financier étranger émettant la caution devra avoir un organisme correspondant dans le pays du Maître d’ouvrage.</w:t>
            </w:r>
          </w:p>
        </w:tc>
      </w:tr>
      <w:tr w:rsidR="006F129D" w:rsidRPr="004E4188" w14:paraId="5F290E0B" w14:textId="77777777" w:rsidTr="00D45EAD">
        <w:trPr>
          <w:trHeight w:val="936"/>
        </w:trPr>
        <w:tc>
          <w:tcPr>
            <w:tcW w:w="2273" w:type="dxa"/>
            <w:tcBorders>
              <w:top w:val="nil"/>
              <w:left w:val="nil"/>
              <w:bottom w:val="nil"/>
              <w:right w:val="nil"/>
            </w:tcBorders>
          </w:tcPr>
          <w:p w14:paraId="263764B4" w14:textId="77777777" w:rsidR="006F129D" w:rsidRPr="004E4188" w:rsidRDefault="006F129D" w:rsidP="00D45EAD"/>
        </w:tc>
        <w:tc>
          <w:tcPr>
            <w:tcW w:w="7015" w:type="dxa"/>
            <w:tcBorders>
              <w:top w:val="nil"/>
              <w:left w:val="nil"/>
              <w:bottom w:val="nil"/>
              <w:right w:val="nil"/>
            </w:tcBorders>
          </w:tcPr>
          <w:p w14:paraId="361F05AA" w14:textId="441050D1" w:rsidR="006F129D" w:rsidRPr="004E4188" w:rsidRDefault="006F129D" w:rsidP="00D45EAD">
            <w:pPr>
              <w:tabs>
                <w:tab w:val="left" w:pos="576"/>
                <w:tab w:val="left" w:pos="1152"/>
              </w:tabs>
              <w:spacing w:after="200"/>
              <w:ind w:left="601" w:hanging="601"/>
            </w:pPr>
            <w:r w:rsidRPr="004E4188">
              <w:t>41.2</w:t>
            </w:r>
            <w:r w:rsidRPr="004E4188">
              <w:tab/>
              <w:t xml:space="preserve">Le fait que le Soumissionnaire retenu ne remette pas la garantie de bonne exécution susmentionnée ou ne signe pas le Marché constituera un motif suffisant pour l’annulation de l’attribution du Marché et la saisie de la garantie de soumission. Dans un tel cas, le Maître d’ouvrage peut attribuer le Marché au Soumissionnaire dont l’offre a été évaluée la deuxième moins-disante et qui est </w:t>
            </w:r>
            <w:r w:rsidRPr="004E4188">
              <w:rPr>
                <w:szCs w:val="24"/>
              </w:rPr>
              <w:t xml:space="preserve">substantiellement </w:t>
            </w:r>
            <w:r w:rsidRPr="004E4188">
              <w:t>conforme au Dossier d’appel d’offres, et que le Maître d’ouvrage juge qualifié pour exécuter le Marché</w:t>
            </w:r>
            <w:r w:rsidRPr="004E4188">
              <w:rPr>
                <w:szCs w:val="24"/>
              </w:rPr>
              <w:t xml:space="preserve"> de façon satisfaisante</w:t>
            </w:r>
            <w:r w:rsidRPr="004E4188">
              <w:t>.</w:t>
            </w:r>
          </w:p>
        </w:tc>
      </w:tr>
      <w:tr w:rsidR="006F129D" w:rsidRPr="004E4188" w14:paraId="4BF32D8E" w14:textId="77777777" w:rsidTr="00D45EAD">
        <w:trPr>
          <w:trHeight w:val="936"/>
        </w:trPr>
        <w:tc>
          <w:tcPr>
            <w:tcW w:w="2273" w:type="dxa"/>
          </w:tcPr>
          <w:p w14:paraId="450C9A2E" w14:textId="4AFF5C7D" w:rsidR="006F129D" w:rsidRPr="004E4188" w:rsidRDefault="006F129D" w:rsidP="008A28CD">
            <w:pPr>
              <w:pStyle w:val="S1-Header20"/>
              <w:rPr>
                <w:lang w:val="fr-FR"/>
              </w:rPr>
            </w:pPr>
            <w:bookmarkStart w:id="352" w:name="_Toc113293333"/>
            <w:r w:rsidRPr="004E4188">
              <w:rPr>
                <w:lang w:val="fr-FR"/>
              </w:rPr>
              <w:t>42.</w:t>
            </w:r>
            <w:r w:rsidRPr="004E4188">
              <w:rPr>
                <w:lang w:val="fr-FR"/>
              </w:rPr>
              <w:tab/>
            </w:r>
            <w:r w:rsidRPr="004E4188">
              <w:rPr>
                <w:spacing w:val="-6"/>
                <w:lang w:val="fr-FR"/>
              </w:rPr>
              <w:t>Notification aux Soumissionnaires non retenus et compte-rendu</w:t>
            </w:r>
            <w:bookmarkEnd w:id="352"/>
          </w:p>
        </w:tc>
        <w:tc>
          <w:tcPr>
            <w:tcW w:w="7015" w:type="dxa"/>
          </w:tcPr>
          <w:p w14:paraId="0F83BCEB" w14:textId="77777777" w:rsidR="006F129D" w:rsidRPr="004E4188" w:rsidRDefault="006F129D" w:rsidP="00D45EAD">
            <w:pPr>
              <w:tabs>
                <w:tab w:val="left" w:pos="576"/>
                <w:tab w:val="left" w:pos="1152"/>
              </w:tabs>
              <w:spacing w:after="200"/>
              <w:ind w:left="601" w:hanging="601"/>
            </w:pPr>
            <w:r w:rsidRPr="004E4188">
              <w:t>4</w:t>
            </w:r>
            <w:r w:rsidRPr="004E4188">
              <w:rPr>
                <w:lang w:eastAsia="ja-JP"/>
              </w:rPr>
              <w:t>2</w:t>
            </w:r>
            <w:r w:rsidRPr="004E4188">
              <w:t>.1</w:t>
            </w:r>
            <w:r w:rsidRPr="004E4188">
              <w:tab/>
              <w:t xml:space="preserve">Dès que le Soumissionnaire retenu aura signé le Marché et fourni la garantie de bonne exécution, conformément à IS 41, le Maître d’ouvrage notifiera le plus rapidement possible </w:t>
            </w:r>
            <w:r w:rsidRPr="004E4188">
              <w:rPr>
                <w:rFonts w:hint="eastAsia"/>
              </w:rPr>
              <w:t>à</w:t>
            </w:r>
            <w:r w:rsidRPr="004E4188">
              <w:t xml:space="preserve"> tous les Soumissionnaires non retenus le résultat de l’appel d’offre.</w:t>
            </w:r>
          </w:p>
        </w:tc>
      </w:tr>
      <w:tr w:rsidR="006F129D" w:rsidRPr="004E4188" w14:paraId="1CAAFCB3" w14:textId="77777777" w:rsidTr="00D45EAD">
        <w:trPr>
          <w:trHeight w:val="936"/>
        </w:trPr>
        <w:tc>
          <w:tcPr>
            <w:tcW w:w="2273" w:type="dxa"/>
          </w:tcPr>
          <w:p w14:paraId="4B27848A" w14:textId="77777777" w:rsidR="006F129D" w:rsidRPr="004E4188" w:rsidRDefault="006F129D" w:rsidP="00D45EAD"/>
        </w:tc>
        <w:tc>
          <w:tcPr>
            <w:tcW w:w="7015" w:type="dxa"/>
          </w:tcPr>
          <w:p w14:paraId="461487CF" w14:textId="193EBBFB" w:rsidR="006F129D" w:rsidRPr="004E4188" w:rsidRDefault="006F129D" w:rsidP="00D51A77">
            <w:pPr>
              <w:tabs>
                <w:tab w:val="left" w:pos="576"/>
                <w:tab w:val="left" w:pos="1152"/>
              </w:tabs>
              <w:spacing w:after="200"/>
              <w:ind w:left="601" w:hanging="601"/>
            </w:pPr>
            <w:r w:rsidRPr="004E4188">
              <w:t>4</w:t>
            </w:r>
            <w:r w:rsidRPr="004E4188">
              <w:rPr>
                <w:lang w:eastAsia="ja-JP"/>
              </w:rPr>
              <w:t>2</w:t>
            </w:r>
            <w:r w:rsidRPr="004E4188">
              <w:t>.2</w:t>
            </w:r>
            <w:r w:rsidRPr="004E4188">
              <w:tab/>
              <w:t>Après réception de la notification du Maître d’ouvrage envoyée conformément à IS</w:t>
            </w:r>
            <w:r w:rsidR="00F826CF" w:rsidRPr="004E4188">
              <w:t> </w:t>
            </w:r>
            <w:r w:rsidRPr="004E4188">
              <w:t xml:space="preserve">42.1, les Soumissionnaires non retenus (y compris ceux </w:t>
            </w:r>
            <w:r w:rsidRPr="004E4188">
              <w:rPr>
                <w:szCs w:val="24"/>
              </w:rPr>
              <w:t xml:space="preserve">dont l’Offre Technique aura été jugée non </w:t>
            </w:r>
            <w:r w:rsidRPr="004E4188">
              <w:t>substantiellement</w:t>
            </w:r>
            <w:r w:rsidRPr="004E4188">
              <w:rPr>
                <w:szCs w:val="24"/>
              </w:rPr>
              <w:t xml:space="preserve"> conforme) </w:t>
            </w:r>
            <w:r w:rsidRPr="004E4188">
              <w:t xml:space="preserve">pourront demander par écrit au Maître d’ouvrage les raisons pour lesquelles leur offre n’a pas été retenue. Le Maître d’ouvrage répondra rapidement par écrit à tout Soumissionnaire non retenu qui demande des explications sur le rejet de son offre, conformément à cet </w:t>
            </w:r>
            <w:r w:rsidR="00C54E6C" w:rsidRPr="004E4188">
              <w:t>A</w:t>
            </w:r>
            <w:r w:rsidRPr="004E4188">
              <w:t>rticle.</w:t>
            </w:r>
          </w:p>
        </w:tc>
      </w:tr>
      <w:bookmarkEnd w:id="38"/>
    </w:tbl>
    <w:p w14:paraId="4F945014" w14:textId="77777777" w:rsidR="00582708" w:rsidRPr="004E4188" w:rsidRDefault="00582708" w:rsidP="00906D95">
      <w:pPr>
        <w:pStyle w:val="S9Header"/>
        <w:jc w:val="both"/>
        <w:rPr>
          <w:lang w:eastAsia="ja-JP"/>
        </w:rPr>
        <w:sectPr w:rsidR="00582708" w:rsidRPr="004E4188" w:rsidSect="00A127DF">
          <w:headerReference w:type="even" r:id="rId36"/>
          <w:headerReference w:type="default" r:id="rId37"/>
          <w:footnotePr>
            <w:numRestart w:val="eachPage"/>
          </w:footnotePr>
          <w:type w:val="nextColumn"/>
          <w:pgSz w:w="12240" w:h="15840" w:code="1"/>
          <w:pgMar w:top="1440" w:right="1440" w:bottom="1440" w:left="1797" w:header="720" w:footer="720" w:gutter="0"/>
          <w:pgNumType w:start="1"/>
          <w:cols w:space="720"/>
        </w:sectPr>
      </w:pPr>
    </w:p>
    <w:tbl>
      <w:tblPr>
        <w:tblW w:w="9014" w:type="dxa"/>
        <w:tblLayout w:type="fixed"/>
        <w:tblLook w:val="0000" w:firstRow="0" w:lastRow="0" w:firstColumn="0" w:lastColumn="0" w:noHBand="0" w:noVBand="0"/>
      </w:tblPr>
      <w:tblGrid>
        <w:gridCol w:w="9014"/>
      </w:tblGrid>
      <w:tr w:rsidR="006F129D" w:rsidRPr="004E4188" w14:paraId="4485839C" w14:textId="77777777" w:rsidTr="00212272">
        <w:trPr>
          <w:cantSplit/>
          <w:trHeight w:val="713"/>
        </w:trPr>
        <w:tc>
          <w:tcPr>
            <w:tcW w:w="9014" w:type="dxa"/>
          </w:tcPr>
          <w:p w14:paraId="7045E595" w14:textId="2AE2B427" w:rsidR="006F129D" w:rsidRPr="004E4188" w:rsidRDefault="006F129D" w:rsidP="00755064">
            <w:pPr>
              <w:tabs>
                <w:tab w:val="right" w:leader="underscore" w:pos="9504"/>
              </w:tabs>
              <w:suppressAutoHyphens w:val="0"/>
              <w:overflowPunct/>
              <w:autoSpaceDE/>
              <w:autoSpaceDN/>
              <w:adjustRightInd/>
              <w:spacing w:before="120" w:after="200"/>
              <w:jc w:val="center"/>
              <w:textAlignment w:val="auto"/>
              <w:outlineLvl w:val="1"/>
              <w:rPr>
                <w:b/>
                <w:sz w:val="44"/>
                <w:szCs w:val="44"/>
                <w:lang w:eastAsia="ja-JP"/>
              </w:rPr>
            </w:pPr>
            <w:r w:rsidRPr="004E4188">
              <w:rPr>
                <w:b/>
                <w:sz w:val="44"/>
                <w:szCs w:val="44"/>
                <w:lang w:eastAsia="ja-JP"/>
              </w:rPr>
              <w:br w:type="page"/>
            </w:r>
            <w:bookmarkStart w:id="353" w:name="_Toc349055421"/>
            <w:r w:rsidRPr="004E4188">
              <w:rPr>
                <w:b/>
                <w:sz w:val="44"/>
                <w:szCs w:val="44"/>
                <w:lang w:eastAsia="ja-JP"/>
              </w:rPr>
              <w:t>Section II. Données particulières</w:t>
            </w:r>
            <w:bookmarkEnd w:id="353"/>
          </w:p>
        </w:tc>
      </w:tr>
    </w:tbl>
    <w:p w14:paraId="71317A20" w14:textId="77777777" w:rsidR="006F129D" w:rsidRPr="004E4188" w:rsidRDefault="006F129D" w:rsidP="00D45EAD">
      <w:pPr>
        <w:suppressAutoHyphens w:val="0"/>
        <w:overflowPunct/>
        <w:autoSpaceDE/>
        <w:autoSpaceDN/>
        <w:adjustRightInd/>
        <w:textAlignment w:val="auto"/>
        <w:rPr>
          <w:b/>
          <w:sz w:val="4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6F129D" w:rsidRPr="004E4188" w14:paraId="7F6A9434" w14:textId="77777777" w:rsidTr="00D45EAD">
        <w:tc>
          <w:tcPr>
            <w:tcW w:w="9108" w:type="dxa"/>
          </w:tcPr>
          <w:p w14:paraId="1227099A" w14:textId="77777777" w:rsidR="006F129D" w:rsidRPr="004E4188" w:rsidRDefault="006F129D" w:rsidP="00D45EAD">
            <w:pPr>
              <w:jc w:val="center"/>
              <w:rPr>
                <w:b/>
                <w:bCs/>
                <w:sz w:val="28"/>
                <w:szCs w:val="28"/>
                <w:lang w:eastAsia="ja-JP"/>
              </w:rPr>
            </w:pPr>
          </w:p>
          <w:p w14:paraId="7EA802AD" w14:textId="2D61084F" w:rsidR="006F129D" w:rsidRPr="004E4188" w:rsidRDefault="006F129D" w:rsidP="00D45EAD">
            <w:pPr>
              <w:spacing w:afterLines="100" w:after="240"/>
              <w:jc w:val="center"/>
              <w:rPr>
                <w:b/>
                <w:bCs/>
                <w:sz w:val="28"/>
                <w:szCs w:val="28"/>
                <w:lang w:eastAsia="ja-JP"/>
              </w:rPr>
            </w:pPr>
            <w:r w:rsidRPr="004E4188">
              <w:rPr>
                <w:b/>
                <w:bCs/>
                <w:sz w:val="28"/>
                <w:szCs w:val="28"/>
              </w:rPr>
              <w:t xml:space="preserve">Notes </w:t>
            </w:r>
            <w:r w:rsidRPr="004E4188">
              <w:rPr>
                <w:b/>
                <w:sz w:val="28"/>
                <w:szCs w:val="28"/>
              </w:rPr>
              <w:t>à l’intention du Maître d’ouvrage</w:t>
            </w:r>
          </w:p>
          <w:p w14:paraId="0E7BADB9" w14:textId="77777777" w:rsidR="006F129D" w:rsidRPr="004E4188" w:rsidRDefault="006F129D" w:rsidP="00D45EAD">
            <w:pPr>
              <w:rPr>
                <w:lang w:eastAsia="ja-JP"/>
              </w:rPr>
            </w:pPr>
          </w:p>
          <w:p w14:paraId="39C443E3" w14:textId="77777777" w:rsidR="006F129D" w:rsidRPr="004E4188" w:rsidRDefault="006F129D" w:rsidP="00D45EAD">
            <w:pPr>
              <w:spacing w:afterLines="150" w:after="360"/>
              <w:rPr>
                <w:bCs/>
              </w:rPr>
            </w:pPr>
            <w:r w:rsidRPr="004E4188">
              <w:rPr>
                <w:bCs/>
                <w:lang w:eastAsia="ja-JP"/>
              </w:rPr>
              <w:t>Les Données particulières de</w:t>
            </w:r>
            <w:r w:rsidRPr="004E4188">
              <w:rPr>
                <w:bCs/>
              </w:rPr>
              <w:t xml:space="preserve"> la Section </w:t>
            </w:r>
            <w:r w:rsidRPr="004E4188">
              <w:rPr>
                <w:bCs/>
                <w:lang w:eastAsia="ja-JP"/>
              </w:rPr>
              <w:t>II doivent être complétées par le Maître d’ouvrage préalablement à la diffusion des Dossiers d’appel d’offres</w:t>
            </w:r>
            <w:r w:rsidRPr="004E4188">
              <w:rPr>
                <w:bCs/>
              </w:rPr>
              <w:t>.</w:t>
            </w:r>
          </w:p>
          <w:p w14:paraId="396D1F5A" w14:textId="48097FC3" w:rsidR="006F129D" w:rsidRPr="004E4188" w:rsidRDefault="006F129D" w:rsidP="00D45EAD">
            <w:pPr>
              <w:spacing w:afterLines="150" w:after="360"/>
              <w:rPr>
                <w:bCs/>
                <w:szCs w:val="24"/>
              </w:rPr>
            </w:pPr>
            <w:r w:rsidRPr="004E4188">
              <w:rPr>
                <w:bCs/>
                <w:szCs w:val="24"/>
              </w:rPr>
              <w:t>Les Données particulières (DP) contiennent des informations et dispositions qui sont spécifiques à chaque passation de marchés et complètent la Section I, Instructions aux soumissionnaires. Le Maître d’ouvrage doit spécifier dans les DP uniquement les informations requises dans les dispositions correspondantes des IS. Toutes les informations doivent être fournies </w:t>
            </w:r>
            <w:r w:rsidRPr="004E4188">
              <w:rPr>
                <w:rFonts w:hint="eastAsia"/>
                <w:bCs/>
                <w:szCs w:val="24"/>
                <w:lang w:eastAsia="ja-JP"/>
              </w:rPr>
              <w:t>;</w:t>
            </w:r>
            <w:r w:rsidRPr="004E4188">
              <w:rPr>
                <w:bCs/>
                <w:szCs w:val="24"/>
              </w:rPr>
              <w:t xml:space="preserve"> </w:t>
            </w:r>
            <w:r w:rsidRPr="004E4188">
              <w:rPr>
                <w:b/>
                <w:bCs/>
                <w:szCs w:val="24"/>
              </w:rPr>
              <w:t>aucune clause ne doit être laissée non renseignée.</w:t>
            </w:r>
          </w:p>
          <w:p w14:paraId="2A5888E7" w14:textId="77777777" w:rsidR="006F129D" w:rsidRPr="004E4188" w:rsidRDefault="006F129D" w:rsidP="00D45EAD">
            <w:pPr>
              <w:spacing w:afterLines="150" w:after="360"/>
              <w:rPr>
                <w:szCs w:val="24"/>
              </w:rPr>
            </w:pPr>
            <w:r w:rsidRPr="004E4188">
              <w:rPr>
                <w:szCs w:val="24"/>
              </w:rPr>
              <w:t>Pour faciliter la préparation des DP, la numérotation de leurs clauses est la même que celle des clauses correspondantes des IS.</w:t>
            </w:r>
          </w:p>
          <w:p w14:paraId="2188CB27" w14:textId="77777777" w:rsidR="006F129D" w:rsidRPr="004E4188" w:rsidRDefault="006F129D" w:rsidP="00D45EAD">
            <w:pPr>
              <w:suppressAutoHyphens w:val="0"/>
              <w:overflowPunct/>
              <w:autoSpaceDE/>
              <w:autoSpaceDN/>
              <w:adjustRightInd/>
              <w:spacing w:after="200"/>
              <w:textAlignment w:val="auto"/>
              <w:rPr>
                <w:lang w:eastAsia="ja-JP"/>
              </w:rPr>
            </w:pPr>
            <w:r w:rsidRPr="004E4188">
              <w:rPr>
                <w:lang w:eastAsia="ja-JP"/>
              </w:rPr>
              <w:t>Les directives suivantes devront être observées lors de la préparation des DP :</w:t>
            </w:r>
          </w:p>
          <w:p w14:paraId="17E66AB7" w14:textId="77777777" w:rsidR="006F129D" w:rsidRPr="004E4188" w:rsidRDefault="006F129D" w:rsidP="003D46CF">
            <w:pPr>
              <w:numPr>
                <w:ilvl w:val="0"/>
                <w:numId w:val="27"/>
              </w:numPr>
              <w:suppressAutoHyphens w:val="0"/>
              <w:overflowPunct/>
              <w:autoSpaceDE/>
              <w:autoSpaceDN/>
              <w:adjustRightInd/>
              <w:spacing w:after="200"/>
              <w:ind w:left="567" w:hanging="567"/>
              <w:textAlignment w:val="auto"/>
              <w:rPr>
                <w:lang w:eastAsia="ja-JP"/>
              </w:rPr>
            </w:pPr>
            <w:r w:rsidRPr="004E4188">
              <w:rPr>
                <w:lang w:eastAsia="ja-JP"/>
              </w:rPr>
              <w:t>Les détails spécifiques, tels que le nom du Maître d’ouvrage et l’adresse de soumission des offres, devront être indiqués dans les espaces prévus à cet effet, en suivant les instructions des notes en italique entre crochets.</w:t>
            </w:r>
          </w:p>
          <w:p w14:paraId="7D98B642" w14:textId="77777777" w:rsidR="006F129D" w:rsidRPr="004E4188" w:rsidRDefault="006F129D" w:rsidP="003D46CF">
            <w:pPr>
              <w:numPr>
                <w:ilvl w:val="0"/>
                <w:numId w:val="27"/>
              </w:numPr>
              <w:suppressAutoHyphens w:val="0"/>
              <w:overflowPunct/>
              <w:autoSpaceDE/>
              <w:autoSpaceDN/>
              <w:adjustRightInd/>
              <w:spacing w:after="200"/>
              <w:ind w:left="567" w:hanging="567"/>
              <w:textAlignment w:val="auto"/>
              <w:rPr>
                <w:lang w:eastAsia="ja-JP"/>
              </w:rPr>
            </w:pPr>
            <w:r w:rsidRPr="004E4188">
              <w:rPr>
                <w:lang w:eastAsia="ja-JP"/>
              </w:rPr>
              <w:t>Les notes en italique ne font pas partie des DP, mais contiennent des indications et des instructions à l’intention du Maître d’ouvrage. Elles doivent être retirées du Dossier d’appel d’offres qui sera remis aux Soumissionnaires.</w:t>
            </w:r>
          </w:p>
          <w:p w14:paraId="669502A0" w14:textId="77777777" w:rsidR="006F129D" w:rsidRPr="004E4188" w:rsidRDefault="006F129D" w:rsidP="003D46CF">
            <w:pPr>
              <w:numPr>
                <w:ilvl w:val="0"/>
                <w:numId w:val="27"/>
              </w:numPr>
              <w:suppressAutoHyphens w:val="0"/>
              <w:overflowPunct/>
              <w:autoSpaceDE/>
              <w:autoSpaceDN/>
              <w:adjustRightInd/>
              <w:spacing w:after="200"/>
              <w:ind w:left="567" w:hanging="567"/>
              <w:textAlignment w:val="auto"/>
              <w:rPr>
                <w:bCs/>
                <w:szCs w:val="24"/>
              </w:rPr>
            </w:pPr>
            <w:r w:rsidRPr="004E4188">
              <w:rPr>
                <w:lang w:eastAsia="ja-JP"/>
              </w:rPr>
              <w:t>Lorsque des clauses ou textes alternatifs sont proposés, sélectionnez les mieux adaptés aux spécificités du marché et supprimez les alternatives inutiles.</w:t>
            </w:r>
          </w:p>
          <w:p w14:paraId="7D92AFAE" w14:textId="77777777" w:rsidR="006F129D" w:rsidRPr="004E4188" w:rsidRDefault="006F129D" w:rsidP="00646555">
            <w:pPr>
              <w:suppressAutoHyphens w:val="0"/>
              <w:overflowPunct/>
              <w:autoSpaceDE/>
              <w:autoSpaceDN/>
              <w:adjustRightInd/>
              <w:textAlignment w:val="auto"/>
              <w:rPr>
                <w:bCs/>
                <w:szCs w:val="24"/>
              </w:rPr>
            </w:pPr>
          </w:p>
        </w:tc>
      </w:tr>
    </w:tbl>
    <w:p w14:paraId="50939CE5" w14:textId="77777777" w:rsidR="002C59E4" w:rsidRPr="004E4188" w:rsidRDefault="002C59E4" w:rsidP="00157C23">
      <w:pPr>
        <w:spacing w:before="200" w:after="200"/>
        <w:jc w:val="center"/>
        <w:sectPr w:rsidR="002C59E4" w:rsidRPr="004E4188" w:rsidSect="001870BD">
          <w:headerReference w:type="default" r:id="rId38"/>
          <w:footnotePr>
            <w:numRestart w:val="eachPage"/>
          </w:footnotePr>
          <w:type w:val="oddPage"/>
          <w:pgSz w:w="12240" w:h="15840" w:code="1"/>
          <w:pgMar w:top="1440" w:right="1440" w:bottom="1440" w:left="1797" w:header="720" w:footer="720" w:gutter="0"/>
          <w:cols w:space="720"/>
        </w:sectPr>
      </w:pPr>
    </w:p>
    <w:p w14:paraId="2BACF4BF" w14:textId="0A39728F" w:rsidR="006F129D" w:rsidRPr="004E4188" w:rsidRDefault="006F129D" w:rsidP="00262851">
      <w:pPr>
        <w:pStyle w:val="3"/>
        <w:ind w:left="0" w:firstLine="0"/>
        <w:jc w:val="center"/>
        <w:rPr>
          <w:b/>
          <w:sz w:val="44"/>
          <w:szCs w:val="44"/>
        </w:rPr>
      </w:pPr>
      <w:r w:rsidRPr="004E4188">
        <w:rPr>
          <w:b/>
          <w:sz w:val="44"/>
          <w:szCs w:val="44"/>
        </w:rPr>
        <w:t>Données particulière</w:t>
      </w:r>
      <w:r w:rsidRPr="004E4188">
        <w:rPr>
          <w:b/>
          <w:sz w:val="44"/>
          <w:szCs w:val="44"/>
          <w:lang w:eastAsia="ja-JP"/>
        </w:rPr>
        <w:t>s</w:t>
      </w:r>
    </w:p>
    <w:tbl>
      <w:tblPr>
        <w:tblW w:w="90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20"/>
        <w:gridCol w:w="7680"/>
      </w:tblGrid>
      <w:tr w:rsidR="006F129D" w:rsidRPr="004E4188" w14:paraId="2534CC77" w14:textId="77777777" w:rsidTr="001870BD">
        <w:trPr>
          <w:cantSplit/>
        </w:trPr>
        <w:tc>
          <w:tcPr>
            <w:tcW w:w="9000" w:type="dxa"/>
            <w:gridSpan w:val="2"/>
            <w:tcBorders>
              <w:top w:val="single" w:sz="12" w:space="0" w:color="000000"/>
              <w:bottom w:val="single" w:sz="8" w:space="0" w:color="000000"/>
            </w:tcBorders>
            <w:shd w:val="clear" w:color="auto" w:fill="E6E6E6"/>
          </w:tcPr>
          <w:p w14:paraId="25360A45" w14:textId="77777777" w:rsidR="006F129D" w:rsidRPr="004E4188" w:rsidRDefault="006F129D" w:rsidP="00FD5BFE">
            <w:pPr>
              <w:spacing w:before="120" w:after="120"/>
              <w:jc w:val="center"/>
              <w:rPr>
                <w:b/>
                <w:sz w:val="28"/>
              </w:rPr>
            </w:pPr>
            <w:r w:rsidRPr="004E4188">
              <w:rPr>
                <w:b/>
                <w:sz w:val="28"/>
              </w:rPr>
              <w:t>A.  Généralités</w:t>
            </w:r>
          </w:p>
        </w:tc>
      </w:tr>
      <w:tr w:rsidR="006F129D" w:rsidRPr="004E4188" w14:paraId="6E8FA8C4" w14:textId="77777777" w:rsidTr="001870BD">
        <w:trPr>
          <w:cantSplit/>
        </w:trPr>
        <w:tc>
          <w:tcPr>
            <w:tcW w:w="1320" w:type="dxa"/>
            <w:tcBorders>
              <w:top w:val="single" w:sz="8" w:space="0" w:color="000000"/>
              <w:bottom w:val="nil"/>
              <w:right w:val="single" w:sz="8" w:space="0" w:color="000000"/>
            </w:tcBorders>
          </w:tcPr>
          <w:p w14:paraId="7594AB12" w14:textId="77777777" w:rsidR="006F129D" w:rsidRPr="004E4188" w:rsidRDefault="006F129D" w:rsidP="00494291">
            <w:pPr>
              <w:spacing w:before="60" w:after="120"/>
              <w:rPr>
                <w:b/>
              </w:rPr>
            </w:pPr>
            <w:r w:rsidRPr="004E4188">
              <w:rPr>
                <w:b/>
              </w:rPr>
              <w:t>IS 1.1</w:t>
            </w:r>
          </w:p>
        </w:tc>
        <w:tc>
          <w:tcPr>
            <w:tcW w:w="7680" w:type="dxa"/>
            <w:tcBorders>
              <w:top w:val="single" w:sz="8" w:space="0" w:color="000000"/>
              <w:left w:val="single" w:sz="8" w:space="0" w:color="000000"/>
              <w:bottom w:val="nil"/>
            </w:tcBorders>
          </w:tcPr>
          <w:p w14:paraId="6373DA6E" w14:textId="77777777" w:rsidR="006F129D" w:rsidRPr="004E4188" w:rsidRDefault="006F129D" w:rsidP="00494291">
            <w:pPr>
              <w:tabs>
                <w:tab w:val="right" w:pos="7272"/>
              </w:tabs>
              <w:spacing w:before="60" w:afterLines="40" w:after="96"/>
            </w:pPr>
            <w:r w:rsidRPr="004E4188">
              <w:t>Le numéro de l’Avis d’appel d’offres est : [</w:t>
            </w:r>
            <w:r w:rsidRPr="004E4188">
              <w:rPr>
                <w:i/>
              </w:rPr>
              <w:t>indique</w:t>
            </w:r>
            <w:r w:rsidRPr="004E4188">
              <w:rPr>
                <w:i/>
                <w:lang w:eastAsia="ja-JP"/>
              </w:rPr>
              <w:t>r</w:t>
            </w:r>
            <w:r w:rsidRPr="004E4188">
              <w:rPr>
                <w:i/>
              </w:rPr>
              <w:t xml:space="preserve"> le numéro de l’Avis d’appel d’offres</w:t>
            </w:r>
            <w:r w:rsidRPr="004E4188">
              <w:t>]</w:t>
            </w:r>
          </w:p>
        </w:tc>
      </w:tr>
      <w:tr w:rsidR="006F129D" w:rsidRPr="004E4188" w14:paraId="5639A390" w14:textId="77777777" w:rsidTr="003E3409">
        <w:trPr>
          <w:cantSplit/>
        </w:trPr>
        <w:tc>
          <w:tcPr>
            <w:tcW w:w="1320" w:type="dxa"/>
            <w:tcBorders>
              <w:top w:val="nil"/>
              <w:bottom w:val="nil"/>
              <w:right w:val="single" w:sz="8" w:space="0" w:color="000000"/>
            </w:tcBorders>
          </w:tcPr>
          <w:p w14:paraId="184A5C3E" w14:textId="58EC9F34" w:rsidR="006F129D" w:rsidRPr="004E4188" w:rsidRDefault="006F129D" w:rsidP="00627C11">
            <w:pPr>
              <w:spacing w:after="120"/>
              <w:rPr>
                <w:b/>
              </w:rPr>
            </w:pPr>
          </w:p>
        </w:tc>
        <w:tc>
          <w:tcPr>
            <w:tcW w:w="7680" w:type="dxa"/>
            <w:tcBorders>
              <w:top w:val="nil"/>
              <w:left w:val="single" w:sz="8" w:space="0" w:color="000000"/>
              <w:bottom w:val="nil"/>
            </w:tcBorders>
          </w:tcPr>
          <w:p w14:paraId="77C185DF" w14:textId="77777777" w:rsidR="006F129D" w:rsidRPr="004E4188" w:rsidRDefault="006F129D" w:rsidP="00627C11">
            <w:pPr>
              <w:tabs>
                <w:tab w:val="right" w:pos="7272"/>
              </w:tabs>
            </w:pPr>
            <w:r w:rsidRPr="004E4188">
              <w:t>Le Maître d’ouvrage est : [</w:t>
            </w:r>
            <w:r w:rsidRPr="004E4188">
              <w:rPr>
                <w:i/>
              </w:rPr>
              <w:t>indique</w:t>
            </w:r>
            <w:r w:rsidRPr="004E4188">
              <w:rPr>
                <w:i/>
                <w:lang w:eastAsia="ja-JP"/>
              </w:rPr>
              <w:t>r</w:t>
            </w:r>
            <w:r w:rsidRPr="004E4188">
              <w:rPr>
                <w:i/>
              </w:rPr>
              <w:t xml:space="preserve"> le nom du Maître d’ouvrage</w:t>
            </w:r>
            <w:r w:rsidRPr="004E4188">
              <w:t>]</w:t>
            </w:r>
          </w:p>
        </w:tc>
      </w:tr>
      <w:tr w:rsidR="006F129D" w:rsidRPr="004E4188" w14:paraId="7527A1E4" w14:textId="77777777" w:rsidTr="00D45EAD">
        <w:trPr>
          <w:cantSplit/>
        </w:trPr>
        <w:tc>
          <w:tcPr>
            <w:tcW w:w="1320" w:type="dxa"/>
            <w:tcBorders>
              <w:top w:val="nil"/>
              <w:bottom w:val="nil"/>
              <w:right w:val="single" w:sz="8" w:space="0" w:color="000000"/>
            </w:tcBorders>
          </w:tcPr>
          <w:p w14:paraId="7C44A659" w14:textId="77777777" w:rsidR="006F129D" w:rsidRPr="004E4188" w:rsidDel="005C3977" w:rsidRDefault="006F129D" w:rsidP="00D45EAD">
            <w:pPr>
              <w:spacing w:after="120"/>
              <w:rPr>
                <w:b/>
              </w:rPr>
            </w:pPr>
          </w:p>
        </w:tc>
        <w:tc>
          <w:tcPr>
            <w:tcW w:w="7680" w:type="dxa"/>
            <w:tcBorders>
              <w:top w:val="nil"/>
              <w:left w:val="single" w:sz="8" w:space="0" w:color="000000"/>
              <w:bottom w:val="nil"/>
            </w:tcBorders>
          </w:tcPr>
          <w:p w14:paraId="70AE98C5" w14:textId="7FB0F41B" w:rsidR="006F129D" w:rsidRPr="004E4188" w:rsidRDefault="006F129D" w:rsidP="003D1D01">
            <w:pPr>
              <w:tabs>
                <w:tab w:val="right" w:pos="7272"/>
              </w:tabs>
            </w:pPr>
            <w:r w:rsidRPr="004E4188">
              <w:t xml:space="preserve">Le pays du Maître d’ouvrage est : </w:t>
            </w:r>
            <w:r w:rsidRPr="004E4188">
              <w:rPr>
                <w:rFonts w:hint="eastAsia"/>
                <w:lang w:eastAsia="ja-JP"/>
              </w:rPr>
              <w:t>[</w:t>
            </w:r>
            <w:r w:rsidRPr="004E4188">
              <w:rPr>
                <w:i/>
              </w:rPr>
              <w:t>indiquer le nom du pays du Maître d’ouvrage/de l</w:t>
            </w:r>
            <w:r w:rsidR="003D1D01" w:rsidRPr="004E4188">
              <w:rPr>
                <w:i/>
              </w:rPr>
              <w:t>’</w:t>
            </w:r>
            <w:r w:rsidRPr="004E4188">
              <w:rPr>
                <w:i/>
              </w:rPr>
              <w:t>Emprunteur</w:t>
            </w:r>
            <w:r w:rsidRPr="004E4188">
              <w:t>]</w:t>
            </w:r>
          </w:p>
        </w:tc>
      </w:tr>
      <w:tr w:rsidR="006F129D" w:rsidRPr="004E4188" w14:paraId="74F996C7" w14:textId="77777777" w:rsidTr="00D45EAD">
        <w:trPr>
          <w:cantSplit/>
        </w:trPr>
        <w:tc>
          <w:tcPr>
            <w:tcW w:w="1320" w:type="dxa"/>
            <w:tcBorders>
              <w:top w:val="nil"/>
              <w:bottom w:val="nil"/>
              <w:right w:val="single" w:sz="8" w:space="0" w:color="000000"/>
            </w:tcBorders>
          </w:tcPr>
          <w:p w14:paraId="0C7AB06D" w14:textId="77777777" w:rsidR="006F129D" w:rsidRPr="004E4188" w:rsidDel="005C3977" w:rsidRDefault="006F129D" w:rsidP="00D45EAD">
            <w:pPr>
              <w:spacing w:after="120"/>
              <w:rPr>
                <w:b/>
              </w:rPr>
            </w:pPr>
          </w:p>
        </w:tc>
        <w:tc>
          <w:tcPr>
            <w:tcW w:w="7680" w:type="dxa"/>
            <w:tcBorders>
              <w:top w:val="nil"/>
              <w:left w:val="single" w:sz="8" w:space="0" w:color="000000"/>
              <w:bottom w:val="nil"/>
            </w:tcBorders>
          </w:tcPr>
          <w:p w14:paraId="59CEFE2B" w14:textId="77777777" w:rsidR="006F129D" w:rsidRPr="004E4188" w:rsidRDefault="006F129D" w:rsidP="00D45EAD">
            <w:pPr>
              <w:tabs>
                <w:tab w:val="right" w:pos="7272"/>
              </w:tabs>
            </w:pPr>
            <w:r w:rsidRPr="004E4188">
              <w:t>L</w:t>
            </w:r>
            <w:r w:rsidRPr="004E4188">
              <w:rPr>
                <w:rFonts w:hint="eastAsia"/>
              </w:rPr>
              <w:t>e projet est</w:t>
            </w:r>
            <w:r w:rsidRPr="004E4188">
              <w:t> </w:t>
            </w:r>
            <w:r w:rsidRPr="004E4188">
              <w:rPr>
                <w:rFonts w:hint="eastAsia"/>
              </w:rPr>
              <w:t>:</w:t>
            </w:r>
            <w:r w:rsidRPr="004E4188">
              <w:t xml:space="preserve"> [</w:t>
            </w:r>
            <w:r w:rsidRPr="004E4188">
              <w:rPr>
                <w:i/>
              </w:rPr>
              <w:t>indique</w:t>
            </w:r>
            <w:r w:rsidRPr="004E4188">
              <w:rPr>
                <w:rFonts w:hint="eastAsia"/>
                <w:i/>
                <w:lang w:eastAsia="ja-JP"/>
              </w:rPr>
              <w:t>r</w:t>
            </w:r>
            <w:r w:rsidRPr="004E4188">
              <w:rPr>
                <w:i/>
              </w:rPr>
              <w:t xml:space="preserve"> le nom du projet</w:t>
            </w:r>
            <w:r w:rsidRPr="004E4188">
              <w:t>]</w:t>
            </w:r>
          </w:p>
        </w:tc>
      </w:tr>
      <w:tr w:rsidR="006F129D" w:rsidRPr="004E4188" w14:paraId="6F20612B" w14:textId="77777777" w:rsidTr="00D45EAD">
        <w:trPr>
          <w:cantSplit/>
        </w:trPr>
        <w:tc>
          <w:tcPr>
            <w:tcW w:w="1320" w:type="dxa"/>
            <w:tcBorders>
              <w:top w:val="nil"/>
              <w:bottom w:val="nil"/>
              <w:right w:val="single" w:sz="8" w:space="0" w:color="000000"/>
            </w:tcBorders>
          </w:tcPr>
          <w:p w14:paraId="261A445C" w14:textId="77777777" w:rsidR="006F129D" w:rsidRPr="004E4188" w:rsidDel="005C3977" w:rsidRDefault="006F129D" w:rsidP="00D45EAD">
            <w:pPr>
              <w:spacing w:after="120"/>
              <w:rPr>
                <w:b/>
              </w:rPr>
            </w:pPr>
          </w:p>
        </w:tc>
        <w:tc>
          <w:tcPr>
            <w:tcW w:w="7680" w:type="dxa"/>
            <w:tcBorders>
              <w:top w:val="nil"/>
              <w:left w:val="single" w:sz="8" w:space="0" w:color="000000"/>
              <w:bottom w:val="nil"/>
            </w:tcBorders>
          </w:tcPr>
          <w:p w14:paraId="58BD3ED5" w14:textId="77777777" w:rsidR="006F129D" w:rsidRPr="004E4188" w:rsidRDefault="006F129D" w:rsidP="00D45EAD">
            <w:pPr>
              <w:tabs>
                <w:tab w:val="right" w:pos="7272"/>
              </w:tabs>
            </w:pPr>
            <w:r w:rsidRPr="004E4188">
              <w:t>L</w:t>
            </w:r>
            <w:r w:rsidRPr="004E4188">
              <w:rPr>
                <w:rFonts w:hint="eastAsia"/>
              </w:rPr>
              <w:t>e nom du</w:t>
            </w:r>
            <w:r w:rsidRPr="004E4188">
              <w:t> M</w:t>
            </w:r>
            <w:r w:rsidRPr="004E4188">
              <w:rPr>
                <w:rFonts w:hint="eastAsia"/>
              </w:rPr>
              <w:t>arché est</w:t>
            </w:r>
            <w:r w:rsidRPr="004E4188">
              <w:t> </w:t>
            </w:r>
            <w:r w:rsidRPr="004E4188">
              <w:rPr>
                <w:rFonts w:hint="eastAsia"/>
              </w:rPr>
              <w:t>:</w:t>
            </w:r>
            <w:r w:rsidRPr="004E4188">
              <w:t xml:space="preserve"> [</w:t>
            </w:r>
            <w:r w:rsidRPr="004E4188">
              <w:rPr>
                <w:i/>
              </w:rPr>
              <w:t>indique</w:t>
            </w:r>
            <w:r w:rsidRPr="004E4188">
              <w:rPr>
                <w:rFonts w:hint="eastAsia"/>
                <w:i/>
                <w:lang w:eastAsia="ja-JP"/>
              </w:rPr>
              <w:t>r</w:t>
            </w:r>
            <w:r w:rsidRPr="004E4188">
              <w:rPr>
                <w:i/>
              </w:rPr>
              <w:t xml:space="preserve"> le nom du Marché</w:t>
            </w:r>
            <w:r w:rsidRPr="004E4188">
              <w:t>]</w:t>
            </w:r>
          </w:p>
        </w:tc>
      </w:tr>
      <w:tr w:rsidR="006F129D" w:rsidRPr="004E4188" w14:paraId="6CE75E08" w14:textId="77777777" w:rsidTr="00755064">
        <w:trPr>
          <w:cantSplit/>
          <w:trHeight w:val="3100"/>
        </w:trPr>
        <w:tc>
          <w:tcPr>
            <w:tcW w:w="1320" w:type="dxa"/>
            <w:tcBorders>
              <w:top w:val="nil"/>
              <w:bottom w:val="single" w:sz="8" w:space="0" w:color="000000"/>
              <w:right w:val="single" w:sz="8" w:space="0" w:color="000000"/>
            </w:tcBorders>
          </w:tcPr>
          <w:p w14:paraId="483CAF1F" w14:textId="77777777" w:rsidR="006F129D" w:rsidRPr="004E4188" w:rsidDel="005C3977" w:rsidRDefault="006F129D" w:rsidP="00D45EAD">
            <w:pPr>
              <w:spacing w:after="120"/>
              <w:rPr>
                <w:b/>
              </w:rPr>
            </w:pPr>
          </w:p>
        </w:tc>
        <w:tc>
          <w:tcPr>
            <w:tcW w:w="7680" w:type="dxa"/>
            <w:tcBorders>
              <w:top w:val="nil"/>
              <w:left w:val="single" w:sz="8" w:space="0" w:color="000000"/>
              <w:bottom w:val="single" w:sz="8" w:space="0" w:color="000000"/>
            </w:tcBorders>
          </w:tcPr>
          <w:p w14:paraId="5B1725E1" w14:textId="77777777" w:rsidR="006F129D" w:rsidRPr="004E4188" w:rsidDel="00DB4FF2" w:rsidRDefault="006F129D" w:rsidP="00D45EAD">
            <w:pPr>
              <w:spacing w:before="60" w:after="60"/>
              <w:rPr>
                <w:i/>
              </w:rPr>
            </w:pPr>
            <w:r w:rsidRPr="004E4188">
              <w:t xml:space="preserve">Les lots multiples pour lesquels l’appel d’offres est lancé sont : </w:t>
            </w:r>
            <w:r w:rsidRPr="004E4188">
              <w:rPr>
                <w:lang w:eastAsia="ja-JP"/>
              </w:rPr>
              <w:t>[</w:t>
            </w:r>
            <w:r w:rsidRPr="004E4188">
              <w:rPr>
                <w:i/>
                <w:lang w:eastAsia="ja-JP"/>
              </w:rPr>
              <w:t>Si l’appel d’offres est lancé pour des lots multiples, insérer « comme indiqué dans le tableau ci-dessous » et indiquer dans le tableau les numéros des lots et les noms des marchés concernés</w:t>
            </w:r>
            <w:r w:rsidRPr="004E4188">
              <w:rPr>
                <w:i/>
              </w:rPr>
              <w:t>. Sinon, supprimer le tableau ci-dessous dans son intégralité et indiquer à la place « sans objet ».</w:t>
            </w:r>
            <w:r w:rsidRPr="004E418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3052"/>
            </w:tblGrid>
            <w:tr w:rsidR="006F129D" w:rsidRPr="004E4188" w14:paraId="2DE59BA4" w14:textId="77777777" w:rsidTr="00D45EAD">
              <w:trPr>
                <w:trHeight w:val="142"/>
              </w:trPr>
              <w:tc>
                <w:tcPr>
                  <w:tcW w:w="2808" w:type="dxa"/>
                  <w:shd w:val="clear" w:color="auto" w:fill="auto"/>
                </w:tcPr>
                <w:p w14:paraId="22151EFA" w14:textId="77777777" w:rsidR="006F129D" w:rsidRPr="004E4188" w:rsidRDefault="006F129D" w:rsidP="00D45EAD">
                  <w:pPr>
                    <w:jc w:val="center"/>
                  </w:pPr>
                  <w:r w:rsidRPr="004E4188">
                    <w:rPr>
                      <w:rFonts w:hint="eastAsia"/>
                    </w:rPr>
                    <w:t>Numéro du lo</w:t>
                  </w:r>
                  <w:r w:rsidRPr="004E4188">
                    <w:t>t</w:t>
                  </w:r>
                </w:p>
              </w:tc>
              <w:tc>
                <w:tcPr>
                  <w:tcW w:w="3052" w:type="dxa"/>
                  <w:shd w:val="clear" w:color="auto" w:fill="auto"/>
                </w:tcPr>
                <w:p w14:paraId="1F52286D" w14:textId="77777777" w:rsidR="006F129D" w:rsidRPr="004E4188" w:rsidRDefault="006F129D" w:rsidP="00D45EAD">
                  <w:pPr>
                    <w:jc w:val="center"/>
                  </w:pPr>
                  <w:r w:rsidRPr="004E4188">
                    <w:t>N</w:t>
                  </w:r>
                  <w:r w:rsidRPr="004E4188">
                    <w:rPr>
                      <w:rFonts w:hint="eastAsia"/>
                    </w:rPr>
                    <w:t xml:space="preserve">om du </w:t>
                  </w:r>
                  <w:r w:rsidRPr="004E4188">
                    <w:t>M</w:t>
                  </w:r>
                  <w:r w:rsidRPr="004E4188">
                    <w:rPr>
                      <w:rFonts w:hint="eastAsia"/>
                    </w:rPr>
                    <w:t>arché</w:t>
                  </w:r>
                </w:p>
              </w:tc>
            </w:tr>
            <w:tr w:rsidR="006F129D" w:rsidRPr="004E4188" w14:paraId="5CB1158F" w14:textId="77777777" w:rsidTr="00D45EAD">
              <w:trPr>
                <w:trHeight w:val="318"/>
              </w:trPr>
              <w:tc>
                <w:tcPr>
                  <w:tcW w:w="2808" w:type="dxa"/>
                  <w:shd w:val="clear" w:color="auto" w:fill="auto"/>
                </w:tcPr>
                <w:p w14:paraId="5C90A556" w14:textId="77777777" w:rsidR="006F129D" w:rsidRPr="004E4188" w:rsidRDefault="006F129D" w:rsidP="00D45EAD">
                  <w:pPr>
                    <w:spacing w:after="60"/>
                    <w:rPr>
                      <w:i/>
                    </w:rPr>
                  </w:pPr>
                  <w:r w:rsidRPr="004E4188">
                    <w:t>[</w:t>
                  </w:r>
                  <w:r w:rsidRPr="004E4188">
                    <w:rPr>
                      <w:i/>
                    </w:rPr>
                    <w:t>indique</w:t>
                  </w:r>
                  <w:r w:rsidRPr="004E4188">
                    <w:rPr>
                      <w:rFonts w:hint="eastAsia"/>
                      <w:i/>
                      <w:lang w:eastAsia="ja-JP"/>
                    </w:rPr>
                    <w:t>r</w:t>
                  </w:r>
                  <w:r w:rsidRPr="004E4188">
                    <w:rPr>
                      <w:i/>
                    </w:rPr>
                    <w:t xml:space="preserve"> le numéro du lot</w:t>
                  </w:r>
                  <w:r w:rsidRPr="004E4188">
                    <w:t>]</w:t>
                  </w:r>
                </w:p>
              </w:tc>
              <w:tc>
                <w:tcPr>
                  <w:tcW w:w="3052" w:type="dxa"/>
                  <w:shd w:val="clear" w:color="auto" w:fill="auto"/>
                </w:tcPr>
                <w:p w14:paraId="3423CE60" w14:textId="77777777" w:rsidR="006F129D" w:rsidRPr="004E4188" w:rsidRDefault="006F129D" w:rsidP="00D45EAD">
                  <w:pPr>
                    <w:spacing w:after="60"/>
                    <w:rPr>
                      <w:i/>
                    </w:rPr>
                  </w:pPr>
                  <w:r w:rsidRPr="004E4188">
                    <w:t>[</w:t>
                  </w:r>
                  <w:r w:rsidRPr="004E4188">
                    <w:rPr>
                      <w:i/>
                    </w:rPr>
                    <w:t>indique</w:t>
                  </w:r>
                  <w:r w:rsidRPr="004E4188">
                    <w:rPr>
                      <w:rFonts w:hint="eastAsia"/>
                      <w:i/>
                      <w:lang w:eastAsia="ja-JP"/>
                    </w:rPr>
                    <w:t>r</w:t>
                  </w:r>
                  <w:r w:rsidRPr="004E4188">
                    <w:rPr>
                      <w:i/>
                    </w:rPr>
                    <w:t xml:space="preserve"> le nom du Marché</w:t>
                  </w:r>
                  <w:r w:rsidRPr="004E4188">
                    <w:t>]</w:t>
                  </w:r>
                </w:p>
              </w:tc>
            </w:tr>
            <w:tr w:rsidR="006F129D" w:rsidRPr="004E4188" w14:paraId="7A6A78E0" w14:textId="77777777" w:rsidTr="00D45EAD">
              <w:trPr>
                <w:trHeight w:val="318"/>
              </w:trPr>
              <w:tc>
                <w:tcPr>
                  <w:tcW w:w="2808" w:type="dxa"/>
                  <w:shd w:val="clear" w:color="auto" w:fill="auto"/>
                </w:tcPr>
                <w:p w14:paraId="1095033E" w14:textId="77777777" w:rsidR="006F129D" w:rsidRPr="004E4188" w:rsidRDefault="006F129D" w:rsidP="00D45EAD">
                  <w:pPr>
                    <w:spacing w:after="60"/>
                    <w:rPr>
                      <w:i/>
                    </w:rPr>
                  </w:pPr>
                  <w:r w:rsidRPr="004E4188">
                    <w:t>[</w:t>
                  </w:r>
                  <w:r w:rsidRPr="004E4188">
                    <w:rPr>
                      <w:i/>
                    </w:rPr>
                    <w:t>indique</w:t>
                  </w:r>
                  <w:r w:rsidRPr="004E4188">
                    <w:rPr>
                      <w:rFonts w:hint="eastAsia"/>
                      <w:i/>
                      <w:lang w:eastAsia="ja-JP"/>
                    </w:rPr>
                    <w:t>r</w:t>
                  </w:r>
                  <w:r w:rsidRPr="004E4188">
                    <w:rPr>
                      <w:i/>
                    </w:rPr>
                    <w:t xml:space="preserve"> le numéro du lot</w:t>
                  </w:r>
                  <w:r w:rsidRPr="004E4188">
                    <w:t>]</w:t>
                  </w:r>
                </w:p>
              </w:tc>
              <w:tc>
                <w:tcPr>
                  <w:tcW w:w="3052" w:type="dxa"/>
                  <w:shd w:val="clear" w:color="auto" w:fill="auto"/>
                </w:tcPr>
                <w:p w14:paraId="3FAA1167" w14:textId="77777777" w:rsidR="006F129D" w:rsidRPr="004E4188" w:rsidRDefault="006F129D" w:rsidP="00D45EAD">
                  <w:pPr>
                    <w:spacing w:after="60"/>
                    <w:rPr>
                      <w:i/>
                    </w:rPr>
                  </w:pPr>
                  <w:r w:rsidRPr="004E4188">
                    <w:t>[</w:t>
                  </w:r>
                  <w:r w:rsidRPr="004E4188">
                    <w:rPr>
                      <w:i/>
                    </w:rPr>
                    <w:t>indique</w:t>
                  </w:r>
                  <w:r w:rsidRPr="004E4188">
                    <w:rPr>
                      <w:rFonts w:hint="eastAsia"/>
                      <w:i/>
                      <w:lang w:eastAsia="ja-JP"/>
                    </w:rPr>
                    <w:t>r</w:t>
                  </w:r>
                  <w:r w:rsidRPr="004E4188">
                    <w:rPr>
                      <w:i/>
                    </w:rPr>
                    <w:t xml:space="preserve"> le nom du Marché</w:t>
                  </w:r>
                  <w:r w:rsidRPr="004E4188">
                    <w:t>]</w:t>
                  </w:r>
                </w:p>
              </w:tc>
            </w:tr>
            <w:tr w:rsidR="006F129D" w:rsidRPr="004E4188" w14:paraId="6A7CF1DB" w14:textId="77777777" w:rsidTr="00D45EAD">
              <w:trPr>
                <w:trHeight w:val="318"/>
              </w:trPr>
              <w:tc>
                <w:tcPr>
                  <w:tcW w:w="2808" w:type="dxa"/>
                  <w:shd w:val="clear" w:color="auto" w:fill="auto"/>
                </w:tcPr>
                <w:p w14:paraId="61AC2F1F" w14:textId="77777777" w:rsidR="006F129D" w:rsidRPr="004E4188" w:rsidRDefault="006F129D" w:rsidP="00D45EAD">
                  <w:pPr>
                    <w:spacing w:after="60"/>
                    <w:rPr>
                      <w:i/>
                    </w:rPr>
                  </w:pPr>
                  <w:r w:rsidRPr="004E4188">
                    <w:t>[</w:t>
                  </w:r>
                  <w:r w:rsidRPr="004E4188">
                    <w:rPr>
                      <w:i/>
                    </w:rPr>
                    <w:t>indique</w:t>
                  </w:r>
                  <w:r w:rsidRPr="004E4188">
                    <w:rPr>
                      <w:rFonts w:hint="eastAsia"/>
                      <w:i/>
                      <w:lang w:eastAsia="ja-JP"/>
                    </w:rPr>
                    <w:t>r</w:t>
                  </w:r>
                  <w:r w:rsidRPr="004E4188">
                    <w:rPr>
                      <w:i/>
                    </w:rPr>
                    <w:t xml:space="preserve"> le numéro du lot</w:t>
                  </w:r>
                  <w:r w:rsidRPr="004E4188">
                    <w:t>]</w:t>
                  </w:r>
                </w:p>
              </w:tc>
              <w:tc>
                <w:tcPr>
                  <w:tcW w:w="3052" w:type="dxa"/>
                  <w:shd w:val="clear" w:color="auto" w:fill="auto"/>
                </w:tcPr>
                <w:p w14:paraId="25989AF2" w14:textId="77777777" w:rsidR="006F129D" w:rsidRPr="004E4188" w:rsidRDefault="006F129D" w:rsidP="00D45EAD">
                  <w:pPr>
                    <w:spacing w:after="60"/>
                    <w:rPr>
                      <w:i/>
                    </w:rPr>
                  </w:pPr>
                  <w:r w:rsidRPr="004E4188">
                    <w:t>[</w:t>
                  </w:r>
                  <w:r w:rsidRPr="004E4188">
                    <w:rPr>
                      <w:i/>
                    </w:rPr>
                    <w:t>indique</w:t>
                  </w:r>
                  <w:r w:rsidRPr="004E4188">
                    <w:rPr>
                      <w:rFonts w:hint="eastAsia"/>
                      <w:i/>
                      <w:lang w:eastAsia="ja-JP"/>
                    </w:rPr>
                    <w:t>r</w:t>
                  </w:r>
                  <w:r w:rsidRPr="004E4188">
                    <w:rPr>
                      <w:i/>
                    </w:rPr>
                    <w:t xml:space="preserve"> le nom du Marché</w:t>
                  </w:r>
                  <w:r w:rsidRPr="004E4188">
                    <w:t>]</w:t>
                  </w:r>
                </w:p>
              </w:tc>
            </w:tr>
          </w:tbl>
          <w:p w14:paraId="56574463" w14:textId="77777777" w:rsidR="006F129D" w:rsidRPr="004E4188" w:rsidRDefault="006F129D" w:rsidP="00D45EAD">
            <w:pPr>
              <w:tabs>
                <w:tab w:val="right" w:pos="7272"/>
              </w:tabs>
            </w:pPr>
          </w:p>
        </w:tc>
      </w:tr>
      <w:tr w:rsidR="006F129D" w:rsidRPr="004E4188" w14:paraId="7FA39929" w14:textId="77777777" w:rsidTr="00AB1B6F">
        <w:trPr>
          <w:cantSplit/>
        </w:trPr>
        <w:tc>
          <w:tcPr>
            <w:tcW w:w="1320" w:type="dxa"/>
            <w:tcBorders>
              <w:top w:val="single" w:sz="6" w:space="0" w:color="000000"/>
              <w:bottom w:val="nil"/>
              <w:right w:val="single" w:sz="8" w:space="0" w:color="000000"/>
            </w:tcBorders>
          </w:tcPr>
          <w:p w14:paraId="430A656F" w14:textId="77777777" w:rsidR="006F129D" w:rsidRPr="004E4188" w:rsidRDefault="006F129D" w:rsidP="00494291">
            <w:pPr>
              <w:spacing w:before="60" w:after="120"/>
              <w:rPr>
                <w:b/>
              </w:rPr>
            </w:pPr>
            <w:r w:rsidRPr="004E4188">
              <w:rPr>
                <w:b/>
              </w:rPr>
              <w:t>IS 2.1</w:t>
            </w:r>
          </w:p>
        </w:tc>
        <w:tc>
          <w:tcPr>
            <w:tcW w:w="7680" w:type="dxa"/>
            <w:tcBorders>
              <w:top w:val="single" w:sz="6" w:space="0" w:color="000000"/>
              <w:left w:val="single" w:sz="8" w:space="0" w:color="000000"/>
              <w:bottom w:val="nil"/>
            </w:tcBorders>
          </w:tcPr>
          <w:p w14:paraId="00E22B4B" w14:textId="77777777" w:rsidR="006F129D" w:rsidRPr="004E4188" w:rsidRDefault="006F129D" w:rsidP="00494291">
            <w:pPr>
              <w:tabs>
                <w:tab w:val="right" w:pos="7254"/>
              </w:tabs>
              <w:spacing w:before="60"/>
              <w:rPr>
                <w:u w:val="single"/>
              </w:rPr>
            </w:pPr>
            <w:r w:rsidRPr="004E4188">
              <w:t>L’Emprunteur est : [</w:t>
            </w:r>
            <w:r w:rsidRPr="004E4188">
              <w:rPr>
                <w:i/>
              </w:rPr>
              <w:t>indique</w:t>
            </w:r>
            <w:r w:rsidRPr="004E4188">
              <w:rPr>
                <w:i/>
                <w:lang w:eastAsia="ja-JP"/>
              </w:rPr>
              <w:t>r</w:t>
            </w:r>
            <w:r w:rsidRPr="004E4188">
              <w:rPr>
                <w:i/>
              </w:rPr>
              <w:t xml:space="preserve"> le nom de l’Emprunteur</w:t>
            </w:r>
            <w:r w:rsidRPr="004E4188">
              <w:t>]</w:t>
            </w:r>
          </w:p>
        </w:tc>
      </w:tr>
      <w:tr w:rsidR="006F129D" w:rsidRPr="004E4188" w14:paraId="6C4F0CB6" w14:textId="77777777" w:rsidTr="00AB1B6F">
        <w:trPr>
          <w:cantSplit/>
        </w:trPr>
        <w:tc>
          <w:tcPr>
            <w:tcW w:w="1320" w:type="dxa"/>
            <w:tcBorders>
              <w:top w:val="nil"/>
              <w:bottom w:val="single" w:sz="8" w:space="0" w:color="000000"/>
              <w:right w:val="single" w:sz="8" w:space="0" w:color="000000"/>
            </w:tcBorders>
          </w:tcPr>
          <w:p w14:paraId="4237AD96" w14:textId="08A48422" w:rsidR="006F129D" w:rsidRPr="004E4188" w:rsidRDefault="006F129D" w:rsidP="00D45EAD">
            <w:pPr>
              <w:spacing w:after="120"/>
              <w:rPr>
                <w:b/>
              </w:rPr>
            </w:pPr>
          </w:p>
        </w:tc>
        <w:tc>
          <w:tcPr>
            <w:tcW w:w="7680" w:type="dxa"/>
            <w:tcBorders>
              <w:top w:val="nil"/>
              <w:left w:val="single" w:sz="8" w:space="0" w:color="000000"/>
              <w:bottom w:val="single" w:sz="8" w:space="0" w:color="000000"/>
            </w:tcBorders>
          </w:tcPr>
          <w:p w14:paraId="6D0B23E3" w14:textId="77777777" w:rsidR="006F129D" w:rsidRPr="004E4188" w:rsidRDefault="006F129D" w:rsidP="00D45EAD">
            <w:pPr>
              <w:tabs>
                <w:tab w:val="right" w:pos="7254"/>
              </w:tabs>
              <w:spacing w:afterLines="50" w:after="120"/>
            </w:pPr>
            <w:r w:rsidRPr="004E4188">
              <w:t>Le numéro de l’Accord de Prêt de la JICA est : [</w:t>
            </w:r>
            <w:r w:rsidRPr="004E4188">
              <w:rPr>
                <w:i/>
              </w:rPr>
              <w:t>indique</w:t>
            </w:r>
            <w:r w:rsidRPr="004E4188">
              <w:rPr>
                <w:i/>
                <w:lang w:eastAsia="ja-JP"/>
              </w:rPr>
              <w:t>r</w:t>
            </w:r>
            <w:r w:rsidRPr="004E4188">
              <w:rPr>
                <w:i/>
              </w:rPr>
              <w:t xml:space="preserve"> le numéro</w:t>
            </w:r>
            <w:r w:rsidRPr="004E4188">
              <w:t>]</w:t>
            </w:r>
          </w:p>
          <w:p w14:paraId="5F6CB7D8" w14:textId="77777777" w:rsidR="006F129D" w:rsidRPr="004E4188" w:rsidRDefault="006F129D" w:rsidP="00D45EAD">
            <w:pPr>
              <w:tabs>
                <w:tab w:val="right" w:pos="7254"/>
              </w:tabs>
              <w:spacing w:afterLines="50" w:after="120"/>
            </w:pPr>
            <w:r w:rsidRPr="004E4188">
              <w:t>Le montant du Prêt APD du Japon est : [</w:t>
            </w:r>
            <w:r w:rsidRPr="004E4188">
              <w:rPr>
                <w:i/>
              </w:rPr>
              <w:t>indique</w:t>
            </w:r>
            <w:r w:rsidRPr="004E4188">
              <w:rPr>
                <w:i/>
                <w:lang w:eastAsia="ja-JP"/>
              </w:rPr>
              <w:t>r</w:t>
            </w:r>
            <w:r w:rsidRPr="004E4188">
              <w:rPr>
                <w:i/>
              </w:rPr>
              <w:t xml:space="preserve"> le montant en yen japonais</w:t>
            </w:r>
            <w:r w:rsidRPr="004E4188">
              <w:t>]</w:t>
            </w:r>
          </w:p>
          <w:p w14:paraId="68D5C763" w14:textId="77777777" w:rsidR="006F129D" w:rsidRPr="004E4188" w:rsidRDefault="006F129D" w:rsidP="00D45EAD">
            <w:pPr>
              <w:tabs>
                <w:tab w:val="right" w:pos="7254"/>
              </w:tabs>
              <w:spacing w:afterLines="50" w:after="120"/>
            </w:pPr>
            <w:r w:rsidRPr="004E4188">
              <w:t>La date de signature de l’Accord de Prêt est : [</w:t>
            </w:r>
            <w:r w:rsidRPr="004E4188">
              <w:rPr>
                <w:i/>
              </w:rPr>
              <w:t>indique</w:t>
            </w:r>
            <w:r w:rsidRPr="004E4188">
              <w:rPr>
                <w:i/>
                <w:lang w:eastAsia="ja-JP"/>
              </w:rPr>
              <w:t>r</w:t>
            </w:r>
            <w:r w:rsidRPr="004E4188">
              <w:rPr>
                <w:i/>
              </w:rPr>
              <w:t xml:space="preserve"> la date</w:t>
            </w:r>
            <w:r w:rsidRPr="004E4188">
              <w:t>]</w:t>
            </w:r>
          </w:p>
        </w:tc>
      </w:tr>
      <w:tr w:rsidR="006F129D" w:rsidRPr="004E4188" w14:paraId="4F5722A6" w14:textId="77777777" w:rsidTr="00AB1B6F">
        <w:trPr>
          <w:cantSplit/>
        </w:trPr>
        <w:tc>
          <w:tcPr>
            <w:tcW w:w="1320" w:type="dxa"/>
            <w:tcBorders>
              <w:top w:val="single" w:sz="8" w:space="0" w:color="000000"/>
              <w:bottom w:val="single" w:sz="6" w:space="0" w:color="000000"/>
              <w:right w:val="single" w:sz="8" w:space="0" w:color="000000"/>
            </w:tcBorders>
          </w:tcPr>
          <w:p w14:paraId="02E76DF6" w14:textId="77777777" w:rsidR="006F129D" w:rsidRPr="004E4188" w:rsidRDefault="006F129D" w:rsidP="00494291">
            <w:pPr>
              <w:spacing w:before="60" w:after="120"/>
              <w:rPr>
                <w:b/>
              </w:rPr>
            </w:pPr>
            <w:r w:rsidRPr="004E4188">
              <w:rPr>
                <w:b/>
              </w:rPr>
              <w:t>IS 2.2</w:t>
            </w:r>
          </w:p>
        </w:tc>
        <w:tc>
          <w:tcPr>
            <w:tcW w:w="7680" w:type="dxa"/>
            <w:tcBorders>
              <w:top w:val="single" w:sz="8" w:space="0" w:color="000000"/>
              <w:left w:val="single" w:sz="8" w:space="0" w:color="000000"/>
              <w:bottom w:val="single" w:sz="6" w:space="0" w:color="000000"/>
            </w:tcBorders>
          </w:tcPr>
          <w:p w14:paraId="03723490" w14:textId="4A50DA37" w:rsidR="006F129D" w:rsidRPr="004E4188" w:rsidRDefault="006F129D" w:rsidP="00494291">
            <w:pPr>
              <w:tabs>
                <w:tab w:val="right" w:pos="7254"/>
              </w:tabs>
              <w:spacing w:before="60" w:afterLines="50" w:after="120"/>
            </w:pPr>
            <w:r w:rsidRPr="004E4188">
              <w:rPr>
                <w:rFonts w:eastAsia="Times New Roman"/>
              </w:rPr>
              <w:t xml:space="preserve">Les Directives applicables pour les passations de marchés sous financement par Prêts APD du Japon sont celles publiées en : </w:t>
            </w:r>
            <w:r w:rsidRPr="004E4188">
              <w:t>[</w:t>
            </w:r>
            <w:r w:rsidRPr="004E4188">
              <w:rPr>
                <w:i/>
              </w:rPr>
              <w:t>indique</w:t>
            </w:r>
            <w:r w:rsidRPr="004E4188">
              <w:rPr>
                <w:i/>
                <w:lang w:eastAsia="ja-JP"/>
              </w:rPr>
              <w:t>r</w:t>
            </w:r>
            <w:r w:rsidRPr="004E4188">
              <w:rPr>
                <w:i/>
              </w:rPr>
              <w:t xml:space="preserve"> une des dates suivantes : </w:t>
            </w:r>
            <w:r w:rsidR="00071E91" w:rsidRPr="00071E91">
              <w:rPr>
                <w:i/>
              </w:rPr>
              <w:t>octobre 2023,</w:t>
            </w:r>
            <w:r w:rsidR="00071E91">
              <w:rPr>
                <w:i/>
              </w:rPr>
              <w:t xml:space="preserve"> </w:t>
            </w:r>
            <w:r w:rsidRPr="004E4188">
              <w:rPr>
                <w:i/>
              </w:rPr>
              <w:t>avril 2012, mars 2009 ou octobre 1999</w:t>
            </w:r>
            <w:r w:rsidRPr="004E4188">
              <w:t>].</w:t>
            </w:r>
          </w:p>
        </w:tc>
      </w:tr>
      <w:tr w:rsidR="006F129D" w:rsidRPr="004E4188" w14:paraId="2ADDC90E" w14:textId="77777777" w:rsidTr="00AB1B6F">
        <w:trPr>
          <w:cantSplit/>
        </w:trPr>
        <w:tc>
          <w:tcPr>
            <w:tcW w:w="1320" w:type="dxa"/>
            <w:tcBorders>
              <w:top w:val="single" w:sz="8" w:space="0" w:color="000000"/>
              <w:bottom w:val="single" w:sz="8" w:space="0" w:color="000000"/>
              <w:right w:val="single" w:sz="8" w:space="0" w:color="000000"/>
            </w:tcBorders>
          </w:tcPr>
          <w:p w14:paraId="5CD91CD3" w14:textId="77777777" w:rsidR="006F129D" w:rsidRPr="004E4188" w:rsidRDefault="006F129D" w:rsidP="00494291">
            <w:pPr>
              <w:spacing w:before="60" w:after="120"/>
              <w:rPr>
                <w:b/>
              </w:rPr>
            </w:pPr>
            <w:r w:rsidRPr="004E4188">
              <w:rPr>
                <w:b/>
              </w:rPr>
              <w:t>IS 2.3</w:t>
            </w:r>
          </w:p>
        </w:tc>
        <w:tc>
          <w:tcPr>
            <w:tcW w:w="7680" w:type="dxa"/>
            <w:tcBorders>
              <w:top w:val="single" w:sz="8" w:space="0" w:color="000000"/>
              <w:left w:val="single" w:sz="8" w:space="0" w:color="000000"/>
              <w:bottom w:val="single" w:sz="8" w:space="0" w:color="000000"/>
            </w:tcBorders>
          </w:tcPr>
          <w:p w14:paraId="1033B61A" w14:textId="77777777" w:rsidR="006F129D" w:rsidRPr="004E4188" w:rsidRDefault="006F129D" w:rsidP="00494291">
            <w:pPr>
              <w:tabs>
                <w:tab w:val="right" w:pos="7254"/>
              </w:tabs>
              <w:spacing w:before="60" w:afterLines="50" w:after="120"/>
            </w:pPr>
            <w:r w:rsidRPr="004E4188">
              <w:rPr>
                <w:spacing w:val="-2"/>
                <w:lang w:eastAsia="ja-JP"/>
              </w:rPr>
              <w:t>L</w:t>
            </w:r>
            <w:r w:rsidRPr="004E4188">
              <w:t>es autres sources de financement sont : [</w:t>
            </w:r>
            <w:r w:rsidRPr="004E4188">
              <w:rPr>
                <w:i/>
              </w:rPr>
              <w:t>indique</w:t>
            </w:r>
            <w:r w:rsidRPr="004E4188">
              <w:rPr>
                <w:rFonts w:hint="eastAsia"/>
                <w:i/>
                <w:lang w:eastAsia="ja-JP"/>
              </w:rPr>
              <w:t>r</w:t>
            </w:r>
            <w:r w:rsidRPr="004E4188">
              <w:rPr>
                <w:i/>
              </w:rPr>
              <w:t xml:space="preserve"> les autres sources de financement</w:t>
            </w:r>
            <w:r w:rsidRPr="004E4188">
              <w:rPr>
                <w:bCs/>
                <w:iCs/>
                <w:lang w:eastAsia="ja-JP"/>
              </w:rPr>
              <w:t>]</w:t>
            </w:r>
          </w:p>
        </w:tc>
      </w:tr>
      <w:tr w:rsidR="006F129D" w:rsidRPr="004E4188" w14:paraId="5611FF47" w14:textId="77777777" w:rsidTr="00AB1B6F">
        <w:trPr>
          <w:cantSplit/>
        </w:trPr>
        <w:tc>
          <w:tcPr>
            <w:tcW w:w="1320" w:type="dxa"/>
            <w:tcBorders>
              <w:top w:val="single" w:sz="8" w:space="0" w:color="000000"/>
              <w:bottom w:val="single" w:sz="8" w:space="0" w:color="000000"/>
              <w:right w:val="single" w:sz="8" w:space="0" w:color="000000"/>
            </w:tcBorders>
            <w:shd w:val="clear" w:color="auto" w:fill="auto"/>
          </w:tcPr>
          <w:p w14:paraId="1976EE1D" w14:textId="77777777" w:rsidR="006F129D" w:rsidRPr="004E4188" w:rsidRDefault="006F129D" w:rsidP="00494291">
            <w:pPr>
              <w:spacing w:before="60" w:after="120"/>
              <w:rPr>
                <w:b/>
              </w:rPr>
            </w:pPr>
            <w:r w:rsidRPr="004E4188">
              <w:rPr>
                <w:rFonts w:hint="eastAsia"/>
                <w:b/>
                <w:lang w:eastAsia="ja-JP"/>
              </w:rPr>
              <w:t>I</w:t>
            </w:r>
            <w:r w:rsidRPr="004E4188">
              <w:rPr>
                <w:b/>
                <w:lang w:eastAsia="ja-JP"/>
              </w:rPr>
              <w:t>S</w:t>
            </w:r>
            <w:r w:rsidRPr="004E4188">
              <w:rPr>
                <w:rFonts w:hint="eastAsia"/>
                <w:b/>
                <w:lang w:eastAsia="ja-JP"/>
              </w:rPr>
              <w:t xml:space="preserve"> 3.1</w:t>
            </w:r>
            <w:r w:rsidRPr="004E4188">
              <w:rPr>
                <w:b/>
                <w:lang w:eastAsia="ja-JP"/>
              </w:rPr>
              <w:t>(b)</w:t>
            </w:r>
          </w:p>
        </w:tc>
        <w:tc>
          <w:tcPr>
            <w:tcW w:w="7680" w:type="dxa"/>
            <w:tcBorders>
              <w:top w:val="single" w:sz="8" w:space="0" w:color="000000"/>
              <w:left w:val="single" w:sz="8" w:space="0" w:color="000000"/>
              <w:bottom w:val="single" w:sz="8" w:space="0" w:color="000000"/>
            </w:tcBorders>
          </w:tcPr>
          <w:p w14:paraId="029981B7" w14:textId="757FD047" w:rsidR="006F129D" w:rsidRPr="004E4188" w:rsidRDefault="006F129D" w:rsidP="005D3F9C">
            <w:pPr>
              <w:tabs>
                <w:tab w:val="right" w:pos="7254"/>
              </w:tabs>
              <w:spacing w:before="60" w:afterLines="50" w:after="120"/>
            </w:pPr>
            <w:r w:rsidRPr="004E4188">
              <w:rPr>
                <w:rFonts w:cs="Arial"/>
                <w:szCs w:val="22"/>
                <w:lang w:eastAsia="ja-JP"/>
              </w:rPr>
              <w:t>L</w:t>
            </w:r>
            <w:r w:rsidRPr="004E4188">
              <w:t>a liste des personnes physiques et morales inéligibles est disponible sur le site internet de la JICA :</w:t>
            </w:r>
            <w:r w:rsidR="005D3F9C">
              <w:br/>
            </w:r>
            <w:r w:rsidR="00071E91" w:rsidRPr="00071E91">
              <w:rPr>
                <w:rFonts w:cs="Arial"/>
                <w:szCs w:val="22"/>
                <w:lang w:eastAsia="ja-JP"/>
              </w:rPr>
              <w:t>www.jica.go.jp/english/about/organization/corp_gov/index.html</w:t>
            </w:r>
          </w:p>
        </w:tc>
      </w:tr>
      <w:tr w:rsidR="006F129D" w:rsidRPr="004E4188" w14:paraId="75C5C2F7" w14:textId="77777777" w:rsidTr="00AB1B6F">
        <w:trPr>
          <w:cantSplit/>
        </w:trPr>
        <w:tc>
          <w:tcPr>
            <w:tcW w:w="1320" w:type="dxa"/>
            <w:tcBorders>
              <w:top w:val="single" w:sz="8" w:space="0" w:color="000000"/>
              <w:bottom w:val="single" w:sz="8" w:space="0" w:color="000000"/>
              <w:right w:val="single" w:sz="8" w:space="0" w:color="000000"/>
            </w:tcBorders>
          </w:tcPr>
          <w:p w14:paraId="0B7B30AC" w14:textId="2A6DB198" w:rsidR="006F129D" w:rsidRPr="004E4188" w:rsidRDefault="006F129D" w:rsidP="00494291">
            <w:pPr>
              <w:spacing w:before="60" w:after="120"/>
              <w:rPr>
                <w:b/>
              </w:rPr>
            </w:pPr>
            <w:r w:rsidRPr="004E4188">
              <w:rPr>
                <w:b/>
              </w:rPr>
              <w:t>IS 3.1(c)</w:t>
            </w:r>
          </w:p>
        </w:tc>
        <w:tc>
          <w:tcPr>
            <w:tcW w:w="7680" w:type="dxa"/>
            <w:tcBorders>
              <w:top w:val="single" w:sz="8" w:space="0" w:color="000000"/>
              <w:left w:val="single" w:sz="8" w:space="0" w:color="000000"/>
              <w:bottom w:val="single" w:sz="8" w:space="0" w:color="000000"/>
            </w:tcBorders>
          </w:tcPr>
          <w:p w14:paraId="1006F3DB" w14:textId="77777777" w:rsidR="006F129D" w:rsidRPr="004E4188" w:rsidRDefault="006F129D" w:rsidP="00494291">
            <w:pPr>
              <w:tabs>
                <w:tab w:val="right" w:pos="7254"/>
              </w:tabs>
              <w:spacing w:before="60" w:afterLines="50" w:after="120"/>
              <w:rPr>
                <w:rFonts w:eastAsia="Times New Roman"/>
              </w:rPr>
            </w:pPr>
            <w:r w:rsidRPr="004E4188">
              <w:t>La liste des personnes physiques et morales radiées est disponible sur le site internet de la Banque mondiale : www.worldbank.org/debarr</w:t>
            </w:r>
          </w:p>
        </w:tc>
      </w:tr>
      <w:tr w:rsidR="006F129D" w:rsidRPr="004E4188" w14:paraId="32CD371D" w14:textId="77777777" w:rsidTr="00AB1B6F">
        <w:trPr>
          <w:cantSplit/>
        </w:trPr>
        <w:tc>
          <w:tcPr>
            <w:tcW w:w="1320" w:type="dxa"/>
            <w:tcBorders>
              <w:top w:val="single" w:sz="8" w:space="0" w:color="000000"/>
              <w:left w:val="single" w:sz="12" w:space="0" w:color="auto"/>
              <w:bottom w:val="single" w:sz="8" w:space="0" w:color="000000"/>
              <w:right w:val="single" w:sz="8" w:space="0" w:color="000000"/>
            </w:tcBorders>
          </w:tcPr>
          <w:p w14:paraId="3ED57697" w14:textId="77777777" w:rsidR="006F129D" w:rsidRPr="004E4188" w:rsidRDefault="006F129D" w:rsidP="00494291">
            <w:pPr>
              <w:spacing w:before="60" w:after="120"/>
              <w:rPr>
                <w:b/>
              </w:rPr>
            </w:pPr>
            <w:r w:rsidRPr="004E4188">
              <w:rPr>
                <w:b/>
              </w:rPr>
              <w:t>IS 4.5</w:t>
            </w:r>
          </w:p>
        </w:tc>
        <w:tc>
          <w:tcPr>
            <w:tcW w:w="7680" w:type="dxa"/>
            <w:tcBorders>
              <w:top w:val="single" w:sz="8" w:space="0" w:color="000000"/>
              <w:left w:val="single" w:sz="8" w:space="0" w:color="000000"/>
              <w:bottom w:val="single" w:sz="8" w:space="0" w:color="000000"/>
            </w:tcBorders>
          </w:tcPr>
          <w:p w14:paraId="1E33583F" w14:textId="77777777" w:rsidR="006F129D" w:rsidRPr="004E4188" w:rsidRDefault="006F129D" w:rsidP="00494291">
            <w:pPr>
              <w:pStyle w:val="i"/>
              <w:tabs>
                <w:tab w:val="right" w:pos="7848"/>
              </w:tabs>
              <w:suppressAutoHyphens w:val="0"/>
              <w:spacing w:before="60" w:after="120"/>
              <w:rPr>
                <w:rFonts w:ascii="Times New Roman" w:hAnsi="Times New Roman"/>
                <w:lang w:val="fr-FR"/>
              </w:rPr>
            </w:pPr>
            <w:r w:rsidRPr="004E4188">
              <w:rPr>
                <w:rFonts w:ascii="Times New Roman" w:hAnsi="Times New Roman"/>
                <w:lang w:val="fr-FR"/>
              </w:rPr>
              <w:t>Le présent appel d’offres [</w:t>
            </w:r>
            <w:r w:rsidRPr="004E4188">
              <w:rPr>
                <w:rFonts w:ascii="Times New Roman" w:hAnsi="Times New Roman"/>
                <w:i/>
                <w:lang w:val="fr-FR"/>
              </w:rPr>
              <w:t>choisir</w:t>
            </w:r>
            <w:r w:rsidRPr="004E4188">
              <w:rPr>
                <w:rFonts w:ascii="Times New Roman" w:hAnsi="Times New Roman"/>
                <w:lang w:val="fr-FR"/>
              </w:rPr>
              <w:t xml:space="preserve"> </w:t>
            </w:r>
            <w:r w:rsidRPr="004E4188">
              <w:rPr>
                <w:rFonts w:ascii="Times New Roman" w:hAnsi="Times New Roman"/>
                <w:i/>
                <w:lang w:val="fr-FR"/>
              </w:rPr>
              <w:t>« a été » ou « n’a pas été », selon le cas</w:t>
            </w:r>
            <w:r w:rsidRPr="004E4188">
              <w:rPr>
                <w:rFonts w:ascii="Times New Roman" w:hAnsi="Times New Roman"/>
                <w:lang w:val="fr-FR"/>
              </w:rPr>
              <w:t>] précédé d’une préqualification.</w:t>
            </w:r>
            <w:r w:rsidRPr="004E4188">
              <w:rPr>
                <w:i/>
                <w:lang w:val="fr-FR"/>
              </w:rPr>
              <w:t xml:space="preserve"> </w:t>
            </w:r>
          </w:p>
        </w:tc>
      </w:tr>
      <w:tr w:rsidR="006F129D" w:rsidRPr="004E4188" w14:paraId="696525DC" w14:textId="77777777" w:rsidTr="001870BD">
        <w:tc>
          <w:tcPr>
            <w:tcW w:w="9000" w:type="dxa"/>
            <w:gridSpan w:val="2"/>
            <w:tcBorders>
              <w:top w:val="single" w:sz="8" w:space="0" w:color="000000"/>
              <w:bottom w:val="single" w:sz="8" w:space="0" w:color="000000"/>
            </w:tcBorders>
            <w:shd w:val="clear" w:color="auto" w:fill="E6E6E6"/>
          </w:tcPr>
          <w:p w14:paraId="05C81F4B" w14:textId="77777777" w:rsidR="006F129D" w:rsidRPr="004E4188" w:rsidRDefault="006F129D" w:rsidP="00D45EAD">
            <w:pPr>
              <w:tabs>
                <w:tab w:val="right" w:pos="7434"/>
              </w:tabs>
              <w:spacing w:before="120" w:after="120"/>
              <w:jc w:val="center"/>
              <w:rPr>
                <w:b/>
                <w:sz w:val="28"/>
              </w:rPr>
            </w:pPr>
            <w:r w:rsidRPr="004E4188">
              <w:rPr>
                <w:b/>
                <w:sz w:val="28"/>
              </w:rPr>
              <w:t>B.  Contenu du Dossier d’appel d’offres</w:t>
            </w:r>
          </w:p>
        </w:tc>
      </w:tr>
      <w:tr w:rsidR="006F129D" w:rsidRPr="004E4188" w14:paraId="1D2B2592" w14:textId="77777777" w:rsidTr="001870BD">
        <w:tc>
          <w:tcPr>
            <w:tcW w:w="1320" w:type="dxa"/>
            <w:tcBorders>
              <w:top w:val="single" w:sz="8" w:space="0" w:color="000000"/>
              <w:bottom w:val="nil"/>
              <w:right w:val="single" w:sz="8" w:space="0" w:color="000000"/>
            </w:tcBorders>
          </w:tcPr>
          <w:p w14:paraId="686A49CD" w14:textId="77777777" w:rsidR="006F129D" w:rsidRPr="004E4188" w:rsidRDefault="006F129D" w:rsidP="00494291">
            <w:pPr>
              <w:tabs>
                <w:tab w:val="right" w:pos="7254"/>
              </w:tabs>
              <w:spacing w:before="60" w:after="120"/>
              <w:rPr>
                <w:b/>
              </w:rPr>
            </w:pPr>
            <w:r w:rsidRPr="004E4188">
              <w:rPr>
                <w:b/>
              </w:rPr>
              <w:t>IS 7.1</w:t>
            </w:r>
          </w:p>
        </w:tc>
        <w:tc>
          <w:tcPr>
            <w:tcW w:w="7680" w:type="dxa"/>
            <w:tcBorders>
              <w:top w:val="single" w:sz="8" w:space="0" w:color="000000"/>
              <w:left w:val="single" w:sz="8" w:space="0" w:color="000000"/>
              <w:bottom w:val="nil"/>
            </w:tcBorders>
          </w:tcPr>
          <w:p w14:paraId="509E385B" w14:textId="3C247211" w:rsidR="006F129D" w:rsidRPr="004E4188" w:rsidRDefault="006F129D" w:rsidP="00494291">
            <w:pPr>
              <w:tabs>
                <w:tab w:val="right" w:pos="7254"/>
              </w:tabs>
              <w:spacing w:before="60" w:afterLines="50" w:after="120"/>
            </w:pPr>
            <w:r w:rsidRPr="004E4188">
              <w:t xml:space="preserve">Aux fins </w:t>
            </w:r>
            <w:r w:rsidRPr="004E4188">
              <w:rPr>
                <w:b/>
                <w:u w:val="single"/>
              </w:rPr>
              <w:t>d’éclaircissements</w:t>
            </w:r>
            <w:r w:rsidRPr="004E4188">
              <w:rPr>
                <w:b/>
              </w:rPr>
              <w:t xml:space="preserve"> </w:t>
            </w:r>
            <w:r w:rsidRPr="004E4188">
              <w:t>uniquement</w:t>
            </w:r>
            <w:r w:rsidRPr="004E4188">
              <w:rPr>
                <w:b/>
              </w:rPr>
              <w:t xml:space="preserve">, </w:t>
            </w:r>
            <w:r w:rsidRPr="004E4188">
              <w:t xml:space="preserve">l’adresse du Maître d’ouvrage est : </w:t>
            </w:r>
          </w:p>
          <w:p w14:paraId="60E4D0B3" w14:textId="77777777" w:rsidR="006F129D" w:rsidRPr="004E4188" w:rsidRDefault="006F129D" w:rsidP="00D45EAD">
            <w:pPr>
              <w:tabs>
                <w:tab w:val="right" w:pos="7254"/>
              </w:tabs>
              <w:spacing w:after="100"/>
            </w:pPr>
            <w:r w:rsidRPr="004E4188">
              <w:t>Attention : [</w:t>
            </w:r>
            <w:r w:rsidRPr="004E4188">
              <w:rPr>
                <w:i/>
              </w:rPr>
              <w:t>in</w:t>
            </w:r>
            <w:r w:rsidRPr="004E4188">
              <w:rPr>
                <w:i/>
                <w:lang w:eastAsia="ja-JP"/>
              </w:rPr>
              <w:t>diquer</w:t>
            </w:r>
            <w:r w:rsidRPr="004E4188">
              <w:rPr>
                <w:i/>
              </w:rPr>
              <w:t xml:space="preserve"> le nom de la personne responsable, le cas échéant</w:t>
            </w:r>
            <w:r w:rsidRPr="004E4188">
              <w:t>]</w:t>
            </w:r>
          </w:p>
          <w:p w14:paraId="45275478" w14:textId="77777777" w:rsidR="006F129D" w:rsidRPr="004E4188" w:rsidRDefault="006F129D" w:rsidP="00D45EAD">
            <w:pPr>
              <w:tabs>
                <w:tab w:val="right" w:pos="7254"/>
              </w:tabs>
              <w:suppressAutoHyphens w:val="0"/>
              <w:overflowPunct/>
              <w:autoSpaceDE/>
              <w:autoSpaceDN/>
              <w:adjustRightInd/>
              <w:spacing w:before="60" w:after="60"/>
              <w:textAlignment w:val="auto"/>
              <w:rPr>
                <w:i/>
                <w:iCs/>
                <w:lang w:eastAsia="ja-JP"/>
              </w:rPr>
            </w:pPr>
            <w:r w:rsidRPr="004E4188">
              <w:rPr>
                <w:lang w:eastAsia="en-US"/>
              </w:rPr>
              <w:t>Adresse postale : [</w:t>
            </w:r>
            <w:r w:rsidRPr="004E4188">
              <w:rPr>
                <w:i/>
                <w:lang w:eastAsia="en-US"/>
              </w:rPr>
              <w:t>indiquer l’adresse postale</w:t>
            </w:r>
            <w:r w:rsidRPr="004E4188">
              <w:rPr>
                <w:iCs/>
                <w:lang w:eastAsia="en-US"/>
              </w:rPr>
              <w:t>]</w:t>
            </w:r>
          </w:p>
          <w:p w14:paraId="1328BEC4" w14:textId="7E8F62B5" w:rsidR="006F129D" w:rsidRPr="004E4188" w:rsidRDefault="006F129D" w:rsidP="00D45EAD">
            <w:pPr>
              <w:tabs>
                <w:tab w:val="right" w:pos="7254"/>
              </w:tabs>
              <w:spacing w:after="100"/>
            </w:pPr>
            <w:r w:rsidRPr="004E4188">
              <w:t>Adresse e-mail : [</w:t>
            </w:r>
            <w:r w:rsidRPr="004E4188">
              <w:rPr>
                <w:i/>
              </w:rPr>
              <w:t>indiquer l’(les) adresse(s) e</w:t>
            </w:r>
            <w:r w:rsidRPr="004E4188">
              <w:rPr>
                <w:i/>
                <w:lang w:eastAsia="ja-JP"/>
              </w:rPr>
              <w:t>-</w:t>
            </w:r>
            <w:r w:rsidRPr="004E4188">
              <w:rPr>
                <w:i/>
              </w:rPr>
              <w:t>mail, le cas échéant</w:t>
            </w:r>
            <w:r w:rsidRPr="004E4188">
              <w:t>]</w:t>
            </w:r>
          </w:p>
        </w:tc>
      </w:tr>
      <w:tr w:rsidR="006F129D" w:rsidRPr="004E4188" w14:paraId="1D5A8A00" w14:textId="77777777" w:rsidTr="003E3409">
        <w:tc>
          <w:tcPr>
            <w:tcW w:w="1320" w:type="dxa"/>
            <w:tcBorders>
              <w:top w:val="nil"/>
              <w:bottom w:val="single" w:sz="6" w:space="0" w:color="000000"/>
              <w:right w:val="single" w:sz="8" w:space="0" w:color="000000"/>
            </w:tcBorders>
          </w:tcPr>
          <w:p w14:paraId="1B4D06A4" w14:textId="5DCAACFE" w:rsidR="006F129D" w:rsidRPr="004E4188" w:rsidRDefault="006F129D" w:rsidP="00D45EAD">
            <w:pPr>
              <w:tabs>
                <w:tab w:val="right" w:pos="7254"/>
              </w:tabs>
              <w:spacing w:after="120"/>
              <w:rPr>
                <w:b/>
              </w:rPr>
            </w:pPr>
          </w:p>
        </w:tc>
        <w:tc>
          <w:tcPr>
            <w:tcW w:w="7680" w:type="dxa"/>
            <w:tcBorders>
              <w:top w:val="nil"/>
              <w:left w:val="single" w:sz="8" w:space="0" w:color="000000"/>
              <w:bottom w:val="single" w:sz="6" w:space="0" w:color="000000"/>
            </w:tcBorders>
          </w:tcPr>
          <w:p w14:paraId="49FC89E0" w14:textId="435B7433" w:rsidR="006F129D" w:rsidRPr="004E4188" w:rsidRDefault="006F129D" w:rsidP="00755064">
            <w:pPr>
              <w:tabs>
                <w:tab w:val="right" w:pos="7254"/>
              </w:tabs>
              <w:spacing w:after="100"/>
            </w:pPr>
            <w:r w:rsidRPr="004E4188">
              <w:t>Les réponses aux demandes d’éclaircissements, le cas échéant, [</w:t>
            </w:r>
            <w:r w:rsidRPr="004E4188">
              <w:rPr>
                <w:i/>
              </w:rPr>
              <w:t>choisi</w:t>
            </w:r>
            <w:r w:rsidRPr="004E4188">
              <w:rPr>
                <w:i/>
                <w:lang w:eastAsia="ja-JP"/>
              </w:rPr>
              <w:t>r</w:t>
            </w:r>
            <w:r w:rsidRPr="004E4188">
              <w:rPr>
                <w:i/>
              </w:rPr>
              <w:t xml:space="preserve"> « seront » ou « ne seront pas », selon le cas</w:t>
            </w:r>
            <w:r w:rsidRPr="004E4188">
              <w:t>] publiées sur le site internet du Maître d’ouvrage indiqué ci-dessous.</w:t>
            </w:r>
          </w:p>
          <w:p w14:paraId="78422A37" w14:textId="77777777" w:rsidR="006F129D" w:rsidRPr="004E4188" w:rsidRDefault="006F129D" w:rsidP="00D45EAD">
            <w:pPr>
              <w:tabs>
                <w:tab w:val="right" w:pos="7254"/>
              </w:tabs>
              <w:spacing w:afterLines="50" w:after="120"/>
            </w:pPr>
            <w:r w:rsidRPr="004E4188">
              <w:t>Site internet : [</w:t>
            </w:r>
            <w:r w:rsidRPr="004E4188">
              <w:rPr>
                <w:i/>
              </w:rPr>
              <w:t>Indiquer le site internet du Maître d’ouvrage, uniquement si les réponses aux demandes d’éclaircissements sont publiées sur le site. Dans le cas contraire, indiquer « sans objet »</w:t>
            </w:r>
            <w:r w:rsidRPr="004E4188">
              <w:rPr>
                <w:i/>
                <w:lang w:eastAsia="ja-JP"/>
              </w:rPr>
              <w:t>.</w:t>
            </w:r>
            <w:r w:rsidRPr="004E4188">
              <w:t>]</w:t>
            </w:r>
          </w:p>
        </w:tc>
      </w:tr>
      <w:tr w:rsidR="006F129D" w:rsidRPr="004E4188" w14:paraId="692F91B3" w14:textId="77777777" w:rsidTr="003E3409">
        <w:tc>
          <w:tcPr>
            <w:tcW w:w="1320" w:type="dxa"/>
            <w:tcBorders>
              <w:top w:val="single" w:sz="6" w:space="0" w:color="000000"/>
              <w:bottom w:val="single" w:sz="6" w:space="0" w:color="000000"/>
              <w:right w:val="single" w:sz="8" w:space="0" w:color="000000"/>
            </w:tcBorders>
          </w:tcPr>
          <w:p w14:paraId="356CEBF5" w14:textId="77777777" w:rsidR="006F129D" w:rsidRPr="004E4188" w:rsidRDefault="006F129D" w:rsidP="00494291">
            <w:pPr>
              <w:tabs>
                <w:tab w:val="right" w:pos="7254"/>
              </w:tabs>
              <w:spacing w:before="60" w:after="120"/>
              <w:rPr>
                <w:b/>
              </w:rPr>
            </w:pPr>
            <w:r w:rsidRPr="004E4188">
              <w:rPr>
                <w:b/>
              </w:rPr>
              <w:t>IS 7.4</w:t>
            </w:r>
          </w:p>
        </w:tc>
        <w:tc>
          <w:tcPr>
            <w:tcW w:w="7680" w:type="dxa"/>
            <w:tcBorders>
              <w:top w:val="single" w:sz="6" w:space="0" w:color="000000"/>
              <w:left w:val="single" w:sz="8" w:space="0" w:color="000000"/>
              <w:bottom w:val="single" w:sz="6" w:space="0" w:color="000000"/>
            </w:tcBorders>
          </w:tcPr>
          <w:p w14:paraId="2EA4D432" w14:textId="00AEC84A" w:rsidR="006F129D" w:rsidRPr="004E4188" w:rsidRDefault="006F129D" w:rsidP="00D45EAD">
            <w:pPr>
              <w:tabs>
                <w:tab w:val="right" w:pos="7254"/>
              </w:tabs>
              <w:spacing w:before="60" w:after="60"/>
              <w:rPr>
                <w:iCs/>
                <w:lang w:eastAsia="ja-JP"/>
              </w:rPr>
            </w:pPr>
            <w:r w:rsidRPr="004E4188">
              <w:t>Une réunion préparatoire à l’appel d’offres [</w:t>
            </w:r>
            <w:r w:rsidRPr="004E4188">
              <w:rPr>
                <w:i/>
              </w:rPr>
              <w:t>choisi</w:t>
            </w:r>
            <w:r w:rsidRPr="004E4188">
              <w:rPr>
                <w:i/>
                <w:lang w:eastAsia="ja-JP"/>
              </w:rPr>
              <w:t>r</w:t>
            </w:r>
            <w:r w:rsidRPr="004E4188">
              <w:rPr>
                <w:i/>
              </w:rPr>
              <w:t xml:space="preserve"> « aura » ou « n’aura pas », selon le cas</w:t>
            </w:r>
            <w:r w:rsidRPr="004E4188">
              <w:t>] lieu à la date, à l’heure et à l’endroit indiqués ci-dessous :</w:t>
            </w:r>
            <w:r w:rsidRPr="004E4188">
              <w:rPr>
                <w:iCs/>
                <w:lang w:eastAsia="ja-JP"/>
              </w:rPr>
              <w:t xml:space="preserve"> </w:t>
            </w:r>
          </w:p>
          <w:p w14:paraId="7110B3CF" w14:textId="47C5EC44" w:rsidR="006F129D" w:rsidRPr="004E4188" w:rsidRDefault="006F129D" w:rsidP="00D45EAD">
            <w:pPr>
              <w:tabs>
                <w:tab w:val="right" w:pos="7254"/>
              </w:tabs>
            </w:pPr>
            <w:r w:rsidRPr="004E4188">
              <w:rPr>
                <w:iCs/>
                <w:lang w:eastAsia="ja-JP"/>
              </w:rPr>
              <w:t>[</w:t>
            </w:r>
            <w:r w:rsidRPr="004E4188">
              <w:rPr>
                <w:i/>
                <w:lang w:eastAsia="en-US"/>
              </w:rPr>
              <w:t>Si une réunion préparatoire a lieu, indiquer ci-dessous la date, l’heure et l’endroit de cette réunion. Sinon, indiquer « sans objet » dans les rubriques correspondantes</w:t>
            </w:r>
            <w:r w:rsidRPr="004E4188">
              <w:rPr>
                <w:i/>
                <w:iCs/>
                <w:lang w:eastAsia="ja-JP"/>
              </w:rPr>
              <w:t>.</w:t>
            </w:r>
            <w:r w:rsidRPr="004E4188">
              <w:rPr>
                <w:iCs/>
                <w:lang w:eastAsia="ja-JP"/>
              </w:rPr>
              <w:t>]</w:t>
            </w:r>
          </w:p>
          <w:p w14:paraId="28CF1000" w14:textId="77777777" w:rsidR="006F129D" w:rsidRPr="004E4188" w:rsidRDefault="006F129D" w:rsidP="00D45EAD">
            <w:pPr>
              <w:tabs>
                <w:tab w:val="right" w:leader="underscore" w:pos="7254"/>
              </w:tabs>
              <w:spacing w:afterLines="50" w:after="120"/>
              <w:rPr>
                <w:lang w:eastAsia="ja-JP"/>
              </w:rPr>
            </w:pPr>
            <w:r w:rsidRPr="004E4188">
              <w:t xml:space="preserve">Date : </w:t>
            </w:r>
            <w:r w:rsidRPr="004E4188">
              <w:rPr>
                <w:lang w:eastAsia="ja-JP"/>
              </w:rPr>
              <w:tab/>
            </w:r>
          </w:p>
          <w:p w14:paraId="2AA596F5" w14:textId="77777777" w:rsidR="006F129D" w:rsidRPr="004E4188" w:rsidRDefault="006F129D" w:rsidP="00D45EAD">
            <w:pPr>
              <w:tabs>
                <w:tab w:val="right" w:leader="underscore" w:pos="7254"/>
              </w:tabs>
              <w:spacing w:afterLines="50" w:after="120"/>
              <w:rPr>
                <w:lang w:eastAsia="ja-JP"/>
              </w:rPr>
            </w:pPr>
            <w:r w:rsidRPr="004E4188">
              <w:t xml:space="preserve">Heure : </w:t>
            </w:r>
            <w:r w:rsidRPr="004E4188">
              <w:rPr>
                <w:lang w:eastAsia="ja-JP"/>
              </w:rPr>
              <w:tab/>
            </w:r>
          </w:p>
          <w:p w14:paraId="2D9D0F5E" w14:textId="77777777" w:rsidR="006F129D" w:rsidRPr="004E4188" w:rsidRDefault="006F129D" w:rsidP="00D45EAD">
            <w:pPr>
              <w:tabs>
                <w:tab w:val="right" w:leader="underscore" w:pos="7254"/>
              </w:tabs>
              <w:spacing w:afterLines="100" w:after="240"/>
              <w:rPr>
                <w:lang w:eastAsia="ja-JP"/>
              </w:rPr>
            </w:pPr>
            <w:r w:rsidRPr="004E4188">
              <w:t xml:space="preserve">Lieu :  </w:t>
            </w:r>
            <w:r w:rsidRPr="004E4188">
              <w:rPr>
                <w:lang w:eastAsia="ja-JP"/>
              </w:rPr>
              <w:tab/>
            </w:r>
          </w:p>
          <w:p w14:paraId="7D63653B" w14:textId="0F05B995" w:rsidR="006F129D" w:rsidRPr="004E4188" w:rsidRDefault="006F129D" w:rsidP="00D45EAD">
            <w:pPr>
              <w:tabs>
                <w:tab w:val="right" w:pos="7254"/>
              </w:tabs>
              <w:spacing w:afterLines="50" w:after="120"/>
            </w:pPr>
            <w:r w:rsidRPr="004E4188">
              <w:t>Une visite du site [</w:t>
            </w:r>
            <w:r w:rsidRPr="004E4188">
              <w:rPr>
                <w:i/>
              </w:rPr>
              <w:t>choisi</w:t>
            </w:r>
            <w:r w:rsidRPr="004E4188">
              <w:rPr>
                <w:i/>
                <w:lang w:eastAsia="ja-JP"/>
              </w:rPr>
              <w:t>r</w:t>
            </w:r>
            <w:r w:rsidRPr="004E4188">
              <w:rPr>
                <w:i/>
              </w:rPr>
              <w:t xml:space="preserve"> « sera » ou « ne sera pas », selon le cas</w:t>
            </w:r>
            <w:r w:rsidRPr="004E4188">
              <w:t>] organisée par le Maître d’ouvrage au moment de la réunion préparatoire.</w:t>
            </w:r>
          </w:p>
        </w:tc>
      </w:tr>
      <w:tr w:rsidR="006F129D" w:rsidRPr="004E4188" w14:paraId="58452751" w14:textId="77777777" w:rsidTr="001870BD">
        <w:tc>
          <w:tcPr>
            <w:tcW w:w="1320" w:type="dxa"/>
            <w:tcBorders>
              <w:top w:val="single" w:sz="6" w:space="0" w:color="000000"/>
              <w:bottom w:val="single" w:sz="8" w:space="0" w:color="000000"/>
              <w:right w:val="single" w:sz="8" w:space="0" w:color="000000"/>
            </w:tcBorders>
          </w:tcPr>
          <w:p w14:paraId="60F5773D" w14:textId="77777777" w:rsidR="006F129D" w:rsidRPr="004E4188" w:rsidRDefault="006F129D" w:rsidP="00494291">
            <w:pPr>
              <w:tabs>
                <w:tab w:val="right" w:pos="7254"/>
              </w:tabs>
              <w:spacing w:before="60" w:after="120"/>
              <w:rPr>
                <w:b/>
              </w:rPr>
            </w:pPr>
            <w:r w:rsidRPr="004E4188">
              <w:rPr>
                <w:b/>
              </w:rPr>
              <w:t>IS 8.2</w:t>
            </w:r>
          </w:p>
        </w:tc>
        <w:tc>
          <w:tcPr>
            <w:tcW w:w="7680" w:type="dxa"/>
            <w:tcBorders>
              <w:top w:val="single" w:sz="6" w:space="0" w:color="000000"/>
              <w:left w:val="single" w:sz="8" w:space="0" w:color="000000"/>
              <w:bottom w:val="single" w:sz="8" w:space="0" w:color="000000"/>
            </w:tcBorders>
          </w:tcPr>
          <w:p w14:paraId="43EC38A0" w14:textId="69AD4A8A" w:rsidR="006F129D" w:rsidRPr="004E4188" w:rsidDel="00455FF9" w:rsidRDefault="006F129D" w:rsidP="00494291">
            <w:pPr>
              <w:tabs>
                <w:tab w:val="right" w:pos="7254"/>
              </w:tabs>
              <w:spacing w:before="60" w:afterLines="50" w:after="120"/>
            </w:pPr>
            <w:r w:rsidRPr="004E4188">
              <w:t>Les avenants, le cas échéant, [</w:t>
            </w:r>
            <w:r w:rsidRPr="004E4188">
              <w:rPr>
                <w:i/>
              </w:rPr>
              <w:t>choisi</w:t>
            </w:r>
            <w:r w:rsidRPr="004E4188">
              <w:rPr>
                <w:i/>
                <w:lang w:eastAsia="ja-JP"/>
              </w:rPr>
              <w:t>r</w:t>
            </w:r>
            <w:r w:rsidRPr="004E4188">
              <w:rPr>
                <w:i/>
              </w:rPr>
              <w:t xml:space="preserve"> « seront » ou « ne seront pas », selon le cas</w:t>
            </w:r>
            <w:r w:rsidRPr="004E4188">
              <w:t>] publiés sur le site internet du Maître d’ouvrage.</w:t>
            </w:r>
          </w:p>
        </w:tc>
      </w:tr>
      <w:tr w:rsidR="006F129D" w:rsidRPr="004E4188" w14:paraId="20D4C797" w14:textId="77777777" w:rsidTr="001870BD">
        <w:tc>
          <w:tcPr>
            <w:tcW w:w="9000" w:type="dxa"/>
            <w:gridSpan w:val="2"/>
            <w:tcBorders>
              <w:top w:val="single" w:sz="8" w:space="0" w:color="000000"/>
              <w:bottom w:val="single" w:sz="8" w:space="0" w:color="000000"/>
            </w:tcBorders>
            <w:shd w:val="clear" w:color="auto" w:fill="E6E6E6"/>
          </w:tcPr>
          <w:p w14:paraId="70023C6B" w14:textId="77777777" w:rsidR="006F129D" w:rsidRPr="004E4188" w:rsidRDefault="006F129D" w:rsidP="00D45EAD">
            <w:pPr>
              <w:tabs>
                <w:tab w:val="right" w:pos="7254"/>
              </w:tabs>
              <w:spacing w:before="120" w:after="120"/>
              <w:jc w:val="center"/>
              <w:rPr>
                <w:b/>
                <w:sz w:val="28"/>
              </w:rPr>
            </w:pPr>
            <w:r w:rsidRPr="004E4188">
              <w:rPr>
                <w:b/>
                <w:sz w:val="28"/>
              </w:rPr>
              <w:t>C.  Préparation des offres</w:t>
            </w:r>
          </w:p>
        </w:tc>
      </w:tr>
      <w:tr w:rsidR="006F129D" w:rsidRPr="004E4188" w14:paraId="6013425D" w14:textId="77777777" w:rsidTr="001870BD">
        <w:tc>
          <w:tcPr>
            <w:tcW w:w="1320" w:type="dxa"/>
            <w:tcBorders>
              <w:top w:val="single" w:sz="8" w:space="0" w:color="000000"/>
              <w:bottom w:val="single" w:sz="6" w:space="0" w:color="000000"/>
              <w:right w:val="single" w:sz="8" w:space="0" w:color="000000"/>
            </w:tcBorders>
          </w:tcPr>
          <w:p w14:paraId="1DF9A2EE" w14:textId="77777777" w:rsidR="006F129D" w:rsidRPr="004E4188" w:rsidRDefault="006F129D" w:rsidP="00494291">
            <w:pPr>
              <w:tabs>
                <w:tab w:val="right" w:pos="7434"/>
              </w:tabs>
              <w:spacing w:after="120"/>
              <w:rPr>
                <w:b/>
              </w:rPr>
            </w:pPr>
            <w:r w:rsidRPr="004E4188">
              <w:rPr>
                <w:b/>
              </w:rPr>
              <w:t>IS 10.1</w:t>
            </w:r>
          </w:p>
        </w:tc>
        <w:tc>
          <w:tcPr>
            <w:tcW w:w="7680" w:type="dxa"/>
            <w:tcBorders>
              <w:top w:val="single" w:sz="8" w:space="0" w:color="000000"/>
              <w:left w:val="single" w:sz="8" w:space="0" w:color="000000"/>
            </w:tcBorders>
          </w:tcPr>
          <w:p w14:paraId="0CEC4B59" w14:textId="77777777" w:rsidR="006F129D" w:rsidRPr="004E4188" w:rsidRDefault="006F129D" w:rsidP="00494291">
            <w:pPr>
              <w:tabs>
                <w:tab w:val="right" w:pos="7254"/>
              </w:tabs>
              <w:spacing w:afterLines="50" w:after="120"/>
              <w:rPr>
                <w:szCs w:val="24"/>
              </w:rPr>
            </w:pPr>
            <w:r w:rsidRPr="004E4188">
              <w:rPr>
                <w:iCs/>
              </w:rPr>
              <w:t xml:space="preserve">La langue de l’appel d’offres est : </w:t>
            </w:r>
            <w:r w:rsidRPr="004E4188">
              <w:t>[</w:t>
            </w:r>
            <w:r w:rsidRPr="004E4188">
              <w:rPr>
                <w:i/>
              </w:rPr>
              <w:t>indiquer une des langues suivantes : japonais, anglais, français ou espagnol</w:t>
            </w:r>
            <w:r w:rsidRPr="004E4188">
              <w:t>]</w:t>
            </w:r>
          </w:p>
        </w:tc>
      </w:tr>
      <w:tr w:rsidR="006F129D" w:rsidRPr="004E4188" w14:paraId="01B5AEF7" w14:textId="77777777" w:rsidTr="003E3409">
        <w:tc>
          <w:tcPr>
            <w:tcW w:w="1320" w:type="dxa"/>
            <w:tcBorders>
              <w:top w:val="single" w:sz="6" w:space="0" w:color="000000"/>
              <w:bottom w:val="single" w:sz="6" w:space="0" w:color="000000"/>
              <w:right w:val="single" w:sz="8" w:space="0" w:color="000000"/>
            </w:tcBorders>
          </w:tcPr>
          <w:p w14:paraId="5DE5C9FE" w14:textId="1265813D" w:rsidR="006F129D" w:rsidRPr="004E4188" w:rsidRDefault="006F129D" w:rsidP="00494291">
            <w:pPr>
              <w:tabs>
                <w:tab w:val="right" w:pos="7434"/>
              </w:tabs>
              <w:spacing w:before="60" w:after="120"/>
              <w:rPr>
                <w:b/>
              </w:rPr>
            </w:pPr>
            <w:r w:rsidRPr="004E4188">
              <w:rPr>
                <w:b/>
              </w:rPr>
              <w:t>IS 11.2(i)</w:t>
            </w:r>
          </w:p>
        </w:tc>
        <w:tc>
          <w:tcPr>
            <w:tcW w:w="7680" w:type="dxa"/>
            <w:tcBorders>
              <w:left w:val="single" w:sz="8" w:space="0" w:color="000000"/>
            </w:tcBorders>
          </w:tcPr>
          <w:p w14:paraId="5382F7CE" w14:textId="77777777" w:rsidR="006F129D" w:rsidRPr="004E4188" w:rsidRDefault="006F129D" w:rsidP="00494291">
            <w:pPr>
              <w:pStyle w:val="i"/>
              <w:spacing w:before="60" w:afterLines="50" w:after="120"/>
              <w:rPr>
                <w:u w:val="single"/>
                <w:lang w:val="fr-FR"/>
              </w:rPr>
            </w:pPr>
            <w:r w:rsidRPr="004E4188">
              <w:rPr>
                <w:lang w:val="fr-FR"/>
              </w:rPr>
              <w:t>Le Soumissionnaire devra joindre à son Offre Technique les documents supplémentaires suivants :</w:t>
            </w:r>
          </w:p>
          <w:p w14:paraId="62696E34" w14:textId="77777777" w:rsidR="006F129D" w:rsidRPr="004E4188" w:rsidRDefault="006F129D" w:rsidP="00D45EAD">
            <w:pPr>
              <w:tabs>
                <w:tab w:val="right" w:pos="7254"/>
              </w:tabs>
              <w:spacing w:afterLines="50" w:after="120"/>
              <w:rPr>
                <w:u w:val="single"/>
              </w:rPr>
            </w:pPr>
            <w:r w:rsidRPr="004E4188">
              <w:rPr>
                <w:bCs/>
                <w:iCs/>
              </w:rPr>
              <w:t>[</w:t>
            </w:r>
            <w:r w:rsidRPr="004E4188">
              <w:rPr>
                <w:bCs/>
                <w:i/>
                <w:iCs/>
              </w:rPr>
              <w:t>Donner la liste des documents supplémentaires à joindre à l’Offre Technique, qui ne sont pas déjà indiqués à IS 11.2. Si aucun document supplémentaire n’est demandé, indiquer « aucun ».</w:t>
            </w:r>
            <w:r w:rsidRPr="004E4188">
              <w:t>]</w:t>
            </w:r>
          </w:p>
        </w:tc>
      </w:tr>
      <w:tr w:rsidR="006F129D" w:rsidRPr="004E4188" w14:paraId="54CE7C4A" w14:textId="77777777" w:rsidTr="00BE2F1F">
        <w:tc>
          <w:tcPr>
            <w:tcW w:w="1320" w:type="dxa"/>
            <w:tcBorders>
              <w:top w:val="single" w:sz="6" w:space="0" w:color="000000"/>
              <w:bottom w:val="single" w:sz="6" w:space="0" w:color="000000"/>
              <w:right w:val="single" w:sz="8" w:space="0" w:color="000000"/>
            </w:tcBorders>
          </w:tcPr>
          <w:p w14:paraId="3205E6B0" w14:textId="53E1A0E0" w:rsidR="006F129D" w:rsidRPr="004E4188" w:rsidRDefault="006F129D" w:rsidP="00494291">
            <w:pPr>
              <w:tabs>
                <w:tab w:val="right" w:pos="7434"/>
              </w:tabs>
              <w:spacing w:before="60" w:after="120"/>
              <w:rPr>
                <w:b/>
              </w:rPr>
            </w:pPr>
            <w:r w:rsidRPr="004E4188">
              <w:rPr>
                <w:b/>
              </w:rPr>
              <w:t>IS 11.3(</w:t>
            </w:r>
            <w:r w:rsidR="007C2B5B" w:rsidRPr="004E4188">
              <w:rPr>
                <w:b/>
              </w:rPr>
              <w:t>c</w:t>
            </w:r>
            <w:r w:rsidRPr="004E4188">
              <w:rPr>
                <w:b/>
              </w:rPr>
              <w:t>)</w:t>
            </w:r>
          </w:p>
        </w:tc>
        <w:tc>
          <w:tcPr>
            <w:tcW w:w="7680" w:type="dxa"/>
            <w:tcBorders>
              <w:left w:val="single" w:sz="8" w:space="0" w:color="000000"/>
              <w:bottom w:val="single" w:sz="6" w:space="0" w:color="000000"/>
            </w:tcBorders>
          </w:tcPr>
          <w:p w14:paraId="276FC72E" w14:textId="77777777" w:rsidR="006F129D" w:rsidRPr="004E4188" w:rsidRDefault="006F129D" w:rsidP="00494291">
            <w:pPr>
              <w:pStyle w:val="i"/>
              <w:tabs>
                <w:tab w:val="right" w:pos="7254"/>
              </w:tabs>
              <w:suppressAutoHyphens w:val="0"/>
              <w:spacing w:before="60" w:afterLines="50" w:after="120"/>
              <w:rPr>
                <w:rFonts w:ascii="Times New Roman" w:hAnsi="Times New Roman"/>
                <w:lang w:val="fr-FR"/>
              </w:rPr>
            </w:pPr>
            <w:r w:rsidRPr="004E4188">
              <w:rPr>
                <w:rFonts w:ascii="Times New Roman" w:hAnsi="Times New Roman"/>
                <w:lang w:val="fr-FR"/>
              </w:rPr>
              <w:t>Le Soumissionnaire devra joindre à son Offre Financière les documents supplémentaires suivants :</w:t>
            </w:r>
          </w:p>
          <w:p w14:paraId="06390702" w14:textId="77777777" w:rsidR="006F129D" w:rsidRPr="004E4188" w:rsidRDefault="006F129D" w:rsidP="00D45EAD">
            <w:pPr>
              <w:pStyle w:val="i"/>
              <w:spacing w:afterLines="50" w:after="120"/>
              <w:rPr>
                <w:lang w:val="fr-FR"/>
              </w:rPr>
            </w:pPr>
            <w:r w:rsidRPr="004E4188">
              <w:rPr>
                <w:bCs/>
                <w:iCs/>
                <w:lang w:val="fr-FR"/>
              </w:rPr>
              <w:t>[</w:t>
            </w:r>
            <w:r w:rsidRPr="004E4188">
              <w:rPr>
                <w:bCs/>
                <w:i/>
                <w:iCs/>
                <w:lang w:val="fr-FR"/>
              </w:rPr>
              <w:t>Donner la liste des documents supplémentaires à joindre à l’Offre Financière, qui ne sont pas déjà indiqués à IS 11.3. Si aucun document supplémentaire n’est demandé, indiquer « aucun ».</w:t>
            </w:r>
            <w:r w:rsidRPr="004E4188">
              <w:rPr>
                <w:lang w:val="fr-FR"/>
              </w:rPr>
              <w:t>]</w:t>
            </w:r>
          </w:p>
        </w:tc>
      </w:tr>
      <w:tr w:rsidR="006F129D" w:rsidRPr="004E4188" w14:paraId="20A738FA" w14:textId="77777777" w:rsidTr="00BE2F1F">
        <w:tc>
          <w:tcPr>
            <w:tcW w:w="1320" w:type="dxa"/>
            <w:tcBorders>
              <w:top w:val="single" w:sz="6" w:space="0" w:color="000000"/>
              <w:bottom w:val="single" w:sz="8" w:space="0" w:color="000000"/>
              <w:right w:val="single" w:sz="8" w:space="0" w:color="000000"/>
            </w:tcBorders>
          </w:tcPr>
          <w:p w14:paraId="1083154D" w14:textId="77777777" w:rsidR="006F129D" w:rsidRPr="004E4188" w:rsidRDefault="006F129D" w:rsidP="000E7CE5">
            <w:pPr>
              <w:tabs>
                <w:tab w:val="right" w:pos="7434"/>
              </w:tabs>
              <w:spacing w:before="60" w:after="120"/>
              <w:rPr>
                <w:b/>
              </w:rPr>
            </w:pPr>
            <w:r w:rsidRPr="004E4188">
              <w:rPr>
                <w:b/>
              </w:rPr>
              <w:t>IS 13.1</w:t>
            </w:r>
          </w:p>
        </w:tc>
        <w:tc>
          <w:tcPr>
            <w:tcW w:w="7680" w:type="dxa"/>
            <w:tcBorders>
              <w:top w:val="single" w:sz="6" w:space="0" w:color="000000"/>
              <w:left w:val="single" w:sz="8" w:space="0" w:color="000000"/>
              <w:bottom w:val="single" w:sz="8" w:space="0" w:color="000000"/>
            </w:tcBorders>
          </w:tcPr>
          <w:p w14:paraId="59FB8196" w14:textId="1C30413C" w:rsidR="006F129D" w:rsidRPr="004E4188" w:rsidRDefault="006F129D" w:rsidP="000E7CE5">
            <w:pPr>
              <w:tabs>
                <w:tab w:val="right" w:pos="7254"/>
              </w:tabs>
              <w:spacing w:before="60" w:afterLines="50" w:after="120"/>
            </w:pPr>
            <w:r w:rsidRPr="004E4188">
              <w:t>Les variantes aux délais d’</w:t>
            </w:r>
            <w:r w:rsidR="00A42335" w:rsidRPr="004E4188">
              <w:t>achèvement</w:t>
            </w:r>
            <w:r w:rsidRPr="004E4188">
              <w:t xml:space="preserve"> des </w:t>
            </w:r>
            <w:r w:rsidR="00553D71" w:rsidRPr="004E4188">
              <w:t>Installations</w:t>
            </w:r>
            <w:r w:rsidRPr="004E4188">
              <w:t xml:space="preserve"> [</w:t>
            </w:r>
            <w:r w:rsidRPr="004E4188">
              <w:rPr>
                <w:i/>
              </w:rPr>
              <w:t>choisir « sont » ou « ne sont pas », selon le cas</w:t>
            </w:r>
            <w:r w:rsidRPr="004E4188">
              <w:t>] autorisées</w:t>
            </w:r>
            <w:r w:rsidRPr="004E4188">
              <w:rPr>
                <w:iCs/>
              </w:rPr>
              <w:t>.</w:t>
            </w:r>
            <w:r w:rsidRPr="004E4188" w:rsidDel="00D25248">
              <w:t xml:space="preserve"> </w:t>
            </w:r>
          </w:p>
        </w:tc>
      </w:tr>
      <w:tr w:rsidR="006F129D" w:rsidRPr="004E4188" w14:paraId="55E3B527" w14:textId="77777777" w:rsidTr="00BE2F1F">
        <w:trPr>
          <w:trHeight w:val="465"/>
        </w:trPr>
        <w:tc>
          <w:tcPr>
            <w:tcW w:w="1320" w:type="dxa"/>
            <w:tcBorders>
              <w:top w:val="single" w:sz="8" w:space="0" w:color="000000"/>
              <w:bottom w:val="single" w:sz="8" w:space="0" w:color="000000"/>
              <w:right w:val="single" w:sz="8" w:space="0" w:color="000000"/>
            </w:tcBorders>
          </w:tcPr>
          <w:p w14:paraId="4A418E5C" w14:textId="77777777" w:rsidR="006F129D" w:rsidRPr="004E4188" w:rsidRDefault="006F129D" w:rsidP="000E7CE5">
            <w:pPr>
              <w:tabs>
                <w:tab w:val="right" w:pos="7434"/>
              </w:tabs>
              <w:spacing w:before="60" w:after="120"/>
              <w:rPr>
                <w:b/>
              </w:rPr>
            </w:pPr>
            <w:r w:rsidRPr="004E4188">
              <w:rPr>
                <w:b/>
              </w:rPr>
              <w:t>IS 13.2</w:t>
            </w:r>
          </w:p>
        </w:tc>
        <w:tc>
          <w:tcPr>
            <w:tcW w:w="7680" w:type="dxa"/>
            <w:tcBorders>
              <w:top w:val="single" w:sz="8" w:space="0" w:color="000000"/>
              <w:left w:val="single" w:sz="8" w:space="0" w:color="000000"/>
              <w:bottom w:val="single" w:sz="8" w:space="0" w:color="000000"/>
            </w:tcBorders>
          </w:tcPr>
          <w:p w14:paraId="7EE297BA" w14:textId="0AB2386A" w:rsidR="006F129D" w:rsidRPr="004E4188" w:rsidRDefault="006F129D" w:rsidP="000E7CE5">
            <w:pPr>
              <w:spacing w:before="60" w:afterLines="50" w:after="120"/>
            </w:pPr>
            <w:r w:rsidRPr="004E4188">
              <w:rPr>
                <w:iCs/>
              </w:rPr>
              <w:t>L</w:t>
            </w:r>
            <w:r w:rsidRPr="004E4188">
              <w:t>es offres variantes [</w:t>
            </w:r>
            <w:r w:rsidRPr="004E4188">
              <w:rPr>
                <w:i/>
              </w:rPr>
              <w:t>choisir « sont » ou « ne sont pas », selon le cas</w:t>
            </w:r>
            <w:r w:rsidRPr="004E4188">
              <w:t>] autorisées</w:t>
            </w:r>
            <w:r w:rsidRPr="004E4188">
              <w:rPr>
                <w:iCs/>
              </w:rPr>
              <w:t>.</w:t>
            </w:r>
          </w:p>
        </w:tc>
      </w:tr>
      <w:tr w:rsidR="006F129D" w:rsidRPr="004E4188" w:rsidDel="00BF684A" w14:paraId="216C6EA9" w14:textId="77777777" w:rsidTr="00BE2F1F">
        <w:tc>
          <w:tcPr>
            <w:tcW w:w="1320" w:type="dxa"/>
            <w:tcBorders>
              <w:top w:val="single" w:sz="8" w:space="0" w:color="000000"/>
              <w:bottom w:val="single" w:sz="8" w:space="0" w:color="000000"/>
              <w:right w:val="single" w:sz="8" w:space="0" w:color="000000"/>
            </w:tcBorders>
          </w:tcPr>
          <w:p w14:paraId="04D32FB4" w14:textId="77777777" w:rsidR="006F129D" w:rsidRPr="004E4188" w:rsidDel="00BF684A" w:rsidRDefault="006F129D" w:rsidP="000E7CE5">
            <w:pPr>
              <w:tabs>
                <w:tab w:val="right" w:pos="7434"/>
              </w:tabs>
              <w:spacing w:before="60" w:after="120"/>
              <w:rPr>
                <w:b/>
              </w:rPr>
            </w:pPr>
            <w:r w:rsidRPr="004E4188">
              <w:rPr>
                <w:rFonts w:hint="eastAsia"/>
                <w:b/>
              </w:rPr>
              <w:t>IS 14.2</w:t>
            </w:r>
          </w:p>
        </w:tc>
        <w:tc>
          <w:tcPr>
            <w:tcW w:w="7680" w:type="dxa"/>
            <w:tcBorders>
              <w:top w:val="single" w:sz="8" w:space="0" w:color="000000"/>
              <w:left w:val="single" w:sz="8" w:space="0" w:color="000000"/>
              <w:bottom w:val="single" w:sz="8" w:space="0" w:color="000000"/>
            </w:tcBorders>
          </w:tcPr>
          <w:p w14:paraId="34D9C496" w14:textId="77777777" w:rsidR="006F129D" w:rsidRPr="004E4188" w:rsidRDefault="006F129D" w:rsidP="000E7CE5">
            <w:pPr>
              <w:tabs>
                <w:tab w:val="right" w:pos="7254"/>
              </w:tabs>
              <w:spacing w:before="60" w:afterLines="50" w:after="120"/>
            </w:pPr>
            <w:r w:rsidRPr="004E4188">
              <w:rPr>
                <w:bCs/>
                <w:iCs/>
              </w:rPr>
              <w:t>[</w:t>
            </w:r>
            <w:r w:rsidRPr="004E4188">
              <w:rPr>
                <w:bCs/>
                <w:i/>
                <w:iCs/>
              </w:rPr>
              <w:t>Choisir une des options suivantes, selon le cas.</w:t>
            </w:r>
            <w:r w:rsidRPr="004E4188">
              <w:t>]</w:t>
            </w:r>
          </w:p>
          <w:p w14:paraId="2157912D" w14:textId="72384264" w:rsidR="006F129D" w:rsidRPr="004E4188" w:rsidRDefault="006F129D" w:rsidP="000E7CE5">
            <w:pPr>
              <w:tabs>
                <w:tab w:val="right" w:pos="7254"/>
              </w:tabs>
              <w:spacing w:before="60" w:afterLines="50" w:after="120"/>
              <w:rPr>
                <w:rFonts w:cs="HBKMBP+TimesNewRoman"/>
                <w:color w:val="000000"/>
                <w:szCs w:val="24"/>
              </w:rPr>
            </w:pPr>
            <w:r w:rsidRPr="004E4188">
              <w:t>Les Soumissionnaires doivent</w:t>
            </w:r>
            <w:r w:rsidRPr="004E4188">
              <w:rPr>
                <w:rFonts w:cs="HBKMBP+TimesNewRoman"/>
                <w:color w:val="000000"/>
                <w:szCs w:val="24"/>
              </w:rPr>
              <w:t xml:space="preserve"> chiffrer leur offre pour l’ensemble des </w:t>
            </w:r>
            <w:r w:rsidRPr="004E4188">
              <w:rPr>
                <w:szCs w:val="24"/>
              </w:rPr>
              <w:t>É</w:t>
            </w:r>
            <w:r w:rsidRPr="004E4188">
              <w:t>quipements et Services de montage</w:t>
            </w:r>
            <w:r w:rsidRPr="004E4188">
              <w:rPr>
                <w:rFonts w:cs="HBKMBP+TimesNewRoman"/>
                <w:color w:val="000000"/>
                <w:szCs w:val="24"/>
              </w:rPr>
              <w:t xml:space="preserve"> sur la base d’une «</w:t>
            </w:r>
            <w:r w:rsidR="00494291" w:rsidRPr="004E4188">
              <w:rPr>
                <w:i/>
              </w:rPr>
              <w:t> </w:t>
            </w:r>
            <w:r w:rsidRPr="004E4188">
              <w:rPr>
                <w:rFonts w:cs="HBKMBP+TimesNewRoman"/>
                <w:color w:val="000000"/>
                <w:szCs w:val="24"/>
              </w:rPr>
              <w:t>responsabilité unique</w:t>
            </w:r>
            <w:r w:rsidR="00494291" w:rsidRPr="004E4188">
              <w:rPr>
                <w:i/>
              </w:rPr>
              <w:t> </w:t>
            </w:r>
            <w:r w:rsidRPr="004E4188">
              <w:rPr>
                <w:rFonts w:cs="HBKMBP+TimesNewRoman"/>
                <w:color w:val="000000"/>
                <w:szCs w:val="24"/>
              </w:rPr>
              <w:t>».</w:t>
            </w:r>
          </w:p>
          <w:p w14:paraId="3769274B" w14:textId="77777777" w:rsidR="006F129D" w:rsidRPr="004E4188" w:rsidRDefault="006F129D" w:rsidP="000E7CE5">
            <w:pPr>
              <w:tabs>
                <w:tab w:val="right" w:pos="7254"/>
              </w:tabs>
              <w:spacing w:before="60" w:afterLines="50" w:after="120"/>
            </w:pPr>
            <w:r w:rsidRPr="004E4188">
              <w:rPr>
                <w:bCs/>
                <w:iCs/>
              </w:rPr>
              <w:t>[</w:t>
            </w:r>
            <w:r w:rsidRPr="004E4188">
              <w:rPr>
                <w:bCs/>
                <w:i/>
                <w:iCs/>
              </w:rPr>
              <w:t>ou</w:t>
            </w:r>
            <w:r w:rsidRPr="004E4188">
              <w:t>]</w:t>
            </w:r>
          </w:p>
          <w:p w14:paraId="581527B6" w14:textId="77777777" w:rsidR="006F129D" w:rsidRPr="004E4188" w:rsidRDefault="006F129D" w:rsidP="000E7CE5">
            <w:pPr>
              <w:tabs>
                <w:tab w:val="right" w:pos="7254"/>
              </w:tabs>
              <w:spacing w:before="60" w:afterLines="50" w:after="120"/>
            </w:pPr>
            <w:r w:rsidRPr="004E4188">
              <w:t xml:space="preserve">Les Soumissionnaires doivent chiffrer les éléments ou services suivants </w:t>
            </w:r>
            <w:r w:rsidRPr="004E4188">
              <w:rPr>
                <w:rFonts w:cs="HBKMBP+TimesNewRoman"/>
                <w:color w:val="000000"/>
                <w:szCs w:val="24"/>
              </w:rPr>
              <w:t xml:space="preserve">sur la base d’une « responsabilité unique » : </w:t>
            </w:r>
            <w:r w:rsidRPr="004E4188">
              <w:rPr>
                <w:bCs/>
                <w:iCs/>
              </w:rPr>
              <w:t>[</w:t>
            </w:r>
            <w:r w:rsidRPr="004E4188">
              <w:rPr>
                <w:bCs/>
                <w:i/>
                <w:iCs/>
              </w:rPr>
              <w:t>donner la liste des éléments ou services</w:t>
            </w:r>
            <w:r w:rsidRPr="004E4188">
              <w:t xml:space="preserve">] </w:t>
            </w:r>
          </w:p>
          <w:p w14:paraId="3EA14530" w14:textId="77777777" w:rsidR="006F129D" w:rsidRPr="004E4188" w:rsidRDefault="006F129D" w:rsidP="000E7CE5">
            <w:pPr>
              <w:tabs>
                <w:tab w:val="right" w:pos="7254"/>
              </w:tabs>
              <w:spacing w:before="60" w:afterLines="50" w:after="120"/>
            </w:pPr>
            <w:r w:rsidRPr="004E4188">
              <w:rPr>
                <w:bCs/>
                <w:iCs/>
              </w:rPr>
              <w:t>[</w:t>
            </w:r>
            <w:r w:rsidRPr="004E4188">
              <w:rPr>
                <w:bCs/>
                <w:i/>
                <w:iCs/>
              </w:rPr>
              <w:t>et/ou</w:t>
            </w:r>
            <w:r w:rsidRPr="004E4188">
              <w:t>]</w:t>
            </w:r>
          </w:p>
          <w:p w14:paraId="4BE814A2" w14:textId="77777777" w:rsidR="006F129D" w:rsidRPr="004E4188" w:rsidDel="00BF684A" w:rsidRDefault="006F129D" w:rsidP="000E7CE5">
            <w:pPr>
              <w:tabs>
                <w:tab w:val="right" w:pos="7254"/>
              </w:tabs>
              <w:spacing w:before="60" w:afterLines="50" w:after="120"/>
              <w:rPr>
                <w:szCs w:val="24"/>
              </w:rPr>
            </w:pPr>
            <w:r w:rsidRPr="004E4188">
              <w:rPr>
                <w:szCs w:val="24"/>
              </w:rPr>
              <w:t xml:space="preserve">Les éléments ou services suivants seront fournis sous la responsabilité du Maître d’ouvrage : </w:t>
            </w:r>
            <w:r w:rsidRPr="004E4188">
              <w:rPr>
                <w:bCs/>
                <w:iCs/>
              </w:rPr>
              <w:t>[</w:t>
            </w:r>
            <w:r w:rsidRPr="004E4188">
              <w:rPr>
                <w:bCs/>
                <w:i/>
                <w:iCs/>
              </w:rPr>
              <w:t>donner la liste des éléments ou services</w:t>
            </w:r>
            <w:r w:rsidRPr="004E4188">
              <w:t xml:space="preserve">] </w:t>
            </w:r>
          </w:p>
        </w:tc>
      </w:tr>
      <w:tr w:rsidR="006F129D" w:rsidRPr="004E4188" w:rsidDel="00BF684A" w14:paraId="7E859E59" w14:textId="77777777" w:rsidTr="00BE2F1F">
        <w:tc>
          <w:tcPr>
            <w:tcW w:w="1320" w:type="dxa"/>
            <w:tcBorders>
              <w:top w:val="single" w:sz="8" w:space="0" w:color="000000"/>
              <w:bottom w:val="single" w:sz="8" w:space="0" w:color="000000"/>
              <w:right w:val="single" w:sz="8" w:space="0" w:color="000000"/>
            </w:tcBorders>
          </w:tcPr>
          <w:p w14:paraId="57DDFAC5" w14:textId="77777777" w:rsidR="006F129D" w:rsidRPr="004E4188" w:rsidDel="00BF684A" w:rsidRDefault="006F129D" w:rsidP="00AB1B6F">
            <w:pPr>
              <w:tabs>
                <w:tab w:val="right" w:pos="7434"/>
              </w:tabs>
              <w:spacing w:before="60" w:after="120"/>
              <w:jc w:val="left"/>
              <w:rPr>
                <w:b/>
              </w:rPr>
            </w:pPr>
            <w:r w:rsidRPr="004E4188">
              <w:rPr>
                <w:rFonts w:hint="eastAsia"/>
                <w:b/>
              </w:rPr>
              <w:t xml:space="preserve">IS 14.3(a) </w:t>
            </w:r>
            <w:r w:rsidRPr="004E4188">
              <w:rPr>
                <w:b/>
              </w:rPr>
              <w:t>et (d)</w:t>
            </w:r>
          </w:p>
        </w:tc>
        <w:tc>
          <w:tcPr>
            <w:tcW w:w="7680" w:type="dxa"/>
            <w:tcBorders>
              <w:top w:val="single" w:sz="8" w:space="0" w:color="000000"/>
              <w:left w:val="single" w:sz="8" w:space="0" w:color="000000"/>
            </w:tcBorders>
          </w:tcPr>
          <w:p w14:paraId="79EA4C4D" w14:textId="77777777" w:rsidR="006F129D" w:rsidRPr="004E4188" w:rsidRDefault="006F129D" w:rsidP="000E7CE5">
            <w:pPr>
              <w:tabs>
                <w:tab w:val="right" w:pos="7254"/>
              </w:tabs>
              <w:spacing w:before="60" w:afterLines="50" w:after="120"/>
              <w:rPr>
                <w:szCs w:val="24"/>
                <w:lang w:eastAsia="ja-JP"/>
              </w:rPr>
            </w:pPr>
            <w:r w:rsidRPr="004E4188">
              <w:rPr>
                <w:rFonts w:hint="eastAsia"/>
                <w:szCs w:val="24"/>
              </w:rPr>
              <w:t>L</w:t>
            </w:r>
            <w:r w:rsidRPr="004E4188">
              <w:rPr>
                <w:szCs w:val="24"/>
              </w:rPr>
              <w:t>e l</w:t>
            </w:r>
            <w:r w:rsidRPr="004E4188">
              <w:rPr>
                <w:rFonts w:hint="eastAsia"/>
                <w:szCs w:val="24"/>
              </w:rPr>
              <w:t>ieu de destination</w:t>
            </w:r>
            <w:r w:rsidRPr="004E4188">
              <w:rPr>
                <w:szCs w:val="24"/>
              </w:rPr>
              <w:t xml:space="preserve"> est : </w:t>
            </w:r>
            <w:r w:rsidRPr="004E4188">
              <w:rPr>
                <w:rFonts w:hint="eastAsia"/>
                <w:szCs w:val="24"/>
                <w:lang w:eastAsia="ja-JP"/>
              </w:rPr>
              <w:t>[</w:t>
            </w:r>
            <w:r w:rsidRPr="004E4188">
              <w:rPr>
                <w:i/>
                <w:szCs w:val="24"/>
                <w:lang w:eastAsia="ja-JP"/>
              </w:rPr>
              <w:t>indiquer le lieu de destination convenu selon l’Incoterm utilisé</w:t>
            </w:r>
            <w:r w:rsidRPr="004E4188">
              <w:rPr>
                <w:szCs w:val="24"/>
                <w:lang w:eastAsia="ja-JP"/>
              </w:rPr>
              <w:t>]</w:t>
            </w:r>
          </w:p>
          <w:p w14:paraId="2C7E2607" w14:textId="77777777" w:rsidR="006F129D" w:rsidRPr="004E4188" w:rsidDel="00BF684A" w:rsidRDefault="006F129D" w:rsidP="000E7CE5">
            <w:pPr>
              <w:tabs>
                <w:tab w:val="right" w:pos="7254"/>
              </w:tabs>
              <w:spacing w:before="60" w:afterLines="50" w:after="120"/>
              <w:rPr>
                <w:szCs w:val="24"/>
                <w:lang w:eastAsia="ja-JP"/>
              </w:rPr>
            </w:pPr>
            <w:r w:rsidRPr="004E4188">
              <w:rPr>
                <w:szCs w:val="24"/>
                <w:lang w:eastAsia="ja-JP"/>
              </w:rPr>
              <w:t>Le lieu de destination finale (site du projet) est : [</w:t>
            </w:r>
            <w:r w:rsidRPr="004E4188">
              <w:rPr>
                <w:i/>
                <w:szCs w:val="24"/>
                <w:lang w:eastAsia="ja-JP"/>
              </w:rPr>
              <w:t>indiquer la destination finale, si différente du lieu de destination convenu</w:t>
            </w:r>
            <w:r w:rsidRPr="004E4188">
              <w:rPr>
                <w:szCs w:val="24"/>
                <w:lang w:eastAsia="ja-JP"/>
              </w:rPr>
              <w:t>]</w:t>
            </w:r>
          </w:p>
        </w:tc>
      </w:tr>
      <w:tr w:rsidR="006F129D" w:rsidRPr="004E4188" w:rsidDel="00BF684A" w14:paraId="06C7153E" w14:textId="77777777" w:rsidTr="003E3409">
        <w:tc>
          <w:tcPr>
            <w:tcW w:w="1320" w:type="dxa"/>
            <w:tcBorders>
              <w:top w:val="single" w:sz="8" w:space="0" w:color="000000"/>
              <w:bottom w:val="single" w:sz="8" w:space="0" w:color="000000"/>
              <w:right w:val="single" w:sz="8" w:space="0" w:color="000000"/>
            </w:tcBorders>
          </w:tcPr>
          <w:p w14:paraId="6718CB4B" w14:textId="77777777" w:rsidR="006F129D" w:rsidRPr="004E4188" w:rsidDel="00BF684A" w:rsidRDefault="006F129D" w:rsidP="00494291">
            <w:pPr>
              <w:tabs>
                <w:tab w:val="right" w:pos="7434"/>
              </w:tabs>
              <w:spacing w:before="60" w:after="120"/>
              <w:rPr>
                <w:b/>
              </w:rPr>
            </w:pPr>
            <w:r w:rsidRPr="004E4188">
              <w:rPr>
                <w:b/>
              </w:rPr>
              <w:t>IS 14.7</w:t>
            </w:r>
          </w:p>
        </w:tc>
        <w:tc>
          <w:tcPr>
            <w:tcW w:w="7680" w:type="dxa"/>
            <w:tcBorders>
              <w:top w:val="single" w:sz="8" w:space="0" w:color="000000"/>
              <w:left w:val="single" w:sz="8" w:space="0" w:color="000000"/>
              <w:bottom w:val="single" w:sz="8" w:space="0" w:color="000000"/>
            </w:tcBorders>
          </w:tcPr>
          <w:p w14:paraId="3D3BEBF7" w14:textId="6324105A" w:rsidR="006F129D" w:rsidRPr="004E4188" w:rsidRDefault="006F129D" w:rsidP="00D45EAD">
            <w:pPr>
              <w:tabs>
                <w:tab w:val="right" w:pos="7254"/>
              </w:tabs>
              <w:spacing w:before="60" w:after="60"/>
              <w:rPr>
                <w:bCs/>
              </w:rPr>
            </w:pPr>
            <w:r w:rsidRPr="004E4188">
              <w:rPr>
                <w:iCs/>
              </w:rPr>
              <w:t xml:space="preserve">Les prix indiqués par le Soumissionnaire </w:t>
            </w:r>
            <w:r w:rsidR="00A939B2" w:rsidRPr="004E4188">
              <w:rPr>
                <w:iCs/>
              </w:rPr>
              <w:t xml:space="preserve">seront </w:t>
            </w:r>
            <w:r w:rsidRPr="004E4188">
              <w:t>[</w:t>
            </w:r>
            <w:r w:rsidRPr="004E4188">
              <w:rPr>
                <w:i/>
              </w:rPr>
              <w:t>choisir « révisables</w:t>
            </w:r>
            <w:r w:rsidR="000E7CE5" w:rsidRPr="004E4188">
              <w:rPr>
                <w:i/>
              </w:rPr>
              <w:t> </w:t>
            </w:r>
            <w:r w:rsidRPr="004E4188">
              <w:rPr>
                <w:i/>
              </w:rPr>
              <w:t>» ou « </w:t>
            </w:r>
            <w:r w:rsidRPr="004E4188">
              <w:rPr>
                <w:bCs/>
                <w:i/>
              </w:rPr>
              <w:t>fermes. Par conséquent, le Soumissionnaire n’a pas à fournir les indices et pondérations de révision des prix dans le Bordereau des données de révision des prix</w:t>
            </w:r>
            <w:r w:rsidRPr="004E4188">
              <w:rPr>
                <w:i/>
              </w:rPr>
              <w:t> », selon le cas</w:t>
            </w:r>
            <w:r w:rsidRPr="004E4188">
              <w:rPr>
                <w:bCs/>
              </w:rPr>
              <w:t>].</w:t>
            </w:r>
          </w:p>
          <w:p w14:paraId="3ED835E7" w14:textId="77777777" w:rsidR="006F129D" w:rsidRPr="004E4188" w:rsidRDefault="006F129D" w:rsidP="00D45EAD">
            <w:pPr>
              <w:tabs>
                <w:tab w:val="right" w:pos="7254"/>
              </w:tabs>
              <w:spacing w:before="60" w:after="60"/>
              <w:rPr>
                <w:bCs/>
                <w:i/>
              </w:rPr>
            </w:pPr>
          </w:p>
          <w:p w14:paraId="0798AA3A" w14:textId="77777777" w:rsidR="006F129D" w:rsidRPr="004E4188" w:rsidDel="00BF684A" w:rsidRDefault="006F129D" w:rsidP="00D45EAD">
            <w:pPr>
              <w:tabs>
                <w:tab w:val="right" w:pos="7254"/>
              </w:tabs>
              <w:spacing w:afterLines="50" w:after="120"/>
              <w:rPr>
                <w:szCs w:val="24"/>
              </w:rPr>
            </w:pPr>
            <w:r w:rsidRPr="004E4188">
              <w:rPr>
                <w:bCs/>
                <w:iCs/>
                <w:lang w:eastAsia="ja-JP"/>
              </w:rPr>
              <w:t>[</w:t>
            </w:r>
            <w:r w:rsidRPr="004E4188">
              <w:rPr>
                <w:i/>
              </w:rPr>
              <w:t>La</w:t>
            </w:r>
            <w:r w:rsidRPr="004E4188">
              <w:rPr>
                <w:rFonts w:hint="eastAsia"/>
                <w:i/>
              </w:rPr>
              <w:t xml:space="preserve"> </w:t>
            </w:r>
            <w:r w:rsidRPr="004E4188">
              <w:rPr>
                <w:i/>
              </w:rPr>
              <w:t>révision des prix est recommand</w:t>
            </w:r>
            <w:r w:rsidRPr="004E4188">
              <w:rPr>
                <w:rFonts w:ascii="Cambria" w:eastAsia="Cambria" w:hAnsi="Cambria"/>
                <w:i/>
              </w:rPr>
              <w:t>ée</w:t>
            </w:r>
            <w:r w:rsidRPr="004E4188">
              <w:rPr>
                <w:i/>
              </w:rPr>
              <w:t xml:space="preserve"> pour les marchés dont la durée est supérieure à 18 mois ou lorsqu’il est prévu que l’inflation locale ou internationale sera importante</w:t>
            </w:r>
            <w:r w:rsidRPr="004E4188">
              <w:rPr>
                <w:bCs/>
                <w:i/>
                <w:iCs/>
                <w:lang w:eastAsia="ja-JP"/>
              </w:rPr>
              <w:t>.</w:t>
            </w:r>
            <w:r w:rsidRPr="004E4188">
              <w:rPr>
                <w:bCs/>
                <w:iCs/>
                <w:lang w:eastAsia="ja-JP"/>
              </w:rPr>
              <w:t>]</w:t>
            </w:r>
          </w:p>
        </w:tc>
      </w:tr>
      <w:tr w:rsidR="006F129D" w:rsidRPr="004E4188" w:rsidDel="00BF684A" w14:paraId="748F85A7" w14:textId="77777777" w:rsidTr="00D45EAD">
        <w:tc>
          <w:tcPr>
            <w:tcW w:w="1320" w:type="dxa"/>
            <w:tcBorders>
              <w:top w:val="single" w:sz="8" w:space="0" w:color="000000"/>
              <w:bottom w:val="single" w:sz="8" w:space="0" w:color="000000"/>
              <w:right w:val="single" w:sz="8" w:space="0" w:color="000000"/>
            </w:tcBorders>
          </w:tcPr>
          <w:p w14:paraId="1E869868" w14:textId="77777777" w:rsidR="006F129D" w:rsidRPr="004E4188" w:rsidDel="00BF684A" w:rsidRDefault="006F129D" w:rsidP="000E7CE5">
            <w:pPr>
              <w:tabs>
                <w:tab w:val="right" w:pos="7434"/>
              </w:tabs>
              <w:spacing w:before="60" w:after="120"/>
              <w:rPr>
                <w:b/>
              </w:rPr>
            </w:pPr>
            <w:r w:rsidRPr="004E4188">
              <w:rPr>
                <w:b/>
              </w:rPr>
              <w:t>IS 14.</w:t>
            </w:r>
            <w:r w:rsidRPr="004E4188">
              <w:rPr>
                <w:b/>
                <w:lang w:eastAsia="ja-JP"/>
              </w:rPr>
              <w:t>9</w:t>
            </w:r>
          </w:p>
        </w:tc>
        <w:tc>
          <w:tcPr>
            <w:tcW w:w="7680" w:type="dxa"/>
            <w:tcBorders>
              <w:top w:val="single" w:sz="8" w:space="0" w:color="000000"/>
              <w:left w:val="single" w:sz="8" w:space="0" w:color="000000"/>
              <w:bottom w:val="single" w:sz="8" w:space="0" w:color="000000"/>
            </w:tcBorders>
          </w:tcPr>
          <w:p w14:paraId="2C91A00E" w14:textId="79943A16" w:rsidR="006F129D" w:rsidRPr="004E4188" w:rsidRDefault="006F129D" w:rsidP="000E7CE5">
            <w:pPr>
              <w:spacing w:before="60"/>
              <w:rPr>
                <w:lang w:eastAsia="ja-JP" w:bidi="ta-IN"/>
              </w:rPr>
            </w:pPr>
            <w:r w:rsidRPr="004E4188">
              <w:rPr>
                <w:rFonts w:ascii="TimesNewRomanPSMT" w:hAnsi="TimesNewRomanPSMT" w:cs="TimesNewRomanPSMT"/>
                <w:iCs/>
                <w:szCs w:val="24"/>
                <w:lang w:eastAsia="ja-JP" w:bidi="ta-IN"/>
              </w:rPr>
              <w:t>[</w:t>
            </w:r>
            <w:r w:rsidRPr="004E4188">
              <w:rPr>
                <w:bCs/>
                <w:i/>
                <w:iCs/>
              </w:rPr>
              <w:t xml:space="preserve">Cet </w:t>
            </w:r>
            <w:r w:rsidR="00C46C40" w:rsidRPr="004E4188">
              <w:rPr>
                <w:bCs/>
                <w:i/>
                <w:iCs/>
              </w:rPr>
              <w:t>A</w:t>
            </w:r>
            <w:r w:rsidRPr="004E4188">
              <w:rPr>
                <w:bCs/>
                <w:i/>
                <w:iCs/>
              </w:rPr>
              <w:t>rticle</w:t>
            </w:r>
            <w:r w:rsidRPr="004E4188">
              <w:rPr>
                <w:rFonts w:ascii="TimesNewRomanPSMT" w:hAnsi="TimesNewRomanPSMT" w:cs="TimesNewRomanPSMT"/>
                <w:i/>
                <w:iCs/>
                <w:szCs w:val="24"/>
                <w:lang w:eastAsia="ja-JP" w:bidi="ta-IN"/>
              </w:rPr>
              <w:t xml:space="preserve"> 14.9 </w:t>
            </w:r>
            <w:r w:rsidRPr="004E4188">
              <w:rPr>
                <w:bCs/>
                <w:i/>
                <w:iCs/>
              </w:rPr>
              <w:t>des IS sera conforme à l’Article 14.1 des Conditions du Marché</w:t>
            </w:r>
            <w:r w:rsidRPr="004E4188">
              <w:rPr>
                <w:rFonts w:ascii="TimesNewRomanPSMT" w:hAnsi="TimesNewRomanPSMT" w:cs="TimesNewRomanPSMT"/>
                <w:i/>
                <w:iCs/>
                <w:szCs w:val="24"/>
                <w:lang w:eastAsia="ja-JP" w:bidi="ta-IN"/>
              </w:rPr>
              <w:t>.</w:t>
            </w:r>
            <w:r w:rsidRPr="004E4188">
              <w:rPr>
                <w:iCs/>
                <w:szCs w:val="24"/>
                <w:lang w:eastAsia="ja-JP" w:bidi="ta-IN"/>
              </w:rPr>
              <w:t>]</w:t>
            </w:r>
            <w:r w:rsidRPr="004E4188">
              <w:rPr>
                <w:rFonts w:ascii="TimesNewRomanPSMT" w:hAnsi="TimesNewRomanPSMT" w:cs="TimesNewRomanPSMT"/>
                <w:i/>
                <w:iCs/>
                <w:szCs w:val="24"/>
                <w:lang w:eastAsia="ja-JP" w:bidi="ta-IN"/>
              </w:rPr>
              <w:t xml:space="preserve"> </w:t>
            </w:r>
          </w:p>
          <w:p w14:paraId="69B5FD7E" w14:textId="77777777" w:rsidR="006F129D" w:rsidRPr="004E4188" w:rsidRDefault="006F129D" w:rsidP="000E7CE5">
            <w:pPr>
              <w:pStyle w:val="a6"/>
              <w:tabs>
                <w:tab w:val="clear" w:pos="9000"/>
                <w:tab w:val="clear" w:pos="9360"/>
                <w:tab w:val="right" w:pos="7848"/>
              </w:tabs>
              <w:suppressAutoHyphens w:val="0"/>
              <w:spacing w:before="60"/>
              <w:rPr>
                <w:rFonts w:ascii="TimesNewRomanPSMT" w:hAnsi="TimesNewRomanPSMT" w:cs="TimesNewRomanPSMT"/>
                <w:iCs/>
                <w:szCs w:val="24"/>
                <w:lang w:eastAsia="ja-JP" w:bidi="ta-IN"/>
              </w:rPr>
            </w:pPr>
          </w:p>
          <w:p w14:paraId="05CAC4C3" w14:textId="77777777" w:rsidR="006F129D" w:rsidRPr="004E4188" w:rsidRDefault="006F129D" w:rsidP="000E7CE5">
            <w:pPr>
              <w:pStyle w:val="a6"/>
              <w:tabs>
                <w:tab w:val="right" w:pos="7848"/>
              </w:tabs>
              <w:spacing w:before="60" w:after="60"/>
              <w:rPr>
                <w:rFonts w:ascii="TimesNewRomanPSMT" w:hAnsi="TimesNewRomanPSMT" w:cs="TimesNewRomanPSMT"/>
                <w:iCs/>
                <w:szCs w:val="24"/>
                <w:lang w:eastAsia="ja-JP" w:bidi="ta-IN"/>
              </w:rPr>
            </w:pPr>
            <w:r w:rsidRPr="004E4188">
              <w:rPr>
                <w:noProof/>
              </w:rPr>
              <w:t>Conformément à</w:t>
            </w:r>
            <w:r w:rsidRPr="004E4188">
              <w:t xml:space="preserve"> l’Article 14.2 des Conditions du Marché, </w:t>
            </w:r>
            <w:r w:rsidRPr="004E4188">
              <w:rPr>
                <w:noProof/>
              </w:rPr>
              <w:t xml:space="preserve">les </w:t>
            </w:r>
            <w:r w:rsidRPr="004E4188">
              <w:rPr>
                <w:szCs w:val="24"/>
              </w:rPr>
              <w:t>É</w:t>
            </w:r>
            <w:r w:rsidRPr="004E4188">
              <w:rPr>
                <w:noProof/>
              </w:rPr>
              <w:t>quipements indiqués au Bordereau des prix n</w:t>
            </w:r>
            <w:r w:rsidRPr="004E4188">
              <w:rPr>
                <w:noProof/>
                <w:vertAlign w:val="superscript"/>
              </w:rPr>
              <w:t>o</w:t>
            </w:r>
            <w:r w:rsidRPr="004E4188">
              <w:rPr>
                <w:noProof/>
              </w:rPr>
              <w:t xml:space="preserve"> 1</w:t>
            </w:r>
            <w:r w:rsidRPr="004E4188">
              <w:rPr>
                <w:rFonts w:hint="eastAsia"/>
                <w:noProof/>
                <w:lang w:eastAsia="ja-JP"/>
              </w:rPr>
              <w:t>,</w:t>
            </w:r>
            <w:r w:rsidRPr="004E4188">
              <w:rPr>
                <w:noProof/>
                <w:lang w:eastAsia="ja-JP"/>
              </w:rPr>
              <w:t xml:space="preserve"> </w:t>
            </w:r>
            <w:r w:rsidRPr="004E4188">
              <w:rPr>
                <w:noProof/>
              </w:rPr>
              <w:t>doivent être exemptés du paiement de tout droit et taxe d’importation</w:t>
            </w:r>
            <w:r w:rsidRPr="004E4188">
              <w:rPr>
                <w:rFonts w:ascii="TimesNewRomanPSMT" w:hAnsi="TimesNewRomanPSMT" w:cs="TimesNewRomanPSMT"/>
                <w:iCs/>
                <w:szCs w:val="24"/>
                <w:lang w:eastAsia="ja-JP" w:bidi="ta-IN"/>
              </w:rPr>
              <w:t>.</w:t>
            </w:r>
          </w:p>
          <w:p w14:paraId="4EEB153A" w14:textId="77777777" w:rsidR="006F129D" w:rsidRPr="004E4188" w:rsidRDefault="006F129D" w:rsidP="000E7CE5">
            <w:pPr>
              <w:spacing w:before="60"/>
              <w:rPr>
                <w:lang w:eastAsia="ja-JP" w:bidi="ta-IN"/>
              </w:rPr>
            </w:pPr>
          </w:p>
          <w:p w14:paraId="2B9A283D" w14:textId="1F5929A7" w:rsidR="006F129D" w:rsidRPr="004E4188" w:rsidRDefault="006F129D" w:rsidP="000E7CE5">
            <w:pPr>
              <w:pStyle w:val="a6"/>
              <w:tabs>
                <w:tab w:val="clear" w:pos="9000"/>
                <w:tab w:val="clear" w:pos="9360"/>
                <w:tab w:val="right" w:pos="7848"/>
              </w:tabs>
              <w:suppressAutoHyphens w:val="0"/>
              <w:spacing w:before="60" w:after="120"/>
              <w:rPr>
                <w:iCs/>
                <w:szCs w:val="24"/>
                <w:lang w:eastAsia="ja-JP" w:bidi="ta-IN"/>
              </w:rPr>
            </w:pPr>
            <w:r w:rsidRPr="004E4188">
              <w:rPr>
                <w:iCs/>
                <w:szCs w:val="24"/>
                <w:lang w:eastAsia="ja-JP" w:bidi="ta-IN"/>
              </w:rPr>
              <w:t>[</w:t>
            </w:r>
            <w:r w:rsidRPr="004E4188">
              <w:rPr>
                <w:i/>
                <w:iCs/>
                <w:szCs w:val="24"/>
                <w:lang w:eastAsia="ja-JP" w:bidi="ta-IN"/>
              </w:rPr>
              <w:t>L</w:t>
            </w:r>
            <w:r w:rsidRPr="004E4188">
              <w:rPr>
                <w:i/>
                <w:iCs/>
                <w:szCs w:val="24"/>
              </w:rPr>
              <w:t xml:space="preserve">e Maître d’ouvrage spécifiera les listes visées aux (a) et/ou (b) ci-dessous, le cas échéant et de façon complète, en indiquant clairement les </w:t>
            </w:r>
            <w:r w:rsidRPr="004E4188">
              <w:rPr>
                <w:i/>
                <w:szCs w:val="24"/>
              </w:rPr>
              <w:t>droits</w:t>
            </w:r>
            <w:r w:rsidRPr="004E4188">
              <w:rPr>
                <w:i/>
                <w:iCs/>
                <w:szCs w:val="24"/>
              </w:rPr>
              <w:t>, taxes</w:t>
            </w:r>
            <w:r w:rsidRPr="004E4188">
              <w:rPr>
                <w:i/>
                <w:szCs w:val="24"/>
              </w:rPr>
              <w:t>, et prélèvements</w:t>
            </w:r>
            <w:r w:rsidRPr="004E4188">
              <w:rPr>
                <w:i/>
                <w:iCs/>
                <w:szCs w:val="24"/>
              </w:rPr>
              <w:t xml:space="preserve"> exemptés et les catégories d’exemptions correspondantes, conformément à l’</w:t>
            </w:r>
            <w:r w:rsidRPr="004E4188">
              <w:rPr>
                <w:rFonts w:hint="eastAsia"/>
                <w:i/>
                <w:iCs/>
                <w:szCs w:val="24"/>
              </w:rPr>
              <w:t>É</w:t>
            </w:r>
            <w:r w:rsidRPr="004E4188">
              <w:rPr>
                <w:i/>
                <w:iCs/>
                <w:szCs w:val="24"/>
              </w:rPr>
              <w:t>change de Notes entre les gouvernements du Pays Hôte et du Japon et en vertu de la législation du Pays Hôte. Sinon, supprimer la totalité de ce qui suit dans cet Article</w:t>
            </w:r>
            <w:r w:rsidRPr="004E4188">
              <w:rPr>
                <w:i/>
              </w:rPr>
              <w:t>.</w:t>
            </w:r>
            <w:r w:rsidRPr="004E4188">
              <w:rPr>
                <w:iCs/>
                <w:szCs w:val="24"/>
                <w:lang w:eastAsia="ja-JP" w:bidi="ta-IN"/>
              </w:rPr>
              <w:t>]</w:t>
            </w:r>
          </w:p>
          <w:p w14:paraId="540681A7" w14:textId="77777777" w:rsidR="006F129D" w:rsidRPr="004E4188" w:rsidRDefault="006F129D" w:rsidP="000E7CE5">
            <w:pPr>
              <w:rPr>
                <w:lang w:eastAsia="ja-JP" w:bidi="ta-IN"/>
              </w:rPr>
            </w:pPr>
          </w:p>
          <w:p w14:paraId="18A8C72D" w14:textId="77777777" w:rsidR="006F129D" w:rsidRPr="004E4188" w:rsidRDefault="006F129D" w:rsidP="000E7CE5">
            <w:pPr>
              <w:pStyle w:val="a6"/>
              <w:tabs>
                <w:tab w:val="right" w:pos="7848"/>
              </w:tabs>
              <w:spacing w:before="60" w:after="60"/>
              <w:rPr>
                <w:rFonts w:ascii="TimesNewRomanPSMT" w:hAnsi="TimesNewRomanPSMT" w:cs="TimesNewRomanPSMT"/>
                <w:iCs/>
                <w:szCs w:val="24"/>
                <w:lang w:eastAsia="ja-JP" w:bidi="ta-IN"/>
              </w:rPr>
            </w:pPr>
            <w:r w:rsidRPr="004E4188">
              <w:rPr>
                <w:rFonts w:ascii="TimesNewRomanPSMT" w:hAnsi="TimesNewRomanPSMT" w:cs="TimesNewRomanPSMT"/>
                <w:iCs/>
                <w:szCs w:val="24"/>
                <w:lang w:eastAsia="ja-JP" w:bidi="ta-IN"/>
              </w:rPr>
              <w:t>Les dispositions suivantes seront applicables pour les obligations de l’Entrepreneur vis-à-vis des droits, taxes, et prélèvements :</w:t>
            </w:r>
          </w:p>
          <w:p w14:paraId="1DEDC538" w14:textId="77777777" w:rsidR="006F129D" w:rsidRPr="004E4188" w:rsidRDefault="006F129D" w:rsidP="003D46CF">
            <w:pPr>
              <w:pStyle w:val="a6"/>
              <w:numPr>
                <w:ilvl w:val="0"/>
                <w:numId w:val="28"/>
              </w:numPr>
              <w:tabs>
                <w:tab w:val="left" w:pos="397"/>
                <w:tab w:val="right" w:pos="7848"/>
              </w:tabs>
              <w:overflowPunct/>
              <w:autoSpaceDE/>
              <w:autoSpaceDN/>
              <w:adjustRightInd/>
              <w:spacing w:before="60" w:after="60"/>
              <w:textAlignment w:val="auto"/>
              <w:rPr>
                <w:szCs w:val="24"/>
              </w:rPr>
            </w:pPr>
            <w:r w:rsidRPr="004E4188">
              <w:rPr>
                <w:iCs/>
                <w:szCs w:val="24"/>
                <w:lang w:eastAsia="ja-JP" w:bidi="ta-IN"/>
              </w:rPr>
              <w:t>l</w:t>
            </w:r>
            <w:r w:rsidRPr="004E4188">
              <w:rPr>
                <w:szCs w:val="24"/>
              </w:rPr>
              <w:t>es droits, taxes, et prélèvements pour lesquels l’Entrepreneur est exonéré sont indiqués dans le tableau ci-dessous.</w:t>
            </w:r>
          </w:p>
          <w:p w14:paraId="45B3ADD7" w14:textId="77777777" w:rsidR="006F129D" w:rsidRPr="004E4188" w:rsidRDefault="006F129D" w:rsidP="000E7CE5">
            <w:pPr>
              <w:pStyle w:val="a6"/>
              <w:tabs>
                <w:tab w:val="left" w:pos="397"/>
                <w:tab w:val="right" w:pos="7848"/>
              </w:tabs>
              <w:spacing w:before="60" w:after="60"/>
              <w:ind w:left="400"/>
              <w:rPr>
                <w:iCs/>
                <w:szCs w:val="24"/>
                <w:lang w:eastAsia="ja-JP" w:bidi="ta-IN"/>
              </w:rPr>
            </w:pPr>
            <w:r w:rsidRPr="004E4188">
              <w:rPr>
                <w:szCs w:val="24"/>
              </w:rPr>
              <w:t xml:space="preserve">Ces exemptions sont réparties en deux catégories, à savoir </w:t>
            </w:r>
            <w:r w:rsidRPr="004E4188">
              <w:rPr>
                <w:iCs/>
                <w:szCs w:val="24"/>
                <w:lang w:eastAsia="ja-JP" w:bidi="ta-IN"/>
              </w:rPr>
              <w:t>:</w:t>
            </w:r>
          </w:p>
          <w:p w14:paraId="1920E94C" w14:textId="77777777" w:rsidR="006F129D" w:rsidRPr="004E4188" w:rsidRDefault="006F129D" w:rsidP="000E7CE5">
            <w:pPr>
              <w:pStyle w:val="a6"/>
              <w:tabs>
                <w:tab w:val="left" w:pos="397"/>
                <w:tab w:val="right" w:pos="7848"/>
              </w:tabs>
              <w:spacing w:before="60" w:after="60"/>
              <w:ind w:left="822" w:hanging="425"/>
              <w:rPr>
                <w:iCs/>
                <w:szCs w:val="24"/>
                <w:lang w:eastAsia="ja-JP" w:bidi="ta-IN"/>
              </w:rPr>
            </w:pPr>
            <w:r w:rsidRPr="004E4188">
              <w:rPr>
                <w:iCs/>
                <w:szCs w:val="24"/>
                <w:lang w:eastAsia="ja-JP" w:bidi="ta-IN"/>
              </w:rPr>
              <w:t>(i)</w:t>
            </w:r>
            <w:r w:rsidRPr="004E4188">
              <w:t xml:space="preserve"> </w:t>
            </w:r>
            <w:r w:rsidRPr="004E4188">
              <w:tab/>
            </w:r>
            <w:r w:rsidRPr="004E4188">
              <w:rPr>
                <w:szCs w:val="24"/>
              </w:rPr>
              <w:t>Catégorie « Sans paiement » : l’Entrepreneur sera autorisé à être exonéré du paiement des droits, taxes et prélèvements relevant de cette catégorie, étant précisé qu’aucun paiement découlant de ou en relation avec de telles exonérations ne pourra être exigé ; ou</w:t>
            </w:r>
          </w:p>
          <w:p w14:paraId="68A29549" w14:textId="72E27955" w:rsidR="006F129D" w:rsidRPr="004E4188" w:rsidRDefault="006F129D" w:rsidP="000E7CE5">
            <w:pPr>
              <w:pStyle w:val="a6"/>
              <w:spacing w:before="60" w:after="240"/>
              <w:ind w:left="822" w:hanging="425"/>
              <w:rPr>
                <w:lang w:bidi="ta-IN"/>
              </w:rPr>
            </w:pPr>
            <w:r w:rsidRPr="004E4188">
              <w:rPr>
                <w:iCs/>
                <w:szCs w:val="24"/>
                <w:lang w:eastAsia="ja-JP" w:bidi="ta-IN"/>
              </w:rPr>
              <w:t>(ii)</w:t>
            </w:r>
            <w:r w:rsidRPr="004E4188">
              <w:t xml:space="preserve"> </w:t>
            </w:r>
            <w:r w:rsidR="00494291" w:rsidRPr="004E4188">
              <w:tab/>
            </w:r>
            <w:r w:rsidRPr="004E4188">
              <w:rPr>
                <w:szCs w:val="24"/>
              </w:rPr>
              <w:t xml:space="preserve">Catégorie « Avec paiement &amp; </w:t>
            </w:r>
            <w:r w:rsidR="00456837" w:rsidRPr="004E4188">
              <w:rPr>
                <w:szCs w:val="24"/>
              </w:rPr>
              <w:t>r</w:t>
            </w:r>
            <w:r w:rsidRPr="004E4188">
              <w:rPr>
                <w:szCs w:val="24"/>
              </w:rPr>
              <w:t>emboursement » : l’Entrepreneur sera autorisé à être exonéré des droits, taxes et prélèvements relevant de cette catégorie, à condition qu’il effectue d’abord tous les paiements découlant de ou liés à de telles responsabilités, et demande ensuite leur remboursement par l’autorité compétente, en suivant la procédure prescrite par cette autorité</w:t>
            </w:r>
            <w:r w:rsidRPr="004E4188">
              <w:rPr>
                <w:iCs/>
                <w:szCs w:val="24"/>
                <w:lang w:eastAsia="ja-JP" w:bidi="ta-IN"/>
              </w:rPr>
              <w:t>.</w:t>
            </w:r>
          </w:p>
          <w:tbl>
            <w:tblPr>
              <w:tblW w:w="6823"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135"/>
              <w:gridCol w:w="4025"/>
            </w:tblGrid>
            <w:tr w:rsidR="006F129D" w:rsidRPr="004E4188" w14:paraId="32E0167B" w14:textId="77777777" w:rsidTr="00D45EAD">
              <w:tc>
                <w:tcPr>
                  <w:tcW w:w="663" w:type="dxa"/>
                  <w:shd w:val="clear" w:color="auto" w:fill="auto"/>
                </w:tcPr>
                <w:p w14:paraId="4045FDDE" w14:textId="77777777" w:rsidR="006F129D" w:rsidRPr="004E4188" w:rsidRDefault="006F129D" w:rsidP="000E7CE5">
                  <w:pPr>
                    <w:spacing w:before="60"/>
                    <w:jc w:val="center"/>
                    <w:rPr>
                      <w:szCs w:val="24"/>
                      <w:lang w:bidi="ta-IN"/>
                    </w:rPr>
                  </w:pPr>
                  <w:r w:rsidRPr="004E4188">
                    <w:rPr>
                      <w:szCs w:val="24"/>
                    </w:rPr>
                    <w:t>n</w:t>
                  </w:r>
                  <w:r w:rsidRPr="004E4188">
                    <w:rPr>
                      <w:rFonts w:hint="eastAsia"/>
                      <w:szCs w:val="24"/>
                      <w:vertAlign w:val="superscript"/>
                    </w:rPr>
                    <w:t>o</w:t>
                  </w:r>
                </w:p>
              </w:tc>
              <w:tc>
                <w:tcPr>
                  <w:tcW w:w="2135" w:type="dxa"/>
                  <w:shd w:val="clear" w:color="auto" w:fill="auto"/>
                </w:tcPr>
                <w:p w14:paraId="5828FA26" w14:textId="77777777" w:rsidR="006F129D" w:rsidRPr="004E4188" w:rsidRDefault="006F129D" w:rsidP="000E7CE5">
                  <w:pPr>
                    <w:spacing w:before="60"/>
                    <w:jc w:val="center"/>
                    <w:rPr>
                      <w:szCs w:val="24"/>
                      <w:lang w:bidi="ta-IN"/>
                    </w:rPr>
                  </w:pPr>
                  <w:r w:rsidRPr="004E4188">
                    <w:rPr>
                      <w:szCs w:val="24"/>
                    </w:rPr>
                    <w:t>Droits, taxes et prélèvements</w:t>
                  </w:r>
                </w:p>
              </w:tc>
              <w:tc>
                <w:tcPr>
                  <w:tcW w:w="4025" w:type="dxa"/>
                  <w:shd w:val="clear" w:color="auto" w:fill="auto"/>
                </w:tcPr>
                <w:p w14:paraId="37116F1A" w14:textId="77777777" w:rsidR="006F129D" w:rsidRPr="004E4188" w:rsidRDefault="006F129D" w:rsidP="000E7CE5">
                  <w:pPr>
                    <w:spacing w:before="60"/>
                    <w:jc w:val="center"/>
                    <w:rPr>
                      <w:szCs w:val="24"/>
                      <w:lang w:bidi="ta-IN"/>
                    </w:rPr>
                  </w:pPr>
                  <w:r w:rsidRPr="004E4188">
                    <w:rPr>
                      <w:iCs/>
                      <w:szCs w:val="24"/>
                      <w:lang w:bidi="ta-IN"/>
                    </w:rPr>
                    <w:t>Catégories d’exemptions</w:t>
                  </w:r>
                </w:p>
              </w:tc>
            </w:tr>
            <w:tr w:rsidR="006F129D" w:rsidRPr="004E4188" w14:paraId="096DB7F6" w14:textId="77777777" w:rsidTr="00D45EAD">
              <w:tc>
                <w:tcPr>
                  <w:tcW w:w="663" w:type="dxa"/>
                  <w:shd w:val="clear" w:color="auto" w:fill="auto"/>
                </w:tcPr>
                <w:p w14:paraId="59CB44F3" w14:textId="77777777" w:rsidR="006F129D" w:rsidRPr="004E4188" w:rsidRDefault="006F129D" w:rsidP="000E7CE5">
                  <w:pPr>
                    <w:spacing w:before="60"/>
                    <w:jc w:val="center"/>
                    <w:rPr>
                      <w:lang w:bidi="ta-IN"/>
                    </w:rPr>
                  </w:pPr>
                  <w:r w:rsidRPr="004E4188">
                    <w:rPr>
                      <w:lang w:bidi="ta-IN"/>
                    </w:rPr>
                    <w:t>1</w:t>
                  </w:r>
                </w:p>
              </w:tc>
              <w:tc>
                <w:tcPr>
                  <w:tcW w:w="2135" w:type="dxa"/>
                  <w:shd w:val="clear" w:color="auto" w:fill="auto"/>
                </w:tcPr>
                <w:p w14:paraId="6620F711" w14:textId="77777777" w:rsidR="006F129D" w:rsidRPr="004E4188" w:rsidRDefault="006F129D" w:rsidP="000E7CE5">
                  <w:pPr>
                    <w:spacing w:before="60"/>
                    <w:jc w:val="left"/>
                    <w:rPr>
                      <w:i/>
                      <w:lang w:bidi="ta-IN"/>
                    </w:rPr>
                  </w:pPr>
                  <w:r w:rsidRPr="004E4188">
                    <w:rPr>
                      <w:lang w:bidi="ta-IN"/>
                    </w:rPr>
                    <w:t>[</w:t>
                  </w:r>
                  <w:r w:rsidRPr="004E4188">
                    <w:rPr>
                      <w:i/>
                      <w:lang w:bidi="ta-IN"/>
                    </w:rPr>
                    <w:t>i</w:t>
                  </w:r>
                  <w:r w:rsidRPr="004E4188">
                    <w:rPr>
                      <w:i/>
                      <w:szCs w:val="24"/>
                    </w:rPr>
                    <w:t>ndiquer les droits, taxes et prélèvements</w:t>
                  </w:r>
                  <w:r w:rsidRPr="004E4188">
                    <w:rPr>
                      <w:iCs/>
                      <w:szCs w:val="24"/>
                      <w:lang w:bidi="ta-IN"/>
                    </w:rPr>
                    <w:t>]</w:t>
                  </w:r>
                </w:p>
              </w:tc>
              <w:tc>
                <w:tcPr>
                  <w:tcW w:w="4025" w:type="dxa"/>
                  <w:shd w:val="clear" w:color="auto" w:fill="auto"/>
                </w:tcPr>
                <w:p w14:paraId="19B32A62" w14:textId="6F4DD309" w:rsidR="006F129D" w:rsidRPr="004E4188" w:rsidRDefault="006F129D" w:rsidP="000E7CE5">
                  <w:pPr>
                    <w:spacing w:before="60"/>
                    <w:jc w:val="left"/>
                    <w:rPr>
                      <w:i/>
                      <w:lang w:bidi="ta-IN"/>
                    </w:rPr>
                  </w:pPr>
                  <w:r w:rsidRPr="004E4188">
                    <w:rPr>
                      <w:lang w:bidi="ta-IN"/>
                    </w:rPr>
                    <w:t>[</w:t>
                  </w:r>
                  <w:r w:rsidRPr="004E4188">
                    <w:rPr>
                      <w:i/>
                      <w:szCs w:val="24"/>
                      <w:lang w:bidi="ta-IN"/>
                    </w:rPr>
                    <w:t xml:space="preserve">indiquer « Sans paiement » ou « Avec </w:t>
                  </w:r>
                  <w:r w:rsidR="00456837" w:rsidRPr="004E4188">
                    <w:rPr>
                      <w:i/>
                      <w:szCs w:val="24"/>
                      <w:lang w:bidi="ta-IN"/>
                    </w:rPr>
                    <w:t>p</w:t>
                  </w:r>
                  <w:r w:rsidRPr="004E4188">
                    <w:rPr>
                      <w:i/>
                      <w:szCs w:val="24"/>
                      <w:lang w:bidi="ta-IN"/>
                    </w:rPr>
                    <w:t xml:space="preserve">aiement &amp; </w:t>
                  </w:r>
                  <w:r w:rsidR="00456837" w:rsidRPr="004E4188">
                    <w:rPr>
                      <w:i/>
                      <w:szCs w:val="24"/>
                      <w:lang w:bidi="ta-IN"/>
                    </w:rPr>
                    <w:t>r</w:t>
                  </w:r>
                  <w:r w:rsidRPr="004E4188">
                    <w:rPr>
                      <w:i/>
                      <w:szCs w:val="24"/>
                      <w:lang w:bidi="ta-IN"/>
                    </w:rPr>
                    <w:t>emboursement »</w:t>
                  </w:r>
                  <w:r w:rsidRPr="004E4188">
                    <w:rPr>
                      <w:lang w:bidi="ta-IN"/>
                    </w:rPr>
                    <w:t>]</w:t>
                  </w:r>
                </w:p>
              </w:tc>
            </w:tr>
            <w:tr w:rsidR="006F129D" w:rsidRPr="004E4188" w14:paraId="03172104" w14:textId="77777777" w:rsidTr="00D45EAD">
              <w:tc>
                <w:tcPr>
                  <w:tcW w:w="663" w:type="dxa"/>
                  <w:shd w:val="clear" w:color="auto" w:fill="auto"/>
                </w:tcPr>
                <w:p w14:paraId="51372159" w14:textId="77777777" w:rsidR="006F129D" w:rsidRPr="004E4188" w:rsidRDefault="006F129D" w:rsidP="000E7CE5">
                  <w:pPr>
                    <w:spacing w:before="60"/>
                    <w:jc w:val="center"/>
                    <w:rPr>
                      <w:lang w:bidi="ta-IN"/>
                    </w:rPr>
                  </w:pPr>
                  <w:r w:rsidRPr="004E4188">
                    <w:rPr>
                      <w:lang w:bidi="ta-IN"/>
                    </w:rPr>
                    <w:t>2</w:t>
                  </w:r>
                </w:p>
              </w:tc>
              <w:tc>
                <w:tcPr>
                  <w:tcW w:w="2135" w:type="dxa"/>
                  <w:shd w:val="clear" w:color="auto" w:fill="auto"/>
                </w:tcPr>
                <w:p w14:paraId="4B072A06" w14:textId="77777777" w:rsidR="006F129D" w:rsidRPr="004E4188" w:rsidRDefault="006F129D" w:rsidP="000E7CE5">
                  <w:pPr>
                    <w:spacing w:before="60"/>
                    <w:jc w:val="left"/>
                    <w:rPr>
                      <w:i/>
                      <w:lang w:bidi="ta-IN"/>
                    </w:rPr>
                  </w:pPr>
                  <w:r w:rsidRPr="004E4188">
                    <w:rPr>
                      <w:lang w:bidi="ta-IN"/>
                    </w:rPr>
                    <w:t>[</w:t>
                  </w:r>
                  <w:r w:rsidRPr="004E4188">
                    <w:rPr>
                      <w:i/>
                      <w:lang w:bidi="ta-IN"/>
                    </w:rPr>
                    <w:t>i</w:t>
                  </w:r>
                  <w:r w:rsidRPr="004E4188">
                    <w:rPr>
                      <w:i/>
                      <w:szCs w:val="24"/>
                    </w:rPr>
                    <w:t>ndiquer les droits, taxes et prélèvements</w:t>
                  </w:r>
                  <w:r w:rsidRPr="004E4188">
                    <w:rPr>
                      <w:iCs/>
                      <w:szCs w:val="24"/>
                      <w:lang w:bidi="ta-IN"/>
                    </w:rPr>
                    <w:t>]</w:t>
                  </w:r>
                </w:p>
              </w:tc>
              <w:tc>
                <w:tcPr>
                  <w:tcW w:w="4025" w:type="dxa"/>
                  <w:shd w:val="clear" w:color="auto" w:fill="auto"/>
                </w:tcPr>
                <w:p w14:paraId="6CE40816" w14:textId="531A19FC" w:rsidR="006F129D" w:rsidRPr="004E4188" w:rsidRDefault="006F129D" w:rsidP="000E7CE5">
                  <w:pPr>
                    <w:spacing w:before="60"/>
                    <w:jc w:val="left"/>
                    <w:rPr>
                      <w:i/>
                      <w:lang w:bidi="ta-IN"/>
                    </w:rPr>
                  </w:pPr>
                  <w:r w:rsidRPr="004E4188">
                    <w:rPr>
                      <w:lang w:bidi="ta-IN"/>
                    </w:rPr>
                    <w:t>[</w:t>
                  </w:r>
                  <w:r w:rsidRPr="004E4188">
                    <w:rPr>
                      <w:i/>
                      <w:szCs w:val="24"/>
                      <w:lang w:bidi="ta-IN"/>
                    </w:rPr>
                    <w:t xml:space="preserve">indiquer « Sans paiement » ou « Avec </w:t>
                  </w:r>
                  <w:r w:rsidR="00456837" w:rsidRPr="004E4188">
                    <w:rPr>
                      <w:i/>
                      <w:szCs w:val="24"/>
                      <w:lang w:bidi="ta-IN"/>
                    </w:rPr>
                    <w:t>p</w:t>
                  </w:r>
                  <w:r w:rsidRPr="004E4188">
                    <w:rPr>
                      <w:i/>
                      <w:szCs w:val="24"/>
                      <w:lang w:bidi="ta-IN"/>
                    </w:rPr>
                    <w:t xml:space="preserve">aiement &amp; </w:t>
                  </w:r>
                  <w:r w:rsidR="00456837" w:rsidRPr="004E4188">
                    <w:rPr>
                      <w:i/>
                      <w:szCs w:val="24"/>
                      <w:lang w:bidi="ta-IN"/>
                    </w:rPr>
                    <w:t>r</w:t>
                  </w:r>
                  <w:r w:rsidRPr="004E4188">
                    <w:rPr>
                      <w:i/>
                      <w:szCs w:val="24"/>
                      <w:lang w:bidi="ta-IN"/>
                    </w:rPr>
                    <w:t>emboursement »</w:t>
                  </w:r>
                  <w:r w:rsidRPr="004E4188">
                    <w:rPr>
                      <w:lang w:bidi="ta-IN"/>
                    </w:rPr>
                    <w:t>]</w:t>
                  </w:r>
                </w:p>
              </w:tc>
            </w:tr>
            <w:tr w:rsidR="006F129D" w:rsidRPr="004E4188" w14:paraId="316D738E" w14:textId="77777777" w:rsidTr="00D45EAD">
              <w:tc>
                <w:tcPr>
                  <w:tcW w:w="663" w:type="dxa"/>
                  <w:shd w:val="clear" w:color="auto" w:fill="auto"/>
                </w:tcPr>
                <w:p w14:paraId="295A5505" w14:textId="77777777" w:rsidR="006F129D" w:rsidRPr="004E4188" w:rsidRDefault="006F129D" w:rsidP="000E7CE5">
                  <w:pPr>
                    <w:spacing w:before="60"/>
                    <w:jc w:val="center"/>
                    <w:rPr>
                      <w:lang w:bidi="ta-IN"/>
                    </w:rPr>
                  </w:pPr>
                  <w:r w:rsidRPr="004E4188">
                    <w:rPr>
                      <w:lang w:bidi="ta-IN"/>
                    </w:rPr>
                    <w:t>3</w:t>
                  </w:r>
                </w:p>
              </w:tc>
              <w:tc>
                <w:tcPr>
                  <w:tcW w:w="2135" w:type="dxa"/>
                  <w:shd w:val="clear" w:color="auto" w:fill="auto"/>
                </w:tcPr>
                <w:p w14:paraId="097C6E00" w14:textId="77777777" w:rsidR="006F129D" w:rsidRPr="004E4188" w:rsidRDefault="006F129D" w:rsidP="000E7CE5">
                  <w:pPr>
                    <w:spacing w:before="60"/>
                    <w:jc w:val="left"/>
                    <w:rPr>
                      <w:i/>
                      <w:lang w:bidi="ta-IN"/>
                    </w:rPr>
                  </w:pPr>
                  <w:r w:rsidRPr="004E4188">
                    <w:rPr>
                      <w:lang w:bidi="ta-IN"/>
                    </w:rPr>
                    <w:t>[</w:t>
                  </w:r>
                  <w:r w:rsidRPr="004E4188">
                    <w:rPr>
                      <w:i/>
                      <w:lang w:bidi="ta-IN"/>
                    </w:rPr>
                    <w:t>i</w:t>
                  </w:r>
                  <w:r w:rsidRPr="004E4188">
                    <w:rPr>
                      <w:i/>
                      <w:szCs w:val="24"/>
                    </w:rPr>
                    <w:t>ndiquer les droits, taxes et prélèvements</w:t>
                  </w:r>
                  <w:r w:rsidRPr="004E4188">
                    <w:rPr>
                      <w:iCs/>
                      <w:szCs w:val="24"/>
                      <w:lang w:bidi="ta-IN"/>
                    </w:rPr>
                    <w:t>]</w:t>
                  </w:r>
                </w:p>
              </w:tc>
              <w:tc>
                <w:tcPr>
                  <w:tcW w:w="4025" w:type="dxa"/>
                  <w:shd w:val="clear" w:color="auto" w:fill="auto"/>
                </w:tcPr>
                <w:p w14:paraId="05949D91" w14:textId="2A8E73D6" w:rsidR="006F129D" w:rsidRPr="004E4188" w:rsidRDefault="006F129D" w:rsidP="000E7CE5">
                  <w:pPr>
                    <w:spacing w:before="60"/>
                    <w:jc w:val="left"/>
                    <w:rPr>
                      <w:i/>
                      <w:lang w:bidi="ta-IN"/>
                    </w:rPr>
                  </w:pPr>
                  <w:r w:rsidRPr="004E4188">
                    <w:rPr>
                      <w:lang w:bidi="ta-IN"/>
                    </w:rPr>
                    <w:t>[</w:t>
                  </w:r>
                  <w:r w:rsidRPr="004E4188">
                    <w:rPr>
                      <w:i/>
                      <w:szCs w:val="24"/>
                      <w:lang w:bidi="ta-IN"/>
                    </w:rPr>
                    <w:t xml:space="preserve">indiquer « Sans paiement » ou « Avec </w:t>
                  </w:r>
                  <w:r w:rsidR="00456837" w:rsidRPr="004E4188">
                    <w:rPr>
                      <w:i/>
                      <w:szCs w:val="24"/>
                      <w:lang w:bidi="ta-IN"/>
                    </w:rPr>
                    <w:t>p</w:t>
                  </w:r>
                  <w:r w:rsidRPr="004E4188">
                    <w:rPr>
                      <w:i/>
                      <w:szCs w:val="24"/>
                      <w:lang w:bidi="ta-IN"/>
                    </w:rPr>
                    <w:t xml:space="preserve">aiement &amp; </w:t>
                  </w:r>
                  <w:r w:rsidR="00456837" w:rsidRPr="004E4188">
                    <w:rPr>
                      <w:i/>
                      <w:szCs w:val="24"/>
                      <w:lang w:bidi="ta-IN"/>
                    </w:rPr>
                    <w:t>r</w:t>
                  </w:r>
                  <w:r w:rsidRPr="004E4188">
                    <w:rPr>
                      <w:i/>
                      <w:szCs w:val="24"/>
                      <w:lang w:bidi="ta-IN"/>
                    </w:rPr>
                    <w:t>emboursement »</w:t>
                  </w:r>
                  <w:r w:rsidRPr="004E4188">
                    <w:rPr>
                      <w:lang w:bidi="ta-IN"/>
                    </w:rPr>
                    <w:t>]</w:t>
                  </w:r>
                </w:p>
              </w:tc>
            </w:tr>
            <w:tr w:rsidR="006F129D" w:rsidRPr="004E4188" w14:paraId="67DAE4D3" w14:textId="77777777" w:rsidTr="00D45EAD">
              <w:tc>
                <w:tcPr>
                  <w:tcW w:w="663" w:type="dxa"/>
                  <w:shd w:val="clear" w:color="auto" w:fill="auto"/>
                </w:tcPr>
                <w:p w14:paraId="4EF6EB0C" w14:textId="77777777" w:rsidR="006F129D" w:rsidRPr="004E4188" w:rsidRDefault="006F129D" w:rsidP="000E7CE5">
                  <w:pPr>
                    <w:spacing w:before="60"/>
                    <w:jc w:val="center"/>
                    <w:rPr>
                      <w:lang w:bidi="ta-IN"/>
                    </w:rPr>
                  </w:pPr>
                  <w:r w:rsidRPr="004E4188">
                    <w:rPr>
                      <w:lang w:bidi="ta-IN"/>
                    </w:rPr>
                    <w:t>etc.</w:t>
                  </w:r>
                </w:p>
              </w:tc>
              <w:tc>
                <w:tcPr>
                  <w:tcW w:w="2135" w:type="dxa"/>
                  <w:shd w:val="clear" w:color="auto" w:fill="auto"/>
                </w:tcPr>
                <w:p w14:paraId="71A40ABE" w14:textId="77777777" w:rsidR="006F129D" w:rsidRPr="004E4188" w:rsidRDefault="006F129D" w:rsidP="000E7CE5">
                  <w:pPr>
                    <w:spacing w:before="60"/>
                    <w:rPr>
                      <w:i/>
                      <w:lang w:bidi="ta-IN"/>
                    </w:rPr>
                  </w:pPr>
                </w:p>
              </w:tc>
              <w:tc>
                <w:tcPr>
                  <w:tcW w:w="4025" w:type="dxa"/>
                  <w:shd w:val="clear" w:color="auto" w:fill="auto"/>
                </w:tcPr>
                <w:p w14:paraId="3D3CFDA1" w14:textId="77777777" w:rsidR="006F129D" w:rsidRPr="004E4188" w:rsidRDefault="006F129D" w:rsidP="000E7CE5">
                  <w:pPr>
                    <w:spacing w:before="60"/>
                    <w:rPr>
                      <w:i/>
                      <w:lang w:bidi="ta-IN"/>
                    </w:rPr>
                  </w:pPr>
                </w:p>
              </w:tc>
            </w:tr>
          </w:tbl>
          <w:p w14:paraId="53895C9A" w14:textId="77777777" w:rsidR="006F129D" w:rsidRPr="004E4188" w:rsidRDefault="006F129D" w:rsidP="000E7CE5">
            <w:pPr>
              <w:pStyle w:val="a6"/>
              <w:tabs>
                <w:tab w:val="left" w:pos="397"/>
                <w:tab w:val="right" w:pos="7848"/>
              </w:tabs>
              <w:spacing w:before="60" w:after="60"/>
              <w:ind w:left="397" w:hanging="397"/>
              <w:rPr>
                <w:rFonts w:ascii="TimesNewRomanPSMT" w:hAnsi="TimesNewRomanPSMT" w:cs="TimesNewRomanPSMT"/>
                <w:iCs/>
                <w:szCs w:val="24"/>
                <w:lang w:eastAsia="ja-JP" w:bidi="ta-IN"/>
              </w:rPr>
            </w:pPr>
          </w:p>
          <w:p w14:paraId="57B253A4" w14:textId="77777777" w:rsidR="006F129D" w:rsidRPr="004E4188" w:rsidRDefault="006F129D" w:rsidP="000E7CE5">
            <w:pPr>
              <w:pStyle w:val="a6"/>
              <w:tabs>
                <w:tab w:val="left" w:pos="397"/>
                <w:tab w:val="right" w:pos="7848"/>
              </w:tabs>
              <w:spacing w:before="60" w:after="60"/>
              <w:ind w:left="397" w:hanging="397"/>
              <w:rPr>
                <w:rFonts w:ascii="TimesNewRomanPSMT" w:hAnsi="TimesNewRomanPSMT" w:cs="TimesNewRomanPSMT"/>
                <w:iCs/>
                <w:szCs w:val="24"/>
                <w:lang w:eastAsia="ja-JP" w:bidi="ta-IN"/>
              </w:rPr>
            </w:pPr>
            <w:r w:rsidRPr="004E4188">
              <w:rPr>
                <w:rFonts w:ascii="TimesNewRomanPSMT" w:hAnsi="TimesNewRomanPSMT" w:cs="TimesNewRomanPSMT"/>
                <w:iCs/>
                <w:szCs w:val="24"/>
                <w:lang w:eastAsia="ja-JP" w:bidi="ta-IN"/>
              </w:rPr>
              <w:t>(b)</w:t>
            </w:r>
            <w:r w:rsidRPr="004E4188">
              <w:t xml:space="preserve"> </w:t>
            </w:r>
            <w:r w:rsidRPr="004E4188">
              <w:tab/>
            </w:r>
            <w:r w:rsidRPr="004E4188">
              <w:rPr>
                <w:rFonts w:ascii="TimesNewRomanPSMT" w:hAnsi="TimesNewRomanPSMT" w:cs="TimesNewRomanPSMT"/>
                <w:iCs/>
                <w:szCs w:val="24"/>
                <w:lang w:eastAsia="ja-JP" w:bidi="ta-IN"/>
              </w:rPr>
              <w:t>l</w:t>
            </w:r>
            <w:r w:rsidRPr="004E4188">
              <w:rPr>
                <w:szCs w:val="24"/>
              </w:rPr>
              <w:t>es droits, taxes et autres prélèvements suivants doivent être payés par le Maître d’ouvrage pour le compte de l’Entrepreneur </w:t>
            </w:r>
            <w:r w:rsidRPr="004E4188">
              <w:rPr>
                <w:rFonts w:ascii="TimesNewRomanPSMT" w:hAnsi="TimesNewRomanPSMT" w:cs="TimesNewRomanPSMT"/>
                <w:iCs/>
                <w:szCs w:val="24"/>
                <w:lang w:eastAsia="ja-JP" w:bidi="ta-IN"/>
              </w:rPr>
              <w:t>:</w:t>
            </w:r>
          </w:p>
          <w:p w14:paraId="6F3F904B" w14:textId="77777777" w:rsidR="006F129D" w:rsidRPr="004E4188" w:rsidDel="00BF684A" w:rsidRDefault="006F129D" w:rsidP="000E7CE5">
            <w:pPr>
              <w:tabs>
                <w:tab w:val="right" w:pos="7254"/>
              </w:tabs>
              <w:spacing w:before="60" w:afterLines="50" w:after="120"/>
              <w:ind w:leftChars="180" w:left="432"/>
              <w:rPr>
                <w:szCs w:val="24"/>
              </w:rPr>
            </w:pPr>
            <w:r w:rsidRPr="004E4188">
              <w:rPr>
                <w:rFonts w:ascii="TimesNewRomanPSMT" w:hAnsi="TimesNewRomanPSMT" w:cs="TimesNewRomanPSMT"/>
                <w:iCs/>
                <w:szCs w:val="24"/>
                <w:lang w:eastAsia="ja-JP" w:bidi="ta-IN"/>
              </w:rPr>
              <w:tab/>
              <w:t>[</w:t>
            </w:r>
            <w:r w:rsidRPr="004E4188">
              <w:rPr>
                <w:bCs/>
                <w:i/>
                <w:szCs w:val="24"/>
              </w:rPr>
              <w:t xml:space="preserve">Indiquer </w:t>
            </w:r>
            <w:r w:rsidRPr="004E4188">
              <w:rPr>
                <w:bCs/>
                <w:i/>
                <w:iCs/>
                <w:szCs w:val="24"/>
              </w:rPr>
              <w:t xml:space="preserve">les droits, </w:t>
            </w:r>
            <w:r w:rsidRPr="004E4188">
              <w:rPr>
                <w:i/>
                <w:szCs w:val="24"/>
              </w:rPr>
              <w:t>taxes et prélèvements qui doivent être payés par le Maître d’ouvrage pour le compte de l’Entrepreneur.</w:t>
            </w:r>
            <w:r w:rsidRPr="004E4188">
              <w:rPr>
                <w:rFonts w:ascii="TimesNewRomanPSMT" w:hAnsi="TimesNewRomanPSMT" w:cs="TimesNewRomanPSMT"/>
                <w:iCs/>
                <w:szCs w:val="24"/>
                <w:lang w:eastAsia="ja-JP" w:bidi="ta-IN"/>
              </w:rPr>
              <w:t>]</w:t>
            </w:r>
          </w:p>
        </w:tc>
      </w:tr>
      <w:tr w:rsidR="006F129D" w:rsidRPr="004E4188" w:rsidDel="00BF684A" w14:paraId="09AEED37" w14:textId="77777777" w:rsidTr="00D45EAD">
        <w:tc>
          <w:tcPr>
            <w:tcW w:w="1320" w:type="dxa"/>
            <w:tcBorders>
              <w:top w:val="single" w:sz="8" w:space="0" w:color="000000"/>
              <w:bottom w:val="single" w:sz="12" w:space="0" w:color="000000"/>
              <w:right w:val="single" w:sz="8" w:space="0" w:color="000000"/>
            </w:tcBorders>
          </w:tcPr>
          <w:p w14:paraId="410753F9" w14:textId="77777777" w:rsidR="006F129D" w:rsidRPr="004E4188" w:rsidDel="00BF684A" w:rsidRDefault="006F129D" w:rsidP="000E7CE5">
            <w:pPr>
              <w:tabs>
                <w:tab w:val="right" w:pos="7434"/>
              </w:tabs>
              <w:spacing w:before="60" w:after="120"/>
              <w:rPr>
                <w:b/>
              </w:rPr>
            </w:pPr>
            <w:r w:rsidRPr="004E4188">
              <w:rPr>
                <w:b/>
              </w:rPr>
              <w:t>IS 14.10</w:t>
            </w:r>
          </w:p>
        </w:tc>
        <w:tc>
          <w:tcPr>
            <w:tcW w:w="7680" w:type="dxa"/>
            <w:tcBorders>
              <w:top w:val="single" w:sz="8" w:space="0" w:color="000000"/>
              <w:left w:val="single" w:sz="8" w:space="0" w:color="000000"/>
              <w:bottom w:val="single" w:sz="12" w:space="0" w:color="000000"/>
            </w:tcBorders>
          </w:tcPr>
          <w:p w14:paraId="512D5E7C" w14:textId="513C6029" w:rsidR="006F129D" w:rsidRPr="004E4188" w:rsidRDefault="006F129D" w:rsidP="000E7CE5">
            <w:pPr>
              <w:pStyle w:val="explanatorynotes"/>
              <w:spacing w:before="60" w:after="0" w:line="240" w:lineRule="auto"/>
              <w:rPr>
                <w:rFonts w:ascii="Times New Roman" w:hAnsi="Times New Roman"/>
                <w:i/>
                <w:sz w:val="24"/>
                <w:szCs w:val="24"/>
                <w:lang w:val="fr-FR"/>
              </w:rPr>
            </w:pPr>
            <w:r w:rsidRPr="004E4188">
              <w:rPr>
                <w:rFonts w:ascii="Times New Roman" w:hAnsi="Times New Roman"/>
                <w:sz w:val="24"/>
                <w:szCs w:val="24"/>
                <w:lang w:val="fr-FR"/>
              </w:rPr>
              <w:t>[</w:t>
            </w:r>
            <w:r w:rsidRPr="004E4188">
              <w:rPr>
                <w:rFonts w:ascii="Times New Roman" w:hAnsi="Times New Roman"/>
                <w:bCs/>
                <w:i/>
                <w:iCs/>
                <w:sz w:val="24"/>
                <w:szCs w:val="24"/>
                <w:lang w:val="fr-FR"/>
              </w:rPr>
              <w:t>On distingue les sommes provisionnelles de nature spécifique et les provisions pour risque</w:t>
            </w:r>
            <w:r w:rsidRPr="004E4188">
              <w:rPr>
                <w:rFonts w:ascii="Times New Roman" w:hAnsi="Times New Roman"/>
                <w:i/>
                <w:sz w:val="24"/>
                <w:szCs w:val="24"/>
                <w:lang w:val="fr-FR"/>
              </w:rPr>
              <w:t>.</w:t>
            </w:r>
            <w:r w:rsidRPr="004E4188">
              <w:rPr>
                <w:rFonts w:ascii="Times New Roman" w:hAnsi="Times New Roman"/>
                <w:sz w:val="24"/>
                <w:szCs w:val="24"/>
                <w:lang w:val="fr-FR"/>
              </w:rPr>
              <w:t>]</w:t>
            </w:r>
          </w:p>
          <w:p w14:paraId="548E8B85" w14:textId="77777777" w:rsidR="006F129D" w:rsidRPr="004E4188" w:rsidRDefault="006F129D" w:rsidP="00D45EAD">
            <w:pPr>
              <w:pStyle w:val="a6"/>
              <w:tabs>
                <w:tab w:val="clear" w:pos="9000"/>
                <w:tab w:val="clear" w:pos="9360"/>
                <w:tab w:val="right" w:pos="7848"/>
              </w:tabs>
              <w:suppressAutoHyphens w:val="0"/>
              <w:spacing w:before="60" w:after="60"/>
              <w:rPr>
                <w:bCs/>
                <w:iCs/>
                <w:szCs w:val="24"/>
              </w:rPr>
            </w:pPr>
            <w:r w:rsidRPr="004E4188">
              <w:rPr>
                <w:bCs/>
                <w:iCs/>
                <w:szCs w:val="24"/>
              </w:rPr>
              <w:t>L</w:t>
            </w:r>
            <w:r w:rsidRPr="004E4188">
              <w:rPr>
                <w:iCs/>
                <w:szCs w:val="24"/>
                <w:lang w:eastAsia="ja-JP"/>
              </w:rPr>
              <w:t>e</w:t>
            </w:r>
            <w:r w:rsidRPr="004E4188">
              <w:rPr>
                <w:rFonts w:hint="eastAsia"/>
                <w:iCs/>
                <w:szCs w:val="24"/>
                <w:lang w:eastAsia="ja-JP"/>
              </w:rPr>
              <w:t>s</w:t>
            </w:r>
            <w:r w:rsidRPr="004E4188">
              <w:rPr>
                <w:iCs/>
                <w:szCs w:val="24"/>
                <w:lang w:eastAsia="ja-JP"/>
              </w:rPr>
              <w:t xml:space="preserve"> montants et les monnaies des sommes provisionnelles de nature spécifique seront</w:t>
            </w:r>
            <w:r w:rsidRPr="004E4188">
              <w:rPr>
                <w:rFonts w:hint="eastAsia"/>
                <w:iCs/>
                <w:szCs w:val="24"/>
                <w:lang w:eastAsia="ja-JP"/>
              </w:rPr>
              <w:t xml:space="preserve"> les suivants</w:t>
            </w:r>
            <w:r w:rsidRPr="004E4188">
              <w:rPr>
                <w:iCs/>
                <w:szCs w:val="24"/>
                <w:lang w:eastAsia="ja-JP"/>
              </w:rPr>
              <w:t> </w:t>
            </w:r>
            <w:r w:rsidRPr="004E4188">
              <w:rPr>
                <w:bCs/>
                <w:iCs/>
                <w:szCs w:val="24"/>
              </w:rPr>
              <w:t>:</w:t>
            </w:r>
          </w:p>
          <w:p w14:paraId="7B8B4A4D" w14:textId="77777777" w:rsidR="006F129D" w:rsidRPr="004E4188" w:rsidRDefault="006F129D" w:rsidP="00D45EAD">
            <w:pPr>
              <w:rPr>
                <w:szCs w:val="24"/>
              </w:rPr>
            </w:pPr>
            <w:r w:rsidRPr="004E4188">
              <w:rPr>
                <w:szCs w:val="24"/>
              </w:rPr>
              <w:t>[</w:t>
            </w:r>
            <w:r w:rsidRPr="004E4188">
              <w:rPr>
                <w:i/>
                <w:iCs/>
                <w:szCs w:val="24"/>
                <w:lang w:eastAsia="ja-JP"/>
              </w:rPr>
              <w:t>Le Maître d’ouvrage doit indiquer dans le tableau ci-dessous, le n</w:t>
            </w:r>
            <w:r w:rsidRPr="004E4188">
              <w:rPr>
                <w:i/>
                <w:iCs/>
                <w:szCs w:val="24"/>
                <w:vertAlign w:val="superscript"/>
                <w:lang w:eastAsia="ja-JP"/>
              </w:rPr>
              <w:t>o</w:t>
            </w:r>
            <w:r w:rsidRPr="004E4188">
              <w:rPr>
                <w:i/>
                <w:iCs/>
                <w:szCs w:val="24"/>
                <w:lang w:eastAsia="ja-JP"/>
              </w:rPr>
              <w:t xml:space="preserve"> de poste, la description et les parts en monnaie nationale et en monnaie(s) étrangère(s) du montant pour chacune des sommes provisionnelles spécifiées dans le Bordereau des sommes provisionnelles de nature spécifique des Bordereaux des prix</w:t>
            </w:r>
            <w:r w:rsidRPr="004E4188">
              <w:rPr>
                <w:i/>
                <w:szCs w:val="24"/>
              </w:rPr>
              <w:t>.</w:t>
            </w:r>
            <w:r w:rsidRPr="004E4188">
              <w:rPr>
                <w:szCs w:val="24"/>
              </w:rPr>
              <w:t>]</w:t>
            </w:r>
          </w:p>
          <w:p w14:paraId="29AE55C6" w14:textId="77777777" w:rsidR="006F129D" w:rsidRPr="004E4188" w:rsidRDefault="006F129D" w:rsidP="00D45EAD">
            <w:pPr>
              <w:rPr>
                <w:szCs w:val="24"/>
              </w:rPr>
            </w:pPr>
          </w:p>
          <w:tbl>
            <w:tblPr>
              <w:tblW w:w="7163" w:type="dxa"/>
              <w:tblLayout w:type="fixed"/>
              <w:tblLook w:val="0000" w:firstRow="0" w:lastRow="0" w:firstColumn="0" w:lastColumn="0" w:noHBand="0" w:noVBand="0"/>
            </w:tblPr>
            <w:tblGrid>
              <w:gridCol w:w="812"/>
              <w:gridCol w:w="3630"/>
              <w:gridCol w:w="1276"/>
              <w:gridCol w:w="1445"/>
            </w:tblGrid>
            <w:tr w:rsidR="006F129D" w:rsidRPr="004E4188" w14:paraId="6F6D01A3" w14:textId="77777777" w:rsidTr="00D45EAD">
              <w:tc>
                <w:tcPr>
                  <w:tcW w:w="812" w:type="dxa"/>
                  <w:vMerge w:val="restart"/>
                  <w:tcBorders>
                    <w:top w:val="single" w:sz="4" w:space="0" w:color="auto"/>
                    <w:left w:val="single" w:sz="4" w:space="0" w:color="auto"/>
                    <w:bottom w:val="single" w:sz="4" w:space="0" w:color="auto"/>
                    <w:right w:val="single" w:sz="4" w:space="0" w:color="auto"/>
                  </w:tcBorders>
                </w:tcPr>
                <w:p w14:paraId="201D52B1" w14:textId="77777777" w:rsidR="006F129D" w:rsidRPr="004E4188" w:rsidRDefault="006F129D" w:rsidP="00D45EAD">
                  <w:pPr>
                    <w:spacing w:before="60" w:after="60"/>
                    <w:jc w:val="center"/>
                    <w:rPr>
                      <w:iCs/>
                      <w:szCs w:val="24"/>
                      <w:lang w:eastAsia="ja-JP"/>
                    </w:rPr>
                  </w:pPr>
                  <w:r w:rsidRPr="004E4188">
                    <w:rPr>
                      <w:rFonts w:hint="eastAsia"/>
                      <w:iCs/>
                      <w:szCs w:val="24"/>
                      <w:lang w:eastAsia="ja-JP"/>
                    </w:rPr>
                    <w:t>n</w:t>
                  </w:r>
                  <w:r w:rsidRPr="004E4188">
                    <w:rPr>
                      <w:iCs/>
                      <w:szCs w:val="24"/>
                      <w:vertAlign w:val="superscript"/>
                      <w:lang w:eastAsia="ja-JP"/>
                    </w:rPr>
                    <w:t>o</w:t>
                  </w:r>
                </w:p>
                <w:p w14:paraId="1FFA07E6" w14:textId="77777777" w:rsidR="006F129D" w:rsidRPr="004E4188" w:rsidRDefault="006F129D" w:rsidP="00D45EAD">
                  <w:pPr>
                    <w:jc w:val="center"/>
                    <w:rPr>
                      <w:szCs w:val="24"/>
                      <w:lang w:eastAsia="ja-JP"/>
                    </w:rPr>
                  </w:pPr>
                  <w:r w:rsidRPr="004E4188">
                    <w:rPr>
                      <w:iCs/>
                      <w:szCs w:val="24"/>
                      <w:lang w:eastAsia="ja-JP"/>
                    </w:rPr>
                    <w:t>Poste</w:t>
                  </w:r>
                </w:p>
              </w:tc>
              <w:tc>
                <w:tcPr>
                  <w:tcW w:w="3630" w:type="dxa"/>
                  <w:vMerge w:val="restart"/>
                  <w:tcBorders>
                    <w:top w:val="single" w:sz="4" w:space="0" w:color="auto"/>
                    <w:left w:val="single" w:sz="4" w:space="0" w:color="auto"/>
                    <w:bottom w:val="single" w:sz="4" w:space="0" w:color="auto"/>
                    <w:right w:val="single" w:sz="4" w:space="0" w:color="auto"/>
                  </w:tcBorders>
                </w:tcPr>
                <w:p w14:paraId="560DD3DA" w14:textId="77777777" w:rsidR="006F129D" w:rsidRPr="004E4188" w:rsidRDefault="006F129D" w:rsidP="00D45EAD">
                  <w:pPr>
                    <w:jc w:val="center"/>
                    <w:rPr>
                      <w:szCs w:val="24"/>
                    </w:rPr>
                  </w:pPr>
                  <w:r w:rsidRPr="004E4188">
                    <w:rPr>
                      <w:szCs w:val="24"/>
                    </w:rPr>
                    <w:t>Description</w:t>
                  </w:r>
                </w:p>
              </w:tc>
              <w:tc>
                <w:tcPr>
                  <w:tcW w:w="2721" w:type="dxa"/>
                  <w:gridSpan w:val="2"/>
                  <w:tcBorders>
                    <w:top w:val="single" w:sz="4" w:space="0" w:color="auto"/>
                    <w:left w:val="single" w:sz="4" w:space="0" w:color="auto"/>
                    <w:bottom w:val="single" w:sz="4" w:space="0" w:color="auto"/>
                    <w:right w:val="single" w:sz="4" w:space="0" w:color="auto"/>
                  </w:tcBorders>
                </w:tcPr>
                <w:p w14:paraId="6B852F1B" w14:textId="77777777" w:rsidR="006F129D" w:rsidRPr="004E4188" w:rsidRDefault="006F129D" w:rsidP="00D45EAD">
                  <w:pPr>
                    <w:jc w:val="center"/>
                    <w:rPr>
                      <w:szCs w:val="24"/>
                    </w:rPr>
                  </w:pPr>
                  <w:r w:rsidRPr="004E4188">
                    <w:rPr>
                      <w:rFonts w:hint="eastAsia"/>
                      <w:iCs/>
                      <w:szCs w:val="24"/>
                      <w:lang w:eastAsia="ja-JP"/>
                    </w:rPr>
                    <w:t>Montant</w:t>
                  </w:r>
                </w:p>
              </w:tc>
            </w:tr>
            <w:tr w:rsidR="006F129D" w:rsidRPr="004E4188" w14:paraId="2C889308" w14:textId="77777777" w:rsidTr="00D45EAD">
              <w:trPr>
                <w:trHeight w:val="27"/>
              </w:trPr>
              <w:tc>
                <w:tcPr>
                  <w:tcW w:w="812" w:type="dxa"/>
                  <w:vMerge/>
                  <w:tcBorders>
                    <w:top w:val="single" w:sz="4" w:space="0" w:color="auto"/>
                    <w:left w:val="single" w:sz="4" w:space="0" w:color="auto"/>
                    <w:bottom w:val="single" w:sz="4" w:space="0" w:color="auto"/>
                    <w:right w:val="single" w:sz="4" w:space="0" w:color="auto"/>
                  </w:tcBorders>
                </w:tcPr>
                <w:p w14:paraId="43E4BA88" w14:textId="77777777" w:rsidR="006F129D" w:rsidRPr="004E4188" w:rsidRDefault="006F129D" w:rsidP="00D45EAD">
                  <w:pPr>
                    <w:jc w:val="center"/>
                    <w:rPr>
                      <w:szCs w:val="24"/>
                    </w:rPr>
                  </w:pPr>
                </w:p>
              </w:tc>
              <w:tc>
                <w:tcPr>
                  <w:tcW w:w="3630" w:type="dxa"/>
                  <w:vMerge/>
                  <w:tcBorders>
                    <w:top w:val="single" w:sz="4" w:space="0" w:color="auto"/>
                    <w:left w:val="single" w:sz="4" w:space="0" w:color="auto"/>
                    <w:bottom w:val="single" w:sz="4" w:space="0" w:color="auto"/>
                    <w:right w:val="single" w:sz="4" w:space="0" w:color="auto"/>
                  </w:tcBorders>
                </w:tcPr>
                <w:p w14:paraId="38D4D809" w14:textId="77777777" w:rsidR="006F129D" w:rsidRPr="004E4188" w:rsidRDefault="006F129D" w:rsidP="00D45EAD">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5870A8EF" w14:textId="77777777" w:rsidR="006F129D" w:rsidRPr="004E4188" w:rsidRDefault="006F129D" w:rsidP="00D45EAD">
                  <w:pPr>
                    <w:jc w:val="center"/>
                    <w:rPr>
                      <w:szCs w:val="24"/>
                      <w:lang w:eastAsia="ja-JP"/>
                    </w:rPr>
                  </w:pPr>
                  <w:r w:rsidRPr="004E4188">
                    <w:rPr>
                      <w:rFonts w:hint="eastAsia"/>
                      <w:iCs/>
                      <w:szCs w:val="24"/>
                      <w:lang w:eastAsia="ja-JP"/>
                    </w:rPr>
                    <w:t>Monnaie nationale</w:t>
                  </w:r>
                </w:p>
              </w:tc>
              <w:tc>
                <w:tcPr>
                  <w:tcW w:w="1445" w:type="dxa"/>
                  <w:tcBorders>
                    <w:top w:val="single" w:sz="4" w:space="0" w:color="auto"/>
                    <w:left w:val="single" w:sz="4" w:space="0" w:color="auto"/>
                    <w:bottom w:val="single" w:sz="4" w:space="0" w:color="auto"/>
                    <w:right w:val="single" w:sz="4" w:space="0" w:color="auto"/>
                  </w:tcBorders>
                </w:tcPr>
                <w:p w14:paraId="750DC697" w14:textId="77777777" w:rsidR="006F129D" w:rsidRPr="004E4188" w:rsidRDefault="006F129D" w:rsidP="00D45EAD">
                  <w:pPr>
                    <w:jc w:val="center"/>
                    <w:rPr>
                      <w:szCs w:val="24"/>
                      <w:lang w:eastAsia="ja-JP"/>
                    </w:rPr>
                  </w:pPr>
                  <w:r w:rsidRPr="004E4188">
                    <w:rPr>
                      <w:rFonts w:hint="eastAsia"/>
                      <w:iCs/>
                      <w:szCs w:val="24"/>
                      <w:lang w:eastAsia="ja-JP"/>
                    </w:rPr>
                    <w:t>Monnaie(s) étrangère(s)</w:t>
                  </w:r>
                </w:p>
              </w:tc>
            </w:tr>
            <w:tr w:rsidR="006F129D" w:rsidRPr="004E4188" w14:paraId="693823CD" w14:textId="77777777" w:rsidTr="00D45EAD">
              <w:tc>
                <w:tcPr>
                  <w:tcW w:w="812" w:type="dxa"/>
                  <w:tcBorders>
                    <w:top w:val="single" w:sz="4" w:space="0" w:color="auto"/>
                    <w:left w:val="single" w:sz="4" w:space="0" w:color="auto"/>
                    <w:bottom w:val="single" w:sz="4" w:space="0" w:color="auto"/>
                    <w:right w:val="single" w:sz="4" w:space="0" w:color="auto"/>
                  </w:tcBorders>
                </w:tcPr>
                <w:p w14:paraId="0E7D5D45" w14:textId="77777777" w:rsidR="006F129D" w:rsidRPr="004E4188" w:rsidRDefault="006F129D" w:rsidP="00D45EAD">
                  <w:pPr>
                    <w:jc w:val="center"/>
                    <w:rPr>
                      <w:szCs w:val="24"/>
                    </w:rPr>
                  </w:pPr>
                  <w:r w:rsidRPr="004E4188">
                    <w:rPr>
                      <w:szCs w:val="24"/>
                    </w:rPr>
                    <w:t>1</w:t>
                  </w:r>
                </w:p>
              </w:tc>
              <w:tc>
                <w:tcPr>
                  <w:tcW w:w="3630" w:type="dxa"/>
                  <w:tcBorders>
                    <w:top w:val="single" w:sz="4" w:space="0" w:color="auto"/>
                    <w:left w:val="single" w:sz="4" w:space="0" w:color="auto"/>
                    <w:bottom w:val="single" w:sz="4" w:space="0" w:color="auto"/>
                    <w:right w:val="single" w:sz="4" w:space="0" w:color="auto"/>
                  </w:tcBorders>
                </w:tcPr>
                <w:p w14:paraId="7A6FDEDA" w14:textId="77777777" w:rsidR="006F129D" w:rsidRPr="004E4188" w:rsidRDefault="006F129D" w:rsidP="00D45EAD">
                  <w:pPr>
                    <w:jc w:val="left"/>
                    <w:rPr>
                      <w:szCs w:val="24"/>
                    </w:rPr>
                  </w:pPr>
                </w:p>
              </w:tc>
              <w:tc>
                <w:tcPr>
                  <w:tcW w:w="1276" w:type="dxa"/>
                  <w:tcBorders>
                    <w:top w:val="single" w:sz="4" w:space="0" w:color="auto"/>
                    <w:left w:val="single" w:sz="4" w:space="0" w:color="auto"/>
                    <w:bottom w:val="single" w:sz="4" w:space="0" w:color="auto"/>
                    <w:right w:val="single" w:sz="4" w:space="0" w:color="auto"/>
                  </w:tcBorders>
                </w:tcPr>
                <w:p w14:paraId="30C559A4" w14:textId="77777777" w:rsidR="006F129D" w:rsidRPr="004E4188" w:rsidRDefault="006F129D" w:rsidP="00D45EAD">
                  <w:pPr>
                    <w:tabs>
                      <w:tab w:val="decimal" w:pos="1050"/>
                    </w:tabs>
                    <w:jc w:val="left"/>
                    <w:rPr>
                      <w:szCs w:val="24"/>
                    </w:rPr>
                  </w:pPr>
                </w:p>
              </w:tc>
              <w:tc>
                <w:tcPr>
                  <w:tcW w:w="1445" w:type="dxa"/>
                  <w:tcBorders>
                    <w:top w:val="single" w:sz="4" w:space="0" w:color="auto"/>
                    <w:left w:val="single" w:sz="4" w:space="0" w:color="auto"/>
                    <w:bottom w:val="single" w:sz="4" w:space="0" w:color="auto"/>
                    <w:right w:val="single" w:sz="4" w:space="0" w:color="auto"/>
                  </w:tcBorders>
                </w:tcPr>
                <w:p w14:paraId="1E0CB994" w14:textId="77777777" w:rsidR="006F129D" w:rsidRPr="004E4188" w:rsidRDefault="006F129D" w:rsidP="00D45EAD">
                  <w:pPr>
                    <w:tabs>
                      <w:tab w:val="decimal" w:pos="1050"/>
                    </w:tabs>
                    <w:jc w:val="left"/>
                    <w:rPr>
                      <w:szCs w:val="24"/>
                    </w:rPr>
                  </w:pPr>
                </w:p>
              </w:tc>
            </w:tr>
            <w:tr w:rsidR="006F129D" w:rsidRPr="004E4188" w14:paraId="030F6279" w14:textId="77777777" w:rsidTr="00D45EAD">
              <w:tc>
                <w:tcPr>
                  <w:tcW w:w="812" w:type="dxa"/>
                  <w:tcBorders>
                    <w:top w:val="single" w:sz="4" w:space="0" w:color="auto"/>
                    <w:left w:val="single" w:sz="4" w:space="0" w:color="auto"/>
                    <w:bottom w:val="single" w:sz="4" w:space="0" w:color="auto"/>
                    <w:right w:val="single" w:sz="4" w:space="0" w:color="auto"/>
                  </w:tcBorders>
                </w:tcPr>
                <w:p w14:paraId="29C262CA" w14:textId="77777777" w:rsidR="006F129D" w:rsidRPr="004E4188" w:rsidRDefault="006F129D" w:rsidP="00D45EAD">
                  <w:pPr>
                    <w:jc w:val="center"/>
                    <w:rPr>
                      <w:szCs w:val="24"/>
                    </w:rPr>
                  </w:pPr>
                  <w:r w:rsidRPr="004E4188">
                    <w:rPr>
                      <w:szCs w:val="24"/>
                    </w:rPr>
                    <w:t>2</w:t>
                  </w:r>
                </w:p>
              </w:tc>
              <w:tc>
                <w:tcPr>
                  <w:tcW w:w="3630" w:type="dxa"/>
                  <w:tcBorders>
                    <w:top w:val="single" w:sz="4" w:space="0" w:color="auto"/>
                    <w:left w:val="single" w:sz="4" w:space="0" w:color="auto"/>
                    <w:bottom w:val="single" w:sz="4" w:space="0" w:color="auto"/>
                    <w:right w:val="single" w:sz="4" w:space="0" w:color="auto"/>
                  </w:tcBorders>
                </w:tcPr>
                <w:p w14:paraId="2154A7C4" w14:textId="77777777" w:rsidR="006F129D" w:rsidRPr="004E4188" w:rsidRDefault="006F129D" w:rsidP="00D45EAD">
                  <w:pPr>
                    <w:jc w:val="left"/>
                    <w:rPr>
                      <w:szCs w:val="24"/>
                    </w:rPr>
                  </w:pPr>
                </w:p>
              </w:tc>
              <w:tc>
                <w:tcPr>
                  <w:tcW w:w="1276" w:type="dxa"/>
                  <w:tcBorders>
                    <w:top w:val="single" w:sz="4" w:space="0" w:color="auto"/>
                    <w:left w:val="single" w:sz="4" w:space="0" w:color="auto"/>
                    <w:bottom w:val="single" w:sz="4" w:space="0" w:color="auto"/>
                    <w:right w:val="single" w:sz="4" w:space="0" w:color="auto"/>
                  </w:tcBorders>
                </w:tcPr>
                <w:p w14:paraId="47B4CF83" w14:textId="77777777" w:rsidR="006F129D" w:rsidRPr="004E4188" w:rsidRDefault="006F129D" w:rsidP="00D45EAD">
                  <w:pPr>
                    <w:tabs>
                      <w:tab w:val="decimal" w:pos="1050"/>
                    </w:tabs>
                    <w:jc w:val="left"/>
                    <w:rPr>
                      <w:szCs w:val="24"/>
                    </w:rPr>
                  </w:pPr>
                </w:p>
              </w:tc>
              <w:tc>
                <w:tcPr>
                  <w:tcW w:w="1445" w:type="dxa"/>
                  <w:tcBorders>
                    <w:top w:val="single" w:sz="4" w:space="0" w:color="auto"/>
                    <w:left w:val="single" w:sz="4" w:space="0" w:color="auto"/>
                    <w:bottom w:val="single" w:sz="4" w:space="0" w:color="auto"/>
                    <w:right w:val="single" w:sz="4" w:space="0" w:color="auto"/>
                  </w:tcBorders>
                </w:tcPr>
                <w:p w14:paraId="7E89AF1A" w14:textId="77777777" w:rsidR="006F129D" w:rsidRPr="004E4188" w:rsidRDefault="006F129D" w:rsidP="00D45EAD">
                  <w:pPr>
                    <w:tabs>
                      <w:tab w:val="decimal" w:pos="1050"/>
                    </w:tabs>
                    <w:jc w:val="left"/>
                    <w:rPr>
                      <w:szCs w:val="24"/>
                    </w:rPr>
                  </w:pPr>
                </w:p>
              </w:tc>
            </w:tr>
            <w:tr w:rsidR="006F129D" w:rsidRPr="004E4188" w14:paraId="3CC18476" w14:textId="77777777" w:rsidTr="00D45EAD">
              <w:tc>
                <w:tcPr>
                  <w:tcW w:w="812" w:type="dxa"/>
                  <w:tcBorders>
                    <w:top w:val="single" w:sz="4" w:space="0" w:color="auto"/>
                    <w:left w:val="single" w:sz="4" w:space="0" w:color="auto"/>
                    <w:bottom w:val="single" w:sz="4" w:space="0" w:color="auto"/>
                    <w:right w:val="single" w:sz="4" w:space="0" w:color="auto"/>
                  </w:tcBorders>
                </w:tcPr>
                <w:p w14:paraId="00417056" w14:textId="77777777" w:rsidR="006F129D" w:rsidRPr="004E4188" w:rsidRDefault="006F129D" w:rsidP="00D45EAD">
                  <w:pPr>
                    <w:jc w:val="center"/>
                    <w:rPr>
                      <w:szCs w:val="24"/>
                    </w:rPr>
                  </w:pPr>
                  <w:r w:rsidRPr="004E4188">
                    <w:rPr>
                      <w:szCs w:val="24"/>
                    </w:rPr>
                    <w:t>3</w:t>
                  </w:r>
                </w:p>
              </w:tc>
              <w:tc>
                <w:tcPr>
                  <w:tcW w:w="3630" w:type="dxa"/>
                  <w:tcBorders>
                    <w:top w:val="single" w:sz="4" w:space="0" w:color="auto"/>
                    <w:left w:val="single" w:sz="4" w:space="0" w:color="auto"/>
                    <w:bottom w:val="single" w:sz="4" w:space="0" w:color="auto"/>
                    <w:right w:val="single" w:sz="4" w:space="0" w:color="auto"/>
                  </w:tcBorders>
                </w:tcPr>
                <w:p w14:paraId="697F4572" w14:textId="77777777" w:rsidR="006F129D" w:rsidRPr="004E4188" w:rsidRDefault="006F129D" w:rsidP="00D45EAD">
                  <w:pPr>
                    <w:jc w:val="left"/>
                    <w:rPr>
                      <w:szCs w:val="24"/>
                    </w:rPr>
                  </w:pPr>
                </w:p>
              </w:tc>
              <w:tc>
                <w:tcPr>
                  <w:tcW w:w="1276" w:type="dxa"/>
                  <w:tcBorders>
                    <w:top w:val="single" w:sz="4" w:space="0" w:color="auto"/>
                    <w:left w:val="single" w:sz="4" w:space="0" w:color="auto"/>
                    <w:bottom w:val="single" w:sz="4" w:space="0" w:color="auto"/>
                    <w:right w:val="single" w:sz="4" w:space="0" w:color="auto"/>
                  </w:tcBorders>
                </w:tcPr>
                <w:p w14:paraId="52980BB6" w14:textId="77777777" w:rsidR="006F129D" w:rsidRPr="004E4188" w:rsidRDefault="006F129D" w:rsidP="00D45EAD">
                  <w:pPr>
                    <w:tabs>
                      <w:tab w:val="decimal" w:pos="1050"/>
                    </w:tabs>
                    <w:jc w:val="left"/>
                    <w:rPr>
                      <w:szCs w:val="24"/>
                    </w:rPr>
                  </w:pPr>
                </w:p>
              </w:tc>
              <w:tc>
                <w:tcPr>
                  <w:tcW w:w="1445" w:type="dxa"/>
                  <w:tcBorders>
                    <w:top w:val="single" w:sz="4" w:space="0" w:color="auto"/>
                    <w:left w:val="single" w:sz="4" w:space="0" w:color="auto"/>
                    <w:bottom w:val="single" w:sz="4" w:space="0" w:color="auto"/>
                    <w:right w:val="single" w:sz="4" w:space="0" w:color="auto"/>
                  </w:tcBorders>
                </w:tcPr>
                <w:p w14:paraId="2E0624E1" w14:textId="77777777" w:rsidR="006F129D" w:rsidRPr="004E4188" w:rsidRDefault="006F129D" w:rsidP="00D45EAD">
                  <w:pPr>
                    <w:tabs>
                      <w:tab w:val="decimal" w:pos="1050"/>
                    </w:tabs>
                    <w:jc w:val="left"/>
                    <w:rPr>
                      <w:szCs w:val="24"/>
                    </w:rPr>
                  </w:pPr>
                </w:p>
              </w:tc>
            </w:tr>
            <w:tr w:rsidR="006F129D" w:rsidRPr="004E4188" w14:paraId="70436A5F" w14:textId="77777777" w:rsidTr="00D45EAD">
              <w:tc>
                <w:tcPr>
                  <w:tcW w:w="812" w:type="dxa"/>
                  <w:tcBorders>
                    <w:top w:val="single" w:sz="4" w:space="0" w:color="auto"/>
                    <w:left w:val="single" w:sz="4" w:space="0" w:color="auto"/>
                    <w:bottom w:val="single" w:sz="4" w:space="0" w:color="auto"/>
                    <w:right w:val="single" w:sz="4" w:space="0" w:color="auto"/>
                  </w:tcBorders>
                </w:tcPr>
                <w:p w14:paraId="67036999" w14:textId="77777777" w:rsidR="006F129D" w:rsidRPr="004E4188" w:rsidRDefault="006F129D" w:rsidP="00D45EAD">
                  <w:pPr>
                    <w:jc w:val="center"/>
                    <w:rPr>
                      <w:szCs w:val="24"/>
                    </w:rPr>
                  </w:pPr>
                  <w:r w:rsidRPr="004E4188">
                    <w:rPr>
                      <w:szCs w:val="24"/>
                    </w:rPr>
                    <w:t>etc.</w:t>
                  </w:r>
                </w:p>
              </w:tc>
              <w:tc>
                <w:tcPr>
                  <w:tcW w:w="3630" w:type="dxa"/>
                  <w:tcBorders>
                    <w:top w:val="single" w:sz="4" w:space="0" w:color="auto"/>
                    <w:left w:val="single" w:sz="4" w:space="0" w:color="auto"/>
                    <w:bottom w:val="single" w:sz="4" w:space="0" w:color="auto"/>
                    <w:right w:val="single" w:sz="4" w:space="0" w:color="auto"/>
                  </w:tcBorders>
                </w:tcPr>
                <w:p w14:paraId="08F6FE68" w14:textId="77777777" w:rsidR="006F129D" w:rsidRPr="004E4188" w:rsidRDefault="006F129D" w:rsidP="00D45EAD">
                  <w:pPr>
                    <w:jc w:val="left"/>
                    <w:rPr>
                      <w:szCs w:val="24"/>
                    </w:rPr>
                  </w:pPr>
                </w:p>
              </w:tc>
              <w:tc>
                <w:tcPr>
                  <w:tcW w:w="1276" w:type="dxa"/>
                  <w:tcBorders>
                    <w:top w:val="single" w:sz="4" w:space="0" w:color="auto"/>
                    <w:left w:val="single" w:sz="4" w:space="0" w:color="auto"/>
                    <w:bottom w:val="single" w:sz="4" w:space="0" w:color="auto"/>
                    <w:right w:val="single" w:sz="4" w:space="0" w:color="auto"/>
                  </w:tcBorders>
                </w:tcPr>
                <w:p w14:paraId="068A9DDF" w14:textId="77777777" w:rsidR="006F129D" w:rsidRPr="004E4188" w:rsidRDefault="006F129D" w:rsidP="00D45EAD">
                  <w:pPr>
                    <w:tabs>
                      <w:tab w:val="decimal" w:pos="1050"/>
                    </w:tabs>
                    <w:jc w:val="left"/>
                    <w:rPr>
                      <w:szCs w:val="24"/>
                    </w:rPr>
                  </w:pPr>
                </w:p>
              </w:tc>
              <w:tc>
                <w:tcPr>
                  <w:tcW w:w="1445" w:type="dxa"/>
                  <w:tcBorders>
                    <w:top w:val="single" w:sz="4" w:space="0" w:color="auto"/>
                    <w:left w:val="single" w:sz="4" w:space="0" w:color="auto"/>
                    <w:bottom w:val="single" w:sz="4" w:space="0" w:color="auto"/>
                    <w:right w:val="single" w:sz="4" w:space="0" w:color="auto"/>
                  </w:tcBorders>
                </w:tcPr>
                <w:p w14:paraId="0ED72F6F" w14:textId="77777777" w:rsidR="006F129D" w:rsidRPr="004E4188" w:rsidRDefault="006F129D" w:rsidP="00D45EAD">
                  <w:pPr>
                    <w:tabs>
                      <w:tab w:val="decimal" w:pos="1050"/>
                    </w:tabs>
                    <w:jc w:val="left"/>
                    <w:rPr>
                      <w:szCs w:val="24"/>
                    </w:rPr>
                  </w:pPr>
                </w:p>
              </w:tc>
            </w:tr>
            <w:tr w:rsidR="006F129D" w:rsidRPr="004E4188" w14:paraId="08C613D9" w14:textId="77777777" w:rsidTr="00D45EAD">
              <w:tc>
                <w:tcPr>
                  <w:tcW w:w="4442" w:type="dxa"/>
                  <w:gridSpan w:val="2"/>
                  <w:tcBorders>
                    <w:top w:val="single" w:sz="4" w:space="0" w:color="auto"/>
                    <w:left w:val="single" w:sz="4" w:space="0" w:color="auto"/>
                    <w:bottom w:val="single" w:sz="4" w:space="0" w:color="auto"/>
                    <w:right w:val="single" w:sz="4" w:space="0" w:color="auto"/>
                  </w:tcBorders>
                </w:tcPr>
                <w:p w14:paraId="6554AF6D" w14:textId="77777777" w:rsidR="006F129D" w:rsidRPr="004E4188" w:rsidRDefault="006F129D" w:rsidP="00D45EAD">
                  <w:pPr>
                    <w:spacing w:before="60" w:after="60"/>
                    <w:jc w:val="center"/>
                    <w:rPr>
                      <w:iCs/>
                      <w:szCs w:val="24"/>
                      <w:lang w:eastAsia="ja-JP"/>
                    </w:rPr>
                  </w:pPr>
                  <w:r w:rsidRPr="004E4188">
                    <w:rPr>
                      <w:szCs w:val="24"/>
                    </w:rPr>
                    <w:t>Total</w:t>
                  </w:r>
                  <w:r w:rsidRPr="004E4188">
                    <w:rPr>
                      <w:rFonts w:hint="eastAsia"/>
                      <w:iCs/>
                      <w:szCs w:val="24"/>
                      <w:lang w:eastAsia="ja-JP"/>
                    </w:rPr>
                    <w:t xml:space="preserve"> des sommes provisionnelles</w:t>
                  </w:r>
                </w:p>
                <w:p w14:paraId="7CDADE9B" w14:textId="77777777" w:rsidR="006F129D" w:rsidRPr="004E4188" w:rsidRDefault="006F129D" w:rsidP="00D45EAD">
                  <w:pPr>
                    <w:jc w:val="center"/>
                    <w:rPr>
                      <w:szCs w:val="24"/>
                    </w:rPr>
                  </w:pPr>
                  <w:r w:rsidRPr="004E4188">
                    <w:rPr>
                      <w:iCs/>
                      <w:szCs w:val="24"/>
                      <w:lang w:eastAsia="ja-JP"/>
                    </w:rPr>
                    <w:t>de nature spécifique</w:t>
                  </w:r>
                </w:p>
              </w:tc>
              <w:tc>
                <w:tcPr>
                  <w:tcW w:w="1276" w:type="dxa"/>
                  <w:tcBorders>
                    <w:top w:val="single" w:sz="4" w:space="0" w:color="auto"/>
                    <w:left w:val="single" w:sz="4" w:space="0" w:color="auto"/>
                    <w:bottom w:val="single" w:sz="4" w:space="0" w:color="auto"/>
                    <w:right w:val="single" w:sz="4" w:space="0" w:color="auto"/>
                  </w:tcBorders>
                </w:tcPr>
                <w:p w14:paraId="739AE3BB" w14:textId="77777777" w:rsidR="006F129D" w:rsidRPr="004E4188" w:rsidRDefault="006F129D" w:rsidP="00D45EAD">
                  <w:pPr>
                    <w:tabs>
                      <w:tab w:val="decimal" w:pos="1050"/>
                    </w:tabs>
                    <w:jc w:val="left"/>
                    <w:rPr>
                      <w:szCs w:val="24"/>
                    </w:rPr>
                  </w:pPr>
                </w:p>
              </w:tc>
              <w:tc>
                <w:tcPr>
                  <w:tcW w:w="1445" w:type="dxa"/>
                  <w:tcBorders>
                    <w:top w:val="single" w:sz="4" w:space="0" w:color="auto"/>
                    <w:left w:val="single" w:sz="4" w:space="0" w:color="auto"/>
                    <w:bottom w:val="single" w:sz="4" w:space="0" w:color="auto"/>
                    <w:right w:val="single" w:sz="4" w:space="0" w:color="auto"/>
                  </w:tcBorders>
                </w:tcPr>
                <w:p w14:paraId="181F6DDA" w14:textId="77777777" w:rsidR="006F129D" w:rsidRPr="004E4188" w:rsidRDefault="006F129D" w:rsidP="00D45EAD">
                  <w:pPr>
                    <w:tabs>
                      <w:tab w:val="decimal" w:pos="1050"/>
                    </w:tabs>
                    <w:jc w:val="left"/>
                    <w:rPr>
                      <w:szCs w:val="24"/>
                    </w:rPr>
                  </w:pPr>
                </w:p>
              </w:tc>
            </w:tr>
          </w:tbl>
          <w:p w14:paraId="31F42288" w14:textId="77777777" w:rsidR="006F129D" w:rsidRPr="004E4188" w:rsidRDefault="006F129D" w:rsidP="00D45EAD">
            <w:pPr>
              <w:rPr>
                <w:szCs w:val="24"/>
              </w:rPr>
            </w:pPr>
            <w:r w:rsidRPr="004E4188">
              <w:rPr>
                <w:b/>
                <w:noProof/>
                <w:szCs w:val="24"/>
                <w:lang w:val="en-US" w:eastAsia="ja-JP"/>
              </w:rPr>
              <mc:AlternateContent>
                <mc:Choice Requires="wps">
                  <w:drawing>
                    <wp:anchor distT="0" distB="0" distL="114300" distR="114300" simplePos="0" relativeHeight="251661824" behindDoc="0" locked="0" layoutInCell="1" allowOverlap="1" wp14:anchorId="4C5661F7" wp14:editId="28F92C8E">
                      <wp:simplePos x="0" y="0"/>
                      <wp:positionH relativeFrom="column">
                        <wp:posOffset>-66675</wp:posOffset>
                      </wp:positionH>
                      <wp:positionV relativeFrom="paragraph">
                        <wp:posOffset>137160</wp:posOffset>
                      </wp:positionV>
                      <wp:extent cx="4855845" cy="11430"/>
                      <wp:effectExtent l="5715" t="12700" r="5715" b="1397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5845" cy="114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FE15A" id="_x0000_t32" coordsize="21600,21600" o:spt="32" o:oned="t" path="m,l21600,21600e" filled="f">
                      <v:path arrowok="t" fillok="f" o:connecttype="none"/>
                      <o:lock v:ext="edit" shapetype="t"/>
                    </v:shapetype>
                    <v:shape id="AutoShape 4" o:spid="_x0000_s1026" type="#_x0000_t32" style="position:absolute;left:0;text-align:left;margin-left:-5.25pt;margin-top:10.8pt;width:382.35pt;height:.9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" strokeweight=".25pt"/>
                  </w:pict>
                </mc:Fallback>
              </mc:AlternateContent>
            </w:r>
          </w:p>
          <w:p w14:paraId="7DDD85CE" w14:textId="77777777" w:rsidR="006F129D" w:rsidRPr="004E4188" w:rsidRDefault="006F129D" w:rsidP="00D45EAD">
            <w:pPr>
              <w:pStyle w:val="explanatorynotes"/>
              <w:spacing w:after="0" w:line="240" w:lineRule="auto"/>
              <w:rPr>
                <w:rFonts w:ascii="Times New Roman" w:hAnsi="Times New Roman"/>
                <w:sz w:val="24"/>
                <w:szCs w:val="24"/>
                <w:lang w:val="fr-FR" w:eastAsia="ja-JP"/>
              </w:rPr>
            </w:pPr>
          </w:p>
          <w:p w14:paraId="36633E33" w14:textId="069AE8FB" w:rsidR="006F129D" w:rsidRPr="004E4188" w:rsidRDefault="006F129D" w:rsidP="00D45EAD">
            <w:pPr>
              <w:pStyle w:val="explanatorynotes"/>
              <w:spacing w:after="0" w:line="240" w:lineRule="auto"/>
              <w:rPr>
                <w:rFonts w:ascii="Times New Roman" w:hAnsi="Times New Roman"/>
                <w:i/>
                <w:sz w:val="24"/>
                <w:szCs w:val="24"/>
                <w:lang w:val="fr-FR"/>
              </w:rPr>
            </w:pPr>
            <w:r w:rsidRPr="004E4188">
              <w:rPr>
                <w:rFonts w:ascii="Times New Roman" w:hAnsi="Times New Roman"/>
                <w:sz w:val="24"/>
                <w:szCs w:val="24"/>
                <w:lang w:val="fr-FR" w:eastAsia="ja-JP"/>
              </w:rPr>
              <w:t>[</w:t>
            </w:r>
            <w:r w:rsidRPr="004E4188">
              <w:rPr>
                <w:rFonts w:ascii="Times New Roman" w:hAnsi="Times New Roman"/>
                <w:i/>
                <w:sz w:val="24"/>
                <w:szCs w:val="24"/>
                <w:lang w:val="fr-FR"/>
              </w:rPr>
              <w:t>Une provision pour risque devra normalement être calculée en multipliant un pourcentage préétabli (indiqué par le Maître d’ouvrage dans le Dossier</w:t>
            </w:r>
            <w:r w:rsidRPr="004E4188">
              <w:rPr>
                <w:rFonts w:ascii="Times New Roman" w:hAnsi="Times New Roman"/>
                <w:i/>
                <w:color w:val="FF0000"/>
                <w:sz w:val="24"/>
                <w:szCs w:val="24"/>
                <w:lang w:val="fr-FR"/>
              </w:rPr>
              <w:t xml:space="preserve"> </w:t>
            </w:r>
            <w:r w:rsidRPr="004E4188">
              <w:rPr>
                <w:rFonts w:ascii="Times New Roman" w:hAnsi="Times New Roman"/>
                <w:i/>
                <w:sz w:val="24"/>
                <w:szCs w:val="24"/>
                <w:lang w:val="fr-FR"/>
              </w:rPr>
              <w:t xml:space="preserve">d’appel d’offres) par le coût de base (Total </w:t>
            </w:r>
            <w:r w:rsidR="00875731" w:rsidRPr="004E4188">
              <w:rPr>
                <w:rFonts w:ascii="Times New Roman" w:hAnsi="Times New Roman"/>
                <w:i/>
                <w:sz w:val="24"/>
                <w:szCs w:val="24"/>
                <w:lang w:val="fr-FR"/>
              </w:rPr>
              <w:t xml:space="preserve">des </w:t>
            </w:r>
            <w:r w:rsidR="00D5675F" w:rsidRPr="004E4188">
              <w:rPr>
                <w:rFonts w:ascii="Times New Roman" w:hAnsi="Times New Roman"/>
                <w:i/>
                <w:sz w:val="24"/>
                <w:szCs w:val="24"/>
                <w:lang w:val="fr-FR"/>
              </w:rPr>
              <w:t>montant</w:t>
            </w:r>
            <w:r w:rsidR="00875731" w:rsidRPr="004E4188">
              <w:rPr>
                <w:rFonts w:ascii="Times New Roman" w:hAnsi="Times New Roman"/>
                <w:i/>
                <w:sz w:val="24"/>
                <w:szCs w:val="24"/>
                <w:lang w:val="fr-FR"/>
              </w:rPr>
              <w:t>s</w:t>
            </w:r>
            <w:r w:rsidR="00D5675F" w:rsidRPr="004E4188">
              <w:rPr>
                <w:rFonts w:ascii="Times New Roman" w:hAnsi="Times New Roman"/>
                <w:i/>
                <w:sz w:val="24"/>
                <w:szCs w:val="24"/>
                <w:lang w:val="fr-FR"/>
              </w:rPr>
              <w:t xml:space="preserve"> </w:t>
            </w:r>
            <w:r w:rsidRPr="004E4188">
              <w:rPr>
                <w:rFonts w:ascii="Times New Roman" w:hAnsi="Times New Roman"/>
                <w:i/>
                <w:sz w:val="24"/>
                <w:szCs w:val="24"/>
                <w:lang w:val="fr-FR"/>
              </w:rPr>
              <w:t>des Bordereaux et des</w:t>
            </w:r>
            <w:r w:rsidRPr="004E4188">
              <w:rPr>
                <w:i/>
                <w:iCs/>
                <w:sz w:val="24"/>
                <w:szCs w:val="24"/>
                <w:lang w:val="fr-FR" w:eastAsia="ja-JP"/>
              </w:rPr>
              <w:t xml:space="preserve"> </w:t>
            </w:r>
            <w:r w:rsidRPr="004E4188">
              <w:rPr>
                <w:rFonts w:ascii="Times New Roman" w:hAnsi="Times New Roman"/>
                <w:i/>
                <w:sz w:val="24"/>
                <w:szCs w:val="24"/>
                <w:lang w:val="fr-FR"/>
              </w:rPr>
              <w:t>sommes provisionnelles établi par le Soumissionnaire dans son Offre Financière). Une alternative à la définition d’un tel pourcentage pourra être, pour le Maître d’ouvrage, de déterminer un montant fixe sur la base de la valeur estimée du Marché, et de l’insérer dans le Dossier d’appel d’offres sous la forme d’un montant commun à tous les Soumissionnaires.</w:t>
            </w:r>
          </w:p>
          <w:p w14:paraId="185608DD" w14:textId="77777777" w:rsidR="006F129D" w:rsidRPr="004E4188" w:rsidRDefault="006F129D" w:rsidP="00D45EAD">
            <w:pPr>
              <w:pStyle w:val="explanatorynotes"/>
              <w:spacing w:after="0" w:line="240" w:lineRule="auto"/>
              <w:rPr>
                <w:rFonts w:ascii="Times New Roman" w:hAnsi="Times New Roman"/>
                <w:i/>
                <w:sz w:val="24"/>
                <w:szCs w:val="24"/>
                <w:lang w:val="fr-FR"/>
              </w:rPr>
            </w:pPr>
          </w:p>
          <w:p w14:paraId="379ED410" w14:textId="77777777" w:rsidR="006F129D" w:rsidRPr="004E4188" w:rsidRDefault="006F129D" w:rsidP="00D45EAD">
            <w:pPr>
              <w:rPr>
                <w:i/>
                <w:szCs w:val="24"/>
              </w:rPr>
            </w:pPr>
            <w:r w:rsidRPr="004E4188">
              <w:rPr>
                <w:i/>
                <w:iCs/>
                <w:szCs w:val="24"/>
                <w:lang w:eastAsia="ja-JP"/>
              </w:rPr>
              <w:t>Le Maître d’ouvrage peut choisir ci-dessous, conformément aux directives susmentionnées, le cas échéant, l’option A (un pourcentage préétabli) ou l’option B (un montant fixe), et supprimer l’autre</w:t>
            </w:r>
            <w:r w:rsidRPr="004E4188">
              <w:rPr>
                <w:i/>
                <w:szCs w:val="24"/>
              </w:rPr>
              <w:t xml:space="preserve">. </w:t>
            </w:r>
          </w:p>
          <w:p w14:paraId="633A321E" w14:textId="77777777" w:rsidR="006F129D" w:rsidRPr="004E4188" w:rsidRDefault="006F129D" w:rsidP="00D45EAD">
            <w:pPr>
              <w:rPr>
                <w:i/>
                <w:szCs w:val="24"/>
              </w:rPr>
            </w:pPr>
          </w:p>
          <w:p w14:paraId="4AA18D9A" w14:textId="77777777" w:rsidR="006F129D" w:rsidRPr="004E4188" w:rsidRDefault="006F129D" w:rsidP="00D45EAD">
            <w:pPr>
              <w:rPr>
                <w:i/>
                <w:szCs w:val="24"/>
              </w:rPr>
            </w:pPr>
            <w:r w:rsidRPr="004E4188">
              <w:rPr>
                <w:i/>
                <w:iCs/>
                <w:szCs w:val="24"/>
                <w:lang w:eastAsia="ja-JP"/>
              </w:rPr>
              <w:t>Afin de rendre le poste (D) (c.-à-d. ajout des provisions pour risque) du tableau récapitulatif des Bordereaux des prix conforme à la disposition de cet Article : si l’option A est choisie, indiquer le pourcentage correspondant dans la description du poste, et si l’option B est choisie, insérer les parts en monnaie nationale et en monnaie(s) étrangère(s) du montant correspondant dans les colonnes respectives du tableau</w:t>
            </w:r>
            <w:r w:rsidRPr="004E4188">
              <w:rPr>
                <w:i/>
                <w:szCs w:val="24"/>
              </w:rPr>
              <w:t>.</w:t>
            </w:r>
            <w:r w:rsidRPr="004E4188">
              <w:rPr>
                <w:szCs w:val="24"/>
              </w:rPr>
              <w:t>]</w:t>
            </w:r>
          </w:p>
          <w:p w14:paraId="32C22B95" w14:textId="77777777" w:rsidR="006F129D" w:rsidRPr="004E4188" w:rsidRDefault="006F129D" w:rsidP="00D45EAD">
            <w:pPr>
              <w:pStyle w:val="a6"/>
              <w:tabs>
                <w:tab w:val="clear" w:pos="9000"/>
                <w:tab w:val="clear" w:pos="9360"/>
                <w:tab w:val="right" w:pos="7848"/>
              </w:tabs>
              <w:suppressAutoHyphens w:val="0"/>
              <w:spacing w:before="60" w:after="60"/>
              <w:rPr>
                <w:rFonts w:ascii="TimesNewRomanPSMT" w:hAnsi="TimesNewRomanPSMT" w:cs="TimesNewRomanPSMT"/>
                <w:iCs/>
                <w:szCs w:val="24"/>
                <w:lang w:eastAsia="ja-JP" w:bidi="ta-IN"/>
              </w:rPr>
            </w:pPr>
          </w:p>
          <w:p w14:paraId="5E0EB66A" w14:textId="77777777" w:rsidR="006F129D" w:rsidRPr="004E4188" w:rsidRDefault="006F129D" w:rsidP="00D45EAD">
            <w:pPr>
              <w:pStyle w:val="a6"/>
              <w:tabs>
                <w:tab w:val="clear" w:pos="9000"/>
                <w:tab w:val="clear" w:pos="9360"/>
                <w:tab w:val="right" w:pos="7848"/>
              </w:tabs>
              <w:suppressAutoHyphens w:val="0"/>
              <w:rPr>
                <w:bCs/>
                <w:iCs/>
                <w:szCs w:val="24"/>
              </w:rPr>
            </w:pPr>
            <w:r w:rsidRPr="004E4188">
              <w:rPr>
                <w:bCs/>
                <w:iCs/>
                <w:szCs w:val="24"/>
              </w:rPr>
              <w:t>L</w:t>
            </w:r>
            <w:r w:rsidRPr="004E4188">
              <w:rPr>
                <w:rFonts w:hint="eastAsia"/>
                <w:iCs/>
                <w:szCs w:val="24"/>
                <w:lang w:eastAsia="ja-JP"/>
              </w:rPr>
              <w:t>es provisions pour risque sont</w:t>
            </w:r>
            <w:r w:rsidRPr="004E4188">
              <w:rPr>
                <w:iCs/>
                <w:szCs w:val="24"/>
                <w:lang w:eastAsia="ja-JP"/>
              </w:rPr>
              <w:t> </w:t>
            </w:r>
            <w:r w:rsidRPr="004E4188">
              <w:rPr>
                <w:bCs/>
                <w:iCs/>
                <w:szCs w:val="24"/>
              </w:rPr>
              <w:t>:</w:t>
            </w:r>
          </w:p>
          <w:p w14:paraId="7578DEB1" w14:textId="77777777" w:rsidR="006F129D" w:rsidRPr="004E4188" w:rsidRDefault="006F129D" w:rsidP="00D45EAD">
            <w:pPr>
              <w:rPr>
                <w:szCs w:val="24"/>
              </w:rPr>
            </w:pPr>
            <w:r w:rsidRPr="004E4188">
              <w:rPr>
                <w:szCs w:val="24"/>
              </w:rPr>
              <w:t>[</w:t>
            </w:r>
            <w:r w:rsidRPr="004E4188">
              <w:rPr>
                <w:i/>
                <w:iCs/>
                <w:szCs w:val="24"/>
                <w:lang w:eastAsia="ja-JP"/>
              </w:rPr>
              <w:t>Choisir, le cas échéant, une des options suivantes, et supprimer l’autre</w:t>
            </w:r>
            <w:r w:rsidRPr="004E4188">
              <w:rPr>
                <w:i/>
                <w:szCs w:val="24"/>
              </w:rPr>
              <w:t>.</w:t>
            </w:r>
            <w:r w:rsidRPr="004E4188">
              <w:rPr>
                <w:szCs w:val="24"/>
              </w:rPr>
              <w:t>]</w:t>
            </w:r>
          </w:p>
          <w:p w14:paraId="39041281" w14:textId="77777777" w:rsidR="006F129D" w:rsidRPr="004E4188" w:rsidRDefault="006F129D" w:rsidP="00D45EAD">
            <w:pPr>
              <w:rPr>
                <w:szCs w:val="24"/>
              </w:rPr>
            </w:pPr>
          </w:p>
          <w:p w14:paraId="6C46AF69" w14:textId="77777777" w:rsidR="006F129D" w:rsidRPr="004E4188" w:rsidRDefault="006F129D" w:rsidP="00D45EAD">
            <w:pPr>
              <w:rPr>
                <w:szCs w:val="24"/>
              </w:rPr>
            </w:pPr>
            <w:r w:rsidRPr="004E4188">
              <w:rPr>
                <w:szCs w:val="24"/>
              </w:rPr>
              <w:t>[</w:t>
            </w:r>
            <w:r w:rsidRPr="004E4188">
              <w:rPr>
                <w:i/>
                <w:szCs w:val="24"/>
              </w:rPr>
              <w:t>Option A</w:t>
            </w:r>
            <w:r w:rsidRPr="004E4188">
              <w:rPr>
                <w:szCs w:val="24"/>
              </w:rPr>
              <w:t>]</w:t>
            </w:r>
          </w:p>
          <w:p w14:paraId="6EC43319" w14:textId="77777777" w:rsidR="006F129D" w:rsidRPr="004E4188" w:rsidRDefault="006F129D" w:rsidP="00D45EAD">
            <w:pPr>
              <w:rPr>
                <w:bCs/>
                <w:iCs/>
                <w:szCs w:val="24"/>
              </w:rPr>
            </w:pPr>
            <w:r w:rsidRPr="004E4188">
              <w:rPr>
                <w:bCs/>
                <w:iCs/>
                <w:szCs w:val="24"/>
              </w:rPr>
              <w:t>[</w:t>
            </w:r>
            <w:r w:rsidRPr="004E4188">
              <w:rPr>
                <w:i/>
                <w:iCs/>
                <w:szCs w:val="24"/>
                <w:lang w:eastAsia="ja-JP"/>
              </w:rPr>
              <w:t>Indiquer le pourcentage applicable</w:t>
            </w:r>
            <w:r w:rsidRPr="004E4188">
              <w:rPr>
                <w:iCs/>
                <w:szCs w:val="24"/>
                <w:lang w:eastAsia="ja-JP"/>
              </w:rPr>
              <w:t xml:space="preserve">] du Montant de l’offre </w:t>
            </w:r>
            <w:r w:rsidRPr="004E4188">
              <w:rPr>
                <w:szCs w:val="24"/>
              </w:rPr>
              <w:t>dans la(les) monnaie(s) dans laquelle(lesquelles) le Montant de l’offre est indiqué dans l’offre</w:t>
            </w:r>
            <w:r w:rsidRPr="004E4188">
              <w:rPr>
                <w:iCs/>
                <w:szCs w:val="24"/>
                <w:lang w:eastAsia="ja-JP"/>
              </w:rPr>
              <w:t xml:space="preserve"> présentée par le Soumissionnaire</w:t>
            </w:r>
            <w:r w:rsidRPr="004E4188">
              <w:rPr>
                <w:bCs/>
                <w:iCs/>
                <w:szCs w:val="24"/>
              </w:rPr>
              <w:t>.</w:t>
            </w:r>
          </w:p>
          <w:p w14:paraId="77E92BE8" w14:textId="77777777" w:rsidR="006F129D" w:rsidRPr="004E4188" w:rsidRDefault="006F129D" w:rsidP="00D45EAD">
            <w:pPr>
              <w:rPr>
                <w:szCs w:val="24"/>
              </w:rPr>
            </w:pPr>
          </w:p>
          <w:p w14:paraId="47465DCA" w14:textId="77777777" w:rsidR="006F129D" w:rsidRPr="004E4188" w:rsidRDefault="006F129D" w:rsidP="00D45EAD">
            <w:pPr>
              <w:rPr>
                <w:szCs w:val="24"/>
              </w:rPr>
            </w:pPr>
            <w:r w:rsidRPr="004E4188">
              <w:rPr>
                <w:szCs w:val="24"/>
              </w:rPr>
              <w:t>[</w:t>
            </w:r>
            <w:r w:rsidRPr="004E4188">
              <w:rPr>
                <w:i/>
                <w:szCs w:val="24"/>
              </w:rPr>
              <w:t>Option B</w:t>
            </w:r>
            <w:r w:rsidRPr="004E4188">
              <w:rPr>
                <w:szCs w:val="24"/>
              </w:rPr>
              <w:t>]</w:t>
            </w:r>
          </w:p>
          <w:p w14:paraId="7188E79F" w14:textId="77777777" w:rsidR="006F129D" w:rsidRPr="004E4188" w:rsidRDefault="006F129D" w:rsidP="00D45EAD">
            <w:pPr>
              <w:rPr>
                <w:bCs/>
                <w:iCs/>
                <w:szCs w:val="24"/>
              </w:rPr>
            </w:pPr>
            <w:r w:rsidRPr="004E4188">
              <w:rPr>
                <w:bCs/>
                <w:iCs/>
                <w:szCs w:val="24"/>
              </w:rPr>
              <w:t>[</w:t>
            </w:r>
            <w:r w:rsidRPr="004E4188">
              <w:rPr>
                <w:i/>
                <w:iCs/>
                <w:szCs w:val="24"/>
                <w:lang w:eastAsia="ja-JP"/>
              </w:rPr>
              <w:t xml:space="preserve">Indiquer le montant fixe applicable </w:t>
            </w:r>
            <w:r w:rsidRPr="004E4188">
              <w:rPr>
                <w:i/>
                <w:szCs w:val="24"/>
              </w:rPr>
              <w:t>dans la(les) monnaie(s) applicable(s)</w:t>
            </w:r>
            <w:r w:rsidRPr="004E4188">
              <w:rPr>
                <w:rFonts w:hint="eastAsia"/>
                <w:i/>
                <w:szCs w:val="24"/>
                <w:lang w:eastAsia="ja-JP"/>
              </w:rPr>
              <w:t>.</w:t>
            </w:r>
            <w:r w:rsidRPr="004E4188">
              <w:rPr>
                <w:bCs/>
                <w:iCs/>
                <w:szCs w:val="24"/>
              </w:rPr>
              <w:t>]</w:t>
            </w:r>
          </w:p>
          <w:p w14:paraId="2C2AA56A" w14:textId="77777777" w:rsidR="006F129D" w:rsidRPr="004E4188" w:rsidRDefault="006F129D" w:rsidP="00D45EAD">
            <w:pPr>
              <w:rPr>
                <w:szCs w:val="24"/>
              </w:rPr>
            </w:pPr>
          </w:p>
          <w:p w14:paraId="7B18A7A6" w14:textId="77777777" w:rsidR="006F129D" w:rsidRPr="004E4188" w:rsidRDefault="006F129D" w:rsidP="00D45EAD">
            <w:pPr>
              <w:rPr>
                <w:szCs w:val="24"/>
              </w:rPr>
            </w:pPr>
            <w:r w:rsidRPr="004E4188">
              <w:rPr>
                <w:szCs w:val="24"/>
              </w:rPr>
              <w:t>[</w:t>
            </w:r>
            <w:r w:rsidRPr="004E4188">
              <w:rPr>
                <w:i/>
                <w:iCs/>
                <w:szCs w:val="24"/>
                <w:lang w:eastAsia="ja-JP"/>
              </w:rPr>
              <w:t>Si aucun montant n’est alloué aux sommes provisionnelles de nature spécifique ni aux provisions pour risque dans les Bordereaux des prix, supprimer la disposition ci-dessus de cet Article et indiquer à la place « Cet Article 14.10 des DP est sans objet. »</w:t>
            </w:r>
            <w:r w:rsidRPr="004E4188">
              <w:rPr>
                <w:szCs w:val="24"/>
              </w:rPr>
              <w:t>]</w:t>
            </w:r>
          </w:p>
          <w:p w14:paraId="7BE48AD4" w14:textId="77777777" w:rsidR="006F129D" w:rsidRPr="004E4188" w:rsidDel="00BF684A" w:rsidRDefault="006F129D" w:rsidP="00D45EAD">
            <w:pPr>
              <w:tabs>
                <w:tab w:val="right" w:pos="7254"/>
              </w:tabs>
              <w:spacing w:afterLines="50" w:after="120"/>
              <w:rPr>
                <w:szCs w:val="24"/>
              </w:rPr>
            </w:pPr>
          </w:p>
        </w:tc>
      </w:tr>
      <w:tr w:rsidR="006F129D" w:rsidRPr="004E4188" w:rsidDel="00BF684A" w14:paraId="229E3701" w14:textId="77777777" w:rsidTr="00D45EAD">
        <w:tc>
          <w:tcPr>
            <w:tcW w:w="1320" w:type="dxa"/>
            <w:tcBorders>
              <w:top w:val="single" w:sz="8" w:space="0" w:color="000000"/>
              <w:bottom w:val="single" w:sz="8" w:space="0" w:color="000000"/>
              <w:right w:val="single" w:sz="8" w:space="0" w:color="000000"/>
            </w:tcBorders>
          </w:tcPr>
          <w:p w14:paraId="16CF16BF" w14:textId="4E6DAB3A" w:rsidR="006F129D" w:rsidRPr="004E4188" w:rsidDel="00BF684A" w:rsidRDefault="006F129D" w:rsidP="00763189">
            <w:pPr>
              <w:tabs>
                <w:tab w:val="right" w:pos="7434"/>
              </w:tabs>
              <w:spacing w:before="60" w:after="120"/>
              <w:rPr>
                <w:b/>
              </w:rPr>
            </w:pPr>
            <w:r w:rsidRPr="004E4188">
              <w:rPr>
                <w:b/>
              </w:rPr>
              <w:t>IS 15.1</w:t>
            </w:r>
          </w:p>
        </w:tc>
        <w:tc>
          <w:tcPr>
            <w:tcW w:w="7680" w:type="dxa"/>
            <w:tcBorders>
              <w:top w:val="single" w:sz="8" w:space="0" w:color="000000"/>
              <w:left w:val="single" w:sz="8" w:space="0" w:color="000000"/>
              <w:bottom w:val="single" w:sz="8" w:space="0" w:color="000000"/>
            </w:tcBorders>
          </w:tcPr>
          <w:p w14:paraId="21A866F8" w14:textId="77777777" w:rsidR="006F129D" w:rsidRPr="004E4188" w:rsidRDefault="006F129D" w:rsidP="00D45EAD">
            <w:pPr>
              <w:tabs>
                <w:tab w:val="right" w:pos="7254"/>
              </w:tabs>
              <w:spacing w:before="60" w:after="60"/>
              <w:rPr>
                <w:iCs/>
              </w:rPr>
            </w:pPr>
            <w:r w:rsidRPr="004E4188">
              <w:t>L</w:t>
            </w:r>
            <w:r w:rsidRPr="004E4188">
              <w:rPr>
                <w:szCs w:val="24"/>
              </w:rPr>
              <w:t xml:space="preserve">es monnaies de l’offre seront définies de la façon suivante </w:t>
            </w:r>
            <w:r w:rsidRPr="004E4188">
              <w:rPr>
                <w:iCs/>
              </w:rPr>
              <w:t>:</w:t>
            </w:r>
          </w:p>
          <w:p w14:paraId="5482F9CE" w14:textId="77777777" w:rsidR="006F129D" w:rsidRPr="004E4188" w:rsidRDefault="006F129D" w:rsidP="00D45EAD">
            <w:pPr>
              <w:pStyle w:val="StyleHeader1-ClausesAfter0pt"/>
              <w:tabs>
                <w:tab w:val="left" w:pos="1006"/>
              </w:tabs>
              <w:ind w:left="425" w:hanging="425"/>
              <w:rPr>
                <w:lang w:val="fr-FR"/>
              </w:rPr>
            </w:pPr>
            <w:r w:rsidRPr="004E4188">
              <w:rPr>
                <w:lang w:val="fr-FR"/>
              </w:rPr>
              <w:t>(a)</w:t>
            </w:r>
            <w:r w:rsidRPr="004E4188">
              <w:rPr>
                <w:lang w:val="fr-FR"/>
              </w:rPr>
              <w:tab/>
              <w:t>l</w:t>
            </w:r>
            <w:r w:rsidRPr="004E4188">
              <w:rPr>
                <w:szCs w:val="24"/>
                <w:lang w:val="fr-FR"/>
              </w:rPr>
              <w:t>es prix des intrants nécessaires aux É</w:t>
            </w:r>
            <w:r w:rsidRPr="004E4188">
              <w:rPr>
                <w:lang w:val="fr-FR"/>
              </w:rPr>
              <w:t>quipements et Services de montage</w:t>
            </w:r>
            <w:r w:rsidRPr="004E4188">
              <w:rPr>
                <w:szCs w:val="24"/>
                <w:lang w:val="fr-FR"/>
              </w:rPr>
              <w:t xml:space="preserve"> que le Soumissionnaire compte se procurer dans le pays du Maître d’ouvrage seront libellés en</w:t>
            </w:r>
            <w:r w:rsidRPr="004E4188">
              <w:rPr>
                <w:i/>
                <w:szCs w:val="24"/>
                <w:lang w:val="fr-FR"/>
              </w:rPr>
              <w:t xml:space="preserve"> </w:t>
            </w:r>
            <w:r w:rsidRPr="004E4188">
              <w:rPr>
                <w:szCs w:val="24"/>
                <w:lang w:val="fr-FR"/>
              </w:rPr>
              <w:t>[</w:t>
            </w:r>
            <w:r w:rsidRPr="004E4188">
              <w:rPr>
                <w:i/>
                <w:szCs w:val="24"/>
                <w:lang w:val="fr-FR"/>
              </w:rPr>
              <w:t>insérer la monnaie du pays du Maître d’ouvrage</w:t>
            </w:r>
            <w:r w:rsidRPr="004E4188">
              <w:rPr>
                <w:szCs w:val="24"/>
                <w:lang w:val="fr-FR"/>
              </w:rPr>
              <w:t>], dénommée ci-après « monnaie nationale », et seront exprimés avec [</w:t>
            </w:r>
            <w:r w:rsidRPr="004E4188">
              <w:rPr>
                <w:i/>
                <w:szCs w:val="24"/>
                <w:lang w:val="fr-FR"/>
              </w:rPr>
              <w:t>indiquer le nombre de chiffres après la virgule</w:t>
            </w:r>
            <w:r w:rsidRPr="004E4188">
              <w:rPr>
                <w:szCs w:val="24"/>
                <w:lang w:val="fr-FR"/>
              </w:rPr>
              <w:t>] décimale(s) ; e</w:t>
            </w:r>
            <w:r w:rsidRPr="004E4188">
              <w:rPr>
                <w:lang w:val="fr-FR"/>
              </w:rPr>
              <w:t>t</w:t>
            </w:r>
          </w:p>
          <w:p w14:paraId="3FB63924" w14:textId="77777777" w:rsidR="006F129D" w:rsidRPr="004E4188" w:rsidRDefault="006F129D" w:rsidP="00DF1AD5">
            <w:pPr>
              <w:pStyle w:val="StyleHeader1-ClausesAfter0pt"/>
              <w:tabs>
                <w:tab w:val="left" w:pos="1006"/>
              </w:tabs>
              <w:ind w:left="425" w:hanging="425"/>
              <w:rPr>
                <w:lang w:val="fr-FR" w:eastAsia="ja-JP"/>
              </w:rPr>
            </w:pPr>
            <w:r w:rsidRPr="004E4188">
              <w:rPr>
                <w:lang w:val="fr-FR"/>
              </w:rPr>
              <w:t>(b)</w:t>
            </w:r>
            <w:r w:rsidRPr="004E4188">
              <w:rPr>
                <w:lang w:val="fr-FR"/>
              </w:rPr>
              <w:tab/>
              <w:t>l</w:t>
            </w:r>
            <w:r w:rsidRPr="004E4188">
              <w:rPr>
                <w:szCs w:val="24"/>
                <w:lang w:val="fr-FR"/>
              </w:rPr>
              <w:t>es prix des intrants nécessaires aux É</w:t>
            </w:r>
            <w:r w:rsidRPr="004E4188">
              <w:rPr>
                <w:lang w:val="fr-FR"/>
              </w:rPr>
              <w:t>quipements et Services de montage</w:t>
            </w:r>
            <w:r w:rsidRPr="004E4188">
              <w:rPr>
                <w:szCs w:val="24"/>
                <w:lang w:val="fr-FR"/>
              </w:rPr>
              <w:t xml:space="preserve"> que le Soumissionnaire compte se procurer en dehors du pays du Maître d’ouvrage seront libellés dans la(les) monnaie(s), dénommée(s) ci-après « monnaie(s) étrangère(s) », suivante(s) </w:t>
            </w:r>
            <w:r w:rsidRPr="004E4188">
              <w:rPr>
                <w:lang w:val="fr-FR"/>
              </w:rPr>
              <w:t>:</w:t>
            </w:r>
          </w:p>
          <w:p w14:paraId="4CBAE3BB" w14:textId="1BF88A21" w:rsidR="006F129D" w:rsidRPr="004E4188" w:rsidRDefault="006F129D" w:rsidP="00DF1AD5">
            <w:pPr>
              <w:pStyle w:val="4"/>
              <w:numPr>
                <w:ilvl w:val="0"/>
                <w:numId w:val="0"/>
              </w:numPr>
              <w:tabs>
                <w:tab w:val="clear" w:pos="1512"/>
              </w:tabs>
              <w:spacing w:after="0"/>
              <w:ind w:left="850" w:right="17" w:hanging="425"/>
              <w:rPr>
                <w:b/>
                <w:lang w:val="fr-FR" w:eastAsia="ja-JP"/>
              </w:rPr>
            </w:pPr>
            <w:r w:rsidRPr="004E4188">
              <w:rPr>
                <w:lang w:val="fr-FR" w:eastAsia="ja-JP"/>
              </w:rPr>
              <w:t>(i)</w:t>
            </w:r>
            <w:r w:rsidRPr="004E4188">
              <w:rPr>
                <w:lang w:val="fr-FR" w:eastAsia="ja-JP"/>
              </w:rPr>
              <w:tab/>
              <w:t xml:space="preserve">le yen japonais (JPY), et seront exprimés sans décimale ; et/ou </w:t>
            </w:r>
          </w:p>
          <w:p w14:paraId="38BF6BFA" w14:textId="43FEAB25" w:rsidR="006F129D" w:rsidRPr="004E4188" w:rsidDel="00BF684A" w:rsidRDefault="006F129D" w:rsidP="00DF1AD5">
            <w:pPr>
              <w:suppressAutoHyphens w:val="0"/>
              <w:overflowPunct/>
              <w:autoSpaceDE/>
              <w:autoSpaceDN/>
              <w:adjustRightInd/>
              <w:spacing w:before="60" w:after="120"/>
              <w:ind w:left="850" w:hanging="425"/>
              <w:textAlignment w:val="auto"/>
              <w:rPr>
                <w:lang w:eastAsia="en-US"/>
              </w:rPr>
            </w:pPr>
            <w:r w:rsidRPr="004E4188">
              <w:rPr>
                <w:lang w:eastAsia="ja-JP"/>
              </w:rPr>
              <w:t>(ii)</w:t>
            </w:r>
            <w:r w:rsidR="00DF1AD5" w:rsidRPr="004E4188">
              <w:rPr>
                <w:lang w:eastAsia="ja-JP"/>
              </w:rPr>
              <w:t xml:space="preserve"> </w:t>
            </w:r>
            <w:r w:rsidR="00DF1AD5" w:rsidRPr="004E4188">
              <w:rPr>
                <w:lang w:eastAsia="ja-JP"/>
              </w:rPr>
              <w:tab/>
            </w:r>
            <w:r w:rsidRPr="004E4188">
              <w:rPr>
                <w:lang w:eastAsia="ja-JP"/>
              </w:rPr>
              <w:t>[</w:t>
            </w:r>
            <w:r w:rsidRPr="004E4188">
              <w:rPr>
                <w:i/>
                <w:lang w:eastAsia="ja-JP"/>
              </w:rPr>
              <w:t>d’autres monnaies internationales majeures, le cas échéant</w:t>
            </w:r>
            <w:r w:rsidRPr="004E4188">
              <w:rPr>
                <w:lang w:eastAsia="ja-JP"/>
              </w:rPr>
              <w:t>], et seront exprimés avec [</w:t>
            </w:r>
            <w:r w:rsidRPr="004E4188">
              <w:rPr>
                <w:i/>
                <w:lang w:eastAsia="ja-JP"/>
              </w:rPr>
              <w:t>indiquer le nombre de chiffres après la virgule</w:t>
            </w:r>
            <w:r w:rsidRPr="004E4188">
              <w:rPr>
                <w:lang w:eastAsia="ja-JP"/>
              </w:rPr>
              <w:t>] décimale(s).</w:t>
            </w:r>
          </w:p>
        </w:tc>
      </w:tr>
      <w:tr w:rsidR="006F129D" w:rsidRPr="004E4188" w:rsidDel="00BF684A" w14:paraId="33D8A8D5" w14:textId="77777777" w:rsidTr="00D45EAD">
        <w:tc>
          <w:tcPr>
            <w:tcW w:w="1320" w:type="dxa"/>
            <w:tcBorders>
              <w:top w:val="single" w:sz="8" w:space="0" w:color="000000"/>
              <w:bottom w:val="single" w:sz="8" w:space="0" w:color="000000"/>
              <w:right w:val="single" w:sz="8" w:space="0" w:color="000000"/>
            </w:tcBorders>
          </w:tcPr>
          <w:p w14:paraId="2AB0EB65" w14:textId="77777777" w:rsidR="006F129D" w:rsidRPr="004E4188" w:rsidDel="00BF684A" w:rsidRDefault="006F129D" w:rsidP="00763189">
            <w:pPr>
              <w:tabs>
                <w:tab w:val="right" w:pos="7434"/>
              </w:tabs>
              <w:spacing w:before="60" w:after="120"/>
              <w:rPr>
                <w:b/>
              </w:rPr>
            </w:pPr>
            <w:r w:rsidRPr="004E4188">
              <w:rPr>
                <w:b/>
              </w:rPr>
              <w:t>IS 16.2(b)</w:t>
            </w:r>
          </w:p>
        </w:tc>
        <w:tc>
          <w:tcPr>
            <w:tcW w:w="7680" w:type="dxa"/>
            <w:tcBorders>
              <w:top w:val="single" w:sz="8" w:space="0" w:color="000000"/>
              <w:left w:val="single" w:sz="8" w:space="0" w:color="000000"/>
              <w:bottom w:val="single" w:sz="8" w:space="0" w:color="000000"/>
            </w:tcBorders>
          </w:tcPr>
          <w:p w14:paraId="1001E5C6" w14:textId="52C9A542" w:rsidR="006F129D" w:rsidRPr="004E4188" w:rsidDel="00BF684A" w:rsidRDefault="006F129D" w:rsidP="00DF1AD5">
            <w:pPr>
              <w:spacing w:before="60" w:after="120"/>
              <w:rPr>
                <w:szCs w:val="24"/>
              </w:rPr>
            </w:pPr>
            <w:r w:rsidRPr="004E4188">
              <w:rPr>
                <w:szCs w:val="24"/>
              </w:rPr>
              <w:t>Période après la Réception opérationnelle par le Maître d’ouvrage pendant laquelle le Soumissionnaire propose les pièces de rechange (c.-⁠à-⁠d. les pièces de rechange obligatoires et pièces de rechange recommandées, si requises), outils spéciaux, etc. : [</w:t>
            </w:r>
            <w:r w:rsidRPr="004E4188">
              <w:rPr>
                <w:bCs/>
                <w:i/>
                <w:iCs/>
                <w:szCs w:val="24"/>
              </w:rPr>
              <w:t>indiquer un nombre approprié d’années, normalement deux (2) ans</w:t>
            </w:r>
            <w:r w:rsidRPr="004E4188">
              <w:rPr>
                <w:szCs w:val="24"/>
              </w:rPr>
              <w:t>]</w:t>
            </w:r>
          </w:p>
        </w:tc>
      </w:tr>
      <w:tr w:rsidR="006F129D" w:rsidRPr="004E4188" w:rsidDel="00621B4A" w14:paraId="43968786" w14:textId="77777777" w:rsidTr="00D45EAD">
        <w:tc>
          <w:tcPr>
            <w:tcW w:w="1320" w:type="dxa"/>
            <w:tcBorders>
              <w:top w:val="single" w:sz="8" w:space="0" w:color="000000"/>
              <w:bottom w:val="single" w:sz="8" w:space="0" w:color="000000"/>
              <w:right w:val="single" w:sz="8" w:space="0" w:color="000000"/>
            </w:tcBorders>
          </w:tcPr>
          <w:p w14:paraId="739BF5F7" w14:textId="77777777" w:rsidR="006F129D" w:rsidRPr="004E4188" w:rsidDel="00621B4A" w:rsidRDefault="006F129D" w:rsidP="00763189">
            <w:pPr>
              <w:tabs>
                <w:tab w:val="right" w:pos="7434"/>
              </w:tabs>
              <w:spacing w:before="60" w:after="120"/>
              <w:rPr>
                <w:b/>
              </w:rPr>
            </w:pPr>
            <w:r w:rsidRPr="004E4188">
              <w:rPr>
                <w:b/>
              </w:rPr>
              <w:t>IS 18.1</w:t>
            </w:r>
          </w:p>
        </w:tc>
        <w:tc>
          <w:tcPr>
            <w:tcW w:w="7680" w:type="dxa"/>
            <w:tcBorders>
              <w:top w:val="single" w:sz="8" w:space="0" w:color="000000"/>
              <w:left w:val="single" w:sz="8" w:space="0" w:color="000000"/>
              <w:bottom w:val="single" w:sz="8" w:space="0" w:color="000000"/>
            </w:tcBorders>
          </w:tcPr>
          <w:p w14:paraId="41380A54" w14:textId="7FE8A911" w:rsidR="006F129D" w:rsidRPr="004E4188" w:rsidRDefault="006F129D" w:rsidP="00D45EAD">
            <w:pPr>
              <w:tabs>
                <w:tab w:val="right" w:pos="7254"/>
              </w:tabs>
              <w:spacing w:before="60" w:after="60"/>
            </w:pPr>
            <w:r w:rsidRPr="004E4188">
              <w:t xml:space="preserve">La période de validité de l’offre sera de </w:t>
            </w:r>
            <w:r w:rsidRPr="004E4188">
              <w:rPr>
                <w:szCs w:val="24"/>
              </w:rPr>
              <w:t>[</w:t>
            </w:r>
            <w:r w:rsidRPr="004E4188">
              <w:rPr>
                <w:i/>
                <w:szCs w:val="24"/>
              </w:rPr>
              <w:t xml:space="preserve">indiquer un nombre de jours nécessaire pour l’évaluation, </w:t>
            </w:r>
            <w:r w:rsidR="000932DC" w:rsidRPr="004E4188">
              <w:rPr>
                <w:i/>
                <w:szCs w:val="24"/>
              </w:rPr>
              <w:t>son approbation et l’attribution du Marché y compris les</w:t>
            </w:r>
            <w:r w:rsidRPr="004E4188">
              <w:rPr>
                <w:i/>
                <w:szCs w:val="24"/>
              </w:rPr>
              <w:t xml:space="preserve"> imprévus</w:t>
            </w:r>
            <w:r w:rsidRPr="004E4188">
              <w:rPr>
                <w:szCs w:val="24"/>
              </w:rPr>
              <w:t>]</w:t>
            </w:r>
            <w:r w:rsidRPr="004E4188">
              <w:t xml:space="preserve"> jours.</w:t>
            </w:r>
          </w:p>
          <w:p w14:paraId="1DF10D43" w14:textId="77777777" w:rsidR="006F129D" w:rsidRPr="004E4188" w:rsidDel="00621B4A" w:rsidRDefault="006F129D" w:rsidP="00D45EAD">
            <w:pPr>
              <w:pStyle w:val="a6"/>
              <w:tabs>
                <w:tab w:val="clear" w:pos="9000"/>
                <w:tab w:val="clear" w:pos="9360"/>
                <w:tab w:val="right" w:pos="7848"/>
              </w:tabs>
              <w:suppressAutoHyphens w:val="0"/>
              <w:spacing w:after="240"/>
              <w:rPr>
                <w:bCs/>
                <w:iCs/>
              </w:rPr>
            </w:pPr>
            <w:r w:rsidRPr="004E4188">
              <w:rPr>
                <w:bCs/>
                <w:iCs/>
              </w:rPr>
              <w:t>[</w:t>
            </w:r>
            <w:r w:rsidRPr="004E4188">
              <w:rPr>
                <w:rFonts w:hint="eastAsia"/>
                <w:bCs/>
                <w:i/>
                <w:iCs/>
                <w:lang w:eastAsia="ja-JP"/>
              </w:rPr>
              <w:t>Cette p</w:t>
            </w:r>
            <w:r w:rsidRPr="004E4188">
              <w:rPr>
                <w:bCs/>
                <w:i/>
                <w:iCs/>
                <w:lang w:eastAsia="ja-JP"/>
              </w:rPr>
              <w:t>ériode doit être réaliste et donner suffisamment de temps pour évaluer les offres en tenant compte de la complexité des Installations et du temps nécessaire pour obtenir des références, éclaircissements, autorisations et approbations (y compris la non-objection de la JICA) et pour la notification de l’adjudication. Cette période ne doit généralement pas dépasser 120 jours</w:t>
            </w:r>
            <w:r w:rsidRPr="004E4188">
              <w:rPr>
                <w:bCs/>
                <w:i/>
                <w:iCs/>
              </w:rPr>
              <w:t>.</w:t>
            </w:r>
            <w:r w:rsidRPr="004E4188">
              <w:rPr>
                <w:bCs/>
                <w:iCs/>
              </w:rPr>
              <w:t>]</w:t>
            </w:r>
          </w:p>
        </w:tc>
      </w:tr>
      <w:tr w:rsidR="006F129D" w:rsidRPr="004E4188" w:rsidDel="00621B4A" w14:paraId="6AB09F9D" w14:textId="77777777" w:rsidTr="00D45EAD">
        <w:tc>
          <w:tcPr>
            <w:tcW w:w="1320" w:type="dxa"/>
            <w:tcBorders>
              <w:top w:val="single" w:sz="8" w:space="0" w:color="000000"/>
              <w:bottom w:val="single" w:sz="8" w:space="0" w:color="000000"/>
              <w:right w:val="single" w:sz="8" w:space="0" w:color="000000"/>
            </w:tcBorders>
          </w:tcPr>
          <w:p w14:paraId="00DA04C3" w14:textId="77777777" w:rsidR="006F129D" w:rsidRPr="004E4188" w:rsidRDefault="006F129D" w:rsidP="00DF1AD5">
            <w:pPr>
              <w:tabs>
                <w:tab w:val="right" w:pos="7434"/>
              </w:tabs>
              <w:spacing w:before="60" w:after="120"/>
              <w:rPr>
                <w:b/>
              </w:rPr>
            </w:pPr>
            <w:r w:rsidRPr="004E4188">
              <w:rPr>
                <w:b/>
              </w:rPr>
              <w:t>IS 18.3(a)</w:t>
            </w:r>
          </w:p>
        </w:tc>
        <w:tc>
          <w:tcPr>
            <w:tcW w:w="7680" w:type="dxa"/>
            <w:tcBorders>
              <w:top w:val="single" w:sz="8" w:space="0" w:color="000000"/>
              <w:left w:val="single" w:sz="8" w:space="0" w:color="000000"/>
              <w:bottom w:val="single" w:sz="8" w:space="0" w:color="000000"/>
            </w:tcBorders>
          </w:tcPr>
          <w:p w14:paraId="46F56197" w14:textId="77777777" w:rsidR="006F129D" w:rsidRPr="004E4188" w:rsidRDefault="006F129D" w:rsidP="00D45EAD">
            <w:pPr>
              <w:tabs>
                <w:tab w:val="right" w:pos="7254"/>
              </w:tabs>
              <w:spacing w:beforeLines="60" w:before="144" w:afterLines="60" w:after="144"/>
              <w:contextualSpacing/>
              <w:rPr>
                <w:lang w:eastAsia="ja-JP"/>
              </w:rPr>
            </w:pPr>
            <w:r w:rsidRPr="004E4188">
              <w:rPr>
                <w:lang w:eastAsia="ja-JP"/>
              </w:rPr>
              <w:t>[</w:t>
            </w:r>
            <w:r w:rsidRPr="004E4188">
              <w:rPr>
                <w:i/>
                <w:lang w:eastAsia="ja-JP"/>
              </w:rPr>
              <w:t>I</w:t>
            </w:r>
            <w:r w:rsidRPr="004E4188">
              <w:rPr>
                <w:i/>
                <w:iCs/>
                <w:lang w:eastAsia="ja-JP"/>
              </w:rPr>
              <w:t>ndiquer ce qui suit uniquement en cas d’un marché à prix ferme. Supprimer ce paragraphe dans son intégralité en cas d’un marché à prix révisable et insérer à la place « Cet Article 18.3(a) des DP est sans objet. »</w:t>
            </w:r>
            <w:r w:rsidRPr="004E4188">
              <w:rPr>
                <w:lang w:eastAsia="ja-JP"/>
              </w:rPr>
              <w:t>]</w:t>
            </w:r>
          </w:p>
          <w:p w14:paraId="4EADB2E6" w14:textId="77777777" w:rsidR="006F129D" w:rsidRPr="004E4188" w:rsidRDefault="006F129D" w:rsidP="00D45EAD">
            <w:pPr>
              <w:tabs>
                <w:tab w:val="right" w:pos="7254"/>
              </w:tabs>
              <w:spacing w:beforeLines="60" w:before="144" w:afterLines="60" w:after="144"/>
              <w:contextualSpacing/>
            </w:pPr>
          </w:p>
          <w:p w14:paraId="78B50D13" w14:textId="77777777" w:rsidR="006F129D" w:rsidRPr="004E4188" w:rsidRDefault="006F129D" w:rsidP="00D45EAD">
            <w:pPr>
              <w:tabs>
                <w:tab w:val="right" w:pos="7254"/>
              </w:tabs>
              <w:spacing w:beforeLines="60" w:before="144" w:afterLines="60" w:after="144"/>
              <w:contextualSpacing/>
            </w:pPr>
            <w:r w:rsidRPr="004E4188">
              <w:t>Les parts en monnaie nationale et en monnaie(s) étrangère(s) du Montant du Marché seront actualisées par application de la formule suivante :</w:t>
            </w:r>
          </w:p>
          <w:p w14:paraId="54C384D7" w14:textId="77777777" w:rsidR="006F129D" w:rsidRPr="004E4188" w:rsidRDefault="00000000" w:rsidP="00D45EAD">
            <w:pPr>
              <w:pStyle w:val="aff7"/>
              <w:spacing w:beforeLines="60" w:before="144" w:afterLines="60" w:after="144" w:line="240" w:lineRule="auto"/>
              <w:ind w:leftChars="0" w:left="0"/>
              <w:contextualSpacing/>
              <w:jc w:val="left"/>
              <w:rPr>
                <w:rFonts w:ascii="Times New Roman" w:hAnsi="Times New Roman"/>
                <w:sz w:val="24"/>
                <w:szCs w:val="24"/>
                <w:lang w:val="fr-FR"/>
              </w:rPr>
            </w:pPr>
            <m:oMathPara>
              <m:oMathParaPr>
                <m:jc m:val="left"/>
              </m:oMathParaPr>
              <m:oMath>
                <m:sSub>
                  <m:sSubPr>
                    <m:ctrlPr>
                      <w:rPr>
                        <w:rFonts w:ascii="Cambria Math" w:hAnsi="Cambria Math"/>
                      </w:rPr>
                    </m:ctrlPr>
                  </m:sSubPr>
                  <m:e>
                    <m:r>
                      <m:rPr>
                        <m:sty m:val="p"/>
                      </m:rPr>
                      <w:rPr>
                        <w:rFonts w:ascii="Cambria Math" w:hAnsi="Cambria Math"/>
                        <w:lang w:val="fr-FR"/>
                      </w:rPr>
                      <m:t>BP</m:t>
                    </m:r>
                  </m:e>
                  <m:sub>
                    <m:r>
                      <m:rPr>
                        <m:sty m:val="p"/>
                      </m:rPr>
                      <w:rPr>
                        <w:rFonts w:ascii="Cambria Math" w:hAnsi="Cambria Math"/>
                        <w:lang w:val="fr-FR"/>
                      </w:rPr>
                      <m:t>A</m:t>
                    </m:r>
                  </m:sub>
                </m:sSub>
                <m:r>
                  <w:rPr>
                    <w:rFonts w:ascii="Cambria Math" w:hAnsi="Cambria Math"/>
                    <w:lang w:val="fr-FR"/>
                  </w:rPr>
                  <m:t>=</m:t>
                </m:r>
                <m:sSub>
                  <m:sSubPr>
                    <m:ctrlPr>
                      <w:rPr>
                        <w:rFonts w:ascii="Cambria Math" w:hAnsi="Cambria Math"/>
                      </w:rPr>
                    </m:ctrlPr>
                  </m:sSubPr>
                  <m:e>
                    <m:r>
                      <m:rPr>
                        <m:sty m:val="p"/>
                      </m:rPr>
                      <w:rPr>
                        <w:rFonts w:ascii="Cambria Math" w:hAnsi="Cambria Math"/>
                        <w:lang w:val="fr-FR"/>
                      </w:rPr>
                      <m:t>BP</m:t>
                    </m:r>
                  </m:e>
                  <m:sub>
                    <m:r>
                      <m:rPr>
                        <m:sty m:val="p"/>
                      </m:rPr>
                      <w:rPr>
                        <w:rFonts w:ascii="Cambria Math" w:hAnsi="Cambria Math"/>
                        <w:lang w:val="fr-FR"/>
                      </w:rPr>
                      <m:t>0</m:t>
                    </m:r>
                  </m:sub>
                </m:sSub>
                <m:d>
                  <m:dPr>
                    <m:ctrlPr>
                      <w:rPr>
                        <w:rFonts w:ascii="Cambria Math" w:hAnsi="Cambria Math"/>
                        <w:i/>
                      </w:rPr>
                    </m:ctrlPr>
                  </m:dPr>
                  <m:e>
                    <m:r>
                      <w:rPr>
                        <w:rFonts w:ascii="Cambria Math" w:hAnsi="Cambria Math"/>
                        <w:lang w:val="fr-FR"/>
                      </w:rPr>
                      <m:t>1+</m:t>
                    </m:r>
                    <m:f>
                      <m:fPr>
                        <m:ctrlPr>
                          <w:rPr>
                            <w:rFonts w:ascii="Cambria Math" w:eastAsia="游明朝" w:hAnsi="Cambria Math"/>
                            <w:i/>
                            <w:sz w:val="22"/>
                            <w:szCs w:val="22"/>
                          </w:rPr>
                        </m:ctrlPr>
                      </m:fPr>
                      <m:num>
                        <m:r>
                          <m:rPr>
                            <m:sty m:val="p"/>
                          </m:rPr>
                          <w:rPr>
                            <w:rFonts w:ascii="Cambria Math" w:hAnsi="Cambria Math"/>
                            <w:lang w:val="fr-FR"/>
                          </w:rPr>
                          <m:t>DP×AF</m:t>
                        </m:r>
                      </m:num>
                      <m:den>
                        <m:r>
                          <w:rPr>
                            <w:rFonts w:ascii="Cambria Math" w:hAnsi="Cambria Math"/>
                            <w:lang w:val="fr-FR"/>
                          </w:rPr>
                          <m:t>365</m:t>
                        </m:r>
                      </m:den>
                    </m:f>
                  </m:e>
                </m:d>
              </m:oMath>
            </m:oMathPara>
          </w:p>
          <w:p w14:paraId="6BCC1E85" w14:textId="77777777" w:rsidR="006F129D" w:rsidRPr="004E4188" w:rsidRDefault="006F129D" w:rsidP="00D45EAD">
            <w:pPr>
              <w:pStyle w:val="aff7"/>
              <w:spacing w:beforeLines="60" w:before="144" w:afterLines="60" w:after="144" w:line="240" w:lineRule="auto"/>
              <w:ind w:leftChars="0" w:left="0" w:firstLine="254"/>
              <w:contextualSpacing/>
              <w:jc w:val="left"/>
              <w:rPr>
                <w:rFonts w:ascii="Times New Roman" w:hAnsi="Times New Roman"/>
                <w:sz w:val="24"/>
                <w:szCs w:val="24"/>
              </w:rPr>
            </w:pPr>
          </w:p>
          <w:p w14:paraId="10BBBC2C" w14:textId="77777777" w:rsidR="006F129D" w:rsidRPr="004E4188" w:rsidRDefault="006F129D" w:rsidP="00D45EAD">
            <w:pPr>
              <w:pStyle w:val="aff7"/>
              <w:spacing w:beforeLines="60" w:before="144" w:afterLines="60" w:after="144" w:line="240" w:lineRule="auto"/>
              <w:ind w:leftChars="0" w:left="0" w:firstLine="254"/>
              <w:contextualSpacing/>
              <w:jc w:val="left"/>
              <w:rPr>
                <w:rFonts w:ascii="Times New Roman" w:hAnsi="Times New Roman"/>
                <w:sz w:val="24"/>
                <w:szCs w:val="24"/>
                <w:lang w:val="fr-FR"/>
              </w:rPr>
            </w:pPr>
            <w:r w:rsidRPr="004E4188">
              <w:rPr>
                <w:rFonts w:ascii="Times New Roman" w:hAnsi="Times New Roman"/>
                <w:iCs/>
                <w:sz w:val="24"/>
                <w:szCs w:val="24"/>
                <w:lang w:val="fr-FR"/>
              </w:rPr>
              <w:t>dans laquelle </w:t>
            </w:r>
            <w:r w:rsidRPr="004E4188">
              <w:rPr>
                <w:rFonts w:ascii="Times New Roman" w:hAnsi="Times New Roman"/>
                <w:sz w:val="24"/>
                <w:szCs w:val="24"/>
                <w:lang w:val="fr-FR"/>
              </w:rPr>
              <w:t>:</w:t>
            </w:r>
          </w:p>
          <w:p w14:paraId="0D2E8E2C" w14:textId="77777777" w:rsidR="006F129D" w:rsidRPr="004E4188" w:rsidRDefault="006F129D" w:rsidP="00DF1AD5">
            <w:pPr>
              <w:pStyle w:val="aff7"/>
              <w:spacing w:beforeLines="60" w:before="144" w:after="120" w:line="240" w:lineRule="auto"/>
              <w:ind w:leftChars="0" w:left="220"/>
              <w:contextualSpacing/>
              <w:rPr>
                <w:rFonts w:ascii="Times New Roman" w:hAnsi="Times New Roman"/>
                <w:sz w:val="24"/>
                <w:szCs w:val="24"/>
                <w:lang w:val="fr-FR"/>
              </w:rPr>
            </w:pPr>
            <w:r w:rsidRPr="004E4188">
              <w:rPr>
                <w:rFonts w:ascii="Times New Roman" w:hAnsi="Times New Roman"/>
                <w:sz w:val="24"/>
                <w:szCs w:val="24"/>
                <w:lang w:val="fr-FR"/>
              </w:rPr>
              <w:t>BP</w:t>
            </w:r>
            <w:r w:rsidRPr="004E4188">
              <w:rPr>
                <w:rFonts w:ascii="Times New Roman" w:hAnsi="Times New Roman"/>
                <w:sz w:val="24"/>
                <w:szCs w:val="24"/>
                <w:vertAlign w:val="subscript"/>
                <w:lang w:val="fr-FR"/>
              </w:rPr>
              <w:t>A</w:t>
            </w:r>
            <w:r w:rsidRPr="004E4188">
              <w:rPr>
                <w:rFonts w:ascii="Times New Roman" w:hAnsi="Times New Roman"/>
                <w:sz w:val="24"/>
                <w:szCs w:val="24"/>
                <w:lang w:val="fr-FR"/>
              </w:rPr>
              <w:t xml:space="preserve"> est la part en monnaie nationale (ou étrangère(s)) du Montant de l’offre, ajustée pour tenir compte du retard dans l’attribution du Marché.</w:t>
            </w:r>
          </w:p>
          <w:p w14:paraId="4E10EB93" w14:textId="77777777" w:rsidR="006F129D" w:rsidRPr="004E4188" w:rsidRDefault="006F129D" w:rsidP="00DF1AD5">
            <w:pPr>
              <w:pStyle w:val="aff7"/>
              <w:spacing w:beforeLines="60" w:before="144" w:afterLines="60" w:after="144" w:line="240" w:lineRule="auto"/>
              <w:ind w:leftChars="0" w:left="220"/>
              <w:contextualSpacing/>
              <w:rPr>
                <w:rFonts w:ascii="Times New Roman" w:hAnsi="Times New Roman"/>
                <w:sz w:val="24"/>
                <w:szCs w:val="24"/>
                <w:lang w:val="fr-FR"/>
              </w:rPr>
            </w:pPr>
            <w:r w:rsidRPr="004E4188">
              <w:rPr>
                <w:rFonts w:ascii="Times New Roman" w:hAnsi="Times New Roman"/>
                <w:sz w:val="24"/>
                <w:szCs w:val="24"/>
                <w:lang w:val="fr-FR"/>
              </w:rPr>
              <w:t>BP</w:t>
            </w:r>
            <w:r w:rsidRPr="004E4188">
              <w:rPr>
                <w:rFonts w:ascii="Times New Roman" w:hAnsi="Times New Roman"/>
                <w:sz w:val="24"/>
                <w:szCs w:val="24"/>
                <w:vertAlign w:val="subscript"/>
                <w:lang w:val="fr-FR"/>
              </w:rPr>
              <w:t>O</w:t>
            </w:r>
            <w:r w:rsidRPr="004E4188">
              <w:rPr>
                <w:rFonts w:ascii="Times New Roman" w:hAnsi="Times New Roman"/>
                <w:sz w:val="24"/>
                <w:szCs w:val="24"/>
                <w:lang w:val="fr-FR"/>
              </w:rPr>
              <w:t xml:space="preserve"> est la part en monnaie nationale (ou étrangère(s)) du Montant de l’offre, indiquée dans la Lettre de soumission.</w:t>
            </w:r>
          </w:p>
          <w:p w14:paraId="7A2A4C14" w14:textId="77777777" w:rsidR="006F129D" w:rsidRPr="004E4188" w:rsidRDefault="006F129D" w:rsidP="00DF1AD5">
            <w:pPr>
              <w:pStyle w:val="aff7"/>
              <w:spacing w:beforeLines="60" w:before="144" w:afterLines="60" w:after="144" w:line="240" w:lineRule="auto"/>
              <w:ind w:leftChars="0" w:left="220"/>
              <w:contextualSpacing/>
              <w:rPr>
                <w:rFonts w:ascii="Times New Roman" w:hAnsi="Times New Roman"/>
                <w:sz w:val="24"/>
                <w:szCs w:val="24"/>
                <w:lang w:val="fr-FR"/>
              </w:rPr>
            </w:pPr>
            <w:r w:rsidRPr="004E4188">
              <w:rPr>
                <w:rFonts w:ascii="Times New Roman" w:hAnsi="Times New Roman"/>
                <w:sz w:val="24"/>
                <w:szCs w:val="24"/>
                <w:lang w:val="fr-FR"/>
              </w:rPr>
              <w:t>DP</w:t>
            </w:r>
            <w:r w:rsidRPr="004E4188">
              <w:rPr>
                <w:rFonts w:ascii="Times New Roman" w:hAnsi="Times New Roman"/>
                <w:iCs/>
                <w:sz w:val="24"/>
                <w:szCs w:val="24"/>
                <w:lang w:val="fr-FR"/>
              </w:rPr>
              <w:t xml:space="preserve"> est la durée du retard, calculée en nombre de jours écoulés entre la date d’attribution du Marché et la date, cinquante-six (56) jours après l’expiration de la période de validité initiale de l’offre.</w:t>
            </w:r>
          </w:p>
          <w:p w14:paraId="43B587C3" w14:textId="77777777" w:rsidR="006F129D" w:rsidRPr="004E4188" w:rsidRDefault="006F129D" w:rsidP="00D45EAD">
            <w:pPr>
              <w:pStyle w:val="aff7"/>
              <w:spacing w:beforeLines="60" w:before="144" w:afterLines="60" w:after="144" w:line="240" w:lineRule="auto"/>
              <w:ind w:leftChars="0" w:left="220"/>
              <w:contextualSpacing/>
              <w:rPr>
                <w:rFonts w:ascii="Times New Roman" w:hAnsi="Times New Roman"/>
                <w:sz w:val="24"/>
                <w:szCs w:val="24"/>
                <w:lang w:val="fr-FR"/>
              </w:rPr>
            </w:pPr>
            <w:r w:rsidRPr="004E4188">
              <w:rPr>
                <w:rFonts w:ascii="Times New Roman" w:hAnsi="Times New Roman"/>
                <w:sz w:val="24"/>
                <w:szCs w:val="24"/>
                <w:lang w:val="fr-FR"/>
              </w:rPr>
              <w:t>AF est :</w:t>
            </w:r>
          </w:p>
          <w:p w14:paraId="26261E48" w14:textId="1BAAE0BF" w:rsidR="006F129D" w:rsidRPr="004E4188" w:rsidRDefault="006F129D" w:rsidP="00D45EAD">
            <w:pPr>
              <w:pStyle w:val="StyleHeader1-ClausesAfter0pt"/>
              <w:tabs>
                <w:tab w:val="left" w:pos="1006"/>
              </w:tabs>
              <w:spacing w:before="60" w:after="60"/>
              <w:ind w:left="645" w:hanging="425"/>
              <w:contextualSpacing/>
              <w:rPr>
                <w:szCs w:val="24"/>
                <w:lang w:val="fr-FR"/>
              </w:rPr>
            </w:pPr>
            <w:r w:rsidRPr="004E4188">
              <w:rPr>
                <w:szCs w:val="24"/>
                <w:lang w:val="fr-FR"/>
              </w:rPr>
              <w:t>(a)</w:t>
            </w:r>
            <w:r w:rsidRPr="004E4188">
              <w:rPr>
                <w:szCs w:val="24"/>
                <w:lang w:val="fr-FR"/>
              </w:rPr>
              <w:tab/>
              <w:t>dans le cas de la monnaie nationale, le taux annuel moyen d’inflation dans le pays du Maître d’ouvrage, calculé à partir des données officiellement publiées par l’autorité compétente du pays du Maître d’ouvrage en charge de la publication de ces données, sur les trois (3) dernières années à compter d’un (1) mois avant la date d’attribution du Marché</w:t>
            </w:r>
            <w:r w:rsidR="00A7493D" w:rsidRPr="004E4188">
              <w:rPr>
                <w:szCs w:val="24"/>
                <w:lang w:val="fr-FR"/>
              </w:rPr>
              <w:t> ;</w:t>
            </w:r>
          </w:p>
          <w:p w14:paraId="1F646CDA" w14:textId="77777777" w:rsidR="006F129D" w:rsidRPr="004E4188" w:rsidDel="00621B4A" w:rsidRDefault="006F129D" w:rsidP="00862FCC">
            <w:pPr>
              <w:pStyle w:val="StyleHeader1-ClausesAfter0pt"/>
              <w:tabs>
                <w:tab w:val="left" w:pos="1006"/>
              </w:tabs>
              <w:spacing w:before="60" w:after="120"/>
              <w:ind w:left="645" w:hanging="425"/>
              <w:contextualSpacing/>
              <w:rPr>
                <w:bCs w:val="0"/>
                <w:iCs/>
                <w:lang w:val="fr-FR"/>
              </w:rPr>
            </w:pPr>
            <w:r w:rsidRPr="004E4188">
              <w:rPr>
                <w:szCs w:val="24"/>
                <w:lang w:val="fr-FR"/>
              </w:rPr>
              <w:t>(b)</w:t>
            </w:r>
            <w:r w:rsidRPr="004E4188">
              <w:rPr>
                <w:szCs w:val="24"/>
                <w:lang w:val="fr-FR"/>
              </w:rPr>
              <w:tab/>
              <w:t>dans le cas de la(les) monnaie(s) étrangère(s), le taux annuel moyen d’inflation dans le pays de la monnaie étrangère, calculé à partir des données officiellement publiées par l’autorité compétente de ce pays en charge de la publication de ces données, sur les trois (3) dernières années à compter d’un (1) mois avant la date d’attribution du Marché.</w:t>
            </w:r>
          </w:p>
        </w:tc>
      </w:tr>
      <w:tr w:rsidR="006F129D" w:rsidRPr="004E4188" w:rsidDel="00121EE8" w14:paraId="0188A927" w14:textId="77777777" w:rsidTr="00D45EAD">
        <w:trPr>
          <w:trHeight w:val="688"/>
        </w:trPr>
        <w:tc>
          <w:tcPr>
            <w:tcW w:w="1320" w:type="dxa"/>
            <w:tcBorders>
              <w:top w:val="single" w:sz="8" w:space="0" w:color="000000"/>
              <w:bottom w:val="single" w:sz="8" w:space="0" w:color="000000"/>
              <w:right w:val="single" w:sz="8" w:space="0" w:color="000000"/>
            </w:tcBorders>
          </w:tcPr>
          <w:p w14:paraId="6B5C6940" w14:textId="77777777" w:rsidR="006F129D" w:rsidRPr="004E4188" w:rsidRDefault="006F129D" w:rsidP="00D45EAD">
            <w:pPr>
              <w:tabs>
                <w:tab w:val="right" w:pos="7434"/>
              </w:tabs>
              <w:spacing w:before="60" w:after="60"/>
              <w:rPr>
                <w:b/>
              </w:rPr>
            </w:pPr>
            <w:r w:rsidRPr="004E4188">
              <w:rPr>
                <w:b/>
              </w:rPr>
              <w:t>IS 19.1</w:t>
            </w:r>
          </w:p>
          <w:p w14:paraId="533EB209" w14:textId="77777777" w:rsidR="006F129D" w:rsidRPr="004E4188" w:rsidDel="00121EE8" w:rsidRDefault="006F129D" w:rsidP="00D45EAD">
            <w:pPr>
              <w:tabs>
                <w:tab w:val="right" w:pos="7434"/>
              </w:tabs>
              <w:spacing w:after="120"/>
              <w:rPr>
                <w:b/>
              </w:rPr>
            </w:pPr>
          </w:p>
        </w:tc>
        <w:tc>
          <w:tcPr>
            <w:tcW w:w="7680" w:type="dxa"/>
            <w:tcBorders>
              <w:top w:val="single" w:sz="8" w:space="0" w:color="000000"/>
              <w:left w:val="single" w:sz="8" w:space="0" w:color="000000"/>
              <w:bottom w:val="single" w:sz="8" w:space="0" w:color="000000"/>
            </w:tcBorders>
          </w:tcPr>
          <w:p w14:paraId="2740F1CA" w14:textId="77777777" w:rsidR="006F129D" w:rsidRPr="004E4188" w:rsidDel="00121EE8" w:rsidRDefault="006F129D" w:rsidP="0012136F">
            <w:pPr>
              <w:suppressAutoHyphens w:val="0"/>
              <w:spacing w:before="60" w:after="120"/>
            </w:pPr>
            <w:r w:rsidRPr="004E4188">
              <w:t xml:space="preserve">Le montant et la monnaie de la garantie </w:t>
            </w:r>
            <w:r w:rsidRPr="004E4188">
              <w:rPr>
                <w:szCs w:val="24"/>
                <w:lang w:eastAsia="ja-JP"/>
              </w:rPr>
              <w:t>de soumission</w:t>
            </w:r>
            <w:r w:rsidRPr="004E4188">
              <w:t xml:space="preserve"> sont : [</w:t>
            </w:r>
            <w:r w:rsidRPr="004E4188">
              <w:rPr>
                <w:i/>
              </w:rPr>
              <w:t>Indiquer le montant et la monnaie. Le montant doit être fixé entre 1,5% et 2,5</w:t>
            </w:r>
            <w:r w:rsidRPr="004E4188">
              <w:rPr>
                <w:rFonts w:hint="eastAsia"/>
                <w:i/>
                <w:lang w:eastAsia="ja-JP"/>
              </w:rPr>
              <w:t xml:space="preserve">% </w:t>
            </w:r>
            <w:r w:rsidRPr="004E4188">
              <w:rPr>
                <w:i/>
                <w:lang w:eastAsia="ja-JP"/>
              </w:rPr>
              <w:t>de la valeur estimée du Marché</w:t>
            </w:r>
            <w:r w:rsidRPr="004E4188">
              <w:rPr>
                <w:bCs/>
                <w:i/>
                <w:lang w:eastAsia="ja-JP"/>
              </w:rPr>
              <w:t>.</w:t>
            </w:r>
            <w:r w:rsidRPr="004E4188">
              <w:rPr>
                <w:bCs/>
              </w:rPr>
              <w:t>]</w:t>
            </w:r>
          </w:p>
        </w:tc>
      </w:tr>
      <w:tr w:rsidR="006F129D" w:rsidRPr="004E4188" w:rsidDel="00121EE8" w14:paraId="3C2753F1" w14:textId="77777777" w:rsidTr="00D45EAD">
        <w:trPr>
          <w:trHeight w:val="688"/>
        </w:trPr>
        <w:tc>
          <w:tcPr>
            <w:tcW w:w="1320" w:type="dxa"/>
            <w:tcBorders>
              <w:top w:val="single" w:sz="8" w:space="0" w:color="000000"/>
              <w:bottom w:val="single" w:sz="8" w:space="0" w:color="000000"/>
              <w:right w:val="single" w:sz="8" w:space="0" w:color="000000"/>
            </w:tcBorders>
          </w:tcPr>
          <w:p w14:paraId="72CDFDAE" w14:textId="77777777" w:rsidR="006F129D" w:rsidRPr="004E4188" w:rsidRDefault="006F129D" w:rsidP="00D45EAD">
            <w:pPr>
              <w:tabs>
                <w:tab w:val="right" w:pos="7434"/>
              </w:tabs>
              <w:spacing w:before="60" w:after="60"/>
              <w:rPr>
                <w:b/>
              </w:rPr>
            </w:pPr>
            <w:r w:rsidRPr="004E4188">
              <w:rPr>
                <w:b/>
              </w:rPr>
              <w:t>IS 19.</w:t>
            </w:r>
            <w:r w:rsidRPr="004E4188">
              <w:rPr>
                <w:b/>
                <w:lang w:eastAsia="ja-JP"/>
              </w:rPr>
              <w:t>2</w:t>
            </w:r>
            <w:r w:rsidRPr="004E4188">
              <w:rPr>
                <w:b/>
              </w:rPr>
              <w:t>(d)</w:t>
            </w:r>
          </w:p>
        </w:tc>
        <w:tc>
          <w:tcPr>
            <w:tcW w:w="7680" w:type="dxa"/>
            <w:tcBorders>
              <w:top w:val="single" w:sz="8" w:space="0" w:color="000000"/>
              <w:left w:val="single" w:sz="8" w:space="0" w:color="000000"/>
              <w:bottom w:val="single" w:sz="8" w:space="0" w:color="000000"/>
            </w:tcBorders>
          </w:tcPr>
          <w:p w14:paraId="6389E51C" w14:textId="057CC4B3" w:rsidR="006F129D" w:rsidRPr="004E4188" w:rsidRDefault="006F129D" w:rsidP="002179A6">
            <w:pPr>
              <w:suppressAutoHyphens w:val="0"/>
              <w:spacing w:before="60" w:after="120"/>
              <w:jc w:val="left"/>
            </w:pPr>
            <w:r w:rsidRPr="004E4188">
              <w:t>Autres types de garantie acceptables : [</w:t>
            </w:r>
            <w:r w:rsidRPr="004E4188">
              <w:rPr>
                <w:i/>
              </w:rPr>
              <w:t xml:space="preserve">Indiquer les autres formes de garantie </w:t>
            </w:r>
            <w:r w:rsidRPr="004E4188">
              <w:rPr>
                <w:i/>
                <w:szCs w:val="24"/>
                <w:lang w:eastAsia="ja-JP"/>
              </w:rPr>
              <w:t>de soumission</w:t>
            </w:r>
            <w:r w:rsidRPr="004E4188">
              <w:rPr>
                <w:i/>
              </w:rPr>
              <w:t xml:space="preserve"> acceptables. Indiquer « aucune » si aucune autre forme que celles citées à IS 19.2 (a) </w:t>
            </w:r>
            <w:r w:rsidR="002179A6" w:rsidRPr="004E4188">
              <w:rPr>
                <w:i/>
              </w:rPr>
              <w:t xml:space="preserve">à </w:t>
            </w:r>
            <w:r w:rsidRPr="004E4188">
              <w:rPr>
                <w:i/>
              </w:rPr>
              <w:t>(c) n’est permise.</w:t>
            </w:r>
            <w:r w:rsidRPr="004E4188">
              <w:rPr>
                <w:bCs/>
                <w:iCs/>
              </w:rPr>
              <w:t>]</w:t>
            </w:r>
          </w:p>
        </w:tc>
      </w:tr>
      <w:tr w:rsidR="006F129D" w:rsidRPr="004E4188" w14:paraId="470C6B35" w14:textId="77777777" w:rsidTr="001870BD">
        <w:tc>
          <w:tcPr>
            <w:tcW w:w="1320" w:type="dxa"/>
            <w:tcBorders>
              <w:top w:val="single" w:sz="6" w:space="0" w:color="000000"/>
              <w:bottom w:val="single" w:sz="8" w:space="0" w:color="000000"/>
              <w:right w:val="single" w:sz="8" w:space="0" w:color="000000"/>
            </w:tcBorders>
          </w:tcPr>
          <w:p w14:paraId="5F469D95" w14:textId="1CD5C034" w:rsidR="006F129D" w:rsidRPr="004E4188" w:rsidRDefault="006F129D" w:rsidP="0073615B">
            <w:pPr>
              <w:tabs>
                <w:tab w:val="right" w:pos="7434"/>
              </w:tabs>
              <w:spacing w:before="60" w:after="120"/>
              <w:rPr>
                <w:b/>
              </w:rPr>
            </w:pPr>
            <w:r w:rsidRPr="004E4188">
              <w:rPr>
                <w:b/>
              </w:rPr>
              <w:t>IS 20.1</w:t>
            </w:r>
          </w:p>
        </w:tc>
        <w:tc>
          <w:tcPr>
            <w:tcW w:w="7680" w:type="dxa"/>
            <w:tcBorders>
              <w:top w:val="single" w:sz="6" w:space="0" w:color="000000"/>
              <w:left w:val="single" w:sz="8" w:space="0" w:color="000000"/>
              <w:bottom w:val="single" w:sz="8" w:space="0" w:color="000000"/>
            </w:tcBorders>
          </w:tcPr>
          <w:p w14:paraId="331851F1" w14:textId="4F3B3B98" w:rsidR="006F129D" w:rsidRPr="004E4188" w:rsidRDefault="006F129D" w:rsidP="0073615B">
            <w:pPr>
              <w:tabs>
                <w:tab w:val="right" w:pos="7254"/>
              </w:tabs>
              <w:spacing w:before="60" w:afterLines="50" w:after="120"/>
            </w:pPr>
            <w:r w:rsidRPr="004E4188">
              <w:t>Outre l’original de l’offre, le nombre de copies demandé est de : [</w:t>
            </w:r>
            <w:r w:rsidRPr="004E4188">
              <w:rPr>
                <w:i/>
              </w:rPr>
              <w:t>indiquer le nombre</w:t>
            </w:r>
            <w:r w:rsidRPr="004E4188">
              <w:t>]</w:t>
            </w:r>
          </w:p>
        </w:tc>
      </w:tr>
      <w:tr w:rsidR="006F129D" w:rsidRPr="004E4188" w14:paraId="45EE7B12" w14:textId="77777777" w:rsidTr="001870BD">
        <w:tc>
          <w:tcPr>
            <w:tcW w:w="9000" w:type="dxa"/>
            <w:gridSpan w:val="2"/>
            <w:tcBorders>
              <w:top w:val="single" w:sz="8" w:space="0" w:color="000000"/>
              <w:bottom w:val="single" w:sz="8" w:space="0" w:color="000000"/>
            </w:tcBorders>
            <w:shd w:val="clear" w:color="auto" w:fill="E6E6E6"/>
          </w:tcPr>
          <w:p w14:paraId="19E01E13" w14:textId="77777777" w:rsidR="006F129D" w:rsidRPr="004E4188" w:rsidRDefault="006F129D" w:rsidP="00D45EAD">
            <w:pPr>
              <w:tabs>
                <w:tab w:val="right" w:pos="7434"/>
              </w:tabs>
              <w:spacing w:before="120" w:after="120"/>
              <w:jc w:val="center"/>
              <w:rPr>
                <w:b/>
                <w:sz w:val="28"/>
              </w:rPr>
            </w:pPr>
            <w:r w:rsidRPr="004E4188">
              <w:rPr>
                <w:b/>
                <w:sz w:val="28"/>
              </w:rPr>
              <w:t>D.  Remise et ouverture des offres</w:t>
            </w:r>
          </w:p>
        </w:tc>
      </w:tr>
      <w:tr w:rsidR="006F129D" w:rsidRPr="004E4188" w14:paraId="68AC31E4" w14:textId="77777777" w:rsidTr="001870BD">
        <w:tc>
          <w:tcPr>
            <w:tcW w:w="1320" w:type="dxa"/>
            <w:tcBorders>
              <w:top w:val="single" w:sz="8" w:space="0" w:color="000000"/>
              <w:bottom w:val="single" w:sz="6" w:space="0" w:color="000000"/>
              <w:right w:val="single" w:sz="8" w:space="0" w:color="000000"/>
            </w:tcBorders>
          </w:tcPr>
          <w:p w14:paraId="68F435E8" w14:textId="36589CBA" w:rsidR="006F129D" w:rsidRPr="004E4188" w:rsidRDefault="006F129D" w:rsidP="0073615B">
            <w:pPr>
              <w:tabs>
                <w:tab w:val="right" w:pos="7434"/>
              </w:tabs>
              <w:spacing w:before="60" w:after="120"/>
              <w:rPr>
                <w:b/>
              </w:rPr>
            </w:pPr>
            <w:r w:rsidRPr="004E4188">
              <w:rPr>
                <w:b/>
              </w:rPr>
              <w:t>IS 22.1</w:t>
            </w:r>
          </w:p>
        </w:tc>
        <w:tc>
          <w:tcPr>
            <w:tcW w:w="7680" w:type="dxa"/>
            <w:tcBorders>
              <w:top w:val="single" w:sz="8" w:space="0" w:color="000000"/>
              <w:left w:val="single" w:sz="8" w:space="0" w:color="000000"/>
              <w:bottom w:val="single" w:sz="6" w:space="0" w:color="000000"/>
            </w:tcBorders>
          </w:tcPr>
          <w:p w14:paraId="7BC4F359" w14:textId="101EC554" w:rsidR="006F129D" w:rsidRPr="004E4188" w:rsidRDefault="006F129D" w:rsidP="0073615B">
            <w:pPr>
              <w:tabs>
                <w:tab w:val="right" w:pos="7254"/>
              </w:tabs>
              <w:spacing w:before="60" w:afterLines="50" w:after="120"/>
            </w:pPr>
            <w:r w:rsidRPr="004E4188">
              <w:t xml:space="preserve">Aux fins de la </w:t>
            </w:r>
            <w:r w:rsidRPr="004E4188">
              <w:rPr>
                <w:b/>
                <w:u w:val="single"/>
              </w:rPr>
              <w:t>remise des offres</w:t>
            </w:r>
            <w:r w:rsidRPr="004E4188">
              <w:t xml:space="preserve">, uniquement, l’adresse du Maître d’ouvrage est la suivante : </w:t>
            </w:r>
          </w:p>
          <w:p w14:paraId="4DB89704" w14:textId="77777777" w:rsidR="006F129D" w:rsidRPr="004E4188" w:rsidRDefault="006F129D" w:rsidP="00D45EAD">
            <w:pPr>
              <w:tabs>
                <w:tab w:val="right" w:pos="7254"/>
              </w:tabs>
              <w:spacing w:afterLines="50" w:after="120"/>
            </w:pPr>
            <w:r w:rsidRPr="004E4188">
              <w:t>Attention : [</w:t>
            </w:r>
            <w:r w:rsidRPr="004E4188">
              <w:rPr>
                <w:i/>
              </w:rPr>
              <w:t>in</w:t>
            </w:r>
            <w:r w:rsidRPr="004E4188">
              <w:rPr>
                <w:i/>
                <w:lang w:eastAsia="ja-JP"/>
              </w:rPr>
              <w:t>diquer</w:t>
            </w:r>
            <w:r w:rsidRPr="004E4188">
              <w:rPr>
                <w:i/>
              </w:rPr>
              <w:t xml:space="preserve"> le nom de la personne responsable, le cas échéant</w:t>
            </w:r>
            <w:r w:rsidRPr="004E4188">
              <w:t>]</w:t>
            </w:r>
          </w:p>
          <w:p w14:paraId="3D864DB1" w14:textId="77777777" w:rsidR="006F129D" w:rsidRPr="004E4188" w:rsidRDefault="006F129D" w:rsidP="00D45EAD">
            <w:pPr>
              <w:tabs>
                <w:tab w:val="right" w:pos="7254"/>
              </w:tabs>
              <w:suppressAutoHyphens w:val="0"/>
              <w:overflowPunct/>
              <w:autoSpaceDE/>
              <w:autoSpaceDN/>
              <w:adjustRightInd/>
              <w:textAlignment w:val="auto"/>
              <w:rPr>
                <w:lang w:eastAsia="ja-JP"/>
              </w:rPr>
            </w:pPr>
            <w:r w:rsidRPr="004E4188">
              <w:rPr>
                <w:lang w:eastAsia="en-US"/>
              </w:rPr>
              <w:t>Adresse postale : [</w:t>
            </w:r>
            <w:r w:rsidRPr="004E4188">
              <w:rPr>
                <w:i/>
                <w:lang w:eastAsia="en-US"/>
              </w:rPr>
              <w:t>indiquer l’adresse postale</w:t>
            </w:r>
            <w:r w:rsidRPr="004E4188">
              <w:rPr>
                <w:iCs/>
                <w:lang w:eastAsia="en-US"/>
              </w:rPr>
              <w:t>]</w:t>
            </w:r>
          </w:p>
          <w:p w14:paraId="65DE9C55" w14:textId="77777777" w:rsidR="006F129D" w:rsidRPr="004E4188" w:rsidRDefault="006F129D" w:rsidP="00F004F9">
            <w:pPr>
              <w:tabs>
                <w:tab w:val="right" w:pos="7254"/>
              </w:tabs>
              <w:spacing w:after="120"/>
              <w:rPr>
                <w:b/>
              </w:rPr>
            </w:pPr>
          </w:p>
          <w:p w14:paraId="28205740" w14:textId="77777777" w:rsidR="006F129D" w:rsidRPr="004E4188" w:rsidRDefault="006F129D" w:rsidP="00D45EAD">
            <w:pPr>
              <w:tabs>
                <w:tab w:val="right" w:pos="7254"/>
              </w:tabs>
              <w:spacing w:afterLines="50" w:after="120"/>
              <w:rPr>
                <w:b/>
              </w:rPr>
            </w:pPr>
            <w:r w:rsidRPr="004E4188">
              <w:rPr>
                <w:b/>
              </w:rPr>
              <w:t xml:space="preserve">La date et </w:t>
            </w:r>
            <w:r w:rsidRPr="004E4188">
              <w:rPr>
                <w:rFonts w:hint="eastAsia"/>
                <w:b/>
              </w:rPr>
              <w:t>l</w:t>
            </w:r>
            <w:r w:rsidRPr="004E4188">
              <w:rPr>
                <w:b/>
              </w:rPr>
              <w:t>’heure limites de remise des offres sont les suivantes :</w:t>
            </w:r>
          </w:p>
          <w:p w14:paraId="7BBFFB14" w14:textId="15F906EC" w:rsidR="006F129D" w:rsidRPr="004E4188" w:rsidRDefault="006F129D" w:rsidP="00D45EAD">
            <w:pPr>
              <w:tabs>
                <w:tab w:val="right" w:pos="7254"/>
              </w:tabs>
              <w:spacing w:afterLines="50" w:after="120"/>
            </w:pPr>
            <w:r w:rsidRPr="004E4188">
              <w:t>Date : [</w:t>
            </w:r>
            <w:r w:rsidRPr="004E4188">
              <w:rPr>
                <w:i/>
              </w:rPr>
              <w:t>indiquer les jour, mois et an, p. ex. : 15 juin 201</w:t>
            </w:r>
            <w:r w:rsidRPr="004E4188">
              <w:rPr>
                <w:rFonts w:hint="eastAsia"/>
                <w:i/>
                <w:lang w:eastAsia="ja-JP"/>
              </w:rPr>
              <w:t>8</w:t>
            </w:r>
            <w:r w:rsidRPr="004E4188">
              <w:t>]</w:t>
            </w:r>
          </w:p>
          <w:p w14:paraId="784420D3" w14:textId="1E92BB2E" w:rsidR="006F129D" w:rsidRPr="004E4188" w:rsidRDefault="006F129D" w:rsidP="00ED2CD6">
            <w:pPr>
              <w:tabs>
                <w:tab w:val="right" w:pos="7254"/>
              </w:tabs>
              <w:spacing w:after="120"/>
              <w:jc w:val="left"/>
            </w:pPr>
            <w:r w:rsidRPr="004E4188">
              <w:t>Heure : [</w:t>
            </w:r>
            <w:r w:rsidRPr="004E4188">
              <w:rPr>
                <w:i/>
              </w:rPr>
              <w:t>indiquer l’heure selon le système horaire sur 24 heures, p. ex. </w:t>
            </w:r>
            <w:r w:rsidR="00ED2CD6" w:rsidRPr="004E4188">
              <w:rPr>
                <w:i/>
              </w:rPr>
              <w:t>:</w:t>
            </w:r>
            <w:r w:rsidRPr="004E4188">
              <w:rPr>
                <w:i/>
              </w:rPr>
              <w:t xml:space="preserve"> 14:00</w:t>
            </w:r>
            <w:r w:rsidRPr="004E4188">
              <w:t>]</w:t>
            </w:r>
          </w:p>
        </w:tc>
      </w:tr>
      <w:tr w:rsidR="006F129D" w:rsidRPr="004E4188" w14:paraId="280DF821" w14:textId="77777777" w:rsidTr="001870BD">
        <w:tc>
          <w:tcPr>
            <w:tcW w:w="1320" w:type="dxa"/>
            <w:tcBorders>
              <w:top w:val="single" w:sz="6" w:space="0" w:color="000000"/>
              <w:bottom w:val="single" w:sz="8" w:space="0" w:color="000000"/>
              <w:right w:val="single" w:sz="8" w:space="0" w:color="000000"/>
            </w:tcBorders>
          </w:tcPr>
          <w:p w14:paraId="3102DFC1" w14:textId="54DBB471" w:rsidR="006F129D" w:rsidRPr="004E4188" w:rsidRDefault="006F129D" w:rsidP="0073615B">
            <w:pPr>
              <w:tabs>
                <w:tab w:val="right" w:pos="7434"/>
              </w:tabs>
              <w:spacing w:before="60" w:after="120"/>
              <w:rPr>
                <w:b/>
              </w:rPr>
            </w:pPr>
            <w:r w:rsidRPr="004E4188">
              <w:rPr>
                <w:b/>
              </w:rPr>
              <w:t>IS 25.1</w:t>
            </w:r>
          </w:p>
        </w:tc>
        <w:tc>
          <w:tcPr>
            <w:tcW w:w="7680" w:type="dxa"/>
            <w:tcBorders>
              <w:top w:val="single" w:sz="6" w:space="0" w:color="000000"/>
              <w:left w:val="single" w:sz="8" w:space="0" w:color="000000"/>
              <w:bottom w:val="single" w:sz="8" w:space="0" w:color="000000"/>
            </w:tcBorders>
          </w:tcPr>
          <w:p w14:paraId="564EC67B" w14:textId="77777777" w:rsidR="006F129D" w:rsidRPr="004E4188" w:rsidRDefault="006F129D" w:rsidP="0073615B">
            <w:pPr>
              <w:tabs>
                <w:tab w:val="right" w:pos="7254"/>
              </w:tabs>
              <w:spacing w:before="60" w:afterLines="100" w:after="240"/>
            </w:pPr>
            <w:r w:rsidRPr="004E4188">
              <w:t>L’ouverture des Offres Techniques aura lieu à l’adresse, à la date et à l’heure suivantes :</w:t>
            </w:r>
          </w:p>
          <w:p w14:paraId="27212E95" w14:textId="77777777" w:rsidR="006F129D" w:rsidRPr="004E4188" w:rsidRDefault="006F129D" w:rsidP="00862FCC">
            <w:pPr>
              <w:tabs>
                <w:tab w:val="right" w:pos="7254"/>
              </w:tabs>
              <w:suppressAutoHyphens w:val="0"/>
              <w:overflowPunct/>
              <w:autoSpaceDE/>
              <w:autoSpaceDN/>
              <w:adjustRightInd/>
              <w:spacing w:afterLines="50" w:after="120"/>
              <w:textAlignment w:val="auto"/>
              <w:rPr>
                <w:lang w:eastAsia="en-US"/>
              </w:rPr>
            </w:pPr>
            <w:r w:rsidRPr="004E4188">
              <w:rPr>
                <w:lang w:eastAsia="en-US"/>
              </w:rPr>
              <w:t>Adresse postale : [</w:t>
            </w:r>
            <w:r w:rsidRPr="004E4188">
              <w:rPr>
                <w:i/>
                <w:lang w:eastAsia="en-US"/>
              </w:rPr>
              <w:t>indiquer l’adresse postale</w:t>
            </w:r>
            <w:r w:rsidRPr="004E4188">
              <w:rPr>
                <w:iCs/>
                <w:lang w:eastAsia="en-US"/>
              </w:rPr>
              <w:t>]</w:t>
            </w:r>
          </w:p>
          <w:p w14:paraId="15E222FB" w14:textId="6A038179" w:rsidR="006F129D" w:rsidRPr="004E4188" w:rsidRDefault="006F129D" w:rsidP="00D45EAD">
            <w:pPr>
              <w:tabs>
                <w:tab w:val="right" w:pos="7254"/>
              </w:tabs>
              <w:spacing w:afterLines="50" w:after="120"/>
            </w:pPr>
            <w:r w:rsidRPr="004E4188">
              <w:t>Date : [</w:t>
            </w:r>
            <w:r w:rsidRPr="004E4188">
              <w:rPr>
                <w:i/>
              </w:rPr>
              <w:t>indiquer les jour, mois et an, p. ex. : 15 juin 2018</w:t>
            </w:r>
            <w:r w:rsidRPr="004E4188">
              <w:t>]</w:t>
            </w:r>
          </w:p>
          <w:p w14:paraId="1F64AAF6" w14:textId="263D9BA3" w:rsidR="006F129D" w:rsidRPr="004E4188" w:rsidRDefault="006F129D" w:rsidP="00D45EAD">
            <w:pPr>
              <w:tabs>
                <w:tab w:val="right" w:pos="7254"/>
              </w:tabs>
              <w:spacing w:after="120"/>
            </w:pPr>
            <w:r w:rsidRPr="004E4188">
              <w:t>Heure : [</w:t>
            </w:r>
            <w:r w:rsidRPr="004E4188">
              <w:rPr>
                <w:i/>
              </w:rPr>
              <w:t>indiquer l’heure selon le système horaire sur 24 heures, p. ex. : 14:00</w:t>
            </w:r>
            <w:r w:rsidRPr="004E4188">
              <w:t>]</w:t>
            </w:r>
          </w:p>
          <w:p w14:paraId="73FF668C" w14:textId="1D9FB3BE" w:rsidR="006F129D" w:rsidRPr="004E4188" w:rsidRDefault="006F129D" w:rsidP="00D45EAD">
            <w:pPr>
              <w:tabs>
                <w:tab w:val="right" w:pos="7254"/>
              </w:tabs>
              <w:spacing w:after="120"/>
            </w:pPr>
            <w:r w:rsidRPr="004E4188">
              <w:t>[</w:t>
            </w:r>
            <w:r w:rsidRPr="004E4188">
              <w:rPr>
                <w:i/>
              </w:rPr>
              <w:t>La date doit être la même que celle indiquée pour la date limite de remise des offres (IS 22).</w:t>
            </w:r>
            <w:r w:rsidRPr="004E4188">
              <w:t>]</w:t>
            </w:r>
          </w:p>
        </w:tc>
      </w:tr>
      <w:tr w:rsidR="006F129D" w:rsidRPr="004E4188" w14:paraId="5E53DF04" w14:textId="77777777" w:rsidTr="001870BD">
        <w:tc>
          <w:tcPr>
            <w:tcW w:w="9000" w:type="dxa"/>
            <w:gridSpan w:val="2"/>
            <w:tcBorders>
              <w:top w:val="single" w:sz="8" w:space="0" w:color="000000"/>
              <w:bottom w:val="single" w:sz="8" w:space="0" w:color="000000"/>
            </w:tcBorders>
            <w:shd w:val="clear" w:color="auto" w:fill="E6E6E6"/>
          </w:tcPr>
          <w:p w14:paraId="3AF4D9CA" w14:textId="77777777" w:rsidR="006F129D" w:rsidRPr="004E4188" w:rsidRDefault="006F129D" w:rsidP="00D45EAD">
            <w:pPr>
              <w:tabs>
                <w:tab w:val="right" w:pos="7434"/>
              </w:tabs>
              <w:spacing w:before="120" w:after="120"/>
              <w:jc w:val="center"/>
              <w:rPr>
                <w:b/>
                <w:sz w:val="28"/>
              </w:rPr>
            </w:pPr>
            <w:r w:rsidRPr="004E4188">
              <w:rPr>
                <w:b/>
                <w:sz w:val="28"/>
              </w:rPr>
              <w:t>E.  Évaluation et comparaison des offres</w:t>
            </w:r>
          </w:p>
        </w:tc>
      </w:tr>
      <w:tr w:rsidR="006F129D" w:rsidRPr="004E4188" w14:paraId="425CA3D8" w14:textId="77777777" w:rsidTr="001870BD">
        <w:trPr>
          <w:trHeight w:val="2156"/>
        </w:trPr>
        <w:tc>
          <w:tcPr>
            <w:tcW w:w="1320" w:type="dxa"/>
            <w:tcBorders>
              <w:top w:val="single" w:sz="8" w:space="0" w:color="000000"/>
              <w:bottom w:val="single" w:sz="12" w:space="0" w:color="000000"/>
              <w:right w:val="single" w:sz="8" w:space="0" w:color="000000"/>
            </w:tcBorders>
          </w:tcPr>
          <w:p w14:paraId="529F84FA" w14:textId="12BF4C3B" w:rsidR="006F129D" w:rsidRPr="004E4188" w:rsidRDefault="006F129D" w:rsidP="0073615B">
            <w:pPr>
              <w:tabs>
                <w:tab w:val="right" w:pos="7434"/>
              </w:tabs>
              <w:spacing w:before="60" w:after="120"/>
              <w:rPr>
                <w:b/>
                <w:lang w:eastAsia="ja-JP"/>
              </w:rPr>
            </w:pPr>
            <w:r w:rsidRPr="004E4188">
              <w:rPr>
                <w:b/>
              </w:rPr>
              <w:t>IS 34.1</w:t>
            </w:r>
          </w:p>
        </w:tc>
        <w:tc>
          <w:tcPr>
            <w:tcW w:w="7680" w:type="dxa"/>
            <w:tcBorders>
              <w:top w:val="single" w:sz="8" w:space="0" w:color="000000"/>
              <w:left w:val="single" w:sz="8" w:space="0" w:color="000000"/>
              <w:bottom w:val="single" w:sz="12" w:space="0" w:color="000000"/>
            </w:tcBorders>
          </w:tcPr>
          <w:p w14:paraId="4CBD5392" w14:textId="77777777" w:rsidR="006F129D" w:rsidRPr="004E4188" w:rsidRDefault="006F129D" w:rsidP="0073615B">
            <w:pPr>
              <w:tabs>
                <w:tab w:val="right" w:pos="7254"/>
              </w:tabs>
              <w:spacing w:before="60"/>
            </w:pPr>
            <w:r w:rsidRPr="004E4188">
              <w:t>La monnaie utilisée pour convertir en une seule monnaie tous les montants des offres exprimés en diverses monnaies, aux fins de l’évaluation et de la comparaison des offres, est : [</w:t>
            </w:r>
            <w:r w:rsidRPr="004E4188">
              <w:rPr>
                <w:i/>
              </w:rPr>
              <w:t>indiquer le yen ou toute autre monnaie unique</w:t>
            </w:r>
            <w:r w:rsidRPr="004E4188">
              <w:t>]</w:t>
            </w:r>
          </w:p>
          <w:p w14:paraId="163BDF55" w14:textId="77777777" w:rsidR="006F129D" w:rsidRPr="004E4188" w:rsidRDefault="006F129D" w:rsidP="00D45EAD">
            <w:pPr>
              <w:tabs>
                <w:tab w:val="right" w:pos="7254"/>
              </w:tabs>
            </w:pPr>
          </w:p>
          <w:p w14:paraId="11F38ACF" w14:textId="5975FDDC" w:rsidR="006F129D" w:rsidRPr="004E4188" w:rsidRDefault="006F129D" w:rsidP="00D45EAD">
            <w:pPr>
              <w:tabs>
                <w:tab w:val="right" w:pos="7254"/>
              </w:tabs>
            </w:pPr>
            <w:r w:rsidRPr="004E4188">
              <w:t>La source des taux de change utilisés est : [</w:t>
            </w:r>
            <w:r w:rsidRPr="004E4188">
              <w:rPr>
                <w:i/>
              </w:rPr>
              <w:t>indiquer le nom de la source des taux de change (</w:t>
            </w:r>
            <w:r w:rsidR="000D03DB" w:rsidRPr="004E4188">
              <w:rPr>
                <w:i/>
              </w:rPr>
              <w:t xml:space="preserve">p. </w:t>
            </w:r>
            <w:r w:rsidRPr="004E4188">
              <w:rPr>
                <w:i/>
              </w:rPr>
              <w:t>ex</w:t>
            </w:r>
            <w:r w:rsidR="00D56F30" w:rsidRPr="004E4188">
              <w:rPr>
                <w:i/>
              </w:rPr>
              <w:t>.</w:t>
            </w:r>
            <w:r w:rsidRPr="004E4188">
              <w:rPr>
                <w:i/>
              </w:rPr>
              <w:t> : la banque centrale du pays du Maître d’ouvrage)</w:t>
            </w:r>
            <w:r w:rsidRPr="004E4188">
              <w:t>]</w:t>
            </w:r>
          </w:p>
          <w:p w14:paraId="4720F340" w14:textId="77777777" w:rsidR="006F129D" w:rsidRPr="004E4188" w:rsidRDefault="006F129D" w:rsidP="00D45EAD">
            <w:pPr>
              <w:tabs>
                <w:tab w:val="right" w:pos="7254"/>
              </w:tabs>
            </w:pPr>
          </w:p>
          <w:p w14:paraId="5620C619" w14:textId="1B6BA4A9" w:rsidR="006F129D" w:rsidRPr="004E4188" w:rsidRDefault="006F129D" w:rsidP="00F004F9">
            <w:pPr>
              <w:tabs>
                <w:tab w:val="right" w:pos="7254"/>
              </w:tabs>
              <w:spacing w:afterLines="50" w:after="120"/>
              <w:rPr>
                <w:u w:val="single"/>
              </w:rPr>
            </w:pPr>
            <w:r w:rsidRPr="004E4188">
              <w:t>La date du taux de change est : [</w:t>
            </w:r>
            <w:r w:rsidRPr="004E4188">
              <w:rPr>
                <w:i/>
              </w:rPr>
              <w:t>Indiquer les jour, mois et an, p.</w:t>
            </w:r>
            <w:r w:rsidR="000D03DB" w:rsidRPr="004E4188">
              <w:rPr>
                <w:i/>
              </w:rPr>
              <w:t xml:space="preserve"> </w:t>
            </w:r>
            <w:r w:rsidRPr="004E4188">
              <w:rPr>
                <w:i/>
              </w:rPr>
              <w:t>ex</w:t>
            </w:r>
            <w:r w:rsidR="001870BD" w:rsidRPr="004E4188">
              <w:rPr>
                <w:i/>
              </w:rPr>
              <w:t>.</w:t>
            </w:r>
            <w:r w:rsidRPr="004E4188">
              <w:rPr>
                <w:i/>
              </w:rPr>
              <w:t> : 15 juin 2018, une date qui n’est pas antérieure de trente (30) jours à la date</w:t>
            </w:r>
            <w:r w:rsidR="000153F5" w:rsidRPr="004E4188">
              <w:rPr>
                <w:i/>
              </w:rPr>
              <w:t xml:space="preserve"> </w:t>
            </w:r>
            <w:r w:rsidRPr="004E4188">
              <w:rPr>
                <w:i/>
              </w:rPr>
              <w:t>d’ouverture des Offres Techniques précisée à IS 25.1, ni postérieure à celle-ci.</w:t>
            </w:r>
            <w:r w:rsidRPr="004E4188">
              <w:t>]</w:t>
            </w:r>
          </w:p>
        </w:tc>
      </w:tr>
    </w:tbl>
    <w:p w14:paraId="1EAF1D9E" w14:textId="77777777" w:rsidR="002C59E4" w:rsidRPr="004E4188" w:rsidRDefault="002C59E4" w:rsidP="00D45EAD">
      <w:pPr>
        <w:pStyle w:val="S9Header"/>
        <w:jc w:val="both"/>
        <w:rPr>
          <w:lang w:eastAsia="ja-JP"/>
        </w:rPr>
        <w:sectPr w:rsidR="002C59E4" w:rsidRPr="004E4188" w:rsidSect="00A127DF">
          <w:headerReference w:type="even" r:id="rId39"/>
          <w:headerReference w:type="default" r:id="rId40"/>
          <w:headerReference w:type="first" r:id="rId41"/>
          <w:footnotePr>
            <w:numRestart w:val="eachPage"/>
          </w:footnotePr>
          <w:type w:val="nextColumn"/>
          <w:pgSz w:w="12240" w:h="15840" w:code="1"/>
          <w:pgMar w:top="1440" w:right="1440" w:bottom="1440" w:left="1797" w:header="720" w:footer="720" w:gutter="0"/>
          <w:pgNumType w:start="1"/>
          <w:cols w:space="720"/>
        </w:sectPr>
      </w:pPr>
    </w:p>
    <w:p w14:paraId="3DD23BB2" w14:textId="5B014114" w:rsidR="006F129D" w:rsidRPr="004E4188" w:rsidRDefault="006F129D" w:rsidP="008F1DFA">
      <w:pPr>
        <w:pStyle w:val="17"/>
        <w:rPr>
          <w:color w:val="FF0000"/>
          <w:lang w:val="fr-FR"/>
        </w:rPr>
      </w:pPr>
      <w:r w:rsidRPr="004E4188">
        <w:rPr>
          <w:lang w:val="fr-FR"/>
        </w:rPr>
        <w:t>Section III. Critères d’évaluation et de</w:t>
      </w:r>
      <w:r w:rsidRPr="004E4188">
        <w:rPr>
          <w:rFonts w:hint="eastAsia"/>
          <w:lang w:val="fr-FR"/>
        </w:rPr>
        <w:t xml:space="preserve"> </w:t>
      </w:r>
      <w:r w:rsidRPr="004E4188">
        <w:rPr>
          <w:lang w:val="fr-FR"/>
        </w:rPr>
        <w:t>qualification</w:t>
      </w:r>
      <w:r w:rsidRPr="004E4188">
        <w:rPr>
          <w:lang w:val="fr-FR"/>
        </w:rPr>
        <w:br/>
        <w:t>(Option I : après préqualification)</w:t>
      </w:r>
    </w:p>
    <w:p w14:paraId="4548F641" w14:textId="77777777" w:rsidR="006F129D" w:rsidRPr="004E4188" w:rsidRDefault="006F129D" w:rsidP="007B0B65">
      <w:pPr>
        <w:pStyle w:val="af5"/>
        <w:rPr>
          <w:color w:val="FF0000"/>
          <w:lang w:val="fr-FR"/>
        </w:rPr>
      </w:pPr>
    </w:p>
    <w:p w14:paraId="1B1BE63F" w14:textId="77777777" w:rsidR="006F129D" w:rsidRPr="004E4188" w:rsidRDefault="006F129D" w:rsidP="007B0B65">
      <w:pPr>
        <w:pStyle w:val="af5"/>
        <w:rPr>
          <w:color w:val="FF0000"/>
          <w:lang w:val="fr-F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3"/>
      </w:tblGrid>
      <w:tr w:rsidR="006F129D" w:rsidRPr="004E4188" w14:paraId="2163C96C" w14:textId="77777777" w:rsidTr="007B0B65">
        <w:trPr>
          <w:trHeight w:val="1030"/>
        </w:trPr>
        <w:tc>
          <w:tcPr>
            <w:tcW w:w="9558" w:type="dxa"/>
            <w:shd w:val="clear" w:color="auto" w:fill="auto"/>
          </w:tcPr>
          <w:p w14:paraId="185CAF12" w14:textId="77777777" w:rsidR="006F129D" w:rsidRPr="004E4188" w:rsidRDefault="006F129D" w:rsidP="007B0B65">
            <w:pPr>
              <w:jc w:val="center"/>
              <w:rPr>
                <w:lang w:eastAsia="ja-JP"/>
              </w:rPr>
            </w:pPr>
          </w:p>
          <w:p w14:paraId="36B4F126" w14:textId="52411A54" w:rsidR="006F129D" w:rsidRPr="004E4188" w:rsidRDefault="006F129D" w:rsidP="007B0B65">
            <w:pPr>
              <w:jc w:val="center"/>
              <w:rPr>
                <w:b/>
                <w:bCs/>
                <w:sz w:val="28"/>
                <w:szCs w:val="28"/>
                <w:lang w:eastAsia="ja-JP"/>
              </w:rPr>
            </w:pPr>
            <w:r w:rsidRPr="004E4188">
              <w:rPr>
                <w:b/>
                <w:bCs/>
                <w:sz w:val="28"/>
                <w:szCs w:val="28"/>
              </w:rPr>
              <w:t xml:space="preserve">Notes </w:t>
            </w:r>
            <w:r w:rsidRPr="004E4188">
              <w:rPr>
                <w:rFonts w:hint="eastAsia"/>
                <w:b/>
                <w:bCs/>
                <w:sz w:val="28"/>
                <w:szCs w:val="28"/>
              </w:rPr>
              <w:t>à</w:t>
            </w:r>
            <w:r w:rsidRPr="004E4188">
              <w:rPr>
                <w:b/>
                <w:bCs/>
                <w:sz w:val="28"/>
                <w:szCs w:val="28"/>
              </w:rPr>
              <w:t xml:space="preserve"> l’intention du Maître d’ouvrage</w:t>
            </w:r>
          </w:p>
          <w:p w14:paraId="56940DB4" w14:textId="77777777" w:rsidR="006F129D" w:rsidRPr="004E4188" w:rsidRDefault="006F129D" w:rsidP="007B0B65">
            <w:pPr>
              <w:rPr>
                <w:lang w:eastAsia="ja-JP"/>
              </w:rPr>
            </w:pPr>
          </w:p>
          <w:p w14:paraId="08DE9680" w14:textId="3D3FD256" w:rsidR="006F129D" w:rsidRPr="004E4188" w:rsidRDefault="006F129D" w:rsidP="00D45EAD">
            <w:pPr>
              <w:spacing w:afterLines="150" w:after="360"/>
            </w:pPr>
            <w:r w:rsidRPr="004E4188">
              <w:rPr>
                <w:lang w:eastAsia="ja-JP"/>
              </w:rPr>
              <w:t xml:space="preserve">Cette section indique les critères </w:t>
            </w:r>
            <w:r w:rsidRPr="004E4188">
              <w:t>utilisés pour déterminer l’offre évaluée la moins-disante et pour établir si le Soumissionnaire possède les qualifications nécessaires pour exécuter le Marché. Aucun autre facteur, critère ou méthode ne doit être utilisé. Le Soumissionnaire fournira toutes les informations demandées dans les formulaires de la Section IV, Formulaires de soumission.</w:t>
            </w:r>
            <w:bookmarkStart w:id="354" w:name="_Toc34225114"/>
            <w:bookmarkStart w:id="355" w:name="_Toc34227275"/>
            <w:bookmarkStart w:id="356" w:name="_Toc35283266"/>
          </w:p>
          <w:p w14:paraId="5E405363" w14:textId="77777777" w:rsidR="006F129D" w:rsidRPr="004E4188" w:rsidRDefault="006F129D" w:rsidP="00D45EAD">
            <w:pPr>
              <w:spacing w:afterLines="150" w:after="360"/>
            </w:pPr>
            <w:r w:rsidRPr="004E4188">
              <w:rPr>
                <w:szCs w:val="24"/>
                <w:lang w:eastAsia="ja-JP"/>
              </w:rPr>
              <w:t>L</w:t>
            </w:r>
            <w:r w:rsidRPr="004E4188">
              <w:rPr>
                <w:lang w:eastAsia="ja-JP"/>
              </w:rPr>
              <w:t>es notes intitulées « </w:t>
            </w:r>
            <w:r w:rsidRPr="004E4188">
              <w:rPr>
                <w:i/>
                <w:lang w:eastAsia="ja-JP"/>
              </w:rPr>
              <w:t xml:space="preserve">Notes </w:t>
            </w:r>
            <w:r w:rsidRPr="004E4188">
              <w:rPr>
                <w:rFonts w:hint="eastAsia"/>
                <w:i/>
                <w:lang w:eastAsia="ja-JP"/>
              </w:rPr>
              <w:t>à</w:t>
            </w:r>
            <w:r w:rsidRPr="004E4188">
              <w:rPr>
                <w:i/>
                <w:lang w:eastAsia="ja-JP"/>
              </w:rPr>
              <w:t xml:space="preserve"> l’intention du Maître d’ouvrage</w:t>
            </w:r>
            <w:r w:rsidRPr="004E4188">
              <w:rPr>
                <w:lang w:eastAsia="ja-JP"/>
              </w:rPr>
              <w:t> », « en encadré » et celles en italique ne font pas partie des</w:t>
            </w:r>
            <w:r w:rsidRPr="004E4188">
              <w:rPr>
                <w:lang w:eastAsia="en-US"/>
              </w:rPr>
              <w:t xml:space="preserve"> </w:t>
            </w:r>
            <w:r w:rsidRPr="004E4188">
              <w:rPr>
                <w:lang w:eastAsia="ja-JP"/>
              </w:rPr>
              <w:t>Critères d’évaluation et de qualification, mais contiennent des indications et des instructions à l’intention du Maître d’ouvrage. Elles doivent être retirées du Dossier d’appel d’offres qui sera remis aux Soumissionnaire</w:t>
            </w:r>
            <w:r w:rsidRPr="004E4188">
              <w:rPr>
                <w:szCs w:val="24"/>
                <w:lang w:eastAsia="ja-JP"/>
              </w:rPr>
              <w:t>s.</w:t>
            </w:r>
            <w:bookmarkEnd w:id="354"/>
            <w:bookmarkEnd w:id="355"/>
            <w:bookmarkEnd w:id="356"/>
          </w:p>
          <w:p w14:paraId="64CBE138" w14:textId="77777777" w:rsidR="006F129D" w:rsidRPr="004E4188" w:rsidRDefault="006F129D" w:rsidP="00D45EAD">
            <w:pPr>
              <w:suppressAutoHyphens w:val="0"/>
              <w:overflowPunct/>
              <w:autoSpaceDE/>
              <w:autoSpaceDN/>
              <w:adjustRightInd/>
              <w:textAlignment w:val="auto"/>
              <w:rPr>
                <w:szCs w:val="24"/>
                <w:lang w:eastAsia="ja-JP"/>
              </w:rPr>
            </w:pPr>
            <w:r w:rsidRPr="004E4188">
              <w:rPr>
                <w:spacing w:val="-2"/>
                <w:lang w:eastAsia="en-US"/>
              </w:rPr>
              <w:t>Les « </w:t>
            </w:r>
            <w:r w:rsidRPr="004E4188">
              <w:rPr>
                <w:i/>
                <w:spacing w:val="-2"/>
                <w:lang w:eastAsia="en-US"/>
              </w:rPr>
              <w:t>Notes à l’intention des Soumissionnaires</w:t>
            </w:r>
            <w:r w:rsidRPr="004E4188">
              <w:rPr>
                <w:spacing w:val="-2"/>
                <w:lang w:eastAsia="en-US"/>
              </w:rPr>
              <w:t> », incluses dans cette Section III, devront être incorporées dans le Dossier d’appel d’offres qui sera remis au</w:t>
            </w:r>
            <w:r w:rsidRPr="004E4188">
              <w:rPr>
                <w:rFonts w:hint="eastAsia"/>
                <w:spacing w:val="-2"/>
                <w:lang w:eastAsia="ja-JP"/>
              </w:rPr>
              <w:t>x</w:t>
            </w:r>
            <w:r w:rsidRPr="004E4188">
              <w:rPr>
                <w:spacing w:val="-2"/>
                <w:lang w:eastAsia="en-US"/>
              </w:rPr>
              <w:t xml:space="preserve"> Soumissionnaire</w:t>
            </w:r>
            <w:r w:rsidRPr="004E4188">
              <w:rPr>
                <w:szCs w:val="24"/>
                <w:lang w:eastAsia="ja-JP"/>
              </w:rPr>
              <w:t>s.</w:t>
            </w:r>
          </w:p>
          <w:p w14:paraId="7C8BFC87" w14:textId="77777777" w:rsidR="006F129D" w:rsidRPr="004E4188" w:rsidRDefault="006F129D" w:rsidP="00D45EAD">
            <w:pPr>
              <w:suppressAutoHyphens w:val="0"/>
              <w:overflowPunct/>
              <w:autoSpaceDE/>
              <w:autoSpaceDN/>
              <w:adjustRightInd/>
              <w:textAlignment w:val="auto"/>
              <w:rPr>
                <w:szCs w:val="24"/>
                <w:lang w:eastAsia="ja-JP"/>
              </w:rPr>
            </w:pPr>
          </w:p>
        </w:tc>
      </w:tr>
    </w:tbl>
    <w:p w14:paraId="0C32E9D0" w14:textId="77777777" w:rsidR="006F129D" w:rsidRPr="004E4188" w:rsidRDefault="006F129D" w:rsidP="007B0B65">
      <w:pPr>
        <w:pStyle w:val="af5"/>
        <w:jc w:val="both"/>
        <w:rPr>
          <w:color w:val="FF0000"/>
          <w:lang w:val="fr-FR"/>
        </w:rPr>
      </w:pPr>
    </w:p>
    <w:p w14:paraId="18407F2C" w14:textId="77777777" w:rsidR="006F129D" w:rsidRPr="004E4188" w:rsidRDefault="006F129D" w:rsidP="007B0B65">
      <w:pPr>
        <w:pStyle w:val="af5"/>
        <w:jc w:val="both"/>
        <w:rPr>
          <w:lang w:val="fr-FR"/>
        </w:rPr>
        <w:sectPr w:rsidR="006F129D" w:rsidRPr="004E4188" w:rsidSect="002C59E4">
          <w:headerReference w:type="default" r:id="rId42"/>
          <w:footnotePr>
            <w:numRestart w:val="eachPage"/>
          </w:footnotePr>
          <w:type w:val="oddPage"/>
          <w:pgSz w:w="12240" w:h="15840"/>
          <w:pgMar w:top="1440" w:right="1440" w:bottom="1440" w:left="1797" w:header="720" w:footer="720" w:gutter="0"/>
          <w:pgNumType w:start="1"/>
          <w:cols w:space="720"/>
        </w:sectPr>
      </w:pPr>
    </w:p>
    <w:p w14:paraId="378CB7D5" w14:textId="6969D215" w:rsidR="006F129D" w:rsidRPr="004E4188" w:rsidRDefault="006F129D" w:rsidP="00882C6C">
      <w:pPr>
        <w:spacing w:afterLines="100" w:after="240"/>
        <w:jc w:val="center"/>
        <w:rPr>
          <w:b/>
          <w:sz w:val="36"/>
          <w:szCs w:val="36"/>
        </w:rPr>
      </w:pPr>
      <w:r w:rsidRPr="004E4188">
        <w:rPr>
          <w:b/>
          <w:sz w:val="36"/>
          <w:szCs w:val="36"/>
        </w:rPr>
        <w:t>Critères d’évaluation et de qualification</w:t>
      </w:r>
      <w:r w:rsidRPr="004E4188">
        <w:rPr>
          <w:b/>
          <w:sz w:val="36"/>
          <w:szCs w:val="36"/>
        </w:rPr>
        <w:br/>
        <w:t>(après préqualification)</w:t>
      </w:r>
    </w:p>
    <w:p w14:paraId="327695B0" w14:textId="77777777" w:rsidR="00BC4D73" w:rsidRPr="004E4188" w:rsidRDefault="00BC4D73" w:rsidP="00BC4D73">
      <w:pPr>
        <w:jc w:val="left"/>
        <w:rPr>
          <w:b/>
          <w:szCs w:val="24"/>
        </w:rPr>
      </w:pPr>
    </w:p>
    <w:p w14:paraId="298971E1" w14:textId="513E1691" w:rsidR="006F129D" w:rsidRPr="004E4188" w:rsidRDefault="006878C6" w:rsidP="006878C6">
      <w:pPr>
        <w:suppressAutoHyphens w:val="0"/>
        <w:overflowPunct/>
        <w:autoSpaceDE/>
        <w:autoSpaceDN/>
        <w:adjustRightInd/>
        <w:ind w:left="851" w:hanging="851"/>
        <w:jc w:val="left"/>
        <w:textAlignment w:val="auto"/>
        <w:rPr>
          <w:b/>
          <w:sz w:val="28"/>
          <w:szCs w:val="28"/>
          <w:lang w:eastAsia="ja-JP"/>
        </w:rPr>
      </w:pPr>
      <w:r w:rsidRPr="004E4188">
        <w:rPr>
          <w:b/>
          <w:bCs/>
          <w:sz w:val="30"/>
          <w:szCs w:val="30"/>
          <w:lang w:val="en-GB" w:eastAsia="ja-JP"/>
        </w:rPr>
        <w:t>1</w:t>
      </w:r>
      <w:r w:rsidR="00DF2484" w:rsidRPr="004E4188">
        <w:rPr>
          <w:b/>
          <w:bCs/>
          <w:sz w:val="30"/>
          <w:szCs w:val="30"/>
          <w:lang w:val="en-GB" w:eastAsia="ja-JP"/>
        </w:rPr>
        <w:t>.</w:t>
      </w:r>
      <w:r w:rsidRPr="004E4188">
        <w:rPr>
          <w:b/>
          <w:bCs/>
          <w:sz w:val="30"/>
          <w:szCs w:val="30"/>
          <w:lang w:val="en-GB" w:eastAsia="ja-JP"/>
        </w:rPr>
        <w:tab/>
      </w:r>
      <w:r w:rsidR="006F129D" w:rsidRPr="004E4188">
        <w:rPr>
          <w:b/>
          <w:bCs/>
          <w:sz w:val="30"/>
          <w:szCs w:val="30"/>
          <w:lang w:val="en-GB" w:eastAsia="ja-JP"/>
        </w:rPr>
        <w:t>Évaluation</w:t>
      </w:r>
    </w:p>
    <w:p w14:paraId="18E28D59" w14:textId="77777777" w:rsidR="006F129D" w:rsidRPr="004E4188" w:rsidRDefault="006F129D" w:rsidP="00D45EAD">
      <w:pPr>
        <w:suppressAutoHyphens w:val="0"/>
        <w:overflowPunct/>
        <w:autoSpaceDE/>
        <w:autoSpaceDN/>
        <w:adjustRightInd/>
        <w:jc w:val="left"/>
        <w:textAlignment w:val="auto"/>
        <w:rPr>
          <w:b/>
          <w:sz w:val="28"/>
          <w:szCs w:val="28"/>
          <w:lang w:eastAsia="ja-JP"/>
        </w:rPr>
      </w:pPr>
    </w:p>
    <w:p w14:paraId="4655432F" w14:textId="6996D5D4" w:rsidR="006F129D" w:rsidRPr="004E4188" w:rsidRDefault="006F129D" w:rsidP="003D46CF">
      <w:pPr>
        <w:numPr>
          <w:ilvl w:val="1"/>
          <w:numId w:val="29"/>
        </w:numPr>
        <w:tabs>
          <w:tab w:val="clear" w:pos="420"/>
        </w:tabs>
        <w:suppressAutoHyphens w:val="0"/>
        <w:overflowPunct/>
        <w:autoSpaceDE/>
        <w:autoSpaceDN/>
        <w:adjustRightInd/>
        <w:ind w:left="851" w:hanging="851"/>
        <w:jc w:val="left"/>
        <w:textAlignment w:val="auto"/>
        <w:rPr>
          <w:b/>
          <w:sz w:val="28"/>
          <w:szCs w:val="28"/>
          <w:lang w:eastAsia="ja-JP"/>
        </w:rPr>
      </w:pPr>
      <w:r w:rsidRPr="004E4188">
        <w:rPr>
          <w:b/>
          <w:bCs/>
          <w:sz w:val="28"/>
          <w:szCs w:val="28"/>
          <w:lang w:eastAsia="ja-JP"/>
        </w:rPr>
        <w:t>Évaluation</w:t>
      </w:r>
      <w:r w:rsidRPr="004E4188">
        <w:rPr>
          <w:b/>
          <w:sz w:val="28"/>
          <w:szCs w:val="28"/>
        </w:rPr>
        <w:t xml:space="preserve"> des Offres Techniques</w:t>
      </w:r>
    </w:p>
    <w:p w14:paraId="4FFF3039" w14:textId="77777777" w:rsidR="006F129D" w:rsidRPr="004E4188" w:rsidRDefault="006F129D" w:rsidP="00124663">
      <w:pPr>
        <w:suppressAutoHyphens w:val="0"/>
        <w:overflowPunct/>
        <w:autoSpaceDE/>
        <w:autoSpaceDN/>
        <w:adjustRightInd/>
        <w:spacing w:after="120"/>
        <w:ind w:left="850"/>
        <w:textAlignment w:val="auto"/>
        <w:rPr>
          <w:szCs w:val="24"/>
          <w:lang w:eastAsia="en-US"/>
        </w:rPr>
      </w:pPr>
      <w:r w:rsidRPr="004E4188">
        <w:rPr>
          <w:szCs w:val="24"/>
          <w:lang w:eastAsia="en-US"/>
        </w:rPr>
        <w:t>L</w:t>
      </w:r>
      <w:r w:rsidRPr="004E4188">
        <w:rPr>
          <w:lang w:eastAsia="en-US"/>
        </w:rPr>
        <w:t xml:space="preserve">’évaluation des Offres Techniques comporte les étapes suivantes </w:t>
      </w:r>
      <w:r w:rsidRPr="004E4188">
        <w:rPr>
          <w:szCs w:val="24"/>
          <w:lang w:eastAsia="en-US"/>
        </w:rPr>
        <w:t xml:space="preserve">: </w:t>
      </w:r>
    </w:p>
    <w:p w14:paraId="0BE9E5DC" w14:textId="3458AB63" w:rsidR="006F129D" w:rsidRPr="004E4188" w:rsidRDefault="006F129D" w:rsidP="00D45EAD">
      <w:pPr>
        <w:widowControl w:val="0"/>
        <w:tabs>
          <w:tab w:val="left" w:pos="1418"/>
        </w:tabs>
        <w:suppressAutoHyphens w:val="0"/>
        <w:overflowPunct/>
        <w:autoSpaceDE/>
        <w:autoSpaceDN/>
        <w:adjustRightInd/>
        <w:spacing w:after="60" w:line="0" w:lineRule="atLeast"/>
        <w:ind w:left="1418" w:hanging="567"/>
        <w:textAlignment w:val="auto"/>
        <w:rPr>
          <w:szCs w:val="24"/>
          <w:lang w:eastAsia="en-US"/>
        </w:rPr>
      </w:pPr>
      <w:r w:rsidRPr="004E4188">
        <w:rPr>
          <w:szCs w:val="24"/>
          <w:lang w:eastAsia="en-US"/>
        </w:rPr>
        <w:t>(a)</w:t>
      </w:r>
      <w:r w:rsidRPr="004E4188">
        <w:rPr>
          <w:szCs w:val="24"/>
          <w:lang w:eastAsia="en-US"/>
        </w:rPr>
        <w:tab/>
        <w:t>L</w:t>
      </w:r>
      <w:r w:rsidRPr="004E4188">
        <w:rPr>
          <w:rFonts w:hint="eastAsia"/>
          <w:szCs w:val="24"/>
          <w:lang w:eastAsia="en-US"/>
        </w:rPr>
        <w:t xml:space="preserve">a </w:t>
      </w:r>
      <w:r w:rsidRPr="004E4188">
        <w:rPr>
          <w:szCs w:val="24"/>
          <w:lang w:eastAsia="en-US"/>
        </w:rPr>
        <w:t>confirmation</w:t>
      </w:r>
      <w:r w:rsidRPr="004E4188">
        <w:rPr>
          <w:rFonts w:hint="eastAsia"/>
          <w:szCs w:val="24"/>
          <w:lang w:eastAsia="en-US"/>
        </w:rPr>
        <w:t xml:space="preserve"> </w:t>
      </w:r>
      <w:r w:rsidRPr="004E4188">
        <w:rPr>
          <w:szCs w:val="24"/>
          <w:lang w:eastAsia="en-US"/>
        </w:rPr>
        <w:t>des qualifications du Soumissionnaire à exécuter le Marché de manière satisfaisante conformément à IS</w:t>
      </w:r>
      <w:r w:rsidR="00DF2484" w:rsidRPr="004E4188">
        <w:t> </w:t>
      </w:r>
      <w:r w:rsidRPr="004E4188">
        <w:rPr>
          <w:szCs w:val="24"/>
          <w:lang w:eastAsia="en-US"/>
        </w:rPr>
        <w:t>30. Les critères de qualification à considérer sont détaillés plus bas à l’Article 2 (</w:t>
      </w:r>
      <w:r w:rsidRPr="004E4188">
        <w:rPr>
          <w:i/>
          <w:szCs w:val="24"/>
          <w:lang w:eastAsia="en-US"/>
        </w:rPr>
        <w:t>Qualification</w:t>
      </w:r>
      <w:r w:rsidRPr="004E4188">
        <w:rPr>
          <w:szCs w:val="24"/>
          <w:lang w:eastAsia="en-US"/>
        </w:rPr>
        <w:t>).</w:t>
      </w:r>
    </w:p>
    <w:p w14:paraId="2723D2A9"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418" w:hanging="567"/>
        <w:textAlignment w:val="auto"/>
        <w:rPr>
          <w:szCs w:val="24"/>
          <w:lang w:eastAsia="en-US"/>
        </w:rPr>
      </w:pPr>
      <w:r w:rsidRPr="004E4188">
        <w:rPr>
          <w:szCs w:val="24"/>
          <w:lang w:eastAsia="en-US"/>
        </w:rPr>
        <w:t>(b)</w:t>
      </w:r>
      <w:r w:rsidRPr="004E4188">
        <w:rPr>
          <w:szCs w:val="24"/>
          <w:lang w:eastAsia="en-US"/>
        </w:rPr>
        <w:tab/>
        <w:t>L</w:t>
      </w:r>
      <w:r w:rsidRPr="004E4188">
        <w:rPr>
          <w:rFonts w:hint="eastAsia"/>
          <w:szCs w:val="24"/>
          <w:lang w:eastAsia="en-US"/>
        </w:rPr>
        <w:t>a vérification que l</w:t>
      </w:r>
      <w:r w:rsidRPr="004E4188">
        <w:rPr>
          <w:szCs w:val="24"/>
          <w:lang w:eastAsia="en-US"/>
        </w:rPr>
        <w:t>’Offre Technique est substantiellement conforme telle que définie à IS 31. Les critères d’évaluation à considérer sont décrits ci-dessous.</w:t>
      </w:r>
    </w:p>
    <w:p w14:paraId="2455578A" w14:textId="77777777" w:rsidR="006F129D" w:rsidRPr="004E4188" w:rsidRDefault="006F129D" w:rsidP="00D45EAD">
      <w:pPr>
        <w:suppressAutoHyphens w:val="0"/>
        <w:overflowPunct/>
        <w:autoSpaceDE/>
        <w:autoSpaceDN/>
        <w:adjustRightInd/>
        <w:spacing w:after="120"/>
        <w:ind w:left="1418"/>
        <w:textAlignment w:val="auto"/>
        <w:rPr>
          <w:szCs w:val="24"/>
          <w:lang w:eastAsia="en-US"/>
        </w:rPr>
      </w:pPr>
      <w:r w:rsidRPr="004E4188">
        <w:rPr>
          <w:szCs w:val="24"/>
          <w:lang w:eastAsia="en-US"/>
        </w:rPr>
        <w:t>Cette étape comprend, entre autres, une évaluation de la conformité de la Proposition technique présentée par le Soumissionnaire, au cours de laquelle les capacités techniques du Soumissionnaire à terminer les Installations seront vérifiées</w:t>
      </w:r>
      <w:r w:rsidRPr="004E4188">
        <w:rPr>
          <w:color w:val="FF0000"/>
          <w:szCs w:val="24"/>
          <w:lang w:eastAsia="en-US"/>
        </w:rPr>
        <w:t xml:space="preserve"> </w:t>
      </w:r>
      <w:r w:rsidRPr="004E4188">
        <w:rPr>
          <w:szCs w:val="24"/>
          <w:lang w:eastAsia="en-US"/>
        </w:rPr>
        <w:t>sous l’angle des points exposés ci-après.</w:t>
      </w:r>
      <w:r w:rsidRPr="004E4188">
        <w:rPr>
          <w:lang w:eastAsia="en-US"/>
        </w:rPr>
        <w:t xml:space="preserve"> Sur la base de cette évaluation, le Maître d’ouvrage déterminera si la Proposition technique est substantiellement conforme aux exigences définies à la Section VI, Exigences du Maître d’</w:t>
      </w:r>
      <w:r w:rsidRPr="004E4188">
        <w:rPr>
          <w:rFonts w:hint="eastAsia"/>
          <w:lang w:eastAsia="en-US"/>
        </w:rPr>
        <w:t>o</w:t>
      </w:r>
      <w:r w:rsidRPr="004E4188">
        <w:rPr>
          <w:lang w:eastAsia="en-US"/>
        </w:rPr>
        <w:t>uvrage</w:t>
      </w:r>
      <w:r w:rsidRPr="004E4188">
        <w:rPr>
          <w:szCs w:val="24"/>
          <w:lang w:eastAsia="en-US"/>
        </w:rPr>
        <w:t>.</w:t>
      </w:r>
    </w:p>
    <w:p w14:paraId="790C212C"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(i)</w:t>
      </w:r>
      <w:r w:rsidRPr="004E4188">
        <w:rPr>
          <w:szCs w:val="24"/>
          <w:lang w:eastAsia="en-US"/>
        </w:rPr>
        <w:tab/>
        <w:t>Son</w:t>
      </w:r>
      <w:r w:rsidRPr="004E4188">
        <w:rPr>
          <w:rFonts w:cs="HBKMBP+TimesNewRoman"/>
          <w:color w:val="000000"/>
          <w:szCs w:val="24"/>
          <w:lang w:eastAsia="en-US"/>
        </w:rPr>
        <w:t xml:space="preserve"> exhaustivité générale et concordance avec les Exigences du Maître d’ouvrage</w:t>
      </w:r>
      <w:r w:rsidRPr="004E4188">
        <w:rPr>
          <w:szCs w:val="24"/>
          <w:lang w:eastAsia="en-US"/>
        </w:rPr>
        <w:t xml:space="preserve">. </w:t>
      </w:r>
    </w:p>
    <w:p w14:paraId="61617F3B" w14:textId="7E23975E"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(ii)</w:t>
      </w:r>
      <w:r w:rsidRPr="004E4188">
        <w:rPr>
          <w:szCs w:val="24"/>
          <w:lang w:eastAsia="en-US"/>
        </w:rPr>
        <w:tab/>
      </w:r>
      <w:r w:rsidRPr="004E4188">
        <w:rPr>
          <w:rFonts w:cs="HBKMBP+TimesNewRoman"/>
          <w:color w:val="000000"/>
          <w:szCs w:val="24"/>
          <w:lang w:eastAsia="en-US"/>
        </w:rPr>
        <w:t>La conformité des</w:t>
      </w:r>
      <w:r w:rsidRPr="004E4188">
        <w:rPr>
          <w:szCs w:val="24"/>
          <w:lang w:eastAsia="en-US"/>
        </w:rPr>
        <w:t xml:space="preserve"> </w:t>
      </w:r>
      <w:r w:rsidRPr="004E4188">
        <w:rPr>
          <w:szCs w:val="24"/>
        </w:rPr>
        <w:t>É</w:t>
      </w:r>
      <w:r w:rsidRPr="004E4188">
        <w:rPr>
          <w:szCs w:val="24"/>
          <w:lang w:eastAsia="en-US"/>
        </w:rPr>
        <w:t xml:space="preserve">quipements et Services de montage </w:t>
      </w:r>
      <w:r w:rsidRPr="004E4188">
        <w:rPr>
          <w:rFonts w:cs="HBKMBP+TimesNewRoman"/>
          <w:color w:val="000000"/>
          <w:szCs w:val="24"/>
          <w:lang w:eastAsia="en-US"/>
        </w:rPr>
        <w:t>avec</w:t>
      </w:r>
      <w:r w:rsidRPr="004E4188">
        <w:rPr>
          <w:color w:val="FF0000"/>
          <w:szCs w:val="24"/>
          <w:lang w:eastAsia="en-US"/>
        </w:rPr>
        <w:t xml:space="preserve"> </w:t>
      </w:r>
      <w:r w:rsidRPr="004E4188">
        <w:rPr>
          <w:rFonts w:cs="HBKMBP+TimesNewRoman"/>
          <w:color w:val="000000"/>
          <w:szCs w:val="24"/>
          <w:lang w:eastAsia="en-US"/>
        </w:rPr>
        <w:t>les critères de performance demandés, y compris avec les</w:t>
      </w:r>
      <w:r w:rsidRPr="004E4188">
        <w:rPr>
          <w:rFonts w:cs="HBKMBP+TimesNewRoman" w:hint="eastAsia"/>
          <w:color w:val="000000"/>
          <w:szCs w:val="24"/>
          <w:lang w:eastAsia="ja-JP"/>
        </w:rPr>
        <w:t xml:space="preserve"> </w:t>
      </w:r>
      <w:r w:rsidRPr="004E4188">
        <w:rPr>
          <w:rFonts w:cs="HBKMBP+TimesNewRoman"/>
          <w:color w:val="000000"/>
          <w:szCs w:val="24"/>
          <w:lang w:eastAsia="en-US"/>
        </w:rPr>
        <w:t xml:space="preserve">niveaux minimaux (ou maximaux, le cas échéant) acceptables spécifiés correspondant à chaque garantie opérationnelle comme indiqué dans les </w:t>
      </w:r>
      <w:r w:rsidRPr="004E4188">
        <w:rPr>
          <w:lang w:eastAsia="en-US"/>
        </w:rPr>
        <w:t>Exigences du Maître d’</w:t>
      </w:r>
      <w:r w:rsidRPr="004E4188">
        <w:rPr>
          <w:rFonts w:hint="eastAsia"/>
          <w:lang w:eastAsia="en-US"/>
        </w:rPr>
        <w:t>o</w:t>
      </w:r>
      <w:r w:rsidRPr="004E4188">
        <w:rPr>
          <w:lang w:eastAsia="en-US"/>
        </w:rPr>
        <w:t>uvrage</w:t>
      </w:r>
      <w:r w:rsidRPr="004E4188">
        <w:rPr>
          <w:rFonts w:cs="HBKMBP+TimesNewRoman"/>
          <w:color w:val="000000"/>
          <w:szCs w:val="24"/>
          <w:lang w:eastAsia="en-US"/>
        </w:rPr>
        <w:t xml:space="preserve"> et à cette </w:t>
      </w:r>
      <w:r w:rsidR="00ED2CD6" w:rsidRPr="004E4188">
        <w:rPr>
          <w:rFonts w:cs="HBKMBP+TimesNewRoman"/>
          <w:color w:val="000000"/>
          <w:szCs w:val="24"/>
          <w:lang w:eastAsia="en-US"/>
        </w:rPr>
        <w:t>s</w:t>
      </w:r>
      <w:r w:rsidRPr="004E4188">
        <w:rPr>
          <w:rFonts w:cs="HBKMBP+TimesNewRoman"/>
          <w:color w:val="000000"/>
          <w:szCs w:val="24"/>
          <w:lang w:eastAsia="en-US"/>
        </w:rPr>
        <w:t>ection</w:t>
      </w:r>
      <w:r w:rsidRPr="004E4188">
        <w:rPr>
          <w:szCs w:val="24"/>
          <w:lang w:eastAsia="en-US"/>
        </w:rPr>
        <w:t>.</w:t>
      </w:r>
    </w:p>
    <w:p w14:paraId="745AEA26"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(iii)</w:t>
      </w:r>
      <w:r w:rsidRPr="004E4188">
        <w:rPr>
          <w:szCs w:val="24"/>
          <w:lang w:eastAsia="en-US"/>
        </w:rPr>
        <w:tab/>
      </w:r>
      <w:r w:rsidRPr="004E4188">
        <w:rPr>
          <w:rFonts w:cs="HBKMBP+TimesNewRoman"/>
          <w:color w:val="000000"/>
          <w:szCs w:val="24"/>
          <w:lang w:eastAsia="en-US"/>
        </w:rPr>
        <w:t xml:space="preserve">La compatibilité des </w:t>
      </w:r>
      <w:r w:rsidRPr="004E4188">
        <w:rPr>
          <w:szCs w:val="24"/>
        </w:rPr>
        <w:t>É</w:t>
      </w:r>
      <w:r w:rsidRPr="004E4188">
        <w:rPr>
          <w:szCs w:val="24"/>
          <w:lang w:eastAsia="en-US"/>
        </w:rPr>
        <w:t>quipements et Services de montage</w:t>
      </w:r>
      <w:r w:rsidRPr="004E4188">
        <w:rPr>
          <w:rFonts w:cs="HBKMBP+TimesNewRoman"/>
          <w:color w:val="000000"/>
          <w:szCs w:val="24"/>
          <w:lang w:eastAsia="en-US"/>
        </w:rPr>
        <w:t xml:space="preserve"> avec la protection de l’environnement et les conditions climatiques prévalant sur le site</w:t>
      </w:r>
      <w:r w:rsidRPr="004E4188">
        <w:rPr>
          <w:szCs w:val="24"/>
          <w:lang w:eastAsia="en-US"/>
        </w:rPr>
        <w:t xml:space="preserve">. </w:t>
      </w:r>
    </w:p>
    <w:p w14:paraId="5ED5AD56"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 xml:space="preserve">(iv) </w:t>
      </w:r>
      <w:r w:rsidRPr="004E4188">
        <w:rPr>
          <w:szCs w:val="24"/>
          <w:lang w:eastAsia="en-US"/>
        </w:rPr>
        <w:tab/>
      </w:r>
      <w:r w:rsidRPr="004E4188">
        <w:rPr>
          <w:rFonts w:cs="HBKMBP+TimesNewRoman"/>
          <w:color w:val="000000"/>
          <w:szCs w:val="24"/>
          <w:lang w:eastAsia="en-US"/>
        </w:rPr>
        <w:t>La qualité, le rôle et la mise en œuvre de tout procédé de contrôle proposé dans l</w:t>
      </w:r>
      <w:r w:rsidRPr="004E4188">
        <w:rPr>
          <w:spacing w:val="-4"/>
          <w:lang w:eastAsia="en-US"/>
        </w:rPr>
        <w:t>’offre</w:t>
      </w:r>
      <w:r w:rsidRPr="004E4188">
        <w:rPr>
          <w:szCs w:val="24"/>
          <w:lang w:eastAsia="en-US"/>
        </w:rPr>
        <w:t>.</w:t>
      </w:r>
    </w:p>
    <w:p w14:paraId="4667AE0F"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(v)</w:t>
      </w:r>
      <w:r w:rsidRPr="004E4188">
        <w:rPr>
          <w:szCs w:val="24"/>
          <w:lang w:eastAsia="en-US"/>
        </w:rPr>
        <w:tab/>
        <w:t xml:space="preserve">Le </w:t>
      </w:r>
      <w:r w:rsidRPr="004E4188">
        <w:rPr>
          <w:spacing w:val="-4"/>
          <w:lang w:eastAsia="en-US"/>
        </w:rPr>
        <w:t>type, la quantité, et la disponibilité à long terme des pièces de rechange obligatoires et recommandées, ainsi que les services de maintenance</w:t>
      </w:r>
      <w:r w:rsidRPr="004E4188">
        <w:rPr>
          <w:szCs w:val="24"/>
          <w:lang w:eastAsia="en-US"/>
        </w:rPr>
        <w:t>.</w:t>
      </w:r>
    </w:p>
    <w:p w14:paraId="128D4BEB"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(vi)</w:t>
      </w:r>
      <w:r w:rsidRPr="004E4188">
        <w:rPr>
          <w:szCs w:val="24"/>
          <w:lang w:eastAsia="en-US"/>
        </w:rPr>
        <w:tab/>
        <w:t xml:space="preserve">La mobilisation des équipements principaux de construction et du personnel clé nécessaire à l’exécution des </w:t>
      </w:r>
      <w:r w:rsidRPr="004E4188">
        <w:rPr>
          <w:szCs w:val="24"/>
        </w:rPr>
        <w:t>É</w:t>
      </w:r>
      <w:r w:rsidRPr="004E4188">
        <w:rPr>
          <w:szCs w:val="24"/>
          <w:lang w:eastAsia="en-US"/>
        </w:rPr>
        <w:t>quipements et Services de montage.</w:t>
      </w:r>
    </w:p>
    <w:p w14:paraId="51A64160"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(vii)</w:t>
      </w:r>
      <w:r w:rsidRPr="004E4188">
        <w:rPr>
          <w:szCs w:val="24"/>
          <w:lang w:eastAsia="en-US"/>
        </w:rPr>
        <w:tab/>
        <w:t xml:space="preserve">L’affectation appropriée du personnel pour superviser et contrôler de manière adéquate l’exécution des </w:t>
      </w:r>
      <w:r w:rsidRPr="004E4188">
        <w:rPr>
          <w:szCs w:val="24"/>
        </w:rPr>
        <w:t>É</w:t>
      </w:r>
      <w:r w:rsidRPr="004E4188">
        <w:rPr>
          <w:szCs w:val="24"/>
          <w:lang w:eastAsia="en-US"/>
        </w:rPr>
        <w:t>quipements et Services de montage.</w:t>
      </w:r>
    </w:p>
    <w:p w14:paraId="7226D2E5"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(viii)</w:t>
      </w:r>
      <w:r w:rsidRPr="004E4188">
        <w:rPr>
          <w:szCs w:val="24"/>
          <w:lang w:eastAsia="en-US"/>
        </w:rPr>
        <w:tab/>
        <w:t>La p</w:t>
      </w:r>
      <w:r w:rsidRPr="004E4188">
        <w:rPr>
          <w:rFonts w:hint="eastAsia"/>
          <w:szCs w:val="24"/>
          <w:lang w:eastAsia="en-US"/>
        </w:rPr>
        <w:t>lanification</w:t>
      </w:r>
      <w:r w:rsidRPr="004E4188">
        <w:rPr>
          <w:szCs w:val="24"/>
          <w:lang w:eastAsia="en-US"/>
        </w:rPr>
        <w:t xml:space="preserve"> et la programmation de toutes les activités de manière à ce que les Installations soient achevées à temps et répondent à toutes les exigences du Marché, principalement </w:t>
      </w:r>
      <w:r w:rsidRPr="004E4188">
        <w:rPr>
          <w:rFonts w:cs="HBKMBP+TimesNewRoman"/>
          <w:szCs w:val="24"/>
          <w:lang w:eastAsia="en-US"/>
        </w:rPr>
        <w:t>le respect du calendrier d’exécution indiqué dans l’annexe correspondante de l’Acte d’engagement, et documenté par un planning des phases d’exécution fourni da</w:t>
      </w:r>
      <w:r w:rsidRPr="004E4188">
        <w:rPr>
          <w:lang w:eastAsia="en-US"/>
        </w:rPr>
        <w:t>ns la Proposition technique</w:t>
      </w:r>
      <w:r w:rsidRPr="004E4188">
        <w:rPr>
          <w:szCs w:val="24"/>
          <w:lang w:eastAsia="en-US"/>
        </w:rPr>
        <w:t>.</w:t>
      </w:r>
    </w:p>
    <w:p w14:paraId="56757EEC"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(ix)</w:t>
      </w:r>
      <w:r w:rsidRPr="004E4188">
        <w:rPr>
          <w:szCs w:val="24"/>
          <w:lang w:eastAsia="en-US"/>
        </w:rPr>
        <w:tab/>
        <w:t xml:space="preserve">L’exécution des </w:t>
      </w:r>
      <w:r w:rsidRPr="004E4188">
        <w:rPr>
          <w:szCs w:val="24"/>
        </w:rPr>
        <w:t>É</w:t>
      </w:r>
      <w:r w:rsidRPr="004E4188">
        <w:rPr>
          <w:szCs w:val="24"/>
          <w:lang w:eastAsia="en-US"/>
        </w:rPr>
        <w:t>quipements et Services de montage en pleine conformité avec toutes les exigences du Marché, incluant, mais sans s’y limiter, les méthodes de travail, l’approvisionnement en matériaux, etc.</w:t>
      </w:r>
    </w:p>
    <w:p w14:paraId="7492F494"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(x)</w:t>
      </w:r>
      <w:r w:rsidRPr="004E4188">
        <w:rPr>
          <w:szCs w:val="24"/>
          <w:lang w:eastAsia="en-US"/>
        </w:rPr>
        <w:tab/>
        <w:t xml:space="preserve">L’exécution de toutes les opérations pour les </w:t>
      </w:r>
      <w:r w:rsidRPr="004E4188">
        <w:rPr>
          <w:szCs w:val="24"/>
        </w:rPr>
        <w:t>É</w:t>
      </w:r>
      <w:r w:rsidRPr="004E4188">
        <w:rPr>
          <w:szCs w:val="24"/>
          <w:lang w:eastAsia="en-US"/>
        </w:rPr>
        <w:t>quipements et Services de montage en toute sécurité et dans le respect de l’environnement.</w:t>
      </w:r>
    </w:p>
    <w:p w14:paraId="44BDD198"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(xi)</w:t>
      </w:r>
      <w:r w:rsidRPr="004E4188">
        <w:rPr>
          <w:szCs w:val="24"/>
          <w:lang w:eastAsia="en-US"/>
        </w:rPr>
        <w:tab/>
        <w:t xml:space="preserve">La conformité des sous-traitants proposés pour les </w:t>
      </w:r>
      <w:r w:rsidRPr="004E4188">
        <w:rPr>
          <w:lang w:eastAsia="en-US"/>
        </w:rPr>
        <w:t>élément</w:t>
      </w:r>
      <w:r w:rsidRPr="004E4188">
        <w:rPr>
          <w:rFonts w:hint="eastAsia"/>
          <w:lang w:eastAsia="ja-JP"/>
        </w:rPr>
        <w:t>s</w:t>
      </w:r>
      <w:r w:rsidRPr="004E4188">
        <w:rPr>
          <w:szCs w:val="24"/>
          <w:lang w:eastAsia="en-US"/>
        </w:rPr>
        <w:t xml:space="preserve"> </w:t>
      </w:r>
      <w:r w:rsidRPr="004E4188">
        <w:rPr>
          <w:rFonts w:hint="eastAsia"/>
          <w:szCs w:val="24"/>
          <w:lang w:eastAsia="en-US"/>
        </w:rPr>
        <w:t>é</w:t>
      </w:r>
      <w:r w:rsidRPr="004E4188">
        <w:rPr>
          <w:szCs w:val="24"/>
          <w:lang w:eastAsia="en-US"/>
        </w:rPr>
        <w:t>numérés à l’Article</w:t>
      </w:r>
      <w:r w:rsidRPr="004E4188">
        <w:rPr>
          <w:rFonts w:cs="HBKMBP+TimesNewRoman"/>
          <w:color w:val="000000"/>
          <w:szCs w:val="24"/>
          <w:lang w:eastAsia="en-US"/>
        </w:rPr>
        <w:t xml:space="preserve"> 1.1.3 ci-dessous, le cas échéant</w:t>
      </w:r>
      <w:r w:rsidRPr="004E4188">
        <w:rPr>
          <w:szCs w:val="24"/>
          <w:lang w:eastAsia="en-US"/>
        </w:rPr>
        <w:t>.</w:t>
      </w:r>
    </w:p>
    <w:p w14:paraId="411E8990" w14:textId="77777777" w:rsidR="006F129D" w:rsidRPr="004E4188" w:rsidRDefault="006F129D" w:rsidP="00D45EAD">
      <w:pPr>
        <w:suppressAutoHyphens w:val="0"/>
        <w:overflowPunct/>
        <w:autoSpaceDE/>
        <w:autoSpaceDN/>
        <w:adjustRightInd/>
        <w:ind w:left="851"/>
        <w:jc w:val="left"/>
        <w:textAlignment w:val="auto"/>
        <w:rPr>
          <w:b/>
          <w:bCs/>
          <w:lang w:eastAsia="ja-JP"/>
        </w:rPr>
      </w:pPr>
    </w:p>
    <w:p w14:paraId="4B902EE1" w14:textId="77777777" w:rsidR="006F129D" w:rsidRPr="004E4188" w:rsidRDefault="006F129D" w:rsidP="00D45EAD">
      <w:pPr>
        <w:suppressAutoHyphens w:val="0"/>
        <w:overflowPunct/>
        <w:autoSpaceDE/>
        <w:autoSpaceDN/>
        <w:adjustRightInd/>
        <w:spacing w:after="120"/>
        <w:ind w:left="851"/>
        <w:textAlignment w:val="auto"/>
        <w:rPr>
          <w:lang w:eastAsia="ja-JP"/>
        </w:rPr>
      </w:pPr>
      <w:r w:rsidRPr="004E4188">
        <w:rPr>
          <w:rFonts w:cs="HBKMBP+TimesNewRoman"/>
          <w:color w:val="000000"/>
          <w:szCs w:val="24"/>
          <w:lang w:eastAsia="en-US"/>
        </w:rPr>
        <w:t xml:space="preserve">Une </w:t>
      </w:r>
      <w:r w:rsidRPr="004E4188">
        <w:rPr>
          <w:szCs w:val="24"/>
          <w:lang w:eastAsia="en-US"/>
        </w:rPr>
        <w:t>offre</w:t>
      </w:r>
      <w:r w:rsidRPr="004E4188">
        <w:rPr>
          <w:rFonts w:cs="HBKMBP+TimesNewRoman"/>
          <w:color w:val="000000"/>
          <w:szCs w:val="24"/>
          <w:lang w:eastAsia="en-US"/>
        </w:rPr>
        <w:t xml:space="preserve"> qui ne satisfait pas aux exigences minimales acceptables en matière d’exhaustivité, de cohérence et de précision, ainsi qu’aux </w:t>
      </w:r>
      <w:r w:rsidRPr="004E4188">
        <w:rPr>
          <w:rFonts w:cs="HBKMBP+TimesNewRoman"/>
          <w:szCs w:val="24"/>
          <w:lang w:eastAsia="en-US"/>
        </w:rPr>
        <w:t>niveaux</w:t>
      </w:r>
      <w:r w:rsidRPr="004E4188">
        <w:rPr>
          <w:rFonts w:cs="HBKMBP+TimesNewRoman"/>
          <w:color w:val="FF0000"/>
          <w:szCs w:val="24"/>
          <w:lang w:eastAsia="en-US"/>
        </w:rPr>
        <w:t xml:space="preserve"> </w:t>
      </w:r>
      <w:r w:rsidRPr="004E4188">
        <w:rPr>
          <w:rFonts w:cs="HBKMBP+TimesNewRoman"/>
          <w:color w:val="000000"/>
          <w:szCs w:val="24"/>
          <w:lang w:eastAsia="en-US"/>
        </w:rPr>
        <w:t>minimaux (ou maximaux, le cas échéant) acceptables spécifiés pour les garanties opérationnelles requises, sera rejetée</w:t>
      </w:r>
      <w:r w:rsidRPr="004E4188">
        <w:rPr>
          <w:lang w:eastAsia="ja-JP"/>
        </w:rPr>
        <w:t>.</w:t>
      </w:r>
    </w:p>
    <w:p w14:paraId="75635835" w14:textId="77777777" w:rsidR="006F129D" w:rsidRPr="004E4188" w:rsidRDefault="006F129D" w:rsidP="00D45EAD">
      <w:pPr>
        <w:suppressAutoHyphens w:val="0"/>
        <w:overflowPunct/>
        <w:autoSpaceDE/>
        <w:autoSpaceDN/>
        <w:adjustRightInd/>
        <w:spacing w:after="120"/>
        <w:ind w:left="851"/>
        <w:textAlignment w:val="auto"/>
        <w:rPr>
          <w:lang w:eastAsia="ja-JP"/>
        </w:rPr>
      </w:pPr>
    </w:p>
    <w:p w14:paraId="7C32CE94" w14:textId="77777777" w:rsidR="006F129D" w:rsidRPr="004E4188" w:rsidRDefault="006F129D" w:rsidP="00124663">
      <w:pPr>
        <w:tabs>
          <w:tab w:val="num" w:pos="2705"/>
        </w:tabs>
        <w:suppressAutoHyphens w:val="0"/>
        <w:overflowPunct/>
        <w:autoSpaceDE/>
        <w:autoSpaceDN/>
        <w:adjustRightInd/>
        <w:ind w:left="851" w:hanging="851"/>
        <w:jc w:val="left"/>
        <w:textAlignment w:val="auto"/>
        <w:rPr>
          <w:b/>
        </w:rPr>
      </w:pPr>
      <w:r w:rsidRPr="004E4188">
        <w:rPr>
          <w:b/>
        </w:rPr>
        <w:t>1.1.1</w:t>
      </w:r>
      <w:r w:rsidRPr="004E4188">
        <w:rPr>
          <w:b/>
          <w:bCs/>
          <w:lang w:eastAsia="ja-JP"/>
        </w:rPr>
        <w:tab/>
      </w:r>
      <w:r w:rsidRPr="004E4188">
        <w:rPr>
          <w:b/>
        </w:rPr>
        <w:t>Personnel</w:t>
      </w:r>
    </w:p>
    <w:p w14:paraId="442BEE50" w14:textId="667A3DA1" w:rsidR="006F129D" w:rsidRPr="004E4188" w:rsidRDefault="006F129D" w:rsidP="00124663">
      <w:pPr>
        <w:widowControl w:val="0"/>
        <w:suppressAutoHyphens w:val="0"/>
        <w:overflowPunct/>
        <w:autoSpaceDE/>
        <w:autoSpaceDN/>
        <w:adjustRightInd/>
        <w:spacing w:line="0" w:lineRule="atLeast"/>
        <w:ind w:left="850"/>
        <w:textAlignment w:val="auto"/>
      </w:pPr>
      <w:r w:rsidRPr="004E4188">
        <w:t xml:space="preserve">Le Soumissionnaire doit établir qu’il dispose du personnel </w:t>
      </w:r>
      <w:r w:rsidRPr="004E4188">
        <w:rPr>
          <w:szCs w:val="24"/>
        </w:rPr>
        <w:t>répondant aux critères ci-après pour les postes-clés suivants</w:t>
      </w:r>
      <w:r w:rsidRPr="004E4188">
        <w:t> :</w:t>
      </w:r>
    </w:p>
    <w:p w14:paraId="6462584A" w14:textId="77777777" w:rsidR="006F129D" w:rsidRPr="004E4188" w:rsidRDefault="006F129D" w:rsidP="00D45EAD">
      <w:pPr>
        <w:widowControl w:val="0"/>
        <w:suppressAutoHyphens w:val="0"/>
        <w:overflowPunct/>
        <w:autoSpaceDE/>
        <w:autoSpaceDN/>
        <w:adjustRightInd/>
        <w:spacing w:line="0" w:lineRule="atLeast"/>
        <w:ind w:left="720"/>
        <w:textAlignment w:val="auto"/>
        <w:rPr>
          <w:lang w:eastAsia="ja-JP"/>
        </w:rPr>
      </w:pPr>
    </w:p>
    <w:tbl>
      <w:tblPr>
        <w:tblW w:w="8272"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02"/>
        <w:gridCol w:w="1559"/>
        <w:gridCol w:w="1961"/>
      </w:tblGrid>
      <w:tr w:rsidR="006F129D" w:rsidRPr="004E4188" w14:paraId="4965E860" w14:textId="77777777" w:rsidTr="00D45EAD">
        <w:tc>
          <w:tcPr>
            <w:tcW w:w="850" w:type="dxa"/>
            <w:vMerge w:val="restart"/>
            <w:tcBorders>
              <w:top w:val="single" w:sz="12" w:space="0" w:color="auto"/>
              <w:left w:val="single" w:sz="12" w:space="0" w:color="auto"/>
              <w:right w:val="single" w:sz="12" w:space="0" w:color="auto"/>
            </w:tcBorders>
            <w:shd w:val="clear" w:color="auto" w:fill="D9D9D9"/>
            <w:vAlign w:val="center"/>
          </w:tcPr>
          <w:p w14:paraId="2BE1F7EF" w14:textId="77777777" w:rsidR="006F129D" w:rsidRPr="004E4188" w:rsidRDefault="006F129D" w:rsidP="007B0B65">
            <w:pPr>
              <w:jc w:val="center"/>
              <w:rPr>
                <w:rFonts w:ascii="Arial" w:hAnsi="Arial" w:cs="Arial"/>
                <w:b/>
                <w:bCs/>
                <w:sz w:val="20"/>
              </w:rPr>
            </w:pPr>
            <w:r w:rsidRPr="004E4188">
              <w:rPr>
                <w:rFonts w:ascii="Arial" w:hAnsi="Arial" w:cs="Arial"/>
                <w:b/>
                <w:bCs/>
                <w:sz w:val="20"/>
              </w:rPr>
              <w:t>n°</w:t>
            </w:r>
          </w:p>
        </w:tc>
        <w:tc>
          <w:tcPr>
            <w:tcW w:w="3902" w:type="dxa"/>
            <w:vMerge w:val="restart"/>
            <w:tcBorders>
              <w:top w:val="single" w:sz="12" w:space="0" w:color="auto"/>
              <w:left w:val="single" w:sz="12" w:space="0" w:color="auto"/>
              <w:right w:val="single" w:sz="12" w:space="0" w:color="auto"/>
            </w:tcBorders>
            <w:shd w:val="clear" w:color="auto" w:fill="D9D9D9"/>
            <w:vAlign w:val="center"/>
          </w:tcPr>
          <w:p w14:paraId="16F158A1" w14:textId="77777777" w:rsidR="006F129D" w:rsidRPr="004E4188" w:rsidRDefault="006F129D" w:rsidP="007B0B65">
            <w:pPr>
              <w:jc w:val="center"/>
              <w:rPr>
                <w:rFonts w:ascii="Arial" w:hAnsi="Arial" w:cs="Arial"/>
                <w:b/>
                <w:bCs/>
                <w:sz w:val="20"/>
              </w:rPr>
            </w:pPr>
            <w:r w:rsidRPr="004E4188">
              <w:rPr>
                <w:rFonts w:ascii="Arial" w:hAnsi="Arial" w:cs="Arial"/>
                <w:b/>
                <w:bCs/>
                <w:sz w:val="20"/>
              </w:rPr>
              <w:t>Poste</w:t>
            </w:r>
          </w:p>
        </w:tc>
        <w:tc>
          <w:tcPr>
            <w:tcW w:w="352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3E1D2EF" w14:textId="77777777" w:rsidR="006F129D" w:rsidRPr="004E4188" w:rsidRDefault="006F129D" w:rsidP="007B0B65">
            <w:pPr>
              <w:jc w:val="center"/>
              <w:rPr>
                <w:rFonts w:ascii="Arial" w:hAnsi="Arial" w:cs="Arial"/>
                <w:b/>
                <w:bCs/>
                <w:sz w:val="20"/>
                <w:lang w:eastAsia="ja-JP"/>
              </w:rPr>
            </w:pPr>
            <w:r w:rsidRPr="004E4188">
              <w:rPr>
                <w:rFonts w:ascii="Arial" w:hAnsi="Arial" w:cs="Arial"/>
                <w:b/>
                <w:bCs/>
                <w:sz w:val="20"/>
                <w:lang w:eastAsia="ja-JP"/>
              </w:rPr>
              <w:t>Nombre minimum d’années</w:t>
            </w:r>
          </w:p>
        </w:tc>
      </w:tr>
      <w:tr w:rsidR="006F129D" w:rsidRPr="004E4188" w14:paraId="447571CE" w14:textId="77777777" w:rsidTr="00D45EAD">
        <w:tc>
          <w:tcPr>
            <w:tcW w:w="850" w:type="dxa"/>
            <w:vMerge/>
            <w:tcBorders>
              <w:left w:val="single" w:sz="12" w:space="0" w:color="auto"/>
              <w:bottom w:val="single" w:sz="12" w:space="0" w:color="auto"/>
              <w:right w:val="single" w:sz="12" w:space="0" w:color="auto"/>
            </w:tcBorders>
            <w:shd w:val="clear" w:color="auto" w:fill="D9D9D9"/>
            <w:vAlign w:val="center"/>
          </w:tcPr>
          <w:p w14:paraId="659084A3" w14:textId="77777777" w:rsidR="006F129D" w:rsidRPr="004E4188" w:rsidRDefault="006F129D" w:rsidP="007B0B65">
            <w:pPr>
              <w:jc w:val="center"/>
              <w:rPr>
                <w:rFonts w:ascii="Arial" w:hAnsi="Arial" w:cs="Arial"/>
                <w:b/>
                <w:bCs/>
                <w:sz w:val="20"/>
              </w:rPr>
            </w:pPr>
          </w:p>
        </w:tc>
        <w:tc>
          <w:tcPr>
            <w:tcW w:w="3902" w:type="dxa"/>
            <w:vMerge/>
            <w:tcBorders>
              <w:left w:val="single" w:sz="12" w:space="0" w:color="auto"/>
              <w:bottom w:val="single" w:sz="12" w:space="0" w:color="auto"/>
              <w:right w:val="single" w:sz="12" w:space="0" w:color="auto"/>
            </w:tcBorders>
            <w:shd w:val="clear" w:color="auto" w:fill="D9D9D9"/>
            <w:vAlign w:val="center"/>
          </w:tcPr>
          <w:p w14:paraId="743D5247" w14:textId="77777777" w:rsidR="006F129D" w:rsidRPr="004E4188" w:rsidRDefault="006F129D" w:rsidP="007B0B65">
            <w:pPr>
              <w:jc w:val="center"/>
              <w:rPr>
                <w:rFonts w:ascii="Arial" w:hAnsi="Arial" w:cs="Arial"/>
                <w:b/>
                <w:bCs/>
                <w:sz w:val="20"/>
              </w:rPr>
            </w:pPr>
          </w:p>
        </w:tc>
        <w:tc>
          <w:tcPr>
            <w:tcW w:w="1559" w:type="dxa"/>
            <w:tcBorders>
              <w:top w:val="single" w:sz="12" w:space="0" w:color="auto"/>
              <w:left w:val="single" w:sz="12" w:space="0" w:color="auto"/>
              <w:bottom w:val="single" w:sz="12" w:space="0" w:color="auto"/>
              <w:right w:val="single" w:sz="12" w:space="0" w:color="auto"/>
            </w:tcBorders>
            <w:shd w:val="clear" w:color="auto" w:fill="D9D9D9"/>
            <w:vAlign w:val="center"/>
          </w:tcPr>
          <w:p w14:paraId="6F8A71AA" w14:textId="7A9B2D97" w:rsidR="006F129D" w:rsidRPr="004E4188" w:rsidRDefault="006F129D" w:rsidP="00D45EAD">
            <w:pPr>
              <w:jc w:val="center"/>
              <w:rPr>
                <w:rFonts w:ascii="Arial" w:hAnsi="Arial" w:cs="Arial"/>
                <w:b/>
                <w:bCs/>
                <w:sz w:val="20"/>
              </w:rPr>
            </w:pPr>
            <w:r w:rsidRPr="004E4188">
              <w:rPr>
                <w:rFonts w:ascii="Arial" w:hAnsi="Arial" w:cs="Arial"/>
                <w:b/>
                <w:bCs/>
                <w:sz w:val="20"/>
              </w:rPr>
              <w:t>Postes similaire</w:t>
            </w:r>
            <w:r w:rsidRPr="004E4188">
              <w:rPr>
                <w:rFonts w:ascii="Arial" w:hAnsi="Arial" w:cs="Arial"/>
                <w:b/>
                <w:bCs/>
                <w:sz w:val="20"/>
                <w:lang w:eastAsia="ja-JP"/>
              </w:rPr>
              <w:t>s</w:t>
            </w:r>
            <w:r w:rsidRPr="004E4188">
              <w:rPr>
                <w:rFonts w:ascii="Arial" w:hAnsi="Arial" w:cs="Arial"/>
                <w:b/>
                <w:bCs/>
                <w:sz w:val="20"/>
              </w:rPr>
              <w:t xml:space="preserve"> </w:t>
            </w:r>
          </w:p>
        </w:tc>
        <w:tc>
          <w:tcPr>
            <w:tcW w:w="1961" w:type="dxa"/>
            <w:tcBorders>
              <w:top w:val="single" w:sz="12" w:space="0" w:color="auto"/>
              <w:left w:val="single" w:sz="12" w:space="0" w:color="auto"/>
              <w:bottom w:val="single" w:sz="12" w:space="0" w:color="auto"/>
              <w:right w:val="single" w:sz="12" w:space="0" w:color="auto"/>
            </w:tcBorders>
            <w:shd w:val="clear" w:color="auto" w:fill="D9D9D9"/>
            <w:vAlign w:val="center"/>
          </w:tcPr>
          <w:p w14:paraId="2D377AF9" w14:textId="2E30ED79" w:rsidR="006F129D" w:rsidRPr="004E4188" w:rsidRDefault="006F129D" w:rsidP="00D45EAD">
            <w:pPr>
              <w:jc w:val="center"/>
              <w:rPr>
                <w:rFonts w:ascii="Arial" w:hAnsi="Arial" w:cs="Arial"/>
                <w:b/>
                <w:bCs/>
                <w:sz w:val="20"/>
                <w:lang w:eastAsia="ja-JP"/>
              </w:rPr>
            </w:pPr>
            <w:r w:rsidRPr="004E4188">
              <w:rPr>
                <w:rFonts w:ascii="Arial" w:hAnsi="Arial" w:cs="Arial"/>
                <w:b/>
                <w:bCs/>
                <w:sz w:val="20"/>
                <w:lang w:eastAsia="ja-JP"/>
              </w:rPr>
              <w:t xml:space="preserve">Expérience professionnelle générale </w:t>
            </w:r>
          </w:p>
        </w:tc>
      </w:tr>
      <w:tr w:rsidR="006F129D" w:rsidRPr="004E4188" w14:paraId="35234077" w14:textId="77777777" w:rsidTr="00D45EAD">
        <w:trPr>
          <w:trHeight w:val="340"/>
        </w:trPr>
        <w:tc>
          <w:tcPr>
            <w:tcW w:w="850" w:type="dxa"/>
            <w:tcBorders>
              <w:top w:val="single" w:sz="12" w:space="0" w:color="auto"/>
            </w:tcBorders>
            <w:vAlign w:val="center"/>
          </w:tcPr>
          <w:p w14:paraId="689BD362" w14:textId="77777777" w:rsidR="006F129D" w:rsidRPr="004E4188" w:rsidRDefault="006F129D" w:rsidP="00C110E3">
            <w:pPr>
              <w:pStyle w:val="aa"/>
              <w:jc w:val="center"/>
              <w:rPr>
                <w:rFonts w:ascii="Arial" w:hAnsi="Arial" w:cs="Arial"/>
              </w:rPr>
            </w:pPr>
            <w:r w:rsidRPr="004E4188">
              <w:rPr>
                <w:rFonts w:ascii="Arial" w:hAnsi="Arial" w:cs="Arial"/>
              </w:rPr>
              <w:t>1</w:t>
            </w:r>
          </w:p>
        </w:tc>
        <w:tc>
          <w:tcPr>
            <w:tcW w:w="3902" w:type="dxa"/>
            <w:tcBorders>
              <w:top w:val="single" w:sz="12" w:space="0" w:color="auto"/>
            </w:tcBorders>
            <w:vAlign w:val="center"/>
          </w:tcPr>
          <w:p w14:paraId="3D0957DA" w14:textId="2612F8ED" w:rsidR="006F129D" w:rsidRPr="004E4188" w:rsidRDefault="006F129D" w:rsidP="00C110E3">
            <w:pPr>
              <w:rPr>
                <w:rFonts w:ascii="Arial" w:hAnsi="Arial" w:cs="Arial"/>
                <w:sz w:val="20"/>
              </w:rPr>
            </w:pPr>
          </w:p>
        </w:tc>
        <w:tc>
          <w:tcPr>
            <w:tcW w:w="1559" w:type="dxa"/>
            <w:tcBorders>
              <w:top w:val="single" w:sz="12" w:space="0" w:color="auto"/>
            </w:tcBorders>
            <w:vAlign w:val="center"/>
          </w:tcPr>
          <w:p w14:paraId="2A7C2CB3" w14:textId="77777777" w:rsidR="006F129D" w:rsidRPr="004E4188" w:rsidRDefault="006F129D" w:rsidP="00C110E3">
            <w:pPr>
              <w:rPr>
                <w:rFonts w:ascii="Arial" w:hAnsi="Arial" w:cs="Arial"/>
                <w:sz w:val="20"/>
              </w:rPr>
            </w:pPr>
          </w:p>
        </w:tc>
        <w:tc>
          <w:tcPr>
            <w:tcW w:w="1961" w:type="dxa"/>
            <w:tcBorders>
              <w:top w:val="single" w:sz="12" w:space="0" w:color="auto"/>
            </w:tcBorders>
            <w:vAlign w:val="center"/>
          </w:tcPr>
          <w:p w14:paraId="78CB9515" w14:textId="77777777" w:rsidR="006F129D" w:rsidRPr="004E4188" w:rsidRDefault="006F129D" w:rsidP="00C110E3">
            <w:pPr>
              <w:rPr>
                <w:rFonts w:ascii="Arial" w:hAnsi="Arial" w:cs="Arial"/>
                <w:sz w:val="20"/>
              </w:rPr>
            </w:pPr>
          </w:p>
        </w:tc>
      </w:tr>
      <w:tr w:rsidR="006F129D" w:rsidRPr="004E4188" w14:paraId="341F4BC2" w14:textId="77777777" w:rsidTr="00D45EAD">
        <w:trPr>
          <w:trHeight w:val="340"/>
        </w:trPr>
        <w:tc>
          <w:tcPr>
            <w:tcW w:w="850" w:type="dxa"/>
            <w:vAlign w:val="center"/>
          </w:tcPr>
          <w:p w14:paraId="246CD632" w14:textId="77777777" w:rsidR="006F129D" w:rsidRPr="004E4188" w:rsidRDefault="006F129D" w:rsidP="00C110E3">
            <w:pPr>
              <w:jc w:val="center"/>
              <w:rPr>
                <w:rFonts w:ascii="Arial" w:hAnsi="Arial" w:cs="Arial"/>
                <w:sz w:val="20"/>
              </w:rPr>
            </w:pPr>
            <w:r w:rsidRPr="004E4188">
              <w:rPr>
                <w:rFonts w:ascii="Arial" w:hAnsi="Arial" w:cs="Arial"/>
                <w:sz w:val="20"/>
              </w:rPr>
              <w:t>2</w:t>
            </w:r>
          </w:p>
        </w:tc>
        <w:tc>
          <w:tcPr>
            <w:tcW w:w="3902" w:type="dxa"/>
            <w:vAlign w:val="center"/>
          </w:tcPr>
          <w:p w14:paraId="7E620225" w14:textId="130C9DB9" w:rsidR="006F129D" w:rsidRPr="004E4188" w:rsidRDefault="006F129D" w:rsidP="00C110E3">
            <w:pPr>
              <w:rPr>
                <w:rFonts w:ascii="Arial" w:hAnsi="Arial" w:cs="Arial"/>
                <w:i/>
                <w:sz w:val="20"/>
              </w:rPr>
            </w:pPr>
          </w:p>
        </w:tc>
        <w:tc>
          <w:tcPr>
            <w:tcW w:w="1559" w:type="dxa"/>
            <w:vAlign w:val="center"/>
          </w:tcPr>
          <w:p w14:paraId="10F9384F" w14:textId="77777777" w:rsidR="006F129D" w:rsidRPr="004E4188" w:rsidRDefault="006F129D" w:rsidP="00C110E3">
            <w:pPr>
              <w:rPr>
                <w:rFonts w:ascii="Arial" w:hAnsi="Arial" w:cs="Arial"/>
                <w:sz w:val="20"/>
                <w:u w:val="single"/>
              </w:rPr>
            </w:pPr>
          </w:p>
        </w:tc>
        <w:tc>
          <w:tcPr>
            <w:tcW w:w="1961" w:type="dxa"/>
            <w:vAlign w:val="center"/>
          </w:tcPr>
          <w:p w14:paraId="43F1F3B5" w14:textId="77777777" w:rsidR="006F129D" w:rsidRPr="004E4188" w:rsidRDefault="006F129D" w:rsidP="00C110E3">
            <w:pPr>
              <w:rPr>
                <w:rFonts w:ascii="Arial" w:hAnsi="Arial" w:cs="Arial"/>
                <w:sz w:val="20"/>
              </w:rPr>
            </w:pPr>
          </w:p>
        </w:tc>
      </w:tr>
      <w:tr w:rsidR="006F129D" w:rsidRPr="004E4188" w14:paraId="348F52C9" w14:textId="77777777" w:rsidTr="00D45EAD">
        <w:trPr>
          <w:trHeight w:val="340"/>
        </w:trPr>
        <w:tc>
          <w:tcPr>
            <w:tcW w:w="850" w:type="dxa"/>
            <w:vAlign w:val="center"/>
          </w:tcPr>
          <w:p w14:paraId="2FAA259F" w14:textId="77777777" w:rsidR="006F129D" w:rsidRPr="004E4188" w:rsidRDefault="006F129D" w:rsidP="00C110E3">
            <w:pPr>
              <w:pStyle w:val="aa"/>
              <w:jc w:val="center"/>
              <w:rPr>
                <w:rFonts w:ascii="Arial" w:hAnsi="Arial" w:cs="Arial"/>
              </w:rPr>
            </w:pPr>
            <w:r w:rsidRPr="004E4188">
              <w:rPr>
                <w:rFonts w:ascii="Arial" w:hAnsi="Arial" w:cs="Arial"/>
              </w:rPr>
              <w:t>3</w:t>
            </w:r>
          </w:p>
        </w:tc>
        <w:tc>
          <w:tcPr>
            <w:tcW w:w="3902" w:type="dxa"/>
            <w:vAlign w:val="center"/>
          </w:tcPr>
          <w:p w14:paraId="2D721DEE" w14:textId="5A5ACCAB" w:rsidR="006F129D" w:rsidRPr="004E4188" w:rsidRDefault="006F129D" w:rsidP="00C110E3">
            <w:pPr>
              <w:rPr>
                <w:rFonts w:ascii="Arial" w:hAnsi="Arial" w:cs="Arial"/>
                <w:i/>
                <w:sz w:val="20"/>
              </w:rPr>
            </w:pPr>
          </w:p>
        </w:tc>
        <w:tc>
          <w:tcPr>
            <w:tcW w:w="1559" w:type="dxa"/>
            <w:vAlign w:val="center"/>
          </w:tcPr>
          <w:p w14:paraId="0DF2ECC9" w14:textId="77777777" w:rsidR="006F129D" w:rsidRPr="004E4188" w:rsidRDefault="006F129D" w:rsidP="00C110E3">
            <w:pPr>
              <w:rPr>
                <w:rFonts w:ascii="Arial" w:hAnsi="Arial" w:cs="Arial"/>
                <w:sz w:val="20"/>
                <w:u w:val="single"/>
              </w:rPr>
            </w:pPr>
          </w:p>
        </w:tc>
        <w:tc>
          <w:tcPr>
            <w:tcW w:w="1961" w:type="dxa"/>
            <w:vAlign w:val="center"/>
          </w:tcPr>
          <w:p w14:paraId="3B728CC6" w14:textId="77777777" w:rsidR="006F129D" w:rsidRPr="004E4188" w:rsidRDefault="006F129D" w:rsidP="00C110E3">
            <w:pPr>
              <w:rPr>
                <w:rFonts w:ascii="Arial" w:hAnsi="Arial" w:cs="Arial"/>
                <w:sz w:val="20"/>
                <w:u w:val="single"/>
              </w:rPr>
            </w:pPr>
          </w:p>
        </w:tc>
      </w:tr>
      <w:tr w:rsidR="006F129D" w:rsidRPr="004E4188" w14:paraId="292E48FD" w14:textId="77777777" w:rsidTr="00D45EAD">
        <w:trPr>
          <w:trHeight w:val="340"/>
        </w:trPr>
        <w:tc>
          <w:tcPr>
            <w:tcW w:w="850" w:type="dxa"/>
            <w:vAlign w:val="center"/>
          </w:tcPr>
          <w:p w14:paraId="7967AE1A" w14:textId="77777777" w:rsidR="006F129D" w:rsidRPr="004E4188" w:rsidRDefault="006F129D" w:rsidP="00C110E3">
            <w:pPr>
              <w:pStyle w:val="aa"/>
              <w:jc w:val="center"/>
              <w:rPr>
                <w:rFonts w:ascii="Arial" w:hAnsi="Arial" w:cs="Arial"/>
              </w:rPr>
            </w:pPr>
            <w:r w:rsidRPr="004E4188">
              <w:rPr>
                <w:rFonts w:ascii="Arial" w:hAnsi="Arial" w:cs="Arial"/>
              </w:rPr>
              <w:t>4</w:t>
            </w:r>
          </w:p>
        </w:tc>
        <w:tc>
          <w:tcPr>
            <w:tcW w:w="3902" w:type="dxa"/>
            <w:vAlign w:val="center"/>
          </w:tcPr>
          <w:p w14:paraId="198F076B" w14:textId="77777777" w:rsidR="006F129D" w:rsidRPr="004E4188" w:rsidRDefault="006F129D" w:rsidP="00C110E3">
            <w:pPr>
              <w:rPr>
                <w:rFonts w:ascii="Arial" w:hAnsi="Arial" w:cs="Arial"/>
                <w:i/>
                <w:sz w:val="20"/>
                <w:lang w:eastAsia="ja-JP"/>
              </w:rPr>
            </w:pPr>
          </w:p>
        </w:tc>
        <w:tc>
          <w:tcPr>
            <w:tcW w:w="1559" w:type="dxa"/>
            <w:vAlign w:val="center"/>
          </w:tcPr>
          <w:p w14:paraId="1F1C63F9" w14:textId="77777777" w:rsidR="006F129D" w:rsidRPr="004E4188" w:rsidRDefault="006F129D" w:rsidP="00C110E3">
            <w:pPr>
              <w:rPr>
                <w:rFonts w:ascii="Arial" w:hAnsi="Arial" w:cs="Arial"/>
                <w:sz w:val="20"/>
                <w:u w:val="single"/>
              </w:rPr>
            </w:pPr>
          </w:p>
        </w:tc>
        <w:tc>
          <w:tcPr>
            <w:tcW w:w="1961" w:type="dxa"/>
            <w:vAlign w:val="center"/>
          </w:tcPr>
          <w:p w14:paraId="1F34019B" w14:textId="77777777" w:rsidR="006F129D" w:rsidRPr="004E4188" w:rsidRDefault="006F129D" w:rsidP="00C110E3">
            <w:pPr>
              <w:rPr>
                <w:rFonts w:ascii="Arial" w:hAnsi="Arial" w:cs="Arial"/>
                <w:sz w:val="20"/>
                <w:u w:val="single"/>
              </w:rPr>
            </w:pPr>
          </w:p>
        </w:tc>
      </w:tr>
      <w:tr w:rsidR="006F129D" w:rsidRPr="004E4188" w14:paraId="7E70F138" w14:textId="77777777" w:rsidTr="00D45EAD">
        <w:trPr>
          <w:trHeight w:val="340"/>
        </w:trPr>
        <w:tc>
          <w:tcPr>
            <w:tcW w:w="850" w:type="dxa"/>
            <w:vAlign w:val="center"/>
          </w:tcPr>
          <w:p w14:paraId="6FB2D5CB" w14:textId="77777777" w:rsidR="006F129D" w:rsidRPr="004E4188" w:rsidRDefault="006F129D" w:rsidP="00C110E3">
            <w:pPr>
              <w:pStyle w:val="aa"/>
              <w:jc w:val="center"/>
              <w:rPr>
                <w:rFonts w:ascii="Arial" w:hAnsi="Arial" w:cs="Arial"/>
                <w:lang w:eastAsia="ja-JP"/>
              </w:rPr>
            </w:pPr>
            <w:r w:rsidRPr="004E4188">
              <w:rPr>
                <w:rFonts w:ascii="Arial" w:hAnsi="Arial" w:cs="Arial"/>
                <w:lang w:eastAsia="ja-JP"/>
              </w:rPr>
              <w:t>5</w:t>
            </w:r>
          </w:p>
        </w:tc>
        <w:tc>
          <w:tcPr>
            <w:tcW w:w="3902" w:type="dxa"/>
            <w:vAlign w:val="center"/>
          </w:tcPr>
          <w:p w14:paraId="3AC0BC51" w14:textId="77777777" w:rsidR="006F129D" w:rsidRPr="004E4188" w:rsidRDefault="006F129D" w:rsidP="00C110E3">
            <w:pPr>
              <w:rPr>
                <w:rFonts w:ascii="Arial" w:hAnsi="Arial" w:cs="Arial"/>
                <w:i/>
                <w:sz w:val="20"/>
                <w:lang w:eastAsia="ja-JP"/>
              </w:rPr>
            </w:pPr>
          </w:p>
        </w:tc>
        <w:tc>
          <w:tcPr>
            <w:tcW w:w="1559" w:type="dxa"/>
            <w:vAlign w:val="center"/>
          </w:tcPr>
          <w:p w14:paraId="0F0534BD" w14:textId="77777777" w:rsidR="006F129D" w:rsidRPr="004E4188" w:rsidRDefault="006F129D" w:rsidP="00C110E3">
            <w:pPr>
              <w:rPr>
                <w:rFonts w:ascii="Arial" w:hAnsi="Arial" w:cs="Arial"/>
                <w:sz w:val="20"/>
                <w:u w:val="single"/>
              </w:rPr>
            </w:pPr>
          </w:p>
        </w:tc>
        <w:tc>
          <w:tcPr>
            <w:tcW w:w="1961" w:type="dxa"/>
            <w:vAlign w:val="center"/>
          </w:tcPr>
          <w:p w14:paraId="55C4EACF" w14:textId="77777777" w:rsidR="006F129D" w:rsidRPr="004E4188" w:rsidRDefault="006F129D" w:rsidP="00C110E3">
            <w:pPr>
              <w:rPr>
                <w:rFonts w:ascii="Arial" w:hAnsi="Arial" w:cs="Arial"/>
                <w:sz w:val="20"/>
                <w:u w:val="single"/>
              </w:rPr>
            </w:pPr>
          </w:p>
        </w:tc>
      </w:tr>
      <w:tr w:rsidR="006F129D" w:rsidRPr="004E4188" w14:paraId="6CCCB775" w14:textId="77777777" w:rsidTr="00D45EAD">
        <w:trPr>
          <w:trHeight w:val="340"/>
        </w:trPr>
        <w:tc>
          <w:tcPr>
            <w:tcW w:w="850" w:type="dxa"/>
            <w:vAlign w:val="center"/>
          </w:tcPr>
          <w:p w14:paraId="4DE2F25F" w14:textId="77777777" w:rsidR="006F129D" w:rsidRPr="004E4188" w:rsidRDefault="006F129D" w:rsidP="00C110E3">
            <w:pPr>
              <w:jc w:val="center"/>
              <w:rPr>
                <w:rFonts w:ascii="Arial" w:hAnsi="Arial" w:cs="Arial"/>
                <w:sz w:val="20"/>
                <w:lang w:eastAsia="ja-JP"/>
              </w:rPr>
            </w:pPr>
            <w:r w:rsidRPr="004E4188">
              <w:rPr>
                <w:rFonts w:ascii="Arial" w:hAnsi="Arial" w:cs="Arial"/>
                <w:sz w:val="20"/>
                <w:lang w:eastAsia="ja-JP"/>
              </w:rPr>
              <w:t>...</w:t>
            </w:r>
          </w:p>
        </w:tc>
        <w:tc>
          <w:tcPr>
            <w:tcW w:w="3902" w:type="dxa"/>
            <w:vAlign w:val="center"/>
          </w:tcPr>
          <w:p w14:paraId="1678F843" w14:textId="77777777" w:rsidR="006F129D" w:rsidRPr="004E4188" w:rsidRDefault="006F129D" w:rsidP="00C110E3">
            <w:pPr>
              <w:rPr>
                <w:rFonts w:ascii="Arial" w:hAnsi="Arial" w:cs="Arial"/>
                <w:sz w:val="20"/>
              </w:rPr>
            </w:pPr>
          </w:p>
        </w:tc>
        <w:tc>
          <w:tcPr>
            <w:tcW w:w="1559" w:type="dxa"/>
            <w:vAlign w:val="center"/>
          </w:tcPr>
          <w:p w14:paraId="39D8DC56" w14:textId="77777777" w:rsidR="006F129D" w:rsidRPr="004E4188" w:rsidRDefault="006F129D" w:rsidP="00C110E3">
            <w:pPr>
              <w:rPr>
                <w:rFonts w:ascii="Arial" w:hAnsi="Arial" w:cs="Arial"/>
                <w:sz w:val="20"/>
                <w:u w:val="single"/>
              </w:rPr>
            </w:pPr>
          </w:p>
        </w:tc>
        <w:tc>
          <w:tcPr>
            <w:tcW w:w="1961" w:type="dxa"/>
            <w:vAlign w:val="center"/>
          </w:tcPr>
          <w:p w14:paraId="4F899958" w14:textId="77777777" w:rsidR="006F129D" w:rsidRPr="004E4188" w:rsidRDefault="006F129D" w:rsidP="00C110E3">
            <w:pPr>
              <w:rPr>
                <w:rFonts w:ascii="Arial" w:hAnsi="Arial" w:cs="Arial"/>
                <w:sz w:val="20"/>
              </w:rPr>
            </w:pPr>
          </w:p>
        </w:tc>
      </w:tr>
      <w:tr w:rsidR="006F129D" w:rsidRPr="004E4188" w14:paraId="0173C221" w14:textId="77777777" w:rsidTr="00D45EAD">
        <w:tc>
          <w:tcPr>
            <w:tcW w:w="8272" w:type="dxa"/>
            <w:gridSpan w:val="4"/>
          </w:tcPr>
          <w:p w14:paraId="13AB2682" w14:textId="686A96B5" w:rsidR="006F129D" w:rsidRPr="004E4188" w:rsidRDefault="006F129D" w:rsidP="007B0B65">
            <w:pPr>
              <w:widowControl w:val="0"/>
              <w:spacing w:line="0" w:lineRule="atLeast"/>
              <w:rPr>
                <w:rFonts w:ascii="Arial" w:hAnsi="Arial" w:cs="Arial"/>
                <w:i/>
                <w:sz w:val="20"/>
                <w:u w:val="single"/>
                <w:lang w:eastAsia="ja-JP"/>
              </w:rPr>
            </w:pPr>
            <w:r w:rsidRPr="004E4188">
              <w:rPr>
                <w:rFonts w:ascii="Arial" w:hAnsi="Arial" w:cs="Arial"/>
                <w:i/>
                <w:sz w:val="20"/>
                <w:u w:val="single"/>
                <w:lang w:eastAsia="ja-JP"/>
              </w:rPr>
              <w:t>Notes à l’intention du Maître d’ouvrage</w:t>
            </w:r>
          </w:p>
          <w:p w14:paraId="27F1003A" w14:textId="4DB72039" w:rsidR="006F129D" w:rsidRPr="004E4188" w:rsidRDefault="006F129D" w:rsidP="00124663">
            <w:pPr>
              <w:widowControl w:val="0"/>
              <w:suppressAutoHyphens w:val="0"/>
              <w:overflowPunct/>
              <w:autoSpaceDE/>
              <w:autoSpaceDN/>
              <w:adjustRightInd/>
              <w:spacing w:line="0" w:lineRule="atLeast"/>
              <w:ind w:left="454" w:hanging="454"/>
              <w:textAlignment w:val="auto"/>
              <w:rPr>
                <w:rFonts w:ascii="Arial" w:hAnsi="Arial" w:cs="Arial"/>
                <w:i/>
                <w:sz w:val="20"/>
              </w:rPr>
            </w:pPr>
            <w:r w:rsidRPr="004E4188">
              <w:rPr>
                <w:rFonts w:ascii="Arial" w:hAnsi="Arial" w:cs="Arial"/>
                <w:i/>
                <w:sz w:val="20"/>
              </w:rPr>
              <w:t>(a)</w:t>
            </w:r>
            <w:r w:rsidR="00124663" w:rsidRPr="004E4188">
              <w:rPr>
                <w:rFonts w:ascii="Arial" w:hAnsi="Arial" w:cs="Arial"/>
                <w:i/>
                <w:sz w:val="20"/>
                <w:lang w:eastAsia="ja-JP"/>
              </w:rPr>
              <w:tab/>
            </w:r>
            <w:r w:rsidRPr="004E4188">
              <w:rPr>
                <w:rFonts w:ascii="Arial" w:hAnsi="Arial" w:cs="Arial"/>
                <w:i/>
                <w:sz w:val="20"/>
              </w:rPr>
              <w:t>Les postes requis doivent être limités aux postes supérieurs essentiels à la bonne exécution des Équipements et Services de montage dans les délais prescrits, tels que</w:t>
            </w:r>
            <w:r w:rsidRPr="004E4188" w:rsidDel="00C465CF">
              <w:rPr>
                <w:rFonts w:ascii="Arial" w:hAnsi="Arial" w:cs="Arial"/>
                <w:i/>
                <w:sz w:val="20"/>
              </w:rPr>
              <w:t xml:space="preserve"> </w:t>
            </w:r>
            <w:r w:rsidRPr="004E4188">
              <w:rPr>
                <w:rFonts w:ascii="Arial" w:hAnsi="Arial" w:cs="Arial"/>
                <w:i/>
                <w:sz w:val="20"/>
              </w:rPr>
              <w:t>le chef de projet, l’(les) ingénieur(s) en chef, le(les) responsable(s) de la conception ou le(les) directeur(s) de section qui sont responsables des activités principales. Le Maître d’ouvrage s’assurera pour cela que le nombre de postes soit maintenu au minimum requis.</w:t>
            </w:r>
          </w:p>
          <w:p w14:paraId="63A270FB" w14:textId="77777777" w:rsidR="006F129D" w:rsidRPr="004E4188" w:rsidRDefault="006F129D" w:rsidP="00D45EAD">
            <w:pPr>
              <w:widowControl w:val="0"/>
              <w:suppressAutoHyphens w:val="0"/>
              <w:overflowPunct/>
              <w:autoSpaceDE/>
              <w:autoSpaceDN/>
              <w:adjustRightInd/>
              <w:spacing w:line="0" w:lineRule="atLeast"/>
              <w:textAlignment w:val="auto"/>
              <w:rPr>
                <w:rFonts w:ascii="Arial" w:hAnsi="Arial" w:cs="Arial"/>
                <w:i/>
                <w:sz w:val="20"/>
              </w:rPr>
            </w:pPr>
          </w:p>
          <w:p w14:paraId="36AD84A6" w14:textId="4FBEE6B6" w:rsidR="006F129D" w:rsidRPr="004E4188" w:rsidRDefault="006F129D" w:rsidP="00124663">
            <w:pPr>
              <w:widowControl w:val="0"/>
              <w:suppressAutoHyphens w:val="0"/>
              <w:overflowPunct/>
              <w:autoSpaceDE/>
              <w:autoSpaceDN/>
              <w:adjustRightInd/>
              <w:spacing w:line="0" w:lineRule="atLeast"/>
              <w:ind w:left="454" w:hanging="454"/>
              <w:textAlignment w:val="auto"/>
              <w:rPr>
                <w:rFonts w:ascii="Arial" w:hAnsi="Arial" w:cs="Arial"/>
                <w:i/>
                <w:sz w:val="20"/>
              </w:rPr>
            </w:pPr>
            <w:r w:rsidRPr="004E4188">
              <w:rPr>
                <w:rFonts w:ascii="Arial" w:hAnsi="Arial" w:cs="Arial"/>
                <w:i/>
                <w:sz w:val="20"/>
              </w:rPr>
              <w:t>(b)</w:t>
            </w:r>
            <w:r w:rsidR="00124663" w:rsidRPr="004E4188">
              <w:rPr>
                <w:rFonts w:ascii="Arial" w:hAnsi="Arial" w:cs="Arial"/>
                <w:i/>
                <w:sz w:val="20"/>
                <w:lang w:eastAsia="ja-JP"/>
              </w:rPr>
              <w:tab/>
            </w:r>
            <w:r w:rsidRPr="004E4188">
              <w:rPr>
                <w:rFonts w:ascii="Arial" w:hAnsi="Arial" w:cs="Arial"/>
                <w:i/>
                <w:sz w:val="20"/>
              </w:rPr>
              <w:t>Un des postes-clés sera tenu par un responsable de la santé et de la sécurité.</w:t>
            </w:r>
          </w:p>
          <w:p w14:paraId="39C693FF" w14:textId="77777777" w:rsidR="006F129D" w:rsidRPr="004E4188" w:rsidRDefault="006F129D" w:rsidP="00D45EAD">
            <w:pPr>
              <w:widowControl w:val="0"/>
              <w:suppressAutoHyphens w:val="0"/>
              <w:overflowPunct/>
              <w:autoSpaceDE/>
              <w:autoSpaceDN/>
              <w:adjustRightInd/>
              <w:spacing w:line="0" w:lineRule="atLeast"/>
              <w:textAlignment w:val="auto"/>
              <w:rPr>
                <w:rFonts w:ascii="Arial" w:hAnsi="Arial" w:cs="Arial"/>
                <w:i/>
                <w:sz w:val="20"/>
                <w:lang w:eastAsia="ja-JP"/>
              </w:rPr>
            </w:pPr>
          </w:p>
          <w:p w14:paraId="7491338E" w14:textId="16FCE00B" w:rsidR="006F129D" w:rsidRPr="004E4188" w:rsidRDefault="006F129D" w:rsidP="00124663">
            <w:pPr>
              <w:spacing w:afterLines="50" w:after="120"/>
              <w:ind w:left="454" w:hanging="454"/>
              <w:rPr>
                <w:rFonts w:ascii="Arial" w:hAnsi="Arial" w:cs="Arial"/>
                <w:sz w:val="20"/>
                <w:lang w:eastAsia="ja-JP"/>
              </w:rPr>
            </w:pPr>
            <w:r w:rsidRPr="004E4188">
              <w:rPr>
                <w:rFonts w:ascii="Arial" w:hAnsi="Arial" w:cs="Arial"/>
                <w:i/>
                <w:sz w:val="20"/>
                <w:lang w:eastAsia="ja-JP"/>
              </w:rPr>
              <w:t>(c)</w:t>
            </w:r>
            <w:r w:rsidR="00124663" w:rsidRPr="004E4188">
              <w:rPr>
                <w:rFonts w:ascii="Arial" w:hAnsi="Arial" w:cs="Arial"/>
                <w:i/>
                <w:sz w:val="20"/>
                <w:lang w:eastAsia="ja-JP"/>
              </w:rPr>
              <w:tab/>
            </w:r>
            <w:r w:rsidRPr="004E4188">
              <w:rPr>
                <w:rFonts w:ascii="Arial" w:hAnsi="Arial" w:cs="Arial"/>
                <w:i/>
                <w:sz w:val="20"/>
                <w:lang w:eastAsia="ja-JP"/>
              </w:rPr>
              <w:t>Ajouter des critères d’attribution en cas de lots multiples, le cas échéant.</w:t>
            </w:r>
          </w:p>
        </w:tc>
      </w:tr>
    </w:tbl>
    <w:p w14:paraId="50EB230F" w14:textId="77777777" w:rsidR="006F129D" w:rsidRPr="004E4188" w:rsidRDefault="006F129D" w:rsidP="007B0B65">
      <w:pPr>
        <w:ind w:leftChars="250" w:left="1308" w:hangingChars="295" w:hanging="708"/>
      </w:pPr>
    </w:p>
    <w:p w14:paraId="67ACE3B2" w14:textId="77777777" w:rsidR="006F129D" w:rsidRPr="004E4188" w:rsidRDefault="006F129D" w:rsidP="00124663">
      <w:pPr>
        <w:widowControl w:val="0"/>
        <w:suppressAutoHyphens w:val="0"/>
        <w:overflowPunct/>
        <w:autoSpaceDE/>
        <w:autoSpaceDN/>
        <w:adjustRightInd/>
        <w:spacing w:line="0" w:lineRule="atLeast"/>
        <w:ind w:left="850"/>
        <w:textAlignment w:val="auto"/>
        <w:rPr>
          <w:szCs w:val="24"/>
          <w:lang w:eastAsia="ja-JP"/>
        </w:rPr>
      </w:pPr>
      <w:r w:rsidRPr="004E4188">
        <w:rPr>
          <w:szCs w:val="24"/>
          <w:lang w:eastAsia="en-US"/>
        </w:rPr>
        <w:t>Les</w:t>
      </w:r>
      <w:r w:rsidRPr="004E4188">
        <w:rPr>
          <w:szCs w:val="24"/>
        </w:rPr>
        <w:t xml:space="preserve"> candidats suppléants proposés pour les postes-clés ne seront pas évalués.</w:t>
      </w:r>
    </w:p>
    <w:p w14:paraId="6EA80285" w14:textId="77777777" w:rsidR="006F129D" w:rsidRPr="004E4188" w:rsidRDefault="006F129D" w:rsidP="00BC4D73">
      <w:pPr>
        <w:ind w:leftChars="550" w:left="1320"/>
      </w:pPr>
    </w:p>
    <w:p w14:paraId="3E75A6DF" w14:textId="7E2BBD97" w:rsidR="006F129D" w:rsidRPr="004E4188" w:rsidRDefault="006F129D" w:rsidP="00124663">
      <w:pPr>
        <w:widowControl w:val="0"/>
        <w:suppressAutoHyphens w:val="0"/>
        <w:overflowPunct/>
        <w:autoSpaceDE/>
        <w:autoSpaceDN/>
        <w:adjustRightInd/>
        <w:spacing w:line="0" w:lineRule="atLeast"/>
        <w:ind w:left="850"/>
        <w:textAlignment w:val="auto"/>
      </w:pPr>
      <w:r w:rsidRPr="004E4188">
        <w:t>Le Soumissionnaire doit fournir des détails sur le personnel proposé pour le Marché ainsi que son expérience dans les formulaires PER-1 et PER-2 de la Section IV, Formulaires de soumission.</w:t>
      </w:r>
    </w:p>
    <w:p w14:paraId="428F8AE9" w14:textId="77777777" w:rsidR="006F129D" w:rsidRPr="004E4188" w:rsidRDefault="006F129D" w:rsidP="007B0B65">
      <w:pPr>
        <w:ind w:leftChars="550" w:left="1320"/>
      </w:pPr>
    </w:p>
    <w:p w14:paraId="0837535D" w14:textId="77777777" w:rsidR="0028682F" w:rsidRPr="004E4188" w:rsidRDefault="0028682F" w:rsidP="007B0B65">
      <w:pPr>
        <w:ind w:leftChars="550" w:left="1320"/>
      </w:pPr>
    </w:p>
    <w:p w14:paraId="4177F3A1" w14:textId="10D49FFA" w:rsidR="006F129D" w:rsidRPr="004E4188" w:rsidRDefault="006F129D" w:rsidP="00124663">
      <w:pPr>
        <w:tabs>
          <w:tab w:val="num" w:pos="2705"/>
        </w:tabs>
        <w:suppressAutoHyphens w:val="0"/>
        <w:overflowPunct/>
        <w:autoSpaceDE/>
        <w:autoSpaceDN/>
        <w:adjustRightInd/>
        <w:ind w:left="851" w:hanging="851"/>
        <w:jc w:val="left"/>
        <w:textAlignment w:val="auto"/>
        <w:rPr>
          <w:b/>
        </w:rPr>
      </w:pPr>
      <w:r w:rsidRPr="004E4188">
        <w:rPr>
          <w:b/>
        </w:rPr>
        <w:t>1.1.2</w:t>
      </w:r>
      <w:r w:rsidRPr="004E4188">
        <w:rPr>
          <w:b/>
          <w:lang w:eastAsia="ja-JP"/>
        </w:rPr>
        <w:tab/>
      </w:r>
      <w:r w:rsidRPr="004E4188">
        <w:rPr>
          <w:b/>
          <w:szCs w:val="24"/>
        </w:rPr>
        <w:t>É</w:t>
      </w:r>
      <w:r w:rsidRPr="004E4188">
        <w:rPr>
          <w:b/>
        </w:rPr>
        <w:t>quipement de construction</w:t>
      </w:r>
    </w:p>
    <w:p w14:paraId="31CA345E" w14:textId="77777777" w:rsidR="006F129D" w:rsidRPr="004E4188" w:rsidRDefault="006F129D" w:rsidP="00124663">
      <w:pPr>
        <w:tabs>
          <w:tab w:val="right" w:pos="7254"/>
        </w:tabs>
        <w:suppressAutoHyphens w:val="0"/>
        <w:overflowPunct/>
        <w:autoSpaceDE/>
        <w:autoSpaceDN/>
        <w:adjustRightInd/>
        <w:spacing w:after="120"/>
        <w:ind w:left="850"/>
        <w:textAlignment w:val="auto"/>
        <w:rPr>
          <w:lang w:eastAsia="ja-JP"/>
        </w:rPr>
      </w:pPr>
      <w:r w:rsidRPr="004E4188">
        <w:t>Le Soumissionnaire doit établir qu’il dispose des équipements de construction principaux indiqués ci-après :</w:t>
      </w:r>
    </w:p>
    <w:tbl>
      <w:tblPr>
        <w:tblW w:w="8221"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4678"/>
        <w:gridCol w:w="2835"/>
      </w:tblGrid>
      <w:tr w:rsidR="006F129D" w:rsidRPr="004E4188" w14:paraId="608AE570" w14:textId="77777777" w:rsidTr="00D928E4">
        <w:tc>
          <w:tcPr>
            <w:tcW w:w="708" w:type="dxa"/>
            <w:tcBorders>
              <w:top w:val="single" w:sz="12" w:space="0" w:color="auto"/>
              <w:left w:val="single" w:sz="12" w:space="0" w:color="auto"/>
              <w:bottom w:val="single" w:sz="12" w:space="0" w:color="auto"/>
              <w:right w:val="single" w:sz="12" w:space="0" w:color="auto"/>
            </w:tcBorders>
            <w:shd w:val="clear" w:color="auto" w:fill="C0C0C0"/>
            <w:vAlign w:val="center"/>
          </w:tcPr>
          <w:p w14:paraId="3547BB90" w14:textId="77777777" w:rsidR="006F129D" w:rsidRPr="004E4188" w:rsidRDefault="006F129D" w:rsidP="007B0B65">
            <w:pPr>
              <w:suppressAutoHyphens w:val="0"/>
              <w:overflowPunct/>
              <w:autoSpaceDE/>
              <w:autoSpaceDN/>
              <w:adjustRightInd/>
              <w:jc w:val="center"/>
              <w:textAlignment w:val="auto"/>
              <w:rPr>
                <w:rFonts w:ascii="Arial" w:hAnsi="Arial" w:cs="Arial"/>
                <w:b/>
                <w:bCs/>
                <w:sz w:val="20"/>
                <w:lang w:eastAsia="en-US"/>
              </w:rPr>
            </w:pPr>
            <w:r w:rsidRPr="004E4188">
              <w:rPr>
                <w:rFonts w:ascii="Arial" w:hAnsi="Arial" w:cs="Arial"/>
                <w:b/>
                <w:bCs/>
                <w:sz w:val="20"/>
                <w:lang w:eastAsia="en-US"/>
              </w:rPr>
              <w:t>n°</w:t>
            </w:r>
          </w:p>
        </w:tc>
        <w:tc>
          <w:tcPr>
            <w:tcW w:w="4678" w:type="dxa"/>
            <w:tcBorders>
              <w:top w:val="single" w:sz="12" w:space="0" w:color="auto"/>
              <w:left w:val="single" w:sz="12" w:space="0" w:color="auto"/>
              <w:bottom w:val="single" w:sz="12" w:space="0" w:color="auto"/>
              <w:right w:val="single" w:sz="12" w:space="0" w:color="auto"/>
            </w:tcBorders>
            <w:shd w:val="clear" w:color="auto" w:fill="C0C0C0"/>
            <w:vAlign w:val="center"/>
          </w:tcPr>
          <w:p w14:paraId="1BF34CBF" w14:textId="77777777" w:rsidR="006F129D" w:rsidRPr="004E4188" w:rsidRDefault="006F129D" w:rsidP="007B0B65">
            <w:pPr>
              <w:suppressAutoHyphens w:val="0"/>
              <w:overflowPunct/>
              <w:autoSpaceDE/>
              <w:autoSpaceDN/>
              <w:adjustRightInd/>
              <w:jc w:val="center"/>
              <w:textAlignment w:val="auto"/>
              <w:rPr>
                <w:rFonts w:ascii="Arial" w:hAnsi="Arial" w:cs="Arial"/>
                <w:b/>
                <w:bCs/>
                <w:sz w:val="20"/>
                <w:lang w:eastAsia="en-US"/>
              </w:rPr>
            </w:pPr>
            <w:r w:rsidRPr="004E4188">
              <w:rPr>
                <w:rFonts w:ascii="Arial" w:hAnsi="Arial" w:cs="Arial"/>
                <w:b/>
                <w:bCs/>
                <w:sz w:val="20"/>
                <w:lang w:eastAsia="en-US"/>
              </w:rPr>
              <w:t xml:space="preserve">Type et caractéristiques </w:t>
            </w:r>
            <w:r w:rsidRPr="004E4188">
              <w:rPr>
                <w:rFonts w:ascii="Arial" w:hAnsi="Arial" w:cs="Arial"/>
                <w:b/>
                <w:bCs/>
                <w:sz w:val="20"/>
              </w:rPr>
              <w:t>de performance requises</w:t>
            </w:r>
            <w:r w:rsidRPr="004E4188">
              <w:rPr>
                <w:rFonts w:ascii="Arial" w:hAnsi="Arial" w:cs="Arial"/>
                <w:b/>
                <w:bCs/>
                <w:sz w:val="20"/>
                <w:lang w:eastAsia="en-US"/>
              </w:rPr>
              <w:t xml:space="preserve"> des équipements</w:t>
            </w:r>
          </w:p>
        </w:tc>
        <w:tc>
          <w:tcPr>
            <w:tcW w:w="2835" w:type="dxa"/>
            <w:tcBorders>
              <w:top w:val="single" w:sz="12" w:space="0" w:color="auto"/>
              <w:left w:val="single" w:sz="12" w:space="0" w:color="auto"/>
              <w:bottom w:val="single" w:sz="12" w:space="0" w:color="auto"/>
              <w:right w:val="single" w:sz="12" w:space="0" w:color="auto"/>
            </w:tcBorders>
            <w:shd w:val="clear" w:color="auto" w:fill="C0C0C0"/>
            <w:vAlign w:val="center"/>
          </w:tcPr>
          <w:p w14:paraId="5FD3EF29" w14:textId="77777777" w:rsidR="006F129D" w:rsidRPr="004E4188" w:rsidRDefault="006F129D" w:rsidP="007B0B65">
            <w:pPr>
              <w:suppressAutoHyphens w:val="0"/>
              <w:overflowPunct/>
              <w:autoSpaceDE/>
              <w:autoSpaceDN/>
              <w:adjustRightInd/>
              <w:jc w:val="center"/>
              <w:textAlignment w:val="auto"/>
              <w:rPr>
                <w:rFonts w:ascii="Arial" w:hAnsi="Arial" w:cs="Arial"/>
                <w:b/>
                <w:bCs/>
                <w:sz w:val="20"/>
                <w:lang w:eastAsia="en-US"/>
              </w:rPr>
            </w:pPr>
            <w:r w:rsidRPr="004E4188">
              <w:rPr>
                <w:rFonts w:ascii="Arial" w:hAnsi="Arial" w:cs="Arial"/>
                <w:b/>
                <w:bCs/>
                <w:sz w:val="20"/>
                <w:lang w:eastAsia="en-US"/>
              </w:rPr>
              <w:t>Nombre minimum requis</w:t>
            </w:r>
          </w:p>
        </w:tc>
      </w:tr>
      <w:tr w:rsidR="006F129D" w:rsidRPr="004E4188" w14:paraId="50C96F3A" w14:textId="77777777" w:rsidTr="00D928E4">
        <w:trPr>
          <w:trHeight w:val="340"/>
        </w:trPr>
        <w:tc>
          <w:tcPr>
            <w:tcW w:w="708" w:type="dxa"/>
            <w:tcBorders>
              <w:top w:val="single" w:sz="12" w:space="0" w:color="auto"/>
            </w:tcBorders>
            <w:vAlign w:val="center"/>
          </w:tcPr>
          <w:p w14:paraId="4B90E8F5" w14:textId="77777777" w:rsidR="006F129D" w:rsidRPr="004E4188" w:rsidRDefault="006F129D" w:rsidP="00322D39">
            <w:pPr>
              <w:suppressAutoHyphens w:val="0"/>
              <w:overflowPunct/>
              <w:autoSpaceDE/>
              <w:autoSpaceDN/>
              <w:adjustRightInd/>
              <w:jc w:val="center"/>
              <w:textAlignment w:val="auto"/>
              <w:rPr>
                <w:rFonts w:ascii="Arial" w:hAnsi="Arial" w:cs="Arial"/>
                <w:sz w:val="20"/>
                <w:lang w:eastAsia="en-US"/>
              </w:rPr>
            </w:pPr>
            <w:r w:rsidRPr="004E4188">
              <w:rPr>
                <w:rFonts w:ascii="Arial" w:hAnsi="Arial" w:cs="Arial"/>
                <w:sz w:val="20"/>
                <w:lang w:eastAsia="en-US"/>
              </w:rPr>
              <w:t>1</w:t>
            </w:r>
          </w:p>
        </w:tc>
        <w:tc>
          <w:tcPr>
            <w:tcW w:w="4678" w:type="dxa"/>
            <w:tcBorders>
              <w:top w:val="single" w:sz="12" w:space="0" w:color="auto"/>
            </w:tcBorders>
            <w:vAlign w:val="center"/>
          </w:tcPr>
          <w:p w14:paraId="1145CEBB" w14:textId="77777777" w:rsidR="006F129D" w:rsidRPr="004E4188" w:rsidRDefault="006F129D" w:rsidP="00322D39">
            <w:pPr>
              <w:suppressAutoHyphens w:val="0"/>
              <w:overflowPunct/>
              <w:autoSpaceDE/>
              <w:autoSpaceDN/>
              <w:adjustRightInd/>
              <w:textAlignment w:val="auto"/>
              <w:rPr>
                <w:rFonts w:ascii="Arial" w:hAnsi="Arial" w:cs="Arial"/>
                <w:sz w:val="20"/>
                <w:lang w:eastAsia="en-US"/>
              </w:rPr>
            </w:pPr>
          </w:p>
        </w:tc>
        <w:tc>
          <w:tcPr>
            <w:tcW w:w="2835" w:type="dxa"/>
            <w:tcBorders>
              <w:top w:val="single" w:sz="12" w:space="0" w:color="auto"/>
            </w:tcBorders>
            <w:vAlign w:val="center"/>
          </w:tcPr>
          <w:p w14:paraId="3E18999A" w14:textId="77777777" w:rsidR="006F129D" w:rsidRPr="004E4188" w:rsidRDefault="006F129D" w:rsidP="00322D39">
            <w:pPr>
              <w:suppressAutoHyphens w:val="0"/>
              <w:overflowPunct/>
              <w:autoSpaceDE/>
              <w:autoSpaceDN/>
              <w:adjustRightInd/>
              <w:textAlignment w:val="auto"/>
              <w:rPr>
                <w:rFonts w:ascii="Arial" w:hAnsi="Arial" w:cs="Arial"/>
                <w:sz w:val="20"/>
                <w:lang w:eastAsia="en-US"/>
              </w:rPr>
            </w:pPr>
          </w:p>
        </w:tc>
      </w:tr>
      <w:tr w:rsidR="006F129D" w:rsidRPr="004E4188" w14:paraId="7C1B607C" w14:textId="77777777" w:rsidTr="00D928E4">
        <w:trPr>
          <w:trHeight w:val="340"/>
        </w:trPr>
        <w:tc>
          <w:tcPr>
            <w:tcW w:w="708" w:type="dxa"/>
            <w:vAlign w:val="center"/>
          </w:tcPr>
          <w:p w14:paraId="5ABCEC72" w14:textId="77777777" w:rsidR="006F129D" w:rsidRPr="004E4188" w:rsidRDefault="006F129D" w:rsidP="00322D39">
            <w:pPr>
              <w:suppressAutoHyphens w:val="0"/>
              <w:overflowPunct/>
              <w:autoSpaceDE/>
              <w:autoSpaceDN/>
              <w:adjustRightInd/>
              <w:jc w:val="center"/>
              <w:textAlignment w:val="auto"/>
              <w:rPr>
                <w:rFonts w:ascii="Arial" w:hAnsi="Arial" w:cs="Arial"/>
                <w:sz w:val="20"/>
                <w:lang w:eastAsia="en-US"/>
              </w:rPr>
            </w:pPr>
            <w:r w:rsidRPr="004E4188">
              <w:rPr>
                <w:rFonts w:ascii="Arial" w:hAnsi="Arial" w:cs="Arial"/>
                <w:sz w:val="20"/>
                <w:lang w:eastAsia="en-US"/>
              </w:rPr>
              <w:t>2</w:t>
            </w:r>
          </w:p>
        </w:tc>
        <w:tc>
          <w:tcPr>
            <w:tcW w:w="4678" w:type="dxa"/>
            <w:vAlign w:val="center"/>
          </w:tcPr>
          <w:p w14:paraId="1CC7AC3B" w14:textId="77777777" w:rsidR="006F129D" w:rsidRPr="004E4188" w:rsidRDefault="006F129D" w:rsidP="00322D39">
            <w:pPr>
              <w:suppressAutoHyphens w:val="0"/>
              <w:overflowPunct/>
              <w:autoSpaceDE/>
              <w:autoSpaceDN/>
              <w:adjustRightInd/>
              <w:textAlignment w:val="auto"/>
              <w:rPr>
                <w:rFonts w:ascii="Arial" w:hAnsi="Arial" w:cs="Arial"/>
                <w:sz w:val="20"/>
                <w:lang w:eastAsia="en-US"/>
              </w:rPr>
            </w:pPr>
          </w:p>
        </w:tc>
        <w:tc>
          <w:tcPr>
            <w:tcW w:w="2835" w:type="dxa"/>
            <w:vAlign w:val="center"/>
          </w:tcPr>
          <w:p w14:paraId="33270C9B" w14:textId="77777777" w:rsidR="006F129D" w:rsidRPr="004E4188" w:rsidRDefault="006F129D" w:rsidP="00322D39">
            <w:pPr>
              <w:suppressAutoHyphens w:val="0"/>
              <w:overflowPunct/>
              <w:autoSpaceDE/>
              <w:autoSpaceDN/>
              <w:adjustRightInd/>
              <w:textAlignment w:val="auto"/>
              <w:rPr>
                <w:rFonts w:ascii="Arial" w:hAnsi="Arial" w:cs="Arial"/>
                <w:sz w:val="20"/>
                <w:u w:val="single"/>
                <w:lang w:eastAsia="en-US"/>
              </w:rPr>
            </w:pPr>
          </w:p>
        </w:tc>
      </w:tr>
      <w:tr w:rsidR="006F129D" w:rsidRPr="004E4188" w14:paraId="2990BD7E" w14:textId="77777777" w:rsidTr="00D928E4">
        <w:trPr>
          <w:trHeight w:val="340"/>
        </w:trPr>
        <w:tc>
          <w:tcPr>
            <w:tcW w:w="708" w:type="dxa"/>
            <w:vAlign w:val="center"/>
          </w:tcPr>
          <w:p w14:paraId="41516E82" w14:textId="77777777" w:rsidR="006F129D" w:rsidRPr="004E4188" w:rsidRDefault="006F129D" w:rsidP="00322D39">
            <w:pPr>
              <w:suppressAutoHyphens w:val="0"/>
              <w:overflowPunct/>
              <w:autoSpaceDE/>
              <w:autoSpaceDN/>
              <w:adjustRightInd/>
              <w:jc w:val="center"/>
              <w:textAlignment w:val="auto"/>
              <w:rPr>
                <w:rFonts w:ascii="Arial" w:hAnsi="Arial" w:cs="Arial"/>
                <w:sz w:val="20"/>
                <w:lang w:eastAsia="en-US"/>
              </w:rPr>
            </w:pPr>
            <w:r w:rsidRPr="004E4188">
              <w:rPr>
                <w:rFonts w:ascii="Arial" w:hAnsi="Arial" w:cs="Arial"/>
                <w:sz w:val="20"/>
                <w:lang w:eastAsia="en-US"/>
              </w:rPr>
              <w:t>3</w:t>
            </w:r>
          </w:p>
        </w:tc>
        <w:tc>
          <w:tcPr>
            <w:tcW w:w="4678" w:type="dxa"/>
            <w:vAlign w:val="center"/>
          </w:tcPr>
          <w:p w14:paraId="6C0935A2" w14:textId="77777777" w:rsidR="006F129D" w:rsidRPr="004E4188" w:rsidRDefault="006F129D" w:rsidP="00322D39">
            <w:pPr>
              <w:suppressAutoHyphens w:val="0"/>
              <w:overflowPunct/>
              <w:autoSpaceDE/>
              <w:autoSpaceDN/>
              <w:adjustRightInd/>
              <w:textAlignment w:val="auto"/>
              <w:rPr>
                <w:rFonts w:ascii="Arial" w:hAnsi="Arial" w:cs="Arial"/>
                <w:sz w:val="20"/>
                <w:lang w:eastAsia="en-US"/>
              </w:rPr>
            </w:pPr>
          </w:p>
        </w:tc>
        <w:tc>
          <w:tcPr>
            <w:tcW w:w="2835" w:type="dxa"/>
            <w:vAlign w:val="center"/>
          </w:tcPr>
          <w:p w14:paraId="385B81D6" w14:textId="77777777" w:rsidR="006F129D" w:rsidRPr="004E4188" w:rsidRDefault="006F129D" w:rsidP="00322D39">
            <w:pPr>
              <w:suppressAutoHyphens w:val="0"/>
              <w:overflowPunct/>
              <w:autoSpaceDE/>
              <w:autoSpaceDN/>
              <w:adjustRightInd/>
              <w:textAlignment w:val="auto"/>
              <w:rPr>
                <w:rFonts w:ascii="Arial" w:hAnsi="Arial" w:cs="Arial"/>
                <w:sz w:val="20"/>
                <w:u w:val="single"/>
                <w:lang w:eastAsia="en-US"/>
              </w:rPr>
            </w:pPr>
          </w:p>
        </w:tc>
      </w:tr>
      <w:tr w:rsidR="006F129D" w:rsidRPr="004E4188" w14:paraId="505F80BB" w14:textId="77777777" w:rsidTr="00D928E4">
        <w:trPr>
          <w:trHeight w:val="340"/>
        </w:trPr>
        <w:tc>
          <w:tcPr>
            <w:tcW w:w="708" w:type="dxa"/>
            <w:vAlign w:val="center"/>
          </w:tcPr>
          <w:p w14:paraId="30C260F1" w14:textId="4809E521" w:rsidR="006F129D" w:rsidRPr="004E4188" w:rsidRDefault="006F129D" w:rsidP="00D45EAD">
            <w:pPr>
              <w:suppressAutoHyphens w:val="0"/>
              <w:overflowPunct/>
              <w:autoSpaceDE/>
              <w:autoSpaceDN/>
              <w:adjustRightInd/>
              <w:jc w:val="center"/>
              <w:textAlignment w:val="auto"/>
              <w:rPr>
                <w:rFonts w:ascii="Arial" w:hAnsi="Arial" w:cs="Arial"/>
                <w:sz w:val="20"/>
                <w:lang w:eastAsia="en-US"/>
              </w:rPr>
            </w:pPr>
            <w:r w:rsidRPr="004E4188">
              <w:rPr>
                <w:rFonts w:ascii="Arial" w:hAnsi="Arial" w:cs="Arial"/>
                <w:sz w:val="20"/>
                <w:lang w:eastAsia="en-US"/>
              </w:rPr>
              <w:t>4</w:t>
            </w:r>
          </w:p>
        </w:tc>
        <w:tc>
          <w:tcPr>
            <w:tcW w:w="4678" w:type="dxa"/>
            <w:vAlign w:val="center"/>
          </w:tcPr>
          <w:p w14:paraId="2C0DD30C" w14:textId="77777777" w:rsidR="006F129D" w:rsidRPr="004E4188" w:rsidRDefault="006F129D" w:rsidP="00322D39">
            <w:pPr>
              <w:suppressAutoHyphens w:val="0"/>
              <w:overflowPunct/>
              <w:autoSpaceDE/>
              <w:autoSpaceDN/>
              <w:adjustRightInd/>
              <w:textAlignment w:val="auto"/>
              <w:rPr>
                <w:rFonts w:ascii="Arial" w:hAnsi="Arial" w:cs="Arial"/>
                <w:sz w:val="20"/>
                <w:lang w:eastAsia="en-US"/>
              </w:rPr>
            </w:pPr>
          </w:p>
        </w:tc>
        <w:tc>
          <w:tcPr>
            <w:tcW w:w="2835" w:type="dxa"/>
            <w:vAlign w:val="center"/>
          </w:tcPr>
          <w:p w14:paraId="29663081" w14:textId="77777777" w:rsidR="006F129D" w:rsidRPr="004E4188" w:rsidRDefault="006F129D" w:rsidP="00322D39">
            <w:pPr>
              <w:suppressAutoHyphens w:val="0"/>
              <w:overflowPunct/>
              <w:autoSpaceDE/>
              <w:autoSpaceDN/>
              <w:adjustRightInd/>
              <w:textAlignment w:val="auto"/>
              <w:rPr>
                <w:rFonts w:ascii="Arial" w:hAnsi="Arial" w:cs="Arial"/>
                <w:sz w:val="20"/>
                <w:u w:val="single"/>
                <w:lang w:eastAsia="en-US"/>
              </w:rPr>
            </w:pPr>
          </w:p>
        </w:tc>
      </w:tr>
      <w:tr w:rsidR="006F129D" w:rsidRPr="004E4188" w14:paraId="6C71A7EC" w14:textId="77777777" w:rsidTr="00D928E4">
        <w:trPr>
          <w:trHeight w:val="340"/>
        </w:trPr>
        <w:tc>
          <w:tcPr>
            <w:tcW w:w="708" w:type="dxa"/>
            <w:vAlign w:val="center"/>
          </w:tcPr>
          <w:p w14:paraId="7ADA64CA" w14:textId="77777777" w:rsidR="006F129D" w:rsidRPr="004E4188" w:rsidRDefault="006F129D" w:rsidP="00D45EAD">
            <w:pPr>
              <w:suppressAutoHyphens w:val="0"/>
              <w:overflowPunct/>
              <w:autoSpaceDE/>
              <w:autoSpaceDN/>
              <w:adjustRightInd/>
              <w:jc w:val="center"/>
              <w:textAlignment w:val="auto"/>
              <w:rPr>
                <w:rFonts w:ascii="Arial" w:hAnsi="Arial" w:cs="Arial"/>
                <w:sz w:val="20"/>
                <w:lang w:eastAsia="en-US"/>
              </w:rPr>
            </w:pPr>
            <w:r w:rsidRPr="004E4188">
              <w:rPr>
                <w:rFonts w:ascii="Arial" w:hAnsi="Arial" w:cs="Arial"/>
                <w:sz w:val="20"/>
                <w:lang w:eastAsia="en-US"/>
              </w:rPr>
              <w:t>5</w:t>
            </w:r>
          </w:p>
        </w:tc>
        <w:tc>
          <w:tcPr>
            <w:tcW w:w="4678" w:type="dxa"/>
            <w:vAlign w:val="center"/>
          </w:tcPr>
          <w:p w14:paraId="275997F0" w14:textId="77777777" w:rsidR="006F129D" w:rsidRPr="004E4188" w:rsidRDefault="006F129D" w:rsidP="00322D39">
            <w:pPr>
              <w:suppressAutoHyphens w:val="0"/>
              <w:overflowPunct/>
              <w:autoSpaceDE/>
              <w:autoSpaceDN/>
              <w:adjustRightInd/>
              <w:textAlignment w:val="auto"/>
              <w:rPr>
                <w:rFonts w:ascii="Arial" w:hAnsi="Arial" w:cs="Arial"/>
                <w:sz w:val="20"/>
                <w:lang w:eastAsia="en-US"/>
              </w:rPr>
            </w:pPr>
          </w:p>
        </w:tc>
        <w:tc>
          <w:tcPr>
            <w:tcW w:w="2835" w:type="dxa"/>
            <w:vAlign w:val="center"/>
          </w:tcPr>
          <w:p w14:paraId="3326A416" w14:textId="77777777" w:rsidR="006F129D" w:rsidRPr="004E4188" w:rsidRDefault="006F129D" w:rsidP="00322D39">
            <w:pPr>
              <w:suppressAutoHyphens w:val="0"/>
              <w:overflowPunct/>
              <w:autoSpaceDE/>
              <w:autoSpaceDN/>
              <w:adjustRightInd/>
              <w:textAlignment w:val="auto"/>
              <w:rPr>
                <w:rFonts w:ascii="Arial" w:hAnsi="Arial" w:cs="Arial"/>
                <w:sz w:val="20"/>
                <w:u w:val="single"/>
                <w:lang w:eastAsia="en-US"/>
              </w:rPr>
            </w:pPr>
          </w:p>
        </w:tc>
      </w:tr>
      <w:tr w:rsidR="006F129D" w:rsidRPr="004E4188" w14:paraId="462F114B" w14:textId="77777777" w:rsidTr="00D928E4">
        <w:trPr>
          <w:trHeight w:val="340"/>
        </w:trPr>
        <w:tc>
          <w:tcPr>
            <w:tcW w:w="708" w:type="dxa"/>
            <w:vAlign w:val="center"/>
          </w:tcPr>
          <w:p w14:paraId="5F43F0F5" w14:textId="77777777" w:rsidR="006F129D" w:rsidRPr="004E4188" w:rsidRDefault="006F129D" w:rsidP="00D45EAD">
            <w:pPr>
              <w:suppressAutoHyphens w:val="0"/>
              <w:overflowPunct/>
              <w:autoSpaceDE/>
              <w:autoSpaceDN/>
              <w:adjustRightInd/>
              <w:jc w:val="center"/>
              <w:textAlignment w:val="auto"/>
              <w:rPr>
                <w:rFonts w:ascii="Arial" w:hAnsi="Arial" w:cs="Arial"/>
                <w:sz w:val="20"/>
                <w:lang w:eastAsia="en-US"/>
              </w:rPr>
            </w:pPr>
            <w:r w:rsidRPr="004E4188">
              <w:rPr>
                <w:rFonts w:ascii="Arial" w:hAnsi="Arial" w:cs="Arial"/>
                <w:sz w:val="20"/>
                <w:lang w:eastAsia="en-US"/>
              </w:rPr>
              <w:t>…</w:t>
            </w:r>
          </w:p>
        </w:tc>
        <w:tc>
          <w:tcPr>
            <w:tcW w:w="4678" w:type="dxa"/>
            <w:vAlign w:val="center"/>
          </w:tcPr>
          <w:p w14:paraId="4C7FDA51" w14:textId="77777777" w:rsidR="006F129D" w:rsidRPr="004E4188" w:rsidRDefault="006F129D" w:rsidP="00322D39">
            <w:pPr>
              <w:suppressAutoHyphens w:val="0"/>
              <w:overflowPunct/>
              <w:autoSpaceDE/>
              <w:autoSpaceDN/>
              <w:adjustRightInd/>
              <w:textAlignment w:val="auto"/>
              <w:rPr>
                <w:rFonts w:ascii="Arial" w:hAnsi="Arial" w:cs="Arial"/>
                <w:sz w:val="20"/>
                <w:lang w:eastAsia="en-US"/>
              </w:rPr>
            </w:pPr>
          </w:p>
        </w:tc>
        <w:tc>
          <w:tcPr>
            <w:tcW w:w="2835" w:type="dxa"/>
            <w:vAlign w:val="center"/>
          </w:tcPr>
          <w:p w14:paraId="5FE7442B" w14:textId="77777777" w:rsidR="006F129D" w:rsidRPr="004E4188" w:rsidRDefault="006F129D" w:rsidP="00322D39">
            <w:pPr>
              <w:suppressAutoHyphens w:val="0"/>
              <w:overflowPunct/>
              <w:autoSpaceDE/>
              <w:autoSpaceDN/>
              <w:adjustRightInd/>
              <w:textAlignment w:val="auto"/>
              <w:rPr>
                <w:rFonts w:ascii="Arial" w:hAnsi="Arial" w:cs="Arial"/>
                <w:sz w:val="20"/>
                <w:u w:val="single"/>
                <w:lang w:eastAsia="en-US"/>
              </w:rPr>
            </w:pPr>
          </w:p>
        </w:tc>
      </w:tr>
      <w:tr w:rsidR="006F129D" w:rsidRPr="004E4188" w14:paraId="63927F87" w14:textId="77777777" w:rsidTr="00ED2CD6">
        <w:tc>
          <w:tcPr>
            <w:tcW w:w="8221" w:type="dxa"/>
            <w:gridSpan w:val="3"/>
          </w:tcPr>
          <w:p w14:paraId="0FD5B081" w14:textId="3EA7FC61" w:rsidR="006F129D" w:rsidRPr="004E4188" w:rsidRDefault="006F129D" w:rsidP="007B0B65">
            <w:pPr>
              <w:widowControl w:val="0"/>
              <w:spacing w:line="0" w:lineRule="atLeast"/>
              <w:rPr>
                <w:rFonts w:ascii="Arial" w:hAnsi="Arial" w:cs="Arial"/>
                <w:i/>
                <w:sz w:val="20"/>
                <w:u w:val="single"/>
                <w:lang w:eastAsia="ja-JP"/>
              </w:rPr>
            </w:pPr>
            <w:r w:rsidRPr="004E4188">
              <w:rPr>
                <w:rFonts w:ascii="Arial" w:hAnsi="Arial" w:cs="Arial"/>
                <w:i/>
                <w:sz w:val="20"/>
                <w:u w:val="single"/>
                <w:lang w:eastAsia="ja-JP"/>
              </w:rPr>
              <w:t>Notes à l’intention du Maître d’ouvrage</w:t>
            </w:r>
          </w:p>
          <w:p w14:paraId="38C391DB" w14:textId="0BECEA87" w:rsidR="006F129D" w:rsidRPr="004E4188" w:rsidRDefault="006F129D" w:rsidP="003D46CF">
            <w:pPr>
              <w:pStyle w:val="aff7"/>
              <w:numPr>
                <w:ilvl w:val="0"/>
                <w:numId w:val="39"/>
              </w:numPr>
              <w:adjustRightInd/>
              <w:spacing w:after="120" w:line="240" w:lineRule="auto"/>
              <w:ind w:leftChars="0"/>
              <w:textAlignment w:val="auto"/>
              <w:rPr>
                <w:rFonts w:ascii="Arial" w:hAnsi="Arial" w:cs="Arial"/>
                <w:i/>
                <w:sz w:val="20"/>
                <w:lang w:val="fr-FR" w:eastAsia="en-US"/>
              </w:rPr>
            </w:pPr>
            <w:r w:rsidRPr="004E4188">
              <w:rPr>
                <w:rFonts w:ascii="Arial" w:hAnsi="Arial" w:cs="Arial"/>
                <w:i/>
                <w:sz w:val="20"/>
                <w:lang w:val="fr-FR" w:eastAsia="en-US"/>
              </w:rPr>
              <w:t xml:space="preserve">Les </w:t>
            </w:r>
            <w:r w:rsidRPr="004E4188">
              <w:rPr>
                <w:rFonts w:asciiTheme="majorHAnsi" w:hAnsiTheme="majorHAnsi" w:cstheme="majorHAnsi"/>
                <w:i/>
                <w:sz w:val="20"/>
                <w:lang w:val="fr-FR" w:eastAsia="en-US"/>
              </w:rPr>
              <w:t>équipements</w:t>
            </w:r>
            <w:r w:rsidRPr="004E4188">
              <w:rPr>
                <w:rFonts w:ascii="Arial" w:hAnsi="Arial" w:cs="Arial"/>
                <w:i/>
                <w:sz w:val="20"/>
                <w:lang w:val="fr-FR" w:eastAsia="en-US"/>
              </w:rPr>
              <w:t xml:space="preserve"> de construction requis doivent être limités aux pièces les plus importantes, essentielles à la bonne exécution des </w:t>
            </w:r>
            <w:r w:rsidRPr="004E4188">
              <w:rPr>
                <w:rFonts w:ascii="Arial" w:hAnsi="Arial" w:cs="Arial"/>
                <w:i/>
                <w:sz w:val="20"/>
                <w:lang w:val="fr-FR"/>
              </w:rPr>
              <w:t>É</w:t>
            </w:r>
            <w:r w:rsidRPr="004E4188">
              <w:rPr>
                <w:rFonts w:ascii="Arial" w:hAnsi="Arial" w:cs="Arial"/>
                <w:i/>
                <w:sz w:val="20"/>
                <w:lang w:val="fr-FR" w:eastAsia="en-US"/>
              </w:rPr>
              <w:t>quipements et Services de montage dans les délais prescrits, ainsi qu’au matériel que les Soumissionnaires peuvent avoir des difficultés à se procurer ou à louer dans les délais alloués.</w:t>
            </w:r>
          </w:p>
          <w:p w14:paraId="41BF50FB" w14:textId="363F23D5" w:rsidR="006F129D" w:rsidRPr="004E4188" w:rsidRDefault="006F129D" w:rsidP="003D46CF">
            <w:pPr>
              <w:pStyle w:val="aff7"/>
              <w:numPr>
                <w:ilvl w:val="0"/>
                <w:numId w:val="39"/>
              </w:numPr>
              <w:adjustRightInd/>
              <w:spacing w:after="120" w:line="240" w:lineRule="auto"/>
              <w:ind w:leftChars="0"/>
              <w:textAlignment w:val="auto"/>
              <w:rPr>
                <w:rFonts w:ascii="Arial" w:hAnsi="Arial" w:cs="Arial"/>
                <w:i/>
                <w:sz w:val="20"/>
                <w:u w:val="single"/>
                <w:lang w:val="fr-FR" w:eastAsia="en-US"/>
              </w:rPr>
            </w:pPr>
            <w:r w:rsidRPr="004E4188">
              <w:rPr>
                <w:rFonts w:ascii="Arial" w:hAnsi="Arial" w:cs="Arial"/>
                <w:i/>
                <w:sz w:val="20"/>
                <w:lang w:val="fr-FR" w:eastAsia="en-US"/>
              </w:rPr>
              <w:t>Ajouter</w:t>
            </w:r>
            <w:r w:rsidRPr="004E4188">
              <w:rPr>
                <w:rFonts w:ascii="Arial" w:hAnsi="Arial" w:cs="Arial"/>
                <w:i/>
                <w:sz w:val="20"/>
                <w:lang w:val="fr-FR"/>
              </w:rPr>
              <w:t xml:space="preserve"> des critères d’attribution en cas de lots multiples, le cas échéant.</w:t>
            </w:r>
          </w:p>
        </w:tc>
      </w:tr>
    </w:tbl>
    <w:p w14:paraId="06334FCA" w14:textId="77777777" w:rsidR="006F129D" w:rsidRPr="004E4188" w:rsidRDefault="006F129D" w:rsidP="007B0B65">
      <w:pPr>
        <w:ind w:left="1260"/>
        <w:rPr>
          <w:b/>
        </w:rPr>
      </w:pPr>
    </w:p>
    <w:p w14:paraId="7988A184" w14:textId="77777777" w:rsidR="006F129D" w:rsidRPr="004E4188" w:rsidRDefault="006F129D" w:rsidP="00124663">
      <w:pPr>
        <w:pStyle w:val="ac"/>
        <w:tabs>
          <w:tab w:val="left" w:pos="1440"/>
        </w:tabs>
        <w:suppressAutoHyphens w:val="0"/>
        <w:overflowPunct/>
        <w:autoSpaceDE/>
        <w:autoSpaceDN/>
        <w:adjustRightInd/>
        <w:spacing w:after="200"/>
        <w:ind w:left="850"/>
        <w:jc w:val="both"/>
        <w:textAlignment w:val="auto"/>
        <w:rPr>
          <w:sz w:val="24"/>
          <w:szCs w:val="24"/>
        </w:rPr>
      </w:pPr>
      <w:r w:rsidRPr="004E4188">
        <w:rPr>
          <w:sz w:val="24"/>
          <w:szCs w:val="24"/>
        </w:rPr>
        <w:t xml:space="preserve">Le </w:t>
      </w:r>
      <w:r w:rsidRPr="004E4188">
        <w:rPr>
          <w:iCs/>
          <w:sz w:val="24"/>
          <w:szCs w:val="24"/>
          <w:lang w:eastAsia="en-US"/>
        </w:rPr>
        <w:t>Soumissionnaire</w:t>
      </w:r>
      <w:r w:rsidRPr="004E4188">
        <w:rPr>
          <w:sz w:val="24"/>
          <w:szCs w:val="24"/>
        </w:rPr>
        <w:t xml:space="preserve"> doit fournir des détails supplémentaires sur les équipements proposés en utilisant le formulaire EQU de la Section IV, Formulaires de soumission.</w:t>
      </w:r>
    </w:p>
    <w:p w14:paraId="33C30DEC" w14:textId="77777777" w:rsidR="00124663" w:rsidRPr="004E4188" w:rsidRDefault="00124663" w:rsidP="00BC4D73">
      <w:pPr>
        <w:pStyle w:val="ac"/>
        <w:tabs>
          <w:tab w:val="left" w:pos="1440"/>
        </w:tabs>
        <w:suppressAutoHyphens w:val="0"/>
        <w:overflowPunct/>
        <w:autoSpaceDE/>
        <w:autoSpaceDN/>
        <w:adjustRightInd/>
        <w:ind w:left="850"/>
        <w:jc w:val="both"/>
        <w:textAlignment w:val="auto"/>
        <w:rPr>
          <w:sz w:val="24"/>
          <w:szCs w:val="24"/>
        </w:rPr>
      </w:pPr>
    </w:p>
    <w:p w14:paraId="09A93A72" w14:textId="7657E75A" w:rsidR="006F129D" w:rsidRPr="004E4188" w:rsidRDefault="006F129D" w:rsidP="003D46CF">
      <w:pPr>
        <w:numPr>
          <w:ilvl w:val="2"/>
          <w:numId w:val="30"/>
        </w:numPr>
        <w:tabs>
          <w:tab w:val="num" w:pos="2705"/>
        </w:tabs>
        <w:suppressAutoHyphens w:val="0"/>
        <w:overflowPunct/>
        <w:autoSpaceDE/>
        <w:autoSpaceDN/>
        <w:adjustRightInd/>
        <w:ind w:left="851" w:hanging="851"/>
        <w:jc w:val="left"/>
        <w:textAlignment w:val="auto"/>
        <w:rPr>
          <w:b/>
          <w:bCs/>
          <w:lang w:eastAsia="ja-JP"/>
        </w:rPr>
      </w:pPr>
      <w:r w:rsidRPr="004E4188">
        <w:rPr>
          <w:b/>
          <w:bCs/>
          <w:lang w:eastAsia="ja-JP"/>
        </w:rPr>
        <w:t xml:space="preserve">Sous-traitants proposés pour les éléments majeurs des </w:t>
      </w:r>
      <w:r w:rsidRPr="004E4188">
        <w:rPr>
          <w:b/>
          <w:szCs w:val="24"/>
        </w:rPr>
        <w:t>É</w:t>
      </w:r>
      <w:r w:rsidRPr="004E4188">
        <w:rPr>
          <w:b/>
          <w:bCs/>
          <w:lang w:eastAsia="ja-JP"/>
        </w:rPr>
        <w:t>quipements</w:t>
      </w:r>
    </w:p>
    <w:p w14:paraId="3C33D3B2" w14:textId="77777777" w:rsidR="006F129D" w:rsidRPr="004E4188" w:rsidRDefault="006F129D" w:rsidP="00124663">
      <w:pPr>
        <w:suppressAutoHyphens w:val="0"/>
        <w:overflowPunct/>
        <w:autoSpaceDE/>
        <w:autoSpaceDN/>
        <w:adjustRightInd/>
        <w:ind w:left="852" w:hanging="2"/>
        <w:textAlignment w:val="auto"/>
        <w:rPr>
          <w:lang w:eastAsia="en-US"/>
        </w:rPr>
      </w:pPr>
      <w:r w:rsidRPr="004E4188">
        <w:rPr>
          <w:szCs w:val="24"/>
          <w:lang w:eastAsia="en-US"/>
        </w:rPr>
        <w:t>L</w:t>
      </w:r>
      <w:r w:rsidRPr="004E4188">
        <w:rPr>
          <w:lang w:eastAsia="en-US"/>
        </w:rPr>
        <w:t xml:space="preserve">es </w:t>
      </w:r>
      <w:r w:rsidRPr="004E4188">
        <w:t>sous</w:t>
      </w:r>
      <w:r w:rsidRPr="004E4188">
        <w:rPr>
          <w:lang w:eastAsia="en-US"/>
        </w:rPr>
        <w:t xml:space="preserve">-traitants et fabricants proposés pour les éléments majeurs des </w:t>
      </w:r>
      <w:r w:rsidRPr="004E4188">
        <w:rPr>
          <w:szCs w:val="24"/>
        </w:rPr>
        <w:t>É</w:t>
      </w:r>
      <w:r w:rsidRPr="004E4188">
        <w:rPr>
          <w:lang w:eastAsia="en-US"/>
        </w:rPr>
        <w:t>quipements identifiés ci-après doivent satisfaire aux critères minimaux suivants indiqués pour chaque élément</w:t>
      </w:r>
      <w:r w:rsidRPr="004E4188">
        <w:rPr>
          <w:szCs w:val="24"/>
          <w:lang w:eastAsia="en-US"/>
        </w:rPr>
        <w:t>. L</w:t>
      </w:r>
      <w:r w:rsidRPr="004E4188">
        <w:rPr>
          <w:lang w:eastAsia="en-US"/>
        </w:rPr>
        <w:t>e non-respect de cette exigence entraînera le rejet du sous-traitant ou fabricant, mais pas du Soumissionnaire.</w:t>
      </w:r>
    </w:p>
    <w:p w14:paraId="2B4D3AEB" w14:textId="77777777" w:rsidR="006F129D" w:rsidRPr="004E4188" w:rsidRDefault="006F129D" w:rsidP="00D45EAD">
      <w:pPr>
        <w:suppressAutoHyphens w:val="0"/>
        <w:overflowPunct/>
        <w:autoSpaceDE/>
        <w:autoSpaceDN/>
        <w:adjustRightInd/>
        <w:ind w:left="851"/>
        <w:textAlignment w:val="auto"/>
        <w:rPr>
          <w:rFonts w:cs="Arial"/>
          <w:sz w:val="20"/>
          <w:lang w:eastAsia="en-US"/>
        </w:rPr>
      </w:pPr>
    </w:p>
    <w:tbl>
      <w:tblPr>
        <w:tblpPr w:leftFromText="142" w:rightFromText="142" w:vertAnchor="text" w:tblpX="1002" w:tblpY="1"/>
        <w:tblOverlap w:val="never"/>
        <w:tblW w:w="8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3807"/>
        <w:gridCol w:w="1477"/>
        <w:gridCol w:w="1760"/>
      </w:tblGrid>
      <w:tr w:rsidR="006F129D" w:rsidRPr="004E4188" w14:paraId="6F6899AE" w14:textId="77777777" w:rsidTr="00ED2CD6">
        <w:tc>
          <w:tcPr>
            <w:tcW w:w="1163" w:type="dxa"/>
            <w:tcBorders>
              <w:top w:val="single" w:sz="12" w:space="0" w:color="auto"/>
              <w:left w:val="single" w:sz="12" w:space="0" w:color="auto"/>
              <w:bottom w:val="single" w:sz="12" w:space="0" w:color="auto"/>
              <w:right w:val="single" w:sz="12" w:space="0" w:color="auto"/>
            </w:tcBorders>
            <w:shd w:val="clear" w:color="auto" w:fill="D9D9D9"/>
            <w:vAlign w:val="center"/>
          </w:tcPr>
          <w:p w14:paraId="4CDA0863" w14:textId="77777777" w:rsidR="006F129D" w:rsidRPr="004E4188" w:rsidRDefault="006F129D" w:rsidP="00D45EAD">
            <w:pPr>
              <w:suppressAutoHyphens w:val="0"/>
              <w:overflowPunct/>
              <w:autoSpaceDE/>
              <w:autoSpaceDN/>
              <w:adjustRightInd/>
              <w:jc w:val="center"/>
              <w:textAlignment w:val="auto"/>
              <w:rPr>
                <w:rFonts w:ascii="Arial" w:hAnsi="Arial" w:cs="Arial"/>
                <w:b/>
                <w:bCs/>
                <w:sz w:val="20"/>
                <w:lang w:val="en-GB" w:eastAsia="en-US"/>
              </w:rPr>
            </w:pPr>
            <w:r w:rsidRPr="004E4188">
              <w:rPr>
                <w:b/>
                <w:szCs w:val="36"/>
              </w:rPr>
              <w:t>n° de l’élément</w:t>
            </w:r>
          </w:p>
        </w:tc>
        <w:tc>
          <w:tcPr>
            <w:tcW w:w="3807" w:type="dxa"/>
            <w:tcBorders>
              <w:top w:val="single" w:sz="12" w:space="0" w:color="auto"/>
              <w:left w:val="single" w:sz="12" w:space="0" w:color="auto"/>
              <w:bottom w:val="single" w:sz="12" w:space="0" w:color="auto"/>
              <w:right w:val="single" w:sz="12" w:space="0" w:color="auto"/>
            </w:tcBorders>
            <w:shd w:val="clear" w:color="auto" w:fill="D9D9D9"/>
            <w:vAlign w:val="center"/>
          </w:tcPr>
          <w:p w14:paraId="63808E96" w14:textId="77777777" w:rsidR="006F129D" w:rsidRPr="004E4188" w:rsidRDefault="006F129D" w:rsidP="00D45EAD">
            <w:pPr>
              <w:suppressAutoHyphens w:val="0"/>
              <w:overflowPunct/>
              <w:autoSpaceDE/>
              <w:autoSpaceDN/>
              <w:adjustRightInd/>
              <w:jc w:val="center"/>
              <w:textAlignment w:val="auto"/>
              <w:rPr>
                <w:rFonts w:ascii="Arial" w:hAnsi="Arial" w:cs="Arial"/>
                <w:b/>
                <w:bCs/>
                <w:sz w:val="20"/>
                <w:lang w:val="en-GB" w:eastAsia="en-US"/>
              </w:rPr>
            </w:pPr>
            <w:r w:rsidRPr="004E4188">
              <w:rPr>
                <w:b/>
                <w:szCs w:val="36"/>
                <w:lang w:val="en-GB" w:eastAsia="en-US"/>
              </w:rPr>
              <w:t>Description de l’élément</w:t>
            </w:r>
          </w:p>
        </w:tc>
        <w:tc>
          <w:tcPr>
            <w:tcW w:w="1477" w:type="dxa"/>
            <w:tcBorders>
              <w:top w:val="single" w:sz="12" w:space="0" w:color="auto"/>
              <w:left w:val="single" w:sz="12" w:space="0" w:color="auto"/>
              <w:bottom w:val="single" w:sz="12" w:space="0" w:color="auto"/>
              <w:right w:val="single" w:sz="12" w:space="0" w:color="auto"/>
            </w:tcBorders>
            <w:shd w:val="clear" w:color="auto" w:fill="D9D9D9"/>
            <w:vAlign w:val="center"/>
          </w:tcPr>
          <w:p w14:paraId="55EAFB6A" w14:textId="77777777" w:rsidR="006F129D" w:rsidRPr="004E4188" w:rsidRDefault="006F129D" w:rsidP="00D45EAD">
            <w:pPr>
              <w:suppressAutoHyphens w:val="0"/>
              <w:overflowPunct/>
              <w:autoSpaceDE/>
              <w:autoSpaceDN/>
              <w:adjustRightInd/>
              <w:jc w:val="center"/>
              <w:textAlignment w:val="auto"/>
              <w:rPr>
                <w:rFonts w:ascii="Arial" w:hAnsi="Arial" w:cs="Arial"/>
                <w:b/>
                <w:bCs/>
                <w:sz w:val="20"/>
                <w:lang w:val="en-GB" w:eastAsia="en-US"/>
              </w:rPr>
            </w:pPr>
            <w:r w:rsidRPr="004E4188">
              <w:rPr>
                <w:b/>
                <w:szCs w:val="36"/>
                <w:lang w:val="en-GB" w:eastAsia="en-US"/>
              </w:rPr>
              <w:t>Critère minimal à satisfaire</w:t>
            </w:r>
          </w:p>
        </w:tc>
        <w:tc>
          <w:tcPr>
            <w:tcW w:w="1760" w:type="dxa"/>
            <w:tcBorders>
              <w:top w:val="single" w:sz="12" w:space="0" w:color="auto"/>
              <w:left w:val="single" w:sz="12" w:space="0" w:color="auto"/>
              <w:bottom w:val="single" w:sz="12" w:space="0" w:color="auto"/>
              <w:right w:val="single" w:sz="12" w:space="0" w:color="auto"/>
            </w:tcBorders>
            <w:shd w:val="clear" w:color="auto" w:fill="D9D9D9"/>
            <w:vAlign w:val="center"/>
          </w:tcPr>
          <w:p w14:paraId="32BBF311" w14:textId="77777777" w:rsidR="006F129D" w:rsidRPr="004E4188" w:rsidRDefault="006F129D" w:rsidP="00D45EAD">
            <w:pPr>
              <w:suppressAutoHyphens w:val="0"/>
              <w:overflowPunct/>
              <w:autoSpaceDE/>
              <w:autoSpaceDN/>
              <w:adjustRightInd/>
              <w:jc w:val="center"/>
              <w:textAlignment w:val="auto"/>
              <w:rPr>
                <w:rFonts w:cs="Arial"/>
                <w:b/>
                <w:bCs/>
                <w:lang w:val="en-GB" w:eastAsia="en-US"/>
              </w:rPr>
            </w:pPr>
            <w:r w:rsidRPr="004E4188">
              <w:rPr>
                <w:b/>
                <w:szCs w:val="36"/>
                <w:lang w:val="en-GB" w:eastAsia="en-US"/>
              </w:rPr>
              <w:t>Spécifications de soumission</w:t>
            </w:r>
          </w:p>
        </w:tc>
      </w:tr>
      <w:tr w:rsidR="006F129D" w:rsidRPr="004E4188" w14:paraId="05FBA3DA" w14:textId="77777777" w:rsidTr="00ED2CD6">
        <w:tc>
          <w:tcPr>
            <w:tcW w:w="1163" w:type="dxa"/>
            <w:tcBorders>
              <w:top w:val="single" w:sz="12" w:space="0" w:color="auto"/>
            </w:tcBorders>
          </w:tcPr>
          <w:p w14:paraId="1ADCA57E" w14:textId="77777777" w:rsidR="006F129D" w:rsidRPr="004E4188" w:rsidRDefault="006F129D" w:rsidP="00D45EAD">
            <w:pPr>
              <w:suppressAutoHyphens w:val="0"/>
              <w:overflowPunct/>
              <w:autoSpaceDE/>
              <w:autoSpaceDN/>
              <w:adjustRightInd/>
              <w:jc w:val="center"/>
              <w:textAlignment w:val="auto"/>
              <w:rPr>
                <w:lang w:val="en-GB" w:eastAsia="en-US"/>
              </w:rPr>
            </w:pPr>
            <w:r w:rsidRPr="004E4188">
              <w:rPr>
                <w:lang w:val="en-GB" w:eastAsia="en-US"/>
              </w:rPr>
              <w:t>1</w:t>
            </w:r>
          </w:p>
        </w:tc>
        <w:tc>
          <w:tcPr>
            <w:tcW w:w="3807" w:type="dxa"/>
            <w:tcBorders>
              <w:top w:val="single" w:sz="12" w:space="0" w:color="auto"/>
            </w:tcBorders>
          </w:tcPr>
          <w:p w14:paraId="1DC5A13A" w14:textId="77777777" w:rsidR="006F129D" w:rsidRPr="004E4188" w:rsidRDefault="006F129D" w:rsidP="00D45EAD">
            <w:pPr>
              <w:suppressAutoHyphens w:val="0"/>
              <w:overflowPunct/>
              <w:autoSpaceDE/>
              <w:autoSpaceDN/>
              <w:adjustRightInd/>
              <w:textAlignment w:val="auto"/>
              <w:rPr>
                <w:rFonts w:ascii="Arial" w:hAnsi="Arial" w:cs="Arial"/>
                <w:sz w:val="20"/>
                <w:lang w:val="en-GB" w:eastAsia="ja-JP"/>
              </w:rPr>
            </w:pPr>
          </w:p>
        </w:tc>
        <w:tc>
          <w:tcPr>
            <w:tcW w:w="1477" w:type="dxa"/>
            <w:tcBorders>
              <w:top w:val="single" w:sz="12" w:space="0" w:color="auto"/>
            </w:tcBorders>
          </w:tcPr>
          <w:p w14:paraId="41C6E85D" w14:textId="77777777" w:rsidR="006F129D" w:rsidRPr="004E4188" w:rsidRDefault="006F129D" w:rsidP="00D45EAD">
            <w:pPr>
              <w:suppressAutoHyphens w:val="0"/>
              <w:overflowPunct/>
              <w:autoSpaceDE/>
              <w:autoSpaceDN/>
              <w:adjustRightInd/>
              <w:textAlignment w:val="auto"/>
              <w:rPr>
                <w:rFonts w:ascii="Arial" w:hAnsi="Arial" w:cs="Arial"/>
                <w:sz w:val="20"/>
                <w:lang w:val="en-GB" w:eastAsia="en-US"/>
              </w:rPr>
            </w:pPr>
          </w:p>
        </w:tc>
        <w:tc>
          <w:tcPr>
            <w:tcW w:w="1760" w:type="dxa"/>
            <w:tcBorders>
              <w:top w:val="single" w:sz="12" w:space="0" w:color="auto"/>
            </w:tcBorders>
          </w:tcPr>
          <w:p w14:paraId="06CD1DC4" w14:textId="77777777" w:rsidR="006F129D" w:rsidRPr="004E4188" w:rsidRDefault="006F129D" w:rsidP="00D45EAD">
            <w:pPr>
              <w:suppressAutoHyphens w:val="0"/>
              <w:overflowPunct/>
              <w:autoSpaceDE/>
              <w:autoSpaceDN/>
              <w:adjustRightInd/>
              <w:textAlignment w:val="auto"/>
              <w:rPr>
                <w:rFonts w:ascii="Arial" w:hAnsi="Arial" w:cs="Arial"/>
                <w:sz w:val="20"/>
                <w:lang w:val="en-GB" w:eastAsia="en-US"/>
              </w:rPr>
            </w:pPr>
          </w:p>
        </w:tc>
      </w:tr>
      <w:tr w:rsidR="006F129D" w:rsidRPr="004E4188" w14:paraId="7F6D59E4" w14:textId="77777777" w:rsidTr="00ED2CD6">
        <w:tc>
          <w:tcPr>
            <w:tcW w:w="1163" w:type="dxa"/>
          </w:tcPr>
          <w:p w14:paraId="21C985CA" w14:textId="77777777" w:rsidR="006F129D" w:rsidRPr="004E4188" w:rsidRDefault="006F129D" w:rsidP="00D45EAD">
            <w:pPr>
              <w:suppressAutoHyphens w:val="0"/>
              <w:overflowPunct/>
              <w:autoSpaceDE/>
              <w:autoSpaceDN/>
              <w:adjustRightInd/>
              <w:jc w:val="center"/>
              <w:textAlignment w:val="auto"/>
              <w:rPr>
                <w:lang w:val="en-GB" w:eastAsia="en-US"/>
              </w:rPr>
            </w:pPr>
            <w:r w:rsidRPr="004E4188">
              <w:rPr>
                <w:lang w:val="en-GB" w:eastAsia="en-US"/>
              </w:rPr>
              <w:t>2</w:t>
            </w:r>
          </w:p>
        </w:tc>
        <w:tc>
          <w:tcPr>
            <w:tcW w:w="3807" w:type="dxa"/>
          </w:tcPr>
          <w:p w14:paraId="4B1E5493" w14:textId="77777777" w:rsidR="006F129D" w:rsidRPr="004E4188" w:rsidRDefault="006F129D" w:rsidP="00D45EAD">
            <w:pPr>
              <w:suppressAutoHyphens w:val="0"/>
              <w:overflowPunct/>
              <w:autoSpaceDE/>
              <w:autoSpaceDN/>
              <w:adjustRightInd/>
              <w:textAlignment w:val="auto"/>
              <w:rPr>
                <w:rFonts w:ascii="Arial" w:hAnsi="Arial" w:cs="Arial"/>
                <w:sz w:val="20"/>
                <w:lang w:val="en-GB" w:eastAsia="en-US"/>
              </w:rPr>
            </w:pPr>
          </w:p>
        </w:tc>
        <w:tc>
          <w:tcPr>
            <w:tcW w:w="1477" w:type="dxa"/>
          </w:tcPr>
          <w:p w14:paraId="659F5C19" w14:textId="77777777" w:rsidR="006F129D" w:rsidRPr="004E4188" w:rsidRDefault="006F129D" w:rsidP="00D45EAD">
            <w:pPr>
              <w:suppressAutoHyphens w:val="0"/>
              <w:overflowPunct/>
              <w:autoSpaceDE/>
              <w:autoSpaceDN/>
              <w:adjustRightInd/>
              <w:textAlignment w:val="auto"/>
              <w:rPr>
                <w:rFonts w:ascii="Arial" w:hAnsi="Arial" w:cs="Arial"/>
                <w:sz w:val="20"/>
                <w:u w:val="single"/>
                <w:lang w:val="en-GB" w:eastAsia="en-US"/>
              </w:rPr>
            </w:pPr>
          </w:p>
        </w:tc>
        <w:tc>
          <w:tcPr>
            <w:tcW w:w="1760" w:type="dxa"/>
          </w:tcPr>
          <w:p w14:paraId="2D9D1CF9" w14:textId="77777777" w:rsidR="006F129D" w:rsidRPr="004E4188" w:rsidRDefault="006F129D" w:rsidP="00D45EAD">
            <w:pPr>
              <w:suppressAutoHyphens w:val="0"/>
              <w:overflowPunct/>
              <w:autoSpaceDE/>
              <w:autoSpaceDN/>
              <w:adjustRightInd/>
              <w:textAlignment w:val="auto"/>
              <w:rPr>
                <w:rFonts w:ascii="Arial" w:hAnsi="Arial" w:cs="Arial"/>
                <w:sz w:val="20"/>
                <w:u w:val="single"/>
                <w:lang w:val="en-GB" w:eastAsia="en-US"/>
              </w:rPr>
            </w:pPr>
          </w:p>
        </w:tc>
      </w:tr>
      <w:tr w:rsidR="006F129D" w:rsidRPr="004E4188" w14:paraId="2E61D548" w14:textId="77777777" w:rsidTr="00ED2CD6">
        <w:tc>
          <w:tcPr>
            <w:tcW w:w="1163" w:type="dxa"/>
          </w:tcPr>
          <w:p w14:paraId="211E6D13" w14:textId="77777777" w:rsidR="006F129D" w:rsidRPr="004E4188" w:rsidRDefault="006F129D" w:rsidP="00D45EAD">
            <w:pPr>
              <w:suppressAutoHyphens w:val="0"/>
              <w:overflowPunct/>
              <w:autoSpaceDE/>
              <w:autoSpaceDN/>
              <w:adjustRightInd/>
              <w:jc w:val="center"/>
              <w:textAlignment w:val="auto"/>
              <w:rPr>
                <w:lang w:val="en-GB" w:eastAsia="en-US"/>
              </w:rPr>
            </w:pPr>
            <w:r w:rsidRPr="004E4188">
              <w:rPr>
                <w:lang w:val="en-GB" w:eastAsia="en-US"/>
              </w:rPr>
              <w:t>3</w:t>
            </w:r>
          </w:p>
        </w:tc>
        <w:tc>
          <w:tcPr>
            <w:tcW w:w="3807" w:type="dxa"/>
          </w:tcPr>
          <w:p w14:paraId="274B4573" w14:textId="77777777" w:rsidR="006F129D" w:rsidRPr="004E4188" w:rsidRDefault="006F129D" w:rsidP="00D45EAD">
            <w:pPr>
              <w:suppressAutoHyphens w:val="0"/>
              <w:overflowPunct/>
              <w:autoSpaceDE/>
              <w:autoSpaceDN/>
              <w:adjustRightInd/>
              <w:textAlignment w:val="auto"/>
              <w:rPr>
                <w:rFonts w:ascii="Arial" w:hAnsi="Arial" w:cs="Arial"/>
                <w:sz w:val="20"/>
                <w:lang w:val="en-GB" w:eastAsia="en-US"/>
              </w:rPr>
            </w:pPr>
          </w:p>
        </w:tc>
        <w:tc>
          <w:tcPr>
            <w:tcW w:w="1477" w:type="dxa"/>
          </w:tcPr>
          <w:p w14:paraId="0DB41490" w14:textId="77777777" w:rsidR="006F129D" w:rsidRPr="004E4188" w:rsidRDefault="006F129D" w:rsidP="00D45EAD">
            <w:pPr>
              <w:suppressAutoHyphens w:val="0"/>
              <w:overflowPunct/>
              <w:autoSpaceDE/>
              <w:autoSpaceDN/>
              <w:adjustRightInd/>
              <w:textAlignment w:val="auto"/>
              <w:rPr>
                <w:rFonts w:ascii="Arial" w:hAnsi="Arial" w:cs="Arial"/>
                <w:sz w:val="20"/>
                <w:u w:val="single"/>
                <w:lang w:val="en-GB" w:eastAsia="en-US"/>
              </w:rPr>
            </w:pPr>
          </w:p>
        </w:tc>
        <w:tc>
          <w:tcPr>
            <w:tcW w:w="1760" w:type="dxa"/>
          </w:tcPr>
          <w:p w14:paraId="50858C3D" w14:textId="77777777" w:rsidR="006F129D" w:rsidRPr="004E4188" w:rsidRDefault="006F129D" w:rsidP="00D45EAD">
            <w:pPr>
              <w:suppressAutoHyphens w:val="0"/>
              <w:overflowPunct/>
              <w:autoSpaceDE/>
              <w:autoSpaceDN/>
              <w:adjustRightInd/>
              <w:textAlignment w:val="auto"/>
              <w:rPr>
                <w:rFonts w:ascii="Arial" w:hAnsi="Arial" w:cs="Arial"/>
                <w:sz w:val="20"/>
                <w:u w:val="single"/>
                <w:lang w:val="en-GB" w:eastAsia="en-US"/>
              </w:rPr>
            </w:pPr>
          </w:p>
        </w:tc>
      </w:tr>
      <w:tr w:rsidR="006F129D" w:rsidRPr="004E4188" w14:paraId="616D2F2E" w14:textId="77777777" w:rsidTr="00ED2CD6">
        <w:tc>
          <w:tcPr>
            <w:tcW w:w="1163" w:type="dxa"/>
          </w:tcPr>
          <w:p w14:paraId="7A3FEBD1" w14:textId="77777777" w:rsidR="006F129D" w:rsidRPr="004E4188" w:rsidRDefault="006F129D" w:rsidP="00D45EAD">
            <w:pPr>
              <w:suppressAutoHyphens w:val="0"/>
              <w:overflowPunct/>
              <w:autoSpaceDE/>
              <w:autoSpaceDN/>
              <w:adjustRightInd/>
              <w:jc w:val="center"/>
              <w:textAlignment w:val="auto"/>
              <w:rPr>
                <w:lang w:val="en-GB" w:eastAsia="en-US"/>
              </w:rPr>
            </w:pPr>
            <w:r w:rsidRPr="004E4188">
              <w:rPr>
                <w:lang w:val="en-GB" w:eastAsia="en-US"/>
              </w:rPr>
              <w:t>4</w:t>
            </w:r>
          </w:p>
        </w:tc>
        <w:tc>
          <w:tcPr>
            <w:tcW w:w="3807" w:type="dxa"/>
          </w:tcPr>
          <w:p w14:paraId="0146A7C4" w14:textId="77777777" w:rsidR="006F129D" w:rsidRPr="004E4188" w:rsidRDefault="006F129D" w:rsidP="00D45EAD">
            <w:pPr>
              <w:suppressAutoHyphens w:val="0"/>
              <w:overflowPunct/>
              <w:autoSpaceDE/>
              <w:autoSpaceDN/>
              <w:adjustRightInd/>
              <w:textAlignment w:val="auto"/>
              <w:rPr>
                <w:rFonts w:ascii="Arial" w:hAnsi="Arial" w:cs="Arial"/>
                <w:sz w:val="20"/>
                <w:lang w:val="en-GB" w:eastAsia="en-US"/>
              </w:rPr>
            </w:pPr>
          </w:p>
        </w:tc>
        <w:tc>
          <w:tcPr>
            <w:tcW w:w="1477" w:type="dxa"/>
          </w:tcPr>
          <w:p w14:paraId="0E9EC0FB" w14:textId="77777777" w:rsidR="006F129D" w:rsidRPr="004E4188" w:rsidRDefault="006F129D" w:rsidP="00D45EAD">
            <w:pPr>
              <w:suppressAutoHyphens w:val="0"/>
              <w:overflowPunct/>
              <w:autoSpaceDE/>
              <w:autoSpaceDN/>
              <w:adjustRightInd/>
              <w:textAlignment w:val="auto"/>
              <w:rPr>
                <w:rFonts w:ascii="Arial" w:hAnsi="Arial" w:cs="Arial"/>
                <w:sz w:val="20"/>
                <w:u w:val="single"/>
                <w:lang w:val="en-GB" w:eastAsia="en-US"/>
              </w:rPr>
            </w:pPr>
          </w:p>
        </w:tc>
        <w:tc>
          <w:tcPr>
            <w:tcW w:w="1760" w:type="dxa"/>
          </w:tcPr>
          <w:p w14:paraId="7B5E0831" w14:textId="77777777" w:rsidR="006F129D" w:rsidRPr="004E4188" w:rsidRDefault="006F129D" w:rsidP="00D45EAD">
            <w:pPr>
              <w:suppressAutoHyphens w:val="0"/>
              <w:overflowPunct/>
              <w:autoSpaceDE/>
              <w:autoSpaceDN/>
              <w:adjustRightInd/>
              <w:textAlignment w:val="auto"/>
              <w:rPr>
                <w:rFonts w:ascii="Arial" w:hAnsi="Arial" w:cs="Arial"/>
                <w:sz w:val="20"/>
                <w:u w:val="single"/>
                <w:lang w:val="en-GB" w:eastAsia="en-US"/>
              </w:rPr>
            </w:pPr>
          </w:p>
        </w:tc>
      </w:tr>
      <w:tr w:rsidR="006F129D" w:rsidRPr="004E4188" w14:paraId="1872887E" w14:textId="77777777" w:rsidTr="00ED2CD6">
        <w:tc>
          <w:tcPr>
            <w:tcW w:w="1163" w:type="dxa"/>
          </w:tcPr>
          <w:p w14:paraId="34B7E52F" w14:textId="77777777" w:rsidR="006F129D" w:rsidRPr="004E4188" w:rsidRDefault="006F129D" w:rsidP="00D45EAD">
            <w:pPr>
              <w:suppressAutoHyphens w:val="0"/>
              <w:overflowPunct/>
              <w:autoSpaceDE/>
              <w:autoSpaceDN/>
              <w:adjustRightInd/>
              <w:jc w:val="center"/>
              <w:textAlignment w:val="auto"/>
              <w:rPr>
                <w:lang w:val="en-GB" w:eastAsia="en-US"/>
              </w:rPr>
            </w:pPr>
            <w:r w:rsidRPr="004E4188">
              <w:rPr>
                <w:lang w:val="en-GB" w:eastAsia="en-US"/>
              </w:rPr>
              <w:t>5</w:t>
            </w:r>
          </w:p>
        </w:tc>
        <w:tc>
          <w:tcPr>
            <w:tcW w:w="3807" w:type="dxa"/>
          </w:tcPr>
          <w:p w14:paraId="0DDFFE04" w14:textId="77777777" w:rsidR="006F129D" w:rsidRPr="004E4188" w:rsidRDefault="006F129D" w:rsidP="00D45EAD">
            <w:pPr>
              <w:suppressAutoHyphens w:val="0"/>
              <w:overflowPunct/>
              <w:autoSpaceDE/>
              <w:autoSpaceDN/>
              <w:adjustRightInd/>
              <w:textAlignment w:val="auto"/>
              <w:rPr>
                <w:rFonts w:ascii="Arial" w:hAnsi="Arial" w:cs="Arial"/>
                <w:sz w:val="20"/>
                <w:lang w:val="en-GB" w:eastAsia="en-US"/>
              </w:rPr>
            </w:pPr>
          </w:p>
        </w:tc>
        <w:tc>
          <w:tcPr>
            <w:tcW w:w="1477" w:type="dxa"/>
          </w:tcPr>
          <w:p w14:paraId="65208CEF" w14:textId="77777777" w:rsidR="006F129D" w:rsidRPr="004E4188" w:rsidRDefault="006F129D" w:rsidP="00D45EAD">
            <w:pPr>
              <w:suppressAutoHyphens w:val="0"/>
              <w:overflowPunct/>
              <w:autoSpaceDE/>
              <w:autoSpaceDN/>
              <w:adjustRightInd/>
              <w:textAlignment w:val="auto"/>
              <w:rPr>
                <w:rFonts w:ascii="Arial" w:hAnsi="Arial" w:cs="Arial"/>
                <w:sz w:val="20"/>
                <w:u w:val="single"/>
                <w:lang w:val="en-GB" w:eastAsia="en-US"/>
              </w:rPr>
            </w:pPr>
          </w:p>
        </w:tc>
        <w:tc>
          <w:tcPr>
            <w:tcW w:w="1760" w:type="dxa"/>
          </w:tcPr>
          <w:p w14:paraId="2CCB907B" w14:textId="77777777" w:rsidR="006F129D" w:rsidRPr="004E4188" w:rsidRDefault="006F129D" w:rsidP="00D45EAD">
            <w:pPr>
              <w:suppressAutoHyphens w:val="0"/>
              <w:overflowPunct/>
              <w:autoSpaceDE/>
              <w:autoSpaceDN/>
              <w:adjustRightInd/>
              <w:textAlignment w:val="auto"/>
              <w:rPr>
                <w:rFonts w:ascii="Arial" w:hAnsi="Arial" w:cs="Arial"/>
                <w:sz w:val="20"/>
                <w:u w:val="single"/>
                <w:lang w:val="en-GB" w:eastAsia="en-US"/>
              </w:rPr>
            </w:pPr>
          </w:p>
        </w:tc>
      </w:tr>
      <w:tr w:rsidR="006F129D" w:rsidRPr="004E4188" w14:paraId="41540CF9" w14:textId="77777777" w:rsidTr="00ED2CD6">
        <w:tc>
          <w:tcPr>
            <w:tcW w:w="1163" w:type="dxa"/>
          </w:tcPr>
          <w:p w14:paraId="7CEAFA06" w14:textId="77777777" w:rsidR="006F129D" w:rsidRPr="004E4188" w:rsidRDefault="006F129D" w:rsidP="00D45EAD">
            <w:pPr>
              <w:suppressAutoHyphens w:val="0"/>
              <w:overflowPunct/>
              <w:autoSpaceDE/>
              <w:autoSpaceDN/>
              <w:adjustRightInd/>
              <w:jc w:val="center"/>
              <w:textAlignment w:val="auto"/>
              <w:rPr>
                <w:lang w:val="en-GB" w:eastAsia="en-US"/>
              </w:rPr>
            </w:pPr>
            <w:r w:rsidRPr="004E4188">
              <w:rPr>
                <w:lang w:val="en-GB" w:eastAsia="en-US"/>
              </w:rPr>
              <w:t>…</w:t>
            </w:r>
          </w:p>
        </w:tc>
        <w:tc>
          <w:tcPr>
            <w:tcW w:w="3807" w:type="dxa"/>
          </w:tcPr>
          <w:p w14:paraId="5D86B77B" w14:textId="77777777" w:rsidR="006F129D" w:rsidRPr="004E4188" w:rsidRDefault="006F129D" w:rsidP="00D45EAD">
            <w:pPr>
              <w:suppressAutoHyphens w:val="0"/>
              <w:overflowPunct/>
              <w:autoSpaceDE/>
              <w:autoSpaceDN/>
              <w:adjustRightInd/>
              <w:textAlignment w:val="auto"/>
              <w:rPr>
                <w:lang w:val="en-GB" w:eastAsia="en-US"/>
              </w:rPr>
            </w:pPr>
          </w:p>
        </w:tc>
        <w:tc>
          <w:tcPr>
            <w:tcW w:w="1477" w:type="dxa"/>
          </w:tcPr>
          <w:p w14:paraId="1439DAE7" w14:textId="77777777" w:rsidR="006F129D" w:rsidRPr="004E4188" w:rsidRDefault="006F129D" w:rsidP="00D45EAD">
            <w:pPr>
              <w:suppressAutoHyphens w:val="0"/>
              <w:overflowPunct/>
              <w:autoSpaceDE/>
              <w:autoSpaceDN/>
              <w:adjustRightInd/>
              <w:textAlignment w:val="auto"/>
              <w:rPr>
                <w:u w:val="single"/>
                <w:lang w:val="en-GB" w:eastAsia="en-US"/>
              </w:rPr>
            </w:pPr>
          </w:p>
        </w:tc>
        <w:tc>
          <w:tcPr>
            <w:tcW w:w="1760" w:type="dxa"/>
          </w:tcPr>
          <w:p w14:paraId="0A8F9501" w14:textId="77777777" w:rsidR="006F129D" w:rsidRPr="004E4188" w:rsidRDefault="006F129D" w:rsidP="00D45EAD">
            <w:pPr>
              <w:suppressAutoHyphens w:val="0"/>
              <w:overflowPunct/>
              <w:autoSpaceDE/>
              <w:autoSpaceDN/>
              <w:adjustRightInd/>
              <w:textAlignment w:val="auto"/>
              <w:rPr>
                <w:u w:val="single"/>
                <w:lang w:val="en-GB" w:eastAsia="en-US"/>
              </w:rPr>
            </w:pPr>
          </w:p>
        </w:tc>
      </w:tr>
      <w:tr w:rsidR="006F129D" w:rsidRPr="004E4188" w14:paraId="723C3085" w14:textId="77777777" w:rsidTr="00ED2CD6">
        <w:tc>
          <w:tcPr>
            <w:tcW w:w="8207" w:type="dxa"/>
            <w:gridSpan w:val="4"/>
          </w:tcPr>
          <w:p w14:paraId="50827C7B" w14:textId="77777777" w:rsidR="006F129D" w:rsidRPr="004E4188" w:rsidRDefault="006F129D" w:rsidP="00D45EAD">
            <w:pPr>
              <w:widowControl w:val="0"/>
              <w:suppressAutoHyphens w:val="0"/>
              <w:overflowPunct/>
              <w:autoSpaceDE/>
              <w:autoSpaceDN/>
              <w:adjustRightInd/>
              <w:spacing w:line="0" w:lineRule="atLeast"/>
              <w:textAlignment w:val="auto"/>
              <w:rPr>
                <w:rFonts w:ascii="Arial" w:hAnsi="Arial" w:cs="Arial"/>
                <w:i/>
                <w:sz w:val="20"/>
                <w:lang w:eastAsia="ja-JP"/>
              </w:rPr>
            </w:pPr>
            <w:r w:rsidRPr="004E4188">
              <w:rPr>
                <w:rFonts w:ascii="Arial" w:hAnsi="Arial" w:cs="Arial" w:hint="eastAsia"/>
                <w:i/>
                <w:sz w:val="20"/>
                <w:u w:val="single"/>
                <w:lang w:eastAsia="ja-JP"/>
              </w:rPr>
              <w:t>Notes</w:t>
            </w:r>
            <w:r w:rsidRPr="004E4188">
              <w:rPr>
                <w:rFonts w:ascii="Arial" w:hAnsi="Arial" w:cs="Arial"/>
                <w:i/>
                <w:sz w:val="20"/>
                <w:u w:val="single"/>
                <w:lang w:eastAsia="ja-JP"/>
              </w:rPr>
              <w:t xml:space="preserve"> à l’intention du Maître d’ouvrage</w:t>
            </w:r>
          </w:p>
          <w:p w14:paraId="38EE5439" w14:textId="14405FF4" w:rsidR="006F129D" w:rsidRPr="004E4188" w:rsidRDefault="006F129D" w:rsidP="00D45EAD">
            <w:pPr>
              <w:widowControl w:val="0"/>
              <w:tabs>
                <w:tab w:val="left" w:pos="455"/>
              </w:tabs>
              <w:suppressAutoHyphens w:val="0"/>
              <w:overflowPunct/>
              <w:adjustRightInd/>
              <w:spacing w:after="120" w:line="0" w:lineRule="atLeast"/>
              <w:ind w:left="455" w:hanging="455"/>
              <w:textAlignment w:val="auto"/>
              <w:rPr>
                <w:rFonts w:ascii="Arial" w:hAnsi="Arial" w:cs="Arial"/>
                <w:i/>
                <w:sz w:val="20"/>
                <w:lang w:eastAsia="ja-JP"/>
              </w:rPr>
            </w:pPr>
            <w:r w:rsidRPr="004E4188">
              <w:rPr>
                <w:rFonts w:ascii="Arial" w:hAnsi="Arial" w:cs="Arial"/>
                <w:i/>
                <w:sz w:val="20"/>
                <w:lang w:eastAsia="en-US"/>
              </w:rPr>
              <w:t>(a)</w:t>
            </w:r>
            <w:r w:rsidRPr="004E4188">
              <w:rPr>
                <w:rFonts w:ascii="Arial" w:hAnsi="Arial" w:cs="Arial"/>
                <w:i/>
                <w:sz w:val="20"/>
                <w:lang w:eastAsia="en-US"/>
              </w:rPr>
              <w:tab/>
              <w:t xml:space="preserve">Les éléments énumérés doivent être limités à </w:t>
            </w:r>
            <w:r w:rsidRPr="004E4188">
              <w:rPr>
                <w:rFonts w:ascii="Arial" w:hAnsi="Arial" w:cs="Arial" w:hint="eastAsia"/>
                <w:i/>
                <w:sz w:val="20"/>
                <w:lang w:eastAsia="en-US"/>
              </w:rPr>
              <w:t>c</w:t>
            </w:r>
            <w:r w:rsidRPr="004E4188">
              <w:rPr>
                <w:rFonts w:ascii="Arial" w:hAnsi="Arial" w:cs="Arial"/>
                <w:i/>
                <w:sz w:val="20"/>
                <w:lang w:eastAsia="en-US"/>
              </w:rPr>
              <w:t>eux d</w:t>
            </w:r>
            <w:r w:rsidR="00CF3FAD" w:rsidRPr="004E4188">
              <w:rPr>
                <w:rFonts w:ascii="Arial" w:hAnsi="Arial" w:cs="Arial"/>
                <w:i/>
                <w:sz w:val="20"/>
                <w:lang w:eastAsia="en-US"/>
              </w:rPr>
              <w:t>’</w:t>
            </w:r>
            <w:r w:rsidRPr="004E4188">
              <w:rPr>
                <w:rFonts w:ascii="Arial" w:hAnsi="Arial" w:cs="Arial"/>
                <w:i/>
                <w:sz w:val="20"/>
                <w:lang w:eastAsia="en-US"/>
              </w:rPr>
              <w:t>importance primordiale pour lesquels le Maître d’ouvrage souhaite confirmer l</w:t>
            </w:r>
            <w:r w:rsidR="00CF3FAD" w:rsidRPr="004E4188">
              <w:rPr>
                <w:rFonts w:ascii="Arial" w:hAnsi="Arial" w:cs="Arial"/>
                <w:i/>
                <w:sz w:val="20"/>
                <w:lang w:eastAsia="en-US"/>
              </w:rPr>
              <w:t>’</w:t>
            </w:r>
            <w:r w:rsidRPr="004E4188">
              <w:rPr>
                <w:rFonts w:ascii="Arial" w:hAnsi="Arial" w:cs="Arial"/>
                <w:i/>
                <w:sz w:val="20"/>
                <w:lang w:eastAsia="en-US"/>
              </w:rPr>
              <w:t>adéquation et la pertinence des sous-traitants proposés durant l</w:t>
            </w:r>
            <w:r w:rsidR="00CF3FAD" w:rsidRPr="004E4188">
              <w:rPr>
                <w:rFonts w:ascii="Arial" w:hAnsi="Arial" w:cs="Arial"/>
                <w:i/>
                <w:sz w:val="20"/>
                <w:lang w:eastAsia="en-US"/>
              </w:rPr>
              <w:t>’</w:t>
            </w:r>
            <w:r w:rsidRPr="004E4188">
              <w:rPr>
                <w:rFonts w:ascii="Arial" w:hAnsi="Arial" w:cs="Arial"/>
                <w:i/>
                <w:sz w:val="20"/>
                <w:lang w:eastAsia="en-US"/>
              </w:rPr>
              <w:t>appel d</w:t>
            </w:r>
            <w:r w:rsidR="00CF3FAD" w:rsidRPr="004E4188">
              <w:rPr>
                <w:rFonts w:ascii="Arial" w:hAnsi="Arial" w:cs="Arial"/>
                <w:i/>
                <w:sz w:val="20"/>
                <w:lang w:eastAsia="en-US"/>
              </w:rPr>
              <w:t>’</w:t>
            </w:r>
            <w:r w:rsidRPr="004E4188">
              <w:rPr>
                <w:rFonts w:ascii="Arial" w:hAnsi="Arial" w:cs="Arial"/>
                <w:i/>
                <w:sz w:val="20"/>
                <w:lang w:eastAsia="en-US"/>
              </w:rPr>
              <w:t xml:space="preserve">offres. </w:t>
            </w:r>
          </w:p>
          <w:p w14:paraId="2A21EADF" w14:textId="02BA3065" w:rsidR="006F129D" w:rsidRPr="004E4188" w:rsidRDefault="006F129D" w:rsidP="00D45EAD">
            <w:pPr>
              <w:widowControl w:val="0"/>
              <w:tabs>
                <w:tab w:val="left" w:pos="455"/>
              </w:tabs>
              <w:suppressAutoHyphens w:val="0"/>
              <w:overflowPunct/>
              <w:adjustRightInd/>
              <w:spacing w:after="120" w:line="0" w:lineRule="atLeast"/>
              <w:ind w:left="455" w:hanging="455"/>
              <w:textAlignment w:val="auto"/>
              <w:rPr>
                <w:u w:val="single"/>
                <w:lang w:eastAsia="en-US"/>
              </w:rPr>
            </w:pPr>
            <w:r w:rsidRPr="004E4188">
              <w:rPr>
                <w:rFonts w:ascii="Arial" w:hAnsi="Arial" w:cs="Arial"/>
                <w:i/>
                <w:sz w:val="20"/>
                <w:lang w:eastAsia="ja-JP"/>
              </w:rPr>
              <w:t>(b)</w:t>
            </w:r>
            <w:r w:rsidRPr="004E4188">
              <w:rPr>
                <w:rFonts w:ascii="Arial" w:hAnsi="Arial" w:cs="Arial"/>
                <w:i/>
                <w:sz w:val="20"/>
                <w:lang w:eastAsia="ja-JP"/>
              </w:rPr>
              <w:tab/>
            </w:r>
            <w:r w:rsidRPr="004E4188">
              <w:rPr>
                <w:rFonts w:ascii="Arial" w:hAnsi="Arial" w:cs="Arial"/>
                <w:i/>
                <w:sz w:val="20"/>
                <w:lang w:eastAsia="en-US"/>
              </w:rPr>
              <w:t>Donner la liste des documents supplémentaires à joindre à l’offre, qui ne sont pas déjà indiqués au formulaire ELI-3, afin d’établir la conformité avec les exigences. S’il n’y a pas de document supplémentaire qui doit être soumis, indiquer « aucun ».</w:t>
            </w:r>
          </w:p>
        </w:tc>
      </w:tr>
    </w:tbl>
    <w:p w14:paraId="0A1E5169" w14:textId="77777777" w:rsidR="006F129D" w:rsidRPr="004E4188" w:rsidRDefault="006F129D" w:rsidP="00D45EAD">
      <w:pPr>
        <w:widowControl w:val="0"/>
        <w:suppressAutoHyphens w:val="0"/>
        <w:overflowPunct/>
        <w:autoSpaceDE/>
        <w:autoSpaceDN/>
        <w:adjustRightInd/>
        <w:spacing w:line="0" w:lineRule="atLeast"/>
        <w:ind w:left="851"/>
        <w:textAlignment w:val="auto"/>
        <w:rPr>
          <w:szCs w:val="24"/>
          <w:lang w:eastAsia="en-US"/>
        </w:rPr>
      </w:pPr>
    </w:p>
    <w:p w14:paraId="4825DC9F" w14:textId="77777777" w:rsidR="006F129D" w:rsidRPr="004E4188" w:rsidRDefault="006F129D" w:rsidP="00D45EAD">
      <w:pPr>
        <w:widowControl w:val="0"/>
        <w:suppressAutoHyphens w:val="0"/>
        <w:overflowPunct/>
        <w:autoSpaceDE/>
        <w:autoSpaceDN/>
        <w:adjustRightInd/>
        <w:spacing w:line="0" w:lineRule="atLeast"/>
        <w:jc w:val="left"/>
        <w:textAlignment w:val="auto"/>
        <w:rPr>
          <w:lang w:eastAsia="en-US"/>
        </w:rPr>
      </w:pPr>
    </w:p>
    <w:p w14:paraId="6F8D916E" w14:textId="77777777" w:rsidR="006F129D" w:rsidRPr="004E4188" w:rsidRDefault="006F129D" w:rsidP="00D45EAD">
      <w:pPr>
        <w:suppressAutoHyphens w:val="0"/>
        <w:overflowPunct/>
        <w:autoSpaceDE/>
        <w:autoSpaceDN/>
        <w:adjustRightInd/>
        <w:ind w:left="850"/>
        <w:textAlignment w:val="auto"/>
        <w:rPr>
          <w:szCs w:val="24"/>
          <w:lang w:eastAsia="en-US"/>
        </w:rPr>
      </w:pPr>
    </w:p>
    <w:p w14:paraId="251128B7" w14:textId="77777777" w:rsidR="006F129D" w:rsidRPr="004E4188" w:rsidRDefault="006F129D" w:rsidP="00D45EAD">
      <w:pPr>
        <w:suppressAutoHyphens w:val="0"/>
        <w:overflowPunct/>
        <w:autoSpaceDE/>
        <w:autoSpaceDN/>
        <w:adjustRightInd/>
        <w:ind w:left="850"/>
        <w:textAlignment w:val="auto"/>
        <w:rPr>
          <w:szCs w:val="24"/>
          <w:lang w:eastAsia="en-US"/>
        </w:rPr>
      </w:pPr>
    </w:p>
    <w:p w14:paraId="1E53C2C8" w14:textId="77777777" w:rsidR="006F129D" w:rsidRPr="004E4188" w:rsidRDefault="006F129D" w:rsidP="00D45EAD">
      <w:pPr>
        <w:suppressAutoHyphens w:val="0"/>
        <w:overflowPunct/>
        <w:autoSpaceDE/>
        <w:autoSpaceDN/>
        <w:adjustRightInd/>
        <w:ind w:left="850"/>
        <w:textAlignment w:val="auto"/>
        <w:rPr>
          <w:szCs w:val="24"/>
          <w:lang w:eastAsia="en-US"/>
        </w:rPr>
      </w:pPr>
    </w:p>
    <w:p w14:paraId="0E644561" w14:textId="77777777" w:rsidR="006F129D" w:rsidRPr="004E4188" w:rsidRDefault="006F129D" w:rsidP="00D45EAD">
      <w:pPr>
        <w:suppressAutoHyphens w:val="0"/>
        <w:overflowPunct/>
        <w:autoSpaceDE/>
        <w:autoSpaceDN/>
        <w:adjustRightInd/>
        <w:ind w:left="850"/>
        <w:textAlignment w:val="auto"/>
        <w:rPr>
          <w:szCs w:val="24"/>
          <w:lang w:eastAsia="en-US"/>
        </w:rPr>
      </w:pPr>
    </w:p>
    <w:p w14:paraId="37C66218" w14:textId="77777777" w:rsidR="006F129D" w:rsidRPr="004E4188" w:rsidRDefault="006F129D" w:rsidP="00D45EAD">
      <w:pPr>
        <w:suppressAutoHyphens w:val="0"/>
        <w:overflowPunct/>
        <w:autoSpaceDE/>
        <w:autoSpaceDN/>
        <w:adjustRightInd/>
        <w:ind w:left="850"/>
        <w:textAlignment w:val="auto"/>
        <w:rPr>
          <w:szCs w:val="24"/>
          <w:lang w:eastAsia="en-US"/>
        </w:rPr>
      </w:pPr>
    </w:p>
    <w:p w14:paraId="50AE13FA" w14:textId="77777777" w:rsidR="006F129D" w:rsidRPr="004E4188" w:rsidRDefault="006F129D" w:rsidP="00D45EAD">
      <w:pPr>
        <w:suppressAutoHyphens w:val="0"/>
        <w:overflowPunct/>
        <w:autoSpaceDE/>
        <w:autoSpaceDN/>
        <w:adjustRightInd/>
        <w:ind w:left="850"/>
        <w:textAlignment w:val="auto"/>
        <w:rPr>
          <w:szCs w:val="24"/>
          <w:lang w:eastAsia="en-US"/>
        </w:rPr>
      </w:pPr>
    </w:p>
    <w:p w14:paraId="41412ED1" w14:textId="77777777" w:rsidR="006F129D" w:rsidRPr="004E4188" w:rsidRDefault="006F129D" w:rsidP="00D45EAD">
      <w:pPr>
        <w:suppressAutoHyphens w:val="0"/>
        <w:overflowPunct/>
        <w:autoSpaceDE/>
        <w:autoSpaceDN/>
        <w:adjustRightInd/>
        <w:ind w:left="850"/>
        <w:textAlignment w:val="auto"/>
        <w:rPr>
          <w:szCs w:val="24"/>
          <w:lang w:eastAsia="en-US"/>
        </w:rPr>
      </w:pPr>
    </w:p>
    <w:p w14:paraId="7CADEF53" w14:textId="77777777" w:rsidR="006F129D" w:rsidRPr="004E4188" w:rsidRDefault="006F129D" w:rsidP="00D45EAD">
      <w:pPr>
        <w:suppressAutoHyphens w:val="0"/>
        <w:overflowPunct/>
        <w:autoSpaceDE/>
        <w:autoSpaceDN/>
        <w:adjustRightInd/>
        <w:ind w:left="850"/>
        <w:textAlignment w:val="auto"/>
        <w:rPr>
          <w:szCs w:val="24"/>
          <w:lang w:eastAsia="en-US"/>
        </w:rPr>
      </w:pPr>
    </w:p>
    <w:p w14:paraId="37C33678" w14:textId="77777777" w:rsidR="006F129D" w:rsidRPr="004E4188" w:rsidRDefault="006F129D" w:rsidP="00D45EAD">
      <w:pPr>
        <w:suppressAutoHyphens w:val="0"/>
        <w:overflowPunct/>
        <w:autoSpaceDE/>
        <w:autoSpaceDN/>
        <w:adjustRightInd/>
        <w:ind w:left="850"/>
        <w:textAlignment w:val="auto"/>
        <w:rPr>
          <w:szCs w:val="24"/>
          <w:lang w:eastAsia="en-US"/>
        </w:rPr>
      </w:pPr>
    </w:p>
    <w:p w14:paraId="570D620C" w14:textId="77777777" w:rsidR="006F129D" w:rsidRPr="004E4188" w:rsidRDefault="006F129D" w:rsidP="00D45EAD">
      <w:pPr>
        <w:suppressAutoHyphens w:val="0"/>
        <w:overflowPunct/>
        <w:autoSpaceDE/>
        <w:autoSpaceDN/>
        <w:adjustRightInd/>
        <w:ind w:left="850"/>
        <w:textAlignment w:val="auto"/>
        <w:rPr>
          <w:szCs w:val="24"/>
          <w:lang w:eastAsia="en-US"/>
        </w:rPr>
      </w:pPr>
    </w:p>
    <w:p w14:paraId="37775900" w14:textId="77777777" w:rsidR="006F129D" w:rsidRPr="004E4188" w:rsidRDefault="006F129D" w:rsidP="00D45EAD">
      <w:pPr>
        <w:suppressAutoHyphens w:val="0"/>
        <w:overflowPunct/>
        <w:autoSpaceDE/>
        <w:autoSpaceDN/>
        <w:adjustRightInd/>
        <w:ind w:left="850"/>
        <w:textAlignment w:val="auto"/>
        <w:rPr>
          <w:szCs w:val="24"/>
          <w:lang w:eastAsia="en-US"/>
        </w:rPr>
      </w:pPr>
    </w:p>
    <w:p w14:paraId="789E2B64" w14:textId="77777777" w:rsidR="006F129D" w:rsidRPr="004E4188" w:rsidRDefault="006F129D" w:rsidP="00D45EAD">
      <w:pPr>
        <w:suppressAutoHyphens w:val="0"/>
        <w:overflowPunct/>
        <w:autoSpaceDE/>
        <w:autoSpaceDN/>
        <w:adjustRightInd/>
        <w:ind w:left="850"/>
        <w:textAlignment w:val="auto"/>
        <w:rPr>
          <w:szCs w:val="24"/>
          <w:lang w:eastAsia="en-US"/>
        </w:rPr>
      </w:pPr>
    </w:p>
    <w:p w14:paraId="66F385B9" w14:textId="77777777" w:rsidR="006F129D" w:rsidRPr="004E4188" w:rsidRDefault="006F129D" w:rsidP="00D45EAD">
      <w:pPr>
        <w:suppressAutoHyphens w:val="0"/>
        <w:overflowPunct/>
        <w:autoSpaceDE/>
        <w:autoSpaceDN/>
        <w:adjustRightInd/>
        <w:ind w:left="850"/>
        <w:textAlignment w:val="auto"/>
        <w:rPr>
          <w:szCs w:val="24"/>
          <w:lang w:eastAsia="en-US"/>
        </w:rPr>
      </w:pPr>
    </w:p>
    <w:p w14:paraId="275E07B7" w14:textId="77777777" w:rsidR="006F129D" w:rsidRPr="004E4188" w:rsidRDefault="006F129D" w:rsidP="00D45EAD">
      <w:pPr>
        <w:suppressAutoHyphens w:val="0"/>
        <w:overflowPunct/>
        <w:autoSpaceDE/>
        <w:autoSpaceDN/>
        <w:adjustRightInd/>
        <w:ind w:left="850"/>
        <w:textAlignment w:val="auto"/>
        <w:rPr>
          <w:szCs w:val="24"/>
          <w:lang w:eastAsia="en-US"/>
        </w:rPr>
      </w:pPr>
    </w:p>
    <w:p w14:paraId="5D5AB478" w14:textId="77777777" w:rsidR="006F129D" w:rsidRPr="004E4188" w:rsidRDefault="006F129D" w:rsidP="00D45EAD">
      <w:pPr>
        <w:suppressAutoHyphens w:val="0"/>
        <w:overflowPunct/>
        <w:autoSpaceDE/>
        <w:autoSpaceDN/>
        <w:adjustRightInd/>
        <w:ind w:left="850"/>
        <w:textAlignment w:val="auto"/>
        <w:rPr>
          <w:szCs w:val="24"/>
          <w:lang w:eastAsia="en-US"/>
        </w:rPr>
      </w:pPr>
    </w:p>
    <w:p w14:paraId="7BCA5A3F" w14:textId="255350E6" w:rsidR="006F129D" w:rsidRPr="004E4188" w:rsidRDefault="006F129D" w:rsidP="00D45EAD">
      <w:pPr>
        <w:suppressAutoHyphens w:val="0"/>
        <w:overflowPunct/>
        <w:autoSpaceDE/>
        <w:autoSpaceDN/>
        <w:adjustRightInd/>
        <w:ind w:left="850"/>
        <w:textAlignment w:val="auto"/>
        <w:rPr>
          <w:szCs w:val="24"/>
          <w:lang w:eastAsia="en-US"/>
        </w:rPr>
      </w:pPr>
      <w:r w:rsidRPr="004E4188">
        <w:rPr>
          <w:szCs w:val="24"/>
          <w:lang w:eastAsia="en-US"/>
        </w:rPr>
        <w:t>D</w:t>
      </w:r>
      <w:r w:rsidRPr="004E4188">
        <w:rPr>
          <w:lang w:eastAsia="en-US"/>
        </w:rPr>
        <w:t xml:space="preserve">ans le cas où un Soumissionnaire propose de fournir et d’installer des éléments majeurs des </w:t>
      </w:r>
      <w:r w:rsidRPr="004E4188">
        <w:rPr>
          <w:szCs w:val="24"/>
        </w:rPr>
        <w:t>É</w:t>
      </w:r>
      <w:r w:rsidRPr="004E4188">
        <w:rPr>
          <w:lang w:eastAsia="en-US"/>
        </w:rPr>
        <w:t>quipements au titre du Marché qu’il ne fabrique, ni ne produit lui-même, le Soumissionnaire doit présenter l’attestation du fabricant, en utilisant le formulaire de la Section IV, Formulaires de soumission, certifiant qu’il est dûment habilité par le fabricant ou le producteur des installations et équipements ou éléments concernés à les fournir et les installer dans le pays du Maître d’ouvrage.</w:t>
      </w:r>
    </w:p>
    <w:p w14:paraId="1CF5305B" w14:textId="77777777" w:rsidR="006F129D" w:rsidRPr="004E4188" w:rsidRDefault="006F129D" w:rsidP="00D45EAD">
      <w:pPr>
        <w:suppressAutoHyphens w:val="0"/>
        <w:overflowPunct/>
        <w:autoSpaceDE/>
        <w:autoSpaceDN/>
        <w:adjustRightInd/>
        <w:ind w:left="270" w:right="288"/>
        <w:textAlignment w:val="auto"/>
        <w:rPr>
          <w:szCs w:val="24"/>
          <w:lang w:eastAsia="ja-JP"/>
        </w:rPr>
      </w:pPr>
    </w:p>
    <w:p w14:paraId="054CC424" w14:textId="77777777" w:rsidR="006F129D" w:rsidRPr="004E4188" w:rsidRDefault="006F129D" w:rsidP="003D46CF">
      <w:pPr>
        <w:numPr>
          <w:ilvl w:val="2"/>
          <w:numId w:val="30"/>
        </w:numPr>
        <w:tabs>
          <w:tab w:val="num" w:pos="2705"/>
        </w:tabs>
        <w:suppressAutoHyphens w:val="0"/>
        <w:overflowPunct/>
        <w:autoSpaceDE/>
        <w:autoSpaceDN/>
        <w:adjustRightInd/>
        <w:ind w:left="851" w:hanging="851"/>
        <w:jc w:val="left"/>
        <w:textAlignment w:val="auto"/>
        <w:rPr>
          <w:b/>
          <w:bCs/>
          <w:lang w:val="en-GB" w:eastAsia="ja-JP"/>
        </w:rPr>
      </w:pPr>
      <w:r w:rsidRPr="004E4188">
        <w:rPr>
          <w:b/>
          <w:lang w:val="en-GB" w:eastAsia="en-US"/>
        </w:rPr>
        <w:t>Autre(s) critère(s) d’évaluatio</w:t>
      </w:r>
      <w:r w:rsidRPr="004E4188">
        <w:rPr>
          <w:b/>
          <w:bCs/>
          <w:lang w:val="en-GB" w:eastAsia="ja-JP"/>
        </w:rPr>
        <w:t>n</w:t>
      </w:r>
    </w:p>
    <w:p w14:paraId="6D0D4B94" w14:textId="77777777" w:rsidR="006F129D" w:rsidRPr="004E4188" w:rsidRDefault="006F129D" w:rsidP="00124663">
      <w:pPr>
        <w:widowControl w:val="0"/>
        <w:suppressAutoHyphens w:val="0"/>
        <w:overflowPunct/>
        <w:autoSpaceDE/>
        <w:autoSpaceDN/>
        <w:adjustRightInd/>
        <w:spacing w:line="0" w:lineRule="atLeast"/>
        <w:ind w:left="850"/>
        <w:jc w:val="left"/>
        <w:textAlignment w:val="auto"/>
        <w:rPr>
          <w:lang w:eastAsia="en-US"/>
        </w:rPr>
      </w:pPr>
      <w:r w:rsidRPr="004E4188">
        <w:rPr>
          <w:lang w:eastAsia="en-US"/>
        </w:rPr>
        <w:t>[</w:t>
      </w:r>
      <w:r w:rsidRPr="004E4188">
        <w:rPr>
          <w:bCs/>
          <w:i/>
          <w:lang w:eastAsia="ja-JP"/>
        </w:rPr>
        <w:t>Le</w:t>
      </w:r>
      <w:r w:rsidRPr="004E4188">
        <w:rPr>
          <w:i/>
          <w:lang w:eastAsia="en-US"/>
        </w:rPr>
        <w:t xml:space="preserve"> cas échéant, indiquer un(des) autre(s) critère(s) d’évaluation. Sinon, indiquer « Sans objet ».</w:t>
      </w:r>
      <w:r w:rsidRPr="004E4188">
        <w:rPr>
          <w:lang w:eastAsia="en-US"/>
        </w:rPr>
        <w:t>]</w:t>
      </w:r>
    </w:p>
    <w:p w14:paraId="321956F1" w14:textId="65423265" w:rsidR="006F129D" w:rsidRPr="004E4188" w:rsidRDefault="006F129D" w:rsidP="00D45EAD">
      <w:pPr>
        <w:widowControl w:val="0"/>
        <w:suppressAutoHyphens w:val="0"/>
        <w:overflowPunct/>
        <w:autoSpaceDE/>
        <w:autoSpaceDN/>
        <w:adjustRightInd/>
        <w:spacing w:line="0" w:lineRule="atLeast"/>
        <w:ind w:left="851"/>
        <w:jc w:val="left"/>
        <w:textAlignment w:val="auto"/>
        <w:rPr>
          <w:lang w:val="en-GB" w:eastAsia="en-US"/>
        </w:rPr>
      </w:pPr>
      <w:r w:rsidRPr="004E4188">
        <w:rPr>
          <w:lang w:val="en-GB" w:eastAsia="en-US"/>
        </w:rPr>
        <w:t>………………………………………………………………………………………...…</w:t>
      </w:r>
      <w:r w:rsidR="00ED2CD6" w:rsidRPr="004E4188">
        <w:rPr>
          <w:lang w:val="en-GB" w:eastAsia="en-US"/>
        </w:rPr>
        <w:t>………………………………………………………………………………………...…</w:t>
      </w:r>
    </w:p>
    <w:p w14:paraId="11291DDE" w14:textId="77777777" w:rsidR="006F129D" w:rsidRPr="004E4188" w:rsidRDefault="006F129D" w:rsidP="00D45EAD">
      <w:pPr>
        <w:widowControl w:val="0"/>
        <w:suppressAutoHyphens w:val="0"/>
        <w:overflowPunct/>
        <w:autoSpaceDE/>
        <w:autoSpaceDN/>
        <w:adjustRightInd/>
        <w:spacing w:line="0" w:lineRule="atLeast"/>
        <w:jc w:val="left"/>
        <w:textAlignment w:val="auto"/>
        <w:rPr>
          <w:lang w:val="en-GB" w:eastAsia="en-US"/>
        </w:rPr>
      </w:pPr>
    </w:p>
    <w:p w14:paraId="716B779B" w14:textId="77777777" w:rsidR="006F129D" w:rsidRPr="004E4188" w:rsidRDefault="006F129D" w:rsidP="003D46CF">
      <w:pPr>
        <w:numPr>
          <w:ilvl w:val="1"/>
          <w:numId w:val="29"/>
        </w:numPr>
        <w:tabs>
          <w:tab w:val="clear" w:pos="420"/>
        </w:tabs>
        <w:suppressAutoHyphens w:val="0"/>
        <w:overflowPunct/>
        <w:autoSpaceDE/>
        <w:autoSpaceDN/>
        <w:adjustRightInd/>
        <w:ind w:left="851" w:hanging="851"/>
        <w:jc w:val="left"/>
        <w:textAlignment w:val="auto"/>
        <w:rPr>
          <w:b/>
          <w:sz w:val="28"/>
          <w:szCs w:val="28"/>
          <w:lang w:eastAsia="ja-JP"/>
        </w:rPr>
      </w:pPr>
      <w:r w:rsidRPr="004E4188">
        <w:rPr>
          <w:b/>
          <w:sz w:val="28"/>
          <w:szCs w:val="28"/>
        </w:rPr>
        <w:t>Évaluation des Offres Financières</w:t>
      </w:r>
    </w:p>
    <w:p w14:paraId="42D86AB9" w14:textId="6AA4602A" w:rsidR="006F129D" w:rsidRPr="004E4188" w:rsidRDefault="006F129D" w:rsidP="00D45EAD">
      <w:pPr>
        <w:suppressAutoHyphens w:val="0"/>
        <w:overflowPunct/>
        <w:autoSpaceDE/>
        <w:autoSpaceDN/>
        <w:adjustRightInd/>
        <w:ind w:left="851"/>
        <w:textAlignment w:val="auto"/>
        <w:rPr>
          <w:lang w:eastAsia="ja-JP"/>
        </w:rPr>
      </w:pPr>
      <w:r w:rsidRPr="004E4188">
        <w:rPr>
          <w:lang w:eastAsia="en-US"/>
        </w:rPr>
        <w:t>Outre les critères indiqués à IS 35.1(a) à (c), (e) et (f)</w:t>
      </w:r>
      <w:r w:rsidR="00803AE1" w:rsidRPr="004E4188">
        <w:rPr>
          <w:lang w:eastAsia="en-US"/>
        </w:rPr>
        <w:t>,</w:t>
      </w:r>
      <w:r w:rsidRPr="004E4188">
        <w:rPr>
          <w:lang w:eastAsia="en-US"/>
        </w:rPr>
        <w:t xml:space="preserve"> les éléments suivants seront évalués.</w:t>
      </w:r>
    </w:p>
    <w:p w14:paraId="038306F7" w14:textId="77777777" w:rsidR="006F129D" w:rsidRPr="004E4188" w:rsidRDefault="006F129D" w:rsidP="00D45EAD">
      <w:pPr>
        <w:suppressAutoHyphens w:val="0"/>
        <w:overflowPunct/>
        <w:autoSpaceDE/>
        <w:autoSpaceDN/>
        <w:adjustRightInd/>
        <w:contextualSpacing/>
        <w:jc w:val="left"/>
        <w:textAlignment w:val="auto"/>
        <w:rPr>
          <w:i/>
          <w:szCs w:val="24"/>
          <w:lang w:eastAsia="ja-JP"/>
        </w:rPr>
      </w:pPr>
    </w:p>
    <w:p w14:paraId="54AED758" w14:textId="77777777" w:rsidR="006F129D" w:rsidRPr="004E4188" w:rsidRDefault="006F129D" w:rsidP="003D46CF">
      <w:pPr>
        <w:pStyle w:val="ac"/>
        <w:numPr>
          <w:ilvl w:val="2"/>
          <w:numId w:val="31"/>
        </w:numPr>
        <w:tabs>
          <w:tab w:val="clear" w:pos="1260"/>
          <w:tab w:val="num" w:pos="2705"/>
        </w:tabs>
        <w:suppressAutoHyphens w:val="0"/>
        <w:overflowPunct/>
        <w:autoSpaceDE/>
        <w:autoSpaceDN/>
        <w:adjustRightInd/>
        <w:ind w:left="851" w:hanging="851"/>
        <w:jc w:val="both"/>
        <w:textAlignment w:val="auto"/>
        <w:rPr>
          <w:b/>
          <w:szCs w:val="24"/>
          <w:lang w:val="en-GB" w:eastAsia="en-US"/>
        </w:rPr>
      </w:pPr>
      <w:r w:rsidRPr="004E4188">
        <w:rPr>
          <w:b/>
          <w:sz w:val="24"/>
          <w:szCs w:val="24"/>
          <w:lang w:val="en-US" w:eastAsia="en-US"/>
        </w:rPr>
        <w:t>Autre(s) critère(s) d’évaluation (IS 35.1(d)</w:t>
      </w:r>
      <w:r w:rsidRPr="004E4188">
        <w:rPr>
          <w:b/>
          <w:sz w:val="24"/>
          <w:szCs w:val="24"/>
          <w:lang w:val="en-GB" w:eastAsia="en-US"/>
        </w:rPr>
        <w:t>)</w:t>
      </w:r>
    </w:p>
    <w:p w14:paraId="4D071EB7" w14:textId="38703550" w:rsidR="006F129D" w:rsidRPr="004E4188" w:rsidRDefault="006F129D" w:rsidP="00D928E4">
      <w:pPr>
        <w:suppressAutoHyphens w:val="0"/>
        <w:overflowPunct/>
        <w:autoSpaceDE/>
        <w:autoSpaceDN/>
        <w:adjustRightInd/>
        <w:ind w:left="850"/>
        <w:textAlignment w:val="auto"/>
        <w:rPr>
          <w:bCs/>
          <w:iCs/>
          <w:lang w:eastAsia="en-US"/>
        </w:rPr>
      </w:pPr>
      <w:r w:rsidRPr="004E4188">
        <w:rPr>
          <w:bCs/>
          <w:iCs/>
          <w:lang w:eastAsia="en-US"/>
        </w:rPr>
        <w:t>L</w:t>
      </w:r>
      <w:r w:rsidRPr="004E4188">
        <w:rPr>
          <w:lang w:eastAsia="en-US"/>
        </w:rPr>
        <w:t>es facteurs et méthodologies d’évaluation suivants seront utilisés, conformément à</w:t>
      </w:r>
      <w:r w:rsidRPr="004E4188">
        <w:rPr>
          <w:bCs/>
          <w:iCs/>
          <w:lang w:eastAsia="ja-JP"/>
        </w:rPr>
        <w:t xml:space="preserve"> </w:t>
      </w:r>
      <w:r w:rsidR="00124663" w:rsidRPr="004E4188">
        <w:rPr>
          <w:bCs/>
          <w:iCs/>
          <w:lang w:eastAsia="ja-JP"/>
        </w:rPr>
        <w:t>IS</w:t>
      </w:r>
      <w:r w:rsidR="00124663" w:rsidRPr="004E4188">
        <w:t> </w:t>
      </w:r>
      <w:r w:rsidRPr="004E4188">
        <w:rPr>
          <w:bCs/>
          <w:iCs/>
          <w:lang w:eastAsia="ja-JP"/>
        </w:rPr>
        <w:t>35.1(d)</w:t>
      </w:r>
      <w:r w:rsidR="00065514" w:rsidRPr="004E4188">
        <w:rPr>
          <w:bCs/>
          <w:iCs/>
          <w:lang w:eastAsia="ja-JP"/>
        </w:rPr>
        <w:t xml:space="preserve"> </w:t>
      </w:r>
      <w:r w:rsidRPr="004E4188">
        <w:rPr>
          <w:bCs/>
          <w:iCs/>
          <w:lang w:eastAsia="en-US"/>
        </w:rPr>
        <w:t>:</w:t>
      </w:r>
    </w:p>
    <w:p w14:paraId="103A1EB5" w14:textId="77777777" w:rsidR="006F129D" w:rsidRPr="004E4188" w:rsidRDefault="006F129D" w:rsidP="00D45EAD">
      <w:pPr>
        <w:suppressAutoHyphens w:val="0"/>
        <w:overflowPunct/>
        <w:autoSpaceDE/>
        <w:autoSpaceDN/>
        <w:adjustRightInd/>
        <w:ind w:left="708"/>
        <w:jc w:val="left"/>
        <w:textAlignment w:val="auto"/>
        <w:rPr>
          <w:szCs w:val="24"/>
          <w:lang w:eastAsia="ja-JP"/>
        </w:rPr>
      </w:pPr>
    </w:p>
    <w:p w14:paraId="4DF835B8" w14:textId="7C44A407" w:rsidR="006F129D" w:rsidRPr="004E4188" w:rsidRDefault="006F129D" w:rsidP="00124663">
      <w:pPr>
        <w:pStyle w:val="ac"/>
        <w:suppressAutoHyphens w:val="0"/>
        <w:overflowPunct/>
        <w:autoSpaceDE/>
        <w:autoSpaceDN/>
        <w:adjustRightInd/>
        <w:ind w:left="851"/>
        <w:textAlignment w:val="auto"/>
        <w:rPr>
          <w:sz w:val="24"/>
          <w:szCs w:val="24"/>
        </w:rPr>
      </w:pPr>
      <w:r w:rsidRPr="004E4188">
        <w:rPr>
          <w:b/>
          <w:sz w:val="24"/>
          <w:szCs w:val="24"/>
          <w:lang w:eastAsia="en-US"/>
        </w:rPr>
        <w:t>(</w:t>
      </w:r>
      <w:r w:rsidRPr="004E4188">
        <w:rPr>
          <w:b/>
          <w:sz w:val="24"/>
          <w:szCs w:val="24"/>
          <w:lang w:eastAsia="ja-JP"/>
        </w:rPr>
        <w:t>a)</w:t>
      </w:r>
      <w:r w:rsidRPr="004E4188">
        <w:rPr>
          <w:b/>
          <w:sz w:val="24"/>
          <w:szCs w:val="24"/>
          <w:lang w:eastAsia="ja-JP"/>
        </w:rPr>
        <w:tab/>
      </w:r>
      <w:r w:rsidRPr="004E4188">
        <w:rPr>
          <w:b/>
          <w:sz w:val="24"/>
          <w:szCs w:val="24"/>
        </w:rPr>
        <w:t>Coûts d’exploitation et de maintenance</w:t>
      </w:r>
    </w:p>
    <w:p w14:paraId="4631A777" w14:textId="77777777" w:rsidR="006F129D" w:rsidRPr="004E4188" w:rsidRDefault="006F129D" w:rsidP="00DF2484">
      <w:pPr>
        <w:widowControl w:val="0"/>
        <w:suppressAutoHyphens w:val="0"/>
        <w:overflowPunct/>
        <w:autoSpaceDE/>
        <w:autoSpaceDN/>
        <w:adjustRightInd/>
        <w:spacing w:line="0" w:lineRule="atLeast"/>
        <w:ind w:left="1440"/>
        <w:textAlignment w:val="auto"/>
        <w:rPr>
          <w:lang w:eastAsia="en-US"/>
        </w:rPr>
      </w:pPr>
      <w:r w:rsidRPr="004E4188">
        <w:rPr>
          <w:lang w:eastAsia="en-US"/>
        </w:rPr>
        <w:t>[</w:t>
      </w:r>
      <w:r w:rsidRPr="004E4188">
        <w:rPr>
          <w:rFonts w:eastAsiaTheme="minorEastAsia"/>
          <w:i/>
          <w:kern w:val="2"/>
          <w:szCs w:val="24"/>
          <w:lang w:eastAsia="ja-JP"/>
        </w:rPr>
        <w:t>Si les coûts d’exploitation et de maintenance sont pris en considération lors de l’évaluation, insérer ce qui suit. Sinon, supprimer les dispositions ci-dessous et indiquer à la place « Sans objet ».</w:t>
      </w:r>
      <w:r w:rsidRPr="004E4188">
        <w:rPr>
          <w:lang w:eastAsia="en-US"/>
        </w:rPr>
        <w:t>]</w:t>
      </w:r>
    </w:p>
    <w:p w14:paraId="79F24EFA" w14:textId="77777777" w:rsidR="006F129D" w:rsidRPr="004E4188" w:rsidRDefault="006F129D" w:rsidP="00D45EAD">
      <w:pPr>
        <w:widowControl w:val="0"/>
        <w:suppressAutoHyphens w:val="0"/>
        <w:overflowPunct/>
        <w:autoSpaceDE/>
        <w:autoSpaceDN/>
        <w:adjustRightInd/>
        <w:spacing w:line="0" w:lineRule="atLeast"/>
        <w:ind w:left="1440"/>
        <w:jc w:val="left"/>
        <w:textAlignment w:val="auto"/>
        <w:rPr>
          <w:lang w:eastAsia="en-US"/>
        </w:rPr>
      </w:pPr>
    </w:p>
    <w:p w14:paraId="5FCCC959" w14:textId="28ECFC90" w:rsidR="006F129D" w:rsidRPr="004E4188" w:rsidRDefault="006F129D" w:rsidP="009C3E53">
      <w:pPr>
        <w:suppressAutoHyphens w:val="0"/>
        <w:overflowPunct/>
        <w:autoSpaceDE/>
        <w:autoSpaceDN/>
        <w:adjustRightInd/>
        <w:spacing w:after="200"/>
        <w:ind w:left="1440"/>
        <w:textAlignment w:val="auto"/>
        <w:rPr>
          <w:lang w:eastAsia="en-US"/>
        </w:rPr>
      </w:pPr>
      <w:r w:rsidRPr="004E4188">
        <w:rPr>
          <w:lang w:eastAsia="en-US"/>
        </w:rPr>
        <w:t>Puisque les coûts d’exploitation et de maintenance des Installations faisant l’objet du Marché représentent une part importante du coût du cycle de vie des Installations, ces coûts seront évalués selon les principes donnés ci-après, en incluant le coût des pièces de rechange pendant la période de fonctionnement initiale précisée ci-après, et en prenant en compte les prix fournis par chaque Soumissionnaire dans les Bordereaux des prix, ainsi que l’expérience passée du Maître d’ouvrage ou d’autres maîtres d’ouvrage ayant l’expérience de projets similaires. Ces coûts seront ajoutés au Montant de l’offre pour l’évaluation.</w:t>
      </w:r>
    </w:p>
    <w:p w14:paraId="3B046FAF" w14:textId="649CF60F" w:rsidR="006F129D" w:rsidRPr="004E4188" w:rsidRDefault="006F129D" w:rsidP="00D45EAD">
      <w:pPr>
        <w:tabs>
          <w:tab w:val="left" w:pos="1560"/>
        </w:tabs>
        <w:suppressAutoHyphens w:val="0"/>
        <w:overflowPunct/>
        <w:autoSpaceDE/>
        <w:autoSpaceDN/>
        <w:adjustRightInd/>
        <w:spacing w:after="200"/>
        <w:ind w:leftChars="590" w:left="1416" w:firstLineChars="13" w:firstLine="31"/>
        <w:textAlignment w:val="auto"/>
        <w:rPr>
          <w:szCs w:val="24"/>
        </w:rPr>
      </w:pPr>
      <w:r w:rsidRPr="004E4188">
        <w:rPr>
          <w:szCs w:val="24"/>
        </w:rPr>
        <w:t>Les</w:t>
      </w:r>
      <w:r w:rsidRPr="004E4188">
        <w:rPr>
          <w:szCs w:val="24"/>
          <w:lang w:eastAsia="ja-JP"/>
        </w:rPr>
        <w:t xml:space="preserve"> </w:t>
      </w:r>
      <w:r w:rsidRPr="004E4188">
        <w:rPr>
          <w:lang w:eastAsia="en-US"/>
        </w:rPr>
        <w:t>facteurs</w:t>
      </w:r>
      <w:r w:rsidRPr="004E4188">
        <w:rPr>
          <w:szCs w:val="24"/>
        </w:rPr>
        <w:t xml:space="preserve"> liés aux coûts d’exploitation et de maintenance utilisés pour le calcul des coûts du cycle de vie sont :</w:t>
      </w:r>
    </w:p>
    <w:p w14:paraId="343D6690" w14:textId="77777777" w:rsidR="006F129D" w:rsidRPr="004E4188" w:rsidRDefault="006F129D" w:rsidP="00D45EAD">
      <w:pPr>
        <w:suppressAutoHyphens w:val="0"/>
        <w:overflowPunct/>
        <w:autoSpaceDE/>
        <w:autoSpaceDN/>
        <w:adjustRightInd/>
        <w:spacing w:after="200"/>
        <w:ind w:left="1881" w:hanging="434"/>
        <w:textAlignment w:val="auto"/>
        <w:rPr>
          <w:szCs w:val="24"/>
        </w:rPr>
      </w:pPr>
      <w:r w:rsidRPr="004E4188">
        <w:rPr>
          <w:szCs w:val="24"/>
        </w:rPr>
        <w:t>(i)</w:t>
      </w:r>
      <w:r w:rsidRPr="004E4188">
        <w:rPr>
          <w:szCs w:val="24"/>
        </w:rPr>
        <w:tab/>
        <w:t>la durée du cycle de vie [</w:t>
      </w:r>
      <w:r w:rsidRPr="004E4188">
        <w:rPr>
          <w:i/>
          <w:szCs w:val="24"/>
        </w:rPr>
        <w:t>Indiquer la durée du cycle de vie en années. Cette durée ne devra pas excéder la période comprise entre la mise en service et une remise en état importante des Installations.</w:t>
      </w:r>
      <w:r w:rsidRPr="004E4188">
        <w:rPr>
          <w:szCs w:val="24"/>
        </w:rPr>
        <w:t>] ;</w:t>
      </w:r>
    </w:p>
    <w:p w14:paraId="329481EC" w14:textId="77777777" w:rsidR="006F129D" w:rsidRPr="004E4188" w:rsidRDefault="006F129D" w:rsidP="00D45EAD">
      <w:pPr>
        <w:suppressAutoHyphens w:val="0"/>
        <w:overflowPunct/>
        <w:autoSpaceDE/>
        <w:autoSpaceDN/>
        <w:adjustRightInd/>
        <w:spacing w:after="200"/>
        <w:ind w:left="1881" w:hanging="434"/>
        <w:textAlignment w:val="auto"/>
        <w:rPr>
          <w:szCs w:val="24"/>
        </w:rPr>
      </w:pPr>
      <w:r w:rsidRPr="004E4188">
        <w:rPr>
          <w:szCs w:val="24"/>
        </w:rPr>
        <w:t>(ii)</w:t>
      </w:r>
      <w:r w:rsidRPr="004E4188">
        <w:rPr>
          <w:szCs w:val="24"/>
        </w:rPr>
        <w:tab/>
        <w:t>les coûts d’exploitation [</w:t>
      </w:r>
      <w:r w:rsidRPr="004E4188">
        <w:rPr>
          <w:i/>
          <w:szCs w:val="24"/>
        </w:rPr>
        <w:t>Indiquer le combustible et/ou d’autres intrants, le coût unitaire dans les conditions d’exploitation annuelles et globales.</w:t>
      </w:r>
      <w:r w:rsidRPr="004E4188">
        <w:rPr>
          <w:szCs w:val="24"/>
        </w:rPr>
        <w:t>] ;</w:t>
      </w:r>
    </w:p>
    <w:p w14:paraId="06490BE3" w14:textId="7B5A9BF6" w:rsidR="006F129D" w:rsidRPr="004E4188" w:rsidRDefault="006F129D" w:rsidP="00D45EAD">
      <w:pPr>
        <w:suppressAutoHyphens w:val="0"/>
        <w:overflowPunct/>
        <w:autoSpaceDE/>
        <w:autoSpaceDN/>
        <w:adjustRightInd/>
        <w:spacing w:after="200"/>
        <w:ind w:left="1881" w:hanging="434"/>
        <w:textAlignment w:val="auto"/>
        <w:rPr>
          <w:szCs w:val="24"/>
        </w:rPr>
      </w:pPr>
      <w:r w:rsidRPr="004E4188">
        <w:rPr>
          <w:szCs w:val="24"/>
        </w:rPr>
        <w:t>(iii)</w:t>
      </w:r>
      <w:r w:rsidRPr="004E4188">
        <w:rPr>
          <w:szCs w:val="24"/>
        </w:rPr>
        <w:tab/>
        <w:t>les coûts de la maintenance, y compris le coût des pièces de rechange pendant la période initiale d’exploitation ; et</w:t>
      </w:r>
    </w:p>
    <w:p w14:paraId="3B59AC14" w14:textId="65184140" w:rsidR="006F129D" w:rsidRPr="004E4188" w:rsidRDefault="006F129D" w:rsidP="00D45EAD">
      <w:pPr>
        <w:suppressAutoHyphens w:val="0"/>
        <w:overflowPunct/>
        <w:autoSpaceDE/>
        <w:autoSpaceDN/>
        <w:adjustRightInd/>
        <w:spacing w:after="200"/>
        <w:ind w:left="1881" w:hanging="434"/>
        <w:textAlignment w:val="auto"/>
      </w:pPr>
      <w:r w:rsidRPr="004E4188">
        <w:rPr>
          <w:szCs w:val="24"/>
        </w:rPr>
        <w:t>(iv)</w:t>
      </w:r>
      <w:r w:rsidRPr="004E4188">
        <w:rPr>
          <w:szCs w:val="24"/>
        </w:rPr>
        <w:tab/>
        <w:t xml:space="preserve">un taux de </w:t>
      </w:r>
      <w:r w:rsidRPr="004E4188">
        <w:t>[</w:t>
      </w:r>
      <w:r w:rsidRPr="004E4188">
        <w:rPr>
          <w:i/>
        </w:rPr>
        <w:t>indiquer le taux en lettres et en chiffres</w:t>
      </w:r>
      <w:r w:rsidRPr="004E4188">
        <w:t>] pour</w:t>
      </w:r>
      <w:r w:rsidR="008567F7" w:rsidRPr="004E4188">
        <w:t xml:space="preserve"> </w:t>
      </w:r>
      <w:r w:rsidRPr="004E4188">
        <w:t>cent (%)</w:t>
      </w:r>
      <w:r w:rsidRPr="004E4188">
        <w:rPr>
          <w:szCs w:val="24"/>
        </w:rPr>
        <w:t>, utilisé pour calculer la valeur actuelle de tous les coûts annuels futurs imputables à (ii) et (iii) pour la durée précisée en (i).</w:t>
      </w:r>
    </w:p>
    <w:p w14:paraId="38A568AF" w14:textId="3C9C1739" w:rsidR="006F129D" w:rsidRPr="004E4188" w:rsidRDefault="006F129D" w:rsidP="00124663">
      <w:pPr>
        <w:pStyle w:val="ac"/>
        <w:suppressAutoHyphens w:val="0"/>
        <w:overflowPunct/>
        <w:autoSpaceDE/>
        <w:autoSpaceDN/>
        <w:adjustRightInd/>
        <w:ind w:left="1418" w:hanging="567"/>
        <w:textAlignment w:val="auto"/>
        <w:rPr>
          <w:sz w:val="24"/>
          <w:szCs w:val="24"/>
        </w:rPr>
      </w:pPr>
      <w:r w:rsidRPr="004E4188">
        <w:rPr>
          <w:b/>
          <w:sz w:val="24"/>
          <w:szCs w:val="24"/>
          <w:lang w:eastAsia="ja-JP"/>
        </w:rPr>
        <w:t>(b)</w:t>
      </w:r>
      <w:r w:rsidRPr="004E4188">
        <w:rPr>
          <w:b/>
          <w:sz w:val="24"/>
          <w:szCs w:val="24"/>
          <w:lang w:eastAsia="ja-JP"/>
        </w:rPr>
        <w:tab/>
      </w:r>
      <w:r w:rsidRPr="004E4188">
        <w:rPr>
          <w:b/>
          <w:sz w:val="24"/>
          <w:szCs w:val="24"/>
        </w:rPr>
        <w:t>Garanties opérationnelles des Équipements et Services de montage</w:t>
      </w:r>
    </w:p>
    <w:p w14:paraId="3CADDF63" w14:textId="77777777" w:rsidR="006F129D" w:rsidRPr="004E4188" w:rsidRDefault="006F129D" w:rsidP="00D45EAD">
      <w:pPr>
        <w:tabs>
          <w:tab w:val="right" w:pos="7254"/>
        </w:tabs>
        <w:suppressAutoHyphens w:val="0"/>
        <w:overflowPunct/>
        <w:autoSpaceDE/>
        <w:autoSpaceDN/>
        <w:adjustRightInd/>
        <w:spacing w:after="200"/>
        <w:ind w:left="1440"/>
        <w:textAlignment w:val="auto"/>
        <w:rPr>
          <w:lang w:eastAsia="en-US"/>
        </w:rPr>
      </w:pPr>
      <w:r w:rsidRPr="004E4188">
        <w:rPr>
          <w:szCs w:val="24"/>
          <w:lang w:eastAsia="en-US"/>
        </w:rPr>
        <w:t>Les normes (niveaux à garantir) et niveaux minimaux ou maximaux acceptables</w:t>
      </w:r>
      <w:r w:rsidRPr="004E4188">
        <w:rPr>
          <w:rFonts w:hint="eastAsia"/>
          <w:szCs w:val="24"/>
          <w:lang w:eastAsia="ja-JP"/>
        </w:rPr>
        <w:t xml:space="preserve"> </w:t>
      </w:r>
      <w:r w:rsidRPr="004E4188">
        <w:rPr>
          <w:szCs w:val="24"/>
          <w:lang w:eastAsia="en-US"/>
        </w:rPr>
        <w:t>des garanties opérationnelles spécifiés dans les Exigences du Maître d’ouvrage sont </w:t>
      </w:r>
      <w:r w:rsidRPr="004E4188">
        <w:rPr>
          <w:lang w:eastAsia="en-US"/>
        </w:rPr>
        <w:t xml:space="preserve">: </w:t>
      </w:r>
    </w:p>
    <w:p w14:paraId="755F9C53" w14:textId="4B33B31C" w:rsidR="006F129D" w:rsidRPr="004E4188" w:rsidRDefault="006F129D" w:rsidP="00D45EAD">
      <w:pPr>
        <w:tabs>
          <w:tab w:val="right" w:pos="7254"/>
        </w:tabs>
        <w:suppressAutoHyphens w:val="0"/>
        <w:overflowPunct/>
        <w:autoSpaceDE/>
        <w:autoSpaceDN/>
        <w:adjustRightInd/>
        <w:spacing w:after="200"/>
        <w:ind w:left="1440"/>
        <w:textAlignment w:val="auto"/>
      </w:pPr>
      <w:r w:rsidRPr="004E4188">
        <w:rPr>
          <w:lang w:eastAsia="en-US"/>
        </w:rPr>
        <w:t>[</w:t>
      </w:r>
      <w:r w:rsidRPr="004E4188">
        <w:rPr>
          <w:i/>
          <w:szCs w:val="24"/>
          <w:lang w:eastAsia="en-US"/>
        </w:rPr>
        <w:t>Indiquer les critères spécifiés dans les Exigences du Maître d’ouvrage.</w:t>
      </w:r>
      <w:r w:rsidRPr="004E4188">
        <w:rPr>
          <w:lang w:eastAsia="en-US"/>
        </w:rPr>
        <w:t>]</w:t>
      </w:r>
    </w:p>
    <w:tbl>
      <w:tblPr>
        <w:tblW w:w="7186" w:type="dxa"/>
        <w:tblInd w:w="1446" w:type="dxa"/>
        <w:tblLook w:val="01E0" w:firstRow="1" w:lastRow="1" w:firstColumn="1" w:lastColumn="1" w:noHBand="0" w:noVBand="0"/>
      </w:tblPr>
      <w:tblGrid>
        <w:gridCol w:w="2083"/>
        <w:gridCol w:w="2410"/>
        <w:gridCol w:w="2693"/>
      </w:tblGrid>
      <w:tr w:rsidR="006F129D" w:rsidRPr="004E4188" w14:paraId="0F1E6C9D" w14:textId="77777777" w:rsidTr="00823D97">
        <w:tc>
          <w:tcPr>
            <w:tcW w:w="2083" w:type="dxa"/>
            <w:vMerge w:val="restart"/>
            <w:tcBorders>
              <w:top w:val="single" w:sz="12" w:space="0" w:color="auto"/>
              <w:left w:val="single" w:sz="12" w:space="0" w:color="auto"/>
              <w:bottom w:val="single" w:sz="12" w:space="0" w:color="auto"/>
              <w:right w:val="single" w:sz="12" w:space="0" w:color="auto"/>
            </w:tcBorders>
            <w:shd w:val="clear" w:color="auto" w:fill="F3F3F3"/>
            <w:vAlign w:val="center"/>
          </w:tcPr>
          <w:p w14:paraId="6FFD014E" w14:textId="77777777" w:rsidR="006F129D" w:rsidRPr="004E4188" w:rsidRDefault="006F129D" w:rsidP="00D45EAD">
            <w:pPr>
              <w:spacing w:before="120" w:after="240"/>
              <w:jc w:val="center"/>
              <w:rPr>
                <w:b/>
                <w:szCs w:val="24"/>
              </w:rPr>
            </w:pPr>
            <w:r w:rsidRPr="004E4188">
              <w:rPr>
                <w:b/>
                <w:szCs w:val="24"/>
              </w:rPr>
              <w:t>Garantie</w:t>
            </w:r>
            <w:r w:rsidRPr="004E4188">
              <w:rPr>
                <w:b/>
                <w:i/>
                <w:szCs w:val="24"/>
              </w:rPr>
              <w:t xml:space="preserve"> </w:t>
            </w:r>
            <w:r w:rsidRPr="004E4188">
              <w:rPr>
                <w:b/>
                <w:szCs w:val="24"/>
              </w:rPr>
              <w:t>opérationnelle</w:t>
            </w:r>
          </w:p>
        </w:tc>
        <w:tc>
          <w:tcPr>
            <w:tcW w:w="5103" w:type="dxa"/>
            <w:gridSpan w:val="2"/>
            <w:tcBorders>
              <w:top w:val="single" w:sz="12" w:space="0" w:color="auto"/>
              <w:left w:val="single" w:sz="12" w:space="0" w:color="auto"/>
              <w:bottom w:val="single" w:sz="12" w:space="0" w:color="auto"/>
              <w:right w:val="single" w:sz="12" w:space="0" w:color="auto"/>
            </w:tcBorders>
            <w:shd w:val="clear" w:color="auto" w:fill="F3F3F3"/>
          </w:tcPr>
          <w:p w14:paraId="5827EF91" w14:textId="77777777" w:rsidR="006F129D" w:rsidRPr="004E4188" w:rsidRDefault="006F129D" w:rsidP="00112689">
            <w:pPr>
              <w:spacing w:before="60" w:after="60"/>
              <w:jc w:val="center"/>
              <w:rPr>
                <w:b/>
                <w:szCs w:val="24"/>
              </w:rPr>
            </w:pPr>
            <w:r w:rsidRPr="004E4188">
              <w:rPr>
                <w:b/>
                <w:szCs w:val="24"/>
              </w:rPr>
              <w:t>Critère</w:t>
            </w:r>
          </w:p>
        </w:tc>
      </w:tr>
      <w:tr w:rsidR="006F129D" w:rsidRPr="004E4188" w14:paraId="4B687FD8" w14:textId="77777777" w:rsidTr="00823D97">
        <w:tc>
          <w:tcPr>
            <w:tcW w:w="2083" w:type="dxa"/>
            <w:vMerge/>
            <w:tcBorders>
              <w:top w:val="single" w:sz="4" w:space="0" w:color="auto"/>
              <w:left w:val="single" w:sz="12" w:space="0" w:color="auto"/>
              <w:bottom w:val="single" w:sz="12" w:space="0" w:color="auto"/>
              <w:right w:val="single" w:sz="12" w:space="0" w:color="auto"/>
            </w:tcBorders>
            <w:shd w:val="clear" w:color="auto" w:fill="F3F3F3"/>
            <w:vAlign w:val="center"/>
          </w:tcPr>
          <w:p w14:paraId="1D397BD5" w14:textId="77777777" w:rsidR="006F129D" w:rsidRPr="004E4188" w:rsidRDefault="006F129D" w:rsidP="00DC0647">
            <w:pPr>
              <w:spacing w:before="120" w:after="240"/>
              <w:jc w:val="center"/>
              <w:rPr>
                <w:b/>
                <w:szCs w:val="36"/>
              </w:rPr>
            </w:pPr>
          </w:p>
        </w:tc>
        <w:tc>
          <w:tcPr>
            <w:tcW w:w="2410" w:type="dxa"/>
            <w:tcBorders>
              <w:top w:val="single" w:sz="12" w:space="0" w:color="auto"/>
              <w:left w:val="single" w:sz="12" w:space="0" w:color="auto"/>
              <w:bottom w:val="single" w:sz="12" w:space="0" w:color="auto"/>
              <w:right w:val="single" w:sz="12" w:space="0" w:color="auto"/>
            </w:tcBorders>
            <w:shd w:val="clear" w:color="auto" w:fill="F3F3F3"/>
          </w:tcPr>
          <w:p w14:paraId="41506814" w14:textId="77777777" w:rsidR="006F129D" w:rsidRPr="004E4188" w:rsidRDefault="006F129D" w:rsidP="005731FD">
            <w:pPr>
              <w:tabs>
                <w:tab w:val="right" w:pos="7254"/>
              </w:tabs>
              <w:overflowPunct/>
              <w:autoSpaceDE/>
              <w:autoSpaceDN/>
              <w:adjustRightInd/>
              <w:spacing w:before="120"/>
              <w:ind w:firstLine="17"/>
              <w:jc w:val="center"/>
              <w:textAlignment w:val="auto"/>
              <w:rPr>
                <w:b/>
                <w:sz w:val="22"/>
                <w:szCs w:val="22"/>
                <w:lang w:val="en-GB" w:eastAsia="en-US"/>
              </w:rPr>
            </w:pPr>
            <w:r w:rsidRPr="004E4188">
              <w:rPr>
                <w:b/>
                <w:sz w:val="22"/>
                <w:szCs w:val="22"/>
                <w:lang w:val="en-GB" w:eastAsia="en-US"/>
              </w:rPr>
              <w:t>Norme</w:t>
            </w:r>
          </w:p>
          <w:p w14:paraId="44B5AEF7" w14:textId="77777777" w:rsidR="006F129D" w:rsidRPr="004E4188" w:rsidRDefault="006F129D" w:rsidP="00112689">
            <w:pPr>
              <w:spacing w:after="120"/>
              <w:jc w:val="center"/>
              <w:rPr>
                <w:b/>
                <w:sz w:val="22"/>
                <w:szCs w:val="22"/>
              </w:rPr>
            </w:pPr>
            <w:r w:rsidRPr="004E4188">
              <w:rPr>
                <w:b/>
                <w:sz w:val="22"/>
                <w:szCs w:val="22"/>
                <w:lang w:val="en-GB" w:eastAsia="en-US"/>
              </w:rPr>
              <w:t>(niveau à garantir)</w:t>
            </w:r>
          </w:p>
        </w:tc>
        <w:tc>
          <w:tcPr>
            <w:tcW w:w="2693" w:type="dxa"/>
            <w:tcBorders>
              <w:top w:val="single" w:sz="12" w:space="0" w:color="auto"/>
              <w:left w:val="single" w:sz="12" w:space="0" w:color="auto"/>
              <w:bottom w:val="single" w:sz="12" w:space="0" w:color="auto"/>
              <w:right w:val="single" w:sz="12" w:space="0" w:color="auto"/>
            </w:tcBorders>
            <w:shd w:val="clear" w:color="auto" w:fill="F3F3F3"/>
            <w:vAlign w:val="center"/>
          </w:tcPr>
          <w:p w14:paraId="0906228F" w14:textId="39ABA3F2" w:rsidR="006F129D" w:rsidRPr="004E4188" w:rsidRDefault="006F129D" w:rsidP="00112689">
            <w:pPr>
              <w:spacing w:before="120" w:after="120"/>
              <w:jc w:val="center"/>
              <w:rPr>
                <w:b/>
                <w:sz w:val="22"/>
                <w:szCs w:val="22"/>
              </w:rPr>
            </w:pPr>
            <w:r w:rsidRPr="004E4188">
              <w:rPr>
                <w:b/>
                <w:sz w:val="22"/>
                <w:szCs w:val="22"/>
              </w:rPr>
              <w:t>Niveau minimal ou maximal acceptable</w:t>
            </w:r>
            <w:r w:rsidRPr="004E4188" w:rsidDel="00773D45">
              <w:rPr>
                <w:b/>
                <w:sz w:val="22"/>
                <w:szCs w:val="22"/>
              </w:rPr>
              <w:t xml:space="preserve"> </w:t>
            </w:r>
          </w:p>
        </w:tc>
      </w:tr>
      <w:tr w:rsidR="006F129D" w:rsidRPr="004E4188" w14:paraId="1D7BA776" w14:textId="77777777" w:rsidTr="00823D97">
        <w:trPr>
          <w:trHeight w:val="329"/>
        </w:trPr>
        <w:tc>
          <w:tcPr>
            <w:tcW w:w="2083" w:type="dxa"/>
            <w:tcBorders>
              <w:top w:val="single" w:sz="12" w:space="0" w:color="auto"/>
              <w:left w:val="single" w:sz="4" w:space="0" w:color="auto"/>
              <w:bottom w:val="single" w:sz="4" w:space="0" w:color="auto"/>
              <w:right w:val="single" w:sz="4" w:space="0" w:color="auto"/>
            </w:tcBorders>
            <w:shd w:val="clear" w:color="auto" w:fill="auto"/>
            <w:vAlign w:val="center"/>
          </w:tcPr>
          <w:p w14:paraId="02FD6EA5" w14:textId="77777777" w:rsidR="006F129D" w:rsidRPr="004E4188" w:rsidRDefault="006F129D" w:rsidP="004B7123">
            <w:pPr>
              <w:rPr>
                <w:szCs w:val="36"/>
              </w:rPr>
            </w:pPr>
            <w:r w:rsidRPr="004E4188">
              <w:rPr>
                <w:szCs w:val="36"/>
              </w:rPr>
              <w:t>1.</w:t>
            </w:r>
          </w:p>
        </w:tc>
        <w:tc>
          <w:tcPr>
            <w:tcW w:w="2410" w:type="dxa"/>
            <w:tcBorders>
              <w:top w:val="single" w:sz="12" w:space="0" w:color="auto"/>
              <w:left w:val="single" w:sz="4" w:space="0" w:color="auto"/>
              <w:bottom w:val="single" w:sz="4" w:space="0" w:color="auto"/>
              <w:right w:val="single" w:sz="4" w:space="0" w:color="auto"/>
            </w:tcBorders>
          </w:tcPr>
          <w:p w14:paraId="4F8A5601" w14:textId="77777777" w:rsidR="006F129D" w:rsidRPr="004E4188" w:rsidRDefault="006F129D" w:rsidP="004B7123">
            <w:pPr>
              <w:rPr>
                <w:b/>
                <w:szCs w:val="36"/>
              </w:rPr>
            </w:pP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tcPr>
          <w:p w14:paraId="091248B3" w14:textId="77777777" w:rsidR="006F129D" w:rsidRPr="004E4188" w:rsidRDefault="006F129D" w:rsidP="004B7123">
            <w:pPr>
              <w:rPr>
                <w:b/>
                <w:szCs w:val="36"/>
              </w:rPr>
            </w:pPr>
          </w:p>
        </w:tc>
      </w:tr>
      <w:tr w:rsidR="006F129D" w:rsidRPr="004E4188" w14:paraId="2F149854" w14:textId="77777777" w:rsidTr="00823D97">
        <w:trPr>
          <w:trHeight w:val="345"/>
        </w:trPr>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14:paraId="2BD428B1" w14:textId="77777777" w:rsidR="006F129D" w:rsidRPr="004E4188" w:rsidRDefault="006F129D" w:rsidP="004B7123">
            <w:pPr>
              <w:rPr>
                <w:szCs w:val="36"/>
              </w:rPr>
            </w:pPr>
            <w:r w:rsidRPr="004E4188">
              <w:rPr>
                <w:szCs w:val="36"/>
              </w:rPr>
              <w:t>2.</w:t>
            </w:r>
          </w:p>
        </w:tc>
        <w:tc>
          <w:tcPr>
            <w:tcW w:w="2410" w:type="dxa"/>
            <w:tcBorders>
              <w:top w:val="single" w:sz="4" w:space="0" w:color="auto"/>
              <w:left w:val="single" w:sz="4" w:space="0" w:color="auto"/>
              <w:bottom w:val="single" w:sz="4" w:space="0" w:color="auto"/>
              <w:right w:val="single" w:sz="4" w:space="0" w:color="auto"/>
            </w:tcBorders>
          </w:tcPr>
          <w:p w14:paraId="0529EB71" w14:textId="77777777" w:rsidR="006F129D" w:rsidRPr="004E4188" w:rsidRDefault="006F129D" w:rsidP="004B7123">
            <w:pPr>
              <w:rPr>
                <w:b/>
                <w:szCs w:val="3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439F910" w14:textId="77777777" w:rsidR="006F129D" w:rsidRPr="004E4188" w:rsidRDefault="006F129D" w:rsidP="004B7123">
            <w:pPr>
              <w:rPr>
                <w:b/>
                <w:szCs w:val="36"/>
              </w:rPr>
            </w:pPr>
          </w:p>
        </w:tc>
      </w:tr>
      <w:tr w:rsidR="006F129D" w:rsidRPr="004E4188" w14:paraId="2BCCFA8F" w14:textId="77777777" w:rsidTr="00823D97">
        <w:trPr>
          <w:trHeight w:val="356"/>
        </w:trPr>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14:paraId="4424AD3A" w14:textId="77777777" w:rsidR="006F129D" w:rsidRPr="004E4188" w:rsidRDefault="006F129D" w:rsidP="004B7123">
            <w:pPr>
              <w:rPr>
                <w:szCs w:val="36"/>
              </w:rPr>
            </w:pPr>
            <w:r w:rsidRPr="004E4188">
              <w:rPr>
                <w:szCs w:val="36"/>
              </w:rPr>
              <w:t>3.</w:t>
            </w:r>
          </w:p>
        </w:tc>
        <w:tc>
          <w:tcPr>
            <w:tcW w:w="2410" w:type="dxa"/>
            <w:tcBorders>
              <w:top w:val="single" w:sz="4" w:space="0" w:color="auto"/>
              <w:left w:val="single" w:sz="4" w:space="0" w:color="auto"/>
              <w:bottom w:val="single" w:sz="4" w:space="0" w:color="auto"/>
              <w:right w:val="single" w:sz="4" w:space="0" w:color="auto"/>
            </w:tcBorders>
          </w:tcPr>
          <w:p w14:paraId="4E165453" w14:textId="77777777" w:rsidR="006F129D" w:rsidRPr="004E4188" w:rsidRDefault="006F129D" w:rsidP="004B7123">
            <w:pPr>
              <w:rPr>
                <w:b/>
                <w:szCs w:val="3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ADCE37" w14:textId="77777777" w:rsidR="006F129D" w:rsidRPr="004E4188" w:rsidRDefault="006F129D" w:rsidP="004B7123">
            <w:pPr>
              <w:rPr>
                <w:b/>
                <w:szCs w:val="36"/>
              </w:rPr>
            </w:pPr>
          </w:p>
        </w:tc>
      </w:tr>
      <w:tr w:rsidR="006F129D" w:rsidRPr="004E4188" w14:paraId="1063D9BF" w14:textId="77777777" w:rsidTr="00823D97">
        <w:trPr>
          <w:trHeight w:val="353"/>
        </w:trPr>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14:paraId="71B50CF9" w14:textId="77777777" w:rsidR="006F129D" w:rsidRPr="004E4188" w:rsidRDefault="006F129D" w:rsidP="004B7123">
            <w:pPr>
              <w:rPr>
                <w:szCs w:val="36"/>
                <w:lang w:eastAsia="ja-JP"/>
              </w:rPr>
            </w:pPr>
            <w:r w:rsidRPr="004E4188">
              <w:rPr>
                <w:szCs w:val="36"/>
                <w:lang w:eastAsia="ja-JP"/>
              </w:rPr>
              <w:t>…</w:t>
            </w:r>
          </w:p>
        </w:tc>
        <w:tc>
          <w:tcPr>
            <w:tcW w:w="2410" w:type="dxa"/>
            <w:tcBorders>
              <w:top w:val="single" w:sz="4" w:space="0" w:color="auto"/>
              <w:left w:val="single" w:sz="4" w:space="0" w:color="auto"/>
              <w:bottom w:val="single" w:sz="4" w:space="0" w:color="auto"/>
              <w:right w:val="single" w:sz="4" w:space="0" w:color="auto"/>
            </w:tcBorders>
          </w:tcPr>
          <w:p w14:paraId="49BFA22B" w14:textId="77777777" w:rsidR="006F129D" w:rsidRPr="004E4188" w:rsidRDefault="006F129D" w:rsidP="004B7123">
            <w:pPr>
              <w:rPr>
                <w:b/>
                <w:szCs w:val="3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BD333F" w14:textId="77777777" w:rsidR="006F129D" w:rsidRPr="004E4188" w:rsidRDefault="006F129D" w:rsidP="004B7123">
            <w:pPr>
              <w:rPr>
                <w:b/>
                <w:szCs w:val="36"/>
              </w:rPr>
            </w:pPr>
          </w:p>
        </w:tc>
      </w:tr>
    </w:tbl>
    <w:p w14:paraId="61A53067" w14:textId="77777777" w:rsidR="006F129D" w:rsidRPr="004E4188" w:rsidRDefault="006F129D" w:rsidP="001A2D6C">
      <w:pPr>
        <w:ind w:left="1440"/>
      </w:pPr>
    </w:p>
    <w:p w14:paraId="193ECC37" w14:textId="77777777" w:rsidR="006F129D" w:rsidRPr="004E4188" w:rsidRDefault="006F129D" w:rsidP="00D45EAD">
      <w:pPr>
        <w:spacing w:after="200"/>
        <w:ind w:left="1440" w:right="-72"/>
        <w:rPr>
          <w:lang w:eastAsia="en-US"/>
        </w:rPr>
      </w:pPr>
      <w:r w:rsidRPr="004E4188">
        <w:rPr>
          <w:szCs w:val="24"/>
        </w:rPr>
        <w:t xml:space="preserve">Aux fins de l’évaluation, </w:t>
      </w:r>
      <w:r w:rsidRPr="004E4188">
        <w:rPr>
          <w:szCs w:val="24"/>
          <w:lang w:eastAsia="en-US"/>
        </w:rPr>
        <w:t>la procédure décrite ci-dessous sera appliquée.</w:t>
      </w:r>
    </w:p>
    <w:p w14:paraId="74AE6207" w14:textId="77777777" w:rsidR="006F129D" w:rsidRPr="004E4188" w:rsidRDefault="006F129D" w:rsidP="00D45EAD">
      <w:pPr>
        <w:suppressAutoHyphens w:val="0"/>
        <w:overflowPunct/>
        <w:autoSpaceDE/>
        <w:autoSpaceDN/>
        <w:adjustRightInd/>
        <w:spacing w:after="200"/>
        <w:ind w:left="1447"/>
        <w:textAlignment w:val="auto"/>
        <w:rPr>
          <w:lang w:eastAsia="en-US"/>
        </w:rPr>
      </w:pPr>
      <w:r w:rsidRPr="004E4188">
        <w:rPr>
          <w:szCs w:val="24"/>
          <w:lang w:eastAsia="en-US"/>
        </w:rPr>
        <w:t xml:space="preserve">Si la(les) valeur(s) de la(les) garantie(s) opérationnelle(s) pour les </w:t>
      </w:r>
      <w:r w:rsidRPr="004E4188">
        <w:rPr>
          <w:szCs w:val="24"/>
        </w:rPr>
        <w:t>É</w:t>
      </w:r>
      <w:r w:rsidRPr="004E4188">
        <w:rPr>
          <w:szCs w:val="24"/>
          <w:lang w:eastAsia="en-US"/>
        </w:rPr>
        <w:t>quipements proposés par le Soumissionnaire dans le formulaire GAR :</w:t>
      </w:r>
    </w:p>
    <w:p w14:paraId="60F3AD30" w14:textId="40608721" w:rsidR="006F129D" w:rsidRPr="004E4188" w:rsidRDefault="006F129D" w:rsidP="00D45EAD">
      <w:pPr>
        <w:suppressAutoHyphens w:val="0"/>
        <w:overflowPunct/>
        <w:autoSpaceDE/>
        <w:autoSpaceDN/>
        <w:adjustRightInd/>
        <w:spacing w:after="200"/>
        <w:ind w:left="1881" w:hanging="434"/>
        <w:textAlignment w:val="auto"/>
        <w:rPr>
          <w:lang w:eastAsia="en-US"/>
        </w:rPr>
      </w:pPr>
      <w:r w:rsidRPr="004E4188">
        <w:rPr>
          <w:lang w:eastAsia="en-US"/>
        </w:rPr>
        <w:t>(i)</w:t>
      </w:r>
      <w:r w:rsidRPr="004E4188">
        <w:rPr>
          <w:lang w:eastAsia="en-US"/>
        </w:rPr>
        <w:tab/>
      </w:r>
      <w:r w:rsidRPr="004E4188">
        <w:rPr>
          <w:rFonts w:hint="eastAsia"/>
          <w:lang w:eastAsia="ja-JP"/>
        </w:rPr>
        <w:t>s</w:t>
      </w:r>
      <w:r w:rsidRPr="004E4188">
        <w:rPr>
          <w:szCs w:val="24"/>
          <w:lang w:eastAsia="en-US"/>
        </w:rPr>
        <w:t>atisfait(satisfont) la norme spécifiée dans le tableau ci-dessus, aucun ajustement ne sera apporté au Montant de l’offre</w:t>
      </w:r>
      <w:r w:rsidRPr="004E4188">
        <w:rPr>
          <w:lang w:eastAsia="en-US"/>
        </w:rPr>
        <w:t> ;</w:t>
      </w:r>
    </w:p>
    <w:p w14:paraId="7F47F402" w14:textId="3672F22D" w:rsidR="006F129D" w:rsidRPr="004E4188" w:rsidRDefault="006F129D" w:rsidP="00D45EAD">
      <w:pPr>
        <w:suppressAutoHyphens w:val="0"/>
        <w:overflowPunct/>
        <w:autoSpaceDE/>
        <w:autoSpaceDN/>
        <w:adjustRightInd/>
        <w:spacing w:after="200"/>
        <w:ind w:left="1881" w:hanging="434"/>
        <w:textAlignment w:val="auto"/>
        <w:rPr>
          <w:lang w:eastAsia="en-US"/>
        </w:rPr>
      </w:pPr>
      <w:r w:rsidRPr="004E4188">
        <w:rPr>
          <w:lang w:eastAsia="en-US"/>
        </w:rPr>
        <w:t xml:space="preserve">(ii) </w:t>
      </w:r>
      <w:r w:rsidRPr="004E4188">
        <w:rPr>
          <w:lang w:eastAsia="en-US"/>
        </w:rPr>
        <w:tab/>
        <w:t>e</w:t>
      </w:r>
      <w:r w:rsidRPr="004E4188">
        <w:rPr>
          <w:szCs w:val="24"/>
          <w:lang w:eastAsia="en-US"/>
        </w:rPr>
        <w:t>st(sont) comprise(s) entre la norme et le niveau minimal ou maximal acceptable du tableau ci-dessus, pour chaque point de pourcentage d’écart de la garantie opérationnelle par rapport à la norme, un ajustement sera apporté au Montant de l’offre</w:t>
      </w:r>
      <w:r w:rsidR="0006060D" w:rsidRPr="004E4188">
        <w:t xml:space="preserve"> en appliquant la méthode suivante</w:t>
      </w:r>
      <w:r w:rsidRPr="004E4188">
        <w:rPr>
          <w:szCs w:val="24"/>
          <w:lang w:eastAsia="en-US"/>
        </w:rPr>
        <w:t> </w:t>
      </w:r>
      <w:r w:rsidRPr="004E4188">
        <w:rPr>
          <w:lang w:eastAsia="en-US"/>
        </w:rPr>
        <w:t>:</w:t>
      </w:r>
    </w:p>
    <w:p w14:paraId="0668EE4F" w14:textId="72C17A17" w:rsidR="006F129D" w:rsidRPr="004E4188" w:rsidRDefault="006F129D" w:rsidP="00D45EAD">
      <w:pPr>
        <w:suppressAutoHyphens w:val="0"/>
        <w:overflowPunct/>
        <w:autoSpaceDE/>
        <w:autoSpaceDN/>
        <w:adjustRightInd/>
        <w:spacing w:after="200"/>
        <w:ind w:left="2315" w:hanging="434"/>
        <w:textAlignment w:val="auto"/>
        <w:rPr>
          <w:lang w:eastAsia="en-US"/>
        </w:rPr>
      </w:pPr>
      <w:r w:rsidRPr="004E4188">
        <w:rPr>
          <w:lang w:eastAsia="en-US"/>
        </w:rPr>
        <w:t>[</w:t>
      </w:r>
      <w:r w:rsidRPr="004E4188">
        <w:rPr>
          <w:i/>
          <w:szCs w:val="24"/>
          <w:lang w:eastAsia="en-US"/>
        </w:rPr>
        <w:t>Indiquer la méthode de calcul de l’ajustement</w:t>
      </w:r>
      <w:r w:rsidRPr="004E4188">
        <w:rPr>
          <w:szCs w:val="24"/>
          <w:lang w:eastAsia="en-US"/>
        </w:rPr>
        <w:t>.</w:t>
      </w:r>
      <w:r w:rsidRPr="004E4188">
        <w:rPr>
          <w:lang w:eastAsia="en-US"/>
        </w:rPr>
        <w:t>]</w:t>
      </w:r>
    </w:p>
    <w:p w14:paraId="028B10AA" w14:textId="77777777" w:rsidR="006F129D" w:rsidRPr="004E4188" w:rsidRDefault="006F129D" w:rsidP="00D45EAD">
      <w:pPr>
        <w:suppressAutoHyphens w:val="0"/>
        <w:overflowPunct/>
        <w:autoSpaceDE/>
        <w:autoSpaceDN/>
        <w:adjustRightInd/>
        <w:spacing w:after="200"/>
        <w:ind w:left="1881" w:hanging="434"/>
        <w:textAlignment w:val="auto"/>
        <w:rPr>
          <w:lang w:eastAsia="en-US"/>
        </w:rPr>
      </w:pPr>
      <w:r w:rsidRPr="004E4188">
        <w:rPr>
          <w:lang w:eastAsia="en-US"/>
        </w:rPr>
        <w:t>(iii)</w:t>
      </w:r>
      <w:r w:rsidRPr="004E4188">
        <w:rPr>
          <w:lang w:eastAsia="en-US"/>
        </w:rPr>
        <w:tab/>
        <w:t xml:space="preserve">ne </w:t>
      </w:r>
      <w:r w:rsidRPr="004E4188">
        <w:rPr>
          <w:szCs w:val="24"/>
          <w:lang w:eastAsia="en-US"/>
        </w:rPr>
        <w:t>satisfait(satisfont) pas le niveau minimal ou maximal acceptable du tableau ci-dessus, l’offre sera rejetée</w:t>
      </w:r>
      <w:r w:rsidRPr="004E4188">
        <w:rPr>
          <w:lang w:eastAsia="en-US"/>
        </w:rPr>
        <w:t>.</w:t>
      </w:r>
    </w:p>
    <w:p w14:paraId="11B36818" w14:textId="01EBC001" w:rsidR="006F129D" w:rsidRPr="004E4188" w:rsidRDefault="006F129D" w:rsidP="005731FD">
      <w:pPr>
        <w:pStyle w:val="ac"/>
        <w:suppressAutoHyphens w:val="0"/>
        <w:overflowPunct/>
        <w:autoSpaceDE/>
        <w:autoSpaceDN/>
        <w:adjustRightInd/>
        <w:ind w:left="1418" w:hanging="567"/>
        <w:textAlignment w:val="auto"/>
        <w:rPr>
          <w:b/>
          <w:sz w:val="24"/>
          <w:szCs w:val="24"/>
        </w:rPr>
      </w:pPr>
      <w:r w:rsidRPr="004E4188">
        <w:rPr>
          <w:b/>
          <w:sz w:val="24"/>
          <w:szCs w:val="24"/>
          <w:lang w:eastAsia="ja-JP"/>
        </w:rPr>
        <w:t>(c)</w:t>
      </w:r>
      <w:r w:rsidRPr="004E4188">
        <w:rPr>
          <w:b/>
          <w:sz w:val="24"/>
          <w:szCs w:val="24"/>
          <w:lang w:eastAsia="ja-JP"/>
        </w:rPr>
        <w:tab/>
      </w:r>
      <w:r w:rsidRPr="004E4188">
        <w:rPr>
          <w:b/>
          <w:sz w:val="24"/>
          <w:szCs w:val="24"/>
        </w:rPr>
        <w:t>Critères d’évaluation spécifiques supplémentaires</w:t>
      </w:r>
    </w:p>
    <w:p w14:paraId="34604ECD" w14:textId="27C1E971" w:rsidR="005731FD" w:rsidRPr="004E4188" w:rsidRDefault="006F129D" w:rsidP="00BD6AD4">
      <w:pPr>
        <w:spacing w:after="200"/>
        <w:ind w:left="1440"/>
        <w:rPr>
          <w:spacing w:val="-3"/>
          <w:lang w:eastAsia="ja-JP"/>
        </w:rPr>
      </w:pPr>
      <w:r w:rsidRPr="004E4188">
        <w:rPr>
          <w:szCs w:val="24"/>
          <w:lang w:eastAsia="en-US"/>
        </w:rPr>
        <w:t>Les</w:t>
      </w:r>
      <w:r w:rsidRPr="004E4188">
        <w:rPr>
          <w:spacing w:val="-3"/>
        </w:rPr>
        <w:t xml:space="preserve"> critères </w:t>
      </w:r>
      <w:r w:rsidRPr="004E4188">
        <w:t>d’évaluation</w:t>
      </w:r>
      <w:r w:rsidRPr="004E4188">
        <w:rPr>
          <w:spacing w:val="-3"/>
        </w:rPr>
        <w:t xml:space="preserve"> supplémentaires suivants seront utilisés lors de l’évaluation : [</w:t>
      </w:r>
      <w:r w:rsidRPr="004E4188">
        <w:rPr>
          <w:i/>
          <w:iCs/>
          <w:lang w:eastAsia="ja-JP"/>
        </w:rPr>
        <w:t>I</w:t>
      </w:r>
      <w:r w:rsidRPr="004E4188">
        <w:rPr>
          <w:i/>
        </w:rPr>
        <w:t xml:space="preserve">nsérer, </w:t>
      </w:r>
      <w:r w:rsidRPr="004E4188">
        <w:rPr>
          <w:i/>
          <w:iCs/>
          <w:lang w:eastAsia="ja-JP"/>
        </w:rPr>
        <w:t>l</w:t>
      </w:r>
      <w:r w:rsidRPr="004E4188">
        <w:rPr>
          <w:i/>
        </w:rPr>
        <w:t>e cas échéant,</w:t>
      </w:r>
      <w:r w:rsidRPr="004E4188">
        <w:rPr>
          <w:i/>
          <w:spacing w:val="-3"/>
        </w:rPr>
        <w:t xml:space="preserve"> les critères</w:t>
      </w:r>
      <w:r w:rsidRPr="004E4188">
        <w:rPr>
          <w:i/>
        </w:rPr>
        <w:t xml:space="preserve"> d’évaluation</w:t>
      </w:r>
      <w:r w:rsidRPr="004E4188">
        <w:rPr>
          <w:i/>
          <w:spacing w:val="-3"/>
        </w:rPr>
        <w:t xml:space="preserve"> supplémentaires. </w:t>
      </w:r>
      <w:r w:rsidRPr="004E4188">
        <w:rPr>
          <w:i/>
        </w:rPr>
        <w:t>Sinon, indique</w:t>
      </w:r>
      <w:r w:rsidR="00AD18DF" w:rsidRPr="004E4188">
        <w:rPr>
          <w:i/>
        </w:rPr>
        <w:t>r</w:t>
      </w:r>
      <w:r w:rsidRPr="004E4188">
        <w:rPr>
          <w:i/>
        </w:rPr>
        <w:t xml:space="preserve"> « Sans objet »</w:t>
      </w:r>
      <w:r w:rsidRPr="004E4188">
        <w:rPr>
          <w:i/>
          <w:iCs/>
          <w:lang w:eastAsia="ja-JP"/>
        </w:rPr>
        <w:t>.</w:t>
      </w:r>
      <w:r w:rsidRPr="004E4188">
        <w:rPr>
          <w:spacing w:val="-3"/>
        </w:rPr>
        <w:t>]</w:t>
      </w:r>
    </w:p>
    <w:p w14:paraId="2AAD1BEA" w14:textId="6DBBDFEB" w:rsidR="006F129D" w:rsidRPr="004E4188" w:rsidRDefault="006F129D" w:rsidP="005731FD">
      <w:pPr>
        <w:spacing w:after="200"/>
        <w:ind w:left="1440"/>
        <w:jc w:val="left"/>
        <w:rPr>
          <w:bCs/>
        </w:rPr>
      </w:pPr>
      <w:r w:rsidRPr="004E4188">
        <w:rPr>
          <w:bCs/>
        </w:rPr>
        <w:t xml:space="preserve">……………………………………………………………………………………………………………………………………………………………………………… </w:t>
      </w:r>
    </w:p>
    <w:p w14:paraId="4E14A684" w14:textId="172C5E8E" w:rsidR="006F129D" w:rsidRPr="004E4188" w:rsidRDefault="006F129D" w:rsidP="00D45EAD">
      <w:pPr>
        <w:tabs>
          <w:tab w:val="right" w:pos="7254"/>
        </w:tabs>
        <w:suppressAutoHyphens w:val="0"/>
        <w:overflowPunct/>
        <w:autoSpaceDE/>
        <w:autoSpaceDN/>
        <w:adjustRightInd/>
        <w:spacing w:after="200"/>
        <w:ind w:left="1440"/>
        <w:textAlignment w:val="auto"/>
        <w:rPr>
          <w:spacing w:val="-3"/>
        </w:rPr>
      </w:pPr>
    </w:p>
    <w:p w14:paraId="343FF576" w14:textId="20C07C78" w:rsidR="006F129D" w:rsidRPr="004E4188" w:rsidRDefault="006F129D" w:rsidP="002A3B46">
      <w:pPr>
        <w:suppressAutoHyphens w:val="0"/>
        <w:overflowPunct/>
        <w:autoSpaceDE/>
        <w:autoSpaceDN/>
        <w:adjustRightInd/>
        <w:spacing w:after="200"/>
        <w:ind w:left="851" w:hanging="851"/>
        <w:jc w:val="left"/>
        <w:textAlignment w:val="auto"/>
        <w:rPr>
          <w:b/>
        </w:rPr>
      </w:pPr>
      <w:r w:rsidRPr="004E4188">
        <w:rPr>
          <w:b/>
          <w:lang w:eastAsia="ja-JP"/>
        </w:rPr>
        <w:t>1</w:t>
      </w:r>
      <w:r w:rsidRPr="004E4188">
        <w:rPr>
          <w:b/>
          <w:bCs/>
          <w:lang w:eastAsia="ja-JP"/>
        </w:rPr>
        <w:t>.</w:t>
      </w:r>
      <w:r w:rsidRPr="004E4188">
        <w:rPr>
          <w:b/>
          <w:lang w:eastAsia="ja-JP"/>
        </w:rPr>
        <w:t>2.2</w:t>
      </w:r>
      <w:r w:rsidRPr="004E4188">
        <w:rPr>
          <w:b/>
          <w:lang w:eastAsia="ja-JP"/>
        </w:rPr>
        <w:tab/>
      </w:r>
      <w:r w:rsidRPr="004E4188">
        <w:rPr>
          <w:b/>
        </w:rPr>
        <w:t>Critères d’attribution de lots multiples (IS 35.3)</w:t>
      </w:r>
    </w:p>
    <w:p w14:paraId="078D4AA9" w14:textId="54858B96" w:rsidR="006F129D" w:rsidRPr="004E4188" w:rsidRDefault="006F129D" w:rsidP="002A3B46">
      <w:pPr>
        <w:spacing w:afterLines="100" w:after="240"/>
        <w:ind w:left="850"/>
        <w:rPr>
          <w:i/>
        </w:rPr>
      </w:pPr>
      <w:r w:rsidRPr="004E4188">
        <w:rPr>
          <w:bCs/>
          <w:lang w:eastAsia="ja-JP"/>
        </w:rPr>
        <w:t>[</w:t>
      </w:r>
      <w:r w:rsidRPr="004E4188">
        <w:rPr>
          <w:i/>
        </w:rPr>
        <w:t>Insérer le texte suivant en cas d’un appel d’offres lancé pour des lots</w:t>
      </w:r>
      <w:r w:rsidRPr="004E4188" w:rsidDel="002E0A36">
        <w:rPr>
          <w:i/>
        </w:rPr>
        <w:t xml:space="preserve"> </w:t>
      </w:r>
      <w:r w:rsidRPr="004E4188">
        <w:rPr>
          <w:i/>
        </w:rPr>
        <w:t>multiples, le cas échéant. Sinon, supprimer la totalité du texte et indiquer à la place « Sans objet »</w:t>
      </w:r>
      <w:r w:rsidRPr="004E4188">
        <w:rPr>
          <w:rFonts w:hint="eastAsia"/>
          <w:bCs/>
          <w:i/>
          <w:lang w:eastAsia="ja-JP"/>
        </w:rPr>
        <w:t>.</w:t>
      </w:r>
    </w:p>
    <w:p w14:paraId="5275F109" w14:textId="09265076" w:rsidR="006F129D" w:rsidRPr="004E4188" w:rsidRDefault="006F129D" w:rsidP="002A3B46">
      <w:pPr>
        <w:spacing w:afterLines="100" w:after="240"/>
        <w:ind w:left="850"/>
        <w:rPr>
          <w:i/>
        </w:rPr>
      </w:pPr>
      <w:r w:rsidRPr="004E4188">
        <w:rPr>
          <w:i/>
        </w:rPr>
        <w:t>« Si l’Article 1.1 des DP le prévoit,</w:t>
      </w:r>
      <w:r w:rsidR="00604C05" w:rsidRPr="004E4188">
        <w:rPr>
          <w:i/>
        </w:rPr>
        <w:t xml:space="preserve"> </w:t>
      </w:r>
      <w:r w:rsidRPr="004E4188">
        <w:rPr>
          <w:i/>
        </w:rPr>
        <w:t>les Soumissionnaires ont la possibilité de remettre une offre pour des lots multiples dans n’importe quelle combinaison. Les offres pour chaque lot ou chaque combinaison de lots seront ensuite évaluées, en prenant en compte les rabais offerts, le cas échéant, pour l’attribution de ces lots multiples.</w:t>
      </w:r>
    </w:p>
    <w:p w14:paraId="11ACD697" w14:textId="0375CB15" w:rsidR="006F129D" w:rsidRPr="004E4188" w:rsidRDefault="006F129D" w:rsidP="002A3B46">
      <w:pPr>
        <w:spacing w:afterLines="100" w:after="240"/>
        <w:ind w:left="850"/>
      </w:pPr>
      <w:r w:rsidRPr="004E4188">
        <w:rPr>
          <w:i/>
        </w:rPr>
        <w:t>Les lots seront attribués au(x) Soumissionnaire(s) offrant le coût évalué le moins</w:t>
      </w:r>
      <w:r w:rsidR="0021645F" w:rsidRPr="004E4188">
        <w:rPr>
          <w:i/>
        </w:rPr>
        <w:t>-</w:t>
      </w:r>
      <w:r w:rsidRPr="004E4188">
        <w:rPr>
          <w:i/>
        </w:rPr>
        <w:t>disant pour le Maître d’ouvrage compte tenu des rabais offerts, sous réserve que le(les) Soumissionnaire(s) retenu(s) satisfasse(nt) aux critères de qualification requis pour l’attribution de ces lots multiples. »</w:t>
      </w:r>
      <w:r w:rsidRPr="004E4188">
        <w:t>]</w:t>
      </w:r>
    </w:p>
    <w:p w14:paraId="40945C80" w14:textId="77777777" w:rsidR="00CF240A" w:rsidRPr="004E4188" w:rsidRDefault="00CF240A" w:rsidP="00CF240A">
      <w:pPr>
        <w:ind w:left="850"/>
      </w:pPr>
    </w:p>
    <w:p w14:paraId="321C4BCC" w14:textId="695667A0" w:rsidR="002A3B46" w:rsidRPr="004E4188" w:rsidRDefault="006F129D" w:rsidP="003D46CF">
      <w:pPr>
        <w:pStyle w:val="ListParagraph1"/>
        <w:numPr>
          <w:ilvl w:val="1"/>
          <w:numId w:val="32"/>
        </w:numPr>
        <w:tabs>
          <w:tab w:val="clear" w:pos="420"/>
        </w:tabs>
        <w:ind w:left="851" w:hanging="851"/>
        <w:rPr>
          <w:i/>
          <w:szCs w:val="24"/>
          <w:lang w:val="fr-FR" w:eastAsia="ja-JP"/>
        </w:rPr>
      </w:pPr>
      <w:r w:rsidRPr="004E4188">
        <w:rPr>
          <w:b/>
          <w:sz w:val="28"/>
          <w:szCs w:val="28"/>
          <w:lang w:val="fr-FR" w:eastAsia="ja-JP"/>
        </w:rPr>
        <w:t>V</w:t>
      </w:r>
      <w:r w:rsidRPr="004E4188">
        <w:rPr>
          <w:b/>
          <w:sz w:val="28"/>
          <w:szCs w:val="28"/>
          <w:lang w:val="fr-FR"/>
        </w:rPr>
        <w:t>ariantes aux Délais d’</w:t>
      </w:r>
      <w:r w:rsidR="00553D71" w:rsidRPr="004E4188">
        <w:rPr>
          <w:b/>
          <w:sz w:val="28"/>
          <w:szCs w:val="28"/>
          <w:lang w:val="fr-FR"/>
        </w:rPr>
        <w:t>a</w:t>
      </w:r>
      <w:r w:rsidRPr="004E4188">
        <w:rPr>
          <w:b/>
          <w:sz w:val="28"/>
          <w:szCs w:val="28"/>
          <w:lang w:val="fr-FR"/>
        </w:rPr>
        <w:t xml:space="preserve">chèvement des </w:t>
      </w:r>
      <w:r w:rsidR="00553D71" w:rsidRPr="004E4188">
        <w:rPr>
          <w:b/>
          <w:sz w:val="28"/>
          <w:szCs w:val="28"/>
          <w:lang w:val="fr-FR"/>
        </w:rPr>
        <w:t>Installations</w:t>
      </w:r>
      <w:r w:rsidRPr="004E4188">
        <w:rPr>
          <w:b/>
          <w:sz w:val="28"/>
          <w:szCs w:val="28"/>
          <w:lang w:val="fr-FR"/>
        </w:rPr>
        <w:t> (IS</w:t>
      </w:r>
      <w:r w:rsidRPr="004E4188">
        <w:rPr>
          <w:b/>
          <w:sz w:val="28"/>
          <w:szCs w:val="28"/>
          <w:lang w:val="fr-FR" w:eastAsia="ja-JP"/>
        </w:rPr>
        <w:t xml:space="preserve"> 13.1)</w:t>
      </w:r>
    </w:p>
    <w:p w14:paraId="05A4CC43" w14:textId="02949A3E" w:rsidR="006F129D" w:rsidRPr="004E4188" w:rsidRDefault="006F129D" w:rsidP="002A3B46">
      <w:pPr>
        <w:pStyle w:val="ListParagraph1"/>
        <w:ind w:left="851"/>
        <w:rPr>
          <w:i/>
          <w:szCs w:val="24"/>
          <w:lang w:val="fr-FR" w:eastAsia="ja-JP"/>
        </w:rPr>
      </w:pPr>
      <w:r w:rsidRPr="004E4188">
        <w:rPr>
          <w:szCs w:val="24"/>
          <w:lang w:val="fr-FR" w:eastAsia="ja-JP"/>
        </w:rPr>
        <w:t>[</w:t>
      </w:r>
      <w:r w:rsidRPr="004E4188">
        <w:rPr>
          <w:rFonts w:hint="eastAsia"/>
          <w:i/>
          <w:lang w:val="fr-FR" w:eastAsia="ja-JP"/>
        </w:rPr>
        <w:t>S</w:t>
      </w:r>
      <w:r w:rsidRPr="004E4188">
        <w:rPr>
          <w:i/>
          <w:lang w:val="fr-FR"/>
        </w:rPr>
        <w:t>i des variantes aux délais d’achèvement ne sont pas autorisés en vertu de IS 13.1, indiquer ce qui suit</w:t>
      </w:r>
      <w:r w:rsidRPr="004E4188">
        <w:rPr>
          <w:i/>
          <w:szCs w:val="24"/>
          <w:lang w:val="fr-FR" w:eastAsia="ja-JP"/>
        </w:rPr>
        <w:t>.</w:t>
      </w:r>
      <w:r w:rsidRPr="004E4188">
        <w:rPr>
          <w:szCs w:val="24"/>
          <w:lang w:val="fr-FR" w:eastAsia="ja-JP"/>
        </w:rPr>
        <w:t>]</w:t>
      </w:r>
    </w:p>
    <w:p w14:paraId="1E3CC6DC" w14:textId="77777777" w:rsidR="006F129D" w:rsidRPr="004E4188" w:rsidRDefault="006F129D" w:rsidP="00D45EAD">
      <w:pPr>
        <w:pStyle w:val="ListParagraph1"/>
        <w:ind w:left="851"/>
        <w:jc w:val="left"/>
        <w:rPr>
          <w:i/>
          <w:szCs w:val="24"/>
          <w:lang w:val="fr-FR" w:eastAsia="ja-JP"/>
        </w:rPr>
      </w:pPr>
    </w:p>
    <w:p w14:paraId="1CA5B952" w14:textId="61350B2D" w:rsidR="006F129D" w:rsidRPr="004E4188" w:rsidRDefault="006F129D" w:rsidP="002A3B46">
      <w:pPr>
        <w:pStyle w:val="ListParagraph1"/>
        <w:ind w:left="850"/>
        <w:rPr>
          <w:b/>
          <w:szCs w:val="24"/>
          <w:lang w:val="fr-FR" w:eastAsia="ja-JP"/>
        </w:rPr>
      </w:pPr>
      <w:r w:rsidRPr="004E4188">
        <w:rPr>
          <w:szCs w:val="24"/>
          <w:lang w:val="fr-FR" w:eastAsia="ja-JP"/>
        </w:rPr>
        <w:t>L</w:t>
      </w:r>
      <w:r w:rsidRPr="004E4188">
        <w:rPr>
          <w:rFonts w:hint="eastAsia"/>
          <w:lang w:val="fr-FR"/>
        </w:rPr>
        <w:t xml:space="preserve">e </w:t>
      </w:r>
      <w:r w:rsidRPr="004E4188">
        <w:rPr>
          <w:lang w:val="fr-FR"/>
        </w:rPr>
        <w:t>D</w:t>
      </w:r>
      <w:r w:rsidRPr="004E4188">
        <w:rPr>
          <w:rFonts w:hint="eastAsia"/>
          <w:lang w:val="fr-FR"/>
        </w:rPr>
        <w:t>élai d</w:t>
      </w:r>
      <w:r w:rsidRPr="004E4188">
        <w:rPr>
          <w:lang w:val="fr-FR"/>
        </w:rPr>
        <w:t>’</w:t>
      </w:r>
      <w:r w:rsidR="00553D71" w:rsidRPr="004E4188">
        <w:rPr>
          <w:lang w:val="fr-FR"/>
        </w:rPr>
        <w:t>a</w:t>
      </w:r>
      <w:r w:rsidRPr="004E4188">
        <w:rPr>
          <w:lang w:val="fr-FR"/>
        </w:rPr>
        <w:t xml:space="preserve">chèvement des </w:t>
      </w:r>
      <w:r w:rsidRPr="004E4188">
        <w:rPr>
          <w:szCs w:val="24"/>
          <w:lang w:val="fr-FR"/>
        </w:rPr>
        <w:t>É</w:t>
      </w:r>
      <w:r w:rsidRPr="004E4188">
        <w:rPr>
          <w:lang w:val="fr-FR"/>
        </w:rPr>
        <w:t xml:space="preserve">quipements et Services de montage sera : </w:t>
      </w:r>
      <w:r w:rsidRPr="004E4188">
        <w:rPr>
          <w:rFonts w:hint="eastAsia"/>
          <w:lang w:val="fr-FR" w:eastAsia="ja-JP"/>
        </w:rPr>
        <w:t>[</w:t>
      </w:r>
      <w:r w:rsidRPr="004E4188">
        <w:rPr>
          <w:i/>
          <w:lang w:val="fr-FR" w:eastAsia="ja-JP"/>
        </w:rPr>
        <w:t>insérer le nombre de jours indiqué dans l’Article 8.2 de</w:t>
      </w:r>
      <w:r w:rsidRPr="004E4188">
        <w:rPr>
          <w:rFonts w:hint="eastAsia"/>
          <w:i/>
          <w:lang w:val="fr-FR" w:eastAsia="ja-JP"/>
        </w:rPr>
        <w:t>s</w:t>
      </w:r>
      <w:r w:rsidRPr="004E4188">
        <w:rPr>
          <w:i/>
          <w:lang w:val="fr-FR" w:eastAsia="ja-JP"/>
        </w:rPr>
        <w:t xml:space="preserve"> DM de la Section VIII, Conditions Particulières</w:t>
      </w:r>
      <w:r w:rsidRPr="004E4188">
        <w:rPr>
          <w:lang w:val="fr-FR" w:eastAsia="ja-JP"/>
        </w:rPr>
        <w:t>].</w:t>
      </w:r>
      <w:r w:rsidRPr="004E4188">
        <w:rPr>
          <w:lang w:val="fr-FR"/>
        </w:rPr>
        <w:t xml:space="preserve"> </w:t>
      </w:r>
      <w:r w:rsidRPr="004E4188">
        <w:rPr>
          <w:lang w:val="fr-FR" w:eastAsia="ja-JP"/>
        </w:rPr>
        <w:t>Aucun avantage ne sera accordé en cas de délai plus court</w:t>
      </w:r>
      <w:r w:rsidRPr="004E4188">
        <w:rPr>
          <w:szCs w:val="24"/>
          <w:lang w:val="fr-FR" w:eastAsia="ja-JP"/>
        </w:rPr>
        <w:t xml:space="preserve">. </w:t>
      </w:r>
    </w:p>
    <w:p w14:paraId="1CC338A3" w14:textId="77777777" w:rsidR="006F129D" w:rsidRPr="004E4188" w:rsidRDefault="006F129D" w:rsidP="00D45EAD">
      <w:pPr>
        <w:pStyle w:val="ListParagraph1"/>
        <w:ind w:left="709"/>
        <w:jc w:val="left"/>
        <w:rPr>
          <w:bCs/>
          <w:lang w:val="fr-FR" w:eastAsia="ja-JP"/>
        </w:rPr>
      </w:pPr>
    </w:p>
    <w:p w14:paraId="08608163" w14:textId="77777777" w:rsidR="006F129D" w:rsidRPr="004E4188" w:rsidRDefault="006F129D" w:rsidP="00CF240A">
      <w:pPr>
        <w:pStyle w:val="ListParagraph1"/>
        <w:ind w:left="850"/>
        <w:rPr>
          <w:b/>
          <w:szCs w:val="24"/>
          <w:lang w:val="fr-FR" w:eastAsia="ja-JP"/>
        </w:rPr>
      </w:pPr>
      <w:r w:rsidRPr="004E4188">
        <w:rPr>
          <w:szCs w:val="24"/>
          <w:lang w:val="fr-FR" w:eastAsia="ja-JP"/>
        </w:rPr>
        <w:t>[</w:t>
      </w:r>
      <w:r w:rsidRPr="004E4188">
        <w:rPr>
          <w:rFonts w:hint="eastAsia"/>
          <w:i/>
          <w:lang w:val="fr-FR" w:eastAsia="ja-JP"/>
        </w:rPr>
        <w:t>S</w:t>
      </w:r>
      <w:r w:rsidRPr="004E4188">
        <w:rPr>
          <w:i/>
          <w:lang w:val="fr-FR"/>
        </w:rPr>
        <w:t>i des variantes aux délais d’achèvement sont autorisés conformément à IS 13.1, indiquer ce qui suit</w:t>
      </w:r>
      <w:r w:rsidRPr="004E4188">
        <w:rPr>
          <w:i/>
          <w:szCs w:val="24"/>
          <w:lang w:val="fr-FR" w:eastAsia="ja-JP"/>
        </w:rPr>
        <w:t>.</w:t>
      </w:r>
      <w:r w:rsidRPr="004E4188">
        <w:rPr>
          <w:szCs w:val="24"/>
          <w:lang w:val="fr-FR" w:eastAsia="ja-JP"/>
        </w:rPr>
        <w:t>]</w:t>
      </w:r>
    </w:p>
    <w:p w14:paraId="795060F8" w14:textId="77777777" w:rsidR="006F129D" w:rsidRPr="004E4188" w:rsidRDefault="006F129D" w:rsidP="00D45EAD">
      <w:pPr>
        <w:pStyle w:val="ListParagraph1"/>
        <w:ind w:left="10" w:hangingChars="4" w:hanging="10"/>
        <w:jc w:val="left"/>
        <w:rPr>
          <w:bCs/>
          <w:lang w:val="fr-FR" w:eastAsia="ja-JP"/>
        </w:rPr>
      </w:pPr>
    </w:p>
    <w:p w14:paraId="1BA4F82A" w14:textId="5D1EFC01" w:rsidR="006F129D" w:rsidRPr="004E4188" w:rsidRDefault="006F129D" w:rsidP="002A3B46">
      <w:pPr>
        <w:pStyle w:val="ListParagraph1"/>
        <w:ind w:left="850"/>
        <w:rPr>
          <w:szCs w:val="24"/>
          <w:lang w:val="fr-FR" w:eastAsia="ja-JP"/>
        </w:rPr>
      </w:pPr>
      <w:r w:rsidRPr="004E4188">
        <w:rPr>
          <w:rFonts w:hint="eastAsia"/>
          <w:lang w:val="fr-FR"/>
        </w:rPr>
        <w:t xml:space="preserve">Le </w:t>
      </w:r>
      <w:r w:rsidRPr="004E4188">
        <w:rPr>
          <w:lang w:val="fr-FR"/>
        </w:rPr>
        <w:t>D</w:t>
      </w:r>
      <w:r w:rsidRPr="004E4188">
        <w:rPr>
          <w:rFonts w:hint="eastAsia"/>
          <w:lang w:val="fr-FR"/>
        </w:rPr>
        <w:t>élai d</w:t>
      </w:r>
      <w:r w:rsidRPr="004E4188">
        <w:rPr>
          <w:lang w:val="fr-FR"/>
        </w:rPr>
        <w:t>’</w:t>
      </w:r>
      <w:r w:rsidR="00553D71" w:rsidRPr="004E4188">
        <w:rPr>
          <w:lang w:val="fr-FR"/>
        </w:rPr>
        <w:t>a</w:t>
      </w:r>
      <w:r w:rsidRPr="004E4188">
        <w:rPr>
          <w:lang w:val="fr-FR"/>
        </w:rPr>
        <w:t xml:space="preserve">chèvement des </w:t>
      </w:r>
      <w:r w:rsidRPr="004E4188">
        <w:rPr>
          <w:szCs w:val="24"/>
          <w:lang w:val="fr-FR"/>
        </w:rPr>
        <w:t>É</w:t>
      </w:r>
      <w:r w:rsidRPr="004E4188">
        <w:rPr>
          <w:lang w:val="fr-FR"/>
        </w:rPr>
        <w:t xml:space="preserve">quipements et Services de montage sera compris entre </w:t>
      </w:r>
      <w:r w:rsidRPr="004E4188">
        <w:rPr>
          <w:rFonts w:hint="eastAsia"/>
          <w:lang w:val="fr-FR" w:eastAsia="ja-JP"/>
        </w:rPr>
        <w:t>[</w:t>
      </w:r>
      <w:r w:rsidRPr="004E4188">
        <w:rPr>
          <w:i/>
          <w:lang w:val="fr-FR" w:eastAsia="ja-JP"/>
        </w:rPr>
        <w:t>insérer le nombre de jours</w:t>
      </w:r>
      <w:r w:rsidRPr="004E4188">
        <w:rPr>
          <w:lang w:val="fr-FR" w:eastAsia="ja-JP"/>
        </w:rPr>
        <w:t>] (ci-après désigné « </w:t>
      </w:r>
      <w:r w:rsidRPr="004E4188">
        <w:rPr>
          <w:i/>
          <w:lang w:val="fr-FR" w:eastAsia="ja-JP"/>
        </w:rPr>
        <w:t>minimum indiqué</w:t>
      </w:r>
      <w:r w:rsidRPr="004E4188">
        <w:rPr>
          <w:lang w:val="fr-FR" w:eastAsia="ja-JP"/>
        </w:rPr>
        <w:t xml:space="preserve"> ») et </w:t>
      </w:r>
      <w:r w:rsidRPr="004E4188">
        <w:rPr>
          <w:rFonts w:hint="eastAsia"/>
          <w:lang w:val="fr-FR" w:eastAsia="ja-JP"/>
        </w:rPr>
        <w:t>[</w:t>
      </w:r>
      <w:r w:rsidRPr="004E4188">
        <w:rPr>
          <w:i/>
          <w:lang w:val="fr-FR" w:eastAsia="ja-JP"/>
        </w:rPr>
        <w:t>insérer le nombre de jours</w:t>
      </w:r>
      <w:r w:rsidRPr="004E4188">
        <w:rPr>
          <w:lang w:val="fr-FR" w:eastAsia="ja-JP"/>
        </w:rPr>
        <w:t>] (ci-après désigné « </w:t>
      </w:r>
      <w:r w:rsidRPr="004E4188">
        <w:rPr>
          <w:i/>
          <w:lang w:val="fr-FR" w:eastAsia="ja-JP"/>
        </w:rPr>
        <w:t>maximum indiqué</w:t>
      </w:r>
      <w:r w:rsidRPr="004E4188">
        <w:rPr>
          <w:lang w:val="fr-FR" w:eastAsia="ja-JP"/>
        </w:rPr>
        <w:t> »)</w:t>
      </w:r>
      <w:r w:rsidRPr="004E4188">
        <w:rPr>
          <w:szCs w:val="24"/>
          <w:lang w:val="fr-FR" w:eastAsia="ja-JP"/>
        </w:rPr>
        <w:t xml:space="preserve">. </w:t>
      </w:r>
    </w:p>
    <w:p w14:paraId="22D136A8" w14:textId="77777777" w:rsidR="006F129D" w:rsidRPr="004E4188" w:rsidRDefault="006F129D" w:rsidP="00D45EAD">
      <w:pPr>
        <w:pStyle w:val="ListParagraph1"/>
        <w:ind w:left="709"/>
        <w:rPr>
          <w:szCs w:val="24"/>
          <w:lang w:val="fr-FR" w:eastAsia="ja-JP"/>
        </w:rPr>
      </w:pPr>
    </w:p>
    <w:p w14:paraId="4F2A84E0" w14:textId="77777777" w:rsidR="006F129D" w:rsidRPr="004E4188" w:rsidRDefault="006F129D" w:rsidP="002A3B46">
      <w:pPr>
        <w:pStyle w:val="ListParagraph1"/>
        <w:ind w:left="850"/>
        <w:rPr>
          <w:szCs w:val="24"/>
          <w:lang w:val="fr-FR" w:eastAsia="ja-JP"/>
        </w:rPr>
      </w:pPr>
      <w:r w:rsidRPr="004E4188">
        <w:rPr>
          <w:lang w:val="fr-FR" w:eastAsia="ja-JP"/>
        </w:rPr>
        <w:t xml:space="preserve">Le taux d’ajustement en cas d’achèvement postérieur à la période minimum sera </w:t>
      </w:r>
      <w:r w:rsidRPr="004E4188">
        <w:rPr>
          <w:rFonts w:hint="eastAsia"/>
          <w:lang w:val="fr-FR" w:eastAsia="ja-JP"/>
        </w:rPr>
        <w:t>[</w:t>
      </w:r>
      <w:r w:rsidRPr="004E4188">
        <w:rPr>
          <w:i/>
          <w:lang w:val="fr-FR"/>
        </w:rPr>
        <w:t>indiquer le pourcentage en lettres et en chiffres (%) pour chaque semaine de délai supplémentaire à partir de cette période minimum</w:t>
      </w:r>
      <w:r w:rsidRPr="004E4188">
        <w:rPr>
          <w:lang w:val="fr-FR"/>
        </w:rPr>
        <w:t>]</w:t>
      </w:r>
      <w:r w:rsidRPr="004E4188">
        <w:rPr>
          <w:szCs w:val="24"/>
          <w:lang w:val="fr-FR" w:eastAsia="ja-JP"/>
        </w:rPr>
        <w:t xml:space="preserve">. </w:t>
      </w:r>
    </w:p>
    <w:p w14:paraId="2D3867E8" w14:textId="77777777" w:rsidR="006F129D" w:rsidRPr="004E4188" w:rsidRDefault="006F129D" w:rsidP="00D45EAD">
      <w:pPr>
        <w:pStyle w:val="ListParagraph1"/>
        <w:ind w:left="709"/>
        <w:rPr>
          <w:szCs w:val="24"/>
          <w:lang w:val="fr-FR" w:eastAsia="ja-JP"/>
        </w:rPr>
      </w:pPr>
    </w:p>
    <w:p w14:paraId="67F703A6" w14:textId="77777777" w:rsidR="006F129D" w:rsidRPr="004E4188" w:rsidRDefault="006F129D" w:rsidP="002A3B46">
      <w:pPr>
        <w:pStyle w:val="ListParagraph1"/>
        <w:ind w:left="850"/>
        <w:rPr>
          <w:szCs w:val="24"/>
          <w:lang w:val="fr-FR" w:eastAsia="ja-JP"/>
        </w:rPr>
      </w:pPr>
      <w:r w:rsidRPr="004E4188">
        <w:rPr>
          <w:lang w:val="fr-FR" w:eastAsia="ja-JP"/>
        </w:rPr>
        <w:t>Aucun avantage ne sera accordé pour un achèvement plus tôt que le minimum indiqué. Les offres proposant un achèvement au-delà du maximum indiqué seront rejetées</w:t>
      </w:r>
      <w:r w:rsidRPr="004E4188">
        <w:rPr>
          <w:szCs w:val="24"/>
          <w:lang w:val="fr-FR" w:eastAsia="ja-JP"/>
        </w:rPr>
        <w:t>.</w:t>
      </w:r>
    </w:p>
    <w:p w14:paraId="0A53E561" w14:textId="77777777" w:rsidR="006F129D" w:rsidRPr="004E4188" w:rsidRDefault="006F129D">
      <w:pPr>
        <w:suppressAutoHyphens w:val="0"/>
        <w:overflowPunct/>
        <w:autoSpaceDE/>
        <w:autoSpaceDN/>
        <w:adjustRightInd/>
        <w:jc w:val="left"/>
        <w:textAlignment w:val="auto"/>
      </w:pPr>
      <w:r w:rsidRPr="004E4188">
        <w:br w:type="page"/>
      </w:r>
    </w:p>
    <w:p w14:paraId="1D30D012" w14:textId="737A41B2" w:rsidR="006F129D" w:rsidRPr="004E4188" w:rsidRDefault="006878C6" w:rsidP="006878C6">
      <w:pPr>
        <w:suppressAutoHyphens w:val="0"/>
        <w:overflowPunct/>
        <w:autoSpaceDE/>
        <w:autoSpaceDN/>
        <w:adjustRightInd/>
        <w:ind w:left="851" w:hanging="851"/>
        <w:jc w:val="left"/>
        <w:textAlignment w:val="auto"/>
        <w:rPr>
          <w:b/>
          <w:bCs/>
          <w:sz w:val="30"/>
          <w:szCs w:val="30"/>
          <w:lang w:val="en-GB" w:eastAsia="ja-JP"/>
        </w:rPr>
      </w:pPr>
      <w:r w:rsidRPr="004E4188">
        <w:rPr>
          <w:b/>
          <w:bCs/>
          <w:sz w:val="30"/>
          <w:szCs w:val="30"/>
          <w:lang w:val="en-GB" w:eastAsia="ja-JP"/>
        </w:rPr>
        <w:t>2</w:t>
      </w:r>
      <w:r w:rsidR="00DF2484" w:rsidRPr="004E4188">
        <w:rPr>
          <w:b/>
          <w:bCs/>
          <w:sz w:val="30"/>
          <w:szCs w:val="30"/>
          <w:lang w:val="en-GB" w:eastAsia="ja-JP"/>
        </w:rPr>
        <w:t>.</w:t>
      </w:r>
      <w:r w:rsidRPr="004E4188">
        <w:rPr>
          <w:b/>
          <w:bCs/>
          <w:sz w:val="30"/>
          <w:szCs w:val="30"/>
          <w:lang w:val="en-GB" w:eastAsia="ja-JP"/>
        </w:rPr>
        <w:tab/>
      </w:r>
      <w:r w:rsidR="006F129D" w:rsidRPr="004E4188">
        <w:rPr>
          <w:b/>
          <w:bCs/>
          <w:sz w:val="30"/>
          <w:szCs w:val="30"/>
          <w:lang w:val="en-GB" w:eastAsia="ja-JP"/>
        </w:rPr>
        <w:t>Qualification</w:t>
      </w:r>
    </w:p>
    <w:p w14:paraId="74AB1688" w14:textId="77777777" w:rsidR="006F129D" w:rsidRPr="004E4188" w:rsidRDefault="006F129D" w:rsidP="00D45EAD">
      <w:pPr>
        <w:suppressAutoHyphens w:val="0"/>
        <w:overflowPunct/>
        <w:autoSpaceDE/>
        <w:autoSpaceDN/>
        <w:adjustRightInd/>
        <w:jc w:val="left"/>
        <w:textAlignment w:val="auto"/>
        <w:rPr>
          <w:b/>
          <w:bCs/>
          <w:sz w:val="30"/>
          <w:szCs w:val="30"/>
          <w:lang w:val="en-GB" w:eastAsia="ja-JP"/>
        </w:rPr>
      </w:pPr>
    </w:p>
    <w:p w14:paraId="628C50FF" w14:textId="77777777" w:rsidR="006F129D" w:rsidRPr="004E4188" w:rsidRDefault="006F129D" w:rsidP="003D46CF">
      <w:pPr>
        <w:numPr>
          <w:ilvl w:val="0"/>
          <w:numId w:val="33"/>
        </w:numPr>
        <w:tabs>
          <w:tab w:val="clear" w:pos="720"/>
        </w:tabs>
        <w:suppressAutoHyphens w:val="0"/>
        <w:overflowPunct/>
        <w:autoSpaceDE/>
        <w:autoSpaceDN/>
        <w:adjustRightInd/>
        <w:ind w:left="1406" w:hanging="556"/>
        <w:textAlignment w:val="auto"/>
        <w:rPr>
          <w:b/>
          <w:szCs w:val="24"/>
          <w:lang w:eastAsia="ja-JP"/>
        </w:rPr>
      </w:pPr>
      <w:r w:rsidRPr="004E4188">
        <w:rPr>
          <w:b/>
          <w:lang w:eastAsia="en-US"/>
        </w:rPr>
        <w:t>Qualification</w:t>
      </w:r>
      <w:r w:rsidRPr="004E4188">
        <w:rPr>
          <w:b/>
          <w:szCs w:val="24"/>
          <w:lang w:eastAsia="ja-JP"/>
        </w:rPr>
        <w:t xml:space="preserve"> du Soumissionnaire (mais pas celle des affiliés du Soumissionnaire)</w:t>
      </w:r>
    </w:p>
    <w:p w14:paraId="3C0C2E90" w14:textId="77777777" w:rsidR="006F129D" w:rsidRPr="004E4188" w:rsidRDefault="006F129D" w:rsidP="002A3B46">
      <w:pPr>
        <w:suppressAutoHyphens w:val="0"/>
        <w:overflowPunct/>
        <w:autoSpaceDE/>
        <w:autoSpaceDN/>
        <w:adjustRightInd/>
        <w:ind w:left="1406" w:hanging="556"/>
        <w:textAlignment w:val="auto"/>
        <w:rPr>
          <w:szCs w:val="24"/>
          <w:lang w:eastAsia="ja-JP"/>
        </w:rPr>
      </w:pPr>
      <w:r w:rsidRPr="004E4188">
        <w:tab/>
      </w:r>
      <w:r w:rsidRPr="004E4188">
        <w:rPr>
          <w:rFonts w:hint="eastAsia"/>
          <w:szCs w:val="24"/>
          <w:lang w:eastAsia="ja-JP"/>
        </w:rPr>
        <w:t>C</w:t>
      </w:r>
      <w:r w:rsidRPr="004E4188">
        <w:rPr>
          <w:lang w:eastAsia="en-US"/>
        </w:rPr>
        <w:t>’est</w:t>
      </w:r>
      <w:r w:rsidRPr="004E4188">
        <w:rPr>
          <w:szCs w:val="24"/>
          <w:lang w:eastAsia="ja-JP"/>
        </w:rPr>
        <w:t xml:space="preserve"> l’entité légale ou les entités constituant le Soumissionnaire (qui fait(font) partie du Soumissionnaire sous la forme d’un Groupement ou de sous-traitants spécialisés employés pour les activités principales définies dans cette section), et non pas la(les) maison(s) mère(s) du Soumissionnaire, les sociétés du groupe, les filiales ou autres sociétés affiliées, qui doivent satisfaire aux critères de qualification.</w:t>
      </w:r>
    </w:p>
    <w:p w14:paraId="3A6321AE" w14:textId="77777777" w:rsidR="006F129D" w:rsidRPr="004E4188" w:rsidRDefault="006F129D" w:rsidP="00271660">
      <w:pPr>
        <w:rPr>
          <w:b/>
        </w:rPr>
      </w:pPr>
    </w:p>
    <w:p w14:paraId="080FE21C" w14:textId="77777777" w:rsidR="006F129D" w:rsidRPr="004E4188" w:rsidRDefault="006F129D" w:rsidP="003D46CF">
      <w:pPr>
        <w:numPr>
          <w:ilvl w:val="0"/>
          <w:numId w:val="33"/>
        </w:numPr>
        <w:tabs>
          <w:tab w:val="clear" w:pos="720"/>
        </w:tabs>
        <w:suppressAutoHyphens w:val="0"/>
        <w:overflowPunct/>
        <w:autoSpaceDE/>
        <w:autoSpaceDN/>
        <w:adjustRightInd/>
        <w:ind w:left="1406" w:hanging="556"/>
        <w:textAlignment w:val="auto"/>
        <w:rPr>
          <w:b/>
        </w:rPr>
      </w:pPr>
      <w:r w:rsidRPr="004E4188">
        <w:rPr>
          <w:b/>
        </w:rPr>
        <w:t>Taux de change pour critères d’évaluation</w:t>
      </w:r>
    </w:p>
    <w:p w14:paraId="6462141A" w14:textId="77777777" w:rsidR="006F129D" w:rsidRPr="004E4188" w:rsidRDefault="006F129D" w:rsidP="00BD6AD4">
      <w:pPr>
        <w:spacing w:after="60"/>
        <w:ind w:left="1440"/>
      </w:pPr>
      <w:r w:rsidRPr="004E4188">
        <w:t>Lorsqu’il est demandé que le Soumissionnaire indique, dans un formulaire de la Section IV, Formulaires de soumission, un montant monétaire, le Soumissionnaire devra donner le montant équivalent en dollar US en utilisant le taux de change déterminé comme suit :</w:t>
      </w:r>
    </w:p>
    <w:p w14:paraId="21AA11AC" w14:textId="53C5E61E" w:rsidR="006F129D" w:rsidRPr="004E4188" w:rsidRDefault="006F129D" w:rsidP="000F2B7A">
      <w:pPr>
        <w:spacing w:after="120"/>
        <w:ind w:left="1837" w:hanging="397"/>
      </w:pPr>
      <w:r w:rsidRPr="004E4188">
        <w:t>(a)</w:t>
      </w:r>
      <w:r w:rsidRPr="004E4188">
        <w:rPr>
          <w:lang w:eastAsia="ja-JP"/>
        </w:rPr>
        <w:tab/>
      </w:r>
      <w:r w:rsidRPr="004E4188">
        <w:t xml:space="preserve">chiffre d’affaires ou autres données financières, pour chaque année - le taux de change au dernier jour de l’année calendaire </w:t>
      </w:r>
      <w:r w:rsidR="00B149B8" w:rsidRPr="004E4188">
        <w:t xml:space="preserve">ou fiscale </w:t>
      </w:r>
      <w:r w:rsidRPr="004E4188">
        <w:t>correspondante,</w:t>
      </w:r>
    </w:p>
    <w:p w14:paraId="1474C05D" w14:textId="77777777" w:rsidR="006F129D" w:rsidRPr="004E4188" w:rsidRDefault="006F129D" w:rsidP="000F2B7A">
      <w:pPr>
        <w:spacing w:after="120"/>
        <w:ind w:left="1837" w:hanging="397"/>
      </w:pPr>
      <w:r w:rsidRPr="004E4188">
        <w:t>(b)</w:t>
      </w:r>
      <w:r w:rsidRPr="004E4188">
        <w:rPr>
          <w:lang w:eastAsia="ja-JP"/>
        </w:rPr>
        <w:tab/>
      </w:r>
      <w:r w:rsidRPr="004E4188">
        <w:t>montant d’un marché particulier - le taux de change à la date de signature du marché.</w:t>
      </w:r>
    </w:p>
    <w:p w14:paraId="5E047132" w14:textId="0434D7D2" w:rsidR="006F129D" w:rsidRPr="004E4188" w:rsidRDefault="006F129D" w:rsidP="00BC4D73">
      <w:pPr>
        <w:ind w:left="1440"/>
      </w:pPr>
      <w:r w:rsidRPr="004E4188">
        <w:t xml:space="preserve">Les taux de change utilisés doivent être ceux publiés par la source accessible au public </w:t>
      </w:r>
      <w:r w:rsidRPr="004E4188">
        <w:rPr>
          <w:b/>
        </w:rPr>
        <w:t xml:space="preserve">précisée à l’Article 34.1 des DP </w:t>
      </w:r>
      <w:r w:rsidRPr="004E4188">
        <w:t>ou, si ces taux ne sont pas disponibles par cette source, tout</w:t>
      </w:r>
      <w:r w:rsidR="00BA571F" w:rsidRPr="004E4188">
        <w:t>e</w:t>
      </w:r>
      <w:r w:rsidRPr="004E4188">
        <w:t xml:space="preserve"> autre source accessible au public, acceptable pour le Maître d’ouvrage. Toute erreur dans la détermination des taux de change pourra être corrigée par le Maître d’ouvrage.</w:t>
      </w:r>
    </w:p>
    <w:p w14:paraId="6B777AF4" w14:textId="77777777" w:rsidR="006F129D" w:rsidRPr="004E4188" w:rsidRDefault="006F129D" w:rsidP="007B0B65"/>
    <w:p w14:paraId="511BD676" w14:textId="77777777" w:rsidR="006F129D" w:rsidRPr="004E4188" w:rsidRDefault="006F129D" w:rsidP="003D46CF">
      <w:pPr>
        <w:numPr>
          <w:ilvl w:val="0"/>
          <w:numId w:val="33"/>
        </w:numPr>
        <w:tabs>
          <w:tab w:val="clear" w:pos="720"/>
        </w:tabs>
        <w:suppressAutoHyphens w:val="0"/>
        <w:overflowPunct/>
        <w:autoSpaceDE/>
        <w:autoSpaceDN/>
        <w:adjustRightInd/>
        <w:ind w:left="1406" w:hanging="556"/>
        <w:textAlignment w:val="auto"/>
      </w:pPr>
      <w:r w:rsidRPr="004E4188">
        <w:rPr>
          <w:b/>
        </w:rPr>
        <w:t>Mise à jour des informations de préqualification</w:t>
      </w:r>
    </w:p>
    <w:p w14:paraId="33FF4DC0" w14:textId="77777777" w:rsidR="006F129D" w:rsidRPr="004E4188" w:rsidRDefault="006F129D" w:rsidP="00BD6AD4">
      <w:pPr>
        <w:spacing w:after="60"/>
        <w:ind w:left="1440"/>
        <w:rPr>
          <w:szCs w:val="24"/>
        </w:rPr>
      </w:pPr>
      <w:r w:rsidRPr="004E4188">
        <w:t>Le Soumissionnaire doit continuer à satisfaire aux critères utilisés lors de la préqualification. La mise à jour et la réévaluation des informations concernant les critères suivants,</w:t>
      </w:r>
      <w:r w:rsidRPr="004E4188">
        <w:rPr>
          <w:szCs w:val="24"/>
        </w:rPr>
        <w:t xml:space="preserve"> précédemment pris en compte lors de la préqualification, seront demandées :</w:t>
      </w:r>
    </w:p>
    <w:p w14:paraId="685C93B5" w14:textId="6B0E3061" w:rsidR="006F129D" w:rsidRPr="004E4188" w:rsidRDefault="006F129D" w:rsidP="000F2B7A">
      <w:pPr>
        <w:spacing w:after="120"/>
        <w:ind w:left="1837" w:hanging="397"/>
        <w:rPr>
          <w:szCs w:val="24"/>
        </w:rPr>
      </w:pPr>
      <w:r w:rsidRPr="004E4188">
        <w:t>(a)</w:t>
      </w:r>
      <w:r w:rsidRPr="004E4188">
        <w:rPr>
          <w:lang w:eastAsia="ja-JP"/>
        </w:rPr>
        <w:tab/>
      </w:r>
      <w:r w:rsidRPr="004E4188">
        <w:rPr>
          <w:szCs w:val="24"/>
        </w:rPr>
        <w:t>Éligibilité</w:t>
      </w:r>
      <w:r w:rsidR="005B31BF" w:rsidRPr="004E4188">
        <w:rPr>
          <w:szCs w:val="24"/>
        </w:rPr>
        <w:t>.</w:t>
      </w:r>
    </w:p>
    <w:p w14:paraId="615EF027" w14:textId="1772A75B" w:rsidR="006F129D" w:rsidRPr="004E4188" w:rsidRDefault="006F129D" w:rsidP="000F2B7A">
      <w:pPr>
        <w:spacing w:after="120"/>
        <w:ind w:left="1837" w:hanging="397"/>
      </w:pPr>
      <w:r w:rsidRPr="004E4188">
        <w:t>(b)</w:t>
      </w:r>
      <w:r w:rsidRPr="004E4188">
        <w:rPr>
          <w:lang w:eastAsia="ja-JP"/>
        </w:rPr>
        <w:tab/>
      </w:r>
      <w:r w:rsidRPr="004E4188">
        <w:rPr>
          <w:szCs w:val="24"/>
        </w:rPr>
        <w:t>Antécédents de non-exécution de marchés et litiges</w:t>
      </w:r>
      <w:r w:rsidR="005B31BF" w:rsidRPr="004E4188">
        <w:rPr>
          <w:szCs w:val="24"/>
        </w:rPr>
        <w:t>.</w:t>
      </w:r>
    </w:p>
    <w:p w14:paraId="122FE7C8" w14:textId="03FD53FD" w:rsidR="006F129D" w:rsidRPr="004E4188" w:rsidRDefault="006F129D" w:rsidP="000F2B7A">
      <w:pPr>
        <w:spacing w:after="120"/>
        <w:ind w:left="1837" w:hanging="397"/>
      </w:pPr>
      <w:r w:rsidRPr="004E4188">
        <w:t>(c)</w:t>
      </w:r>
      <w:r w:rsidRPr="004E4188">
        <w:rPr>
          <w:lang w:eastAsia="ja-JP"/>
        </w:rPr>
        <w:tab/>
      </w:r>
      <w:r w:rsidRPr="004E4188">
        <w:rPr>
          <w:szCs w:val="24"/>
        </w:rPr>
        <w:t>Situation et capacités financières</w:t>
      </w:r>
      <w:r w:rsidRPr="004E4188">
        <w:t>.</w:t>
      </w:r>
    </w:p>
    <w:p w14:paraId="4BF45406" w14:textId="77777777" w:rsidR="006F129D" w:rsidRPr="004E4188" w:rsidRDefault="006F129D" w:rsidP="000F2B7A">
      <w:pPr>
        <w:spacing w:before="60" w:after="120"/>
        <w:ind w:left="1440"/>
        <w:rPr>
          <w:szCs w:val="24"/>
          <w:lang w:eastAsia="ja-JP"/>
        </w:rPr>
      </w:pPr>
      <w:r w:rsidRPr="004E4188">
        <w:rPr>
          <w:rFonts w:hint="eastAsia"/>
          <w:szCs w:val="24"/>
          <w:lang w:eastAsia="ja-JP"/>
        </w:rPr>
        <w:t xml:space="preserve">Le Soumissionnaire </w:t>
      </w:r>
      <w:r w:rsidRPr="004E4188">
        <w:rPr>
          <w:szCs w:val="24"/>
          <w:lang w:eastAsia="ja-JP"/>
        </w:rPr>
        <w:t xml:space="preserve">doit </w:t>
      </w:r>
      <w:r w:rsidRPr="004E4188">
        <w:rPr>
          <w:rFonts w:hint="eastAsia"/>
          <w:szCs w:val="24"/>
          <w:lang w:eastAsia="ja-JP"/>
        </w:rPr>
        <w:t>fournir</w:t>
      </w:r>
      <w:r w:rsidRPr="004E4188">
        <w:rPr>
          <w:szCs w:val="24"/>
          <w:lang w:eastAsia="ja-JP"/>
        </w:rPr>
        <w:t xml:space="preserve"> des détails actualisés sur les critères sus-mentionnés en utilisant les formulaires correspondants figurant à la Section IV, Formulaires de soumission.</w:t>
      </w:r>
    </w:p>
    <w:p w14:paraId="7EA526E3" w14:textId="77777777" w:rsidR="000F2B7A" w:rsidRPr="004E4188" w:rsidRDefault="000F2B7A" w:rsidP="000F2B7A">
      <w:pPr>
        <w:spacing w:before="60" w:after="120"/>
        <w:ind w:left="1440"/>
        <w:rPr>
          <w:szCs w:val="24"/>
          <w:lang w:eastAsia="ja-JP"/>
        </w:rPr>
      </w:pPr>
    </w:p>
    <w:p w14:paraId="77485540" w14:textId="77777777" w:rsidR="006F129D" w:rsidRPr="004E4188" w:rsidRDefault="006F129D" w:rsidP="00D45EAD">
      <w:pPr>
        <w:suppressAutoHyphens w:val="0"/>
        <w:overflowPunct/>
        <w:autoSpaceDE/>
        <w:autoSpaceDN/>
        <w:adjustRightInd/>
        <w:spacing w:after="80"/>
        <w:textAlignment w:val="auto"/>
        <w:rPr>
          <w:b/>
          <w:bCs/>
          <w:lang w:eastAsia="en-US"/>
        </w:rPr>
        <w:sectPr w:rsidR="006F129D" w:rsidRPr="004E4188" w:rsidSect="00DB2695">
          <w:headerReference w:type="even" r:id="rId43"/>
          <w:headerReference w:type="default" r:id="rId44"/>
          <w:headerReference w:type="first" r:id="rId45"/>
          <w:endnotePr>
            <w:numFmt w:val="decimal"/>
          </w:endnotePr>
          <w:type w:val="nextColumn"/>
          <w:pgSz w:w="12240" w:h="15840" w:code="1"/>
          <w:pgMar w:top="1440" w:right="1440" w:bottom="1440" w:left="1440" w:header="720" w:footer="720" w:gutter="0"/>
          <w:pgNumType w:start="1"/>
          <w:cols w:space="720"/>
          <w:docGrid w:linePitch="326"/>
        </w:sectPr>
      </w:pPr>
    </w:p>
    <w:p w14:paraId="66DADC13" w14:textId="0B150B1D" w:rsidR="006F129D" w:rsidRPr="004E4188" w:rsidRDefault="006F129D" w:rsidP="008F1DFA">
      <w:pPr>
        <w:pStyle w:val="17"/>
        <w:rPr>
          <w:color w:val="FF0000"/>
          <w:lang w:val="fr-FR"/>
        </w:rPr>
      </w:pPr>
      <w:r w:rsidRPr="004E4188">
        <w:rPr>
          <w:lang w:val="fr-FR"/>
        </w:rPr>
        <w:t>Section III. Critères d’évaluation et de qualification</w:t>
      </w:r>
      <w:r w:rsidRPr="004E4188">
        <w:rPr>
          <w:lang w:val="fr-FR"/>
        </w:rPr>
        <w:br/>
        <w:t>(Option II : sans préqualification)</w:t>
      </w:r>
    </w:p>
    <w:p w14:paraId="7539ABA0" w14:textId="77777777" w:rsidR="006F129D" w:rsidRPr="004E4188" w:rsidRDefault="006F129D" w:rsidP="007B0B65">
      <w:pPr>
        <w:pStyle w:val="af5"/>
        <w:rPr>
          <w:color w:val="FF0000"/>
          <w:lang w:val="fr-FR"/>
        </w:rPr>
      </w:pPr>
    </w:p>
    <w:p w14:paraId="407A1A74" w14:textId="77777777" w:rsidR="006F129D" w:rsidRPr="004E4188" w:rsidRDefault="006F129D" w:rsidP="007B0B65">
      <w:pPr>
        <w:pStyle w:val="af5"/>
        <w:rPr>
          <w:color w:val="FF0000"/>
          <w:lang w:val="fr-F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3"/>
      </w:tblGrid>
      <w:tr w:rsidR="006F129D" w:rsidRPr="004E4188" w14:paraId="52E06895" w14:textId="77777777" w:rsidTr="007B0B65">
        <w:trPr>
          <w:trHeight w:val="1030"/>
        </w:trPr>
        <w:tc>
          <w:tcPr>
            <w:tcW w:w="9558" w:type="dxa"/>
            <w:shd w:val="clear" w:color="auto" w:fill="auto"/>
          </w:tcPr>
          <w:p w14:paraId="27559B66" w14:textId="77777777" w:rsidR="006F129D" w:rsidRPr="004E4188" w:rsidRDefault="006F129D" w:rsidP="007B0B65">
            <w:pPr>
              <w:jc w:val="center"/>
              <w:rPr>
                <w:lang w:eastAsia="ja-JP"/>
              </w:rPr>
            </w:pPr>
          </w:p>
          <w:p w14:paraId="0A7E9087" w14:textId="77777777" w:rsidR="0013610D" w:rsidRPr="004E4188" w:rsidRDefault="006F129D" w:rsidP="00D45EAD">
            <w:pPr>
              <w:jc w:val="center"/>
              <w:rPr>
                <w:b/>
                <w:bCs/>
                <w:sz w:val="28"/>
                <w:szCs w:val="28"/>
              </w:rPr>
            </w:pPr>
            <w:r w:rsidRPr="004E4188">
              <w:rPr>
                <w:b/>
                <w:bCs/>
                <w:sz w:val="28"/>
                <w:szCs w:val="28"/>
              </w:rPr>
              <w:t>Notes à l’intention du Maître d’ouvrage</w:t>
            </w:r>
          </w:p>
          <w:p w14:paraId="5A9AE110" w14:textId="77777777" w:rsidR="006F129D" w:rsidRPr="004E4188" w:rsidRDefault="006F129D" w:rsidP="00D45EAD">
            <w:pPr>
              <w:jc w:val="center"/>
              <w:rPr>
                <w:lang w:eastAsia="ja-JP"/>
              </w:rPr>
            </w:pPr>
          </w:p>
          <w:p w14:paraId="02B90738" w14:textId="71180116" w:rsidR="006F129D" w:rsidRPr="004E4188" w:rsidRDefault="006F129D" w:rsidP="007B0B65">
            <w:pPr>
              <w:spacing w:afterLines="150" w:after="360"/>
            </w:pPr>
            <w:r w:rsidRPr="004E4188">
              <w:rPr>
                <w:lang w:eastAsia="ja-JP"/>
              </w:rPr>
              <w:t xml:space="preserve">Cette section indique les critères </w:t>
            </w:r>
            <w:r w:rsidRPr="004E4188">
              <w:t>utilisés pour déterminer l’offre évaluée la moins-disante et pour établir si le Soumissionnaire possède les qualifications nécessaires pour exécuter le Marché. Aucun autre facteur, critère ou méthode ne doit être utilisé. Le Soumissionnaire fournira toutes les informations demandées dans les formulaires de la Section IV, Formulaires de soumission.</w:t>
            </w:r>
          </w:p>
          <w:p w14:paraId="0F56B21C" w14:textId="35FEAB77" w:rsidR="006F129D" w:rsidRPr="004E4188" w:rsidRDefault="006F129D" w:rsidP="00D45EAD">
            <w:pPr>
              <w:overflowPunct/>
              <w:autoSpaceDE/>
              <w:autoSpaceDN/>
              <w:adjustRightInd/>
              <w:textAlignment w:val="auto"/>
              <w:rPr>
                <w:lang w:eastAsia="en-US"/>
              </w:rPr>
            </w:pPr>
            <w:r w:rsidRPr="004E4188">
              <w:rPr>
                <w:lang w:eastAsia="en-US"/>
              </w:rPr>
              <w:t>L</w:t>
            </w:r>
            <w:r w:rsidRPr="004E4188">
              <w:rPr>
                <w:rFonts w:hint="eastAsia"/>
                <w:lang w:eastAsia="en-US"/>
              </w:rPr>
              <w:t>e Ma</w:t>
            </w:r>
            <w:r w:rsidRPr="004E4188">
              <w:rPr>
                <w:lang w:eastAsia="en-US"/>
              </w:rPr>
              <w:t>ître d’ouvrage exige que les Soumissionnaires soient qualifiés en répondant à des critères minim</w:t>
            </w:r>
            <w:r w:rsidR="00456837" w:rsidRPr="004E4188">
              <w:rPr>
                <w:lang w:eastAsia="en-US"/>
              </w:rPr>
              <w:t>aux</w:t>
            </w:r>
            <w:r w:rsidRPr="004E4188">
              <w:rPr>
                <w:lang w:eastAsia="en-US"/>
              </w:rPr>
              <w:t xml:space="preserve"> précis et prédéfinis. La méthode implique la formulation de critères « réussite/échec » qui, s’ils ne sont pas remplis, entraînent la disqualification du Soumissionnaire. Pour cette raison il est nécessaire de définir des critères « réussite/échec » précis dans le Dossier d’appel d’offres afin de permettre aux Soumissionnaires de prendre une décision en connaissance de cause pour s’engager dans un Marché spécifique et, le cas échéant, pour poursuivre en tant qu’une entreprise unique ou un groupement d’entreprises. Les critères retenus doivent porter sur des caractéristiques indispensables à la bonne exécution du Marché et doivent être énoncés clairement.</w:t>
            </w:r>
          </w:p>
          <w:p w14:paraId="0BFB8996" w14:textId="77777777" w:rsidR="006F129D" w:rsidRPr="004E4188" w:rsidRDefault="006F129D" w:rsidP="0073615B">
            <w:pPr>
              <w:overflowPunct/>
              <w:autoSpaceDE/>
              <w:autoSpaceDN/>
              <w:adjustRightInd/>
              <w:spacing w:afterLines="50" w:after="120"/>
              <w:textAlignment w:val="auto"/>
              <w:rPr>
                <w:lang w:eastAsia="ja-JP"/>
              </w:rPr>
            </w:pPr>
          </w:p>
          <w:p w14:paraId="4BD9E674" w14:textId="77777777" w:rsidR="006F129D" w:rsidRPr="004E4188" w:rsidRDefault="006F129D" w:rsidP="00D45EAD">
            <w:pPr>
              <w:suppressAutoHyphens w:val="0"/>
              <w:overflowPunct/>
              <w:autoSpaceDE/>
              <w:autoSpaceDN/>
              <w:adjustRightInd/>
              <w:textAlignment w:val="auto"/>
              <w:rPr>
                <w:lang w:eastAsia="ja-JP"/>
              </w:rPr>
            </w:pPr>
            <w:bookmarkStart w:id="357" w:name="_Toc34225116"/>
            <w:bookmarkStart w:id="358" w:name="_Toc34227277"/>
            <w:bookmarkStart w:id="359" w:name="_Toc35283268"/>
            <w:bookmarkStart w:id="360" w:name="_Toc35533614"/>
            <w:r w:rsidRPr="004E4188">
              <w:rPr>
                <w:lang w:eastAsia="ja-JP"/>
              </w:rPr>
              <w:t xml:space="preserve">Les notes intitulées « </w:t>
            </w:r>
            <w:r w:rsidRPr="004E4188">
              <w:rPr>
                <w:i/>
                <w:lang w:eastAsia="ja-JP"/>
              </w:rPr>
              <w:t>Notes à l’intention du Maître d’ouvrage</w:t>
            </w:r>
            <w:r w:rsidRPr="004E4188">
              <w:rPr>
                <w:lang w:eastAsia="ja-JP"/>
              </w:rPr>
              <w:t xml:space="preserve"> », « en encadré » et celles en italique ne font pas partie des Critères d’évaluation et de qualification, mais contiennent des indications et des instructions à l’intention du Maître d’ouvrage. Elles doivent être retirées du Dossier d’appel d’offres qui sera remis aux Soumissionnaires.</w:t>
            </w:r>
            <w:bookmarkEnd w:id="357"/>
            <w:bookmarkEnd w:id="358"/>
            <w:bookmarkEnd w:id="359"/>
            <w:bookmarkEnd w:id="360"/>
          </w:p>
          <w:p w14:paraId="016ADB5E" w14:textId="77777777" w:rsidR="006F129D" w:rsidRPr="004E4188" w:rsidRDefault="006F129D" w:rsidP="0073615B">
            <w:pPr>
              <w:spacing w:afterLines="50" w:after="120"/>
            </w:pPr>
          </w:p>
          <w:p w14:paraId="7B6E55D9" w14:textId="6D3CC7C9" w:rsidR="006F129D" w:rsidRPr="004E4188" w:rsidRDefault="006F129D" w:rsidP="00D45EAD">
            <w:pPr>
              <w:spacing w:afterLines="150" w:after="360"/>
              <w:rPr>
                <w:spacing w:val="-2"/>
              </w:rPr>
            </w:pPr>
            <w:r w:rsidRPr="004E4188">
              <w:rPr>
                <w:lang w:eastAsia="ja-JP"/>
              </w:rPr>
              <w:t>L</w:t>
            </w:r>
            <w:r w:rsidRPr="004E4188">
              <w:t>es « </w:t>
            </w:r>
            <w:r w:rsidRPr="004E4188">
              <w:rPr>
                <w:i/>
              </w:rPr>
              <w:t>Notes à l’intention des Soumissionnaires</w:t>
            </w:r>
            <w:r w:rsidRPr="004E4188">
              <w:t> »</w:t>
            </w:r>
            <w:r w:rsidRPr="004E4188">
              <w:rPr>
                <w:spacing w:val="-2"/>
              </w:rPr>
              <w:t>, incluses dans cette Section III, devront être incorporées dans le Dossier d’appel d’offres</w:t>
            </w:r>
            <w:r w:rsidRPr="004E4188">
              <w:t xml:space="preserve"> qui sera remis au</w:t>
            </w:r>
            <w:r w:rsidRPr="004E4188">
              <w:rPr>
                <w:rFonts w:hint="eastAsia"/>
                <w:lang w:eastAsia="ja-JP"/>
              </w:rPr>
              <w:t>x</w:t>
            </w:r>
            <w:r w:rsidRPr="004E4188">
              <w:t xml:space="preserve"> Soumissionnaire</w:t>
            </w:r>
            <w:r w:rsidRPr="004E4188">
              <w:rPr>
                <w:lang w:eastAsia="ja-JP"/>
              </w:rPr>
              <w:t>s</w:t>
            </w:r>
            <w:r w:rsidRPr="004E4188">
              <w:rPr>
                <w:rFonts w:hint="eastAsia"/>
                <w:lang w:eastAsia="ja-JP"/>
              </w:rPr>
              <w:t>.</w:t>
            </w:r>
          </w:p>
        </w:tc>
      </w:tr>
    </w:tbl>
    <w:p w14:paraId="06190029" w14:textId="77777777" w:rsidR="006F129D" w:rsidRPr="004E4188" w:rsidRDefault="006F129D" w:rsidP="007B0B65">
      <w:pPr>
        <w:pStyle w:val="af5"/>
        <w:jc w:val="both"/>
        <w:rPr>
          <w:color w:val="FF0000"/>
          <w:lang w:val="fr-FR"/>
        </w:rPr>
      </w:pPr>
    </w:p>
    <w:p w14:paraId="0827EB2E" w14:textId="77777777" w:rsidR="006F129D" w:rsidRPr="004E4188" w:rsidRDefault="006F129D" w:rsidP="007B0B65">
      <w:pPr>
        <w:pStyle w:val="af5"/>
        <w:rPr>
          <w:lang w:val="fr-FR"/>
        </w:rPr>
        <w:sectPr w:rsidR="006F129D" w:rsidRPr="004E4188" w:rsidSect="00FB7055">
          <w:headerReference w:type="even" r:id="rId46"/>
          <w:headerReference w:type="default" r:id="rId47"/>
          <w:headerReference w:type="first" r:id="rId48"/>
          <w:footnotePr>
            <w:numRestart w:val="eachPage"/>
          </w:footnotePr>
          <w:endnotePr>
            <w:numFmt w:val="decimal"/>
          </w:endnotePr>
          <w:type w:val="nextColumn"/>
          <w:pgSz w:w="12240" w:h="15840" w:code="1"/>
          <w:pgMar w:top="1440" w:right="1440" w:bottom="1440" w:left="1797" w:header="720" w:footer="720" w:gutter="0"/>
          <w:pgNumType w:start="1"/>
          <w:cols w:space="720"/>
        </w:sectPr>
      </w:pPr>
    </w:p>
    <w:p w14:paraId="10C66506" w14:textId="4FC96234" w:rsidR="006F129D" w:rsidRPr="004E4188" w:rsidRDefault="006F129D" w:rsidP="00D55C66">
      <w:pPr>
        <w:spacing w:after="240"/>
        <w:jc w:val="center"/>
        <w:rPr>
          <w:b/>
          <w:sz w:val="36"/>
          <w:szCs w:val="36"/>
        </w:rPr>
      </w:pPr>
      <w:r w:rsidRPr="004E4188">
        <w:rPr>
          <w:b/>
          <w:sz w:val="36"/>
          <w:szCs w:val="36"/>
        </w:rPr>
        <w:t>Critères d’évaluation et de qualification</w:t>
      </w:r>
      <w:r w:rsidRPr="004E4188">
        <w:rPr>
          <w:b/>
          <w:sz w:val="36"/>
          <w:szCs w:val="36"/>
        </w:rPr>
        <w:br/>
        <w:t>(sans préqualification)</w:t>
      </w:r>
    </w:p>
    <w:p w14:paraId="73FD56DF" w14:textId="77777777" w:rsidR="006F129D" w:rsidRPr="004E4188" w:rsidRDefault="006F129D" w:rsidP="007B0B65">
      <w:pPr>
        <w:tabs>
          <w:tab w:val="left" w:pos="-1440"/>
          <w:tab w:val="left" w:pos="-720"/>
          <w:tab w:val="left" w:pos="0"/>
          <w:tab w:val="left" w:pos="1440"/>
          <w:tab w:val="left" w:pos="2160"/>
          <w:tab w:val="left" w:pos="4680"/>
          <w:tab w:val="center" w:pos="7380"/>
        </w:tabs>
        <w:ind w:left="720"/>
      </w:pPr>
    </w:p>
    <w:p w14:paraId="58FAA278" w14:textId="758C2EBE" w:rsidR="006F129D" w:rsidRPr="004E4188" w:rsidRDefault="006F129D" w:rsidP="0013610D">
      <w:pPr>
        <w:suppressAutoHyphens w:val="0"/>
        <w:overflowPunct/>
        <w:autoSpaceDE/>
        <w:autoSpaceDN/>
        <w:adjustRightInd/>
        <w:ind w:left="851" w:hanging="851"/>
        <w:jc w:val="left"/>
        <w:textAlignment w:val="auto"/>
        <w:rPr>
          <w:b/>
          <w:sz w:val="30"/>
          <w:szCs w:val="28"/>
        </w:rPr>
      </w:pPr>
      <w:r w:rsidRPr="004E4188">
        <w:rPr>
          <w:b/>
          <w:sz w:val="30"/>
          <w:szCs w:val="28"/>
        </w:rPr>
        <w:t>1</w:t>
      </w:r>
      <w:r w:rsidR="00DF2484" w:rsidRPr="004E4188">
        <w:rPr>
          <w:b/>
          <w:sz w:val="30"/>
          <w:szCs w:val="28"/>
        </w:rPr>
        <w:t>.</w:t>
      </w:r>
      <w:r w:rsidRPr="004E4188">
        <w:rPr>
          <w:b/>
          <w:sz w:val="30"/>
          <w:szCs w:val="28"/>
          <w:lang w:eastAsia="ja-JP"/>
        </w:rPr>
        <w:tab/>
      </w:r>
      <w:r w:rsidRPr="004E4188">
        <w:rPr>
          <w:b/>
          <w:sz w:val="30"/>
          <w:szCs w:val="28"/>
        </w:rPr>
        <w:t>Évaluation</w:t>
      </w:r>
    </w:p>
    <w:p w14:paraId="2237C05E" w14:textId="77777777" w:rsidR="006F129D" w:rsidRPr="004E4188" w:rsidRDefault="006F129D" w:rsidP="00D45EAD">
      <w:pPr>
        <w:tabs>
          <w:tab w:val="num" w:pos="720"/>
        </w:tabs>
        <w:suppressAutoHyphens w:val="0"/>
        <w:overflowPunct/>
        <w:autoSpaceDE/>
        <w:autoSpaceDN/>
        <w:adjustRightInd/>
        <w:ind w:left="720" w:hanging="720"/>
        <w:jc w:val="left"/>
        <w:textAlignment w:val="auto"/>
      </w:pPr>
    </w:p>
    <w:p w14:paraId="4FDBA9C5" w14:textId="11586964" w:rsidR="006F129D" w:rsidRPr="004E4188" w:rsidRDefault="006F129D" w:rsidP="0013610D">
      <w:pPr>
        <w:suppressAutoHyphens w:val="0"/>
        <w:overflowPunct/>
        <w:autoSpaceDE/>
        <w:autoSpaceDN/>
        <w:adjustRightInd/>
        <w:ind w:left="851" w:hanging="851"/>
        <w:jc w:val="left"/>
        <w:textAlignment w:val="auto"/>
        <w:rPr>
          <w:szCs w:val="24"/>
          <w:lang w:eastAsia="en-US"/>
        </w:rPr>
      </w:pPr>
      <w:r w:rsidRPr="004E4188">
        <w:rPr>
          <w:b/>
          <w:sz w:val="28"/>
          <w:szCs w:val="28"/>
        </w:rPr>
        <w:t>1.</w:t>
      </w:r>
      <w:r w:rsidRPr="004E4188">
        <w:rPr>
          <w:b/>
          <w:bCs/>
          <w:sz w:val="28"/>
          <w:szCs w:val="28"/>
          <w:lang w:eastAsia="ja-JP"/>
        </w:rPr>
        <w:t>1</w:t>
      </w:r>
      <w:r w:rsidRPr="004E4188">
        <w:rPr>
          <w:b/>
          <w:sz w:val="28"/>
          <w:szCs w:val="28"/>
          <w:lang w:eastAsia="ja-JP"/>
        </w:rPr>
        <w:tab/>
      </w:r>
      <w:r w:rsidRPr="004E4188">
        <w:rPr>
          <w:b/>
          <w:sz w:val="28"/>
          <w:szCs w:val="28"/>
        </w:rPr>
        <w:t>Évaluation des Offres Techniques</w:t>
      </w:r>
    </w:p>
    <w:p w14:paraId="390CB951" w14:textId="77777777" w:rsidR="006F129D" w:rsidRPr="004E4188" w:rsidRDefault="006F129D" w:rsidP="0013610D">
      <w:pPr>
        <w:suppressAutoHyphens w:val="0"/>
        <w:overflowPunct/>
        <w:autoSpaceDE/>
        <w:autoSpaceDN/>
        <w:adjustRightInd/>
        <w:spacing w:after="120"/>
        <w:ind w:left="850"/>
        <w:textAlignment w:val="auto"/>
        <w:rPr>
          <w:szCs w:val="24"/>
          <w:lang w:eastAsia="en-US"/>
        </w:rPr>
      </w:pPr>
      <w:r w:rsidRPr="004E4188">
        <w:rPr>
          <w:szCs w:val="24"/>
          <w:lang w:eastAsia="en-US"/>
        </w:rPr>
        <w:t>L</w:t>
      </w:r>
      <w:r w:rsidRPr="004E4188">
        <w:rPr>
          <w:lang w:eastAsia="en-US"/>
        </w:rPr>
        <w:t xml:space="preserve">’évaluation des Offres </w:t>
      </w:r>
      <w:r w:rsidRPr="004E4188">
        <w:rPr>
          <w:szCs w:val="24"/>
          <w:lang w:eastAsia="en-US"/>
        </w:rPr>
        <w:t>Techniques</w:t>
      </w:r>
      <w:r w:rsidRPr="004E4188">
        <w:rPr>
          <w:lang w:eastAsia="en-US"/>
        </w:rPr>
        <w:t xml:space="preserve"> comporte les étapes suivantes </w:t>
      </w:r>
      <w:r w:rsidRPr="004E4188">
        <w:rPr>
          <w:szCs w:val="24"/>
          <w:lang w:eastAsia="en-US"/>
        </w:rPr>
        <w:t xml:space="preserve">: </w:t>
      </w:r>
    </w:p>
    <w:p w14:paraId="382E2E98" w14:textId="75C973A5" w:rsidR="006F129D" w:rsidRPr="004E4188" w:rsidRDefault="006F129D" w:rsidP="00D45EAD">
      <w:pPr>
        <w:widowControl w:val="0"/>
        <w:tabs>
          <w:tab w:val="left" w:pos="1418"/>
        </w:tabs>
        <w:suppressAutoHyphens w:val="0"/>
        <w:overflowPunct/>
        <w:autoSpaceDE/>
        <w:autoSpaceDN/>
        <w:adjustRightInd/>
        <w:spacing w:after="60" w:line="0" w:lineRule="atLeast"/>
        <w:ind w:left="1418" w:hanging="567"/>
        <w:textAlignment w:val="auto"/>
        <w:rPr>
          <w:szCs w:val="24"/>
          <w:lang w:eastAsia="en-US"/>
        </w:rPr>
      </w:pPr>
      <w:r w:rsidRPr="004E4188">
        <w:rPr>
          <w:szCs w:val="24"/>
          <w:lang w:eastAsia="en-US"/>
        </w:rPr>
        <w:t>(a)</w:t>
      </w:r>
      <w:r w:rsidRPr="004E4188">
        <w:rPr>
          <w:szCs w:val="24"/>
          <w:lang w:eastAsia="en-US"/>
        </w:rPr>
        <w:tab/>
        <w:t>L</w:t>
      </w:r>
      <w:r w:rsidRPr="004E4188">
        <w:rPr>
          <w:rFonts w:hint="eastAsia"/>
          <w:szCs w:val="24"/>
          <w:lang w:eastAsia="en-US"/>
        </w:rPr>
        <w:t xml:space="preserve">a </w:t>
      </w:r>
      <w:r w:rsidRPr="004E4188">
        <w:rPr>
          <w:szCs w:val="24"/>
          <w:lang w:eastAsia="en-US"/>
        </w:rPr>
        <w:t>confirmation</w:t>
      </w:r>
      <w:r w:rsidRPr="004E4188">
        <w:rPr>
          <w:rFonts w:hint="eastAsia"/>
          <w:szCs w:val="24"/>
          <w:lang w:eastAsia="en-US"/>
        </w:rPr>
        <w:t xml:space="preserve"> </w:t>
      </w:r>
      <w:r w:rsidRPr="004E4188">
        <w:rPr>
          <w:szCs w:val="24"/>
          <w:lang w:eastAsia="en-US"/>
        </w:rPr>
        <w:t>des qualifications du Soumissionnaire à exécuter le Marché de manière satisfaisante conformément à IS</w:t>
      </w:r>
      <w:r w:rsidR="00DF2484" w:rsidRPr="004E4188">
        <w:rPr>
          <w:szCs w:val="24"/>
        </w:rPr>
        <w:t> </w:t>
      </w:r>
      <w:r w:rsidRPr="004E4188">
        <w:rPr>
          <w:szCs w:val="24"/>
          <w:lang w:eastAsia="en-US"/>
        </w:rPr>
        <w:t>30. Les critères de qualification à considérer sont détaillés plus bas à l’Article 2 (</w:t>
      </w:r>
      <w:r w:rsidRPr="004E4188">
        <w:rPr>
          <w:i/>
          <w:szCs w:val="24"/>
          <w:lang w:eastAsia="en-US"/>
        </w:rPr>
        <w:t>Qualification</w:t>
      </w:r>
      <w:r w:rsidRPr="004E4188">
        <w:rPr>
          <w:szCs w:val="24"/>
          <w:lang w:eastAsia="en-US"/>
        </w:rPr>
        <w:t>).</w:t>
      </w:r>
    </w:p>
    <w:p w14:paraId="5EBE52B6"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418" w:hanging="567"/>
        <w:textAlignment w:val="auto"/>
        <w:rPr>
          <w:szCs w:val="24"/>
          <w:lang w:eastAsia="en-US"/>
        </w:rPr>
      </w:pPr>
      <w:r w:rsidRPr="004E4188">
        <w:rPr>
          <w:szCs w:val="24"/>
          <w:lang w:eastAsia="en-US"/>
        </w:rPr>
        <w:t>(b)</w:t>
      </w:r>
      <w:r w:rsidRPr="004E4188">
        <w:rPr>
          <w:szCs w:val="24"/>
          <w:lang w:eastAsia="en-US"/>
        </w:rPr>
        <w:tab/>
        <w:t>L</w:t>
      </w:r>
      <w:r w:rsidRPr="004E4188">
        <w:rPr>
          <w:rFonts w:hint="eastAsia"/>
          <w:szCs w:val="24"/>
          <w:lang w:eastAsia="en-US"/>
        </w:rPr>
        <w:t>a vérification que l</w:t>
      </w:r>
      <w:r w:rsidRPr="004E4188">
        <w:rPr>
          <w:szCs w:val="24"/>
          <w:lang w:eastAsia="en-US"/>
        </w:rPr>
        <w:t>’Offre Technique est substantiellement conforme telle que définie à IS 31. Les critères d’évaluation à considérer sont décrits ci-dessous.</w:t>
      </w:r>
    </w:p>
    <w:p w14:paraId="4677F39F" w14:textId="77777777" w:rsidR="006F129D" w:rsidRPr="004E4188" w:rsidRDefault="006F129D" w:rsidP="00D45EAD">
      <w:pPr>
        <w:suppressAutoHyphens w:val="0"/>
        <w:overflowPunct/>
        <w:autoSpaceDE/>
        <w:autoSpaceDN/>
        <w:adjustRightInd/>
        <w:spacing w:after="120"/>
        <w:ind w:left="1418"/>
        <w:textAlignment w:val="auto"/>
        <w:rPr>
          <w:szCs w:val="24"/>
          <w:lang w:eastAsia="en-US"/>
        </w:rPr>
      </w:pPr>
      <w:r w:rsidRPr="004E4188">
        <w:rPr>
          <w:szCs w:val="24"/>
          <w:lang w:eastAsia="en-US"/>
        </w:rPr>
        <w:t>Cette étape comprend, entre autres, une évaluation de la conformité de la Proposition technique présentée par le Soumissionnaire, au cours de laquelle les capacités techniques du Soumissionnaire à terminer les Installations seront vérifiées</w:t>
      </w:r>
      <w:r w:rsidRPr="004E4188">
        <w:rPr>
          <w:color w:val="FF0000"/>
          <w:szCs w:val="24"/>
          <w:lang w:eastAsia="en-US"/>
        </w:rPr>
        <w:t xml:space="preserve"> </w:t>
      </w:r>
      <w:r w:rsidRPr="004E4188">
        <w:rPr>
          <w:szCs w:val="24"/>
          <w:lang w:eastAsia="en-US"/>
        </w:rPr>
        <w:t>sous l’angle des points exposés ci-après.</w:t>
      </w:r>
      <w:r w:rsidRPr="004E4188">
        <w:rPr>
          <w:lang w:eastAsia="en-US"/>
        </w:rPr>
        <w:t xml:space="preserve"> Sur la base de cette évaluation, le Maître d’ouvrage déterminera si la Proposition technique est substantiellement conforme aux exigences définies à la Section VI, Exigences du Maître d’</w:t>
      </w:r>
      <w:r w:rsidRPr="004E4188">
        <w:rPr>
          <w:rFonts w:hint="eastAsia"/>
          <w:lang w:eastAsia="en-US"/>
        </w:rPr>
        <w:t>o</w:t>
      </w:r>
      <w:r w:rsidRPr="004E4188">
        <w:rPr>
          <w:lang w:eastAsia="en-US"/>
        </w:rPr>
        <w:t>uvrage</w:t>
      </w:r>
      <w:r w:rsidRPr="004E4188">
        <w:rPr>
          <w:szCs w:val="24"/>
          <w:lang w:eastAsia="en-US"/>
        </w:rPr>
        <w:t>.</w:t>
      </w:r>
    </w:p>
    <w:p w14:paraId="02C9FCFF"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(i)</w:t>
      </w:r>
      <w:r w:rsidRPr="004E4188">
        <w:rPr>
          <w:szCs w:val="24"/>
          <w:lang w:eastAsia="en-US"/>
        </w:rPr>
        <w:tab/>
        <w:t>Son</w:t>
      </w:r>
      <w:r w:rsidRPr="004E4188">
        <w:rPr>
          <w:rFonts w:cs="HBKMBP+TimesNewRoman"/>
          <w:color w:val="000000"/>
          <w:szCs w:val="24"/>
          <w:lang w:eastAsia="en-US"/>
        </w:rPr>
        <w:t xml:space="preserve"> exhaustivité générale et concordance avec les Exigences du Maître d’ouvrage</w:t>
      </w:r>
      <w:r w:rsidRPr="004E4188">
        <w:rPr>
          <w:szCs w:val="24"/>
          <w:lang w:eastAsia="en-US"/>
        </w:rPr>
        <w:t xml:space="preserve">. </w:t>
      </w:r>
    </w:p>
    <w:p w14:paraId="19FB7B23" w14:textId="288BC25D"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(ii)</w:t>
      </w:r>
      <w:r w:rsidRPr="004E4188">
        <w:rPr>
          <w:szCs w:val="24"/>
          <w:lang w:eastAsia="en-US"/>
        </w:rPr>
        <w:tab/>
      </w:r>
      <w:r w:rsidRPr="004E4188">
        <w:rPr>
          <w:rFonts w:cs="HBKMBP+TimesNewRoman"/>
          <w:color w:val="000000"/>
          <w:szCs w:val="24"/>
          <w:lang w:eastAsia="en-US"/>
        </w:rPr>
        <w:t>La conformité des</w:t>
      </w:r>
      <w:r w:rsidRPr="004E4188">
        <w:rPr>
          <w:szCs w:val="24"/>
          <w:lang w:eastAsia="en-US"/>
        </w:rPr>
        <w:t xml:space="preserve"> </w:t>
      </w:r>
      <w:r w:rsidRPr="004E4188">
        <w:rPr>
          <w:szCs w:val="24"/>
        </w:rPr>
        <w:t>É</w:t>
      </w:r>
      <w:r w:rsidRPr="004E4188">
        <w:rPr>
          <w:szCs w:val="24"/>
          <w:lang w:eastAsia="en-US"/>
        </w:rPr>
        <w:t xml:space="preserve">quipements et Services de montage </w:t>
      </w:r>
      <w:r w:rsidRPr="004E4188">
        <w:rPr>
          <w:rFonts w:cs="HBKMBP+TimesNewRoman"/>
          <w:color w:val="000000"/>
          <w:szCs w:val="24"/>
          <w:lang w:eastAsia="en-US"/>
        </w:rPr>
        <w:t>avec</w:t>
      </w:r>
      <w:r w:rsidRPr="004E4188">
        <w:rPr>
          <w:color w:val="FF0000"/>
          <w:szCs w:val="24"/>
          <w:lang w:eastAsia="en-US"/>
        </w:rPr>
        <w:t xml:space="preserve"> </w:t>
      </w:r>
      <w:r w:rsidRPr="004E4188">
        <w:rPr>
          <w:rFonts w:cs="HBKMBP+TimesNewRoman"/>
          <w:color w:val="000000"/>
          <w:szCs w:val="24"/>
          <w:lang w:eastAsia="en-US"/>
        </w:rPr>
        <w:t>les critères de performance demandés, y compris avec les</w:t>
      </w:r>
      <w:r w:rsidRPr="004E4188">
        <w:rPr>
          <w:rFonts w:cs="HBKMBP+TimesNewRoman" w:hint="eastAsia"/>
          <w:color w:val="000000"/>
          <w:szCs w:val="24"/>
          <w:lang w:eastAsia="ja-JP"/>
        </w:rPr>
        <w:t xml:space="preserve"> </w:t>
      </w:r>
      <w:r w:rsidRPr="004E4188">
        <w:rPr>
          <w:rFonts w:cs="HBKMBP+TimesNewRoman"/>
          <w:color w:val="000000"/>
          <w:szCs w:val="24"/>
          <w:lang w:eastAsia="en-US"/>
        </w:rPr>
        <w:t xml:space="preserve">niveaux minimaux (ou maximaux, le cas échéant) acceptables spécifiés correspondant à chaque garantie opérationnelle comme indiqué dans les </w:t>
      </w:r>
      <w:r w:rsidRPr="004E4188">
        <w:rPr>
          <w:lang w:eastAsia="en-US"/>
        </w:rPr>
        <w:t>Exigences du Maître d’</w:t>
      </w:r>
      <w:r w:rsidRPr="004E4188">
        <w:rPr>
          <w:rFonts w:hint="eastAsia"/>
          <w:lang w:eastAsia="en-US"/>
        </w:rPr>
        <w:t>o</w:t>
      </w:r>
      <w:r w:rsidRPr="004E4188">
        <w:rPr>
          <w:lang w:eastAsia="en-US"/>
        </w:rPr>
        <w:t>uvrage</w:t>
      </w:r>
      <w:r w:rsidRPr="004E4188">
        <w:rPr>
          <w:rFonts w:cs="HBKMBP+TimesNewRoman"/>
          <w:color w:val="000000"/>
          <w:szCs w:val="24"/>
          <w:lang w:eastAsia="en-US"/>
        </w:rPr>
        <w:t xml:space="preserve"> et à cette </w:t>
      </w:r>
      <w:r w:rsidR="004F0FA4" w:rsidRPr="004E4188">
        <w:rPr>
          <w:rFonts w:cs="HBKMBP+TimesNewRoman"/>
          <w:color w:val="000000"/>
          <w:szCs w:val="24"/>
          <w:lang w:eastAsia="en-US"/>
        </w:rPr>
        <w:t>s</w:t>
      </w:r>
      <w:r w:rsidRPr="004E4188">
        <w:rPr>
          <w:rFonts w:cs="HBKMBP+TimesNewRoman"/>
          <w:color w:val="000000"/>
          <w:szCs w:val="24"/>
          <w:lang w:eastAsia="en-US"/>
        </w:rPr>
        <w:t>ection</w:t>
      </w:r>
      <w:r w:rsidRPr="004E4188">
        <w:rPr>
          <w:szCs w:val="24"/>
          <w:lang w:eastAsia="en-US"/>
        </w:rPr>
        <w:t>.</w:t>
      </w:r>
    </w:p>
    <w:p w14:paraId="5FAF9F8B"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(iii)</w:t>
      </w:r>
      <w:r w:rsidRPr="004E4188">
        <w:rPr>
          <w:szCs w:val="24"/>
          <w:lang w:eastAsia="en-US"/>
        </w:rPr>
        <w:tab/>
      </w:r>
      <w:r w:rsidRPr="004E4188">
        <w:rPr>
          <w:rFonts w:cs="HBKMBP+TimesNewRoman"/>
          <w:color w:val="000000"/>
          <w:szCs w:val="24"/>
          <w:lang w:eastAsia="en-US"/>
        </w:rPr>
        <w:t xml:space="preserve">La compatibilité des </w:t>
      </w:r>
      <w:r w:rsidRPr="004E4188">
        <w:rPr>
          <w:szCs w:val="24"/>
        </w:rPr>
        <w:t>É</w:t>
      </w:r>
      <w:r w:rsidRPr="004E4188">
        <w:rPr>
          <w:szCs w:val="24"/>
          <w:lang w:eastAsia="en-US"/>
        </w:rPr>
        <w:t>quipements et Services de montage</w:t>
      </w:r>
      <w:r w:rsidRPr="004E4188">
        <w:rPr>
          <w:rFonts w:cs="HBKMBP+TimesNewRoman"/>
          <w:color w:val="000000"/>
          <w:szCs w:val="24"/>
          <w:lang w:eastAsia="en-US"/>
        </w:rPr>
        <w:t xml:space="preserve"> avec la protection de l’environnement et les conditions climatiques prévalant sur le site</w:t>
      </w:r>
      <w:r w:rsidRPr="004E4188">
        <w:rPr>
          <w:szCs w:val="24"/>
          <w:lang w:eastAsia="en-US"/>
        </w:rPr>
        <w:t xml:space="preserve">. </w:t>
      </w:r>
    </w:p>
    <w:p w14:paraId="6F888051"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 xml:space="preserve">(iv) </w:t>
      </w:r>
      <w:r w:rsidRPr="004E4188">
        <w:rPr>
          <w:szCs w:val="24"/>
          <w:lang w:eastAsia="en-US"/>
        </w:rPr>
        <w:tab/>
      </w:r>
      <w:r w:rsidRPr="004E4188">
        <w:rPr>
          <w:rFonts w:cs="HBKMBP+TimesNewRoman"/>
          <w:color w:val="000000"/>
          <w:szCs w:val="24"/>
          <w:lang w:eastAsia="en-US"/>
        </w:rPr>
        <w:t>La qualité, le rôle et la mise en œuvre de tout procédé de contrôle proposé dans l</w:t>
      </w:r>
      <w:r w:rsidRPr="004E4188">
        <w:rPr>
          <w:spacing w:val="-4"/>
          <w:lang w:eastAsia="en-US"/>
        </w:rPr>
        <w:t>’offre</w:t>
      </w:r>
      <w:r w:rsidRPr="004E4188">
        <w:rPr>
          <w:szCs w:val="24"/>
          <w:lang w:eastAsia="en-US"/>
        </w:rPr>
        <w:t>.</w:t>
      </w:r>
    </w:p>
    <w:p w14:paraId="62AFA80C"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(v)</w:t>
      </w:r>
      <w:r w:rsidRPr="004E4188">
        <w:rPr>
          <w:szCs w:val="24"/>
          <w:lang w:eastAsia="en-US"/>
        </w:rPr>
        <w:tab/>
        <w:t xml:space="preserve">Le </w:t>
      </w:r>
      <w:r w:rsidRPr="004E4188">
        <w:rPr>
          <w:spacing w:val="-4"/>
          <w:lang w:eastAsia="en-US"/>
        </w:rPr>
        <w:t>type, la quantité, et la disponibilité à long terme des pièces de rechange obligatoires et recommandées, ainsi que les services de maintenance</w:t>
      </w:r>
      <w:r w:rsidRPr="004E4188">
        <w:rPr>
          <w:szCs w:val="24"/>
          <w:lang w:eastAsia="en-US"/>
        </w:rPr>
        <w:t>.</w:t>
      </w:r>
    </w:p>
    <w:p w14:paraId="07CEC1AF"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(vi)</w:t>
      </w:r>
      <w:r w:rsidRPr="004E4188">
        <w:rPr>
          <w:szCs w:val="24"/>
          <w:lang w:eastAsia="en-US"/>
        </w:rPr>
        <w:tab/>
        <w:t xml:space="preserve">La mobilisation des équipements principaux de construction et du personnel clé nécessaire à l’exécution des </w:t>
      </w:r>
      <w:r w:rsidRPr="004E4188">
        <w:rPr>
          <w:szCs w:val="24"/>
        </w:rPr>
        <w:t>É</w:t>
      </w:r>
      <w:r w:rsidRPr="004E4188">
        <w:rPr>
          <w:szCs w:val="24"/>
          <w:lang w:eastAsia="en-US"/>
        </w:rPr>
        <w:t>quipements et Services de montage.</w:t>
      </w:r>
    </w:p>
    <w:p w14:paraId="21E90A94"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(vii)</w:t>
      </w:r>
      <w:r w:rsidRPr="004E4188">
        <w:rPr>
          <w:szCs w:val="24"/>
          <w:lang w:eastAsia="en-US"/>
        </w:rPr>
        <w:tab/>
        <w:t xml:space="preserve">L’affectation appropriée du personnel pour superviser et contrôler de manière adéquate l’exécution des </w:t>
      </w:r>
      <w:r w:rsidRPr="004E4188">
        <w:rPr>
          <w:szCs w:val="24"/>
        </w:rPr>
        <w:t>É</w:t>
      </w:r>
      <w:r w:rsidRPr="004E4188">
        <w:rPr>
          <w:szCs w:val="24"/>
          <w:lang w:eastAsia="en-US"/>
        </w:rPr>
        <w:t>quipements et Services de montage</w:t>
      </w:r>
    </w:p>
    <w:p w14:paraId="0447857E"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(viii)</w:t>
      </w:r>
      <w:r w:rsidRPr="004E4188">
        <w:rPr>
          <w:szCs w:val="24"/>
          <w:lang w:eastAsia="en-US"/>
        </w:rPr>
        <w:tab/>
        <w:t>La p</w:t>
      </w:r>
      <w:r w:rsidRPr="004E4188">
        <w:rPr>
          <w:rFonts w:hint="eastAsia"/>
          <w:szCs w:val="24"/>
          <w:lang w:eastAsia="en-US"/>
        </w:rPr>
        <w:t>lanification</w:t>
      </w:r>
      <w:r w:rsidRPr="004E4188">
        <w:rPr>
          <w:szCs w:val="24"/>
          <w:lang w:eastAsia="en-US"/>
        </w:rPr>
        <w:t xml:space="preserve"> et la programmation de toutes les activités de manière à ce que les Installations soient achevées à temps et répondent à toutes les exigences du Marché, principalement </w:t>
      </w:r>
      <w:r w:rsidRPr="004E4188">
        <w:rPr>
          <w:rFonts w:cs="HBKMBP+TimesNewRoman"/>
          <w:szCs w:val="24"/>
          <w:lang w:eastAsia="en-US"/>
        </w:rPr>
        <w:t>le respect du calendrier d’exécution indiqué dans l’annexe correspondante de l’Acte d’engagement, et documenté par un planning des phases d’exécution fournis da</w:t>
      </w:r>
      <w:r w:rsidRPr="004E4188">
        <w:rPr>
          <w:lang w:eastAsia="en-US"/>
        </w:rPr>
        <w:t>ns la Proposition technique</w:t>
      </w:r>
      <w:r w:rsidRPr="004E4188">
        <w:rPr>
          <w:szCs w:val="24"/>
          <w:lang w:eastAsia="en-US"/>
        </w:rPr>
        <w:t>.</w:t>
      </w:r>
    </w:p>
    <w:p w14:paraId="46D8EF51"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(ix)</w:t>
      </w:r>
      <w:r w:rsidRPr="004E4188">
        <w:rPr>
          <w:szCs w:val="24"/>
          <w:lang w:eastAsia="en-US"/>
        </w:rPr>
        <w:tab/>
        <w:t xml:space="preserve">L’exécution des </w:t>
      </w:r>
      <w:r w:rsidRPr="004E4188">
        <w:rPr>
          <w:szCs w:val="24"/>
        </w:rPr>
        <w:t>É</w:t>
      </w:r>
      <w:r w:rsidRPr="004E4188">
        <w:rPr>
          <w:szCs w:val="24"/>
          <w:lang w:eastAsia="en-US"/>
        </w:rPr>
        <w:t>quipements et Services de montage en pleine conformité avec toutes les exigences du Marché, incluant, mais sans s’y limiter, les méthodes de travail, l’approvisionnement en matériaux, etc.</w:t>
      </w:r>
    </w:p>
    <w:p w14:paraId="0B61C747"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(x)</w:t>
      </w:r>
      <w:r w:rsidRPr="004E4188">
        <w:rPr>
          <w:szCs w:val="24"/>
          <w:lang w:eastAsia="en-US"/>
        </w:rPr>
        <w:tab/>
        <w:t xml:space="preserve">L’exécution de toutes les opérations pour les </w:t>
      </w:r>
      <w:r w:rsidRPr="004E4188">
        <w:rPr>
          <w:szCs w:val="24"/>
        </w:rPr>
        <w:t>É</w:t>
      </w:r>
      <w:r w:rsidRPr="004E4188">
        <w:rPr>
          <w:szCs w:val="24"/>
          <w:lang w:eastAsia="en-US"/>
        </w:rPr>
        <w:t>quipements et Services de montage en toute sécurité et dans le respect de l’environnement.</w:t>
      </w:r>
    </w:p>
    <w:p w14:paraId="4126A1E5" w14:textId="77777777" w:rsidR="006F129D" w:rsidRPr="004E4188" w:rsidRDefault="006F129D" w:rsidP="00D45EAD">
      <w:pPr>
        <w:widowControl w:val="0"/>
        <w:tabs>
          <w:tab w:val="left" w:pos="1418"/>
        </w:tabs>
        <w:suppressAutoHyphens w:val="0"/>
        <w:overflowPunct/>
        <w:autoSpaceDE/>
        <w:autoSpaceDN/>
        <w:adjustRightInd/>
        <w:spacing w:after="60" w:line="0" w:lineRule="atLeast"/>
        <w:ind w:left="1985" w:hanging="567"/>
        <w:textAlignment w:val="auto"/>
        <w:rPr>
          <w:szCs w:val="24"/>
          <w:lang w:eastAsia="en-US"/>
        </w:rPr>
      </w:pPr>
      <w:r w:rsidRPr="004E4188">
        <w:rPr>
          <w:szCs w:val="24"/>
          <w:lang w:eastAsia="en-US"/>
        </w:rPr>
        <w:t>(xi)</w:t>
      </w:r>
      <w:r w:rsidRPr="004E4188">
        <w:rPr>
          <w:szCs w:val="24"/>
          <w:lang w:eastAsia="en-US"/>
        </w:rPr>
        <w:tab/>
        <w:t xml:space="preserve">La conformité des sous-traitants proposés pour les </w:t>
      </w:r>
      <w:r w:rsidRPr="004E4188">
        <w:rPr>
          <w:lang w:eastAsia="en-US"/>
        </w:rPr>
        <w:t>élément</w:t>
      </w:r>
      <w:r w:rsidRPr="004E4188">
        <w:rPr>
          <w:rFonts w:hint="eastAsia"/>
          <w:lang w:eastAsia="ja-JP"/>
        </w:rPr>
        <w:t>s</w:t>
      </w:r>
      <w:r w:rsidRPr="004E4188">
        <w:rPr>
          <w:szCs w:val="24"/>
          <w:lang w:eastAsia="en-US"/>
        </w:rPr>
        <w:t xml:space="preserve"> </w:t>
      </w:r>
      <w:r w:rsidRPr="004E4188">
        <w:rPr>
          <w:rFonts w:hint="eastAsia"/>
          <w:szCs w:val="24"/>
          <w:lang w:eastAsia="en-US"/>
        </w:rPr>
        <w:t>é</w:t>
      </w:r>
      <w:r w:rsidRPr="004E4188">
        <w:rPr>
          <w:szCs w:val="24"/>
          <w:lang w:eastAsia="en-US"/>
        </w:rPr>
        <w:t>numérés à l’Article</w:t>
      </w:r>
      <w:r w:rsidRPr="004E4188">
        <w:rPr>
          <w:rFonts w:cs="HBKMBP+TimesNewRoman"/>
          <w:color w:val="000000"/>
          <w:szCs w:val="24"/>
          <w:lang w:eastAsia="en-US"/>
        </w:rPr>
        <w:t xml:space="preserve"> 1.1.3 ci-dessous, le cas échéant</w:t>
      </w:r>
      <w:r w:rsidRPr="004E4188">
        <w:rPr>
          <w:szCs w:val="24"/>
          <w:lang w:eastAsia="en-US"/>
        </w:rPr>
        <w:t>.</w:t>
      </w:r>
    </w:p>
    <w:p w14:paraId="021DA364" w14:textId="77777777" w:rsidR="006F129D" w:rsidRPr="004E4188" w:rsidRDefault="006F129D" w:rsidP="00D45EAD">
      <w:pPr>
        <w:suppressAutoHyphens w:val="0"/>
        <w:overflowPunct/>
        <w:autoSpaceDE/>
        <w:autoSpaceDN/>
        <w:adjustRightInd/>
        <w:ind w:left="851"/>
        <w:jc w:val="left"/>
        <w:textAlignment w:val="auto"/>
        <w:rPr>
          <w:b/>
          <w:bCs/>
          <w:lang w:eastAsia="ja-JP"/>
        </w:rPr>
      </w:pPr>
    </w:p>
    <w:p w14:paraId="4611D499" w14:textId="77777777" w:rsidR="006F129D" w:rsidRPr="004E4188" w:rsidRDefault="006F129D" w:rsidP="00D45EAD">
      <w:pPr>
        <w:suppressAutoHyphens w:val="0"/>
        <w:overflowPunct/>
        <w:autoSpaceDE/>
        <w:autoSpaceDN/>
        <w:adjustRightInd/>
        <w:ind w:left="851"/>
        <w:textAlignment w:val="auto"/>
        <w:rPr>
          <w:lang w:eastAsia="ja-JP"/>
        </w:rPr>
      </w:pPr>
      <w:r w:rsidRPr="004E4188">
        <w:rPr>
          <w:rFonts w:cs="HBKMBP+TimesNewRoman"/>
          <w:color w:val="000000"/>
          <w:szCs w:val="24"/>
          <w:lang w:eastAsia="en-US"/>
        </w:rPr>
        <w:t xml:space="preserve">Une offre qui ne satisfait pas aux exigences minimales acceptables en matière d’exhaustivité, de cohérence et de précision, ainsi qu’aux </w:t>
      </w:r>
      <w:r w:rsidRPr="004E4188">
        <w:rPr>
          <w:rFonts w:cs="HBKMBP+TimesNewRoman"/>
          <w:szCs w:val="24"/>
          <w:lang w:eastAsia="en-US"/>
        </w:rPr>
        <w:t>niveaux</w:t>
      </w:r>
      <w:r w:rsidRPr="004E4188">
        <w:rPr>
          <w:rFonts w:cs="HBKMBP+TimesNewRoman"/>
          <w:color w:val="FF0000"/>
          <w:szCs w:val="24"/>
          <w:lang w:eastAsia="en-US"/>
        </w:rPr>
        <w:t xml:space="preserve"> </w:t>
      </w:r>
      <w:r w:rsidRPr="004E4188">
        <w:rPr>
          <w:rFonts w:cs="HBKMBP+TimesNewRoman"/>
          <w:color w:val="000000"/>
          <w:szCs w:val="24"/>
          <w:lang w:eastAsia="en-US"/>
        </w:rPr>
        <w:t>minimaux (ou maximaux, le cas échéant) acceptables spécifiés pour les garanties opérationnelles requises, sera rejetée</w:t>
      </w:r>
      <w:r w:rsidRPr="004E4188">
        <w:rPr>
          <w:lang w:eastAsia="ja-JP"/>
        </w:rPr>
        <w:t>.</w:t>
      </w:r>
    </w:p>
    <w:p w14:paraId="3515BDF0" w14:textId="77777777" w:rsidR="006F129D" w:rsidRPr="004E4188" w:rsidRDefault="006F129D" w:rsidP="00D45EAD">
      <w:pPr>
        <w:pStyle w:val="ListParagraph1"/>
        <w:ind w:left="0"/>
        <w:jc w:val="left"/>
        <w:rPr>
          <w:b/>
          <w:lang w:val="fr-FR"/>
        </w:rPr>
      </w:pPr>
    </w:p>
    <w:p w14:paraId="76A404A5" w14:textId="77777777" w:rsidR="006F129D" w:rsidRPr="004E4188" w:rsidRDefault="006F129D" w:rsidP="0013610D">
      <w:pPr>
        <w:suppressAutoHyphens w:val="0"/>
        <w:overflowPunct/>
        <w:autoSpaceDE/>
        <w:autoSpaceDN/>
        <w:adjustRightInd/>
        <w:spacing w:after="120"/>
        <w:ind w:left="851" w:hanging="851"/>
        <w:textAlignment w:val="auto"/>
        <w:rPr>
          <w:b/>
        </w:rPr>
      </w:pPr>
      <w:r w:rsidRPr="004E4188">
        <w:rPr>
          <w:b/>
          <w:szCs w:val="24"/>
          <w:lang w:eastAsia="en-US"/>
        </w:rPr>
        <w:t>1</w:t>
      </w:r>
      <w:r w:rsidRPr="004E4188">
        <w:rPr>
          <w:b/>
        </w:rPr>
        <w:t>.1.1</w:t>
      </w:r>
      <w:r w:rsidRPr="004E4188">
        <w:rPr>
          <w:b/>
          <w:lang w:eastAsia="ja-JP"/>
        </w:rPr>
        <w:tab/>
      </w:r>
      <w:r w:rsidRPr="004E4188">
        <w:rPr>
          <w:b/>
        </w:rPr>
        <w:t>Personnel</w:t>
      </w:r>
    </w:p>
    <w:p w14:paraId="0D532CA6" w14:textId="182E512C" w:rsidR="006F129D" w:rsidRPr="004E4188" w:rsidRDefault="006F129D" w:rsidP="0013610D">
      <w:pPr>
        <w:widowControl w:val="0"/>
        <w:suppressAutoHyphens w:val="0"/>
        <w:overflowPunct/>
        <w:autoSpaceDE/>
        <w:autoSpaceDN/>
        <w:adjustRightInd/>
        <w:spacing w:line="0" w:lineRule="atLeast"/>
        <w:ind w:left="850"/>
        <w:textAlignment w:val="auto"/>
      </w:pPr>
      <w:r w:rsidRPr="004E4188">
        <w:t xml:space="preserve">Le Soumissionnaire doit établir qu’il dispose du personnel </w:t>
      </w:r>
      <w:r w:rsidRPr="004E4188">
        <w:rPr>
          <w:szCs w:val="24"/>
        </w:rPr>
        <w:t>répondant aux critères ci-après pour les postes-clés suivants </w:t>
      </w:r>
      <w:r w:rsidRPr="004E4188">
        <w:t>:</w:t>
      </w:r>
    </w:p>
    <w:p w14:paraId="4AE495C6" w14:textId="77777777" w:rsidR="006F129D" w:rsidRPr="004E4188" w:rsidRDefault="006F129D" w:rsidP="00D45EAD">
      <w:pPr>
        <w:widowControl w:val="0"/>
        <w:suppressAutoHyphens w:val="0"/>
        <w:overflowPunct/>
        <w:autoSpaceDE/>
        <w:autoSpaceDN/>
        <w:adjustRightInd/>
        <w:spacing w:line="0" w:lineRule="atLeast"/>
        <w:ind w:left="720"/>
        <w:textAlignment w:val="auto"/>
        <w:rPr>
          <w:lang w:eastAsia="ja-JP"/>
        </w:rPr>
      </w:pPr>
    </w:p>
    <w:tbl>
      <w:tblPr>
        <w:tblW w:w="8272"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043"/>
        <w:gridCol w:w="1559"/>
        <w:gridCol w:w="1961"/>
      </w:tblGrid>
      <w:tr w:rsidR="006F129D" w:rsidRPr="004E4188" w14:paraId="6A0A767F" w14:textId="77777777" w:rsidTr="00D45EAD">
        <w:tc>
          <w:tcPr>
            <w:tcW w:w="709" w:type="dxa"/>
            <w:vMerge w:val="restart"/>
            <w:tcBorders>
              <w:top w:val="single" w:sz="12" w:space="0" w:color="auto"/>
              <w:left w:val="single" w:sz="12" w:space="0" w:color="auto"/>
              <w:right w:val="single" w:sz="12" w:space="0" w:color="auto"/>
            </w:tcBorders>
            <w:shd w:val="clear" w:color="auto" w:fill="D9D9D9"/>
            <w:vAlign w:val="center"/>
          </w:tcPr>
          <w:p w14:paraId="3E52B2FC" w14:textId="77777777" w:rsidR="006F129D" w:rsidRPr="004E4188" w:rsidRDefault="006F129D" w:rsidP="007B0B65">
            <w:pPr>
              <w:jc w:val="center"/>
              <w:rPr>
                <w:rFonts w:ascii="Arial" w:hAnsi="Arial" w:cs="Arial"/>
                <w:b/>
                <w:bCs/>
                <w:sz w:val="20"/>
              </w:rPr>
            </w:pPr>
            <w:r w:rsidRPr="004E4188">
              <w:rPr>
                <w:rFonts w:ascii="Arial" w:hAnsi="Arial" w:cs="Arial"/>
                <w:b/>
                <w:bCs/>
                <w:sz w:val="20"/>
              </w:rPr>
              <w:t>n°</w:t>
            </w:r>
          </w:p>
        </w:tc>
        <w:tc>
          <w:tcPr>
            <w:tcW w:w="4043" w:type="dxa"/>
            <w:vMerge w:val="restart"/>
            <w:tcBorders>
              <w:top w:val="single" w:sz="12" w:space="0" w:color="auto"/>
              <w:left w:val="single" w:sz="12" w:space="0" w:color="auto"/>
              <w:right w:val="single" w:sz="12" w:space="0" w:color="auto"/>
            </w:tcBorders>
            <w:shd w:val="clear" w:color="auto" w:fill="D9D9D9"/>
            <w:vAlign w:val="center"/>
          </w:tcPr>
          <w:p w14:paraId="05A93029" w14:textId="77777777" w:rsidR="006F129D" w:rsidRPr="004E4188" w:rsidRDefault="006F129D" w:rsidP="007B0B65">
            <w:pPr>
              <w:jc w:val="center"/>
              <w:rPr>
                <w:rFonts w:ascii="Arial" w:hAnsi="Arial" w:cs="Arial"/>
                <w:b/>
                <w:bCs/>
                <w:sz w:val="20"/>
              </w:rPr>
            </w:pPr>
            <w:r w:rsidRPr="004E4188">
              <w:rPr>
                <w:rFonts w:ascii="Arial" w:hAnsi="Arial" w:cs="Arial"/>
                <w:b/>
                <w:bCs/>
                <w:sz w:val="20"/>
              </w:rPr>
              <w:t>Poste</w:t>
            </w:r>
          </w:p>
        </w:tc>
        <w:tc>
          <w:tcPr>
            <w:tcW w:w="352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6A95ABA" w14:textId="77777777" w:rsidR="006F129D" w:rsidRPr="004E4188" w:rsidRDefault="006F129D" w:rsidP="007B0B65">
            <w:pPr>
              <w:jc w:val="center"/>
              <w:rPr>
                <w:rFonts w:ascii="Arial" w:hAnsi="Arial" w:cs="Arial"/>
                <w:b/>
                <w:bCs/>
                <w:sz w:val="20"/>
                <w:lang w:eastAsia="ja-JP"/>
              </w:rPr>
            </w:pPr>
            <w:r w:rsidRPr="004E4188">
              <w:rPr>
                <w:rFonts w:ascii="Arial" w:hAnsi="Arial" w:cs="Arial"/>
                <w:b/>
                <w:bCs/>
                <w:sz w:val="20"/>
                <w:lang w:eastAsia="ja-JP"/>
              </w:rPr>
              <w:t>Nombre minimum d’années</w:t>
            </w:r>
          </w:p>
        </w:tc>
      </w:tr>
      <w:tr w:rsidR="006F129D" w:rsidRPr="004E4188" w14:paraId="355F2F5E" w14:textId="77777777" w:rsidTr="00D45EAD">
        <w:tc>
          <w:tcPr>
            <w:tcW w:w="709" w:type="dxa"/>
            <w:vMerge/>
            <w:tcBorders>
              <w:left w:val="single" w:sz="12" w:space="0" w:color="auto"/>
              <w:bottom w:val="single" w:sz="12" w:space="0" w:color="auto"/>
              <w:right w:val="single" w:sz="12" w:space="0" w:color="auto"/>
            </w:tcBorders>
            <w:shd w:val="clear" w:color="auto" w:fill="D9D9D9"/>
            <w:vAlign w:val="center"/>
          </w:tcPr>
          <w:p w14:paraId="2E70D9AD" w14:textId="77777777" w:rsidR="006F129D" w:rsidRPr="004E4188" w:rsidRDefault="006F129D" w:rsidP="007B0B65">
            <w:pPr>
              <w:jc w:val="center"/>
              <w:rPr>
                <w:rFonts w:ascii="Arial" w:hAnsi="Arial" w:cs="Arial"/>
                <w:b/>
                <w:bCs/>
                <w:sz w:val="20"/>
              </w:rPr>
            </w:pPr>
          </w:p>
        </w:tc>
        <w:tc>
          <w:tcPr>
            <w:tcW w:w="4043" w:type="dxa"/>
            <w:vMerge/>
            <w:tcBorders>
              <w:left w:val="single" w:sz="12" w:space="0" w:color="auto"/>
              <w:bottom w:val="single" w:sz="12" w:space="0" w:color="auto"/>
              <w:right w:val="single" w:sz="12" w:space="0" w:color="auto"/>
            </w:tcBorders>
            <w:shd w:val="clear" w:color="auto" w:fill="D9D9D9"/>
            <w:vAlign w:val="center"/>
          </w:tcPr>
          <w:p w14:paraId="3A5B9F22" w14:textId="77777777" w:rsidR="006F129D" w:rsidRPr="004E4188" w:rsidRDefault="006F129D" w:rsidP="007B0B65">
            <w:pPr>
              <w:jc w:val="center"/>
              <w:rPr>
                <w:rFonts w:ascii="Arial" w:hAnsi="Arial" w:cs="Arial"/>
                <w:b/>
                <w:bCs/>
                <w:sz w:val="20"/>
              </w:rPr>
            </w:pPr>
          </w:p>
        </w:tc>
        <w:tc>
          <w:tcPr>
            <w:tcW w:w="1559" w:type="dxa"/>
            <w:tcBorders>
              <w:top w:val="single" w:sz="12" w:space="0" w:color="auto"/>
              <w:left w:val="single" w:sz="12" w:space="0" w:color="auto"/>
              <w:bottom w:val="single" w:sz="12" w:space="0" w:color="auto"/>
              <w:right w:val="single" w:sz="12" w:space="0" w:color="auto"/>
            </w:tcBorders>
            <w:shd w:val="clear" w:color="auto" w:fill="D9D9D9"/>
            <w:vAlign w:val="center"/>
          </w:tcPr>
          <w:p w14:paraId="67F4BAA9" w14:textId="43ECB191" w:rsidR="006F129D" w:rsidRPr="004E4188" w:rsidRDefault="006F129D" w:rsidP="007B0B65">
            <w:pPr>
              <w:jc w:val="center"/>
              <w:rPr>
                <w:rFonts w:ascii="Arial" w:hAnsi="Arial" w:cs="Arial"/>
                <w:b/>
                <w:bCs/>
                <w:sz w:val="20"/>
              </w:rPr>
            </w:pPr>
            <w:r w:rsidRPr="004E4188">
              <w:rPr>
                <w:rFonts w:ascii="Arial" w:hAnsi="Arial" w:cs="Arial"/>
                <w:b/>
                <w:bCs/>
                <w:sz w:val="20"/>
              </w:rPr>
              <w:t>Postes similaire</w:t>
            </w:r>
            <w:r w:rsidRPr="004E4188">
              <w:rPr>
                <w:rFonts w:ascii="Arial" w:hAnsi="Arial" w:cs="Arial"/>
                <w:b/>
                <w:bCs/>
                <w:sz w:val="20"/>
                <w:lang w:eastAsia="ja-JP"/>
              </w:rPr>
              <w:t>s</w:t>
            </w:r>
            <w:r w:rsidRPr="004E4188">
              <w:rPr>
                <w:rFonts w:ascii="Arial" w:hAnsi="Arial" w:cs="Arial"/>
                <w:b/>
                <w:bCs/>
                <w:sz w:val="20"/>
              </w:rPr>
              <w:t xml:space="preserve"> </w:t>
            </w:r>
          </w:p>
        </w:tc>
        <w:tc>
          <w:tcPr>
            <w:tcW w:w="1961" w:type="dxa"/>
            <w:tcBorders>
              <w:top w:val="single" w:sz="12" w:space="0" w:color="auto"/>
              <w:left w:val="single" w:sz="12" w:space="0" w:color="auto"/>
              <w:bottom w:val="single" w:sz="12" w:space="0" w:color="auto"/>
              <w:right w:val="single" w:sz="12" w:space="0" w:color="auto"/>
            </w:tcBorders>
            <w:shd w:val="clear" w:color="auto" w:fill="D9D9D9"/>
            <w:vAlign w:val="center"/>
          </w:tcPr>
          <w:p w14:paraId="32A9C108" w14:textId="6A64E46F" w:rsidR="006F129D" w:rsidRPr="004E4188" w:rsidRDefault="006F129D" w:rsidP="007B0B65">
            <w:pPr>
              <w:jc w:val="center"/>
              <w:rPr>
                <w:rFonts w:ascii="Arial" w:hAnsi="Arial" w:cs="Arial"/>
                <w:b/>
                <w:bCs/>
                <w:sz w:val="20"/>
                <w:lang w:eastAsia="ja-JP"/>
              </w:rPr>
            </w:pPr>
            <w:r w:rsidRPr="004E4188">
              <w:rPr>
                <w:rFonts w:ascii="Arial" w:hAnsi="Arial" w:cs="Arial"/>
                <w:b/>
                <w:bCs/>
                <w:sz w:val="20"/>
                <w:lang w:eastAsia="ja-JP"/>
              </w:rPr>
              <w:t>Expérience professionnelle générale</w:t>
            </w:r>
            <w:r w:rsidRPr="004E4188" w:rsidDel="00865520">
              <w:rPr>
                <w:rFonts w:ascii="Arial" w:hAnsi="Arial" w:cs="Arial"/>
                <w:b/>
                <w:bCs/>
                <w:sz w:val="20"/>
                <w:lang w:eastAsia="ja-JP"/>
              </w:rPr>
              <w:t xml:space="preserve"> </w:t>
            </w:r>
          </w:p>
        </w:tc>
      </w:tr>
      <w:tr w:rsidR="006F129D" w:rsidRPr="004E4188" w14:paraId="3DE578D0" w14:textId="77777777" w:rsidTr="00D45EAD">
        <w:trPr>
          <w:trHeight w:val="340"/>
        </w:trPr>
        <w:tc>
          <w:tcPr>
            <w:tcW w:w="709" w:type="dxa"/>
            <w:tcBorders>
              <w:top w:val="single" w:sz="12" w:space="0" w:color="auto"/>
            </w:tcBorders>
            <w:vAlign w:val="center"/>
          </w:tcPr>
          <w:p w14:paraId="1FA8EC5D" w14:textId="77777777" w:rsidR="006F129D" w:rsidRPr="004E4188" w:rsidRDefault="006F129D" w:rsidP="00D269DB">
            <w:pPr>
              <w:pStyle w:val="aa"/>
              <w:jc w:val="center"/>
              <w:rPr>
                <w:rFonts w:ascii="Arial" w:hAnsi="Arial" w:cs="Arial"/>
              </w:rPr>
            </w:pPr>
            <w:r w:rsidRPr="004E4188">
              <w:rPr>
                <w:rFonts w:ascii="Arial" w:hAnsi="Arial" w:cs="Arial"/>
              </w:rPr>
              <w:t>1</w:t>
            </w:r>
          </w:p>
        </w:tc>
        <w:tc>
          <w:tcPr>
            <w:tcW w:w="4043" w:type="dxa"/>
            <w:tcBorders>
              <w:top w:val="single" w:sz="12" w:space="0" w:color="auto"/>
            </w:tcBorders>
            <w:vAlign w:val="center"/>
          </w:tcPr>
          <w:p w14:paraId="2E805CA4" w14:textId="3B9C7195" w:rsidR="006F129D" w:rsidRPr="004E4188" w:rsidRDefault="006F129D" w:rsidP="00D269DB">
            <w:pPr>
              <w:rPr>
                <w:rFonts w:ascii="Arial" w:hAnsi="Arial" w:cs="Arial"/>
                <w:sz w:val="20"/>
              </w:rPr>
            </w:pPr>
          </w:p>
        </w:tc>
        <w:tc>
          <w:tcPr>
            <w:tcW w:w="1559" w:type="dxa"/>
            <w:tcBorders>
              <w:top w:val="single" w:sz="12" w:space="0" w:color="auto"/>
            </w:tcBorders>
            <w:vAlign w:val="center"/>
          </w:tcPr>
          <w:p w14:paraId="0D6EC38B" w14:textId="77777777" w:rsidR="006F129D" w:rsidRPr="004E4188" w:rsidRDefault="006F129D" w:rsidP="00D269DB">
            <w:pPr>
              <w:rPr>
                <w:rFonts w:ascii="Arial" w:hAnsi="Arial" w:cs="Arial"/>
                <w:sz w:val="20"/>
              </w:rPr>
            </w:pPr>
          </w:p>
        </w:tc>
        <w:tc>
          <w:tcPr>
            <w:tcW w:w="1961" w:type="dxa"/>
            <w:tcBorders>
              <w:top w:val="single" w:sz="12" w:space="0" w:color="auto"/>
            </w:tcBorders>
            <w:vAlign w:val="center"/>
          </w:tcPr>
          <w:p w14:paraId="6D50554E" w14:textId="77777777" w:rsidR="006F129D" w:rsidRPr="004E4188" w:rsidRDefault="006F129D" w:rsidP="00D269DB">
            <w:pPr>
              <w:rPr>
                <w:rFonts w:ascii="Arial" w:hAnsi="Arial" w:cs="Arial"/>
                <w:sz w:val="20"/>
              </w:rPr>
            </w:pPr>
          </w:p>
        </w:tc>
      </w:tr>
      <w:tr w:rsidR="006F129D" w:rsidRPr="004E4188" w14:paraId="6A5FA201" w14:textId="77777777" w:rsidTr="00D45EAD">
        <w:trPr>
          <w:trHeight w:val="340"/>
        </w:trPr>
        <w:tc>
          <w:tcPr>
            <w:tcW w:w="709" w:type="dxa"/>
            <w:vAlign w:val="center"/>
          </w:tcPr>
          <w:p w14:paraId="2758978F" w14:textId="77777777" w:rsidR="006F129D" w:rsidRPr="004E4188" w:rsidRDefault="006F129D" w:rsidP="00D269DB">
            <w:pPr>
              <w:jc w:val="center"/>
              <w:rPr>
                <w:rFonts w:ascii="Arial" w:hAnsi="Arial" w:cs="Arial"/>
                <w:sz w:val="20"/>
              </w:rPr>
            </w:pPr>
            <w:r w:rsidRPr="004E4188">
              <w:rPr>
                <w:rFonts w:ascii="Arial" w:hAnsi="Arial" w:cs="Arial"/>
                <w:sz w:val="20"/>
              </w:rPr>
              <w:t>2</w:t>
            </w:r>
          </w:p>
        </w:tc>
        <w:tc>
          <w:tcPr>
            <w:tcW w:w="4043" w:type="dxa"/>
            <w:vAlign w:val="center"/>
          </w:tcPr>
          <w:p w14:paraId="0CBB142E" w14:textId="4AC0FB16" w:rsidR="006F129D" w:rsidRPr="004E4188" w:rsidRDefault="006F129D" w:rsidP="00D269DB">
            <w:pPr>
              <w:rPr>
                <w:rFonts w:ascii="Arial" w:hAnsi="Arial" w:cs="Arial"/>
                <w:i/>
                <w:sz w:val="20"/>
              </w:rPr>
            </w:pPr>
          </w:p>
        </w:tc>
        <w:tc>
          <w:tcPr>
            <w:tcW w:w="1559" w:type="dxa"/>
            <w:vAlign w:val="center"/>
          </w:tcPr>
          <w:p w14:paraId="0001EA47" w14:textId="77777777" w:rsidR="006F129D" w:rsidRPr="004E4188" w:rsidRDefault="006F129D" w:rsidP="00D269DB">
            <w:pPr>
              <w:rPr>
                <w:rFonts w:ascii="Arial" w:hAnsi="Arial" w:cs="Arial"/>
                <w:sz w:val="20"/>
                <w:u w:val="single"/>
              </w:rPr>
            </w:pPr>
          </w:p>
        </w:tc>
        <w:tc>
          <w:tcPr>
            <w:tcW w:w="1961" w:type="dxa"/>
            <w:vAlign w:val="center"/>
          </w:tcPr>
          <w:p w14:paraId="648556CB" w14:textId="77777777" w:rsidR="006F129D" w:rsidRPr="004E4188" w:rsidRDefault="006F129D" w:rsidP="00D269DB">
            <w:pPr>
              <w:rPr>
                <w:rFonts w:ascii="Arial" w:hAnsi="Arial" w:cs="Arial"/>
                <w:sz w:val="20"/>
              </w:rPr>
            </w:pPr>
          </w:p>
        </w:tc>
      </w:tr>
      <w:tr w:rsidR="006F129D" w:rsidRPr="004E4188" w14:paraId="1EC8AE4E" w14:textId="77777777" w:rsidTr="00D45EAD">
        <w:trPr>
          <w:trHeight w:val="340"/>
        </w:trPr>
        <w:tc>
          <w:tcPr>
            <w:tcW w:w="709" w:type="dxa"/>
            <w:vAlign w:val="center"/>
          </w:tcPr>
          <w:p w14:paraId="71D6FC84" w14:textId="77777777" w:rsidR="006F129D" w:rsidRPr="004E4188" w:rsidRDefault="006F129D" w:rsidP="00D269DB">
            <w:pPr>
              <w:pStyle w:val="aa"/>
              <w:jc w:val="center"/>
              <w:rPr>
                <w:rFonts w:ascii="Arial" w:hAnsi="Arial" w:cs="Arial"/>
              </w:rPr>
            </w:pPr>
            <w:r w:rsidRPr="004E4188">
              <w:rPr>
                <w:rFonts w:ascii="Arial" w:hAnsi="Arial" w:cs="Arial"/>
              </w:rPr>
              <w:t>3</w:t>
            </w:r>
          </w:p>
        </w:tc>
        <w:tc>
          <w:tcPr>
            <w:tcW w:w="4043" w:type="dxa"/>
            <w:vAlign w:val="center"/>
          </w:tcPr>
          <w:p w14:paraId="5FA25354" w14:textId="0EEBFE0E" w:rsidR="006F129D" w:rsidRPr="004E4188" w:rsidRDefault="006F129D" w:rsidP="00D269DB">
            <w:pPr>
              <w:rPr>
                <w:rFonts w:ascii="Arial" w:hAnsi="Arial" w:cs="Arial"/>
                <w:i/>
                <w:sz w:val="20"/>
              </w:rPr>
            </w:pPr>
          </w:p>
        </w:tc>
        <w:tc>
          <w:tcPr>
            <w:tcW w:w="1559" w:type="dxa"/>
            <w:vAlign w:val="center"/>
          </w:tcPr>
          <w:p w14:paraId="7163B59F" w14:textId="77777777" w:rsidR="006F129D" w:rsidRPr="004E4188" w:rsidRDefault="006F129D" w:rsidP="00D269DB">
            <w:pPr>
              <w:rPr>
                <w:rFonts w:ascii="Arial" w:hAnsi="Arial" w:cs="Arial"/>
                <w:sz w:val="20"/>
                <w:u w:val="single"/>
              </w:rPr>
            </w:pPr>
          </w:p>
        </w:tc>
        <w:tc>
          <w:tcPr>
            <w:tcW w:w="1961" w:type="dxa"/>
            <w:vAlign w:val="center"/>
          </w:tcPr>
          <w:p w14:paraId="193B9B7C" w14:textId="77777777" w:rsidR="006F129D" w:rsidRPr="004E4188" w:rsidRDefault="006F129D" w:rsidP="00D269DB">
            <w:pPr>
              <w:rPr>
                <w:rFonts w:ascii="Arial" w:hAnsi="Arial" w:cs="Arial"/>
                <w:sz w:val="20"/>
                <w:u w:val="single"/>
              </w:rPr>
            </w:pPr>
          </w:p>
        </w:tc>
      </w:tr>
      <w:tr w:rsidR="006F129D" w:rsidRPr="004E4188" w14:paraId="28DA179E" w14:textId="77777777" w:rsidTr="00D45EAD">
        <w:trPr>
          <w:trHeight w:val="340"/>
        </w:trPr>
        <w:tc>
          <w:tcPr>
            <w:tcW w:w="709" w:type="dxa"/>
            <w:vAlign w:val="center"/>
          </w:tcPr>
          <w:p w14:paraId="13D39A0A" w14:textId="77777777" w:rsidR="006F129D" w:rsidRPr="004E4188" w:rsidRDefault="006F129D" w:rsidP="00D269DB">
            <w:pPr>
              <w:pStyle w:val="aa"/>
              <w:jc w:val="center"/>
              <w:rPr>
                <w:rFonts w:ascii="Arial" w:hAnsi="Arial" w:cs="Arial"/>
                <w:lang w:eastAsia="ja-JP"/>
              </w:rPr>
            </w:pPr>
            <w:r w:rsidRPr="004E4188">
              <w:rPr>
                <w:rFonts w:ascii="Arial" w:hAnsi="Arial" w:cs="Arial" w:hint="eastAsia"/>
                <w:lang w:eastAsia="ja-JP"/>
              </w:rPr>
              <w:t>4</w:t>
            </w:r>
          </w:p>
        </w:tc>
        <w:tc>
          <w:tcPr>
            <w:tcW w:w="4043" w:type="dxa"/>
            <w:vAlign w:val="center"/>
          </w:tcPr>
          <w:p w14:paraId="37C931D9" w14:textId="77777777" w:rsidR="006F129D" w:rsidRPr="004E4188" w:rsidDel="00865520" w:rsidRDefault="006F129D" w:rsidP="00D269DB">
            <w:pPr>
              <w:rPr>
                <w:rFonts w:ascii="Arial" w:hAnsi="Arial" w:cs="Arial"/>
                <w:i/>
                <w:sz w:val="20"/>
                <w:lang w:eastAsia="ja-JP"/>
              </w:rPr>
            </w:pPr>
          </w:p>
        </w:tc>
        <w:tc>
          <w:tcPr>
            <w:tcW w:w="1559" w:type="dxa"/>
            <w:vAlign w:val="center"/>
          </w:tcPr>
          <w:p w14:paraId="3C8A1EDC" w14:textId="77777777" w:rsidR="006F129D" w:rsidRPr="004E4188" w:rsidRDefault="006F129D" w:rsidP="00D269DB">
            <w:pPr>
              <w:rPr>
                <w:rFonts w:ascii="Arial" w:hAnsi="Arial" w:cs="Arial"/>
                <w:sz w:val="20"/>
                <w:u w:val="single"/>
              </w:rPr>
            </w:pPr>
          </w:p>
        </w:tc>
        <w:tc>
          <w:tcPr>
            <w:tcW w:w="1961" w:type="dxa"/>
            <w:vAlign w:val="center"/>
          </w:tcPr>
          <w:p w14:paraId="19CEAD46" w14:textId="77777777" w:rsidR="006F129D" w:rsidRPr="004E4188" w:rsidRDefault="006F129D" w:rsidP="00D269DB">
            <w:pPr>
              <w:rPr>
                <w:rFonts w:ascii="Arial" w:hAnsi="Arial" w:cs="Arial"/>
                <w:sz w:val="20"/>
                <w:u w:val="single"/>
              </w:rPr>
            </w:pPr>
          </w:p>
        </w:tc>
      </w:tr>
      <w:tr w:rsidR="006F129D" w:rsidRPr="004E4188" w14:paraId="334754AA" w14:textId="77777777" w:rsidTr="00D45EAD">
        <w:trPr>
          <w:trHeight w:val="340"/>
        </w:trPr>
        <w:tc>
          <w:tcPr>
            <w:tcW w:w="709" w:type="dxa"/>
            <w:vAlign w:val="center"/>
          </w:tcPr>
          <w:p w14:paraId="51C8E349" w14:textId="77777777" w:rsidR="006F129D" w:rsidRPr="004E4188" w:rsidRDefault="006F129D" w:rsidP="00D269DB">
            <w:pPr>
              <w:pStyle w:val="aa"/>
              <w:jc w:val="center"/>
              <w:rPr>
                <w:rFonts w:ascii="Arial" w:hAnsi="Arial" w:cs="Arial"/>
                <w:lang w:eastAsia="ja-JP"/>
              </w:rPr>
            </w:pPr>
            <w:r w:rsidRPr="004E4188">
              <w:rPr>
                <w:rFonts w:ascii="Arial" w:hAnsi="Arial" w:cs="Arial" w:hint="eastAsia"/>
                <w:lang w:eastAsia="ja-JP"/>
              </w:rPr>
              <w:t>5</w:t>
            </w:r>
          </w:p>
        </w:tc>
        <w:tc>
          <w:tcPr>
            <w:tcW w:w="4043" w:type="dxa"/>
            <w:vAlign w:val="center"/>
          </w:tcPr>
          <w:p w14:paraId="22C44E06" w14:textId="77777777" w:rsidR="006F129D" w:rsidRPr="004E4188" w:rsidDel="00865520" w:rsidRDefault="006F129D" w:rsidP="00D269DB">
            <w:pPr>
              <w:rPr>
                <w:rFonts w:ascii="Arial" w:hAnsi="Arial" w:cs="Arial"/>
                <w:i/>
                <w:sz w:val="20"/>
                <w:lang w:eastAsia="ja-JP"/>
              </w:rPr>
            </w:pPr>
          </w:p>
        </w:tc>
        <w:tc>
          <w:tcPr>
            <w:tcW w:w="1559" w:type="dxa"/>
            <w:vAlign w:val="center"/>
          </w:tcPr>
          <w:p w14:paraId="5FF2023C" w14:textId="77777777" w:rsidR="006F129D" w:rsidRPr="004E4188" w:rsidRDefault="006F129D" w:rsidP="00D269DB">
            <w:pPr>
              <w:rPr>
                <w:rFonts w:ascii="Arial" w:hAnsi="Arial" w:cs="Arial"/>
                <w:sz w:val="20"/>
                <w:u w:val="single"/>
              </w:rPr>
            </w:pPr>
          </w:p>
        </w:tc>
        <w:tc>
          <w:tcPr>
            <w:tcW w:w="1961" w:type="dxa"/>
            <w:vAlign w:val="center"/>
          </w:tcPr>
          <w:p w14:paraId="624CB1A1" w14:textId="77777777" w:rsidR="006F129D" w:rsidRPr="004E4188" w:rsidRDefault="006F129D" w:rsidP="00D269DB">
            <w:pPr>
              <w:rPr>
                <w:rFonts w:ascii="Arial" w:hAnsi="Arial" w:cs="Arial"/>
                <w:sz w:val="20"/>
                <w:u w:val="single"/>
              </w:rPr>
            </w:pPr>
          </w:p>
        </w:tc>
      </w:tr>
      <w:tr w:rsidR="006F129D" w:rsidRPr="004E4188" w14:paraId="54ED331E" w14:textId="77777777" w:rsidTr="00D45EAD">
        <w:trPr>
          <w:trHeight w:val="340"/>
        </w:trPr>
        <w:tc>
          <w:tcPr>
            <w:tcW w:w="709" w:type="dxa"/>
            <w:vAlign w:val="center"/>
          </w:tcPr>
          <w:p w14:paraId="5287DC2B" w14:textId="77777777" w:rsidR="006F129D" w:rsidRPr="004E4188" w:rsidRDefault="006F129D" w:rsidP="00D269DB">
            <w:pPr>
              <w:jc w:val="center"/>
              <w:rPr>
                <w:rFonts w:ascii="Arial" w:hAnsi="Arial" w:cs="Arial"/>
                <w:sz w:val="20"/>
                <w:lang w:eastAsia="ja-JP"/>
              </w:rPr>
            </w:pPr>
            <w:r w:rsidRPr="004E4188">
              <w:rPr>
                <w:rFonts w:ascii="Arial" w:hAnsi="Arial" w:cs="Arial"/>
                <w:sz w:val="20"/>
                <w:lang w:eastAsia="ja-JP"/>
              </w:rPr>
              <w:t>...</w:t>
            </w:r>
          </w:p>
        </w:tc>
        <w:tc>
          <w:tcPr>
            <w:tcW w:w="4043" w:type="dxa"/>
            <w:vAlign w:val="center"/>
          </w:tcPr>
          <w:p w14:paraId="4116325E" w14:textId="77777777" w:rsidR="006F129D" w:rsidRPr="004E4188" w:rsidRDefault="006F129D" w:rsidP="00D269DB">
            <w:pPr>
              <w:rPr>
                <w:rFonts w:ascii="Arial" w:hAnsi="Arial" w:cs="Arial"/>
                <w:sz w:val="20"/>
              </w:rPr>
            </w:pPr>
          </w:p>
        </w:tc>
        <w:tc>
          <w:tcPr>
            <w:tcW w:w="1559" w:type="dxa"/>
            <w:vAlign w:val="center"/>
          </w:tcPr>
          <w:p w14:paraId="0B970456" w14:textId="77777777" w:rsidR="006F129D" w:rsidRPr="004E4188" w:rsidRDefault="006F129D" w:rsidP="00D269DB">
            <w:pPr>
              <w:rPr>
                <w:rFonts w:ascii="Arial" w:hAnsi="Arial" w:cs="Arial"/>
                <w:sz w:val="20"/>
                <w:u w:val="single"/>
              </w:rPr>
            </w:pPr>
          </w:p>
        </w:tc>
        <w:tc>
          <w:tcPr>
            <w:tcW w:w="1961" w:type="dxa"/>
            <w:vAlign w:val="center"/>
          </w:tcPr>
          <w:p w14:paraId="3B8E15F5" w14:textId="77777777" w:rsidR="006F129D" w:rsidRPr="004E4188" w:rsidRDefault="006F129D" w:rsidP="00D269DB">
            <w:pPr>
              <w:rPr>
                <w:rFonts w:ascii="Arial" w:hAnsi="Arial" w:cs="Arial"/>
                <w:sz w:val="20"/>
              </w:rPr>
            </w:pPr>
          </w:p>
        </w:tc>
      </w:tr>
      <w:tr w:rsidR="006F129D" w:rsidRPr="004E4188" w14:paraId="72E5AD88" w14:textId="77777777" w:rsidTr="00D45EAD">
        <w:tc>
          <w:tcPr>
            <w:tcW w:w="8272" w:type="dxa"/>
            <w:gridSpan w:val="4"/>
          </w:tcPr>
          <w:p w14:paraId="2ACEDAF2" w14:textId="77777777" w:rsidR="006F129D" w:rsidRPr="004E4188" w:rsidRDefault="006F129D" w:rsidP="007B0B65">
            <w:pPr>
              <w:widowControl w:val="0"/>
              <w:spacing w:line="0" w:lineRule="atLeast"/>
              <w:rPr>
                <w:rFonts w:ascii="Arial" w:hAnsi="Arial" w:cs="Arial"/>
                <w:i/>
                <w:sz w:val="20"/>
                <w:u w:val="single"/>
                <w:lang w:eastAsia="ja-JP"/>
              </w:rPr>
            </w:pPr>
            <w:r w:rsidRPr="004E4188">
              <w:rPr>
                <w:rFonts w:ascii="Arial" w:hAnsi="Arial" w:cs="Arial"/>
                <w:i/>
                <w:sz w:val="20"/>
                <w:u w:val="single"/>
                <w:lang w:eastAsia="ja-JP"/>
              </w:rPr>
              <w:t>Notes à l’intention du Maître d’ouvrage</w:t>
            </w:r>
          </w:p>
          <w:p w14:paraId="3CB63551" w14:textId="627B1FCE" w:rsidR="006F129D" w:rsidRPr="004E4188" w:rsidRDefault="006F129D" w:rsidP="00D45EAD">
            <w:pPr>
              <w:widowControl w:val="0"/>
              <w:suppressAutoHyphens w:val="0"/>
              <w:overflowPunct/>
              <w:autoSpaceDE/>
              <w:autoSpaceDN/>
              <w:adjustRightInd/>
              <w:spacing w:afterLines="50" w:after="120" w:line="0" w:lineRule="atLeast"/>
              <w:ind w:left="372" w:hangingChars="186" w:hanging="372"/>
              <w:textAlignment w:val="auto"/>
              <w:rPr>
                <w:rFonts w:ascii="Arial" w:hAnsi="Arial" w:cs="Arial"/>
                <w:i/>
                <w:sz w:val="20"/>
              </w:rPr>
            </w:pPr>
            <w:r w:rsidRPr="004E4188">
              <w:rPr>
                <w:rFonts w:ascii="Arial" w:hAnsi="Arial" w:cs="Arial"/>
                <w:i/>
                <w:sz w:val="20"/>
              </w:rPr>
              <w:t>(a</w:t>
            </w:r>
            <w:r w:rsidRPr="004E4188">
              <w:rPr>
                <w:rFonts w:ascii="Arial" w:hAnsi="Arial" w:cs="Arial"/>
                <w:i/>
                <w:sz w:val="20"/>
                <w:lang w:eastAsia="ja-JP"/>
              </w:rPr>
              <w:t>)</w:t>
            </w:r>
            <w:r w:rsidRPr="004E4188">
              <w:rPr>
                <w:rFonts w:asciiTheme="majorHAnsi" w:hAnsiTheme="majorHAnsi" w:cstheme="majorHAnsi"/>
                <w:i/>
                <w:sz w:val="20"/>
              </w:rPr>
              <w:tab/>
            </w:r>
            <w:r w:rsidRPr="004E4188">
              <w:rPr>
                <w:rFonts w:ascii="Arial" w:hAnsi="Arial" w:cs="Arial"/>
                <w:i/>
                <w:sz w:val="20"/>
              </w:rPr>
              <w:t>Les postes requis doivent être limités aux postes supérieurs essentiels à la bonne exécution des Équipements et Services de montage dans les délais prescrits, tels que le chef de projet, l’(les) ingénieur(s) en chef, le(les) responsable(s) de la conception ou le(les) directeur(s) de section qui sont responsables des activités principales.</w:t>
            </w:r>
            <w:r w:rsidR="00455BFE" w:rsidRPr="004E4188">
              <w:rPr>
                <w:rFonts w:ascii="Arial" w:hAnsi="Arial" w:cs="Arial"/>
                <w:i/>
                <w:sz w:val="20"/>
              </w:rPr>
              <w:t xml:space="preserve"> Le Maître d’ouvrage s’assurera pour cela que le nombre de postes soit maintenu au minimum requis.</w:t>
            </w:r>
          </w:p>
          <w:p w14:paraId="13889FD6" w14:textId="1FE8222E" w:rsidR="006F129D" w:rsidRPr="004E4188" w:rsidRDefault="006F129D" w:rsidP="00D45EAD">
            <w:pPr>
              <w:widowControl w:val="0"/>
              <w:suppressAutoHyphens w:val="0"/>
              <w:overflowPunct/>
              <w:autoSpaceDE/>
              <w:autoSpaceDN/>
              <w:adjustRightInd/>
              <w:spacing w:afterLines="50" w:after="120" w:line="0" w:lineRule="atLeast"/>
              <w:ind w:left="372" w:hangingChars="186" w:hanging="372"/>
              <w:textAlignment w:val="auto"/>
              <w:rPr>
                <w:rFonts w:ascii="Arial" w:hAnsi="Arial" w:cs="Arial"/>
                <w:i/>
                <w:sz w:val="20"/>
                <w:lang w:eastAsia="ja-JP"/>
              </w:rPr>
            </w:pPr>
            <w:r w:rsidRPr="004E4188">
              <w:rPr>
                <w:rFonts w:ascii="Arial" w:hAnsi="Arial" w:cs="Arial"/>
                <w:i/>
                <w:sz w:val="20"/>
              </w:rPr>
              <w:t>(b)</w:t>
            </w:r>
            <w:r w:rsidRPr="004E4188">
              <w:rPr>
                <w:rFonts w:asciiTheme="majorHAnsi" w:hAnsiTheme="majorHAnsi" w:cstheme="majorHAnsi"/>
                <w:i/>
                <w:sz w:val="20"/>
              </w:rPr>
              <w:tab/>
            </w:r>
            <w:r w:rsidRPr="004E4188">
              <w:rPr>
                <w:rFonts w:ascii="Arial" w:hAnsi="Arial" w:cs="Arial"/>
                <w:i/>
                <w:sz w:val="20"/>
              </w:rPr>
              <w:t>Un des postes-clés sera tenu par un responsable de la santé et de la sécurité.</w:t>
            </w:r>
          </w:p>
          <w:p w14:paraId="7B687F39" w14:textId="29DC220C" w:rsidR="006F129D" w:rsidRPr="004E4188" w:rsidRDefault="006F129D" w:rsidP="00D45EAD">
            <w:pPr>
              <w:widowControl w:val="0"/>
              <w:suppressAutoHyphens w:val="0"/>
              <w:overflowPunct/>
              <w:autoSpaceDE/>
              <w:autoSpaceDN/>
              <w:adjustRightInd/>
              <w:spacing w:afterLines="50" w:after="120" w:line="0" w:lineRule="atLeast"/>
              <w:ind w:left="372" w:hangingChars="186" w:hanging="372"/>
              <w:textAlignment w:val="auto"/>
              <w:rPr>
                <w:rFonts w:ascii="Arial" w:hAnsi="Arial" w:cs="Arial"/>
                <w:sz w:val="20"/>
                <w:lang w:eastAsia="ja-JP"/>
              </w:rPr>
            </w:pPr>
            <w:r w:rsidRPr="004E4188">
              <w:rPr>
                <w:rFonts w:ascii="Arial" w:hAnsi="Arial" w:cs="Arial"/>
                <w:i/>
                <w:sz w:val="20"/>
                <w:lang w:eastAsia="ja-JP"/>
              </w:rPr>
              <w:t>(c)</w:t>
            </w:r>
            <w:r w:rsidRPr="004E4188">
              <w:rPr>
                <w:rFonts w:asciiTheme="majorHAnsi" w:hAnsiTheme="majorHAnsi" w:cstheme="majorHAnsi"/>
                <w:i/>
                <w:sz w:val="20"/>
              </w:rPr>
              <w:tab/>
            </w:r>
            <w:r w:rsidRPr="004E4188">
              <w:rPr>
                <w:rFonts w:ascii="Arial" w:hAnsi="Arial" w:cs="Arial"/>
                <w:i/>
                <w:sz w:val="20"/>
                <w:lang w:eastAsia="ja-JP"/>
              </w:rPr>
              <w:t>Ajouter des critères d’attribution en cas de lots multiples, le cas échéant.</w:t>
            </w:r>
          </w:p>
        </w:tc>
      </w:tr>
    </w:tbl>
    <w:p w14:paraId="703F361C" w14:textId="77777777" w:rsidR="006F129D" w:rsidRPr="004E4188" w:rsidRDefault="006F129D" w:rsidP="007B0B65">
      <w:pPr>
        <w:ind w:leftChars="250" w:left="1308" w:hangingChars="295" w:hanging="708"/>
      </w:pPr>
    </w:p>
    <w:p w14:paraId="440BCC2E" w14:textId="77777777" w:rsidR="006F129D" w:rsidRPr="004E4188" w:rsidRDefault="006F129D" w:rsidP="0013610D">
      <w:pPr>
        <w:widowControl w:val="0"/>
        <w:suppressAutoHyphens w:val="0"/>
        <w:overflowPunct/>
        <w:autoSpaceDE/>
        <w:autoSpaceDN/>
        <w:adjustRightInd/>
        <w:spacing w:line="0" w:lineRule="atLeast"/>
        <w:ind w:left="850"/>
        <w:textAlignment w:val="auto"/>
        <w:rPr>
          <w:szCs w:val="24"/>
          <w:lang w:eastAsia="ja-JP"/>
        </w:rPr>
      </w:pPr>
      <w:r w:rsidRPr="004E4188">
        <w:t>Les</w:t>
      </w:r>
      <w:r w:rsidRPr="004E4188">
        <w:rPr>
          <w:szCs w:val="24"/>
        </w:rPr>
        <w:t xml:space="preserve"> candidats suppléants proposés pour les postes-clés ne seront pas évalués.</w:t>
      </w:r>
    </w:p>
    <w:p w14:paraId="13A4CBDE" w14:textId="77777777" w:rsidR="006F129D" w:rsidRPr="004E4188" w:rsidRDefault="006F129D" w:rsidP="007B0B65">
      <w:pPr>
        <w:ind w:leftChars="550" w:left="1320"/>
      </w:pPr>
    </w:p>
    <w:p w14:paraId="342DBE3E" w14:textId="7D12E226" w:rsidR="006F129D" w:rsidRPr="004E4188" w:rsidRDefault="006F129D" w:rsidP="0013610D">
      <w:pPr>
        <w:widowControl w:val="0"/>
        <w:suppressAutoHyphens w:val="0"/>
        <w:overflowPunct/>
        <w:autoSpaceDE/>
        <w:autoSpaceDN/>
        <w:adjustRightInd/>
        <w:spacing w:line="0" w:lineRule="atLeast"/>
        <w:ind w:left="850"/>
        <w:textAlignment w:val="auto"/>
      </w:pPr>
      <w:r w:rsidRPr="004E4188">
        <w:t>Le Soumissionnaire doit fournir des détails sur le personnel proposé pour le Marché ainsi que son expérience dans les formulaires PER-1 et PER-2 de la Section IV, Formulaires de soumission.</w:t>
      </w:r>
    </w:p>
    <w:p w14:paraId="5C267456" w14:textId="77777777" w:rsidR="0093568B" w:rsidRPr="004E4188" w:rsidRDefault="0093568B" w:rsidP="0013610D">
      <w:pPr>
        <w:widowControl w:val="0"/>
        <w:suppressAutoHyphens w:val="0"/>
        <w:overflowPunct/>
        <w:autoSpaceDE/>
        <w:autoSpaceDN/>
        <w:adjustRightInd/>
        <w:spacing w:line="0" w:lineRule="atLeast"/>
        <w:ind w:left="850"/>
        <w:textAlignment w:val="auto"/>
      </w:pPr>
    </w:p>
    <w:p w14:paraId="59E82C02" w14:textId="4A49E79A" w:rsidR="006F129D" w:rsidRPr="004E4188" w:rsidRDefault="006F129D">
      <w:pPr>
        <w:suppressAutoHyphens w:val="0"/>
        <w:overflowPunct/>
        <w:autoSpaceDE/>
        <w:autoSpaceDN/>
        <w:adjustRightInd/>
        <w:jc w:val="left"/>
        <w:textAlignment w:val="auto"/>
      </w:pPr>
    </w:p>
    <w:p w14:paraId="09C2FA03" w14:textId="77777777" w:rsidR="0028682F" w:rsidRPr="004E4188" w:rsidRDefault="0028682F">
      <w:pPr>
        <w:suppressAutoHyphens w:val="0"/>
        <w:overflowPunct/>
        <w:autoSpaceDE/>
        <w:autoSpaceDN/>
        <w:adjustRightInd/>
        <w:jc w:val="left"/>
        <w:textAlignment w:val="auto"/>
      </w:pPr>
    </w:p>
    <w:p w14:paraId="08049BE2" w14:textId="4CE01AF1" w:rsidR="006F129D" w:rsidRPr="004E4188" w:rsidRDefault="006F129D" w:rsidP="0013610D">
      <w:pPr>
        <w:suppressAutoHyphens w:val="0"/>
        <w:overflowPunct/>
        <w:autoSpaceDE/>
        <w:autoSpaceDN/>
        <w:adjustRightInd/>
        <w:ind w:left="851" w:hanging="851"/>
        <w:jc w:val="left"/>
        <w:textAlignment w:val="auto"/>
        <w:rPr>
          <w:b/>
        </w:rPr>
      </w:pPr>
      <w:r w:rsidRPr="004E4188">
        <w:rPr>
          <w:b/>
        </w:rPr>
        <w:t>1.1.2</w:t>
      </w:r>
      <w:r w:rsidRPr="004E4188">
        <w:rPr>
          <w:b/>
          <w:lang w:eastAsia="ja-JP"/>
        </w:rPr>
        <w:tab/>
      </w:r>
      <w:r w:rsidRPr="004E4188">
        <w:rPr>
          <w:b/>
          <w:szCs w:val="24"/>
        </w:rPr>
        <w:t>É</w:t>
      </w:r>
      <w:r w:rsidRPr="004E4188">
        <w:rPr>
          <w:b/>
        </w:rPr>
        <w:t>quipement de construction</w:t>
      </w:r>
    </w:p>
    <w:p w14:paraId="33DCD1BE" w14:textId="77777777" w:rsidR="006F129D" w:rsidRPr="004E4188" w:rsidRDefault="006F129D" w:rsidP="0013610D">
      <w:pPr>
        <w:tabs>
          <w:tab w:val="right" w:pos="7254"/>
        </w:tabs>
        <w:suppressAutoHyphens w:val="0"/>
        <w:overflowPunct/>
        <w:autoSpaceDE/>
        <w:autoSpaceDN/>
        <w:adjustRightInd/>
        <w:spacing w:after="120"/>
        <w:ind w:left="850"/>
        <w:textAlignment w:val="auto"/>
      </w:pPr>
      <w:r w:rsidRPr="004E4188">
        <w:t>Le Soumissionnaire doit établir qu’il dispose des équipements de construction principaux indiqués ci-après :</w:t>
      </w:r>
    </w:p>
    <w:tbl>
      <w:tblPr>
        <w:tblW w:w="8363"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4678"/>
        <w:gridCol w:w="2835"/>
      </w:tblGrid>
      <w:tr w:rsidR="006F129D" w:rsidRPr="004E4188" w14:paraId="721CA076" w14:textId="77777777" w:rsidTr="00D928E4">
        <w:tc>
          <w:tcPr>
            <w:tcW w:w="850" w:type="dxa"/>
            <w:tcBorders>
              <w:top w:val="single" w:sz="12" w:space="0" w:color="auto"/>
              <w:left w:val="single" w:sz="12" w:space="0" w:color="auto"/>
              <w:bottom w:val="single" w:sz="12" w:space="0" w:color="auto"/>
              <w:right w:val="single" w:sz="12" w:space="0" w:color="auto"/>
            </w:tcBorders>
            <w:shd w:val="clear" w:color="auto" w:fill="C0C0C0"/>
            <w:vAlign w:val="center"/>
          </w:tcPr>
          <w:p w14:paraId="3967390B" w14:textId="77777777" w:rsidR="006F129D" w:rsidRPr="004E4188" w:rsidRDefault="006F129D" w:rsidP="007B0B65">
            <w:pPr>
              <w:suppressAutoHyphens w:val="0"/>
              <w:overflowPunct/>
              <w:autoSpaceDE/>
              <w:autoSpaceDN/>
              <w:adjustRightInd/>
              <w:jc w:val="center"/>
              <w:textAlignment w:val="auto"/>
              <w:rPr>
                <w:rFonts w:ascii="Arial" w:hAnsi="Arial" w:cs="Arial"/>
                <w:b/>
                <w:bCs/>
                <w:sz w:val="20"/>
                <w:lang w:eastAsia="en-US"/>
              </w:rPr>
            </w:pPr>
            <w:r w:rsidRPr="004E4188">
              <w:rPr>
                <w:rFonts w:ascii="Arial" w:hAnsi="Arial" w:cs="Arial"/>
                <w:b/>
                <w:bCs/>
                <w:sz w:val="20"/>
                <w:lang w:eastAsia="en-US"/>
              </w:rPr>
              <w:t>n°</w:t>
            </w:r>
          </w:p>
        </w:tc>
        <w:tc>
          <w:tcPr>
            <w:tcW w:w="4678" w:type="dxa"/>
            <w:tcBorders>
              <w:top w:val="single" w:sz="12" w:space="0" w:color="auto"/>
              <w:left w:val="single" w:sz="12" w:space="0" w:color="auto"/>
              <w:bottom w:val="single" w:sz="12" w:space="0" w:color="auto"/>
              <w:right w:val="single" w:sz="12" w:space="0" w:color="auto"/>
            </w:tcBorders>
            <w:shd w:val="clear" w:color="auto" w:fill="C0C0C0"/>
            <w:vAlign w:val="center"/>
          </w:tcPr>
          <w:p w14:paraId="48043EBA" w14:textId="77777777" w:rsidR="006F129D" w:rsidRPr="004E4188" w:rsidRDefault="006F129D" w:rsidP="007B0B65">
            <w:pPr>
              <w:suppressAutoHyphens w:val="0"/>
              <w:overflowPunct/>
              <w:autoSpaceDE/>
              <w:autoSpaceDN/>
              <w:adjustRightInd/>
              <w:jc w:val="center"/>
              <w:textAlignment w:val="auto"/>
              <w:rPr>
                <w:rFonts w:ascii="Arial" w:hAnsi="Arial" w:cs="Arial"/>
                <w:b/>
                <w:bCs/>
                <w:sz w:val="20"/>
                <w:lang w:eastAsia="en-US"/>
              </w:rPr>
            </w:pPr>
            <w:r w:rsidRPr="004E4188">
              <w:rPr>
                <w:rFonts w:ascii="Arial" w:hAnsi="Arial" w:cs="Arial"/>
                <w:b/>
                <w:bCs/>
                <w:sz w:val="20"/>
                <w:lang w:eastAsia="en-US"/>
              </w:rPr>
              <w:t xml:space="preserve">Type et caractéristiques </w:t>
            </w:r>
            <w:r w:rsidRPr="004E4188">
              <w:rPr>
                <w:rFonts w:ascii="Arial" w:hAnsi="Arial" w:cs="Arial"/>
                <w:b/>
                <w:bCs/>
                <w:sz w:val="20"/>
              </w:rPr>
              <w:t>de performance requises</w:t>
            </w:r>
            <w:r w:rsidRPr="004E4188">
              <w:rPr>
                <w:rFonts w:ascii="Arial" w:hAnsi="Arial" w:cs="Arial"/>
                <w:b/>
                <w:bCs/>
                <w:sz w:val="20"/>
                <w:lang w:eastAsia="en-US"/>
              </w:rPr>
              <w:t xml:space="preserve"> des équipements</w:t>
            </w:r>
          </w:p>
        </w:tc>
        <w:tc>
          <w:tcPr>
            <w:tcW w:w="2835" w:type="dxa"/>
            <w:tcBorders>
              <w:top w:val="single" w:sz="12" w:space="0" w:color="auto"/>
              <w:left w:val="single" w:sz="12" w:space="0" w:color="auto"/>
              <w:bottom w:val="single" w:sz="12" w:space="0" w:color="auto"/>
              <w:right w:val="single" w:sz="12" w:space="0" w:color="auto"/>
            </w:tcBorders>
            <w:shd w:val="clear" w:color="auto" w:fill="C0C0C0"/>
            <w:vAlign w:val="center"/>
          </w:tcPr>
          <w:p w14:paraId="65E73657" w14:textId="77777777" w:rsidR="006F129D" w:rsidRPr="004E4188" w:rsidRDefault="006F129D" w:rsidP="007B0B65">
            <w:pPr>
              <w:suppressAutoHyphens w:val="0"/>
              <w:overflowPunct/>
              <w:autoSpaceDE/>
              <w:autoSpaceDN/>
              <w:adjustRightInd/>
              <w:jc w:val="center"/>
              <w:textAlignment w:val="auto"/>
              <w:rPr>
                <w:rFonts w:ascii="Arial" w:hAnsi="Arial" w:cs="Arial"/>
                <w:b/>
                <w:bCs/>
                <w:sz w:val="20"/>
                <w:lang w:eastAsia="en-US"/>
              </w:rPr>
            </w:pPr>
            <w:r w:rsidRPr="004E4188">
              <w:rPr>
                <w:rFonts w:ascii="Arial" w:hAnsi="Arial" w:cs="Arial"/>
                <w:b/>
                <w:bCs/>
                <w:sz w:val="20"/>
                <w:lang w:eastAsia="en-US"/>
              </w:rPr>
              <w:t>Nombre minimum requis</w:t>
            </w:r>
          </w:p>
        </w:tc>
      </w:tr>
      <w:tr w:rsidR="006F129D" w:rsidRPr="004E4188" w14:paraId="110B2589" w14:textId="77777777" w:rsidTr="00D928E4">
        <w:trPr>
          <w:trHeight w:val="340"/>
        </w:trPr>
        <w:tc>
          <w:tcPr>
            <w:tcW w:w="850" w:type="dxa"/>
            <w:tcBorders>
              <w:top w:val="single" w:sz="12" w:space="0" w:color="auto"/>
            </w:tcBorders>
            <w:vAlign w:val="center"/>
          </w:tcPr>
          <w:p w14:paraId="4F44CE8B" w14:textId="77777777" w:rsidR="006F129D" w:rsidRPr="004E4188" w:rsidRDefault="006F129D" w:rsidP="00D269DB">
            <w:pPr>
              <w:suppressAutoHyphens w:val="0"/>
              <w:overflowPunct/>
              <w:autoSpaceDE/>
              <w:autoSpaceDN/>
              <w:adjustRightInd/>
              <w:jc w:val="center"/>
              <w:textAlignment w:val="auto"/>
              <w:rPr>
                <w:rFonts w:ascii="Arial" w:hAnsi="Arial" w:cs="Arial"/>
                <w:sz w:val="20"/>
                <w:lang w:eastAsia="en-US"/>
              </w:rPr>
            </w:pPr>
            <w:r w:rsidRPr="004E4188">
              <w:rPr>
                <w:rFonts w:ascii="Arial" w:hAnsi="Arial" w:cs="Arial"/>
                <w:sz w:val="20"/>
                <w:lang w:eastAsia="en-US"/>
              </w:rPr>
              <w:t>1</w:t>
            </w:r>
          </w:p>
        </w:tc>
        <w:tc>
          <w:tcPr>
            <w:tcW w:w="4678" w:type="dxa"/>
            <w:tcBorders>
              <w:top w:val="single" w:sz="12" w:space="0" w:color="auto"/>
            </w:tcBorders>
            <w:vAlign w:val="center"/>
          </w:tcPr>
          <w:p w14:paraId="1DB4981E" w14:textId="77777777" w:rsidR="006F129D" w:rsidRPr="004E4188" w:rsidRDefault="006F129D" w:rsidP="00D269DB">
            <w:pPr>
              <w:suppressAutoHyphens w:val="0"/>
              <w:overflowPunct/>
              <w:autoSpaceDE/>
              <w:autoSpaceDN/>
              <w:adjustRightInd/>
              <w:textAlignment w:val="auto"/>
              <w:rPr>
                <w:rFonts w:ascii="Arial" w:hAnsi="Arial" w:cs="Arial"/>
                <w:sz w:val="20"/>
                <w:lang w:eastAsia="en-US"/>
              </w:rPr>
            </w:pPr>
          </w:p>
        </w:tc>
        <w:tc>
          <w:tcPr>
            <w:tcW w:w="2835" w:type="dxa"/>
            <w:tcBorders>
              <w:top w:val="single" w:sz="12" w:space="0" w:color="auto"/>
            </w:tcBorders>
            <w:vAlign w:val="center"/>
          </w:tcPr>
          <w:p w14:paraId="343C86C6" w14:textId="77777777" w:rsidR="006F129D" w:rsidRPr="004E4188" w:rsidRDefault="006F129D" w:rsidP="00D269DB">
            <w:pPr>
              <w:suppressAutoHyphens w:val="0"/>
              <w:overflowPunct/>
              <w:autoSpaceDE/>
              <w:autoSpaceDN/>
              <w:adjustRightInd/>
              <w:textAlignment w:val="auto"/>
              <w:rPr>
                <w:rFonts w:ascii="Arial" w:hAnsi="Arial" w:cs="Arial"/>
                <w:sz w:val="20"/>
                <w:lang w:eastAsia="en-US"/>
              </w:rPr>
            </w:pPr>
          </w:p>
        </w:tc>
      </w:tr>
      <w:tr w:rsidR="006F129D" w:rsidRPr="004E4188" w14:paraId="7410DD4A" w14:textId="77777777" w:rsidTr="00D928E4">
        <w:trPr>
          <w:trHeight w:val="340"/>
        </w:trPr>
        <w:tc>
          <w:tcPr>
            <w:tcW w:w="850" w:type="dxa"/>
            <w:vAlign w:val="center"/>
          </w:tcPr>
          <w:p w14:paraId="73ABB6CF" w14:textId="77777777" w:rsidR="006F129D" w:rsidRPr="004E4188" w:rsidRDefault="006F129D" w:rsidP="00D269DB">
            <w:pPr>
              <w:suppressAutoHyphens w:val="0"/>
              <w:overflowPunct/>
              <w:autoSpaceDE/>
              <w:autoSpaceDN/>
              <w:adjustRightInd/>
              <w:jc w:val="center"/>
              <w:textAlignment w:val="auto"/>
              <w:rPr>
                <w:rFonts w:ascii="Arial" w:hAnsi="Arial" w:cs="Arial"/>
                <w:sz w:val="20"/>
                <w:lang w:eastAsia="en-US"/>
              </w:rPr>
            </w:pPr>
            <w:r w:rsidRPr="004E4188">
              <w:rPr>
                <w:rFonts w:ascii="Arial" w:hAnsi="Arial" w:cs="Arial"/>
                <w:sz w:val="20"/>
                <w:lang w:eastAsia="en-US"/>
              </w:rPr>
              <w:t>2</w:t>
            </w:r>
          </w:p>
        </w:tc>
        <w:tc>
          <w:tcPr>
            <w:tcW w:w="4678" w:type="dxa"/>
            <w:vAlign w:val="center"/>
          </w:tcPr>
          <w:p w14:paraId="1D910C53" w14:textId="77777777" w:rsidR="006F129D" w:rsidRPr="004E4188" w:rsidRDefault="006F129D" w:rsidP="00D269DB">
            <w:pPr>
              <w:suppressAutoHyphens w:val="0"/>
              <w:overflowPunct/>
              <w:autoSpaceDE/>
              <w:autoSpaceDN/>
              <w:adjustRightInd/>
              <w:textAlignment w:val="auto"/>
              <w:rPr>
                <w:rFonts w:ascii="Arial" w:hAnsi="Arial" w:cs="Arial"/>
                <w:sz w:val="20"/>
                <w:lang w:eastAsia="en-US"/>
              </w:rPr>
            </w:pPr>
          </w:p>
        </w:tc>
        <w:tc>
          <w:tcPr>
            <w:tcW w:w="2835" w:type="dxa"/>
            <w:vAlign w:val="center"/>
          </w:tcPr>
          <w:p w14:paraId="60929FFF" w14:textId="77777777" w:rsidR="006F129D" w:rsidRPr="004E4188" w:rsidRDefault="006F129D" w:rsidP="00D269DB">
            <w:pPr>
              <w:suppressAutoHyphens w:val="0"/>
              <w:overflowPunct/>
              <w:autoSpaceDE/>
              <w:autoSpaceDN/>
              <w:adjustRightInd/>
              <w:textAlignment w:val="auto"/>
              <w:rPr>
                <w:rFonts w:ascii="Arial" w:hAnsi="Arial" w:cs="Arial"/>
                <w:sz w:val="20"/>
                <w:u w:val="single"/>
                <w:lang w:eastAsia="en-US"/>
              </w:rPr>
            </w:pPr>
          </w:p>
        </w:tc>
      </w:tr>
      <w:tr w:rsidR="006F129D" w:rsidRPr="004E4188" w14:paraId="15FBAA88" w14:textId="77777777" w:rsidTr="00D928E4">
        <w:trPr>
          <w:trHeight w:val="340"/>
        </w:trPr>
        <w:tc>
          <w:tcPr>
            <w:tcW w:w="850" w:type="dxa"/>
            <w:vAlign w:val="center"/>
          </w:tcPr>
          <w:p w14:paraId="4606500D" w14:textId="77777777" w:rsidR="006F129D" w:rsidRPr="004E4188" w:rsidRDefault="006F129D" w:rsidP="00D269DB">
            <w:pPr>
              <w:suppressAutoHyphens w:val="0"/>
              <w:overflowPunct/>
              <w:autoSpaceDE/>
              <w:autoSpaceDN/>
              <w:adjustRightInd/>
              <w:jc w:val="center"/>
              <w:textAlignment w:val="auto"/>
              <w:rPr>
                <w:rFonts w:ascii="Arial" w:hAnsi="Arial" w:cs="Arial"/>
                <w:sz w:val="20"/>
                <w:lang w:eastAsia="en-US"/>
              </w:rPr>
            </w:pPr>
            <w:r w:rsidRPr="004E4188">
              <w:rPr>
                <w:rFonts w:ascii="Arial" w:hAnsi="Arial" w:cs="Arial"/>
                <w:sz w:val="20"/>
                <w:lang w:eastAsia="en-US"/>
              </w:rPr>
              <w:t>3</w:t>
            </w:r>
          </w:p>
        </w:tc>
        <w:tc>
          <w:tcPr>
            <w:tcW w:w="4678" w:type="dxa"/>
            <w:vAlign w:val="center"/>
          </w:tcPr>
          <w:p w14:paraId="7B39D969" w14:textId="77777777" w:rsidR="006F129D" w:rsidRPr="004E4188" w:rsidRDefault="006F129D" w:rsidP="00D269DB">
            <w:pPr>
              <w:suppressAutoHyphens w:val="0"/>
              <w:overflowPunct/>
              <w:autoSpaceDE/>
              <w:autoSpaceDN/>
              <w:adjustRightInd/>
              <w:textAlignment w:val="auto"/>
              <w:rPr>
                <w:rFonts w:ascii="Arial" w:hAnsi="Arial" w:cs="Arial"/>
                <w:sz w:val="20"/>
                <w:lang w:eastAsia="en-US"/>
              </w:rPr>
            </w:pPr>
          </w:p>
        </w:tc>
        <w:tc>
          <w:tcPr>
            <w:tcW w:w="2835" w:type="dxa"/>
            <w:vAlign w:val="center"/>
          </w:tcPr>
          <w:p w14:paraId="7556976A" w14:textId="77777777" w:rsidR="006F129D" w:rsidRPr="004E4188" w:rsidRDefault="006F129D" w:rsidP="00D269DB">
            <w:pPr>
              <w:suppressAutoHyphens w:val="0"/>
              <w:overflowPunct/>
              <w:autoSpaceDE/>
              <w:autoSpaceDN/>
              <w:adjustRightInd/>
              <w:textAlignment w:val="auto"/>
              <w:rPr>
                <w:rFonts w:ascii="Arial" w:hAnsi="Arial" w:cs="Arial"/>
                <w:sz w:val="20"/>
                <w:u w:val="single"/>
                <w:lang w:eastAsia="en-US"/>
              </w:rPr>
            </w:pPr>
          </w:p>
        </w:tc>
      </w:tr>
      <w:tr w:rsidR="006F129D" w:rsidRPr="004E4188" w14:paraId="60691BC3" w14:textId="77777777" w:rsidTr="00D928E4">
        <w:trPr>
          <w:trHeight w:val="340"/>
        </w:trPr>
        <w:tc>
          <w:tcPr>
            <w:tcW w:w="850" w:type="dxa"/>
            <w:vAlign w:val="center"/>
          </w:tcPr>
          <w:p w14:paraId="72C9E1F8" w14:textId="4C766DA9" w:rsidR="006F129D" w:rsidRPr="004E4188" w:rsidRDefault="006F129D" w:rsidP="00D269DB">
            <w:pPr>
              <w:suppressAutoHyphens w:val="0"/>
              <w:overflowPunct/>
              <w:autoSpaceDE/>
              <w:autoSpaceDN/>
              <w:adjustRightInd/>
              <w:jc w:val="center"/>
              <w:textAlignment w:val="auto"/>
              <w:rPr>
                <w:rFonts w:ascii="Arial" w:hAnsi="Arial" w:cs="Arial"/>
                <w:sz w:val="20"/>
                <w:lang w:eastAsia="en-US"/>
              </w:rPr>
            </w:pPr>
            <w:r w:rsidRPr="004E4188">
              <w:rPr>
                <w:rFonts w:ascii="Arial" w:hAnsi="Arial" w:cs="Arial"/>
                <w:sz w:val="20"/>
                <w:lang w:eastAsia="en-US"/>
              </w:rPr>
              <w:t>4</w:t>
            </w:r>
          </w:p>
        </w:tc>
        <w:tc>
          <w:tcPr>
            <w:tcW w:w="4678" w:type="dxa"/>
            <w:vAlign w:val="center"/>
          </w:tcPr>
          <w:p w14:paraId="45EEDAA2" w14:textId="77777777" w:rsidR="006F129D" w:rsidRPr="004E4188" w:rsidRDefault="006F129D" w:rsidP="00D269DB">
            <w:pPr>
              <w:suppressAutoHyphens w:val="0"/>
              <w:overflowPunct/>
              <w:autoSpaceDE/>
              <w:autoSpaceDN/>
              <w:adjustRightInd/>
              <w:textAlignment w:val="auto"/>
              <w:rPr>
                <w:rFonts w:ascii="Arial" w:hAnsi="Arial" w:cs="Arial"/>
                <w:sz w:val="20"/>
                <w:lang w:eastAsia="en-US"/>
              </w:rPr>
            </w:pPr>
          </w:p>
        </w:tc>
        <w:tc>
          <w:tcPr>
            <w:tcW w:w="2835" w:type="dxa"/>
            <w:vAlign w:val="center"/>
          </w:tcPr>
          <w:p w14:paraId="77465649" w14:textId="77777777" w:rsidR="006F129D" w:rsidRPr="004E4188" w:rsidRDefault="006F129D" w:rsidP="00D269DB">
            <w:pPr>
              <w:suppressAutoHyphens w:val="0"/>
              <w:overflowPunct/>
              <w:autoSpaceDE/>
              <w:autoSpaceDN/>
              <w:adjustRightInd/>
              <w:textAlignment w:val="auto"/>
              <w:rPr>
                <w:rFonts w:ascii="Arial" w:hAnsi="Arial" w:cs="Arial"/>
                <w:sz w:val="20"/>
                <w:u w:val="single"/>
                <w:lang w:eastAsia="en-US"/>
              </w:rPr>
            </w:pPr>
          </w:p>
        </w:tc>
      </w:tr>
      <w:tr w:rsidR="006F129D" w:rsidRPr="004E4188" w14:paraId="2D43AAC9" w14:textId="77777777" w:rsidTr="00D928E4">
        <w:trPr>
          <w:trHeight w:val="340"/>
        </w:trPr>
        <w:tc>
          <w:tcPr>
            <w:tcW w:w="850" w:type="dxa"/>
            <w:vAlign w:val="center"/>
          </w:tcPr>
          <w:p w14:paraId="3B5B01C0" w14:textId="77777777" w:rsidR="006F129D" w:rsidRPr="004E4188" w:rsidRDefault="006F129D" w:rsidP="00D269DB">
            <w:pPr>
              <w:suppressAutoHyphens w:val="0"/>
              <w:overflowPunct/>
              <w:autoSpaceDE/>
              <w:autoSpaceDN/>
              <w:adjustRightInd/>
              <w:jc w:val="center"/>
              <w:textAlignment w:val="auto"/>
              <w:rPr>
                <w:rFonts w:ascii="Arial" w:hAnsi="Arial" w:cs="Arial"/>
                <w:sz w:val="20"/>
                <w:lang w:eastAsia="ja-JP"/>
              </w:rPr>
            </w:pPr>
            <w:r w:rsidRPr="004E4188">
              <w:rPr>
                <w:rFonts w:ascii="Arial" w:hAnsi="Arial" w:cs="Arial"/>
                <w:sz w:val="20"/>
                <w:lang w:eastAsia="ja-JP"/>
              </w:rPr>
              <w:t>5</w:t>
            </w:r>
          </w:p>
        </w:tc>
        <w:tc>
          <w:tcPr>
            <w:tcW w:w="4678" w:type="dxa"/>
            <w:vAlign w:val="center"/>
          </w:tcPr>
          <w:p w14:paraId="2D5EEA88" w14:textId="77777777" w:rsidR="006F129D" w:rsidRPr="004E4188" w:rsidRDefault="006F129D" w:rsidP="00D269DB">
            <w:pPr>
              <w:suppressAutoHyphens w:val="0"/>
              <w:overflowPunct/>
              <w:autoSpaceDE/>
              <w:autoSpaceDN/>
              <w:adjustRightInd/>
              <w:textAlignment w:val="auto"/>
              <w:rPr>
                <w:rFonts w:ascii="Arial" w:hAnsi="Arial" w:cs="Arial"/>
                <w:sz w:val="20"/>
                <w:lang w:eastAsia="en-US"/>
              </w:rPr>
            </w:pPr>
          </w:p>
        </w:tc>
        <w:tc>
          <w:tcPr>
            <w:tcW w:w="2835" w:type="dxa"/>
            <w:vAlign w:val="center"/>
          </w:tcPr>
          <w:p w14:paraId="2D583DB2" w14:textId="77777777" w:rsidR="006F129D" w:rsidRPr="004E4188" w:rsidRDefault="006F129D" w:rsidP="00D269DB">
            <w:pPr>
              <w:suppressAutoHyphens w:val="0"/>
              <w:overflowPunct/>
              <w:autoSpaceDE/>
              <w:autoSpaceDN/>
              <w:adjustRightInd/>
              <w:textAlignment w:val="auto"/>
              <w:rPr>
                <w:rFonts w:ascii="Arial" w:hAnsi="Arial" w:cs="Arial"/>
                <w:sz w:val="20"/>
                <w:u w:val="single"/>
                <w:lang w:eastAsia="en-US"/>
              </w:rPr>
            </w:pPr>
          </w:p>
        </w:tc>
      </w:tr>
      <w:tr w:rsidR="006F129D" w:rsidRPr="004E4188" w14:paraId="773E7DC4" w14:textId="77777777" w:rsidTr="00D928E4">
        <w:trPr>
          <w:trHeight w:val="340"/>
        </w:trPr>
        <w:tc>
          <w:tcPr>
            <w:tcW w:w="850" w:type="dxa"/>
            <w:vAlign w:val="center"/>
          </w:tcPr>
          <w:p w14:paraId="17FBA1AF" w14:textId="77777777" w:rsidR="006F129D" w:rsidRPr="004E4188" w:rsidRDefault="006F129D" w:rsidP="00D269DB">
            <w:pPr>
              <w:suppressAutoHyphens w:val="0"/>
              <w:overflowPunct/>
              <w:autoSpaceDE/>
              <w:autoSpaceDN/>
              <w:adjustRightInd/>
              <w:jc w:val="center"/>
              <w:textAlignment w:val="auto"/>
              <w:rPr>
                <w:rFonts w:ascii="Arial" w:hAnsi="Arial" w:cs="Arial"/>
                <w:sz w:val="20"/>
                <w:lang w:eastAsia="en-US"/>
              </w:rPr>
            </w:pPr>
            <w:r w:rsidRPr="004E4188">
              <w:rPr>
                <w:rFonts w:ascii="Arial" w:hAnsi="Arial" w:cs="Arial"/>
                <w:sz w:val="20"/>
                <w:lang w:eastAsia="en-US"/>
              </w:rPr>
              <w:t>…</w:t>
            </w:r>
          </w:p>
        </w:tc>
        <w:tc>
          <w:tcPr>
            <w:tcW w:w="4678" w:type="dxa"/>
            <w:vAlign w:val="center"/>
          </w:tcPr>
          <w:p w14:paraId="2B76870C" w14:textId="77777777" w:rsidR="006F129D" w:rsidRPr="004E4188" w:rsidRDefault="006F129D" w:rsidP="00D269DB">
            <w:pPr>
              <w:suppressAutoHyphens w:val="0"/>
              <w:overflowPunct/>
              <w:autoSpaceDE/>
              <w:autoSpaceDN/>
              <w:adjustRightInd/>
              <w:textAlignment w:val="auto"/>
              <w:rPr>
                <w:rFonts w:ascii="Arial" w:hAnsi="Arial" w:cs="Arial"/>
                <w:sz w:val="20"/>
                <w:lang w:eastAsia="en-US"/>
              </w:rPr>
            </w:pPr>
          </w:p>
        </w:tc>
        <w:tc>
          <w:tcPr>
            <w:tcW w:w="2835" w:type="dxa"/>
            <w:vAlign w:val="center"/>
          </w:tcPr>
          <w:p w14:paraId="7D27B458" w14:textId="77777777" w:rsidR="006F129D" w:rsidRPr="004E4188" w:rsidRDefault="006F129D" w:rsidP="00D269DB">
            <w:pPr>
              <w:suppressAutoHyphens w:val="0"/>
              <w:overflowPunct/>
              <w:autoSpaceDE/>
              <w:autoSpaceDN/>
              <w:adjustRightInd/>
              <w:textAlignment w:val="auto"/>
              <w:rPr>
                <w:rFonts w:ascii="Arial" w:hAnsi="Arial" w:cs="Arial"/>
                <w:sz w:val="20"/>
                <w:u w:val="single"/>
                <w:lang w:eastAsia="en-US"/>
              </w:rPr>
            </w:pPr>
          </w:p>
        </w:tc>
      </w:tr>
      <w:tr w:rsidR="006F129D" w:rsidRPr="004E4188" w14:paraId="7993A9BA" w14:textId="77777777" w:rsidTr="006E7155">
        <w:tc>
          <w:tcPr>
            <w:tcW w:w="8363" w:type="dxa"/>
            <w:gridSpan w:val="3"/>
          </w:tcPr>
          <w:p w14:paraId="45F1B230" w14:textId="7659CBA0" w:rsidR="006F129D" w:rsidRPr="004E4188" w:rsidRDefault="006F129D" w:rsidP="00D45EAD">
            <w:pPr>
              <w:widowControl w:val="0"/>
              <w:spacing w:after="120" w:line="0" w:lineRule="atLeast"/>
              <w:rPr>
                <w:rFonts w:ascii="Arial" w:hAnsi="Arial" w:cs="Arial"/>
                <w:sz w:val="20"/>
                <w:u w:val="single"/>
                <w:lang w:eastAsia="en-US"/>
              </w:rPr>
            </w:pPr>
            <w:r w:rsidRPr="004E4188">
              <w:rPr>
                <w:rFonts w:ascii="Arial" w:hAnsi="Arial" w:cs="Arial"/>
                <w:i/>
                <w:sz w:val="20"/>
                <w:u w:val="single"/>
                <w:lang w:eastAsia="ja-JP"/>
              </w:rPr>
              <w:t>Notes à l’intention du Maître d’ouvrage</w:t>
            </w:r>
          </w:p>
          <w:p w14:paraId="13F3D92F" w14:textId="1DAD8FE8" w:rsidR="006F129D" w:rsidRPr="004E4188" w:rsidRDefault="006F129D" w:rsidP="003D46CF">
            <w:pPr>
              <w:pStyle w:val="aff7"/>
              <w:numPr>
                <w:ilvl w:val="0"/>
                <w:numId w:val="40"/>
              </w:numPr>
              <w:adjustRightInd/>
              <w:spacing w:after="120" w:line="240" w:lineRule="auto"/>
              <w:ind w:leftChars="0"/>
              <w:textAlignment w:val="auto"/>
              <w:rPr>
                <w:rFonts w:ascii="Arial" w:hAnsi="Arial" w:cs="Arial"/>
                <w:i/>
                <w:sz w:val="20"/>
                <w:lang w:val="fr-FR" w:eastAsia="en-US"/>
              </w:rPr>
            </w:pPr>
            <w:r w:rsidRPr="004E4188">
              <w:rPr>
                <w:rFonts w:ascii="Arial" w:hAnsi="Arial" w:cs="Arial"/>
                <w:i/>
                <w:sz w:val="20"/>
                <w:lang w:val="fr-FR" w:eastAsia="en-US"/>
              </w:rPr>
              <w:t xml:space="preserve">Les équipements de </w:t>
            </w:r>
            <w:r w:rsidRPr="004E4188">
              <w:rPr>
                <w:rFonts w:asciiTheme="majorHAnsi" w:hAnsiTheme="majorHAnsi" w:cstheme="majorHAnsi"/>
                <w:i/>
                <w:sz w:val="20"/>
                <w:lang w:val="fr-FR" w:eastAsia="en-US"/>
              </w:rPr>
              <w:t>construction</w:t>
            </w:r>
            <w:r w:rsidRPr="004E4188">
              <w:rPr>
                <w:rFonts w:ascii="Arial" w:hAnsi="Arial" w:cs="Arial"/>
                <w:i/>
                <w:sz w:val="20"/>
                <w:lang w:val="fr-FR" w:eastAsia="en-US"/>
              </w:rPr>
              <w:t xml:space="preserve"> requis doivent être limités aux pièces les plus importantes, essentielles à la bonne exécution des </w:t>
            </w:r>
            <w:r w:rsidRPr="004E4188">
              <w:rPr>
                <w:rFonts w:ascii="Arial" w:hAnsi="Arial" w:cs="Arial"/>
                <w:i/>
                <w:sz w:val="20"/>
                <w:lang w:val="fr-FR"/>
              </w:rPr>
              <w:t>É</w:t>
            </w:r>
            <w:r w:rsidRPr="004E4188">
              <w:rPr>
                <w:rFonts w:ascii="Arial" w:hAnsi="Arial" w:cs="Arial"/>
                <w:i/>
                <w:sz w:val="20"/>
                <w:lang w:val="fr-FR" w:eastAsia="en-US"/>
              </w:rPr>
              <w:t>quipements et Services de montage dans les délais prescrits, ainsi qu’au matériel que les Soumissionnaires peuvent avoir des difficultés à se procurer ou à louer dans les délais alloués.</w:t>
            </w:r>
          </w:p>
          <w:p w14:paraId="0CDF9CEB" w14:textId="27382E2B" w:rsidR="006F129D" w:rsidRPr="004E4188" w:rsidRDefault="006F129D" w:rsidP="003D46CF">
            <w:pPr>
              <w:pStyle w:val="aff7"/>
              <w:numPr>
                <w:ilvl w:val="0"/>
                <w:numId w:val="40"/>
              </w:numPr>
              <w:adjustRightInd/>
              <w:spacing w:after="120"/>
              <w:ind w:leftChars="0"/>
              <w:textAlignment w:val="auto"/>
              <w:rPr>
                <w:rFonts w:ascii="Arial" w:hAnsi="Arial" w:cs="Arial"/>
                <w:i/>
                <w:sz w:val="20"/>
                <w:u w:val="single"/>
                <w:lang w:val="fr-FR" w:eastAsia="en-US"/>
              </w:rPr>
            </w:pPr>
            <w:r w:rsidRPr="004E4188">
              <w:rPr>
                <w:rFonts w:asciiTheme="majorHAnsi" w:hAnsiTheme="majorHAnsi" w:cstheme="majorHAnsi"/>
                <w:i/>
                <w:sz w:val="20"/>
                <w:lang w:val="fr-FR"/>
              </w:rPr>
              <w:t>Ajouter</w:t>
            </w:r>
            <w:r w:rsidRPr="004E4188">
              <w:rPr>
                <w:rFonts w:ascii="Arial" w:hAnsi="Arial" w:cs="Arial"/>
                <w:i/>
                <w:sz w:val="20"/>
                <w:lang w:val="fr-FR"/>
              </w:rPr>
              <w:t xml:space="preserve"> des critères d’attribution en cas de lots multiples, le cas échéant.</w:t>
            </w:r>
          </w:p>
        </w:tc>
      </w:tr>
    </w:tbl>
    <w:p w14:paraId="30E333EA" w14:textId="77777777" w:rsidR="006F129D" w:rsidRPr="004E4188" w:rsidRDefault="006F129D" w:rsidP="007B0B65">
      <w:pPr>
        <w:ind w:left="1260"/>
        <w:rPr>
          <w:b/>
        </w:rPr>
      </w:pPr>
    </w:p>
    <w:p w14:paraId="174B6EDA" w14:textId="77777777" w:rsidR="006F129D" w:rsidRPr="004E4188" w:rsidRDefault="006F129D" w:rsidP="0013610D">
      <w:pPr>
        <w:tabs>
          <w:tab w:val="right" w:pos="7254"/>
        </w:tabs>
        <w:suppressAutoHyphens w:val="0"/>
        <w:overflowPunct/>
        <w:autoSpaceDE/>
        <w:autoSpaceDN/>
        <w:adjustRightInd/>
        <w:spacing w:before="120" w:after="240"/>
        <w:ind w:left="850"/>
        <w:textAlignment w:val="auto"/>
      </w:pPr>
      <w:r w:rsidRPr="004E4188">
        <w:t>Le Soumissionnaire doit fournir des détails supplémentaires sur les équipements proposés en utilisant le formulaire EQU de la Section IV, Formulaires de soumission.</w:t>
      </w:r>
    </w:p>
    <w:p w14:paraId="43E868AD" w14:textId="77777777" w:rsidR="006F129D" w:rsidRPr="004E4188" w:rsidRDefault="006F129D" w:rsidP="003D46CF">
      <w:pPr>
        <w:numPr>
          <w:ilvl w:val="2"/>
          <w:numId w:val="34"/>
        </w:numPr>
        <w:tabs>
          <w:tab w:val="clear" w:pos="1260"/>
        </w:tabs>
        <w:suppressAutoHyphens w:val="0"/>
        <w:overflowPunct/>
        <w:autoSpaceDE/>
        <w:autoSpaceDN/>
        <w:adjustRightInd/>
        <w:ind w:left="851" w:hanging="851"/>
        <w:jc w:val="left"/>
        <w:textAlignment w:val="auto"/>
        <w:rPr>
          <w:b/>
          <w:bCs/>
          <w:lang w:eastAsia="ja-JP"/>
        </w:rPr>
      </w:pPr>
      <w:r w:rsidRPr="004E4188">
        <w:rPr>
          <w:b/>
          <w:bCs/>
          <w:lang w:eastAsia="ja-JP"/>
        </w:rPr>
        <w:t xml:space="preserve">Sous-traitants proposés pour les éléments majeurs des </w:t>
      </w:r>
      <w:r w:rsidRPr="004E4188">
        <w:rPr>
          <w:b/>
          <w:szCs w:val="24"/>
        </w:rPr>
        <w:t>É</w:t>
      </w:r>
      <w:r w:rsidRPr="004E4188">
        <w:rPr>
          <w:b/>
          <w:bCs/>
          <w:lang w:eastAsia="ja-JP"/>
        </w:rPr>
        <w:t xml:space="preserve">quipements </w:t>
      </w:r>
    </w:p>
    <w:p w14:paraId="460499A0" w14:textId="77777777" w:rsidR="006F129D" w:rsidRPr="004E4188" w:rsidRDefault="006F129D" w:rsidP="0013610D">
      <w:pPr>
        <w:suppressAutoHyphens w:val="0"/>
        <w:overflowPunct/>
        <w:autoSpaceDE/>
        <w:autoSpaceDN/>
        <w:adjustRightInd/>
        <w:ind w:left="852" w:hanging="2"/>
        <w:textAlignment w:val="auto"/>
        <w:rPr>
          <w:lang w:eastAsia="en-US"/>
        </w:rPr>
      </w:pPr>
      <w:r w:rsidRPr="004E4188">
        <w:rPr>
          <w:szCs w:val="24"/>
          <w:lang w:eastAsia="en-US"/>
        </w:rPr>
        <w:t>L</w:t>
      </w:r>
      <w:r w:rsidRPr="004E4188">
        <w:rPr>
          <w:lang w:eastAsia="en-US"/>
        </w:rPr>
        <w:t xml:space="preserve">es sous-traitants et fabricants proposés pour les éléments majeurs des </w:t>
      </w:r>
      <w:r w:rsidRPr="004E4188">
        <w:rPr>
          <w:szCs w:val="24"/>
        </w:rPr>
        <w:t>É</w:t>
      </w:r>
      <w:r w:rsidRPr="004E4188">
        <w:rPr>
          <w:lang w:eastAsia="en-US"/>
        </w:rPr>
        <w:t>quipements identifiés ci-après doivent satisfaire aux critères minimaux suivants indiqués pour chaque élément</w:t>
      </w:r>
      <w:r w:rsidRPr="004E4188">
        <w:rPr>
          <w:szCs w:val="24"/>
          <w:lang w:eastAsia="en-US"/>
        </w:rPr>
        <w:t>. L</w:t>
      </w:r>
      <w:r w:rsidRPr="004E4188">
        <w:rPr>
          <w:lang w:eastAsia="en-US"/>
        </w:rPr>
        <w:t>e non-respect de cette exigence entraînera le rejet du sous-traitant ou fabricant, mais pas du Soumissionnaire.</w:t>
      </w:r>
    </w:p>
    <w:p w14:paraId="398674BA" w14:textId="77777777" w:rsidR="006F129D" w:rsidRPr="004E4188" w:rsidRDefault="006F129D" w:rsidP="00D45EAD">
      <w:pPr>
        <w:suppressAutoHyphens w:val="0"/>
        <w:overflowPunct/>
        <w:autoSpaceDE/>
        <w:autoSpaceDN/>
        <w:adjustRightInd/>
        <w:ind w:left="851"/>
        <w:textAlignment w:val="auto"/>
        <w:rPr>
          <w:rFonts w:cs="Arial"/>
          <w:sz w:val="20"/>
          <w:lang w:eastAsia="en-US"/>
        </w:rPr>
      </w:pPr>
    </w:p>
    <w:tbl>
      <w:tblPr>
        <w:tblpPr w:leftFromText="142" w:rightFromText="142" w:vertAnchor="text" w:tblpX="891" w:tblpY="1"/>
        <w:tblOverlap w:val="never"/>
        <w:tblW w:w="8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3918"/>
        <w:gridCol w:w="1477"/>
        <w:gridCol w:w="1791"/>
      </w:tblGrid>
      <w:tr w:rsidR="006F129D" w:rsidRPr="004E4188" w14:paraId="26067022" w14:textId="77777777" w:rsidTr="006E7155">
        <w:tc>
          <w:tcPr>
            <w:tcW w:w="1163" w:type="dxa"/>
            <w:tcBorders>
              <w:top w:val="single" w:sz="12" w:space="0" w:color="auto"/>
              <w:left w:val="single" w:sz="12" w:space="0" w:color="auto"/>
              <w:bottom w:val="single" w:sz="12" w:space="0" w:color="auto"/>
              <w:right w:val="single" w:sz="12" w:space="0" w:color="auto"/>
            </w:tcBorders>
            <w:shd w:val="clear" w:color="auto" w:fill="D9D9D9"/>
            <w:vAlign w:val="center"/>
          </w:tcPr>
          <w:p w14:paraId="7638E918" w14:textId="77777777" w:rsidR="006F129D" w:rsidRPr="004E4188" w:rsidRDefault="006F129D" w:rsidP="00D45EAD">
            <w:pPr>
              <w:suppressAutoHyphens w:val="0"/>
              <w:overflowPunct/>
              <w:autoSpaceDE/>
              <w:autoSpaceDN/>
              <w:adjustRightInd/>
              <w:jc w:val="center"/>
              <w:textAlignment w:val="auto"/>
              <w:rPr>
                <w:rFonts w:ascii="Arial" w:hAnsi="Arial" w:cs="Arial"/>
                <w:b/>
                <w:bCs/>
                <w:sz w:val="20"/>
                <w:lang w:val="en-GB" w:eastAsia="en-US"/>
              </w:rPr>
            </w:pPr>
            <w:r w:rsidRPr="004E4188">
              <w:rPr>
                <w:b/>
                <w:szCs w:val="36"/>
              </w:rPr>
              <w:t>n° de l’élément</w:t>
            </w:r>
          </w:p>
        </w:tc>
        <w:tc>
          <w:tcPr>
            <w:tcW w:w="3918" w:type="dxa"/>
            <w:tcBorders>
              <w:top w:val="single" w:sz="12" w:space="0" w:color="auto"/>
              <w:left w:val="single" w:sz="12" w:space="0" w:color="auto"/>
              <w:bottom w:val="single" w:sz="12" w:space="0" w:color="auto"/>
              <w:right w:val="single" w:sz="12" w:space="0" w:color="auto"/>
            </w:tcBorders>
            <w:shd w:val="clear" w:color="auto" w:fill="D9D9D9"/>
            <w:vAlign w:val="center"/>
          </w:tcPr>
          <w:p w14:paraId="005342A5" w14:textId="77777777" w:rsidR="006F129D" w:rsidRPr="004E4188" w:rsidRDefault="006F129D" w:rsidP="00D45EAD">
            <w:pPr>
              <w:suppressAutoHyphens w:val="0"/>
              <w:overflowPunct/>
              <w:autoSpaceDE/>
              <w:autoSpaceDN/>
              <w:adjustRightInd/>
              <w:jc w:val="center"/>
              <w:textAlignment w:val="auto"/>
              <w:rPr>
                <w:rFonts w:ascii="Arial" w:hAnsi="Arial" w:cs="Arial"/>
                <w:b/>
                <w:bCs/>
                <w:sz w:val="20"/>
                <w:lang w:val="en-GB" w:eastAsia="en-US"/>
              </w:rPr>
            </w:pPr>
            <w:r w:rsidRPr="004E4188">
              <w:rPr>
                <w:b/>
                <w:szCs w:val="36"/>
                <w:lang w:val="en-GB" w:eastAsia="en-US"/>
              </w:rPr>
              <w:t>Description de l’élément</w:t>
            </w:r>
          </w:p>
        </w:tc>
        <w:tc>
          <w:tcPr>
            <w:tcW w:w="1477" w:type="dxa"/>
            <w:tcBorders>
              <w:top w:val="single" w:sz="12" w:space="0" w:color="auto"/>
              <w:left w:val="single" w:sz="12" w:space="0" w:color="auto"/>
              <w:bottom w:val="single" w:sz="12" w:space="0" w:color="auto"/>
              <w:right w:val="single" w:sz="12" w:space="0" w:color="auto"/>
            </w:tcBorders>
            <w:shd w:val="clear" w:color="auto" w:fill="D9D9D9"/>
            <w:vAlign w:val="center"/>
          </w:tcPr>
          <w:p w14:paraId="15307069" w14:textId="77777777" w:rsidR="006F129D" w:rsidRPr="004E4188" w:rsidRDefault="006F129D" w:rsidP="00D45EAD">
            <w:pPr>
              <w:suppressAutoHyphens w:val="0"/>
              <w:overflowPunct/>
              <w:autoSpaceDE/>
              <w:autoSpaceDN/>
              <w:adjustRightInd/>
              <w:jc w:val="center"/>
              <w:textAlignment w:val="auto"/>
              <w:rPr>
                <w:rFonts w:ascii="Arial" w:hAnsi="Arial" w:cs="Arial"/>
                <w:b/>
                <w:bCs/>
                <w:sz w:val="20"/>
                <w:lang w:val="en-GB" w:eastAsia="en-US"/>
              </w:rPr>
            </w:pPr>
            <w:r w:rsidRPr="004E4188">
              <w:rPr>
                <w:b/>
                <w:szCs w:val="36"/>
                <w:lang w:val="en-GB" w:eastAsia="en-US"/>
              </w:rPr>
              <w:t>Critère minimal à satisfaire</w:t>
            </w:r>
          </w:p>
        </w:tc>
        <w:tc>
          <w:tcPr>
            <w:tcW w:w="1791" w:type="dxa"/>
            <w:tcBorders>
              <w:top w:val="single" w:sz="12" w:space="0" w:color="auto"/>
              <w:left w:val="single" w:sz="12" w:space="0" w:color="auto"/>
              <w:bottom w:val="single" w:sz="12" w:space="0" w:color="auto"/>
              <w:right w:val="single" w:sz="12" w:space="0" w:color="auto"/>
            </w:tcBorders>
            <w:shd w:val="clear" w:color="auto" w:fill="D9D9D9"/>
            <w:vAlign w:val="center"/>
          </w:tcPr>
          <w:p w14:paraId="7E553606" w14:textId="77777777" w:rsidR="006F129D" w:rsidRPr="004E4188" w:rsidRDefault="006F129D" w:rsidP="00D45EAD">
            <w:pPr>
              <w:suppressAutoHyphens w:val="0"/>
              <w:overflowPunct/>
              <w:autoSpaceDE/>
              <w:autoSpaceDN/>
              <w:adjustRightInd/>
              <w:jc w:val="center"/>
              <w:textAlignment w:val="auto"/>
              <w:rPr>
                <w:rFonts w:cs="Arial"/>
                <w:b/>
                <w:bCs/>
                <w:lang w:val="en-GB" w:eastAsia="en-US"/>
              </w:rPr>
            </w:pPr>
            <w:r w:rsidRPr="004E4188">
              <w:rPr>
                <w:b/>
                <w:szCs w:val="36"/>
                <w:lang w:val="en-GB" w:eastAsia="en-US"/>
              </w:rPr>
              <w:t>Spécifications de soumission</w:t>
            </w:r>
          </w:p>
        </w:tc>
      </w:tr>
      <w:tr w:rsidR="006F129D" w:rsidRPr="004E4188" w14:paraId="4AEC901C" w14:textId="77777777" w:rsidTr="006E7155">
        <w:tc>
          <w:tcPr>
            <w:tcW w:w="1163" w:type="dxa"/>
            <w:tcBorders>
              <w:top w:val="single" w:sz="12" w:space="0" w:color="auto"/>
            </w:tcBorders>
          </w:tcPr>
          <w:p w14:paraId="6008A03E" w14:textId="77777777" w:rsidR="006F129D" w:rsidRPr="004E4188" w:rsidRDefault="006F129D" w:rsidP="00D45EAD">
            <w:pPr>
              <w:suppressAutoHyphens w:val="0"/>
              <w:overflowPunct/>
              <w:autoSpaceDE/>
              <w:autoSpaceDN/>
              <w:adjustRightInd/>
              <w:jc w:val="center"/>
              <w:textAlignment w:val="auto"/>
              <w:rPr>
                <w:lang w:val="en-GB" w:eastAsia="en-US"/>
              </w:rPr>
            </w:pPr>
            <w:r w:rsidRPr="004E4188">
              <w:rPr>
                <w:lang w:val="en-GB" w:eastAsia="en-US"/>
              </w:rPr>
              <w:t>1</w:t>
            </w:r>
          </w:p>
        </w:tc>
        <w:tc>
          <w:tcPr>
            <w:tcW w:w="3918" w:type="dxa"/>
            <w:tcBorders>
              <w:top w:val="single" w:sz="12" w:space="0" w:color="auto"/>
            </w:tcBorders>
          </w:tcPr>
          <w:p w14:paraId="45F846D6" w14:textId="77777777" w:rsidR="006F129D" w:rsidRPr="004E4188" w:rsidRDefault="006F129D" w:rsidP="00D45EAD">
            <w:pPr>
              <w:suppressAutoHyphens w:val="0"/>
              <w:overflowPunct/>
              <w:autoSpaceDE/>
              <w:autoSpaceDN/>
              <w:adjustRightInd/>
              <w:textAlignment w:val="auto"/>
              <w:rPr>
                <w:rFonts w:ascii="Arial" w:hAnsi="Arial" w:cs="Arial"/>
                <w:sz w:val="20"/>
                <w:lang w:val="en-GB" w:eastAsia="ja-JP"/>
              </w:rPr>
            </w:pPr>
          </w:p>
        </w:tc>
        <w:tc>
          <w:tcPr>
            <w:tcW w:w="1477" w:type="dxa"/>
            <w:tcBorders>
              <w:top w:val="single" w:sz="12" w:space="0" w:color="auto"/>
            </w:tcBorders>
          </w:tcPr>
          <w:p w14:paraId="60C25130" w14:textId="77777777" w:rsidR="006F129D" w:rsidRPr="004E4188" w:rsidRDefault="006F129D" w:rsidP="00D45EAD">
            <w:pPr>
              <w:suppressAutoHyphens w:val="0"/>
              <w:overflowPunct/>
              <w:autoSpaceDE/>
              <w:autoSpaceDN/>
              <w:adjustRightInd/>
              <w:textAlignment w:val="auto"/>
              <w:rPr>
                <w:rFonts w:ascii="Arial" w:hAnsi="Arial" w:cs="Arial"/>
                <w:sz w:val="20"/>
                <w:lang w:val="en-GB" w:eastAsia="en-US"/>
              </w:rPr>
            </w:pPr>
          </w:p>
        </w:tc>
        <w:tc>
          <w:tcPr>
            <w:tcW w:w="1791" w:type="dxa"/>
            <w:tcBorders>
              <w:top w:val="single" w:sz="12" w:space="0" w:color="auto"/>
            </w:tcBorders>
          </w:tcPr>
          <w:p w14:paraId="19B1894A" w14:textId="77777777" w:rsidR="006F129D" w:rsidRPr="004E4188" w:rsidRDefault="006F129D" w:rsidP="00D45EAD">
            <w:pPr>
              <w:suppressAutoHyphens w:val="0"/>
              <w:overflowPunct/>
              <w:autoSpaceDE/>
              <w:autoSpaceDN/>
              <w:adjustRightInd/>
              <w:textAlignment w:val="auto"/>
              <w:rPr>
                <w:rFonts w:ascii="Arial" w:hAnsi="Arial" w:cs="Arial"/>
                <w:sz w:val="20"/>
                <w:lang w:val="en-GB" w:eastAsia="en-US"/>
              </w:rPr>
            </w:pPr>
          </w:p>
        </w:tc>
      </w:tr>
      <w:tr w:rsidR="006F129D" w:rsidRPr="004E4188" w14:paraId="02714423" w14:textId="77777777" w:rsidTr="006E7155">
        <w:tc>
          <w:tcPr>
            <w:tcW w:w="1163" w:type="dxa"/>
          </w:tcPr>
          <w:p w14:paraId="70614CCC" w14:textId="77777777" w:rsidR="006F129D" w:rsidRPr="004E4188" w:rsidRDefault="006F129D" w:rsidP="00D45EAD">
            <w:pPr>
              <w:suppressAutoHyphens w:val="0"/>
              <w:overflowPunct/>
              <w:autoSpaceDE/>
              <w:autoSpaceDN/>
              <w:adjustRightInd/>
              <w:jc w:val="center"/>
              <w:textAlignment w:val="auto"/>
              <w:rPr>
                <w:lang w:val="en-GB" w:eastAsia="en-US"/>
              </w:rPr>
            </w:pPr>
            <w:r w:rsidRPr="004E4188">
              <w:rPr>
                <w:lang w:val="en-GB" w:eastAsia="en-US"/>
              </w:rPr>
              <w:t>2</w:t>
            </w:r>
          </w:p>
        </w:tc>
        <w:tc>
          <w:tcPr>
            <w:tcW w:w="3918" w:type="dxa"/>
          </w:tcPr>
          <w:p w14:paraId="5FCC2B03" w14:textId="77777777" w:rsidR="006F129D" w:rsidRPr="004E4188" w:rsidRDefault="006F129D" w:rsidP="00D45EAD">
            <w:pPr>
              <w:suppressAutoHyphens w:val="0"/>
              <w:overflowPunct/>
              <w:autoSpaceDE/>
              <w:autoSpaceDN/>
              <w:adjustRightInd/>
              <w:textAlignment w:val="auto"/>
              <w:rPr>
                <w:rFonts w:ascii="Arial" w:hAnsi="Arial" w:cs="Arial"/>
                <w:sz w:val="20"/>
                <w:lang w:val="en-GB" w:eastAsia="en-US"/>
              </w:rPr>
            </w:pPr>
          </w:p>
        </w:tc>
        <w:tc>
          <w:tcPr>
            <w:tcW w:w="1477" w:type="dxa"/>
          </w:tcPr>
          <w:p w14:paraId="369B0A80" w14:textId="77777777" w:rsidR="006F129D" w:rsidRPr="004E4188" w:rsidRDefault="006F129D" w:rsidP="00D45EAD">
            <w:pPr>
              <w:suppressAutoHyphens w:val="0"/>
              <w:overflowPunct/>
              <w:autoSpaceDE/>
              <w:autoSpaceDN/>
              <w:adjustRightInd/>
              <w:textAlignment w:val="auto"/>
              <w:rPr>
                <w:rFonts w:ascii="Arial" w:hAnsi="Arial" w:cs="Arial"/>
                <w:sz w:val="20"/>
                <w:u w:val="single"/>
                <w:lang w:val="en-GB" w:eastAsia="en-US"/>
              </w:rPr>
            </w:pPr>
          </w:p>
        </w:tc>
        <w:tc>
          <w:tcPr>
            <w:tcW w:w="1791" w:type="dxa"/>
          </w:tcPr>
          <w:p w14:paraId="74EEA65D" w14:textId="77777777" w:rsidR="006F129D" w:rsidRPr="004E4188" w:rsidRDefault="006F129D" w:rsidP="00D45EAD">
            <w:pPr>
              <w:suppressAutoHyphens w:val="0"/>
              <w:overflowPunct/>
              <w:autoSpaceDE/>
              <w:autoSpaceDN/>
              <w:adjustRightInd/>
              <w:textAlignment w:val="auto"/>
              <w:rPr>
                <w:rFonts w:ascii="Arial" w:hAnsi="Arial" w:cs="Arial"/>
                <w:sz w:val="20"/>
                <w:u w:val="single"/>
                <w:lang w:val="en-GB" w:eastAsia="en-US"/>
              </w:rPr>
            </w:pPr>
          </w:p>
        </w:tc>
      </w:tr>
      <w:tr w:rsidR="006F129D" w:rsidRPr="004E4188" w14:paraId="1E81665C" w14:textId="77777777" w:rsidTr="006E7155">
        <w:tc>
          <w:tcPr>
            <w:tcW w:w="1163" w:type="dxa"/>
          </w:tcPr>
          <w:p w14:paraId="4E4F9A0D" w14:textId="77777777" w:rsidR="006F129D" w:rsidRPr="004E4188" w:rsidRDefault="006F129D" w:rsidP="00D45EAD">
            <w:pPr>
              <w:suppressAutoHyphens w:val="0"/>
              <w:overflowPunct/>
              <w:autoSpaceDE/>
              <w:autoSpaceDN/>
              <w:adjustRightInd/>
              <w:jc w:val="center"/>
              <w:textAlignment w:val="auto"/>
              <w:rPr>
                <w:lang w:val="en-GB" w:eastAsia="en-US"/>
              </w:rPr>
            </w:pPr>
            <w:r w:rsidRPr="004E4188">
              <w:rPr>
                <w:lang w:val="en-GB" w:eastAsia="en-US"/>
              </w:rPr>
              <w:t>3</w:t>
            </w:r>
          </w:p>
        </w:tc>
        <w:tc>
          <w:tcPr>
            <w:tcW w:w="3918" w:type="dxa"/>
          </w:tcPr>
          <w:p w14:paraId="5ED5CC6D" w14:textId="77777777" w:rsidR="006F129D" w:rsidRPr="004E4188" w:rsidRDefault="006F129D" w:rsidP="00D45EAD">
            <w:pPr>
              <w:suppressAutoHyphens w:val="0"/>
              <w:overflowPunct/>
              <w:autoSpaceDE/>
              <w:autoSpaceDN/>
              <w:adjustRightInd/>
              <w:textAlignment w:val="auto"/>
              <w:rPr>
                <w:rFonts w:ascii="Arial" w:hAnsi="Arial" w:cs="Arial"/>
                <w:sz w:val="20"/>
                <w:lang w:val="en-GB" w:eastAsia="en-US"/>
              </w:rPr>
            </w:pPr>
          </w:p>
        </w:tc>
        <w:tc>
          <w:tcPr>
            <w:tcW w:w="1477" w:type="dxa"/>
          </w:tcPr>
          <w:p w14:paraId="4B104B10" w14:textId="77777777" w:rsidR="006F129D" w:rsidRPr="004E4188" w:rsidRDefault="006F129D" w:rsidP="00D45EAD">
            <w:pPr>
              <w:suppressAutoHyphens w:val="0"/>
              <w:overflowPunct/>
              <w:autoSpaceDE/>
              <w:autoSpaceDN/>
              <w:adjustRightInd/>
              <w:textAlignment w:val="auto"/>
              <w:rPr>
                <w:rFonts w:ascii="Arial" w:hAnsi="Arial" w:cs="Arial"/>
                <w:sz w:val="20"/>
                <w:u w:val="single"/>
                <w:lang w:val="en-GB" w:eastAsia="en-US"/>
              </w:rPr>
            </w:pPr>
          </w:p>
        </w:tc>
        <w:tc>
          <w:tcPr>
            <w:tcW w:w="1791" w:type="dxa"/>
          </w:tcPr>
          <w:p w14:paraId="4B1C7A01" w14:textId="77777777" w:rsidR="006F129D" w:rsidRPr="004E4188" w:rsidRDefault="006F129D" w:rsidP="00D45EAD">
            <w:pPr>
              <w:suppressAutoHyphens w:val="0"/>
              <w:overflowPunct/>
              <w:autoSpaceDE/>
              <w:autoSpaceDN/>
              <w:adjustRightInd/>
              <w:textAlignment w:val="auto"/>
              <w:rPr>
                <w:rFonts w:ascii="Arial" w:hAnsi="Arial" w:cs="Arial"/>
                <w:sz w:val="20"/>
                <w:u w:val="single"/>
                <w:lang w:val="en-GB" w:eastAsia="en-US"/>
              </w:rPr>
            </w:pPr>
          </w:p>
        </w:tc>
      </w:tr>
      <w:tr w:rsidR="006F129D" w:rsidRPr="004E4188" w14:paraId="3A426CD9" w14:textId="77777777" w:rsidTr="006E7155">
        <w:tc>
          <w:tcPr>
            <w:tcW w:w="1163" w:type="dxa"/>
          </w:tcPr>
          <w:p w14:paraId="6540A3C6" w14:textId="77777777" w:rsidR="006F129D" w:rsidRPr="004E4188" w:rsidRDefault="006F129D" w:rsidP="00D45EAD">
            <w:pPr>
              <w:suppressAutoHyphens w:val="0"/>
              <w:overflowPunct/>
              <w:autoSpaceDE/>
              <w:autoSpaceDN/>
              <w:adjustRightInd/>
              <w:jc w:val="center"/>
              <w:textAlignment w:val="auto"/>
              <w:rPr>
                <w:lang w:val="en-GB" w:eastAsia="en-US"/>
              </w:rPr>
            </w:pPr>
            <w:r w:rsidRPr="004E4188">
              <w:rPr>
                <w:lang w:val="en-GB" w:eastAsia="en-US"/>
              </w:rPr>
              <w:t>4</w:t>
            </w:r>
          </w:p>
        </w:tc>
        <w:tc>
          <w:tcPr>
            <w:tcW w:w="3918" w:type="dxa"/>
          </w:tcPr>
          <w:p w14:paraId="7BD7C049" w14:textId="77777777" w:rsidR="006F129D" w:rsidRPr="004E4188" w:rsidRDefault="006F129D" w:rsidP="00D45EAD">
            <w:pPr>
              <w:suppressAutoHyphens w:val="0"/>
              <w:overflowPunct/>
              <w:autoSpaceDE/>
              <w:autoSpaceDN/>
              <w:adjustRightInd/>
              <w:textAlignment w:val="auto"/>
              <w:rPr>
                <w:rFonts w:ascii="Arial" w:hAnsi="Arial" w:cs="Arial"/>
                <w:sz w:val="20"/>
                <w:lang w:val="en-GB" w:eastAsia="en-US"/>
              </w:rPr>
            </w:pPr>
          </w:p>
        </w:tc>
        <w:tc>
          <w:tcPr>
            <w:tcW w:w="1477" w:type="dxa"/>
          </w:tcPr>
          <w:p w14:paraId="1EF8BD2A" w14:textId="77777777" w:rsidR="006F129D" w:rsidRPr="004E4188" w:rsidRDefault="006F129D" w:rsidP="00D45EAD">
            <w:pPr>
              <w:suppressAutoHyphens w:val="0"/>
              <w:overflowPunct/>
              <w:autoSpaceDE/>
              <w:autoSpaceDN/>
              <w:adjustRightInd/>
              <w:textAlignment w:val="auto"/>
              <w:rPr>
                <w:rFonts w:ascii="Arial" w:hAnsi="Arial" w:cs="Arial"/>
                <w:sz w:val="20"/>
                <w:u w:val="single"/>
                <w:lang w:val="en-GB" w:eastAsia="en-US"/>
              </w:rPr>
            </w:pPr>
          </w:p>
        </w:tc>
        <w:tc>
          <w:tcPr>
            <w:tcW w:w="1791" w:type="dxa"/>
          </w:tcPr>
          <w:p w14:paraId="477DA57C" w14:textId="77777777" w:rsidR="006F129D" w:rsidRPr="004E4188" w:rsidRDefault="006F129D" w:rsidP="00D45EAD">
            <w:pPr>
              <w:suppressAutoHyphens w:val="0"/>
              <w:overflowPunct/>
              <w:autoSpaceDE/>
              <w:autoSpaceDN/>
              <w:adjustRightInd/>
              <w:textAlignment w:val="auto"/>
              <w:rPr>
                <w:rFonts w:ascii="Arial" w:hAnsi="Arial" w:cs="Arial"/>
                <w:sz w:val="20"/>
                <w:u w:val="single"/>
                <w:lang w:val="en-GB" w:eastAsia="en-US"/>
              </w:rPr>
            </w:pPr>
          </w:p>
        </w:tc>
      </w:tr>
      <w:tr w:rsidR="006F129D" w:rsidRPr="004E4188" w14:paraId="479EA4F9" w14:textId="77777777" w:rsidTr="006E7155">
        <w:tc>
          <w:tcPr>
            <w:tcW w:w="1163" w:type="dxa"/>
          </w:tcPr>
          <w:p w14:paraId="2156A2C4" w14:textId="77777777" w:rsidR="006F129D" w:rsidRPr="004E4188" w:rsidRDefault="006F129D" w:rsidP="00D45EAD">
            <w:pPr>
              <w:suppressAutoHyphens w:val="0"/>
              <w:overflowPunct/>
              <w:autoSpaceDE/>
              <w:autoSpaceDN/>
              <w:adjustRightInd/>
              <w:jc w:val="center"/>
              <w:textAlignment w:val="auto"/>
              <w:rPr>
                <w:lang w:val="en-GB" w:eastAsia="en-US"/>
              </w:rPr>
            </w:pPr>
            <w:r w:rsidRPr="004E4188">
              <w:rPr>
                <w:lang w:val="en-GB" w:eastAsia="en-US"/>
              </w:rPr>
              <w:t>5</w:t>
            </w:r>
          </w:p>
        </w:tc>
        <w:tc>
          <w:tcPr>
            <w:tcW w:w="3918" w:type="dxa"/>
          </w:tcPr>
          <w:p w14:paraId="13AEFC31" w14:textId="77777777" w:rsidR="006F129D" w:rsidRPr="004E4188" w:rsidRDefault="006F129D" w:rsidP="00D45EAD">
            <w:pPr>
              <w:suppressAutoHyphens w:val="0"/>
              <w:overflowPunct/>
              <w:autoSpaceDE/>
              <w:autoSpaceDN/>
              <w:adjustRightInd/>
              <w:textAlignment w:val="auto"/>
              <w:rPr>
                <w:rFonts w:ascii="Arial" w:hAnsi="Arial" w:cs="Arial"/>
                <w:sz w:val="20"/>
                <w:lang w:val="en-GB" w:eastAsia="en-US"/>
              </w:rPr>
            </w:pPr>
          </w:p>
        </w:tc>
        <w:tc>
          <w:tcPr>
            <w:tcW w:w="1477" w:type="dxa"/>
          </w:tcPr>
          <w:p w14:paraId="3B0DA61D" w14:textId="77777777" w:rsidR="006F129D" w:rsidRPr="004E4188" w:rsidRDefault="006F129D" w:rsidP="00D45EAD">
            <w:pPr>
              <w:suppressAutoHyphens w:val="0"/>
              <w:overflowPunct/>
              <w:autoSpaceDE/>
              <w:autoSpaceDN/>
              <w:adjustRightInd/>
              <w:textAlignment w:val="auto"/>
              <w:rPr>
                <w:rFonts w:ascii="Arial" w:hAnsi="Arial" w:cs="Arial"/>
                <w:sz w:val="20"/>
                <w:u w:val="single"/>
                <w:lang w:val="en-GB" w:eastAsia="en-US"/>
              </w:rPr>
            </w:pPr>
          </w:p>
        </w:tc>
        <w:tc>
          <w:tcPr>
            <w:tcW w:w="1791" w:type="dxa"/>
          </w:tcPr>
          <w:p w14:paraId="15AA76DC" w14:textId="77777777" w:rsidR="006F129D" w:rsidRPr="004E4188" w:rsidRDefault="006F129D" w:rsidP="00D45EAD">
            <w:pPr>
              <w:suppressAutoHyphens w:val="0"/>
              <w:overflowPunct/>
              <w:autoSpaceDE/>
              <w:autoSpaceDN/>
              <w:adjustRightInd/>
              <w:textAlignment w:val="auto"/>
              <w:rPr>
                <w:rFonts w:ascii="Arial" w:hAnsi="Arial" w:cs="Arial"/>
                <w:sz w:val="20"/>
                <w:u w:val="single"/>
                <w:lang w:val="en-GB" w:eastAsia="en-US"/>
              </w:rPr>
            </w:pPr>
          </w:p>
        </w:tc>
      </w:tr>
      <w:tr w:rsidR="006F129D" w:rsidRPr="004E4188" w14:paraId="745C3E00" w14:textId="77777777" w:rsidTr="006E7155">
        <w:tc>
          <w:tcPr>
            <w:tcW w:w="1163" w:type="dxa"/>
          </w:tcPr>
          <w:p w14:paraId="2C2BB023" w14:textId="77777777" w:rsidR="006F129D" w:rsidRPr="004E4188" w:rsidRDefault="006F129D" w:rsidP="00D45EAD">
            <w:pPr>
              <w:suppressAutoHyphens w:val="0"/>
              <w:overflowPunct/>
              <w:autoSpaceDE/>
              <w:autoSpaceDN/>
              <w:adjustRightInd/>
              <w:jc w:val="center"/>
              <w:textAlignment w:val="auto"/>
              <w:rPr>
                <w:lang w:val="en-GB" w:eastAsia="en-US"/>
              </w:rPr>
            </w:pPr>
            <w:r w:rsidRPr="004E4188">
              <w:rPr>
                <w:lang w:val="en-GB" w:eastAsia="en-US"/>
              </w:rPr>
              <w:t>…</w:t>
            </w:r>
          </w:p>
        </w:tc>
        <w:tc>
          <w:tcPr>
            <w:tcW w:w="3918" w:type="dxa"/>
          </w:tcPr>
          <w:p w14:paraId="2310F3BA" w14:textId="77777777" w:rsidR="006F129D" w:rsidRPr="004E4188" w:rsidRDefault="006F129D" w:rsidP="00D45EAD">
            <w:pPr>
              <w:suppressAutoHyphens w:val="0"/>
              <w:overflowPunct/>
              <w:autoSpaceDE/>
              <w:autoSpaceDN/>
              <w:adjustRightInd/>
              <w:textAlignment w:val="auto"/>
              <w:rPr>
                <w:lang w:val="en-GB" w:eastAsia="en-US"/>
              </w:rPr>
            </w:pPr>
          </w:p>
        </w:tc>
        <w:tc>
          <w:tcPr>
            <w:tcW w:w="1477" w:type="dxa"/>
          </w:tcPr>
          <w:p w14:paraId="5C62E535" w14:textId="77777777" w:rsidR="006F129D" w:rsidRPr="004E4188" w:rsidRDefault="006F129D" w:rsidP="00D45EAD">
            <w:pPr>
              <w:suppressAutoHyphens w:val="0"/>
              <w:overflowPunct/>
              <w:autoSpaceDE/>
              <w:autoSpaceDN/>
              <w:adjustRightInd/>
              <w:textAlignment w:val="auto"/>
              <w:rPr>
                <w:u w:val="single"/>
                <w:lang w:val="en-GB" w:eastAsia="en-US"/>
              </w:rPr>
            </w:pPr>
          </w:p>
        </w:tc>
        <w:tc>
          <w:tcPr>
            <w:tcW w:w="1791" w:type="dxa"/>
          </w:tcPr>
          <w:p w14:paraId="59001CC3" w14:textId="77777777" w:rsidR="006F129D" w:rsidRPr="004E4188" w:rsidRDefault="006F129D" w:rsidP="00D45EAD">
            <w:pPr>
              <w:suppressAutoHyphens w:val="0"/>
              <w:overflowPunct/>
              <w:autoSpaceDE/>
              <w:autoSpaceDN/>
              <w:adjustRightInd/>
              <w:textAlignment w:val="auto"/>
              <w:rPr>
                <w:u w:val="single"/>
                <w:lang w:val="en-GB" w:eastAsia="en-US"/>
              </w:rPr>
            </w:pPr>
          </w:p>
        </w:tc>
      </w:tr>
      <w:tr w:rsidR="006F129D" w:rsidRPr="004E4188" w14:paraId="6C3A5452" w14:textId="77777777" w:rsidTr="006E7155">
        <w:tc>
          <w:tcPr>
            <w:tcW w:w="8349" w:type="dxa"/>
            <w:gridSpan w:val="4"/>
          </w:tcPr>
          <w:p w14:paraId="11C38C0D" w14:textId="77777777" w:rsidR="006F129D" w:rsidRPr="004E4188" w:rsidRDefault="006F129D" w:rsidP="00D45EAD">
            <w:pPr>
              <w:widowControl w:val="0"/>
              <w:suppressAutoHyphens w:val="0"/>
              <w:overflowPunct/>
              <w:autoSpaceDE/>
              <w:autoSpaceDN/>
              <w:adjustRightInd/>
              <w:spacing w:line="0" w:lineRule="atLeast"/>
              <w:textAlignment w:val="auto"/>
              <w:rPr>
                <w:rFonts w:ascii="Arial" w:hAnsi="Arial" w:cs="Arial"/>
                <w:i/>
                <w:sz w:val="20"/>
                <w:lang w:eastAsia="ja-JP"/>
              </w:rPr>
            </w:pPr>
            <w:r w:rsidRPr="004E4188">
              <w:rPr>
                <w:rFonts w:ascii="Arial" w:hAnsi="Arial" w:cs="Arial" w:hint="eastAsia"/>
                <w:i/>
                <w:sz w:val="20"/>
                <w:u w:val="single"/>
                <w:lang w:eastAsia="ja-JP"/>
              </w:rPr>
              <w:t>Notes</w:t>
            </w:r>
            <w:r w:rsidRPr="004E4188">
              <w:rPr>
                <w:rFonts w:ascii="Arial" w:hAnsi="Arial" w:cs="Arial"/>
                <w:i/>
                <w:sz w:val="20"/>
                <w:u w:val="single"/>
                <w:lang w:eastAsia="ja-JP"/>
              </w:rPr>
              <w:t xml:space="preserve"> à l’intention du Maître d’ouvrage</w:t>
            </w:r>
          </w:p>
          <w:p w14:paraId="15E0808E" w14:textId="7470D011" w:rsidR="006F129D" w:rsidRPr="004E4188" w:rsidRDefault="006F129D" w:rsidP="00D45EAD">
            <w:pPr>
              <w:widowControl w:val="0"/>
              <w:tabs>
                <w:tab w:val="left" w:pos="455"/>
              </w:tabs>
              <w:suppressAutoHyphens w:val="0"/>
              <w:overflowPunct/>
              <w:adjustRightInd/>
              <w:spacing w:after="120" w:line="0" w:lineRule="atLeast"/>
              <w:ind w:left="455" w:hanging="455"/>
              <w:textAlignment w:val="auto"/>
              <w:rPr>
                <w:rFonts w:ascii="Arial" w:hAnsi="Arial" w:cs="Arial"/>
                <w:i/>
                <w:sz w:val="20"/>
                <w:lang w:eastAsia="ja-JP"/>
              </w:rPr>
            </w:pPr>
            <w:r w:rsidRPr="004E4188">
              <w:rPr>
                <w:rFonts w:ascii="Arial" w:hAnsi="Arial" w:cs="Arial"/>
                <w:i/>
                <w:sz w:val="20"/>
                <w:lang w:eastAsia="en-US"/>
              </w:rPr>
              <w:t>(a)</w:t>
            </w:r>
            <w:r w:rsidRPr="004E4188">
              <w:rPr>
                <w:rFonts w:ascii="Arial" w:hAnsi="Arial" w:cs="Arial"/>
                <w:i/>
                <w:sz w:val="20"/>
                <w:lang w:eastAsia="en-US"/>
              </w:rPr>
              <w:tab/>
              <w:t xml:space="preserve">Les éléments énumérés doivent être limités à </w:t>
            </w:r>
            <w:r w:rsidRPr="004E4188">
              <w:rPr>
                <w:rFonts w:ascii="Arial" w:hAnsi="Arial" w:cs="Arial" w:hint="eastAsia"/>
                <w:i/>
                <w:sz w:val="20"/>
                <w:lang w:eastAsia="en-US"/>
              </w:rPr>
              <w:t>c</w:t>
            </w:r>
            <w:r w:rsidRPr="004E4188">
              <w:rPr>
                <w:rFonts w:ascii="Arial" w:hAnsi="Arial" w:cs="Arial"/>
                <w:i/>
                <w:sz w:val="20"/>
                <w:lang w:eastAsia="en-US"/>
              </w:rPr>
              <w:t>eux d</w:t>
            </w:r>
            <w:r w:rsidR="00AD18DF" w:rsidRPr="004E4188">
              <w:rPr>
                <w:rFonts w:ascii="Arial" w:hAnsi="Arial" w:cs="Arial"/>
                <w:i/>
                <w:sz w:val="20"/>
                <w:lang w:eastAsia="en-US"/>
              </w:rPr>
              <w:t>’</w:t>
            </w:r>
            <w:r w:rsidRPr="004E4188">
              <w:rPr>
                <w:rFonts w:ascii="Arial" w:hAnsi="Arial" w:cs="Arial"/>
                <w:i/>
                <w:sz w:val="20"/>
                <w:lang w:eastAsia="en-US"/>
              </w:rPr>
              <w:t>importance primordiale pour lesquels le Maître d’ouvrage souhaite confirmer l</w:t>
            </w:r>
            <w:r w:rsidR="00AD18DF" w:rsidRPr="004E4188">
              <w:rPr>
                <w:rFonts w:ascii="Arial" w:hAnsi="Arial" w:cs="Arial"/>
                <w:i/>
                <w:sz w:val="20"/>
                <w:lang w:eastAsia="en-US"/>
              </w:rPr>
              <w:t>’</w:t>
            </w:r>
            <w:r w:rsidRPr="004E4188">
              <w:rPr>
                <w:rFonts w:ascii="Arial" w:hAnsi="Arial" w:cs="Arial"/>
                <w:i/>
                <w:sz w:val="20"/>
                <w:lang w:eastAsia="en-US"/>
              </w:rPr>
              <w:t>adéquation et la pertinence des sous-traitants proposés durant l</w:t>
            </w:r>
            <w:r w:rsidR="00AD18DF" w:rsidRPr="004E4188">
              <w:rPr>
                <w:rFonts w:ascii="Arial" w:hAnsi="Arial" w:cs="Arial"/>
                <w:i/>
                <w:sz w:val="20"/>
                <w:lang w:eastAsia="en-US"/>
              </w:rPr>
              <w:t>’</w:t>
            </w:r>
            <w:r w:rsidRPr="004E4188">
              <w:rPr>
                <w:rFonts w:ascii="Arial" w:hAnsi="Arial" w:cs="Arial"/>
                <w:i/>
                <w:sz w:val="20"/>
                <w:lang w:eastAsia="en-US"/>
              </w:rPr>
              <w:t>appel d</w:t>
            </w:r>
            <w:r w:rsidR="00AD18DF" w:rsidRPr="004E4188">
              <w:rPr>
                <w:rFonts w:ascii="Arial" w:hAnsi="Arial" w:cs="Arial"/>
                <w:i/>
                <w:sz w:val="20"/>
                <w:lang w:eastAsia="en-US"/>
              </w:rPr>
              <w:t>’</w:t>
            </w:r>
            <w:r w:rsidRPr="004E4188">
              <w:rPr>
                <w:rFonts w:ascii="Arial" w:hAnsi="Arial" w:cs="Arial"/>
                <w:i/>
                <w:sz w:val="20"/>
                <w:lang w:eastAsia="en-US"/>
              </w:rPr>
              <w:t xml:space="preserve">offres. </w:t>
            </w:r>
          </w:p>
          <w:p w14:paraId="60B0730B" w14:textId="5A5EDC79" w:rsidR="006F129D" w:rsidRPr="004E4188" w:rsidRDefault="006F129D" w:rsidP="00D45EAD">
            <w:pPr>
              <w:widowControl w:val="0"/>
              <w:tabs>
                <w:tab w:val="left" w:pos="455"/>
              </w:tabs>
              <w:suppressAutoHyphens w:val="0"/>
              <w:overflowPunct/>
              <w:adjustRightInd/>
              <w:spacing w:after="120" w:line="0" w:lineRule="atLeast"/>
              <w:ind w:left="455" w:hanging="455"/>
              <w:textAlignment w:val="auto"/>
              <w:rPr>
                <w:u w:val="single"/>
                <w:lang w:eastAsia="en-US"/>
              </w:rPr>
            </w:pPr>
            <w:r w:rsidRPr="004E4188">
              <w:rPr>
                <w:rFonts w:ascii="Arial" w:hAnsi="Arial" w:cs="Arial"/>
                <w:i/>
                <w:sz w:val="20"/>
                <w:lang w:eastAsia="ja-JP"/>
              </w:rPr>
              <w:t>(b)</w:t>
            </w:r>
            <w:r w:rsidRPr="004E4188">
              <w:rPr>
                <w:rFonts w:ascii="Arial" w:hAnsi="Arial" w:cs="Arial"/>
                <w:i/>
                <w:sz w:val="20"/>
                <w:lang w:eastAsia="ja-JP"/>
              </w:rPr>
              <w:tab/>
            </w:r>
            <w:r w:rsidRPr="004E4188">
              <w:rPr>
                <w:rFonts w:ascii="Arial" w:hAnsi="Arial" w:cs="Arial"/>
                <w:i/>
                <w:sz w:val="20"/>
                <w:lang w:eastAsia="en-US"/>
              </w:rPr>
              <w:t>Donner la liste des documents supplémentaires à joindre à l’offre, qui ne sont pas déjà indiqués au formulaire ELI-3, afin d’établir la conformité avec les exigences. S’il n’y a pas de document supplémentaire qui doit être soumis, indiquer « aucun ».</w:t>
            </w:r>
          </w:p>
        </w:tc>
      </w:tr>
    </w:tbl>
    <w:p w14:paraId="670E9D5D" w14:textId="77777777" w:rsidR="006F129D" w:rsidRPr="004E4188" w:rsidRDefault="006F129D" w:rsidP="00D45EAD">
      <w:pPr>
        <w:widowControl w:val="0"/>
        <w:suppressAutoHyphens w:val="0"/>
        <w:overflowPunct/>
        <w:autoSpaceDE/>
        <w:autoSpaceDN/>
        <w:adjustRightInd/>
        <w:spacing w:line="0" w:lineRule="atLeast"/>
        <w:textAlignment w:val="auto"/>
        <w:rPr>
          <w:szCs w:val="24"/>
          <w:lang w:eastAsia="en-US"/>
        </w:rPr>
      </w:pPr>
    </w:p>
    <w:p w14:paraId="36B7F205" w14:textId="77777777" w:rsidR="006F129D" w:rsidRPr="004E4188" w:rsidRDefault="006F129D" w:rsidP="00D45EAD">
      <w:pPr>
        <w:widowControl w:val="0"/>
        <w:suppressAutoHyphens w:val="0"/>
        <w:overflowPunct/>
        <w:autoSpaceDE/>
        <w:autoSpaceDN/>
        <w:adjustRightInd/>
        <w:spacing w:line="0" w:lineRule="atLeast"/>
        <w:jc w:val="left"/>
        <w:textAlignment w:val="auto"/>
        <w:rPr>
          <w:lang w:eastAsia="en-US"/>
        </w:rPr>
      </w:pPr>
    </w:p>
    <w:p w14:paraId="49CC7F9C" w14:textId="77777777" w:rsidR="006F129D" w:rsidRPr="004E4188" w:rsidRDefault="006F129D" w:rsidP="00D45EAD">
      <w:pPr>
        <w:suppressAutoHyphens w:val="0"/>
        <w:overflowPunct/>
        <w:autoSpaceDE/>
        <w:autoSpaceDN/>
        <w:adjustRightInd/>
        <w:ind w:left="850"/>
        <w:textAlignment w:val="auto"/>
        <w:rPr>
          <w:szCs w:val="24"/>
          <w:lang w:eastAsia="en-US"/>
        </w:rPr>
      </w:pPr>
      <w:r w:rsidRPr="004E4188">
        <w:rPr>
          <w:szCs w:val="24"/>
          <w:lang w:eastAsia="en-US"/>
        </w:rPr>
        <w:t>Dans</w:t>
      </w:r>
      <w:r w:rsidRPr="004E4188">
        <w:rPr>
          <w:lang w:eastAsia="en-US"/>
        </w:rPr>
        <w:t xml:space="preserve"> le cas où un Soumissionnaire propose de fournir et d’installer des éléments majeurs des </w:t>
      </w:r>
      <w:r w:rsidRPr="004E4188">
        <w:rPr>
          <w:szCs w:val="24"/>
        </w:rPr>
        <w:t>É</w:t>
      </w:r>
      <w:r w:rsidRPr="004E4188">
        <w:rPr>
          <w:lang w:eastAsia="en-US"/>
        </w:rPr>
        <w:t>quipements au titre du Marché qu’il ne fabrique, ni ne produit lui-même, le Soumissionnaire doit présenter l’attestation du fabricant, en utilisant le formulaire de la Section IV, Formulaires de soumission, certifiant qu’il est dûment habilité par le fabricant ou le producteur des installations et équipements ou éléments concernés à les fournir et les installer dans le pays du Maître d’ouvrage.</w:t>
      </w:r>
      <w:r w:rsidRPr="004E4188">
        <w:rPr>
          <w:szCs w:val="24"/>
          <w:lang w:eastAsia="en-US"/>
        </w:rPr>
        <w:t xml:space="preserve"> </w:t>
      </w:r>
    </w:p>
    <w:p w14:paraId="45485CB0" w14:textId="77777777" w:rsidR="006F129D" w:rsidRPr="004E4188" w:rsidRDefault="006F129D" w:rsidP="00D45EAD">
      <w:pPr>
        <w:suppressAutoHyphens w:val="0"/>
        <w:overflowPunct/>
        <w:autoSpaceDE/>
        <w:autoSpaceDN/>
        <w:adjustRightInd/>
        <w:ind w:left="270" w:right="288"/>
        <w:textAlignment w:val="auto"/>
        <w:rPr>
          <w:szCs w:val="24"/>
          <w:lang w:eastAsia="ja-JP"/>
        </w:rPr>
      </w:pPr>
    </w:p>
    <w:p w14:paraId="04189DB0" w14:textId="77777777" w:rsidR="006F129D" w:rsidRPr="004E4188" w:rsidRDefault="006F129D" w:rsidP="003D46CF">
      <w:pPr>
        <w:numPr>
          <w:ilvl w:val="2"/>
          <w:numId w:val="34"/>
        </w:numPr>
        <w:tabs>
          <w:tab w:val="clear" w:pos="1260"/>
        </w:tabs>
        <w:suppressAutoHyphens w:val="0"/>
        <w:overflowPunct/>
        <w:autoSpaceDE/>
        <w:autoSpaceDN/>
        <w:adjustRightInd/>
        <w:ind w:left="851" w:hanging="851"/>
        <w:jc w:val="left"/>
        <w:textAlignment w:val="auto"/>
        <w:rPr>
          <w:b/>
          <w:bCs/>
          <w:lang w:val="en-GB" w:eastAsia="ja-JP"/>
        </w:rPr>
      </w:pPr>
      <w:r w:rsidRPr="004E4188">
        <w:rPr>
          <w:b/>
          <w:lang w:val="en-GB" w:eastAsia="en-US"/>
        </w:rPr>
        <w:t>Autre(s) critère(s) d’évaluatio</w:t>
      </w:r>
      <w:r w:rsidRPr="004E4188">
        <w:rPr>
          <w:b/>
          <w:bCs/>
          <w:lang w:val="en-GB" w:eastAsia="ja-JP"/>
        </w:rPr>
        <w:t>n</w:t>
      </w:r>
    </w:p>
    <w:p w14:paraId="3F6622EF" w14:textId="77777777" w:rsidR="006F129D" w:rsidRPr="004E4188" w:rsidRDefault="006F129D" w:rsidP="0013610D">
      <w:pPr>
        <w:suppressAutoHyphens w:val="0"/>
        <w:overflowPunct/>
        <w:autoSpaceDE/>
        <w:autoSpaceDN/>
        <w:adjustRightInd/>
        <w:ind w:left="850"/>
        <w:jc w:val="left"/>
        <w:textAlignment w:val="auto"/>
        <w:rPr>
          <w:lang w:eastAsia="en-US"/>
        </w:rPr>
      </w:pPr>
      <w:r w:rsidRPr="004E4188">
        <w:rPr>
          <w:lang w:eastAsia="en-US"/>
        </w:rPr>
        <w:t>[</w:t>
      </w:r>
      <w:r w:rsidRPr="004E4188">
        <w:rPr>
          <w:i/>
          <w:lang w:eastAsia="en-US"/>
        </w:rPr>
        <w:t>Le cas échéant, indiquer un(des) autre(s) critère(s) d’évaluation. Sinon, indiquer « Sans objet ».</w:t>
      </w:r>
      <w:r w:rsidRPr="004E4188">
        <w:rPr>
          <w:lang w:eastAsia="en-US"/>
        </w:rPr>
        <w:t>]</w:t>
      </w:r>
    </w:p>
    <w:p w14:paraId="4C56F4EE" w14:textId="24FB0927" w:rsidR="006F129D" w:rsidRPr="004E4188" w:rsidRDefault="006F129D" w:rsidP="00D45EAD">
      <w:pPr>
        <w:widowControl w:val="0"/>
        <w:suppressAutoHyphens w:val="0"/>
        <w:overflowPunct/>
        <w:autoSpaceDE/>
        <w:autoSpaceDN/>
        <w:adjustRightInd/>
        <w:spacing w:line="0" w:lineRule="atLeast"/>
        <w:ind w:left="851"/>
        <w:jc w:val="left"/>
        <w:textAlignment w:val="auto"/>
        <w:rPr>
          <w:lang w:val="en-GB" w:eastAsia="en-US"/>
        </w:rPr>
      </w:pPr>
      <w:r w:rsidRPr="004E4188">
        <w:rPr>
          <w:lang w:val="en-GB" w:eastAsia="en-US"/>
        </w:rPr>
        <w:t>………………………………………………………………………………………...…</w:t>
      </w:r>
      <w:r w:rsidR="00D94A96" w:rsidRPr="004E4188">
        <w:rPr>
          <w:lang w:val="en-GB" w:eastAsia="en-US"/>
        </w:rPr>
        <w:t>………………………………………………………………………………………...…</w:t>
      </w:r>
    </w:p>
    <w:p w14:paraId="3EFF1A97" w14:textId="77777777" w:rsidR="006F129D" w:rsidRPr="004E4188" w:rsidRDefault="006F129D" w:rsidP="00D45EAD">
      <w:pPr>
        <w:widowControl w:val="0"/>
        <w:suppressAutoHyphens w:val="0"/>
        <w:overflowPunct/>
        <w:autoSpaceDE/>
        <w:autoSpaceDN/>
        <w:adjustRightInd/>
        <w:spacing w:line="0" w:lineRule="atLeast"/>
        <w:jc w:val="left"/>
        <w:textAlignment w:val="auto"/>
        <w:rPr>
          <w:lang w:val="en-GB" w:eastAsia="en-US"/>
        </w:rPr>
      </w:pPr>
    </w:p>
    <w:p w14:paraId="5BABDB4F" w14:textId="043CEB8C" w:rsidR="006F129D" w:rsidRPr="004E4188" w:rsidRDefault="006F129D" w:rsidP="003D46CF">
      <w:pPr>
        <w:numPr>
          <w:ilvl w:val="1"/>
          <w:numId w:val="35"/>
        </w:numPr>
        <w:tabs>
          <w:tab w:val="clear" w:pos="420"/>
        </w:tabs>
        <w:suppressAutoHyphens w:val="0"/>
        <w:overflowPunct/>
        <w:autoSpaceDE/>
        <w:autoSpaceDN/>
        <w:adjustRightInd/>
        <w:ind w:left="851" w:hanging="851"/>
        <w:jc w:val="left"/>
        <w:textAlignment w:val="auto"/>
        <w:rPr>
          <w:b/>
          <w:sz w:val="28"/>
          <w:szCs w:val="28"/>
          <w:lang w:val="en-GB" w:eastAsia="ja-JP"/>
        </w:rPr>
      </w:pPr>
      <w:r w:rsidRPr="004E4188">
        <w:rPr>
          <w:b/>
          <w:sz w:val="28"/>
          <w:szCs w:val="28"/>
          <w:lang w:val="en-GB" w:eastAsia="en-US"/>
        </w:rPr>
        <w:t>Évaluation des Offres Financières</w:t>
      </w:r>
    </w:p>
    <w:p w14:paraId="6B095856" w14:textId="14AC3F22" w:rsidR="006F129D" w:rsidRPr="004E4188" w:rsidRDefault="006F129D" w:rsidP="00D928E4">
      <w:pPr>
        <w:suppressAutoHyphens w:val="0"/>
        <w:overflowPunct/>
        <w:autoSpaceDE/>
        <w:autoSpaceDN/>
        <w:adjustRightInd/>
        <w:ind w:left="850"/>
        <w:textAlignment w:val="auto"/>
        <w:rPr>
          <w:lang w:eastAsia="ja-JP"/>
        </w:rPr>
      </w:pPr>
      <w:r w:rsidRPr="004E4188">
        <w:rPr>
          <w:lang w:eastAsia="ja-JP"/>
        </w:rPr>
        <w:t>Outre</w:t>
      </w:r>
      <w:r w:rsidRPr="004E4188">
        <w:rPr>
          <w:lang w:eastAsia="en-US"/>
        </w:rPr>
        <w:t xml:space="preserve"> les critères indiqués à IS 35.1(a) à (c), (e) et (f)</w:t>
      </w:r>
      <w:r w:rsidR="00C50E2B" w:rsidRPr="004E4188">
        <w:rPr>
          <w:lang w:eastAsia="en-US"/>
        </w:rPr>
        <w:t>,</w:t>
      </w:r>
      <w:r w:rsidRPr="004E4188">
        <w:rPr>
          <w:lang w:eastAsia="en-US"/>
        </w:rPr>
        <w:t xml:space="preserve"> les éléments suivants seront évalués</w:t>
      </w:r>
      <w:r w:rsidR="00D928E4" w:rsidRPr="004E4188">
        <w:rPr>
          <w:lang w:eastAsia="en-US"/>
        </w:rPr>
        <w:t>.</w:t>
      </w:r>
    </w:p>
    <w:p w14:paraId="608ED7FF" w14:textId="77777777" w:rsidR="006F129D" w:rsidRPr="004E4188" w:rsidRDefault="006F129D" w:rsidP="00D45EAD">
      <w:pPr>
        <w:suppressAutoHyphens w:val="0"/>
        <w:overflowPunct/>
        <w:autoSpaceDE/>
        <w:autoSpaceDN/>
        <w:adjustRightInd/>
        <w:contextualSpacing/>
        <w:jc w:val="left"/>
        <w:textAlignment w:val="auto"/>
        <w:rPr>
          <w:i/>
          <w:lang w:eastAsia="ja-JP"/>
        </w:rPr>
      </w:pPr>
    </w:p>
    <w:p w14:paraId="63013C1C" w14:textId="77777777" w:rsidR="006F129D" w:rsidRPr="004E4188" w:rsidRDefault="006F129D" w:rsidP="003D46CF">
      <w:pPr>
        <w:numPr>
          <w:ilvl w:val="2"/>
          <w:numId w:val="35"/>
        </w:numPr>
        <w:tabs>
          <w:tab w:val="clear" w:pos="1260"/>
        </w:tabs>
        <w:suppressAutoHyphens w:val="0"/>
        <w:overflowPunct/>
        <w:autoSpaceDE/>
        <w:autoSpaceDN/>
        <w:adjustRightInd/>
        <w:ind w:left="851" w:hanging="851"/>
        <w:jc w:val="left"/>
        <w:textAlignment w:val="auto"/>
        <w:rPr>
          <w:b/>
          <w:szCs w:val="24"/>
          <w:lang w:val="en-GB" w:eastAsia="en-US"/>
        </w:rPr>
      </w:pPr>
      <w:r w:rsidRPr="004E4188">
        <w:rPr>
          <w:b/>
          <w:lang w:val="en-US" w:eastAsia="en-US"/>
        </w:rPr>
        <w:t>Autre(s) critère(s) d’évaluation (IS 35.1(d)</w:t>
      </w:r>
      <w:r w:rsidRPr="004E4188">
        <w:rPr>
          <w:b/>
          <w:szCs w:val="24"/>
          <w:lang w:val="en-GB" w:eastAsia="en-US"/>
        </w:rPr>
        <w:t>)</w:t>
      </w:r>
    </w:p>
    <w:p w14:paraId="416BDC48" w14:textId="77777777" w:rsidR="006F129D" w:rsidRPr="004E4188" w:rsidRDefault="006F129D" w:rsidP="00D928E4">
      <w:pPr>
        <w:pStyle w:val="ac"/>
        <w:tabs>
          <w:tab w:val="left" w:pos="1440"/>
        </w:tabs>
        <w:suppressAutoHyphens w:val="0"/>
        <w:overflowPunct/>
        <w:autoSpaceDE/>
        <w:autoSpaceDN/>
        <w:adjustRightInd/>
        <w:spacing w:after="200"/>
        <w:ind w:left="850"/>
        <w:jc w:val="both"/>
        <w:textAlignment w:val="auto"/>
        <w:rPr>
          <w:bCs/>
          <w:iCs/>
          <w:sz w:val="24"/>
          <w:szCs w:val="24"/>
          <w:lang w:eastAsia="en-US"/>
        </w:rPr>
      </w:pPr>
      <w:r w:rsidRPr="004E4188">
        <w:rPr>
          <w:sz w:val="24"/>
          <w:szCs w:val="24"/>
          <w:lang w:eastAsia="en-US"/>
        </w:rPr>
        <w:t>Les facteurs et méthodologies d’évaluation suivants seront utilisés, conformément à</w:t>
      </w:r>
      <w:r w:rsidRPr="004E4188">
        <w:rPr>
          <w:bCs/>
          <w:iCs/>
          <w:sz w:val="24"/>
          <w:szCs w:val="24"/>
          <w:lang w:eastAsia="ja-JP"/>
        </w:rPr>
        <w:t xml:space="preserve"> IS 35.1(d) </w:t>
      </w:r>
      <w:r w:rsidRPr="004E4188">
        <w:rPr>
          <w:bCs/>
          <w:iCs/>
          <w:sz w:val="24"/>
          <w:szCs w:val="24"/>
          <w:lang w:eastAsia="en-US"/>
        </w:rPr>
        <w:t>:</w:t>
      </w:r>
    </w:p>
    <w:p w14:paraId="0A041F38" w14:textId="1E75EF6F" w:rsidR="006F129D" w:rsidRPr="004E4188" w:rsidRDefault="006F129D" w:rsidP="0013610D">
      <w:pPr>
        <w:suppressAutoHyphens w:val="0"/>
        <w:overflowPunct/>
        <w:autoSpaceDE/>
        <w:autoSpaceDN/>
        <w:adjustRightInd/>
        <w:ind w:left="850"/>
        <w:jc w:val="left"/>
        <w:textAlignment w:val="auto"/>
      </w:pPr>
      <w:r w:rsidRPr="004E4188">
        <w:rPr>
          <w:b/>
          <w:szCs w:val="24"/>
          <w:lang w:eastAsia="ja-JP"/>
        </w:rPr>
        <w:t>(a)</w:t>
      </w:r>
      <w:r w:rsidRPr="004E4188">
        <w:rPr>
          <w:b/>
          <w:szCs w:val="24"/>
          <w:lang w:eastAsia="ja-JP"/>
        </w:rPr>
        <w:tab/>
      </w:r>
      <w:r w:rsidRPr="004E4188">
        <w:rPr>
          <w:b/>
          <w:szCs w:val="24"/>
        </w:rPr>
        <w:t>Coûts d’exploitation et de maintenance</w:t>
      </w:r>
    </w:p>
    <w:p w14:paraId="1F501A14" w14:textId="2D6F3E15" w:rsidR="006F129D" w:rsidRPr="004E4188" w:rsidRDefault="006F129D" w:rsidP="00D45EAD">
      <w:pPr>
        <w:suppressAutoHyphens w:val="0"/>
        <w:overflowPunct/>
        <w:autoSpaceDE/>
        <w:autoSpaceDN/>
        <w:adjustRightInd/>
        <w:spacing w:after="200"/>
        <w:ind w:left="1440"/>
        <w:textAlignment w:val="auto"/>
        <w:rPr>
          <w:lang w:eastAsia="en-US"/>
        </w:rPr>
      </w:pPr>
      <w:r w:rsidRPr="004E4188">
        <w:rPr>
          <w:lang w:eastAsia="en-US"/>
        </w:rPr>
        <w:t>[</w:t>
      </w:r>
      <w:r w:rsidRPr="004E4188">
        <w:rPr>
          <w:rFonts w:eastAsiaTheme="minorEastAsia"/>
          <w:i/>
          <w:kern w:val="2"/>
          <w:szCs w:val="24"/>
          <w:lang w:eastAsia="ja-JP"/>
        </w:rPr>
        <w:t>Si les coûts d’exploitation et de maintenance sont pris en considération lors de l’évaluation, insérer ce qui suit. Sinon, supprimer les dispositions ci-dessous et indiquer à la place « Sans objet ».</w:t>
      </w:r>
      <w:r w:rsidRPr="004E4188">
        <w:rPr>
          <w:lang w:eastAsia="en-US"/>
        </w:rPr>
        <w:t>]</w:t>
      </w:r>
    </w:p>
    <w:p w14:paraId="5F05451C" w14:textId="5B4B67C7" w:rsidR="006F129D" w:rsidRPr="004E4188" w:rsidRDefault="006F129D" w:rsidP="00D45EAD">
      <w:pPr>
        <w:suppressAutoHyphens w:val="0"/>
        <w:overflowPunct/>
        <w:autoSpaceDE/>
        <w:autoSpaceDN/>
        <w:adjustRightInd/>
        <w:spacing w:after="200"/>
        <w:ind w:left="1440"/>
        <w:textAlignment w:val="auto"/>
        <w:rPr>
          <w:szCs w:val="24"/>
        </w:rPr>
      </w:pPr>
      <w:r w:rsidRPr="004E4188">
        <w:rPr>
          <w:rFonts w:eastAsiaTheme="minorEastAsia"/>
          <w:kern w:val="2"/>
          <w:szCs w:val="24"/>
          <w:lang w:eastAsia="ja-JP"/>
        </w:rPr>
        <w:t>Puisque</w:t>
      </w:r>
      <w:r w:rsidRPr="004E4188">
        <w:rPr>
          <w:szCs w:val="24"/>
        </w:rPr>
        <w:t xml:space="preserve"> les coûts d’exploitation et de maintenance des Installations faisant l’objet du Marché représentent une part importante du coût du cycle de vie des Installations, ces coûts seront évalués selon les principes donnés ci-après, en </w:t>
      </w:r>
      <w:r w:rsidRPr="004E4188">
        <w:t>incluant</w:t>
      </w:r>
      <w:r w:rsidRPr="004E4188">
        <w:rPr>
          <w:szCs w:val="24"/>
        </w:rPr>
        <w:t xml:space="preserve"> le coût des pièces de rechange pendant la période de fonctionnement initiale précisée ci-après, et en prenant en compte les prix fournis par chaque Soumissionnaire dans les Bordereaux des prix, ainsi que l’expérience passée du Maître d’ouvrage ou d’autres maîtres d’ouvrage ayant l’expérience de projets similaires. Ces coûts seront ajoutés au Montant de l’offre pour l’évaluation.</w:t>
      </w:r>
    </w:p>
    <w:p w14:paraId="73935CD1" w14:textId="6B72163C" w:rsidR="006F129D" w:rsidRPr="004E4188" w:rsidRDefault="006F129D" w:rsidP="00D45EAD">
      <w:pPr>
        <w:suppressAutoHyphens w:val="0"/>
        <w:overflowPunct/>
        <w:autoSpaceDE/>
        <w:autoSpaceDN/>
        <w:adjustRightInd/>
        <w:spacing w:after="200"/>
        <w:ind w:left="1440"/>
        <w:textAlignment w:val="auto"/>
        <w:rPr>
          <w:szCs w:val="24"/>
        </w:rPr>
      </w:pPr>
      <w:r w:rsidRPr="004E4188">
        <w:rPr>
          <w:szCs w:val="24"/>
        </w:rPr>
        <w:t>Les</w:t>
      </w:r>
      <w:r w:rsidRPr="004E4188">
        <w:rPr>
          <w:szCs w:val="24"/>
          <w:lang w:eastAsia="ja-JP"/>
        </w:rPr>
        <w:t xml:space="preserve"> f</w:t>
      </w:r>
      <w:r w:rsidRPr="004E4188">
        <w:rPr>
          <w:szCs w:val="24"/>
        </w:rPr>
        <w:t xml:space="preserve">acteurs liés aux coûts d’exploitation et de maintenance utilisés pour le calcul des coûts du cycle de vie sont : </w:t>
      </w:r>
    </w:p>
    <w:p w14:paraId="775CBAE7" w14:textId="77777777" w:rsidR="006F129D" w:rsidRPr="004E4188" w:rsidRDefault="006F129D" w:rsidP="009C3E53">
      <w:pPr>
        <w:suppressAutoHyphens w:val="0"/>
        <w:overflowPunct/>
        <w:autoSpaceDE/>
        <w:autoSpaceDN/>
        <w:adjustRightInd/>
        <w:spacing w:after="200"/>
        <w:ind w:left="1874" w:hanging="434"/>
        <w:textAlignment w:val="auto"/>
        <w:rPr>
          <w:szCs w:val="24"/>
        </w:rPr>
      </w:pPr>
      <w:r w:rsidRPr="004E4188">
        <w:rPr>
          <w:szCs w:val="24"/>
        </w:rPr>
        <w:t>(i)</w:t>
      </w:r>
      <w:r w:rsidRPr="004E4188">
        <w:rPr>
          <w:szCs w:val="24"/>
        </w:rPr>
        <w:tab/>
        <w:t>la durée du cycle de vie [</w:t>
      </w:r>
      <w:r w:rsidRPr="004E4188">
        <w:rPr>
          <w:i/>
          <w:szCs w:val="24"/>
        </w:rPr>
        <w:t>Indiquer la durée du cycle de vie en années. Cette durée ne devra pas excéder la période comprise entre la mise en service et une remise en état importante des Installations.</w:t>
      </w:r>
      <w:r w:rsidRPr="004E4188">
        <w:rPr>
          <w:szCs w:val="24"/>
        </w:rPr>
        <w:t>] ;</w:t>
      </w:r>
    </w:p>
    <w:p w14:paraId="3B7B2F39" w14:textId="77777777" w:rsidR="006F129D" w:rsidRPr="004E4188" w:rsidRDefault="006F129D" w:rsidP="009C3E53">
      <w:pPr>
        <w:suppressAutoHyphens w:val="0"/>
        <w:overflowPunct/>
        <w:autoSpaceDE/>
        <w:autoSpaceDN/>
        <w:adjustRightInd/>
        <w:spacing w:after="200"/>
        <w:ind w:left="1874" w:hanging="434"/>
        <w:textAlignment w:val="auto"/>
        <w:rPr>
          <w:szCs w:val="24"/>
        </w:rPr>
      </w:pPr>
      <w:r w:rsidRPr="004E4188">
        <w:rPr>
          <w:szCs w:val="24"/>
        </w:rPr>
        <w:t>(ii)</w:t>
      </w:r>
      <w:r w:rsidRPr="004E4188">
        <w:rPr>
          <w:szCs w:val="24"/>
        </w:rPr>
        <w:tab/>
        <w:t>les coûts d’exploitation [</w:t>
      </w:r>
      <w:r w:rsidRPr="004E4188">
        <w:rPr>
          <w:i/>
          <w:szCs w:val="24"/>
        </w:rPr>
        <w:t>Indiquer le combustible et/ou d’autres intrants, le coût unitaire dans les conditions d’exploitation annuelles et globales.</w:t>
      </w:r>
      <w:r w:rsidRPr="004E4188">
        <w:rPr>
          <w:szCs w:val="24"/>
        </w:rPr>
        <w:t>] ;</w:t>
      </w:r>
    </w:p>
    <w:p w14:paraId="7FCF688F" w14:textId="77777777" w:rsidR="006F129D" w:rsidRPr="004E4188" w:rsidRDefault="006F129D" w:rsidP="009C3E53">
      <w:pPr>
        <w:suppressAutoHyphens w:val="0"/>
        <w:overflowPunct/>
        <w:autoSpaceDE/>
        <w:autoSpaceDN/>
        <w:adjustRightInd/>
        <w:spacing w:after="200"/>
        <w:ind w:left="1874" w:hanging="434"/>
        <w:textAlignment w:val="auto"/>
        <w:rPr>
          <w:szCs w:val="24"/>
        </w:rPr>
      </w:pPr>
      <w:r w:rsidRPr="004E4188">
        <w:rPr>
          <w:szCs w:val="24"/>
        </w:rPr>
        <w:t>(iii)</w:t>
      </w:r>
      <w:r w:rsidRPr="004E4188">
        <w:rPr>
          <w:szCs w:val="24"/>
        </w:rPr>
        <w:tab/>
        <w:t>les coûts de la maintenance, y compris le coût des pièces de rechange pendant la période initiale d’exploitation ; et</w:t>
      </w:r>
    </w:p>
    <w:p w14:paraId="52EB2165" w14:textId="2EEB6DE4" w:rsidR="006F129D" w:rsidRPr="004E4188" w:rsidRDefault="006F129D" w:rsidP="009C3E53">
      <w:pPr>
        <w:suppressAutoHyphens w:val="0"/>
        <w:overflowPunct/>
        <w:autoSpaceDE/>
        <w:autoSpaceDN/>
        <w:adjustRightInd/>
        <w:spacing w:after="200"/>
        <w:ind w:left="1874" w:hanging="434"/>
        <w:textAlignment w:val="auto"/>
      </w:pPr>
      <w:r w:rsidRPr="004E4188">
        <w:rPr>
          <w:szCs w:val="24"/>
        </w:rPr>
        <w:t>(iv)</w:t>
      </w:r>
      <w:r w:rsidRPr="004E4188">
        <w:rPr>
          <w:szCs w:val="24"/>
          <w:lang w:eastAsia="ja-JP"/>
        </w:rPr>
        <w:tab/>
      </w:r>
      <w:r w:rsidRPr="004E4188">
        <w:rPr>
          <w:szCs w:val="24"/>
        </w:rPr>
        <w:t xml:space="preserve">un taux de </w:t>
      </w:r>
      <w:r w:rsidRPr="004E4188">
        <w:t>[</w:t>
      </w:r>
      <w:r w:rsidRPr="004E4188">
        <w:rPr>
          <w:i/>
        </w:rPr>
        <w:t>indiquer le taux en lettres et en chiffres</w:t>
      </w:r>
      <w:r w:rsidRPr="004E4188">
        <w:t>] pour</w:t>
      </w:r>
      <w:r w:rsidR="003B1222" w:rsidRPr="004E4188">
        <w:t xml:space="preserve"> </w:t>
      </w:r>
      <w:r w:rsidRPr="004E4188">
        <w:t>cent (%)</w:t>
      </w:r>
      <w:r w:rsidRPr="004E4188">
        <w:rPr>
          <w:szCs w:val="24"/>
        </w:rPr>
        <w:t>, utilisé pour calculer la valeur actuelle de tous les coûts annuels futurs imputables à (ii) et (iii) pour la durée précisée en (i).</w:t>
      </w:r>
    </w:p>
    <w:p w14:paraId="4901E4B6" w14:textId="7D4EA543" w:rsidR="006F129D" w:rsidRPr="004E4188" w:rsidRDefault="006F129D" w:rsidP="0013610D">
      <w:pPr>
        <w:suppressAutoHyphens w:val="0"/>
        <w:overflowPunct/>
        <w:autoSpaceDE/>
        <w:autoSpaceDN/>
        <w:adjustRightInd/>
        <w:ind w:left="850"/>
        <w:jc w:val="left"/>
        <w:textAlignment w:val="auto"/>
      </w:pPr>
      <w:r w:rsidRPr="004E4188">
        <w:rPr>
          <w:b/>
          <w:lang w:eastAsia="ja-JP"/>
        </w:rPr>
        <w:t>(b)</w:t>
      </w:r>
      <w:r w:rsidRPr="004E4188">
        <w:rPr>
          <w:b/>
          <w:lang w:eastAsia="ja-JP"/>
        </w:rPr>
        <w:tab/>
      </w:r>
      <w:r w:rsidRPr="004E4188">
        <w:rPr>
          <w:b/>
        </w:rPr>
        <w:t xml:space="preserve">Garanties opérationnelles des </w:t>
      </w:r>
      <w:r w:rsidRPr="004E4188">
        <w:rPr>
          <w:b/>
          <w:szCs w:val="24"/>
        </w:rPr>
        <w:t>É</w:t>
      </w:r>
      <w:r w:rsidRPr="004E4188">
        <w:rPr>
          <w:b/>
        </w:rPr>
        <w:t>quipements et Services de montage</w:t>
      </w:r>
    </w:p>
    <w:p w14:paraId="68AFE6D7" w14:textId="77777777" w:rsidR="006F129D" w:rsidRPr="004E4188" w:rsidRDefault="006F129D" w:rsidP="00D45EAD">
      <w:pPr>
        <w:tabs>
          <w:tab w:val="right" w:pos="7254"/>
        </w:tabs>
        <w:suppressAutoHyphens w:val="0"/>
        <w:overflowPunct/>
        <w:autoSpaceDE/>
        <w:autoSpaceDN/>
        <w:adjustRightInd/>
        <w:spacing w:after="200"/>
        <w:ind w:left="1440"/>
        <w:textAlignment w:val="auto"/>
        <w:rPr>
          <w:lang w:eastAsia="en-US"/>
        </w:rPr>
      </w:pPr>
      <w:r w:rsidRPr="004E4188">
        <w:rPr>
          <w:szCs w:val="24"/>
          <w:lang w:eastAsia="en-US"/>
        </w:rPr>
        <w:t>Les normes (niveaux à garantir) et niveaux minimaux ou maximaux acceptables</w:t>
      </w:r>
      <w:r w:rsidRPr="004E4188">
        <w:rPr>
          <w:rFonts w:hint="eastAsia"/>
          <w:szCs w:val="24"/>
          <w:lang w:eastAsia="ja-JP"/>
        </w:rPr>
        <w:t xml:space="preserve"> </w:t>
      </w:r>
      <w:r w:rsidRPr="004E4188">
        <w:rPr>
          <w:szCs w:val="24"/>
          <w:lang w:eastAsia="en-US"/>
        </w:rPr>
        <w:t>des garanties opérationnelles spécifiés dans les Exigences du Maître d’ouvrage sont </w:t>
      </w:r>
      <w:r w:rsidRPr="004E4188">
        <w:rPr>
          <w:lang w:eastAsia="en-US"/>
        </w:rPr>
        <w:t xml:space="preserve">: </w:t>
      </w:r>
    </w:p>
    <w:p w14:paraId="3F37C64F" w14:textId="71869CE5" w:rsidR="006F129D" w:rsidRPr="004E4188" w:rsidRDefault="006F129D" w:rsidP="00D45EAD">
      <w:pPr>
        <w:tabs>
          <w:tab w:val="right" w:pos="7254"/>
        </w:tabs>
        <w:suppressAutoHyphens w:val="0"/>
        <w:overflowPunct/>
        <w:autoSpaceDE/>
        <w:autoSpaceDN/>
        <w:adjustRightInd/>
        <w:spacing w:after="200"/>
        <w:ind w:left="1440"/>
        <w:textAlignment w:val="auto"/>
      </w:pPr>
      <w:r w:rsidRPr="004E4188">
        <w:rPr>
          <w:lang w:eastAsia="en-US"/>
        </w:rPr>
        <w:t>[</w:t>
      </w:r>
      <w:r w:rsidRPr="004E4188">
        <w:rPr>
          <w:i/>
          <w:szCs w:val="24"/>
          <w:lang w:eastAsia="en-US"/>
        </w:rPr>
        <w:t>Indiquer les critères spécifiés dans les Exigences du Maître d’ouvrage.</w:t>
      </w:r>
      <w:r w:rsidRPr="004E4188">
        <w:rPr>
          <w:lang w:eastAsia="en-US"/>
        </w:rPr>
        <w:t>]</w:t>
      </w:r>
      <w:r w:rsidRPr="004E4188" w:rsidDel="009341C9">
        <w:rPr>
          <w:szCs w:val="24"/>
        </w:rPr>
        <w:t xml:space="preserve"> </w:t>
      </w:r>
    </w:p>
    <w:tbl>
      <w:tblPr>
        <w:tblW w:w="0" w:type="auto"/>
        <w:tblInd w:w="1474" w:type="dxa"/>
        <w:tblLook w:val="01E0" w:firstRow="1" w:lastRow="1" w:firstColumn="1" w:lastColumn="1" w:noHBand="0" w:noVBand="0"/>
      </w:tblPr>
      <w:tblGrid>
        <w:gridCol w:w="1755"/>
        <w:gridCol w:w="2568"/>
        <w:gridCol w:w="2693"/>
      </w:tblGrid>
      <w:tr w:rsidR="006F129D" w:rsidRPr="004E4188" w14:paraId="4C4ED325" w14:textId="77777777" w:rsidTr="00823D97">
        <w:tc>
          <w:tcPr>
            <w:tcW w:w="1755" w:type="dxa"/>
            <w:vMerge w:val="restart"/>
            <w:tcBorders>
              <w:top w:val="single" w:sz="12" w:space="0" w:color="auto"/>
              <w:left w:val="single" w:sz="12" w:space="0" w:color="auto"/>
              <w:right w:val="single" w:sz="12" w:space="0" w:color="auto"/>
            </w:tcBorders>
            <w:shd w:val="clear" w:color="auto" w:fill="F3F3F3"/>
            <w:vAlign w:val="center"/>
          </w:tcPr>
          <w:p w14:paraId="59BF965F" w14:textId="77777777" w:rsidR="006F129D" w:rsidRPr="004E4188" w:rsidRDefault="006F129D" w:rsidP="00D45EAD">
            <w:pPr>
              <w:jc w:val="center"/>
              <w:rPr>
                <w:b/>
                <w:szCs w:val="36"/>
              </w:rPr>
            </w:pPr>
            <w:r w:rsidRPr="004E4188">
              <w:rPr>
                <w:b/>
                <w:szCs w:val="36"/>
              </w:rPr>
              <w:t xml:space="preserve">Garantie opérationnelle </w:t>
            </w:r>
          </w:p>
        </w:tc>
        <w:tc>
          <w:tcPr>
            <w:tcW w:w="5261" w:type="dxa"/>
            <w:gridSpan w:val="2"/>
            <w:tcBorders>
              <w:top w:val="single" w:sz="12" w:space="0" w:color="auto"/>
              <w:left w:val="single" w:sz="12" w:space="0" w:color="auto"/>
              <w:bottom w:val="single" w:sz="12" w:space="0" w:color="auto"/>
              <w:right w:val="single" w:sz="12" w:space="0" w:color="auto"/>
            </w:tcBorders>
            <w:shd w:val="clear" w:color="auto" w:fill="F3F3F3"/>
          </w:tcPr>
          <w:p w14:paraId="25F893E7" w14:textId="77777777" w:rsidR="006F129D" w:rsidRPr="004E4188" w:rsidRDefault="006F129D" w:rsidP="00A6049E">
            <w:pPr>
              <w:spacing w:before="60" w:after="60"/>
              <w:jc w:val="center"/>
              <w:rPr>
                <w:b/>
                <w:szCs w:val="36"/>
              </w:rPr>
            </w:pPr>
            <w:r w:rsidRPr="004E4188">
              <w:rPr>
                <w:b/>
                <w:szCs w:val="24"/>
              </w:rPr>
              <w:t>Critère</w:t>
            </w:r>
          </w:p>
        </w:tc>
      </w:tr>
      <w:tr w:rsidR="006F129D" w:rsidRPr="004E4188" w14:paraId="41E8241C" w14:textId="77777777" w:rsidTr="00823D97">
        <w:tc>
          <w:tcPr>
            <w:tcW w:w="1755" w:type="dxa"/>
            <w:vMerge/>
            <w:tcBorders>
              <w:left w:val="single" w:sz="12" w:space="0" w:color="auto"/>
              <w:bottom w:val="single" w:sz="12" w:space="0" w:color="auto"/>
              <w:right w:val="single" w:sz="12" w:space="0" w:color="auto"/>
            </w:tcBorders>
            <w:shd w:val="clear" w:color="auto" w:fill="F3F3F3"/>
            <w:vAlign w:val="center"/>
          </w:tcPr>
          <w:p w14:paraId="0706FE33" w14:textId="77777777" w:rsidR="006F129D" w:rsidRPr="004E4188" w:rsidRDefault="006F129D" w:rsidP="00DC0647">
            <w:pPr>
              <w:jc w:val="center"/>
              <w:rPr>
                <w:b/>
                <w:szCs w:val="36"/>
              </w:rPr>
            </w:pPr>
          </w:p>
        </w:tc>
        <w:tc>
          <w:tcPr>
            <w:tcW w:w="2568" w:type="dxa"/>
            <w:tcBorders>
              <w:top w:val="single" w:sz="12" w:space="0" w:color="auto"/>
              <w:left w:val="single" w:sz="12" w:space="0" w:color="auto"/>
              <w:bottom w:val="single" w:sz="12" w:space="0" w:color="auto"/>
              <w:right w:val="single" w:sz="12" w:space="0" w:color="auto"/>
            </w:tcBorders>
            <w:shd w:val="clear" w:color="auto" w:fill="F3F3F3"/>
          </w:tcPr>
          <w:p w14:paraId="32529024" w14:textId="77777777" w:rsidR="006F129D" w:rsidRPr="004E4188" w:rsidRDefault="006F129D" w:rsidP="00D928E4">
            <w:pPr>
              <w:tabs>
                <w:tab w:val="right" w:pos="7254"/>
              </w:tabs>
              <w:overflowPunct/>
              <w:autoSpaceDE/>
              <w:autoSpaceDN/>
              <w:adjustRightInd/>
              <w:spacing w:before="60"/>
              <w:ind w:firstLine="17"/>
              <w:jc w:val="center"/>
              <w:textAlignment w:val="auto"/>
              <w:rPr>
                <w:b/>
                <w:sz w:val="22"/>
                <w:szCs w:val="22"/>
                <w:lang w:val="en-GB" w:eastAsia="en-US"/>
              </w:rPr>
            </w:pPr>
            <w:r w:rsidRPr="004E4188">
              <w:rPr>
                <w:b/>
                <w:sz w:val="22"/>
                <w:szCs w:val="22"/>
                <w:lang w:val="en-GB" w:eastAsia="en-US"/>
              </w:rPr>
              <w:t>Norme</w:t>
            </w:r>
          </w:p>
          <w:p w14:paraId="247095F6" w14:textId="77777777" w:rsidR="006F129D" w:rsidRPr="004E4188" w:rsidRDefault="006F129D" w:rsidP="00D928E4">
            <w:pPr>
              <w:spacing w:after="60"/>
              <w:jc w:val="center"/>
              <w:rPr>
                <w:b/>
                <w:sz w:val="22"/>
                <w:szCs w:val="22"/>
              </w:rPr>
            </w:pPr>
            <w:r w:rsidRPr="004E4188">
              <w:rPr>
                <w:b/>
                <w:sz w:val="22"/>
                <w:szCs w:val="22"/>
                <w:lang w:val="en-GB" w:eastAsia="en-US"/>
              </w:rPr>
              <w:t>(niveau à garantir)</w:t>
            </w:r>
          </w:p>
        </w:tc>
        <w:tc>
          <w:tcPr>
            <w:tcW w:w="2693" w:type="dxa"/>
            <w:tcBorders>
              <w:top w:val="single" w:sz="12" w:space="0" w:color="auto"/>
              <w:left w:val="single" w:sz="12" w:space="0" w:color="auto"/>
              <w:bottom w:val="single" w:sz="12" w:space="0" w:color="auto"/>
              <w:right w:val="single" w:sz="12" w:space="0" w:color="auto"/>
            </w:tcBorders>
            <w:shd w:val="clear" w:color="auto" w:fill="F3F3F3"/>
            <w:vAlign w:val="center"/>
          </w:tcPr>
          <w:p w14:paraId="0E35D2E4" w14:textId="543E00B1" w:rsidR="006F129D" w:rsidRPr="004E4188" w:rsidRDefault="006F129D" w:rsidP="00D45EAD">
            <w:pPr>
              <w:jc w:val="center"/>
              <w:rPr>
                <w:b/>
                <w:sz w:val="22"/>
                <w:szCs w:val="22"/>
              </w:rPr>
            </w:pPr>
            <w:r w:rsidRPr="004E4188">
              <w:rPr>
                <w:b/>
                <w:sz w:val="22"/>
                <w:szCs w:val="22"/>
              </w:rPr>
              <w:t>Niveau minimal ou maximal acceptable</w:t>
            </w:r>
            <w:r w:rsidRPr="004E4188" w:rsidDel="00773D45">
              <w:rPr>
                <w:b/>
                <w:sz w:val="22"/>
                <w:szCs w:val="22"/>
              </w:rPr>
              <w:t xml:space="preserve"> </w:t>
            </w:r>
          </w:p>
        </w:tc>
      </w:tr>
      <w:tr w:rsidR="006F129D" w:rsidRPr="004E4188" w14:paraId="64A592CA" w14:textId="77777777" w:rsidTr="00823D97">
        <w:trPr>
          <w:trHeight w:val="329"/>
        </w:trPr>
        <w:tc>
          <w:tcPr>
            <w:tcW w:w="1755" w:type="dxa"/>
            <w:tcBorders>
              <w:top w:val="single" w:sz="12" w:space="0" w:color="auto"/>
              <w:left w:val="single" w:sz="4" w:space="0" w:color="auto"/>
              <w:bottom w:val="single" w:sz="4" w:space="0" w:color="auto"/>
              <w:right w:val="single" w:sz="4" w:space="0" w:color="auto"/>
            </w:tcBorders>
            <w:shd w:val="clear" w:color="auto" w:fill="auto"/>
            <w:vAlign w:val="center"/>
          </w:tcPr>
          <w:p w14:paraId="01BE1141" w14:textId="77777777" w:rsidR="006F129D" w:rsidRPr="004E4188" w:rsidRDefault="006F129D" w:rsidP="00D87764">
            <w:pPr>
              <w:rPr>
                <w:szCs w:val="36"/>
              </w:rPr>
            </w:pPr>
            <w:r w:rsidRPr="004E4188">
              <w:t>1.</w:t>
            </w:r>
          </w:p>
        </w:tc>
        <w:tc>
          <w:tcPr>
            <w:tcW w:w="2568" w:type="dxa"/>
            <w:tcBorders>
              <w:top w:val="single" w:sz="12" w:space="0" w:color="auto"/>
              <w:left w:val="single" w:sz="4" w:space="0" w:color="auto"/>
              <w:bottom w:val="single" w:sz="4" w:space="0" w:color="auto"/>
              <w:right w:val="single" w:sz="4" w:space="0" w:color="auto"/>
            </w:tcBorders>
          </w:tcPr>
          <w:p w14:paraId="73A89E3C" w14:textId="77777777" w:rsidR="006F129D" w:rsidRPr="004E4188" w:rsidRDefault="006F129D" w:rsidP="00D87764">
            <w:pPr>
              <w:rPr>
                <w:b/>
                <w:szCs w:val="36"/>
              </w:rPr>
            </w:pP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tcPr>
          <w:p w14:paraId="26CB69C6" w14:textId="77777777" w:rsidR="006F129D" w:rsidRPr="004E4188" w:rsidRDefault="006F129D" w:rsidP="00D87764">
            <w:pPr>
              <w:rPr>
                <w:b/>
                <w:szCs w:val="36"/>
              </w:rPr>
            </w:pPr>
          </w:p>
        </w:tc>
      </w:tr>
      <w:tr w:rsidR="006F129D" w:rsidRPr="004E4188" w14:paraId="5D5CC673" w14:textId="77777777" w:rsidTr="00823D97">
        <w:trPr>
          <w:trHeight w:val="345"/>
        </w:trPr>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3EFD429F" w14:textId="77777777" w:rsidR="006F129D" w:rsidRPr="004E4188" w:rsidRDefault="006F129D" w:rsidP="00D87764">
            <w:pPr>
              <w:rPr>
                <w:szCs w:val="36"/>
              </w:rPr>
            </w:pPr>
            <w:r w:rsidRPr="004E4188">
              <w:t>2.</w:t>
            </w:r>
          </w:p>
        </w:tc>
        <w:tc>
          <w:tcPr>
            <w:tcW w:w="2568" w:type="dxa"/>
            <w:tcBorders>
              <w:top w:val="single" w:sz="4" w:space="0" w:color="auto"/>
              <w:left w:val="single" w:sz="4" w:space="0" w:color="auto"/>
              <w:bottom w:val="single" w:sz="4" w:space="0" w:color="auto"/>
              <w:right w:val="single" w:sz="4" w:space="0" w:color="auto"/>
            </w:tcBorders>
          </w:tcPr>
          <w:p w14:paraId="14F1B58A" w14:textId="77777777" w:rsidR="006F129D" w:rsidRPr="004E4188" w:rsidRDefault="006F129D" w:rsidP="00D87764">
            <w:pPr>
              <w:rPr>
                <w:b/>
                <w:szCs w:val="3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7CE3891" w14:textId="77777777" w:rsidR="006F129D" w:rsidRPr="004E4188" w:rsidRDefault="006F129D" w:rsidP="00D87764">
            <w:pPr>
              <w:rPr>
                <w:b/>
                <w:szCs w:val="36"/>
              </w:rPr>
            </w:pPr>
          </w:p>
        </w:tc>
      </w:tr>
      <w:tr w:rsidR="006F129D" w:rsidRPr="004E4188" w14:paraId="47AF2303" w14:textId="77777777" w:rsidTr="00823D97">
        <w:trPr>
          <w:trHeight w:val="356"/>
        </w:trPr>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4B361752" w14:textId="77777777" w:rsidR="006F129D" w:rsidRPr="004E4188" w:rsidRDefault="006F129D" w:rsidP="00D87764">
            <w:pPr>
              <w:rPr>
                <w:szCs w:val="36"/>
              </w:rPr>
            </w:pPr>
            <w:r w:rsidRPr="004E4188">
              <w:t>3.</w:t>
            </w:r>
          </w:p>
        </w:tc>
        <w:tc>
          <w:tcPr>
            <w:tcW w:w="2568" w:type="dxa"/>
            <w:tcBorders>
              <w:top w:val="single" w:sz="4" w:space="0" w:color="auto"/>
              <w:left w:val="single" w:sz="4" w:space="0" w:color="auto"/>
              <w:bottom w:val="single" w:sz="4" w:space="0" w:color="auto"/>
              <w:right w:val="single" w:sz="4" w:space="0" w:color="auto"/>
            </w:tcBorders>
          </w:tcPr>
          <w:p w14:paraId="7529940E" w14:textId="77777777" w:rsidR="006F129D" w:rsidRPr="004E4188" w:rsidRDefault="006F129D" w:rsidP="00D87764">
            <w:pPr>
              <w:rPr>
                <w:b/>
                <w:szCs w:val="3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21D32C" w14:textId="77777777" w:rsidR="006F129D" w:rsidRPr="004E4188" w:rsidRDefault="006F129D" w:rsidP="00D87764">
            <w:pPr>
              <w:rPr>
                <w:b/>
                <w:szCs w:val="36"/>
              </w:rPr>
            </w:pPr>
          </w:p>
        </w:tc>
      </w:tr>
      <w:tr w:rsidR="006F129D" w:rsidRPr="004E4188" w14:paraId="6A96E224" w14:textId="77777777" w:rsidTr="00823D97">
        <w:trPr>
          <w:trHeight w:val="353"/>
        </w:trPr>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24DF16BD" w14:textId="77777777" w:rsidR="006F129D" w:rsidRPr="004E4188" w:rsidRDefault="006F129D" w:rsidP="00D87764">
            <w:pPr>
              <w:rPr>
                <w:szCs w:val="36"/>
                <w:lang w:eastAsia="ja-JP"/>
              </w:rPr>
            </w:pPr>
            <w:r w:rsidRPr="004E4188">
              <w:rPr>
                <w:rFonts w:hint="eastAsia"/>
                <w:szCs w:val="36"/>
                <w:lang w:eastAsia="ja-JP"/>
              </w:rPr>
              <w:t>.</w:t>
            </w:r>
            <w:r w:rsidRPr="004E4188">
              <w:rPr>
                <w:szCs w:val="36"/>
                <w:lang w:eastAsia="ja-JP"/>
              </w:rPr>
              <w:t>..</w:t>
            </w:r>
          </w:p>
        </w:tc>
        <w:tc>
          <w:tcPr>
            <w:tcW w:w="2568" w:type="dxa"/>
            <w:tcBorders>
              <w:top w:val="single" w:sz="4" w:space="0" w:color="auto"/>
              <w:left w:val="single" w:sz="4" w:space="0" w:color="auto"/>
              <w:bottom w:val="single" w:sz="4" w:space="0" w:color="auto"/>
              <w:right w:val="single" w:sz="4" w:space="0" w:color="auto"/>
            </w:tcBorders>
          </w:tcPr>
          <w:p w14:paraId="1D7812AD" w14:textId="77777777" w:rsidR="006F129D" w:rsidRPr="004E4188" w:rsidRDefault="006F129D" w:rsidP="00D87764">
            <w:pPr>
              <w:rPr>
                <w:b/>
                <w:szCs w:val="3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2712B4D" w14:textId="77777777" w:rsidR="006F129D" w:rsidRPr="004E4188" w:rsidRDefault="006F129D" w:rsidP="00D87764">
            <w:pPr>
              <w:rPr>
                <w:b/>
                <w:szCs w:val="36"/>
              </w:rPr>
            </w:pPr>
          </w:p>
        </w:tc>
      </w:tr>
    </w:tbl>
    <w:p w14:paraId="396E6F9F" w14:textId="77777777" w:rsidR="006F129D" w:rsidRPr="004E4188" w:rsidRDefault="006F129D" w:rsidP="0074703E">
      <w:pPr>
        <w:ind w:left="1440"/>
      </w:pPr>
    </w:p>
    <w:p w14:paraId="5CBCF9DB" w14:textId="4D1211B5" w:rsidR="006F129D" w:rsidRPr="004E4188" w:rsidRDefault="006F129D" w:rsidP="0013610D">
      <w:pPr>
        <w:spacing w:afterLines="100" w:after="240"/>
        <w:ind w:left="1440"/>
        <w:rPr>
          <w:szCs w:val="24"/>
        </w:rPr>
      </w:pPr>
      <w:r w:rsidRPr="004E4188">
        <w:rPr>
          <w:szCs w:val="24"/>
        </w:rPr>
        <w:t xml:space="preserve">Aux fins de l’évaluation, </w:t>
      </w:r>
      <w:r w:rsidRPr="004E4188">
        <w:rPr>
          <w:szCs w:val="24"/>
          <w:lang w:eastAsia="en-US"/>
        </w:rPr>
        <w:t>la procédure décrite ci-dessous sera appliquée.</w:t>
      </w:r>
    </w:p>
    <w:p w14:paraId="58CA3141" w14:textId="77777777" w:rsidR="006F129D" w:rsidRPr="004E4188" w:rsidRDefault="006F129D" w:rsidP="0013610D">
      <w:pPr>
        <w:spacing w:afterLines="100" w:after="240"/>
        <w:ind w:left="1440"/>
        <w:rPr>
          <w:lang w:eastAsia="en-US"/>
        </w:rPr>
      </w:pPr>
      <w:r w:rsidRPr="004E4188">
        <w:rPr>
          <w:lang w:eastAsia="en-US"/>
        </w:rPr>
        <w:t>Si</w:t>
      </w:r>
      <w:r w:rsidRPr="004E4188">
        <w:rPr>
          <w:szCs w:val="24"/>
          <w:lang w:eastAsia="en-US"/>
        </w:rPr>
        <w:t xml:space="preserve"> la(les) valeur(s) de la(les) garantie(s) opérationnelle(s) pour les </w:t>
      </w:r>
      <w:r w:rsidRPr="004E4188">
        <w:rPr>
          <w:szCs w:val="24"/>
        </w:rPr>
        <w:t>É</w:t>
      </w:r>
      <w:r w:rsidRPr="004E4188">
        <w:rPr>
          <w:szCs w:val="24"/>
          <w:lang w:eastAsia="en-US"/>
        </w:rPr>
        <w:t>quipements proposés par le Soumissionnaire dans le formulaire GAR :</w:t>
      </w:r>
    </w:p>
    <w:p w14:paraId="5FD07DA0" w14:textId="097DF65A" w:rsidR="006F129D" w:rsidRPr="004E4188" w:rsidRDefault="006F129D" w:rsidP="00D45EAD">
      <w:pPr>
        <w:suppressAutoHyphens w:val="0"/>
        <w:overflowPunct/>
        <w:autoSpaceDE/>
        <w:autoSpaceDN/>
        <w:adjustRightInd/>
        <w:spacing w:after="200"/>
        <w:ind w:left="1881" w:hanging="434"/>
        <w:textAlignment w:val="auto"/>
        <w:rPr>
          <w:lang w:eastAsia="en-US"/>
        </w:rPr>
      </w:pPr>
      <w:r w:rsidRPr="004E4188">
        <w:rPr>
          <w:lang w:eastAsia="en-US"/>
        </w:rPr>
        <w:t>(i)</w:t>
      </w:r>
      <w:r w:rsidRPr="004E4188">
        <w:rPr>
          <w:lang w:eastAsia="en-US"/>
        </w:rPr>
        <w:tab/>
      </w:r>
      <w:r w:rsidRPr="004E4188">
        <w:rPr>
          <w:rFonts w:hint="eastAsia"/>
          <w:lang w:eastAsia="ja-JP"/>
        </w:rPr>
        <w:t>s</w:t>
      </w:r>
      <w:r w:rsidRPr="004E4188">
        <w:rPr>
          <w:szCs w:val="24"/>
          <w:lang w:eastAsia="en-US"/>
        </w:rPr>
        <w:t>atisfait(satisfont) la norme spécifiée dans le tableau ci-dessus, aucun ajustement ne sera apporté au Montant de l’offre</w:t>
      </w:r>
      <w:r w:rsidRPr="004E4188">
        <w:rPr>
          <w:lang w:eastAsia="en-US"/>
        </w:rPr>
        <w:t> ;</w:t>
      </w:r>
    </w:p>
    <w:p w14:paraId="5C705C5C" w14:textId="2EFEAA8F" w:rsidR="006F129D" w:rsidRPr="004E4188" w:rsidRDefault="006F129D" w:rsidP="00D45EAD">
      <w:pPr>
        <w:suppressAutoHyphens w:val="0"/>
        <w:overflowPunct/>
        <w:autoSpaceDE/>
        <w:autoSpaceDN/>
        <w:adjustRightInd/>
        <w:spacing w:after="200"/>
        <w:ind w:left="1881" w:hanging="434"/>
        <w:textAlignment w:val="auto"/>
        <w:rPr>
          <w:lang w:eastAsia="en-US"/>
        </w:rPr>
      </w:pPr>
      <w:r w:rsidRPr="004E4188">
        <w:rPr>
          <w:lang w:eastAsia="en-US"/>
        </w:rPr>
        <w:t xml:space="preserve">(ii) </w:t>
      </w:r>
      <w:r w:rsidRPr="004E4188">
        <w:rPr>
          <w:lang w:eastAsia="en-US"/>
        </w:rPr>
        <w:tab/>
        <w:t>e</w:t>
      </w:r>
      <w:r w:rsidRPr="004E4188">
        <w:rPr>
          <w:szCs w:val="24"/>
          <w:lang w:eastAsia="en-US"/>
        </w:rPr>
        <w:t>st(sont) comprise(s) entre la norme et le niveau minimal ou maximal acceptable du tableau ci-dessus, pour chaque point de pourcentage d’écart de la garantie opérationnelle par rapport à la norme, un ajustement sera apporté au Montant de l’offre</w:t>
      </w:r>
      <w:r w:rsidR="0006060D" w:rsidRPr="004E4188">
        <w:t xml:space="preserve"> en appliquant la méthode suivante</w:t>
      </w:r>
      <w:r w:rsidRPr="004E4188">
        <w:rPr>
          <w:szCs w:val="24"/>
          <w:lang w:eastAsia="en-US"/>
        </w:rPr>
        <w:t> </w:t>
      </w:r>
      <w:r w:rsidRPr="004E4188">
        <w:rPr>
          <w:lang w:eastAsia="en-US"/>
        </w:rPr>
        <w:t>:</w:t>
      </w:r>
    </w:p>
    <w:p w14:paraId="5D940B37" w14:textId="3E25BC62" w:rsidR="006F129D" w:rsidRPr="004E4188" w:rsidRDefault="006F129D" w:rsidP="00D45EAD">
      <w:pPr>
        <w:suppressAutoHyphens w:val="0"/>
        <w:overflowPunct/>
        <w:autoSpaceDE/>
        <w:autoSpaceDN/>
        <w:adjustRightInd/>
        <w:spacing w:after="200"/>
        <w:ind w:left="2315" w:hanging="434"/>
        <w:textAlignment w:val="auto"/>
        <w:rPr>
          <w:lang w:eastAsia="en-US"/>
        </w:rPr>
      </w:pPr>
      <w:r w:rsidRPr="004E4188">
        <w:rPr>
          <w:lang w:eastAsia="en-US"/>
        </w:rPr>
        <w:t>[</w:t>
      </w:r>
      <w:r w:rsidRPr="004E4188">
        <w:rPr>
          <w:i/>
          <w:szCs w:val="24"/>
          <w:lang w:eastAsia="en-US"/>
        </w:rPr>
        <w:t>Indiquer la méthode de calcul de l’ajustement</w:t>
      </w:r>
      <w:r w:rsidRPr="004E4188">
        <w:rPr>
          <w:szCs w:val="24"/>
          <w:lang w:eastAsia="en-US"/>
        </w:rPr>
        <w:t>.</w:t>
      </w:r>
      <w:r w:rsidRPr="004E4188">
        <w:rPr>
          <w:lang w:eastAsia="en-US"/>
        </w:rPr>
        <w:t>]</w:t>
      </w:r>
    </w:p>
    <w:p w14:paraId="137F1600" w14:textId="77777777" w:rsidR="006F129D" w:rsidRPr="004E4188" w:rsidRDefault="006F129D" w:rsidP="00D45EAD">
      <w:pPr>
        <w:suppressAutoHyphens w:val="0"/>
        <w:overflowPunct/>
        <w:autoSpaceDE/>
        <w:autoSpaceDN/>
        <w:adjustRightInd/>
        <w:spacing w:after="200"/>
        <w:ind w:left="1881" w:hanging="434"/>
        <w:textAlignment w:val="auto"/>
        <w:rPr>
          <w:lang w:eastAsia="en-US"/>
        </w:rPr>
      </w:pPr>
      <w:r w:rsidRPr="004E4188">
        <w:rPr>
          <w:lang w:eastAsia="en-US"/>
        </w:rPr>
        <w:t>(iii)</w:t>
      </w:r>
      <w:r w:rsidRPr="004E4188">
        <w:rPr>
          <w:lang w:eastAsia="en-US"/>
        </w:rPr>
        <w:tab/>
        <w:t xml:space="preserve">ne </w:t>
      </w:r>
      <w:r w:rsidRPr="004E4188">
        <w:rPr>
          <w:szCs w:val="24"/>
          <w:lang w:eastAsia="en-US"/>
        </w:rPr>
        <w:t>satisfait(satisfont) pas le niveau minimal ou maximal acceptable du tableau ci-dessus, l’offre sera rejetée</w:t>
      </w:r>
      <w:r w:rsidRPr="004E4188">
        <w:rPr>
          <w:lang w:eastAsia="en-US"/>
        </w:rPr>
        <w:t>.</w:t>
      </w:r>
    </w:p>
    <w:p w14:paraId="044B4B7A" w14:textId="6F75242F" w:rsidR="006F129D" w:rsidRPr="004E4188" w:rsidRDefault="006F129D" w:rsidP="0013610D">
      <w:pPr>
        <w:suppressAutoHyphens w:val="0"/>
        <w:overflowPunct/>
        <w:autoSpaceDE/>
        <w:autoSpaceDN/>
        <w:adjustRightInd/>
        <w:ind w:left="850"/>
        <w:jc w:val="left"/>
        <w:textAlignment w:val="auto"/>
        <w:rPr>
          <w:b/>
        </w:rPr>
      </w:pPr>
      <w:r w:rsidRPr="004E4188">
        <w:rPr>
          <w:b/>
          <w:lang w:eastAsia="ja-JP"/>
        </w:rPr>
        <w:t>(c)</w:t>
      </w:r>
      <w:r w:rsidRPr="004E4188">
        <w:rPr>
          <w:b/>
          <w:lang w:eastAsia="ja-JP"/>
        </w:rPr>
        <w:tab/>
      </w:r>
      <w:r w:rsidRPr="004E4188">
        <w:rPr>
          <w:b/>
        </w:rPr>
        <w:t>Critères d’évaluation spécifiques supplémentaires</w:t>
      </w:r>
    </w:p>
    <w:p w14:paraId="42138500" w14:textId="40EA7ADA" w:rsidR="00A31B1F" w:rsidRPr="004E4188" w:rsidRDefault="006F129D" w:rsidP="009C3E53">
      <w:pPr>
        <w:spacing w:after="120"/>
        <w:ind w:left="1440"/>
        <w:rPr>
          <w:spacing w:val="-3"/>
          <w:lang w:eastAsia="ja-JP"/>
        </w:rPr>
      </w:pPr>
      <w:r w:rsidRPr="004E4188">
        <w:rPr>
          <w:szCs w:val="24"/>
        </w:rPr>
        <w:t>Les</w:t>
      </w:r>
      <w:r w:rsidRPr="004E4188">
        <w:rPr>
          <w:spacing w:val="-3"/>
        </w:rPr>
        <w:t xml:space="preserve"> </w:t>
      </w:r>
      <w:r w:rsidRPr="004E4188">
        <w:rPr>
          <w:szCs w:val="24"/>
          <w:lang w:eastAsia="en-US"/>
        </w:rPr>
        <w:t>critères</w:t>
      </w:r>
      <w:r w:rsidRPr="004E4188">
        <w:rPr>
          <w:spacing w:val="-3"/>
        </w:rPr>
        <w:t xml:space="preserve"> </w:t>
      </w:r>
      <w:r w:rsidRPr="004E4188">
        <w:t>d’évaluation</w:t>
      </w:r>
      <w:r w:rsidRPr="004E4188">
        <w:rPr>
          <w:spacing w:val="-3"/>
        </w:rPr>
        <w:t xml:space="preserve"> supplémentaires suivants seront utilisés lors de l’</w:t>
      </w:r>
      <w:r w:rsidRPr="004E4188">
        <w:rPr>
          <w:szCs w:val="24"/>
          <w:lang w:eastAsia="en-US"/>
        </w:rPr>
        <w:t>évaluation</w:t>
      </w:r>
      <w:r w:rsidRPr="004E4188">
        <w:rPr>
          <w:spacing w:val="-3"/>
        </w:rPr>
        <w:t> : [</w:t>
      </w:r>
      <w:r w:rsidRPr="004E4188">
        <w:rPr>
          <w:i/>
          <w:iCs/>
          <w:lang w:eastAsia="ja-JP"/>
        </w:rPr>
        <w:t>I</w:t>
      </w:r>
      <w:r w:rsidRPr="004E4188">
        <w:rPr>
          <w:i/>
        </w:rPr>
        <w:t xml:space="preserve">nsérer, </w:t>
      </w:r>
      <w:r w:rsidRPr="004E4188">
        <w:rPr>
          <w:i/>
          <w:iCs/>
          <w:lang w:eastAsia="ja-JP"/>
        </w:rPr>
        <w:t>l</w:t>
      </w:r>
      <w:r w:rsidRPr="004E4188">
        <w:rPr>
          <w:i/>
        </w:rPr>
        <w:t>e cas échéant,</w:t>
      </w:r>
      <w:r w:rsidRPr="004E4188">
        <w:rPr>
          <w:i/>
          <w:spacing w:val="-3"/>
        </w:rPr>
        <w:t xml:space="preserve"> les critères d’</w:t>
      </w:r>
      <w:r w:rsidRPr="004E4188">
        <w:rPr>
          <w:i/>
        </w:rPr>
        <w:t>évaluation</w:t>
      </w:r>
      <w:r w:rsidRPr="004E4188">
        <w:rPr>
          <w:i/>
          <w:spacing w:val="-3"/>
        </w:rPr>
        <w:t xml:space="preserve"> supplémentaires.</w:t>
      </w:r>
      <w:r w:rsidRPr="004E4188">
        <w:rPr>
          <w:i/>
        </w:rPr>
        <w:t xml:space="preserve"> Sinon, indique</w:t>
      </w:r>
      <w:r w:rsidR="00AD18DF" w:rsidRPr="004E4188">
        <w:rPr>
          <w:i/>
        </w:rPr>
        <w:t>r</w:t>
      </w:r>
      <w:r w:rsidRPr="004E4188">
        <w:rPr>
          <w:i/>
        </w:rPr>
        <w:t xml:space="preserve"> « Sans objet »</w:t>
      </w:r>
      <w:r w:rsidRPr="004E4188">
        <w:rPr>
          <w:i/>
          <w:iCs/>
          <w:lang w:eastAsia="ja-JP"/>
        </w:rPr>
        <w:t>.</w:t>
      </w:r>
      <w:r w:rsidRPr="004E4188">
        <w:rPr>
          <w:spacing w:val="-3"/>
        </w:rPr>
        <w:t>]</w:t>
      </w:r>
    </w:p>
    <w:p w14:paraId="5A2B2774" w14:textId="74E8549E" w:rsidR="00A31B1F" w:rsidRPr="004E4188" w:rsidRDefault="00A31B1F" w:rsidP="00D45EAD">
      <w:pPr>
        <w:ind w:left="1440"/>
        <w:rPr>
          <w:spacing w:val="-3"/>
          <w:lang w:eastAsia="ja-JP"/>
        </w:rPr>
      </w:pPr>
      <w:r w:rsidRPr="004E4188">
        <w:rPr>
          <w:bCs/>
        </w:rPr>
        <w:t>………………………………………………………………………………………</w:t>
      </w:r>
      <w:r w:rsidR="00D928E4" w:rsidRPr="004E4188">
        <w:rPr>
          <w:bCs/>
        </w:rPr>
        <w:t>………………………………………………………………………………………</w:t>
      </w:r>
    </w:p>
    <w:p w14:paraId="6DFE93B4" w14:textId="77777777" w:rsidR="00A31B1F" w:rsidRPr="004E4188" w:rsidRDefault="00A31B1F" w:rsidP="00A31B1F">
      <w:pPr>
        <w:spacing w:after="200"/>
        <w:ind w:left="1440"/>
        <w:rPr>
          <w:spacing w:val="-3"/>
          <w:lang w:eastAsia="ja-JP"/>
        </w:rPr>
      </w:pPr>
    </w:p>
    <w:p w14:paraId="3EFCA10E" w14:textId="77777777" w:rsidR="006F129D" w:rsidRPr="004E4188" w:rsidRDefault="006F129D" w:rsidP="00A31B1F">
      <w:pPr>
        <w:spacing w:after="200"/>
        <w:ind w:left="1440"/>
        <w:rPr>
          <w:b/>
        </w:rPr>
      </w:pPr>
    </w:p>
    <w:p w14:paraId="7CBB6CA0" w14:textId="24610530" w:rsidR="006F129D" w:rsidRPr="004E4188" w:rsidRDefault="006F129D" w:rsidP="000F2B7A">
      <w:pPr>
        <w:suppressAutoHyphens w:val="0"/>
        <w:overflowPunct/>
        <w:autoSpaceDE/>
        <w:autoSpaceDN/>
        <w:adjustRightInd/>
        <w:spacing w:after="120"/>
        <w:ind w:left="851" w:hanging="851"/>
        <w:jc w:val="left"/>
        <w:textAlignment w:val="auto"/>
        <w:rPr>
          <w:b/>
        </w:rPr>
      </w:pPr>
      <w:r w:rsidRPr="004E4188">
        <w:rPr>
          <w:b/>
          <w:lang w:eastAsia="ja-JP"/>
        </w:rPr>
        <w:t>1.2.2</w:t>
      </w:r>
      <w:r w:rsidRPr="004E4188">
        <w:rPr>
          <w:b/>
          <w:lang w:eastAsia="ja-JP"/>
        </w:rPr>
        <w:tab/>
      </w:r>
      <w:r w:rsidRPr="004E4188">
        <w:rPr>
          <w:b/>
        </w:rPr>
        <w:t>Critères d’attribution de lots multiples (IS 35.3)</w:t>
      </w:r>
    </w:p>
    <w:p w14:paraId="3D432E76" w14:textId="69F2986A" w:rsidR="006F129D" w:rsidRPr="004E4188" w:rsidRDefault="006F129D" w:rsidP="0013610D">
      <w:pPr>
        <w:spacing w:afterLines="100" w:after="240"/>
        <w:ind w:left="850"/>
        <w:rPr>
          <w:i/>
        </w:rPr>
      </w:pPr>
      <w:r w:rsidRPr="004E4188">
        <w:rPr>
          <w:bCs/>
          <w:lang w:eastAsia="ja-JP"/>
        </w:rPr>
        <w:t>[</w:t>
      </w:r>
      <w:r w:rsidRPr="004E4188">
        <w:rPr>
          <w:i/>
        </w:rPr>
        <w:t xml:space="preserve">Insérer le texte suivant en cas d’un appel d’offres lancé pour des lots multiples, le cas échéant. Sinon, supprimer </w:t>
      </w:r>
      <w:r w:rsidRPr="004E4188">
        <w:rPr>
          <w:i/>
          <w:lang w:eastAsia="en-US"/>
        </w:rPr>
        <w:t>la totalité du texte et indiquer à la place « Sans objet »</w:t>
      </w:r>
      <w:r w:rsidRPr="004E4188">
        <w:rPr>
          <w:rFonts w:hint="eastAsia"/>
          <w:bCs/>
          <w:i/>
          <w:lang w:eastAsia="ja-JP"/>
        </w:rPr>
        <w:t>.</w:t>
      </w:r>
    </w:p>
    <w:p w14:paraId="00868A0E" w14:textId="1E756865" w:rsidR="006F129D" w:rsidRPr="004E4188" w:rsidRDefault="006F129D" w:rsidP="0013610D">
      <w:pPr>
        <w:spacing w:afterLines="100" w:after="240"/>
        <w:ind w:left="850"/>
        <w:rPr>
          <w:i/>
        </w:rPr>
      </w:pPr>
      <w:r w:rsidRPr="004E4188">
        <w:rPr>
          <w:i/>
        </w:rPr>
        <w:t xml:space="preserve">« Si l’Article 1.1 des DP le prévoit, les Soumissionnaires ont la possibilité de remettre une offre pour des lots multiples dans n’importe quelle combinaison. Les offres pour chaque lot ou chaque combinaison de lots seront ensuite évaluées, en prenant en compte les rabais offerts, le cas échéant, pour l’attribution de ces lots multiples. </w:t>
      </w:r>
    </w:p>
    <w:p w14:paraId="042D1843" w14:textId="7AE1F40E" w:rsidR="006F129D" w:rsidRPr="004E4188" w:rsidRDefault="006F129D" w:rsidP="0013610D">
      <w:pPr>
        <w:spacing w:afterLines="100" w:after="240"/>
        <w:ind w:left="850"/>
        <w:rPr>
          <w:lang w:eastAsia="ja-JP"/>
        </w:rPr>
      </w:pPr>
      <w:r w:rsidRPr="004E4188">
        <w:rPr>
          <w:i/>
        </w:rPr>
        <w:t>Les lots seront attribués au(x) Soumissionnaire(s) offrant le coût évalué le moins</w:t>
      </w:r>
      <w:r w:rsidR="00655A9E" w:rsidRPr="004E4188">
        <w:rPr>
          <w:i/>
        </w:rPr>
        <w:t>-</w:t>
      </w:r>
      <w:r w:rsidRPr="004E4188">
        <w:rPr>
          <w:i/>
        </w:rPr>
        <w:t>disant pour le Maître d’ouvrage compte tenu des rabais offerts, sous réserve que le(les) Soumissionnaire(s) retenu(s) satisfasse(nt) aux critères de qualification requis pour l’attribution de ces lots multiples. »</w:t>
      </w:r>
      <w:r w:rsidRPr="004E4188">
        <w:t>]</w:t>
      </w:r>
    </w:p>
    <w:p w14:paraId="4AFBD759" w14:textId="77777777" w:rsidR="006F129D" w:rsidRPr="004E4188" w:rsidRDefault="006F129D" w:rsidP="00CE6291">
      <w:pPr>
        <w:ind w:leftChars="300" w:left="720"/>
      </w:pPr>
    </w:p>
    <w:p w14:paraId="2916B213" w14:textId="1F5A4F04" w:rsidR="00271660" w:rsidRPr="004E4188" w:rsidRDefault="006F129D" w:rsidP="003D46CF">
      <w:pPr>
        <w:numPr>
          <w:ilvl w:val="1"/>
          <w:numId w:val="36"/>
        </w:numPr>
        <w:tabs>
          <w:tab w:val="clear" w:pos="562"/>
        </w:tabs>
        <w:suppressAutoHyphens w:val="0"/>
        <w:overflowPunct/>
        <w:autoSpaceDE/>
        <w:autoSpaceDN/>
        <w:adjustRightInd/>
        <w:ind w:left="851" w:hanging="851"/>
        <w:jc w:val="left"/>
        <w:textAlignment w:val="auto"/>
        <w:rPr>
          <w:i/>
          <w:szCs w:val="24"/>
          <w:lang w:eastAsia="ja-JP"/>
        </w:rPr>
      </w:pPr>
      <w:r w:rsidRPr="004E4188">
        <w:rPr>
          <w:b/>
          <w:sz w:val="28"/>
          <w:szCs w:val="28"/>
          <w:lang w:eastAsia="ja-JP"/>
        </w:rPr>
        <w:t>V</w:t>
      </w:r>
      <w:r w:rsidRPr="004E4188">
        <w:rPr>
          <w:b/>
          <w:sz w:val="28"/>
          <w:szCs w:val="28"/>
        </w:rPr>
        <w:t>ariantes aux Délais d’</w:t>
      </w:r>
      <w:r w:rsidR="00553D71" w:rsidRPr="004E4188">
        <w:rPr>
          <w:b/>
          <w:sz w:val="28"/>
          <w:szCs w:val="28"/>
        </w:rPr>
        <w:t>a</w:t>
      </w:r>
      <w:r w:rsidRPr="004E4188">
        <w:rPr>
          <w:b/>
          <w:sz w:val="28"/>
          <w:szCs w:val="28"/>
        </w:rPr>
        <w:t xml:space="preserve">chèvement des </w:t>
      </w:r>
      <w:r w:rsidR="008108BB" w:rsidRPr="004E4188">
        <w:rPr>
          <w:b/>
          <w:sz w:val="28"/>
          <w:szCs w:val="28"/>
        </w:rPr>
        <w:t>Installations</w:t>
      </w:r>
      <w:r w:rsidRPr="004E4188">
        <w:rPr>
          <w:b/>
          <w:sz w:val="28"/>
          <w:szCs w:val="28"/>
        </w:rPr>
        <w:t> (IS</w:t>
      </w:r>
      <w:r w:rsidRPr="004E4188">
        <w:rPr>
          <w:b/>
          <w:sz w:val="28"/>
          <w:szCs w:val="28"/>
          <w:lang w:eastAsia="ja-JP"/>
        </w:rPr>
        <w:t xml:space="preserve"> 13.1)</w:t>
      </w:r>
    </w:p>
    <w:p w14:paraId="3A8160D3" w14:textId="66BA3CAC" w:rsidR="006F129D" w:rsidRPr="004E4188" w:rsidRDefault="006F129D" w:rsidP="009C3E53">
      <w:pPr>
        <w:tabs>
          <w:tab w:val="num" w:pos="840"/>
        </w:tabs>
        <w:suppressAutoHyphens w:val="0"/>
        <w:overflowPunct/>
        <w:autoSpaceDE/>
        <w:autoSpaceDN/>
        <w:adjustRightInd/>
        <w:ind w:left="851"/>
        <w:textAlignment w:val="auto"/>
        <w:rPr>
          <w:i/>
          <w:szCs w:val="24"/>
          <w:lang w:eastAsia="ja-JP"/>
        </w:rPr>
      </w:pPr>
      <w:r w:rsidRPr="004E4188">
        <w:rPr>
          <w:szCs w:val="24"/>
          <w:lang w:eastAsia="ja-JP"/>
        </w:rPr>
        <w:t>[</w:t>
      </w:r>
      <w:r w:rsidRPr="004E4188">
        <w:rPr>
          <w:rFonts w:hint="eastAsia"/>
          <w:i/>
          <w:lang w:eastAsia="ja-JP"/>
        </w:rPr>
        <w:t>S</w:t>
      </w:r>
      <w:r w:rsidRPr="004E4188">
        <w:rPr>
          <w:i/>
        </w:rPr>
        <w:t>i des variantes aux délais d’achèvement ne sont pas autorisés en vertu de IS 13.1, indiquer ce qui suit</w:t>
      </w:r>
      <w:r w:rsidRPr="004E4188">
        <w:rPr>
          <w:i/>
          <w:szCs w:val="24"/>
          <w:lang w:eastAsia="ja-JP"/>
        </w:rPr>
        <w:t>.</w:t>
      </w:r>
      <w:r w:rsidRPr="004E4188">
        <w:rPr>
          <w:szCs w:val="24"/>
          <w:lang w:eastAsia="ja-JP"/>
        </w:rPr>
        <w:t>]</w:t>
      </w:r>
    </w:p>
    <w:p w14:paraId="106C6349" w14:textId="77777777" w:rsidR="006F129D" w:rsidRPr="004E4188" w:rsidRDefault="006F129D" w:rsidP="00D45EAD">
      <w:pPr>
        <w:pStyle w:val="ListParagraph1"/>
        <w:ind w:left="851"/>
        <w:jc w:val="left"/>
        <w:rPr>
          <w:i/>
          <w:szCs w:val="24"/>
          <w:lang w:val="fr-FR" w:eastAsia="ja-JP"/>
        </w:rPr>
      </w:pPr>
    </w:p>
    <w:p w14:paraId="292998D3" w14:textId="3469FB8E" w:rsidR="006F129D" w:rsidRPr="004E4188" w:rsidRDefault="006F129D" w:rsidP="00271660">
      <w:pPr>
        <w:pStyle w:val="ListParagraph1"/>
        <w:ind w:left="850"/>
        <w:rPr>
          <w:b/>
          <w:szCs w:val="24"/>
          <w:lang w:val="fr-FR" w:eastAsia="ja-JP"/>
        </w:rPr>
      </w:pPr>
      <w:r w:rsidRPr="004E4188">
        <w:rPr>
          <w:lang w:val="fr-FR"/>
        </w:rPr>
        <w:t>L</w:t>
      </w:r>
      <w:r w:rsidRPr="004E4188">
        <w:rPr>
          <w:rFonts w:hint="eastAsia"/>
          <w:lang w:val="fr-FR"/>
        </w:rPr>
        <w:t xml:space="preserve">e </w:t>
      </w:r>
      <w:r w:rsidRPr="004E4188">
        <w:rPr>
          <w:lang w:val="fr-FR"/>
        </w:rPr>
        <w:t>D</w:t>
      </w:r>
      <w:r w:rsidRPr="004E4188">
        <w:rPr>
          <w:rFonts w:hint="eastAsia"/>
          <w:lang w:val="fr-FR"/>
        </w:rPr>
        <w:t>élai d</w:t>
      </w:r>
      <w:r w:rsidRPr="004E4188">
        <w:rPr>
          <w:lang w:val="fr-FR"/>
        </w:rPr>
        <w:t>’</w:t>
      </w:r>
      <w:r w:rsidR="00553D71" w:rsidRPr="004E4188">
        <w:rPr>
          <w:lang w:val="fr-FR"/>
        </w:rPr>
        <w:t>a</w:t>
      </w:r>
      <w:r w:rsidRPr="004E4188">
        <w:rPr>
          <w:lang w:val="fr-FR"/>
        </w:rPr>
        <w:t xml:space="preserve">chèvement des </w:t>
      </w:r>
      <w:r w:rsidRPr="004E4188">
        <w:rPr>
          <w:szCs w:val="24"/>
          <w:lang w:val="fr-FR"/>
        </w:rPr>
        <w:t>É</w:t>
      </w:r>
      <w:r w:rsidRPr="004E4188">
        <w:rPr>
          <w:lang w:val="fr-FR"/>
        </w:rPr>
        <w:t xml:space="preserve">quipements et Services de montage sera : </w:t>
      </w:r>
      <w:r w:rsidRPr="004E4188">
        <w:rPr>
          <w:rFonts w:hint="eastAsia"/>
          <w:lang w:val="fr-FR" w:eastAsia="ja-JP"/>
        </w:rPr>
        <w:t>[</w:t>
      </w:r>
      <w:r w:rsidRPr="004E4188">
        <w:rPr>
          <w:i/>
          <w:lang w:val="fr-FR" w:eastAsia="ja-JP"/>
        </w:rPr>
        <w:t>insérer le nombre de jours indiqué dans l’Article 8.2 de</w:t>
      </w:r>
      <w:r w:rsidRPr="004E4188">
        <w:rPr>
          <w:rFonts w:hint="eastAsia"/>
          <w:i/>
          <w:lang w:val="fr-FR" w:eastAsia="ja-JP"/>
        </w:rPr>
        <w:t>s</w:t>
      </w:r>
      <w:r w:rsidRPr="004E4188">
        <w:rPr>
          <w:i/>
          <w:lang w:val="fr-FR" w:eastAsia="ja-JP"/>
        </w:rPr>
        <w:t xml:space="preserve"> DM de la Section VIII, Conditions Particulières</w:t>
      </w:r>
      <w:r w:rsidRPr="004E4188">
        <w:rPr>
          <w:lang w:val="fr-FR" w:eastAsia="ja-JP"/>
        </w:rPr>
        <w:t>].</w:t>
      </w:r>
      <w:r w:rsidRPr="004E4188">
        <w:rPr>
          <w:lang w:val="fr-FR"/>
        </w:rPr>
        <w:t xml:space="preserve"> </w:t>
      </w:r>
      <w:r w:rsidRPr="004E4188">
        <w:rPr>
          <w:lang w:val="fr-FR" w:eastAsia="ja-JP"/>
        </w:rPr>
        <w:t>Aucun avantage ne sera accordé en cas de délai plus court</w:t>
      </w:r>
      <w:r w:rsidRPr="004E4188">
        <w:rPr>
          <w:szCs w:val="24"/>
          <w:lang w:val="fr-FR" w:eastAsia="ja-JP"/>
        </w:rPr>
        <w:t xml:space="preserve">. </w:t>
      </w:r>
    </w:p>
    <w:p w14:paraId="3BD89E0F" w14:textId="77777777" w:rsidR="006F129D" w:rsidRPr="004E4188" w:rsidRDefault="006F129D" w:rsidP="00D45EAD">
      <w:pPr>
        <w:pStyle w:val="ListParagraph1"/>
        <w:ind w:left="709"/>
        <w:jc w:val="left"/>
        <w:rPr>
          <w:bCs/>
          <w:lang w:val="fr-FR" w:eastAsia="ja-JP"/>
        </w:rPr>
      </w:pPr>
    </w:p>
    <w:p w14:paraId="00348343" w14:textId="77777777" w:rsidR="006F129D" w:rsidRPr="004E4188" w:rsidRDefault="006F129D" w:rsidP="009C3E53">
      <w:pPr>
        <w:pStyle w:val="ListParagraph1"/>
        <w:ind w:left="850"/>
        <w:rPr>
          <w:b/>
          <w:szCs w:val="24"/>
          <w:lang w:val="fr-FR" w:eastAsia="ja-JP"/>
        </w:rPr>
      </w:pPr>
      <w:r w:rsidRPr="004E4188">
        <w:rPr>
          <w:szCs w:val="24"/>
          <w:lang w:val="fr-FR" w:eastAsia="ja-JP"/>
        </w:rPr>
        <w:t>[</w:t>
      </w:r>
      <w:r w:rsidRPr="004E4188">
        <w:rPr>
          <w:rFonts w:hint="eastAsia"/>
          <w:i/>
          <w:lang w:val="fr-FR" w:eastAsia="ja-JP"/>
        </w:rPr>
        <w:t>S</w:t>
      </w:r>
      <w:r w:rsidRPr="004E4188">
        <w:rPr>
          <w:i/>
          <w:lang w:val="fr-FR"/>
        </w:rPr>
        <w:t>i des variantes aux délais d’achèvement sont autorisés conformément à IS 13.1, indiquer ce qui suit</w:t>
      </w:r>
      <w:r w:rsidRPr="004E4188">
        <w:rPr>
          <w:i/>
          <w:szCs w:val="24"/>
          <w:lang w:val="fr-FR" w:eastAsia="ja-JP"/>
        </w:rPr>
        <w:t>.</w:t>
      </w:r>
      <w:r w:rsidRPr="004E4188">
        <w:rPr>
          <w:szCs w:val="24"/>
          <w:lang w:val="fr-FR" w:eastAsia="ja-JP"/>
        </w:rPr>
        <w:t>]</w:t>
      </w:r>
    </w:p>
    <w:p w14:paraId="799C64B2" w14:textId="77777777" w:rsidR="006F129D" w:rsidRPr="004E4188" w:rsidRDefault="006F129D" w:rsidP="00D45EAD">
      <w:pPr>
        <w:pStyle w:val="ListParagraph1"/>
        <w:ind w:left="10" w:hangingChars="4" w:hanging="10"/>
        <w:jc w:val="left"/>
        <w:rPr>
          <w:bCs/>
          <w:lang w:val="fr-FR" w:eastAsia="ja-JP"/>
        </w:rPr>
      </w:pPr>
    </w:p>
    <w:p w14:paraId="7FD00C2E" w14:textId="48B8C2C9" w:rsidR="006F129D" w:rsidRPr="004E4188" w:rsidRDefault="006F129D" w:rsidP="000F2B7A">
      <w:pPr>
        <w:pStyle w:val="ListParagraph1"/>
        <w:ind w:left="850"/>
        <w:rPr>
          <w:szCs w:val="24"/>
          <w:lang w:val="fr-FR" w:eastAsia="ja-JP"/>
        </w:rPr>
      </w:pPr>
      <w:r w:rsidRPr="004E4188">
        <w:rPr>
          <w:rFonts w:hint="eastAsia"/>
          <w:lang w:val="fr-FR"/>
        </w:rPr>
        <w:t xml:space="preserve">Le </w:t>
      </w:r>
      <w:r w:rsidRPr="004E4188">
        <w:rPr>
          <w:lang w:val="fr-FR"/>
        </w:rPr>
        <w:t>D</w:t>
      </w:r>
      <w:r w:rsidRPr="004E4188">
        <w:rPr>
          <w:rFonts w:hint="eastAsia"/>
          <w:lang w:val="fr-FR"/>
        </w:rPr>
        <w:t>élai d</w:t>
      </w:r>
      <w:r w:rsidRPr="004E4188">
        <w:rPr>
          <w:lang w:val="fr-FR"/>
        </w:rPr>
        <w:t>’</w:t>
      </w:r>
      <w:r w:rsidR="00553D71" w:rsidRPr="004E4188">
        <w:rPr>
          <w:lang w:val="fr-FR"/>
        </w:rPr>
        <w:t>a</w:t>
      </w:r>
      <w:r w:rsidRPr="004E4188">
        <w:rPr>
          <w:lang w:val="fr-FR"/>
        </w:rPr>
        <w:t xml:space="preserve">chèvement des </w:t>
      </w:r>
      <w:r w:rsidRPr="004E4188">
        <w:rPr>
          <w:szCs w:val="24"/>
          <w:lang w:val="fr-FR"/>
        </w:rPr>
        <w:t>É</w:t>
      </w:r>
      <w:r w:rsidRPr="004E4188">
        <w:rPr>
          <w:lang w:val="fr-FR"/>
        </w:rPr>
        <w:t xml:space="preserve">quipements et Services de montage sera compris entre </w:t>
      </w:r>
      <w:r w:rsidRPr="004E4188">
        <w:rPr>
          <w:rFonts w:hint="eastAsia"/>
          <w:lang w:val="fr-FR" w:eastAsia="ja-JP"/>
        </w:rPr>
        <w:t>[</w:t>
      </w:r>
      <w:r w:rsidRPr="004E4188">
        <w:rPr>
          <w:i/>
          <w:lang w:val="fr-FR" w:eastAsia="ja-JP"/>
        </w:rPr>
        <w:t>insérer le nombre de jours</w:t>
      </w:r>
      <w:r w:rsidRPr="004E4188">
        <w:rPr>
          <w:lang w:val="fr-FR" w:eastAsia="ja-JP"/>
        </w:rPr>
        <w:t>] (ci-après désigné « </w:t>
      </w:r>
      <w:r w:rsidRPr="004E4188">
        <w:rPr>
          <w:i/>
          <w:lang w:val="fr-FR" w:eastAsia="ja-JP"/>
        </w:rPr>
        <w:t>minimum indiqué</w:t>
      </w:r>
      <w:r w:rsidRPr="004E4188">
        <w:rPr>
          <w:lang w:val="fr-FR" w:eastAsia="ja-JP"/>
        </w:rPr>
        <w:t xml:space="preserve"> ») et </w:t>
      </w:r>
      <w:r w:rsidRPr="004E4188">
        <w:rPr>
          <w:rFonts w:hint="eastAsia"/>
          <w:lang w:val="fr-FR" w:eastAsia="ja-JP"/>
        </w:rPr>
        <w:t>[</w:t>
      </w:r>
      <w:r w:rsidRPr="004E4188">
        <w:rPr>
          <w:i/>
          <w:lang w:val="fr-FR" w:eastAsia="ja-JP"/>
        </w:rPr>
        <w:t>insérer le nombre de jours</w:t>
      </w:r>
      <w:r w:rsidRPr="004E4188">
        <w:rPr>
          <w:lang w:val="fr-FR" w:eastAsia="ja-JP"/>
        </w:rPr>
        <w:t>] (ci-après désigné « </w:t>
      </w:r>
      <w:r w:rsidRPr="004E4188">
        <w:rPr>
          <w:i/>
          <w:lang w:val="fr-FR" w:eastAsia="ja-JP"/>
        </w:rPr>
        <w:t>maximum indiqué</w:t>
      </w:r>
      <w:r w:rsidRPr="004E4188">
        <w:rPr>
          <w:lang w:val="fr-FR" w:eastAsia="ja-JP"/>
        </w:rPr>
        <w:t> »)</w:t>
      </w:r>
      <w:r w:rsidRPr="004E4188">
        <w:rPr>
          <w:szCs w:val="24"/>
          <w:lang w:val="fr-FR" w:eastAsia="ja-JP"/>
        </w:rPr>
        <w:t>.</w:t>
      </w:r>
    </w:p>
    <w:p w14:paraId="6B70312D" w14:textId="77777777" w:rsidR="006F129D" w:rsidRPr="004E4188" w:rsidRDefault="006F129D" w:rsidP="00D45EAD">
      <w:pPr>
        <w:pStyle w:val="ListParagraph1"/>
        <w:ind w:left="709"/>
        <w:rPr>
          <w:szCs w:val="24"/>
          <w:lang w:val="fr-FR" w:eastAsia="ja-JP"/>
        </w:rPr>
      </w:pPr>
    </w:p>
    <w:p w14:paraId="4A1B7DEA" w14:textId="731561EC" w:rsidR="006F129D" w:rsidRPr="004E4188" w:rsidRDefault="006F129D" w:rsidP="000F2B7A">
      <w:pPr>
        <w:pStyle w:val="ListParagraph1"/>
        <w:ind w:left="850"/>
        <w:rPr>
          <w:szCs w:val="24"/>
          <w:lang w:val="fr-FR" w:eastAsia="ja-JP"/>
        </w:rPr>
      </w:pPr>
      <w:r w:rsidRPr="004E4188">
        <w:rPr>
          <w:lang w:val="fr-FR" w:eastAsia="ja-JP"/>
        </w:rPr>
        <w:t xml:space="preserve">Le taux d’ajustement en cas d’achèvement postérieur à la période minimum sera </w:t>
      </w:r>
      <w:r w:rsidRPr="004E4188">
        <w:rPr>
          <w:rFonts w:hint="eastAsia"/>
          <w:lang w:val="fr-FR" w:eastAsia="ja-JP"/>
        </w:rPr>
        <w:t>[</w:t>
      </w:r>
      <w:r w:rsidRPr="004E4188">
        <w:rPr>
          <w:i/>
          <w:lang w:val="fr-FR"/>
        </w:rPr>
        <w:t>indiquer le pourcentage en lettres et en chiffres (%) pour chaque semaine de délai supplémentaire à partir de cette période minimum</w:t>
      </w:r>
      <w:r w:rsidRPr="004E4188">
        <w:rPr>
          <w:lang w:val="fr-FR"/>
        </w:rPr>
        <w:t>]</w:t>
      </w:r>
      <w:r w:rsidRPr="004E4188">
        <w:rPr>
          <w:szCs w:val="24"/>
          <w:lang w:val="fr-FR" w:eastAsia="ja-JP"/>
        </w:rPr>
        <w:t>.</w:t>
      </w:r>
    </w:p>
    <w:p w14:paraId="1BBA4982" w14:textId="77777777" w:rsidR="006F129D" w:rsidRPr="004E4188" w:rsidRDefault="006F129D" w:rsidP="00D45EAD">
      <w:pPr>
        <w:pStyle w:val="ListParagraph1"/>
        <w:ind w:left="709"/>
        <w:rPr>
          <w:szCs w:val="24"/>
          <w:lang w:val="fr-FR" w:eastAsia="ja-JP"/>
        </w:rPr>
      </w:pPr>
    </w:p>
    <w:p w14:paraId="54A2CF5A" w14:textId="77777777" w:rsidR="006F129D" w:rsidRPr="004E4188" w:rsidRDefault="006F129D" w:rsidP="000F2B7A">
      <w:pPr>
        <w:pStyle w:val="ListParagraph1"/>
        <w:ind w:left="850"/>
        <w:rPr>
          <w:szCs w:val="24"/>
          <w:lang w:val="fr-FR" w:eastAsia="ja-JP"/>
        </w:rPr>
      </w:pPr>
      <w:r w:rsidRPr="004E4188">
        <w:rPr>
          <w:lang w:val="fr-FR" w:eastAsia="ja-JP"/>
        </w:rPr>
        <w:t>Aucun avantage ne sera accordé pour un achèvement plus tôt que le minimum indiqué. Les offres proposant un achèvement au-delà du maximum indiqué seront rejetées</w:t>
      </w:r>
      <w:r w:rsidRPr="004E4188">
        <w:rPr>
          <w:szCs w:val="24"/>
          <w:lang w:val="fr-FR" w:eastAsia="ja-JP"/>
        </w:rPr>
        <w:t>.</w:t>
      </w:r>
    </w:p>
    <w:p w14:paraId="04F98258" w14:textId="77777777" w:rsidR="006F129D" w:rsidRPr="004E4188" w:rsidRDefault="006F129D" w:rsidP="00CE6291">
      <w:pPr>
        <w:ind w:leftChars="300" w:left="720"/>
      </w:pPr>
    </w:p>
    <w:p w14:paraId="730A2ADB" w14:textId="4F59FFFB" w:rsidR="006F129D" w:rsidRPr="004E4188" w:rsidRDefault="006F129D" w:rsidP="00686469">
      <w:pPr>
        <w:suppressAutoHyphens w:val="0"/>
        <w:overflowPunct/>
        <w:autoSpaceDE/>
        <w:autoSpaceDN/>
        <w:adjustRightInd/>
        <w:ind w:left="851" w:hanging="851"/>
        <w:jc w:val="left"/>
        <w:textAlignment w:val="auto"/>
        <w:rPr>
          <w:b/>
          <w:bCs/>
          <w:sz w:val="30"/>
          <w:szCs w:val="30"/>
          <w:lang w:eastAsia="ja-JP"/>
        </w:rPr>
      </w:pPr>
      <w:r w:rsidRPr="004E4188">
        <w:rPr>
          <w:b/>
          <w:sz w:val="28"/>
          <w:szCs w:val="28"/>
        </w:rPr>
        <w:br w:type="page"/>
      </w:r>
      <w:r w:rsidR="00686469" w:rsidRPr="004E4188">
        <w:rPr>
          <w:b/>
          <w:sz w:val="28"/>
          <w:szCs w:val="28"/>
        </w:rPr>
        <w:t>2.</w:t>
      </w:r>
      <w:r w:rsidR="00686469" w:rsidRPr="004E4188">
        <w:rPr>
          <w:b/>
          <w:sz w:val="28"/>
          <w:szCs w:val="28"/>
          <w:lang w:eastAsia="ja-JP"/>
        </w:rPr>
        <w:tab/>
      </w:r>
      <w:r w:rsidRPr="004E4188">
        <w:rPr>
          <w:b/>
          <w:bCs/>
          <w:sz w:val="28"/>
          <w:szCs w:val="28"/>
          <w:lang w:eastAsia="ja-JP"/>
        </w:rPr>
        <w:t>Qualification</w:t>
      </w:r>
    </w:p>
    <w:p w14:paraId="681AF8EF" w14:textId="77777777" w:rsidR="006F129D" w:rsidRPr="004E4188" w:rsidRDefault="006F129D" w:rsidP="00D45EAD">
      <w:pPr>
        <w:tabs>
          <w:tab w:val="num" w:pos="720"/>
        </w:tabs>
        <w:suppressAutoHyphens w:val="0"/>
        <w:overflowPunct/>
        <w:autoSpaceDE/>
        <w:autoSpaceDN/>
        <w:adjustRightInd/>
        <w:ind w:left="720" w:hanging="720"/>
        <w:jc w:val="left"/>
        <w:textAlignment w:val="auto"/>
        <w:rPr>
          <w:b/>
          <w:sz w:val="28"/>
          <w:szCs w:val="28"/>
          <w:lang w:eastAsia="ja-JP"/>
        </w:rPr>
      </w:pPr>
    </w:p>
    <w:p w14:paraId="6DCCDFE2" w14:textId="77777777" w:rsidR="006F129D" w:rsidRPr="004E4188" w:rsidRDefault="006F129D" w:rsidP="000F2B7A">
      <w:pPr>
        <w:suppressAutoHyphens w:val="0"/>
        <w:overflowPunct/>
        <w:autoSpaceDE/>
        <w:autoSpaceDN/>
        <w:adjustRightInd/>
        <w:ind w:left="1406" w:hanging="556"/>
        <w:textAlignment w:val="auto"/>
        <w:rPr>
          <w:b/>
          <w:szCs w:val="24"/>
          <w:lang w:eastAsia="ja-JP"/>
        </w:rPr>
      </w:pPr>
      <w:r w:rsidRPr="004E4188">
        <w:rPr>
          <w:b/>
        </w:rPr>
        <w:t>(I)</w:t>
      </w:r>
      <w:r w:rsidRPr="004E4188">
        <w:rPr>
          <w:b/>
        </w:rPr>
        <w:tab/>
      </w:r>
      <w:r w:rsidRPr="004E4188">
        <w:rPr>
          <w:b/>
          <w:lang w:eastAsia="en-US"/>
        </w:rPr>
        <w:t>Qualification</w:t>
      </w:r>
      <w:r w:rsidRPr="004E4188">
        <w:rPr>
          <w:b/>
          <w:szCs w:val="24"/>
          <w:lang w:eastAsia="ja-JP"/>
        </w:rPr>
        <w:t xml:space="preserve"> du Soumissionnaire (mais pas celle des affiliés du Soumissionnaire)</w:t>
      </w:r>
    </w:p>
    <w:p w14:paraId="67B5D2FE" w14:textId="77777777" w:rsidR="006F129D" w:rsidRPr="004E4188" w:rsidRDefault="006F129D" w:rsidP="000F2B7A">
      <w:pPr>
        <w:widowControl w:val="0"/>
        <w:tabs>
          <w:tab w:val="left" w:pos="1320"/>
        </w:tabs>
        <w:ind w:left="1440"/>
        <w:rPr>
          <w:szCs w:val="24"/>
          <w:lang w:eastAsia="ja-JP"/>
        </w:rPr>
      </w:pPr>
      <w:r w:rsidRPr="004E4188">
        <w:rPr>
          <w:rFonts w:hint="eastAsia"/>
          <w:szCs w:val="24"/>
          <w:lang w:eastAsia="ja-JP"/>
        </w:rPr>
        <w:t>C</w:t>
      </w:r>
      <w:r w:rsidRPr="004E4188">
        <w:rPr>
          <w:szCs w:val="24"/>
          <w:lang w:eastAsia="ja-JP"/>
        </w:rPr>
        <w:t>’est l’entité légale ou les entités constituant le Soumissionnaire (qui fait(font) partie du Soumissionnaire sous la forme d’un Groupement ou de sous-traitants spécialisés employés pour les activités principales définies dans cette section), et non pas la(les) maison(s) mère(s) du Soumissionnaire, les sociétés du groupe, les filiales ou autres sociétés affiliées, qui doivent satisfaire aux critères de qualification.</w:t>
      </w:r>
    </w:p>
    <w:p w14:paraId="456C37B6" w14:textId="77777777" w:rsidR="006F129D" w:rsidRPr="004E4188" w:rsidRDefault="006F129D" w:rsidP="00271660">
      <w:pPr>
        <w:rPr>
          <w:b/>
        </w:rPr>
      </w:pPr>
    </w:p>
    <w:p w14:paraId="63A207FF" w14:textId="4189E1BD" w:rsidR="006F129D" w:rsidRPr="004E4188" w:rsidRDefault="006F129D" w:rsidP="000F2B7A">
      <w:pPr>
        <w:ind w:left="850"/>
        <w:rPr>
          <w:b/>
        </w:rPr>
      </w:pPr>
      <w:r w:rsidRPr="004E4188">
        <w:rPr>
          <w:b/>
        </w:rPr>
        <w:t>(II)</w:t>
      </w:r>
      <w:r w:rsidRPr="004E4188">
        <w:rPr>
          <w:b/>
          <w:lang w:eastAsia="ja-JP"/>
        </w:rPr>
        <w:tab/>
      </w:r>
      <w:r w:rsidRPr="004E4188">
        <w:rPr>
          <w:b/>
        </w:rPr>
        <w:t>Taux de change pour critères d’évaluation</w:t>
      </w:r>
    </w:p>
    <w:p w14:paraId="5A19BB65" w14:textId="77777777" w:rsidR="006F129D" w:rsidRPr="004E4188" w:rsidRDefault="006F129D" w:rsidP="00BD6AD4">
      <w:pPr>
        <w:spacing w:after="60"/>
        <w:ind w:left="1440"/>
      </w:pPr>
      <w:r w:rsidRPr="004E4188">
        <w:t>Lorsqu’il est demandé que le Soumissionnaire indique, dans un formulaire de la Section IV, Formulaires de soumission, un montant monétaire, le Soumissionnaire devra donner le montant équivalent en dollar US en utilisant le taux de change déterminé comme suit :</w:t>
      </w:r>
    </w:p>
    <w:p w14:paraId="2836F1E7" w14:textId="341C2286" w:rsidR="006F129D" w:rsidRPr="004E4188" w:rsidRDefault="006F129D" w:rsidP="000F2B7A">
      <w:pPr>
        <w:spacing w:after="120"/>
        <w:ind w:left="1837" w:hanging="397"/>
      </w:pPr>
      <w:r w:rsidRPr="004E4188">
        <w:t>(a)</w:t>
      </w:r>
      <w:r w:rsidRPr="004E4188">
        <w:rPr>
          <w:lang w:eastAsia="ja-JP"/>
        </w:rPr>
        <w:tab/>
      </w:r>
      <w:r w:rsidRPr="004E4188">
        <w:t xml:space="preserve">chiffre d’affaires ou autres données financières pour chaque année - le taux de change au dernier jour de l’année calendaire </w:t>
      </w:r>
      <w:r w:rsidR="00B149B8" w:rsidRPr="004E4188">
        <w:t xml:space="preserve">ou fiscale </w:t>
      </w:r>
      <w:r w:rsidRPr="004E4188">
        <w:t>correspondante,</w:t>
      </w:r>
    </w:p>
    <w:p w14:paraId="5EEAE715" w14:textId="77777777" w:rsidR="006F129D" w:rsidRPr="004E4188" w:rsidRDefault="006F129D" w:rsidP="000F2B7A">
      <w:pPr>
        <w:spacing w:after="120"/>
        <w:ind w:left="1837" w:hanging="397"/>
      </w:pPr>
      <w:r w:rsidRPr="004E4188">
        <w:t>(b)</w:t>
      </w:r>
      <w:r w:rsidRPr="004E4188">
        <w:tab/>
        <w:t>montant d’un marché particulier - le taux de change à la date de signature du marché.</w:t>
      </w:r>
    </w:p>
    <w:p w14:paraId="74B00B5C" w14:textId="7A484D94" w:rsidR="006F129D" w:rsidRPr="004E4188" w:rsidRDefault="006F129D" w:rsidP="000F2B7A">
      <w:pPr>
        <w:spacing w:after="120"/>
        <w:ind w:left="1440"/>
      </w:pPr>
      <w:r w:rsidRPr="004E4188">
        <w:t xml:space="preserve">Les taux de change utilisés doivent être ceux publiés par la source accessible au public </w:t>
      </w:r>
      <w:r w:rsidRPr="004E4188">
        <w:rPr>
          <w:b/>
        </w:rPr>
        <w:t xml:space="preserve">précisée à l’Article 34.1 des DP </w:t>
      </w:r>
      <w:r w:rsidRPr="004E4188">
        <w:t>ou, si ces taux ne sont pas disponibles par cette source, tout</w:t>
      </w:r>
      <w:r w:rsidR="00BA571F" w:rsidRPr="004E4188">
        <w:t>e</w:t>
      </w:r>
      <w:r w:rsidRPr="004E4188">
        <w:t xml:space="preserve"> autre source accessible au public, acceptable pour le Maître d’ouvrage. Toute erreur dans la détermination des taux de change pourra être corrigée par le Maître d’ouvrage.</w:t>
      </w:r>
    </w:p>
    <w:p w14:paraId="20B0B67E" w14:textId="77777777" w:rsidR="006F129D" w:rsidRPr="004E4188" w:rsidRDefault="006F129D" w:rsidP="00271660"/>
    <w:p w14:paraId="3655D32B" w14:textId="63D8E6F9" w:rsidR="006F129D" w:rsidRPr="004E4188" w:rsidRDefault="006F129D" w:rsidP="000F2B7A">
      <w:pPr>
        <w:ind w:left="850"/>
        <w:rPr>
          <w:b/>
        </w:rPr>
      </w:pPr>
      <w:r w:rsidRPr="004E4188">
        <w:rPr>
          <w:b/>
        </w:rPr>
        <w:t>(III)</w:t>
      </w:r>
      <w:r w:rsidRPr="004E4188">
        <w:rPr>
          <w:b/>
          <w:lang w:eastAsia="ja-JP"/>
        </w:rPr>
        <w:tab/>
      </w:r>
      <w:r w:rsidRPr="004E4188">
        <w:rPr>
          <w:b/>
        </w:rPr>
        <w:t xml:space="preserve">Critères de qualification pour </w:t>
      </w:r>
      <w:r w:rsidRPr="004E4188">
        <w:rPr>
          <w:b/>
          <w:szCs w:val="24"/>
          <w:lang w:eastAsia="ja-JP"/>
        </w:rPr>
        <w:t xml:space="preserve">l’attribution de lots </w:t>
      </w:r>
      <w:r w:rsidRPr="004E4188">
        <w:rPr>
          <w:b/>
        </w:rPr>
        <w:t>multiples</w:t>
      </w:r>
    </w:p>
    <w:p w14:paraId="1592F8D5" w14:textId="55EB0E7B" w:rsidR="006F129D" w:rsidRPr="004E4188" w:rsidRDefault="006F129D" w:rsidP="000F2B7A">
      <w:pPr>
        <w:spacing w:after="120"/>
        <w:ind w:left="1440"/>
        <w:rPr>
          <w:i/>
        </w:rPr>
      </w:pPr>
      <w:r w:rsidRPr="004E4188">
        <w:t>[</w:t>
      </w:r>
      <w:r w:rsidRPr="004E4188">
        <w:rPr>
          <w:i/>
        </w:rPr>
        <w:t>Insérer la clause suivante en cas d’un appel d’offres lancé pour des lots multiples. Sinon, indiquer « Sans objet ».</w:t>
      </w:r>
    </w:p>
    <w:p w14:paraId="14A1323B" w14:textId="4F40F7A6" w:rsidR="006F129D" w:rsidRPr="004E4188" w:rsidRDefault="006F129D" w:rsidP="000F2B7A">
      <w:pPr>
        <w:ind w:left="1440"/>
        <w:rPr>
          <w:b/>
        </w:rPr>
      </w:pPr>
      <w:r w:rsidRPr="004E4188">
        <w:rPr>
          <w:i/>
        </w:rPr>
        <w:t>« Les critères de qualification sont la somme des critères minimaux ou toute autre condition judicieuse déterminée par le Maître d’ouvrage, pour les lots respectifs, telle qu’indiquée pour les Critères 2.3.2, 2.3.3, 2.4.2(a) et 2.4.2(b) ci-après. »</w:t>
      </w:r>
      <w:r w:rsidRPr="004E4188">
        <w:t>]</w:t>
      </w:r>
    </w:p>
    <w:p w14:paraId="0710C925" w14:textId="77777777" w:rsidR="006F129D" w:rsidRPr="004E4188" w:rsidRDefault="006F129D" w:rsidP="007B0B65"/>
    <w:p w14:paraId="2A013D66" w14:textId="77777777" w:rsidR="006F129D" w:rsidRPr="004E4188" w:rsidRDefault="006F129D" w:rsidP="007B0B65">
      <w:pPr>
        <w:suppressAutoHyphens w:val="0"/>
        <w:overflowPunct/>
        <w:autoSpaceDE/>
        <w:autoSpaceDN/>
        <w:adjustRightInd/>
        <w:jc w:val="left"/>
        <w:textAlignment w:val="auto"/>
        <w:rPr>
          <w:iCs/>
          <w:szCs w:val="24"/>
        </w:rPr>
        <w:sectPr w:rsidR="006F129D" w:rsidRPr="004E4188" w:rsidSect="00D55C66">
          <w:headerReference w:type="even" r:id="rId49"/>
          <w:headerReference w:type="default" r:id="rId50"/>
          <w:footnotePr>
            <w:numRestart w:val="eachPage"/>
          </w:footnotePr>
          <w:endnotePr>
            <w:numFmt w:val="decimal"/>
          </w:endnotePr>
          <w:type w:val="nextColumn"/>
          <w:pgSz w:w="12240" w:h="15840" w:code="1"/>
          <w:pgMar w:top="1440" w:right="1440" w:bottom="1440" w:left="1440" w:header="720" w:footer="720" w:gutter="0"/>
          <w:pgNumType w:start="1"/>
          <w:cols w:space="720"/>
        </w:sectPr>
      </w:pPr>
    </w:p>
    <w:p w14:paraId="0C9D4B4C" w14:textId="165A90D3" w:rsidR="006F129D" w:rsidRPr="004E4188" w:rsidRDefault="006F129D" w:rsidP="003D46CF">
      <w:pPr>
        <w:pStyle w:val="ListParagraph1"/>
        <w:numPr>
          <w:ilvl w:val="1"/>
          <w:numId w:val="38"/>
        </w:numPr>
        <w:snapToGrid w:val="0"/>
        <w:spacing w:after="240"/>
        <w:ind w:left="0" w:firstLine="0"/>
        <w:contextualSpacing w:val="0"/>
        <w:jc w:val="left"/>
        <w:rPr>
          <w:b/>
          <w:sz w:val="28"/>
          <w:szCs w:val="28"/>
        </w:rPr>
      </w:pPr>
      <w:r w:rsidRPr="004E4188">
        <w:rPr>
          <w:b/>
          <w:sz w:val="28"/>
          <w:szCs w:val="28"/>
        </w:rPr>
        <w:t>Éligibilité</w:t>
      </w:r>
    </w:p>
    <w:tbl>
      <w:tblPr>
        <w:tblW w:w="13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7"/>
        <w:gridCol w:w="3513"/>
        <w:gridCol w:w="1560"/>
        <w:gridCol w:w="1464"/>
        <w:gridCol w:w="1465"/>
        <w:gridCol w:w="1465"/>
        <w:gridCol w:w="1806"/>
      </w:tblGrid>
      <w:tr w:rsidR="001A7275" w:rsidRPr="004E4188" w14:paraId="6861ACB3" w14:textId="77777777" w:rsidTr="009C3E53">
        <w:trPr>
          <w:tblHeader/>
        </w:trPr>
        <w:tc>
          <w:tcPr>
            <w:tcW w:w="5778" w:type="dxa"/>
            <w:gridSpan w:val="3"/>
            <w:tcBorders>
              <w:bottom w:val="single" w:sz="4" w:space="0" w:color="auto"/>
            </w:tcBorders>
            <w:shd w:val="clear" w:color="auto" w:fill="000000" w:themeFill="text1"/>
            <w:vAlign w:val="center"/>
          </w:tcPr>
          <w:p w14:paraId="095E62E7" w14:textId="1BAAFF76" w:rsidR="001A7275" w:rsidRPr="004E4188" w:rsidRDefault="001A7275" w:rsidP="001A7275">
            <w:pPr>
              <w:jc w:val="center"/>
              <w:rPr>
                <w:rFonts w:ascii="Arial" w:hAnsi="Arial" w:cs="Arial"/>
                <w:b/>
                <w:szCs w:val="24"/>
              </w:rPr>
            </w:pPr>
            <w:r w:rsidRPr="004E4188">
              <w:rPr>
                <w:rFonts w:ascii="Arial" w:hAnsi="Arial" w:cs="Arial"/>
                <w:b/>
                <w:color w:val="FFFFFF"/>
                <w:sz w:val="20"/>
              </w:rPr>
              <w:t>Critères d’éligibilité et de qualification</w:t>
            </w:r>
          </w:p>
        </w:tc>
        <w:tc>
          <w:tcPr>
            <w:tcW w:w="5954" w:type="dxa"/>
            <w:gridSpan w:val="4"/>
            <w:tcBorders>
              <w:bottom w:val="single" w:sz="4" w:space="0" w:color="auto"/>
            </w:tcBorders>
            <w:shd w:val="clear" w:color="auto" w:fill="000000" w:themeFill="text1"/>
            <w:vAlign w:val="center"/>
          </w:tcPr>
          <w:p w14:paraId="0504E58E" w14:textId="323D1B3C" w:rsidR="001A7275" w:rsidRPr="004E4188" w:rsidRDefault="001A7275" w:rsidP="001A7275">
            <w:pPr>
              <w:jc w:val="center"/>
              <w:rPr>
                <w:rFonts w:ascii="Arial" w:hAnsi="Arial" w:cs="Arial"/>
                <w:b/>
                <w:szCs w:val="24"/>
              </w:rPr>
            </w:pPr>
            <w:r w:rsidRPr="004E4188">
              <w:rPr>
                <w:rFonts w:ascii="Arial" w:hAnsi="Arial" w:cs="Arial"/>
                <w:b/>
                <w:color w:val="FFFFFF"/>
                <w:sz w:val="20"/>
              </w:rPr>
              <w:t>Conditions de conformité</w:t>
            </w:r>
          </w:p>
        </w:tc>
        <w:tc>
          <w:tcPr>
            <w:tcW w:w="1806" w:type="dxa"/>
            <w:tcBorders>
              <w:bottom w:val="single" w:sz="4" w:space="0" w:color="auto"/>
            </w:tcBorders>
            <w:shd w:val="clear" w:color="auto" w:fill="000000" w:themeFill="text1"/>
            <w:vAlign w:val="center"/>
          </w:tcPr>
          <w:p w14:paraId="27E71D74" w14:textId="6149CB05" w:rsidR="001A7275" w:rsidRPr="004E4188" w:rsidRDefault="001A7275" w:rsidP="001A7275">
            <w:pPr>
              <w:jc w:val="center"/>
              <w:rPr>
                <w:rFonts w:ascii="Arial" w:hAnsi="Arial" w:cs="Arial"/>
                <w:b/>
                <w:szCs w:val="24"/>
              </w:rPr>
            </w:pPr>
            <w:r w:rsidRPr="004E4188">
              <w:rPr>
                <w:rFonts w:ascii="Arial" w:hAnsi="Arial" w:cs="Arial"/>
                <w:b/>
                <w:color w:val="FFFFFF"/>
                <w:sz w:val="20"/>
              </w:rPr>
              <w:t>Documentation</w:t>
            </w:r>
          </w:p>
        </w:tc>
      </w:tr>
      <w:tr w:rsidR="009B4D94" w:rsidRPr="004E4188" w14:paraId="78F86B90" w14:textId="77777777" w:rsidTr="009C3E53">
        <w:trPr>
          <w:trHeight w:val="300"/>
          <w:tblHeader/>
        </w:trPr>
        <w:tc>
          <w:tcPr>
            <w:tcW w:w="708" w:type="dxa"/>
            <w:vMerge w:val="restart"/>
            <w:shd w:val="clear" w:color="auto" w:fill="BFBFBF" w:themeFill="background1" w:themeFillShade="BF"/>
            <w:vAlign w:val="center"/>
          </w:tcPr>
          <w:p w14:paraId="062B4CC3" w14:textId="6EB75202" w:rsidR="009B4D94" w:rsidRPr="004E4188" w:rsidRDefault="009B4D94" w:rsidP="009B4D94">
            <w:pPr>
              <w:jc w:val="center"/>
              <w:rPr>
                <w:rFonts w:ascii="Arial" w:hAnsi="Arial" w:cs="Arial"/>
                <w:b/>
                <w:szCs w:val="24"/>
              </w:rPr>
            </w:pPr>
            <w:r w:rsidRPr="004E4188">
              <w:rPr>
                <w:rFonts w:ascii="Arial" w:hAnsi="Arial" w:cs="Arial"/>
                <w:b/>
                <w:sz w:val="20"/>
              </w:rPr>
              <w:t>n</w:t>
            </w:r>
            <w:r w:rsidRPr="004E4188">
              <w:rPr>
                <w:rFonts w:ascii="Arial" w:hAnsi="Arial" w:cs="Arial"/>
                <w:b/>
                <w:sz w:val="20"/>
                <w:vertAlign w:val="superscript"/>
              </w:rPr>
              <w:t>o</w:t>
            </w:r>
          </w:p>
        </w:tc>
        <w:tc>
          <w:tcPr>
            <w:tcW w:w="1557" w:type="dxa"/>
            <w:vMerge w:val="restart"/>
            <w:shd w:val="clear" w:color="auto" w:fill="BFBFBF" w:themeFill="background1" w:themeFillShade="BF"/>
            <w:vAlign w:val="center"/>
          </w:tcPr>
          <w:p w14:paraId="462C8060" w14:textId="58374347" w:rsidR="009B4D94" w:rsidRPr="004E4188" w:rsidRDefault="009B4D94" w:rsidP="009B4D94">
            <w:pPr>
              <w:jc w:val="center"/>
              <w:rPr>
                <w:rFonts w:ascii="Arial" w:hAnsi="Arial" w:cs="Arial"/>
                <w:b/>
                <w:szCs w:val="24"/>
              </w:rPr>
            </w:pPr>
            <w:r w:rsidRPr="004E4188">
              <w:rPr>
                <w:rFonts w:ascii="Arial" w:hAnsi="Arial" w:cs="Arial"/>
                <w:b/>
                <w:sz w:val="20"/>
              </w:rPr>
              <w:t>Critère</w:t>
            </w:r>
          </w:p>
        </w:tc>
        <w:tc>
          <w:tcPr>
            <w:tcW w:w="3513" w:type="dxa"/>
            <w:vMerge w:val="restart"/>
            <w:shd w:val="clear" w:color="auto" w:fill="BFBFBF" w:themeFill="background1" w:themeFillShade="BF"/>
            <w:vAlign w:val="center"/>
          </w:tcPr>
          <w:p w14:paraId="3445AACF" w14:textId="7E6921C0" w:rsidR="009B4D94" w:rsidRPr="004E4188" w:rsidRDefault="009B4D94" w:rsidP="009B4D94">
            <w:pPr>
              <w:jc w:val="center"/>
              <w:rPr>
                <w:rFonts w:ascii="Arial" w:hAnsi="Arial" w:cs="Arial"/>
                <w:b/>
                <w:szCs w:val="24"/>
              </w:rPr>
            </w:pPr>
            <w:r w:rsidRPr="004E4188">
              <w:rPr>
                <w:rFonts w:ascii="Arial" w:hAnsi="Arial" w:cs="Arial"/>
                <w:b/>
                <w:sz w:val="20"/>
              </w:rPr>
              <w:t>Spécification</w:t>
            </w:r>
          </w:p>
        </w:tc>
        <w:tc>
          <w:tcPr>
            <w:tcW w:w="1560" w:type="dxa"/>
            <w:vMerge w:val="restart"/>
            <w:shd w:val="clear" w:color="auto" w:fill="BFBFBF" w:themeFill="background1" w:themeFillShade="BF"/>
            <w:vAlign w:val="center"/>
          </w:tcPr>
          <w:p w14:paraId="48B4F7B0" w14:textId="2816CCBD" w:rsidR="009B4D94" w:rsidRPr="004E4188" w:rsidRDefault="009B4D94" w:rsidP="009B4D94">
            <w:pPr>
              <w:jc w:val="center"/>
              <w:rPr>
                <w:rFonts w:ascii="Arial" w:hAnsi="Arial" w:cs="Arial"/>
                <w:b/>
                <w:szCs w:val="24"/>
              </w:rPr>
            </w:pPr>
            <w:r w:rsidRPr="004E4188">
              <w:rPr>
                <w:rFonts w:ascii="Arial" w:hAnsi="Arial" w:cs="Arial"/>
                <w:b/>
                <w:sz w:val="20"/>
              </w:rPr>
              <w:t>Entreprise unique</w:t>
            </w:r>
          </w:p>
        </w:tc>
        <w:tc>
          <w:tcPr>
            <w:tcW w:w="4394" w:type="dxa"/>
            <w:gridSpan w:val="3"/>
            <w:shd w:val="clear" w:color="auto" w:fill="BFBFBF" w:themeFill="background1" w:themeFillShade="BF"/>
            <w:vAlign w:val="center"/>
          </w:tcPr>
          <w:p w14:paraId="2D986FC7" w14:textId="77777777" w:rsidR="009B4D94" w:rsidRPr="004E4188" w:rsidRDefault="009B4D94" w:rsidP="009B4D94">
            <w:pPr>
              <w:jc w:val="center"/>
              <w:rPr>
                <w:rFonts w:ascii="Arial" w:hAnsi="Arial" w:cs="Arial"/>
                <w:b/>
                <w:sz w:val="20"/>
              </w:rPr>
            </w:pPr>
            <w:r w:rsidRPr="004E4188">
              <w:rPr>
                <w:rFonts w:ascii="Arial" w:hAnsi="Arial" w:cs="Arial"/>
                <w:b/>
                <w:sz w:val="20"/>
              </w:rPr>
              <w:t>Groupement</w:t>
            </w:r>
          </w:p>
          <w:p w14:paraId="618F02DC" w14:textId="4C04FE75" w:rsidR="009B4D94" w:rsidRPr="004E4188" w:rsidRDefault="009B4D94" w:rsidP="009B4D94">
            <w:pPr>
              <w:jc w:val="center"/>
              <w:rPr>
                <w:rFonts w:ascii="Arial" w:hAnsi="Arial" w:cs="Arial"/>
                <w:b/>
                <w:szCs w:val="24"/>
              </w:rPr>
            </w:pPr>
            <w:r w:rsidRPr="004E4188">
              <w:rPr>
                <w:rFonts w:ascii="Arial" w:hAnsi="Arial" w:cs="Arial"/>
                <w:b/>
                <w:sz w:val="20"/>
              </w:rPr>
              <w:t>(existant ou prévu)</w:t>
            </w:r>
          </w:p>
        </w:tc>
        <w:tc>
          <w:tcPr>
            <w:tcW w:w="1806" w:type="dxa"/>
            <w:vMerge w:val="restart"/>
            <w:shd w:val="clear" w:color="auto" w:fill="BFBFBF" w:themeFill="background1" w:themeFillShade="BF"/>
            <w:vAlign w:val="center"/>
          </w:tcPr>
          <w:p w14:paraId="466DAFA7" w14:textId="3F7DF68D" w:rsidR="009B4D94" w:rsidRPr="004E4188" w:rsidRDefault="009B4D94" w:rsidP="009B4D94">
            <w:pPr>
              <w:jc w:val="center"/>
              <w:rPr>
                <w:rFonts w:ascii="Arial" w:hAnsi="Arial" w:cs="Arial"/>
                <w:b/>
                <w:szCs w:val="24"/>
              </w:rPr>
            </w:pPr>
            <w:r w:rsidRPr="004E4188">
              <w:rPr>
                <w:rFonts w:ascii="Arial" w:hAnsi="Arial" w:cs="Arial"/>
                <w:b/>
                <w:sz w:val="20"/>
              </w:rPr>
              <w:t>Spécifications de soumission</w:t>
            </w:r>
          </w:p>
        </w:tc>
      </w:tr>
      <w:tr w:rsidR="009B4D94" w:rsidRPr="004E4188" w14:paraId="73785CBA" w14:textId="77777777" w:rsidTr="009C3E53">
        <w:trPr>
          <w:trHeight w:val="360"/>
          <w:tblHeader/>
        </w:trPr>
        <w:tc>
          <w:tcPr>
            <w:tcW w:w="708" w:type="dxa"/>
            <w:vMerge/>
            <w:shd w:val="clear" w:color="auto" w:fill="BFBFBF" w:themeFill="background1" w:themeFillShade="BF"/>
          </w:tcPr>
          <w:p w14:paraId="6D43619B" w14:textId="77777777" w:rsidR="009B4D94" w:rsidRPr="004E4188" w:rsidRDefault="009B4D94" w:rsidP="009B4D94">
            <w:pPr>
              <w:rPr>
                <w:rFonts w:ascii="Arial" w:hAnsi="Arial" w:cs="Arial"/>
                <w:sz w:val="18"/>
                <w:szCs w:val="18"/>
              </w:rPr>
            </w:pPr>
          </w:p>
        </w:tc>
        <w:tc>
          <w:tcPr>
            <w:tcW w:w="1557" w:type="dxa"/>
            <w:vMerge/>
            <w:shd w:val="clear" w:color="auto" w:fill="BFBFBF" w:themeFill="background1" w:themeFillShade="BF"/>
          </w:tcPr>
          <w:p w14:paraId="4D045F89" w14:textId="77777777" w:rsidR="009B4D94" w:rsidRPr="004E4188" w:rsidRDefault="009B4D94" w:rsidP="009B4D94">
            <w:pPr>
              <w:rPr>
                <w:rFonts w:ascii="Arial" w:hAnsi="Arial" w:cs="Arial"/>
                <w:sz w:val="18"/>
                <w:szCs w:val="18"/>
              </w:rPr>
            </w:pPr>
          </w:p>
        </w:tc>
        <w:tc>
          <w:tcPr>
            <w:tcW w:w="3513" w:type="dxa"/>
            <w:vMerge/>
            <w:shd w:val="clear" w:color="auto" w:fill="BFBFBF" w:themeFill="background1" w:themeFillShade="BF"/>
            <w:vAlign w:val="center"/>
          </w:tcPr>
          <w:p w14:paraId="3BD1D7B9" w14:textId="77777777" w:rsidR="009B4D94" w:rsidRPr="004E4188" w:rsidRDefault="009B4D94" w:rsidP="009B4D94">
            <w:pPr>
              <w:rPr>
                <w:rFonts w:ascii="Arial" w:hAnsi="Arial" w:cs="Arial"/>
                <w:sz w:val="18"/>
                <w:szCs w:val="18"/>
              </w:rPr>
            </w:pPr>
          </w:p>
        </w:tc>
        <w:tc>
          <w:tcPr>
            <w:tcW w:w="1560" w:type="dxa"/>
            <w:vMerge/>
            <w:shd w:val="clear" w:color="auto" w:fill="BFBFBF" w:themeFill="background1" w:themeFillShade="BF"/>
          </w:tcPr>
          <w:p w14:paraId="7C4D9C96" w14:textId="77777777" w:rsidR="009B4D94" w:rsidRPr="004E4188" w:rsidRDefault="009B4D94" w:rsidP="009B4D94">
            <w:pPr>
              <w:rPr>
                <w:rFonts w:ascii="Arial" w:hAnsi="Arial" w:cs="Arial"/>
                <w:sz w:val="18"/>
                <w:szCs w:val="18"/>
              </w:rPr>
            </w:pPr>
          </w:p>
        </w:tc>
        <w:tc>
          <w:tcPr>
            <w:tcW w:w="1464" w:type="dxa"/>
            <w:shd w:val="clear" w:color="auto" w:fill="BFBFBF" w:themeFill="background1" w:themeFillShade="BF"/>
          </w:tcPr>
          <w:p w14:paraId="487D122A" w14:textId="77777777" w:rsidR="009B4D94" w:rsidRPr="004E4188" w:rsidRDefault="009B4D94" w:rsidP="009B4D94">
            <w:pPr>
              <w:jc w:val="center"/>
              <w:rPr>
                <w:rFonts w:ascii="Arial" w:hAnsi="Arial" w:cs="Arial"/>
                <w:b/>
                <w:sz w:val="20"/>
              </w:rPr>
            </w:pPr>
            <w:r w:rsidRPr="004E4188">
              <w:rPr>
                <w:rFonts w:ascii="Arial" w:hAnsi="Arial" w:cs="Arial"/>
                <w:b/>
                <w:sz w:val="20"/>
              </w:rPr>
              <w:t>Tous membres combinés</w:t>
            </w:r>
          </w:p>
        </w:tc>
        <w:tc>
          <w:tcPr>
            <w:tcW w:w="1465" w:type="dxa"/>
            <w:shd w:val="clear" w:color="auto" w:fill="BFBFBF" w:themeFill="background1" w:themeFillShade="BF"/>
            <w:vAlign w:val="center"/>
          </w:tcPr>
          <w:p w14:paraId="012EAFDA" w14:textId="3280CDFF" w:rsidR="009B4D94" w:rsidRPr="004E4188" w:rsidRDefault="009B4D94" w:rsidP="009B4D94">
            <w:pPr>
              <w:jc w:val="center"/>
              <w:rPr>
                <w:rFonts w:ascii="Arial" w:hAnsi="Arial" w:cs="Arial"/>
                <w:b/>
                <w:sz w:val="20"/>
              </w:rPr>
            </w:pPr>
            <w:r w:rsidRPr="004E4188">
              <w:rPr>
                <w:rFonts w:ascii="Arial" w:hAnsi="Arial"/>
                <w:b/>
                <w:sz w:val="20"/>
              </w:rPr>
              <w:t>Chaque membre</w:t>
            </w:r>
          </w:p>
        </w:tc>
        <w:tc>
          <w:tcPr>
            <w:tcW w:w="1465" w:type="dxa"/>
            <w:shd w:val="clear" w:color="auto" w:fill="BFBFBF" w:themeFill="background1" w:themeFillShade="BF"/>
            <w:vAlign w:val="center"/>
          </w:tcPr>
          <w:p w14:paraId="771CE275" w14:textId="424981B5" w:rsidR="009B4D94" w:rsidRPr="004E4188" w:rsidRDefault="009B4D94" w:rsidP="009B4D94">
            <w:pPr>
              <w:jc w:val="center"/>
              <w:rPr>
                <w:rFonts w:ascii="Arial" w:hAnsi="Arial" w:cs="Arial"/>
                <w:b/>
                <w:sz w:val="20"/>
              </w:rPr>
            </w:pPr>
            <w:r w:rsidRPr="004E4188">
              <w:rPr>
                <w:rFonts w:ascii="Arial" w:hAnsi="Arial"/>
                <w:b/>
                <w:sz w:val="20"/>
              </w:rPr>
              <w:t>Un membre</w:t>
            </w:r>
          </w:p>
        </w:tc>
        <w:tc>
          <w:tcPr>
            <w:tcW w:w="1806" w:type="dxa"/>
            <w:vMerge/>
            <w:shd w:val="clear" w:color="auto" w:fill="F3F3F3"/>
          </w:tcPr>
          <w:p w14:paraId="2A289F6A" w14:textId="77777777" w:rsidR="009B4D94" w:rsidRPr="004E4188" w:rsidRDefault="009B4D94" w:rsidP="009B4D94">
            <w:pPr>
              <w:rPr>
                <w:rFonts w:ascii="Arial" w:hAnsi="Arial" w:cs="Arial"/>
                <w:sz w:val="18"/>
                <w:szCs w:val="18"/>
              </w:rPr>
            </w:pPr>
          </w:p>
        </w:tc>
      </w:tr>
      <w:tr w:rsidR="006F129D" w:rsidRPr="004E4188" w14:paraId="2C8E17CD" w14:textId="77777777" w:rsidTr="009C3E53">
        <w:trPr>
          <w:trHeight w:val="567"/>
        </w:trPr>
        <w:tc>
          <w:tcPr>
            <w:tcW w:w="708" w:type="dxa"/>
          </w:tcPr>
          <w:p w14:paraId="6B8A46C0" w14:textId="77777777" w:rsidR="006F129D" w:rsidRPr="004E4188" w:rsidRDefault="006F129D" w:rsidP="00DC1BC1">
            <w:pPr>
              <w:spacing w:before="60"/>
              <w:jc w:val="center"/>
              <w:rPr>
                <w:rFonts w:ascii="Arial" w:hAnsi="Arial" w:cs="Arial"/>
                <w:sz w:val="20"/>
              </w:rPr>
            </w:pPr>
            <w:r w:rsidRPr="004E4188">
              <w:rPr>
                <w:rFonts w:ascii="Arial" w:hAnsi="Arial" w:cs="Arial"/>
                <w:sz w:val="20"/>
              </w:rPr>
              <w:t>2.1.1</w:t>
            </w:r>
          </w:p>
        </w:tc>
        <w:tc>
          <w:tcPr>
            <w:tcW w:w="1557" w:type="dxa"/>
          </w:tcPr>
          <w:p w14:paraId="32C92544" w14:textId="77777777" w:rsidR="006F129D" w:rsidRPr="004E4188" w:rsidRDefault="006F129D" w:rsidP="00DC1BC1">
            <w:pPr>
              <w:spacing w:before="60"/>
              <w:jc w:val="left"/>
              <w:rPr>
                <w:rFonts w:ascii="Arial" w:hAnsi="Arial" w:cs="Arial"/>
                <w:sz w:val="20"/>
              </w:rPr>
            </w:pPr>
            <w:r w:rsidRPr="004E4188">
              <w:rPr>
                <w:rFonts w:ascii="Arial" w:hAnsi="Arial" w:cs="Arial"/>
                <w:sz w:val="20"/>
              </w:rPr>
              <w:t>Nationalité</w:t>
            </w:r>
          </w:p>
        </w:tc>
        <w:tc>
          <w:tcPr>
            <w:tcW w:w="3513" w:type="dxa"/>
          </w:tcPr>
          <w:p w14:paraId="69A782BC" w14:textId="77777777" w:rsidR="006F129D" w:rsidRPr="004E4188" w:rsidRDefault="006F129D" w:rsidP="00DC1BC1">
            <w:pPr>
              <w:spacing w:before="60" w:afterLines="50" w:after="120"/>
              <w:rPr>
                <w:rFonts w:ascii="Arial" w:hAnsi="Arial" w:cs="Arial"/>
                <w:sz w:val="20"/>
              </w:rPr>
            </w:pPr>
            <w:r w:rsidRPr="004E4188">
              <w:rPr>
                <w:rFonts w:ascii="Arial" w:hAnsi="Arial" w:cs="Arial"/>
                <w:sz w:val="20"/>
              </w:rPr>
              <w:t>Conforme à IS 4.3.</w:t>
            </w:r>
          </w:p>
        </w:tc>
        <w:tc>
          <w:tcPr>
            <w:tcW w:w="1560" w:type="dxa"/>
          </w:tcPr>
          <w:p w14:paraId="5A4F48C0" w14:textId="77777777" w:rsidR="006F129D" w:rsidRPr="004E4188" w:rsidRDefault="006F129D" w:rsidP="00DC1BC1">
            <w:pPr>
              <w:spacing w:before="60"/>
              <w:jc w:val="center"/>
              <w:rPr>
                <w:rFonts w:ascii="Arial" w:hAnsi="Arial" w:cs="Arial"/>
                <w:sz w:val="20"/>
              </w:rPr>
            </w:pPr>
            <w:r w:rsidRPr="004E4188">
              <w:rPr>
                <w:rFonts w:ascii="Arial" w:hAnsi="Arial" w:cs="Arial"/>
                <w:sz w:val="20"/>
              </w:rPr>
              <w:t>Doit satisfaire au critère</w:t>
            </w:r>
          </w:p>
        </w:tc>
        <w:tc>
          <w:tcPr>
            <w:tcW w:w="1464" w:type="dxa"/>
          </w:tcPr>
          <w:p w14:paraId="2EA6E184" w14:textId="77777777" w:rsidR="006F129D" w:rsidRPr="004E4188" w:rsidRDefault="006F129D" w:rsidP="00DC1BC1">
            <w:pPr>
              <w:spacing w:before="60"/>
              <w:jc w:val="center"/>
              <w:rPr>
                <w:rFonts w:ascii="Arial" w:hAnsi="Arial" w:cs="Arial"/>
                <w:sz w:val="20"/>
              </w:rPr>
            </w:pPr>
            <w:r w:rsidRPr="004E4188">
              <w:rPr>
                <w:rFonts w:ascii="Arial" w:hAnsi="Arial" w:cs="Arial"/>
                <w:sz w:val="20"/>
              </w:rPr>
              <w:t>Sans objet</w:t>
            </w:r>
          </w:p>
        </w:tc>
        <w:tc>
          <w:tcPr>
            <w:tcW w:w="1465" w:type="dxa"/>
          </w:tcPr>
          <w:p w14:paraId="532650C8" w14:textId="77777777" w:rsidR="006F129D" w:rsidRPr="004E4188" w:rsidRDefault="006F129D" w:rsidP="00DC1BC1">
            <w:pPr>
              <w:spacing w:before="60"/>
              <w:jc w:val="center"/>
              <w:rPr>
                <w:rFonts w:ascii="Arial" w:hAnsi="Arial" w:cs="Arial"/>
                <w:sz w:val="20"/>
              </w:rPr>
            </w:pPr>
            <w:r w:rsidRPr="004E4188">
              <w:rPr>
                <w:rFonts w:ascii="Arial" w:hAnsi="Arial" w:cs="Arial"/>
                <w:sz w:val="20"/>
              </w:rPr>
              <w:t>Doit satisfaire au critère</w:t>
            </w:r>
          </w:p>
        </w:tc>
        <w:tc>
          <w:tcPr>
            <w:tcW w:w="1465" w:type="dxa"/>
          </w:tcPr>
          <w:p w14:paraId="7FF5DB99" w14:textId="77777777" w:rsidR="006F129D" w:rsidRPr="004E4188" w:rsidRDefault="006F129D" w:rsidP="00DC1BC1">
            <w:pPr>
              <w:spacing w:before="60"/>
              <w:jc w:val="center"/>
              <w:rPr>
                <w:rFonts w:ascii="Arial" w:hAnsi="Arial" w:cs="Arial"/>
                <w:sz w:val="20"/>
              </w:rPr>
            </w:pPr>
            <w:r w:rsidRPr="004E4188">
              <w:rPr>
                <w:rFonts w:ascii="Arial" w:hAnsi="Arial" w:cs="Arial"/>
                <w:sz w:val="20"/>
              </w:rPr>
              <w:t>Sans objet</w:t>
            </w:r>
          </w:p>
        </w:tc>
        <w:tc>
          <w:tcPr>
            <w:tcW w:w="1806" w:type="dxa"/>
            <w:vAlign w:val="center"/>
          </w:tcPr>
          <w:p w14:paraId="15F67FB6" w14:textId="77777777" w:rsidR="006F129D" w:rsidRPr="004E4188" w:rsidRDefault="006F129D" w:rsidP="00DC1BC1">
            <w:pPr>
              <w:spacing w:before="60" w:after="60"/>
              <w:jc w:val="left"/>
              <w:rPr>
                <w:rFonts w:ascii="Arial" w:hAnsi="Arial" w:cs="Arial"/>
                <w:sz w:val="20"/>
              </w:rPr>
            </w:pPr>
            <w:r w:rsidRPr="004E4188">
              <w:rPr>
                <w:rFonts w:ascii="Arial" w:hAnsi="Arial" w:cs="Arial"/>
                <w:sz w:val="20"/>
              </w:rPr>
              <w:t xml:space="preserve">Formulaires </w:t>
            </w:r>
            <w:smartTag w:uri="urn:schemas-microsoft-com:office:smarttags" w:element="stockticker">
              <w:r w:rsidRPr="004E4188">
                <w:rPr>
                  <w:rFonts w:ascii="Arial" w:hAnsi="Arial" w:cs="Arial"/>
                  <w:sz w:val="20"/>
                </w:rPr>
                <w:t>ELI</w:t>
              </w:r>
            </w:smartTag>
            <w:r w:rsidRPr="004E4188">
              <w:rPr>
                <w:rFonts w:ascii="Arial" w:hAnsi="Arial" w:cs="Arial"/>
                <w:sz w:val="20"/>
              </w:rPr>
              <w:t>-1 et 2</w:t>
            </w:r>
            <w:r w:rsidRPr="004E4188">
              <w:rPr>
                <w:rFonts w:ascii="Arial" w:hAnsi="Arial" w:cs="Arial"/>
                <w:sz w:val="20"/>
                <w:vertAlign w:val="superscript"/>
              </w:rPr>
              <w:t>(i)</w:t>
            </w:r>
            <w:r w:rsidRPr="004E4188">
              <w:rPr>
                <w:rFonts w:ascii="Arial" w:hAnsi="Arial" w:cs="Arial"/>
                <w:sz w:val="20"/>
              </w:rPr>
              <w:t>, avec pièces jointes</w:t>
            </w:r>
          </w:p>
        </w:tc>
      </w:tr>
      <w:tr w:rsidR="006F129D" w:rsidRPr="004E4188" w14:paraId="5D7B0CC9" w14:textId="77777777" w:rsidTr="009C3E53">
        <w:trPr>
          <w:trHeight w:val="567"/>
        </w:trPr>
        <w:tc>
          <w:tcPr>
            <w:tcW w:w="708" w:type="dxa"/>
          </w:tcPr>
          <w:p w14:paraId="6233CD2A" w14:textId="77777777" w:rsidR="006F129D" w:rsidRPr="004E4188" w:rsidRDefault="006F129D" w:rsidP="00DC1BC1">
            <w:pPr>
              <w:spacing w:before="60"/>
              <w:jc w:val="center"/>
              <w:rPr>
                <w:rFonts w:ascii="Arial" w:hAnsi="Arial" w:cs="Arial"/>
                <w:sz w:val="20"/>
              </w:rPr>
            </w:pPr>
            <w:r w:rsidRPr="004E4188">
              <w:rPr>
                <w:rFonts w:ascii="Arial" w:hAnsi="Arial" w:cs="Arial"/>
                <w:sz w:val="20"/>
              </w:rPr>
              <w:t>2.1.2</w:t>
            </w:r>
          </w:p>
        </w:tc>
        <w:tc>
          <w:tcPr>
            <w:tcW w:w="1557" w:type="dxa"/>
          </w:tcPr>
          <w:p w14:paraId="7852BF36" w14:textId="77777777" w:rsidR="006F129D" w:rsidRPr="004E4188" w:rsidRDefault="006F129D" w:rsidP="00DC1BC1">
            <w:pPr>
              <w:spacing w:before="60"/>
              <w:jc w:val="left"/>
              <w:rPr>
                <w:rFonts w:ascii="Arial" w:hAnsi="Arial" w:cs="Arial"/>
                <w:sz w:val="20"/>
              </w:rPr>
            </w:pPr>
            <w:r w:rsidRPr="004E4188">
              <w:rPr>
                <w:rFonts w:ascii="Arial" w:hAnsi="Arial" w:cs="Arial"/>
                <w:sz w:val="20"/>
              </w:rPr>
              <w:t>Conflit d’intérêt</w:t>
            </w:r>
          </w:p>
        </w:tc>
        <w:tc>
          <w:tcPr>
            <w:tcW w:w="3513" w:type="dxa"/>
          </w:tcPr>
          <w:p w14:paraId="197E7D98" w14:textId="77777777" w:rsidR="006F129D" w:rsidRPr="004E4188" w:rsidRDefault="006F129D" w:rsidP="00DC1BC1">
            <w:pPr>
              <w:spacing w:before="60" w:afterLines="50" w:after="120"/>
              <w:rPr>
                <w:rFonts w:ascii="Arial" w:hAnsi="Arial" w:cs="Arial"/>
                <w:sz w:val="20"/>
              </w:rPr>
            </w:pPr>
            <w:r w:rsidRPr="004E4188">
              <w:rPr>
                <w:rFonts w:ascii="Arial" w:hAnsi="Arial" w:cs="Arial"/>
                <w:sz w:val="20"/>
              </w:rPr>
              <w:t xml:space="preserve">Pas de conflit d’intérêt selon IS 4.2. </w:t>
            </w:r>
          </w:p>
        </w:tc>
        <w:tc>
          <w:tcPr>
            <w:tcW w:w="1560" w:type="dxa"/>
          </w:tcPr>
          <w:p w14:paraId="24A4F72E" w14:textId="77777777" w:rsidR="006F129D" w:rsidRPr="004E4188" w:rsidRDefault="006F129D" w:rsidP="00DC1BC1">
            <w:pPr>
              <w:spacing w:before="60"/>
              <w:jc w:val="center"/>
              <w:rPr>
                <w:rFonts w:ascii="Arial" w:hAnsi="Arial" w:cs="Arial"/>
                <w:sz w:val="20"/>
              </w:rPr>
            </w:pPr>
            <w:r w:rsidRPr="004E4188">
              <w:rPr>
                <w:rFonts w:ascii="Arial" w:hAnsi="Arial" w:cs="Arial"/>
                <w:sz w:val="20"/>
              </w:rPr>
              <w:t>Doit satisfaire au critère</w:t>
            </w:r>
          </w:p>
        </w:tc>
        <w:tc>
          <w:tcPr>
            <w:tcW w:w="1464" w:type="dxa"/>
          </w:tcPr>
          <w:p w14:paraId="67AB53B6" w14:textId="77777777" w:rsidR="006F129D" w:rsidRPr="004E4188" w:rsidRDefault="006F129D" w:rsidP="00DC1BC1">
            <w:pPr>
              <w:spacing w:before="60"/>
              <w:jc w:val="center"/>
              <w:rPr>
                <w:rFonts w:ascii="Arial" w:hAnsi="Arial" w:cs="Arial"/>
                <w:sz w:val="20"/>
              </w:rPr>
            </w:pPr>
            <w:r w:rsidRPr="004E4188">
              <w:rPr>
                <w:rFonts w:ascii="Arial" w:hAnsi="Arial" w:cs="Arial"/>
                <w:sz w:val="20"/>
              </w:rPr>
              <w:t>Sans objet</w:t>
            </w:r>
          </w:p>
        </w:tc>
        <w:tc>
          <w:tcPr>
            <w:tcW w:w="1465" w:type="dxa"/>
          </w:tcPr>
          <w:p w14:paraId="32B74935" w14:textId="77777777" w:rsidR="006F129D" w:rsidRPr="004E4188" w:rsidRDefault="006F129D" w:rsidP="00DC1BC1">
            <w:pPr>
              <w:spacing w:before="60"/>
              <w:jc w:val="center"/>
              <w:rPr>
                <w:rFonts w:ascii="Arial" w:hAnsi="Arial" w:cs="Arial"/>
                <w:sz w:val="20"/>
              </w:rPr>
            </w:pPr>
            <w:r w:rsidRPr="004E4188">
              <w:rPr>
                <w:rFonts w:ascii="Arial" w:hAnsi="Arial" w:cs="Arial"/>
                <w:sz w:val="20"/>
              </w:rPr>
              <w:t>Doit satisfaire au critère</w:t>
            </w:r>
          </w:p>
          <w:p w14:paraId="3C8032CC" w14:textId="77777777" w:rsidR="006F129D" w:rsidRPr="004E4188" w:rsidRDefault="006F129D" w:rsidP="00DC1BC1">
            <w:pPr>
              <w:spacing w:after="60"/>
              <w:jc w:val="center"/>
              <w:rPr>
                <w:rFonts w:ascii="Arial" w:hAnsi="Arial" w:cs="Arial"/>
                <w:sz w:val="20"/>
                <w:vertAlign w:val="superscript"/>
              </w:rPr>
            </w:pPr>
            <w:r w:rsidRPr="004E4188">
              <w:rPr>
                <w:rFonts w:ascii="Arial" w:hAnsi="Arial" w:cs="Arial"/>
                <w:sz w:val="20"/>
                <w:vertAlign w:val="superscript"/>
              </w:rPr>
              <w:t>(ii)</w:t>
            </w:r>
          </w:p>
        </w:tc>
        <w:tc>
          <w:tcPr>
            <w:tcW w:w="1465" w:type="dxa"/>
          </w:tcPr>
          <w:p w14:paraId="1D298CF6" w14:textId="77777777" w:rsidR="006F129D" w:rsidRPr="004E4188" w:rsidRDefault="006F129D" w:rsidP="00DC1BC1">
            <w:pPr>
              <w:spacing w:before="60"/>
              <w:jc w:val="center"/>
              <w:rPr>
                <w:rFonts w:ascii="Arial" w:hAnsi="Arial" w:cs="Arial"/>
                <w:sz w:val="20"/>
              </w:rPr>
            </w:pPr>
            <w:r w:rsidRPr="004E4188">
              <w:rPr>
                <w:rFonts w:ascii="Arial" w:hAnsi="Arial" w:cs="Arial"/>
                <w:sz w:val="20"/>
              </w:rPr>
              <w:t>Sans objet</w:t>
            </w:r>
          </w:p>
        </w:tc>
        <w:tc>
          <w:tcPr>
            <w:tcW w:w="1806" w:type="dxa"/>
          </w:tcPr>
          <w:p w14:paraId="5E116C77" w14:textId="77777777" w:rsidR="006F129D" w:rsidRPr="004E4188" w:rsidRDefault="006F129D" w:rsidP="009C3E53">
            <w:pPr>
              <w:spacing w:before="60"/>
              <w:jc w:val="left"/>
              <w:rPr>
                <w:rFonts w:ascii="Arial" w:hAnsi="Arial" w:cs="Arial"/>
                <w:sz w:val="20"/>
              </w:rPr>
            </w:pPr>
            <w:r w:rsidRPr="004E4188">
              <w:rPr>
                <w:rFonts w:ascii="Arial" w:hAnsi="Arial" w:cs="Arial"/>
                <w:sz w:val="20"/>
              </w:rPr>
              <w:t>Lettre de soumission de</w:t>
            </w:r>
            <w:r w:rsidRPr="004E4188">
              <w:rPr>
                <w:rFonts w:ascii="Arial" w:hAnsi="Arial"/>
                <w:sz w:val="20"/>
              </w:rPr>
              <w:t xml:space="preserve"> l’Offre Technique</w:t>
            </w:r>
          </w:p>
        </w:tc>
      </w:tr>
      <w:tr w:rsidR="006F129D" w:rsidRPr="004E4188" w14:paraId="16AF13C4" w14:textId="77777777" w:rsidTr="009C3E53">
        <w:trPr>
          <w:trHeight w:val="567"/>
        </w:trPr>
        <w:tc>
          <w:tcPr>
            <w:tcW w:w="708" w:type="dxa"/>
          </w:tcPr>
          <w:p w14:paraId="54A66903" w14:textId="77777777" w:rsidR="006F129D" w:rsidRPr="004E4188" w:rsidRDefault="006F129D" w:rsidP="00DC1BC1">
            <w:pPr>
              <w:spacing w:before="60"/>
              <w:jc w:val="center"/>
              <w:rPr>
                <w:rFonts w:ascii="Arial" w:hAnsi="Arial" w:cs="Arial"/>
                <w:sz w:val="20"/>
              </w:rPr>
            </w:pPr>
            <w:r w:rsidRPr="004E4188">
              <w:rPr>
                <w:rFonts w:ascii="Arial" w:hAnsi="Arial" w:cs="Arial"/>
                <w:sz w:val="20"/>
              </w:rPr>
              <w:t>2.1.3</w:t>
            </w:r>
          </w:p>
        </w:tc>
        <w:tc>
          <w:tcPr>
            <w:tcW w:w="1557" w:type="dxa"/>
          </w:tcPr>
          <w:p w14:paraId="0F178ACF" w14:textId="77777777" w:rsidR="006F129D" w:rsidRPr="004E4188" w:rsidRDefault="006F129D" w:rsidP="00DC1BC1">
            <w:pPr>
              <w:spacing w:before="60"/>
              <w:jc w:val="left"/>
              <w:rPr>
                <w:rFonts w:ascii="Arial" w:hAnsi="Arial" w:cs="Arial"/>
                <w:sz w:val="20"/>
              </w:rPr>
            </w:pPr>
            <w:r w:rsidRPr="004E4188">
              <w:rPr>
                <w:rFonts w:ascii="Arial" w:hAnsi="Arial" w:cs="Arial"/>
                <w:sz w:val="20"/>
              </w:rPr>
              <w:t>Exclusion par la JICA</w:t>
            </w:r>
          </w:p>
        </w:tc>
        <w:tc>
          <w:tcPr>
            <w:tcW w:w="3513" w:type="dxa"/>
          </w:tcPr>
          <w:p w14:paraId="1534DE33" w14:textId="77777777" w:rsidR="006F129D" w:rsidRPr="004E4188" w:rsidRDefault="006F129D" w:rsidP="00DC1BC1">
            <w:pPr>
              <w:spacing w:before="60" w:afterLines="50" w:after="120"/>
              <w:rPr>
                <w:rFonts w:ascii="Arial" w:hAnsi="Arial" w:cs="Arial"/>
                <w:sz w:val="20"/>
              </w:rPr>
            </w:pPr>
            <w:r w:rsidRPr="004E4188">
              <w:rPr>
                <w:rFonts w:ascii="Arial" w:hAnsi="Arial" w:cs="Arial"/>
                <w:sz w:val="20"/>
              </w:rPr>
              <w:t xml:space="preserve">Ne pas avoir été déclaré inéligible par la JICA, conformément à IS 4.4. </w:t>
            </w:r>
          </w:p>
        </w:tc>
        <w:tc>
          <w:tcPr>
            <w:tcW w:w="1560" w:type="dxa"/>
          </w:tcPr>
          <w:p w14:paraId="283D0A71" w14:textId="77777777" w:rsidR="006F129D" w:rsidRPr="004E4188" w:rsidRDefault="006F129D" w:rsidP="00DC1BC1">
            <w:pPr>
              <w:spacing w:before="60"/>
              <w:jc w:val="center"/>
              <w:rPr>
                <w:rFonts w:ascii="Arial" w:hAnsi="Arial" w:cs="Arial"/>
                <w:sz w:val="20"/>
              </w:rPr>
            </w:pPr>
            <w:r w:rsidRPr="004E4188">
              <w:rPr>
                <w:rFonts w:ascii="Arial" w:hAnsi="Arial" w:cs="Arial"/>
                <w:sz w:val="20"/>
              </w:rPr>
              <w:t>Doit satisfaire au critère</w:t>
            </w:r>
          </w:p>
        </w:tc>
        <w:tc>
          <w:tcPr>
            <w:tcW w:w="1464" w:type="dxa"/>
          </w:tcPr>
          <w:p w14:paraId="48C66891" w14:textId="77777777" w:rsidR="006F129D" w:rsidRPr="004E4188" w:rsidRDefault="006F129D" w:rsidP="00DC1BC1">
            <w:pPr>
              <w:spacing w:before="60"/>
              <w:jc w:val="center"/>
              <w:rPr>
                <w:rFonts w:ascii="Arial" w:hAnsi="Arial" w:cs="Arial"/>
                <w:sz w:val="20"/>
              </w:rPr>
            </w:pPr>
            <w:r w:rsidRPr="004E4188">
              <w:rPr>
                <w:rFonts w:ascii="Arial" w:hAnsi="Arial" w:cs="Arial"/>
                <w:sz w:val="20"/>
              </w:rPr>
              <w:t>Sans objet</w:t>
            </w:r>
          </w:p>
        </w:tc>
        <w:tc>
          <w:tcPr>
            <w:tcW w:w="1465" w:type="dxa"/>
          </w:tcPr>
          <w:p w14:paraId="7EA66281" w14:textId="77777777" w:rsidR="006F129D" w:rsidRPr="004E4188" w:rsidRDefault="006F129D" w:rsidP="00DC1BC1">
            <w:pPr>
              <w:spacing w:before="60"/>
              <w:jc w:val="center"/>
              <w:rPr>
                <w:rFonts w:ascii="Arial" w:hAnsi="Arial" w:cs="Arial"/>
                <w:sz w:val="20"/>
              </w:rPr>
            </w:pPr>
            <w:r w:rsidRPr="004E4188">
              <w:rPr>
                <w:rFonts w:ascii="Arial" w:hAnsi="Arial" w:cs="Arial"/>
                <w:sz w:val="20"/>
              </w:rPr>
              <w:t>Doit satisfaire au critère</w:t>
            </w:r>
          </w:p>
          <w:p w14:paraId="501DFB47" w14:textId="77777777" w:rsidR="006F129D" w:rsidRPr="004E4188" w:rsidRDefault="006F129D" w:rsidP="00DC1BC1">
            <w:pPr>
              <w:jc w:val="center"/>
              <w:rPr>
                <w:rFonts w:ascii="Arial" w:hAnsi="Arial" w:cs="Arial"/>
                <w:sz w:val="20"/>
                <w:vertAlign w:val="superscript"/>
              </w:rPr>
            </w:pPr>
            <w:r w:rsidRPr="004E4188">
              <w:rPr>
                <w:rFonts w:ascii="Arial" w:hAnsi="Arial" w:cs="Arial"/>
                <w:sz w:val="20"/>
                <w:vertAlign w:val="superscript"/>
              </w:rPr>
              <w:t>(ii)</w:t>
            </w:r>
          </w:p>
        </w:tc>
        <w:tc>
          <w:tcPr>
            <w:tcW w:w="1465" w:type="dxa"/>
          </w:tcPr>
          <w:p w14:paraId="293DBBEB" w14:textId="77777777" w:rsidR="006F129D" w:rsidRPr="004E4188" w:rsidRDefault="006F129D" w:rsidP="00DC1BC1">
            <w:pPr>
              <w:spacing w:before="60"/>
              <w:jc w:val="center"/>
              <w:rPr>
                <w:rFonts w:ascii="Arial" w:hAnsi="Arial" w:cs="Arial"/>
                <w:sz w:val="20"/>
              </w:rPr>
            </w:pPr>
            <w:r w:rsidRPr="004E4188">
              <w:rPr>
                <w:rFonts w:ascii="Arial" w:hAnsi="Arial" w:cs="Arial"/>
                <w:sz w:val="20"/>
              </w:rPr>
              <w:t>Sans objet</w:t>
            </w:r>
          </w:p>
        </w:tc>
        <w:tc>
          <w:tcPr>
            <w:tcW w:w="1806" w:type="dxa"/>
            <w:vAlign w:val="center"/>
          </w:tcPr>
          <w:p w14:paraId="69EAB1B2" w14:textId="77777777" w:rsidR="009C3E53" w:rsidRPr="004E4188" w:rsidRDefault="006F129D" w:rsidP="009C3E53">
            <w:pPr>
              <w:spacing w:before="60" w:after="120"/>
              <w:jc w:val="left"/>
              <w:rPr>
                <w:rFonts w:ascii="Arial" w:hAnsi="Arial"/>
                <w:sz w:val="20"/>
              </w:rPr>
            </w:pPr>
            <w:r w:rsidRPr="004E4188">
              <w:rPr>
                <w:rFonts w:ascii="Arial" w:hAnsi="Arial" w:cs="Arial"/>
                <w:sz w:val="20"/>
              </w:rPr>
              <w:t xml:space="preserve">Lettre de soumission de </w:t>
            </w:r>
            <w:r w:rsidRPr="004E4188">
              <w:rPr>
                <w:rFonts w:ascii="Arial" w:hAnsi="Arial"/>
                <w:sz w:val="20"/>
              </w:rPr>
              <w:t>l’Offre Technique</w:t>
            </w:r>
          </w:p>
          <w:p w14:paraId="405EFA24" w14:textId="56EF63E4" w:rsidR="006F129D" w:rsidRPr="004E4188" w:rsidRDefault="006F129D" w:rsidP="00DC1BC1">
            <w:pPr>
              <w:spacing w:before="60" w:after="60"/>
              <w:jc w:val="left"/>
              <w:rPr>
                <w:rFonts w:ascii="Arial" w:hAnsi="Arial" w:cs="Arial"/>
                <w:sz w:val="20"/>
              </w:rPr>
            </w:pPr>
            <w:r w:rsidRPr="004E4188">
              <w:rPr>
                <w:rFonts w:ascii="Arial" w:hAnsi="Arial" w:cs="Arial"/>
                <w:sz w:val="20"/>
              </w:rPr>
              <w:t>Formulaire REC</w:t>
            </w:r>
          </w:p>
        </w:tc>
      </w:tr>
      <w:tr w:rsidR="006F129D" w:rsidRPr="004E4188" w14:paraId="2BCFA3BA" w14:textId="77777777" w:rsidTr="009C3E53">
        <w:trPr>
          <w:trHeight w:val="567"/>
        </w:trPr>
        <w:tc>
          <w:tcPr>
            <w:tcW w:w="13538" w:type="dxa"/>
            <w:gridSpan w:val="8"/>
          </w:tcPr>
          <w:p w14:paraId="55961421" w14:textId="5A9605C6" w:rsidR="006F129D" w:rsidRPr="004E4188" w:rsidRDefault="006F129D" w:rsidP="00D45EAD">
            <w:pPr>
              <w:suppressAutoHyphens w:val="0"/>
              <w:overflowPunct/>
              <w:autoSpaceDE/>
              <w:autoSpaceDN/>
              <w:adjustRightInd/>
              <w:textAlignment w:val="auto"/>
              <w:rPr>
                <w:rFonts w:ascii="Arial" w:hAnsi="Arial" w:cs="Arial"/>
                <w:sz w:val="20"/>
                <w:u w:val="single"/>
                <w:lang w:eastAsia="ja-JP"/>
              </w:rPr>
            </w:pPr>
            <w:r w:rsidRPr="004E4188">
              <w:rPr>
                <w:rFonts w:ascii="Arial" w:hAnsi="Arial" w:cs="Arial"/>
                <w:sz w:val="20"/>
                <w:u w:val="single"/>
                <w:lang w:eastAsia="en-US"/>
              </w:rPr>
              <w:t xml:space="preserve">Notes </w:t>
            </w:r>
            <w:r w:rsidRPr="004E4188">
              <w:rPr>
                <w:rFonts w:ascii="Arial" w:hAnsi="Arial" w:cs="Arial"/>
                <w:sz w:val="20"/>
                <w:u w:val="single"/>
                <w:lang w:eastAsia="ja-JP"/>
              </w:rPr>
              <w:t>à l’intention des Soumissionnaires</w:t>
            </w:r>
          </w:p>
          <w:p w14:paraId="798F0C3A" w14:textId="77777777" w:rsidR="006F129D" w:rsidRPr="004E4188" w:rsidRDefault="006F129D" w:rsidP="00D45EAD">
            <w:pPr>
              <w:widowControl w:val="0"/>
              <w:tabs>
                <w:tab w:val="left" w:pos="328"/>
              </w:tabs>
              <w:suppressAutoHyphens w:val="0"/>
              <w:overflowPunct/>
              <w:adjustRightInd/>
              <w:spacing w:afterLines="50" w:after="120"/>
              <w:textAlignment w:val="auto"/>
              <w:rPr>
                <w:rFonts w:ascii="Arial" w:hAnsi="Arial" w:cs="Arial"/>
                <w:sz w:val="20"/>
                <w:lang w:eastAsia="en-US"/>
              </w:rPr>
            </w:pPr>
            <w:r w:rsidRPr="004E4188">
              <w:rPr>
                <w:rFonts w:ascii="Arial" w:hAnsi="Arial" w:cs="Arial"/>
                <w:sz w:val="20"/>
                <w:lang w:eastAsia="en-US"/>
              </w:rPr>
              <w:t xml:space="preserve">(i) </w:t>
            </w:r>
            <w:r w:rsidRPr="004E4188">
              <w:rPr>
                <w:rFonts w:ascii="Arial" w:hAnsi="Arial" w:cs="Arial"/>
                <w:sz w:val="20"/>
                <w:lang w:eastAsia="en-US"/>
              </w:rPr>
              <w:tab/>
              <w:t>ELI-2 est requis uniquement si le Soumissionnaire est un Groupement.</w:t>
            </w:r>
          </w:p>
          <w:p w14:paraId="7FD50FE4" w14:textId="77777777" w:rsidR="006F129D" w:rsidRPr="004E4188" w:rsidRDefault="006F129D" w:rsidP="00D45EAD">
            <w:pPr>
              <w:widowControl w:val="0"/>
              <w:tabs>
                <w:tab w:val="left" w:pos="328"/>
              </w:tabs>
              <w:suppressAutoHyphens w:val="0"/>
              <w:overflowPunct/>
              <w:adjustRightInd/>
              <w:spacing w:afterLines="50" w:after="120"/>
              <w:textAlignment w:val="auto"/>
              <w:rPr>
                <w:rFonts w:ascii="Arial" w:hAnsi="Arial" w:cs="Arial"/>
                <w:sz w:val="20"/>
                <w:lang w:eastAsia="en-US"/>
              </w:rPr>
            </w:pPr>
            <w:r w:rsidRPr="004E4188">
              <w:rPr>
                <w:rFonts w:ascii="Arial" w:hAnsi="Arial" w:cs="Arial"/>
                <w:sz w:val="20"/>
                <w:lang w:eastAsia="en-US"/>
              </w:rPr>
              <w:t>(ii)</w:t>
            </w:r>
            <w:r w:rsidRPr="004E4188">
              <w:rPr>
                <w:rFonts w:ascii="Arial" w:hAnsi="Arial" w:cs="Arial"/>
                <w:sz w:val="20"/>
                <w:lang w:eastAsia="en-US"/>
              </w:rPr>
              <w:tab/>
              <w:t>Ce critère s’applique également aux sous-traitants proposés par le Soumissionnaire conformément aux 1.1.3 ci-dessus et 2.4.2(b) ci-après.</w:t>
            </w:r>
          </w:p>
        </w:tc>
      </w:tr>
    </w:tbl>
    <w:p w14:paraId="57C8E0D3" w14:textId="77777777" w:rsidR="006F129D" w:rsidRPr="004E4188" w:rsidRDefault="006F129D"/>
    <w:p w14:paraId="5065D8B7" w14:textId="77777777" w:rsidR="006F129D" w:rsidRPr="004E4188" w:rsidRDefault="006F129D">
      <w:r w:rsidRPr="004E4188">
        <w:br w:type="page"/>
      </w:r>
    </w:p>
    <w:p w14:paraId="6E37CB0E" w14:textId="77777777" w:rsidR="006F129D" w:rsidRPr="004E4188" w:rsidRDefault="006F129D" w:rsidP="003D46CF">
      <w:pPr>
        <w:pStyle w:val="ListParagraph1"/>
        <w:numPr>
          <w:ilvl w:val="1"/>
          <w:numId w:val="38"/>
        </w:numPr>
        <w:snapToGrid w:val="0"/>
        <w:spacing w:after="240"/>
        <w:ind w:left="0" w:firstLine="0"/>
        <w:contextualSpacing w:val="0"/>
        <w:jc w:val="left"/>
        <w:rPr>
          <w:b/>
          <w:sz w:val="28"/>
          <w:szCs w:val="28"/>
          <w:lang w:val="fr-FR"/>
        </w:rPr>
      </w:pPr>
      <w:r w:rsidRPr="004E4188">
        <w:rPr>
          <w:b/>
          <w:sz w:val="28"/>
          <w:szCs w:val="28"/>
          <w:lang w:val="fr-FR"/>
        </w:rPr>
        <w:t>Antécédents</w:t>
      </w:r>
      <w:r w:rsidRPr="004E4188">
        <w:rPr>
          <w:b/>
          <w:sz w:val="28"/>
          <w:szCs w:val="28"/>
          <w:lang w:val="fr-FR" w:eastAsia="ja-JP"/>
        </w:rPr>
        <w:t xml:space="preserve"> de non-exécution de marchés et litiges</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7"/>
        <w:gridCol w:w="3513"/>
        <w:gridCol w:w="1560"/>
        <w:gridCol w:w="1464"/>
        <w:gridCol w:w="1465"/>
        <w:gridCol w:w="1465"/>
        <w:gridCol w:w="1730"/>
      </w:tblGrid>
      <w:tr w:rsidR="009B4D94" w:rsidRPr="004E4188" w14:paraId="137B923F" w14:textId="77777777" w:rsidTr="000B0DCD">
        <w:trPr>
          <w:tblHeader/>
        </w:trPr>
        <w:tc>
          <w:tcPr>
            <w:tcW w:w="5778" w:type="dxa"/>
            <w:gridSpan w:val="3"/>
            <w:tcBorders>
              <w:bottom w:val="single" w:sz="4" w:space="0" w:color="auto"/>
            </w:tcBorders>
            <w:shd w:val="clear" w:color="auto" w:fill="000000" w:themeFill="text1"/>
            <w:vAlign w:val="center"/>
          </w:tcPr>
          <w:p w14:paraId="6D75CB79" w14:textId="6CF4561B" w:rsidR="009B4D94" w:rsidRPr="004E4188" w:rsidRDefault="009B4D94" w:rsidP="009B4D94">
            <w:pPr>
              <w:jc w:val="center"/>
              <w:rPr>
                <w:rFonts w:ascii="Arial" w:hAnsi="Arial" w:cs="Arial"/>
                <w:b/>
              </w:rPr>
            </w:pPr>
            <w:r w:rsidRPr="004E4188">
              <w:rPr>
                <w:rFonts w:ascii="Arial" w:hAnsi="Arial" w:cs="Arial"/>
                <w:b/>
                <w:color w:val="FFFFFF"/>
                <w:sz w:val="20"/>
              </w:rPr>
              <w:t>Critères d’éligibilité et de qualification</w:t>
            </w:r>
          </w:p>
        </w:tc>
        <w:tc>
          <w:tcPr>
            <w:tcW w:w="5954" w:type="dxa"/>
            <w:gridSpan w:val="4"/>
            <w:tcBorders>
              <w:bottom w:val="single" w:sz="4" w:space="0" w:color="auto"/>
            </w:tcBorders>
            <w:shd w:val="clear" w:color="auto" w:fill="000000" w:themeFill="text1"/>
            <w:vAlign w:val="center"/>
          </w:tcPr>
          <w:p w14:paraId="5B0BD6AB" w14:textId="0FA73A7F" w:rsidR="009B4D94" w:rsidRPr="004E4188" w:rsidRDefault="009B4D94" w:rsidP="009B4D94">
            <w:pPr>
              <w:jc w:val="center"/>
              <w:rPr>
                <w:rFonts w:ascii="Arial" w:hAnsi="Arial" w:cs="Arial"/>
                <w:b/>
              </w:rPr>
            </w:pPr>
            <w:r w:rsidRPr="004E4188">
              <w:rPr>
                <w:rFonts w:ascii="Arial" w:hAnsi="Arial" w:cs="Arial"/>
                <w:b/>
                <w:color w:val="FFFFFF"/>
                <w:sz w:val="20"/>
              </w:rPr>
              <w:t>Conditions de conformité</w:t>
            </w:r>
          </w:p>
        </w:tc>
        <w:tc>
          <w:tcPr>
            <w:tcW w:w="1730" w:type="dxa"/>
            <w:tcBorders>
              <w:bottom w:val="single" w:sz="4" w:space="0" w:color="auto"/>
            </w:tcBorders>
            <w:shd w:val="clear" w:color="auto" w:fill="000000" w:themeFill="text1"/>
            <w:vAlign w:val="center"/>
          </w:tcPr>
          <w:p w14:paraId="703745BF" w14:textId="346BB09A" w:rsidR="009B4D94" w:rsidRPr="004E4188" w:rsidRDefault="009B4D94" w:rsidP="009B4D94">
            <w:pPr>
              <w:jc w:val="center"/>
              <w:rPr>
                <w:rFonts w:ascii="Arial" w:hAnsi="Arial" w:cs="Arial"/>
                <w:b/>
              </w:rPr>
            </w:pPr>
            <w:r w:rsidRPr="004E4188">
              <w:rPr>
                <w:rFonts w:ascii="Arial" w:hAnsi="Arial" w:cs="Arial"/>
                <w:b/>
                <w:color w:val="FFFFFF"/>
                <w:sz w:val="20"/>
              </w:rPr>
              <w:t>Documentation</w:t>
            </w:r>
          </w:p>
        </w:tc>
      </w:tr>
      <w:tr w:rsidR="006F129D" w:rsidRPr="004E4188" w14:paraId="4F71313E" w14:textId="77777777" w:rsidTr="000B0DCD">
        <w:trPr>
          <w:trHeight w:val="300"/>
          <w:tblHeader/>
        </w:trPr>
        <w:tc>
          <w:tcPr>
            <w:tcW w:w="708" w:type="dxa"/>
            <w:vMerge w:val="restart"/>
            <w:shd w:val="clear" w:color="auto" w:fill="BFBFBF" w:themeFill="background1" w:themeFillShade="BF"/>
            <w:vAlign w:val="center"/>
          </w:tcPr>
          <w:p w14:paraId="06A6370F" w14:textId="77777777" w:rsidR="006F129D" w:rsidRPr="004E4188" w:rsidRDefault="006F129D" w:rsidP="00047342">
            <w:pPr>
              <w:jc w:val="center"/>
              <w:rPr>
                <w:rFonts w:ascii="Arial" w:hAnsi="Arial" w:cs="Arial"/>
                <w:b/>
                <w:sz w:val="20"/>
              </w:rPr>
            </w:pPr>
            <w:r w:rsidRPr="004E4188">
              <w:rPr>
                <w:rFonts w:ascii="Arial" w:hAnsi="Arial" w:cs="Arial"/>
                <w:b/>
                <w:sz w:val="20"/>
              </w:rPr>
              <w:t>n</w:t>
            </w:r>
            <w:r w:rsidRPr="004E4188">
              <w:rPr>
                <w:rFonts w:ascii="Arial" w:hAnsi="Arial" w:cs="Arial"/>
                <w:b/>
                <w:sz w:val="20"/>
                <w:vertAlign w:val="superscript"/>
              </w:rPr>
              <w:t>o</w:t>
            </w:r>
          </w:p>
        </w:tc>
        <w:tc>
          <w:tcPr>
            <w:tcW w:w="1557" w:type="dxa"/>
            <w:vMerge w:val="restart"/>
            <w:shd w:val="clear" w:color="auto" w:fill="BFBFBF" w:themeFill="background1" w:themeFillShade="BF"/>
            <w:vAlign w:val="center"/>
          </w:tcPr>
          <w:p w14:paraId="319AE875" w14:textId="77777777" w:rsidR="006F129D" w:rsidRPr="004E4188" w:rsidRDefault="006F129D" w:rsidP="00047342">
            <w:pPr>
              <w:jc w:val="center"/>
              <w:rPr>
                <w:rFonts w:ascii="Arial" w:hAnsi="Arial" w:cs="Arial"/>
                <w:b/>
                <w:sz w:val="20"/>
              </w:rPr>
            </w:pPr>
            <w:r w:rsidRPr="004E4188">
              <w:rPr>
                <w:rFonts w:ascii="Arial" w:hAnsi="Arial" w:cs="Arial"/>
                <w:b/>
                <w:sz w:val="20"/>
              </w:rPr>
              <w:t>Critère</w:t>
            </w:r>
          </w:p>
        </w:tc>
        <w:tc>
          <w:tcPr>
            <w:tcW w:w="3513" w:type="dxa"/>
            <w:vMerge w:val="restart"/>
            <w:shd w:val="clear" w:color="auto" w:fill="BFBFBF" w:themeFill="background1" w:themeFillShade="BF"/>
            <w:vAlign w:val="center"/>
          </w:tcPr>
          <w:p w14:paraId="1ED49836" w14:textId="77777777" w:rsidR="006F129D" w:rsidRPr="004E4188" w:rsidRDefault="006F129D" w:rsidP="00047342">
            <w:pPr>
              <w:jc w:val="center"/>
              <w:rPr>
                <w:rFonts w:ascii="Arial" w:hAnsi="Arial" w:cs="Arial"/>
                <w:b/>
                <w:sz w:val="20"/>
              </w:rPr>
            </w:pPr>
            <w:r w:rsidRPr="004E4188">
              <w:rPr>
                <w:rFonts w:ascii="Arial" w:hAnsi="Arial" w:cs="Arial"/>
                <w:b/>
                <w:sz w:val="20"/>
              </w:rPr>
              <w:t>Spécification</w:t>
            </w:r>
          </w:p>
        </w:tc>
        <w:tc>
          <w:tcPr>
            <w:tcW w:w="1560" w:type="dxa"/>
            <w:vMerge w:val="restart"/>
            <w:shd w:val="clear" w:color="auto" w:fill="BFBFBF" w:themeFill="background1" w:themeFillShade="BF"/>
            <w:vAlign w:val="center"/>
          </w:tcPr>
          <w:p w14:paraId="5CE022F0" w14:textId="77777777" w:rsidR="006F129D" w:rsidRPr="004E4188" w:rsidRDefault="006F129D" w:rsidP="00D45EAD">
            <w:pPr>
              <w:jc w:val="center"/>
              <w:rPr>
                <w:rFonts w:ascii="Arial" w:hAnsi="Arial" w:cs="Arial"/>
                <w:b/>
                <w:sz w:val="20"/>
              </w:rPr>
            </w:pPr>
            <w:r w:rsidRPr="004E4188">
              <w:rPr>
                <w:rFonts w:ascii="Arial" w:hAnsi="Arial" w:cs="Arial"/>
                <w:b/>
                <w:sz w:val="20"/>
              </w:rPr>
              <w:t>Entreprise unique</w:t>
            </w:r>
          </w:p>
        </w:tc>
        <w:tc>
          <w:tcPr>
            <w:tcW w:w="4394" w:type="dxa"/>
            <w:gridSpan w:val="3"/>
            <w:tcBorders>
              <w:bottom w:val="single" w:sz="4" w:space="0" w:color="auto"/>
            </w:tcBorders>
            <w:shd w:val="clear" w:color="auto" w:fill="BFBFBF" w:themeFill="background1" w:themeFillShade="BF"/>
            <w:vAlign w:val="center"/>
          </w:tcPr>
          <w:p w14:paraId="03E357A4" w14:textId="77777777" w:rsidR="009B4D94" w:rsidRPr="004E4188" w:rsidRDefault="009B4D94" w:rsidP="00C2477F">
            <w:pPr>
              <w:jc w:val="center"/>
              <w:rPr>
                <w:rFonts w:ascii="Arial" w:hAnsi="Arial" w:cs="Arial"/>
                <w:b/>
                <w:sz w:val="20"/>
              </w:rPr>
            </w:pPr>
            <w:r w:rsidRPr="004E4188">
              <w:rPr>
                <w:rFonts w:ascii="Arial" w:hAnsi="Arial" w:cs="Arial"/>
                <w:b/>
                <w:sz w:val="20"/>
              </w:rPr>
              <w:t>Groupement</w:t>
            </w:r>
          </w:p>
          <w:p w14:paraId="1DA92A6E" w14:textId="43A5DE4F" w:rsidR="006F129D" w:rsidRPr="004E4188" w:rsidRDefault="006F129D" w:rsidP="00C2477F">
            <w:pPr>
              <w:jc w:val="center"/>
              <w:rPr>
                <w:rFonts w:ascii="Arial" w:hAnsi="Arial" w:cs="Arial"/>
                <w:b/>
                <w:sz w:val="20"/>
              </w:rPr>
            </w:pPr>
            <w:r w:rsidRPr="004E4188">
              <w:rPr>
                <w:rFonts w:ascii="Arial" w:hAnsi="Arial" w:cs="Arial"/>
                <w:b/>
                <w:sz w:val="20"/>
              </w:rPr>
              <w:t>(existant ou prévu)</w:t>
            </w:r>
          </w:p>
        </w:tc>
        <w:tc>
          <w:tcPr>
            <w:tcW w:w="1730" w:type="dxa"/>
            <w:vMerge w:val="restart"/>
            <w:shd w:val="clear" w:color="auto" w:fill="BFBFBF" w:themeFill="background1" w:themeFillShade="BF"/>
            <w:vAlign w:val="center"/>
          </w:tcPr>
          <w:p w14:paraId="7DCD7E3F" w14:textId="77777777" w:rsidR="006F129D" w:rsidRPr="004E4188" w:rsidRDefault="006F129D" w:rsidP="00047342">
            <w:pPr>
              <w:jc w:val="center"/>
              <w:rPr>
                <w:rFonts w:ascii="Arial" w:hAnsi="Arial" w:cs="Arial"/>
                <w:b/>
                <w:sz w:val="20"/>
              </w:rPr>
            </w:pPr>
            <w:r w:rsidRPr="004E4188">
              <w:rPr>
                <w:rFonts w:ascii="Arial" w:hAnsi="Arial" w:cs="Arial"/>
                <w:b/>
                <w:sz w:val="20"/>
              </w:rPr>
              <w:t>Spécifications de soumission</w:t>
            </w:r>
          </w:p>
        </w:tc>
      </w:tr>
      <w:tr w:rsidR="006F129D" w:rsidRPr="004E4188" w14:paraId="2ABD7BA0" w14:textId="77777777" w:rsidTr="000B0DCD">
        <w:trPr>
          <w:trHeight w:val="360"/>
          <w:tblHeader/>
        </w:trPr>
        <w:tc>
          <w:tcPr>
            <w:tcW w:w="708" w:type="dxa"/>
            <w:vMerge/>
            <w:shd w:val="clear" w:color="auto" w:fill="F3F3F3"/>
          </w:tcPr>
          <w:p w14:paraId="447B0931" w14:textId="77777777" w:rsidR="006F129D" w:rsidRPr="004E4188" w:rsidRDefault="006F129D" w:rsidP="00047342">
            <w:pPr>
              <w:rPr>
                <w:rFonts w:ascii="Arial" w:hAnsi="Arial" w:cs="Arial"/>
                <w:sz w:val="20"/>
              </w:rPr>
            </w:pPr>
          </w:p>
        </w:tc>
        <w:tc>
          <w:tcPr>
            <w:tcW w:w="1557" w:type="dxa"/>
            <w:vMerge/>
            <w:shd w:val="clear" w:color="auto" w:fill="F3F3F3"/>
          </w:tcPr>
          <w:p w14:paraId="3F1C6555" w14:textId="77777777" w:rsidR="006F129D" w:rsidRPr="004E4188" w:rsidRDefault="006F129D" w:rsidP="00047342">
            <w:pPr>
              <w:rPr>
                <w:rFonts w:ascii="Arial" w:hAnsi="Arial" w:cs="Arial"/>
                <w:sz w:val="20"/>
              </w:rPr>
            </w:pPr>
          </w:p>
        </w:tc>
        <w:tc>
          <w:tcPr>
            <w:tcW w:w="3513" w:type="dxa"/>
            <w:vMerge/>
            <w:shd w:val="clear" w:color="auto" w:fill="F3F3F3"/>
          </w:tcPr>
          <w:p w14:paraId="3F684120" w14:textId="77777777" w:rsidR="006F129D" w:rsidRPr="004E4188" w:rsidRDefault="006F129D" w:rsidP="00047342">
            <w:pPr>
              <w:rPr>
                <w:rFonts w:ascii="Arial" w:hAnsi="Arial" w:cs="Arial"/>
                <w:sz w:val="20"/>
              </w:rPr>
            </w:pPr>
          </w:p>
        </w:tc>
        <w:tc>
          <w:tcPr>
            <w:tcW w:w="1560" w:type="dxa"/>
            <w:vMerge/>
            <w:shd w:val="clear" w:color="auto" w:fill="F3F3F3"/>
          </w:tcPr>
          <w:p w14:paraId="1D973AE6" w14:textId="77777777" w:rsidR="006F129D" w:rsidRPr="004E4188" w:rsidRDefault="006F129D" w:rsidP="00047342">
            <w:pPr>
              <w:rPr>
                <w:rFonts w:ascii="Arial" w:hAnsi="Arial" w:cs="Arial"/>
                <w:sz w:val="20"/>
              </w:rPr>
            </w:pPr>
          </w:p>
        </w:tc>
        <w:tc>
          <w:tcPr>
            <w:tcW w:w="1464" w:type="dxa"/>
            <w:shd w:val="clear" w:color="auto" w:fill="BFBFBF" w:themeFill="background1" w:themeFillShade="BF"/>
            <w:vAlign w:val="center"/>
          </w:tcPr>
          <w:p w14:paraId="4DBB4DF7" w14:textId="77777777" w:rsidR="006F129D" w:rsidRPr="004E4188" w:rsidRDefault="006F129D" w:rsidP="00D45EAD">
            <w:pPr>
              <w:jc w:val="center"/>
              <w:rPr>
                <w:rFonts w:ascii="Arial" w:hAnsi="Arial" w:cs="Arial"/>
                <w:b/>
                <w:sz w:val="20"/>
              </w:rPr>
            </w:pPr>
            <w:r w:rsidRPr="004E4188">
              <w:rPr>
                <w:rFonts w:ascii="Arial" w:hAnsi="Arial" w:cs="Arial"/>
                <w:b/>
                <w:sz w:val="20"/>
              </w:rPr>
              <w:t>Tous membres combinés</w:t>
            </w:r>
          </w:p>
        </w:tc>
        <w:tc>
          <w:tcPr>
            <w:tcW w:w="1465" w:type="dxa"/>
            <w:shd w:val="clear" w:color="auto" w:fill="BFBFBF" w:themeFill="background1" w:themeFillShade="BF"/>
            <w:vAlign w:val="center"/>
          </w:tcPr>
          <w:p w14:paraId="25AAD05A" w14:textId="77777777" w:rsidR="006F129D" w:rsidRPr="004E4188" w:rsidRDefault="006F129D" w:rsidP="00047342">
            <w:pPr>
              <w:jc w:val="center"/>
              <w:rPr>
                <w:rFonts w:ascii="Arial" w:hAnsi="Arial" w:cs="Arial"/>
                <w:b/>
                <w:sz w:val="20"/>
              </w:rPr>
            </w:pPr>
            <w:r w:rsidRPr="004E4188">
              <w:rPr>
                <w:rFonts w:ascii="Arial" w:hAnsi="Arial" w:cs="Arial"/>
                <w:b/>
                <w:sz w:val="20"/>
              </w:rPr>
              <w:t>Chaque membre</w:t>
            </w:r>
          </w:p>
        </w:tc>
        <w:tc>
          <w:tcPr>
            <w:tcW w:w="1465" w:type="dxa"/>
            <w:shd w:val="clear" w:color="auto" w:fill="BFBFBF" w:themeFill="background1" w:themeFillShade="BF"/>
            <w:vAlign w:val="center"/>
          </w:tcPr>
          <w:p w14:paraId="2507DB72" w14:textId="77777777" w:rsidR="006F129D" w:rsidRPr="004E4188" w:rsidRDefault="006F129D" w:rsidP="00047342">
            <w:pPr>
              <w:jc w:val="center"/>
              <w:rPr>
                <w:rFonts w:ascii="Arial" w:hAnsi="Arial" w:cs="Arial"/>
                <w:b/>
                <w:sz w:val="20"/>
              </w:rPr>
            </w:pPr>
            <w:r w:rsidRPr="004E4188">
              <w:rPr>
                <w:rFonts w:ascii="Arial" w:hAnsi="Arial" w:cs="Arial"/>
                <w:b/>
                <w:sz w:val="20"/>
              </w:rPr>
              <w:t>Un membre</w:t>
            </w:r>
          </w:p>
        </w:tc>
        <w:tc>
          <w:tcPr>
            <w:tcW w:w="1730" w:type="dxa"/>
            <w:vMerge/>
            <w:shd w:val="clear" w:color="auto" w:fill="F3F3F3"/>
          </w:tcPr>
          <w:p w14:paraId="397A7A95" w14:textId="77777777" w:rsidR="006F129D" w:rsidRPr="004E4188" w:rsidRDefault="006F129D" w:rsidP="00047342">
            <w:pPr>
              <w:rPr>
                <w:rFonts w:ascii="Arial" w:hAnsi="Arial" w:cs="Arial"/>
                <w:sz w:val="18"/>
                <w:szCs w:val="18"/>
              </w:rPr>
            </w:pPr>
          </w:p>
        </w:tc>
      </w:tr>
      <w:tr w:rsidR="006F129D" w:rsidRPr="004E4188" w14:paraId="259B4DCB" w14:textId="77777777" w:rsidTr="000B0DCD">
        <w:tc>
          <w:tcPr>
            <w:tcW w:w="708" w:type="dxa"/>
          </w:tcPr>
          <w:p w14:paraId="423C6644" w14:textId="77777777" w:rsidR="006F129D" w:rsidRPr="004E4188" w:rsidRDefault="006F129D" w:rsidP="00DC1BC1">
            <w:pPr>
              <w:spacing w:before="60"/>
              <w:jc w:val="center"/>
              <w:rPr>
                <w:rFonts w:ascii="Arial" w:hAnsi="Arial" w:cs="Arial"/>
                <w:sz w:val="20"/>
              </w:rPr>
            </w:pPr>
            <w:r w:rsidRPr="004E4188">
              <w:rPr>
                <w:rFonts w:ascii="Arial" w:hAnsi="Arial" w:cs="Arial"/>
                <w:sz w:val="20"/>
              </w:rPr>
              <w:t>2.2.1</w:t>
            </w:r>
          </w:p>
        </w:tc>
        <w:tc>
          <w:tcPr>
            <w:tcW w:w="1557" w:type="dxa"/>
          </w:tcPr>
          <w:p w14:paraId="222C20F0" w14:textId="77777777" w:rsidR="006F129D" w:rsidRPr="004E4188" w:rsidRDefault="006F129D" w:rsidP="00DC1BC1">
            <w:pPr>
              <w:spacing w:before="60"/>
              <w:jc w:val="left"/>
              <w:rPr>
                <w:rFonts w:ascii="Arial" w:hAnsi="Arial" w:cs="Arial"/>
                <w:sz w:val="20"/>
              </w:rPr>
            </w:pPr>
            <w:r w:rsidRPr="004E4188">
              <w:rPr>
                <w:rFonts w:ascii="Arial" w:hAnsi="Arial" w:cs="Arial"/>
                <w:sz w:val="20"/>
              </w:rPr>
              <w:t>Antécédents de non-exécution de marchés</w:t>
            </w:r>
          </w:p>
        </w:tc>
        <w:tc>
          <w:tcPr>
            <w:tcW w:w="3513" w:type="dxa"/>
          </w:tcPr>
          <w:p w14:paraId="11F84FB0" w14:textId="35D80BE6" w:rsidR="006F129D" w:rsidRPr="004E4188" w:rsidRDefault="006F129D" w:rsidP="00DC1BC1">
            <w:pPr>
              <w:spacing w:before="60" w:afterLines="50" w:after="120"/>
              <w:rPr>
                <w:rFonts w:ascii="Arial" w:hAnsi="Arial" w:cs="Arial"/>
                <w:spacing w:val="-2"/>
                <w:sz w:val="20"/>
                <w:lang w:eastAsia="ja-JP"/>
              </w:rPr>
            </w:pPr>
            <w:r w:rsidRPr="004E4188">
              <w:rPr>
                <w:rFonts w:ascii="Arial" w:hAnsi="Arial" w:cs="Arial"/>
                <w:sz w:val="20"/>
              </w:rPr>
              <w:t>Pas de non-exécution d’un marché</w:t>
            </w:r>
            <w:r w:rsidRPr="004E4188">
              <w:rPr>
                <w:rFonts w:ascii="Arial" w:hAnsi="Arial" w:cs="Arial"/>
                <w:sz w:val="20"/>
                <w:vertAlign w:val="superscript"/>
              </w:rPr>
              <w:t>(i)</w:t>
            </w:r>
            <w:r w:rsidRPr="004E4188">
              <w:rPr>
                <w:rFonts w:ascii="Arial" w:hAnsi="Arial" w:cs="Arial"/>
                <w:sz w:val="20"/>
              </w:rPr>
              <w:t xml:space="preserve"> parce que l’entrepreneur a fait défaut depuis le 1</w:t>
            </w:r>
            <w:r w:rsidRPr="004E4188">
              <w:rPr>
                <w:rFonts w:ascii="Arial" w:hAnsi="Arial" w:cs="Arial"/>
                <w:sz w:val="20"/>
                <w:vertAlign w:val="superscript"/>
              </w:rPr>
              <w:t>er</w:t>
            </w:r>
            <w:r w:rsidRPr="004E4188">
              <w:rPr>
                <w:rFonts w:ascii="Arial" w:hAnsi="Arial" w:cs="Arial"/>
                <w:sz w:val="20"/>
              </w:rPr>
              <w:t xml:space="preserve"> janvier </w:t>
            </w:r>
            <w:r w:rsidRPr="004E4188">
              <w:rPr>
                <w:rFonts w:ascii="Arial" w:hAnsi="Arial" w:cs="Arial"/>
                <w:spacing w:val="-2"/>
                <w:sz w:val="20"/>
                <w:lang w:eastAsia="ja-JP"/>
              </w:rPr>
              <w:t>[</w:t>
            </w:r>
            <w:r w:rsidRPr="004E4188">
              <w:rPr>
                <w:rFonts w:ascii="Arial" w:hAnsi="Arial" w:cs="Arial"/>
                <w:i/>
                <w:spacing w:val="-2"/>
                <w:sz w:val="20"/>
                <w:lang w:eastAsia="ja-JP"/>
              </w:rPr>
              <w:t>indiquer l’année</w:t>
            </w:r>
            <w:r w:rsidRPr="004E4188">
              <w:rPr>
                <w:rFonts w:ascii="Arial" w:hAnsi="Arial" w:cs="Arial"/>
                <w:spacing w:val="-2"/>
                <w:sz w:val="20"/>
                <w:lang w:eastAsia="ja-JP"/>
              </w:rPr>
              <w:t>]</w:t>
            </w:r>
            <w:r w:rsidRPr="004E4188">
              <w:rPr>
                <w:rFonts w:ascii="Arial" w:hAnsi="Arial" w:cs="Arial"/>
                <w:spacing w:val="-2"/>
                <w:sz w:val="20"/>
                <w:vertAlign w:val="superscript"/>
                <w:lang w:eastAsia="ja-JP"/>
              </w:rPr>
              <w:t>1</w:t>
            </w:r>
            <w:r w:rsidRPr="004E4188">
              <w:rPr>
                <w:rFonts w:ascii="Arial" w:hAnsi="Arial" w:cs="Arial"/>
                <w:spacing w:val="-2"/>
                <w:sz w:val="20"/>
                <w:lang w:eastAsia="ja-JP"/>
              </w:rPr>
              <w:t>.</w:t>
            </w:r>
          </w:p>
        </w:tc>
        <w:tc>
          <w:tcPr>
            <w:tcW w:w="1560" w:type="dxa"/>
          </w:tcPr>
          <w:p w14:paraId="7E15C4C3" w14:textId="77777777" w:rsidR="006F129D" w:rsidRPr="004E4188" w:rsidRDefault="006F129D" w:rsidP="00DC1BC1">
            <w:pPr>
              <w:spacing w:before="60"/>
              <w:jc w:val="center"/>
              <w:rPr>
                <w:rFonts w:ascii="Arial" w:hAnsi="Arial" w:cs="Arial"/>
                <w:sz w:val="20"/>
              </w:rPr>
            </w:pPr>
            <w:r w:rsidRPr="004E4188">
              <w:rPr>
                <w:rFonts w:ascii="Arial" w:hAnsi="Arial" w:cs="Arial"/>
                <w:sz w:val="20"/>
              </w:rPr>
              <w:t>Doit satisfaire au critère</w:t>
            </w:r>
          </w:p>
          <w:p w14:paraId="242A6507" w14:textId="77777777" w:rsidR="006F129D" w:rsidRPr="004E4188" w:rsidRDefault="006F129D" w:rsidP="00DC1BC1">
            <w:pPr>
              <w:jc w:val="center"/>
              <w:rPr>
                <w:rFonts w:ascii="Arial" w:hAnsi="Arial" w:cs="Arial"/>
                <w:sz w:val="20"/>
              </w:rPr>
            </w:pPr>
            <w:r w:rsidRPr="004E4188">
              <w:rPr>
                <w:rFonts w:ascii="Arial" w:hAnsi="Arial" w:cs="Arial"/>
                <w:sz w:val="20"/>
                <w:vertAlign w:val="superscript"/>
              </w:rPr>
              <w:t>(ii)</w:t>
            </w:r>
          </w:p>
        </w:tc>
        <w:tc>
          <w:tcPr>
            <w:tcW w:w="1464" w:type="dxa"/>
          </w:tcPr>
          <w:p w14:paraId="09727E82" w14:textId="77777777" w:rsidR="006F129D" w:rsidRPr="004E4188" w:rsidRDefault="006F129D" w:rsidP="00DC1BC1">
            <w:pPr>
              <w:spacing w:before="60"/>
              <w:jc w:val="center"/>
              <w:rPr>
                <w:rFonts w:ascii="Arial" w:hAnsi="Arial" w:cs="Arial"/>
                <w:sz w:val="20"/>
              </w:rPr>
            </w:pPr>
            <w:r w:rsidRPr="004E4188">
              <w:rPr>
                <w:rFonts w:ascii="Arial" w:hAnsi="Arial" w:cs="Arial"/>
                <w:sz w:val="20"/>
              </w:rPr>
              <w:t>Sans objet</w:t>
            </w:r>
          </w:p>
        </w:tc>
        <w:tc>
          <w:tcPr>
            <w:tcW w:w="1465" w:type="dxa"/>
          </w:tcPr>
          <w:p w14:paraId="086C0737" w14:textId="77777777" w:rsidR="006F129D" w:rsidRPr="004E4188" w:rsidRDefault="006F129D" w:rsidP="00DC1BC1">
            <w:pPr>
              <w:spacing w:before="60"/>
              <w:jc w:val="center"/>
              <w:rPr>
                <w:rFonts w:ascii="Arial" w:hAnsi="Arial" w:cs="Arial"/>
                <w:sz w:val="20"/>
              </w:rPr>
            </w:pPr>
            <w:r w:rsidRPr="004E4188">
              <w:rPr>
                <w:rFonts w:ascii="Arial" w:hAnsi="Arial" w:cs="Arial"/>
                <w:sz w:val="20"/>
              </w:rPr>
              <w:t>Doit satisfaire au critère</w:t>
            </w:r>
          </w:p>
          <w:p w14:paraId="335D6F1F" w14:textId="77777777" w:rsidR="006F129D" w:rsidRPr="004E4188" w:rsidRDefault="006F129D" w:rsidP="00DC1BC1">
            <w:pPr>
              <w:jc w:val="center"/>
              <w:rPr>
                <w:rFonts w:ascii="Arial" w:hAnsi="Arial" w:cs="Arial"/>
                <w:sz w:val="20"/>
              </w:rPr>
            </w:pPr>
            <w:r w:rsidRPr="004E4188">
              <w:rPr>
                <w:rFonts w:ascii="Arial" w:hAnsi="Arial" w:cs="Arial"/>
                <w:sz w:val="20"/>
                <w:vertAlign w:val="superscript"/>
              </w:rPr>
              <w:t>(ii)</w:t>
            </w:r>
          </w:p>
        </w:tc>
        <w:tc>
          <w:tcPr>
            <w:tcW w:w="1465" w:type="dxa"/>
          </w:tcPr>
          <w:p w14:paraId="227CBD33" w14:textId="77777777" w:rsidR="006F129D" w:rsidRPr="004E4188" w:rsidRDefault="006F129D" w:rsidP="00DC1BC1">
            <w:pPr>
              <w:spacing w:before="60"/>
              <w:jc w:val="center"/>
              <w:rPr>
                <w:rFonts w:ascii="Arial" w:hAnsi="Arial" w:cs="Arial"/>
                <w:sz w:val="20"/>
              </w:rPr>
            </w:pPr>
            <w:r w:rsidRPr="004E4188">
              <w:rPr>
                <w:rFonts w:ascii="Arial" w:hAnsi="Arial" w:cs="Arial"/>
                <w:sz w:val="20"/>
              </w:rPr>
              <w:t>Sans objet</w:t>
            </w:r>
          </w:p>
        </w:tc>
        <w:tc>
          <w:tcPr>
            <w:tcW w:w="1730" w:type="dxa"/>
          </w:tcPr>
          <w:p w14:paraId="26730533" w14:textId="77777777" w:rsidR="006F129D" w:rsidRPr="004E4188" w:rsidRDefault="006F129D" w:rsidP="00DC1BC1">
            <w:pPr>
              <w:spacing w:before="60"/>
              <w:rPr>
                <w:rFonts w:ascii="Arial" w:hAnsi="Arial" w:cs="Arial"/>
                <w:sz w:val="20"/>
              </w:rPr>
            </w:pPr>
            <w:r w:rsidRPr="004E4188">
              <w:rPr>
                <w:rFonts w:ascii="Arial" w:hAnsi="Arial" w:cs="Arial"/>
                <w:sz w:val="20"/>
              </w:rPr>
              <w:t>Formulaire CON</w:t>
            </w:r>
          </w:p>
        </w:tc>
      </w:tr>
      <w:tr w:rsidR="006F129D" w:rsidRPr="004E4188" w14:paraId="3C33FA95" w14:textId="77777777" w:rsidTr="000B0DCD">
        <w:tc>
          <w:tcPr>
            <w:tcW w:w="708" w:type="dxa"/>
          </w:tcPr>
          <w:p w14:paraId="52043D89" w14:textId="77777777" w:rsidR="006F129D" w:rsidRPr="004E4188" w:rsidRDefault="006F129D" w:rsidP="00DC1BC1">
            <w:pPr>
              <w:spacing w:before="60"/>
              <w:jc w:val="center"/>
              <w:rPr>
                <w:rFonts w:ascii="Arial" w:hAnsi="Arial" w:cs="Arial"/>
                <w:sz w:val="20"/>
              </w:rPr>
            </w:pPr>
            <w:r w:rsidRPr="004E4188">
              <w:rPr>
                <w:rFonts w:ascii="Arial" w:hAnsi="Arial" w:cs="Arial"/>
                <w:sz w:val="20"/>
              </w:rPr>
              <w:t>2.2.2</w:t>
            </w:r>
          </w:p>
        </w:tc>
        <w:tc>
          <w:tcPr>
            <w:tcW w:w="1557" w:type="dxa"/>
          </w:tcPr>
          <w:p w14:paraId="07B993FA" w14:textId="77777777" w:rsidR="006F129D" w:rsidRPr="004E4188" w:rsidRDefault="006F129D" w:rsidP="00DC1BC1">
            <w:pPr>
              <w:spacing w:before="60"/>
              <w:jc w:val="left"/>
              <w:rPr>
                <w:rFonts w:ascii="Arial" w:hAnsi="Arial" w:cs="Arial"/>
                <w:sz w:val="20"/>
              </w:rPr>
            </w:pPr>
            <w:r w:rsidRPr="004E4188">
              <w:rPr>
                <w:rFonts w:ascii="Arial" w:hAnsi="Arial" w:cs="Arial"/>
                <w:sz w:val="20"/>
              </w:rPr>
              <w:t>Litiges en instance</w:t>
            </w:r>
          </w:p>
        </w:tc>
        <w:tc>
          <w:tcPr>
            <w:tcW w:w="3513" w:type="dxa"/>
          </w:tcPr>
          <w:p w14:paraId="756EA42D" w14:textId="77777777" w:rsidR="006F129D" w:rsidRPr="004E4188" w:rsidRDefault="006F129D" w:rsidP="00DC1BC1">
            <w:pPr>
              <w:spacing w:before="60" w:afterLines="50" w:after="120"/>
              <w:rPr>
                <w:rFonts w:ascii="Arial" w:hAnsi="Arial" w:cs="Arial"/>
                <w:sz w:val="20"/>
              </w:rPr>
            </w:pPr>
            <w:r w:rsidRPr="004E4188">
              <w:rPr>
                <w:rFonts w:ascii="Arial" w:hAnsi="Arial" w:cs="Arial"/>
                <w:sz w:val="20"/>
              </w:rPr>
              <w:t>La position financière du Soumissionnaire et sa profitabilité à long terme continuent à remplir le critère stipulé à l'Article 2.3.1 ci-après, en admettant que tous les litiges en instances seront tranchés contre le Soumissionnaire.</w:t>
            </w:r>
          </w:p>
        </w:tc>
        <w:tc>
          <w:tcPr>
            <w:tcW w:w="1560" w:type="dxa"/>
          </w:tcPr>
          <w:p w14:paraId="309D41B1" w14:textId="77777777" w:rsidR="006F129D" w:rsidRPr="004E4188" w:rsidRDefault="006F129D" w:rsidP="00DC1BC1">
            <w:pPr>
              <w:spacing w:before="60"/>
              <w:jc w:val="center"/>
              <w:rPr>
                <w:rFonts w:ascii="Arial" w:hAnsi="Arial" w:cs="Arial"/>
                <w:sz w:val="20"/>
              </w:rPr>
            </w:pPr>
            <w:r w:rsidRPr="004E4188">
              <w:rPr>
                <w:rFonts w:ascii="Arial" w:hAnsi="Arial" w:cs="Arial"/>
                <w:sz w:val="20"/>
              </w:rPr>
              <w:t>Doit satisfaire au critère</w:t>
            </w:r>
          </w:p>
          <w:p w14:paraId="1BEDFA25" w14:textId="77777777" w:rsidR="006F129D" w:rsidRPr="004E4188" w:rsidRDefault="006F129D" w:rsidP="00DC1BC1">
            <w:pPr>
              <w:jc w:val="center"/>
              <w:rPr>
                <w:rFonts w:ascii="Arial" w:hAnsi="Arial" w:cs="Arial"/>
                <w:sz w:val="20"/>
              </w:rPr>
            </w:pPr>
            <w:r w:rsidRPr="004E4188">
              <w:rPr>
                <w:rFonts w:ascii="Arial" w:hAnsi="Arial" w:cs="Arial"/>
                <w:sz w:val="20"/>
                <w:vertAlign w:val="superscript"/>
              </w:rPr>
              <w:t>(ii)</w:t>
            </w:r>
          </w:p>
        </w:tc>
        <w:tc>
          <w:tcPr>
            <w:tcW w:w="1464" w:type="dxa"/>
          </w:tcPr>
          <w:p w14:paraId="13A224ED" w14:textId="77777777" w:rsidR="006F129D" w:rsidRPr="004E4188" w:rsidRDefault="006F129D" w:rsidP="00DC1BC1">
            <w:pPr>
              <w:spacing w:before="60"/>
              <w:jc w:val="center"/>
              <w:rPr>
                <w:rFonts w:ascii="Arial" w:hAnsi="Arial" w:cs="Arial"/>
                <w:sz w:val="20"/>
              </w:rPr>
            </w:pPr>
            <w:r w:rsidRPr="004E4188">
              <w:rPr>
                <w:rFonts w:ascii="Arial" w:hAnsi="Arial" w:cs="Arial"/>
                <w:sz w:val="20"/>
              </w:rPr>
              <w:t>Sans objet</w:t>
            </w:r>
          </w:p>
        </w:tc>
        <w:tc>
          <w:tcPr>
            <w:tcW w:w="1465" w:type="dxa"/>
          </w:tcPr>
          <w:p w14:paraId="4E6F5683" w14:textId="77777777" w:rsidR="006F129D" w:rsidRPr="004E4188" w:rsidRDefault="006F129D" w:rsidP="00DC1BC1">
            <w:pPr>
              <w:spacing w:before="60"/>
              <w:jc w:val="center"/>
              <w:rPr>
                <w:rFonts w:ascii="Arial" w:hAnsi="Arial" w:cs="Arial"/>
                <w:sz w:val="20"/>
              </w:rPr>
            </w:pPr>
            <w:r w:rsidRPr="004E4188">
              <w:rPr>
                <w:rFonts w:ascii="Arial" w:hAnsi="Arial" w:cs="Arial"/>
                <w:sz w:val="20"/>
              </w:rPr>
              <w:t>Doit satisfaire au critère</w:t>
            </w:r>
          </w:p>
          <w:p w14:paraId="2056C532" w14:textId="77777777" w:rsidR="006F129D" w:rsidRPr="004E4188" w:rsidRDefault="006F129D" w:rsidP="00DC1BC1">
            <w:pPr>
              <w:jc w:val="center"/>
              <w:rPr>
                <w:rFonts w:ascii="Arial" w:hAnsi="Arial" w:cs="Arial"/>
                <w:sz w:val="20"/>
              </w:rPr>
            </w:pPr>
            <w:r w:rsidRPr="004E4188">
              <w:rPr>
                <w:rFonts w:ascii="Arial" w:hAnsi="Arial" w:cs="Arial"/>
                <w:sz w:val="20"/>
                <w:vertAlign w:val="superscript"/>
              </w:rPr>
              <w:t>(ii)</w:t>
            </w:r>
          </w:p>
        </w:tc>
        <w:tc>
          <w:tcPr>
            <w:tcW w:w="1465" w:type="dxa"/>
          </w:tcPr>
          <w:p w14:paraId="3BD7CE54" w14:textId="77777777" w:rsidR="006F129D" w:rsidRPr="004E4188" w:rsidRDefault="006F129D" w:rsidP="00DC1BC1">
            <w:pPr>
              <w:spacing w:before="60"/>
              <w:jc w:val="center"/>
              <w:rPr>
                <w:rFonts w:ascii="Arial" w:hAnsi="Arial" w:cs="Arial"/>
                <w:sz w:val="20"/>
              </w:rPr>
            </w:pPr>
            <w:r w:rsidRPr="004E4188">
              <w:rPr>
                <w:rFonts w:ascii="Arial" w:hAnsi="Arial" w:cs="Arial"/>
                <w:sz w:val="20"/>
              </w:rPr>
              <w:t>Sans objet</w:t>
            </w:r>
          </w:p>
        </w:tc>
        <w:tc>
          <w:tcPr>
            <w:tcW w:w="1730" w:type="dxa"/>
          </w:tcPr>
          <w:p w14:paraId="61134B13" w14:textId="77777777" w:rsidR="006F129D" w:rsidRPr="004E4188" w:rsidRDefault="006F129D" w:rsidP="00DC1BC1">
            <w:pPr>
              <w:spacing w:before="60"/>
              <w:rPr>
                <w:rFonts w:ascii="Arial" w:hAnsi="Arial" w:cs="Arial"/>
                <w:sz w:val="20"/>
              </w:rPr>
            </w:pPr>
            <w:r w:rsidRPr="004E4188">
              <w:rPr>
                <w:rFonts w:ascii="Arial" w:hAnsi="Arial" w:cs="Arial"/>
                <w:sz w:val="20"/>
              </w:rPr>
              <w:t>Formulaire CON</w:t>
            </w:r>
          </w:p>
        </w:tc>
      </w:tr>
      <w:tr w:rsidR="006F129D" w:rsidRPr="004E4188" w14:paraId="6DA799BA" w14:textId="77777777" w:rsidTr="000B0DCD">
        <w:tc>
          <w:tcPr>
            <w:tcW w:w="708" w:type="dxa"/>
          </w:tcPr>
          <w:p w14:paraId="31210870" w14:textId="77777777" w:rsidR="006F129D" w:rsidRPr="004E4188" w:rsidRDefault="006F129D" w:rsidP="00DC1BC1">
            <w:pPr>
              <w:spacing w:before="60"/>
              <w:jc w:val="center"/>
              <w:rPr>
                <w:rFonts w:ascii="Arial" w:hAnsi="Arial" w:cs="Arial"/>
                <w:sz w:val="20"/>
              </w:rPr>
            </w:pPr>
            <w:r w:rsidRPr="004E4188">
              <w:rPr>
                <w:rFonts w:ascii="Arial" w:hAnsi="Arial" w:cs="Arial"/>
                <w:sz w:val="20"/>
              </w:rPr>
              <w:t>2.2.3</w:t>
            </w:r>
          </w:p>
        </w:tc>
        <w:tc>
          <w:tcPr>
            <w:tcW w:w="1557" w:type="dxa"/>
          </w:tcPr>
          <w:p w14:paraId="5B4D7027" w14:textId="77777777" w:rsidR="006F129D" w:rsidRPr="004E4188" w:rsidRDefault="006F129D" w:rsidP="00DC1BC1">
            <w:pPr>
              <w:spacing w:before="60"/>
              <w:jc w:val="left"/>
              <w:rPr>
                <w:rFonts w:ascii="Arial" w:hAnsi="Arial" w:cs="Arial"/>
                <w:sz w:val="20"/>
              </w:rPr>
            </w:pPr>
            <w:r w:rsidRPr="004E4188">
              <w:rPr>
                <w:rFonts w:ascii="Arial" w:hAnsi="Arial" w:cs="Arial"/>
                <w:sz w:val="20"/>
              </w:rPr>
              <w:t>Antécédents de litiges</w:t>
            </w:r>
          </w:p>
        </w:tc>
        <w:tc>
          <w:tcPr>
            <w:tcW w:w="3513" w:type="dxa"/>
          </w:tcPr>
          <w:p w14:paraId="44D45C3D" w14:textId="77777777" w:rsidR="006F129D" w:rsidRPr="004E4188" w:rsidRDefault="006F129D" w:rsidP="00DC1BC1">
            <w:pPr>
              <w:spacing w:before="60" w:afterLines="50" w:after="120"/>
              <w:rPr>
                <w:rFonts w:ascii="Arial" w:hAnsi="Arial" w:cs="Arial"/>
                <w:sz w:val="20"/>
              </w:rPr>
            </w:pPr>
            <w:r w:rsidRPr="004E4188">
              <w:rPr>
                <w:rFonts w:ascii="Arial" w:hAnsi="Arial" w:cs="Arial"/>
                <w:sz w:val="20"/>
              </w:rPr>
              <w:t>Pas d’antécédents continus d’ordonnance</w:t>
            </w:r>
            <w:r w:rsidRPr="004E4188" w:rsidDel="00541700">
              <w:rPr>
                <w:rFonts w:ascii="Arial" w:hAnsi="Arial" w:cs="Arial"/>
                <w:sz w:val="20"/>
              </w:rPr>
              <w:t xml:space="preserve"> </w:t>
            </w:r>
            <w:r w:rsidRPr="004E4188">
              <w:rPr>
                <w:rFonts w:ascii="Arial" w:hAnsi="Arial" w:cs="Arial"/>
                <w:sz w:val="20"/>
              </w:rPr>
              <w:t>judiciaires</w:t>
            </w:r>
            <w:r w:rsidRPr="004E4188">
              <w:rPr>
                <w:rFonts w:ascii="Arial" w:hAnsi="Arial" w:cs="Arial"/>
                <w:sz w:val="20"/>
                <w:vertAlign w:val="superscript"/>
              </w:rPr>
              <w:t>(iii)</w:t>
            </w:r>
            <w:r w:rsidRPr="004E4188">
              <w:rPr>
                <w:rFonts w:ascii="Arial" w:hAnsi="Arial" w:cs="Arial"/>
                <w:sz w:val="20"/>
              </w:rPr>
              <w:t xml:space="preserve"> rendues contre le Soumissionnaire</w:t>
            </w:r>
            <w:r w:rsidRPr="004E4188">
              <w:rPr>
                <w:rFonts w:ascii="Arial" w:hAnsi="Arial" w:cs="Arial"/>
                <w:sz w:val="20"/>
                <w:vertAlign w:val="superscript"/>
              </w:rPr>
              <w:t xml:space="preserve"> </w:t>
            </w:r>
            <w:r w:rsidRPr="004E4188">
              <w:rPr>
                <w:rFonts w:ascii="Arial" w:hAnsi="Arial" w:cs="Arial"/>
                <w:sz w:val="20"/>
              </w:rPr>
              <w:t>depuis le 1</w:t>
            </w:r>
            <w:r w:rsidRPr="004E4188">
              <w:rPr>
                <w:rFonts w:ascii="Arial" w:hAnsi="Arial" w:cs="Arial"/>
                <w:sz w:val="20"/>
                <w:vertAlign w:val="superscript"/>
              </w:rPr>
              <w:t>er</w:t>
            </w:r>
            <w:r w:rsidRPr="004E4188">
              <w:rPr>
                <w:rFonts w:ascii="Arial" w:hAnsi="Arial" w:cs="Arial"/>
                <w:sz w:val="20"/>
              </w:rPr>
              <w:t xml:space="preserve"> janvier </w:t>
            </w:r>
            <w:r w:rsidRPr="004E4188">
              <w:rPr>
                <w:rFonts w:ascii="Arial" w:hAnsi="Arial" w:cs="Arial"/>
                <w:spacing w:val="-2"/>
                <w:sz w:val="20"/>
                <w:lang w:eastAsia="ja-JP"/>
              </w:rPr>
              <w:t>[</w:t>
            </w:r>
            <w:r w:rsidRPr="004E4188">
              <w:rPr>
                <w:rFonts w:ascii="Arial" w:hAnsi="Arial" w:cs="Arial"/>
                <w:i/>
                <w:spacing w:val="-2"/>
                <w:sz w:val="20"/>
                <w:lang w:eastAsia="ja-JP"/>
              </w:rPr>
              <w:t>indiquer l’année</w:t>
            </w:r>
            <w:r w:rsidRPr="004E4188">
              <w:rPr>
                <w:rFonts w:ascii="Arial" w:hAnsi="Arial" w:cs="Arial"/>
                <w:spacing w:val="-2"/>
                <w:sz w:val="20"/>
                <w:lang w:eastAsia="ja-JP"/>
              </w:rPr>
              <w:t>]</w:t>
            </w:r>
            <w:r w:rsidRPr="004E4188">
              <w:rPr>
                <w:rFonts w:ascii="Arial" w:hAnsi="Arial" w:cs="Arial"/>
                <w:spacing w:val="-2"/>
                <w:sz w:val="20"/>
                <w:vertAlign w:val="superscript"/>
                <w:lang w:eastAsia="ja-JP"/>
              </w:rPr>
              <w:t xml:space="preserve"> 1</w:t>
            </w:r>
            <w:r w:rsidRPr="004E4188">
              <w:rPr>
                <w:rFonts w:ascii="Arial" w:hAnsi="Arial" w:cs="Arial"/>
                <w:spacing w:val="-2"/>
                <w:sz w:val="20"/>
                <w:lang w:eastAsia="ja-JP"/>
              </w:rPr>
              <w:t>.</w:t>
            </w:r>
          </w:p>
        </w:tc>
        <w:tc>
          <w:tcPr>
            <w:tcW w:w="1560" w:type="dxa"/>
          </w:tcPr>
          <w:p w14:paraId="21E3625C" w14:textId="77777777" w:rsidR="006F129D" w:rsidRPr="004E4188" w:rsidRDefault="006F129D" w:rsidP="00DC1BC1">
            <w:pPr>
              <w:spacing w:before="60"/>
              <w:jc w:val="center"/>
              <w:rPr>
                <w:rFonts w:ascii="Arial" w:hAnsi="Arial" w:cs="Arial"/>
                <w:sz w:val="20"/>
              </w:rPr>
            </w:pPr>
            <w:r w:rsidRPr="004E4188">
              <w:rPr>
                <w:rFonts w:ascii="Arial" w:hAnsi="Arial" w:cs="Arial"/>
                <w:sz w:val="20"/>
              </w:rPr>
              <w:t>Doit satisfaire au critère</w:t>
            </w:r>
          </w:p>
          <w:p w14:paraId="2B4120DD" w14:textId="77777777" w:rsidR="006F129D" w:rsidRPr="004E4188" w:rsidRDefault="006F129D" w:rsidP="00DC1BC1">
            <w:pPr>
              <w:jc w:val="center"/>
              <w:rPr>
                <w:rFonts w:ascii="Arial" w:hAnsi="Arial" w:cs="Arial"/>
                <w:sz w:val="20"/>
              </w:rPr>
            </w:pPr>
            <w:r w:rsidRPr="004E4188">
              <w:rPr>
                <w:rFonts w:ascii="Arial" w:hAnsi="Arial" w:cs="Arial"/>
                <w:sz w:val="20"/>
                <w:vertAlign w:val="superscript"/>
              </w:rPr>
              <w:t>(ii)</w:t>
            </w:r>
          </w:p>
        </w:tc>
        <w:tc>
          <w:tcPr>
            <w:tcW w:w="1464" w:type="dxa"/>
          </w:tcPr>
          <w:p w14:paraId="7C969606" w14:textId="77777777" w:rsidR="006F129D" w:rsidRPr="004E4188" w:rsidRDefault="006F129D" w:rsidP="00DC1BC1">
            <w:pPr>
              <w:spacing w:before="60"/>
              <w:jc w:val="center"/>
              <w:rPr>
                <w:rFonts w:ascii="Arial" w:hAnsi="Arial" w:cs="Arial"/>
                <w:sz w:val="20"/>
              </w:rPr>
            </w:pPr>
            <w:r w:rsidRPr="004E4188">
              <w:rPr>
                <w:rFonts w:ascii="Arial" w:hAnsi="Arial" w:cs="Arial"/>
                <w:sz w:val="20"/>
              </w:rPr>
              <w:t>Sans objet</w:t>
            </w:r>
          </w:p>
        </w:tc>
        <w:tc>
          <w:tcPr>
            <w:tcW w:w="1465" w:type="dxa"/>
          </w:tcPr>
          <w:p w14:paraId="380658EB" w14:textId="77777777" w:rsidR="006F129D" w:rsidRPr="004E4188" w:rsidRDefault="006F129D" w:rsidP="00DC1BC1">
            <w:pPr>
              <w:spacing w:before="60"/>
              <w:jc w:val="center"/>
              <w:rPr>
                <w:rFonts w:ascii="Arial" w:hAnsi="Arial" w:cs="Arial"/>
                <w:sz w:val="20"/>
              </w:rPr>
            </w:pPr>
            <w:r w:rsidRPr="004E4188">
              <w:rPr>
                <w:rFonts w:ascii="Arial" w:hAnsi="Arial" w:cs="Arial"/>
                <w:sz w:val="20"/>
              </w:rPr>
              <w:t>Doit satisfaire au critère</w:t>
            </w:r>
          </w:p>
          <w:p w14:paraId="668E0935" w14:textId="77777777" w:rsidR="006F129D" w:rsidRPr="004E4188" w:rsidRDefault="006F129D" w:rsidP="00DC1BC1">
            <w:pPr>
              <w:jc w:val="center"/>
              <w:rPr>
                <w:rFonts w:ascii="Arial" w:hAnsi="Arial" w:cs="Arial"/>
                <w:sz w:val="20"/>
              </w:rPr>
            </w:pPr>
            <w:r w:rsidRPr="004E4188">
              <w:rPr>
                <w:rFonts w:ascii="Arial" w:hAnsi="Arial" w:cs="Arial"/>
                <w:sz w:val="20"/>
                <w:vertAlign w:val="superscript"/>
              </w:rPr>
              <w:t>(ii)</w:t>
            </w:r>
          </w:p>
        </w:tc>
        <w:tc>
          <w:tcPr>
            <w:tcW w:w="1465" w:type="dxa"/>
          </w:tcPr>
          <w:p w14:paraId="72042E49" w14:textId="77777777" w:rsidR="006F129D" w:rsidRPr="004E4188" w:rsidRDefault="006F129D" w:rsidP="00DC1BC1">
            <w:pPr>
              <w:spacing w:before="60"/>
              <w:jc w:val="center"/>
              <w:rPr>
                <w:rFonts w:ascii="Arial" w:hAnsi="Arial" w:cs="Arial"/>
                <w:sz w:val="20"/>
              </w:rPr>
            </w:pPr>
            <w:r w:rsidRPr="004E4188">
              <w:rPr>
                <w:rFonts w:ascii="Arial" w:hAnsi="Arial" w:cs="Arial"/>
                <w:sz w:val="20"/>
              </w:rPr>
              <w:t>Sans objet</w:t>
            </w:r>
          </w:p>
        </w:tc>
        <w:tc>
          <w:tcPr>
            <w:tcW w:w="1730" w:type="dxa"/>
          </w:tcPr>
          <w:p w14:paraId="2570A646" w14:textId="77777777" w:rsidR="006F129D" w:rsidRPr="004E4188" w:rsidRDefault="006F129D" w:rsidP="00DC1BC1">
            <w:pPr>
              <w:spacing w:before="60"/>
              <w:rPr>
                <w:rFonts w:ascii="Arial" w:hAnsi="Arial" w:cs="Arial"/>
                <w:sz w:val="20"/>
              </w:rPr>
            </w:pPr>
            <w:r w:rsidRPr="004E4188">
              <w:rPr>
                <w:rFonts w:ascii="Arial" w:hAnsi="Arial" w:cs="Arial"/>
                <w:sz w:val="20"/>
              </w:rPr>
              <w:t>Formulaire CON</w:t>
            </w:r>
          </w:p>
        </w:tc>
      </w:tr>
      <w:tr w:rsidR="006F129D" w:rsidRPr="004E4188" w14:paraId="03530029" w14:textId="77777777" w:rsidTr="000B0DCD">
        <w:tc>
          <w:tcPr>
            <w:tcW w:w="13462" w:type="dxa"/>
            <w:gridSpan w:val="8"/>
          </w:tcPr>
          <w:p w14:paraId="51C16DA7" w14:textId="77777777" w:rsidR="006F129D" w:rsidRPr="004E4188" w:rsidRDefault="006F129D" w:rsidP="007B0B65">
            <w:pPr>
              <w:spacing w:afterLines="50" w:after="120"/>
              <w:rPr>
                <w:rFonts w:ascii="Arial" w:hAnsi="Arial" w:cs="Arial"/>
                <w:sz w:val="20"/>
                <w:u w:val="single"/>
                <w:lang w:eastAsia="ja-JP"/>
              </w:rPr>
            </w:pPr>
            <w:r w:rsidRPr="004E4188">
              <w:rPr>
                <w:rFonts w:ascii="Arial" w:hAnsi="Arial" w:cs="Arial"/>
                <w:sz w:val="20"/>
                <w:u w:val="single"/>
                <w:lang w:eastAsia="ja-JP"/>
              </w:rPr>
              <w:t>Notes à l’intention des Soumissionnaires</w:t>
            </w:r>
          </w:p>
          <w:p w14:paraId="04988DE4" w14:textId="77777777" w:rsidR="006F129D" w:rsidRPr="004E4188" w:rsidRDefault="006F129D" w:rsidP="00481109">
            <w:pPr>
              <w:spacing w:afterLines="50" w:after="120"/>
              <w:ind w:left="340" w:hanging="340"/>
              <w:rPr>
                <w:rFonts w:ascii="Arial" w:hAnsi="Arial" w:cs="Arial"/>
                <w:sz w:val="20"/>
              </w:rPr>
            </w:pPr>
            <w:r w:rsidRPr="004E4188">
              <w:rPr>
                <w:rFonts w:ascii="Arial" w:hAnsi="Arial" w:cs="Arial"/>
                <w:sz w:val="20"/>
                <w:lang w:eastAsia="ja-JP"/>
              </w:rPr>
              <w:t>(i)</w:t>
            </w:r>
            <w:r w:rsidRPr="004E4188">
              <w:rPr>
                <w:rFonts w:ascii="Arial" w:hAnsi="Arial" w:cs="Arial"/>
                <w:sz w:val="20"/>
                <w:lang w:eastAsia="ja-JP"/>
              </w:rPr>
              <w:tab/>
              <w:t>L</w:t>
            </w:r>
            <w:r w:rsidRPr="004E4188">
              <w:rPr>
                <w:rFonts w:ascii="Arial" w:hAnsi="Arial" w:cs="Arial"/>
                <w:sz w:val="20"/>
              </w:rPr>
              <w:t>a non-exécution, telle que décidée par le Maître d’ouvrage, comprendra tous les marchés :</w:t>
            </w:r>
          </w:p>
          <w:p w14:paraId="6B881EB8" w14:textId="77777777" w:rsidR="006F129D" w:rsidRPr="004E4188" w:rsidRDefault="006F129D" w:rsidP="00481109">
            <w:pPr>
              <w:tabs>
                <w:tab w:val="left" w:pos="1026"/>
              </w:tabs>
              <w:spacing w:afterLines="50" w:after="120"/>
              <w:ind w:left="680" w:hanging="340"/>
              <w:rPr>
                <w:rFonts w:ascii="Arial" w:hAnsi="Arial" w:cs="Arial"/>
                <w:sz w:val="20"/>
              </w:rPr>
            </w:pPr>
            <w:r w:rsidRPr="004E4188">
              <w:rPr>
                <w:rFonts w:ascii="Arial" w:hAnsi="Arial" w:cs="Arial"/>
                <w:sz w:val="20"/>
              </w:rPr>
              <w:t>(a)</w:t>
            </w:r>
            <w:r w:rsidRPr="004E4188">
              <w:rPr>
                <w:rFonts w:ascii="Arial" w:hAnsi="Arial" w:cs="Arial"/>
                <w:sz w:val="20"/>
              </w:rPr>
              <w:tab/>
              <w:t>dont la non-exécution n’a pas été contestée par l’entrepreneur, y compris par renvoi au mécanisme de résolution des litiges prescrit dans le marché concerné, et</w:t>
            </w:r>
          </w:p>
          <w:p w14:paraId="600F7034" w14:textId="77777777" w:rsidR="006F129D" w:rsidRPr="004E4188" w:rsidRDefault="006F129D" w:rsidP="00481109">
            <w:pPr>
              <w:tabs>
                <w:tab w:val="left" w:pos="1026"/>
              </w:tabs>
              <w:spacing w:afterLines="50" w:after="120"/>
              <w:ind w:left="680" w:hanging="340"/>
              <w:rPr>
                <w:rFonts w:ascii="Arial" w:hAnsi="Arial" w:cs="Arial"/>
                <w:sz w:val="20"/>
              </w:rPr>
            </w:pPr>
            <w:r w:rsidRPr="004E4188">
              <w:rPr>
                <w:rFonts w:ascii="Arial" w:hAnsi="Arial" w:cs="Arial"/>
                <w:sz w:val="20"/>
              </w:rPr>
              <w:t>(b)</w:t>
            </w:r>
            <w:r w:rsidRPr="004E4188">
              <w:rPr>
                <w:rFonts w:ascii="Arial" w:hAnsi="Arial" w:cs="Arial"/>
                <w:sz w:val="20"/>
              </w:rPr>
              <w:tab/>
              <w:t xml:space="preserve">dont la non-exécution a été contestée par l’entrepreneur, mais où le litige a été résolu contre l’entrepreneur. </w:t>
            </w:r>
          </w:p>
          <w:p w14:paraId="4B50625E" w14:textId="77777777" w:rsidR="006F129D" w:rsidRPr="004E4188" w:rsidRDefault="006F129D" w:rsidP="00481109">
            <w:pPr>
              <w:tabs>
                <w:tab w:val="left" w:pos="601"/>
              </w:tabs>
              <w:spacing w:afterLines="50" w:after="120"/>
              <w:ind w:left="340" w:firstLineChars="3" w:firstLine="6"/>
              <w:rPr>
                <w:rFonts w:ascii="Arial" w:hAnsi="Arial" w:cs="Arial"/>
                <w:sz w:val="20"/>
              </w:rPr>
            </w:pPr>
            <w:r w:rsidRPr="004E4188">
              <w:rPr>
                <w:rFonts w:ascii="Arial" w:hAnsi="Arial" w:cs="Arial"/>
                <w:sz w:val="20"/>
              </w:rPr>
              <w:t>La non-exécution ne doit pas inclure les marchés pour lesquels la décision du maître d’ouvrage a été annulée par le mécanisme de résolution des litiges. La décision de non-exécution doit être basée sur toutes les informations sur les disputes ou litiges complètement réglés, c.-à-d. les disputes ou litiges qui ont été résolus conformément au mécanisme de résolution des litiges prescrit dans le marché concerné et lorsque tous les recours en instance à la disposition du Soumissionnaire ont été épuisés.</w:t>
            </w:r>
          </w:p>
          <w:p w14:paraId="65DA8411" w14:textId="77777777" w:rsidR="006F129D" w:rsidRPr="004E4188" w:rsidRDefault="006F129D" w:rsidP="00481109">
            <w:pPr>
              <w:spacing w:afterLines="50" w:after="120"/>
              <w:ind w:left="340" w:hanging="340"/>
              <w:rPr>
                <w:rFonts w:ascii="Arial" w:hAnsi="Arial" w:cs="Arial"/>
                <w:sz w:val="20"/>
              </w:rPr>
            </w:pPr>
            <w:r w:rsidRPr="004E4188">
              <w:rPr>
                <w:rFonts w:ascii="Arial" w:hAnsi="Arial" w:cs="Arial"/>
                <w:sz w:val="20"/>
              </w:rPr>
              <w:t>(ii)</w:t>
            </w:r>
            <w:r w:rsidRPr="004E4188">
              <w:rPr>
                <w:rFonts w:ascii="Arial" w:hAnsi="Arial" w:cs="Arial"/>
                <w:sz w:val="20"/>
              </w:rPr>
              <w:tab/>
              <w:t>Ce critère s’applique également aux marchés exécutés par le Soumissionnaire en tant que Groupement.</w:t>
            </w:r>
          </w:p>
          <w:p w14:paraId="0B096ACD" w14:textId="333E4466" w:rsidR="006F129D" w:rsidRPr="004E4188" w:rsidRDefault="006F129D" w:rsidP="00D45EAD">
            <w:pPr>
              <w:spacing w:afterLines="50" w:after="120"/>
              <w:ind w:left="340" w:hanging="340"/>
              <w:rPr>
                <w:rFonts w:ascii="Arial" w:hAnsi="Arial" w:cs="Arial"/>
                <w:sz w:val="20"/>
              </w:rPr>
            </w:pPr>
            <w:r w:rsidRPr="004E4188">
              <w:rPr>
                <w:rFonts w:ascii="Arial" w:hAnsi="Arial" w:cs="Arial"/>
                <w:sz w:val="20"/>
              </w:rPr>
              <w:t>(iii)</w:t>
            </w:r>
            <w:r w:rsidRPr="004E4188">
              <w:rPr>
                <w:rFonts w:ascii="Arial" w:hAnsi="Arial" w:cs="Arial"/>
                <w:sz w:val="20"/>
              </w:rPr>
              <w:tab/>
              <w:t>Le Soumissionnaire doit fournir des informations exactes dans le formulaire de soumission concerné</w:t>
            </w:r>
            <w:r w:rsidRPr="004E4188" w:rsidDel="008C6443">
              <w:rPr>
                <w:rFonts w:ascii="Arial" w:hAnsi="Arial" w:cs="Arial"/>
                <w:sz w:val="20"/>
              </w:rPr>
              <w:t xml:space="preserve"> </w:t>
            </w:r>
            <w:r w:rsidRPr="004E4188">
              <w:rPr>
                <w:rFonts w:ascii="Arial" w:hAnsi="Arial" w:cs="Arial"/>
                <w:sz w:val="20"/>
              </w:rPr>
              <w:t>sur tout litige lié à des marchés</w:t>
            </w:r>
            <w:r w:rsidRPr="004E4188">
              <w:rPr>
                <w:rFonts w:ascii="Arial" w:hAnsi="Arial" w:cs="Arial"/>
                <w:sz w:val="20"/>
                <w:lang w:eastAsia="ja-JP"/>
              </w:rPr>
              <w:t xml:space="preserve"> complétés ou en cours de réalisation pour les cinq (5) dernières années. Des antécédents continus d’ordonnances judiciaires rendues contre le Soumissionnaire ou tout membre du Groupement pourront entraîner le rejet de l’offre.</w:t>
            </w:r>
          </w:p>
        </w:tc>
      </w:tr>
      <w:tr w:rsidR="006F129D" w:rsidRPr="004E4188" w14:paraId="556AF19F" w14:textId="77777777" w:rsidTr="000B0DCD">
        <w:tc>
          <w:tcPr>
            <w:tcW w:w="13462" w:type="dxa"/>
            <w:gridSpan w:val="8"/>
          </w:tcPr>
          <w:p w14:paraId="2239D586" w14:textId="77777777" w:rsidR="006F129D" w:rsidRPr="004E4188" w:rsidRDefault="006F129D" w:rsidP="007B0B65">
            <w:pPr>
              <w:spacing w:afterLines="50" w:after="120"/>
              <w:rPr>
                <w:rFonts w:ascii="Arial" w:hAnsi="Arial" w:cs="Arial"/>
                <w:i/>
                <w:sz w:val="20"/>
                <w:u w:val="single"/>
                <w:lang w:eastAsia="ja-JP"/>
              </w:rPr>
            </w:pPr>
            <w:r w:rsidRPr="004E4188">
              <w:rPr>
                <w:rFonts w:ascii="Arial" w:hAnsi="Arial" w:cs="Arial"/>
                <w:i/>
                <w:sz w:val="20"/>
                <w:u w:val="single"/>
                <w:lang w:eastAsia="ja-JP"/>
              </w:rPr>
              <w:t>Notes à l’intention du Maître d’ouvrage</w:t>
            </w:r>
          </w:p>
          <w:p w14:paraId="1FC14B1A" w14:textId="495CC18F" w:rsidR="006F129D" w:rsidRPr="004E4188" w:rsidRDefault="006F129D" w:rsidP="00317DC2">
            <w:pPr>
              <w:tabs>
                <w:tab w:val="left" w:pos="340"/>
              </w:tabs>
              <w:spacing w:afterLines="50" w:after="120"/>
              <w:ind w:left="340" w:hanging="340"/>
              <w:rPr>
                <w:rFonts w:ascii="Arial" w:hAnsi="Arial" w:cs="Arial"/>
                <w:i/>
                <w:sz w:val="20"/>
                <w:lang w:eastAsia="ja-JP"/>
              </w:rPr>
            </w:pPr>
            <w:r w:rsidRPr="004E4188">
              <w:rPr>
                <w:rFonts w:ascii="Arial" w:hAnsi="Arial" w:cs="Arial"/>
                <w:i/>
                <w:sz w:val="20"/>
                <w:lang w:eastAsia="ja-JP"/>
              </w:rPr>
              <w:t>1.</w:t>
            </w:r>
            <w:r w:rsidRPr="004E4188">
              <w:rPr>
                <w:rFonts w:ascii="Arial" w:hAnsi="Arial" w:cs="Arial"/>
                <w:i/>
                <w:sz w:val="20"/>
                <w:lang w:eastAsia="ja-JP"/>
              </w:rPr>
              <w:tab/>
              <w:t xml:space="preserve">L’année devra normalement correspondre à cinq (5) ans avant la date limite de </w:t>
            </w:r>
            <w:r w:rsidR="00317DC2" w:rsidRPr="004E4188">
              <w:rPr>
                <w:rFonts w:ascii="Arial" w:hAnsi="Arial" w:cs="Arial"/>
                <w:i/>
                <w:sz w:val="20"/>
                <w:lang w:eastAsia="ja-JP"/>
              </w:rPr>
              <w:t xml:space="preserve">remise </w:t>
            </w:r>
            <w:r w:rsidRPr="004E4188">
              <w:rPr>
                <w:rFonts w:ascii="Arial" w:hAnsi="Arial" w:cs="Arial"/>
                <w:i/>
                <w:sz w:val="20"/>
                <w:lang w:eastAsia="ja-JP"/>
              </w:rPr>
              <w:t>des offres.</w:t>
            </w:r>
          </w:p>
        </w:tc>
      </w:tr>
    </w:tbl>
    <w:p w14:paraId="02C43E0D" w14:textId="77777777" w:rsidR="006F129D" w:rsidRPr="004E4188" w:rsidRDefault="006F129D" w:rsidP="00025BE1">
      <w:pPr>
        <w:rPr>
          <w:b/>
          <w:sz w:val="16"/>
          <w:szCs w:val="16"/>
          <w:lang w:eastAsia="ja-JP"/>
        </w:rPr>
      </w:pPr>
      <w:r w:rsidRPr="004E4188">
        <w:rPr>
          <w:szCs w:val="24"/>
          <w:lang w:eastAsia="ja-JP"/>
        </w:rPr>
        <w:br w:type="page"/>
      </w:r>
    </w:p>
    <w:p w14:paraId="3D8D31AB" w14:textId="77777777" w:rsidR="006F129D" w:rsidRPr="004E4188" w:rsidRDefault="006F129D" w:rsidP="003D46CF">
      <w:pPr>
        <w:pStyle w:val="ListParagraph1"/>
        <w:numPr>
          <w:ilvl w:val="1"/>
          <w:numId w:val="38"/>
        </w:numPr>
        <w:snapToGrid w:val="0"/>
        <w:spacing w:after="240"/>
        <w:ind w:left="0" w:firstLine="0"/>
        <w:contextualSpacing w:val="0"/>
        <w:jc w:val="left"/>
        <w:rPr>
          <w:b/>
          <w:sz w:val="28"/>
          <w:szCs w:val="28"/>
          <w:lang w:val="fr-FR"/>
        </w:rPr>
      </w:pPr>
      <w:r w:rsidRPr="004E4188">
        <w:rPr>
          <w:b/>
          <w:sz w:val="28"/>
          <w:szCs w:val="28"/>
        </w:rPr>
        <w:t>Situation</w:t>
      </w:r>
      <w:r w:rsidRPr="004E4188">
        <w:rPr>
          <w:b/>
          <w:sz w:val="28"/>
          <w:szCs w:val="28"/>
          <w:lang w:val="fr-FR" w:eastAsia="ja-JP"/>
        </w:rPr>
        <w:t xml:space="preserve"> </w:t>
      </w:r>
      <w:r w:rsidRPr="004E4188">
        <w:rPr>
          <w:b/>
          <w:sz w:val="28"/>
          <w:szCs w:val="28"/>
          <w:lang w:val="fr-FR"/>
        </w:rPr>
        <w:t>et capacités financières</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7"/>
        <w:gridCol w:w="3513"/>
        <w:gridCol w:w="1560"/>
        <w:gridCol w:w="1453"/>
        <w:gridCol w:w="1453"/>
        <w:gridCol w:w="1453"/>
        <w:gridCol w:w="1765"/>
      </w:tblGrid>
      <w:tr w:rsidR="009B4D94" w:rsidRPr="004E4188" w14:paraId="378F2F94" w14:textId="77777777" w:rsidTr="000B0DCD">
        <w:trPr>
          <w:tblHeader/>
        </w:trPr>
        <w:tc>
          <w:tcPr>
            <w:tcW w:w="5778" w:type="dxa"/>
            <w:gridSpan w:val="3"/>
            <w:tcBorders>
              <w:bottom w:val="single" w:sz="4" w:space="0" w:color="auto"/>
            </w:tcBorders>
            <w:shd w:val="clear" w:color="auto" w:fill="000000" w:themeFill="text1"/>
            <w:vAlign w:val="center"/>
          </w:tcPr>
          <w:p w14:paraId="6CB748C2" w14:textId="27E1F4E0" w:rsidR="009B4D94" w:rsidRPr="004E4188" w:rsidRDefault="009B4D94" w:rsidP="009B4D94">
            <w:pPr>
              <w:jc w:val="center"/>
              <w:rPr>
                <w:rFonts w:ascii="Arial" w:hAnsi="Arial" w:cs="Arial"/>
                <w:b/>
              </w:rPr>
            </w:pPr>
            <w:r w:rsidRPr="004E4188">
              <w:rPr>
                <w:rFonts w:ascii="Arial" w:hAnsi="Arial" w:cs="Arial"/>
                <w:b/>
                <w:color w:val="FFFFFF"/>
                <w:sz w:val="20"/>
              </w:rPr>
              <w:t>Critères d’éligibilité et de qualification</w:t>
            </w:r>
          </w:p>
        </w:tc>
        <w:tc>
          <w:tcPr>
            <w:tcW w:w="5919" w:type="dxa"/>
            <w:gridSpan w:val="4"/>
            <w:tcBorders>
              <w:bottom w:val="single" w:sz="4" w:space="0" w:color="auto"/>
            </w:tcBorders>
            <w:shd w:val="clear" w:color="auto" w:fill="000000" w:themeFill="text1"/>
            <w:vAlign w:val="center"/>
          </w:tcPr>
          <w:p w14:paraId="4E6F30F0" w14:textId="09F39E97" w:rsidR="009B4D94" w:rsidRPr="004E4188" w:rsidRDefault="009B4D94" w:rsidP="009B4D94">
            <w:pPr>
              <w:jc w:val="center"/>
              <w:rPr>
                <w:rFonts w:ascii="Arial" w:hAnsi="Arial" w:cs="Arial"/>
                <w:b/>
              </w:rPr>
            </w:pPr>
            <w:r w:rsidRPr="004E4188">
              <w:rPr>
                <w:rFonts w:ascii="Arial" w:hAnsi="Arial" w:cs="Arial"/>
                <w:b/>
                <w:color w:val="FFFFFF"/>
                <w:sz w:val="20"/>
              </w:rPr>
              <w:t>Conditions de conformité</w:t>
            </w:r>
          </w:p>
        </w:tc>
        <w:tc>
          <w:tcPr>
            <w:tcW w:w="1765" w:type="dxa"/>
            <w:tcBorders>
              <w:bottom w:val="single" w:sz="4" w:space="0" w:color="auto"/>
            </w:tcBorders>
            <w:shd w:val="clear" w:color="auto" w:fill="000000" w:themeFill="text1"/>
            <w:vAlign w:val="center"/>
          </w:tcPr>
          <w:p w14:paraId="1AB547C6" w14:textId="446DD3E0" w:rsidR="009B4D94" w:rsidRPr="004E4188" w:rsidRDefault="009B4D94" w:rsidP="009B4D94">
            <w:pPr>
              <w:jc w:val="center"/>
              <w:rPr>
                <w:rFonts w:ascii="Arial" w:hAnsi="Arial" w:cs="Arial"/>
                <w:b/>
              </w:rPr>
            </w:pPr>
            <w:r w:rsidRPr="004E4188">
              <w:rPr>
                <w:rFonts w:ascii="Arial" w:hAnsi="Arial" w:cs="Arial"/>
                <w:b/>
                <w:color w:val="FFFFFF"/>
                <w:sz w:val="20"/>
              </w:rPr>
              <w:t>Documentation</w:t>
            </w:r>
          </w:p>
        </w:tc>
      </w:tr>
      <w:tr w:rsidR="006F129D" w:rsidRPr="004E4188" w14:paraId="2DFE5BA2" w14:textId="77777777" w:rsidTr="000B0DCD">
        <w:trPr>
          <w:trHeight w:val="300"/>
          <w:tblHeader/>
        </w:trPr>
        <w:tc>
          <w:tcPr>
            <w:tcW w:w="708" w:type="dxa"/>
            <w:vMerge w:val="restart"/>
            <w:shd w:val="clear" w:color="auto" w:fill="BFBFBF" w:themeFill="background1" w:themeFillShade="BF"/>
            <w:vAlign w:val="center"/>
          </w:tcPr>
          <w:p w14:paraId="0B210088" w14:textId="77777777" w:rsidR="006F129D" w:rsidRPr="004E4188" w:rsidRDefault="006F129D" w:rsidP="007B0B65">
            <w:pPr>
              <w:jc w:val="center"/>
              <w:rPr>
                <w:rFonts w:ascii="Arial" w:hAnsi="Arial" w:cs="Arial"/>
                <w:b/>
                <w:sz w:val="20"/>
              </w:rPr>
            </w:pPr>
            <w:r w:rsidRPr="004E4188">
              <w:rPr>
                <w:rFonts w:ascii="Arial" w:hAnsi="Arial" w:cs="Arial"/>
                <w:b/>
                <w:sz w:val="20"/>
              </w:rPr>
              <w:t>n</w:t>
            </w:r>
            <w:r w:rsidRPr="004E4188">
              <w:rPr>
                <w:rFonts w:ascii="Arial" w:hAnsi="Arial" w:cs="Arial"/>
                <w:b/>
                <w:sz w:val="20"/>
                <w:vertAlign w:val="superscript"/>
              </w:rPr>
              <w:t>o</w:t>
            </w:r>
          </w:p>
        </w:tc>
        <w:tc>
          <w:tcPr>
            <w:tcW w:w="1557" w:type="dxa"/>
            <w:vMerge w:val="restart"/>
            <w:shd w:val="clear" w:color="auto" w:fill="BFBFBF" w:themeFill="background1" w:themeFillShade="BF"/>
            <w:vAlign w:val="center"/>
          </w:tcPr>
          <w:p w14:paraId="0C1E2AFD" w14:textId="77777777" w:rsidR="006F129D" w:rsidRPr="004E4188" w:rsidRDefault="006F129D" w:rsidP="007B0B65">
            <w:pPr>
              <w:jc w:val="center"/>
              <w:rPr>
                <w:rFonts w:ascii="Arial" w:hAnsi="Arial" w:cs="Arial"/>
                <w:b/>
                <w:sz w:val="20"/>
              </w:rPr>
            </w:pPr>
            <w:r w:rsidRPr="004E4188">
              <w:rPr>
                <w:rFonts w:ascii="Arial" w:hAnsi="Arial" w:cs="Arial"/>
                <w:b/>
                <w:sz w:val="20"/>
              </w:rPr>
              <w:t>Critère</w:t>
            </w:r>
          </w:p>
        </w:tc>
        <w:tc>
          <w:tcPr>
            <w:tcW w:w="3513" w:type="dxa"/>
            <w:vMerge w:val="restart"/>
            <w:shd w:val="clear" w:color="auto" w:fill="BFBFBF" w:themeFill="background1" w:themeFillShade="BF"/>
            <w:vAlign w:val="center"/>
          </w:tcPr>
          <w:p w14:paraId="7C63ED9E" w14:textId="77777777" w:rsidR="006F129D" w:rsidRPr="004E4188" w:rsidRDefault="006F129D" w:rsidP="007B0B65">
            <w:pPr>
              <w:jc w:val="center"/>
              <w:rPr>
                <w:rFonts w:ascii="Arial" w:hAnsi="Arial" w:cs="Arial"/>
                <w:b/>
                <w:sz w:val="20"/>
              </w:rPr>
            </w:pPr>
            <w:r w:rsidRPr="004E4188">
              <w:rPr>
                <w:rFonts w:ascii="Arial" w:hAnsi="Arial" w:cs="Arial"/>
                <w:b/>
                <w:sz w:val="20"/>
              </w:rPr>
              <w:t>Spécification</w:t>
            </w:r>
          </w:p>
        </w:tc>
        <w:tc>
          <w:tcPr>
            <w:tcW w:w="1560" w:type="dxa"/>
            <w:vMerge w:val="restart"/>
            <w:shd w:val="clear" w:color="auto" w:fill="BFBFBF" w:themeFill="background1" w:themeFillShade="BF"/>
            <w:vAlign w:val="center"/>
          </w:tcPr>
          <w:p w14:paraId="209FD211" w14:textId="77777777" w:rsidR="006F129D" w:rsidRPr="004E4188" w:rsidRDefault="006F129D" w:rsidP="00D45EAD">
            <w:pPr>
              <w:jc w:val="center"/>
              <w:rPr>
                <w:rFonts w:ascii="Arial" w:hAnsi="Arial" w:cs="Arial"/>
                <w:b/>
                <w:sz w:val="20"/>
              </w:rPr>
            </w:pPr>
            <w:r w:rsidRPr="004E4188">
              <w:rPr>
                <w:rFonts w:ascii="Arial" w:hAnsi="Arial" w:cs="Arial"/>
                <w:b/>
                <w:sz w:val="20"/>
              </w:rPr>
              <w:t>Entreprise unique</w:t>
            </w:r>
          </w:p>
        </w:tc>
        <w:tc>
          <w:tcPr>
            <w:tcW w:w="4359" w:type="dxa"/>
            <w:gridSpan w:val="3"/>
            <w:shd w:val="clear" w:color="auto" w:fill="BFBFBF" w:themeFill="background1" w:themeFillShade="BF"/>
            <w:vAlign w:val="center"/>
          </w:tcPr>
          <w:p w14:paraId="055D794E" w14:textId="44F21140" w:rsidR="009B4D94" w:rsidRPr="004E4188" w:rsidRDefault="009B4D94" w:rsidP="007B0B65">
            <w:pPr>
              <w:jc w:val="center"/>
              <w:rPr>
                <w:rFonts w:ascii="Arial" w:hAnsi="Arial" w:cs="Arial"/>
                <w:b/>
                <w:sz w:val="20"/>
              </w:rPr>
            </w:pPr>
            <w:r w:rsidRPr="004E4188">
              <w:rPr>
                <w:rFonts w:ascii="Arial" w:hAnsi="Arial" w:cs="Arial"/>
                <w:b/>
                <w:sz w:val="20"/>
              </w:rPr>
              <w:t>Groupement</w:t>
            </w:r>
          </w:p>
          <w:p w14:paraId="2E4A9FD5" w14:textId="6E0361BA" w:rsidR="006F129D" w:rsidRPr="004E4188" w:rsidRDefault="006F129D" w:rsidP="007B0B65">
            <w:pPr>
              <w:jc w:val="center"/>
              <w:rPr>
                <w:rFonts w:ascii="Arial" w:hAnsi="Arial" w:cs="Arial"/>
                <w:b/>
                <w:sz w:val="20"/>
              </w:rPr>
            </w:pPr>
            <w:r w:rsidRPr="004E4188">
              <w:rPr>
                <w:rFonts w:ascii="Arial" w:hAnsi="Arial" w:cs="Arial"/>
                <w:b/>
                <w:sz w:val="20"/>
              </w:rPr>
              <w:t>(existant ou prévu)</w:t>
            </w:r>
          </w:p>
        </w:tc>
        <w:tc>
          <w:tcPr>
            <w:tcW w:w="1765" w:type="dxa"/>
            <w:vMerge w:val="restart"/>
            <w:shd w:val="clear" w:color="auto" w:fill="BFBFBF" w:themeFill="background1" w:themeFillShade="BF"/>
            <w:vAlign w:val="center"/>
          </w:tcPr>
          <w:p w14:paraId="7FE2770E" w14:textId="77777777" w:rsidR="006F129D" w:rsidRPr="004E4188" w:rsidRDefault="006F129D" w:rsidP="007B0B65">
            <w:pPr>
              <w:jc w:val="center"/>
              <w:rPr>
                <w:rFonts w:ascii="Arial" w:hAnsi="Arial" w:cs="Arial"/>
                <w:b/>
                <w:sz w:val="20"/>
              </w:rPr>
            </w:pPr>
            <w:r w:rsidRPr="004E4188">
              <w:rPr>
                <w:rFonts w:ascii="Arial" w:hAnsi="Arial" w:cs="Arial"/>
                <w:b/>
                <w:sz w:val="20"/>
              </w:rPr>
              <w:t>Spécifications de soumission</w:t>
            </w:r>
          </w:p>
        </w:tc>
      </w:tr>
      <w:tr w:rsidR="006F129D" w:rsidRPr="004E4188" w14:paraId="488B7911" w14:textId="77777777" w:rsidTr="000B0DCD">
        <w:trPr>
          <w:trHeight w:val="360"/>
          <w:tblHeader/>
        </w:trPr>
        <w:tc>
          <w:tcPr>
            <w:tcW w:w="708" w:type="dxa"/>
            <w:vMerge/>
            <w:shd w:val="clear" w:color="auto" w:fill="BFBFBF" w:themeFill="background1" w:themeFillShade="BF"/>
            <w:vAlign w:val="center"/>
          </w:tcPr>
          <w:p w14:paraId="120E1FF5" w14:textId="77777777" w:rsidR="006F129D" w:rsidRPr="004E4188" w:rsidRDefault="006F129D" w:rsidP="007B0B65">
            <w:pPr>
              <w:jc w:val="center"/>
              <w:rPr>
                <w:rFonts w:ascii="Arial" w:hAnsi="Arial" w:cs="Arial"/>
                <w:sz w:val="18"/>
                <w:szCs w:val="18"/>
              </w:rPr>
            </w:pPr>
          </w:p>
        </w:tc>
        <w:tc>
          <w:tcPr>
            <w:tcW w:w="1557" w:type="dxa"/>
            <w:vMerge/>
            <w:shd w:val="clear" w:color="auto" w:fill="BFBFBF" w:themeFill="background1" w:themeFillShade="BF"/>
            <w:vAlign w:val="center"/>
          </w:tcPr>
          <w:p w14:paraId="42ECC622" w14:textId="77777777" w:rsidR="006F129D" w:rsidRPr="004E4188" w:rsidRDefault="006F129D" w:rsidP="007B0B65">
            <w:pPr>
              <w:jc w:val="center"/>
              <w:rPr>
                <w:rFonts w:ascii="Arial" w:hAnsi="Arial" w:cs="Arial"/>
                <w:sz w:val="18"/>
                <w:szCs w:val="18"/>
              </w:rPr>
            </w:pPr>
          </w:p>
        </w:tc>
        <w:tc>
          <w:tcPr>
            <w:tcW w:w="3513" w:type="dxa"/>
            <w:vMerge/>
            <w:shd w:val="clear" w:color="auto" w:fill="BFBFBF" w:themeFill="background1" w:themeFillShade="BF"/>
            <w:vAlign w:val="center"/>
          </w:tcPr>
          <w:p w14:paraId="1079CECF" w14:textId="77777777" w:rsidR="006F129D" w:rsidRPr="004E4188" w:rsidRDefault="006F129D" w:rsidP="007B0B65">
            <w:pPr>
              <w:jc w:val="center"/>
              <w:rPr>
                <w:rFonts w:ascii="Arial" w:hAnsi="Arial" w:cs="Arial"/>
                <w:sz w:val="18"/>
                <w:szCs w:val="18"/>
              </w:rPr>
            </w:pPr>
          </w:p>
        </w:tc>
        <w:tc>
          <w:tcPr>
            <w:tcW w:w="1560" w:type="dxa"/>
            <w:vMerge/>
            <w:shd w:val="clear" w:color="auto" w:fill="BFBFBF" w:themeFill="background1" w:themeFillShade="BF"/>
            <w:vAlign w:val="center"/>
          </w:tcPr>
          <w:p w14:paraId="2BFFA77A" w14:textId="77777777" w:rsidR="006F129D" w:rsidRPr="004E4188" w:rsidRDefault="006F129D" w:rsidP="007B0B65">
            <w:pPr>
              <w:jc w:val="center"/>
              <w:rPr>
                <w:rFonts w:ascii="Arial" w:hAnsi="Arial" w:cs="Arial"/>
                <w:sz w:val="18"/>
                <w:szCs w:val="18"/>
              </w:rPr>
            </w:pPr>
          </w:p>
        </w:tc>
        <w:tc>
          <w:tcPr>
            <w:tcW w:w="1453" w:type="dxa"/>
            <w:shd w:val="clear" w:color="auto" w:fill="BFBFBF" w:themeFill="background1" w:themeFillShade="BF"/>
            <w:vAlign w:val="center"/>
          </w:tcPr>
          <w:p w14:paraId="09C8C9B7" w14:textId="77777777" w:rsidR="006F129D" w:rsidRPr="004E4188" w:rsidRDefault="006F129D" w:rsidP="00D45EAD">
            <w:pPr>
              <w:jc w:val="center"/>
              <w:rPr>
                <w:rFonts w:ascii="Arial" w:hAnsi="Arial" w:cs="Arial"/>
                <w:b/>
                <w:sz w:val="20"/>
              </w:rPr>
            </w:pPr>
            <w:r w:rsidRPr="004E4188">
              <w:rPr>
                <w:rFonts w:ascii="Arial" w:hAnsi="Arial" w:cs="Arial"/>
                <w:b/>
                <w:sz w:val="20"/>
              </w:rPr>
              <w:t>Tous membres combinés</w:t>
            </w:r>
          </w:p>
        </w:tc>
        <w:tc>
          <w:tcPr>
            <w:tcW w:w="1453" w:type="dxa"/>
            <w:shd w:val="clear" w:color="auto" w:fill="BFBFBF" w:themeFill="background1" w:themeFillShade="BF"/>
            <w:vAlign w:val="center"/>
          </w:tcPr>
          <w:p w14:paraId="76EF3583" w14:textId="77777777" w:rsidR="006F129D" w:rsidRPr="004E4188" w:rsidRDefault="006F129D" w:rsidP="007B0B65">
            <w:pPr>
              <w:jc w:val="center"/>
              <w:rPr>
                <w:rFonts w:ascii="Arial" w:hAnsi="Arial" w:cs="Arial"/>
                <w:b/>
                <w:sz w:val="20"/>
              </w:rPr>
            </w:pPr>
            <w:r w:rsidRPr="004E4188">
              <w:rPr>
                <w:rFonts w:ascii="Arial" w:hAnsi="Arial" w:cs="Arial"/>
                <w:b/>
                <w:sz w:val="20"/>
              </w:rPr>
              <w:t>Chaque membre</w:t>
            </w:r>
          </w:p>
        </w:tc>
        <w:tc>
          <w:tcPr>
            <w:tcW w:w="1453" w:type="dxa"/>
            <w:shd w:val="clear" w:color="auto" w:fill="BFBFBF" w:themeFill="background1" w:themeFillShade="BF"/>
            <w:vAlign w:val="center"/>
          </w:tcPr>
          <w:p w14:paraId="51E4E018" w14:textId="77777777" w:rsidR="006F129D" w:rsidRPr="004E4188" w:rsidRDefault="006F129D" w:rsidP="007B0B65">
            <w:pPr>
              <w:jc w:val="center"/>
              <w:rPr>
                <w:rFonts w:ascii="Arial" w:hAnsi="Arial" w:cs="Arial"/>
                <w:b/>
                <w:sz w:val="20"/>
              </w:rPr>
            </w:pPr>
            <w:r w:rsidRPr="004E4188">
              <w:rPr>
                <w:rFonts w:ascii="Arial" w:hAnsi="Arial" w:cs="Arial"/>
                <w:b/>
                <w:sz w:val="20"/>
              </w:rPr>
              <w:t>Un membre</w:t>
            </w:r>
          </w:p>
        </w:tc>
        <w:tc>
          <w:tcPr>
            <w:tcW w:w="1765" w:type="dxa"/>
            <w:vMerge/>
            <w:shd w:val="clear" w:color="auto" w:fill="F3F3F3"/>
            <w:vAlign w:val="center"/>
          </w:tcPr>
          <w:p w14:paraId="5475DC26" w14:textId="77777777" w:rsidR="006F129D" w:rsidRPr="004E4188" w:rsidRDefault="006F129D" w:rsidP="007B0B65">
            <w:pPr>
              <w:jc w:val="center"/>
              <w:rPr>
                <w:rFonts w:ascii="Arial" w:hAnsi="Arial" w:cs="Arial"/>
                <w:sz w:val="18"/>
                <w:szCs w:val="18"/>
              </w:rPr>
            </w:pPr>
          </w:p>
        </w:tc>
      </w:tr>
      <w:tr w:rsidR="006F129D" w:rsidRPr="004E4188" w14:paraId="614557C8" w14:textId="77777777" w:rsidTr="000B0DCD">
        <w:trPr>
          <w:trHeight w:val="1920"/>
        </w:trPr>
        <w:tc>
          <w:tcPr>
            <w:tcW w:w="708" w:type="dxa"/>
          </w:tcPr>
          <w:p w14:paraId="29B06428" w14:textId="77777777" w:rsidR="006F129D" w:rsidRPr="004E4188" w:rsidRDefault="006F129D" w:rsidP="00DC1BC1">
            <w:pPr>
              <w:spacing w:before="60"/>
              <w:jc w:val="center"/>
              <w:rPr>
                <w:rFonts w:ascii="Arial" w:hAnsi="Arial" w:cs="Arial"/>
                <w:sz w:val="20"/>
              </w:rPr>
            </w:pPr>
            <w:r w:rsidRPr="004E4188">
              <w:rPr>
                <w:rFonts w:ascii="Arial" w:hAnsi="Arial" w:cs="Arial"/>
                <w:sz w:val="20"/>
              </w:rPr>
              <w:t>2.3.1</w:t>
            </w:r>
          </w:p>
        </w:tc>
        <w:tc>
          <w:tcPr>
            <w:tcW w:w="1557" w:type="dxa"/>
          </w:tcPr>
          <w:p w14:paraId="6EFF2A58" w14:textId="77777777" w:rsidR="006F129D" w:rsidRPr="004E4188" w:rsidRDefault="006F129D" w:rsidP="00DC1BC1">
            <w:pPr>
              <w:spacing w:before="60"/>
              <w:jc w:val="left"/>
              <w:rPr>
                <w:rFonts w:ascii="Arial" w:hAnsi="Arial" w:cs="Arial"/>
                <w:sz w:val="20"/>
              </w:rPr>
            </w:pPr>
            <w:r w:rsidRPr="004E4188">
              <w:rPr>
                <w:rFonts w:ascii="Arial" w:hAnsi="Arial" w:cs="Arial"/>
                <w:sz w:val="20"/>
              </w:rPr>
              <w:t xml:space="preserve">Situation financière </w:t>
            </w:r>
          </w:p>
        </w:tc>
        <w:tc>
          <w:tcPr>
            <w:tcW w:w="3513" w:type="dxa"/>
          </w:tcPr>
          <w:p w14:paraId="4E086DAD" w14:textId="77777777" w:rsidR="006F129D" w:rsidRPr="004E4188" w:rsidRDefault="006F129D" w:rsidP="00CF240A">
            <w:pPr>
              <w:spacing w:before="60" w:after="240"/>
              <w:rPr>
                <w:rFonts w:ascii="Arial" w:hAnsi="Arial" w:cs="Arial"/>
                <w:sz w:val="20"/>
                <w:lang w:eastAsia="ja-JP"/>
              </w:rPr>
            </w:pPr>
            <w:r w:rsidRPr="004E4188">
              <w:rPr>
                <w:rFonts w:ascii="Arial" w:hAnsi="Arial" w:cs="Arial"/>
                <w:sz w:val="20"/>
              </w:rPr>
              <w:t xml:space="preserve">Les états financiers pour les </w:t>
            </w:r>
            <w:r w:rsidRPr="004E4188">
              <w:rPr>
                <w:rFonts w:ascii="Arial" w:hAnsi="Arial" w:cs="Arial"/>
                <w:spacing w:val="-2"/>
                <w:sz w:val="20"/>
                <w:lang w:eastAsia="ja-JP"/>
              </w:rPr>
              <w:t>[</w:t>
            </w:r>
            <w:r w:rsidRPr="004E4188">
              <w:rPr>
                <w:rFonts w:ascii="Arial" w:hAnsi="Arial" w:cs="Arial"/>
                <w:i/>
                <w:spacing w:val="-2"/>
                <w:sz w:val="20"/>
                <w:lang w:eastAsia="ja-JP"/>
              </w:rPr>
              <w:t>indiquer le nombre d’années</w:t>
            </w:r>
            <w:r w:rsidRPr="004E4188">
              <w:rPr>
                <w:rFonts w:ascii="Arial" w:hAnsi="Arial" w:cs="Arial"/>
                <w:spacing w:val="-2"/>
                <w:sz w:val="20"/>
                <w:lang w:eastAsia="ja-JP"/>
              </w:rPr>
              <w:t>]</w:t>
            </w:r>
            <w:r w:rsidRPr="004E4188">
              <w:rPr>
                <w:rFonts w:ascii="Arial" w:hAnsi="Arial" w:cs="Arial"/>
                <w:spacing w:val="-2"/>
                <w:sz w:val="20"/>
                <w:vertAlign w:val="superscript"/>
                <w:lang w:eastAsia="ja-JP"/>
              </w:rPr>
              <w:t>1</w:t>
            </w:r>
            <w:r w:rsidRPr="004E4188">
              <w:rPr>
                <w:rFonts w:ascii="Arial" w:hAnsi="Arial" w:cs="Arial"/>
                <w:sz w:val="20"/>
              </w:rPr>
              <w:t xml:space="preserve"> dernières années doivent être remis et doivent démontrer la solidité actuelle de la position financière du Soumissionnaire et indiquer sa profitabilité à long terme.</w:t>
            </w:r>
          </w:p>
          <w:p w14:paraId="34645B7E" w14:textId="77777777" w:rsidR="006F129D" w:rsidRPr="004E4188" w:rsidRDefault="006F129D" w:rsidP="00DC1BC1">
            <w:pPr>
              <w:spacing w:before="60" w:afterLines="50" w:after="120"/>
              <w:rPr>
                <w:rFonts w:ascii="Arial" w:hAnsi="Arial" w:cs="Arial"/>
                <w:sz w:val="20"/>
              </w:rPr>
            </w:pPr>
            <w:r w:rsidRPr="004E4188">
              <w:rPr>
                <w:rFonts w:ascii="Arial" w:hAnsi="Arial" w:cs="Arial"/>
                <w:sz w:val="20"/>
              </w:rPr>
              <w:t>Comme critère minimum, un Soumissionnaire doit avoir des actifs nets positifs calculés en faisant la différence entre le total des actifs et le total des passifs.</w:t>
            </w:r>
          </w:p>
        </w:tc>
        <w:tc>
          <w:tcPr>
            <w:tcW w:w="1560" w:type="dxa"/>
          </w:tcPr>
          <w:p w14:paraId="0916BBDB" w14:textId="77777777" w:rsidR="006F129D" w:rsidRPr="004E4188" w:rsidRDefault="006F129D" w:rsidP="00DC1BC1">
            <w:pPr>
              <w:spacing w:before="60"/>
              <w:jc w:val="center"/>
              <w:rPr>
                <w:rFonts w:ascii="Arial" w:hAnsi="Arial" w:cs="Arial"/>
                <w:sz w:val="20"/>
              </w:rPr>
            </w:pPr>
            <w:r w:rsidRPr="004E4188">
              <w:rPr>
                <w:rFonts w:ascii="Arial" w:hAnsi="Arial" w:cs="Arial"/>
                <w:sz w:val="20"/>
              </w:rPr>
              <w:t>Doit satisfaire au critère</w:t>
            </w:r>
          </w:p>
        </w:tc>
        <w:tc>
          <w:tcPr>
            <w:tcW w:w="1453" w:type="dxa"/>
          </w:tcPr>
          <w:p w14:paraId="4831742F" w14:textId="77777777" w:rsidR="006F129D" w:rsidRPr="004E4188" w:rsidRDefault="006F129D" w:rsidP="00DC1BC1">
            <w:pPr>
              <w:spacing w:before="60"/>
              <w:jc w:val="center"/>
              <w:rPr>
                <w:rFonts w:ascii="Arial" w:hAnsi="Arial" w:cs="Arial"/>
                <w:sz w:val="20"/>
              </w:rPr>
            </w:pPr>
            <w:r w:rsidRPr="004E4188">
              <w:rPr>
                <w:rFonts w:ascii="Arial" w:hAnsi="Arial" w:cs="Arial"/>
                <w:sz w:val="20"/>
              </w:rPr>
              <w:t>Sans objet</w:t>
            </w:r>
          </w:p>
        </w:tc>
        <w:tc>
          <w:tcPr>
            <w:tcW w:w="1453" w:type="dxa"/>
          </w:tcPr>
          <w:p w14:paraId="2C430EAF" w14:textId="77777777" w:rsidR="006F129D" w:rsidRPr="004E4188" w:rsidRDefault="006F129D" w:rsidP="00DC1BC1">
            <w:pPr>
              <w:spacing w:before="60"/>
              <w:jc w:val="center"/>
              <w:rPr>
                <w:rFonts w:ascii="Arial" w:hAnsi="Arial" w:cs="Arial"/>
                <w:sz w:val="20"/>
              </w:rPr>
            </w:pPr>
            <w:r w:rsidRPr="004E4188">
              <w:rPr>
                <w:rFonts w:ascii="Arial" w:hAnsi="Arial" w:cs="Arial"/>
                <w:sz w:val="20"/>
              </w:rPr>
              <w:t>Doit satisfaire au critère</w:t>
            </w:r>
          </w:p>
        </w:tc>
        <w:tc>
          <w:tcPr>
            <w:tcW w:w="1453" w:type="dxa"/>
          </w:tcPr>
          <w:p w14:paraId="239720B9" w14:textId="77777777" w:rsidR="006F129D" w:rsidRPr="004E4188" w:rsidRDefault="006F129D" w:rsidP="00DC1BC1">
            <w:pPr>
              <w:spacing w:before="60"/>
              <w:jc w:val="center"/>
              <w:rPr>
                <w:rFonts w:ascii="Arial" w:hAnsi="Arial" w:cs="Arial"/>
                <w:sz w:val="20"/>
              </w:rPr>
            </w:pPr>
            <w:r w:rsidRPr="004E4188">
              <w:rPr>
                <w:rFonts w:ascii="Arial" w:hAnsi="Arial" w:cs="Arial"/>
                <w:sz w:val="20"/>
              </w:rPr>
              <w:t>Sans objet</w:t>
            </w:r>
          </w:p>
        </w:tc>
        <w:tc>
          <w:tcPr>
            <w:tcW w:w="1765" w:type="dxa"/>
          </w:tcPr>
          <w:p w14:paraId="77CF282E" w14:textId="77777777" w:rsidR="006F129D" w:rsidRPr="004E4188" w:rsidRDefault="006F129D" w:rsidP="00DC1BC1">
            <w:pPr>
              <w:spacing w:before="60"/>
              <w:rPr>
                <w:rFonts w:ascii="Arial" w:hAnsi="Arial" w:cs="Arial"/>
                <w:sz w:val="20"/>
              </w:rPr>
            </w:pPr>
            <w:r w:rsidRPr="004E4188">
              <w:rPr>
                <w:rFonts w:ascii="Arial" w:hAnsi="Arial" w:cs="Arial"/>
                <w:sz w:val="20"/>
              </w:rPr>
              <w:t>Formulaire FIN-1 avec pièces jointes</w:t>
            </w:r>
          </w:p>
        </w:tc>
      </w:tr>
      <w:tr w:rsidR="006F129D" w:rsidRPr="004E4188" w14:paraId="71883ADF" w14:textId="77777777" w:rsidTr="000B0DCD">
        <w:tc>
          <w:tcPr>
            <w:tcW w:w="708" w:type="dxa"/>
            <w:tcBorders>
              <w:bottom w:val="single" w:sz="4" w:space="0" w:color="auto"/>
            </w:tcBorders>
          </w:tcPr>
          <w:p w14:paraId="3C45833A" w14:textId="77777777" w:rsidR="006F129D" w:rsidRPr="004E4188" w:rsidRDefault="006F129D" w:rsidP="00DC1BC1">
            <w:pPr>
              <w:spacing w:before="60"/>
              <w:jc w:val="center"/>
              <w:rPr>
                <w:rFonts w:ascii="Arial" w:hAnsi="Arial" w:cs="Arial"/>
                <w:sz w:val="20"/>
              </w:rPr>
            </w:pPr>
            <w:r w:rsidRPr="004E4188">
              <w:rPr>
                <w:rFonts w:ascii="Arial" w:hAnsi="Arial" w:cs="Arial"/>
                <w:sz w:val="20"/>
              </w:rPr>
              <w:t>2.3.2</w:t>
            </w:r>
          </w:p>
        </w:tc>
        <w:tc>
          <w:tcPr>
            <w:tcW w:w="1557" w:type="dxa"/>
            <w:tcBorders>
              <w:bottom w:val="single" w:sz="4" w:space="0" w:color="auto"/>
            </w:tcBorders>
          </w:tcPr>
          <w:p w14:paraId="51C80D4E" w14:textId="77777777" w:rsidR="006F129D" w:rsidRPr="004E4188" w:rsidRDefault="006F129D" w:rsidP="00DC1BC1">
            <w:pPr>
              <w:spacing w:before="60"/>
              <w:jc w:val="left"/>
              <w:rPr>
                <w:rFonts w:ascii="Arial" w:hAnsi="Arial" w:cs="Arial"/>
                <w:sz w:val="20"/>
              </w:rPr>
            </w:pPr>
            <w:r w:rsidRPr="004E4188">
              <w:rPr>
                <w:rFonts w:ascii="Arial" w:hAnsi="Arial" w:cs="Arial"/>
                <w:sz w:val="20"/>
              </w:rPr>
              <w:t xml:space="preserve">Chiffre d’affaires annuel moyen </w:t>
            </w:r>
          </w:p>
        </w:tc>
        <w:tc>
          <w:tcPr>
            <w:tcW w:w="3513" w:type="dxa"/>
            <w:tcBorders>
              <w:bottom w:val="single" w:sz="4" w:space="0" w:color="auto"/>
            </w:tcBorders>
          </w:tcPr>
          <w:p w14:paraId="02B33CE3" w14:textId="77777777" w:rsidR="006F129D" w:rsidRPr="004E4188" w:rsidRDefault="006F129D" w:rsidP="00DC1BC1">
            <w:pPr>
              <w:spacing w:before="60" w:afterLines="50" w:after="120"/>
              <w:rPr>
                <w:rFonts w:ascii="Arial" w:hAnsi="Arial" w:cs="Arial"/>
                <w:sz w:val="20"/>
                <w:lang w:eastAsia="ja-JP"/>
              </w:rPr>
            </w:pPr>
            <w:r w:rsidRPr="004E4188">
              <w:rPr>
                <w:rFonts w:ascii="Arial" w:hAnsi="Arial" w:cs="Arial"/>
                <w:sz w:val="20"/>
              </w:rPr>
              <w:t>Avoir un chiffre d’affaires minimum annuel moyen de [</w:t>
            </w:r>
            <w:r w:rsidRPr="004E4188">
              <w:rPr>
                <w:rFonts w:ascii="Arial" w:hAnsi="Arial" w:cs="Arial"/>
                <w:i/>
                <w:sz w:val="20"/>
              </w:rPr>
              <w:t>indiquer le montant en $US</w:t>
            </w:r>
            <w:r w:rsidRPr="004E4188">
              <w:rPr>
                <w:rFonts w:ascii="Arial" w:hAnsi="Arial" w:cs="Arial"/>
                <w:sz w:val="20"/>
              </w:rPr>
              <w:t>]</w:t>
            </w:r>
            <w:r w:rsidRPr="004E4188">
              <w:rPr>
                <w:rFonts w:ascii="Arial" w:hAnsi="Arial" w:cs="Arial"/>
                <w:sz w:val="20"/>
                <w:vertAlign w:val="superscript"/>
              </w:rPr>
              <w:t>2</w:t>
            </w:r>
            <w:r w:rsidRPr="004E4188">
              <w:rPr>
                <w:rFonts w:ascii="Arial" w:hAnsi="Arial" w:cs="Arial"/>
                <w:sz w:val="20"/>
              </w:rPr>
              <w:t>, correspondant au total des paiements certifiés reçus pour les marchés en cours et/ou achevés au cours des [</w:t>
            </w:r>
            <w:r w:rsidRPr="004E4188">
              <w:rPr>
                <w:rFonts w:ascii="Arial" w:hAnsi="Arial" w:cs="Arial"/>
                <w:i/>
                <w:sz w:val="20"/>
              </w:rPr>
              <w:t>indiquer le nombre d’années</w:t>
            </w:r>
            <w:r w:rsidRPr="004E4188">
              <w:rPr>
                <w:rFonts w:ascii="Arial" w:hAnsi="Arial" w:cs="Arial"/>
                <w:sz w:val="20"/>
              </w:rPr>
              <w:t>]</w:t>
            </w:r>
            <w:r w:rsidRPr="004E4188">
              <w:rPr>
                <w:rFonts w:ascii="Arial" w:hAnsi="Arial" w:cs="Arial"/>
                <w:sz w:val="20"/>
                <w:vertAlign w:val="superscript"/>
                <w:lang w:eastAsia="ja-JP"/>
              </w:rPr>
              <w:t>3</w:t>
            </w:r>
            <w:r w:rsidRPr="004E4188">
              <w:rPr>
                <w:rFonts w:ascii="Arial" w:hAnsi="Arial" w:cs="Arial"/>
                <w:sz w:val="20"/>
              </w:rPr>
              <w:t xml:space="preserve"> dernières années divisées par [</w:t>
            </w:r>
            <w:r w:rsidRPr="004E4188">
              <w:rPr>
                <w:rFonts w:ascii="Arial" w:hAnsi="Arial" w:cs="Arial"/>
                <w:i/>
                <w:sz w:val="20"/>
              </w:rPr>
              <w:t>indiquer le nombre d’années</w:t>
            </w:r>
            <w:r w:rsidRPr="004E4188">
              <w:rPr>
                <w:rFonts w:ascii="Arial" w:hAnsi="Arial" w:cs="Arial"/>
                <w:sz w:val="20"/>
              </w:rPr>
              <w:t>]</w:t>
            </w:r>
            <w:r w:rsidRPr="004E4188">
              <w:rPr>
                <w:rFonts w:ascii="Arial" w:hAnsi="Arial" w:cs="Arial"/>
                <w:sz w:val="20"/>
                <w:vertAlign w:val="superscript"/>
              </w:rPr>
              <w:t>4</w:t>
            </w:r>
            <w:r w:rsidRPr="004E4188">
              <w:rPr>
                <w:rFonts w:ascii="Arial" w:hAnsi="Arial" w:cs="Arial"/>
                <w:sz w:val="20"/>
              </w:rPr>
              <w:t xml:space="preserve"> ans.</w:t>
            </w:r>
          </w:p>
          <w:p w14:paraId="313371E2" w14:textId="77777777" w:rsidR="006F129D" w:rsidRPr="004E4188" w:rsidRDefault="006F129D" w:rsidP="00DC1BC1">
            <w:pPr>
              <w:spacing w:before="60"/>
              <w:rPr>
                <w:rFonts w:ascii="Arial" w:hAnsi="Arial" w:cs="Arial"/>
                <w:sz w:val="20"/>
                <w:lang w:eastAsia="ja-JP"/>
              </w:rPr>
            </w:pPr>
          </w:p>
          <w:p w14:paraId="1DA4C565" w14:textId="77777777" w:rsidR="006F129D" w:rsidRPr="004E4188" w:rsidRDefault="006F129D" w:rsidP="00DC1BC1">
            <w:pPr>
              <w:spacing w:before="60" w:afterLines="50" w:after="120"/>
              <w:rPr>
                <w:rFonts w:ascii="Arial" w:hAnsi="Arial" w:cs="Arial"/>
                <w:sz w:val="20"/>
              </w:rPr>
            </w:pPr>
            <w:r w:rsidRPr="004E4188">
              <w:rPr>
                <w:rFonts w:ascii="Arial" w:hAnsi="Arial" w:cs="Arial"/>
                <w:sz w:val="20"/>
              </w:rPr>
              <w:t>[</w:t>
            </w:r>
            <w:r w:rsidRPr="004E4188">
              <w:rPr>
                <w:rFonts w:ascii="Arial" w:hAnsi="Arial" w:cs="Arial"/>
                <w:i/>
                <w:sz w:val="20"/>
              </w:rPr>
              <w:t>Indiquer les critères pour l’attribution de lots multiples, le cas échéant.</w:t>
            </w:r>
            <w:r w:rsidRPr="004E4188">
              <w:rPr>
                <w:rFonts w:ascii="Arial" w:hAnsi="Arial" w:cs="Arial"/>
                <w:sz w:val="20"/>
              </w:rPr>
              <w:t>]</w:t>
            </w:r>
          </w:p>
        </w:tc>
        <w:tc>
          <w:tcPr>
            <w:tcW w:w="1560" w:type="dxa"/>
            <w:tcBorders>
              <w:bottom w:val="single" w:sz="4" w:space="0" w:color="auto"/>
            </w:tcBorders>
          </w:tcPr>
          <w:p w14:paraId="55357973" w14:textId="77777777" w:rsidR="006F129D" w:rsidRPr="004E4188" w:rsidRDefault="006F129D" w:rsidP="00DC1BC1">
            <w:pPr>
              <w:spacing w:before="60"/>
              <w:jc w:val="center"/>
              <w:rPr>
                <w:rFonts w:ascii="Arial" w:hAnsi="Arial" w:cs="Arial"/>
                <w:sz w:val="20"/>
              </w:rPr>
            </w:pPr>
            <w:r w:rsidRPr="004E4188">
              <w:rPr>
                <w:rFonts w:ascii="Arial" w:hAnsi="Arial" w:cs="Arial"/>
                <w:sz w:val="20"/>
              </w:rPr>
              <w:t>Doit satisfaire au critère</w:t>
            </w:r>
          </w:p>
        </w:tc>
        <w:tc>
          <w:tcPr>
            <w:tcW w:w="1453" w:type="dxa"/>
            <w:tcBorders>
              <w:bottom w:val="single" w:sz="4" w:space="0" w:color="auto"/>
            </w:tcBorders>
          </w:tcPr>
          <w:p w14:paraId="7F810EBC" w14:textId="77777777" w:rsidR="006F129D" w:rsidRPr="004E4188" w:rsidRDefault="006F129D" w:rsidP="00DC1BC1">
            <w:pPr>
              <w:spacing w:before="60"/>
              <w:jc w:val="center"/>
              <w:rPr>
                <w:rFonts w:ascii="Arial" w:hAnsi="Arial" w:cs="Arial"/>
                <w:sz w:val="20"/>
              </w:rPr>
            </w:pPr>
            <w:r w:rsidRPr="004E4188">
              <w:rPr>
                <w:rFonts w:ascii="Arial" w:hAnsi="Arial" w:cs="Arial"/>
                <w:sz w:val="20"/>
              </w:rPr>
              <w:t>Doivent satisfaire au critère</w:t>
            </w:r>
          </w:p>
        </w:tc>
        <w:tc>
          <w:tcPr>
            <w:tcW w:w="1453" w:type="dxa"/>
            <w:tcBorders>
              <w:bottom w:val="single" w:sz="4" w:space="0" w:color="auto"/>
            </w:tcBorders>
          </w:tcPr>
          <w:p w14:paraId="151F39F6" w14:textId="77777777" w:rsidR="006F129D" w:rsidRPr="004E4188" w:rsidRDefault="006F129D" w:rsidP="00DC1BC1">
            <w:pPr>
              <w:spacing w:before="60"/>
              <w:jc w:val="center"/>
              <w:rPr>
                <w:rFonts w:ascii="Arial" w:hAnsi="Arial" w:cs="Arial"/>
                <w:sz w:val="20"/>
              </w:rPr>
            </w:pPr>
            <w:r w:rsidRPr="004E4188">
              <w:rPr>
                <w:rFonts w:ascii="Arial" w:hAnsi="Arial" w:cs="Arial"/>
                <w:sz w:val="20"/>
              </w:rPr>
              <w:t>Doit satisfaire à [</w:t>
            </w:r>
            <w:r w:rsidRPr="004E4188">
              <w:rPr>
                <w:rFonts w:ascii="Arial" w:hAnsi="Arial" w:cs="Arial"/>
                <w:i/>
                <w:sz w:val="20"/>
              </w:rPr>
              <w:t>insérer le nombre</w:t>
            </w:r>
            <w:r w:rsidRPr="004E4188">
              <w:rPr>
                <w:rFonts w:ascii="Arial" w:hAnsi="Arial" w:cs="Arial"/>
                <w:sz w:val="20"/>
              </w:rPr>
              <w:t>] %</w:t>
            </w:r>
            <w:r w:rsidRPr="004E4188">
              <w:rPr>
                <w:rFonts w:ascii="Arial" w:hAnsi="Arial" w:cs="Arial"/>
                <w:sz w:val="20"/>
                <w:vertAlign w:val="superscript"/>
                <w:lang w:eastAsia="ja-JP"/>
              </w:rPr>
              <w:t>5</w:t>
            </w:r>
            <w:r w:rsidRPr="004E4188">
              <w:rPr>
                <w:rFonts w:ascii="Arial" w:hAnsi="Arial" w:cs="Arial"/>
                <w:sz w:val="20"/>
              </w:rPr>
              <w:t xml:space="preserve"> du critère</w:t>
            </w:r>
          </w:p>
        </w:tc>
        <w:tc>
          <w:tcPr>
            <w:tcW w:w="1453" w:type="dxa"/>
            <w:tcBorders>
              <w:bottom w:val="single" w:sz="4" w:space="0" w:color="auto"/>
            </w:tcBorders>
          </w:tcPr>
          <w:p w14:paraId="69FF48FD" w14:textId="77777777" w:rsidR="006F129D" w:rsidRPr="004E4188" w:rsidRDefault="006F129D" w:rsidP="00DC1BC1">
            <w:pPr>
              <w:spacing w:before="60"/>
              <w:jc w:val="center"/>
              <w:rPr>
                <w:rFonts w:ascii="Arial" w:hAnsi="Arial" w:cs="Arial"/>
                <w:sz w:val="20"/>
              </w:rPr>
            </w:pPr>
            <w:r w:rsidRPr="004E4188">
              <w:rPr>
                <w:rFonts w:ascii="Arial" w:hAnsi="Arial" w:cs="Arial"/>
                <w:sz w:val="20"/>
              </w:rPr>
              <w:t>Doit satisfaire à [</w:t>
            </w:r>
            <w:r w:rsidRPr="004E4188">
              <w:rPr>
                <w:rFonts w:ascii="Arial" w:hAnsi="Arial" w:cs="Arial"/>
                <w:i/>
                <w:sz w:val="20"/>
              </w:rPr>
              <w:t>insérer le nombre</w:t>
            </w:r>
            <w:r w:rsidRPr="004E4188">
              <w:rPr>
                <w:rFonts w:ascii="Arial" w:hAnsi="Arial" w:cs="Arial"/>
                <w:sz w:val="20"/>
              </w:rPr>
              <w:t>] %</w:t>
            </w:r>
            <w:r w:rsidRPr="004E4188">
              <w:rPr>
                <w:rFonts w:ascii="Arial" w:hAnsi="Arial" w:cs="Arial"/>
                <w:sz w:val="20"/>
                <w:vertAlign w:val="superscript"/>
              </w:rPr>
              <w:t>6</w:t>
            </w:r>
            <w:r w:rsidRPr="004E4188">
              <w:rPr>
                <w:rFonts w:ascii="Arial" w:hAnsi="Arial" w:cs="Arial"/>
                <w:sz w:val="20"/>
              </w:rPr>
              <w:t xml:space="preserve"> du critère</w:t>
            </w:r>
          </w:p>
        </w:tc>
        <w:tc>
          <w:tcPr>
            <w:tcW w:w="1765" w:type="dxa"/>
          </w:tcPr>
          <w:p w14:paraId="019FFBB7" w14:textId="77777777" w:rsidR="006F129D" w:rsidRPr="004E4188" w:rsidRDefault="006F129D" w:rsidP="00DC1BC1">
            <w:pPr>
              <w:spacing w:before="60"/>
              <w:rPr>
                <w:rFonts w:ascii="Arial" w:hAnsi="Arial" w:cs="Arial"/>
                <w:sz w:val="20"/>
              </w:rPr>
            </w:pPr>
            <w:r w:rsidRPr="004E4188">
              <w:rPr>
                <w:rFonts w:ascii="Arial" w:hAnsi="Arial" w:cs="Arial"/>
                <w:sz w:val="20"/>
              </w:rPr>
              <w:t>Formulaire FIN-2</w:t>
            </w:r>
          </w:p>
        </w:tc>
      </w:tr>
      <w:tr w:rsidR="006F129D" w:rsidRPr="004E4188" w14:paraId="0DC233A7" w14:textId="77777777" w:rsidTr="000B0DCD">
        <w:trPr>
          <w:cantSplit/>
        </w:trPr>
        <w:tc>
          <w:tcPr>
            <w:tcW w:w="708" w:type="dxa"/>
            <w:tcBorders>
              <w:bottom w:val="single" w:sz="4" w:space="0" w:color="auto"/>
            </w:tcBorders>
          </w:tcPr>
          <w:p w14:paraId="12478157" w14:textId="77777777" w:rsidR="006F129D" w:rsidRPr="004E4188" w:rsidRDefault="006F129D" w:rsidP="00F361B1">
            <w:pPr>
              <w:spacing w:before="60"/>
              <w:jc w:val="center"/>
              <w:rPr>
                <w:rFonts w:ascii="Arial" w:hAnsi="Arial" w:cs="Arial"/>
                <w:sz w:val="20"/>
              </w:rPr>
            </w:pPr>
            <w:r w:rsidRPr="004E4188">
              <w:rPr>
                <w:rFonts w:ascii="Arial" w:hAnsi="Arial" w:cs="Arial"/>
                <w:sz w:val="20"/>
              </w:rPr>
              <w:t>2.3.3</w:t>
            </w:r>
          </w:p>
        </w:tc>
        <w:tc>
          <w:tcPr>
            <w:tcW w:w="1557" w:type="dxa"/>
            <w:tcBorders>
              <w:bottom w:val="single" w:sz="4" w:space="0" w:color="auto"/>
            </w:tcBorders>
          </w:tcPr>
          <w:p w14:paraId="5C399D14" w14:textId="77777777" w:rsidR="006F129D" w:rsidRPr="004E4188" w:rsidRDefault="006F129D" w:rsidP="00F361B1">
            <w:pPr>
              <w:spacing w:before="60"/>
              <w:jc w:val="left"/>
              <w:rPr>
                <w:rFonts w:ascii="Arial" w:hAnsi="Arial" w:cs="Arial"/>
                <w:sz w:val="20"/>
              </w:rPr>
            </w:pPr>
            <w:r w:rsidRPr="004E4188">
              <w:rPr>
                <w:rFonts w:ascii="Arial" w:hAnsi="Arial" w:cs="Arial"/>
                <w:sz w:val="20"/>
              </w:rPr>
              <w:t>Capacités financières</w:t>
            </w:r>
          </w:p>
        </w:tc>
        <w:tc>
          <w:tcPr>
            <w:tcW w:w="3513" w:type="dxa"/>
            <w:tcBorders>
              <w:bottom w:val="single" w:sz="4" w:space="0" w:color="auto"/>
            </w:tcBorders>
          </w:tcPr>
          <w:p w14:paraId="294BE421" w14:textId="77777777" w:rsidR="006F129D" w:rsidRPr="004E4188" w:rsidRDefault="006F129D" w:rsidP="00F361B1">
            <w:pPr>
              <w:spacing w:before="60" w:afterLines="50" w:after="120"/>
              <w:rPr>
                <w:rFonts w:ascii="Arial" w:hAnsi="Arial" w:cs="Arial"/>
                <w:sz w:val="20"/>
              </w:rPr>
            </w:pPr>
            <w:r w:rsidRPr="004E4188">
              <w:rPr>
                <w:rFonts w:ascii="Arial" w:hAnsi="Arial" w:cs="Arial"/>
                <w:sz w:val="20"/>
              </w:rPr>
              <w:t>Le Soumissionnaire doit démontrer, à la satisfaction du Maître d’ouvrage, (à la date limite de remise des offres) qu’il dispose ou a accès à des avoirs liquides, des actifs réels non grevés, des lignes de crédit ou autres moyens financiers (hors avance éventuelle au titre du marché) suffisants pour assurer le flux de trésorerie des activités de construction estimé à [</w:t>
            </w:r>
            <w:r w:rsidRPr="004E4188">
              <w:rPr>
                <w:rFonts w:ascii="Arial" w:hAnsi="Arial" w:cs="Arial"/>
                <w:i/>
                <w:sz w:val="20"/>
              </w:rPr>
              <w:t>indiquer le montant en $US</w:t>
            </w:r>
            <w:r w:rsidRPr="004E4188">
              <w:rPr>
                <w:rFonts w:ascii="Arial" w:hAnsi="Arial" w:cs="Arial"/>
                <w:sz w:val="20"/>
              </w:rPr>
              <w:t>]</w:t>
            </w:r>
            <w:r w:rsidRPr="004E4188">
              <w:rPr>
                <w:rFonts w:ascii="Arial" w:hAnsi="Arial" w:cs="Arial"/>
                <w:i/>
                <w:sz w:val="20"/>
                <w:vertAlign w:val="superscript"/>
              </w:rPr>
              <w:t>7</w:t>
            </w:r>
            <w:r w:rsidRPr="004E4188">
              <w:rPr>
                <w:rFonts w:ascii="Arial" w:hAnsi="Arial" w:cs="Arial"/>
                <w:sz w:val="20"/>
                <w:vertAlign w:val="superscript"/>
              </w:rPr>
              <w:t xml:space="preserve"> </w:t>
            </w:r>
            <w:r w:rsidRPr="004E4188">
              <w:rPr>
                <w:rFonts w:ascii="Arial" w:hAnsi="Arial" w:cs="Arial"/>
                <w:sz w:val="20"/>
              </w:rPr>
              <w:t>pour le(s) Marché(s) en question, nets de tous autres engagements du Soumissionnaire, aussi bien actuels que futurs.</w:t>
            </w:r>
          </w:p>
          <w:p w14:paraId="21188A13" w14:textId="77777777" w:rsidR="00CF240A" w:rsidRPr="004E4188" w:rsidRDefault="00CF240A" w:rsidP="00F361B1">
            <w:pPr>
              <w:spacing w:before="60" w:afterLines="50" w:after="120"/>
              <w:rPr>
                <w:rFonts w:ascii="Arial" w:hAnsi="Arial" w:cs="Arial"/>
                <w:sz w:val="20"/>
              </w:rPr>
            </w:pPr>
          </w:p>
          <w:p w14:paraId="5F7B93FD" w14:textId="77777777" w:rsidR="006F129D" w:rsidRPr="004E4188" w:rsidRDefault="006F129D" w:rsidP="00F361B1">
            <w:pPr>
              <w:spacing w:before="60" w:afterLines="50" w:after="120"/>
              <w:rPr>
                <w:rFonts w:ascii="Arial" w:hAnsi="Arial" w:cs="Arial"/>
                <w:sz w:val="20"/>
              </w:rPr>
            </w:pPr>
            <w:r w:rsidRPr="004E4188">
              <w:rPr>
                <w:rFonts w:ascii="Arial" w:hAnsi="Arial" w:cs="Arial"/>
                <w:sz w:val="20"/>
              </w:rPr>
              <w:t>[</w:t>
            </w:r>
            <w:r w:rsidRPr="004E4188">
              <w:rPr>
                <w:rFonts w:ascii="Arial" w:hAnsi="Arial" w:cs="Arial"/>
                <w:i/>
                <w:sz w:val="20"/>
              </w:rPr>
              <w:t>Indiquer les critères pour l’attribution de lots multiples, le cas échéant.</w:t>
            </w:r>
            <w:r w:rsidRPr="004E4188">
              <w:rPr>
                <w:rFonts w:ascii="Arial" w:hAnsi="Arial" w:cs="Arial"/>
                <w:sz w:val="20"/>
              </w:rPr>
              <w:t>]</w:t>
            </w:r>
          </w:p>
        </w:tc>
        <w:tc>
          <w:tcPr>
            <w:tcW w:w="1560" w:type="dxa"/>
            <w:tcBorders>
              <w:bottom w:val="single" w:sz="4" w:space="0" w:color="auto"/>
            </w:tcBorders>
          </w:tcPr>
          <w:p w14:paraId="22E92E20" w14:textId="77777777" w:rsidR="006F129D" w:rsidRPr="004E4188" w:rsidRDefault="006F129D" w:rsidP="00F361B1">
            <w:pPr>
              <w:spacing w:before="60"/>
              <w:jc w:val="center"/>
              <w:rPr>
                <w:rFonts w:ascii="Arial" w:hAnsi="Arial" w:cs="Arial"/>
                <w:sz w:val="20"/>
              </w:rPr>
            </w:pPr>
            <w:r w:rsidRPr="004E4188">
              <w:rPr>
                <w:rFonts w:ascii="Arial" w:hAnsi="Arial" w:cs="Arial"/>
                <w:sz w:val="20"/>
              </w:rPr>
              <w:t>Doit satisfaire au critère</w:t>
            </w:r>
          </w:p>
        </w:tc>
        <w:tc>
          <w:tcPr>
            <w:tcW w:w="1453" w:type="dxa"/>
            <w:tcBorders>
              <w:bottom w:val="single" w:sz="4" w:space="0" w:color="auto"/>
            </w:tcBorders>
          </w:tcPr>
          <w:p w14:paraId="669B339A" w14:textId="77777777" w:rsidR="006F129D" w:rsidRPr="004E4188" w:rsidRDefault="006F129D" w:rsidP="00F361B1">
            <w:pPr>
              <w:spacing w:before="60"/>
              <w:jc w:val="center"/>
              <w:rPr>
                <w:rFonts w:ascii="Arial" w:hAnsi="Arial" w:cs="Arial"/>
                <w:sz w:val="20"/>
              </w:rPr>
            </w:pPr>
            <w:r w:rsidRPr="004E4188">
              <w:rPr>
                <w:rFonts w:ascii="Arial" w:hAnsi="Arial" w:cs="Arial"/>
                <w:sz w:val="20"/>
              </w:rPr>
              <w:t>Doivent satisfaire au critère</w:t>
            </w:r>
          </w:p>
        </w:tc>
        <w:tc>
          <w:tcPr>
            <w:tcW w:w="1453" w:type="dxa"/>
            <w:tcBorders>
              <w:bottom w:val="single" w:sz="4" w:space="0" w:color="auto"/>
            </w:tcBorders>
          </w:tcPr>
          <w:p w14:paraId="6B177AB4" w14:textId="77777777" w:rsidR="006F129D" w:rsidRPr="004E4188" w:rsidRDefault="006F129D" w:rsidP="00F361B1">
            <w:pPr>
              <w:spacing w:before="60"/>
              <w:jc w:val="center"/>
              <w:rPr>
                <w:rFonts w:ascii="Arial" w:hAnsi="Arial" w:cs="Arial"/>
                <w:sz w:val="20"/>
              </w:rPr>
            </w:pPr>
            <w:r w:rsidRPr="004E4188">
              <w:rPr>
                <w:rFonts w:ascii="Arial" w:hAnsi="Arial" w:cs="Arial"/>
                <w:sz w:val="20"/>
              </w:rPr>
              <w:t>Sans objet</w:t>
            </w:r>
          </w:p>
          <w:p w14:paraId="7ECB2A79" w14:textId="77777777" w:rsidR="006F129D" w:rsidRPr="004E4188" w:rsidRDefault="006F129D" w:rsidP="00F361B1">
            <w:pPr>
              <w:spacing w:before="60"/>
              <w:jc w:val="center"/>
              <w:rPr>
                <w:rFonts w:ascii="Arial" w:hAnsi="Arial" w:cs="Arial"/>
                <w:sz w:val="20"/>
              </w:rPr>
            </w:pPr>
          </w:p>
        </w:tc>
        <w:tc>
          <w:tcPr>
            <w:tcW w:w="1453" w:type="dxa"/>
            <w:tcBorders>
              <w:bottom w:val="single" w:sz="4" w:space="0" w:color="auto"/>
            </w:tcBorders>
          </w:tcPr>
          <w:p w14:paraId="53295120" w14:textId="77777777" w:rsidR="006F129D" w:rsidRPr="004E4188" w:rsidRDefault="006F129D" w:rsidP="00F361B1">
            <w:pPr>
              <w:spacing w:before="60"/>
              <w:jc w:val="center"/>
              <w:rPr>
                <w:rFonts w:ascii="Arial" w:hAnsi="Arial" w:cs="Arial"/>
                <w:sz w:val="20"/>
              </w:rPr>
            </w:pPr>
            <w:r w:rsidRPr="004E4188">
              <w:rPr>
                <w:rFonts w:ascii="Arial" w:hAnsi="Arial" w:cs="Arial"/>
                <w:sz w:val="20"/>
              </w:rPr>
              <w:t>Sans objet</w:t>
            </w:r>
          </w:p>
          <w:p w14:paraId="731A2B7D" w14:textId="77777777" w:rsidR="006F129D" w:rsidRPr="004E4188" w:rsidRDefault="006F129D" w:rsidP="00F361B1">
            <w:pPr>
              <w:spacing w:before="60"/>
              <w:jc w:val="center"/>
              <w:rPr>
                <w:rFonts w:ascii="Arial" w:hAnsi="Arial" w:cs="Arial"/>
                <w:sz w:val="20"/>
              </w:rPr>
            </w:pPr>
          </w:p>
        </w:tc>
        <w:tc>
          <w:tcPr>
            <w:tcW w:w="1765" w:type="dxa"/>
          </w:tcPr>
          <w:p w14:paraId="4E0345B5" w14:textId="77777777" w:rsidR="006F129D" w:rsidRPr="004E4188" w:rsidRDefault="006F129D" w:rsidP="00520128">
            <w:pPr>
              <w:spacing w:before="60" w:after="60"/>
              <w:rPr>
                <w:rFonts w:ascii="Arial" w:hAnsi="Arial" w:cs="Arial"/>
                <w:sz w:val="20"/>
                <w:lang w:eastAsia="ja-JP"/>
              </w:rPr>
            </w:pPr>
            <w:r w:rsidRPr="004E4188">
              <w:rPr>
                <w:rFonts w:ascii="Arial" w:hAnsi="Arial" w:cs="Arial"/>
                <w:sz w:val="20"/>
              </w:rPr>
              <w:t>Formulaires</w:t>
            </w:r>
            <w:r w:rsidRPr="004E4188">
              <w:rPr>
                <w:rFonts w:ascii="Arial" w:hAnsi="Arial" w:cs="Arial"/>
                <w:sz w:val="20"/>
                <w:lang w:eastAsia="ja-JP"/>
              </w:rPr>
              <w:t xml:space="preserve"> </w:t>
            </w:r>
            <w:r w:rsidRPr="004E4188">
              <w:rPr>
                <w:rFonts w:ascii="Arial" w:hAnsi="Arial" w:cs="Arial"/>
                <w:sz w:val="20"/>
              </w:rPr>
              <w:t>FIN-3 et FIN-4</w:t>
            </w:r>
          </w:p>
          <w:p w14:paraId="6E960EC9" w14:textId="77777777" w:rsidR="006F129D" w:rsidRPr="004E4188" w:rsidRDefault="006F129D" w:rsidP="00520128">
            <w:pPr>
              <w:rPr>
                <w:rFonts w:ascii="Arial" w:hAnsi="Arial" w:cs="Arial"/>
                <w:sz w:val="20"/>
              </w:rPr>
            </w:pPr>
          </w:p>
        </w:tc>
      </w:tr>
      <w:tr w:rsidR="006F129D" w:rsidRPr="004E4188" w14:paraId="084FCF3E" w14:textId="77777777" w:rsidTr="000B0DCD">
        <w:trPr>
          <w:trHeight w:val="6523"/>
        </w:trPr>
        <w:tc>
          <w:tcPr>
            <w:tcW w:w="13462" w:type="dxa"/>
            <w:gridSpan w:val="8"/>
          </w:tcPr>
          <w:p w14:paraId="6E44403E" w14:textId="77777777" w:rsidR="006F129D" w:rsidRPr="004E4188" w:rsidRDefault="006F129D" w:rsidP="007B0B65">
            <w:pPr>
              <w:spacing w:afterLines="50" w:after="120"/>
              <w:rPr>
                <w:rFonts w:ascii="Arial" w:hAnsi="Arial" w:cs="Arial"/>
                <w:i/>
                <w:sz w:val="20"/>
                <w:u w:val="single"/>
                <w:lang w:eastAsia="ja-JP"/>
              </w:rPr>
            </w:pPr>
            <w:r w:rsidRPr="004E4188">
              <w:rPr>
                <w:rFonts w:ascii="Arial" w:hAnsi="Arial" w:cs="Arial"/>
                <w:i/>
                <w:sz w:val="20"/>
                <w:u w:val="single"/>
                <w:lang w:eastAsia="ja-JP"/>
              </w:rPr>
              <w:t>Notes à l’intention du Maître d’ouvrage</w:t>
            </w:r>
          </w:p>
          <w:p w14:paraId="4B617BAA" w14:textId="067A6A30" w:rsidR="006F129D" w:rsidRPr="004E4188" w:rsidRDefault="006F129D" w:rsidP="00D03AD6">
            <w:pPr>
              <w:tabs>
                <w:tab w:val="left" w:pos="340"/>
              </w:tabs>
              <w:spacing w:afterLines="50" w:after="120"/>
              <w:ind w:left="340" w:hanging="340"/>
              <w:rPr>
                <w:rFonts w:ascii="Arial" w:hAnsi="Arial" w:cs="Arial"/>
                <w:i/>
                <w:sz w:val="20"/>
                <w:lang w:eastAsia="ja-JP"/>
              </w:rPr>
            </w:pPr>
            <w:r w:rsidRPr="004E4188">
              <w:rPr>
                <w:rFonts w:ascii="Arial" w:hAnsi="Arial" w:cs="Arial"/>
                <w:i/>
                <w:sz w:val="20"/>
              </w:rPr>
              <w:t>1.</w:t>
            </w:r>
            <w:r w:rsidRPr="004E4188">
              <w:rPr>
                <w:rFonts w:ascii="Arial" w:hAnsi="Arial" w:cs="Arial"/>
                <w:i/>
                <w:sz w:val="20"/>
                <w:lang w:eastAsia="ja-JP"/>
              </w:rPr>
              <w:tab/>
            </w:r>
            <w:r w:rsidRPr="004E4188">
              <w:rPr>
                <w:rFonts w:ascii="Arial" w:hAnsi="Arial" w:cs="Arial"/>
                <w:i/>
                <w:sz w:val="20"/>
              </w:rPr>
              <w:t>La période e</w:t>
            </w:r>
            <w:r w:rsidRPr="004E4188">
              <w:rPr>
                <w:rFonts w:ascii="Arial" w:hAnsi="Arial" w:cs="Arial"/>
                <w:i/>
                <w:sz w:val="20"/>
                <w:lang w:eastAsia="ja-JP"/>
              </w:rPr>
              <w:t xml:space="preserve">st normalement de cinq (5) ans. Elle peut être réduite à trois (3) ans minimum (avec l’accord de la JICA) en cas de circonstances particulières propres à un pays, de manière à donner des opportunités aux entreprises </w:t>
            </w:r>
            <w:r w:rsidR="000939FA" w:rsidRPr="004E4188">
              <w:rPr>
                <w:rFonts w:ascii="Arial" w:hAnsi="Arial" w:cs="Arial"/>
                <w:i/>
                <w:sz w:val="20"/>
                <w:lang w:eastAsia="ja-JP"/>
              </w:rPr>
              <w:t xml:space="preserve">de construction </w:t>
            </w:r>
            <w:r w:rsidRPr="004E4188">
              <w:rPr>
                <w:rFonts w:ascii="Arial" w:hAnsi="Arial" w:cs="Arial"/>
                <w:i/>
                <w:sz w:val="20"/>
                <w:lang w:eastAsia="ja-JP"/>
              </w:rPr>
              <w:t xml:space="preserve">récemment privatisées dont la période d’existence est limitée mais ayant toutefois une expérience adaptée, etc. </w:t>
            </w:r>
          </w:p>
          <w:p w14:paraId="75D20D62" w14:textId="77777777" w:rsidR="006F129D" w:rsidRPr="004E4188" w:rsidRDefault="006F129D" w:rsidP="00D03AD6">
            <w:pPr>
              <w:tabs>
                <w:tab w:val="left" w:pos="340"/>
              </w:tabs>
              <w:spacing w:afterLines="50" w:after="120"/>
              <w:ind w:left="340" w:hanging="340"/>
              <w:rPr>
                <w:rFonts w:ascii="Arial" w:hAnsi="Arial" w:cs="Arial"/>
                <w:i/>
                <w:sz w:val="20"/>
              </w:rPr>
            </w:pPr>
            <w:r w:rsidRPr="004E4188">
              <w:rPr>
                <w:rFonts w:ascii="Arial" w:hAnsi="Arial" w:cs="Arial"/>
                <w:i/>
                <w:sz w:val="20"/>
                <w:lang w:eastAsia="ja-JP"/>
              </w:rPr>
              <w:t>2.</w:t>
            </w:r>
            <w:r w:rsidRPr="004E4188">
              <w:rPr>
                <w:rFonts w:ascii="Arial" w:hAnsi="Arial" w:cs="Arial"/>
                <w:i/>
                <w:sz w:val="20"/>
                <w:lang w:eastAsia="ja-JP"/>
              </w:rPr>
              <w:tab/>
              <w:t xml:space="preserve">Le montant </w:t>
            </w:r>
            <w:r w:rsidRPr="004E4188">
              <w:rPr>
                <w:rFonts w:ascii="Arial" w:hAnsi="Arial" w:cs="Arial"/>
                <w:i/>
                <w:sz w:val="20"/>
              </w:rPr>
              <w:t>indiqué ne doit pas normalement être inférieur au double du chiffre d’affaires annuel estimé du marché proposé (basé sur une projection linéaire d</w:t>
            </w:r>
            <w:r w:rsidRPr="004E4188">
              <w:rPr>
                <w:rFonts w:ascii="Arial" w:hAnsi="Arial" w:cs="Arial"/>
                <w:i/>
                <w:sz w:val="20"/>
                <w:lang w:eastAsia="ja-JP"/>
              </w:rPr>
              <w:t xml:space="preserve">e </w:t>
            </w:r>
            <w:r w:rsidRPr="004E4188">
              <w:rPr>
                <w:rFonts w:ascii="Arial" w:hAnsi="Arial" w:cs="Arial"/>
                <w:i/>
                <w:sz w:val="20"/>
              </w:rPr>
              <w:t>l’estimation des coûts établie par le Maître d’ouvrage, incluant les provisions pour risques, pendant la période contractuelle). Le multiplicateur 2 peut être réduit pour des marchés de grande envergure mais ne doit pas être inférieur à 1,5.</w:t>
            </w:r>
          </w:p>
          <w:p w14:paraId="165866A2" w14:textId="77777777" w:rsidR="006F129D" w:rsidRPr="004E4188" w:rsidRDefault="006F129D" w:rsidP="00D03AD6">
            <w:pPr>
              <w:tabs>
                <w:tab w:val="left" w:pos="340"/>
              </w:tabs>
              <w:spacing w:afterLines="50" w:after="120"/>
              <w:ind w:left="340" w:hanging="340"/>
              <w:rPr>
                <w:rFonts w:ascii="Arial" w:hAnsi="Arial" w:cs="Arial"/>
                <w:i/>
                <w:sz w:val="20"/>
                <w:lang w:eastAsia="ja-JP"/>
              </w:rPr>
            </w:pPr>
            <w:r w:rsidRPr="004E4188">
              <w:rPr>
                <w:rFonts w:ascii="Arial" w:hAnsi="Arial" w:cs="Arial"/>
                <w:i/>
                <w:sz w:val="20"/>
                <w:lang w:eastAsia="ja-JP"/>
              </w:rPr>
              <w:t>3.</w:t>
            </w:r>
            <w:r w:rsidRPr="004E4188">
              <w:rPr>
                <w:rFonts w:ascii="Arial" w:hAnsi="Arial" w:cs="Arial"/>
                <w:i/>
                <w:sz w:val="20"/>
                <w:lang w:eastAsia="ja-JP"/>
              </w:rPr>
              <w:tab/>
            </w:r>
            <w:r w:rsidRPr="004E4188">
              <w:rPr>
                <w:rFonts w:ascii="Arial" w:hAnsi="Arial" w:cs="Arial"/>
                <w:i/>
                <w:sz w:val="20"/>
              </w:rPr>
              <w:t>L</w:t>
            </w:r>
            <w:r w:rsidRPr="004E4188">
              <w:rPr>
                <w:rFonts w:ascii="Arial" w:hAnsi="Arial" w:cs="Arial"/>
                <w:i/>
                <w:sz w:val="20"/>
                <w:lang w:eastAsia="ja-JP"/>
              </w:rPr>
              <w:t>a période est normalement de cinq (5) ans ou plus mais elle peut être réduite à trois (3) ans minimum (avec l’accord de la JICA) en cas de circonstances particulières propres à un pays, de manière à donner des opportunités aux entreprises de construction récemment privatisées ayant peu d’années d’expérience, etc.</w:t>
            </w:r>
          </w:p>
          <w:p w14:paraId="58661C68" w14:textId="77777777" w:rsidR="006F129D" w:rsidRPr="004E4188" w:rsidRDefault="006F129D" w:rsidP="00D03AD6">
            <w:pPr>
              <w:tabs>
                <w:tab w:val="left" w:pos="340"/>
              </w:tabs>
              <w:spacing w:afterLines="50" w:after="120"/>
              <w:ind w:left="340" w:hanging="340"/>
              <w:rPr>
                <w:rFonts w:ascii="Arial" w:hAnsi="Arial" w:cs="Arial"/>
                <w:i/>
                <w:sz w:val="20"/>
                <w:lang w:eastAsia="ja-JP"/>
              </w:rPr>
            </w:pPr>
            <w:r w:rsidRPr="004E4188">
              <w:rPr>
                <w:rFonts w:ascii="Arial" w:hAnsi="Arial" w:cs="Arial"/>
                <w:i/>
                <w:sz w:val="20"/>
                <w:lang w:eastAsia="ja-JP"/>
              </w:rPr>
              <w:t>4.</w:t>
            </w:r>
            <w:r w:rsidRPr="004E4188">
              <w:rPr>
                <w:rFonts w:ascii="Arial" w:hAnsi="Arial" w:cs="Arial"/>
                <w:i/>
                <w:sz w:val="20"/>
                <w:lang w:eastAsia="ja-JP"/>
              </w:rPr>
              <w:tab/>
              <w:t>Même nombre que pour 3. ci-dessus.</w:t>
            </w:r>
          </w:p>
          <w:p w14:paraId="605CAD87" w14:textId="77777777" w:rsidR="006F129D" w:rsidRPr="004E4188" w:rsidRDefault="006F129D" w:rsidP="00D03AD6">
            <w:pPr>
              <w:tabs>
                <w:tab w:val="left" w:pos="340"/>
              </w:tabs>
              <w:spacing w:afterLines="50" w:after="120"/>
              <w:ind w:left="340" w:hanging="340"/>
              <w:rPr>
                <w:rFonts w:ascii="Arial" w:hAnsi="Arial" w:cs="Arial"/>
                <w:i/>
                <w:sz w:val="20"/>
                <w:lang w:eastAsia="ja-JP"/>
              </w:rPr>
            </w:pPr>
            <w:r w:rsidRPr="004E4188">
              <w:rPr>
                <w:rFonts w:ascii="Arial" w:hAnsi="Arial" w:cs="Arial"/>
                <w:i/>
                <w:sz w:val="20"/>
                <w:lang w:eastAsia="ja-JP"/>
              </w:rPr>
              <w:t>5.</w:t>
            </w:r>
            <w:r w:rsidRPr="004E4188">
              <w:rPr>
                <w:rFonts w:ascii="Arial" w:hAnsi="Arial" w:cs="Arial"/>
                <w:i/>
                <w:sz w:val="20"/>
                <w:lang w:eastAsia="ja-JP"/>
              </w:rPr>
              <w:tab/>
              <w:t>Normalement pas moins de 25% du critère pour chaque membre d’un Groupement.</w:t>
            </w:r>
          </w:p>
          <w:p w14:paraId="5E79F586" w14:textId="77777777" w:rsidR="006F129D" w:rsidRPr="004E4188" w:rsidRDefault="006F129D" w:rsidP="00D03AD6">
            <w:pPr>
              <w:tabs>
                <w:tab w:val="left" w:pos="340"/>
              </w:tabs>
              <w:spacing w:afterLines="50" w:after="120"/>
              <w:ind w:left="340" w:hanging="340"/>
              <w:rPr>
                <w:rFonts w:ascii="Arial" w:hAnsi="Arial" w:cs="Arial"/>
                <w:i/>
                <w:sz w:val="20"/>
              </w:rPr>
            </w:pPr>
            <w:r w:rsidRPr="004E4188">
              <w:rPr>
                <w:rFonts w:ascii="Arial" w:hAnsi="Arial" w:cs="Arial"/>
                <w:i/>
                <w:sz w:val="20"/>
                <w:lang w:eastAsia="ja-JP"/>
              </w:rPr>
              <w:t>6.</w:t>
            </w:r>
            <w:r w:rsidRPr="004E4188">
              <w:rPr>
                <w:rFonts w:ascii="Arial" w:hAnsi="Arial" w:cs="Arial"/>
                <w:i/>
                <w:sz w:val="20"/>
                <w:lang w:eastAsia="ja-JP"/>
              </w:rPr>
              <w:tab/>
              <w:t>N</w:t>
            </w:r>
            <w:r w:rsidRPr="004E4188">
              <w:rPr>
                <w:rFonts w:ascii="Arial" w:hAnsi="Arial" w:cs="Arial"/>
                <w:i/>
                <w:sz w:val="20"/>
              </w:rPr>
              <w:t xml:space="preserve">ormalement </w:t>
            </w:r>
            <w:r w:rsidRPr="004E4188">
              <w:rPr>
                <w:rFonts w:ascii="Arial" w:hAnsi="Arial" w:cs="Arial"/>
                <w:i/>
                <w:sz w:val="20"/>
                <w:lang w:eastAsia="ja-JP"/>
              </w:rPr>
              <w:t>pas moins de</w:t>
            </w:r>
            <w:r w:rsidRPr="004E4188">
              <w:rPr>
                <w:rFonts w:ascii="Arial" w:hAnsi="Arial" w:cs="Arial"/>
                <w:i/>
                <w:sz w:val="20"/>
              </w:rPr>
              <w:t xml:space="preserve"> 40% </w:t>
            </w:r>
            <w:r w:rsidRPr="004E4188">
              <w:rPr>
                <w:rFonts w:ascii="Arial" w:hAnsi="Arial" w:cs="Arial"/>
                <w:i/>
                <w:sz w:val="20"/>
                <w:lang w:eastAsia="ja-JP"/>
              </w:rPr>
              <w:t>du critère</w:t>
            </w:r>
            <w:r w:rsidRPr="004E4188">
              <w:rPr>
                <w:rFonts w:ascii="Arial" w:hAnsi="Arial" w:cs="Arial"/>
                <w:i/>
                <w:sz w:val="20"/>
              </w:rPr>
              <w:t xml:space="preserve"> </w:t>
            </w:r>
            <w:r w:rsidRPr="004E4188">
              <w:rPr>
                <w:rFonts w:ascii="Arial" w:hAnsi="Arial" w:cs="Arial"/>
                <w:i/>
                <w:sz w:val="20"/>
                <w:lang w:eastAsia="ja-JP"/>
              </w:rPr>
              <w:t>pour un membre d’un Groupement</w:t>
            </w:r>
            <w:r w:rsidRPr="004E4188">
              <w:rPr>
                <w:rFonts w:ascii="Arial" w:hAnsi="Arial" w:cs="Arial"/>
                <w:i/>
                <w:sz w:val="20"/>
              </w:rPr>
              <w:t>.</w:t>
            </w:r>
          </w:p>
          <w:p w14:paraId="07CCFB96" w14:textId="77777777" w:rsidR="006F129D" w:rsidRPr="004E4188" w:rsidRDefault="006F129D" w:rsidP="00D45EAD">
            <w:pPr>
              <w:tabs>
                <w:tab w:val="left" w:pos="340"/>
              </w:tabs>
              <w:spacing w:afterLines="50" w:after="120"/>
              <w:ind w:left="340" w:hanging="340"/>
              <w:rPr>
                <w:rFonts w:ascii="Arial" w:eastAsia="Times New Roman" w:hAnsi="Arial" w:cs="Arial"/>
                <w:i/>
                <w:sz w:val="20"/>
              </w:rPr>
            </w:pPr>
            <w:r w:rsidRPr="004E4188">
              <w:rPr>
                <w:rFonts w:ascii="Arial" w:hAnsi="Arial" w:cs="Arial"/>
                <w:i/>
                <w:sz w:val="20"/>
              </w:rPr>
              <w:t>7.</w:t>
            </w:r>
            <w:r w:rsidRPr="004E4188">
              <w:rPr>
                <w:rFonts w:ascii="Arial" w:hAnsi="Arial" w:cs="Arial"/>
                <w:i/>
                <w:sz w:val="20"/>
                <w:lang w:eastAsia="ja-JP"/>
              </w:rPr>
              <w:tab/>
              <w:t>Indiquer le flux de trésorerie des activités de construction pour un nombre de mois, correspondant à la période totale nécessaire au Maître d’ouvrage pour régler les factures d’un entrepreneur, en tenant compte (a) du temps réel de construction à partir du début du mois facturé, (b) du temps nécessaire au Directeur de projet pour</w:t>
            </w:r>
            <w:r w:rsidRPr="004E4188">
              <w:rPr>
                <w:rFonts w:ascii="Arial" w:eastAsia="Times New Roman" w:hAnsi="Arial" w:cs="Arial"/>
                <w:i/>
                <w:sz w:val="20"/>
              </w:rPr>
              <w:t xml:space="preserve"> établir l’approbation du paiement, (c) du temps nécessaire au Maître d’ouvrage pour régler les </w:t>
            </w:r>
            <w:r w:rsidRPr="004E4188">
              <w:rPr>
                <w:rFonts w:ascii="Arial" w:hAnsi="Arial" w:cs="Arial"/>
                <w:i/>
                <w:sz w:val="20"/>
                <w:lang w:eastAsia="ja-JP"/>
              </w:rPr>
              <w:t>montants certifiés</w:t>
            </w:r>
            <w:r w:rsidRPr="004E4188">
              <w:rPr>
                <w:rFonts w:ascii="Arial" w:eastAsia="Times New Roman" w:hAnsi="Arial" w:cs="Arial"/>
                <w:i/>
                <w:sz w:val="20"/>
              </w:rPr>
              <w:t>, et (d) d’un délai supplémentaire d’un mois en cas de retard imprévu</w:t>
            </w:r>
            <w:r w:rsidRPr="004E4188">
              <w:rPr>
                <w:rFonts w:ascii="Arial" w:hAnsi="Arial" w:cs="Arial"/>
                <w:i/>
                <w:sz w:val="20"/>
                <w:lang w:eastAsia="ja-JP"/>
              </w:rPr>
              <w:t xml:space="preserve">. La période totale ne devra pas dépasser six (6) mois. </w:t>
            </w:r>
            <w:r w:rsidRPr="004E4188">
              <w:rPr>
                <w:rFonts w:ascii="Arial" w:eastAsia="Times New Roman" w:hAnsi="Arial" w:cs="Arial"/>
                <w:i/>
                <w:sz w:val="20"/>
              </w:rPr>
              <w:t>L’estimation du montant mensuel devra être basée sur une projection linéaire des besoins estimés de trésorerie sur la période contractuelle, sans prendre en compte les effets d'une avance de paiement ou d’une retenue, mais incluant les provisions pour risque dans le montant estimé du Marché.</w:t>
            </w:r>
          </w:p>
          <w:tbl>
            <w:tblPr>
              <w:tblpPr w:leftFromText="142" w:rightFromText="142" w:vertAnchor="text" w:horzAnchor="margin" w:tblpX="284" w:tblpY="342"/>
              <w:tblOverlap w:val="never"/>
              <w:tblW w:w="0" w:type="auto"/>
              <w:tblLayout w:type="fixed"/>
              <w:tblLook w:val="04A0" w:firstRow="1" w:lastRow="0" w:firstColumn="1" w:lastColumn="0" w:noHBand="0" w:noVBand="1"/>
            </w:tblPr>
            <w:tblGrid>
              <w:gridCol w:w="2126"/>
              <w:gridCol w:w="338"/>
              <w:gridCol w:w="5602"/>
            </w:tblGrid>
            <w:tr w:rsidR="006F129D" w:rsidRPr="004E4188" w14:paraId="4949CFB0" w14:textId="77777777" w:rsidTr="00CF240A">
              <w:tc>
                <w:tcPr>
                  <w:tcW w:w="2126" w:type="dxa"/>
                  <w:vMerge w:val="restart"/>
                  <w:shd w:val="clear" w:color="auto" w:fill="auto"/>
                  <w:vAlign w:val="center"/>
                </w:tcPr>
                <w:p w14:paraId="5DDC5E2A" w14:textId="77777777" w:rsidR="006F129D" w:rsidRPr="004E4188" w:rsidRDefault="006F129D" w:rsidP="00D45EAD">
                  <w:pPr>
                    <w:widowControl w:val="0"/>
                    <w:tabs>
                      <w:tab w:val="left" w:leader="dot" w:pos="8424"/>
                    </w:tabs>
                    <w:spacing w:before="60" w:after="60" w:line="240" w:lineRule="exact"/>
                    <w:jc w:val="center"/>
                    <w:rPr>
                      <w:rFonts w:ascii="Arial" w:hAnsi="Arial" w:cs="Arial"/>
                      <w:i/>
                      <w:sz w:val="20"/>
                      <w:lang w:val="en-US" w:eastAsia="ja-JP"/>
                    </w:rPr>
                  </w:pPr>
                  <w:r w:rsidRPr="004E4188">
                    <w:rPr>
                      <w:rFonts w:ascii="Arial" w:hAnsi="Arial" w:cs="Arial"/>
                      <w:i/>
                      <w:sz w:val="20"/>
                      <w:lang w:val="en-US" w:eastAsia="ja-JP"/>
                    </w:rPr>
                    <w:t>Montant mensuel</w:t>
                  </w:r>
                </w:p>
              </w:tc>
              <w:tc>
                <w:tcPr>
                  <w:tcW w:w="338" w:type="dxa"/>
                  <w:vMerge w:val="restart"/>
                  <w:shd w:val="clear" w:color="auto" w:fill="auto"/>
                  <w:vAlign w:val="center"/>
                </w:tcPr>
                <w:p w14:paraId="6A1565B2" w14:textId="77777777" w:rsidR="006F129D" w:rsidRPr="004E4188" w:rsidRDefault="006F129D" w:rsidP="00D45EAD">
                  <w:pPr>
                    <w:widowControl w:val="0"/>
                    <w:tabs>
                      <w:tab w:val="left" w:leader="dot" w:pos="8424"/>
                    </w:tabs>
                    <w:spacing w:before="60" w:after="60" w:line="240" w:lineRule="exact"/>
                    <w:jc w:val="center"/>
                    <w:rPr>
                      <w:rFonts w:ascii="Arial" w:hAnsi="Arial" w:cs="Arial"/>
                      <w:i/>
                      <w:sz w:val="20"/>
                      <w:lang w:val="en-US" w:eastAsia="ja-JP"/>
                    </w:rPr>
                  </w:pPr>
                  <w:r w:rsidRPr="004E4188">
                    <w:rPr>
                      <w:rFonts w:ascii="Arial" w:hAnsi="Arial" w:cs="Arial"/>
                      <w:i/>
                      <w:sz w:val="20"/>
                      <w:lang w:val="en-US" w:eastAsia="ja-JP"/>
                    </w:rPr>
                    <w:t>=</w:t>
                  </w:r>
                </w:p>
              </w:tc>
              <w:tc>
                <w:tcPr>
                  <w:tcW w:w="5602" w:type="dxa"/>
                  <w:tcBorders>
                    <w:bottom w:val="single" w:sz="4" w:space="0" w:color="auto"/>
                  </w:tcBorders>
                  <w:shd w:val="clear" w:color="auto" w:fill="auto"/>
                </w:tcPr>
                <w:p w14:paraId="51EB41D8" w14:textId="77777777" w:rsidR="006F129D" w:rsidRPr="004E4188" w:rsidRDefault="006F129D" w:rsidP="00D45EAD">
                  <w:pPr>
                    <w:widowControl w:val="0"/>
                    <w:tabs>
                      <w:tab w:val="left" w:leader="dot" w:pos="8424"/>
                    </w:tabs>
                    <w:spacing w:before="60" w:after="60" w:line="240" w:lineRule="exact"/>
                    <w:jc w:val="left"/>
                    <w:rPr>
                      <w:rFonts w:ascii="Arial" w:hAnsi="Arial" w:cs="Arial"/>
                      <w:i/>
                      <w:sz w:val="20"/>
                      <w:lang w:eastAsia="ja-JP"/>
                    </w:rPr>
                  </w:pPr>
                  <w:r w:rsidRPr="004E4188">
                    <w:rPr>
                      <w:rFonts w:ascii="Arial" w:hAnsi="Arial" w:cs="Arial"/>
                      <w:i/>
                      <w:sz w:val="20"/>
                      <w:lang w:eastAsia="ja-JP"/>
                    </w:rPr>
                    <w:t>Valeur estimée du Marché (impôts et droits compris)</w:t>
                  </w:r>
                </w:p>
              </w:tc>
            </w:tr>
            <w:tr w:rsidR="006F129D" w:rsidRPr="004E4188" w14:paraId="72AF2484" w14:textId="77777777" w:rsidTr="00CF240A">
              <w:trPr>
                <w:trHeight w:val="152"/>
              </w:trPr>
              <w:tc>
                <w:tcPr>
                  <w:tcW w:w="2126" w:type="dxa"/>
                  <w:vMerge/>
                  <w:shd w:val="clear" w:color="auto" w:fill="auto"/>
                </w:tcPr>
                <w:p w14:paraId="2FB17312" w14:textId="77777777" w:rsidR="006F129D" w:rsidRPr="004E4188" w:rsidRDefault="006F129D" w:rsidP="00D45EAD">
                  <w:pPr>
                    <w:widowControl w:val="0"/>
                    <w:tabs>
                      <w:tab w:val="left" w:leader="dot" w:pos="8424"/>
                    </w:tabs>
                    <w:spacing w:before="60" w:after="60" w:line="240" w:lineRule="exact"/>
                    <w:rPr>
                      <w:rFonts w:ascii="Arial" w:hAnsi="Arial" w:cs="Arial"/>
                      <w:i/>
                      <w:sz w:val="20"/>
                      <w:lang w:eastAsia="ja-JP"/>
                    </w:rPr>
                  </w:pPr>
                </w:p>
              </w:tc>
              <w:tc>
                <w:tcPr>
                  <w:tcW w:w="338" w:type="dxa"/>
                  <w:vMerge/>
                  <w:shd w:val="clear" w:color="auto" w:fill="auto"/>
                </w:tcPr>
                <w:p w14:paraId="4598551A" w14:textId="77777777" w:rsidR="006F129D" w:rsidRPr="004E4188" w:rsidRDefault="006F129D" w:rsidP="00D45EAD">
                  <w:pPr>
                    <w:widowControl w:val="0"/>
                    <w:tabs>
                      <w:tab w:val="left" w:leader="dot" w:pos="8424"/>
                    </w:tabs>
                    <w:spacing w:before="60" w:after="60" w:line="240" w:lineRule="exact"/>
                    <w:rPr>
                      <w:rFonts w:ascii="Arial" w:hAnsi="Arial" w:cs="Arial"/>
                      <w:i/>
                      <w:sz w:val="20"/>
                      <w:lang w:eastAsia="ja-JP"/>
                    </w:rPr>
                  </w:pPr>
                </w:p>
              </w:tc>
              <w:tc>
                <w:tcPr>
                  <w:tcW w:w="5602" w:type="dxa"/>
                  <w:tcBorders>
                    <w:top w:val="single" w:sz="4" w:space="0" w:color="auto"/>
                  </w:tcBorders>
                  <w:shd w:val="clear" w:color="auto" w:fill="auto"/>
                </w:tcPr>
                <w:p w14:paraId="00059EF1" w14:textId="77777777" w:rsidR="006F129D" w:rsidRPr="004E4188" w:rsidRDefault="006F129D" w:rsidP="00D45EAD">
                  <w:pPr>
                    <w:widowControl w:val="0"/>
                    <w:tabs>
                      <w:tab w:val="left" w:leader="dot" w:pos="8424"/>
                    </w:tabs>
                    <w:spacing w:before="60" w:after="60" w:line="240" w:lineRule="exact"/>
                    <w:jc w:val="left"/>
                    <w:rPr>
                      <w:rFonts w:ascii="Arial" w:hAnsi="Arial" w:cs="Arial"/>
                      <w:i/>
                      <w:sz w:val="20"/>
                      <w:lang w:eastAsia="ja-JP"/>
                    </w:rPr>
                  </w:pPr>
                  <w:r w:rsidRPr="004E4188">
                    <w:rPr>
                      <w:rFonts w:ascii="Arial" w:hAnsi="Arial" w:cs="Arial"/>
                      <w:i/>
                      <w:sz w:val="20"/>
                      <w:lang w:eastAsia="ja-JP"/>
                    </w:rPr>
                    <w:t>Période contractuelle en mois</w:t>
                  </w:r>
                </w:p>
              </w:tc>
            </w:tr>
          </w:tbl>
          <w:p w14:paraId="4418D929" w14:textId="77777777" w:rsidR="006F129D" w:rsidRPr="004E4188" w:rsidRDefault="006F129D" w:rsidP="00D45EAD">
            <w:pPr>
              <w:tabs>
                <w:tab w:val="left" w:pos="340"/>
              </w:tabs>
              <w:spacing w:afterLines="50" w:after="120"/>
              <w:ind w:left="340" w:hanging="340"/>
              <w:rPr>
                <w:rFonts w:ascii="Arial" w:hAnsi="Arial" w:cs="Arial"/>
                <w:sz w:val="32"/>
                <w:szCs w:val="32"/>
              </w:rPr>
            </w:pPr>
          </w:p>
        </w:tc>
      </w:tr>
    </w:tbl>
    <w:p w14:paraId="78CE2CBA" w14:textId="77777777" w:rsidR="006F129D" w:rsidRPr="004E4188" w:rsidRDefault="006F129D" w:rsidP="007B0B65">
      <w:pPr>
        <w:ind w:right="-72"/>
        <w:rPr>
          <w:b/>
          <w:lang w:eastAsia="ja-JP"/>
        </w:rPr>
      </w:pPr>
    </w:p>
    <w:p w14:paraId="1896C60C" w14:textId="77777777" w:rsidR="006F129D" w:rsidRPr="004E4188" w:rsidRDefault="006F129D" w:rsidP="005B4077">
      <w:pPr>
        <w:rPr>
          <w:b/>
          <w:sz w:val="16"/>
          <w:szCs w:val="16"/>
          <w:lang w:eastAsia="ja-JP"/>
        </w:rPr>
      </w:pPr>
      <w:r w:rsidRPr="004E4188">
        <w:rPr>
          <w:b/>
          <w:lang w:eastAsia="ja-JP"/>
        </w:rPr>
        <w:br w:type="page"/>
      </w:r>
    </w:p>
    <w:p w14:paraId="6B38722E" w14:textId="2B72AC52" w:rsidR="006F129D" w:rsidRPr="004E4188" w:rsidRDefault="006F129D" w:rsidP="003D46CF">
      <w:pPr>
        <w:pStyle w:val="ListParagraph1"/>
        <w:numPr>
          <w:ilvl w:val="1"/>
          <w:numId w:val="38"/>
        </w:numPr>
        <w:snapToGrid w:val="0"/>
        <w:spacing w:after="240"/>
        <w:ind w:left="0" w:firstLine="0"/>
        <w:contextualSpacing w:val="0"/>
        <w:jc w:val="left"/>
        <w:rPr>
          <w:b/>
          <w:sz w:val="28"/>
          <w:szCs w:val="28"/>
        </w:rPr>
      </w:pPr>
      <w:r w:rsidRPr="004E4188">
        <w:rPr>
          <w:b/>
          <w:sz w:val="28"/>
          <w:szCs w:val="28"/>
        </w:rPr>
        <w:t>Exp</w:t>
      </w:r>
      <w:r w:rsidR="00AD2A2B" w:rsidRPr="004E4188">
        <w:rPr>
          <w:b/>
          <w:sz w:val="28"/>
          <w:szCs w:val="28"/>
        </w:rPr>
        <w:t>é</w:t>
      </w:r>
      <w:r w:rsidRPr="004E4188">
        <w:rPr>
          <w:b/>
          <w:sz w:val="28"/>
          <w:szCs w:val="28"/>
        </w:rPr>
        <w:t>rience</w:t>
      </w:r>
    </w:p>
    <w:tbl>
      <w:tblPr>
        <w:tblW w:w="13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37"/>
        <w:gridCol w:w="3513"/>
        <w:gridCol w:w="1560"/>
        <w:gridCol w:w="1453"/>
        <w:gridCol w:w="1453"/>
        <w:gridCol w:w="1453"/>
        <w:gridCol w:w="1699"/>
      </w:tblGrid>
      <w:tr w:rsidR="00CB6950" w:rsidRPr="004E4188" w14:paraId="13CABFAF" w14:textId="77777777" w:rsidTr="000B0DCD">
        <w:trPr>
          <w:tblHeader/>
        </w:trPr>
        <w:tc>
          <w:tcPr>
            <w:tcW w:w="5778" w:type="dxa"/>
            <w:gridSpan w:val="3"/>
            <w:tcBorders>
              <w:bottom w:val="single" w:sz="4" w:space="0" w:color="auto"/>
            </w:tcBorders>
            <w:shd w:val="clear" w:color="auto" w:fill="000000" w:themeFill="text1"/>
            <w:vAlign w:val="center"/>
          </w:tcPr>
          <w:p w14:paraId="6F8134E9" w14:textId="22F388F5" w:rsidR="00CB6950" w:rsidRPr="004E4188" w:rsidRDefault="00CB6950" w:rsidP="00CB6950">
            <w:pPr>
              <w:jc w:val="center"/>
              <w:rPr>
                <w:rFonts w:ascii="Arial" w:hAnsi="Arial" w:cs="Arial"/>
                <w:b/>
              </w:rPr>
            </w:pPr>
            <w:r w:rsidRPr="004E4188">
              <w:rPr>
                <w:rFonts w:ascii="Arial" w:hAnsi="Arial" w:cs="Arial"/>
                <w:b/>
                <w:color w:val="FFFFFF"/>
                <w:sz w:val="20"/>
              </w:rPr>
              <w:t>Critères d’éligibilité et de qualification</w:t>
            </w:r>
          </w:p>
        </w:tc>
        <w:tc>
          <w:tcPr>
            <w:tcW w:w="5919" w:type="dxa"/>
            <w:gridSpan w:val="4"/>
            <w:tcBorders>
              <w:bottom w:val="single" w:sz="4" w:space="0" w:color="auto"/>
            </w:tcBorders>
            <w:shd w:val="clear" w:color="auto" w:fill="000000" w:themeFill="text1"/>
            <w:vAlign w:val="center"/>
          </w:tcPr>
          <w:p w14:paraId="4AD7C58E" w14:textId="09B3E499" w:rsidR="00CB6950" w:rsidRPr="004E4188" w:rsidRDefault="00CB6950" w:rsidP="00CB6950">
            <w:pPr>
              <w:jc w:val="center"/>
              <w:rPr>
                <w:rFonts w:ascii="Arial" w:hAnsi="Arial" w:cs="Arial"/>
                <w:b/>
              </w:rPr>
            </w:pPr>
            <w:r w:rsidRPr="004E4188">
              <w:rPr>
                <w:rFonts w:ascii="Arial" w:hAnsi="Arial" w:cs="Arial"/>
                <w:b/>
                <w:color w:val="FFFFFF"/>
                <w:sz w:val="20"/>
              </w:rPr>
              <w:t>Conditions de conformité</w:t>
            </w:r>
          </w:p>
        </w:tc>
        <w:tc>
          <w:tcPr>
            <w:tcW w:w="1699" w:type="dxa"/>
            <w:tcBorders>
              <w:bottom w:val="single" w:sz="4" w:space="0" w:color="auto"/>
            </w:tcBorders>
            <w:shd w:val="clear" w:color="auto" w:fill="000000" w:themeFill="text1"/>
            <w:vAlign w:val="center"/>
          </w:tcPr>
          <w:p w14:paraId="52C2BC9D" w14:textId="4850AAF4" w:rsidR="00CB6950" w:rsidRPr="004E4188" w:rsidRDefault="00CB6950" w:rsidP="00CB6950">
            <w:pPr>
              <w:jc w:val="center"/>
              <w:rPr>
                <w:rFonts w:ascii="Arial" w:hAnsi="Arial" w:cs="Arial"/>
                <w:b/>
              </w:rPr>
            </w:pPr>
            <w:r w:rsidRPr="004E4188">
              <w:rPr>
                <w:rFonts w:ascii="Arial" w:hAnsi="Arial" w:cs="Arial"/>
                <w:b/>
                <w:color w:val="FFFFFF"/>
                <w:sz w:val="20"/>
              </w:rPr>
              <w:t>Documentation</w:t>
            </w:r>
          </w:p>
        </w:tc>
      </w:tr>
      <w:tr w:rsidR="006F129D" w:rsidRPr="004E4188" w14:paraId="709457AE" w14:textId="77777777" w:rsidTr="000B0DCD">
        <w:trPr>
          <w:trHeight w:val="300"/>
          <w:tblHeader/>
        </w:trPr>
        <w:tc>
          <w:tcPr>
            <w:tcW w:w="828" w:type="dxa"/>
            <w:vMerge w:val="restart"/>
            <w:shd w:val="clear" w:color="auto" w:fill="BFBFBF" w:themeFill="background1" w:themeFillShade="BF"/>
            <w:vAlign w:val="center"/>
          </w:tcPr>
          <w:p w14:paraId="64285E96" w14:textId="77777777" w:rsidR="006F129D" w:rsidRPr="004E4188" w:rsidRDefault="006F129D" w:rsidP="007B0B65">
            <w:pPr>
              <w:jc w:val="center"/>
              <w:rPr>
                <w:rFonts w:ascii="Arial" w:hAnsi="Arial" w:cs="Arial"/>
                <w:b/>
                <w:sz w:val="20"/>
              </w:rPr>
            </w:pPr>
            <w:r w:rsidRPr="004E4188">
              <w:rPr>
                <w:rFonts w:ascii="Arial" w:hAnsi="Arial" w:cs="Arial"/>
                <w:b/>
                <w:sz w:val="20"/>
              </w:rPr>
              <w:t>n</w:t>
            </w:r>
            <w:r w:rsidRPr="004E4188">
              <w:rPr>
                <w:rFonts w:ascii="Arial" w:hAnsi="Arial" w:cs="Arial"/>
                <w:b/>
                <w:sz w:val="20"/>
                <w:vertAlign w:val="superscript"/>
              </w:rPr>
              <w:t>o</w:t>
            </w:r>
          </w:p>
        </w:tc>
        <w:tc>
          <w:tcPr>
            <w:tcW w:w="1437" w:type="dxa"/>
            <w:vMerge w:val="restart"/>
            <w:shd w:val="clear" w:color="auto" w:fill="BFBFBF" w:themeFill="background1" w:themeFillShade="BF"/>
            <w:vAlign w:val="center"/>
          </w:tcPr>
          <w:p w14:paraId="7BC17B4D" w14:textId="77777777" w:rsidR="006F129D" w:rsidRPr="004E4188" w:rsidRDefault="006F129D" w:rsidP="007B0B65">
            <w:pPr>
              <w:jc w:val="center"/>
              <w:rPr>
                <w:rFonts w:ascii="Arial" w:hAnsi="Arial" w:cs="Arial"/>
                <w:b/>
                <w:sz w:val="20"/>
              </w:rPr>
            </w:pPr>
            <w:r w:rsidRPr="004E4188">
              <w:rPr>
                <w:rFonts w:ascii="Arial" w:hAnsi="Arial" w:cs="Arial"/>
                <w:b/>
                <w:sz w:val="20"/>
              </w:rPr>
              <w:t>Critère</w:t>
            </w:r>
          </w:p>
        </w:tc>
        <w:tc>
          <w:tcPr>
            <w:tcW w:w="3513" w:type="dxa"/>
            <w:vMerge w:val="restart"/>
            <w:shd w:val="clear" w:color="auto" w:fill="BFBFBF" w:themeFill="background1" w:themeFillShade="BF"/>
            <w:vAlign w:val="center"/>
          </w:tcPr>
          <w:p w14:paraId="48A43EDF" w14:textId="77777777" w:rsidR="006F129D" w:rsidRPr="004E4188" w:rsidRDefault="006F129D" w:rsidP="007B0B65">
            <w:pPr>
              <w:jc w:val="center"/>
              <w:rPr>
                <w:rFonts w:ascii="Arial" w:hAnsi="Arial" w:cs="Arial"/>
                <w:b/>
                <w:sz w:val="20"/>
              </w:rPr>
            </w:pPr>
            <w:r w:rsidRPr="004E4188">
              <w:rPr>
                <w:rFonts w:ascii="Arial" w:hAnsi="Arial" w:cs="Arial"/>
                <w:b/>
                <w:sz w:val="20"/>
              </w:rPr>
              <w:t>Spécification</w:t>
            </w:r>
          </w:p>
        </w:tc>
        <w:tc>
          <w:tcPr>
            <w:tcW w:w="1560" w:type="dxa"/>
            <w:vMerge w:val="restart"/>
            <w:shd w:val="clear" w:color="auto" w:fill="BFBFBF" w:themeFill="background1" w:themeFillShade="BF"/>
            <w:vAlign w:val="center"/>
          </w:tcPr>
          <w:p w14:paraId="600CBB44" w14:textId="77777777" w:rsidR="006F129D" w:rsidRPr="004E4188" w:rsidRDefault="006F129D" w:rsidP="00D45EAD">
            <w:pPr>
              <w:jc w:val="center"/>
              <w:rPr>
                <w:rFonts w:ascii="Arial" w:hAnsi="Arial" w:cs="Arial"/>
                <w:b/>
                <w:sz w:val="20"/>
              </w:rPr>
            </w:pPr>
            <w:r w:rsidRPr="004E4188">
              <w:rPr>
                <w:rFonts w:ascii="Arial" w:hAnsi="Arial" w:cs="Arial"/>
                <w:b/>
                <w:sz w:val="20"/>
              </w:rPr>
              <w:t>Entreprise unique</w:t>
            </w:r>
          </w:p>
        </w:tc>
        <w:tc>
          <w:tcPr>
            <w:tcW w:w="4359" w:type="dxa"/>
            <w:gridSpan w:val="3"/>
            <w:tcBorders>
              <w:bottom w:val="single" w:sz="4" w:space="0" w:color="auto"/>
            </w:tcBorders>
            <w:shd w:val="clear" w:color="auto" w:fill="BFBFBF" w:themeFill="background1" w:themeFillShade="BF"/>
            <w:vAlign w:val="center"/>
          </w:tcPr>
          <w:p w14:paraId="448446A7" w14:textId="69498C12" w:rsidR="00AD2A2B" w:rsidRPr="004E4188" w:rsidRDefault="006F129D" w:rsidP="007B0B65">
            <w:pPr>
              <w:jc w:val="center"/>
              <w:rPr>
                <w:rFonts w:ascii="Arial" w:hAnsi="Arial" w:cs="Arial"/>
                <w:b/>
                <w:sz w:val="20"/>
              </w:rPr>
            </w:pPr>
            <w:r w:rsidRPr="004E4188">
              <w:rPr>
                <w:rFonts w:ascii="Arial" w:hAnsi="Arial" w:cs="Arial"/>
                <w:b/>
                <w:sz w:val="20"/>
              </w:rPr>
              <w:t>Groupement</w:t>
            </w:r>
          </w:p>
          <w:p w14:paraId="6378F9C4" w14:textId="21975A7F" w:rsidR="006F129D" w:rsidRPr="004E4188" w:rsidRDefault="006F129D" w:rsidP="007B0B65">
            <w:pPr>
              <w:jc w:val="center"/>
              <w:rPr>
                <w:rFonts w:ascii="Arial" w:hAnsi="Arial" w:cs="Arial"/>
                <w:b/>
                <w:sz w:val="20"/>
              </w:rPr>
            </w:pPr>
            <w:r w:rsidRPr="004E4188">
              <w:rPr>
                <w:rFonts w:ascii="Arial" w:hAnsi="Arial" w:cs="Arial"/>
                <w:b/>
                <w:sz w:val="20"/>
              </w:rPr>
              <w:t>(existant ou prévu)</w:t>
            </w:r>
          </w:p>
        </w:tc>
        <w:tc>
          <w:tcPr>
            <w:tcW w:w="1699" w:type="dxa"/>
            <w:vMerge w:val="restart"/>
            <w:shd w:val="clear" w:color="auto" w:fill="BFBFBF" w:themeFill="background1" w:themeFillShade="BF"/>
            <w:vAlign w:val="center"/>
          </w:tcPr>
          <w:p w14:paraId="3312BAC8" w14:textId="77777777" w:rsidR="006F129D" w:rsidRPr="004E4188" w:rsidRDefault="006F129D" w:rsidP="007B0B65">
            <w:pPr>
              <w:jc w:val="center"/>
              <w:rPr>
                <w:rFonts w:ascii="Arial" w:hAnsi="Arial" w:cs="Arial"/>
                <w:b/>
                <w:sz w:val="20"/>
              </w:rPr>
            </w:pPr>
            <w:r w:rsidRPr="004E4188">
              <w:rPr>
                <w:rFonts w:ascii="Arial" w:hAnsi="Arial" w:cs="Arial"/>
                <w:b/>
                <w:sz w:val="20"/>
              </w:rPr>
              <w:t>Spécifications de soumission</w:t>
            </w:r>
          </w:p>
        </w:tc>
      </w:tr>
      <w:tr w:rsidR="006F129D" w:rsidRPr="004E4188" w14:paraId="1137A60F" w14:textId="77777777" w:rsidTr="000B0DCD">
        <w:trPr>
          <w:trHeight w:val="360"/>
          <w:tblHeader/>
        </w:trPr>
        <w:tc>
          <w:tcPr>
            <w:tcW w:w="828" w:type="dxa"/>
            <w:vMerge/>
            <w:shd w:val="clear" w:color="auto" w:fill="F3F3F3"/>
            <w:vAlign w:val="center"/>
          </w:tcPr>
          <w:p w14:paraId="05F4A3ED" w14:textId="77777777" w:rsidR="006F129D" w:rsidRPr="004E4188" w:rsidRDefault="006F129D" w:rsidP="007B0B65">
            <w:pPr>
              <w:jc w:val="center"/>
              <w:rPr>
                <w:rFonts w:ascii="Arial" w:hAnsi="Arial" w:cs="Arial"/>
                <w:sz w:val="18"/>
                <w:szCs w:val="18"/>
              </w:rPr>
            </w:pPr>
          </w:p>
        </w:tc>
        <w:tc>
          <w:tcPr>
            <w:tcW w:w="1437" w:type="dxa"/>
            <w:vMerge/>
            <w:shd w:val="clear" w:color="auto" w:fill="F3F3F3"/>
            <w:vAlign w:val="center"/>
          </w:tcPr>
          <w:p w14:paraId="15417C5D" w14:textId="77777777" w:rsidR="006F129D" w:rsidRPr="004E4188" w:rsidRDefault="006F129D" w:rsidP="007B0B65">
            <w:pPr>
              <w:jc w:val="center"/>
              <w:rPr>
                <w:rFonts w:ascii="Arial" w:hAnsi="Arial" w:cs="Arial"/>
                <w:sz w:val="18"/>
                <w:szCs w:val="18"/>
              </w:rPr>
            </w:pPr>
          </w:p>
        </w:tc>
        <w:tc>
          <w:tcPr>
            <w:tcW w:w="3513" w:type="dxa"/>
            <w:vMerge/>
            <w:shd w:val="clear" w:color="auto" w:fill="F3F3F3"/>
            <w:vAlign w:val="center"/>
          </w:tcPr>
          <w:p w14:paraId="0C4CB748" w14:textId="77777777" w:rsidR="006F129D" w:rsidRPr="004E4188" w:rsidRDefault="006F129D" w:rsidP="007B0B65">
            <w:pPr>
              <w:jc w:val="center"/>
              <w:rPr>
                <w:rFonts w:ascii="Arial" w:hAnsi="Arial" w:cs="Arial"/>
                <w:sz w:val="18"/>
                <w:szCs w:val="18"/>
              </w:rPr>
            </w:pPr>
          </w:p>
        </w:tc>
        <w:tc>
          <w:tcPr>
            <w:tcW w:w="1560" w:type="dxa"/>
            <w:vMerge/>
            <w:shd w:val="clear" w:color="auto" w:fill="F3F3F3"/>
            <w:vAlign w:val="center"/>
          </w:tcPr>
          <w:p w14:paraId="7620012C" w14:textId="77777777" w:rsidR="006F129D" w:rsidRPr="004E4188" w:rsidRDefault="006F129D" w:rsidP="007B0B65">
            <w:pPr>
              <w:jc w:val="center"/>
              <w:rPr>
                <w:rFonts w:ascii="Arial" w:hAnsi="Arial" w:cs="Arial"/>
                <w:sz w:val="18"/>
                <w:szCs w:val="18"/>
              </w:rPr>
            </w:pPr>
          </w:p>
        </w:tc>
        <w:tc>
          <w:tcPr>
            <w:tcW w:w="1453" w:type="dxa"/>
            <w:shd w:val="clear" w:color="auto" w:fill="BFBFBF" w:themeFill="background1" w:themeFillShade="BF"/>
            <w:vAlign w:val="center"/>
          </w:tcPr>
          <w:p w14:paraId="44D9E1C8" w14:textId="77777777" w:rsidR="006F129D" w:rsidRPr="004E4188" w:rsidRDefault="006F129D" w:rsidP="00D45EAD">
            <w:pPr>
              <w:jc w:val="center"/>
              <w:rPr>
                <w:rFonts w:ascii="Arial" w:hAnsi="Arial" w:cs="Arial"/>
                <w:b/>
                <w:sz w:val="20"/>
              </w:rPr>
            </w:pPr>
            <w:r w:rsidRPr="004E4188">
              <w:rPr>
                <w:rFonts w:ascii="Arial" w:hAnsi="Arial" w:cs="Arial"/>
                <w:b/>
                <w:sz w:val="20"/>
              </w:rPr>
              <w:t>Tous membres combinés</w:t>
            </w:r>
          </w:p>
        </w:tc>
        <w:tc>
          <w:tcPr>
            <w:tcW w:w="1453" w:type="dxa"/>
            <w:shd w:val="clear" w:color="auto" w:fill="BFBFBF" w:themeFill="background1" w:themeFillShade="BF"/>
            <w:vAlign w:val="center"/>
          </w:tcPr>
          <w:p w14:paraId="75B7859A" w14:textId="77777777" w:rsidR="006F129D" w:rsidRPr="004E4188" w:rsidRDefault="006F129D" w:rsidP="007B0B65">
            <w:pPr>
              <w:jc w:val="center"/>
              <w:rPr>
                <w:rFonts w:ascii="Arial" w:hAnsi="Arial" w:cs="Arial"/>
                <w:b/>
                <w:sz w:val="20"/>
              </w:rPr>
            </w:pPr>
            <w:r w:rsidRPr="004E4188">
              <w:rPr>
                <w:rFonts w:ascii="Arial" w:hAnsi="Arial" w:cs="Arial"/>
                <w:b/>
                <w:sz w:val="20"/>
              </w:rPr>
              <w:t>Chaque membre</w:t>
            </w:r>
          </w:p>
        </w:tc>
        <w:tc>
          <w:tcPr>
            <w:tcW w:w="1453" w:type="dxa"/>
            <w:shd w:val="clear" w:color="auto" w:fill="BFBFBF" w:themeFill="background1" w:themeFillShade="BF"/>
            <w:vAlign w:val="center"/>
          </w:tcPr>
          <w:p w14:paraId="1C8D5DE2" w14:textId="77777777" w:rsidR="006F129D" w:rsidRPr="004E4188" w:rsidRDefault="006F129D" w:rsidP="007B0B65">
            <w:pPr>
              <w:jc w:val="center"/>
              <w:rPr>
                <w:rFonts w:ascii="Arial" w:hAnsi="Arial" w:cs="Arial"/>
                <w:b/>
                <w:sz w:val="20"/>
              </w:rPr>
            </w:pPr>
            <w:r w:rsidRPr="004E4188">
              <w:rPr>
                <w:rFonts w:ascii="Arial" w:hAnsi="Arial" w:cs="Arial"/>
                <w:b/>
                <w:sz w:val="20"/>
              </w:rPr>
              <w:t>Un membre</w:t>
            </w:r>
          </w:p>
        </w:tc>
        <w:tc>
          <w:tcPr>
            <w:tcW w:w="1699" w:type="dxa"/>
            <w:vMerge/>
            <w:shd w:val="clear" w:color="auto" w:fill="F3F3F3"/>
            <w:vAlign w:val="center"/>
          </w:tcPr>
          <w:p w14:paraId="7657612B" w14:textId="77777777" w:rsidR="006F129D" w:rsidRPr="004E4188" w:rsidRDefault="006F129D" w:rsidP="007B0B65">
            <w:pPr>
              <w:jc w:val="center"/>
              <w:rPr>
                <w:rFonts w:ascii="Arial" w:hAnsi="Arial" w:cs="Arial"/>
                <w:sz w:val="18"/>
                <w:szCs w:val="18"/>
              </w:rPr>
            </w:pPr>
          </w:p>
        </w:tc>
      </w:tr>
      <w:tr w:rsidR="006F129D" w:rsidRPr="004E4188" w14:paraId="0FB251AE" w14:textId="77777777" w:rsidTr="000B0DCD">
        <w:trPr>
          <w:trHeight w:val="631"/>
        </w:trPr>
        <w:tc>
          <w:tcPr>
            <w:tcW w:w="828" w:type="dxa"/>
            <w:tcBorders>
              <w:bottom w:val="single" w:sz="4" w:space="0" w:color="auto"/>
            </w:tcBorders>
          </w:tcPr>
          <w:p w14:paraId="1EEA559C" w14:textId="77777777" w:rsidR="006F129D" w:rsidRPr="004E4188" w:rsidRDefault="006F129D" w:rsidP="00A332EF">
            <w:pPr>
              <w:spacing w:before="60"/>
              <w:jc w:val="center"/>
              <w:rPr>
                <w:rFonts w:ascii="Arial" w:hAnsi="Arial" w:cs="Arial"/>
                <w:sz w:val="20"/>
              </w:rPr>
            </w:pPr>
            <w:r w:rsidRPr="004E4188">
              <w:rPr>
                <w:rFonts w:ascii="Arial" w:hAnsi="Arial" w:cs="Arial"/>
                <w:sz w:val="20"/>
              </w:rPr>
              <w:t>2.4.1</w:t>
            </w:r>
          </w:p>
        </w:tc>
        <w:tc>
          <w:tcPr>
            <w:tcW w:w="1437" w:type="dxa"/>
            <w:tcBorders>
              <w:bottom w:val="single" w:sz="4" w:space="0" w:color="auto"/>
            </w:tcBorders>
          </w:tcPr>
          <w:p w14:paraId="1EE2F214" w14:textId="77777777" w:rsidR="006F129D" w:rsidRPr="004E4188" w:rsidRDefault="006F129D" w:rsidP="00A332EF">
            <w:pPr>
              <w:spacing w:before="60"/>
              <w:jc w:val="left"/>
              <w:rPr>
                <w:rFonts w:ascii="Arial" w:hAnsi="Arial" w:cs="Arial"/>
                <w:sz w:val="20"/>
              </w:rPr>
            </w:pPr>
            <w:r w:rsidRPr="004E4188">
              <w:rPr>
                <w:rFonts w:ascii="Arial" w:hAnsi="Arial" w:cs="Arial"/>
                <w:sz w:val="20"/>
              </w:rPr>
              <w:t xml:space="preserve">Expérience générale </w:t>
            </w:r>
          </w:p>
        </w:tc>
        <w:tc>
          <w:tcPr>
            <w:tcW w:w="3513" w:type="dxa"/>
          </w:tcPr>
          <w:p w14:paraId="036DA9C8" w14:textId="01F3ED08" w:rsidR="006F129D" w:rsidRPr="004E4188" w:rsidRDefault="006F129D" w:rsidP="00A332EF">
            <w:pPr>
              <w:spacing w:before="60" w:afterLines="70" w:after="168"/>
              <w:rPr>
                <w:rFonts w:ascii="Arial" w:hAnsi="Arial" w:cs="Arial"/>
                <w:sz w:val="20"/>
              </w:rPr>
            </w:pPr>
            <w:r w:rsidRPr="004E4188">
              <w:rPr>
                <w:rFonts w:ascii="Arial" w:hAnsi="Arial" w:cs="Arial"/>
                <w:sz w:val="20"/>
              </w:rPr>
              <w:t>Expérience continue d’approvisionnement d</w:t>
            </w:r>
            <w:r w:rsidR="00AD18DF" w:rsidRPr="004E4188">
              <w:rPr>
                <w:rFonts w:ascii="Arial" w:hAnsi="Arial" w:cs="Arial"/>
                <w:sz w:val="20"/>
              </w:rPr>
              <w:t>’</w:t>
            </w:r>
            <w:r w:rsidRPr="004E4188">
              <w:rPr>
                <w:rFonts w:ascii="Arial" w:hAnsi="Arial" w:cs="Arial"/>
                <w:sz w:val="20"/>
              </w:rPr>
              <w:t>équipements et de fourniture de services de montage à titre d’entrepreneur principal</w:t>
            </w:r>
            <w:r w:rsidRPr="004E4188">
              <w:rPr>
                <w:rFonts w:ascii="Arial" w:hAnsi="Arial" w:cs="Arial"/>
                <w:sz w:val="20"/>
                <w:vertAlign w:val="superscript"/>
              </w:rPr>
              <w:t>(i)</w:t>
            </w:r>
            <w:r w:rsidRPr="004E4188">
              <w:rPr>
                <w:rFonts w:ascii="Arial" w:hAnsi="Arial" w:cs="Arial"/>
                <w:sz w:val="20"/>
              </w:rPr>
              <w:t xml:space="preserve"> (entreprise unique ou membre de Groupement) ou de sous-traitant entre le 1</w:t>
            </w:r>
            <w:r w:rsidRPr="004E4188">
              <w:rPr>
                <w:rFonts w:ascii="Arial" w:hAnsi="Arial" w:cs="Arial"/>
                <w:sz w:val="20"/>
                <w:vertAlign w:val="superscript"/>
              </w:rPr>
              <w:t>er</w:t>
            </w:r>
            <w:r w:rsidRPr="004E4188">
              <w:rPr>
                <w:rFonts w:ascii="Arial" w:hAnsi="Arial" w:cs="Arial"/>
                <w:sz w:val="20"/>
              </w:rPr>
              <w:t xml:space="preserve"> janvier </w:t>
            </w:r>
            <w:r w:rsidRPr="004E4188">
              <w:rPr>
                <w:rFonts w:ascii="Arial" w:hAnsi="Arial" w:cs="Arial"/>
                <w:spacing w:val="-2"/>
                <w:sz w:val="20"/>
                <w:lang w:eastAsia="ja-JP"/>
              </w:rPr>
              <w:t>[</w:t>
            </w:r>
            <w:r w:rsidRPr="004E4188">
              <w:rPr>
                <w:rFonts w:ascii="Arial" w:hAnsi="Arial" w:cs="Arial"/>
                <w:i/>
                <w:spacing w:val="-2"/>
                <w:sz w:val="20"/>
                <w:lang w:eastAsia="ja-JP"/>
              </w:rPr>
              <w:t>indiquer l’année</w:t>
            </w:r>
            <w:r w:rsidRPr="004E4188">
              <w:rPr>
                <w:rFonts w:ascii="Arial" w:hAnsi="Arial" w:cs="Arial"/>
                <w:spacing w:val="-2"/>
                <w:sz w:val="20"/>
                <w:lang w:eastAsia="ja-JP"/>
              </w:rPr>
              <w:t>]</w:t>
            </w:r>
            <w:r w:rsidRPr="004E4188">
              <w:rPr>
                <w:rFonts w:ascii="Arial" w:hAnsi="Arial" w:cs="Arial"/>
                <w:spacing w:val="-2"/>
                <w:sz w:val="20"/>
                <w:vertAlign w:val="superscript"/>
                <w:lang w:eastAsia="ja-JP"/>
              </w:rPr>
              <w:t>1</w:t>
            </w:r>
            <w:r w:rsidRPr="004E4188">
              <w:rPr>
                <w:rFonts w:ascii="Arial" w:hAnsi="Arial" w:cs="Arial"/>
                <w:spacing w:val="-2"/>
                <w:sz w:val="20"/>
                <w:lang w:eastAsia="ja-JP"/>
              </w:rPr>
              <w:t xml:space="preserve"> et </w:t>
            </w:r>
            <w:r w:rsidRPr="004E4188">
              <w:rPr>
                <w:rFonts w:ascii="Arial" w:hAnsi="Arial" w:cs="Arial"/>
                <w:sz w:val="20"/>
              </w:rPr>
              <w:t>la date limite de remise des offres.</w:t>
            </w:r>
          </w:p>
        </w:tc>
        <w:tc>
          <w:tcPr>
            <w:tcW w:w="1560" w:type="dxa"/>
          </w:tcPr>
          <w:p w14:paraId="21172032" w14:textId="77777777" w:rsidR="006F129D" w:rsidRPr="004E4188" w:rsidRDefault="006F129D" w:rsidP="00A332EF">
            <w:pPr>
              <w:spacing w:before="60"/>
              <w:jc w:val="center"/>
              <w:rPr>
                <w:rFonts w:ascii="Arial" w:hAnsi="Arial" w:cs="Arial"/>
                <w:sz w:val="20"/>
              </w:rPr>
            </w:pPr>
            <w:r w:rsidRPr="004E4188">
              <w:rPr>
                <w:rFonts w:ascii="Arial" w:hAnsi="Arial" w:cs="Arial"/>
                <w:sz w:val="20"/>
              </w:rPr>
              <w:t>Doit satisfaire au critère</w:t>
            </w:r>
          </w:p>
        </w:tc>
        <w:tc>
          <w:tcPr>
            <w:tcW w:w="1453" w:type="dxa"/>
          </w:tcPr>
          <w:p w14:paraId="0F3ADD08" w14:textId="77777777" w:rsidR="006F129D" w:rsidRPr="004E4188" w:rsidRDefault="006F129D" w:rsidP="00A332EF">
            <w:pPr>
              <w:spacing w:before="60"/>
              <w:jc w:val="center"/>
              <w:rPr>
                <w:rFonts w:ascii="Arial" w:hAnsi="Arial" w:cs="Arial"/>
                <w:sz w:val="20"/>
              </w:rPr>
            </w:pPr>
            <w:r w:rsidRPr="004E4188">
              <w:rPr>
                <w:rFonts w:ascii="Arial" w:hAnsi="Arial" w:cs="Arial"/>
                <w:sz w:val="20"/>
              </w:rPr>
              <w:t>Sans objet</w:t>
            </w:r>
          </w:p>
        </w:tc>
        <w:tc>
          <w:tcPr>
            <w:tcW w:w="1453" w:type="dxa"/>
          </w:tcPr>
          <w:p w14:paraId="603E3E97" w14:textId="77777777" w:rsidR="006F129D" w:rsidRPr="004E4188" w:rsidRDefault="006F129D" w:rsidP="00A332EF">
            <w:pPr>
              <w:spacing w:before="60"/>
              <w:jc w:val="center"/>
              <w:rPr>
                <w:rFonts w:ascii="Arial" w:hAnsi="Arial" w:cs="Arial"/>
                <w:sz w:val="20"/>
              </w:rPr>
            </w:pPr>
            <w:r w:rsidRPr="004E4188">
              <w:rPr>
                <w:rFonts w:ascii="Arial" w:hAnsi="Arial" w:cs="Arial"/>
                <w:sz w:val="20"/>
              </w:rPr>
              <w:t>Doit satisfaire au critère</w:t>
            </w:r>
          </w:p>
        </w:tc>
        <w:tc>
          <w:tcPr>
            <w:tcW w:w="1453" w:type="dxa"/>
          </w:tcPr>
          <w:p w14:paraId="4EF41A05" w14:textId="77777777" w:rsidR="006F129D" w:rsidRPr="004E4188" w:rsidRDefault="006F129D" w:rsidP="00A332EF">
            <w:pPr>
              <w:spacing w:before="60"/>
              <w:jc w:val="center"/>
              <w:rPr>
                <w:rFonts w:ascii="Arial" w:hAnsi="Arial" w:cs="Arial"/>
                <w:sz w:val="20"/>
              </w:rPr>
            </w:pPr>
            <w:r w:rsidRPr="004E4188">
              <w:rPr>
                <w:rFonts w:ascii="Arial" w:hAnsi="Arial" w:cs="Arial"/>
                <w:sz w:val="20"/>
              </w:rPr>
              <w:t>Sans objet</w:t>
            </w:r>
          </w:p>
        </w:tc>
        <w:tc>
          <w:tcPr>
            <w:tcW w:w="1699" w:type="dxa"/>
          </w:tcPr>
          <w:p w14:paraId="059712A1" w14:textId="77777777" w:rsidR="006F129D" w:rsidRPr="004E4188" w:rsidRDefault="006F129D" w:rsidP="00A332EF">
            <w:pPr>
              <w:spacing w:before="60"/>
              <w:rPr>
                <w:rFonts w:ascii="Arial" w:hAnsi="Arial" w:cs="Arial"/>
                <w:sz w:val="20"/>
              </w:rPr>
            </w:pPr>
            <w:r w:rsidRPr="004E4188">
              <w:rPr>
                <w:rFonts w:ascii="Arial" w:hAnsi="Arial" w:cs="Arial"/>
                <w:sz w:val="20"/>
              </w:rPr>
              <w:t>Formulaire EXP-1</w:t>
            </w:r>
          </w:p>
        </w:tc>
      </w:tr>
      <w:tr w:rsidR="006F129D" w:rsidRPr="004E4188" w14:paraId="7117EA65" w14:textId="77777777" w:rsidTr="000B0DCD">
        <w:trPr>
          <w:trHeight w:val="1680"/>
        </w:trPr>
        <w:tc>
          <w:tcPr>
            <w:tcW w:w="828" w:type="dxa"/>
            <w:tcBorders>
              <w:bottom w:val="nil"/>
            </w:tcBorders>
          </w:tcPr>
          <w:p w14:paraId="46F4339D" w14:textId="77777777" w:rsidR="006F129D" w:rsidRPr="004E4188" w:rsidRDefault="006F129D" w:rsidP="00A332EF">
            <w:pPr>
              <w:spacing w:before="60"/>
              <w:jc w:val="center"/>
              <w:rPr>
                <w:rFonts w:ascii="Arial" w:hAnsi="Arial" w:cs="Arial"/>
                <w:sz w:val="20"/>
              </w:rPr>
            </w:pPr>
            <w:r w:rsidRPr="004E4188">
              <w:rPr>
                <w:rFonts w:ascii="Arial" w:hAnsi="Arial" w:cs="Arial"/>
                <w:sz w:val="20"/>
              </w:rPr>
              <w:t>2.4.2</w:t>
            </w:r>
          </w:p>
          <w:p w14:paraId="216CD8BE" w14:textId="77777777" w:rsidR="006F129D" w:rsidRPr="004E4188" w:rsidRDefault="006F129D" w:rsidP="00A332EF">
            <w:pPr>
              <w:spacing w:before="60"/>
              <w:jc w:val="center"/>
              <w:rPr>
                <w:rFonts w:ascii="Arial" w:hAnsi="Arial" w:cs="Arial"/>
                <w:sz w:val="20"/>
              </w:rPr>
            </w:pPr>
          </w:p>
        </w:tc>
        <w:tc>
          <w:tcPr>
            <w:tcW w:w="1437" w:type="dxa"/>
            <w:tcBorders>
              <w:bottom w:val="nil"/>
            </w:tcBorders>
          </w:tcPr>
          <w:p w14:paraId="67C3A82B" w14:textId="77777777" w:rsidR="006F129D" w:rsidRPr="004E4188" w:rsidRDefault="006F129D" w:rsidP="00A332EF">
            <w:pPr>
              <w:spacing w:before="60"/>
              <w:jc w:val="left"/>
              <w:rPr>
                <w:rFonts w:ascii="Arial" w:hAnsi="Arial" w:cs="Arial"/>
                <w:sz w:val="20"/>
              </w:rPr>
            </w:pPr>
            <w:r w:rsidRPr="004E4188">
              <w:rPr>
                <w:rFonts w:ascii="Arial" w:hAnsi="Arial" w:cs="Arial"/>
                <w:sz w:val="20"/>
              </w:rPr>
              <w:t xml:space="preserve">Expérience spécifique </w:t>
            </w:r>
          </w:p>
        </w:tc>
        <w:tc>
          <w:tcPr>
            <w:tcW w:w="3513" w:type="dxa"/>
          </w:tcPr>
          <w:p w14:paraId="58176DD5" w14:textId="214861BF" w:rsidR="006F129D" w:rsidRPr="004E4188" w:rsidRDefault="006F129D" w:rsidP="00D45EAD">
            <w:pPr>
              <w:pStyle w:val="Style11"/>
              <w:tabs>
                <w:tab w:val="left" w:leader="dot" w:pos="8424"/>
              </w:tabs>
              <w:snapToGrid w:val="0"/>
              <w:spacing w:before="60" w:after="120" w:line="240" w:lineRule="exact"/>
              <w:ind w:left="323" w:hanging="323"/>
              <w:jc w:val="both"/>
              <w:rPr>
                <w:rFonts w:ascii="Arial" w:hAnsi="Arial" w:cs="Arial"/>
                <w:sz w:val="20"/>
                <w:lang w:val="fr-FR"/>
              </w:rPr>
            </w:pPr>
            <w:r w:rsidRPr="004E4188">
              <w:rPr>
                <w:rFonts w:ascii="Arial" w:hAnsi="Arial" w:cs="Arial"/>
                <w:sz w:val="20"/>
                <w:lang w:val="fr-FR"/>
              </w:rPr>
              <w:t xml:space="preserve">(a) Au </w:t>
            </w:r>
            <w:r w:rsidRPr="004E4188">
              <w:rPr>
                <w:rFonts w:ascii="Arial" w:hAnsi="Arial" w:cs="Arial"/>
                <w:sz w:val="20"/>
                <w:szCs w:val="20"/>
                <w:lang w:val="fr-FR"/>
              </w:rPr>
              <w:t>minimum</w:t>
            </w:r>
            <w:r w:rsidRPr="004E4188">
              <w:rPr>
                <w:rFonts w:ascii="Arial" w:hAnsi="Arial" w:cs="Arial"/>
                <w:sz w:val="20"/>
                <w:lang w:val="fr-FR"/>
              </w:rPr>
              <w:t xml:space="preserve"> </w:t>
            </w:r>
            <w:r w:rsidRPr="004E4188">
              <w:rPr>
                <w:rFonts w:ascii="Arial" w:hAnsi="Arial" w:cs="Arial"/>
                <w:spacing w:val="-2"/>
                <w:sz w:val="20"/>
                <w:lang w:val="fr-FR" w:eastAsia="ja-JP"/>
              </w:rPr>
              <w:t>[</w:t>
            </w:r>
            <w:r w:rsidRPr="004E4188">
              <w:rPr>
                <w:rFonts w:ascii="Arial" w:hAnsi="Arial" w:cs="Arial"/>
                <w:i/>
                <w:spacing w:val="-2"/>
                <w:sz w:val="20"/>
                <w:lang w:val="fr-FR" w:eastAsia="ja-JP"/>
              </w:rPr>
              <w:t>indiquer le nombre de marchés</w:t>
            </w:r>
            <w:r w:rsidRPr="004E4188">
              <w:rPr>
                <w:rFonts w:ascii="Arial" w:hAnsi="Arial" w:cs="Arial"/>
                <w:spacing w:val="-2"/>
                <w:sz w:val="20"/>
                <w:lang w:val="fr-FR" w:eastAsia="ja-JP"/>
              </w:rPr>
              <w:t>]</w:t>
            </w:r>
            <w:r w:rsidRPr="004E4188">
              <w:rPr>
                <w:rFonts w:ascii="Arial" w:hAnsi="Arial" w:cs="Arial"/>
                <w:spacing w:val="-2"/>
                <w:sz w:val="20"/>
                <w:vertAlign w:val="superscript"/>
                <w:lang w:val="fr-FR" w:eastAsia="ja-JP"/>
              </w:rPr>
              <w:t>2</w:t>
            </w:r>
            <w:r w:rsidRPr="004E4188" w:rsidDel="00FF4AA2">
              <w:rPr>
                <w:rFonts w:ascii="Arial" w:hAnsi="Arial" w:cs="Arial"/>
                <w:sz w:val="20"/>
                <w:lang w:val="fr-FR"/>
              </w:rPr>
              <w:t xml:space="preserve"> </w:t>
            </w:r>
            <w:r w:rsidRPr="004E4188">
              <w:rPr>
                <w:rFonts w:ascii="Arial" w:hAnsi="Arial" w:cs="Arial"/>
                <w:sz w:val="20"/>
                <w:lang w:val="fr-FR"/>
              </w:rPr>
              <w:t xml:space="preserve">marchés similaires  chacun d’un montant minimal de </w:t>
            </w:r>
            <w:r w:rsidRPr="004E4188">
              <w:rPr>
                <w:rFonts w:ascii="Arial" w:hAnsi="Arial" w:cs="Arial"/>
                <w:spacing w:val="-2"/>
                <w:sz w:val="20"/>
                <w:lang w:val="fr-FR"/>
              </w:rPr>
              <w:t>[</w:t>
            </w:r>
            <w:r w:rsidRPr="004E4188">
              <w:rPr>
                <w:rFonts w:ascii="Arial" w:hAnsi="Arial" w:cs="Arial"/>
                <w:i/>
                <w:spacing w:val="-2"/>
                <w:sz w:val="20"/>
                <w:lang w:val="fr-FR"/>
              </w:rPr>
              <w:t>indiquer le montant minimum</w:t>
            </w:r>
            <w:r w:rsidRPr="004E4188">
              <w:rPr>
                <w:rFonts w:ascii="Arial" w:hAnsi="Arial" w:cs="Arial"/>
                <w:spacing w:val="-2"/>
                <w:sz w:val="20"/>
                <w:lang w:val="fr-FR"/>
              </w:rPr>
              <w:t>]</w:t>
            </w:r>
            <w:r w:rsidRPr="004E4188">
              <w:rPr>
                <w:rFonts w:ascii="Arial" w:hAnsi="Arial" w:cs="Arial"/>
                <w:spacing w:val="-2"/>
                <w:vertAlign w:val="superscript"/>
                <w:lang w:val="fr-FR"/>
              </w:rPr>
              <w:t>(ii)</w:t>
            </w:r>
            <w:r w:rsidRPr="004E4188">
              <w:rPr>
                <w:rFonts w:ascii="Arial" w:hAnsi="Arial" w:cs="Arial"/>
                <w:sz w:val="20"/>
                <w:lang w:val="fr-FR"/>
              </w:rPr>
              <w:t xml:space="preserve"> achevés de manière satisfaisante</w:t>
            </w:r>
            <w:r w:rsidRPr="004E4188">
              <w:rPr>
                <w:rFonts w:ascii="Arial" w:hAnsi="Arial" w:cs="Arial"/>
                <w:sz w:val="20"/>
                <w:vertAlign w:val="superscript"/>
                <w:lang w:val="fr-FR"/>
              </w:rPr>
              <w:t>(iii)</w:t>
            </w:r>
            <w:r w:rsidRPr="004E4188">
              <w:rPr>
                <w:rFonts w:ascii="Arial" w:hAnsi="Arial" w:cs="Arial"/>
                <w:sz w:val="20"/>
                <w:lang w:val="fr-FR"/>
              </w:rPr>
              <w:t xml:space="preserve"> en tant qu’entrepreneur principal</w:t>
            </w:r>
            <w:r w:rsidRPr="004E4188">
              <w:rPr>
                <w:rFonts w:ascii="Arial" w:hAnsi="Arial" w:cs="Arial"/>
                <w:sz w:val="20"/>
                <w:vertAlign w:val="superscript"/>
                <w:lang w:val="fr-FR"/>
              </w:rPr>
              <w:t>(i)</w:t>
            </w:r>
            <w:r w:rsidRPr="004E4188">
              <w:rPr>
                <w:rFonts w:ascii="Arial" w:hAnsi="Arial" w:cs="Arial"/>
                <w:sz w:val="20"/>
                <w:lang w:val="fr-FR"/>
              </w:rPr>
              <w:t xml:space="preserve"> (entreprise unique ou membre de Groupement)</w:t>
            </w:r>
            <w:r w:rsidRPr="004E4188">
              <w:rPr>
                <w:rFonts w:ascii="Arial" w:hAnsi="Arial" w:cs="Arial"/>
                <w:sz w:val="20"/>
                <w:vertAlign w:val="superscript"/>
                <w:lang w:val="fr-FR"/>
              </w:rPr>
              <w:t>(iv)</w:t>
            </w:r>
            <w:r w:rsidRPr="004E4188" w:rsidDel="00FF4AA2">
              <w:rPr>
                <w:rFonts w:ascii="Arial" w:hAnsi="Arial" w:cs="Arial"/>
                <w:sz w:val="20"/>
                <w:lang w:val="fr-FR"/>
              </w:rPr>
              <w:t xml:space="preserve"> </w:t>
            </w:r>
            <w:r w:rsidRPr="004E4188">
              <w:rPr>
                <w:rFonts w:ascii="Arial" w:hAnsi="Arial" w:cs="Arial"/>
                <w:sz w:val="20"/>
                <w:lang w:val="fr-FR"/>
              </w:rPr>
              <w:t>entre le 1</w:t>
            </w:r>
            <w:r w:rsidRPr="004E4188">
              <w:rPr>
                <w:rFonts w:ascii="Arial" w:hAnsi="Arial" w:cs="Arial"/>
                <w:sz w:val="20"/>
                <w:vertAlign w:val="superscript"/>
                <w:lang w:val="fr-FR"/>
              </w:rPr>
              <w:t>er</w:t>
            </w:r>
            <w:r w:rsidRPr="004E4188">
              <w:rPr>
                <w:rFonts w:ascii="Arial" w:hAnsi="Arial" w:cs="Arial"/>
                <w:sz w:val="20"/>
                <w:lang w:val="fr-FR"/>
              </w:rPr>
              <w:t xml:space="preserve"> janvier </w:t>
            </w:r>
            <w:r w:rsidRPr="004E4188">
              <w:rPr>
                <w:rFonts w:ascii="Arial" w:hAnsi="Arial" w:cs="Arial"/>
                <w:spacing w:val="-2"/>
                <w:sz w:val="20"/>
                <w:lang w:val="fr-FR" w:eastAsia="ja-JP"/>
              </w:rPr>
              <w:t>[</w:t>
            </w:r>
            <w:r w:rsidRPr="004E4188">
              <w:rPr>
                <w:rFonts w:ascii="Arial" w:hAnsi="Arial" w:cs="Arial"/>
                <w:i/>
                <w:spacing w:val="-2"/>
                <w:sz w:val="20"/>
                <w:lang w:val="fr-FR" w:eastAsia="ja-JP"/>
              </w:rPr>
              <w:t>indiquer l’année</w:t>
            </w:r>
            <w:r w:rsidRPr="004E4188">
              <w:rPr>
                <w:rFonts w:ascii="Arial" w:hAnsi="Arial" w:cs="Arial"/>
                <w:spacing w:val="-2"/>
                <w:sz w:val="20"/>
                <w:lang w:val="fr-FR" w:eastAsia="ja-JP"/>
              </w:rPr>
              <w:t>]</w:t>
            </w:r>
            <w:r w:rsidRPr="004E4188">
              <w:rPr>
                <w:rFonts w:ascii="Arial" w:hAnsi="Arial" w:cs="Arial"/>
                <w:spacing w:val="-2"/>
                <w:sz w:val="20"/>
                <w:vertAlign w:val="superscript"/>
                <w:lang w:val="fr-FR" w:eastAsia="ja-JP"/>
              </w:rPr>
              <w:t>3</w:t>
            </w:r>
            <w:r w:rsidRPr="004E4188">
              <w:rPr>
                <w:rFonts w:ascii="Arial" w:hAnsi="Arial" w:cs="Arial"/>
                <w:sz w:val="20"/>
                <w:lang w:val="fr-FR"/>
              </w:rPr>
              <w:t xml:space="preserve"> et la date limite de remise des offres.</w:t>
            </w:r>
          </w:p>
          <w:p w14:paraId="15DD7A05" w14:textId="0604BC17" w:rsidR="006F129D" w:rsidRPr="004E4188" w:rsidRDefault="006F129D" w:rsidP="003C7B94">
            <w:pPr>
              <w:widowControl w:val="0"/>
              <w:tabs>
                <w:tab w:val="left" w:leader="dot" w:pos="8424"/>
              </w:tabs>
              <w:suppressAutoHyphens w:val="0"/>
              <w:overflowPunct/>
              <w:adjustRightInd/>
              <w:snapToGrid w:val="0"/>
              <w:spacing w:before="60"/>
              <w:ind w:leftChars="144" w:left="346"/>
              <w:textAlignment w:val="auto"/>
              <w:rPr>
                <w:rFonts w:ascii="Arial" w:hAnsi="Arial" w:cs="Arial"/>
                <w:sz w:val="20"/>
                <w:lang w:eastAsia="ja-JP"/>
              </w:rPr>
            </w:pPr>
            <w:r w:rsidRPr="004E4188">
              <w:rPr>
                <w:rFonts w:ascii="Arial" w:hAnsi="Arial" w:cs="Arial"/>
                <w:sz w:val="20"/>
              </w:rPr>
              <w:t>La similitude</w:t>
            </w:r>
            <w:r w:rsidRPr="004E4188">
              <w:rPr>
                <w:rFonts w:ascii="Arial" w:hAnsi="Arial" w:cs="Arial"/>
                <w:sz w:val="20"/>
                <w:vertAlign w:val="superscript"/>
                <w:lang w:eastAsia="ja-JP"/>
              </w:rPr>
              <w:t xml:space="preserve"> </w:t>
            </w:r>
            <w:r w:rsidRPr="004E4188">
              <w:rPr>
                <w:rFonts w:ascii="Arial" w:hAnsi="Arial" w:cs="Arial"/>
                <w:sz w:val="20"/>
                <w:szCs w:val="24"/>
                <w:lang w:eastAsia="en-US"/>
              </w:rPr>
              <w:t>des marchés portera sur les éléments suivants :</w:t>
            </w:r>
            <w:r w:rsidRPr="004E4188">
              <w:rPr>
                <w:rFonts w:ascii="Arial" w:hAnsi="Arial" w:cs="Arial"/>
                <w:spacing w:val="-2"/>
                <w:sz w:val="20"/>
                <w:szCs w:val="24"/>
                <w:lang w:eastAsia="en-US"/>
              </w:rPr>
              <w:t xml:space="preserve"> [</w:t>
            </w:r>
            <w:r w:rsidRPr="004E4188">
              <w:rPr>
                <w:rFonts w:ascii="Arial" w:hAnsi="Arial" w:cs="Arial"/>
                <w:i/>
                <w:spacing w:val="-2"/>
                <w:sz w:val="20"/>
                <w:szCs w:val="24"/>
                <w:lang w:eastAsia="en-US"/>
              </w:rPr>
              <w:t>sur la base de la Section VI, Exigences du Maître d’ouvrage, préciser les critères minim</w:t>
            </w:r>
            <w:r w:rsidR="00456837" w:rsidRPr="004E4188">
              <w:rPr>
                <w:rFonts w:ascii="Arial" w:hAnsi="Arial" w:cs="Arial"/>
                <w:i/>
                <w:spacing w:val="-2"/>
                <w:sz w:val="20"/>
                <w:szCs w:val="24"/>
                <w:lang w:eastAsia="en-US"/>
              </w:rPr>
              <w:t>aux</w:t>
            </w:r>
            <w:r w:rsidRPr="004E4188">
              <w:rPr>
                <w:rFonts w:ascii="Arial" w:hAnsi="Arial" w:cs="Arial"/>
                <w:i/>
                <w:spacing w:val="-2"/>
                <w:sz w:val="20"/>
                <w:szCs w:val="24"/>
                <w:lang w:eastAsia="en-US"/>
              </w:rPr>
              <w:t xml:space="preserve"> principaux selon </w:t>
            </w:r>
            <w:r w:rsidRPr="004E4188">
              <w:rPr>
                <w:rFonts w:ascii="Arial" w:hAnsi="Arial" w:cs="Arial"/>
                <w:i/>
                <w:sz w:val="20"/>
                <w:szCs w:val="24"/>
                <w:lang w:eastAsia="en-US"/>
              </w:rPr>
              <w:t>la taille physique, la complexité, la méthode de montage, la technologie et/ou autres caractéristiques, y compris la partie des critères qui pourrait être remplie par des sous-traitants, lorsqu’autorisés conformément à IS 16.3.</w:t>
            </w:r>
            <w:r w:rsidRPr="004E4188">
              <w:rPr>
                <w:rFonts w:ascii="Arial" w:hAnsi="Arial" w:cs="Arial"/>
                <w:spacing w:val="-2"/>
                <w:sz w:val="20"/>
                <w:szCs w:val="24"/>
                <w:lang w:eastAsia="en-US"/>
              </w:rPr>
              <w:t>]</w:t>
            </w:r>
          </w:p>
          <w:p w14:paraId="6C9ECC09" w14:textId="77777777" w:rsidR="006F129D" w:rsidRPr="004E4188" w:rsidRDefault="006F129D" w:rsidP="003C7B94">
            <w:pPr>
              <w:rPr>
                <w:rFonts w:ascii="Arial" w:hAnsi="Arial" w:cs="Arial"/>
                <w:sz w:val="20"/>
                <w:lang w:eastAsia="ja-JP"/>
              </w:rPr>
            </w:pPr>
          </w:p>
          <w:p w14:paraId="23065448" w14:textId="70DA999A" w:rsidR="006F129D" w:rsidRPr="004E4188" w:rsidRDefault="006F129D" w:rsidP="00D45EAD">
            <w:pPr>
              <w:pStyle w:val="Style11"/>
              <w:tabs>
                <w:tab w:val="left" w:leader="dot" w:pos="8424"/>
              </w:tabs>
              <w:snapToGrid w:val="0"/>
              <w:spacing w:before="60" w:after="120" w:line="240" w:lineRule="exact"/>
              <w:ind w:left="316" w:firstLine="5"/>
              <w:jc w:val="both"/>
              <w:rPr>
                <w:rFonts w:ascii="Arial" w:hAnsi="Arial" w:cs="Arial"/>
                <w:sz w:val="20"/>
                <w:vertAlign w:val="superscript"/>
                <w:lang w:val="fr-FR"/>
              </w:rPr>
            </w:pPr>
            <w:r w:rsidRPr="004E4188">
              <w:rPr>
                <w:rFonts w:ascii="Arial" w:hAnsi="Arial" w:cs="Arial"/>
                <w:sz w:val="20"/>
                <w:lang w:val="fr-FR"/>
              </w:rPr>
              <w:t>[</w:t>
            </w:r>
            <w:r w:rsidRPr="004E4188">
              <w:rPr>
                <w:rFonts w:ascii="Arial" w:hAnsi="Arial" w:cs="Arial"/>
                <w:i/>
                <w:sz w:val="20"/>
                <w:lang w:val="fr-FR"/>
              </w:rPr>
              <w:t>Indiquer les critères pour l’attribution de lots</w:t>
            </w:r>
            <w:r w:rsidRPr="004E4188" w:rsidDel="00FE2993">
              <w:rPr>
                <w:rFonts w:ascii="Arial" w:hAnsi="Arial" w:cs="Arial"/>
                <w:i/>
                <w:sz w:val="20"/>
                <w:lang w:val="fr-FR"/>
              </w:rPr>
              <w:t xml:space="preserve"> </w:t>
            </w:r>
            <w:r w:rsidRPr="004E4188">
              <w:rPr>
                <w:rFonts w:ascii="Arial" w:hAnsi="Arial" w:cs="Arial"/>
                <w:i/>
                <w:sz w:val="20"/>
                <w:lang w:val="fr-FR"/>
              </w:rPr>
              <w:t>multiples, le cas échéant.</w:t>
            </w:r>
            <w:r w:rsidRPr="004E4188">
              <w:rPr>
                <w:rFonts w:ascii="Arial" w:hAnsi="Arial" w:cs="Arial"/>
                <w:sz w:val="20"/>
                <w:lang w:val="fr-FR"/>
              </w:rPr>
              <w:t>]</w:t>
            </w:r>
            <w:r w:rsidRPr="004E4188">
              <w:rPr>
                <w:rFonts w:ascii="Arial" w:hAnsi="Arial" w:cs="Arial"/>
                <w:sz w:val="20"/>
                <w:vertAlign w:val="superscript"/>
                <w:lang w:val="fr-FR"/>
              </w:rPr>
              <w:t>(vii)</w:t>
            </w:r>
          </w:p>
        </w:tc>
        <w:tc>
          <w:tcPr>
            <w:tcW w:w="1560" w:type="dxa"/>
          </w:tcPr>
          <w:p w14:paraId="44DC0DEC" w14:textId="77777777" w:rsidR="006F129D" w:rsidRPr="004E4188" w:rsidRDefault="006F129D" w:rsidP="00A332EF">
            <w:pPr>
              <w:spacing w:before="60"/>
              <w:jc w:val="center"/>
              <w:rPr>
                <w:rFonts w:ascii="Arial" w:hAnsi="Arial" w:cs="Arial"/>
                <w:sz w:val="20"/>
              </w:rPr>
            </w:pPr>
            <w:r w:rsidRPr="004E4188">
              <w:rPr>
                <w:rFonts w:ascii="Arial" w:hAnsi="Arial" w:cs="Arial"/>
                <w:sz w:val="20"/>
              </w:rPr>
              <w:t>Doit satisfaire au critère</w:t>
            </w:r>
          </w:p>
        </w:tc>
        <w:tc>
          <w:tcPr>
            <w:tcW w:w="1453" w:type="dxa"/>
          </w:tcPr>
          <w:p w14:paraId="490EE050" w14:textId="77777777" w:rsidR="006F129D" w:rsidRPr="004E4188" w:rsidRDefault="006F129D" w:rsidP="00A332EF">
            <w:pPr>
              <w:spacing w:before="60"/>
              <w:jc w:val="center"/>
              <w:rPr>
                <w:rFonts w:ascii="Arial" w:hAnsi="Arial" w:cs="Arial"/>
                <w:sz w:val="20"/>
              </w:rPr>
            </w:pPr>
            <w:r w:rsidRPr="004E4188">
              <w:rPr>
                <w:rFonts w:ascii="Arial" w:hAnsi="Arial" w:cs="Arial"/>
                <w:sz w:val="20"/>
              </w:rPr>
              <w:t>Doivent satisfaire au critère</w:t>
            </w:r>
            <w:r w:rsidRPr="004E4188">
              <w:rPr>
                <w:rFonts w:ascii="Arial" w:hAnsi="Arial" w:cs="Arial"/>
                <w:sz w:val="20"/>
                <w:vertAlign w:val="superscript"/>
              </w:rPr>
              <w:t>(v)</w:t>
            </w:r>
          </w:p>
        </w:tc>
        <w:tc>
          <w:tcPr>
            <w:tcW w:w="1453" w:type="dxa"/>
          </w:tcPr>
          <w:p w14:paraId="5AC04523" w14:textId="77777777" w:rsidR="006F129D" w:rsidRPr="004E4188" w:rsidRDefault="006F129D" w:rsidP="00A332EF">
            <w:pPr>
              <w:spacing w:before="60"/>
              <w:jc w:val="center"/>
              <w:rPr>
                <w:rFonts w:ascii="Arial" w:hAnsi="Arial" w:cs="Arial"/>
                <w:sz w:val="20"/>
              </w:rPr>
            </w:pPr>
            <w:r w:rsidRPr="004E4188">
              <w:rPr>
                <w:rFonts w:ascii="Arial" w:hAnsi="Arial" w:cs="Arial"/>
                <w:sz w:val="20"/>
              </w:rPr>
              <w:t>Sans objet</w:t>
            </w:r>
          </w:p>
        </w:tc>
        <w:tc>
          <w:tcPr>
            <w:tcW w:w="1453" w:type="dxa"/>
          </w:tcPr>
          <w:p w14:paraId="1D293505" w14:textId="7EB0793F" w:rsidR="006F129D" w:rsidRPr="004E4188" w:rsidRDefault="006F129D" w:rsidP="003C7B94">
            <w:pPr>
              <w:pStyle w:val="Style11"/>
              <w:tabs>
                <w:tab w:val="left" w:leader="dot" w:pos="8424"/>
              </w:tabs>
              <w:snapToGrid w:val="0"/>
              <w:spacing w:before="60" w:after="60" w:line="240" w:lineRule="auto"/>
              <w:jc w:val="center"/>
              <w:rPr>
                <w:rFonts w:ascii="Arial" w:hAnsi="Arial" w:cs="Arial"/>
                <w:sz w:val="20"/>
                <w:szCs w:val="20"/>
                <w:lang w:val="fr-FR"/>
              </w:rPr>
            </w:pPr>
            <w:r w:rsidRPr="004E4188">
              <w:rPr>
                <w:rFonts w:ascii="Arial" w:hAnsi="Arial" w:cs="Arial"/>
                <w:sz w:val="20"/>
                <w:lang w:val="fr-FR"/>
              </w:rPr>
              <w:t xml:space="preserve">Doit satisfaire aux critères suivants : </w:t>
            </w:r>
            <w:r w:rsidRPr="004E4188">
              <w:rPr>
                <w:rFonts w:ascii="Arial" w:hAnsi="Arial" w:cs="Arial"/>
                <w:spacing w:val="-2"/>
                <w:sz w:val="20"/>
                <w:lang w:val="fr-FR" w:eastAsia="ja-JP"/>
              </w:rPr>
              <w:t>[</w:t>
            </w:r>
            <w:r w:rsidRPr="004E4188">
              <w:rPr>
                <w:rFonts w:ascii="Arial" w:hAnsi="Arial" w:cs="Arial"/>
                <w:i/>
                <w:spacing w:val="-2"/>
                <w:sz w:val="20"/>
                <w:lang w:val="fr-FR" w:eastAsia="ja-JP"/>
              </w:rPr>
              <w:t>Énumérer les critères minim</w:t>
            </w:r>
            <w:r w:rsidR="00456837" w:rsidRPr="004E4188">
              <w:rPr>
                <w:rFonts w:ascii="Arial" w:hAnsi="Arial" w:cs="Arial" w:hint="eastAsia"/>
                <w:i/>
                <w:spacing w:val="-2"/>
                <w:sz w:val="20"/>
                <w:lang w:val="fr-FR" w:eastAsia="ja-JP"/>
              </w:rPr>
              <w:t>a</w:t>
            </w:r>
            <w:r w:rsidR="00456837" w:rsidRPr="004E4188">
              <w:rPr>
                <w:rFonts w:ascii="Arial" w:hAnsi="Arial" w:cs="Arial"/>
                <w:i/>
                <w:spacing w:val="-2"/>
                <w:sz w:val="20"/>
                <w:lang w:val="fr-FR" w:eastAsia="ja-JP"/>
              </w:rPr>
              <w:t>ux</w:t>
            </w:r>
            <w:r w:rsidRPr="004E4188">
              <w:rPr>
                <w:rFonts w:ascii="Arial" w:hAnsi="Arial" w:cs="Arial"/>
                <w:i/>
                <w:spacing w:val="-2"/>
                <w:sz w:val="20"/>
                <w:lang w:val="fr-FR" w:eastAsia="ja-JP"/>
              </w:rPr>
              <w:t xml:space="preserve"> à remplir par un membre ; s’il n’y a pas de tels critères, indiquer « Sans objet ».</w:t>
            </w:r>
            <w:r w:rsidRPr="004E4188">
              <w:rPr>
                <w:rFonts w:ascii="Arial" w:hAnsi="Arial" w:cs="Arial"/>
                <w:spacing w:val="-2"/>
                <w:sz w:val="20"/>
                <w:lang w:val="fr-FR" w:eastAsia="ja-JP"/>
              </w:rPr>
              <w:t>]</w:t>
            </w:r>
          </w:p>
          <w:p w14:paraId="50E3CA78" w14:textId="77777777" w:rsidR="006F129D" w:rsidRPr="004E4188" w:rsidRDefault="006F129D" w:rsidP="003C7B94">
            <w:pPr>
              <w:jc w:val="center"/>
              <w:rPr>
                <w:rFonts w:ascii="Arial" w:hAnsi="Arial" w:cs="Arial"/>
                <w:sz w:val="20"/>
              </w:rPr>
            </w:pPr>
          </w:p>
        </w:tc>
        <w:tc>
          <w:tcPr>
            <w:tcW w:w="1699" w:type="dxa"/>
          </w:tcPr>
          <w:p w14:paraId="4DDB4CA3" w14:textId="77777777" w:rsidR="006F129D" w:rsidRPr="004E4188" w:rsidRDefault="006F129D" w:rsidP="00A332EF">
            <w:pPr>
              <w:spacing w:before="60"/>
              <w:rPr>
                <w:rFonts w:ascii="Arial" w:hAnsi="Arial" w:cs="Arial"/>
                <w:sz w:val="20"/>
              </w:rPr>
            </w:pPr>
            <w:r w:rsidRPr="004E4188">
              <w:rPr>
                <w:rFonts w:ascii="Arial" w:hAnsi="Arial" w:cs="Arial"/>
                <w:sz w:val="20"/>
              </w:rPr>
              <w:t>Formulaire EXP-2(a) avec pièce jointe</w:t>
            </w:r>
          </w:p>
        </w:tc>
      </w:tr>
      <w:tr w:rsidR="006F129D" w:rsidRPr="004E4188" w14:paraId="4F738FED" w14:textId="77777777" w:rsidTr="000B0DCD">
        <w:tc>
          <w:tcPr>
            <w:tcW w:w="828" w:type="dxa"/>
            <w:tcBorders>
              <w:top w:val="nil"/>
            </w:tcBorders>
          </w:tcPr>
          <w:p w14:paraId="3D881516" w14:textId="77777777" w:rsidR="006F129D" w:rsidRPr="004E4188" w:rsidRDefault="006F129D" w:rsidP="007B0B65">
            <w:pPr>
              <w:jc w:val="center"/>
              <w:rPr>
                <w:rFonts w:ascii="Arial" w:hAnsi="Arial" w:cs="Arial"/>
                <w:b/>
                <w:sz w:val="20"/>
              </w:rPr>
            </w:pPr>
            <w:r w:rsidRPr="004E4188">
              <w:rPr>
                <w:rFonts w:ascii="Arial" w:hAnsi="Arial" w:cs="Arial"/>
                <w:b/>
                <w:sz w:val="20"/>
              </w:rPr>
              <w:t xml:space="preserve"> </w:t>
            </w:r>
          </w:p>
          <w:p w14:paraId="289DB227" w14:textId="77777777" w:rsidR="006F129D" w:rsidRPr="004E4188" w:rsidRDefault="006F129D" w:rsidP="007B0B65">
            <w:pPr>
              <w:jc w:val="center"/>
              <w:rPr>
                <w:rFonts w:ascii="Arial" w:hAnsi="Arial" w:cs="Arial"/>
                <w:b/>
                <w:sz w:val="20"/>
              </w:rPr>
            </w:pPr>
          </w:p>
          <w:p w14:paraId="44C84EBF" w14:textId="77777777" w:rsidR="006F129D" w:rsidRPr="004E4188" w:rsidRDefault="006F129D" w:rsidP="007B0B65">
            <w:pPr>
              <w:jc w:val="center"/>
              <w:rPr>
                <w:rFonts w:ascii="Arial" w:hAnsi="Arial" w:cs="Arial"/>
                <w:b/>
                <w:sz w:val="20"/>
              </w:rPr>
            </w:pPr>
          </w:p>
        </w:tc>
        <w:tc>
          <w:tcPr>
            <w:tcW w:w="1437" w:type="dxa"/>
            <w:tcBorders>
              <w:top w:val="nil"/>
            </w:tcBorders>
          </w:tcPr>
          <w:p w14:paraId="5381C14A" w14:textId="77777777" w:rsidR="006F129D" w:rsidRPr="004E4188" w:rsidRDefault="006F129D" w:rsidP="007B0B65">
            <w:pPr>
              <w:rPr>
                <w:rFonts w:ascii="Arial" w:hAnsi="Arial" w:cs="Arial"/>
                <w:sz w:val="20"/>
              </w:rPr>
            </w:pPr>
          </w:p>
        </w:tc>
        <w:tc>
          <w:tcPr>
            <w:tcW w:w="3513" w:type="dxa"/>
          </w:tcPr>
          <w:p w14:paraId="33E10DCC" w14:textId="77777777" w:rsidR="006F129D" w:rsidRPr="004E4188" w:rsidRDefault="006F129D" w:rsidP="00D45EAD">
            <w:pPr>
              <w:pStyle w:val="Style11"/>
              <w:tabs>
                <w:tab w:val="left" w:leader="dot" w:pos="8424"/>
              </w:tabs>
              <w:snapToGrid w:val="0"/>
              <w:spacing w:before="60" w:after="60" w:line="240" w:lineRule="exact"/>
              <w:ind w:left="321" w:hanging="321"/>
              <w:jc w:val="both"/>
              <w:rPr>
                <w:rFonts w:ascii="Arial" w:hAnsi="Arial" w:cs="Arial"/>
                <w:sz w:val="20"/>
                <w:lang w:val="fr-FR" w:eastAsia="ja-JP"/>
              </w:rPr>
            </w:pPr>
            <w:r w:rsidRPr="004E4188">
              <w:rPr>
                <w:rFonts w:ascii="Arial" w:hAnsi="Arial" w:cs="Arial"/>
                <w:sz w:val="20"/>
                <w:lang w:val="fr-FR"/>
              </w:rPr>
              <w:t>(b) Pour les marchés référencés ci-dessus ou pour d’</w:t>
            </w:r>
            <w:r w:rsidRPr="004E4188">
              <w:rPr>
                <w:rFonts w:ascii="Arial" w:hAnsi="Arial" w:cs="Arial"/>
                <w:sz w:val="20"/>
                <w:szCs w:val="20"/>
                <w:lang w:val="fr-FR"/>
              </w:rPr>
              <w:t>autres</w:t>
            </w:r>
            <w:r w:rsidRPr="004E4188">
              <w:rPr>
                <w:rFonts w:ascii="Arial" w:hAnsi="Arial" w:cs="Arial"/>
                <w:sz w:val="20"/>
                <w:lang w:val="fr-FR"/>
              </w:rPr>
              <w:t xml:space="preserve"> marchés achevés ou en cours d’exécution à titre d’entrepreneur principal</w:t>
            </w:r>
            <w:r w:rsidRPr="004E4188">
              <w:rPr>
                <w:rFonts w:ascii="Arial" w:hAnsi="Arial" w:cs="Arial"/>
                <w:sz w:val="20"/>
                <w:vertAlign w:val="superscript"/>
                <w:lang w:val="fr-FR"/>
              </w:rPr>
              <w:t>(i)</w:t>
            </w:r>
            <w:r w:rsidRPr="004E4188">
              <w:rPr>
                <w:rFonts w:ascii="Arial" w:hAnsi="Arial" w:cs="Arial"/>
                <w:sz w:val="20"/>
                <w:lang w:val="fr-FR"/>
              </w:rPr>
              <w:t xml:space="preserve"> (entreprise unique ou membre de Groupement) ou de sous-traitant</w:t>
            </w:r>
            <w:r w:rsidRPr="004E4188">
              <w:rPr>
                <w:rFonts w:ascii="Arial" w:hAnsi="Arial" w:cs="Arial"/>
                <w:sz w:val="20"/>
                <w:vertAlign w:val="superscript"/>
                <w:lang w:val="fr-FR"/>
              </w:rPr>
              <w:t>(vi)</w:t>
            </w:r>
            <w:r w:rsidRPr="004E4188">
              <w:rPr>
                <w:rFonts w:ascii="Arial" w:hAnsi="Arial" w:cs="Arial"/>
                <w:sz w:val="20"/>
                <w:lang w:val="fr-FR"/>
              </w:rPr>
              <w:t xml:space="preserve"> entre le 1</w:t>
            </w:r>
            <w:r w:rsidRPr="004E4188">
              <w:rPr>
                <w:rFonts w:ascii="Arial" w:hAnsi="Arial" w:cs="Arial"/>
                <w:sz w:val="20"/>
                <w:vertAlign w:val="superscript"/>
                <w:lang w:val="fr-FR"/>
              </w:rPr>
              <w:t>er</w:t>
            </w:r>
            <w:r w:rsidRPr="004E4188">
              <w:rPr>
                <w:rFonts w:ascii="Arial" w:hAnsi="Arial" w:cs="Arial"/>
                <w:sz w:val="20"/>
                <w:lang w:val="fr-FR"/>
              </w:rPr>
              <w:t xml:space="preserve"> janvier </w:t>
            </w:r>
            <w:r w:rsidRPr="004E4188">
              <w:rPr>
                <w:rFonts w:ascii="Arial" w:hAnsi="Arial" w:cs="Arial"/>
                <w:spacing w:val="-2"/>
                <w:sz w:val="20"/>
                <w:lang w:val="fr-FR" w:eastAsia="ja-JP"/>
              </w:rPr>
              <w:t>[</w:t>
            </w:r>
            <w:r w:rsidRPr="004E4188">
              <w:rPr>
                <w:rFonts w:ascii="Arial" w:hAnsi="Arial" w:cs="Arial"/>
                <w:i/>
                <w:spacing w:val="-2"/>
                <w:sz w:val="20"/>
                <w:lang w:val="fr-FR" w:eastAsia="ja-JP"/>
              </w:rPr>
              <w:t>indiquer l’année</w:t>
            </w:r>
            <w:r w:rsidRPr="004E4188">
              <w:rPr>
                <w:rFonts w:ascii="Arial" w:hAnsi="Arial" w:cs="Arial"/>
                <w:spacing w:val="-2"/>
                <w:sz w:val="20"/>
                <w:lang w:val="fr-FR" w:eastAsia="ja-JP"/>
              </w:rPr>
              <w:t>]</w:t>
            </w:r>
            <w:r w:rsidRPr="004E4188">
              <w:rPr>
                <w:rFonts w:ascii="Arial" w:hAnsi="Arial" w:cs="Arial"/>
                <w:spacing w:val="-2"/>
                <w:sz w:val="20"/>
                <w:vertAlign w:val="superscript"/>
                <w:lang w:val="fr-FR" w:eastAsia="ja-JP"/>
              </w:rPr>
              <w:t>4</w:t>
            </w:r>
            <w:r w:rsidRPr="004E4188">
              <w:rPr>
                <w:rFonts w:ascii="Arial" w:hAnsi="Arial" w:cs="Arial"/>
                <w:sz w:val="20"/>
                <w:lang w:val="fr-FR"/>
              </w:rPr>
              <w:t xml:space="preserve"> et la date limite de remise des offres, une expérience minimale pour les activités principales suivantes réalisées avec succès</w:t>
            </w:r>
            <w:r w:rsidRPr="004E4188">
              <w:rPr>
                <w:rFonts w:ascii="Arial" w:hAnsi="Arial" w:cs="Arial"/>
                <w:sz w:val="20"/>
                <w:vertAlign w:val="superscript"/>
                <w:lang w:val="fr-FR"/>
              </w:rPr>
              <w:t>(iii)</w:t>
            </w:r>
            <w:r w:rsidRPr="004E4188">
              <w:rPr>
                <w:rFonts w:ascii="Arial" w:hAnsi="Arial" w:cs="Arial"/>
                <w:sz w:val="20"/>
                <w:lang w:val="fr-FR"/>
              </w:rPr>
              <w:t xml:space="preserve"> [</w:t>
            </w:r>
            <w:r w:rsidRPr="004E4188">
              <w:rPr>
                <w:rFonts w:ascii="Arial" w:hAnsi="Arial" w:cs="Arial"/>
                <w:i/>
                <w:sz w:val="20"/>
                <w:lang w:val="fr-FR"/>
              </w:rPr>
              <w:t>énumérer les activités en indiquant le nombre, la production, la capacité ou les niveaux de performance, le cas échéant.</w:t>
            </w:r>
            <w:r w:rsidRPr="004E4188">
              <w:rPr>
                <w:rFonts w:ascii="Arial" w:hAnsi="Arial" w:cs="Arial"/>
                <w:sz w:val="20"/>
                <w:lang w:val="fr-FR"/>
              </w:rPr>
              <w:t>]</w:t>
            </w:r>
          </w:p>
          <w:p w14:paraId="5BDB23C0" w14:textId="77777777" w:rsidR="006F129D" w:rsidRPr="004E4188" w:rsidRDefault="006F129D" w:rsidP="00D45EAD">
            <w:pPr>
              <w:pStyle w:val="Style11"/>
              <w:tabs>
                <w:tab w:val="left" w:leader="dot" w:pos="8424"/>
              </w:tabs>
              <w:snapToGrid w:val="0"/>
              <w:spacing w:before="60" w:after="60" w:line="240" w:lineRule="exact"/>
              <w:ind w:left="321"/>
              <w:jc w:val="both"/>
              <w:rPr>
                <w:rFonts w:ascii="Arial" w:hAnsi="Arial" w:cs="Arial"/>
                <w:sz w:val="20"/>
                <w:lang w:val="fr-FR"/>
              </w:rPr>
            </w:pPr>
            <w:r w:rsidRPr="004E4188">
              <w:rPr>
                <w:rFonts w:ascii="Arial" w:hAnsi="Arial" w:cs="Arial"/>
                <w:sz w:val="20"/>
                <w:lang w:val="fr-FR"/>
              </w:rPr>
              <w:t>[</w:t>
            </w:r>
            <w:r w:rsidRPr="004E4188">
              <w:rPr>
                <w:rFonts w:ascii="Arial" w:hAnsi="Arial" w:cs="Arial"/>
                <w:i/>
                <w:sz w:val="20"/>
                <w:lang w:val="fr-FR"/>
              </w:rPr>
              <w:t>Indiquer les critères pour l’attribution de lots multiples, le cas échéant.</w:t>
            </w:r>
            <w:r w:rsidRPr="004E4188">
              <w:rPr>
                <w:rFonts w:ascii="Arial" w:hAnsi="Arial" w:cs="Arial"/>
                <w:sz w:val="20"/>
                <w:lang w:val="fr-FR"/>
              </w:rPr>
              <w:t>]</w:t>
            </w:r>
            <w:r w:rsidRPr="004E4188">
              <w:rPr>
                <w:rFonts w:ascii="Arial" w:hAnsi="Arial" w:cs="Arial"/>
                <w:sz w:val="20"/>
                <w:vertAlign w:val="superscript"/>
                <w:lang w:val="fr-FR"/>
              </w:rPr>
              <w:t xml:space="preserve"> (vii)</w:t>
            </w:r>
          </w:p>
        </w:tc>
        <w:tc>
          <w:tcPr>
            <w:tcW w:w="1560" w:type="dxa"/>
          </w:tcPr>
          <w:p w14:paraId="00F75206" w14:textId="3652244F" w:rsidR="006F129D" w:rsidRPr="004E4188" w:rsidRDefault="006F129D" w:rsidP="00A332EF">
            <w:pPr>
              <w:spacing w:before="60"/>
              <w:jc w:val="center"/>
              <w:rPr>
                <w:rFonts w:ascii="Arial" w:hAnsi="Arial" w:cs="Arial"/>
                <w:sz w:val="20"/>
              </w:rPr>
            </w:pPr>
            <w:r w:rsidRPr="004E4188">
              <w:rPr>
                <w:rFonts w:ascii="Arial" w:hAnsi="Arial" w:cs="Arial"/>
                <w:sz w:val="20"/>
              </w:rPr>
              <w:t>Doit satisfaire au critère</w:t>
            </w:r>
          </w:p>
          <w:p w14:paraId="2B12586B" w14:textId="77777777" w:rsidR="006F129D" w:rsidRPr="004E4188" w:rsidRDefault="006F129D" w:rsidP="00A332EF">
            <w:pPr>
              <w:spacing w:before="60"/>
              <w:jc w:val="center"/>
              <w:rPr>
                <w:rFonts w:ascii="Arial" w:hAnsi="Arial" w:cs="Arial"/>
                <w:sz w:val="20"/>
              </w:rPr>
            </w:pPr>
          </w:p>
          <w:p w14:paraId="79D6C91A" w14:textId="77777777" w:rsidR="006F129D" w:rsidRPr="004E4188" w:rsidRDefault="006F129D" w:rsidP="00A332EF">
            <w:pPr>
              <w:suppressAutoHyphens w:val="0"/>
              <w:overflowPunct/>
              <w:autoSpaceDE/>
              <w:autoSpaceDN/>
              <w:adjustRightInd/>
              <w:spacing w:before="60" w:after="60"/>
              <w:jc w:val="center"/>
              <w:textAlignment w:val="auto"/>
              <w:rPr>
                <w:rFonts w:ascii="Arial" w:hAnsi="Arial" w:cs="Arial"/>
                <w:sz w:val="20"/>
                <w:lang w:eastAsia="en-US"/>
              </w:rPr>
            </w:pPr>
            <w:r w:rsidRPr="004E4188">
              <w:rPr>
                <w:rFonts w:ascii="Arial" w:hAnsi="Arial" w:cs="Arial"/>
                <w:sz w:val="20"/>
                <w:lang w:eastAsia="en-US"/>
              </w:rPr>
              <w:t>Les activités suivantes peuvent être réalisées par un sous-traitant spécialisé :</w:t>
            </w:r>
          </w:p>
          <w:p w14:paraId="3FEDD3AF" w14:textId="77777777" w:rsidR="006F129D" w:rsidRPr="004E4188" w:rsidRDefault="006F129D" w:rsidP="00051C54">
            <w:pPr>
              <w:spacing w:before="60" w:after="60"/>
              <w:jc w:val="center"/>
              <w:rPr>
                <w:rFonts w:ascii="Arial" w:hAnsi="Arial" w:cs="Arial"/>
                <w:sz w:val="20"/>
              </w:rPr>
            </w:pPr>
            <w:r w:rsidRPr="004E4188">
              <w:rPr>
                <w:rFonts w:ascii="Arial" w:hAnsi="Arial" w:cs="Arial"/>
                <w:spacing w:val="-2"/>
                <w:sz w:val="20"/>
                <w:lang w:eastAsia="en-US"/>
              </w:rPr>
              <w:t>[</w:t>
            </w:r>
            <w:r w:rsidRPr="004E4188">
              <w:rPr>
                <w:rFonts w:ascii="Arial" w:hAnsi="Arial" w:cs="Arial"/>
                <w:i/>
                <w:spacing w:val="-2"/>
                <w:sz w:val="20"/>
                <w:lang w:eastAsia="en-US"/>
              </w:rPr>
              <w:t xml:space="preserve">Indiquer les activités qui peuvent être réalisées par un sous-traitant spécialisé ; </w:t>
            </w:r>
            <w:r w:rsidRPr="004E4188">
              <w:rPr>
                <w:rFonts w:ascii="Arial" w:hAnsi="Arial" w:cs="Arial"/>
                <w:i/>
                <w:spacing w:val="-2"/>
                <w:sz w:val="20"/>
                <w:lang w:eastAsia="ja-JP"/>
              </w:rPr>
              <w:t xml:space="preserve">s’il n’y a pas de tels critères, </w:t>
            </w:r>
            <w:r w:rsidRPr="004E4188">
              <w:rPr>
                <w:rFonts w:ascii="Arial" w:hAnsi="Arial" w:cs="Arial"/>
                <w:i/>
                <w:spacing w:val="-2"/>
                <w:sz w:val="20"/>
                <w:lang w:eastAsia="en-US"/>
              </w:rPr>
              <w:t>indiquer « Sans objet ».</w:t>
            </w:r>
            <w:r w:rsidRPr="004E4188">
              <w:rPr>
                <w:rFonts w:ascii="Arial" w:hAnsi="Arial" w:cs="Arial"/>
                <w:spacing w:val="-2"/>
                <w:sz w:val="20"/>
                <w:lang w:eastAsia="en-US"/>
              </w:rPr>
              <w:t>]</w:t>
            </w:r>
          </w:p>
        </w:tc>
        <w:tc>
          <w:tcPr>
            <w:tcW w:w="1453" w:type="dxa"/>
          </w:tcPr>
          <w:p w14:paraId="21DEABBB" w14:textId="121BAD7C" w:rsidR="006F129D" w:rsidRPr="004E4188" w:rsidRDefault="006F129D" w:rsidP="00A332EF">
            <w:pPr>
              <w:spacing w:before="60"/>
              <w:jc w:val="center"/>
              <w:rPr>
                <w:rFonts w:ascii="Arial" w:hAnsi="Arial" w:cs="Arial"/>
                <w:sz w:val="20"/>
              </w:rPr>
            </w:pPr>
            <w:r w:rsidRPr="004E4188">
              <w:rPr>
                <w:rFonts w:ascii="Arial" w:hAnsi="Arial" w:cs="Arial"/>
                <w:sz w:val="20"/>
              </w:rPr>
              <w:t>Doivent satisfaire au critère</w:t>
            </w:r>
            <w:r w:rsidRPr="004E4188">
              <w:rPr>
                <w:rFonts w:ascii="Arial" w:hAnsi="Arial" w:cs="Arial"/>
                <w:sz w:val="20"/>
                <w:vertAlign w:val="superscript"/>
              </w:rPr>
              <w:t>(</w:t>
            </w:r>
            <w:r w:rsidR="00051C54" w:rsidRPr="004E4188">
              <w:rPr>
                <w:rFonts w:ascii="Arial" w:hAnsi="Arial" w:cs="Arial"/>
                <w:sz w:val="20"/>
                <w:vertAlign w:val="superscript"/>
              </w:rPr>
              <w:t>v</w:t>
            </w:r>
            <w:r w:rsidRPr="004E4188">
              <w:rPr>
                <w:rFonts w:ascii="Arial" w:hAnsi="Arial" w:cs="Arial"/>
                <w:sz w:val="20"/>
                <w:vertAlign w:val="superscript"/>
              </w:rPr>
              <w:t>)</w:t>
            </w:r>
          </w:p>
          <w:p w14:paraId="766EDF86" w14:textId="77777777" w:rsidR="006F129D" w:rsidRPr="004E4188" w:rsidRDefault="006F129D" w:rsidP="00051C54">
            <w:pPr>
              <w:jc w:val="center"/>
              <w:rPr>
                <w:rFonts w:ascii="Arial" w:hAnsi="Arial" w:cs="Arial"/>
                <w:sz w:val="20"/>
              </w:rPr>
            </w:pPr>
          </w:p>
          <w:p w14:paraId="16821989" w14:textId="77777777" w:rsidR="006F129D" w:rsidRPr="004E4188" w:rsidRDefault="006F129D" w:rsidP="00051C54">
            <w:pPr>
              <w:suppressAutoHyphens w:val="0"/>
              <w:overflowPunct/>
              <w:autoSpaceDE/>
              <w:autoSpaceDN/>
              <w:adjustRightInd/>
              <w:spacing w:after="60"/>
              <w:jc w:val="center"/>
              <w:textAlignment w:val="auto"/>
              <w:rPr>
                <w:rFonts w:ascii="Arial" w:hAnsi="Arial" w:cs="Arial"/>
                <w:sz w:val="20"/>
                <w:lang w:eastAsia="en-US"/>
              </w:rPr>
            </w:pPr>
            <w:r w:rsidRPr="004E4188">
              <w:rPr>
                <w:rFonts w:ascii="Arial" w:hAnsi="Arial" w:cs="Arial"/>
                <w:sz w:val="20"/>
                <w:lang w:eastAsia="en-US"/>
              </w:rPr>
              <w:t>Les activités suivantes peuvent être réalisées par un sous-traitant spécialisé :</w:t>
            </w:r>
          </w:p>
          <w:p w14:paraId="181A4802" w14:textId="77777777" w:rsidR="006F129D" w:rsidRPr="004E4188" w:rsidRDefault="006F129D" w:rsidP="00A332EF">
            <w:pPr>
              <w:spacing w:before="60"/>
              <w:jc w:val="center"/>
              <w:rPr>
                <w:rFonts w:ascii="Arial" w:hAnsi="Arial" w:cs="Arial"/>
                <w:sz w:val="20"/>
              </w:rPr>
            </w:pPr>
            <w:r w:rsidRPr="004E4188">
              <w:rPr>
                <w:rFonts w:ascii="Arial" w:hAnsi="Arial" w:cs="Arial"/>
                <w:spacing w:val="-2"/>
                <w:sz w:val="20"/>
                <w:lang w:eastAsia="en-US"/>
              </w:rPr>
              <w:t>[</w:t>
            </w:r>
            <w:r w:rsidRPr="004E4188">
              <w:rPr>
                <w:rFonts w:ascii="Arial" w:hAnsi="Arial" w:cs="Arial"/>
                <w:i/>
                <w:spacing w:val="-2"/>
                <w:sz w:val="20"/>
                <w:lang w:eastAsia="en-US"/>
              </w:rPr>
              <w:t xml:space="preserve">Indiquer les activités qui peuvent être réalisées par un sous-traitant spécialisé ; </w:t>
            </w:r>
            <w:r w:rsidRPr="004E4188">
              <w:rPr>
                <w:rFonts w:ascii="Arial" w:hAnsi="Arial" w:cs="Arial"/>
                <w:i/>
                <w:spacing w:val="-2"/>
                <w:sz w:val="20"/>
                <w:lang w:eastAsia="ja-JP"/>
              </w:rPr>
              <w:t xml:space="preserve">s’il n’y a pas de tels critères, </w:t>
            </w:r>
            <w:r w:rsidRPr="004E4188">
              <w:rPr>
                <w:rFonts w:ascii="Arial" w:hAnsi="Arial" w:cs="Arial"/>
                <w:i/>
                <w:spacing w:val="-2"/>
                <w:sz w:val="20"/>
                <w:lang w:eastAsia="en-US"/>
              </w:rPr>
              <w:t>indiquer « Sans objet ».</w:t>
            </w:r>
            <w:r w:rsidRPr="004E4188">
              <w:rPr>
                <w:rFonts w:ascii="Arial" w:hAnsi="Arial" w:cs="Arial"/>
                <w:spacing w:val="-2"/>
                <w:sz w:val="20"/>
                <w:lang w:eastAsia="en-US"/>
              </w:rPr>
              <w:t>]</w:t>
            </w:r>
          </w:p>
        </w:tc>
        <w:tc>
          <w:tcPr>
            <w:tcW w:w="1453" w:type="dxa"/>
          </w:tcPr>
          <w:p w14:paraId="434920C9" w14:textId="77777777" w:rsidR="006F129D" w:rsidRPr="004E4188" w:rsidRDefault="006F129D" w:rsidP="00A332EF">
            <w:pPr>
              <w:spacing w:before="60"/>
              <w:jc w:val="center"/>
              <w:rPr>
                <w:rFonts w:ascii="Arial" w:hAnsi="Arial" w:cs="Arial"/>
                <w:sz w:val="20"/>
              </w:rPr>
            </w:pPr>
            <w:r w:rsidRPr="004E4188">
              <w:rPr>
                <w:rFonts w:ascii="Arial" w:hAnsi="Arial" w:cs="Arial"/>
                <w:sz w:val="20"/>
              </w:rPr>
              <w:t>Sans objet</w:t>
            </w:r>
          </w:p>
        </w:tc>
        <w:tc>
          <w:tcPr>
            <w:tcW w:w="1453" w:type="dxa"/>
          </w:tcPr>
          <w:p w14:paraId="677B915D" w14:textId="77777777" w:rsidR="006F129D" w:rsidRPr="004E4188" w:rsidRDefault="006F129D" w:rsidP="003C7B94">
            <w:pPr>
              <w:suppressAutoHyphens w:val="0"/>
              <w:overflowPunct/>
              <w:autoSpaceDE/>
              <w:autoSpaceDN/>
              <w:adjustRightInd/>
              <w:spacing w:before="60" w:after="60"/>
              <w:jc w:val="center"/>
              <w:textAlignment w:val="auto"/>
              <w:rPr>
                <w:rFonts w:ascii="Arial" w:hAnsi="Arial" w:cs="Arial"/>
                <w:sz w:val="20"/>
                <w:lang w:eastAsia="en-US"/>
              </w:rPr>
            </w:pPr>
            <w:r w:rsidRPr="004E4188">
              <w:rPr>
                <w:rFonts w:ascii="Arial" w:hAnsi="Arial" w:cs="Arial"/>
                <w:sz w:val="20"/>
                <w:lang w:eastAsia="en-US"/>
              </w:rPr>
              <w:t>Doit satisfaire au critère</w:t>
            </w:r>
          </w:p>
          <w:p w14:paraId="0A848E88" w14:textId="77777777" w:rsidR="006F129D" w:rsidRPr="004E4188" w:rsidRDefault="006F129D" w:rsidP="003C7B94">
            <w:pPr>
              <w:suppressAutoHyphens w:val="0"/>
              <w:overflowPunct/>
              <w:autoSpaceDE/>
              <w:autoSpaceDN/>
              <w:adjustRightInd/>
              <w:spacing w:before="60" w:after="60"/>
              <w:jc w:val="center"/>
              <w:textAlignment w:val="auto"/>
              <w:rPr>
                <w:rFonts w:ascii="Arial" w:hAnsi="Arial" w:cs="Arial"/>
                <w:sz w:val="20"/>
                <w:lang w:eastAsia="en-US"/>
              </w:rPr>
            </w:pPr>
          </w:p>
          <w:p w14:paraId="1A5CA08B" w14:textId="77777777" w:rsidR="006F129D" w:rsidRPr="004E4188" w:rsidRDefault="006F129D" w:rsidP="003C7B94">
            <w:pPr>
              <w:jc w:val="center"/>
              <w:rPr>
                <w:rFonts w:ascii="Arial" w:hAnsi="Arial" w:cs="Arial"/>
                <w:spacing w:val="-2"/>
                <w:sz w:val="20"/>
                <w:lang w:eastAsia="en-US"/>
              </w:rPr>
            </w:pPr>
            <w:r w:rsidRPr="004E4188">
              <w:rPr>
                <w:rFonts w:ascii="Arial" w:hAnsi="Arial" w:cs="Arial"/>
                <w:sz w:val="20"/>
              </w:rPr>
              <w:t xml:space="preserve">Les critères suivants doivent être remplis par un membre : </w:t>
            </w:r>
            <w:r w:rsidRPr="004E4188">
              <w:rPr>
                <w:rFonts w:ascii="Arial" w:hAnsi="Arial" w:cs="Arial"/>
                <w:spacing w:val="-2"/>
                <w:sz w:val="20"/>
              </w:rPr>
              <w:t>[</w:t>
            </w:r>
            <w:r w:rsidRPr="004E4188">
              <w:rPr>
                <w:rFonts w:ascii="Arial" w:hAnsi="Arial" w:cs="Arial"/>
                <w:i/>
                <w:spacing w:val="-2"/>
                <w:sz w:val="20"/>
              </w:rPr>
              <w:t>Indiquer les activités qui doivent être réalisées par un membre ;</w:t>
            </w:r>
            <w:r w:rsidRPr="004E4188">
              <w:rPr>
                <w:rFonts w:ascii="Arial" w:hAnsi="Arial" w:cs="Arial"/>
                <w:i/>
                <w:spacing w:val="-2"/>
                <w:sz w:val="20"/>
                <w:lang w:eastAsia="en-US"/>
              </w:rPr>
              <w:t xml:space="preserve"> </w:t>
            </w:r>
            <w:r w:rsidRPr="004E4188">
              <w:rPr>
                <w:rFonts w:ascii="Arial" w:hAnsi="Arial" w:cs="Arial"/>
                <w:i/>
                <w:spacing w:val="-2"/>
                <w:sz w:val="20"/>
                <w:lang w:eastAsia="ja-JP"/>
              </w:rPr>
              <w:t xml:space="preserve">s’il n’y a pas de tels critères, </w:t>
            </w:r>
            <w:r w:rsidRPr="004E4188">
              <w:rPr>
                <w:rFonts w:ascii="Arial" w:hAnsi="Arial" w:cs="Arial"/>
                <w:i/>
                <w:spacing w:val="-2"/>
                <w:sz w:val="20"/>
                <w:lang w:eastAsia="en-US"/>
              </w:rPr>
              <w:t>indiquer « Sans objet ».</w:t>
            </w:r>
            <w:r w:rsidRPr="004E4188">
              <w:rPr>
                <w:rFonts w:ascii="Arial" w:hAnsi="Arial" w:cs="Arial"/>
                <w:spacing w:val="-2"/>
                <w:sz w:val="20"/>
                <w:lang w:eastAsia="en-US"/>
              </w:rPr>
              <w:t>]</w:t>
            </w:r>
          </w:p>
          <w:p w14:paraId="6E87C39E" w14:textId="77777777" w:rsidR="006F129D" w:rsidRPr="004E4188" w:rsidRDefault="006F129D" w:rsidP="003C7B94">
            <w:pPr>
              <w:jc w:val="center"/>
              <w:rPr>
                <w:rFonts w:ascii="Arial" w:hAnsi="Arial" w:cs="Arial"/>
                <w:sz w:val="20"/>
              </w:rPr>
            </w:pPr>
          </w:p>
        </w:tc>
        <w:tc>
          <w:tcPr>
            <w:tcW w:w="1699" w:type="dxa"/>
          </w:tcPr>
          <w:p w14:paraId="69687D68" w14:textId="77777777" w:rsidR="006F129D" w:rsidRPr="004E4188" w:rsidRDefault="006F129D" w:rsidP="003C7B94">
            <w:pPr>
              <w:suppressAutoHyphens w:val="0"/>
              <w:overflowPunct/>
              <w:autoSpaceDE/>
              <w:autoSpaceDN/>
              <w:adjustRightInd/>
              <w:spacing w:before="60" w:after="60"/>
              <w:textAlignment w:val="auto"/>
              <w:rPr>
                <w:rFonts w:ascii="Arial" w:hAnsi="Arial" w:cs="Arial"/>
                <w:sz w:val="20"/>
                <w:lang w:eastAsia="ja-JP"/>
              </w:rPr>
            </w:pPr>
            <w:r w:rsidRPr="004E4188">
              <w:rPr>
                <w:rFonts w:ascii="Arial" w:hAnsi="Arial" w:cs="Arial"/>
                <w:sz w:val="20"/>
                <w:lang w:eastAsia="en-US"/>
              </w:rPr>
              <w:t>Formulaire ELI-3</w:t>
            </w:r>
          </w:p>
          <w:p w14:paraId="689FE61B" w14:textId="77777777" w:rsidR="006F129D" w:rsidRPr="004E4188" w:rsidRDefault="006F129D" w:rsidP="003C7B94">
            <w:pPr>
              <w:rPr>
                <w:rFonts w:ascii="Arial" w:hAnsi="Arial" w:cs="Arial"/>
                <w:sz w:val="20"/>
              </w:rPr>
            </w:pPr>
            <w:r w:rsidRPr="004E4188">
              <w:rPr>
                <w:rFonts w:ascii="Arial" w:hAnsi="Arial" w:cs="Arial"/>
                <w:sz w:val="20"/>
              </w:rPr>
              <w:t>Formulaire EXP-2(b) avec pièce jointe</w:t>
            </w:r>
          </w:p>
          <w:p w14:paraId="594B8627" w14:textId="77777777" w:rsidR="006F129D" w:rsidRPr="004E4188" w:rsidRDefault="006F129D" w:rsidP="003C7B94">
            <w:pPr>
              <w:suppressAutoHyphens w:val="0"/>
              <w:overflowPunct/>
              <w:autoSpaceDE/>
              <w:autoSpaceDN/>
              <w:adjustRightInd/>
              <w:spacing w:before="60" w:after="60"/>
              <w:textAlignment w:val="auto"/>
              <w:rPr>
                <w:rFonts w:ascii="Arial" w:hAnsi="Arial" w:cs="Arial"/>
                <w:sz w:val="20"/>
                <w:lang w:eastAsia="en-US"/>
              </w:rPr>
            </w:pPr>
            <w:r w:rsidRPr="004E4188">
              <w:rPr>
                <w:rFonts w:ascii="Arial" w:hAnsi="Arial" w:cs="Arial"/>
                <w:sz w:val="20"/>
                <w:lang w:eastAsia="ja-JP"/>
              </w:rPr>
              <w:t xml:space="preserve">Formulaire </w:t>
            </w:r>
            <w:r w:rsidRPr="004E4188">
              <w:rPr>
                <w:rFonts w:ascii="Arial" w:hAnsi="Arial" w:cs="Arial"/>
                <w:sz w:val="20"/>
                <w:lang w:eastAsia="en-US"/>
              </w:rPr>
              <w:t>FAB</w:t>
            </w:r>
          </w:p>
          <w:p w14:paraId="41667909" w14:textId="19BC9A1F" w:rsidR="006F129D" w:rsidRPr="004E4188" w:rsidRDefault="00D57E65" w:rsidP="003C7B94">
            <w:pPr>
              <w:widowControl w:val="0"/>
              <w:tabs>
                <w:tab w:val="left" w:leader="dot" w:pos="8424"/>
              </w:tabs>
              <w:suppressAutoHyphens w:val="0"/>
              <w:overflowPunct/>
              <w:adjustRightInd/>
              <w:snapToGrid w:val="0"/>
              <w:spacing w:before="60" w:after="60"/>
              <w:textAlignment w:val="auto"/>
              <w:rPr>
                <w:rFonts w:ascii="Arial" w:hAnsi="Arial" w:cs="Arial"/>
                <w:sz w:val="20"/>
                <w:lang w:eastAsia="ja-JP"/>
              </w:rPr>
            </w:pPr>
            <w:r w:rsidRPr="004E4188">
              <w:rPr>
                <w:rFonts w:ascii="Arial" w:hAnsi="Arial" w:cs="Arial"/>
                <w:sz w:val="20"/>
              </w:rPr>
              <w:t>Formulaire</w:t>
            </w:r>
            <w:r w:rsidRPr="004E4188">
              <w:rPr>
                <w:rFonts w:ascii="Arial" w:hAnsi="Arial" w:cs="Arial"/>
                <w:sz w:val="20"/>
                <w:szCs w:val="24"/>
                <w:lang w:eastAsia="en-US"/>
              </w:rPr>
              <w:t xml:space="preserve"> </w:t>
            </w:r>
            <w:r w:rsidR="006F129D" w:rsidRPr="004E4188">
              <w:rPr>
                <w:rFonts w:ascii="Arial" w:hAnsi="Arial" w:cs="Arial"/>
                <w:sz w:val="20"/>
                <w:szCs w:val="24"/>
                <w:lang w:eastAsia="en-US"/>
              </w:rPr>
              <w:t>« Liste de sous-traitants »</w:t>
            </w:r>
          </w:p>
          <w:p w14:paraId="133E1335" w14:textId="77777777" w:rsidR="006F129D" w:rsidRPr="004E4188" w:rsidRDefault="006F129D" w:rsidP="003C7B94">
            <w:pPr>
              <w:rPr>
                <w:rFonts w:ascii="Arial" w:hAnsi="Arial" w:cs="Arial"/>
                <w:sz w:val="20"/>
              </w:rPr>
            </w:pPr>
          </w:p>
        </w:tc>
      </w:tr>
      <w:tr w:rsidR="006F129D" w:rsidRPr="004E4188" w14:paraId="5CDE519B" w14:textId="77777777" w:rsidTr="000B0DCD">
        <w:tc>
          <w:tcPr>
            <w:tcW w:w="13396" w:type="dxa"/>
            <w:gridSpan w:val="8"/>
          </w:tcPr>
          <w:p w14:paraId="1F654F5E" w14:textId="77777777" w:rsidR="006F129D" w:rsidRPr="004E4188" w:rsidRDefault="006F129D" w:rsidP="00A6049E">
            <w:pPr>
              <w:pStyle w:val="Style11"/>
              <w:tabs>
                <w:tab w:val="left" w:leader="dot" w:pos="8424"/>
              </w:tabs>
              <w:spacing w:after="60" w:line="240" w:lineRule="auto"/>
              <w:jc w:val="both"/>
              <w:rPr>
                <w:rFonts w:ascii="Arial" w:hAnsi="Arial" w:cs="Arial"/>
                <w:sz w:val="20"/>
                <w:szCs w:val="20"/>
                <w:lang w:val="fr-FR" w:eastAsia="ja-JP"/>
              </w:rPr>
            </w:pPr>
            <w:r w:rsidRPr="004E4188">
              <w:rPr>
                <w:rFonts w:ascii="Arial" w:hAnsi="Arial" w:cs="Arial"/>
                <w:sz w:val="20"/>
                <w:u w:val="single"/>
                <w:lang w:val="fr-FR" w:eastAsia="ja-JP"/>
              </w:rPr>
              <w:t>Notes à l’intention des Soumissionnaires</w:t>
            </w:r>
          </w:p>
          <w:p w14:paraId="0CA27B94" w14:textId="77777777" w:rsidR="006F129D" w:rsidRPr="004E4188" w:rsidRDefault="006F129D" w:rsidP="0058543C">
            <w:pPr>
              <w:tabs>
                <w:tab w:val="left" w:pos="601"/>
              </w:tabs>
              <w:spacing w:afterLines="50" w:after="120"/>
              <w:ind w:left="397" w:hanging="397"/>
              <w:rPr>
                <w:rFonts w:ascii="Arial" w:hAnsi="Arial" w:cs="Arial"/>
                <w:sz w:val="20"/>
              </w:rPr>
            </w:pPr>
            <w:r w:rsidRPr="004E4188">
              <w:rPr>
                <w:rFonts w:ascii="Arial" w:hAnsi="Arial" w:cs="Arial"/>
                <w:sz w:val="20"/>
                <w:lang w:eastAsia="ja-JP"/>
              </w:rPr>
              <w:t>(i)</w:t>
            </w:r>
            <w:r w:rsidRPr="004E4188">
              <w:rPr>
                <w:rFonts w:ascii="Arial" w:hAnsi="Arial" w:cs="Arial"/>
                <w:sz w:val="20"/>
                <w:lang w:eastAsia="ja-JP"/>
              </w:rPr>
              <w:tab/>
            </w:r>
            <w:r w:rsidRPr="004E4188">
              <w:rPr>
                <w:rFonts w:ascii="Arial" w:hAnsi="Arial" w:cs="Arial"/>
                <w:sz w:val="20"/>
              </w:rPr>
              <w:t>A</w:t>
            </w:r>
            <w:r w:rsidRPr="004E4188">
              <w:rPr>
                <w:rFonts w:ascii="Arial" w:hAnsi="Arial" w:cs="Arial"/>
                <w:sz w:val="20"/>
                <w:lang w:eastAsia="ja-JP"/>
              </w:rPr>
              <w:t>ux fins de ce critère, un « en</w:t>
            </w:r>
            <w:r w:rsidRPr="004E4188">
              <w:rPr>
                <w:rFonts w:ascii="Arial" w:hAnsi="Arial" w:cs="Arial"/>
                <w:sz w:val="20"/>
              </w:rPr>
              <w:t>trepreneur gestionnaire de projet » est également considéré comme un entrepreneur principal. Un entrepreneur gestionnaire de projet désigne ici une entreprise qui prend en charge la gestion du marché. Normalement, un entrepreneur gestionnaire de projet ne s’occupe pas directement des équipements et services de montage associés au marché. Il dirige plutôt les travaux des autres entrepreneurs (sous-traitants) en assumant la responsabilité totale ainsi que les risques liés aux prix, à la qualité et aux délais contractuels du marché.</w:t>
            </w:r>
          </w:p>
          <w:p w14:paraId="506B999B" w14:textId="77777777" w:rsidR="006F129D" w:rsidRPr="004E4188" w:rsidRDefault="006F129D" w:rsidP="0058543C">
            <w:pPr>
              <w:tabs>
                <w:tab w:val="left" w:pos="601"/>
              </w:tabs>
              <w:spacing w:afterLines="50" w:after="120"/>
              <w:ind w:left="397" w:hanging="397"/>
              <w:rPr>
                <w:rFonts w:ascii="Arial" w:hAnsi="Arial" w:cs="Arial"/>
                <w:sz w:val="20"/>
              </w:rPr>
            </w:pPr>
            <w:r w:rsidRPr="004E4188">
              <w:rPr>
                <w:rFonts w:ascii="Arial" w:hAnsi="Arial" w:cs="Arial"/>
                <w:sz w:val="20"/>
                <w:lang w:eastAsia="ja-JP"/>
              </w:rPr>
              <w:t>(ii)</w:t>
            </w:r>
            <w:r w:rsidRPr="004E4188">
              <w:rPr>
                <w:rFonts w:ascii="Arial" w:hAnsi="Arial" w:cs="Arial"/>
                <w:sz w:val="20"/>
                <w:lang w:eastAsia="ja-JP"/>
              </w:rPr>
              <w:tab/>
            </w:r>
            <w:r w:rsidRPr="004E4188">
              <w:rPr>
                <w:rFonts w:ascii="Arial" w:hAnsi="Arial" w:cs="Arial"/>
                <w:sz w:val="20"/>
              </w:rPr>
              <w:t>La somme d’un certain nombre de marchés de moindre valeur (inférieure à la valeur spécifiée pour ce critère) afin de remplir l’ensemble du critère ne sera pas acceptée.</w:t>
            </w:r>
          </w:p>
          <w:p w14:paraId="4AF0BC07" w14:textId="77777777" w:rsidR="006F129D" w:rsidRPr="004E4188" w:rsidRDefault="006F129D" w:rsidP="0058543C">
            <w:pPr>
              <w:tabs>
                <w:tab w:val="left" w:pos="601"/>
              </w:tabs>
              <w:spacing w:afterLines="50" w:after="120"/>
              <w:ind w:left="397" w:hanging="397"/>
              <w:rPr>
                <w:rFonts w:ascii="Arial" w:hAnsi="Arial" w:cs="Arial"/>
                <w:sz w:val="20"/>
              </w:rPr>
            </w:pPr>
            <w:r w:rsidRPr="004E4188">
              <w:rPr>
                <w:rFonts w:ascii="Arial" w:hAnsi="Arial" w:cs="Arial"/>
                <w:sz w:val="20"/>
                <w:lang w:eastAsia="ja-JP"/>
              </w:rPr>
              <w:t>(iii)</w:t>
            </w:r>
            <w:r w:rsidRPr="004E4188">
              <w:rPr>
                <w:rFonts w:ascii="Arial" w:hAnsi="Arial" w:cs="Arial"/>
                <w:sz w:val="20"/>
                <w:lang w:eastAsia="ja-JP"/>
              </w:rPr>
              <w:tab/>
            </w:r>
            <w:r w:rsidRPr="004E4188">
              <w:rPr>
                <w:rFonts w:ascii="Arial" w:hAnsi="Arial" w:cs="Arial"/>
                <w:sz w:val="20"/>
              </w:rPr>
              <w:t>L</w:t>
            </w:r>
            <w:r w:rsidRPr="004E4188">
              <w:rPr>
                <w:rFonts w:ascii="Arial" w:hAnsi="Arial" w:cs="Arial"/>
                <w:sz w:val="20"/>
                <w:lang w:eastAsia="ja-JP"/>
              </w:rPr>
              <w:t xml:space="preserve">’achèvement des travaux sera attesté par la remise d’une copie d’un </w:t>
            </w:r>
            <w:r w:rsidRPr="004E4188">
              <w:rPr>
                <w:rFonts w:ascii="Arial" w:hAnsi="Arial" w:cs="Arial"/>
                <w:sz w:val="20"/>
              </w:rPr>
              <w:t>certificat d’utilisateur final</w:t>
            </w:r>
            <w:r w:rsidRPr="004E4188">
              <w:rPr>
                <w:rFonts w:ascii="Arial" w:hAnsi="Arial" w:cs="Arial"/>
                <w:sz w:val="20"/>
                <w:lang w:eastAsia="ja-JP"/>
              </w:rPr>
              <w:t xml:space="preserve"> tel que le certificat de réception ou le certificat d’achèvement des Travaux qui doivent être soumis en pièce jointe aux formulaires EXP-2(a) ou EXP-2(b) de la Section IV, Formulaires de soumission</w:t>
            </w:r>
            <w:r w:rsidRPr="004E4188">
              <w:rPr>
                <w:rFonts w:ascii="Arial" w:hAnsi="Arial" w:cs="Arial"/>
                <w:sz w:val="20"/>
              </w:rPr>
              <w:t xml:space="preserve">. </w:t>
            </w:r>
          </w:p>
          <w:p w14:paraId="106A47E4" w14:textId="77777777" w:rsidR="006F129D" w:rsidRPr="004E4188" w:rsidRDefault="006F129D" w:rsidP="0058543C">
            <w:pPr>
              <w:tabs>
                <w:tab w:val="left" w:pos="601"/>
              </w:tabs>
              <w:spacing w:afterLines="50" w:after="120"/>
              <w:ind w:left="397" w:hanging="397"/>
              <w:rPr>
                <w:rFonts w:ascii="Arial" w:hAnsi="Arial" w:cs="Arial"/>
                <w:sz w:val="20"/>
              </w:rPr>
            </w:pPr>
            <w:r w:rsidRPr="004E4188">
              <w:rPr>
                <w:rFonts w:ascii="Arial" w:hAnsi="Arial" w:cs="Arial"/>
                <w:sz w:val="20"/>
                <w:lang w:eastAsia="ja-JP"/>
              </w:rPr>
              <w:t>(iv)</w:t>
            </w:r>
            <w:r w:rsidRPr="004E4188">
              <w:rPr>
                <w:rFonts w:ascii="Arial" w:hAnsi="Arial" w:cs="Arial"/>
                <w:sz w:val="20"/>
                <w:lang w:eastAsia="ja-JP"/>
              </w:rPr>
              <w:tab/>
            </w:r>
            <w:r w:rsidRPr="004E4188">
              <w:rPr>
                <w:rFonts w:ascii="Arial" w:hAnsi="Arial" w:cs="Arial"/>
                <w:sz w:val="20"/>
              </w:rPr>
              <w:t>Pour les marchés auxquels le Soumissionnaire a participé en tant que membre d’un Groupement, seule la participation du Soumissionnaire, en valeur, sera considérée pour satisfaire au critère.</w:t>
            </w:r>
          </w:p>
          <w:p w14:paraId="5854A628" w14:textId="77777777" w:rsidR="006F129D" w:rsidRPr="004E4188" w:rsidRDefault="006F129D" w:rsidP="0058543C">
            <w:pPr>
              <w:tabs>
                <w:tab w:val="left" w:pos="601"/>
              </w:tabs>
              <w:spacing w:afterLines="50" w:after="120"/>
              <w:ind w:left="397" w:hanging="397"/>
              <w:rPr>
                <w:rFonts w:ascii="Arial" w:hAnsi="Arial" w:cs="Arial"/>
                <w:sz w:val="20"/>
                <w:lang w:eastAsia="ja-JP"/>
              </w:rPr>
            </w:pPr>
            <w:r w:rsidRPr="004E4188">
              <w:rPr>
                <w:rFonts w:ascii="Arial" w:hAnsi="Arial" w:cs="Arial"/>
                <w:sz w:val="20"/>
                <w:lang w:eastAsia="ja-JP"/>
              </w:rPr>
              <w:t>(v)</w:t>
            </w:r>
            <w:r w:rsidRPr="004E4188">
              <w:rPr>
                <w:rFonts w:ascii="Arial" w:hAnsi="Arial" w:cs="Arial"/>
                <w:sz w:val="20"/>
                <w:lang w:eastAsia="ja-JP"/>
              </w:rPr>
              <w:tab/>
            </w:r>
            <w:r w:rsidRPr="004E4188">
              <w:rPr>
                <w:rFonts w:ascii="Arial" w:hAnsi="Arial" w:cs="Arial"/>
                <w:sz w:val="20"/>
              </w:rPr>
              <w:t>En cas de Groupement, la valeur des marchés réalisés par chacun des membres ne sera pas ajoutée pour déterminer si la valeur minimale requise pour un marché unique a été satisfaite. Par contre, chaque marché réalisé par chaque membre doit satisfaire la valeur minimale pour un marché unique telle que requise pour une entreprise unique. Pour déterminer si le Groupement satisfait au critère du nombre total de marchés, seul le nombre de marchés réalisés par tous les membres dont la valeur est égale ou supérieure à la valeur minimale requise, sera considéré.</w:t>
            </w:r>
          </w:p>
          <w:p w14:paraId="42772C71" w14:textId="77777777" w:rsidR="006F129D" w:rsidRPr="004E4188" w:rsidRDefault="006F129D" w:rsidP="0058543C">
            <w:pPr>
              <w:tabs>
                <w:tab w:val="left" w:pos="601"/>
              </w:tabs>
              <w:spacing w:afterLines="50" w:after="120"/>
              <w:ind w:left="397" w:hanging="397"/>
              <w:rPr>
                <w:rFonts w:ascii="Arial" w:hAnsi="Arial" w:cs="Arial"/>
                <w:sz w:val="20"/>
              </w:rPr>
            </w:pPr>
            <w:r w:rsidRPr="004E4188">
              <w:rPr>
                <w:rFonts w:ascii="Arial" w:hAnsi="Arial" w:cs="Arial"/>
                <w:sz w:val="20"/>
                <w:lang w:eastAsia="ja-JP"/>
              </w:rPr>
              <w:t>(vi)</w:t>
            </w:r>
            <w:r w:rsidRPr="004E4188">
              <w:rPr>
                <w:rFonts w:ascii="Arial" w:hAnsi="Arial" w:cs="Arial"/>
                <w:sz w:val="20"/>
                <w:lang w:eastAsia="ja-JP"/>
              </w:rPr>
              <w:tab/>
            </w:r>
            <w:r w:rsidRPr="004E4188">
              <w:rPr>
                <w:rFonts w:ascii="Arial" w:hAnsi="Arial" w:cs="Arial"/>
                <w:sz w:val="20"/>
              </w:rPr>
              <w:t>Pour les marchés auxquels le Soumissionnaire a participé en tant que membre d’un Groupement ou en tant que sous-traitant, seule la participation du Soumissionnaire, en valeur et par rôle, sera considérée pour satisfaire au critère.</w:t>
            </w:r>
          </w:p>
          <w:p w14:paraId="70F0B1B5" w14:textId="77777777" w:rsidR="006F129D" w:rsidRPr="004E4188" w:rsidRDefault="006F129D" w:rsidP="00D45EAD">
            <w:pPr>
              <w:tabs>
                <w:tab w:val="left" w:pos="601"/>
              </w:tabs>
              <w:spacing w:afterLines="50" w:after="120"/>
              <w:ind w:left="397" w:hanging="397"/>
              <w:rPr>
                <w:rFonts w:ascii="Arial" w:hAnsi="Arial" w:cs="Arial"/>
                <w:i/>
                <w:sz w:val="20"/>
                <w:lang w:eastAsia="ja-JP"/>
              </w:rPr>
            </w:pPr>
            <w:r w:rsidRPr="004E4188">
              <w:rPr>
                <w:rFonts w:ascii="Arial" w:hAnsi="Arial" w:cs="Arial"/>
                <w:sz w:val="20"/>
                <w:lang w:eastAsia="ja-JP"/>
              </w:rPr>
              <w:t>(vii)</w:t>
            </w:r>
            <w:r w:rsidRPr="004E4188">
              <w:rPr>
                <w:rFonts w:ascii="Arial" w:hAnsi="Arial" w:cs="Arial"/>
                <w:sz w:val="20"/>
                <w:lang w:eastAsia="ja-JP"/>
              </w:rPr>
              <w:tab/>
              <w:t>L’expérience minimale requise pour l’attribution de lots multiples sera la somme des critères minimaux pour chaque lot unique.</w:t>
            </w:r>
          </w:p>
        </w:tc>
      </w:tr>
      <w:tr w:rsidR="006F129D" w:rsidRPr="004E4188" w14:paraId="6192499B" w14:textId="77777777" w:rsidTr="000B0DCD">
        <w:tc>
          <w:tcPr>
            <w:tcW w:w="13396" w:type="dxa"/>
            <w:gridSpan w:val="8"/>
          </w:tcPr>
          <w:p w14:paraId="57ED9407" w14:textId="77777777" w:rsidR="006F129D" w:rsidRPr="004E4188" w:rsidRDefault="006F129D" w:rsidP="00A6049E">
            <w:pPr>
              <w:widowControl w:val="0"/>
              <w:suppressAutoHyphens w:val="0"/>
              <w:overflowPunct/>
              <w:adjustRightInd/>
              <w:spacing w:after="60"/>
              <w:textAlignment w:val="auto"/>
              <w:rPr>
                <w:rFonts w:ascii="Arial" w:hAnsi="Arial" w:cs="Arial"/>
                <w:i/>
                <w:sz w:val="20"/>
                <w:u w:val="single"/>
                <w:lang w:eastAsia="ja-JP"/>
              </w:rPr>
            </w:pPr>
            <w:r w:rsidRPr="004E4188">
              <w:rPr>
                <w:rFonts w:ascii="Arial" w:hAnsi="Arial" w:cs="Arial"/>
                <w:i/>
                <w:sz w:val="20"/>
                <w:u w:val="single"/>
                <w:lang w:eastAsia="ja-JP"/>
              </w:rPr>
              <w:t>Notes à l’intention du Maître d’ouvrage</w:t>
            </w:r>
          </w:p>
          <w:p w14:paraId="5054BFE3" w14:textId="77777777" w:rsidR="006F129D" w:rsidRPr="004E4188" w:rsidRDefault="006F129D" w:rsidP="008575CB">
            <w:pPr>
              <w:spacing w:afterLines="50" w:after="120"/>
              <w:ind w:left="397" w:hanging="397"/>
              <w:rPr>
                <w:rFonts w:ascii="Arial" w:hAnsi="Arial" w:cs="Arial"/>
                <w:i/>
                <w:sz w:val="20"/>
                <w:lang w:eastAsia="ja-JP"/>
              </w:rPr>
            </w:pPr>
            <w:r w:rsidRPr="004E4188">
              <w:rPr>
                <w:rFonts w:ascii="Arial" w:hAnsi="Arial" w:cs="Arial"/>
                <w:i/>
                <w:sz w:val="20"/>
                <w:lang w:eastAsia="ja-JP"/>
              </w:rPr>
              <w:t>1.</w:t>
            </w:r>
            <w:r w:rsidRPr="004E4188">
              <w:rPr>
                <w:rFonts w:ascii="Arial" w:hAnsi="Arial" w:cs="Arial"/>
                <w:i/>
                <w:sz w:val="20"/>
                <w:lang w:eastAsia="ja-JP"/>
              </w:rPr>
              <w:tab/>
            </w:r>
            <w:r w:rsidRPr="004E4188">
              <w:rPr>
                <w:rFonts w:ascii="Arial" w:hAnsi="Arial" w:cs="Arial"/>
                <w:i/>
                <w:sz w:val="20"/>
              </w:rPr>
              <w:t>La</w:t>
            </w:r>
            <w:r w:rsidRPr="004E4188">
              <w:rPr>
                <w:rFonts w:ascii="Arial" w:hAnsi="Arial" w:cs="Arial"/>
                <w:i/>
                <w:sz w:val="20"/>
                <w:lang w:eastAsia="ja-JP"/>
              </w:rPr>
              <w:t xml:space="preserve"> période est généralement de cinq (5) ans ou plus, mais elle peut être réduite à trois (3) ans minimum (avec l’accord de la JICA) en cas de circonstances particulières propres à un pays, de manière à donner des opportunités aux entreprises récemment privatisées ayant peu d’années d’expérience.</w:t>
            </w:r>
          </w:p>
          <w:p w14:paraId="5E523E28" w14:textId="77777777" w:rsidR="006F129D" w:rsidRPr="004E4188" w:rsidRDefault="006F129D" w:rsidP="008575CB">
            <w:pPr>
              <w:spacing w:afterLines="50" w:after="120"/>
              <w:ind w:left="397" w:hanging="397"/>
              <w:rPr>
                <w:rFonts w:ascii="Arial" w:hAnsi="Arial" w:cs="Arial"/>
                <w:i/>
                <w:sz w:val="20"/>
                <w:lang w:eastAsia="ja-JP"/>
              </w:rPr>
            </w:pPr>
            <w:r w:rsidRPr="004E4188">
              <w:rPr>
                <w:rFonts w:ascii="Arial" w:hAnsi="Arial" w:cs="Arial"/>
                <w:i/>
                <w:sz w:val="20"/>
                <w:lang w:eastAsia="ja-JP"/>
              </w:rPr>
              <w:t>2.</w:t>
            </w:r>
            <w:r w:rsidRPr="004E4188">
              <w:rPr>
                <w:rFonts w:ascii="Arial" w:hAnsi="Arial" w:cs="Arial"/>
                <w:i/>
                <w:sz w:val="20"/>
                <w:lang w:eastAsia="ja-JP"/>
              </w:rPr>
              <w:tab/>
              <w:t>Le nombre des marchés doit être compris entre un (1) et trois (3), en fonction de l’envergure, de la valeur, de la nature et de la complexité du marché en question, du risque de non-exécution du marché auquel le Maître d’ouvrage est exposé, des conditions du pays et de l’expérience antérieure de marchés similaires.</w:t>
            </w:r>
          </w:p>
          <w:p w14:paraId="14276471" w14:textId="77777777" w:rsidR="006F129D" w:rsidRPr="004E4188" w:rsidRDefault="006F129D" w:rsidP="00414806">
            <w:pPr>
              <w:tabs>
                <w:tab w:val="left" w:pos="340"/>
              </w:tabs>
              <w:spacing w:afterLines="50" w:after="120"/>
              <w:ind w:left="397" w:hanging="397"/>
              <w:rPr>
                <w:rFonts w:ascii="Arial" w:hAnsi="Arial" w:cs="Arial"/>
                <w:i/>
                <w:sz w:val="20"/>
                <w:lang w:eastAsia="ja-JP"/>
              </w:rPr>
            </w:pPr>
            <w:r w:rsidRPr="004E4188">
              <w:rPr>
                <w:rFonts w:ascii="Arial" w:hAnsi="Arial" w:cs="Arial"/>
                <w:i/>
                <w:sz w:val="20"/>
                <w:lang w:eastAsia="ja-JP"/>
              </w:rPr>
              <w:t>3.</w:t>
            </w:r>
            <w:r w:rsidRPr="004E4188">
              <w:rPr>
                <w:rFonts w:ascii="Arial" w:hAnsi="Arial" w:cs="Arial"/>
                <w:i/>
                <w:sz w:val="20"/>
                <w:lang w:eastAsia="ja-JP"/>
              </w:rPr>
              <w:tab/>
              <w:t>La période est généralement de cinq (5) ans, et peut être prolongée jusqu’à dix (10) ans pour des projets de grande envergure.</w:t>
            </w:r>
          </w:p>
          <w:p w14:paraId="464509B5" w14:textId="77777777" w:rsidR="006F129D" w:rsidRPr="004E4188" w:rsidRDefault="006F129D" w:rsidP="00D45EAD">
            <w:pPr>
              <w:tabs>
                <w:tab w:val="left" w:pos="340"/>
              </w:tabs>
              <w:spacing w:afterLines="50" w:after="120"/>
              <w:ind w:left="397" w:hanging="397"/>
              <w:rPr>
                <w:rFonts w:ascii="Arial" w:hAnsi="Arial" w:cs="Arial"/>
                <w:i/>
                <w:sz w:val="20"/>
                <w:lang w:eastAsia="ja-JP"/>
              </w:rPr>
            </w:pPr>
            <w:r w:rsidRPr="004E4188">
              <w:rPr>
                <w:rFonts w:ascii="Arial" w:hAnsi="Arial" w:cs="Arial"/>
                <w:i/>
                <w:sz w:val="20"/>
                <w:lang w:eastAsia="ja-JP"/>
              </w:rPr>
              <w:t>4.</w:t>
            </w:r>
            <w:r w:rsidRPr="004E4188">
              <w:rPr>
                <w:rFonts w:ascii="Arial" w:hAnsi="Arial" w:cs="Arial"/>
                <w:i/>
                <w:sz w:val="20"/>
                <w:lang w:eastAsia="ja-JP"/>
              </w:rPr>
              <w:tab/>
              <w:t>La même période que pour le Critère 2.4.2(a) ci-dessus.</w:t>
            </w:r>
          </w:p>
        </w:tc>
      </w:tr>
    </w:tbl>
    <w:p w14:paraId="441EABE1" w14:textId="77777777" w:rsidR="006F129D" w:rsidRPr="004E4188" w:rsidRDefault="006F129D" w:rsidP="007B0B65">
      <w:pPr>
        <w:rPr>
          <w:lang w:eastAsia="ja-JP"/>
        </w:rPr>
        <w:sectPr w:rsidR="006F129D" w:rsidRPr="004E4188" w:rsidSect="00D03AE1">
          <w:headerReference w:type="even" r:id="rId51"/>
          <w:headerReference w:type="default" r:id="rId52"/>
          <w:headerReference w:type="first" r:id="rId53"/>
          <w:footnotePr>
            <w:numRestart w:val="eachPage"/>
          </w:footnotePr>
          <w:endnotePr>
            <w:numFmt w:val="decimal"/>
          </w:endnotePr>
          <w:pgSz w:w="15840" w:h="12240" w:orient="landscape" w:code="1"/>
          <w:pgMar w:top="1797" w:right="1440" w:bottom="1440" w:left="1440" w:header="1134" w:footer="720" w:gutter="0"/>
          <w:cols w:space="720"/>
        </w:sectPr>
      </w:pPr>
      <w:r w:rsidRPr="004E4188">
        <w:rPr>
          <w:rFonts w:hint="eastAsia"/>
          <w:lang w:eastAsia="ja-JP"/>
        </w:rPr>
        <w:t xml:space="preserve"> </w:t>
      </w:r>
    </w:p>
    <w:p w14:paraId="343A2387" w14:textId="2FE59736" w:rsidR="007049A5" w:rsidRPr="004E4188" w:rsidRDefault="007049A5" w:rsidP="00BD6AD4">
      <w:pPr>
        <w:pStyle w:val="Option"/>
        <w:spacing w:before="60" w:after="60" w:line="240" w:lineRule="auto"/>
        <w:rPr>
          <w:sz w:val="44"/>
          <w:szCs w:val="44"/>
          <w:lang w:val="fr-FR"/>
        </w:rPr>
      </w:pPr>
      <w:bookmarkStart w:id="361" w:name="_Toc349055422"/>
      <w:bookmarkStart w:id="362" w:name="_Toc112413556"/>
      <w:r w:rsidRPr="004E4188">
        <w:rPr>
          <w:sz w:val="44"/>
          <w:szCs w:val="44"/>
          <w:lang w:val="fr-FR"/>
        </w:rPr>
        <w:t>OPTION B : appel d’offres</w:t>
      </w:r>
      <w:r w:rsidR="00BD6AD4" w:rsidRPr="004E4188">
        <w:rPr>
          <w:sz w:val="44"/>
          <w:szCs w:val="44"/>
          <w:lang w:val="fr-FR"/>
        </w:rPr>
        <w:t xml:space="preserve"> </w:t>
      </w:r>
      <w:r w:rsidRPr="004E4188">
        <w:rPr>
          <w:sz w:val="44"/>
          <w:szCs w:val="44"/>
          <w:lang w:val="fr-FR"/>
        </w:rPr>
        <w:t>à deux étapes-une enveloppe</w:t>
      </w:r>
      <w:bookmarkEnd w:id="361"/>
      <w:bookmarkEnd w:id="362"/>
    </w:p>
    <w:p w14:paraId="5BDAF9C6" w14:textId="77777777" w:rsidR="00F02EEB" w:rsidRPr="004E4188" w:rsidRDefault="00F02EEB" w:rsidP="00BA21D0">
      <w:pPr>
        <w:pStyle w:val="Option"/>
        <w:spacing w:before="60" w:after="60" w:line="240" w:lineRule="auto"/>
        <w:outlineLvl w:val="9"/>
        <w:rPr>
          <w:sz w:val="44"/>
          <w:szCs w:val="44"/>
          <w:lang w:val="fr-FR"/>
        </w:rPr>
      </w:pPr>
    </w:p>
    <w:p w14:paraId="1C1518A7" w14:textId="77777777" w:rsidR="00BD6AD4" w:rsidRPr="004E4188" w:rsidRDefault="00BD6AD4" w:rsidP="00BA21D0">
      <w:pPr>
        <w:pStyle w:val="Option"/>
        <w:spacing w:before="60" w:after="60" w:line="240" w:lineRule="auto"/>
        <w:outlineLvl w:val="9"/>
        <w:rPr>
          <w:lang w:val="fr-FR"/>
        </w:rPr>
        <w:sectPr w:rsidR="00BD6AD4" w:rsidRPr="004E4188" w:rsidSect="000C41BF">
          <w:headerReference w:type="even" r:id="rId54"/>
          <w:headerReference w:type="default" r:id="rId55"/>
          <w:headerReference w:type="first" r:id="rId56"/>
          <w:footnotePr>
            <w:numRestart w:val="eachPage"/>
          </w:footnotePr>
          <w:type w:val="oddPage"/>
          <w:pgSz w:w="12240" w:h="15840" w:code="1"/>
          <w:pgMar w:top="1440" w:right="1440" w:bottom="1440" w:left="1797" w:header="720" w:footer="720" w:gutter="0"/>
          <w:pgNumType w:start="1"/>
          <w:cols w:space="720"/>
          <w:vAlign w:val="center"/>
        </w:sectPr>
      </w:pPr>
    </w:p>
    <w:p w14:paraId="3571BD0C" w14:textId="0C208554" w:rsidR="007049A5" w:rsidRPr="004E4188" w:rsidRDefault="007049A5" w:rsidP="008F1DFA">
      <w:pPr>
        <w:pStyle w:val="17"/>
      </w:pPr>
      <w:bookmarkStart w:id="363" w:name="_Toc349055423"/>
      <w:r w:rsidRPr="004E4188">
        <w:t>Section I. Instructions aux soumissionnaires</w:t>
      </w:r>
      <w:bookmarkEnd w:id="363"/>
    </w:p>
    <w:p w14:paraId="676E4861" w14:textId="77777777" w:rsidR="007049A5" w:rsidRPr="004E4188" w:rsidRDefault="007049A5" w:rsidP="00435833">
      <w:pPr>
        <w:pStyle w:val="af5"/>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7049A5" w:rsidRPr="004E4188" w14:paraId="785FD5F4" w14:textId="77777777" w:rsidTr="00153CD4">
        <w:tc>
          <w:tcPr>
            <w:tcW w:w="9108" w:type="dxa"/>
          </w:tcPr>
          <w:p w14:paraId="0CDB94F9" w14:textId="77777777" w:rsidR="007049A5" w:rsidRPr="004E4188" w:rsidRDefault="007049A5" w:rsidP="00FD6784">
            <w:pPr>
              <w:jc w:val="center"/>
              <w:rPr>
                <w:b/>
                <w:bCs/>
                <w:sz w:val="28"/>
                <w:szCs w:val="28"/>
                <w:lang w:eastAsia="ja-JP"/>
              </w:rPr>
            </w:pPr>
          </w:p>
          <w:p w14:paraId="5EEEBEDD" w14:textId="68B2B6B3" w:rsidR="007049A5" w:rsidRPr="004E4188" w:rsidRDefault="007049A5" w:rsidP="00FD6784">
            <w:pPr>
              <w:spacing w:afterLines="100" w:after="240"/>
              <w:jc w:val="center"/>
              <w:rPr>
                <w:b/>
                <w:bCs/>
                <w:sz w:val="28"/>
                <w:szCs w:val="28"/>
                <w:lang w:eastAsia="ja-JP"/>
              </w:rPr>
            </w:pPr>
            <w:r w:rsidRPr="004E4188">
              <w:rPr>
                <w:b/>
                <w:bCs/>
                <w:sz w:val="28"/>
                <w:szCs w:val="28"/>
              </w:rPr>
              <w:t>Notes à l’intention du Maître d’ouvrage</w:t>
            </w:r>
          </w:p>
          <w:p w14:paraId="081D1D26" w14:textId="77777777" w:rsidR="007049A5" w:rsidRPr="004E4188" w:rsidRDefault="007049A5" w:rsidP="00FD6784">
            <w:pPr>
              <w:rPr>
                <w:lang w:eastAsia="ja-JP"/>
              </w:rPr>
            </w:pPr>
          </w:p>
          <w:p w14:paraId="5FF3EDC1" w14:textId="6428D7AF" w:rsidR="007049A5" w:rsidRPr="004E4188" w:rsidRDefault="007049A5" w:rsidP="00AA149B">
            <w:pPr>
              <w:spacing w:after="240"/>
              <w:rPr>
                <w:bCs/>
              </w:rPr>
            </w:pPr>
            <w:r w:rsidRPr="004E4188">
              <w:rPr>
                <w:bCs/>
              </w:rPr>
              <w:t xml:space="preserve">La Section </w:t>
            </w:r>
            <w:r w:rsidRPr="004E4188">
              <w:rPr>
                <w:bCs/>
                <w:lang w:eastAsia="ja-JP"/>
              </w:rPr>
              <w:t xml:space="preserve">I, </w:t>
            </w:r>
            <w:r w:rsidRPr="004E4188">
              <w:rPr>
                <w:bCs/>
              </w:rPr>
              <w:t xml:space="preserve">Instructions aux soumissionnaires, indique les procédures à suivre par les Soumissionnaires lors de la préparation et de la soumission de leurs </w:t>
            </w:r>
            <w:r w:rsidRPr="004E4188">
              <w:rPr>
                <w:rFonts w:hint="eastAsia"/>
                <w:bCs/>
                <w:lang w:eastAsia="ja-JP"/>
              </w:rPr>
              <w:t>o</w:t>
            </w:r>
            <w:r w:rsidRPr="004E4188">
              <w:rPr>
                <w:bCs/>
              </w:rPr>
              <w:t>ffres. Elle fournit</w:t>
            </w:r>
            <w:r w:rsidRPr="004E4188">
              <w:rPr>
                <w:rFonts w:hint="eastAsia"/>
                <w:bCs/>
                <w:lang w:eastAsia="ja-JP"/>
              </w:rPr>
              <w:t xml:space="preserve"> </w:t>
            </w:r>
            <w:r w:rsidRPr="004E4188">
              <w:rPr>
                <w:bCs/>
              </w:rPr>
              <w:t>également des renseignements sur l’ouverture et l’évaluation des offres, ainsi que sur l’attribution du Marché.</w:t>
            </w:r>
          </w:p>
          <w:p w14:paraId="2BF4F2BC" w14:textId="618FAF50" w:rsidR="007049A5" w:rsidRPr="004E4188" w:rsidRDefault="007049A5" w:rsidP="00AA149B">
            <w:pPr>
              <w:pStyle w:val="explanatorynotes"/>
              <w:spacing w:after="240" w:line="240" w:lineRule="auto"/>
              <w:rPr>
                <w:rFonts w:ascii="Times New Roman" w:hAnsi="Times New Roman"/>
                <w:bCs/>
                <w:sz w:val="24"/>
                <w:szCs w:val="24"/>
                <w:lang w:val="fr-FR"/>
              </w:rPr>
            </w:pPr>
            <w:r w:rsidRPr="004E4188">
              <w:rPr>
                <w:rFonts w:ascii="Times New Roman" w:hAnsi="Times New Roman"/>
                <w:bCs/>
                <w:sz w:val="24"/>
                <w:szCs w:val="24"/>
                <w:lang w:val="fr-FR"/>
              </w:rPr>
              <w:t>L’utilisation des Instructions aux soumissionnaires standard (ci-après désignées « IS standard ») de la Section I de ce Dossier Standard d’Appel d’Offres pour la passation de marchés de</w:t>
            </w:r>
            <w:r w:rsidRPr="004E4188">
              <w:rPr>
                <w:rFonts w:ascii="Times New Roman" w:hAnsi="Times New Roman"/>
                <w:sz w:val="24"/>
                <w:szCs w:val="24"/>
                <w:lang w:val="fr-FR"/>
              </w:rPr>
              <w:t xml:space="preserve"> Conception, Fourniture et Montage d’Équipements</w:t>
            </w:r>
            <w:r w:rsidRPr="004E4188">
              <w:rPr>
                <w:rFonts w:ascii="Times New Roman" w:hAnsi="Times New Roman"/>
                <w:bCs/>
                <w:sz w:val="24"/>
                <w:szCs w:val="24"/>
                <w:lang w:val="fr-FR"/>
              </w:rPr>
              <w:t xml:space="preserve"> est </w:t>
            </w:r>
            <w:r w:rsidRPr="004E4188">
              <w:rPr>
                <w:rFonts w:ascii="Times New Roman" w:hAnsi="Times New Roman"/>
                <w:b/>
                <w:bCs/>
                <w:sz w:val="24"/>
                <w:szCs w:val="24"/>
                <w:lang w:val="fr-FR"/>
              </w:rPr>
              <w:t>requise</w:t>
            </w:r>
            <w:r w:rsidRPr="004E4188">
              <w:rPr>
                <w:rFonts w:ascii="Times New Roman" w:hAnsi="Times New Roman"/>
                <w:bCs/>
                <w:sz w:val="24"/>
                <w:szCs w:val="24"/>
                <w:lang w:val="fr-FR"/>
              </w:rPr>
              <w:t xml:space="preserve"> pour tous les Dossiers d’appel d’offres préparés pour la passation de marchés de </w:t>
            </w:r>
            <w:r w:rsidRPr="004E4188">
              <w:rPr>
                <w:rFonts w:ascii="Times New Roman" w:hAnsi="Times New Roman"/>
                <w:sz w:val="24"/>
                <w:szCs w:val="24"/>
                <w:lang w:val="fr-FR"/>
              </w:rPr>
              <w:t>conception, fourniture et montage d’équipements</w:t>
            </w:r>
            <w:r w:rsidRPr="004E4188">
              <w:rPr>
                <w:rFonts w:ascii="Times New Roman" w:hAnsi="Times New Roman"/>
                <w:bCs/>
                <w:sz w:val="24"/>
                <w:szCs w:val="24"/>
                <w:lang w:val="fr-FR"/>
              </w:rPr>
              <w:t xml:space="preserve"> </w:t>
            </w:r>
            <w:r w:rsidRPr="004E4188">
              <w:rPr>
                <w:rFonts w:ascii="Times New Roman" w:hAnsi="Times New Roman"/>
                <w:sz w:val="24"/>
                <w:szCs w:val="24"/>
                <w:lang w:val="fr-FR"/>
              </w:rPr>
              <w:t>faisant l’objet d’appels d’offres internationaux (AOI)</w:t>
            </w:r>
            <w:r w:rsidRPr="004E4188">
              <w:rPr>
                <w:rFonts w:ascii="Times New Roman" w:hAnsi="Times New Roman" w:hint="eastAsia"/>
                <w:sz w:val="24"/>
                <w:szCs w:val="24"/>
                <w:lang w:val="fr-FR" w:eastAsia="ja-JP"/>
              </w:rPr>
              <w:t xml:space="preserve"> </w:t>
            </w:r>
            <w:r w:rsidRPr="004E4188">
              <w:rPr>
                <w:rFonts w:ascii="Times New Roman" w:hAnsi="Times New Roman"/>
                <w:sz w:val="24"/>
                <w:szCs w:val="24"/>
                <w:lang w:val="fr-FR" w:eastAsia="ja-JP"/>
              </w:rPr>
              <w:t xml:space="preserve">et </w:t>
            </w:r>
            <w:r w:rsidRPr="004E4188">
              <w:rPr>
                <w:rFonts w:ascii="Times New Roman" w:hAnsi="Times New Roman"/>
                <w:bCs/>
                <w:sz w:val="24"/>
                <w:szCs w:val="24"/>
                <w:lang w:val="fr-FR"/>
              </w:rPr>
              <w:t xml:space="preserve">financés par Prêts APD du Japon. Les IS standard doivent être utilisées sans être modifiées. </w:t>
            </w:r>
          </w:p>
          <w:p w14:paraId="6F10E62B" w14:textId="77777777" w:rsidR="007049A5" w:rsidRPr="004E4188" w:rsidRDefault="007049A5" w:rsidP="00AA149B">
            <w:pPr>
              <w:pStyle w:val="explanatorynotes"/>
              <w:spacing w:after="240" w:line="240" w:lineRule="auto"/>
              <w:rPr>
                <w:rFonts w:ascii="Times New Roman" w:hAnsi="Times New Roman"/>
                <w:sz w:val="24"/>
                <w:szCs w:val="24"/>
                <w:lang w:val="fr-FR"/>
              </w:rPr>
            </w:pPr>
            <w:r w:rsidRPr="004E4188">
              <w:rPr>
                <w:rFonts w:ascii="Times New Roman" w:hAnsi="Times New Roman"/>
                <w:bCs/>
                <w:sz w:val="24"/>
                <w:szCs w:val="24"/>
                <w:lang w:val="fr-FR"/>
              </w:rPr>
              <w:t>Les Instructions aux soumissionnaires régissant les procédures d’appel d’offres sont les Instructions aux soumissionnaires standard de l’</w:t>
            </w:r>
            <w:r w:rsidRPr="004E4188">
              <w:rPr>
                <w:rFonts w:ascii="Times New Roman" w:hAnsi="Times New Roman"/>
                <w:b/>
                <w:bCs/>
                <w:sz w:val="24"/>
                <w:szCs w:val="24"/>
                <w:lang w:val="fr-FR"/>
              </w:rPr>
              <w:t>Option B</w:t>
            </w:r>
            <w:r w:rsidRPr="004E4188">
              <w:rPr>
                <w:rFonts w:ascii="Times New Roman" w:hAnsi="Times New Roman"/>
                <w:bCs/>
                <w:sz w:val="24"/>
                <w:szCs w:val="24"/>
                <w:lang w:val="fr-FR"/>
              </w:rPr>
              <w:t xml:space="preserve"> : procédure d’appel d’offres à deux étapes-une enveloppe de la dernière version du Dossier Standard d’Appel d’Offres pour la passation de marchés de </w:t>
            </w:r>
            <w:r w:rsidRPr="004E4188">
              <w:rPr>
                <w:rFonts w:ascii="Times New Roman" w:hAnsi="Times New Roman"/>
                <w:sz w:val="24"/>
                <w:szCs w:val="24"/>
                <w:lang w:val="fr-FR"/>
              </w:rPr>
              <w:t>Conception, Fourniture et Montage d’Équipements (DSAO (Équipements)).</w:t>
            </w:r>
          </w:p>
          <w:p w14:paraId="765AF196" w14:textId="77777777" w:rsidR="007049A5" w:rsidRPr="004E4188" w:rsidRDefault="007049A5" w:rsidP="00AA149B">
            <w:pPr>
              <w:pStyle w:val="explanatorynotes"/>
              <w:spacing w:after="240" w:line="240" w:lineRule="auto"/>
              <w:rPr>
                <w:rFonts w:ascii="Times New Roman" w:hAnsi="Times New Roman"/>
                <w:bCs/>
                <w:sz w:val="24"/>
                <w:szCs w:val="24"/>
                <w:lang w:val="fr-FR"/>
              </w:rPr>
            </w:pPr>
            <w:r w:rsidRPr="004E4188">
              <w:rPr>
                <w:rFonts w:ascii="Times New Roman" w:hAnsi="Times New Roman"/>
                <w:bCs/>
                <w:sz w:val="24"/>
                <w:lang w:val="fr-FR"/>
              </w:rPr>
              <w:t>Une copie de ces Instructions aux soumissionnaires standard doit être jointe au Dossier d’appel d’offres préparé par le Maître d’ouvrage. Si les Instructions aux soumissionnaires du Dossier d’appel d’offres incluent des modifications par rapport aux Instructions aux soumissionnaires standard, la JICA ne les considèrera pas valides et demandera au Maître d’ouvrage de modifier le Dossier d’appel d’offres afin que les Instructions aux soumissionnaires standard, telles que définies ci-dessus, s’appliquent.</w:t>
            </w:r>
          </w:p>
          <w:p w14:paraId="19F2EBF9" w14:textId="77777777" w:rsidR="007049A5" w:rsidRPr="004E4188" w:rsidRDefault="007049A5" w:rsidP="00AA149B">
            <w:pPr>
              <w:pStyle w:val="explanatorynotes"/>
              <w:spacing w:after="240" w:line="240" w:lineRule="auto"/>
              <w:rPr>
                <w:rFonts w:ascii="Times New Roman" w:hAnsi="Times New Roman"/>
                <w:bCs/>
                <w:sz w:val="24"/>
                <w:szCs w:val="24"/>
                <w:lang w:val="fr-FR"/>
              </w:rPr>
            </w:pPr>
            <w:r w:rsidRPr="004E4188">
              <w:rPr>
                <w:rFonts w:ascii="Times New Roman" w:hAnsi="Times New Roman"/>
                <w:bCs/>
                <w:sz w:val="24"/>
                <w:szCs w:val="24"/>
                <w:lang w:val="fr-FR"/>
              </w:rPr>
              <w:t>Tout changement, acceptable pour la JICA, apporté afin de répondre à la situation spécifique du pays et à des conditions particulières à chaque marché, sera introduit uniquement dans les Données particulières.</w:t>
            </w:r>
          </w:p>
          <w:p w14:paraId="17537944" w14:textId="77777777" w:rsidR="007049A5" w:rsidRPr="004E4188" w:rsidRDefault="007049A5" w:rsidP="00FD6784">
            <w:pPr>
              <w:spacing w:afterLines="150" w:after="360"/>
              <w:rPr>
                <w:lang w:eastAsia="ja-JP"/>
              </w:rPr>
            </w:pPr>
            <w:r w:rsidRPr="004E4188">
              <w:rPr>
                <w:bCs/>
              </w:rPr>
              <w:t xml:space="preserve">Les Instructions aux </w:t>
            </w:r>
            <w:r w:rsidRPr="004E4188">
              <w:rPr>
                <w:bCs/>
                <w:lang w:eastAsia="ja-JP"/>
              </w:rPr>
              <w:t>soumissionnaires</w:t>
            </w:r>
            <w:r w:rsidRPr="004E4188">
              <w:rPr>
                <w:bCs/>
              </w:rPr>
              <w:t xml:space="preserve"> ne feront pas partie du Marché.</w:t>
            </w:r>
          </w:p>
        </w:tc>
      </w:tr>
    </w:tbl>
    <w:p w14:paraId="488CE1E5" w14:textId="77777777" w:rsidR="00E165EC" w:rsidRPr="004E4188" w:rsidRDefault="007049A5" w:rsidP="00FD6784">
      <w:pPr>
        <w:jc w:val="center"/>
        <w:rPr>
          <w:b/>
          <w:sz w:val="44"/>
          <w:szCs w:val="44"/>
        </w:rPr>
        <w:sectPr w:rsidR="00E165EC" w:rsidRPr="004E4188" w:rsidSect="000C41BF">
          <w:headerReference w:type="default" r:id="rId57"/>
          <w:footnotePr>
            <w:numRestart w:val="eachPage"/>
          </w:footnotePr>
          <w:type w:val="oddPage"/>
          <w:pgSz w:w="12240" w:h="15840" w:code="1"/>
          <w:pgMar w:top="1440" w:right="1440" w:bottom="1440" w:left="1797" w:header="720" w:footer="720" w:gutter="0"/>
          <w:pgNumType w:start="1"/>
          <w:cols w:space="720"/>
        </w:sectPr>
      </w:pPr>
      <w:r w:rsidRPr="004E4188">
        <w:rPr>
          <w:b/>
          <w:sz w:val="44"/>
          <w:szCs w:val="44"/>
        </w:rPr>
        <w:br w:type="page"/>
      </w:r>
    </w:p>
    <w:p w14:paraId="0F6BF35E" w14:textId="3A88205C" w:rsidR="007049A5" w:rsidRPr="004E4188" w:rsidRDefault="007049A5" w:rsidP="000C41BF">
      <w:pPr>
        <w:spacing w:after="240"/>
        <w:jc w:val="center"/>
        <w:rPr>
          <w:b/>
          <w:sz w:val="40"/>
          <w:szCs w:val="40"/>
        </w:rPr>
      </w:pPr>
      <w:bookmarkStart w:id="364" w:name="Table_IS_OPTIONB"/>
      <w:r w:rsidRPr="004E4188">
        <w:rPr>
          <w:b/>
          <w:sz w:val="44"/>
          <w:szCs w:val="44"/>
        </w:rPr>
        <w:t>Section I. Instructions aux soumissionnaires</w:t>
      </w:r>
    </w:p>
    <w:p w14:paraId="3B6410C6" w14:textId="77777777" w:rsidR="007049A5" w:rsidRPr="0006470B" w:rsidRDefault="007049A5" w:rsidP="00271D5A">
      <w:pPr>
        <w:pStyle w:val="3"/>
        <w:ind w:left="432"/>
        <w:jc w:val="center"/>
        <w:rPr>
          <w:b/>
          <w:sz w:val="40"/>
          <w:szCs w:val="40"/>
          <w:lang w:val="fr-FR"/>
        </w:rPr>
      </w:pPr>
      <w:r w:rsidRPr="0006470B">
        <w:rPr>
          <w:b/>
          <w:sz w:val="40"/>
          <w:szCs w:val="40"/>
          <w:lang w:val="fr-FR"/>
        </w:rPr>
        <w:t>Table des matières</w:t>
      </w:r>
    </w:p>
    <w:bookmarkEnd w:id="364"/>
    <w:p w14:paraId="3B988E48" w14:textId="3C7055A5" w:rsidR="007049A5" w:rsidRPr="004E4188" w:rsidRDefault="00AA149B" w:rsidP="00AA149B">
      <w:pPr>
        <w:pStyle w:val="Outline"/>
        <w:spacing w:before="0"/>
        <w:jc w:val="right"/>
        <w:rPr>
          <w:kern w:val="0"/>
          <w:lang w:eastAsia="ja-JP"/>
        </w:rPr>
      </w:pPr>
      <w:r w:rsidRPr="004E4188">
        <w:rPr>
          <w:noProof/>
          <w:lang w:val="en-US" w:eastAsia="ja-JP"/>
        </w:rPr>
        <mc:AlternateContent>
          <mc:Choice Requires="wps">
            <w:drawing>
              <wp:anchor distT="0" distB="0" distL="114300" distR="114300" simplePos="0" relativeHeight="251665920" behindDoc="0" locked="0" layoutInCell="1" allowOverlap="1" wp14:anchorId="3C92820B" wp14:editId="3CC52334">
                <wp:simplePos x="0" y="0"/>
                <wp:positionH relativeFrom="column">
                  <wp:posOffset>5311977</wp:posOffset>
                </wp:positionH>
                <wp:positionV relativeFrom="paragraph">
                  <wp:posOffset>73363</wp:posOffset>
                </wp:positionV>
                <wp:extent cx="694690" cy="20828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4F673" w14:textId="2BD1C9D3" w:rsidR="0037332F" w:rsidRDefault="0037332F" w:rsidP="00AA149B">
                            <w:pPr>
                              <w:ind w:firstLineChars="50" w:firstLine="120"/>
                              <w:rPr>
                                <w:lang w:eastAsia="ja-JP"/>
                              </w:rPr>
                            </w:pPr>
                            <w:r>
                              <w:rPr>
                                <w:rFonts w:hint="eastAsia"/>
                                <w:lang w:eastAsia="ja-JP"/>
                              </w:rPr>
                              <w:t>I</w:t>
                            </w:r>
                            <w:r>
                              <w:rPr>
                                <w:lang w:eastAsia="ja-JP"/>
                              </w:rPr>
                              <w:t>S</w:t>
                            </w:r>
                            <w:r>
                              <w:rPr>
                                <w:rFonts w:hint="eastAsia"/>
                                <w:lang w:eastAsia="ja-JP"/>
                              </w:rPr>
                              <w:t>(</w:t>
                            </w:r>
                            <w:r>
                              <w:rPr>
                                <w:lang w:eastAsia="ja-JP"/>
                              </w:rPr>
                              <w:t>B</w:t>
                            </w:r>
                            <w:r>
                              <w:rPr>
                                <w:rFonts w:hint="eastAsia"/>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2820B" id="_x0000_s1028" type="#_x0000_t202" style="position:absolute;left:0;text-align:left;margin-left:418.25pt;margin-top:5.8pt;width:54.7pt;height:1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" stroked="f">
                <v:textbox inset="5.85pt,.7pt,5.85pt,.7pt">
                  <w:txbxContent>
                    <w:p w14:paraId="44D4F673" w14:textId="2BD1C9D3" w:rsidR="0037332F" w:rsidRDefault="0037332F" w:rsidP="00AA149B">
                      <w:pPr>
                        <w:ind w:firstLineChars="50" w:firstLine="120"/>
                        <w:rPr>
                          <w:lang w:eastAsia="ja-JP"/>
                        </w:rPr>
                      </w:pPr>
                      <w:r>
                        <w:rPr>
                          <w:rFonts w:hint="eastAsia"/>
                          <w:lang w:eastAsia="ja-JP"/>
                        </w:rPr>
                        <w:t>I</w:t>
                      </w:r>
                      <w:r>
                        <w:rPr>
                          <w:lang w:eastAsia="ja-JP"/>
                        </w:rPr>
                        <w:t>S</w:t>
                      </w:r>
                      <w:r>
                        <w:rPr>
                          <w:rFonts w:hint="eastAsia"/>
                          <w:lang w:eastAsia="ja-JP"/>
                        </w:rPr>
                        <w:t>(</w:t>
                      </w:r>
                      <w:r>
                        <w:rPr>
                          <w:lang w:eastAsia="ja-JP"/>
                        </w:rPr>
                        <w:t>B</w:t>
                      </w:r>
                      <w:r>
                        <w:rPr>
                          <w:rFonts w:hint="eastAsia"/>
                          <w:lang w:eastAsia="ja-JP"/>
                        </w:rPr>
                        <w:t>)</w:t>
                      </w:r>
                    </w:p>
                  </w:txbxContent>
                </v:textbox>
              </v:shape>
            </w:pict>
          </mc:Fallback>
        </mc:AlternateContent>
      </w:r>
    </w:p>
    <w:p w14:paraId="6EF87F31" w14:textId="41A154D6" w:rsidR="00292254" w:rsidRPr="004E4188" w:rsidRDefault="007049A5">
      <w:pPr>
        <w:pStyle w:val="12"/>
        <w:rPr>
          <w:rFonts w:asciiTheme="minorHAnsi" w:eastAsiaTheme="minorEastAsia" w:hAnsiTheme="minorHAnsi" w:cstheme="minorBidi"/>
          <w:b w:val="0"/>
          <w:noProof/>
          <w:kern w:val="2"/>
          <w:sz w:val="21"/>
          <w:szCs w:val="22"/>
          <w:lang w:eastAsia="ja-JP"/>
        </w:rPr>
      </w:pPr>
      <w:r w:rsidRPr="004E4188">
        <w:fldChar w:fldCharType="begin"/>
      </w:r>
      <w:r w:rsidRPr="004E4188">
        <w:instrText xml:space="preserve"> TOC \</w:instrText>
      </w:r>
      <w:r w:rsidRPr="004E4188">
        <w:rPr>
          <w:lang w:eastAsia="ja-JP"/>
        </w:rPr>
        <w:instrText>b</w:instrText>
      </w:r>
      <w:r w:rsidRPr="004E4188">
        <w:instrText xml:space="preserve"> </w:instrText>
      </w:r>
      <w:r w:rsidRPr="004E4188">
        <w:rPr>
          <w:lang w:eastAsia="ja-JP"/>
        </w:rPr>
        <w:instrText>"</w:instrText>
      </w:r>
      <w:r w:rsidRPr="004E4188">
        <w:rPr>
          <w:rFonts w:hint="eastAsia"/>
          <w:lang w:eastAsia="ja-JP"/>
        </w:rPr>
        <w:instrText>IS_</w:instrText>
      </w:r>
      <w:r w:rsidRPr="004E4188">
        <w:rPr>
          <w:lang w:eastAsia="ja-JP"/>
        </w:rPr>
        <w:instrText xml:space="preserve">OPTIONB" </w:instrText>
      </w:r>
      <w:r w:rsidRPr="004E4188">
        <w:instrText>\h \z \t "Header 1 - Clauses,</w:instrText>
      </w:r>
      <w:r w:rsidRPr="004E4188">
        <w:rPr>
          <w:lang w:eastAsia="ja-JP"/>
        </w:rPr>
        <w:instrText>2</w:instrText>
      </w:r>
      <w:r w:rsidRPr="004E4188">
        <w:instrText xml:space="preserve">,Section 1 Header 1,1" </w:instrText>
      </w:r>
      <w:r w:rsidRPr="004E4188">
        <w:fldChar w:fldCharType="separate"/>
      </w:r>
      <w:hyperlink w:anchor="_Toc104195556" w:history="1">
        <w:r w:rsidR="00292254" w:rsidRPr="004E4188">
          <w:rPr>
            <w:rStyle w:val="af1"/>
            <w:noProof/>
          </w:rPr>
          <w:t>A. Généralités</w:t>
        </w:r>
        <w:r w:rsidR="00292254" w:rsidRPr="004E4188">
          <w:rPr>
            <w:noProof/>
            <w:webHidden/>
          </w:rPr>
          <w:tab/>
        </w:r>
        <w:r w:rsidR="00292254" w:rsidRPr="004E4188">
          <w:rPr>
            <w:noProof/>
            <w:webHidden/>
          </w:rPr>
          <w:fldChar w:fldCharType="begin"/>
        </w:r>
        <w:r w:rsidR="00292254" w:rsidRPr="004E4188">
          <w:rPr>
            <w:noProof/>
            <w:webHidden/>
          </w:rPr>
          <w:instrText xml:space="preserve"> PAGEREF _Toc104195556 \h </w:instrText>
        </w:r>
        <w:r w:rsidR="00292254" w:rsidRPr="004E4188">
          <w:rPr>
            <w:noProof/>
            <w:webHidden/>
          </w:rPr>
        </w:r>
        <w:r w:rsidR="00292254" w:rsidRPr="004E4188">
          <w:rPr>
            <w:noProof/>
            <w:webHidden/>
          </w:rPr>
          <w:fldChar w:fldCharType="separate"/>
        </w:r>
        <w:r w:rsidR="0048496E">
          <w:rPr>
            <w:noProof/>
            <w:webHidden/>
          </w:rPr>
          <w:t>3</w:t>
        </w:r>
        <w:r w:rsidR="00292254" w:rsidRPr="004E4188">
          <w:rPr>
            <w:noProof/>
            <w:webHidden/>
          </w:rPr>
          <w:fldChar w:fldCharType="end"/>
        </w:r>
      </w:hyperlink>
    </w:p>
    <w:p w14:paraId="4E346DAA" w14:textId="7148185B" w:rsidR="00292254" w:rsidRPr="004E4188" w:rsidRDefault="00000000" w:rsidP="0089558C">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57" w:history="1">
        <w:r w:rsidR="00292254" w:rsidRPr="004E4188">
          <w:rPr>
            <w:rStyle w:val="af1"/>
            <w:lang w:val="fr-FR"/>
          </w:rPr>
          <w:t>1.</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Objet du Marché</w:t>
        </w:r>
        <w:r w:rsidR="00292254" w:rsidRPr="004E4188">
          <w:rPr>
            <w:webHidden/>
          </w:rPr>
          <w:tab/>
        </w:r>
        <w:r w:rsidR="00292254" w:rsidRPr="004E4188">
          <w:rPr>
            <w:webHidden/>
          </w:rPr>
          <w:fldChar w:fldCharType="begin"/>
        </w:r>
        <w:r w:rsidR="00292254" w:rsidRPr="004E4188">
          <w:rPr>
            <w:webHidden/>
          </w:rPr>
          <w:instrText xml:space="preserve"> PAGEREF _Toc104195557 \h </w:instrText>
        </w:r>
        <w:r w:rsidR="00292254" w:rsidRPr="004E4188">
          <w:rPr>
            <w:webHidden/>
          </w:rPr>
        </w:r>
        <w:r w:rsidR="00292254" w:rsidRPr="004E4188">
          <w:rPr>
            <w:webHidden/>
          </w:rPr>
          <w:fldChar w:fldCharType="separate"/>
        </w:r>
        <w:r w:rsidR="0048496E">
          <w:rPr>
            <w:webHidden/>
          </w:rPr>
          <w:t>3</w:t>
        </w:r>
        <w:r w:rsidR="00292254" w:rsidRPr="004E4188">
          <w:rPr>
            <w:webHidden/>
          </w:rPr>
          <w:fldChar w:fldCharType="end"/>
        </w:r>
      </w:hyperlink>
    </w:p>
    <w:p w14:paraId="4C5FFE21" w14:textId="76AE601B" w:rsidR="00292254" w:rsidRPr="004E4188" w:rsidRDefault="00000000" w:rsidP="0089558C">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58" w:history="1">
        <w:r w:rsidR="00292254" w:rsidRPr="004E4188">
          <w:rPr>
            <w:rStyle w:val="af1"/>
            <w:lang w:val="fr-FR"/>
          </w:rPr>
          <w:t>2.</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Origine des fonds</w:t>
        </w:r>
        <w:r w:rsidR="00292254" w:rsidRPr="004E4188">
          <w:rPr>
            <w:webHidden/>
          </w:rPr>
          <w:tab/>
        </w:r>
        <w:r w:rsidR="00292254" w:rsidRPr="004E4188">
          <w:rPr>
            <w:webHidden/>
          </w:rPr>
          <w:fldChar w:fldCharType="begin"/>
        </w:r>
        <w:r w:rsidR="00292254" w:rsidRPr="004E4188">
          <w:rPr>
            <w:webHidden/>
          </w:rPr>
          <w:instrText xml:space="preserve"> PAGEREF _Toc104195558 \h </w:instrText>
        </w:r>
        <w:r w:rsidR="00292254" w:rsidRPr="004E4188">
          <w:rPr>
            <w:webHidden/>
          </w:rPr>
        </w:r>
        <w:r w:rsidR="00292254" w:rsidRPr="004E4188">
          <w:rPr>
            <w:webHidden/>
          </w:rPr>
          <w:fldChar w:fldCharType="separate"/>
        </w:r>
        <w:r w:rsidR="0048496E">
          <w:rPr>
            <w:webHidden/>
          </w:rPr>
          <w:t>3</w:t>
        </w:r>
        <w:r w:rsidR="00292254" w:rsidRPr="004E4188">
          <w:rPr>
            <w:webHidden/>
          </w:rPr>
          <w:fldChar w:fldCharType="end"/>
        </w:r>
      </w:hyperlink>
    </w:p>
    <w:p w14:paraId="19A51CFF" w14:textId="050C329D" w:rsidR="00292254" w:rsidRPr="004E4188" w:rsidRDefault="00000000" w:rsidP="0089558C">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59" w:history="1">
        <w:r w:rsidR="00292254" w:rsidRPr="004E4188">
          <w:rPr>
            <w:rStyle w:val="af1"/>
            <w:lang w:val="fr-FR"/>
          </w:rPr>
          <w:t>3.</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Pratiques corrompues ou frauduleuses</w:t>
        </w:r>
        <w:r w:rsidR="00292254" w:rsidRPr="004E4188">
          <w:rPr>
            <w:webHidden/>
          </w:rPr>
          <w:tab/>
        </w:r>
        <w:r w:rsidR="00292254" w:rsidRPr="004E4188">
          <w:rPr>
            <w:webHidden/>
          </w:rPr>
          <w:fldChar w:fldCharType="begin"/>
        </w:r>
        <w:r w:rsidR="00292254" w:rsidRPr="004E4188">
          <w:rPr>
            <w:webHidden/>
          </w:rPr>
          <w:instrText xml:space="preserve"> PAGEREF _Toc104195559 \h </w:instrText>
        </w:r>
        <w:r w:rsidR="00292254" w:rsidRPr="004E4188">
          <w:rPr>
            <w:webHidden/>
          </w:rPr>
        </w:r>
        <w:r w:rsidR="00292254" w:rsidRPr="004E4188">
          <w:rPr>
            <w:webHidden/>
          </w:rPr>
          <w:fldChar w:fldCharType="separate"/>
        </w:r>
        <w:r w:rsidR="0048496E">
          <w:rPr>
            <w:webHidden/>
          </w:rPr>
          <w:t>4</w:t>
        </w:r>
        <w:r w:rsidR="00292254" w:rsidRPr="004E4188">
          <w:rPr>
            <w:webHidden/>
          </w:rPr>
          <w:fldChar w:fldCharType="end"/>
        </w:r>
      </w:hyperlink>
    </w:p>
    <w:p w14:paraId="6E56106A" w14:textId="1F6B0FDB" w:rsidR="00292254" w:rsidRPr="004E4188" w:rsidRDefault="00000000" w:rsidP="0089558C">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60" w:history="1">
        <w:r w:rsidR="00292254" w:rsidRPr="004E4188">
          <w:rPr>
            <w:rStyle w:val="af1"/>
            <w:lang w:val="fr-FR"/>
          </w:rPr>
          <w:t>4.</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Soumissionnaires éligibles</w:t>
        </w:r>
        <w:r w:rsidR="00292254" w:rsidRPr="004E4188">
          <w:rPr>
            <w:webHidden/>
          </w:rPr>
          <w:tab/>
        </w:r>
        <w:r w:rsidR="00292254" w:rsidRPr="004E4188">
          <w:rPr>
            <w:webHidden/>
          </w:rPr>
          <w:fldChar w:fldCharType="begin"/>
        </w:r>
        <w:r w:rsidR="00292254" w:rsidRPr="004E4188">
          <w:rPr>
            <w:webHidden/>
          </w:rPr>
          <w:instrText xml:space="preserve"> PAGEREF _Toc104195560 \h </w:instrText>
        </w:r>
        <w:r w:rsidR="00292254" w:rsidRPr="004E4188">
          <w:rPr>
            <w:webHidden/>
          </w:rPr>
        </w:r>
        <w:r w:rsidR="00292254" w:rsidRPr="004E4188">
          <w:rPr>
            <w:webHidden/>
          </w:rPr>
          <w:fldChar w:fldCharType="separate"/>
        </w:r>
        <w:r w:rsidR="0048496E">
          <w:rPr>
            <w:webHidden/>
          </w:rPr>
          <w:t>6</w:t>
        </w:r>
        <w:r w:rsidR="00292254" w:rsidRPr="004E4188">
          <w:rPr>
            <w:webHidden/>
          </w:rPr>
          <w:fldChar w:fldCharType="end"/>
        </w:r>
      </w:hyperlink>
    </w:p>
    <w:p w14:paraId="76C0B208" w14:textId="25993EDD" w:rsidR="00292254"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4195561" w:history="1">
        <w:r w:rsidR="00292254" w:rsidRPr="004E4188">
          <w:rPr>
            <w:rStyle w:val="af1"/>
            <w:lang w:val="fr-FR"/>
          </w:rPr>
          <w:t>5.</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Biens et services éligibles</w:t>
        </w:r>
        <w:r w:rsidR="00292254" w:rsidRPr="004E4188">
          <w:rPr>
            <w:webHidden/>
          </w:rPr>
          <w:tab/>
        </w:r>
        <w:r w:rsidR="00292254" w:rsidRPr="004E4188">
          <w:rPr>
            <w:webHidden/>
          </w:rPr>
          <w:fldChar w:fldCharType="begin"/>
        </w:r>
        <w:r w:rsidR="00292254" w:rsidRPr="004E4188">
          <w:rPr>
            <w:webHidden/>
          </w:rPr>
          <w:instrText xml:space="preserve"> PAGEREF _Toc104195561 \h </w:instrText>
        </w:r>
        <w:r w:rsidR="00292254" w:rsidRPr="004E4188">
          <w:rPr>
            <w:webHidden/>
          </w:rPr>
        </w:r>
        <w:r w:rsidR="00292254" w:rsidRPr="004E4188">
          <w:rPr>
            <w:webHidden/>
          </w:rPr>
          <w:fldChar w:fldCharType="separate"/>
        </w:r>
        <w:r w:rsidR="0048496E">
          <w:rPr>
            <w:webHidden/>
          </w:rPr>
          <w:t>8</w:t>
        </w:r>
        <w:r w:rsidR="00292254" w:rsidRPr="004E4188">
          <w:rPr>
            <w:webHidden/>
          </w:rPr>
          <w:fldChar w:fldCharType="end"/>
        </w:r>
      </w:hyperlink>
    </w:p>
    <w:p w14:paraId="597AE31A" w14:textId="32068459" w:rsidR="00292254" w:rsidRPr="004E4188" w:rsidRDefault="00000000">
      <w:pPr>
        <w:pStyle w:val="12"/>
        <w:rPr>
          <w:rFonts w:asciiTheme="minorHAnsi" w:eastAsiaTheme="minorEastAsia" w:hAnsiTheme="minorHAnsi" w:cstheme="minorBidi"/>
          <w:b w:val="0"/>
          <w:noProof/>
          <w:kern w:val="2"/>
          <w:sz w:val="21"/>
          <w:szCs w:val="22"/>
          <w:lang w:eastAsia="ja-JP"/>
        </w:rPr>
      </w:pPr>
      <w:hyperlink w:anchor="_Toc104195562" w:history="1">
        <w:r w:rsidR="00292254" w:rsidRPr="004E4188">
          <w:rPr>
            <w:rStyle w:val="af1"/>
            <w:noProof/>
          </w:rPr>
          <w:t>B. Contenu du Dossier d’appel d’offres</w:t>
        </w:r>
        <w:r w:rsidR="00292254" w:rsidRPr="004E4188">
          <w:rPr>
            <w:noProof/>
            <w:webHidden/>
          </w:rPr>
          <w:tab/>
        </w:r>
        <w:r w:rsidR="00292254" w:rsidRPr="004E4188">
          <w:rPr>
            <w:noProof/>
            <w:webHidden/>
          </w:rPr>
          <w:fldChar w:fldCharType="begin"/>
        </w:r>
        <w:r w:rsidR="00292254" w:rsidRPr="004E4188">
          <w:rPr>
            <w:noProof/>
            <w:webHidden/>
          </w:rPr>
          <w:instrText xml:space="preserve"> PAGEREF _Toc104195562 \h </w:instrText>
        </w:r>
        <w:r w:rsidR="00292254" w:rsidRPr="004E4188">
          <w:rPr>
            <w:noProof/>
            <w:webHidden/>
          </w:rPr>
        </w:r>
        <w:r w:rsidR="00292254" w:rsidRPr="004E4188">
          <w:rPr>
            <w:noProof/>
            <w:webHidden/>
          </w:rPr>
          <w:fldChar w:fldCharType="separate"/>
        </w:r>
        <w:r w:rsidR="0048496E">
          <w:rPr>
            <w:noProof/>
            <w:webHidden/>
          </w:rPr>
          <w:t>8</w:t>
        </w:r>
        <w:r w:rsidR="00292254" w:rsidRPr="004E4188">
          <w:rPr>
            <w:noProof/>
            <w:webHidden/>
          </w:rPr>
          <w:fldChar w:fldCharType="end"/>
        </w:r>
      </w:hyperlink>
    </w:p>
    <w:p w14:paraId="5A674292" w14:textId="6968333C" w:rsidR="00292254" w:rsidRPr="004E4188" w:rsidRDefault="00000000" w:rsidP="0089558C">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63" w:history="1">
        <w:r w:rsidR="00292254" w:rsidRPr="004E4188">
          <w:rPr>
            <w:rStyle w:val="af1"/>
            <w:lang w:val="fr-FR"/>
          </w:rPr>
          <w:t>6.</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Sections du Dossier d’appel d’offres</w:t>
        </w:r>
        <w:r w:rsidR="00292254" w:rsidRPr="004E4188">
          <w:rPr>
            <w:webHidden/>
          </w:rPr>
          <w:tab/>
        </w:r>
        <w:r w:rsidR="00292254" w:rsidRPr="004E4188">
          <w:rPr>
            <w:webHidden/>
          </w:rPr>
          <w:fldChar w:fldCharType="begin"/>
        </w:r>
        <w:r w:rsidR="00292254" w:rsidRPr="004E4188">
          <w:rPr>
            <w:webHidden/>
          </w:rPr>
          <w:instrText xml:space="preserve"> PAGEREF _Toc104195563 \h </w:instrText>
        </w:r>
        <w:r w:rsidR="00292254" w:rsidRPr="004E4188">
          <w:rPr>
            <w:webHidden/>
          </w:rPr>
        </w:r>
        <w:r w:rsidR="00292254" w:rsidRPr="004E4188">
          <w:rPr>
            <w:webHidden/>
          </w:rPr>
          <w:fldChar w:fldCharType="separate"/>
        </w:r>
        <w:r w:rsidR="0048496E">
          <w:rPr>
            <w:webHidden/>
          </w:rPr>
          <w:t>8</w:t>
        </w:r>
        <w:r w:rsidR="00292254" w:rsidRPr="004E4188">
          <w:rPr>
            <w:webHidden/>
          </w:rPr>
          <w:fldChar w:fldCharType="end"/>
        </w:r>
      </w:hyperlink>
    </w:p>
    <w:p w14:paraId="4671CAFB" w14:textId="70BCBF1F" w:rsidR="00292254" w:rsidRPr="004E4188" w:rsidRDefault="00000000" w:rsidP="0089558C">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64" w:history="1">
        <w:r w:rsidR="00292254" w:rsidRPr="004E4188">
          <w:rPr>
            <w:rStyle w:val="af1"/>
            <w:lang w:val="fr-FR"/>
          </w:rPr>
          <w:t>7.</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Éclaircissements apportés au Dossier d’appel d’offres, visite du site et réunion préparatoire</w:t>
        </w:r>
        <w:r w:rsidR="00292254" w:rsidRPr="004E4188">
          <w:rPr>
            <w:webHidden/>
          </w:rPr>
          <w:tab/>
        </w:r>
        <w:r w:rsidR="00292254" w:rsidRPr="004E4188">
          <w:rPr>
            <w:webHidden/>
          </w:rPr>
          <w:fldChar w:fldCharType="begin"/>
        </w:r>
        <w:r w:rsidR="00292254" w:rsidRPr="004E4188">
          <w:rPr>
            <w:webHidden/>
          </w:rPr>
          <w:instrText xml:space="preserve"> PAGEREF _Toc104195564 \h </w:instrText>
        </w:r>
        <w:r w:rsidR="00292254" w:rsidRPr="004E4188">
          <w:rPr>
            <w:webHidden/>
          </w:rPr>
        </w:r>
        <w:r w:rsidR="00292254" w:rsidRPr="004E4188">
          <w:rPr>
            <w:webHidden/>
          </w:rPr>
          <w:fldChar w:fldCharType="separate"/>
        </w:r>
        <w:r w:rsidR="0048496E">
          <w:rPr>
            <w:webHidden/>
          </w:rPr>
          <w:t>9</w:t>
        </w:r>
        <w:r w:rsidR="00292254" w:rsidRPr="004E4188">
          <w:rPr>
            <w:webHidden/>
          </w:rPr>
          <w:fldChar w:fldCharType="end"/>
        </w:r>
      </w:hyperlink>
    </w:p>
    <w:p w14:paraId="1684E743" w14:textId="6B0CE810" w:rsidR="00292254" w:rsidRPr="004E4188" w:rsidRDefault="00000000" w:rsidP="0089558C">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65" w:history="1">
        <w:r w:rsidR="00292254" w:rsidRPr="004E4188">
          <w:rPr>
            <w:rStyle w:val="af1"/>
            <w:lang w:val="fr-FR"/>
          </w:rPr>
          <w:t>8.</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Modifications apportées au Dossier d’appel d’offres</w:t>
        </w:r>
        <w:r w:rsidR="00292254" w:rsidRPr="004E4188">
          <w:rPr>
            <w:webHidden/>
          </w:rPr>
          <w:tab/>
        </w:r>
        <w:r w:rsidR="00292254" w:rsidRPr="004E4188">
          <w:rPr>
            <w:webHidden/>
          </w:rPr>
          <w:fldChar w:fldCharType="begin"/>
        </w:r>
        <w:r w:rsidR="00292254" w:rsidRPr="004E4188">
          <w:rPr>
            <w:webHidden/>
          </w:rPr>
          <w:instrText xml:space="preserve"> PAGEREF _Toc104195565 \h </w:instrText>
        </w:r>
        <w:r w:rsidR="00292254" w:rsidRPr="004E4188">
          <w:rPr>
            <w:webHidden/>
          </w:rPr>
        </w:r>
        <w:r w:rsidR="00292254" w:rsidRPr="004E4188">
          <w:rPr>
            <w:webHidden/>
          </w:rPr>
          <w:fldChar w:fldCharType="separate"/>
        </w:r>
        <w:r w:rsidR="0048496E">
          <w:rPr>
            <w:webHidden/>
          </w:rPr>
          <w:t>10</w:t>
        </w:r>
        <w:r w:rsidR="00292254" w:rsidRPr="004E4188">
          <w:rPr>
            <w:webHidden/>
          </w:rPr>
          <w:fldChar w:fldCharType="end"/>
        </w:r>
      </w:hyperlink>
    </w:p>
    <w:p w14:paraId="03A8B449" w14:textId="6542007A" w:rsidR="00292254" w:rsidRPr="004E4188" w:rsidRDefault="00000000" w:rsidP="0089558C">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66" w:history="1">
        <w:r w:rsidR="00292254" w:rsidRPr="004E4188">
          <w:rPr>
            <w:rStyle w:val="af1"/>
            <w:lang w:val="fr-FR"/>
          </w:rPr>
          <w:t>9.</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Frais de soumission</w:t>
        </w:r>
        <w:r w:rsidR="00292254" w:rsidRPr="004E4188">
          <w:rPr>
            <w:webHidden/>
          </w:rPr>
          <w:tab/>
        </w:r>
        <w:r w:rsidR="00292254" w:rsidRPr="004E4188">
          <w:rPr>
            <w:webHidden/>
          </w:rPr>
          <w:fldChar w:fldCharType="begin"/>
        </w:r>
        <w:r w:rsidR="00292254" w:rsidRPr="004E4188">
          <w:rPr>
            <w:webHidden/>
          </w:rPr>
          <w:instrText xml:space="preserve"> PAGEREF _Toc104195566 \h </w:instrText>
        </w:r>
        <w:r w:rsidR="00292254" w:rsidRPr="004E4188">
          <w:rPr>
            <w:webHidden/>
          </w:rPr>
        </w:r>
        <w:r w:rsidR="00292254" w:rsidRPr="004E4188">
          <w:rPr>
            <w:webHidden/>
          </w:rPr>
          <w:fldChar w:fldCharType="separate"/>
        </w:r>
        <w:r w:rsidR="0048496E">
          <w:rPr>
            <w:webHidden/>
          </w:rPr>
          <w:t>11</w:t>
        </w:r>
        <w:r w:rsidR="00292254" w:rsidRPr="004E4188">
          <w:rPr>
            <w:webHidden/>
          </w:rPr>
          <w:fldChar w:fldCharType="end"/>
        </w:r>
      </w:hyperlink>
    </w:p>
    <w:p w14:paraId="7A18F7CF" w14:textId="51D852B1" w:rsidR="00292254"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4195567" w:history="1">
        <w:r w:rsidR="00292254" w:rsidRPr="004E4188">
          <w:rPr>
            <w:rStyle w:val="af1"/>
            <w:lang w:val="fr-FR"/>
          </w:rPr>
          <w:t>10.</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Langue de l’offre</w:t>
        </w:r>
        <w:r w:rsidR="00292254" w:rsidRPr="004E4188">
          <w:rPr>
            <w:webHidden/>
          </w:rPr>
          <w:tab/>
        </w:r>
        <w:r w:rsidR="00292254" w:rsidRPr="004E4188">
          <w:rPr>
            <w:webHidden/>
          </w:rPr>
          <w:fldChar w:fldCharType="begin"/>
        </w:r>
        <w:r w:rsidR="00292254" w:rsidRPr="004E4188">
          <w:rPr>
            <w:webHidden/>
          </w:rPr>
          <w:instrText xml:space="preserve"> PAGEREF _Toc104195567 \h </w:instrText>
        </w:r>
        <w:r w:rsidR="00292254" w:rsidRPr="004E4188">
          <w:rPr>
            <w:webHidden/>
          </w:rPr>
        </w:r>
        <w:r w:rsidR="00292254" w:rsidRPr="004E4188">
          <w:rPr>
            <w:webHidden/>
          </w:rPr>
          <w:fldChar w:fldCharType="separate"/>
        </w:r>
        <w:r w:rsidR="0048496E">
          <w:rPr>
            <w:webHidden/>
          </w:rPr>
          <w:t>11</w:t>
        </w:r>
        <w:r w:rsidR="00292254" w:rsidRPr="004E4188">
          <w:rPr>
            <w:webHidden/>
          </w:rPr>
          <w:fldChar w:fldCharType="end"/>
        </w:r>
      </w:hyperlink>
    </w:p>
    <w:p w14:paraId="2AE7AF3F" w14:textId="77024D3D" w:rsidR="00292254" w:rsidRPr="004E4188" w:rsidRDefault="00000000">
      <w:pPr>
        <w:pStyle w:val="12"/>
        <w:rPr>
          <w:rFonts w:asciiTheme="minorHAnsi" w:eastAsiaTheme="minorEastAsia" w:hAnsiTheme="minorHAnsi" w:cstheme="minorBidi"/>
          <w:b w:val="0"/>
          <w:noProof/>
          <w:kern w:val="2"/>
          <w:sz w:val="21"/>
          <w:szCs w:val="22"/>
          <w:lang w:eastAsia="ja-JP"/>
        </w:rPr>
      </w:pPr>
      <w:hyperlink w:anchor="_Toc104195568" w:history="1">
        <w:r w:rsidR="00292254" w:rsidRPr="004E4188">
          <w:rPr>
            <w:rStyle w:val="af1"/>
            <w:noProof/>
          </w:rPr>
          <w:t>C1. Offres de la première étape : préparation</w:t>
        </w:r>
        <w:r w:rsidR="00292254" w:rsidRPr="004E4188">
          <w:rPr>
            <w:noProof/>
            <w:webHidden/>
          </w:rPr>
          <w:tab/>
        </w:r>
        <w:r w:rsidR="00292254" w:rsidRPr="004E4188">
          <w:rPr>
            <w:noProof/>
            <w:webHidden/>
          </w:rPr>
          <w:fldChar w:fldCharType="begin"/>
        </w:r>
        <w:r w:rsidR="00292254" w:rsidRPr="004E4188">
          <w:rPr>
            <w:noProof/>
            <w:webHidden/>
          </w:rPr>
          <w:instrText xml:space="preserve"> PAGEREF _Toc104195568 \h </w:instrText>
        </w:r>
        <w:r w:rsidR="00292254" w:rsidRPr="004E4188">
          <w:rPr>
            <w:noProof/>
            <w:webHidden/>
          </w:rPr>
        </w:r>
        <w:r w:rsidR="00292254" w:rsidRPr="004E4188">
          <w:rPr>
            <w:noProof/>
            <w:webHidden/>
          </w:rPr>
          <w:fldChar w:fldCharType="separate"/>
        </w:r>
        <w:r w:rsidR="0048496E">
          <w:rPr>
            <w:noProof/>
            <w:webHidden/>
          </w:rPr>
          <w:t>11</w:t>
        </w:r>
        <w:r w:rsidR="00292254" w:rsidRPr="004E4188">
          <w:rPr>
            <w:noProof/>
            <w:webHidden/>
          </w:rPr>
          <w:fldChar w:fldCharType="end"/>
        </w:r>
      </w:hyperlink>
    </w:p>
    <w:p w14:paraId="153ABEDC" w14:textId="4EDDF04B" w:rsidR="00292254" w:rsidRPr="004E4188" w:rsidRDefault="00000000" w:rsidP="0089558C">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69" w:history="1">
        <w:r w:rsidR="00292254" w:rsidRPr="004E4188">
          <w:rPr>
            <w:rStyle w:val="af1"/>
            <w:lang w:val="fr-FR"/>
          </w:rPr>
          <w:t>11.</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Documents constitutifs de l’offre de la première étape</w:t>
        </w:r>
        <w:r w:rsidR="00292254" w:rsidRPr="004E4188">
          <w:rPr>
            <w:webHidden/>
          </w:rPr>
          <w:tab/>
        </w:r>
        <w:r w:rsidR="00292254" w:rsidRPr="004E4188">
          <w:rPr>
            <w:webHidden/>
          </w:rPr>
          <w:fldChar w:fldCharType="begin"/>
        </w:r>
        <w:r w:rsidR="00292254" w:rsidRPr="004E4188">
          <w:rPr>
            <w:webHidden/>
          </w:rPr>
          <w:instrText xml:space="preserve"> PAGEREF _Toc104195569 \h </w:instrText>
        </w:r>
        <w:r w:rsidR="00292254" w:rsidRPr="004E4188">
          <w:rPr>
            <w:webHidden/>
          </w:rPr>
        </w:r>
        <w:r w:rsidR="00292254" w:rsidRPr="004E4188">
          <w:rPr>
            <w:webHidden/>
          </w:rPr>
          <w:fldChar w:fldCharType="separate"/>
        </w:r>
        <w:r w:rsidR="0048496E">
          <w:rPr>
            <w:webHidden/>
          </w:rPr>
          <w:t>11</w:t>
        </w:r>
        <w:r w:rsidR="00292254" w:rsidRPr="004E4188">
          <w:rPr>
            <w:webHidden/>
          </w:rPr>
          <w:fldChar w:fldCharType="end"/>
        </w:r>
      </w:hyperlink>
    </w:p>
    <w:p w14:paraId="09B8AF87" w14:textId="5FC26519" w:rsidR="00292254" w:rsidRPr="004E4188" w:rsidRDefault="00000000" w:rsidP="0089558C">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70" w:history="1">
        <w:r w:rsidR="00292254" w:rsidRPr="004E4188">
          <w:rPr>
            <w:rStyle w:val="af1"/>
            <w:lang w:val="fr-FR"/>
          </w:rPr>
          <w:t>12.</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Lettre de soumission de l’offre de la première étape et annexes</w:t>
        </w:r>
        <w:r w:rsidR="00292254" w:rsidRPr="004E4188">
          <w:rPr>
            <w:webHidden/>
          </w:rPr>
          <w:tab/>
        </w:r>
        <w:r w:rsidR="00292254" w:rsidRPr="004E4188">
          <w:rPr>
            <w:webHidden/>
          </w:rPr>
          <w:fldChar w:fldCharType="begin"/>
        </w:r>
        <w:r w:rsidR="00292254" w:rsidRPr="004E4188">
          <w:rPr>
            <w:webHidden/>
          </w:rPr>
          <w:instrText xml:space="preserve"> PAGEREF _Toc104195570 \h </w:instrText>
        </w:r>
        <w:r w:rsidR="00292254" w:rsidRPr="004E4188">
          <w:rPr>
            <w:webHidden/>
          </w:rPr>
        </w:r>
        <w:r w:rsidR="00292254" w:rsidRPr="004E4188">
          <w:rPr>
            <w:webHidden/>
          </w:rPr>
          <w:fldChar w:fldCharType="separate"/>
        </w:r>
        <w:r w:rsidR="0048496E">
          <w:rPr>
            <w:webHidden/>
          </w:rPr>
          <w:t>12</w:t>
        </w:r>
        <w:r w:rsidR="00292254" w:rsidRPr="004E4188">
          <w:rPr>
            <w:webHidden/>
          </w:rPr>
          <w:fldChar w:fldCharType="end"/>
        </w:r>
      </w:hyperlink>
    </w:p>
    <w:p w14:paraId="0D328AF7" w14:textId="788BF6CA" w:rsidR="00292254" w:rsidRPr="004E4188" w:rsidRDefault="00000000" w:rsidP="0089558C">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71" w:history="1">
        <w:r w:rsidR="00292254" w:rsidRPr="004E4188">
          <w:rPr>
            <w:rStyle w:val="af1"/>
            <w:lang w:val="fr-FR"/>
          </w:rPr>
          <w:t>13.</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Propositions techniques variantes</w:t>
        </w:r>
        <w:r w:rsidR="00292254" w:rsidRPr="004E4188">
          <w:rPr>
            <w:webHidden/>
          </w:rPr>
          <w:tab/>
        </w:r>
        <w:r w:rsidR="00292254" w:rsidRPr="004E4188">
          <w:rPr>
            <w:webHidden/>
          </w:rPr>
          <w:fldChar w:fldCharType="begin"/>
        </w:r>
        <w:r w:rsidR="00292254" w:rsidRPr="004E4188">
          <w:rPr>
            <w:webHidden/>
          </w:rPr>
          <w:instrText xml:space="preserve"> PAGEREF _Toc104195571 \h </w:instrText>
        </w:r>
        <w:r w:rsidR="00292254" w:rsidRPr="004E4188">
          <w:rPr>
            <w:webHidden/>
          </w:rPr>
        </w:r>
        <w:r w:rsidR="00292254" w:rsidRPr="004E4188">
          <w:rPr>
            <w:webHidden/>
          </w:rPr>
          <w:fldChar w:fldCharType="separate"/>
        </w:r>
        <w:r w:rsidR="0048496E">
          <w:rPr>
            <w:webHidden/>
          </w:rPr>
          <w:t>12</w:t>
        </w:r>
        <w:r w:rsidR="00292254" w:rsidRPr="004E4188">
          <w:rPr>
            <w:webHidden/>
          </w:rPr>
          <w:fldChar w:fldCharType="end"/>
        </w:r>
      </w:hyperlink>
    </w:p>
    <w:p w14:paraId="6709CCB1" w14:textId="6717CBCA" w:rsidR="00292254" w:rsidRPr="004E4188" w:rsidRDefault="00000000" w:rsidP="0089558C">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72" w:history="1">
        <w:r w:rsidR="00292254" w:rsidRPr="004E4188">
          <w:rPr>
            <w:rStyle w:val="af1"/>
            <w:lang w:val="fr-FR"/>
          </w:rPr>
          <w:t>14.</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Proposition technique</w:t>
        </w:r>
        <w:r w:rsidR="0088108C" w:rsidRPr="004E4188">
          <w:rPr>
            <w:rStyle w:val="af1"/>
            <w:lang w:val="fr-FR"/>
          </w:rPr>
          <w:t xml:space="preserve"> et</w:t>
        </w:r>
        <w:r w:rsidR="00292254" w:rsidRPr="004E4188">
          <w:rPr>
            <w:rStyle w:val="af1"/>
            <w:lang w:val="fr-FR"/>
          </w:rPr>
          <w:t xml:space="preserve"> sous-traitants</w:t>
        </w:r>
        <w:r w:rsidR="00292254" w:rsidRPr="004E4188">
          <w:rPr>
            <w:webHidden/>
          </w:rPr>
          <w:tab/>
        </w:r>
        <w:r w:rsidR="00292254" w:rsidRPr="004E4188">
          <w:rPr>
            <w:webHidden/>
          </w:rPr>
          <w:fldChar w:fldCharType="begin"/>
        </w:r>
        <w:r w:rsidR="00292254" w:rsidRPr="004E4188">
          <w:rPr>
            <w:webHidden/>
          </w:rPr>
          <w:instrText xml:space="preserve"> PAGEREF _Toc104195572 \h </w:instrText>
        </w:r>
        <w:r w:rsidR="00292254" w:rsidRPr="004E4188">
          <w:rPr>
            <w:webHidden/>
          </w:rPr>
        </w:r>
        <w:r w:rsidR="00292254" w:rsidRPr="004E4188">
          <w:rPr>
            <w:webHidden/>
          </w:rPr>
          <w:fldChar w:fldCharType="separate"/>
        </w:r>
        <w:r w:rsidR="0048496E">
          <w:rPr>
            <w:webHidden/>
          </w:rPr>
          <w:t>12</w:t>
        </w:r>
        <w:r w:rsidR="00292254" w:rsidRPr="004E4188">
          <w:rPr>
            <w:webHidden/>
          </w:rPr>
          <w:fldChar w:fldCharType="end"/>
        </w:r>
      </w:hyperlink>
    </w:p>
    <w:p w14:paraId="7DFE8D85" w14:textId="5D8161D8" w:rsidR="00292254" w:rsidRPr="004E4188" w:rsidRDefault="00000000" w:rsidP="0089558C">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73" w:history="1">
        <w:r w:rsidR="00292254" w:rsidRPr="004E4188">
          <w:rPr>
            <w:rStyle w:val="af1"/>
            <w:lang w:val="fr-FR"/>
          </w:rPr>
          <w:t>15.</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Documents attestant</w:t>
        </w:r>
        <w:r w:rsidR="006C28F7" w:rsidRPr="004E4188">
          <w:rPr>
            <w:rStyle w:val="af1"/>
            <w:lang w:val="fr-FR"/>
          </w:rPr>
          <w:t xml:space="preserve"> </w:t>
        </w:r>
        <w:r w:rsidR="00292254" w:rsidRPr="004E4188">
          <w:rPr>
            <w:rStyle w:val="af1"/>
            <w:lang w:val="fr-FR"/>
          </w:rPr>
          <w:t>des qualifications du Soumissionnaire</w:t>
        </w:r>
        <w:r w:rsidR="00292254" w:rsidRPr="004E4188">
          <w:rPr>
            <w:webHidden/>
          </w:rPr>
          <w:tab/>
        </w:r>
        <w:r w:rsidR="00292254" w:rsidRPr="004E4188">
          <w:rPr>
            <w:webHidden/>
          </w:rPr>
          <w:fldChar w:fldCharType="begin"/>
        </w:r>
        <w:r w:rsidR="00292254" w:rsidRPr="004E4188">
          <w:rPr>
            <w:webHidden/>
          </w:rPr>
          <w:instrText xml:space="preserve"> PAGEREF _Toc104195573 \h </w:instrText>
        </w:r>
        <w:r w:rsidR="00292254" w:rsidRPr="004E4188">
          <w:rPr>
            <w:webHidden/>
          </w:rPr>
        </w:r>
        <w:r w:rsidR="00292254" w:rsidRPr="004E4188">
          <w:rPr>
            <w:webHidden/>
          </w:rPr>
          <w:fldChar w:fldCharType="separate"/>
        </w:r>
        <w:r w:rsidR="0048496E">
          <w:rPr>
            <w:webHidden/>
          </w:rPr>
          <w:t>14</w:t>
        </w:r>
        <w:r w:rsidR="00292254" w:rsidRPr="004E4188">
          <w:rPr>
            <w:webHidden/>
          </w:rPr>
          <w:fldChar w:fldCharType="end"/>
        </w:r>
      </w:hyperlink>
    </w:p>
    <w:p w14:paraId="298824C0" w14:textId="013E6FE6" w:rsidR="00292254"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4195574" w:history="1">
        <w:r w:rsidR="00292254" w:rsidRPr="004E4188">
          <w:rPr>
            <w:rStyle w:val="af1"/>
            <w:lang w:val="fr-FR"/>
          </w:rPr>
          <w:t>16.</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Form</w:t>
        </w:r>
        <w:r w:rsidR="00353405" w:rsidRPr="004E4188">
          <w:rPr>
            <w:rStyle w:val="af1"/>
            <w:lang w:val="fr-FR"/>
          </w:rPr>
          <w:t>e</w:t>
        </w:r>
        <w:r w:rsidR="00292254" w:rsidRPr="004E4188">
          <w:rPr>
            <w:rStyle w:val="af1"/>
            <w:lang w:val="fr-FR"/>
          </w:rPr>
          <w:t xml:space="preserve"> et signature de l’offre de la première étape</w:t>
        </w:r>
        <w:r w:rsidR="00292254" w:rsidRPr="004E4188">
          <w:rPr>
            <w:webHidden/>
          </w:rPr>
          <w:tab/>
        </w:r>
        <w:r w:rsidR="00292254" w:rsidRPr="004E4188">
          <w:rPr>
            <w:webHidden/>
          </w:rPr>
          <w:fldChar w:fldCharType="begin"/>
        </w:r>
        <w:r w:rsidR="00292254" w:rsidRPr="004E4188">
          <w:rPr>
            <w:webHidden/>
          </w:rPr>
          <w:instrText xml:space="preserve"> PAGEREF _Toc104195574 \h </w:instrText>
        </w:r>
        <w:r w:rsidR="00292254" w:rsidRPr="004E4188">
          <w:rPr>
            <w:webHidden/>
          </w:rPr>
        </w:r>
        <w:r w:rsidR="00292254" w:rsidRPr="004E4188">
          <w:rPr>
            <w:webHidden/>
          </w:rPr>
          <w:fldChar w:fldCharType="separate"/>
        </w:r>
        <w:r w:rsidR="0048496E">
          <w:rPr>
            <w:webHidden/>
          </w:rPr>
          <w:t>15</w:t>
        </w:r>
        <w:r w:rsidR="00292254" w:rsidRPr="004E4188">
          <w:rPr>
            <w:webHidden/>
          </w:rPr>
          <w:fldChar w:fldCharType="end"/>
        </w:r>
      </w:hyperlink>
    </w:p>
    <w:p w14:paraId="66F68FEC" w14:textId="5D8AF616" w:rsidR="00292254" w:rsidRPr="004E4188" w:rsidRDefault="00000000">
      <w:pPr>
        <w:pStyle w:val="12"/>
        <w:rPr>
          <w:rFonts w:asciiTheme="minorHAnsi" w:eastAsiaTheme="minorEastAsia" w:hAnsiTheme="minorHAnsi" w:cstheme="minorBidi"/>
          <w:b w:val="0"/>
          <w:noProof/>
          <w:kern w:val="2"/>
          <w:sz w:val="21"/>
          <w:szCs w:val="22"/>
          <w:lang w:eastAsia="ja-JP"/>
        </w:rPr>
      </w:pPr>
      <w:hyperlink w:anchor="_Toc104195575" w:history="1">
        <w:r w:rsidR="00292254" w:rsidRPr="004E4188">
          <w:rPr>
            <w:rStyle w:val="af1"/>
            <w:noProof/>
          </w:rPr>
          <w:t>C2. Offres de la première étape : remise et ouverture</w:t>
        </w:r>
        <w:r w:rsidR="00292254" w:rsidRPr="004E4188">
          <w:rPr>
            <w:noProof/>
            <w:webHidden/>
          </w:rPr>
          <w:tab/>
        </w:r>
        <w:r w:rsidR="00292254" w:rsidRPr="004E4188">
          <w:rPr>
            <w:noProof/>
            <w:webHidden/>
          </w:rPr>
          <w:fldChar w:fldCharType="begin"/>
        </w:r>
        <w:r w:rsidR="00292254" w:rsidRPr="004E4188">
          <w:rPr>
            <w:noProof/>
            <w:webHidden/>
          </w:rPr>
          <w:instrText xml:space="preserve"> PAGEREF _Toc104195575 \h </w:instrText>
        </w:r>
        <w:r w:rsidR="00292254" w:rsidRPr="004E4188">
          <w:rPr>
            <w:noProof/>
            <w:webHidden/>
          </w:rPr>
        </w:r>
        <w:r w:rsidR="00292254" w:rsidRPr="004E4188">
          <w:rPr>
            <w:noProof/>
            <w:webHidden/>
          </w:rPr>
          <w:fldChar w:fldCharType="separate"/>
        </w:r>
        <w:r w:rsidR="0048496E">
          <w:rPr>
            <w:noProof/>
            <w:webHidden/>
          </w:rPr>
          <w:t>16</w:t>
        </w:r>
        <w:r w:rsidR="00292254" w:rsidRPr="004E4188">
          <w:rPr>
            <w:noProof/>
            <w:webHidden/>
          </w:rPr>
          <w:fldChar w:fldCharType="end"/>
        </w:r>
      </w:hyperlink>
    </w:p>
    <w:p w14:paraId="1BFC3717" w14:textId="6E20DBEC" w:rsidR="00292254" w:rsidRPr="004E4188" w:rsidRDefault="00000000" w:rsidP="0089558C">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76" w:history="1">
        <w:r w:rsidR="00292254" w:rsidRPr="004E4188">
          <w:rPr>
            <w:rStyle w:val="af1"/>
            <w:lang w:val="fr-FR"/>
          </w:rPr>
          <w:t>17.</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Cachetage et marquage des offres de la première étape</w:t>
        </w:r>
        <w:r w:rsidR="00292254" w:rsidRPr="004E4188">
          <w:rPr>
            <w:webHidden/>
          </w:rPr>
          <w:tab/>
        </w:r>
        <w:r w:rsidR="00292254" w:rsidRPr="004E4188">
          <w:rPr>
            <w:webHidden/>
          </w:rPr>
          <w:fldChar w:fldCharType="begin"/>
        </w:r>
        <w:r w:rsidR="00292254" w:rsidRPr="004E4188">
          <w:rPr>
            <w:webHidden/>
          </w:rPr>
          <w:instrText xml:space="preserve"> PAGEREF _Toc104195576 \h </w:instrText>
        </w:r>
        <w:r w:rsidR="00292254" w:rsidRPr="004E4188">
          <w:rPr>
            <w:webHidden/>
          </w:rPr>
        </w:r>
        <w:r w:rsidR="00292254" w:rsidRPr="004E4188">
          <w:rPr>
            <w:webHidden/>
          </w:rPr>
          <w:fldChar w:fldCharType="separate"/>
        </w:r>
        <w:r w:rsidR="0048496E">
          <w:rPr>
            <w:webHidden/>
          </w:rPr>
          <w:t>16</w:t>
        </w:r>
        <w:r w:rsidR="00292254" w:rsidRPr="004E4188">
          <w:rPr>
            <w:webHidden/>
          </w:rPr>
          <w:fldChar w:fldCharType="end"/>
        </w:r>
      </w:hyperlink>
    </w:p>
    <w:p w14:paraId="35DA257A" w14:textId="44682ED6" w:rsidR="00292254" w:rsidRPr="004E4188" w:rsidRDefault="00000000" w:rsidP="0089558C">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77" w:history="1">
        <w:r w:rsidR="00292254" w:rsidRPr="004E4188">
          <w:rPr>
            <w:rStyle w:val="af1"/>
            <w:lang w:val="fr-FR"/>
          </w:rPr>
          <w:t>18.</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Date limite de remise des offres de la première étape</w:t>
        </w:r>
        <w:r w:rsidR="00292254" w:rsidRPr="004E4188">
          <w:rPr>
            <w:webHidden/>
          </w:rPr>
          <w:tab/>
        </w:r>
        <w:r w:rsidR="00292254" w:rsidRPr="004E4188">
          <w:rPr>
            <w:webHidden/>
          </w:rPr>
          <w:fldChar w:fldCharType="begin"/>
        </w:r>
        <w:r w:rsidR="00292254" w:rsidRPr="004E4188">
          <w:rPr>
            <w:webHidden/>
          </w:rPr>
          <w:instrText xml:space="preserve"> PAGEREF _Toc104195577 \h </w:instrText>
        </w:r>
        <w:r w:rsidR="00292254" w:rsidRPr="004E4188">
          <w:rPr>
            <w:webHidden/>
          </w:rPr>
        </w:r>
        <w:r w:rsidR="00292254" w:rsidRPr="004E4188">
          <w:rPr>
            <w:webHidden/>
          </w:rPr>
          <w:fldChar w:fldCharType="separate"/>
        </w:r>
        <w:r w:rsidR="0048496E">
          <w:rPr>
            <w:webHidden/>
          </w:rPr>
          <w:t>17</w:t>
        </w:r>
        <w:r w:rsidR="00292254" w:rsidRPr="004E4188">
          <w:rPr>
            <w:webHidden/>
          </w:rPr>
          <w:fldChar w:fldCharType="end"/>
        </w:r>
      </w:hyperlink>
    </w:p>
    <w:p w14:paraId="0CDC9509" w14:textId="16F6245B" w:rsidR="00292254" w:rsidRPr="004E4188" w:rsidRDefault="00000000" w:rsidP="0089558C">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78" w:history="1">
        <w:r w:rsidR="00292254" w:rsidRPr="004E4188">
          <w:rPr>
            <w:rStyle w:val="af1"/>
            <w:lang w:val="fr-FR"/>
          </w:rPr>
          <w:t>19.</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Offres hors délai</w:t>
        </w:r>
        <w:r w:rsidR="00292254" w:rsidRPr="004E4188">
          <w:rPr>
            <w:webHidden/>
          </w:rPr>
          <w:tab/>
        </w:r>
        <w:r w:rsidR="00292254" w:rsidRPr="004E4188">
          <w:rPr>
            <w:webHidden/>
          </w:rPr>
          <w:fldChar w:fldCharType="begin"/>
        </w:r>
        <w:r w:rsidR="00292254" w:rsidRPr="004E4188">
          <w:rPr>
            <w:webHidden/>
          </w:rPr>
          <w:instrText xml:space="preserve"> PAGEREF _Toc104195578 \h </w:instrText>
        </w:r>
        <w:r w:rsidR="00292254" w:rsidRPr="004E4188">
          <w:rPr>
            <w:webHidden/>
          </w:rPr>
        </w:r>
        <w:r w:rsidR="00292254" w:rsidRPr="004E4188">
          <w:rPr>
            <w:webHidden/>
          </w:rPr>
          <w:fldChar w:fldCharType="separate"/>
        </w:r>
        <w:r w:rsidR="0048496E">
          <w:rPr>
            <w:webHidden/>
          </w:rPr>
          <w:t>17</w:t>
        </w:r>
        <w:r w:rsidR="00292254" w:rsidRPr="004E4188">
          <w:rPr>
            <w:webHidden/>
          </w:rPr>
          <w:fldChar w:fldCharType="end"/>
        </w:r>
      </w:hyperlink>
    </w:p>
    <w:p w14:paraId="054E3A56" w14:textId="79EAC8D1" w:rsidR="00292254" w:rsidRPr="004E4188" w:rsidRDefault="00000000" w:rsidP="0089558C">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79" w:history="1">
        <w:r w:rsidR="00292254" w:rsidRPr="004E4188">
          <w:rPr>
            <w:rStyle w:val="af1"/>
            <w:lang w:val="fr-FR"/>
          </w:rPr>
          <w:t>20.</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Substitution et modification des offres de la première étape</w:t>
        </w:r>
        <w:r w:rsidR="00292254" w:rsidRPr="004E4188">
          <w:rPr>
            <w:webHidden/>
          </w:rPr>
          <w:tab/>
        </w:r>
        <w:r w:rsidR="00292254" w:rsidRPr="004E4188">
          <w:rPr>
            <w:webHidden/>
          </w:rPr>
          <w:fldChar w:fldCharType="begin"/>
        </w:r>
        <w:r w:rsidR="00292254" w:rsidRPr="004E4188">
          <w:rPr>
            <w:webHidden/>
          </w:rPr>
          <w:instrText xml:space="preserve"> PAGEREF _Toc104195579 \h </w:instrText>
        </w:r>
        <w:r w:rsidR="00292254" w:rsidRPr="004E4188">
          <w:rPr>
            <w:webHidden/>
          </w:rPr>
        </w:r>
        <w:r w:rsidR="00292254" w:rsidRPr="004E4188">
          <w:rPr>
            <w:webHidden/>
          </w:rPr>
          <w:fldChar w:fldCharType="separate"/>
        </w:r>
        <w:r w:rsidR="0048496E">
          <w:rPr>
            <w:webHidden/>
          </w:rPr>
          <w:t>17</w:t>
        </w:r>
        <w:r w:rsidR="00292254" w:rsidRPr="004E4188">
          <w:rPr>
            <w:webHidden/>
          </w:rPr>
          <w:fldChar w:fldCharType="end"/>
        </w:r>
      </w:hyperlink>
    </w:p>
    <w:p w14:paraId="2520B455" w14:textId="5299354A" w:rsidR="00292254"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4195580" w:history="1">
        <w:r w:rsidR="00292254" w:rsidRPr="004E4188">
          <w:rPr>
            <w:rStyle w:val="af1"/>
            <w:lang w:val="fr-FR"/>
          </w:rPr>
          <w:t>21.</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Ouverture des offres de la première étape</w:t>
        </w:r>
        <w:r w:rsidR="00292254" w:rsidRPr="004E4188">
          <w:rPr>
            <w:webHidden/>
          </w:rPr>
          <w:tab/>
        </w:r>
        <w:r w:rsidR="00292254" w:rsidRPr="004E4188">
          <w:rPr>
            <w:webHidden/>
          </w:rPr>
          <w:fldChar w:fldCharType="begin"/>
        </w:r>
        <w:r w:rsidR="00292254" w:rsidRPr="004E4188">
          <w:rPr>
            <w:webHidden/>
          </w:rPr>
          <w:instrText xml:space="preserve"> PAGEREF _Toc104195580 \h </w:instrText>
        </w:r>
        <w:r w:rsidR="00292254" w:rsidRPr="004E4188">
          <w:rPr>
            <w:webHidden/>
          </w:rPr>
        </w:r>
        <w:r w:rsidR="00292254" w:rsidRPr="004E4188">
          <w:rPr>
            <w:webHidden/>
          </w:rPr>
          <w:fldChar w:fldCharType="separate"/>
        </w:r>
        <w:r w:rsidR="0048496E">
          <w:rPr>
            <w:webHidden/>
          </w:rPr>
          <w:t>18</w:t>
        </w:r>
        <w:r w:rsidR="00292254" w:rsidRPr="004E4188">
          <w:rPr>
            <w:webHidden/>
          </w:rPr>
          <w:fldChar w:fldCharType="end"/>
        </w:r>
      </w:hyperlink>
    </w:p>
    <w:p w14:paraId="72B2F878" w14:textId="0416DEAA" w:rsidR="00292254" w:rsidRPr="004E4188" w:rsidRDefault="00000000">
      <w:pPr>
        <w:pStyle w:val="12"/>
        <w:rPr>
          <w:rFonts w:asciiTheme="minorHAnsi" w:eastAsiaTheme="minorEastAsia" w:hAnsiTheme="minorHAnsi" w:cstheme="minorBidi"/>
          <w:b w:val="0"/>
          <w:noProof/>
          <w:kern w:val="2"/>
          <w:sz w:val="21"/>
          <w:szCs w:val="22"/>
          <w:lang w:eastAsia="ja-JP"/>
        </w:rPr>
      </w:pPr>
      <w:hyperlink w:anchor="_Toc104195581" w:history="1">
        <w:r w:rsidR="00292254" w:rsidRPr="004E4188">
          <w:rPr>
            <w:rStyle w:val="af1"/>
            <w:noProof/>
          </w:rPr>
          <w:t xml:space="preserve">C3. Offres de la première étape : </w:t>
        </w:r>
        <w:r w:rsidR="000C41BF" w:rsidRPr="004E4188">
          <w:rPr>
            <w:rStyle w:val="af1"/>
            <w:noProof/>
          </w:rPr>
          <w:t>é</w:t>
        </w:r>
        <w:r w:rsidR="00292254" w:rsidRPr="004E4188">
          <w:rPr>
            <w:rStyle w:val="af1"/>
            <w:noProof/>
          </w:rPr>
          <w:t>valuation</w:t>
        </w:r>
        <w:r w:rsidR="00292254" w:rsidRPr="004E4188">
          <w:rPr>
            <w:noProof/>
            <w:webHidden/>
          </w:rPr>
          <w:tab/>
        </w:r>
        <w:r w:rsidR="00292254" w:rsidRPr="004E4188">
          <w:rPr>
            <w:noProof/>
            <w:webHidden/>
          </w:rPr>
          <w:fldChar w:fldCharType="begin"/>
        </w:r>
        <w:r w:rsidR="00292254" w:rsidRPr="004E4188">
          <w:rPr>
            <w:noProof/>
            <w:webHidden/>
          </w:rPr>
          <w:instrText xml:space="preserve"> PAGEREF _Toc104195581 \h </w:instrText>
        </w:r>
        <w:r w:rsidR="00292254" w:rsidRPr="004E4188">
          <w:rPr>
            <w:noProof/>
            <w:webHidden/>
          </w:rPr>
        </w:r>
        <w:r w:rsidR="00292254" w:rsidRPr="004E4188">
          <w:rPr>
            <w:noProof/>
            <w:webHidden/>
          </w:rPr>
          <w:fldChar w:fldCharType="separate"/>
        </w:r>
        <w:r w:rsidR="0048496E">
          <w:rPr>
            <w:noProof/>
            <w:webHidden/>
          </w:rPr>
          <w:t>19</w:t>
        </w:r>
        <w:r w:rsidR="00292254" w:rsidRPr="004E4188">
          <w:rPr>
            <w:noProof/>
            <w:webHidden/>
          </w:rPr>
          <w:fldChar w:fldCharType="end"/>
        </w:r>
      </w:hyperlink>
    </w:p>
    <w:p w14:paraId="56F2FA65" w14:textId="5CB8D3C0"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82" w:history="1">
        <w:r w:rsidR="00292254" w:rsidRPr="004E4188">
          <w:rPr>
            <w:rStyle w:val="af1"/>
            <w:lang w:val="fr-FR"/>
          </w:rPr>
          <w:t>22.</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Confidentialité</w:t>
        </w:r>
        <w:r w:rsidR="00292254" w:rsidRPr="004E4188">
          <w:rPr>
            <w:webHidden/>
          </w:rPr>
          <w:tab/>
        </w:r>
        <w:r w:rsidR="00292254" w:rsidRPr="004E4188">
          <w:rPr>
            <w:webHidden/>
          </w:rPr>
          <w:fldChar w:fldCharType="begin"/>
        </w:r>
        <w:r w:rsidR="00292254" w:rsidRPr="004E4188">
          <w:rPr>
            <w:webHidden/>
          </w:rPr>
          <w:instrText xml:space="preserve"> PAGEREF _Toc104195582 \h </w:instrText>
        </w:r>
        <w:r w:rsidR="00292254" w:rsidRPr="004E4188">
          <w:rPr>
            <w:webHidden/>
          </w:rPr>
        </w:r>
        <w:r w:rsidR="00292254" w:rsidRPr="004E4188">
          <w:rPr>
            <w:webHidden/>
          </w:rPr>
          <w:fldChar w:fldCharType="separate"/>
        </w:r>
        <w:r w:rsidR="0048496E">
          <w:rPr>
            <w:webHidden/>
          </w:rPr>
          <w:t>19</w:t>
        </w:r>
        <w:r w:rsidR="00292254" w:rsidRPr="004E4188">
          <w:rPr>
            <w:webHidden/>
          </w:rPr>
          <w:fldChar w:fldCharType="end"/>
        </w:r>
      </w:hyperlink>
    </w:p>
    <w:p w14:paraId="427CD69F" w14:textId="58F9AFE6"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83" w:history="1">
        <w:r w:rsidR="00292254" w:rsidRPr="004E4188">
          <w:rPr>
            <w:rStyle w:val="af1"/>
            <w:lang w:val="fr-FR"/>
          </w:rPr>
          <w:t>23.</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Examen préliminaire des offres de la première étape</w:t>
        </w:r>
        <w:r w:rsidR="00292254" w:rsidRPr="004E4188">
          <w:rPr>
            <w:webHidden/>
          </w:rPr>
          <w:tab/>
        </w:r>
        <w:r w:rsidR="00292254" w:rsidRPr="004E4188">
          <w:rPr>
            <w:webHidden/>
          </w:rPr>
          <w:fldChar w:fldCharType="begin"/>
        </w:r>
        <w:r w:rsidR="00292254" w:rsidRPr="004E4188">
          <w:rPr>
            <w:webHidden/>
          </w:rPr>
          <w:instrText xml:space="preserve"> PAGEREF _Toc104195583 \h </w:instrText>
        </w:r>
        <w:r w:rsidR="00292254" w:rsidRPr="004E4188">
          <w:rPr>
            <w:webHidden/>
          </w:rPr>
        </w:r>
        <w:r w:rsidR="00292254" w:rsidRPr="004E4188">
          <w:rPr>
            <w:webHidden/>
          </w:rPr>
          <w:fldChar w:fldCharType="separate"/>
        </w:r>
        <w:r w:rsidR="0048496E">
          <w:rPr>
            <w:webHidden/>
          </w:rPr>
          <w:t>20</w:t>
        </w:r>
        <w:r w:rsidR="00292254" w:rsidRPr="004E4188">
          <w:rPr>
            <w:webHidden/>
          </w:rPr>
          <w:fldChar w:fldCharType="end"/>
        </w:r>
      </w:hyperlink>
    </w:p>
    <w:p w14:paraId="4A427B1C" w14:textId="47FF60CA"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84" w:history="1">
        <w:r w:rsidR="00292254" w:rsidRPr="004E4188">
          <w:rPr>
            <w:rStyle w:val="af1"/>
            <w:lang w:val="fr-FR"/>
          </w:rPr>
          <w:t>24.</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Qualification d</w:t>
        </w:r>
        <w:r w:rsidR="001D4CA1" w:rsidRPr="004E4188">
          <w:rPr>
            <w:rStyle w:val="af1"/>
            <w:lang w:val="fr-FR"/>
          </w:rPr>
          <w:t>es</w:t>
        </w:r>
        <w:r w:rsidR="00292254" w:rsidRPr="004E4188">
          <w:rPr>
            <w:rStyle w:val="af1"/>
            <w:lang w:val="fr-FR"/>
          </w:rPr>
          <w:t xml:space="preserve"> Soumissionnaire</w:t>
        </w:r>
        <w:r w:rsidR="001D4CA1" w:rsidRPr="004E4188">
          <w:rPr>
            <w:rStyle w:val="af1"/>
            <w:lang w:val="fr-FR"/>
          </w:rPr>
          <w:t>s</w:t>
        </w:r>
        <w:r w:rsidR="00292254" w:rsidRPr="004E4188">
          <w:rPr>
            <w:webHidden/>
          </w:rPr>
          <w:tab/>
        </w:r>
        <w:r w:rsidR="00292254" w:rsidRPr="004E4188">
          <w:rPr>
            <w:webHidden/>
          </w:rPr>
          <w:fldChar w:fldCharType="begin"/>
        </w:r>
        <w:r w:rsidR="00292254" w:rsidRPr="004E4188">
          <w:rPr>
            <w:webHidden/>
          </w:rPr>
          <w:instrText xml:space="preserve"> PAGEREF _Toc104195584 \h </w:instrText>
        </w:r>
        <w:r w:rsidR="00292254" w:rsidRPr="004E4188">
          <w:rPr>
            <w:webHidden/>
          </w:rPr>
        </w:r>
        <w:r w:rsidR="00292254" w:rsidRPr="004E4188">
          <w:rPr>
            <w:webHidden/>
          </w:rPr>
          <w:fldChar w:fldCharType="separate"/>
        </w:r>
        <w:r w:rsidR="0048496E">
          <w:rPr>
            <w:webHidden/>
          </w:rPr>
          <w:t>20</w:t>
        </w:r>
        <w:r w:rsidR="00292254" w:rsidRPr="004E4188">
          <w:rPr>
            <w:webHidden/>
          </w:rPr>
          <w:fldChar w:fldCharType="end"/>
        </w:r>
      </w:hyperlink>
    </w:p>
    <w:p w14:paraId="7379C9D8" w14:textId="1268779F" w:rsidR="00292254"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4195585" w:history="1">
        <w:r w:rsidR="00292254" w:rsidRPr="004E4188">
          <w:rPr>
            <w:rStyle w:val="af1"/>
            <w:lang w:val="fr-FR"/>
          </w:rPr>
          <w:t>25.</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Évaluation des offres de la première étape</w:t>
        </w:r>
        <w:r w:rsidR="00292254" w:rsidRPr="004E4188">
          <w:rPr>
            <w:webHidden/>
          </w:rPr>
          <w:tab/>
        </w:r>
        <w:r w:rsidR="00292254" w:rsidRPr="004E4188">
          <w:rPr>
            <w:webHidden/>
          </w:rPr>
          <w:fldChar w:fldCharType="begin"/>
        </w:r>
        <w:r w:rsidR="00292254" w:rsidRPr="004E4188">
          <w:rPr>
            <w:webHidden/>
          </w:rPr>
          <w:instrText xml:space="preserve"> PAGEREF _Toc104195585 \h </w:instrText>
        </w:r>
        <w:r w:rsidR="00292254" w:rsidRPr="004E4188">
          <w:rPr>
            <w:webHidden/>
          </w:rPr>
        </w:r>
        <w:r w:rsidR="00292254" w:rsidRPr="004E4188">
          <w:rPr>
            <w:webHidden/>
          </w:rPr>
          <w:fldChar w:fldCharType="separate"/>
        </w:r>
        <w:r w:rsidR="0048496E">
          <w:rPr>
            <w:webHidden/>
          </w:rPr>
          <w:t>21</w:t>
        </w:r>
        <w:r w:rsidR="00292254" w:rsidRPr="004E4188">
          <w:rPr>
            <w:webHidden/>
          </w:rPr>
          <w:fldChar w:fldCharType="end"/>
        </w:r>
      </w:hyperlink>
    </w:p>
    <w:p w14:paraId="22415A28" w14:textId="43648BE1" w:rsidR="00292254" w:rsidRPr="004E4188" w:rsidRDefault="00000000">
      <w:pPr>
        <w:pStyle w:val="12"/>
        <w:rPr>
          <w:rFonts w:asciiTheme="minorHAnsi" w:eastAsiaTheme="minorEastAsia" w:hAnsiTheme="minorHAnsi" w:cstheme="minorBidi"/>
          <w:b w:val="0"/>
          <w:noProof/>
          <w:kern w:val="2"/>
          <w:sz w:val="21"/>
          <w:szCs w:val="22"/>
          <w:lang w:eastAsia="ja-JP"/>
        </w:rPr>
      </w:pPr>
      <w:hyperlink w:anchor="_Toc104195586" w:history="1">
        <w:r w:rsidR="00292254" w:rsidRPr="004E4188">
          <w:rPr>
            <w:rStyle w:val="af1"/>
            <w:noProof/>
          </w:rPr>
          <w:t>D. Éclaircissements des offres de la première étape</w:t>
        </w:r>
        <w:r w:rsidR="00292254" w:rsidRPr="004E4188">
          <w:rPr>
            <w:noProof/>
            <w:webHidden/>
          </w:rPr>
          <w:tab/>
        </w:r>
        <w:r w:rsidR="00292254" w:rsidRPr="004E4188">
          <w:rPr>
            <w:noProof/>
            <w:webHidden/>
          </w:rPr>
          <w:fldChar w:fldCharType="begin"/>
        </w:r>
        <w:r w:rsidR="00292254" w:rsidRPr="004E4188">
          <w:rPr>
            <w:noProof/>
            <w:webHidden/>
          </w:rPr>
          <w:instrText xml:space="preserve"> PAGEREF _Toc104195586 \h </w:instrText>
        </w:r>
        <w:r w:rsidR="00292254" w:rsidRPr="004E4188">
          <w:rPr>
            <w:noProof/>
            <w:webHidden/>
          </w:rPr>
        </w:r>
        <w:r w:rsidR="00292254" w:rsidRPr="004E4188">
          <w:rPr>
            <w:noProof/>
            <w:webHidden/>
          </w:rPr>
          <w:fldChar w:fldCharType="separate"/>
        </w:r>
        <w:r w:rsidR="0048496E">
          <w:rPr>
            <w:noProof/>
            <w:webHidden/>
          </w:rPr>
          <w:t>22</w:t>
        </w:r>
        <w:r w:rsidR="00292254" w:rsidRPr="004E4188">
          <w:rPr>
            <w:noProof/>
            <w:webHidden/>
          </w:rPr>
          <w:fldChar w:fldCharType="end"/>
        </w:r>
      </w:hyperlink>
    </w:p>
    <w:p w14:paraId="402C7F95" w14:textId="3EDBC729"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87" w:history="1">
        <w:r w:rsidR="00292254" w:rsidRPr="004E4188">
          <w:rPr>
            <w:rStyle w:val="af1"/>
            <w:lang w:val="fr-FR"/>
          </w:rPr>
          <w:t>26.</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Procédures d’éclaircissements</w:t>
        </w:r>
        <w:r w:rsidR="00292254" w:rsidRPr="004E4188">
          <w:rPr>
            <w:webHidden/>
          </w:rPr>
          <w:tab/>
        </w:r>
        <w:r w:rsidR="00292254" w:rsidRPr="004E4188">
          <w:rPr>
            <w:webHidden/>
          </w:rPr>
          <w:fldChar w:fldCharType="begin"/>
        </w:r>
        <w:r w:rsidR="00292254" w:rsidRPr="004E4188">
          <w:rPr>
            <w:webHidden/>
          </w:rPr>
          <w:instrText xml:space="preserve"> PAGEREF _Toc104195587 \h </w:instrText>
        </w:r>
        <w:r w:rsidR="00292254" w:rsidRPr="004E4188">
          <w:rPr>
            <w:webHidden/>
          </w:rPr>
        </w:r>
        <w:r w:rsidR="00292254" w:rsidRPr="004E4188">
          <w:rPr>
            <w:webHidden/>
          </w:rPr>
          <w:fldChar w:fldCharType="separate"/>
        </w:r>
        <w:r w:rsidR="0048496E">
          <w:rPr>
            <w:webHidden/>
          </w:rPr>
          <w:t>22</w:t>
        </w:r>
        <w:r w:rsidR="00292254" w:rsidRPr="004E4188">
          <w:rPr>
            <w:webHidden/>
          </w:rPr>
          <w:fldChar w:fldCharType="end"/>
        </w:r>
      </w:hyperlink>
    </w:p>
    <w:p w14:paraId="062742CF" w14:textId="58E43B77" w:rsidR="00292254"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4195588" w:history="1">
        <w:r w:rsidR="00292254" w:rsidRPr="004E4188">
          <w:rPr>
            <w:rStyle w:val="af1"/>
            <w:lang w:val="fr-FR"/>
          </w:rPr>
          <w:t>27.</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Invitation à soumettre l’offre de la deuxième étape</w:t>
        </w:r>
        <w:r w:rsidR="00292254" w:rsidRPr="004E4188">
          <w:rPr>
            <w:webHidden/>
          </w:rPr>
          <w:tab/>
        </w:r>
        <w:r w:rsidR="00292254" w:rsidRPr="004E4188">
          <w:rPr>
            <w:webHidden/>
          </w:rPr>
          <w:fldChar w:fldCharType="begin"/>
        </w:r>
        <w:r w:rsidR="00292254" w:rsidRPr="004E4188">
          <w:rPr>
            <w:webHidden/>
          </w:rPr>
          <w:instrText xml:space="preserve"> PAGEREF _Toc104195588 \h </w:instrText>
        </w:r>
        <w:r w:rsidR="00292254" w:rsidRPr="004E4188">
          <w:rPr>
            <w:webHidden/>
          </w:rPr>
        </w:r>
        <w:r w:rsidR="00292254" w:rsidRPr="004E4188">
          <w:rPr>
            <w:webHidden/>
          </w:rPr>
          <w:fldChar w:fldCharType="separate"/>
        </w:r>
        <w:r w:rsidR="0048496E">
          <w:rPr>
            <w:webHidden/>
          </w:rPr>
          <w:t>22</w:t>
        </w:r>
        <w:r w:rsidR="00292254" w:rsidRPr="004E4188">
          <w:rPr>
            <w:webHidden/>
          </w:rPr>
          <w:fldChar w:fldCharType="end"/>
        </w:r>
      </w:hyperlink>
    </w:p>
    <w:p w14:paraId="2B3AC436" w14:textId="574BB808" w:rsidR="00292254" w:rsidRPr="004E4188" w:rsidRDefault="00000000">
      <w:pPr>
        <w:pStyle w:val="12"/>
        <w:rPr>
          <w:rFonts w:asciiTheme="minorHAnsi" w:eastAsiaTheme="minorEastAsia" w:hAnsiTheme="minorHAnsi" w:cstheme="minorBidi"/>
          <w:b w:val="0"/>
          <w:noProof/>
          <w:kern w:val="2"/>
          <w:sz w:val="21"/>
          <w:szCs w:val="22"/>
          <w:lang w:eastAsia="ja-JP"/>
        </w:rPr>
      </w:pPr>
      <w:hyperlink w:anchor="_Toc104195589" w:history="1">
        <w:r w:rsidR="00292254" w:rsidRPr="004E4188">
          <w:rPr>
            <w:rStyle w:val="af1"/>
            <w:noProof/>
          </w:rPr>
          <w:t>E1.</w:t>
        </w:r>
        <w:r w:rsidR="00292254" w:rsidRPr="004E4188">
          <w:rPr>
            <w:rStyle w:val="af1"/>
            <w:noProof/>
            <w:lang w:eastAsia="ja-JP"/>
          </w:rPr>
          <w:t xml:space="preserve"> </w:t>
        </w:r>
        <w:r w:rsidR="00292254" w:rsidRPr="004E4188">
          <w:rPr>
            <w:rStyle w:val="af1"/>
            <w:noProof/>
          </w:rPr>
          <w:t>Offres de la deuxième étape : préparation</w:t>
        </w:r>
        <w:r w:rsidR="00292254" w:rsidRPr="004E4188">
          <w:rPr>
            <w:noProof/>
            <w:webHidden/>
          </w:rPr>
          <w:tab/>
        </w:r>
        <w:r w:rsidR="00292254" w:rsidRPr="004E4188">
          <w:rPr>
            <w:noProof/>
            <w:webHidden/>
          </w:rPr>
          <w:fldChar w:fldCharType="begin"/>
        </w:r>
        <w:r w:rsidR="00292254" w:rsidRPr="004E4188">
          <w:rPr>
            <w:noProof/>
            <w:webHidden/>
          </w:rPr>
          <w:instrText xml:space="preserve"> PAGEREF _Toc104195589 \h </w:instrText>
        </w:r>
        <w:r w:rsidR="00292254" w:rsidRPr="004E4188">
          <w:rPr>
            <w:noProof/>
            <w:webHidden/>
          </w:rPr>
        </w:r>
        <w:r w:rsidR="00292254" w:rsidRPr="004E4188">
          <w:rPr>
            <w:noProof/>
            <w:webHidden/>
          </w:rPr>
          <w:fldChar w:fldCharType="separate"/>
        </w:r>
        <w:r w:rsidR="0048496E">
          <w:rPr>
            <w:noProof/>
            <w:webHidden/>
          </w:rPr>
          <w:t>23</w:t>
        </w:r>
        <w:r w:rsidR="00292254" w:rsidRPr="004E4188">
          <w:rPr>
            <w:noProof/>
            <w:webHidden/>
          </w:rPr>
          <w:fldChar w:fldCharType="end"/>
        </w:r>
      </w:hyperlink>
    </w:p>
    <w:p w14:paraId="08860A43" w14:textId="401D70A0"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90" w:history="1">
        <w:r w:rsidR="00292254" w:rsidRPr="004E4188">
          <w:rPr>
            <w:rStyle w:val="af1"/>
            <w:lang w:val="fr-FR"/>
          </w:rPr>
          <w:t>28.</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Documents constitutifs de l’offre de la deuxième étape</w:t>
        </w:r>
        <w:r w:rsidR="00292254" w:rsidRPr="004E4188">
          <w:rPr>
            <w:webHidden/>
          </w:rPr>
          <w:tab/>
        </w:r>
        <w:r w:rsidR="00292254" w:rsidRPr="004E4188">
          <w:rPr>
            <w:webHidden/>
          </w:rPr>
          <w:fldChar w:fldCharType="begin"/>
        </w:r>
        <w:r w:rsidR="00292254" w:rsidRPr="004E4188">
          <w:rPr>
            <w:webHidden/>
          </w:rPr>
          <w:instrText xml:space="preserve"> PAGEREF _Toc104195590 \h </w:instrText>
        </w:r>
        <w:r w:rsidR="00292254" w:rsidRPr="004E4188">
          <w:rPr>
            <w:webHidden/>
          </w:rPr>
        </w:r>
        <w:r w:rsidR="00292254" w:rsidRPr="004E4188">
          <w:rPr>
            <w:webHidden/>
          </w:rPr>
          <w:fldChar w:fldCharType="separate"/>
        </w:r>
        <w:r w:rsidR="0048496E">
          <w:rPr>
            <w:webHidden/>
          </w:rPr>
          <w:t>23</w:t>
        </w:r>
        <w:r w:rsidR="00292254" w:rsidRPr="004E4188">
          <w:rPr>
            <w:webHidden/>
          </w:rPr>
          <w:fldChar w:fldCharType="end"/>
        </w:r>
      </w:hyperlink>
    </w:p>
    <w:p w14:paraId="19445A20" w14:textId="11C86B5F"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91" w:history="1">
        <w:r w:rsidR="00292254" w:rsidRPr="004E4188">
          <w:rPr>
            <w:rStyle w:val="af1"/>
            <w:lang w:val="fr-FR"/>
          </w:rPr>
          <w:t>29.</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 xml:space="preserve">Lettre de soumission de l’offre de </w:t>
        </w:r>
        <w:r w:rsidR="002E1D74" w:rsidRPr="004E4188">
          <w:rPr>
            <w:rStyle w:val="af1"/>
            <w:lang w:val="fr-FR"/>
          </w:rPr>
          <w:t xml:space="preserve">la </w:t>
        </w:r>
        <w:r w:rsidR="00292254" w:rsidRPr="004E4188">
          <w:rPr>
            <w:rStyle w:val="af1"/>
            <w:lang w:val="fr-FR"/>
          </w:rPr>
          <w:t xml:space="preserve">deuxième étape et </w:t>
        </w:r>
        <w:r w:rsidR="002E1D74" w:rsidRPr="004E4188">
          <w:rPr>
            <w:lang w:val="fr-FR"/>
          </w:rPr>
          <w:t>Bordereaux</w:t>
        </w:r>
        <w:r w:rsidR="00292254" w:rsidRPr="004E4188">
          <w:rPr>
            <w:webHidden/>
          </w:rPr>
          <w:tab/>
        </w:r>
        <w:r w:rsidR="00292254" w:rsidRPr="004E4188">
          <w:rPr>
            <w:webHidden/>
          </w:rPr>
          <w:fldChar w:fldCharType="begin"/>
        </w:r>
        <w:r w:rsidR="00292254" w:rsidRPr="004E4188">
          <w:rPr>
            <w:webHidden/>
          </w:rPr>
          <w:instrText xml:space="preserve"> PAGEREF _Toc104195591 \h </w:instrText>
        </w:r>
        <w:r w:rsidR="00292254" w:rsidRPr="004E4188">
          <w:rPr>
            <w:webHidden/>
          </w:rPr>
        </w:r>
        <w:r w:rsidR="00292254" w:rsidRPr="004E4188">
          <w:rPr>
            <w:webHidden/>
          </w:rPr>
          <w:fldChar w:fldCharType="separate"/>
        </w:r>
        <w:r w:rsidR="0048496E">
          <w:rPr>
            <w:webHidden/>
          </w:rPr>
          <w:t>25</w:t>
        </w:r>
        <w:r w:rsidR="00292254" w:rsidRPr="004E4188">
          <w:rPr>
            <w:webHidden/>
          </w:rPr>
          <w:fldChar w:fldCharType="end"/>
        </w:r>
      </w:hyperlink>
    </w:p>
    <w:p w14:paraId="6E42306D" w14:textId="368E490C"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92" w:history="1">
        <w:r w:rsidR="00292254" w:rsidRPr="004E4188">
          <w:rPr>
            <w:rStyle w:val="af1"/>
            <w:lang w:val="fr-FR"/>
          </w:rPr>
          <w:t>30.</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Prix de l’offre et rabais</w:t>
        </w:r>
        <w:r w:rsidR="00292254" w:rsidRPr="004E4188">
          <w:rPr>
            <w:webHidden/>
          </w:rPr>
          <w:tab/>
        </w:r>
        <w:r w:rsidR="00292254" w:rsidRPr="004E4188">
          <w:rPr>
            <w:webHidden/>
          </w:rPr>
          <w:fldChar w:fldCharType="begin"/>
        </w:r>
        <w:r w:rsidR="00292254" w:rsidRPr="004E4188">
          <w:rPr>
            <w:webHidden/>
          </w:rPr>
          <w:instrText xml:space="preserve"> PAGEREF _Toc104195592 \h </w:instrText>
        </w:r>
        <w:r w:rsidR="00292254" w:rsidRPr="004E4188">
          <w:rPr>
            <w:webHidden/>
          </w:rPr>
        </w:r>
        <w:r w:rsidR="00292254" w:rsidRPr="004E4188">
          <w:rPr>
            <w:webHidden/>
          </w:rPr>
          <w:fldChar w:fldCharType="separate"/>
        </w:r>
        <w:r w:rsidR="0048496E">
          <w:rPr>
            <w:webHidden/>
          </w:rPr>
          <w:t>25</w:t>
        </w:r>
        <w:r w:rsidR="00292254" w:rsidRPr="004E4188">
          <w:rPr>
            <w:webHidden/>
          </w:rPr>
          <w:fldChar w:fldCharType="end"/>
        </w:r>
      </w:hyperlink>
    </w:p>
    <w:p w14:paraId="7C48A547" w14:textId="74119BEC"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93" w:history="1">
        <w:r w:rsidR="00292254" w:rsidRPr="004E4188">
          <w:rPr>
            <w:rStyle w:val="af1"/>
            <w:lang w:val="fr-FR"/>
          </w:rPr>
          <w:t>31.</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Monnaies de l’offre et de règlement</w:t>
        </w:r>
        <w:r w:rsidR="00292254" w:rsidRPr="004E4188">
          <w:rPr>
            <w:webHidden/>
          </w:rPr>
          <w:tab/>
        </w:r>
        <w:r w:rsidR="00292254" w:rsidRPr="004E4188">
          <w:rPr>
            <w:webHidden/>
          </w:rPr>
          <w:fldChar w:fldCharType="begin"/>
        </w:r>
        <w:r w:rsidR="00292254" w:rsidRPr="004E4188">
          <w:rPr>
            <w:webHidden/>
          </w:rPr>
          <w:instrText xml:space="preserve"> PAGEREF _Toc104195593 \h </w:instrText>
        </w:r>
        <w:r w:rsidR="00292254" w:rsidRPr="004E4188">
          <w:rPr>
            <w:webHidden/>
          </w:rPr>
        </w:r>
        <w:r w:rsidR="00292254" w:rsidRPr="004E4188">
          <w:rPr>
            <w:webHidden/>
          </w:rPr>
          <w:fldChar w:fldCharType="separate"/>
        </w:r>
        <w:r w:rsidR="0048496E">
          <w:rPr>
            <w:webHidden/>
          </w:rPr>
          <w:t>27</w:t>
        </w:r>
        <w:r w:rsidR="00292254" w:rsidRPr="004E4188">
          <w:rPr>
            <w:webHidden/>
          </w:rPr>
          <w:fldChar w:fldCharType="end"/>
        </w:r>
      </w:hyperlink>
    </w:p>
    <w:p w14:paraId="09F9935A" w14:textId="6D5FA120"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94" w:history="1">
        <w:r w:rsidR="00292254" w:rsidRPr="004E4188">
          <w:rPr>
            <w:rStyle w:val="af1"/>
            <w:lang w:val="fr-FR"/>
          </w:rPr>
          <w:t>32.</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Période de validité des offres</w:t>
        </w:r>
        <w:r w:rsidR="00556D19" w:rsidRPr="004E4188">
          <w:rPr>
            <w:rStyle w:val="af1"/>
            <w:lang w:val="fr-FR"/>
          </w:rPr>
          <w:t xml:space="preserve"> de la deuxième étape</w:t>
        </w:r>
        <w:r w:rsidR="00292254" w:rsidRPr="004E4188">
          <w:rPr>
            <w:webHidden/>
          </w:rPr>
          <w:tab/>
        </w:r>
        <w:r w:rsidR="00292254" w:rsidRPr="004E4188">
          <w:rPr>
            <w:webHidden/>
          </w:rPr>
          <w:fldChar w:fldCharType="begin"/>
        </w:r>
        <w:r w:rsidR="00292254" w:rsidRPr="004E4188">
          <w:rPr>
            <w:webHidden/>
          </w:rPr>
          <w:instrText xml:space="preserve"> PAGEREF _Toc104195594 \h </w:instrText>
        </w:r>
        <w:r w:rsidR="00292254" w:rsidRPr="004E4188">
          <w:rPr>
            <w:webHidden/>
          </w:rPr>
        </w:r>
        <w:r w:rsidR="00292254" w:rsidRPr="004E4188">
          <w:rPr>
            <w:webHidden/>
          </w:rPr>
          <w:fldChar w:fldCharType="separate"/>
        </w:r>
        <w:r w:rsidR="0048496E">
          <w:rPr>
            <w:webHidden/>
          </w:rPr>
          <w:t>28</w:t>
        </w:r>
        <w:r w:rsidR="00292254" w:rsidRPr="004E4188">
          <w:rPr>
            <w:webHidden/>
          </w:rPr>
          <w:fldChar w:fldCharType="end"/>
        </w:r>
      </w:hyperlink>
    </w:p>
    <w:p w14:paraId="46968F3B" w14:textId="2B5939FA"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95" w:history="1">
        <w:r w:rsidR="00292254" w:rsidRPr="004E4188">
          <w:rPr>
            <w:rStyle w:val="af1"/>
            <w:lang w:val="fr-FR"/>
          </w:rPr>
          <w:t>33.</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Garantie de soumission</w:t>
        </w:r>
        <w:r w:rsidR="00292254" w:rsidRPr="004E4188">
          <w:rPr>
            <w:webHidden/>
          </w:rPr>
          <w:tab/>
        </w:r>
        <w:r w:rsidR="00292254" w:rsidRPr="004E4188">
          <w:rPr>
            <w:webHidden/>
          </w:rPr>
          <w:fldChar w:fldCharType="begin"/>
        </w:r>
        <w:r w:rsidR="00292254" w:rsidRPr="004E4188">
          <w:rPr>
            <w:webHidden/>
          </w:rPr>
          <w:instrText xml:space="preserve"> PAGEREF _Toc104195595 \h </w:instrText>
        </w:r>
        <w:r w:rsidR="00292254" w:rsidRPr="004E4188">
          <w:rPr>
            <w:webHidden/>
          </w:rPr>
        </w:r>
        <w:r w:rsidR="00292254" w:rsidRPr="004E4188">
          <w:rPr>
            <w:webHidden/>
          </w:rPr>
          <w:fldChar w:fldCharType="separate"/>
        </w:r>
        <w:r w:rsidR="0048496E">
          <w:rPr>
            <w:webHidden/>
          </w:rPr>
          <w:t>28</w:t>
        </w:r>
        <w:r w:rsidR="00292254" w:rsidRPr="004E4188">
          <w:rPr>
            <w:webHidden/>
          </w:rPr>
          <w:fldChar w:fldCharType="end"/>
        </w:r>
      </w:hyperlink>
    </w:p>
    <w:p w14:paraId="1901925E" w14:textId="61732CF5" w:rsidR="00292254"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4195596" w:history="1">
        <w:r w:rsidR="00292254" w:rsidRPr="004E4188">
          <w:rPr>
            <w:rStyle w:val="af1"/>
            <w:lang w:val="fr-FR"/>
          </w:rPr>
          <w:t>34.</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Forme et signature de l’offre de la deuxième étape</w:t>
        </w:r>
        <w:r w:rsidR="00292254" w:rsidRPr="004E4188">
          <w:rPr>
            <w:webHidden/>
          </w:rPr>
          <w:tab/>
        </w:r>
        <w:r w:rsidR="00292254" w:rsidRPr="004E4188">
          <w:rPr>
            <w:webHidden/>
          </w:rPr>
          <w:fldChar w:fldCharType="begin"/>
        </w:r>
        <w:r w:rsidR="00292254" w:rsidRPr="004E4188">
          <w:rPr>
            <w:webHidden/>
          </w:rPr>
          <w:instrText xml:space="preserve"> PAGEREF _Toc104195596 \h </w:instrText>
        </w:r>
        <w:r w:rsidR="00292254" w:rsidRPr="004E4188">
          <w:rPr>
            <w:webHidden/>
          </w:rPr>
        </w:r>
        <w:r w:rsidR="00292254" w:rsidRPr="004E4188">
          <w:rPr>
            <w:webHidden/>
          </w:rPr>
          <w:fldChar w:fldCharType="separate"/>
        </w:r>
        <w:r w:rsidR="0048496E">
          <w:rPr>
            <w:webHidden/>
          </w:rPr>
          <w:t>30</w:t>
        </w:r>
        <w:r w:rsidR="00292254" w:rsidRPr="004E4188">
          <w:rPr>
            <w:webHidden/>
          </w:rPr>
          <w:fldChar w:fldCharType="end"/>
        </w:r>
      </w:hyperlink>
    </w:p>
    <w:p w14:paraId="6C58E202" w14:textId="367AEC03" w:rsidR="00292254" w:rsidRPr="004E4188" w:rsidRDefault="00000000">
      <w:pPr>
        <w:pStyle w:val="12"/>
        <w:rPr>
          <w:rFonts w:asciiTheme="minorHAnsi" w:eastAsiaTheme="minorEastAsia" w:hAnsiTheme="minorHAnsi" w:cstheme="minorBidi"/>
          <w:b w:val="0"/>
          <w:noProof/>
          <w:kern w:val="2"/>
          <w:sz w:val="21"/>
          <w:szCs w:val="22"/>
          <w:lang w:eastAsia="ja-JP"/>
        </w:rPr>
      </w:pPr>
      <w:hyperlink w:anchor="_Toc104195597" w:history="1">
        <w:r w:rsidR="00292254" w:rsidRPr="004E4188">
          <w:rPr>
            <w:rStyle w:val="af1"/>
            <w:noProof/>
            <w:lang w:eastAsia="ja-JP"/>
          </w:rPr>
          <w:t>E2. Offres de la deuxième étape : remise et ouverture</w:t>
        </w:r>
        <w:r w:rsidR="00292254" w:rsidRPr="004E4188">
          <w:rPr>
            <w:noProof/>
            <w:webHidden/>
          </w:rPr>
          <w:tab/>
        </w:r>
        <w:r w:rsidR="00292254" w:rsidRPr="004E4188">
          <w:rPr>
            <w:noProof/>
            <w:webHidden/>
          </w:rPr>
          <w:fldChar w:fldCharType="begin"/>
        </w:r>
        <w:r w:rsidR="00292254" w:rsidRPr="004E4188">
          <w:rPr>
            <w:noProof/>
            <w:webHidden/>
          </w:rPr>
          <w:instrText xml:space="preserve"> PAGEREF _Toc104195597 \h </w:instrText>
        </w:r>
        <w:r w:rsidR="00292254" w:rsidRPr="004E4188">
          <w:rPr>
            <w:noProof/>
            <w:webHidden/>
          </w:rPr>
        </w:r>
        <w:r w:rsidR="00292254" w:rsidRPr="004E4188">
          <w:rPr>
            <w:noProof/>
            <w:webHidden/>
          </w:rPr>
          <w:fldChar w:fldCharType="separate"/>
        </w:r>
        <w:r w:rsidR="0048496E">
          <w:rPr>
            <w:noProof/>
            <w:webHidden/>
          </w:rPr>
          <w:t>31</w:t>
        </w:r>
        <w:r w:rsidR="00292254" w:rsidRPr="004E4188">
          <w:rPr>
            <w:noProof/>
            <w:webHidden/>
          </w:rPr>
          <w:fldChar w:fldCharType="end"/>
        </w:r>
      </w:hyperlink>
    </w:p>
    <w:p w14:paraId="28E359F8" w14:textId="025D0C07"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98" w:history="1">
        <w:r w:rsidR="00292254" w:rsidRPr="004E4188">
          <w:rPr>
            <w:rStyle w:val="af1"/>
            <w:lang w:val="fr-FR"/>
          </w:rPr>
          <w:t>35.</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Cachetage et marquage des offres de la deuxième étape</w:t>
        </w:r>
        <w:r w:rsidR="00292254" w:rsidRPr="004E4188">
          <w:rPr>
            <w:webHidden/>
          </w:rPr>
          <w:tab/>
        </w:r>
        <w:r w:rsidR="00292254" w:rsidRPr="004E4188">
          <w:rPr>
            <w:webHidden/>
          </w:rPr>
          <w:fldChar w:fldCharType="begin"/>
        </w:r>
        <w:r w:rsidR="00292254" w:rsidRPr="004E4188">
          <w:rPr>
            <w:webHidden/>
          </w:rPr>
          <w:instrText xml:space="preserve"> PAGEREF _Toc104195598 \h </w:instrText>
        </w:r>
        <w:r w:rsidR="00292254" w:rsidRPr="004E4188">
          <w:rPr>
            <w:webHidden/>
          </w:rPr>
        </w:r>
        <w:r w:rsidR="00292254" w:rsidRPr="004E4188">
          <w:rPr>
            <w:webHidden/>
          </w:rPr>
          <w:fldChar w:fldCharType="separate"/>
        </w:r>
        <w:r w:rsidR="0048496E">
          <w:rPr>
            <w:webHidden/>
          </w:rPr>
          <w:t>31</w:t>
        </w:r>
        <w:r w:rsidR="00292254" w:rsidRPr="004E4188">
          <w:rPr>
            <w:webHidden/>
          </w:rPr>
          <w:fldChar w:fldCharType="end"/>
        </w:r>
      </w:hyperlink>
    </w:p>
    <w:p w14:paraId="34FF40A8" w14:textId="77D33BE1"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599" w:history="1">
        <w:r w:rsidR="00292254" w:rsidRPr="004E4188">
          <w:rPr>
            <w:rStyle w:val="af1"/>
            <w:lang w:val="fr-FR"/>
          </w:rPr>
          <w:t>36.</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Date limite de remise des offres de la deuxième étape</w:t>
        </w:r>
        <w:r w:rsidR="00292254" w:rsidRPr="004E4188">
          <w:rPr>
            <w:webHidden/>
          </w:rPr>
          <w:tab/>
        </w:r>
        <w:r w:rsidR="00292254" w:rsidRPr="004E4188">
          <w:rPr>
            <w:webHidden/>
          </w:rPr>
          <w:fldChar w:fldCharType="begin"/>
        </w:r>
        <w:r w:rsidR="00292254" w:rsidRPr="004E4188">
          <w:rPr>
            <w:webHidden/>
          </w:rPr>
          <w:instrText xml:space="preserve"> PAGEREF _Toc104195599 \h </w:instrText>
        </w:r>
        <w:r w:rsidR="00292254" w:rsidRPr="004E4188">
          <w:rPr>
            <w:webHidden/>
          </w:rPr>
        </w:r>
        <w:r w:rsidR="00292254" w:rsidRPr="004E4188">
          <w:rPr>
            <w:webHidden/>
          </w:rPr>
          <w:fldChar w:fldCharType="separate"/>
        </w:r>
        <w:r w:rsidR="0048496E">
          <w:rPr>
            <w:webHidden/>
          </w:rPr>
          <w:t>31</w:t>
        </w:r>
        <w:r w:rsidR="00292254" w:rsidRPr="004E4188">
          <w:rPr>
            <w:webHidden/>
          </w:rPr>
          <w:fldChar w:fldCharType="end"/>
        </w:r>
      </w:hyperlink>
    </w:p>
    <w:p w14:paraId="3F604466" w14:textId="75C4886B"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600" w:history="1">
        <w:r w:rsidR="00292254" w:rsidRPr="004E4188">
          <w:rPr>
            <w:rStyle w:val="af1"/>
            <w:lang w:val="fr-FR"/>
          </w:rPr>
          <w:t>37.</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Offres hors délai</w:t>
        </w:r>
        <w:r w:rsidR="00292254" w:rsidRPr="004E4188">
          <w:rPr>
            <w:webHidden/>
          </w:rPr>
          <w:tab/>
        </w:r>
        <w:r w:rsidR="00292254" w:rsidRPr="004E4188">
          <w:rPr>
            <w:webHidden/>
          </w:rPr>
          <w:fldChar w:fldCharType="begin"/>
        </w:r>
        <w:r w:rsidR="00292254" w:rsidRPr="004E4188">
          <w:rPr>
            <w:webHidden/>
          </w:rPr>
          <w:instrText xml:space="preserve"> PAGEREF _Toc104195600 \h </w:instrText>
        </w:r>
        <w:r w:rsidR="00292254" w:rsidRPr="004E4188">
          <w:rPr>
            <w:webHidden/>
          </w:rPr>
        </w:r>
        <w:r w:rsidR="00292254" w:rsidRPr="004E4188">
          <w:rPr>
            <w:webHidden/>
          </w:rPr>
          <w:fldChar w:fldCharType="separate"/>
        </w:r>
        <w:r w:rsidR="0048496E">
          <w:rPr>
            <w:webHidden/>
          </w:rPr>
          <w:t>32</w:t>
        </w:r>
        <w:r w:rsidR="00292254" w:rsidRPr="004E4188">
          <w:rPr>
            <w:webHidden/>
          </w:rPr>
          <w:fldChar w:fldCharType="end"/>
        </w:r>
      </w:hyperlink>
    </w:p>
    <w:p w14:paraId="6B2CCEF3" w14:textId="48449EB5"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601" w:history="1">
        <w:r w:rsidR="00292254" w:rsidRPr="004E4188">
          <w:rPr>
            <w:rStyle w:val="af1"/>
            <w:lang w:val="fr-FR"/>
          </w:rPr>
          <w:t>38.</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Retrait, substitution et modification des offres de la deuxième étape</w:t>
        </w:r>
        <w:r w:rsidR="00292254" w:rsidRPr="004E4188">
          <w:rPr>
            <w:webHidden/>
          </w:rPr>
          <w:tab/>
        </w:r>
        <w:r w:rsidR="00292254" w:rsidRPr="004E4188">
          <w:rPr>
            <w:webHidden/>
          </w:rPr>
          <w:fldChar w:fldCharType="begin"/>
        </w:r>
        <w:r w:rsidR="00292254" w:rsidRPr="004E4188">
          <w:rPr>
            <w:webHidden/>
          </w:rPr>
          <w:instrText xml:space="preserve"> PAGEREF _Toc104195601 \h </w:instrText>
        </w:r>
        <w:r w:rsidR="00292254" w:rsidRPr="004E4188">
          <w:rPr>
            <w:webHidden/>
          </w:rPr>
        </w:r>
        <w:r w:rsidR="00292254" w:rsidRPr="004E4188">
          <w:rPr>
            <w:webHidden/>
          </w:rPr>
          <w:fldChar w:fldCharType="separate"/>
        </w:r>
        <w:r w:rsidR="0048496E">
          <w:rPr>
            <w:webHidden/>
          </w:rPr>
          <w:t>32</w:t>
        </w:r>
        <w:r w:rsidR="00292254" w:rsidRPr="004E4188">
          <w:rPr>
            <w:webHidden/>
          </w:rPr>
          <w:fldChar w:fldCharType="end"/>
        </w:r>
      </w:hyperlink>
    </w:p>
    <w:p w14:paraId="310C2E93" w14:textId="2DE915A1" w:rsidR="00292254"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4195602" w:history="1">
        <w:r w:rsidR="00292254" w:rsidRPr="004E4188">
          <w:rPr>
            <w:rStyle w:val="af1"/>
            <w:lang w:val="fr-FR"/>
          </w:rPr>
          <w:t>39.</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 xml:space="preserve">Ouverture des offres </w:t>
        </w:r>
        <w:r w:rsidR="00292254" w:rsidRPr="004E4188">
          <w:rPr>
            <w:rStyle w:val="af1"/>
            <w:spacing w:val="-4"/>
            <w:lang w:val="fr-FR"/>
          </w:rPr>
          <w:t>de la deuxième étape</w:t>
        </w:r>
        <w:r w:rsidR="00292254" w:rsidRPr="004E4188">
          <w:rPr>
            <w:webHidden/>
          </w:rPr>
          <w:tab/>
        </w:r>
        <w:r w:rsidR="00292254" w:rsidRPr="004E4188">
          <w:rPr>
            <w:webHidden/>
          </w:rPr>
          <w:fldChar w:fldCharType="begin"/>
        </w:r>
        <w:r w:rsidR="00292254" w:rsidRPr="004E4188">
          <w:rPr>
            <w:webHidden/>
          </w:rPr>
          <w:instrText xml:space="preserve"> PAGEREF _Toc104195602 \h </w:instrText>
        </w:r>
        <w:r w:rsidR="00292254" w:rsidRPr="004E4188">
          <w:rPr>
            <w:webHidden/>
          </w:rPr>
        </w:r>
        <w:r w:rsidR="00292254" w:rsidRPr="004E4188">
          <w:rPr>
            <w:webHidden/>
          </w:rPr>
          <w:fldChar w:fldCharType="separate"/>
        </w:r>
        <w:r w:rsidR="0048496E">
          <w:rPr>
            <w:webHidden/>
          </w:rPr>
          <w:t>32</w:t>
        </w:r>
        <w:r w:rsidR="00292254" w:rsidRPr="004E4188">
          <w:rPr>
            <w:webHidden/>
          </w:rPr>
          <w:fldChar w:fldCharType="end"/>
        </w:r>
      </w:hyperlink>
    </w:p>
    <w:p w14:paraId="3B637F44" w14:textId="3C808138" w:rsidR="00292254" w:rsidRPr="004E4188" w:rsidRDefault="00000000">
      <w:pPr>
        <w:pStyle w:val="12"/>
        <w:rPr>
          <w:rFonts w:asciiTheme="minorHAnsi" w:eastAsiaTheme="minorEastAsia" w:hAnsiTheme="minorHAnsi" w:cstheme="minorBidi"/>
          <w:b w:val="0"/>
          <w:noProof/>
          <w:kern w:val="2"/>
          <w:sz w:val="21"/>
          <w:szCs w:val="22"/>
          <w:lang w:eastAsia="ja-JP"/>
        </w:rPr>
      </w:pPr>
      <w:hyperlink w:anchor="_Toc104195603" w:history="1">
        <w:r w:rsidR="00292254" w:rsidRPr="004E4188">
          <w:rPr>
            <w:rStyle w:val="af1"/>
            <w:noProof/>
          </w:rPr>
          <w:t>E3. Offres de la deuxième étape : évaluation et comparaison</w:t>
        </w:r>
        <w:r w:rsidR="00292254" w:rsidRPr="004E4188">
          <w:rPr>
            <w:noProof/>
            <w:webHidden/>
          </w:rPr>
          <w:tab/>
        </w:r>
        <w:r w:rsidR="00292254" w:rsidRPr="004E4188">
          <w:rPr>
            <w:noProof/>
            <w:webHidden/>
          </w:rPr>
          <w:fldChar w:fldCharType="begin"/>
        </w:r>
        <w:r w:rsidR="00292254" w:rsidRPr="004E4188">
          <w:rPr>
            <w:noProof/>
            <w:webHidden/>
          </w:rPr>
          <w:instrText xml:space="preserve"> PAGEREF _Toc104195603 \h </w:instrText>
        </w:r>
        <w:r w:rsidR="00292254" w:rsidRPr="004E4188">
          <w:rPr>
            <w:noProof/>
            <w:webHidden/>
          </w:rPr>
        </w:r>
        <w:r w:rsidR="00292254" w:rsidRPr="004E4188">
          <w:rPr>
            <w:noProof/>
            <w:webHidden/>
          </w:rPr>
          <w:fldChar w:fldCharType="separate"/>
        </w:r>
        <w:r w:rsidR="0048496E">
          <w:rPr>
            <w:noProof/>
            <w:webHidden/>
          </w:rPr>
          <w:t>34</w:t>
        </w:r>
        <w:r w:rsidR="00292254" w:rsidRPr="004E4188">
          <w:rPr>
            <w:noProof/>
            <w:webHidden/>
          </w:rPr>
          <w:fldChar w:fldCharType="end"/>
        </w:r>
      </w:hyperlink>
    </w:p>
    <w:p w14:paraId="73162094" w14:textId="378F1258"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604" w:history="1">
        <w:r w:rsidR="00292254" w:rsidRPr="004E4188">
          <w:rPr>
            <w:rStyle w:val="af1"/>
            <w:lang w:val="fr-FR"/>
          </w:rPr>
          <w:t>40.</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Éclaircissements des offres de la deuxième étape</w:t>
        </w:r>
        <w:r w:rsidR="00292254" w:rsidRPr="004E4188">
          <w:rPr>
            <w:webHidden/>
          </w:rPr>
          <w:tab/>
        </w:r>
        <w:r w:rsidR="00292254" w:rsidRPr="004E4188">
          <w:rPr>
            <w:webHidden/>
          </w:rPr>
          <w:fldChar w:fldCharType="begin"/>
        </w:r>
        <w:r w:rsidR="00292254" w:rsidRPr="004E4188">
          <w:rPr>
            <w:webHidden/>
          </w:rPr>
          <w:instrText xml:space="preserve"> PAGEREF _Toc104195604 \h </w:instrText>
        </w:r>
        <w:r w:rsidR="00292254" w:rsidRPr="004E4188">
          <w:rPr>
            <w:webHidden/>
          </w:rPr>
        </w:r>
        <w:r w:rsidR="00292254" w:rsidRPr="004E4188">
          <w:rPr>
            <w:webHidden/>
          </w:rPr>
          <w:fldChar w:fldCharType="separate"/>
        </w:r>
        <w:r w:rsidR="0048496E">
          <w:rPr>
            <w:webHidden/>
          </w:rPr>
          <w:t>34</w:t>
        </w:r>
        <w:r w:rsidR="00292254" w:rsidRPr="004E4188">
          <w:rPr>
            <w:webHidden/>
          </w:rPr>
          <w:fldChar w:fldCharType="end"/>
        </w:r>
      </w:hyperlink>
    </w:p>
    <w:p w14:paraId="32ECB58B" w14:textId="7B85812C"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605" w:history="1">
        <w:r w:rsidR="00292254" w:rsidRPr="004E4188">
          <w:rPr>
            <w:rStyle w:val="af1"/>
            <w:lang w:val="fr-FR"/>
          </w:rPr>
          <w:t>41.</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Divergences, réserves ou omissions</w:t>
        </w:r>
        <w:r w:rsidR="00292254" w:rsidRPr="004E4188">
          <w:rPr>
            <w:webHidden/>
          </w:rPr>
          <w:tab/>
        </w:r>
        <w:r w:rsidR="00292254" w:rsidRPr="004E4188">
          <w:rPr>
            <w:webHidden/>
          </w:rPr>
          <w:fldChar w:fldCharType="begin"/>
        </w:r>
        <w:r w:rsidR="00292254" w:rsidRPr="004E4188">
          <w:rPr>
            <w:webHidden/>
          </w:rPr>
          <w:instrText xml:space="preserve"> PAGEREF _Toc104195605 \h </w:instrText>
        </w:r>
        <w:r w:rsidR="00292254" w:rsidRPr="004E4188">
          <w:rPr>
            <w:webHidden/>
          </w:rPr>
        </w:r>
        <w:r w:rsidR="00292254" w:rsidRPr="004E4188">
          <w:rPr>
            <w:webHidden/>
          </w:rPr>
          <w:fldChar w:fldCharType="separate"/>
        </w:r>
        <w:r w:rsidR="0048496E">
          <w:rPr>
            <w:webHidden/>
          </w:rPr>
          <w:t>35</w:t>
        </w:r>
        <w:r w:rsidR="00292254" w:rsidRPr="004E4188">
          <w:rPr>
            <w:webHidden/>
          </w:rPr>
          <w:fldChar w:fldCharType="end"/>
        </w:r>
      </w:hyperlink>
    </w:p>
    <w:p w14:paraId="3DFD5F00" w14:textId="26A04F4A"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606" w:history="1">
        <w:r w:rsidR="00292254" w:rsidRPr="004E4188">
          <w:rPr>
            <w:rStyle w:val="af1"/>
            <w:lang w:val="fr-FR"/>
          </w:rPr>
          <w:t>42.</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Examen préliminaire des offres de la deuxième étape</w:t>
        </w:r>
        <w:r w:rsidR="00292254" w:rsidRPr="004E4188">
          <w:rPr>
            <w:webHidden/>
          </w:rPr>
          <w:tab/>
        </w:r>
        <w:r w:rsidR="00292254" w:rsidRPr="004E4188">
          <w:rPr>
            <w:webHidden/>
          </w:rPr>
          <w:fldChar w:fldCharType="begin"/>
        </w:r>
        <w:r w:rsidR="00292254" w:rsidRPr="004E4188">
          <w:rPr>
            <w:webHidden/>
          </w:rPr>
          <w:instrText xml:space="preserve"> PAGEREF _Toc104195606 \h </w:instrText>
        </w:r>
        <w:r w:rsidR="00292254" w:rsidRPr="004E4188">
          <w:rPr>
            <w:webHidden/>
          </w:rPr>
        </w:r>
        <w:r w:rsidR="00292254" w:rsidRPr="004E4188">
          <w:rPr>
            <w:webHidden/>
          </w:rPr>
          <w:fldChar w:fldCharType="separate"/>
        </w:r>
        <w:r w:rsidR="0048496E">
          <w:rPr>
            <w:webHidden/>
          </w:rPr>
          <w:t>35</w:t>
        </w:r>
        <w:r w:rsidR="00292254" w:rsidRPr="004E4188">
          <w:rPr>
            <w:webHidden/>
          </w:rPr>
          <w:fldChar w:fldCharType="end"/>
        </w:r>
      </w:hyperlink>
    </w:p>
    <w:p w14:paraId="3C32641C" w14:textId="1DE8762F" w:rsidR="00292254" w:rsidRPr="004E4188" w:rsidRDefault="00000000" w:rsidP="00310A08">
      <w:pPr>
        <w:pStyle w:val="21"/>
        <w:spacing w:after="0"/>
        <w:ind w:left="934"/>
        <w:rPr>
          <w:rFonts w:asciiTheme="minorHAnsi" w:eastAsiaTheme="minorEastAsia" w:hAnsiTheme="minorHAnsi" w:cstheme="minorBidi"/>
          <w:kern w:val="2"/>
          <w:sz w:val="21"/>
          <w:szCs w:val="22"/>
          <w:lang w:eastAsia="ja-JP"/>
        </w:rPr>
      </w:pPr>
      <w:hyperlink w:anchor="_Toc104195607" w:history="1">
        <w:r w:rsidR="00292254" w:rsidRPr="004E4188">
          <w:rPr>
            <w:rStyle w:val="af1"/>
            <w:lang w:val="fr-FR"/>
          </w:rPr>
          <w:t>43.</w:t>
        </w:r>
        <w:r w:rsidR="00262A45" w:rsidRPr="004E4188">
          <w:t xml:space="preserve"> </w:t>
        </w:r>
        <w:r w:rsidR="00262A45" w:rsidRPr="004E4188">
          <w:rPr>
            <w:rStyle w:val="af1"/>
            <w:lang w:val="fr-FR"/>
          </w:rPr>
          <w:tab/>
        </w:r>
        <w:r w:rsidR="00292254" w:rsidRPr="004E4188">
          <w:rPr>
            <w:rStyle w:val="af1"/>
            <w:lang w:val="en-GB"/>
          </w:rPr>
          <w:t>Q</w:t>
        </w:r>
        <w:r w:rsidR="00292254" w:rsidRPr="004E4188">
          <w:rPr>
            <w:rStyle w:val="af1"/>
            <w:lang w:val="fr-FR"/>
          </w:rPr>
          <w:t>ualification des Soumissionnaires</w:t>
        </w:r>
        <w:r w:rsidR="00292254" w:rsidRPr="004E4188">
          <w:rPr>
            <w:webHidden/>
          </w:rPr>
          <w:tab/>
        </w:r>
        <w:r w:rsidR="00292254" w:rsidRPr="004E4188">
          <w:rPr>
            <w:webHidden/>
          </w:rPr>
          <w:fldChar w:fldCharType="begin"/>
        </w:r>
        <w:r w:rsidR="00292254" w:rsidRPr="004E4188">
          <w:rPr>
            <w:webHidden/>
          </w:rPr>
          <w:instrText xml:space="preserve"> PAGEREF _Toc104195607 \h </w:instrText>
        </w:r>
        <w:r w:rsidR="00292254" w:rsidRPr="004E4188">
          <w:rPr>
            <w:webHidden/>
          </w:rPr>
        </w:r>
        <w:r w:rsidR="00292254" w:rsidRPr="004E4188">
          <w:rPr>
            <w:webHidden/>
          </w:rPr>
          <w:fldChar w:fldCharType="separate"/>
        </w:r>
        <w:r w:rsidR="0048496E">
          <w:rPr>
            <w:webHidden/>
          </w:rPr>
          <w:t>35</w:t>
        </w:r>
        <w:r w:rsidR="00292254" w:rsidRPr="004E4188">
          <w:rPr>
            <w:webHidden/>
          </w:rPr>
          <w:fldChar w:fldCharType="end"/>
        </w:r>
      </w:hyperlink>
    </w:p>
    <w:p w14:paraId="7437493B" w14:textId="090FA641"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608" w:history="1">
        <w:r w:rsidR="00292254" w:rsidRPr="004E4188">
          <w:rPr>
            <w:rStyle w:val="af1"/>
            <w:lang w:val="fr-FR"/>
          </w:rPr>
          <w:t>44.</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Conformité de l’offre de la deuxième étape</w:t>
        </w:r>
        <w:r w:rsidR="00292254" w:rsidRPr="004E4188">
          <w:rPr>
            <w:webHidden/>
          </w:rPr>
          <w:tab/>
        </w:r>
        <w:r w:rsidR="00292254" w:rsidRPr="004E4188">
          <w:rPr>
            <w:webHidden/>
          </w:rPr>
          <w:fldChar w:fldCharType="begin"/>
        </w:r>
        <w:r w:rsidR="00292254" w:rsidRPr="004E4188">
          <w:rPr>
            <w:webHidden/>
          </w:rPr>
          <w:instrText xml:space="preserve"> PAGEREF _Toc104195608 \h </w:instrText>
        </w:r>
        <w:r w:rsidR="00292254" w:rsidRPr="004E4188">
          <w:rPr>
            <w:webHidden/>
          </w:rPr>
        </w:r>
        <w:r w:rsidR="00292254" w:rsidRPr="004E4188">
          <w:rPr>
            <w:webHidden/>
          </w:rPr>
          <w:fldChar w:fldCharType="separate"/>
        </w:r>
        <w:r w:rsidR="0048496E">
          <w:rPr>
            <w:webHidden/>
          </w:rPr>
          <w:t>36</w:t>
        </w:r>
        <w:r w:rsidR="00292254" w:rsidRPr="004E4188">
          <w:rPr>
            <w:webHidden/>
          </w:rPr>
          <w:fldChar w:fldCharType="end"/>
        </w:r>
      </w:hyperlink>
    </w:p>
    <w:p w14:paraId="08014C15" w14:textId="4B78AB2A"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609" w:history="1">
        <w:r w:rsidR="00292254" w:rsidRPr="004E4188">
          <w:rPr>
            <w:rStyle w:val="af1"/>
            <w:lang w:val="fr-FR"/>
          </w:rPr>
          <w:t>45.</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Non-conformités non essentielles</w:t>
        </w:r>
        <w:r w:rsidR="00292254" w:rsidRPr="004E4188">
          <w:rPr>
            <w:webHidden/>
          </w:rPr>
          <w:tab/>
        </w:r>
        <w:r w:rsidR="00292254" w:rsidRPr="004E4188">
          <w:rPr>
            <w:webHidden/>
          </w:rPr>
          <w:fldChar w:fldCharType="begin"/>
        </w:r>
        <w:r w:rsidR="00292254" w:rsidRPr="004E4188">
          <w:rPr>
            <w:webHidden/>
          </w:rPr>
          <w:instrText xml:space="preserve"> PAGEREF _Toc104195609 \h </w:instrText>
        </w:r>
        <w:r w:rsidR="00292254" w:rsidRPr="004E4188">
          <w:rPr>
            <w:webHidden/>
          </w:rPr>
        </w:r>
        <w:r w:rsidR="00292254" w:rsidRPr="004E4188">
          <w:rPr>
            <w:webHidden/>
          </w:rPr>
          <w:fldChar w:fldCharType="separate"/>
        </w:r>
        <w:r w:rsidR="0048496E">
          <w:rPr>
            <w:webHidden/>
          </w:rPr>
          <w:t>37</w:t>
        </w:r>
        <w:r w:rsidR="00292254" w:rsidRPr="004E4188">
          <w:rPr>
            <w:webHidden/>
          </w:rPr>
          <w:fldChar w:fldCharType="end"/>
        </w:r>
      </w:hyperlink>
    </w:p>
    <w:p w14:paraId="34D0679E" w14:textId="37F2E890"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610" w:history="1">
        <w:r w:rsidR="00292254" w:rsidRPr="004E4188">
          <w:rPr>
            <w:rStyle w:val="af1"/>
            <w:lang w:val="fr-FR"/>
          </w:rPr>
          <w:t>46.</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Correction des erreurs arithmétiques</w:t>
        </w:r>
        <w:r w:rsidR="00292254" w:rsidRPr="004E4188">
          <w:rPr>
            <w:webHidden/>
          </w:rPr>
          <w:tab/>
        </w:r>
        <w:r w:rsidR="00292254" w:rsidRPr="004E4188">
          <w:rPr>
            <w:webHidden/>
          </w:rPr>
          <w:fldChar w:fldCharType="begin"/>
        </w:r>
        <w:r w:rsidR="00292254" w:rsidRPr="004E4188">
          <w:rPr>
            <w:webHidden/>
          </w:rPr>
          <w:instrText xml:space="preserve"> PAGEREF _Toc104195610 \h </w:instrText>
        </w:r>
        <w:r w:rsidR="00292254" w:rsidRPr="004E4188">
          <w:rPr>
            <w:webHidden/>
          </w:rPr>
        </w:r>
        <w:r w:rsidR="00292254" w:rsidRPr="004E4188">
          <w:rPr>
            <w:webHidden/>
          </w:rPr>
          <w:fldChar w:fldCharType="separate"/>
        </w:r>
        <w:r w:rsidR="0048496E">
          <w:rPr>
            <w:webHidden/>
          </w:rPr>
          <w:t>38</w:t>
        </w:r>
        <w:r w:rsidR="00292254" w:rsidRPr="004E4188">
          <w:rPr>
            <w:webHidden/>
          </w:rPr>
          <w:fldChar w:fldCharType="end"/>
        </w:r>
      </w:hyperlink>
    </w:p>
    <w:p w14:paraId="3A23F5C3" w14:textId="6B70644A"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611" w:history="1">
        <w:r w:rsidR="00292254" w:rsidRPr="004E4188">
          <w:rPr>
            <w:rStyle w:val="af1"/>
            <w:lang w:val="fr-FR"/>
          </w:rPr>
          <w:t>47.</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Conversion en une seule monnaie</w:t>
        </w:r>
        <w:r w:rsidR="00292254" w:rsidRPr="004E4188">
          <w:rPr>
            <w:webHidden/>
          </w:rPr>
          <w:tab/>
        </w:r>
        <w:r w:rsidR="00292254" w:rsidRPr="004E4188">
          <w:rPr>
            <w:webHidden/>
          </w:rPr>
          <w:fldChar w:fldCharType="begin"/>
        </w:r>
        <w:r w:rsidR="00292254" w:rsidRPr="004E4188">
          <w:rPr>
            <w:webHidden/>
          </w:rPr>
          <w:instrText xml:space="preserve"> PAGEREF _Toc104195611 \h </w:instrText>
        </w:r>
        <w:r w:rsidR="00292254" w:rsidRPr="004E4188">
          <w:rPr>
            <w:webHidden/>
          </w:rPr>
        </w:r>
        <w:r w:rsidR="00292254" w:rsidRPr="004E4188">
          <w:rPr>
            <w:webHidden/>
          </w:rPr>
          <w:fldChar w:fldCharType="separate"/>
        </w:r>
        <w:r w:rsidR="0048496E">
          <w:rPr>
            <w:webHidden/>
          </w:rPr>
          <w:t>38</w:t>
        </w:r>
        <w:r w:rsidR="00292254" w:rsidRPr="004E4188">
          <w:rPr>
            <w:webHidden/>
          </w:rPr>
          <w:fldChar w:fldCharType="end"/>
        </w:r>
      </w:hyperlink>
    </w:p>
    <w:p w14:paraId="1097F9C2" w14:textId="75251591"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612" w:history="1">
        <w:r w:rsidR="00292254" w:rsidRPr="004E4188">
          <w:rPr>
            <w:rStyle w:val="af1"/>
          </w:rPr>
          <w:t>48.</w:t>
        </w:r>
        <w:r w:rsidR="00292254" w:rsidRPr="004E4188">
          <w:rPr>
            <w:rFonts w:asciiTheme="minorHAnsi" w:eastAsiaTheme="minorEastAsia" w:hAnsiTheme="minorHAnsi" w:cstheme="minorBidi"/>
            <w:kern w:val="2"/>
            <w:sz w:val="21"/>
            <w:szCs w:val="22"/>
            <w:lang w:eastAsia="ja-JP"/>
          </w:rPr>
          <w:tab/>
        </w:r>
        <w:r w:rsidR="00292254" w:rsidRPr="004E4188">
          <w:rPr>
            <w:rStyle w:val="af1"/>
          </w:rPr>
          <w:t>Évaluation financières des offres de la deuxième étape</w:t>
        </w:r>
        <w:r w:rsidR="00292254" w:rsidRPr="004E4188">
          <w:rPr>
            <w:webHidden/>
          </w:rPr>
          <w:tab/>
        </w:r>
        <w:r w:rsidR="00292254" w:rsidRPr="004E4188">
          <w:rPr>
            <w:webHidden/>
          </w:rPr>
          <w:fldChar w:fldCharType="begin"/>
        </w:r>
        <w:r w:rsidR="00292254" w:rsidRPr="004E4188">
          <w:rPr>
            <w:webHidden/>
          </w:rPr>
          <w:instrText xml:space="preserve"> PAGEREF _Toc104195612 \h </w:instrText>
        </w:r>
        <w:r w:rsidR="00292254" w:rsidRPr="004E4188">
          <w:rPr>
            <w:webHidden/>
          </w:rPr>
        </w:r>
        <w:r w:rsidR="00292254" w:rsidRPr="004E4188">
          <w:rPr>
            <w:webHidden/>
          </w:rPr>
          <w:fldChar w:fldCharType="separate"/>
        </w:r>
        <w:r w:rsidR="0048496E">
          <w:rPr>
            <w:webHidden/>
          </w:rPr>
          <w:t>38</w:t>
        </w:r>
        <w:r w:rsidR="00292254" w:rsidRPr="004E4188">
          <w:rPr>
            <w:webHidden/>
          </w:rPr>
          <w:fldChar w:fldCharType="end"/>
        </w:r>
      </w:hyperlink>
    </w:p>
    <w:p w14:paraId="315538A1" w14:textId="22D8C624"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613" w:history="1">
        <w:r w:rsidR="00292254" w:rsidRPr="004E4188">
          <w:rPr>
            <w:rStyle w:val="af1"/>
            <w:lang w:val="fr-FR"/>
          </w:rPr>
          <w:t>49.</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Comparaison des offres</w:t>
        </w:r>
        <w:r w:rsidR="00292254" w:rsidRPr="004E4188">
          <w:rPr>
            <w:webHidden/>
          </w:rPr>
          <w:tab/>
        </w:r>
        <w:r w:rsidR="00292254" w:rsidRPr="004E4188">
          <w:rPr>
            <w:webHidden/>
          </w:rPr>
          <w:fldChar w:fldCharType="begin"/>
        </w:r>
        <w:r w:rsidR="00292254" w:rsidRPr="004E4188">
          <w:rPr>
            <w:webHidden/>
          </w:rPr>
          <w:instrText xml:space="preserve"> PAGEREF _Toc104195613 \h </w:instrText>
        </w:r>
        <w:r w:rsidR="00292254" w:rsidRPr="004E4188">
          <w:rPr>
            <w:webHidden/>
          </w:rPr>
        </w:r>
        <w:r w:rsidR="00292254" w:rsidRPr="004E4188">
          <w:rPr>
            <w:webHidden/>
          </w:rPr>
          <w:fldChar w:fldCharType="separate"/>
        </w:r>
        <w:r w:rsidR="0048496E">
          <w:rPr>
            <w:webHidden/>
          </w:rPr>
          <w:t>39</w:t>
        </w:r>
        <w:r w:rsidR="00292254" w:rsidRPr="004E4188">
          <w:rPr>
            <w:webHidden/>
          </w:rPr>
          <w:fldChar w:fldCharType="end"/>
        </w:r>
      </w:hyperlink>
    </w:p>
    <w:p w14:paraId="2D6A5853" w14:textId="4446BD7C" w:rsidR="00292254" w:rsidRPr="004E4188"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4195614" w:history="1">
        <w:r w:rsidR="00292254" w:rsidRPr="004E4188">
          <w:rPr>
            <w:rStyle w:val="af1"/>
            <w:lang w:val="fr-FR"/>
          </w:rPr>
          <w:t>50.</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Droit du Maître d’ouvrage d’accepter l’une quelconque des offres et de rejeter une ou toutes les offres</w:t>
        </w:r>
        <w:r w:rsidR="00292254" w:rsidRPr="004E4188">
          <w:rPr>
            <w:webHidden/>
          </w:rPr>
          <w:tab/>
        </w:r>
        <w:r w:rsidR="00292254" w:rsidRPr="004E4188">
          <w:rPr>
            <w:webHidden/>
          </w:rPr>
          <w:fldChar w:fldCharType="begin"/>
        </w:r>
        <w:r w:rsidR="00292254" w:rsidRPr="004E4188">
          <w:rPr>
            <w:webHidden/>
          </w:rPr>
          <w:instrText xml:space="preserve"> PAGEREF _Toc104195614 \h </w:instrText>
        </w:r>
        <w:r w:rsidR="00292254" w:rsidRPr="004E4188">
          <w:rPr>
            <w:webHidden/>
          </w:rPr>
        </w:r>
        <w:r w:rsidR="00292254" w:rsidRPr="004E4188">
          <w:rPr>
            <w:webHidden/>
          </w:rPr>
          <w:fldChar w:fldCharType="separate"/>
        </w:r>
        <w:r w:rsidR="0048496E">
          <w:rPr>
            <w:webHidden/>
          </w:rPr>
          <w:t>40</w:t>
        </w:r>
        <w:r w:rsidR="00292254" w:rsidRPr="004E4188">
          <w:rPr>
            <w:webHidden/>
          </w:rPr>
          <w:fldChar w:fldCharType="end"/>
        </w:r>
      </w:hyperlink>
    </w:p>
    <w:p w14:paraId="63CB27D7" w14:textId="79B05DBC" w:rsidR="00292254" w:rsidRPr="004E4188" w:rsidRDefault="00000000">
      <w:pPr>
        <w:pStyle w:val="12"/>
        <w:rPr>
          <w:rFonts w:asciiTheme="minorHAnsi" w:eastAsiaTheme="minorEastAsia" w:hAnsiTheme="minorHAnsi" w:cstheme="minorBidi"/>
          <w:b w:val="0"/>
          <w:noProof/>
          <w:kern w:val="2"/>
          <w:sz w:val="21"/>
          <w:szCs w:val="22"/>
          <w:lang w:eastAsia="ja-JP"/>
        </w:rPr>
      </w:pPr>
      <w:hyperlink w:anchor="_Toc104195615" w:history="1">
        <w:r w:rsidR="00292254" w:rsidRPr="004E4188">
          <w:rPr>
            <w:rStyle w:val="af1"/>
            <w:noProof/>
          </w:rPr>
          <w:t>F. Attribution du Marché</w:t>
        </w:r>
        <w:r w:rsidR="00292254" w:rsidRPr="004E4188">
          <w:rPr>
            <w:noProof/>
            <w:webHidden/>
          </w:rPr>
          <w:tab/>
        </w:r>
        <w:r w:rsidR="00292254" w:rsidRPr="004E4188">
          <w:rPr>
            <w:noProof/>
            <w:webHidden/>
          </w:rPr>
          <w:fldChar w:fldCharType="begin"/>
        </w:r>
        <w:r w:rsidR="00292254" w:rsidRPr="004E4188">
          <w:rPr>
            <w:noProof/>
            <w:webHidden/>
          </w:rPr>
          <w:instrText xml:space="preserve"> PAGEREF _Toc104195615 \h </w:instrText>
        </w:r>
        <w:r w:rsidR="00292254" w:rsidRPr="004E4188">
          <w:rPr>
            <w:noProof/>
            <w:webHidden/>
          </w:rPr>
        </w:r>
        <w:r w:rsidR="00292254" w:rsidRPr="004E4188">
          <w:rPr>
            <w:noProof/>
            <w:webHidden/>
          </w:rPr>
          <w:fldChar w:fldCharType="separate"/>
        </w:r>
        <w:r w:rsidR="0048496E">
          <w:rPr>
            <w:noProof/>
            <w:webHidden/>
          </w:rPr>
          <w:t>40</w:t>
        </w:r>
        <w:r w:rsidR="00292254" w:rsidRPr="004E4188">
          <w:rPr>
            <w:noProof/>
            <w:webHidden/>
          </w:rPr>
          <w:fldChar w:fldCharType="end"/>
        </w:r>
      </w:hyperlink>
    </w:p>
    <w:p w14:paraId="03C44C16" w14:textId="38070986"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616" w:history="1">
        <w:r w:rsidR="00292254" w:rsidRPr="004E4188">
          <w:rPr>
            <w:rStyle w:val="af1"/>
            <w:lang w:val="fr-FR"/>
          </w:rPr>
          <w:t>51.</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Critères d’attribution</w:t>
        </w:r>
        <w:r w:rsidR="00292254" w:rsidRPr="004E4188">
          <w:rPr>
            <w:webHidden/>
          </w:rPr>
          <w:tab/>
        </w:r>
        <w:r w:rsidR="00292254" w:rsidRPr="004E4188">
          <w:rPr>
            <w:webHidden/>
          </w:rPr>
          <w:fldChar w:fldCharType="begin"/>
        </w:r>
        <w:r w:rsidR="00292254" w:rsidRPr="004E4188">
          <w:rPr>
            <w:webHidden/>
          </w:rPr>
          <w:instrText xml:space="preserve"> PAGEREF _Toc104195616 \h </w:instrText>
        </w:r>
        <w:r w:rsidR="00292254" w:rsidRPr="004E4188">
          <w:rPr>
            <w:webHidden/>
          </w:rPr>
        </w:r>
        <w:r w:rsidR="00292254" w:rsidRPr="004E4188">
          <w:rPr>
            <w:webHidden/>
          </w:rPr>
          <w:fldChar w:fldCharType="separate"/>
        </w:r>
        <w:r w:rsidR="0048496E">
          <w:rPr>
            <w:webHidden/>
          </w:rPr>
          <w:t>40</w:t>
        </w:r>
        <w:r w:rsidR="00292254" w:rsidRPr="004E4188">
          <w:rPr>
            <w:webHidden/>
          </w:rPr>
          <w:fldChar w:fldCharType="end"/>
        </w:r>
      </w:hyperlink>
    </w:p>
    <w:p w14:paraId="1CA78777" w14:textId="3FDB43E2"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617" w:history="1">
        <w:r w:rsidR="00292254" w:rsidRPr="004E4188">
          <w:rPr>
            <w:rStyle w:val="af1"/>
            <w:lang w:val="fr-FR"/>
          </w:rPr>
          <w:t>52.</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Notification de l’attribution du Marché</w:t>
        </w:r>
        <w:r w:rsidR="00292254" w:rsidRPr="004E4188">
          <w:rPr>
            <w:webHidden/>
          </w:rPr>
          <w:tab/>
        </w:r>
        <w:r w:rsidR="00292254" w:rsidRPr="004E4188">
          <w:rPr>
            <w:webHidden/>
          </w:rPr>
          <w:fldChar w:fldCharType="begin"/>
        </w:r>
        <w:r w:rsidR="00292254" w:rsidRPr="004E4188">
          <w:rPr>
            <w:webHidden/>
          </w:rPr>
          <w:instrText xml:space="preserve"> PAGEREF _Toc104195617 \h </w:instrText>
        </w:r>
        <w:r w:rsidR="00292254" w:rsidRPr="004E4188">
          <w:rPr>
            <w:webHidden/>
          </w:rPr>
        </w:r>
        <w:r w:rsidR="00292254" w:rsidRPr="004E4188">
          <w:rPr>
            <w:webHidden/>
          </w:rPr>
          <w:fldChar w:fldCharType="separate"/>
        </w:r>
        <w:r w:rsidR="0048496E">
          <w:rPr>
            <w:webHidden/>
          </w:rPr>
          <w:t>40</w:t>
        </w:r>
        <w:r w:rsidR="00292254" w:rsidRPr="004E4188">
          <w:rPr>
            <w:webHidden/>
          </w:rPr>
          <w:fldChar w:fldCharType="end"/>
        </w:r>
      </w:hyperlink>
    </w:p>
    <w:p w14:paraId="62049ECB" w14:textId="6D4DB587"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618" w:history="1">
        <w:r w:rsidR="00292254" w:rsidRPr="004E4188">
          <w:rPr>
            <w:rStyle w:val="af1"/>
            <w:lang w:val="fr-FR"/>
          </w:rPr>
          <w:t>53.</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Signature du Marché</w:t>
        </w:r>
        <w:r w:rsidR="00292254" w:rsidRPr="004E4188">
          <w:rPr>
            <w:webHidden/>
          </w:rPr>
          <w:tab/>
        </w:r>
        <w:r w:rsidR="00292254" w:rsidRPr="004E4188">
          <w:rPr>
            <w:webHidden/>
          </w:rPr>
          <w:fldChar w:fldCharType="begin"/>
        </w:r>
        <w:r w:rsidR="00292254" w:rsidRPr="004E4188">
          <w:rPr>
            <w:webHidden/>
          </w:rPr>
          <w:instrText xml:space="preserve"> PAGEREF _Toc104195618 \h </w:instrText>
        </w:r>
        <w:r w:rsidR="00292254" w:rsidRPr="004E4188">
          <w:rPr>
            <w:webHidden/>
          </w:rPr>
        </w:r>
        <w:r w:rsidR="00292254" w:rsidRPr="004E4188">
          <w:rPr>
            <w:webHidden/>
          </w:rPr>
          <w:fldChar w:fldCharType="separate"/>
        </w:r>
        <w:r w:rsidR="0048496E">
          <w:rPr>
            <w:webHidden/>
          </w:rPr>
          <w:t>41</w:t>
        </w:r>
        <w:r w:rsidR="00292254" w:rsidRPr="004E4188">
          <w:rPr>
            <w:webHidden/>
          </w:rPr>
          <w:fldChar w:fldCharType="end"/>
        </w:r>
      </w:hyperlink>
    </w:p>
    <w:p w14:paraId="664CC549" w14:textId="1C13E229" w:rsidR="00292254" w:rsidRPr="004E4188" w:rsidRDefault="00000000" w:rsidP="00310A08">
      <w:pPr>
        <w:pStyle w:val="21"/>
        <w:tabs>
          <w:tab w:val="left" w:pos="1021"/>
        </w:tabs>
        <w:spacing w:after="0"/>
        <w:ind w:left="934"/>
        <w:rPr>
          <w:rFonts w:asciiTheme="minorHAnsi" w:eastAsiaTheme="minorEastAsia" w:hAnsiTheme="minorHAnsi" w:cstheme="minorBidi"/>
          <w:kern w:val="2"/>
          <w:sz w:val="21"/>
          <w:szCs w:val="22"/>
          <w:lang w:eastAsia="ja-JP"/>
        </w:rPr>
      </w:pPr>
      <w:hyperlink w:anchor="_Toc104195619" w:history="1">
        <w:r w:rsidR="00292254" w:rsidRPr="004E4188">
          <w:rPr>
            <w:rStyle w:val="af1"/>
            <w:lang w:val="fr-FR"/>
          </w:rPr>
          <w:t>54.</w:t>
        </w:r>
        <w:r w:rsidR="00292254" w:rsidRPr="004E4188">
          <w:rPr>
            <w:rFonts w:asciiTheme="minorHAnsi" w:eastAsiaTheme="minorEastAsia" w:hAnsiTheme="minorHAnsi" w:cstheme="minorBidi"/>
            <w:kern w:val="2"/>
            <w:sz w:val="21"/>
            <w:szCs w:val="22"/>
            <w:lang w:eastAsia="ja-JP"/>
          </w:rPr>
          <w:tab/>
        </w:r>
        <w:r w:rsidR="00292254" w:rsidRPr="004E4188">
          <w:rPr>
            <w:rStyle w:val="af1"/>
            <w:lang w:val="fr-FR"/>
          </w:rPr>
          <w:t>Garantie de bonne exécution</w:t>
        </w:r>
        <w:r w:rsidR="00292254" w:rsidRPr="004E4188">
          <w:rPr>
            <w:webHidden/>
          </w:rPr>
          <w:tab/>
        </w:r>
        <w:r w:rsidR="00292254" w:rsidRPr="004E4188">
          <w:rPr>
            <w:webHidden/>
          </w:rPr>
          <w:fldChar w:fldCharType="begin"/>
        </w:r>
        <w:r w:rsidR="00292254" w:rsidRPr="004E4188">
          <w:rPr>
            <w:webHidden/>
          </w:rPr>
          <w:instrText xml:space="preserve"> PAGEREF _Toc104195619 \h </w:instrText>
        </w:r>
        <w:r w:rsidR="00292254" w:rsidRPr="004E4188">
          <w:rPr>
            <w:webHidden/>
          </w:rPr>
        </w:r>
        <w:r w:rsidR="00292254" w:rsidRPr="004E4188">
          <w:rPr>
            <w:webHidden/>
          </w:rPr>
          <w:fldChar w:fldCharType="separate"/>
        </w:r>
        <w:r w:rsidR="0048496E">
          <w:rPr>
            <w:webHidden/>
          </w:rPr>
          <w:t>41</w:t>
        </w:r>
        <w:r w:rsidR="00292254" w:rsidRPr="004E4188">
          <w:rPr>
            <w:webHidden/>
          </w:rPr>
          <w:fldChar w:fldCharType="end"/>
        </w:r>
      </w:hyperlink>
    </w:p>
    <w:p w14:paraId="2A395ECF" w14:textId="195C5FEE" w:rsidR="00292254" w:rsidRPr="004E4188" w:rsidRDefault="00000000">
      <w:pPr>
        <w:pStyle w:val="21"/>
        <w:ind w:left="934"/>
        <w:rPr>
          <w:rFonts w:asciiTheme="minorHAnsi" w:eastAsiaTheme="minorEastAsia" w:hAnsiTheme="minorHAnsi" w:cstheme="minorBidi"/>
          <w:kern w:val="2"/>
          <w:sz w:val="21"/>
          <w:szCs w:val="22"/>
          <w:lang w:eastAsia="ja-JP"/>
        </w:rPr>
      </w:pPr>
      <w:hyperlink w:anchor="_Toc104195620" w:history="1">
        <w:r w:rsidR="00292254" w:rsidRPr="004E4188">
          <w:rPr>
            <w:rStyle w:val="af1"/>
            <w:lang w:val="fr-FR" w:eastAsia="ja-JP"/>
          </w:rPr>
          <w:t>55.</w:t>
        </w:r>
        <w:r w:rsidR="00292254" w:rsidRPr="004E4188">
          <w:rPr>
            <w:rStyle w:val="af1"/>
            <w:lang w:val="fr-FR" w:eastAsia="ja-JP"/>
          </w:rPr>
          <w:tab/>
        </w:r>
        <w:r w:rsidR="00292254" w:rsidRPr="004E4188">
          <w:rPr>
            <w:rStyle w:val="af1"/>
            <w:lang w:val="fr-FR"/>
          </w:rPr>
          <w:t xml:space="preserve">Notification aux Soumissionnaires non retenus et </w:t>
        </w:r>
        <w:r w:rsidR="00292254" w:rsidRPr="004E4188">
          <w:rPr>
            <w:rStyle w:val="af1"/>
            <w:lang w:val="fr-FR" w:eastAsia="ja-JP"/>
          </w:rPr>
          <w:t>compte-rendu</w:t>
        </w:r>
        <w:r w:rsidR="00292254" w:rsidRPr="004E4188">
          <w:rPr>
            <w:webHidden/>
          </w:rPr>
          <w:tab/>
        </w:r>
        <w:r w:rsidR="00292254" w:rsidRPr="004E4188">
          <w:rPr>
            <w:webHidden/>
          </w:rPr>
          <w:fldChar w:fldCharType="begin"/>
        </w:r>
        <w:r w:rsidR="00292254" w:rsidRPr="004E4188">
          <w:rPr>
            <w:webHidden/>
          </w:rPr>
          <w:instrText xml:space="preserve"> PAGEREF _Toc104195620 \h </w:instrText>
        </w:r>
        <w:r w:rsidR="00292254" w:rsidRPr="004E4188">
          <w:rPr>
            <w:webHidden/>
          </w:rPr>
        </w:r>
        <w:r w:rsidR="00292254" w:rsidRPr="004E4188">
          <w:rPr>
            <w:webHidden/>
          </w:rPr>
          <w:fldChar w:fldCharType="separate"/>
        </w:r>
        <w:r w:rsidR="0048496E">
          <w:rPr>
            <w:webHidden/>
          </w:rPr>
          <w:t>42</w:t>
        </w:r>
        <w:r w:rsidR="00292254" w:rsidRPr="004E4188">
          <w:rPr>
            <w:webHidden/>
          </w:rPr>
          <w:fldChar w:fldCharType="end"/>
        </w:r>
      </w:hyperlink>
    </w:p>
    <w:p w14:paraId="771B9F44" w14:textId="77777777" w:rsidR="007049A5" w:rsidRPr="004E4188" w:rsidRDefault="007049A5" w:rsidP="00FD6784">
      <w:pPr>
        <w:pStyle w:val="Outline"/>
        <w:spacing w:before="0"/>
        <w:rPr>
          <w:kern w:val="0"/>
        </w:rPr>
      </w:pPr>
      <w:r w:rsidRPr="004E4188">
        <w:fldChar w:fldCharType="end"/>
      </w:r>
    </w:p>
    <w:p w14:paraId="79B9EEA8" w14:textId="77777777" w:rsidR="007049A5" w:rsidRPr="004E4188" w:rsidRDefault="007049A5" w:rsidP="00FD6784">
      <w:r w:rsidRPr="004E4188">
        <w:br w:type="page"/>
      </w:r>
      <w:bookmarkStart w:id="365" w:name="IS_OPTIONB"/>
    </w:p>
    <w:tbl>
      <w:tblPr>
        <w:tblW w:w="9296" w:type="dxa"/>
        <w:tblLayout w:type="fixed"/>
        <w:tblLook w:val="0000" w:firstRow="0" w:lastRow="0" w:firstColumn="0" w:lastColumn="0" w:noHBand="0" w:noVBand="0"/>
      </w:tblPr>
      <w:tblGrid>
        <w:gridCol w:w="2273"/>
        <w:gridCol w:w="7023"/>
      </w:tblGrid>
      <w:tr w:rsidR="007049A5" w:rsidRPr="004E4188" w14:paraId="6CFF9AC6" w14:textId="77777777" w:rsidTr="0092765E">
        <w:trPr>
          <w:trHeight w:val="567"/>
        </w:trPr>
        <w:tc>
          <w:tcPr>
            <w:tcW w:w="9291" w:type="dxa"/>
            <w:gridSpan w:val="2"/>
            <w:tcBorders>
              <w:top w:val="nil"/>
              <w:left w:val="nil"/>
              <w:bottom w:val="nil"/>
              <w:right w:val="nil"/>
            </w:tcBorders>
          </w:tcPr>
          <w:p w14:paraId="0CC141A2" w14:textId="77777777" w:rsidR="007049A5" w:rsidRPr="004E4188" w:rsidRDefault="007049A5" w:rsidP="005B0414">
            <w:pPr>
              <w:pStyle w:val="Section1Header1"/>
            </w:pPr>
            <w:bookmarkStart w:id="366" w:name="_Toc104195556"/>
            <w:r w:rsidRPr="004E4188">
              <w:t>A. Généralités</w:t>
            </w:r>
            <w:bookmarkEnd w:id="366"/>
          </w:p>
        </w:tc>
      </w:tr>
      <w:tr w:rsidR="007049A5" w:rsidRPr="004E4188" w14:paraId="2A9A8336" w14:textId="77777777" w:rsidTr="0092765E">
        <w:tc>
          <w:tcPr>
            <w:tcW w:w="2268" w:type="dxa"/>
            <w:tcBorders>
              <w:top w:val="nil"/>
              <w:left w:val="nil"/>
              <w:bottom w:val="nil"/>
              <w:right w:val="nil"/>
            </w:tcBorders>
          </w:tcPr>
          <w:p w14:paraId="24E17D3E" w14:textId="4E45543B" w:rsidR="007049A5" w:rsidRPr="004E4188" w:rsidRDefault="007049A5" w:rsidP="0092765E">
            <w:pPr>
              <w:pStyle w:val="Header1-Clauses"/>
              <w:tabs>
                <w:tab w:val="left" w:leader="dot" w:pos="9000"/>
              </w:tabs>
              <w:ind w:left="357" w:right="113" w:hanging="357"/>
              <w:rPr>
                <w:lang w:val="fr-FR"/>
              </w:rPr>
            </w:pPr>
            <w:bookmarkStart w:id="367" w:name="_Toc104195557"/>
            <w:r w:rsidRPr="004E4188">
              <w:rPr>
                <w:lang w:val="fr-FR"/>
              </w:rPr>
              <w:t>1.</w:t>
            </w:r>
            <w:r w:rsidRPr="004E4188">
              <w:rPr>
                <w:lang w:val="fr-FR"/>
              </w:rPr>
              <w:tab/>
              <w:t>Objet du Marché</w:t>
            </w:r>
            <w:bookmarkEnd w:id="367"/>
          </w:p>
        </w:tc>
        <w:tc>
          <w:tcPr>
            <w:tcW w:w="7023" w:type="dxa"/>
            <w:tcBorders>
              <w:top w:val="nil"/>
              <w:left w:val="nil"/>
              <w:bottom w:val="nil"/>
              <w:right w:val="nil"/>
            </w:tcBorders>
          </w:tcPr>
          <w:p w14:paraId="798E68CB" w14:textId="5DAFCC09" w:rsidR="007049A5" w:rsidRPr="004E4188" w:rsidRDefault="007049A5" w:rsidP="005B0414">
            <w:pPr>
              <w:pStyle w:val="Header2-SubClauses"/>
              <w:tabs>
                <w:tab w:val="clear" w:pos="619"/>
              </w:tabs>
              <w:ind w:left="601" w:hanging="601"/>
              <w:rPr>
                <w:lang w:val="fr-FR"/>
              </w:rPr>
            </w:pPr>
            <w:r w:rsidRPr="004E4188">
              <w:rPr>
                <w:lang w:val="fr-FR"/>
              </w:rPr>
              <w:t>1.1</w:t>
            </w:r>
            <w:r w:rsidRPr="004E4188">
              <w:rPr>
                <w:lang w:val="fr-FR"/>
              </w:rPr>
              <w:tab/>
              <w:t xml:space="preserve">Suite à l’Avis d’appel d’offres </w:t>
            </w:r>
            <w:r w:rsidRPr="004E4188">
              <w:rPr>
                <w:b/>
                <w:lang w:val="fr-FR"/>
              </w:rPr>
              <w:t>dont la référence est donnée à la Section II, Données particulières (DP)</w:t>
            </w:r>
            <w:r w:rsidRPr="004E4188">
              <w:rPr>
                <w:lang w:val="fr-FR"/>
              </w:rPr>
              <w:t>, le Maître d’ouvrage</w:t>
            </w:r>
            <w:r w:rsidRPr="004E4188">
              <w:rPr>
                <w:b/>
                <w:lang w:val="fr-FR"/>
              </w:rPr>
              <w:t xml:space="preserve"> dont le nom figure dans les DP </w:t>
            </w:r>
            <w:r w:rsidRPr="004E4188">
              <w:rPr>
                <w:lang w:val="fr-FR"/>
              </w:rPr>
              <w:t>et établi dans le pays</w:t>
            </w:r>
            <w:r w:rsidRPr="004E4188">
              <w:rPr>
                <w:b/>
                <w:lang w:val="fr-FR"/>
              </w:rPr>
              <w:t xml:space="preserve"> indiqué dans les DP</w:t>
            </w:r>
            <w:r w:rsidRPr="004E4188">
              <w:rPr>
                <w:lang w:val="fr-FR"/>
              </w:rPr>
              <w:t xml:space="preserve">, émet le présent Dossier d’appel d’offres (ci-après désigné « le Dossier d’appel d’offres ») en vue de la conception, fourniture et montage d’équipements spécifiés à la Section VI, Exigences du Maître d’ouvrage. </w:t>
            </w:r>
          </w:p>
          <w:p w14:paraId="67573991" w14:textId="5B4E5330" w:rsidR="007049A5" w:rsidRPr="004E4188" w:rsidRDefault="007049A5" w:rsidP="006C6267">
            <w:pPr>
              <w:pStyle w:val="Header2-SubClauses"/>
              <w:tabs>
                <w:tab w:val="clear" w:pos="619"/>
                <w:tab w:val="left" w:pos="576"/>
              </w:tabs>
              <w:ind w:left="601"/>
              <w:rPr>
                <w:lang w:val="fr-FR"/>
              </w:rPr>
            </w:pPr>
            <w:r w:rsidRPr="004E4188">
              <w:rPr>
                <w:lang w:val="fr-FR"/>
              </w:rPr>
              <w:t xml:space="preserve">Le nom du projet et le nom du Marché </w:t>
            </w:r>
            <w:r w:rsidRPr="004E4188">
              <w:rPr>
                <w:b/>
                <w:lang w:val="fr-FR"/>
              </w:rPr>
              <w:t>figurent dans les DP</w:t>
            </w:r>
            <w:r w:rsidRPr="004E4188">
              <w:rPr>
                <w:lang w:val="fr-FR"/>
              </w:rPr>
              <w:t>.</w:t>
            </w:r>
          </w:p>
          <w:p w14:paraId="18485967" w14:textId="77777777" w:rsidR="007049A5" w:rsidRPr="004E4188" w:rsidRDefault="007049A5" w:rsidP="006C6267">
            <w:pPr>
              <w:pStyle w:val="Header2-SubClauses"/>
              <w:tabs>
                <w:tab w:val="clear" w:pos="619"/>
                <w:tab w:val="left" w:pos="576"/>
              </w:tabs>
              <w:ind w:left="601"/>
              <w:rPr>
                <w:lang w:val="fr-FR"/>
              </w:rPr>
            </w:pPr>
            <w:r w:rsidRPr="004E4188">
              <w:rPr>
                <w:lang w:val="fr-FR"/>
              </w:rPr>
              <w:t xml:space="preserve">L’appel d’offre peut être lancé pour des lots multiples comme </w:t>
            </w:r>
            <w:r w:rsidRPr="004E4188">
              <w:rPr>
                <w:b/>
                <w:lang w:val="fr-FR"/>
              </w:rPr>
              <w:t>indiqué dans les DP</w:t>
            </w:r>
            <w:r w:rsidRPr="004E4188">
              <w:rPr>
                <w:lang w:val="fr-FR"/>
              </w:rPr>
              <w:t>. Les offres peuvent être remises pour des lots individuels ou pour toute combinaison de plusieurs lots.</w:t>
            </w:r>
          </w:p>
        </w:tc>
      </w:tr>
      <w:tr w:rsidR="007049A5" w:rsidRPr="004E4188" w14:paraId="780E56B0" w14:textId="77777777" w:rsidTr="0092765E">
        <w:tc>
          <w:tcPr>
            <w:tcW w:w="2268" w:type="dxa"/>
            <w:tcBorders>
              <w:top w:val="nil"/>
              <w:left w:val="nil"/>
              <w:bottom w:val="nil"/>
              <w:right w:val="nil"/>
            </w:tcBorders>
          </w:tcPr>
          <w:p w14:paraId="04A86A57" w14:textId="77777777" w:rsidR="007049A5" w:rsidRPr="004E4188" w:rsidRDefault="007049A5" w:rsidP="00EC0A93"/>
        </w:tc>
        <w:tc>
          <w:tcPr>
            <w:tcW w:w="7023" w:type="dxa"/>
            <w:tcBorders>
              <w:top w:val="nil"/>
              <w:left w:val="nil"/>
              <w:bottom w:val="nil"/>
              <w:right w:val="nil"/>
            </w:tcBorders>
          </w:tcPr>
          <w:p w14:paraId="589EC9B0" w14:textId="3AE2D46F" w:rsidR="007049A5" w:rsidRPr="004E4188" w:rsidRDefault="007049A5" w:rsidP="005B0414">
            <w:pPr>
              <w:pStyle w:val="Header2-SubClauses"/>
              <w:tabs>
                <w:tab w:val="clear" w:pos="619"/>
              </w:tabs>
              <w:ind w:left="601" w:hanging="601"/>
              <w:rPr>
                <w:lang w:val="fr-FR"/>
              </w:rPr>
            </w:pPr>
            <w:r w:rsidRPr="004E4188">
              <w:rPr>
                <w:lang w:val="fr-FR"/>
              </w:rPr>
              <w:t>1.2</w:t>
            </w:r>
            <w:r w:rsidRPr="004E4188">
              <w:rPr>
                <w:lang w:val="fr-FR"/>
              </w:rPr>
              <w:tab/>
              <w:t>Dans le présent Dossier d’appel d’offres :</w:t>
            </w:r>
          </w:p>
          <w:p w14:paraId="5EAC5C5F" w14:textId="77777777" w:rsidR="007049A5" w:rsidRPr="004E4188" w:rsidRDefault="007049A5" w:rsidP="006C6267">
            <w:pPr>
              <w:pStyle w:val="Header3-Paragraph"/>
              <w:tabs>
                <w:tab w:val="clear" w:pos="504"/>
              </w:tabs>
              <w:ind w:left="1026" w:hanging="425"/>
              <w:rPr>
                <w:lang w:val="fr-FR" w:eastAsia="ja-JP"/>
              </w:rPr>
            </w:pPr>
            <w:r w:rsidRPr="004E4188">
              <w:rPr>
                <w:lang w:val="fr-FR"/>
              </w:rPr>
              <w:t>(a)</w:t>
            </w:r>
            <w:r w:rsidRPr="004E4188">
              <w:rPr>
                <w:lang w:val="fr-FR" w:eastAsia="ja-JP"/>
              </w:rPr>
              <w:tab/>
              <w:t>les termes « Installations » et « Équipements et Services de montage » sont synonymes du terme « Conception, fourniture et montage d’équipements » ;</w:t>
            </w:r>
          </w:p>
          <w:p w14:paraId="156096E2" w14:textId="2AFC6F15" w:rsidR="007049A5" w:rsidRPr="004E4188" w:rsidRDefault="007049A5" w:rsidP="006C6267">
            <w:pPr>
              <w:pStyle w:val="Header3-Paragraph"/>
              <w:tabs>
                <w:tab w:val="clear" w:pos="504"/>
              </w:tabs>
              <w:ind w:left="1026" w:hanging="425"/>
              <w:rPr>
                <w:lang w:val="fr-FR"/>
              </w:rPr>
            </w:pPr>
            <w:r w:rsidRPr="004E4188">
              <w:rPr>
                <w:lang w:val="fr-FR"/>
              </w:rPr>
              <w:t>(b)</w:t>
            </w:r>
            <w:r w:rsidRPr="004E4188">
              <w:rPr>
                <w:lang w:val="fr-FR" w:eastAsia="ja-JP"/>
              </w:rPr>
              <w:tab/>
            </w:r>
            <w:r w:rsidRPr="004E4188">
              <w:rPr>
                <w:lang w:val="fr-FR"/>
              </w:rPr>
              <w:t>le terme « par écrit » signifie communiqué sous forme écrite avec accusé de réception ;</w:t>
            </w:r>
          </w:p>
          <w:p w14:paraId="358924EF" w14:textId="3B53E0C8" w:rsidR="007049A5" w:rsidRPr="004E4188" w:rsidRDefault="007049A5" w:rsidP="004B21E5">
            <w:pPr>
              <w:suppressAutoHyphens w:val="0"/>
              <w:spacing w:after="200"/>
              <w:ind w:left="1026" w:hanging="425"/>
            </w:pPr>
            <w:r w:rsidRPr="004E4188">
              <w:t>(c)</w:t>
            </w:r>
            <w:r w:rsidRPr="004E4188">
              <w:rPr>
                <w:lang w:eastAsia="ja-JP"/>
              </w:rPr>
              <w:tab/>
            </w:r>
            <w:r w:rsidRPr="004E4188">
              <w:t>sauf si le contexte exige une interprétation différente, le singulier inclut le pluriel, et le pluriel inclut le singulier ;</w:t>
            </w:r>
          </w:p>
          <w:p w14:paraId="695AAD94" w14:textId="32730B3E" w:rsidR="007049A5" w:rsidRPr="004E4188" w:rsidRDefault="007049A5" w:rsidP="006C6267">
            <w:pPr>
              <w:tabs>
                <w:tab w:val="left" w:pos="576"/>
              </w:tabs>
              <w:suppressAutoHyphens w:val="0"/>
              <w:spacing w:after="200"/>
              <w:ind w:left="1026" w:hanging="425"/>
            </w:pPr>
            <w:r w:rsidRPr="004E4188">
              <w:t>(d)</w:t>
            </w:r>
            <w:r w:rsidRPr="004E4188">
              <w:rPr>
                <w:lang w:eastAsia="ja-JP"/>
              </w:rPr>
              <w:tab/>
            </w:r>
            <w:r w:rsidRPr="004E4188">
              <w:t>le terme « jour » désigne un jour calendaire</w:t>
            </w:r>
            <w:r w:rsidR="000C215E" w:rsidRPr="004E4188">
              <w:t> ;</w:t>
            </w:r>
            <w:r w:rsidRPr="004E4188">
              <w:t xml:space="preserve"> </w:t>
            </w:r>
          </w:p>
          <w:p w14:paraId="56C1EEEA" w14:textId="77777777" w:rsidR="007049A5" w:rsidRPr="004E4188" w:rsidRDefault="007049A5" w:rsidP="006C6267">
            <w:pPr>
              <w:tabs>
                <w:tab w:val="left" w:pos="576"/>
              </w:tabs>
              <w:suppressAutoHyphens w:val="0"/>
              <w:spacing w:after="200"/>
              <w:ind w:left="1026" w:hanging="425"/>
              <w:rPr>
                <w:lang w:eastAsia="ja-JP"/>
              </w:rPr>
            </w:pPr>
            <w:r w:rsidRPr="004E4188">
              <w:t>(e)</w:t>
            </w:r>
            <w:r w:rsidRPr="004E4188">
              <w:rPr>
                <w:lang w:eastAsia="ja-JP"/>
              </w:rPr>
              <w:tab/>
            </w:r>
            <w:r w:rsidRPr="004E4188">
              <w:t>le terme « entreprise » désigne une entité privée, une entreprise ou institution publique, qui</w:t>
            </w:r>
            <w:r w:rsidRPr="004E4188">
              <w:rPr>
                <w:rFonts w:hint="eastAsia"/>
                <w:lang w:eastAsia="ja-JP"/>
              </w:rPr>
              <w:t xml:space="preserve"> </w:t>
            </w:r>
            <w:r w:rsidRPr="004E4188">
              <w:rPr>
                <w:lang w:eastAsia="ja-JP"/>
              </w:rPr>
              <w:t>est un synonyme du terme « firme </w:t>
            </w:r>
            <w:r w:rsidRPr="004E4188">
              <w:t>» ; et</w:t>
            </w:r>
          </w:p>
          <w:p w14:paraId="68F77347" w14:textId="77777777" w:rsidR="007049A5" w:rsidRPr="004E4188" w:rsidRDefault="007049A5" w:rsidP="006C6267">
            <w:pPr>
              <w:suppressAutoHyphens w:val="0"/>
              <w:spacing w:after="200"/>
              <w:ind w:left="1026" w:hanging="425"/>
            </w:pPr>
            <w:r w:rsidRPr="004E4188">
              <w:t>(f)</w:t>
            </w:r>
            <w:r w:rsidRPr="004E4188">
              <w:tab/>
              <w:t>le terme « Groupement » désigne toute combinaison de deux entreprises ou plus sous la forme d’un groupement, consortium, association ou groupe non constitué en personne morale ayant conclu un accord de Groupement ou ayant l’intention de conclure un tel accord, corroborée par une lettre d’intention formelle.</w:t>
            </w:r>
          </w:p>
        </w:tc>
      </w:tr>
      <w:tr w:rsidR="007049A5" w:rsidRPr="004E4188" w14:paraId="18738381" w14:textId="77777777" w:rsidTr="0092765E">
        <w:trPr>
          <w:trHeight w:val="567"/>
        </w:trPr>
        <w:tc>
          <w:tcPr>
            <w:tcW w:w="2268" w:type="dxa"/>
            <w:tcBorders>
              <w:top w:val="nil"/>
              <w:left w:val="nil"/>
              <w:bottom w:val="nil"/>
              <w:right w:val="nil"/>
            </w:tcBorders>
          </w:tcPr>
          <w:p w14:paraId="59208D5B" w14:textId="0DC281A5" w:rsidR="007049A5" w:rsidRPr="004E4188" w:rsidRDefault="007049A5" w:rsidP="0092765E">
            <w:pPr>
              <w:pStyle w:val="Header1-Clauses"/>
              <w:ind w:left="357" w:hanging="357"/>
              <w:rPr>
                <w:lang w:val="fr-FR"/>
              </w:rPr>
            </w:pPr>
            <w:bookmarkStart w:id="368" w:name="_Toc104195558"/>
            <w:r w:rsidRPr="004E4188">
              <w:rPr>
                <w:lang w:val="fr-FR"/>
              </w:rPr>
              <w:t>2.</w:t>
            </w:r>
            <w:r w:rsidRPr="004E4188">
              <w:rPr>
                <w:lang w:val="fr-FR"/>
              </w:rPr>
              <w:tab/>
              <w:t>Origine des fonds</w:t>
            </w:r>
            <w:bookmarkEnd w:id="368"/>
          </w:p>
        </w:tc>
        <w:tc>
          <w:tcPr>
            <w:tcW w:w="7023" w:type="dxa"/>
            <w:tcBorders>
              <w:top w:val="nil"/>
              <w:left w:val="nil"/>
              <w:bottom w:val="nil"/>
              <w:right w:val="nil"/>
            </w:tcBorders>
          </w:tcPr>
          <w:p w14:paraId="50DBB9CB" w14:textId="02832A2F" w:rsidR="007049A5" w:rsidRPr="004E4188" w:rsidRDefault="007049A5" w:rsidP="00C01404">
            <w:pPr>
              <w:spacing w:after="200"/>
              <w:ind w:left="601" w:hanging="601"/>
            </w:pPr>
            <w:r w:rsidRPr="004E4188">
              <w:t>2.1</w:t>
            </w:r>
            <w:r w:rsidRPr="004E4188">
              <w:tab/>
              <w:t xml:space="preserve">L’Emprunteur dont le nom </w:t>
            </w:r>
            <w:r w:rsidRPr="004E4188">
              <w:rPr>
                <w:b/>
              </w:rPr>
              <w:t>figure dans les D</w:t>
            </w:r>
            <w:r w:rsidRPr="004E4188">
              <w:rPr>
                <w:b/>
                <w:lang w:eastAsia="ja-JP"/>
              </w:rPr>
              <w:t>P</w:t>
            </w:r>
            <w:r w:rsidRPr="004E4188">
              <w:t xml:space="preserve"> a sollicité ou obtenu un Prêt APD du Japon de l’Agence Japonaise de Coopération </w:t>
            </w:r>
            <w:r w:rsidRPr="004E4188">
              <w:rPr>
                <w:lang w:eastAsia="ja-JP"/>
              </w:rPr>
              <w:t xml:space="preserve">Internationale </w:t>
            </w:r>
            <w:r w:rsidRPr="004E4188">
              <w:t>(ci-après dénommée « </w:t>
            </w:r>
            <w:r w:rsidR="00704607" w:rsidRPr="004E4188">
              <w:t xml:space="preserve">la </w:t>
            </w:r>
            <w:r w:rsidRPr="004E4188">
              <w:rPr>
                <w:lang w:eastAsia="ja-JP"/>
              </w:rPr>
              <w:t>JICA</w:t>
            </w:r>
            <w:r w:rsidRPr="004E4188">
              <w:t xml:space="preserve"> ») portant le numéro, du montant et à la date de signature de l’Accord de Prêt </w:t>
            </w:r>
            <w:r w:rsidRPr="004E4188">
              <w:rPr>
                <w:b/>
              </w:rPr>
              <w:t>indiqués dans les DP</w:t>
            </w:r>
            <w:r w:rsidRPr="004E4188">
              <w:t>, afin de financer le projet. L’Emprunteur a l’intention d’utiliser une partie des fonds pour effectuer les paiements autorisés au titre du(des) </w:t>
            </w:r>
            <w:r w:rsidR="00C01404" w:rsidRPr="004E4188">
              <w:t>m</w:t>
            </w:r>
            <w:r w:rsidRPr="004E4188">
              <w:t>arché(s) pour lequel(lesquels) le présent appel d’offres est lancé.</w:t>
            </w:r>
          </w:p>
        </w:tc>
      </w:tr>
      <w:tr w:rsidR="007049A5" w:rsidRPr="004E4188" w14:paraId="224F18A9" w14:textId="77777777" w:rsidTr="0092765E">
        <w:tc>
          <w:tcPr>
            <w:tcW w:w="2268" w:type="dxa"/>
            <w:tcBorders>
              <w:top w:val="nil"/>
              <w:left w:val="nil"/>
              <w:bottom w:val="nil"/>
              <w:right w:val="nil"/>
            </w:tcBorders>
          </w:tcPr>
          <w:p w14:paraId="2288AEC7" w14:textId="77777777" w:rsidR="007049A5" w:rsidRPr="004E4188" w:rsidRDefault="007049A5" w:rsidP="00EC0A93"/>
        </w:tc>
        <w:tc>
          <w:tcPr>
            <w:tcW w:w="7023" w:type="dxa"/>
            <w:tcBorders>
              <w:top w:val="nil"/>
              <w:left w:val="nil"/>
              <w:bottom w:val="nil"/>
              <w:right w:val="nil"/>
            </w:tcBorders>
          </w:tcPr>
          <w:p w14:paraId="70A5C3A2" w14:textId="77777777" w:rsidR="007049A5" w:rsidRPr="004E4188" w:rsidRDefault="007049A5" w:rsidP="00132A6D">
            <w:pPr>
              <w:spacing w:after="200"/>
              <w:ind w:left="601" w:hanging="601"/>
              <w:rPr>
                <w:rFonts w:eastAsia="Times New Roman"/>
              </w:rPr>
            </w:pPr>
            <w:r w:rsidRPr="004E4188">
              <w:t>2.2</w:t>
            </w:r>
            <w:r w:rsidRPr="004E4188">
              <w:tab/>
            </w:r>
            <w:r w:rsidRPr="004E4188">
              <w:rPr>
                <w:lang w:eastAsia="ja-JP"/>
              </w:rPr>
              <w:t>L</w:t>
            </w:r>
            <w:r w:rsidRPr="004E4188">
              <w:rPr>
                <w:rFonts w:eastAsia="Times New Roman"/>
              </w:rPr>
              <w:t xml:space="preserve">e décaissement d’un Prêt APD du Japon par la JICA sera soumis à tous égards aux termes et conditions de l’Accord de Prêt, y compris les </w:t>
            </w:r>
            <w:r w:rsidRPr="004E4188">
              <w:t>procédures</w:t>
            </w:r>
            <w:r w:rsidRPr="004E4188">
              <w:rPr>
                <w:rFonts w:eastAsia="Times New Roman"/>
              </w:rPr>
              <w:t xml:space="preserve"> de décaissement et les Directives applicables pour les passations de marchés sous financement par Prêts APD du Japon, </w:t>
            </w:r>
            <w:r w:rsidRPr="004E4188">
              <w:rPr>
                <w:rFonts w:eastAsia="Times New Roman"/>
                <w:b/>
              </w:rPr>
              <w:t>indiquées dans les DP</w:t>
            </w:r>
            <w:r w:rsidRPr="004E4188">
              <w:rPr>
                <w:rFonts w:eastAsia="Times New Roman"/>
              </w:rPr>
              <w:t>. Nul autre que l’Emprunteur ne doit se prévaloir de l’Accord de Prêt pour obtenir un droit quelconque ou ne doit émettre de revendication concernant les versements du Prêt.</w:t>
            </w:r>
          </w:p>
        </w:tc>
      </w:tr>
      <w:tr w:rsidR="007049A5" w:rsidRPr="004E4188" w14:paraId="3F8D9D2A" w14:textId="77777777" w:rsidTr="0092765E">
        <w:tc>
          <w:tcPr>
            <w:tcW w:w="2268" w:type="dxa"/>
            <w:tcBorders>
              <w:top w:val="nil"/>
              <w:left w:val="nil"/>
              <w:bottom w:val="nil"/>
              <w:right w:val="nil"/>
            </w:tcBorders>
          </w:tcPr>
          <w:p w14:paraId="4F71DA25" w14:textId="77777777" w:rsidR="007049A5" w:rsidRPr="004E4188" w:rsidRDefault="007049A5" w:rsidP="00EC0A93"/>
        </w:tc>
        <w:tc>
          <w:tcPr>
            <w:tcW w:w="7023" w:type="dxa"/>
            <w:tcBorders>
              <w:top w:val="nil"/>
              <w:left w:val="nil"/>
              <w:bottom w:val="nil"/>
              <w:right w:val="nil"/>
            </w:tcBorders>
          </w:tcPr>
          <w:p w14:paraId="5DCA939C" w14:textId="5164F8DD" w:rsidR="007049A5" w:rsidRPr="004E4188" w:rsidRDefault="007049A5" w:rsidP="006C6267">
            <w:pPr>
              <w:spacing w:after="200"/>
              <w:ind w:left="601" w:hanging="601"/>
            </w:pPr>
            <w:r w:rsidRPr="004E4188">
              <w:rPr>
                <w:lang w:eastAsia="ja-JP"/>
              </w:rPr>
              <w:t>2.3</w:t>
            </w:r>
            <w:r w:rsidRPr="004E4188">
              <w:rPr>
                <w:lang w:eastAsia="ja-JP"/>
              </w:rPr>
              <w:tab/>
            </w:r>
            <w:r w:rsidRPr="004E4188">
              <w:t xml:space="preserve">L’Accord de Prêt susmentionné ne couvrira qu’une partie du </w:t>
            </w:r>
            <w:r w:rsidRPr="004E4188">
              <w:rPr>
                <w:rFonts w:eastAsia="Times New Roman"/>
              </w:rPr>
              <w:t>coût</w:t>
            </w:r>
            <w:r w:rsidRPr="004E4188">
              <w:t xml:space="preserve"> du projet</w:t>
            </w:r>
            <w:r w:rsidRPr="004E4188">
              <w:rPr>
                <w:lang w:eastAsia="ja-JP"/>
              </w:rPr>
              <w:t xml:space="preserve">. </w:t>
            </w:r>
            <w:r w:rsidRPr="004E4188">
              <w:rPr>
                <w:rFonts w:eastAsia="Times New Roman"/>
              </w:rPr>
              <w:t xml:space="preserve">Quant à la partie restante, l’Emprunteur, l’agence d’exécution du projet et le Maître d’ouvrage prendront les mesures nécessaires pour assurer son financement par d’autres sources </w:t>
            </w:r>
            <w:r w:rsidRPr="004E4188">
              <w:rPr>
                <w:rFonts w:eastAsia="Times New Roman"/>
                <w:b/>
              </w:rPr>
              <w:t>indiquées dans les DP</w:t>
            </w:r>
            <w:r w:rsidRPr="004E4188">
              <w:rPr>
                <w:rFonts w:eastAsia="Times New Roman"/>
              </w:rPr>
              <w:t>.</w:t>
            </w:r>
          </w:p>
        </w:tc>
      </w:tr>
      <w:tr w:rsidR="007049A5" w:rsidRPr="004E4188" w14:paraId="0058AC9E" w14:textId="77777777" w:rsidTr="0092765E">
        <w:tc>
          <w:tcPr>
            <w:tcW w:w="2268" w:type="dxa"/>
            <w:tcBorders>
              <w:top w:val="nil"/>
              <w:left w:val="nil"/>
              <w:bottom w:val="nil"/>
              <w:right w:val="nil"/>
            </w:tcBorders>
          </w:tcPr>
          <w:p w14:paraId="36D337C3" w14:textId="77777777" w:rsidR="007049A5" w:rsidRPr="004E4188" w:rsidRDefault="007049A5" w:rsidP="0092765E">
            <w:pPr>
              <w:pStyle w:val="Header1-Clauses"/>
              <w:ind w:left="357" w:hanging="357"/>
              <w:rPr>
                <w:lang w:val="fr-FR"/>
              </w:rPr>
            </w:pPr>
            <w:r w:rsidRPr="004E4188">
              <w:rPr>
                <w:b w:val="0"/>
                <w:lang w:val="fr-FR"/>
              </w:rPr>
              <w:br w:type="page"/>
            </w:r>
            <w:r w:rsidRPr="004E4188">
              <w:rPr>
                <w:b w:val="0"/>
                <w:lang w:val="fr-FR"/>
              </w:rPr>
              <w:br w:type="page"/>
            </w:r>
            <w:bookmarkStart w:id="369" w:name="_Toc104195559"/>
            <w:r w:rsidRPr="004E4188">
              <w:rPr>
                <w:lang w:val="fr-FR"/>
              </w:rPr>
              <w:t>3.</w:t>
            </w:r>
            <w:r w:rsidRPr="004E4188">
              <w:rPr>
                <w:b w:val="0"/>
                <w:lang w:val="fr-FR"/>
              </w:rPr>
              <w:tab/>
            </w:r>
            <w:r w:rsidRPr="004E4188">
              <w:rPr>
                <w:lang w:val="fr-FR"/>
              </w:rPr>
              <w:t>Pratiques corrompues ou frauduleuses</w:t>
            </w:r>
            <w:bookmarkEnd w:id="369"/>
            <w:r w:rsidRPr="004E4188">
              <w:rPr>
                <w:lang w:val="fr-FR"/>
              </w:rPr>
              <w:t xml:space="preserve"> </w:t>
            </w:r>
          </w:p>
        </w:tc>
        <w:tc>
          <w:tcPr>
            <w:tcW w:w="7023" w:type="dxa"/>
            <w:tcBorders>
              <w:top w:val="nil"/>
              <w:left w:val="nil"/>
              <w:bottom w:val="nil"/>
              <w:right w:val="nil"/>
            </w:tcBorders>
          </w:tcPr>
          <w:p w14:paraId="600F1612" w14:textId="7CF60CAF" w:rsidR="007049A5" w:rsidRPr="004E4188" w:rsidRDefault="007049A5" w:rsidP="00132A6D">
            <w:pPr>
              <w:spacing w:after="200"/>
              <w:ind w:left="601" w:hanging="601"/>
            </w:pPr>
            <w:r w:rsidRPr="004E4188">
              <w:t>3.1</w:t>
            </w:r>
            <w:r w:rsidRPr="004E4188">
              <w:rPr>
                <w:lang w:eastAsia="ja-JP"/>
              </w:rPr>
              <w:tab/>
            </w:r>
            <w:r w:rsidRPr="004E4188">
              <w:t xml:space="preserve">La JICA a pour politique d’exiger des Soumissionnaires, des Entrepreneurs, </w:t>
            </w:r>
            <w:r w:rsidRPr="004E4188">
              <w:rPr>
                <w:rFonts w:eastAsia="Times New Roman"/>
              </w:rPr>
              <w:t>ainsi</w:t>
            </w:r>
            <w:r w:rsidRPr="004E4188">
              <w:t xml:space="preserve"> que des Emprunteurs, des agences d’exécution et des Maîtres d’ouvrage, dans le cadre des marchés financés par </w:t>
            </w:r>
            <w:r w:rsidRPr="004E4188">
              <w:rPr>
                <w:szCs w:val="24"/>
              </w:rPr>
              <w:t>Prêts APD du Japon</w:t>
            </w:r>
            <w:r w:rsidRPr="004E4188">
              <w:t xml:space="preserve"> ou toute autre APD japonaise, qu’ils observent les règles d’éthique les plus élevées, lors de la passation et de l’exécution de tels marchés. En application de cette politique</w:t>
            </w:r>
            <w:r w:rsidRPr="004E4188">
              <w:rPr>
                <w:color w:val="000000"/>
                <w:szCs w:val="24"/>
              </w:rPr>
              <w:t>, la JICA </w:t>
            </w:r>
            <w:r w:rsidRPr="004E4188">
              <w:rPr>
                <w:color w:val="000000"/>
                <w:szCs w:val="24"/>
                <w:lang w:eastAsia="ja-JP"/>
              </w:rPr>
              <w:t>:</w:t>
            </w:r>
          </w:p>
          <w:p w14:paraId="3DCE8F66" w14:textId="77777777" w:rsidR="007049A5" w:rsidRPr="004E4188" w:rsidRDefault="007049A5" w:rsidP="00D679AC">
            <w:pPr>
              <w:pStyle w:val="Header3-Paragraph"/>
              <w:tabs>
                <w:tab w:val="clear" w:pos="504"/>
              </w:tabs>
              <w:ind w:left="1026" w:hanging="425"/>
              <w:rPr>
                <w:lang w:val="fr-FR"/>
              </w:rPr>
            </w:pPr>
            <w:r w:rsidRPr="004E4188">
              <w:rPr>
                <w:color w:val="000000"/>
                <w:szCs w:val="24"/>
                <w:lang w:val="fr-FR"/>
              </w:rPr>
              <w:t>(a)</w:t>
            </w:r>
            <w:r w:rsidRPr="004E4188">
              <w:rPr>
                <w:color w:val="000000"/>
                <w:szCs w:val="24"/>
                <w:lang w:val="fr-FR" w:eastAsia="ja-JP"/>
              </w:rPr>
              <w:tab/>
            </w:r>
            <w:r w:rsidRPr="004E4188">
              <w:rPr>
                <w:szCs w:val="24"/>
                <w:lang w:val="fr-FR"/>
              </w:rPr>
              <w:t>rejettera une proposition d’adjudication si elle estime que le Soumissionnaire recommandé pour l’</w:t>
            </w:r>
            <w:r w:rsidRPr="004E4188">
              <w:rPr>
                <w:szCs w:val="24"/>
                <w:lang w:val="fr-FR" w:eastAsia="en-US"/>
              </w:rPr>
              <w:t>adjudication</w:t>
            </w:r>
            <w:r w:rsidRPr="004E4188">
              <w:rPr>
                <w:szCs w:val="24"/>
                <w:lang w:val="fr-FR"/>
              </w:rPr>
              <w:t xml:space="preserve"> s’est livré à des</w:t>
            </w:r>
            <w:r w:rsidRPr="004E4188">
              <w:rPr>
                <w:lang w:val="fr-FR"/>
              </w:rPr>
              <w:t xml:space="preserve"> pratiques corrompues ou frauduleuses lors de la compétition pour le marché en question ; </w:t>
            </w:r>
          </w:p>
          <w:p w14:paraId="3860143F" w14:textId="66BD914D" w:rsidR="007049A5" w:rsidRPr="004E4188" w:rsidRDefault="007049A5" w:rsidP="00D679AC">
            <w:pPr>
              <w:pStyle w:val="Header3-Paragraph"/>
              <w:tabs>
                <w:tab w:val="clear" w:pos="504"/>
              </w:tabs>
              <w:ind w:left="1026" w:hanging="425"/>
              <w:rPr>
                <w:lang w:val="fr-FR"/>
              </w:rPr>
            </w:pPr>
            <w:r w:rsidRPr="004E4188">
              <w:rPr>
                <w:lang w:val="fr-FR"/>
              </w:rPr>
              <w:t>(b)</w:t>
            </w:r>
            <w:r w:rsidRPr="004E4188">
              <w:rPr>
                <w:lang w:val="fr-FR"/>
              </w:rPr>
              <w:tab/>
              <w:t>reconnaîtra l’inéligibilité d’un Entrepreneur, pour une période déterminée par la JICA, à l’adjudication d’un marché financé par Prêts APD du Japon, si à un moment ou à un autre, elle estime que le Soumissionnaire ou l’Entrepreneur s’est livré à des pratiques corrompues ou frauduleuses lors de la compétition ou de l’exécution d’un autre marché financé par Prêts APD du Japon ou toute autre APD japonaise.</w:t>
            </w:r>
            <w:r w:rsidRPr="004E4188">
              <w:rPr>
                <w:rFonts w:hint="eastAsia"/>
                <w:lang w:val="fr-FR" w:eastAsia="ja-JP"/>
              </w:rPr>
              <w:t xml:space="preserve"> </w:t>
            </w:r>
            <w:r w:rsidRPr="004E4188">
              <w:rPr>
                <w:lang w:val="fr-FR" w:eastAsia="ja-JP"/>
              </w:rPr>
              <w:t>La liste des personnes physiques et morales inéligibles est disponible à l’adresse électronique</w:t>
            </w:r>
            <w:r w:rsidRPr="004E4188">
              <w:rPr>
                <w:b/>
                <w:lang w:val="fr-FR" w:eastAsia="ja-JP"/>
              </w:rPr>
              <w:t xml:space="preserve"> indiquée dans les DP</w:t>
            </w:r>
            <w:r w:rsidRPr="004E4188">
              <w:rPr>
                <w:lang w:val="fr-FR" w:eastAsia="ja-JP"/>
              </w:rPr>
              <w:t xml:space="preserve"> ;</w:t>
            </w:r>
          </w:p>
          <w:p w14:paraId="58F586B5" w14:textId="04B54AAA" w:rsidR="007049A5" w:rsidRPr="004E4188" w:rsidRDefault="007049A5" w:rsidP="00D679AC">
            <w:pPr>
              <w:pStyle w:val="Header3-Paragraph"/>
              <w:tabs>
                <w:tab w:val="clear" w:pos="504"/>
              </w:tabs>
              <w:ind w:left="1026" w:hanging="425"/>
              <w:rPr>
                <w:lang w:val="fr-FR"/>
              </w:rPr>
            </w:pPr>
            <w:r w:rsidRPr="004E4188">
              <w:rPr>
                <w:lang w:val="fr-FR"/>
              </w:rPr>
              <w:t>(c)</w:t>
            </w:r>
            <w:r w:rsidRPr="004E4188">
              <w:rPr>
                <w:lang w:val="fr-FR"/>
              </w:rPr>
              <w:tab/>
              <w:t xml:space="preserve">reconnaîtra l’inéligibilité d’un Entrepreneur à l’adjudication d’un marché financé par Prêts APD du Japon, si l’Entrepreneur ou un </w:t>
            </w:r>
            <w:r w:rsidRPr="004E4188">
              <w:rPr>
                <w:szCs w:val="24"/>
                <w:lang w:val="fr-FR"/>
              </w:rPr>
              <w:t>sous</w:t>
            </w:r>
            <w:r w:rsidRPr="004E4188">
              <w:rPr>
                <w:lang w:val="fr-FR"/>
              </w:rPr>
              <w:t>-traitant employé directement par l’Entrepreneur ont été radiés par une décision d’exclusion croisée des Banques multilatérales de développement. Cette période d’inéligibilité ne doit pas dépasser trois (3) ans à compter de (et incluant) la date de la mise en application de l’exclusion croisée.</w:t>
            </w:r>
            <w:r w:rsidR="00193A03">
              <w:rPr>
                <w:lang w:val="fr-FR"/>
              </w:rPr>
              <w:t xml:space="preserve"> </w:t>
            </w:r>
            <w:r w:rsidR="00193A03" w:rsidRPr="00193A03">
              <w:rPr>
                <w:lang w:val="fr-FR"/>
              </w:rPr>
              <w:t>Nonobstant ce qui précède, en tenant compte de facteurs pertinents tels que l’état d’avancement du projet financé par Prêts APD du Japon, l’Emprunteur peut demander une non-objection de la JICA pour reconnaître, et sur l’obtention de la non-objection préalable de la JICA, peut reconnaître, l’éligibilité de tout entrepreneur ou sous-traitant ainsi radié, dans le cas où, de l’avis de l’Emprunteur, l’inéligibilité de l’entrepreneur ou sous-traitant lui porterait un préjudice indéniable et substantiel.</w:t>
            </w:r>
          </w:p>
          <w:p w14:paraId="5E3DB514" w14:textId="28CC62B7" w:rsidR="007049A5" w:rsidRPr="004E4188" w:rsidRDefault="007049A5" w:rsidP="00292254">
            <w:pPr>
              <w:pStyle w:val="af7"/>
              <w:spacing w:after="200"/>
              <w:ind w:left="1026"/>
              <w:rPr>
                <w:lang w:val="fr-FR"/>
              </w:rPr>
            </w:pPr>
            <w:r w:rsidRPr="004E4188">
              <w:rPr>
                <w:lang w:val="fr-FR"/>
              </w:rPr>
              <w:t xml:space="preserve">« Une décision d’exclusion croisée par les Banques multilatérales de développement » est une sanction commune prise conformément à l’accord entre le Groupe de la Banque africaine de développement, la Banque asiatique de développement, la Banque européenne pour la reconstruction et le développement, le Groupe de la Banque interaméricaine de développement et le Groupe de la Banque mondiale, signé le 9 avril 2010 (tel qu’amendé, le cas échéant). La JICA reconnaîtra les </w:t>
            </w:r>
            <w:r w:rsidR="008442B7" w:rsidRPr="008442B7">
              <w:rPr>
                <w:lang w:val="fr-FR"/>
              </w:rPr>
              <w:t>radiations</w:t>
            </w:r>
            <w:r w:rsidRPr="004E4188">
              <w:rPr>
                <w:lang w:val="fr-FR"/>
              </w:rPr>
              <w:t xml:space="preserve"> du Groupe de la Banque mondiale d’une durée supérieure à un an, imposées après le 19 juillet 2010, date à laquelle le Groupe de la Banque mondiale a commencé à imposer des sanctions d’exclusions croisées en tant que « décisions d’exclusion croisée par les </w:t>
            </w:r>
            <w:r w:rsidR="00F37FF4">
              <w:rPr>
                <w:lang w:val="fr-FR"/>
              </w:rPr>
              <w:t>B</w:t>
            </w:r>
            <w:r w:rsidRPr="004E4188">
              <w:rPr>
                <w:lang w:val="fr-FR"/>
              </w:rPr>
              <w:t xml:space="preserve">anques multilatérales de développement ». La liste des personnes physiques et morales radiées est disponible à l’adresse électronique </w:t>
            </w:r>
            <w:r w:rsidRPr="004E4188">
              <w:rPr>
                <w:b/>
                <w:lang w:val="fr-FR"/>
              </w:rPr>
              <w:t>indiquée dans les</w:t>
            </w:r>
            <w:r w:rsidRPr="004E4188">
              <w:rPr>
                <w:lang w:val="fr-FR"/>
              </w:rPr>
              <w:t xml:space="preserve"> </w:t>
            </w:r>
            <w:r w:rsidRPr="004E4188">
              <w:rPr>
                <w:b/>
                <w:lang w:val="fr-FR"/>
              </w:rPr>
              <w:t>DP</w:t>
            </w:r>
            <w:r w:rsidRPr="004E4188">
              <w:rPr>
                <w:lang w:val="fr-FR"/>
              </w:rPr>
              <w:t>.</w:t>
            </w:r>
          </w:p>
        </w:tc>
      </w:tr>
      <w:tr w:rsidR="007049A5" w:rsidRPr="004E4188" w14:paraId="4EE2AF20" w14:textId="77777777" w:rsidTr="0092765E">
        <w:tc>
          <w:tcPr>
            <w:tcW w:w="2268" w:type="dxa"/>
            <w:tcBorders>
              <w:top w:val="nil"/>
              <w:left w:val="nil"/>
              <w:bottom w:val="nil"/>
              <w:right w:val="nil"/>
            </w:tcBorders>
          </w:tcPr>
          <w:p w14:paraId="64E2CF89" w14:textId="77777777" w:rsidR="007049A5" w:rsidRPr="004E4188" w:rsidRDefault="007049A5" w:rsidP="00EC0A93">
            <w:pPr>
              <w:pStyle w:val="Header1-Clauses"/>
              <w:rPr>
                <w:b w:val="0"/>
                <w:lang w:val="fr-FR"/>
              </w:rPr>
            </w:pPr>
          </w:p>
        </w:tc>
        <w:tc>
          <w:tcPr>
            <w:tcW w:w="7023" w:type="dxa"/>
            <w:tcBorders>
              <w:top w:val="nil"/>
              <w:left w:val="nil"/>
              <w:bottom w:val="nil"/>
              <w:right w:val="nil"/>
            </w:tcBorders>
          </w:tcPr>
          <w:p w14:paraId="6C40A611" w14:textId="4E49295F" w:rsidR="007049A5" w:rsidRPr="004E4188" w:rsidRDefault="007049A5" w:rsidP="00292254">
            <w:pPr>
              <w:spacing w:after="200"/>
              <w:ind w:left="1026"/>
            </w:pPr>
            <w:r w:rsidRPr="004E4188">
              <w:t xml:space="preserve">La JICA reconnaîtra un Soumissionnaire ou un Entrepreneur inéligible à l’adjudication d’un marché financé par Prêts APD du Japon, si le Soumissionnaire ou l’Entrepreneur ont été </w:t>
            </w:r>
            <w:r w:rsidR="00663709" w:rsidRPr="00663709">
              <w:t>radiés</w:t>
            </w:r>
            <w:r w:rsidRPr="004E4188">
              <w:t xml:space="preserve"> par le Groupe de la Banque mondiale, pour une période commençant à la date de l’Avis d’appel d’offres, si aucune procédure de préqualification n’a été conduite, ou à la date de l’Avis de préqualification, dans le cas où une préqualification a eu lieu, et effective jusqu’à la signature du marché, à moins que (i) </w:t>
            </w:r>
            <w:r w:rsidR="00DD3709" w:rsidRPr="00DD3709">
              <w:t>la</w:t>
            </w:r>
            <w:r w:rsidRPr="004E4188">
              <w:t xml:space="preserve"> période d’exclusion ne dépasse pas un an, que (ii) trois (3) ans se soient écoulés depuis la décision d’exclusion</w:t>
            </w:r>
            <w:r w:rsidR="002F22B9" w:rsidRPr="002F22B9">
              <w:t>, ou que (iii) la JICA donne son non-objection sur l’éligibilité en cas de préjudice porté d’une manière claire et substantielle à l’Emprunteur</w:t>
            </w:r>
            <w:r w:rsidRPr="004E4188">
              <w:t>.</w:t>
            </w:r>
          </w:p>
          <w:p w14:paraId="072FC69A" w14:textId="77777777" w:rsidR="007049A5" w:rsidRPr="004E4188" w:rsidRDefault="007049A5" w:rsidP="00292254">
            <w:pPr>
              <w:spacing w:after="200"/>
              <w:ind w:left="1026"/>
              <w:outlineLvl w:val="3"/>
            </w:pPr>
            <w:r w:rsidRPr="004E4188">
              <w:t>S’il s’avère que l’Entrepreneur est inéligible à l’adjudication d’un marché conformément</w:t>
            </w:r>
            <w:r w:rsidRPr="004E4188">
              <w:rPr>
                <w:lang w:eastAsia="ja-JP"/>
              </w:rPr>
              <w:t xml:space="preserve"> aux dispositions</w:t>
            </w:r>
            <w:r w:rsidRPr="004E4188">
              <w:t xml:space="preserve"> ci-dessus, la JICA imposera, en principe, des sanctions contre l’Entrepreneur.</w:t>
            </w:r>
          </w:p>
        </w:tc>
      </w:tr>
      <w:tr w:rsidR="007049A5" w:rsidRPr="004E4188" w14:paraId="152234E1" w14:textId="77777777" w:rsidTr="0092765E">
        <w:tc>
          <w:tcPr>
            <w:tcW w:w="2268" w:type="dxa"/>
            <w:tcBorders>
              <w:top w:val="nil"/>
              <w:left w:val="nil"/>
              <w:bottom w:val="nil"/>
              <w:right w:val="nil"/>
            </w:tcBorders>
          </w:tcPr>
          <w:p w14:paraId="69654CC4" w14:textId="77777777" w:rsidR="007049A5" w:rsidRPr="004E4188" w:rsidRDefault="007049A5" w:rsidP="00EC0A93">
            <w:pPr>
              <w:pStyle w:val="Header1-Clauses"/>
              <w:rPr>
                <w:b w:val="0"/>
                <w:lang w:val="fr-FR"/>
              </w:rPr>
            </w:pPr>
          </w:p>
        </w:tc>
        <w:tc>
          <w:tcPr>
            <w:tcW w:w="7023" w:type="dxa"/>
            <w:tcBorders>
              <w:top w:val="nil"/>
              <w:left w:val="nil"/>
              <w:bottom w:val="nil"/>
              <w:right w:val="nil"/>
            </w:tcBorders>
          </w:tcPr>
          <w:p w14:paraId="6E3EFBDA" w14:textId="08EBD464" w:rsidR="007049A5" w:rsidRPr="004E4188" w:rsidRDefault="007049A5" w:rsidP="00292254">
            <w:pPr>
              <w:spacing w:after="200"/>
              <w:ind w:left="1026"/>
            </w:pPr>
            <w:r w:rsidRPr="004E4188">
              <w:t xml:space="preserve">S’il s’avère qu’un sous-traitant, ayant un marché direct avec l’Entrepreneur, a été </w:t>
            </w:r>
            <w:r w:rsidR="00871814" w:rsidRPr="00871814">
              <w:t>radié</w:t>
            </w:r>
            <w:r w:rsidRPr="004E4188">
              <w:t xml:space="preserve"> par le Groupe de la Banque mondiale à la date du marché de sous-traitance, la JICA requerra, en principe, de l’Emprunteur qu’il demande à l’Entrepreneur d’annuler immédiatement le marché de sous-traitance, à moins que (i) la période d’exclusion ne dépasse pas un an, que (ii) trois (3) ans se soient écoulés depuis la décision d’exclusion</w:t>
            </w:r>
            <w:r w:rsidR="002F22B9" w:rsidRPr="002F22B9">
              <w:t>, ou que (iii) la JICA donne son non-objection sur l’éligibilité en cas de préjudice porté d’une manière claire et substantielle à l’Emprunteur</w:t>
            </w:r>
            <w:r w:rsidRPr="004E4188">
              <w:t xml:space="preserve">. Si l’Entrepreneur s’oppose à cette demande, la JICA requerra de l’Emprunteur de déclarer invalide ou d’annuler le marché et demandera le remboursement des paiements effectués au titre du </w:t>
            </w:r>
            <w:r w:rsidR="001531F3" w:rsidRPr="004E4188">
              <w:t xml:space="preserve">Prêt </w:t>
            </w:r>
            <w:r w:rsidRPr="004E4188">
              <w:t>ou appliquera toute autre mesure sur motif de violation de marché.</w:t>
            </w:r>
          </w:p>
          <w:p w14:paraId="0150D5AE" w14:textId="77777777" w:rsidR="007049A5" w:rsidRPr="004E4188" w:rsidRDefault="007049A5" w:rsidP="006C6267">
            <w:pPr>
              <w:pStyle w:val="af7"/>
              <w:tabs>
                <w:tab w:val="left" w:pos="576"/>
              </w:tabs>
              <w:spacing w:after="200"/>
              <w:ind w:left="601" w:hanging="601"/>
              <w:rPr>
                <w:lang w:val="fr-FR"/>
              </w:rPr>
            </w:pPr>
            <w:r w:rsidRPr="004E4188">
              <w:rPr>
                <w:lang w:val="fr-FR"/>
              </w:rPr>
              <w:t>3.2</w:t>
            </w:r>
            <w:r w:rsidRPr="004E4188">
              <w:rPr>
                <w:lang w:val="fr-FR"/>
              </w:rPr>
              <w:tab/>
              <w:t>Si le Maître d’ouvrage établit, preuve suffisante à l’appui, qu’un Soumissionnaire s’est livré à des pratiques corrompues ou frauduleuses, le Maître d’ouvrage peut disqualifier ledit Soumissionnaire après avoir notifié les motifs du rejet de son offre.</w:t>
            </w:r>
          </w:p>
        </w:tc>
      </w:tr>
      <w:tr w:rsidR="007049A5" w:rsidRPr="004E4188" w14:paraId="2B19E1E9" w14:textId="77777777" w:rsidTr="0092765E">
        <w:trPr>
          <w:cantSplit/>
        </w:trPr>
        <w:tc>
          <w:tcPr>
            <w:tcW w:w="2268" w:type="dxa"/>
            <w:tcBorders>
              <w:top w:val="nil"/>
              <w:left w:val="nil"/>
              <w:bottom w:val="nil"/>
              <w:right w:val="nil"/>
            </w:tcBorders>
          </w:tcPr>
          <w:p w14:paraId="5C5345D9" w14:textId="77777777" w:rsidR="007049A5" w:rsidRPr="004E4188" w:rsidRDefault="007049A5" w:rsidP="00EC0A93"/>
        </w:tc>
        <w:tc>
          <w:tcPr>
            <w:tcW w:w="7023" w:type="dxa"/>
            <w:tcBorders>
              <w:top w:val="nil"/>
              <w:left w:val="nil"/>
              <w:bottom w:val="nil"/>
              <w:right w:val="nil"/>
            </w:tcBorders>
          </w:tcPr>
          <w:p w14:paraId="01AB7E53" w14:textId="3DA2C0B5" w:rsidR="007049A5" w:rsidRPr="004E4188" w:rsidRDefault="007049A5" w:rsidP="006C6267">
            <w:pPr>
              <w:pStyle w:val="af7"/>
              <w:spacing w:after="200"/>
              <w:ind w:left="601" w:hanging="601"/>
              <w:rPr>
                <w:i/>
                <w:spacing w:val="-4"/>
                <w:lang w:val="fr-FR"/>
              </w:rPr>
            </w:pPr>
            <w:r w:rsidRPr="004E4188">
              <w:rPr>
                <w:lang w:val="fr-FR"/>
              </w:rPr>
              <w:t>3.3</w:t>
            </w:r>
            <w:r w:rsidRPr="004E4188">
              <w:rPr>
                <w:lang w:val="fr-FR"/>
              </w:rPr>
              <w:tab/>
              <w:t xml:space="preserve">De plus, les Soumissionnaires doivent avoir connaissance des dispositions énoncées à l’Article 6 </w:t>
            </w:r>
            <w:r w:rsidR="00704607" w:rsidRPr="004E4188">
              <w:rPr>
                <w:lang w:val="fr-FR"/>
              </w:rPr>
              <w:t>des Conditions du Marché</w:t>
            </w:r>
            <w:r w:rsidRPr="004E4188">
              <w:rPr>
                <w:lang w:val="fr-FR"/>
              </w:rPr>
              <w:t>.</w:t>
            </w:r>
          </w:p>
        </w:tc>
      </w:tr>
      <w:tr w:rsidR="007049A5" w:rsidRPr="004E4188" w14:paraId="095B9F7F" w14:textId="77777777" w:rsidTr="0092765E">
        <w:trPr>
          <w:trHeight w:val="709"/>
        </w:trPr>
        <w:tc>
          <w:tcPr>
            <w:tcW w:w="2268" w:type="dxa"/>
            <w:tcBorders>
              <w:top w:val="nil"/>
              <w:left w:val="nil"/>
              <w:bottom w:val="nil"/>
              <w:right w:val="nil"/>
            </w:tcBorders>
          </w:tcPr>
          <w:p w14:paraId="1AFC847C" w14:textId="2C053A73" w:rsidR="007049A5" w:rsidRPr="004E4188" w:rsidRDefault="007049A5" w:rsidP="0092765E">
            <w:pPr>
              <w:pStyle w:val="Header1-Clauses"/>
              <w:ind w:left="357" w:hanging="357"/>
              <w:rPr>
                <w:lang w:val="fr-FR"/>
              </w:rPr>
            </w:pPr>
            <w:bookmarkStart w:id="370" w:name="_Toc104195560"/>
            <w:r w:rsidRPr="004E4188">
              <w:rPr>
                <w:lang w:val="fr-FR"/>
              </w:rPr>
              <w:t>4.</w:t>
            </w:r>
            <w:r w:rsidRPr="004E4188">
              <w:rPr>
                <w:b w:val="0"/>
                <w:lang w:val="fr-FR" w:eastAsia="ja-JP"/>
              </w:rPr>
              <w:tab/>
            </w:r>
            <w:r w:rsidRPr="004E4188">
              <w:rPr>
                <w:lang w:val="fr-FR"/>
              </w:rPr>
              <w:t>Soumission</w:t>
            </w:r>
            <w:r w:rsidRPr="004E4188">
              <w:rPr>
                <w:lang w:val="fr-FR" w:eastAsia="ja-JP"/>
              </w:rPr>
              <w:softHyphen/>
            </w:r>
            <w:r w:rsidRPr="004E4188">
              <w:rPr>
                <w:lang w:val="fr-FR"/>
              </w:rPr>
              <w:t>naires éligibles</w:t>
            </w:r>
            <w:bookmarkEnd w:id="370"/>
          </w:p>
        </w:tc>
        <w:tc>
          <w:tcPr>
            <w:tcW w:w="7023" w:type="dxa"/>
            <w:tcBorders>
              <w:top w:val="nil"/>
              <w:left w:val="nil"/>
              <w:bottom w:val="nil"/>
              <w:right w:val="nil"/>
            </w:tcBorders>
          </w:tcPr>
          <w:p w14:paraId="6473558C" w14:textId="69D0BC02" w:rsidR="007049A5" w:rsidRPr="004E4188" w:rsidRDefault="007049A5" w:rsidP="005348DF">
            <w:pPr>
              <w:pStyle w:val="af7"/>
              <w:spacing w:after="200"/>
              <w:ind w:left="601" w:hanging="601"/>
              <w:rPr>
                <w:lang w:val="fr-FR"/>
              </w:rPr>
            </w:pPr>
            <w:r w:rsidRPr="004E4188">
              <w:rPr>
                <w:lang w:val="fr-FR"/>
              </w:rPr>
              <w:t>4.1</w:t>
            </w:r>
            <w:r w:rsidRPr="004E4188">
              <w:rPr>
                <w:lang w:val="fr-FR"/>
              </w:rPr>
              <w:tab/>
              <w:t>Le Soumissionnaire peut être une entreprise unique ou un Groupement.</w:t>
            </w:r>
            <w:r w:rsidRPr="004E4188" w:rsidDel="00674874">
              <w:rPr>
                <w:lang w:val="fr-FR"/>
              </w:rPr>
              <w:t xml:space="preserve"> </w:t>
            </w:r>
            <w:r w:rsidRPr="004E4188">
              <w:rPr>
                <w:lang w:val="fr-FR"/>
              </w:rPr>
              <w:t>En cas de Groupement :</w:t>
            </w:r>
          </w:p>
          <w:p w14:paraId="37A5C728" w14:textId="5C08339D" w:rsidR="007049A5" w:rsidRPr="004E4188" w:rsidRDefault="007049A5" w:rsidP="005348DF">
            <w:pPr>
              <w:pStyle w:val="Header3-Paragraph"/>
              <w:tabs>
                <w:tab w:val="clear" w:pos="504"/>
              </w:tabs>
              <w:ind w:left="1026" w:hanging="425"/>
              <w:rPr>
                <w:lang w:val="fr-FR"/>
              </w:rPr>
            </w:pPr>
            <w:r w:rsidRPr="004E4188">
              <w:rPr>
                <w:lang w:val="fr-FR"/>
              </w:rPr>
              <w:t>(a)</w:t>
            </w:r>
            <w:r w:rsidRPr="004E4188">
              <w:rPr>
                <w:lang w:val="fr-FR" w:eastAsia="ja-JP"/>
              </w:rPr>
              <w:tab/>
              <w:t>T</w:t>
            </w:r>
            <w:r w:rsidRPr="004E4188">
              <w:rPr>
                <w:lang w:val="fr-FR"/>
              </w:rPr>
              <w:t>ous les membres doivent être solidairement responsables pour l’exécution du Marché, conformément aux termes du Marché.</w:t>
            </w:r>
          </w:p>
          <w:p w14:paraId="6DD62790" w14:textId="41B0FD4E" w:rsidR="007049A5" w:rsidRPr="004E4188" w:rsidRDefault="007049A5" w:rsidP="006C6267">
            <w:pPr>
              <w:pStyle w:val="Header3-Paragraph"/>
              <w:tabs>
                <w:tab w:val="clear" w:pos="504"/>
              </w:tabs>
              <w:ind w:left="1026" w:hanging="425"/>
              <w:rPr>
                <w:lang w:val="fr-FR"/>
              </w:rPr>
            </w:pPr>
            <w:r w:rsidRPr="004E4188">
              <w:rPr>
                <w:lang w:val="fr-FR"/>
              </w:rPr>
              <w:t>(b)</w:t>
            </w:r>
            <w:r w:rsidRPr="004E4188">
              <w:rPr>
                <w:lang w:val="fr-FR"/>
              </w:rPr>
              <w:tab/>
              <w:t>Le Groupement désignera un mandataire qui aura le pouvoir de conduire toutes les affaires pour et au nom de chacun et de tous les membres du Groupement lors de la procédure de l’appel d’offres et durant l’exécution du Marché, dans le cas où le Marché serait attribué au Groupement.</w:t>
            </w:r>
          </w:p>
          <w:p w14:paraId="4BB8BDF1" w14:textId="77777777" w:rsidR="007049A5" w:rsidRPr="004E4188" w:rsidRDefault="007049A5" w:rsidP="006C6267">
            <w:pPr>
              <w:pStyle w:val="Header3-Paragraph"/>
              <w:tabs>
                <w:tab w:val="clear" w:pos="504"/>
              </w:tabs>
              <w:ind w:left="1026" w:hanging="425"/>
              <w:rPr>
                <w:lang w:val="fr-FR"/>
              </w:rPr>
            </w:pPr>
            <w:r w:rsidRPr="004E4188">
              <w:rPr>
                <w:lang w:val="fr-FR"/>
              </w:rPr>
              <w:t>(c)</w:t>
            </w:r>
            <w:r w:rsidRPr="004E4188">
              <w:rPr>
                <w:lang w:val="fr-FR" w:eastAsia="ja-JP"/>
              </w:rPr>
              <w:tab/>
              <w:t xml:space="preserve">Une offre soumise par un Groupement doit inclure une copie de l’accord de Groupement conclu entre les membres du Groupement. Si l’accord n’est pas encore conclu, une lettre d’intention formelle de constituer un Groupement, si l’offre est retenue, doit être signée par tous les membres et remise avec l’offre, ainsi qu’une copie du projet d’accord. L’accord de Groupement ou le projet d’accord de Groupement, selon le cas, devra indiquer au moins la(les) partie(s) des </w:t>
            </w:r>
            <w:r w:rsidRPr="004E4188">
              <w:rPr>
                <w:szCs w:val="24"/>
                <w:lang w:val="fr-FR"/>
              </w:rPr>
              <w:t>É</w:t>
            </w:r>
            <w:r w:rsidRPr="004E4188">
              <w:rPr>
                <w:lang w:val="fr-FR" w:eastAsia="ja-JP"/>
              </w:rPr>
              <w:t>quipements et Services de montage exécutée(s) par chaque membre.</w:t>
            </w:r>
          </w:p>
        </w:tc>
      </w:tr>
      <w:tr w:rsidR="007049A5" w:rsidRPr="004E4188" w14:paraId="163CD647" w14:textId="77777777" w:rsidTr="0092765E">
        <w:tc>
          <w:tcPr>
            <w:tcW w:w="2268" w:type="dxa"/>
            <w:tcBorders>
              <w:top w:val="nil"/>
              <w:left w:val="nil"/>
              <w:bottom w:val="nil"/>
              <w:right w:val="nil"/>
            </w:tcBorders>
          </w:tcPr>
          <w:p w14:paraId="1B026F8E" w14:textId="77777777" w:rsidR="007049A5" w:rsidRPr="004E4188" w:rsidRDefault="007049A5" w:rsidP="00EC0A93">
            <w:pPr>
              <w:pStyle w:val="Header1-Clauses"/>
              <w:ind w:rightChars="-32" w:right="-77"/>
              <w:rPr>
                <w:lang w:val="fr-FR"/>
              </w:rPr>
            </w:pPr>
          </w:p>
        </w:tc>
        <w:tc>
          <w:tcPr>
            <w:tcW w:w="7023" w:type="dxa"/>
            <w:tcBorders>
              <w:top w:val="nil"/>
              <w:left w:val="nil"/>
              <w:bottom w:val="nil"/>
              <w:right w:val="nil"/>
            </w:tcBorders>
          </w:tcPr>
          <w:p w14:paraId="477E58B4" w14:textId="74E9DE9E" w:rsidR="007049A5" w:rsidRPr="004E4188" w:rsidRDefault="007049A5" w:rsidP="005348DF">
            <w:pPr>
              <w:pStyle w:val="af7"/>
              <w:spacing w:after="200"/>
              <w:ind w:left="601" w:hanging="601"/>
              <w:rPr>
                <w:rStyle w:val="27"/>
              </w:rPr>
            </w:pPr>
            <w:r w:rsidRPr="004E4188">
              <w:rPr>
                <w:rStyle w:val="27"/>
                <w:lang w:eastAsia="ja-JP"/>
              </w:rPr>
              <w:t>4.2</w:t>
            </w:r>
            <w:r w:rsidRPr="004E4188">
              <w:rPr>
                <w:rStyle w:val="27"/>
                <w:lang w:eastAsia="ja-JP"/>
              </w:rPr>
              <w:tab/>
              <w:t xml:space="preserve">Le </w:t>
            </w:r>
            <w:r w:rsidRPr="004E4188">
              <w:rPr>
                <w:rStyle w:val="27"/>
              </w:rPr>
              <w:t xml:space="preserve">Soumissionnaire ne doit pas se trouver en situation de conflit d’intérêt. Le Soumissionnaire sera disqualifié dans l’une quelconque des </w:t>
            </w:r>
            <w:r w:rsidRPr="004E4188">
              <w:rPr>
                <w:lang w:val="fr-FR"/>
              </w:rPr>
              <w:t>circonstances</w:t>
            </w:r>
            <w:r w:rsidRPr="004E4188">
              <w:rPr>
                <w:rStyle w:val="27"/>
              </w:rPr>
              <w:t xml:space="preserve"> indiquées ci-dessous, où il </w:t>
            </w:r>
            <w:r w:rsidRPr="004E4188">
              <w:rPr>
                <w:lang w:val="fr-FR"/>
              </w:rPr>
              <w:t>est</w:t>
            </w:r>
            <w:r w:rsidRPr="004E4188">
              <w:rPr>
                <w:rStyle w:val="27"/>
              </w:rPr>
              <w:t xml:space="preserve"> considéré être en situation de </w:t>
            </w:r>
            <w:r w:rsidRPr="004E4188">
              <w:rPr>
                <w:lang w:val="fr-FR"/>
              </w:rPr>
              <w:t>conflit</w:t>
            </w:r>
            <w:r w:rsidRPr="004E4188">
              <w:rPr>
                <w:rStyle w:val="27"/>
              </w:rPr>
              <w:t xml:space="preserve"> d’intérêt, durant tout le </w:t>
            </w:r>
            <w:r w:rsidRPr="004E4188">
              <w:rPr>
                <w:lang w:val="fr-FR"/>
              </w:rPr>
              <w:t>processus</w:t>
            </w:r>
            <w:r w:rsidRPr="004E4188">
              <w:rPr>
                <w:rStyle w:val="27"/>
              </w:rPr>
              <w:t xml:space="preserve"> de l’appel d’offres/de la sélection et/ou durant l’</w:t>
            </w:r>
            <w:r w:rsidRPr="004E4188">
              <w:rPr>
                <w:lang w:val="fr-FR"/>
              </w:rPr>
              <w:t>exécution</w:t>
            </w:r>
            <w:r w:rsidRPr="004E4188">
              <w:rPr>
                <w:rStyle w:val="27"/>
              </w:rPr>
              <w:t xml:space="preserve"> du Marché, à moins que le conflit n’ait été résolu de manière acceptable pour la JICA.</w:t>
            </w:r>
          </w:p>
          <w:p w14:paraId="551DBB1E" w14:textId="4B0E594C" w:rsidR="007049A5" w:rsidRPr="004E4188" w:rsidRDefault="007049A5" w:rsidP="005348DF">
            <w:pPr>
              <w:pStyle w:val="Header3-Paragraph"/>
              <w:tabs>
                <w:tab w:val="clear" w:pos="504"/>
              </w:tabs>
              <w:ind w:left="1026" w:hanging="425"/>
              <w:rPr>
                <w:lang w:val="fr-FR"/>
              </w:rPr>
            </w:pPr>
            <w:r w:rsidRPr="004E4188">
              <w:rPr>
                <w:lang w:val="fr-FR" w:eastAsia="ja-JP"/>
              </w:rPr>
              <w:t>(a)</w:t>
            </w:r>
            <w:r w:rsidRPr="004E4188">
              <w:rPr>
                <w:lang w:val="fr-FR" w:eastAsia="ja-JP"/>
              </w:rPr>
              <w:tab/>
            </w:r>
            <w:r w:rsidRPr="004E4188">
              <w:rPr>
                <w:lang w:val="fr-FR"/>
              </w:rPr>
              <w:t>Une firme sera disqualifiée pour l’approvisionnement de biens ou la fourniture de services autres que ceux de consultant résultant de, ou directement liés aux services de consultant pour la préparation ou la mise en œuvre d’un projet qu’elle aurait fournis ou qui auraient été fournis par quelqu’affilié que ce soit contrôlant directement ou indirectement, est contrôlé par, ou est sous contrôle commun avec cette firme. Cette disposition ne s’applique pas aux diverses firmes (consultants, entrepreneurs ou fournisseurs) sous le seul prétexte que ces firmes remplissent ensemble les obligations de l’Entrepreneur dans le cadre d’un marché clé en main ou de conception et de construction.</w:t>
            </w:r>
          </w:p>
          <w:p w14:paraId="70A063E8" w14:textId="2ADED8D6" w:rsidR="007049A5" w:rsidRPr="004E4188" w:rsidRDefault="007049A5" w:rsidP="005348DF">
            <w:pPr>
              <w:pStyle w:val="Header3-Paragraph"/>
              <w:tabs>
                <w:tab w:val="clear" w:pos="504"/>
              </w:tabs>
              <w:ind w:left="1026" w:hanging="425"/>
              <w:rPr>
                <w:lang w:val="fr-FR"/>
              </w:rPr>
            </w:pPr>
            <w:r w:rsidRPr="004E4188">
              <w:rPr>
                <w:lang w:val="fr-FR"/>
              </w:rPr>
              <w:t>(b)</w:t>
            </w:r>
            <w:r w:rsidRPr="004E4188">
              <w:rPr>
                <w:lang w:val="fr-FR"/>
              </w:rPr>
              <w:tab/>
              <w:t xml:space="preserve">Une firme ayant une relation professionnelle étroite avec un membre du personnel professionnel de l’Emprunteur (ou de </w:t>
            </w:r>
            <w:r w:rsidRPr="004E4188">
              <w:rPr>
                <w:rFonts w:eastAsia="Times New Roman"/>
                <w:lang w:val="fr-FR"/>
              </w:rPr>
              <w:t xml:space="preserve">l’agence d’exécution du projet ou du Maître d’ouvrage) </w:t>
            </w:r>
            <w:r w:rsidRPr="004E4188">
              <w:rPr>
                <w:lang w:val="fr-FR"/>
              </w:rPr>
              <w:t>directement ou indirectement impliqué dans quelque partie que ce soit de (i) la préparation du Dossier de préqualification (le cas échéant) et</w:t>
            </w:r>
            <w:r w:rsidRPr="004E4188">
              <w:rPr>
                <w:rFonts w:hint="eastAsia"/>
                <w:lang w:val="fr-FR" w:eastAsia="ja-JP"/>
              </w:rPr>
              <w:t>/</w:t>
            </w:r>
            <w:r w:rsidRPr="004E4188">
              <w:rPr>
                <w:lang w:val="fr-FR" w:eastAsia="ja-JP"/>
              </w:rPr>
              <w:t>ou</w:t>
            </w:r>
            <w:r w:rsidRPr="004E4188">
              <w:rPr>
                <w:lang w:val="fr-FR"/>
              </w:rPr>
              <w:t xml:space="preserve"> </w:t>
            </w:r>
            <w:r w:rsidR="007F3542" w:rsidRPr="004E4188">
              <w:rPr>
                <w:lang w:val="fr-FR"/>
              </w:rPr>
              <w:t xml:space="preserve">du Dossier </w:t>
            </w:r>
            <w:r w:rsidRPr="004E4188">
              <w:rPr>
                <w:lang w:val="fr-FR"/>
              </w:rPr>
              <w:t>d’appel d’offres pour le Marché, (ii) l’évaluation de la préqualification (le cas échéant) et</w:t>
            </w:r>
            <w:r w:rsidRPr="004E4188">
              <w:rPr>
                <w:rFonts w:hint="eastAsia"/>
                <w:lang w:val="fr-FR" w:eastAsia="ja-JP"/>
              </w:rPr>
              <w:t>/</w:t>
            </w:r>
            <w:r w:rsidRPr="004E4188">
              <w:rPr>
                <w:lang w:val="fr-FR" w:eastAsia="ja-JP"/>
              </w:rPr>
              <w:t>ou</w:t>
            </w:r>
            <w:r w:rsidRPr="004E4188">
              <w:rPr>
                <w:lang w:val="fr-FR"/>
              </w:rPr>
              <w:t xml:space="preserve"> l’évaluation des offres ou (iii) la supervision de ce même Marché, doit être disqualifiée.</w:t>
            </w:r>
          </w:p>
          <w:p w14:paraId="5425BEB4" w14:textId="5982B044" w:rsidR="007049A5" w:rsidRPr="001D62E0" w:rsidRDefault="007049A5" w:rsidP="005348DF">
            <w:pPr>
              <w:pStyle w:val="Header3-Paragraph"/>
              <w:tabs>
                <w:tab w:val="clear" w:pos="504"/>
              </w:tabs>
              <w:ind w:left="1026" w:hanging="425"/>
              <w:rPr>
                <w:lang w:val="fr-FR"/>
              </w:rPr>
            </w:pPr>
            <w:r w:rsidRPr="004E4188">
              <w:rPr>
                <w:lang w:val="fr-FR"/>
              </w:rPr>
              <w:t>(c)</w:t>
            </w:r>
            <w:r w:rsidRPr="004E4188">
              <w:rPr>
                <w:lang w:val="fr-FR" w:eastAsia="ja-JP"/>
              </w:rPr>
              <w:tab/>
            </w:r>
            <w:r w:rsidRPr="004E4188">
              <w:rPr>
                <w:lang w:val="fr-FR"/>
              </w:rPr>
              <w:t xml:space="preserve">Sur la base du principe « Une offre par soumissionnaire » visant à assurer une compétition loyale, une firme et n’importe lequel de ses affiliés qui contrôle directement ou indirectement, est contrôlé par, ou est sous contrôle commun avec cette firme, ne doivent pas être autorisés à soumettre plus d’une offre, soit à titre individuel ou en tant que Groupement. </w:t>
            </w:r>
            <w:r w:rsidR="001D62E0" w:rsidRPr="001D62E0">
              <w:rPr>
                <w:lang w:val="fr-FR"/>
              </w:rPr>
              <w:t>Cependant, cela ne limite pas une firme (y compris son affilié) participant à une offre individuellement ou en tant que membre d’un Groupement à participer en même temps (y compris son affilié) aux autres offres en tant que sous-traitant, mais PAS en tant que sous-traitant spécialisé (se référer à lS 1</w:t>
            </w:r>
            <w:r w:rsidR="001D62E0">
              <w:rPr>
                <w:lang w:val="fr-FR"/>
              </w:rPr>
              <w:t>4</w:t>
            </w:r>
            <w:r w:rsidR="001D62E0" w:rsidRPr="001D62E0">
              <w:rPr>
                <w:lang w:val="fr-FR"/>
              </w:rPr>
              <w:t xml:space="preserve">.3). Une firme (y compris son affilié) agissant en tant que sous-traitant spécialisé ou en tant que sous-traitant dans une offre peut participer aux autres offres en tant que sous-traitant spécialisé ou en tant que sous-traitant. </w:t>
            </w:r>
          </w:p>
          <w:p w14:paraId="4711F04F" w14:textId="55F5D149" w:rsidR="007049A5" w:rsidRPr="004E4188" w:rsidRDefault="007049A5" w:rsidP="006C6267">
            <w:pPr>
              <w:pStyle w:val="Header3-Paragraph"/>
              <w:tabs>
                <w:tab w:val="clear" w:pos="504"/>
              </w:tabs>
              <w:ind w:left="1026" w:hanging="425"/>
              <w:rPr>
                <w:lang w:val="fr-FR" w:eastAsia="ja-JP"/>
              </w:rPr>
            </w:pPr>
            <w:r w:rsidRPr="004E4188">
              <w:rPr>
                <w:lang w:val="fr-FR"/>
              </w:rPr>
              <w:t>(d)</w:t>
            </w:r>
            <w:r w:rsidRPr="004E4188">
              <w:rPr>
                <w:lang w:val="fr-FR" w:eastAsia="ja-JP"/>
              </w:rPr>
              <w:tab/>
            </w:r>
            <w:r w:rsidRPr="004E4188">
              <w:rPr>
                <w:lang w:val="fr-FR"/>
              </w:rPr>
              <w:t>Une firme se trouvant dans toute autre situation de conflit d’intérêt que celles citées aux alinéas (a) à (c) sera aussi disqualifiée.</w:t>
            </w:r>
          </w:p>
        </w:tc>
      </w:tr>
      <w:tr w:rsidR="007049A5" w:rsidRPr="004E4188" w14:paraId="1AB08285" w14:textId="77777777" w:rsidTr="0092765E">
        <w:trPr>
          <w:trHeight w:val="1059"/>
        </w:trPr>
        <w:tc>
          <w:tcPr>
            <w:tcW w:w="2268" w:type="dxa"/>
            <w:tcBorders>
              <w:top w:val="nil"/>
              <w:left w:val="nil"/>
              <w:bottom w:val="nil"/>
              <w:right w:val="nil"/>
            </w:tcBorders>
          </w:tcPr>
          <w:p w14:paraId="36F51186" w14:textId="77777777" w:rsidR="007049A5" w:rsidRPr="004E4188" w:rsidRDefault="007049A5" w:rsidP="00EC0A93">
            <w:pPr>
              <w:pStyle w:val="Header1-Clauses"/>
              <w:ind w:rightChars="-32" w:right="-77"/>
              <w:rPr>
                <w:lang w:val="fr-FR"/>
              </w:rPr>
            </w:pPr>
          </w:p>
        </w:tc>
        <w:tc>
          <w:tcPr>
            <w:tcW w:w="7023" w:type="dxa"/>
            <w:tcBorders>
              <w:top w:val="nil"/>
              <w:left w:val="nil"/>
              <w:bottom w:val="nil"/>
              <w:right w:val="nil"/>
            </w:tcBorders>
          </w:tcPr>
          <w:p w14:paraId="72AE1034" w14:textId="79279406" w:rsidR="007049A5" w:rsidRPr="004E4188" w:rsidRDefault="007049A5" w:rsidP="006C6267">
            <w:pPr>
              <w:pStyle w:val="af7"/>
              <w:spacing w:after="200"/>
              <w:ind w:left="601" w:hanging="601"/>
              <w:rPr>
                <w:lang w:val="fr-FR"/>
              </w:rPr>
            </w:pPr>
            <w:r w:rsidRPr="004E4188">
              <w:rPr>
                <w:lang w:val="fr-FR"/>
              </w:rPr>
              <w:t>4.3</w:t>
            </w:r>
            <w:r w:rsidRPr="004E4188">
              <w:rPr>
                <w:lang w:val="fr-FR"/>
              </w:rPr>
              <w:tab/>
              <w:t>Le Soumissionnaire doit satisfaire aux exigences relatives à l’éligibilité des Soumissionnaires stipulées à la Section V, Pays d’origine éligibles des Prêts APD du Japon.</w:t>
            </w:r>
          </w:p>
        </w:tc>
      </w:tr>
      <w:tr w:rsidR="007049A5" w:rsidRPr="004E4188" w14:paraId="7E12AA73" w14:textId="77777777" w:rsidTr="0092765E">
        <w:trPr>
          <w:trHeight w:val="835"/>
        </w:trPr>
        <w:tc>
          <w:tcPr>
            <w:tcW w:w="2268" w:type="dxa"/>
            <w:tcBorders>
              <w:top w:val="nil"/>
              <w:left w:val="nil"/>
              <w:bottom w:val="nil"/>
              <w:right w:val="nil"/>
            </w:tcBorders>
          </w:tcPr>
          <w:p w14:paraId="008BE3E3" w14:textId="77777777" w:rsidR="007049A5" w:rsidRPr="004E4188" w:rsidRDefault="007049A5" w:rsidP="00EC0A93">
            <w:pPr>
              <w:pStyle w:val="Header1-Clauses"/>
              <w:ind w:rightChars="-32" w:right="-77"/>
              <w:rPr>
                <w:lang w:val="fr-FR"/>
              </w:rPr>
            </w:pPr>
          </w:p>
        </w:tc>
        <w:tc>
          <w:tcPr>
            <w:tcW w:w="7023" w:type="dxa"/>
            <w:tcBorders>
              <w:top w:val="nil"/>
              <w:left w:val="nil"/>
              <w:bottom w:val="nil"/>
              <w:right w:val="nil"/>
            </w:tcBorders>
          </w:tcPr>
          <w:p w14:paraId="11B23E74" w14:textId="7E66B34C" w:rsidR="007049A5" w:rsidRPr="004E4188" w:rsidRDefault="007049A5" w:rsidP="006C6267">
            <w:pPr>
              <w:pStyle w:val="af7"/>
              <w:spacing w:after="200"/>
              <w:ind w:left="601" w:hanging="601"/>
              <w:rPr>
                <w:lang w:val="fr-FR"/>
              </w:rPr>
            </w:pPr>
            <w:r w:rsidRPr="004E4188">
              <w:rPr>
                <w:lang w:val="fr-FR"/>
              </w:rPr>
              <w:t>4.4</w:t>
            </w:r>
            <w:r w:rsidRPr="004E4188">
              <w:rPr>
                <w:lang w:val="fr-FR"/>
              </w:rPr>
              <w:tab/>
            </w:r>
            <w:r w:rsidRPr="004E4188">
              <w:rPr>
                <w:spacing w:val="-2"/>
                <w:lang w:val="fr-FR"/>
              </w:rPr>
              <w:t>Le Soumissionnaire déclaré inéligible par la JICA, conformément à IS 3.1, ne sera pas éligible à l’attribution d’un marché.</w:t>
            </w:r>
          </w:p>
        </w:tc>
      </w:tr>
      <w:tr w:rsidR="007049A5" w:rsidRPr="004E4188" w14:paraId="2D97ABFD" w14:textId="77777777" w:rsidTr="0092765E">
        <w:trPr>
          <w:trHeight w:val="836"/>
        </w:trPr>
        <w:tc>
          <w:tcPr>
            <w:tcW w:w="2268" w:type="dxa"/>
            <w:tcBorders>
              <w:top w:val="nil"/>
              <w:left w:val="nil"/>
              <w:bottom w:val="nil"/>
              <w:right w:val="nil"/>
            </w:tcBorders>
          </w:tcPr>
          <w:p w14:paraId="2D21FFF7" w14:textId="77777777" w:rsidR="007049A5" w:rsidRPr="004E4188" w:rsidRDefault="007049A5" w:rsidP="00EC0A93">
            <w:pPr>
              <w:pStyle w:val="Header1-Clauses"/>
              <w:ind w:rightChars="-32" w:right="-77"/>
              <w:rPr>
                <w:lang w:val="fr-FR"/>
              </w:rPr>
            </w:pPr>
          </w:p>
        </w:tc>
        <w:tc>
          <w:tcPr>
            <w:tcW w:w="7023" w:type="dxa"/>
            <w:tcBorders>
              <w:top w:val="nil"/>
              <w:left w:val="nil"/>
              <w:bottom w:val="nil"/>
              <w:right w:val="nil"/>
            </w:tcBorders>
          </w:tcPr>
          <w:p w14:paraId="0C658478" w14:textId="77777777" w:rsidR="007049A5" w:rsidRPr="004E4188" w:rsidRDefault="007049A5" w:rsidP="005348DF">
            <w:pPr>
              <w:pStyle w:val="af7"/>
              <w:spacing w:after="200"/>
              <w:ind w:left="601" w:hanging="601"/>
              <w:rPr>
                <w:lang w:val="fr-FR"/>
              </w:rPr>
            </w:pPr>
            <w:r w:rsidRPr="004E4188">
              <w:rPr>
                <w:lang w:val="fr-FR"/>
              </w:rPr>
              <w:t>4.5</w:t>
            </w:r>
            <w:r w:rsidRPr="004E4188">
              <w:rPr>
                <w:rStyle w:val="27"/>
                <w:lang w:eastAsia="ja-JP"/>
              </w:rPr>
              <w:tab/>
              <w:t xml:space="preserve">Cet </w:t>
            </w:r>
            <w:r w:rsidRPr="004E4188">
              <w:rPr>
                <w:lang w:val="fr-FR"/>
              </w:rPr>
              <w:t>appel</w:t>
            </w:r>
            <w:r w:rsidRPr="004E4188">
              <w:rPr>
                <w:rStyle w:val="27"/>
                <w:lang w:eastAsia="ja-JP"/>
              </w:rPr>
              <w:t xml:space="preserve"> d’offres est ouvert uniquement aux Soumissionnaires préqualifiés, </w:t>
            </w:r>
            <w:r w:rsidRPr="004E4188">
              <w:rPr>
                <w:rStyle w:val="27"/>
                <w:b/>
                <w:lang w:eastAsia="ja-JP"/>
              </w:rPr>
              <w:t>sauf indication contraire dans les DP</w:t>
            </w:r>
            <w:r w:rsidRPr="004E4188">
              <w:rPr>
                <w:rStyle w:val="27"/>
                <w:lang w:eastAsia="ja-JP"/>
              </w:rPr>
              <w:t>.</w:t>
            </w:r>
          </w:p>
        </w:tc>
      </w:tr>
      <w:tr w:rsidR="007049A5" w:rsidRPr="004E4188" w14:paraId="79D8C314" w14:textId="77777777" w:rsidTr="0092765E">
        <w:trPr>
          <w:trHeight w:val="1080"/>
        </w:trPr>
        <w:tc>
          <w:tcPr>
            <w:tcW w:w="2268" w:type="dxa"/>
            <w:tcBorders>
              <w:top w:val="nil"/>
              <w:left w:val="nil"/>
              <w:bottom w:val="nil"/>
              <w:right w:val="nil"/>
            </w:tcBorders>
          </w:tcPr>
          <w:p w14:paraId="2EADCBD3" w14:textId="77777777" w:rsidR="007049A5" w:rsidRPr="004E4188" w:rsidRDefault="007049A5" w:rsidP="00EC0A93">
            <w:pPr>
              <w:pStyle w:val="Header1-Clauses"/>
              <w:ind w:rightChars="-32" w:right="-77"/>
              <w:rPr>
                <w:lang w:val="fr-FR"/>
              </w:rPr>
            </w:pPr>
          </w:p>
        </w:tc>
        <w:tc>
          <w:tcPr>
            <w:tcW w:w="7023" w:type="dxa"/>
            <w:tcBorders>
              <w:top w:val="nil"/>
              <w:left w:val="nil"/>
              <w:bottom w:val="nil"/>
              <w:right w:val="nil"/>
            </w:tcBorders>
          </w:tcPr>
          <w:p w14:paraId="5C7118FF" w14:textId="75D1123F" w:rsidR="007049A5" w:rsidRPr="004E4188" w:rsidRDefault="007049A5" w:rsidP="00E71018">
            <w:pPr>
              <w:pStyle w:val="af7"/>
              <w:spacing w:after="200"/>
              <w:ind w:left="601" w:hanging="601"/>
              <w:rPr>
                <w:lang w:val="fr-FR"/>
              </w:rPr>
            </w:pPr>
            <w:r w:rsidRPr="004E4188">
              <w:rPr>
                <w:lang w:val="fr-FR"/>
              </w:rPr>
              <w:t>4.6</w:t>
            </w:r>
            <w:r w:rsidRPr="004E4188">
              <w:rPr>
                <w:rStyle w:val="27"/>
                <w:lang w:eastAsia="ja-JP"/>
              </w:rPr>
              <w:tab/>
              <w:t>Le Soumissionnaire doit</w:t>
            </w:r>
            <w:r w:rsidRPr="004E4188">
              <w:rPr>
                <w:lang w:val="fr-FR"/>
              </w:rPr>
              <w:t xml:space="preserve"> fournir la preuve</w:t>
            </w:r>
            <w:r w:rsidR="00E71018" w:rsidRPr="004E4188">
              <w:rPr>
                <w:lang w:val="fr-FR"/>
              </w:rPr>
              <w:t xml:space="preserve"> du maintien</w:t>
            </w:r>
            <w:r w:rsidRPr="004E4188">
              <w:rPr>
                <w:lang w:val="fr-FR"/>
              </w:rPr>
              <w:t xml:space="preserve"> de son éligibilité, à la satisfaction du Maître d’ouvrage, s’il </w:t>
            </w:r>
            <w:r w:rsidRPr="004E4188">
              <w:rPr>
                <w:lang w:val="fr-FR" w:eastAsia="ja-JP"/>
              </w:rPr>
              <w:t xml:space="preserve">en </w:t>
            </w:r>
            <w:r w:rsidRPr="004E4188">
              <w:rPr>
                <w:lang w:val="fr-FR"/>
              </w:rPr>
              <w:t>est requis par le Maître d’ouvrage.</w:t>
            </w:r>
          </w:p>
        </w:tc>
      </w:tr>
      <w:tr w:rsidR="007049A5" w:rsidRPr="004E4188" w14:paraId="1B25A721" w14:textId="77777777" w:rsidTr="0092765E">
        <w:tc>
          <w:tcPr>
            <w:tcW w:w="2268" w:type="dxa"/>
            <w:tcBorders>
              <w:top w:val="nil"/>
              <w:left w:val="nil"/>
              <w:bottom w:val="nil"/>
              <w:right w:val="nil"/>
            </w:tcBorders>
          </w:tcPr>
          <w:p w14:paraId="0BC0CB4F" w14:textId="50C3D9BC" w:rsidR="007049A5" w:rsidRPr="004E4188" w:rsidRDefault="007049A5" w:rsidP="0092765E">
            <w:pPr>
              <w:pStyle w:val="Header1-Clauses"/>
              <w:ind w:left="357" w:hanging="357"/>
              <w:rPr>
                <w:lang w:val="fr-FR" w:eastAsia="ja-JP"/>
              </w:rPr>
            </w:pPr>
            <w:bookmarkStart w:id="371" w:name="_Toc104195561"/>
            <w:r w:rsidRPr="004E4188">
              <w:rPr>
                <w:lang w:val="fr-FR"/>
              </w:rPr>
              <w:t>5.</w:t>
            </w:r>
            <w:r w:rsidRPr="004E4188">
              <w:rPr>
                <w:lang w:val="fr-FR"/>
              </w:rPr>
              <w:tab/>
              <w:t>Biens et services éligibles</w:t>
            </w:r>
            <w:bookmarkEnd w:id="371"/>
          </w:p>
        </w:tc>
        <w:tc>
          <w:tcPr>
            <w:tcW w:w="7023" w:type="dxa"/>
            <w:tcBorders>
              <w:top w:val="nil"/>
              <w:left w:val="nil"/>
              <w:bottom w:val="nil"/>
              <w:right w:val="nil"/>
            </w:tcBorders>
          </w:tcPr>
          <w:p w14:paraId="7E443EAE" w14:textId="1DE9671B" w:rsidR="007049A5" w:rsidRPr="004E4188" w:rsidRDefault="007049A5" w:rsidP="006C6267">
            <w:pPr>
              <w:pStyle w:val="af7"/>
              <w:spacing w:after="200"/>
              <w:ind w:left="601" w:hanging="601"/>
              <w:rPr>
                <w:lang w:val="fr-FR" w:eastAsia="ja-JP"/>
              </w:rPr>
            </w:pPr>
            <w:r w:rsidRPr="004E4188">
              <w:rPr>
                <w:lang w:val="fr-FR"/>
              </w:rPr>
              <w:t>5.1</w:t>
            </w:r>
            <w:r w:rsidRPr="004E4188">
              <w:rPr>
                <w:lang w:val="fr-FR"/>
              </w:rPr>
              <w:tab/>
              <w:t>Tous les bien</w:t>
            </w:r>
            <w:r w:rsidR="00604C05" w:rsidRPr="004E4188">
              <w:rPr>
                <w:lang w:val="fr-FR"/>
              </w:rPr>
              <w:t>s</w:t>
            </w:r>
            <w:r w:rsidRPr="004E4188">
              <w:rPr>
                <w:lang w:val="fr-FR"/>
              </w:rPr>
              <w:t xml:space="preserve"> et services </w:t>
            </w:r>
            <w:r w:rsidRPr="004E4188">
              <w:rPr>
                <w:rStyle w:val="27"/>
              </w:rPr>
              <w:t xml:space="preserve">constitutifs des </w:t>
            </w:r>
            <w:r w:rsidRPr="004E4188">
              <w:rPr>
                <w:szCs w:val="24"/>
                <w:lang w:val="fr-FR"/>
              </w:rPr>
              <w:t>É</w:t>
            </w:r>
            <w:r w:rsidRPr="004E4188">
              <w:rPr>
                <w:lang w:val="fr-FR" w:eastAsia="ja-JP"/>
              </w:rPr>
              <w:t>quipements et Services de montage</w:t>
            </w:r>
            <w:r w:rsidRPr="004E4188">
              <w:rPr>
                <w:rStyle w:val="27"/>
              </w:rPr>
              <w:t xml:space="preserve"> faisant l’objet</w:t>
            </w:r>
            <w:r w:rsidRPr="004E4188">
              <w:rPr>
                <w:lang w:val="fr-FR"/>
              </w:rPr>
              <w:t xml:space="preserve"> du présent Marché</w:t>
            </w:r>
            <w:r w:rsidRPr="004E4188">
              <w:rPr>
                <w:rStyle w:val="11"/>
                <w:lang w:val="fr-FR"/>
              </w:rPr>
              <w:t xml:space="preserve"> </w:t>
            </w:r>
            <w:r w:rsidRPr="004E4188">
              <w:rPr>
                <w:rStyle w:val="27"/>
              </w:rPr>
              <w:t>et financés par la JICA</w:t>
            </w:r>
            <w:r w:rsidRPr="004E4188">
              <w:rPr>
                <w:lang w:val="fr-FR"/>
              </w:rPr>
              <w:t xml:space="preserve"> doivent </w:t>
            </w:r>
            <w:r w:rsidRPr="004E4188">
              <w:rPr>
                <w:rStyle w:val="27"/>
              </w:rPr>
              <w:t>répondre aux exigences indiqué</w:t>
            </w:r>
            <w:r w:rsidRPr="004E4188">
              <w:rPr>
                <w:rStyle w:val="27"/>
                <w:rFonts w:hint="eastAsia"/>
                <w:lang w:eastAsia="ja-JP"/>
              </w:rPr>
              <w:t>e</w:t>
            </w:r>
            <w:r w:rsidRPr="004E4188">
              <w:rPr>
                <w:rStyle w:val="27"/>
                <w:lang w:eastAsia="ja-JP"/>
              </w:rPr>
              <w:t>s</w:t>
            </w:r>
            <w:r w:rsidRPr="004E4188">
              <w:rPr>
                <w:lang w:val="fr-FR"/>
              </w:rPr>
              <w:t xml:space="preserve"> à la Section V, Pays d’origine éligibles des Prêts APD du Japon.</w:t>
            </w:r>
          </w:p>
        </w:tc>
      </w:tr>
      <w:tr w:rsidR="007049A5" w:rsidRPr="004E4188" w14:paraId="1A3C56C2" w14:textId="77777777" w:rsidTr="0092765E">
        <w:tc>
          <w:tcPr>
            <w:tcW w:w="9291" w:type="dxa"/>
            <w:gridSpan w:val="2"/>
            <w:tcBorders>
              <w:top w:val="nil"/>
              <w:left w:val="nil"/>
              <w:bottom w:val="nil"/>
              <w:right w:val="nil"/>
            </w:tcBorders>
          </w:tcPr>
          <w:p w14:paraId="0092C92C" w14:textId="13CA1676" w:rsidR="007049A5" w:rsidRPr="004E4188" w:rsidRDefault="007049A5" w:rsidP="004B21E5">
            <w:pPr>
              <w:pStyle w:val="Section1Header1"/>
            </w:pPr>
            <w:bookmarkStart w:id="372" w:name="_Toc104195562"/>
            <w:r w:rsidRPr="004E4188">
              <w:t>B. Contenu du Dossier d’appel d’offres</w:t>
            </w:r>
            <w:bookmarkEnd w:id="372"/>
          </w:p>
        </w:tc>
      </w:tr>
      <w:tr w:rsidR="007049A5" w:rsidRPr="004E4188" w14:paraId="683C8B15" w14:textId="77777777" w:rsidTr="0092765E">
        <w:tc>
          <w:tcPr>
            <w:tcW w:w="2268" w:type="dxa"/>
            <w:tcBorders>
              <w:top w:val="nil"/>
              <w:left w:val="nil"/>
              <w:bottom w:val="nil"/>
              <w:right w:val="nil"/>
            </w:tcBorders>
          </w:tcPr>
          <w:p w14:paraId="17D905AE" w14:textId="253AC83C" w:rsidR="007049A5" w:rsidRPr="004E4188" w:rsidRDefault="007049A5" w:rsidP="0092765E">
            <w:pPr>
              <w:pStyle w:val="Header1-Clauses"/>
              <w:ind w:left="357" w:hanging="357"/>
              <w:rPr>
                <w:lang w:val="fr-FR"/>
              </w:rPr>
            </w:pPr>
            <w:bookmarkStart w:id="373" w:name="_Toc104195563"/>
            <w:r w:rsidRPr="004E4188">
              <w:rPr>
                <w:lang w:val="fr-FR"/>
              </w:rPr>
              <w:t>6.</w:t>
            </w:r>
            <w:r w:rsidRPr="004E4188">
              <w:rPr>
                <w:lang w:val="fr-FR"/>
              </w:rPr>
              <w:tab/>
              <w:t>Sections du Dossier d’appel d’offres</w:t>
            </w:r>
            <w:bookmarkEnd w:id="373"/>
          </w:p>
        </w:tc>
        <w:tc>
          <w:tcPr>
            <w:tcW w:w="7023" w:type="dxa"/>
            <w:tcBorders>
              <w:top w:val="nil"/>
              <w:left w:val="nil"/>
              <w:bottom w:val="nil"/>
              <w:right w:val="nil"/>
            </w:tcBorders>
          </w:tcPr>
          <w:p w14:paraId="7BBBA1D6" w14:textId="77777777" w:rsidR="007049A5" w:rsidRPr="004E4188" w:rsidRDefault="007049A5" w:rsidP="003D46CF">
            <w:pPr>
              <w:numPr>
                <w:ilvl w:val="1"/>
                <w:numId w:val="42"/>
              </w:numPr>
              <w:tabs>
                <w:tab w:val="clear" w:pos="360"/>
              </w:tabs>
              <w:suppressAutoHyphens w:val="0"/>
              <w:spacing w:after="200"/>
              <w:ind w:left="601" w:hanging="601"/>
            </w:pPr>
            <w:r w:rsidRPr="004E4188">
              <w:t xml:space="preserve">Le Dossier d’appel d’offres se compose de trois parties qui comprennent toutes les sections dont la liste figure ci-après, et qui doivent être interprétées à la lumière de tout avenant émis conformément à IS 8. </w:t>
            </w:r>
          </w:p>
        </w:tc>
      </w:tr>
      <w:tr w:rsidR="007049A5" w:rsidRPr="004E4188" w14:paraId="7CAA1FCE" w14:textId="77777777" w:rsidTr="0092765E">
        <w:tc>
          <w:tcPr>
            <w:tcW w:w="2268" w:type="dxa"/>
            <w:tcBorders>
              <w:top w:val="nil"/>
              <w:left w:val="nil"/>
              <w:bottom w:val="nil"/>
              <w:right w:val="nil"/>
            </w:tcBorders>
          </w:tcPr>
          <w:p w14:paraId="75B0A248" w14:textId="77777777" w:rsidR="007049A5" w:rsidRPr="004E4188" w:rsidRDefault="007049A5" w:rsidP="00EC0A93"/>
        </w:tc>
        <w:tc>
          <w:tcPr>
            <w:tcW w:w="7023" w:type="dxa"/>
            <w:tcBorders>
              <w:top w:val="nil"/>
              <w:left w:val="nil"/>
              <w:bottom w:val="nil"/>
              <w:right w:val="nil"/>
            </w:tcBorders>
          </w:tcPr>
          <w:p w14:paraId="144E9573" w14:textId="4203546B" w:rsidR="007049A5" w:rsidRPr="004E4188" w:rsidRDefault="007049A5" w:rsidP="001E204F">
            <w:pPr>
              <w:spacing w:after="200"/>
              <w:ind w:left="601"/>
              <w:rPr>
                <w:b/>
              </w:rPr>
            </w:pPr>
            <w:r w:rsidRPr="004E4188">
              <w:rPr>
                <w:b/>
              </w:rPr>
              <w:t>PREMIÈRE PARTIE : Procédures d’appel d’offres</w:t>
            </w:r>
          </w:p>
          <w:p w14:paraId="25C828D5" w14:textId="77777777" w:rsidR="007049A5" w:rsidRPr="004E4188" w:rsidRDefault="007049A5" w:rsidP="001E204F">
            <w:pPr>
              <w:numPr>
                <w:ilvl w:val="0"/>
                <w:numId w:val="2"/>
              </w:numPr>
              <w:suppressAutoHyphens w:val="0"/>
              <w:spacing w:after="100"/>
              <w:ind w:left="1026" w:hanging="425"/>
            </w:pPr>
            <w:r w:rsidRPr="004E4188">
              <w:t>Section I. Instructions aux soumissionnaires (IS)</w:t>
            </w:r>
          </w:p>
          <w:p w14:paraId="0AD334DF" w14:textId="77777777" w:rsidR="007049A5" w:rsidRPr="004E4188" w:rsidRDefault="007049A5" w:rsidP="001E204F">
            <w:pPr>
              <w:numPr>
                <w:ilvl w:val="0"/>
                <w:numId w:val="3"/>
              </w:numPr>
              <w:suppressAutoHyphens w:val="0"/>
              <w:spacing w:after="100"/>
              <w:ind w:left="1026" w:hanging="425"/>
            </w:pPr>
            <w:r w:rsidRPr="004E4188">
              <w:t>Section II. Données particulières (DP)</w:t>
            </w:r>
          </w:p>
          <w:p w14:paraId="639FF90B" w14:textId="77777777" w:rsidR="007049A5" w:rsidRPr="004E4188" w:rsidRDefault="007049A5" w:rsidP="001E204F">
            <w:pPr>
              <w:numPr>
                <w:ilvl w:val="0"/>
                <w:numId w:val="4"/>
              </w:numPr>
              <w:suppressAutoHyphens w:val="0"/>
              <w:spacing w:after="100"/>
              <w:ind w:left="1026" w:hanging="425"/>
            </w:pPr>
            <w:r w:rsidRPr="004E4188">
              <w:t>Section III. Critères d’évaluation et de qualification (CEQ)</w:t>
            </w:r>
          </w:p>
          <w:p w14:paraId="0B221761" w14:textId="77777777" w:rsidR="007049A5" w:rsidRPr="004E4188" w:rsidRDefault="007049A5" w:rsidP="001E204F">
            <w:pPr>
              <w:numPr>
                <w:ilvl w:val="0"/>
                <w:numId w:val="5"/>
              </w:numPr>
              <w:suppressAutoHyphens w:val="0"/>
              <w:spacing w:after="100"/>
              <w:ind w:left="1026" w:hanging="425"/>
            </w:pPr>
            <w:r w:rsidRPr="004E4188">
              <w:t>Section IV. Formulaires de soumission</w:t>
            </w:r>
          </w:p>
          <w:p w14:paraId="35E7ABCC" w14:textId="77777777" w:rsidR="007049A5" w:rsidRPr="004E4188" w:rsidRDefault="007049A5" w:rsidP="001E204F">
            <w:pPr>
              <w:numPr>
                <w:ilvl w:val="0"/>
                <w:numId w:val="6"/>
              </w:numPr>
              <w:suppressAutoHyphens w:val="0"/>
              <w:spacing w:after="200"/>
              <w:ind w:left="1026" w:hanging="425"/>
            </w:pPr>
            <w:r w:rsidRPr="004E4188">
              <w:t>Section V. Pays d’origine éligibles des Prêts APD du Japon</w:t>
            </w:r>
          </w:p>
          <w:p w14:paraId="13B6767F" w14:textId="14CA64EA" w:rsidR="007049A5" w:rsidRPr="004E4188" w:rsidRDefault="007049A5" w:rsidP="001E204F">
            <w:pPr>
              <w:numPr>
                <w:ilvl w:val="12"/>
                <w:numId w:val="0"/>
              </w:numPr>
              <w:spacing w:after="200"/>
              <w:ind w:left="601"/>
              <w:rPr>
                <w:b/>
              </w:rPr>
            </w:pPr>
            <w:r w:rsidRPr="004E4188">
              <w:rPr>
                <w:b/>
              </w:rPr>
              <w:t>DEUXIÈME PARTIE : Exigences du Maître d’ouvrage</w:t>
            </w:r>
          </w:p>
          <w:p w14:paraId="59ECA141" w14:textId="77777777" w:rsidR="007049A5" w:rsidRPr="004E4188" w:rsidRDefault="007049A5" w:rsidP="001E204F">
            <w:pPr>
              <w:numPr>
                <w:ilvl w:val="0"/>
                <w:numId w:val="7"/>
              </w:numPr>
              <w:suppressAutoHyphens w:val="0"/>
              <w:spacing w:after="200"/>
              <w:ind w:left="1026" w:hanging="425"/>
            </w:pPr>
            <w:r w:rsidRPr="004E4188">
              <w:t>Section VI. Exigences du Maître d’ouvrage</w:t>
            </w:r>
          </w:p>
          <w:p w14:paraId="65F32084" w14:textId="42315CB0" w:rsidR="007049A5" w:rsidRPr="004E4188" w:rsidRDefault="007049A5" w:rsidP="001E204F">
            <w:pPr>
              <w:numPr>
                <w:ilvl w:val="12"/>
                <w:numId w:val="0"/>
              </w:numPr>
              <w:spacing w:after="200"/>
              <w:ind w:left="601"/>
              <w:rPr>
                <w:b/>
              </w:rPr>
            </w:pPr>
            <w:r w:rsidRPr="004E4188">
              <w:rPr>
                <w:b/>
              </w:rPr>
              <w:t xml:space="preserve">TROISIÈME PARTIE : Conditions du Marché et </w:t>
            </w:r>
            <w:r w:rsidR="00793E31" w:rsidRPr="004E4188">
              <w:rPr>
                <w:b/>
              </w:rPr>
              <w:t>f</w:t>
            </w:r>
            <w:r w:rsidRPr="004E4188">
              <w:rPr>
                <w:b/>
              </w:rPr>
              <w:t>ormulaires du Marché</w:t>
            </w:r>
          </w:p>
          <w:p w14:paraId="3B3342FE" w14:textId="7C486DBD" w:rsidR="007049A5" w:rsidRPr="004E4188" w:rsidRDefault="007049A5" w:rsidP="001E204F">
            <w:pPr>
              <w:numPr>
                <w:ilvl w:val="0"/>
                <w:numId w:val="8"/>
              </w:numPr>
              <w:suppressAutoHyphens w:val="0"/>
              <w:spacing w:after="100"/>
              <w:ind w:left="1026" w:hanging="425"/>
            </w:pPr>
            <w:r w:rsidRPr="004E4188">
              <w:t>Section VII. Conditions Générales (CG)</w:t>
            </w:r>
          </w:p>
          <w:p w14:paraId="389DD859" w14:textId="3E92419C" w:rsidR="007049A5" w:rsidRPr="004E4188" w:rsidRDefault="007049A5" w:rsidP="001E204F">
            <w:pPr>
              <w:numPr>
                <w:ilvl w:val="0"/>
                <w:numId w:val="9"/>
              </w:numPr>
              <w:suppressAutoHyphens w:val="0"/>
              <w:spacing w:after="100"/>
              <w:ind w:left="1026" w:hanging="425"/>
            </w:pPr>
            <w:r w:rsidRPr="004E4188">
              <w:t>Section VIII. Conditions Particulières (CP)</w:t>
            </w:r>
          </w:p>
          <w:p w14:paraId="1A81B284" w14:textId="77777777" w:rsidR="007049A5" w:rsidRPr="004E4188" w:rsidRDefault="007049A5" w:rsidP="001E204F">
            <w:pPr>
              <w:numPr>
                <w:ilvl w:val="0"/>
                <w:numId w:val="10"/>
              </w:numPr>
              <w:suppressAutoHyphens w:val="0"/>
              <w:spacing w:after="200"/>
              <w:ind w:left="1026" w:hanging="425"/>
            </w:pPr>
            <w:r w:rsidRPr="004E4188">
              <w:t>Section IX. Formulaires du Marché</w:t>
            </w:r>
          </w:p>
        </w:tc>
      </w:tr>
      <w:tr w:rsidR="007049A5" w:rsidRPr="004E4188" w14:paraId="288C9BC6" w14:textId="77777777" w:rsidTr="0092765E">
        <w:tc>
          <w:tcPr>
            <w:tcW w:w="2268" w:type="dxa"/>
            <w:tcBorders>
              <w:top w:val="nil"/>
              <w:left w:val="nil"/>
              <w:bottom w:val="nil"/>
              <w:right w:val="nil"/>
            </w:tcBorders>
          </w:tcPr>
          <w:p w14:paraId="25932856" w14:textId="77777777" w:rsidR="007049A5" w:rsidRPr="004E4188" w:rsidRDefault="007049A5" w:rsidP="00EC0A93">
            <w:pPr>
              <w:suppressAutoHyphens w:val="0"/>
              <w:ind w:left="432" w:hanging="432"/>
              <w:jc w:val="left"/>
            </w:pPr>
          </w:p>
        </w:tc>
        <w:tc>
          <w:tcPr>
            <w:tcW w:w="7023" w:type="dxa"/>
            <w:tcBorders>
              <w:top w:val="nil"/>
              <w:left w:val="nil"/>
              <w:bottom w:val="nil"/>
              <w:right w:val="nil"/>
            </w:tcBorders>
          </w:tcPr>
          <w:p w14:paraId="197F2085" w14:textId="77777777" w:rsidR="007049A5" w:rsidRPr="004E4188" w:rsidRDefault="007049A5" w:rsidP="003D46CF">
            <w:pPr>
              <w:pStyle w:val="14"/>
              <w:numPr>
                <w:ilvl w:val="1"/>
                <w:numId w:val="42"/>
              </w:numPr>
              <w:tabs>
                <w:tab w:val="clear" w:pos="360"/>
              </w:tabs>
              <w:spacing w:after="200"/>
              <w:ind w:left="601" w:hanging="601"/>
              <w:rPr>
                <w:b/>
                <w:szCs w:val="24"/>
              </w:rPr>
            </w:pPr>
            <w:r w:rsidRPr="004E4188">
              <w:rPr>
                <w:szCs w:val="24"/>
              </w:rPr>
              <w:t>L’Avis d’appel d’offres émis par le Maître d’ouvrage ne fait pas partie du Dossier d’appel d’offres.</w:t>
            </w:r>
          </w:p>
          <w:p w14:paraId="3D0F476A" w14:textId="77777777" w:rsidR="007049A5" w:rsidRPr="004E4188" w:rsidRDefault="007049A5" w:rsidP="006C6267">
            <w:pPr>
              <w:pStyle w:val="14"/>
              <w:spacing w:after="200"/>
              <w:ind w:left="601"/>
              <w:rPr>
                <w:b/>
                <w:szCs w:val="24"/>
              </w:rPr>
            </w:pPr>
          </w:p>
          <w:p w14:paraId="0E3370B9" w14:textId="7ABDA8B2" w:rsidR="007049A5" w:rsidRPr="004E4188" w:rsidRDefault="007049A5" w:rsidP="00BB44B0">
            <w:pPr>
              <w:pStyle w:val="14"/>
              <w:spacing w:after="200"/>
              <w:ind w:left="601" w:hanging="601"/>
              <w:rPr>
                <w:szCs w:val="24"/>
              </w:rPr>
            </w:pPr>
            <w:r w:rsidRPr="004E4188">
              <w:rPr>
                <w:szCs w:val="24"/>
              </w:rPr>
              <w:t>6.3</w:t>
            </w:r>
            <w:r w:rsidRPr="004E4188">
              <w:tab/>
            </w:r>
            <w:r w:rsidRPr="004E4188">
              <w:rPr>
                <w:szCs w:val="24"/>
              </w:rPr>
              <w:t>Le Maître d’ouvrage ne peut être tenu responsable de</w:t>
            </w:r>
            <w:r w:rsidR="007F6558" w:rsidRPr="004E4188">
              <w:rPr>
                <w:szCs w:val="24"/>
              </w:rPr>
              <w:t xml:space="preserve"> </w:t>
            </w:r>
            <w:r w:rsidRPr="004E4188">
              <w:rPr>
                <w:szCs w:val="24"/>
              </w:rPr>
              <w:t>l’exhaustivité du Dossier d’appel d’offres, des réponses aux demandes d’éclaircissements, du procès-verbal de la réunion préparatoire à la soumission (le cas échéant) ou des avenants au Dossier d’appel d’offres émis conformément à IS 8, si ces documents n’ont été obtenus directement du Maître d’ouvrage. En cas de différence, les documents publiés directement par le Maître d’ouvrage feront foi.</w:t>
            </w:r>
          </w:p>
          <w:p w14:paraId="66781A0F" w14:textId="77777777" w:rsidR="007049A5" w:rsidRPr="004E4188" w:rsidRDefault="007049A5" w:rsidP="00BB44B0">
            <w:pPr>
              <w:spacing w:after="200"/>
              <w:ind w:left="601" w:hanging="601"/>
              <w:rPr>
                <w:szCs w:val="24"/>
              </w:rPr>
            </w:pPr>
            <w:r w:rsidRPr="004E4188">
              <w:rPr>
                <w:szCs w:val="24"/>
              </w:rPr>
              <w:t>6.4</w:t>
            </w:r>
            <w:r w:rsidRPr="004E4188">
              <w:rPr>
                <w:szCs w:val="24"/>
              </w:rPr>
              <w:tab/>
              <w:t>Le Soumissionnaire doit examiner l’ensemble des instructions, formulaires, conditions et spécifications figurant au Dossier d’appel d’offres et fournir dans son offre tous les renseignements et documents demandés dans le Dossier d’appel d’offres. Les renseignements et documents doivent être complets, exactes, à jour et vérifiables.</w:t>
            </w:r>
          </w:p>
        </w:tc>
      </w:tr>
      <w:tr w:rsidR="007049A5" w:rsidRPr="004E4188" w14:paraId="0950B0A8" w14:textId="77777777" w:rsidTr="0092765E">
        <w:tc>
          <w:tcPr>
            <w:tcW w:w="2268" w:type="dxa"/>
            <w:tcBorders>
              <w:top w:val="nil"/>
              <w:left w:val="nil"/>
              <w:bottom w:val="nil"/>
              <w:right w:val="nil"/>
            </w:tcBorders>
          </w:tcPr>
          <w:p w14:paraId="3540CB1B" w14:textId="693CA357" w:rsidR="007049A5" w:rsidRPr="004E4188" w:rsidRDefault="007049A5" w:rsidP="0092765E">
            <w:pPr>
              <w:pStyle w:val="Header1-Clauses"/>
              <w:ind w:left="357" w:hanging="357"/>
              <w:rPr>
                <w:lang w:val="fr-FR"/>
              </w:rPr>
            </w:pPr>
            <w:bookmarkStart w:id="374" w:name="_Toc104195564"/>
            <w:r w:rsidRPr="004E4188">
              <w:rPr>
                <w:lang w:val="fr-FR"/>
              </w:rPr>
              <w:t>7.</w:t>
            </w:r>
            <w:r w:rsidRPr="004E4188">
              <w:rPr>
                <w:lang w:val="fr-FR"/>
              </w:rPr>
              <w:tab/>
              <w:t>Éclaircisse</w:t>
            </w:r>
            <w:r w:rsidR="000F4080" w:rsidRPr="004E4188">
              <w:rPr>
                <w:lang w:val="fr-FR"/>
              </w:rPr>
              <w:softHyphen/>
            </w:r>
            <w:r w:rsidRPr="004E4188">
              <w:rPr>
                <w:lang w:val="fr-FR"/>
              </w:rPr>
              <w:t>ments apportés au Dossier d’appel d’offres, visite du site et réunion préparatoire</w:t>
            </w:r>
            <w:bookmarkEnd w:id="374"/>
          </w:p>
        </w:tc>
        <w:tc>
          <w:tcPr>
            <w:tcW w:w="7023" w:type="dxa"/>
            <w:tcBorders>
              <w:top w:val="nil"/>
              <w:left w:val="nil"/>
              <w:bottom w:val="nil"/>
              <w:right w:val="nil"/>
            </w:tcBorders>
          </w:tcPr>
          <w:p w14:paraId="11BC8BED" w14:textId="561DAF35" w:rsidR="007049A5" w:rsidRPr="004E4188" w:rsidRDefault="007049A5" w:rsidP="003D46CF">
            <w:pPr>
              <w:numPr>
                <w:ilvl w:val="0"/>
                <w:numId w:val="46"/>
              </w:numPr>
              <w:tabs>
                <w:tab w:val="clear" w:pos="0"/>
              </w:tabs>
              <w:suppressAutoHyphens w:val="0"/>
              <w:spacing w:after="200"/>
              <w:ind w:left="601" w:hanging="601"/>
            </w:pPr>
            <w:r w:rsidRPr="004E4188">
              <w:t>Le Soumissionnaire désirant obtenir des éclaircissements sur le Dossier d’appel d’offres contactera le Maître d’ouvrage, par écrit, à l’adresse du Maître d’ouvrage</w:t>
            </w:r>
            <w:r w:rsidRPr="004E4188">
              <w:rPr>
                <w:b/>
              </w:rPr>
              <w:t xml:space="preserve"> indiquée dans les DP</w:t>
            </w:r>
            <w:r w:rsidRPr="004E4188">
              <w:t xml:space="preserve"> ou soumettra sa demande durant la réunion préparatoire prévue, le cas échéant, conformément à IS</w:t>
            </w:r>
            <w:r w:rsidR="00B32D3B" w:rsidRPr="004E4188">
              <w:t> </w:t>
            </w:r>
            <w:r w:rsidRPr="004E4188">
              <w:t xml:space="preserve">7.4. Le Maître d’ouvrage répondra par écrit à toute demande d’éclaircissements reçue au plus tard quatorze (14) jours avant la date limite de remise des offres. Il adressera une copie de sa réponse à tous les Soumissionnaires qui auront obtenu le Dossier d’appel d’offres conformément à IS 6.3, incluant la question posée mais sans mention de l’auteur. Si </w:t>
            </w:r>
            <w:r w:rsidRPr="004E4188">
              <w:rPr>
                <w:b/>
              </w:rPr>
              <w:t>les DP le précisent</w:t>
            </w:r>
            <w:r w:rsidRPr="004E4188">
              <w:t>, le Maître d’ouvrage publiera également, dans les meilleurs délai</w:t>
            </w:r>
            <w:r w:rsidR="008674C3" w:rsidRPr="004E4188">
              <w:t>s</w:t>
            </w:r>
            <w:r w:rsidRPr="004E4188">
              <w:t xml:space="preserve">, sa réponse sur le site internet du Maître d’ouvrage </w:t>
            </w:r>
            <w:r w:rsidRPr="004E4188">
              <w:rPr>
                <w:b/>
              </w:rPr>
              <w:t>indiqué dans les DP</w:t>
            </w:r>
            <w:r w:rsidRPr="004E4188">
              <w:t>. Au cas où les éclaircissements apportés entraîneraient des changements dans les éléments essentiels du Dossier d’appel d’offres, le Maître d’ouvrage modifiera le Dossier d’appel d’offres conformément à la procédure stipulée à IS 8, IS 18.2 et à IS 36.2.</w:t>
            </w:r>
          </w:p>
        </w:tc>
      </w:tr>
      <w:tr w:rsidR="007049A5" w:rsidRPr="004E4188" w14:paraId="1A5EAA10" w14:textId="77777777" w:rsidTr="0092765E">
        <w:tc>
          <w:tcPr>
            <w:tcW w:w="2268" w:type="dxa"/>
            <w:tcBorders>
              <w:top w:val="nil"/>
              <w:left w:val="nil"/>
              <w:bottom w:val="nil"/>
              <w:right w:val="nil"/>
            </w:tcBorders>
          </w:tcPr>
          <w:p w14:paraId="7795E14A" w14:textId="77777777" w:rsidR="007049A5" w:rsidRPr="004E4188" w:rsidRDefault="007049A5" w:rsidP="0092765E">
            <w:pPr>
              <w:pStyle w:val="Header1-Clauses"/>
              <w:ind w:left="357" w:hanging="357"/>
              <w:rPr>
                <w:lang w:val="fr-FR"/>
              </w:rPr>
            </w:pPr>
          </w:p>
        </w:tc>
        <w:tc>
          <w:tcPr>
            <w:tcW w:w="7023" w:type="dxa"/>
            <w:tcBorders>
              <w:top w:val="nil"/>
              <w:left w:val="nil"/>
              <w:bottom w:val="nil"/>
              <w:right w:val="nil"/>
            </w:tcBorders>
          </w:tcPr>
          <w:p w14:paraId="4BF0BFEE" w14:textId="429FDFCC" w:rsidR="007049A5" w:rsidRPr="004E4188" w:rsidRDefault="007049A5" w:rsidP="003D46CF">
            <w:pPr>
              <w:numPr>
                <w:ilvl w:val="0"/>
                <w:numId w:val="46"/>
              </w:numPr>
              <w:tabs>
                <w:tab w:val="clear" w:pos="0"/>
              </w:tabs>
              <w:suppressAutoHyphens w:val="0"/>
              <w:spacing w:after="200"/>
              <w:ind w:left="601" w:hanging="601"/>
            </w:pPr>
            <w:r w:rsidRPr="004E4188">
              <w:t xml:space="preserve">Il est conseillé au Soumissionnaire de visiter et d’inspecter le site où les </w:t>
            </w:r>
            <w:r w:rsidRPr="004E4188">
              <w:rPr>
                <w:szCs w:val="24"/>
              </w:rPr>
              <w:t>É</w:t>
            </w:r>
            <w:r w:rsidRPr="004E4188">
              <w:t xml:space="preserve">quipements seront montés et ses environs et d’obtenir par lui-même, et sous sa propre responsabilité, tous les renseignements qui peuvent être nécessaires pour la préparation de son offre et la signature d’un marché pour l’exécution des </w:t>
            </w:r>
            <w:r w:rsidRPr="004E4188">
              <w:rPr>
                <w:szCs w:val="24"/>
              </w:rPr>
              <w:t>É</w:t>
            </w:r>
            <w:r w:rsidRPr="004E4188">
              <w:t>quipements et Services de montage. Les coûts liés à la visite du site sont entièrement à la charge du Soumissionnaire.</w:t>
            </w:r>
          </w:p>
          <w:p w14:paraId="6DFFE49A" w14:textId="77777777" w:rsidR="007049A5" w:rsidRPr="004E4188" w:rsidRDefault="007049A5" w:rsidP="003D46CF">
            <w:pPr>
              <w:numPr>
                <w:ilvl w:val="0"/>
                <w:numId w:val="46"/>
              </w:numPr>
              <w:tabs>
                <w:tab w:val="clear" w:pos="0"/>
              </w:tabs>
              <w:suppressAutoHyphens w:val="0"/>
              <w:spacing w:after="200"/>
              <w:ind w:left="601" w:hanging="601"/>
            </w:pPr>
            <w:r w:rsidRPr="004E4188">
              <w:t>Le Maître d’ouvrage autorisera le Soumissionnaire et ses employés ou agents à pénétrer dans ses locaux et sur ses terrains aux fins de cette visite, mais seulement à la condition expresse que le Soumissionnaire, ses employés et agents dégagent le Maître d’ouvrage, ses employés et agents, de toute responsabilité pouvant en résulter et qu’ils soient responsables des accidents mortels ou corporels, des pertes ou dommages matériels ou autres, des coûts et des frais encourus du fait de cette visite.</w:t>
            </w:r>
          </w:p>
          <w:p w14:paraId="0CF1CB4E" w14:textId="02BA2A21" w:rsidR="007049A5" w:rsidRPr="004E4188" w:rsidRDefault="007049A5" w:rsidP="003D46CF">
            <w:pPr>
              <w:numPr>
                <w:ilvl w:val="0"/>
                <w:numId w:val="46"/>
              </w:numPr>
              <w:tabs>
                <w:tab w:val="clear" w:pos="0"/>
              </w:tabs>
              <w:suppressAutoHyphens w:val="0"/>
              <w:spacing w:after="200"/>
              <w:ind w:left="601" w:hanging="601"/>
            </w:pPr>
            <w:r w:rsidRPr="004E4188">
              <w:t xml:space="preserve">Lorsque </w:t>
            </w:r>
            <w:r w:rsidRPr="004E4188">
              <w:rPr>
                <w:b/>
              </w:rPr>
              <w:t>les DP le prévoient</w:t>
            </w:r>
            <w:r w:rsidRPr="004E4188">
              <w:t>, le représentant habilité du Soumissionnaire est invité à participer à une réunion préparatoire à la soumission. L’objet de la réunion est d’éclaircir tous les points et de répondre à toutes les questions sur quelque sujet que ce soit qui pourraient être soulevées à ce stade.</w:t>
            </w:r>
          </w:p>
          <w:p w14:paraId="33111D6B" w14:textId="7A85EE27" w:rsidR="007049A5" w:rsidRPr="004E4188" w:rsidRDefault="007049A5" w:rsidP="003D46CF">
            <w:pPr>
              <w:numPr>
                <w:ilvl w:val="0"/>
                <w:numId w:val="46"/>
              </w:numPr>
              <w:tabs>
                <w:tab w:val="clear" w:pos="0"/>
              </w:tabs>
              <w:suppressAutoHyphens w:val="0"/>
              <w:spacing w:after="200"/>
              <w:ind w:left="601" w:hanging="601"/>
            </w:pPr>
            <w:r w:rsidRPr="004E4188">
              <w:t xml:space="preserve">Il est demandé que le Soumissionnaire soumette toutes ses questions par écrit, de façon à ce qu’elles parviennent au Maître d’ouvrage au plus tard </w:t>
            </w:r>
            <w:r w:rsidRPr="004E4188">
              <w:rPr>
                <w:rFonts w:hint="eastAsia"/>
                <w:lang w:eastAsia="ja-JP"/>
              </w:rPr>
              <w:t>s</w:t>
            </w:r>
            <w:r w:rsidRPr="004E4188">
              <w:rPr>
                <w:lang w:eastAsia="ja-JP"/>
              </w:rPr>
              <w:t xml:space="preserve">ept (7) jours </w:t>
            </w:r>
            <w:r w:rsidRPr="004E4188">
              <w:t>avant la réunion préparatoire.</w:t>
            </w:r>
          </w:p>
          <w:p w14:paraId="32A2608C" w14:textId="58FDAFEB" w:rsidR="007049A5" w:rsidRPr="004E4188" w:rsidRDefault="007049A5" w:rsidP="003D46CF">
            <w:pPr>
              <w:numPr>
                <w:ilvl w:val="0"/>
                <w:numId w:val="46"/>
              </w:numPr>
              <w:tabs>
                <w:tab w:val="clear" w:pos="0"/>
              </w:tabs>
              <w:suppressAutoHyphens w:val="0"/>
              <w:spacing w:after="200"/>
              <w:ind w:left="601" w:hanging="601"/>
            </w:pPr>
            <w:r w:rsidRPr="004E4188">
              <w:t xml:space="preserve">Le procès-verbal de la réunion préparatoire, le cas échéant, incluant le texte des questions posées par les Soumissionnaires, sans en identifier la source, et </w:t>
            </w:r>
            <w:r w:rsidR="000C4481" w:rsidRPr="004E4188">
              <w:t xml:space="preserve">les </w:t>
            </w:r>
            <w:r w:rsidRPr="004E4188">
              <w:t>réponses données, y compris les réponses préparées après la réunion, sera transmis sans délai à tous les Soumissionnaires qui ont obtenu le Dossier d’appel d’offres conformément à IS 6.3. Toute modification du Dossier d’appel d’offres qui pourrait s’avérer nécessaire à l’issue de la réunion préparatoire sera faite par le Maître d’ouvrage uniquement par voie d’avenant conformément à IS 8, et non par le biais du procès-verbal de la réunion préparatoire. Le fait qu’un Soumissionnaire n’assiste pas à la réunion préparatoire à la soumission ne constituera pas motif à sa disqualification.</w:t>
            </w:r>
          </w:p>
        </w:tc>
      </w:tr>
      <w:tr w:rsidR="007049A5" w:rsidRPr="004E4188" w14:paraId="6FAD9601" w14:textId="77777777" w:rsidTr="0092765E">
        <w:tc>
          <w:tcPr>
            <w:tcW w:w="2268" w:type="dxa"/>
            <w:tcBorders>
              <w:top w:val="nil"/>
              <w:left w:val="nil"/>
              <w:bottom w:val="nil"/>
              <w:right w:val="nil"/>
            </w:tcBorders>
          </w:tcPr>
          <w:p w14:paraId="3CAEDB10" w14:textId="765A3930" w:rsidR="007049A5" w:rsidRPr="004E4188" w:rsidRDefault="007049A5" w:rsidP="0092765E">
            <w:pPr>
              <w:pStyle w:val="Header1-Clauses"/>
              <w:tabs>
                <w:tab w:val="clear" w:pos="432"/>
              </w:tabs>
              <w:ind w:left="357" w:hanging="357"/>
              <w:rPr>
                <w:lang w:val="fr-FR"/>
              </w:rPr>
            </w:pPr>
            <w:bookmarkStart w:id="375" w:name="_Toc104195565"/>
            <w:r w:rsidRPr="004E4188">
              <w:rPr>
                <w:lang w:val="fr-FR"/>
              </w:rPr>
              <w:t>8.</w:t>
            </w:r>
            <w:r w:rsidRPr="004E4188">
              <w:rPr>
                <w:lang w:val="fr-FR" w:eastAsia="ja-JP"/>
              </w:rPr>
              <w:tab/>
            </w:r>
            <w:r w:rsidRPr="004E4188">
              <w:rPr>
                <w:lang w:val="fr-FR"/>
              </w:rPr>
              <w:t>Modifications apportées au Dossier d’appel d’offres</w:t>
            </w:r>
            <w:bookmarkEnd w:id="375"/>
            <w:r w:rsidRPr="004E4188">
              <w:rPr>
                <w:lang w:val="fr-FR"/>
              </w:rPr>
              <w:t xml:space="preserve"> </w:t>
            </w:r>
          </w:p>
        </w:tc>
        <w:tc>
          <w:tcPr>
            <w:tcW w:w="7023" w:type="dxa"/>
            <w:tcBorders>
              <w:top w:val="nil"/>
              <w:left w:val="nil"/>
              <w:bottom w:val="nil"/>
              <w:right w:val="nil"/>
            </w:tcBorders>
          </w:tcPr>
          <w:p w14:paraId="1B16D7F2" w14:textId="77777777" w:rsidR="007049A5" w:rsidRPr="004E4188" w:rsidRDefault="007049A5" w:rsidP="00E0646C">
            <w:pPr>
              <w:spacing w:after="200"/>
              <w:ind w:left="601" w:hanging="601"/>
            </w:pPr>
            <w:r w:rsidRPr="004E4188">
              <w:t>8.1</w:t>
            </w:r>
            <w:r w:rsidRPr="004E4188">
              <w:tab/>
              <w:t xml:space="preserve">Le Maître d’ouvrage peut à tout moment avant la date limite de remise des offres, modifier le Dossier d’appel d’offres en publiant un avenant. </w:t>
            </w:r>
          </w:p>
          <w:p w14:paraId="56671E4D" w14:textId="77777777" w:rsidR="007049A5" w:rsidRPr="004E4188" w:rsidRDefault="007049A5" w:rsidP="00E0646C">
            <w:pPr>
              <w:spacing w:after="200"/>
              <w:ind w:left="601" w:hanging="601"/>
            </w:pPr>
            <w:r w:rsidRPr="004E4188">
              <w:t>8.2</w:t>
            </w:r>
            <w:r w:rsidRPr="004E4188">
              <w:tab/>
              <w:t xml:space="preserve">Tout avenant publié sera considéré comme faisant partie intégrante du Dossier d’appel d’offres et sera communiqué par écrit à tous les Soumissionnaires qui ont obtenu le Dossier d’appel d’offres du Maître d’ouvrage conformément à IS 6.3. Si </w:t>
            </w:r>
            <w:r w:rsidRPr="004E4188">
              <w:rPr>
                <w:b/>
              </w:rPr>
              <w:t>les DP l’indiquent</w:t>
            </w:r>
            <w:r w:rsidRPr="004E4188">
              <w:t xml:space="preserve">, le Maître d’ouvrage publiera immédiatement l’avenant sur son site internet, conformément à IS 7.1. </w:t>
            </w:r>
          </w:p>
          <w:p w14:paraId="4D026370" w14:textId="1752C2EF" w:rsidR="007049A5" w:rsidRPr="004E4188" w:rsidRDefault="007049A5" w:rsidP="00F2077E">
            <w:pPr>
              <w:spacing w:after="200"/>
              <w:ind w:left="601" w:hanging="601"/>
            </w:pPr>
            <w:r w:rsidRPr="004E4188">
              <w:t>8.3</w:t>
            </w:r>
            <w:r w:rsidRPr="004E4188">
              <w:tab/>
              <w:t xml:space="preserve">Afin de laisser aux Soumissionnaires un délai raisonnable pour prendre en compte un avenant dans la préparation de leur offre, le Maître d’ouvrage peut reporter la date limite de remise des offres conformément à IS 18.2 ou IS 36.2. </w:t>
            </w:r>
          </w:p>
        </w:tc>
      </w:tr>
      <w:tr w:rsidR="007049A5" w:rsidRPr="004E4188" w14:paraId="67C7D9A6" w14:textId="77777777" w:rsidTr="0092765E">
        <w:tc>
          <w:tcPr>
            <w:tcW w:w="2268" w:type="dxa"/>
            <w:tcBorders>
              <w:top w:val="nil"/>
              <w:left w:val="nil"/>
              <w:bottom w:val="nil"/>
              <w:right w:val="nil"/>
            </w:tcBorders>
          </w:tcPr>
          <w:p w14:paraId="716087CA" w14:textId="3EEE2FA4" w:rsidR="007049A5" w:rsidRPr="004E4188" w:rsidRDefault="007049A5" w:rsidP="0092765E">
            <w:pPr>
              <w:pStyle w:val="Header1-Clauses"/>
              <w:ind w:left="357" w:hanging="357"/>
              <w:rPr>
                <w:lang w:val="fr-FR"/>
              </w:rPr>
            </w:pPr>
            <w:bookmarkStart w:id="376" w:name="_Toc104195566"/>
            <w:r w:rsidRPr="004E4188">
              <w:rPr>
                <w:lang w:val="fr-FR"/>
              </w:rPr>
              <w:t>9.</w:t>
            </w:r>
            <w:r w:rsidRPr="004E4188">
              <w:rPr>
                <w:lang w:val="fr-FR"/>
              </w:rPr>
              <w:tab/>
              <w:t>Frais de soumission</w:t>
            </w:r>
            <w:bookmarkEnd w:id="376"/>
            <w:r w:rsidRPr="004E4188">
              <w:rPr>
                <w:lang w:val="fr-FR"/>
              </w:rPr>
              <w:t xml:space="preserve"> </w:t>
            </w:r>
          </w:p>
        </w:tc>
        <w:tc>
          <w:tcPr>
            <w:tcW w:w="7023" w:type="dxa"/>
            <w:tcBorders>
              <w:top w:val="nil"/>
              <w:left w:val="nil"/>
              <w:bottom w:val="nil"/>
              <w:right w:val="nil"/>
            </w:tcBorders>
          </w:tcPr>
          <w:p w14:paraId="1F465216" w14:textId="77777777" w:rsidR="007049A5" w:rsidRPr="004E4188" w:rsidRDefault="007049A5" w:rsidP="00E0646C">
            <w:pPr>
              <w:spacing w:after="200"/>
              <w:ind w:left="601" w:hanging="601"/>
            </w:pPr>
            <w:r w:rsidRPr="004E4188">
              <w:t>9.1</w:t>
            </w:r>
            <w:r w:rsidRPr="004E4188">
              <w:tab/>
              <w:t>Le Soumissionnaire supportera tous les frais afférents à la préparation et à la soumission de son offre, et le Maître d’ouvrage ne sera en aucun cas responsable de ces frais ni tenu de les régler, quels que soient le déroulement et l’issue de la procédure d’appel d’offres.</w:t>
            </w:r>
          </w:p>
        </w:tc>
      </w:tr>
      <w:tr w:rsidR="007049A5" w:rsidRPr="004E4188" w14:paraId="68C596D0" w14:textId="77777777" w:rsidTr="0092765E">
        <w:tc>
          <w:tcPr>
            <w:tcW w:w="2268" w:type="dxa"/>
            <w:tcBorders>
              <w:top w:val="nil"/>
              <w:left w:val="nil"/>
              <w:bottom w:val="nil"/>
              <w:right w:val="nil"/>
            </w:tcBorders>
          </w:tcPr>
          <w:p w14:paraId="78F5B654" w14:textId="2DC7781A" w:rsidR="007049A5" w:rsidRPr="004E4188" w:rsidRDefault="007049A5" w:rsidP="0092765E">
            <w:pPr>
              <w:pStyle w:val="Header1-Clauses"/>
              <w:ind w:left="357" w:hanging="357"/>
              <w:rPr>
                <w:lang w:val="fr-FR"/>
              </w:rPr>
            </w:pPr>
            <w:bookmarkStart w:id="377" w:name="_Toc104195567"/>
            <w:r w:rsidRPr="004E4188">
              <w:rPr>
                <w:lang w:val="fr-FR"/>
              </w:rPr>
              <w:t>10.</w:t>
            </w:r>
            <w:r w:rsidRPr="004E4188">
              <w:rPr>
                <w:lang w:val="fr-FR"/>
              </w:rPr>
              <w:tab/>
              <w:t>Langue de l’offre</w:t>
            </w:r>
            <w:bookmarkEnd w:id="377"/>
          </w:p>
        </w:tc>
        <w:tc>
          <w:tcPr>
            <w:tcW w:w="7023" w:type="dxa"/>
            <w:tcBorders>
              <w:top w:val="nil"/>
              <w:left w:val="nil"/>
              <w:bottom w:val="nil"/>
              <w:right w:val="nil"/>
            </w:tcBorders>
          </w:tcPr>
          <w:p w14:paraId="0560AC7B" w14:textId="77777777" w:rsidR="007049A5" w:rsidRPr="004E4188" w:rsidRDefault="007049A5" w:rsidP="00E0646C">
            <w:pPr>
              <w:spacing w:after="200"/>
              <w:ind w:left="601" w:hanging="601"/>
            </w:pPr>
            <w:r w:rsidRPr="004E4188">
              <w:t>10.1</w:t>
            </w:r>
            <w:r w:rsidRPr="004E4188">
              <w:tab/>
              <w:t>L’offre, ainsi que toute la correspondance et tous les documents la concernant échangés entre le Soumissionnaire et le Maître d’ouvrage seront rédigés dans la langue</w:t>
            </w:r>
            <w:r w:rsidRPr="004E4188">
              <w:rPr>
                <w:b/>
              </w:rPr>
              <w:t xml:space="preserve"> indiquée dans les DP</w:t>
            </w:r>
            <w:r w:rsidRPr="004E4188">
              <w:t>. Les documents complémentaires et les imprimés qui font partie de l’offre peuvent être rédigés dans une autre langue à condition d’être accompagnés d’une traduction exacte des passages pertinents dans la langue de l’offre, auquel cas, aux fins d’interprétation de l’offre, la traduction fera foi.</w:t>
            </w:r>
          </w:p>
        </w:tc>
      </w:tr>
      <w:tr w:rsidR="007049A5" w:rsidRPr="004E4188" w14:paraId="156476C8" w14:textId="77777777" w:rsidTr="0092765E">
        <w:tc>
          <w:tcPr>
            <w:tcW w:w="9291" w:type="dxa"/>
            <w:gridSpan w:val="2"/>
            <w:tcBorders>
              <w:top w:val="nil"/>
              <w:left w:val="nil"/>
              <w:bottom w:val="nil"/>
              <w:right w:val="nil"/>
            </w:tcBorders>
          </w:tcPr>
          <w:p w14:paraId="7F37A93D" w14:textId="6EA52D1E" w:rsidR="007049A5" w:rsidRPr="004E4188" w:rsidRDefault="007049A5" w:rsidP="004B21E5">
            <w:pPr>
              <w:pStyle w:val="Section1Header1"/>
              <w:rPr>
                <w:szCs w:val="28"/>
              </w:rPr>
            </w:pPr>
            <w:bookmarkStart w:id="378" w:name="_Toc104195568"/>
            <w:r w:rsidRPr="004E4188">
              <w:rPr>
                <w:szCs w:val="28"/>
              </w:rPr>
              <w:t>C1.</w:t>
            </w:r>
            <w:r w:rsidRPr="004E4188">
              <w:t xml:space="preserve"> </w:t>
            </w:r>
            <w:r w:rsidRPr="004E4188">
              <w:rPr>
                <w:szCs w:val="28"/>
              </w:rPr>
              <w:t>Offres de la première étape : préparation</w:t>
            </w:r>
            <w:bookmarkEnd w:id="378"/>
          </w:p>
        </w:tc>
      </w:tr>
      <w:tr w:rsidR="007049A5" w:rsidRPr="004E4188" w14:paraId="6B91AF0C" w14:textId="77777777" w:rsidTr="0092765E">
        <w:tc>
          <w:tcPr>
            <w:tcW w:w="2268" w:type="dxa"/>
            <w:tcBorders>
              <w:top w:val="nil"/>
              <w:left w:val="nil"/>
              <w:bottom w:val="nil"/>
              <w:right w:val="nil"/>
            </w:tcBorders>
          </w:tcPr>
          <w:p w14:paraId="4A2DA69B" w14:textId="780CF5BA" w:rsidR="007049A5" w:rsidRPr="004E4188" w:rsidRDefault="007049A5" w:rsidP="0092765E">
            <w:pPr>
              <w:pStyle w:val="Header1-Clauses"/>
              <w:ind w:left="357" w:hanging="357"/>
              <w:rPr>
                <w:lang w:val="fr-FR"/>
              </w:rPr>
            </w:pPr>
            <w:bookmarkStart w:id="379" w:name="_Toc104195569"/>
            <w:r w:rsidRPr="004E4188">
              <w:rPr>
                <w:lang w:val="fr-FR"/>
              </w:rPr>
              <w:t>11.</w:t>
            </w:r>
            <w:r w:rsidRPr="004E4188">
              <w:rPr>
                <w:lang w:val="fr-FR"/>
              </w:rPr>
              <w:tab/>
              <w:t>Documents constitutifs de l’offre de la première étape</w:t>
            </w:r>
            <w:bookmarkEnd w:id="379"/>
          </w:p>
        </w:tc>
        <w:tc>
          <w:tcPr>
            <w:tcW w:w="7023" w:type="dxa"/>
            <w:tcBorders>
              <w:top w:val="nil"/>
              <w:left w:val="nil"/>
              <w:bottom w:val="nil"/>
              <w:right w:val="nil"/>
            </w:tcBorders>
          </w:tcPr>
          <w:p w14:paraId="545D5AE1" w14:textId="10CCDDDD" w:rsidR="007049A5" w:rsidRPr="004E4188" w:rsidRDefault="007049A5" w:rsidP="00C626B0">
            <w:pPr>
              <w:spacing w:after="200"/>
              <w:ind w:left="601" w:hanging="601"/>
            </w:pPr>
            <w:r w:rsidRPr="004E4188">
              <w:t>11.1</w:t>
            </w:r>
            <w:r w:rsidRPr="004E4188">
              <w:tab/>
              <w:t>L’offre de la première étape comprendra les documents suivants :</w:t>
            </w:r>
          </w:p>
          <w:p w14:paraId="1C744A06" w14:textId="77777777" w:rsidR="007049A5" w:rsidRPr="004E4188" w:rsidRDefault="007049A5" w:rsidP="009E00A4">
            <w:pPr>
              <w:suppressAutoHyphens w:val="0"/>
              <w:spacing w:after="200"/>
              <w:ind w:left="1026" w:hanging="425"/>
              <w:rPr>
                <w:lang w:eastAsia="ja-JP"/>
              </w:rPr>
            </w:pPr>
            <w:r w:rsidRPr="004E4188">
              <w:rPr>
                <w:lang w:eastAsia="ja-JP"/>
              </w:rPr>
              <w:t>(a)</w:t>
            </w:r>
            <w:r w:rsidRPr="004E4188">
              <w:rPr>
                <w:lang w:eastAsia="ja-JP"/>
              </w:rPr>
              <w:tab/>
              <w:t>la Lettre de soumission de l’offre de la première étape, établie conformément à IS 12.1 ;</w:t>
            </w:r>
          </w:p>
          <w:p w14:paraId="34488B51" w14:textId="3530964E" w:rsidR="007049A5" w:rsidRPr="004E4188" w:rsidRDefault="007049A5" w:rsidP="009E00A4">
            <w:pPr>
              <w:suppressAutoHyphens w:val="0"/>
              <w:spacing w:after="200"/>
              <w:ind w:left="1026" w:hanging="425"/>
            </w:pPr>
            <w:r w:rsidRPr="004E4188">
              <w:rPr>
                <w:lang w:eastAsia="ja-JP"/>
              </w:rPr>
              <w:t>(b)</w:t>
            </w:r>
            <w:r w:rsidRPr="004E4188">
              <w:rPr>
                <w:lang w:eastAsia="ja-JP"/>
              </w:rPr>
              <w:tab/>
              <w:t xml:space="preserve">la </w:t>
            </w:r>
            <w:r w:rsidRPr="004E4188">
              <w:rPr>
                <w:szCs w:val="24"/>
              </w:rPr>
              <w:t>procuration attestant que le signataire de l’offre est habilité à</w:t>
            </w:r>
            <w:r w:rsidRPr="004E4188">
              <w:t xml:space="preserve"> </w:t>
            </w:r>
            <w:r w:rsidRPr="004E4188">
              <w:rPr>
                <w:szCs w:val="24"/>
              </w:rPr>
              <w:t>engager le Soumissionnaire conformément à IS 16.2 et IS</w:t>
            </w:r>
            <w:r w:rsidR="0085061E" w:rsidRPr="004E4188">
              <w:rPr>
                <w:lang w:eastAsia="ja-JP"/>
              </w:rPr>
              <w:t> </w:t>
            </w:r>
            <w:r w:rsidRPr="004E4188">
              <w:rPr>
                <w:szCs w:val="24"/>
              </w:rPr>
              <w:t>16.3</w:t>
            </w:r>
            <w:r w:rsidRPr="004E4188">
              <w:t> ;</w:t>
            </w:r>
          </w:p>
          <w:p w14:paraId="5E1572AC" w14:textId="5D0D0844" w:rsidR="007049A5" w:rsidRPr="004E4188" w:rsidRDefault="007049A5" w:rsidP="009E00A4">
            <w:pPr>
              <w:suppressAutoHyphens w:val="0"/>
              <w:spacing w:after="200"/>
              <w:ind w:left="1026" w:hanging="425"/>
              <w:rPr>
                <w:szCs w:val="24"/>
              </w:rPr>
            </w:pPr>
            <w:r w:rsidRPr="004E4188">
              <w:t>(c)</w:t>
            </w:r>
            <w:r w:rsidRPr="004E4188">
              <w:rPr>
                <w:lang w:eastAsia="ja-JP"/>
              </w:rPr>
              <w:tab/>
            </w:r>
            <w:r w:rsidRPr="004E4188">
              <w:t xml:space="preserve">dans le cas </w:t>
            </w:r>
            <w:r w:rsidR="00D24B09" w:rsidRPr="004E4188">
              <w:t>d’une offre</w:t>
            </w:r>
            <w:r w:rsidRPr="004E4188">
              <w:t xml:space="preserve"> soumise par un Groupement d’entreprises, </w:t>
            </w:r>
            <w:r w:rsidRPr="004E4188">
              <w:rPr>
                <w:szCs w:val="24"/>
                <w:lang w:eastAsia="ja-JP"/>
              </w:rPr>
              <w:t xml:space="preserve">la copie de l’accord de Groupement, ou la lettre d’intention de constituer un Groupement incluant le projet </w:t>
            </w:r>
            <w:r w:rsidR="00D24B09" w:rsidRPr="004E4188">
              <w:rPr>
                <w:szCs w:val="24"/>
                <w:lang w:eastAsia="ja-JP"/>
              </w:rPr>
              <w:t>d</w:t>
            </w:r>
            <w:r w:rsidRPr="004E4188">
              <w:rPr>
                <w:szCs w:val="24"/>
                <w:lang w:eastAsia="ja-JP"/>
              </w:rPr>
              <w:t>’accord</w:t>
            </w:r>
            <w:r w:rsidR="00D24B09" w:rsidRPr="004E4188">
              <w:rPr>
                <w:szCs w:val="24"/>
                <w:lang w:eastAsia="ja-JP"/>
              </w:rPr>
              <w:t>,</w:t>
            </w:r>
            <w:r w:rsidRPr="004E4188">
              <w:rPr>
                <w:szCs w:val="24"/>
                <w:lang w:eastAsia="ja-JP"/>
              </w:rPr>
              <w:t xml:space="preserve"> établies conformément à IS 4.1 </w:t>
            </w:r>
            <w:r w:rsidRPr="004E4188">
              <w:rPr>
                <w:szCs w:val="24"/>
              </w:rPr>
              <w:t>;</w:t>
            </w:r>
          </w:p>
          <w:p w14:paraId="78F86042" w14:textId="75AEEEBC" w:rsidR="007049A5" w:rsidRPr="004E4188" w:rsidRDefault="007049A5" w:rsidP="006C6267">
            <w:pPr>
              <w:suppressAutoHyphens w:val="0"/>
              <w:spacing w:after="200"/>
              <w:ind w:left="1026" w:hanging="425"/>
            </w:pPr>
            <w:r w:rsidRPr="004E4188">
              <w:t>(d)</w:t>
            </w:r>
            <w:r w:rsidRPr="004E4188">
              <w:rPr>
                <w:lang w:eastAsia="ja-JP"/>
              </w:rPr>
              <w:tab/>
            </w:r>
            <w:r w:rsidRPr="004E4188">
              <w:t>les documents attestant que le Soumissionnaire répond aux critères d’éligibilité et possède les qualifications requises pour exécuter le Marché si son offre est retenue, conformément à IS 15 ;</w:t>
            </w:r>
          </w:p>
        </w:tc>
      </w:tr>
      <w:tr w:rsidR="007049A5" w:rsidRPr="004E4188" w14:paraId="792E9B28" w14:textId="77777777" w:rsidTr="0092765E">
        <w:tc>
          <w:tcPr>
            <w:tcW w:w="2268" w:type="dxa"/>
            <w:tcBorders>
              <w:top w:val="nil"/>
              <w:left w:val="nil"/>
              <w:bottom w:val="nil"/>
              <w:right w:val="nil"/>
            </w:tcBorders>
          </w:tcPr>
          <w:p w14:paraId="4EF54EED" w14:textId="77777777" w:rsidR="007049A5" w:rsidRPr="004E4188" w:rsidRDefault="007049A5" w:rsidP="0092765E">
            <w:pPr>
              <w:numPr>
                <w:ilvl w:val="12"/>
                <w:numId w:val="0"/>
              </w:numPr>
              <w:ind w:left="357" w:hanging="357"/>
            </w:pPr>
          </w:p>
        </w:tc>
        <w:tc>
          <w:tcPr>
            <w:tcW w:w="7023" w:type="dxa"/>
            <w:tcBorders>
              <w:top w:val="nil"/>
              <w:left w:val="nil"/>
              <w:bottom w:val="nil"/>
              <w:right w:val="nil"/>
            </w:tcBorders>
          </w:tcPr>
          <w:p w14:paraId="776CF114" w14:textId="5802F071" w:rsidR="007049A5" w:rsidRPr="004E4188" w:rsidRDefault="007049A5" w:rsidP="006C6267">
            <w:pPr>
              <w:suppressAutoHyphens w:val="0"/>
              <w:spacing w:after="200"/>
              <w:ind w:left="1026" w:hanging="425"/>
            </w:pPr>
            <w:r w:rsidRPr="004E4188">
              <w:t>(e)</w:t>
            </w:r>
            <w:r w:rsidRPr="004E4188">
              <w:rPr>
                <w:lang w:eastAsia="ja-JP"/>
              </w:rPr>
              <w:tab/>
            </w:r>
            <w:r w:rsidRPr="004E4188">
              <w:t xml:space="preserve">les documents attestant, </w:t>
            </w:r>
            <w:r w:rsidR="009D3E86" w:rsidRPr="004E4188">
              <w:t xml:space="preserve">conformément à IS 14.2, </w:t>
            </w:r>
            <w:r w:rsidRPr="004E4188">
              <w:t xml:space="preserve">que les </w:t>
            </w:r>
            <w:r w:rsidRPr="004E4188">
              <w:rPr>
                <w:szCs w:val="24"/>
              </w:rPr>
              <w:t>É</w:t>
            </w:r>
            <w:r w:rsidRPr="004E4188">
              <w:t>quipements et Services de montage proposés par le Soumissionnaire sont conformes au Dossier d’appel d’offres ;</w:t>
            </w:r>
          </w:p>
          <w:p w14:paraId="2969764A" w14:textId="77777777" w:rsidR="007049A5" w:rsidRPr="004E4188" w:rsidRDefault="007049A5" w:rsidP="006C6267">
            <w:pPr>
              <w:suppressAutoHyphens w:val="0"/>
              <w:spacing w:after="200"/>
              <w:ind w:left="1026" w:hanging="425"/>
            </w:pPr>
            <w:r w:rsidRPr="004E4188">
              <w:t>(f)</w:t>
            </w:r>
            <w:r w:rsidRPr="004E4188">
              <w:tab/>
              <w:t xml:space="preserve">la Proposition technique soumise conformément à IS 14 ; </w:t>
            </w:r>
          </w:p>
          <w:p w14:paraId="4DEBCF9F" w14:textId="7EB74DA5" w:rsidR="007049A5" w:rsidRPr="004E4188" w:rsidRDefault="007049A5" w:rsidP="009E00A4">
            <w:pPr>
              <w:suppressAutoHyphens w:val="0"/>
              <w:spacing w:after="200"/>
              <w:ind w:left="1026" w:hanging="425"/>
            </w:pPr>
            <w:r w:rsidRPr="004E4188">
              <w:t>(g)</w:t>
            </w:r>
            <w:r w:rsidRPr="004E4188">
              <w:tab/>
              <w:t>les propositions techniques variantes, conformément à IS</w:t>
            </w:r>
            <w:r w:rsidR="00F20FD2" w:rsidRPr="004E4188">
              <w:rPr>
                <w:lang w:eastAsia="ja-JP"/>
              </w:rPr>
              <w:t> </w:t>
            </w:r>
            <w:r w:rsidRPr="004E4188">
              <w:t xml:space="preserve">13 ; </w:t>
            </w:r>
          </w:p>
          <w:p w14:paraId="6A88DF53" w14:textId="592A9E03" w:rsidR="007049A5" w:rsidRPr="004E4188" w:rsidRDefault="007049A5" w:rsidP="006C6267">
            <w:pPr>
              <w:suppressAutoHyphens w:val="0"/>
              <w:spacing w:after="200"/>
              <w:ind w:left="1026" w:hanging="425"/>
            </w:pPr>
            <w:r w:rsidRPr="004E4188">
              <w:t>(h)</w:t>
            </w:r>
            <w:r w:rsidRPr="004E4188">
              <w:tab/>
              <w:t>la Reconnaissance du respect des Directives pour les passations de marchés sous financement par Prêts APD du Japon (Formulaire REC). Le représentant habilité du Soumissionnaire doit signer et dater ce formulaire ; et</w:t>
            </w:r>
            <w:r w:rsidRPr="004E4188" w:rsidDel="00550FEE">
              <w:t xml:space="preserve"> </w:t>
            </w:r>
          </w:p>
          <w:p w14:paraId="4B578FA5" w14:textId="46AAC0A1" w:rsidR="007049A5" w:rsidRPr="004E4188" w:rsidRDefault="007049A5" w:rsidP="006C6267">
            <w:pPr>
              <w:suppressAutoHyphens w:val="0"/>
              <w:spacing w:after="200"/>
              <w:ind w:left="1026" w:hanging="425"/>
              <w:rPr>
                <w:lang w:eastAsia="ja-JP"/>
              </w:rPr>
            </w:pPr>
            <w:r w:rsidRPr="004E4188">
              <w:t>(i)</w:t>
            </w:r>
            <w:r w:rsidRPr="004E4188">
              <w:tab/>
              <w:t xml:space="preserve">tout autre document </w:t>
            </w:r>
            <w:r w:rsidRPr="004E4188">
              <w:rPr>
                <w:b/>
              </w:rPr>
              <w:t>requis par les DP</w:t>
            </w:r>
            <w:r w:rsidRPr="004E4188">
              <w:t>.</w:t>
            </w:r>
          </w:p>
        </w:tc>
      </w:tr>
      <w:tr w:rsidR="007049A5" w:rsidRPr="004E4188" w14:paraId="05551467" w14:textId="77777777" w:rsidTr="0092765E">
        <w:tc>
          <w:tcPr>
            <w:tcW w:w="2268" w:type="dxa"/>
            <w:tcBorders>
              <w:top w:val="nil"/>
              <w:left w:val="nil"/>
              <w:bottom w:val="nil"/>
              <w:right w:val="nil"/>
            </w:tcBorders>
          </w:tcPr>
          <w:p w14:paraId="0C035528" w14:textId="77777777" w:rsidR="007049A5" w:rsidRPr="004E4188" w:rsidRDefault="007049A5" w:rsidP="0092765E">
            <w:pPr>
              <w:numPr>
                <w:ilvl w:val="12"/>
                <w:numId w:val="0"/>
              </w:numPr>
              <w:ind w:left="357" w:hanging="357"/>
            </w:pPr>
          </w:p>
        </w:tc>
        <w:tc>
          <w:tcPr>
            <w:tcW w:w="7023" w:type="dxa"/>
            <w:tcBorders>
              <w:top w:val="nil"/>
              <w:left w:val="nil"/>
              <w:bottom w:val="nil"/>
              <w:right w:val="nil"/>
            </w:tcBorders>
          </w:tcPr>
          <w:p w14:paraId="76E68A50" w14:textId="03CF13CB" w:rsidR="007049A5" w:rsidRPr="004E4188" w:rsidRDefault="007049A5" w:rsidP="003435DC">
            <w:pPr>
              <w:spacing w:after="200"/>
              <w:ind w:left="601" w:hanging="601"/>
            </w:pPr>
            <w:r w:rsidRPr="004E4188">
              <w:rPr>
                <w:lang w:eastAsia="ja-JP"/>
              </w:rPr>
              <w:tab/>
            </w:r>
            <w:r w:rsidRPr="004E4188">
              <w:rPr>
                <w:szCs w:val="24"/>
              </w:rPr>
              <w:t xml:space="preserve">Les offres de la première étape sont des offres non chiffrées. Elles ne doivent comprendre aucun prix ni </w:t>
            </w:r>
            <w:r w:rsidR="003435DC" w:rsidRPr="004E4188">
              <w:rPr>
                <w:szCs w:val="24"/>
              </w:rPr>
              <w:t>B</w:t>
            </w:r>
            <w:r w:rsidRPr="004E4188">
              <w:rPr>
                <w:szCs w:val="24"/>
              </w:rPr>
              <w:t>ordereau des prix ou toute autre référence à des taux ou prix applicables à l’exécution des Installations. Des offres de la première étape comprenant de telles informations sur les prix seront rejetées</w:t>
            </w:r>
            <w:r w:rsidRPr="004E4188">
              <w:t>.</w:t>
            </w:r>
          </w:p>
        </w:tc>
      </w:tr>
      <w:tr w:rsidR="007049A5" w:rsidRPr="004E4188" w14:paraId="64A35E4E" w14:textId="77777777" w:rsidTr="0092765E">
        <w:trPr>
          <w:trHeight w:val="480"/>
        </w:trPr>
        <w:tc>
          <w:tcPr>
            <w:tcW w:w="2268" w:type="dxa"/>
          </w:tcPr>
          <w:p w14:paraId="2BFC7847" w14:textId="5C0D7FF5" w:rsidR="007049A5" w:rsidRPr="004E4188" w:rsidRDefault="007049A5" w:rsidP="0092765E">
            <w:pPr>
              <w:pStyle w:val="Header1-Clauses"/>
              <w:ind w:left="357" w:hanging="357"/>
              <w:rPr>
                <w:lang w:val="fr-FR"/>
              </w:rPr>
            </w:pPr>
            <w:bookmarkStart w:id="380" w:name="_Toc104195570"/>
            <w:r w:rsidRPr="004E4188">
              <w:rPr>
                <w:lang w:val="fr-FR"/>
              </w:rPr>
              <w:t>12.</w:t>
            </w:r>
            <w:r w:rsidRPr="004E4188">
              <w:rPr>
                <w:lang w:val="fr-FR"/>
              </w:rPr>
              <w:tab/>
              <w:t>Lettre de soumission de l’offre de la première étape et annexes</w:t>
            </w:r>
            <w:bookmarkEnd w:id="380"/>
            <w:r w:rsidRPr="004E4188">
              <w:rPr>
                <w:lang w:val="fr-FR"/>
              </w:rPr>
              <w:t xml:space="preserve"> </w:t>
            </w:r>
          </w:p>
        </w:tc>
        <w:tc>
          <w:tcPr>
            <w:tcW w:w="7023" w:type="dxa"/>
          </w:tcPr>
          <w:p w14:paraId="0F9F12DD" w14:textId="3F83850D" w:rsidR="007049A5" w:rsidRPr="004E4188" w:rsidRDefault="007049A5" w:rsidP="006C6267">
            <w:pPr>
              <w:spacing w:after="200"/>
              <w:ind w:left="601" w:hanging="601"/>
            </w:pPr>
            <w:r w:rsidRPr="004E4188">
              <w:t>12.1</w:t>
            </w:r>
            <w:r w:rsidRPr="004E4188">
              <w:tab/>
              <w:t xml:space="preserve">Le Soumissionnaire doit remplir l’offre </w:t>
            </w:r>
            <w:r w:rsidRPr="004E4188">
              <w:rPr>
                <w:szCs w:val="24"/>
              </w:rPr>
              <w:t>de la première étape et ces annexes seront préparées, en remplissant les formulaires fournis à la Section IV, Formulaires de soumission. Tous les formulaires doivent être complétés en suivant les instructions qui y sont données.</w:t>
            </w:r>
          </w:p>
        </w:tc>
      </w:tr>
      <w:tr w:rsidR="007049A5" w:rsidRPr="004E4188" w14:paraId="06DA4872" w14:textId="77777777" w:rsidTr="0092765E">
        <w:tc>
          <w:tcPr>
            <w:tcW w:w="2268" w:type="dxa"/>
            <w:tcBorders>
              <w:top w:val="nil"/>
              <w:left w:val="nil"/>
              <w:bottom w:val="nil"/>
              <w:right w:val="nil"/>
            </w:tcBorders>
          </w:tcPr>
          <w:p w14:paraId="6A65D51D" w14:textId="5A43F6D6" w:rsidR="007049A5" w:rsidRPr="004E4188" w:rsidRDefault="007049A5" w:rsidP="0092765E">
            <w:pPr>
              <w:pStyle w:val="Header1-Clauses"/>
              <w:ind w:left="357" w:hanging="357"/>
              <w:rPr>
                <w:lang w:val="fr-FR"/>
              </w:rPr>
            </w:pPr>
            <w:bookmarkStart w:id="381" w:name="_Toc104195571"/>
            <w:r w:rsidRPr="004E4188">
              <w:rPr>
                <w:lang w:val="fr-FR"/>
              </w:rPr>
              <w:t>13.</w:t>
            </w:r>
            <w:r w:rsidRPr="004E4188">
              <w:rPr>
                <w:lang w:val="fr-FR"/>
              </w:rPr>
              <w:tab/>
              <w:t>Propositions techniques variantes</w:t>
            </w:r>
            <w:bookmarkEnd w:id="381"/>
          </w:p>
        </w:tc>
        <w:tc>
          <w:tcPr>
            <w:tcW w:w="7023" w:type="dxa"/>
            <w:tcBorders>
              <w:top w:val="nil"/>
              <w:left w:val="nil"/>
              <w:bottom w:val="nil"/>
              <w:right w:val="nil"/>
            </w:tcBorders>
          </w:tcPr>
          <w:p w14:paraId="5FADA043" w14:textId="3D76A4C2" w:rsidR="007049A5" w:rsidRPr="004E4188" w:rsidRDefault="007049A5" w:rsidP="00CD6AAB">
            <w:pPr>
              <w:spacing w:after="200"/>
              <w:ind w:left="601" w:hanging="601"/>
            </w:pPr>
            <w:r w:rsidRPr="004E4188">
              <w:rPr>
                <w:szCs w:val="24"/>
                <w:lang w:eastAsia="ja-JP"/>
              </w:rPr>
              <w:t>13.1</w:t>
            </w:r>
            <w:r w:rsidRPr="004E4188">
              <w:rPr>
                <w:szCs w:val="24"/>
                <w:lang w:eastAsia="ja-JP"/>
              </w:rPr>
              <w:tab/>
            </w:r>
            <w:r w:rsidRPr="004E4188">
              <w:rPr>
                <w:szCs w:val="24"/>
              </w:rPr>
              <w:t>Le Soumissionnaire notera qu’il leur est permis de proposer des variantes techniques avec leur offre de la première étape en plus ou au lieu des conditions spécifiées dans le Dossier d’appel d’offres, pourvu qu’il puisse attester que les variantes techniques proposées sont avantageuses pour le Maître d’ouvrage, qu’elles remplissent les objectifs principaux du Marché, et qu’elles satisfassent aux critères fondamentaux techniques et de performance spécifiés dans le Dossier d’appel d’offres.</w:t>
            </w:r>
          </w:p>
          <w:p w14:paraId="22EA054E" w14:textId="20603EC7" w:rsidR="007049A5" w:rsidRPr="004E4188" w:rsidRDefault="007049A5" w:rsidP="006C6267">
            <w:pPr>
              <w:spacing w:after="200"/>
              <w:ind w:left="601" w:hanging="601"/>
            </w:pPr>
            <w:r w:rsidRPr="004E4188">
              <w:rPr>
                <w:szCs w:val="24"/>
                <w:lang w:eastAsia="ja-JP"/>
              </w:rPr>
              <w:t>13.2</w:t>
            </w:r>
            <w:r w:rsidRPr="004E4188">
              <w:rPr>
                <w:szCs w:val="24"/>
                <w:lang w:eastAsia="ja-JP"/>
              </w:rPr>
              <w:tab/>
            </w:r>
            <w:r w:rsidRPr="004E4188">
              <w:rPr>
                <w:szCs w:val="24"/>
              </w:rPr>
              <w:t>Toute proposition technique variante remise par le Soumissionnaire avec leur offre de la première étape fera l’objet d’éclaircissements auprès du Soumissionnaire, conformément à IS 26.</w:t>
            </w:r>
          </w:p>
        </w:tc>
      </w:tr>
      <w:tr w:rsidR="007049A5" w:rsidRPr="004E4188" w14:paraId="4CA4293A" w14:textId="77777777" w:rsidTr="0092765E">
        <w:trPr>
          <w:trHeight w:val="810"/>
        </w:trPr>
        <w:tc>
          <w:tcPr>
            <w:tcW w:w="2268" w:type="dxa"/>
            <w:tcBorders>
              <w:top w:val="nil"/>
              <w:left w:val="nil"/>
              <w:bottom w:val="nil"/>
              <w:right w:val="nil"/>
            </w:tcBorders>
          </w:tcPr>
          <w:p w14:paraId="4E58670F" w14:textId="3A370613" w:rsidR="007049A5" w:rsidRPr="004E4188" w:rsidRDefault="007049A5" w:rsidP="0092765E">
            <w:pPr>
              <w:pStyle w:val="Header1-Clauses"/>
              <w:spacing w:afterLines="50" w:after="120"/>
              <w:ind w:left="357" w:hanging="357"/>
              <w:rPr>
                <w:lang w:val="fr-FR"/>
              </w:rPr>
            </w:pPr>
            <w:bookmarkStart w:id="382" w:name="_Toc104195572"/>
            <w:r w:rsidRPr="004E4188">
              <w:rPr>
                <w:lang w:val="fr-FR"/>
              </w:rPr>
              <w:t>14.</w:t>
            </w:r>
            <w:r w:rsidRPr="004E4188">
              <w:rPr>
                <w:lang w:val="fr-FR" w:eastAsia="ja-JP"/>
              </w:rPr>
              <w:tab/>
            </w:r>
            <w:r w:rsidRPr="004E4188">
              <w:rPr>
                <w:lang w:val="fr-FR"/>
              </w:rPr>
              <w:t>Proposition technique</w:t>
            </w:r>
            <w:r w:rsidR="0088108C" w:rsidRPr="004E4188">
              <w:rPr>
                <w:lang w:val="fr-FR"/>
              </w:rPr>
              <w:t xml:space="preserve"> et</w:t>
            </w:r>
            <w:r w:rsidRPr="004E4188">
              <w:rPr>
                <w:lang w:val="fr-FR"/>
              </w:rPr>
              <w:t xml:space="preserve"> sous-traitants</w:t>
            </w:r>
            <w:bookmarkEnd w:id="382"/>
          </w:p>
        </w:tc>
        <w:tc>
          <w:tcPr>
            <w:tcW w:w="7023" w:type="dxa"/>
            <w:tcBorders>
              <w:top w:val="nil"/>
              <w:left w:val="nil"/>
              <w:bottom w:val="nil"/>
              <w:right w:val="nil"/>
            </w:tcBorders>
          </w:tcPr>
          <w:p w14:paraId="30767CF2" w14:textId="0F9AB0DA" w:rsidR="007049A5" w:rsidRPr="004E4188" w:rsidRDefault="007049A5" w:rsidP="006C6267">
            <w:pPr>
              <w:spacing w:after="200"/>
              <w:ind w:left="601" w:hanging="601"/>
            </w:pPr>
            <w:r w:rsidRPr="004E4188">
              <w:t>14.1</w:t>
            </w:r>
            <w:r w:rsidRPr="004E4188">
              <w:rPr>
                <w:lang w:eastAsia="ja-JP"/>
              </w:rPr>
              <w:tab/>
            </w:r>
            <w:r w:rsidRPr="004E4188">
              <w:t xml:space="preserve">Le Soumissionnaire doit soumettre en tant que partie intégrante de son offre de la première étape une Proposition technique précisant la méthodologie de conception, les méthodes d’exécution des travaux, le matériel et e personnel employés, le calendrier d’exécution, le plan de sécurité et de tout autre renseignement demandé à la Section IV, Formulaires de soumission. La Proposition technique du Soumissionnaire devra être suffisamment détaillée pour permettre d’établir qu’elle est substantiellement conforme aux Exigences du Maître d’ouvrage et </w:t>
            </w:r>
            <w:r w:rsidR="007F091B" w:rsidRPr="004E4188">
              <w:t>au calendrier des Installations</w:t>
            </w:r>
            <w:r w:rsidRPr="004E4188">
              <w:t>.</w:t>
            </w:r>
          </w:p>
        </w:tc>
      </w:tr>
      <w:tr w:rsidR="007049A5" w:rsidRPr="004E4188" w14:paraId="297BAB04" w14:textId="77777777" w:rsidTr="0092765E">
        <w:trPr>
          <w:trHeight w:val="810"/>
        </w:trPr>
        <w:tc>
          <w:tcPr>
            <w:tcW w:w="2268" w:type="dxa"/>
            <w:tcBorders>
              <w:top w:val="nil"/>
              <w:left w:val="nil"/>
              <w:bottom w:val="nil"/>
              <w:right w:val="nil"/>
            </w:tcBorders>
          </w:tcPr>
          <w:p w14:paraId="50CE83B1" w14:textId="77777777" w:rsidR="007049A5" w:rsidRPr="004E4188" w:rsidRDefault="007049A5" w:rsidP="0092765E">
            <w:pPr>
              <w:pStyle w:val="Header1-Clauses"/>
              <w:spacing w:afterLines="50" w:after="120"/>
              <w:ind w:left="357" w:hanging="357"/>
              <w:rPr>
                <w:lang w:val="fr-FR"/>
              </w:rPr>
            </w:pPr>
          </w:p>
        </w:tc>
        <w:tc>
          <w:tcPr>
            <w:tcW w:w="7023" w:type="dxa"/>
            <w:tcBorders>
              <w:top w:val="nil"/>
              <w:left w:val="nil"/>
              <w:bottom w:val="nil"/>
              <w:right w:val="nil"/>
            </w:tcBorders>
          </w:tcPr>
          <w:p w14:paraId="1D9EED2D" w14:textId="0D01581D" w:rsidR="007049A5" w:rsidRPr="004E4188" w:rsidRDefault="007049A5" w:rsidP="006C6267">
            <w:pPr>
              <w:spacing w:after="200"/>
              <w:ind w:left="601" w:hanging="601"/>
            </w:pPr>
            <w:r w:rsidRPr="004E4188">
              <w:t>14.2</w:t>
            </w:r>
            <w:r w:rsidRPr="004E4188">
              <w:rPr>
                <w:lang w:eastAsia="ja-JP"/>
              </w:rPr>
              <w:tab/>
            </w:r>
            <w:r w:rsidRPr="004E4188">
              <w:t xml:space="preserve">Les documents attestant de la conformité des </w:t>
            </w:r>
            <w:r w:rsidRPr="004E4188">
              <w:rPr>
                <w:szCs w:val="24"/>
              </w:rPr>
              <w:t>É</w:t>
            </w:r>
            <w:r w:rsidRPr="004E4188">
              <w:t>quipements et Services de montage avec le Dossier d’appel d’offres peuvent être sous la forme de documentation, de plans ou données et doivent comprendre :</w:t>
            </w:r>
          </w:p>
          <w:p w14:paraId="74FDA2F3" w14:textId="25409432" w:rsidR="007049A5" w:rsidRPr="004E4188" w:rsidRDefault="007049A5" w:rsidP="006C6267">
            <w:pPr>
              <w:suppressAutoHyphens w:val="0"/>
              <w:spacing w:after="200"/>
              <w:ind w:left="1026" w:hanging="425"/>
            </w:pPr>
            <w:r w:rsidRPr="004E4188">
              <w:t>(a)</w:t>
            </w:r>
            <w:r w:rsidRPr="004E4188">
              <w:rPr>
                <w:lang w:eastAsia="ja-JP"/>
              </w:rPr>
              <w:tab/>
            </w:r>
            <w:r w:rsidRPr="004E4188">
              <w:t xml:space="preserve">une description détaillée des caractéristiques techniques et des performances essentielles des </w:t>
            </w:r>
            <w:r w:rsidRPr="004E4188">
              <w:rPr>
                <w:szCs w:val="24"/>
              </w:rPr>
              <w:t>É</w:t>
            </w:r>
            <w:r w:rsidRPr="004E4188">
              <w:t xml:space="preserve">quipements et Services de montage, y compris les garanties opérationnelles des </w:t>
            </w:r>
            <w:r w:rsidRPr="004E4188">
              <w:rPr>
                <w:szCs w:val="24"/>
              </w:rPr>
              <w:t>É</w:t>
            </w:r>
            <w:r w:rsidRPr="004E4188">
              <w:t xml:space="preserve">quipements et Services de montage proposés en réponse aux Exigences du Maître d’ouvrage. Les garanties opérationnelles des </w:t>
            </w:r>
            <w:r w:rsidRPr="004E4188">
              <w:rPr>
                <w:szCs w:val="24"/>
              </w:rPr>
              <w:t>É</w:t>
            </w:r>
            <w:r w:rsidRPr="004E4188">
              <w:t xml:space="preserve">quipements et Services de montage proposés doivent être décrites dans le formulaire prévu à cet effet à la Section IV, Formulaires de soumission ; </w:t>
            </w:r>
          </w:p>
          <w:p w14:paraId="416128AE" w14:textId="3C7F4262" w:rsidR="007049A5" w:rsidRPr="004E4188" w:rsidRDefault="007049A5" w:rsidP="006C6267">
            <w:pPr>
              <w:suppressAutoHyphens w:val="0"/>
              <w:spacing w:after="200"/>
              <w:ind w:left="1026" w:hanging="425"/>
            </w:pPr>
            <w:r w:rsidRPr="004E4188">
              <w:t>(b)</w:t>
            </w:r>
            <w:r w:rsidRPr="004E4188">
              <w:rPr>
                <w:lang w:eastAsia="ja-JP"/>
              </w:rPr>
              <w:tab/>
            </w:r>
            <w:r w:rsidRPr="004E4188">
              <w:t>une liste détaillée, spécifiant les sources de disponibilité, des pièces de rechange (c.-à-d. des pièces de rechange obligatoires et pièces de rechange recomm</w:t>
            </w:r>
            <w:r w:rsidR="00EB42D8" w:rsidRPr="004E4188">
              <w:t>a</w:t>
            </w:r>
            <w:r w:rsidRPr="004E4188">
              <w:t xml:space="preserve">ndées, le cas échéant) et outils spéciaux etc. nécessaires pour le bon fonctionnement continu des </w:t>
            </w:r>
            <w:r w:rsidRPr="004E4188">
              <w:rPr>
                <w:szCs w:val="24"/>
              </w:rPr>
              <w:t>é</w:t>
            </w:r>
            <w:r w:rsidRPr="004E4188">
              <w:t xml:space="preserve">quipements pour la période </w:t>
            </w:r>
            <w:r w:rsidRPr="004E4188">
              <w:rPr>
                <w:b/>
              </w:rPr>
              <w:t>indiquée dans les DP</w:t>
            </w:r>
            <w:r w:rsidRPr="004E4188">
              <w:t>, après la Réception opérationnelle des Installations, conformément aux dispositions du Marché ; et</w:t>
            </w:r>
          </w:p>
          <w:p w14:paraId="47628456" w14:textId="1D6B3ACF" w:rsidR="007049A5" w:rsidRPr="004E4188" w:rsidRDefault="007049A5" w:rsidP="00BC15EB">
            <w:pPr>
              <w:suppressAutoHyphens w:val="0"/>
              <w:spacing w:after="200"/>
              <w:ind w:left="1026" w:hanging="425"/>
            </w:pPr>
            <w:r w:rsidRPr="004E4188">
              <w:t>(c)</w:t>
            </w:r>
            <w:r w:rsidRPr="004E4188">
              <w:rPr>
                <w:lang w:eastAsia="ja-JP"/>
              </w:rPr>
              <w:tab/>
            </w:r>
            <w:r w:rsidRPr="004E4188">
              <w:t xml:space="preserve">des éléments de preuve suffisants attestant de la conformité générale des </w:t>
            </w:r>
            <w:r w:rsidRPr="004E4188">
              <w:rPr>
                <w:szCs w:val="24"/>
              </w:rPr>
              <w:t>É</w:t>
            </w:r>
            <w:r w:rsidRPr="004E4188">
              <w:t xml:space="preserve">quipements et Services de montage avec les Exigences du Maître d’ouvrage. Le Soumissionnaire notera </w:t>
            </w:r>
            <w:r w:rsidRPr="004E4188">
              <w:rPr>
                <w:rFonts w:cs="HBKMBP+TimesNewRoman"/>
                <w:color w:val="000000"/>
                <w:szCs w:val="24"/>
              </w:rPr>
              <w:t xml:space="preserve">que les normes de qualité des travaux, des matériaux et </w:t>
            </w:r>
            <w:r w:rsidR="007843EB" w:rsidRPr="004E4188">
              <w:rPr>
                <w:rFonts w:cs="HBKMBP+TimesNewRoman"/>
                <w:color w:val="000000"/>
                <w:szCs w:val="24"/>
              </w:rPr>
              <w:t xml:space="preserve">des </w:t>
            </w:r>
            <w:r w:rsidRPr="004E4188">
              <w:rPr>
                <w:rFonts w:cs="HBKMBP+TimesNewRoman"/>
                <w:color w:val="000000"/>
                <w:szCs w:val="24"/>
              </w:rPr>
              <w:t xml:space="preserve">équipements indiqués par le Maître d’ouvrage dans le Dossier d’appel d’offres le sont uniquement dans un but descriptif (pour établir des normes de qualité et de performance) et non restrictif. Le Soumissionnaire peut les remplacer dans sa Proposition technique par d’autres normes, marques, et/ou numéros de catalogues, pourvu qu’il démontre à la satisfaction du Maître d’ouvrage que les normes de substitution sont en substance équivalentes ou supérieures à celles décrites dans les </w:t>
            </w:r>
            <w:r w:rsidRPr="004E4188">
              <w:t>Exigences du Maître d’ouvrage</w:t>
            </w:r>
            <w:r w:rsidRPr="004E4188">
              <w:rPr>
                <w:rFonts w:cs="HBKMBP+TimesNewRoman"/>
                <w:color w:val="000000"/>
                <w:szCs w:val="24"/>
              </w:rPr>
              <w:t>.</w:t>
            </w:r>
          </w:p>
        </w:tc>
      </w:tr>
      <w:tr w:rsidR="007049A5" w:rsidRPr="004E4188" w14:paraId="20C3A86D" w14:textId="77777777" w:rsidTr="0092765E">
        <w:trPr>
          <w:trHeight w:val="810"/>
        </w:trPr>
        <w:tc>
          <w:tcPr>
            <w:tcW w:w="2268" w:type="dxa"/>
            <w:tcBorders>
              <w:top w:val="nil"/>
              <w:left w:val="nil"/>
              <w:bottom w:val="nil"/>
              <w:right w:val="nil"/>
            </w:tcBorders>
          </w:tcPr>
          <w:p w14:paraId="085C6EC8" w14:textId="77777777" w:rsidR="007049A5" w:rsidRPr="004E4188" w:rsidRDefault="007049A5" w:rsidP="0092765E">
            <w:pPr>
              <w:pStyle w:val="Header1-Clauses"/>
              <w:spacing w:afterLines="50" w:after="120"/>
              <w:ind w:left="357" w:hanging="357"/>
              <w:rPr>
                <w:lang w:val="fr-FR"/>
              </w:rPr>
            </w:pPr>
          </w:p>
        </w:tc>
        <w:tc>
          <w:tcPr>
            <w:tcW w:w="7023" w:type="dxa"/>
            <w:tcBorders>
              <w:top w:val="nil"/>
              <w:left w:val="nil"/>
              <w:bottom w:val="nil"/>
              <w:right w:val="nil"/>
            </w:tcBorders>
          </w:tcPr>
          <w:p w14:paraId="5D129638" w14:textId="77777777" w:rsidR="007049A5" w:rsidRPr="004E4188" w:rsidRDefault="007049A5" w:rsidP="00A34ABA">
            <w:pPr>
              <w:pStyle w:val="StyleHeader1-ClausesAfter0pt"/>
              <w:tabs>
                <w:tab w:val="left" w:pos="576"/>
              </w:tabs>
              <w:ind w:left="601" w:hanging="601"/>
              <w:rPr>
                <w:lang w:val="fr-FR" w:eastAsia="ja-JP"/>
              </w:rPr>
            </w:pPr>
            <w:r w:rsidRPr="004E4188">
              <w:rPr>
                <w:lang w:val="fr-FR"/>
              </w:rPr>
              <w:t>14.3</w:t>
            </w:r>
            <w:r w:rsidRPr="004E4188">
              <w:rPr>
                <w:lang w:val="fr-FR"/>
              </w:rPr>
              <w:tab/>
              <w:t xml:space="preserve">Le Soumissionnaire peut proposer de sous-traiter l’une quelconque des activités principales pour lesquelles l’expérience des sous-traitants proposés a été évaluée durant la préqualification, ou autrement sont indiquées au Critère 2.4.2(b) de la Section III, Critères d’évaluation et de qualification (sous-traitants spécialisés). Dans un tel cas : </w:t>
            </w:r>
          </w:p>
          <w:p w14:paraId="2D19B896" w14:textId="77777777" w:rsidR="007049A5" w:rsidRPr="004E4188" w:rsidRDefault="007049A5" w:rsidP="003D46CF">
            <w:pPr>
              <w:pStyle w:val="StyleHeader1-ClausesAfter0pt"/>
              <w:numPr>
                <w:ilvl w:val="0"/>
                <w:numId w:val="52"/>
              </w:numPr>
              <w:tabs>
                <w:tab w:val="left" w:pos="576"/>
              </w:tabs>
              <w:ind w:left="1026" w:hanging="425"/>
              <w:rPr>
                <w:lang w:val="fr-FR"/>
              </w:rPr>
            </w:pPr>
            <w:r w:rsidRPr="004E4188">
              <w:rPr>
                <w:lang w:val="fr-FR"/>
              </w:rPr>
              <w:t>Le Soumissionnaire peut indiquer un ou plusieurs sous-traitants pour chacune des activités principales et la somme des résultats de qualification d’un sous-traitant pour remplir chacun des critères des activités principales est acceptée, sous réserve des dispositions de IS 14.3(d). Les taux et prix indiqués seront réputés s’appliquer quel que soit le sous-traitant choisi par</w:t>
            </w:r>
            <w:r w:rsidRPr="004E4188">
              <w:rPr>
                <w:color w:val="FF0000"/>
                <w:lang w:val="fr-FR"/>
              </w:rPr>
              <w:t xml:space="preserve"> </w:t>
            </w:r>
            <w:r w:rsidRPr="004E4188">
              <w:rPr>
                <w:lang w:val="fr-FR"/>
              </w:rPr>
              <w:t>l’entrepreneur et aucune révision de ces taux ou prix ne sera autorisée.</w:t>
            </w:r>
          </w:p>
          <w:p w14:paraId="4ECB2EF4" w14:textId="77777777" w:rsidR="007049A5" w:rsidRPr="004E4188" w:rsidRDefault="007049A5" w:rsidP="003D46CF">
            <w:pPr>
              <w:pStyle w:val="StyleHeader1-ClausesAfter0pt"/>
              <w:numPr>
                <w:ilvl w:val="0"/>
                <w:numId w:val="52"/>
              </w:numPr>
              <w:tabs>
                <w:tab w:val="left" w:pos="576"/>
              </w:tabs>
              <w:ind w:left="1026" w:hanging="425"/>
              <w:rPr>
                <w:lang w:val="fr-FR"/>
              </w:rPr>
            </w:pPr>
            <w:r w:rsidRPr="004E4188">
              <w:rPr>
                <w:lang w:val="fr-FR"/>
              </w:rPr>
              <w:t xml:space="preserve">Le Soumissionnaire doit clairement identifier le(s) sous-traitant(s) spécialisé(s) proposé(s) dans les formulaires ELI-3, EXP-2(b) </w:t>
            </w:r>
            <w:r w:rsidRPr="004E4188">
              <w:rPr>
                <w:rFonts w:hint="eastAsia"/>
                <w:lang w:val="fr-FR" w:eastAsia="ja-JP"/>
              </w:rPr>
              <w:t>e</w:t>
            </w:r>
            <w:r w:rsidRPr="004E4188">
              <w:rPr>
                <w:lang w:val="fr-FR" w:eastAsia="ja-JP"/>
              </w:rPr>
              <w:t xml:space="preserve">t FAB </w:t>
            </w:r>
            <w:r w:rsidRPr="004E4188">
              <w:rPr>
                <w:lang w:val="fr-FR"/>
              </w:rPr>
              <w:t xml:space="preserve">de la Section IV, Formulaires de soumission et les indiquer tous dans le formulaire « Liste de sous-traitants » de la Section IV qui fait partie intégrante de sa Proposition technique, en ajoutant les informations attestant de la conformité avec les exigences indiquées par le Maître d’ouvrage. </w:t>
            </w:r>
          </w:p>
          <w:p w14:paraId="63D52606" w14:textId="77777777" w:rsidR="007049A5" w:rsidRPr="004E4188" w:rsidRDefault="007049A5" w:rsidP="003D46CF">
            <w:pPr>
              <w:pStyle w:val="StyleHeader1-ClausesAfter0pt"/>
              <w:numPr>
                <w:ilvl w:val="0"/>
                <w:numId w:val="53"/>
              </w:numPr>
              <w:tabs>
                <w:tab w:val="left" w:pos="576"/>
              </w:tabs>
              <w:ind w:left="1026" w:hanging="425"/>
              <w:rPr>
                <w:lang w:val="fr-FR"/>
              </w:rPr>
            </w:pPr>
            <w:r w:rsidRPr="004E4188">
              <w:rPr>
                <w:lang w:val="fr-FR"/>
              </w:rPr>
              <w:t>La substitution d’un ou plusieurs sous-traitants ne sera pas permise après la date limite de remise des offres fixée par le Maître d’ouvrage conformément à IS 18.1.</w:t>
            </w:r>
          </w:p>
          <w:p w14:paraId="032096CA" w14:textId="0132B6D3" w:rsidR="007049A5" w:rsidRPr="004E4188" w:rsidRDefault="007049A5" w:rsidP="003D46CF">
            <w:pPr>
              <w:pStyle w:val="StyleHeader1-ClausesAfter0pt"/>
              <w:numPr>
                <w:ilvl w:val="0"/>
                <w:numId w:val="53"/>
              </w:numPr>
              <w:tabs>
                <w:tab w:val="left" w:pos="576"/>
              </w:tabs>
              <w:ind w:left="1026" w:hanging="425"/>
              <w:rPr>
                <w:lang w:val="fr-FR"/>
              </w:rPr>
            </w:pPr>
            <w:r w:rsidRPr="004E4188">
              <w:rPr>
                <w:lang w:val="fr-FR"/>
              </w:rPr>
              <w:t>Si, le montant évalué de l’Offre Financière est directement ajusté en fonction des qualifications, des services et/ou du(des) produit(s) du(des) sous-traitant(s) dans la Section III, Critères d’évaluation et de qualification (p. ex.</w:t>
            </w:r>
            <w:r w:rsidR="007843EB" w:rsidRPr="004E4188">
              <w:rPr>
                <w:lang w:val="fr-FR"/>
              </w:rPr>
              <w:t> :</w:t>
            </w:r>
            <w:r w:rsidRPr="004E4188">
              <w:rPr>
                <w:lang w:val="fr-FR"/>
              </w:rPr>
              <w:t xml:space="preserve"> le prix de l’Offre Financière est ajusté en fonction de la performance des équipements du sous-traitant), un seul sous-traitant ou une seule combinaison de sous-traitants doit être proposé. </w:t>
            </w:r>
          </w:p>
          <w:p w14:paraId="1445785C" w14:textId="01271A30" w:rsidR="007049A5" w:rsidRPr="004E4188" w:rsidRDefault="007049A5" w:rsidP="003D46CF">
            <w:pPr>
              <w:pStyle w:val="StyleHeader1-ClausesAfter0pt"/>
              <w:numPr>
                <w:ilvl w:val="0"/>
                <w:numId w:val="53"/>
              </w:numPr>
              <w:tabs>
                <w:tab w:val="left" w:pos="576"/>
              </w:tabs>
              <w:ind w:left="1026" w:hanging="425"/>
              <w:rPr>
                <w:lang w:val="fr-FR"/>
              </w:rPr>
            </w:pPr>
            <w:r w:rsidRPr="004E4188">
              <w:rPr>
                <w:lang w:val="fr-FR"/>
              </w:rPr>
              <w:t>Lorsque l’appel d’offres a été précédé d’une préqualification, le Soumissionnaire doit indiquer dans le formulaire « Liste de sous-traitants » les mêmes sous-traitants spécialisés dont l’expérience dans les activités principales a été évaluée au cours de la préqualification, sans en proposer de nouveaux, à moins que le(s) nouveau(x) sous-traitant(s) proposé(s) n’ait(aient) été approuvé(s) par le Maître d’ouvrage conformément à IS</w:t>
            </w:r>
            <w:r w:rsidR="00CE6A72" w:rsidRPr="004E4188">
              <w:rPr>
                <w:lang w:val="fr-FR" w:eastAsia="ja-JP"/>
              </w:rPr>
              <w:t> </w:t>
            </w:r>
            <w:r w:rsidRPr="004E4188">
              <w:rPr>
                <w:lang w:val="fr-FR"/>
              </w:rPr>
              <w:t>15.2.</w:t>
            </w:r>
          </w:p>
          <w:p w14:paraId="48272502" w14:textId="77777777" w:rsidR="007049A5" w:rsidRPr="004E4188" w:rsidRDefault="007049A5" w:rsidP="00153CC4">
            <w:pPr>
              <w:pStyle w:val="StyleHeader1-ClausesAfter0pt"/>
              <w:tabs>
                <w:tab w:val="left" w:pos="576"/>
              </w:tabs>
              <w:ind w:left="601"/>
              <w:rPr>
                <w:lang w:val="fr-FR"/>
              </w:rPr>
            </w:pPr>
            <w:r w:rsidRPr="004E4188">
              <w:rPr>
                <w:lang w:val="fr-FR"/>
              </w:rPr>
              <w:t xml:space="preserve">Le Soumissionnaire peut également proposer de sous-traiter les éléments majeurs des </w:t>
            </w:r>
            <w:r w:rsidRPr="004E4188">
              <w:rPr>
                <w:szCs w:val="24"/>
                <w:lang w:val="fr-FR"/>
              </w:rPr>
              <w:t>É</w:t>
            </w:r>
            <w:r w:rsidRPr="004E4188">
              <w:rPr>
                <w:lang w:val="fr-FR"/>
              </w:rPr>
              <w:t>quipements énumérés par le Maître d’ouvrage à l’Article 1.1.3 de la Section III, Critères d’évaluation et de qualification. Dans un tel cas, les points (a) et (b) mentionnés ci-dessus doivent être appliqués, à l’exception de la soumission du formulaire EXP-2(b) dans la Section IV, Formulaires de soumission.</w:t>
            </w:r>
          </w:p>
        </w:tc>
      </w:tr>
      <w:tr w:rsidR="007049A5" w:rsidRPr="004E4188" w14:paraId="4E1526B1" w14:textId="77777777" w:rsidTr="0092765E">
        <w:trPr>
          <w:trHeight w:val="810"/>
        </w:trPr>
        <w:tc>
          <w:tcPr>
            <w:tcW w:w="2268" w:type="dxa"/>
            <w:tcBorders>
              <w:top w:val="nil"/>
              <w:left w:val="nil"/>
              <w:bottom w:val="nil"/>
              <w:right w:val="nil"/>
            </w:tcBorders>
          </w:tcPr>
          <w:p w14:paraId="0D212A41" w14:textId="3FE63FF9" w:rsidR="007049A5" w:rsidRPr="004E4188" w:rsidRDefault="007049A5" w:rsidP="0092765E">
            <w:pPr>
              <w:pStyle w:val="Header1-Clauses"/>
              <w:spacing w:afterLines="50" w:after="120"/>
              <w:ind w:left="357" w:hanging="357"/>
              <w:rPr>
                <w:lang w:val="fr-FR"/>
              </w:rPr>
            </w:pPr>
            <w:bookmarkStart w:id="383" w:name="_Toc104195573"/>
            <w:r w:rsidRPr="004E4188">
              <w:rPr>
                <w:lang w:val="fr-FR"/>
              </w:rPr>
              <w:t>15.</w:t>
            </w:r>
            <w:r w:rsidRPr="004E4188">
              <w:rPr>
                <w:lang w:val="fr-FR"/>
              </w:rPr>
              <w:tab/>
              <w:t>Documents attestant</w:t>
            </w:r>
            <w:r w:rsidR="00EB42D8" w:rsidRPr="004E4188">
              <w:rPr>
                <w:lang w:val="fr-FR"/>
              </w:rPr>
              <w:t xml:space="preserve"> </w:t>
            </w:r>
            <w:r w:rsidRPr="004E4188">
              <w:rPr>
                <w:lang w:val="fr-FR"/>
              </w:rPr>
              <w:t>des qualifications du Soumission</w:t>
            </w:r>
            <w:r w:rsidR="000F4080" w:rsidRPr="004E4188">
              <w:rPr>
                <w:lang w:val="fr-FR"/>
              </w:rPr>
              <w:softHyphen/>
            </w:r>
            <w:r w:rsidRPr="004E4188">
              <w:rPr>
                <w:lang w:val="fr-FR"/>
              </w:rPr>
              <w:t>naire</w:t>
            </w:r>
            <w:bookmarkEnd w:id="383"/>
          </w:p>
        </w:tc>
        <w:tc>
          <w:tcPr>
            <w:tcW w:w="7023" w:type="dxa"/>
            <w:tcBorders>
              <w:top w:val="nil"/>
              <w:left w:val="nil"/>
              <w:bottom w:val="nil"/>
              <w:right w:val="nil"/>
            </w:tcBorders>
          </w:tcPr>
          <w:p w14:paraId="4C5EAC1F" w14:textId="4E36FC80" w:rsidR="007049A5" w:rsidRPr="004E4188" w:rsidRDefault="007049A5" w:rsidP="006C6267">
            <w:pPr>
              <w:suppressAutoHyphens w:val="0"/>
              <w:spacing w:after="200"/>
              <w:ind w:left="601" w:hanging="601"/>
            </w:pPr>
            <w:r w:rsidRPr="004E4188">
              <w:t>15.1</w:t>
            </w:r>
            <w:r w:rsidRPr="004E4188">
              <w:tab/>
              <w:t xml:space="preserve">Conformément aux dispositions de la Section III, Critères    d’évaluation et de qualification : </w:t>
            </w:r>
          </w:p>
          <w:p w14:paraId="66FDF70D" w14:textId="3FBF55C4" w:rsidR="007049A5" w:rsidRPr="004E4188" w:rsidRDefault="007049A5" w:rsidP="006C28F7">
            <w:pPr>
              <w:suppressAutoHyphens w:val="0"/>
              <w:spacing w:after="200"/>
              <w:ind w:left="1026" w:hanging="425"/>
            </w:pPr>
            <w:r w:rsidRPr="004E4188">
              <w:t>(a)</w:t>
            </w:r>
            <w:r w:rsidR="00BC15EB" w:rsidRPr="004E4188">
              <w:rPr>
                <w:lang w:eastAsia="ja-JP"/>
              </w:rPr>
              <w:tab/>
            </w:r>
            <w:r w:rsidRPr="004E4188">
              <w:t>si une procédure de préqualification a été conduite préalablement à l’appel d’offres, le Soumissionnaire fournira dans les formulaires correspondants figurant à la Section IV, Formulaires de soumission, des informations actualisées sur tout aspect évalué au moment de la préqualification qui a changé depuis, pour établir que le Soumissionnaire continue de satisfaire aux critères de préqualification ; et</w:t>
            </w:r>
          </w:p>
          <w:p w14:paraId="37FBAD1A" w14:textId="74FEAA62" w:rsidR="007049A5" w:rsidRPr="004E4188" w:rsidRDefault="007049A5" w:rsidP="006C28F7">
            <w:pPr>
              <w:pStyle w:val="StyleStyleHeader1-ClausesAfter0ptLeft0Hanging"/>
              <w:tabs>
                <w:tab w:val="clear" w:pos="576"/>
              </w:tabs>
              <w:ind w:left="1026" w:hanging="425"/>
              <w:rPr>
                <w:lang w:val="fr-FR" w:eastAsia="fr-FR"/>
              </w:rPr>
            </w:pPr>
            <w:r w:rsidRPr="004E4188">
              <w:rPr>
                <w:lang w:val="fr-FR" w:eastAsia="fr-FR"/>
              </w:rPr>
              <w:t>(b)</w:t>
            </w:r>
            <w:r w:rsidR="00BC15EB" w:rsidRPr="004E4188">
              <w:rPr>
                <w:lang w:val="fr-FR" w:eastAsia="ja-JP"/>
              </w:rPr>
              <w:tab/>
            </w:r>
            <w:r w:rsidRPr="004E4188">
              <w:rPr>
                <w:lang w:val="fr-FR" w:eastAsia="fr-FR"/>
              </w:rPr>
              <w:t>si aucune préqualification n’a eu lieu avant le lancement de l’appel d’offres, le Soumissionnaire doit fournir les informations requises dans les formulaires correspondants de la Section IV, Formulaires de soumission.</w:t>
            </w:r>
          </w:p>
          <w:p w14:paraId="4D2C9031" w14:textId="77777777" w:rsidR="007049A5" w:rsidRPr="004E4188" w:rsidRDefault="007049A5" w:rsidP="00BC15EB">
            <w:pPr>
              <w:suppressAutoHyphens w:val="0"/>
              <w:overflowPunct/>
              <w:autoSpaceDE/>
              <w:autoSpaceDN/>
              <w:adjustRightInd/>
              <w:spacing w:after="200"/>
              <w:ind w:left="601"/>
              <w:textAlignment w:val="auto"/>
            </w:pPr>
            <w:r w:rsidRPr="004E4188">
              <w:t>Les critères d’évaluation et de qualification susmentionnés contiennent, entre autres, les exigences relatives à l’éligibilité indiquée dans IS 4.</w:t>
            </w:r>
          </w:p>
          <w:p w14:paraId="41A48829" w14:textId="68DB782C" w:rsidR="007049A5" w:rsidRPr="004E4188" w:rsidRDefault="007049A5" w:rsidP="001C63C0">
            <w:pPr>
              <w:suppressAutoHyphens w:val="0"/>
              <w:spacing w:after="200"/>
              <w:ind w:left="601" w:hanging="601"/>
            </w:pPr>
            <w:r w:rsidRPr="004E4188">
              <w:t>15.2</w:t>
            </w:r>
            <w:r w:rsidRPr="004E4188">
              <w:tab/>
            </w:r>
            <w:r w:rsidRPr="004E4188">
              <w:rPr>
                <w:spacing w:val="-2"/>
              </w:rPr>
              <w:t>Tout changement dans la structure ou la composition du   Soumissionnaire intervenu postérieurement à la préqualification et au lancement de l’appel d’offres (y compris tout changement dans la structure ou la composition de tout membre d’un Groupement, lorsque le Soumissionnaire est un Groupement) fera l’objet de l’approbation écrite du Maître d’ouvrage préalablement à la date limite de remise des offres. Cette approbation sera refusée :</w:t>
            </w:r>
          </w:p>
          <w:p w14:paraId="600856FF" w14:textId="0423CAB9" w:rsidR="007049A5" w:rsidRPr="004E4188" w:rsidRDefault="007049A5" w:rsidP="006C28F7">
            <w:pPr>
              <w:pStyle w:val="P3Header1-Clauses"/>
              <w:tabs>
                <w:tab w:val="clear" w:pos="432"/>
                <w:tab w:val="clear" w:pos="864"/>
              </w:tabs>
              <w:overflowPunct/>
              <w:autoSpaceDE/>
              <w:autoSpaceDN/>
              <w:adjustRightInd/>
              <w:spacing w:after="200"/>
              <w:ind w:left="1026" w:hanging="425"/>
              <w:jc w:val="both"/>
              <w:textAlignment w:val="auto"/>
              <w:rPr>
                <w:b w:val="0"/>
                <w:lang w:val="fr-FR"/>
              </w:rPr>
            </w:pPr>
            <w:r w:rsidRPr="004E4188">
              <w:rPr>
                <w:b w:val="0"/>
                <w:lang w:val="fr-FR"/>
              </w:rPr>
              <w:t>(a)</w:t>
            </w:r>
            <w:r w:rsidR="00B32D3B" w:rsidRPr="004E4188">
              <w:rPr>
                <w:b w:val="0"/>
                <w:spacing w:val="-2"/>
                <w:lang w:val="fr-FR"/>
              </w:rPr>
              <w:tab/>
            </w:r>
            <w:r w:rsidRPr="004E4188">
              <w:rPr>
                <w:b w:val="0"/>
                <w:lang w:val="fr-FR"/>
              </w:rPr>
              <w:t>si le changement n’a pas été décidé librement par les entreprises concernées ;</w:t>
            </w:r>
          </w:p>
          <w:p w14:paraId="3AFE6721" w14:textId="1B15D868" w:rsidR="007049A5" w:rsidRPr="004E4188" w:rsidRDefault="007049A5" w:rsidP="006C28F7">
            <w:pPr>
              <w:pStyle w:val="P3Header1-Clauses"/>
              <w:tabs>
                <w:tab w:val="clear" w:pos="432"/>
                <w:tab w:val="clear" w:pos="864"/>
              </w:tabs>
              <w:overflowPunct/>
              <w:autoSpaceDE/>
              <w:autoSpaceDN/>
              <w:adjustRightInd/>
              <w:spacing w:after="200"/>
              <w:ind w:left="1026" w:hanging="425"/>
              <w:jc w:val="both"/>
              <w:textAlignment w:val="auto"/>
              <w:rPr>
                <w:b w:val="0"/>
                <w:lang w:val="fr-FR"/>
              </w:rPr>
            </w:pPr>
            <w:r w:rsidRPr="004E4188">
              <w:rPr>
                <w:b w:val="0"/>
                <w:lang w:val="fr-FR"/>
              </w:rPr>
              <w:t>(b)</w:t>
            </w:r>
            <w:r w:rsidRPr="004E4188">
              <w:rPr>
                <w:spacing w:val="-2"/>
                <w:lang w:val="fr-FR"/>
              </w:rPr>
              <w:tab/>
            </w:r>
            <w:r w:rsidRPr="004E4188">
              <w:rPr>
                <w:b w:val="0"/>
                <w:lang w:val="fr-FR"/>
              </w:rPr>
              <w:t>si par suite de ce changement, le Soumissionnaire ne satisfait plus suffisamment aux critères de préqualification tels qu’ils figuraient dans le Dossier de préqualification ; ou</w:t>
            </w:r>
          </w:p>
          <w:p w14:paraId="4CC72572" w14:textId="2BE8BFE1" w:rsidR="007049A5" w:rsidRPr="004E4188" w:rsidRDefault="007049A5" w:rsidP="006C28F7">
            <w:pPr>
              <w:pStyle w:val="P3Header1-Clauses"/>
              <w:tabs>
                <w:tab w:val="clear" w:pos="432"/>
                <w:tab w:val="clear" w:pos="864"/>
              </w:tabs>
              <w:overflowPunct/>
              <w:autoSpaceDE/>
              <w:autoSpaceDN/>
              <w:adjustRightInd/>
              <w:spacing w:after="200"/>
              <w:ind w:left="1026" w:hanging="425"/>
              <w:jc w:val="both"/>
              <w:textAlignment w:val="auto"/>
              <w:rPr>
                <w:b w:val="0"/>
                <w:lang w:val="fr-FR"/>
              </w:rPr>
            </w:pPr>
            <w:r w:rsidRPr="004E4188">
              <w:rPr>
                <w:b w:val="0"/>
                <w:lang w:val="fr-FR"/>
              </w:rPr>
              <w:t>(c)</w:t>
            </w:r>
            <w:r w:rsidRPr="004E4188">
              <w:rPr>
                <w:spacing w:val="-2"/>
                <w:lang w:val="fr-FR"/>
              </w:rPr>
              <w:tab/>
            </w:r>
            <w:r w:rsidRPr="004E4188">
              <w:rPr>
                <w:b w:val="0"/>
                <w:lang w:val="fr-FR"/>
              </w:rPr>
              <w:t xml:space="preserve">si le Maître d’ouvrage considère qu’il en résulterait une diminution notable de la concurrence. </w:t>
            </w:r>
          </w:p>
          <w:p w14:paraId="0EF452B2" w14:textId="5BA2527E" w:rsidR="007049A5" w:rsidRPr="004E4188" w:rsidRDefault="007049A5" w:rsidP="001C63C0">
            <w:pPr>
              <w:suppressAutoHyphens w:val="0"/>
              <w:overflowPunct/>
              <w:autoSpaceDE/>
              <w:autoSpaceDN/>
              <w:adjustRightInd/>
              <w:spacing w:after="200"/>
              <w:ind w:left="601"/>
              <w:textAlignment w:val="auto"/>
            </w:pPr>
            <w:r w:rsidRPr="004E4188">
              <w:t>Tout changement de cette nature devra être soumis au Maître d’ouvrage au plus tard vingt-huit (28) jours avant la date limite de remise des offres</w:t>
            </w:r>
            <w:r w:rsidRPr="004E4188">
              <w:rPr>
                <w:spacing w:val="-2"/>
              </w:rPr>
              <w:t>.</w:t>
            </w:r>
          </w:p>
        </w:tc>
      </w:tr>
      <w:tr w:rsidR="007049A5" w:rsidRPr="004E4188" w14:paraId="418D3AE7" w14:textId="77777777" w:rsidTr="0092765E">
        <w:trPr>
          <w:trHeight w:val="810"/>
        </w:trPr>
        <w:tc>
          <w:tcPr>
            <w:tcW w:w="2268" w:type="dxa"/>
            <w:tcBorders>
              <w:top w:val="nil"/>
              <w:left w:val="nil"/>
              <w:bottom w:val="nil"/>
              <w:right w:val="nil"/>
            </w:tcBorders>
          </w:tcPr>
          <w:p w14:paraId="3CF44996" w14:textId="3BC8B22D" w:rsidR="007049A5" w:rsidRPr="004E4188" w:rsidRDefault="007049A5" w:rsidP="0092765E">
            <w:pPr>
              <w:pStyle w:val="Header1-Clauses"/>
              <w:spacing w:afterLines="50" w:after="120"/>
              <w:ind w:left="357" w:hanging="357"/>
              <w:rPr>
                <w:lang w:val="fr-FR"/>
              </w:rPr>
            </w:pPr>
            <w:bookmarkStart w:id="384" w:name="_Toc104195574"/>
            <w:r w:rsidRPr="004E4188">
              <w:rPr>
                <w:lang w:val="fr-FR"/>
              </w:rPr>
              <w:t>16.</w:t>
            </w:r>
            <w:r w:rsidRPr="004E4188">
              <w:rPr>
                <w:lang w:val="fr-FR" w:eastAsia="ja-JP"/>
              </w:rPr>
              <w:tab/>
            </w:r>
            <w:r w:rsidRPr="004E4188">
              <w:rPr>
                <w:lang w:val="fr-FR"/>
              </w:rPr>
              <w:t>Form</w:t>
            </w:r>
            <w:r w:rsidR="00704607" w:rsidRPr="004E4188">
              <w:rPr>
                <w:lang w:val="fr-FR"/>
              </w:rPr>
              <w:t>e</w:t>
            </w:r>
            <w:r w:rsidRPr="004E4188">
              <w:rPr>
                <w:lang w:val="fr-FR"/>
              </w:rPr>
              <w:t xml:space="preserve"> et signature de l’offre de la première étape</w:t>
            </w:r>
            <w:bookmarkEnd w:id="384"/>
          </w:p>
        </w:tc>
        <w:tc>
          <w:tcPr>
            <w:tcW w:w="7023" w:type="dxa"/>
            <w:tcBorders>
              <w:top w:val="nil"/>
              <w:left w:val="nil"/>
              <w:bottom w:val="nil"/>
              <w:right w:val="nil"/>
            </w:tcBorders>
          </w:tcPr>
          <w:p w14:paraId="02B7DFDB" w14:textId="3D3636ED" w:rsidR="007049A5" w:rsidRPr="004E4188" w:rsidRDefault="007049A5" w:rsidP="006C6267">
            <w:pPr>
              <w:spacing w:after="200"/>
              <w:ind w:left="601" w:hanging="601"/>
            </w:pPr>
            <w:r w:rsidRPr="004E4188">
              <w:t>16.1</w:t>
            </w:r>
            <w:r w:rsidRPr="004E4188">
              <w:rPr>
                <w:lang w:eastAsia="ja-JP"/>
              </w:rPr>
              <w:tab/>
            </w:r>
            <w:r w:rsidRPr="004E4188">
              <w:t>Le Soumissionnaire préparera un original de l’offre de la première étape comprenant les documents</w:t>
            </w:r>
            <w:r w:rsidRPr="004E4188" w:rsidDel="00FB4D03">
              <w:t xml:space="preserve"> </w:t>
            </w:r>
            <w:r w:rsidRPr="004E4188">
              <w:t>décrits à IS 11, en indiquant clairement la mention « </w:t>
            </w:r>
            <w:r w:rsidRPr="004E4188">
              <w:rPr>
                <w:smallCaps/>
              </w:rPr>
              <w:t>Offre de la Premi</w:t>
            </w:r>
            <w:r w:rsidRPr="004E4188">
              <w:rPr>
                <w:smallCaps/>
                <w:lang w:eastAsia="ja-JP"/>
              </w:rPr>
              <w:t>è</w:t>
            </w:r>
            <w:r w:rsidRPr="004E4188">
              <w:rPr>
                <w:smallCaps/>
              </w:rPr>
              <w:t xml:space="preserve">re Étape </w:t>
            </w:r>
            <w:r w:rsidR="007E43F5" w:rsidRPr="004E4188">
              <w:rPr>
                <w:smallCaps/>
              </w:rPr>
              <w:t xml:space="preserve">- </w:t>
            </w:r>
            <w:r w:rsidRPr="004E4188">
              <w:rPr>
                <w:smallCaps/>
              </w:rPr>
              <w:t>Original</w:t>
            </w:r>
            <w:r w:rsidR="00B32D3B" w:rsidRPr="004E4188">
              <w:t> </w:t>
            </w:r>
            <w:r w:rsidRPr="004E4188">
              <w:t xml:space="preserve">» y compris les propositions techniques variantes, le cas échéant. </w:t>
            </w:r>
          </w:p>
          <w:p w14:paraId="6313784C" w14:textId="7FDA592C" w:rsidR="007049A5" w:rsidRPr="004E4188" w:rsidRDefault="007049A5" w:rsidP="001C63C0">
            <w:pPr>
              <w:pStyle w:val="OptB-S1-subpara"/>
              <w:tabs>
                <w:tab w:val="clear" w:pos="718"/>
              </w:tabs>
              <w:ind w:left="601" w:firstLine="0"/>
              <w:rPr>
                <w:lang w:val="fr-FR"/>
              </w:rPr>
            </w:pPr>
            <w:r w:rsidRPr="004E4188">
              <w:rPr>
                <w:lang w:val="fr-FR"/>
              </w:rPr>
              <w:t xml:space="preserve">Par ailleurs, le Soumissionnaire remettra le nombre d’exemplaires supplémentaires de l’offre de la première étape </w:t>
            </w:r>
            <w:r w:rsidRPr="004E4188">
              <w:rPr>
                <w:b/>
                <w:lang w:val="fr-FR"/>
              </w:rPr>
              <w:t>indiqué dans les DP</w:t>
            </w:r>
            <w:r w:rsidRPr="004E4188">
              <w:rPr>
                <w:lang w:val="fr-FR"/>
              </w:rPr>
              <w:t>, en mentionnant clairement sur ces exemplaires « </w:t>
            </w:r>
            <w:r w:rsidRPr="004E4188">
              <w:rPr>
                <w:smallCaps/>
                <w:spacing w:val="-4"/>
                <w:lang w:val="fr-FR"/>
              </w:rPr>
              <w:t>Offre de la Premi</w:t>
            </w:r>
            <w:r w:rsidRPr="004E4188">
              <w:rPr>
                <w:smallCaps/>
                <w:spacing w:val="-4"/>
                <w:lang w:val="fr-FR" w:eastAsia="ja-JP"/>
              </w:rPr>
              <w:t>è</w:t>
            </w:r>
            <w:r w:rsidRPr="004E4188">
              <w:rPr>
                <w:smallCaps/>
                <w:spacing w:val="-4"/>
                <w:lang w:val="fr-FR"/>
              </w:rPr>
              <w:t xml:space="preserve">re Étape </w:t>
            </w:r>
            <w:r w:rsidR="007E43F5" w:rsidRPr="004E4188">
              <w:rPr>
                <w:smallCaps/>
                <w:spacing w:val="-4"/>
                <w:lang w:val="fr-FR"/>
              </w:rPr>
              <w:t>-</w:t>
            </w:r>
            <w:r w:rsidRPr="004E4188">
              <w:rPr>
                <w:smallCaps/>
                <w:spacing w:val="-4"/>
                <w:lang w:val="fr-FR"/>
              </w:rPr>
              <w:t xml:space="preserve"> Copie</w:t>
            </w:r>
            <w:r w:rsidRPr="004E4188">
              <w:rPr>
                <w:lang w:val="fr-FR"/>
              </w:rPr>
              <w:t xml:space="preserve"> ». </w:t>
            </w:r>
          </w:p>
          <w:p w14:paraId="7CFAEE19" w14:textId="77777777" w:rsidR="007049A5" w:rsidRPr="004E4188" w:rsidRDefault="007049A5" w:rsidP="001C63C0">
            <w:pPr>
              <w:pStyle w:val="OptB-S1-subpara"/>
              <w:tabs>
                <w:tab w:val="clear" w:pos="718"/>
              </w:tabs>
              <w:ind w:left="601" w:firstLine="0"/>
              <w:rPr>
                <w:lang w:val="fr-FR"/>
              </w:rPr>
            </w:pPr>
            <w:r w:rsidRPr="004E4188">
              <w:rPr>
                <w:lang w:val="fr-FR"/>
              </w:rPr>
              <w:t>En cas de différence entre les copies et l’original, l’original fera foi.</w:t>
            </w:r>
          </w:p>
        </w:tc>
      </w:tr>
      <w:tr w:rsidR="007049A5" w:rsidRPr="004E4188" w14:paraId="1AA3A104" w14:textId="77777777" w:rsidTr="0092765E">
        <w:trPr>
          <w:trHeight w:val="810"/>
        </w:trPr>
        <w:tc>
          <w:tcPr>
            <w:tcW w:w="2268" w:type="dxa"/>
            <w:tcBorders>
              <w:top w:val="nil"/>
              <w:left w:val="nil"/>
              <w:bottom w:val="nil"/>
              <w:right w:val="nil"/>
            </w:tcBorders>
          </w:tcPr>
          <w:p w14:paraId="621999A4"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0B280DBC" w14:textId="42CB51EA" w:rsidR="007049A5" w:rsidRPr="004E4188" w:rsidRDefault="007049A5" w:rsidP="001C63C0">
            <w:pPr>
              <w:spacing w:after="200"/>
              <w:ind w:left="601" w:hanging="601"/>
            </w:pPr>
            <w:r w:rsidRPr="004E4188">
              <w:t>16.2</w:t>
            </w:r>
            <w:r w:rsidRPr="004E4188">
              <w:rPr>
                <w:lang w:eastAsia="ja-JP"/>
              </w:rPr>
              <w:tab/>
            </w:r>
            <w:r w:rsidRPr="004E4188">
              <w:t xml:space="preserve">L’original de l’offre de la première étape sera dactylographié ou écrit à l’encre indélébile et sera signé par une personne dûment habilitée à le faire au nom du Soumissionnaire. Cette habilitation </w:t>
            </w:r>
            <w:r w:rsidRPr="004E4188">
              <w:rPr>
                <w:szCs w:val="24"/>
              </w:rPr>
              <w:t>consistera en une procuration</w:t>
            </w:r>
            <w:r w:rsidRPr="004E4188">
              <w:t xml:space="preserve"> jointe à l’offre de la première étape. Toutes les pages de l’offre de la première étape sur lesquelles des renseignements ont été donnés ou des modifications ont été apportées doivent être signées ou paraphées par la personne signataire de l’offre de la première étape.</w:t>
            </w:r>
          </w:p>
        </w:tc>
      </w:tr>
      <w:tr w:rsidR="007049A5" w:rsidRPr="004E4188" w14:paraId="48B65DC5" w14:textId="77777777" w:rsidTr="0092765E">
        <w:trPr>
          <w:trHeight w:val="810"/>
        </w:trPr>
        <w:tc>
          <w:tcPr>
            <w:tcW w:w="2268" w:type="dxa"/>
            <w:tcBorders>
              <w:top w:val="nil"/>
              <w:left w:val="nil"/>
              <w:bottom w:val="nil"/>
              <w:right w:val="nil"/>
            </w:tcBorders>
          </w:tcPr>
          <w:p w14:paraId="1264E761"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440D2E4F" w14:textId="139354CF" w:rsidR="007049A5" w:rsidRPr="004E4188" w:rsidRDefault="007049A5" w:rsidP="006C6267">
            <w:pPr>
              <w:spacing w:after="200"/>
              <w:ind w:left="601" w:hanging="601"/>
            </w:pPr>
            <w:r w:rsidRPr="004E4188">
              <w:t>16.3</w:t>
            </w:r>
            <w:r w:rsidRPr="004E4188">
              <w:rPr>
                <w:lang w:eastAsia="ja-JP"/>
              </w:rPr>
              <w:tab/>
            </w:r>
            <w:r w:rsidRPr="004E4188">
              <w:t>Une offre de la première étape soumise par un Groupement</w:t>
            </w:r>
            <w:r w:rsidR="00EB42D8" w:rsidRPr="004E4188">
              <w:t xml:space="preserve"> </w:t>
            </w:r>
            <w:r w:rsidRPr="004E4188">
              <w:t>et accompagnée de la procuration de chacun des membres du Groupement attestant que ce représentant est habilité à signer en leur nom et afin d’être juridiquement contraignant</w:t>
            </w:r>
            <w:r w:rsidR="005D3F06" w:rsidRPr="004E4188">
              <w:t>e</w:t>
            </w:r>
            <w:r w:rsidRPr="004E4188">
              <w:t xml:space="preserve"> pour tous les membres. Cette habilitation doit également être donnée par une personne dûment autorisée pour agir pour le compte de chaque membre et être attesté</w:t>
            </w:r>
            <w:r w:rsidR="004727EE" w:rsidRPr="004E4188">
              <w:t>e</w:t>
            </w:r>
            <w:r w:rsidRPr="004E4188">
              <w:t xml:space="preserve"> par une procuration.</w:t>
            </w:r>
          </w:p>
        </w:tc>
      </w:tr>
      <w:tr w:rsidR="007049A5" w:rsidRPr="004E4188" w14:paraId="3BB66493" w14:textId="77777777" w:rsidTr="0092765E">
        <w:trPr>
          <w:trHeight w:val="810"/>
        </w:trPr>
        <w:tc>
          <w:tcPr>
            <w:tcW w:w="2268" w:type="dxa"/>
            <w:tcBorders>
              <w:top w:val="nil"/>
              <w:left w:val="nil"/>
              <w:bottom w:val="nil"/>
              <w:right w:val="nil"/>
            </w:tcBorders>
          </w:tcPr>
          <w:p w14:paraId="17383CF0"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63868C04" w14:textId="717A18EC" w:rsidR="007049A5" w:rsidRPr="004E4188" w:rsidRDefault="007049A5" w:rsidP="006C6267">
            <w:pPr>
              <w:spacing w:after="200"/>
              <w:ind w:left="601" w:hanging="601"/>
            </w:pPr>
            <w:r w:rsidRPr="004E4188">
              <w:t>16.4</w:t>
            </w:r>
            <w:r w:rsidRPr="004E4188">
              <w:rPr>
                <w:lang w:eastAsia="ja-JP"/>
              </w:rPr>
              <w:tab/>
            </w:r>
            <w:r w:rsidRPr="004E4188">
              <w:t>Tout ajout entre les lignes, rature ou surcharge, ne sera valide que si signé ou paraphé par la personne signataire de l’offre de la première étape.</w:t>
            </w:r>
          </w:p>
        </w:tc>
      </w:tr>
      <w:tr w:rsidR="007049A5" w:rsidRPr="004E4188" w14:paraId="762959A6" w14:textId="77777777" w:rsidTr="0092765E">
        <w:trPr>
          <w:trHeight w:val="810"/>
        </w:trPr>
        <w:tc>
          <w:tcPr>
            <w:tcW w:w="2268" w:type="dxa"/>
            <w:tcBorders>
              <w:top w:val="nil"/>
              <w:left w:val="nil"/>
              <w:bottom w:val="nil"/>
              <w:right w:val="nil"/>
            </w:tcBorders>
          </w:tcPr>
          <w:p w14:paraId="5F3D1D30"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4695A6B5" w14:textId="77777777" w:rsidR="007049A5" w:rsidRPr="004E4188" w:rsidRDefault="007049A5" w:rsidP="001B07E9">
            <w:pPr>
              <w:spacing w:after="200"/>
              <w:ind w:left="601" w:hanging="601"/>
            </w:pPr>
            <w:r w:rsidRPr="004E4188">
              <w:t>16.5</w:t>
            </w:r>
            <w:r w:rsidRPr="004E4188">
              <w:tab/>
            </w:r>
            <w:r w:rsidRPr="004E4188">
              <w:rPr>
                <w:spacing w:val="-2"/>
              </w:rPr>
              <w:t>Le Soumissionnaire devra clairement marquer « </w:t>
            </w:r>
            <w:r w:rsidRPr="004E4188">
              <w:rPr>
                <w:smallCaps/>
                <w:spacing w:val="-2"/>
                <w:szCs w:val="24"/>
                <w:lang w:eastAsia="ja-JP"/>
              </w:rPr>
              <w:t>Confidentie</w:t>
            </w:r>
            <w:r w:rsidRPr="004E4188">
              <w:rPr>
                <w:smallCaps/>
                <w:spacing w:val="-2"/>
              </w:rPr>
              <w:t>l</w:t>
            </w:r>
            <w:r w:rsidRPr="004E4188">
              <w:rPr>
                <w:spacing w:val="-2"/>
              </w:rPr>
              <w:t> » tout renseignement qu’il considère comme confidentiel pour son activité. Ceci pourra inclure des informations exclusives, des secrets commerciaux, ou des informations commerciales ou financières sensibles.</w:t>
            </w:r>
          </w:p>
        </w:tc>
      </w:tr>
      <w:tr w:rsidR="007049A5" w:rsidRPr="004E4188" w14:paraId="48CAAAF1" w14:textId="77777777" w:rsidTr="0092765E">
        <w:trPr>
          <w:trHeight w:val="609"/>
        </w:trPr>
        <w:tc>
          <w:tcPr>
            <w:tcW w:w="9291" w:type="dxa"/>
            <w:gridSpan w:val="2"/>
            <w:tcBorders>
              <w:top w:val="nil"/>
              <w:left w:val="nil"/>
              <w:bottom w:val="nil"/>
              <w:right w:val="nil"/>
            </w:tcBorders>
          </w:tcPr>
          <w:p w14:paraId="2B6124BA" w14:textId="3BD8F3ED" w:rsidR="007049A5" w:rsidRPr="004E4188" w:rsidRDefault="007049A5" w:rsidP="004B21E5">
            <w:pPr>
              <w:pStyle w:val="Section1Header1"/>
              <w:ind w:left="600" w:hanging="600"/>
              <w:rPr>
                <w:szCs w:val="28"/>
              </w:rPr>
            </w:pPr>
            <w:bookmarkStart w:id="385" w:name="_Toc104195575"/>
            <w:r w:rsidRPr="004E4188">
              <w:rPr>
                <w:szCs w:val="28"/>
              </w:rPr>
              <w:t>C2. Offres de la première étape : remise et ouverture</w:t>
            </w:r>
            <w:bookmarkEnd w:id="385"/>
          </w:p>
        </w:tc>
      </w:tr>
      <w:tr w:rsidR="007049A5" w:rsidRPr="004E4188" w14:paraId="7B94FF26" w14:textId="77777777" w:rsidTr="0092765E">
        <w:trPr>
          <w:trHeight w:val="810"/>
        </w:trPr>
        <w:tc>
          <w:tcPr>
            <w:tcW w:w="2268" w:type="dxa"/>
            <w:tcBorders>
              <w:top w:val="nil"/>
              <w:left w:val="nil"/>
              <w:bottom w:val="nil"/>
              <w:right w:val="nil"/>
            </w:tcBorders>
          </w:tcPr>
          <w:p w14:paraId="220CC24F" w14:textId="5F872070" w:rsidR="007049A5" w:rsidRPr="004E4188" w:rsidRDefault="007049A5" w:rsidP="0092765E">
            <w:pPr>
              <w:pStyle w:val="Header1-Clauses"/>
              <w:spacing w:afterLines="50" w:after="120"/>
              <w:ind w:left="357" w:hanging="357"/>
              <w:rPr>
                <w:lang w:val="fr-FR"/>
              </w:rPr>
            </w:pPr>
            <w:bookmarkStart w:id="386" w:name="_Toc104195576"/>
            <w:r w:rsidRPr="004E4188">
              <w:rPr>
                <w:lang w:val="fr-FR"/>
              </w:rPr>
              <w:t>17.</w:t>
            </w:r>
            <w:r w:rsidRPr="004E4188">
              <w:rPr>
                <w:lang w:val="fr-FR"/>
              </w:rPr>
              <w:tab/>
              <w:t>Cachetage et marquage des offres de la première étape</w:t>
            </w:r>
            <w:bookmarkEnd w:id="386"/>
          </w:p>
        </w:tc>
        <w:tc>
          <w:tcPr>
            <w:tcW w:w="7023" w:type="dxa"/>
            <w:tcBorders>
              <w:top w:val="nil"/>
              <w:left w:val="nil"/>
              <w:bottom w:val="nil"/>
              <w:right w:val="nil"/>
            </w:tcBorders>
          </w:tcPr>
          <w:p w14:paraId="7F082960" w14:textId="077AFFDB" w:rsidR="007049A5" w:rsidRPr="004E4188" w:rsidRDefault="007049A5" w:rsidP="006C6267">
            <w:pPr>
              <w:spacing w:after="200"/>
              <w:ind w:left="601" w:hanging="601"/>
              <w:rPr>
                <w:lang w:eastAsia="en-US"/>
              </w:rPr>
            </w:pPr>
            <w:r w:rsidRPr="004E4188">
              <w:rPr>
                <w:lang w:eastAsia="en-US"/>
              </w:rPr>
              <w:t>17.</w:t>
            </w:r>
            <w:r w:rsidRPr="004E4188">
              <w:t>1</w:t>
            </w:r>
            <w:r w:rsidRPr="004E4188">
              <w:tab/>
              <w:t>Le</w:t>
            </w:r>
            <w:r w:rsidRPr="004E4188">
              <w:rPr>
                <w:lang w:eastAsia="en-US"/>
              </w:rPr>
              <w:t xml:space="preserve"> Soumissionnaire placera : </w:t>
            </w:r>
          </w:p>
          <w:p w14:paraId="772842AE" w14:textId="41F572F8" w:rsidR="007049A5" w:rsidRPr="004E4188" w:rsidRDefault="007049A5" w:rsidP="006C6267">
            <w:pPr>
              <w:suppressAutoHyphens w:val="0"/>
              <w:overflowPunct/>
              <w:autoSpaceDE/>
              <w:autoSpaceDN/>
              <w:adjustRightInd/>
              <w:spacing w:after="200"/>
              <w:ind w:left="1026" w:hanging="425"/>
              <w:textAlignment w:val="auto"/>
              <w:rPr>
                <w:lang w:eastAsia="en-US"/>
              </w:rPr>
            </w:pPr>
            <w:r w:rsidRPr="004E4188">
              <w:rPr>
                <w:lang w:eastAsia="en-US"/>
              </w:rPr>
              <w:t xml:space="preserve">(a) </w:t>
            </w:r>
            <w:r w:rsidRPr="004E4188">
              <w:rPr>
                <w:lang w:eastAsia="en-US"/>
              </w:rPr>
              <w:tab/>
              <w:t>dans une enveloppe cachetée, portant la mention « </w:t>
            </w:r>
            <w:r w:rsidRPr="004E4188">
              <w:rPr>
                <w:smallCaps/>
                <w:lang w:eastAsia="en-US"/>
              </w:rPr>
              <w:t xml:space="preserve">Offre de la Première Étape </w:t>
            </w:r>
            <w:r w:rsidR="00D929A1" w:rsidRPr="004E4188">
              <w:rPr>
                <w:smallCaps/>
                <w:lang w:eastAsia="en-US"/>
              </w:rPr>
              <w:t>-</w:t>
            </w:r>
            <w:r w:rsidRPr="004E4188">
              <w:rPr>
                <w:smallCaps/>
                <w:lang w:eastAsia="en-US"/>
              </w:rPr>
              <w:t xml:space="preserve"> Original</w:t>
            </w:r>
            <w:r w:rsidR="00D929A1" w:rsidRPr="004E4188">
              <w:rPr>
                <w:lang w:eastAsia="en-US"/>
              </w:rPr>
              <w:t> </w:t>
            </w:r>
            <w:r w:rsidRPr="004E4188">
              <w:rPr>
                <w:lang w:eastAsia="en-US"/>
              </w:rPr>
              <w:t xml:space="preserve">», tous les documents constitutifs de l’offre de la première étape, tels que décrits à IS 11.1 ; et </w:t>
            </w:r>
          </w:p>
          <w:p w14:paraId="5E930253" w14:textId="58300BF0" w:rsidR="007049A5" w:rsidRPr="004E4188" w:rsidRDefault="007049A5" w:rsidP="006C6267">
            <w:pPr>
              <w:suppressAutoHyphens w:val="0"/>
              <w:overflowPunct/>
              <w:autoSpaceDE/>
              <w:autoSpaceDN/>
              <w:adjustRightInd/>
              <w:spacing w:after="200"/>
              <w:ind w:left="1026" w:hanging="425"/>
              <w:textAlignment w:val="auto"/>
              <w:rPr>
                <w:lang w:eastAsia="en-US"/>
              </w:rPr>
            </w:pPr>
            <w:r w:rsidRPr="004E4188">
              <w:rPr>
                <w:lang w:eastAsia="en-US"/>
              </w:rPr>
              <w:t xml:space="preserve">(b) </w:t>
            </w:r>
            <w:r w:rsidRPr="004E4188">
              <w:rPr>
                <w:lang w:eastAsia="en-US"/>
              </w:rPr>
              <w:tab/>
              <w:t>dans des enveloppes cachetées, portant la mention « </w:t>
            </w:r>
            <w:r w:rsidRPr="004E4188">
              <w:rPr>
                <w:smallCaps/>
                <w:lang w:eastAsia="en-US"/>
              </w:rPr>
              <w:t xml:space="preserve">Offre </w:t>
            </w:r>
            <w:r w:rsidR="00D044B9" w:rsidRPr="004E4188">
              <w:rPr>
                <w:smallCaps/>
                <w:lang w:eastAsia="en-US"/>
              </w:rPr>
              <w:t>d</w:t>
            </w:r>
            <w:r w:rsidRPr="004E4188">
              <w:rPr>
                <w:smallCaps/>
                <w:lang w:eastAsia="en-US"/>
              </w:rPr>
              <w:t xml:space="preserve">e </w:t>
            </w:r>
            <w:r w:rsidR="00D044B9" w:rsidRPr="004E4188">
              <w:rPr>
                <w:smallCaps/>
                <w:lang w:eastAsia="en-US"/>
              </w:rPr>
              <w:t>l</w:t>
            </w:r>
            <w:r w:rsidRPr="004E4188">
              <w:rPr>
                <w:smallCaps/>
                <w:lang w:eastAsia="en-US"/>
              </w:rPr>
              <w:t>a Première Étape - Copie</w:t>
            </w:r>
            <w:r w:rsidRPr="004E4188">
              <w:rPr>
                <w:lang w:eastAsia="en-US"/>
              </w:rPr>
              <w:t> », toutes les copies demandées de l’offre de la première étape, numérotées de manière séquentielle.</w:t>
            </w:r>
          </w:p>
          <w:p w14:paraId="48CD0065" w14:textId="16FD06C9" w:rsidR="007049A5" w:rsidRPr="004E4188" w:rsidRDefault="007049A5" w:rsidP="001C63C0">
            <w:pPr>
              <w:tabs>
                <w:tab w:val="left" w:pos="1189"/>
              </w:tabs>
              <w:suppressAutoHyphens w:val="0"/>
              <w:overflowPunct/>
              <w:autoSpaceDE/>
              <w:autoSpaceDN/>
              <w:adjustRightInd/>
              <w:spacing w:after="200"/>
              <w:ind w:left="617" w:hanging="16"/>
              <w:textAlignment w:val="auto"/>
              <w:rPr>
                <w:lang w:eastAsia="en-US"/>
              </w:rPr>
            </w:pPr>
            <w:r w:rsidRPr="004E4188">
              <w:rPr>
                <w:lang w:eastAsia="en-US"/>
              </w:rPr>
              <w:t xml:space="preserve">Toutes ces enveloppes </w:t>
            </w:r>
            <w:r w:rsidRPr="004E4188">
              <w:rPr>
                <w:szCs w:val="24"/>
              </w:rPr>
              <w:t>(enveloppes intérieures)</w:t>
            </w:r>
            <w:r w:rsidRPr="004E4188">
              <w:rPr>
                <w:lang w:eastAsia="en-US"/>
              </w:rPr>
              <w:t xml:space="preserve"> contenant les originaux et copies seront elles-mêmes placées dans une même enveloppe </w:t>
            </w:r>
            <w:r w:rsidRPr="004E4188">
              <w:rPr>
                <w:szCs w:val="24"/>
              </w:rPr>
              <w:t xml:space="preserve">(enveloppe </w:t>
            </w:r>
            <w:r w:rsidRPr="004E4188">
              <w:rPr>
                <w:lang w:eastAsia="en-US"/>
              </w:rPr>
              <w:t xml:space="preserve">extérieure). </w:t>
            </w:r>
          </w:p>
        </w:tc>
      </w:tr>
      <w:tr w:rsidR="007049A5" w:rsidRPr="004E4188" w14:paraId="2DD8D20F" w14:textId="77777777" w:rsidTr="0092765E">
        <w:trPr>
          <w:trHeight w:val="810"/>
        </w:trPr>
        <w:tc>
          <w:tcPr>
            <w:tcW w:w="2268" w:type="dxa"/>
            <w:tcBorders>
              <w:top w:val="nil"/>
              <w:left w:val="nil"/>
              <w:bottom w:val="nil"/>
              <w:right w:val="nil"/>
            </w:tcBorders>
          </w:tcPr>
          <w:p w14:paraId="1E0D5A8E"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0157B5E8" w14:textId="6126FBA5" w:rsidR="007049A5" w:rsidRPr="004E4188" w:rsidRDefault="007049A5" w:rsidP="00791BB6">
            <w:pPr>
              <w:spacing w:after="200"/>
              <w:ind w:left="601" w:hanging="601"/>
            </w:pPr>
            <w:r w:rsidRPr="004E4188">
              <w:t>17.2</w:t>
            </w:r>
            <w:r w:rsidRPr="004E4188">
              <w:tab/>
              <w:t xml:space="preserve">Les enveloppes intérieures et </w:t>
            </w:r>
            <w:r w:rsidR="006C28F7" w:rsidRPr="004E4188">
              <w:t xml:space="preserve">l’enveloppe </w:t>
            </w:r>
            <w:r w:rsidRPr="004E4188">
              <w:t>extérieure devront :</w:t>
            </w:r>
          </w:p>
          <w:p w14:paraId="1CEA413A" w14:textId="2AB52582" w:rsidR="007049A5" w:rsidRPr="004E4188" w:rsidRDefault="007049A5" w:rsidP="00791BB6">
            <w:pPr>
              <w:suppressAutoHyphens w:val="0"/>
              <w:spacing w:after="200"/>
              <w:ind w:left="1026" w:hanging="425"/>
            </w:pPr>
            <w:r w:rsidRPr="004E4188">
              <w:t>(a)</w:t>
            </w:r>
            <w:r w:rsidRPr="004E4188">
              <w:rPr>
                <w:lang w:eastAsia="ja-JP"/>
              </w:rPr>
              <w:tab/>
            </w:r>
            <w:r w:rsidRPr="004E4188">
              <w:rPr>
                <w:bCs/>
              </w:rPr>
              <w:t>i</w:t>
            </w:r>
            <w:r w:rsidRPr="004E4188">
              <w:t>ndiquer clairement le nom et l’adresse du Soumissionnaire ;</w:t>
            </w:r>
          </w:p>
          <w:p w14:paraId="61D50D89" w14:textId="1CECA5EB" w:rsidR="007049A5" w:rsidRPr="004E4188" w:rsidRDefault="007049A5" w:rsidP="00791BB6">
            <w:pPr>
              <w:suppressAutoHyphens w:val="0"/>
              <w:spacing w:after="200"/>
              <w:ind w:left="1026" w:hanging="425"/>
            </w:pPr>
            <w:r w:rsidRPr="004E4188">
              <w:t>(b)</w:t>
            </w:r>
            <w:r w:rsidRPr="004E4188">
              <w:rPr>
                <w:lang w:eastAsia="ja-JP"/>
              </w:rPr>
              <w:tab/>
            </w:r>
            <w:r w:rsidRPr="004E4188">
              <w:t>être adressées au Maître d’ouvrage conformément à IS</w:t>
            </w:r>
            <w:r w:rsidR="00D929A1" w:rsidRPr="004E4188">
              <w:rPr>
                <w:lang w:eastAsia="en-US"/>
              </w:rPr>
              <w:t> </w:t>
            </w:r>
            <w:r w:rsidRPr="004E4188">
              <w:t>18.1 ;</w:t>
            </w:r>
          </w:p>
          <w:p w14:paraId="45752057" w14:textId="77777777" w:rsidR="007049A5" w:rsidRPr="004E4188" w:rsidRDefault="007049A5" w:rsidP="00791BB6">
            <w:pPr>
              <w:suppressAutoHyphens w:val="0"/>
              <w:spacing w:after="200"/>
              <w:ind w:left="1026" w:hanging="425"/>
            </w:pPr>
            <w:r w:rsidRPr="004E4188">
              <w:t>(c)</w:t>
            </w:r>
            <w:r w:rsidRPr="004E4188">
              <w:rPr>
                <w:lang w:eastAsia="ja-JP"/>
              </w:rPr>
              <w:tab/>
            </w:r>
            <w:r w:rsidRPr="004E4188">
              <w:t xml:space="preserve">porter clairement l’identification spécifique de l’appel d’offres </w:t>
            </w:r>
            <w:r w:rsidRPr="004E4188">
              <w:rPr>
                <w:b/>
              </w:rPr>
              <w:t>donnée à l’Article 1.1 des DP</w:t>
            </w:r>
            <w:r w:rsidRPr="004E4188">
              <w:t> ; et</w:t>
            </w:r>
          </w:p>
          <w:p w14:paraId="39668A6A" w14:textId="7922835D" w:rsidR="007049A5" w:rsidRPr="004E4188" w:rsidRDefault="007049A5" w:rsidP="005D39BD">
            <w:pPr>
              <w:suppressAutoHyphens w:val="0"/>
              <w:spacing w:after="200"/>
              <w:ind w:left="1026" w:hanging="425"/>
            </w:pPr>
            <w:r w:rsidRPr="004E4188">
              <w:t>(d)</w:t>
            </w:r>
            <w:r w:rsidRPr="004E4188">
              <w:rPr>
                <w:lang w:eastAsia="ja-JP"/>
              </w:rPr>
              <w:tab/>
            </w:r>
            <w:r w:rsidRPr="004E4188">
              <w:t xml:space="preserve">porter clairement </w:t>
            </w:r>
            <w:r w:rsidR="005D39BD" w:rsidRPr="004E4188">
              <w:t xml:space="preserve">la </w:t>
            </w:r>
            <w:r w:rsidRPr="004E4188">
              <w:t>mention « N</w:t>
            </w:r>
            <w:r w:rsidRPr="004E4188">
              <w:rPr>
                <w:smallCaps/>
              </w:rPr>
              <w:t>e</w:t>
            </w:r>
            <w:r w:rsidRPr="004E4188">
              <w:t xml:space="preserve"> P</w:t>
            </w:r>
            <w:r w:rsidRPr="004E4188">
              <w:rPr>
                <w:smallCaps/>
              </w:rPr>
              <w:t>as</w:t>
            </w:r>
            <w:r w:rsidRPr="004E4188">
              <w:t xml:space="preserve"> O</w:t>
            </w:r>
            <w:r w:rsidRPr="004E4188">
              <w:rPr>
                <w:smallCaps/>
              </w:rPr>
              <w:t>uvrir</w:t>
            </w:r>
            <w:r w:rsidRPr="004E4188">
              <w:t xml:space="preserve"> A</w:t>
            </w:r>
            <w:r w:rsidRPr="004E4188">
              <w:rPr>
                <w:smallCaps/>
              </w:rPr>
              <w:t xml:space="preserve">vant </w:t>
            </w:r>
            <w:r w:rsidRPr="004E4188">
              <w:t>L</w:t>
            </w:r>
            <w:r w:rsidRPr="004E4188">
              <w:rPr>
                <w:smallCaps/>
              </w:rPr>
              <w:t>a</w:t>
            </w:r>
            <w:r w:rsidRPr="004E4188">
              <w:t xml:space="preserve"> D</w:t>
            </w:r>
            <w:r w:rsidRPr="004E4188">
              <w:rPr>
                <w:smallCaps/>
              </w:rPr>
              <w:t>ate</w:t>
            </w:r>
            <w:r w:rsidRPr="004E4188">
              <w:t xml:space="preserve"> E</w:t>
            </w:r>
            <w:r w:rsidRPr="004E4188">
              <w:rPr>
                <w:smallCaps/>
              </w:rPr>
              <w:t>t</w:t>
            </w:r>
            <w:r w:rsidRPr="004E4188">
              <w:t xml:space="preserve"> L</w:t>
            </w:r>
            <w:r w:rsidRPr="004E4188">
              <w:rPr>
                <w:smallCaps/>
              </w:rPr>
              <w:t>’heure</w:t>
            </w:r>
            <w:r w:rsidRPr="004E4188">
              <w:t xml:space="preserve"> F</w:t>
            </w:r>
            <w:r w:rsidRPr="004E4188">
              <w:rPr>
                <w:smallCaps/>
              </w:rPr>
              <w:t>ixée</w:t>
            </w:r>
            <w:r w:rsidRPr="004E4188">
              <w:t xml:space="preserve"> P</w:t>
            </w:r>
            <w:r w:rsidRPr="004E4188">
              <w:rPr>
                <w:smallCaps/>
              </w:rPr>
              <w:t>our</w:t>
            </w:r>
            <w:r w:rsidRPr="004E4188">
              <w:t xml:space="preserve"> L</w:t>
            </w:r>
            <w:r w:rsidRPr="004E4188">
              <w:rPr>
                <w:smallCaps/>
              </w:rPr>
              <w:t>’ouverture</w:t>
            </w:r>
            <w:r w:rsidRPr="004E4188">
              <w:t xml:space="preserve"> D</w:t>
            </w:r>
            <w:r w:rsidRPr="004E4188">
              <w:rPr>
                <w:smallCaps/>
              </w:rPr>
              <w:t>es</w:t>
            </w:r>
            <w:r w:rsidRPr="004E4188">
              <w:t xml:space="preserve"> O</w:t>
            </w:r>
            <w:r w:rsidRPr="004E4188">
              <w:rPr>
                <w:smallCaps/>
              </w:rPr>
              <w:t>ffres</w:t>
            </w:r>
            <w:r w:rsidRPr="004E4188">
              <w:t xml:space="preserve"> </w:t>
            </w:r>
            <w:r w:rsidR="00D044B9" w:rsidRPr="004E4188">
              <w:rPr>
                <w:smallCaps/>
              </w:rPr>
              <w:t>d</w:t>
            </w:r>
            <w:r w:rsidRPr="004E4188">
              <w:rPr>
                <w:smallCaps/>
              </w:rPr>
              <w:t>e</w:t>
            </w:r>
            <w:r w:rsidRPr="004E4188">
              <w:t xml:space="preserve"> </w:t>
            </w:r>
            <w:r w:rsidR="00D044B9" w:rsidRPr="004E4188">
              <w:rPr>
                <w:smallCaps/>
              </w:rPr>
              <w:t>l</w:t>
            </w:r>
            <w:r w:rsidRPr="004E4188">
              <w:rPr>
                <w:smallCaps/>
              </w:rPr>
              <w:t>a</w:t>
            </w:r>
            <w:r w:rsidRPr="004E4188">
              <w:t xml:space="preserve"> P</w:t>
            </w:r>
            <w:r w:rsidRPr="004E4188">
              <w:rPr>
                <w:smallCaps/>
              </w:rPr>
              <w:t>remière</w:t>
            </w:r>
            <w:r w:rsidRPr="004E4188">
              <w:t xml:space="preserve"> É</w:t>
            </w:r>
            <w:r w:rsidRPr="004E4188">
              <w:rPr>
                <w:smallCaps/>
              </w:rPr>
              <w:t>tape</w:t>
            </w:r>
            <w:r w:rsidRPr="004E4188">
              <w:t> » conformément à IS 21.1.</w:t>
            </w:r>
          </w:p>
        </w:tc>
      </w:tr>
      <w:tr w:rsidR="007049A5" w:rsidRPr="004E4188" w14:paraId="7B96BA28" w14:textId="77777777" w:rsidTr="0092765E">
        <w:trPr>
          <w:trHeight w:val="810"/>
        </w:trPr>
        <w:tc>
          <w:tcPr>
            <w:tcW w:w="2268" w:type="dxa"/>
            <w:tcBorders>
              <w:top w:val="nil"/>
              <w:left w:val="nil"/>
              <w:bottom w:val="nil"/>
              <w:right w:val="nil"/>
            </w:tcBorders>
          </w:tcPr>
          <w:p w14:paraId="71FF6336"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6D8DFFAE" w14:textId="2034CDE5" w:rsidR="007049A5" w:rsidRPr="004E4188" w:rsidRDefault="007049A5" w:rsidP="006C6267">
            <w:pPr>
              <w:spacing w:after="200"/>
              <w:ind w:left="601" w:hanging="601"/>
            </w:pPr>
            <w:r w:rsidRPr="004E4188">
              <w:t>17.3</w:t>
            </w:r>
            <w:r w:rsidRPr="004E4188">
              <w:tab/>
              <w:t>Si toutes les enveloppes ne sont pas cachetées et marquées comme stipulé, le Maître d’ouvrage ne sera nullement responsable si l’offre de la première étape est égarée ou ouverte prématurément.</w:t>
            </w:r>
          </w:p>
        </w:tc>
      </w:tr>
      <w:tr w:rsidR="007049A5" w:rsidRPr="004E4188" w14:paraId="5900ABC7" w14:textId="77777777" w:rsidTr="0092765E">
        <w:trPr>
          <w:trHeight w:val="480"/>
        </w:trPr>
        <w:tc>
          <w:tcPr>
            <w:tcW w:w="2268" w:type="dxa"/>
            <w:tcBorders>
              <w:top w:val="nil"/>
              <w:left w:val="nil"/>
              <w:bottom w:val="nil"/>
              <w:right w:val="nil"/>
            </w:tcBorders>
          </w:tcPr>
          <w:p w14:paraId="60708BC9" w14:textId="2003F57E" w:rsidR="007049A5" w:rsidRPr="004E4188" w:rsidRDefault="007049A5" w:rsidP="0092765E">
            <w:pPr>
              <w:pStyle w:val="Header1-Clauses"/>
              <w:spacing w:afterLines="50" w:after="120"/>
              <w:ind w:left="357" w:hanging="357"/>
              <w:rPr>
                <w:lang w:val="fr-FR"/>
              </w:rPr>
            </w:pPr>
            <w:bookmarkStart w:id="387" w:name="_Toc104195577"/>
            <w:r w:rsidRPr="004E4188">
              <w:rPr>
                <w:lang w:val="fr-FR"/>
              </w:rPr>
              <w:t>18.</w:t>
            </w:r>
            <w:r w:rsidRPr="004E4188">
              <w:rPr>
                <w:lang w:val="fr-FR"/>
              </w:rPr>
              <w:tab/>
              <w:t>Date limite de remise des offres de la première étape</w:t>
            </w:r>
            <w:bookmarkEnd w:id="387"/>
          </w:p>
        </w:tc>
        <w:tc>
          <w:tcPr>
            <w:tcW w:w="7023" w:type="dxa"/>
            <w:tcBorders>
              <w:top w:val="nil"/>
              <w:left w:val="nil"/>
              <w:bottom w:val="nil"/>
              <w:right w:val="nil"/>
            </w:tcBorders>
          </w:tcPr>
          <w:p w14:paraId="58AF9694" w14:textId="31277230" w:rsidR="007049A5" w:rsidRPr="004E4188" w:rsidRDefault="007049A5" w:rsidP="00E05BEE">
            <w:pPr>
              <w:spacing w:after="200"/>
              <w:ind w:left="601" w:hanging="601"/>
            </w:pPr>
            <w:r w:rsidRPr="004E4188">
              <w:t>18.1</w:t>
            </w:r>
            <w:r w:rsidRPr="004E4188">
              <w:tab/>
              <w:t xml:space="preserve">Les offres de la première étape doivent être reçues par le Maître d’ouvrage à l’adresse et au plus tard à la date et à l’heure </w:t>
            </w:r>
            <w:r w:rsidRPr="004E4188">
              <w:rPr>
                <w:b/>
              </w:rPr>
              <w:t>indiquées dans les DP</w:t>
            </w:r>
            <w:r w:rsidRPr="004E4188">
              <w:t xml:space="preserve">. </w:t>
            </w:r>
          </w:p>
          <w:p w14:paraId="63308F91" w14:textId="515458CE" w:rsidR="007049A5" w:rsidRPr="004E4188" w:rsidRDefault="007049A5" w:rsidP="006C6267">
            <w:pPr>
              <w:spacing w:after="200"/>
              <w:ind w:left="601" w:hanging="601"/>
            </w:pPr>
            <w:r w:rsidRPr="004E4188">
              <w:t>18.2</w:t>
            </w:r>
            <w:r w:rsidRPr="004E4188">
              <w:tab/>
              <w:t xml:space="preserve">Le Maître d’ouvrage peut, à sa discrétion, reporter la date limite de remise des offres de la première étape en modifiant le Dossier d’appel d’offres conformément à IS 8. Dans ce cas, tous les droits et obligations du Maître d’ouvrage et des Soumissionnaires préalablement assujettis à la date limite initiale, seront assujettis à la nouvelle date limite telle que reportée. </w:t>
            </w:r>
          </w:p>
        </w:tc>
      </w:tr>
      <w:tr w:rsidR="007049A5" w:rsidRPr="004E4188" w14:paraId="1B22A352" w14:textId="77777777" w:rsidTr="0092765E">
        <w:trPr>
          <w:trHeight w:val="810"/>
        </w:trPr>
        <w:tc>
          <w:tcPr>
            <w:tcW w:w="2268" w:type="dxa"/>
            <w:tcBorders>
              <w:top w:val="nil"/>
              <w:left w:val="nil"/>
              <w:bottom w:val="nil"/>
              <w:right w:val="nil"/>
            </w:tcBorders>
          </w:tcPr>
          <w:p w14:paraId="09CAE609" w14:textId="45743162" w:rsidR="007049A5" w:rsidRPr="004E4188" w:rsidRDefault="007049A5" w:rsidP="0092765E">
            <w:pPr>
              <w:pStyle w:val="Header1-Clauses"/>
              <w:spacing w:afterLines="50" w:after="120"/>
              <w:ind w:left="357" w:hanging="357"/>
              <w:rPr>
                <w:lang w:val="fr-FR"/>
              </w:rPr>
            </w:pPr>
            <w:bookmarkStart w:id="388" w:name="_Toc104195578"/>
            <w:r w:rsidRPr="004E4188">
              <w:rPr>
                <w:lang w:val="fr-FR"/>
              </w:rPr>
              <w:t>19.</w:t>
            </w:r>
            <w:r w:rsidRPr="004E4188">
              <w:rPr>
                <w:lang w:val="fr-FR"/>
              </w:rPr>
              <w:tab/>
              <w:t>Offres hors délai</w:t>
            </w:r>
            <w:bookmarkEnd w:id="388"/>
          </w:p>
        </w:tc>
        <w:tc>
          <w:tcPr>
            <w:tcW w:w="7023" w:type="dxa"/>
            <w:tcBorders>
              <w:top w:val="nil"/>
              <w:left w:val="nil"/>
              <w:bottom w:val="nil"/>
              <w:right w:val="nil"/>
            </w:tcBorders>
          </w:tcPr>
          <w:p w14:paraId="47E79A98" w14:textId="1F17EE72" w:rsidR="007049A5" w:rsidRPr="004E4188" w:rsidRDefault="007049A5" w:rsidP="006C6267">
            <w:pPr>
              <w:spacing w:after="200"/>
              <w:ind w:left="601" w:hanging="601"/>
            </w:pPr>
            <w:r w:rsidRPr="004E4188">
              <w:t>19.1</w:t>
            </w:r>
            <w:r w:rsidRPr="004E4188">
              <w:tab/>
              <w:t>Le Maître d’ouvrage n’acceptera aucune offre de la première étape arrivée après l’expiration du délai de remise des offres de la première étape arrêté conformément à IS 18. Toute offre de la première étape reçue par le Maître d’ouvrage après la date et l’heure limites de remise des offres de la première étape sera déclarée hors délai, écartée, et renvoyée cachetée au Soumissionnaire.</w:t>
            </w:r>
          </w:p>
        </w:tc>
      </w:tr>
      <w:tr w:rsidR="007049A5" w:rsidRPr="004E4188" w14:paraId="023DD498" w14:textId="77777777" w:rsidTr="0092765E">
        <w:trPr>
          <w:trHeight w:val="810"/>
        </w:trPr>
        <w:tc>
          <w:tcPr>
            <w:tcW w:w="2268" w:type="dxa"/>
            <w:tcBorders>
              <w:top w:val="nil"/>
              <w:left w:val="nil"/>
              <w:bottom w:val="nil"/>
              <w:right w:val="nil"/>
            </w:tcBorders>
          </w:tcPr>
          <w:p w14:paraId="1AE03C0F" w14:textId="2A855769" w:rsidR="007049A5" w:rsidRPr="004E4188" w:rsidRDefault="007049A5" w:rsidP="0092765E">
            <w:pPr>
              <w:pStyle w:val="Header1-Clauses"/>
              <w:spacing w:afterLines="50" w:after="120"/>
              <w:ind w:left="357" w:hanging="357"/>
              <w:rPr>
                <w:lang w:val="fr-FR"/>
              </w:rPr>
            </w:pPr>
            <w:bookmarkStart w:id="389" w:name="_Toc104195579"/>
            <w:r w:rsidRPr="004E4188">
              <w:rPr>
                <w:lang w:val="fr-FR"/>
              </w:rPr>
              <w:t>20.</w:t>
            </w:r>
            <w:r w:rsidRPr="004E4188">
              <w:rPr>
                <w:lang w:val="fr-FR"/>
              </w:rPr>
              <w:tab/>
              <w:t>Substitution et modification des offres de la première étape</w:t>
            </w:r>
            <w:bookmarkEnd w:id="389"/>
          </w:p>
        </w:tc>
        <w:tc>
          <w:tcPr>
            <w:tcW w:w="7023" w:type="dxa"/>
            <w:tcBorders>
              <w:top w:val="nil"/>
              <w:left w:val="nil"/>
              <w:bottom w:val="nil"/>
              <w:right w:val="nil"/>
            </w:tcBorders>
          </w:tcPr>
          <w:p w14:paraId="276CD8ED" w14:textId="2F0342B7" w:rsidR="007049A5" w:rsidRPr="004E4188" w:rsidRDefault="007049A5" w:rsidP="001C63C0">
            <w:pPr>
              <w:spacing w:after="200"/>
              <w:ind w:left="601" w:hanging="601"/>
              <w:rPr>
                <w:spacing w:val="-4"/>
                <w:lang w:eastAsia="en-US"/>
              </w:rPr>
            </w:pPr>
            <w:r w:rsidRPr="004E4188">
              <w:t>20.1</w:t>
            </w:r>
            <w:r w:rsidRPr="004E4188">
              <w:tab/>
              <w:t xml:space="preserve">Un Soumissionnaire </w:t>
            </w:r>
            <w:r w:rsidRPr="004E4188">
              <w:rPr>
                <w:lang w:eastAsia="en-US"/>
              </w:rPr>
              <w:t xml:space="preserve">peut préalablement à la date limite de remise des offres de la première étape, substituer ou modifier son offre de la première étape après l’avoir remise, en envoyant une notification écrite, dûment signée par un représentant habilité, assortie d’une copie de la procuration conformément à IS 16.2 et IS 16.3. La modification ou l’offre de substitution correspondante doit être jointe à la notification écrite. Toutes les notifications doivent être </w:t>
            </w:r>
            <w:r w:rsidRPr="004E4188">
              <w:rPr>
                <w:spacing w:val="-4"/>
                <w:szCs w:val="24"/>
                <w:lang w:eastAsia="en-US"/>
              </w:rPr>
              <w:t>:</w:t>
            </w:r>
          </w:p>
          <w:p w14:paraId="15CACEE5" w14:textId="09C37E7D" w:rsidR="007049A5" w:rsidRPr="004E4188" w:rsidRDefault="007049A5" w:rsidP="001C63C0">
            <w:pPr>
              <w:suppressAutoHyphens w:val="0"/>
              <w:overflowPunct/>
              <w:autoSpaceDE/>
              <w:autoSpaceDN/>
              <w:adjustRightInd/>
              <w:spacing w:after="200"/>
              <w:ind w:left="1065" w:hanging="464"/>
              <w:textAlignment w:val="auto"/>
              <w:rPr>
                <w:spacing w:val="-4"/>
                <w:lang w:eastAsia="en-US"/>
              </w:rPr>
            </w:pPr>
            <w:r w:rsidRPr="004E4188">
              <w:rPr>
                <w:spacing w:val="-4"/>
                <w:lang w:eastAsia="en-US"/>
              </w:rPr>
              <w:t>(a)</w:t>
            </w:r>
            <w:r w:rsidRPr="004E4188">
              <w:rPr>
                <w:spacing w:val="-4"/>
                <w:lang w:eastAsia="en-US"/>
              </w:rPr>
              <w:tab/>
            </w:r>
            <w:r w:rsidRPr="004E4188">
              <w:rPr>
                <w:bCs/>
                <w:spacing w:val="-4"/>
                <w:lang w:eastAsia="en-US"/>
              </w:rPr>
              <w:t>p</w:t>
            </w:r>
            <w:r w:rsidRPr="004E4188">
              <w:rPr>
                <w:spacing w:val="-4"/>
                <w:lang w:eastAsia="en-US"/>
              </w:rPr>
              <w:t>réparées et délivrées conformément à IS 16 et IS 17. Par ailleurs, les enveloppes doivent porter clairement, selon le cas, la mention « O</w:t>
            </w:r>
            <w:r w:rsidRPr="004E4188">
              <w:rPr>
                <w:smallCaps/>
                <w:spacing w:val="-4"/>
                <w:lang w:eastAsia="en-US"/>
              </w:rPr>
              <w:t>ffre</w:t>
            </w:r>
            <w:r w:rsidRPr="004E4188">
              <w:rPr>
                <w:spacing w:val="-4"/>
                <w:lang w:eastAsia="en-US"/>
              </w:rPr>
              <w:t xml:space="preserve"> </w:t>
            </w:r>
            <w:r w:rsidR="00D044B9" w:rsidRPr="004E4188">
              <w:rPr>
                <w:smallCaps/>
                <w:spacing w:val="-4"/>
                <w:lang w:eastAsia="en-US"/>
              </w:rPr>
              <w:t>d</w:t>
            </w:r>
            <w:r w:rsidRPr="004E4188">
              <w:rPr>
                <w:smallCaps/>
                <w:spacing w:val="-4"/>
                <w:lang w:eastAsia="en-US"/>
              </w:rPr>
              <w:t xml:space="preserve">e </w:t>
            </w:r>
            <w:r w:rsidR="00D044B9" w:rsidRPr="004E4188">
              <w:rPr>
                <w:smallCaps/>
                <w:spacing w:val="-4"/>
                <w:lang w:eastAsia="en-US"/>
              </w:rPr>
              <w:t>l</w:t>
            </w:r>
            <w:r w:rsidRPr="004E4188">
              <w:rPr>
                <w:smallCaps/>
                <w:spacing w:val="-4"/>
                <w:lang w:eastAsia="en-US"/>
              </w:rPr>
              <w:t>a Premi</w:t>
            </w:r>
            <w:r w:rsidRPr="004E4188">
              <w:rPr>
                <w:smallCaps/>
                <w:spacing w:val="-4"/>
                <w:lang w:eastAsia="ja-JP"/>
              </w:rPr>
              <w:t>è</w:t>
            </w:r>
            <w:r w:rsidRPr="004E4188">
              <w:rPr>
                <w:smallCaps/>
                <w:spacing w:val="-4"/>
                <w:lang w:eastAsia="en-US"/>
              </w:rPr>
              <w:t>re Étape</w:t>
            </w:r>
            <w:r w:rsidRPr="004E4188">
              <w:rPr>
                <w:spacing w:val="-4"/>
                <w:lang w:eastAsia="en-US"/>
              </w:rPr>
              <w:t xml:space="preserve"> </w:t>
            </w:r>
            <w:r w:rsidR="00D929A1" w:rsidRPr="004E4188">
              <w:rPr>
                <w:spacing w:val="-4"/>
                <w:lang w:eastAsia="en-US"/>
              </w:rPr>
              <w:t>-</w:t>
            </w:r>
            <w:r w:rsidRPr="004E4188">
              <w:rPr>
                <w:spacing w:val="-4"/>
                <w:lang w:eastAsia="en-US"/>
              </w:rPr>
              <w:t xml:space="preserve"> </w:t>
            </w:r>
            <w:r w:rsidRPr="004E4188">
              <w:rPr>
                <w:smallCaps/>
                <w:spacing w:val="-4"/>
                <w:lang w:eastAsia="en-US"/>
              </w:rPr>
              <w:t>Substitution</w:t>
            </w:r>
            <w:r w:rsidRPr="004E4188">
              <w:rPr>
                <w:spacing w:val="-4"/>
                <w:lang w:eastAsia="en-US"/>
              </w:rPr>
              <w:t> » ou « O</w:t>
            </w:r>
            <w:r w:rsidRPr="004E4188">
              <w:rPr>
                <w:smallCaps/>
                <w:spacing w:val="-4"/>
                <w:lang w:eastAsia="en-US"/>
              </w:rPr>
              <w:t>ffre</w:t>
            </w:r>
            <w:r w:rsidRPr="004E4188">
              <w:rPr>
                <w:spacing w:val="-4"/>
                <w:lang w:eastAsia="en-US"/>
              </w:rPr>
              <w:t xml:space="preserve"> </w:t>
            </w:r>
            <w:r w:rsidR="00D044B9" w:rsidRPr="004E4188">
              <w:rPr>
                <w:smallCaps/>
                <w:spacing w:val="-4"/>
                <w:lang w:eastAsia="en-US"/>
              </w:rPr>
              <w:t>d</w:t>
            </w:r>
            <w:r w:rsidRPr="004E4188">
              <w:rPr>
                <w:smallCaps/>
                <w:spacing w:val="-4"/>
                <w:lang w:eastAsia="en-US"/>
              </w:rPr>
              <w:t xml:space="preserve">e </w:t>
            </w:r>
            <w:r w:rsidR="00D044B9" w:rsidRPr="004E4188">
              <w:rPr>
                <w:smallCaps/>
                <w:spacing w:val="-4"/>
                <w:lang w:eastAsia="en-US"/>
              </w:rPr>
              <w:t>l</w:t>
            </w:r>
            <w:r w:rsidRPr="004E4188">
              <w:rPr>
                <w:smallCaps/>
                <w:spacing w:val="-4"/>
                <w:lang w:eastAsia="en-US"/>
              </w:rPr>
              <w:t>a Premi</w:t>
            </w:r>
            <w:r w:rsidRPr="004E4188">
              <w:rPr>
                <w:smallCaps/>
                <w:spacing w:val="-4"/>
                <w:lang w:eastAsia="ja-JP"/>
              </w:rPr>
              <w:t>è</w:t>
            </w:r>
            <w:r w:rsidRPr="004E4188">
              <w:rPr>
                <w:smallCaps/>
                <w:spacing w:val="-4"/>
                <w:lang w:eastAsia="en-US"/>
              </w:rPr>
              <w:t>re Étape</w:t>
            </w:r>
            <w:r w:rsidRPr="004E4188">
              <w:rPr>
                <w:spacing w:val="-4"/>
                <w:lang w:eastAsia="en-US"/>
              </w:rPr>
              <w:t xml:space="preserve"> </w:t>
            </w:r>
            <w:r w:rsidR="00D929A1" w:rsidRPr="004E4188">
              <w:rPr>
                <w:spacing w:val="-4"/>
                <w:lang w:eastAsia="en-US"/>
              </w:rPr>
              <w:t>-</w:t>
            </w:r>
            <w:r w:rsidRPr="004E4188">
              <w:rPr>
                <w:smallCaps/>
                <w:spacing w:val="-4"/>
                <w:lang w:eastAsia="en-US"/>
              </w:rPr>
              <w:t>Modification</w:t>
            </w:r>
            <w:r w:rsidRPr="004E4188">
              <w:rPr>
                <w:spacing w:val="-4"/>
                <w:lang w:eastAsia="en-US"/>
              </w:rPr>
              <w:t> » ; et</w:t>
            </w:r>
          </w:p>
          <w:p w14:paraId="206FF605" w14:textId="2DCC4865" w:rsidR="007049A5" w:rsidRPr="004E4188" w:rsidRDefault="007049A5" w:rsidP="001C63C0">
            <w:pPr>
              <w:suppressAutoHyphens w:val="0"/>
              <w:overflowPunct/>
              <w:autoSpaceDE/>
              <w:autoSpaceDN/>
              <w:adjustRightInd/>
              <w:spacing w:after="200"/>
              <w:ind w:left="1065" w:hanging="464"/>
              <w:textAlignment w:val="auto"/>
            </w:pPr>
            <w:r w:rsidRPr="004E4188">
              <w:rPr>
                <w:spacing w:val="-4"/>
                <w:lang w:eastAsia="en-US"/>
              </w:rPr>
              <w:t>(b)</w:t>
            </w:r>
            <w:r w:rsidRPr="004E4188">
              <w:rPr>
                <w:spacing w:val="-4"/>
                <w:lang w:eastAsia="en-US"/>
              </w:rPr>
              <w:tab/>
            </w:r>
            <w:r w:rsidRPr="004E4188">
              <w:rPr>
                <w:bCs/>
                <w:spacing w:val="-4"/>
                <w:lang w:eastAsia="en-US"/>
              </w:rPr>
              <w:t>r</w:t>
            </w:r>
            <w:r w:rsidRPr="004E4188">
              <w:rPr>
                <w:spacing w:val="-4"/>
                <w:lang w:eastAsia="en-US"/>
              </w:rPr>
              <w:t>eçues par le Maître d’ouvrage avant la date et l’heure limites de remise des offres conformément à IS 18.</w:t>
            </w:r>
            <w:r w:rsidRPr="004E4188">
              <w:t xml:space="preserve"> </w:t>
            </w:r>
          </w:p>
        </w:tc>
      </w:tr>
      <w:tr w:rsidR="007049A5" w:rsidRPr="004E4188" w14:paraId="42D3C9FD" w14:textId="77777777" w:rsidTr="0092765E">
        <w:trPr>
          <w:trHeight w:val="810"/>
        </w:trPr>
        <w:tc>
          <w:tcPr>
            <w:tcW w:w="2268" w:type="dxa"/>
            <w:tcBorders>
              <w:top w:val="nil"/>
              <w:left w:val="nil"/>
              <w:bottom w:val="nil"/>
              <w:right w:val="nil"/>
            </w:tcBorders>
          </w:tcPr>
          <w:p w14:paraId="1911763B" w14:textId="4FDCDDF8" w:rsidR="007049A5" w:rsidRPr="004E4188" w:rsidRDefault="007049A5" w:rsidP="0092765E">
            <w:pPr>
              <w:pStyle w:val="Header1-Clauses"/>
              <w:spacing w:afterLines="50" w:after="120"/>
              <w:ind w:left="357" w:hanging="357"/>
              <w:rPr>
                <w:lang w:val="fr-FR"/>
              </w:rPr>
            </w:pPr>
            <w:bookmarkStart w:id="390" w:name="_Toc104195580"/>
            <w:r w:rsidRPr="004E4188">
              <w:rPr>
                <w:lang w:val="fr-FR"/>
              </w:rPr>
              <w:t>21.</w:t>
            </w:r>
            <w:r w:rsidRPr="004E4188">
              <w:rPr>
                <w:lang w:val="fr-FR"/>
              </w:rPr>
              <w:tab/>
              <w:t>Ouverture des offres de la première étape</w:t>
            </w:r>
            <w:bookmarkEnd w:id="390"/>
          </w:p>
        </w:tc>
        <w:tc>
          <w:tcPr>
            <w:tcW w:w="7023" w:type="dxa"/>
            <w:tcBorders>
              <w:top w:val="nil"/>
              <w:left w:val="nil"/>
              <w:bottom w:val="nil"/>
              <w:right w:val="nil"/>
            </w:tcBorders>
          </w:tcPr>
          <w:p w14:paraId="4DF172F4" w14:textId="42476A17" w:rsidR="007049A5" w:rsidRPr="004E4188" w:rsidRDefault="007049A5" w:rsidP="006C6267">
            <w:pPr>
              <w:spacing w:after="200"/>
              <w:ind w:left="601" w:hanging="601"/>
            </w:pPr>
            <w:r w:rsidRPr="004E4188">
              <w:t>21.1</w:t>
            </w:r>
            <w:r w:rsidRPr="004E4188">
              <w:tab/>
              <w:t>Sous réserve des dispositions figurant à IS 19 et IS 20,</w:t>
            </w:r>
            <w:r w:rsidRPr="004E4188" w:rsidDel="00C03B1C">
              <w:t xml:space="preserve"> </w:t>
            </w:r>
            <w:r w:rsidRPr="004E4188">
              <w:t xml:space="preserve">le Maître d’ouvrage procédera à l’ouverture en public de toutes les offres de la première étape reçues </w:t>
            </w:r>
            <w:r w:rsidRPr="004E4188">
              <w:rPr>
                <w:spacing w:val="-4"/>
              </w:rPr>
              <w:t xml:space="preserve">avant la date et l’heure limites et donnera lecture de leur contenu conformément à IS 21.4, </w:t>
            </w:r>
            <w:r w:rsidRPr="004E4188">
              <w:t>à la date, à l’heure et à l’adresse</w:t>
            </w:r>
            <w:r w:rsidRPr="004E4188">
              <w:rPr>
                <w:b/>
              </w:rPr>
              <w:t xml:space="preserve"> indiquées dans les DP</w:t>
            </w:r>
            <w:r w:rsidRPr="004E4188">
              <w:rPr>
                <w:spacing w:val="-4"/>
              </w:rPr>
              <w:t>,</w:t>
            </w:r>
            <w:r w:rsidRPr="004E4188">
              <w:t xml:space="preserve"> en présence des représentants habilités des Soumissionnaires et de toute autre personne qui souhaite y participer. </w:t>
            </w:r>
          </w:p>
        </w:tc>
      </w:tr>
      <w:tr w:rsidR="007049A5" w:rsidRPr="004E4188" w14:paraId="39F59D9E" w14:textId="77777777" w:rsidTr="0092765E">
        <w:trPr>
          <w:trHeight w:val="810"/>
        </w:trPr>
        <w:tc>
          <w:tcPr>
            <w:tcW w:w="2268" w:type="dxa"/>
            <w:tcBorders>
              <w:top w:val="nil"/>
              <w:left w:val="nil"/>
              <w:bottom w:val="nil"/>
              <w:right w:val="nil"/>
            </w:tcBorders>
          </w:tcPr>
          <w:p w14:paraId="51F8D676"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524847C1" w14:textId="3C1677DA" w:rsidR="007049A5" w:rsidRPr="004E4188" w:rsidRDefault="007049A5" w:rsidP="00D367B1">
            <w:pPr>
              <w:spacing w:after="200"/>
              <w:ind w:left="601" w:hanging="601"/>
            </w:pPr>
            <w:r w:rsidRPr="004E4188">
              <w:t>21.2</w:t>
            </w:r>
            <w:r w:rsidRPr="004E4188">
              <w:rPr>
                <w:lang w:eastAsia="ja-JP"/>
              </w:rPr>
              <w:tab/>
            </w:r>
            <w:r w:rsidRPr="004E4188">
              <w:rPr>
                <w:spacing w:val="-4"/>
              </w:rPr>
              <w:t>Dans un premier temps, les enveloppes extérieures marquées « </w:t>
            </w:r>
            <w:r w:rsidRPr="004E4188">
              <w:rPr>
                <w:smallCaps/>
                <w:spacing w:val="-4"/>
              </w:rPr>
              <w:t>Offre de la Premi</w:t>
            </w:r>
            <w:r w:rsidRPr="004E4188">
              <w:rPr>
                <w:smallCaps/>
                <w:spacing w:val="-4"/>
                <w:lang w:eastAsia="ja-JP"/>
              </w:rPr>
              <w:t>è</w:t>
            </w:r>
            <w:r w:rsidRPr="004E4188">
              <w:rPr>
                <w:smallCaps/>
                <w:spacing w:val="-4"/>
              </w:rPr>
              <w:t xml:space="preserve">re Étape </w:t>
            </w:r>
            <w:r w:rsidR="00D929A1" w:rsidRPr="004E4188">
              <w:rPr>
                <w:smallCaps/>
                <w:spacing w:val="-4"/>
              </w:rPr>
              <w:t>-</w:t>
            </w:r>
            <w:r w:rsidRPr="004E4188">
              <w:rPr>
                <w:smallCaps/>
                <w:spacing w:val="-4"/>
              </w:rPr>
              <w:t xml:space="preserve"> Substitution</w:t>
            </w:r>
            <w:r w:rsidRPr="004E4188">
              <w:rPr>
                <w:spacing w:val="-4"/>
              </w:rPr>
              <w:t> » seront ouvertes. Les enveloppes intérieures contenant l’offre de substitution de la première étape seront échangées contre les enveloppes correspondantes initialement remises, qui seront renvoyées au Soumissionnaire sans avoir été ouvertes. Seule l’offre de substitution de la première étape, le cas échéant, sera ouverte et lue à haute voix. La substitution d’une offre</w:t>
            </w:r>
            <w:r w:rsidRPr="004E4188" w:rsidDel="00FA211E">
              <w:rPr>
                <w:spacing w:val="-4"/>
              </w:rPr>
              <w:t xml:space="preserve"> </w:t>
            </w:r>
            <w:r w:rsidRPr="004E4188">
              <w:rPr>
                <w:spacing w:val="-4"/>
              </w:rPr>
              <w:t>ne sera permise que si la notification correspondante contient une autorisation valide de demande de substitution et que cette notification est lue à haute voix à l’ouverture des offres de la première étape.</w:t>
            </w:r>
          </w:p>
        </w:tc>
      </w:tr>
      <w:tr w:rsidR="007049A5" w:rsidRPr="004E4188" w14:paraId="67B4A2A2" w14:textId="77777777" w:rsidTr="0092765E">
        <w:trPr>
          <w:trHeight w:val="810"/>
        </w:trPr>
        <w:tc>
          <w:tcPr>
            <w:tcW w:w="2268" w:type="dxa"/>
            <w:tcBorders>
              <w:top w:val="nil"/>
              <w:left w:val="nil"/>
              <w:bottom w:val="nil"/>
              <w:right w:val="nil"/>
            </w:tcBorders>
          </w:tcPr>
          <w:p w14:paraId="1EAC7C75"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5A2F67F9" w14:textId="7A13AEE4" w:rsidR="007049A5" w:rsidRPr="004E4188" w:rsidRDefault="007049A5" w:rsidP="00C40C1C">
            <w:pPr>
              <w:spacing w:after="200"/>
              <w:ind w:left="601" w:hanging="601"/>
            </w:pPr>
            <w:r w:rsidRPr="004E4188">
              <w:t>21.3</w:t>
            </w:r>
            <w:r w:rsidRPr="004E4188">
              <w:rPr>
                <w:lang w:eastAsia="ja-JP"/>
              </w:rPr>
              <w:tab/>
            </w:r>
            <w:r w:rsidRPr="004E4188">
              <w:rPr>
                <w:spacing w:val="-4"/>
              </w:rPr>
              <w:t>Ensuite, les enveloppes extérieures marquées « </w:t>
            </w:r>
            <w:r w:rsidRPr="004E4188">
              <w:rPr>
                <w:smallCaps/>
                <w:spacing w:val="-4"/>
              </w:rPr>
              <w:t>Offre de la Premi</w:t>
            </w:r>
            <w:r w:rsidRPr="004E4188">
              <w:rPr>
                <w:smallCaps/>
                <w:spacing w:val="-4"/>
                <w:lang w:eastAsia="ja-JP"/>
              </w:rPr>
              <w:t>è</w:t>
            </w:r>
            <w:r w:rsidRPr="004E4188">
              <w:rPr>
                <w:smallCaps/>
                <w:spacing w:val="-4"/>
              </w:rPr>
              <w:t>re Étape</w:t>
            </w:r>
            <w:r w:rsidR="00D929A1" w:rsidRPr="004E4188">
              <w:rPr>
                <w:smallCaps/>
                <w:spacing w:val="-4"/>
              </w:rPr>
              <w:t xml:space="preserve"> </w:t>
            </w:r>
            <w:r w:rsidR="00D929A1" w:rsidRPr="004E4188">
              <w:rPr>
                <w:spacing w:val="-4"/>
              </w:rPr>
              <w:t xml:space="preserve">- </w:t>
            </w:r>
            <w:r w:rsidR="00D929A1" w:rsidRPr="004E4188">
              <w:rPr>
                <w:smallCaps/>
                <w:spacing w:val="-4"/>
              </w:rPr>
              <w:t>M</w:t>
            </w:r>
            <w:r w:rsidRPr="004E4188">
              <w:rPr>
                <w:smallCaps/>
                <w:spacing w:val="-4"/>
              </w:rPr>
              <w:t>odification</w:t>
            </w:r>
            <w:r w:rsidRPr="004E4188">
              <w:rPr>
                <w:spacing w:val="-4"/>
              </w:rPr>
              <w:t> » seront ouvertes. La modification des offres de la première étape</w:t>
            </w:r>
            <w:r w:rsidRPr="004E4188">
              <w:rPr>
                <w:spacing w:val="-4"/>
                <w:lang w:eastAsia="ja-JP"/>
              </w:rPr>
              <w:t xml:space="preserve"> ne sera effectuée </w:t>
            </w:r>
            <w:r w:rsidRPr="004E4188">
              <w:rPr>
                <w:spacing w:val="-4"/>
              </w:rPr>
              <w:t xml:space="preserve">que si la notification de modification correspondante contient une autorisation valide de demande de modification et que cette notification est lue à haute voix à l’ouverture des offres de la première étape. Seules les offres de la première étape, originales et modifiées, seront ouvertes et lues à haute voix lors de l’ouverture des offres de la première étape. </w:t>
            </w:r>
          </w:p>
        </w:tc>
      </w:tr>
      <w:tr w:rsidR="007049A5" w:rsidRPr="004E4188" w14:paraId="18B91CF5" w14:textId="77777777" w:rsidTr="0092765E">
        <w:trPr>
          <w:trHeight w:val="810"/>
        </w:trPr>
        <w:tc>
          <w:tcPr>
            <w:tcW w:w="2268" w:type="dxa"/>
            <w:tcBorders>
              <w:top w:val="nil"/>
              <w:left w:val="nil"/>
              <w:bottom w:val="nil"/>
              <w:right w:val="nil"/>
            </w:tcBorders>
          </w:tcPr>
          <w:p w14:paraId="17CFFF44"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21808216" w14:textId="45ECCF6A" w:rsidR="007049A5" w:rsidRPr="004E4188" w:rsidRDefault="007049A5" w:rsidP="00D044B9">
            <w:pPr>
              <w:spacing w:after="200"/>
              <w:ind w:left="601" w:hanging="601"/>
            </w:pPr>
            <w:r w:rsidRPr="004E4188">
              <w:t>21.4</w:t>
            </w:r>
            <w:r w:rsidRPr="004E4188">
              <w:rPr>
                <w:lang w:eastAsia="ja-JP"/>
              </w:rPr>
              <w:tab/>
            </w:r>
            <w:r w:rsidRPr="004E4188">
              <w:t>Toutes les autres enveloppes comprenant les offres de la première étape seront ouvertes l’une après l’autre, annonçant à haute voix :</w:t>
            </w:r>
          </w:p>
          <w:p w14:paraId="5A0B4A2D" w14:textId="77777777" w:rsidR="007049A5" w:rsidRPr="004E4188" w:rsidRDefault="007049A5" w:rsidP="00E05BEE">
            <w:pPr>
              <w:spacing w:after="200"/>
              <w:ind w:left="1026" w:hanging="425"/>
            </w:pPr>
            <w:r w:rsidRPr="004E4188">
              <w:rPr>
                <w:lang w:eastAsia="ja-JP"/>
              </w:rPr>
              <w:t>(a)</w:t>
            </w:r>
            <w:r w:rsidRPr="004E4188">
              <w:rPr>
                <w:lang w:eastAsia="ja-JP"/>
              </w:rPr>
              <w:tab/>
            </w:r>
            <w:r w:rsidRPr="004E4188">
              <w:t>le nom du Soumissionnaire ;</w:t>
            </w:r>
          </w:p>
          <w:p w14:paraId="7E29856C" w14:textId="77777777" w:rsidR="007049A5" w:rsidRPr="004E4188" w:rsidRDefault="007049A5" w:rsidP="00E05BEE">
            <w:pPr>
              <w:spacing w:after="200"/>
              <w:ind w:left="1026" w:hanging="425"/>
            </w:pPr>
            <w:r w:rsidRPr="004E4188">
              <w:rPr>
                <w:lang w:eastAsia="ja-JP"/>
              </w:rPr>
              <w:t>(b)</w:t>
            </w:r>
            <w:r w:rsidRPr="004E4188">
              <w:rPr>
                <w:lang w:eastAsia="ja-JP"/>
              </w:rPr>
              <w:tab/>
            </w:r>
            <w:r w:rsidRPr="004E4188">
              <w:t>si une substitution ou une modification a été demandée ; et</w:t>
            </w:r>
          </w:p>
          <w:p w14:paraId="19F081B7" w14:textId="28DDE096" w:rsidR="007049A5" w:rsidRPr="004E4188" w:rsidRDefault="007049A5" w:rsidP="00E05BEE">
            <w:pPr>
              <w:spacing w:after="200"/>
              <w:ind w:left="1026" w:hanging="425"/>
            </w:pPr>
            <w:r w:rsidRPr="004E4188">
              <w:rPr>
                <w:lang w:eastAsia="ja-JP"/>
              </w:rPr>
              <w:t>(c)</w:t>
            </w:r>
            <w:r w:rsidRPr="004E4188">
              <w:rPr>
                <w:lang w:eastAsia="ja-JP"/>
              </w:rPr>
              <w:tab/>
            </w:r>
            <w:r w:rsidRPr="004E4188">
              <w:t>tout autre détail que le Maître d’ouvrage jugera bon  d’annoncer.</w:t>
            </w:r>
          </w:p>
          <w:p w14:paraId="3AACF829" w14:textId="6E21B864" w:rsidR="007049A5" w:rsidRPr="004E4188" w:rsidRDefault="007049A5" w:rsidP="006C6267">
            <w:pPr>
              <w:suppressAutoHyphens w:val="0"/>
              <w:spacing w:after="200"/>
              <w:ind w:left="601"/>
            </w:pPr>
            <w:r w:rsidRPr="004E4188">
              <w:t>Seules les offres de la première étape y compris les propositions techniques variantes annoncées à haute voix à l’ouverture des offres de la première étape seront prises en compte lors de l’évaluation. Le Maître d’ouvrage ne doit ni discuter des mérites d’une offre, ni rejeter une offre (à l’exception des offres hors délai, conformément à IS 19.1).</w:t>
            </w:r>
          </w:p>
        </w:tc>
      </w:tr>
      <w:tr w:rsidR="007049A5" w:rsidRPr="004E4188" w14:paraId="7FC54D6C" w14:textId="77777777" w:rsidTr="0092765E">
        <w:trPr>
          <w:trHeight w:val="810"/>
        </w:trPr>
        <w:tc>
          <w:tcPr>
            <w:tcW w:w="2268" w:type="dxa"/>
            <w:tcBorders>
              <w:top w:val="nil"/>
              <w:left w:val="nil"/>
              <w:bottom w:val="nil"/>
              <w:right w:val="nil"/>
            </w:tcBorders>
          </w:tcPr>
          <w:p w14:paraId="1098913D"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48088768" w14:textId="1EABC9AB" w:rsidR="007049A5" w:rsidRPr="004E4188" w:rsidRDefault="007049A5" w:rsidP="006C6267">
            <w:pPr>
              <w:suppressAutoHyphens w:val="0"/>
              <w:spacing w:after="200"/>
              <w:ind w:left="601" w:hanging="601"/>
            </w:pPr>
            <w:r w:rsidRPr="004E4188">
              <w:t>21.5</w:t>
            </w:r>
            <w:r w:rsidRPr="004E4188">
              <w:rPr>
                <w:lang w:eastAsia="ja-JP"/>
              </w:rPr>
              <w:tab/>
            </w:r>
            <w:r w:rsidRPr="004E4188">
              <w:t xml:space="preserve">Le Maître d’ouvrage établira le procès-verbal de la séance d’ouverture des offres de la première étape, qui comportera au minimum : </w:t>
            </w:r>
          </w:p>
          <w:p w14:paraId="0A3F8E1B" w14:textId="77777777" w:rsidR="007049A5" w:rsidRPr="004E4188" w:rsidRDefault="007049A5" w:rsidP="006C6267">
            <w:pPr>
              <w:pStyle w:val="P3Header1-Clauses"/>
              <w:tabs>
                <w:tab w:val="clear" w:pos="432"/>
                <w:tab w:val="clear" w:pos="864"/>
                <w:tab w:val="left" w:pos="732"/>
              </w:tabs>
              <w:overflowPunct/>
              <w:autoSpaceDE/>
              <w:autoSpaceDN/>
              <w:adjustRightInd/>
              <w:spacing w:after="180"/>
              <w:ind w:left="969" w:hanging="391"/>
              <w:jc w:val="both"/>
              <w:textAlignment w:val="auto"/>
              <w:rPr>
                <w:b w:val="0"/>
                <w:lang w:val="fr-FR"/>
              </w:rPr>
            </w:pPr>
            <w:r w:rsidRPr="004E4188">
              <w:rPr>
                <w:b w:val="0"/>
                <w:lang w:val="fr-FR"/>
              </w:rPr>
              <w:t>(a)</w:t>
            </w:r>
            <w:r w:rsidRPr="004E4188">
              <w:rPr>
                <w:b w:val="0"/>
                <w:lang w:val="fr-FR"/>
              </w:rPr>
              <w:tab/>
              <w:t>le nom du Soumissionnaire </w:t>
            </w:r>
            <w:r w:rsidRPr="004E4188">
              <w:rPr>
                <w:b w:val="0"/>
                <w:lang w:val="fr-FR" w:eastAsia="ja-JP"/>
              </w:rPr>
              <w:t>;</w:t>
            </w:r>
            <w:r w:rsidRPr="004E4188">
              <w:rPr>
                <w:b w:val="0"/>
                <w:lang w:val="fr-FR"/>
              </w:rPr>
              <w:t xml:space="preserve"> et </w:t>
            </w:r>
          </w:p>
          <w:p w14:paraId="433B55CF" w14:textId="3A7E95F6" w:rsidR="007049A5" w:rsidRPr="004E4188" w:rsidRDefault="007049A5" w:rsidP="006C6267">
            <w:pPr>
              <w:spacing w:after="180"/>
              <w:ind w:left="969" w:hanging="391"/>
              <w:rPr>
                <w:lang w:eastAsia="en-US"/>
              </w:rPr>
            </w:pPr>
            <w:r w:rsidRPr="004E4188">
              <w:rPr>
                <w:lang w:eastAsia="ja-JP"/>
              </w:rPr>
              <w:t xml:space="preserve">(b) </w:t>
            </w:r>
            <w:r w:rsidRPr="004E4188">
              <w:t>si une</w:t>
            </w:r>
            <w:r w:rsidRPr="004E4188">
              <w:rPr>
                <w:szCs w:val="24"/>
              </w:rPr>
              <w:t xml:space="preserve"> </w:t>
            </w:r>
            <w:r w:rsidRPr="004E4188">
              <w:t xml:space="preserve">substitution ou </w:t>
            </w:r>
            <w:r w:rsidR="00167344" w:rsidRPr="004E4188">
              <w:t xml:space="preserve">une </w:t>
            </w:r>
            <w:r w:rsidRPr="004E4188">
              <w:t>modification</w:t>
            </w:r>
            <w:r w:rsidRPr="004E4188">
              <w:rPr>
                <w:szCs w:val="24"/>
                <w:lang w:eastAsia="en-US"/>
              </w:rPr>
              <w:t xml:space="preserve"> a été demandée, ou des</w:t>
            </w:r>
            <w:r w:rsidRPr="004E4188">
              <w:rPr>
                <w:lang w:eastAsia="en-US"/>
              </w:rPr>
              <w:t xml:space="preserve"> propositions techniques variantes ont été offertes.</w:t>
            </w:r>
          </w:p>
          <w:p w14:paraId="5657C249" w14:textId="0A429941" w:rsidR="007049A5" w:rsidRPr="004E4188" w:rsidRDefault="007049A5" w:rsidP="006C6267">
            <w:pPr>
              <w:suppressAutoHyphens w:val="0"/>
              <w:spacing w:after="200"/>
              <w:ind w:left="601"/>
            </w:pPr>
            <w:r w:rsidRPr="004E4188">
              <w:t xml:space="preserve">Il sera demandé aux représentants des Soumissionnaires présents de signer le procès-verbal. </w:t>
            </w:r>
            <w:r w:rsidRPr="004E4188">
              <w:rPr>
                <w:szCs w:val="24"/>
              </w:rPr>
              <w:t xml:space="preserve">L’omission de la signature d’un Soumissionnaire sur le procès-verbal n’invalide ni son contenu, ni sa portée. </w:t>
            </w:r>
            <w:r w:rsidRPr="004E4188">
              <w:t>Un exemplaire du procès-verbal sera distribué à tous les Soumissionnaires</w:t>
            </w:r>
            <w:r w:rsidRPr="004E4188">
              <w:rPr>
                <w:szCs w:val="24"/>
              </w:rPr>
              <w:t xml:space="preserve"> qui ont soumis une offre de la première étape en temps voulu, et à la JICA</w:t>
            </w:r>
            <w:r w:rsidRPr="004E4188">
              <w:t>.</w:t>
            </w:r>
          </w:p>
        </w:tc>
      </w:tr>
      <w:tr w:rsidR="007049A5" w:rsidRPr="004E4188" w14:paraId="371B31F4" w14:textId="77777777" w:rsidTr="0092765E">
        <w:trPr>
          <w:trHeight w:val="597"/>
        </w:trPr>
        <w:tc>
          <w:tcPr>
            <w:tcW w:w="9291" w:type="dxa"/>
            <w:gridSpan w:val="2"/>
            <w:tcBorders>
              <w:top w:val="nil"/>
              <w:left w:val="nil"/>
              <w:bottom w:val="nil"/>
              <w:right w:val="nil"/>
            </w:tcBorders>
          </w:tcPr>
          <w:p w14:paraId="4F381F72" w14:textId="4500C3C8" w:rsidR="007049A5" w:rsidRPr="004E4188" w:rsidRDefault="007049A5" w:rsidP="00873FE2">
            <w:pPr>
              <w:pStyle w:val="Section1Header1"/>
              <w:ind w:left="600" w:hanging="600"/>
              <w:rPr>
                <w:szCs w:val="28"/>
              </w:rPr>
            </w:pPr>
            <w:bookmarkStart w:id="391" w:name="_Toc104195581"/>
            <w:r w:rsidRPr="004E4188">
              <w:rPr>
                <w:szCs w:val="28"/>
              </w:rPr>
              <w:t xml:space="preserve">C3. Offres de la première étape : </w:t>
            </w:r>
            <w:r w:rsidR="00873FE2" w:rsidRPr="004E4188">
              <w:t>é</w:t>
            </w:r>
            <w:r w:rsidRPr="004E4188">
              <w:rPr>
                <w:szCs w:val="28"/>
              </w:rPr>
              <w:t>valuation</w:t>
            </w:r>
            <w:bookmarkEnd w:id="391"/>
          </w:p>
        </w:tc>
      </w:tr>
      <w:tr w:rsidR="007049A5" w:rsidRPr="004E4188" w14:paraId="74DD1F49" w14:textId="77777777" w:rsidTr="0092765E">
        <w:trPr>
          <w:trHeight w:val="810"/>
        </w:trPr>
        <w:tc>
          <w:tcPr>
            <w:tcW w:w="2268" w:type="dxa"/>
            <w:tcBorders>
              <w:top w:val="nil"/>
              <w:left w:val="nil"/>
              <w:bottom w:val="nil"/>
              <w:right w:val="nil"/>
            </w:tcBorders>
          </w:tcPr>
          <w:p w14:paraId="295839CE" w14:textId="77720D5F" w:rsidR="007049A5" w:rsidRPr="004E4188" w:rsidRDefault="007049A5" w:rsidP="0092765E">
            <w:pPr>
              <w:pStyle w:val="Header1-Clauses"/>
              <w:spacing w:afterLines="50" w:after="120"/>
              <w:ind w:left="357" w:hanging="357"/>
              <w:rPr>
                <w:lang w:val="fr-FR"/>
              </w:rPr>
            </w:pPr>
            <w:bookmarkStart w:id="392" w:name="_Toc104195582"/>
            <w:r w:rsidRPr="004E4188">
              <w:rPr>
                <w:lang w:val="fr-FR"/>
              </w:rPr>
              <w:t>22.</w:t>
            </w:r>
            <w:r w:rsidRPr="004E4188">
              <w:rPr>
                <w:lang w:val="fr-FR"/>
              </w:rPr>
              <w:tab/>
              <w:t>Confidentialité</w:t>
            </w:r>
            <w:bookmarkEnd w:id="392"/>
          </w:p>
        </w:tc>
        <w:tc>
          <w:tcPr>
            <w:tcW w:w="7023" w:type="dxa"/>
            <w:tcBorders>
              <w:top w:val="nil"/>
              <w:left w:val="nil"/>
              <w:bottom w:val="nil"/>
              <w:right w:val="nil"/>
            </w:tcBorders>
          </w:tcPr>
          <w:p w14:paraId="38AE5759" w14:textId="7A496036" w:rsidR="007049A5" w:rsidRPr="004E4188" w:rsidRDefault="007049A5" w:rsidP="006C6267">
            <w:pPr>
              <w:suppressAutoHyphens w:val="0"/>
              <w:overflowPunct/>
              <w:autoSpaceDE/>
              <w:autoSpaceDN/>
              <w:adjustRightInd/>
              <w:spacing w:after="200"/>
              <w:ind w:left="601" w:hanging="601"/>
              <w:textAlignment w:val="auto"/>
            </w:pPr>
            <w:r w:rsidRPr="004E4188">
              <w:t>22.1</w:t>
            </w:r>
            <w:r w:rsidRPr="004E4188">
              <w:tab/>
              <w:t>Aucune information concernant l’évaluation des offres de la première et de la deuxième étapes et la recommandation d’attribution du Marché ne sera divulguée aux Soumissionnaires, ni à aucune autre personne non concernée officiellement par la procédure d’appel d’offres, tant que l’attribution du Marché n’aura pas été notifiée à tous les Soumissionnaires conformément à IS 52.</w:t>
            </w:r>
          </w:p>
          <w:p w14:paraId="1359BE10" w14:textId="77777777" w:rsidR="007049A5" w:rsidRPr="004E4188" w:rsidRDefault="007049A5" w:rsidP="006C6267">
            <w:pPr>
              <w:pStyle w:val="OptB-S1-subpara"/>
              <w:tabs>
                <w:tab w:val="clear" w:pos="718"/>
              </w:tabs>
              <w:ind w:left="578" w:firstLine="0"/>
              <w:rPr>
                <w:lang w:val="fr-FR"/>
              </w:rPr>
            </w:pPr>
            <w:r w:rsidRPr="004E4188">
              <w:rPr>
                <w:lang w:val="fr-FR"/>
              </w:rPr>
              <w:t>L’utilisation par tout Soumissionnaire d’informations confidentielles relatives à la procédure d’appel d’offres peut entraîner le rejet de son offre.</w:t>
            </w:r>
          </w:p>
        </w:tc>
      </w:tr>
      <w:tr w:rsidR="007049A5" w:rsidRPr="004E4188" w14:paraId="20F467CA" w14:textId="77777777" w:rsidTr="0092765E">
        <w:trPr>
          <w:trHeight w:val="810"/>
        </w:trPr>
        <w:tc>
          <w:tcPr>
            <w:tcW w:w="2268" w:type="dxa"/>
            <w:tcBorders>
              <w:top w:val="nil"/>
              <w:left w:val="nil"/>
              <w:bottom w:val="nil"/>
              <w:right w:val="nil"/>
            </w:tcBorders>
          </w:tcPr>
          <w:p w14:paraId="62062B8E"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21C1C021" w14:textId="6BFCF8F1" w:rsidR="007049A5" w:rsidRPr="004E4188" w:rsidRDefault="007049A5" w:rsidP="006C6267">
            <w:pPr>
              <w:suppressAutoHyphens w:val="0"/>
              <w:spacing w:after="200"/>
              <w:ind w:left="601" w:hanging="601"/>
            </w:pPr>
            <w:r w:rsidRPr="004E4188">
              <w:t>22.2</w:t>
            </w:r>
            <w:r w:rsidRPr="004E4188">
              <w:tab/>
              <w:t>Toute tentative de la part d’un Soumissionnaire d’influencer le Maître d’ouvrage sur l’évaluation des offres de la première et de la deuxième étapes ou la décision d’attribution du Marché peut entraîner le rejet de son offre.</w:t>
            </w:r>
          </w:p>
        </w:tc>
      </w:tr>
      <w:tr w:rsidR="007049A5" w:rsidRPr="004E4188" w14:paraId="058AE537" w14:textId="77777777" w:rsidTr="0092765E">
        <w:trPr>
          <w:trHeight w:val="810"/>
        </w:trPr>
        <w:tc>
          <w:tcPr>
            <w:tcW w:w="2268" w:type="dxa"/>
            <w:tcBorders>
              <w:top w:val="nil"/>
              <w:left w:val="nil"/>
              <w:bottom w:val="nil"/>
              <w:right w:val="nil"/>
            </w:tcBorders>
          </w:tcPr>
          <w:p w14:paraId="5B3E73E4"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05F0E4EC" w14:textId="3BD88965" w:rsidR="007049A5" w:rsidRPr="004E4188" w:rsidRDefault="007049A5" w:rsidP="006C6267">
            <w:pPr>
              <w:suppressAutoHyphens w:val="0"/>
              <w:spacing w:after="200"/>
              <w:ind w:left="601" w:hanging="601"/>
            </w:pPr>
            <w:r w:rsidRPr="004E4188">
              <w:t>22.3</w:t>
            </w:r>
            <w:r w:rsidRPr="004E4188">
              <w:tab/>
              <w:t>Nonobstant IS 22.2, entre le moment de l’ouverture des offres de la première étape et celui où le Marché est attribué, si un Soumissionnaire souhaite prendre contact avec le Maître d’ouvrage pour toute question concernant la procédure d’appel d’offres, il devra le faire par écrit</w:t>
            </w:r>
            <w:r w:rsidRPr="004E4188">
              <w:rPr>
                <w:lang w:eastAsia="ja-JP"/>
              </w:rPr>
              <w:t xml:space="preserve"> à l’exception dans le cas des</w:t>
            </w:r>
            <w:r w:rsidRPr="004E4188">
              <w:t xml:space="preserve"> réunions pour complément d’information</w:t>
            </w:r>
            <w:r w:rsidRPr="004E4188">
              <w:rPr>
                <w:lang w:eastAsia="ja-JP"/>
              </w:rPr>
              <w:t>, conformément à IS</w:t>
            </w:r>
            <w:r w:rsidR="00D929A1" w:rsidRPr="004E4188">
              <w:t> </w:t>
            </w:r>
            <w:r w:rsidRPr="004E4188">
              <w:rPr>
                <w:lang w:eastAsia="ja-JP"/>
              </w:rPr>
              <w:t>26.1</w:t>
            </w:r>
            <w:r w:rsidRPr="004E4188">
              <w:t>.</w:t>
            </w:r>
          </w:p>
        </w:tc>
      </w:tr>
      <w:tr w:rsidR="007049A5" w:rsidRPr="004E4188" w14:paraId="6C10A4E8" w14:textId="77777777" w:rsidTr="0092765E">
        <w:trPr>
          <w:trHeight w:val="810"/>
        </w:trPr>
        <w:tc>
          <w:tcPr>
            <w:tcW w:w="2268" w:type="dxa"/>
            <w:tcBorders>
              <w:top w:val="nil"/>
              <w:left w:val="nil"/>
              <w:bottom w:val="nil"/>
              <w:right w:val="nil"/>
            </w:tcBorders>
          </w:tcPr>
          <w:p w14:paraId="3C881A4A" w14:textId="1F024A60" w:rsidR="007049A5" w:rsidRPr="004E4188" w:rsidRDefault="007049A5" w:rsidP="0092765E">
            <w:pPr>
              <w:pStyle w:val="Header1-Clauses"/>
              <w:spacing w:afterLines="50" w:after="120"/>
              <w:ind w:left="357" w:hanging="357"/>
              <w:rPr>
                <w:lang w:val="fr-FR"/>
              </w:rPr>
            </w:pPr>
            <w:bookmarkStart w:id="393" w:name="_Toc104195583"/>
            <w:r w:rsidRPr="004E4188">
              <w:rPr>
                <w:lang w:val="fr-FR"/>
              </w:rPr>
              <w:t>23.</w:t>
            </w:r>
            <w:r w:rsidRPr="004E4188">
              <w:rPr>
                <w:lang w:val="fr-FR"/>
              </w:rPr>
              <w:tab/>
              <w:t>Examen préliminaire des offres de la première étape</w:t>
            </w:r>
            <w:bookmarkEnd w:id="393"/>
          </w:p>
        </w:tc>
        <w:tc>
          <w:tcPr>
            <w:tcW w:w="7023" w:type="dxa"/>
            <w:tcBorders>
              <w:top w:val="nil"/>
              <w:left w:val="nil"/>
              <w:bottom w:val="nil"/>
              <w:right w:val="nil"/>
            </w:tcBorders>
          </w:tcPr>
          <w:p w14:paraId="4C656246" w14:textId="1171C1A5" w:rsidR="007049A5" w:rsidRPr="004E4188" w:rsidRDefault="007049A5" w:rsidP="004E52B5">
            <w:pPr>
              <w:suppressAutoHyphens w:val="0"/>
              <w:spacing w:after="200"/>
              <w:ind w:left="601" w:hanging="601"/>
            </w:pPr>
            <w:r w:rsidRPr="004E4188">
              <w:t>23.1</w:t>
            </w:r>
            <w:r w:rsidRPr="004E4188">
              <w:rPr>
                <w:lang w:eastAsia="ja-JP"/>
              </w:rPr>
              <w:tab/>
            </w:r>
            <w:r w:rsidRPr="004E4188">
              <w:t>Le Maître d’ouvrage examinera les offres de la première étape pour s’assurer que tous les documents et renseignements demandés à IS</w:t>
            </w:r>
            <w:r w:rsidR="00F36DE2" w:rsidRPr="004E4188">
              <w:t> </w:t>
            </w:r>
            <w:r w:rsidRPr="004E4188">
              <w:t>11.1 ont été fournis et pour déterminer que chacun des documents soumis est complet.</w:t>
            </w:r>
          </w:p>
          <w:p w14:paraId="6877E5A7" w14:textId="4963A47A" w:rsidR="007049A5" w:rsidRPr="004E4188" w:rsidRDefault="007049A5" w:rsidP="004E52B5">
            <w:pPr>
              <w:suppressAutoHyphens w:val="0"/>
              <w:spacing w:after="200"/>
              <w:ind w:left="601" w:hanging="601"/>
            </w:pPr>
            <w:r w:rsidRPr="004E4188">
              <w:t>23.2</w:t>
            </w:r>
            <w:r w:rsidRPr="004E4188">
              <w:rPr>
                <w:lang w:eastAsia="ja-JP"/>
              </w:rPr>
              <w:tab/>
            </w:r>
            <w:r w:rsidRPr="004E4188">
              <w:t>Le Maître d’ouvrage doit s’assurer que les documents et renseignements suivants ont été fournis dans l’offre de la première étape. Si l’un de ces documents ou renseignements manque, l’offre doit être rejetée</w:t>
            </w:r>
            <w:r w:rsidR="005E4F56" w:rsidRPr="004E4188">
              <w:t> :</w:t>
            </w:r>
          </w:p>
          <w:p w14:paraId="5AB229C8" w14:textId="7199B9CD" w:rsidR="007049A5" w:rsidRPr="004E4188" w:rsidRDefault="007049A5" w:rsidP="00CF1364">
            <w:pPr>
              <w:spacing w:after="200"/>
              <w:ind w:left="1026" w:hanging="425"/>
            </w:pPr>
            <w:r w:rsidRPr="004E4188">
              <w:t>(a)</w:t>
            </w:r>
            <w:r w:rsidRPr="004E4188">
              <w:rPr>
                <w:lang w:eastAsia="ja-JP"/>
              </w:rPr>
              <w:tab/>
            </w:r>
            <w:r w:rsidRPr="004E4188">
              <w:t>la Lettre de soumission de l’offre de la première étape</w:t>
            </w:r>
            <w:r w:rsidR="00F36DE2" w:rsidRPr="004E4188">
              <w:t> </w:t>
            </w:r>
            <w:r w:rsidRPr="004E4188">
              <w:t>;</w:t>
            </w:r>
          </w:p>
          <w:p w14:paraId="7FF9CFFE" w14:textId="76F879F0" w:rsidR="007049A5" w:rsidRPr="004E4188" w:rsidRDefault="007049A5" w:rsidP="00CF1364">
            <w:pPr>
              <w:spacing w:after="200"/>
              <w:ind w:left="1026" w:hanging="425"/>
            </w:pPr>
            <w:r w:rsidRPr="004E4188">
              <w:t>(b)</w:t>
            </w:r>
            <w:r w:rsidRPr="004E4188">
              <w:tab/>
              <w:t>la procuration attestant l’habilitation du signataire de l’offre à engager le Soumissionnaire ; et</w:t>
            </w:r>
          </w:p>
          <w:p w14:paraId="2DAD4A85" w14:textId="77777777" w:rsidR="007049A5" w:rsidRPr="004E4188" w:rsidRDefault="007049A5" w:rsidP="00CF1364">
            <w:pPr>
              <w:spacing w:after="200"/>
              <w:ind w:left="1026" w:hanging="425"/>
            </w:pPr>
            <w:r w:rsidRPr="004E4188">
              <w:t>(c)</w:t>
            </w:r>
            <w:r w:rsidRPr="004E4188">
              <w:tab/>
              <w:t xml:space="preserve">la Proposition technique conformément à IS 14. </w:t>
            </w:r>
          </w:p>
        </w:tc>
      </w:tr>
      <w:tr w:rsidR="007049A5" w:rsidRPr="004E4188" w14:paraId="464A1E24" w14:textId="77777777" w:rsidTr="0092765E">
        <w:trPr>
          <w:trHeight w:val="810"/>
        </w:trPr>
        <w:tc>
          <w:tcPr>
            <w:tcW w:w="2268" w:type="dxa"/>
            <w:tcBorders>
              <w:top w:val="nil"/>
              <w:left w:val="nil"/>
              <w:bottom w:val="nil"/>
              <w:right w:val="nil"/>
            </w:tcBorders>
          </w:tcPr>
          <w:p w14:paraId="51873212" w14:textId="6A4DB895" w:rsidR="007049A5" w:rsidRPr="004E4188" w:rsidRDefault="007049A5" w:rsidP="0092765E">
            <w:pPr>
              <w:pStyle w:val="Header1-Clauses"/>
              <w:spacing w:afterLines="50" w:after="120"/>
              <w:ind w:left="357" w:hanging="357"/>
              <w:rPr>
                <w:lang w:val="fr-FR"/>
              </w:rPr>
            </w:pPr>
            <w:bookmarkStart w:id="394" w:name="_Toc104195584"/>
            <w:r w:rsidRPr="004E4188">
              <w:rPr>
                <w:lang w:val="fr-FR"/>
              </w:rPr>
              <w:t>24.</w:t>
            </w:r>
            <w:r w:rsidRPr="004E4188">
              <w:rPr>
                <w:lang w:val="fr-FR"/>
              </w:rPr>
              <w:tab/>
              <w:t xml:space="preserve">Qualification </w:t>
            </w:r>
            <w:r w:rsidR="001D4CA1" w:rsidRPr="004E4188">
              <w:rPr>
                <w:lang w:val="fr-FR"/>
              </w:rPr>
              <w:t xml:space="preserve">des </w:t>
            </w:r>
            <w:r w:rsidRPr="004E4188">
              <w:rPr>
                <w:lang w:val="fr-FR"/>
              </w:rPr>
              <w:t>Soumission</w:t>
            </w:r>
            <w:r w:rsidRPr="004E4188">
              <w:rPr>
                <w:lang w:val="fr-FR" w:eastAsia="ja-JP"/>
              </w:rPr>
              <w:softHyphen/>
            </w:r>
            <w:r w:rsidRPr="004E4188">
              <w:rPr>
                <w:lang w:val="fr-FR"/>
              </w:rPr>
              <w:t>naire</w:t>
            </w:r>
            <w:bookmarkEnd w:id="394"/>
            <w:r w:rsidR="001D4CA1" w:rsidRPr="004E4188">
              <w:rPr>
                <w:lang w:val="fr-FR"/>
              </w:rPr>
              <w:t>s</w:t>
            </w:r>
          </w:p>
        </w:tc>
        <w:tc>
          <w:tcPr>
            <w:tcW w:w="7023" w:type="dxa"/>
            <w:tcBorders>
              <w:top w:val="nil"/>
              <w:left w:val="nil"/>
              <w:bottom w:val="nil"/>
              <w:right w:val="nil"/>
            </w:tcBorders>
          </w:tcPr>
          <w:p w14:paraId="4A98B1BB" w14:textId="10E41C57" w:rsidR="007049A5" w:rsidRPr="004E4188" w:rsidRDefault="007049A5" w:rsidP="00B23F91">
            <w:pPr>
              <w:suppressAutoHyphens w:val="0"/>
              <w:spacing w:after="200"/>
              <w:ind w:left="601" w:hanging="601"/>
            </w:pPr>
            <w:r w:rsidRPr="004E4188">
              <w:t>24.1</w:t>
            </w:r>
            <w:r w:rsidRPr="004E4188">
              <w:rPr>
                <w:lang w:eastAsia="ja-JP"/>
              </w:rPr>
              <w:tab/>
              <w:t xml:space="preserve">Le Soumissionnaire doit satisfaire ou dépasser suffisamment les exigences de qualification spécifiées. </w:t>
            </w:r>
            <w:r w:rsidRPr="004E4188">
              <w:t xml:space="preserve">Le Maître d’ouvrage doit s’assurer que les Soumissionnaires satisfont aux critères de qualification stipulés à la Section </w:t>
            </w:r>
            <w:smartTag w:uri="urn:schemas-microsoft-com:office:smarttags" w:element="stockticker">
              <w:r w:rsidRPr="004E4188">
                <w:t>III</w:t>
              </w:r>
            </w:smartTag>
            <w:r w:rsidRPr="004E4188">
              <w:t>, Critères d’évaluation et de qualification, lors de l’évaluation des offres de la première étape.</w:t>
            </w:r>
          </w:p>
          <w:p w14:paraId="5EE740ED" w14:textId="6C3EC57E" w:rsidR="007049A5" w:rsidRPr="004E4188" w:rsidRDefault="007049A5" w:rsidP="006C6267">
            <w:pPr>
              <w:spacing w:after="100" w:afterAutospacing="1"/>
              <w:ind w:left="567" w:hanging="567"/>
              <w:rPr>
                <w:lang w:eastAsia="ja-JP"/>
              </w:rPr>
            </w:pPr>
            <w:r w:rsidRPr="004E4188">
              <w:t>24.2</w:t>
            </w:r>
            <w:r w:rsidRPr="004E4188">
              <w:tab/>
              <w:t>Cette vérification sera fondée sur l’examen des preuves documentaires de la qualification du Soumissionnaire fournies par celui-ci, conformément à IS</w:t>
            </w:r>
            <w:r w:rsidR="00515253" w:rsidRPr="004E4188">
              <w:t> </w:t>
            </w:r>
            <w:r w:rsidRPr="004E4188">
              <w:t>15.</w:t>
            </w:r>
            <w:r w:rsidRPr="004E4188">
              <w:rPr>
                <w:lang w:eastAsia="en-US"/>
              </w:rPr>
              <w:t xml:space="preserve"> Aux fins de cette vérification, uniquement la qualification de l’(des) entité(s) légale(s) comprenant le Soumissionnaire sera prise en considération. En particulier, la qualification des société</w:t>
            </w:r>
            <w:r w:rsidR="007D189C" w:rsidRPr="004E4188">
              <w:rPr>
                <w:lang w:eastAsia="en-US"/>
              </w:rPr>
              <w:t>s</w:t>
            </w:r>
            <w:r w:rsidRPr="004E4188">
              <w:rPr>
                <w:lang w:eastAsia="en-US"/>
              </w:rPr>
              <w:t xml:space="preserve"> affiliée</w:t>
            </w:r>
            <w:r w:rsidR="007D189C" w:rsidRPr="004E4188">
              <w:rPr>
                <w:lang w:eastAsia="en-US"/>
              </w:rPr>
              <w:t>s</w:t>
            </w:r>
            <w:r w:rsidRPr="004E4188">
              <w:rPr>
                <w:lang w:eastAsia="en-US"/>
              </w:rPr>
              <w:t xml:space="preserve"> (telles que la(les) maison(s) mère(s), les sociétés du groupe, les filiales ou autres sociétés affilié</w:t>
            </w:r>
            <w:r w:rsidR="007203CC" w:rsidRPr="004E4188">
              <w:rPr>
                <w:lang w:eastAsia="en-US"/>
              </w:rPr>
              <w:t>e</w:t>
            </w:r>
            <w:r w:rsidRPr="004E4188">
              <w:rPr>
                <w:lang w:eastAsia="en-US"/>
              </w:rPr>
              <w:t xml:space="preserve">s) ne </w:t>
            </w:r>
            <w:r w:rsidR="001A2B06" w:rsidRPr="004E4188">
              <w:rPr>
                <w:lang w:eastAsia="en-US"/>
              </w:rPr>
              <w:t xml:space="preserve">sera </w:t>
            </w:r>
            <w:r w:rsidRPr="004E4188">
              <w:rPr>
                <w:lang w:eastAsia="en-US"/>
              </w:rPr>
              <w:t xml:space="preserve">pas prise en compte à moins qu’elles ne </w:t>
            </w:r>
            <w:r w:rsidR="00BE5FDF" w:rsidRPr="004E4188">
              <w:rPr>
                <w:lang w:eastAsia="en-US"/>
              </w:rPr>
              <w:t xml:space="preserve">fassent </w:t>
            </w:r>
            <w:r w:rsidRPr="004E4188">
              <w:rPr>
                <w:lang w:eastAsia="en-US"/>
              </w:rPr>
              <w:t>partie du Soumissionnaire dans le cadre d’un Groupement établi conformément à IS</w:t>
            </w:r>
            <w:r w:rsidR="00515253" w:rsidRPr="004E4188">
              <w:t> </w:t>
            </w:r>
            <w:r w:rsidRPr="004E4188">
              <w:rPr>
                <w:lang w:eastAsia="en-US"/>
              </w:rPr>
              <w:t>4.1, ou de sous-traitants spécialisés employés conformément à IS</w:t>
            </w:r>
            <w:r w:rsidR="00515253" w:rsidRPr="004E4188">
              <w:t> </w:t>
            </w:r>
            <w:r w:rsidRPr="004E4188">
              <w:rPr>
                <w:lang w:eastAsia="en-US"/>
              </w:rPr>
              <w:t xml:space="preserve">14.3 pour les activités principales définies au Critère 2.4.2(b) de la Section </w:t>
            </w:r>
            <w:smartTag w:uri="urn:schemas-microsoft-com:office:smarttags" w:element="stockticker">
              <w:r w:rsidRPr="004E4188">
                <w:rPr>
                  <w:lang w:eastAsia="en-US"/>
                </w:rPr>
                <w:t>III</w:t>
              </w:r>
            </w:smartTag>
            <w:r w:rsidRPr="004E4188">
              <w:rPr>
                <w:lang w:eastAsia="en-US"/>
              </w:rPr>
              <w:t>, Critères d’évaluation et de qualification.</w:t>
            </w:r>
          </w:p>
          <w:p w14:paraId="68B2B6D0" w14:textId="77777777" w:rsidR="007049A5" w:rsidRPr="004E4188" w:rsidRDefault="007049A5" w:rsidP="00B23F91">
            <w:pPr>
              <w:suppressAutoHyphens w:val="0"/>
              <w:spacing w:after="200"/>
              <w:ind w:left="601" w:hanging="601"/>
            </w:pPr>
            <w:r w:rsidRPr="004E4188">
              <w:t>24.3</w:t>
            </w:r>
            <w:r w:rsidRPr="004E4188">
              <w:tab/>
              <w:t>Le Maître d’ouvrage se réserve le droit d’accepter des divergences mineures (non essentielles) dans les critères de qualification si elles n’affectent pas de manière importante les capacités techniques et financières pour exécuter le Marché.</w:t>
            </w:r>
          </w:p>
          <w:p w14:paraId="2B1C26ED" w14:textId="4603C3C8" w:rsidR="007049A5" w:rsidRPr="004E4188" w:rsidRDefault="007049A5" w:rsidP="00B23F91">
            <w:pPr>
              <w:suppressAutoHyphens w:val="0"/>
              <w:spacing w:after="200"/>
              <w:ind w:left="601" w:hanging="601"/>
            </w:pPr>
            <w:r w:rsidRPr="004E4188">
              <w:t>24.4</w:t>
            </w:r>
            <w:r w:rsidRPr="004E4188">
              <w:tab/>
              <w:t>La confirmation des qualifications du Soumissionnaire est un prérequis pour que le Soumissionnaire soit invité à la réunion pour complément d’information, conformément à IS</w:t>
            </w:r>
            <w:r w:rsidR="00515253" w:rsidRPr="004E4188">
              <w:t> </w:t>
            </w:r>
            <w:r w:rsidRPr="004E4188">
              <w:t>26. Un résultat négatif entraînera le rejet de l’offre de la première étape.</w:t>
            </w:r>
          </w:p>
          <w:p w14:paraId="720E1202" w14:textId="4D28376B" w:rsidR="007049A5" w:rsidRPr="004E4188" w:rsidRDefault="007049A5" w:rsidP="008C5122">
            <w:pPr>
              <w:spacing w:after="200"/>
              <w:ind w:left="578" w:hanging="578"/>
              <w:rPr>
                <w:bCs/>
                <w:lang w:eastAsia="en-US"/>
              </w:rPr>
            </w:pPr>
            <w:r w:rsidRPr="004E4188">
              <w:t>24.5</w:t>
            </w:r>
            <w:r w:rsidRPr="004E4188">
              <w:tab/>
            </w:r>
            <w:r w:rsidRPr="004E4188">
              <w:rPr>
                <w:bCs/>
                <w:lang w:eastAsia="en-US"/>
              </w:rPr>
              <w:t>Les sous-traitants proposés dans l’offre du Soumissionnaire doivent remplir les critères d’éligibilité de IS 4.</w:t>
            </w:r>
          </w:p>
          <w:p w14:paraId="20D5D49C" w14:textId="2E5F6AE9" w:rsidR="007049A5" w:rsidRPr="004E4188" w:rsidRDefault="007049A5" w:rsidP="006C6267">
            <w:pPr>
              <w:pStyle w:val="StyleHeader1-ClausesAfter0pt"/>
              <w:tabs>
                <w:tab w:val="left" w:pos="522"/>
              </w:tabs>
              <w:ind w:left="578"/>
              <w:rPr>
                <w:lang w:val="fr-FR"/>
              </w:rPr>
            </w:pPr>
            <w:r w:rsidRPr="004E4188">
              <w:rPr>
                <w:lang w:val="fr-FR" w:eastAsia="ja-JP"/>
              </w:rPr>
              <w:t>De plus, si le sous-traitant spécialisé proposé conformément à IS</w:t>
            </w:r>
            <w:r w:rsidR="00515253" w:rsidRPr="004E4188">
              <w:rPr>
                <w:lang w:val="fr-FR"/>
              </w:rPr>
              <w:t> </w:t>
            </w:r>
            <w:r w:rsidRPr="004E4188">
              <w:rPr>
                <w:lang w:val="fr-FR" w:eastAsia="ja-JP"/>
              </w:rPr>
              <w:t xml:space="preserve">14.3 ne remplit pas les critères correspondants pour les activités principales définies au Critère 2.4.2(b) </w:t>
            </w:r>
            <w:r w:rsidRPr="004E4188">
              <w:rPr>
                <w:lang w:val="fr-FR"/>
              </w:rPr>
              <w:t xml:space="preserve">de la Section </w:t>
            </w:r>
            <w:smartTag w:uri="urn:schemas-microsoft-com:office:smarttags" w:element="stockticker">
              <w:r w:rsidRPr="004E4188">
                <w:rPr>
                  <w:lang w:val="fr-FR"/>
                </w:rPr>
                <w:t>III</w:t>
              </w:r>
            </w:smartTag>
            <w:r w:rsidRPr="004E4188">
              <w:rPr>
                <w:lang w:val="fr-FR"/>
              </w:rPr>
              <w:t xml:space="preserve">, </w:t>
            </w:r>
            <w:r w:rsidRPr="004E4188">
              <w:rPr>
                <w:lang w:val="fr-FR" w:eastAsia="ja-JP"/>
              </w:rPr>
              <w:t>Critères d’évaluation et de qualification, le Soumissionnaire qui a proposé ce sous-traitant spécialisé sera disqualifié.</w:t>
            </w:r>
          </w:p>
        </w:tc>
      </w:tr>
      <w:tr w:rsidR="007049A5" w:rsidRPr="004E4188" w14:paraId="4341D426" w14:textId="77777777" w:rsidTr="0092765E">
        <w:trPr>
          <w:trHeight w:val="810"/>
        </w:trPr>
        <w:tc>
          <w:tcPr>
            <w:tcW w:w="2268" w:type="dxa"/>
            <w:tcBorders>
              <w:top w:val="nil"/>
              <w:left w:val="nil"/>
              <w:bottom w:val="nil"/>
              <w:right w:val="nil"/>
            </w:tcBorders>
          </w:tcPr>
          <w:p w14:paraId="24733122" w14:textId="2465A12A" w:rsidR="007049A5" w:rsidRPr="004E4188" w:rsidRDefault="007049A5" w:rsidP="0092765E">
            <w:pPr>
              <w:pStyle w:val="Header1-Clauses"/>
              <w:spacing w:afterLines="50" w:after="120"/>
              <w:ind w:left="357" w:hanging="357"/>
              <w:rPr>
                <w:lang w:val="fr-FR"/>
              </w:rPr>
            </w:pPr>
            <w:bookmarkStart w:id="395" w:name="_Toc104195585"/>
            <w:r w:rsidRPr="004E4188">
              <w:rPr>
                <w:lang w:val="fr-FR"/>
              </w:rPr>
              <w:t>25.</w:t>
            </w:r>
            <w:r w:rsidRPr="004E4188">
              <w:rPr>
                <w:lang w:val="fr-FR" w:eastAsia="ja-JP"/>
              </w:rPr>
              <w:tab/>
            </w:r>
            <w:r w:rsidRPr="004E4188">
              <w:rPr>
                <w:lang w:val="fr-FR"/>
              </w:rPr>
              <w:t>Évaluation des offres de la première étape</w:t>
            </w:r>
            <w:bookmarkEnd w:id="395"/>
          </w:p>
        </w:tc>
        <w:tc>
          <w:tcPr>
            <w:tcW w:w="7023" w:type="dxa"/>
            <w:tcBorders>
              <w:top w:val="nil"/>
              <w:left w:val="nil"/>
              <w:bottom w:val="nil"/>
              <w:right w:val="nil"/>
            </w:tcBorders>
          </w:tcPr>
          <w:p w14:paraId="195DEC60" w14:textId="42E45273" w:rsidR="007049A5" w:rsidRPr="004E4188" w:rsidRDefault="007049A5" w:rsidP="006C6267">
            <w:pPr>
              <w:suppressAutoHyphens w:val="0"/>
              <w:spacing w:after="200"/>
              <w:ind w:left="601" w:hanging="601"/>
            </w:pPr>
            <w:r w:rsidRPr="004E4188">
              <w:t>25.1</w:t>
            </w:r>
            <w:r w:rsidRPr="004E4188">
              <w:tab/>
            </w:r>
            <w:r w:rsidRPr="004E4188">
              <w:rPr>
                <w:spacing w:val="-3"/>
                <w:szCs w:val="24"/>
              </w:rPr>
              <w:t>Le</w:t>
            </w:r>
            <w:r w:rsidRPr="004E4188">
              <w:t xml:space="preserve"> Maître d’ouvrage</w:t>
            </w:r>
            <w:r w:rsidRPr="004E4188">
              <w:rPr>
                <w:spacing w:val="-3"/>
                <w:szCs w:val="24"/>
              </w:rPr>
              <w:t xml:space="preserve"> examinera les offres de la première étape pour déterminer si elles sont complètes, si les documents ont été correctement signés, et si les offres de la première étape sont d’une façon générale en ordre. Toute offre de la première étape qui est jugée non conforme sera rejetée par le Maître d’ouvrage et ne pourra pas être évaluée plus avant.</w:t>
            </w:r>
          </w:p>
        </w:tc>
      </w:tr>
      <w:tr w:rsidR="007049A5" w:rsidRPr="004E4188" w14:paraId="7A222C39" w14:textId="77777777" w:rsidTr="0092765E">
        <w:trPr>
          <w:trHeight w:val="810"/>
        </w:trPr>
        <w:tc>
          <w:tcPr>
            <w:tcW w:w="2268" w:type="dxa"/>
            <w:tcBorders>
              <w:top w:val="nil"/>
              <w:left w:val="nil"/>
              <w:bottom w:val="nil"/>
              <w:right w:val="nil"/>
            </w:tcBorders>
          </w:tcPr>
          <w:p w14:paraId="4F749543"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468F14EA" w14:textId="30A25AB3" w:rsidR="007049A5" w:rsidRPr="004E4188" w:rsidRDefault="007049A5" w:rsidP="006C6267">
            <w:pPr>
              <w:suppressAutoHyphens w:val="0"/>
              <w:spacing w:after="200"/>
              <w:ind w:left="601" w:hanging="601"/>
              <w:rPr>
                <w:lang w:eastAsia="en-US"/>
              </w:rPr>
            </w:pPr>
            <w:r w:rsidRPr="004E4188">
              <w:rPr>
                <w:lang w:eastAsia="ja-JP"/>
              </w:rPr>
              <w:t>25.2</w:t>
            </w:r>
            <w:r w:rsidRPr="004E4188">
              <w:rPr>
                <w:lang w:eastAsia="ja-JP"/>
              </w:rPr>
              <w:tab/>
            </w:r>
            <w:r w:rsidRPr="004E4188">
              <w:rPr>
                <w:spacing w:val="-3"/>
                <w:szCs w:val="24"/>
              </w:rPr>
              <w:t>Le Maître d’ouvrage peut demander au Soumissionnaire de présenter, dans un délai raisonnable, les informations ou la documentation nécessaires pour remédier aux omissions non essentielles constatées dans l’offre de la première étape en rapport avec la documentation demandée.</w:t>
            </w:r>
            <w:r w:rsidRPr="004E4188">
              <w:t xml:space="preserve"> Le Soumissionnaire qui ne donnerait pas suite à cette demande peut voir </w:t>
            </w:r>
            <w:r w:rsidRPr="004E4188">
              <w:rPr>
                <w:lang w:eastAsia="en-US"/>
              </w:rPr>
              <w:t>sa Proposition technique</w:t>
            </w:r>
            <w:r w:rsidRPr="004E4188" w:rsidDel="003C7308">
              <w:t xml:space="preserve"> </w:t>
            </w:r>
            <w:r w:rsidRPr="004E4188">
              <w:t>rejetée</w:t>
            </w:r>
            <w:r w:rsidRPr="004E4188">
              <w:rPr>
                <w:spacing w:val="-3"/>
                <w:szCs w:val="24"/>
              </w:rPr>
              <w:t>.</w:t>
            </w:r>
          </w:p>
        </w:tc>
      </w:tr>
      <w:tr w:rsidR="007049A5" w:rsidRPr="004E4188" w14:paraId="42E0969D" w14:textId="77777777" w:rsidTr="0092765E">
        <w:trPr>
          <w:trHeight w:val="810"/>
        </w:trPr>
        <w:tc>
          <w:tcPr>
            <w:tcW w:w="2268" w:type="dxa"/>
            <w:tcBorders>
              <w:top w:val="nil"/>
              <w:left w:val="nil"/>
              <w:bottom w:val="nil"/>
              <w:right w:val="nil"/>
            </w:tcBorders>
          </w:tcPr>
          <w:p w14:paraId="0C077109"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14881028" w14:textId="77777777" w:rsidR="007049A5" w:rsidRPr="004E4188" w:rsidRDefault="007049A5" w:rsidP="006C6267">
            <w:pPr>
              <w:suppressAutoHyphens w:val="0"/>
              <w:overflowPunct/>
              <w:autoSpaceDE/>
              <w:autoSpaceDN/>
              <w:adjustRightInd/>
              <w:spacing w:after="200"/>
              <w:ind w:left="567" w:hanging="567"/>
              <w:textAlignment w:val="auto"/>
              <w:rPr>
                <w:strike/>
                <w:spacing w:val="-4"/>
                <w:szCs w:val="24"/>
                <w:lang w:eastAsia="en-US"/>
              </w:rPr>
            </w:pPr>
            <w:r w:rsidRPr="004E4188">
              <w:rPr>
                <w:iCs/>
                <w:lang w:eastAsia="en-US"/>
              </w:rPr>
              <w:t>25.3</w:t>
            </w:r>
            <w:r w:rsidRPr="004E4188">
              <w:rPr>
                <w:iCs/>
                <w:lang w:eastAsia="en-US"/>
              </w:rPr>
              <w:tab/>
              <w:t>Le Maître d’ouvrage procédera à une évaluation technique détaillée des offres de la première étape non préalablement rejetées pour non-conformité afin de déterminer si les aspects techniques répondent aux stipulations du Dossier d’appel d’offres, en appliquant les critères</w:t>
            </w:r>
            <w:r w:rsidRPr="004E4188">
              <w:rPr>
                <w:lang w:eastAsia="en-US"/>
              </w:rPr>
              <w:t xml:space="preserve"> spécifiés</w:t>
            </w:r>
            <w:r w:rsidRPr="004E4188">
              <w:rPr>
                <w:lang w:eastAsia="ja-JP"/>
              </w:rPr>
              <w:t xml:space="preserve"> à la Section III, Critères d’évaluation et de qualification</w:t>
            </w:r>
            <w:r w:rsidRPr="004E4188">
              <w:rPr>
                <w:lang w:eastAsia="en-US"/>
              </w:rPr>
              <w:t xml:space="preserve">. Les pièces de rechange recommandées, le cas échéant, proposées par le Soumissionnaire, ne seront pas prises en considération lors de l’évaluation. </w:t>
            </w:r>
          </w:p>
        </w:tc>
      </w:tr>
      <w:tr w:rsidR="007049A5" w:rsidRPr="004E4188" w14:paraId="54C17D66" w14:textId="77777777" w:rsidTr="0092765E">
        <w:trPr>
          <w:trHeight w:val="810"/>
        </w:trPr>
        <w:tc>
          <w:tcPr>
            <w:tcW w:w="2268" w:type="dxa"/>
            <w:tcBorders>
              <w:top w:val="nil"/>
              <w:left w:val="nil"/>
              <w:bottom w:val="nil"/>
              <w:right w:val="nil"/>
            </w:tcBorders>
          </w:tcPr>
          <w:p w14:paraId="3CFED4D6"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1737DA61" w14:textId="0FFE15F8" w:rsidR="007049A5" w:rsidRPr="004E4188" w:rsidRDefault="007049A5" w:rsidP="006C6267">
            <w:pPr>
              <w:suppressAutoHyphens w:val="0"/>
              <w:spacing w:after="200"/>
              <w:ind w:left="601" w:hanging="601"/>
            </w:pPr>
            <w:r w:rsidRPr="004E4188">
              <w:t>25.4</w:t>
            </w:r>
            <w:r w:rsidRPr="004E4188">
              <w:rPr>
                <w:lang w:eastAsia="ja-JP"/>
              </w:rPr>
              <w:tab/>
            </w:r>
            <w:r w:rsidRPr="004E4188">
              <w:rPr>
                <w:spacing w:val="-3"/>
                <w:szCs w:val="24"/>
              </w:rPr>
              <w:t>Le Maître d’ouvrage évaluera également les Propositions techniques variantes éventuellement proposées par le Soumissionnaire, conformément à IS</w:t>
            </w:r>
            <w:r w:rsidR="00515253" w:rsidRPr="004E4188">
              <w:t> </w:t>
            </w:r>
            <w:r w:rsidRPr="004E4188">
              <w:rPr>
                <w:spacing w:val="-3"/>
                <w:szCs w:val="24"/>
              </w:rPr>
              <w:t xml:space="preserve">13, afin de déterminer si elles peuvent être </w:t>
            </w:r>
            <w:r w:rsidRPr="004E4188">
              <w:rPr>
                <w:rFonts w:cs="HBKMBP+TimesNewRoman"/>
                <w:color w:val="000000"/>
                <w:szCs w:val="24"/>
              </w:rPr>
              <w:t>considérées</w:t>
            </w:r>
            <w:r w:rsidRPr="004E4188">
              <w:rPr>
                <w:spacing w:val="-3"/>
                <w:szCs w:val="24"/>
              </w:rPr>
              <w:t xml:space="preserve"> comme acceptables pour être présentées en tant qu’offres de la deuxième étape sur la base de leurs propres mérites.</w:t>
            </w:r>
          </w:p>
        </w:tc>
      </w:tr>
      <w:tr w:rsidR="007049A5" w:rsidRPr="004E4188" w14:paraId="77B5C4EA" w14:textId="77777777" w:rsidTr="0092765E">
        <w:trPr>
          <w:trHeight w:val="810"/>
        </w:trPr>
        <w:tc>
          <w:tcPr>
            <w:tcW w:w="2268" w:type="dxa"/>
            <w:tcBorders>
              <w:top w:val="nil"/>
              <w:left w:val="nil"/>
              <w:bottom w:val="nil"/>
              <w:right w:val="nil"/>
            </w:tcBorders>
          </w:tcPr>
          <w:p w14:paraId="1DF49ACF"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4BE3A821" w14:textId="3F2B6AA9" w:rsidR="007049A5" w:rsidRPr="004E4188" w:rsidRDefault="007049A5" w:rsidP="006C6267">
            <w:pPr>
              <w:suppressAutoHyphens w:val="0"/>
              <w:spacing w:after="200"/>
              <w:ind w:left="601" w:hanging="601"/>
            </w:pPr>
            <w:r w:rsidRPr="004E4188">
              <w:rPr>
                <w:spacing w:val="-4"/>
              </w:rPr>
              <w:t>25.5</w:t>
            </w:r>
            <w:r w:rsidRPr="004E4188">
              <w:rPr>
                <w:spacing w:val="-4"/>
              </w:rPr>
              <w:tab/>
            </w:r>
            <w:r w:rsidRPr="004E4188">
              <w:t>Si un fabricant ou un sous-traitant proposé en vertu d</w:t>
            </w:r>
            <w:r w:rsidRPr="004E4188">
              <w:rPr>
                <w:rFonts w:hint="eastAsia"/>
              </w:rPr>
              <w:t>u</w:t>
            </w:r>
            <w:r w:rsidRPr="004E4188">
              <w:t xml:space="preserve"> Critère 1.1.3 de la Section III, Critères d’évaluation et de qualification est jugé inacceptable, l’offre ne sera pas rejetée, mais il sera demandé au Soumissionnaire qu’il remplace ce fabricant ou sous-traitant par un autre acceptable, sans que cela n’entraîne de changement dans le Montant de l’offre, à travers le mémorandum intitulé « </w:t>
            </w:r>
            <w:r w:rsidRPr="004E4188">
              <w:rPr>
                <w:b/>
              </w:rPr>
              <w:t>Modifications requises suite à l’évaluation des offres de la première étape</w:t>
            </w:r>
            <w:r w:rsidRPr="004E4188">
              <w:t xml:space="preserve"> » délivré avec l’invitation </w:t>
            </w:r>
            <w:r w:rsidRPr="004E4188">
              <w:rPr>
                <w:rFonts w:hint="eastAsia"/>
              </w:rPr>
              <w:t>à</w:t>
            </w:r>
            <w:r w:rsidRPr="004E4188">
              <w:t xml:space="preserve"> soumettre l’offre de la deuxième étape</w:t>
            </w:r>
            <w:r w:rsidRPr="004E4188">
              <w:rPr>
                <w:spacing w:val="-4"/>
              </w:rPr>
              <w:t>.</w:t>
            </w:r>
          </w:p>
        </w:tc>
      </w:tr>
      <w:tr w:rsidR="007049A5" w:rsidRPr="004E4188" w14:paraId="076B122A" w14:textId="77777777" w:rsidTr="0092765E">
        <w:trPr>
          <w:trHeight w:val="629"/>
        </w:trPr>
        <w:tc>
          <w:tcPr>
            <w:tcW w:w="9291" w:type="dxa"/>
            <w:gridSpan w:val="2"/>
            <w:tcBorders>
              <w:top w:val="nil"/>
              <w:left w:val="nil"/>
              <w:bottom w:val="nil"/>
              <w:right w:val="nil"/>
            </w:tcBorders>
          </w:tcPr>
          <w:p w14:paraId="1350376D" w14:textId="524BEE46" w:rsidR="007049A5" w:rsidRPr="004E4188" w:rsidRDefault="007049A5" w:rsidP="004B21E5">
            <w:pPr>
              <w:pStyle w:val="Section1Header1"/>
              <w:ind w:left="600" w:hanging="600"/>
              <w:rPr>
                <w:szCs w:val="28"/>
              </w:rPr>
            </w:pPr>
            <w:bookmarkStart w:id="396" w:name="_Toc104195586"/>
            <w:r w:rsidRPr="004E4188">
              <w:rPr>
                <w:szCs w:val="28"/>
              </w:rPr>
              <w:t>D. Éclaircissements des offres de la première étape</w:t>
            </w:r>
            <w:bookmarkEnd w:id="396"/>
          </w:p>
        </w:tc>
      </w:tr>
      <w:tr w:rsidR="007049A5" w:rsidRPr="004E4188" w14:paraId="42270E17" w14:textId="77777777" w:rsidTr="0092765E">
        <w:trPr>
          <w:trHeight w:val="810"/>
        </w:trPr>
        <w:tc>
          <w:tcPr>
            <w:tcW w:w="2268" w:type="dxa"/>
            <w:tcBorders>
              <w:top w:val="nil"/>
              <w:left w:val="nil"/>
              <w:bottom w:val="nil"/>
              <w:right w:val="nil"/>
            </w:tcBorders>
          </w:tcPr>
          <w:p w14:paraId="31A48643" w14:textId="53B4F54A" w:rsidR="007049A5" w:rsidRPr="004E4188" w:rsidRDefault="007049A5" w:rsidP="0092765E">
            <w:pPr>
              <w:pStyle w:val="Header1-Clauses"/>
              <w:spacing w:afterLines="50" w:after="120"/>
              <w:ind w:left="357" w:hanging="357"/>
              <w:rPr>
                <w:lang w:val="fr-FR"/>
              </w:rPr>
            </w:pPr>
            <w:bookmarkStart w:id="397" w:name="_Toc104195587"/>
            <w:r w:rsidRPr="004E4188">
              <w:rPr>
                <w:lang w:val="fr-FR"/>
              </w:rPr>
              <w:t>26.</w:t>
            </w:r>
            <w:r w:rsidRPr="004E4188">
              <w:rPr>
                <w:lang w:val="fr-FR" w:eastAsia="ja-JP"/>
              </w:rPr>
              <w:tab/>
            </w:r>
            <w:r w:rsidRPr="004E4188">
              <w:rPr>
                <w:lang w:val="fr-FR"/>
              </w:rPr>
              <w:t>Procédures d’éclaircisse</w:t>
            </w:r>
            <w:r w:rsidRPr="004E4188">
              <w:rPr>
                <w:lang w:val="fr-FR" w:eastAsia="ja-JP"/>
              </w:rPr>
              <w:softHyphen/>
            </w:r>
            <w:r w:rsidRPr="004E4188">
              <w:rPr>
                <w:lang w:val="fr-FR"/>
              </w:rPr>
              <w:t>ments</w:t>
            </w:r>
            <w:bookmarkEnd w:id="397"/>
          </w:p>
        </w:tc>
        <w:tc>
          <w:tcPr>
            <w:tcW w:w="7023" w:type="dxa"/>
            <w:tcBorders>
              <w:top w:val="nil"/>
              <w:left w:val="nil"/>
              <w:bottom w:val="nil"/>
              <w:right w:val="nil"/>
            </w:tcBorders>
          </w:tcPr>
          <w:p w14:paraId="0FBF8A3D" w14:textId="6858D37C" w:rsidR="007049A5" w:rsidRPr="004E4188" w:rsidRDefault="007049A5" w:rsidP="006C6267">
            <w:pPr>
              <w:suppressAutoHyphens w:val="0"/>
              <w:spacing w:after="200"/>
              <w:ind w:left="601" w:hanging="601"/>
            </w:pPr>
            <w:r w:rsidRPr="004E4188">
              <w:t>26.1</w:t>
            </w:r>
            <w:r w:rsidRPr="004E4188">
              <w:rPr>
                <w:lang w:eastAsia="ja-JP"/>
              </w:rPr>
              <w:tab/>
            </w:r>
            <w:r w:rsidRPr="004E4188">
              <w:rPr>
                <w:spacing w:val="-3"/>
                <w:szCs w:val="24"/>
              </w:rPr>
              <w:t>Le Maître d’ouvrage peut organiser des réunions pour complément d’information avec tous les Soumissionnaires ou certains d’entre eux afin de leur demander des éclaircissements sur tout aspect de leur offre de la première étape nécessitant une explication et pour examiner toute variante proposée</w:t>
            </w:r>
            <w:r w:rsidRPr="004E4188">
              <w:t>, divergence et/ou réserve faite</w:t>
            </w:r>
            <w:r w:rsidRPr="004E4188">
              <w:rPr>
                <w:spacing w:val="-3"/>
                <w:szCs w:val="24"/>
              </w:rPr>
              <w:t xml:space="preserve"> par les Soumissionnaires portant sur les dispositions commerciales ou contractuelles du Dossier d’appel d’offres. Le Maître d’ouvrage peut également demander des éclaircissements par écrit.</w:t>
            </w:r>
          </w:p>
        </w:tc>
      </w:tr>
      <w:tr w:rsidR="007049A5" w:rsidRPr="004E4188" w14:paraId="7DB1FB49" w14:textId="77777777" w:rsidTr="0092765E">
        <w:trPr>
          <w:trHeight w:val="810"/>
        </w:trPr>
        <w:tc>
          <w:tcPr>
            <w:tcW w:w="2268" w:type="dxa"/>
            <w:tcBorders>
              <w:top w:val="nil"/>
              <w:left w:val="nil"/>
              <w:bottom w:val="nil"/>
              <w:right w:val="nil"/>
            </w:tcBorders>
          </w:tcPr>
          <w:p w14:paraId="6F547094"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156FD102" w14:textId="0F94CA14" w:rsidR="007049A5" w:rsidRPr="004E4188" w:rsidRDefault="007049A5" w:rsidP="006C6267">
            <w:pPr>
              <w:suppressAutoHyphens w:val="0"/>
              <w:spacing w:after="200"/>
              <w:ind w:left="601" w:hanging="601"/>
              <w:rPr>
                <w:spacing w:val="-3"/>
                <w:szCs w:val="24"/>
              </w:rPr>
            </w:pPr>
            <w:r w:rsidRPr="004E4188">
              <w:rPr>
                <w:spacing w:val="-3"/>
                <w:szCs w:val="24"/>
              </w:rPr>
              <w:t>26.2</w:t>
            </w:r>
            <w:r w:rsidRPr="004E4188">
              <w:rPr>
                <w:spacing w:val="-3"/>
                <w:szCs w:val="24"/>
              </w:rPr>
              <w:tab/>
              <w:t>Le Maître d’ouvrage peut porter à l’attention du Soumissionnaire toute révision ou modification de l’offre de la première étape qu’il peut exiger ; cependant le Maître d’ouvrage ne peut demander des révisions ou modifications allant à l’encontre des Exigences du Maître d’ouvrage, à moins que le Maître d’ouvrage n’ait l’intention de modifier le Dossier d’appel d’offres, conformément à IS 27.1(a).</w:t>
            </w:r>
          </w:p>
        </w:tc>
      </w:tr>
      <w:tr w:rsidR="007049A5" w:rsidRPr="004E4188" w14:paraId="29E4237B" w14:textId="77777777" w:rsidTr="0092765E">
        <w:trPr>
          <w:trHeight w:val="810"/>
        </w:trPr>
        <w:tc>
          <w:tcPr>
            <w:tcW w:w="2268" w:type="dxa"/>
            <w:tcBorders>
              <w:top w:val="nil"/>
              <w:left w:val="nil"/>
              <w:bottom w:val="nil"/>
              <w:right w:val="nil"/>
            </w:tcBorders>
          </w:tcPr>
          <w:p w14:paraId="30021D40"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5C28F24C" w14:textId="015F6659" w:rsidR="007049A5" w:rsidRPr="004E4188" w:rsidRDefault="007049A5" w:rsidP="006C6267">
            <w:pPr>
              <w:suppressAutoHyphens w:val="0"/>
              <w:spacing w:after="200"/>
              <w:ind w:left="601" w:hanging="601"/>
              <w:rPr>
                <w:spacing w:val="-3"/>
                <w:szCs w:val="24"/>
              </w:rPr>
            </w:pPr>
            <w:r w:rsidRPr="004E4188">
              <w:rPr>
                <w:spacing w:val="-3"/>
                <w:szCs w:val="24"/>
              </w:rPr>
              <w:t>26.3</w:t>
            </w:r>
            <w:r w:rsidRPr="004E4188">
              <w:rPr>
                <w:spacing w:val="-3"/>
                <w:szCs w:val="24"/>
              </w:rPr>
              <w:tab/>
              <w:t>Le Maître d’ouvrage avisera le Soumissionnaire de toute divergence</w:t>
            </w:r>
            <w:r w:rsidRPr="004E4188">
              <w:t xml:space="preserve"> et/ou </w:t>
            </w:r>
            <w:r w:rsidRPr="004E4188">
              <w:rPr>
                <w:spacing w:val="-4"/>
              </w:rPr>
              <w:t>réserve</w:t>
            </w:r>
            <w:r w:rsidRPr="004E4188">
              <w:rPr>
                <w:spacing w:val="-3"/>
                <w:szCs w:val="24"/>
              </w:rPr>
              <w:t xml:space="preserve"> inacceptable</w:t>
            </w:r>
            <w:r w:rsidR="00DD2473" w:rsidRPr="004E4188">
              <w:rPr>
                <w:spacing w:val="-3"/>
                <w:szCs w:val="24"/>
              </w:rPr>
              <w:t>s</w:t>
            </w:r>
            <w:r w:rsidRPr="004E4188">
              <w:rPr>
                <w:spacing w:val="-3"/>
                <w:szCs w:val="24"/>
              </w:rPr>
              <w:t xml:space="preserve"> par rapport aux dispositions commerciales ou contractuelles du Dossier d’appel d’offres, figurant dans l’offre de la première étape, qui doit être retirée de l’offre de la deuxième étape.</w:t>
            </w:r>
          </w:p>
        </w:tc>
      </w:tr>
      <w:tr w:rsidR="007049A5" w:rsidRPr="004E4188" w14:paraId="1F703E1A" w14:textId="77777777" w:rsidTr="0092765E">
        <w:trPr>
          <w:trHeight w:val="810"/>
        </w:trPr>
        <w:tc>
          <w:tcPr>
            <w:tcW w:w="2268" w:type="dxa"/>
            <w:tcBorders>
              <w:top w:val="nil"/>
              <w:left w:val="nil"/>
              <w:bottom w:val="nil"/>
              <w:right w:val="nil"/>
            </w:tcBorders>
          </w:tcPr>
          <w:p w14:paraId="3031DF4E"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045080F7" w14:textId="1009A584" w:rsidR="007049A5" w:rsidRPr="004E4188" w:rsidRDefault="007049A5" w:rsidP="006C6267">
            <w:pPr>
              <w:suppressAutoHyphens w:val="0"/>
              <w:spacing w:after="200"/>
              <w:ind w:left="601" w:hanging="601"/>
              <w:rPr>
                <w:spacing w:val="-3"/>
                <w:szCs w:val="24"/>
              </w:rPr>
            </w:pPr>
            <w:r w:rsidRPr="004E4188">
              <w:rPr>
                <w:spacing w:val="-3"/>
                <w:szCs w:val="24"/>
              </w:rPr>
              <w:t>26.4</w:t>
            </w:r>
            <w:r w:rsidRPr="004E4188">
              <w:rPr>
                <w:spacing w:val="-3"/>
                <w:szCs w:val="24"/>
              </w:rPr>
              <w:tab/>
              <w:t xml:space="preserve">Le Maître d’ouvrage informera également le Soumissionnaire si la Proposition technique variante proposée, le cas échéant, est acceptable et dans quelle mesure (si nécessaire) cette variante peut être incorporée dans l’offre de la deuxième étape du Soumissionnaire. </w:t>
            </w:r>
          </w:p>
        </w:tc>
      </w:tr>
      <w:tr w:rsidR="007049A5" w:rsidRPr="004E4188" w14:paraId="4A9B8A4A" w14:textId="77777777" w:rsidTr="0092765E">
        <w:trPr>
          <w:trHeight w:val="480"/>
        </w:trPr>
        <w:tc>
          <w:tcPr>
            <w:tcW w:w="2268" w:type="dxa"/>
            <w:tcBorders>
              <w:top w:val="nil"/>
              <w:left w:val="nil"/>
              <w:bottom w:val="nil"/>
              <w:right w:val="nil"/>
            </w:tcBorders>
          </w:tcPr>
          <w:p w14:paraId="300B3207"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388B146E" w14:textId="63826B03" w:rsidR="007049A5" w:rsidRPr="004E4188" w:rsidRDefault="007049A5" w:rsidP="001D01D1">
            <w:pPr>
              <w:suppressAutoHyphens w:val="0"/>
              <w:spacing w:after="200"/>
              <w:ind w:left="601" w:hanging="601"/>
            </w:pPr>
            <w:r w:rsidRPr="004E4188">
              <w:t>26.5</w:t>
            </w:r>
            <w:r w:rsidRPr="004E4188">
              <w:rPr>
                <w:lang w:eastAsia="ja-JP"/>
              </w:rPr>
              <w:tab/>
            </w:r>
            <w:r w:rsidRPr="004E4188">
              <w:t xml:space="preserve">Le Maître d’ouvrage publiera un mémorandum intitulé </w:t>
            </w:r>
            <w:r w:rsidRPr="004E4188">
              <w:rPr>
                <w:szCs w:val="24"/>
              </w:rPr>
              <w:t>« </w:t>
            </w:r>
            <w:r w:rsidRPr="004E4188">
              <w:rPr>
                <w:b/>
                <w:szCs w:val="24"/>
              </w:rPr>
              <w:t xml:space="preserve">Modifications requises suite à l’évaluation des offres de la première </w:t>
            </w:r>
            <w:r w:rsidRPr="004E4188">
              <w:rPr>
                <w:b/>
                <w:spacing w:val="-3"/>
                <w:szCs w:val="24"/>
              </w:rPr>
              <w:t>étape</w:t>
            </w:r>
            <w:r w:rsidRPr="004E4188">
              <w:rPr>
                <w:szCs w:val="24"/>
              </w:rPr>
              <w:t> » précisant les éclaircissements effectués par écrit et/ou lors de réunions, le cas échéant, et incluant une annexe dans laquelle figurera la liste de toutes les décisions prises et de toutes les révisions ou modifications demandées résultant des éclaircissements effectués sur l’offre de la première étape. Le mémorandum sera adressé au Soumissionnaire avec l’invitation à soumettre l’offre de la deuxième étape.</w:t>
            </w:r>
          </w:p>
        </w:tc>
      </w:tr>
      <w:tr w:rsidR="007049A5" w:rsidRPr="004E4188" w14:paraId="06FD3B25" w14:textId="77777777" w:rsidTr="0092765E">
        <w:trPr>
          <w:trHeight w:val="810"/>
        </w:trPr>
        <w:tc>
          <w:tcPr>
            <w:tcW w:w="2268" w:type="dxa"/>
            <w:tcBorders>
              <w:top w:val="nil"/>
              <w:left w:val="nil"/>
              <w:bottom w:val="nil"/>
              <w:right w:val="nil"/>
            </w:tcBorders>
          </w:tcPr>
          <w:p w14:paraId="4C1519EA" w14:textId="27106341" w:rsidR="007049A5" w:rsidRPr="004E4188" w:rsidRDefault="007049A5" w:rsidP="0092765E">
            <w:pPr>
              <w:pStyle w:val="Header1-Clauses"/>
              <w:spacing w:afterLines="50" w:after="120"/>
              <w:ind w:left="357" w:hanging="357"/>
              <w:rPr>
                <w:lang w:val="fr-FR"/>
              </w:rPr>
            </w:pPr>
            <w:bookmarkStart w:id="398" w:name="_Toc104195588"/>
            <w:r w:rsidRPr="004E4188">
              <w:rPr>
                <w:lang w:val="fr-FR"/>
              </w:rPr>
              <w:t>27.</w:t>
            </w:r>
            <w:r w:rsidRPr="004E4188">
              <w:rPr>
                <w:lang w:val="fr-FR" w:eastAsia="ja-JP"/>
              </w:rPr>
              <w:tab/>
            </w:r>
            <w:r w:rsidRPr="004E4188">
              <w:rPr>
                <w:lang w:val="fr-FR"/>
              </w:rPr>
              <w:t>Invitation à soumettre l’offre de la deuxième étape</w:t>
            </w:r>
            <w:bookmarkEnd w:id="398"/>
          </w:p>
        </w:tc>
        <w:tc>
          <w:tcPr>
            <w:tcW w:w="7023" w:type="dxa"/>
            <w:tcBorders>
              <w:top w:val="nil"/>
              <w:left w:val="nil"/>
              <w:bottom w:val="nil"/>
              <w:right w:val="nil"/>
            </w:tcBorders>
          </w:tcPr>
          <w:p w14:paraId="60900876" w14:textId="38281653" w:rsidR="007049A5" w:rsidRPr="004E4188" w:rsidRDefault="007049A5" w:rsidP="004B21E5">
            <w:pPr>
              <w:suppressAutoHyphens w:val="0"/>
              <w:spacing w:after="200"/>
              <w:ind w:left="600" w:hangingChars="250" w:hanging="600"/>
            </w:pPr>
            <w:r w:rsidRPr="004E4188">
              <w:t>27.1</w:t>
            </w:r>
            <w:r w:rsidRPr="004E4188">
              <w:rPr>
                <w:lang w:eastAsia="ja-JP"/>
              </w:rPr>
              <w:tab/>
            </w:r>
            <w:r w:rsidR="0072430E" w:rsidRPr="004E4188">
              <w:t xml:space="preserve">À </w:t>
            </w:r>
            <w:r w:rsidRPr="004E4188">
              <w:t>l’issue de la procédure d’éclaircissements conduite, le cas échéant, conformément à IS 26 :</w:t>
            </w:r>
          </w:p>
          <w:p w14:paraId="10A18AA2" w14:textId="77777777" w:rsidR="007049A5" w:rsidRPr="004E4188" w:rsidRDefault="007049A5" w:rsidP="00D2322A">
            <w:pPr>
              <w:spacing w:after="200"/>
              <w:ind w:left="1026" w:hanging="425"/>
            </w:pPr>
            <w:r w:rsidRPr="004E4188">
              <w:t>(a)</w:t>
            </w:r>
            <w:r w:rsidRPr="004E4188">
              <w:rPr>
                <w:lang w:eastAsia="ja-JP"/>
              </w:rPr>
              <w:tab/>
            </w:r>
            <w:r w:rsidRPr="004E4188">
              <w:t>le Maître d’ouvrage peut considérer la nécessité de publier un avenant au Dossier d’appel d’offres suite à l’évaluation des offres de la première étape et à la procédure d’éclaircissements, dans le but de préciser les exigences et d’améliorer la concurrence sans compromettre les objectifs principaux du projet ; et/ou</w:t>
            </w:r>
          </w:p>
          <w:p w14:paraId="205034AE" w14:textId="77777777" w:rsidR="007049A5" w:rsidRPr="004E4188" w:rsidRDefault="007049A5" w:rsidP="00D2322A">
            <w:pPr>
              <w:spacing w:after="200"/>
              <w:ind w:left="1026" w:hanging="425"/>
            </w:pPr>
            <w:r w:rsidRPr="004E4188">
              <w:t>(b)</w:t>
            </w:r>
            <w:r w:rsidRPr="004E4188">
              <w:tab/>
              <w:t>en ce qui concerne tous les Soumissionnaires, le Maître d’ouvrage soit :</w:t>
            </w:r>
          </w:p>
          <w:p w14:paraId="4001CA28" w14:textId="77777777" w:rsidR="007049A5" w:rsidRPr="004E4188" w:rsidRDefault="007049A5" w:rsidP="00D2322A">
            <w:pPr>
              <w:suppressAutoHyphens w:val="0"/>
              <w:spacing w:after="200"/>
              <w:ind w:left="1451" w:hanging="425"/>
              <w:rPr>
                <w:szCs w:val="24"/>
              </w:rPr>
            </w:pPr>
            <w:r w:rsidRPr="004E4188">
              <w:t>(i)</w:t>
            </w:r>
            <w:r w:rsidRPr="004E4188">
              <w:rPr>
                <w:lang w:eastAsia="ja-JP"/>
              </w:rPr>
              <w:tab/>
            </w:r>
            <w:r w:rsidRPr="004E4188">
              <w:t xml:space="preserve">invitera le Soumissionnaire à remettre une offre technique actualisée définitive et une offre financière de la deuxième étape basées sur son offre de la première étape, en prenant en compte le Dossier d’appel d’offres, si et comme amendé, et toute autre modification indiquée dans l’annexe au mémorandum intitulé </w:t>
            </w:r>
            <w:r w:rsidRPr="004E4188">
              <w:rPr>
                <w:szCs w:val="24"/>
              </w:rPr>
              <w:t>« </w:t>
            </w:r>
            <w:r w:rsidRPr="004E4188">
              <w:rPr>
                <w:b/>
                <w:szCs w:val="24"/>
              </w:rPr>
              <w:t>Modifications requises suite à l’évaluation des offres de la première étape</w:t>
            </w:r>
            <w:r w:rsidRPr="004E4188">
              <w:rPr>
                <w:szCs w:val="24"/>
              </w:rPr>
              <w:t> ». Les Soumissionnaires ne seront autorisés qu’à remettre une seule offre de la deuxième étape, ou</w:t>
            </w:r>
          </w:p>
          <w:p w14:paraId="1FB53D4B" w14:textId="434DFB34" w:rsidR="007049A5" w:rsidRPr="004E4188" w:rsidRDefault="007049A5" w:rsidP="006C6267">
            <w:pPr>
              <w:suppressAutoHyphens w:val="0"/>
              <w:spacing w:after="200"/>
              <w:ind w:left="1451" w:hanging="425"/>
            </w:pPr>
            <w:r w:rsidRPr="004E4188">
              <w:rPr>
                <w:szCs w:val="24"/>
              </w:rPr>
              <w:t>(ii)</w:t>
            </w:r>
            <w:r w:rsidRPr="004E4188">
              <w:rPr>
                <w:szCs w:val="24"/>
                <w:lang w:eastAsia="ja-JP"/>
              </w:rPr>
              <w:tab/>
            </w:r>
            <w:r w:rsidRPr="004E4188">
              <w:rPr>
                <w:szCs w:val="24"/>
              </w:rPr>
              <w:t>informera le Soumissionnaire que son offre a été rejetée parce que non conforme ou que le Soumissionnaire ne satisfait pas aux critères minimaux de qualification indiqués dans le Dossier d’appel d’offres.</w:t>
            </w:r>
          </w:p>
        </w:tc>
      </w:tr>
      <w:tr w:rsidR="007049A5" w:rsidRPr="004E4188" w14:paraId="53A5FEA5" w14:textId="77777777" w:rsidTr="0092765E">
        <w:trPr>
          <w:trHeight w:val="810"/>
        </w:trPr>
        <w:tc>
          <w:tcPr>
            <w:tcW w:w="2268" w:type="dxa"/>
            <w:tcBorders>
              <w:top w:val="nil"/>
              <w:left w:val="nil"/>
              <w:bottom w:val="nil"/>
              <w:right w:val="nil"/>
            </w:tcBorders>
          </w:tcPr>
          <w:p w14:paraId="3BD2A633"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1B3ECF5E" w14:textId="31E85A57" w:rsidR="007049A5" w:rsidRPr="004E4188" w:rsidRDefault="007049A5" w:rsidP="006C6267">
            <w:pPr>
              <w:suppressAutoHyphens w:val="0"/>
              <w:spacing w:after="200"/>
              <w:ind w:left="601" w:hanging="601"/>
              <w:rPr>
                <w:szCs w:val="24"/>
              </w:rPr>
            </w:pPr>
            <w:r w:rsidRPr="004E4188">
              <w:rPr>
                <w:szCs w:val="24"/>
              </w:rPr>
              <w:t>27.2</w:t>
            </w:r>
            <w:r w:rsidRPr="004E4188">
              <w:rPr>
                <w:szCs w:val="24"/>
              </w:rPr>
              <w:tab/>
              <w:t xml:space="preserve">La date limite de remise des offres de la deuxième étape sera précisée dans l’Invitation à soumissionner pour la deuxième étape, conformément à IS 36.1. </w:t>
            </w:r>
          </w:p>
        </w:tc>
      </w:tr>
      <w:tr w:rsidR="007049A5" w:rsidRPr="004E4188" w14:paraId="36B4A033" w14:textId="77777777" w:rsidTr="0092765E">
        <w:trPr>
          <w:trHeight w:val="810"/>
        </w:trPr>
        <w:tc>
          <w:tcPr>
            <w:tcW w:w="2268" w:type="dxa"/>
            <w:tcBorders>
              <w:top w:val="nil"/>
              <w:left w:val="nil"/>
              <w:bottom w:val="nil"/>
              <w:right w:val="nil"/>
            </w:tcBorders>
          </w:tcPr>
          <w:p w14:paraId="2226F44F"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4B77318C" w14:textId="39DE8017" w:rsidR="007049A5" w:rsidRPr="004E4188" w:rsidRDefault="007049A5" w:rsidP="006C6267">
            <w:pPr>
              <w:suppressAutoHyphens w:val="0"/>
              <w:spacing w:after="200"/>
              <w:ind w:left="601" w:hanging="601"/>
              <w:rPr>
                <w:szCs w:val="24"/>
              </w:rPr>
            </w:pPr>
            <w:r w:rsidRPr="004E4188">
              <w:rPr>
                <w:szCs w:val="24"/>
              </w:rPr>
              <w:t>27.3</w:t>
            </w:r>
            <w:r w:rsidRPr="004E4188">
              <w:rPr>
                <w:szCs w:val="24"/>
              </w:rPr>
              <w:tab/>
              <w:t>Les Soumissionnaires ne sont autorisés ni à former des Groupements avec d’autres Soumissionnaires, ni à remplacer un membre ou à modifier la structure du Groupement, si le Soumissionnaire était un Groupement lors de la première étape.</w:t>
            </w:r>
          </w:p>
        </w:tc>
      </w:tr>
      <w:tr w:rsidR="007049A5" w:rsidRPr="004E4188" w14:paraId="2B15639B" w14:textId="77777777" w:rsidTr="0092765E">
        <w:trPr>
          <w:trHeight w:val="547"/>
        </w:trPr>
        <w:tc>
          <w:tcPr>
            <w:tcW w:w="9291" w:type="dxa"/>
            <w:gridSpan w:val="2"/>
            <w:tcBorders>
              <w:top w:val="nil"/>
              <w:left w:val="nil"/>
              <w:bottom w:val="nil"/>
              <w:right w:val="nil"/>
            </w:tcBorders>
          </w:tcPr>
          <w:p w14:paraId="4A72A449" w14:textId="008AD149" w:rsidR="007049A5" w:rsidRPr="004E4188" w:rsidRDefault="007049A5" w:rsidP="004B21E5">
            <w:pPr>
              <w:pStyle w:val="Section1Header1"/>
              <w:ind w:left="600" w:hanging="600"/>
              <w:rPr>
                <w:szCs w:val="28"/>
              </w:rPr>
            </w:pPr>
            <w:bookmarkStart w:id="399" w:name="_Toc104195589"/>
            <w:r w:rsidRPr="004E4188">
              <w:rPr>
                <w:szCs w:val="28"/>
              </w:rPr>
              <w:t>E1.</w:t>
            </w:r>
            <w:r w:rsidRPr="004E4188">
              <w:rPr>
                <w:szCs w:val="28"/>
                <w:lang w:eastAsia="ja-JP"/>
              </w:rPr>
              <w:t xml:space="preserve"> </w:t>
            </w:r>
            <w:r w:rsidRPr="004E4188">
              <w:rPr>
                <w:szCs w:val="28"/>
              </w:rPr>
              <w:t>Offres de la deuxième étape : préparation</w:t>
            </w:r>
            <w:bookmarkEnd w:id="399"/>
          </w:p>
        </w:tc>
      </w:tr>
      <w:tr w:rsidR="007049A5" w:rsidRPr="004E4188" w14:paraId="1A049530" w14:textId="77777777" w:rsidTr="0092765E">
        <w:trPr>
          <w:trHeight w:val="810"/>
        </w:trPr>
        <w:tc>
          <w:tcPr>
            <w:tcW w:w="2268" w:type="dxa"/>
            <w:tcBorders>
              <w:top w:val="nil"/>
              <w:left w:val="nil"/>
              <w:bottom w:val="nil"/>
              <w:right w:val="nil"/>
            </w:tcBorders>
          </w:tcPr>
          <w:p w14:paraId="6E9AF80A" w14:textId="75AC9CF2" w:rsidR="007049A5" w:rsidRPr="004E4188" w:rsidRDefault="007049A5" w:rsidP="0092765E">
            <w:pPr>
              <w:pStyle w:val="Header1-Clauses"/>
              <w:spacing w:afterLines="50" w:after="120"/>
              <w:ind w:left="357" w:hanging="357"/>
              <w:rPr>
                <w:lang w:val="fr-FR"/>
              </w:rPr>
            </w:pPr>
            <w:bookmarkStart w:id="400" w:name="_Toc104195590"/>
            <w:r w:rsidRPr="004E4188">
              <w:rPr>
                <w:lang w:val="fr-FR"/>
              </w:rPr>
              <w:t>28.</w:t>
            </w:r>
            <w:r w:rsidRPr="004E4188">
              <w:rPr>
                <w:lang w:val="fr-FR" w:eastAsia="ja-JP"/>
              </w:rPr>
              <w:tab/>
            </w:r>
            <w:r w:rsidRPr="004E4188">
              <w:rPr>
                <w:lang w:val="fr-FR"/>
              </w:rPr>
              <w:t>Documents constitutifs de l’offre de la deuxième étape</w:t>
            </w:r>
            <w:bookmarkEnd w:id="400"/>
          </w:p>
        </w:tc>
        <w:tc>
          <w:tcPr>
            <w:tcW w:w="7023" w:type="dxa"/>
            <w:tcBorders>
              <w:top w:val="nil"/>
              <w:left w:val="nil"/>
              <w:bottom w:val="nil"/>
              <w:right w:val="nil"/>
            </w:tcBorders>
          </w:tcPr>
          <w:p w14:paraId="4A2A8374" w14:textId="3547ED0A" w:rsidR="007049A5" w:rsidRPr="004E4188" w:rsidRDefault="007049A5" w:rsidP="009F4181">
            <w:pPr>
              <w:suppressAutoHyphens w:val="0"/>
              <w:spacing w:after="200"/>
              <w:ind w:left="601" w:hanging="601"/>
            </w:pPr>
            <w:r w:rsidRPr="004E4188">
              <w:t>28.1</w:t>
            </w:r>
            <w:r w:rsidRPr="004E4188">
              <w:rPr>
                <w:lang w:eastAsia="ja-JP"/>
              </w:rPr>
              <w:tab/>
            </w:r>
            <w:r w:rsidRPr="004E4188">
              <w:t xml:space="preserve">L’offre de la deuxième étape comprendra les </w:t>
            </w:r>
            <w:r w:rsidRPr="004E4188">
              <w:rPr>
                <w:szCs w:val="24"/>
              </w:rPr>
              <w:t>documents</w:t>
            </w:r>
            <w:r w:rsidRPr="004E4188">
              <w:t xml:space="preserve"> suivants :</w:t>
            </w:r>
          </w:p>
          <w:p w14:paraId="5C01E1AA" w14:textId="2B20249D" w:rsidR="007049A5" w:rsidRPr="004E4188" w:rsidRDefault="007049A5" w:rsidP="009F4181">
            <w:pPr>
              <w:spacing w:after="200"/>
              <w:ind w:left="1026" w:hanging="425"/>
            </w:pPr>
            <w:r w:rsidRPr="004E4188">
              <w:rPr>
                <w:lang w:eastAsia="ja-JP"/>
              </w:rPr>
              <w:t>(a)</w:t>
            </w:r>
            <w:r w:rsidRPr="004E4188">
              <w:rPr>
                <w:lang w:eastAsia="ja-JP"/>
              </w:rPr>
              <w:tab/>
              <w:t>la Lettre de s</w:t>
            </w:r>
            <w:r w:rsidRPr="004E4188">
              <w:t>oumission de l’offre de la deuxième étape</w:t>
            </w:r>
            <w:r w:rsidR="00B935BA" w:rsidRPr="004E4188">
              <w:t xml:space="preserve"> établie conformément à IS 29</w:t>
            </w:r>
            <w:r w:rsidRPr="004E4188">
              <w:t> ;</w:t>
            </w:r>
          </w:p>
          <w:p w14:paraId="4F3B1F82" w14:textId="103C59DA" w:rsidR="007049A5" w:rsidRPr="004E4188" w:rsidRDefault="007049A5" w:rsidP="009F4181">
            <w:pPr>
              <w:spacing w:after="200"/>
              <w:ind w:left="1026" w:hanging="425"/>
            </w:pPr>
            <w:r w:rsidRPr="004E4188">
              <w:t>(b)</w:t>
            </w:r>
            <w:r w:rsidRPr="004E4188">
              <w:tab/>
              <w:t xml:space="preserve">les Bordereaux complétés </w:t>
            </w:r>
            <w:r w:rsidRPr="004E4188">
              <w:rPr>
                <w:lang w:eastAsia="ja-JP"/>
              </w:rPr>
              <w:t>conformément à IS 29.1 et IS 30,</w:t>
            </w:r>
            <w:r w:rsidRPr="004E4188">
              <w:t xml:space="preserve"> y compris les Bordereaux des prix complétés et le Bordereau des données de révision des prix complété (si requis conformément à IS 30.7) ; </w:t>
            </w:r>
          </w:p>
          <w:p w14:paraId="2A349585" w14:textId="764FB5D7" w:rsidR="007049A5" w:rsidRPr="004E4188" w:rsidRDefault="007049A5" w:rsidP="009F4181">
            <w:pPr>
              <w:spacing w:after="200"/>
              <w:ind w:left="1026" w:hanging="425"/>
            </w:pPr>
            <w:r w:rsidRPr="004E4188">
              <w:t>(c)</w:t>
            </w:r>
            <w:r w:rsidRPr="004E4188">
              <w:tab/>
              <w:t>la garantie de soumission établie conformément à IS 33 ;</w:t>
            </w:r>
          </w:p>
          <w:p w14:paraId="71B96EF0" w14:textId="1723875A" w:rsidR="007049A5" w:rsidRPr="004E4188" w:rsidRDefault="007049A5" w:rsidP="009F4181">
            <w:pPr>
              <w:spacing w:after="200"/>
              <w:ind w:left="1026" w:hanging="425"/>
            </w:pPr>
            <w:r w:rsidRPr="004E4188">
              <w:t>(d)</w:t>
            </w:r>
            <w:r w:rsidRPr="004E4188">
              <w:tab/>
              <w:t xml:space="preserve">la </w:t>
            </w:r>
            <w:r w:rsidRPr="004E4188">
              <w:rPr>
                <w:szCs w:val="24"/>
              </w:rPr>
              <w:t>procuration attestant que</w:t>
            </w:r>
            <w:r w:rsidRPr="004E4188">
              <w:t xml:space="preserve"> le signataire de l’offre est </w:t>
            </w:r>
            <w:r w:rsidRPr="004E4188">
              <w:rPr>
                <w:szCs w:val="24"/>
              </w:rPr>
              <w:t xml:space="preserve">habilité </w:t>
            </w:r>
            <w:r w:rsidRPr="004E4188">
              <w:t>à engager le Soumissionnaire, conformément à IS</w:t>
            </w:r>
            <w:r w:rsidR="00515253" w:rsidRPr="004E4188">
              <w:t> </w:t>
            </w:r>
            <w:r w:rsidRPr="004E4188">
              <w:t>34.2 et IS 34.4 ;</w:t>
            </w:r>
          </w:p>
          <w:p w14:paraId="71E1D509" w14:textId="5D2AC990" w:rsidR="007049A5" w:rsidRPr="004E4188" w:rsidRDefault="007049A5" w:rsidP="009F4181">
            <w:pPr>
              <w:spacing w:after="200"/>
              <w:ind w:left="1026" w:hanging="425"/>
            </w:pPr>
            <w:r w:rsidRPr="004E4188">
              <w:t>(e)</w:t>
            </w:r>
            <w:r w:rsidRPr="004E4188">
              <w:tab/>
              <w:t>l’offre de première étape actualisée, comprenant toutes les modifications demandées pour l’offre de la première étape telles que rapportées dans le mémorandum intitulé « </w:t>
            </w:r>
            <w:r w:rsidRPr="004E4188">
              <w:rPr>
                <w:b/>
              </w:rPr>
              <w:t>Modifications requises suite à l’évaluation des offres de la première étape</w:t>
            </w:r>
            <w:r w:rsidRPr="004E4188">
              <w:t> » ;</w:t>
            </w:r>
          </w:p>
          <w:p w14:paraId="1EB815BE" w14:textId="052C44A3" w:rsidR="007049A5" w:rsidRPr="004E4188" w:rsidRDefault="007049A5" w:rsidP="006C6267">
            <w:pPr>
              <w:spacing w:after="200"/>
              <w:ind w:left="1080" w:hanging="502"/>
              <w:rPr>
                <w:lang w:eastAsia="en-US"/>
              </w:rPr>
            </w:pPr>
            <w:r w:rsidRPr="004E4188">
              <w:t>(f)</w:t>
            </w:r>
            <w:r w:rsidRPr="004E4188">
              <w:tab/>
              <w:t>les documents attestant de changements éventuels qui pourraient s’être produits entre la date de remise des offres de la première étape et celle de remise des offres de la deuxième étape ayant une incidence significative sur l’éligibilité et des qualifications du Soumissionnaire à exécuter le Marché</w:t>
            </w:r>
            <w:r w:rsidRPr="004E4188">
              <w:rPr>
                <w:lang w:eastAsia="en-US"/>
              </w:rPr>
              <w:t>, si son offre est acceptée</w:t>
            </w:r>
            <w:r w:rsidRPr="004E4188">
              <w:t> ;</w:t>
            </w:r>
          </w:p>
          <w:p w14:paraId="1726E062" w14:textId="3502EC10" w:rsidR="007049A5" w:rsidRPr="004E4188" w:rsidRDefault="007049A5" w:rsidP="009F4181">
            <w:pPr>
              <w:spacing w:after="200"/>
              <w:ind w:left="1026" w:hanging="425"/>
            </w:pPr>
            <w:r w:rsidRPr="004E4188">
              <w:t>(g)</w:t>
            </w:r>
            <w:r w:rsidRPr="004E4188">
              <w:tab/>
              <w:t>les documents attestant que les Installations supplémentaires ou modifiés qui seront fournies et montées par les Soumissionnaires, conformément aux exigences du mémorandum intitulé « </w:t>
            </w:r>
            <w:r w:rsidRPr="004E4188">
              <w:rPr>
                <w:b/>
              </w:rPr>
              <w:t>Modifications requises suite à l’évaluation des offres de la première étape</w:t>
            </w:r>
            <w:r w:rsidRPr="004E4188">
              <w:t xml:space="preserve"> » sont acceptables d’un point de vue technique. </w:t>
            </w:r>
          </w:p>
          <w:p w14:paraId="497AD895" w14:textId="7C8702EE" w:rsidR="007049A5" w:rsidRPr="004E4188" w:rsidRDefault="007049A5" w:rsidP="002319BA">
            <w:pPr>
              <w:suppressAutoHyphens w:val="0"/>
              <w:overflowPunct/>
              <w:autoSpaceDE/>
              <w:autoSpaceDN/>
              <w:adjustRightInd/>
              <w:spacing w:after="200"/>
              <w:ind w:left="1026"/>
              <w:textAlignment w:val="auto"/>
            </w:pPr>
            <w:r w:rsidRPr="004E4188">
              <w:t>Les documents attestant de la conformité des Équipements et Services de montage aux exigences du mémorandum intitulé « </w:t>
            </w:r>
            <w:r w:rsidRPr="004E4188">
              <w:rPr>
                <w:b/>
              </w:rPr>
              <w:t>Modifications requises suite à l’évaluation des offres de la première étape</w:t>
            </w:r>
            <w:r w:rsidRPr="004E4188">
              <w:t> » peuvent être sous la forme de documentation, de plans ou données. Les garanties opérationnelles des Équipements et Services de montage supplémentaires ou modifiés doivent être indiquées dans le formulaire prévu à cet effet dans la Section IV, Formulaires de soumission ;</w:t>
            </w:r>
          </w:p>
          <w:p w14:paraId="7DCE8B75" w14:textId="2B09BA88" w:rsidR="002319BA" w:rsidRPr="004E4188" w:rsidRDefault="007049A5" w:rsidP="006C6267">
            <w:pPr>
              <w:spacing w:after="200"/>
              <w:ind w:left="1026" w:hanging="425"/>
            </w:pPr>
            <w:r w:rsidRPr="004E4188">
              <w:t>(h)</w:t>
            </w:r>
            <w:r w:rsidRPr="004E4188">
              <w:tab/>
              <w:t>si, pour répondre aux exigences du mémorandum « </w:t>
            </w:r>
            <w:r w:rsidRPr="004E4188">
              <w:rPr>
                <w:b/>
              </w:rPr>
              <w:t>Modifications requises suite à l’évaluation des offres de la première étape</w:t>
            </w:r>
            <w:r w:rsidRPr="004E4188">
              <w:t xml:space="preserve"> », le Soumissionnaire prévoit d’employer des sous-traitants ou fabricants supplémentaires ou différents de ceux proposés dans l’offre de la première étape pour exécuter des éléments majeurs des </w:t>
            </w:r>
            <w:r w:rsidRPr="004E4188">
              <w:rPr>
                <w:szCs w:val="24"/>
              </w:rPr>
              <w:t>É</w:t>
            </w:r>
            <w:r w:rsidRPr="004E4188">
              <w:t xml:space="preserve">quipements dont la liste est donnée par le Maître d’ouvrage au Critère </w:t>
            </w:r>
            <w:r w:rsidRPr="004E4188">
              <w:rPr>
                <w:bCs/>
              </w:rPr>
              <w:t>1.1.3 de</w:t>
            </w:r>
            <w:r w:rsidRPr="004E4188">
              <w:t xml:space="preserve"> la Section III, Critères d’évaluation et de qualification, et que le Soumissionnaire a l’intention d’acquérir ou de sous-traiter, le Soumissionnaire doit indiquer les détails des sous-traitants proposés, y compris ceux des fabricants, pour chacun de ces éléments. En outre, le Soumissionnaire doit fournir dans son offre les informations attestant de la conformité avec les exigences indiquées par le Maître d’ouvrage pour ces éléments ; et </w:t>
            </w:r>
          </w:p>
          <w:p w14:paraId="3A1A3233" w14:textId="2AD84F54" w:rsidR="007049A5" w:rsidRPr="004E4188" w:rsidRDefault="007049A5" w:rsidP="006C6267">
            <w:pPr>
              <w:spacing w:after="200"/>
              <w:ind w:left="1026" w:hanging="425"/>
            </w:pPr>
            <w:r w:rsidRPr="004E4188">
              <w:t>(i)</w:t>
            </w:r>
            <w:r w:rsidRPr="004E4188">
              <w:tab/>
              <w:t xml:space="preserve">tout autre document </w:t>
            </w:r>
            <w:r w:rsidRPr="004E4188">
              <w:rPr>
                <w:b/>
              </w:rPr>
              <w:t>requis par les DP</w:t>
            </w:r>
            <w:r w:rsidRPr="004E4188">
              <w:t>.</w:t>
            </w:r>
          </w:p>
        </w:tc>
      </w:tr>
      <w:tr w:rsidR="007049A5" w:rsidRPr="004E4188" w14:paraId="5CF7C187" w14:textId="77777777" w:rsidTr="0092765E">
        <w:trPr>
          <w:trHeight w:val="810"/>
        </w:trPr>
        <w:tc>
          <w:tcPr>
            <w:tcW w:w="2268" w:type="dxa"/>
            <w:tcBorders>
              <w:top w:val="nil"/>
              <w:left w:val="nil"/>
              <w:bottom w:val="nil"/>
              <w:right w:val="nil"/>
            </w:tcBorders>
          </w:tcPr>
          <w:p w14:paraId="3CDC10EE" w14:textId="7FA7A0D8" w:rsidR="007049A5" w:rsidRPr="004E4188" w:rsidRDefault="007049A5" w:rsidP="0092765E">
            <w:pPr>
              <w:pStyle w:val="Header1-Clauses"/>
              <w:spacing w:afterLines="50" w:after="120"/>
              <w:ind w:left="357" w:hanging="357"/>
              <w:rPr>
                <w:lang w:val="fr-FR"/>
              </w:rPr>
            </w:pPr>
            <w:bookmarkStart w:id="401" w:name="_Toc104195591"/>
            <w:r w:rsidRPr="004E4188">
              <w:rPr>
                <w:lang w:val="fr-FR"/>
              </w:rPr>
              <w:t>29.</w:t>
            </w:r>
            <w:r w:rsidRPr="004E4188">
              <w:rPr>
                <w:lang w:val="fr-FR"/>
              </w:rPr>
              <w:tab/>
              <w:t xml:space="preserve">Lettre de soumission de l’offre de </w:t>
            </w:r>
            <w:r w:rsidR="002E1D74" w:rsidRPr="004E4188">
              <w:rPr>
                <w:lang w:val="fr-FR"/>
              </w:rPr>
              <w:t xml:space="preserve">la </w:t>
            </w:r>
            <w:r w:rsidRPr="004E4188">
              <w:rPr>
                <w:lang w:val="fr-FR"/>
              </w:rPr>
              <w:t xml:space="preserve">deuxième étape et </w:t>
            </w:r>
            <w:bookmarkEnd w:id="401"/>
            <w:r w:rsidR="009377AE" w:rsidRPr="004E4188">
              <w:rPr>
                <w:lang w:val="fr-FR"/>
              </w:rPr>
              <w:t>Bordereaux</w:t>
            </w:r>
          </w:p>
        </w:tc>
        <w:tc>
          <w:tcPr>
            <w:tcW w:w="7023" w:type="dxa"/>
            <w:tcBorders>
              <w:top w:val="nil"/>
              <w:left w:val="nil"/>
              <w:bottom w:val="nil"/>
              <w:right w:val="nil"/>
            </w:tcBorders>
          </w:tcPr>
          <w:p w14:paraId="618240AB" w14:textId="55161E9D" w:rsidR="007049A5" w:rsidRPr="004E4188" w:rsidRDefault="007049A5" w:rsidP="006C6267">
            <w:pPr>
              <w:suppressAutoHyphens w:val="0"/>
              <w:spacing w:after="200"/>
              <w:ind w:left="601" w:hanging="601"/>
            </w:pPr>
            <w:r w:rsidRPr="004E4188">
              <w:t>29.1</w:t>
            </w:r>
            <w:r w:rsidRPr="004E4188">
              <w:tab/>
              <w:t>Le Soumissionnaire doit remplir la Lettre de soumission de la deuxième étape et les Bordereaux, y compris les Bordereaux des prix et le Bordereau des données de révision des prix (seulement si requis suivant IS</w:t>
            </w:r>
            <w:r w:rsidR="002E1D74" w:rsidRPr="004E4188">
              <w:t> </w:t>
            </w:r>
            <w:r w:rsidRPr="004E4188">
              <w:t>30.7), en utilisant les formulaires correspondants fournis à la Section IV, Formulaires de soumission. Ces formulaires doivent être complétés sans apporter de modification au texte, et aucun autre format ne sera accepté. Toutes les rubriques doivent être complétées et inclure les renseignements demandés.</w:t>
            </w:r>
          </w:p>
        </w:tc>
      </w:tr>
      <w:tr w:rsidR="007049A5" w:rsidRPr="004E4188" w14:paraId="4B29B1E2" w14:textId="77777777" w:rsidTr="0092765E">
        <w:trPr>
          <w:trHeight w:val="810"/>
        </w:trPr>
        <w:tc>
          <w:tcPr>
            <w:tcW w:w="2268" w:type="dxa"/>
            <w:tcBorders>
              <w:top w:val="nil"/>
              <w:left w:val="nil"/>
              <w:bottom w:val="nil"/>
              <w:right w:val="nil"/>
            </w:tcBorders>
          </w:tcPr>
          <w:p w14:paraId="27C836FB" w14:textId="1D93CD40" w:rsidR="007049A5" w:rsidRPr="004E4188" w:rsidRDefault="007049A5" w:rsidP="0092765E">
            <w:pPr>
              <w:pStyle w:val="Header1-Clauses"/>
              <w:spacing w:afterLines="50" w:after="120"/>
              <w:ind w:left="357" w:hanging="357"/>
              <w:rPr>
                <w:lang w:val="fr-FR"/>
              </w:rPr>
            </w:pPr>
            <w:bookmarkStart w:id="402" w:name="_Toc104195592"/>
            <w:r w:rsidRPr="004E4188">
              <w:rPr>
                <w:lang w:val="fr-FR"/>
              </w:rPr>
              <w:t>30.</w:t>
            </w:r>
            <w:r w:rsidRPr="004E4188">
              <w:rPr>
                <w:lang w:val="fr-FR" w:eastAsia="ja-JP"/>
              </w:rPr>
              <w:tab/>
            </w:r>
            <w:r w:rsidRPr="004E4188">
              <w:rPr>
                <w:lang w:val="fr-FR"/>
              </w:rPr>
              <w:t>Prix de l’offre et rabais</w:t>
            </w:r>
            <w:bookmarkEnd w:id="402"/>
          </w:p>
        </w:tc>
        <w:tc>
          <w:tcPr>
            <w:tcW w:w="7023" w:type="dxa"/>
            <w:tcBorders>
              <w:top w:val="nil"/>
              <w:left w:val="nil"/>
              <w:bottom w:val="nil"/>
              <w:right w:val="nil"/>
            </w:tcBorders>
          </w:tcPr>
          <w:p w14:paraId="46F1F3FB" w14:textId="77777777" w:rsidR="007049A5" w:rsidRPr="004E4188" w:rsidRDefault="007049A5" w:rsidP="006C6267">
            <w:pPr>
              <w:suppressAutoHyphens w:val="0"/>
              <w:spacing w:after="200"/>
              <w:ind w:left="601" w:hanging="601"/>
              <w:rPr>
                <w:rFonts w:cs="HBKMBP+TimesNewRoman"/>
                <w:color w:val="000000"/>
                <w:szCs w:val="24"/>
              </w:rPr>
            </w:pPr>
            <w:r w:rsidRPr="004E4188">
              <w:rPr>
                <w:lang w:eastAsia="en-US"/>
              </w:rPr>
              <w:t>30.1</w:t>
            </w:r>
            <w:r w:rsidRPr="004E4188">
              <w:rPr>
                <w:lang w:eastAsia="en-US"/>
              </w:rPr>
              <w:tab/>
              <w:t>Les prix et rabais indiqués par le Soumissionnaire dans la Lettre de soumission de l’offre de la deuxième étape et dans les Bordereaux des prix seront conformes aux stipulations ci-après.</w:t>
            </w:r>
          </w:p>
        </w:tc>
      </w:tr>
      <w:tr w:rsidR="007049A5" w:rsidRPr="004E4188" w14:paraId="6AD491D1" w14:textId="77777777" w:rsidTr="0092765E">
        <w:trPr>
          <w:trHeight w:val="810"/>
        </w:trPr>
        <w:tc>
          <w:tcPr>
            <w:tcW w:w="2268" w:type="dxa"/>
            <w:tcBorders>
              <w:top w:val="nil"/>
              <w:left w:val="nil"/>
              <w:bottom w:val="nil"/>
              <w:right w:val="nil"/>
            </w:tcBorders>
          </w:tcPr>
          <w:p w14:paraId="199A12CE" w14:textId="74B51C67" w:rsidR="007049A5" w:rsidRPr="004E4188" w:rsidRDefault="007049A5" w:rsidP="006C6267">
            <w:pPr>
              <w:pStyle w:val="Header1-Clauses"/>
              <w:spacing w:afterLines="50" w:after="120"/>
              <w:ind w:left="431" w:hanging="431"/>
              <w:rPr>
                <w:lang w:val="fr-FR"/>
              </w:rPr>
            </w:pPr>
          </w:p>
        </w:tc>
        <w:tc>
          <w:tcPr>
            <w:tcW w:w="7023" w:type="dxa"/>
            <w:tcBorders>
              <w:top w:val="nil"/>
              <w:left w:val="nil"/>
              <w:bottom w:val="nil"/>
              <w:right w:val="nil"/>
            </w:tcBorders>
          </w:tcPr>
          <w:p w14:paraId="46D02B4C" w14:textId="5CD27B4C" w:rsidR="007049A5" w:rsidRPr="004E4188" w:rsidRDefault="007049A5" w:rsidP="006C6267">
            <w:pPr>
              <w:suppressAutoHyphens w:val="0"/>
              <w:spacing w:after="200"/>
              <w:ind w:left="601" w:hanging="601"/>
              <w:rPr>
                <w:rFonts w:cs="HBKMBP+TimesNewRoman"/>
                <w:color w:val="000000"/>
                <w:szCs w:val="24"/>
              </w:rPr>
            </w:pPr>
            <w:r w:rsidRPr="004E4188">
              <w:rPr>
                <w:rFonts w:cs="HBKMBP+TimesNewRoman"/>
                <w:color w:val="000000"/>
                <w:szCs w:val="24"/>
              </w:rPr>
              <w:t>30.2</w:t>
            </w:r>
            <w:r w:rsidRPr="004E4188">
              <w:rPr>
                <w:rFonts w:cs="HBKMBP+TimesNewRoman"/>
                <w:color w:val="000000"/>
                <w:szCs w:val="24"/>
                <w:lang w:eastAsia="ja-JP"/>
              </w:rPr>
              <w:tab/>
            </w:r>
            <w:r w:rsidRPr="004E4188">
              <w:rPr>
                <w:rFonts w:cs="HBKMBP+TimesNewRoman"/>
                <w:b/>
                <w:color w:val="000000"/>
                <w:szCs w:val="24"/>
              </w:rPr>
              <w:t>Sauf indication contraire dans les DP</w:t>
            </w:r>
            <w:r w:rsidRPr="004E4188">
              <w:rPr>
                <w:rFonts w:cs="HBKMBP+TimesNewRoman"/>
                <w:color w:val="000000"/>
                <w:szCs w:val="24"/>
              </w:rPr>
              <w:t xml:space="preserve">, les Soumissionnaires doivent chiffrer leur offre pour l’ensemble des </w:t>
            </w:r>
            <w:r w:rsidRPr="004E4188">
              <w:t>Équipements et Services de montage</w:t>
            </w:r>
            <w:r w:rsidRPr="004E4188">
              <w:rPr>
                <w:rFonts w:cs="HBKMBP+TimesNewRoman"/>
                <w:color w:val="000000"/>
                <w:szCs w:val="24"/>
              </w:rPr>
              <w:t xml:space="preserve"> sur la base d’une «</w:t>
            </w:r>
            <w:r w:rsidR="001D0DC8" w:rsidRPr="004E4188">
              <w:t> </w:t>
            </w:r>
            <w:r w:rsidRPr="004E4188">
              <w:rPr>
                <w:rFonts w:cs="HBKMBP+TimesNewRoman"/>
                <w:color w:val="000000"/>
                <w:szCs w:val="24"/>
              </w:rPr>
              <w:t>responsabilité unique</w:t>
            </w:r>
            <w:r w:rsidR="001D0DC8" w:rsidRPr="004E4188">
              <w:t> </w:t>
            </w:r>
            <w:r w:rsidRPr="004E4188">
              <w:rPr>
                <w:rFonts w:cs="HBKMBP+TimesNewRoman"/>
                <w:color w:val="000000"/>
                <w:szCs w:val="24"/>
              </w:rPr>
              <w:t xml:space="preserve">», de sorte que le </w:t>
            </w:r>
            <w:r w:rsidR="00B12DDE" w:rsidRPr="004E4188">
              <w:rPr>
                <w:rFonts w:cs="HBKMBP+TimesNewRoman"/>
                <w:color w:val="000000"/>
                <w:szCs w:val="24"/>
              </w:rPr>
              <w:t>m</w:t>
            </w:r>
            <w:r w:rsidRPr="004E4188">
              <w:rPr>
                <w:rFonts w:cs="HBKMBP+TimesNewRoman"/>
                <w:color w:val="000000"/>
                <w:szCs w:val="24"/>
              </w:rPr>
              <w:t xml:space="preserve">ontant total de l’offre couvre toutes les obligations de l’Entrepreneur mentionnées </w:t>
            </w:r>
            <w:r w:rsidRPr="004E4188">
              <w:t>dans</w:t>
            </w:r>
            <w:r w:rsidRPr="004E4188">
              <w:rPr>
                <w:rFonts w:cs="HBKMBP+TimesNewRoman"/>
                <w:color w:val="000000"/>
                <w:szCs w:val="24"/>
              </w:rPr>
              <w:t xml:space="preserve"> le Dossier d’appel d’offres ou qui en découlent, en ce qui concerne la conception, la fabrication, incluant l’approvisionnement et la sous-traitance (le cas échéant), la livraison, la construction, le montage, et l’achèvement des Installations. Sont également incluses les obligations de l’Entrepreneur en matière d’essais, de pré-mise en service et de mise en service des Équipements, ainsi que les prestations de services de fonctionnement, maintenance et de formation, et toute autre prestation ou service comme indiqué, le cas échéant, dans le Dossier d’appel d’offres, conformément aux dispositions des Conditions du Marché. </w:t>
            </w:r>
          </w:p>
          <w:p w14:paraId="3B19E0DF" w14:textId="77777777" w:rsidR="007049A5" w:rsidRPr="004E4188" w:rsidRDefault="007049A5" w:rsidP="006C6267">
            <w:pPr>
              <w:pStyle w:val="OptB-S1-subpara"/>
              <w:tabs>
                <w:tab w:val="clear" w:pos="718"/>
              </w:tabs>
              <w:ind w:left="601" w:firstLine="0"/>
              <w:rPr>
                <w:lang w:val="fr-FR"/>
              </w:rPr>
            </w:pPr>
            <w:r w:rsidRPr="004E4188">
              <w:rPr>
                <w:rFonts w:cs="HBKMBP+TimesNewRoman"/>
                <w:color w:val="000000"/>
                <w:szCs w:val="24"/>
                <w:lang w:val="fr-FR"/>
              </w:rPr>
              <w:t xml:space="preserve">Les postes, pour lesquels aucun prix n’est fourni par le Soumissionnaire, ne seront pas payés par le Maître d’ouvrage suite à leur réalisation et seront considérés comme inclus dans les prix d’autres postes. </w:t>
            </w:r>
          </w:p>
        </w:tc>
      </w:tr>
      <w:tr w:rsidR="007049A5" w:rsidRPr="004E4188" w14:paraId="5F15306E" w14:textId="77777777" w:rsidTr="0092765E">
        <w:tc>
          <w:tcPr>
            <w:tcW w:w="2268" w:type="dxa"/>
            <w:tcBorders>
              <w:top w:val="nil"/>
              <w:left w:val="nil"/>
              <w:bottom w:val="nil"/>
              <w:right w:val="nil"/>
            </w:tcBorders>
          </w:tcPr>
          <w:p w14:paraId="77EAF1B6" w14:textId="77777777" w:rsidR="007049A5" w:rsidRPr="004E4188" w:rsidRDefault="007049A5" w:rsidP="00EC0A93">
            <w:pPr>
              <w:pStyle w:val="Header1-Clauses"/>
              <w:spacing w:afterLines="50" w:after="120"/>
              <w:ind w:left="431" w:hanging="431"/>
              <w:rPr>
                <w:lang w:val="fr-FR"/>
              </w:rPr>
            </w:pPr>
          </w:p>
        </w:tc>
        <w:tc>
          <w:tcPr>
            <w:tcW w:w="7023" w:type="dxa"/>
            <w:tcBorders>
              <w:top w:val="nil"/>
              <w:left w:val="nil"/>
              <w:bottom w:val="nil"/>
              <w:right w:val="nil"/>
            </w:tcBorders>
          </w:tcPr>
          <w:p w14:paraId="0B47DDD0" w14:textId="7387CB5A" w:rsidR="007049A5" w:rsidRPr="004E4188" w:rsidRDefault="007049A5" w:rsidP="006C6267">
            <w:pPr>
              <w:suppressAutoHyphens w:val="0"/>
              <w:spacing w:after="200"/>
              <w:ind w:left="601" w:hanging="601"/>
              <w:rPr>
                <w:noProof/>
                <w:szCs w:val="24"/>
                <w:lang w:eastAsia="ja-JP"/>
              </w:rPr>
            </w:pPr>
            <w:r w:rsidRPr="004E4188">
              <w:rPr>
                <w:rFonts w:cs="HBKMBP+TimesNewRoman"/>
                <w:color w:val="000000"/>
                <w:szCs w:val="24"/>
              </w:rPr>
              <w:t>30.3</w:t>
            </w:r>
            <w:r w:rsidRPr="004E4188">
              <w:rPr>
                <w:rFonts w:cs="HBKMBP+TimesNewRoman"/>
                <w:color w:val="000000"/>
                <w:szCs w:val="24"/>
                <w:lang w:eastAsia="ja-JP"/>
              </w:rPr>
              <w:tab/>
            </w:r>
            <w:r w:rsidRPr="004E4188">
              <w:rPr>
                <w:rFonts w:cs="HBKMBP+TimesNewRoman"/>
                <w:color w:val="000000"/>
                <w:szCs w:val="24"/>
              </w:rPr>
              <w:t>Les Soumissionnaires doivent fournir une décomposition des prix en respectant la forme et la présentation figurant dans les Bordereaux des prix inclus à la Section IV, Formulaires de soumission. Les Soumissionnaires donneront, dans les Bordereaux des prix, les renseignements demandés et la décomposition de leur prix de la manière suivante :</w:t>
            </w:r>
          </w:p>
        </w:tc>
      </w:tr>
      <w:tr w:rsidR="007049A5" w:rsidRPr="004E4188" w:rsidDel="004A0315" w14:paraId="208EBF4A" w14:textId="77777777" w:rsidTr="0092765E">
        <w:tc>
          <w:tcPr>
            <w:tcW w:w="2268" w:type="dxa"/>
            <w:tcBorders>
              <w:top w:val="nil"/>
              <w:left w:val="nil"/>
              <w:bottom w:val="nil"/>
              <w:right w:val="nil"/>
            </w:tcBorders>
          </w:tcPr>
          <w:p w14:paraId="00016A59" w14:textId="77777777" w:rsidR="007049A5" w:rsidRPr="004E4188" w:rsidRDefault="007049A5" w:rsidP="00EC0A93">
            <w:pPr>
              <w:numPr>
                <w:ilvl w:val="12"/>
                <w:numId w:val="0"/>
              </w:numPr>
            </w:pPr>
          </w:p>
        </w:tc>
        <w:tc>
          <w:tcPr>
            <w:tcW w:w="7023" w:type="dxa"/>
            <w:tcBorders>
              <w:top w:val="nil"/>
              <w:left w:val="nil"/>
              <w:bottom w:val="nil"/>
              <w:right w:val="nil"/>
            </w:tcBorders>
          </w:tcPr>
          <w:p w14:paraId="7446CB02" w14:textId="11D10421" w:rsidR="007049A5" w:rsidRPr="004E4188" w:rsidRDefault="007049A5" w:rsidP="002319BA">
            <w:pPr>
              <w:ind w:left="1026" w:hanging="425"/>
              <w:rPr>
                <w:rFonts w:cs="HBKMBP+TimesNewRoman"/>
                <w:color w:val="000000"/>
                <w:szCs w:val="24"/>
              </w:rPr>
            </w:pPr>
            <w:r w:rsidRPr="004E4188">
              <w:rPr>
                <w:rFonts w:cs="HBKMBP+TimesNewRoman"/>
                <w:color w:val="000000"/>
                <w:szCs w:val="24"/>
              </w:rPr>
              <w:t>(a)</w:t>
            </w:r>
            <w:r w:rsidRPr="004E4188">
              <w:rPr>
                <w:rFonts w:cs="HBKMBP+TimesNewRoman"/>
                <w:color w:val="000000"/>
                <w:szCs w:val="24"/>
                <w:lang w:eastAsia="ja-JP"/>
              </w:rPr>
              <w:tab/>
            </w:r>
            <w:r w:rsidRPr="004E4188">
              <w:t>Équipements</w:t>
            </w:r>
            <w:r w:rsidRPr="004E4188">
              <w:rPr>
                <w:rFonts w:cs="HBKMBP+TimesNewRoman"/>
                <w:color w:val="000000"/>
                <w:szCs w:val="24"/>
              </w:rPr>
              <w:t xml:space="preserve"> d’origine étrangère (Bordereau n°1) :</w:t>
            </w:r>
          </w:p>
          <w:p w14:paraId="5AE6F214" w14:textId="4628D665" w:rsidR="007049A5" w:rsidRPr="004E4188" w:rsidRDefault="007049A5" w:rsidP="00D97734">
            <w:pPr>
              <w:suppressAutoHyphens w:val="0"/>
              <w:spacing w:after="200"/>
              <w:ind w:left="1026"/>
            </w:pPr>
            <w:r w:rsidRPr="004E4188">
              <w:rPr>
                <w:rFonts w:cs="HBKMBP+TimesNewRoman"/>
                <w:color w:val="000000"/>
                <w:szCs w:val="24"/>
              </w:rPr>
              <w:t xml:space="preserve">Les </w:t>
            </w:r>
            <w:r w:rsidRPr="004E4188">
              <w:t>Équipements</w:t>
            </w:r>
            <w:r w:rsidRPr="004E4188">
              <w:rPr>
                <w:rFonts w:cs="HBKMBP+TimesNewRoman"/>
                <w:color w:val="000000"/>
                <w:szCs w:val="24"/>
              </w:rPr>
              <w:t xml:space="preserve"> </w:t>
            </w:r>
            <w:r w:rsidRPr="004E4188">
              <w:rPr>
                <w:szCs w:val="24"/>
              </w:rPr>
              <w:t>doivent être</w:t>
            </w:r>
            <w:r w:rsidRPr="004E4188">
              <w:rPr>
                <w:rFonts w:cs="HBKMBP+TimesNewRoman"/>
                <w:color w:val="000000"/>
                <w:szCs w:val="24"/>
              </w:rPr>
              <w:t xml:space="preserve"> chiffrés sur la base du prix CIP – lieu de destination convenu</w:t>
            </w:r>
            <w:r w:rsidRPr="004E4188">
              <w:rPr>
                <w:rFonts w:cs="HBKMBP+TimesNewRoman"/>
                <w:b/>
                <w:color w:val="000000"/>
                <w:szCs w:val="24"/>
              </w:rPr>
              <w:t xml:space="preserve"> indiqué dans les DP</w:t>
            </w:r>
            <w:r w:rsidRPr="004E4188">
              <w:rPr>
                <w:rFonts w:cs="HBKMBP+TimesNewRoman"/>
                <w:color w:val="000000"/>
                <w:szCs w:val="24"/>
              </w:rPr>
              <w:t>.</w:t>
            </w:r>
          </w:p>
          <w:p w14:paraId="68E1C7E6" w14:textId="69A895D1" w:rsidR="007049A5" w:rsidRPr="004E4188" w:rsidRDefault="007049A5" w:rsidP="002319BA">
            <w:pPr>
              <w:ind w:left="1026" w:hanging="425"/>
              <w:rPr>
                <w:rFonts w:cs="HBKMBP+TimesNewRoman"/>
                <w:color w:val="000000"/>
                <w:szCs w:val="24"/>
              </w:rPr>
            </w:pPr>
            <w:r w:rsidRPr="004E4188">
              <w:t>(b)</w:t>
            </w:r>
            <w:r w:rsidRPr="004E4188">
              <w:rPr>
                <w:lang w:eastAsia="ja-JP"/>
              </w:rPr>
              <w:tab/>
            </w:r>
            <w:r w:rsidRPr="004E4188">
              <w:t>Équipements</w:t>
            </w:r>
            <w:r w:rsidRPr="004E4188">
              <w:rPr>
                <w:rFonts w:cs="HBKMBP+TimesNewRoman"/>
                <w:color w:val="000000"/>
                <w:szCs w:val="24"/>
              </w:rPr>
              <w:t xml:space="preserve"> d’origine locale (Bordereau n°2) :</w:t>
            </w:r>
          </w:p>
          <w:p w14:paraId="38BEAC34" w14:textId="4D1B83E2" w:rsidR="007049A5" w:rsidRPr="004E4188" w:rsidRDefault="007049A5" w:rsidP="00D97734">
            <w:pPr>
              <w:suppressAutoHyphens w:val="0"/>
              <w:spacing w:after="200"/>
              <w:ind w:left="1026"/>
              <w:rPr>
                <w:rFonts w:cs="HBKMBP+TimesNewRoman"/>
                <w:color w:val="000000"/>
                <w:szCs w:val="24"/>
              </w:rPr>
            </w:pPr>
            <w:r w:rsidRPr="004E4188">
              <w:rPr>
                <w:rFonts w:cs="HBKMBP+TimesNewRoman"/>
                <w:color w:val="000000"/>
                <w:szCs w:val="24"/>
              </w:rPr>
              <w:t xml:space="preserve">Les </w:t>
            </w:r>
            <w:r w:rsidRPr="004E4188">
              <w:t>Équipements</w:t>
            </w:r>
            <w:r w:rsidRPr="004E4188">
              <w:rPr>
                <w:rFonts w:cs="HBKMBP+TimesNewRoman"/>
                <w:color w:val="000000"/>
                <w:szCs w:val="24"/>
              </w:rPr>
              <w:t xml:space="preserve"> doivent être chiffrés sur la base d’un Incoterm EXW (tel que « ex-works », « ex-factory », « ex-warehouse » ou « off-the-shelf » selon le cas) et incluront la taxe de vente et toutes les autres charges imposées sur les Équipements dans le pays du Maître d’ouvrage à la </w:t>
            </w:r>
            <w:r w:rsidRPr="004E4188">
              <w:rPr>
                <w:szCs w:val="24"/>
              </w:rPr>
              <w:t>Date de référence</w:t>
            </w:r>
            <w:r w:rsidRPr="004E4188">
              <w:rPr>
                <w:rFonts w:cs="HBKMBP+TimesNewRoman"/>
                <w:color w:val="000000"/>
                <w:szCs w:val="24"/>
              </w:rPr>
              <w:t>, si le Marché est attribué au Soumissionnaire.</w:t>
            </w:r>
          </w:p>
          <w:p w14:paraId="05E12514" w14:textId="77777777" w:rsidR="007049A5" w:rsidRPr="004E4188" w:rsidRDefault="007049A5" w:rsidP="00D97734">
            <w:pPr>
              <w:spacing w:after="200"/>
              <w:ind w:left="1026" w:hanging="425"/>
              <w:rPr>
                <w:rFonts w:cs="HBKMBP+TimesNewRoman"/>
                <w:color w:val="000000"/>
                <w:szCs w:val="24"/>
              </w:rPr>
            </w:pPr>
            <w:r w:rsidRPr="004E4188">
              <w:rPr>
                <w:lang w:eastAsia="ja-JP"/>
              </w:rPr>
              <w:t>(c)</w:t>
            </w:r>
            <w:r w:rsidRPr="004E4188">
              <w:rPr>
                <w:lang w:eastAsia="ja-JP"/>
              </w:rPr>
              <w:tab/>
            </w:r>
            <w:r w:rsidRPr="004E4188">
              <w:t>Services</w:t>
            </w:r>
            <w:r w:rsidRPr="004E4188">
              <w:rPr>
                <w:rFonts w:cs="HBKMBP+TimesNewRoman"/>
                <w:color w:val="000000"/>
                <w:szCs w:val="24"/>
              </w:rPr>
              <w:t xml:space="preserve"> de conception (Bordereau n°3)</w:t>
            </w:r>
          </w:p>
          <w:p w14:paraId="2958301B" w14:textId="77777777" w:rsidR="007049A5" w:rsidRPr="004E4188" w:rsidRDefault="007049A5" w:rsidP="002319BA">
            <w:pPr>
              <w:ind w:left="1026" w:hanging="425"/>
              <w:rPr>
                <w:noProof/>
                <w:szCs w:val="24"/>
              </w:rPr>
            </w:pPr>
            <w:r w:rsidRPr="004E4188">
              <w:rPr>
                <w:rFonts w:cs="HBKMBP+TimesNewRoman"/>
                <w:color w:val="000000"/>
                <w:szCs w:val="24"/>
                <w:lang w:eastAsia="ja-JP"/>
              </w:rPr>
              <w:t>(</w:t>
            </w:r>
            <w:r w:rsidRPr="004E4188">
              <w:rPr>
                <w:lang w:eastAsia="ja-JP"/>
              </w:rPr>
              <w:t>d)</w:t>
            </w:r>
            <w:r w:rsidRPr="004E4188">
              <w:rPr>
                <w:lang w:eastAsia="ja-JP"/>
              </w:rPr>
              <w:tab/>
            </w:r>
            <w:r w:rsidRPr="004E4188">
              <w:rPr>
                <w:noProof/>
                <w:szCs w:val="24"/>
              </w:rPr>
              <w:t>Service de montage et autres services (</w:t>
            </w:r>
            <w:r w:rsidRPr="004E4188">
              <w:rPr>
                <w:szCs w:val="24"/>
              </w:rPr>
              <w:t>Bordereau n°</w:t>
            </w:r>
            <w:r w:rsidRPr="004E4188">
              <w:rPr>
                <w:noProof/>
                <w:szCs w:val="24"/>
              </w:rPr>
              <w:t xml:space="preserve">4) : </w:t>
            </w:r>
          </w:p>
          <w:p w14:paraId="373A4C5B" w14:textId="1A982096" w:rsidR="007049A5" w:rsidRPr="004E4188" w:rsidRDefault="007049A5" w:rsidP="006C6267">
            <w:pPr>
              <w:suppressAutoHyphens w:val="0"/>
              <w:spacing w:after="200"/>
              <w:ind w:left="1026"/>
            </w:pPr>
            <w:r w:rsidRPr="004E4188">
              <w:rPr>
                <w:rFonts w:cs="HBKMBP+TimesNewRoman"/>
                <w:color w:val="000000"/>
                <w:szCs w:val="24"/>
              </w:rPr>
              <w:t xml:space="preserve">Les prix doivent être chiffrés séparément et doivent inclure les taux ou prix du transport local au lieu convenu de destination finale </w:t>
            </w:r>
            <w:r w:rsidRPr="004E4188">
              <w:rPr>
                <w:rFonts w:cs="HBKMBP+TimesNewRoman"/>
                <w:b/>
                <w:color w:val="000000"/>
                <w:szCs w:val="24"/>
              </w:rPr>
              <w:t>indiqué dans les DP</w:t>
            </w:r>
            <w:r w:rsidRPr="004E4188">
              <w:rPr>
                <w:rFonts w:cs="HBKMBP+TimesNewRoman"/>
                <w:color w:val="000000"/>
                <w:szCs w:val="24"/>
              </w:rPr>
              <w:t>, les assurances et autres services liés à la livraison des</w:t>
            </w:r>
            <w:r w:rsidRPr="004E4188">
              <w:t xml:space="preserve"> Équipements</w:t>
            </w:r>
            <w:r w:rsidRPr="004E4188">
              <w:rPr>
                <w:rFonts w:cs="HBKMBP+TimesNewRoman"/>
                <w:color w:val="000000"/>
                <w:szCs w:val="24"/>
              </w:rPr>
              <w:t>, le coût de la main d’</w:t>
            </w:r>
            <w:r w:rsidRPr="004E4188">
              <w:rPr>
                <w:color w:val="000000"/>
                <w:szCs w:val="24"/>
              </w:rPr>
              <w:t>œ</w:t>
            </w:r>
            <w:r w:rsidRPr="004E4188">
              <w:rPr>
                <w:rFonts w:cs="HBKMBP+TimesNewRoman"/>
                <w:color w:val="000000"/>
                <w:szCs w:val="24"/>
              </w:rPr>
              <w:t>uvre, les équipements de l’Entrepreneur, les installations temporaires, les matériaux, les produits consommables et tout autre élément de quelque nature que ce soit, incluant les services d’exploitation et de maintenance, la fourniture de manuels d’exploitation et de maintenance, la formation</w:t>
            </w:r>
            <w:r w:rsidR="007F4DE1" w:rsidRPr="004E4188">
              <w:rPr>
                <w:rFonts w:cs="HBKMBP+TimesNewRoman"/>
                <w:color w:val="000000"/>
                <w:szCs w:val="24"/>
              </w:rPr>
              <w:t>,</w:t>
            </w:r>
            <w:r w:rsidRPr="004E4188">
              <w:rPr>
                <w:rFonts w:cs="HBKMBP+TimesNewRoman"/>
                <w:color w:val="000000"/>
                <w:szCs w:val="24"/>
              </w:rPr>
              <w:t xml:space="preserve"> etc., si mentionné dans le Dossier d’appel d’offres comme étant nécessaire à la bonne mise en place des</w:t>
            </w:r>
            <w:r w:rsidRPr="004E4188">
              <w:t xml:space="preserve"> Équipements et autres services</w:t>
            </w:r>
            <w:r w:rsidRPr="004E4188">
              <w:rPr>
                <w:rFonts w:cs="HBKMBP+TimesNewRoman"/>
                <w:color w:val="000000"/>
                <w:szCs w:val="24"/>
              </w:rPr>
              <w:t xml:space="preserve">, y compris les taxes, droits, prélèvements et charges imposables dans le pays du Maître d’ouvrage à la Date de référence vingt-huit (28) jours préalablement à la date limite de </w:t>
            </w:r>
            <w:r w:rsidR="00FC7041" w:rsidRPr="004E4188">
              <w:rPr>
                <w:rFonts w:cs="HBKMBP+TimesNewRoman"/>
                <w:color w:val="000000"/>
                <w:szCs w:val="24"/>
              </w:rPr>
              <w:t xml:space="preserve">remise </w:t>
            </w:r>
            <w:r w:rsidRPr="004E4188">
              <w:rPr>
                <w:rFonts w:cs="HBKMBP+TimesNewRoman"/>
                <w:color w:val="000000"/>
                <w:szCs w:val="24"/>
              </w:rPr>
              <w:t>des offres de deuxième étape.</w:t>
            </w:r>
          </w:p>
          <w:p w14:paraId="52902303" w14:textId="77777777" w:rsidR="007049A5" w:rsidRPr="004E4188" w:rsidRDefault="007049A5" w:rsidP="002319BA">
            <w:pPr>
              <w:ind w:left="1026" w:hanging="425"/>
              <w:rPr>
                <w:noProof/>
                <w:szCs w:val="24"/>
              </w:rPr>
            </w:pPr>
            <w:r w:rsidRPr="004E4188">
              <w:rPr>
                <w:rFonts w:cs="HBKMBP+TimesNewRoman"/>
                <w:color w:val="000000"/>
                <w:szCs w:val="24"/>
                <w:lang w:eastAsia="ja-JP"/>
              </w:rPr>
              <w:t>(e)</w:t>
            </w:r>
            <w:r w:rsidRPr="004E4188">
              <w:rPr>
                <w:rFonts w:cs="HBKMBP+TimesNewRoman"/>
                <w:color w:val="000000"/>
                <w:szCs w:val="24"/>
                <w:lang w:eastAsia="ja-JP"/>
              </w:rPr>
              <w:tab/>
            </w:r>
            <w:r w:rsidRPr="004E4188">
              <w:rPr>
                <w:noProof/>
                <w:szCs w:val="24"/>
              </w:rPr>
              <w:t>Pièces de rechange obligatoires (</w:t>
            </w:r>
            <w:r w:rsidRPr="004E4188">
              <w:rPr>
                <w:szCs w:val="24"/>
              </w:rPr>
              <w:t>Bordereau n°</w:t>
            </w:r>
            <w:r w:rsidRPr="004E4188">
              <w:rPr>
                <w:noProof/>
                <w:szCs w:val="24"/>
              </w:rPr>
              <w:t xml:space="preserve">5) : </w:t>
            </w:r>
          </w:p>
          <w:p w14:paraId="7E9C0FC4" w14:textId="30EBF323" w:rsidR="007049A5" w:rsidRPr="004E4188" w:rsidRDefault="007049A5" w:rsidP="006C6267">
            <w:pPr>
              <w:suppressAutoHyphens w:val="0"/>
              <w:spacing w:after="200"/>
              <w:ind w:left="1026"/>
              <w:rPr>
                <w:rFonts w:cs="HBKMBP+TimesNewRoman"/>
                <w:color w:val="000000"/>
                <w:szCs w:val="24"/>
              </w:rPr>
            </w:pPr>
            <w:r w:rsidRPr="004E4188">
              <w:rPr>
                <w:rFonts w:cs="HBKMBP+TimesNewRoman"/>
                <w:color w:val="000000"/>
                <w:szCs w:val="24"/>
              </w:rPr>
              <w:t>Les prix doivent être chiffrées séparément comme indiqué aux alinéas (a) ou (b) ci-dessus, en fonction de leur origine.</w:t>
            </w:r>
          </w:p>
          <w:p w14:paraId="4415BEB3" w14:textId="77777777" w:rsidR="007049A5" w:rsidRPr="004E4188" w:rsidRDefault="007049A5" w:rsidP="002319BA">
            <w:pPr>
              <w:ind w:left="1026" w:hanging="425"/>
              <w:rPr>
                <w:noProof/>
                <w:szCs w:val="24"/>
              </w:rPr>
            </w:pPr>
            <w:r w:rsidRPr="004E4188">
              <w:rPr>
                <w:rFonts w:cs="HBKMBP+TimesNewRoman"/>
                <w:color w:val="000000"/>
                <w:szCs w:val="24"/>
                <w:lang w:eastAsia="ja-JP"/>
              </w:rPr>
              <w:t>(f)</w:t>
            </w:r>
            <w:r w:rsidRPr="004E4188">
              <w:rPr>
                <w:rFonts w:cs="HBKMBP+TimesNewRoman"/>
                <w:color w:val="000000"/>
                <w:szCs w:val="24"/>
                <w:lang w:eastAsia="ja-JP"/>
              </w:rPr>
              <w:tab/>
            </w:r>
            <w:r w:rsidRPr="004E4188">
              <w:rPr>
                <w:noProof/>
                <w:szCs w:val="24"/>
              </w:rPr>
              <w:t>Pièces de rechange recommandées (</w:t>
            </w:r>
            <w:r w:rsidRPr="004E4188">
              <w:rPr>
                <w:szCs w:val="24"/>
              </w:rPr>
              <w:t>Bordereau n°</w:t>
            </w:r>
            <w:r w:rsidRPr="004E4188">
              <w:rPr>
                <w:noProof/>
                <w:szCs w:val="24"/>
              </w:rPr>
              <w:t>6) : </w:t>
            </w:r>
          </w:p>
          <w:p w14:paraId="1141B378" w14:textId="77777777" w:rsidR="007049A5" w:rsidRPr="004E4188" w:rsidDel="004A0315" w:rsidRDefault="007049A5" w:rsidP="006C6267">
            <w:pPr>
              <w:suppressAutoHyphens w:val="0"/>
              <w:spacing w:after="200"/>
              <w:ind w:left="1026"/>
              <w:rPr>
                <w:rFonts w:cs="HBKMBP+TimesNewRoman"/>
                <w:color w:val="000000"/>
                <w:szCs w:val="24"/>
              </w:rPr>
            </w:pPr>
            <w:r w:rsidRPr="004E4188">
              <w:rPr>
                <w:noProof/>
                <w:szCs w:val="24"/>
              </w:rPr>
              <w:t xml:space="preserve">Les prix </w:t>
            </w:r>
            <w:r w:rsidRPr="004E4188">
              <w:rPr>
                <w:rFonts w:cs="HBKMBP+TimesNewRoman"/>
                <w:color w:val="000000"/>
                <w:szCs w:val="24"/>
              </w:rPr>
              <w:t>doivent être</w:t>
            </w:r>
            <w:r w:rsidRPr="004E4188">
              <w:rPr>
                <w:noProof/>
                <w:szCs w:val="24"/>
              </w:rPr>
              <w:t xml:space="preserve"> chiffrés séparément comme indiqué aux alinéas (a) ou (b) ci-dessus, en fonction de leur origine.</w:t>
            </w:r>
          </w:p>
        </w:tc>
      </w:tr>
      <w:tr w:rsidR="007049A5" w:rsidRPr="004E4188" w:rsidDel="004A0315" w14:paraId="75B562E4" w14:textId="77777777" w:rsidTr="0092765E">
        <w:tc>
          <w:tcPr>
            <w:tcW w:w="2268" w:type="dxa"/>
            <w:tcBorders>
              <w:top w:val="nil"/>
              <w:left w:val="nil"/>
              <w:bottom w:val="nil"/>
              <w:right w:val="nil"/>
            </w:tcBorders>
          </w:tcPr>
          <w:p w14:paraId="1F4D324E" w14:textId="77777777" w:rsidR="007049A5" w:rsidRPr="004E4188" w:rsidRDefault="007049A5" w:rsidP="00EC0A93">
            <w:pPr>
              <w:numPr>
                <w:ilvl w:val="12"/>
                <w:numId w:val="0"/>
              </w:numPr>
            </w:pPr>
          </w:p>
        </w:tc>
        <w:tc>
          <w:tcPr>
            <w:tcW w:w="7023" w:type="dxa"/>
            <w:tcBorders>
              <w:top w:val="nil"/>
              <w:left w:val="nil"/>
              <w:bottom w:val="nil"/>
              <w:right w:val="nil"/>
            </w:tcBorders>
          </w:tcPr>
          <w:p w14:paraId="6F8FAB8E" w14:textId="66220E79" w:rsidR="007049A5" w:rsidRPr="004E4188" w:rsidDel="004A0315" w:rsidRDefault="007049A5" w:rsidP="006C6267">
            <w:pPr>
              <w:suppressAutoHyphens w:val="0"/>
              <w:spacing w:after="200"/>
              <w:ind w:left="601" w:hanging="601"/>
            </w:pPr>
            <w:r w:rsidRPr="004E4188">
              <w:t>3</w:t>
            </w:r>
            <w:r w:rsidRPr="004E4188">
              <w:rPr>
                <w:rFonts w:hint="eastAsia"/>
                <w:lang w:eastAsia="ja-JP"/>
              </w:rPr>
              <w:t>0</w:t>
            </w:r>
            <w:r w:rsidRPr="004E4188">
              <w:t>.4</w:t>
            </w:r>
            <w:r w:rsidRPr="004E4188">
              <w:rPr>
                <w:lang w:eastAsia="ja-JP"/>
              </w:rPr>
              <w:tab/>
            </w:r>
            <w:r w:rsidRPr="004E4188">
              <w:t xml:space="preserve">La dernière édition (à la Date de référence) des Incoterms, publiés par la </w:t>
            </w:r>
            <w:r w:rsidRPr="004E4188">
              <w:rPr>
                <w:rFonts w:cs="HBKMBP+TimesNewRoman"/>
                <w:color w:val="000000"/>
                <w:szCs w:val="24"/>
              </w:rPr>
              <w:t>Chambre</w:t>
            </w:r>
            <w:r w:rsidRPr="004E4188">
              <w:t xml:space="preserve"> internationale de commerce, fera foi.</w:t>
            </w:r>
          </w:p>
        </w:tc>
      </w:tr>
      <w:tr w:rsidR="007049A5" w:rsidRPr="004E4188" w:rsidDel="004A0315" w14:paraId="095A990F" w14:textId="77777777" w:rsidTr="0092765E">
        <w:tc>
          <w:tcPr>
            <w:tcW w:w="2268" w:type="dxa"/>
            <w:tcBorders>
              <w:top w:val="nil"/>
              <w:left w:val="nil"/>
              <w:bottom w:val="nil"/>
              <w:right w:val="nil"/>
            </w:tcBorders>
          </w:tcPr>
          <w:p w14:paraId="3BD04437" w14:textId="77777777" w:rsidR="007049A5" w:rsidRPr="004E4188" w:rsidRDefault="007049A5" w:rsidP="00EC0A93">
            <w:pPr>
              <w:numPr>
                <w:ilvl w:val="12"/>
                <w:numId w:val="0"/>
              </w:numPr>
            </w:pPr>
          </w:p>
        </w:tc>
        <w:tc>
          <w:tcPr>
            <w:tcW w:w="7023" w:type="dxa"/>
            <w:tcBorders>
              <w:top w:val="nil"/>
              <w:left w:val="nil"/>
              <w:bottom w:val="nil"/>
              <w:right w:val="nil"/>
            </w:tcBorders>
          </w:tcPr>
          <w:p w14:paraId="3FD5D509" w14:textId="77777777" w:rsidR="007049A5" w:rsidRPr="004E4188" w:rsidRDefault="007049A5" w:rsidP="00367AC6">
            <w:pPr>
              <w:suppressAutoHyphens w:val="0"/>
              <w:spacing w:after="200"/>
              <w:ind w:left="601" w:hanging="601"/>
            </w:pPr>
            <w:r w:rsidRPr="004E4188">
              <w:t>30.5</w:t>
            </w:r>
            <w:r w:rsidRPr="004E4188">
              <w:tab/>
              <w:t>Le montant devant figurer dans la Lettre de soumission de l’offre de la deuxième étape, conformément à IS 29.1, sera le montant total de l’offre. L’absence du montant total de l’offre dans la Lettre de soumission de l’offre de la deuxième étape peut entraîner le rejet de l’offre.</w:t>
            </w:r>
          </w:p>
        </w:tc>
      </w:tr>
      <w:tr w:rsidR="007049A5" w:rsidRPr="004E4188" w:rsidDel="004A0315" w14:paraId="0568AD9C" w14:textId="77777777" w:rsidTr="0092765E">
        <w:tc>
          <w:tcPr>
            <w:tcW w:w="2268" w:type="dxa"/>
            <w:tcBorders>
              <w:top w:val="nil"/>
              <w:left w:val="nil"/>
              <w:bottom w:val="nil"/>
              <w:right w:val="nil"/>
            </w:tcBorders>
          </w:tcPr>
          <w:p w14:paraId="73AE7F4E" w14:textId="77777777" w:rsidR="007049A5" w:rsidRPr="004E4188" w:rsidRDefault="007049A5" w:rsidP="00EC0A93">
            <w:pPr>
              <w:numPr>
                <w:ilvl w:val="12"/>
                <w:numId w:val="0"/>
              </w:numPr>
            </w:pPr>
          </w:p>
        </w:tc>
        <w:tc>
          <w:tcPr>
            <w:tcW w:w="7023" w:type="dxa"/>
            <w:tcBorders>
              <w:top w:val="nil"/>
              <w:left w:val="nil"/>
              <w:bottom w:val="nil"/>
              <w:right w:val="nil"/>
            </w:tcBorders>
          </w:tcPr>
          <w:p w14:paraId="0856CFA5" w14:textId="77777777" w:rsidR="007049A5" w:rsidRPr="004E4188" w:rsidRDefault="007049A5" w:rsidP="00367AC6">
            <w:pPr>
              <w:suppressAutoHyphens w:val="0"/>
              <w:spacing w:after="200"/>
              <w:ind w:left="601" w:hanging="601"/>
            </w:pPr>
            <w:r w:rsidRPr="004E4188">
              <w:t>30.6</w:t>
            </w:r>
            <w:r w:rsidRPr="004E4188">
              <w:tab/>
              <w:t>Le Soumissionnaire indiquera les rabais et leur méthode d’application dans la Lettre de soumission de l’offre de la deuxième étape, conformément à IS 29.1.</w:t>
            </w:r>
          </w:p>
        </w:tc>
      </w:tr>
      <w:tr w:rsidR="007049A5" w:rsidRPr="004E4188" w:rsidDel="004A0315" w14:paraId="2F341961" w14:textId="77777777" w:rsidTr="0092765E">
        <w:tc>
          <w:tcPr>
            <w:tcW w:w="2268" w:type="dxa"/>
            <w:tcBorders>
              <w:top w:val="nil"/>
              <w:left w:val="nil"/>
              <w:bottom w:val="nil"/>
              <w:right w:val="nil"/>
            </w:tcBorders>
          </w:tcPr>
          <w:p w14:paraId="1BD8E3C9" w14:textId="77777777" w:rsidR="007049A5" w:rsidRPr="004E4188" w:rsidRDefault="007049A5" w:rsidP="006C6267">
            <w:pPr>
              <w:numPr>
                <w:ilvl w:val="12"/>
                <w:numId w:val="0"/>
              </w:numPr>
            </w:pPr>
          </w:p>
        </w:tc>
        <w:tc>
          <w:tcPr>
            <w:tcW w:w="7023" w:type="dxa"/>
            <w:tcBorders>
              <w:top w:val="nil"/>
              <w:left w:val="nil"/>
              <w:bottom w:val="nil"/>
              <w:right w:val="nil"/>
            </w:tcBorders>
          </w:tcPr>
          <w:p w14:paraId="6AA74CA4" w14:textId="77777777" w:rsidR="007049A5" w:rsidRPr="004E4188" w:rsidRDefault="007049A5" w:rsidP="006C6267">
            <w:pPr>
              <w:suppressAutoHyphens w:val="0"/>
              <w:spacing w:after="200"/>
              <w:ind w:left="601" w:hanging="601"/>
            </w:pPr>
            <w:r w:rsidRPr="004E4188">
              <w:rPr>
                <w:rStyle w:val="StyleHeader2-SubClausesBoldChar"/>
                <w:b w:val="0"/>
                <w:lang w:val="fr-FR"/>
              </w:rPr>
              <w:t>30.7</w:t>
            </w:r>
            <w:r w:rsidRPr="004E4188">
              <w:rPr>
                <w:rStyle w:val="StyleHeader2-SubClausesBoldChar"/>
                <w:b w:val="0"/>
                <w:lang w:val="fr-FR"/>
              </w:rPr>
              <w:tab/>
            </w:r>
            <w:r w:rsidRPr="004E4188">
              <w:rPr>
                <w:rStyle w:val="StyleHeader2-SubClausesBoldChar"/>
                <w:lang w:val="fr-FR"/>
              </w:rPr>
              <w:t>S</w:t>
            </w:r>
            <w:r w:rsidRPr="004E4188">
              <w:rPr>
                <w:b/>
              </w:rPr>
              <w:t xml:space="preserve">auf indication contraire dans les DP </w:t>
            </w:r>
            <w:r w:rsidRPr="004E4188">
              <w:t>et l’annexe correspondante de l’Acte d’engagement et/ou les Conditions du Marché, les taux et prix indiqués par le Soumissionnaire seront révisables durant l’exécution du Marché, conformément aux dispositions correspondantes du March</w:t>
            </w:r>
            <w:r w:rsidRPr="004E4188">
              <w:rPr>
                <w:rFonts w:eastAsia="SimSun"/>
              </w:rPr>
              <w:t>é</w:t>
            </w:r>
            <w:r w:rsidRPr="004E4188">
              <w:t>. Le Soumissionnaire devra fournir dans le Bordereau des donnée</w:t>
            </w:r>
            <w:r w:rsidRPr="004E4188">
              <w:rPr>
                <w:rFonts w:hint="eastAsia"/>
                <w:lang w:eastAsia="ja-JP"/>
              </w:rPr>
              <w:t>s de</w:t>
            </w:r>
            <w:r w:rsidRPr="004E4188">
              <w:t xml:space="preserve"> révision des prix les indices et/ou paramètres retenus pour les formules de révision des prix. Le Maître d’ouvrage pourra exiger que le Soumissionnaire justifie les indices et paramètres qu’il propose.</w:t>
            </w:r>
          </w:p>
        </w:tc>
      </w:tr>
      <w:tr w:rsidR="007049A5" w:rsidRPr="004E4188" w:rsidDel="004A0315" w14:paraId="6F3CBE07" w14:textId="77777777" w:rsidTr="0092765E">
        <w:tc>
          <w:tcPr>
            <w:tcW w:w="2268" w:type="dxa"/>
            <w:tcBorders>
              <w:top w:val="nil"/>
              <w:left w:val="nil"/>
              <w:bottom w:val="nil"/>
              <w:right w:val="nil"/>
            </w:tcBorders>
          </w:tcPr>
          <w:p w14:paraId="7CBE63FE" w14:textId="77777777" w:rsidR="007049A5" w:rsidRPr="004E4188" w:rsidRDefault="007049A5" w:rsidP="006C6267">
            <w:pPr>
              <w:numPr>
                <w:ilvl w:val="12"/>
                <w:numId w:val="0"/>
              </w:numPr>
            </w:pPr>
          </w:p>
        </w:tc>
        <w:tc>
          <w:tcPr>
            <w:tcW w:w="7023" w:type="dxa"/>
            <w:tcBorders>
              <w:top w:val="nil"/>
              <w:left w:val="nil"/>
              <w:bottom w:val="nil"/>
              <w:right w:val="nil"/>
            </w:tcBorders>
          </w:tcPr>
          <w:p w14:paraId="2F0F0B99" w14:textId="1091EEF8" w:rsidR="007049A5" w:rsidRPr="004E4188" w:rsidDel="004A0315" w:rsidRDefault="007049A5" w:rsidP="006C6267">
            <w:pPr>
              <w:suppressAutoHyphens w:val="0"/>
              <w:spacing w:after="200"/>
              <w:ind w:left="601" w:hanging="601"/>
            </w:pPr>
            <w:r w:rsidRPr="004E4188">
              <w:t>30.8</w:t>
            </w:r>
            <w:r w:rsidRPr="004E4188">
              <w:rPr>
                <w:lang w:eastAsia="ja-JP"/>
              </w:rPr>
              <w:tab/>
            </w:r>
            <w:r w:rsidRPr="004E4188">
              <w:rPr>
                <w:b/>
              </w:rPr>
              <w:t>L’Article 1.1 des DP indique</w:t>
            </w:r>
            <w:r w:rsidRPr="004E4188">
              <w:t xml:space="preserve"> si l’appel d’offres est lancé pour des lots multiples. Les Soumissionnaires désirant offrir tout</w:t>
            </w:r>
            <w:r w:rsidR="00EB42D8" w:rsidRPr="004E4188">
              <w:t xml:space="preserve"> </w:t>
            </w:r>
            <w:r w:rsidRPr="004E4188">
              <w:t xml:space="preserve">rabais en cas d’attribution de plusieurs lots spécifieront dans leur Lettre de soumission de l’offre de la </w:t>
            </w:r>
            <w:r w:rsidRPr="004E4188">
              <w:rPr>
                <w:rFonts w:cs="HBKMBP+TimesNewRoman"/>
                <w:color w:val="000000"/>
                <w:szCs w:val="24"/>
              </w:rPr>
              <w:t>deuxième</w:t>
            </w:r>
            <w:r w:rsidRPr="004E4188">
              <w:t xml:space="preserve"> étape les rabais qui s’appliquent lors de cette attribution. Les rabais proposés seront présentés conformément à IS</w:t>
            </w:r>
            <w:r w:rsidR="002E39CE" w:rsidRPr="004E4188">
              <w:t> </w:t>
            </w:r>
            <w:r w:rsidRPr="004E4188">
              <w:t>30.6, à la condition toutefois que les offres pour l’ensemble des lots soient ouvertes en même temps.</w:t>
            </w:r>
          </w:p>
        </w:tc>
      </w:tr>
      <w:tr w:rsidR="007049A5" w:rsidRPr="004E4188" w:rsidDel="002E68D4" w14:paraId="20D09A2A" w14:textId="77777777" w:rsidTr="0092765E">
        <w:tc>
          <w:tcPr>
            <w:tcW w:w="2268" w:type="dxa"/>
            <w:tcBorders>
              <w:top w:val="nil"/>
              <w:left w:val="nil"/>
              <w:bottom w:val="nil"/>
              <w:right w:val="nil"/>
            </w:tcBorders>
          </w:tcPr>
          <w:p w14:paraId="7E765B78" w14:textId="77777777" w:rsidR="007049A5" w:rsidRPr="004E4188" w:rsidDel="002E68D4" w:rsidRDefault="007049A5" w:rsidP="006C6267">
            <w:pPr>
              <w:numPr>
                <w:ilvl w:val="12"/>
                <w:numId w:val="0"/>
              </w:numPr>
            </w:pPr>
          </w:p>
        </w:tc>
        <w:tc>
          <w:tcPr>
            <w:tcW w:w="7023" w:type="dxa"/>
            <w:tcBorders>
              <w:top w:val="nil"/>
              <w:left w:val="nil"/>
              <w:bottom w:val="nil"/>
              <w:right w:val="nil"/>
            </w:tcBorders>
          </w:tcPr>
          <w:p w14:paraId="1DA0119E" w14:textId="5926CF9D" w:rsidR="007049A5" w:rsidRPr="004E4188" w:rsidDel="002E68D4" w:rsidRDefault="007049A5" w:rsidP="009F59B5">
            <w:pPr>
              <w:suppressAutoHyphens w:val="0"/>
              <w:spacing w:after="200"/>
              <w:ind w:left="601" w:hanging="601"/>
            </w:pPr>
            <w:r w:rsidRPr="004E4188">
              <w:t>30.9</w:t>
            </w:r>
            <w:r w:rsidRPr="004E4188">
              <w:tab/>
            </w:r>
            <w:r w:rsidRPr="004E4188">
              <w:rPr>
                <w:b/>
                <w:lang w:eastAsia="ja-JP"/>
              </w:rPr>
              <w:t>S</w:t>
            </w:r>
            <w:r w:rsidRPr="004E4188">
              <w:rPr>
                <w:b/>
              </w:rPr>
              <w:t>auf indication contraire dans les DP</w:t>
            </w:r>
            <w:r w:rsidRPr="004E4188">
              <w:t>, tous les droits, taxes et autres prélèvements payables par l’Entrepreneur au titre du Marché</w:t>
            </w:r>
            <w:r w:rsidRPr="004E4188">
              <w:rPr>
                <w:rFonts w:hint="eastAsia"/>
              </w:rPr>
              <w:t>,</w:t>
            </w:r>
            <w:r w:rsidRPr="004E4188">
              <w:t xml:space="preserve"> ou à tout autre titre, à la Date de référence seront réputés inclus dans les taux et prix et dans le montant total de l’</w:t>
            </w:r>
            <w:r w:rsidR="009F59B5" w:rsidRPr="004E4188">
              <w:t>offre</w:t>
            </w:r>
            <w:r w:rsidRPr="004E4188">
              <w:t xml:space="preserve"> présentée par le Soumissionnaire.</w:t>
            </w:r>
          </w:p>
        </w:tc>
      </w:tr>
      <w:tr w:rsidR="007049A5" w:rsidRPr="004E4188" w:rsidDel="002E68D4" w14:paraId="759A624D" w14:textId="77777777" w:rsidTr="0092765E">
        <w:tc>
          <w:tcPr>
            <w:tcW w:w="2268" w:type="dxa"/>
            <w:tcBorders>
              <w:top w:val="nil"/>
              <w:left w:val="nil"/>
              <w:bottom w:val="nil"/>
              <w:right w:val="nil"/>
            </w:tcBorders>
          </w:tcPr>
          <w:p w14:paraId="7DB706D5" w14:textId="77777777" w:rsidR="007049A5" w:rsidRPr="004E4188" w:rsidDel="002E68D4" w:rsidRDefault="007049A5" w:rsidP="006C6267">
            <w:pPr>
              <w:numPr>
                <w:ilvl w:val="12"/>
                <w:numId w:val="0"/>
              </w:numPr>
            </w:pPr>
          </w:p>
        </w:tc>
        <w:tc>
          <w:tcPr>
            <w:tcW w:w="7023" w:type="dxa"/>
            <w:tcBorders>
              <w:top w:val="nil"/>
              <w:left w:val="nil"/>
              <w:bottom w:val="nil"/>
              <w:right w:val="nil"/>
            </w:tcBorders>
          </w:tcPr>
          <w:p w14:paraId="718E27D1" w14:textId="6B618228" w:rsidR="007049A5" w:rsidRPr="004E4188" w:rsidDel="002E68D4" w:rsidRDefault="007049A5" w:rsidP="006C6267">
            <w:pPr>
              <w:suppressAutoHyphens w:val="0"/>
              <w:spacing w:after="200"/>
              <w:ind w:left="601" w:hanging="601"/>
            </w:pPr>
            <w:r w:rsidRPr="004E4188">
              <w:t>30.10</w:t>
            </w:r>
            <w:r w:rsidRPr="004E4188">
              <w:tab/>
              <w:t xml:space="preserve">Le </w:t>
            </w:r>
            <w:r w:rsidRPr="004E4188">
              <w:rPr>
                <w:bCs/>
                <w:lang w:eastAsia="en-US"/>
              </w:rPr>
              <w:t>montant exact et la monnaie des sommes provisionnelles de nature spécifique et des provisions pour risque, le cas échéant, doivent être</w:t>
            </w:r>
            <w:r w:rsidRPr="004E4188">
              <w:t xml:space="preserve"> indiqués dans les Bordereaux des prix </w:t>
            </w:r>
            <w:r w:rsidRPr="004E4188">
              <w:rPr>
                <w:b/>
              </w:rPr>
              <w:t>comme</w:t>
            </w:r>
            <w:r w:rsidRPr="004E4188">
              <w:rPr>
                <w:bCs/>
                <w:lang w:eastAsia="en-US"/>
              </w:rPr>
              <w:t xml:space="preserve"> </w:t>
            </w:r>
            <w:r w:rsidRPr="004E4188">
              <w:rPr>
                <w:b/>
                <w:szCs w:val="24"/>
                <w:lang w:eastAsia="en-US"/>
              </w:rPr>
              <w:t>spécifié dans les DP</w:t>
            </w:r>
            <w:r w:rsidRPr="004E4188">
              <w:rPr>
                <w:lang w:eastAsia="en-US"/>
              </w:rPr>
              <w:t>. L</w:t>
            </w:r>
            <w:r w:rsidRPr="004E4188">
              <w:rPr>
                <w:szCs w:val="24"/>
                <w:lang w:eastAsia="en-US"/>
              </w:rPr>
              <w:t xml:space="preserve">es Soumissionnaires doivent avoir connaissance des dispositions énoncées à l’Article </w:t>
            </w:r>
            <w:r w:rsidRPr="004E4188">
              <w:rPr>
                <w:szCs w:val="24"/>
                <w:lang w:eastAsia="ja-JP"/>
              </w:rPr>
              <w:t>39.4</w:t>
            </w:r>
            <w:r w:rsidRPr="004E4188">
              <w:rPr>
                <w:szCs w:val="24"/>
                <w:lang w:eastAsia="en-US"/>
              </w:rPr>
              <w:t xml:space="preserve"> des Conditions du Marché</w:t>
            </w:r>
            <w:r w:rsidRPr="004E4188">
              <w:rPr>
                <w:lang w:eastAsia="en-US"/>
              </w:rPr>
              <w:t>.</w:t>
            </w:r>
          </w:p>
        </w:tc>
      </w:tr>
      <w:tr w:rsidR="007049A5" w:rsidRPr="004E4188" w14:paraId="451249A2" w14:textId="77777777" w:rsidTr="0092765E">
        <w:tc>
          <w:tcPr>
            <w:tcW w:w="2268" w:type="dxa"/>
            <w:tcBorders>
              <w:top w:val="nil"/>
              <w:left w:val="nil"/>
              <w:bottom w:val="nil"/>
              <w:right w:val="nil"/>
            </w:tcBorders>
          </w:tcPr>
          <w:p w14:paraId="3EBA1B09" w14:textId="5E3482DB" w:rsidR="007049A5" w:rsidRPr="004E4188" w:rsidRDefault="007049A5" w:rsidP="0092765E">
            <w:pPr>
              <w:pStyle w:val="Header1-Clauses"/>
              <w:ind w:left="357" w:hanging="357"/>
              <w:rPr>
                <w:lang w:val="fr-FR"/>
              </w:rPr>
            </w:pPr>
            <w:bookmarkStart w:id="403" w:name="_Toc104195593"/>
            <w:r w:rsidRPr="004E4188">
              <w:rPr>
                <w:lang w:val="fr-FR"/>
              </w:rPr>
              <w:t>31.</w:t>
            </w:r>
            <w:r w:rsidRPr="004E4188">
              <w:rPr>
                <w:lang w:val="fr-FR"/>
              </w:rPr>
              <w:tab/>
              <w:t>Monnaies de l’offre et de règlement</w:t>
            </w:r>
            <w:bookmarkEnd w:id="403"/>
          </w:p>
        </w:tc>
        <w:tc>
          <w:tcPr>
            <w:tcW w:w="7023" w:type="dxa"/>
            <w:tcBorders>
              <w:top w:val="nil"/>
              <w:left w:val="nil"/>
              <w:bottom w:val="nil"/>
              <w:right w:val="nil"/>
            </w:tcBorders>
          </w:tcPr>
          <w:p w14:paraId="04ABF3E0" w14:textId="2E8E4245" w:rsidR="007049A5" w:rsidRPr="004E4188" w:rsidRDefault="007049A5" w:rsidP="006C6267">
            <w:pPr>
              <w:suppressAutoHyphens w:val="0"/>
              <w:spacing w:after="200"/>
              <w:ind w:left="601" w:hanging="601"/>
            </w:pPr>
            <w:r w:rsidRPr="004E4188">
              <w:rPr>
                <w:lang w:eastAsia="ja-JP"/>
              </w:rPr>
              <w:t>31.1</w:t>
            </w:r>
            <w:r w:rsidRPr="004E4188">
              <w:rPr>
                <w:lang w:eastAsia="ja-JP"/>
              </w:rPr>
              <w:tab/>
            </w:r>
            <w:r w:rsidRPr="004E4188">
              <w:t xml:space="preserve">Les monnaies de l’offre doivent être celles </w:t>
            </w:r>
            <w:r w:rsidRPr="004E4188">
              <w:rPr>
                <w:b/>
              </w:rPr>
              <w:t>indiquées dans les DP</w:t>
            </w:r>
            <w:r w:rsidRPr="004E4188">
              <w:t>. Le règlement du Montant du Marché sera effectué dans la(les) monnaie(s) dans laquelle(lesquelles) le Montant de l’offre est indiqué dans l’offre du Soumissionnaire retenu.</w:t>
            </w:r>
          </w:p>
          <w:p w14:paraId="53B7966A" w14:textId="5EDBC6B3" w:rsidR="007049A5" w:rsidRPr="004E4188" w:rsidRDefault="007049A5" w:rsidP="009C79F0">
            <w:pPr>
              <w:suppressAutoHyphens w:val="0"/>
              <w:spacing w:after="200"/>
              <w:ind w:left="601" w:hanging="601"/>
            </w:pPr>
            <w:r w:rsidRPr="004E4188">
              <w:t>31.2</w:t>
            </w:r>
            <w:r w:rsidRPr="004E4188">
              <w:rPr>
                <w:lang w:eastAsia="ja-JP"/>
              </w:rPr>
              <w:tab/>
            </w:r>
            <w:r w:rsidRPr="004E4188">
              <w:t>Le Maître d’ouvrage peut demander au Soumissionnaire d’expliquer, de façon satisfaisante pour le Maître d’ouvrage, la répartition des montants indiqués en monnaies nationale et étrangères et de justifier que les montants des prix unitaires et totaux indiqués dans le Bordereau des données de révision des prix, sont raisonnables.</w:t>
            </w:r>
          </w:p>
        </w:tc>
      </w:tr>
      <w:tr w:rsidR="007049A5" w:rsidRPr="004E4188" w14:paraId="5148D0B4" w14:textId="77777777" w:rsidTr="0092765E">
        <w:trPr>
          <w:trHeight w:val="1530"/>
        </w:trPr>
        <w:tc>
          <w:tcPr>
            <w:tcW w:w="2268" w:type="dxa"/>
            <w:tcBorders>
              <w:top w:val="nil"/>
              <w:left w:val="nil"/>
              <w:bottom w:val="nil"/>
              <w:right w:val="nil"/>
            </w:tcBorders>
          </w:tcPr>
          <w:p w14:paraId="699F9F9F" w14:textId="042DAE74" w:rsidR="007049A5" w:rsidRPr="004E4188" w:rsidRDefault="007049A5" w:rsidP="0092765E">
            <w:pPr>
              <w:pStyle w:val="Header1-Clauses"/>
              <w:ind w:left="357" w:hanging="357"/>
              <w:rPr>
                <w:lang w:val="fr-FR"/>
              </w:rPr>
            </w:pPr>
            <w:bookmarkStart w:id="404" w:name="_Toc104195594"/>
            <w:r w:rsidRPr="004E4188">
              <w:rPr>
                <w:lang w:val="fr-FR"/>
              </w:rPr>
              <w:t>32.</w:t>
            </w:r>
            <w:r w:rsidRPr="004E4188">
              <w:rPr>
                <w:lang w:val="fr-FR"/>
              </w:rPr>
              <w:tab/>
              <w:t>Période de validité des offres</w:t>
            </w:r>
            <w:bookmarkEnd w:id="404"/>
            <w:r w:rsidR="00556D19" w:rsidRPr="004E4188">
              <w:rPr>
                <w:lang w:val="fr-FR"/>
              </w:rPr>
              <w:t xml:space="preserve"> de la deuxième étape</w:t>
            </w:r>
          </w:p>
        </w:tc>
        <w:tc>
          <w:tcPr>
            <w:tcW w:w="7023" w:type="dxa"/>
            <w:tcBorders>
              <w:top w:val="nil"/>
              <w:left w:val="nil"/>
              <w:bottom w:val="nil"/>
              <w:right w:val="nil"/>
            </w:tcBorders>
          </w:tcPr>
          <w:p w14:paraId="2BBB7373" w14:textId="4F3D7F71" w:rsidR="007049A5" w:rsidRPr="004E4188" w:rsidRDefault="007049A5" w:rsidP="002319BA">
            <w:pPr>
              <w:suppressAutoHyphens w:val="0"/>
              <w:spacing w:after="200"/>
              <w:ind w:left="601" w:hanging="601"/>
            </w:pPr>
            <w:r w:rsidRPr="004E4188">
              <w:t>32.1</w:t>
            </w:r>
            <w:r w:rsidRPr="004E4188">
              <w:tab/>
              <w:t xml:space="preserve">Les offres de la deuxième étape resteront valides pour la période </w:t>
            </w:r>
            <w:r w:rsidRPr="004E4188">
              <w:rPr>
                <w:b/>
              </w:rPr>
              <w:t>spécifiée dans les DP</w:t>
            </w:r>
            <w:r w:rsidRPr="004E4188">
              <w:t xml:space="preserve"> qui court à partir de la date limite de remise des offres de la deuxième étape fixée par le Maître d’ouvrage conformément à IS 36.1. Une offre valide pour une période plus courte sera considérée comme non conforme et rejetée par le Maître d’ouvrage.</w:t>
            </w:r>
          </w:p>
        </w:tc>
      </w:tr>
      <w:tr w:rsidR="007049A5" w:rsidRPr="004E4188" w14:paraId="0AC92A9A" w14:textId="77777777" w:rsidTr="0092765E">
        <w:tc>
          <w:tcPr>
            <w:tcW w:w="2268" w:type="dxa"/>
            <w:tcBorders>
              <w:top w:val="nil"/>
              <w:left w:val="nil"/>
              <w:bottom w:val="nil"/>
              <w:right w:val="nil"/>
            </w:tcBorders>
          </w:tcPr>
          <w:p w14:paraId="717B5FA1" w14:textId="77777777" w:rsidR="007049A5" w:rsidRPr="004E4188" w:rsidRDefault="007049A5" w:rsidP="006C6267"/>
        </w:tc>
        <w:tc>
          <w:tcPr>
            <w:tcW w:w="7023" w:type="dxa"/>
            <w:tcBorders>
              <w:top w:val="nil"/>
              <w:left w:val="nil"/>
              <w:bottom w:val="nil"/>
              <w:right w:val="nil"/>
            </w:tcBorders>
          </w:tcPr>
          <w:p w14:paraId="2510A651" w14:textId="4334938A" w:rsidR="007049A5" w:rsidRPr="004E4188" w:rsidRDefault="007049A5" w:rsidP="006C6267">
            <w:pPr>
              <w:suppressAutoHyphens w:val="0"/>
              <w:spacing w:after="200"/>
              <w:ind w:left="601" w:hanging="601"/>
            </w:pPr>
            <w:r w:rsidRPr="004E4188">
              <w:rPr>
                <w:spacing w:val="-4"/>
              </w:rPr>
              <w:t>32.2</w:t>
            </w:r>
            <w:r w:rsidRPr="004E4188">
              <w:rPr>
                <w:spacing w:val="-4"/>
              </w:rPr>
              <w:tab/>
              <w:t>E</w:t>
            </w:r>
            <w:r w:rsidRPr="004E4188">
              <w:t xml:space="preserve">xceptionnellement, avant l’expiration de la période de validité des offres de la deuxième étape, le Maître d’ouvrage peut demander aux Soumissionnaires de proroger la durée de validité de leur offre de la deuxième étape. La demande et les réponses seront formulées par écrit. La validité de la garantie de soumission sera également prolongée pour une durée de vingt-huit (28) jours au-delà de la date limite prorogée de validité des offres. Un Soumissionnaire peut refuser de proroger la validité de son offre sans que sa garantie de soumission ne soit saisie. Un Soumissionnaire qui consent à cette prorogation ne se verra pas demander de modifier son offre, ni ne sera autorisé à le faire, sous réserve des dispositions de IS 32.3. </w:t>
            </w:r>
          </w:p>
        </w:tc>
      </w:tr>
      <w:tr w:rsidR="007049A5" w:rsidRPr="004E4188" w14:paraId="719F5E8A" w14:textId="77777777" w:rsidTr="0092765E">
        <w:tc>
          <w:tcPr>
            <w:tcW w:w="2268" w:type="dxa"/>
            <w:tcBorders>
              <w:top w:val="nil"/>
              <w:left w:val="nil"/>
              <w:bottom w:val="nil"/>
              <w:right w:val="nil"/>
            </w:tcBorders>
          </w:tcPr>
          <w:p w14:paraId="6273F9C2" w14:textId="77777777" w:rsidR="007049A5" w:rsidRPr="004E4188" w:rsidRDefault="007049A5" w:rsidP="006C6267"/>
        </w:tc>
        <w:tc>
          <w:tcPr>
            <w:tcW w:w="7023" w:type="dxa"/>
            <w:tcBorders>
              <w:top w:val="nil"/>
              <w:left w:val="nil"/>
              <w:bottom w:val="nil"/>
              <w:right w:val="nil"/>
            </w:tcBorders>
          </w:tcPr>
          <w:p w14:paraId="164180F0" w14:textId="530CE71B" w:rsidR="007049A5" w:rsidRPr="004E4188" w:rsidRDefault="007049A5" w:rsidP="006C6267">
            <w:pPr>
              <w:suppressAutoHyphens w:val="0"/>
              <w:spacing w:after="200"/>
              <w:ind w:left="601" w:hanging="601"/>
            </w:pPr>
            <w:r w:rsidRPr="004E4188">
              <w:t>32.3</w:t>
            </w:r>
            <w:r w:rsidRPr="004E4188">
              <w:tab/>
              <w:t xml:space="preserve">Si l’attribution du Marché est retardée de plus de cinquante-six (56) jours au-delà du délai initial </w:t>
            </w:r>
            <w:r w:rsidRPr="004E4188">
              <w:rPr>
                <w:szCs w:val="24"/>
              </w:rPr>
              <w:t>d’expiration de la</w:t>
            </w:r>
            <w:r w:rsidRPr="004E4188">
              <w:t xml:space="preserve"> validité des offres, le Montant du Marché sera actualisé comme suit : </w:t>
            </w:r>
          </w:p>
          <w:p w14:paraId="69FC3B85" w14:textId="77777777" w:rsidR="007049A5" w:rsidRPr="004E4188" w:rsidRDefault="007049A5" w:rsidP="006C6267">
            <w:pPr>
              <w:spacing w:after="200"/>
              <w:ind w:left="1026" w:hanging="425"/>
              <w:rPr>
                <w:b/>
                <w:sz w:val="28"/>
              </w:rPr>
            </w:pPr>
            <w:r w:rsidRPr="004E4188">
              <w:t>(a)</w:t>
            </w:r>
            <w:r w:rsidRPr="004E4188">
              <w:tab/>
            </w:r>
            <w:r w:rsidRPr="004E4188">
              <w:rPr>
                <w:rFonts w:cs="HBKMBP+TimesNewRoman"/>
                <w:color w:val="000000"/>
                <w:szCs w:val="24"/>
              </w:rPr>
              <w:t>dans</w:t>
            </w:r>
            <w:r w:rsidRPr="004E4188">
              <w:t xml:space="preserve"> le cas d’un marché à prix ferme, le Montant du Marché sera égal au Montant de l’offre actualisé par le facteur </w:t>
            </w:r>
            <w:r w:rsidRPr="004E4188">
              <w:rPr>
                <w:b/>
              </w:rPr>
              <w:t>spécifié dans les DP</w:t>
            </w:r>
            <w:r w:rsidRPr="004E4188">
              <w:t xml:space="preserve"> ; </w:t>
            </w:r>
          </w:p>
          <w:p w14:paraId="0C845056" w14:textId="590E892C" w:rsidR="007049A5" w:rsidRPr="004E4188" w:rsidRDefault="007049A5" w:rsidP="006C6267">
            <w:pPr>
              <w:spacing w:after="200"/>
              <w:ind w:left="1026" w:hanging="425"/>
              <w:rPr>
                <w:i/>
                <w:sz w:val="20"/>
                <w:lang w:eastAsia="ja-JP"/>
              </w:rPr>
            </w:pPr>
            <w:r w:rsidRPr="004E4188">
              <w:t>(b)</w:t>
            </w:r>
            <w:r w:rsidRPr="004E4188">
              <w:tab/>
            </w:r>
            <w:r w:rsidRPr="004E4188">
              <w:rPr>
                <w:rFonts w:cs="HBKMBP+TimesNewRoman"/>
                <w:color w:val="000000"/>
                <w:szCs w:val="24"/>
              </w:rPr>
              <w:t>dans</w:t>
            </w:r>
            <w:r w:rsidRPr="004E4188">
              <w:t xml:space="preserve"> le cas d’un marché à prix révisable, le Montant du Marché sera le Montant de l’offre.</w:t>
            </w:r>
          </w:p>
          <w:p w14:paraId="4B0A9FC0" w14:textId="77777777" w:rsidR="007049A5" w:rsidRPr="004E4188" w:rsidRDefault="007049A5" w:rsidP="006C6267">
            <w:pPr>
              <w:spacing w:after="200"/>
              <w:ind w:left="601"/>
              <w:rPr>
                <w:b/>
                <w:sz w:val="28"/>
                <w:lang w:eastAsia="ja-JP"/>
              </w:rPr>
            </w:pPr>
            <w:r w:rsidRPr="004E4188">
              <w:t>Dans tous les cas, les offres seront évaluées sur la base du Montant des offres sans prendre en considération l’actualisation susmentionnée.</w:t>
            </w:r>
          </w:p>
        </w:tc>
      </w:tr>
      <w:tr w:rsidR="007049A5" w:rsidRPr="004E4188" w14:paraId="37AC359A" w14:textId="77777777" w:rsidTr="0092765E">
        <w:trPr>
          <w:trHeight w:val="1080"/>
        </w:trPr>
        <w:tc>
          <w:tcPr>
            <w:tcW w:w="2268" w:type="dxa"/>
            <w:tcBorders>
              <w:top w:val="nil"/>
              <w:left w:val="nil"/>
              <w:bottom w:val="nil"/>
              <w:right w:val="nil"/>
            </w:tcBorders>
          </w:tcPr>
          <w:p w14:paraId="09FAD384" w14:textId="5646F5EE" w:rsidR="007049A5" w:rsidRPr="004E4188" w:rsidRDefault="007049A5" w:rsidP="0092765E">
            <w:pPr>
              <w:pStyle w:val="Header1-Clauses"/>
              <w:ind w:left="357" w:hanging="357"/>
              <w:rPr>
                <w:lang w:val="fr-FR"/>
              </w:rPr>
            </w:pPr>
            <w:bookmarkStart w:id="405" w:name="_Toc104195595"/>
            <w:r w:rsidRPr="004E4188">
              <w:rPr>
                <w:lang w:val="fr-FR"/>
              </w:rPr>
              <w:t>33.</w:t>
            </w:r>
            <w:r w:rsidRPr="004E4188">
              <w:rPr>
                <w:lang w:val="fr-FR"/>
              </w:rPr>
              <w:tab/>
              <w:t>Garantie de soumission</w:t>
            </w:r>
            <w:bookmarkEnd w:id="405"/>
          </w:p>
        </w:tc>
        <w:tc>
          <w:tcPr>
            <w:tcW w:w="7023" w:type="dxa"/>
            <w:tcBorders>
              <w:top w:val="nil"/>
              <w:left w:val="nil"/>
              <w:bottom w:val="nil"/>
              <w:right w:val="nil"/>
            </w:tcBorders>
          </w:tcPr>
          <w:p w14:paraId="76911A55" w14:textId="621ADE58" w:rsidR="007049A5" w:rsidRPr="004E4188" w:rsidRDefault="007049A5" w:rsidP="006C6267">
            <w:pPr>
              <w:suppressAutoHyphens w:val="0"/>
              <w:spacing w:after="200"/>
              <w:ind w:left="601" w:hanging="601"/>
            </w:pPr>
            <w:r w:rsidRPr="004E4188">
              <w:t>33.1</w:t>
            </w:r>
            <w:r w:rsidRPr="004E4188">
              <w:tab/>
              <w:t xml:space="preserve">Le Soumissionnaire doit fournir, en tant que partie intégrante de son offre de la deuxième étape, une garantie de soumission dont le montant et la monnaie de libellé sont </w:t>
            </w:r>
            <w:r w:rsidRPr="004E4188">
              <w:rPr>
                <w:b/>
              </w:rPr>
              <w:t>indiqués dans les DP</w:t>
            </w:r>
            <w:r w:rsidRPr="004E4188">
              <w:t>.</w:t>
            </w:r>
          </w:p>
        </w:tc>
      </w:tr>
      <w:tr w:rsidR="007049A5" w:rsidRPr="004E4188" w14:paraId="000C8AE5" w14:textId="77777777" w:rsidTr="0092765E">
        <w:trPr>
          <w:trHeight w:val="630"/>
        </w:trPr>
        <w:tc>
          <w:tcPr>
            <w:tcW w:w="2268" w:type="dxa"/>
            <w:tcBorders>
              <w:top w:val="nil"/>
              <w:left w:val="nil"/>
              <w:bottom w:val="nil"/>
              <w:right w:val="nil"/>
            </w:tcBorders>
          </w:tcPr>
          <w:p w14:paraId="64911F33" w14:textId="77777777" w:rsidR="007049A5" w:rsidRPr="004E4188" w:rsidRDefault="007049A5" w:rsidP="006C6267"/>
        </w:tc>
        <w:tc>
          <w:tcPr>
            <w:tcW w:w="7023" w:type="dxa"/>
            <w:tcBorders>
              <w:top w:val="nil"/>
              <w:left w:val="nil"/>
              <w:bottom w:val="nil"/>
              <w:right w:val="nil"/>
            </w:tcBorders>
          </w:tcPr>
          <w:p w14:paraId="2E66C198" w14:textId="5045E640" w:rsidR="007049A5" w:rsidRPr="004E4188" w:rsidRDefault="007049A5" w:rsidP="006C6267">
            <w:pPr>
              <w:suppressAutoHyphens w:val="0"/>
              <w:spacing w:after="200"/>
              <w:ind w:left="601" w:hanging="601"/>
            </w:pPr>
            <w:r w:rsidRPr="004E4188">
              <w:t>33.2</w:t>
            </w:r>
            <w:r w:rsidRPr="004E4188">
              <w:tab/>
              <w:t>La garantie de soumission doit être, au choix du Soumissionnaire, une garantie à première demande sous l’une des formes ci-après :</w:t>
            </w:r>
          </w:p>
          <w:p w14:paraId="371DA46F" w14:textId="3283B017" w:rsidR="007049A5" w:rsidRPr="004E4188" w:rsidRDefault="007049A5" w:rsidP="006C6267">
            <w:pPr>
              <w:spacing w:after="200"/>
              <w:ind w:left="1026" w:hanging="425"/>
            </w:pPr>
            <w:r w:rsidRPr="004E4188">
              <w:t>(a)</w:t>
            </w:r>
            <w:r w:rsidRPr="004E4188">
              <w:rPr>
                <w:lang w:eastAsia="ja-JP"/>
              </w:rPr>
              <w:tab/>
            </w:r>
            <w:r w:rsidRPr="004E4188">
              <w:t>une garantie inconditionnelle émise par une banque ou un</w:t>
            </w:r>
            <w:r w:rsidRPr="004E4188">
              <w:rPr>
                <w:lang w:eastAsia="ja-JP"/>
              </w:rPr>
              <w:t xml:space="preserve"> </w:t>
            </w:r>
            <w:r w:rsidRPr="004E4188">
              <w:t>organisme financier non bancaire (tel qu’une compagnie d’assurances ou une société de cautionnement)</w:t>
            </w:r>
            <w:r w:rsidR="00FE70C3" w:rsidRPr="004E4188">
              <w:t> </w:t>
            </w:r>
            <w:r w:rsidRPr="004E4188">
              <w:t xml:space="preserve">; </w:t>
            </w:r>
          </w:p>
          <w:p w14:paraId="073A035B" w14:textId="77777777" w:rsidR="007049A5" w:rsidRPr="004E4188" w:rsidRDefault="007049A5" w:rsidP="006C6267">
            <w:pPr>
              <w:spacing w:after="200"/>
              <w:ind w:left="1026" w:hanging="425"/>
            </w:pPr>
            <w:r w:rsidRPr="004E4188">
              <w:t>(b)</w:t>
            </w:r>
            <w:r w:rsidRPr="004E4188">
              <w:tab/>
              <w:t xml:space="preserve">une lettre de crédit stand-by irrévocable ; </w:t>
            </w:r>
          </w:p>
          <w:p w14:paraId="579F630B" w14:textId="77777777" w:rsidR="007049A5" w:rsidRPr="004E4188" w:rsidRDefault="007049A5" w:rsidP="006C6267">
            <w:pPr>
              <w:spacing w:after="200"/>
              <w:ind w:left="1026" w:hanging="425"/>
            </w:pPr>
            <w:r w:rsidRPr="004E4188">
              <w:t>(c)</w:t>
            </w:r>
            <w:r w:rsidRPr="004E4188">
              <w:tab/>
              <w:t>un chèque de banque ou un chèque certifié ; ou</w:t>
            </w:r>
          </w:p>
          <w:p w14:paraId="18A7848D" w14:textId="77777777" w:rsidR="007049A5" w:rsidRPr="004E4188" w:rsidRDefault="007049A5" w:rsidP="006C6267">
            <w:pPr>
              <w:spacing w:after="200"/>
              <w:ind w:left="1026" w:hanging="425"/>
            </w:pPr>
            <w:r w:rsidRPr="004E4188">
              <w:t>(d)</w:t>
            </w:r>
            <w:r w:rsidRPr="004E4188">
              <w:tab/>
              <w:t xml:space="preserve">toute autre garantie </w:t>
            </w:r>
            <w:r w:rsidRPr="004E4188">
              <w:rPr>
                <w:b/>
              </w:rPr>
              <w:t>mentionnée dans les DP</w:t>
            </w:r>
            <w:r w:rsidRPr="004E4188">
              <w:t>.</w:t>
            </w:r>
          </w:p>
          <w:p w14:paraId="6D94C9BF" w14:textId="6FFBBC79" w:rsidR="007049A5" w:rsidRPr="004E4188" w:rsidRDefault="007049A5" w:rsidP="006C6267">
            <w:pPr>
              <w:tabs>
                <w:tab w:val="left" w:pos="1453"/>
              </w:tabs>
              <w:spacing w:after="200"/>
              <w:ind w:left="601"/>
            </w:pPr>
            <w:r w:rsidRPr="004E4188">
              <w:t>Cette garantie sera émise par une source reconnue. Si la garantie est émise par un organisme financier non bancaire installé en dehors du pays du Maître d’ouvrage, l’organisme d’émission devra avoir un organisme financier correspondant dans le pays du Maître d’ouvrage afin d’en permettre l’exécution. Dans le cas d’une garantie bancaire, elle sera remise, soit en utilisant le formulaire de garantie de soumission figurant à la Section IV, Formulaires de soumission, ou sous une autre forme substantiellement similaire, ayant été approuvée par le Maître d’ouvrage préalablement à la remise des offres. Dans tous les cas, la garantie de soumission doit comporter l’identification complète du Soumissionnaire. La garantie de soumission doit rester valide vingt-huit (28) jours au-delà de la date d’expiration de la validité initiale des offres</w:t>
            </w:r>
            <w:r w:rsidRPr="004E4188">
              <w:rPr>
                <w:rFonts w:hint="eastAsia"/>
              </w:rPr>
              <w:t xml:space="preserve"> de la deuxiè</w:t>
            </w:r>
            <w:r w:rsidRPr="004E4188">
              <w:t>me étape ou au-delà de la date d’expiration de la validité prorogée, le cas échéant, conformément à IS 32.2.</w:t>
            </w:r>
          </w:p>
        </w:tc>
      </w:tr>
      <w:tr w:rsidR="007049A5" w:rsidRPr="004E4188" w14:paraId="67CFC79D" w14:textId="77777777" w:rsidTr="0092765E">
        <w:trPr>
          <w:trHeight w:val="1082"/>
        </w:trPr>
        <w:tc>
          <w:tcPr>
            <w:tcW w:w="2268" w:type="dxa"/>
            <w:tcBorders>
              <w:top w:val="nil"/>
              <w:left w:val="nil"/>
              <w:bottom w:val="nil"/>
              <w:right w:val="nil"/>
            </w:tcBorders>
          </w:tcPr>
          <w:p w14:paraId="7C3912E2" w14:textId="77777777" w:rsidR="007049A5" w:rsidRPr="004E4188" w:rsidRDefault="007049A5" w:rsidP="006C6267"/>
        </w:tc>
        <w:tc>
          <w:tcPr>
            <w:tcW w:w="7023" w:type="dxa"/>
            <w:tcBorders>
              <w:top w:val="nil"/>
              <w:left w:val="nil"/>
              <w:bottom w:val="nil"/>
              <w:right w:val="nil"/>
            </w:tcBorders>
          </w:tcPr>
          <w:p w14:paraId="349661F0" w14:textId="277A6625" w:rsidR="007049A5" w:rsidRPr="004E4188" w:rsidRDefault="007049A5" w:rsidP="006C6267">
            <w:pPr>
              <w:suppressAutoHyphens w:val="0"/>
              <w:spacing w:after="200"/>
              <w:ind w:left="601" w:hanging="601"/>
            </w:pPr>
            <w:r w:rsidRPr="004E4188">
              <w:t>33.3</w:t>
            </w:r>
            <w:r w:rsidRPr="004E4188">
              <w:tab/>
              <w:t xml:space="preserve">Toute offre non accompagnée d’une garantie substantiellement conforme sera rejetée par le Maître d’ouvrage comme étant non conforme. </w:t>
            </w:r>
          </w:p>
          <w:p w14:paraId="083802CA" w14:textId="1E720DC4" w:rsidR="007049A5" w:rsidRPr="004E4188" w:rsidRDefault="007049A5" w:rsidP="006C6267">
            <w:pPr>
              <w:suppressAutoHyphens w:val="0"/>
              <w:spacing w:after="200"/>
              <w:ind w:left="601" w:hanging="601"/>
            </w:pPr>
            <w:r w:rsidRPr="004E4188">
              <w:t>33.4</w:t>
            </w:r>
            <w:r w:rsidRPr="004E4188">
              <w:tab/>
              <w:t>Les garanties de soumission des Soumissionnaires non retenus leur seront restituées le plus rapidement possible dès que le Soumissionnaire retenu aura signé le Marché et fourni la garantie de bonne exécution, conformément à IS 54.</w:t>
            </w:r>
          </w:p>
        </w:tc>
      </w:tr>
      <w:tr w:rsidR="007049A5" w:rsidRPr="004E4188" w14:paraId="6DDE6210" w14:textId="77777777" w:rsidTr="0092765E">
        <w:trPr>
          <w:trHeight w:val="709"/>
        </w:trPr>
        <w:tc>
          <w:tcPr>
            <w:tcW w:w="2268" w:type="dxa"/>
            <w:tcBorders>
              <w:top w:val="nil"/>
              <w:left w:val="nil"/>
              <w:bottom w:val="nil"/>
              <w:right w:val="nil"/>
            </w:tcBorders>
          </w:tcPr>
          <w:p w14:paraId="2929AFC6" w14:textId="77777777" w:rsidR="007049A5" w:rsidRPr="004E4188" w:rsidRDefault="007049A5" w:rsidP="006C6267"/>
        </w:tc>
        <w:tc>
          <w:tcPr>
            <w:tcW w:w="7023" w:type="dxa"/>
            <w:tcBorders>
              <w:top w:val="nil"/>
              <w:left w:val="nil"/>
              <w:bottom w:val="nil"/>
              <w:right w:val="nil"/>
            </w:tcBorders>
          </w:tcPr>
          <w:p w14:paraId="3F48FB52" w14:textId="1886E4B5" w:rsidR="007049A5" w:rsidRPr="004E4188" w:rsidRDefault="007049A5" w:rsidP="006C6267">
            <w:pPr>
              <w:suppressAutoHyphens w:val="0"/>
              <w:spacing w:after="200"/>
              <w:ind w:left="601" w:hanging="601"/>
            </w:pPr>
            <w:r w:rsidRPr="004E4188">
              <w:t>33.5</w:t>
            </w:r>
            <w:r w:rsidRPr="004E4188">
              <w:tab/>
              <w:t xml:space="preserve">La garantie de soumission du Soumissionnaire retenu lui sera restituée </w:t>
            </w:r>
            <w:r w:rsidRPr="004E4188">
              <w:rPr>
                <w:szCs w:val="24"/>
              </w:rPr>
              <w:t>le plus rapidement possible</w:t>
            </w:r>
            <w:r w:rsidRPr="004E4188">
              <w:t xml:space="preserve"> après la signature du Marché et contre remise de la garantie de bonne exécution requise.</w:t>
            </w:r>
          </w:p>
        </w:tc>
      </w:tr>
      <w:tr w:rsidR="007049A5" w:rsidRPr="004E4188" w14:paraId="671033A9" w14:textId="77777777" w:rsidTr="0092765E">
        <w:tc>
          <w:tcPr>
            <w:tcW w:w="2268" w:type="dxa"/>
            <w:tcBorders>
              <w:top w:val="nil"/>
              <w:left w:val="nil"/>
              <w:bottom w:val="nil"/>
              <w:right w:val="nil"/>
            </w:tcBorders>
          </w:tcPr>
          <w:p w14:paraId="0764E186" w14:textId="77777777" w:rsidR="007049A5" w:rsidRPr="004E4188" w:rsidRDefault="007049A5" w:rsidP="006C6267"/>
        </w:tc>
        <w:tc>
          <w:tcPr>
            <w:tcW w:w="7023" w:type="dxa"/>
            <w:tcBorders>
              <w:top w:val="nil"/>
              <w:left w:val="nil"/>
              <w:bottom w:val="nil"/>
              <w:right w:val="nil"/>
            </w:tcBorders>
          </w:tcPr>
          <w:p w14:paraId="442C7FC3" w14:textId="0A00B8B1" w:rsidR="007049A5" w:rsidRPr="004E4188" w:rsidRDefault="007049A5" w:rsidP="006C6267">
            <w:pPr>
              <w:suppressAutoHyphens w:val="0"/>
              <w:spacing w:after="200"/>
              <w:ind w:left="601" w:hanging="601"/>
            </w:pPr>
            <w:r w:rsidRPr="004E4188">
              <w:t>33.6</w:t>
            </w:r>
            <w:r w:rsidRPr="004E4188">
              <w:tab/>
              <w:t xml:space="preserve">La garantie de soumission peut être saisie : </w:t>
            </w:r>
          </w:p>
          <w:p w14:paraId="7A2E2A83" w14:textId="225A4A72" w:rsidR="007049A5" w:rsidRPr="004E4188" w:rsidRDefault="007049A5" w:rsidP="006C6267">
            <w:pPr>
              <w:spacing w:after="200"/>
              <w:ind w:left="1026" w:hanging="425"/>
            </w:pPr>
            <w:r w:rsidRPr="004E4188">
              <w:t>(a)</w:t>
            </w:r>
            <w:r w:rsidRPr="004E4188">
              <w:rPr>
                <w:lang w:eastAsia="ja-JP"/>
              </w:rPr>
              <w:tab/>
            </w:r>
            <w:r w:rsidRPr="004E4188">
              <w:t>si le Soumissionnaire retire son offre pendant la période de validité qu’il aura spécifiée dans la Lettre de soumission de l’offre de la deuxième étape, ou toute prorogation de celle-ci acceptée par le Soumissionnaire</w:t>
            </w:r>
            <w:r w:rsidR="00FE70C3" w:rsidRPr="004E4188">
              <w:t> </w:t>
            </w:r>
            <w:r w:rsidRPr="004E4188">
              <w:t>; ou</w:t>
            </w:r>
          </w:p>
          <w:p w14:paraId="5821D927" w14:textId="77777777" w:rsidR="007049A5" w:rsidRPr="004E4188" w:rsidRDefault="007049A5" w:rsidP="006C6267">
            <w:pPr>
              <w:spacing w:after="200"/>
              <w:ind w:left="1026" w:hanging="425"/>
            </w:pPr>
            <w:r w:rsidRPr="004E4188">
              <w:t>(b)</w:t>
            </w:r>
            <w:r w:rsidRPr="004E4188">
              <w:rPr>
                <w:lang w:eastAsia="ja-JP"/>
              </w:rPr>
              <w:tab/>
            </w:r>
            <w:r w:rsidRPr="004E4188">
              <w:t>si le Soumissionnaire retenu :</w:t>
            </w:r>
          </w:p>
          <w:p w14:paraId="259486DC" w14:textId="58BA15F9" w:rsidR="007049A5" w:rsidRPr="004E4188" w:rsidRDefault="007049A5" w:rsidP="006C6267">
            <w:pPr>
              <w:suppressAutoHyphens w:val="0"/>
              <w:spacing w:after="200"/>
              <w:ind w:left="1451" w:hanging="425"/>
            </w:pPr>
            <w:r w:rsidRPr="004E4188">
              <w:rPr>
                <w:lang w:eastAsia="ja-JP"/>
              </w:rPr>
              <w:t>(i)</w:t>
            </w:r>
            <w:r w:rsidRPr="004E4188">
              <w:rPr>
                <w:lang w:eastAsia="ja-JP"/>
              </w:rPr>
              <w:tab/>
            </w:r>
            <w:r w:rsidRPr="004E4188">
              <w:t xml:space="preserve">ne signe pas le Marché, conformément à IS 53 ; ou </w:t>
            </w:r>
          </w:p>
          <w:p w14:paraId="4E0669A8" w14:textId="75E9C9B8" w:rsidR="007049A5" w:rsidRPr="004E4188" w:rsidRDefault="007049A5" w:rsidP="006C6267">
            <w:pPr>
              <w:suppressAutoHyphens w:val="0"/>
              <w:spacing w:after="200"/>
              <w:ind w:left="1451" w:hanging="425"/>
            </w:pPr>
            <w:r w:rsidRPr="004E4188">
              <w:rPr>
                <w:lang w:eastAsia="ja-JP"/>
              </w:rPr>
              <w:t>(ii)</w:t>
            </w:r>
            <w:r w:rsidRPr="004E4188">
              <w:rPr>
                <w:lang w:eastAsia="ja-JP"/>
              </w:rPr>
              <w:tab/>
            </w:r>
            <w:r w:rsidRPr="004E4188">
              <w:t>ne fournit pas la garantie de bonne exécution, conformément à IS 54.</w:t>
            </w:r>
          </w:p>
        </w:tc>
      </w:tr>
      <w:tr w:rsidR="007049A5" w:rsidRPr="004E4188" w14:paraId="6F91E41E" w14:textId="77777777" w:rsidTr="0092765E">
        <w:tc>
          <w:tcPr>
            <w:tcW w:w="2268" w:type="dxa"/>
            <w:tcBorders>
              <w:top w:val="nil"/>
              <w:left w:val="nil"/>
              <w:bottom w:val="nil"/>
              <w:right w:val="nil"/>
            </w:tcBorders>
          </w:tcPr>
          <w:p w14:paraId="739ACE3B" w14:textId="77777777" w:rsidR="007049A5" w:rsidRPr="004E4188" w:rsidRDefault="007049A5" w:rsidP="006C6267">
            <w:pPr>
              <w:pStyle w:val="Outline"/>
              <w:spacing w:before="0"/>
              <w:rPr>
                <w:kern w:val="0"/>
              </w:rPr>
            </w:pPr>
          </w:p>
        </w:tc>
        <w:tc>
          <w:tcPr>
            <w:tcW w:w="7023" w:type="dxa"/>
            <w:tcBorders>
              <w:top w:val="nil"/>
              <w:left w:val="nil"/>
              <w:bottom w:val="nil"/>
              <w:right w:val="nil"/>
            </w:tcBorders>
          </w:tcPr>
          <w:p w14:paraId="14E6A698" w14:textId="40F7B1EC" w:rsidR="007049A5" w:rsidRPr="004E4188" w:rsidRDefault="007049A5" w:rsidP="00F00235">
            <w:pPr>
              <w:suppressAutoHyphens w:val="0"/>
              <w:spacing w:after="200"/>
              <w:ind w:left="601" w:hanging="601"/>
            </w:pPr>
            <w:r w:rsidRPr="004E4188">
              <w:t>33.7</w:t>
            </w:r>
            <w:r w:rsidRPr="004E4188">
              <w:tab/>
              <w:t>La garantie de soumission d’un Groupement doit être au nom du Groupement qui a soumis l’offre. Si le Groupement n’est pas formellement constitué au moment de l’appel d’offres de la deuxième étape, la garantie de soumission doit être au nom de tous les futurs membres du Groupement, tels qu</w:t>
            </w:r>
            <w:r w:rsidR="00F00235" w:rsidRPr="004E4188">
              <w:t>’ils sont</w:t>
            </w:r>
            <w:r w:rsidRPr="004E4188">
              <w:t xml:space="preserve"> désignés dans la lettre d’intention de former un Groupement mentionnée à IS</w:t>
            </w:r>
            <w:r w:rsidR="00783E41" w:rsidRPr="004E4188">
              <w:t> </w:t>
            </w:r>
            <w:r w:rsidRPr="004E4188">
              <w:t>4.1.</w:t>
            </w:r>
          </w:p>
        </w:tc>
      </w:tr>
      <w:tr w:rsidR="007049A5" w:rsidRPr="004E4188" w14:paraId="53EAE14B" w14:textId="77777777" w:rsidTr="0092765E">
        <w:tc>
          <w:tcPr>
            <w:tcW w:w="2268" w:type="dxa"/>
            <w:tcBorders>
              <w:top w:val="nil"/>
              <w:left w:val="nil"/>
              <w:bottom w:val="nil"/>
              <w:right w:val="nil"/>
            </w:tcBorders>
          </w:tcPr>
          <w:p w14:paraId="4AE93701" w14:textId="1B4818DA" w:rsidR="007049A5" w:rsidRPr="004E4188" w:rsidRDefault="007049A5" w:rsidP="0092765E">
            <w:pPr>
              <w:pStyle w:val="Header1-Clauses"/>
              <w:ind w:left="357" w:hanging="357"/>
              <w:rPr>
                <w:lang w:val="fr-FR"/>
              </w:rPr>
            </w:pPr>
            <w:bookmarkStart w:id="406" w:name="_Toc104195596"/>
            <w:r w:rsidRPr="004E4188">
              <w:rPr>
                <w:lang w:val="fr-FR"/>
              </w:rPr>
              <w:t>34.</w:t>
            </w:r>
            <w:r w:rsidRPr="004E4188">
              <w:rPr>
                <w:lang w:val="fr-FR"/>
              </w:rPr>
              <w:tab/>
              <w:t>Forme et signature de l’offre de la deuxième étape</w:t>
            </w:r>
            <w:bookmarkEnd w:id="406"/>
          </w:p>
        </w:tc>
        <w:tc>
          <w:tcPr>
            <w:tcW w:w="7023" w:type="dxa"/>
            <w:tcBorders>
              <w:top w:val="nil"/>
              <w:left w:val="nil"/>
              <w:bottom w:val="nil"/>
              <w:right w:val="nil"/>
            </w:tcBorders>
          </w:tcPr>
          <w:p w14:paraId="6FEFEE9D" w14:textId="2D13FDF6" w:rsidR="007049A5" w:rsidRPr="004E4188" w:rsidRDefault="007049A5" w:rsidP="006C6267">
            <w:pPr>
              <w:pStyle w:val="OptB-S1-subpara"/>
              <w:tabs>
                <w:tab w:val="clear" w:pos="718"/>
              </w:tabs>
              <w:ind w:left="578" w:hanging="578"/>
              <w:rPr>
                <w:lang w:val="fr-FR"/>
              </w:rPr>
            </w:pPr>
            <w:r w:rsidRPr="004E4188">
              <w:rPr>
                <w:lang w:val="fr-FR"/>
              </w:rPr>
              <w:t>34.1</w:t>
            </w:r>
            <w:r w:rsidRPr="004E4188">
              <w:rPr>
                <w:lang w:val="fr-FR"/>
              </w:rPr>
              <w:tab/>
              <w:t>Le Soumissionnaire préparera un original de l’offre de la deuxième étape comprenant les documents décrits à IS 28, en indiquant clairement la mention « </w:t>
            </w:r>
            <w:r w:rsidRPr="004E4188">
              <w:rPr>
                <w:smallCaps/>
                <w:spacing w:val="-4"/>
                <w:lang w:val="fr-FR"/>
              </w:rPr>
              <w:t xml:space="preserve">Offre de la Deuxième Étape </w:t>
            </w:r>
            <w:r w:rsidR="00783E41" w:rsidRPr="004E4188">
              <w:rPr>
                <w:smallCaps/>
                <w:spacing w:val="-4"/>
                <w:lang w:val="fr-FR"/>
              </w:rPr>
              <w:t>-</w:t>
            </w:r>
            <w:r w:rsidRPr="004E4188">
              <w:rPr>
                <w:smallCaps/>
                <w:spacing w:val="-4"/>
                <w:lang w:val="fr-FR"/>
              </w:rPr>
              <w:t xml:space="preserve"> Original</w:t>
            </w:r>
            <w:r w:rsidR="00FE70C3" w:rsidRPr="004E4188">
              <w:rPr>
                <w:lang w:val="fr-FR"/>
              </w:rPr>
              <w:t> </w:t>
            </w:r>
            <w:r w:rsidRPr="004E4188">
              <w:rPr>
                <w:lang w:val="fr-FR"/>
              </w:rPr>
              <w:t xml:space="preserve">». </w:t>
            </w:r>
          </w:p>
          <w:p w14:paraId="62A1E14A" w14:textId="7971762F" w:rsidR="007049A5" w:rsidRPr="004E4188" w:rsidRDefault="007049A5" w:rsidP="006C6267">
            <w:pPr>
              <w:pStyle w:val="OptB-S1-subpara"/>
              <w:tabs>
                <w:tab w:val="clear" w:pos="718"/>
              </w:tabs>
              <w:ind w:leftChars="250" w:left="600" w:firstLine="0"/>
              <w:rPr>
                <w:lang w:val="fr-FR"/>
              </w:rPr>
            </w:pPr>
            <w:r w:rsidRPr="004E4188">
              <w:rPr>
                <w:lang w:val="fr-FR"/>
              </w:rPr>
              <w:t xml:space="preserve">Par ailleurs, le Soumissionnaire remettra le nombre d’exemplaires supplémentaires de l’offre de la deuxième étape </w:t>
            </w:r>
            <w:r w:rsidRPr="004E4188">
              <w:rPr>
                <w:b/>
                <w:lang w:val="fr-FR"/>
              </w:rPr>
              <w:t>indiqué dans les DP</w:t>
            </w:r>
            <w:r w:rsidRPr="004E4188">
              <w:rPr>
                <w:lang w:val="fr-FR"/>
              </w:rPr>
              <w:t>, en mentionnant clairement sur ces exemplaires « </w:t>
            </w:r>
            <w:r w:rsidRPr="004E4188">
              <w:rPr>
                <w:smallCaps/>
                <w:spacing w:val="-4"/>
                <w:lang w:val="fr-FR"/>
              </w:rPr>
              <w:t xml:space="preserve">Offre de la Deuxième </w:t>
            </w:r>
            <w:r w:rsidR="00B61C05" w:rsidRPr="004E4188">
              <w:rPr>
                <w:smallCaps/>
                <w:spacing w:val="-4"/>
                <w:lang w:val="fr-FR"/>
              </w:rPr>
              <w:t>É</w:t>
            </w:r>
            <w:r w:rsidRPr="004E4188">
              <w:rPr>
                <w:smallCaps/>
                <w:spacing w:val="-4"/>
                <w:lang w:val="fr-FR"/>
              </w:rPr>
              <w:t xml:space="preserve">tape </w:t>
            </w:r>
            <w:r w:rsidR="00783E41" w:rsidRPr="004E4188">
              <w:rPr>
                <w:smallCaps/>
                <w:spacing w:val="-4"/>
                <w:lang w:val="fr-FR"/>
              </w:rPr>
              <w:t>-</w:t>
            </w:r>
            <w:r w:rsidRPr="004E4188">
              <w:rPr>
                <w:smallCaps/>
                <w:spacing w:val="-4"/>
                <w:lang w:val="fr-FR"/>
              </w:rPr>
              <w:t xml:space="preserve"> Copie</w:t>
            </w:r>
            <w:r w:rsidRPr="004E4188">
              <w:rPr>
                <w:lang w:val="fr-FR"/>
              </w:rPr>
              <w:t xml:space="preserve"> ». </w:t>
            </w:r>
          </w:p>
          <w:p w14:paraId="774CAF38" w14:textId="77777777" w:rsidR="007049A5" w:rsidRPr="004E4188" w:rsidRDefault="007049A5" w:rsidP="006C6267">
            <w:pPr>
              <w:pStyle w:val="OptB-S1-subpara"/>
              <w:tabs>
                <w:tab w:val="clear" w:pos="718"/>
              </w:tabs>
              <w:ind w:leftChars="250" w:left="600" w:firstLine="0"/>
              <w:rPr>
                <w:lang w:val="fr-FR"/>
              </w:rPr>
            </w:pPr>
            <w:r w:rsidRPr="004E4188">
              <w:rPr>
                <w:lang w:val="fr-FR"/>
              </w:rPr>
              <w:t>En cas de différence entre les copies et l’original, l’original fera foi.</w:t>
            </w:r>
          </w:p>
        </w:tc>
      </w:tr>
      <w:tr w:rsidR="007049A5" w:rsidRPr="004E4188" w14:paraId="2C91390C" w14:textId="77777777" w:rsidTr="0092765E">
        <w:trPr>
          <w:trHeight w:val="567"/>
        </w:trPr>
        <w:tc>
          <w:tcPr>
            <w:tcW w:w="2268" w:type="dxa"/>
            <w:tcBorders>
              <w:top w:val="nil"/>
              <w:left w:val="nil"/>
              <w:bottom w:val="nil"/>
              <w:right w:val="nil"/>
            </w:tcBorders>
          </w:tcPr>
          <w:p w14:paraId="74D1CE17" w14:textId="77777777" w:rsidR="007049A5" w:rsidRPr="004E4188" w:rsidRDefault="007049A5" w:rsidP="006C6267"/>
        </w:tc>
        <w:tc>
          <w:tcPr>
            <w:tcW w:w="7023" w:type="dxa"/>
            <w:tcBorders>
              <w:top w:val="nil"/>
              <w:left w:val="nil"/>
              <w:bottom w:val="nil"/>
              <w:right w:val="nil"/>
            </w:tcBorders>
          </w:tcPr>
          <w:p w14:paraId="2FDC2C03" w14:textId="0ED44AC0" w:rsidR="007049A5" w:rsidRPr="004E4188" w:rsidRDefault="007049A5" w:rsidP="006C6267">
            <w:pPr>
              <w:suppressAutoHyphens w:val="0"/>
              <w:spacing w:after="200"/>
              <w:ind w:left="601" w:hanging="601"/>
            </w:pPr>
            <w:r w:rsidRPr="004E4188">
              <w:t>34.2</w:t>
            </w:r>
            <w:r w:rsidRPr="004E4188">
              <w:tab/>
              <w:t>L’original de l’offre de la deuxième étape ser</w:t>
            </w:r>
            <w:r w:rsidRPr="004E4188">
              <w:rPr>
                <w:rFonts w:hint="eastAsia"/>
              </w:rPr>
              <w:t>a</w:t>
            </w:r>
            <w:r w:rsidRPr="004E4188">
              <w:t xml:space="preserve"> dactylographié ou écrit à l’encre indélébile et sera signé par une personne dûment habilitée à le faire au nom du Soumissionnaire. Cette habilitation </w:t>
            </w:r>
            <w:r w:rsidRPr="004E4188">
              <w:rPr>
                <w:szCs w:val="24"/>
              </w:rPr>
              <w:t>consistera en une procuration</w:t>
            </w:r>
            <w:r w:rsidRPr="004E4188">
              <w:t xml:space="preserve"> jointe à l’offre de la deuxième étape. Toutes les pages de l’offre de la deuxième étape sur lesquelles des renseignements ont été donnés ou des modifications ont été apportées doivent être signées ou paraphées par la personne signataire de l’offre de la deuxième étape.</w:t>
            </w:r>
          </w:p>
        </w:tc>
      </w:tr>
      <w:tr w:rsidR="007049A5" w:rsidRPr="004E4188" w14:paraId="3EF52D43" w14:textId="77777777" w:rsidTr="0092765E">
        <w:tc>
          <w:tcPr>
            <w:tcW w:w="2268" w:type="dxa"/>
            <w:tcBorders>
              <w:top w:val="nil"/>
              <w:left w:val="nil"/>
              <w:bottom w:val="nil"/>
              <w:right w:val="nil"/>
            </w:tcBorders>
          </w:tcPr>
          <w:p w14:paraId="5A463F8C" w14:textId="77777777" w:rsidR="007049A5" w:rsidRPr="004E4188" w:rsidRDefault="007049A5" w:rsidP="006C6267"/>
        </w:tc>
        <w:tc>
          <w:tcPr>
            <w:tcW w:w="7023" w:type="dxa"/>
            <w:tcBorders>
              <w:top w:val="nil"/>
              <w:left w:val="nil"/>
              <w:bottom w:val="nil"/>
              <w:right w:val="nil"/>
            </w:tcBorders>
          </w:tcPr>
          <w:p w14:paraId="5400D4EB" w14:textId="32D14A8A" w:rsidR="007049A5" w:rsidRPr="004E4188" w:rsidRDefault="007049A5" w:rsidP="006C6267">
            <w:pPr>
              <w:suppressAutoHyphens w:val="0"/>
              <w:spacing w:after="200"/>
              <w:ind w:left="601" w:hanging="601"/>
            </w:pPr>
            <w:r w:rsidRPr="004E4188">
              <w:t>34.3</w:t>
            </w:r>
            <w:r w:rsidRPr="004E4188">
              <w:tab/>
              <w:t>Une offre soumise par un Groupement doit être signée par un représentant habilité du Groupement et accompagnée de la procuration de chacun des membres du Groupement attestant que ce représentant est habilité à signer en leur nom et</w:t>
            </w:r>
            <w:r w:rsidRPr="004E4188" w:rsidDel="00646DCD">
              <w:t xml:space="preserve"> </w:t>
            </w:r>
            <w:r w:rsidRPr="004E4188">
              <w:t>afin d’être juridiquement contraignante pour tous les membres. Cette habilitation doit également être donnée par une personne dûment autorisée pour agir pour le compte de chaque membre et être attesté</w:t>
            </w:r>
            <w:r w:rsidRPr="004E4188">
              <w:rPr>
                <w:rFonts w:hint="eastAsia"/>
                <w:lang w:eastAsia="ja-JP"/>
              </w:rPr>
              <w:t>e</w:t>
            </w:r>
            <w:r w:rsidRPr="004E4188">
              <w:t xml:space="preserve"> par une procuration.</w:t>
            </w:r>
          </w:p>
        </w:tc>
      </w:tr>
      <w:tr w:rsidR="007049A5" w:rsidRPr="004E4188" w14:paraId="2FBB66BF" w14:textId="77777777" w:rsidTr="0092765E">
        <w:trPr>
          <w:trHeight w:val="799"/>
        </w:trPr>
        <w:tc>
          <w:tcPr>
            <w:tcW w:w="2268" w:type="dxa"/>
            <w:tcBorders>
              <w:top w:val="nil"/>
              <w:left w:val="nil"/>
              <w:bottom w:val="nil"/>
              <w:right w:val="nil"/>
            </w:tcBorders>
          </w:tcPr>
          <w:p w14:paraId="5ED640C6" w14:textId="77777777" w:rsidR="007049A5" w:rsidRPr="004E4188" w:rsidRDefault="007049A5" w:rsidP="006C6267"/>
        </w:tc>
        <w:tc>
          <w:tcPr>
            <w:tcW w:w="7023" w:type="dxa"/>
            <w:tcBorders>
              <w:top w:val="nil"/>
              <w:left w:val="nil"/>
              <w:bottom w:val="nil"/>
              <w:right w:val="nil"/>
            </w:tcBorders>
          </w:tcPr>
          <w:p w14:paraId="5C7FD92C" w14:textId="0FFD8B87" w:rsidR="007049A5" w:rsidRPr="004E4188" w:rsidRDefault="007049A5" w:rsidP="006C6267">
            <w:pPr>
              <w:suppressAutoHyphens w:val="0"/>
              <w:spacing w:after="200"/>
              <w:ind w:left="601" w:hanging="601"/>
            </w:pPr>
            <w:r w:rsidRPr="004E4188">
              <w:t>34.4</w:t>
            </w:r>
            <w:r w:rsidRPr="004E4188">
              <w:tab/>
              <w:t>Tout ajout entre les lignes, rature ou surcharge, ne sera valide que si signé ou paraphé par la personne signataire de l’offre de la deuxième étape.</w:t>
            </w:r>
          </w:p>
        </w:tc>
      </w:tr>
      <w:tr w:rsidR="007049A5" w:rsidRPr="004E4188" w14:paraId="5510EC19" w14:textId="77777777" w:rsidTr="0092765E">
        <w:trPr>
          <w:trHeight w:val="799"/>
        </w:trPr>
        <w:tc>
          <w:tcPr>
            <w:tcW w:w="2268" w:type="dxa"/>
            <w:tcBorders>
              <w:top w:val="nil"/>
              <w:left w:val="nil"/>
              <w:bottom w:val="nil"/>
              <w:right w:val="nil"/>
            </w:tcBorders>
          </w:tcPr>
          <w:p w14:paraId="4361673B" w14:textId="77777777" w:rsidR="007049A5" w:rsidRPr="004E4188" w:rsidRDefault="007049A5" w:rsidP="006C6267"/>
        </w:tc>
        <w:tc>
          <w:tcPr>
            <w:tcW w:w="7023" w:type="dxa"/>
            <w:tcBorders>
              <w:top w:val="nil"/>
              <w:left w:val="nil"/>
              <w:bottom w:val="nil"/>
              <w:right w:val="nil"/>
            </w:tcBorders>
          </w:tcPr>
          <w:p w14:paraId="0AC224F8" w14:textId="77777777" w:rsidR="007049A5" w:rsidRPr="004E4188" w:rsidRDefault="007049A5" w:rsidP="006C6267">
            <w:pPr>
              <w:suppressAutoHyphens w:val="0"/>
              <w:spacing w:after="200"/>
              <w:ind w:left="601" w:hanging="601"/>
            </w:pPr>
            <w:r w:rsidRPr="004E4188">
              <w:t>34.5</w:t>
            </w:r>
            <w:r w:rsidRPr="004E4188">
              <w:tab/>
            </w:r>
            <w:r w:rsidRPr="004E4188">
              <w:rPr>
                <w:spacing w:val="-2"/>
              </w:rPr>
              <w:t>Le Soumissionnaire devra clairement marquer « </w:t>
            </w:r>
            <w:r w:rsidRPr="004E4188">
              <w:rPr>
                <w:smallCaps/>
                <w:spacing w:val="-2"/>
                <w:szCs w:val="24"/>
                <w:lang w:eastAsia="ja-JP"/>
              </w:rPr>
              <w:t>Confidentie</w:t>
            </w:r>
            <w:r w:rsidRPr="004E4188">
              <w:rPr>
                <w:smallCaps/>
                <w:spacing w:val="-2"/>
              </w:rPr>
              <w:t>l</w:t>
            </w:r>
            <w:r w:rsidRPr="004E4188">
              <w:rPr>
                <w:spacing w:val="-2"/>
              </w:rPr>
              <w:t> » tout renseignement qu’il considère comme confidentiel pour son activité. Ceci pourra inclure des informations exclusives, des secrets commerciaux, ou des informations commerciales ou financières sensibles.</w:t>
            </w:r>
          </w:p>
        </w:tc>
      </w:tr>
      <w:tr w:rsidR="007049A5" w:rsidRPr="004E4188" w14:paraId="7EB07439" w14:textId="77777777" w:rsidTr="0092765E">
        <w:tc>
          <w:tcPr>
            <w:tcW w:w="9291" w:type="dxa"/>
            <w:gridSpan w:val="2"/>
            <w:tcBorders>
              <w:top w:val="nil"/>
              <w:left w:val="nil"/>
              <w:bottom w:val="nil"/>
              <w:right w:val="nil"/>
            </w:tcBorders>
          </w:tcPr>
          <w:p w14:paraId="2D85BD00" w14:textId="0E491D4E" w:rsidR="007049A5" w:rsidRPr="004E4188" w:rsidRDefault="007049A5" w:rsidP="006C6267">
            <w:pPr>
              <w:pStyle w:val="Section1Header1"/>
              <w:rPr>
                <w:szCs w:val="28"/>
                <w:lang w:eastAsia="ja-JP"/>
              </w:rPr>
            </w:pPr>
            <w:bookmarkStart w:id="407" w:name="_Toc104195597"/>
            <w:r w:rsidRPr="004E4188">
              <w:rPr>
                <w:szCs w:val="28"/>
                <w:lang w:eastAsia="ja-JP"/>
              </w:rPr>
              <w:t>E2. Offres de la deuxième étape : remise et ouverture</w:t>
            </w:r>
            <w:bookmarkEnd w:id="407"/>
          </w:p>
        </w:tc>
      </w:tr>
      <w:tr w:rsidR="007049A5" w:rsidRPr="004E4188" w14:paraId="33596D5A" w14:textId="77777777" w:rsidTr="0092765E">
        <w:tc>
          <w:tcPr>
            <w:tcW w:w="2268" w:type="dxa"/>
            <w:tcBorders>
              <w:top w:val="nil"/>
              <w:left w:val="nil"/>
              <w:bottom w:val="nil"/>
              <w:right w:val="nil"/>
            </w:tcBorders>
          </w:tcPr>
          <w:p w14:paraId="5267BCFF" w14:textId="6183DA21" w:rsidR="007049A5" w:rsidRPr="004E4188" w:rsidRDefault="007049A5" w:rsidP="0092765E">
            <w:pPr>
              <w:pStyle w:val="Header1-Clauses"/>
              <w:ind w:left="357" w:hanging="357"/>
              <w:rPr>
                <w:lang w:val="fr-FR"/>
              </w:rPr>
            </w:pPr>
            <w:bookmarkStart w:id="408" w:name="_Toc104195598"/>
            <w:r w:rsidRPr="004E4188">
              <w:rPr>
                <w:lang w:val="fr-FR"/>
              </w:rPr>
              <w:t>35.</w:t>
            </w:r>
            <w:r w:rsidRPr="004E4188">
              <w:rPr>
                <w:lang w:val="fr-FR"/>
              </w:rPr>
              <w:tab/>
              <w:t>Cachetage et marquage des offres de la deuxième étape</w:t>
            </w:r>
            <w:bookmarkEnd w:id="408"/>
          </w:p>
        </w:tc>
        <w:tc>
          <w:tcPr>
            <w:tcW w:w="7023" w:type="dxa"/>
            <w:tcBorders>
              <w:top w:val="nil"/>
              <w:left w:val="nil"/>
              <w:bottom w:val="nil"/>
              <w:right w:val="nil"/>
            </w:tcBorders>
          </w:tcPr>
          <w:p w14:paraId="1DEE8A22" w14:textId="4790C318" w:rsidR="007049A5" w:rsidRPr="004E4188" w:rsidRDefault="007049A5" w:rsidP="00195AE7">
            <w:pPr>
              <w:spacing w:after="200"/>
              <w:ind w:left="601" w:hanging="601"/>
            </w:pPr>
            <w:r w:rsidRPr="004E4188">
              <w:t>35.1</w:t>
            </w:r>
            <w:r w:rsidRPr="004E4188">
              <w:tab/>
              <w:t xml:space="preserve">Le Soumissionnaire placera : </w:t>
            </w:r>
          </w:p>
          <w:p w14:paraId="6335FE4F" w14:textId="699F9B46" w:rsidR="007049A5" w:rsidRPr="004E4188" w:rsidRDefault="007049A5" w:rsidP="00195AE7">
            <w:pPr>
              <w:tabs>
                <w:tab w:val="left" w:pos="1004"/>
              </w:tabs>
              <w:spacing w:after="200"/>
              <w:ind w:left="1026" w:hanging="425"/>
              <w:rPr>
                <w:lang w:eastAsia="ja-JP"/>
              </w:rPr>
            </w:pPr>
            <w:r w:rsidRPr="004E4188">
              <w:t>(a)</w:t>
            </w:r>
            <w:r w:rsidR="00195AE7" w:rsidRPr="004E4188">
              <w:rPr>
                <w:lang w:eastAsia="ja-JP"/>
              </w:rPr>
              <w:tab/>
            </w:r>
            <w:r w:rsidRPr="004E4188">
              <w:t>dans une enveloppe cachetée, portant la mention « </w:t>
            </w:r>
            <w:r w:rsidRPr="004E4188">
              <w:rPr>
                <w:smallCaps/>
                <w:spacing w:val="-4"/>
              </w:rPr>
              <w:t xml:space="preserve">Offre de la Deuxième Étape </w:t>
            </w:r>
            <w:r w:rsidR="00783E41" w:rsidRPr="004E4188">
              <w:rPr>
                <w:smallCaps/>
                <w:spacing w:val="-4"/>
              </w:rPr>
              <w:t>-</w:t>
            </w:r>
            <w:r w:rsidRPr="004E4188">
              <w:rPr>
                <w:smallCaps/>
                <w:spacing w:val="-4"/>
              </w:rPr>
              <w:t xml:space="preserve"> Original </w:t>
            </w:r>
            <w:r w:rsidRPr="004E4188">
              <w:t>»,</w:t>
            </w:r>
            <w:r w:rsidRPr="004E4188">
              <w:rPr>
                <w:szCs w:val="24"/>
                <w:lang w:eastAsia="en-US"/>
              </w:rPr>
              <w:t xml:space="preserve"> tous les documents constitutifs </w:t>
            </w:r>
            <w:r w:rsidRPr="004E4188">
              <w:rPr>
                <w:lang w:eastAsia="en-US"/>
              </w:rPr>
              <w:t>de l’offre de la deuxième étape</w:t>
            </w:r>
            <w:r w:rsidRPr="004E4188">
              <w:rPr>
                <w:szCs w:val="24"/>
                <w:lang w:eastAsia="en-US"/>
              </w:rPr>
              <w:t>, tels que décrits à IS 28.1 </w:t>
            </w:r>
            <w:r w:rsidRPr="004E4188">
              <w:rPr>
                <w:lang w:eastAsia="en-US"/>
              </w:rPr>
              <w:t>;</w:t>
            </w:r>
            <w:r w:rsidRPr="004E4188">
              <w:t xml:space="preserve"> et </w:t>
            </w:r>
          </w:p>
          <w:p w14:paraId="296A133D" w14:textId="5D20D33D" w:rsidR="007049A5" w:rsidRPr="004E4188" w:rsidRDefault="007049A5" w:rsidP="00195AE7">
            <w:pPr>
              <w:tabs>
                <w:tab w:val="left" w:pos="1004"/>
              </w:tabs>
              <w:spacing w:after="200"/>
              <w:ind w:left="1026" w:hanging="425"/>
            </w:pPr>
            <w:r w:rsidRPr="004E4188">
              <w:t>(b)</w:t>
            </w:r>
            <w:r w:rsidR="00195AE7" w:rsidRPr="004E4188">
              <w:rPr>
                <w:lang w:eastAsia="ja-JP"/>
              </w:rPr>
              <w:tab/>
            </w:r>
            <w:r w:rsidRPr="004E4188">
              <w:t>d</w:t>
            </w:r>
            <w:r w:rsidRPr="004E4188">
              <w:rPr>
                <w:szCs w:val="24"/>
              </w:rPr>
              <w:t>ans des enveloppes cachetées, portant la mention</w:t>
            </w:r>
            <w:r w:rsidRPr="004E4188">
              <w:t xml:space="preserve"> « </w:t>
            </w:r>
            <w:r w:rsidRPr="004E4188">
              <w:rPr>
                <w:smallCaps/>
                <w:spacing w:val="-4"/>
              </w:rPr>
              <w:t xml:space="preserve">Offre de la Deuxième Étape </w:t>
            </w:r>
            <w:r w:rsidR="00783E41" w:rsidRPr="004E4188">
              <w:rPr>
                <w:smallCaps/>
                <w:spacing w:val="-4"/>
              </w:rPr>
              <w:t>-</w:t>
            </w:r>
            <w:r w:rsidRPr="004E4188">
              <w:rPr>
                <w:smallCaps/>
                <w:spacing w:val="-4"/>
              </w:rPr>
              <w:t xml:space="preserve"> Copie</w:t>
            </w:r>
            <w:r w:rsidRPr="004E4188">
              <w:t> »,</w:t>
            </w:r>
            <w:r w:rsidR="002E2AE8" w:rsidRPr="004E4188">
              <w:t xml:space="preserve"> </w:t>
            </w:r>
            <w:r w:rsidRPr="004E4188">
              <w:t xml:space="preserve">toutes les copies </w:t>
            </w:r>
            <w:r w:rsidRPr="004E4188">
              <w:rPr>
                <w:szCs w:val="24"/>
              </w:rPr>
              <w:t xml:space="preserve">demandées de </w:t>
            </w:r>
            <w:r w:rsidRPr="004E4188">
              <w:t>l’offre de la deuxième étape</w:t>
            </w:r>
            <w:r w:rsidRPr="004E4188">
              <w:rPr>
                <w:szCs w:val="24"/>
              </w:rPr>
              <w:t>, numérotées de manière séquentielle</w:t>
            </w:r>
            <w:r w:rsidRPr="004E4188">
              <w:t>.</w:t>
            </w:r>
          </w:p>
          <w:p w14:paraId="6570CC45" w14:textId="77777777" w:rsidR="007049A5" w:rsidRPr="004E4188" w:rsidRDefault="007049A5" w:rsidP="00195AE7">
            <w:pPr>
              <w:pStyle w:val="OptB-S1-subpara"/>
              <w:tabs>
                <w:tab w:val="clear" w:pos="718"/>
              </w:tabs>
              <w:ind w:left="601" w:firstLine="0"/>
              <w:rPr>
                <w:lang w:val="fr-FR"/>
              </w:rPr>
            </w:pPr>
            <w:r w:rsidRPr="004E4188">
              <w:rPr>
                <w:lang w:val="fr-FR"/>
              </w:rPr>
              <w:t>T</w:t>
            </w:r>
            <w:r w:rsidRPr="004E4188">
              <w:rPr>
                <w:szCs w:val="24"/>
                <w:lang w:val="fr-FR"/>
              </w:rPr>
              <w:t>outes ces enveloppes (enveloppes intérieures) contenant les originaux et copies seront elles-mêmes placées dans une même enveloppe (enveloppe extérieure)</w:t>
            </w:r>
            <w:r w:rsidRPr="004E4188">
              <w:rPr>
                <w:lang w:val="fr-FR"/>
              </w:rPr>
              <w:t>.</w:t>
            </w:r>
          </w:p>
        </w:tc>
      </w:tr>
      <w:tr w:rsidR="007049A5" w:rsidRPr="004E4188" w14:paraId="5D3A01F7" w14:textId="77777777" w:rsidTr="0092765E">
        <w:tc>
          <w:tcPr>
            <w:tcW w:w="2268" w:type="dxa"/>
            <w:tcBorders>
              <w:top w:val="nil"/>
              <w:left w:val="nil"/>
              <w:bottom w:val="nil"/>
              <w:right w:val="nil"/>
            </w:tcBorders>
          </w:tcPr>
          <w:p w14:paraId="08C4D9F5" w14:textId="77777777" w:rsidR="007049A5" w:rsidRPr="004E4188" w:rsidRDefault="007049A5" w:rsidP="006C6267"/>
        </w:tc>
        <w:tc>
          <w:tcPr>
            <w:tcW w:w="7023" w:type="dxa"/>
            <w:tcBorders>
              <w:top w:val="nil"/>
              <w:left w:val="nil"/>
              <w:bottom w:val="nil"/>
              <w:right w:val="nil"/>
            </w:tcBorders>
          </w:tcPr>
          <w:p w14:paraId="02EA51B1" w14:textId="66A03D7C" w:rsidR="007049A5" w:rsidRPr="004E4188" w:rsidRDefault="007049A5" w:rsidP="006C6267">
            <w:pPr>
              <w:suppressAutoHyphens w:val="0"/>
              <w:spacing w:after="200"/>
              <w:ind w:left="601" w:hanging="601"/>
            </w:pPr>
            <w:r w:rsidRPr="004E4188">
              <w:t>35.2</w:t>
            </w:r>
            <w:r w:rsidRPr="004E4188">
              <w:tab/>
              <w:t>Les enveloppes intérieures et l’enveloppe extérieure devront :</w:t>
            </w:r>
          </w:p>
          <w:p w14:paraId="724CA3ED" w14:textId="2C63AFDD" w:rsidR="007049A5" w:rsidRPr="004E4188" w:rsidRDefault="007049A5" w:rsidP="006C6267">
            <w:pPr>
              <w:spacing w:after="200"/>
              <w:ind w:left="1026" w:hanging="425"/>
            </w:pPr>
            <w:r w:rsidRPr="004E4188">
              <w:t>(a)</w:t>
            </w:r>
            <w:r w:rsidRPr="004E4188">
              <w:rPr>
                <w:lang w:eastAsia="ja-JP"/>
              </w:rPr>
              <w:tab/>
            </w:r>
            <w:r w:rsidRPr="004E4188">
              <w:rPr>
                <w:bCs/>
              </w:rPr>
              <w:t>i</w:t>
            </w:r>
            <w:r w:rsidRPr="004E4188">
              <w:t>ndiquer clairement le nom et l’adresse du Soumissionnaire ;</w:t>
            </w:r>
          </w:p>
          <w:p w14:paraId="0139B6E3" w14:textId="6826EFB3" w:rsidR="007049A5" w:rsidRPr="004E4188" w:rsidRDefault="007049A5" w:rsidP="006C6267">
            <w:pPr>
              <w:spacing w:after="200"/>
              <w:ind w:left="1026" w:hanging="425"/>
            </w:pPr>
            <w:r w:rsidRPr="004E4188">
              <w:t>(b)</w:t>
            </w:r>
            <w:r w:rsidRPr="004E4188">
              <w:tab/>
              <w:t>être adressées au Maître d’ouvrage conformément à IS</w:t>
            </w:r>
            <w:r w:rsidR="002E2AE8" w:rsidRPr="004E4188">
              <w:t> </w:t>
            </w:r>
            <w:r w:rsidRPr="004E4188">
              <w:t>36.1 ;</w:t>
            </w:r>
          </w:p>
          <w:p w14:paraId="1E29C95B" w14:textId="77777777" w:rsidR="007049A5" w:rsidRPr="004E4188" w:rsidRDefault="007049A5" w:rsidP="006C6267">
            <w:pPr>
              <w:spacing w:after="200"/>
              <w:ind w:left="1026" w:hanging="425"/>
            </w:pPr>
            <w:r w:rsidRPr="004E4188">
              <w:t>(c)</w:t>
            </w:r>
            <w:r w:rsidRPr="004E4188">
              <w:tab/>
              <w:t xml:space="preserve">porter clairement l’identification spécifique de l’appel d’offres </w:t>
            </w:r>
            <w:r w:rsidRPr="004E4188">
              <w:rPr>
                <w:b/>
              </w:rPr>
              <w:t>donnée à l’Article 1.1 des DP</w:t>
            </w:r>
            <w:r w:rsidRPr="004E4188">
              <w:t> ; et</w:t>
            </w:r>
          </w:p>
          <w:p w14:paraId="441E65F3" w14:textId="323CC6D5" w:rsidR="007049A5" w:rsidRPr="004E4188" w:rsidRDefault="007049A5" w:rsidP="005F28D0">
            <w:pPr>
              <w:spacing w:after="200"/>
              <w:ind w:left="1026" w:hanging="425"/>
            </w:pPr>
            <w:r w:rsidRPr="004E4188">
              <w:t>(d)</w:t>
            </w:r>
            <w:r w:rsidRPr="004E4188">
              <w:tab/>
              <w:t>porter clairement la mention « N</w:t>
            </w:r>
            <w:r w:rsidRPr="004E4188">
              <w:rPr>
                <w:smallCaps/>
              </w:rPr>
              <w:t>e</w:t>
            </w:r>
            <w:r w:rsidRPr="004E4188">
              <w:t xml:space="preserve"> P</w:t>
            </w:r>
            <w:r w:rsidRPr="004E4188">
              <w:rPr>
                <w:smallCaps/>
              </w:rPr>
              <w:t>as</w:t>
            </w:r>
            <w:r w:rsidRPr="004E4188">
              <w:t xml:space="preserve"> O</w:t>
            </w:r>
            <w:r w:rsidRPr="004E4188">
              <w:rPr>
                <w:smallCaps/>
              </w:rPr>
              <w:t>uvrir</w:t>
            </w:r>
            <w:r w:rsidRPr="004E4188">
              <w:t xml:space="preserve"> A</w:t>
            </w:r>
            <w:r w:rsidRPr="004E4188">
              <w:rPr>
                <w:smallCaps/>
              </w:rPr>
              <w:t xml:space="preserve">vant </w:t>
            </w:r>
            <w:r w:rsidRPr="004E4188">
              <w:t>L</w:t>
            </w:r>
            <w:r w:rsidRPr="004E4188">
              <w:rPr>
                <w:smallCaps/>
              </w:rPr>
              <w:t>a</w:t>
            </w:r>
            <w:r w:rsidRPr="004E4188">
              <w:t xml:space="preserve"> D</w:t>
            </w:r>
            <w:r w:rsidRPr="004E4188">
              <w:rPr>
                <w:smallCaps/>
              </w:rPr>
              <w:t>ate</w:t>
            </w:r>
            <w:r w:rsidRPr="004E4188">
              <w:t xml:space="preserve"> E</w:t>
            </w:r>
            <w:r w:rsidRPr="004E4188">
              <w:rPr>
                <w:smallCaps/>
              </w:rPr>
              <w:t>t</w:t>
            </w:r>
            <w:r w:rsidRPr="004E4188">
              <w:t xml:space="preserve"> L</w:t>
            </w:r>
            <w:r w:rsidRPr="004E4188">
              <w:rPr>
                <w:smallCaps/>
              </w:rPr>
              <w:t>’heure</w:t>
            </w:r>
            <w:r w:rsidRPr="004E4188">
              <w:t xml:space="preserve"> F</w:t>
            </w:r>
            <w:r w:rsidRPr="004E4188">
              <w:rPr>
                <w:smallCaps/>
              </w:rPr>
              <w:t>ixée</w:t>
            </w:r>
            <w:r w:rsidRPr="004E4188">
              <w:t xml:space="preserve"> P</w:t>
            </w:r>
            <w:r w:rsidRPr="004E4188">
              <w:rPr>
                <w:smallCaps/>
              </w:rPr>
              <w:t>our</w:t>
            </w:r>
            <w:r w:rsidRPr="004E4188">
              <w:t xml:space="preserve"> L</w:t>
            </w:r>
            <w:r w:rsidRPr="004E4188">
              <w:rPr>
                <w:smallCaps/>
              </w:rPr>
              <w:t>’ouverture</w:t>
            </w:r>
            <w:r w:rsidRPr="004E4188">
              <w:t xml:space="preserve"> D</w:t>
            </w:r>
            <w:r w:rsidRPr="004E4188">
              <w:rPr>
                <w:smallCaps/>
              </w:rPr>
              <w:t>es</w:t>
            </w:r>
            <w:r w:rsidRPr="004E4188">
              <w:t xml:space="preserve"> O</w:t>
            </w:r>
            <w:r w:rsidRPr="004E4188">
              <w:rPr>
                <w:smallCaps/>
              </w:rPr>
              <w:t>ffres</w:t>
            </w:r>
            <w:r w:rsidRPr="004E4188">
              <w:t xml:space="preserve"> </w:t>
            </w:r>
            <w:r w:rsidR="00195AE7" w:rsidRPr="004E4188">
              <w:rPr>
                <w:smallCaps/>
              </w:rPr>
              <w:t>d</w:t>
            </w:r>
            <w:r w:rsidRPr="004E4188">
              <w:rPr>
                <w:smallCaps/>
              </w:rPr>
              <w:t>e</w:t>
            </w:r>
            <w:r w:rsidRPr="004E4188">
              <w:t xml:space="preserve"> </w:t>
            </w:r>
            <w:r w:rsidR="00195AE7" w:rsidRPr="004E4188">
              <w:rPr>
                <w:smallCaps/>
              </w:rPr>
              <w:t>l</w:t>
            </w:r>
            <w:r w:rsidRPr="004E4188">
              <w:rPr>
                <w:smallCaps/>
              </w:rPr>
              <w:t>a</w:t>
            </w:r>
            <w:r w:rsidRPr="004E4188">
              <w:t xml:space="preserve"> </w:t>
            </w:r>
            <w:r w:rsidRPr="004E4188">
              <w:rPr>
                <w:smallCaps/>
              </w:rPr>
              <w:t>Deuxième</w:t>
            </w:r>
            <w:r w:rsidRPr="004E4188">
              <w:t xml:space="preserve"> É</w:t>
            </w:r>
            <w:r w:rsidRPr="004E4188">
              <w:rPr>
                <w:smallCaps/>
              </w:rPr>
              <w:t>tape</w:t>
            </w:r>
            <w:r w:rsidRPr="004E4188">
              <w:t> » conformément à IS 39.1.</w:t>
            </w:r>
          </w:p>
        </w:tc>
      </w:tr>
      <w:tr w:rsidR="007049A5" w:rsidRPr="004E4188" w14:paraId="0C4B64E9" w14:textId="77777777" w:rsidTr="0092765E">
        <w:tc>
          <w:tcPr>
            <w:tcW w:w="2268" w:type="dxa"/>
            <w:tcBorders>
              <w:top w:val="nil"/>
              <w:left w:val="nil"/>
              <w:bottom w:val="nil"/>
              <w:right w:val="nil"/>
            </w:tcBorders>
          </w:tcPr>
          <w:p w14:paraId="156A4B6E" w14:textId="77777777" w:rsidR="007049A5" w:rsidRPr="004E4188" w:rsidRDefault="007049A5" w:rsidP="006C6267"/>
        </w:tc>
        <w:tc>
          <w:tcPr>
            <w:tcW w:w="7023" w:type="dxa"/>
            <w:tcBorders>
              <w:top w:val="nil"/>
              <w:left w:val="nil"/>
              <w:bottom w:val="nil"/>
              <w:right w:val="nil"/>
            </w:tcBorders>
          </w:tcPr>
          <w:p w14:paraId="29DC879D" w14:textId="6EACDA19" w:rsidR="007049A5" w:rsidRPr="004E4188" w:rsidRDefault="007049A5" w:rsidP="006C6267">
            <w:pPr>
              <w:suppressAutoHyphens w:val="0"/>
              <w:spacing w:after="200"/>
              <w:ind w:left="601" w:hanging="601"/>
            </w:pPr>
            <w:r w:rsidRPr="004E4188">
              <w:t>35.3</w:t>
            </w:r>
            <w:r w:rsidRPr="004E4188">
              <w:tab/>
              <w:t>Si toutes les enveloppes ne sont pas cachetées et marquées comme stipulé, le Maître d’ouvrage ne sera nullement responsable si l’offre de la deuxième étape est égarée ou ouverte prématurément.</w:t>
            </w:r>
          </w:p>
        </w:tc>
      </w:tr>
      <w:tr w:rsidR="007049A5" w:rsidRPr="004E4188" w14:paraId="05E04356" w14:textId="77777777" w:rsidTr="0092765E">
        <w:tc>
          <w:tcPr>
            <w:tcW w:w="2268" w:type="dxa"/>
            <w:tcBorders>
              <w:top w:val="nil"/>
              <w:left w:val="nil"/>
              <w:bottom w:val="nil"/>
              <w:right w:val="nil"/>
            </w:tcBorders>
          </w:tcPr>
          <w:p w14:paraId="436AEE13" w14:textId="274A2168" w:rsidR="007049A5" w:rsidRPr="004E4188" w:rsidRDefault="007049A5" w:rsidP="0092765E">
            <w:pPr>
              <w:pStyle w:val="Header1-Clauses"/>
              <w:ind w:left="357" w:hanging="357"/>
              <w:rPr>
                <w:lang w:val="fr-FR"/>
              </w:rPr>
            </w:pPr>
            <w:bookmarkStart w:id="409" w:name="_Toc104195599"/>
            <w:r w:rsidRPr="004E4188">
              <w:rPr>
                <w:lang w:val="fr-FR"/>
              </w:rPr>
              <w:t>36.</w:t>
            </w:r>
            <w:r w:rsidRPr="004E4188">
              <w:rPr>
                <w:lang w:val="fr-FR"/>
              </w:rPr>
              <w:tab/>
              <w:t>Date limite de remise des offres de la deuxième étape</w:t>
            </w:r>
            <w:bookmarkEnd w:id="409"/>
          </w:p>
        </w:tc>
        <w:tc>
          <w:tcPr>
            <w:tcW w:w="7023" w:type="dxa"/>
            <w:tcBorders>
              <w:top w:val="nil"/>
              <w:left w:val="nil"/>
              <w:bottom w:val="nil"/>
              <w:right w:val="nil"/>
            </w:tcBorders>
          </w:tcPr>
          <w:p w14:paraId="783C27EA" w14:textId="13D75ECA" w:rsidR="007049A5" w:rsidRPr="004E4188" w:rsidRDefault="007049A5" w:rsidP="006C6267">
            <w:pPr>
              <w:suppressAutoHyphens w:val="0"/>
              <w:spacing w:after="200"/>
              <w:ind w:left="601" w:hanging="601"/>
            </w:pPr>
            <w:r w:rsidRPr="004E4188">
              <w:t>36.1</w:t>
            </w:r>
            <w:r w:rsidRPr="004E4188">
              <w:tab/>
              <w:t xml:space="preserve">Les offres de la deuxième étape doivent être reçues par le Maître d’ouvrage à l’adresse et au plus tard à la date et à l’heure indiquées dans l’Invitation à soumissionner pour la deuxième étape. </w:t>
            </w:r>
          </w:p>
          <w:p w14:paraId="36D4341E" w14:textId="485C2142" w:rsidR="007049A5" w:rsidRPr="004E4188" w:rsidRDefault="007049A5" w:rsidP="006C6267">
            <w:pPr>
              <w:suppressAutoHyphens w:val="0"/>
              <w:spacing w:after="200"/>
              <w:ind w:left="601" w:hanging="601"/>
            </w:pPr>
            <w:r w:rsidRPr="004E4188">
              <w:t>36.2</w:t>
            </w:r>
            <w:r w:rsidRPr="004E4188">
              <w:tab/>
              <w:t xml:space="preserve">Le Maître d’ouvrage peut, à sa discrétion, reporter la date limite de remise des offres de la deuxième étape en modifiant le Dossier d’appel d’offres conformément à IS 8. Dans ce cas, tous les droits et obligations du Maître d’ouvrage et des Soumissionnaires préalablement assujettis à la date limite initiale, seront assujettis à la nouvelle date limite telle que reportée. </w:t>
            </w:r>
          </w:p>
        </w:tc>
      </w:tr>
      <w:tr w:rsidR="007049A5" w:rsidRPr="004E4188" w14:paraId="3104A523" w14:textId="77777777" w:rsidTr="0092765E">
        <w:trPr>
          <w:cantSplit/>
        </w:trPr>
        <w:tc>
          <w:tcPr>
            <w:tcW w:w="2268" w:type="dxa"/>
            <w:tcBorders>
              <w:top w:val="nil"/>
              <w:left w:val="nil"/>
              <w:bottom w:val="nil"/>
              <w:right w:val="nil"/>
            </w:tcBorders>
          </w:tcPr>
          <w:p w14:paraId="0783E4F5" w14:textId="269F28AA" w:rsidR="007049A5" w:rsidRPr="004E4188" w:rsidRDefault="007049A5" w:rsidP="0092765E">
            <w:pPr>
              <w:pStyle w:val="Header1-Clauses"/>
              <w:ind w:left="357" w:hanging="357"/>
              <w:rPr>
                <w:lang w:val="fr-FR"/>
              </w:rPr>
            </w:pPr>
            <w:bookmarkStart w:id="410" w:name="_Toc104195600"/>
            <w:r w:rsidRPr="004E4188">
              <w:rPr>
                <w:lang w:val="fr-FR"/>
              </w:rPr>
              <w:t>37.</w:t>
            </w:r>
            <w:r w:rsidRPr="004E4188">
              <w:rPr>
                <w:lang w:val="fr-FR"/>
              </w:rPr>
              <w:tab/>
              <w:t>Offres hors délai</w:t>
            </w:r>
            <w:bookmarkEnd w:id="410"/>
          </w:p>
        </w:tc>
        <w:tc>
          <w:tcPr>
            <w:tcW w:w="7023" w:type="dxa"/>
            <w:tcBorders>
              <w:top w:val="nil"/>
              <w:left w:val="nil"/>
              <w:bottom w:val="nil"/>
              <w:right w:val="nil"/>
            </w:tcBorders>
          </w:tcPr>
          <w:p w14:paraId="69F32CA5" w14:textId="60F3BC62" w:rsidR="007049A5" w:rsidRPr="004E4188" w:rsidRDefault="007049A5" w:rsidP="006C6267">
            <w:pPr>
              <w:suppressAutoHyphens w:val="0"/>
              <w:spacing w:after="200"/>
              <w:ind w:left="601" w:hanging="601"/>
            </w:pPr>
            <w:r w:rsidRPr="004E4188">
              <w:t>37.1</w:t>
            </w:r>
            <w:r w:rsidRPr="004E4188">
              <w:tab/>
              <w:t>Le Maître d’ouvrage n’acceptera aucune offre de la deuxième étape arrivée après l’expiration du délai de remise des offres de la deuxième étape arrêté conformément à IS 36. Toute offre reçue par le Maître d’ouvrage après la date et l’heure limites de remise des offres de la deuxième étape sera déclarée hors délai, écartée, et renvoyée cachetée au Soumissionnaire.</w:t>
            </w:r>
          </w:p>
        </w:tc>
      </w:tr>
      <w:tr w:rsidR="007049A5" w:rsidRPr="004E4188" w14:paraId="33F46D7F" w14:textId="77777777" w:rsidTr="0092765E">
        <w:tc>
          <w:tcPr>
            <w:tcW w:w="2268" w:type="dxa"/>
            <w:tcBorders>
              <w:top w:val="nil"/>
              <w:left w:val="nil"/>
              <w:bottom w:val="nil"/>
              <w:right w:val="nil"/>
            </w:tcBorders>
          </w:tcPr>
          <w:p w14:paraId="1A3FF879" w14:textId="44FBCBA1" w:rsidR="007049A5" w:rsidRPr="004E4188" w:rsidRDefault="007049A5" w:rsidP="0092765E">
            <w:pPr>
              <w:pStyle w:val="Header1-Clauses"/>
              <w:ind w:left="357" w:hanging="357"/>
              <w:rPr>
                <w:lang w:val="fr-FR"/>
              </w:rPr>
            </w:pPr>
            <w:bookmarkStart w:id="411" w:name="_Toc104195601"/>
            <w:r w:rsidRPr="004E4188">
              <w:rPr>
                <w:lang w:val="fr-FR"/>
              </w:rPr>
              <w:t>38.</w:t>
            </w:r>
            <w:r w:rsidRPr="004E4188">
              <w:rPr>
                <w:lang w:val="fr-FR"/>
              </w:rPr>
              <w:tab/>
              <w:t>Retrait, substitution et modification des offres de la deuxième étape</w:t>
            </w:r>
            <w:bookmarkEnd w:id="411"/>
          </w:p>
        </w:tc>
        <w:tc>
          <w:tcPr>
            <w:tcW w:w="7023" w:type="dxa"/>
            <w:tcBorders>
              <w:top w:val="nil"/>
              <w:left w:val="nil"/>
              <w:bottom w:val="nil"/>
              <w:right w:val="nil"/>
            </w:tcBorders>
          </w:tcPr>
          <w:p w14:paraId="232BFBBF" w14:textId="27DA6DCA" w:rsidR="007049A5" w:rsidRPr="004E4188" w:rsidRDefault="007049A5" w:rsidP="006C6267">
            <w:pPr>
              <w:suppressAutoHyphens w:val="0"/>
              <w:spacing w:after="200"/>
              <w:ind w:left="601" w:hanging="601"/>
            </w:pPr>
            <w:r w:rsidRPr="004E4188">
              <w:t>38.1</w:t>
            </w:r>
            <w:r w:rsidRPr="004E4188">
              <w:tab/>
              <w:t>Un Soumissionnaire peut préalablement à la date limite de remise des offres de la deuxième étape, retirer, substituer, ou modifier son offre de la deuxième étape après l’avoir remise</w:t>
            </w:r>
            <w:r w:rsidR="00C82D05" w:rsidRPr="004E4188">
              <w:t>,</w:t>
            </w:r>
            <w:r w:rsidRPr="004E4188">
              <w:t xml:space="preserve"> en envoyant une notification écrite, dûment signée par un représentant habilité, assortie d’une copie de la procuration conformément à IS</w:t>
            </w:r>
            <w:r w:rsidR="002E2AE8" w:rsidRPr="004E4188">
              <w:t> </w:t>
            </w:r>
            <w:r w:rsidRPr="004E4188">
              <w:t>34.2 et IS</w:t>
            </w:r>
            <w:r w:rsidR="002E2AE8" w:rsidRPr="004E4188">
              <w:t> </w:t>
            </w:r>
            <w:r w:rsidRPr="004E4188">
              <w:t>34.3. La modification ou la substitution de l’offre de la deuxième étape doit être jointe à la notification écrite correspondante. Toutes les notifications doivent être :</w:t>
            </w:r>
          </w:p>
          <w:p w14:paraId="6965944B" w14:textId="359A5BA8" w:rsidR="007049A5" w:rsidRPr="004E4188" w:rsidRDefault="007049A5" w:rsidP="006C6267">
            <w:pPr>
              <w:spacing w:after="200"/>
              <w:ind w:left="1026" w:hanging="425"/>
              <w:rPr>
                <w:spacing w:val="-4"/>
              </w:rPr>
            </w:pPr>
            <w:r w:rsidRPr="004E4188">
              <w:rPr>
                <w:spacing w:val="-4"/>
              </w:rPr>
              <w:t>(a)</w:t>
            </w:r>
            <w:r w:rsidRPr="004E4188">
              <w:rPr>
                <w:spacing w:val="-4"/>
                <w:lang w:eastAsia="ja-JP"/>
              </w:rPr>
              <w:tab/>
            </w:r>
            <w:r w:rsidRPr="004E4188">
              <w:t>préparées</w:t>
            </w:r>
            <w:r w:rsidRPr="004E4188">
              <w:rPr>
                <w:spacing w:val="-4"/>
              </w:rPr>
              <w:t xml:space="preserve"> et délivrées conformément à IS 34 et IS 35 (sauf pour les notifications de retrait qui ne nécessitent pas de copie). Par ailleurs, les enveloppes extérieures doivent porter clairement, selon le cas, la mention « </w:t>
            </w:r>
            <w:r w:rsidRPr="004E4188">
              <w:rPr>
                <w:smallCaps/>
                <w:spacing w:val="-4"/>
              </w:rPr>
              <w:t xml:space="preserve">Offre de la Deuxième </w:t>
            </w:r>
            <w:r w:rsidRPr="004E4188">
              <w:t>É</w:t>
            </w:r>
            <w:r w:rsidRPr="004E4188">
              <w:rPr>
                <w:smallCaps/>
                <w:spacing w:val="-4"/>
              </w:rPr>
              <w:t xml:space="preserve">tape </w:t>
            </w:r>
            <w:r w:rsidR="00783E41" w:rsidRPr="004E4188">
              <w:rPr>
                <w:smallCaps/>
                <w:spacing w:val="-4"/>
              </w:rPr>
              <w:t>-</w:t>
            </w:r>
            <w:r w:rsidRPr="004E4188">
              <w:rPr>
                <w:smallCaps/>
                <w:spacing w:val="-4"/>
              </w:rPr>
              <w:t xml:space="preserve"> Retrait</w:t>
            </w:r>
            <w:r w:rsidRPr="004E4188">
              <w:rPr>
                <w:spacing w:val="-4"/>
              </w:rPr>
              <w:t> », « </w:t>
            </w:r>
            <w:r w:rsidRPr="004E4188">
              <w:rPr>
                <w:smallCaps/>
                <w:spacing w:val="-4"/>
              </w:rPr>
              <w:t xml:space="preserve">Offre de la Deuxième </w:t>
            </w:r>
            <w:r w:rsidRPr="004E4188">
              <w:t>É</w:t>
            </w:r>
            <w:r w:rsidRPr="004E4188">
              <w:rPr>
                <w:smallCaps/>
                <w:spacing w:val="-4"/>
              </w:rPr>
              <w:t xml:space="preserve">tape </w:t>
            </w:r>
            <w:r w:rsidR="00783E41" w:rsidRPr="004E4188">
              <w:rPr>
                <w:smallCaps/>
                <w:spacing w:val="-4"/>
              </w:rPr>
              <w:t>-</w:t>
            </w:r>
            <w:r w:rsidRPr="004E4188">
              <w:rPr>
                <w:smallCaps/>
                <w:spacing w:val="-4"/>
              </w:rPr>
              <w:t xml:space="preserve"> Substitution</w:t>
            </w:r>
            <w:r w:rsidRPr="004E4188">
              <w:rPr>
                <w:spacing w:val="-4"/>
              </w:rPr>
              <w:t xml:space="preserve"> » ou </w:t>
            </w:r>
            <w:r w:rsidRPr="004E4188">
              <w:t>« </w:t>
            </w:r>
            <w:r w:rsidRPr="004E4188">
              <w:rPr>
                <w:smallCaps/>
                <w:spacing w:val="-4"/>
              </w:rPr>
              <w:t xml:space="preserve">Offre de la Deuxième </w:t>
            </w:r>
            <w:r w:rsidRPr="004E4188">
              <w:t>É</w:t>
            </w:r>
            <w:r w:rsidRPr="004E4188">
              <w:rPr>
                <w:smallCaps/>
                <w:spacing w:val="-4"/>
              </w:rPr>
              <w:t xml:space="preserve">tape </w:t>
            </w:r>
            <w:r w:rsidR="00783E41" w:rsidRPr="004E4188">
              <w:rPr>
                <w:smallCaps/>
                <w:spacing w:val="-4"/>
              </w:rPr>
              <w:t>-</w:t>
            </w:r>
            <w:r w:rsidRPr="004E4188">
              <w:rPr>
                <w:smallCaps/>
                <w:spacing w:val="-4"/>
              </w:rPr>
              <w:t xml:space="preserve"> Modification</w:t>
            </w:r>
            <w:r w:rsidRPr="004E4188">
              <w:t> »</w:t>
            </w:r>
            <w:r w:rsidRPr="004E4188">
              <w:rPr>
                <w:spacing w:val="-4"/>
              </w:rPr>
              <w:t xml:space="preserve"> ; et </w:t>
            </w:r>
          </w:p>
          <w:p w14:paraId="78F6ED24" w14:textId="0327C057" w:rsidR="007049A5" w:rsidRPr="004E4188" w:rsidRDefault="007049A5" w:rsidP="006C6267">
            <w:pPr>
              <w:spacing w:after="200"/>
              <w:ind w:left="1026" w:hanging="425"/>
              <w:rPr>
                <w:spacing w:val="-4"/>
              </w:rPr>
            </w:pPr>
            <w:r w:rsidRPr="004E4188">
              <w:rPr>
                <w:spacing w:val="-4"/>
              </w:rPr>
              <w:t>(b)</w:t>
            </w:r>
            <w:r w:rsidRPr="004E4188">
              <w:rPr>
                <w:spacing w:val="-4"/>
                <w:lang w:eastAsia="ja-JP"/>
              </w:rPr>
              <w:tab/>
            </w:r>
            <w:r w:rsidRPr="004E4188">
              <w:t>reçues</w:t>
            </w:r>
            <w:r w:rsidRPr="004E4188">
              <w:rPr>
                <w:spacing w:val="-4"/>
              </w:rPr>
              <w:t xml:space="preserve"> par le Maître d’ouvrage avant la date et l’heure limites de remise des offres de la deuxième étape, conformément à IS</w:t>
            </w:r>
            <w:r w:rsidR="00C82D05" w:rsidRPr="004E4188">
              <w:rPr>
                <w:spacing w:val="-4"/>
              </w:rPr>
              <w:t> </w:t>
            </w:r>
            <w:r w:rsidRPr="004E4188">
              <w:rPr>
                <w:spacing w:val="-4"/>
              </w:rPr>
              <w:t>36.</w:t>
            </w:r>
          </w:p>
        </w:tc>
      </w:tr>
      <w:tr w:rsidR="007049A5" w:rsidRPr="004E4188" w14:paraId="5D742F7A" w14:textId="77777777" w:rsidTr="0092765E">
        <w:trPr>
          <w:trHeight w:val="819"/>
        </w:trPr>
        <w:tc>
          <w:tcPr>
            <w:tcW w:w="2268" w:type="dxa"/>
            <w:tcBorders>
              <w:top w:val="nil"/>
              <w:left w:val="nil"/>
              <w:bottom w:val="nil"/>
              <w:right w:val="nil"/>
            </w:tcBorders>
          </w:tcPr>
          <w:p w14:paraId="43197EDF" w14:textId="77777777" w:rsidR="007049A5" w:rsidRPr="004E4188" w:rsidRDefault="007049A5" w:rsidP="006C6267"/>
        </w:tc>
        <w:tc>
          <w:tcPr>
            <w:tcW w:w="7023" w:type="dxa"/>
            <w:tcBorders>
              <w:top w:val="nil"/>
              <w:left w:val="nil"/>
              <w:bottom w:val="nil"/>
              <w:right w:val="nil"/>
            </w:tcBorders>
          </w:tcPr>
          <w:p w14:paraId="442513C4" w14:textId="0C72E749" w:rsidR="007049A5" w:rsidRPr="004E4188" w:rsidRDefault="007049A5" w:rsidP="006C6267">
            <w:pPr>
              <w:pStyle w:val="Header3-Paragraph"/>
              <w:tabs>
                <w:tab w:val="clear" w:pos="504"/>
              </w:tabs>
              <w:suppressAutoHyphens/>
              <w:ind w:left="601" w:hanging="601"/>
              <w:rPr>
                <w:lang w:val="fr-FR"/>
              </w:rPr>
            </w:pPr>
            <w:r w:rsidRPr="004E4188">
              <w:rPr>
                <w:lang w:val="fr-FR"/>
              </w:rPr>
              <w:t>38.2</w:t>
            </w:r>
            <w:r w:rsidRPr="004E4188">
              <w:rPr>
                <w:lang w:val="fr-FR"/>
              </w:rPr>
              <w:tab/>
              <w:t>Les offres dont les Soumissionnaires demandent le retrait conformément à IS 38.1 leur seront renvoyées cachetées.</w:t>
            </w:r>
          </w:p>
        </w:tc>
      </w:tr>
      <w:tr w:rsidR="007049A5" w:rsidRPr="004E4188" w14:paraId="76F3FD95" w14:textId="77777777" w:rsidTr="0092765E">
        <w:tc>
          <w:tcPr>
            <w:tcW w:w="2268" w:type="dxa"/>
            <w:tcBorders>
              <w:top w:val="nil"/>
              <w:left w:val="nil"/>
              <w:bottom w:val="nil"/>
              <w:right w:val="nil"/>
            </w:tcBorders>
          </w:tcPr>
          <w:p w14:paraId="4D4E3D07" w14:textId="77777777" w:rsidR="007049A5" w:rsidRPr="004E4188" w:rsidRDefault="007049A5" w:rsidP="006C6267"/>
        </w:tc>
        <w:tc>
          <w:tcPr>
            <w:tcW w:w="7023" w:type="dxa"/>
            <w:tcBorders>
              <w:top w:val="nil"/>
              <w:left w:val="nil"/>
              <w:bottom w:val="nil"/>
              <w:right w:val="nil"/>
            </w:tcBorders>
          </w:tcPr>
          <w:p w14:paraId="4D8809FD" w14:textId="12B3C070" w:rsidR="007049A5" w:rsidRPr="004E4188" w:rsidRDefault="007049A5" w:rsidP="006C6267">
            <w:pPr>
              <w:pStyle w:val="Header3-Paragraph"/>
              <w:tabs>
                <w:tab w:val="clear" w:pos="504"/>
              </w:tabs>
              <w:suppressAutoHyphens/>
              <w:ind w:left="601" w:hanging="601"/>
              <w:rPr>
                <w:lang w:val="fr-FR"/>
              </w:rPr>
            </w:pPr>
            <w:r w:rsidRPr="004E4188">
              <w:rPr>
                <w:lang w:val="fr-FR"/>
              </w:rPr>
              <w:t>38.3</w:t>
            </w:r>
            <w:r w:rsidRPr="004E4188">
              <w:rPr>
                <w:lang w:val="fr-FR"/>
              </w:rPr>
              <w:tab/>
              <w:t>Aucune offre ne peut être retirée, substituée ou modifiée entre la date et l’heure limites de remise des offres</w:t>
            </w:r>
            <w:r w:rsidRPr="004E4188">
              <w:rPr>
                <w:spacing w:val="-4"/>
                <w:lang w:val="fr-FR"/>
              </w:rPr>
              <w:t xml:space="preserve"> de la deuxième étape</w:t>
            </w:r>
            <w:r w:rsidRPr="004E4188">
              <w:rPr>
                <w:lang w:val="fr-FR"/>
              </w:rPr>
              <w:t xml:space="preserve"> et </w:t>
            </w:r>
            <w:r w:rsidR="00B217EB" w:rsidRPr="004E4188">
              <w:rPr>
                <w:lang w:val="fr-FR"/>
              </w:rPr>
              <w:t>l’expiration de la période de validité de l’offre</w:t>
            </w:r>
            <w:r w:rsidRPr="004E4188">
              <w:rPr>
                <w:lang w:val="fr-FR"/>
              </w:rPr>
              <w:t xml:space="preserve"> spécifiée par le Soumissionnaire dans la Lettre de soumission de l’offre</w:t>
            </w:r>
            <w:r w:rsidRPr="004E4188">
              <w:rPr>
                <w:spacing w:val="-4"/>
                <w:lang w:val="fr-FR"/>
              </w:rPr>
              <w:t xml:space="preserve"> de la deuxième étape</w:t>
            </w:r>
            <w:r w:rsidRPr="004E4188">
              <w:rPr>
                <w:lang w:val="fr-FR"/>
              </w:rPr>
              <w:t>, ou toute prorogation de celle-ci.</w:t>
            </w:r>
          </w:p>
        </w:tc>
      </w:tr>
      <w:tr w:rsidR="007049A5" w:rsidRPr="004E4188" w14:paraId="1A9F9903" w14:textId="77777777" w:rsidTr="0092765E">
        <w:tc>
          <w:tcPr>
            <w:tcW w:w="2268" w:type="dxa"/>
            <w:tcBorders>
              <w:top w:val="nil"/>
              <w:left w:val="nil"/>
              <w:bottom w:val="nil"/>
              <w:right w:val="nil"/>
            </w:tcBorders>
          </w:tcPr>
          <w:p w14:paraId="095432B2" w14:textId="581F436B" w:rsidR="007049A5" w:rsidRPr="004E4188" w:rsidRDefault="007049A5" w:rsidP="0092765E">
            <w:pPr>
              <w:pStyle w:val="Header1-Clauses"/>
              <w:ind w:left="357" w:hanging="357"/>
              <w:rPr>
                <w:lang w:val="fr-FR"/>
              </w:rPr>
            </w:pPr>
            <w:bookmarkStart w:id="412" w:name="_Toc104195602"/>
            <w:r w:rsidRPr="004E4188">
              <w:rPr>
                <w:lang w:val="fr-FR"/>
              </w:rPr>
              <w:t>39.</w:t>
            </w:r>
            <w:r w:rsidRPr="004E4188">
              <w:rPr>
                <w:lang w:val="fr-FR"/>
              </w:rPr>
              <w:tab/>
              <w:t xml:space="preserve">Ouverture des offres </w:t>
            </w:r>
            <w:r w:rsidRPr="004E4188">
              <w:rPr>
                <w:spacing w:val="-4"/>
                <w:lang w:val="fr-FR"/>
              </w:rPr>
              <w:t>de la deuxième étape</w:t>
            </w:r>
            <w:bookmarkEnd w:id="412"/>
          </w:p>
        </w:tc>
        <w:tc>
          <w:tcPr>
            <w:tcW w:w="7023" w:type="dxa"/>
            <w:tcBorders>
              <w:top w:val="nil"/>
              <w:left w:val="nil"/>
              <w:bottom w:val="nil"/>
              <w:right w:val="nil"/>
            </w:tcBorders>
          </w:tcPr>
          <w:p w14:paraId="7E2989FD" w14:textId="5BE0406E" w:rsidR="007049A5" w:rsidRPr="004E4188" w:rsidRDefault="007049A5" w:rsidP="006C6267">
            <w:pPr>
              <w:spacing w:after="200"/>
              <w:ind w:left="601" w:hanging="601"/>
            </w:pPr>
            <w:r w:rsidRPr="004E4188">
              <w:t>39.1</w:t>
            </w:r>
            <w:r w:rsidRPr="004E4188">
              <w:tab/>
              <w:t>Sous réserve des dispositions figurant à IS 37 et IS 38,</w:t>
            </w:r>
            <w:r w:rsidRPr="004E4188" w:rsidDel="00C03B1C">
              <w:t xml:space="preserve"> </w:t>
            </w:r>
            <w:r w:rsidRPr="004E4188">
              <w:t xml:space="preserve">le Maître d’ouvrage procédera à l’ouverture en public de toutes les offres </w:t>
            </w:r>
            <w:r w:rsidRPr="004E4188">
              <w:rPr>
                <w:spacing w:val="-4"/>
              </w:rPr>
              <w:t>de la deuxième étape</w:t>
            </w:r>
            <w:r w:rsidRPr="004E4188">
              <w:t xml:space="preserve"> reçues </w:t>
            </w:r>
            <w:r w:rsidRPr="004E4188">
              <w:rPr>
                <w:spacing w:val="-4"/>
              </w:rPr>
              <w:t>avant la date et l’heure limites et donnera lecture de leur contenu conformément à IS 39.5,</w:t>
            </w:r>
            <w:r w:rsidRPr="004E4188">
              <w:t xml:space="preserve"> à la date, à l’heure et à l’adresse indiquées dans l’Invitation à soumissionner pour la deuxième étape, en présence des représentants habilités des Soumissionnaires et de toute autre personne qui souhaite y participer. </w:t>
            </w:r>
          </w:p>
        </w:tc>
      </w:tr>
      <w:tr w:rsidR="007049A5" w:rsidRPr="004E4188" w14:paraId="0010E381" w14:textId="77777777" w:rsidTr="0092765E">
        <w:tc>
          <w:tcPr>
            <w:tcW w:w="2268" w:type="dxa"/>
            <w:tcBorders>
              <w:top w:val="nil"/>
              <w:left w:val="nil"/>
              <w:bottom w:val="nil"/>
              <w:right w:val="nil"/>
            </w:tcBorders>
          </w:tcPr>
          <w:p w14:paraId="77BDC35B" w14:textId="77777777" w:rsidR="007049A5" w:rsidRPr="004E4188" w:rsidRDefault="007049A5" w:rsidP="006C6267"/>
        </w:tc>
        <w:tc>
          <w:tcPr>
            <w:tcW w:w="7023" w:type="dxa"/>
            <w:tcBorders>
              <w:top w:val="nil"/>
              <w:left w:val="nil"/>
              <w:bottom w:val="nil"/>
              <w:right w:val="nil"/>
            </w:tcBorders>
          </w:tcPr>
          <w:p w14:paraId="45FC6DE6" w14:textId="50A8DAD6" w:rsidR="007049A5" w:rsidRPr="004E4188" w:rsidRDefault="007049A5" w:rsidP="00DB5D28">
            <w:pPr>
              <w:spacing w:after="200"/>
              <w:ind w:left="601" w:hanging="601"/>
            </w:pPr>
            <w:r w:rsidRPr="004E4188">
              <w:t>39.2</w:t>
            </w:r>
            <w:r w:rsidRPr="004E4188">
              <w:rPr>
                <w:lang w:eastAsia="ja-JP"/>
              </w:rPr>
              <w:tab/>
            </w:r>
            <w:r w:rsidRPr="004E4188">
              <w:t>Dans un premier temps, les enveloppes marquées « </w:t>
            </w:r>
            <w:r w:rsidRPr="004E4188">
              <w:rPr>
                <w:smallCaps/>
                <w:spacing w:val="-4"/>
              </w:rPr>
              <w:t xml:space="preserve">Offre de la Deuxième </w:t>
            </w:r>
            <w:r w:rsidRPr="004E4188">
              <w:rPr>
                <w:smallCaps/>
              </w:rPr>
              <w:t>É</w:t>
            </w:r>
            <w:r w:rsidRPr="004E4188">
              <w:rPr>
                <w:smallCaps/>
                <w:spacing w:val="-4"/>
              </w:rPr>
              <w:t xml:space="preserve">tape </w:t>
            </w:r>
            <w:r w:rsidR="00783E41" w:rsidRPr="004E4188">
              <w:rPr>
                <w:smallCaps/>
                <w:spacing w:val="-4"/>
              </w:rPr>
              <w:t>-</w:t>
            </w:r>
            <w:r w:rsidRPr="004E4188">
              <w:rPr>
                <w:smallCaps/>
                <w:spacing w:val="-4"/>
              </w:rPr>
              <w:t xml:space="preserve"> Retrait</w:t>
            </w:r>
            <w:r w:rsidRPr="004E4188">
              <w:t> » seront ouvertes et leur contenu annoncé à haute voix, et l’enveloppe contenant l’offre correspondante sera renvoyée au Soumissionnaire sans avoir été ouverte. Le retrait d’une offre ne sera permis que si la notification correspondante contient une autorisation valide de demande de retrait et que cette notification est lue à haute voix à l’ouverture des offres de la deuxième étape.</w:t>
            </w:r>
          </w:p>
        </w:tc>
      </w:tr>
      <w:tr w:rsidR="007049A5" w:rsidRPr="004E4188" w14:paraId="4B72F28E" w14:textId="77777777" w:rsidTr="0092765E">
        <w:tc>
          <w:tcPr>
            <w:tcW w:w="2268" w:type="dxa"/>
            <w:tcBorders>
              <w:top w:val="nil"/>
              <w:left w:val="nil"/>
              <w:bottom w:val="nil"/>
              <w:right w:val="nil"/>
            </w:tcBorders>
          </w:tcPr>
          <w:p w14:paraId="22F48243" w14:textId="77777777" w:rsidR="007049A5" w:rsidRPr="004E4188" w:rsidRDefault="007049A5" w:rsidP="006C6267"/>
        </w:tc>
        <w:tc>
          <w:tcPr>
            <w:tcW w:w="7023" w:type="dxa"/>
            <w:tcBorders>
              <w:top w:val="nil"/>
              <w:left w:val="nil"/>
              <w:bottom w:val="nil"/>
              <w:right w:val="nil"/>
            </w:tcBorders>
          </w:tcPr>
          <w:p w14:paraId="1936193D" w14:textId="2B1F1CEB" w:rsidR="007049A5" w:rsidRPr="004E4188" w:rsidRDefault="007049A5" w:rsidP="00DB5D28">
            <w:pPr>
              <w:spacing w:after="200"/>
              <w:ind w:left="601" w:hanging="601"/>
            </w:pPr>
            <w:r w:rsidRPr="004E4188">
              <w:t>39.3</w:t>
            </w:r>
            <w:r w:rsidRPr="004E4188">
              <w:rPr>
                <w:lang w:eastAsia="ja-JP"/>
              </w:rPr>
              <w:tab/>
            </w:r>
            <w:r w:rsidRPr="004E4188">
              <w:t>Ensuite, les enveloppes extérieures marquées « </w:t>
            </w:r>
            <w:r w:rsidRPr="004E4188">
              <w:rPr>
                <w:smallCaps/>
                <w:spacing w:val="-4"/>
              </w:rPr>
              <w:t xml:space="preserve">Offre de la Deuxième </w:t>
            </w:r>
            <w:r w:rsidRPr="004E4188">
              <w:rPr>
                <w:smallCaps/>
              </w:rPr>
              <w:t>É</w:t>
            </w:r>
            <w:r w:rsidRPr="004E4188">
              <w:rPr>
                <w:smallCaps/>
                <w:spacing w:val="-4"/>
              </w:rPr>
              <w:t xml:space="preserve">tape </w:t>
            </w:r>
            <w:r w:rsidR="00783E41" w:rsidRPr="004E4188">
              <w:rPr>
                <w:smallCaps/>
                <w:spacing w:val="-4"/>
              </w:rPr>
              <w:t>-</w:t>
            </w:r>
            <w:r w:rsidRPr="004E4188">
              <w:rPr>
                <w:smallCaps/>
                <w:spacing w:val="-4"/>
              </w:rPr>
              <w:t xml:space="preserve"> Substitution</w:t>
            </w:r>
            <w:r w:rsidRPr="004E4188">
              <w:t> » seront ouvertes. Les enveloppes intérieures contenant l’offre de la deuxième étape de substitution seront échangées contre les enveloppes correspondantes initialement remises, qui seront renvoyées au Soumissionnaire sans avoir été ouvertes. Seule l’offre de la deuxième étape de substitution, le cas échéant, sera ouverte et lue à haute voix. La substitution des enveloppes ne sera permise que si la notification de substitution correspondante contient une autorisation valide de demande de substitution et que cette notification est lue à haute voix à l’ouverture des offres de la deuxième étape.</w:t>
            </w:r>
          </w:p>
        </w:tc>
      </w:tr>
      <w:tr w:rsidR="007049A5" w:rsidRPr="004E4188" w14:paraId="4B30F2CD" w14:textId="77777777" w:rsidTr="0092765E">
        <w:tc>
          <w:tcPr>
            <w:tcW w:w="2268" w:type="dxa"/>
            <w:tcBorders>
              <w:top w:val="nil"/>
              <w:left w:val="nil"/>
              <w:bottom w:val="nil"/>
              <w:right w:val="nil"/>
            </w:tcBorders>
          </w:tcPr>
          <w:p w14:paraId="13D010AC" w14:textId="77777777" w:rsidR="007049A5" w:rsidRPr="004E4188" w:rsidRDefault="007049A5" w:rsidP="006C6267"/>
        </w:tc>
        <w:tc>
          <w:tcPr>
            <w:tcW w:w="7023" w:type="dxa"/>
            <w:tcBorders>
              <w:top w:val="nil"/>
              <w:left w:val="nil"/>
              <w:bottom w:val="nil"/>
              <w:right w:val="nil"/>
            </w:tcBorders>
          </w:tcPr>
          <w:p w14:paraId="301C5D38" w14:textId="31F64E12" w:rsidR="007049A5" w:rsidRPr="004E4188" w:rsidRDefault="007049A5" w:rsidP="00DB5D28">
            <w:pPr>
              <w:spacing w:after="200"/>
              <w:ind w:left="601" w:hanging="601"/>
            </w:pPr>
            <w:r w:rsidRPr="004E4188">
              <w:t>39.4</w:t>
            </w:r>
            <w:r w:rsidRPr="004E4188">
              <w:tab/>
              <w:t>Finalement, les enveloppes extérieures marquées « </w:t>
            </w:r>
            <w:r w:rsidRPr="004E4188">
              <w:rPr>
                <w:smallCaps/>
                <w:spacing w:val="-4"/>
              </w:rPr>
              <w:t xml:space="preserve">Offre de la Deuxième </w:t>
            </w:r>
            <w:r w:rsidRPr="004E4188">
              <w:rPr>
                <w:smallCaps/>
              </w:rPr>
              <w:t>É</w:t>
            </w:r>
            <w:r w:rsidRPr="004E4188">
              <w:rPr>
                <w:smallCaps/>
                <w:spacing w:val="-4"/>
              </w:rPr>
              <w:t xml:space="preserve">tape </w:t>
            </w:r>
            <w:r w:rsidR="00783E41" w:rsidRPr="004E4188">
              <w:rPr>
                <w:smallCaps/>
                <w:spacing w:val="-4"/>
              </w:rPr>
              <w:t>-</w:t>
            </w:r>
            <w:r w:rsidR="002E2AE8" w:rsidRPr="004E4188">
              <w:rPr>
                <w:smallCaps/>
                <w:spacing w:val="-4"/>
              </w:rPr>
              <w:t xml:space="preserve"> </w:t>
            </w:r>
            <w:r w:rsidR="00783E41" w:rsidRPr="004E4188">
              <w:rPr>
                <w:smallCaps/>
                <w:spacing w:val="-4"/>
              </w:rPr>
              <w:t>M</w:t>
            </w:r>
            <w:r w:rsidRPr="004E4188">
              <w:rPr>
                <w:smallCaps/>
                <w:spacing w:val="-4"/>
              </w:rPr>
              <w:t>odification</w:t>
            </w:r>
            <w:r w:rsidRPr="004E4188">
              <w:t> » seront ouvertes. La modification des offres</w:t>
            </w:r>
            <w:r w:rsidRPr="004E4188">
              <w:rPr>
                <w:lang w:eastAsia="ja-JP"/>
              </w:rPr>
              <w:t xml:space="preserve"> de la deuxième étape ne sera permise  </w:t>
            </w:r>
            <w:r w:rsidRPr="004E4188">
              <w:t xml:space="preserve">que si la notification de modification correspondante comporte une autorisation valide de demande de modification et que cette notification est lue à haute voix lors de l’ouverture des offres de la deuxième étape. Seules les offres de la deuxième étape, originales et modifiées, seront ouvertes et lues à haute voix lors de l’ouverture. </w:t>
            </w:r>
          </w:p>
        </w:tc>
      </w:tr>
      <w:tr w:rsidR="007049A5" w:rsidRPr="004E4188" w14:paraId="73EA4871" w14:textId="77777777" w:rsidTr="0092765E">
        <w:tc>
          <w:tcPr>
            <w:tcW w:w="2268" w:type="dxa"/>
            <w:tcBorders>
              <w:top w:val="nil"/>
              <w:left w:val="nil"/>
              <w:bottom w:val="nil"/>
              <w:right w:val="nil"/>
            </w:tcBorders>
          </w:tcPr>
          <w:p w14:paraId="2FDF8AED" w14:textId="77777777" w:rsidR="007049A5" w:rsidRPr="004E4188" w:rsidRDefault="007049A5" w:rsidP="006C6267"/>
        </w:tc>
        <w:tc>
          <w:tcPr>
            <w:tcW w:w="7023" w:type="dxa"/>
            <w:tcBorders>
              <w:top w:val="nil"/>
              <w:left w:val="nil"/>
              <w:bottom w:val="nil"/>
              <w:right w:val="nil"/>
            </w:tcBorders>
          </w:tcPr>
          <w:p w14:paraId="2DE16184" w14:textId="381EE462" w:rsidR="007049A5" w:rsidRPr="004E4188" w:rsidRDefault="007049A5" w:rsidP="006C6267">
            <w:pPr>
              <w:spacing w:after="200"/>
              <w:ind w:left="601" w:hanging="601"/>
            </w:pPr>
            <w:r w:rsidRPr="004E4188">
              <w:t>39.5</w:t>
            </w:r>
            <w:r w:rsidRPr="004E4188">
              <w:tab/>
              <w:t>Toutes les autres enveloppes comprenant les offres de la deuxième étape seront ouvertes l’une après l’autre, annonçant à haute voix :</w:t>
            </w:r>
          </w:p>
          <w:p w14:paraId="3A66E05E" w14:textId="77777777" w:rsidR="007049A5" w:rsidRPr="004E4188" w:rsidRDefault="007049A5" w:rsidP="006C6267">
            <w:pPr>
              <w:spacing w:after="200"/>
              <w:ind w:left="1026" w:hanging="425"/>
            </w:pPr>
            <w:r w:rsidRPr="004E4188">
              <w:rPr>
                <w:lang w:eastAsia="ja-JP"/>
              </w:rPr>
              <w:t>(a)</w:t>
            </w:r>
            <w:r w:rsidRPr="004E4188">
              <w:rPr>
                <w:lang w:eastAsia="ja-JP"/>
              </w:rPr>
              <w:tab/>
            </w:r>
            <w:r w:rsidRPr="004E4188">
              <w:t>le nom du Soumissionnaire ;</w:t>
            </w:r>
          </w:p>
          <w:p w14:paraId="17BA40B4" w14:textId="14EA4349" w:rsidR="007049A5" w:rsidRPr="004E4188" w:rsidRDefault="007049A5" w:rsidP="006C6267">
            <w:pPr>
              <w:spacing w:after="200"/>
              <w:ind w:left="1026" w:hanging="425"/>
            </w:pPr>
            <w:r w:rsidRPr="004E4188">
              <w:rPr>
                <w:lang w:eastAsia="ja-JP"/>
              </w:rPr>
              <w:t>(b)</w:t>
            </w:r>
            <w:r w:rsidRPr="004E4188">
              <w:rPr>
                <w:lang w:eastAsia="ja-JP"/>
              </w:rPr>
              <w:tab/>
            </w:r>
            <w:r w:rsidRPr="004E4188">
              <w:t>si un retrait, une substitution ou une modification a été demandé ;</w:t>
            </w:r>
          </w:p>
          <w:p w14:paraId="5F5108F6" w14:textId="05B0FBB0" w:rsidR="007049A5" w:rsidRPr="004E4188" w:rsidRDefault="007049A5" w:rsidP="006C6267">
            <w:pPr>
              <w:spacing w:after="200"/>
              <w:ind w:left="1026" w:hanging="425"/>
            </w:pPr>
            <w:r w:rsidRPr="004E4188">
              <w:rPr>
                <w:lang w:eastAsia="ja-JP"/>
              </w:rPr>
              <w:t>(c)</w:t>
            </w:r>
            <w:r w:rsidRPr="004E4188">
              <w:rPr>
                <w:lang w:eastAsia="ja-JP"/>
              </w:rPr>
              <w:tab/>
            </w:r>
            <w:r w:rsidRPr="004E4188">
              <w:t xml:space="preserve">le Montant de l’offre, y compris </w:t>
            </w:r>
            <w:r w:rsidR="006C36BE" w:rsidRPr="004E4188">
              <w:t xml:space="preserve">les </w:t>
            </w:r>
            <w:r w:rsidRPr="004E4188">
              <w:t>rabais</w:t>
            </w:r>
            <w:r w:rsidRPr="004E4188">
              <w:rPr>
                <w:lang w:eastAsia="ja-JP"/>
              </w:rPr>
              <w:t>, et dans le cas d’un appel d’offre</w:t>
            </w:r>
            <w:r w:rsidR="00DB5D28" w:rsidRPr="004E4188">
              <w:rPr>
                <w:lang w:eastAsia="ja-JP"/>
              </w:rPr>
              <w:t>s</w:t>
            </w:r>
            <w:r w:rsidRPr="004E4188">
              <w:rPr>
                <w:lang w:eastAsia="ja-JP"/>
              </w:rPr>
              <w:t xml:space="preserve"> lancé pour des lots multiples, le montant de chaque lot ainsi que la somme des montants de tous les lots, y compris les rabais</w:t>
            </w:r>
            <w:r w:rsidRPr="004E4188">
              <w:t> ;</w:t>
            </w:r>
          </w:p>
          <w:p w14:paraId="42D1C1D3" w14:textId="77777777" w:rsidR="007049A5" w:rsidRPr="004E4188" w:rsidRDefault="007049A5" w:rsidP="006C6267">
            <w:pPr>
              <w:spacing w:after="200"/>
              <w:ind w:left="1026" w:hanging="425"/>
            </w:pPr>
            <w:r w:rsidRPr="004E4188">
              <w:rPr>
                <w:lang w:eastAsia="ja-JP"/>
              </w:rPr>
              <w:t>(d)</w:t>
            </w:r>
            <w:r w:rsidRPr="004E4188">
              <w:rPr>
                <w:lang w:eastAsia="ja-JP"/>
              </w:rPr>
              <w:tab/>
            </w:r>
            <w:r w:rsidRPr="004E4188">
              <w:t>la présence ou l’absence de la garantie de soumission ; et</w:t>
            </w:r>
          </w:p>
          <w:p w14:paraId="04058A2E" w14:textId="77777777" w:rsidR="007049A5" w:rsidRPr="004E4188" w:rsidRDefault="007049A5" w:rsidP="006C6267">
            <w:pPr>
              <w:spacing w:after="200"/>
              <w:ind w:left="1026" w:hanging="425"/>
            </w:pPr>
            <w:r w:rsidRPr="004E4188">
              <w:rPr>
                <w:lang w:eastAsia="ja-JP"/>
              </w:rPr>
              <w:t>(e)</w:t>
            </w:r>
            <w:r w:rsidRPr="004E4188">
              <w:rPr>
                <w:lang w:eastAsia="ja-JP"/>
              </w:rPr>
              <w:tab/>
            </w:r>
            <w:r w:rsidRPr="004E4188">
              <w:t>tout autre détail que le Maître d’ouvrage jugera bon d’annoncer.</w:t>
            </w:r>
          </w:p>
          <w:p w14:paraId="6392C7F9" w14:textId="532A8176" w:rsidR="007049A5" w:rsidRPr="004E4188" w:rsidRDefault="007049A5" w:rsidP="006C6267">
            <w:pPr>
              <w:spacing w:after="200"/>
              <w:ind w:left="601"/>
            </w:pPr>
            <w:r w:rsidRPr="004E4188">
              <w:t>Seul</w:t>
            </w:r>
            <w:r w:rsidR="002F4830" w:rsidRPr="004E4188">
              <w:t>e</w:t>
            </w:r>
            <w:r w:rsidRPr="004E4188">
              <w:t>s les offres et les rabais annoncés à haute voix et enregistrés lors de l’ouverture des offres de la deuxième étape seront pris en compte aux fins de l’évaluation.</w:t>
            </w:r>
          </w:p>
          <w:p w14:paraId="110E7D51" w14:textId="0320F78C" w:rsidR="007049A5" w:rsidRPr="004E4188" w:rsidRDefault="007049A5" w:rsidP="006C6267">
            <w:pPr>
              <w:spacing w:after="200"/>
              <w:ind w:left="601"/>
            </w:pPr>
            <w:r w:rsidRPr="004E4188">
              <w:t>Le Maître d’ouvrage ne doit ni discuter des mérites d’une offre, ni rejeter une offre à l’ouverture des offres de la deuxième étape, à l’exception des offres hors délai conformément à IS</w:t>
            </w:r>
            <w:r w:rsidR="00783E41" w:rsidRPr="004E4188">
              <w:t> </w:t>
            </w:r>
            <w:r w:rsidRPr="004E4188">
              <w:rPr>
                <w:rFonts w:hint="eastAsia"/>
              </w:rPr>
              <w:t>37</w:t>
            </w:r>
            <w:r w:rsidRPr="004E4188">
              <w:t>.1.</w:t>
            </w:r>
          </w:p>
        </w:tc>
      </w:tr>
      <w:tr w:rsidR="007049A5" w:rsidRPr="004E4188" w14:paraId="4C5B74A3" w14:textId="77777777" w:rsidTr="0092765E">
        <w:tc>
          <w:tcPr>
            <w:tcW w:w="2268" w:type="dxa"/>
            <w:tcBorders>
              <w:top w:val="nil"/>
              <w:left w:val="nil"/>
              <w:bottom w:val="nil"/>
              <w:right w:val="nil"/>
            </w:tcBorders>
          </w:tcPr>
          <w:p w14:paraId="7DEA03D8" w14:textId="77777777" w:rsidR="007049A5" w:rsidRPr="004E4188" w:rsidRDefault="007049A5" w:rsidP="006C6267"/>
        </w:tc>
        <w:tc>
          <w:tcPr>
            <w:tcW w:w="7023" w:type="dxa"/>
            <w:tcBorders>
              <w:top w:val="nil"/>
              <w:left w:val="nil"/>
              <w:bottom w:val="nil"/>
              <w:right w:val="nil"/>
            </w:tcBorders>
          </w:tcPr>
          <w:p w14:paraId="15A26BC9" w14:textId="22C57567" w:rsidR="007049A5" w:rsidRPr="004E4188" w:rsidRDefault="007049A5" w:rsidP="006C6267">
            <w:pPr>
              <w:spacing w:after="200"/>
              <w:ind w:left="601" w:hanging="601"/>
            </w:pPr>
            <w:r w:rsidRPr="004E4188">
              <w:t>39.6</w:t>
            </w:r>
            <w:r w:rsidRPr="004E4188">
              <w:tab/>
              <w:t xml:space="preserve">Le Maître d’ouvrage établira le procès-verbal de la séance d’ouverture des offres de la deuxième étape, qui comportera au minimum : </w:t>
            </w:r>
          </w:p>
          <w:p w14:paraId="130DAA4E" w14:textId="0C35A519" w:rsidR="007049A5" w:rsidRPr="004E4188" w:rsidRDefault="007049A5" w:rsidP="0073105F">
            <w:pPr>
              <w:pStyle w:val="P3Header1-Clauses"/>
              <w:tabs>
                <w:tab w:val="clear" w:pos="432"/>
                <w:tab w:val="clear" w:pos="864"/>
              </w:tabs>
              <w:overflowPunct/>
              <w:autoSpaceDE/>
              <w:autoSpaceDN/>
              <w:adjustRightInd/>
              <w:spacing w:after="180"/>
              <w:ind w:left="1026" w:hanging="425"/>
              <w:jc w:val="both"/>
              <w:textAlignment w:val="auto"/>
              <w:rPr>
                <w:b w:val="0"/>
                <w:lang w:val="fr-FR"/>
              </w:rPr>
            </w:pPr>
            <w:r w:rsidRPr="004E4188">
              <w:rPr>
                <w:b w:val="0"/>
                <w:lang w:val="fr-FR"/>
              </w:rPr>
              <w:t>(a)</w:t>
            </w:r>
            <w:r w:rsidR="0073105F" w:rsidRPr="004E4188">
              <w:rPr>
                <w:lang w:val="fr-FR" w:eastAsia="ja-JP"/>
              </w:rPr>
              <w:tab/>
            </w:r>
            <w:r w:rsidRPr="004E4188">
              <w:rPr>
                <w:b w:val="0"/>
                <w:lang w:val="fr-FR"/>
              </w:rPr>
              <w:t>le nom du Soumissionnaire ;</w:t>
            </w:r>
          </w:p>
          <w:p w14:paraId="0E4B333A" w14:textId="010B6ECD" w:rsidR="007049A5" w:rsidRPr="004E4188" w:rsidRDefault="007049A5" w:rsidP="0073105F">
            <w:pPr>
              <w:pStyle w:val="P3Header1-Clauses"/>
              <w:tabs>
                <w:tab w:val="clear" w:pos="432"/>
                <w:tab w:val="clear" w:pos="864"/>
              </w:tabs>
              <w:overflowPunct/>
              <w:autoSpaceDE/>
              <w:autoSpaceDN/>
              <w:adjustRightInd/>
              <w:spacing w:after="180"/>
              <w:ind w:left="1026" w:hanging="425"/>
              <w:jc w:val="both"/>
              <w:textAlignment w:val="auto"/>
              <w:rPr>
                <w:b w:val="0"/>
                <w:lang w:val="fr-FR"/>
              </w:rPr>
            </w:pPr>
            <w:r w:rsidRPr="004E4188">
              <w:rPr>
                <w:b w:val="0"/>
                <w:lang w:val="fr-FR"/>
              </w:rPr>
              <w:t>(b)</w:t>
            </w:r>
            <w:r w:rsidR="0073105F" w:rsidRPr="004E4188">
              <w:rPr>
                <w:lang w:val="fr-FR" w:eastAsia="ja-JP"/>
              </w:rPr>
              <w:tab/>
            </w:r>
            <w:r w:rsidRPr="004E4188">
              <w:rPr>
                <w:b w:val="0"/>
                <w:lang w:val="fr-FR"/>
              </w:rPr>
              <w:t>s’il y a retrait, substitution ou modification de l’offre ;</w:t>
            </w:r>
          </w:p>
          <w:p w14:paraId="75F8F715" w14:textId="1759CD07" w:rsidR="007049A5" w:rsidRPr="004E4188" w:rsidRDefault="007049A5" w:rsidP="0073105F">
            <w:pPr>
              <w:spacing w:after="180"/>
              <w:ind w:left="1026" w:hanging="425"/>
            </w:pPr>
            <w:r w:rsidRPr="004E4188">
              <w:t>(c)</w:t>
            </w:r>
            <w:r w:rsidR="0073105F" w:rsidRPr="004E4188">
              <w:rPr>
                <w:lang w:eastAsia="ja-JP"/>
              </w:rPr>
              <w:tab/>
            </w:r>
            <w:r w:rsidRPr="004E4188">
              <w:t>le Montant de l’offre, y compris les rabais</w:t>
            </w:r>
            <w:r w:rsidRPr="004E4188">
              <w:rPr>
                <w:lang w:eastAsia="ja-JP"/>
              </w:rPr>
              <w:t>, et dans le cas d’un appel d’offre</w:t>
            </w:r>
            <w:r w:rsidR="00401649" w:rsidRPr="004E4188">
              <w:rPr>
                <w:lang w:eastAsia="ja-JP"/>
              </w:rPr>
              <w:t>s</w:t>
            </w:r>
            <w:r w:rsidRPr="004E4188">
              <w:rPr>
                <w:lang w:eastAsia="ja-JP"/>
              </w:rPr>
              <w:t xml:space="preserve"> lancé pour des lots multiples, le montant de chaque lot ainsi que la somme des montants de tous les lots, y compris les rabais ;</w:t>
            </w:r>
            <w:r w:rsidRPr="004E4188">
              <w:t xml:space="preserve"> et </w:t>
            </w:r>
          </w:p>
          <w:p w14:paraId="6B2BD79D" w14:textId="3B9782AF" w:rsidR="007049A5" w:rsidRPr="004E4188" w:rsidRDefault="007049A5" w:rsidP="0073105F">
            <w:pPr>
              <w:spacing w:after="180"/>
              <w:ind w:left="1026" w:hanging="425"/>
            </w:pPr>
            <w:r w:rsidRPr="004E4188">
              <w:t>(d)</w:t>
            </w:r>
            <w:r w:rsidR="0073105F" w:rsidRPr="004E4188">
              <w:rPr>
                <w:lang w:eastAsia="ja-JP"/>
              </w:rPr>
              <w:tab/>
            </w:r>
            <w:r w:rsidRPr="004E4188">
              <w:t xml:space="preserve">la présence ou l’absence de la garantie de soumission. </w:t>
            </w:r>
          </w:p>
          <w:p w14:paraId="0BFB8CF6" w14:textId="77777777" w:rsidR="007049A5" w:rsidRPr="004E4188" w:rsidRDefault="007049A5" w:rsidP="0073105F">
            <w:pPr>
              <w:pStyle w:val="OptB-S1-subpara"/>
              <w:tabs>
                <w:tab w:val="clear" w:pos="718"/>
                <w:tab w:val="left" w:pos="1042"/>
              </w:tabs>
              <w:ind w:left="601" w:firstLine="0"/>
              <w:rPr>
                <w:lang w:val="fr-FR"/>
              </w:rPr>
            </w:pPr>
            <w:r w:rsidRPr="004E4188">
              <w:rPr>
                <w:lang w:val="fr-FR"/>
              </w:rPr>
              <w:t xml:space="preserve">Il sera demandé aux représentants des Soumissionnaires présents de signer le procès-verbal. </w:t>
            </w:r>
            <w:r w:rsidRPr="004E4188">
              <w:rPr>
                <w:szCs w:val="24"/>
                <w:lang w:val="fr-FR"/>
              </w:rPr>
              <w:t xml:space="preserve">L’omission de la signature d’un Soumissionnaire sur le procès-verbal n’invalide ni son contenu, ni sa portée. </w:t>
            </w:r>
            <w:r w:rsidRPr="004E4188">
              <w:rPr>
                <w:lang w:val="fr-FR"/>
              </w:rPr>
              <w:t>Un exemplaire du procès-verbal sera distribué à tous les Soumissionnaires</w:t>
            </w:r>
            <w:r w:rsidRPr="004E4188">
              <w:rPr>
                <w:szCs w:val="24"/>
                <w:lang w:val="fr-FR"/>
              </w:rPr>
              <w:t xml:space="preserve"> qui ont soumis une offre de la </w:t>
            </w:r>
            <w:r w:rsidRPr="004E4188">
              <w:rPr>
                <w:lang w:val="fr-FR"/>
              </w:rPr>
              <w:t>deuxième</w:t>
            </w:r>
            <w:r w:rsidRPr="004E4188">
              <w:rPr>
                <w:szCs w:val="24"/>
                <w:lang w:val="fr-FR"/>
              </w:rPr>
              <w:t xml:space="preserve"> étape en temps voulu, et à la JICA</w:t>
            </w:r>
            <w:r w:rsidRPr="004E4188">
              <w:rPr>
                <w:lang w:val="fr-FR"/>
              </w:rPr>
              <w:t>.</w:t>
            </w:r>
          </w:p>
        </w:tc>
      </w:tr>
      <w:tr w:rsidR="002E2AE8" w:rsidRPr="004E4188" w14:paraId="6E07B0FB" w14:textId="77777777" w:rsidTr="0092765E">
        <w:tc>
          <w:tcPr>
            <w:tcW w:w="9291" w:type="dxa"/>
            <w:gridSpan w:val="2"/>
            <w:tcBorders>
              <w:top w:val="nil"/>
              <w:left w:val="nil"/>
              <w:bottom w:val="nil"/>
              <w:right w:val="nil"/>
            </w:tcBorders>
          </w:tcPr>
          <w:p w14:paraId="02BB7F1A" w14:textId="0EA16CFD" w:rsidR="002E2AE8" w:rsidRPr="004E4188" w:rsidRDefault="002E2AE8" w:rsidP="00A904FB">
            <w:pPr>
              <w:pStyle w:val="Section1Header1"/>
              <w:spacing w:after="200"/>
            </w:pPr>
            <w:bookmarkStart w:id="413" w:name="_Toc104195603"/>
            <w:r w:rsidRPr="004E4188">
              <w:t>E3. Offres de la deuxième étape : évaluation et comparaison</w:t>
            </w:r>
            <w:bookmarkEnd w:id="413"/>
          </w:p>
        </w:tc>
      </w:tr>
      <w:tr w:rsidR="007049A5" w:rsidRPr="004E4188" w14:paraId="09BD40D3" w14:textId="77777777" w:rsidTr="0092765E">
        <w:tc>
          <w:tcPr>
            <w:tcW w:w="2268" w:type="dxa"/>
            <w:tcBorders>
              <w:top w:val="nil"/>
              <w:left w:val="nil"/>
              <w:bottom w:val="nil"/>
              <w:right w:val="nil"/>
            </w:tcBorders>
          </w:tcPr>
          <w:p w14:paraId="381D714A" w14:textId="48171259" w:rsidR="007049A5" w:rsidRPr="004E4188" w:rsidRDefault="007049A5" w:rsidP="0092765E">
            <w:pPr>
              <w:pStyle w:val="Header1-Clauses"/>
              <w:ind w:left="357" w:hanging="357"/>
              <w:rPr>
                <w:lang w:val="fr-FR"/>
              </w:rPr>
            </w:pPr>
            <w:bookmarkStart w:id="414" w:name="_Toc104195604"/>
            <w:r w:rsidRPr="004E4188">
              <w:rPr>
                <w:lang w:val="fr-FR"/>
              </w:rPr>
              <w:t>4</w:t>
            </w:r>
            <w:r w:rsidRPr="004E4188">
              <w:rPr>
                <w:rFonts w:hint="eastAsia"/>
                <w:lang w:val="fr-FR"/>
              </w:rPr>
              <w:t>0</w:t>
            </w:r>
            <w:r w:rsidRPr="004E4188">
              <w:rPr>
                <w:lang w:val="fr-FR"/>
              </w:rPr>
              <w:t>.</w:t>
            </w:r>
            <w:r w:rsidRPr="004E4188">
              <w:rPr>
                <w:lang w:val="fr-FR"/>
              </w:rPr>
              <w:tab/>
              <w:t>Éclaircisse</w:t>
            </w:r>
            <w:r w:rsidR="00F54255" w:rsidRPr="004E4188">
              <w:rPr>
                <w:lang w:val="fr-FR"/>
              </w:rPr>
              <w:softHyphen/>
            </w:r>
            <w:r w:rsidRPr="004E4188">
              <w:rPr>
                <w:lang w:val="fr-FR"/>
              </w:rPr>
              <w:t>ments des offres de la deuxième étape</w:t>
            </w:r>
            <w:bookmarkEnd w:id="414"/>
          </w:p>
        </w:tc>
        <w:tc>
          <w:tcPr>
            <w:tcW w:w="7023" w:type="dxa"/>
            <w:tcBorders>
              <w:top w:val="nil"/>
              <w:left w:val="nil"/>
              <w:bottom w:val="nil"/>
              <w:right w:val="nil"/>
            </w:tcBorders>
          </w:tcPr>
          <w:p w14:paraId="5C900836" w14:textId="375866A4" w:rsidR="007049A5" w:rsidRPr="004E4188" w:rsidRDefault="007049A5" w:rsidP="00B57190">
            <w:pPr>
              <w:spacing w:after="200"/>
              <w:ind w:left="601" w:hanging="601"/>
            </w:pPr>
            <w:r w:rsidRPr="004E4188">
              <w:t>40.1</w:t>
            </w:r>
            <w:r w:rsidRPr="004E4188">
              <w:tab/>
              <w:t xml:space="preserve">Pour faciliter l’examen, l’évaluation, la comparaison des offres de la deuxième étape et la vérification des qualifications des Soumissionnaires, le Maître d’ouvrage peut, à sa discrétion, demander à un Soumissionnaire des éclaircissements sur son offre, en accordant un délai suffisant pour la réponse. Aucun </w:t>
            </w:r>
            <w:r w:rsidRPr="004E4188">
              <w:rPr>
                <w:szCs w:val="24"/>
              </w:rPr>
              <w:t>éclaircissement</w:t>
            </w:r>
            <w:r w:rsidRPr="004E4188">
              <w:t xml:space="preserve"> apporté par un Soumissionnaire autrement qu’en réponse à une demande du Maître d’ouvrage ne sera pris en compte. La demande d’éclaircissements du Maître d’ouvrage ainsi que la réponse qui y sera apportée devront être formulées par écrit. Aucun changement dans les montants ou la substance de l’offre de la deuxième étape, y compris toute augmentation ou diminution volontaire, ne sera demandé, offert ou autorisé, si ce n’est pour confirmer la correction des erreurs arithmétiques découvertes par le Maître d’ouvrage lors de l’évaluation des offres, conformément à IS 46.</w:t>
            </w:r>
          </w:p>
          <w:p w14:paraId="1C97E1C7" w14:textId="3E5B0C08" w:rsidR="007049A5" w:rsidRPr="004E4188" w:rsidRDefault="007049A5" w:rsidP="006C6267">
            <w:pPr>
              <w:spacing w:after="200"/>
              <w:ind w:left="601" w:hanging="601"/>
            </w:pPr>
            <w:r w:rsidRPr="004E4188">
              <w:t>40.2</w:t>
            </w:r>
            <w:r w:rsidRPr="004E4188">
              <w:tab/>
              <w:t xml:space="preserve">Si un Soumissionnaire ne répond pas à une demande d’éclaircissements sur son offre </w:t>
            </w:r>
            <w:r w:rsidR="00CB46CC" w:rsidRPr="004E4188">
              <w:t xml:space="preserve">de la deuxième étape </w:t>
            </w:r>
            <w:r w:rsidRPr="004E4188">
              <w:t xml:space="preserve">avant la date et l’heure fixées par le Maître d’ouvrage </w:t>
            </w:r>
            <w:r w:rsidRPr="004E4188">
              <w:rPr>
                <w:szCs w:val="24"/>
              </w:rPr>
              <w:t>dans</w:t>
            </w:r>
            <w:r w:rsidRPr="004E4188">
              <w:t xml:space="preserve"> la demande, son offre est susceptible d’être rejetée.</w:t>
            </w:r>
          </w:p>
        </w:tc>
      </w:tr>
      <w:tr w:rsidR="007049A5" w:rsidRPr="004E4188" w14:paraId="11CC1979" w14:textId="77777777" w:rsidTr="0092765E">
        <w:tc>
          <w:tcPr>
            <w:tcW w:w="2268" w:type="dxa"/>
            <w:tcBorders>
              <w:top w:val="nil"/>
              <w:left w:val="nil"/>
              <w:right w:val="nil"/>
            </w:tcBorders>
          </w:tcPr>
          <w:p w14:paraId="3C6C949A" w14:textId="57673D8E" w:rsidR="007049A5" w:rsidRPr="004E4188" w:rsidRDefault="007049A5" w:rsidP="0092765E">
            <w:pPr>
              <w:pStyle w:val="Header1-Clauses"/>
              <w:ind w:left="357" w:hanging="357"/>
              <w:rPr>
                <w:lang w:val="fr-FR"/>
              </w:rPr>
            </w:pPr>
            <w:bookmarkStart w:id="415" w:name="_Toc104195605"/>
            <w:r w:rsidRPr="004E4188">
              <w:rPr>
                <w:lang w:val="fr-FR"/>
              </w:rPr>
              <w:t>41.</w:t>
            </w:r>
            <w:r w:rsidRPr="004E4188">
              <w:rPr>
                <w:lang w:val="fr-FR"/>
              </w:rPr>
              <w:tab/>
              <w:t>Divergences, réserves ou omissions</w:t>
            </w:r>
            <w:bookmarkEnd w:id="415"/>
          </w:p>
        </w:tc>
        <w:tc>
          <w:tcPr>
            <w:tcW w:w="7023" w:type="dxa"/>
            <w:tcBorders>
              <w:top w:val="nil"/>
              <w:left w:val="nil"/>
              <w:right w:val="nil"/>
            </w:tcBorders>
          </w:tcPr>
          <w:p w14:paraId="2C8DA965" w14:textId="4C5B617C" w:rsidR="007049A5" w:rsidRPr="004E4188" w:rsidRDefault="007049A5" w:rsidP="006C6267">
            <w:pPr>
              <w:spacing w:after="200"/>
              <w:ind w:left="601" w:hanging="601"/>
            </w:pPr>
            <w:r w:rsidRPr="004E4188">
              <w:t>41.1</w:t>
            </w:r>
            <w:r w:rsidRPr="004E4188">
              <w:tab/>
              <w:t>Aux fins de l’évaluation des offres de la deuxième étape, les définitions suivantes s’appliquent :</w:t>
            </w:r>
          </w:p>
          <w:p w14:paraId="51A84C2D" w14:textId="77777777" w:rsidR="007049A5" w:rsidRPr="004E4188" w:rsidRDefault="007049A5" w:rsidP="006C6267">
            <w:pPr>
              <w:spacing w:after="200"/>
              <w:ind w:left="1026" w:hanging="425"/>
            </w:pPr>
            <w:r w:rsidRPr="004E4188">
              <w:t>(a)</w:t>
            </w:r>
            <w:r w:rsidRPr="004E4188">
              <w:rPr>
                <w:lang w:eastAsia="ja-JP"/>
              </w:rPr>
              <w:tab/>
            </w:r>
            <w:r w:rsidRPr="004E4188">
              <w:t>une « divergence » est un écart par rapport aux stipulations du Dossier d’appel d’offres ;</w:t>
            </w:r>
          </w:p>
          <w:p w14:paraId="407F34F0" w14:textId="77777777" w:rsidR="007049A5" w:rsidRPr="004E4188" w:rsidRDefault="007049A5" w:rsidP="006C6267">
            <w:pPr>
              <w:suppressAutoHyphens w:val="0"/>
              <w:spacing w:after="200"/>
              <w:ind w:left="1026" w:hanging="425"/>
            </w:pPr>
            <w:r w:rsidRPr="004E4188">
              <w:t>(b)</w:t>
            </w:r>
            <w:r w:rsidRPr="004E4188">
              <w:rPr>
                <w:lang w:eastAsia="ja-JP"/>
              </w:rPr>
              <w:tab/>
            </w:r>
            <w:r w:rsidRPr="004E4188">
              <w:t xml:space="preserve">une « réserve » est la formulation d’une condition restrictive, ou le refus d’accepter dans leur intégralité les exigences du Dossier d’appel d’offres ; et </w:t>
            </w:r>
          </w:p>
          <w:p w14:paraId="6B1EA5D0" w14:textId="71B43F0A" w:rsidR="007049A5" w:rsidRPr="004E4188" w:rsidRDefault="007049A5" w:rsidP="002F08CE">
            <w:pPr>
              <w:suppressAutoHyphens w:val="0"/>
              <w:spacing w:after="200"/>
              <w:ind w:left="1026" w:hanging="425"/>
            </w:pPr>
            <w:r w:rsidRPr="004E4188">
              <w:t>(c)</w:t>
            </w:r>
            <w:r w:rsidRPr="004E4188">
              <w:rPr>
                <w:lang w:eastAsia="ja-JP"/>
              </w:rPr>
              <w:tab/>
            </w:r>
            <w:r w:rsidRPr="004E4188">
              <w:t>une « omission » est la non</w:t>
            </w:r>
            <w:r w:rsidR="002F08CE" w:rsidRPr="004E4188">
              <w:t>-</w:t>
            </w:r>
            <w:r w:rsidRPr="004E4188">
              <w:t xml:space="preserve">soumission totale ou partielle des renseignements ou documents exigés par le Dossier d’appel d’offres. </w:t>
            </w:r>
          </w:p>
        </w:tc>
      </w:tr>
      <w:tr w:rsidR="007049A5" w:rsidRPr="004E4188" w14:paraId="780849FA" w14:textId="77777777" w:rsidTr="0092765E">
        <w:tc>
          <w:tcPr>
            <w:tcW w:w="2268" w:type="dxa"/>
            <w:tcBorders>
              <w:top w:val="nil"/>
              <w:left w:val="nil"/>
              <w:right w:val="nil"/>
            </w:tcBorders>
          </w:tcPr>
          <w:p w14:paraId="5DF9E2A4" w14:textId="7010E518" w:rsidR="007049A5" w:rsidRPr="004E4188" w:rsidRDefault="007049A5" w:rsidP="0092765E">
            <w:pPr>
              <w:pStyle w:val="Header1-Clauses"/>
              <w:ind w:left="357" w:hanging="357"/>
              <w:rPr>
                <w:lang w:val="fr-FR"/>
              </w:rPr>
            </w:pPr>
            <w:bookmarkStart w:id="416" w:name="_Toc104195606"/>
            <w:r w:rsidRPr="004E4188">
              <w:rPr>
                <w:lang w:val="fr-FR"/>
              </w:rPr>
              <w:t>42.</w:t>
            </w:r>
            <w:r w:rsidRPr="004E4188">
              <w:rPr>
                <w:lang w:val="fr-FR"/>
              </w:rPr>
              <w:tab/>
              <w:t>Examen préliminaire des offres de la deuxième étape</w:t>
            </w:r>
            <w:bookmarkEnd w:id="416"/>
          </w:p>
        </w:tc>
        <w:tc>
          <w:tcPr>
            <w:tcW w:w="7023" w:type="dxa"/>
            <w:tcBorders>
              <w:top w:val="nil"/>
              <w:left w:val="nil"/>
              <w:right w:val="nil"/>
            </w:tcBorders>
          </w:tcPr>
          <w:p w14:paraId="56788372" w14:textId="1BB7FD1E" w:rsidR="007049A5" w:rsidRPr="004E4188" w:rsidRDefault="007049A5" w:rsidP="006C6267">
            <w:pPr>
              <w:spacing w:after="200"/>
              <w:ind w:left="601" w:hanging="601"/>
            </w:pPr>
            <w:r w:rsidRPr="004E4188">
              <w:t>42.1</w:t>
            </w:r>
            <w:r w:rsidRPr="004E4188">
              <w:rPr>
                <w:lang w:eastAsia="ja-JP"/>
              </w:rPr>
              <w:tab/>
            </w:r>
            <w:r w:rsidRPr="004E4188">
              <w:t>Le Maître d’ouvrage examinera les offres de la deuxième étape pour s’assurer que tous les documents et renseignements demandés à IS 28.1 ont été fournis et pour déterminer que chacun des documents soumis est complet.</w:t>
            </w:r>
          </w:p>
          <w:p w14:paraId="68578C65" w14:textId="2AE35400" w:rsidR="007049A5" w:rsidRPr="004E4188" w:rsidRDefault="007049A5" w:rsidP="006C6267">
            <w:pPr>
              <w:spacing w:after="200"/>
              <w:ind w:left="601" w:hanging="601"/>
            </w:pPr>
            <w:r w:rsidRPr="004E4188">
              <w:t>42.2</w:t>
            </w:r>
            <w:r w:rsidRPr="004E4188">
              <w:rPr>
                <w:lang w:eastAsia="ja-JP"/>
              </w:rPr>
              <w:tab/>
            </w:r>
            <w:r w:rsidRPr="004E4188">
              <w:t>Le Maître d’ouvrage doit s’assurer que les documents et renseignements suivants ont été fournis dans l’offre de la deuxième étape. Si l’un de ces documents ou renseignements manque, l’offre doit être rejetée</w:t>
            </w:r>
            <w:r w:rsidR="005E4F56" w:rsidRPr="004E4188">
              <w:t> :</w:t>
            </w:r>
          </w:p>
          <w:p w14:paraId="01B1F2AF" w14:textId="77777777" w:rsidR="007049A5" w:rsidRPr="004E4188" w:rsidRDefault="007049A5" w:rsidP="006C6267">
            <w:pPr>
              <w:suppressAutoHyphens w:val="0"/>
              <w:spacing w:after="200"/>
              <w:ind w:left="1026" w:hanging="425"/>
            </w:pPr>
            <w:r w:rsidRPr="004E4188">
              <w:t>(a)</w:t>
            </w:r>
            <w:r w:rsidRPr="004E4188">
              <w:rPr>
                <w:lang w:eastAsia="ja-JP"/>
              </w:rPr>
              <w:tab/>
            </w:r>
            <w:r w:rsidRPr="004E4188">
              <w:t>la Lettre de soumission de l’offre de la deuxième étape ;</w:t>
            </w:r>
          </w:p>
          <w:p w14:paraId="02CA5381" w14:textId="6A66B928" w:rsidR="007049A5" w:rsidRPr="004E4188" w:rsidRDefault="007049A5" w:rsidP="006C6267">
            <w:pPr>
              <w:suppressAutoHyphens w:val="0"/>
              <w:spacing w:after="200"/>
              <w:ind w:left="1026" w:hanging="425"/>
            </w:pPr>
            <w:r w:rsidRPr="004E4188">
              <w:t>(b)</w:t>
            </w:r>
            <w:r w:rsidRPr="004E4188">
              <w:tab/>
              <w:t>la procuration attestant l’habilitation du signataire de l’offre à engager le Soumissionnaire ;</w:t>
            </w:r>
          </w:p>
          <w:p w14:paraId="26F22407" w14:textId="095213A1" w:rsidR="007049A5" w:rsidRPr="004E4188" w:rsidRDefault="007049A5" w:rsidP="006C6267">
            <w:pPr>
              <w:suppressAutoHyphens w:val="0"/>
              <w:spacing w:after="200"/>
              <w:ind w:left="1026" w:hanging="425"/>
            </w:pPr>
            <w:r w:rsidRPr="004E4188">
              <w:t>(c)</w:t>
            </w:r>
            <w:r w:rsidRPr="004E4188">
              <w:tab/>
              <w:t>la garantie de soumission ;</w:t>
            </w:r>
          </w:p>
          <w:p w14:paraId="325CE1CF" w14:textId="77777777" w:rsidR="007049A5" w:rsidRPr="004E4188" w:rsidRDefault="007049A5" w:rsidP="006C6267">
            <w:pPr>
              <w:suppressAutoHyphens w:val="0"/>
              <w:spacing w:after="200"/>
              <w:ind w:left="1026" w:hanging="425"/>
            </w:pPr>
            <w:r w:rsidRPr="004E4188">
              <w:t>(d)</w:t>
            </w:r>
            <w:r w:rsidRPr="004E4188">
              <w:rPr>
                <w:lang w:eastAsia="ja-JP"/>
              </w:rPr>
              <w:tab/>
            </w:r>
            <w:r w:rsidRPr="004E4188">
              <w:t>l’offre de la première étape actualisée ; et</w:t>
            </w:r>
          </w:p>
          <w:p w14:paraId="304F94B2" w14:textId="77777777" w:rsidR="007049A5" w:rsidRPr="004E4188" w:rsidRDefault="007049A5" w:rsidP="006C6267">
            <w:pPr>
              <w:suppressAutoHyphens w:val="0"/>
              <w:spacing w:after="200"/>
              <w:ind w:left="1026" w:hanging="425"/>
            </w:pPr>
            <w:r w:rsidRPr="004E4188">
              <w:t>(e)</w:t>
            </w:r>
            <w:r w:rsidRPr="004E4188">
              <w:rPr>
                <w:lang w:eastAsia="ja-JP"/>
              </w:rPr>
              <w:tab/>
            </w:r>
            <w:r w:rsidRPr="004E4188">
              <w:t>les Bordereaux des prix.</w:t>
            </w:r>
          </w:p>
        </w:tc>
      </w:tr>
      <w:tr w:rsidR="007049A5" w:rsidRPr="004E4188" w14:paraId="05CB26A6" w14:textId="77777777" w:rsidTr="0092765E">
        <w:tc>
          <w:tcPr>
            <w:tcW w:w="2268" w:type="dxa"/>
            <w:tcBorders>
              <w:top w:val="nil"/>
              <w:left w:val="nil"/>
              <w:right w:val="nil"/>
            </w:tcBorders>
          </w:tcPr>
          <w:p w14:paraId="710AE970" w14:textId="1BD5098F" w:rsidR="007049A5" w:rsidRPr="004E4188" w:rsidRDefault="007049A5" w:rsidP="0092765E">
            <w:pPr>
              <w:pStyle w:val="Header1-Clauses"/>
              <w:tabs>
                <w:tab w:val="clear" w:pos="432"/>
              </w:tabs>
              <w:ind w:left="357" w:hanging="357"/>
              <w:rPr>
                <w:lang w:val="fr-FR"/>
              </w:rPr>
            </w:pPr>
            <w:bookmarkStart w:id="417" w:name="_Toc104195607"/>
            <w:r w:rsidRPr="004E4188">
              <w:rPr>
                <w:rFonts w:hint="eastAsia"/>
                <w:lang w:val="fr-FR"/>
              </w:rPr>
              <w:t>43.</w:t>
            </w:r>
            <w:r w:rsidR="002D0ADE" w:rsidRPr="004E4188">
              <w:rPr>
                <w:lang w:val="fr-FR"/>
              </w:rPr>
              <w:tab/>
            </w:r>
            <w:bookmarkStart w:id="418" w:name="_Toc94309094"/>
            <w:r w:rsidRPr="004E4188">
              <w:rPr>
                <w:lang w:val="en-GB"/>
              </w:rPr>
              <w:t>Q</w:t>
            </w:r>
            <w:r w:rsidRPr="004E4188">
              <w:rPr>
                <w:lang w:val="fr-FR"/>
              </w:rPr>
              <w:t>ualification des Soumissionnair-e</w:t>
            </w:r>
            <w:bookmarkEnd w:id="418"/>
            <w:r w:rsidRPr="004E4188">
              <w:rPr>
                <w:lang w:val="fr-FR"/>
              </w:rPr>
              <w:t>s</w:t>
            </w:r>
            <w:bookmarkEnd w:id="417"/>
          </w:p>
        </w:tc>
        <w:tc>
          <w:tcPr>
            <w:tcW w:w="7023" w:type="dxa"/>
            <w:tcBorders>
              <w:top w:val="nil"/>
              <w:left w:val="nil"/>
              <w:right w:val="nil"/>
            </w:tcBorders>
          </w:tcPr>
          <w:p w14:paraId="4AAA6400" w14:textId="77777777" w:rsidR="007049A5" w:rsidRPr="004E4188" w:rsidRDefault="007049A5" w:rsidP="006C6267">
            <w:pPr>
              <w:spacing w:after="200"/>
              <w:ind w:left="601" w:hanging="601"/>
            </w:pPr>
            <w:r w:rsidRPr="004E4188">
              <w:t>43.1</w:t>
            </w:r>
            <w:r w:rsidRPr="004E4188">
              <w:tab/>
              <w:t>Le Maître d’ouvrage doit s’assurer que le Soumissionnaire retenu pour avoir soumis l’offre évaluée la moins-disante et substantiellement conforme aux dispositions du Dossier d’appel d’offres, continue de satisfaire aux critères de qualification stipulés à la Section III, Critères d’évaluation et de qualification.</w:t>
            </w:r>
          </w:p>
        </w:tc>
      </w:tr>
      <w:tr w:rsidR="007049A5" w:rsidRPr="004E4188" w14:paraId="6CB578CD" w14:textId="77777777" w:rsidTr="0092765E">
        <w:tc>
          <w:tcPr>
            <w:tcW w:w="2268" w:type="dxa"/>
            <w:tcBorders>
              <w:top w:val="nil"/>
              <w:left w:val="nil"/>
              <w:right w:val="nil"/>
            </w:tcBorders>
          </w:tcPr>
          <w:p w14:paraId="5D966F31" w14:textId="77777777" w:rsidR="007049A5" w:rsidRPr="004E4188" w:rsidRDefault="007049A5" w:rsidP="0092765E">
            <w:pPr>
              <w:pStyle w:val="Header1-Clauses"/>
              <w:ind w:left="357" w:hanging="357"/>
              <w:rPr>
                <w:lang w:val="fr-FR"/>
              </w:rPr>
            </w:pPr>
          </w:p>
        </w:tc>
        <w:tc>
          <w:tcPr>
            <w:tcW w:w="7023" w:type="dxa"/>
            <w:tcBorders>
              <w:top w:val="nil"/>
              <w:left w:val="nil"/>
              <w:right w:val="nil"/>
            </w:tcBorders>
          </w:tcPr>
          <w:p w14:paraId="6F34902D" w14:textId="3177BB86" w:rsidR="007049A5" w:rsidRPr="004E4188" w:rsidRDefault="007049A5" w:rsidP="006C6267">
            <w:pPr>
              <w:suppressAutoHyphens w:val="0"/>
              <w:overflowPunct/>
              <w:autoSpaceDE/>
              <w:autoSpaceDN/>
              <w:adjustRightInd/>
              <w:spacing w:after="200"/>
              <w:ind w:left="578" w:hanging="578"/>
              <w:textAlignment w:val="auto"/>
              <w:rPr>
                <w:lang w:eastAsia="en-US"/>
              </w:rPr>
            </w:pPr>
            <w:r w:rsidRPr="004E4188">
              <w:rPr>
                <w:lang w:eastAsia="en-US"/>
              </w:rPr>
              <w:t>43.2</w:t>
            </w:r>
            <w:r w:rsidRPr="004E4188">
              <w:rPr>
                <w:lang w:eastAsia="en-US"/>
              </w:rPr>
              <w:tab/>
              <w:t xml:space="preserve">La confirmation des qualifications </w:t>
            </w:r>
            <w:r w:rsidR="00084B3D" w:rsidRPr="004E4188">
              <w:rPr>
                <w:lang w:eastAsia="en-US"/>
              </w:rPr>
              <w:t xml:space="preserve">du </w:t>
            </w:r>
            <w:r w:rsidRPr="004E4188">
              <w:rPr>
                <w:lang w:eastAsia="en-US"/>
              </w:rPr>
              <w:t>Soumissionnaire est un prérequis à l’attribution du Marché. Un résultat négatif entraînera le rejet de l’offre. Dans ce cas, le Maître d’ouvrage procédera à l’examen de la seconde offre évaluée la moins-disante afin d’effectuer une détermination similaire des qualifications du Soumissionnaire.</w:t>
            </w:r>
          </w:p>
          <w:p w14:paraId="4E8C0555" w14:textId="77777777" w:rsidR="007049A5" w:rsidRPr="004E4188" w:rsidRDefault="007049A5" w:rsidP="006C6267">
            <w:pPr>
              <w:spacing w:after="200"/>
              <w:ind w:left="601" w:hanging="601"/>
            </w:pPr>
            <w:r w:rsidRPr="004E4188">
              <w:rPr>
                <w:lang w:eastAsia="en-US"/>
              </w:rPr>
              <w:t>43.3</w:t>
            </w:r>
            <w:r w:rsidRPr="004E4188">
              <w:rPr>
                <w:lang w:eastAsia="en-US"/>
              </w:rPr>
              <w:tab/>
              <w:t>Les sous-traitants proposés dans l’offre du Soumissionnaire doivent remplir les critères d’éligibilité de IS 4.</w:t>
            </w:r>
          </w:p>
        </w:tc>
      </w:tr>
      <w:tr w:rsidR="007049A5" w:rsidRPr="004E4188" w14:paraId="235719CD" w14:textId="77777777" w:rsidTr="0092765E">
        <w:tc>
          <w:tcPr>
            <w:tcW w:w="2268" w:type="dxa"/>
            <w:tcBorders>
              <w:top w:val="nil"/>
              <w:left w:val="nil"/>
              <w:bottom w:val="nil"/>
              <w:right w:val="nil"/>
            </w:tcBorders>
          </w:tcPr>
          <w:p w14:paraId="08E83208" w14:textId="7399C8AF" w:rsidR="007049A5" w:rsidRPr="004E4188" w:rsidRDefault="007049A5" w:rsidP="0092765E">
            <w:pPr>
              <w:pStyle w:val="Header1-Clauses"/>
              <w:ind w:left="357" w:hanging="357"/>
              <w:rPr>
                <w:lang w:val="fr-FR"/>
              </w:rPr>
            </w:pPr>
            <w:bookmarkStart w:id="419" w:name="_Toc104195608"/>
            <w:r w:rsidRPr="004E4188">
              <w:rPr>
                <w:lang w:val="fr-FR"/>
              </w:rPr>
              <w:t>44.</w:t>
            </w:r>
            <w:r w:rsidRPr="004E4188">
              <w:rPr>
                <w:lang w:val="fr-FR"/>
              </w:rPr>
              <w:tab/>
              <w:t>Conformité de l’offre de la deuxième étape</w:t>
            </w:r>
            <w:bookmarkEnd w:id="419"/>
          </w:p>
          <w:p w14:paraId="4ED42390" w14:textId="77777777" w:rsidR="007049A5" w:rsidRPr="004E4188" w:rsidRDefault="007049A5" w:rsidP="0092765E">
            <w:pPr>
              <w:numPr>
                <w:ilvl w:val="12"/>
                <w:numId w:val="0"/>
              </w:numPr>
              <w:ind w:left="357" w:hanging="357"/>
            </w:pPr>
          </w:p>
        </w:tc>
        <w:tc>
          <w:tcPr>
            <w:tcW w:w="7023" w:type="dxa"/>
            <w:tcBorders>
              <w:top w:val="nil"/>
              <w:left w:val="nil"/>
              <w:bottom w:val="nil"/>
              <w:right w:val="nil"/>
            </w:tcBorders>
          </w:tcPr>
          <w:p w14:paraId="3B65302B" w14:textId="5961D68D" w:rsidR="007049A5" w:rsidRPr="004E4188" w:rsidRDefault="007049A5" w:rsidP="006C6267">
            <w:pPr>
              <w:spacing w:after="200"/>
              <w:ind w:left="601" w:hanging="601"/>
            </w:pPr>
            <w:r w:rsidRPr="004E4188">
              <w:t>44.1</w:t>
            </w:r>
            <w:r w:rsidRPr="004E4188">
              <w:tab/>
              <w:t xml:space="preserve">Le Maître d’ouvrage établira la conformité </w:t>
            </w:r>
            <w:r w:rsidR="00AC33CD" w:rsidRPr="004E4188">
              <w:t xml:space="preserve">d’une </w:t>
            </w:r>
            <w:r w:rsidRPr="004E4188">
              <w:t>offre de la deuxième étape sur la base de son seul contenu, tel que défini à IS 28.1.</w:t>
            </w:r>
          </w:p>
          <w:p w14:paraId="33F5A7D4" w14:textId="4582B236" w:rsidR="007049A5" w:rsidRPr="004E4188" w:rsidRDefault="007049A5" w:rsidP="006C6267">
            <w:pPr>
              <w:spacing w:after="200"/>
              <w:ind w:left="601" w:hanging="601"/>
            </w:pPr>
            <w:r w:rsidRPr="004E4188">
              <w:rPr>
                <w:spacing w:val="-4"/>
              </w:rPr>
              <w:t>44.2</w:t>
            </w:r>
            <w:r w:rsidRPr="004E4188">
              <w:rPr>
                <w:spacing w:val="-4"/>
              </w:rPr>
              <w:tab/>
            </w:r>
            <w:r w:rsidRPr="004E4188">
              <w:t>Aux fins de cette détermination, u</w:t>
            </w:r>
            <w:r w:rsidRPr="004E4188">
              <w:rPr>
                <w:spacing w:val="-4"/>
              </w:rPr>
              <w:t xml:space="preserve">ne </w:t>
            </w:r>
            <w:r w:rsidRPr="004E4188">
              <w:t xml:space="preserve">offre de la deuxième étape </w:t>
            </w:r>
            <w:r w:rsidRPr="004E4188">
              <w:rPr>
                <w:szCs w:val="24"/>
              </w:rPr>
              <w:t>substantiellement</w:t>
            </w:r>
            <w:r w:rsidRPr="004E4188">
              <w:rPr>
                <w:spacing w:val="-4"/>
              </w:rPr>
              <w:t xml:space="preserve"> conforme est une offre qui répond aux exigences du Dossier d’appel d’offres et dans laquelle </w:t>
            </w:r>
            <w:r w:rsidRPr="004E4188">
              <w:t>toutes</w:t>
            </w:r>
            <w:r w:rsidRPr="004E4188">
              <w:rPr>
                <w:spacing w:val="-4"/>
              </w:rPr>
              <w:t xml:space="preserve"> les modifications indiquées dans le </w:t>
            </w:r>
            <w:r w:rsidRPr="004E4188">
              <w:t xml:space="preserve">mémorandum intitulé </w:t>
            </w:r>
            <w:r w:rsidRPr="004E4188">
              <w:rPr>
                <w:szCs w:val="24"/>
              </w:rPr>
              <w:t>« </w:t>
            </w:r>
            <w:r w:rsidRPr="004E4188">
              <w:rPr>
                <w:b/>
                <w:szCs w:val="24"/>
              </w:rPr>
              <w:t>Modifications requises suite à l’évaluation des offres de la première étape</w:t>
            </w:r>
            <w:r w:rsidRPr="004E4188">
              <w:rPr>
                <w:szCs w:val="24"/>
              </w:rPr>
              <w:t> » ont été incorporées</w:t>
            </w:r>
            <w:r w:rsidRPr="004E4188">
              <w:rPr>
                <w:spacing w:val="-4"/>
              </w:rPr>
              <w:t xml:space="preserve">, sans divergence, réserve </w:t>
            </w:r>
            <w:r w:rsidRPr="004E4188">
              <w:t>ou omission importante</w:t>
            </w:r>
            <w:r w:rsidRPr="004E4188">
              <w:rPr>
                <w:spacing w:val="-4"/>
              </w:rPr>
              <w:t xml:space="preserve">. Les divergences, réserves </w:t>
            </w:r>
            <w:r w:rsidRPr="004E4188">
              <w:t>ou omissions importantes</w:t>
            </w:r>
            <w:r w:rsidRPr="004E4188">
              <w:rPr>
                <w:spacing w:val="-4"/>
              </w:rPr>
              <w:t xml:space="preserve"> sont celles qui : </w:t>
            </w:r>
          </w:p>
          <w:p w14:paraId="7234516B" w14:textId="41FBAD4A" w:rsidR="007049A5" w:rsidRPr="004E4188" w:rsidRDefault="007049A5" w:rsidP="006C6267">
            <w:pPr>
              <w:suppressAutoHyphens w:val="0"/>
              <w:spacing w:after="200"/>
              <w:ind w:left="1026" w:hanging="425"/>
            </w:pPr>
            <w:r w:rsidRPr="004E4188">
              <w:rPr>
                <w:spacing w:val="-4"/>
              </w:rPr>
              <w:t>(a)</w:t>
            </w:r>
            <w:r w:rsidRPr="004E4188">
              <w:rPr>
                <w:spacing w:val="-4"/>
                <w:lang w:eastAsia="ja-JP"/>
              </w:rPr>
              <w:tab/>
            </w:r>
            <w:r w:rsidRPr="004E4188">
              <w:rPr>
                <w:spacing w:val="-4"/>
              </w:rPr>
              <w:t xml:space="preserve">si elles étaient acceptées : </w:t>
            </w:r>
          </w:p>
          <w:p w14:paraId="5C247B2B" w14:textId="1970B505" w:rsidR="007049A5" w:rsidRPr="004E4188" w:rsidRDefault="007049A5" w:rsidP="006C6267">
            <w:pPr>
              <w:suppressAutoHyphens w:val="0"/>
              <w:spacing w:after="200"/>
              <w:ind w:left="1451" w:hanging="425"/>
            </w:pPr>
            <w:r w:rsidRPr="004E4188">
              <w:rPr>
                <w:spacing w:val="-4"/>
              </w:rPr>
              <w:t>(i)</w:t>
            </w:r>
            <w:r w:rsidRPr="004E4188">
              <w:rPr>
                <w:spacing w:val="-4"/>
                <w:lang w:eastAsia="ja-JP"/>
              </w:rPr>
              <w:tab/>
            </w:r>
            <w:r w:rsidRPr="004E4188">
              <w:rPr>
                <w:spacing w:val="-4"/>
              </w:rPr>
              <w:t xml:space="preserve">affecteraient de manière substantielle la portée, la qualité ou les performances </w:t>
            </w:r>
            <w:r w:rsidRPr="004E4188">
              <w:t>des Équipements et Services de montage exigées au titre du Marché</w:t>
            </w:r>
            <w:r w:rsidR="00F254A0" w:rsidRPr="004E4188">
              <w:t>,</w:t>
            </w:r>
            <w:r w:rsidRPr="004E4188">
              <w:t xml:space="preserve"> ou</w:t>
            </w:r>
          </w:p>
          <w:p w14:paraId="7E95FFDA" w14:textId="77777777" w:rsidR="007049A5" w:rsidRPr="004E4188" w:rsidRDefault="007049A5" w:rsidP="006C6267">
            <w:pPr>
              <w:suppressAutoHyphens w:val="0"/>
              <w:spacing w:after="200"/>
              <w:ind w:left="1451" w:hanging="425"/>
            </w:pPr>
            <w:r w:rsidRPr="004E4188">
              <w:t>(ii)</w:t>
            </w:r>
            <w:r w:rsidRPr="004E4188">
              <w:tab/>
              <w:t>limit</w:t>
            </w:r>
            <w:r w:rsidRPr="004E4188">
              <w:rPr>
                <w:spacing w:val="-4"/>
              </w:rPr>
              <w:t xml:space="preserve">eraient, d’une manière substantielle, en contradiction avec le Dossier d’appel d’offres, les droits du Maître d’ouvrage ou les obligations du Soumissionnaire au titre du Marché ; ou </w:t>
            </w:r>
          </w:p>
          <w:p w14:paraId="5B85493A" w14:textId="77777777" w:rsidR="007049A5" w:rsidRPr="004E4188" w:rsidRDefault="007049A5" w:rsidP="006C6267">
            <w:pPr>
              <w:suppressAutoHyphens w:val="0"/>
              <w:spacing w:after="200"/>
              <w:ind w:left="1026" w:hanging="425"/>
            </w:pPr>
            <w:r w:rsidRPr="004E4188">
              <w:rPr>
                <w:spacing w:val="-4"/>
              </w:rPr>
              <w:t>(b)</w:t>
            </w:r>
            <w:r w:rsidRPr="004E4188">
              <w:rPr>
                <w:spacing w:val="-4"/>
                <w:lang w:eastAsia="ja-JP"/>
              </w:rPr>
              <w:tab/>
            </w:r>
            <w:r w:rsidRPr="004E4188">
              <w:rPr>
                <w:spacing w:val="-4"/>
              </w:rPr>
              <w:t xml:space="preserve">si elles étaient rectifiées, affecteraient injustement le classement concurrentiel des autres Soumissionnaires ayant présenté des offres de la deuxième étape </w:t>
            </w:r>
            <w:r w:rsidRPr="004E4188">
              <w:rPr>
                <w:szCs w:val="24"/>
              </w:rPr>
              <w:t>substantiellement</w:t>
            </w:r>
            <w:r w:rsidRPr="004E4188">
              <w:rPr>
                <w:spacing w:val="-4"/>
              </w:rPr>
              <w:t xml:space="preserve"> conformes.</w:t>
            </w:r>
          </w:p>
        </w:tc>
      </w:tr>
      <w:tr w:rsidR="007049A5" w:rsidRPr="004E4188" w:rsidDel="00C02B7E" w14:paraId="17928C5F" w14:textId="77777777" w:rsidTr="0092765E">
        <w:tc>
          <w:tcPr>
            <w:tcW w:w="2268" w:type="dxa"/>
            <w:tcBorders>
              <w:top w:val="nil"/>
              <w:left w:val="nil"/>
              <w:bottom w:val="nil"/>
              <w:right w:val="nil"/>
            </w:tcBorders>
          </w:tcPr>
          <w:p w14:paraId="365E17A1" w14:textId="77777777" w:rsidR="007049A5" w:rsidRPr="004E4188" w:rsidDel="00C02B7E" w:rsidRDefault="007049A5" w:rsidP="006C6267"/>
        </w:tc>
        <w:tc>
          <w:tcPr>
            <w:tcW w:w="7023" w:type="dxa"/>
            <w:tcBorders>
              <w:top w:val="nil"/>
              <w:left w:val="nil"/>
              <w:bottom w:val="nil"/>
              <w:right w:val="nil"/>
            </w:tcBorders>
          </w:tcPr>
          <w:p w14:paraId="52BD4B5C" w14:textId="77777777" w:rsidR="007049A5" w:rsidRPr="004E4188" w:rsidRDefault="007049A5" w:rsidP="006C6267">
            <w:pPr>
              <w:suppressAutoHyphens w:val="0"/>
              <w:overflowPunct/>
              <w:autoSpaceDE/>
              <w:autoSpaceDN/>
              <w:adjustRightInd/>
              <w:spacing w:after="200"/>
              <w:ind w:left="578" w:hanging="578"/>
              <w:textAlignment w:val="auto"/>
              <w:rPr>
                <w:lang w:eastAsia="en-US"/>
              </w:rPr>
            </w:pPr>
            <w:r w:rsidRPr="004E4188">
              <w:rPr>
                <w:lang w:eastAsia="ja-JP"/>
              </w:rPr>
              <w:t>44</w:t>
            </w:r>
            <w:r w:rsidRPr="004E4188">
              <w:rPr>
                <w:lang w:eastAsia="en-US"/>
              </w:rPr>
              <w:t>.3</w:t>
            </w:r>
            <w:r w:rsidRPr="004E4188">
              <w:rPr>
                <w:lang w:eastAsia="en-US"/>
              </w:rPr>
              <w:tab/>
              <w:t>Le Maître d’ouvrage effectuera une évaluation technique des offres de la deuxième étape qui n’ont pas été préalablement rejetées comme étant non conformes, afin de déterminer si les aspects techniques concernant les modifications apportées à l’offre techniquement acceptable, indiquées dans le mémorandum intitulé « </w:t>
            </w:r>
            <w:r w:rsidRPr="004E4188">
              <w:rPr>
                <w:b/>
                <w:lang w:eastAsia="en-US"/>
              </w:rPr>
              <w:t>Modifications requises suite à l’évaluation des offres de la première étape</w:t>
            </w:r>
            <w:r w:rsidRPr="004E4188">
              <w:rPr>
                <w:lang w:eastAsia="en-US"/>
              </w:rPr>
              <w:t xml:space="preserve"> », conformément à IS 26.5, ont été correctement incorporées et qu’elles sont substantiellement conformes aux exigences du Dossier d’appel d’offres. </w:t>
            </w:r>
            <w:r w:rsidRPr="004E4188">
              <w:rPr>
                <w:bCs/>
                <w:lang w:eastAsia="en-US"/>
              </w:rPr>
              <w:t>Les pièces de rechange recommandées, le cas échéant, proposées par le Soumissionnaire, ne seront pas prises en considération lors de l’évaluation.</w:t>
            </w:r>
          </w:p>
          <w:p w14:paraId="4300FA63" w14:textId="77777777" w:rsidR="007049A5" w:rsidRPr="004E4188" w:rsidDel="00C02B7E" w:rsidRDefault="007049A5" w:rsidP="006C6267">
            <w:pPr>
              <w:spacing w:after="200"/>
              <w:ind w:left="601" w:hanging="601"/>
            </w:pPr>
            <w:r w:rsidRPr="004E4188">
              <w:rPr>
                <w:lang w:eastAsia="ja-JP"/>
              </w:rPr>
              <w:t>44.4</w:t>
            </w:r>
            <w:r w:rsidRPr="004E4188">
              <w:rPr>
                <w:lang w:eastAsia="en-US"/>
              </w:rPr>
              <w:tab/>
              <w:t>Les capacités de fabricants ou sous-traitants supplémentaires ou différents proposés par le Soumissionnaire dans son offre conformément au mémorandum « </w:t>
            </w:r>
            <w:r w:rsidRPr="004E4188">
              <w:rPr>
                <w:b/>
                <w:lang w:eastAsia="en-US"/>
              </w:rPr>
              <w:t>Modifications requises suite à l’évaluation des offres de la première étape</w:t>
            </w:r>
            <w:r w:rsidRPr="004E4188">
              <w:rPr>
                <w:lang w:eastAsia="en-US"/>
              </w:rPr>
              <w:t xml:space="preserve"> » seront également évaluées pour déterminer si elles sont acceptables, conformément </w:t>
            </w:r>
            <w:r w:rsidRPr="004E4188">
              <w:rPr>
                <w:lang w:eastAsia="ja-JP"/>
              </w:rPr>
              <w:t>au Critère 1.1.3 de la Section III, Critères d’évaluation et de qualification</w:t>
            </w:r>
            <w:r w:rsidRPr="004E4188">
              <w:rPr>
                <w:lang w:eastAsia="en-US"/>
              </w:rPr>
              <w:t>.</w:t>
            </w:r>
            <w:r w:rsidRPr="004E4188">
              <w:rPr>
                <w:lang w:eastAsia="ja-JP"/>
              </w:rPr>
              <w:t xml:space="preserve"> Si un tel fabricant ou sous-traitant supplémentaire ou différent est jugé inacceptable, l’offre ne sera pas rejetée, mais il sera demandé au Soumissionnaire qu’il remplace ce fabricant ou sous-traitant par un autre acceptable, sans que cela n’entraîne de changement dans le Montant de l’offre. </w:t>
            </w:r>
            <w:r w:rsidRPr="004E4188">
              <w:rPr>
                <w:lang w:eastAsia="en-US"/>
              </w:rPr>
              <w:t>Préalablement à la délivrance de la Lettre d’acceptation de l’offre, le formulaire correspondant qui doit être joint à l’Acte d’engagement sera complété, indiquant les fabricants et sous-traitants agréés pour chaque élément concerné.</w:t>
            </w:r>
          </w:p>
        </w:tc>
      </w:tr>
      <w:tr w:rsidR="007049A5" w:rsidRPr="004E4188" w14:paraId="3744E15D" w14:textId="77777777" w:rsidTr="0092765E">
        <w:tc>
          <w:tcPr>
            <w:tcW w:w="2268" w:type="dxa"/>
            <w:tcBorders>
              <w:top w:val="nil"/>
              <w:left w:val="nil"/>
              <w:bottom w:val="nil"/>
              <w:right w:val="nil"/>
            </w:tcBorders>
          </w:tcPr>
          <w:p w14:paraId="6C1FDB45" w14:textId="77777777" w:rsidR="007049A5" w:rsidRPr="004E4188" w:rsidRDefault="007049A5" w:rsidP="006C6267">
            <w:pPr>
              <w:numPr>
                <w:ilvl w:val="12"/>
                <w:numId w:val="0"/>
              </w:numPr>
            </w:pPr>
          </w:p>
        </w:tc>
        <w:tc>
          <w:tcPr>
            <w:tcW w:w="7023" w:type="dxa"/>
            <w:tcBorders>
              <w:top w:val="nil"/>
              <w:left w:val="nil"/>
              <w:bottom w:val="nil"/>
              <w:right w:val="nil"/>
            </w:tcBorders>
          </w:tcPr>
          <w:p w14:paraId="1D2BE034" w14:textId="4801866A" w:rsidR="007049A5" w:rsidRPr="004E4188" w:rsidRDefault="007049A5" w:rsidP="006C6267">
            <w:pPr>
              <w:spacing w:after="200"/>
              <w:ind w:left="601" w:hanging="601"/>
              <w:rPr>
                <w:spacing w:val="-4"/>
              </w:rPr>
            </w:pPr>
            <w:r w:rsidRPr="004E4188">
              <w:rPr>
                <w:spacing w:val="-4"/>
              </w:rPr>
              <w:t>44.</w:t>
            </w:r>
            <w:r w:rsidRPr="004E4188">
              <w:rPr>
                <w:rFonts w:hint="eastAsia"/>
                <w:spacing w:val="-4"/>
              </w:rPr>
              <w:t>5</w:t>
            </w:r>
            <w:r w:rsidRPr="004E4188">
              <w:rPr>
                <w:spacing w:val="-4"/>
              </w:rPr>
              <w:tab/>
              <w:t>Le Maître d’</w:t>
            </w:r>
            <w:r w:rsidRPr="004E4188">
              <w:rPr>
                <w:spacing w:val="-4"/>
                <w:lang w:eastAsia="ja-JP"/>
              </w:rPr>
              <w:t>o</w:t>
            </w:r>
            <w:r w:rsidRPr="004E4188">
              <w:rPr>
                <w:spacing w:val="-4"/>
              </w:rPr>
              <w:t xml:space="preserve">uvrage écartera toute </w:t>
            </w:r>
            <w:r w:rsidRPr="004E4188">
              <w:t xml:space="preserve">offre de la deuxième étape </w:t>
            </w:r>
            <w:r w:rsidRPr="004E4188">
              <w:rPr>
                <w:spacing w:val="-4"/>
              </w:rPr>
              <w:t xml:space="preserve">qui n’est pas </w:t>
            </w:r>
            <w:r w:rsidRPr="004E4188">
              <w:rPr>
                <w:szCs w:val="24"/>
              </w:rPr>
              <w:t>substantiellement</w:t>
            </w:r>
            <w:r w:rsidRPr="004E4188">
              <w:rPr>
                <w:spacing w:val="-4"/>
              </w:rPr>
              <w:t xml:space="preserve"> conforme aux dispositions du Dossier d’appel d’offres et le Soumissionnaire ne pourra, par la suite, la rendre conforme en apportant des corrections aux divergences, réserves ou omissions importantes constatées. </w:t>
            </w:r>
          </w:p>
        </w:tc>
      </w:tr>
      <w:tr w:rsidR="007049A5" w:rsidRPr="004E4188" w14:paraId="6BA58B8B" w14:textId="77777777" w:rsidTr="0092765E">
        <w:tc>
          <w:tcPr>
            <w:tcW w:w="2268" w:type="dxa"/>
            <w:tcBorders>
              <w:top w:val="nil"/>
              <w:left w:val="nil"/>
              <w:right w:val="nil"/>
            </w:tcBorders>
          </w:tcPr>
          <w:p w14:paraId="688688A5" w14:textId="66DB1A31" w:rsidR="007049A5" w:rsidRPr="004E4188" w:rsidRDefault="007049A5" w:rsidP="0092765E">
            <w:pPr>
              <w:pStyle w:val="Header1-Clauses"/>
              <w:ind w:left="357" w:hanging="357"/>
              <w:rPr>
                <w:lang w:val="fr-FR"/>
              </w:rPr>
            </w:pPr>
            <w:bookmarkStart w:id="420" w:name="_Toc104195609"/>
            <w:r w:rsidRPr="004E4188">
              <w:rPr>
                <w:lang w:val="fr-FR"/>
              </w:rPr>
              <w:t>45.</w:t>
            </w:r>
            <w:r w:rsidRPr="004E4188">
              <w:rPr>
                <w:lang w:val="fr-FR" w:eastAsia="ja-JP"/>
              </w:rPr>
              <w:tab/>
            </w:r>
            <w:r w:rsidRPr="004E4188">
              <w:rPr>
                <w:lang w:val="fr-FR"/>
              </w:rPr>
              <w:t>Non-conformités non essentielles</w:t>
            </w:r>
            <w:bookmarkEnd w:id="420"/>
          </w:p>
        </w:tc>
        <w:tc>
          <w:tcPr>
            <w:tcW w:w="7023" w:type="dxa"/>
            <w:tcBorders>
              <w:top w:val="nil"/>
              <w:left w:val="nil"/>
              <w:right w:val="nil"/>
            </w:tcBorders>
          </w:tcPr>
          <w:p w14:paraId="0C35164F" w14:textId="3DE5E831" w:rsidR="007049A5" w:rsidRPr="004E4188" w:rsidRDefault="007049A5" w:rsidP="006C6267">
            <w:pPr>
              <w:spacing w:after="200"/>
              <w:ind w:left="601" w:hanging="601"/>
            </w:pPr>
            <w:r w:rsidRPr="004E4188">
              <w:t>45.1</w:t>
            </w:r>
            <w:r w:rsidRPr="004E4188">
              <w:tab/>
              <w:t xml:space="preserve">Lorsqu’une offre de la deuxième étape est </w:t>
            </w:r>
            <w:r w:rsidRPr="004E4188">
              <w:rPr>
                <w:szCs w:val="24"/>
              </w:rPr>
              <w:t>substantiellement</w:t>
            </w:r>
            <w:r w:rsidRPr="004E4188">
              <w:t xml:space="preserve"> conforme, le Maître d’ouvrage peut accepter toute non-conformité (divergence, réserve ou omission) dans l’offre de la deuxième étape.</w:t>
            </w:r>
          </w:p>
        </w:tc>
      </w:tr>
      <w:tr w:rsidR="007049A5" w:rsidRPr="004E4188" w14:paraId="08EEDC16" w14:textId="77777777" w:rsidTr="0092765E">
        <w:tc>
          <w:tcPr>
            <w:tcW w:w="2268" w:type="dxa"/>
            <w:tcBorders>
              <w:top w:val="nil"/>
              <w:left w:val="nil"/>
              <w:right w:val="nil"/>
            </w:tcBorders>
          </w:tcPr>
          <w:p w14:paraId="48E75233" w14:textId="77777777" w:rsidR="007049A5" w:rsidRPr="004E4188" w:rsidRDefault="007049A5" w:rsidP="006C6267">
            <w:pPr>
              <w:spacing w:after="120"/>
              <w:ind w:left="576" w:hanging="576"/>
            </w:pPr>
          </w:p>
        </w:tc>
        <w:tc>
          <w:tcPr>
            <w:tcW w:w="7023" w:type="dxa"/>
            <w:tcBorders>
              <w:top w:val="nil"/>
              <w:left w:val="nil"/>
              <w:right w:val="nil"/>
            </w:tcBorders>
          </w:tcPr>
          <w:p w14:paraId="6D494E5C" w14:textId="280C5458" w:rsidR="007049A5" w:rsidRPr="004E4188" w:rsidRDefault="007049A5" w:rsidP="006C6267">
            <w:pPr>
              <w:spacing w:after="200"/>
              <w:ind w:left="601" w:hanging="601"/>
            </w:pPr>
            <w:r w:rsidRPr="004E4188">
              <w:t>45.2</w:t>
            </w:r>
            <w:r w:rsidRPr="004E4188">
              <w:tab/>
              <w:t>Lorsqu’une offre de la deuxième étape est</w:t>
            </w:r>
            <w:r w:rsidRPr="004E4188">
              <w:rPr>
                <w:szCs w:val="24"/>
              </w:rPr>
              <w:t xml:space="preserve"> substantiellement</w:t>
            </w:r>
            <w:r w:rsidRPr="004E4188">
              <w:t xml:space="preserve"> conforme, le Maître d’ouvrage peut demander au Soumissionnaire de présenter, dans un délai raisonnable, les informations ou </w:t>
            </w:r>
            <w:r w:rsidR="00F161C4" w:rsidRPr="004E4188">
              <w:t xml:space="preserve">les </w:t>
            </w:r>
            <w:r w:rsidRPr="004E4188">
              <w:t>document</w:t>
            </w:r>
            <w:r w:rsidR="00F161C4" w:rsidRPr="004E4188">
              <w:t>s</w:t>
            </w:r>
            <w:r w:rsidRPr="004E4188">
              <w:t xml:space="preserve"> nécessaires pour remédier aux non-conformités non essentielles</w:t>
            </w:r>
            <w:r w:rsidRPr="004E4188">
              <w:rPr>
                <w:szCs w:val="24"/>
              </w:rPr>
              <w:t xml:space="preserve"> constatées</w:t>
            </w:r>
            <w:r w:rsidRPr="004E4188">
              <w:t xml:space="preserve"> dans l’offre de la deuxième étape </w:t>
            </w:r>
            <w:r w:rsidRPr="004E4188">
              <w:rPr>
                <w:szCs w:val="24"/>
              </w:rPr>
              <w:t xml:space="preserve">concernant </w:t>
            </w:r>
            <w:r w:rsidRPr="004E4188">
              <w:t xml:space="preserve">la documentation requise par le Dossier d’appel d’offres. Une telle demande ne peut, en aucun cas, porter sur un élément </w:t>
            </w:r>
            <w:r w:rsidRPr="004E4188">
              <w:rPr>
                <w:szCs w:val="24"/>
              </w:rPr>
              <w:t>quelconque</w:t>
            </w:r>
            <w:r w:rsidRPr="004E4188">
              <w:t xml:space="preserve"> du Montant de l’offre de la deuxième étape. Le Soumissionnaire qui ne donnerait pas suite à cette demande peut voir son offre de la deuxième étape rejetée.</w:t>
            </w:r>
          </w:p>
          <w:p w14:paraId="3050057A" w14:textId="1320CDFC" w:rsidR="007049A5" w:rsidRPr="004E4188" w:rsidRDefault="007049A5" w:rsidP="0072430E">
            <w:pPr>
              <w:spacing w:after="200"/>
              <w:ind w:left="601" w:hanging="601"/>
            </w:pPr>
            <w:r w:rsidRPr="004E4188">
              <w:t>45.3</w:t>
            </w:r>
            <w:r w:rsidRPr="004E4188">
              <w:tab/>
              <w:t>Lorsqu’une offre de la deuxième étape est</w:t>
            </w:r>
            <w:r w:rsidRPr="004E4188">
              <w:rPr>
                <w:szCs w:val="24"/>
              </w:rPr>
              <w:t xml:space="preserve"> substantiellement</w:t>
            </w:r>
            <w:r w:rsidRPr="004E4188">
              <w:t xml:space="preserve"> conforme, le Maître d’ouvrage rectifiera les non-conformités non essentielles quantifiables liées au Montant de l’offre. </w:t>
            </w:r>
            <w:r w:rsidR="0072430E" w:rsidRPr="004E4188">
              <w:t xml:space="preserve">À </w:t>
            </w:r>
            <w:r w:rsidRPr="004E4188">
              <w:t>cet effet, le Montant de l’offre sera ajusté, uniquement aux fins de l’évaluation, pour tenir compte du prix d’un poste ou d’un élément manquant ou non conforme</w:t>
            </w:r>
            <w:r w:rsidRPr="004E4188">
              <w:rPr>
                <w:szCs w:val="24"/>
              </w:rPr>
              <w:t xml:space="preserve">, en ajoutant la moyenne des </w:t>
            </w:r>
            <w:r w:rsidRPr="004E4188">
              <w:t>prix</w:t>
            </w:r>
            <w:r w:rsidRPr="004E4188">
              <w:rPr>
                <w:szCs w:val="24"/>
              </w:rPr>
              <w:t xml:space="preserve"> fournis pour le </w:t>
            </w:r>
            <w:r w:rsidRPr="004E4188">
              <w:t xml:space="preserve">poste ou élément par les autres soumissionnaires ayant remis des offres substantiellement conformes. </w:t>
            </w:r>
            <w:r w:rsidRPr="004E4188">
              <w:rPr>
                <w:szCs w:val="24"/>
              </w:rPr>
              <w:t xml:space="preserve">Si le prix de ce </w:t>
            </w:r>
            <w:r w:rsidRPr="004E4188">
              <w:t>poste ou élément</w:t>
            </w:r>
            <w:r w:rsidRPr="004E4188">
              <w:rPr>
                <w:szCs w:val="24"/>
              </w:rPr>
              <w:t xml:space="preserve"> ne peut pas être estimé par la prise en compte du prix des autres offres </w:t>
            </w:r>
            <w:r w:rsidRPr="004E4188">
              <w:t>substantiellement conformes</w:t>
            </w:r>
            <w:r w:rsidRPr="004E4188">
              <w:rPr>
                <w:szCs w:val="24"/>
              </w:rPr>
              <w:t>, le Maître d’ouvrage fera sa propre estimation</w:t>
            </w:r>
            <w:r w:rsidRPr="004E4188">
              <w:t>.</w:t>
            </w:r>
          </w:p>
        </w:tc>
      </w:tr>
      <w:tr w:rsidR="007049A5" w:rsidRPr="004E4188" w14:paraId="1C0FE7AE" w14:textId="77777777" w:rsidTr="0092765E">
        <w:tc>
          <w:tcPr>
            <w:tcW w:w="2268" w:type="dxa"/>
            <w:tcBorders>
              <w:left w:val="nil"/>
              <w:bottom w:val="nil"/>
              <w:right w:val="nil"/>
            </w:tcBorders>
          </w:tcPr>
          <w:p w14:paraId="4E7DE566" w14:textId="7D84D973" w:rsidR="007049A5" w:rsidRPr="004E4188" w:rsidRDefault="007049A5" w:rsidP="0092765E">
            <w:pPr>
              <w:pStyle w:val="Header1-Clauses"/>
              <w:ind w:left="357" w:hanging="357"/>
              <w:rPr>
                <w:lang w:val="fr-FR"/>
              </w:rPr>
            </w:pPr>
            <w:bookmarkStart w:id="421" w:name="_Toc104195610"/>
            <w:r w:rsidRPr="004E4188">
              <w:rPr>
                <w:lang w:val="fr-FR"/>
              </w:rPr>
              <w:t>46.</w:t>
            </w:r>
            <w:r w:rsidRPr="004E4188">
              <w:rPr>
                <w:lang w:val="fr-FR"/>
              </w:rPr>
              <w:tab/>
              <w:t>Correction des erreurs arithmétiques</w:t>
            </w:r>
            <w:bookmarkEnd w:id="421"/>
          </w:p>
        </w:tc>
        <w:tc>
          <w:tcPr>
            <w:tcW w:w="7023" w:type="dxa"/>
            <w:tcBorders>
              <w:left w:val="nil"/>
              <w:bottom w:val="nil"/>
              <w:right w:val="nil"/>
            </w:tcBorders>
          </w:tcPr>
          <w:p w14:paraId="4ED656BE" w14:textId="45FC8B7E" w:rsidR="007049A5" w:rsidRPr="004E4188" w:rsidRDefault="007049A5" w:rsidP="006C6267">
            <w:pPr>
              <w:spacing w:after="200"/>
              <w:ind w:left="601" w:hanging="601"/>
            </w:pPr>
            <w:r w:rsidRPr="004E4188">
              <w:t>46.1</w:t>
            </w:r>
            <w:r w:rsidRPr="004E4188">
              <w:tab/>
              <w:t>Le Maître d’ouvrage rectifiera les erreurs arithmétiques d’une offre de la deuxième étape substantiellement conforme sur la base suivante :</w:t>
            </w:r>
          </w:p>
          <w:p w14:paraId="0FCA84F4" w14:textId="7C0C6DF6" w:rsidR="007049A5" w:rsidRPr="004E4188" w:rsidRDefault="007049A5" w:rsidP="006C6267">
            <w:pPr>
              <w:suppressAutoHyphens w:val="0"/>
              <w:spacing w:after="200"/>
              <w:ind w:left="1026" w:hanging="425"/>
            </w:pPr>
            <w:r w:rsidRPr="004E4188">
              <w:t>(a)</w:t>
            </w:r>
            <w:r w:rsidRPr="004E4188">
              <w:tab/>
            </w:r>
            <w:r w:rsidR="004F0FA4" w:rsidRPr="004E4188">
              <w:t xml:space="preserve">lorsqu’il </w:t>
            </w:r>
            <w:r w:rsidRPr="004E4188">
              <w:t xml:space="preserve">y a erreur entre le total des montants inscrits dans la colonne du détail du prix et le montant figurant comme prix total, le total des montants inscrits dans la colonne du détail du prix fera foi et le montant figurant comme prix total sera corrigé en conséquence ; </w:t>
            </w:r>
          </w:p>
          <w:p w14:paraId="675B3485" w14:textId="03E366D7" w:rsidR="007049A5" w:rsidRPr="004E4188" w:rsidRDefault="007049A5" w:rsidP="006C6267">
            <w:pPr>
              <w:suppressAutoHyphens w:val="0"/>
              <w:spacing w:after="200"/>
              <w:ind w:left="1026" w:hanging="425"/>
            </w:pPr>
            <w:r w:rsidRPr="004E4188">
              <w:t>(b)</w:t>
            </w:r>
            <w:r w:rsidRPr="004E4188">
              <w:tab/>
            </w:r>
            <w:r w:rsidR="004F0FA4" w:rsidRPr="004E4188">
              <w:t xml:space="preserve">lorsqu’il </w:t>
            </w:r>
            <w:r w:rsidRPr="004E4188">
              <w:t xml:space="preserve">y a erreur entre le total des montants des Bordereaux n°1 à 5 et le montant figurant au tableau récapitulatif, le total des montants des Bordereaux n°1 à 5 fera foi et le montant figurant au tableau récapitulatif sera corrigé en conséquence ; et </w:t>
            </w:r>
          </w:p>
          <w:p w14:paraId="30FAAEC7" w14:textId="45ECEBF2" w:rsidR="007049A5" w:rsidRPr="004E4188" w:rsidRDefault="007049A5" w:rsidP="004F0FA4">
            <w:pPr>
              <w:suppressAutoHyphens w:val="0"/>
              <w:spacing w:after="200"/>
              <w:ind w:left="1026" w:hanging="425"/>
            </w:pPr>
            <w:r w:rsidRPr="004E4188">
              <w:t>(c)</w:t>
            </w:r>
            <w:r w:rsidRPr="004E4188">
              <w:tab/>
            </w:r>
            <w:r w:rsidR="004F0FA4" w:rsidRPr="004E4188">
              <w:t xml:space="preserve">lorsqu’il </w:t>
            </w:r>
            <w:r w:rsidRPr="004E4188">
              <w:t>existe une contradiction entre le montant indiqué en lettres et le montant indiqué en chiffres, le montant en lettres fer</w:t>
            </w:r>
            <w:r w:rsidRPr="004E4188">
              <w:rPr>
                <w:rFonts w:hint="eastAsia"/>
              </w:rPr>
              <w:t>a</w:t>
            </w:r>
            <w:r w:rsidRPr="004E4188">
              <w:t xml:space="preserve"> foi, à moins que ce montant ne comporte une erreur arithmétique, auquel cas le montant en chiffres prévaudra sous réserve des alinéas (a) et (b) ci-dessus.</w:t>
            </w:r>
          </w:p>
        </w:tc>
      </w:tr>
      <w:tr w:rsidR="007049A5" w:rsidRPr="004E4188" w14:paraId="393C6545" w14:textId="77777777" w:rsidTr="0092765E">
        <w:tc>
          <w:tcPr>
            <w:tcW w:w="2268" w:type="dxa"/>
            <w:tcBorders>
              <w:top w:val="nil"/>
              <w:left w:val="nil"/>
              <w:bottom w:val="nil"/>
              <w:right w:val="nil"/>
            </w:tcBorders>
          </w:tcPr>
          <w:p w14:paraId="2937BA74" w14:textId="77777777" w:rsidR="007049A5" w:rsidRPr="004E4188" w:rsidRDefault="007049A5" w:rsidP="006C6267"/>
        </w:tc>
        <w:tc>
          <w:tcPr>
            <w:tcW w:w="7023" w:type="dxa"/>
            <w:tcBorders>
              <w:top w:val="nil"/>
              <w:left w:val="nil"/>
              <w:bottom w:val="nil"/>
              <w:right w:val="nil"/>
            </w:tcBorders>
          </w:tcPr>
          <w:p w14:paraId="59F8CF7A" w14:textId="58FF9C6C" w:rsidR="007049A5" w:rsidRPr="004E4188" w:rsidRDefault="007049A5" w:rsidP="006C6267">
            <w:pPr>
              <w:spacing w:after="200"/>
              <w:ind w:left="601" w:hanging="601"/>
            </w:pPr>
            <w:r w:rsidRPr="004E4188">
              <w:t>46.2</w:t>
            </w:r>
            <w:r w:rsidRPr="004E4188">
              <w:tab/>
              <w:t xml:space="preserve">Il sera demandé au Soumissionnaire d’accepter la correction des erreurs arithmétiques effectuée conformément à IS 46.1. S’ils refusent de le faire, leur offre sera rejetée. </w:t>
            </w:r>
          </w:p>
        </w:tc>
      </w:tr>
      <w:tr w:rsidR="007049A5" w:rsidRPr="004E4188" w14:paraId="78C548FE" w14:textId="77777777" w:rsidTr="0092765E">
        <w:trPr>
          <w:cantSplit/>
        </w:trPr>
        <w:tc>
          <w:tcPr>
            <w:tcW w:w="2268" w:type="dxa"/>
            <w:tcBorders>
              <w:top w:val="nil"/>
              <w:left w:val="nil"/>
              <w:bottom w:val="nil"/>
              <w:right w:val="nil"/>
            </w:tcBorders>
          </w:tcPr>
          <w:p w14:paraId="5D05DBC3" w14:textId="37B02EB5" w:rsidR="007049A5" w:rsidRPr="004E4188" w:rsidRDefault="007049A5" w:rsidP="0092765E">
            <w:pPr>
              <w:pStyle w:val="Header1-Clauses"/>
              <w:ind w:left="357" w:hanging="357"/>
              <w:rPr>
                <w:lang w:val="fr-FR"/>
              </w:rPr>
            </w:pPr>
            <w:bookmarkStart w:id="422" w:name="_Toc104195611"/>
            <w:r w:rsidRPr="004E4188">
              <w:rPr>
                <w:lang w:val="fr-FR"/>
              </w:rPr>
              <w:t>47.</w:t>
            </w:r>
            <w:r w:rsidRPr="004E4188">
              <w:rPr>
                <w:lang w:val="fr-FR"/>
              </w:rPr>
              <w:tab/>
              <w:t>Conversion en une seule monnaie</w:t>
            </w:r>
            <w:bookmarkEnd w:id="422"/>
          </w:p>
        </w:tc>
        <w:tc>
          <w:tcPr>
            <w:tcW w:w="7023" w:type="dxa"/>
            <w:tcBorders>
              <w:top w:val="nil"/>
              <w:left w:val="nil"/>
              <w:bottom w:val="nil"/>
              <w:right w:val="nil"/>
            </w:tcBorders>
          </w:tcPr>
          <w:p w14:paraId="44CC9D8F" w14:textId="42FF9B56" w:rsidR="007049A5" w:rsidRPr="004E4188" w:rsidRDefault="007049A5" w:rsidP="006C6267">
            <w:pPr>
              <w:spacing w:after="200"/>
              <w:ind w:left="601" w:hanging="601"/>
            </w:pPr>
            <w:r w:rsidRPr="004E4188">
              <w:t>47.1</w:t>
            </w:r>
            <w:r w:rsidRPr="004E4188">
              <w:tab/>
              <w:t>Aux fins de l’évaluation et de la comparaison des offres, les monnaies dans lesquelles les offres sont libellées seront converties dans la monnaie unique</w:t>
            </w:r>
            <w:r w:rsidRPr="004E4188">
              <w:rPr>
                <w:b/>
              </w:rPr>
              <w:t xml:space="preserve"> spécifiée dans les DP</w:t>
            </w:r>
            <w:r w:rsidRPr="004E4188">
              <w:t xml:space="preserve">. Le Maître d’ouvrage convertira les montants des offres, corrigés conformément à IS </w:t>
            </w:r>
            <w:r w:rsidRPr="004E4188">
              <w:rPr>
                <w:lang w:eastAsia="ja-JP"/>
              </w:rPr>
              <w:t>46</w:t>
            </w:r>
            <w:r w:rsidRPr="004E4188">
              <w:t xml:space="preserve">, libellés en diverses monnaies dans la monnaie unique spécifiée ci-dessus, en utilisant les </w:t>
            </w:r>
            <w:r w:rsidRPr="004E4188">
              <w:rPr>
                <w:rFonts w:hint="eastAsia"/>
                <w:lang w:eastAsia="ja-JP"/>
              </w:rPr>
              <w:t>c</w:t>
            </w:r>
            <w:r w:rsidRPr="004E4188">
              <w:rPr>
                <w:lang w:eastAsia="ja-JP"/>
              </w:rPr>
              <w:t>ours de vente</w:t>
            </w:r>
            <w:r w:rsidRPr="004E4188">
              <w:t xml:space="preserve"> établis pour des transactions similaires par la source et à la date</w:t>
            </w:r>
            <w:r w:rsidRPr="004E4188">
              <w:rPr>
                <w:b/>
              </w:rPr>
              <w:t xml:space="preserve"> indiquées dans les DP</w:t>
            </w:r>
            <w:r w:rsidRPr="004E4188">
              <w:t>.</w:t>
            </w:r>
          </w:p>
        </w:tc>
      </w:tr>
      <w:tr w:rsidR="007049A5" w:rsidRPr="004E4188" w14:paraId="4A5BBDF3" w14:textId="77777777" w:rsidTr="0092765E">
        <w:tc>
          <w:tcPr>
            <w:tcW w:w="2268" w:type="dxa"/>
            <w:tcBorders>
              <w:top w:val="nil"/>
              <w:left w:val="nil"/>
              <w:bottom w:val="nil"/>
              <w:right w:val="nil"/>
            </w:tcBorders>
          </w:tcPr>
          <w:p w14:paraId="7AF328CB" w14:textId="15ACA4AE" w:rsidR="007049A5" w:rsidRPr="004E4188" w:rsidRDefault="007049A5" w:rsidP="0092765E">
            <w:pPr>
              <w:pStyle w:val="Header1-Clauses"/>
              <w:ind w:left="357" w:hanging="357"/>
              <w:rPr>
                <w:lang w:val="fr-FR"/>
              </w:rPr>
            </w:pPr>
            <w:bookmarkStart w:id="423" w:name="_Toc104195612"/>
            <w:r w:rsidRPr="004E4188">
              <w:rPr>
                <w:rFonts w:hint="eastAsia"/>
                <w:lang w:val="fr-FR"/>
              </w:rPr>
              <w:t>48.</w:t>
            </w:r>
            <w:r w:rsidR="00292254" w:rsidRPr="004E4188">
              <w:rPr>
                <w:lang w:val="fr-FR"/>
              </w:rPr>
              <w:tab/>
            </w:r>
            <w:bookmarkStart w:id="424" w:name="_Toc94309099"/>
            <w:r w:rsidRPr="004E4188">
              <w:rPr>
                <w:lang w:val="fr-FR"/>
              </w:rPr>
              <w:t>Évaluation financières des offres de la deuxième étape</w:t>
            </w:r>
            <w:bookmarkEnd w:id="423"/>
            <w:bookmarkEnd w:id="424"/>
          </w:p>
        </w:tc>
        <w:tc>
          <w:tcPr>
            <w:tcW w:w="7023" w:type="dxa"/>
            <w:tcBorders>
              <w:top w:val="nil"/>
              <w:left w:val="nil"/>
              <w:bottom w:val="nil"/>
              <w:right w:val="nil"/>
            </w:tcBorders>
          </w:tcPr>
          <w:p w14:paraId="5311AE97" w14:textId="2D247257" w:rsidR="007049A5" w:rsidRPr="004E4188" w:rsidRDefault="007049A5" w:rsidP="006C6267">
            <w:pPr>
              <w:suppressAutoHyphens w:val="0"/>
              <w:spacing w:after="200"/>
              <w:ind w:left="578" w:hanging="578"/>
            </w:pPr>
            <w:r w:rsidRPr="004E4188">
              <w:t>48.1</w:t>
            </w:r>
            <w:r w:rsidRPr="004E4188">
              <w:tab/>
              <w:t xml:space="preserve">Pour évaluer </w:t>
            </w:r>
            <w:r w:rsidR="00DE309F" w:rsidRPr="004E4188">
              <w:t xml:space="preserve">les </w:t>
            </w:r>
            <w:r w:rsidRPr="004E4188">
              <w:t>offre</w:t>
            </w:r>
            <w:r w:rsidR="00DE309F" w:rsidRPr="004E4188">
              <w:t>s</w:t>
            </w:r>
            <w:r w:rsidRPr="004E4188">
              <w:t xml:space="preserve"> de la deuxième étape, le Maître d’ouvrage prendra en compte les éléments ci-après :</w:t>
            </w:r>
          </w:p>
          <w:p w14:paraId="6863B843" w14:textId="311C94D9" w:rsidR="007049A5" w:rsidRPr="004E4188" w:rsidRDefault="007049A5" w:rsidP="006C6267">
            <w:pPr>
              <w:suppressAutoHyphens w:val="0"/>
              <w:spacing w:after="200"/>
              <w:ind w:left="1026" w:hanging="425"/>
            </w:pPr>
            <w:r w:rsidRPr="004E4188">
              <w:t>(a)</w:t>
            </w:r>
            <w:r w:rsidRPr="004E4188">
              <w:tab/>
              <w:t>le Montant de l’offre, en excluant les sommes provisionnelles de nature spécifique et, le cas échéant, les provisions pour risque figurant dans le tableau récapitulatif des Bordereaux des prix ;</w:t>
            </w:r>
          </w:p>
          <w:p w14:paraId="54A0C146" w14:textId="308707B3" w:rsidR="007049A5" w:rsidRPr="004E4188" w:rsidRDefault="007049A5" w:rsidP="006C6267">
            <w:pPr>
              <w:suppressAutoHyphens w:val="0"/>
              <w:spacing w:after="200"/>
              <w:ind w:left="1026" w:hanging="425"/>
            </w:pPr>
            <w:r w:rsidRPr="004E4188">
              <w:t>(b)</w:t>
            </w:r>
            <w:r w:rsidRPr="004E4188">
              <w:tab/>
              <w:t>les ajustements apportés au prix pour rectifier les erreurs arithmétiques conformément à IS 46.1 ;</w:t>
            </w:r>
          </w:p>
          <w:p w14:paraId="36237997" w14:textId="5BD6D948" w:rsidR="007049A5" w:rsidRPr="004E4188" w:rsidRDefault="007049A5" w:rsidP="006C6267">
            <w:pPr>
              <w:suppressAutoHyphens w:val="0"/>
              <w:spacing w:after="200"/>
              <w:ind w:left="1026" w:hanging="425"/>
            </w:pPr>
            <w:r w:rsidRPr="004E4188">
              <w:t>(c)</w:t>
            </w:r>
            <w:r w:rsidRPr="004E4188">
              <w:tab/>
              <w:t>les ajustements imputables aux rabais offerts, conformément à IS 30.6 ;</w:t>
            </w:r>
          </w:p>
          <w:p w14:paraId="09FC638F" w14:textId="77777777" w:rsidR="007049A5" w:rsidRPr="004E4188" w:rsidRDefault="007049A5" w:rsidP="006C6267">
            <w:pPr>
              <w:pStyle w:val="StyleHeader1-ClausesAfter0pt"/>
              <w:tabs>
                <w:tab w:val="left" w:pos="1006"/>
              </w:tabs>
              <w:ind w:left="1006" w:hanging="425"/>
              <w:rPr>
                <w:lang w:val="fr-FR"/>
              </w:rPr>
            </w:pPr>
            <w:r w:rsidRPr="004E4188">
              <w:rPr>
                <w:lang w:val="fr-FR"/>
              </w:rPr>
              <w:t>(d)</w:t>
            </w:r>
            <w:r w:rsidRPr="004E4188">
              <w:rPr>
                <w:lang w:val="fr-FR"/>
              </w:rPr>
              <w:tab/>
              <w:t>les ajustements résultant de l’utilisation des facteurs d’évaluation additionnels figurant à la Section III, Critères d’évaluation et de qualification ;</w:t>
            </w:r>
          </w:p>
          <w:p w14:paraId="3284264A" w14:textId="16EBF449" w:rsidR="007049A5" w:rsidRPr="004E4188" w:rsidRDefault="007049A5" w:rsidP="006C6267">
            <w:pPr>
              <w:pStyle w:val="StyleHeader1-ClausesAfter0pt"/>
              <w:tabs>
                <w:tab w:val="left" w:pos="1006"/>
              </w:tabs>
              <w:ind w:left="1006" w:hanging="425"/>
              <w:rPr>
                <w:lang w:val="fr-FR"/>
              </w:rPr>
            </w:pPr>
            <w:r w:rsidRPr="004E4188">
              <w:rPr>
                <w:lang w:val="fr-FR"/>
              </w:rPr>
              <w:t>(e)</w:t>
            </w:r>
            <w:r w:rsidRPr="004E4188">
              <w:rPr>
                <w:lang w:val="fr-FR"/>
              </w:rPr>
              <w:tab/>
              <w:t>les ajustements apportés pour rectifier les non-conformités non essentielles quantifiables, conformément à IS 45.3 ; et</w:t>
            </w:r>
            <w:r w:rsidRPr="004E4188" w:rsidDel="007C02B5">
              <w:rPr>
                <w:lang w:val="fr-FR"/>
              </w:rPr>
              <w:t xml:space="preserve"> </w:t>
            </w:r>
          </w:p>
          <w:p w14:paraId="10C9B93B" w14:textId="7730ED5F" w:rsidR="007049A5" w:rsidRPr="004E4188" w:rsidRDefault="007049A5" w:rsidP="006C6267">
            <w:pPr>
              <w:suppressAutoHyphens w:val="0"/>
              <w:spacing w:after="200"/>
              <w:ind w:left="1026" w:hanging="425"/>
            </w:pPr>
            <w:r w:rsidRPr="004E4188">
              <w:t>(f)</w:t>
            </w:r>
            <w:r w:rsidRPr="004E4188">
              <w:tab/>
              <w:t>la conversion en une seule monnaie des montants résultant des opérations (a), (b), (c), (d) et (e) ci-dessus, le cas échéant, conformément à IS 47.1</w:t>
            </w:r>
            <w:r w:rsidR="00D369D4" w:rsidRPr="004E4188">
              <w:t>.</w:t>
            </w:r>
          </w:p>
          <w:p w14:paraId="25D3D33E" w14:textId="77777777" w:rsidR="007049A5" w:rsidRPr="004E4188" w:rsidRDefault="007049A5" w:rsidP="00C73BFE">
            <w:pPr>
              <w:pStyle w:val="OptB-S1-subpara"/>
              <w:tabs>
                <w:tab w:val="clear" w:pos="718"/>
              </w:tabs>
              <w:ind w:left="601" w:firstLine="0"/>
              <w:rPr>
                <w:lang w:val="fr-FR"/>
              </w:rPr>
            </w:pPr>
            <w:r w:rsidRPr="004E4188">
              <w:rPr>
                <w:lang w:val="fr-FR"/>
              </w:rPr>
              <w:t>Le coût des pièces de rechange recommandées, le cas échéant, chiffré dans les Bordereaux des prix ne sera pas pris en considération lors de l’évaluation.</w:t>
            </w:r>
          </w:p>
        </w:tc>
      </w:tr>
      <w:tr w:rsidR="007049A5" w:rsidRPr="004E4188" w14:paraId="2C23C81F" w14:textId="77777777" w:rsidTr="0092765E">
        <w:tc>
          <w:tcPr>
            <w:tcW w:w="2268" w:type="dxa"/>
            <w:tcBorders>
              <w:top w:val="nil"/>
              <w:left w:val="nil"/>
              <w:bottom w:val="nil"/>
              <w:right w:val="nil"/>
            </w:tcBorders>
          </w:tcPr>
          <w:p w14:paraId="3C92F79B" w14:textId="77777777" w:rsidR="007049A5" w:rsidRPr="004E4188" w:rsidRDefault="007049A5" w:rsidP="006C6267"/>
        </w:tc>
        <w:tc>
          <w:tcPr>
            <w:tcW w:w="7023" w:type="dxa"/>
            <w:tcBorders>
              <w:top w:val="nil"/>
              <w:left w:val="nil"/>
              <w:bottom w:val="nil"/>
              <w:right w:val="nil"/>
            </w:tcBorders>
          </w:tcPr>
          <w:p w14:paraId="6D31D776" w14:textId="191B2E87" w:rsidR="007049A5" w:rsidRPr="004E4188" w:rsidRDefault="007049A5" w:rsidP="006C6267">
            <w:pPr>
              <w:spacing w:after="200"/>
              <w:ind w:left="601" w:hanging="601"/>
            </w:pPr>
            <w:r w:rsidRPr="004E4188">
              <w:t>48.2</w:t>
            </w:r>
            <w:r w:rsidRPr="004E4188">
              <w:tab/>
              <w:t>Si la révision des prix est autorisée conformément à IS 30.7, l’effet éventuel des formules de révision des prix figurant dans les Conditions du Marché</w:t>
            </w:r>
            <w:r w:rsidRPr="004E4188" w:rsidDel="00FE6999">
              <w:t xml:space="preserve"> </w:t>
            </w:r>
            <w:r w:rsidRPr="004E4188">
              <w:t>qui seront appliquées durant la période d’exécution du Marché, ne sera pas pris en considération lors de l’évaluation des offres.</w:t>
            </w:r>
          </w:p>
        </w:tc>
      </w:tr>
      <w:tr w:rsidR="007049A5" w:rsidRPr="004E4188" w14:paraId="261A8293" w14:textId="77777777" w:rsidTr="0092765E">
        <w:tc>
          <w:tcPr>
            <w:tcW w:w="2268" w:type="dxa"/>
            <w:tcBorders>
              <w:top w:val="nil"/>
              <w:left w:val="nil"/>
              <w:bottom w:val="nil"/>
              <w:right w:val="nil"/>
            </w:tcBorders>
          </w:tcPr>
          <w:p w14:paraId="73C129A5" w14:textId="77777777" w:rsidR="007049A5" w:rsidRPr="004E4188" w:rsidRDefault="007049A5" w:rsidP="006C6267"/>
        </w:tc>
        <w:tc>
          <w:tcPr>
            <w:tcW w:w="7023" w:type="dxa"/>
            <w:tcBorders>
              <w:top w:val="nil"/>
              <w:left w:val="nil"/>
              <w:bottom w:val="nil"/>
              <w:right w:val="nil"/>
            </w:tcBorders>
          </w:tcPr>
          <w:p w14:paraId="54679DB8" w14:textId="55D1EF76" w:rsidR="007049A5" w:rsidRPr="004E4188" w:rsidRDefault="007049A5" w:rsidP="006C6267">
            <w:pPr>
              <w:spacing w:after="200"/>
              <w:ind w:left="601" w:hanging="601"/>
            </w:pPr>
            <w:r w:rsidRPr="004E4188">
              <w:t>48.3</w:t>
            </w:r>
            <w:r w:rsidRPr="004E4188">
              <w:tab/>
              <w:t>Dans le cas d’un appel d’offre</w:t>
            </w:r>
            <w:r w:rsidR="007D189C" w:rsidRPr="004E4188">
              <w:t>s</w:t>
            </w:r>
            <w:r w:rsidRPr="004E4188">
              <w:t xml:space="preserve"> lancé pour des lots multiples, la moins-disante des offres pour l’ensemble des lots sera déterminée comme indiquée dans la Section III, Critères d’évaluation et de qualification.</w:t>
            </w:r>
          </w:p>
        </w:tc>
      </w:tr>
      <w:tr w:rsidR="007049A5" w:rsidRPr="004E4188" w14:paraId="2DE2D0E7" w14:textId="77777777" w:rsidTr="0092765E">
        <w:tc>
          <w:tcPr>
            <w:tcW w:w="2268" w:type="dxa"/>
            <w:tcBorders>
              <w:top w:val="nil"/>
              <w:left w:val="nil"/>
              <w:right w:val="nil"/>
            </w:tcBorders>
          </w:tcPr>
          <w:p w14:paraId="4AB87F09" w14:textId="7A47A77F" w:rsidR="007049A5" w:rsidRPr="004E4188" w:rsidRDefault="007049A5" w:rsidP="0092765E">
            <w:pPr>
              <w:pStyle w:val="Header1-Clauses"/>
              <w:ind w:left="357" w:hanging="357"/>
              <w:rPr>
                <w:lang w:val="fr-FR"/>
              </w:rPr>
            </w:pPr>
            <w:bookmarkStart w:id="425" w:name="_Toc104195613"/>
            <w:r w:rsidRPr="004E4188">
              <w:rPr>
                <w:lang w:val="fr-FR"/>
              </w:rPr>
              <w:t>49.</w:t>
            </w:r>
            <w:r w:rsidRPr="004E4188">
              <w:rPr>
                <w:lang w:val="fr-FR"/>
              </w:rPr>
              <w:tab/>
              <w:t>Comparaison des offres</w:t>
            </w:r>
            <w:bookmarkEnd w:id="425"/>
          </w:p>
        </w:tc>
        <w:tc>
          <w:tcPr>
            <w:tcW w:w="7023" w:type="dxa"/>
            <w:tcBorders>
              <w:top w:val="nil"/>
              <w:left w:val="nil"/>
              <w:right w:val="nil"/>
            </w:tcBorders>
          </w:tcPr>
          <w:p w14:paraId="22EE5FED" w14:textId="38DF14C1" w:rsidR="007049A5" w:rsidRPr="004E4188" w:rsidRDefault="007049A5" w:rsidP="00C73BFE">
            <w:pPr>
              <w:spacing w:after="200"/>
              <w:ind w:left="601" w:hanging="601"/>
              <w:rPr>
                <w:i/>
              </w:rPr>
            </w:pPr>
            <w:r w:rsidRPr="004E4188">
              <w:t>49.1</w:t>
            </w:r>
            <w:r w:rsidRPr="004E4188">
              <w:tab/>
              <w:t>Le Maître d’ouvrage comparera le montant évalué conformément à IS 48.3 de toutes les offres de la deuxième étape substantiellement conformes aux dispositions du Dossier d’appel d’offres afin de déterminer l’offre évaluée la moins-disante</w:t>
            </w:r>
            <w:r w:rsidRPr="004E4188">
              <w:rPr>
                <w:i/>
              </w:rPr>
              <w:t>.</w:t>
            </w:r>
          </w:p>
        </w:tc>
      </w:tr>
      <w:tr w:rsidR="007049A5" w:rsidRPr="004E4188" w14:paraId="5F5C14F8" w14:textId="77777777" w:rsidTr="0092765E">
        <w:tc>
          <w:tcPr>
            <w:tcW w:w="2268" w:type="dxa"/>
            <w:tcBorders>
              <w:top w:val="nil"/>
              <w:left w:val="nil"/>
              <w:right w:val="nil"/>
            </w:tcBorders>
          </w:tcPr>
          <w:p w14:paraId="71750488" w14:textId="77777777" w:rsidR="007049A5" w:rsidRPr="004E4188" w:rsidRDefault="007049A5" w:rsidP="006C6267">
            <w:pPr>
              <w:pStyle w:val="Header1-Clauses"/>
              <w:rPr>
                <w:lang w:val="fr-FR"/>
              </w:rPr>
            </w:pPr>
          </w:p>
        </w:tc>
        <w:tc>
          <w:tcPr>
            <w:tcW w:w="7023" w:type="dxa"/>
            <w:tcBorders>
              <w:top w:val="nil"/>
              <w:left w:val="nil"/>
              <w:right w:val="nil"/>
            </w:tcBorders>
          </w:tcPr>
          <w:p w14:paraId="313BD4B6" w14:textId="77777777" w:rsidR="007049A5" w:rsidRPr="004E4188" w:rsidRDefault="007049A5" w:rsidP="00C73BFE">
            <w:pPr>
              <w:suppressAutoHyphens w:val="0"/>
              <w:overflowPunct/>
              <w:autoSpaceDE/>
              <w:autoSpaceDN/>
              <w:adjustRightInd/>
              <w:spacing w:after="200"/>
              <w:ind w:left="601" w:hanging="601"/>
              <w:textAlignment w:val="auto"/>
              <w:rPr>
                <w:lang w:eastAsia="en-US"/>
              </w:rPr>
            </w:pPr>
            <w:r w:rsidRPr="004E4188">
              <w:rPr>
                <w:lang w:eastAsia="en-US"/>
              </w:rPr>
              <w:t>49.2</w:t>
            </w:r>
            <w:r w:rsidRPr="004E4188">
              <w:rPr>
                <w:lang w:eastAsia="en-US"/>
              </w:rPr>
              <w:tab/>
              <w:t>Si l’offre évaluée la moins-disante est, de l’avis du Maître d’ouvrage, fortement déséquilibrée ou impose des paiements importants en début d’exécution, le Maître d’ouvrage peut demander au Soumissionnaire de fournir le sous-détail des prix pour un ou tous les postes des Bordereaux des prix, afin d’établir que ces prix sont compatibles avec</w:t>
            </w:r>
            <w:r w:rsidRPr="004E4188">
              <w:rPr>
                <w:rFonts w:hint="eastAsia"/>
                <w:lang w:eastAsia="ja-JP"/>
              </w:rPr>
              <w:t xml:space="preserve"> </w:t>
            </w:r>
            <w:r w:rsidRPr="004E4188">
              <w:t xml:space="preserve">le descriptif de la </w:t>
            </w:r>
            <w:r w:rsidRPr="004E4188">
              <w:rPr>
                <w:lang w:eastAsia="en-US"/>
              </w:rPr>
              <w:t xml:space="preserve">conception, fourniture et montage </w:t>
            </w:r>
            <w:r w:rsidRPr="004E4188">
              <w:rPr>
                <w:szCs w:val="24"/>
              </w:rPr>
              <w:t>des é</w:t>
            </w:r>
            <w:r w:rsidRPr="004E4188">
              <w:rPr>
                <w:lang w:eastAsia="en-US"/>
              </w:rPr>
              <w:t>quipements, la méthodologie proposée, le calendrier de réalisation, et toute autre exigence contenue dans le Dossier d’appel d’offres. Après avoir examiné le sous-détail des prix, prenant en compte les conditions de règlement, le Maître d’ouvrage peut demander que le montant de la garantie de bonne exécution soit porté, aux frais du Soumissionnaire, à un niveau suffisant pour protéger le Maître d’ouvrage contre toute perte financière au cas où le Soumissionnaire retenu viendrait à manquer à ses obligations au titre du Marché.</w:t>
            </w:r>
          </w:p>
        </w:tc>
      </w:tr>
      <w:tr w:rsidR="007049A5" w:rsidRPr="004E4188" w14:paraId="65B2E588" w14:textId="77777777" w:rsidTr="0092765E">
        <w:tc>
          <w:tcPr>
            <w:tcW w:w="2268" w:type="dxa"/>
            <w:tcBorders>
              <w:top w:val="nil"/>
              <w:left w:val="nil"/>
              <w:right w:val="nil"/>
            </w:tcBorders>
          </w:tcPr>
          <w:p w14:paraId="6A9D598A" w14:textId="77777777" w:rsidR="007049A5" w:rsidRPr="004E4188" w:rsidRDefault="007049A5" w:rsidP="006C6267">
            <w:pPr>
              <w:pStyle w:val="Header1-Clauses"/>
              <w:rPr>
                <w:lang w:val="fr-FR"/>
              </w:rPr>
            </w:pPr>
          </w:p>
        </w:tc>
        <w:tc>
          <w:tcPr>
            <w:tcW w:w="7023" w:type="dxa"/>
            <w:tcBorders>
              <w:top w:val="nil"/>
              <w:left w:val="nil"/>
              <w:right w:val="nil"/>
            </w:tcBorders>
          </w:tcPr>
          <w:p w14:paraId="3180EF1B" w14:textId="77777777" w:rsidR="007049A5" w:rsidRPr="004E4188" w:rsidRDefault="007049A5" w:rsidP="00C73BFE">
            <w:pPr>
              <w:suppressAutoHyphens w:val="0"/>
              <w:overflowPunct/>
              <w:autoSpaceDE/>
              <w:autoSpaceDN/>
              <w:adjustRightInd/>
              <w:spacing w:after="200"/>
              <w:ind w:left="601" w:hanging="601"/>
              <w:textAlignment w:val="auto"/>
              <w:rPr>
                <w:bCs/>
                <w:lang w:eastAsia="en-US"/>
              </w:rPr>
            </w:pPr>
            <w:r w:rsidRPr="004E4188">
              <w:rPr>
                <w:bCs/>
                <w:lang w:eastAsia="en-US"/>
              </w:rPr>
              <w:t>49.3</w:t>
            </w:r>
            <w:r w:rsidRPr="004E4188">
              <w:rPr>
                <w:bCs/>
                <w:lang w:eastAsia="en-US"/>
              </w:rPr>
              <w:tab/>
            </w:r>
            <w:r w:rsidRPr="004E4188">
              <w:rPr>
                <w:lang w:eastAsia="en-US"/>
              </w:rPr>
              <w:t>D</w:t>
            </w:r>
            <w:r w:rsidRPr="004E4188">
              <w:rPr>
                <w:bCs/>
                <w:lang w:eastAsia="en-US"/>
              </w:rPr>
              <w:t>ans le cas où il considère que l’offre est anormalement basse, le Maître d’ouvrage devra demander au Soumissionnaire des éclaircissements par écrit, y compris une analyse détaillée du prix en relation avec l’objet du Marché, sa portée, la méthode proposée, le calendrier de réalisation, la répartition des risques et responsabilités, et toute autre exigence contenue dans le Dossier d’</w:t>
            </w:r>
            <w:r w:rsidRPr="004E4188">
              <w:rPr>
                <w:rFonts w:hint="eastAsia"/>
                <w:bCs/>
                <w:lang w:eastAsia="ja-JP"/>
              </w:rPr>
              <w:t>a</w:t>
            </w:r>
            <w:r w:rsidRPr="004E4188">
              <w:rPr>
                <w:bCs/>
                <w:lang w:eastAsia="en-US"/>
              </w:rPr>
              <w:t>ppel d’offres.</w:t>
            </w:r>
          </w:p>
          <w:p w14:paraId="3A61AED5" w14:textId="77777777" w:rsidR="007049A5" w:rsidRPr="004E4188" w:rsidRDefault="007049A5" w:rsidP="00C73BFE">
            <w:pPr>
              <w:tabs>
                <w:tab w:val="left" w:pos="576"/>
              </w:tabs>
              <w:suppressAutoHyphens w:val="0"/>
              <w:overflowPunct/>
              <w:autoSpaceDE/>
              <w:autoSpaceDN/>
              <w:adjustRightInd/>
              <w:spacing w:after="200"/>
              <w:ind w:left="601" w:hanging="601"/>
              <w:textAlignment w:val="auto"/>
              <w:rPr>
                <w:bCs/>
                <w:lang w:eastAsia="en-US"/>
              </w:rPr>
            </w:pPr>
            <w:r w:rsidRPr="004E4188">
              <w:rPr>
                <w:bCs/>
                <w:lang w:eastAsia="en-US"/>
              </w:rPr>
              <w:tab/>
              <w:t>Après avoir examiné les informations et le détail du prix fournis par le Soumissionnaire, dans le cas où le Maître d’ouvrage établit que le Soumissionnaire n’a pas démontré sa capacité à réaliser le Marché pour le prix proposé, il écartera l’offre.</w:t>
            </w:r>
          </w:p>
          <w:p w14:paraId="507CFAEB" w14:textId="77777777" w:rsidR="007049A5" w:rsidRPr="004E4188" w:rsidRDefault="007049A5" w:rsidP="006C6267">
            <w:pPr>
              <w:spacing w:after="200"/>
              <w:ind w:left="601" w:hanging="601"/>
            </w:pPr>
            <w:r w:rsidRPr="004E4188">
              <w:rPr>
                <w:lang w:eastAsia="en-US"/>
              </w:rPr>
              <w:tab/>
              <w:t>Pour les besoins de IS 49.3, une offre anormalement basse est une offre qui, en tenant compte d’autres éléments de l’offre, apparait si basse qu’elle soulève des préoccupations chez le Maître d’ouvrage quant à la capacité du Soumissionnaire à réaliser le Marché pour le prix proposé.</w:t>
            </w:r>
          </w:p>
        </w:tc>
      </w:tr>
      <w:tr w:rsidR="007049A5" w:rsidRPr="004E4188" w14:paraId="10C7090C" w14:textId="77777777" w:rsidTr="0092765E">
        <w:trPr>
          <w:cantSplit/>
        </w:trPr>
        <w:tc>
          <w:tcPr>
            <w:tcW w:w="2268" w:type="dxa"/>
            <w:tcBorders>
              <w:top w:val="nil"/>
              <w:left w:val="nil"/>
              <w:bottom w:val="nil"/>
              <w:right w:val="nil"/>
            </w:tcBorders>
          </w:tcPr>
          <w:p w14:paraId="041C7AB1" w14:textId="7368AE1F" w:rsidR="007049A5" w:rsidRPr="004E4188" w:rsidRDefault="007049A5" w:rsidP="0092765E">
            <w:pPr>
              <w:pStyle w:val="Header1-Clauses"/>
              <w:ind w:left="357" w:hanging="357"/>
              <w:rPr>
                <w:lang w:val="fr-FR"/>
              </w:rPr>
            </w:pPr>
            <w:bookmarkStart w:id="426" w:name="_Toc104195614"/>
            <w:r w:rsidRPr="004E4188">
              <w:rPr>
                <w:lang w:val="fr-FR"/>
              </w:rPr>
              <w:t>50.</w:t>
            </w:r>
            <w:r w:rsidRPr="004E4188">
              <w:rPr>
                <w:lang w:val="fr-FR"/>
              </w:rPr>
              <w:tab/>
              <w:t>Droit du Maître d’ouvrage d’accepter l’une quelconque des offres et de rejeter une ou toutes les offres</w:t>
            </w:r>
            <w:bookmarkEnd w:id="426"/>
          </w:p>
        </w:tc>
        <w:tc>
          <w:tcPr>
            <w:tcW w:w="7023" w:type="dxa"/>
            <w:tcBorders>
              <w:top w:val="nil"/>
              <w:left w:val="nil"/>
              <w:bottom w:val="nil"/>
              <w:right w:val="nil"/>
            </w:tcBorders>
          </w:tcPr>
          <w:p w14:paraId="539B8841" w14:textId="70F9CDA6" w:rsidR="007049A5" w:rsidRPr="004E4188" w:rsidRDefault="007049A5" w:rsidP="006C6267">
            <w:pPr>
              <w:spacing w:after="200"/>
              <w:ind w:left="601" w:hanging="601"/>
            </w:pPr>
            <w:r w:rsidRPr="004E4188">
              <w:t>50.1</w:t>
            </w:r>
            <w:r w:rsidRPr="004E4188">
              <w:tab/>
              <w:t>Le Maître d’ouvrage se réserve le droit d’accepter ou de rejeter toute offre, et d’</w:t>
            </w:r>
            <w:r w:rsidRPr="004E4188">
              <w:rPr>
                <w:szCs w:val="24"/>
              </w:rPr>
              <w:t>annuler</w:t>
            </w:r>
            <w:r w:rsidRPr="004E4188">
              <w:t xml:space="preserve"> la procédure d’appel d’offres et de rejeter toutes les offres à tout moment avant l’attribution du Marché, sans encourir de ce fait une responsabilité quelconque envers les Soumissionnaires. En cas d’annulation, toutes les offres soumises et particulièrement les garanties de soumission seront renvoyées sans délai aux Soumissionnaires.</w:t>
            </w:r>
          </w:p>
        </w:tc>
      </w:tr>
      <w:tr w:rsidR="007049A5" w:rsidRPr="004E4188" w14:paraId="6B6CB4F4" w14:textId="77777777" w:rsidTr="0092765E">
        <w:tc>
          <w:tcPr>
            <w:tcW w:w="9291" w:type="dxa"/>
            <w:gridSpan w:val="2"/>
            <w:tcBorders>
              <w:top w:val="nil"/>
              <w:left w:val="nil"/>
              <w:bottom w:val="nil"/>
              <w:right w:val="nil"/>
            </w:tcBorders>
          </w:tcPr>
          <w:p w14:paraId="3EB2C642" w14:textId="65BD149C" w:rsidR="007049A5" w:rsidRPr="004E4188" w:rsidRDefault="007049A5" w:rsidP="006C6267">
            <w:pPr>
              <w:pStyle w:val="Section1Header1"/>
            </w:pPr>
            <w:bookmarkStart w:id="427" w:name="_Toc104195615"/>
            <w:r w:rsidRPr="004E4188">
              <w:t>F. Attribution du Marché</w:t>
            </w:r>
            <w:bookmarkEnd w:id="427"/>
          </w:p>
        </w:tc>
      </w:tr>
      <w:tr w:rsidR="007049A5" w:rsidRPr="004E4188" w14:paraId="5129176B" w14:textId="77777777" w:rsidTr="0092765E">
        <w:tc>
          <w:tcPr>
            <w:tcW w:w="2273" w:type="dxa"/>
            <w:tcBorders>
              <w:top w:val="nil"/>
              <w:left w:val="nil"/>
              <w:bottom w:val="nil"/>
              <w:right w:val="nil"/>
            </w:tcBorders>
          </w:tcPr>
          <w:p w14:paraId="4466F2D2" w14:textId="2FAA07D9" w:rsidR="007049A5" w:rsidRPr="004E4188" w:rsidRDefault="007049A5" w:rsidP="00BF53A8">
            <w:pPr>
              <w:pStyle w:val="Header1-Clauses"/>
              <w:ind w:left="357" w:hanging="357"/>
              <w:rPr>
                <w:lang w:val="fr-FR"/>
              </w:rPr>
            </w:pPr>
            <w:bookmarkStart w:id="428" w:name="_Toc104195616"/>
            <w:r w:rsidRPr="004E4188">
              <w:rPr>
                <w:lang w:val="fr-FR"/>
              </w:rPr>
              <w:t>51.</w:t>
            </w:r>
            <w:r w:rsidRPr="004E4188">
              <w:rPr>
                <w:lang w:val="fr-FR"/>
              </w:rPr>
              <w:tab/>
              <w:t>Critères d’attribution</w:t>
            </w:r>
            <w:bookmarkEnd w:id="428"/>
          </w:p>
        </w:tc>
        <w:tc>
          <w:tcPr>
            <w:tcW w:w="7023" w:type="dxa"/>
            <w:tcBorders>
              <w:top w:val="nil"/>
              <w:left w:val="nil"/>
              <w:bottom w:val="nil"/>
              <w:right w:val="nil"/>
            </w:tcBorders>
          </w:tcPr>
          <w:p w14:paraId="3C7E37A2" w14:textId="7E017981" w:rsidR="007049A5" w:rsidRPr="004E4188" w:rsidRDefault="007049A5" w:rsidP="006C6267">
            <w:pPr>
              <w:spacing w:after="200"/>
              <w:ind w:left="601" w:hanging="601"/>
              <w:rPr>
                <w:i/>
                <w:sz w:val="22"/>
              </w:rPr>
            </w:pPr>
            <w:r w:rsidRPr="004E4188">
              <w:t>51.1</w:t>
            </w:r>
            <w:r w:rsidRPr="004E4188">
              <w:tab/>
              <w:t xml:space="preserve">Sous réserve des dispositions de IS 50.1, le Maître d’ouvrage attribuera le Marché au Soumissionnaire dont l’offre aura été évaluée la moins-disante et jugée </w:t>
            </w:r>
            <w:r w:rsidRPr="004E4188">
              <w:rPr>
                <w:szCs w:val="24"/>
              </w:rPr>
              <w:t>substantiellement</w:t>
            </w:r>
            <w:r w:rsidRPr="004E4188">
              <w:t xml:space="preserve"> conforme aux dispositions du Dossier d’appel d’offres, à condition que le Soumissionnaire soit en outre jugé qualifié pour exécuter le Marché de façon satisfaisante.</w:t>
            </w:r>
          </w:p>
        </w:tc>
      </w:tr>
      <w:tr w:rsidR="007049A5" w:rsidRPr="004E4188" w14:paraId="18EC4922" w14:textId="77777777" w:rsidTr="0092765E">
        <w:tc>
          <w:tcPr>
            <w:tcW w:w="2273" w:type="dxa"/>
            <w:tcBorders>
              <w:top w:val="nil"/>
              <w:left w:val="nil"/>
              <w:bottom w:val="nil"/>
              <w:right w:val="nil"/>
            </w:tcBorders>
          </w:tcPr>
          <w:p w14:paraId="30744E58" w14:textId="08EC9866" w:rsidR="007049A5" w:rsidRPr="004E4188" w:rsidRDefault="007049A5" w:rsidP="00BF53A8">
            <w:pPr>
              <w:pStyle w:val="Header1-Clauses"/>
              <w:ind w:left="357" w:hanging="357"/>
              <w:rPr>
                <w:lang w:val="fr-FR"/>
              </w:rPr>
            </w:pPr>
            <w:bookmarkStart w:id="429" w:name="_Toc104195617"/>
            <w:r w:rsidRPr="004E4188">
              <w:rPr>
                <w:lang w:val="fr-FR"/>
              </w:rPr>
              <w:t>52.</w:t>
            </w:r>
            <w:r w:rsidRPr="004E4188">
              <w:rPr>
                <w:lang w:val="fr-FR"/>
              </w:rPr>
              <w:tab/>
              <w:t>Notification de l’attribution du Marché</w:t>
            </w:r>
            <w:bookmarkEnd w:id="429"/>
          </w:p>
        </w:tc>
        <w:tc>
          <w:tcPr>
            <w:tcW w:w="7023" w:type="dxa"/>
            <w:tcBorders>
              <w:top w:val="nil"/>
              <w:left w:val="nil"/>
              <w:bottom w:val="nil"/>
              <w:right w:val="nil"/>
            </w:tcBorders>
          </w:tcPr>
          <w:p w14:paraId="78EE6413" w14:textId="47699EFF" w:rsidR="007049A5" w:rsidRPr="004E4188" w:rsidRDefault="007049A5" w:rsidP="006C6267">
            <w:pPr>
              <w:spacing w:after="200"/>
              <w:ind w:left="601" w:hanging="601"/>
              <w:rPr>
                <w:lang w:eastAsia="ja-JP"/>
              </w:rPr>
            </w:pPr>
            <w:r w:rsidRPr="004E4188">
              <w:t>52.1</w:t>
            </w:r>
            <w:r w:rsidRPr="004E4188">
              <w:tab/>
              <w:t>Avant l’expiration de la période de validité des offres, le Maître d’ouvrage notifiera par écrit au Soumissionnaire retenu que son offre a été acceptée. La lettre de notification (désignée ci-après et dans les Conditions du Marché et dans les formulaires du Marché par « Lettre d’acceptation de l’offre ») doit indiquer le montant que le Maître d’ouvrage réglera à l’Entrepreneur pour l’exécution et l’achèvement des Équipements et Services de montage (désigné ci-après et dans les Conditions du Marché et dans les formulaires du Marché par « le Montant</w:t>
            </w:r>
            <w:r w:rsidRPr="004E4188">
              <w:rPr>
                <w:lang w:eastAsia="ja-JP"/>
              </w:rPr>
              <w:t xml:space="preserve"> </w:t>
            </w:r>
            <w:r w:rsidRPr="004E4188">
              <w:t>du Marché »).</w:t>
            </w:r>
          </w:p>
          <w:p w14:paraId="59D82D3E" w14:textId="620170DE" w:rsidR="007049A5" w:rsidRPr="004E4188" w:rsidRDefault="007049A5" w:rsidP="00C73BFE">
            <w:pPr>
              <w:spacing w:after="200"/>
              <w:ind w:left="601" w:hanging="601"/>
              <w:rPr>
                <w:lang w:eastAsia="ja-JP"/>
              </w:rPr>
            </w:pPr>
            <w:r w:rsidRPr="004E4188">
              <w:t>52.2</w:t>
            </w:r>
            <w:r w:rsidRPr="004E4188">
              <w:rPr>
                <w:lang w:eastAsia="ja-JP"/>
              </w:rPr>
              <w:tab/>
            </w:r>
            <w:r w:rsidRPr="004E4188">
              <w:rPr>
                <w:szCs w:val="24"/>
              </w:rPr>
              <w:t xml:space="preserve">Après avoir déterminé qu’un marché est éligible au financement par </w:t>
            </w:r>
            <w:r w:rsidRPr="004E4188">
              <w:t>Prêts</w:t>
            </w:r>
            <w:r w:rsidRPr="004E4188">
              <w:rPr>
                <w:szCs w:val="24"/>
              </w:rPr>
              <w:t xml:space="preserve"> APD du Japon, la JICA peut rendre publiques</w:t>
            </w:r>
            <w:r w:rsidRPr="004E4188">
              <w:t xml:space="preserve"> les informations suivantes :</w:t>
            </w:r>
          </w:p>
          <w:p w14:paraId="554C8E25" w14:textId="77777777" w:rsidR="007049A5" w:rsidRPr="004E4188" w:rsidRDefault="007049A5" w:rsidP="006C6267">
            <w:pPr>
              <w:suppressAutoHyphens w:val="0"/>
              <w:spacing w:after="200"/>
              <w:ind w:left="1026" w:hanging="425"/>
              <w:rPr>
                <w:lang w:eastAsia="ja-JP"/>
              </w:rPr>
            </w:pPr>
            <w:r w:rsidRPr="004E4188">
              <w:t>(a)</w:t>
            </w:r>
            <w:r w:rsidRPr="004E4188">
              <w:tab/>
              <w:t>le nom de chaque Soumissionnaire ayant remis une offre ;</w:t>
            </w:r>
          </w:p>
          <w:p w14:paraId="74F60D7C" w14:textId="77777777" w:rsidR="007049A5" w:rsidRPr="004E4188" w:rsidRDefault="007049A5" w:rsidP="006C6267">
            <w:pPr>
              <w:suppressAutoHyphens w:val="0"/>
              <w:spacing w:after="200"/>
              <w:ind w:left="1026" w:hanging="425"/>
            </w:pPr>
            <w:r w:rsidRPr="004E4188">
              <w:t>(b)</w:t>
            </w:r>
            <w:r w:rsidRPr="004E4188">
              <w:tab/>
              <w:t xml:space="preserve">le Montant des offres tel qu’annoncé lors de l’ouverture des offres ; </w:t>
            </w:r>
          </w:p>
          <w:p w14:paraId="1E704B67" w14:textId="77777777" w:rsidR="007049A5" w:rsidRPr="004E4188" w:rsidRDefault="007049A5" w:rsidP="006C6267">
            <w:pPr>
              <w:suppressAutoHyphens w:val="0"/>
              <w:spacing w:after="200"/>
              <w:ind w:left="1026" w:hanging="425"/>
            </w:pPr>
            <w:r w:rsidRPr="004E4188">
              <w:t>(c)</w:t>
            </w:r>
            <w:r w:rsidRPr="004E4188">
              <w:tab/>
              <w:t>le nom et l’adresse du Soumissionnaire retenu ; et</w:t>
            </w:r>
          </w:p>
          <w:p w14:paraId="550983E9" w14:textId="6C53EC3B" w:rsidR="007049A5" w:rsidRPr="004E4188" w:rsidRDefault="007049A5" w:rsidP="006C6267">
            <w:pPr>
              <w:suppressAutoHyphens w:val="0"/>
              <w:spacing w:after="200"/>
              <w:ind w:left="1026" w:hanging="425"/>
              <w:rPr>
                <w:lang w:eastAsia="ja-JP"/>
              </w:rPr>
            </w:pPr>
            <w:r w:rsidRPr="004E4188">
              <w:t>(d)</w:t>
            </w:r>
            <w:r w:rsidRPr="004E4188">
              <w:tab/>
              <w:t>la date de signature et le Montant du Marché.</w:t>
            </w:r>
          </w:p>
          <w:p w14:paraId="1B33450A" w14:textId="20879725" w:rsidR="007049A5" w:rsidRPr="004E4188" w:rsidRDefault="007049A5" w:rsidP="006C6267">
            <w:pPr>
              <w:suppressAutoHyphens w:val="0"/>
              <w:spacing w:after="200"/>
              <w:ind w:left="601" w:hanging="601"/>
            </w:pPr>
            <w:r w:rsidRPr="004E4188">
              <w:t>52.3</w:t>
            </w:r>
            <w:r w:rsidRPr="004E4188">
              <w:tab/>
              <w:t xml:space="preserve">Jusqu’à ce que le Marché soit formellement rédigé et signé, la Lettre d’acceptation de l’offre </w:t>
            </w:r>
            <w:r w:rsidRPr="004E4188">
              <w:rPr>
                <w:szCs w:val="24"/>
              </w:rPr>
              <w:t>aura valeur</w:t>
            </w:r>
            <w:r w:rsidRPr="004E4188">
              <w:t xml:space="preserve"> d’engagement réciproque entre </w:t>
            </w:r>
            <w:r w:rsidRPr="004E4188">
              <w:rPr>
                <w:szCs w:val="24"/>
              </w:rPr>
              <w:t>les Parties</w:t>
            </w:r>
            <w:r w:rsidRPr="004E4188">
              <w:t>.</w:t>
            </w:r>
          </w:p>
        </w:tc>
      </w:tr>
      <w:tr w:rsidR="007049A5" w:rsidRPr="004E4188" w14:paraId="76378B47" w14:textId="77777777" w:rsidTr="0092765E">
        <w:tc>
          <w:tcPr>
            <w:tcW w:w="2273" w:type="dxa"/>
            <w:tcBorders>
              <w:top w:val="nil"/>
              <w:left w:val="nil"/>
              <w:bottom w:val="nil"/>
              <w:right w:val="nil"/>
            </w:tcBorders>
          </w:tcPr>
          <w:p w14:paraId="3BBE4F2E" w14:textId="357316CC" w:rsidR="007049A5" w:rsidRPr="004E4188" w:rsidRDefault="007049A5" w:rsidP="00BF53A8">
            <w:pPr>
              <w:pStyle w:val="Header1-Clauses"/>
              <w:ind w:left="357" w:hanging="357"/>
              <w:rPr>
                <w:lang w:val="fr-FR"/>
              </w:rPr>
            </w:pPr>
            <w:bookmarkStart w:id="430" w:name="_Toc104195618"/>
            <w:r w:rsidRPr="004E4188">
              <w:rPr>
                <w:lang w:val="fr-FR"/>
              </w:rPr>
              <w:t>53.</w:t>
            </w:r>
            <w:r w:rsidRPr="004E4188">
              <w:rPr>
                <w:lang w:val="fr-FR"/>
              </w:rPr>
              <w:tab/>
              <w:t>Signature du Marché</w:t>
            </w:r>
            <w:bookmarkEnd w:id="430"/>
          </w:p>
        </w:tc>
        <w:tc>
          <w:tcPr>
            <w:tcW w:w="7023" w:type="dxa"/>
            <w:tcBorders>
              <w:top w:val="nil"/>
              <w:left w:val="nil"/>
              <w:bottom w:val="nil"/>
              <w:right w:val="nil"/>
            </w:tcBorders>
          </w:tcPr>
          <w:p w14:paraId="0EF06989" w14:textId="749336ED" w:rsidR="007049A5" w:rsidRPr="004E4188" w:rsidRDefault="007049A5" w:rsidP="006C6267">
            <w:pPr>
              <w:suppressAutoHyphens w:val="0"/>
              <w:spacing w:after="200"/>
              <w:ind w:left="601" w:hanging="601"/>
            </w:pPr>
            <w:r w:rsidRPr="004E4188">
              <w:t>53.1</w:t>
            </w:r>
            <w:r w:rsidRPr="004E4188">
              <w:tab/>
              <w:t>Dans les meilleurs délais suivant la notification de l’attribution du Marché, le Maître d’ouvrage enverra au Soumissionnaire retenu l’Acte d’engagement.</w:t>
            </w:r>
          </w:p>
          <w:p w14:paraId="380D6DBC" w14:textId="4EAF255F" w:rsidR="007049A5" w:rsidRPr="004E4188" w:rsidRDefault="007049A5" w:rsidP="006C6267">
            <w:pPr>
              <w:suppressAutoHyphens w:val="0"/>
              <w:spacing w:after="200"/>
              <w:ind w:left="601" w:hanging="601"/>
            </w:pPr>
            <w:r w:rsidRPr="004E4188">
              <w:t>53.2</w:t>
            </w:r>
            <w:r w:rsidRPr="004E4188">
              <w:tab/>
              <w:t>Dans les vingt-huit (28) jours suivant la réception de l’Acte d’engagement, le Soumissionnaire retenu le renverra au Maître d’ouvrage après l’avoir daté et signé.</w:t>
            </w:r>
          </w:p>
        </w:tc>
      </w:tr>
      <w:tr w:rsidR="007049A5" w:rsidRPr="004E4188" w14:paraId="7D73896B" w14:textId="77777777" w:rsidTr="0092765E">
        <w:tc>
          <w:tcPr>
            <w:tcW w:w="2273" w:type="dxa"/>
            <w:tcBorders>
              <w:top w:val="nil"/>
              <w:left w:val="nil"/>
              <w:bottom w:val="nil"/>
              <w:right w:val="nil"/>
            </w:tcBorders>
          </w:tcPr>
          <w:p w14:paraId="4BE715A8" w14:textId="7848C3B1" w:rsidR="007049A5" w:rsidRPr="004E4188" w:rsidRDefault="007049A5" w:rsidP="00BF53A8">
            <w:pPr>
              <w:pStyle w:val="Header1-Clauses"/>
              <w:ind w:left="357" w:hanging="357"/>
              <w:rPr>
                <w:lang w:val="fr-FR"/>
              </w:rPr>
            </w:pPr>
            <w:bookmarkStart w:id="431" w:name="_Toc104195619"/>
            <w:r w:rsidRPr="004E4188">
              <w:rPr>
                <w:lang w:val="fr-FR"/>
              </w:rPr>
              <w:t>54.</w:t>
            </w:r>
            <w:r w:rsidRPr="004E4188">
              <w:rPr>
                <w:lang w:val="fr-FR" w:eastAsia="ja-JP"/>
              </w:rPr>
              <w:tab/>
            </w:r>
            <w:r w:rsidRPr="004E4188">
              <w:rPr>
                <w:lang w:val="fr-FR"/>
              </w:rPr>
              <w:t>Garantie de bonne exécution</w:t>
            </w:r>
            <w:bookmarkEnd w:id="431"/>
          </w:p>
        </w:tc>
        <w:tc>
          <w:tcPr>
            <w:tcW w:w="7023" w:type="dxa"/>
            <w:tcBorders>
              <w:top w:val="nil"/>
              <w:left w:val="nil"/>
              <w:bottom w:val="nil"/>
              <w:right w:val="nil"/>
            </w:tcBorders>
          </w:tcPr>
          <w:p w14:paraId="7B36B966" w14:textId="4865F974" w:rsidR="007049A5" w:rsidRPr="004E4188" w:rsidRDefault="007049A5" w:rsidP="006C6267">
            <w:pPr>
              <w:spacing w:after="200"/>
              <w:ind w:left="601" w:hanging="601"/>
            </w:pPr>
            <w:r w:rsidRPr="004E4188">
              <w:t>54.1</w:t>
            </w:r>
            <w:r w:rsidRPr="004E4188">
              <w:tab/>
              <w:t>Dans les vingt-huit (28) jours suivant la réception de la Lettre d’acceptation de l’offre de la part du Maître d’ouvrage, le Soumissionnaire retenu devra fournir la garantie de bonne exécution conformément aux Conditions du Marché, sous réserve des dispositions de IS 49.2, en utilisant le modèle de garantie de bonne exécution figurant à la Section IX, Formulaires du Marché, ou tout autre modèle jugé acceptable par le Maître d’ouvrage. Si la garantie de bonne exécution fournie par le Soumissionnaire retenu est sous la forme d’une caution, cette dernière devra être émise par une société de cautionnement ou une compagnie d’assurances jugée par le Soumissionnaire retenu comme étant acceptable pour le Maître d’ouvrage. Un organisme financier étranger émettant la caution devra avoir un organisme correspondant dans le pays du Maître d’ouvrage.</w:t>
            </w:r>
          </w:p>
        </w:tc>
      </w:tr>
      <w:tr w:rsidR="007049A5" w:rsidRPr="004E4188" w14:paraId="17E5D0FA" w14:textId="77777777" w:rsidTr="0092765E">
        <w:trPr>
          <w:trHeight w:val="936"/>
        </w:trPr>
        <w:tc>
          <w:tcPr>
            <w:tcW w:w="2273" w:type="dxa"/>
            <w:tcBorders>
              <w:top w:val="nil"/>
              <w:left w:val="nil"/>
              <w:bottom w:val="nil"/>
              <w:right w:val="nil"/>
            </w:tcBorders>
          </w:tcPr>
          <w:p w14:paraId="546BC861" w14:textId="77777777" w:rsidR="007049A5" w:rsidRPr="004E4188" w:rsidRDefault="007049A5" w:rsidP="006C6267"/>
        </w:tc>
        <w:tc>
          <w:tcPr>
            <w:tcW w:w="7023" w:type="dxa"/>
            <w:tcBorders>
              <w:top w:val="nil"/>
              <w:left w:val="nil"/>
              <w:bottom w:val="nil"/>
              <w:right w:val="nil"/>
            </w:tcBorders>
          </w:tcPr>
          <w:p w14:paraId="45F30A7A" w14:textId="5AE67291" w:rsidR="007049A5" w:rsidRPr="004E4188" w:rsidRDefault="007049A5" w:rsidP="006C6267">
            <w:pPr>
              <w:spacing w:after="200"/>
              <w:ind w:left="601" w:hanging="601"/>
            </w:pPr>
            <w:r w:rsidRPr="004E4188">
              <w:t>54.2</w:t>
            </w:r>
            <w:r w:rsidRPr="004E4188">
              <w:tab/>
              <w:t xml:space="preserve">Le fait que le Soumissionnaire retenu ne remette pas la garantie de bonne exécution susmentionnée ou ne signe pas le Marché constituera un motif suffisant pour l’annulation de l’attribution du Marché et la saisie de la garantie de soumission. Dans un tel cas, le Maître d’ouvrage peut attribuer le Marché au Soumissionnaire dont l’offre a été évaluée la deuxième moins-disante et qui est </w:t>
            </w:r>
            <w:r w:rsidRPr="004E4188">
              <w:rPr>
                <w:szCs w:val="24"/>
              </w:rPr>
              <w:t>substantiellement</w:t>
            </w:r>
            <w:r w:rsidRPr="004E4188">
              <w:t xml:space="preserve"> conforme au Dossier d’appel d’offres, et que le Maître d’ouvrage juge qualifié pour exécuter le Marché</w:t>
            </w:r>
            <w:r w:rsidRPr="004E4188">
              <w:rPr>
                <w:szCs w:val="24"/>
              </w:rPr>
              <w:t xml:space="preserve"> de façon satisfaisante</w:t>
            </w:r>
            <w:r w:rsidRPr="004E4188">
              <w:t>.</w:t>
            </w:r>
          </w:p>
        </w:tc>
      </w:tr>
      <w:tr w:rsidR="007049A5" w:rsidRPr="004E4188" w14:paraId="1CAEAB14" w14:textId="77777777" w:rsidTr="0092765E">
        <w:trPr>
          <w:trHeight w:val="936"/>
        </w:trPr>
        <w:tc>
          <w:tcPr>
            <w:tcW w:w="2273" w:type="dxa"/>
            <w:tcBorders>
              <w:top w:val="nil"/>
              <w:left w:val="nil"/>
              <w:bottom w:val="nil"/>
              <w:right w:val="nil"/>
            </w:tcBorders>
          </w:tcPr>
          <w:p w14:paraId="668EB473" w14:textId="360741BB" w:rsidR="007049A5" w:rsidRPr="004E4188" w:rsidRDefault="007049A5" w:rsidP="00BF53A8">
            <w:pPr>
              <w:pStyle w:val="Header1-Clauses"/>
              <w:ind w:left="357" w:hanging="357"/>
              <w:rPr>
                <w:lang w:val="fr-FR" w:eastAsia="ja-JP"/>
              </w:rPr>
            </w:pPr>
            <w:bookmarkStart w:id="432" w:name="_Toc104195620"/>
            <w:r w:rsidRPr="004E4188">
              <w:rPr>
                <w:rFonts w:hint="eastAsia"/>
                <w:lang w:val="fr-FR" w:eastAsia="ja-JP"/>
              </w:rPr>
              <w:t>5</w:t>
            </w:r>
            <w:r w:rsidRPr="004E4188">
              <w:rPr>
                <w:lang w:val="fr-FR" w:eastAsia="ja-JP"/>
              </w:rPr>
              <w:t>5.</w:t>
            </w:r>
            <w:r w:rsidR="00292254" w:rsidRPr="004E4188">
              <w:rPr>
                <w:lang w:val="fr-FR" w:eastAsia="ja-JP"/>
              </w:rPr>
              <w:tab/>
            </w:r>
            <w:bookmarkStart w:id="433" w:name="_Toc94309107"/>
            <w:r w:rsidRPr="004E4188">
              <w:rPr>
                <w:spacing w:val="-6"/>
                <w:lang w:val="fr-FR"/>
              </w:rPr>
              <w:t xml:space="preserve">Notification aux Soumissionnaires non retenus et </w:t>
            </w:r>
            <w:r w:rsidRPr="004E4188">
              <w:rPr>
                <w:spacing w:val="-6"/>
                <w:lang w:val="fr-FR" w:eastAsia="ja-JP"/>
              </w:rPr>
              <w:t>compte-rendu</w:t>
            </w:r>
            <w:bookmarkEnd w:id="432"/>
            <w:bookmarkEnd w:id="433"/>
          </w:p>
        </w:tc>
        <w:tc>
          <w:tcPr>
            <w:tcW w:w="7023" w:type="dxa"/>
            <w:tcBorders>
              <w:top w:val="nil"/>
              <w:left w:val="nil"/>
              <w:bottom w:val="nil"/>
              <w:right w:val="nil"/>
            </w:tcBorders>
          </w:tcPr>
          <w:p w14:paraId="0BAD915F" w14:textId="77777777" w:rsidR="007049A5" w:rsidRPr="004E4188" w:rsidRDefault="007049A5" w:rsidP="006C6267">
            <w:pPr>
              <w:spacing w:after="200"/>
              <w:ind w:left="601" w:hanging="601"/>
            </w:pPr>
            <w:r w:rsidRPr="004E4188">
              <w:t>55.1</w:t>
            </w:r>
            <w:r w:rsidRPr="004E4188">
              <w:tab/>
              <w:t xml:space="preserve">Dès que le Soumissionnaire retenu aura signé le Marché et fourni la garantie de bonne exécution, conformément à IS 54, le Maître d’ouvrage notifiera le plus rapidement possible </w:t>
            </w:r>
            <w:r w:rsidRPr="004E4188">
              <w:rPr>
                <w:rFonts w:hint="eastAsia"/>
              </w:rPr>
              <w:t>à</w:t>
            </w:r>
            <w:r w:rsidRPr="004E4188">
              <w:t xml:space="preserve"> tous les Soumissionnaires non retenus le résultat de l’appel d’offre.</w:t>
            </w:r>
          </w:p>
        </w:tc>
      </w:tr>
      <w:tr w:rsidR="007049A5" w:rsidRPr="004E4188" w14:paraId="7CCDDABC" w14:textId="77777777" w:rsidTr="0092765E">
        <w:trPr>
          <w:trHeight w:val="568"/>
        </w:trPr>
        <w:tc>
          <w:tcPr>
            <w:tcW w:w="2273" w:type="dxa"/>
            <w:tcBorders>
              <w:top w:val="nil"/>
              <w:left w:val="nil"/>
              <w:bottom w:val="nil"/>
              <w:right w:val="nil"/>
            </w:tcBorders>
          </w:tcPr>
          <w:p w14:paraId="73E5CF44" w14:textId="77777777" w:rsidR="007049A5" w:rsidRPr="004E4188" w:rsidRDefault="007049A5" w:rsidP="006C6267"/>
        </w:tc>
        <w:tc>
          <w:tcPr>
            <w:tcW w:w="7023" w:type="dxa"/>
            <w:tcBorders>
              <w:top w:val="nil"/>
              <w:left w:val="nil"/>
              <w:bottom w:val="nil"/>
              <w:right w:val="nil"/>
            </w:tcBorders>
          </w:tcPr>
          <w:p w14:paraId="524D5BF6" w14:textId="77777777" w:rsidR="007049A5" w:rsidRPr="004E4188" w:rsidRDefault="007049A5" w:rsidP="006C6267">
            <w:pPr>
              <w:spacing w:after="200"/>
              <w:ind w:left="601" w:hanging="601"/>
            </w:pPr>
            <w:r w:rsidRPr="004E4188">
              <w:t>55.2</w:t>
            </w:r>
            <w:r w:rsidRPr="004E4188">
              <w:tab/>
              <w:t xml:space="preserve">Après réception de la notification du Maître d’ouvrage envoyée conformément à IS 55.1, les Soumissionnaires non retenus (y compris ceux </w:t>
            </w:r>
            <w:r w:rsidRPr="004E4188">
              <w:rPr>
                <w:szCs w:val="24"/>
              </w:rPr>
              <w:t xml:space="preserve">dont l’offre de la première étape aura été jugée non </w:t>
            </w:r>
            <w:r w:rsidRPr="004E4188">
              <w:t>substantiellement</w:t>
            </w:r>
            <w:r w:rsidRPr="004E4188">
              <w:rPr>
                <w:szCs w:val="24"/>
              </w:rPr>
              <w:t xml:space="preserve"> conforme) </w:t>
            </w:r>
            <w:r w:rsidRPr="004E4188">
              <w:t>pourront demander par écrit au Maître d’ouvrage les raisons pour lesquelles leur offre n’a pas été retenue. Le Maître d’ouvrage répondra rapidement par écrit à tout Soumissionnaire non retenu qui demande des explications sur le rejet de son offre, conformément à cet Article.</w:t>
            </w:r>
          </w:p>
        </w:tc>
      </w:tr>
      <w:bookmarkEnd w:id="365"/>
    </w:tbl>
    <w:p w14:paraId="046B06F5" w14:textId="77777777" w:rsidR="003B41B1" w:rsidRPr="004E4188" w:rsidRDefault="003B41B1" w:rsidP="006C6267">
      <w:pPr>
        <w:pStyle w:val="S9Header"/>
        <w:jc w:val="both"/>
        <w:rPr>
          <w:sz w:val="24"/>
          <w:szCs w:val="24"/>
          <w:lang w:eastAsia="ja-JP"/>
        </w:rPr>
        <w:sectPr w:rsidR="003B41B1" w:rsidRPr="004E4188" w:rsidSect="005B0414">
          <w:headerReference w:type="even" r:id="rId58"/>
          <w:headerReference w:type="default" r:id="rId59"/>
          <w:footnotePr>
            <w:numRestart w:val="eachPage"/>
          </w:footnotePr>
          <w:type w:val="oddPage"/>
          <w:pgSz w:w="12240" w:h="15840" w:code="1"/>
          <w:pgMar w:top="1440" w:right="1440" w:bottom="1440" w:left="1797" w:header="720" w:footer="720" w:gutter="0"/>
          <w:pgNumType w:start="1"/>
          <w:cols w:space="720"/>
        </w:sectPr>
      </w:pPr>
    </w:p>
    <w:tbl>
      <w:tblPr>
        <w:tblW w:w="9014" w:type="dxa"/>
        <w:tblLayout w:type="fixed"/>
        <w:tblLook w:val="0000" w:firstRow="0" w:lastRow="0" w:firstColumn="0" w:lastColumn="0" w:noHBand="0" w:noVBand="0"/>
      </w:tblPr>
      <w:tblGrid>
        <w:gridCol w:w="9014"/>
      </w:tblGrid>
      <w:tr w:rsidR="007049A5" w:rsidRPr="004E4188" w14:paraId="56368A23" w14:textId="77777777" w:rsidTr="00685696">
        <w:trPr>
          <w:cantSplit/>
          <w:trHeight w:val="713"/>
        </w:trPr>
        <w:tc>
          <w:tcPr>
            <w:tcW w:w="9014" w:type="dxa"/>
          </w:tcPr>
          <w:p w14:paraId="4E8B6F38" w14:textId="60B6410D" w:rsidR="007049A5" w:rsidRPr="004E4188" w:rsidRDefault="007049A5" w:rsidP="008F1DFA">
            <w:pPr>
              <w:pStyle w:val="17"/>
            </w:pPr>
            <w:r w:rsidRPr="004E4188">
              <w:rPr>
                <w:lang w:val="fr-FR"/>
              </w:rPr>
              <w:br w:type="page"/>
            </w:r>
            <w:bookmarkStart w:id="434" w:name="_Toc349055424"/>
            <w:r w:rsidRPr="004E4188">
              <w:t>Section II. Données particulières</w:t>
            </w:r>
            <w:bookmarkEnd w:id="434"/>
          </w:p>
        </w:tc>
      </w:tr>
    </w:tbl>
    <w:p w14:paraId="0F125C0F" w14:textId="77777777" w:rsidR="007049A5" w:rsidRPr="004E4188" w:rsidRDefault="007049A5" w:rsidP="00FD6784">
      <w:pPr>
        <w:pStyle w:val="af5"/>
        <w:jc w:val="both"/>
        <w:rPr>
          <w:lang w:val="fr-F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7049A5" w:rsidRPr="004E4188" w14:paraId="48590189" w14:textId="77777777" w:rsidTr="009A0931">
        <w:tc>
          <w:tcPr>
            <w:tcW w:w="9108" w:type="dxa"/>
          </w:tcPr>
          <w:p w14:paraId="4E625675" w14:textId="77777777" w:rsidR="007049A5" w:rsidRPr="004E4188" w:rsidRDefault="007049A5" w:rsidP="00FD6784">
            <w:pPr>
              <w:jc w:val="center"/>
              <w:rPr>
                <w:b/>
                <w:bCs/>
                <w:sz w:val="28"/>
                <w:szCs w:val="28"/>
                <w:lang w:eastAsia="ja-JP"/>
              </w:rPr>
            </w:pPr>
          </w:p>
          <w:p w14:paraId="2D9BAA63" w14:textId="76AAB78C" w:rsidR="007049A5" w:rsidRPr="004E4188" w:rsidRDefault="007049A5" w:rsidP="00FD6784">
            <w:pPr>
              <w:spacing w:afterLines="100" w:after="240"/>
              <w:jc w:val="center"/>
              <w:rPr>
                <w:b/>
                <w:bCs/>
                <w:sz w:val="28"/>
                <w:szCs w:val="28"/>
                <w:lang w:eastAsia="ja-JP"/>
              </w:rPr>
            </w:pPr>
            <w:r w:rsidRPr="004E4188">
              <w:rPr>
                <w:b/>
                <w:bCs/>
                <w:sz w:val="28"/>
                <w:szCs w:val="28"/>
              </w:rPr>
              <w:t xml:space="preserve">Notes </w:t>
            </w:r>
            <w:r w:rsidRPr="004E4188">
              <w:rPr>
                <w:b/>
                <w:sz w:val="28"/>
                <w:szCs w:val="28"/>
              </w:rPr>
              <w:t>à l’intention du Maître d’ouvrage</w:t>
            </w:r>
          </w:p>
          <w:p w14:paraId="47E45050" w14:textId="77777777" w:rsidR="007049A5" w:rsidRPr="004E4188" w:rsidRDefault="007049A5" w:rsidP="00FD6784">
            <w:pPr>
              <w:rPr>
                <w:lang w:eastAsia="ja-JP"/>
              </w:rPr>
            </w:pPr>
          </w:p>
          <w:p w14:paraId="1CE9D752" w14:textId="14A7DBAB" w:rsidR="007049A5" w:rsidRPr="004E4188" w:rsidRDefault="007049A5" w:rsidP="003B41B1">
            <w:pPr>
              <w:spacing w:after="240"/>
              <w:rPr>
                <w:bCs/>
              </w:rPr>
            </w:pPr>
            <w:r w:rsidRPr="004E4188">
              <w:rPr>
                <w:bCs/>
                <w:lang w:eastAsia="ja-JP"/>
              </w:rPr>
              <w:t>Les Données particulières de</w:t>
            </w:r>
            <w:r w:rsidRPr="004E4188">
              <w:rPr>
                <w:bCs/>
              </w:rPr>
              <w:t xml:space="preserve"> la Section </w:t>
            </w:r>
            <w:r w:rsidRPr="004E4188">
              <w:rPr>
                <w:bCs/>
                <w:lang w:eastAsia="ja-JP"/>
              </w:rPr>
              <w:t>II doivent être complétées par le Maître d’ouvrage préalablement à la diffusion des Dossiers d’appel d’offres</w:t>
            </w:r>
            <w:r w:rsidRPr="004E4188">
              <w:rPr>
                <w:bCs/>
              </w:rPr>
              <w:t>.</w:t>
            </w:r>
          </w:p>
          <w:p w14:paraId="51F6187D" w14:textId="6E092063" w:rsidR="007049A5" w:rsidRPr="004E4188" w:rsidRDefault="007049A5" w:rsidP="003B41B1">
            <w:pPr>
              <w:pStyle w:val="explanatorynotes"/>
              <w:spacing w:after="240" w:line="240" w:lineRule="auto"/>
              <w:rPr>
                <w:rFonts w:ascii="Times New Roman" w:hAnsi="Times New Roman"/>
                <w:bCs/>
                <w:sz w:val="24"/>
                <w:lang w:val="fr-FR" w:eastAsia="ja-JP"/>
              </w:rPr>
            </w:pPr>
            <w:r w:rsidRPr="004E4188">
              <w:rPr>
                <w:rFonts w:ascii="Times New Roman" w:hAnsi="Times New Roman"/>
                <w:bCs/>
                <w:sz w:val="24"/>
                <w:lang w:val="fr-FR" w:eastAsia="ja-JP"/>
              </w:rPr>
              <w:t>Les Données particulières (DP) contiennent des informations et dispositions qui sont spécifiques à chaque passation de marchés et complètent la Section I, Instructions aux soumissionnaires. Le Maître d’ouvrage doit spécifier dans les DP uniquement les informations requises dans les dispositions correspondantes des IS. Toutes les informations doivent être fournies </w:t>
            </w:r>
            <w:r w:rsidRPr="004E4188">
              <w:rPr>
                <w:rFonts w:ascii="Times New Roman" w:hAnsi="Times New Roman" w:hint="eastAsia"/>
                <w:bCs/>
                <w:sz w:val="24"/>
                <w:lang w:val="fr-FR" w:eastAsia="ja-JP"/>
              </w:rPr>
              <w:t>;</w:t>
            </w:r>
            <w:r w:rsidRPr="004E4188">
              <w:rPr>
                <w:rFonts w:ascii="Times New Roman" w:hAnsi="Times New Roman"/>
                <w:bCs/>
                <w:sz w:val="24"/>
                <w:lang w:val="fr-FR" w:eastAsia="ja-JP"/>
              </w:rPr>
              <w:t xml:space="preserve"> </w:t>
            </w:r>
            <w:r w:rsidRPr="004E4188">
              <w:rPr>
                <w:rFonts w:ascii="Times New Roman" w:hAnsi="Times New Roman"/>
                <w:b/>
                <w:bCs/>
                <w:sz w:val="24"/>
                <w:lang w:val="fr-FR" w:eastAsia="ja-JP"/>
              </w:rPr>
              <w:t>aucune clause ne doit être laissée non renseignée</w:t>
            </w:r>
            <w:r w:rsidRPr="004E4188">
              <w:rPr>
                <w:rFonts w:ascii="Times New Roman" w:hAnsi="Times New Roman"/>
                <w:bCs/>
                <w:sz w:val="24"/>
                <w:lang w:val="fr-FR" w:eastAsia="ja-JP"/>
              </w:rPr>
              <w:t>.</w:t>
            </w:r>
          </w:p>
          <w:p w14:paraId="691659FC" w14:textId="166AF0A2" w:rsidR="007049A5" w:rsidRPr="004E4188" w:rsidRDefault="007049A5" w:rsidP="003B41B1">
            <w:pPr>
              <w:pStyle w:val="explanatorynotes"/>
              <w:spacing w:after="240" w:line="240" w:lineRule="auto"/>
              <w:rPr>
                <w:rFonts w:ascii="Times New Roman" w:hAnsi="Times New Roman"/>
                <w:sz w:val="24"/>
                <w:szCs w:val="24"/>
                <w:lang w:val="fr-FR"/>
              </w:rPr>
            </w:pPr>
            <w:r w:rsidRPr="004E4188">
              <w:rPr>
                <w:rFonts w:ascii="Times New Roman" w:hAnsi="Times New Roman"/>
                <w:bCs/>
                <w:sz w:val="24"/>
                <w:lang w:val="fr-FR" w:eastAsia="ja-JP"/>
              </w:rPr>
              <w:t>Pour faciliter la préparation des DP, la numérotation de leurs clauses est la même que celle des clauses correspondantes des IS.</w:t>
            </w:r>
          </w:p>
          <w:p w14:paraId="19870BF0" w14:textId="77777777" w:rsidR="007049A5" w:rsidRPr="004E4188" w:rsidRDefault="007049A5" w:rsidP="006C6267">
            <w:pPr>
              <w:suppressAutoHyphens w:val="0"/>
              <w:overflowPunct/>
              <w:autoSpaceDE/>
              <w:autoSpaceDN/>
              <w:adjustRightInd/>
              <w:spacing w:after="200"/>
              <w:textAlignment w:val="auto"/>
              <w:rPr>
                <w:lang w:eastAsia="ja-JP"/>
              </w:rPr>
            </w:pPr>
            <w:r w:rsidRPr="004E4188">
              <w:rPr>
                <w:lang w:eastAsia="ja-JP"/>
              </w:rPr>
              <w:t>Les directives suivantes devront être observées lors de la préparation des DP :</w:t>
            </w:r>
          </w:p>
          <w:p w14:paraId="6CE1C589" w14:textId="77777777" w:rsidR="007049A5" w:rsidRPr="004E4188" w:rsidRDefault="007049A5" w:rsidP="003D46CF">
            <w:pPr>
              <w:numPr>
                <w:ilvl w:val="0"/>
                <w:numId w:val="83"/>
              </w:numPr>
              <w:tabs>
                <w:tab w:val="clear" w:pos="720"/>
              </w:tabs>
              <w:suppressAutoHyphens w:val="0"/>
              <w:overflowPunct/>
              <w:autoSpaceDE/>
              <w:autoSpaceDN/>
              <w:adjustRightInd/>
              <w:spacing w:after="200"/>
              <w:ind w:left="567" w:hanging="567"/>
              <w:textAlignment w:val="auto"/>
              <w:rPr>
                <w:lang w:eastAsia="ja-JP"/>
              </w:rPr>
            </w:pPr>
            <w:r w:rsidRPr="004E4188">
              <w:rPr>
                <w:lang w:eastAsia="ja-JP"/>
              </w:rPr>
              <w:t>Les détails spécifiques, tels que le nom du Maître d’ouvrage et l’adresse de soumission des offres, devront être indiqués dans les espaces prévus à cet effet, en suivant les instructions des notes en italique entre crochets.</w:t>
            </w:r>
          </w:p>
          <w:p w14:paraId="2C640052" w14:textId="77777777" w:rsidR="007049A5" w:rsidRPr="004E4188" w:rsidRDefault="007049A5" w:rsidP="003D46CF">
            <w:pPr>
              <w:numPr>
                <w:ilvl w:val="0"/>
                <w:numId w:val="83"/>
              </w:numPr>
              <w:suppressAutoHyphens w:val="0"/>
              <w:overflowPunct/>
              <w:autoSpaceDE/>
              <w:autoSpaceDN/>
              <w:adjustRightInd/>
              <w:spacing w:after="200"/>
              <w:ind w:left="567" w:hanging="567"/>
              <w:textAlignment w:val="auto"/>
              <w:rPr>
                <w:lang w:eastAsia="ja-JP"/>
              </w:rPr>
            </w:pPr>
            <w:r w:rsidRPr="004E4188">
              <w:rPr>
                <w:lang w:eastAsia="ja-JP"/>
              </w:rPr>
              <w:t>Les notes en italique ne font pas partie des DP, mais contiennent des indications et des instructions à l’intention du Maître d’ouvrage. Elles doivent être retirées du Dossier d’appel d’offres qui sera remis aux Soumissionnaires.</w:t>
            </w:r>
          </w:p>
          <w:p w14:paraId="5D2AA717" w14:textId="10EA7447" w:rsidR="007049A5" w:rsidRPr="004E4188" w:rsidRDefault="007049A5" w:rsidP="003D46CF">
            <w:pPr>
              <w:numPr>
                <w:ilvl w:val="0"/>
                <w:numId w:val="83"/>
              </w:numPr>
              <w:suppressAutoHyphens w:val="0"/>
              <w:overflowPunct/>
              <w:autoSpaceDE/>
              <w:autoSpaceDN/>
              <w:adjustRightInd/>
              <w:spacing w:after="240"/>
              <w:ind w:left="567" w:hanging="567"/>
              <w:textAlignment w:val="auto"/>
              <w:rPr>
                <w:bCs/>
                <w:szCs w:val="24"/>
              </w:rPr>
            </w:pPr>
            <w:r w:rsidRPr="004E4188">
              <w:rPr>
                <w:lang w:eastAsia="ja-JP"/>
              </w:rPr>
              <w:t>Lorsque des clauses ou textes alternatifs sont proposés, sélectionnez les mieux adaptés aux spécificités du marché et supprimez les alternatives inutiles.</w:t>
            </w:r>
          </w:p>
        </w:tc>
      </w:tr>
    </w:tbl>
    <w:p w14:paraId="199CB8FE" w14:textId="77777777" w:rsidR="007049A5" w:rsidRPr="004E4188" w:rsidRDefault="007049A5" w:rsidP="00FD6784">
      <w:pPr>
        <w:sectPr w:rsidR="007049A5" w:rsidRPr="004E4188" w:rsidSect="0037332F">
          <w:headerReference w:type="default" r:id="rId60"/>
          <w:footnotePr>
            <w:numRestart w:val="eachPage"/>
          </w:footnotePr>
          <w:type w:val="oddPage"/>
          <w:pgSz w:w="12240" w:h="15840" w:code="1"/>
          <w:pgMar w:top="1440" w:right="1440" w:bottom="1440" w:left="1797" w:header="720" w:footer="720" w:gutter="0"/>
          <w:pgNumType w:start="1"/>
          <w:cols w:space="720"/>
        </w:sectPr>
      </w:pPr>
    </w:p>
    <w:p w14:paraId="2C71A20B" w14:textId="57513F6D" w:rsidR="007049A5" w:rsidRPr="004E4188" w:rsidRDefault="007049A5" w:rsidP="003B6416">
      <w:pPr>
        <w:pStyle w:val="3"/>
        <w:ind w:left="0" w:firstLine="0"/>
        <w:jc w:val="center"/>
        <w:rPr>
          <w:b/>
          <w:sz w:val="44"/>
          <w:szCs w:val="44"/>
          <w:lang w:eastAsia="ja-JP"/>
        </w:rPr>
      </w:pPr>
      <w:r w:rsidRPr="004E4188">
        <w:rPr>
          <w:b/>
          <w:sz w:val="44"/>
          <w:szCs w:val="44"/>
        </w:rPr>
        <w:t>Données particulière</w:t>
      </w:r>
      <w:r w:rsidRPr="004E4188">
        <w:rPr>
          <w:b/>
          <w:sz w:val="44"/>
          <w:szCs w:val="44"/>
          <w:lang w:eastAsia="ja-JP"/>
        </w:rPr>
        <w:t>s</w:t>
      </w:r>
    </w:p>
    <w:tbl>
      <w:tblPr>
        <w:tblW w:w="90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20"/>
        <w:gridCol w:w="7680"/>
      </w:tblGrid>
      <w:tr w:rsidR="007049A5" w:rsidRPr="004E4188" w14:paraId="3E5F5571" w14:textId="77777777" w:rsidTr="00523BAA">
        <w:tc>
          <w:tcPr>
            <w:tcW w:w="9000" w:type="dxa"/>
            <w:gridSpan w:val="2"/>
            <w:tcBorders>
              <w:top w:val="single" w:sz="12" w:space="0" w:color="000000"/>
              <w:bottom w:val="single" w:sz="8" w:space="0" w:color="000000"/>
            </w:tcBorders>
            <w:shd w:val="clear" w:color="auto" w:fill="E6E6E6"/>
          </w:tcPr>
          <w:p w14:paraId="1E625B90" w14:textId="77777777" w:rsidR="007049A5" w:rsidRPr="004E4188" w:rsidRDefault="007049A5" w:rsidP="00FD6784">
            <w:pPr>
              <w:spacing w:before="120" w:after="120"/>
              <w:jc w:val="center"/>
              <w:rPr>
                <w:b/>
                <w:sz w:val="28"/>
              </w:rPr>
            </w:pPr>
            <w:r w:rsidRPr="004E4188">
              <w:rPr>
                <w:b/>
                <w:sz w:val="28"/>
              </w:rPr>
              <w:t>A.  Généralités</w:t>
            </w:r>
          </w:p>
        </w:tc>
      </w:tr>
      <w:tr w:rsidR="007049A5" w:rsidRPr="004E4188" w14:paraId="4EF819E5" w14:textId="77777777" w:rsidTr="00523BAA">
        <w:tc>
          <w:tcPr>
            <w:tcW w:w="1320" w:type="dxa"/>
            <w:tcBorders>
              <w:top w:val="single" w:sz="8" w:space="0" w:color="000000"/>
              <w:bottom w:val="nil"/>
            </w:tcBorders>
          </w:tcPr>
          <w:p w14:paraId="6A5D9761" w14:textId="77777777" w:rsidR="007049A5" w:rsidRPr="004E4188" w:rsidRDefault="007049A5" w:rsidP="00B31E15">
            <w:pPr>
              <w:spacing w:before="60" w:after="120"/>
              <w:rPr>
                <w:b/>
              </w:rPr>
            </w:pPr>
            <w:r w:rsidRPr="004E4188">
              <w:rPr>
                <w:b/>
              </w:rPr>
              <w:t>IS 1.1</w:t>
            </w:r>
          </w:p>
        </w:tc>
        <w:tc>
          <w:tcPr>
            <w:tcW w:w="7680" w:type="dxa"/>
            <w:tcBorders>
              <w:top w:val="single" w:sz="8" w:space="0" w:color="000000"/>
              <w:bottom w:val="nil"/>
            </w:tcBorders>
          </w:tcPr>
          <w:p w14:paraId="23856172" w14:textId="77777777" w:rsidR="007049A5" w:rsidRPr="004E4188" w:rsidRDefault="007049A5" w:rsidP="00B31E15">
            <w:pPr>
              <w:tabs>
                <w:tab w:val="right" w:pos="7272"/>
              </w:tabs>
              <w:spacing w:before="60" w:after="120"/>
            </w:pPr>
            <w:r w:rsidRPr="004E4188">
              <w:t>Le numéro de l’Avis d’appel d’offres est : [</w:t>
            </w:r>
            <w:r w:rsidRPr="004E4188">
              <w:rPr>
                <w:i/>
              </w:rPr>
              <w:t>indique</w:t>
            </w:r>
            <w:r w:rsidRPr="004E4188">
              <w:rPr>
                <w:i/>
                <w:lang w:eastAsia="ja-JP"/>
              </w:rPr>
              <w:t>r</w:t>
            </w:r>
            <w:r w:rsidRPr="004E4188">
              <w:rPr>
                <w:i/>
              </w:rPr>
              <w:t xml:space="preserve"> le numéro de l’Avis d’appel d’offres</w:t>
            </w:r>
            <w:r w:rsidRPr="004E4188">
              <w:t>]</w:t>
            </w:r>
          </w:p>
        </w:tc>
      </w:tr>
      <w:tr w:rsidR="007049A5" w:rsidRPr="004E4188" w14:paraId="21231F32" w14:textId="77777777" w:rsidTr="006C6267">
        <w:tc>
          <w:tcPr>
            <w:tcW w:w="1320" w:type="dxa"/>
            <w:tcBorders>
              <w:top w:val="nil"/>
              <w:left w:val="single" w:sz="12" w:space="0" w:color="000000"/>
              <w:bottom w:val="nil"/>
              <w:right w:val="single" w:sz="6" w:space="0" w:color="000000"/>
            </w:tcBorders>
          </w:tcPr>
          <w:p w14:paraId="1F064AF9" w14:textId="77777777" w:rsidR="007049A5" w:rsidRPr="004E4188" w:rsidRDefault="007049A5" w:rsidP="006C6267">
            <w:pPr>
              <w:spacing w:after="120"/>
              <w:rPr>
                <w:b/>
              </w:rPr>
            </w:pPr>
          </w:p>
        </w:tc>
        <w:tc>
          <w:tcPr>
            <w:tcW w:w="7680" w:type="dxa"/>
            <w:tcBorders>
              <w:top w:val="nil"/>
              <w:left w:val="single" w:sz="6" w:space="0" w:color="000000"/>
              <w:bottom w:val="nil"/>
              <w:right w:val="single" w:sz="12" w:space="0" w:color="000000"/>
            </w:tcBorders>
          </w:tcPr>
          <w:p w14:paraId="4F76F1B2" w14:textId="77777777" w:rsidR="007049A5" w:rsidRPr="004E4188" w:rsidRDefault="007049A5" w:rsidP="006C6267">
            <w:pPr>
              <w:tabs>
                <w:tab w:val="right" w:pos="7272"/>
              </w:tabs>
              <w:spacing w:afterLines="50" w:after="120"/>
            </w:pPr>
            <w:r w:rsidRPr="004E4188">
              <w:t>Le Maître d’ouvrage est : [</w:t>
            </w:r>
            <w:r w:rsidRPr="004E4188">
              <w:rPr>
                <w:i/>
              </w:rPr>
              <w:t>indiquer le nom du Maître d’ouvrage</w:t>
            </w:r>
            <w:r w:rsidRPr="004E4188">
              <w:t>]</w:t>
            </w:r>
          </w:p>
        </w:tc>
      </w:tr>
      <w:tr w:rsidR="007049A5" w:rsidRPr="004E4188" w14:paraId="04ED44C1" w14:textId="77777777" w:rsidTr="006C6267">
        <w:tc>
          <w:tcPr>
            <w:tcW w:w="1320" w:type="dxa"/>
            <w:tcBorders>
              <w:top w:val="nil"/>
              <w:left w:val="single" w:sz="12" w:space="0" w:color="000000"/>
              <w:bottom w:val="nil"/>
              <w:right w:val="single" w:sz="6" w:space="0" w:color="000000"/>
            </w:tcBorders>
          </w:tcPr>
          <w:p w14:paraId="5B70795C" w14:textId="77777777" w:rsidR="007049A5" w:rsidRPr="004E4188" w:rsidDel="005C3977" w:rsidRDefault="007049A5" w:rsidP="006C6267">
            <w:pPr>
              <w:spacing w:after="120"/>
              <w:rPr>
                <w:b/>
              </w:rPr>
            </w:pPr>
          </w:p>
        </w:tc>
        <w:tc>
          <w:tcPr>
            <w:tcW w:w="7680" w:type="dxa"/>
            <w:tcBorders>
              <w:top w:val="nil"/>
              <w:left w:val="single" w:sz="6" w:space="0" w:color="000000"/>
              <w:bottom w:val="nil"/>
              <w:right w:val="single" w:sz="12" w:space="0" w:color="000000"/>
            </w:tcBorders>
          </w:tcPr>
          <w:p w14:paraId="04ECA11B" w14:textId="23C1576F" w:rsidR="007049A5" w:rsidRPr="004E4188" w:rsidRDefault="007049A5" w:rsidP="00D369D4">
            <w:pPr>
              <w:tabs>
                <w:tab w:val="right" w:pos="7272"/>
              </w:tabs>
              <w:spacing w:afterLines="50" w:after="120"/>
            </w:pPr>
            <w:r w:rsidRPr="004E4188">
              <w:t xml:space="preserve">Le pays du Maître d’ouvrage est : </w:t>
            </w:r>
            <w:r w:rsidRPr="004E4188">
              <w:rPr>
                <w:rFonts w:hint="eastAsia"/>
              </w:rPr>
              <w:t>[</w:t>
            </w:r>
            <w:r w:rsidRPr="004E4188">
              <w:rPr>
                <w:i/>
              </w:rPr>
              <w:t>indiquer le nom du pays du Maître d’ouvrage/de l</w:t>
            </w:r>
            <w:r w:rsidR="00D369D4" w:rsidRPr="004E4188">
              <w:rPr>
                <w:i/>
              </w:rPr>
              <w:t>’</w:t>
            </w:r>
            <w:r w:rsidRPr="004E4188">
              <w:rPr>
                <w:i/>
              </w:rPr>
              <w:t>Emprunteur</w:t>
            </w:r>
            <w:r w:rsidRPr="004E4188">
              <w:t>]</w:t>
            </w:r>
          </w:p>
        </w:tc>
      </w:tr>
      <w:tr w:rsidR="007049A5" w:rsidRPr="004E4188" w14:paraId="56C2D7F0" w14:textId="77777777" w:rsidTr="006C6267">
        <w:tc>
          <w:tcPr>
            <w:tcW w:w="1320" w:type="dxa"/>
            <w:tcBorders>
              <w:top w:val="nil"/>
              <w:left w:val="single" w:sz="12" w:space="0" w:color="000000"/>
              <w:bottom w:val="nil"/>
              <w:right w:val="single" w:sz="6" w:space="0" w:color="000000"/>
            </w:tcBorders>
          </w:tcPr>
          <w:p w14:paraId="1D735F94" w14:textId="77777777" w:rsidR="007049A5" w:rsidRPr="004E4188" w:rsidDel="005C3977" w:rsidRDefault="007049A5" w:rsidP="006C6267">
            <w:pPr>
              <w:spacing w:after="120"/>
              <w:rPr>
                <w:b/>
              </w:rPr>
            </w:pPr>
          </w:p>
        </w:tc>
        <w:tc>
          <w:tcPr>
            <w:tcW w:w="7680" w:type="dxa"/>
            <w:tcBorders>
              <w:top w:val="nil"/>
              <w:left w:val="single" w:sz="6" w:space="0" w:color="000000"/>
              <w:bottom w:val="nil"/>
              <w:right w:val="single" w:sz="12" w:space="0" w:color="000000"/>
            </w:tcBorders>
          </w:tcPr>
          <w:p w14:paraId="6E2684D5" w14:textId="77777777" w:rsidR="007049A5" w:rsidRPr="004E4188" w:rsidRDefault="007049A5" w:rsidP="006C6267">
            <w:pPr>
              <w:tabs>
                <w:tab w:val="right" w:pos="7272"/>
              </w:tabs>
              <w:spacing w:afterLines="50" w:after="120"/>
            </w:pPr>
            <w:r w:rsidRPr="004E4188">
              <w:t>L</w:t>
            </w:r>
            <w:r w:rsidRPr="004E4188">
              <w:rPr>
                <w:rFonts w:hint="eastAsia"/>
              </w:rPr>
              <w:t>e projet est</w:t>
            </w:r>
            <w:r w:rsidRPr="004E4188">
              <w:t> </w:t>
            </w:r>
            <w:r w:rsidRPr="004E4188">
              <w:rPr>
                <w:rFonts w:hint="eastAsia"/>
              </w:rPr>
              <w:t>:</w:t>
            </w:r>
            <w:r w:rsidRPr="004E4188">
              <w:t xml:space="preserve"> [</w:t>
            </w:r>
            <w:r w:rsidRPr="004E4188">
              <w:rPr>
                <w:i/>
              </w:rPr>
              <w:t>indique</w:t>
            </w:r>
            <w:r w:rsidRPr="004E4188">
              <w:rPr>
                <w:rFonts w:hint="eastAsia"/>
                <w:i/>
              </w:rPr>
              <w:t>r</w:t>
            </w:r>
            <w:r w:rsidRPr="004E4188">
              <w:rPr>
                <w:i/>
              </w:rPr>
              <w:t xml:space="preserve"> le nom du projet</w:t>
            </w:r>
            <w:r w:rsidRPr="004E4188">
              <w:t>]</w:t>
            </w:r>
          </w:p>
        </w:tc>
      </w:tr>
      <w:tr w:rsidR="007049A5" w:rsidRPr="004E4188" w14:paraId="285576B8" w14:textId="77777777" w:rsidTr="006C6267">
        <w:tc>
          <w:tcPr>
            <w:tcW w:w="1320" w:type="dxa"/>
            <w:tcBorders>
              <w:top w:val="nil"/>
              <w:left w:val="single" w:sz="12" w:space="0" w:color="000000"/>
              <w:bottom w:val="nil"/>
              <w:right w:val="single" w:sz="6" w:space="0" w:color="000000"/>
            </w:tcBorders>
          </w:tcPr>
          <w:p w14:paraId="0BE2F612" w14:textId="77777777" w:rsidR="007049A5" w:rsidRPr="004E4188" w:rsidDel="005C3977" w:rsidRDefault="007049A5" w:rsidP="006C6267">
            <w:pPr>
              <w:spacing w:after="120"/>
              <w:rPr>
                <w:b/>
              </w:rPr>
            </w:pPr>
          </w:p>
        </w:tc>
        <w:tc>
          <w:tcPr>
            <w:tcW w:w="7680" w:type="dxa"/>
            <w:tcBorders>
              <w:top w:val="nil"/>
              <w:left w:val="single" w:sz="6" w:space="0" w:color="000000"/>
              <w:bottom w:val="nil"/>
              <w:right w:val="single" w:sz="12" w:space="0" w:color="000000"/>
            </w:tcBorders>
          </w:tcPr>
          <w:p w14:paraId="1D06C8E3" w14:textId="77777777" w:rsidR="007049A5" w:rsidRPr="004E4188" w:rsidRDefault="007049A5" w:rsidP="006C6267">
            <w:pPr>
              <w:tabs>
                <w:tab w:val="right" w:pos="7272"/>
              </w:tabs>
              <w:spacing w:afterLines="50" w:after="120"/>
            </w:pPr>
            <w:r w:rsidRPr="004E4188">
              <w:t>L</w:t>
            </w:r>
            <w:r w:rsidRPr="004E4188">
              <w:rPr>
                <w:rFonts w:hint="eastAsia"/>
              </w:rPr>
              <w:t>e nom du</w:t>
            </w:r>
            <w:r w:rsidRPr="004E4188">
              <w:t> M</w:t>
            </w:r>
            <w:r w:rsidRPr="004E4188">
              <w:rPr>
                <w:rFonts w:hint="eastAsia"/>
              </w:rPr>
              <w:t>arché est</w:t>
            </w:r>
            <w:r w:rsidRPr="004E4188">
              <w:t> </w:t>
            </w:r>
            <w:r w:rsidRPr="004E4188">
              <w:rPr>
                <w:rFonts w:hint="eastAsia"/>
              </w:rPr>
              <w:t>:</w:t>
            </w:r>
            <w:r w:rsidRPr="004E4188">
              <w:t xml:space="preserve"> [</w:t>
            </w:r>
            <w:r w:rsidRPr="004E4188">
              <w:rPr>
                <w:i/>
              </w:rPr>
              <w:t>indique</w:t>
            </w:r>
            <w:r w:rsidRPr="004E4188">
              <w:rPr>
                <w:rFonts w:hint="eastAsia"/>
                <w:i/>
              </w:rPr>
              <w:t>r</w:t>
            </w:r>
            <w:r w:rsidRPr="004E4188">
              <w:rPr>
                <w:i/>
              </w:rPr>
              <w:t xml:space="preserve"> le nom du Marché</w:t>
            </w:r>
            <w:r w:rsidRPr="004E4188">
              <w:t>]</w:t>
            </w:r>
          </w:p>
        </w:tc>
      </w:tr>
      <w:tr w:rsidR="007049A5" w:rsidRPr="004E4188" w14:paraId="44CEA5FC" w14:textId="77777777" w:rsidTr="006C6267">
        <w:trPr>
          <w:trHeight w:val="3117"/>
        </w:trPr>
        <w:tc>
          <w:tcPr>
            <w:tcW w:w="1320" w:type="dxa"/>
            <w:tcBorders>
              <w:top w:val="nil"/>
              <w:left w:val="single" w:sz="12" w:space="0" w:color="000000"/>
              <w:bottom w:val="single" w:sz="6" w:space="0" w:color="000000"/>
              <w:right w:val="single" w:sz="6" w:space="0" w:color="000000"/>
            </w:tcBorders>
          </w:tcPr>
          <w:p w14:paraId="71B84AE8" w14:textId="77777777" w:rsidR="007049A5" w:rsidRPr="004E4188" w:rsidDel="005C3977" w:rsidRDefault="007049A5" w:rsidP="006C6267">
            <w:pPr>
              <w:spacing w:after="120"/>
              <w:rPr>
                <w:b/>
              </w:rPr>
            </w:pPr>
          </w:p>
        </w:tc>
        <w:tc>
          <w:tcPr>
            <w:tcW w:w="7680" w:type="dxa"/>
            <w:tcBorders>
              <w:top w:val="nil"/>
              <w:left w:val="single" w:sz="6" w:space="0" w:color="000000"/>
              <w:bottom w:val="single" w:sz="6" w:space="0" w:color="000000"/>
              <w:right w:val="single" w:sz="12" w:space="0" w:color="000000"/>
            </w:tcBorders>
          </w:tcPr>
          <w:p w14:paraId="461E8CDC" w14:textId="77777777" w:rsidR="007049A5" w:rsidRPr="004E4188" w:rsidDel="00DB4FF2" w:rsidRDefault="007049A5" w:rsidP="006C6267">
            <w:pPr>
              <w:tabs>
                <w:tab w:val="right" w:pos="7272"/>
              </w:tabs>
              <w:spacing w:afterLines="50" w:after="120"/>
            </w:pPr>
            <w:r w:rsidRPr="004E4188">
              <w:t>Les lots multiples pour lesquels l’appel d’offres est lancé sont : [</w:t>
            </w:r>
            <w:r w:rsidRPr="004E4188">
              <w:rPr>
                <w:i/>
              </w:rPr>
              <w:t>Si l’appel d’offres est lancé pour des lots multiples, insérer « comme indiqué dans le tableau ci-dessous » et indiquer dans le tableau les numéros des lots et les noms des marchés concernés. Sinon, supprimer le tableau ci-dessous dans son intégralité et indiquer à la place « sans objet »</w:t>
            </w:r>
            <w:r w:rsidRPr="004E418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3052"/>
            </w:tblGrid>
            <w:tr w:rsidR="007049A5" w:rsidRPr="004E4188" w14:paraId="355EA091" w14:textId="77777777" w:rsidTr="006C6267">
              <w:trPr>
                <w:trHeight w:val="142"/>
              </w:trPr>
              <w:tc>
                <w:tcPr>
                  <w:tcW w:w="2808" w:type="dxa"/>
                  <w:shd w:val="clear" w:color="auto" w:fill="auto"/>
                </w:tcPr>
                <w:p w14:paraId="1D0EA107" w14:textId="77777777" w:rsidR="007049A5" w:rsidRPr="004E4188" w:rsidRDefault="007049A5" w:rsidP="006C6267">
                  <w:pPr>
                    <w:jc w:val="center"/>
                  </w:pPr>
                  <w:r w:rsidRPr="004E4188">
                    <w:rPr>
                      <w:rFonts w:hint="eastAsia"/>
                    </w:rPr>
                    <w:t>Numéro du lo</w:t>
                  </w:r>
                  <w:r w:rsidRPr="004E4188">
                    <w:t>t</w:t>
                  </w:r>
                </w:p>
              </w:tc>
              <w:tc>
                <w:tcPr>
                  <w:tcW w:w="3052" w:type="dxa"/>
                  <w:shd w:val="clear" w:color="auto" w:fill="auto"/>
                </w:tcPr>
                <w:p w14:paraId="5544397F" w14:textId="77777777" w:rsidR="007049A5" w:rsidRPr="004E4188" w:rsidRDefault="007049A5" w:rsidP="006C6267">
                  <w:pPr>
                    <w:jc w:val="center"/>
                  </w:pPr>
                  <w:r w:rsidRPr="004E4188">
                    <w:t>N</w:t>
                  </w:r>
                  <w:r w:rsidRPr="004E4188">
                    <w:rPr>
                      <w:rFonts w:hint="eastAsia"/>
                    </w:rPr>
                    <w:t xml:space="preserve">om du </w:t>
                  </w:r>
                  <w:r w:rsidRPr="004E4188">
                    <w:t>M</w:t>
                  </w:r>
                  <w:r w:rsidRPr="004E4188">
                    <w:rPr>
                      <w:rFonts w:hint="eastAsia"/>
                    </w:rPr>
                    <w:t>arché</w:t>
                  </w:r>
                </w:p>
              </w:tc>
            </w:tr>
            <w:tr w:rsidR="007049A5" w:rsidRPr="004E4188" w14:paraId="152F9871" w14:textId="77777777" w:rsidTr="006C6267">
              <w:trPr>
                <w:trHeight w:val="318"/>
              </w:trPr>
              <w:tc>
                <w:tcPr>
                  <w:tcW w:w="2808" w:type="dxa"/>
                  <w:shd w:val="clear" w:color="auto" w:fill="auto"/>
                </w:tcPr>
                <w:p w14:paraId="0A42B5F1" w14:textId="77777777" w:rsidR="007049A5" w:rsidRPr="004E4188" w:rsidRDefault="007049A5" w:rsidP="006C6267">
                  <w:pPr>
                    <w:spacing w:after="60"/>
                    <w:rPr>
                      <w:i/>
                    </w:rPr>
                  </w:pPr>
                  <w:r w:rsidRPr="004E4188">
                    <w:t>[</w:t>
                  </w:r>
                  <w:r w:rsidRPr="004E4188">
                    <w:rPr>
                      <w:i/>
                    </w:rPr>
                    <w:t>indique</w:t>
                  </w:r>
                  <w:r w:rsidRPr="004E4188">
                    <w:rPr>
                      <w:rFonts w:hint="eastAsia"/>
                      <w:i/>
                      <w:lang w:eastAsia="ja-JP"/>
                    </w:rPr>
                    <w:t>r</w:t>
                  </w:r>
                  <w:r w:rsidRPr="004E4188">
                    <w:rPr>
                      <w:i/>
                    </w:rPr>
                    <w:t xml:space="preserve"> le numéro du lot</w:t>
                  </w:r>
                  <w:r w:rsidRPr="004E4188">
                    <w:t>]</w:t>
                  </w:r>
                </w:p>
              </w:tc>
              <w:tc>
                <w:tcPr>
                  <w:tcW w:w="3052" w:type="dxa"/>
                  <w:shd w:val="clear" w:color="auto" w:fill="auto"/>
                </w:tcPr>
                <w:p w14:paraId="3C4A9B2B" w14:textId="77777777" w:rsidR="007049A5" w:rsidRPr="004E4188" w:rsidRDefault="007049A5" w:rsidP="006C6267">
                  <w:pPr>
                    <w:spacing w:after="60"/>
                    <w:rPr>
                      <w:i/>
                    </w:rPr>
                  </w:pPr>
                  <w:r w:rsidRPr="004E4188">
                    <w:t>[</w:t>
                  </w:r>
                  <w:r w:rsidRPr="004E4188">
                    <w:rPr>
                      <w:i/>
                    </w:rPr>
                    <w:t>indique</w:t>
                  </w:r>
                  <w:r w:rsidRPr="004E4188">
                    <w:rPr>
                      <w:rFonts w:hint="eastAsia"/>
                      <w:i/>
                      <w:lang w:eastAsia="ja-JP"/>
                    </w:rPr>
                    <w:t>r</w:t>
                  </w:r>
                  <w:r w:rsidRPr="004E4188">
                    <w:rPr>
                      <w:i/>
                    </w:rPr>
                    <w:t xml:space="preserve"> le nom du Marché</w:t>
                  </w:r>
                  <w:r w:rsidRPr="004E4188">
                    <w:t>]</w:t>
                  </w:r>
                </w:p>
              </w:tc>
            </w:tr>
            <w:tr w:rsidR="007049A5" w:rsidRPr="004E4188" w14:paraId="6EFCFA6D" w14:textId="77777777" w:rsidTr="006C6267">
              <w:trPr>
                <w:trHeight w:val="318"/>
              </w:trPr>
              <w:tc>
                <w:tcPr>
                  <w:tcW w:w="2808" w:type="dxa"/>
                  <w:shd w:val="clear" w:color="auto" w:fill="auto"/>
                </w:tcPr>
                <w:p w14:paraId="5DF7D608" w14:textId="77777777" w:rsidR="007049A5" w:rsidRPr="004E4188" w:rsidRDefault="007049A5" w:rsidP="006C6267">
                  <w:pPr>
                    <w:spacing w:after="60"/>
                    <w:rPr>
                      <w:i/>
                    </w:rPr>
                  </w:pPr>
                  <w:r w:rsidRPr="004E4188">
                    <w:t>[</w:t>
                  </w:r>
                  <w:r w:rsidRPr="004E4188">
                    <w:rPr>
                      <w:i/>
                    </w:rPr>
                    <w:t>indique</w:t>
                  </w:r>
                  <w:r w:rsidRPr="004E4188">
                    <w:rPr>
                      <w:rFonts w:hint="eastAsia"/>
                      <w:i/>
                      <w:lang w:eastAsia="ja-JP"/>
                    </w:rPr>
                    <w:t>r</w:t>
                  </w:r>
                  <w:r w:rsidRPr="004E4188">
                    <w:rPr>
                      <w:i/>
                    </w:rPr>
                    <w:t xml:space="preserve"> le numéro du lot</w:t>
                  </w:r>
                  <w:r w:rsidRPr="004E4188">
                    <w:t>]</w:t>
                  </w:r>
                </w:p>
              </w:tc>
              <w:tc>
                <w:tcPr>
                  <w:tcW w:w="3052" w:type="dxa"/>
                  <w:shd w:val="clear" w:color="auto" w:fill="auto"/>
                </w:tcPr>
                <w:p w14:paraId="07DAC67A" w14:textId="77777777" w:rsidR="007049A5" w:rsidRPr="004E4188" w:rsidRDefault="007049A5" w:rsidP="006C6267">
                  <w:pPr>
                    <w:spacing w:after="60"/>
                    <w:rPr>
                      <w:i/>
                    </w:rPr>
                  </w:pPr>
                  <w:r w:rsidRPr="004E4188">
                    <w:t>[</w:t>
                  </w:r>
                  <w:r w:rsidRPr="004E4188">
                    <w:rPr>
                      <w:i/>
                    </w:rPr>
                    <w:t>indique</w:t>
                  </w:r>
                  <w:r w:rsidRPr="004E4188">
                    <w:rPr>
                      <w:rFonts w:hint="eastAsia"/>
                      <w:i/>
                      <w:lang w:eastAsia="ja-JP"/>
                    </w:rPr>
                    <w:t>r</w:t>
                  </w:r>
                  <w:r w:rsidRPr="004E4188">
                    <w:rPr>
                      <w:i/>
                    </w:rPr>
                    <w:t xml:space="preserve"> le nom du Marché</w:t>
                  </w:r>
                  <w:r w:rsidRPr="004E4188">
                    <w:t>]</w:t>
                  </w:r>
                </w:p>
              </w:tc>
            </w:tr>
            <w:tr w:rsidR="007049A5" w:rsidRPr="004E4188" w14:paraId="3716B9AD" w14:textId="77777777" w:rsidTr="006C6267">
              <w:trPr>
                <w:trHeight w:val="318"/>
              </w:trPr>
              <w:tc>
                <w:tcPr>
                  <w:tcW w:w="2808" w:type="dxa"/>
                  <w:shd w:val="clear" w:color="auto" w:fill="auto"/>
                </w:tcPr>
                <w:p w14:paraId="7A202C11" w14:textId="77777777" w:rsidR="007049A5" w:rsidRPr="004E4188" w:rsidRDefault="007049A5" w:rsidP="006C6267">
                  <w:pPr>
                    <w:spacing w:after="60"/>
                    <w:rPr>
                      <w:i/>
                    </w:rPr>
                  </w:pPr>
                  <w:r w:rsidRPr="004E4188">
                    <w:t>[</w:t>
                  </w:r>
                  <w:r w:rsidRPr="004E4188">
                    <w:rPr>
                      <w:i/>
                    </w:rPr>
                    <w:t>indique</w:t>
                  </w:r>
                  <w:r w:rsidRPr="004E4188">
                    <w:rPr>
                      <w:rFonts w:hint="eastAsia"/>
                      <w:i/>
                      <w:lang w:eastAsia="ja-JP"/>
                    </w:rPr>
                    <w:t>r</w:t>
                  </w:r>
                  <w:r w:rsidRPr="004E4188">
                    <w:rPr>
                      <w:i/>
                    </w:rPr>
                    <w:t xml:space="preserve"> le numéro du lot</w:t>
                  </w:r>
                  <w:r w:rsidRPr="004E4188">
                    <w:t>]</w:t>
                  </w:r>
                </w:p>
              </w:tc>
              <w:tc>
                <w:tcPr>
                  <w:tcW w:w="3052" w:type="dxa"/>
                  <w:shd w:val="clear" w:color="auto" w:fill="auto"/>
                </w:tcPr>
                <w:p w14:paraId="3F478DC6" w14:textId="77777777" w:rsidR="007049A5" w:rsidRPr="004E4188" w:rsidRDefault="007049A5" w:rsidP="006C6267">
                  <w:pPr>
                    <w:spacing w:after="60"/>
                    <w:rPr>
                      <w:i/>
                    </w:rPr>
                  </w:pPr>
                  <w:r w:rsidRPr="004E4188">
                    <w:t>[</w:t>
                  </w:r>
                  <w:r w:rsidRPr="004E4188">
                    <w:rPr>
                      <w:i/>
                    </w:rPr>
                    <w:t>indique</w:t>
                  </w:r>
                  <w:r w:rsidRPr="004E4188">
                    <w:rPr>
                      <w:rFonts w:hint="eastAsia"/>
                      <w:i/>
                      <w:lang w:eastAsia="ja-JP"/>
                    </w:rPr>
                    <w:t>r</w:t>
                  </w:r>
                  <w:r w:rsidRPr="004E4188">
                    <w:rPr>
                      <w:i/>
                    </w:rPr>
                    <w:t xml:space="preserve"> le nom du Marché</w:t>
                  </w:r>
                  <w:r w:rsidRPr="004E4188">
                    <w:t>]</w:t>
                  </w:r>
                </w:p>
              </w:tc>
            </w:tr>
          </w:tbl>
          <w:p w14:paraId="7DDDE607" w14:textId="420870B3" w:rsidR="007049A5" w:rsidRPr="004E4188" w:rsidRDefault="007049A5" w:rsidP="006C6267">
            <w:pPr>
              <w:tabs>
                <w:tab w:val="left" w:pos="5820"/>
              </w:tabs>
              <w:spacing w:afterLines="50" w:after="120"/>
            </w:pPr>
          </w:p>
        </w:tc>
      </w:tr>
      <w:tr w:rsidR="007049A5" w:rsidRPr="004E4188" w14:paraId="5B0AFFFD" w14:textId="77777777" w:rsidTr="006C6267">
        <w:tc>
          <w:tcPr>
            <w:tcW w:w="1320" w:type="dxa"/>
            <w:tcBorders>
              <w:top w:val="single" w:sz="6" w:space="0" w:color="000000"/>
              <w:bottom w:val="nil"/>
            </w:tcBorders>
          </w:tcPr>
          <w:p w14:paraId="09F79659" w14:textId="77777777" w:rsidR="007049A5" w:rsidRPr="004E4188" w:rsidRDefault="007049A5" w:rsidP="00B31E15">
            <w:pPr>
              <w:spacing w:before="60" w:after="120"/>
              <w:rPr>
                <w:b/>
              </w:rPr>
            </w:pPr>
            <w:r w:rsidRPr="004E4188">
              <w:rPr>
                <w:b/>
              </w:rPr>
              <w:t>IS 2.1</w:t>
            </w:r>
          </w:p>
        </w:tc>
        <w:tc>
          <w:tcPr>
            <w:tcW w:w="7680" w:type="dxa"/>
            <w:tcBorders>
              <w:top w:val="single" w:sz="6" w:space="0" w:color="000000"/>
              <w:bottom w:val="nil"/>
            </w:tcBorders>
          </w:tcPr>
          <w:p w14:paraId="7A4F9B70" w14:textId="77777777" w:rsidR="007049A5" w:rsidRPr="004E4188" w:rsidRDefault="007049A5" w:rsidP="00B31E15">
            <w:pPr>
              <w:tabs>
                <w:tab w:val="right" w:pos="7254"/>
              </w:tabs>
              <w:spacing w:before="60"/>
              <w:rPr>
                <w:u w:val="single"/>
              </w:rPr>
            </w:pPr>
            <w:r w:rsidRPr="004E4188">
              <w:t>L’Emprunteur est : [</w:t>
            </w:r>
            <w:r w:rsidRPr="004E4188">
              <w:rPr>
                <w:i/>
              </w:rPr>
              <w:t>indique</w:t>
            </w:r>
            <w:r w:rsidRPr="004E4188">
              <w:rPr>
                <w:i/>
                <w:lang w:eastAsia="ja-JP"/>
              </w:rPr>
              <w:t>r</w:t>
            </w:r>
            <w:r w:rsidRPr="004E4188">
              <w:rPr>
                <w:i/>
              </w:rPr>
              <w:t xml:space="preserve"> le nom de l’Emprunteur</w:t>
            </w:r>
            <w:r w:rsidRPr="004E4188">
              <w:t>]</w:t>
            </w:r>
          </w:p>
        </w:tc>
      </w:tr>
      <w:tr w:rsidR="007049A5" w:rsidRPr="004E4188" w14:paraId="35B723EE" w14:textId="77777777" w:rsidTr="006C6267">
        <w:trPr>
          <w:cantSplit/>
        </w:trPr>
        <w:tc>
          <w:tcPr>
            <w:tcW w:w="1320" w:type="dxa"/>
            <w:tcBorders>
              <w:top w:val="nil"/>
              <w:bottom w:val="single" w:sz="6" w:space="0" w:color="000000"/>
            </w:tcBorders>
          </w:tcPr>
          <w:p w14:paraId="500B60C1" w14:textId="77777777" w:rsidR="007049A5" w:rsidRPr="004E4188" w:rsidRDefault="007049A5" w:rsidP="006C6267">
            <w:pPr>
              <w:spacing w:after="120"/>
              <w:rPr>
                <w:b/>
              </w:rPr>
            </w:pPr>
          </w:p>
        </w:tc>
        <w:tc>
          <w:tcPr>
            <w:tcW w:w="7680" w:type="dxa"/>
            <w:tcBorders>
              <w:top w:val="nil"/>
              <w:bottom w:val="single" w:sz="6" w:space="0" w:color="000000"/>
            </w:tcBorders>
          </w:tcPr>
          <w:p w14:paraId="5F8BAFC4" w14:textId="77777777" w:rsidR="007049A5" w:rsidRPr="004E4188" w:rsidRDefault="007049A5" w:rsidP="006C6267">
            <w:pPr>
              <w:tabs>
                <w:tab w:val="right" w:pos="7254"/>
              </w:tabs>
              <w:spacing w:afterLines="50" w:after="120"/>
            </w:pPr>
            <w:r w:rsidRPr="004E4188">
              <w:t>Le numéro de l’Accord de Prêt de la JICA est : [</w:t>
            </w:r>
            <w:r w:rsidRPr="004E4188">
              <w:rPr>
                <w:i/>
              </w:rPr>
              <w:t>indique</w:t>
            </w:r>
            <w:r w:rsidRPr="004E4188">
              <w:rPr>
                <w:i/>
                <w:lang w:eastAsia="ja-JP"/>
              </w:rPr>
              <w:t>r</w:t>
            </w:r>
            <w:r w:rsidRPr="004E4188">
              <w:rPr>
                <w:i/>
              </w:rPr>
              <w:t xml:space="preserve"> le numéro</w:t>
            </w:r>
            <w:r w:rsidRPr="004E4188">
              <w:t>]</w:t>
            </w:r>
          </w:p>
          <w:p w14:paraId="0CE2E260" w14:textId="77777777" w:rsidR="007049A5" w:rsidRPr="004E4188" w:rsidRDefault="007049A5" w:rsidP="006C6267">
            <w:pPr>
              <w:tabs>
                <w:tab w:val="right" w:pos="7254"/>
              </w:tabs>
              <w:spacing w:afterLines="50" w:after="120"/>
            </w:pPr>
            <w:r w:rsidRPr="004E4188">
              <w:t>Le montant du Prêt APD du Japon est : [</w:t>
            </w:r>
            <w:r w:rsidRPr="004E4188">
              <w:rPr>
                <w:i/>
              </w:rPr>
              <w:t>indique</w:t>
            </w:r>
            <w:r w:rsidRPr="004E4188">
              <w:rPr>
                <w:i/>
                <w:lang w:eastAsia="ja-JP"/>
              </w:rPr>
              <w:t>r</w:t>
            </w:r>
            <w:r w:rsidRPr="004E4188">
              <w:rPr>
                <w:i/>
              </w:rPr>
              <w:t xml:space="preserve"> le montant en yen japonais</w:t>
            </w:r>
            <w:r w:rsidRPr="004E4188">
              <w:t>]</w:t>
            </w:r>
          </w:p>
          <w:p w14:paraId="77132D20" w14:textId="77777777" w:rsidR="007049A5" w:rsidRPr="004E4188" w:rsidRDefault="007049A5" w:rsidP="006C6267">
            <w:pPr>
              <w:tabs>
                <w:tab w:val="right" w:pos="7254"/>
              </w:tabs>
              <w:spacing w:afterLines="50" w:after="120"/>
            </w:pPr>
            <w:r w:rsidRPr="004E4188">
              <w:t>La date de signature de l’Accord de Prêt est : [</w:t>
            </w:r>
            <w:r w:rsidRPr="004E4188">
              <w:rPr>
                <w:i/>
              </w:rPr>
              <w:t>indique</w:t>
            </w:r>
            <w:r w:rsidRPr="004E4188">
              <w:rPr>
                <w:i/>
                <w:lang w:eastAsia="ja-JP"/>
              </w:rPr>
              <w:t>r</w:t>
            </w:r>
            <w:r w:rsidRPr="004E4188">
              <w:rPr>
                <w:i/>
              </w:rPr>
              <w:t xml:space="preserve"> la date</w:t>
            </w:r>
            <w:r w:rsidRPr="004E4188">
              <w:t>]</w:t>
            </w:r>
          </w:p>
        </w:tc>
      </w:tr>
      <w:tr w:rsidR="007049A5" w:rsidRPr="004E4188" w14:paraId="489A2B57" w14:textId="77777777" w:rsidTr="006C6267">
        <w:tc>
          <w:tcPr>
            <w:tcW w:w="1320" w:type="dxa"/>
            <w:tcBorders>
              <w:top w:val="single" w:sz="6" w:space="0" w:color="000000"/>
              <w:left w:val="single" w:sz="12" w:space="0" w:color="000000"/>
              <w:bottom w:val="single" w:sz="6" w:space="0" w:color="000000"/>
              <w:right w:val="single" w:sz="6" w:space="0" w:color="000000"/>
            </w:tcBorders>
          </w:tcPr>
          <w:p w14:paraId="78948048" w14:textId="77777777" w:rsidR="007049A5" w:rsidRPr="004E4188" w:rsidRDefault="007049A5" w:rsidP="00B31E15">
            <w:pPr>
              <w:spacing w:before="60" w:after="120"/>
              <w:rPr>
                <w:b/>
              </w:rPr>
            </w:pPr>
            <w:r w:rsidRPr="004E4188">
              <w:rPr>
                <w:b/>
              </w:rPr>
              <w:t>IS 2.2</w:t>
            </w:r>
          </w:p>
        </w:tc>
        <w:tc>
          <w:tcPr>
            <w:tcW w:w="7680" w:type="dxa"/>
            <w:tcBorders>
              <w:top w:val="single" w:sz="6" w:space="0" w:color="000000"/>
              <w:left w:val="single" w:sz="6" w:space="0" w:color="000000"/>
              <w:bottom w:val="single" w:sz="6" w:space="0" w:color="000000"/>
              <w:right w:val="single" w:sz="12" w:space="0" w:color="000000"/>
            </w:tcBorders>
          </w:tcPr>
          <w:p w14:paraId="740A4230" w14:textId="2705C357" w:rsidR="007049A5" w:rsidRPr="004E4188" w:rsidRDefault="007049A5" w:rsidP="00B31E15">
            <w:pPr>
              <w:spacing w:before="60" w:after="120"/>
            </w:pPr>
            <w:r w:rsidRPr="004E4188">
              <w:t>Les Directives applicables pour les passations de marchés sous financement par Prêts APD du Japon sont celles publiées en : [</w:t>
            </w:r>
            <w:r w:rsidRPr="004E4188">
              <w:rPr>
                <w:i/>
              </w:rPr>
              <w:t xml:space="preserve">indiquer une des dates suivantes : </w:t>
            </w:r>
            <w:r w:rsidR="005D3F9C" w:rsidRPr="005D3F9C">
              <w:rPr>
                <w:i/>
              </w:rPr>
              <w:t>octobre 2023,</w:t>
            </w:r>
            <w:r w:rsidR="005D3F9C">
              <w:rPr>
                <w:i/>
              </w:rPr>
              <w:t xml:space="preserve"> </w:t>
            </w:r>
            <w:r w:rsidRPr="004E4188">
              <w:rPr>
                <w:i/>
              </w:rPr>
              <w:t>avril 2012, mars 2009 ou octobre 1999</w:t>
            </w:r>
            <w:r w:rsidRPr="004E4188">
              <w:t>].</w:t>
            </w:r>
          </w:p>
        </w:tc>
      </w:tr>
      <w:tr w:rsidR="007049A5" w:rsidRPr="004E4188" w14:paraId="3C895EE2" w14:textId="77777777" w:rsidTr="006C6267">
        <w:trPr>
          <w:trHeight w:val="436"/>
        </w:trPr>
        <w:tc>
          <w:tcPr>
            <w:tcW w:w="1320" w:type="dxa"/>
            <w:tcBorders>
              <w:top w:val="single" w:sz="6" w:space="0" w:color="000000"/>
              <w:left w:val="single" w:sz="12" w:space="0" w:color="000000"/>
              <w:bottom w:val="single" w:sz="6" w:space="0" w:color="000000"/>
              <w:right w:val="single" w:sz="6" w:space="0" w:color="000000"/>
            </w:tcBorders>
          </w:tcPr>
          <w:p w14:paraId="5D7D84D7" w14:textId="77777777" w:rsidR="007049A5" w:rsidRPr="004E4188" w:rsidRDefault="007049A5" w:rsidP="00B31E15">
            <w:pPr>
              <w:spacing w:before="60" w:after="120"/>
              <w:rPr>
                <w:b/>
              </w:rPr>
            </w:pPr>
            <w:r w:rsidRPr="004E4188">
              <w:rPr>
                <w:b/>
              </w:rPr>
              <w:t>IS 2.3</w:t>
            </w:r>
          </w:p>
        </w:tc>
        <w:tc>
          <w:tcPr>
            <w:tcW w:w="7680" w:type="dxa"/>
            <w:tcBorders>
              <w:top w:val="single" w:sz="6" w:space="0" w:color="000000"/>
              <w:left w:val="single" w:sz="6" w:space="0" w:color="000000"/>
              <w:bottom w:val="single" w:sz="6" w:space="0" w:color="000000"/>
              <w:right w:val="single" w:sz="12" w:space="0" w:color="000000"/>
            </w:tcBorders>
          </w:tcPr>
          <w:p w14:paraId="335E1CF3" w14:textId="77777777" w:rsidR="007049A5" w:rsidRPr="004E4188" w:rsidRDefault="007049A5" w:rsidP="00B31E15">
            <w:pPr>
              <w:spacing w:before="60" w:after="120"/>
            </w:pPr>
            <w:r w:rsidRPr="004E4188">
              <w:t>Les autres sources de financement sont : [</w:t>
            </w:r>
            <w:r w:rsidRPr="004E4188">
              <w:rPr>
                <w:i/>
              </w:rPr>
              <w:t>indique</w:t>
            </w:r>
            <w:r w:rsidRPr="004E4188">
              <w:rPr>
                <w:rFonts w:hint="eastAsia"/>
                <w:i/>
              </w:rPr>
              <w:t>r</w:t>
            </w:r>
            <w:r w:rsidRPr="004E4188">
              <w:rPr>
                <w:i/>
              </w:rPr>
              <w:t xml:space="preserve"> les autres sources de financement</w:t>
            </w:r>
            <w:r w:rsidRPr="004E4188">
              <w:t>]</w:t>
            </w:r>
          </w:p>
        </w:tc>
      </w:tr>
      <w:tr w:rsidR="007049A5" w:rsidRPr="004E4188" w14:paraId="44DB71BE" w14:textId="77777777" w:rsidTr="006C6267">
        <w:tc>
          <w:tcPr>
            <w:tcW w:w="1320" w:type="dxa"/>
            <w:tcBorders>
              <w:top w:val="single" w:sz="6" w:space="0" w:color="000000"/>
              <w:left w:val="single" w:sz="12" w:space="0" w:color="000000"/>
              <w:bottom w:val="single" w:sz="6" w:space="0" w:color="000000"/>
              <w:right w:val="single" w:sz="6" w:space="0" w:color="000000"/>
            </w:tcBorders>
            <w:shd w:val="clear" w:color="auto" w:fill="auto"/>
          </w:tcPr>
          <w:p w14:paraId="46E64A44" w14:textId="77777777" w:rsidR="007049A5" w:rsidRPr="004E4188" w:rsidRDefault="007049A5" w:rsidP="00B31E15">
            <w:pPr>
              <w:spacing w:before="60" w:after="120"/>
              <w:rPr>
                <w:b/>
              </w:rPr>
            </w:pPr>
            <w:r w:rsidRPr="004E4188">
              <w:rPr>
                <w:rFonts w:hint="eastAsia"/>
                <w:b/>
              </w:rPr>
              <w:t>I</w:t>
            </w:r>
            <w:r w:rsidRPr="004E4188">
              <w:rPr>
                <w:b/>
              </w:rPr>
              <w:t>S</w:t>
            </w:r>
            <w:r w:rsidRPr="004E4188">
              <w:rPr>
                <w:rFonts w:hint="eastAsia"/>
                <w:b/>
              </w:rPr>
              <w:t xml:space="preserve"> 3.1</w:t>
            </w:r>
            <w:r w:rsidRPr="004E4188">
              <w:rPr>
                <w:b/>
              </w:rPr>
              <w:t>(b)</w:t>
            </w:r>
          </w:p>
        </w:tc>
        <w:tc>
          <w:tcPr>
            <w:tcW w:w="7680" w:type="dxa"/>
            <w:tcBorders>
              <w:top w:val="single" w:sz="6" w:space="0" w:color="000000"/>
              <w:left w:val="single" w:sz="6" w:space="0" w:color="000000"/>
              <w:bottom w:val="single" w:sz="6" w:space="0" w:color="000000"/>
              <w:right w:val="single" w:sz="12" w:space="0" w:color="000000"/>
            </w:tcBorders>
          </w:tcPr>
          <w:p w14:paraId="0BBBF610" w14:textId="285ABCE4" w:rsidR="007049A5" w:rsidRPr="004E4188" w:rsidRDefault="007049A5" w:rsidP="00B31E15">
            <w:pPr>
              <w:spacing w:before="60" w:after="120"/>
              <w:rPr>
                <w:rFonts w:eastAsia="Times New Roman"/>
              </w:rPr>
            </w:pPr>
            <w:r w:rsidRPr="004E4188">
              <w:rPr>
                <w:rFonts w:eastAsia="Times New Roman"/>
              </w:rPr>
              <w:t>La liste des personnes physiques et morales inéligibles est disponible sur le site internet de la JICA :</w:t>
            </w:r>
            <w:r w:rsidR="005D3F9C">
              <w:rPr>
                <w:rFonts w:eastAsia="Times New Roman"/>
              </w:rPr>
              <w:br/>
            </w:r>
            <w:r w:rsidR="005D3F9C" w:rsidRPr="005D3F9C">
              <w:rPr>
                <w:rFonts w:eastAsia="Times New Roman"/>
              </w:rPr>
              <w:t>www.jica.go.jp/english/about/organization/corp_gov/index.html</w:t>
            </w:r>
          </w:p>
        </w:tc>
      </w:tr>
      <w:tr w:rsidR="007049A5" w:rsidRPr="004E4188" w14:paraId="7997310A" w14:textId="77777777" w:rsidTr="006C6267">
        <w:tc>
          <w:tcPr>
            <w:tcW w:w="1320" w:type="dxa"/>
            <w:tcBorders>
              <w:top w:val="single" w:sz="6" w:space="0" w:color="000000"/>
              <w:left w:val="single" w:sz="12" w:space="0" w:color="000000"/>
              <w:bottom w:val="single" w:sz="6" w:space="0" w:color="000000"/>
              <w:right w:val="single" w:sz="6" w:space="0" w:color="000000"/>
            </w:tcBorders>
          </w:tcPr>
          <w:p w14:paraId="31A76D20" w14:textId="62FB0A7E" w:rsidR="007049A5" w:rsidRPr="004E4188" w:rsidRDefault="007049A5" w:rsidP="00B31E15">
            <w:pPr>
              <w:spacing w:before="60" w:after="120"/>
              <w:rPr>
                <w:b/>
              </w:rPr>
            </w:pPr>
            <w:r w:rsidRPr="004E4188">
              <w:rPr>
                <w:b/>
              </w:rPr>
              <w:t>IS 3.1(c)</w:t>
            </w:r>
          </w:p>
        </w:tc>
        <w:tc>
          <w:tcPr>
            <w:tcW w:w="7680" w:type="dxa"/>
            <w:tcBorders>
              <w:top w:val="single" w:sz="6" w:space="0" w:color="000000"/>
              <w:left w:val="single" w:sz="6" w:space="0" w:color="000000"/>
              <w:bottom w:val="single" w:sz="6" w:space="0" w:color="000000"/>
              <w:right w:val="single" w:sz="12" w:space="0" w:color="000000"/>
            </w:tcBorders>
          </w:tcPr>
          <w:p w14:paraId="7F123C10" w14:textId="77777777" w:rsidR="007049A5" w:rsidRPr="004E4188" w:rsidRDefault="007049A5" w:rsidP="00B31E15">
            <w:pPr>
              <w:spacing w:before="60" w:after="120"/>
              <w:rPr>
                <w:rFonts w:eastAsia="Times New Roman"/>
              </w:rPr>
            </w:pPr>
            <w:r w:rsidRPr="004E4188">
              <w:rPr>
                <w:rFonts w:eastAsia="Times New Roman"/>
              </w:rPr>
              <w:t>La liste des personnes physiques et morales radiées est disponible sur le site internet de la Banque mondiale : www.worldbank.org/debarr</w:t>
            </w:r>
          </w:p>
        </w:tc>
      </w:tr>
      <w:tr w:rsidR="007049A5" w:rsidRPr="004E4188" w14:paraId="702FF6B1" w14:textId="77777777" w:rsidTr="00523BAA">
        <w:tc>
          <w:tcPr>
            <w:tcW w:w="1320" w:type="dxa"/>
            <w:tcBorders>
              <w:top w:val="single" w:sz="6" w:space="0" w:color="000000"/>
              <w:left w:val="single" w:sz="12" w:space="0" w:color="000000"/>
              <w:bottom w:val="single" w:sz="8" w:space="0" w:color="000000"/>
              <w:right w:val="single" w:sz="6" w:space="0" w:color="000000"/>
            </w:tcBorders>
          </w:tcPr>
          <w:p w14:paraId="384136F5" w14:textId="77777777" w:rsidR="007049A5" w:rsidRPr="004E4188" w:rsidRDefault="007049A5" w:rsidP="00B31E15">
            <w:pPr>
              <w:spacing w:before="60" w:after="120"/>
              <w:rPr>
                <w:b/>
              </w:rPr>
            </w:pPr>
            <w:r w:rsidRPr="004E4188">
              <w:rPr>
                <w:b/>
              </w:rPr>
              <w:t>IS 4.5</w:t>
            </w:r>
          </w:p>
        </w:tc>
        <w:tc>
          <w:tcPr>
            <w:tcW w:w="7680" w:type="dxa"/>
            <w:tcBorders>
              <w:top w:val="single" w:sz="6" w:space="0" w:color="000000"/>
              <w:left w:val="single" w:sz="6" w:space="0" w:color="000000"/>
              <w:bottom w:val="single" w:sz="8" w:space="0" w:color="000000"/>
              <w:right w:val="single" w:sz="12" w:space="0" w:color="000000"/>
            </w:tcBorders>
          </w:tcPr>
          <w:p w14:paraId="38E62541" w14:textId="77777777" w:rsidR="007049A5" w:rsidRPr="004E4188" w:rsidRDefault="007049A5" w:rsidP="00B31E15">
            <w:pPr>
              <w:spacing w:before="60" w:after="120"/>
              <w:rPr>
                <w:rFonts w:eastAsia="Times New Roman"/>
              </w:rPr>
            </w:pPr>
            <w:r w:rsidRPr="004E4188">
              <w:rPr>
                <w:rFonts w:eastAsia="Times New Roman"/>
              </w:rPr>
              <w:t>Le présent appel d’offres [</w:t>
            </w:r>
            <w:r w:rsidRPr="004E4188">
              <w:rPr>
                <w:rFonts w:eastAsia="Times New Roman"/>
                <w:i/>
              </w:rPr>
              <w:t>choisir « a été » ou « n’a pas été », selon le cas</w:t>
            </w:r>
            <w:r w:rsidRPr="004E4188">
              <w:rPr>
                <w:rFonts w:eastAsia="Times New Roman"/>
              </w:rPr>
              <w:t xml:space="preserve">] précédé d’une préqualification. </w:t>
            </w:r>
          </w:p>
        </w:tc>
      </w:tr>
      <w:tr w:rsidR="007049A5" w:rsidRPr="004E4188" w14:paraId="2376A43F" w14:textId="77777777" w:rsidTr="00523BAA">
        <w:tc>
          <w:tcPr>
            <w:tcW w:w="9000" w:type="dxa"/>
            <w:gridSpan w:val="2"/>
            <w:tcBorders>
              <w:top w:val="single" w:sz="8" w:space="0" w:color="000000"/>
              <w:bottom w:val="single" w:sz="8" w:space="0" w:color="000000"/>
            </w:tcBorders>
            <w:shd w:val="clear" w:color="auto" w:fill="E6E6E6"/>
          </w:tcPr>
          <w:p w14:paraId="00038E4C" w14:textId="77777777" w:rsidR="007049A5" w:rsidRPr="004E4188" w:rsidRDefault="007049A5" w:rsidP="00FD6784">
            <w:pPr>
              <w:tabs>
                <w:tab w:val="right" w:pos="7434"/>
              </w:tabs>
              <w:spacing w:before="120" w:after="120"/>
              <w:jc w:val="center"/>
              <w:rPr>
                <w:b/>
                <w:sz w:val="28"/>
              </w:rPr>
            </w:pPr>
            <w:r w:rsidRPr="004E4188">
              <w:rPr>
                <w:b/>
                <w:sz w:val="28"/>
              </w:rPr>
              <w:t>B.  Contenu du Dossier d’appel d’offres</w:t>
            </w:r>
          </w:p>
        </w:tc>
      </w:tr>
      <w:tr w:rsidR="007049A5" w:rsidRPr="004E4188" w14:paraId="0ED5E4C3" w14:textId="77777777" w:rsidTr="00523BAA">
        <w:tc>
          <w:tcPr>
            <w:tcW w:w="1320" w:type="dxa"/>
            <w:tcBorders>
              <w:top w:val="single" w:sz="8" w:space="0" w:color="000000"/>
              <w:bottom w:val="nil"/>
            </w:tcBorders>
          </w:tcPr>
          <w:p w14:paraId="1987C5EE" w14:textId="77777777" w:rsidR="007049A5" w:rsidRPr="004E4188" w:rsidRDefault="007049A5" w:rsidP="00B31E15">
            <w:pPr>
              <w:tabs>
                <w:tab w:val="right" w:pos="7254"/>
              </w:tabs>
              <w:spacing w:before="60" w:after="120"/>
              <w:rPr>
                <w:b/>
              </w:rPr>
            </w:pPr>
            <w:r w:rsidRPr="004E4188">
              <w:rPr>
                <w:b/>
              </w:rPr>
              <w:t>IS 7.1</w:t>
            </w:r>
          </w:p>
        </w:tc>
        <w:tc>
          <w:tcPr>
            <w:tcW w:w="7680" w:type="dxa"/>
            <w:tcBorders>
              <w:top w:val="single" w:sz="8" w:space="0" w:color="000000"/>
              <w:bottom w:val="nil"/>
            </w:tcBorders>
          </w:tcPr>
          <w:p w14:paraId="08C0EFE1" w14:textId="77777777" w:rsidR="007049A5" w:rsidRPr="004E4188" w:rsidRDefault="007049A5" w:rsidP="00B31E15">
            <w:pPr>
              <w:tabs>
                <w:tab w:val="right" w:pos="7254"/>
              </w:tabs>
              <w:spacing w:before="60" w:afterLines="50" w:after="120"/>
            </w:pPr>
            <w:r w:rsidRPr="004E4188">
              <w:t xml:space="preserve">Aux fins </w:t>
            </w:r>
            <w:r w:rsidRPr="004E4188">
              <w:rPr>
                <w:b/>
                <w:u w:val="single"/>
              </w:rPr>
              <w:t>d’éclaircissements</w:t>
            </w:r>
            <w:r w:rsidRPr="004E4188">
              <w:rPr>
                <w:b/>
              </w:rPr>
              <w:t xml:space="preserve"> </w:t>
            </w:r>
            <w:r w:rsidRPr="004E4188">
              <w:t>uniquement</w:t>
            </w:r>
            <w:r w:rsidRPr="004E4188">
              <w:rPr>
                <w:b/>
              </w:rPr>
              <w:t xml:space="preserve">, </w:t>
            </w:r>
            <w:r w:rsidRPr="004E4188">
              <w:t xml:space="preserve">l’adresse du Maître d’ouvrage est : </w:t>
            </w:r>
          </w:p>
          <w:p w14:paraId="6CBF2D3E" w14:textId="77777777" w:rsidR="007049A5" w:rsidRPr="004E4188" w:rsidRDefault="007049A5" w:rsidP="006C6267">
            <w:pPr>
              <w:tabs>
                <w:tab w:val="right" w:pos="7254"/>
              </w:tabs>
              <w:spacing w:after="100"/>
            </w:pPr>
            <w:r w:rsidRPr="004E4188">
              <w:t>Attention : [</w:t>
            </w:r>
            <w:r w:rsidRPr="004E4188">
              <w:rPr>
                <w:i/>
              </w:rPr>
              <w:t>in</w:t>
            </w:r>
            <w:r w:rsidRPr="004E4188">
              <w:rPr>
                <w:i/>
                <w:lang w:eastAsia="ja-JP"/>
              </w:rPr>
              <w:t>diquer</w:t>
            </w:r>
            <w:r w:rsidRPr="004E4188">
              <w:rPr>
                <w:i/>
              </w:rPr>
              <w:t xml:space="preserve"> le nom de la personne responsable, le cas échéant</w:t>
            </w:r>
            <w:r w:rsidRPr="004E4188">
              <w:t>]</w:t>
            </w:r>
          </w:p>
          <w:p w14:paraId="7D3782F1" w14:textId="77777777" w:rsidR="007049A5" w:rsidRPr="004E4188" w:rsidRDefault="007049A5" w:rsidP="006C6267">
            <w:pPr>
              <w:tabs>
                <w:tab w:val="right" w:pos="7254"/>
              </w:tabs>
              <w:suppressAutoHyphens w:val="0"/>
              <w:overflowPunct/>
              <w:autoSpaceDE/>
              <w:autoSpaceDN/>
              <w:adjustRightInd/>
              <w:spacing w:before="60" w:after="60"/>
              <w:textAlignment w:val="auto"/>
              <w:rPr>
                <w:i/>
                <w:iCs/>
                <w:lang w:eastAsia="ja-JP"/>
              </w:rPr>
            </w:pPr>
            <w:r w:rsidRPr="004E4188">
              <w:rPr>
                <w:lang w:eastAsia="en-US"/>
              </w:rPr>
              <w:t>Adresse postale : [</w:t>
            </w:r>
            <w:r w:rsidRPr="004E4188">
              <w:rPr>
                <w:i/>
                <w:lang w:eastAsia="en-US"/>
              </w:rPr>
              <w:t>indiquer l’adresse postale</w:t>
            </w:r>
            <w:r w:rsidRPr="004E4188">
              <w:rPr>
                <w:iCs/>
                <w:lang w:eastAsia="en-US"/>
              </w:rPr>
              <w:t>]</w:t>
            </w:r>
          </w:p>
          <w:p w14:paraId="55A750DC" w14:textId="77777777" w:rsidR="007049A5" w:rsidRPr="004E4188" w:rsidRDefault="007049A5" w:rsidP="006C6267">
            <w:pPr>
              <w:tabs>
                <w:tab w:val="right" w:pos="7254"/>
              </w:tabs>
              <w:spacing w:after="100"/>
            </w:pPr>
            <w:r w:rsidRPr="004E4188">
              <w:t>Adresse e-mail : [</w:t>
            </w:r>
            <w:r w:rsidRPr="004E4188">
              <w:rPr>
                <w:i/>
              </w:rPr>
              <w:t>indiquer l’(les) adresse(s) e</w:t>
            </w:r>
            <w:r w:rsidRPr="004E4188">
              <w:rPr>
                <w:i/>
                <w:lang w:eastAsia="ja-JP"/>
              </w:rPr>
              <w:t>-</w:t>
            </w:r>
            <w:r w:rsidRPr="004E4188">
              <w:rPr>
                <w:i/>
              </w:rPr>
              <w:t>mail, le cas échéant</w:t>
            </w:r>
            <w:r w:rsidRPr="004E4188">
              <w:t>]</w:t>
            </w:r>
          </w:p>
        </w:tc>
      </w:tr>
      <w:tr w:rsidR="007049A5" w:rsidRPr="004E4188" w14:paraId="35C8BAA8" w14:textId="77777777" w:rsidTr="006C6267">
        <w:tc>
          <w:tcPr>
            <w:tcW w:w="1320" w:type="dxa"/>
            <w:tcBorders>
              <w:top w:val="nil"/>
              <w:bottom w:val="single" w:sz="6" w:space="0" w:color="000000"/>
            </w:tcBorders>
          </w:tcPr>
          <w:p w14:paraId="3EB5C257" w14:textId="77777777" w:rsidR="007049A5" w:rsidRPr="004E4188" w:rsidRDefault="007049A5" w:rsidP="006C6267">
            <w:pPr>
              <w:tabs>
                <w:tab w:val="right" w:pos="7254"/>
              </w:tabs>
              <w:spacing w:after="120"/>
              <w:rPr>
                <w:b/>
              </w:rPr>
            </w:pPr>
          </w:p>
        </w:tc>
        <w:tc>
          <w:tcPr>
            <w:tcW w:w="7680" w:type="dxa"/>
            <w:tcBorders>
              <w:top w:val="nil"/>
              <w:bottom w:val="single" w:sz="6" w:space="0" w:color="000000"/>
            </w:tcBorders>
          </w:tcPr>
          <w:p w14:paraId="5DED519B" w14:textId="77777777" w:rsidR="007049A5" w:rsidRPr="004E4188" w:rsidRDefault="007049A5" w:rsidP="005176C7">
            <w:pPr>
              <w:tabs>
                <w:tab w:val="right" w:pos="7254"/>
              </w:tabs>
              <w:spacing w:after="60"/>
            </w:pPr>
            <w:r w:rsidRPr="004E4188">
              <w:t>Les réponses aux demandes d’éclaircissements, le cas échéant, [</w:t>
            </w:r>
            <w:r w:rsidRPr="004E4188">
              <w:rPr>
                <w:i/>
              </w:rPr>
              <w:t>choisi</w:t>
            </w:r>
            <w:r w:rsidRPr="004E4188">
              <w:rPr>
                <w:i/>
                <w:lang w:eastAsia="ja-JP"/>
              </w:rPr>
              <w:t>r</w:t>
            </w:r>
            <w:r w:rsidRPr="004E4188">
              <w:rPr>
                <w:i/>
              </w:rPr>
              <w:t xml:space="preserve"> « seront » ou « ne seront pas », selon le cas</w:t>
            </w:r>
            <w:r w:rsidRPr="004E4188">
              <w:t>] publiées sur le site internet du Maître d’ouvrage indiqué ci-dessous.</w:t>
            </w:r>
          </w:p>
          <w:p w14:paraId="74608484" w14:textId="77777777" w:rsidR="007049A5" w:rsidRPr="004E4188" w:rsidRDefault="007049A5" w:rsidP="006C6267">
            <w:pPr>
              <w:tabs>
                <w:tab w:val="right" w:pos="7254"/>
              </w:tabs>
              <w:spacing w:afterLines="50" w:after="120"/>
            </w:pPr>
            <w:r w:rsidRPr="004E4188">
              <w:t>Site internet : [</w:t>
            </w:r>
            <w:r w:rsidRPr="004E4188">
              <w:rPr>
                <w:i/>
              </w:rPr>
              <w:t>Indiquer le site internet du Maître d’ouvrage, uniquement si les réponses aux demandes d’éclaircissements sont publiées sur le site. Dans le cas contraire, indiquer « sans objet »</w:t>
            </w:r>
            <w:r w:rsidRPr="004E4188">
              <w:rPr>
                <w:i/>
                <w:lang w:eastAsia="ja-JP"/>
              </w:rPr>
              <w:t>.</w:t>
            </w:r>
            <w:r w:rsidRPr="004E4188">
              <w:t>]</w:t>
            </w:r>
          </w:p>
        </w:tc>
      </w:tr>
      <w:tr w:rsidR="007049A5" w:rsidRPr="004E4188" w14:paraId="091FEF6E" w14:textId="77777777" w:rsidTr="006C6267">
        <w:tc>
          <w:tcPr>
            <w:tcW w:w="1320" w:type="dxa"/>
            <w:tcBorders>
              <w:top w:val="single" w:sz="6" w:space="0" w:color="000000"/>
              <w:bottom w:val="single" w:sz="6" w:space="0" w:color="000000"/>
            </w:tcBorders>
          </w:tcPr>
          <w:p w14:paraId="3DDD38E0" w14:textId="77777777" w:rsidR="007049A5" w:rsidRPr="004E4188" w:rsidRDefault="007049A5" w:rsidP="00B31E15">
            <w:pPr>
              <w:tabs>
                <w:tab w:val="right" w:pos="7254"/>
              </w:tabs>
              <w:spacing w:before="60" w:after="120"/>
              <w:rPr>
                <w:b/>
              </w:rPr>
            </w:pPr>
            <w:r w:rsidRPr="004E4188">
              <w:rPr>
                <w:b/>
              </w:rPr>
              <w:t>IS 7.4</w:t>
            </w:r>
          </w:p>
        </w:tc>
        <w:tc>
          <w:tcPr>
            <w:tcW w:w="7680" w:type="dxa"/>
            <w:tcBorders>
              <w:top w:val="single" w:sz="6" w:space="0" w:color="000000"/>
              <w:bottom w:val="single" w:sz="6" w:space="0" w:color="000000"/>
            </w:tcBorders>
          </w:tcPr>
          <w:p w14:paraId="6ADBCAA1" w14:textId="77777777" w:rsidR="007049A5" w:rsidRPr="004E4188" w:rsidRDefault="007049A5" w:rsidP="006C6267">
            <w:pPr>
              <w:tabs>
                <w:tab w:val="right" w:pos="7254"/>
              </w:tabs>
              <w:spacing w:before="60" w:after="60"/>
              <w:rPr>
                <w:iCs/>
                <w:lang w:eastAsia="ja-JP"/>
              </w:rPr>
            </w:pPr>
            <w:r w:rsidRPr="004E4188">
              <w:t>Une réunion préparatoire à l’appel d’offres [</w:t>
            </w:r>
            <w:r w:rsidRPr="004E4188">
              <w:rPr>
                <w:i/>
              </w:rPr>
              <w:t>choisi</w:t>
            </w:r>
            <w:r w:rsidRPr="004E4188">
              <w:rPr>
                <w:i/>
                <w:lang w:eastAsia="ja-JP"/>
              </w:rPr>
              <w:t>r</w:t>
            </w:r>
            <w:r w:rsidRPr="004E4188">
              <w:rPr>
                <w:i/>
              </w:rPr>
              <w:t xml:space="preserve"> « aura » ou « n’aura pas », selon le cas</w:t>
            </w:r>
            <w:r w:rsidRPr="004E4188">
              <w:t>] lieu à la date, à l’heure et à l’endroit indiqués ci-dessous :</w:t>
            </w:r>
            <w:r w:rsidRPr="004E4188">
              <w:rPr>
                <w:iCs/>
                <w:lang w:eastAsia="ja-JP"/>
              </w:rPr>
              <w:t xml:space="preserve"> </w:t>
            </w:r>
          </w:p>
          <w:p w14:paraId="0CF979DA" w14:textId="77777777" w:rsidR="007049A5" w:rsidRPr="004E4188" w:rsidRDefault="007049A5" w:rsidP="006C6267">
            <w:pPr>
              <w:tabs>
                <w:tab w:val="right" w:pos="7254"/>
              </w:tabs>
            </w:pPr>
            <w:r w:rsidRPr="004E4188">
              <w:rPr>
                <w:iCs/>
                <w:lang w:eastAsia="ja-JP"/>
              </w:rPr>
              <w:t>[</w:t>
            </w:r>
            <w:r w:rsidRPr="004E4188">
              <w:rPr>
                <w:i/>
                <w:lang w:eastAsia="en-US"/>
              </w:rPr>
              <w:t>Si une réunion préparatoire a lieu, indiquer ci-dessous la date, l’heure et l’endroit de cette réunion. Sinon, indiquer « sans objet » dans les rubriques correspondantes</w:t>
            </w:r>
            <w:r w:rsidRPr="004E4188">
              <w:rPr>
                <w:i/>
                <w:iCs/>
                <w:lang w:eastAsia="ja-JP"/>
              </w:rPr>
              <w:t>.</w:t>
            </w:r>
            <w:r w:rsidRPr="004E4188">
              <w:rPr>
                <w:iCs/>
                <w:lang w:eastAsia="ja-JP"/>
              </w:rPr>
              <w:t>]</w:t>
            </w:r>
          </w:p>
          <w:p w14:paraId="59C4614F" w14:textId="77777777" w:rsidR="007049A5" w:rsidRPr="004E4188" w:rsidRDefault="007049A5" w:rsidP="006C6267">
            <w:pPr>
              <w:tabs>
                <w:tab w:val="right" w:leader="underscore" w:pos="7254"/>
              </w:tabs>
              <w:spacing w:afterLines="50" w:after="120"/>
              <w:rPr>
                <w:lang w:eastAsia="ja-JP"/>
              </w:rPr>
            </w:pPr>
            <w:r w:rsidRPr="004E4188">
              <w:t xml:space="preserve">Date : </w:t>
            </w:r>
            <w:r w:rsidRPr="004E4188">
              <w:rPr>
                <w:lang w:eastAsia="ja-JP"/>
              </w:rPr>
              <w:tab/>
            </w:r>
          </w:p>
          <w:p w14:paraId="5DD5E79E" w14:textId="77777777" w:rsidR="007049A5" w:rsidRPr="004E4188" w:rsidRDefault="007049A5" w:rsidP="006C6267">
            <w:pPr>
              <w:tabs>
                <w:tab w:val="right" w:leader="underscore" w:pos="7254"/>
              </w:tabs>
              <w:spacing w:afterLines="50" w:after="120"/>
              <w:rPr>
                <w:lang w:eastAsia="ja-JP"/>
              </w:rPr>
            </w:pPr>
            <w:r w:rsidRPr="004E4188">
              <w:t xml:space="preserve">Heure : </w:t>
            </w:r>
            <w:r w:rsidRPr="004E4188">
              <w:rPr>
                <w:lang w:eastAsia="ja-JP"/>
              </w:rPr>
              <w:tab/>
            </w:r>
          </w:p>
          <w:p w14:paraId="72238305" w14:textId="77777777" w:rsidR="007049A5" w:rsidRPr="004E4188" w:rsidRDefault="007049A5" w:rsidP="006C6267">
            <w:pPr>
              <w:tabs>
                <w:tab w:val="right" w:leader="underscore" w:pos="7254"/>
              </w:tabs>
              <w:spacing w:afterLines="100" w:after="240"/>
              <w:rPr>
                <w:lang w:eastAsia="ja-JP"/>
              </w:rPr>
            </w:pPr>
            <w:r w:rsidRPr="004E4188">
              <w:t xml:space="preserve">Lieu :  </w:t>
            </w:r>
            <w:r w:rsidRPr="004E4188">
              <w:rPr>
                <w:lang w:eastAsia="ja-JP"/>
              </w:rPr>
              <w:tab/>
            </w:r>
          </w:p>
          <w:p w14:paraId="576642DD" w14:textId="77777777" w:rsidR="007049A5" w:rsidRPr="004E4188" w:rsidRDefault="007049A5" w:rsidP="006C6267">
            <w:pPr>
              <w:tabs>
                <w:tab w:val="right" w:pos="7254"/>
              </w:tabs>
              <w:spacing w:afterLines="50" w:after="120"/>
            </w:pPr>
            <w:r w:rsidRPr="004E4188">
              <w:t>Une visite du site [</w:t>
            </w:r>
            <w:r w:rsidRPr="004E4188">
              <w:rPr>
                <w:i/>
              </w:rPr>
              <w:t>choisi</w:t>
            </w:r>
            <w:r w:rsidRPr="004E4188">
              <w:rPr>
                <w:i/>
                <w:lang w:eastAsia="ja-JP"/>
              </w:rPr>
              <w:t>r</w:t>
            </w:r>
            <w:r w:rsidRPr="004E4188">
              <w:rPr>
                <w:i/>
              </w:rPr>
              <w:t xml:space="preserve"> « sera » ou « ne sera pas », selon le cas</w:t>
            </w:r>
            <w:r w:rsidRPr="004E4188">
              <w:t>] organisée par le Maître d’ouvrage au moment de la réunion préparatoire.</w:t>
            </w:r>
          </w:p>
        </w:tc>
      </w:tr>
      <w:tr w:rsidR="007049A5" w:rsidRPr="004E4188" w14:paraId="129AAEEE" w14:textId="77777777" w:rsidTr="006C6267">
        <w:tc>
          <w:tcPr>
            <w:tcW w:w="1320" w:type="dxa"/>
            <w:tcBorders>
              <w:top w:val="single" w:sz="6" w:space="0" w:color="000000"/>
              <w:left w:val="single" w:sz="12" w:space="0" w:color="000000"/>
              <w:bottom w:val="single" w:sz="6" w:space="0" w:color="000000"/>
              <w:right w:val="single" w:sz="6" w:space="0" w:color="000000"/>
            </w:tcBorders>
          </w:tcPr>
          <w:p w14:paraId="29310BF4" w14:textId="77777777" w:rsidR="007049A5" w:rsidRPr="004E4188" w:rsidRDefault="007049A5" w:rsidP="00B31E15">
            <w:pPr>
              <w:tabs>
                <w:tab w:val="right" w:pos="7254"/>
              </w:tabs>
              <w:spacing w:before="60" w:after="120"/>
              <w:rPr>
                <w:b/>
              </w:rPr>
            </w:pPr>
            <w:r w:rsidRPr="004E4188">
              <w:rPr>
                <w:b/>
              </w:rPr>
              <w:t>IS 8.2</w:t>
            </w:r>
          </w:p>
        </w:tc>
        <w:tc>
          <w:tcPr>
            <w:tcW w:w="7680" w:type="dxa"/>
            <w:tcBorders>
              <w:top w:val="single" w:sz="6" w:space="0" w:color="000000"/>
              <w:left w:val="single" w:sz="6" w:space="0" w:color="000000"/>
              <w:bottom w:val="single" w:sz="6" w:space="0" w:color="000000"/>
              <w:right w:val="single" w:sz="12" w:space="0" w:color="000000"/>
            </w:tcBorders>
          </w:tcPr>
          <w:p w14:paraId="59A463EF" w14:textId="77777777" w:rsidR="007049A5" w:rsidRPr="004E4188" w:rsidDel="00455FF9" w:rsidRDefault="007049A5" w:rsidP="00B31E15">
            <w:pPr>
              <w:tabs>
                <w:tab w:val="right" w:pos="7254"/>
              </w:tabs>
              <w:spacing w:before="60" w:after="120"/>
            </w:pPr>
            <w:r w:rsidRPr="004E4188">
              <w:t>Les avenants, le cas échéant, [</w:t>
            </w:r>
            <w:r w:rsidRPr="004E4188">
              <w:rPr>
                <w:i/>
              </w:rPr>
              <w:t>choisir « seront » ou « ne seront pas », selon le cas</w:t>
            </w:r>
            <w:r w:rsidRPr="004E4188">
              <w:t>] publiés sur le site internet du Maître d’ouvrage.</w:t>
            </w:r>
          </w:p>
        </w:tc>
      </w:tr>
      <w:tr w:rsidR="007049A5" w:rsidRPr="004E4188" w14:paraId="65C6FD29" w14:textId="77777777" w:rsidTr="00523BAA">
        <w:tc>
          <w:tcPr>
            <w:tcW w:w="1320" w:type="dxa"/>
            <w:tcBorders>
              <w:bottom w:val="single" w:sz="8" w:space="0" w:color="000000"/>
            </w:tcBorders>
          </w:tcPr>
          <w:p w14:paraId="2511F01D" w14:textId="77777777" w:rsidR="007049A5" w:rsidRPr="004E4188" w:rsidRDefault="007049A5" w:rsidP="00B31E15">
            <w:pPr>
              <w:tabs>
                <w:tab w:val="right" w:pos="7434"/>
              </w:tabs>
              <w:spacing w:before="60" w:after="120"/>
              <w:rPr>
                <w:b/>
              </w:rPr>
            </w:pPr>
            <w:r w:rsidRPr="004E4188">
              <w:rPr>
                <w:b/>
              </w:rPr>
              <w:t>IS 10.1</w:t>
            </w:r>
          </w:p>
        </w:tc>
        <w:tc>
          <w:tcPr>
            <w:tcW w:w="7680" w:type="dxa"/>
            <w:tcBorders>
              <w:bottom w:val="single" w:sz="8" w:space="0" w:color="000000"/>
            </w:tcBorders>
          </w:tcPr>
          <w:p w14:paraId="3C3559E8" w14:textId="77777777" w:rsidR="007049A5" w:rsidRPr="004E4188" w:rsidRDefault="007049A5" w:rsidP="00B31E15">
            <w:pPr>
              <w:tabs>
                <w:tab w:val="right" w:pos="7254"/>
              </w:tabs>
              <w:spacing w:before="60" w:after="120"/>
              <w:rPr>
                <w:szCs w:val="24"/>
              </w:rPr>
            </w:pPr>
            <w:r w:rsidRPr="004E4188">
              <w:rPr>
                <w:iCs/>
              </w:rPr>
              <w:t xml:space="preserve">La langue de l’appel d’offres est : </w:t>
            </w:r>
            <w:r w:rsidRPr="004E4188">
              <w:t>[</w:t>
            </w:r>
            <w:r w:rsidRPr="004E4188">
              <w:rPr>
                <w:i/>
              </w:rPr>
              <w:t>indiquer une des langues suivantes : japonais, anglais, français ou espagnol</w:t>
            </w:r>
            <w:r w:rsidRPr="004E4188">
              <w:t>]</w:t>
            </w:r>
          </w:p>
        </w:tc>
      </w:tr>
      <w:tr w:rsidR="007049A5" w:rsidRPr="004E4188" w14:paraId="5883C090" w14:textId="77777777" w:rsidTr="00523BAA">
        <w:tc>
          <w:tcPr>
            <w:tcW w:w="9000" w:type="dxa"/>
            <w:gridSpan w:val="2"/>
            <w:tcBorders>
              <w:top w:val="single" w:sz="8" w:space="0" w:color="000000"/>
              <w:bottom w:val="single" w:sz="8" w:space="0" w:color="000000"/>
            </w:tcBorders>
            <w:shd w:val="clear" w:color="auto" w:fill="E6E6E6"/>
          </w:tcPr>
          <w:p w14:paraId="1DEAEC9B" w14:textId="77777777" w:rsidR="007049A5" w:rsidRPr="004E4188" w:rsidRDefault="007049A5" w:rsidP="00FD6784">
            <w:pPr>
              <w:tabs>
                <w:tab w:val="right" w:pos="7254"/>
              </w:tabs>
              <w:spacing w:before="120" w:after="120"/>
              <w:jc w:val="center"/>
              <w:rPr>
                <w:b/>
                <w:sz w:val="28"/>
              </w:rPr>
            </w:pPr>
            <w:r w:rsidRPr="004E4188">
              <w:rPr>
                <w:b/>
                <w:sz w:val="28"/>
              </w:rPr>
              <w:t>C1.  Offres de la première étape : préparation</w:t>
            </w:r>
          </w:p>
        </w:tc>
      </w:tr>
      <w:tr w:rsidR="007049A5" w:rsidRPr="004E4188" w14:paraId="54B31BD4" w14:textId="77777777" w:rsidTr="00523BAA">
        <w:tc>
          <w:tcPr>
            <w:tcW w:w="1320" w:type="dxa"/>
            <w:tcBorders>
              <w:top w:val="single" w:sz="8" w:space="0" w:color="000000"/>
            </w:tcBorders>
          </w:tcPr>
          <w:p w14:paraId="517F2E60" w14:textId="31FADE67" w:rsidR="007049A5" w:rsidRPr="004E4188" w:rsidRDefault="007049A5" w:rsidP="005176C7">
            <w:pPr>
              <w:tabs>
                <w:tab w:val="right" w:pos="7434"/>
              </w:tabs>
              <w:spacing w:before="60" w:after="120"/>
              <w:rPr>
                <w:b/>
              </w:rPr>
            </w:pPr>
            <w:r w:rsidRPr="004E4188">
              <w:rPr>
                <w:b/>
              </w:rPr>
              <w:t>IS 11.1(i)</w:t>
            </w:r>
          </w:p>
          <w:p w14:paraId="1722FF74" w14:textId="77777777" w:rsidR="007049A5" w:rsidRPr="004E4188" w:rsidRDefault="007049A5" w:rsidP="00D17389">
            <w:pPr>
              <w:tabs>
                <w:tab w:val="right" w:pos="7434"/>
              </w:tabs>
              <w:spacing w:after="120"/>
              <w:rPr>
                <w:b/>
              </w:rPr>
            </w:pPr>
          </w:p>
        </w:tc>
        <w:tc>
          <w:tcPr>
            <w:tcW w:w="7680" w:type="dxa"/>
            <w:tcBorders>
              <w:top w:val="single" w:sz="8" w:space="0" w:color="000000"/>
            </w:tcBorders>
          </w:tcPr>
          <w:p w14:paraId="34AED22B" w14:textId="77777777" w:rsidR="007049A5" w:rsidRPr="004E4188" w:rsidRDefault="007049A5" w:rsidP="006C6267">
            <w:pPr>
              <w:tabs>
                <w:tab w:val="right" w:pos="7254"/>
              </w:tabs>
              <w:spacing w:before="60" w:after="60"/>
            </w:pPr>
            <w:r w:rsidRPr="004E4188">
              <w:t>Le Soumissionnaire devra joindre à son offre de la première étape les documents supplémentaires suivants :</w:t>
            </w:r>
          </w:p>
          <w:p w14:paraId="68FD33A4" w14:textId="1CC8214D" w:rsidR="007049A5" w:rsidRPr="004E4188" w:rsidRDefault="007049A5" w:rsidP="00810C0C">
            <w:pPr>
              <w:tabs>
                <w:tab w:val="right" w:pos="7254"/>
              </w:tabs>
              <w:spacing w:before="60" w:afterLines="50" w:after="120"/>
              <w:rPr>
                <w:szCs w:val="24"/>
              </w:rPr>
            </w:pPr>
            <w:r w:rsidRPr="004E4188">
              <w:rPr>
                <w:bCs/>
                <w:iCs/>
              </w:rPr>
              <w:t>[</w:t>
            </w:r>
            <w:r w:rsidRPr="004E4188">
              <w:rPr>
                <w:bCs/>
                <w:i/>
                <w:iCs/>
              </w:rPr>
              <w:t>Donner la liste des documents supplémentaires à joindre à l’offre de la première étape, qui ne sont pas déjà indiqués à IS 11.1. S’il n’y a pas de document supplémentaire, indiquer « aucun »</w:t>
            </w:r>
            <w:r w:rsidRPr="004E4188">
              <w:rPr>
                <w:bCs/>
                <w:i/>
                <w:iCs/>
                <w:lang w:eastAsia="ja-JP"/>
              </w:rPr>
              <w:t>.</w:t>
            </w:r>
            <w:r w:rsidRPr="004E4188">
              <w:rPr>
                <w:bCs/>
                <w:iCs/>
                <w:lang w:eastAsia="ja-JP"/>
              </w:rPr>
              <w:t>]</w:t>
            </w:r>
          </w:p>
        </w:tc>
      </w:tr>
      <w:tr w:rsidR="007049A5" w:rsidRPr="004E4188" w14:paraId="0B9D646C" w14:textId="77777777" w:rsidTr="006C6267">
        <w:tc>
          <w:tcPr>
            <w:tcW w:w="1320" w:type="dxa"/>
          </w:tcPr>
          <w:p w14:paraId="763F7A84" w14:textId="07FCD6F9" w:rsidR="007049A5" w:rsidRPr="004E4188" w:rsidRDefault="007049A5" w:rsidP="00B31E15">
            <w:pPr>
              <w:tabs>
                <w:tab w:val="right" w:pos="7434"/>
              </w:tabs>
              <w:spacing w:before="60" w:after="120"/>
              <w:rPr>
                <w:b/>
              </w:rPr>
            </w:pPr>
            <w:r w:rsidRPr="004E4188">
              <w:rPr>
                <w:b/>
              </w:rPr>
              <w:t>IS 14.2(b)</w:t>
            </w:r>
          </w:p>
        </w:tc>
        <w:tc>
          <w:tcPr>
            <w:tcW w:w="7680" w:type="dxa"/>
          </w:tcPr>
          <w:p w14:paraId="7C4C065F" w14:textId="0C028579" w:rsidR="007049A5" w:rsidRPr="004E4188" w:rsidRDefault="007049A5" w:rsidP="00B31E15">
            <w:pPr>
              <w:spacing w:before="60" w:after="120"/>
            </w:pPr>
            <w:r w:rsidRPr="004E4188">
              <w:rPr>
                <w:szCs w:val="24"/>
              </w:rPr>
              <w:t xml:space="preserve">Période après la Réception opérationnelle </w:t>
            </w:r>
            <w:r w:rsidR="00262851" w:rsidRPr="004E4188">
              <w:rPr>
                <w:szCs w:val="24"/>
              </w:rPr>
              <w:t xml:space="preserve">par le Maître d’ouvrage </w:t>
            </w:r>
            <w:r w:rsidRPr="004E4188">
              <w:rPr>
                <w:szCs w:val="24"/>
              </w:rPr>
              <w:t>pendant laquelle le Soumissionnaire propose les pièces de rechange (c.-⁠à-⁠d. les pièces de rechange obligatoires et pièces de rechange recommandées, si requises), outils spéciaux, etc. : [</w:t>
            </w:r>
            <w:r w:rsidRPr="004E4188">
              <w:rPr>
                <w:bCs/>
                <w:i/>
                <w:iCs/>
                <w:szCs w:val="24"/>
              </w:rPr>
              <w:t>indiquer un nombre approprié d’années, normalement deux (2) ans</w:t>
            </w:r>
            <w:r w:rsidRPr="004E4188">
              <w:rPr>
                <w:szCs w:val="24"/>
              </w:rPr>
              <w:t>]</w:t>
            </w:r>
          </w:p>
        </w:tc>
      </w:tr>
      <w:tr w:rsidR="007049A5" w:rsidRPr="004E4188" w14:paraId="6DB06208" w14:textId="77777777" w:rsidTr="00523BAA">
        <w:tc>
          <w:tcPr>
            <w:tcW w:w="1320" w:type="dxa"/>
            <w:tcBorders>
              <w:bottom w:val="single" w:sz="8" w:space="0" w:color="000000"/>
            </w:tcBorders>
          </w:tcPr>
          <w:p w14:paraId="30224B18" w14:textId="57C727A1" w:rsidR="007049A5" w:rsidRPr="004E4188" w:rsidRDefault="007049A5" w:rsidP="00B31E15">
            <w:pPr>
              <w:tabs>
                <w:tab w:val="right" w:pos="7434"/>
              </w:tabs>
              <w:spacing w:before="60" w:after="120"/>
              <w:rPr>
                <w:b/>
              </w:rPr>
            </w:pPr>
            <w:r w:rsidRPr="004E4188">
              <w:rPr>
                <w:b/>
              </w:rPr>
              <w:t>IS 16.1</w:t>
            </w:r>
          </w:p>
        </w:tc>
        <w:tc>
          <w:tcPr>
            <w:tcW w:w="7680" w:type="dxa"/>
            <w:tcBorders>
              <w:bottom w:val="single" w:sz="8" w:space="0" w:color="000000"/>
            </w:tcBorders>
          </w:tcPr>
          <w:p w14:paraId="2EA7929D" w14:textId="77777777" w:rsidR="007049A5" w:rsidRPr="004E4188" w:rsidRDefault="007049A5" w:rsidP="00B31E15">
            <w:pPr>
              <w:pStyle w:val="i"/>
              <w:tabs>
                <w:tab w:val="right" w:pos="7254"/>
              </w:tabs>
              <w:suppressAutoHyphens w:val="0"/>
              <w:spacing w:before="60" w:after="120"/>
              <w:rPr>
                <w:szCs w:val="24"/>
                <w:lang w:val="fr-FR" w:eastAsia="ja-JP"/>
              </w:rPr>
            </w:pPr>
            <w:r w:rsidRPr="004E4188">
              <w:rPr>
                <w:lang w:val="fr-FR"/>
              </w:rPr>
              <w:t>Outre l’original de l’offre de la première étape, le nombre de copies demandé est de : [</w:t>
            </w:r>
            <w:r w:rsidRPr="004E4188">
              <w:rPr>
                <w:i/>
                <w:lang w:val="fr-FR"/>
              </w:rPr>
              <w:t>indiquer le nombre</w:t>
            </w:r>
            <w:r w:rsidRPr="004E4188">
              <w:rPr>
                <w:lang w:val="fr-FR"/>
              </w:rPr>
              <w:t>]</w:t>
            </w:r>
          </w:p>
        </w:tc>
      </w:tr>
      <w:tr w:rsidR="007049A5" w:rsidRPr="004E4188" w14:paraId="603FB9AD" w14:textId="77777777" w:rsidTr="00523BAA">
        <w:tc>
          <w:tcPr>
            <w:tcW w:w="9000" w:type="dxa"/>
            <w:gridSpan w:val="2"/>
            <w:tcBorders>
              <w:top w:val="single" w:sz="8" w:space="0" w:color="000000"/>
              <w:bottom w:val="single" w:sz="8" w:space="0" w:color="000000"/>
            </w:tcBorders>
            <w:shd w:val="clear" w:color="auto" w:fill="E6E6E6"/>
          </w:tcPr>
          <w:p w14:paraId="1D4E4F2A" w14:textId="514676C6" w:rsidR="007049A5" w:rsidRPr="004E4188" w:rsidRDefault="007049A5" w:rsidP="00163D51">
            <w:pPr>
              <w:pStyle w:val="i"/>
              <w:tabs>
                <w:tab w:val="right" w:pos="7254"/>
              </w:tabs>
              <w:suppressAutoHyphens w:val="0"/>
              <w:spacing w:before="60" w:afterLines="50" w:after="120"/>
              <w:jc w:val="center"/>
              <w:rPr>
                <w:color w:val="C0C0C0"/>
                <w:szCs w:val="24"/>
                <w:lang w:val="fr-FR"/>
              </w:rPr>
            </w:pPr>
            <w:r w:rsidRPr="004E4188">
              <w:rPr>
                <w:b/>
                <w:sz w:val="28"/>
                <w:lang w:val="fr-FR"/>
              </w:rPr>
              <w:t>C2.  Offres de la première étape</w:t>
            </w:r>
            <w:r w:rsidR="00885668" w:rsidRPr="004E4188">
              <w:rPr>
                <w:b/>
                <w:sz w:val="28"/>
                <w:lang w:val="fr-FR"/>
              </w:rPr>
              <w:t xml:space="preserve"> </w:t>
            </w:r>
            <w:r w:rsidRPr="004E4188">
              <w:rPr>
                <w:b/>
                <w:sz w:val="28"/>
                <w:lang w:val="fr-FR"/>
              </w:rPr>
              <w:t>: remise et ouverture</w:t>
            </w:r>
          </w:p>
        </w:tc>
      </w:tr>
      <w:tr w:rsidR="007049A5" w:rsidRPr="004E4188" w14:paraId="1A2ABBC0" w14:textId="77777777" w:rsidTr="00523BAA">
        <w:tc>
          <w:tcPr>
            <w:tcW w:w="1320" w:type="dxa"/>
            <w:tcBorders>
              <w:top w:val="single" w:sz="8" w:space="0" w:color="000000"/>
            </w:tcBorders>
          </w:tcPr>
          <w:p w14:paraId="07C2FD44" w14:textId="0E483FEE" w:rsidR="007049A5" w:rsidRPr="004E4188" w:rsidRDefault="007049A5" w:rsidP="00B31E15">
            <w:pPr>
              <w:tabs>
                <w:tab w:val="right" w:pos="7434"/>
              </w:tabs>
              <w:spacing w:before="60" w:after="120"/>
              <w:rPr>
                <w:b/>
              </w:rPr>
            </w:pPr>
            <w:r w:rsidRPr="004E4188">
              <w:rPr>
                <w:rFonts w:hint="eastAsia"/>
                <w:b/>
                <w:lang w:eastAsia="ja-JP"/>
              </w:rPr>
              <w:t>IS</w:t>
            </w:r>
            <w:r w:rsidRPr="004E4188">
              <w:rPr>
                <w:b/>
              </w:rPr>
              <w:t xml:space="preserve"> 18.1</w:t>
            </w:r>
          </w:p>
        </w:tc>
        <w:tc>
          <w:tcPr>
            <w:tcW w:w="7680" w:type="dxa"/>
            <w:tcBorders>
              <w:top w:val="single" w:sz="8" w:space="0" w:color="000000"/>
            </w:tcBorders>
          </w:tcPr>
          <w:p w14:paraId="5E7ABDE4" w14:textId="77777777" w:rsidR="007049A5" w:rsidRPr="004E4188" w:rsidRDefault="007049A5" w:rsidP="006C6267">
            <w:pPr>
              <w:tabs>
                <w:tab w:val="right" w:pos="7254"/>
              </w:tabs>
              <w:spacing w:before="60" w:after="60"/>
            </w:pPr>
            <w:r w:rsidRPr="004E4188">
              <w:t xml:space="preserve">Aux fins de la </w:t>
            </w:r>
            <w:r w:rsidRPr="004E4188">
              <w:rPr>
                <w:b/>
                <w:u w:val="single"/>
              </w:rPr>
              <w:t>remise des offres de la première étape</w:t>
            </w:r>
            <w:r w:rsidRPr="004E4188">
              <w:t>, uniquement, l’adresse du Maître d’ouvrage est la suivante :</w:t>
            </w:r>
          </w:p>
          <w:p w14:paraId="25D3C9C4" w14:textId="77777777" w:rsidR="007049A5" w:rsidRPr="004E4188" w:rsidRDefault="007049A5" w:rsidP="006C6267">
            <w:pPr>
              <w:tabs>
                <w:tab w:val="right" w:pos="7254"/>
              </w:tabs>
              <w:spacing w:after="60"/>
              <w:rPr>
                <w:lang w:eastAsia="ja-JP"/>
              </w:rPr>
            </w:pPr>
            <w:r w:rsidRPr="004E4188">
              <w:t>Attention : [</w:t>
            </w:r>
            <w:r w:rsidRPr="004E4188">
              <w:rPr>
                <w:i/>
              </w:rPr>
              <w:t>in</w:t>
            </w:r>
            <w:r w:rsidRPr="004E4188">
              <w:rPr>
                <w:rFonts w:hint="eastAsia"/>
                <w:i/>
                <w:lang w:eastAsia="ja-JP"/>
              </w:rPr>
              <w:t>di</w:t>
            </w:r>
            <w:r w:rsidRPr="004E4188">
              <w:rPr>
                <w:i/>
                <w:lang w:eastAsia="ja-JP"/>
              </w:rPr>
              <w:t>quer</w:t>
            </w:r>
            <w:r w:rsidRPr="004E4188">
              <w:rPr>
                <w:i/>
              </w:rPr>
              <w:t xml:space="preserve"> le nom de la personne responsable, le cas échéant</w:t>
            </w:r>
            <w:r w:rsidRPr="004E4188">
              <w:rPr>
                <w:iCs/>
                <w:szCs w:val="24"/>
              </w:rPr>
              <w:t>]</w:t>
            </w:r>
          </w:p>
          <w:p w14:paraId="48F03A4C" w14:textId="77777777" w:rsidR="007049A5" w:rsidRPr="004E4188" w:rsidRDefault="007049A5" w:rsidP="006C6267">
            <w:pPr>
              <w:tabs>
                <w:tab w:val="right" w:pos="7254"/>
              </w:tabs>
              <w:spacing w:before="60" w:after="60"/>
            </w:pPr>
            <w:r w:rsidRPr="004E4188">
              <w:t>Adresse postale : [</w:t>
            </w:r>
            <w:r w:rsidRPr="004E4188">
              <w:rPr>
                <w:i/>
              </w:rPr>
              <w:t>indiquer l’adresse postale</w:t>
            </w:r>
            <w:r w:rsidRPr="004E4188">
              <w:rPr>
                <w:iCs/>
              </w:rPr>
              <w:t>]</w:t>
            </w:r>
            <w:r w:rsidRPr="004E4188">
              <w:rPr>
                <w:lang w:eastAsia="ja-JP"/>
              </w:rPr>
              <w:t xml:space="preserve"> </w:t>
            </w:r>
          </w:p>
          <w:p w14:paraId="42F94422" w14:textId="77777777" w:rsidR="007049A5" w:rsidRPr="004E4188" w:rsidRDefault="007049A5" w:rsidP="006C6267">
            <w:pPr>
              <w:tabs>
                <w:tab w:val="right" w:pos="7254"/>
              </w:tabs>
              <w:spacing w:before="60" w:after="60"/>
              <w:rPr>
                <w:i/>
              </w:rPr>
            </w:pPr>
          </w:p>
          <w:p w14:paraId="6FB7B3FA" w14:textId="77777777" w:rsidR="007049A5" w:rsidRPr="004E4188" w:rsidRDefault="007049A5" w:rsidP="006C6267">
            <w:pPr>
              <w:tabs>
                <w:tab w:val="right" w:pos="7254"/>
              </w:tabs>
              <w:spacing w:before="60" w:after="60"/>
              <w:rPr>
                <w:b/>
              </w:rPr>
            </w:pPr>
            <w:r w:rsidRPr="004E4188">
              <w:rPr>
                <w:b/>
              </w:rPr>
              <w:t>La date et l’heure limites de remise des offres de la première étape sont les suivantes :</w:t>
            </w:r>
          </w:p>
          <w:p w14:paraId="75805FAC" w14:textId="77777777" w:rsidR="007049A5" w:rsidRPr="004E4188" w:rsidRDefault="007049A5" w:rsidP="006C6267">
            <w:pPr>
              <w:tabs>
                <w:tab w:val="right" w:pos="7254"/>
              </w:tabs>
              <w:rPr>
                <w:lang w:eastAsia="ja-JP"/>
              </w:rPr>
            </w:pPr>
            <w:r w:rsidRPr="004E4188">
              <w:t>Date : [</w:t>
            </w:r>
            <w:r w:rsidRPr="004E4188">
              <w:rPr>
                <w:i/>
              </w:rPr>
              <w:t>indiquer les jour, mois et an, p. ex. : 15 juin 2018</w:t>
            </w:r>
            <w:r w:rsidRPr="004E4188">
              <w:rPr>
                <w:bCs/>
                <w:iCs/>
                <w:lang w:eastAsia="ja-JP"/>
              </w:rPr>
              <w:t>]</w:t>
            </w:r>
          </w:p>
          <w:p w14:paraId="086EB537" w14:textId="269681A3" w:rsidR="007049A5" w:rsidRPr="004E4188" w:rsidRDefault="007049A5" w:rsidP="005176C7">
            <w:pPr>
              <w:pStyle w:val="i"/>
              <w:tabs>
                <w:tab w:val="right" w:pos="7254"/>
              </w:tabs>
              <w:suppressAutoHyphens w:val="0"/>
              <w:spacing w:before="60" w:afterLines="50" w:after="120"/>
              <w:rPr>
                <w:szCs w:val="24"/>
                <w:lang w:val="fr-FR"/>
              </w:rPr>
            </w:pPr>
            <w:r w:rsidRPr="004E4188">
              <w:rPr>
                <w:lang w:val="fr-FR"/>
              </w:rPr>
              <w:t>Heure : [</w:t>
            </w:r>
            <w:r w:rsidRPr="004E4188">
              <w:rPr>
                <w:i/>
                <w:lang w:val="fr-FR"/>
              </w:rPr>
              <w:t>indiquer l’heure selon le système horaire sur 24 heures, p. ex. : 14:00</w:t>
            </w:r>
            <w:r w:rsidRPr="004E4188">
              <w:rPr>
                <w:iCs/>
                <w:lang w:val="fr-FR"/>
              </w:rPr>
              <w:t>]</w:t>
            </w:r>
          </w:p>
        </w:tc>
      </w:tr>
      <w:tr w:rsidR="007049A5" w:rsidRPr="004E4188" w14:paraId="7E81F822" w14:textId="77777777" w:rsidTr="00523BAA">
        <w:tc>
          <w:tcPr>
            <w:tcW w:w="1320" w:type="dxa"/>
            <w:tcBorders>
              <w:bottom w:val="single" w:sz="8" w:space="0" w:color="000000"/>
            </w:tcBorders>
          </w:tcPr>
          <w:p w14:paraId="74717423" w14:textId="76F81584" w:rsidR="007049A5" w:rsidRPr="004E4188" w:rsidRDefault="007049A5" w:rsidP="00B31E15">
            <w:pPr>
              <w:tabs>
                <w:tab w:val="right" w:pos="7434"/>
              </w:tabs>
              <w:spacing w:before="60" w:after="120"/>
              <w:rPr>
                <w:b/>
              </w:rPr>
            </w:pPr>
            <w:r w:rsidRPr="004E4188">
              <w:rPr>
                <w:b/>
              </w:rPr>
              <w:t>IS 21.1</w:t>
            </w:r>
          </w:p>
        </w:tc>
        <w:tc>
          <w:tcPr>
            <w:tcW w:w="7680" w:type="dxa"/>
            <w:tcBorders>
              <w:bottom w:val="single" w:sz="8" w:space="0" w:color="000000"/>
            </w:tcBorders>
          </w:tcPr>
          <w:p w14:paraId="3F81562E" w14:textId="77777777" w:rsidR="007049A5" w:rsidRPr="004E4188" w:rsidRDefault="007049A5" w:rsidP="00B31E15">
            <w:pPr>
              <w:tabs>
                <w:tab w:val="right" w:pos="7254"/>
              </w:tabs>
              <w:spacing w:before="60" w:after="60"/>
              <w:rPr>
                <w:lang w:eastAsia="ja-JP"/>
              </w:rPr>
            </w:pPr>
            <w:r w:rsidRPr="004E4188">
              <w:t>L’ouverture des offres de la première étape aura lieu à l’adresse, à la date et à l’heure suivantes</w:t>
            </w:r>
            <w:r w:rsidRPr="004E4188">
              <w:rPr>
                <w:lang w:eastAsia="ja-JP"/>
              </w:rPr>
              <w:t> :</w:t>
            </w:r>
          </w:p>
          <w:p w14:paraId="5FD3F91A" w14:textId="77777777" w:rsidR="007049A5" w:rsidRPr="004E4188" w:rsidRDefault="007049A5" w:rsidP="006C6267">
            <w:pPr>
              <w:tabs>
                <w:tab w:val="right" w:pos="7254"/>
              </w:tabs>
            </w:pPr>
            <w:r w:rsidRPr="004E4188">
              <w:t>Adresse postale : [</w:t>
            </w:r>
            <w:r w:rsidRPr="004E4188">
              <w:rPr>
                <w:i/>
              </w:rPr>
              <w:t>indiquer l’adresse postale</w:t>
            </w:r>
            <w:r w:rsidRPr="004E4188">
              <w:rPr>
                <w:iCs/>
              </w:rPr>
              <w:t>]</w:t>
            </w:r>
          </w:p>
          <w:p w14:paraId="620844D7" w14:textId="77777777" w:rsidR="007049A5" w:rsidRPr="004E4188" w:rsidRDefault="007049A5" w:rsidP="00B512FF">
            <w:pPr>
              <w:tabs>
                <w:tab w:val="right" w:pos="7254"/>
              </w:tabs>
              <w:spacing w:before="60"/>
              <w:rPr>
                <w:lang w:eastAsia="ja-JP"/>
              </w:rPr>
            </w:pPr>
            <w:r w:rsidRPr="004E4188">
              <w:t>Date : [</w:t>
            </w:r>
            <w:r w:rsidRPr="004E4188">
              <w:rPr>
                <w:i/>
              </w:rPr>
              <w:t>indiquer les jour, mois et an, p. ex. : 15 juin 2018</w:t>
            </w:r>
            <w:r w:rsidRPr="004E4188">
              <w:rPr>
                <w:bCs/>
                <w:iCs/>
              </w:rPr>
              <w:t>]</w:t>
            </w:r>
          </w:p>
          <w:p w14:paraId="7245E99C" w14:textId="77777777" w:rsidR="007049A5" w:rsidRPr="004E4188" w:rsidRDefault="007049A5" w:rsidP="005176C7">
            <w:pPr>
              <w:tabs>
                <w:tab w:val="right" w:pos="7254"/>
              </w:tabs>
              <w:spacing w:before="60" w:after="120"/>
              <w:rPr>
                <w:i/>
                <w:iCs/>
              </w:rPr>
            </w:pPr>
            <w:r w:rsidRPr="004E4188">
              <w:t>Heure : [</w:t>
            </w:r>
            <w:r w:rsidRPr="004E4188">
              <w:rPr>
                <w:i/>
              </w:rPr>
              <w:t>indiquer l’heure selon le système horaire sur 24 heures, p. ex. : 14:00</w:t>
            </w:r>
            <w:r w:rsidRPr="004E4188">
              <w:rPr>
                <w:iCs/>
              </w:rPr>
              <w:t>]</w:t>
            </w:r>
          </w:p>
          <w:p w14:paraId="555D7C9A" w14:textId="48876C71" w:rsidR="007049A5" w:rsidRPr="004E4188" w:rsidRDefault="007049A5" w:rsidP="00810C0C">
            <w:pPr>
              <w:pStyle w:val="i"/>
              <w:tabs>
                <w:tab w:val="right" w:pos="7254"/>
              </w:tabs>
              <w:suppressAutoHyphens w:val="0"/>
              <w:spacing w:before="60" w:afterLines="50" w:after="120"/>
              <w:rPr>
                <w:szCs w:val="24"/>
                <w:lang w:val="fr-FR"/>
              </w:rPr>
            </w:pPr>
            <w:r w:rsidRPr="004E4188">
              <w:rPr>
                <w:lang w:val="fr-FR"/>
              </w:rPr>
              <w:t>[</w:t>
            </w:r>
            <w:r w:rsidRPr="004E4188">
              <w:rPr>
                <w:i/>
                <w:lang w:val="fr-FR" w:eastAsia="ja-JP"/>
              </w:rPr>
              <w:t>La date doit être la même que celle indiquée pour la date limite de remise des offres (IS 18)</w:t>
            </w:r>
            <w:r w:rsidRPr="004E4188">
              <w:rPr>
                <w:lang w:val="fr-FR"/>
              </w:rPr>
              <w:t>.]</w:t>
            </w:r>
          </w:p>
        </w:tc>
      </w:tr>
      <w:tr w:rsidR="007049A5" w:rsidRPr="004E4188" w14:paraId="6F34F718" w14:textId="77777777" w:rsidTr="00523BAA">
        <w:tc>
          <w:tcPr>
            <w:tcW w:w="9000" w:type="dxa"/>
            <w:gridSpan w:val="2"/>
            <w:tcBorders>
              <w:top w:val="single" w:sz="8" w:space="0" w:color="000000"/>
              <w:bottom w:val="single" w:sz="8" w:space="0" w:color="000000"/>
            </w:tcBorders>
            <w:shd w:val="clear" w:color="auto" w:fill="E6E6E6"/>
          </w:tcPr>
          <w:p w14:paraId="5B192889" w14:textId="01C0B1A1" w:rsidR="007049A5" w:rsidRPr="004E4188" w:rsidRDefault="007049A5" w:rsidP="00B512FF">
            <w:pPr>
              <w:pStyle w:val="i"/>
              <w:tabs>
                <w:tab w:val="right" w:pos="7254"/>
              </w:tabs>
              <w:suppressAutoHyphens w:val="0"/>
              <w:spacing w:before="60" w:afterLines="50" w:after="120"/>
              <w:jc w:val="center"/>
              <w:rPr>
                <w:szCs w:val="24"/>
                <w:lang w:val="fr-FR"/>
              </w:rPr>
            </w:pPr>
            <w:r w:rsidRPr="004E4188">
              <w:rPr>
                <w:b/>
                <w:sz w:val="28"/>
                <w:lang w:val="fr-FR"/>
              </w:rPr>
              <w:t xml:space="preserve">E1.  </w:t>
            </w:r>
            <w:r w:rsidR="00B512FF" w:rsidRPr="004E4188">
              <w:rPr>
                <w:b/>
                <w:sz w:val="28"/>
                <w:lang w:val="fr-FR"/>
              </w:rPr>
              <w:t>O</w:t>
            </w:r>
            <w:r w:rsidRPr="004E4188">
              <w:rPr>
                <w:b/>
                <w:sz w:val="28"/>
                <w:lang w:val="fr-FR"/>
              </w:rPr>
              <w:t>ffres de la deuxième étape</w:t>
            </w:r>
            <w:r w:rsidR="00B512FF" w:rsidRPr="004E4188">
              <w:rPr>
                <w:b/>
                <w:sz w:val="28"/>
                <w:lang w:val="fr-FR"/>
              </w:rPr>
              <w:t> : préparation</w:t>
            </w:r>
          </w:p>
        </w:tc>
      </w:tr>
      <w:tr w:rsidR="007049A5" w:rsidRPr="004E4188" w14:paraId="7F6E75FD" w14:textId="77777777" w:rsidTr="00523BAA">
        <w:tc>
          <w:tcPr>
            <w:tcW w:w="1320" w:type="dxa"/>
            <w:tcBorders>
              <w:top w:val="single" w:sz="8" w:space="0" w:color="000000"/>
            </w:tcBorders>
          </w:tcPr>
          <w:p w14:paraId="5DF84010" w14:textId="0E57FBE7" w:rsidR="007049A5" w:rsidRPr="004E4188" w:rsidRDefault="007049A5" w:rsidP="005176C7">
            <w:pPr>
              <w:tabs>
                <w:tab w:val="right" w:pos="7434"/>
              </w:tabs>
              <w:spacing w:before="60" w:after="120"/>
              <w:rPr>
                <w:b/>
              </w:rPr>
            </w:pPr>
            <w:r w:rsidRPr="004E4188">
              <w:rPr>
                <w:b/>
              </w:rPr>
              <w:t>IS 28.1(i)</w:t>
            </w:r>
          </w:p>
        </w:tc>
        <w:tc>
          <w:tcPr>
            <w:tcW w:w="7680" w:type="dxa"/>
            <w:tcBorders>
              <w:top w:val="single" w:sz="8" w:space="0" w:color="000000"/>
            </w:tcBorders>
          </w:tcPr>
          <w:p w14:paraId="17BE98D5" w14:textId="77777777" w:rsidR="007049A5" w:rsidRPr="004E4188" w:rsidRDefault="007049A5" w:rsidP="005176C7">
            <w:pPr>
              <w:tabs>
                <w:tab w:val="right" w:pos="7254"/>
              </w:tabs>
              <w:spacing w:before="60" w:after="60"/>
            </w:pPr>
            <w:r w:rsidRPr="004E4188">
              <w:t>Le Soumissionnaire devra joindre à son offre de la deuxième étape les documents supplémentaires suivants :</w:t>
            </w:r>
          </w:p>
          <w:p w14:paraId="5BA90D42" w14:textId="1F1EAFFB" w:rsidR="007049A5" w:rsidRPr="004E4188" w:rsidRDefault="007049A5" w:rsidP="00D17389">
            <w:pPr>
              <w:pStyle w:val="i"/>
              <w:tabs>
                <w:tab w:val="right" w:pos="7254"/>
              </w:tabs>
              <w:suppressAutoHyphens w:val="0"/>
              <w:spacing w:after="120"/>
              <w:rPr>
                <w:szCs w:val="24"/>
                <w:lang w:val="fr-FR"/>
              </w:rPr>
            </w:pPr>
            <w:r w:rsidRPr="004E4188">
              <w:rPr>
                <w:lang w:val="fr-FR"/>
              </w:rPr>
              <w:t>[</w:t>
            </w:r>
            <w:r w:rsidRPr="004E4188">
              <w:rPr>
                <w:i/>
                <w:lang w:val="fr-FR"/>
              </w:rPr>
              <w:t>Donner la liste des documents supplémentaires à joindre à l’offre de la deuxième étape, qui ne sont pas déjà indiqués à IS 28.1.</w:t>
            </w:r>
            <w:r w:rsidRPr="004E4188">
              <w:rPr>
                <w:bCs/>
                <w:i/>
                <w:iCs/>
                <w:lang w:val="fr-FR"/>
              </w:rPr>
              <w:t xml:space="preserve"> S’il n’y a pas de document supplémentaire, indiquer « aucun »</w:t>
            </w:r>
            <w:r w:rsidRPr="004E4188">
              <w:rPr>
                <w:bCs/>
                <w:i/>
                <w:iCs/>
                <w:lang w:val="fr-FR" w:eastAsia="ja-JP"/>
              </w:rPr>
              <w:t>.</w:t>
            </w:r>
            <w:r w:rsidRPr="004E4188">
              <w:rPr>
                <w:lang w:val="fr-FR"/>
              </w:rPr>
              <w:t>]</w:t>
            </w:r>
          </w:p>
        </w:tc>
      </w:tr>
      <w:tr w:rsidR="007049A5" w:rsidRPr="004E4188" w:rsidDel="00BF684A" w14:paraId="60C564FB" w14:textId="77777777" w:rsidTr="006C6267">
        <w:tc>
          <w:tcPr>
            <w:tcW w:w="1320" w:type="dxa"/>
          </w:tcPr>
          <w:p w14:paraId="4BB16305" w14:textId="77777777" w:rsidR="007049A5" w:rsidRPr="004E4188" w:rsidDel="00BF684A" w:rsidRDefault="007049A5" w:rsidP="00B31E15">
            <w:pPr>
              <w:tabs>
                <w:tab w:val="right" w:pos="7434"/>
              </w:tabs>
              <w:spacing w:before="60" w:after="120"/>
              <w:rPr>
                <w:b/>
              </w:rPr>
            </w:pPr>
            <w:r w:rsidRPr="004E4188">
              <w:rPr>
                <w:b/>
              </w:rPr>
              <w:t>IS 30.2</w:t>
            </w:r>
          </w:p>
        </w:tc>
        <w:tc>
          <w:tcPr>
            <w:tcW w:w="7680" w:type="dxa"/>
          </w:tcPr>
          <w:p w14:paraId="6F30973F" w14:textId="77777777" w:rsidR="007049A5" w:rsidRPr="004E4188" w:rsidRDefault="007049A5" w:rsidP="00B31E15">
            <w:pPr>
              <w:tabs>
                <w:tab w:val="right" w:pos="7254"/>
              </w:tabs>
              <w:spacing w:before="60" w:afterLines="50" w:after="120"/>
            </w:pPr>
            <w:r w:rsidRPr="004E4188">
              <w:rPr>
                <w:bCs/>
                <w:iCs/>
              </w:rPr>
              <w:t>[</w:t>
            </w:r>
            <w:r w:rsidRPr="004E4188">
              <w:rPr>
                <w:bCs/>
                <w:i/>
                <w:iCs/>
              </w:rPr>
              <w:t>Choisir une des options suivantes, selon le cas.</w:t>
            </w:r>
            <w:r w:rsidRPr="004E4188">
              <w:t>]</w:t>
            </w:r>
          </w:p>
          <w:p w14:paraId="36274353" w14:textId="48410651" w:rsidR="007049A5" w:rsidRPr="004E4188" w:rsidRDefault="007049A5" w:rsidP="006C6267">
            <w:pPr>
              <w:tabs>
                <w:tab w:val="right" w:pos="7254"/>
              </w:tabs>
              <w:spacing w:afterLines="50" w:after="120"/>
              <w:rPr>
                <w:rFonts w:cs="HBKMBP+TimesNewRoman"/>
                <w:color w:val="000000"/>
                <w:szCs w:val="24"/>
              </w:rPr>
            </w:pPr>
            <w:r w:rsidRPr="004E4188">
              <w:t>Les Soumissionnaires doivent</w:t>
            </w:r>
            <w:r w:rsidRPr="004E4188">
              <w:rPr>
                <w:rFonts w:cs="HBKMBP+TimesNewRoman"/>
                <w:color w:val="000000"/>
                <w:szCs w:val="24"/>
              </w:rPr>
              <w:t xml:space="preserve"> chiffrer leur offre pour l’ensemble des </w:t>
            </w:r>
            <w:r w:rsidRPr="004E4188">
              <w:rPr>
                <w:szCs w:val="24"/>
              </w:rPr>
              <w:t>É</w:t>
            </w:r>
            <w:r w:rsidRPr="004E4188">
              <w:t>quipements et Services de montage</w:t>
            </w:r>
            <w:r w:rsidRPr="004E4188">
              <w:rPr>
                <w:rFonts w:cs="HBKMBP+TimesNewRoman"/>
                <w:color w:val="000000"/>
                <w:szCs w:val="24"/>
              </w:rPr>
              <w:t xml:space="preserve"> sur la base d’une «</w:t>
            </w:r>
            <w:r w:rsidR="005176C7" w:rsidRPr="004E4188">
              <w:rPr>
                <w:bCs/>
                <w:iCs/>
              </w:rPr>
              <w:t> </w:t>
            </w:r>
            <w:r w:rsidRPr="004E4188">
              <w:rPr>
                <w:rFonts w:cs="HBKMBP+TimesNewRoman"/>
                <w:color w:val="000000"/>
                <w:szCs w:val="24"/>
              </w:rPr>
              <w:t>responsabilité unique</w:t>
            </w:r>
            <w:r w:rsidR="005176C7" w:rsidRPr="004E4188">
              <w:rPr>
                <w:bCs/>
                <w:iCs/>
              </w:rPr>
              <w:t> </w:t>
            </w:r>
            <w:r w:rsidRPr="004E4188">
              <w:rPr>
                <w:rFonts w:cs="HBKMBP+TimesNewRoman"/>
                <w:color w:val="000000"/>
                <w:szCs w:val="24"/>
              </w:rPr>
              <w:t>».</w:t>
            </w:r>
          </w:p>
          <w:p w14:paraId="1B4E8F50" w14:textId="77777777" w:rsidR="007049A5" w:rsidRPr="004E4188" w:rsidRDefault="007049A5" w:rsidP="006C6267">
            <w:pPr>
              <w:tabs>
                <w:tab w:val="right" w:pos="7254"/>
              </w:tabs>
              <w:spacing w:afterLines="50" w:after="120"/>
            </w:pPr>
            <w:r w:rsidRPr="004E4188">
              <w:rPr>
                <w:bCs/>
                <w:iCs/>
              </w:rPr>
              <w:t>[</w:t>
            </w:r>
            <w:r w:rsidRPr="004E4188">
              <w:rPr>
                <w:bCs/>
                <w:i/>
                <w:iCs/>
              </w:rPr>
              <w:t>ou</w:t>
            </w:r>
            <w:r w:rsidRPr="004E4188">
              <w:t>]</w:t>
            </w:r>
          </w:p>
          <w:p w14:paraId="2FDCA078" w14:textId="624B1DCF" w:rsidR="007049A5" w:rsidRPr="004E4188" w:rsidRDefault="007049A5" w:rsidP="006C6267">
            <w:pPr>
              <w:tabs>
                <w:tab w:val="right" w:pos="7254"/>
              </w:tabs>
              <w:spacing w:afterLines="50" w:after="120"/>
            </w:pPr>
            <w:r w:rsidRPr="004E4188">
              <w:t xml:space="preserve">Les Soumissionnaires doivent chiffrer les éléments ou services suivants </w:t>
            </w:r>
            <w:r w:rsidRPr="004E4188">
              <w:rPr>
                <w:rFonts w:cs="HBKMBP+TimesNewRoman"/>
                <w:color w:val="000000"/>
                <w:szCs w:val="24"/>
              </w:rPr>
              <w:t>sur la base d’une «</w:t>
            </w:r>
            <w:r w:rsidR="005176C7" w:rsidRPr="004E4188">
              <w:rPr>
                <w:bCs/>
                <w:iCs/>
              </w:rPr>
              <w:t> </w:t>
            </w:r>
            <w:r w:rsidRPr="004E4188">
              <w:rPr>
                <w:rFonts w:cs="HBKMBP+TimesNewRoman"/>
                <w:color w:val="000000"/>
                <w:szCs w:val="24"/>
              </w:rPr>
              <w:t>responsabilité unique</w:t>
            </w:r>
            <w:r w:rsidR="005176C7" w:rsidRPr="004E4188">
              <w:rPr>
                <w:bCs/>
                <w:iCs/>
              </w:rPr>
              <w:t> </w:t>
            </w:r>
            <w:r w:rsidRPr="004E4188">
              <w:rPr>
                <w:rFonts w:cs="HBKMBP+TimesNewRoman"/>
                <w:color w:val="000000"/>
                <w:szCs w:val="24"/>
              </w:rPr>
              <w:t xml:space="preserve">» : </w:t>
            </w:r>
            <w:r w:rsidRPr="004E4188">
              <w:rPr>
                <w:bCs/>
                <w:iCs/>
              </w:rPr>
              <w:t>[</w:t>
            </w:r>
            <w:r w:rsidRPr="004E4188">
              <w:rPr>
                <w:bCs/>
                <w:i/>
                <w:iCs/>
              </w:rPr>
              <w:t>donner la liste des éléments ou services</w:t>
            </w:r>
            <w:r w:rsidRPr="004E4188">
              <w:t xml:space="preserve">] </w:t>
            </w:r>
          </w:p>
          <w:p w14:paraId="3E04DC1C" w14:textId="77777777" w:rsidR="007049A5" w:rsidRPr="004E4188" w:rsidRDefault="007049A5" w:rsidP="006C6267">
            <w:pPr>
              <w:tabs>
                <w:tab w:val="right" w:pos="7254"/>
              </w:tabs>
              <w:spacing w:afterLines="50" w:after="120"/>
            </w:pPr>
            <w:r w:rsidRPr="004E4188">
              <w:rPr>
                <w:bCs/>
                <w:iCs/>
              </w:rPr>
              <w:t>[</w:t>
            </w:r>
            <w:r w:rsidRPr="004E4188">
              <w:rPr>
                <w:bCs/>
                <w:i/>
                <w:iCs/>
              </w:rPr>
              <w:t>et/ou</w:t>
            </w:r>
            <w:r w:rsidRPr="004E4188">
              <w:t>]</w:t>
            </w:r>
          </w:p>
          <w:p w14:paraId="5B7CE0B5" w14:textId="77777777" w:rsidR="007049A5" w:rsidRPr="004E4188" w:rsidDel="00BF684A" w:rsidRDefault="007049A5" w:rsidP="006C6267">
            <w:pPr>
              <w:tabs>
                <w:tab w:val="right" w:pos="7254"/>
              </w:tabs>
              <w:spacing w:afterLines="50" w:after="120"/>
              <w:rPr>
                <w:szCs w:val="24"/>
              </w:rPr>
            </w:pPr>
            <w:r w:rsidRPr="004E4188">
              <w:rPr>
                <w:szCs w:val="24"/>
              </w:rPr>
              <w:t xml:space="preserve">Les éléments ou services suivants seront fournis sous la responsabilité du Maître d’ouvrage : </w:t>
            </w:r>
            <w:r w:rsidRPr="004E4188">
              <w:rPr>
                <w:bCs/>
                <w:iCs/>
              </w:rPr>
              <w:t>[</w:t>
            </w:r>
            <w:r w:rsidRPr="004E4188">
              <w:rPr>
                <w:bCs/>
                <w:i/>
                <w:iCs/>
              </w:rPr>
              <w:t>donner la liste des éléments ou services</w:t>
            </w:r>
            <w:r w:rsidRPr="004E4188">
              <w:t xml:space="preserve">] </w:t>
            </w:r>
          </w:p>
        </w:tc>
      </w:tr>
      <w:tr w:rsidR="007049A5" w:rsidRPr="004E4188" w:rsidDel="00BF684A" w14:paraId="377278A0" w14:textId="77777777" w:rsidTr="006C6267">
        <w:tc>
          <w:tcPr>
            <w:tcW w:w="1320" w:type="dxa"/>
          </w:tcPr>
          <w:p w14:paraId="49B6BC28" w14:textId="77777777" w:rsidR="007049A5" w:rsidRPr="004E4188" w:rsidDel="00BF684A" w:rsidRDefault="007049A5" w:rsidP="00576767">
            <w:pPr>
              <w:tabs>
                <w:tab w:val="right" w:pos="7434"/>
              </w:tabs>
              <w:spacing w:before="60" w:after="120"/>
              <w:jc w:val="left"/>
              <w:rPr>
                <w:b/>
              </w:rPr>
            </w:pPr>
            <w:r w:rsidRPr="004E4188">
              <w:rPr>
                <w:rFonts w:hint="eastAsia"/>
                <w:b/>
              </w:rPr>
              <w:t xml:space="preserve">IS </w:t>
            </w:r>
            <w:r w:rsidRPr="004E4188">
              <w:rPr>
                <w:b/>
              </w:rPr>
              <w:t>30</w:t>
            </w:r>
            <w:r w:rsidRPr="004E4188">
              <w:rPr>
                <w:rFonts w:hint="eastAsia"/>
                <w:b/>
              </w:rPr>
              <w:t xml:space="preserve">.3(a) </w:t>
            </w:r>
            <w:r w:rsidRPr="004E4188">
              <w:rPr>
                <w:b/>
              </w:rPr>
              <w:t>et (d)</w:t>
            </w:r>
          </w:p>
        </w:tc>
        <w:tc>
          <w:tcPr>
            <w:tcW w:w="7680" w:type="dxa"/>
          </w:tcPr>
          <w:p w14:paraId="025D2B1E" w14:textId="77777777" w:rsidR="007049A5" w:rsidRPr="004E4188" w:rsidRDefault="007049A5" w:rsidP="00B31E15">
            <w:pPr>
              <w:tabs>
                <w:tab w:val="right" w:pos="7254"/>
              </w:tabs>
              <w:spacing w:before="60" w:afterLines="50" w:after="120"/>
              <w:rPr>
                <w:szCs w:val="24"/>
                <w:lang w:eastAsia="ja-JP"/>
              </w:rPr>
            </w:pPr>
            <w:r w:rsidRPr="004E4188">
              <w:rPr>
                <w:rFonts w:hint="eastAsia"/>
                <w:szCs w:val="24"/>
              </w:rPr>
              <w:t>L</w:t>
            </w:r>
            <w:r w:rsidRPr="004E4188">
              <w:rPr>
                <w:szCs w:val="24"/>
              </w:rPr>
              <w:t>e l</w:t>
            </w:r>
            <w:r w:rsidRPr="004E4188">
              <w:rPr>
                <w:rFonts w:hint="eastAsia"/>
                <w:szCs w:val="24"/>
              </w:rPr>
              <w:t>ieu de destination</w:t>
            </w:r>
            <w:r w:rsidRPr="004E4188">
              <w:rPr>
                <w:szCs w:val="24"/>
              </w:rPr>
              <w:t xml:space="preserve"> est : </w:t>
            </w:r>
            <w:r w:rsidRPr="004E4188">
              <w:rPr>
                <w:rFonts w:hint="eastAsia"/>
                <w:szCs w:val="24"/>
                <w:lang w:eastAsia="ja-JP"/>
              </w:rPr>
              <w:t>[</w:t>
            </w:r>
            <w:r w:rsidRPr="004E4188">
              <w:rPr>
                <w:i/>
                <w:szCs w:val="24"/>
                <w:lang w:eastAsia="ja-JP"/>
              </w:rPr>
              <w:t>indiquer le lieu de destination convenu selon l’Incoterm utilisé</w:t>
            </w:r>
            <w:r w:rsidRPr="004E4188">
              <w:rPr>
                <w:szCs w:val="24"/>
                <w:lang w:eastAsia="ja-JP"/>
              </w:rPr>
              <w:t>]</w:t>
            </w:r>
          </w:p>
          <w:p w14:paraId="4B4BD68B" w14:textId="77777777" w:rsidR="007049A5" w:rsidRPr="004E4188" w:rsidDel="00BF684A" w:rsidRDefault="007049A5" w:rsidP="006C6267">
            <w:pPr>
              <w:tabs>
                <w:tab w:val="right" w:pos="7254"/>
              </w:tabs>
              <w:spacing w:afterLines="50" w:after="120"/>
              <w:rPr>
                <w:szCs w:val="24"/>
                <w:lang w:eastAsia="ja-JP"/>
              </w:rPr>
            </w:pPr>
            <w:r w:rsidRPr="004E4188">
              <w:rPr>
                <w:szCs w:val="24"/>
                <w:lang w:eastAsia="ja-JP"/>
              </w:rPr>
              <w:t>Le lieu de destination finale (site du projet) est : [</w:t>
            </w:r>
            <w:r w:rsidRPr="004E4188">
              <w:rPr>
                <w:i/>
                <w:szCs w:val="24"/>
                <w:lang w:eastAsia="ja-JP"/>
              </w:rPr>
              <w:t>indiquer la destination finale, si différente du lieu de destination convenu</w:t>
            </w:r>
            <w:r w:rsidRPr="004E4188">
              <w:rPr>
                <w:szCs w:val="24"/>
                <w:lang w:eastAsia="ja-JP"/>
              </w:rPr>
              <w:t>]</w:t>
            </w:r>
          </w:p>
        </w:tc>
      </w:tr>
      <w:tr w:rsidR="007049A5" w:rsidRPr="004E4188" w:rsidDel="00BF684A" w14:paraId="06B28BB7" w14:textId="77777777" w:rsidTr="006C6267">
        <w:tc>
          <w:tcPr>
            <w:tcW w:w="1320" w:type="dxa"/>
            <w:tcBorders>
              <w:top w:val="single" w:sz="6" w:space="0" w:color="000000"/>
              <w:left w:val="single" w:sz="12" w:space="0" w:color="000000"/>
              <w:bottom w:val="single" w:sz="6" w:space="0" w:color="000000"/>
              <w:right w:val="single" w:sz="6" w:space="0" w:color="000000"/>
            </w:tcBorders>
          </w:tcPr>
          <w:p w14:paraId="3D8A72B5" w14:textId="77777777" w:rsidR="007049A5" w:rsidRPr="004E4188" w:rsidDel="00BF684A" w:rsidRDefault="007049A5" w:rsidP="005176C7">
            <w:pPr>
              <w:tabs>
                <w:tab w:val="right" w:pos="7434"/>
              </w:tabs>
              <w:spacing w:before="60" w:after="120"/>
              <w:rPr>
                <w:b/>
              </w:rPr>
            </w:pPr>
            <w:r w:rsidRPr="004E4188">
              <w:rPr>
                <w:b/>
              </w:rPr>
              <w:t>IS 30.7</w:t>
            </w:r>
          </w:p>
        </w:tc>
        <w:tc>
          <w:tcPr>
            <w:tcW w:w="7680" w:type="dxa"/>
            <w:tcBorders>
              <w:top w:val="single" w:sz="6" w:space="0" w:color="000000"/>
              <w:left w:val="single" w:sz="6" w:space="0" w:color="000000"/>
              <w:bottom w:val="single" w:sz="6" w:space="0" w:color="000000"/>
              <w:right w:val="single" w:sz="12" w:space="0" w:color="000000"/>
            </w:tcBorders>
          </w:tcPr>
          <w:p w14:paraId="035F68C4" w14:textId="1EEE0BA7" w:rsidR="007049A5" w:rsidRPr="004E4188" w:rsidRDefault="007049A5" w:rsidP="006C6267">
            <w:pPr>
              <w:tabs>
                <w:tab w:val="right" w:pos="7254"/>
              </w:tabs>
              <w:spacing w:before="60" w:after="60"/>
              <w:rPr>
                <w:szCs w:val="24"/>
              </w:rPr>
            </w:pPr>
            <w:r w:rsidRPr="004E4188">
              <w:rPr>
                <w:szCs w:val="24"/>
              </w:rPr>
              <w:t xml:space="preserve">Les prix indiqués par le Soumissionnaire </w:t>
            </w:r>
            <w:r w:rsidR="00116DC8" w:rsidRPr="004E4188">
              <w:rPr>
                <w:szCs w:val="24"/>
              </w:rPr>
              <w:t xml:space="preserve">seront </w:t>
            </w:r>
            <w:r w:rsidRPr="004E4188">
              <w:rPr>
                <w:szCs w:val="24"/>
              </w:rPr>
              <w:t>[</w:t>
            </w:r>
            <w:r w:rsidRPr="004E4188">
              <w:rPr>
                <w:i/>
                <w:szCs w:val="24"/>
              </w:rPr>
              <w:t>choisir « révisables</w:t>
            </w:r>
            <w:r w:rsidR="00685696" w:rsidRPr="004E4188">
              <w:rPr>
                <w:i/>
                <w:szCs w:val="24"/>
              </w:rPr>
              <w:t> </w:t>
            </w:r>
            <w:r w:rsidRPr="004E4188">
              <w:rPr>
                <w:i/>
                <w:szCs w:val="24"/>
              </w:rPr>
              <w:t>» ou « fermes. Par conséquent, le Soumissionnaire n’a pas à fournir les indices et pondérations de révision des prix dans le Bordereau des données de révision des prix », selon le cas</w:t>
            </w:r>
            <w:r w:rsidRPr="004E4188">
              <w:rPr>
                <w:szCs w:val="24"/>
              </w:rPr>
              <w:t>].</w:t>
            </w:r>
          </w:p>
          <w:p w14:paraId="7E42E6F7" w14:textId="77777777" w:rsidR="007049A5" w:rsidRPr="004E4188" w:rsidRDefault="007049A5" w:rsidP="006C6267">
            <w:pPr>
              <w:tabs>
                <w:tab w:val="right" w:pos="7254"/>
              </w:tabs>
              <w:spacing w:afterLines="50" w:after="120"/>
              <w:rPr>
                <w:szCs w:val="24"/>
              </w:rPr>
            </w:pPr>
          </w:p>
          <w:p w14:paraId="67A381AC" w14:textId="77777777" w:rsidR="007049A5" w:rsidRPr="004E4188" w:rsidDel="00BF684A" w:rsidRDefault="007049A5" w:rsidP="006C6267">
            <w:pPr>
              <w:tabs>
                <w:tab w:val="right" w:pos="7254"/>
              </w:tabs>
              <w:spacing w:afterLines="50" w:after="120"/>
              <w:rPr>
                <w:szCs w:val="24"/>
              </w:rPr>
            </w:pPr>
            <w:r w:rsidRPr="004E4188">
              <w:rPr>
                <w:szCs w:val="24"/>
              </w:rPr>
              <w:t>[</w:t>
            </w:r>
            <w:r w:rsidRPr="004E4188">
              <w:rPr>
                <w:i/>
                <w:szCs w:val="24"/>
              </w:rPr>
              <w:t>La</w:t>
            </w:r>
            <w:r w:rsidRPr="004E4188">
              <w:rPr>
                <w:rFonts w:hint="eastAsia"/>
                <w:i/>
                <w:szCs w:val="24"/>
              </w:rPr>
              <w:t xml:space="preserve"> </w:t>
            </w:r>
            <w:r w:rsidRPr="004E4188">
              <w:rPr>
                <w:i/>
                <w:szCs w:val="24"/>
              </w:rPr>
              <w:t>révision des prix est recommandée pour les marchés dont la durée est supérieure à 18 mois ou lorsqu’il est prévu que l’inflation locale ou internationale sera importante</w:t>
            </w:r>
            <w:r w:rsidRPr="004E4188">
              <w:rPr>
                <w:szCs w:val="24"/>
              </w:rPr>
              <w:t>.]</w:t>
            </w:r>
          </w:p>
        </w:tc>
      </w:tr>
      <w:tr w:rsidR="007049A5" w:rsidRPr="004E4188" w:rsidDel="00BF684A" w14:paraId="033C16D5" w14:textId="77777777" w:rsidTr="006C6267">
        <w:tc>
          <w:tcPr>
            <w:tcW w:w="1320" w:type="dxa"/>
            <w:tcBorders>
              <w:top w:val="single" w:sz="6" w:space="0" w:color="000000"/>
              <w:left w:val="single" w:sz="12" w:space="0" w:color="000000"/>
              <w:bottom w:val="single" w:sz="6" w:space="0" w:color="000000"/>
              <w:right w:val="single" w:sz="6" w:space="0" w:color="000000"/>
            </w:tcBorders>
          </w:tcPr>
          <w:p w14:paraId="0AA691FF" w14:textId="77777777" w:rsidR="007049A5" w:rsidRPr="004E4188" w:rsidDel="00BF684A" w:rsidRDefault="007049A5" w:rsidP="005176C7">
            <w:pPr>
              <w:tabs>
                <w:tab w:val="right" w:pos="7434"/>
              </w:tabs>
              <w:spacing w:before="60" w:after="120"/>
              <w:rPr>
                <w:b/>
              </w:rPr>
            </w:pPr>
            <w:r w:rsidRPr="004E4188">
              <w:rPr>
                <w:b/>
              </w:rPr>
              <w:t>IS 30.9</w:t>
            </w:r>
          </w:p>
        </w:tc>
        <w:tc>
          <w:tcPr>
            <w:tcW w:w="7680" w:type="dxa"/>
            <w:tcBorders>
              <w:top w:val="single" w:sz="6" w:space="0" w:color="000000"/>
              <w:left w:val="single" w:sz="6" w:space="0" w:color="000000"/>
              <w:bottom w:val="single" w:sz="6" w:space="0" w:color="000000"/>
              <w:right w:val="single" w:sz="12" w:space="0" w:color="000000"/>
            </w:tcBorders>
          </w:tcPr>
          <w:p w14:paraId="333BA50D" w14:textId="2D41BB9E" w:rsidR="007049A5" w:rsidRPr="004E4188" w:rsidRDefault="007049A5" w:rsidP="00685696">
            <w:pPr>
              <w:tabs>
                <w:tab w:val="right" w:pos="7254"/>
              </w:tabs>
              <w:spacing w:before="60"/>
              <w:rPr>
                <w:szCs w:val="24"/>
              </w:rPr>
            </w:pPr>
            <w:r w:rsidRPr="004E4188">
              <w:rPr>
                <w:szCs w:val="24"/>
              </w:rPr>
              <w:t>[</w:t>
            </w:r>
            <w:r w:rsidRPr="004E4188">
              <w:rPr>
                <w:i/>
                <w:szCs w:val="24"/>
              </w:rPr>
              <w:t xml:space="preserve">Cet </w:t>
            </w:r>
            <w:r w:rsidR="008E04A0" w:rsidRPr="004E4188">
              <w:rPr>
                <w:i/>
                <w:szCs w:val="24"/>
              </w:rPr>
              <w:t>A</w:t>
            </w:r>
            <w:r w:rsidRPr="004E4188">
              <w:rPr>
                <w:i/>
                <w:szCs w:val="24"/>
              </w:rPr>
              <w:t>rticle 30.9 des IS sera conforme à l’Article 14.1 des Conditions du Marché</w:t>
            </w:r>
            <w:r w:rsidRPr="004E4188">
              <w:rPr>
                <w:szCs w:val="24"/>
              </w:rPr>
              <w:t xml:space="preserve">.] </w:t>
            </w:r>
          </w:p>
          <w:p w14:paraId="1237AD28" w14:textId="77777777" w:rsidR="007049A5" w:rsidRPr="004E4188" w:rsidRDefault="007049A5" w:rsidP="005176C7">
            <w:pPr>
              <w:tabs>
                <w:tab w:val="right" w:pos="7254"/>
              </w:tabs>
              <w:rPr>
                <w:szCs w:val="24"/>
              </w:rPr>
            </w:pPr>
          </w:p>
          <w:p w14:paraId="7CFA8B4E" w14:textId="77777777" w:rsidR="007049A5" w:rsidRPr="004E4188" w:rsidRDefault="007049A5" w:rsidP="00685696">
            <w:pPr>
              <w:tabs>
                <w:tab w:val="right" w:pos="7254"/>
              </w:tabs>
              <w:spacing w:after="60"/>
              <w:rPr>
                <w:szCs w:val="24"/>
              </w:rPr>
            </w:pPr>
            <w:r w:rsidRPr="004E4188">
              <w:rPr>
                <w:szCs w:val="24"/>
              </w:rPr>
              <w:t>Conformément à l’Article 14.2 des Conditions du Marché, les Équipements indiqués au Bordereau des prix n</w:t>
            </w:r>
            <w:r w:rsidRPr="004E4188">
              <w:rPr>
                <w:noProof/>
                <w:vertAlign w:val="superscript"/>
              </w:rPr>
              <w:t>o</w:t>
            </w:r>
            <w:r w:rsidRPr="004E4188">
              <w:rPr>
                <w:szCs w:val="24"/>
              </w:rPr>
              <w:t xml:space="preserve"> 1</w:t>
            </w:r>
            <w:r w:rsidRPr="004E4188">
              <w:rPr>
                <w:rFonts w:hint="eastAsia"/>
                <w:szCs w:val="24"/>
              </w:rPr>
              <w:t>,</w:t>
            </w:r>
            <w:r w:rsidRPr="004E4188">
              <w:rPr>
                <w:szCs w:val="24"/>
              </w:rPr>
              <w:t xml:space="preserve"> doivent être exemptés du paiement de tout droit et taxe d’importation.</w:t>
            </w:r>
          </w:p>
          <w:p w14:paraId="32BF1CE2" w14:textId="77777777" w:rsidR="007049A5" w:rsidRPr="004E4188" w:rsidRDefault="007049A5" w:rsidP="006C6267">
            <w:pPr>
              <w:tabs>
                <w:tab w:val="right" w:pos="7254"/>
              </w:tabs>
              <w:spacing w:afterLines="50" w:after="120"/>
              <w:rPr>
                <w:szCs w:val="24"/>
              </w:rPr>
            </w:pPr>
          </w:p>
          <w:p w14:paraId="68C3D328" w14:textId="77777777" w:rsidR="007049A5" w:rsidRPr="004E4188" w:rsidRDefault="007049A5" w:rsidP="006C6267">
            <w:pPr>
              <w:tabs>
                <w:tab w:val="right" w:pos="7254"/>
              </w:tabs>
              <w:spacing w:before="60" w:after="60"/>
              <w:rPr>
                <w:szCs w:val="24"/>
              </w:rPr>
            </w:pPr>
            <w:r w:rsidRPr="004E4188">
              <w:rPr>
                <w:szCs w:val="24"/>
              </w:rPr>
              <w:t>[</w:t>
            </w:r>
            <w:r w:rsidRPr="004E4188">
              <w:rPr>
                <w:i/>
                <w:szCs w:val="24"/>
              </w:rPr>
              <w:t>Le Maître d’ouvrage spécifiera les listes visées aux (a) et/ou (b) ci-dessous, le cas échéant et de façon complète, en indiquant clairement les droits, taxes, et prélèvements exemptés et les catégories d’exemptions correspondantes, conformément à l’</w:t>
            </w:r>
            <w:r w:rsidRPr="004E4188">
              <w:rPr>
                <w:rFonts w:hint="eastAsia"/>
                <w:i/>
                <w:szCs w:val="24"/>
              </w:rPr>
              <w:t>É</w:t>
            </w:r>
            <w:r w:rsidRPr="004E4188">
              <w:rPr>
                <w:i/>
                <w:szCs w:val="24"/>
              </w:rPr>
              <w:t>change de Notes entre les gouvernements du Pays Hôte et du Japon et en vertu de la législation du Pays Hôte. Sinon, supprimer la totalité de ce qui suit dans cet Article</w:t>
            </w:r>
            <w:r w:rsidRPr="004E4188">
              <w:rPr>
                <w:szCs w:val="24"/>
              </w:rPr>
              <w:t>.]</w:t>
            </w:r>
          </w:p>
          <w:p w14:paraId="3B888331" w14:textId="77777777" w:rsidR="007049A5" w:rsidRPr="004E4188" w:rsidRDefault="007049A5" w:rsidP="006C6267">
            <w:pPr>
              <w:tabs>
                <w:tab w:val="right" w:pos="7254"/>
              </w:tabs>
              <w:spacing w:afterLines="50" w:after="120"/>
              <w:rPr>
                <w:szCs w:val="24"/>
              </w:rPr>
            </w:pPr>
          </w:p>
          <w:p w14:paraId="7F1DCA96" w14:textId="77777777" w:rsidR="007049A5" w:rsidRPr="004E4188" w:rsidRDefault="007049A5" w:rsidP="006C6267">
            <w:pPr>
              <w:tabs>
                <w:tab w:val="right" w:pos="7254"/>
              </w:tabs>
              <w:spacing w:afterLines="50" w:after="120"/>
              <w:rPr>
                <w:szCs w:val="24"/>
              </w:rPr>
            </w:pPr>
            <w:r w:rsidRPr="004E4188">
              <w:rPr>
                <w:szCs w:val="24"/>
              </w:rPr>
              <w:t>Les dispositions suivantes seront applicables pour les obligations de l’Entrepreneur vis-à-vis des droits, taxes, et prélèvements :</w:t>
            </w:r>
          </w:p>
          <w:p w14:paraId="34F1C9E3" w14:textId="77777777" w:rsidR="007049A5" w:rsidRPr="004E4188" w:rsidRDefault="007049A5" w:rsidP="003D46CF">
            <w:pPr>
              <w:pStyle w:val="a6"/>
              <w:numPr>
                <w:ilvl w:val="0"/>
                <w:numId w:val="28"/>
              </w:numPr>
              <w:tabs>
                <w:tab w:val="left" w:pos="397"/>
                <w:tab w:val="right" w:pos="7848"/>
              </w:tabs>
              <w:overflowPunct/>
              <w:autoSpaceDE/>
              <w:autoSpaceDN/>
              <w:adjustRightInd/>
              <w:spacing w:before="60" w:after="60"/>
              <w:textAlignment w:val="auto"/>
              <w:rPr>
                <w:szCs w:val="24"/>
              </w:rPr>
            </w:pPr>
            <w:r w:rsidRPr="004E4188">
              <w:rPr>
                <w:szCs w:val="24"/>
              </w:rPr>
              <w:t>les droits, taxes, et prélèvements pour lesquels l’Entrepreneur est exonéré sont indiqués dans le tableau ci-dessous.</w:t>
            </w:r>
          </w:p>
          <w:p w14:paraId="3ADAEACC" w14:textId="77777777" w:rsidR="007049A5" w:rsidRPr="004E4188" w:rsidRDefault="007049A5" w:rsidP="006C6267">
            <w:pPr>
              <w:pStyle w:val="a6"/>
              <w:tabs>
                <w:tab w:val="left" w:pos="397"/>
                <w:tab w:val="right" w:pos="7848"/>
              </w:tabs>
              <w:spacing w:before="60" w:after="60"/>
              <w:ind w:left="400"/>
              <w:rPr>
                <w:szCs w:val="24"/>
              </w:rPr>
            </w:pPr>
            <w:r w:rsidRPr="004E4188">
              <w:rPr>
                <w:szCs w:val="24"/>
              </w:rPr>
              <w:t>Ces exemptions sont réparties en deux catégories, à savoir :</w:t>
            </w:r>
          </w:p>
          <w:p w14:paraId="7B6E6C12" w14:textId="2C30AAD4" w:rsidR="007049A5" w:rsidRPr="004E4188" w:rsidRDefault="007049A5" w:rsidP="006C6267">
            <w:pPr>
              <w:pStyle w:val="a6"/>
              <w:tabs>
                <w:tab w:val="left" w:pos="397"/>
                <w:tab w:val="right" w:pos="7848"/>
              </w:tabs>
              <w:spacing w:before="60" w:after="60"/>
              <w:ind w:left="794" w:hanging="397"/>
              <w:rPr>
                <w:szCs w:val="24"/>
              </w:rPr>
            </w:pPr>
            <w:r w:rsidRPr="004E4188">
              <w:rPr>
                <w:szCs w:val="24"/>
              </w:rPr>
              <w:t>(i)</w:t>
            </w:r>
            <w:r w:rsidRPr="004E4188">
              <w:rPr>
                <w:szCs w:val="24"/>
              </w:rPr>
              <w:tab/>
              <w:t>Catégorie « Sans paiement » : l’Entrepreneur sera autorisé à être exonéré du paiement des droits, taxes et prélèvements relevant de cette catégorie, étant précisé qu’aucun paiement découlant de ou en relation avec de telles exonérations ne pourra être exigé ; ou</w:t>
            </w:r>
          </w:p>
          <w:p w14:paraId="4921F07A" w14:textId="71F5C505" w:rsidR="007049A5" w:rsidRPr="004E4188" w:rsidRDefault="007049A5" w:rsidP="006C6267">
            <w:pPr>
              <w:pStyle w:val="a6"/>
              <w:spacing w:after="240"/>
              <w:ind w:left="794" w:hanging="397"/>
              <w:rPr>
                <w:szCs w:val="24"/>
              </w:rPr>
            </w:pPr>
            <w:r w:rsidRPr="004E4188">
              <w:rPr>
                <w:szCs w:val="24"/>
              </w:rPr>
              <w:t>(ii)</w:t>
            </w:r>
            <w:r w:rsidR="005176C7" w:rsidRPr="004E4188">
              <w:rPr>
                <w:szCs w:val="24"/>
              </w:rPr>
              <w:tab/>
            </w:r>
            <w:r w:rsidRPr="004E4188">
              <w:rPr>
                <w:szCs w:val="24"/>
              </w:rPr>
              <w:t xml:space="preserve">Catégorie « Avec paiement &amp; </w:t>
            </w:r>
            <w:r w:rsidR="00704607" w:rsidRPr="004E4188">
              <w:rPr>
                <w:rFonts w:hint="eastAsia"/>
                <w:szCs w:val="24"/>
                <w:lang w:eastAsia="ja-JP"/>
              </w:rPr>
              <w:t>r</w:t>
            </w:r>
            <w:r w:rsidRPr="004E4188">
              <w:rPr>
                <w:szCs w:val="24"/>
              </w:rPr>
              <w:t>emboursement » : l’Entrepreneur sera autorisé à être exonéré des droits, taxes et prélèvements relevant de cette catégorie, à condition qu’il effectue d’abord tous les paiements découlant de ou liés à de telles responsabilités, et demande ensuite leur remboursement par l’autorité compétente, en suivant la procédure prescrite par cette autorité.</w:t>
            </w:r>
          </w:p>
          <w:tbl>
            <w:tblPr>
              <w:tblW w:w="6823"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135"/>
              <w:gridCol w:w="4025"/>
            </w:tblGrid>
            <w:tr w:rsidR="007049A5" w:rsidRPr="004E4188" w14:paraId="37CA487C" w14:textId="77777777" w:rsidTr="006C6267">
              <w:tc>
                <w:tcPr>
                  <w:tcW w:w="663" w:type="dxa"/>
                  <w:shd w:val="clear" w:color="auto" w:fill="auto"/>
                </w:tcPr>
                <w:p w14:paraId="36134426" w14:textId="77777777" w:rsidR="007049A5" w:rsidRPr="004E4188" w:rsidRDefault="007049A5" w:rsidP="006C6267">
                  <w:pPr>
                    <w:jc w:val="center"/>
                    <w:rPr>
                      <w:szCs w:val="24"/>
                      <w:lang w:bidi="ta-IN"/>
                    </w:rPr>
                  </w:pPr>
                  <w:r w:rsidRPr="004E4188">
                    <w:rPr>
                      <w:szCs w:val="24"/>
                    </w:rPr>
                    <w:t>n</w:t>
                  </w:r>
                  <w:r w:rsidRPr="004E4188">
                    <w:rPr>
                      <w:rFonts w:hint="eastAsia"/>
                      <w:szCs w:val="24"/>
                      <w:vertAlign w:val="superscript"/>
                    </w:rPr>
                    <w:t>o</w:t>
                  </w:r>
                </w:p>
              </w:tc>
              <w:tc>
                <w:tcPr>
                  <w:tcW w:w="2135" w:type="dxa"/>
                  <w:shd w:val="clear" w:color="auto" w:fill="auto"/>
                </w:tcPr>
                <w:p w14:paraId="1C2A38C1" w14:textId="77777777" w:rsidR="007049A5" w:rsidRPr="004E4188" w:rsidRDefault="007049A5" w:rsidP="006C6267">
                  <w:pPr>
                    <w:jc w:val="center"/>
                    <w:rPr>
                      <w:szCs w:val="24"/>
                      <w:lang w:bidi="ta-IN"/>
                    </w:rPr>
                  </w:pPr>
                  <w:r w:rsidRPr="004E4188">
                    <w:rPr>
                      <w:szCs w:val="24"/>
                    </w:rPr>
                    <w:t>Droits, taxes et prélèvements</w:t>
                  </w:r>
                </w:p>
              </w:tc>
              <w:tc>
                <w:tcPr>
                  <w:tcW w:w="4025" w:type="dxa"/>
                  <w:shd w:val="clear" w:color="auto" w:fill="auto"/>
                </w:tcPr>
                <w:p w14:paraId="1ACFFA84" w14:textId="77777777" w:rsidR="007049A5" w:rsidRPr="004E4188" w:rsidRDefault="007049A5" w:rsidP="006C6267">
                  <w:pPr>
                    <w:jc w:val="center"/>
                    <w:rPr>
                      <w:szCs w:val="24"/>
                      <w:lang w:bidi="ta-IN"/>
                    </w:rPr>
                  </w:pPr>
                  <w:r w:rsidRPr="004E4188">
                    <w:rPr>
                      <w:iCs/>
                      <w:szCs w:val="24"/>
                      <w:lang w:bidi="ta-IN"/>
                    </w:rPr>
                    <w:t>Catégories d’exemptions</w:t>
                  </w:r>
                </w:p>
              </w:tc>
            </w:tr>
            <w:tr w:rsidR="007049A5" w:rsidRPr="004E4188" w14:paraId="10ED414D" w14:textId="77777777" w:rsidTr="006C6267">
              <w:tc>
                <w:tcPr>
                  <w:tcW w:w="663" w:type="dxa"/>
                  <w:shd w:val="clear" w:color="auto" w:fill="auto"/>
                </w:tcPr>
                <w:p w14:paraId="664B8F2B" w14:textId="77777777" w:rsidR="007049A5" w:rsidRPr="004E4188" w:rsidRDefault="007049A5" w:rsidP="006C6267">
                  <w:pPr>
                    <w:jc w:val="center"/>
                    <w:rPr>
                      <w:lang w:bidi="ta-IN"/>
                    </w:rPr>
                  </w:pPr>
                  <w:r w:rsidRPr="004E4188">
                    <w:rPr>
                      <w:lang w:bidi="ta-IN"/>
                    </w:rPr>
                    <w:t>1</w:t>
                  </w:r>
                </w:p>
              </w:tc>
              <w:tc>
                <w:tcPr>
                  <w:tcW w:w="2135" w:type="dxa"/>
                  <w:shd w:val="clear" w:color="auto" w:fill="auto"/>
                </w:tcPr>
                <w:p w14:paraId="7BC04174" w14:textId="77777777" w:rsidR="007049A5" w:rsidRPr="004E4188" w:rsidRDefault="007049A5" w:rsidP="006C6267">
                  <w:pPr>
                    <w:jc w:val="left"/>
                    <w:rPr>
                      <w:i/>
                      <w:lang w:bidi="ta-IN"/>
                    </w:rPr>
                  </w:pPr>
                  <w:r w:rsidRPr="004E4188">
                    <w:rPr>
                      <w:lang w:bidi="ta-IN"/>
                    </w:rPr>
                    <w:t>[</w:t>
                  </w:r>
                  <w:r w:rsidRPr="004E4188">
                    <w:rPr>
                      <w:i/>
                      <w:lang w:bidi="ta-IN"/>
                    </w:rPr>
                    <w:t>i</w:t>
                  </w:r>
                  <w:r w:rsidRPr="004E4188">
                    <w:rPr>
                      <w:i/>
                      <w:szCs w:val="24"/>
                    </w:rPr>
                    <w:t>ndiquer les droits, taxes et prélèvements</w:t>
                  </w:r>
                  <w:r w:rsidRPr="004E4188">
                    <w:rPr>
                      <w:iCs/>
                      <w:szCs w:val="24"/>
                      <w:lang w:bidi="ta-IN"/>
                    </w:rPr>
                    <w:t>]</w:t>
                  </w:r>
                </w:p>
              </w:tc>
              <w:tc>
                <w:tcPr>
                  <w:tcW w:w="4025" w:type="dxa"/>
                  <w:shd w:val="clear" w:color="auto" w:fill="auto"/>
                </w:tcPr>
                <w:p w14:paraId="199C015E" w14:textId="5D182B0D" w:rsidR="007049A5" w:rsidRPr="004E4188" w:rsidRDefault="007049A5" w:rsidP="006C6267">
                  <w:pPr>
                    <w:jc w:val="left"/>
                    <w:rPr>
                      <w:i/>
                      <w:lang w:bidi="ta-IN"/>
                    </w:rPr>
                  </w:pPr>
                  <w:r w:rsidRPr="004E4188">
                    <w:rPr>
                      <w:lang w:bidi="ta-IN"/>
                    </w:rPr>
                    <w:t>[</w:t>
                  </w:r>
                  <w:r w:rsidRPr="004E4188">
                    <w:rPr>
                      <w:i/>
                      <w:szCs w:val="24"/>
                      <w:lang w:bidi="ta-IN"/>
                    </w:rPr>
                    <w:t xml:space="preserve">indiquer « Sans paiement » ou « Avec </w:t>
                  </w:r>
                  <w:r w:rsidR="00704607" w:rsidRPr="004E4188">
                    <w:rPr>
                      <w:i/>
                      <w:szCs w:val="24"/>
                      <w:lang w:bidi="ta-IN"/>
                    </w:rPr>
                    <w:t>p</w:t>
                  </w:r>
                  <w:r w:rsidRPr="004E4188">
                    <w:rPr>
                      <w:i/>
                      <w:szCs w:val="24"/>
                      <w:lang w:bidi="ta-IN"/>
                    </w:rPr>
                    <w:t xml:space="preserve">aiement &amp; </w:t>
                  </w:r>
                  <w:r w:rsidR="00704607" w:rsidRPr="004E4188">
                    <w:rPr>
                      <w:i/>
                      <w:szCs w:val="24"/>
                      <w:lang w:bidi="ta-IN"/>
                    </w:rPr>
                    <w:t>r</w:t>
                  </w:r>
                  <w:r w:rsidRPr="004E4188">
                    <w:rPr>
                      <w:i/>
                      <w:szCs w:val="24"/>
                      <w:lang w:bidi="ta-IN"/>
                    </w:rPr>
                    <w:t>emboursement »</w:t>
                  </w:r>
                  <w:r w:rsidRPr="004E4188">
                    <w:rPr>
                      <w:lang w:bidi="ta-IN"/>
                    </w:rPr>
                    <w:t>]</w:t>
                  </w:r>
                </w:p>
              </w:tc>
            </w:tr>
            <w:tr w:rsidR="007049A5" w:rsidRPr="004E4188" w14:paraId="3829968F" w14:textId="77777777" w:rsidTr="006C6267">
              <w:tc>
                <w:tcPr>
                  <w:tcW w:w="663" w:type="dxa"/>
                  <w:shd w:val="clear" w:color="auto" w:fill="auto"/>
                </w:tcPr>
                <w:p w14:paraId="78EEEBC1" w14:textId="77777777" w:rsidR="007049A5" w:rsidRPr="004E4188" w:rsidRDefault="007049A5" w:rsidP="006C6267">
                  <w:pPr>
                    <w:jc w:val="center"/>
                    <w:rPr>
                      <w:lang w:bidi="ta-IN"/>
                    </w:rPr>
                  </w:pPr>
                  <w:r w:rsidRPr="004E4188">
                    <w:rPr>
                      <w:lang w:bidi="ta-IN"/>
                    </w:rPr>
                    <w:t>2</w:t>
                  </w:r>
                </w:p>
              </w:tc>
              <w:tc>
                <w:tcPr>
                  <w:tcW w:w="2135" w:type="dxa"/>
                  <w:shd w:val="clear" w:color="auto" w:fill="auto"/>
                </w:tcPr>
                <w:p w14:paraId="00D74194" w14:textId="77777777" w:rsidR="007049A5" w:rsidRPr="004E4188" w:rsidRDefault="007049A5" w:rsidP="006C6267">
                  <w:pPr>
                    <w:jc w:val="left"/>
                    <w:rPr>
                      <w:i/>
                      <w:lang w:bidi="ta-IN"/>
                    </w:rPr>
                  </w:pPr>
                  <w:r w:rsidRPr="004E4188">
                    <w:rPr>
                      <w:lang w:bidi="ta-IN"/>
                    </w:rPr>
                    <w:t>[</w:t>
                  </w:r>
                  <w:r w:rsidRPr="004E4188">
                    <w:rPr>
                      <w:i/>
                      <w:lang w:bidi="ta-IN"/>
                    </w:rPr>
                    <w:t>i</w:t>
                  </w:r>
                  <w:r w:rsidRPr="004E4188">
                    <w:rPr>
                      <w:i/>
                      <w:szCs w:val="24"/>
                    </w:rPr>
                    <w:t>ndiquer les droits, taxes et prélèvements</w:t>
                  </w:r>
                  <w:r w:rsidRPr="004E4188">
                    <w:rPr>
                      <w:iCs/>
                      <w:szCs w:val="24"/>
                      <w:lang w:bidi="ta-IN"/>
                    </w:rPr>
                    <w:t>]</w:t>
                  </w:r>
                </w:p>
              </w:tc>
              <w:tc>
                <w:tcPr>
                  <w:tcW w:w="4025" w:type="dxa"/>
                  <w:shd w:val="clear" w:color="auto" w:fill="auto"/>
                </w:tcPr>
                <w:p w14:paraId="5CFB84FC" w14:textId="273B3CB6" w:rsidR="007049A5" w:rsidRPr="004E4188" w:rsidRDefault="007049A5" w:rsidP="006C6267">
                  <w:pPr>
                    <w:jc w:val="left"/>
                    <w:rPr>
                      <w:i/>
                      <w:lang w:bidi="ta-IN"/>
                    </w:rPr>
                  </w:pPr>
                  <w:r w:rsidRPr="004E4188">
                    <w:rPr>
                      <w:lang w:bidi="ta-IN"/>
                    </w:rPr>
                    <w:t>[</w:t>
                  </w:r>
                  <w:r w:rsidRPr="004E4188">
                    <w:rPr>
                      <w:i/>
                      <w:szCs w:val="24"/>
                      <w:lang w:bidi="ta-IN"/>
                    </w:rPr>
                    <w:t xml:space="preserve">indiquer « Sans paiement » ou « Avec </w:t>
                  </w:r>
                  <w:r w:rsidR="00704607" w:rsidRPr="004E4188">
                    <w:rPr>
                      <w:i/>
                      <w:szCs w:val="24"/>
                      <w:lang w:bidi="ta-IN"/>
                    </w:rPr>
                    <w:t>p</w:t>
                  </w:r>
                  <w:r w:rsidRPr="004E4188">
                    <w:rPr>
                      <w:i/>
                      <w:szCs w:val="24"/>
                      <w:lang w:bidi="ta-IN"/>
                    </w:rPr>
                    <w:t xml:space="preserve">aiement &amp; </w:t>
                  </w:r>
                  <w:r w:rsidR="00704607" w:rsidRPr="004E4188">
                    <w:rPr>
                      <w:i/>
                      <w:szCs w:val="24"/>
                      <w:lang w:bidi="ta-IN"/>
                    </w:rPr>
                    <w:t>r</w:t>
                  </w:r>
                  <w:r w:rsidRPr="004E4188">
                    <w:rPr>
                      <w:i/>
                      <w:szCs w:val="24"/>
                      <w:lang w:bidi="ta-IN"/>
                    </w:rPr>
                    <w:t>emboursement »</w:t>
                  </w:r>
                  <w:r w:rsidRPr="004E4188">
                    <w:rPr>
                      <w:lang w:bidi="ta-IN"/>
                    </w:rPr>
                    <w:t>]</w:t>
                  </w:r>
                </w:p>
              </w:tc>
            </w:tr>
            <w:tr w:rsidR="007049A5" w:rsidRPr="004E4188" w14:paraId="1B98D102" w14:textId="77777777" w:rsidTr="006C6267">
              <w:tc>
                <w:tcPr>
                  <w:tcW w:w="663" w:type="dxa"/>
                  <w:shd w:val="clear" w:color="auto" w:fill="auto"/>
                </w:tcPr>
                <w:p w14:paraId="2E81B72E" w14:textId="77777777" w:rsidR="007049A5" w:rsidRPr="004E4188" w:rsidRDefault="007049A5" w:rsidP="006C6267">
                  <w:pPr>
                    <w:jc w:val="center"/>
                    <w:rPr>
                      <w:lang w:bidi="ta-IN"/>
                    </w:rPr>
                  </w:pPr>
                  <w:r w:rsidRPr="004E4188">
                    <w:rPr>
                      <w:lang w:bidi="ta-IN"/>
                    </w:rPr>
                    <w:t>3</w:t>
                  </w:r>
                </w:p>
              </w:tc>
              <w:tc>
                <w:tcPr>
                  <w:tcW w:w="2135" w:type="dxa"/>
                  <w:shd w:val="clear" w:color="auto" w:fill="auto"/>
                </w:tcPr>
                <w:p w14:paraId="415D2146" w14:textId="77777777" w:rsidR="007049A5" w:rsidRPr="004E4188" w:rsidRDefault="007049A5" w:rsidP="006C6267">
                  <w:pPr>
                    <w:jc w:val="left"/>
                    <w:rPr>
                      <w:i/>
                      <w:lang w:bidi="ta-IN"/>
                    </w:rPr>
                  </w:pPr>
                  <w:r w:rsidRPr="004E4188">
                    <w:rPr>
                      <w:lang w:bidi="ta-IN"/>
                    </w:rPr>
                    <w:t>[</w:t>
                  </w:r>
                  <w:r w:rsidRPr="004E4188">
                    <w:rPr>
                      <w:i/>
                      <w:lang w:bidi="ta-IN"/>
                    </w:rPr>
                    <w:t>i</w:t>
                  </w:r>
                  <w:r w:rsidRPr="004E4188">
                    <w:rPr>
                      <w:i/>
                      <w:szCs w:val="24"/>
                    </w:rPr>
                    <w:t>ndiquer les droits, taxes et prélèvements</w:t>
                  </w:r>
                  <w:r w:rsidRPr="004E4188">
                    <w:rPr>
                      <w:iCs/>
                      <w:szCs w:val="24"/>
                      <w:lang w:bidi="ta-IN"/>
                    </w:rPr>
                    <w:t>]</w:t>
                  </w:r>
                </w:p>
              </w:tc>
              <w:tc>
                <w:tcPr>
                  <w:tcW w:w="4025" w:type="dxa"/>
                  <w:shd w:val="clear" w:color="auto" w:fill="auto"/>
                </w:tcPr>
                <w:p w14:paraId="2CD251CC" w14:textId="3513F965" w:rsidR="007049A5" w:rsidRPr="004E4188" w:rsidRDefault="007049A5" w:rsidP="006C6267">
                  <w:pPr>
                    <w:jc w:val="left"/>
                    <w:rPr>
                      <w:i/>
                      <w:lang w:bidi="ta-IN"/>
                    </w:rPr>
                  </w:pPr>
                  <w:r w:rsidRPr="004E4188">
                    <w:rPr>
                      <w:lang w:bidi="ta-IN"/>
                    </w:rPr>
                    <w:t>[</w:t>
                  </w:r>
                  <w:r w:rsidRPr="004E4188">
                    <w:rPr>
                      <w:i/>
                      <w:szCs w:val="24"/>
                      <w:lang w:bidi="ta-IN"/>
                    </w:rPr>
                    <w:t xml:space="preserve">indiquer « Sans paiement » ou « Avec </w:t>
                  </w:r>
                  <w:r w:rsidR="00704607" w:rsidRPr="004E4188">
                    <w:rPr>
                      <w:i/>
                      <w:szCs w:val="24"/>
                      <w:lang w:bidi="ta-IN"/>
                    </w:rPr>
                    <w:t>p</w:t>
                  </w:r>
                  <w:r w:rsidRPr="004E4188">
                    <w:rPr>
                      <w:i/>
                      <w:szCs w:val="24"/>
                      <w:lang w:bidi="ta-IN"/>
                    </w:rPr>
                    <w:t xml:space="preserve">aiement &amp; </w:t>
                  </w:r>
                  <w:r w:rsidR="00704607" w:rsidRPr="004E4188">
                    <w:rPr>
                      <w:i/>
                      <w:szCs w:val="24"/>
                      <w:lang w:bidi="ta-IN"/>
                    </w:rPr>
                    <w:t>r</w:t>
                  </w:r>
                  <w:r w:rsidRPr="004E4188">
                    <w:rPr>
                      <w:i/>
                      <w:szCs w:val="24"/>
                      <w:lang w:bidi="ta-IN"/>
                    </w:rPr>
                    <w:t>emboursement »</w:t>
                  </w:r>
                  <w:r w:rsidRPr="004E4188">
                    <w:rPr>
                      <w:lang w:bidi="ta-IN"/>
                    </w:rPr>
                    <w:t>]</w:t>
                  </w:r>
                </w:p>
              </w:tc>
            </w:tr>
            <w:tr w:rsidR="007049A5" w:rsidRPr="004E4188" w14:paraId="48AE04F9" w14:textId="77777777" w:rsidTr="006C6267">
              <w:tc>
                <w:tcPr>
                  <w:tcW w:w="663" w:type="dxa"/>
                  <w:shd w:val="clear" w:color="auto" w:fill="auto"/>
                </w:tcPr>
                <w:p w14:paraId="509701A8" w14:textId="77777777" w:rsidR="007049A5" w:rsidRPr="004E4188" w:rsidRDefault="007049A5" w:rsidP="006C6267">
                  <w:pPr>
                    <w:jc w:val="center"/>
                    <w:rPr>
                      <w:lang w:bidi="ta-IN"/>
                    </w:rPr>
                  </w:pPr>
                  <w:r w:rsidRPr="004E4188">
                    <w:rPr>
                      <w:lang w:bidi="ta-IN"/>
                    </w:rPr>
                    <w:t>etc.</w:t>
                  </w:r>
                </w:p>
              </w:tc>
              <w:tc>
                <w:tcPr>
                  <w:tcW w:w="2135" w:type="dxa"/>
                  <w:shd w:val="clear" w:color="auto" w:fill="auto"/>
                </w:tcPr>
                <w:p w14:paraId="4C277242" w14:textId="77777777" w:rsidR="007049A5" w:rsidRPr="004E4188" w:rsidRDefault="007049A5" w:rsidP="006C6267">
                  <w:pPr>
                    <w:rPr>
                      <w:i/>
                      <w:lang w:bidi="ta-IN"/>
                    </w:rPr>
                  </w:pPr>
                </w:p>
              </w:tc>
              <w:tc>
                <w:tcPr>
                  <w:tcW w:w="4025" w:type="dxa"/>
                  <w:shd w:val="clear" w:color="auto" w:fill="auto"/>
                </w:tcPr>
                <w:p w14:paraId="20571ADB" w14:textId="77777777" w:rsidR="007049A5" w:rsidRPr="004E4188" w:rsidRDefault="007049A5" w:rsidP="006C6267">
                  <w:pPr>
                    <w:rPr>
                      <w:i/>
                      <w:lang w:bidi="ta-IN"/>
                    </w:rPr>
                  </w:pPr>
                </w:p>
              </w:tc>
            </w:tr>
          </w:tbl>
          <w:p w14:paraId="57018DE3" w14:textId="77777777" w:rsidR="007049A5" w:rsidRPr="004E4188" w:rsidRDefault="007049A5" w:rsidP="006C6267">
            <w:pPr>
              <w:tabs>
                <w:tab w:val="right" w:pos="7254"/>
              </w:tabs>
              <w:spacing w:afterLines="50" w:after="120"/>
              <w:rPr>
                <w:szCs w:val="24"/>
              </w:rPr>
            </w:pPr>
          </w:p>
          <w:p w14:paraId="71AD179A" w14:textId="77777777" w:rsidR="007049A5" w:rsidRPr="004E4188" w:rsidRDefault="007049A5" w:rsidP="006C6267">
            <w:pPr>
              <w:tabs>
                <w:tab w:val="right" w:pos="7254"/>
              </w:tabs>
              <w:spacing w:afterLines="50" w:after="120"/>
              <w:ind w:left="397" w:hanging="397"/>
              <w:rPr>
                <w:szCs w:val="24"/>
              </w:rPr>
            </w:pPr>
            <w:r w:rsidRPr="004E4188">
              <w:rPr>
                <w:szCs w:val="24"/>
              </w:rPr>
              <w:t xml:space="preserve">(b) </w:t>
            </w:r>
            <w:r w:rsidRPr="004E4188">
              <w:rPr>
                <w:szCs w:val="24"/>
              </w:rPr>
              <w:tab/>
              <w:t>les droits, taxes et autres prélèvements suivants doivent être payés par le Maître d’ouvrage pour le compte de l’Entrepreneur :</w:t>
            </w:r>
          </w:p>
          <w:p w14:paraId="186F5C7E" w14:textId="77777777" w:rsidR="007049A5" w:rsidRPr="004E4188" w:rsidDel="00BF684A" w:rsidRDefault="007049A5" w:rsidP="006C6267">
            <w:pPr>
              <w:tabs>
                <w:tab w:val="right" w:pos="7254"/>
              </w:tabs>
              <w:spacing w:afterLines="50" w:after="120"/>
              <w:ind w:left="397"/>
              <w:rPr>
                <w:szCs w:val="24"/>
              </w:rPr>
            </w:pPr>
            <w:r w:rsidRPr="004E4188">
              <w:rPr>
                <w:szCs w:val="24"/>
              </w:rPr>
              <w:tab/>
              <w:t>[</w:t>
            </w:r>
            <w:r w:rsidRPr="004E4188">
              <w:rPr>
                <w:i/>
                <w:szCs w:val="24"/>
              </w:rPr>
              <w:t>Indiquer les droits, taxes et prélèvements qui doivent être payés par le Maître d’ouvrage pour le compte de l’Entrepreneur</w:t>
            </w:r>
            <w:r w:rsidRPr="004E4188">
              <w:rPr>
                <w:szCs w:val="24"/>
              </w:rPr>
              <w:t>.]</w:t>
            </w:r>
          </w:p>
        </w:tc>
      </w:tr>
      <w:tr w:rsidR="007049A5" w:rsidRPr="004E4188" w:rsidDel="00BF684A" w14:paraId="48AB7C19" w14:textId="77777777" w:rsidTr="006C6267">
        <w:tc>
          <w:tcPr>
            <w:tcW w:w="1320" w:type="dxa"/>
            <w:tcBorders>
              <w:top w:val="single" w:sz="6" w:space="0" w:color="000000"/>
              <w:left w:val="single" w:sz="12" w:space="0" w:color="000000"/>
              <w:bottom w:val="single" w:sz="6" w:space="0" w:color="000000"/>
              <w:right w:val="single" w:sz="6" w:space="0" w:color="000000"/>
            </w:tcBorders>
          </w:tcPr>
          <w:p w14:paraId="3344A0AD" w14:textId="77777777" w:rsidR="007049A5" w:rsidRPr="004E4188" w:rsidDel="00BF684A" w:rsidRDefault="007049A5" w:rsidP="00B31E15">
            <w:pPr>
              <w:tabs>
                <w:tab w:val="right" w:pos="7434"/>
              </w:tabs>
              <w:spacing w:before="60" w:after="120"/>
              <w:rPr>
                <w:b/>
              </w:rPr>
            </w:pPr>
            <w:r w:rsidRPr="004E4188">
              <w:rPr>
                <w:b/>
              </w:rPr>
              <w:t>IS 30.10</w:t>
            </w:r>
          </w:p>
        </w:tc>
        <w:tc>
          <w:tcPr>
            <w:tcW w:w="7680" w:type="dxa"/>
            <w:tcBorders>
              <w:top w:val="single" w:sz="6" w:space="0" w:color="000000"/>
              <w:left w:val="single" w:sz="6" w:space="0" w:color="000000"/>
              <w:bottom w:val="single" w:sz="6" w:space="0" w:color="000000"/>
              <w:right w:val="single" w:sz="12" w:space="0" w:color="000000"/>
            </w:tcBorders>
          </w:tcPr>
          <w:p w14:paraId="6AD4E8A3" w14:textId="77777777" w:rsidR="007049A5" w:rsidRPr="004E4188" w:rsidRDefault="007049A5" w:rsidP="00B31E15">
            <w:pPr>
              <w:tabs>
                <w:tab w:val="right" w:pos="7254"/>
              </w:tabs>
              <w:spacing w:before="60" w:afterLines="50" w:after="120"/>
              <w:rPr>
                <w:szCs w:val="24"/>
              </w:rPr>
            </w:pPr>
            <w:r w:rsidRPr="004E4188">
              <w:rPr>
                <w:szCs w:val="24"/>
              </w:rPr>
              <w:t>[</w:t>
            </w:r>
            <w:r w:rsidRPr="004E4188">
              <w:rPr>
                <w:i/>
                <w:szCs w:val="24"/>
              </w:rPr>
              <w:t>On distingue les sommes provisionnelles de nature spécifique et les provisions pour risque.</w:t>
            </w:r>
            <w:r w:rsidRPr="004E4188">
              <w:rPr>
                <w:szCs w:val="24"/>
              </w:rPr>
              <w:t>]</w:t>
            </w:r>
          </w:p>
          <w:p w14:paraId="04ED9341" w14:textId="77777777" w:rsidR="007049A5" w:rsidRPr="004E4188" w:rsidRDefault="007049A5" w:rsidP="006C6267">
            <w:pPr>
              <w:tabs>
                <w:tab w:val="right" w:pos="7254"/>
              </w:tabs>
              <w:spacing w:afterLines="50" w:after="120"/>
              <w:rPr>
                <w:szCs w:val="24"/>
              </w:rPr>
            </w:pPr>
            <w:r w:rsidRPr="004E4188">
              <w:rPr>
                <w:szCs w:val="24"/>
              </w:rPr>
              <w:t>Le</w:t>
            </w:r>
            <w:r w:rsidRPr="004E4188">
              <w:rPr>
                <w:rFonts w:hint="eastAsia"/>
                <w:szCs w:val="24"/>
              </w:rPr>
              <w:t>s</w:t>
            </w:r>
            <w:r w:rsidRPr="004E4188">
              <w:rPr>
                <w:szCs w:val="24"/>
              </w:rPr>
              <w:t xml:space="preserve"> montants et les monnaies des sommes provisionnelles de nature spécifique seront</w:t>
            </w:r>
            <w:r w:rsidRPr="004E4188">
              <w:rPr>
                <w:rFonts w:hint="eastAsia"/>
                <w:szCs w:val="24"/>
              </w:rPr>
              <w:t xml:space="preserve"> les suivants</w:t>
            </w:r>
            <w:r w:rsidRPr="004E4188">
              <w:rPr>
                <w:szCs w:val="24"/>
              </w:rPr>
              <w:t> :</w:t>
            </w:r>
          </w:p>
          <w:p w14:paraId="2936D698" w14:textId="77777777" w:rsidR="007049A5" w:rsidRPr="004E4188" w:rsidRDefault="007049A5" w:rsidP="006C6267">
            <w:pPr>
              <w:tabs>
                <w:tab w:val="right" w:pos="7254"/>
              </w:tabs>
              <w:spacing w:afterLines="50" w:after="120"/>
              <w:rPr>
                <w:szCs w:val="24"/>
              </w:rPr>
            </w:pPr>
            <w:r w:rsidRPr="004E4188">
              <w:rPr>
                <w:szCs w:val="24"/>
              </w:rPr>
              <w:t>[</w:t>
            </w:r>
            <w:r w:rsidRPr="004E4188">
              <w:rPr>
                <w:i/>
                <w:szCs w:val="24"/>
              </w:rPr>
              <w:t>Le Maître d’ouvrage doit indiquer dans le tableau ci-dessous, le no de poste, la description et les parts en monnaie nationale et en monnaie(s) étrangère(s) du montant pour chacune des sommes provisionnelles spécifiées dans le Bordereau des sommes provisionnelles de nature spécifique des Bordereaux des prix.</w:t>
            </w:r>
            <w:r w:rsidRPr="004E4188">
              <w:rPr>
                <w:szCs w:val="24"/>
              </w:rPr>
              <w:t>]</w:t>
            </w:r>
          </w:p>
          <w:tbl>
            <w:tblPr>
              <w:tblW w:w="7163" w:type="dxa"/>
              <w:tblLayout w:type="fixed"/>
              <w:tblLook w:val="0000" w:firstRow="0" w:lastRow="0" w:firstColumn="0" w:lastColumn="0" w:noHBand="0" w:noVBand="0"/>
            </w:tblPr>
            <w:tblGrid>
              <w:gridCol w:w="812"/>
              <w:gridCol w:w="3630"/>
              <w:gridCol w:w="1276"/>
              <w:gridCol w:w="1445"/>
            </w:tblGrid>
            <w:tr w:rsidR="007049A5" w:rsidRPr="004E4188" w14:paraId="5A77AC2B" w14:textId="77777777" w:rsidTr="006C6267">
              <w:tc>
                <w:tcPr>
                  <w:tcW w:w="812" w:type="dxa"/>
                  <w:vMerge w:val="restart"/>
                  <w:tcBorders>
                    <w:top w:val="single" w:sz="4" w:space="0" w:color="auto"/>
                    <w:left w:val="single" w:sz="4" w:space="0" w:color="auto"/>
                    <w:bottom w:val="single" w:sz="4" w:space="0" w:color="auto"/>
                    <w:right w:val="single" w:sz="4" w:space="0" w:color="auto"/>
                  </w:tcBorders>
                </w:tcPr>
                <w:p w14:paraId="37D33E9D" w14:textId="77777777" w:rsidR="007049A5" w:rsidRPr="004E4188" w:rsidRDefault="007049A5" w:rsidP="006C6267">
                  <w:pPr>
                    <w:spacing w:before="60" w:after="60"/>
                    <w:jc w:val="center"/>
                    <w:rPr>
                      <w:iCs/>
                      <w:szCs w:val="24"/>
                      <w:lang w:eastAsia="ja-JP"/>
                    </w:rPr>
                  </w:pPr>
                  <w:r w:rsidRPr="004E4188">
                    <w:rPr>
                      <w:rFonts w:hint="eastAsia"/>
                      <w:iCs/>
                      <w:szCs w:val="24"/>
                      <w:lang w:eastAsia="ja-JP"/>
                    </w:rPr>
                    <w:t>n</w:t>
                  </w:r>
                  <w:r w:rsidRPr="004E4188">
                    <w:rPr>
                      <w:iCs/>
                      <w:szCs w:val="24"/>
                      <w:vertAlign w:val="superscript"/>
                      <w:lang w:eastAsia="ja-JP"/>
                    </w:rPr>
                    <w:t>o</w:t>
                  </w:r>
                </w:p>
                <w:p w14:paraId="3E15EC1F" w14:textId="77777777" w:rsidR="007049A5" w:rsidRPr="004E4188" w:rsidRDefault="007049A5" w:rsidP="006C6267">
                  <w:pPr>
                    <w:jc w:val="center"/>
                    <w:rPr>
                      <w:lang w:eastAsia="ja-JP"/>
                    </w:rPr>
                  </w:pPr>
                  <w:r w:rsidRPr="004E4188">
                    <w:rPr>
                      <w:iCs/>
                      <w:szCs w:val="24"/>
                      <w:lang w:eastAsia="ja-JP"/>
                    </w:rPr>
                    <w:t>Poste</w:t>
                  </w:r>
                </w:p>
              </w:tc>
              <w:tc>
                <w:tcPr>
                  <w:tcW w:w="3630" w:type="dxa"/>
                  <w:vMerge w:val="restart"/>
                  <w:tcBorders>
                    <w:top w:val="single" w:sz="4" w:space="0" w:color="auto"/>
                    <w:left w:val="single" w:sz="4" w:space="0" w:color="auto"/>
                    <w:bottom w:val="single" w:sz="4" w:space="0" w:color="auto"/>
                    <w:right w:val="single" w:sz="4" w:space="0" w:color="auto"/>
                  </w:tcBorders>
                </w:tcPr>
                <w:p w14:paraId="6A1027FE" w14:textId="77777777" w:rsidR="007049A5" w:rsidRPr="004E4188" w:rsidRDefault="007049A5" w:rsidP="006C6267">
                  <w:pPr>
                    <w:jc w:val="center"/>
                  </w:pPr>
                  <w:r w:rsidRPr="004E4188">
                    <w:t>Description</w:t>
                  </w:r>
                </w:p>
              </w:tc>
              <w:tc>
                <w:tcPr>
                  <w:tcW w:w="2721" w:type="dxa"/>
                  <w:gridSpan w:val="2"/>
                  <w:tcBorders>
                    <w:top w:val="single" w:sz="4" w:space="0" w:color="auto"/>
                    <w:left w:val="single" w:sz="4" w:space="0" w:color="auto"/>
                    <w:bottom w:val="single" w:sz="4" w:space="0" w:color="auto"/>
                    <w:right w:val="single" w:sz="4" w:space="0" w:color="auto"/>
                  </w:tcBorders>
                </w:tcPr>
                <w:p w14:paraId="08DB2719" w14:textId="77777777" w:rsidR="007049A5" w:rsidRPr="004E4188" w:rsidRDefault="007049A5" w:rsidP="006C6267">
                  <w:pPr>
                    <w:jc w:val="center"/>
                  </w:pPr>
                  <w:r w:rsidRPr="004E4188">
                    <w:rPr>
                      <w:rFonts w:hint="eastAsia"/>
                      <w:iCs/>
                      <w:szCs w:val="24"/>
                      <w:lang w:eastAsia="ja-JP"/>
                    </w:rPr>
                    <w:t>Montant</w:t>
                  </w:r>
                </w:p>
              </w:tc>
            </w:tr>
            <w:tr w:rsidR="007049A5" w:rsidRPr="004E4188" w14:paraId="01E4CD27" w14:textId="77777777" w:rsidTr="006C6267">
              <w:trPr>
                <w:trHeight w:val="27"/>
              </w:trPr>
              <w:tc>
                <w:tcPr>
                  <w:tcW w:w="812" w:type="dxa"/>
                  <w:vMerge/>
                  <w:tcBorders>
                    <w:top w:val="single" w:sz="4" w:space="0" w:color="auto"/>
                    <w:left w:val="single" w:sz="4" w:space="0" w:color="auto"/>
                    <w:bottom w:val="single" w:sz="4" w:space="0" w:color="auto"/>
                    <w:right w:val="single" w:sz="4" w:space="0" w:color="auto"/>
                  </w:tcBorders>
                </w:tcPr>
                <w:p w14:paraId="3C14CF67" w14:textId="77777777" w:rsidR="007049A5" w:rsidRPr="004E4188" w:rsidRDefault="007049A5" w:rsidP="006C6267">
                  <w:pPr>
                    <w:jc w:val="center"/>
                  </w:pPr>
                </w:p>
              </w:tc>
              <w:tc>
                <w:tcPr>
                  <w:tcW w:w="3630" w:type="dxa"/>
                  <w:vMerge/>
                  <w:tcBorders>
                    <w:top w:val="single" w:sz="4" w:space="0" w:color="auto"/>
                    <w:left w:val="single" w:sz="4" w:space="0" w:color="auto"/>
                    <w:bottom w:val="single" w:sz="4" w:space="0" w:color="auto"/>
                    <w:right w:val="single" w:sz="4" w:space="0" w:color="auto"/>
                  </w:tcBorders>
                </w:tcPr>
                <w:p w14:paraId="05657DD6" w14:textId="77777777" w:rsidR="007049A5" w:rsidRPr="004E4188" w:rsidRDefault="007049A5" w:rsidP="006C6267">
                  <w:pPr>
                    <w:jc w:val="center"/>
                  </w:pPr>
                </w:p>
              </w:tc>
              <w:tc>
                <w:tcPr>
                  <w:tcW w:w="1276" w:type="dxa"/>
                  <w:tcBorders>
                    <w:top w:val="single" w:sz="4" w:space="0" w:color="auto"/>
                    <w:left w:val="single" w:sz="4" w:space="0" w:color="auto"/>
                    <w:bottom w:val="single" w:sz="4" w:space="0" w:color="auto"/>
                    <w:right w:val="single" w:sz="4" w:space="0" w:color="auto"/>
                  </w:tcBorders>
                </w:tcPr>
                <w:p w14:paraId="21991EEF" w14:textId="77777777" w:rsidR="007049A5" w:rsidRPr="004E4188" w:rsidRDefault="007049A5" w:rsidP="006C6267">
                  <w:pPr>
                    <w:jc w:val="center"/>
                    <w:rPr>
                      <w:lang w:eastAsia="ja-JP"/>
                    </w:rPr>
                  </w:pPr>
                  <w:r w:rsidRPr="004E4188">
                    <w:rPr>
                      <w:rFonts w:hint="eastAsia"/>
                      <w:iCs/>
                      <w:szCs w:val="24"/>
                      <w:lang w:eastAsia="ja-JP"/>
                    </w:rPr>
                    <w:t>Monnaie nationale</w:t>
                  </w:r>
                </w:p>
              </w:tc>
              <w:tc>
                <w:tcPr>
                  <w:tcW w:w="1445" w:type="dxa"/>
                  <w:tcBorders>
                    <w:top w:val="single" w:sz="4" w:space="0" w:color="auto"/>
                    <w:left w:val="single" w:sz="4" w:space="0" w:color="auto"/>
                    <w:bottom w:val="single" w:sz="4" w:space="0" w:color="auto"/>
                    <w:right w:val="single" w:sz="4" w:space="0" w:color="auto"/>
                  </w:tcBorders>
                </w:tcPr>
                <w:p w14:paraId="0A448667" w14:textId="77777777" w:rsidR="007049A5" w:rsidRPr="004E4188" w:rsidRDefault="007049A5" w:rsidP="006C6267">
                  <w:pPr>
                    <w:jc w:val="center"/>
                    <w:rPr>
                      <w:lang w:eastAsia="ja-JP"/>
                    </w:rPr>
                  </w:pPr>
                  <w:r w:rsidRPr="004E4188">
                    <w:rPr>
                      <w:rFonts w:hint="eastAsia"/>
                      <w:iCs/>
                      <w:szCs w:val="24"/>
                      <w:lang w:eastAsia="ja-JP"/>
                    </w:rPr>
                    <w:t>Monnaie(s) étrangère(s)</w:t>
                  </w:r>
                </w:p>
              </w:tc>
            </w:tr>
            <w:tr w:rsidR="007049A5" w:rsidRPr="004E4188" w14:paraId="62B7701E" w14:textId="77777777" w:rsidTr="006C6267">
              <w:tc>
                <w:tcPr>
                  <w:tcW w:w="812" w:type="dxa"/>
                  <w:tcBorders>
                    <w:top w:val="single" w:sz="4" w:space="0" w:color="auto"/>
                    <w:left w:val="single" w:sz="4" w:space="0" w:color="auto"/>
                    <w:bottom w:val="single" w:sz="4" w:space="0" w:color="auto"/>
                    <w:right w:val="single" w:sz="4" w:space="0" w:color="auto"/>
                  </w:tcBorders>
                </w:tcPr>
                <w:p w14:paraId="419EF954" w14:textId="77777777" w:rsidR="007049A5" w:rsidRPr="004E4188" w:rsidRDefault="007049A5" w:rsidP="006C6267">
                  <w:pPr>
                    <w:jc w:val="center"/>
                  </w:pPr>
                  <w:r w:rsidRPr="004E4188">
                    <w:t>1</w:t>
                  </w:r>
                </w:p>
              </w:tc>
              <w:tc>
                <w:tcPr>
                  <w:tcW w:w="3630" w:type="dxa"/>
                  <w:tcBorders>
                    <w:top w:val="single" w:sz="4" w:space="0" w:color="auto"/>
                    <w:left w:val="single" w:sz="4" w:space="0" w:color="auto"/>
                    <w:bottom w:val="single" w:sz="4" w:space="0" w:color="auto"/>
                    <w:right w:val="single" w:sz="4" w:space="0" w:color="auto"/>
                  </w:tcBorders>
                </w:tcPr>
                <w:p w14:paraId="0ACFF326" w14:textId="77777777" w:rsidR="007049A5" w:rsidRPr="004E4188" w:rsidRDefault="007049A5" w:rsidP="006C6267">
                  <w:pPr>
                    <w:jc w:val="left"/>
                  </w:pPr>
                </w:p>
              </w:tc>
              <w:tc>
                <w:tcPr>
                  <w:tcW w:w="1276" w:type="dxa"/>
                  <w:tcBorders>
                    <w:top w:val="single" w:sz="4" w:space="0" w:color="auto"/>
                    <w:left w:val="single" w:sz="4" w:space="0" w:color="auto"/>
                    <w:bottom w:val="single" w:sz="4" w:space="0" w:color="auto"/>
                    <w:right w:val="single" w:sz="4" w:space="0" w:color="auto"/>
                  </w:tcBorders>
                </w:tcPr>
                <w:p w14:paraId="66AFA4EF" w14:textId="77777777" w:rsidR="007049A5" w:rsidRPr="004E4188" w:rsidRDefault="007049A5" w:rsidP="006C6267">
                  <w:pPr>
                    <w:tabs>
                      <w:tab w:val="decimal" w:pos="1050"/>
                    </w:tabs>
                    <w:jc w:val="left"/>
                  </w:pPr>
                </w:p>
              </w:tc>
              <w:tc>
                <w:tcPr>
                  <w:tcW w:w="1445" w:type="dxa"/>
                  <w:tcBorders>
                    <w:top w:val="single" w:sz="4" w:space="0" w:color="auto"/>
                    <w:left w:val="single" w:sz="4" w:space="0" w:color="auto"/>
                    <w:bottom w:val="single" w:sz="4" w:space="0" w:color="auto"/>
                    <w:right w:val="single" w:sz="4" w:space="0" w:color="auto"/>
                  </w:tcBorders>
                </w:tcPr>
                <w:p w14:paraId="7B576480" w14:textId="77777777" w:rsidR="007049A5" w:rsidRPr="004E4188" w:rsidRDefault="007049A5" w:rsidP="006C6267">
                  <w:pPr>
                    <w:tabs>
                      <w:tab w:val="decimal" w:pos="1050"/>
                    </w:tabs>
                    <w:jc w:val="left"/>
                  </w:pPr>
                </w:p>
              </w:tc>
            </w:tr>
            <w:tr w:rsidR="007049A5" w:rsidRPr="004E4188" w14:paraId="73242C37" w14:textId="77777777" w:rsidTr="006C6267">
              <w:tc>
                <w:tcPr>
                  <w:tcW w:w="812" w:type="dxa"/>
                  <w:tcBorders>
                    <w:top w:val="single" w:sz="4" w:space="0" w:color="auto"/>
                    <w:left w:val="single" w:sz="4" w:space="0" w:color="auto"/>
                    <w:bottom w:val="single" w:sz="4" w:space="0" w:color="auto"/>
                    <w:right w:val="single" w:sz="4" w:space="0" w:color="auto"/>
                  </w:tcBorders>
                </w:tcPr>
                <w:p w14:paraId="32552536" w14:textId="77777777" w:rsidR="007049A5" w:rsidRPr="004E4188" w:rsidRDefault="007049A5" w:rsidP="006C6267">
                  <w:pPr>
                    <w:jc w:val="center"/>
                  </w:pPr>
                  <w:r w:rsidRPr="004E4188">
                    <w:t>2</w:t>
                  </w:r>
                </w:p>
              </w:tc>
              <w:tc>
                <w:tcPr>
                  <w:tcW w:w="3630" w:type="dxa"/>
                  <w:tcBorders>
                    <w:top w:val="single" w:sz="4" w:space="0" w:color="auto"/>
                    <w:left w:val="single" w:sz="4" w:space="0" w:color="auto"/>
                    <w:bottom w:val="single" w:sz="4" w:space="0" w:color="auto"/>
                    <w:right w:val="single" w:sz="4" w:space="0" w:color="auto"/>
                  </w:tcBorders>
                </w:tcPr>
                <w:p w14:paraId="07815B31" w14:textId="77777777" w:rsidR="007049A5" w:rsidRPr="004E4188" w:rsidRDefault="007049A5" w:rsidP="006C6267">
                  <w:pPr>
                    <w:jc w:val="left"/>
                  </w:pPr>
                </w:p>
              </w:tc>
              <w:tc>
                <w:tcPr>
                  <w:tcW w:w="1276" w:type="dxa"/>
                  <w:tcBorders>
                    <w:top w:val="single" w:sz="4" w:space="0" w:color="auto"/>
                    <w:left w:val="single" w:sz="4" w:space="0" w:color="auto"/>
                    <w:bottom w:val="single" w:sz="4" w:space="0" w:color="auto"/>
                    <w:right w:val="single" w:sz="4" w:space="0" w:color="auto"/>
                  </w:tcBorders>
                </w:tcPr>
                <w:p w14:paraId="089420B9" w14:textId="77777777" w:rsidR="007049A5" w:rsidRPr="004E4188" w:rsidRDefault="007049A5" w:rsidP="006C6267">
                  <w:pPr>
                    <w:tabs>
                      <w:tab w:val="decimal" w:pos="1050"/>
                    </w:tabs>
                    <w:jc w:val="left"/>
                  </w:pPr>
                </w:p>
              </w:tc>
              <w:tc>
                <w:tcPr>
                  <w:tcW w:w="1445" w:type="dxa"/>
                  <w:tcBorders>
                    <w:top w:val="single" w:sz="4" w:space="0" w:color="auto"/>
                    <w:left w:val="single" w:sz="4" w:space="0" w:color="auto"/>
                    <w:bottom w:val="single" w:sz="4" w:space="0" w:color="auto"/>
                    <w:right w:val="single" w:sz="4" w:space="0" w:color="auto"/>
                  </w:tcBorders>
                </w:tcPr>
                <w:p w14:paraId="35B81C58" w14:textId="77777777" w:rsidR="007049A5" w:rsidRPr="004E4188" w:rsidRDefault="007049A5" w:rsidP="006C6267">
                  <w:pPr>
                    <w:tabs>
                      <w:tab w:val="decimal" w:pos="1050"/>
                    </w:tabs>
                    <w:jc w:val="left"/>
                  </w:pPr>
                </w:p>
              </w:tc>
            </w:tr>
            <w:tr w:rsidR="007049A5" w:rsidRPr="004E4188" w14:paraId="028EF607" w14:textId="77777777" w:rsidTr="006C6267">
              <w:tc>
                <w:tcPr>
                  <w:tcW w:w="812" w:type="dxa"/>
                  <w:tcBorders>
                    <w:top w:val="single" w:sz="4" w:space="0" w:color="auto"/>
                    <w:left w:val="single" w:sz="4" w:space="0" w:color="auto"/>
                    <w:bottom w:val="single" w:sz="4" w:space="0" w:color="auto"/>
                    <w:right w:val="single" w:sz="4" w:space="0" w:color="auto"/>
                  </w:tcBorders>
                </w:tcPr>
                <w:p w14:paraId="4DC1286D" w14:textId="77777777" w:rsidR="007049A5" w:rsidRPr="004E4188" w:rsidRDefault="007049A5" w:rsidP="006C6267">
                  <w:pPr>
                    <w:jc w:val="center"/>
                  </w:pPr>
                  <w:r w:rsidRPr="004E4188">
                    <w:t>3</w:t>
                  </w:r>
                </w:p>
              </w:tc>
              <w:tc>
                <w:tcPr>
                  <w:tcW w:w="3630" w:type="dxa"/>
                  <w:tcBorders>
                    <w:top w:val="single" w:sz="4" w:space="0" w:color="auto"/>
                    <w:left w:val="single" w:sz="4" w:space="0" w:color="auto"/>
                    <w:bottom w:val="single" w:sz="4" w:space="0" w:color="auto"/>
                    <w:right w:val="single" w:sz="4" w:space="0" w:color="auto"/>
                  </w:tcBorders>
                </w:tcPr>
                <w:p w14:paraId="0638AD8D" w14:textId="77777777" w:rsidR="007049A5" w:rsidRPr="004E4188" w:rsidRDefault="007049A5" w:rsidP="006C6267">
                  <w:pPr>
                    <w:jc w:val="left"/>
                  </w:pPr>
                </w:p>
              </w:tc>
              <w:tc>
                <w:tcPr>
                  <w:tcW w:w="1276" w:type="dxa"/>
                  <w:tcBorders>
                    <w:top w:val="single" w:sz="4" w:space="0" w:color="auto"/>
                    <w:left w:val="single" w:sz="4" w:space="0" w:color="auto"/>
                    <w:bottom w:val="single" w:sz="4" w:space="0" w:color="auto"/>
                    <w:right w:val="single" w:sz="4" w:space="0" w:color="auto"/>
                  </w:tcBorders>
                </w:tcPr>
                <w:p w14:paraId="4766A66E" w14:textId="77777777" w:rsidR="007049A5" w:rsidRPr="004E4188" w:rsidRDefault="007049A5" w:rsidP="006C6267">
                  <w:pPr>
                    <w:tabs>
                      <w:tab w:val="decimal" w:pos="1050"/>
                    </w:tabs>
                    <w:jc w:val="left"/>
                  </w:pPr>
                </w:p>
              </w:tc>
              <w:tc>
                <w:tcPr>
                  <w:tcW w:w="1445" w:type="dxa"/>
                  <w:tcBorders>
                    <w:top w:val="single" w:sz="4" w:space="0" w:color="auto"/>
                    <w:left w:val="single" w:sz="4" w:space="0" w:color="auto"/>
                    <w:bottom w:val="single" w:sz="4" w:space="0" w:color="auto"/>
                    <w:right w:val="single" w:sz="4" w:space="0" w:color="auto"/>
                  </w:tcBorders>
                </w:tcPr>
                <w:p w14:paraId="480BAA3E" w14:textId="77777777" w:rsidR="007049A5" w:rsidRPr="004E4188" w:rsidRDefault="007049A5" w:rsidP="006C6267">
                  <w:pPr>
                    <w:tabs>
                      <w:tab w:val="decimal" w:pos="1050"/>
                    </w:tabs>
                    <w:jc w:val="left"/>
                  </w:pPr>
                </w:p>
              </w:tc>
            </w:tr>
            <w:tr w:rsidR="007049A5" w:rsidRPr="004E4188" w14:paraId="36F7210F" w14:textId="77777777" w:rsidTr="006C6267">
              <w:tc>
                <w:tcPr>
                  <w:tcW w:w="812" w:type="dxa"/>
                  <w:tcBorders>
                    <w:top w:val="single" w:sz="4" w:space="0" w:color="auto"/>
                    <w:left w:val="single" w:sz="4" w:space="0" w:color="auto"/>
                    <w:bottom w:val="single" w:sz="4" w:space="0" w:color="auto"/>
                    <w:right w:val="single" w:sz="4" w:space="0" w:color="auto"/>
                  </w:tcBorders>
                </w:tcPr>
                <w:p w14:paraId="4181146E" w14:textId="77777777" w:rsidR="007049A5" w:rsidRPr="004E4188" w:rsidRDefault="007049A5" w:rsidP="006C6267">
                  <w:pPr>
                    <w:jc w:val="center"/>
                  </w:pPr>
                  <w:r w:rsidRPr="004E4188">
                    <w:t>etc.</w:t>
                  </w:r>
                </w:p>
              </w:tc>
              <w:tc>
                <w:tcPr>
                  <w:tcW w:w="3630" w:type="dxa"/>
                  <w:tcBorders>
                    <w:top w:val="single" w:sz="4" w:space="0" w:color="auto"/>
                    <w:left w:val="single" w:sz="4" w:space="0" w:color="auto"/>
                    <w:bottom w:val="single" w:sz="4" w:space="0" w:color="auto"/>
                    <w:right w:val="single" w:sz="4" w:space="0" w:color="auto"/>
                  </w:tcBorders>
                </w:tcPr>
                <w:p w14:paraId="0FF9880C" w14:textId="77777777" w:rsidR="007049A5" w:rsidRPr="004E4188" w:rsidRDefault="007049A5" w:rsidP="006C6267">
                  <w:pPr>
                    <w:jc w:val="left"/>
                  </w:pPr>
                </w:p>
              </w:tc>
              <w:tc>
                <w:tcPr>
                  <w:tcW w:w="1276" w:type="dxa"/>
                  <w:tcBorders>
                    <w:top w:val="single" w:sz="4" w:space="0" w:color="auto"/>
                    <w:left w:val="single" w:sz="4" w:space="0" w:color="auto"/>
                    <w:bottom w:val="single" w:sz="4" w:space="0" w:color="auto"/>
                    <w:right w:val="single" w:sz="4" w:space="0" w:color="auto"/>
                  </w:tcBorders>
                </w:tcPr>
                <w:p w14:paraId="72E4F4CC" w14:textId="77777777" w:rsidR="007049A5" w:rsidRPr="004E4188" w:rsidRDefault="007049A5" w:rsidP="006C6267">
                  <w:pPr>
                    <w:tabs>
                      <w:tab w:val="decimal" w:pos="1050"/>
                    </w:tabs>
                    <w:jc w:val="left"/>
                  </w:pPr>
                </w:p>
              </w:tc>
              <w:tc>
                <w:tcPr>
                  <w:tcW w:w="1445" w:type="dxa"/>
                  <w:tcBorders>
                    <w:top w:val="single" w:sz="4" w:space="0" w:color="auto"/>
                    <w:left w:val="single" w:sz="4" w:space="0" w:color="auto"/>
                    <w:bottom w:val="single" w:sz="4" w:space="0" w:color="auto"/>
                    <w:right w:val="single" w:sz="4" w:space="0" w:color="auto"/>
                  </w:tcBorders>
                </w:tcPr>
                <w:p w14:paraId="5490180A" w14:textId="77777777" w:rsidR="007049A5" w:rsidRPr="004E4188" w:rsidRDefault="007049A5" w:rsidP="006C6267">
                  <w:pPr>
                    <w:tabs>
                      <w:tab w:val="decimal" w:pos="1050"/>
                    </w:tabs>
                    <w:jc w:val="left"/>
                  </w:pPr>
                </w:p>
              </w:tc>
            </w:tr>
            <w:tr w:rsidR="007049A5" w:rsidRPr="004E4188" w14:paraId="1D405A91" w14:textId="77777777" w:rsidTr="006C6267">
              <w:tc>
                <w:tcPr>
                  <w:tcW w:w="4442" w:type="dxa"/>
                  <w:gridSpan w:val="2"/>
                  <w:tcBorders>
                    <w:top w:val="single" w:sz="4" w:space="0" w:color="auto"/>
                    <w:left w:val="single" w:sz="4" w:space="0" w:color="auto"/>
                    <w:bottom w:val="single" w:sz="4" w:space="0" w:color="auto"/>
                    <w:right w:val="single" w:sz="4" w:space="0" w:color="auto"/>
                  </w:tcBorders>
                </w:tcPr>
                <w:p w14:paraId="41BC05BB" w14:textId="77777777" w:rsidR="007049A5" w:rsidRPr="004E4188" w:rsidRDefault="007049A5" w:rsidP="006C6267">
                  <w:pPr>
                    <w:spacing w:before="60" w:after="60"/>
                    <w:jc w:val="center"/>
                    <w:rPr>
                      <w:iCs/>
                      <w:szCs w:val="24"/>
                      <w:lang w:eastAsia="ja-JP"/>
                    </w:rPr>
                  </w:pPr>
                  <w:r w:rsidRPr="004E4188">
                    <w:t>Total</w:t>
                  </w:r>
                  <w:r w:rsidRPr="004E4188">
                    <w:rPr>
                      <w:rFonts w:hint="eastAsia"/>
                      <w:iCs/>
                      <w:szCs w:val="24"/>
                      <w:lang w:eastAsia="ja-JP"/>
                    </w:rPr>
                    <w:t xml:space="preserve"> des sommes provisionnelles</w:t>
                  </w:r>
                </w:p>
                <w:p w14:paraId="6534A322" w14:textId="77777777" w:rsidR="007049A5" w:rsidRPr="004E4188" w:rsidRDefault="007049A5" w:rsidP="006C6267">
                  <w:pPr>
                    <w:jc w:val="center"/>
                  </w:pPr>
                  <w:r w:rsidRPr="004E4188">
                    <w:rPr>
                      <w:iCs/>
                      <w:szCs w:val="24"/>
                      <w:lang w:eastAsia="ja-JP"/>
                    </w:rPr>
                    <w:t>de nature spécifique</w:t>
                  </w:r>
                </w:p>
              </w:tc>
              <w:tc>
                <w:tcPr>
                  <w:tcW w:w="1276" w:type="dxa"/>
                  <w:tcBorders>
                    <w:top w:val="single" w:sz="4" w:space="0" w:color="auto"/>
                    <w:left w:val="single" w:sz="4" w:space="0" w:color="auto"/>
                    <w:bottom w:val="single" w:sz="4" w:space="0" w:color="auto"/>
                    <w:right w:val="single" w:sz="4" w:space="0" w:color="auto"/>
                  </w:tcBorders>
                </w:tcPr>
                <w:p w14:paraId="2F634524" w14:textId="77777777" w:rsidR="007049A5" w:rsidRPr="004E4188" w:rsidRDefault="007049A5" w:rsidP="006C6267">
                  <w:pPr>
                    <w:tabs>
                      <w:tab w:val="decimal" w:pos="1050"/>
                    </w:tabs>
                    <w:jc w:val="left"/>
                  </w:pPr>
                </w:p>
              </w:tc>
              <w:tc>
                <w:tcPr>
                  <w:tcW w:w="1445" w:type="dxa"/>
                  <w:tcBorders>
                    <w:top w:val="single" w:sz="4" w:space="0" w:color="auto"/>
                    <w:left w:val="single" w:sz="4" w:space="0" w:color="auto"/>
                    <w:bottom w:val="single" w:sz="4" w:space="0" w:color="auto"/>
                    <w:right w:val="single" w:sz="4" w:space="0" w:color="auto"/>
                  </w:tcBorders>
                </w:tcPr>
                <w:p w14:paraId="0E603E3D" w14:textId="77777777" w:rsidR="007049A5" w:rsidRPr="004E4188" w:rsidRDefault="007049A5" w:rsidP="006C6267">
                  <w:pPr>
                    <w:tabs>
                      <w:tab w:val="decimal" w:pos="1050"/>
                    </w:tabs>
                    <w:jc w:val="left"/>
                  </w:pPr>
                </w:p>
              </w:tc>
            </w:tr>
          </w:tbl>
          <w:p w14:paraId="48DF2D30" w14:textId="77777777" w:rsidR="007049A5" w:rsidRPr="004E4188" w:rsidRDefault="007049A5" w:rsidP="006C6267">
            <w:pPr>
              <w:tabs>
                <w:tab w:val="right" w:pos="7254"/>
              </w:tabs>
              <w:spacing w:afterLines="50" w:after="120"/>
              <w:rPr>
                <w:szCs w:val="24"/>
              </w:rPr>
            </w:pPr>
            <w:r w:rsidRPr="004E4188">
              <w:rPr>
                <w:noProof/>
                <w:szCs w:val="24"/>
                <w:lang w:val="en-US" w:eastAsia="ja-JP"/>
              </w:rPr>
              <mc:AlternateContent>
                <mc:Choice Requires="wps">
                  <w:drawing>
                    <wp:anchor distT="0" distB="0" distL="114300" distR="114300" simplePos="0" relativeHeight="251663872" behindDoc="0" locked="0" layoutInCell="1" allowOverlap="1" wp14:anchorId="62C05A92" wp14:editId="693E5342">
                      <wp:simplePos x="0" y="0"/>
                      <wp:positionH relativeFrom="column">
                        <wp:posOffset>-66675</wp:posOffset>
                      </wp:positionH>
                      <wp:positionV relativeFrom="paragraph">
                        <wp:posOffset>168085</wp:posOffset>
                      </wp:positionV>
                      <wp:extent cx="4855845" cy="11430"/>
                      <wp:effectExtent l="0" t="0" r="20955" b="266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5845" cy="1143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657F5" id="_x0000_t32" coordsize="21600,21600" o:spt="32" o:oned="t" path="m,l21600,21600e" filled="f">
                      <v:path arrowok="t" fillok="f" o:connecttype="none"/>
                      <o:lock v:ext="edit" shapetype="t"/>
                    </v:shapetype>
                    <v:shape id="AutoShape 4" o:spid="_x0000_s1026" type="#_x0000_t32" style="position:absolute;left:0;text-align:left;margin-left:-5.25pt;margin-top:13.25pt;width:382.35pt;height:.9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" strokeweight=".25pt"/>
                  </w:pict>
                </mc:Fallback>
              </mc:AlternateContent>
            </w:r>
          </w:p>
          <w:p w14:paraId="34D57357" w14:textId="77777777" w:rsidR="007049A5" w:rsidRPr="004E4188" w:rsidRDefault="007049A5" w:rsidP="006C6267">
            <w:pPr>
              <w:suppressAutoHyphens w:val="0"/>
              <w:overflowPunct/>
              <w:autoSpaceDE/>
              <w:autoSpaceDN/>
              <w:adjustRightInd/>
              <w:textAlignment w:val="auto"/>
              <w:rPr>
                <w:szCs w:val="24"/>
              </w:rPr>
            </w:pPr>
          </w:p>
          <w:p w14:paraId="7BB68F78" w14:textId="76CDE250" w:rsidR="007049A5" w:rsidRPr="004E4188" w:rsidRDefault="007049A5" w:rsidP="006C6267">
            <w:pPr>
              <w:suppressAutoHyphens w:val="0"/>
              <w:overflowPunct/>
              <w:autoSpaceDE/>
              <w:autoSpaceDN/>
              <w:adjustRightInd/>
              <w:textAlignment w:val="auto"/>
              <w:rPr>
                <w:i/>
                <w:szCs w:val="24"/>
              </w:rPr>
            </w:pPr>
            <w:r w:rsidRPr="004E4188">
              <w:rPr>
                <w:szCs w:val="24"/>
              </w:rPr>
              <w:t>[</w:t>
            </w:r>
            <w:r w:rsidRPr="004E4188">
              <w:rPr>
                <w:i/>
                <w:szCs w:val="24"/>
              </w:rPr>
              <w:t>Une provision pour risque devra normalement être calculée en multipliant un pourcentage préétabli (indiqué par le Maître d’ouvrage dans le Dossier d’appel d’offres) par le coût de base (Total d</w:t>
            </w:r>
            <w:r w:rsidR="00B512FF" w:rsidRPr="004E4188">
              <w:rPr>
                <w:i/>
                <w:szCs w:val="24"/>
              </w:rPr>
              <w:t>es</w:t>
            </w:r>
            <w:r w:rsidRPr="004E4188">
              <w:rPr>
                <w:i/>
                <w:szCs w:val="24"/>
              </w:rPr>
              <w:t xml:space="preserve"> </w:t>
            </w:r>
            <w:r w:rsidR="00B512FF" w:rsidRPr="004E4188">
              <w:rPr>
                <w:i/>
                <w:szCs w:val="24"/>
              </w:rPr>
              <w:t>m</w:t>
            </w:r>
            <w:r w:rsidRPr="004E4188">
              <w:rPr>
                <w:i/>
                <w:szCs w:val="24"/>
              </w:rPr>
              <w:t>ontant</w:t>
            </w:r>
            <w:r w:rsidR="00B512FF" w:rsidRPr="004E4188">
              <w:rPr>
                <w:i/>
                <w:szCs w:val="24"/>
              </w:rPr>
              <w:t>s</w:t>
            </w:r>
            <w:r w:rsidRPr="004E4188">
              <w:rPr>
                <w:i/>
                <w:szCs w:val="24"/>
              </w:rPr>
              <w:t xml:space="preserve"> des Bordereaux et des sommes provisionnelles établi par le Soumissionnaire dans son offre de la deuxième étape). Une alternative à la définition d’un tel pourcentage pourra être, pour le Maître d’ouvrage, de déterminer un montant fixe sur la base de la valeur estimée du Marché, et de l’insérer dans le Dossier d’appel d’offres sous la forme d’un montant commun à tous les Soumissionnaires.</w:t>
            </w:r>
          </w:p>
          <w:p w14:paraId="25AAD7A5" w14:textId="77777777" w:rsidR="007049A5" w:rsidRPr="004E4188" w:rsidRDefault="007049A5" w:rsidP="006C6267">
            <w:pPr>
              <w:tabs>
                <w:tab w:val="right" w:pos="7254"/>
              </w:tabs>
              <w:spacing w:afterLines="50" w:after="120"/>
              <w:rPr>
                <w:i/>
                <w:szCs w:val="24"/>
              </w:rPr>
            </w:pPr>
          </w:p>
          <w:p w14:paraId="261FA1E5" w14:textId="77777777" w:rsidR="007049A5" w:rsidRPr="004E4188" w:rsidRDefault="007049A5" w:rsidP="006C6267">
            <w:pPr>
              <w:suppressAutoHyphens w:val="0"/>
              <w:overflowPunct/>
              <w:autoSpaceDE/>
              <w:autoSpaceDN/>
              <w:adjustRightInd/>
              <w:textAlignment w:val="auto"/>
              <w:rPr>
                <w:i/>
                <w:szCs w:val="24"/>
              </w:rPr>
            </w:pPr>
            <w:r w:rsidRPr="004E4188">
              <w:rPr>
                <w:i/>
                <w:szCs w:val="24"/>
              </w:rPr>
              <w:t xml:space="preserve">Le Maître d’ouvrage peut choisir ci-dessous, conformément aux directives susmentionnées, le cas échéant, l’option A (un pourcentage préétabli) ou l’option B (un montant fixe), et supprimer l’autre. </w:t>
            </w:r>
          </w:p>
          <w:p w14:paraId="26929693" w14:textId="77777777" w:rsidR="007049A5" w:rsidRPr="004E4188" w:rsidRDefault="007049A5" w:rsidP="006C6267">
            <w:pPr>
              <w:tabs>
                <w:tab w:val="right" w:pos="7254"/>
              </w:tabs>
              <w:spacing w:afterLines="50" w:after="120"/>
              <w:rPr>
                <w:i/>
                <w:szCs w:val="24"/>
              </w:rPr>
            </w:pPr>
          </w:p>
          <w:p w14:paraId="60A74AB6" w14:textId="77777777" w:rsidR="007049A5" w:rsidRPr="004E4188" w:rsidRDefault="007049A5" w:rsidP="006C6267">
            <w:pPr>
              <w:suppressAutoHyphens w:val="0"/>
              <w:overflowPunct/>
              <w:autoSpaceDE/>
              <w:autoSpaceDN/>
              <w:adjustRightInd/>
              <w:textAlignment w:val="auto"/>
              <w:rPr>
                <w:szCs w:val="24"/>
              </w:rPr>
            </w:pPr>
            <w:r w:rsidRPr="004E4188">
              <w:rPr>
                <w:i/>
                <w:szCs w:val="24"/>
              </w:rPr>
              <w:t>Afin de rendre le poste (D) (c.-à-d. ajout des provisions pour risque) du tableau récapitulatif des Bordereaux des prix conforme à la disposition de cet Article : si l’option A est choisie, indiquer le pourcentage correspondant dans la description du poste, et si l’option B est choisie, insérer les parts en monnaie nationale et en monnaie(s) étrangère(s) du montant correspondant dans les colonnes respectives du tableau.</w:t>
            </w:r>
            <w:r w:rsidRPr="004E4188">
              <w:rPr>
                <w:szCs w:val="24"/>
              </w:rPr>
              <w:t>]</w:t>
            </w:r>
          </w:p>
          <w:p w14:paraId="0CEA02A2" w14:textId="77777777" w:rsidR="007049A5" w:rsidRPr="004E4188" w:rsidRDefault="007049A5" w:rsidP="006C6267">
            <w:pPr>
              <w:tabs>
                <w:tab w:val="right" w:pos="7254"/>
              </w:tabs>
              <w:spacing w:afterLines="50" w:after="120"/>
              <w:rPr>
                <w:szCs w:val="24"/>
              </w:rPr>
            </w:pPr>
          </w:p>
          <w:p w14:paraId="0873C484" w14:textId="77777777" w:rsidR="007049A5" w:rsidRPr="004E4188" w:rsidRDefault="007049A5" w:rsidP="006C6267">
            <w:pPr>
              <w:tabs>
                <w:tab w:val="right" w:pos="7254"/>
              </w:tabs>
              <w:spacing w:afterLines="50" w:after="120"/>
              <w:rPr>
                <w:szCs w:val="24"/>
              </w:rPr>
            </w:pPr>
            <w:r w:rsidRPr="004E4188">
              <w:rPr>
                <w:szCs w:val="24"/>
              </w:rPr>
              <w:t>L</w:t>
            </w:r>
            <w:r w:rsidRPr="004E4188">
              <w:rPr>
                <w:rFonts w:hint="eastAsia"/>
                <w:szCs w:val="24"/>
              </w:rPr>
              <w:t>es provisions pour risque sont</w:t>
            </w:r>
            <w:r w:rsidRPr="004E4188">
              <w:rPr>
                <w:szCs w:val="24"/>
              </w:rPr>
              <w:t> :</w:t>
            </w:r>
          </w:p>
          <w:p w14:paraId="5C46B040" w14:textId="77777777" w:rsidR="007049A5" w:rsidRPr="004E4188" w:rsidRDefault="007049A5" w:rsidP="006C6267">
            <w:pPr>
              <w:suppressAutoHyphens w:val="0"/>
              <w:overflowPunct/>
              <w:autoSpaceDE/>
              <w:autoSpaceDN/>
              <w:adjustRightInd/>
              <w:textAlignment w:val="auto"/>
              <w:rPr>
                <w:szCs w:val="24"/>
              </w:rPr>
            </w:pPr>
            <w:r w:rsidRPr="004E4188">
              <w:rPr>
                <w:szCs w:val="24"/>
              </w:rPr>
              <w:t>[</w:t>
            </w:r>
            <w:r w:rsidRPr="004E4188">
              <w:rPr>
                <w:i/>
                <w:szCs w:val="24"/>
              </w:rPr>
              <w:t>Choisir, le cas échéant, une des options suivantes, et supprimer l’autre</w:t>
            </w:r>
            <w:r w:rsidRPr="004E4188">
              <w:rPr>
                <w:szCs w:val="24"/>
              </w:rPr>
              <w:t>.]</w:t>
            </w:r>
          </w:p>
          <w:p w14:paraId="1EE47F36" w14:textId="77777777" w:rsidR="007049A5" w:rsidRPr="004E4188" w:rsidRDefault="007049A5" w:rsidP="006C6267">
            <w:pPr>
              <w:tabs>
                <w:tab w:val="right" w:pos="7254"/>
              </w:tabs>
              <w:spacing w:afterLines="50" w:after="120"/>
              <w:rPr>
                <w:szCs w:val="24"/>
              </w:rPr>
            </w:pPr>
          </w:p>
          <w:p w14:paraId="3EF10D0A" w14:textId="77777777" w:rsidR="007049A5" w:rsidRPr="004E4188" w:rsidRDefault="007049A5" w:rsidP="006C6267">
            <w:pPr>
              <w:tabs>
                <w:tab w:val="right" w:pos="7254"/>
              </w:tabs>
              <w:spacing w:afterLines="50" w:after="120"/>
              <w:rPr>
                <w:szCs w:val="24"/>
              </w:rPr>
            </w:pPr>
            <w:r w:rsidRPr="004E4188">
              <w:rPr>
                <w:szCs w:val="24"/>
              </w:rPr>
              <w:t>[</w:t>
            </w:r>
            <w:r w:rsidRPr="004E4188">
              <w:rPr>
                <w:i/>
                <w:szCs w:val="24"/>
              </w:rPr>
              <w:t>Option A</w:t>
            </w:r>
            <w:r w:rsidRPr="004E4188">
              <w:rPr>
                <w:szCs w:val="24"/>
              </w:rPr>
              <w:t>]</w:t>
            </w:r>
          </w:p>
          <w:p w14:paraId="408E0AFB" w14:textId="77777777" w:rsidR="007049A5" w:rsidRPr="004E4188" w:rsidRDefault="007049A5" w:rsidP="006C6267">
            <w:pPr>
              <w:suppressAutoHyphens w:val="0"/>
              <w:overflowPunct/>
              <w:autoSpaceDE/>
              <w:autoSpaceDN/>
              <w:adjustRightInd/>
              <w:textAlignment w:val="auto"/>
              <w:rPr>
                <w:szCs w:val="24"/>
              </w:rPr>
            </w:pPr>
            <w:r w:rsidRPr="004E4188">
              <w:rPr>
                <w:szCs w:val="24"/>
              </w:rPr>
              <w:t>[</w:t>
            </w:r>
            <w:r w:rsidRPr="004E4188">
              <w:rPr>
                <w:i/>
                <w:szCs w:val="24"/>
              </w:rPr>
              <w:t>Indiquer le pourcentage applicable</w:t>
            </w:r>
            <w:r w:rsidRPr="004E4188">
              <w:rPr>
                <w:szCs w:val="24"/>
              </w:rPr>
              <w:t>] du Montant de l’offre dans la(les) monnaie(s) dans laquelle(lesquelles) le Montant de l’offre est indiqué dans l’offre présentée par le Soumissionnaire.</w:t>
            </w:r>
          </w:p>
          <w:p w14:paraId="24480A90" w14:textId="77777777" w:rsidR="007049A5" w:rsidRPr="004E4188" w:rsidRDefault="007049A5" w:rsidP="006C6267">
            <w:pPr>
              <w:tabs>
                <w:tab w:val="right" w:pos="7254"/>
              </w:tabs>
              <w:spacing w:afterLines="50" w:after="120"/>
              <w:rPr>
                <w:szCs w:val="24"/>
              </w:rPr>
            </w:pPr>
          </w:p>
          <w:p w14:paraId="7ACA05CF" w14:textId="77777777" w:rsidR="007049A5" w:rsidRPr="004E4188" w:rsidRDefault="007049A5" w:rsidP="006C6267">
            <w:pPr>
              <w:tabs>
                <w:tab w:val="right" w:pos="7254"/>
              </w:tabs>
              <w:spacing w:afterLines="50" w:after="120"/>
              <w:rPr>
                <w:szCs w:val="24"/>
              </w:rPr>
            </w:pPr>
            <w:r w:rsidRPr="004E4188">
              <w:rPr>
                <w:szCs w:val="24"/>
              </w:rPr>
              <w:t>[</w:t>
            </w:r>
            <w:r w:rsidRPr="004E4188">
              <w:rPr>
                <w:i/>
                <w:szCs w:val="24"/>
              </w:rPr>
              <w:t>Option B</w:t>
            </w:r>
            <w:r w:rsidRPr="004E4188">
              <w:rPr>
                <w:szCs w:val="24"/>
              </w:rPr>
              <w:t>]</w:t>
            </w:r>
          </w:p>
          <w:p w14:paraId="334DCBB0" w14:textId="77777777" w:rsidR="007049A5" w:rsidRPr="004E4188" w:rsidRDefault="007049A5" w:rsidP="006C6267">
            <w:pPr>
              <w:suppressAutoHyphens w:val="0"/>
              <w:overflowPunct/>
              <w:autoSpaceDE/>
              <w:autoSpaceDN/>
              <w:adjustRightInd/>
              <w:textAlignment w:val="auto"/>
              <w:rPr>
                <w:szCs w:val="24"/>
              </w:rPr>
            </w:pPr>
            <w:r w:rsidRPr="004E4188">
              <w:rPr>
                <w:szCs w:val="24"/>
              </w:rPr>
              <w:t>[</w:t>
            </w:r>
            <w:r w:rsidRPr="004E4188">
              <w:rPr>
                <w:i/>
                <w:szCs w:val="24"/>
              </w:rPr>
              <w:t>Indiquer le montant fixe applicable dans la(les) monnaie(s) applicable(s)</w:t>
            </w:r>
            <w:r w:rsidRPr="004E4188">
              <w:rPr>
                <w:rFonts w:hint="eastAsia"/>
                <w:szCs w:val="24"/>
              </w:rPr>
              <w:t>.</w:t>
            </w:r>
            <w:r w:rsidRPr="004E4188">
              <w:rPr>
                <w:szCs w:val="24"/>
              </w:rPr>
              <w:t>]</w:t>
            </w:r>
          </w:p>
          <w:p w14:paraId="4A8BF195" w14:textId="77777777" w:rsidR="007049A5" w:rsidRPr="004E4188" w:rsidRDefault="007049A5" w:rsidP="006C6267">
            <w:pPr>
              <w:tabs>
                <w:tab w:val="right" w:pos="7254"/>
              </w:tabs>
              <w:spacing w:afterLines="50" w:after="120"/>
              <w:rPr>
                <w:szCs w:val="24"/>
              </w:rPr>
            </w:pPr>
          </w:p>
          <w:p w14:paraId="75BFC861" w14:textId="77777777" w:rsidR="007049A5" w:rsidRPr="004E4188" w:rsidRDefault="007049A5" w:rsidP="006C6267">
            <w:pPr>
              <w:suppressAutoHyphens w:val="0"/>
              <w:overflowPunct/>
              <w:autoSpaceDE/>
              <w:autoSpaceDN/>
              <w:adjustRightInd/>
              <w:textAlignment w:val="auto"/>
              <w:rPr>
                <w:szCs w:val="24"/>
              </w:rPr>
            </w:pPr>
            <w:r w:rsidRPr="004E4188">
              <w:rPr>
                <w:szCs w:val="24"/>
              </w:rPr>
              <w:t>[</w:t>
            </w:r>
            <w:r w:rsidRPr="004E4188">
              <w:rPr>
                <w:i/>
                <w:szCs w:val="24"/>
              </w:rPr>
              <w:t>Si aucun montant n’est alloué aux sommes provisionnelles de nature spécifique ni aux provisions pour risque dans les Bordereaux des prix, supprimer la disposition ci-dessus de cet Article et indiquer à la place « Cet Article 30.10 des DP est sans objet. »</w:t>
            </w:r>
            <w:r w:rsidRPr="004E4188">
              <w:rPr>
                <w:szCs w:val="24"/>
              </w:rPr>
              <w:t>]</w:t>
            </w:r>
          </w:p>
          <w:p w14:paraId="5977169D" w14:textId="77777777" w:rsidR="007049A5" w:rsidRPr="004E4188" w:rsidDel="00BF684A" w:rsidRDefault="007049A5" w:rsidP="006C6267">
            <w:pPr>
              <w:tabs>
                <w:tab w:val="right" w:pos="7254"/>
              </w:tabs>
              <w:spacing w:afterLines="50" w:after="120"/>
              <w:rPr>
                <w:szCs w:val="24"/>
              </w:rPr>
            </w:pPr>
          </w:p>
        </w:tc>
      </w:tr>
      <w:tr w:rsidR="007049A5" w:rsidRPr="004E4188" w14:paraId="67880C4C" w14:textId="77777777" w:rsidTr="006C6267">
        <w:tc>
          <w:tcPr>
            <w:tcW w:w="1320" w:type="dxa"/>
          </w:tcPr>
          <w:p w14:paraId="41E55D0B" w14:textId="79124CE3" w:rsidR="007049A5" w:rsidRPr="004E4188" w:rsidRDefault="007049A5" w:rsidP="005176C7">
            <w:pPr>
              <w:tabs>
                <w:tab w:val="right" w:pos="7434"/>
              </w:tabs>
              <w:spacing w:before="60" w:after="120"/>
              <w:rPr>
                <w:b/>
              </w:rPr>
            </w:pPr>
            <w:r w:rsidRPr="004E4188">
              <w:rPr>
                <w:b/>
              </w:rPr>
              <w:t>IS 31.1</w:t>
            </w:r>
          </w:p>
        </w:tc>
        <w:tc>
          <w:tcPr>
            <w:tcW w:w="7680" w:type="dxa"/>
          </w:tcPr>
          <w:p w14:paraId="172F37AE" w14:textId="77777777" w:rsidR="007049A5" w:rsidRPr="004E4188" w:rsidRDefault="007049A5" w:rsidP="006C6267">
            <w:pPr>
              <w:tabs>
                <w:tab w:val="right" w:pos="7254"/>
              </w:tabs>
              <w:spacing w:before="60" w:after="60"/>
              <w:rPr>
                <w:iCs/>
              </w:rPr>
            </w:pPr>
            <w:r w:rsidRPr="004E4188">
              <w:t>L</w:t>
            </w:r>
            <w:r w:rsidRPr="004E4188">
              <w:rPr>
                <w:szCs w:val="24"/>
              </w:rPr>
              <w:t xml:space="preserve">es monnaies de l’offre seront définies de la façon suivante </w:t>
            </w:r>
            <w:r w:rsidRPr="004E4188">
              <w:rPr>
                <w:iCs/>
              </w:rPr>
              <w:t>:</w:t>
            </w:r>
          </w:p>
          <w:p w14:paraId="0977C909" w14:textId="77777777" w:rsidR="007049A5" w:rsidRPr="004E4188" w:rsidRDefault="007049A5" w:rsidP="006C6267">
            <w:pPr>
              <w:pStyle w:val="StyleHeader1-ClausesAfter0pt"/>
              <w:tabs>
                <w:tab w:val="left" w:pos="1006"/>
              </w:tabs>
              <w:ind w:left="425" w:hanging="425"/>
              <w:rPr>
                <w:lang w:val="fr-FR"/>
              </w:rPr>
            </w:pPr>
            <w:r w:rsidRPr="004E4188">
              <w:rPr>
                <w:lang w:val="fr-FR"/>
              </w:rPr>
              <w:t>(a)</w:t>
            </w:r>
            <w:r w:rsidRPr="004E4188">
              <w:rPr>
                <w:lang w:val="fr-FR"/>
              </w:rPr>
              <w:tab/>
              <w:t>l</w:t>
            </w:r>
            <w:r w:rsidRPr="004E4188">
              <w:rPr>
                <w:szCs w:val="24"/>
                <w:lang w:val="fr-FR"/>
              </w:rPr>
              <w:t>es prix des intrants nécessaires aux É</w:t>
            </w:r>
            <w:r w:rsidRPr="004E4188">
              <w:rPr>
                <w:lang w:val="fr-FR"/>
              </w:rPr>
              <w:t>quipements et Services de montage</w:t>
            </w:r>
            <w:r w:rsidRPr="004E4188">
              <w:rPr>
                <w:szCs w:val="24"/>
                <w:lang w:val="fr-FR"/>
              </w:rPr>
              <w:t xml:space="preserve"> que le Soumissionnaire compte se procurer dans le pays du Maître d’ouvrage seront libellés en</w:t>
            </w:r>
            <w:r w:rsidRPr="004E4188">
              <w:rPr>
                <w:i/>
                <w:szCs w:val="24"/>
                <w:lang w:val="fr-FR"/>
              </w:rPr>
              <w:t xml:space="preserve"> </w:t>
            </w:r>
            <w:r w:rsidRPr="004E4188">
              <w:rPr>
                <w:szCs w:val="24"/>
                <w:lang w:val="fr-FR"/>
              </w:rPr>
              <w:t>[</w:t>
            </w:r>
            <w:r w:rsidRPr="004E4188">
              <w:rPr>
                <w:i/>
                <w:szCs w:val="24"/>
                <w:lang w:val="fr-FR"/>
              </w:rPr>
              <w:t>insérer la monnaie du pays du Maître d’ouvrage</w:t>
            </w:r>
            <w:r w:rsidRPr="004E4188">
              <w:rPr>
                <w:szCs w:val="24"/>
                <w:lang w:val="fr-FR"/>
              </w:rPr>
              <w:t>], dénommée ci-après « monnaie nationale », et seront exprimés avec [</w:t>
            </w:r>
            <w:r w:rsidRPr="004E4188">
              <w:rPr>
                <w:i/>
                <w:szCs w:val="24"/>
                <w:lang w:val="fr-FR"/>
              </w:rPr>
              <w:t>indiquer le nombre de chiffres après la virgule</w:t>
            </w:r>
            <w:r w:rsidRPr="004E4188">
              <w:rPr>
                <w:szCs w:val="24"/>
                <w:lang w:val="fr-FR"/>
              </w:rPr>
              <w:t>] décimale(s) ; e</w:t>
            </w:r>
            <w:r w:rsidRPr="004E4188">
              <w:rPr>
                <w:lang w:val="fr-FR"/>
              </w:rPr>
              <w:t>t</w:t>
            </w:r>
          </w:p>
          <w:p w14:paraId="536801EF" w14:textId="77777777" w:rsidR="007049A5" w:rsidRPr="004E4188" w:rsidRDefault="007049A5" w:rsidP="006C6267">
            <w:pPr>
              <w:pStyle w:val="StyleHeader1-ClausesAfter0pt"/>
              <w:tabs>
                <w:tab w:val="left" w:pos="1006"/>
              </w:tabs>
              <w:ind w:left="425" w:hanging="425"/>
              <w:rPr>
                <w:lang w:val="fr-FR"/>
              </w:rPr>
            </w:pPr>
            <w:r w:rsidRPr="004E4188">
              <w:rPr>
                <w:lang w:val="fr-FR"/>
              </w:rPr>
              <w:t>(b)</w:t>
            </w:r>
            <w:r w:rsidRPr="004E4188">
              <w:rPr>
                <w:lang w:val="fr-FR"/>
              </w:rPr>
              <w:tab/>
              <w:t>l</w:t>
            </w:r>
            <w:r w:rsidRPr="004E4188">
              <w:rPr>
                <w:szCs w:val="24"/>
                <w:lang w:val="fr-FR"/>
              </w:rPr>
              <w:t>es prix des intrants nécessaires aux É</w:t>
            </w:r>
            <w:r w:rsidRPr="004E4188">
              <w:rPr>
                <w:lang w:val="fr-FR"/>
              </w:rPr>
              <w:t>quipements et Services de montage</w:t>
            </w:r>
            <w:r w:rsidRPr="004E4188">
              <w:rPr>
                <w:szCs w:val="24"/>
                <w:lang w:val="fr-FR"/>
              </w:rPr>
              <w:t xml:space="preserve"> que le Soumissionnaire compte se procurer en dehors du pays du Maître d’ouvrage seront libellés dans la(les) monnaie(s), dénommée(s) ci-après « monnaie(s) étrangère(s) », suivante(s) </w:t>
            </w:r>
            <w:r w:rsidRPr="004E4188">
              <w:rPr>
                <w:lang w:val="fr-FR"/>
              </w:rPr>
              <w:t>:</w:t>
            </w:r>
          </w:p>
          <w:p w14:paraId="581F1958" w14:textId="77777777" w:rsidR="007049A5" w:rsidRPr="004E4188" w:rsidRDefault="007049A5" w:rsidP="008B4FAE">
            <w:pPr>
              <w:pStyle w:val="4"/>
              <w:keepNext/>
              <w:tabs>
                <w:tab w:val="clear" w:pos="1512"/>
                <w:tab w:val="left" w:pos="1572"/>
              </w:tabs>
              <w:overflowPunct/>
              <w:autoSpaceDE/>
              <w:autoSpaceDN/>
              <w:adjustRightInd/>
              <w:spacing w:after="60"/>
              <w:ind w:left="992" w:right="17" w:hanging="567"/>
              <w:textAlignment w:val="auto"/>
              <w:rPr>
                <w:lang w:val="fr-FR" w:eastAsia="ja-JP"/>
              </w:rPr>
            </w:pPr>
            <w:r w:rsidRPr="004E4188">
              <w:rPr>
                <w:lang w:val="fr-FR" w:eastAsia="ja-JP"/>
              </w:rPr>
              <w:t>le yen japonais (JPY), et seront exprimés sans décimale ; et/ou</w:t>
            </w:r>
          </w:p>
          <w:p w14:paraId="5988934E" w14:textId="7A889A16" w:rsidR="007049A5" w:rsidRPr="004E4188" w:rsidRDefault="007049A5" w:rsidP="005176C7">
            <w:pPr>
              <w:pStyle w:val="4"/>
              <w:keepNext/>
              <w:tabs>
                <w:tab w:val="clear" w:pos="1512"/>
                <w:tab w:val="left" w:pos="1572"/>
              </w:tabs>
              <w:overflowPunct/>
              <w:autoSpaceDE/>
              <w:autoSpaceDN/>
              <w:adjustRightInd/>
              <w:spacing w:after="120"/>
              <w:ind w:left="992" w:right="17" w:hanging="567"/>
              <w:textAlignment w:val="auto"/>
              <w:rPr>
                <w:lang w:val="fr-FR"/>
              </w:rPr>
            </w:pPr>
            <w:r w:rsidRPr="004E4188">
              <w:rPr>
                <w:lang w:val="fr-FR" w:eastAsia="ja-JP"/>
              </w:rPr>
              <w:t>[</w:t>
            </w:r>
            <w:r w:rsidRPr="004E4188">
              <w:rPr>
                <w:i/>
                <w:lang w:val="fr-FR" w:eastAsia="ja-JP"/>
              </w:rPr>
              <w:t>d’autres monnaies internationales majeures, le cas échéant</w:t>
            </w:r>
            <w:r w:rsidRPr="004E4188">
              <w:rPr>
                <w:lang w:val="fr-FR" w:eastAsia="ja-JP"/>
              </w:rPr>
              <w:t>], et seront exprimés avec [</w:t>
            </w:r>
            <w:r w:rsidRPr="004E4188">
              <w:rPr>
                <w:i/>
                <w:lang w:val="fr-FR" w:eastAsia="ja-JP"/>
              </w:rPr>
              <w:t>indiquer le nombre de chiffres après la virgule</w:t>
            </w:r>
            <w:r w:rsidRPr="004E4188">
              <w:rPr>
                <w:lang w:val="fr-FR" w:eastAsia="ja-JP"/>
              </w:rPr>
              <w:t>] décimale(s).</w:t>
            </w:r>
          </w:p>
        </w:tc>
      </w:tr>
      <w:tr w:rsidR="007049A5" w:rsidRPr="004E4188" w14:paraId="2BE9DB04" w14:textId="77777777" w:rsidTr="006C6267">
        <w:tc>
          <w:tcPr>
            <w:tcW w:w="1320" w:type="dxa"/>
          </w:tcPr>
          <w:p w14:paraId="694CAE34" w14:textId="658C32BA" w:rsidR="007049A5" w:rsidRPr="004E4188" w:rsidRDefault="007049A5" w:rsidP="005176C7">
            <w:pPr>
              <w:tabs>
                <w:tab w:val="right" w:pos="7434"/>
              </w:tabs>
              <w:spacing w:before="60" w:after="120"/>
              <w:rPr>
                <w:b/>
              </w:rPr>
            </w:pPr>
            <w:r w:rsidRPr="004E4188">
              <w:rPr>
                <w:b/>
              </w:rPr>
              <w:t>IS 32.1</w:t>
            </w:r>
          </w:p>
        </w:tc>
        <w:tc>
          <w:tcPr>
            <w:tcW w:w="7680" w:type="dxa"/>
          </w:tcPr>
          <w:p w14:paraId="3DC3DEA0" w14:textId="53701803" w:rsidR="007049A5" w:rsidRPr="004E4188" w:rsidRDefault="007049A5" w:rsidP="005176C7">
            <w:pPr>
              <w:tabs>
                <w:tab w:val="right" w:pos="7254"/>
              </w:tabs>
              <w:suppressAutoHyphens w:val="0"/>
              <w:overflowPunct/>
              <w:autoSpaceDE/>
              <w:autoSpaceDN/>
              <w:adjustRightInd/>
              <w:spacing w:before="60" w:after="120"/>
              <w:textAlignment w:val="auto"/>
              <w:rPr>
                <w:szCs w:val="24"/>
              </w:rPr>
            </w:pPr>
            <w:r w:rsidRPr="004E4188">
              <w:rPr>
                <w:szCs w:val="24"/>
              </w:rPr>
              <w:t>La période de validité de l’offre de la deuxième étape sera de [</w:t>
            </w:r>
            <w:r w:rsidRPr="004E4188">
              <w:rPr>
                <w:i/>
                <w:szCs w:val="24"/>
              </w:rPr>
              <w:t>indiquer le nombre de jours nécessaires pour l’évaluation, son approbation et l’attribution du Marché y compris les imprévus</w:t>
            </w:r>
            <w:r w:rsidRPr="004E4188">
              <w:rPr>
                <w:szCs w:val="24"/>
              </w:rPr>
              <w:t>] jours.</w:t>
            </w:r>
          </w:p>
          <w:p w14:paraId="1E4082E2" w14:textId="77777777" w:rsidR="007049A5" w:rsidRPr="004E4188" w:rsidRDefault="007049A5" w:rsidP="005176C7">
            <w:pPr>
              <w:pStyle w:val="StyleHeader1-ClausesAfter0pt"/>
              <w:tabs>
                <w:tab w:val="left" w:pos="1006"/>
              </w:tabs>
              <w:spacing w:before="60" w:after="120"/>
              <w:contextualSpacing/>
              <w:rPr>
                <w:u w:val="single"/>
                <w:lang w:val="fr-FR"/>
              </w:rPr>
            </w:pPr>
            <w:r w:rsidRPr="004E4188">
              <w:rPr>
                <w:szCs w:val="24"/>
                <w:lang w:val="fr-FR"/>
              </w:rPr>
              <w:t>[</w:t>
            </w:r>
            <w:r w:rsidRPr="004E4188">
              <w:rPr>
                <w:i/>
                <w:szCs w:val="24"/>
                <w:lang w:val="fr-FR"/>
              </w:rPr>
              <w:t>Cette période doit être réaliste et donner suffisamment de temps pour évaluer les offres en tenant compte de la complexité des Installations et du temps nécessaire pour obtenir des références, éclaircissements, autorisations et approbations (y compris la non-objection de la JICA) et pour la notification de l’adjudication. Cette période ne doit généralement pas dépasser 120 jours.</w:t>
            </w:r>
            <w:r w:rsidRPr="004E4188">
              <w:rPr>
                <w:szCs w:val="24"/>
                <w:lang w:val="fr-FR"/>
              </w:rPr>
              <w:t>]</w:t>
            </w:r>
          </w:p>
        </w:tc>
      </w:tr>
      <w:tr w:rsidR="007049A5" w:rsidRPr="004E4188" w14:paraId="4374295E" w14:textId="77777777" w:rsidTr="006C6267">
        <w:tc>
          <w:tcPr>
            <w:tcW w:w="1320" w:type="dxa"/>
          </w:tcPr>
          <w:p w14:paraId="4583E3CC" w14:textId="77777777" w:rsidR="007049A5" w:rsidRPr="004E4188" w:rsidRDefault="007049A5" w:rsidP="00B31E15">
            <w:pPr>
              <w:tabs>
                <w:tab w:val="right" w:pos="7434"/>
              </w:tabs>
              <w:spacing w:before="60" w:after="120"/>
              <w:rPr>
                <w:b/>
                <w:lang w:eastAsia="ja-JP"/>
              </w:rPr>
            </w:pPr>
            <w:r w:rsidRPr="004E4188">
              <w:rPr>
                <w:rFonts w:hint="eastAsia"/>
                <w:b/>
                <w:lang w:eastAsia="ja-JP"/>
              </w:rPr>
              <w:t>I</w:t>
            </w:r>
            <w:r w:rsidRPr="004E4188">
              <w:rPr>
                <w:b/>
                <w:lang w:eastAsia="ja-JP"/>
              </w:rPr>
              <w:t>S 32.3(a)</w:t>
            </w:r>
          </w:p>
        </w:tc>
        <w:tc>
          <w:tcPr>
            <w:tcW w:w="7680" w:type="dxa"/>
          </w:tcPr>
          <w:p w14:paraId="6FC6DD8D" w14:textId="77777777" w:rsidR="007049A5" w:rsidRPr="004E4188" w:rsidRDefault="007049A5" w:rsidP="006C6267">
            <w:pPr>
              <w:tabs>
                <w:tab w:val="right" w:pos="7254"/>
              </w:tabs>
              <w:spacing w:beforeLines="60" w:before="144" w:afterLines="60" w:after="144"/>
              <w:contextualSpacing/>
              <w:rPr>
                <w:lang w:eastAsia="ja-JP"/>
              </w:rPr>
            </w:pPr>
            <w:r w:rsidRPr="004E4188">
              <w:rPr>
                <w:lang w:eastAsia="ja-JP"/>
              </w:rPr>
              <w:t>[</w:t>
            </w:r>
            <w:r w:rsidRPr="004E4188">
              <w:rPr>
                <w:i/>
                <w:lang w:eastAsia="ja-JP"/>
              </w:rPr>
              <w:t>I</w:t>
            </w:r>
            <w:r w:rsidRPr="004E4188">
              <w:rPr>
                <w:i/>
                <w:iCs/>
                <w:lang w:eastAsia="ja-JP"/>
              </w:rPr>
              <w:t>ndiquer ce qui suit uniquement en cas d’un marché à prix ferme. Supprimer ce paragraphe dans son intégralité en cas d’un marché à prix révisable et insérer à la place « Cet Article 32.3(a) des DP est sans objet. »</w:t>
            </w:r>
            <w:r w:rsidRPr="004E4188">
              <w:rPr>
                <w:lang w:eastAsia="ja-JP"/>
              </w:rPr>
              <w:t>]</w:t>
            </w:r>
          </w:p>
          <w:p w14:paraId="3B2E5F43" w14:textId="77777777" w:rsidR="007049A5" w:rsidRPr="004E4188" w:rsidRDefault="007049A5" w:rsidP="006C6267">
            <w:pPr>
              <w:tabs>
                <w:tab w:val="right" w:pos="7254"/>
              </w:tabs>
              <w:spacing w:beforeLines="60" w:before="144" w:afterLines="60" w:after="144"/>
              <w:contextualSpacing/>
            </w:pPr>
          </w:p>
          <w:p w14:paraId="7D095CAF" w14:textId="77777777" w:rsidR="007049A5" w:rsidRPr="004E4188" w:rsidRDefault="007049A5" w:rsidP="006C6267">
            <w:pPr>
              <w:tabs>
                <w:tab w:val="right" w:pos="7254"/>
              </w:tabs>
              <w:spacing w:beforeLines="60" w:before="144" w:afterLines="60" w:after="144"/>
              <w:contextualSpacing/>
            </w:pPr>
            <w:r w:rsidRPr="004E4188">
              <w:t>Les parts en monnaie nationale et en monnaie(s) étrangère(s) du Montant du Marché seront actualisées par application de la formule suivante :</w:t>
            </w:r>
          </w:p>
          <w:p w14:paraId="6B35B37C" w14:textId="77777777" w:rsidR="007049A5" w:rsidRPr="004E4188" w:rsidRDefault="00000000" w:rsidP="006C6267">
            <w:pPr>
              <w:pStyle w:val="aff7"/>
              <w:spacing w:beforeLines="60" w:before="144" w:afterLines="60" w:after="144" w:line="240" w:lineRule="auto"/>
              <w:ind w:leftChars="0" w:left="0"/>
              <w:contextualSpacing/>
              <w:jc w:val="left"/>
              <w:rPr>
                <w:rFonts w:ascii="Times New Roman" w:hAnsi="Times New Roman"/>
                <w:sz w:val="24"/>
                <w:szCs w:val="24"/>
                <w:lang w:val="fr-FR"/>
              </w:rPr>
            </w:pPr>
            <m:oMathPara>
              <m:oMathParaPr>
                <m:jc m:val="left"/>
              </m:oMathParaPr>
              <m:oMath>
                <m:sSub>
                  <m:sSubPr>
                    <m:ctrlPr>
                      <w:rPr>
                        <w:rFonts w:ascii="Cambria Math" w:hAnsi="Cambria Math"/>
                      </w:rPr>
                    </m:ctrlPr>
                  </m:sSubPr>
                  <m:e>
                    <m:r>
                      <m:rPr>
                        <m:sty m:val="p"/>
                      </m:rPr>
                      <w:rPr>
                        <w:rFonts w:ascii="Cambria Math" w:hAnsi="Cambria Math"/>
                        <w:lang w:val="fr-FR"/>
                      </w:rPr>
                      <m:t>BP</m:t>
                    </m:r>
                  </m:e>
                  <m:sub>
                    <m:r>
                      <m:rPr>
                        <m:sty m:val="p"/>
                      </m:rPr>
                      <w:rPr>
                        <w:rFonts w:ascii="Cambria Math" w:hAnsi="Cambria Math"/>
                        <w:lang w:val="fr-FR"/>
                      </w:rPr>
                      <m:t>A</m:t>
                    </m:r>
                  </m:sub>
                </m:sSub>
                <m:r>
                  <w:rPr>
                    <w:rFonts w:ascii="Cambria Math" w:hAnsi="Cambria Math"/>
                    <w:lang w:val="fr-FR"/>
                  </w:rPr>
                  <m:t>=</m:t>
                </m:r>
                <m:sSub>
                  <m:sSubPr>
                    <m:ctrlPr>
                      <w:rPr>
                        <w:rFonts w:ascii="Cambria Math" w:hAnsi="Cambria Math"/>
                      </w:rPr>
                    </m:ctrlPr>
                  </m:sSubPr>
                  <m:e>
                    <m:r>
                      <m:rPr>
                        <m:sty m:val="p"/>
                      </m:rPr>
                      <w:rPr>
                        <w:rFonts w:ascii="Cambria Math" w:hAnsi="Cambria Math"/>
                        <w:lang w:val="fr-FR"/>
                      </w:rPr>
                      <m:t>BP</m:t>
                    </m:r>
                  </m:e>
                  <m:sub>
                    <m:r>
                      <m:rPr>
                        <m:sty m:val="p"/>
                      </m:rPr>
                      <w:rPr>
                        <w:rFonts w:ascii="Cambria Math" w:hAnsi="Cambria Math"/>
                        <w:lang w:val="fr-FR"/>
                      </w:rPr>
                      <m:t>0</m:t>
                    </m:r>
                  </m:sub>
                </m:sSub>
                <m:d>
                  <m:dPr>
                    <m:ctrlPr>
                      <w:rPr>
                        <w:rFonts w:ascii="Cambria Math" w:hAnsi="Cambria Math"/>
                        <w:i/>
                      </w:rPr>
                    </m:ctrlPr>
                  </m:dPr>
                  <m:e>
                    <m:r>
                      <w:rPr>
                        <w:rFonts w:ascii="Cambria Math" w:hAnsi="Cambria Math"/>
                        <w:lang w:val="fr-FR"/>
                      </w:rPr>
                      <m:t>1+</m:t>
                    </m:r>
                    <m:f>
                      <m:fPr>
                        <m:ctrlPr>
                          <w:rPr>
                            <w:rFonts w:ascii="Cambria Math" w:eastAsia="游明朝" w:hAnsi="Cambria Math"/>
                            <w:i/>
                            <w:sz w:val="22"/>
                            <w:szCs w:val="22"/>
                          </w:rPr>
                        </m:ctrlPr>
                      </m:fPr>
                      <m:num>
                        <m:r>
                          <m:rPr>
                            <m:sty m:val="p"/>
                          </m:rPr>
                          <w:rPr>
                            <w:rFonts w:ascii="Cambria Math" w:hAnsi="Cambria Math"/>
                            <w:lang w:val="fr-FR"/>
                          </w:rPr>
                          <m:t>DP×AF</m:t>
                        </m:r>
                      </m:num>
                      <m:den>
                        <m:r>
                          <w:rPr>
                            <w:rFonts w:ascii="Cambria Math" w:hAnsi="Cambria Math"/>
                            <w:lang w:val="fr-FR"/>
                          </w:rPr>
                          <m:t>365</m:t>
                        </m:r>
                      </m:den>
                    </m:f>
                  </m:e>
                </m:d>
              </m:oMath>
            </m:oMathPara>
          </w:p>
          <w:p w14:paraId="06339D74" w14:textId="77777777" w:rsidR="007049A5" w:rsidRPr="004E4188" w:rsidRDefault="007049A5" w:rsidP="006C6267">
            <w:pPr>
              <w:pStyle w:val="aff7"/>
              <w:spacing w:beforeLines="60" w:before="144" w:afterLines="60" w:after="144" w:line="240" w:lineRule="auto"/>
              <w:ind w:leftChars="0" w:left="0" w:firstLine="254"/>
              <w:contextualSpacing/>
              <w:jc w:val="left"/>
              <w:rPr>
                <w:rFonts w:ascii="Times New Roman" w:hAnsi="Times New Roman"/>
                <w:sz w:val="24"/>
                <w:szCs w:val="24"/>
              </w:rPr>
            </w:pPr>
          </w:p>
          <w:p w14:paraId="052C12EE" w14:textId="77777777" w:rsidR="007049A5" w:rsidRPr="004E4188" w:rsidRDefault="007049A5" w:rsidP="006C6267">
            <w:pPr>
              <w:pStyle w:val="aff7"/>
              <w:spacing w:beforeLines="60" w:before="144" w:afterLines="60" w:after="144" w:line="240" w:lineRule="auto"/>
              <w:ind w:leftChars="0" w:left="220"/>
              <w:contextualSpacing/>
              <w:rPr>
                <w:rFonts w:ascii="Times New Roman" w:hAnsi="Times New Roman"/>
                <w:sz w:val="24"/>
                <w:szCs w:val="24"/>
                <w:lang w:val="fr-FR"/>
              </w:rPr>
            </w:pPr>
            <w:r w:rsidRPr="004E4188">
              <w:rPr>
                <w:rFonts w:ascii="Times New Roman" w:hAnsi="Times New Roman"/>
                <w:sz w:val="24"/>
                <w:szCs w:val="24"/>
                <w:lang w:val="fr-FR"/>
              </w:rPr>
              <w:t>dans</w:t>
            </w:r>
            <w:r w:rsidRPr="004E4188">
              <w:rPr>
                <w:rFonts w:ascii="Times New Roman" w:hAnsi="Times New Roman"/>
                <w:iCs/>
                <w:sz w:val="24"/>
                <w:szCs w:val="24"/>
                <w:lang w:val="fr-FR"/>
              </w:rPr>
              <w:t xml:space="preserve"> laquelle </w:t>
            </w:r>
            <w:r w:rsidRPr="004E4188">
              <w:rPr>
                <w:rFonts w:ascii="Times New Roman" w:hAnsi="Times New Roman"/>
                <w:sz w:val="24"/>
                <w:szCs w:val="24"/>
                <w:lang w:val="fr-FR"/>
              </w:rPr>
              <w:t>:</w:t>
            </w:r>
          </w:p>
          <w:p w14:paraId="06DEF940" w14:textId="77777777" w:rsidR="007049A5" w:rsidRPr="004E4188" w:rsidRDefault="007049A5" w:rsidP="006C6267">
            <w:pPr>
              <w:pStyle w:val="aff7"/>
              <w:spacing w:beforeLines="60" w:before="144" w:afterLines="60" w:after="144" w:line="240" w:lineRule="auto"/>
              <w:ind w:leftChars="0" w:left="220"/>
              <w:contextualSpacing/>
              <w:rPr>
                <w:rFonts w:ascii="Times New Roman" w:hAnsi="Times New Roman"/>
                <w:sz w:val="24"/>
                <w:szCs w:val="24"/>
                <w:lang w:val="fr-FR"/>
              </w:rPr>
            </w:pPr>
            <w:r w:rsidRPr="004E4188">
              <w:rPr>
                <w:rFonts w:ascii="Times New Roman" w:hAnsi="Times New Roman"/>
                <w:sz w:val="24"/>
                <w:szCs w:val="24"/>
                <w:lang w:val="fr-FR"/>
              </w:rPr>
              <w:t>BP</w:t>
            </w:r>
            <w:r w:rsidRPr="004E4188">
              <w:rPr>
                <w:rFonts w:ascii="Times New Roman" w:hAnsi="Times New Roman"/>
                <w:sz w:val="24"/>
                <w:szCs w:val="24"/>
                <w:vertAlign w:val="subscript"/>
                <w:lang w:val="fr-FR"/>
              </w:rPr>
              <w:t>A</w:t>
            </w:r>
            <w:r w:rsidRPr="004E4188">
              <w:rPr>
                <w:rFonts w:ascii="Times New Roman" w:hAnsi="Times New Roman"/>
                <w:sz w:val="24"/>
                <w:szCs w:val="24"/>
                <w:lang w:val="fr-FR"/>
              </w:rPr>
              <w:t xml:space="preserve"> est la part en monnaie nationale (ou étrangère(s)) du Montant de l’offre, ajustée pour tenir compte du retard dans l’attribution du Marché.</w:t>
            </w:r>
          </w:p>
          <w:p w14:paraId="330CB5FC" w14:textId="77777777" w:rsidR="007049A5" w:rsidRPr="004E4188" w:rsidRDefault="007049A5" w:rsidP="006C6267">
            <w:pPr>
              <w:pStyle w:val="aff7"/>
              <w:spacing w:beforeLines="60" w:before="144" w:afterLines="60" w:after="144" w:line="240" w:lineRule="auto"/>
              <w:ind w:leftChars="0" w:left="220"/>
              <w:contextualSpacing/>
              <w:rPr>
                <w:rFonts w:ascii="Times New Roman" w:hAnsi="Times New Roman"/>
                <w:sz w:val="24"/>
                <w:szCs w:val="24"/>
                <w:lang w:val="fr-FR"/>
              </w:rPr>
            </w:pPr>
            <w:r w:rsidRPr="004E4188">
              <w:rPr>
                <w:rFonts w:ascii="Times New Roman" w:hAnsi="Times New Roman"/>
                <w:sz w:val="24"/>
                <w:szCs w:val="24"/>
                <w:lang w:val="fr-FR"/>
              </w:rPr>
              <w:t>BP</w:t>
            </w:r>
            <w:r w:rsidRPr="004E4188">
              <w:rPr>
                <w:rFonts w:ascii="Times New Roman" w:hAnsi="Times New Roman"/>
                <w:sz w:val="24"/>
                <w:szCs w:val="24"/>
                <w:vertAlign w:val="subscript"/>
                <w:lang w:val="fr-FR"/>
              </w:rPr>
              <w:t>O</w:t>
            </w:r>
            <w:r w:rsidRPr="004E4188">
              <w:rPr>
                <w:rFonts w:ascii="Times New Roman" w:hAnsi="Times New Roman"/>
                <w:sz w:val="24"/>
                <w:szCs w:val="24"/>
                <w:lang w:val="fr-FR"/>
              </w:rPr>
              <w:t xml:space="preserve"> est la part en monnaie nationale (ou étrangère(s)) du Montant de l’offre, indiquée dans la Lettre de soumission.</w:t>
            </w:r>
          </w:p>
          <w:p w14:paraId="09AE650F" w14:textId="77777777" w:rsidR="007049A5" w:rsidRPr="004E4188" w:rsidRDefault="007049A5" w:rsidP="006C6267">
            <w:pPr>
              <w:pStyle w:val="aff7"/>
              <w:spacing w:beforeLines="60" w:before="144" w:afterLines="60" w:after="144" w:line="240" w:lineRule="auto"/>
              <w:ind w:leftChars="0" w:left="220"/>
              <w:contextualSpacing/>
              <w:rPr>
                <w:rFonts w:ascii="Times New Roman" w:hAnsi="Times New Roman"/>
                <w:sz w:val="24"/>
                <w:szCs w:val="24"/>
                <w:lang w:val="fr-FR"/>
              </w:rPr>
            </w:pPr>
            <w:r w:rsidRPr="004E4188">
              <w:rPr>
                <w:rFonts w:ascii="Times New Roman" w:hAnsi="Times New Roman"/>
                <w:sz w:val="24"/>
                <w:szCs w:val="24"/>
                <w:lang w:val="fr-FR"/>
              </w:rPr>
              <w:t>DP</w:t>
            </w:r>
            <w:r w:rsidRPr="004E4188">
              <w:rPr>
                <w:rFonts w:ascii="Times New Roman" w:hAnsi="Times New Roman"/>
                <w:iCs/>
                <w:sz w:val="24"/>
                <w:szCs w:val="24"/>
                <w:lang w:val="fr-FR"/>
              </w:rPr>
              <w:t xml:space="preserve"> est la durée du retard, calculée en nombre de jours écoulés entre la date d’attribution du Marché et la date, cinquante-six (56) jours après l’expiration de la période de validité initiale de l’offre.</w:t>
            </w:r>
          </w:p>
          <w:p w14:paraId="0267A221" w14:textId="77777777" w:rsidR="007049A5" w:rsidRPr="004E4188" w:rsidRDefault="007049A5" w:rsidP="006C6267">
            <w:pPr>
              <w:pStyle w:val="aff7"/>
              <w:spacing w:beforeLines="60" w:before="144" w:afterLines="60" w:after="144" w:line="240" w:lineRule="auto"/>
              <w:ind w:leftChars="0" w:left="220"/>
              <w:contextualSpacing/>
              <w:rPr>
                <w:rFonts w:ascii="Times New Roman" w:hAnsi="Times New Roman"/>
                <w:sz w:val="24"/>
                <w:szCs w:val="24"/>
                <w:lang w:val="fr-FR"/>
              </w:rPr>
            </w:pPr>
            <w:r w:rsidRPr="004E4188">
              <w:rPr>
                <w:rFonts w:ascii="Times New Roman" w:hAnsi="Times New Roman"/>
                <w:sz w:val="24"/>
                <w:szCs w:val="24"/>
                <w:lang w:val="fr-FR"/>
              </w:rPr>
              <w:t>AF est :</w:t>
            </w:r>
          </w:p>
          <w:p w14:paraId="5CC38FDF" w14:textId="0E561C29" w:rsidR="007049A5" w:rsidRPr="004E4188" w:rsidRDefault="007049A5" w:rsidP="006C6267">
            <w:pPr>
              <w:pStyle w:val="StyleHeader1-ClausesAfter0pt"/>
              <w:tabs>
                <w:tab w:val="left" w:pos="1006"/>
              </w:tabs>
              <w:spacing w:before="60" w:after="60"/>
              <w:ind w:left="645" w:hanging="425"/>
              <w:contextualSpacing/>
              <w:rPr>
                <w:szCs w:val="24"/>
                <w:lang w:val="fr-FR"/>
              </w:rPr>
            </w:pPr>
            <w:r w:rsidRPr="004E4188">
              <w:rPr>
                <w:szCs w:val="24"/>
                <w:lang w:val="fr-FR"/>
              </w:rPr>
              <w:t>(a)</w:t>
            </w:r>
            <w:r w:rsidRPr="004E4188">
              <w:rPr>
                <w:szCs w:val="24"/>
                <w:lang w:val="fr-FR"/>
              </w:rPr>
              <w:tab/>
              <w:t>dans le cas de la monnaie nationale, le taux annuel moyen d’inflation dans le pays du Maître d’ouvrage, calculé à partir des données officiellement publiées par l’autorité compétente du pays du Maître d’ouvrage en charge de la publication de ces données, sur les trois (3) dernières années à compter d’un (1) mois avant la date d’attribution du Marché</w:t>
            </w:r>
            <w:r w:rsidR="007357AC" w:rsidRPr="004E4188">
              <w:rPr>
                <w:szCs w:val="24"/>
                <w:lang w:val="fr-FR"/>
              </w:rPr>
              <w:t> ;</w:t>
            </w:r>
          </w:p>
          <w:p w14:paraId="55734D95" w14:textId="77777777" w:rsidR="007049A5" w:rsidRPr="004E4188" w:rsidRDefault="007049A5" w:rsidP="005176C7">
            <w:pPr>
              <w:pStyle w:val="StyleHeader1-ClausesAfter0pt"/>
              <w:tabs>
                <w:tab w:val="left" w:pos="1006"/>
              </w:tabs>
              <w:spacing w:before="60" w:after="120"/>
              <w:ind w:left="645" w:hanging="425"/>
              <w:contextualSpacing/>
              <w:rPr>
                <w:lang w:val="fr-FR" w:eastAsia="ja-JP"/>
              </w:rPr>
            </w:pPr>
            <w:r w:rsidRPr="004E4188">
              <w:rPr>
                <w:szCs w:val="24"/>
                <w:lang w:val="fr-FR"/>
              </w:rPr>
              <w:t>(b)</w:t>
            </w:r>
            <w:r w:rsidRPr="004E4188">
              <w:rPr>
                <w:szCs w:val="24"/>
                <w:lang w:val="fr-FR"/>
              </w:rPr>
              <w:tab/>
              <w:t>dans le cas de la(les) monnaie(s) étrangère(s), le taux annuel moyen d’inflation dans le pays de la monnaie étrangère, calculé à partir des données officiellement publiées par l’autorité compétente de ce pays en charge de la publication de ces données, sur les trois (3) dernières années à compter d’un (1) mois avant la date d’attribution du Marché.</w:t>
            </w:r>
          </w:p>
        </w:tc>
      </w:tr>
      <w:tr w:rsidR="007049A5" w:rsidRPr="004E4188" w14:paraId="19EFCEE8" w14:textId="77777777" w:rsidTr="006C6267">
        <w:tc>
          <w:tcPr>
            <w:tcW w:w="1320" w:type="dxa"/>
          </w:tcPr>
          <w:p w14:paraId="63445B68" w14:textId="4E8309C6" w:rsidR="007049A5" w:rsidRPr="004E4188" w:rsidRDefault="007049A5" w:rsidP="005176C7">
            <w:pPr>
              <w:tabs>
                <w:tab w:val="right" w:pos="7434"/>
              </w:tabs>
              <w:spacing w:before="60" w:after="120"/>
              <w:rPr>
                <w:b/>
              </w:rPr>
            </w:pPr>
            <w:r w:rsidRPr="004E4188">
              <w:rPr>
                <w:b/>
              </w:rPr>
              <w:t>IS 33.1</w:t>
            </w:r>
          </w:p>
        </w:tc>
        <w:tc>
          <w:tcPr>
            <w:tcW w:w="7680" w:type="dxa"/>
          </w:tcPr>
          <w:p w14:paraId="2F1A2AFC" w14:textId="180785D4" w:rsidR="007049A5" w:rsidRPr="004E4188" w:rsidRDefault="007049A5" w:rsidP="006C6267">
            <w:pPr>
              <w:tabs>
                <w:tab w:val="right" w:pos="7254"/>
              </w:tabs>
              <w:spacing w:before="60" w:afterLines="50" w:after="120"/>
              <w:rPr>
                <w:u w:val="single"/>
              </w:rPr>
            </w:pPr>
            <w:r w:rsidRPr="004E4188">
              <w:t xml:space="preserve">Le montant et la monnaie de la garantie </w:t>
            </w:r>
            <w:r w:rsidRPr="004E4188">
              <w:rPr>
                <w:szCs w:val="24"/>
                <w:lang w:eastAsia="ja-JP"/>
              </w:rPr>
              <w:t>de soumission</w:t>
            </w:r>
            <w:r w:rsidRPr="004E4188">
              <w:t xml:space="preserve"> sont : [</w:t>
            </w:r>
            <w:r w:rsidRPr="004E4188">
              <w:rPr>
                <w:i/>
              </w:rPr>
              <w:t>Indiquer le montant et la monnaie. Le montant doit être fixé entre 1,5% et 2,5</w:t>
            </w:r>
            <w:r w:rsidRPr="004E4188">
              <w:rPr>
                <w:rFonts w:hint="eastAsia"/>
                <w:i/>
                <w:lang w:eastAsia="ja-JP"/>
              </w:rPr>
              <w:t xml:space="preserve">% </w:t>
            </w:r>
            <w:r w:rsidRPr="004E4188">
              <w:rPr>
                <w:i/>
                <w:lang w:eastAsia="ja-JP"/>
              </w:rPr>
              <w:t>de la valeur estimée du Marché</w:t>
            </w:r>
            <w:r w:rsidRPr="004E4188">
              <w:rPr>
                <w:bCs/>
                <w:i/>
                <w:lang w:eastAsia="ja-JP"/>
              </w:rPr>
              <w:t>.</w:t>
            </w:r>
            <w:r w:rsidRPr="004E4188">
              <w:rPr>
                <w:bCs/>
              </w:rPr>
              <w:t>]</w:t>
            </w:r>
          </w:p>
        </w:tc>
      </w:tr>
      <w:tr w:rsidR="007049A5" w:rsidRPr="004E4188" w14:paraId="2B6603ED" w14:textId="77777777" w:rsidTr="006C6267">
        <w:tc>
          <w:tcPr>
            <w:tcW w:w="1320" w:type="dxa"/>
          </w:tcPr>
          <w:p w14:paraId="1FE14717" w14:textId="73A5E12A" w:rsidR="007049A5" w:rsidRPr="004E4188" w:rsidRDefault="007049A5" w:rsidP="005176C7">
            <w:pPr>
              <w:tabs>
                <w:tab w:val="right" w:pos="7434"/>
              </w:tabs>
              <w:spacing w:before="60" w:after="120"/>
              <w:rPr>
                <w:b/>
              </w:rPr>
            </w:pPr>
            <w:r w:rsidRPr="004E4188">
              <w:rPr>
                <w:b/>
              </w:rPr>
              <w:t>IS 33.2(d)</w:t>
            </w:r>
          </w:p>
        </w:tc>
        <w:tc>
          <w:tcPr>
            <w:tcW w:w="7680" w:type="dxa"/>
          </w:tcPr>
          <w:p w14:paraId="207108A9" w14:textId="1883080B" w:rsidR="007049A5" w:rsidRPr="004E4188" w:rsidRDefault="007049A5" w:rsidP="004F0FA4">
            <w:pPr>
              <w:tabs>
                <w:tab w:val="right" w:pos="7254"/>
              </w:tabs>
              <w:spacing w:before="60" w:after="120"/>
              <w:rPr>
                <w:u w:val="single"/>
              </w:rPr>
            </w:pPr>
            <w:r w:rsidRPr="004E4188">
              <w:t>Autres types de garantie acceptables : [</w:t>
            </w:r>
            <w:r w:rsidRPr="004E4188">
              <w:rPr>
                <w:i/>
              </w:rPr>
              <w:t xml:space="preserve">Indiquer les autres formes de garantie </w:t>
            </w:r>
            <w:r w:rsidRPr="004E4188">
              <w:rPr>
                <w:i/>
                <w:szCs w:val="24"/>
                <w:lang w:eastAsia="ja-JP"/>
              </w:rPr>
              <w:t>de soumission</w:t>
            </w:r>
            <w:r w:rsidRPr="004E4188">
              <w:rPr>
                <w:i/>
              </w:rPr>
              <w:t xml:space="preserve"> acceptables. Indiquer « aucune » si aucune autre forme que celles citées à IS 33.2 (a) </w:t>
            </w:r>
            <w:r w:rsidR="004F0FA4" w:rsidRPr="004E4188">
              <w:rPr>
                <w:i/>
              </w:rPr>
              <w:t xml:space="preserve">à </w:t>
            </w:r>
            <w:r w:rsidRPr="004E4188">
              <w:rPr>
                <w:i/>
              </w:rPr>
              <w:t>(c) n’est permise.</w:t>
            </w:r>
            <w:r w:rsidRPr="004E4188">
              <w:rPr>
                <w:bCs/>
                <w:iCs/>
              </w:rPr>
              <w:t>]</w:t>
            </w:r>
          </w:p>
        </w:tc>
      </w:tr>
      <w:tr w:rsidR="007049A5" w:rsidRPr="004E4188" w14:paraId="227E776D" w14:textId="77777777" w:rsidTr="00523BAA">
        <w:tc>
          <w:tcPr>
            <w:tcW w:w="1320" w:type="dxa"/>
            <w:tcBorders>
              <w:bottom w:val="single" w:sz="8" w:space="0" w:color="000000"/>
            </w:tcBorders>
          </w:tcPr>
          <w:p w14:paraId="0B947273" w14:textId="7035A3D3" w:rsidR="007049A5" w:rsidRPr="004E4188" w:rsidRDefault="007049A5" w:rsidP="005176C7">
            <w:pPr>
              <w:tabs>
                <w:tab w:val="right" w:pos="7434"/>
              </w:tabs>
              <w:spacing w:before="60" w:after="120"/>
              <w:rPr>
                <w:b/>
              </w:rPr>
            </w:pPr>
            <w:r w:rsidRPr="004E4188">
              <w:rPr>
                <w:b/>
              </w:rPr>
              <w:t>IS 34.1</w:t>
            </w:r>
          </w:p>
        </w:tc>
        <w:tc>
          <w:tcPr>
            <w:tcW w:w="7680" w:type="dxa"/>
            <w:tcBorders>
              <w:bottom w:val="single" w:sz="8" w:space="0" w:color="000000"/>
            </w:tcBorders>
          </w:tcPr>
          <w:p w14:paraId="58F74E2A" w14:textId="74C57F5B" w:rsidR="007049A5" w:rsidRPr="004E4188" w:rsidRDefault="007049A5" w:rsidP="005176C7">
            <w:pPr>
              <w:keepLines/>
              <w:tabs>
                <w:tab w:val="right" w:pos="7254"/>
              </w:tabs>
              <w:spacing w:before="60" w:after="120"/>
              <w:rPr>
                <w:u w:val="single"/>
              </w:rPr>
            </w:pPr>
            <w:r w:rsidRPr="004E4188">
              <w:t>Outre l’original de l’offre de la deuxième étape, le nombre de copies demandé est de : [</w:t>
            </w:r>
            <w:r w:rsidRPr="004E4188">
              <w:rPr>
                <w:i/>
              </w:rPr>
              <w:t>indiquer le nombre</w:t>
            </w:r>
            <w:r w:rsidRPr="004E4188">
              <w:rPr>
                <w:bCs/>
                <w:iCs/>
              </w:rPr>
              <w:t>]</w:t>
            </w:r>
          </w:p>
        </w:tc>
      </w:tr>
      <w:tr w:rsidR="007049A5" w:rsidRPr="004E4188" w14:paraId="1F35961F" w14:textId="77777777" w:rsidTr="00523BAA">
        <w:tc>
          <w:tcPr>
            <w:tcW w:w="9000" w:type="dxa"/>
            <w:gridSpan w:val="2"/>
            <w:tcBorders>
              <w:top w:val="single" w:sz="8" w:space="0" w:color="000000"/>
              <w:bottom w:val="single" w:sz="8" w:space="0" w:color="000000"/>
            </w:tcBorders>
            <w:shd w:val="clear" w:color="auto" w:fill="E6E6E6"/>
          </w:tcPr>
          <w:p w14:paraId="574578BC" w14:textId="1DD86EDC" w:rsidR="007049A5" w:rsidRPr="004E4188" w:rsidRDefault="007049A5" w:rsidP="006C6267">
            <w:pPr>
              <w:tabs>
                <w:tab w:val="right" w:pos="7434"/>
              </w:tabs>
              <w:spacing w:before="120" w:after="120"/>
              <w:jc w:val="center"/>
              <w:rPr>
                <w:b/>
                <w:sz w:val="28"/>
              </w:rPr>
            </w:pPr>
            <w:r w:rsidRPr="004E4188">
              <w:rPr>
                <w:b/>
                <w:sz w:val="28"/>
              </w:rPr>
              <w:t>E3.  Offres de la deuxième étape</w:t>
            </w:r>
            <w:r w:rsidR="00885668" w:rsidRPr="004E4188">
              <w:rPr>
                <w:b/>
                <w:sz w:val="28"/>
              </w:rPr>
              <w:t xml:space="preserve"> </w:t>
            </w:r>
            <w:r w:rsidRPr="004E4188">
              <w:rPr>
                <w:b/>
                <w:sz w:val="28"/>
              </w:rPr>
              <w:t>: évaluation et comparaison</w:t>
            </w:r>
          </w:p>
        </w:tc>
      </w:tr>
      <w:tr w:rsidR="007049A5" w:rsidRPr="004E4188" w14:paraId="4DC3DB00" w14:textId="77777777" w:rsidTr="00523BAA">
        <w:trPr>
          <w:trHeight w:val="585"/>
        </w:trPr>
        <w:tc>
          <w:tcPr>
            <w:tcW w:w="1320" w:type="dxa"/>
            <w:tcBorders>
              <w:top w:val="single" w:sz="8" w:space="0" w:color="000000"/>
            </w:tcBorders>
          </w:tcPr>
          <w:p w14:paraId="65CCE439" w14:textId="57B3ACEF" w:rsidR="007049A5" w:rsidRPr="004E4188" w:rsidDel="00A65494" w:rsidRDefault="007049A5" w:rsidP="005176C7">
            <w:pPr>
              <w:tabs>
                <w:tab w:val="right" w:pos="7434"/>
              </w:tabs>
              <w:spacing w:before="60" w:after="120"/>
              <w:rPr>
                <w:b/>
              </w:rPr>
            </w:pPr>
            <w:r w:rsidRPr="004E4188">
              <w:rPr>
                <w:b/>
              </w:rPr>
              <w:t>IS 47.1</w:t>
            </w:r>
          </w:p>
          <w:p w14:paraId="005C4B0F" w14:textId="77777777" w:rsidR="007049A5" w:rsidRPr="004E4188" w:rsidRDefault="007049A5" w:rsidP="006C6267">
            <w:pPr>
              <w:tabs>
                <w:tab w:val="right" w:pos="7434"/>
              </w:tabs>
              <w:spacing w:after="120"/>
              <w:rPr>
                <w:b/>
              </w:rPr>
            </w:pPr>
          </w:p>
        </w:tc>
        <w:tc>
          <w:tcPr>
            <w:tcW w:w="7680" w:type="dxa"/>
            <w:tcBorders>
              <w:top w:val="single" w:sz="8" w:space="0" w:color="000000"/>
            </w:tcBorders>
          </w:tcPr>
          <w:p w14:paraId="6FB82496" w14:textId="77777777" w:rsidR="007049A5" w:rsidRPr="004E4188" w:rsidRDefault="007049A5" w:rsidP="006C6267">
            <w:pPr>
              <w:tabs>
                <w:tab w:val="right" w:pos="7254"/>
              </w:tabs>
              <w:spacing w:before="60" w:after="120"/>
              <w:rPr>
                <w:i/>
                <w:iCs/>
                <w:lang w:eastAsia="ja-JP"/>
              </w:rPr>
            </w:pPr>
            <w:r w:rsidRPr="004E4188">
              <w:t>La monnaie utilisée pour convertir en une seule monnaie tous les montants des offres exprimés en diverses monnaies, aux fins de l’évaluation et de la comparaison des offres, est : [</w:t>
            </w:r>
            <w:r w:rsidRPr="004E4188">
              <w:rPr>
                <w:i/>
              </w:rPr>
              <w:t>indiquer le yen japonais ou toute autre monnaie unique</w:t>
            </w:r>
            <w:r w:rsidRPr="004E4188">
              <w:rPr>
                <w:iCs/>
                <w:lang w:eastAsia="ja-JP"/>
              </w:rPr>
              <w:t>]</w:t>
            </w:r>
          </w:p>
          <w:p w14:paraId="066079CB" w14:textId="5B0FF4DA" w:rsidR="007049A5" w:rsidRPr="004E4188" w:rsidRDefault="007049A5" w:rsidP="006C6267">
            <w:pPr>
              <w:tabs>
                <w:tab w:val="right" w:pos="7254"/>
              </w:tabs>
              <w:spacing w:before="60" w:after="120"/>
              <w:rPr>
                <w:u w:val="single"/>
              </w:rPr>
            </w:pPr>
            <w:r w:rsidRPr="004E4188">
              <w:t>La source des taux de change utilisés est : [</w:t>
            </w:r>
            <w:r w:rsidRPr="004E4188">
              <w:rPr>
                <w:i/>
              </w:rPr>
              <w:t>indiquer le nom de la source des taux de change (p. ex.</w:t>
            </w:r>
            <w:r w:rsidR="00D56F30" w:rsidRPr="004E4188">
              <w:rPr>
                <w:i/>
              </w:rPr>
              <w:t> :</w:t>
            </w:r>
            <w:r w:rsidRPr="004E4188">
              <w:rPr>
                <w:i/>
              </w:rPr>
              <w:t xml:space="preserve"> la banque centrale du pays du Maître d’ouvrage)</w:t>
            </w:r>
            <w:r w:rsidRPr="004E4188">
              <w:t>]</w:t>
            </w:r>
          </w:p>
          <w:p w14:paraId="76E51782" w14:textId="4B76FFC3" w:rsidR="007049A5" w:rsidRPr="004E4188" w:rsidRDefault="007049A5" w:rsidP="006C6267">
            <w:pPr>
              <w:tabs>
                <w:tab w:val="right" w:pos="7254"/>
              </w:tabs>
              <w:spacing w:afterLines="100" w:after="240"/>
            </w:pPr>
            <w:r w:rsidRPr="004E4188">
              <w:t>La date du taux de change est : [</w:t>
            </w:r>
            <w:r w:rsidR="00AC10DF" w:rsidRPr="004E4188">
              <w:rPr>
                <w:i/>
              </w:rPr>
              <w:t>I</w:t>
            </w:r>
            <w:r w:rsidRPr="004E4188">
              <w:rPr>
                <w:i/>
              </w:rPr>
              <w:t>ndiquer les jour, mois et an, p. ex. : 15 juin 2018, une date qui n’est pas antérieure de trente (30) jours à la date d’ouverture des offres de la deuxième étape précisée à IS 39.1, ni postérieure à celle-ci.</w:t>
            </w:r>
            <w:r w:rsidRPr="004E4188">
              <w:rPr>
                <w:iCs/>
                <w:lang w:eastAsia="ja-JP"/>
              </w:rPr>
              <w:t>]</w:t>
            </w:r>
          </w:p>
        </w:tc>
      </w:tr>
    </w:tbl>
    <w:p w14:paraId="6DB563BE" w14:textId="77777777" w:rsidR="007049A5" w:rsidRPr="004E4188" w:rsidRDefault="007049A5" w:rsidP="006C6267">
      <w:pPr>
        <w:pStyle w:val="S9Header"/>
        <w:jc w:val="both"/>
        <w:rPr>
          <w:lang w:eastAsia="ja-JP"/>
        </w:rPr>
      </w:pPr>
    </w:p>
    <w:p w14:paraId="52CFA857" w14:textId="77777777" w:rsidR="00267750" w:rsidRPr="004E4188" w:rsidRDefault="00267750" w:rsidP="008F1DFA">
      <w:pPr>
        <w:pStyle w:val="17"/>
        <w:rPr>
          <w:lang w:val="fr-FR"/>
        </w:rPr>
        <w:sectPr w:rsidR="00267750" w:rsidRPr="004E4188" w:rsidSect="00E165EC">
          <w:headerReference w:type="even" r:id="rId61"/>
          <w:headerReference w:type="default" r:id="rId62"/>
          <w:headerReference w:type="first" r:id="rId63"/>
          <w:footnotePr>
            <w:numRestart w:val="eachPage"/>
          </w:footnotePr>
          <w:type w:val="oddPage"/>
          <w:pgSz w:w="12240" w:h="15840"/>
          <w:pgMar w:top="1440" w:right="1440" w:bottom="1440" w:left="1797" w:header="720" w:footer="720" w:gutter="0"/>
          <w:pgNumType w:start="1"/>
          <w:cols w:space="720"/>
        </w:sectPr>
      </w:pPr>
      <w:bookmarkStart w:id="435" w:name="_Toc349055425"/>
    </w:p>
    <w:p w14:paraId="3DBFCB95" w14:textId="6F890F8E" w:rsidR="007049A5" w:rsidRPr="004E4188" w:rsidRDefault="007049A5" w:rsidP="008F1DFA">
      <w:pPr>
        <w:pStyle w:val="17"/>
        <w:rPr>
          <w:color w:val="FF0000"/>
          <w:lang w:val="fr-FR"/>
        </w:rPr>
      </w:pPr>
      <w:r w:rsidRPr="004E4188">
        <w:rPr>
          <w:lang w:val="fr-FR"/>
        </w:rPr>
        <w:t>Section III. Critères d’évaluation et de qualification</w:t>
      </w:r>
      <w:r w:rsidRPr="004E4188">
        <w:rPr>
          <w:lang w:val="fr-FR"/>
        </w:rPr>
        <w:br/>
        <w:t>(Option I : après préqualification)</w:t>
      </w:r>
      <w:bookmarkEnd w:id="435"/>
    </w:p>
    <w:p w14:paraId="01F1F630" w14:textId="77777777" w:rsidR="007049A5" w:rsidRPr="004E4188" w:rsidRDefault="007049A5" w:rsidP="00040A91">
      <w:pPr>
        <w:pStyle w:val="af5"/>
        <w:rPr>
          <w:color w:val="FF0000"/>
          <w:lang w:val="fr-FR"/>
        </w:rPr>
      </w:pPr>
    </w:p>
    <w:p w14:paraId="3A7E47DC" w14:textId="77777777" w:rsidR="007049A5" w:rsidRPr="004E4188" w:rsidRDefault="007049A5" w:rsidP="00040A91">
      <w:pPr>
        <w:pStyle w:val="af5"/>
        <w:rPr>
          <w:color w:val="FF0000"/>
          <w:lang w:val="fr-F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3"/>
      </w:tblGrid>
      <w:tr w:rsidR="007049A5" w:rsidRPr="004E4188" w14:paraId="3B17F7AA" w14:textId="77777777" w:rsidTr="006E2CE7">
        <w:trPr>
          <w:trHeight w:val="1030"/>
        </w:trPr>
        <w:tc>
          <w:tcPr>
            <w:tcW w:w="9108" w:type="dxa"/>
            <w:shd w:val="clear" w:color="auto" w:fill="auto"/>
          </w:tcPr>
          <w:p w14:paraId="19979426" w14:textId="77777777" w:rsidR="007049A5" w:rsidRPr="004E4188" w:rsidRDefault="007049A5" w:rsidP="00622165">
            <w:pPr>
              <w:jc w:val="center"/>
              <w:rPr>
                <w:lang w:eastAsia="ja-JP"/>
              </w:rPr>
            </w:pPr>
          </w:p>
          <w:p w14:paraId="671B3C63" w14:textId="65CB534A" w:rsidR="007049A5" w:rsidRPr="004E4188" w:rsidRDefault="007049A5" w:rsidP="00622165">
            <w:pPr>
              <w:jc w:val="center"/>
              <w:rPr>
                <w:b/>
                <w:bCs/>
                <w:sz w:val="28"/>
                <w:szCs w:val="28"/>
                <w:lang w:eastAsia="ja-JP"/>
              </w:rPr>
            </w:pPr>
            <w:r w:rsidRPr="004E4188">
              <w:rPr>
                <w:b/>
                <w:bCs/>
                <w:sz w:val="28"/>
                <w:szCs w:val="28"/>
              </w:rPr>
              <w:t xml:space="preserve">Notes </w:t>
            </w:r>
            <w:r w:rsidRPr="004E4188">
              <w:rPr>
                <w:rFonts w:hint="eastAsia"/>
                <w:b/>
                <w:bCs/>
                <w:sz w:val="28"/>
                <w:szCs w:val="28"/>
              </w:rPr>
              <w:t>à</w:t>
            </w:r>
            <w:r w:rsidRPr="004E4188">
              <w:rPr>
                <w:b/>
                <w:bCs/>
                <w:sz w:val="28"/>
                <w:szCs w:val="28"/>
              </w:rPr>
              <w:t xml:space="preserve"> l’intention du Maître d’ouvrage</w:t>
            </w:r>
          </w:p>
          <w:p w14:paraId="1AE87FDA" w14:textId="77777777" w:rsidR="007049A5" w:rsidRPr="004E4188" w:rsidRDefault="007049A5" w:rsidP="00622165">
            <w:pPr>
              <w:rPr>
                <w:lang w:eastAsia="ja-JP"/>
              </w:rPr>
            </w:pPr>
          </w:p>
          <w:p w14:paraId="647D9886" w14:textId="17D903CB" w:rsidR="007049A5" w:rsidRPr="004E4188" w:rsidRDefault="007049A5" w:rsidP="007F3621">
            <w:pPr>
              <w:spacing w:afterLines="150" w:after="360"/>
            </w:pPr>
            <w:r w:rsidRPr="004E4188">
              <w:rPr>
                <w:lang w:eastAsia="ja-JP"/>
              </w:rPr>
              <w:t xml:space="preserve">Cette section indique les critères </w:t>
            </w:r>
            <w:r w:rsidRPr="004E4188">
              <w:t>utilisés pour déterminer l’offre évaluée la moins-disante et pour établir si le Soumissionnaire possède les qualifications nécessaires pour exécuter le Marché. Aucun autre facteur, critère ou méthode ne doit être utilisé. Le Soumissionnaire fournira toutes les informations demandées dans les formulaires de la Section IV, Formulaires de soumission.</w:t>
            </w:r>
          </w:p>
          <w:p w14:paraId="41512DB6" w14:textId="77777777" w:rsidR="007049A5" w:rsidRPr="004E4188" w:rsidRDefault="007049A5" w:rsidP="006C6267">
            <w:pPr>
              <w:spacing w:afterLines="150" w:after="360"/>
            </w:pPr>
            <w:r w:rsidRPr="004E4188">
              <w:rPr>
                <w:szCs w:val="24"/>
                <w:lang w:eastAsia="ja-JP"/>
              </w:rPr>
              <w:t>L</w:t>
            </w:r>
            <w:r w:rsidRPr="004E4188">
              <w:rPr>
                <w:lang w:eastAsia="ja-JP"/>
              </w:rPr>
              <w:t>es notes intitulées « </w:t>
            </w:r>
            <w:r w:rsidRPr="004E4188">
              <w:rPr>
                <w:i/>
                <w:lang w:eastAsia="ja-JP"/>
              </w:rPr>
              <w:t xml:space="preserve">Notes </w:t>
            </w:r>
            <w:r w:rsidRPr="004E4188">
              <w:rPr>
                <w:rFonts w:hint="eastAsia"/>
                <w:i/>
                <w:lang w:eastAsia="ja-JP"/>
              </w:rPr>
              <w:t>à</w:t>
            </w:r>
            <w:r w:rsidRPr="004E4188">
              <w:rPr>
                <w:i/>
                <w:lang w:eastAsia="ja-JP"/>
              </w:rPr>
              <w:t xml:space="preserve"> l’intention du Maître d’ouvrage</w:t>
            </w:r>
            <w:r w:rsidRPr="004E4188">
              <w:rPr>
                <w:lang w:eastAsia="ja-JP"/>
              </w:rPr>
              <w:t> », « en encadré » et celles en italique ne font pas partie des</w:t>
            </w:r>
            <w:r w:rsidRPr="004E4188">
              <w:rPr>
                <w:lang w:eastAsia="en-US"/>
              </w:rPr>
              <w:t xml:space="preserve"> </w:t>
            </w:r>
            <w:r w:rsidRPr="004E4188">
              <w:rPr>
                <w:lang w:eastAsia="ja-JP"/>
              </w:rPr>
              <w:t>Critères d’évaluation et de qualification, mais contiennent des indications et des instructions à l’intention du Maître d’ouvrage. Elles doivent être retirées du Dossier d’appel d’offres qui sera remis aux Soumissionnaire</w:t>
            </w:r>
            <w:r w:rsidRPr="004E4188">
              <w:rPr>
                <w:szCs w:val="24"/>
                <w:lang w:eastAsia="ja-JP"/>
              </w:rPr>
              <w:t>s.</w:t>
            </w:r>
          </w:p>
          <w:p w14:paraId="62538192" w14:textId="77777777" w:rsidR="007049A5" w:rsidRPr="004E4188" w:rsidRDefault="007049A5" w:rsidP="006C6267">
            <w:pPr>
              <w:suppressAutoHyphens w:val="0"/>
              <w:overflowPunct/>
              <w:autoSpaceDE/>
              <w:autoSpaceDN/>
              <w:adjustRightInd/>
              <w:textAlignment w:val="auto"/>
              <w:rPr>
                <w:szCs w:val="24"/>
                <w:lang w:eastAsia="ja-JP"/>
              </w:rPr>
            </w:pPr>
            <w:r w:rsidRPr="004E4188">
              <w:rPr>
                <w:spacing w:val="-2"/>
                <w:lang w:eastAsia="en-US"/>
              </w:rPr>
              <w:t>Les « </w:t>
            </w:r>
            <w:r w:rsidRPr="004E4188">
              <w:rPr>
                <w:i/>
                <w:spacing w:val="-2"/>
                <w:lang w:eastAsia="en-US"/>
              </w:rPr>
              <w:t>Notes à l’intention des Soumissionnaires</w:t>
            </w:r>
            <w:r w:rsidRPr="004E4188">
              <w:rPr>
                <w:spacing w:val="-2"/>
                <w:lang w:eastAsia="en-US"/>
              </w:rPr>
              <w:t> », incluses dans cette Section III, devront être incorporées dans le Dossier d’appel d’offres qui sera remis au</w:t>
            </w:r>
            <w:r w:rsidRPr="004E4188">
              <w:rPr>
                <w:rFonts w:hint="eastAsia"/>
                <w:spacing w:val="-2"/>
                <w:lang w:eastAsia="ja-JP"/>
              </w:rPr>
              <w:t>x</w:t>
            </w:r>
            <w:r w:rsidRPr="004E4188">
              <w:rPr>
                <w:spacing w:val="-2"/>
                <w:lang w:eastAsia="en-US"/>
              </w:rPr>
              <w:t xml:space="preserve"> Soumissionnaire</w:t>
            </w:r>
            <w:r w:rsidRPr="004E4188">
              <w:rPr>
                <w:szCs w:val="24"/>
                <w:lang w:eastAsia="ja-JP"/>
              </w:rPr>
              <w:t>s.</w:t>
            </w:r>
          </w:p>
          <w:p w14:paraId="389EB1CE" w14:textId="77777777" w:rsidR="007049A5" w:rsidRPr="004E4188" w:rsidRDefault="007049A5" w:rsidP="006C6267">
            <w:pPr>
              <w:suppressAutoHyphens w:val="0"/>
              <w:overflowPunct/>
              <w:autoSpaceDE/>
              <w:autoSpaceDN/>
              <w:adjustRightInd/>
              <w:textAlignment w:val="auto"/>
              <w:rPr>
                <w:szCs w:val="24"/>
                <w:lang w:eastAsia="ja-JP"/>
              </w:rPr>
            </w:pPr>
          </w:p>
        </w:tc>
      </w:tr>
    </w:tbl>
    <w:p w14:paraId="218507B5" w14:textId="77777777" w:rsidR="007049A5" w:rsidRPr="004E4188" w:rsidRDefault="007049A5" w:rsidP="00BE45AE">
      <w:pPr>
        <w:pStyle w:val="af5"/>
        <w:jc w:val="both"/>
        <w:rPr>
          <w:color w:val="FF0000"/>
          <w:lang w:val="fr-FR"/>
        </w:rPr>
      </w:pPr>
    </w:p>
    <w:p w14:paraId="07856128" w14:textId="77777777" w:rsidR="007049A5" w:rsidRPr="004E4188" w:rsidRDefault="007049A5" w:rsidP="006857B2">
      <w:pPr>
        <w:pStyle w:val="af5"/>
        <w:jc w:val="both"/>
        <w:rPr>
          <w:lang w:val="fr-FR"/>
        </w:rPr>
        <w:sectPr w:rsidR="007049A5" w:rsidRPr="004E4188" w:rsidSect="006C6267">
          <w:headerReference w:type="default" r:id="rId64"/>
          <w:footnotePr>
            <w:numRestart w:val="eachPage"/>
          </w:footnotePr>
          <w:type w:val="oddPage"/>
          <w:pgSz w:w="12240" w:h="15840"/>
          <w:pgMar w:top="1440" w:right="1440" w:bottom="1440" w:left="1797" w:header="720" w:footer="720" w:gutter="0"/>
          <w:cols w:space="720"/>
        </w:sectPr>
      </w:pPr>
    </w:p>
    <w:p w14:paraId="22ECEA10" w14:textId="75D85BD8" w:rsidR="007049A5" w:rsidRPr="004E4188" w:rsidRDefault="007049A5" w:rsidP="00216429">
      <w:pPr>
        <w:spacing w:afterLines="100" w:after="240"/>
        <w:jc w:val="center"/>
        <w:rPr>
          <w:b/>
          <w:sz w:val="36"/>
          <w:szCs w:val="36"/>
        </w:rPr>
      </w:pPr>
      <w:bookmarkStart w:id="436" w:name="_Toc326657862"/>
      <w:bookmarkStart w:id="437" w:name="_Toc438266925"/>
      <w:bookmarkStart w:id="438" w:name="_Toc438267899"/>
      <w:bookmarkStart w:id="439" w:name="_Toc438366666"/>
      <w:bookmarkStart w:id="440" w:name="_Toc156027993"/>
      <w:bookmarkStart w:id="441" w:name="_Toc156372849"/>
      <w:r w:rsidRPr="004E4188">
        <w:rPr>
          <w:b/>
          <w:sz w:val="36"/>
          <w:szCs w:val="36"/>
        </w:rPr>
        <w:t>Critères d’évaluation et de qualification</w:t>
      </w:r>
      <w:r w:rsidRPr="004E4188">
        <w:rPr>
          <w:b/>
          <w:sz w:val="36"/>
          <w:szCs w:val="36"/>
        </w:rPr>
        <w:br/>
        <w:t>(après préqualification)</w:t>
      </w:r>
      <w:bookmarkEnd w:id="436"/>
    </w:p>
    <w:p w14:paraId="75DC39EE" w14:textId="77777777" w:rsidR="007049A5" w:rsidRPr="004E4188" w:rsidRDefault="007049A5" w:rsidP="00E4359F">
      <w:pPr>
        <w:spacing w:afterLines="100" w:after="240"/>
        <w:rPr>
          <w:b/>
        </w:rPr>
      </w:pPr>
      <w:r w:rsidRPr="004E4188">
        <w:rPr>
          <w:b/>
          <w:sz w:val="28"/>
          <w:szCs w:val="28"/>
        </w:rPr>
        <w:t>Offres de la première étape</w:t>
      </w:r>
    </w:p>
    <w:p w14:paraId="1CA762AA" w14:textId="2BB1F83B" w:rsidR="007049A5" w:rsidRPr="004E4188" w:rsidRDefault="007049A5" w:rsidP="009E45C7">
      <w:pPr>
        <w:spacing w:afterLines="50" w:after="120"/>
        <w:ind w:left="851" w:hanging="851"/>
        <w:rPr>
          <w:sz w:val="30"/>
        </w:rPr>
      </w:pPr>
      <w:r w:rsidRPr="004E4188">
        <w:rPr>
          <w:b/>
          <w:sz w:val="30"/>
          <w:szCs w:val="28"/>
        </w:rPr>
        <w:t>1</w:t>
      </w:r>
      <w:r w:rsidR="005936FA" w:rsidRPr="004E4188">
        <w:rPr>
          <w:b/>
          <w:sz w:val="30"/>
          <w:szCs w:val="28"/>
        </w:rPr>
        <w:t>.</w:t>
      </w:r>
      <w:r w:rsidRPr="004E4188">
        <w:rPr>
          <w:b/>
          <w:sz w:val="30"/>
          <w:szCs w:val="28"/>
          <w:lang w:eastAsia="ja-JP"/>
        </w:rPr>
        <w:tab/>
      </w:r>
      <w:r w:rsidRPr="004E4188">
        <w:rPr>
          <w:b/>
          <w:sz w:val="30"/>
          <w:szCs w:val="28"/>
        </w:rPr>
        <w:t>Évaluation</w:t>
      </w:r>
    </w:p>
    <w:p w14:paraId="53B896D9" w14:textId="0A93D312" w:rsidR="007049A5" w:rsidRPr="004E4188" w:rsidRDefault="007049A5" w:rsidP="003D46CF">
      <w:pPr>
        <w:numPr>
          <w:ilvl w:val="1"/>
          <w:numId w:val="60"/>
        </w:numPr>
        <w:suppressAutoHyphens w:val="0"/>
        <w:overflowPunct/>
        <w:autoSpaceDE/>
        <w:autoSpaceDN/>
        <w:adjustRightInd/>
        <w:ind w:left="851" w:hanging="851"/>
        <w:jc w:val="left"/>
        <w:textAlignment w:val="auto"/>
        <w:rPr>
          <w:b/>
        </w:rPr>
      </w:pPr>
      <w:r w:rsidRPr="004E4188">
        <w:rPr>
          <w:b/>
          <w:sz w:val="28"/>
          <w:szCs w:val="28"/>
        </w:rPr>
        <w:t>Évaluation des Offres Techniques</w:t>
      </w:r>
    </w:p>
    <w:p w14:paraId="2324C574" w14:textId="77777777" w:rsidR="007049A5" w:rsidRPr="004E4188" w:rsidRDefault="007049A5" w:rsidP="009E45C7">
      <w:pPr>
        <w:suppressAutoHyphens w:val="0"/>
        <w:overflowPunct/>
        <w:autoSpaceDE/>
        <w:autoSpaceDN/>
        <w:adjustRightInd/>
        <w:spacing w:after="120"/>
        <w:ind w:left="850"/>
        <w:textAlignment w:val="auto"/>
        <w:rPr>
          <w:szCs w:val="24"/>
        </w:rPr>
      </w:pPr>
      <w:r w:rsidRPr="004E4188">
        <w:rPr>
          <w:szCs w:val="24"/>
        </w:rPr>
        <w:t>L’</w:t>
      </w:r>
      <w:r w:rsidRPr="004E4188">
        <w:t>évaluation des</w:t>
      </w:r>
      <w:r w:rsidRPr="004E4188">
        <w:rPr>
          <w:szCs w:val="24"/>
        </w:rPr>
        <w:t xml:space="preserve"> offres de la première étape</w:t>
      </w:r>
      <w:r w:rsidRPr="004E4188">
        <w:t xml:space="preserve"> comporte les étapes suivantes :</w:t>
      </w:r>
      <w:r w:rsidRPr="004E4188">
        <w:rPr>
          <w:szCs w:val="24"/>
        </w:rPr>
        <w:t xml:space="preserve"> </w:t>
      </w:r>
    </w:p>
    <w:p w14:paraId="54B7A903" w14:textId="34B67291" w:rsidR="007049A5" w:rsidRPr="004E4188" w:rsidRDefault="007049A5" w:rsidP="006C6267">
      <w:pPr>
        <w:widowControl w:val="0"/>
        <w:tabs>
          <w:tab w:val="left" w:pos="1418"/>
        </w:tabs>
        <w:spacing w:after="60" w:line="0" w:lineRule="atLeast"/>
        <w:ind w:left="1418" w:hanging="567"/>
        <w:rPr>
          <w:szCs w:val="24"/>
        </w:rPr>
      </w:pPr>
      <w:r w:rsidRPr="004E4188">
        <w:rPr>
          <w:szCs w:val="24"/>
        </w:rPr>
        <w:t>(a)</w:t>
      </w:r>
      <w:r w:rsidRPr="004E4188">
        <w:rPr>
          <w:szCs w:val="24"/>
        </w:rPr>
        <w:tab/>
        <w:t>La confirmation</w:t>
      </w:r>
      <w:r w:rsidRPr="004E4188">
        <w:rPr>
          <w:rFonts w:hint="eastAsia"/>
          <w:szCs w:val="24"/>
        </w:rPr>
        <w:t xml:space="preserve"> </w:t>
      </w:r>
      <w:r w:rsidRPr="004E4188">
        <w:rPr>
          <w:szCs w:val="24"/>
        </w:rPr>
        <w:t>des qualifications du Soumissionnaire à exécuter le Marché de manière satisfaisante conformément à IS</w:t>
      </w:r>
      <w:r w:rsidR="005936FA" w:rsidRPr="004E4188">
        <w:rPr>
          <w:szCs w:val="24"/>
        </w:rPr>
        <w:t> </w:t>
      </w:r>
      <w:r w:rsidRPr="004E4188">
        <w:rPr>
          <w:szCs w:val="24"/>
        </w:rPr>
        <w:t>24. Les critères de qualification à considérer sont détaillés plus bas à l’Article 2 (</w:t>
      </w:r>
      <w:r w:rsidRPr="004E4188">
        <w:rPr>
          <w:i/>
          <w:szCs w:val="24"/>
        </w:rPr>
        <w:t>Qualification</w:t>
      </w:r>
      <w:r w:rsidRPr="004E4188">
        <w:rPr>
          <w:szCs w:val="24"/>
        </w:rPr>
        <w:t>).</w:t>
      </w:r>
    </w:p>
    <w:p w14:paraId="24DBC8EF" w14:textId="77777777" w:rsidR="007049A5" w:rsidRPr="004E4188" w:rsidRDefault="007049A5" w:rsidP="006C6267">
      <w:pPr>
        <w:widowControl w:val="0"/>
        <w:tabs>
          <w:tab w:val="left" w:pos="1418"/>
        </w:tabs>
        <w:spacing w:after="60" w:line="0" w:lineRule="atLeast"/>
        <w:ind w:left="1418" w:hanging="567"/>
        <w:rPr>
          <w:szCs w:val="24"/>
        </w:rPr>
      </w:pPr>
      <w:r w:rsidRPr="004E4188">
        <w:rPr>
          <w:szCs w:val="24"/>
        </w:rPr>
        <w:t>(b)</w:t>
      </w:r>
      <w:r w:rsidRPr="004E4188">
        <w:rPr>
          <w:szCs w:val="24"/>
        </w:rPr>
        <w:tab/>
        <w:t>La</w:t>
      </w:r>
      <w:r w:rsidRPr="004E4188">
        <w:rPr>
          <w:rFonts w:hint="eastAsia"/>
          <w:szCs w:val="24"/>
        </w:rPr>
        <w:t xml:space="preserve"> vérification que</w:t>
      </w:r>
      <w:r w:rsidRPr="004E4188">
        <w:rPr>
          <w:szCs w:val="24"/>
        </w:rPr>
        <w:t xml:space="preserve"> l’offre de la première étape</w:t>
      </w:r>
      <w:r w:rsidRPr="004E4188">
        <w:rPr>
          <w:rFonts w:hint="eastAsia"/>
          <w:szCs w:val="24"/>
        </w:rPr>
        <w:t xml:space="preserve"> </w:t>
      </w:r>
      <w:r w:rsidRPr="004E4188">
        <w:rPr>
          <w:szCs w:val="24"/>
        </w:rPr>
        <w:t>est substantiellement conforme telle que définie à IS 25. Les critères d’évaluation à considérer sont décrits ci-dessous.</w:t>
      </w:r>
    </w:p>
    <w:p w14:paraId="1EB8416F" w14:textId="77777777" w:rsidR="007049A5" w:rsidRPr="004E4188" w:rsidRDefault="007049A5" w:rsidP="006C6267">
      <w:pPr>
        <w:spacing w:after="120"/>
        <w:ind w:left="1418"/>
        <w:rPr>
          <w:szCs w:val="24"/>
        </w:rPr>
      </w:pPr>
      <w:r w:rsidRPr="004E4188">
        <w:rPr>
          <w:szCs w:val="24"/>
        </w:rPr>
        <w:t>Cette étape comprend, entre autres, une évaluation de la conformité de</w:t>
      </w:r>
      <w:r w:rsidRPr="004E4188">
        <w:rPr>
          <w:rFonts w:hint="eastAsia"/>
          <w:szCs w:val="24"/>
          <w:lang w:eastAsia="ja-JP"/>
        </w:rPr>
        <w:t xml:space="preserve"> </w:t>
      </w:r>
      <w:r w:rsidRPr="004E4188">
        <w:rPr>
          <w:szCs w:val="24"/>
        </w:rPr>
        <w:t>la Proposition technique présentée par le Soumissionnaire, au cours de laquelle les capacités techniques du Soumissionnaire à terminer les Installations seront vérifiées sous l’angle des points exposés ci-après.</w:t>
      </w:r>
      <w:r w:rsidRPr="004E4188">
        <w:t xml:space="preserve"> Sur la base de cette évaluation, le Maître d’ouvrage déterminera si la Proposition technique est substantiellement conforme aux exigences définies à la Section VI, Exigences du Maître d’</w:t>
      </w:r>
      <w:r w:rsidRPr="004E4188">
        <w:rPr>
          <w:rFonts w:hint="eastAsia"/>
        </w:rPr>
        <w:t>o</w:t>
      </w:r>
      <w:r w:rsidRPr="004E4188">
        <w:t>uvrage.</w:t>
      </w:r>
    </w:p>
    <w:p w14:paraId="1DB2F32D"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(i)</w:t>
      </w:r>
      <w:r w:rsidRPr="004E4188">
        <w:rPr>
          <w:szCs w:val="24"/>
        </w:rPr>
        <w:tab/>
        <w:t>Son</w:t>
      </w:r>
      <w:r w:rsidRPr="004E4188">
        <w:rPr>
          <w:rFonts w:cs="HBKMBP+TimesNewRoman"/>
          <w:color w:val="000000"/>
          <w:szCs w:val="24"/>
        </w:rPr>
        <w:t xml:space="preserve"> exhaustivité générale et concordance avec les Exigences du Maître d’ouvrage</w:t>
      </w:r>
      <w:r w:rsidRPr="004E4188">
        <w:rPr>
          <w:szCs w:val="24"/>
        </w:rPr>
        <w:t xml:space="preserve">. </w:t>
      </w:r>
    </w:p>
    <w:p w14:paraId="7527D37F" w14:textId="5C0EE38A" w:rsidR="007049A5" w:rsidRPr="004E4188" w:rsidRDefault="007049A5" w:rsidP="006C6267">
      <w:pPr>
        <w:widowControl w:val="0"/>
        <w:tabs>
          <w:tab w:val="left" w:pos="1418"/>
        </w:tabs>
        <w:spacing w:after="60" w:line="0" w:lineRule="atLeast"/>
        <w:ind w:left="1985" w:hanging="567"/>
        <w:rPr>
          <w:szCs w:val="24"/>
        </w:rPr>
      </w:pPr>
      <w:r w:rsidRPr="004E4188">
        <w:rPr>
          <w:szCs w:val="24"/>
        </w:rPr>
        <w:t>(ii)</w:t>
      </w:r>
      <w:r w:rsidRPr="004E4188">
        <w:rPr>
          <w:szCs w:val="24"/>
        </w:rPr>
        <w:tab/>
      </w:r>
      <w:r w:rsidRPr="004E4188">
        <w:rPr>
          <w:rFonts w:cs="HBKMBP+TimesNewRoman"/>
          <w:color w:val="000000"/>
          <w:szCs w:val="24"/>
        </w:rPr>
        <w:t>La conformité des</w:t>
      </w:r>
      <w:r w:rsidRPr="004E4188">
        <w:rPr>
          <w:szCs w:val="24"/>
        </w:rPr>
        <w:t xml:space="preserve"> É</w:t>
      </w:r>
      <w:r w:rsidRPr="004E4188">
        <w:rPr>
          <w:szCs w:val="24"/>
          <w:lang w:eastAsia="en-US"/>
        </w:rPr>
        <w:t>quipements et Services de montage</w:t>
      </w:r>
      <w:r w:rsidRPr="004E4188">
        <w:rPr>
          <w:szCs w:val="24"/>
        </w:rPr>
        <w:t xml:space="preserve"> </w:t>
      </w:r>
      <w:r w:rsidRPr="004E4188">
        <w:rPr>
          <w:rFonts w:cs="HBKMBP+TimesNewRoman"/>
          <w:color w:val="000000"/>
          <w:szCs w:val="24"/>
        </w:rPr>
        <w:t>avec</w:t>
      </w:r>
      <w:r w:rsidRPr="004E4188">
        <w:rPr>
          <w:color w:val="FF0000"/>
          <w:szCs w:val="24"/>
        </w:rPr>
        <w:t xml:space="preserve"> </w:t>
      </w:r>
      <w:r w:rsidRPr="004E4188">
        <w:rPr>
          <w:rFonts w:cs="HBKMBP+TimesNewRoman"/>
          <w:color w:val="000000"/>
          <w:szCs w:val="24"/>
        </w:rPr>
        <w:t>les critères de performance demandé</w:t>
      </w:r>
      <w:r w:rsidR="00CA436D" w:rsidRPr="004E4188">
        <w:rPr>
          <w:rFonts w:cs="HBKMBP+TimesNewRoman"/>
          <w:color w:val="000000"/>
          <w:szCs w:val="24"/>
        </w:rPr>
        <w:t>s</w:t>
      </w:r>
      <w:r w:rsidRPr="004E4188">
        <w:rPr>
          <w:rFonts w:cs="HBKMBP+TimesNewRoman"/>
          <w:color w:val="000000"/>
          <w:szCs w:val="24"/>
        </w:rPr>
        <w:t xml:space="preserve">, y compris avec les niveaux minimaux (ou maximaux, le cas échéant) acceptables spécifiés correspondant à chaque garantie opérationnelle comme indiqué dans les </w:t>
      </w:r>
      <w:r w:rsidRPr="004E4188">
        <w:t>Exigences du Maître d’</w:t>
      </w:r>
      <w:r w:rsidRPr="004E4188">
        <w:rPr>
          <w:rFonts w:hint="eastAsia"/>
        </w:rPr>
        <w:t>o</w:t>
      </w:r>
      <w:r w:rsidRPr="004E4188">
        <w:t>uvrage</w:t>
      </w:r>
      <w:r w:rsidRPr="004E4188">
        <w:rPr>
          <w:rFonts w:cs="HBKMBP+TimesNewRoman"/>
          <w:color w:val="000000"/>
          <w:szCs w:val="24"/>
        </w:rPr>
        <w:t xml:space="preserve"> et à cette </w:t>
      </w:r>
      <w:r w:rsidR="00526749" w:rsidRPr="004E4188">
        <w:rPr>
          <w:rFonts w:cs="HBKMBP+TimesNewRoman"/>
          <w:color w:val="000000"/>
          <w:szCs w:val="24"/>
        </w:rPr>
        <w:t>s</w:t>
      </w:r>
      <w:r w:rsidRPr="004E4188">
        <w:rPr>
          <w:rFonts w:cs="HBKMBP+TimesNewRoman"/>
          <w:color w:val="000000"/>
          <w:szCs w:val="24"/>
        </w:rPr>
        <w:t>ection</w:t>
      </w:r>
      <w:r w:rsidRPr="004E4188">
        <w:rPr>
          <w:szCs w:val="24"/>
        </w:rPr>
        <w:t>.</w:t>
      </w:r>
    </w:p>
    <w:p w14:paraId="13E99A4A"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(iii)</w:t>
      </w:r>
      <w:r w:rsidRPr="004E4188">
        <w:rPr>
          <w:szCs w:val="24"/>
        </w:rPr>
        <w:tab/>
      </w:r>
      <w:r w:rsidRPr="004E4188">
        <w:rPr>
          <w:rFonts w:cs="HBKMBP+TimesNewRoman"/>
          <w:color w:val="000000"/>
          <w:szCs w:val="24"/>
        </w:rPr>
        <w:t xml:space="preserve">La compatibilité des </w:t>
      </w:r>
      <w:r w:rsidRPr="004E4188">
        <w:rPr>
          <w:szCs w:val="24"/>
        </w:rPr>
        <w:t>É</w:t>
      </w:r>
      <w:r w:rsidRPr="004E4188">
        <w:rPr>
          <w:szCs w:val="24"/>
          <w:lang w:eastAsia="en-US"/>
        </w:rPr>
        <w:t>quipements et Services de montage</w:t>
      </w:r>
      <w:r w:rsidRPr="004E4188">
        <w:rPr>
          <w:rFonts w:cs="HBKMBP+TimesNewRoman"/>
          <w:color w:val="000000"/>
          <w:szCs w:val="24"/>
        </w:rPr>
        <w:t xml:space="preserve"> avec la protection de l’environnement et les conditions climatiques prévalant sur le site</w:t>
      </w:r>
      <w:r w:rsidRPr="004E4188">
        <w:rPr>
          <w:szCs w:val="24"/>
        </w:rPr>
        <w:t xml:space="preserve">. </w:t>
      </w:r>
    </w:p>
    <w:p w14:paraId="03D0B2C6"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 xml:space="preserve">(iv) </w:t>
      </w:r>
      <w:r w:rsidRPr="004E4188">
        <w:rPr>
          <w:szCs w:val="24"/>
        </w:rPr>
        <w:tab/>
      </w:r>
      <w:r w:rsidRPr="004E4188">
        <w:rPr>
          <w:rFonts w:cs="HBKMBP+TimesNewRoman"/>
          <w:color w:val="000000"/>
          <w:szCs w:val="24"/>
        </w:rPr>
        <w:t>La qualité, le rôle et la mise en œuvre de tout procédé de contrôle proposé dans l</w:t>
      </w:r>
      <w:r w:rsidRPr="004E4188">
        <w:rPr>
          <w:spacing w:val="-4"/>
        </w:rPr>
        <w:t>’offre</w:t>
      </w:r>
      <w:r w:rsidRPr="004E4188">
        <w:rPr>
          <w:szCs w:val="24"/>
        </w:rPr>
        <w:t>.</w:t>
      </w:r>
    </w:p>
    <w:p w14:paraId="7866F7A5"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(v)</w:t>
      </w:r>
      <w:r w:rsidRPr="004E4188">
        <w:rPr>
          <w:szCs w:val="24"/>
        </w:rPr>
        <w:tab/>
        <w:t xml:space="preserve">Le </w:t>
      </w:r>
      <w:r w:rsidRPr="004E4188">
        <w:rPr>
          <w:spacing w:val="-4"/>
        </w:rPr>
        <w:t>type, la quantité, et la disponibilité à long terme des pièces de rechange obligatoires et recommandées, ainsi que les services de maintenance</w:t>
      </w:r>
      <w:r w:rsidRPr="004E4188">
        <w:rPr>
          <w:szCs w:val="24"/>
        </w:rPr>
        <w:t>.</w:t>
      </w:r>
    </w:p>
    <w:p w14:paraId="21376B1B"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(vi)</w:t>
      </w:r>
      <w:r w:rsidRPr="004E4188">
        <w:rPr>
          <w:szCs w:val="24"/>
        </w:rPr>
        <w:tab/>
        <w:t>La mobilisation des équipements principaux de construction et du personnel clé nécessaire à l’exécution des É</w:t>
      </w:r>
      <w:r w:rsidRPr="004E4188">
        <w:rPr>
          <w:szCs w:val="24"/>
          <w:lang w:eastAsia="en-US"/>
        </w:rPr>
        <w:t>quipements et Services de montage</w:t>
      </w:r>
      <w:r w:rsidRPr="004E4188">
        <w:rPr>
          <w:szCs w:val="24"/>
        </w:rPr>
        <w:t>.</w:t>
      </w:r>
    </w:p>
    <w:p w14:paraId="6614AF84"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(vii)</w:t>
      </w:r>
      <w:r w:rsidRPr="004E4188">
        <w:rPr>
          <w:szCs w:val="24"/>
        </w:rPr>
        <w:tab/>
        <w:t>L’affectation appropriée du personnel pour superviser et contrôler de manière adéquate</w:t>
      </w:r>
      <w:r w:rsidRPr="004E4188">
        <w:rPr>
          <w:color w:val="FF0000"/>
          <w:szCs w:val="24"/>
        </w:rPr>
        <w:t xml:space="preserve"> </w:t>
      </w:r>
      <w:r w:rsidRPr="004E4188">
        <w:rPr>
          <w:szCs w:val="24"/>
        </w:rPr>
        <w:t>l’exécution des É</w:t>
      </w:r>
      <w:r w:rsidRPr="004E4188">
        <w:rPr>
          <w:szCs w:val="24"/>
          <w:lang w:eastAsia="en-US"/>
        </w:rPr>
        <w:t>quipements et Services de montage</w:t>
      </w:r>
      <w:r w:rsidRPr="004E4188">
        <w:rPr>
          <w:szCs w:val="24"/>
        </w:rPr>
        <w:t>.</w:t>
      </w:r>
    </w:p>
    <w:p w14:paraId="429E4A72"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(viii)</w:t>
      </w:r>
      <w:r w:rsidRPr="004E4188">
        <w:rPr>
          <w:szCs w:val="24"/>
        </w:rPr>
        <w:tab/>
        <w:t>La p</w:t>
      </w:r>
      <w:r w:rsidRPr="004E4188">
        <w:rPr>
          <w:rFonts w:hint="eastAsia"/>
          <w:szCs w:val="24"/>
        </w:rPr>
        <w:t>lanification</w:t>
      </w:r>
      <w:r w:rsidRPr="004E4188">
        <w:rPr>
          <w:szCs w:val="24"/>
        </w:rPr>
        <w:t xml:space="preserve"> et la programmation de toutes les activités de manière à ce que les Installations soient achevés à temps et répondent à toutes les exigences du Marché, principalement </w:t>
      </w:r>
      <w:r w:rsidRPr="004E4188">
        <w:rPr>
          <w:rFonts w:cs="HBKMBP+TimesNewRoman"/>
          <w:szCs w:val="24"/>
        </w:rPr>
        <w:t xml:space="preserve">le respect du </w:t>
      </w:r>
      <w:r w:rsidRPr="004E4188">
        <w:rPr>
          <w:rFonts w:cs="HBKMBP+TimesNewRoman"/>
          <w:szCs w:val="24"/>
          <w:lang w:eastAsia="en-US"/>
        </w:rPr>
        <w:t>calendrier d’exécution indiqué dans l’annexe correspondante de l’Acte d’engagement, et</w:t>
      </w:r>
      <w:r w:rsidRPr="004E4188">
        <w:rPr>
          <w:rFonts w:cs="HBKMBP+TimesNewRoman"/>
          <w:szCs w:val="24"/>
        </w:rPr>
        <w:t xml:space="preserve"> </w:t>
      </w:r>
      <w:r w:rsidRPr="004E4188">
        <w:t xml:space="preserve">documenté par un </w:t>
      </w:r>
      <w:r w:rsidRPr="004E4188">
        <w:rPr>
          <w:rFonts w:cs="HBKMBP+TimesNewRoman"/>
          <w:szCs w:val="24"/>
          <w:lang w:eastAsia="en-US"/>
        </w:rPr>
        <w:t>planning des phases d’exécution</w:t>
      </w:r>
      <w:r w:rsidRPr="004E4188">
        <w:t xml:space="preserve"> fourni dans la Proposition technique</w:t>
      </w:r>
      <w:r w:rsidRPr="004E4188">
        <w:rPr>
          <w:szCs w:val="24"/>
        </w:rPr>
        <w:t>.</w:t>
      </w:r>
    </w:p>
    <w:p w14:paraId="4D9ADC0B"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(ix)</w:t>
      </w:r>
      <w:r w:rsidRPr="004E4188">
        <w:rPr>
          <w:szCs w:val="24"/>
        </w:rPr>
        <w:tab/>
        <w:t>L’exécution des É</w:t>
      </w:r>
      <w:r w:rsidRPr="004E4188">
        <w:rPr>
          <w:szCs w:val="24"/>
          <w:lang w:eastAsia="en-US"/>
        </w:rPr>
        <w:t>quipements et Services de montage</w:t>
      </w:r>
      <w:r w:rsidRPr="004E4188">
        <w:rPr>
          <w:szCs w:val="24"/>
        </w:rPr>
        <w:t xml:space="preserve"> en pleine conformité avec toutes les exigences du Marché, incluant, mais sans s’y limiter, les méthodes de travail, l’approvisionnement en matériaux, etc.</w:t>
      </w:r>
    </w:p>
    <w:p w14:paraId="48F869A9"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(x)</w:t>
      </w:r>
      <w:r w:rsidRPr="004E4188">
        <w:rPr>
          <w:szCs w:val="24"/>
        </w:rPr>
        <w:tab/>
        <w:t>L’exécution de toutes les opérations pour les É</w:t>
      </w:r>
      <w:r w:rsidRPr="004E4188">
        <w:rPr>
          <w:szCs w:val="24"/>
          <w:lang w:eastAsia="en-US"/>
        </w:rPr>
        <w:t>quipements et Services de montage</w:t>
      </w:r>
      <w:r w:rsidRPr="004E4188">
        <w:rPr>
          <w:szCs w:val="24"/>
        </w:rPr>
        <w:t xml:space="preserve"> en toute sécurité et dans le respect de l’environnement.</w:t>
      </w:r>
    </w:p>
    <w:p w14:paraId="7CFA6629"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 xml:space="preserve">(xi) </w:t>
      </w:r>
      <w:r w:rsidRPr="004E4188">
        <w:rPr>
          <w:szCs w:val="24"/>
        </w:rPr>
        <w:tab/>
        <w:t>La conformité des sous-traitants proposés pour les élément</w:t>
      </w:r>
      <w:r w:rsidRPr="004E4188">
        <w:rPr>
          <w:rFonts w:hint="eastAsia"/>
          <w:szCs w:val="24"/>
          <w:lang w:eastAsia="ja-JP"/>
        </w:rPr>
        <w:t>s</w:t>
      </w:r>
      <w:r w:rsidRPr="004E4188">
        <w:rPr>
          <w:szCs w:val="24"/>
        </w:rPr>
        <w:t xml:space="preserve"> </w:t>
      </w:r>
      <w:r w:rsidRPr="004E4188">
        <w:rPr>
          <w:rFonts w:hint="eastAsia"/>
          <w:szCs w:val="24"/>
        </w:rPr>
        <w:t>é</w:t>
      </w:r>
      <w:r w:rsidRPr="004E4188">
        <w:rPr>
          <w:szCs w:val="24"/>
        </w:rPr>
        <w:t>numérés à l’Article</w:t>
      </w:r>
      <w:r w:rsidRPr="004E4188">
        <w:rPr>
          <w:rFonts w:cs="HBKMBP+TimesNewRoman"/>
          <w:color w:val="000000"/>
          <w:szCs w:val="24"/>
        </w:rPr>
        <w:t xml:space="preserve"> 1.1.3 ci-dessous, le cas échéant</w:t>
      </w:r>
      <w:r w:rsidRPr="004E4188">
        <w:rPr>
          <w:szCs w:val="24"/>
        </w:rPr>
        <w:t>.</w:t>
      </w:r>
    </w:p>
    <w:p w14:paraId="2D2E3712" w14:textId="77777777" w:rsidR="007049A5" w:rsidRPr="004E4188" w:rsidRDefault="007049A5" w:rsidP="006C6267">
      <w:pPr>
        <w:widowControl w:val="0"/>
        <w:tabs>
          <w:tab w:val="left" w:pos="1418"/>
        </w:tabs>
        <w:spacing w:after="60" w:line="0" w:lineRule="atLeast"/>
        <w:ind w:left="1985" w:hanging="567"/>
        <w:rPr>
          <w:szCs w:val="24"/>
        </w:rPr>
      </w:pPr>
    </w:p>
    <w:p w14:paraId="610370E6" w14:textId="77777777" w:rsidR="007049A5" w:rsidRPr="004E4188" w:rsidRDefault="007049A5" w:rsidP="009E45C7">
      <w:pPr>
        <w:ind w:left="850"/>
        <w:rPr>
          <w:lang w:eastAsia="ja-JP"/>
        </w:rPr>
      </w:pPr>
      <w:r w:rsidRPr="004E4188">
        <w:rPr>
          <w:rFonts w:cs="HBKMBP+TimesNewRoman"/>
          <w:color w:val="000000"/>
          <w:szCs w:val="24"/>
        </w:rPr>
        <w:t xml:space="preserve">Une offre qui ne satisfait pas aux exigences minimales acceptables en matière d’exhaustivité, de cohérence et de précision, ainsi qu’aux </w:t>
      </w:r>
      <w:r w:rsidRPr="004E4188">
        <w:rPr>
          <w:rFonts w:cs="HBKMBP+TimesNewRoman"/>
          <w:szCs w:val="24"/>
        </w:rPr>
        <w:t>niveaux</w:t>
      </w:r>
      <w:r w:rsidRPr="004E4188">
        <w:rPr>
          <w:rFonts w:cs="HBKMBP+TimesNewRoman"/>
          <w:color w:val="FF0000"/>
          <w:szCs w:val="24"/>
        </w:rPr>
        <w:t xml:space="preserve"> </w:t>
      </w:r>
      <w:r w:rsidRPr="004E4188">
        <w:rPr>
          <w:rFonts w:cs="HBKMBP+TimesNewRoman"/>
          <w:color w:val="000000"/>
          <w:szCs w:val="24"/>
        </w:rPr>
        <w:t xml:space="preserve">minimaux (ou maximaux, le cas échéant) acceptables spécifiés pour les garanties opérationnelles requises, </w:t>
      </w:r>
      <w:r w:rsidRPr="004E4188">
        <w:t>est susceptible d’être</w:t>
      </w:r>
      <w:r w:rsidRPr="004E4188" w:rsidDel="008F011A">
        <w:rPr>
          <w:rFonts w:cs="HBKMBP+TimesNewRoman"/>
          <w:color w:val="000000"/>
          <w:szCs w:val="24"/>
        </w:rPr>
        <w:t xml:space="preserve"> </w:t>
      </w:r>
      <w:r w:rsidRPr="004E4188">
        <w:rPr>
          <w:rFonts w:cs="HBKMBP+TimesNewRoman"/>
          <w:color w:val="000000"/>
          <w:szCs w:val="24"/>
        </w:rPr>
        <w:t>rejetée</w:t>
      </w:r>
      <w:r w:rsidRPr="004E4188">
        <w:rPr>
          <w:lang w:eastAsia="ja-JP"/>
        </w:rPr>
        <w:t xml:space="preserve"> </w:t>
      </w:r>
      <w:r w:rsidRPr="004E4188">
        <w:rPr>
          <w:szCs w:val="24"/>
        </w:rPr>
        <w:t xml:space="preserve">conformément à IS </w:t>
      </w:r>
      <w:r w:rsidRPr="004E4188">
        <w:rPr>
          <w:lang w:eastAsia="ja-JP"/>
        </w:rPr>
        <w:t>25.1.</w:t>
      </w:r>
    </w:p>
    <w:p w14:paraId="5C0F0CB5" w14:textId="77777777" w:rsidR="007049A5" w:rsidRPr="004E4188" w:rsidRDefault="007049A5" w:rsidP="006C6267">
      <w:pPr>
        <w:tabs>
          <w:tab w:val="num" w:pos="709"/>
        </w:tabs>
        <w:suppressAutoHyphens w:val="0"/>
        <w:overflowPunct/>
        <w:autoSpaceDE/>
        <w:autoSpaceDN/>
        <w:adjustRightInd/>
        <w:ind w:left="709" w:hanging="709"/>
        <w:jc w:val="left"/>
        <w:textAlignment w:val="auto"/>
      </w:pPr>
    </w:p>
    <w:p w14:paraId="48675DD6" w14:textId="77777777" w:rsidR="007049A5" w:rsidRPr="004E4188" w:rsidRDefault="007049A5" w:rsidP="009E45C7">
      <w:pPr>
        <w:tabs>
          <w:tab w:val="num" w:pos="2705"/>
        </w:tabs>
        <w:suppressAutoHyphens w:val="0"/>
        <w:overflowPunct/>
        <w:autoSpaceDE/>
        <w:autoSpaceDN/>
        <w:adjustRightInd/>
        <w:ind w:left="851" w:hanging="851"/>
        <w:jc w:val="left"/>
        <w:textAlignment w:val="auto"/>
        <w:rPr>
          <w:b/>
        </w:rPr>
      </w:pPr>
      <w:r w:rsidRPr="004E4188">
        <w:rPr>
          <w:b/>
        </w:rPr>
        <w:t>1.1.1</w:t>
      </w:r>
      <w:r w:rsidRPr="004E4188">
        <w:rPr>
          <w:b/>
          <w:bCs/>
          <w:lang w:eastAsia="ja-JP"/>
        </w:rPr>
        <w:tab/>
      </w:r>
      <w:r w:rsidRPr="004E4188">
        <w:rPr>
          <w:b/>
        </w:rPr>
        <w:t>Personnel</w:t>
      </w:r>
    </w:p>
    <w:p w14:paraId="4087ABAA" w14:textId="1A879905" w:rsidR="007049A5" w:rsidRPr="004E4188" w:rsidRDefault="007049A5" w:rsidP="009E45C7">
      <w:pPr>
        <w:tabs>
          <w:tab w:val="num" w:pos="709"/>
        </w:tabs>
        <w:suppressAutoHyphens w:val="0"/>
        <w:overflowPunct/>
        <w:autoSpaceDE/>
        <w:autoSpaceDN/>
        <w:adjustRightInd/>
        <w:ind w:left="850"/>
        <w:textAlignment w:val="auto"/>
      </w:pPr>
      <w:r w:rsidRPr="004E4188">
        <w:t xml:space="preserve">Le Soumissionnaire doit établir qu’il dispose du personnel </w:t>
      </w:r>
      <w:r w:rsidRPr="004E4188">
        <w:rPr>
          <w:szCs w:val="24"/>
        </w:rPr>
        <w:t>répondant aux critères ci-après pour les postes-clés suivants </w:t>
      </w:r>
      <w:r w:rsidRPr="004E4188">
        <w:t>:</w:t>
      </w:r>
    </w:p>
    <w:p w14:paraId="2FD17931" w14:textId="77777777" w:rsidR="007049A5" w:rsidRPr="004E4188" w:rsidRDefault="007049A5" w:rsidP="006C6267">
      <w:pPr>
        <w:tabs>
          <w:tab w:val="num" w:pos="709"/>
        </w:tabs>
        <w:suppressAutoHyphens w:val="0"/>
        <w:overflowPunct/>
        <w:autoSpaceDE/>
        <w:autoSpaceDN/>
        <w:adjustRightInd/>
        <w:ind w:left="709"/>
        <w:jc w:val="left"/>
        <w:textAlignment w:val="auto"/>
        <w:rPr>
          <w:lang w:eastAsia="ja-JP"/>
        </w:rPr>
      </w:pPr>
    </w:p>
    <w:tbl>
      <w:tblPr>
        <w:tblW w:w="8438"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902"/>
        <w:gridCol w:w="1559"/>
        <w:gridCol w:w="1985"/>
      </w:tblGrid>
      <w:tr w:rsidR="007049A5" w:rsidRPr="004E4188" w14:paraId="2E587515" w14:textId="77777777" w:rsidTr="006C6267">
        <w:tc>
          <w:tcPr>
            <w:tcW w:w="992" w:type="dxa"/>
            <w:vMerge w:val="restart"/>
            <w:tcBorders>
              <w:top w:val="single" w:sz="12" w:space="0" w:color="auto"/>
              <w:left w:val="single" w:sz="12" w:space="0" w:color="auto"/>
              <w:right w:val="single" w:sz="12" w:space="0" w:color="auto"/>
            </w:tcBorders>
            <w:shd w:val="clear" w:color="auto" w:fill="D9D9D9"/>
            <w:vAlign w:val="center"/>
          </w:tcPr>
          <w:p w14:paraId="12231DE0" w14:textId="77777777" w:rsidR="007049A5" w:rsidRPr="004E4188" w:rsidRDefault="007049A5" w:rsidP="00C3593C">
            <w:pPr>
              <w:jc w:val="center"/>
              <w:rPr>
                <w:rFonts w:ascii="Arial" w:hAnsi="Arial" w:cs="Arial"/>
                <w:b/>
                <w:bCs/>
                <w:sz w:val="20"/>
              </w:rPr>
            </w:pPr>
            <w:r w:rsidRPr="004E4188">
              <w:rPr>
                <w:rFonts w:ascii="Arial" w:hAnsi="Arial" w:cs="Arial"/>
                <w:b/>
                <w:bCs/>
                <w:sz w:val="20"/>
              </w:rPr>
              <w:t>n°</w:t>
            </w:r>
          </w:p>
        </w:tc>
        <w:tc>
          <w:tcPr>
            <w:tcW w:w="3902" w:type="dxa"/>
            <w:vMerge w:val="restart"/>
            <w:tcBorders>
              <w:top w:val="single" w:sz="12" w:space="0" w:color="auto"/>
              <w:left w:val="single" w:sz="12" w:space="0" w:color="auto"/>
              <w:right w:val="single" w:sz="12" w:space="0" w:color="auto"/>
            </w:tcBorders>
            <w:shd w:val="clear" w:color="auto" w:fill="D9D9D9"/>
            <w:vAlign w:val="center"/>
          </w:tcPr>
          <w:p w14:paraId="683DE261" w14:textId="77777777" w:rsidR="007049A5" w:rsidRPr="004E4188" w:rsidRDefault="007049A5" w:rsidP="00C3593C">
            <w:pPr>
              <w:jc w:val="center"/>
              <w:rPr>
                <w:rFonts w:ascii="Arial" w:hAnsi="Arial" w:cs="Arial"/>
                <w:b/>
                <w:bCs/>
                <w:sz w:val="20"/>
              </w:rPr>
            </w:pPr>
            <w:r w:rsidRPr="004E4188">
              <w:rPr>
                <w:rFonts w:ascii="Arial" w:hAnsi="Arial" w:cs="Arial"/>
                <w:b/>
                <w:bCs/>
                <w:sz w:val="20"/>
              </w:rPr>
              <w:t>Poste</w:t>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2922926F" w14:textId="77777777" w:rsidR="007049A5" w:rsidRPr="004E4188" w:rsidRDefault="007049A5" w:rsidP="00E91A54">
            <w:pPr>
              <w:jc w:val="center"/>
              <w:rPr>
                <w:rFonts w:ascii="Arial" w:hAnsi="Arial" w:cs="Arial"/>
                <w:b/>
                <w:bCs/>
                <w:sz w:val="20"/>
                <w:lang w:eastAsia="ja-JP"/>
              </w:rPr>
            </w:pPr>
            <w:r w:rsidRPr="004E4188">
              <w:rPr>
                <w:rFonts w:ascii="Arial" w:hAnsi="Arial" w:cs="Arial"/>
                <w:b/>
                <w:bCs/>
                <w:sz w:val="20"/>
                <w:lang w:eastAsia="ja-JP"/>
              </w:rPr>
              <w:t>Nombre minimum d’années</w:t>
            </w:r>
          </w:p>
        </w:tc>
      </w:tr>
      <w:tr w:rsidR="007049A5" w:rsidRPr="004E4188" w14:paraId="274F6B39" w14:textId="77777777" w:rsidTr="006C6267">
        <w:tc>
          <w:tcPr>
            <w:tcW w:w="992" w:type="dxa"/>
            <w:vMerge/>
            <w:tcBorders>
              <w:left w:val="single" w:sz="12" w:space="0" w:color="auto"/>
              <w:bottom w:val="single" w:sz="12" w:space="0" w:color="auto"/>
              <w:right w:val="single" w:sz="12" w:space="0" w:color="auto"/>
            </w:tcBorders>
            <w:shd w:val="clear" w:color="auto" w:fill="D9D9D9"/>
            <w:vAlign w:val="center"/>
          </w:tcPr>
          <w:p w14:paraId="1290686B" w14:textId="77777777" w:rsidR="007049A5" w:rsidRPr="004E4188" w:rsidRDefault="007049A5" w:rsidP="00C3593C">
            <w:pPr>
              <w:jc w:val="center"/>
              <w:rPr>
                <w:rFonts w:ascii="Arial" w:hAnsi="Arial" w:cs="Arial"/>
                <w:b/>
                <w:bCs/>
                <w:sz w:val="20"/>
              </w:rPr>
            </w:pPr>
          </w:p>
        </w:tc>
        <w:tc>
          <w:tcPr>
            <w:tcW w:w="3902" w:type="dxa"/>
            <w:vMerge/>
            <w:tcBorders>
              <w:left w:val="single" w:sz="12" w:space="0" w:color="auto"/>
              <w:bottom w:val="single" w:sz="12" w:space="0" w:color="auto"/>
              <w:right w:val="single" w:sz="12" w:space="0" w:color="auto"/>
            </w:tcBorders>
            <w:shd w:val="clear" w:color="auto" w:fill="D9D9D9"/>
            <w:vAlign w:val="center"/>
          </w:tcPr>
          <w:p w14:paraId="490296C7" w14:textId="77777777" w:rsidR="007049A5" w:rsidRPr="004E4188" w:rsidRDefault="007049A5" w:rsidP="00C3593C">
            <w:pPr>
              <w:jc w:val="center"/>
              <w:rPr>
                <w:rFonts w:ascii="Arial" w:hAnsi="Arial" w:cs="Arial"/>
                <w:b/>
                <w:bCs/>
                <w:sz w:val="20"/>
              </w:rPr>
            </w:pPr>
          </w:p>
        </w:tc>
        <w:tc>
          <w:tcPr>
            <w:tcW w:w="1559" w:type="dxa"/>
            <w:tcBorders>
              <w:top w:val="single" w:sz="12" w:space="0" w:color="auto"/>
              <w:left w:val="single" w:sz="12" w:space="0" w:color="auto"/>
              <w:bottom w:val="single" w:sz="12" w:space="0" w:color="auto"/>
              <w:right w:val="single" w:sz="12" w:space="0" w:color="auto"/>
            </w:tcBorders>
            <w:shd w:val="clear" w:color="auto" w:fill="D9D9D9"/>
            <w:vAlign w:val="center"/>
          </w:tcPr>
          <w:p w14:paraId="035F3C32" w14:textId="083097A0" w:rsidR="007049A5" w:rsidRPr="004E4188" w:rsidRDefault="007049A5" w:rsidP="00C3593C">
            <w:pPr>
              <w:jc w:val="center"/>
              <w:rPr>
                <w:rFonts w:ascii="Arial" w:hAnsi="Arial" w:cs="Arial"/>
                <w:b/>
                <w:bCs/>
                <w:sz w:val="20"/>
              </w:rPr>
            </w:pPr>
            <w:r w:rsidRPr="004E4188">
              <w:rPr>
                <w:rFonts w:ascii="Arial" w:hAnsi="Arial" w:cs="Arial"/>
                <w:b/>
                <w:bCs/>
                <w:sz w:val="20"/>
              </w:rPr>
              <w:t>Postes similaire</w:t>
            </w:r>
            <w:r w:rsidRPr="004E4188">
              <w:rPr>
                <w:rFonts w:ascii="Arial" w:hAnsi="Arial" w:cs="Arial"/>
                <w:b/>
                <w:bCs/>
                <w:sz w:val="20"/>
                <w:lang w:eastAsia="ja-JP"/>
              </w:rPr>
              <w:t>s</w:t>
            </w:r>
          </w:p>
        </w:tc>
        <w:tc>
          <w:tcPr>
            <w:tcW w:w="1985" w:type="dxa"/>
            <w:tcBorders>
              <w:top w:val="single" w:sz="12" w:space="0" w:color="auto"/>
              <w:left w:val="single" w:sz="12" w:space="0" w:color="auto"/>
              <w:bottom w:val="single" w:sz="12" w:space="0" w:color="auto"/>
              <w:right w:val="single" w:sz="12" w:space="0" w:color="auto"/>
            </w:tcBorders>
            <w:shd w:val="clear" w:color="auto" w:fill="D9D9D9"/>
            <w:vAlign w:val="center"/>
          </w:tcPr>
          <w:p w14:paraId="7794ECDA" w14:textId="4B35884D" w:rsidR="007049A5" w:rsidRPr="004E4188" w:rsidRDefault="007049A5" w:rsidP="00E91A54">
            <w:pPr>
              <w:jc w:val="center"/>
              <w:rPr>
                <w:rFonts w:ascii="Arial" w:hAnsi="Arial" w:cs="Arial"/>
                <w:b/>
                <w:bCs/>
                <w:sz w:val="20"/>
                <w:lang w:eastAsia="ja-JP"/>
              </w:rPr>
            </w:pPr>
            <w:r w:rsidRPr="004E4188">
              <w:rPr>
                <w:rFonts w:ascii="Arial" w:hAnsi="Arial" w:cs="Arial"/>
                <w:b/>
                <w:bCs/>
                <w:sz w:val="20"/>
                <w:lang w:eastAsia="ja-JP"/>
              </w:rPr>
              <w:t>Expérience professionnelle générale</w:t>
            </w:r>
          </w:p>
        </w:tc>
      </w:tr>
      <w:tr w:rsidR="007049A5" w:rsidRPr="004E4188" w14:paraId="38C57946" w14:textId="77777777" w:rsidTr="006C6267">
        <w:trPr>
          <w:trHeight w:val="340"/>
        </w:trPr>
        <w:tc>
          <w:tcPr>
            <w:tcW w:w="992" w:type="dxa"/>
            <w:tcBorders>
              <w:top w:val="single" w:sz="12" w:space="0" w:color="auto"/>
            </w:tcBorders>
            <w:vAlign w:val="center"/>
          </w:tcPr>
          <w:p w14:paraId="2CD11F48" w14:textId="77777777" w:rsidR="007049A5" w:rsidRPr="004E4188" w:rsidRDefault="007049A5" w:rsidP="0095794B">
            <w:pPr>
              <w:pStyle w:val="aa"/>
              <w:jc w:val="center"/>
              <w:rPr>
                <w:rFonts w:ascii="Arial" w:hAnsi="Arial" w:cs="Arial"/>
              </w:rPr>
            </w:pPr>
            <w:r w:rsidRPr="004E4188">
              <w:rPr>
                <w:rFonts w:ascii="Arial" w:hAnsi="Arial" w:cs="Arial"/>
              </w:rPr>
              <w:t>1</w:t>
            </w:r>
          </w:p>
        </w:tc>
        <w:tc>
          <w:tcPr>
            <w:tcW w:w="3902" w:type="dxa"/>
            <w:tcBorders>
              <w:top w:val="single" w:sz="12" w:space="0" w:color="auto"/>
            </w:tcBorders>
            <w:vAlign w:val="center"/>
          </w:tcPr>
          <w:p w14:paraId="6DA9E21F" w14:textId="5FBACE22" w:rsidR="007049A5" w:rsidRPr="004E4188" w:rsidRDefault="007049A5" w:rsidP="00BB0848">
            <w:pPr>
              <w:rPr>
                <w:rFonts w:ascii="Arial" w:hAnsi="Arial" w:cs="Arial"/>
                <w:sz w:val="20"/>
              </w:rPr>
            </w:pPr>
          </w:p>
        </w:tc>
        <w:tc>
          <w:tcPr>
            <w:tcW w:w="1559" w:type="dxa"/>
            <w:tcBorders>
              <w:top w:val="single" w:sz="12" w:space="0" w:color="auto"/>
            </w:tcBorders>
            <w:vAlign w:val="center"/>
          </w:tcPr>
          <w:p w14:paraId="2954BEB7" w14:textId="77777777" w:rsidR="007049A5" w:rsidRPr="004E4188" w:rsidRDefault="007049A5" w:rsidP="00BB0848">
            <w:pPr>
              <w:rPr>
                <w:rFonts w:ascii="Arial" w:hAnsi="Arial" w:cs="Arial"/>
                <w:sz w:val="20"/>
              </w:rPr>
            </w:pPr>
          </w:p>
        </w:tc>
        <w:tc>
          <w:tcPr>
            <w:tcW w:w="1985" w:type="dxa"/>
            <w:tcBorders>
              <w:top w:val="single" w:sz="12" w:space="0" w:color="auto"/>
            </w:tcBorders>
            <w:vAlign w:val="center"/>
          </w:tcPr>
          <w:p w14:paraId="33254B46" w14:textId="77777777" w:rsidR="007049A5" w:rsidRPr="004E4188" w:rsidRDefault="007049A5" w:rsidP="00BB0848">
            <w:pPr>
              <w:rPr>
                <w:rFonts w:ascii="Arial" w:hAnsi="Arial" w:cs="Arial"/>
                <w:sz w:val="20"/>
              </w:rPr>
            </w:pPr>
          </w:p>
        </w:tc>
      </w:tr>
      <w:tr w:rsidR="007049A5" w:rsidRPr="004E4188" w14:paraId="3BF19A17" w14:textId="77777777" w:rsidTr="006C6267">
        <w:trPr>
          <w:trHeight w:val="340"/>
        </w:trPr>
        <w:tc>
          <w:tcPr>
            <w:tcW w:w="992" w:type="dxa"/>
            <w:vAlign w:val="center"/>
          </w:tcPr>
          <w:p w14:paraId="0ACA38CA" w14:textId="77777777" w:rsidR="007049A5" w:rsidRPr="004E4188" w:rsidRDefault="007049A5" w:rsidP="0095794B">
            <w:pPr>
              <w:jc w:val="center"/>
              <w:rPr>
                <w:rFonts w:ascii="Arial" w:hAnsi="Arial" w:cs="Arial"/>
                <w:sz w:val="20"/>
              </w:rPr>
            </w:pPr>
            <w:r w:rsidRPr="004E4188">
              <w:rPr>
                <w:rFonts w:ascii="Arial" w:hAnsi="Arial" w:cs="Arial"/>
                <w:sz w:val="20"/>
              </w:rPr>
              <w:t>2</w:t>
            </w:r>
          </w:p>
        </w:tc>
        <w:tc>
          <w:tcPr>
            <w:tcW w:w="3902" w:type="dxa"/>
            <w:vAlign w:val="center"/>
          </w:tcPr>
          <w:p w14:paraId="0AF1665E" w14:textId="62ADF5CC" w:rsidR="007049A5" w:rsidRPr="004E4188" w:rsidRDefault="007049A5" w:rsidP="00BB0848">
            <w:pPr>
              <w:rPr>
                <w:rFonts w:ascii="Arial" w:hAnsi="Arial" w:cs="Arial"/>
                <w:i/>
                <w:sz w:val="20"/>
              </w:rPr>
            </w:pPr>
          </w:p>
        </w:tc>
        <w:tc>
          <w:tcPr>
            <w:tcW w:w="1559" w:type="dxa"/>
            <w:vAlign w:val="center"/>
          </w:tcPr>
          <w:p w14:paraId="69F0D47A" w14:textId="77777777" w:rsidR="007049A5" w:rsidRPr="004E4188" w:rsidRDefault="007049A5" w:rsidP="00BB0848">
            <w:pPr>
              <w:rPr>
                <w:rFonts w:ascii="Arial" w:hAnsi="Arial" w:cs="Arial"/>
                <w:sz w:val="20"/>
                <w:u w:val="single"/>
              </w:rPr>
            </w:pPr>
          </w:p>
        </w:tc>
        <w:tc>
          <w:tcPr>
            <w:tcW w:w="1985" w:type="dxa"/>
            <w:vAlign w:val="center"/>
          </w:tcPr>
          <w:p w14:paraId="57142C3A" w14:textId="77777777" w:rsidR="007049A5" w:rsidRPr="004E4188" w:rsidRDefault="007049A5" w:rsidP="00BB0848">
            <w:pPr>
              <w:rPr>
                <w:rFonts w:ascii="Arial" w:hAnsi="Arial" w:cs="Arial"/>
                <w:sz w:val="20"/>
              </w:rPr>
            </w:pPr>
          </w:p>
        </w:tc>
      </w:tr>
      <w:tr w:rsidR="007049A5" w:rsidRPr="004E4188" w14:paraId="7CA9DEC2" w14:textId="77777777" w:rsidTr="006C6267">
        <w:trPr>
          <w:trHeight w:val="340"/>
        </w:trPr>
        <w:tc>
          <w:tcPr>
            <w:tcW w:w="992" w:type="dxa"/>
            <w:vAlign w:val="center"/>
          </w:tcPr>
          <w:p w14:paraId="3EB14936" w14:textId="77777777" w:rsidR="007049A5" w:rsidRPr="004E4188" w:rsidRDefault="007049A5" w:rsidP="0095794B">
            <w:pPr>
              <w:pStyle w:val="aa"/>
              <w:jc w:val="center"/>
              <w:rPr>
                <w:rFonts w:ascii="Arial" w:hAnsi="Arial" w:cs="Arial"/>
              </w:rPr>
            </w:pPr>
            <w:r w:rsidRPr="004E4188">
              <w:rPr>
                <w:rFonts w:ascii="Arial" w:hAnsi="Arial" w:cs="Arial"/>
              </w:rPr>
              <w:t>3</w:t>
            </w:r>
          </w:p>
        </w:tc>
        <w:tc>
          <w:tcPr>
            <w:tcW w:w="3902" w:type="dxa"/>
            <w:vAlign w:val="center"/>
          </w:tcPr>
          <w:p w14:paraId="325262D3" w14:textId="1F4F77F4" w:rsidR="007049A5" w:rsidRPr="004E4188" w:rsidRDefault="007049A5" w:rsidP="00BB0848">
            <w:pPr>
              <w:rPr>
                <w:rFonts w:ascii="Arial" w:hAnsi="Arial" w:cs="Arial"/>
                <w:i/>
                <w:sz w:val="20"/>
              </w:rPr>
            </w:pPr>
          </w:p>
        </w:tc>
        <w:tc>
          <w:tcPr>
            <w:tcW w:w="1559" w:type="dxa"/>
            <w:vAlign w:val="center"/>
          </w:tcPr>
          <w:p w14:paraId="1DA61A10" w14:textId="77777777" w:rsidR="007049A5" w:rsidRPr="004E4188" w:rsidRDefault="007049A5" w:rsidP="00BB0848">
            <w:pPr>
              <w:rPr>
                <w:rFonts w:ascii="Arial" w:hAnsi="Arial" w:cs="Arial"/>
                <w:sz w:val="20"/>
                <w:u w:val="single"/>
              </w:rPr>
            </w:pPr>
          </w:p>
        </w:tc>
        <w:tc>
          <w:tcPr>
            <w:tcW w:w="1985" w:type="dxa"/>
            <w:vAlign w:val="center"/>
          </w:tcPr>
          <w:p w14:paraId="08429063" w14:textId="77777777" w:rsidR="007049A5" w:rsidRPr="004E4188" w:rsidRDefault="007049A5" w:rsidP="00BB0848">
            <w:pPr>
              <w:rPr>
                <w:rFonts w:ascii="Arial" w:hAnsi="Arial" w:cs="Arial"/>
                <w:sz w:val="20"/>
                <w:u w:val="single"/>
              </w:rPr>
            </w:pPr>
          </w:p>
        </w:tc>
      </w:tr>
      <w:tr w:rsidR="007049A5" w:rsidRPr="004E4188" w14:paraId="15C01D2E" w14:textId="77777777" w:rsidTr="006C6267">
        <w:trPr>
          <w:trHeight w:val="340"/>
        </w:trPr>
        <w:tc>
          <w:tcPr>
            <w:tcW w:w="992" w:type="dxa"/>
            <w:vAlign w:val="center"/>
          </w:tcPr>
          <w:p w14:paraId="1BD3AC8B" w14:textId="77777777" w:rsidR="007049A5" w:rsidRPr="004E4188" w:rsidRDefault="007049A5" w:rsidP="0095794B">
            <w:pPr>
              <w:pStyle w:val="aa"/>
              <w:jc w:val="center"/>
              <w:rPr>
                <w:rFonts w:ascii="Arial" w:hAnsi="Arial" w:cs="Arial"/>
                <w:lang w:eastAsia="ja-JP"/>
              </w:rPr>
            </w:pPr>
            <w:r w:rsidRPr="004E4188">
              <w:rPr>
                <w:rFonts w:ascii="Arial" w:hAnsi="Arial" w:cs="Arial"/>
                <w:lang w:eastAsia="ja-JP"/>
              </w:rPr>
              <w:t>4</w:t>
            </w:r>
          </w:p>
        </w:tc>
        <w:tc>
          <w:tcPr>
            <w:tcW w:w="3902" w:type="dxa"/>
            <w:vAlign w:val="center"/>
          </w:tcPr>
          <w:p w14:paraId="228F11E9" w14:textId="77777777" w:rsidR="007049A5" w:rsidRPr="004E4188" w:rsidDel="00BE4B2A" w:rsidRDefault="007049A5" w:rsidP="00BB0848">
            <w:pPr>
              <w:rPr>
                <w:rFonts w:ascii="Arial" w:hAnsi="Arial" w:cs="Arial"/>
                <w:i/>
                <w:sz w:val="20"/>
                <w:lang w:eastAsia="ja-JP"/>
              </w:rPr>
            </w:pPr>
          </w:p>
        </w:tc>
        <w:tc>
          <w:tcPr>
            <w:tcW w:w="1559" w:type="dxa"/>
            <w:vAlign w:val="center"/>
          </w:tcPr>
          <w:p w14:paraId="65AEE113" w14:textId="77777777" w:rsidR="007049A5" w:rsidRPr="004E4188" w:rsidRDefault="007049A5" w:rsidP="00BB0848">
            <w:pPr>
              <w:rPr>
                <w:rFonts w:ascii="Arial" w:hAnsi="Arial" w:cs="Arial"/>
                <w:sz w:val="20"/>
                <w:u w:val="single"/>
              </w:rPr>
            </w:pPr>
          </w:p>
        </w:tc>
        <w:tc>
          <w:tcPr>
            <w:tcW w:w="1985" w:type="dxa"/>
            <w:vAlign w:val="center"/>
          </w:tcPr>
          <w:p w14:paraId="00FD700C" w14:textId="77777777" w:rsidR="007049A5" w:rsidRPr="004E4188" w:rsidRDefault="007049A5" w:rsidP="00BB0848">
            <w:pPr>
              <w:rPr>
                <w:rFonts w:ascii="Arial" w:hAnsi="Arial" w:cs="Arial"/>
                <w:sz w:val="20"/>
                <w:u w:val="single"/>
              </w:rPr>
            </w:pPr>
          </w:p>
        </w:tc>
      </w:tr>
      <w:tr w:rsidR="007049A5" w:rsidRPr="004E4188" w14:paraId="4BA9D97A" w14:textId="77777777" w:rsidTr="006C6267">
        <w:trPr>
          <w:trHeight w:val="340"/>
        </w:trPr>
        <w:tc>
          <w:tcPr>
            <w:tcW w:w="992" w:type="dxa"/>
            <w:vAlign w:val="center"/>
          </w:tcPr>
          <w:p w14:paraId="062C369F" w14:textId="77777777" w:rsidR="007049A5" w:rsidRPr="004E4188" w:rsidRDefault="007049A5" w:rsidP="0095794B">
            <w:pPr>
              <w:pStyle w:val="aa"/>
              <w:jc w:val="center"/>
              <w:rPr>
                <w:rFonts w:ascii="Arial" w:hAnsi="Arial" w:cs="Arial"/>
                <w:lang w:eastAsia="ja-JP"/>
              </w:rPr>
            </w:pPr>
            <w:r w:rsidRPr="004E4188">
              <w:rPr>
                <w:rFonts w:ascii="Arial" w:hAnsi="Arial" w:cs="Arial"/>
                <w:lang w:eastAsia="ja-JP"/>
              </w:rPr>
              <w:t>5</w:t>
            </w:r>
          </w:p>
        </w:tc>
        <w:tc>
          <w:tcPr>
            <w:tcW w:w="3902" w:type="dxa"/>
            <w:vAlign w:val="center"/>
          </w:tcPr>
          <w:p w14:paraId="6938269F" w14:textId="77777777" w:rsidR="007049A5" w:rsidRPr="004E4188" w:rsidDel="00BE4B2A" w:rsidRDefault="007049A5" w:rsidP="00BB0848">
            <w:pPr>
              <w:rPr>
                <w:rFonts w:ascii="Arial" w:hAnsi="Arial" w:cs="Arial"/>
                <w:i/>
                <w:sz w:val="20"/>
                <w:lang w:eastAsia="ja-JP"/>
              </w:rPr>
            </w:pPr>
          </w:p>
        </w:tc>
        <w:tc>
          <w:tcPr>
            <w:tcW w:w="1559" w:type="dxa"/>
            <w:vAlign w:val="center"/>
          </w:tcPr>
          <w:p w14:paraId="2A2E9471" w14:textId="77777777" w:rsidR="007049A5" w:rsidRPr="004E4188" w:rsidRDefault="007049A5" w:rsidP="00BB0848">
            <w:pPr>
              <w:rPr>
                <w:rFonts w:ascii="Arial" w:hAnsi="Arial" w:cs="Arial"/>
                <w:sz w:val="20"/>
                <w:u w:val="single"/>
              </w:rPr>
            </w:pPr>
          </w:p>
        </w:tc>
        <w:tc>
          <w:tcPr>
            <w:tcW w:w="1985" w:type="dxa"/>
            <w:vAlign w:val="center"/>
          </w:tcPr>
          <w:p w14:paraId="580179C8" w14:textId="77777777" w:rsidR="007049A5" w:rsidRPr="004E4188" w:rsidRDefault="007049A5" w:rsidP="00BB0848">
            <w:pPr>
              <w:rPr>
                <w:rFonts w:ascii="Arial" w:hAnsi="Arial" w:cs="Arial"/>
                <w:sz w:val="20"/>
                <w:u w:val="single"/>
              </w:rPr>
            </w:pPr>
          </w:p>
        </w:tc>
      </w:tr>
      <w:tr w:rsidR="007049A5" w:rsidRPr="004E4188" w14:paraId="4F3BA333" w14:textId="77777777" w:rsidTr="006C6267">
        <w:trPr>
          <w:trHeight w:val="340"/>
        </w:trPr>
        <w:tc>
          <w:tcPr>
            <w:tcW w:w="992" w:type="dxa"/>
            <w:vAlign w:val="center"/>
          </w:tcPr>
          <w:p w14:paraId="4E0905C5" w14:textId="77777777" w:rsidR="007049A5" w:rsidRPr="004E4188" w:rsidRDefault="007049A5" w:rsidP="0095794B">
            <w:pPr>
              <w:jc w:val="center"/>
              <w:rPr>
                <w:rFonts w:ascii="Arial" w:hAnsi="Arial" w:cs="Arial"/>
                <w:sz w:val="20"/>
                <w:lang w:eastAsia="ja-JP"/>
              </w:rPr>
            </w:pPr>
            <w:r w:rsidRPr="004E4188">
              <w:rPr>
                <w:rFonts w:ascii="Arial" w:hAnsi="Arial" w:cs="Arial"/>
                <w:sz w:val="20"/>
                <w:lang w:eastAsia="ja-JP"/>
              </w:rPr>
              <w:t>...</w:t>
            </w:r>
          </w:p>
        </w:tc>
        <w:tc>
          <w:tcPr>
            <w:tcW w:w="3902" w:type="dxa"/>
            <w:vAlign w:val="center"/>
          </w:tcPr>
          <w:p w14:paraId="4B2F3859" w14:textId="77777777" w:rsidR="007049A5" w:rsidRPr="004E4188" w:rsidRDefault="007049A5" w:rsidP="00BB0848">
            <w:pPr>
              <w:rPr>
                <w:rFonts w:ascii="Arial" w:hAnsi="Arial" w:cs="Arial"/>
                <w:sz w:val="20"/>
              </w:rPr>
            </w:pPr>
          </w:p>
        </w:tc>
        <w:tc>
          <w:tcPr>
            <w:tcW w:w="1559" w:type="dxa"/>
            <w:vAlign w:val="center"/>
          </w:tcPr>
          <w:p w14:paraId="6D9189BE" w14:textId="77777777" w:rsidR="007049A5" w:rsidRPr="004E4188" w:rsidRDefault="007049A5" w:rsidP="00BB0848">
            <w:pPr>
              <w:rPr>
                <w:rFonts w:ascii="Arial" w:hAnsi="Arial" w:cs="Arial"/>
                <w:sz w:val="20"/>
                <w:u w:val="single"/>
              </w:rPr>
            </w:pPr>
          </w:p>
        </w:tc>
        <w:tc>
          <w:tcPr>
            <w:tcW w:w="1985" w:type="dxa"/>
            <w:vAlign w:val="center"/>
          </w:tcPr>
          <w:p w14:paraId="035E2EF2" w14:textId="77777777" w:rsidR="007049A5" w:rsidRPr="004E4188" w:rsidRDefault="007049A5" w:rsidP="00BB0848">
            <w:pPr>
              <w:rPr>
                <w:rFonts w:ascii="Arial" w:hAnsi="Arial" w:cs="Arial"/>
                <w:sz w:val="20"/>
              </w:rPr>
            </w:pPr>
          </w:p>
        </w:tc>
      </w:tr>
      <w:tr w:rsidR="007049A5" w:rsidRPr="004E4188" w14:paraId="47762201" w14:textId="77777777" w:rsidTr="006C6267">
        <w:tc>
          <w:tcPr>
            <w:tcW w:w="8438" w:type="dxa"/>
            <w:gridSpan w:val="4"/>
          </w:tcPr>
          <w:p w14:paraId="3DF0B897" w14:textId="77777777" w:rsidR="007049A5" w:rsidRPr="004E4188" w:rsidRDefault="007049A5" w:rsidP="003B74A9">
            <w:pPr>
              <w:widowControl w:val="0"/>
              <w:spacing w:afterLines="50" w:after="120" w:line="0" w:lineRule="atLeast"/>
              <w:rPr>
                <w:rFonts w:ascii="Arial" w:hAnsi="Arial" w:cs="Arial"/>
                <w:i/>
                <w:sz w:val="20"/>
                <w:u w:val="single"/>
                <w:lang w:eastAsia="ja-JP"/>
              </w:rPr>
            </w:pPr>
            <w:r w:rsidRPr="004E4188">
              <w:rPr>
                <w:rFonts w:ascii="Arial" w:hAnsi="Arial" w:cs="Arial"/>
                <w:i/>
                <w:sz w:val="20"/>
                <w:u w:val="single"/>
                <w:lang w:eastAsia="ja-JP"/>
              </w:rPr>
              <w:t>Notes à l’intention du Maître d’ouvrage</w:t>
            </w:r>
          </w:p>
          <w:p w14:paraId="56E64342" w14:textId="1AE51BFB" w:rsidR="007049A5" w:rsidRPr="004E4188" w:rsidRDefault="007049A5" w:rsidP="003B74A9">
            <w:pPr>
              <w:widowControl w:val="0"/>
              <w:suppressAutoHyphens w:val="0"/>
              <w:overflowPunct/>
              <w:autoSpaceDE/>
              <w:autoSpaceDN/>
              <w:adjustRightInd/>
              <w:spacing w:afterLines="50" w:after="120" w:line="0" w:lineRule="atLeast"/>
              <w:ind w:left="372" w:hangingChars="186" w:hanging="372"/>
              <w:textAlignment w:val="auto"/>
              <w:rPr>
                <w:rFonts w:ascii="Arial" w:hAnsi="Arial" w:cs="Arial"/>
                <w:i/>
                <w:sz w:val="20"/>
              </w:rPr>
            </w:pPr>
            <w:r w:rsidRPr="004E4188">
              <w:rPr>
                <w:rFonts w:ascii="Arial" w:hAnsi="Arial" w:cs="Arial"/>
                <w:i/>
                <w:sz w:val="20"/>
                <w:lang w:eastAsia="ja-JP"/>
              </w:rPr>
              <w:t>(a)</w:t>
            </w:r>
            <w:r w:rsidRPr="004E4188">
              <w:rPr>
                <w:rFonts w:ascii="Arial" w:hAnsi="Arial" w:cs="Arial"/>
                <w:i/>
                <w:sz w:val="20"/>
                <w:lang w:eastAsia="ja-JP"/>
              </w:rPr>
              <w:tab/>
            </w:r>
            <w:r w:rsidRPr="004E4188">
              <w:rPr>
                <w:rFonts w:ascii="Arial" w:hAnsi="Arial" w:cs="Arial"/>
                <w:i/>
                <w:sz w:val="20"/>
              </w:rPr>
              <w:t>Les postes requis doivent être limités aux postes supérieurs essentiels à la bonne exécution des Équipements et Services de montage dans les délais prescrits, tels que</w:t>
            </w:r>
            <w:r w:rsidRPr="004E4188" w:rsidDel="00C465CF">
              <w:rPr>
                <w:rFonts w:ascii="Arial" w:hAnsi="Arial" w:cs="Arial"/>
                <w:i/>
                <w:sz w:val="20"/>
              </w:rPr>
              <w:t xml:space="preserve"> </w:t>
            </w:r>
            <w:r w:rsidRPr="004E4188">
              <w:rPr>
                <w:rFonts w:ascii="Arial" w:hAnsi="Arial" w:cs="Arial"/>
                <w:i/>
                <w:sz w:val="20"/>
              </w:rPr>
              <w:t>le chef de projet, l’(les) ingénieur(s) en chef, le(les) responsable(s) de la conception ou le(les) directeur(s) de section qui sont responsables des activités principales. Le Maître d’ouvrage s’assurera pour cela que le nombre de postes soit maintenu au minimum requis.</w:t>
            </w:r>
          </w:p>
          <w:p w14:paraId="0BDDAF29" w14:textId="423C1214" w:rsidR="007049A5" w:rsidRPr="004E4188" w:rsidRDefault="007049A5" w:rsidP="006C6267">
            <w:pPr>
              <w:widowControl w:val="0"/>
              <w:suppressAutoHyphens w:val="0"/>
              <w:overflowPunct/>
              <w:autoSpaceDE/>
              <w:autoSpaceDN/>
              <w:adjustRightInd/>
              <w:spacing w:afterLines="50" w:after="120" w:line="0" w:lineRule="atLeast"/>
              <w:ind w:left="372" w:hangingChars="186" w:hanging="372"/>
              <w:textAlignment w:val="auto"/>
              <w:rPr>
                <w:rFonts w:ascii="Arial" w:hAnsi="Arial" w:cs="Arial"/>
                <w:i/>
                <w:sz w:val="20"/>
                <w:lang w:eastAsia="ja-JP"/>
              </w:rPr>
            </w:pPr>
            <w:r w:rsidRPr="004E4188">
              <w:rPr>
                <w:rFonts w:ascii="Arial" w:hAnsi="Arial" w:cs="Arial"/>
                <w:i/>
                <w:sz w:val="20"/>
                <w:lang w:eastAsia="ja-JP"/>
              </w:rPr>
              <w:t>(b)</w:t>
            </w:r>
            <w:r w:rsidRPr="004E4188">
              <w:rPr>
                <w:rFonts w:ascii="Arial" w:hAnsi="Arial" w:cs="Arial"/>
                <w:i/>
                <w:sz w:val="20"/>
                <w:lang w:eastAsia="ja-JP"/>
              </w:rPr>
              <w:tab/>
              <w:t>Un d</w:t>
            </w:r>
            <w:r w:rsidRPr="004E4188">
              <w:rPr>
                <w:rFonts w:ascii="Arial" w:hAnsi="Arial" w:cs="Arial"/>
                <w:i/>
                <w:sz w:val="20"/>
              </w:rPr>
              <w:t>es postes-clés sera tenu par un responsable de la santé et de la sécurité.</w:t>
            </w:r>
          </w:p>
          <w:p w14:paraId="52955F4E" w14:textId="27476C4B" w:rsidR="007049A5" w:rsidRPr="004E4188" w:rsidRDefault="007049A5" w:rsidP="006C6267">
            <w:pPr>
              <w:widowControl w:val="0"/>
              <w:suppressAutoHyphens w:val="0"/>
              <w:overflowPunct/>
              <w:autoSpaceDE/>
              <w:autoSpaceDN/>
              <w:adjustRightInd/>
              <w:spacing w:afterLines="50" w:after="120" w:line="0" w:lineRule="atLeast"/>
              <w:ind w:left="372" w:hangingChars="186" w:hanging="372"/>
              <w:textAlignment w:val="auto"/>
              <w:rPr>
                <w:rFonts w:ascii="Arial" w:hAnsi="Arial" w:cs="Arial"/>
                <w:sz w:val="20"/>
                <w:lang w:eastAsia="ja-JP"/>
              </w:rPr>
            </w:pPr>
            <w:r w:rsidRPr="004E4188">
              <w:rPr>
                <w:rFonts w:ascii="Arial" w:hAnsi="Arial" w:cs="Arial"/>
                <w:i/>
                <w:sz w:val="20"/>
                <w:lang w:eastAsia="ja-JP"/>
              </w:rPr>
              <w:t>(c)</w:t>
            </w:r>
            <w:r w:rsidRPr="004E4188">
              <w:rPr>
                <w:rFonts w:ascii="Arial" w:hAnsi="Arial" w:cs="Arial"/>
                <w:i/>
                <w:sz w:val="20"/>
                <w:lang w:eastAsia="ja-JP"/>
              </w:rPr>
              <w:tab/>
              <w:t>Ajouter des critères d’attribution en cas de lots multiples, le cas échéant.</w:t>
            </w:r>
          </w:p>
        </w:tc>
      </w:tr>
    </w:tbl>
    <w:p w14:paraId="1A036512" w14:textId="77777777" w:rsidR="007049A5" w:rsidRPr="004E4188" w:rsidRDefault="007049A5" w:rsidP="009E45C7">
      <w:pPr>
        <w:spacing w:beforeLines="100" w:before="240" w:afterLines="100" w:after="240"/>
        <w:ind w:left="850"/>
      </w:pPr>
      <w:r w:rsidRPr="004E4188">
        <w:rPr>
          <w:szCs w:val="24"/>
          <w:lang w:eastAsia="ja-JP"/>
        </w:rPr>
        <w:t xml:space="preserve">Les </w:t>
      </w:r>
      <w:r w:rsidRPr="004E4188">
        <w:rPr>
          <w:rFonts w:hint="eastAsia"/>
        </w:rPr>
        <w:t>candidats suppléants proposés pour les postes-clés ne seront pas évalués.</w:t>
      </w:r>
    </w:p>
    <w:p w14:paraId="0F491BD0" w14:textId="7A123602" w:rsidR="007049A5" w:rsidRPr="004E4188" w:rsidRDefault="007049A5" w:rsidP="004D6094">
      <w:pPr>
        <w:spacing w:beforeLines="100" w:before="240" w:afterLines="50" w:after="120"/>
        <w:ind w:left="850"/>
      </w:pPr>
      <w:r w:rsidRPr="004E4188">
        <w:t>Le Soumissionnaire doit fournir des détails sur le personnel proposé pour le Marché ainsi que son expérience dans les formulaires PER-1 et PER-2 de la Section IV, Formulaires de soumission.</w:t>
      </w:r>
    </w:p>
    <w:p w14:paraId="02BCBDDA" w14:textId="77777777" w:rsidR="007049A5" w:rsidRPr="004E4188" w:rsidRDefault="007049A5" w:rsidP="004D6094">
      <w:pPr>
        <w:spacing w:beforeLines="50" w:before="120" w:afterLines="50" w:after="120"/>
        <w:ind w:leftChars="550" w:left="1320"/>
      </w:pPr>
    </w:p>
    <w:p w14:paraId="60995314" w14:textId="77777777" w:rsidR="00DF1D87" w:rsidRPr="004E4188" w:rsidRDefault="00DF1D87" w:rsidP="004D6094">
      <w:pPr>
        <w:spacing w:beforeLines="50" w:before="120" w:afterLines="50" w:after="120"/>
        <w:ind w:leftChars="550" w:left="1320"/>
      </w:pPr>
    </w:p>
    <w:p w14:paraId="1DCC0C05" w14:textId="2FEC00D2" w:rsidR="007049A5" w:rsidRPr="004E4188" w:rsidRDefault="007049A5" w:rsidP="009E45C7">
      <w:pPr>
        <w:tabs>
          <w:tab w:val="num" w:pos="2705"/>
        </w:tabs>
        <w:suppressAutoHyphens w:val="0"/>
        <w:overflowPunct/>
        <w:autoSpaceDE/>
        <w:autoSpaceDN/>
        <w:adjustRightInd/>
        <w:ind w:left="851" w:hanging="851"/>
        <w:jc w:val="left"/>
        <w:textAlignment w:val="auto"/>
        <w:rPr>
          <w:b/>
        </w:rPr>
      </w:pPr>
      <w:r w:rsidRPr="004E4188">
        <w:rPr>
          <w:b/>
        </w:rPr>
        <w:t>1.1.2</w:t>
      </w:r>
      <w:r w:rsidRPr="004E4188">
        <w:rPr>
          <w:b/>
          <w:lang w:eastAsia="ja-JP"/>
        </w:rPr>
        <w:tab/>
      </w:r>
      <w:r w:rsidRPr="004E4188">
        <w:rPr>
          <w:b/>
          <w:szCs w:val="24"/>
        </w:rPr>
        <w:t>É</w:t>
      </w:r>
      <w:r w:rsidRPr="004E4188">
        <w:rPr>
          <w:b/>
        </w:rPr>
        <w:t>quipement de construction</w:t>
      </w:r>
    </w:p>
    <w:p w14:paraId="5C230792" w14:textId="77777777" w:rsidR="00DF1D87" w:rsidRPr="004E4188" w:rsidRDefault="00DF1D87" w:rsidP="00DF1D87">
      <w:pPr>
        <w:tabs>
          <w:tab w:val="right" w:pos="7254"/>
        </w:tabs>
        <w:suppressAutoHyphens w:val="0"/>
        <w:overflowPunct/>
        <w:autoSpaceDE/>
        <w:autoSpaceDN/>
        <w:adjustRightInd/>
        <w:spacing w:after="120"/>
        <w:ind w:left="850"/>
        <w:textAlignment w:val="auto"/>
        <w:rPr>
          <w:lang w:eastAsia="ja-JP"/>
        </w:rPr>
      </w:pPr>
      <w:r w:rsidRPr="004E4188">
        <w:t>Le Soumissionnaire doit établir qu’il dispose des équipements de construction principaux indiqués ci-après :</w:t>
      </w:r>
    </w:p>
    <w:tbl>
      <w:tblPr>
        <w:tblW w:w="8221"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4678"/>
        <w:gridCol w:w="2835"/>
      </w:tblGrid>
      <w:tr w:rsidR="00DF1D87" w:rsidRPr="004E4188" w14:paraId="70781B5A" w14:textId="77777777" w:rsidTr="00F404AB">
        <w:tc>
          <w:tcPr>
            <w:tcW w:w="708" w:type="dxa"/>
            <w:tcBorders>
              <w:top w:val="single" w:sz="12" w:space="0" w:color="auto"/>
              <w:left w:val="single" w:sz="12" w:space="0" w:color="auto"/>
              <w:bottom w:val="single" w:sz="12" w:space="0" w:color="auto"/>
              <w:right w:val="single" w:sz="12" w:space="0" w:color="auto"/>
            </w:tcBorders>
            <w:shd w:val="clear" w:color="auto" w:fill="C0C0C0"/>
            <w:vAlign w:val="center"/>
          </w:tcPr>
          <w:p w14:paraId="46E64F9E" w14:textId="77777777" w:rsidR="00DF1D87" w:rsidRPr="004E4188" w:rsidRDefault="00DF1D87" w:rsidP="00F404AB">
            <w:pPr>
              <w:suppressAutoHyphens w:val="0"/>
              <w:overflowPunct/>
              <w:autoSpaceDE/>
              <w:autoSpaceDN/>
              <w:adjustRightInd/>
              <w:jc w:val="center"/>
              <w:textAlignment w:val="auto"/>
              <w:rPr>
                <w:rFonts w:ascii="Arial" w:hAnsi="Arial" w:cs="Arial"/>
                <w:b/>
                <w:bCs/>
                <w:sz w:val="20"/>
                <w:lang w:eastAsia="en-US"/>
              </w:rPr>
            </w:pPr>
            <w:r w:rsidRPr="004E4188">
              <w:rPr>
                <w:rFonts w:ascii="Arial" w:hAnsi="Arial" w:cs="Arial"/>
                <w:b/>
                <w:bCs/>
                <w:sz w:val="20"/>
                <w:lang w:eastAsia="en-US"/>
              </w:rPr>
              <w:t>n°</w:t>
            </w:r>
          </w:p>
        </w:tc>
        <w:tc>
          <w:tcPr>
            <w:tcW w:w="4678" w:type="dxa"/>
            <w:tcBorders>
              <w:top w:val="single" w:sz="12" w:space="0" w:color="auto"/>
              <w:left w:val="single" w:sz="12" w:space="0" w:color="auto"/>
              <w:bottom w:val="single" w:sz="12" w:space="0" w:color="auto"/>
              <w:right w:val="single" w:sz="12" w:space="0" w:color="auto"/>
            </w:tcBorders>
            <w:shd w:val="clear" w:color="auto" w:fill="C0C0C0"/>
            <w:vAlign w:val="center"/>
          </w:tcPr>
          <w:p w14:paraId="0C89499A" w14:textId="77777777" w:rsidR="00DF1D87" w:rsidRPr="004E4188" w:rsidRDefault="00DF1D87" w:rsidP="00F404AB">
            <w:pPr>
              <w:suppressAutoHyphens w:val="0"/>
              <w:overflowPunct/>
              <w:autoSpaceDE/>
              <w:autoSpaceDN/>
              <w:adjustRightInd/>
              <w:jc w:val="center"/>
              <w:textAlignment w:val="auto"/>
              <w:rPr>
                <w:rFonts w:ascii="Arial" w:hAnsi="Arial" w:cs="Arial"/>
                <w:b/>
                <w:bCs/>
                <w:sz w:val="20"/>
                <w:lang w:eastAsia="en-US"/>
              </w:rPr>
            </w:pPr>
            <w:r w:rsidRPr="004E4188">
              <w:rPr>
                <w:rFonts w:ascii="Arial" w:hAnsi="Arial" w:cs="Arial"/>
                <w:b/>
                <w:bCs/>
                <w:sz w:val="20"/>
                <w:lang w:eastAsia="en-US"/>
              </w:rPr>
              <w:t xml:space="preserve">Type et caractéristiques </w:t>
            </w:r>
            <w:r w:rsidRPr="004E4188">
              <w:rPr>
                <w:rFonts w:ascii="Arial" w:hAnsi="Arial" w:cs="Arial"/>
                <w:b/>
                <w:bCs/>
                <w:sz w:val="20"/>
              </w:rPr>
              <w:t>de performance requises</w:t>
            </w:r>
            <w:r w:rsidRPr="004E4188">
              <w:rPr>
                <w:rFonts w:ascii="Arial" w:hAnsi="Arial" w:cs="Arial"/>
                <w:b/>
                <w:bCs/>
                <w:sz w:val="20"/>
                <w:lang w:eastAsia="en-US"/>
              </w:rPr>
              <w:t xml:space="preserve"> des équipements</w:t>
            </w:r>
          </w:p>
        </w:tc>
        <w:tc>
          <w:tcPr>
            <w:tcW w:w="2835" w:type="dxa"/>
            <w:tcBorders>
              <w:top w:val="single" w:sz="12" w:space="0" w:color="auto"/>
              <w:left w:val="single" w:sz="12" w:space="0" w:color="auto"/>
              <w:bottom w:val="single" w:sz="12" w:space="0" w:color="auto"/>
              <w:right w:val="single" w:sz="12" w:space="0" w:color="auto"/>
            </w:tcBorders>
            <w:shd w:val="clear" w:color="auto" w:fill="C0C0C0"/>
            <w:vAlign w:val="center"/>
          </w:tcPr>
          <w:p w14:paraId="09D94D53" w14:textId="77777777" w:rsidR="00DF1D87" w:rsidRPr="004E4188" w:rsidRDefault="00DF1D87" w:rsidP="00F404AB">
            <w:pPr>
              <w:suppressAutoHyphens w:val="0"/>
              <w:overflowPunct/>
              <w:autoSpaceDE/>
              <w:autoSpaceDN/>
              <w:adjustRightInd/>
              <w:jc w:val="center"/>
              <w:textAlignment w:val="auto"/>
              <w:rPr>
                <w:rFonts w:ascii="Arial" w:hAnsi="Arial" w:cs="Arial"/>
                <w:b/>
                <w:bCs/>
                <w:sz w:val="20"/>
                <w:lang w:eastAsia="en-US"/>
              </w:rPr>
            </w:pPr>
            <w:r w:rsidRPr="004E4188">
              <w:rPr>
                <w:rFonts w:ascii="Arial" w:hAnsi="Arial" w:cs="Arial"/>
                <w:b/>
                <w:bCs/>
                <w:sz w:val="20"/>
                <w:lang w:eastAsia="en-US"/>
              </w:rPr>
              <w:t>Nombre minimum requis</w:t>
            </w:r>
          </w:p>
        </w:tc>
      </w:tr>
      <w:tr w:rsidR="00DF1D87" w:rsidRPr="004E4188" w14:paraId="402091C2" w14:textId="77777777" w:rsidTr="00F404AB">
        <w:trPr>
          <w:trHeight w:val="340"/>
        </w:trPr>
        <w:tc>
          <w:tcPr>
            <w:tcW w:w="708" w:type="dxa"/>
            <w:tcBorders>
              <w:top w:val="single" w:sz="12" w:space="0" w:color="auto"/>
            </w:tcBorders>
            <w:vAlign w:val="center"/>
          </w:tcPr>
          <w:p w14:paraId="4ABE405C" w14:textId="77777777" w:rsidR="00DF1D87" w:rsidRPr="004E4188" w:rsidRDefault="00DF1D87" w:rsidP="00F404AB">
            <w:pPr>
              <w:suppressAutoHyphens w:val="0"/>
              <w:overflowPunct/>
              <w:autoSpaceDE/>
              <w:autoSpaceDN/>
              <w:adjustRightInd/>
              <w:jc w:val="center"/>
              <w:textAlignment w:val="auto"/>
              <w:rPr>
                <w:rFonts w:ascii="Arial" w:hAnsi="Arial" w:cs="Arial"/>
                <w:sz w:val="20"/>
                <w:lang w:eastAsia="en-US"/>
              </w:rPr>
            </w:pPr>
            <w:r w:rsidRPr="004E4188">
              <w:rPr>
                <w:rFonts w:ascii="Arial" w:hAnsi="Arial" w:cs="Arial"/>
                <w:sz w:val="20"/>
                <w:lang w:eastAsia="en-US"/>
              </w:rPr>
              <w:t>1</w:t>
            </w:r>
          </w:p>
        </w:tc>
        <w:tc>
          <w:tcPr>
            <w:tcW w:w="4678" w:type="dxa"/>
            <w:tcBorders>
              <w:top w:val="single" w:sz="12" w:space="0" w:color="auto"/>
            </w:tcBorders>
            <w:vAlign w:val="center"/>
          </w:tcPr>
          <w:p w14:paraId="7FB7DC37" w14:textId="77777777" w:rsidR="00DF1D87" w:rsidRPr="004E4188" w:rsidRDefault="00DF1D87" w:rsidP="00F404AB">
            <w:pPr>
              <w:suppressAutoHyphens w:val="0"/>
              <w:overflowPunct/>
              <w:autoSpaceDE/>
              <w:autoSpaceDN/>
              <w:adjustRightInd/>
              <w:textAlignment w:val="auto"/>
              <w:rPr>
                <w:rFonts w:ascii="Arial" w:hAnsi="Arial" w:cs="Arial"/>
                <w:sz w:val="20"/>
                <w:lang w:eastAsia="en-US"/>
              </w:rPr>
            </w:pPr>
          </w:p>
        </w:tc>
        <w:tc>
          <w:tcPr>
            <w:tcW w:w="2835" w:type="dxa"/>
            <w:tcBorders>
              <w:top w:val="single" w:sz="12" w:space="0" w:color="auto"/>
            </w:tcBorders>
            <w:vAlign w:val="center"/>
          </w:tcPr>
          <w:p w14:paraId="4B881F2B" w14:textId="77777777" w:rsidR="00DF1D87" w:rsidRPr="004E4188" w:rsidRDefault="00DF1D87" w:rsidP="00F404AB">
            <w:pPr>
              <w:suppressAutoHyphens w:val="0"/>
              <w:overflowPunct/>
              <w:autoSpaceDE/>
              <w:autoSpaceDN/>
              <w:adjustRightInd/>
              <w:textAlignment w:val="auto"/>
              <w:rPr>
                <w:rFonts w:ascii="Arial" w:hAnsi="Arial" w:cs="Arial"/>
                <w:sz w:val="20"/>
                <w:lang w:eastAsia="en-US"/>
              </w:rPr>
            </w:pPr>
          </w:p>
        </w:tc>
      </w:tr>
      <w:tr w:rsidR="00DF1D87" w:rsidRPr="004E4188" w14:paraId="519F1B45" w14:textId="77777777" w:rsidTr="00F404AB">
        <w:trPr>
          <w:trHeight w:val="340"/>
        </w:trPr>
        <w:tc>
          <w:tcPr>
            <w:tcW w:w="708" w:type="dxa"/>
            <w:vAlign w:val="center"/>
          </w:tcPr>
          <w:p w14:paraId="3C8490D9" w14:textId="77777777" w:rsidR="00DF1D87" w:rsidRPr="004E4188" w:rsidRDefault="00DF1D87" w:rsidP="00F404AB">
            <w:pPr>
              <w:suppressAutoHyphens w:val="0"/>
              <w:overflowPunct/>
              <w:autoSpaceDE/>
              <w:autoSpaceDN/>
              <w:adjustRightInd/>
              <w:jc w:val="center"/>
              <w:textAlignment w:val="auto"/>
              <w:rPr>
                <w:rFonts w:ascii="Arial" w:hAnsi="Arial" w:cs="Arial"/>
                <w:sz w:val="20"/>
                <w:lang w:eastAsia="en-US"/>
              </w:rPr>
            </w:pPr>
            <w:r w:rsidRPr="004E4188">
              <w:rPr>
                <w:rFonts w:ascii="Arial" w:hAnsi="Arial" w:cs="Arial"/>
                <w:sz w:val="20"/>
                <w:lang w:eastAsia="en-US"/>
              </w:rPr>
              <w:t>2</w:t>
            </w:r>
          </w:p>
        </w:tc>
        <w:tc>
          <w:tcPr>
            <w:tcW w:w="4678" w:type="dxa"/>
            <w:vAlign w:val="center"/>
          </w:tcPr>
          <w:p w14:paraId="44B5B8B6" w14:textId="77777777" w:rsidR="00DF1D87" w:rsidRPr="004E4188" w:rsidRDefault="00DF1D87" w:rsidP="00F404AB">
            <w:pPr>
              <w:suppressAutoHyphens w:val="0"/>
              <w:overflowPunct/>
              <w:autoSpaceDE/>
              <w:autoSpaceDN/>
              <w:adjustRightInd/>
              <w:textAlignment w:val="auto"/>
              <w:rPr>
                <w:rFonts w:ascii="Arial" w:hAnsi="Arial" w:cs="Arial"/>
                <w:sz w:val="20"/>
                <w:lang w:eastAsia="en-US"/>
              </w:rPr>
            </w:pPr>
          </w:p>
        </w:tc>
        <w:tc>
          <w:tcPr>
            <w:tcW w:w="2835" w:type="dxa"/>
            <w:vAlign w:val="center"/>
          </w:tcPr>
          <w:p w14:paraId="0A7BFCD5" w14:textId="77777777" w:rsidR="00DF1D87" w:rsidRPr="004E4188" w:rsidRDefault="00DF1D87" w:rsidP="00F404AB">
            <w:pPr>
              <w:suppressAutoHyphens w:val="0"/>
              <w:overflowPunct/>
              <w:autoSpaceDE/>
              <w:autoSpaceDN/>
              <w:adjustRightInd/>
              <w:textAlignment w:val="auto"/>
              <w:rPr>
                <w:rFonts w:ascii="Arial" w:hAnsi="Arial" w:cs="Arial"/>
                <w:sz w:val="20"/>
                <w:u w:val="single"/>
                <w:lang w:eastAsia="en-US"/>
              </w:rPr>
            </w:pPr>
          </w:p>
        </w:tc>
      </w:tr>
      <w:tr w:rsidR="00DF1D87" w:rsidRPr="004E4188" w14:paraId="3BB56BBE" w14:textId="77777777" w:rsidTr="00F404AB">
        <w:trPr>
          <w:trHeight w:val="340"/>
        </w:trPr>
        <w:tc>
          <w:tcPr>
            <w:tcW w:w="708" w:type="dxa"/>
            <w:vAlign w:val="center"/>
          </w:tcPr>
          <w:p w14:paraId="5FE60021" w14:textId="77777777" w:rsidR="00DF1D87" w:rsidRPr="004E4188" w:rsidRDefault="00DF1D87" w:rsidP="00F404AB">
            <w:pPr>
              <w:suppressAutoHyphens w:val="0"/>
              <w:overflowPunct/>
              <w:autoSpaceDE/>
              <w:autoSpaceDN/>
              <w:adjustRightInd/>
              <w:jc w:val="center"/>
              <w:textAlignment w:val="auto"/>
              <w:rPr>
                <w:rFonts w:ascii="Arial" w:hAnsi="Arial" w:cs="Arial"/>
                <w:sz w:val="20"/>
                <w:lang w:eastAsia="en-US"/>
              </w:rPr>
            </w:pPr>
            <w:r w:rsidRPr="004E4188">
              <w:rPr>
                <w:rFonts w:ascii="Arial" w:hAnsi="Arial" w:cs="Arial"/>
                <w:sz w:val="20"/>
                <w:lang w:eastAsia="en-US"/>
              </w:rPr>
              <w:t>3</w:t>
            </w:r>
          </w:p>
        </w:tc>
        <w:tc>
          <w:tcPr>
            <w:tcW w:w="4678" w:type="dxa"/>
            <w:vAlign w:val="center"/>
          </w:tcPr>
          <w:p w14:paraId="159FD891" w14:textId="77777777" w:rsidR="00DF1D87" w:rsidRPr="004E4188" w:rsidRDefault="00DF1D87" w:rsidP="00F404AB">
            <w:pPr>
              <w:suppressAutoHyphens w:val="0"/>
              <w:overflowPunct/>
              <w:autoSpaceDE/>
              <w:autoSpaceDN/>
              <w:adjustRightInd/>
              <w:textAlignment w:val="auto"/>
              <w:rPr>
                <w:rFonts w:ascii="Arial" w:hAnsi="Arial" w:cs="Arial"/>
                <w:sz w:val="20"/>
                <w:lang w:eastAsia="en-US"/>
              </w:rPr>
            </w:pPr>
          </w:p>
        </w:tc>
        <w:tc>
          <w:tcPr>
            <w:tcW w:w="2835" w:type="dxa"/>
            <w:vAlign w:val="center"/>
          </w:tcPr>
          <w:p w14:paraId="3043FFB4" w14:textId="77777777" w:rsidR="00DF1D87" w:rsidRPr="004E4188" w:rsidRDefault="00DF1D87" w:rsidP="00F404AB">
            <w:pPr>
              <w:suppressAutoHyphens w:val="0"/>
              <w:overflowPunct/>
              <w:autoSpaceDE/>
              <w:autoSpaceDN/>
              <w:adjustRightInd/>
              <w:textAlignment w:val="auto"/>
              <w:rPr>
                <w:rFonts w:ascii="Arial" w:hAnsi="Arial" w:cs="Arial"/>
                <w:sz w:val="20"/>
                <w:u w:val="single"/>
                <w:lang w:eastAsia="en-US"/>
              </w:rPr>
            </w:pPr>
          </w:p>
        </w:tc>
      </w:tr>
      <w:tr w:rsidR="00DF1D87" w:rsidRPr="004E4188" w14:paraId="2EF5CA35" w14:textId="77777777" w:rsidTr="00F404AB">
        <w:trPr>
          <w:trHeight w:val="340"/>
        </w:trPr>
        <w:tc>
          <w:tcPr>
            <w:tcW w:w="708" w:type="dxa"/>
            <w:vAlign w:val="center"/>
          </w:tcPr>
          <w:p w14:paraId="39F31936" w14:textId="77777777" w:rsidR="00DF1D87" w:rsidRPr="004E4188" w:rsidRDefault="00DF1D87" w:rsidP="00F404AB">
            <w:pPr>
              <w:suppressAutoHyphens w:val="0"/>
              <w:overflowPunct/>
              <w:autoSpaceDE/>
              <w:autoSpaceDN/>
              <w:adjustRightInd/>
              <w:jc w:val="center"/>
              <w:textAlignment w:val="auto"/>
              <w:rPr>
                <w:rFonts w:ascii="Arial" w:hAnsi="Arial" w:cs="Arial"/>
                <w:sz w:val="20"/>
                <w:lang w:eastAsia="en-US"/>
              </w:rPr>
            </w:pPr>
            <w:r w:rsidRPr="004E4188">
              <w:rPr>
                <w:rFonts w:ascii="Arial" w:hAnsi="Arial" w:cs="Arial"/>
                <w:sz w:val="20"/>
                <w:lang w:eastAsia="en-US"/>
              </w:rPr>
              <w:t>4</w:t>
            </w:r>
          </w:p>
        </w:tc>
        <w:tc>
          <w:tcPr>
            <w:tcW w:w="4678" w:type="dxa"/>
            <w:vAlign w:val="center"/>
          </w:tcPr>
          <w:p w14:paraId="3E1B0781" w14:textId="77777777" w:rsidR="00DF1D87" w:rsidRPr="004E4188" w:rsidRDefault="00DF1D87" w:rsidP="00F404AB">
            <w:pPr>
              <w:suppressAutoHyphens w:val="0"/>
              <w:overflowPunct/>
              <w:autoSpaceDE/>
              <w:autoSpaceDN/>
              <w:adjustRightInd/>
              <w:textAlignment w:val="auto"/>
              <w:rPr>
                <w:rFonts w:ascii="Arial" w:hAnsi="Arial" w:cs="Arial"/>
                <w:sz w:val="20"/>
                <w:lang w:eastAsia="en-US"/>
              </w:rPr>
            </w:pPr>
          </w:p>
        </w:tc>
        <w:tc>
          <w:tcPr>
            <w:tcW w:w="2835" w:type="dxa"/>
            <w:vAlign w:val="center"/>
          </w:tcPr>
          <w:p w14:paraId="2DFBC65E" w14:textId="77777777" w:rsidR="00DF1D87" w:rsidRPr="004E4188" w:rsidRDefault="00DF1D87" w:rsidP="00F404AB">
            <w:pPr>
              <w:suppressAutoHyphens w:val="0"/>
              <w:overflowPunct/>
              <w:autoSpaceDE/>
              <w:autoSpaceDN/>
              <w:adjustRightInd/>
              <w:textAlignment w:val="auto"/>
              <w:rPr>
                <w:rFonts w:ascii="Arial" w:hAnsi="Arial" w:cs="Arial"/>
                <w:sz w:val="20"/>
                <w:u w:val="single"/>
                <w:lang w:eastAsia="en-US"/>
              </w:rPr>
            </w:pPr>
          </w:p>
        </w:tc>
      </w:tr>
      <w:tr w:rsidR="00DF1D87" w:rsidRPr="004E4188" w14:paraId="03A13BD6" w14:textId="77777777" w:rsidTr="00F404AB">
        <w:trPr>
          <w:trHeight w:val="340"/>
        </w:trPr>
        <w:tc>
          <w:tcPr>
            <w:tcW w:w="708" w:type="dxa"/>
            <w:vAlign w:val="center"/>
          </w:tcPr>
          <w:p w14:paraId="265B26BA" w14:textId="77777777" w:rsidR="00DF1D87" w:rsidRPr="004E4188" w:rsidRDefault="00DF1D87" w:rsidP="00F404AB">
            <w:pPr>
              <w:suppressAutoHyphens w:val="0"/>
              <w:overflowPunct/>
              <w:autoSpaceDE/>
              <w:autoSpaceDN/>
              <w:adjustRightInd/>
              <w:jc w:val="center"/>
              <w:textAlignment w:val="auto"/>
              <w:rPr>
                <w:rFonts w:ascii="Arial" w:hAnsi="Arial" w:cs="Arial"/>
                <w:sz w:val="20"/>
                <w:lang w:eastAsia="en-US"/>
              </w:rPr>
            </w:pPr>
            <w:r w:rsidRPr="004E4188">
              <w:rPr>
                <w:rFonts w:ascii="Arial" w:hAnsi="Arial" w:cs="Arial"/>
                <w:sz w:val="20"/>
                <w:lang w:eastAsia="en-US"/>
              </w:rPr>
              <w:t>5</w:t>
            </w:r>
          </w:p>
        </w:tc>
        <w:tc>
          <w:tcPr>
            <w:tcW w:w="4678" w:type="dxa"/>
            <w:vAlign w:val="center"/>
          </w:tcPr>
          <w:p w14:paraId="11E96E63" w14:textId="77777777" w:rsidR="00DF1D87" w:rsidRPr="004E4188" w:rsidRDefault="00DF1D87" w:rsidP="00F404AB">
            <w:pPr>
              <w:suppressAutoHyphens w:val="0"/>
              <w:overflowPunct/>
              <w:autoSpaceDE/>
              <w:autoSpaceDN/>
              <w:adjustRightInd/>
              <w:textAlignment w:val="auto"/>
              <w:rPr>
                <w:rFonts w:ascii="Arial" w:hAnsi="Arial" w:cs="Arial"/>
                <w:sz w:val="20"/>
                <w:lang w:eastAsia="en-US"/>
              </w:rPr>
            </w:pPr>
          </w:p>
        </w:tc>
        <w:tc>
          <w:tcPr>
            <w:tcW w:w="2835" w:type="dxa"/>
            <w:vAlign w:val="center"/>
          </w:tcPr>
          <w:p w14:paraId="433C8403" w14:textId="77777777" w:rsidR="00DF1D87" w:rsidRPr="004E4188" w:rsidRDefault="00DF1D87" w:rsidP="00F404AB">
            <w:pPr>
              <w:suppressAutoHyphens w:val="0"/>
              <w:overflowPunct/>
              <w:autoSpaceDE/>
              <w:autoSpaceDN/>
              <w:adjustRightInd/>
              <w:textAlignment w:val="auto"/>
              <w:rPr>
                <w:rFonts w:ascii="Arial" w:hAnsi="Arial" w:cs="Arial"/>
                <w:sz w:val="20"/>
                <w:u w:val="single"/>
                <w:lang w:eastAsia="en-US"/>
              </w:rPr>
            </w:pPr>
          </w:p>
        </w:tc>
      </w:tr>
      <w:tr w:rsidR="00DF1D87" w:rsidRPr="004E4188" w14:paraId="1A20DDEA" w14:textId="77777777" w:rsidTr="00F404AB">
        <w:trPr>
          <w:trHeight w:val="340"/>
        </w:trPr>
        <w:tc>
          <w:tcPr>
            <w:tcW w:w="708" w:type="dxa"/>
            <w:vAlign w:val="center"/>
          </w:tcPr>
          <w:p w14:paraId="5B8144ED" w14:textId="77777777" w:rsidR="00DF1D87" w:rsidRPr="004E4188" w:rsidRDefault="00DF1D87" w:rsidP="00F404AB">
            <w:pPr>
              <w:suppressAutoHyphens w:val="0"/>
              <w:overflowPunct/>
              <w:autoSpaceDE/>
              <w:autoSpaceDN/>
              <w:adjustRightInd/>
              <w:jc w:val="center"/>
              <w:textAlignment w:val="auto"/>
              <w:rPr>
                <w:rFonts w:ascii="Arial" w:hAnsi="Arial" w:cs="Arial"/>
                <w:sz w:val="20"/>
                <w:lang w:eastAsia="en-US"/>
              </w:rPr>
            </w:pPr>
            <w:r w:rsidRPr="004E4188">
              <w:rPr>
                <w:rFonts w:ascii="Arial" w:hAnsi="Arial" w:cs="Arial"/>
                <w:sz w:val="20"/>
                <w:lang w:eastAsia="en-US"/>
              </w:rPr>
              <w:t>…</w:t>
            </w:r>
          </w:p>
        </w:tc>
        <w:tc>
          <w:tcPr>
            <w:tcW w:w="4678" w:type="dxa"/>
            <w:vAlign w:val="center"/>
          </w:tcPr>
          <w:p w14:paraId="093E1D2E" w14:textId="77777777" w:rsidR="00DF1D87" w:rsidRPr="004E4188" w:rsidRDefault="00DF1D87" w:rsidP="00F404AB">
            <w:pPr>
              <w:suppressAutoHyphens w:val="0"/>
              <w:overflowPunct/>
              <w:autoSpaceDE/>
              <w:autoSpaceDN/>
              <w:adjustRightInd/>
              <w:textAlignment w:val="auto"/>
              <w:rPr>
                <w:rFonts w:ascii="Arial" w:hAnsi="Arial" w:cs="Arial"/>
                <w:sz w:val="20"/>
                <w:lang w:eastAsia="en-US"/>
              </w:rPr>
            </w:pPr>
          </w:p>
        </w:tc>
        <w:tc>
          <w:tcPr>
            <w:tcW w:w="2835" w:type="dxa"/>
            <w:vAlign w:val="center"/>
          </w:tcPr>
          <w:p w14:paraId="2EF22276" w14:textId="77777777" w:rsidR="00DF1D87" w:rsidRPr="004E4188" w:rsidRDefault="00DF1D87" w:rsidP="00F404AB">
            <w:pPr>
              <w:suppressAutoHyphens w:val="0"/>
              <w:overflowPunct/>
              <w:autoSpaceDE/>
              <w:autoSpaceDN/>
              <w:adjustRightInd/>
              <w:textAlignment w:val="auto"/>
              <w:rPr>
                <w:rFonts w:ascii="Arial" w:hAnsi="Arial" w:cs="Arial"/>
                <w:sz w:val="20"/>
                <w:u w:val="single"/>
                <w:lang w:eastAsia="en-US"/>
              </w:rPr>
            </w:pPr>
          </w:p>
        </w:tc>
      </w:tr>
      <w:tr w:rsidR="00DF1D87" w:rsidRPr="004E4188" w14:paraId="31513FB9" w14:textId="77777777" w:rsidTr="00F404AB">
        <w:tc>
          <w:tcPr>
            <w:tcW w:w="8221" w:type="dxa"/>
            <w:gridSpan w:val="3"/>
          </w:tcPr>
          <w:p w14:paraId="79EE13B3" w14:textId="77777777" w:rsidR="00DF1D87" w:rsidRPr="004E4188" w:rsidRDefault="00DF1D87" w:rsidP="00F404AB">
            <w:pPr>
              <w:widowControl w:val="0"/>
              <w:spacing w:line="0" w:lineRule="atLeast"/>
              <w:rPr>
                <w:rFonts w:ascii="Arial" w:hAnsi="Arial" w:cs="Arial"/>
                <w:i/>
                <w:sz w:val="20"/>
                <w:u w:val="single"/>
                <w:lang w:eastAsia="ja-JP"/>
              </w:rPr>
            </w:pPr>
            <w:r w:rsidRPr="004E4188">
              <w:rPr>
                <w:rFonts w:ascii="Arial" w:hAnsi="Arial" w:cs="Arial"/>
                <w:i/>
                <w:sz w:val="20"/>
                <w:u w:val="single"/>
                <w:lang w:eastAsia="ja-JP"/>
              </w:rPr>
              <w:t>Notes à l’intention du Maître d’ouvrage</w:t>
            </w:r>
          </w:p>
          <w:p w14:paraId="3D76B4FC" w14:textId="77777777" w:rsidR="00DF1D87" w:rsidRPr="004E4188" w:rsidRDefault="00DF1D87" w:rsidP="003D46CF">
            <w:pPr>
              <w:pStyle w:val="aff7"/>
              <w:numPr>
                <w:ilvl w:val="0"/>
                <w:numId w:val="84"/>
              </w:numPr>
              <w:adjustRightInd/>
              <w:spacing w:after="120" w:line="240" w:lineRule="auto"/>
              <w:ind w:leftChars="0"/>
              <w:textAlignment w:val="auto"/>
              <w:rPr>
                <w:rFonts w:ascii="Arial" w:hAnsi="Arial" w:cs="Arial"/>
                <w:i/>
                <w:sz w:val="20"/>
                <w:lang w:val="fr-FR" w:eastAsia="en-US"/>
              </w:rPr>
            </w:pPr>
            <w:r w:rsidRPr="004E4188">
              <w:rPr>
                <w:rFonts w:ascii="Arial" w:hAnsi="Arial" w:cs="Arial"/>
                <w:i/>
                <w:sz w:val="20"/>
                <w:lang w:val="fr-FR" w:eastAsia="en-US"/>
              </w:rPr>
              <w:t xml:space="preserve">Les </w:t>
            </w:r>
            <w:r w:rsidRPr="004E4188">
              <w:rPr>
                <w:rFonts w:asciiTheme="majorHAnsi" w:hAnsiTheme="majorHAnsi" w:cstheme="majorHAnsi"/>
                <w:i/>
                <w:sz w:val="20"/>
                <w:lang w:val="fr-FR" w:eastAsia="en-US"/>
              </w:rPr>
              <w:t>équipements</w:t>
            </w:r>
            <w:r w:rsidRPr="004E4188">
              <w:rPr>
                <w:rFonts w:ascii="Arial" w:hAnsi="Arial" w:cs="Arial"/>
                <w:i/>
                <w:sz w:val="20"/>
                <w:lang w:val="fr-FR" w:eastAsia="en-US"/>
              </w:rPr>
              <w:t xml:space="preserve"> de construction requis doivent être limités aux pièces les plus importantes, essentielles à la bonne exécution des </w:t>
            </w:r>
            <w:r w:rsidRPr="004E4188">
              <w:rPr>
                <w:rFonts w:ascii="Arial" w:hAnsi="Arial" w:cs="Arial"/>
                <w:i/>
                <w:sz w:val="20"/>
                <w:lang w:val="fr-FR"/>
              </w:rPr>
              <w:t>É</w:t>
            </w:r>
            <w:r w:rsidRPr="004E4188">
              <w:rPr>
                <w:rFonts w:ascii="Arial" w:hAnsi="Arial" w:cs="Arial"/>
                <w:i/>
                <w:sz w:val="20"/>
                <w:lang w:val="fr-FR" w:eastAsia="en-US"/>
              </w:rPr>
              <w:t>quipements et Services de montage dans les délais prescrits, ainsi qu’au matériel que les Soumissionnaires peuvent avoir des difficultés à se procurer ou à louer dans les délais alloués.</w:t>
            </w:r>
          </w:p>
          <w:p w14:paraId="0E0A043D" w14:textId="77777777" w:rsidR="00DF1D87" w:rsidRPr="004E4188" w:rsidRDefault="00DF1D87" w:rsidP="003D46CF">
            <w:pPr>
              <w:pStyle w:val="aff7"/>
              <w:numPr>
                <w:ilvl w:val="0"/>
                <w:numId w:val="84"/>
              </w:numPr>
              <w:adjustRightInd/>
              <w:spacing w:after="120" w:line="240" w:lineRule="auto"/>
              <w:ind w:leftChars="0"/>
              <w:textAlignment w:val="auto"/>
              <w:rPr>
                <w:rFonts w:ascii="Arial" w:hAnsi="Arial" w:cs="Arial"/>
                <w:i/>
                <w:sz w:val="20"/>
                <w:u w:val="single"/>
                <w:lang w:val="fr-FR" w:eastAsia="en-US"/>
              </w:rPr>
            </w:pPr>
            <w:r w:rsidRPr="004E4188">
              <w:rPr>
                <w:rFonts w:ascii="Arial" w:hAnsi="Arial" w:cs="Arial"/>
                <w:i/>
                <w:sz w:val="20"/>
                <w:lang w:val="fr-FR" w:eastAsia="en-US"/>
              </w:rPr>
              <w:t>Ajouter</w:t>
            </w:r>
            <w:r w:rsidRPr="004E4188">
              <w:rPr>
                <w:rFonts w:ascii="Arial" w:hAnsi="Arial" w:cs="Arial"/>
                <w:i/>
                <w:sz w:val="20"/>
                <w:lang w:val="fr-FR"/>
              </w:rPr>
              <w:t xml:space="preserve"> des critères d’attribution en cas de lots multiples, le cas échéant.</w:t>
            </w:r>
          </w:p>
        </w:tc>
      </w:tr>
    </w:tbl>
    <w:p w14:paraId="15067274" w14:textId="77777777" w:rsidR="00DF1D87" w:rsidRPr="004E4188" w:rsidRDefault="00DF1D87" w:rsidP="00DF1D87">
      <w:pPr>
        <w:ind w:left="1260"/>
        <w:rPr>
          <w:b/>
        </w:rPr>
      </w:pPr>
    </w:p>
    <w:p w14:paraId="3361823D" w14:textId="77777777" w:rsidR="00DF1D87" w:rsidRPr="004E4188" w:rsidRDefault="00DF1D87" w:rsidP="00DF1D87">
      <w:pPr>
        <w:pStyle w:val="ac"/>
        <w:tabs>
          <w:tab w:val="left" w:pos="1440"/>
        </w:tabs>
        <w:suppressAutoHyphens w:val="0"/>
        <w:overflowPunct/>
        <w:autoSpaceDE/>
        <w:autoSpaceDN/>
        <w:adjustRightInd/>
        <w:spacing w:after="200"/>
        <w:ind w:left="850"/>
        <w:jc w:val="both"/>
        <w:textAlignment w:val="auto"/>
        <w:rPr>
          <w:sz w:val="24"/>
          <w:szCs w:val="24"/>
        </w:rPr>
      </w:pPr>
      <w:r w:rsidRPr="004E4188">
        <w:rPr>
          <w:sz w:val="24"/>
          <w:szCs w:val="24"/>
        </w:rPr>
        <w:t xml:space="preserve">Le </w:t>
      </w:r>
      <w:r w:rsidRPr="004E4188">
        <w:rPr>
          <w:iCs/>
          <w:sz w:val="24"/>
          <w:szCs w:val="24"/>
          <w:lang w:eastAsia="en-US"/>
        </w:rPr>
        <w:t>Soumissionnaire</w:t>
      </w:r>
      <w:r w:rsidRPr="004E4188">
        <w:rPr>
          <w:sz w:val="24"/>
          <w:szCs w:val="24"/>
        </w:rPr>
        <w:t xml:space="preserve"> doit fournir des détails supplémentaires sur les équipements proposés en utilisant le formulaire EQU de la Section IV, Formulaires de soumission.</w:t>
      </w:r>
    </w:p>
    <w:p w14:paraId="57E92861" w14:textId="77777777" w:rsidR="004D6094" w:rsidRPr="004E4188" w:rsidRDefault="004D6094" w:rsidP="004D6094">
      <w:pPr>
        <w:spacing w:beforeLines="50" w:before="120"/>
        <w:ind w:left="850"/>
      </w:pPr>
    </w:p>
    <w:p w14:paraId="056B0505" w14:textId="4401E048" w:rsidR="007049A5" w:rsidRPr="004E4188" w:rsidRDefault="004D6094" w:rsidP="004D6094">
      <w:pPr>
        <w:tabs>
          <w:tab w:val="num" w:pos="1004"/>
          <w:tab w:val="num" w:pos="2705"/>
        </w:tabs>
        <w:suppressAutoHyphens w:val="0"/>
        <w:overflowPunct/>
        <w:autoSpaceDE/>
        <w:autoSpaceDN/>
        <w:adjustRightInd/>
        <w:ind w:left="851" w:hanging="851"/>
        <w:jc w:val="left"/>
        <w:textAlignment w:val="auto"/>
        <w:rPr>
          <w:b/>
          <w:bCs/>
          <w:lang w:eastAsia="ja-JP"/>
        </w:rPr>
      </w:pPr>
      <w:r w:rsidRPr="004E4188">
        <w:rPr>
          <w:b/>
          <w:bCs/>
          <w:lang w:eastAsia="ja-JP"/>
        </w:rPr>
        <w:t>1.1.3</w:t>
      </w:r>
      <w:r w:rsidRPr="004E4188">
        <w:rPr>
          <w:b/>
          <w:bCs/>
          <w:lang w:eastAsia="ja-JP"/>
        </w:rPr>
        <w:tab/>
      </w:r>
      <w:r w:rsidR="007049A5" w:rsidRPr="004E4188">
        <w:rPr>
          <w:b/>
          <w:bCs/>
          <w:lang w:eastAsia="ja-JP"/>
        </w:rPr>
        <w:t xml:space="preserve">Sous-traitants proposés pour les éléments majeurs des </w:t>
      </w:r>
      <w:r w:rsidR="007049A5" w:rsidRPr="004E4188">
        <w:rPr>
          <w:b/>
          <w:szCs w:val="24"/>
        </w:rPr>
        <w:t>É</w:t>
      </w:r>
      <w:r w:rsidR="007049A5" w:rsidRPr="004E4188">
        <w:rPr>
          <w:b/>
          <w:bCs/>
          <w:lang w:eastAsia="ja-JP"/>
        </w:rPr>
        <w:t>quipements</w:t>
      </w:r>
    </w:p>
    <w:p w14:paraId="75AC324E" w14:textId="77777777" w:rsidR="007049A5" w:rsidRPr="004E4188" w:rsidRDefault="007049A5" w:rsidP="009E45C7">
      <w:pPr>
        <w:suppressAutoHyphens w:val="0"/>
        <w:overflowPunct/>
        <w:autoSpaceDE/>
        <w:autoSpaceDN/>
        <w:adjustRightInd/>
        <w:ind w:left="852" w:hanging="2"/>
        <w:textAlignment w:val="auto"/>
        <w:rPr>
          <w:lang w:eastAsia="en-US"/>
        </w:rPr>
      </w:pPr>
      <w:r w:rsidRPr="004E4188">
        <w:rPr>
          <w:szCs w:val="24"/>
          <w:lang w:eastAsia="en-US"/>
        </w:rPr>
        <w:t>L</w:t>
      </w:r>
      <w:r w:rsidRPr="004E4188">
        <w:rPr>
          <w:lang w:eastAsia="en-US"/>
        </w:rPr>
        <w:t xml:space="preserve">es </w:t>
      </w:r>
      <w:r w:rsidRPr="004E4188">
        <w:t>sous</w:t>
      </w:r>
      <w:r w:rsidRPr="004E4188">
        <w:rPr>
          <w:lang w:eastAsia="en-US"/>
        </w:rPr>
        <w:t xml:space="preserve">-traitants et fabricants proposés pour les éléments majeurs des </w:t>
      </w:r>
      <w:r w:rsidRPr="004E4188">
        <w:rPr>
          <w:szCs w:val="24"/>
        </w:rPr>
        <w:t>É</w:t>
      </w:r>
      <w:r w:rsidRPr="004E4188">
        <w:rPr>
          <w:lang w:eastAsia="en-US"/>
        </w:rPr>
        <w:t>quipements identifiés ci-après doivent satisfaire aux critères minimaux suivants indiqués pour chaque élément</w:t>
      </w:r>
      <w:r w:rsidRPr="004E4188">
        <w:rPr>
          <w:szCs w:val="24"/>
          <w:lang w:eastAsia="en-US"/>
        </w:rPr>
        <w:t>. L</w:t>
      </w:r>
      <w:r w:rsidRPr="004E4188">
        <w:rPr>
          <w:lang w:eastAsia="en-US"/>
        </w:rPr>
        <w:t>e non-respect de cette exigence entraînera le rejet du sous-traitant ou fabricant, mais pas du Soumissionnaire.</w:t>
      </w:r>
    </w:p>
    <w:p w14:paraId="6A12E1F4" w14:textId="77777777" w:rsidR="007049A5" w:rsidRPr="004E4188" w:rsidRDefault="007049A5" w:rsidP="006C6267">
      <w:pPr>
        <w:suppressAutoHyphens w:val="0"/>
        <w:overflowPunct/>
        <w:autoSpaceDE/>
        <w:autoSpaceDN/>
        <w:adjustRightInd/>
        <w:ind w:left="851"/>
        <w:textAlignment w:val="auto"/>
        <w:rPr>
          <w:rFonts w:cs="Arial"/>
          <w:sz w:val="20"/>
          <w:lang w:eastAsia="en-US"/>
        </w:rPr>
      </w:pPr>
    </w:p>
    <w:tbl>
      <w:tblPr>
        <w:tblpPr w:leftFromText="142" w:rightFromText="142" w:vertAnchor="text" w:tblpX="1002" w:tblpY="1"/>
        <w:tblOverlap w:val="never"/>
        <w:tblW w:w="8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3807"/>
        <w:gridCol w:w="1477"/>
        <w:gridCol w:w="1760"/>
      </w:tblGrid>
      <w:tr w:rsidR="007049A5" w:rsidRPr="004E4188" w14:paraId="6676E0E3" w14:textId="77777777" w:rsidTr="00DF1D87">
        <w:tc>
          <w:tcPr>
            <w:tcW w:w="1163" w:type="dxa"/>
            <w:tcBorders>
              <w:top w:val="single" w:sz="12" w:space="0" w:color="auto"/>
              <w:left w:val="single" w:sz="12" w:space="0" w:color="auto"/>
              <w:bottom w:val="single" w:sz="12" w:space="0" w:color="auto"/>
              <w:right w:val="single" w:sz="12" w:space="0" w:color="auto"/>
            </w:tcBorders>
            <w:shd w:val="clear" w:color="auto" w:fill="D9D9D9"/>
            <w:vAlign w:val="center"/>
          </w:tcPr>
          <w:p w14:paraId="71734526" w14:textId="77777777" w:rsidR="007049A5" w:rsidRPr="004E4188" w:rsidRDefault="007049A5" w:rsidP="006C6267">
            <w:pPr>
              <w:suppressAutoHyphens w:val="0"/>
              <w:overflowPunct/>
              <w:autoSpaceDE/>
              <w:autoSpaceDN/>
              <w:adjustRightInd/>
              <w:jc w:val="center"/>
              <w:textAlignment w:val="auto"/>
              <w:rPr>
                <w:rFonts w:ascii="Arial" w:hAnsi="Arial" w:cs="Arial"/>
                <w:b/>
                <w:bCs/>
                <w:sz w:val="20"/>
                <w:lang w:val="en-GB" w:eastAsia="en-US"/>
              </w:rPr>
            </w:pPr>
            <w:r w:rsidRPr="004E4188">
              <w:rPr>
                <w:b/>
                <w:szCs w:val="36"/>
              </w:rPr>
              <w:t>n° de l’élément</w:t>
            </w:r>
          </w:p>
        </w:tc>
        <w:tc>
          <w:tcPr>
            <w:tcW w:w="3807" w:type="dxa"/>
            <w:tcBorders>
              <w:top w:val="single" w:sz="12" w:space="0" w:color="auto"/>
              <w:left w:val="single" w:sz="12" w:space="0" w:color="auto"/>
              <w:bottom w:val="single" w:sz="12" w:space="0" w:color="auto"/>
              <w:right w:val="single" w:sz="12" w:space="0" w:color="auto"/>
            </w:tcBorders>
            <w:shd w:val="clear" w:color="auto" w:fill="D9D9D9"/>
            <w:vAlign w:val="center"/>
          </w:tcPr>
          <w:p w14:paraId="6E30B824" w14:textId="77777777" w:rsidR="007049A5" w:rsidRPr="004E4188" w:rsidRDefault="007049A5" w:rsidP="006C6267">
            <w:pPr>
              <w:suppressAutoHyphens w:val="0"/>
              <w:overflowPunct/>
              <w:autoSpaceDE/>
              <w:autoSpaceDN/>
              <w:adjustRightInd/>
              <w:jc w:val="center"/>
              <w:textAlignment w:val="auto"/>
              <w:rPr>
                <w:rFonts w:ascii="Arial" w:hAnsi="Arial" w:cs="Arial"/>
                <w:b/>
                <w:bCs/>
                <w:sz w:val="20"/>
                <w:lang w:val="en-GB" w:eastAsia="en-US"/>
              </w:rPr>
            </w:pPr>
            <w:r w:rsidRPr="004E4188">
              <w:rPr>
                <w:b/>
                <w:szCs w:val="36"/>
                <w:lang w:val="en-GB" w:eastAsia="en-US"/>
              </w:rPr>
              <w:t>Description de l’élément</w:t>
            </w:r>
          </w:p>
        </w:tc>
        <w:tc>
          <w:tcPr>
            <w:tcW w:w="1477" w:type="dxa"/>
            <w:tcBorders>
              <w:top w:val="single" w:sz="12" w:space="0" w:color="auto"/>
              <w:left w:val="single" w:sz="12" w:space="0" w:color="auto"/>
              <w:bottom w:val="single" w:sz="12" w:space="0" w:color="auto"/>
              <w:right w:val="single" w:sz="12" w:space="0" w:color="auto"/>
            </w:tcBorders>
            <w:shd w:val="clear" w:color="auto" w:fill="D9D9D9"/>
            <w:vAlign w:val="center"/>
          </w:tcPr>
          <w:p w14:paraId="5E15284D" w14:textId="77777777" w:rsidR="007049A5" w:rsidRPr="004E4188" w:rsidRDefault="007049A5" w:rsidP="006C6267">
            <w:pPr>
              <w:suppressAutoHyphens w:val="0"/>
              <w:overflowPunct/>
              <w:autoSpaceDE/>
              <w:autoSpaceDN/>
              <w:adjustRightInd/>
              <w:jc w:val="center"/>
              <w:textAlignment w:val="auto"/>
              <w:rPr>
                <w:rFonts w:ascii="Arial" w:hAnsi="Arial" w:cs="Arial"/>
                <w:b/>
                <w:bCs/>
                <w:sz w:val="20"/>
                <w:lang w:val="en-GB" w:eastAsia="en-US"/>
              </w:rPr>
            </w:pPr>
            <w:r w:rsidRPr="004E4188">
              <w:rPr>
                <w:b/>
                <w:szCs w:val="36"/>
                <w:lang w:val="en-GB" w:eastAsia="en-US"/>
              </w:rPr>
              <w:t>Critère minimal à satisfaire</w:t>
            </w:r>
          </w:p>
        </w:tc>
        <w:tc>
          <w:tcPr>
            <w:tcW w:w="1760" w:type="dxa"/>
            <w:tcBorders>
              <w:top w:val="single" w:sz="12" w:space="0" w:color="auto"/>
              <w:left w:val="single" w:sz="12" w:space="0" w:color="auto"/>
              <w:bottom w:val="single" w:sz="12" w:space="0" w:color="auto"/>
              <w:right w:val="single" w:sz="12" w:space="0" w:color="auto"/>
            </w:tcBorders>
            <w:shd w:val="clear" w:color="auto" w:fill="D9D9D9"/>
            <w:vAlign w:val="center"/>
          </w:tcPr>
          <w:p w14:paraId="6CB7E91D" w14:textId="77777777" w:rsidR="007049A5" w:rsidRPr="004E4188" w:rsidRDefault="007049A5" w:rsidP="006C6267">
            <w:pPr>
              <w:suppressAutoHyphens w:val="0"/>
              <w:overflowPunct/>
              <w:autoSpaceDE/>
              <w:autoSpaceDN/>
              <w:adjustRightInd/>
              <w:jc w:val="center"/>
              <w:textAlignment w:val="auto"/>
              <w:rPr>
                <w:rFonts w:cs="Arial"/>
                <w:b/>
                <w:bCs/>
                <w:lang w:val="en-GB" w:eastAsia="en-US"/>
              </w:rPr>
            </w:pPr>
            <w:r w:rsidRPr="004E4188">
              <w:rPr>
                <w:b/>
                <w:szCs w:val="36"/>
                <w:lang w:val="en-GB" w:eastAsia="en-US"/>
              </w:rPr>
              <w:t>Spécifications de soumission</w:t>
            </w:r>
          </w:p>
        </w:tc>
      </w:tr>
      <w:tr w:rsidR="007049A5" w:rsidRPr="004E4188" w14:paraId="17558C85" w14:textId="77777777" w:rsidTr="00DF1D87">
        <w:tc>
          <w:tcPr>
            <w:tcW w:w="1163" w:type="dxa"/>
            <w:tcBorders>
              <w:top w:val="single" w:sz="12" w:space="0" w:color="auto"/>
            </w:tcBorders>
          </w:tcPr>
          <w:p w14:paraId="799E5F45" w14:textId="77777777" w:rsidR="007049A5" w:rsidRPr="004E4188" w:rsidRDefault="007049A5" w:rsidP="006C6267">
            <w:pPr>
              <w:suppressAutoHyphens w:val="0"/>
              <w:overflowPunct/>
              <w:autoSpaceDE/>
              <w:autoSpaceDN/>
              <w:adjustRightInd/>
              <w:jc w:val="center"/>
              <w:textAlignment w:val="auto"/>
              <w:rPr>
                <w:lang w:val="en-GB" w:eastAsia="en-US"/>
              </w:rPr>
            </w:pPr>
            <w:r w:rsidRPr="004E4188">
              <w:rPr>
                <w:lang w:val="en-GB" w:eastAsia="en-US"/>
              </w:rPr>
              <w:t>1</w:t>
            </w:r>
          </w:p>
        </w:tc>
        <w:tc>
          <w:tcPr>
            <w:tcW w:w="3807" w:type="dxa"/>
            <w:tcBorders>
              <w:top w:val="single" w:sz="12" w:space="0" w:color="auto"/>
            </w:tcBorders>
          </w:tcPr>
          <w:p w14:paraId="4BB9CF1B" w14:textId="77777777" w:rsidR="007049A5" w:rsidRPr="004E4188" w:rsidRDefault="007049A5" w:rsidP="006C6267">
            <w:pPr>
              <w:suppressAutoHyphens w:val="0"/>
              <w:overflowPunct/>
              <w:autoSpaceDE/>
              <w:autoSpaceDN/>
              <w:adjustRightInd/>
              <w:textAlignment w:val="auto"/>
              <w:rPr>
                <w:rFonts w:ascii="Arial" w:hAnsi="Arial" w:cs="Arial"/>
                <w:sz w:val="20"/>
                <w:lang w:val="en-GB" w:eastAsia="ja-JP"/>
              </w:rPr>
            </w:pPr>
          </w:p>
        </w:tc>
        <w:tc>
          <w:tcPr>
            <w:tcW w:w="1477" w:type="dxa"/>
            <w:tcBorders>
              <w:top w:val="single" w:sz="12" w:space="0" w:color="auto"/>
            </w:tcBorders>
          </w:tcPr>
          <w:p w14:paraId="324B0E29" w14:textId="77777777" w:rsidR="007049A5" w:rsidRPr="004E4188" w:rsidRDefault="007049A5" w:rsidP="006C6267">
            <w:pPr>
              <w:suppressAutoHyphens w:val="0"/>
              <w:overflowPunct/>
              <w:autoSpaceDE/>
              <w:autoSpaceDN/>
              <w:adjustRightInd/>
              <w:textAlignment w:val="auto"/>
              <w:rPr>
                <w:rFonts w:ascii="Arial" w:hAnsi="Arial" w:cs="Arial"/>
                <w:sz w:val="20"/>
                <w:lang w:val="en-GB" w:eastAsia="en-US"/>
              </w:rPr>
            </w:pPr>
          </w:p>
        </w:tc>
        <w:tc>
          <w:tcPr>
            <w:tcW w:w="1760" w:type="dxa"/>
            <w:tcBorders>
              <w:top w:val="single" w:sz="12" w:space="0" w:color="auto"/>
            </w:tcBorders>
          </w:tcPr>
          <w:p w14:paraId="046AFC16" w14:textId="77777777" w:rsidR="007049A5" w:rsidRPr="004E4188" w:rsidRDefault="007049A5" w:rsidP="006C6267">
            <w:pPr>
              <w:suppressAutoHyphens w:val="0"/>
              <w:overflowPunct/>
              <w:autoSpaceDE/>
              <w:autoSpaceDN/>
              <w:adjustRightInd/>
              <w:textAlignment w:val="auto"/>
              <w:rPr>
                <w:rFonts w:ascii="Arial" w:hAnsi="Arial" w:cs="Arial"/>
                <w:sz w:val="20"/>
                <w:lang w:val="en-GB" w:eastAsia="en-US"/>
              </w:rPr>
            </w:pPr>
          </w:p>
        </w:tc>
      </w:tr>
      <w:tr w:rsidR="007049A5" w:rsidRPr="004E4188" w14:paraId="0321DBCB" w14:textId="77777777" w:rsidTr="00DF1D87">
        <w:tc>
          <w:tcPr>
            <w:tcW w:w="1163" w:type="dxa"/>
          </w:tcPr>
          <w:p w14:paraId="47FC8A74" w14:textId="77777777" w:rsidR="007049A5" w:rsidRPr="004E4188" w:rsidRDefault="007049A5" w:rsidP="006C6267">
            <w:pPr>
              <w:suppressAutoHyphens w:val="0"/>
              <w:overflowPunct/>
              <w:autoSpaceDE/>
              <w:autoSpaceDN/>
              <w:adjustRightInd/>
              <w:jc w:val="center"/>
              <w:textAlignment w:val="auto"/>
              <w:rPr>
                <w:lang w:val="en-GB" w:eastAsia="en-US"/>
              </w:rPr>
            </w:pPr>
            <w:r w:rsidRPr="004E4188">
              <w:rPr>
                <w:lang w:val="en-GB" w:eastAsia="en-US"/>
              </w:rPr>
              <w:t>2</w:t>
            </w:r>
          </w:p>
        </w:tc>
        <w:tc>
          <w:tcPr>
            <w:tcW w:w="3807" w:type="dxa"/>
          </w:tcPr>
          <w:p w14:paraId="3E587090" w14:textId="77777777" w:rsidR="007049A5" w:rsidRPr="004E4188" w:rsidRDefault="007049A5" w:rsidP="006C6267">
            <w:pPr>
              <w:suppressAutoHyphens w:val="0"/>
              <w:overflowPunct/>
              <w:autoSpaceDE/>
              <w:autoSpaceDN/>
              <w:adjustRightInd/>
              <w:textAlignment w:val="auto"/>
              <w:rPr>
                <w:rFonts w:ascii="Arial" w:hAnsi="Arial" w:cs="Arial"/>
                <w:sz w:val="20"/>
                <w:lang w:val="en-GB" w:eastAsia="en-US"/>
              </w:rPr>
            </w:pPr>
          </w:p>
        </w:tc>
        <w:tc>
          <w:tcPr>
            <w:tcW w:w="1477" w:type="dxa"/>
          </w:tcPr>
          <w:p w14:paraId="61E317C8" w14:textId="77777777" w:rsidR="007049A5" w:rsidRPr="004E4188" w:rsidRDefault="007049A5" w:rsidP="006C6267">
            <w:pPr>
              <w:suppressAutoHyphens w:val="0"/>
              <w:overflowPunct/>
              <w:autoSpaceDE/>
              <w:autoSpaceDN/>
              <w:adjustRightInd/>
              <w:textAlignment w:val="auto"/>
              <w:rPr>
                <w:rFonts w:ascii="Arial" w:hAnsi="Arial" w:cs="Arial"/>
                <w:sz w:val="20"/>
                <w:u w:val="single"/>
                <w:lang w:val="en-GB" w:eastAsia="en-US"/>
              </w:rPr>
            </w:pPr>
          </w:p>
        </w:tc>
        <w:tc>
          <w:tcPr>
            <w:tcW w:w="1760" w:type="dxa"/>
          </w:tcPr>
          <w:p w14:paraId="60143AD5" w14:textId="77777777" w:rsidR="007049A5" w:rsidRPr="004E4188" w:rsidRDefault="007049A5" w:rsidP="006C6267">
            <w:pPr>
              <w:suppressAutoHyphens w:val="0"/>
              <w:overflowPunct/>
              <w:autoSpaceDE/>
              <w:autoSpaceDN/>
              <w:adjustRightInd/>
              <w:textAlignment w:val="auto"/>
              <w:rPr>
                <w:rFonts w:ascii="Arial" w:hAnsi="Arial" w:cs="Arial"/>
                <w:sz w:val="20"/>
                <w:u w:val="single"/>
                <w:lang w:val="en-GB" w:eastAsia="en-US"/>
              </w:rPr>
            </w:pPr>
          </w:p>
        </w:tc>
      </w:tr>
      <w:tr w:rsidR="007049A5" w:rsidRPr="004E4188" w14:paraId="1C9C4194" w14:textId="77777777" w:rsidTr="00DF1D87">
        <w:tc>
          <w:tcPr>
            <w:tcW w:w="1163" w:type="dxa"/>
          </w:tcPr>
          <w:p w14:paraId="44F9A920" w14:textId="77777777" w:rsidR="007049A5" w:rsidRPr="004E4188" w:rsidRDefault="007049A5" w:rsidP="006C6267">
            <w:pPr>
              <w:suppressAutoHyphens w:val="0"/>
              <w:overflowPunct/>
              <w:autoSpaceDE/>
              <w:autoSpaceDN/>
              <w:adjustRightInd/>
              <w:jc w:val="center"/>
              <w:textAlignment w:val="auto"/>
              <w:rPr>
                <w:lang w:val="en-GB" w:eastAsia="en-US"/>
              </w:rPr>
            </w:pPr>
            <w:r w:rsidRPr="004E4188">
              <w:rPr>
                <w:lang w:val="en-GB" w:eastAsia="en-US"/>
              </w:rPr>
              <w:t>3</w:t>
            </w:r>
          </w:p>
        </w:tc>
        <w:tc>
          <w:tcPr>
            <w:tcW w:w="3807" w:type="dxa"/>
          </w:tcPr>
          <w:p w14:paraId="38DA1B2D" w14:textId="77777777" w:rsidR="007049A5" w:rsidRPr="004E4188" w:rsidRDefault="007049A5" w:rsidP="006C6267">
            <w:pPr>
              <w:suppressAutoHyphens w:val="0"/>
              <w:overflowPunct/>
              <w:autoSpaceDE/>
              <w:autoSpaceDN/>
              <w:adjustRightInd/>
              <w:textAlignment w:val="auto"/>
              <w:rPr>
                <w:rFonts w:ascii="Arial" w:hAnsi="Arial" w:cs="Arial"/>
                <w:sz w:val="20"/>
                <w:lang w:val="en-GB" w:eastAsia="en-US"/>
              </w:rPr>
            </w:pPr>
          </w:p>
        </w:tc>
        <w:tc>
          <w:tcPr>
            <w:tcW w:w="1477" w:type="dxa"/>
          </w:tcPr>
          <w:p w14:paraId="22516311" w14:textId="77777777" w:rsidR="007049A5" w:rsidRPr="004E4188" w:rsidRDefault="007049A5" w:rsidP="006C6267">
            <w:pPr>
              <w:suppressAutoHyphens w:val="0"/>
              <w:overflowPunct/>
              <w:autoSpaceDE/>
              <w:autoSpaceDN/>
              <w:adjustRightInd/>
              <w:textAlignment w:val="auto"/>
              <w:rPr>
                <w:rFonts w:ascii="Arial" w:hAnsi="Arial" w:cs="Arial"/>
                <w:sz w:val="20"/>
                <w:u w:val="single"/>
                <w:lang w:val="en-GB" w:eastAsia="en-US"/>
              </w:rPr>
            </w:pPr>
          </w:p>
        </w:tc>
        <w:tc>
          <w:tcPr>
            <w:tcW w:w="1760" w:type="dxa"/>
          </w:tcPr>
          <w:p w14:paraId="27525539" w14:textId="77777777" w:rsidR="007049A5" w:rsidRPr="004E4188" w:rsidRDefault="007049A5" w:rsidP="006C6267">
            <w:pPr>
              <w:suppressAutoHyphens w:val="0"/>
              <w:overflowPunct/>
              <w:autoSpaceDE/>
              <w:autoSpaceDN/>
              <w:adjustRightInd/>
              <w:textAlignment w:val="auto"/>
              <w:rPr>
                <w:rFonts w:ascii="Arial" w:hAnsi="Arial" w:cs="Arial"/>
                <w:sz w:val="20"/>
                <w:u w:val="single"/>
                <w:lang w:val="en-GB" w:eastAsia="en-US"/>
              </w:rPr>
            </w:pPr>
          </w:p>
        </w:tc>
      </w:tr>
      <w:tr w:rsidR="007049A5" w:rsidRPr="004E4188" w14:paraId="711A2D71" w14:textId="77777777" w:rsidTr="00DF1D87">
        <w:tc>
          <w:tcPr>
            <w:tcW w:w="1163" w:type="dxa"/>
          </w:tcPr>
          <w:p w14:paraId="318C8463" w14:textId="77777777" w:rsidR="007049A5" w:rsidRPr="004E4188" w:rsidRDefault="007049A5" w:rsidP="006C6267">
            <w:pPr>
              <w:suppressAutoHyphens w:val="0"/>
              <w:overflowPunct/>
              <w:autoSpaceDE/>
              <w:autoSpaceDN/>
              <w:adjustRightInd/>
              <w:jc w:val="center"/>
              <w:textAlignment w:val="auto"/>
              <w:rPr>
                <w:lang w:val="en-GB" w:eastAsia="en-US"/>
              </w:rPr>
            </w:pPr>
            <w:r w:rsidRPr="004E4188">
              <w:rPr>
                <w:lang w:val="en-GB" w:eastAsia="en-US"/>
              </w:rPr>
              <w:t>4</w:t>
            </w:r>
          </w:p>
        </w:tc>
        <w:tc>
          <w:tcPr>
            <w:tcW w:w="3807" w:type="dxa"/>
          </w:tcPr>
          <w:p w14:paraId="76BF9796" w14:textId="77777777" w:rsidR="007049A5" w:rsidRPr="004E4188" w:rsidRDefault="007049A5" w:rsidP="006C6267">
            <w:pPr>
              <w:suppressAutoHyphens w:val="0"/>
              <w:overflowPunct/>
              <w:autoSpaceDE/>
              <w:autoSpaceDN/>
              <w:adjustRightInd/>
              <w:textAlignment w:val="auto"/>
              <w:rPr>
                <w:rFonts w:ascii="Arial" w:hAnsi="Arial" w:cs="Arial"/>
                <w:sz w:val="20"/>
                <w:lang w:val="en-GB" w:eastAsia="en-US"/>
              </w:rPr>
            </w:pPr>
          </w:p>
        </w:tc>
        <w:tc>
          <w:tcPr>
            <w:tcW w:w="1477" w:type="dxa"/>
          </w:tcPr>
          <w:p w14:paraId="2F275C97" w14:textId="77777777" w:rsidR="007049A5" w:rsidRPr="004E4188" w:rsidRDefault="007049A5" w:rsidP="006C6267">
            <w:pPr>
              <w:suppressAutoHyphens w:val="0"/>
              <w:overflowPunct/>
              <w:autoSpaceDE/>
              <w:autoSpaceDN/>
              <w:adjustRightInd/>
              <w:textAlignment w:val="auto"/>
              <w:rPr>
                <w:rFonts w:ascii="Arial" w:hAnsi="Arial" w:cs="Arial"/>
                <w:sz w:val="20"/>
                <w:u w:val="single"/>
                <w:lang w:val="en-GB" w:eastAsia="en-US"/>
              </w:rPr>
            </w:pPr>
          </w:p>
        </w:tc>
        <w:tc>
          <w:tcPr>
            <w:tcW w:w="1760" w:type="dxa"/>
          </w:tcPr>
          <w:p w14:paraId="1417D384" w14:textId="77777777" w:rsidR="007049A5" w:rsidRPr="004E4188" w:rsidRDefault="007049A5" w:rsidP="006C6267">
            <w:pPr>
              <w:suppressAutoHyphens w:val="0"/>
              <w:overflowPunct/>
              <w:autoSpaceDE/>
              <w:autoSpaceDN/>
              <w:adjustRightInd/>
              <w:textAlignment w:val="auto"/>
              <w:rPr>
                <w:rFonts w:ascii="Arial" w:hAnsi="Arial" w:cs="Arial"/>
                <w:sz w:val="20"/>
                <w:u w:val="single"/>
                <w:lang w:val="en-GB" w:eastAsia="en-US"/>
              </w:rPr>
            </w:pPr>
          </w:p>
        </w:tc>
      </w:tr>
      <w:tr w:rsidR="007049A5" w:rsidRPr="004E4188" w14:paraId="2E9F584B" w14:textId="77777777" w:rsidTr="00DF1D87">
        <w:tc>
          <w:tcPr>
            <w:tcW w:w="1163" w:type="dxa"/>
          </w:tcPr>
          <w:p w14:paraId="144E34A0" w14:textId="77777777" w:rsidR="007049A5" w:rsidRPr="004E4188" w:rsidRDefault="007049A5" w:rsidP="006C6267">
            <w:pPr>
              <w:suppressAutoHyphens w:val="0"/>
              <w:overflowPunct/>
              <w:autoSpaceDE/>
              <w:autoSpaceDN/>
              <w:adjustRightInd/>
              <w:jc w:val="center"/>
              <w:textAlignment w:val="auto"/>
              <w:rPr>
                <w:lang w:val="en-GB" w:eastAsia="en-US"/>
              </w:rPr>
            </w:pPr>
            <w:r w:rsidRPr="004E4188">
              <w:rPr>
                <w:lang w:val="en-GB" w:eastAsia="en-US"/>
              </w:rPr>
              <w:t>5</w:t>
            </w:r>
          </w:p>
        </w:tc>
        <w:tc>
          <w:tcPr>
            <w:tcW w:w="3807" w:type="dxa"/>
          </w:tcPr>
          <w:p w14:paraId="1745993F" w14:textId="77777777" w:rsidR="007049A5" w:rsidRPr="004E4188" w:rsidRDefault="007049A5" w:rsidP="006C6267">
            <w:pPr>
              <w:suppressAutoHyphens w:val="0"/>
              <w:overflowPunct/>
              <w:autoSpaceDE/>
              <w:autoSpaceDN/>
              <w:adjustRightInd/>
              <w:textAlignment w:val="auto"/>
              <w:rPr>
                <w:rFonts w:ascii="Arial" w:hAnsi="Arial" w:cs="Arial"/>
                <w:sz w:val="20"/>
                <w:lang w:val="en-GB" w:eastAsia="en-US"/>
              </w:rPr>
            </w:pPr>
          </w:p>
        </w:tc>
        <w:tc>
          <w:tcPr>
            <w:tcW w:w="1477" w:type="dxa"/>
          </w:tcPr>
          <w:p w14:paraId="6414C56D" w14:textId="77777777" w:rsidR="007049A5" w:rsidRPr="004E4188" w:rsidRDefault="007049A5" w:rsidP="006C6267">
            <w:pPr>
              <w:suppressAutoHyphens w:val="0"/>
              <w:overflowPunct/>
              <w:autoSpaceDE/>
              <w:autoSpaceDN/>
              <w:adjustRightInd/>
              <w:textAlignment w:val="auto"/>
              <w:rPr>
                <w:rFonts w:ascii="Arial" w:hAnsi="Arial" w:cs="Arial"/>
                <w:sz w:val="20"/>
                <w:u w:val="single"/>
                <w:lang w:val="en-GB" w:eastAsia="en-US"/>
              </w:rPr>
            </w:pPr>
          </w:p>
        </w:tc>
        <w:tc>
          <w:tcPr>
            <w:tcW w:w="1760" w:type="dxa"/>
          </w:tcPr>
          <w:p w14:paraId="0BE6C1A4" w14:textId="77777777" w:rsidR="007049A5" w:rsidRPr="004E4188" w:rsidRDefault="007049A5" w:rsidP="006C6267">
            <w:pPr>
              <w:suppressAutoHyphens w:val="0"/>
              <w:overflowPunct/>
              <w:autoSpaceDE/>
              <w:autoSpaceDN/>
              <w:adjustRightInd/>
              <w:textAlignment w:val="auto"/>
              <w:rPr>
                <w:rFonts w:ascii="Arial" w:hAnsi="Arial" w:cs="Arial"/>
                <w:sz w:val="20"/>
                <w:u w:val="single"/>
                <w:lang w:val="en-GB" w:eastAsia="en-US"/>
              </w:rPr>
            </w:pPr>
          </w:p>
        </w:tc>
      </w:tr>
      <w:tr w:rsidR="007049A5" w:rsidRPr="004E4188" w14:paraId="3D32D5A8" w14:textId="77777777" w:rsidTr="00DF1D87">
        <w:tc>
          <w:tcPr>
            <w:tcW w:w="1163" w:type="dxa"/>
          </w:tcPr>
          <w:p w14:paraId="320AF310" w14:textId="77777777" w:rsidR="007049A5" w:rsidRPr="004E4188" w:rsidRDefault="007049A5" w:rsidP="006C6267">
            <w:pPr>
              <w:suppressAutoHyphens w:val="0"/>
              <w:overflowPunct/>
              <w:autoSpaceDE/>
              <w:autoSpaceDN/>
              <w:adjustRightInd/>
              <w:jc w:val="center"/>
              <w:textAlignment w:val="auto"/>
              <w:rPr>
                <w:lang w:val="en-GB" w:eastAsia="en-US"/>
              </w:rPr>
            </w:pPr>
            <w:r w:rsidRPr="004E4188">
              <w:rPr>
                <w:lang w:val="en-GB" w:eastAsia="en-US"/>
              </w:rPr>
              <w:t>…</w:t>
            </w:r>
          </w:p>
        </w:tc>
        <w:tc>
          <w:tcPr>
            <w:tcW w:w="3807" w:type="dxa"/>
          </w:tcPr>
          <w:p w14:paraId="691B8108" w14:textId="77777777" w:rsidR="007049A5" w:rsidRPr="004E4188" w:rsidRDefault="007049A5" w:rsidP="006C6267">
            <w:pPr>
              <w:suppressAutoHyphens w:val="0"/>
              <w:overflowPunct/>
              <w:autoSpaceDE/>
              <w:autoSpaceDN/>
              <w:adjustRightInd/>
              <w:textAlignment w:val="auto"/>
              <w:rPr>
                <w:lang w:val="en-GB" w:eastAsia="en-US"/>
              </w:rPr>
            </w:pPr>
          </w:p>
        </w:tc>
        <w:tc>
          <w:tcPr>
            <w:tcW w:w="1477" w:type="dxa"/>
          </w:tcPr>
          <w:p w14:paraId="5F31F00A" w14:textId="77777777" w:rsidR="007049A5" w:rsidRPr="004E4188" w:rsidRDefault="007049A5" w:rsidP="006C6267">
            <w:pPr>
              <w:suppressAutoHyphens w:val="0"/>
              <w:overflowPunct/>
              <w:autoSpaceDE/>
              <w:autoSpaceDN/>
              <w:adjustRightInd/>
              <w:textAlignment w:val="auto"/>
              <w:rPr>
                <w:u w:val="single"/>
                <w:lang w:val="en-GB" w:eastAsia="en-US"/>
              </w:rPr>
            </w:pPr>
          </w:p>
        </w:tc>
        <w:tc>
          <w:tcPr>
            <w:tcW w:w="1760" w:type="dxa"/>
          </w:tcPr>
          <w:p w14:paraId="19D28B33" w14:textId="77777777" w:rsidR="007049A5" w:rsidRPr="004E4188" w:rsidRDefault="007049A5" w:rsidP="006C6267">
            <w:pPr>
              <w:suppressAutoHyphens w:val="0"/>
              <w:overflowPunct/>
              <w:autoSpaceDE/>
              <w:autoSpaceDN/>
              <w:adjustRightInd/>
              <w:textAlignment w:val="auto"/>
              <w:rPr>
                <w:u w:val="single"/>
                <w:lang w:val="en-GB" w:eastAsia="en-US"/>
              </w:rPr>
            </w:pPr>
          </w:p>
        </w:tc>
      </w:tr>
      <w:tr w:rsidR="007049A5" w:rsidRPr="004E4188" w14:paraId="0CA818E0" w14:textId="77777777" w:rsidTr="00DF1D87">
        <w:tc>
          <w:tcPr>
            <w:tcW w:w="8207" w:type="dxa"/>
            <w:gridSpan w:val="4"/>
          </w:tcPr>
          <w:p w14:paraId="623B555C" w14:textId="77777777" w:rsidR="007049A5" w:rsidRPr="004E4188" w:rsidRDefault="007049A5" w:rsidP="006C6267">
            <w:pPr>
              <w:widowControl w:val="0"/>
              <w:suppressAutoHyphens w:val="0"/>
              <w:overflowPunct/>
              <w:autoSpaceDE/>
              <w:autoSpaceDN/>
              <w:adjustRightInd/>
              <w:spacing w:line="0" w:lineRule="atLeast"/>
              <w:textAlignment w:val="auto"/>
              <w:rPr>
                <w:rFonts w:ascii="Arial" w:hAnsi="Arial" w:cs="Arial"/>
                <w:i/>
                <w:sz w:val="20"/>
                <w:lang w:eastAsia="ja-JP"/>
              </w:rPr>
            </w:pPr>
            <w:r w:rsidRPr="004E4188">
              <w:rPr>
                <w:rFonts w:ascii="Arial" w:hAnsi="Arial" w:cs="Arial" w:hint="eastAsia"/>
                <w:i/>
                <w:sz w:val="20"/>
                <w:u w:val="single"/>
                <w:lang w:eastAsia="ja-JP"/>
              </w:rPr>
              <w:t>Notes</w:t>
            </w:r>
            <w:r w:rsidRPr="004E4188">
              <w:rPr>
                <w:rFonts w:ascii="Arial" w:hAnsi="Arial" w:cs="Arial"/>
                <w:i/>
                <w:sz w:val="20"/>
                <w:u w:val="single"/>
                <w:lang w:eastAsia="ja-JP"/>
              </w:rPr>
              <w:t xml:space="preserve"> à l’intention du Maître d’ouvrage</w:t>
            </w:r>
          </w:p>
          <w:p w14:paraId="1946A7A1" w14:textId="2B68C719" w:rsidR="007049A5" w:rsidRPr="004E4188" w:rsidRDefault="007049A5" w:rsidP="006C6267">
            <w:pPr>
              <w:widowControl w:val="0"/>
              <w:tabs>
                <w:tab w:val="left" w:pos="455"/>
              </w:tabs>
              <w:suppressAutoHyphens w:val="0"/>
              <w:overflowPunct/>
              <w:adjustRightInd/>
              <w:spacing w:after="120" w:line="0" w:lineRule="atLeast"/>
              <w:ind w:left="455" w:hanging="455"/>
              <w:textAlignment w:val="auto"/>
              <w:rPr>
                <w:rFonts w:ascii="Arial" w:hAnsi="Arial" w:cs="Arial"/>
                <w:i/>
                <w:sz w:val="20"/>
                <w:lang w:eastAsia="ja-JP"/>
              </w:rPr>
            </w:pPr>
            <w:r w:rsidRPr="004E4188">
              <w:rPr>
                <w:rFonts w:ascii="Arial" w:hAnsi="Arial" w:cs="Arial"/>
                <w:i/>
                <w:sz w:val="20"/>
                <w:lang w:eastAsia="en-US"/>
              </w:rPr>
              <w:t>(a)</w:t>
            </w:r>
            <w:r w:rsidRPr="004E4188">
              <w:rPr>
                <w:rFonts w:ascii="Arial" w:hAnsi="Arial" w:cs="Arial"/>
                <w:i/>
                <w:sz w:val="20"/>
                <w:lang w:eastAsia="en-US"/>
              </w:rPr>
              <w:tab/>
              <w:t xml:space="preserve">Les éléments énumérés doivent être limités à </w:t>
            </w:r>
            <w:r w:rsidRPr="004E4188">
              <w:rPr>
                <w:rFonts w:ascii="Arial" w:hAnsi="Arial" w:cs="Arial" w:hint="eastAsia"/>
                <w:i/>
                <w:sz w:val="20"/>
                <w:lang w:eastAsia="en-US"/>
              </w:rPr>
              <w:t>c</w:t>
            </w:r>
            <w:r w:rsidRPr="004E4188">
              <w:rPr>
                <w:rFonts w:ascii="Arial" w:hAnsi="Arial" w:cs="Arial"/>
                <w:i/>
                <w:sz w:val="20"/>
                <w:lang w:eastAsia="en-US"/>
              </w:rPr>
              <w:t>eux d</w:t>
            </w:r>
            <w:r w:rsidR="00FE6946" w:rsidRPr="004E4188">
              <w:rPr>
                <w:rFonts w:ascii="Arial" w:hAnsi="Arial" w:cs="Arial"/>
                <w:i/>
                <w:sz w:val="20"/>
                <w:lang w:eastAsia="en-US"/>
              </w:rPr>
              <w:t>’</w:t>
            </w:r>
            <w:r w:rsidRPr="004E4188">
              <w:rPr>
                <w:rFonts w:ascii="Arial" w:hAnsi="Arial" w:cs="Arial"/>
                <w:i/>
                <w:sz w:val="20"/>
                <w:lang w:eastAsia="en-US"/>
              </w:rPr>
              <w:t>importance primordiale pour lesquels le Maître d’ouvrage souhaite confirmer l</w:t>
            </w:r>
            <w:r w:rsidR="00FE6946" w:rsidRPr="004E4188">
              <w:rPr>
                <w:rFonts w:ascii="Arial" w:hAnsi="Arial" w:cs="Arial"/>
                <w:i/>
                <w:sz w:val="20"/>
                <w:lang w:eastAsia="en-US"/>
              </w:rPr>
              <w:t>’</w:t>
            </w:r>
            <w:r w:rsidRPr="004E4188">
              <w:rPr>
                <w:rFonts w:ascii="Arial" w:hAnsi="Arial" w:cs="Arial"/>
                <w:i/>
                <w:sz w:val="20"/>
                <w:lang w:eastAsia="en-US"/>
              </w:rPr>
              <w:t>adéquation et la pertinence des sous-traitants proposés durant l</w:t>
            </w:r>
            <w:r w:rsidR="00FE6946" w:rsidRPr="004E4188">
              <w:rPr>
                <w:rFonts w:ascii="Arial" w:hAnsi="Arial" w:cs="Arial"/>
                <w:i/>
                <w:sz w:val="20"/>
                <w:lang w:eastAsia="en-US"/>
              </w:rPr>
              <w:t>’</w:t>
            </w:r>
            <w:r w:rsidRPr="004E4188">
              <w:rPr>
                <w:rFonts w:ascii="Arial" w:hAnsi="Arial" w:cs="Arial"/>
                <w:i/>
                <w:sz w:val="20"/>
                <w:lang w:eastAsia="en-US"/>
              </w:rPr>
              <w:t>appel d</w:t>
            </w:r>
            <w:r w:rsidR="00FE6946" w:rsidRPr="004E4188">
              <w:rPr>
                <w:rFonts w:ascii="Arial" w:hAnsi="Arial" w:cs="Arial"/>
                <w:i/>
                <w:sz w:val="20"/>
                <w:lang w:eastAsia="en-US"/>
              </w:rPr>
              <w:t>’</w:t>
            </w:r>
            <w:r w:rsidRPr="004E4188">
              <w:rPr>
                <w:rFonts w:ascii="Arial" w:hAnsi="Arial" w:cs="Arial"/>
                <w:i/>
                <w:sz w:val="20"/>
                <w:lang w:eastAsia="en-US"/>
              </w:rPr>
              <w:t xml:space="preserve">offres. </w:t>
            </w:r>
          </w:p>
          <w:p w14:paraId="469992F8" w14:textId="06EB5F60" w:rsidR="007049A5" w:rsidRPr="004E4188" w:rsidRDefault="007049A5" w:rsidP="00FE6946">
            <w:pPr>
              <w:widowControl w:val="0"/>
              <w:tabs>
                <w:tab w:val="left" w:pos="455"/>
              </w:tabs>
              <w:suppressAutoHyphens w:val="0"/>
              <w:overflowPunct/>
              <w:adjustRightInd/>
              <w:spacing w:after="120" w:line="0" w:lineRule="atLeast"/>
              <w:ind w:left="455" w:hanging="455"/>
              <w:textAlignment w:val="auto"/>
              <w:rPr>
                <w:u w:val="single"/>
                <w:lang w:eastAsia="en-US"/>
              </w:rPr>
            </w:pPr>
            <w:r w:rsidRPr="004E4188">
              <w:rPr>
                <w:rFonts w:ascii="Arial" w:hAnsi="Arial" w:cs="Arial"/>
                <w:i/>
                <w:sz w:val="20"/>
                <w:lang w:eastAsia="ja-JP"/>
              </w:rPr>
              <w:t>(b)</w:t>
            </w:r>
            <w:r w:rsidRPr="004E4188">
              <w:rPr>
                <w:rFonts w:ascii="Arial" w:hAnsi="Arial" w:cs="Arial"/>
                <w:i/>
                <w:sz w:val="20"/>
                <w:lang w:eastAsia="ja-JP"/>
              </w:rPr>
              <w:tab/>
            </w:r>
            <w:r w:rsidRPr="004E4188">
              <w:rPr>
                <w:rFonts w:ascii="Arial" w:hAnsi="Arial" w:cs="Arial"/>
                <w:i/>
                <w:sz w:val="20"/>
                <w:lang w:eastAsia="en-US"/>
              </w:rPr>
              <w:t>Donner la liste des documents supplémentaires à joindre à l’offre, qui ne sont pas déjà indiqués au formulaire ELI-3, afin d’établir la conformité avec les exigences. S’il n’y a pas de document supplémentaire qui doit être soumis, indiquer « aucun ».</w:t>
            </w:r>
          </w:p>
        </w:tc>
      </w:tr>
    </w:tbl>
    <w:p w14:paraId="27CF089E" w14:textId="77777777" w:rsidR="007049A5" w:rsidRPr="004E4188" w:rsidRDefault="007049A5" w:rsidP="006C6267">
      <w:pPr>
        <w:widowControl w:val="0"/>
        <w:suppressAutoHyphens w:val="0"/>
        <w:overflowPunct/>
        <w:autoSpaceDE/>
        <w:autoSpaceDN/>
        <w:adjustRightInd/>
        <w:spacing w:line="0" w:lineRule="atLeast"/>
        <w:textAlignment w:val="auto"/>
        <w:rPr>
          <w:szCs w:val="24"/>
          <w:lang w:eastAsia="en-US"/>
        </w:rPr>
      </w:pPr>
    </w:p>
    <w:p w14:paraId="4C8A5490" w14:textId="77777777" w:rsidR="007049A5" w:rsidRPr="004E4188" w:rsidRDefault="007049A5" w:rsidP="006C6267">
      <w:pPr>
        <w:widowControl w:val="0"/>
        <w:suppressAutoHyphens w:val="0"/>
        <w:overflowPunct/>
        <w:autoSpaceDE/>
        <w:autoSpaceDN/>
        <w:adjustRightInd/>
        <w:spacing w:line="0" w:lineRule="atLeast"/>
        <w:textAlignment w:val="auto"/>
        <w:rPr>
          <w:szCs w:val="24"/>
          <w:lang w:eastAsia="en-US"/>
        </w:rPr>
      </w:pPr>
    </w:p>
    <w:p w14:paraId="71DAF6DF" w14:textId="77777777" w:rsidR="007049A5" w:rsidRPr="004E4188" w:rsidRDefault="007049A5" w:rsidP="006C6267">
      <w:pPr>
        <w:widowControl w:val="0"/>
        <w:suppressAutoHyphens w:val="0"/>
        <w:overflowPunct/>
        <w:autoSpaceDE/>
        <w:autoSpaceDN/>
        <w:adjustRightInd/>
        <w:spacing w:line="0" w:lineRule="atLeast"/>
        <w:textAlignment w:val="auto"/>
        <w:rPr>
          <w:szCs w:val="24"/>
          <w:lang w:eastAsia="en-US"/>
        </w:rPr>
      </w:pPr>
    </w:p>
    <w:p w14:paraId="783DABB0" w14:textId="77777777" w:rsidR="007049A5" w:rsidRPr="004E4188" w:rsidRDefault="007049A5" w:rsidP="006C6267">
      <w:pPr>
        <w:widowControl w:val="0"/>
        <w:suppressAutoHyphens w:val="0"/>
        <w:overflowPunct/>
        <w:autoSpaceDE/>
        <w:autoSpaceDN/>
        <w:adjustRightInd/>
        <w:spacing w:line="0" w:lineRule="atLeast"/>
        <w:textAlignment w:val="auto"/>
        <w:rPr>
          <w:szCs w:val="24"/>
          <w:lang w:eastAsia="en-US"/>
        </w:rPr>
      </w:pPr>
    </w:p>
    <w:p w14:paraId="70F087AE" w14:textId="77777777" w:rsidR="007049A5" w:rsidRPr="004E4188" w:rsidRDefault="007049A5" w:rsidP="006C6267">
      <w:pPr>
        <w:widowControl w:val="0"/>
        <w:suppressAutoHyphens w:val="0"/>
        <w:overflowPunct/>
        <w:autoSpaceDE/>
        <w:autoSpaceDN/>
        <w:adjustRightInd/>
        <w:spacing w:line="0" w:lineRule="atLeast"/>
        <w:textAlignment w:val="auto"/>
        <w:rPr>
          <w:szCs w:val="24"/>
          <w:lang w:eastAsia="en-US"/>
        </w:rPr>
      </w:pPr>
    </w:p>
    <w:p w14:paraId="56920B15" w14:textId="77777777" w:rsidR="007049A5" w:rsidRPr="004E4188" w:rsidRDefault="007049A5" w:rsidP="006C6267">
      <w:pPr>
        <w:widowControl w:val="0"/>
        <w:suppressAutoHyphens w:val="0"/>
        <w:overflowPunct/>
        <w:autoSpaceDE/>
        <w:autoSpaceDN/>
        <w:adjustRightInd/>
        <w:spacing w:line="0" w:lineRule="atLeast"/>
        <w:textAlignment w:val="auto"/>
        <w:rPr>
          <w:szCs w:val="24"/>
          <w:lang w:eastAsia="en-US"/>
        </w:rPr>
      </w:pPr>
    </w:p>
    <w:p w14:paraId="3BBFFB9F" w14:textId="77777777" w:rsidR="007049A5" w:rsidRPr="004E4188" w:rsidRDefault="007049A5" w:rsidP="006C6267">
      <w:pPr>
        <w:widowControl w:val="0"/>
        <w:suppressAutoHyphens w:val="0"/>
        <w:overflowPunct/>
        <w:autoSpaceDE/>
        <w:autoSpaceDN/>
        <w:adjustRightInd/>
        <w:spacing w:line="0" w:lineRule="atLeast"/>
        <w:jc w:val="left"/>
        <w:textAlignment w:val="auto"/>
        <w:rPr>
          <w:lang w:eastAsia="en-US"/>
        </w:rPr>
      </w:pPr>
    </w:p>
    <w:p w14:paraId="4F24D82E" w14:textId="77777777" w:rsidR="007049A5" w:rsidRPr="004E4188" w:rsidRDefault="007049A5" w:rsidP="004D6094">
      <w:pPr>
        <w:suppressAutoHyphens w:val="0"/>
        <w:overflowPunct/>
        <w:autoSpaceDE/>
        <w:autoSpaceDN/>
        <w:adjustRightInd/>
        <w:ind w:left="850"/>
        <w:textAlignment w:val="auto"/>
        <w:rPr>
          <w:szCs w:val="24"/>
          <w:lang w:eastAsia="en-US"/>
        </w:rPr>
      </w:pPr>
      <w:r w:rsidRPr="004E4188">
        <w:rPr>
          <w:szCs w:val="24"/>
          <w:lang w:eastAsia="en-US"/>
        </w:rPr>
        <w:t>D</w:t>
      </w:r>
      <w:r w:rsidRPr="004E4188">
        <w:rPr>
          <w:lang w:eastAsia="en-US"/>
        </w:rPr>
        <w:t xml:space="preserve">ans le cas où un Soumissionnaire propose de fournir et d’installer des éléments majeurs des </w:t>
      </w:r>
      <w:r w:rsidRPr="004E4188">
        <w:rPr>
          <w:szCs w:val="24"/>
        </w:rPr>
        <w:t>É</w:t>
      </w:r>
      <w:r w:rsidRPr="004E4188">
        <w:rPr>
          <w:lang w:eastAsia="en-US"/>
        </w:rPr>
        <w:t>quipements au titre du Marché qu’il ne fabrique, ni ne produit lui-même, le Soumissionnaire doit présenter l’attestation du fabricant, en utilisant le formulaire de la Section IV, Formulaires de soumission, certifiant qu’il est dûment habilité par le fabricant ou le producteur des installations et équipements ou éléments concernés à les fournir et les installer dans le pays du Maître d’ouvrage.</w:t>
      </w:r>
      <w:r w:rsidRPr="004E4188">
        <w:rPr>
          <w:szCs w:val="24"/>
          <w:lang w:eastAsia="en-US"/>
        </w:rPr>
        <w:t xml:space="preserve"> </w:t>
      </w:r>
    </w:p>
    <w:p w14:paraId="5386393F" w14:textId="77777777" w:rsidR="007049A5" w:rsidRPr="004E4188" w:rsidRDefault="007049A5" w:rsidP="006C6267">
      <w:pPr>
        <w:suppressAutoHyphens w:val="0"/>
        <w:overflowPunct/>
        <w:autoSpaceDE/>
        <w:autoSpaceDN/>
        <w:adjustRightInd/>
        <w:ind w:left="270" w:right="288"/>
        <w:textAlignment w:val="auto"/>
        <w:rPr>
          <w:szCs w:val="24"/>
          <w:lang w:eastAsia="ja-JP"/>
        </w:rPr>
      </w:pPr>
    </w:p>
    <w:p w14:paraId="5F4F0C3D" w14:textId="4548175E" w:rsidR="007049A5" w:rsidRPr="004E4188" w:rsidRDefault="004D6094" w:rsidP="004D6094">
      <w:pPr>
        <w:tabs>
          <w:tab w:val="num" w:pos="1004"/>
          <w:tab w:val="num" w:pos="2705"/>
        </w:tabs>
        <w:suppressAutoHyphens w:val="0"/>
        <w:overflowPunct/>
        <w:autoSpaceDE/>
        <w:autoSpaceDN/>
        <w:adjustRightInd/>
        <w:ind w:left="851" w:hanging="851"/>
        <w:jc w:val="left"/>
        <w:textAlignment w:val="auto"/>
        <w:rPr>
          <w:b/>
          <w:bCs/>
          <w:lang w:eastAsia="ja-JP"/>
        </w:rPr>
      </w:pPr>
      <w:r w:rsidRPr="004E4188">
        <w:rPr>
          <w:b/>
          <w:lang w:eastAsia="en-US"/>
        </w:rPr>
        <w:t>1.1.4</w:t>
      </w:r>
      <w:r w:rsidRPr="004E4188">
        <w:rPr>
          <w:b/>
          <w:lang w:eastAsia="en-US"/>
        </w:rPr>
        <w:tab/>
      </w:r>
      <w:r w:rsidR="007049A5" w:rsidRPr="004E4188">
        <w:rPr>
          <w:b/>
          <w:lang w:eastAsia="en-US"/>
        </w:rPr>
        <w:t>Autre(s) critère(s) d’évaluatio</w:t>
      </w:r>
      <w:r w:rsidR="007049A5" w:rsidRPr="004E4188">
        <w:rPr>
          <w:b/>
          <w:bCs/>
          <w:lang w:eastAsia="ja-JP"/>
        </w:rPr>
        <w:t>n</w:t>
      </w:r>
    </w:p>
    <w:p w14:paraId="76955EA4" w14:textId="77777777" w:rsidR="007049A5" w:rsidRPr="004E4188" w:rsidRDefault="007049A5" w:rsidP="004D6094">
      <w:pPr>
        <w:widowControl w:val="0"/>
        <w:suppressAutoHyphens w:val="0"/>
        <w:overflowPunct/>
        <w:autoSpaceDE/>
        <w:autoSpaceDN/>
        <w:adjustRightInd/>
        <w:spacing w:line="0" w:lineRule="atLeast"/>
        <w:ind w:left="851"/>
        <w:jc w:val="left"/>
        <w:textAlignment w:val="auto"/>
        <w:rPr>
          <w:lang w:eastAsia="en-US"/>
        </w:rPr>
      </w:pPr>
      <w:r w:rsidRPr="004E4188">
        <w:rPr>
          <w:lang w:eastAsia="en-US"/>
        </w:rPr>
        <w:t>[</w:t>
      </w:r>
      <w:r w:rsidRPr="004E4188">
        <w:rPr>
          <w:bCs/>
          <w:i/>
          <w:lang w:eastAsia="ja-JP"/>
        </w:rPr>
        <w:t>Le</w:t>
      </w:r>
      <w:r w:rsidRPr="004E4188">
        <w:rPr>
          <w:i/>
          <w:lang w:eastAsia="en-US"/>
        </w:rPr>
        <w:t xml:space="preserve"> cas échéant, indiquer un(des) autre(s) critère(s) d’évaluation. Sinon, indiquer « Sans objet ».</w:t>
      </w:r>
      <w:r w:rsidRPr="004E4188">
        <w:rPr>
          <w:lang w:eastAsia="en-US"/>
        </w:rPr>
        <w:t>]</w:t>
      </w:r>
    </w:p>
    <w:p w14:paraId="5B5CBBA7" w14:textId="3CA1405E" w:rsidR="007049A5" w:rsidRPr="004E4188" w:rsidRDefault="007049A5" w:rsidP="006C6267">
      <w:pPr>
        <w:widowControl w:val="0"/>
        <w:suppressAutoHyphens w:val="0"/>
        <w:overflowPunct/>
        <w:autoSpaceDE/>
        <w:autoSpaceDN/>
        <w:adjustRightInd/>
        <w:spacing w:line="0" w:lineRule="atLeast"/>
        <w:ind w:left="851"/>
        <w:jc w:val="left"/>
        <w:textAlignment w:val="auto"/>
        <w:rPr>
          <w:lang w:eastAsia="en-US"/>
        </w:rPr>
      </w:pPr>
      <w:r w:rsidRPr="004E4188">
        <w:rPr>
          <w:lang w:eastAsia="en-US"/>
        </w:rPr>
        <w:t>………………………………………………………………………………………...…</w:t>
      </w:r>
      <w:r w:rsidR="00BA4F42" w:rsidRPr="004E4188">
        <w:rPr>
          <w:lang w:eastAsia="en-US"/>
        </w:rPr>
        <w:t>………………………………………………………………………………………...…</w:t>
      </w:r>
    </w:p>
    <w:p w14:paraId="0F97DC19" w14:textId="77777777" w:rsidR="007049A5" w:rsidRPr="004E4188" w:rsidRDefault="007049A5" w:rsidP="006C6267">
      <w:pPr>
        <w:widowControl w:val="0"/>
        <w:suppressAutoHyphens w:val="0"/>
        <w:overflowPunct/>
        <w:autoSpaceDE/>
        <w:autoSpaceDN/>
        <w:adjustRightInd/>
        <w:spacing w:line="0" w:lineRule="atLeast"/>
        <w:jc w:val="left"/>
        <w:textAlignment w:val="auto"/>
        <w:rPr>
          <w:lang w:eastAsia="en-US"/>
        </w:rPr>
      </w:pPr>
    </w:p>
    <w:p w14:paraId="626CF193" w14:textId="5F6E7CE1" w:rsidR="007049A5" w:rsidRPr="004E4188" w:rsidRDefault="007049A5" w:rsidP="006C6267">
      <w:pPr>
        <w:tabs>
          <w:tab w:val="num" w:pos="709"/>
          <w:tab w:val="num" w:pos="2705"/>
        </w:tabs>
        <w:suppressAutoHyphens w:val="0"/>
        <w:overflowPunct/>
        <w:autoSpaceDE/>
        <w:autoSpaceDN/>
        <w:adjustRightInd/>
        <w:ind w:left="851" w:hanging="851"/>
        <w:jc w:val="left"/>
        <w:textAlignment w:val="auto"/>
        <w:rPr>
          <w:b/>
          <w:lang w:eastAsia="ja-JP"/>
        </w:rPr>
      </w:pPr>
    </w:p>
    <w:p w14:paraId="087C7B35" w14:textId="77777777" w:rsidR="007049A5" w:rsidRPr="004E4188" w:rsidRDefault="007049A5" w:rsidP="00E4359F">
      <w:pPr>
        <w:tabs>
          <w:tab w:val="left" w:pos="580"/>
        </w:tabs>
        <w:spacing w:afterLines="100" w:after="240"/>
        <w:rPr>
          <w:b/>
          <w:sz w:val="28"/>
          <w:szCs w:val="28"/>
        </w:rPr>
      </w:pPr>
      <w:r w:rsidRPr="004E4188">
        <w:rPr>
          <w:b/>
          <w:sz w:val="28"/>
          <w:szCs w:val="28"/>
        </w:rPr>
        <w:br w:type="page"/>
      </w:r>
    </w:p>
    <w:p w14:paraId="2A8F5BD3" w14:textId="5DC08854" w:rsidR="007049A5" w:rsidRPr="004E4188" w:rsidRDefault="007049A5" w:rsidP="004D6094">
      <w:pPr>
        <w:spacing w:afterLines="100" w:after="240"/>
        <w:ind w:left="851" w:hanging="851"/>
        <w:rPr>
          <w:b/>
          <w:sz w:val="28"/>
          <w:szCs w:val="28"/>
          <w:lang w:eastAsia="ja-JP"/>
        </w:rPr>
      </w:pPr>
      <w:r w:rsidRPr="004E4188">
        <w:rPr>
          <w:b/>
          <w:sz w:val="28"/>
          <w:szCs w:val="28"/>
        </w:rPr>
        <w:t>2</w:t>
      </w:r>
      <w:r w:rsidR="0075268B" w:rsidRPr="004E4188">
        <w:rPr>
          <w:b/>
          <w:sz w:val="28"/>
          <w:szCs w:val="28"/>
        </w:rPr>
        <w:t>.</w:t>
      </w:r>
      <w:r w:rsidRPr="004E4188">
        <w:rPr>
          <w:b/>
          <w:sz w:val="28"/>
          <w:szCs w:val="28"/>
          <w:lang w:eastAsia="ja-JP"/>
        </w:rPr>
        <w:tab/>
      </w:r>
      <w:r w:rsidRPr="004E4188">
        <w:rPr>
          <w:b/>
          <w:sz w:val="30"/>
          <w:szCs w:val="30"/>
          <w:lang w:eastAsia="en-US"/>
        </w:rPr>
        <w:t>Qualification</w:t>
      </w:r>
    </w:p>
    <w:p w14:paraId="58C270A3" w14:textId="69FE4FFE" w:rsidR="007049A5" w:rsidRPr="004E4188" w:rsidRDefault="007049A5" w:rsidP="00AE3CFD">
      <w:pPr>
        <w:ind w:left="1418" w:hanging="567"/>
        <w:rPr>
          <w:b/>
        </w:rPr>
      </w:pPr>
      <w:r w:rsidRPr="004E4188">
        <w:rPr>
          <w:b/>
        </w:rPr>
        <w:t>(I)</w:t>
      </w:r>
      <w:r w:rsidRPr="004E4188">
        <w:rPr>
          <w:b/>
          <w:lang w:eastAsia="ja-JP"/>
        </w:rPr>
        <w:tab/>
      </w:r>
      <w:r w:rsidRPr="004E4188">
        <w:rPr>
          <w:b/>
        </w:rPr>
        <w:t>Qualification</w:t>
      </w:r>
      <w:r w:rsidRPr="004E4188">
        <w:rPr>
          <w:rFonts w:hint="eastAsia"/>
          <w:b/>
        </w:rPr>
        <w:t xml:space="preserve"> </w:t>
      </w:r>
      <w:r w:rsidRPr="004E4188">
        <w:rPr>
          <w:b/>
        </w:rPr>
        <w:t xml:space="preserve">du Soumissionnaire (mais pas celle </w:t>
      </w:r>
      <w:r w:rsidRPr="004E4188">
        <w:rPr>
          <w:b/>
          <w:szCs w:val="24"/>
          <w:lang w:eastAsia="ja-JP"/>
        </w:rPr>
        <w:t>des affiliés</w:t>
      </w:r>
      <w:r w:rsidRPr="004E4188">
        <w:rPr>
          <w:b/>
        </w:rPr>
        <w:t xml:space="preserve"> du Soumissionnaire)</w:t>
      </w:r>
    </w:p>
    <w:p w14:paraId="366805E4" w14:textId="77777777" w:rsidR="007049A5" w:rsidRPr="004E4188" w:rsidRDefault="007049A5" w:rsidP="00AE3CFD">
      <w:pPr>
        <w:ind w:left="1440"/>
      </w:pPr>
      <w:r w:rsidRPr="004E4188">
        <w:t xml:space="preserve">C’est l’entité </w:t>
      </w:r>
      <w:r w:rsidRPr="004E4188">
        <w:rPr>
          <w:szCs w:val="24"/>
        </w:rPr>
        <w:t xml:space="preserve">légale ou les entités constituant le Soumissionnaire (qui fait(font) partie du Soumissionnaire sous la forme d’un Groupement ou de </w:t>
      </w:r>
      <w:r w:rsidRPr="004E4188">
        <w:rPr>
          <w:szCs w:val="24"/>
          <w:lang w:eastAsia="ja-JP"/>
        </w:rPr>
        <w:t>sous-traitants spécialisés</w:t>
      </w:r>
      <w:r w:rsidRPr="004E4188">
        <w:rPr>
          <w:szCs w:val="24"/>
        </w:rPr>
        <w:t xml:space="preserve"> employés pour les activités principales définies dans cette section), et non pas la(les) maison(s) mère(s) du Soumissionnaire, les sociétés du groupe, les filiales ou autres sociétés affiliées, qui doivent satisfaire aux critères de qualification.</w:t>
      </w:r>
    </w:p>
    <w:p w14:paraId="4FB6CC27" w14:textId="77777777" w:rsidR="007049A5" w:rsidRPr="004E4188" w:rsidRDefault="007049A5" w:rsidP="00AE3CFD">
      <w:pPr>
        <w:rPr>
          <w:b/>
        </w:rPr>
      </w:pPr>
    </w:p>
    <w:p w14:paraId="32C2C338" w14:textId="6ABC6263" w:rsidR="007049A5" w:rsidRPr="004E4188" w:rsidRDefault="007049A5" w:rsidP="00AE3CFD">
      <w:pPr>
        <w:ind w:left="850"/>
        <w:rPr>
          <w:b/>
        </w:rPr>
      </w:pPr>
      <w:r w:rsidRPr="004E4188">
        <w:rPr>
          <w:b/>
        </w:rPr>
        <w:t>(II)</w:t>
      </w:r>
      <w:r w:rsidR="00B95074" w:rsidRPr="004E4188">
        <w:rPr>
          <w:b/>
          <w:lang w:eastAsia="ja-JP"/>
        </w:rPr>
        <w:tab/>
      </w:r>
      <w:r w:rsidRPr="004E4188">
        <w:rPr>
          <w:b/>
        </w:rPr>
        <w:t>Taux de change pour critères d’évaluation</w:t>
      </w:r>
    </w:p>
    <w:p w14:paraId="74C80705" w14:textId="77777777" w:rsidR="007049A5" w:rsidRPr="004E4188" w:rsidRDefault="007049A5" w:rsidP="00AE3CFD">
      <w:pPr>
        <w:spacing w:after="60"/>
        <w:ind w:left="1440"/>
      </w:pPr>
      <w:r w:rsidRPr="004E4188">
        <w:t>Lorsqu’il est demandé que le Soumissionnaire indique, dans un formulaire de la Section IV, Formulaires de soumission, un montant monétaire, le Soumissionnaire devra donner le montant équivalent en dollar US en utilisant le taux de change déterminé comme suit :</w:t>
      </w:r>
    </w:p>
    <w:p w14:paraId="38C23630" w14:textId="572B9452" w:rsidR="007049A5" w:rsidRPr="004E4188" w:rsidRDefault="007049A5" w:rsidP="00AE3CFD">
      <w:pPr>
        <w:spacing w:after="120"/>
        <w:ind w:left="1837" w:hanging="397"/>
      </w:pPr>
      <w:r w:rsidRPr="004E4188">
        <w:t>(a)</w:t>
      </w:r>
      <w:r w:rsidRPr="004E4188">
        <w:rPr>
          <w:lang w:eastAsia="ja-JP"/>
        </w:rPr>
        <w:tab/>
      </w:r>
      <w:r w:rsidRPr="004E4188">
        <w:t xml:space="preserve">chiffre d’affaires ou autres données financières, pour chaque année - le taux de change au dernier jour de l’année calendaire </w:t>
      </w:r>
      <w:r w:rsidR="005130EB" w:rsidRPr="004E4188">
        <w:t xml:space="preserve">ou fiscale </w:t>
      </w:r>
      <w:r w:rsidRPr="004E4188">
        <w:t>correspondante,</w:t>
      </w:r>
    </w:p>
    <w:p w14:paraId="0DA5B485" w14:textId="77777777" w:rsidR="007049A5" w:rsidRPr="004E4188" w:rsidRDefault="007049A5" w:rsidP="00AE3CFD">
      <w:pPr>
        <w:spacing w:after="120"/>
        <w:ind w:left="1837" w:hanging="397"/>
      </w:pPr>
      <w:r w:rsidRPr="004E4188">
        <w:t>(b)</w:t>
      </w:r>
      <w:r w:rsidRPr="004E4188">
        <w:rPr>
          <w:lang w:eastAsia="ja-JP"/>
        </w:rPr>
        <w:tab/>
      </w:r>
      <w:r w:rsidRPr="004E4188">
        <w:t>montant d’un marché particulier - le taux de change à la date de signature du marché.</w:t>
      </w:r>
    </w:p>
    <w:p w14:paraId="290B0711" w14:textId="42D5331B" w:rsidR="007049A5" w:rsidRPr="004E4188" w:rsidRDefault="007049A5" w:rsidP="00AE3CFD">
      <w:pPr>
        <w:ind w:left="1440"/>
      </w:pPr>
      <w:r w:rsidRPr="004E4188">
        <w:t xml:space="preserve">Les taux de change utilisés doivent être ceux publiés par la source accessible au public </w:t>
      </w:r>
      <w:r w:rsidRPr="004E4188">
        <w:rPr>
          <w:b/>
        </w:rPr>
        <w:t xml:space="preserve">précisée à l’Article 47.1 des DP </w:t>
      </w:r>
      <w:r w:rsidRPr="004E4188">
        <w:t>ou, si ces taux ne sont pas disponibles par cette source, tout</w:t>
      </w:r>
      <w:r w:rsidR="00BA571F" w:rsidRPr="004E4188">
        <w:t>e</w:t>
      </w:r>
      <w:r w:rsidRPr="004E4188">
        <w:t xml:space="preserve"> autre source accessible au public, acceptable pour le Maître d’ouvrage. Toute erreur dans la détermination des taux de change pourra être corrigée par le Maître d’ouvrage.</w:t>
      </w:r>
    </w:p>
    <w:p w14:paraId="11791E29" w14:textId="77777777" w:rsidR="00AE3CFD" w:rsidRPr="004E4188" w:rsidRDefault="00AE3CFD" w:rsidP="00AE3CFD"/>
    <w:p w14:paraId="293703B4" w14:textId="0F0C4BE4" w:rsidR="007049A5" w:rsidRPr="004E4188" w:rsidRDefault="007049A5" w:rsidP="00AE3CFD">
      <w:pPr>
        <w:ind w:left="850"/>
      </w:pPr>
      <w:r w:rsidRPr="004E4188">
        <w:rPr>
          <w:b/>
        </w:rPr>
        <w:t>(III)</w:t>
      </w:r>
      <w:r w:rsidRPr="004E4188">
        <w:rPr>
          <w:b/>
          <w:lang w:eastAsia="ja-JP"/>
        </w:rPr>
        <w:tab/>
      </w:r>
      <w:r w:rsidRPr="004E4188">
        <w:rPr>
          <w:b/>
          <w:lang w:eastAsia="en-US"/>
        </w:rPr>
        <w:t>Mise</w:t>
      </w:r>
      <w:r w:rsidRPr="004E4188">
        <w:rPr>
          <w:b/>
        </w:rPr>
        <w:t xml:space="preserve"> à jour des informations de préqualification</w:t>
      </w:r>
    </w:p>
    <w:p w14:paraId="3E95D759" w14:textId="77777777" w:rsidR="007049A5" w:rsidRPr="004E4188" w:rsidRDefault="007049A5" w:rsidP="00AE3CFD">
      <w:pPr>
        <w:spacing w:after="60"/>
        <w:ind w:left="1440"/>
        <w:rPr>
          <w:bCs/>
          <w:lang w:eastAsia="ja-JP"/>
        </w:rPr>
      </w:pPr>
      <w:r w:rsidRPr="004E4188">
        <w:t>Le Soumissionnaire doit continuer à satisfaire aux critères utilisés lors de la préqualification. La mise à jour et la réévaluation des informations concernant les critères suivants,</w:t>
      </w:r>
      <w:r w:rsidRPr="004E4188">
        <w:rPr>
          <w:szCs w:val="24"/>
        </w:rPr>
        <w:t xml:space="preserve"> précédemment pris en compte lors de la préqualification, seront demandées :</w:t>
      </w:r>
    </w:p>
    <w:p w14:paraId="15734BB3" w14:textId="1CCAA22C" w:rsidR="007049A5" w:rsidRPr="004E4188" w:rsidRDefault="007049A5" w:rsidP="00AE3CFD">
      <w:pPr>
        <w:spacing w:after="120"/>
        <w:ind w:left="1837" w:hanging="397"/>
        <w:rPr>
          <w:szCs w:val="24"/>
        </w:rPr>
      </w:pPr>
      <w:r w:rsidRPr="004E4188">
        <w:rPr>
          <w:bCs/>
          <w:lang w:eastAsia="ja-JP"/>
        </w:rPr>
        <w:t>(a)</w:t>
      </w:r>
      <w:r w:rsidRPr="004E4188">
        <w:rPr>
          <w:bCs/>
          <w:lang w:eastAsia="ja-JP"/>
        </w:rPr>
        <w:tab/>
        <w:t>Éligibilité</w:t>
      </w:r>
      <w:r w:rsidR="00D82314" w:rsidRPr="004E4188">
        <w:rPr>
          <w:bCs/>
          <w:lang w:eastAsia="ja-JP"/>
        </w:rPr>
        <w:t>.</w:t>
      </w:r>
      <w:r w:rsidRPr="004E4188">
        <w:rPr>
          <w:szCs w:val="24"/>
        </w:rPr>
        <w:t xml:space="preserve"> </w:t>
      </w:r>
    </w:p>
    <w:p w14:paraId="032BC7C1" w14:textId="5FE1A5F2" w:rsidR="007049A5" w:rsidRPr="004E4188" w:rsidRDefault="007049A5" w:rsidP="00AE3CFD">
      <w:pPr>
        <w:spacing w:after="120"/>
        <w:ind w:left="1837" w:hanging="397"/>
        <w:rPr>
          <w:szCs w:val="24"/>
        </w:rPr>
      </w:pPr>
      <w:r w:rsidRPr="004E4188">
        <w:rPr>
          <w:spacing w:val="-2"/>
        </w:rPr>
        <w:t>(b)</w:t>
      </w:r>
      <w:r w:rsidRPr="004E4188">
        <w:rPr>
          <w:spacing w:val="-2"/>
        </w:rPr>
        <w:tab/>
      </w:r>
      <w:r w:rsidRPr="004E4188">
        <w:rPr>
          <w:szCs w:val="24"/>
        </w:rPr>
        <w:t>Antécédents de non-exécution de marchés et litiges</w:t>
      </w:r>
      <w:r w:rsidR="00D82314" w:rsidRPr="004E4188">
        <w:rPr>
          <w:szCs w:val="24"/>
        </w:rPr>
        <w:t>.</w:t>
      </w:r>
    </w:p>
    <w:p w14:paraId="419AF3A8" w14:textId="6EA82E38" w:rsidR="007049A5" w:rsidRPr="004E4188" w:rsidRDefault="007049A5" w:rsidP="00AE3CFD">
      <w:pPr>
        <w:spacing w:after="120"/>
        <w:ind w:left="1837" w:hanging="397"/>
      </w:pPr>
      <w:r w:rsidRPr="004E4188">
        <w:rPr>
          <w:szCs w:val="24"/>
        </w:rPr>
        <w:t>(c)</w:t>
      </w:r>
      <w:r w:rsidRPr="004E4188">
        <w:rPr>
          <w:spacing w:val="-2"/>
        </w:rPr>
        <w:tab/>
      </w:r>
      <w:r w:rsidRPr="004E4188">
        <w:rPr>
          <w:szCs w:val="24"/>
        </w:rPr>
        <w:t>Situation et capacité</w:t>
      </w:r>
      <w:r w:rsidR="00D82314" w:rsidRPr="004E4188">
        <w:rPr>
          <w:szCs w:val="24"/>
        </w:rPr>
        <w:t>s</w:t>
      </w:r>
      <w:r w:rsidRPr="004E4188">
        <w:rPr>
          <w:szCs w:val="24"/>
        </w:rPr>
        <w:t xml:space="preserve"> financières</w:t>
      </w:r>
      <w:r w:rsidRPr="004E4188">
        <w:t>.</w:t>
      </w:r>
    </w:p>
    <w:p w14:paraId="7EDC5A7B" w14:textId="77777777" w:rsidR="00AE3CFD" w:rsidRPr="004E4188" w:rsidRDefault="007049A5" w:rsidP="00AE3CFD">
      <w:pPr>
        <w:ind w:left="1440"/>
        <w:rPr>
          <w:szCs w:val="24"/>
        </w:rPr>
      </w:pPr>
      <w:r w:rsidRPr="004E4188">
        <w:rPr>
          <w:bCs/>
          <w:szCs w:val="24"/>
        </w:rPr>
        <w:t xml:space="preserve">Le </w:t>
      </w:r>
      <w:r w:rsidRPr="004E4188">
        <w:rPr>
          <w:szCs w:val="24"/>
        </w:rPr>
        <w:t>Soumissionnaire doit fournir des détails actualisés sur les critères sus-mentionnés en utilisant les formulaires correspondants figurant à la Section IV, Formulaires de soumission.</w:t>
      </w:r>
    </w:p>
    <w:p w14:paraId="708244E1" w14:textId="66882ED2" w:rsidR="007049A5" w:rsidRPr="004E4188" w:rsidRDefault="007049A5" w:rsidP="00B95074">
      <w:pPr>
        <w:pStyle w:val="aff7"/>
        <w:spacing w:after="160" w:line="240" w:lineRule="auto"/>
        <w:ind w:leftChars="0" w:left="1440"/>
        <w:rPr>
          <w:rFonts w:ascii="Times New Roman" w:hAnsi="Times New Roman"/>
          <w:sz w:val="24"/>
          <w:szCs w:val="24"/>
          <w:lang w:val="fr-FR"/>
        </w:rPr>
      </w:pPr>
      <w:r w:rsidRPr="004E4188">
        <w:rPr>
          <w:rFonts w:ascii="Times New Roman" w:hAnsi="Times New Roman"/>
          <w:sz w:val="24"/>
          <w:szCs w:val="24"/>
          <w:lang w:val="fr-FR"/>
        </w:rPr>
        <w:br w:type="page"/>
      </w:r>
    </w:p>
    <w:p w14:paraId="50995C34" w14:textId="77777777" w:rsidR="007049A5" w:rsidRPr="004E4188" w:rsidRDefault="007049A5" w:rsidP="006C6267">
      <w:pPr>
        <w:jc w:val="left"/>
        <w:rPr>
          <w:b/>
          <w:iCs/>
          <w:sz w:val="28"/>
          <w:szCs w:val="28"/>
        </w:rPr>
      </w:pPr>
      <w:r w:rsidRPr="004E4188">
        <w:rPr>
          <w:b/>
          <w:iCs/>
          <w:sz w:val="28"/>
          <w:szCs w:val="28"/>
        </w:rPr>
        <w:t>Offres de la deuxième étape</w:t>
      </w:r>
    </w:p>
    <w:p w14:paraId="26732975" w14:textId="77777777" w:rsidR="007049A5" w:rsidRPr="004E4188" w:rsidRDefault="007049A5" w:rsidP="006C6267">
      <w:pPr>
        <w:spacing w:after="80"/>
        <w:rPr>
          <w:b/>
          <w:bCs/>
        </w:rPr>
      </w:pPr>
    </w:p>
    <w:p w14:paraId="2B0A3CEE" w14:textId="3E3AD6A2" w:rsidR="007049A5" w:rsidRPr="004E4188" w:rsidRDefault="003F6D42" w:rsidP="003F6D42">
      <w:pPr>
        <w:pStyle w:val="ListParagraph1"/>
        <w:snapToGrid w:val="0"/>
        <w:ind w:left="851" w:hanging="851"/>
        <w:contextualSpacing w:val="0"/>
        <w:jc w:val="left"/>
        <w:rPr>
          <w:b/>
          <w:sz w:val="30"/>
          <w:szCs w:val="30"/>
          <w:lang w:val="fr-FR" w:eastAsia="ja-JP"/>
        </w:rPr>
      </w:pPr>
      <w:r w:rsidRPr="004E4188">
        <w:rPr>
          <w:b/>
          <w:sz w:val="30"/>
          <w:szCs w:val="30"/>
          <w:lang w:val="fr-FR"/>
        </w:rPr>
        <w:t>1</w:t>
      </w:r>
      <w:r w:rsidR="0075268B" w:rsidRPr="004E4188">
        <w:rPr>
          <w:b/>
          <w:sz w:val="30"/>
          <w:szCs w:val="30"/>
          <w:lang w:val="fr-FR"/>
        </w:rPr>
        <w:t>.</w:t>
      </w:r>
      <w:r w:rsidRPr="004E4188">
        <w:rPr>
          <w:b/>
          <w:sz w:val="30"/>
          <w:szCs w:val="30"/>
          <w:lang w:val="fr-FR"/>
        </w:rPr>
        <w:tab/>
      </w:r>
      <w:r w:rsidR="007049A5" w:rsidRPr="004E4188">
        <w:rPr>
          <w:b/>
          <w:sz w:val="30"/>
          <w:szCs w:val="30"/>
          <w:lang w:val="fr-FR"/>
        </w:rPr>
        <w:t>Évaluation</w:t>
      </w:r>
    </w:p>
    <w:p w14:paraId="42D03E9E" w14:textId="77777777" w:rsidR="007049A5" w:rsidRPr="004E4188" w:rsidRDefault="007049A5" w:rsidP="006C6267">
      <w:pPr>
        <w:pStyle w:val="ListParagraph1"/>
        <w:snapToGrid w:val="0"/>
        <w:contextualSpacing w:val="0"/>
        <w:jc w:val="left"/>
        <w:rPr>
          <w:b/>
          <w:sz w:val="30"/>
          <w:szCs w:val="30"/>
          <w:lang w:val="fr-FR"/>
        </w:rPr>
      </w:pPr>
    </w:p>
    <w:p w14:paraId="49FF0A2A" w14:textId="66142E48" w:rsidR="007049A5" w:rsidRPr="004E4188" w:rsidRDefault="007049A5" w:rsidP="003D46CF">
      <w:pPr>
        <w:pStyle w:val="ListParagraph1"/>
        <w:numPr>
          <w:ilvl w:val="1"/>
          <w:numId w:val="55"/>
        </w:numPr>
        <w:tabs>
          <w:tab w:val="clear" w:pos="420"/>
        </w:tabs>
        <w:ind w:left="851" w:hanging="851"/>
        <w:jc w:val="left"/>
        <w:rPr>
          <w:b/>
          <w:sz w:val="28"/>
          <w:szCs w:val="28"/>
          <w:lang w:val="fr-FR" w:eastAsia="ja-JP"/>
        </w:rPr>
      </w:pPr>
      <w:r w:rsidRPr="004E4188">
        <w:rPr>
          <w:b/>
          <w:sz w:val="28"/>
          <w:szCs w:val="28"/>
        </w:rPr>
        <w:t>Évaluatio</w:t>
      </w:r>
      <w:r w:rsidRPr="004E4188">
        <w:rPr>
          <w:b/>
          <w:sz w:val="28"/>
          <w:szCs w:val="28"/>
          <w:lang w:val="fr-FR" w:eastAsia="ja-JP"/>
        </w:rPr>
        <w:t>n technique</w:t>
      </w:r>
    </w:p>
    <w:p w14:paraId="5835D422" w14:textId="77777777" w:rsidR="007049A5" w:rsidRPr="004E4188" w:rsidRDefault="007049A5" w:rsidP="006C6267">
      <w:pPr>
        <w:tabs>
          <w:tab w:val="left" w:pos="720"/>
        </w:tabs>
        <w:spacing w:after="120"/>
        <w:ind w:left="851"/>
      </w:pPr>
      <w:r w:rsidRPr="004E4188">
        <w:t>L’évaluation des offres de la deuxième étape comporte les étapes suivantes :</w:t>
      </w:r>
    </w:p>
    <w:p w14:paraId="24180541" w14:textId="4E544B25" w:rsidR="007049A5" w:rsidRPr="004E4188" w:rsidRDefault="007049A5" w:rsidP="006C6267">
      <w:pPr>
        <w:widowControl w:val="0"/>
        <w:tabs>
          <w:tab w:val="left" w:pos="1418"/>
        </w:tabs>
        <w:spacing w:after="60" w:line="0" w:lineRule="atLeast"/>
        <w:ind w:left="1418" w:hanging="567"/>
        <w:rPr>
          <w:szCs w:val="24"/>
        </w:rPr>
      </w:pPr>
      <w:r w:rsidRPr="004E4188">
        <w:rPr>
          <w:szCs w:val="24"/>
        </w:rPr>
        <w:t>(a)</w:t>
      </w:r>
      <w:r w:rsidRPr="004E4188">
        <w:rPr>
          <w:szCs w:val="24"/>
        </w:rPr>
        <w:tab/>
        <w:t>La confirmation des qualifications du Soumissionnaire à exécuter le Marché de manière satisfaisante conformément à IS</w:t>
      </w:r>
      <w:r w:rsidR="001D244F" w:rsidRPr="004E4188">
        <w:t> </w:t>
      </w:r>
      <w:r w:rsidRPr="004E4188">
        <w:rPr>
          <w:szCs w:val="24"/>
        </w:rPr>
        <w:t>43. Les critères de qualification à considérer sont détaillés plus bas à l’Article 2 (</w:t>
      </w:r>
      <w:r w:rsidRPr="004E4188">
        <w:rPr>
          <w:i/>
          <w:szCs w:val="24"/>
        </w:rPr>
        <w:t>Qualification</w:t>
      </w:r>
      <w:r w:rsidRPr="004E4188">
        <w:rPr>
          <w:szCs w:val="24"/>
        </w:rPr>
        <w:t>).</w:t>
      </w:r>
    </w:p>
    <w:p w14:paraId="488E4D7A" w14:textId="77777777" w:rsidR="007049A5" w:rsidRPr="004E4188" w:rsidRDefault="007049A5" w:rsidP="006C6267">
      <w:pPr>
        <w:widowControl w:val="0"/>
        <w:tabs>
          <w:tab w:val="left" w:pos="1418"/>
        </w:tabs>
        <w:spacing w:after="60" w:line="0" w:lineRule="atLeast"/>
        <w:ind w:left="1418" w:hanging="567"/>
        <w:rPr>
          <w:szCs w:val="24"/>
        </w:rPr>
      </w:pPr>
      <w:r w:rsidRPr="004E4188">
        <w:rPr>
          <w:szCs w:val="24"/>
        </w:rPr>
        <w:t>(b)</w:t>
      </w:r>
      <w:r w:rsidRPr="004E4188">
        <w:rPr>
          <w:szCs w:val="24"/>
        </w:rPr>
        <w:tab/>
        <w:t xml:space="preserve">La vérification </w:t>
      </w:r>
      <w:r w:rsidRPr="004E4188">
        <w:rPr>
          <w:rFonts w:hint="eastAsia"/>
          <w:szCs w:val="24"/>
        </w:rPr>
        <w:t xml:space="preserve">que </w:t>
      </w:r>
      <w:r w:rsidRPr="004E4188">
        <w:rPr>
          <w:szCs w:val="24"/>
        </w:rPr>
        <w:t>l’</w:t>
      </w:r>
      <w:r w:rsidRPr="004E4188">
        <w:rPr>
          <w:rFonts w:hint="eastAsia"/>
        </w:rPr>
        <w:t>o</w:t>
      </w:r>
      <w:r w:rsidRPr="004E4188">
        <w:t xml:space="preserve">ffre de la deuxième </w:t>
      </w:r>
      <w:r w:rsidRPr="004E4188">
        <w:rPr>
          <w:szCs w:val="24"/>
        </w:rPr>
        <w:t xml:space="preserve">étape est substantiellement conforme telle que définie à IS 44. Les critères d’évaluation à considérer sont décrits ci-dessous. </w:t>
      </w:r>
    </w:p>
    <w:p w14:paraId="163F2A5F" w14:textId="77777777" w:rsidR="007049A5" w:rsidRPr="004E4188" w:rsidRDefault="007049A5" w:rsidP="006C6267">
      <w:pPr>
        <w:spacing w:after="120"/>
        <w:ind w:left="1418"/>
        <w:rPr>
          <w:szCs w:val="24"/>
        </w:rPr>
      </w:pPr>
      <w:r w:rsidRPr="004E4188">
        <w:rPr>
          <w:szCs w:val="24"/>
        </w:rPr>
        <w:t>Cette étape comprend, entre autres, une évaluation de la conformité de la Proposition technique présentée par le Soumissionnaire, au cours de laquelle les capacités techniques du Soumissionnaire à terminer les Installations seront vérifiées sous l’angle des points exposés ci-après.</w:t>
      </w:r>
      <w:r w:rsidRPr="004E4188">
        <w:t xml:space="preserve"> Sur la base de cette évaluation, le Maître d’ouvrage déterminera si la Proposition technique est substantiellement conforme aux exigences définies à la Section VI, Exigences du Maître d’</w:t>
      </w:r>
      <w:r w:rsidRPr="004E4188">
        <w:rPr>
          <w:rFonts w:hint="eastAsia"/>
        </w:rPr>
        <w:t>o</w:t>
      </w:r>
      <w:r w:rsidRPr="004E4188">
        <w:t>uvrage.</w:t>
      </w:r>
    </w:p>
    <w:p w14:paraId="10494B51" w14:textId="385A7B6B" w:rsidR="007049A5" w:rsidRPr="004E4188" w:rsidRDefault="007049A5" w:rsidP="006C6267">
      <w:pPr>
        <w:widowControl w:val="0"/>
        <w:tabs>
          <w:tab w:val="left" w:pos="1418"/>
        </w:tabs>
        <w:spacing w:after="60" w:line="0" w:lineRule="atLeast"/>
        <w:ind w:left="1985" w:hanging="567"/>
        <w:rPr>
          <w:szCs w:val="24"/>
        </w:rPr>
      </w:pPr>
      <w:r w:rsidRPr="004E4188">
        <w:rPr>
          <w:szCs w:val="24"/>
        </w:rPr>
        <w:t>(i)</w:t>
      </w:r>
      <w:r w:rsidRPr="004E4188">
        <w:rPr>
          <w:szCs w:val="24"/>
        </w:rPr>
        <w:tab/>
      </w:r>
      <w:r w:rsidRPr="004E4188">
        <w:t>Son exhaustivité générale et concordance avec les Exigences du Maître d’ouvrage</w:t>
      </w:r>
      <w:r w:rsidRPr="004E4188">
        <w:rPr>
          <w:rFonts w:hint="eastAsia"/>
        </w:rPr>
        <w:t xml:space="preserve"> </w:t>
      </w:r>
      <w:r w:rsidRPr="004E4188">
        <w:t>et le mémorandum intitulé «</w:t>
      </w:r>
      <w:r w:rsidR="004B5AF1" w:rsidRPr="004E4188">
        <w:t> </w:t>
      </w:r>
      <w:r w:rsidRPr="004E4188">
        <w:t>Modifications requises suite à l’évaluation des offres de la première étape ».</w:t>
      </w:r>
    </w:p>
    <w:p w14:paraId="66DB1CDE" w14:textId="7D3159A2" w:rsidR="007049A5" w:rsidRPr="004E4188" w:rsidRDefault="007049A5" w:rsidP="006C6267">
      <w:pPr>
        <w:widowControl w:val="0"/>
        <w:tabs>
          <w:tab w:val="left" w:pos="1418"/>
        </w:tabs>
        <w:spacing w:after="60" w:line="0" w:lineRule="atLeast"/>
        <w:ind w:left="1985" w:hanging="567"/>
        <w:rPr>
          <w:szCs w:val="24"/>
        </w:rPr>
      </w:pPr>
      <w:r w:rsidRPr="004E4188">
        <w:rPr>
          <w:szCs w:val="24"/>
        </w:rPr>
        <w:t>(ii)</w:t>
      </w:r>
      <w:r w:rsidRPr="004E4188">
        <w:rPr>
          <w:szCs w:val="24"/>
        </w:rPr>
        <w:tab/>
      </w:r>
      <w:r w:rsidRPr="004E4188">
        <w:rPr>
          <w:rFonts w:cs="HBKMBP+TimesNewRoman"/>
          <w:color w:val="000000"/>
          <w:szCs w:val="24"/>
        </w:rPr>
        <w:t>La conformité des</w:t>
      </w:r>
      <w:r w:rsidRPr="004E4188">
        <w:rPr>
          <w:szCs w:val="24"/>
        </w:rPr>
        <w:t xml:space="preserve"> É</w:t>
      </w:r>
      <w:r w:rsidRPr="004E4188">
        <w:t xml:space="preserve">quipements et Services de montage </w:t>
      </w:r>
      <w:r w:rsidRPr="004E4188">
        <w:rPr>
          <w:rFonts w:cs="HBKMBP+TimesNewRoman"/>
          <w:color w:val="000000"/>
          <w:szCs w:val="24"/>
        </w:rPr>
        <w:t>avec</w:t>
      </w:r>
      <w:r w:rsidRPr="004E4188">
        <w:rPr>
          <w:color w:val="FF0000"/>
          <w:szCs w:val="24"/>
        </w:rPr>
        <w:t xml:space="preserve"> </w:t>
      </w:r>
      <w:r w:rsidRPr="004E4188">
        <w:rPr>
          <w:rFonts w:cs="HBKMBP+TimesNewRoman"/>
          <w:color w:val="000000"/>
          <w:szCs w:val="24"/>
        </w:rPr>
        <w:t xml:space="preserve">les critères de performance demandés, y compris avec les niveaux minimaux (ou maximaux, le cas échéant) acceptables spécifiés correspondant à chaque garantie opérationnelle comme indiqué dans les </w:t>
      </w:r>
      <w:r w:rsidRPr="004E4188">
        <w:t>Exigences du Maître d’</w:t>
      </w:r>
      <w:r w:rsidRPr="004E4188">
        <w:rPr>
          <w:rFonts w:hint="eastAsia"/>
        </w:rPr>
        <w:t>o</w:t>
      </w:r>
      <w:r w:rsidRPr="004E4188">
        <w:t>uvrage</w:t>
      </w:r>
      <w:r w:rsidR="00FC23E1" w:rsidRPr="004E4188">
        <w:rPr>
          <w:rFonts w:cs="HBKMBP+TimesNewRoman"/>
          <w:color w:val="000000"/>
          <w:szCs w:val="24"/>
        </w:rPr>
        <w:t xml:space="preserve"> et à cette </w:t>
      </w:r>
      <w:r w:rsidR="00FC23E1" w:rsidRPr="004E4188">
        <w:rPr>
          <w:rFonts w:cs="HBKMBP+TimesNewRoman" w:hint="eastAsia"/>
          <w:color w:val="000000"/>
          <w:szCs w:val="24"/>
          <w:lang w:eastAsia="ja-JP"/>
        </w:rPr>
        <w:t>s</w:t>
      </w:r>
      <w:r w:rsidRPr="004E4188">
        <w:rPr>
          <w:rFonts w:cs="HBKMBP+TimesNewRoman"/>
          <w:color w:val="000000"/>
          <w:szCs w:val="24"/>
        </w:rPr>
        <w:t>ection</w:t>
      </w:r>
      <w:r w:rsidRPr="004E4188">
        <w:rPr>
          <w:szCs w:val="24"/>
        </w:rPr>
        <w:t>.</w:t>
      </w:r>
    </w:p>
    <w:p w14:paraId="7EEF648F" w14:textId="22862C2D" w:rsidR="007049A5" w:rsidRPr="004E4188" w:rsidRDefault="007049A5" w:rsidP="006C6267">
      <w:pPr>
        <w:widowControl w:val="0"/>
        <w:tabs>
          <w:tab w:val="left" w:pos="1418"/>
        </w:tabs>
        <w:spacing w:after="60" w:line="0" w:lineRule="atLeast"/>
        <w:ind w:left="1985" w:hanging="567"/>
        <w:rPr>
          <w:szCs w:val="24"/>
        </w:rPr>
      </w:pPr>
      <w:r w:rsidRPr="004E4188">
        <w:rPr>
          <w:szCs w:val="24"/>
        </w:rPr>
        <w:t>(iii)</w:t>
      </w:r>
      <w:r w:rsidRPr="004E4188">
        <w:rPr>
          <w:szCs w:val="24"/>
        </w:rPr>
        <w:tab/>
      </w:r>
      <w:r w:rsidRPr="004E4188">
        <w:rPr>
          <w:rFonts w:cs="HBKMBP+TimesNewRoman"/>
          <w:color w:val="000000"/>
          <w:szCs w:val="24"/>
        </w:rPr>
        <w:t xml:space="preserve">La compatibilité des </w:t>
      </w:r>
      <w:r w:rsidRPr="004E4188">
        <w:rPr>
          <w:szCs w:val="24"/>
        </w:rPr>
        <w:t>É</w:t>
      </w:r>
      <w:r w:rsidRPr="004E4188">
        <w:t xml:space="preserve">quipements et Services de montage </w:t>
      </w:r>
      <w:r w:rsidRPr="004E4188">
        <w:rPr>
          <w:rFonts w:cs="HBKMBP+TimesNewRoman"/>
          <w:color w:val="000000"/>
          <w:szCs w:val="24"/>
        </w:rPr>
        <w:t>avec la protection de l’environnement et les conditions climatiques prévalant sur le site</w:t>
      </w:r>
      <w:r w:rsidRPr="004E4188">
        <w:rPr>
          <w:szCs w:val="24"/>
        </w:rPr>
        <w:t xml:space="preserve">. </w:t>
      </w:r>
    </w:p>
    <w:p w14:paraId="40F1C214"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 xml:space="preserve">(iv) </w:t>
      </w:r>
      <w:r w:rsidRPr="004E4188">
        <w:rPr>
          <w:szCs w:val="24"/>
        </w:rPr>
        <w:tab/>
      </w:r>
      <w:r w:rsidRPr="004E4188">
        <w:rPr>
          <w:rFonts w:cs="HBKMBP+TimesNewRoman"/>
          <w:color w:val="000000"/>
          <w:szCs w:val="24"/>
        </w:rPr>
        <w:t>La qualité, le rôle et la mise en œuvre de tout procédé de contrôle proposé dans l</w:t>
      </w:r>
      <w:r w:rsidRPr="004E4188">
        <w:rPr>
          <w:spacing w:val="-4"/>
        </w:rPr>
        <w:t>’offre</w:t>
      </w:r>
      <w:r w:rsidRPr="004E4188">
        <w:rPr>
          <w:szCs w:val="24"/>
        </w:rPr>
        <w:t>.</w:t>
      </w:r>
    </w:p>
    <w:p w14:paraId="15AF441F"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(v)</w:t>
      </w:r>
      <w:r w:rsidRPr="004E4188">
        <w:rPr>
          <w:szCs w:val="24"/>
        </w:rPr>
        <w:tab/>
        <w:t xml:space="preserve">Le </w:t>
      </w:r>
      <w:r w:rsidRPr="004E4188">
        <w:rPr>
          <w:spacing w:val="-4"/>
        </w:rPr>
        <w:t>type, la quantité, et la disponibilité à long terme des pièces de rechange obligatoires et recommandées, ainsi que les services de maintenance</w:t>
      </w:r>
      <w:r w:rsidRPr="004E4188">
        <w:rPr>
          <w:szCs w:val="24"/>
        </w:rPr>
        <w:t>.</w:t>
      </w:r>
    </w:p>
    <w:p w14:paraId="7FD51E58"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(vi)</w:t>
      </w:r>
      <w:r w:rsidRPr="004E4188">
        <w:rPr>
          <w:szCs w:val="24"/>
        </w:rPr>
        <w:tab/>
        <w:t>La mobilisation des équipements principaux de construction et du personnel clé nécessaire à l’exécution des É</w:t>
      </w:r>
      <w:r w:rsidRPr="004E4188">
        <w:t>quipements et Services de montage</w:t>
      </w:r>
      <w:r w:rsidRPr="004E4188">
        <w:rPr>
          <w:szCs w:val="24"/>
        </w:rPr>
        <w:t>.</w:t>
      </w:r>
    </w:p>
    <w:p w14:paraId="2DFA01F1"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(vii)</w:t>
      </w:r>
      <w:r w:rsidRPr="004E4188">
        <w:rPr>
          <w:szCs w:val="24"/>
        </w:rPr>
        <w:tab/>
        <w:t>L’affectation appropriée du personnel pour superviser et contrôler de manière adéquate l’exécution des É</w:t>
      </w:r>
      <w:r w:rsidRPr="004E4188">
        <w:t>quipements et Services de montage</w:t>
      </w:r>
      <w:r w:rsidRPr="004E4188">
        <w:rPr>
          <w:szCs w:val="24"/>
        </w:rPr>
        <w:t>.</w:t>
      </w:r>
    </w:p>
    <w:p w14:paraId="6B294AA6" w14:textId="58176FDE" w:rsidR="007049A5" w:rsidRPr="004E4188" w:rsidRDefault="007049A5" w:rsidP="006C6267">
      <w:pPr>
        <w:widowControl w:val="0"/>
        <w:tabs>
          <w:tab w:val="left" w:pos="1418"/>
        </w:tabs>
        <w:spacing w:after="60" w:line="0" w:lineRule="atLeast"/>
        <w:ind w:left="1985" w:hanging="567"/>
        <w:rPr>
          <w:szCs w:val="24"/>
        </w:rPr>
      </w:pPr>
      <w:r w:rsidRPr="004E4188">
        <w:rPr>
          <w:szCs w:val="24"/>
        </w:rPr>
        <w:t>(viii)</w:t>
      </w:r>
      <w:r w:rsidRPr="004E4188">
        <w:rPr>
          <w:szCs w:val="24"/>
        </w:rPr>
        <w:tab/>
        <w:t>La p</w:t>
      </w:r>
      <w:r w:rsidRPr="004E4188">
        <w:rPr>
          <w:rFonts w:hint="eastAsia"/>
          <w:szCs w:val="24"/>
        </w:rPr>
        <w:t>lanification</w:t>
      </w:r>
      <w:r w:rsidRPr="004E4188">
        <w:rPr>
          <w:szCs w:val="24"/>
        </w:rPr>
        <w:t xml:space="preserve"> et la programmation de toutes les activités de manière à ce que les Installations soient achevés à temps et répondent à toutes les exigences du Marché, principalement </w:t>
      </w:r>
      <w:r w:rsidRPr="004E4188">
        <w:rPr>
          <w:rFonts w:cs="HBKMBP+TimesNewRoman"/>
          <w:szCs w:val="24"/>
        </w:rPr>
        <w:t xml:space="preserve">le respect du </w:t>
      </w:r>
      <w:r w:rsidRPr="004E4188">
        <w:rPr>
          <w:rFonts w:cs="HBKMBP+TimesNewRoman"/>
          <w:szCs w:val="24"/>
          <w:lang w:eastAsia="en-US"/>
        </w:rPr>
        <w:t>calendrier d’exécution indiqué</w:t>
      </w:r>
      <w:r w:rsidRPr="004E4188">
        <w:rPr>
          <w:rFonts w:cs="HBKMBP+TimesNewRoman"/>
          <w:szCs w:val="24"/>
        </w:rPr>
        <w:t xml:space="preserve"> dans l</w:t>
      </w:r>
      <w:r w:rsidR="00F80B1F" w:rsidRPr="004E4188">
        <w:rPr>
          <w:rFonts w:cs="HBKMBP+TimesNewRoman"/>
          <w:szCs w:val="24"/>
        </w:rPr>
        <w:t>’</w:t>
      </w:r>
      <w:r w:rsidRPr="004E4188">
        <w:rPr>
          <w:rFonts w:cs="HBKMBP+TimesNewRoman"/>
          <w:szCs w:val="24"/>
        </w:rPr>
        <w:t xml:space="preserve">Annexe correspondante de l’Acte d’engagement, et </w:t>
      </w:r>
      <w:r w:rsidRPr="004E4188">
        <w:t>documenté par</w:t>
      </w:r>
      <w:r w:rsidRPr="004E4188">
        <w:rPr>
          <w:rFonts w:cs="HBKMBP+TimesNewRoman"/>
          <w:szCs w:val="24"/>
          <w:lang w:eastAsia="en-US"/>
        </w:rPr>
        <w:t xml:space="preserve"> un planning des phases</w:t>
      </w:r>
      <w:r w:rsidRPr="004E4188">
        <w:t xml:space="preserve"> d’exécution fourni dans la Proposition technique</w:t>
      </w:r>
      <w:r w:rsidRPr="004E4188">
        <w:rPr>
          <w:szCs w:val="24"/>
        </w:rPr>
        <w:t>.</w:t>
      </w:r>
    </w:p>
    <w:p w14:paraId="2A21A2D0"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(ix)</w:t>
      </w:r>
      <w:r w:rsidRPr="004E4188">
        <w:rPr>
          <w:szCs w:val="24"/>
        </w:rPr>
        <w:tab/>
        <w:t>L’exécution des É</w:t>
      </w:r>
      <w:r w:rsidRPr="004E4188">
        <w:t>quipements et Services de montage</w:t>
      </w:r>
      <w:r w:rsidRPr="004E4188">
        <w:rPr>
          <w:szCs w:val="24"/>
        </w:rPr>
        <w:t xml:space="preserve"> en pleine conformité avec toutes les exigences du Marché, incluant, mais sans s’y limiter, les méthodes de travail, l’approvisionnement en matériaux, etc.</w:t>
      </w:r>
    </w:p>
    <w:p w14:paraId="676FDD9A"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(x)</w:t>
      </w:r>
      <w:r w:rsidRPr="004E4188">
        <w:rPr>
          <w:szCs w:val="24"/>
        </w:rPr>
        <w:tab/>
        <w:t>L’exécution de toutes les opérations pour les É</w:t>
      </w:r>
      <w:r w:rsidRPr="004E4188">
        <w:t>quipements et Services de montage</w:t>
      </w:r>
      <w:r w:rsidRPr="004E4188">
        <w:rPr>
          <w:szCs w:val="24"/>
        </w:rPr>
        <w:t xml:space="preserve"> en toute sécurité et dans le respect de l’environnement.</w:t>
      </w:r>
    </w:p>
    <w:p w14:paraId="49954732"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(xi)</w:t>
      </w:r>
      <w:r w:rsidRPr="004E4188">
        <w:rPr>
          <w:spacing w:val="-2"/>
        </w:rPr>
        <w:t xml:space="preserve"> </w:t>
      </w:r>
      <w:r w:rsidRPr="004E4188">
        <w:rPr>
          <w:spacing w:val="-2"/>
        </w:rPr>
        <w:tab/>
      </w:r>
      <w:r w:rsidRPr="004E4188">
        <w:rPr>
          <w:szCs w:val="24"/>
        </w:rPr>
        <w:t xml:space="preserve">La conformité des sous-traitants proposés pour les </w:t>
      </w:r>
      <w:r w:rsidRPr="004E4188">
        <w:t>élément</w:t>
      </w:r>
      <w:r w:rsidRPr="004E4188">
        <w:rPr>
          <w:rFonts w:hint="eastAsia"/>
          <w:lang w:eastAsia="ja-JP"/>
        </w:rPr>
        <w:t>s</w:t>
      </w:r>
      <w:r w:rsidRPr="004E4188">
        <w:rPr>
          <w:szCs w:val="24"/>
        </w:rPr>
        <w:t xml:space="preserve"> </w:t>
      </w:r>
      <w:r w:rsidRPr="004E4188">
        <w:rPr>
          <w:rFonts w:hint="eastAsia"/>
          <w:szCs w:val="24"/>
        </w:rPr>
        <w:t>é</w:t>
      </w:r>
      <w:r w:rsidRPr="004E4188">
        <w:rPr>
          <w:szCs w:val="24"/>
        </w:rPr>
        <w:t>numérés à l’Article</w:t>
      </w:r>
      <w:r w:rsidRPr="004E4188">
        <w:rPr>
          <w:rFonts w:cs="HBKMBP+TimesNewRoman"/>
          <w:color w:val="000000"/>
          <w:szCs w:val="24"/>
        </w:rPr>
        <w:t xml:space="preserve"> 1.1.3 dans </w:t>
      </w:r>
      <w:r w:rsidRPr="004E4188">
        <w:rPr>
          <w:szCs w:val="24"/>
        </w:rPr>
        <w:t>l’offre de la première étape</w:t>
      </w:r>
      <w:r w:rsidRPr="004E4188">
        <w:rPr>
          <w:rFonts w:cs="HBKMBP+TimesNewRoman"/>
          <w:color w:val="000000"/>
          <w:szCs w:val="24"/>
        </w:rPr>
        <w:t>, le cas échéant</w:t>
      </w:r>
      <w:r w:rsidRPr="004E4188">
        <w:rPr>
          <w:szCs w:val="24"/>
        </w:rPr>
        <w:t>.</w:t>
      </w:r>
    </w:p>
    <w:p w14:paraId="7ED9125E" w14:textId="77777777" w:rsidR="007049A5" w:rsidRPr="004E4188" w:rsidRDefault="007049A5" w:rsidP="006C6267">
      <w:pPr>
        <w:ind w:left="851"/>
        <w:jc w:val="left"/>
        <w:rPr>
          <w:b/>
          <w:bCs/>
          <w:lang w:eastAsia="ja-JP"/>
        </w:rPr>
      </w:pPr>
    </w:p>
    <w:p w14:paraId="68A28BBE" w14:textId="77777777" w:rsidR="007049A5" w:rsidRPr="004E4188" w:rsidRDefault="007049A5" w:rsidP="006C6267">
      <w:pPr>
        <w:ind w:left="851"/>
        <w:rPr>
          <w:lang w:eastAsia="ja-JP"/>
        </w:rPr>
      </w:pPr>
      <w:r w:rsidRPr="004E4188">
        <w:rPr>
          <w:rFonts w:cs="HBKMBP+TimesNewRoman"/>
          <w:color w:val="000000"/>
          <w:szCs w:val="24"/>
        </w:rPr>
        <w:t xml:space="preserve">Une offre qui ne satisfait pas aux exigences minimales acceptables en matière d’exhaustivité, de cohérence et de précision, ainsi qu’aux </w:t>
      </w:r>
      <w:r w:rsidRPr="004E4188">
        <w:rPr>
          <w:rFonts w:cs="HBKMBP+TimesNewRoman"/>
          <w:szCs w:val="24"/>
        </w:rPr>
        <w:t>niveaux</w:t>
      </w:r>
      <w:r w:rsidRPr="004E4188">
        <w:rPr>
          <w:rFonts w:cs="HBKMBP+TimesNewRoman"/>
          <w:color w:val="FF0000"/>
          <w:szCs w:val="24"/>
        </w:rPr>
        <w:t xml:space="preserve"> </w:t>
      </w:r>
      <w:r w:rsidRPr="004E4188">
        <w:rPr>
          <w:rFonts w:cs="HBKMBP+TimesNewRoman"/>
          <w:color w:val="000000"/>
          <w:szCs w:val="24"/>
        </w:rPr>
        <w:t xml:space="preserve">minimaux (ou maximaux, le cas échéant) acceptables spécifiés pour les garanties </w:t>
      </w:r>
      <w:r w:rsidRPr="004E4188">
        <w:rPr>
          <w:rFonts w:cs="HBKMBP+TimesNewRoman"/>
          <w:szCs w:val="24"/>
        </w:rPr>
        <w:t xml:space="preserve">opérationnelles </w:t>
      </w:r>
      <w:r w:rsidRPr="004E4188">
        <w:rPr>
          <w:rFonts w:cs="HBKMBP+TimesNewRoman"/>
          <w:color w:val="000000"/>
          <w:szCs w:val="24"/>
        </w:rPr>
        <w:t>requises, sera rejetée.</w:t>
      </w:r>
      <w:r w:rsidRPr="004E4188">
        <w:rPr>
          <w:lang w:eastAsia="ja-JP"/>
        </w:rPr>
        <w:t xml:space="preserve"> </w:t>
      </w:r>
    </w:p>
    <w:p w14:paraId="3ED7F1EF" w14:textId="77777777" w:rsidR="007049A5" w:rsidRPr="004E4188" w:rsidRDefault="007049A5" w:rsidP="006C6267">
      <w:pPr>
        <w:pStyle w:val="ListParagraph1"/>
        <w:snapToGrid w:val="0"/>
        <w:contextualSpacing w:val="0"/>
        <w:jc w:val="left"/>
        <w:rPr>
          <w:b/>
          <w:sz w:val="30"/>
          <w:szCs w:val="30"/>
          <w:lang w:val="fr-FR" w:eastAsia="ja-JP"/>
        </w:rPr>
      </w:pPr>
    </w:p>
    <w:p w14:paraId="7D69259A" w14:textId="77777777" w:rsidR="007049A5" w:rsidRPr="004E4188" w:rsidRDefault="007049A5" w:rsidP="003D46CF">
      <w:pPr>
        <w:pStyle w:val="ListParagraph1"/>
        <w:numPr>
          <w:ilvl w:val="1"/>
          <w:numId w:val="55"/>
        </w:numPr>
        <w:ind w:left="851" w:hanging="851"/>
        <w:jc w:val="left"/>
        <w:rPr>
          <w:b/>
          <w:sz w:val="28"/>
          <w:szCs w:val="28"/>
          <w:lang w:eastAsia="ja-JP"/>
        </w:rPr>
      </w:pPr>
      <w:r w:rsidRPr="004E4188">
        <w:rPr>
          <w:b/>
          <w:sz w:val="28"/>
          <w:szCs w:val="28"/>
          <w:lang w:val="fr-FR" w:eastAsia="ja-JP"/>
        </w:rPr>
        <w:tab/>
      </w:r>
      <w:r w:rsidRPr="004E4188">
        <w:rPr>
          <w:rFonts w:hint="eastAsia"/>
          <w:b/>
          <w:sz w:val="28"/>
          <w:szCs w:val="28"/>
        </w:rPr>
        <w:t>É</w:t>
      </w:r>
      <w:r w:rsidRPr="004E4188">
        <w:rPr>
          <w:b/>
          <w:sz w:val="28"/>
          <w:szCs w:val="28"/>
        </w:rPr>
        <w:t>valuation financière</w:t>
      </w:r>
    </w:p>
    <w:p w14:paraId="45D48599" w14:textId="10597E89" w:rsidR="007049A5" w:rsidRPr="004E4188" w:rsidRDefault="007049A5" w:rsidP="006C6267">
      <w:pPr>
        <w:ind w:left="851"/>
        <w:rPr>
          <w:lang w:eastAsia="ja-JP"/>
        </w:rPr>
      </w:pPr>
      <w:r w:rsidRPr="004E4188">
        <w:t xml:space="preserve">Outre les critères </w:t>
      </w:r>
      <w:r w:rsidR="004273A1" w:rsidRPr="004E4188">
        <w:t xml:space="preserve">indiqués </w:t>
      </w:r>
      <w:r w:rsidRPr="004E4188">
        <w:t xml:space="preserve">à IS </w:t>
      </w:r>
      <w:r w:rsidRPr="004E4188">
        <w:rPr>
          <w:lang w:eastAsia="ja-JP"/>
        </w:rPr>
        <w:t>48</w:t>
      </w:r>
      <w:r w:rsidRPr="004E4188">
        <w:t>.1(a) à (</w:t>
      </w:r>
      <w:r w:rsidRPr="004E4188">
        <w:rPr>
          <w:lang w:eastAsia="ja-JP"/>
        </w:rPr>
        <w:t>c</w:t>
      </w:r>
      <w:r w:rsidRPr="004E4188">
        <w:t>), (e) et (f), les éléments suivants seront évalués.</w:t>
      </w:r>
    </w:p>
    <w:p w14:paraId="051613C8" w14:textId="77777777" w:rsidR="007049A5" w:rsidRPr="004E4188" w:rsidRDefault="007049A5" w:rsidP="006C6267">
      <w:pPr>
        <w:pStyle w:val="ListParagraph1"/>
        <w:ind w:left="0"/>
        <w:jc w:val="left"/>
        <w:rPr>
          <w:b/>
          <w:sz w:val="28"/>
          <w:lang w:val="fr-FR" w:eastAsia="ja-JP"/>
        </w:rPr>
      </w:pPr>
    </w:p>
    <w:p w14:paraId="3B0180ED" w14:textId="77777777" w:rsidR="007049A5" w:rsidRPr="004E4188" w:rsidRDefault="007049A5" w:rsidP="003D46CF">
      <w:pPr>
        <w:numPr>
          <w:ilvl w:val="2"/>
          <w:numId w:val="55"/>
        </w:numPr>
        <w:tabs>
          <w:tab w:val="clear" w:pos="1260"/>
          <w:tab w:val="num" w:pos="851"/>
        </w:tabs>
        <w:suppressAutoHyphens w:val="0"/>
        <w:overflowPunct/>
        <w:autoSpaceDE/>
        <w:autoSpaceDN/>
        <w:adjustRightInd/>
        <w:ind w:left="851" w:hanging="851"/>
        <w:jc w:val="left"/>
        <w:textAlignment w:val="auto"/>
        <w:rPr>
          <w:bCs/>
          <w:lang w:val="en-US"/>
        </w:rPr>
      </w:pPr>
      <w:bookmarkStart w:id="442" w:name="_Hlk510192697"/>
      <w:r w:rsidRPr="004E4188">
        <w:rPr>
          <w:b/>
          <w:szCs w:val="24"/>
          <w:lang w:val="en-US" w:eastAsia="ja-JP"/>
        </w:rPr>
        <w:t>A</w:t>
      </w:r>
      <w:r w:rsidRPr="004E4188">
        <w:rPr>
          <w:b/>
          <w:lang w:val="en-US"/>
        </w:rPr>
        <w:t xml:space="preserve">utre(s) critère(s) d’évaluation (IS </w:t>
      </w:r>
      <w:r w:rsidRPr="004E4188">
        <w:rPr>
          <w:b/>
          <w:szCs w:val="24"/>
          <w:lang w:val="en-US" w:eastAsia="ja-JP"/>
        </w:rPr>
        <w:t>48.1(d))</w:t>
      </w:r>
    </w:p>
    <w:p w14:paraId="43BBD073" w14:textId="77777777" w:rsidR="007049A5" w:rsidRPr="004E4188" w:rsidRDefault="007049A5" w:rsidP="006C6267">
      <w:pPr>
        <w:ind w:left="851"/>
        <w:jc w:val="left"/>
        <w:rPr>
          <w:bCs/>
          <w:iCs/>
        </w:rPr>
      </w:pPr>
      <w:r w:rsidRPr="004E4188">
        <w:rPr>
          <w:bCs/>
          <w:iCs/>
        </w:rPr>
        <w:t>L</w:t>
      </w:r>
      <w:r w:rsidRPr="004E4188">
        <w:t>es facteurs et méthodologies d’évaluation suivants seront utilisés, conformément à</w:t>
      </w:r>
      <w:r w:rsidRPr="004E4188">
        <w:rPr>
          <w:bCs/>
          <w:iCs/>
          <w:lang w:eastAsia="ja-JP"/>
        </w:rPr>
        <w:t xml:space="preserve"> IS 48.1(d) </w:t>
      </w:r>
      <w:r w:rsidRPr="004E4188">
        <w:rPr>
          <w:bCs/>
          <w:iCs/>
        </w:rPr>
        <w:t>:</w:t>
      </w:r>
    </w:p>
    <w:p w14:paraId="1738A924" w14:textId="77777777" w:rsidR="007049A5" w:rsidRPr="004E4188" w:rsidRDefault="007049A5" w:rsidP="006C6267">
      <w:pPr>
        <w:ind w:left="709" w:right="-72"/>
      </w:pPr>
    </w:p>
    <w:p w14:paraId="73BD89FD" w14:textId="77777777" w:rsidR="007049A5" w:rsidRPr="004E4188" w:rsidRDefault="007049A5" w:rsidP="006C6267">
      <w:pPr>
        <w:pStyle w:val="ac"/>
        <w:ind w:leftChars="227" w:left="545" w:firstLineChars="152" w:firstLine="366"/>
        <w:rPr>
          <w:b/>
          <w:sz w:val="24"/>
          <w:szCs w:val="24"/>
        </w:rPr>
      </w:pPr>
      <w:r w:rsidRPr="004E4188">
        <w:rPr>
          <w:b/>
          <w:sz w:val="24"/>
          <w:szCs w:val="24"/>
        </w:rPr>
        <w:t>(a)</w:t>
      </w:r>
      <w:r w:rsidRPr="004E4188">
        <w:rPr>
          <w:b/>
          <w:sz w:val="24"/>
          <w:szCs w:val="24"/>
        </w:rPr>
        <w:tab/>
        <w:t xml:space="preserve">Coûts d’exploitation et de maintenance </w:t>
      </w:r>
    </w:p>
    <w:p w14:paraId="4963ACCA" w14:textId="77777777" w:rsidR="007049A5" w:rsidRPr="004E4188" w:rsidRDefault="007049A5" w:rsidP="006C6267">
      <w:pPr>
        <w:widowControl w:val="0"/>
        <w:spacing w:line="0" w:lineRule="atLeast"/>
        <w:ind w:left="1440"/>
      </w:pPr>
      <w:r w:rsidRPr="004E4188">
        <w:t>[</w:t>
      </w:r>
      <w:r w:rsidRPr="004E4188">
        <w:rPr>
          <w:rFonts w:eastAsiaTheme="minorEastAsia"/>
          <w:i/>
          <w:kern w:val="2"/>
          <w:szCs w:val="24"/>
          <w:lang w:eastAsia="ja-JP"/>
        </w:rPr>
        <w:t>Si les coûts d’exploitation et de maintenance sont pris en considération lors de l’évaluation, insérer ce qui suit. Sinon, supprimer les dispositions ci-dessous et indiquer à la place « Sans objet ».</w:t>
      </w:r>
      <w:r w:rsidRPr="004E4188">
        <w:t>]</w:t>
      </w:r>
    </w:p>
    <w:bookmarkEnd w:id="442"/>
    <w:p w14:paraId="3AB40739" w14:textId="77777777" w:rsidR="007049A5" w:rsidRPr="004E4188" w:rsidRDefault="007049A5" w:rsidP="00F80B1F">
      <w:pPr>
        <w:ind w:left="1440"/>
      </w:pPr>
    </w:p>
    <w:p w14:paraId="292CF610" w14:textId="1F0C5CAD" w:rsidR="007049A5" w:rsidRPr="004E4188" w:rsidRDefault="007049A5" w:rsidP="006C6267">
      <w:pPr>
        <w:spacing w:afterLines="50" w:after="120"/>
        <w:ind w:left="1440"/>
        <w:rPr>
          <w:szCs w:val="24"/>
        </w:rPr>
      </w:pPr>
      <w:r w:rsidRPr="004E4188">
        <w:rPr>
          <w:szCs w:val="24"/>
        </w:rPr>
        <w:t>Puisque les coûts d’exploitation et de maintenance des Installations faisant l’objet du Marché représentent une part importante du coût du cycle de vie des Installations, ces coûts seront évalués selon les principes donnés ci-après, en incluant le coût des pièces de rechange pendant la période de fonctionnement initiale précisée ci-après, et en prenant en compte les prix fournis par chaque Soumissionnaire dans les Bordereaux des prix, ainsi que l’expérience passée du Maître d’ouvrage ou d’autres maîtres d’ouvrage ayant l’expérience de projets similaires. Ces coûts seront ajoutés au Montant de l’offre pour l’évaluation.</w:t>
      </w:r>
    </w:p>
    <w:p w14:paraId="401DA20F" w14:textId="5AC0EDD7" w:rsidR="007049A5" w:rsidRPr="004E4188" w:rsidRDefault="007049A5" w:rsidP="006C6267">
      <w:pPr>
        <w:spacing w:afterLines="50" w:after="120"/>
        <w:ind w:left="1440"/>
        <w:rPr>
          <w:szCs w:val="24"/>
        </w:rPr>
      </w:pPr>
      <w:r w:rsidRPr="004E4188">
        <w:rPr>
          <w:szCs w:val="24"/>
          <w:lang w:eastAsia="ja-JP"/>
        </w:rPr>
        <w:t xml:space="preserve">Les </w:t>
      </w:r>
      <w:r w:rsidRPr="004E4188">
        <w:rPr>
          <w:szCs w:val="24"/>
        </w:rPr>
        <w:t xml:space="preserve">facteurs liés aux coûts d’exploitation et de maintenance utilisés pour le calcul des coûts du cycle de vie sont : </w:t>
      </w:r>
    </w:p>
    <w:p w14:paraId="4BDEF9A8" w14:textId="75E6BFC6" w:rsidR="007049A5" w:rsidRPr="004E4188" w:rsidRDefault="007049A5" w:rsidP="006C6267">
      <w:pPr>
        <w:spacing w:afterLines="50" w:after="120"/>
        <w:ind w:left="1883" w:hanging="437"/>
        <w:rPr>
          <w:szCs w:val="24"/>
        </w:rPr>
      </w:pPr>
      <w:r w:rsidRPr="004E4188">
        <w:rPr>
          <w:lang w:eastAsia="en-US"/>
        </w:rPr>
        <w:t>(i)</w:t>
      </w:r>
      <w:r w:rsidRPr="004E4188">
        <w:rPr>
          <w:lang w:eastAsia="en-US"/>
        </w:rPr>
        <w:tab/>
      </w:r>
      <w:r w:rsidR="007C2F8D" w:rsidRPr="004E4188">
        <w:rPr>
          <w:lang w:eastAsia="en-US"/>
        </w:rPr>
        <w:t xml:space="preserve">la </w:t>
      </w:r>
      <w:r w:rsidRPr="004E4188">
        <w:rPr>
          <w:lang w:eastAsia="en-US"/>
        </w:rPr>
        <w:t>durée du cycle de vie : [</w:t>
      </w:r>
      <w:r w:rsidRPr="004E4188">
        <w:rPr>
          <w:i/>
          <w:lang w:eastAsia="en-US"/>
        </w:rPr>
        <w:t>Indiquer la durée du cycle de vie en</w:t>
      </w:r>
      <w:r w:rsidRPr="004E4188">
        <w:rPr>
          <w:i/>
          <w:szCs w:val="24"/>
        </w:rPr>
        <w:t xml:space="preserve"> années. Cette durée ne devra pas excéder la période comprise entre la mise en service et une remise en état importante des Installations.</w:t>
      </w:r>
      <w:r w:rsidRPr="004E4188">
        <w:rPr>
          <w:szCs w:val="24"/>
        </w:rPr>
        <w:t>] ;</w:t>
      </w:r>
    </w:p>
    <w:p w14:paraId="441C8490" w14:textId="30580DA2" w:rsidR="007049A5" w:rsidRPr="004E4188" w:rsidRDefault="007049A5" w:rsidP="006C6267">
      <w:pPr>
        <w:spacing w:afterLines="50" w:after="120"/>
        <w:ind w:left="1883" w:hanging="437"/>
        <w:rPr>
          <w:szCs w:val="24"/>
        </w:rPr>
      </w:pPr>
      <w:r w:rsidRPr="004E4188">
        <w:rPr>
          <w:szCs w:val="24"/>
        </w:rPr>
        <w:t>(ii)</w:t>
      </w:r>
      <w:r w:rsidRPr="004E4188">
        <w:rPr>
          <w:szCs w:val="24"/>
        </w:rPr>
        <w:tab/>
      </w:r>
      <w:r w:rsidR="007C2F8D" w:rsidRPr="004E4188">
        <w:rPr>
          <w:szCs w:val="24"/>
        </w:rPr>
        <w:t xml:space="preserve">les </w:t>
      </w:r>
      <w:r w:rsidRPr="004E4188">
        <w:rPr>
          <w:szCs w:val="24"/>
        </w:rPr>
        <w:t>coûts d’exploitation : [</w:t>
      </w:r>
      <w:r w:rsidRPr="004E4188">
        <w:rPr>
          <w:i/>
          <w:szCs w:val="24"/>
        </w:rPr>
        <w:t>Indiquer le combustible et/ou d’autres intrants, le coût unitaire dans les conditions d’exploitation annuelles et globales.</w:t>
      </w:r>
      <w:r w:rsidRPr="004E4188">
        <w:rPr>
          <w:szCs w:val="24"/>
        </w:rPr>
        <w:t>] ;</w:t>
      </w:r>
    </w:p>
    <w:p w14:paraId="15165CAF" w14:textId="3D0FDFAF" w:rsidR="007049A5" w:rsidRPr="004E4188" w:rsidRDefault="007049A5" w:rsidP="006C6267">
      <w:pPr>
        <w:spacing w:afterLines="50" w:after="120"/>
        <w:ind w:left="1883" w:hanging="437"/>
        <w:rPr>
          <w:szCs w:val="24"/>
        </w:rPr>
      </w:pPr>
      <w:r w:rsidRPr="004E4188">
        <w:rPr>
          <w:szCs w:val="24"/>
        </w:rPr>
        <w:t>(iii)</w:t>
      </w:r>
      <w:r w:rsidRPr="004E4188">
        <w:rPr>
          <w:szCs w:val="24"/>
          <w:lang w:eastAsia="ja-JP"/>
        </w:rPr>
        <w:tab/>
      </w:r>
      <w:r w:rsidR="007C2F8D" w:rsidRPr="004E4188">
        <w:rPr>
          <w:szCs w:val="24"/>
          <w:lang w:eastAsia="ja-JP"/>
        </w:rPr>
        <w:t xml:space="preserve">les </w:t>
      </w:r>
      <w:r w:rsidRPr="004E4188">
        <w:rPr>
          <w:szCs w:val="24"/>
        </w:rPr>
        <w:t>coûts de la maintenance, y compris le coût des pièces de rechange pendant la période initiale d’exploitation ; et</w:t>
      </w:r>
    </w:p>
    <w:p w14:paraId="15EE6D49" w14:textId="77777777" w:rsidR="007049A5" w:rsidRPr="004E4188" w:rsidRDefault="007049A5" w:rsidP="00823D97">
      <w:pPr>
        <w:spacing w:after="200"/>
        <w:ind w:left="1883" w:hanging="437"/>
      </w:pPr>
      <w:r w:rsidRPr="004E4188">
        <w:rPr>
          <w:szCs w:val="24"/>
        </w:rPr>
        <w:t>(iv)</w:t>
      </w:r>
      <w:r w:rsidRPr="004E4188">
        <w:rPr>
          <w:szCs w:val="24"/>
          <w:lang w:eastAsia="ja-JP"/>
        </w:rPr>
        <w:tab/>
      </w:r>
      <w:r w:rsidRPr="004E4188">
        <w:rPr>
          <w:szCs w:val="24"/>
        </w:rPr>
        <w:t xml:space="preserve">un taux de </w:t>
      </w:r>
      <w:r w:rsidRPr="004E4188">
        <w:t>[</w:t>
      </w:r>
      <w:r w:rsidRPr="004E4188">
        <w:rPr>
          <w:i/>
        </w:rPr>
        <w:t>indiquer le taux en lettres et en chiffres</w:t>
      </w:r>
      <w:r w:rsidRPr="004E4188">
        <w:t>] pourcent (%)</w:t>
      </w:r>
      <w:r w:rsidRPr="004E4188">
        <w:rPr>
          <w:szCs w:val="24"/>
        </w:rPr>
        <w:t>, utilisé pour calculer la valeur actuelle de tous les coûts annuels futurs imputables à (ii) et (iii) pour la durée précisée en (i).</w:t>
      </w:r>
    </w:p>
    <w:p w14:paraId="5260ECD2" w14:textId="14D70954" w:rsidR="007049A5" w:rsidRPr="004E4188" w:rsidRDefault="007049A5" w:rsidP="006C6267">
      <w:pPr>
        <w:pStyle w:val="ac"/>
        <w:ind w:leftChars="227" w:left="545" w:firstLineChars="152" w:firstLine="366"/>
        <w:rPr>
          <w:sz w:val="24"/>
          <w:szCs w:val="24"/>
        </w:rPr>
      </w:pPr>
      <w:r w:rsidRPr="004E4188">
        <w:rPr>
          <w:b/>
          <w:sz w:val="24"/>
          <w:szCs w:val="24"/>
          <w:lang w:eastAsia="ja-JP"/>
        </w:rPr>
        <w:t>(b)</w:t>
      </w:r>
      <w:r w:rsidRPr="004E4188">
        <w:rPr>
          <w:b/>
          <w:sz w:val="24"/>
          <w:szCs w:val="24"/>
          <w:lang w:eastAsia="ja-JP"/>
        </w:rPr>
        <w:tab/>
      </w:r>
      <w:r w:rsidRPr="004E4188">
        <w:rPr>
          <w:b/>
          <w:sz w:val="24"/>
          <w:szCs w:val="24"/>
        </w:rPr>
        <w:t>Garanties opérationnelles des</w:t>
      </w:r>
      <w:r w:rsidRPr="004E4188">
        <w:rPr>
          <w:sz w:val="24"/>
          <w:szCs w:val="24"/>
        </w:rPr>
        <w:t xml:space="preserve"> </w:t>
      </w:r>
      <w:r w:rsidRPr="004E4188">
        <w:rPr>
          <w:b/>
          <w:sz w:val="24"/>
          <w:szCs w:val="24"/>
        </w:rPr>
        <w:t>Équipements et Services de montage</w:t>
      </w:r>
    </w:p>
    <w:p w14:paraId="6B6A0429" w14:textId="26A5D053" w:rsidR="007049A5" w:rsidRPr="004E4188" w:rsidRDefault="007049A5" w:rsidP="006C6267">
      <w:pPr>
        <w:spacing w:afterLines="100" w:after="240"/>
        <w:ind w:left="1440"/>
        <w:rPr>
          <w:szCs w:val="24"/>
        </w:rPr>
      </w:pPr>
      <w:r w:rsidRPr="004E4188">
        <w:rPr>
          <w:szCs w:val="24"/>
        </w:rPr>
        <w:t>Les normes (niveaux à garantir) et niveaux minimaux ou maximaux acceptables des garanties opérationnelles spécifiés dans les Exigences du Maître d’ouvrage sont :</w:t>
      </w:r>
    </w:p>
    <w:p w14:paraId="5D2E8ADC" w14:textId="77777777" w:rsidR="007049A5" w:rsidRPr="004E4188" w:rsidRDefault="007049A5" w:rsidP="006C6267">
      <w:pPr>
        <w:spacing w:afterLines="100" w:after="240"/>
        <w:ind w:left="1440"/>
        <w:rPr>
          <w:szCs w:val="24"/>
        </w:rPr>
      </w:pPr>
      <w:r w:rsidRPr="004E4188">
        <w:t>[</w:t>
      </w:r>
      <w:r w:rsidRPr="004E4188">
        <w:rPr>
          <w:i/>
          <w:szCs w:val="24"/>
        </w:rPr>
        <w:t>Indiquer les critères spécifiés dans les Exigences du Maître d’ouvrage.</w:t>
      </w:r>
      <w:r w:rsidRPr="004E4188">
        <w:t>]</w:t>
      </w:r>
    </w:p>
    <w:tbl>
      <w:tblPr>
        <w:tblW w:w="0" w:type="auto"/>
        <w:tblInd w:w="1548" w:type="dxa"/>
        <w:tblLook w:val="01E0" w:firstRow="1" w:lastRow="1" w:firstColumn="1" w:lastColumn="1" w:noHBand="0" w:noVBand="0"/>
      </w:tblPr>
      <w:tblGrid>
        <w:gridCol w:w="2973"/>
        <w:gridCol w:w="2127"/>
        <w:gridCol w:w="2202"/>
      </w:tblGrid>
      <w:tr w:rsidR="007049A5" w:rsidRPr="004E4188" w14:paraId="66EFA474" w14:textId="77777777" w:rsidTr="00823D97">
        <w:tc>
          <w:tcPr>
            <w:tcW w:w="2973" w:type="dxa"/>
            <w:vMerge w:val="restart"/>
            <w:tcBorders>
              <w:top w:val="single" w:sz="12" w:space="0" w:color="auto"/>
              <w:left w:val="single" w:sz="12" w:space="0" w:color="auto"/>
              <w:right w:val="single" w:sz="12" w:space="0" w:color="auto"/>
            </w:tcBorders>
            <w:shd w:val="clear" w:color="auto" w:fill="F3F3F3"/>
            <w:vAlign w:val="center"/>
          </w:tcPr>
          <w:p w14:paraId="5D91FE66" w14:textId="77777777" w:rsidR="007049A5" w:rsidRPr="004E4188" w:rsidRDefault="007049A5" w:rsidP="00DC0647">
            <w:pPr>
              <w:spacing w:before="120" w:after="240"/>
              <w:jc w:val="center"/>
              <w:rPr>
                <w:b/>
                <w:szCs w:val="36"/>
              </w:rPr>
            </w:pPr>
            <w:r w:rsidRPr="004E4188">
              <w:rPr>
                <w:b/>
                <w:szCs w:val="24"/>
              </w:rPr>
              <w:t>Garantie</w:t>
            </w:r>
            <w:r w:rsidRPr="004E4188">
              <w:rPr>
                <w:b/>
                <w:i/>
                <w:szCs w:val="24"/>
              </w:rPr>
              <w:t xml:space="preserve"> </w:t>
            </w:r>
            <w:r w:rsidRPr="004E4188">
              <w:rPr>
                <w:b/>
                <w:szCs w:val="24"/>
              </w:rPr>
              <w:t>opérationnelle requise</w:t>
            </w:r>
          </w:p>
        </w:tc>
        <w:tc>
          <w:tcPr>
            <w:tcW w:w="4329"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44D97F26" w14:textId="23C85BAD" w:rsidR="007049A5" w:rsidRPr="004E4188" w:rsidRDefault="007049A5" w:rsidP="008972FF">
            <w:pPr>
              <w:spacing w:before="60" w:after="60"/>
              <w:jc w:val="center"/>
              <w:rPr>
                <w:b/>
                <w:szCs w:val="24"/>
              </w:rPr>
            </w:pPr>
            <w:r w:rsidRPr="004E4188">
              <w:rPr>
                <w:b/>
                <w:szCs w:val="24"/>
              </w:rPr>
              <w:t>Critère</w:t>
            </w:r>
          </w:p>
        </w:tc>
      </w:tr>
      <w:tr w:rsidR="007049A5" w:rsidRPr="004E4188" w14:paraId="5054447B" w14:textId="77777777" w:rsidTr="00823D97">
        <w:tc>
          <w:tcPr>
            <w:tcW w:w="2973" w:type="dxa"/>
            <w:vMerge/>
            <w:tcBorders>
              <w:left w:val="single" w:sz="12" w:space="0" w:color="auto"/>
              <w:bottom w:val="single" w:sz="12" w:space="0" w:color="auto"/>
              <w:right w:val="single" w:sz="12" w:space="0" w:color="auto"/>
            </w:tcBorders>
            <w:shd w:val="clear" w:color="auto" w:fill="F3F3F3"/>
            <w:vAlign w:val="center"/>
          </w:tcPr>
          <w:p w14:paraId="1284D334" w14:textId="77777777" w:rsidR="007049A5" w:rsidRPr="004E4188" w:rsidRDefault="007049A5" w:rsidP="006C6267">
            <w:pPr>
              <w:spacing w:before="120" w:after="240"/>
              <w:jc w:val="center"/>
              <w:rPr>
                <w:b/>
                <w:szCs w:val="24"/>
              </w:rPr>
            </w:pPr>
          </w:p>
        </w:tc>
        <w:tc>
          <w:tcPr>
            <w:tcW w:w="2127" w:type="dxa"/>
            <w:tcBorders>
              <w:top w:val="single" w:sz="12" w:space="0" w:color="auto"/>
              <w:left w:val="single" w:sz="12" w:space="0" w:color="auto"/>
              <w:bottom w:val="single" w:sz="12" w:space="0" w:color="auto"/>
              <w:right w:val="single" w:sz="12" w:space="0" w:color="auto"/>
            </w:tcBorders>
            <w:shd w:val="clear" w:color="auto" w:fill="F3F3F3"/>
            <w:vAlign w:val="center"/>
          </w:tcPr>
          <w:p w14:paraId="0CA73C4C" w14:textId="77777777" w:rsidR="007049A5" w:rsidRPr="004E4188" w:rsidRDefault="007049A5" w:rsidP="00823D97">
            <w:pPr>
              <w:tabs>
                <w:tab w:val="right" w:pos="7254"/>
              </w:tabs>
              <w:spacing w:before="60"/>
              <w:ind w:firstLine="17"/>
              <w:jc w:val="center"/>
              <w:rPr>
                <w:rFonts w:ascii="Tms Rmn" w:hAnsi="Tms Rmn"/>
                <w:b/>
                <w:sz w:val="22"/>
                <w:szCs w:val="22"/>
              </w:rPr>
            </w:pPr>
            <w:r w:rsidRPr="004E4188">
              <w:rPr>
                <w:rFonts w:ascii="Tms Rmn" w:hAnsi="Tms Rmn"/>
                <w:b/>
                <w:sz w:val="22"/>
                <w:szCs w:val="22"/>
              </w:rPr>
              <w:t>Norme</w:t>
            </w:r>
          </w:p>
          <w:p w14:paraId="06C0F140" w14:textId="77777777" w:rsidR="007049A5" w:rsidRPr="004E4188" w:rsidRDefault="007049A5" w:rsidP="00823D97">
            <w:pPr>
              <w:spacing w:after="60"/>
              <w:jc w:val="center"/>
              <w:rPr>
                <w:b/>
                <w:szCs w:val="24"/>
              </w:rPr>
            </w:pPr>
            <w:r w:rsidRPr="004E4188">
              <w:rPr>
                <w:rFonts w:ascii="Tms Rmn" w:hAnsi="Tms Rmn"/>
                <w:b/>
                <w:sz w:val="22"/>
                <w:szCs w:val="22"/>
              </w:rPr>
              <w:t>(niveau à garantir)</w:t>
            </w:r>
          </w:p>
        </w:tc>
        <w:tc>
          <w:tcPr>
            <w:tcW w:w="2202" w:type="dxa"/>
            <w:tcBorders>
              <w:top w:val="single" w:sz="12" w:space="0" w:color="auto"/>
              <w:left w:val="single" w:sz="12" w:space="0" w:color="auto"/>
              <w:bottom w:val="single" w:sz="12" w:space="0" w:color="auto"/>
              <w:right w:val="single" w:sz="12" w:space="0" w:color="auto"/>
            </w:tcBorders>
            <w:shd w:val="clear" w:color="auto" w:fill="F3F3F3"/>
          </w:tcPr>
          <w:p w14:paraId="32F3DC39" w14:textId="77777777" w:rsidR="007049A5" w:rsidRPr="004E4188" w:rsidRDefault="007049A5" w:rsidP="008972FF">
            <w:pPr>
              <w:spacing w:before="60" w:after="60"/>
              <w:jc w:val="center"/>
              <w:rPr>
                <w:b/>
                <w:szCs w:val="24"/>
              </w:rPr>
            </w:pPr>
            <w:r w:rsidRPr="004E4188">
              <w:rPr>
                <w:rFonts w:ascii="Tms Rmn" w:hAnsi="Tms Rmn"/>
                <w:b/>
                <w:sz w:val="22"/>
                <w:szCs w:val="22"/>
              </w:rPr>
              <w:t>Niveau minimal ou maximal acceptable</w:t>
            </w:r>
          </w:p>
        </w:tc>
      </w:tr>
      <w:tr w:rsidR="007049A5" w:rsidRPr="004E4188" w14:paraId="6DEAF295" w14:textId="77777777" w:rsidTr="00823D97">
        <w:trPr>
          <w:trHeight w:val="329"/>
        </w:trPr>
        <w:tc>
          <w:tcPr>
            <w:tcW w:w="2973" w:type="dxa"/>
            <w:tcBorders>
              <w:top w:val="single" w:sz="12" w:space="0" w:color="auto"/>
              <w:left w:val="single" w:sz="4" w:space="0" w:color="auto"/>
              <w:bottom w:val="single" w:sz="4" w:space="0" w:color="auto"/>
              <w:right w:val="single" w:sz="4" w:space="0" w:color="auto"/>
            </w:tcBorders>
            <w:shd w:val="clear" w:color="auto" w:fill="auto"/>
            <w:vAlign w:val="center"/>
          </w:tcPr>
          <w:p w14:paraId="4BD4115A" w14:textId="77777777" w:rsidR="007049A5" w:rsidRPr="004E4188" w:rsidRDefault="007049A5" w:rsidP="00DC0647">
            <w:pPr>
              <w:ind w:left="132"/>
              <w:rPr>
                <w:szCs w:val="36"/>
                <w:lang w:eastAsia="ja-JP"/>
              </w:rPr>
            </w:pPr>
            <w:r w:rsidRPr="004E4188">
              <w:rPr>
                <w:szCs w:val="36"/>
                <w:lang w:eastAsia="ja-JP"/>
              </w:rPr>
              <w:t>1.</w:t>
            </w:r>
          </w:p>
        </w:tc>
        <w:tc>
          <w:tcPr>
            <w:tcW w:w="2127" w:type="dxa"/>
            <w:tcBorders>
              <w:top w:val="single" w:sz="12" w:space="0" w:color="auto"/>
              <w:left w:val="single" w:sz="4" w:space="0" w:color="auto"/>
              <w:bottom w:val="single" w:sz="4" w:space="0" w:color="auto"/>
              <w:right w:val="single" w:sz="4" w:space="0" w:color="auto"/>
            </w:tcBorders>
            <w:shd w:val="clear" w:color="auto" w:fill="auto"/>
            <w:vAlign w:val="center"/>
          </w:tcPr>
          <w:p w14:paraId="21AA8E67" w14:textId="77777777" w:rsidR="007049A5" w:rsidRPr="004E4188" w:rsidRDefault="007049A5" w:rsidP="00DC0647">
            <w:pPr>
              <w:ind w:left="132"/>
              <w:rPr>
                <w:b/>
                <w:szCs w:val="36"/>
                <w:lang w:eastAsia="ja-JP"/>
              </w:rPr>
            </w:pPr>
          </w:p>
        </w:tc>
        <w:tc>
          <w:tcPr>
            <w:tcW w:w="2202" w:type="dxa"/>
            <w:tcBorders>
              <w:top w:val="single" w:sz="12" w:space="0" w:color="auto"/>
              <w:left w:val="single" w:sz="4" w:space="0" w:color="auto"/>
              <w:bottom w:val="single" w:sz="4" w:space="0" w:color="auto"/>
              <w:right w:val="single" w:sz="4" w:space="0" w:color="auto"/>
            </w:tcBorders>
          </w:tcPr>
          <w:p w14:paraId="2725BDB1" w14:textId="77777777" w:rsidR="007049A5" w:rsidRPr="004E4188" w:rsidRDefault="007049A5" w:rsidP="00DC0647">
            <w:pPr>
              <w:ind w:left="132"/>
              <w:rPr>
                <w:b/>
                <w:szCs w:val="36"/>
                <w:lang w:eastAsia="ja-JP"/>
              </w:rPr>
            </w:pPr>
          </w:p>
        </w:tc>
      </w:tr>
      <w:tr w:rsidR="007049A5" w:rsidRPr="004E4188" w14:paraId="278D70EA" w14:textId="77777777" w:rsidTr="00823D97">
        <w:trPr>
          <w:trHeight w:val="345"/>
        </w:trPr>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14:paraId="696942AD" w14:textId="77777777" w:rsidR="007049A5" w:rsidRPr="004E4188" w:rsidRDefault="007049A5" w:rsidP="00DC0647">
            <w:pPr>
              <w:ind w:left="132"/>
              <w:rPr>
                <w:szCs w:val="36"/>
                <w:lang w:eastAsia="ja-JP"/>
              </w:rPr>
            </w:pPr>
            <w:r w:rsidRPr="004E4188">
              <w:rPr>
                <w:szCs w:val="36"/>
                <w:lang w:eastAsia="ja-JP"/>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62FCD21" w14:textId="77777777" w:rsidR="007049A5" w:rsidRPr="004E4188" w:rsidRDefault="007049A5" w:rsidP="00DC0647">
            <w:pPr>
              <w:ind w:left="132"/>
              <w:rPr>
                <w:b/>
                <w:szCs w:val="36"/>
                <w:lang w:eastAsia="ja-JP"/>
              </w:rPr>
            </w:pPr>
          </w:p>
        </w:tc>
        <w:tc>
          <w:tcPr>
            <w:tcW w:w="2202" w:type="dxa"/>
            <w:tcBorders>
              <w:top w:val="single" w:sz="4" w:space="0" w:color="auto"/>
              <w:left w:val="single" w:sz="4" w:space="0" w:color="auto"/>
              <w:bottom w:val="single" w:sz="4" w:space="0" w:color="auto"/>
              <w:right w:val="single" w:sz="4" w:space="0" w:color="auto"/>
            </w:tcBorders>
          </w:tcPr>
          <w:p w14:paraId="72DD1C23" w14:textId="77777777" w:rsidR="007049A5" w:rsidRPr="004E4188" w:rsidRDefault="007049A5" w:rsidP="00DC0647">
            <w:pPr>
              <w:ind w:left="132"/>
              <w:rPr>
                <w:b/>
                <w:szCs w:val="36"/>
                <w:lang w:eastAsia="ja-JP"/>
              </w:rPr>
            </w:pPr>
          </w:p>
        </w:tc>
      </w:tr>
      <w:tr w:rsidR="007049A5" w:rsidRPr="004E4188" w14:paraId="41428304" w14:textId="77777777" w:rsidTr="00823D97">
        <w:trPr>
          <w:trHeight w:val="356"/>
        </w:trPr>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14:paraId="783180C5" w14:textId="77777777" w:rsidR="007049A5" w:rsidRPr="004E4188" w:rsidRDefault="007049A5" w:rsidP="00DC0647">
            <w:pPr>
              <w:ind w:left="132"/>
              <w:rPr>
                <w:szCs w:val="36"/>
                <w:lang w:eastAsia="ja-JP"/>
              </w:rPr>
            </w:pPr>
            <w:r w:rsidRPr="004E4188">
              <w:rPr>
                <w:szCs w:val="36"/>
                <w:lang w:eastAsia="ja-JP"/>
              </w:rP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E25F583" w14:textId="77777777" w:rsidR="007049A5" w:rsidRPr="004E4188" w:rsidRDefault="007049A5" w:rsidP="00DC0647">
            <w:pPr>
              <w:ind w:left="132"/>
              <w:rPr>
                <w:b/>
                <w:szCs w:val="36"/>
                <w:lang w:eastAsia="ja-JP"/>
              </w:rPr>
            </w:pPr>
          </w:p>
        </w:tc>
        <w:tc>
          <w:tcPr>
            <w:tcW w:w="2202" w:type="dxa"/>
            <w:tcBorders>
              <w:top w:val="single" w:sz="4" w:space="0" w:color="auto"/>
              <w:left w:val="single" w:sz="4" w:space="0" w:color="auto"/>
              <w:bottom w:val="single" w:sz="4" w:space="0" w:color="auto"/>
              <w:right w:val="single" w:sz="4" w:space="0" w:color="auto"/>
            </w:tcBorders>
          </w:tcPr>
          <w:p w14:paraId="31486474" w14:textId="77777777" w:rsidR="007049A5" w:rsidRPr="004E4188" w:rsidRDefault="007049A5" w:rsidP="00DC0647">
            <w:pPr>
              <w:ind w:left="132"/>
              <w:rPr>
                <w:b/>
                <w:szCs w:val="36"/>
                <w:lang w:eastAsia="ja-JP"/>
              </w:rPr>
            </w:pPr>
          </w:p>
        </w:tc>
      </w:tr>
      <w:tr w:rsidR="007049A5" w:rsidRPr="004E4188" w14:paraId="39C84CC8" w14:textId="77777777" w:rsidTr="00823D97">
        <w:trPr>
          <w:trHeight w:val="353"/>
        </w:trPr>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14:paraId="2FA9183B" w14:textId="77777777" w:rsidR="007049A5" w:rsidRPr="004E4188" w:rsidRDefault="007049A5" w:rsidP="00DC0647">
            <w:pPr>
              <w:ind w:left="132"/>
              <w:rPr>
                <w:b/>
                <w:szCs w:val="36"/>
                <w:lang w:eastAsia="ja-JP"/>
              </w:rPr>
            </w:pPr>
            <w:r w:rsidRPr="004E4188">
              <w:rPr>
                <w:rFonts w:ascii="Tms Rmn" w:hAnsi="Tms Rmn" w:hint="eastAsia"/>
                <w:sz w:val="20"/>
                <w:lang w:eastAsia="ja-JP"/>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51358DE" w14:textId="77777777" w:rsidR="007049A5" w:rsidRPr="004E4188" w:rsidRDefault="007049A5" w:rsidP="00DC0647">
            <w:pPr>
              <w:ind w:left="132"/>
              <w:rPr>
                <w:b/>
                <w:szCs w:val="36"/>
                <w:lang w:eastAsia="ja-JP"/>
              </w:rPr>
            </w:pPr>
          </w:p>
        </w:tc>
        <w:tc>
          <w:tcPr>
            <w:tcW w:w="2202" w:type="dxa"/>
            <w:tcBorders>
              <w:top w:val="single" w:sz="4" w:space="0" w:color="auto"/>
              <w:left w:val="single" w:sz="4" w:space="0" w:color="auto"/>
              <w:bottom w:val="single" w:sz="4" w:space="0" w:color="auto"/>
              <w:right w:val="single" w:sz="4" w:space="0" w:color="auto"/>
            </w:tcBorders>
          </w:tcPr>
          <w:p w14:paraId="5244F06C" w14:textId="77777777" w:rsidR="007049A5" w:rsidRPr="004E4188" w:rsidRDefault="007049A5" w:rsidP="00DC0647">
            <w:pPr>
              <w:ind w:left="132"/>
              <w:rPr>
                <w:b/>
                <w:szCs w:val="36"/>
                <w:lang w:eastAsia="ja-JP"/>
              </w:rPr>
            </w:pPr>
          </w:p>
        </w:tc>
      </w:tr>
    </w:tbl>
    <w:p w14:paraId="54365D90" w14:textId="77777777" w:rsidR="007049A5" w:rsidRPr="004E4188" w:rsidRDefault="007049A5" w:rsidP="00A74C04">
      <w:pPr>
        <w:ind w:left="1440"/>
      </w:pPr>
    </w:p>
    <w:p w14:paraId="44B02D09" w14:textId="77777777" w:rsidR="007049A5" w:rsidRPr="004E4188" w:rsidRDefault="007049A5" w:rsidP="006C6267">
      <w:pPr>
        <w:spacing w:after="200"/>
        <w:ind w:left="1447"/>
      </w:pPr>
      <w:r w:rsidRPr="004E4188">
        <w:rPr>
          <w:szCs w:val="24"/>
        </w:rPr>
        <w:t xml:space="preserve">Aux fins de l’évaluation, la procédure décrite ci-dessous sera appliquée </w:t>
      </w:r>
      <w:r w:rsidRPr="004E4188">
        <w:t>:</w:t>
      </w:r>
    </w:p>
    <w:p w14:paraId="35BC964D" w14:textId="77777777" w:rsidR="007049A5" w:rsidRPr="004E4188" w:rsidRDefault="007049A5" w:rsidP="006C6267">
      <w:pPr>
        <w:spacing w:after="200"/>
        <w:ind w:left="1447"/>
      </w:pPr>
      <w:r w:rsidRPr="004E4188">
        <w:rPr>
          <w:szCs w:val="24"/>
        </w:rPr>
        <w:t>Si la(les) valeur(s) de la(les) garantie(s) opérationnelle(s) pour les É</w:t>
      </w:r>
      <w:r w:rsidRPr="004E4188">
        <w:rPr>
          <w:szCs w:val="24"/>
          <w:lang w:eastAsia="en-US"/>
        </w:rPr>
        <w:t>quipements</w:t>
      </w:r>
      <w:r w:rsidRPr="004E4188">
        <w:rPr>
          <w:szCs w:val="24"/>
        </w:rPr>
        <w:t xml:space="preserve"> proposés par le Soumissionnaire dans le formulaire </w:t>
      </w:r>
      <w:r w:rsidRPr="004E4188">
        <w:rPr>
          <w:szCs w:val="24"/>
          <w:lang w:eastAsia="en-US"/>
        </w:rPr>
        <w:t>GAR</w:t>
      </w:r>
      <w:r w:rsidRPr="004E4188">
        <w:t> :</w:t>
      </w:r>
    </w:p>
    <w:p w14:paraId="1EDECE42" w14:textId="14CCFFF0" w:rsidR="007049A5" w:rsidRPr="004E4188" w:rsidRDefault="007049A5" w:rsidP="006C6267">
      <w:pPr>
        <w:spacing w:after="200"/>
        <w:ind w:left="1881" w:hanging="434"/>
      </w:pPr>
      <w:r w:rsidRPr="004E4188">
        <w:t>(i)</w:t>
      </w:r>
      <w:r w:rsidRPr="004E4188">
        <w:tab/>
      </w:r>
      <w:r w:rsidRPr="004E4188">
        <w:rPr>
          <w:rFonts w:hint="eastAsia"/>
          <w:lang w:eastAsia="ja-JP"/>
        </w:rPr>
        <w:t>s</w:t>
      </w:r>
      <w:r w:rsidRPr="004E4188">
        <w:rPr>
          <w:szCs w:val="24"/>
        </w:rPr>
        <w:t>atisfait(satisfont) la norme spécifiée dans le tableau ci-dessus, aucun ajustement ne sera apporté au Montant de l’offre</w:t>
      </w:r>
      <w:r w:rsidR="00C35BBA" w:rsidRPr="004E4188">
        <w:t> ;</w:t>
      </w:r>
    </w:p>
    <w:p w14:paraId="649B7BFD" w14:textId="77777777" w:rsidR="007049A5" w:rsidRPr="004E4188" w:rsidRDefault="007049A5" w:rsidP="006C6267">
      <w:pPr>
        <w:spacing w:after="200"/>
        <w:ind w:left="1881" w:hanging="434"/>
      </w:pPr>
      <w:r w:rsidRPr="004E4188">
        <w:t>(ii)</w:t>
      </w:r>
      <w:r w:rsidRPr="004E4188">
        <w:tab/>
        <w:t>est(sont) comprise(s) entre la norme et le niveau minimal ou maximal acceptable du tableau ci-dessus ; pour chaque point de pourcentage d’écart de la garantie opérationnelle par rapport à la norme, un ajustement sera apporté au Montant de l’offre en appliquant la méthode suivante</w:t>
      </w:r>
      <w:r w:rsidRPr="004E4188">
        <w:rPr>
          <w:lang w:eastAsia="ja-JP"/>
        </w:rPr>
        <w:t> </w:t>
      </w:r>
      <w:r w:rsidRPr="004E4188">
        <w:t>:</w:t>
      </w:r>
    </w:p>
    <w:p w14:paraId="3BF073B9" w14:textId="77777777" w:rsidR="007049A5" w:rsidRPr="004E4188" w:rsidRDefault="007049A5" w:rsidP="006C6267">
      <w:pPr>
        <w:spacing w:after="200"/>
        <w:ind w:left="2315" w:hanging="434"/>
      </w:pPr>
      <w:r w:rsidRPr="004E4188">
        <w:t>[</w:t>
      </w:r>
      <w:r w:rsidRPr="004E4188">
        <w:rPr>
          <w:i/>
          <w:szCs w:val="24"/>
        </w:rPr>
        <w:t>Indiquer la méthode de calcul de l’ajustement</w:t>
      </w:r>
      <w:r w:rsidRPr="004E4188">
        <w:rPr>
          <w:szCs w:val="24"/>
        </w:rPr>
        <w:t>.</w:t>
      </w:r>
      <w:r w:rsidRPr="004E4188">
        <w:t>]</w:t>
      </w:r>
    </w:p>
    <w:p w14:paraId="12945FBE" w14:textId="77777777" w:rsidR="007049A5" w:rsidRPr="004E4188" w:rsidRDefault="007049A5" w:rsidP="006C6267">
      <w:pPr>
        <w:spacing w:after="200"/>
        <w:ind w:left="1874" w:hanging="434"/>
      </w:pPr>
      <w:r w:rsidRPr="004E4188">
        <w:t>(iii)</w:t>
      </w:r>
      <w:r w:rsidRPr="004E4188">
        <w:tab/>
        <w:t xml:space="preserve">ne </w:t>
      </w:r>
      <w:r w:rsidRPr="004E4188">
        <w:rPr>
          <w:szCs w:val="24"/>
        </w:rPr>
        <w:t>satisfait(satisfont) pas le niveau minimal ou maximal acceptable du tableau ci-dessus, l’offre sera rejetée</w:t>
      </w:r>
      <w:r w:rsidRPr="004E4188">
        <w:t>.</w:t>
      </w:r>
    </w:p>
    <w:p w14:paraId="6129C633" w14:textId="77777777" w:rsidR="007049A5" w:rsidRPr="004E4188" w:rsidRDefault="007049A5" w:rsidP="006C6267">
      <w:pPr>
        <w:pStyle w:val="ac"/>
        <w:ind w:leftChars="227" w:left="545" w:firstLineChars="152" w:firstLine="366"/>
        <w:rPr>
          <w:b/>
          <w:sz w:val="24"/>
          <w:szCs w:val="24"/>
          <w:lang w:eastAsia="ja-JP"/>
        </w:rPr>
      </w:pPr>
      <w:r w:rsidRPr="004E4188">
        <w:rPr>
          <w:b/>
          <w:sz w:val="24"/>
          <w:szCs w:val="24"/>
          <w:lang w:eastAsia="ja-JP"/>
        </w:rPr>
        <w:t>(c)</w:t>
      </w:r>
      <w:r w:rsidRPr="004E4188">
        <w:rPr>
          <w:b/>
          <w:sz w:val="24"/>
          <w:szCs w:val="24"/>
          <w:lang w:eastAsia="ja-JP"/>
        </w:rPr>
        <w:tab/>
        <w:t>Critères d’évaluation spécifiques supplémentaires</w:t>
      </w:r>
    </w:p>
    <w:p w14:paraId="1AA58BFD" w14:textId="77777777" w:rsidR="007049A5" w:rsidRPr="004E4188" w:rsidRDefault="007049A5" w:rsidP="006C6267">
      <w:pPr>
        <w:spacing w:after="200"/>
        <w:ind w:left="1440"/>
        <w:rPr>
          <w:lang w:eastAsia="ja-JP"/>
        </w:rPr>
      </w:pPr>
      <w:r w:rsidRPr="004E4188">
        <w:t xml:space="preserve">Les critères d’évaluation supplémentaires suivants seront utilisés lors de l’évaluation </w:t>
      </w:r>
      <w:r w:rsidRPr="004E4188">
        <w:rPr>
          <w:lang w:eastAsia="ja-JP"/>
        </w:rPr>
        <w:t xml:space="preserve">: </w:t>
      </w:r>
      <w:r w:rsidRPr="004E4188">
        <w:rPr>
          <w:iCs/>
          <w:lang w:eastAsia="ja-JP"/>
        </w:rPr>
        <w:t>[</w:t>
      </w:r>
      <w:r w:rsidRPr="004E4188">
        <w:rPr>
          <w:i/>
        </w:rPr>
        <w:t>Insérer,</w:t>
      </w:r>
      <w:r w:rsidRPr="004E4188">
        <w:rPr>
          <w:i/>
          <w:iCs/>
          <w:lang w:eastAsia="ja-JP"/>
        </w:rPr>
        <w:t xml:space="preserve"> l</w:t>
      </w:r>
      <w:r w:rsidRPr="004E4188">
        <w:rPr>
          <w:i/>
        </w:rPr>
        <w:t>e cas échéant, les critères d’évaluation supplémentaires</w:t>
      </w:r>
      <w:r w:rsidRPr="004E4188">
        <w:rPr>
          <w:i/>
          <w:iCs/>
          <w:lang w:eastAsia="ja-JP"/>
        </w:rPr>
        <w:t xml:space="preserve">. </w:t>
      </w:r>
      <w:r w:rsidRPr="004E4188">
        <w:rPr>
          <w:i/>
        </w:rPr>
        <w:t>Sinon, indiquer « Sans objet »</w:t>
      </w:r>
      <w:r w:rsidRPr="004E4188">
        <w:rPr>
          <w:i/>
          <w:iCs/>
          <w:lang w:eastAsia="ja-JP"/>
        </w:rPr>
        <w:t>.</w:t>
      </w:r>
      <w:r w:rsidRPr="004E4188">
        <w:rPr>
          <w:iCs/>
          <w:lang w:eastAsia="ja-JP"/>
        </w:rPr>
        <w:t>]</w:t>
      </w:r>
    </w:p>
    <w:p w14:paraId="5BF82D3E" w14:textId="57AC8EAD" w:rsidR="007049A5" w:rsidRPr="004E4188" w:rsidRDefault="007049A5" w:rsidP="006C6267">
      <w:pPr>
        <w:ind w:left="1440"/>
        <w:jc w:val="left"/>
        <w:rPr>
          <w:bCs/>
        </w:rPr>
      </w:pPr>
      <w:r w:rsidRPr="004E4188">
        <w:rPr>
          <w:bCs/>
        </w:rPr>
        <w:t>………………………………………………………………………………………</w:t>
      </w:r>
      <w:r w:rsidR="00823D97" w:rsidRPr="004E4188">
        <w:rPr>
          <w:bCs/>
        </w:rPr>
        <w:t>………………………………………………………………………………………</w:t>
      </w:r>
    </w:p>
    <w:p w14:paraId="76980837" w14:textId="77777777" w:rsidR="00F80B1F" w:rsidRPr="004E4188" w:rsidRDefault="00F80B1F" w:rsidP="00F80B1F">
      <w:pPr>
        <w:spacing w:after="200"/>
        <w:ind w:left="1440"/>
        <w:jc w:val="left"/>
        <w:rPr>
          <w:bCs/>
        </w:rPr>
      </w:pPr>
    </w:p>
    <w:p w14:paraId="62191F32" w14:textId="13F44F51" w:rsidR="007049A5" w:rsidRPr="004E4188" w:rsidRDefault="007049A5" w:rsidP="00F80B1F">
      <w:pPr>
        <w:tabs>
          <w:tab w:val="left" w:pos="1320"/>
          <w:tab w:val="num" w:pos="1440"/>
        </w:tabs>
        <w:spacing w:afterLines="50" w:after="120"/>
        <w:ind w:left="851" w:hanging="851"/>
        <w:rPr>
          <w:b/>
        </w:rPr>
      </w:pPr>
      <w:r w:rsidRPr="004E4188">
        <w:rPr>
          <w:b/>
          <w:lang w:eastAsia="ja-JP"/>
        </w:rPr>
        <w:t>1.2.2</w:t>
      </w:r>
      <w:r w:rsidRPr="004E4188">
        <w:rPr>
          <w:b/>
          <w:lang w:eastAsia="ja-JP"/>
        </w:rPr>
        <w:tab/>
      </w:r>
      <w:r w:rsidRPr="004E4188">
        <w:rPr>
          <w:b/>
        </w:rPr>
        <w:t>Critères d’attribution de lots multiples (IS 48.3)</w:t>
      </w:r>
    </w:p>
    <w:p w14:paraId="2C4222D3" w14:textId="54580C7C" w:rsidR="007049A5" w:rsidRPr="004E4188" w:rsidRDefault="007049A5" w:rsidP="00F80B1F">
      <w:pPr>
        <w:spacing w:afterLines="100" w:after="240"/>
        <w:ind w:left="850"/>
        <w:rPr>
          <w:i/>
        </w:rPr>
      </w:pPr>
      <w:r w:rsidRPr="004E4188">
        <w:t>[</w:t>
      </w:r>
      <w:r w:rsidRPr="004E4188">
        <w:rPr>
          <w:i/>
        </w:rPr>
        <w:t>Insérer le texte suivant en cas d’un appel d’offres lancé pour des lots multiples, le cas échéant. Sinon, supprimer la totalité du texte et indiquer à la place « Sans objet »</w:t>
      </w:r>
      <w:r w:rsidRPr="004E4188">
        <w:rPr>
          <w:rFonts w:hint="eastAsia"/>
          <w:bCs/>
          <w:i/>
          <w:lang w:eastAsia="ja-JP"/>
        </w:rPr>
        <w:t>.</w:t>
      </w:r>
    </w:p>
    <w:p w14:paraId="003ECF33" w14:textId="5A20989E" w:rsidR="007049A5" w:rsidRPr="004E4188" w:rsidRDefault="007049A5" w:rsidP="00F80B1F">
      <w:pPr>
        <w:spacing w:afterLines="100" w:after="240"/>
        <w:ind w:left="850"/>
        <w:rPr>
          <w:i/>
        </w:rPr>
      </w:pPr>
      <w:r w:rsidRPr="004E4188">
        <w:rPr>
          <w:i/>
        </w:rPr>
        <w:t xml:space="preserve">« Si l’Article 1.1 des DP le prévoit, les Soumissionnaires ont la possibilité de remettre une offre pour des lots multiples dans n’importe quelle combinaison. Les offres pour chaque lot ou chaque combinaison de lots seront ensuite évaluées, en prenant en compte les rabais offerts, le cas échéant, pour l’attribution de ces lots multiples. </w:t>
      </w:r>
    </w:p>
    <w:p w14:paraId="049F8324" w14:textId="50E3CC29" w:rsidR="007049A5" w:rsidRPr="004E4188" w:rsidRDefault="007049A5" w:rsidP="00F80B1F">
      <w:pPr>
        <w:spacing w:afterLines="100" w:after="240"/>
        <w:ind w:left="850"/>
        <w:rPr>
          <w:i/>
        </w:rPr>
      </w:pPr>
      <w:r w:rsidRPr="004E4188">
        <w:rPr>
          <w:i/>
        </w:rPr>
        <w:t>Les lots seront attribués au(x) Soumissionnaire(s) offrant le coût évalué le moins</w:t>
      </w:r>
      <w:r w:rsidR="00B04111" w:rsidRPr="004E4188">
        <w:rPr>
          <w:i/>
        </w:rPr>
        <w:t>-</w:t>
      </w:r>
      <w:r w:rsidRPr="004E4188">
        <w:rPr>
          <w:i/>
        </w:rPr>
        <w:t>disant pour le Maître d’ouvrage compte tenu des rabais offerts, sous réserve que le(les) Soumissionnaire(s) retenu(s) satisfasse(nt) aux critères de qualification requis pour l’attribution de ces lots multiples. »</w:t>
      </w:r>
      <w:r w:rsidRPr="004E4188">
        <w:t>]</w:t>
      </w:r>
    </w:p>
    <w:p w14:paraId="7676A49D" w14:textId="77777777" w:rsidR="007049A5" w:rsidRPr="004E4188" w:rsidRDefault="007049A5" w:rsidP="00A74C04">
      <w:pPr>
        <w:rPr>
          <w:lang w:eastAsia="ja-JP"/>
        </w:rPr>
      </w:pPr>
    </w:p>
    <w:p w14:paraId="40960D83" w14:textId="77777777" w:rsidR="007049A5" w:rsidRPr="004E4188" w:rsidRDefault="007049A5" w:rsidP="00E145CC">
      <w:pPr>
        <w:rPr>
          <w:szCs w:val="24"/>
          <w:lang w:eastAsia="ja-JP"/>
        </w:rPr>
        <w:sectPr w:rsidR="007049A5" w:rsidRPr="004E4188" w:rsidSect="00DF1D87">
          <w:headerReference w:type="even" r:id="rId65"/>
          <w:headerReference w:type="default" r:id="rId66"/>
          <w:footnotePr>
            <w:numRestart w:val="eachPage"/>
          </w:footnotePr>
          <w:endnotePr>
            <w:numFmt w:val="decimal"/>
          </w:endnotePr>
          <w:pgSz w:w="12240" w:h="15840" w:code="1"/>
          <w:pgMar w:top="1440" w:right="1440" w:bottom="1440" w:left="1440" w:header="720" w:footer="720" w:gutter="0"/>
          <w:pgNumType w:start="1"/>
          <w:cols w:space="720"/>
        </w:sectPr>
      </w:pPr>
    </w:p>
    <w:p w14:paraId="579132A1" w14:textId="72008405" w:rsidR="007049A5" w:rsidRPr="004E4188" w:rsidRDefault="007049A5" w:rsidP="008F1DFA">
      <w:pPr>
        <w:pStyle w:val="17"/>
        <w:rPr>
          <w:color w:val="FF0000"/>
          <w:lang w:val="fr-FR"/>
        </w:rPr>
      </w:pPr>
      <w:bookmarkStart w:id="443" w:name="_Toc349055426"/>
      <w:bookmarkStart w:id="444" w:name="_Toc326657863"/>
      <w:r w:rsidRPr="004E4188">
        <w:rPr>
          <w:lang w:val="fr-FR"/>
        </w:rPr>
        <w:t>Section III. Critères d’évaluation et de</w:t>
      </w:r>
      <w:r w:rsidRPr="004E4188">
        <w:rPr>
          <w:rFonts w:hint="eastAsia"/>
          <w:lang w:val="fr-FR"/>
        </w:rPr>
        <w:t xml:space="preserve"> </w:t>
      </w:r>
      <w:r w:rsidRPr="004E4188">
        <w:rPr>
          <w:lang w:val="fr-FR"/>
        </w:rPr>
        <w:t>qualification</w:t>
      </w:r>
      <w:r w:rsidRPr="004E4188">
        <w:rPr>
          <w:lang w:val="fr-FR"/>
        </w:rPr>
        <w:br/>
        <w:t>(Option II : sans préqualification)</w:t>
      </w:r>
      <w:bookmarkEnd w:id="443"/>
    </w:p>
    <w:p w14:paraId="785034BC" w14:textId="77777777" w:rsidR="007049A5" w:rsidRPr="004E4188" w:rsidRDefault="007049A5" w:rsidP="00110E6A">
      <w:pPr>
        <w:pStyle w:val="af5"/>
        <w:rPr>
          <w:color w:val="FF0000"/>
          <w:lang w:val="fr-FR"/>
        </w:rPr>
      </w:pPr>
    </w:p>
    <w:p w14:paraId="3803FFDE" w14:textId="77777777" w:rsidR="007049A5" w:rsidRPr="004E4188" w:rsidRDefault="007049A5" w:rsidP="00110E6A">
      <w:pPr>
        <w:pStyle w:val="af5"/>
        <w:rPr>
          <w:color w:val="FF0000"/>
          <w:lang w:val="fr-F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3"/>
      </w:tblGrid>
      <w:tr w:rsidR="007049A5" w:rsidRPr="004E4188" w14:paraId="1E60EC9B" w14:textId="77777777" w:rsidTr="00E222AC">
        <w:trPr>
          <w:trHeight w:val="1030"/>
        </w:trPr>
        <w:tc>
          <w:tcPr>
            <w:tcW w:w="9558" w:type="dxa"/>
            <w:shd w:val="clear" w:color="auto" w:fill="auto"/>
          </w:tcPr>
          <w:p w14:paraId="0C7BACF6" w14:textId="77777777" w:rsidR="007049A5" w:rsidRPr="004E4188" w:rsidRDefault="007049A5" w:rsidP="00E222AC">
            <w:pPr>
              <w:jc w:val="center"/>
              <w:rPr>
                <w:lang w:eastAsia="ja-JP"/>
              </w:rPr>
            </w:pPr>
          </w:p>
          <w:p w14:paraId="7FA70D84" w14:textId="5B006006" w:rsidR="007049A5" w:rsidRPr="004E4188" w:rsidRDefault="007049A5" w:rsidP="00E222AC">
            <w:pPr>
              <w:jc w:val="center"/>
              <w:rPr>
                <w:b/>
                <w:bCs/>
                <w:sz w:val="28"/>
                <w:szCs w:val="28"/>
                <w:lang w:eastAsia="ja-JP"/>
              </w:rPr>
            </w:pPr>
            <w:r w:rsidRPr="004E4188">
              <w:rPr>
                <w:b/>
                <w:bCs/>
                <w:sz w:val="28"/>
                <w:szCs w:val="28"/>
              </w:rPr>
              <w:t>Notes à l’intention du Maître d’ouvrage</w:t>
            </w:r>
          </w:p>
          <w:p w14:paraId="46BE6AFA" w14:textId="77777777" w:rsidR="007049A5" w:rsidRPr="004E4188" w:rsidRDefault="007049A5" w:rsidP="00E222AC">
            <w:pPr>
              <w:rPr>
                <w:lang w:eastAsia="ja-JP"/>
              </w:rPr>
            </w:pPr>
          </w:p>
          <w:p w14:paraId="121AD390" w14:textId="60AE4135" w:rsidR="007049A5" w:rsidRPr="004E4188" w:rsidRDefault="007049A5" w:rsidP="00E222AC">
            <w:pPr>
              <w:spacing w:afterLines="150" w:after="360"/>
            </w:pPr>
            <w:r w:rsidRPr="004E4188">
              <w:rPr>
                <w:lang w:eastAsia="ja-JP"/>
              </w:rPr>
              <w:t xml:space="preserve">Cette section indique les critères </w:t>
            </w:r>
            <w:r w:rsidRPr="004E4188">
              <w:t>utilisés pour déterminer l’offre évaluée la moins-disante et pour établir si le Soumissionnaire possède les qualifications nécessaires pour exécuter le Marché. Aucun autre facteur, critère ou méthode ne doit être utilisé. Le Soumissionnaire fournira toutes les informations demandées dans les formulaires de la Section IV, Formulaires de soumission.</w:t>
            </w:r>
          </w:p>
          <w:p w14:paraId="2A32ED84" w14:textId="2F3EC172" w:rsidR="007049A5" w:rsidRPr="004E4188" w:rsidRDefault="007049A5" w:rsidP="006C6267">
            <w:r w:rsidRPr="004E4188">
              <w:t xml:space="preserve">Le </w:t>
            </w:r>
            <w:r w:rsidRPr="004E4188">
              <w:rPr>
                <w:rFonts w:hint="eastAsia"/>
              </w:rPr>
              <w:t>Ma</w:t>
            </w:r>
            <w:r w:rsidRPr="004E4188">
              <w:t xml:space="preserve">ître d’ouvrage exige que les Soumissionnaires soient qualifiés en répondant à des critères </w:t>
            </w:r>
            <w:r w:rsidR="00456837" w:rsidRPr="004E4188">
              <w:t xml:space="preserve">minimaux </w:t>
            </w:r>
            <w:r w:rsidRPr="004E4188">
              <w:t>précis et prédéfinis. La méthode implique la formulation de critères « réussite/échec » qui, s’ils ne sont pas remplis, entraînent la disqualification du Soumissionnaire. Pour cette raison il est nécessaire de définir des critères « réussite/échec » précis dans le Dossier d’appel d’offres afin de permettre aux Soumissionnaires de prendre une décision en connaissance de cause pour s’engager dans un Marché spécifique et, le cas échéant, pour poursuivre en tant qu’une entreprise unique ou un groupement d’entreprises. Les critères retenus doivent porter sur des caractéristiques indispensables à la bonne exécution du Marché et doivent être énoncés clairement.</w:t>
            </w:r>
          </w:p>
          <w:p w14:paraId="7ECEAF40" w14:textId="77777777" w:rsidR="007049A5" w:rsidRPr="004E4188" w:rsidRDefault="007049A5" w:rsidP="006C6267"/>
          <w:p w14:paraId="5A262355" w14:textId="77777777" w:rsidR="007049A5" w:rsidRPr="004E4188" w:rsidRDefault="007049A5" w:rsidP="006C6267">
            <w:pPr>
              <w:suppressAutoHyphens w:val="0"/>
              <w:overflowPunct/>
              <w:autoSpaceDE/>
              <w:autoSpaceDN/>
              <w:adjustRightInd/>
              <w:textAlignment w:val="auto"/>
            </w:pPr>
            <w:bookmarkStart w:id="445" w:name="_Toc34225124"/>
            <w:bookmarkStart w:id="446" w:name="_Toc34227285"/>
            <w:bookmarkStart w:id="447" w:name="_Toc35283276"/>
            <w:bookmarkStart w:id="448" w:name="_Toc35533622"/>
            <w:r w:rsidRPr="004E4188">
              <w:rPr>
                <w:lang w:eastAsia="ja-JP"/>
              </w:rPr>
              <w:t>Les</w:t>
            </w:r>
            <w:r w:rsidRPr="004E4188">
              <w:rPr>
                <w:b/>
                <w:lang w:eastAsia="ja-JP"/>
              </w:rPr>
              <w:t xml:space="preserve"> </w:t>
            </w:r>
            <w:r w:rsidRPr="004E4188">
              <w:t xml:space="preserve">notes intitulées « </w:t>
            </w:r>
            <w:r w:rsidRPr="004E4188">
              <w:rPr>
                <w:i/>
              </w:rPr>
              <w:t>Notes à l’intention du Maître d’ouvrage</w:t>
            </w:r>
            <w:r w:rsidRPr="004E4188">
              <w:t xml:space="preserve"> », « en encadré » et celles en italique ne font pas partie des Critères d’évaluation et de qualification, mais contiennent des indications et des instructions à l’intention du Maître d’ouvrage. Elles doivent être retirées du Dossier d’appel d’offres qui sera remis aux Soumissionnaires.</w:t>
            </w:r>
            <w:bookmarkEnd w:id="445"/>
            <w:bookmarkEnd w:id="446"/>
            <w:bookmarkEnd w:id="447"/>
            <w:bookmarkEnd w:id="448"/>
          </w:p>
          <w:p w14:paraId="0426621A" w14:textId="77777777" w:rsidR="007049A5" w:rsidRPr="004E4188" w:rsidRDefault="007049A5" w:rsidP="006C6267"/>
          <w:p w14:paraId="4F8E3A57" w14:textId="5CA13796" w:rsidR="007049A5" w:rsidRPr="004E4188" w:rsidRDefault="007049A5" w:rsidP="006C6267">
            <w:pPr>
              <w:spacing w:afterLines="150" w:after="360"/>
              <w:rPr>
                <w:spacing w:val="-2"/>
              </w:rPr>
            </w:pPr>
            <w:r w:rsidRPr="004E4188">
              <w:rPr>
                <w:spacing w:val="-2"/>
              </w:rPr>
              <w:t xml:space="preserve">Les </w:t>
            </w:r>
            <w:r w:rsidRPr="004E4188">
              <w:t>« </w:t>
            </w:r>
            <w:r w:rsidRPr="004E4188">
              <w:rPr>
                <w:i/>
              </w:rPr>
              <w:t>Notes à l’intention des Soumissionnaires</w:t>
            </w:r>
            <w:r w:rsidRPr="004E4188">
              <w:t> »</w:t>
            </w:r>
            <w:r w:rsidRPr="004E4188">
              <w:rPr>
                <w:spacing w:val="-2"/>
              </w:rPr>
              <w:t xml:space="preserve">, incluses dans cette Section III, devront être incorporées dans le Dossier d’appel d’offres </w:t>
            </w:r>
            <w:r w:rsidRPr="004E4188">
              <w:t>qui sera remis au</w:t>
            </w:r>
            <w:r w:rsidRPr="004E4188">
              <w:rPr>
                <w:rFonts w:hint="eastAsia"/>
                <w:lang w:eastAsia="ja-JP"/>
              </w:rPr>
              <w:t>x</w:t>
            </w:r>
            <w:r w:rsidRPr="004E4188">
              <w:t xml:space="preserve"> Soumissionnaires</w:t>
            </w:r>
            <w:r w:rsidRPr="004E4188">
              <w:rPr>
                <w:spacing w:val="-2"/>
              </w:rPr>
              <w:t>.</w:t>
            </w:r>
          </w:p>
        </w:tc>
      </w:tr>
    </w:tbl>
    <w:p w14:paraId="0761B75A" w14:textId="77777777" w:rsidR="007049A5" w:rsidRPr="004E4188" w:rsidRDefault="007049A5" w:rsidP="00110E6A">
      <w:pPr>
        <w:pStyle w:val="af5"/>
        <w:jc w:val="both"/>
        <w:rPr>
          <w:color w:val="FF0000"/>
          <w:lang w:val="fr-FR"/>
        </w:rPr>
      </w:pPr>
    </w:p>
    <w:p w14:paraId="4AC39E48" w14:textId="77777777" w:rsidR="007049A5" w:rsidRPr="004E4188" w:rsidRDefault="007049A5" w:rsidP="00110E6A">
      <w:pPr>
        <w:pStyle w:val="af5"/>
        <w:rPr>
          <w:lang w:val="fr-FR"/>
        </w:rPr>
        <w:sectPr w:rsidR="007049A5" w:rsidRPr="004E4188" w:rsidSect="00FB7055">
          <w:headerReference w:type="even" r:id="rId67"/>
          <w:headerReference w:type="default" r:id="rId68"/>
          <w:headerReference w:type="first" r:id="rId69"/>
          <w:footnotePr>
            <w:numRestart w:val="eachPage"/>
          </w:footnotePr>
          <w:endnotePr>
            <w:numFmt w:val="decimal"/>
          </w:endnotePr>
          <w:type w:val="nextColumn"/>
          <w:pgSz w:w="12240" w:h="15840" w:code="1"/>
          <w:pgMar w:top="1440" w:right="1440" w:bottom="1440" w:left="1797" w:header="720" w:footer="720" w:gutter="0"/>
          <w:pgNumType w:start="1"/>
          <w:cols w:space="720"/>
        </w:sectPr>
      </w:pPr>
    </w:p>
    <w:p w14:paraId="4D9C1EE6" w14:textId="2FDE5315" w:rsidR="007049A5" w:rsidRPr="004E4188" w:rsidRDefault="007049A5" w:rsidP="00A47CD4">
      <w:pPr>
        <w:spacing w:afterLines="100" w:after="240"/>
        <w:jc w:val="center"/>
        <w:rPr>
          <w:b/>
          <w:sz w:val="36"/>
          <w:szCs w:val="36"/>
        </w:rPr>
      </w:pPr>
      <w:r w:rsidRPr="004E4188">
        <w:rPr>
          <w:b/>
          <w:sz w:val="36"/>
          <w:szCs w:val="36"/>
        </w:rPr>
        <w:t>Critères d’évaluation et de qualification</w:t>
      </w:r>
      <w:bookmarkEnd w:id="437"/>
      <w:bookmarkEnd w:id="438"/>
      <w:bookmarkEnd w:id="439"/>
      <w:r w:rsidRPr="004E4188">
        <w:rPr>
          <w:b/>
          <w:sz w:val="36"/>
          <w:szCs w:val="36"/>
        </w:rPr>
        <w:br/>
        <w:t>(sans préqualification)</w:t>
      </w:r>
      <w:bookmarkEnd w:id="440"/>
      <w:bookmarkEnd w:id="441"/>
      <w:bookmarkEnd w:id="444"/>
    </w:p>
    <w:p w14:paraId="795A4939" w14:textId="77777777" w:rsidR="007049A5" w:rsidRPr="004E4188" w:rsidRDefault="007049A5" w:rsidP="00A47CD4">
      <w:pPr>
        <w:spacing w:afterLines="100" w:after="240"/>
        <w:rPr>
          <w:b/>
        </w:rPr>
      </w:pPr>
      <w:r w:rsidRPr="004E4188">
        <w:rPr>
          <w:b/>
          <w:sz w:val="28"/>
          <w:szCs w:val="28"/>
        </w:rPr>
        <w:t>Offres de la première étape</w:t>
      </w:r>
    </w:p>
    <w:p w14:paraId="17B81096" w14:textId="35DA5F4E" w:rsidR="007049A5" w:rsidRPr="004E4188" w:rsidRDefault="007049A5" w:rsidP="00145DDB">
      <w:pPr>
        <w:spacing w:afterLines="50" w:after="120"/>
        <w:ind w:left="851" w:hanging="851"/>
      </w:pPr>
      <w:r w:rsidRPr="004E4188">
        <w:rPr>
          <w:b/>
          <w:sz w:val="28"/>
          <w:szCs w:val="28"/>
        </w:rPr>
        <w:t>1</w:t>
      </w:r>
      <w:r w:rsidR="0075268B" w:rsidRPr="004E4188">
        <w:rPr>
          <w:b/>
          <w:sz w:val="28"/>
          <w:szCs w:val="28"/>
        </w:rPr>
        <w:t>.</w:t>
      </w:r>
      <w:r w:rsidRPr="004E4188">
        <w:rPr>
          <w:b/>
          <w:sz w:val="28"/>
          <w:szCs w:val="28"/>
          <w:lang w:eastAsia="ja-JP"/>
        </w:rPr>
        <w:tab/>
      </w:r>
      <w:r w:rsidRPr="004E4188">
        <w:rPr>
          <w:b/>
          <w:sz w:val="28"/>
          <w:szCs w:val="28"/>
        </w:rPr>
        <w:t>Évaluation</w:t>
      </w:r>
    </w:p>
    <w:p w14:paraId="2568C8D5" w14:textId="77777777" w:rsidR="007049A5" w:rsidRPr="004E4188" w:rsidRDefault="007049A5" w:rsidP="003D46CF">
      <w:pPr>
        <w:pStyle w:val="ListParagraph1"/>
        <w:numPr>
          <w:ilvl w:val="1"/>
          <w:numId w:val="56"/>
        </w:numPr>
        <w:tabs>
          <w:tab w:val="clear" w:pos="420"/>
          <w:tab w:val="num" w:pos="851"/>
        </w:tabs>
        <w:ind w:left="851" w:hanging="851"/>
        <w:jc w:val="left"/>
        <w:rPr>
          <w:b/>
          <w:sz w:val="28"/>
          <w:szCs w:val="28"/>
          <w:lang w:val="fr-FR" w:eastAsia="ja-JP"/>
        </w:rPr>
      </w:pPr>
      <w:r w:rsidRPr="004E4188">
        <w:rPr>
          <w:b/>
          <w:sz w:val="28"/>
          <w:szCs w:val="28"/>
          <w:lang w:val="fr-FR"/>
        </w:rPr>
        <w:t>Évaluation des Offres Techniques</w:t>
      </w:r>
    </w:p>
    <w:p w14:paraId="3FED64FA" w14:textId="77777777" w:rsidR="007049A5" w:rsidRPr="004E4188" w:rsidRDefault="007049A5" w:rsidP="00145DDB">
      <w:pPr>
        <w:pStyle w:val="aff7"/>
        <w:spacing w:after="120"/>
        <w:ind w:leftChars="0" w:left="850"/>
        <w:rPr>
          <w:rFonts w:ascii="Times New Roman" w:hAnsi="Times New Roman"/>
          <w:sz w:val="24"/>
          <w:szCs w:val="24"/>
          <w:lang w:val="fr-FR"/>
        </w:rPr>
      </w:pPr>
      <w:r w:rsidRPr="004E4188">
        <w:rPr>
          <w:rFonts w:ascii="Times New Roman" w:hAnsi="Times New Roman"/>
          <w:sz w:val="24"/>
          <w:szCs w:val="24"/>
          <w:lang w:val="fr-FR"/>
        </w:rPr>
        <w:t xml:space="preserve">L’évaluation des offres de la première étape comporte les étapes suivantes : </w:t>
      </w:r>
    </w:p>
    <w:p w14:paraId="11479D3F" w14:textId="7BFD449F" w:rsidR="007049A5" w:rsidRPr="004E4188" w:rsidRDefault="007049A5" w:rsidP="006C6267">
      <w:pPr>
        <w:widowControl w:val="0"/>
        <w:tabs>
          <w:tab w:val="left" w:pos="1418"/>
        </w:tabs>
        <w:spacing w:after="60" w:line="0" w:lineRule="atLeast"/>
        <w:ind w:left="1418" w:hanging="567"/>
        <w:rPr>
          <w:szCs w:val="24"/>
        </w:rPr>
      </w:pPr>
      <w:r w:rsidRPr="004E4188">
        <w:rPr>
          <w:szCs w:val="24"/>
        </w:rPr>
        <w:t>(a)</w:t>
      </w:r>
      <w:r w:rsidRPr="004E4188">
        <w:rPr>
          <w:szCs w:val="24"/>
        </w:rPr>
        <w:tab/>
        <w:t>La confirmation des qualifications du Soumissionnaire à exécuter le Marché de manière satisfaisante conformément à IS</w:t>
      </w:r>
      <w:r w:rsidR="0075268B" w:rsidRPr="004E4188">
        <w:rPr>
          <w:szCs w:val="24"/>
        </w:rPr>
        <w:t> </w:t>
      </w:r>
      <w:r w:rsidRPr="004E4188">
        <w:rPr>
          <w:szCs w:val="24"/>
        </w:rPr>
        <w:t>24. Les critères de qualification à considérer sont détaillés plus bas à l’Article 2 (</w:t>
      </w:r>
      <w:r w:rsidRPr="004E4188">
        <w:rPr>
          <w:i/>
          <w:szCs w:val="24"/>
        </w:rPr>
        <w:t>Qualification</w:t>
      </w:r>
      <w:r w:rsidRPr="004E4188">
        <w:rPr>
          <w:szCs w:val="24"/>
        </w:rPr>
        <w:t>).</w:t>
      </w:r>
    </w:p>
    <w:p w14:paraId="036825E0" w14:textId="77777777" w:rsidR="007049A5" w:rsidRPr="004E4188" w:rsidRDefault="007049A5" w:rsidP="006C6267">
      <w:pPr>
        <w:widowControl w:val="0"/>
        <w:tabs>
          <w:tab w:val="left" w:pos="1418"/>
        </w:tabs>
        <w:spacing w:after="60" w:line="0" w:lineRule="atLeast"/>
        <w:ind w:left="1418" w:hanging="567"/>
        <w:rPr>
          <w:szCs w:val="24"/>
        </w:rPr>
      </w:pPr>
      <w:r w:rsidRPr="004E4188">
        <w:rPr>
          <w:szCs w:val="24"/>
        </w:rPr>
        <w:t>(b)</w:t>
      </w:r>
      <w:r w:rsidRPr="004E4188">
        <w:rPr>
          <w:szCs w:val="24"/>
        </w:rPr>
        <w:tab/>
        <w:t>La vérification que l’offre de la première étape est substantiellement conforme telle que définie à IS 25. Les critères d’évaluation à considérer sont décrits ci-dessous.</w:t>
      </w:r>
    </w:p>
    <w:p w14:paraId="4D81A764" w14:textId="77777777" w:rsidR="007049A5" w:rsidRPr="004E4188" w:rsidRDefault="007049A5" w:rsidP="006C6267">
      <w:pPr>
        <w:spacing w:after="120"/>
        <w:ind w:left="1418"/>
        <w:rPr>
          <w:szCs w:val="24"/>
        </w:rPr>
      </w:pPr>
      <w:r w:rsidRPr="004E4188">
        <w:rPr>
          <w:szCs w:val="24"/>
        </w:rPr>
        <w:t>Cette étape comprend, entre autres, une évaluation de la conformité de la Proposition technique présentée par le Soumissionnaire, au cours de laquelle les capacités techniques du Soumissionnaire à terminer les Installations seront vérifiées sous l’angle des points exposés ci-après. Sur la base de cette évaluation, le Maître d’ouvrage déterminera si la Proposition technique est substantiellement conforme aux exigences définies à la Section VI, Exigences du Maître d’ouvrage.</w:t>
      </w:r>
    </w:p>
    <w:p w14:paraId="01FF76D5"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(i)</w:t>
      </w:r>
      <w:r w:rsidRPr="004E4188">
        <w:rPr>
          <w:szCs w:val="24"/>
        </w:rPr>
        <w:tab/>
        <w:t xml:space="preserve">Son exhaustivité générale et concordance avec les Exigences du Maître d’ouvrage. </w:t>
      </w:r>
    </w:p>
    <w:p w14:paraId="407E7224" w14:textId="249327C0" w:rsidR="007049A5" w:rsidRPr="004E4188" w:rsidRDefault="007049A5" w:rsidP="006C6267">
      <w:pPr>
        <w:widowControl w:val="0"/>
        <w:tabs>
          <w:tab w:val="left" w:pos="1418"/>
        </w:tabs>
        <w:spacing w:after="60" w:line="0" w:lineRule="atLeast"/>
        <w:ind w:left="1985" w:hanging="567"/>
        <w:rPr>
          <w:szCs w:val="24"/>
        </w:rPr>
      </w:pPr>
      <w:r w:rsidRPr="004E4188">
        <w:rPr>
          <w:szCs w:val="24"/>
        </w:rPr>
        <w:t>(ii)</w:t>
      </w:r>
      <w:r w:rsidRPr="004E4188">
        <w:rPr>
          <w:szCs w:val="24"/>
        </w:rPr>
        <w:tab/>
        <w:t>La conformité des Équipements et Services de montage avec les critères de performance demandés, y compris avec les niveaux minimaux (ou maximaux, le cas échéant) acceptables spécifiés correspondant à chaque garantie opérationnelle comme indiqué dans les Exigences du Maître d’</w:t>
      </w:r>
      <w:r w:rsidRPr="004E4188">
        <w:rPr>
          <w:rFonts w:hint="eastAsia"/>
          <w:szCs w:val="24"/>
        </w:rPr>
        <w:t>o</w:t>
      </w:r>
      <w:r w:rsidRPr="004E4188">
        <w:rPr>
          <w:szCs w:val="24"/>
        </w:rPr>
        <w:t xml:space="preserve">uvrage et à cette </w:t>
      </w:r>
      <w:r w:rsidR="008846FB" w:rsidRPr="004E4188">
        <w:rPr>
          <w:szCs w:val="24"/>
        </w:rPr>
        <w:t>s</w:t>
      </w:r>
      <w:r w:rsidRPr="004E4188">
        <w:rPr>
          <w:szCs w:val="24"/>
        </w:rPr>
        <w:t>ection.</w:t>
      </w:r>
    </w:p>
    <w:p w14:paraId="4DEDA1BA"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(iii)</w:t>
      </w:r>
      <w:r w:rsidRPr="004E4188">
        <w:rPr>
          <w:szCs w:val="24"/>
        </w:rPr>
        <w:tab/>
        <w:t xml:space="preserve">La compatibilité des Équipements et Services de montage avec la protection de l’environnement et les conditions climatiques prévalant sur le site. </w:t>
      </w:r>
    </w:p>
    <w:p w14:paraId="30623476"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 xml:space="preserve">(iv) </w:t>
      </w:r>
      <w:r w:rsidRPr="004E4188">
        <w:rPr>
          <w:szCs w:val="24"/>
        </w:rPr>
        <w:tab/>
        <w:t>La qualité, le rôle et la mise en œuvre de tout procédé de contrôle proposé dans l’offre.</w:t>
      </w:r>
    </w:p>
    <w:p w14:paraId="42836F2E"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(v)</w:t>
      </w:r>
      <w:r w:rsidRPr="004E4188">
        <w:rPr>
          <w:szCs w:val="24"/>
        </w:rPr>
        <w:tab/>
        <w:t>Le type, la quantité, et la disponibilité à long terme des pièces de rechange obligatoires et recommandées, ainsi que les services de maintenance.</w:t>
      </w:r>
    </w:p>
    <w:p w14:paraId="474D0928"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(vi)</w:t>
      </w:r>
      <w:r w:rsidRPr="004E4188">
        <w:rPr>
          <w:szCs w:val="24"/>
        </w:rPr>
        <w:tab/>
        <w:t>La mobilisation des équipements principaux de construction et du personnel clé nécessaire à l’exécution des Équipements et Services de montage.</w:t>
      </w:r>
    </w:p>
    <w:p w14:paraId="71652E60"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(vii)</w:t>
      </w:r>
      <w:r w:rsidRPr="004E4188">
        <w:rPr>
          <w:szCs w:val="24"/>
        </w:rPr>
        <w:tab/>
        <w:t>L’affectation appropriée du personnel pour superviser et contrôler de manière adéquate l’exécution des Équipements et Services de montage.</w:t>
      </w:r>
    </w:p>
    <w:p w14:paraId="51B119D3"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(viii)</w:t>
      </w:r>
      <w:r w:rsidRPr="004E4188">
        <w:rPr>
          <w:szCs w:val="24"/>
        </w:rPr>
        <w:tab/>
        <w:t>La p</w:t>
      </w:r>
      <w:r w:rsidRPr="004E4188">
        <w:rPr>
          <w:rFonts w:hint="eastAsia"/>
          <w:szCs w:val="24"/>
        </w:rPr>
        <w:t>lanification</w:t>
      </w:r>
      <w:r w:rsidRPr="004E4188">
        <w:rPr>
          <w:szCs w:val="24"/>
        </w:rPr>
        <w:t xml:space="preserve"> et la programmation de toutes les activités de manière à ce que les Installations soient achevées à temps et répondent à toutes les exigences du Marché, principalement le respect du calendrier d’exécution indiqué dans l’annexe correspondante de l’Acte d’engagement, et documenté par un planning des phases d’exécution fourni dans la Proposition technique.</w:t>
      </w:r>
    </w:p>
    <w:p w14:paraId="1238A4B9"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(ix)</w:t>
      </w:r>
      <w:r w:rsidRPr="004E4188">
        <w:rPr>
          <w:szCs w:val="24"/>
        </w:rPr>
        <w:tab/>
        <w:t>L’exécution des Équipements et Services de montage en pleine conformité avec toutes les exigences du Marché, incluant, mais sans s’y limiter, les méthodes de travail, l’approvisionnement en matériaux, etc.</w:t>
      </w:r>
    </w:p>
    <w:p w14:paraId="2214045B"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(x)</w:t>
      </w:r>
      <w:r w:rsidRPr="004E4188">
        <w:rPr>
          <w:szCs w:val="24"/>
        </w:rPr>
        <w:tab/>
        <w:t>L’exécution de toutes les opérations pour les É</w:t>
      </w:r>
      <w:r w:rsidRPr="004E4188">
        <w:rPr>
          <w:szCs w:val="24"/>
          <w:lang w:eastAsia="en-US"/>
        </w:rPr>
        <w:t>quipements et Services de montage</w:t>
      </w:r>
      <w:r w:rsidRPr="004E4188">
        <w:rPr>
          <w:szCs w:val="24"/>
        </w:rPr>
        <w:t xml:space="preserve"> en toute sécurité et dans le respect de l’environnement.</w:t>
      </w:r>
    </w:p>
    <w:p w14:paraId="74F7E4E8"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(xi)</w:t>
      </w:r>
      <w:r w:rsidRPr="004E4188">
        <w:rPr>
          <w:szCs w:val="24"/>
        </w:rPr>
        <w:tab/>
        <w:t>La conformité des sous-traitants proposés pour les élément</w:t>
      </w:r>
      <w:r w:rsidRPr="004E4188">
        <w:rPr>
          <w:rFonts w:hint="eastAsia"/>
          <w:szCs w:val="24"/>
          <w:lang w:eastAsia="ja-JP"/>
        </w:rPr>
        <w:t>s</w:t>
      </w:r>
      <w:r w:rsidRPr="004E4188">
        <w:rPr>
          <w:szCs w:val="24"/>
        </w:rPr>
        <w:t xml:space="preserve"> </w:t>
      </w:r>
      <w:r w:rsidRPr="004E4188">
        <w:rPr>
          <w:rFonts w:hint="eastAsia"/>
          <w:szCs w:val="24"/>
        </w:rPr>
        <w:t>é</w:t>
      </w:r>
      <w:r w:rsidRPr="004E4188">
        <w:rPr>
          <w:szCs w:val="24"/>
        </w:rPr>
        <w:t>numérés à l’Article</w:t>
      </w:r>
      <w:r w:rsidRPr="004E4188">
        <w:rPr>
          <w:rFonts w:cs="HBKMBP+TimesNewRoman"/>
          <w:color w:val="000000"/>
          <w:szCs w:val="24"/>
        </w:rPr>
        <w:t xml:space="preserve"> 1.1.3 ci-dessous, le cas échéant</w:t>
      </w:r>
      <w:r w:rsidRPr="004E4188">
        <w:rPr>
          <w:szCs w:val="24"/>
        </w:rPr>
        <w:t>.</w:t>
      </w:r>
    </w:p>
    <w:p w14:paraId="65158DEB" w14:textId="77777777" w:rsidR="007049A5" w:rsidRPr="004E4188" w:rsidRDefault="007049A5" w:rsidP="006C6267">
      <w:pPr>
        <w:pStyle w:val="aff7"/>
        <w:tabs>
          <w:tab w:val="left" w:pos="1418"/>
        </w:tabs>
        <w:spacing w:after="60" w:line="0" w:lineRule="atLeast"/>
        <w:ind w:leftChars="0"/>
        <w:rPr>
          <w:szCs w:val="24"/>
          <w:lang w:val="fr-FR"/>
        </w:rPr>
      </w:pPr>
    </w:p>
    <w:p w14:paraId="06F2511B" w14:textId="77777777" w:rsidR="007049A5" w:rsidRPr="004E4188" w:rsidRDefault="007049A5" w:rsidP="00184C20">
      <w:pPr>
        <w:ind w:left="850"/>
        <w:rPr>
          <w:lang w:eastAsia="ja-JP"/>
        </w:rPr>
      </w:pPr>
      <w:r w:rsidRPr="004E4188">
        <w:rPr>
          <w:rFonts w:cs="HBKMBP+TimesNewRoman"/>
          <w:color w:val="000000"/>
          <w:szCs w:val="24"/>
        </w:rPr>
        <w:t xml:space="preserve">Une offre qui ne satisfait pas aux exigences minimales acceptables en matière d’exhaustivité, de cohérence et de précision, ainsi qu’aux </w:t>
      </w:r>
      <w:r w:rsidRPr="004E4188">
        <w:rPr>
          <w:rFonts w:cs="HBKMBP+TimesNewRoman"/>
          <w:szCs w:val="24"/>
        </w:rPr>
        <w:t>niveaux</w:t>
      </w:r>
      <w:r w:rsidRPr="004E4188">
        <w:rPr>
          <w:rFonts w:cs="HBKMBP+TimesNewRoman"/>
          <w:color w:val="FF0000"/>
          <w:szCs w:val="24"/>
        </w:rPr>
        <w:t xml:space="preserve"> </w:t>
      </w:r>
      <w:r w:rsidRPr="004E4188">
        <w:rPr>
          <w:rFonts w:cs="HBKMBP+TimesNewRoman"/>
          <w:color w:val="000000"/>
          <w:szCs w:val="24"/>
        </w:rPr>
        <w:t xml:space="preserve">minimaux (ou maximaux, le cas échéant) acceptables spécifiés pour les garanties opérationnelles requises, </w:t>
      </w:r>
      <w:r w:rsidRPr="004E4188">
        <w:t>est susceptible d’être</w:t>
      </w:r>
      <w:r w:rsidRPr="004E4188">
        <w:rPr>
          <w:rFonts w:cs="HBKMBP+TimesNewRoman"/>
          <w:color w:val="000000"/>
          <w:szCs w:val="24"/>
        </w:rPr>
        <w:t xml:space="preserve"> rejetée</w:t>
      </w:r>
      <w:r w:rsidRPr="004E4188">
        <w:rPr>
          <w:lang w:eastAsia="ja-JP"/>
        </w:rPr>
        <w:t xml:space="preserve"> </w:t>
      </w:r>
      <w:r w:rsidRPr="004E4188">
        <w:rPr>
          <w:szCs w:val="24"/>
        </w:rPr>
        <w:t xml:space="preserve">conformément à IS </w:t>
      </w:r>
      <w:r w:rsidRPr="004E4188">
        <w:rPr>
          <w:lang w:eastAsia="ja-JP"/>
        </w:rPr>
        <w:t>25.1.</w:t>
      </w:r>
    </w:p>
    <w:p w14:paraId="191E3F65" w14:textId="77777777" w:rsidR="007049A5" w:rsidRPr="004E4188" w:rsidRDefault="007049A5" w:rsidP="004633B5">
      <w:pPr>
        <w:tabs>
          <w:tab w:val="left" w:pos="1320"/>
        </w:tabs>
        <w:spacing w:afterLines="50" w:after="120"/>
        <w:ind w:leftChars="290" w:left="696"/>
        <w:rPr>
          <w:b/>
        </w:rPr>
      </w:pPr>
    </w:p>
    <w:p w14:paraId="3872BD37" w14:textId="2C691B0A" w:rsidR="007049A5" w:rsidRPr="004E4188" w:rsidRDefault="007049A5" w:rsidP="003D46CF">
      <w:pPr>
        <w:numPr>
          <w:ilvl w:val="2"/>
          <w:numId w:val="58"/>
        </w:numPr>
        <w:tabs>
          <w:tab w:val="clear" w:pos="720"/>
        </w:tabs>
        <w:suppressAutoHyphens w:val="0"/>
        <w:overflowPunct/>
        <w:autoSpaceDE/>
        <w:autoSpaceDN/>
        <w:adjustRightInd/>
        <w:ind w:left="851" w:hanging="851"/>
        <w:jc w:val="left"/>
        <w:textAlignment w:val="auto"/>
        <w:rPr>
          <w:b/>
        </w:rPr>
      </w:pPr>
      <w:r w:rsidRPr="004E4188">
        <w:rPr>
          <w:b/>
        </w:rPr>
        <w:t>Personnel</w:t>
      </w:r>
    </w:p>
    <w:p w14:paraId="24D1B150" w14:textId="573F1A9C" w:rsidR="007049A5" w:rsidRPr="004E4188" w:rsidRDefault="007049A5" w:rsidP="00184C20">
      <w:pPr>
        <w:spacing w:afterLines="50" w:after="120"/>
        <w:ind w:left="850"/>
        <w:rPr>
          <w:lang w:eastAsia="ja-JP"/>
        </w:rPr>
      </w:pPr>
      <w:r w:rsidRPr="004E4188">
        <w:t xml:space="preserve">Le Soumissionnaire doit établir qu’il dispose du personnel </w:t>
      </w:r>
      <w:r w:rsidRPr="004E4188">
        <w:rPr>
          <w:szCs w:val="24"/>
        </w:rPr>
        <w:t>répondant aux critères ci-après pour les postes-clés suivants </w:t>
      </w:r>
      <w:r w:rsidRPr="004E4188">
        <w:t>:</w:t>
      </w:r>
    </w:p>
    <w:tbl>
      <w:tblPr>
        <w:tblW w:w="8272"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3856"/>
        <w:gridCol w:w="1525"/>
        <w:gridCol w:w="1819"/>
      </w:tblGrid>
      <w:tr w:rsidR="007049A5" w:rsidRPr="004E4188" w14:paraId="6B5912C2" w14:textId="77777777" w:rsidTr="006C6267">
        <w:tc>
          <w:tcPr>
            <w:tcW w:w="1072" w:type="dxa"/>
            <w:vMerge w:val="restart"/>
            <w:tcBorders>
              <w:top w:val="single" w:sz="12" w:space="0" w:color="auto"/>
              <w:left w:val="single" w:sz="12" w:space="0" w:color="auto"/>
              <w:right w:val="single" w:sz="12" w:space="0" w:color="auto"/>
            </w:tcBorders>
            <w:shd w:val="clear" w:color="auto" w:fill="D9D9D9"/>
            <w:vAlign w:val="center"/>
          </w:tcPr>
          <w:p w14:paraId="1B8C04BC" w14:textId="77777777" w:rsidR="007049A5" w:rsidRPr="004E4188" w:rsidRDefault="007049A5" w:rsidP="004651FB">
            <w:pPr>
              <w:jc w:val="center"/>
              <w:rPr>
                <w:rFonts w:asciiTheme="majorHAnsi" w:hAnsiTheme="majorHAnsi" w:cstheme="majorHAnsi"/>
                <w:b/>
                <w:bCs/>
                <w:sz w:val="20"/>
              </w:rPr>
            </w:pPr>
            <w:r w:rsidRPr="004E4188">
              <w:rPr>
                <w:rFonts w:asciiTheme="majorHAnsi" w:hAnsiTheme="majorHAnsi" w:cstheme="majorHAnsi"/>
                <w:b/>
                <w:bCs/>
                <w:sz w:val="20"/>
              </w:rPr>
              <w:t>n°</w:t>
            </w:r>
          </w:p>
        </w:tc>
        <w:tc>
          <w:tcPr>
            <w:tcW w:w="3856" w:type="dxa"/>
            <w:vMerge w:val="restart"/>
            <w:tcBorders>
              <w:top w:val="single" w:sz="12" w:space="0" w:color="auto"/>
              <w:left w:val="single" w:sz="12" w:space="0" w:color="auto"/>
              <w:right w:val="single" w:sz="12" w:space="0" w:color="auto"/>
            </w:tcBorders>
            <w:shd w:val="clear" w:color="auto" w:fill="D9D9D9"/>
            <w:vAlign w:val="center"/>
          </w:tcPr>
          <w:p w14:paraId="659E5C63" w14:textId="77777777" w:rsidR="007049A5" w:rsidRPr="004E4188" w:rsidRDefault="007049A5" w:rsidP="004651FB">
            <w:pPr>
              <w:jc w:val="center"/>
              <w:rPr>
                <w:rFonts w:asciiTheme="majorHAnsi" w:hAnsiTheme="majorHAnsi" w:cstheme="majorHAnsi"/>
                <w:b/>
                <w:bCs/>
                <w:sz w:val="20"/>
              </w:rPr>
            </w:pPr>
            <w:r w:rsidRPr="004E4188">
              <w:rPr>
                <w:rFonts w:asciiTheme="majorHAnsi" w:hAnsiTheme="majorHAnsi" w:cstheme="majorHAnsi"/>
                <w:b/>
                <w:bCs/>
                <w:sz w:val="20"/>
              </w:rPr>
              <w:t>Poste</w:t>
            </w:r>
          </w:p>
        </w:tc>
        <w:tc>
          <w:tcPr>
            <w:tcW w:w="3344"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74B35BC" w14:textId="77777777" w:rsidR="007049A5" w:rsidRPr="004E4188" w:rsidRDefault="007049A5" w:rsidP="004651FB">
            <w:pPr>
              <w:jc w:val="center"/>
              <w:rPr>
                <w:rFonts w:asciiTheme="majorHAnsi" w:hAnsiTheme="majorHAnsi" w:cstheme="majorHAnsi"/>
                <w:b/>
                <w:bCs/>
                <w:sz w:val="22"/>
                <w:lang w:eastAsia="ja-JP"/>
              </w:rPr>
            </w:pPr>
            <w:r w:rsidRPr="004E4188">
              <w:rPr>
                <w:rFonts w:asciiTheme="majorHAnsi" w:hAnsiTheme="majorHAnsi" w:cstheme="majorHAnsi"/>
                <w:b/>
                <w:bCs/>
                <w:sz w:val="20"/>
                <w:lang w:eastAsia="ja-JP"/>
              </w:rPr>
              <w:t>Nombre minimum d’années</w:t>
            </w:r>
          </w:p>
        </w:tc>
      </w:tr>
      <w:tr w:rsidR="007049A5" w:rsidRPr="004E4188" w14:paraId="601E2515" w14:textId="77777777" w:rsidTr="006C6267">
        <w:tc>
          <w:tcPr>
            <w:tcW w:w="1072" w:type="dxa"/>
            <w:vMerge/>
            <w:tcBorders>
              <w:left w:val="single" w:sz="12" w:space="0" w:color="auto"/>
              <w:bottom w:val="single" w:sz="12" w:space="0" w:color="auto"/>
              <w:right w:val="single" w:sz="12" w:space="0" w:color="auto"/>
            </w:tcBorders>
            <w:shd w:val="clear" w:color="auto" w:fill="D9D9D9"/>
            <w:vAlign w:val="center"/>
          </w:tcPr>
          <w:p w14:paraId="533195C9" w14:textId="77777777" w:rsidR="007049A5" w:rsidRPr="004E4188" w:rsidRDefault="007049A5" w:rsidP="004651FB">
            <w:pPr>
              <w:jc w:val="center"/>
              <w:rPr>
                <w:rFonts w:asciiTheme="majorHAnsi" w:hAnsiTheme="majorHAnsi" w:cstheme="majorHAnsi"/>
                <w:b/>
                <w:bCs/>
                <w:sz w:val="22"/>
              </w:rPr>
            </w:pPr>
          </w:p>
        </w:tc>
        <w:tc>
          <w:tcPr>
            <w:tcW w:w="3856" w:type="dxa"/>
            <w:vMerge/>
            <w:tcBorders>
              <w:left w:val="single" w:sz="12" w:space="0" w:color="auto"/>
              <w:bottom w:val="single" w:sz="12" w:space="0" w:color="auto"/>
              <w:right w:val="single" w:sz="12" w:space="0" w:color="auto"/>
            </w:tcBorders>
            <w:shd w:val="clear" w:color="auto" w:fill="D9D9D9"/>
            <w:vAlign w:val="center"/>
          </w:tcPr>
          <w:p w14:paraId="304C1CDB" w14:textId="77777777" w:rsidR="007049A5" w:rsidRPr="004E4188" w:rsidRDefault="007049A5" w:rsidP="004651FB">
            <w:pPr>
              <w:jc w:val="center"/>
              <w:rPr>
                <w:rFonts w:asciiTheme="majorHAnsi" w:hAnsiTheme="majorHAnsi" w:cstheme="majorHAnsi"/>
                <w:b/>
                <w:bCs/>
                <w:sz w:val="22"/>
              </w:rPr>
            </w:pPr>
          </w:p>
        </w:tc>
        <w:tc>
          <w:tcPr>
            <w:tcW w:w="1525" w:type="dxa"/>
            <w:tcBorders>
              <w:top w:val="single" w:sz="12" w:space="0" w:color="auto"/>
              <w:left w:val="single" w:sz="12" w:space="0" w:color="auto"/>
              <w:bottom w:val="single" w:sz="12" w:space="0" w:color="auto"/>
              <w:right w:val="single" w:sz="12" w:space="0" w:color="auto"/>
            </w:tcBorders>
            <w:shd w:val="clear" w:color="auto" w:fill="D9D9D9"/>
            <w:vAlign w:val="center"/>
          </w:tcPr>
          <w:p w14:paraId="72FBD96B" w14:textId="55B1231B" w:rsidR="007049A5" w:rsidRPr="004E4188" w:rsidRDefault="007049A5" w:rsidP="004651FB">
            <w:pPr>
              <w:jc w:val="center"/>
              <w:rPr>
                <w:rFonts w:asciiTheme="majorHAnsi" w:hAnsiTheme="majorHAnsi" w:cstheme="majorHAnsi"/>
                <w:b/>
                <w:bCs/>
                <w:sz w:val="22"/>
              </w:rPr>
            </w:pPr>
            <w:r w:rsidRPr="004E4188">
              <w:rPr>
                <w:rFonts w:asciiTheme="majorHAnsi" w:hAnsiTheme="majorHAnsi" w:cstheme="majorHAnsi"/>
                <w:b/>
                <w:bCs/>
                <w:sz w:val="20"/>
              </w:rPr>
              <w:t>Postes similaire</w:t>
            </w:r>
            <w:r w:rsidRPr="004E4188">
              <w:rPr>
                <w:rFonts w:asciiTheme="majorHAnsi" w:hAnsiTheme="majorHAnsi" w:cstheme="majorHAnsi"/>
                <w:b/>
                <w:bCs/>
                <w:sz w:val="20"/>
                <w:lang w:eastAsia="ja-JP"/>
              </w:rPr>
              <w:t>s</w:t>
            </w:r>
          </w:p>
        </w:tc>
        <w:tc>
          <w:tcPr>
            <w:tcW w:w="1819" w:type="dxa"/>
            <w:tcBorders>
              <w:top w:val="single" w:sz="12" w:space="0" w:color="auto"/>
              <w:left w:val="single" w:sz="12" w:space="0" w:color="auto"/>
              <w:bottom w:val="single" w:sz="12" w:space="0" w:color="auto"/>
              <w:right w:val="single" w:sz="12" w:space="0" w:color="auto"/>
            </w:tcBorders>
            <w:shd w:val="clear" w:color="auto" w:fill="D9D9D9"/>
            <w:vAlign w:val="center"/>
          </w:tcPr>
          <w:p w14:paraId="42D0D23C" w14:textId="079C9875" w:rsidR="007049A5" w:rsidRPr="004E4188" w:rsidRDefault="007049A5" w:rsidP="004651FB">
            <w:pPr>
              <w:jc w:val="center"/>
              <w:rPr>
                <w:rFonts w:asciiTheme="majorHAnsi" w:hAnsiTheme="majorHAnsi" w:cstheme="majorHAnsi"/>
                <w:b/>
                <w:bCs/>
                <w:sz w:val="22"/>
                <w:lang w:eastAsia="ja-JP"/>
              </w:rPr>
            </w:pPr>
            <w:r w:rsidRPr="004E4188">
              <w:rPr>
                <w:rFonts w:asciiTheme="majorHAnsi" w:hAnsiTheme="majorHAnsi" w:cstheme="majorHAnsi"/>
                <w:b/>
                <w:bCs/>
                <w:sz w:val="20"/>
                <w:lang w:eastAsia="ja-JP"/>
              </w:rPr>
              <w:t>Expérience professionnelle générale</w:t>
            </w:r>
          </w:p>
        </w:tc>
      </w:tr>
      <w:tr w:rsidR="007049A5" w:rsidRPr="004E4188" w14:paraId="2A653C7F" w14:textId="77777777" w:rsidTr="006C6267">
        <w:trPr>
          <w:trHeight w:val="340"/>
        </w:trPr>
        <w:tc>
          <w:tcPr>
            <w:tcW w:w="1072" w:type="dxa"/>
            <w:tcBorders>
              <w:top w:val="single" w:sz="12" w:space="0" w:color="auto"/>
            </w:tcBorders>
            <w:vAlign w:val="center"/>
          </w:tcPr>
          <w:p w14:paraId="7F8175EF" w14:textId="77777777" w:rsidR="007049A5" w:rsidRPr="004E4188" w:rsidRDefault="007049A5" w:rsidP="00081ED0">
            <w:pPr>
              <w:pStyle w:val="aa"/>
              <w:jc w:val="center"/>
              <w:rPr>
                <w:rFonts w:asciiTheme="majorHAnsi" w:hAnsiTheme="majorHAnsi" w:cstheme="majorHAnsi"/>
              </w:rPr>
            </w:pPr>
            <w:r w:rsidRPr="004E4188">
              <w:rPr>
                <w:rFonts w:asciiTheme="majorHAnsi" w:hAnsiTheme="majorHAnsi" w:cstheme="majorHAnsi"/>
              </w:rPr>
              <w:t>1</w:t>
            </w:r>
          </w:p>
        </w:tc>
        <w:tc>
          <w:tcPr>
            <w:tcW w:w="3856" w:type="dxa"/>
            <w:tcBorders>
              <w:top w:val="single" w:sz="12" w:space="0" w:color="auto"/>
            </w:tcBorders>
            <w:vAlign w:val="center"/>
          </w:tcPr>
          <w:p w14:paraId="249653D4" w14:textId="1D916539" w:rsidR="007049A5" w:rsidRPr="004E4188" w:rsidRDefault="007049A5" w:rsidP="00081ED0">
            <w:pPr>
              <w:rPr>
                <w:rFonts w:asciiTheme="majorHAnsi" w:hAnsiTheme="majorHAnsi" w:cstheme="majorHAnsi"/>
                <w:sz w:val="20"/>
              </w:rPr>
            </w:pPr>
          </w:p>
        </w:tc>
        <w:tc>
          <w:tcPr>
            <w:tcW w:w="1525" w:type="dxa"/>
            <w:tcBorders>
              <w:top w:val="single" w:sz="12" w:space="0" w:color="auto"/>
            </w:tcBorders>
            <w:vAlign w:val="center"/>
          </w:tcPr>
          <w:p w14:paraId="361AA530" w14:textId="77777777" w:rsidR="007049A5" w:rsidRPr="004E4188" w:rsidRDefault="007049A5" w:rsidP="00081ED0">
            <w:pPr>
              <w:rPr>
                <w:rFonts w:asciiTheme="majorHAnsi" w:hAnsiTheme="majorHAnsi" w:cstheme="majorHAnsi"/>
                <w:sz w:val="20"/>
              </w:rPr>
            </w:pPr>
          </w:p>
        </w:tc>
        <w:tc>
          <w:tcPr>
            <w:tcW w:w="1819" w:type="dxa"/>
            <w:tcBorders>
              <w:top w:val="single" w:sz="12" w:space="0" w:color="auto"/>
            </w:tcBorders>
            <w:vAlign w:val="center"/>
          </w:tcPr>
          <w:p w14:paraId="373FEC9E" w14:textId="77777777" w:rsidR="007049A5" w:rsidRPr="004E4188" w:rsidRDefault="007049A5" w:rsidP="00081ED0">
            <w:pPr>
              <w:rPr>
                <w:rFonts w:asciiTheme="majorHAnsi" w:hAnsiTheme="majorHAnsi" w:cstheme="majorHAnsi"/>
                <w:sz w:val="20"/>
              </w:rPr>
            </w:pPr>
          </w:p>
        </w:tc>
      </w:tr>
      <w:tr w:rsidR="007049A5" w:rsidRPr="004E4188" w14:paraId="37043AA4" w14:textId="77777777" w:rsidTr="006C6267">
        <w:trPr>
          <w:trHeight w:val="340"/>
        </w:trPr>
        <w:tc>
          <w:tcPr>
            <w:tcW w:w="1072" w:type="dxa"/>
            <w:vAlign w:val="center"/>
          </w:tcPr>
          <w:p w14:paraId="08CE987A" w14:textId="77777777" w:rsidR="007049A5" w:rsidRPr="004E4188" w:rsidRDefault="007049A5" w:rsidP="00081ED0">
            <w:pPr>
              <w:jc w:val="center"/>
              <w:rPr>
                <w:rFonts w:asciiTheme="majorHAnsi" w:hAnsiTheme="majorHAnsi" w:cstheme="majorHAnsi"/>
                <w:sz w:val="20"/>
              </w:rPr>
            </w:pPr>
            <w:r w:rsidRPr="004E4188">
              <w:rPr>
                <w:rFonts w:asciiTheme="majorHAnsi" w:hAnsiTheme="majorHAnsi" w:cstheme="majorHAnsi"/>
                <w:sz w:val="20"/>
              </w:rPr>
              <w:t>2</w:t>
            </w:r>
          </w:p>
        </w:tc>
        <w:tc>
          <w:tcPr>
            <w:tcW w:w="3856" w:type="dxa"/>
            <w:vAlign w:val="center"/>
          </w:tcPr>
          <w:p w14:paraId="78BC269B" w14:textId="02BE6F7E" w:rsidR="007049A5" w:rsidRPr="004E4188" w:rsidRDefault="007049A5" w:rsidP="00081ED0">
            <w:pPr>
              <w:rPr>
                <w:rFonts w:asciiTheme="majorHAnsi" w:hAnsiTheme="majorHAnsi" w:cstheme="majorHAnsi"/>
                <w:i/>
                <w:sz w:val="20"/>
              </w:rPr>
            </w:pPr>
          </w:p>
        </w:tc>
        <w:tc>
          <w:tcPr>
            <w:tcW w:w="1525" w:type="dxa"/>
            <w:vAlign w:val="center"/>
          </w:tcPr>
          <w:p w14:paraId="6522018A" w14:textId="77777777" w:rsidR="007049A5" w:rsidRPr="004E4188" w:rsidRDefault="007049A5" w:rsidP="00081ED0">
            <w:pPr>
              <w:rPr>
                <w:rFonts w:asciiTheme="majorHAnsi" w:hAnsiTheme="majorHAnsi" w:cstheme="majorHAnsi"/>
                <w:sz w:val="20"/>
                <w:u w:val="single"/>
              </w:rPr>
            </w:pPr>
          </w:p>
        </w:tc>
        <w:tc>
          <w:tcPr>
            <w:tcW w:w="1819" w:type="dxa"/>
            <w:vAlign w:val="center"/>
          </w:tcPr>
          <w:p w14:paraId="64A20770" w14:textId="77777777" w:rsidR="007049A5" w:rsidRPr="004E4188" w:rsidRDefault="007049A5" w:rsidP="00081ED0">
            <w:pPr>
              <w:rPr>
                <w:rFonts w:asciiTheme="majorHAnsi" w:hAnsiTheme="majorHAnsi" w:cstheme="majorHAnsi"/>
                <w:sz w:val="20"/>
              </w:rPr>
            </w:pPr>
          </w:p>
        </w:tc>
      </w:tr>
      <w:tr w:rsidR="007049A5" w:rsidRPr="004E4188" w14:paraId="1452FB9D" w14:textId="77777777" w:rsidTr="006C6267">
        <w:trPr>
          <w:trHeight w:val="340"/>
        </w:trPr>
        <w:tc>
          <w:tcPr>
            <w:tcW w:w="1072" w:type="dxa"/>
            <w:vAlign w:val="center"/>
          </w:tcPr>
          <w:p w14:paraId="384A6F15" w14:textId="77777777" w:rsidR="007049A5" w:rsidRPr="004E4188" w:rsidRDefault="007049A5" w:rsidP="00081ED0">
            <w:pPr>
              <w:pStyle w:val="aa"/>
              <w:jc w:val="center"/>
              <w:rPr>
                <w:rFonts w:asciiTheme="majorHAnsi" w:hAnsiTheme="majorHAnsi" w:cstheme="majorHAnsi"/>
              </w:rPr>
            </w:pPr>
            <w:r w:rsidRPr="004E4188">
              <w:rPr>
                <w:rFonts w:asciiTheme="majorHAnsi" w:hAnsiTheme="majorHAnsi" w:cstheme="majorHAnsi"/>
              </w:rPr>
              <w:t>3</w:t>
            </w:r>
          </w:p>
        </w:tc>
        <w:tc>
          <w:tcPr>
            <w:tcW w:w="3856" w:type="dxa"/>
            <w:vAlign w:val="center"/>
          </w:tcPr>
          <w:p w14:paraId="1A9459BD" w14:textId="34D83FED" w:rsidR="007049A5" w:rsidRPr="004E4188" w:rsidRDefault="007049A5" w:rsidP="00081ED0">
            <w:pPr>
              <w:rPr>
                <w:rFonts w:asciiTheme="majorHAnsi" w:hAnsiTheme="majorHAnsi" w:cstheme="majorHAnsi"/>
                <w:i/>
                <w:sz w:val="20"/>
              </w:rPr>
            </w:pPr>
          </w:p>
        </w:tc>
        <w:tc>
          <w:tcPr>
            <w:tcW w:w="1525" w:type="dxa"/>
            <w:vAlign w:val="center"/>
          </w:tcPr>
          <w:p w14:paraId="48436AB9" w14:textId="77777777" w:rsidR="007049A5" w:rsidRPr="004E4188" w:rsidRDefault="007049A5" w:rsidP="00081ED0">
            <w:pPr>
              <w:rPr>
                <w:rFonts w:asciiTheme="majorHAnsi" w:hAnsiTheme="majorHAnsi" w:cstheme="majorHAnsi"/>
                <w:sz w:val="20"/>
                <w:u w:val="single"/>
              </w:rPr>
            </w:pPr>
          </w:p>
        </w:tc>
        <w:tc>
          <w:tcPr>
            <w:tcW w:w="1819" w:type="dxa"/>
            <w:vAlign w:val="center"/>
          </w:tcPr>
          <w:p w14:paraId="5D62047C" w14:textId="77777777" w:rsidR="007049A5" w:rsidRPr="004E4188" w:rsidRDefault="007049A5" w:rsidP="00081ED0">
            <w:pPr>
              <w:rPr>
                <w:rFonts w:asciiTheme="majorHAnsi" w:hAnsiTheme="majorHAnsi" w:cstheme="majorHAnsi"/>
                <w:sz w:val="20"/>
                <w:u w:val="single"/>
              </w:rPr>
            </w:pPr>
          </w:p>
        </w:tc>
      </w:tr>
      <w:tr w:rsidR="007049A5" w:rsidRPr="004E4188" w14:paraId="39D2F448" w14:textId="77777777" w:rsidTr="006C6267">
        <w:trPr>
          <w:trHeight w:val="340"/>
        </w:trPr>
        <w:tc>
          <w:tcPr>
            <w:tcW w:w="1072" w:type="dxa"/>
            <w:tcBorders>
              <w:top w:val="single" w:sz="4" w:space="0" w:color="auto"/>
              <w:left w:val="single" w:sz="4" w:space="0" w:color="auto"/>
              <w:bottom w:val="single" w:sz="4" w:space="0" w:color="auto"/>
              <w:right w:val="single" w:sz="4" w:space="0" w:color="auto"/>
            </w:tcBorders>
            <w:vAlign w:val="center"/>
          </w:tcPr>
          <w:p w14:paraId="4E8B8575" w14:textId="77777777" w:rsidR="007049A5" w:rsidRPr="004E4188" w:rsidRDefault="007049A5" w:rsidP="006C6267">
            <w:pPr>
              <w:pStyle w:val="aa"/>
              <w:jc w:val="center"/>
              <w:rPr>
                <w:rFonts w:asciiTheme="majorHAnsi" w:hAnsiTheme="majorHAnsi" w:cstheme="majorHAnsi"/>
              </w:rPr>
            </w:pPr>
            <w:r w:rsidRPr="004E4188">
              <w:rPr>
                <w:rFonts w:asciiTheme="majorHAnsi" w:hAnsiTheme="majorHAnsi" w:cstheme="majorHAnsi"/>
              </w:rPr>
              <w:t>4</w:t>
            </w:r>
          </w:p>
        </w:tc>
        <w:tc>
          <w:tcPr>
            <w:tcW w:w="3856" w:type="dxa"/>
            <w:tcBorders>
              <w:top w:val="single" w:sz="4" w:space="0" w:color="auto"/>
              <w:left w:val="single" w:sz="4" w:space="0" w:color="auto"/>
              <w:bottom w:val="single" w:sz="4" w:space="0" w:color="auto"/>
              <w:right w:val="single" w:sz="4" w:space="0" w:color="auto"/>
            </w:tcBorders>
            <w:vAlign w:val="center"/>
          </w:tcPr>
          <w:p w14:paraId="598BC806" w14:textId="77777777" w:rsidR="007049A5" w:rsidRPr="004E4188" w:rsidDel="00BE4B2A" w:rsidRDefault="007049A5" w:rsidP="006C6267">
            <w:pPr>
              <w:rPr>
                <w:rFonts w:asciiTheme="majorHAnsi" w:hAnsiTheme="majorHAnsi" w:cstheme="majorHAnsi"/>
                <w:i/>
                <w:sz w:val="20"/>
                <w:lang w:eastAsia="ja-JP"/>
              </w:rPr>
            </w:pPr>
          </w:p>
        </w:tc>
        <w:tc>
          <w:tcPr>
            <w:tcW w:w="1525" w:type="dxa"/>
            <w:tcBorders>
              <w:top w:val="single" w:sz="4" w:space="0" w:color="auto"/>
              <w:left w:val="single" w:sz="4" w:space="0" w:color="auto"/>
              <w:bottom w:val="single" w:sz="4" w:space="0" w:color="auto"/>
              <w:right w:val="single" w:sz="4" w:space="0" w:color="auto"/>
            </w:tcBorders>
            <w:vAlign w:val="center"/>
          </w:tcPr>
          <w:p w14:paraId="628564F2" w14:textId="77777777" w:rsidR="007049A5" w:rsidRPr="004E4188" w:rsidRDefault="007049A5" w:rsidP="006C6267">
            <w:pPr>
              <w:rPr>
                <w:rFonts w:asciiTheme="majorHAnsi" w:hAnsiTheme="majorHAnsi" w:cstheme="majorHAnsi"/>
                <w:sz w:val="20"/>
                <w:u w:val="single"/>
              </w:rPr>
            </w:pPr>
          </w:p>
        </w:tc>
        <w:tc>
          <w:tcPr>
            <w:tcW w:w="1819" w:type="dxa"/>
            <w:tcBorders>
              <w:top w:val="single" w:sz="4" w:space="0" w:color="auto"/>
              <w:left w:val="single" w:sz="4" w:space="0" w:color="auto"/>
              <w:bottom w:val="single" w:sz="4" w:space="0" w:color="auto"/>
              <w:right w:val="single" w:sz="4" w:space="0" w:color="auto"/>
            </w:tcBorders>
            <w:vAlign w:val="center"/>
          </w:tcPr>
          <w:p w14:paraId="327E7ECB" w14:textId="77777777" w:rsidR="007049A5" w:rsidRPr="004E4188" w:rsidRDefault="007049A5" w:rsidP="006C6267">
            <w:pPr>
              <w:rPr>
                <w:rFonts w:asciiTheme="majorHAnsi" w:hAnsiTheme="majorHAnsi" w:cstheme="majorHAnsi"/>
                <w:sz w:val="20"/>
                <w:u w:val="single"/>
              </w:rPr>
            </w:pPr>
          </w:p>
        </w:tc>
      </w:tr>
      <w:tr w:rsidR="007049A5" w:rsidRPr="004E4188" w14:paraId="408562E6" w14:textId="77777777" w:rsidTr="006C6267">
        <w:trPr>
          <w:trHeight w:val="340"/>
        </w:trPr>
        <w:tc>
          <w:tcPr>
            <w:tcW w:w="1072" w:type="dxa"/>
            <w:tcBorders>
              <w:top w:val="single" w:sz="4" w:space="0" w:color="auto"/>
              <w:left w:val="single" w:sz="4" w:space="0" w:color="auto"/>
              <w:bottom w:val="single" w:sz="4" w:space="0" w:color="auto"/>
              <w:right w:val="single" w:sz="4" w:space="0" w:color="auto"/>
            </w:tcBorders>
            <w:vAlign w:val="center"/>
          </w:tcPr>
          <w:p w14:paraId="6CF25362" w14:textId="77777777" w:rsidR="007049A5" w:rsidRPr="004E4188" w:rsidRDefault="007049A5" w:rsidP="006C6267">
            <w:pPr>
              <w:pStyle w:val="aa"/>
              <w:jc w:val="center"/>
              <w:rPr>
                <w:rFonts w:asciiTheme="majorHAnsi" w:hAnsiTheme="majorHAnsi" w:cstheme="majorHAnsi"/>
              </w:rPr>
            </w:pPr>
            <w:r w:rsidRPr="004E4188">
              <w:rPr>
                <w:rFonts w:asciiTheme="majorHAnsi" w:hAnsiTheme="majorHAnsi" w:cstheme="majorHAnsi"/>
              </w:rPr>
              <w:t>5</w:t>
            </w:r>
          </w:p>
        </w:tc>
        <w:tc>
          <w:tcPr>
            <w:tcW w:w="3856" w:type="dxa"/>
            <w:tcBorders>
              <w:top w:val="single" w:sz="4" w:space="0" w:color="auto"/>
              <w:left w:val="single" w:sz="4" w:space="0" w:color="auto"/>
              <w:bottom w:val="single" w:sz="4" w:space="0" w:color="auto"/>
              <w:right w:val="single" w:sz="4" w:space="0" w:color="auto"/>
            </w:tcBorders>
            <w:vAlign w:val="center"/>
          </w:tcPr>
          <w:p w14:paraId="2775BFA7" w14:textId="77777777" w:rsidR="007049A5" w:rsidRPr="004E4188" w:rsidDel="00BE4B2A" w:rsidRDefault="007049A5" w:rsidP="006C6267">
            <w:pPr>
              <w:rPr>
                <w:rFonts w:asciiTheme="majorHAnsi" w:hAnsiTheme="majorHAnsi" w:cstheme="majorHAnsi"/>
                <w:i/>
                <w:sz w:val="20"/>
                <w:lang w:eastAsia="ja-JP"/>
              </w:rPr>
            </w:pPr>
          </w:p>
        </w:tc>
        <w:tc>
          <w:tcPr>
            <w:tcW w:w="1525" w:type="dxa"/>
            <w:tcBorders>
              <w:top w:val="single" w:sz="4" w:space="0" w:color="auto"/>
              <w:left w:val="single" w:sz="4" w:space="0" w:color="auto"/>
              <w:bottom w:val="single" w:sz="4" w:space="0" w:color="auto"/>
              <w:right w:val="single" w:sz="4" w:space="0" w:color="auto"/>
            </w:tcBorders>
            <w:vAlign w:val="center"/>
          </w:tcPr>
          <w:p w14:paraId="6B46369E" w14:textId="77777777" w:rsidR="007049A5" w:rsidRPr="004E4188" w:rsidRDefault="007049A5" w:rsidP="006C6267">
            <w:pPr>
              <w:rPr>
                <w:rFonts w:asciiTheme="majorHAnsi" w:hAnsiTheme="majorHAnsi" w:cstheme="majorHAnsi"/>
                <w:sz w:val="20"/>
                <w:u w:val="single"/>
              </w:rPr>
            </w:pPr>
          </w:p>
        </w:tc>
        <w:tc>
          <w:tcPr>
            <w:tcW w:w="1819" w:type="dxa"/>
            <w:tcBorders>
              <w:top w:val="single" w:sz="4" w:space="0" w:color="auto"/>
              <w:left w:val="single" w:sz="4" w:space="0" w:color="auto"/>
              <w:bottom w:val="single" w:sz="4" w:space="0" w:color="auto"/>
              <w:right w:val="single" w:sz="4" w:space="0" w:color="auto"/>
            </w:tcBorders>
            <w:vAlign w:val="center"/>
          </w:tcPr>
          <w:p w14:paraId="7FAA3A24" w14:textId="77777777" w:rsidR="007049A5" w:rsidRPr="004E4188" w:rsidRDefault="007049A5" w:rsidP="006C6267">
            <w:pPr>
              <w:rPr>
                <w:rFonts w:asciiTheme="majorHAnsi" w:hAnsiTheme="majorHAnsi" w:cstheme="majorHAnsi"/>
                <w:sz w:val="20"/>
                <w:u w:val="single"/>
              </w:rPr>
            </w:pPr>
          </w:p>
        </w:tc>
      </w:tr>
      <w:tr w:rsidR="007049A5" w:rsidRPr="004E4188" w14:paraId="116E037B" w14:textId="77777777" w:rsidTr="006C6267">
        <w:trPr>
          <w:trHeight w:val="340"/>
        </w:trPr>
        <w:tc>
          <w:tcPr>
            <w:tcW w:w="1072" w:type="dxa"/>
            <w:vAlign w:val="center"/>
          </w:tcPr>
          <w:p w14:paraId="582FFA14" w14:textId="77777777" w:rsidR="007049A5" w:rsidRPr="004E4188" w:rsidRDefault="007049A5" w:rsidP="00081ED0">
            <w:pPr>
              <w:jc w:val="center"/>
              <w:rPr>
                <w:rFonts w:asciiTheme="majorHAnsi" w:hAnsiTheme="majorHAnsi" w:cstheme="majorHAnsi"/>
                <w:sz w:val="20"/>
                <w:lang w:eastAsia="ja-JP"/>
              </w:rPr>
            </w:pPr>
            <w:r w:rsidRPr="004E4188">
              <w:rPr>
                <w:rFonts w:asciiTheme="majorHAnsi" w:hAnsiTheme="majorHAnsi" w:cstheme="majorHAnsi"/>
                <w:sz w:val="20"/>
                <w:lang w:eastAsia="ja-JP"/>
              </w:rPr>
              <w:t>...</w:t>
            </w:r>
          </w:p>
        </w:tc>
        <w:tc>
          <w:tcPr>
            <w:tcW w:w="3856" w:type="dxa"/>
            <w:vAlign w:val="center"/>
          </w:tcPr>
          <w:p w14:paraId="4399BA04" w14:textId="77777777" w:rsidR="007049A5" w:rsidRPr="004E4188" w:rsidRDefault="007049A5" w:rsidP="00081ED0">
            <w:pPr>
              <w:rPr>
                <w:rFonts w:asciiTheme="majorHAnsi" w:hAnsiTheme="majorHAnsi" w:cstheme="majorHAnsi"/>
                <w:sz w:val="20"/>
              </w:rPr>
            </w:pPr>
          </w:p>
        </w:tc>
        <w:tc>
          <w:tcPr>
            <w:tcW w:w="1525" w:type="dxa"/>
            <w:vAlign w:val="center"/>
          </w:tcPr>
          <w:p w14:paraId="7B8202BE" w14:textId="77777777" w:rsidR="007049A5" w:rsidRPr="004E4188" w:rsidRDefault="007049A5" w:rsidP="00081ED0">
            <w:pPr>
              <w:rPr>
                <w:rFonts w:asciiTheme="majorHAnsi" w:hAnsiTheme="majorHAnsi" w:cstheme="majorHAnsi"/>
                <w:sz w:val="20"/>
                <w:u w:val="single"/>
              </w:rPr>
            </w:pPr>
          </w:p>
        </w:tc>
        <w:tc>
          <w:tcPr>
            <w:tcW w:w="1819" w:type="dxa"/>
            <w:vAlign w:val="center"/>
          </w:tcPr>
          <w:p w14:paraId="45B02451" w14:textId="77777777" w:rsidR="007049A5" w:rsidRPr="004E4188" w:rsidRDefault="007049A5" w:rsidP="00081ED0">
            <w:pPr>
              <w:rPr>
                <w:rFonts w:asciiTheme="majorHAnsi" w:hAnsiTheme="majorHAnsi" w:cstheme="majorHAnsi"/>
                <w:sz w:val="20"/>
              </w:rPr>
            </w:pPr>
          </w:p>
        </w:tc>
      </w:tr>
      <w:tr w:rsidR="007049A5" w:rsidRPr="004E4188" w14:paraId="7F03DB76" w14:textId="77777777" w:rsidTr="006C6267">
        <w:tc>
          <w:tcPr>
            <w:tcW w:w="8272" w:type="dxa"/>
            <w:gridSpan w:val="4"/>
          </w:tcPr>
          <w:p w14:paraId="4488472C" w14:textId="77777777" w:rsidR="007049A5" w:rsidRPr="004E4188" w:rsidRDefault="007049A5" w:rsidP="00184C20">
            <w:pPr>
              <w:widowControl w:val="0"/>
              <w:spacing w:line="0" w:lineRule="atLeast"/>
              <w:rPr>
                <w:rFonts w:asciiTheme="majorHAnsi" w:hAnsiTheme="majorHAnsi" w:cstheme="majorHAnsi"/>
                <w:i/>
                <w:sz w:val="20"/>
                <w:u w:val="single"/>
                <w:lang w:eastAsia="ja-JP"/>
              </w:rPr>
            </w:pPr>
            <w:r w:rsidRPr="004E4188">
              <w:rPr>
                <w:rFonts w:asciiTheme="majorHAnsi" w:hAnsiTheme="majorHAnsi" w:cstheme="majorHAnsi"/>
                <w:i/>
                <w:sz w:val="20"/>
                <w:u w:val="single"/>
                <w:lang w:eastAsia="ja-JP"/>
              </w:rPr>
              <w:t>Notes à l’intention du Maître d’ouvrage</w:t>
            </w:r>
          </w:p>
          <w:p w14:paraId="3B1F3362" w14:textId="0089DBDB" w:rsidR="007049A5" w:rsidRPr="004E4188" w:rsidRDefault="007049A5" w:rsidP="004348D3">
            <w:pPr>
              <w:widowControl w:val="0"/>
              <w:suppressAutoHyphens w:val="0"/>
              <w:overflowPunct/>
              <w:autoSpaceDE/>
              <w:autoSpaceDN/>
              <w:adjustRightInd/>
              <w:spacing w:afterLines="50" w:after="120" w:line="0" w:lineRule="atLeast"/>
              <w:ind w:left="372" w:hangingChars="186" w:hanging="372"/>
              <w:textAlignment w:val="auto"/>
              <w:rPr>
                <w:rFonts w:asciiTheme="majorHAnsi" w:hAnsiTheme="majorHAnsi" w:cstheme="majorHAnsi"/>
                <w:i/>
                <w:sz w:val="20"/>
              </w:rPr>
            </w:pPr>
            <w:r w:rsidRPr="004E4188">
              <w:rPr>
                <w:rFonts w:asciiTheme="majorHAnsi" w:hAnsiTheme="majorHAnsi" w:cstheme="majorHAnsi"/>
                <w:i/>
                <w:sz w:val="20"/>
                <w:lang w:eastAsia="ja-JP"/>
              </w:rPr>
              <w:t>(a).</w:t>
            </w:r>
            <w:r w:rsidRPr="004E4188">
              <w:rPr>
                <w:rFonts w:asciiTheme="majorHAnsi" w:hAnsiTheme="majorHAnsi" w:cstheme="majorHAnsi"/>
                <w:i/>
                <w:sz w:val="20"/>
                <w:lang w:eastAsia="ja-JP"/>
              </w:rPr>
              <w:tab/>
            </w:r>
            <w:r w:rsidRPr="004E4188">
              <w:rPr>
                <w:rFonts w:asciiTheme="majorHAnsi" w:hAnsiTheme="majorHAnsi" w:cstheme="majorHAnsi"/>
                <w:i/>
                <w:sz w:val="20"/>
              </w:rPr>
              <w:t>Le</w:t>
            </w:r>
            <w:r w:rsidRPr="004E4188">
              <w:rPr>
                <w:rFonts w:ascii="Arial" w:hAnsi="Arial" w:cs="Arial"/>
                <w:i/>
                <w:sz w:val="20"/>
              </w:rPr>
              <w:t>s postes requis doivent être limités aux postes supérieurs essentiels à la bonne exécution des Équipements et Services de montage dans les délais prescrits, tels que</w:t>
            </w:r>
            <w:r w:rsidRPr="004E4188">
              <w:rPr>
                <w:rFonts w:asciiTheme="majorHAnsi" w:hAnsiTheme="majorHAnsi" w:cstheme="majorHAnsi"/>
                <w:i/>
                <w:sz w:val="20"/>
              </w:rPr>
              <w:t xml:space="preserve"> le chef de projet, l’(les) </w:t>
            </w:r>
            <w:r w:rsidRPr="004E4188">
              <w:rPr>
                <w:rFonts w:ascii="Arial" w:hAnsi="Arial" w:cs="Arial"/>
                <w:i/>
                <w:sz w:val="20"/>
              </w:rPr>
              <w:t xml:space="preserve">ingénieur(s) en chef, le(les) responsable(s) de la conception </w:t>
            </w:r>
            <w:r w:rsidRPr="004E4188">
              <w:rPr>
                <w:rFonts w:asciiTheme="majorHAnsi" w:hAnsiTheme="majorHAnsi" w:cstheme="majorHAnsi"/>
                <w:i/>
                <w:sz w:val="20"/>
              </w:rPr>
              <w:t xml:space="preserve">ou le(les) directeur(s) de section qui sont responsables des activités principales </w:t>
            </w:r>
            <w:r w:rsidRPr="004E4188">
              <w:rPr>
                <w:rFonts w:ascii="Arial" w:hAnsi="Arial" w:cs="Arial"/>
                <w:i/>
                <w:sz w:val="20"/>
              </w:rPr>
              <w:t>Le Maître d’ouvrage s’assurera pour cela que le nombre de postes soit maintenu au minimum requis.</w:t>
            </w:r>
          </w:p>
          <w:p w14:paraId="37030C9F" w14:textId="3C68C199" w:rsidR="007049A5" w:rsidRPr="004E4188" w:rsidRDefault="007049A5" w:rsidP="004348D3">
            <w:pPr>
              <w:widowControl w:val="0"/>
              <w:suppressAutoHyphens w:val="0"/>
              <w:overflowPunct/>
              <w:autoSpaceDE/>
              <w:autoSpaceDN/>
              <w:adjustRightInd/>
              <w:spacing w:afterLines="50" w:after="120" w:line="0" w:lineRule="atLeast"/>
              <w:ind w:left="372" w:hangingChars="186" w:hanging="372"/>
              <w:textAlignment w:val="auto"/>
              <w:rPr>
                <w:rFonts w:asciiTheme="majorHAnsi" w:hAnsiTheme="majorHAnsi" w:cstheme="majorHAnsi"/>
                <w:i/>
                <w:sz w:val="20"/>
              </w:rPr>
            </w:pPr>
            <w:r w:rsidRPr="004E4188">
              <w:rPr>
                <w:rFonts w:asciiTheme="majorHAnsi" w:hAnsiTheme="majorHAnsi" w:cstheme="majorHAnsi"/>
                <w:i/>
                <w:sz w:val="20"/>
              </w:rPr>
              <w:t>(b)</w:t>
            </w:r>
            <w:r w:rsidRPr="004E4188">
              <w:rPr>
                <w:rFonts w:asciiTheme="majorHAnsi" w:hAnsiTheme="majorHAnsi" w:cstheme="majorHAnsi"/>
                <w:i/>
                <w:sz w:val="20"/>
              </w:rPr>
              <w:tab/>
              <w:t xml:space="preserve">Un des postes-clés </w:t>
            </w:r>
            <w:r w:rsidRPr="004E4188">
              <w:rPr>
                <w:rFonts w:ascii="Arial" w:hAnsi="Arial" w:cs="Arial"/>
                <w:i/>
                <w:sz w:val="20"/>
              </w:rPr>
              <w:t>sera tenu par</w:t>
            </w:r>
            <w:r w:rsidRPr="004E4188">
              <w:rPr>
                <w:rFonts w:asciiTheme="majorHAnsi" w:hAnsiTheme="majorHAnsi" w:cstheme="majorHAnsi"/>
                <w:i/>
                <w:sz w:val="20"/>
              </w:rPr>
              <w:t xml:space="preserve"> un responsable </w:t>
            </w:r>
            <w:r w:rsidRPr="004E4188">
              <w:rPr>
                <w:rFonts w:ascii="Arial" w:hAnsi="Arial" w:cs="Arial"/>
                <w:i/>
                <w:sz w:val="20"/>
              </w:rPr>
              <w:t xml:space="preserve">de la </w:t>
            </w:r>
            <w:r w:rsidRPr="004E4188">
              <w:rPr>
                <w:rFonts w:asciiTheme="majorHAnsi" w:hAnsiTheme="majorHAnsi" w:cstheme="majorHAnsi"/>
                <w:i/>
                <w:sz w:val="20"/>
              </w:rPr>
              <w:t>santé</w:t>
            </w:r>
            <w:r w:rsidRPr="004E4188">
              <w:rPr>
                <w:rFonts w:ascii="Arial" w:hAnsi="Arial" w:cs="Arial"/>
                <w:i/>
                <w:sz w:val="20"/>
              </w:rPr>
              <w:t xml:space="preserve"> et de la sécurité</w:t>
            </w:r>
            <w:r w:rsidRPr="004E4188">
              <w:rPr>
                <w:rFonts w:asciiTheme="majorHAnsi" w:hAnsiTheme="majorHAnsi" w:cstheme="majorHAnsi"/>
                <w:i/>
                <w:sz w:val="20"/>
              </w:rPr>
              <w:t>.</w:t>
            </w:r>
          </w:p>
          <w:p w14:paraId="4BA7CA2C" w14:textId="03032612" w:rsidR="007049A5" w:rsidRPr="004E4188" w:rsidRDefault="007049A5" w:rsidP="006C6267">
            <w:pPr>
              <w:widowControl w:val="0"/>
              <w:suppressAutoHyphens w:val="0"/>
              <w:overflowPunct/>
              <w:autoSpaceDE/>
              <w:autoSpaceDN/>
              <w:adjustRightInd/>
              <w:spacing w:afterLines="50" w:after="120" w:line="0" w:lineRule="atLeast"/>
              <w:ind w:left="372" w:hangingChars="186" w:hanging="372"/>
              <w:textAlignment w:val="auto"/>
              <w:rPr>
                <w:rFonts w:asciiTheme="majorHAnsi" w:hAnsiTheme="majorHAnsi" w:cstheme="majorHAnsi"/>
                <w:sz w:val="20"/>
                <w:lang w:eastAsia="ja-JP"/>
              </w:rPr>
            </w:pPr>
            <w:r w:rsidRPr="004E4188">
              <w:rPr>
                <w:rFonts w:ascii="Arial" w:hAnsi="Arial" w:cs="Arial"/>
                <w:i/>
                <w:sz w:val="20"/>
                <w:lang w:eastAsia="ja-JP"/>
              </w:rPr>
              <w:t>(c)</w:t>
            </w:r>
            <w:r w:rsidRPr="004E4188">
              <w:rPr>
                <w:rFonts w:asciiTheme="majorHAnsi" w:hAnsiTheme="majorHAnsi" w:cstheme="majorHAnsi"/>
                <w:i/>
                <w:sz w:val="20"/>
              </w:rPr>
              <w:tab/>
            </w:r>
            <w:r w:rsidRPr="004E4188">
              <w:rPr>
                <w:rFonts w:ascii="Arial" w:hAnsi="Arial" w:cs="Arial"/>
                <w:i/>
                <w:sz w:val="20"/>
                <w:lang w:eastAsia="ja-JP"/>
              </w:rPr>
              <w:t>Ajouter</w:t>
            </w:r>
            <w:r w:rsidRPr="004E4188">
              <w:rPr>
                <w:rFonts w:asciiTheme="majorHAnsi" w:hAnsiTheme="majorHAnsi" w:cstheme="majorHAnsi"/>
                <w:i/>
                <w:sz w:val="20"/>
                <w:lang w:eastAsia="ja-JP"/>
              </w:rPr>
              <w:t xml:space="preserve"> des critères </w:t>
            </w:r>
            <w:r w:rsidRPr="004E4188">
              <w:rPr>
                <w:rFonts w:ascii="Arial" w:hAnsi="Arial" w:cs="Arial"/>
                <w:i/>
                <w:sz w:val="20"/>
                <w:lang w:eastAsia="ja-JP"/>
              </w:rPr>
              <w:t xml:space="preserve">d’attribution </w:t>
            </w:r>
            <w:r w:rsidRPr="004E4188">
              <w:rPr>
                <w:rFonts w:asciiTheme="majorHAnsi" w:hAnsiTheme="majorHAnsi" w:cstheme="majorHAnsi"/>
                <w:i/>
                <w:sz w:val="20"/>
                <w:lang w:eastAsia="ja-JP"/>
              </w:rPr>
              <w:t>en cas de lots multiples</w:t>
            </w:r>
            <w:r w:rsidRPr="004E4188">
              <w:rPr>
                <w:rFonts w:ascii="Arial" w:hAnsi="Arial" w:cs="Arial"/>
                <w:i/>
                <w:sz w:val="20"/>
                <w:lang w:eastAsia="ja-JP"/>
              </w:rPr>
              <w:t>, le cas échéant</w:t>
            </w:r>
            <w:r w:rsidRPr="004E4188">
              <w:rPr>
                <w:rFonts w:asciiTheme="majorHAnsi" w:hAnsiTheme="majorHAnsi" w:cstheme="majorHAnsi"/>
                <w:i/>
                <w:sz w:val="20"/>
                <w:lang w:eastAsia="ja-JP"/>
              </w:rPr>
              <w:t>.</w:t>
            </w:r>
          </w:p>
        </w:tc>
      </w:tr>
    </w:tbl>
    <w:p w14:paraId="52074A22" w14:textId="77777777" w:rsidR="007049A5" w:rsidRPr="004E4188" w:rsidRDefault="007049A5" w:rsidP="00184C20">
      <w:pPr>
        <w:spacing w:beforeLines="100" w:before="240" w:afterLines="50" w:after="120"/>
        <w:ind w:left="850"/>
      </w:pPr>
      <w:r w:rsidRPr="004E4188">
        <w:rPr>
          <w:szCs w:val="24"/>
          <w:lang w:eastAsia="ja-JP"/>
        </w:rPr>
        <w:t xml:space="preserve">Les </w:t>
      </w:r>
      <w:r w:rsidRPr="004E4188">
        <w:rPr>
          <w:rFonts w:hint="eastAsia"/>
        </w:rPr>
        <w:t>candidats suppléants proposés pour les postes-clés ne seront pas évalués.</w:t>
      </w:r>
    </w:p>
    <w:p w14:paraId="66338F5E" w14:textId="2AD84480" w:rsidR="00184C20" w:rsidRPr="004E4188" w:rsidRDefault="007049A5" w:rsidP="00184C20">
      <w:pPr>
        <w:ind w:left="850"/>
      </w:pPr>
      <w:r w:rsidRPr="004E4188">
        <w:t>Le Soumissionnaire doit fournir des détails sur le personnel proposé pour le Marché ainsi que son expérience dans les formulaires PER-1 et PER-2 de la Section IV, Formulaires de soumission.</w:t>
      </w:r>
    </w:p>
    <w:p w14:paraId="775DC938" w14:textId="77777777" w:rsidR="00184C20" w:rsidRPr="004E4188" w:rsidRDefault="00184C20" w:rsidP="00184C20">
      <w:pPr>
        <w:ind w:left="850"/>
      </w:pPr>
    </w:p>
    <w:p w14:paraId="64EC3443" w14:textId="77777777" w:rsidR="00A66CD8" w:rsidRPr="004E4188" w:rsidRDefault="00A66CD8" w:rsidP="00184C20">
      <w:pPr>
        <w:ind w:left="850"/>
      </w:pPr>
    </w:p>
    <w:p w14:paraId="32DB0F5C" w14:textId="77777777" w:rsidR="00A66CD8" w:rsidRPr="004E4188" w:rsidRDefault="00A66CD8" w:rsidP="00184C20">
      <w:pPr>
        <w:ind w:left="850"/>
      </w:pPr>
    </w:p>
    <w:p w14:paraId="2CA3F2C0" w14:textId="6C6438BE" w:rsidR="007049A5" w:rsidRPr="004E4188" w:rsidRDefault="007049A5" w:rsidP="003D46CF">
      <w:pPr>
        <w:numPr>
          <w:ilvl w:val="2"/>
          <w:numId w:val="58"/>
        </w:numPr>
        <w:tabs>
          <w:tab w:val="clear" w:pos="720"/>
        </w:tabs>
        <w:suppressAutoHyphens w:val="0"/>
        <w:overflowPunct/>
        <w:autoSpaceDE/>
        <w:autoSpaceDN/>
        <w:adjustRightInd/>
        <w:ind w:left="851" w:hanging="851"/>
        <w:jc w:val="left"/>
        <w:textAlignment w:val="auto"/>
        <w:rPr>
          <w:b/>
          <w:lang w:eastAsia="ja-JP"/>
        </w:rPr>
      </w:pPr>
      <w:r w:rsidRPr="004E4188">
        <w:rPr>
          <w:b/>
          <w:szCs w:val="24"/>
        </w:rPr>
        <w:t>É</w:t>
      </w:r>
      <w:r w:rsidRPr="004E4188">
        <w:rPr>
          <w:b/>
        </w:rPr>
        <w:t>quipement d</w:t>
      </w:r>
      <w:r w:rsidRPr="004E4188">
        <w:rPr>
          <w:rFonts w:hint="eastAsia"/>
          <w:b/>
          <w:lang w:eastAsia="ja-JP"/>
        </w:rPr>
        <w:t xml:space="preserve">e </w:t>
      </w:r>
      <w:r w:rsidRPr="004E4188">
        <w:rPr>
          <w:b/>
        </w:rPr>
        <w:t>construction</w:t>
      </w:r>
    </w:p>
    <w:p w14:paraId="28A46B8B" w14:textId="77777777" w:rsidR="007049A5" w:rsidRPr="004E4188" w:rsidRDefault="007049A5" w:rsidP="00397587">
      <w:pPr>
        <w:spacing w:afterLines="50" w:after="120"/>
        <w:ind w:left="850"/>
      </w:pPr>
      <w:r w:rsidRPr="004E4188">
        <w:t>Le Soumissionnaire doit établir qu’il dispose des équipements de construction principaux indiqués ci-après :</w:t>
      </w:r>
    </w:p>
    <w:tbl>
      <w:tblPr>
        <w:tblW w:w="8221"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4660"/>
        <w:gridCol w:w="2871"/>
      </w:tblGrid>
      <w:tr w:rsidR="007049A5" w:rsidRPr="004E4188" w14:paraId="46730902" w14:textId="77777777" w:rsidTr="004507E0">
        <w:tc>
          <w:tcPr>
            <w:tcW w:w="690" w:type="dxa"/>
            <w:tcBorders>
              <w:top w:val="single" w:sz="12" w:space="0" w:color="auto"/>
              <w:left w:val="single" w:sz="12" w:space="0" w:color="auto"/>
              <w:bottom w:val="single" w:sz="12" w:space="0" w:color="auto"/>
              <w:right w:val="single" w:sz="12" w:space="0" w:color="auto"/>
            </w:tcBorders>
            <w:shd w:val="clear" w:color="auto" w:fill="C0C0C0"/>
            <w:vAlign w:val="center"/>
          </w:tcPr>
          <w:p w14:paraId="46BE8B63" w14:textId="77777777" w:rsidR="007049A5" w:rsidRPr="004E4188" w:rsidRDefault="007049A5" w:rsidP="004651FB">
            <w:pPr>
              <w:suppressAutoHyphens w:val="0"/>
              <w:overflowPunct/>
              <w:autoSpaceDE/>
              <w:autoSpaceDN/>
              <w:adjustRightInd/>
              <w:jc w:val="center"/>
              <w:textAlignment w:val="auto"/>
              <w:rPr>
                <w:rFonts w:asciiTheme="majorHAnsi" w:hAnsiTheme="majorHAnsi" w:cstheme="majorHAnsi"/>
                <w:b/>
                <w:bCs/>
                <w:sz w:val="20"/>
                <w:lang w:eastAsia="en-US"/>
              </w:rPr>
            </w:pPr>
            <w:r w:rsidRPr="004E4188">
              <w:rPr>
                <w:rFonts w:asciiTheme="majorHAnsi" w:hAnsiTheme="majorHAnsi" w:cstheme="majorHAnsi"/>
                <w:b/>
                <w:bCs/>
                <w:sz w:val="20"/>
                <w:lang w:eastAsia="en-US"/>
              </w:rPr>
              <w:t>n°</w:t>
            </w:r>
          </w:p>
        </w:tc>
        <w:tc>
          <w:tcPr>
            <w:tcW w:w="4660" w:type="dxa"/>
            <w:tcBorders>
              <w:top w:val="single" w:sz="12" w:space="0" w:color="auto"/>
              <w:left w:val="single" w:sz="12" w:space="0" w:color="auto"/>
              <w:bottom w:val="single" w:sz="12" w:space="0" w:color="auto"/>
              <w:right w:val="single" w:sz="12" w:space="0" w:color="auto"/>
            </w:tcBorders>
            <w:shd w:val="clear" w:color="auto" w:fill="C0C0C0"/>
            <w:vAlign w:val="center"/>
          </w:tcPr>
          <w:p w14:paraId="16F63148" w14:textId="77777777" w:rsidR="007049A5" w:rsidRPr="004E4188" w:rsidRDefault="007049A5" w:rsidP="004651FB">
            <w:pPr>
              <w:suppressAutoHyphens w:val="0"/>
              <w:overflowPunct/>
              <w:autoSpaceDE/>
              <w:autoSpaceDN/>
              <w:adjustRightInd/>
              <w:jc w:val="center"/>
              <w:textAlignment w:val="auto"/>
              <w:rPr>
                <w:rFonts w:asciiTheme="majorHAnsi" w:hAnsiTheme="majorHAnsi" w:cstheme="majorHAnsi"/>
                <w:b/>
                <w:bCs/>
                <w:sz w:val="20"/>
                <w:lang w:eastAsia="en-US"/>
              </w:rPr>
            </w:pPr>
            <w:r w:rsidRPr="004E4188">
              <w:rPr>
                <w:rFonts w:asciiTheme="majorHAnsi" w:hAnsiTheme="majorHAnsi" w:cstheme="majorHAnsi"/>
                <w:b/>
                <w:bCs/>
                <w:sz w:val="20"/>
                <w:lang w:eastAsia="en-US"/>
              </w:rPr>
              <w:t xml:space="preserve">Type et caractéristiques </w:t>
            </w:r>
            <w:r w:rsidRPr="004E4188">
              <w:rPr>
                <w:rFonts w:asciiTheme="majorHAnsi" w:hAnsiTheme="majorHAnsi" w:cstheme="majorHAnsi"/>
                <w:b/>
                <w:bCs/>
                <w:sz w:val="20"/>
              </w:rPr>
              <w:t>de performance requises</w:t>
            </w:r>
            <w:r w:rsidRPr="004E4188">
              <w:rPr>
                <w:rFonts w:asciiTheme="majorHAnsi" w:hAnsiTheme="majorHAnsi" w:cstheme="majorHAnsi"/>
                <w:b/>
                <w:bCs/>
                <w:sz w:val="20"/>
                <w:lang w:eastAsia="en-US"/>
              </w:rPr>
              <w:t xml:space="preserve"> des équipements</w:t>
            </w:r>
          </w:p>
        </w:tc>
        <w:tc>
          <w:tcPr>
            <w:tcW w:w="2871" w:type="dxa"/>
            <w:tcBorders>
              <w:top w:val="single" w:sz="12" w:space="0" w:color="auto"/>
              <w:left w:val="single" w:sz="12" w:space="0" w:color="auto"/>
              <w:bottom w:val="single" w:sz="12" w:space="0" w:color="auto"/>
              <w:right w:val="single" w:sz="12" w:space="0" w:color="auto"/>
            </w:tcBorders>
            <w:shd w:val="clear" w:color="auto" w:fill="C0C0C0"/>
            <w:vAlign w:val="center"/>
          </w:tcPr>
          <w:p w14:paraId="7DCD423D" w14:textId="77777777" w:rsidR="007049A5" w:rsidRPr="004E4188" w:rsidRDefault="007049A5" w:rsidP="004651FB">
            <w:pPr>
              <w:suppressAutoHyphens w:val="0"/>
              <w:overflowPunct/>
              <w:autoSpaceDE/>
              <w:autoSpaceDN/>
              <w:adjustRightInd/>
              <w:jc w:val="center"/>
              <w:textAlignment w:val="auto"/>
              <w:rPr>
                <w:rFonts w:asciiTheme="majorHAnsi" w:hAnsiTheme="majorHAnsi" w:cstheme="majorHAnsi"/>
                <w:b/>
                <w:bCs/>
                <w:sz w:val="20"/>
                <w:lang w:eastAsia="en-US"/>
              </w:rPr>
            </w:pPr>
            <w:r w:rsidRPr="004E4188">
              <w:rPr>
                <w:rFonts w:asciiTheme="majorHAnsi" w:hAnsiTheme="majorHAnsi" w:cstheme="majorHAnsi"/>
                <w:b/>
                <w:bCs/>
                <w:sz w:val="20"/>
                <w:lang w:eastAsia="en-US"/>
              </w:rPr>
              <w:t>Nombre minimum requis</w:t>
            </w:r>
          </w:p>
        </w:tc>
      </w:tr>
      <w:tr w:rsidR="007049A5" w:rsidRPr="004E4188" w14:paraId="4D305FDD" w14:textId="77777777" w:rsidTr="004507E0">
        <w:trPr>
          <w:trHeight w:val="340"/>
        </w:trPr>
        <w:tc>
          <w:tcPr>
            <w:tcW w:w="690" w:type="dxa"/>
            <w:tcBorders>
              <w:top w:val="single" w:sz="12" w:space="0" w:color="auto"/>
            </w:tcBorders>
            <w:vAlign w:val="center"/>
          </w:tcPr>
          <w:p w14:paraId="462D6C77" w14:textId="77777777" w:rsidR="007049A5" w:rsidRPr="004E4188" w:rsidRDefault="007049A5" w:rsidP="00B23F61">
            <w:pPr>
              <w:suppressAutoHyphens w:val="0"/>
              <w:overflowPunct/>
              <w:autoSpaceDE/>
              <w:autoSpaceDN/>
              <w:adjustRightInd/>
              <w:jc w:val="center"/>
              <w:textAlignment w:val="auto"/>
              <w:rPr>
                <w:rFonts w:asciiTheme="majorHAnsi" w:hAnsiTheme="majorHAnsi" w:cstheme="majorHAnsi"/>
                <w:sz w:val="20"/>
                <w:lang w:eastAsia="en-US"/>
              </w:rPr>
            </w:pPr>
            <w:r w:rsidRPr="004E4188">
              <w:rPr>
                <w:rFonts w:asciiTheme="majorHAnsi" w:hAnsiTheme="majorHAnsi" w:cstheme="majorHAnsi"/>
                <w:sz w:val="20"/>
                <w:lang w:eastAsia="en-US"/>
              </w:rPr>
              <w:t>1</w:t>
            </w:r>
          </w:p>
        </w:tc>
        <w:tc>
          <w:tcPr>
            <w:tcW w:w="4660" w:type="dxa"/>
            <w:tcBorders>
              <w:top w:val="single" w:sz="12" w:space="0" w:color="auto"/>
            </w:tcBorders>
            <w:vAlign w:val="center"/>
          </w:tcPr>
          <w:p w14:paraId="57A6E9CB" w14:textId="77777777" w:rsidR="007049A5" w:rsidRPr="004E4188" w:rsidRDefault="007049A5" w:rsidP="00B23F61">
            <w:pPr>
              <w:suppressAutoHyphens w:val="0"/>
              <w:overflowPunct/>
              <w:autoSpaceDE/>
              <w:autoSpaceDN/>
              <w:adjustRightInd/>
              <w:textAlignment w:val="auto"/>
              <w:rPr>
                <w:rFonts w:asciiTheme="majorHAnsi" w:hAnsiTheme="majorHAnsi" w:cstheme="majorHAnsi"/>
                <w:sz w:val="20"/>
                <w:lang w:eastAsia="en-US"/>
              </w:rPr>
            </w:pPr>
          </w:p>
        </w:tc>
        <w:tc>
          <w:tcPr>
            <w:tcW w:w="2871" w:type="dxa"/>
            <w:tcBorders>
              <w:top w:val="single" w:sz="12" w:space="0" w:color="auto"/>
            </w:tcBorders>
            <w:vAlign w:val="center"/>
          </w:tcPr>
          <w:p w14:paraId="39640569" w14:textId="77777777" w:rsidR="007049A5" w:rsidRPr="004E4188" w:rsidRDefault="007049A5" w:rsidP="00B23F61">
            <w:pPr>
              <w:suppressAutoHyphens w:val="0"/>
              <w:overflowPunct/>
              <w:autoSpaceDE/>
              <w:autoSpaceDN/>
              <w:adjustRightInd/>
              <w:textAlignment w:val="auto"/>
              <w:rPr>
                <w:rFonts w:asciiTheme="majorHAnsi" w:hAnsiTheme="majorHAnsi" w:cstheme="majorHAnsi"/>
                <w:sz w:val="20"/>
                <w:lang w:eastAsia="en-US"/>
              </w:rPr>
            </w:pPr>
          </w:p>
        </w:tc>
      </w:tr>
      <w:tr w:rsidR="007049A5" w:rsidRPr="004E4188" w14:paraId="2617DA62" w14:textId="77777777" w:rsidTr="004507E0">
        <w:trPr>
          <w:trHeight w:val="340"/>
        </w:trPr>
        <w:tc>
          <w:tcPr>
            <w:tcW w:w="690" w:type="dxa"/>
            <w:vAlign w:val="center"/>
          </w:tcPr>
          <w:p w14:paraId="53DA8F81" w14:textId="77777777" w:rsidR="007049A5" w:rsidRPr="004E4188" w:rsidRDefault="007049A5" w:rsidP="00B23F61">
            <w:pPr>
              <w:suppressAutoHyphens w:val="0"/>
              <w:overflowPunct/>
              <w:autoSpaceDE/>
              <w:autoSpaceDN/>
              <w:adjustRightInd/>
              <w:jc w:val="center"/>
              <w:textAlignment w:val="auto"/>
              <w:rPr>
                <w:rFonts w:asciiTheme="majorHAnsi" w:hAnsiTheme="majorHAnsi" w:cstheme="majorHAnsi"/>
                <w:sz w:val="20"/>
                <w:lang w:eastAsia="en-US"/>
              </w:rPr>
            </w:pPr>
            <w:r w:rsidRPr="004E4188">
              <w:rPr>
                <w:rFonts w:asciiTheme="majorHAnsi" w:hAnsiTheme="majorHAnsi" w:cstheme="majorHAnsi"/>
                <w:sz w:val="20"/>
                <w:lang w:eastAsia="en-US"/>
              </w:rPr>
              <w:t>2</w:t>
            </w:r>
          </w:p>
        </w:tc>
        <w:tc>
          <w:tcPr>
            <w:tcW w:w="4660" w:type="dxa"/>
            <w:vAlign w:val="center"/>
          </w:tcPr>
          <w:p w14:paraId="02C02920" w14:textId="77777777" w:rsidR="007049A5" w:rsidRPr="004E4188" w:rsidRDefault="007049A5" w:rsidP="00B23F61">
            <w:pPr>
              <w:suppressAutoHyphens w:val="0"/>
              <w:overflowPunct/>
              <w:autoSpaceDE/>
              <w:autoSpaceDN/>
              <w:adjustRightInd/>
              <w:textAlignment w:val="auto"/>
              <w:rPr>
                <w:rFonts w:asciiTheme="majorHAnsi" w:hAnsiTheme="majorHAnsi" w:cstheme="majorHAnsi"/>
                <w:sz w:val="20"/>
                <w:lang w:eastAsia="en-US"/>
              </w:rPr>
            </w:pPr>
          </w:p>
        </w:tc>
        <w:tc>
          <w:tcPr>
            <w:tcW w:w="2871" w:type="dxa"/>
            <w:vAlign w:val="center"/>
          </w:tcPr>
          <w:p w14:paraId="20F65B43" w14:textId="77777777" w:rsidR="007049A5" w:rsidRPr="004E4188" w:rsidRDefault="007049A5" w:rsidP="00B23F61">
            <w:pPr>
              <w:suppressAutoHyphens w:val="0"/>
              <w:overflowPunct/>
              <w:autoSpaceDE/>
              <w:autoSpaceDN/>
              <w:adjustRightInd/>
              <w:textAlignment w:val="auto"/>
              <w:rPr>
                <w:rFonts w:asciiTheme="majorHAnsi" w:hAnsiTheme="majorHAnsi" w:cstheme="majorHAnsi"/>
                <w:sz w:val="20"/>
                <w:u w:val="single"/>
                <w:lang w:eastAsia="en-US"/>
              </w:rPr>
            </w:pPr>
          </w:p>
        </w:tc>
      </w:tr>
      <w:tr w:rsidR="007049A5" w:rsidRPr="004E4188" w14:paraId="0C09F03D" w14:textId="77777777" w:rsidTr="004507E0">
        <w:trPr>
          <w:trHeight w:val="340"/>
        </w:trPr>
        <w:tc>
          <w:tcPr>
            <w:tcW w:w="690" w:type="dxa"/>
            <w:vAlign w:val="center"/>
          </w:tcPr>
          <w:p w14:paraId="7C219F30" w14:textId="77777777" w:rsidR="007049A5" w:rsidRPr="004E4188" w:rsidRDefault="007049A5" w:rsidP="00B23F61">
            <w:pPr>
              <w:suppressAutoHyphens w:val="0"/>
              <w:overflowPunct/>
              <w:autoSpaceDE/>
              <w:autoSpaceDN/>
              <w:adjustRightInd/>
              <w:jc w:val="center"/>
              <w:textAlignment w:val="auto"/>
              <w:rPr>
                <w:rFonts w:asciiTheme="majorHAnsi" w:hAnsiTheme="majorHAnsi" w:cstheme="majorHAnsi"/>
                <w:sz w:val="20"/>
                <w:lang w:eastAsia="en-US"/>
              </w:rPr>
            </w:pPr>
            <w:r w:rsidRPr="004E4188">
              <w:rPr>
                <w:rFonts w:asciiTheme="majorHAnsi" w:hAnsiTheme="majorHAnsi" w:cstheme="majorHAnsi"/>
                <w:sz w:val="20"/>
                <w:lang w:eastAsia="en-US"/>
              </w:rPr>
              <w:t>3</w:t>
            </w:r>
          </w:p>
        </w:tc>
        <w:tc>
          <w:tcPr>
            <w:tcW w:w="4660" w:type="dxa"/>
            <w:vAlign w:val="center"/>
          </w:tcPr>
          <w:p w14:paraId="30E5007B" w14:textId="77777777" w:rsidR="007049A5" w:rsidRPr="004E4188" w:rsidRDefault="007049A5" w:rsidP="00B23F61">
            <w:pPr>
              <w:suppressAutoHyphens w:val="0"/>
              <w:overflowPunct/>
              <w:autoSpaceDE/>
              <w:autoSpaceDN/>
              <w:adjustRightInd/>
              <w:textAlignment w:val="auto"/>
              <w:rPr>
                <w:rFonts w:asciiTheme="majorHAnsi" w:hAnsiTheme="majorHAnsi" w:cstheme="majorHAnsi"/>
                <w:sz w:val="20"/>
                <w:lang w:eastAsia="en-US"/>
              </w:rPr>
            </w:pPr>
          </w:p>
        </w:tc>
        <w:tc>
          <w:tcPr>
            <w:tcW w:w="2871" w:type="dxa"/>
            <w:vAlign w:val="center"/>
          </w:tcPr>
          <w:p w14:paraId="5C5034E4" w14:textId="77777777" w:rsidR="007049A5" w:rsidRPr="004E4188" w:rsidRDefault="007049A5" w:rsidP="00B23F61">
            <w:pPr>
              <w:suppressAutoHyphens w:val="0"/>
              <w:overflowPunct/>
              <w:autoSpaceDE/>
              <w:autoSpaceDN/>
              <w:adjustRightInd/>
              <w:textAlignment w:val="auto"/>
              <w:rPr>
                <w:rFonts w:asciiTheme="majorHAnsi" w:hAnsiTheme="majorHAnsi" w:cstheme="majorHAnsi"/>
                <w:sz w:val="20"/>
                <w:u w:val="single"/>
                <w:lang w:eastAsia="en-US"/>
              </w:rPr>
            </w:pPr>
          </w:p>
        </w:tc>
      </w:tr>
      <w:tr w:rsidR="007049A5" w:rsidRPr="004E4188" w14:paraId="0162C751" w14:textId="77777777" w:rsidTr="004507E0">
        <w:trPr>
          <w:trHeight w:val="340"/>
        </w:trPr>
        <w:tc>
          <w:tcPr>
            <w:tcW w:w="690" w:type="dxa"/>
            <w:vAlign w:val="center"/>
          </w:tcPr>
          <w:p w14:paraId="74520CBA" w14:textId="77777777" w:rsidR="007049A5" w:rsidRPr="004E4188" w:rsidRDefault="007049A5" w:rsidP="00B23F61">
            <w:pPr>
              <w:suppressAutoHyphens w:val="0"/>
              <w:overflowPunct/>
              <w:autoSpaceDE/>
              <w:autoSpaceDN/>
              <w:adjustRightInd/>
              <w:jc w:val="center"/>
              <w:textAlignment w:val="auto"/>
              <w:rPr>
                <w:rFonts w:asciiTheme="majorHAnsi" w:hAnsiTheme="majorHAnsi" w:cstheme="majorHAnsi"/>
                <w:sz w:val="20"/>
                <w:lang w:eastAsia="ja-JP"/>
              </w:rPr>
            </w:pPr>
            <w:r w:rsidRPr="004E4188">
              <w:rPr>
                <w:rFonts w:asciiTheme="majorHAnsi" w:hAnsiTheme="majorHAnsi" w:cstheme="majorHAnsi"/>
                <w:sz w:val="20"/>
                <w:lang w:eastAsia="ja-JP"/>
              </w:rPr>
              <w:t>4</w:t>
            </w:r>
          </w:p>
        </w:tc>
        <w:tc>
          <w:tcPr>
            <w:tcW w:w="4660" w:type="dxa"/>
            <w:vAlign w:val="center"/>
          </w:tcPr>
          <w:p w14:paraId="0ABF4119" w14:textId="77777777" w:rsidR="007049A5" w:rsidRPr="004E4188" w:rsidRDefault="007049A5" w:rsidP="00B23F61">
            <w:pPr>
              <w:suppressAutoHyphens w:val="0"/>
              <w:overflowPunct/>
              <w:autoSpaceDE/>
              <w:autoSpaceDN/>
              <w:adjustRightInd/>
              <w:textAlignment w:val="auto"/>
              <w:rPr>
                <w:rFonts w:asciiTheme="majorHAnsi" w:hAnsiTheme="majorHAnsi" w:cstheme="majorHAnsi"/>
                <w:sz w:val="20"/>
                <w:lang w:eastAsia="en-US"/>
              </w:rPr>
            </w:pPr>
          </w:p>
        </w:tc>
        <w:tc>
          <w:tcPr>
            <w:tcW w:w="2871" w:type="dxa"/>
            <w:vAlign w:val="center"/>
          </w:tcPr>
          <w:p w14:paraId="66310391" w14:textId="77777777" w:rsidR="007049A5" w:rsidRPr="004E4188" w:rsidRDefault="007049A5" w:rsidP="00B23F61">
            <w:pPr>
              <w:suppressAutoHyphens w:val="0"/>
              <w:overflowPunct/>
              <w:autoSpaceDE/>
              <w:autoSpaceDN/>
              <w:adjustRightInd/>
              <w:textAlignment w:val="auto"/>
              <w:rPr>
                <w:rFonts w:asciiTheme="majorHAnsi" w:hAnsiTheme="majorHAnsi" w:cstheme="majorHAnsi"/>
                <w:sz w:val="20"/>
                <w:u w:val="single"/>
                <w:lang w:eastAsia="en-US"/>
              </w:rPr>
            </w:pPr>
          </w:p>
        </w:tc>
      </w:tr>
      <w:tr w:rsidR="007049A5" w:rsidRPr="004E4188" w14:paraId="24345B93" w14:textId="77777777" w:rsidTr="004507E0">
        <w:trPr>
          <w:trHeight w:val="340"/>
        </w:trPr>
        <w:tc>
          <w:tcPr>
            <w:tcW w:w="690" w:type="dxa"/>
            <w:vAlign w:val="center"/>
          </w:tcPr>
          <w:p w14:paraId="458528A5" w14:textId="77777777" w:rsidR="007049A5" w:rsidRPr="004E4188" w:rsidRDefault="007049A5" w:rsidP="00B23F61">
            <w:pPr>
              <w:suppressAutoHyphens w:val="0"/>
              <w:overflowPunct/>
              <w:autoSpaceDE/>
              <w:autoSpaceDN/>
              <w:adjustRightInd/>
              <w:jc w:val="center"/>
              <w:textAlignment w:val="auto"/>
              <w:rPr>
                <w:rFonts w:asciiTheme="majorHAnsi" w:hAnsiTheme="majorHAnsi" w:cstheme="majorHAnsi"/>
                <w:sz w:val="20"/>
                <w:lang w:eastAsia="ja-JP"/>
              </w:rPr>
            </w:pPr>
            <w:r w:rsidRPr="004E4188">
              <w:rPr>
                <w:rFonts w:asciiTheme="majorHAnsi" w:hAnsiTheme="majorHAnsi" w:cstheme="majorHAnsi"/>
                <w:sz w:val="20"/>
                <w:lang w:eastAsia="ja-JP"/>
              </w:rPr>
              <w:t>5</w:t>
            </w:r>
          </w:p>
        </w:tc>
        <w:tc>
          <w:tcPr>
            <w:tcW w:w="4660" w:type="dxa"/>
            <w:vAlign w:val="center"/>
          </w:tcPr>
          <w:p w14:paraId="207520F4" w14:textId="77777777" w:rsidR="007049A5" w:rsidRPr="004E4188" w:rsidRDefault="007049A5" w:rsidP="00B23F61">
            <w:pPr>
              <w:suppressAutoHyphens w:val="0"/>
              <w:overflowPunct/>
              <w:autoSpaceDE/>
              <w:autoSpaceDN/>
              <w:adjustRightInd/>
              <w:textAlignment w:val="auto"/>
              <w:rPr>
                <w:rFonts w:asciiTheme="majorHAnsi" w:hAnsiTheme="majorHAnsi" w:cstheme="majorHAnsi"/>
                <w:sz w:val="20"/>
                <w:lang w:eastAsia="en-US"/>
              </w:rPr>
            </w:pPr>
          </w:p>
        </w:tc>
        <w:tc>
          <w:tcPr>
            <w:tcW w:w="2871" w:type="dxa"/>
            <w:vAlign w:val="center"/>
          </w:tcPr>
          <w:p w14:paraId="487DFBDE" w14:textId="77777777" w:rsidR="007049A5" w:rsidRPr="004E4188" w:rsidRDefault="007049A5" w:rsidP="00B23F61">
            <w:pPr>
              <w:suppressAutoHyphens w:val="0"/>
              <w:overflowPunct/>
              <w:autoSpaceDE/>
              <w:autoSpaceDN/>
              <w:adjustRightInd/>
              <w:textAlignment w:val="auto"/>
              <w:rPr>
                <w:rFonts w:asciiTheme="majorHAnsi" w:hAnsiTheme="majorHAnsi" w:cstheme="majorHAnsi"/>
                <w:sz w:val="20"/>
                <w:u w:val="single"/>
                <w:lang w:eastAsia="en-US"/>
              </w:rPr>
            </w:pPr>
          </w:p>
        </w:tc>
      </w:tr>
      <w:tr w:rsidR="007049A5" w:rsidRPr="004E4188" w14:paraId="3E73061F" w14:textId="77777777" w:rsidTr="004507E0">
        <w:trPr>
          <w:trHeight w:val="340"/>
        </w:trPr>
        <w:tc>
          <w:tcPr>
            <w:tcW w:w="690" w:type="dxa"/>
            <w:vAlign w:val="center"/>
          </w:tcPr>
          <w:p w14:paraId="07A9EDC6" w14:textId="77777777" w:rsidR="007049A5" w:rsidRPr="004E4188" w:rsidRDefault="007049A5" w:rsidP="00B23F61">
            <w:pPr>
              <w:suppressAutoHyphens w:val="0"/>
              <w:overflowPunct/>
              <w:autoSpaceDE/>
              <w:autoSpaceDN/>
              <w:adjustRightInd/>
              <w:jc w:val="center"/>
              <w:textAlignment w:val="auto"/>
              <w:rPr>
                <w:rFonts w:asciiTheme="majorHAnsi" w:hAnsiTheme="majorHAnsi" w:cstheme="majorHAnsi"/>
                <w:sz w:val="20"/>
                <w:lang w:eastAsia="ja-JP"/>
              </w:rPr>
            </w:pPr>
            <w:r w:rsidRPr="004E4188">
              <w:rPr>
                <w:rFonts w:asciiTheme="majorHAnsi" w:hAnsiTheme="majorHAnsi" w:cstheme="majorHAnsi"/>
                <w:sz w:val="20"/>
                <w:lang w:eastAsia="ja-JP"/>
              </w:rPr>
              <w:t>...</w:t>
            </w:r>
          </w:p>
        </w:tc>
        <w:tc>
          <w:tcPr>
            <w:tcW w:w="4660" w:type="dxa"/>
            <w:vAlign w:val="center"/>
          </w:tcPr>
          <w:p w14:paraId="1D137077" w14:textId="77777777" w:rsidR="007049A5" w:rsidRPr="004E4188" w:rsidRDefault="007049A5" w:rsidP="00B23F61">
            <w:pPr>
              <w:suppressAutoHyphens w:val="0"/>
              <w:overflowPunct/>
              <w:autoSpaceDE/>
              <w:autoSpaceDN/>
              <w:adjustRightInd/>
              <w:textAlignment w:val="auto"/>
              <w:rPr>
                <w:rFonts w:asciiTheme="majorHAnsi" w:hAnsiTheme="majorHAnsi" w:cstheme="majorHAnsi"/>
                <w:sz w:val="20"/>
                <w:lang w:eastAsia="en-US"/>
              </w:rPr>
            </w:pPr>
          </w:p>
        </w:tc>
        <w:tc>
          <w:tcPr>
            <w:tcW w:w="2871" w:type="dxa"/>
            <w:vAlign w:val="center"/>
          </w:tcPr>
          <w:p w14:paraId="0DCE4D2A" w14:textId="77777777" w:rsidR="007049A5" w:rsidRPr="004E4188" w:rsidRDefault="007049A5" w:rsidP="00B23F61">
            <w:pPr>
              <w:suppressAutoHyphens w:val="0"/>
              <w:overflowPunct/>
              <w:autoSpaceDE/>
              <w:autoSpaceDN/>
              <w:adjustRightInd/>
              <w:textAlignment w:val="auto"/>
              <w:rPr>
                <w:rFonts w:asciiTheme="majorHAnsi" w:hAnsiTheme="majorHAnsi" w:cstheme="majorHAnsi"/>
                <w:sz w:val="20"/>
                <w:u w:val="single"/>
                <w:lang w:eastAsia="en-US"/>
              </w:rPr>
            </w:pPr>
          </w:p>
        </w:tc>
      </w:tr>
      <w:tr w:rsidR="007049A5" w:rsidRPr="004E4188" w14:paraId="4BFEBA07" w14:textId="77777777" w:rsidTr="004507E0">
        <w:tc>
          <w:tcPr>
            <w:tcW w:w="8221" w:type="dxa"/>
            <w:gridSpan w:val="3"/>
          </w:tcPr>
          <w:p w14:paraId="5DBEA023" w14:textId="77777777" w:rsidR="007049A5" w:rsidRPr="004E4188" w:rsidRDefault="007049A5" w:rsidP="00713D7B">
            <w:pPr>
              <w:widowControl w:val="0"/>
              <w:spacing w:afterLines="50" w:after="120" w:line="0" w:lineRule="atLeast"/>
              <w:rPr>
                <w:rFonts w:asciiTheme="majorHAnsi" w:hAnsiTheme="majorHAnsi" w:cstheme="majorHAnsi"/>
                <w:i/>
                <w:sz w:val="20"/>
                <w:u w:val="single"/>
                <w:lang w:eastAsia="ja-JP"/>
              </w:rPr>
            </w:pPr>
            <w:r w:rsidRPr="004E4188">
              <w:rPr>
                <w:rFonts w:asciiTheme="majorHAnsi" w:hAnsiTheme="majorHAnsi" w:cstheme="majorHAnsi"/>
                <w:i/>
                <w:sz w:val="20"/>
                <w:u w:val="single"/>
                <w:lang w:eastAsia="ja-JP"/>
              </w:rPr>
              <w:t>Notes à l’intention du Maître d’ouvrage</w:t>
            </w:r>
          </w:p>
          <w:p w14:paraId="7512467D" w14:textId="756770B2" w:rsidR="007049A5" w:rsidRPr="004E4188" w:rsidRDefault="007049A5" w:rsidP="003D46CF">
            <w:pPr>
              <w:pStyle w:val="aff7"/>
              <w:numPr>
                <w:ilvl w:val="0"/>
                <w:numId w:val="57"/>
              </w:numPr>
              <w:adjustRightInd/>
              <w:spacing w:after="120" w:line="240" w:lineRule="auto"/>
              <w:ind w:leftChars="0"/>
              <w:textAlignment w:val="auto"/>
              <w:rPr>
                <w:rFonts w:asciiTheme="majorHAnsi" w:hAnsiTheme="majorHAnsi" w:cstheme="majorHAnsi"/>
                <w:i/>
                <w:sz w:val="20"/>
                <w:lang w:val="fr-FR" w:eastAsia="en-US"/>
              </w:rPr>
            </w:pPr>
            <w:r w:rsidRPr="004E4188">
              <w:rPr>
                <w:rFonts w:asciiTheme="majorHAnsi" w:hAnsiTheme="majorHAnsi" w:cstheme="majorHAnsi"/>
                <w:i/>
                <w:sz w:val="20"/>
                <w:lang w:val="fr-FR"/>
              </w:rPr>
              <w:t>Les</w:t>
            </w:r>
            <w:r w:rsidRPr="004E4188">
              <w:rPr>
                <w:rFonts w:asciiTheme="majorHAnsi" w:hAnsiTheme="majorHAnsi" w:cstheme="majorHAnsi"/>
                <w:i/>
                <w:sz w:val="20"/>
                <w:lang w:val="fr-FR" w:eastAsia="en-US"/>
              </w:rPr>
              <w:t xml:space="preserve"> équipements de construction requis doivent être limités aux pièces les plus importantes essentielles,</w:t>
            </w:r>
            <w:r w:rsidR="00D36F84" w:rsidRPr="004E4188">
              <w:rPr>
                <w:rFonts w:asciiTheme="majorHAnsi" w:hAnsiTheme="majorHAnsi" w:cstheme="majorHAnsi"/>
                <w:i/>
                <w:sz w:val="20"/>
                <w:lang w:val="fr-FR" w:eastAsia="en-US"/>
              </w:rPr>
              <w:t xml:space="preserve"> </w:t>
            </w:r>
            <w:r w:rsidRPr="004E4188">
              <w:rPr>
                <w:rFonts w:asciiTheme="majorHAnsi" w:hAnsiTheme="majorHAnsi" w:cstheme="majorHAnsi"/>
                <w:i/>
                <w:sz w:val="20"/>
                <w:lang w:val="fr-FR" w:eastAsia="en-US"/>
              </w:rPr>
              <w:t xml:space="preserve">à la bonne exécution des </w:t>
            </w:r>
            <w:r w:rsidRPr="004E4188">
              <w:rPr>
                <w:rFonts w:asciiTheme="majorHAnsi" w:hAnsiTheme="majorHAnsi" w:cstheme="majorHAnsi"/>
                <w:i/>
                <w:sz w:val="20"/>
                <w:lang w:val="fr-FR"/>
              </w:rPr>
              <w:t>É</w:t>
            </w:r>
            <w:r w:rsidRPr="004E4188">
              <w:rPr>
                <w:rFonts w:asciiTheme="majorHAnsi" w:hAnsiTheme="majorHAnsi" w:cstheme="majorHAnsi"/>
                <w:i/>
                <w:sz w:val="20"/>
                <w:lang w:val="fr-FR" w:eastAsia="en-US"/>
              </w:rPr>
              <w:t>quipements et Services de montage dans les délais prescrits, ainsi qu’au matériel que les Soumissionnaires peuvent avoir des difficultés à se procurer ou à louer dans les délais alloués.</w:t>
            </w:r>
          </w:p>
          <w:p w14:paraId="59271934" w14:textId="7E8C4930" w:rsidR="007049A5" w:rsidRPr="004E4188" w:rsidRDefault="007049A5" w:rsidP="003D46CF">
            <w:pPr>
              <w:pStyle w:val="aff7"/>
              <w:numPr>
                <w:ilvl w:val="0"/>
                <w:numId w:val="57"/>
              </w:numPr>
              <w:adjustRightInd/>
              <w:spacing w:after="120"/>
              <w:ind w:leftChars="0"/>
              <w:textAlignment w:val="auto"/>
              <w:rPr>
                <w:rFonts w:asciiTheme="majorHAnsi" w:hAnsiTheme="majorHAnsi" w:cstheme="majorHAnsi"/>
                <w:i/>
                <w:sz w:val="20"/>
                <w:u w:val="single"/>
                <w:lang w:val="fr-FR" w:eastAsia="en-US"/>
              </w:rPr>
            </w:pPr>
            <w:r w:rsidRPr="004E4188">
              <w:rPr>
                <w:rFonts w:asciiTheme="majorHAnsi" w:hAnsiTheme="majorHAnsi" w:cstheme="majorHAnsi"/>
                <w:i/>
                <w:sz w:val="20"/>
                <w:lang w:val="fr-FR"/>
              </w:rPr>
              <w:t>Ajouter des critères d’attribution en cas de lots multiples, le cas échéant.</w:t>
            </w:r>
          </w:p>
        </w:tc>
      </w:tr>
    </w:tbl>
    <w:p w14:paraId="06338C18" w14:textId="77777777" w:rsidR="007049A5" w:rsidRPr="004E4188" w:rsidRDefault="007049A5" w:rsidP="00184C20">
      <w:pPr>
        <w:spacing w:beforeLines="100" w:before="240" w:afterLines="50" w:after="120"/>
        <w:ind w:left="850"/>
      </w:pPr>
      <w:r w:rsidRPr="004E4188">
        <w:t>Le Soumissionnaire doit fournir des détails supplémentaires sur les équipements proposés en utilisant le formulaire EQU de la Section IV, Formulaires de soumission.</w:t>
      </w:r>
    </w:p>
    <w:p w14:paraId="02921744" w14:textId="77777777" w:rsidR="007049A5" w:rsidRPr="004E4188" w:rsidRDefault="007049A5" w:rsidP="006C6267">
      <w:pPr>
        <w:spacing w:beforeLines="50" w:before="120" w:afterLines="50" w:after="120"/>
        <w:ind w:left="709"/>
      </w:pPr>
    </w:p>
    <w:p w14:paraId="39933510" w14:textId="77777777" w:rsidR="007049A5" w:rsidRPr="004E4188" w:rsidRDefault="007049A5" w:rsidP="003D46CF">
      <w:pPr>
        <w:numPr>
          <w:ilvl w:val="2"/>
          <w:numId w:val="58"/>
        </w:numPr>
        <w:tabs>
          <w:tab w:val="clear" w:pos="720"/>
          <w:tab w:val="num" w:pos="2705"/>
        </w:tabs>
        <w:suppressAutoHyphens w:val="0"/>
        <w:overflowPunct/>
        <w:autoSpaceDE/>
        <w:autoSpaceDN/>
        <w:adjustRightInd/>
        <w:ind w:left="851" w:hanging="851"/>
        <w:jc w:val="left"/>
        <w:textAlignment w:val="auto"/>
        <w:rPr>
          <w:b/>
          <w:bCs/>
          <w:lang w:eastAsia="ja-JP"/>
        </w:rPr>
      </w:pPr>
      <w:r w:rsidRPr="004E4188">
        <w:rPr>
          <w:b/>
          <w:bCs/>
          <w:lang w:eastAsia="ja-JP"/>
        </w:rPr>
        <w:t xml:space="preserve">Sous-traitants proposés pour les éléments majeurs des </w:t>
      </w:r>
      <w:r w:rsidRPr="004E4188">
        <w:rPr>
          <w:b/>
          <w:szCs w:val="24"/>
        </w:rPr>
        <w:t>É</w:t>
      </w:r>
      <w:r w:rsidRPr="004E4188">
        <w:rPr>
          <w:b/>
          <w:bCs/>
          <w:lang w:eastAsia="ja-JP"/>
        </w:rPr>
        <w:t xml:space="preserve">quipements </w:t>
      </w:r>
    </w:p>
    <w:p w14:paraId="5F678AD8" w14:textId="77777777" w:rsidR="007049A5" w:rsidRPr="004E4188" w:rsidRDefault="007049A5" w:rsidP="00184C20">
      <w:pPr>
        <w:suppressAutoHyphens w:val="0"/>
        <w:overflowPunct/>
        <w:autoSpaceDE/>
        <w:autoSpaceDN/>
        <w:adjustRightInd/>
        <w:ind w:left="852" w:hanging="2"/>
        <w:textAlignment w:val="auto"/>
        <w:rPr>
          <w:lang w:eastAsia="en-US"/>
        </w:rPr>
      </w:pPr>
      <w:r w:rsidRPr="004E4188">
        <w:rPr>
          <w:szCs w:val="24"/>
          <w:lang w:eastAsia="en-US"/>
        </w:rPr>
        <w:t>L</w:t>
      </w:r>
      <w:r w:rsidRPr="004E4188">
        <w:rPr>
          <w:lang w:eastAsia="en-US"/>
        </w:rPr>
        <w:t xml:space="preserve">es </w:t>
      </w:r>
      <w:r w:rsidRPr="004E4188">
        <w:t>sous</w:t>
      </w:r>
      <w:r w:rsidRPr="004E4188">
        <w:rPr>
          <w:lang w:eastAsia="en-US"/>
        </w:rPr>
        <w:t xml:space="preserve">-traitants et fabricants proposés pour les éléments majeurs des </w:t>
      </w:r>
      <w:r w:rsidRPr="004E4188">
        <w:rPr>
          <w:szCs w:val="24"/>
        </w:rPr>
        <w:t>É</w:t>
      </w:r>
      <w:r w:rsidRPr="004E4188">
        <w:rPr>
          <w:lang w:eastAsia="en-US"/>
        </w:rPr>
        <w:t>quipements identifiés ci-après doivent satisfaire aux critères minimaux suivants indiqués pour chaque élément</w:t>
      </w:r>
      <w:r w:rsidRPr="004E4188">
        <w:rPr>
          <w:szCs w:val="24"/>
          <w:lang w:eastAsia="en-US"/>
        </w:rPr>
        <w:t>. L</w:t>
      </w:r>
      <w:r w:rsidRPr="004E4188">
        <w:rPr>
          <w:lang w:eastAsia="en-US"/>
        </w:rPr>
        <w:t>e non-respect de cette exigence entraînera le rejet du sous-traitant ou fabricant, mais pas du Soumissionnaire.</w:t>
      </w:r>
    </w:p>
    <w:p w14:paraId="22465DC2" w14:textId="77777777" w:rsidR="007049A5" w:rsidRPr="004E4188" w:rsidRDefault="007049A5" w:rsidP="006C6267">
      <w:pPr>
        <w:suppressAutoHyphens w:val="0"/>
        <w:overflowPunct/>
        <w:autoSpaceDE/>
        <w:autoSpaceDN/>
        <w:adjustRightInd/>
        <w:ind w:left="709" w:right="288" w:hanging="2"/>
        <w:textAlignment w:val="auto"/>
        <w:rPr>
          <w:lang w:eastAsia="en-US"/>
        </w:rPr>
      </w:pPr>
    </w:p>
    <w:tbl>
      <w:tblPr>
        <w:tblpPr w:leftFromText="142" w:rightFromText="142" w:vertAnchor="text" w:tblpX="1002" w:tblpY="1"/>
        <w:tblOverlap w:val="never"/>
        <w:tblW w:w="8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3642"/>
        <w:gridCol w:w="1559"/>
        <w:gridCol w:w="1843"/>
      </w:tblGrid>
      <w:tr w:rsidR="007049A5" w:rsidRPr="004E4188" w14:paraId="379C45EC" w14:textId="77777777" w:rsidTr="004507E0">
        <w:tc>
          <w:tcPr>
            <w:tcW w:w="1163" w:type="dxa"/>
            <w:tcBorders>
              <w:top w:val="single" w:sz="12" w:space="0" w:color="auto"/>
              <w:left w:val="single" w:sz="12" w:space="0" w:color="auto"/>
              <w:bottom w:val="single" w:sz="12" w:space="0" w:color="auto"/>
              <w:right w:val="single" w:sz="12" w:space="0" w:color="auto"/>
            </w:tcBorders>
            <w:shd w:val="clear" w:color="auto" w:fill="D9D9D9"/>
            <w:vAlign w:val="center"/>
          </w:tcPr>
          <w:p w14:paraId="0087946D" w14:textId="77777777" w:rsidR="007049A5" w:rsidRPr="004E4188" w:rsidRDefault="007049A5" w:rsidP="006C6267">
            <w:pPr>
              <w:suppressAutoHyphens w:val="0"/>
              <w:overflowPunct/>
              <w:autoSpaceDE/>
              <w:autoSpaceDN/>
              <w:adjustRightInd/>
              <w:jc w:val="center"/>
              <w:textAlignment w:val="auto"/>
              <w:rPr>
                <w:rFonts w:ascii="Arial" w:hAnsi="Arial" w:cs="Arial"/>
                <w:b/>
                <w:bCs/>
                <w:sz w:val="20"/>
                <w:lang w:val="en-GB" w:eastAsia="en-US"/>
              </w:rPr>
            </w:pPr>
            <w:r w:rsidRPr="004E4188">
              <w:rPr>
                <w:b/>
                <w:szCs w:val="36"/>
              </w:rPr>
              <w:t>n° de l’élément</w:t>
            </w:r>
          </w:p>
        </w:tc>
        <w:tc>
          <w:tcPr>
            <w:tcW w:w="3642" w:type="dxa"/>
            <w:tcBorders>
              <w:top w:val="single" w:sz="12" w:space="0" w:color="auto"/>
              <w:left w:val="single" w:sz="12" w:space="0" w:color="auto"/>
              <w:bottom w:val="single" w:sz="12" w:space="0" w:color="auto"/>
              <w:right w:val="single" w:sz="12" w:space="0" w:color="auto"/>
            </w:tcBorders>
            <w:shd w:val="clear" w:color="auto" w:fill="D9D9D9"/>
            <w:vAlign w:val="center"/>
          </w:tcPr>
          <w:p w14:paraId="6C55CEDF" w14:textId="77777777" w:rsidR="007049A5" w:rsidRPr="004E4188" w:rsidRDefault="007049A5" w:rsidP="006C6267">
            <w:pPr>
              <w:suppressAutoHyphens w:val="0"/>
              <w:overflowPunct/>
              <w:autoSpaceDE/>
              <w:autoSpaceDN/>
              <w:adjustRightInd/>
              <w:jc w:val="center"/>
              <w:textAlignment w:val="auto"/>
              <w:rPr>
                <w:rFonts w:ascii="Arial" w:hAnsi="Arial" w:cs="Arial"/>
                <w:b/>
                <w:bCs/>
                <w:sz w:val="20"/>
                <w:lang w:val="en-GB" w:eastAsia="en-US"/>
              </w:rPr>
            </w:pPr>
            <w:r w:rsidRPr="004E4188">
              <w:rPr>
                <w:b/>
                <w:szCs w:val="36"/>
                <w:lang w:val="en-GB" w:eastAsia="en-US"/>
              </w:rPr>
              <w:t>Description de l’élément</w:t>
            </w:r>
          </w:p>
        </w:tc>
        <w:tc>
          <w:tcPr>
            <w:tcW w:w="1559" w:type="dxa"/>
            <w:tcBorders>
              <w:top w:val="single" w:sz="12" w:space="0" w:color="auto"/>
              <w:left w:val="single" w:sz="12" w:space="0" w:color="auto"/>
              <w:bottom w:val="single" w:sz="12" w:space="0" w:color="auto"/>
              <w:right w:val="single" w:sz="12" w:space="0" w:color="auto"/>
            </w:tcBorders>
            <w:shd w:val="clear" w:color="auto" w:fill="D9D9D9"/>
            <w:vAlign w:val="center"/>
          </w:tcPr>
          <w:p w14:paraId="32EE2079" w14:textId="77777777" w:rsidR="007049A5" w:rsidRPr="004E4188" w:rsidRDefault="007049A5" w:rsidP="006C6267">
            <w:pPr>
              <w:suppressAutoHyphens w:val="0"/>
              <w:overflowPunct/>
              <w:autoSpaceDE/>
              <w:autoSpaceDN/>
              <w:adjustRightInd/>
              <w:jc w:val="center"/>
              <w:textAlignment w:val="auto"/>
              <w:rPr>
                <w:rFonts w:ascii="Arial" w:hAnsi="Arial" w:cs="Arial"/>
                <w:b/>
                <w:bCs/>
                <w:sz w:val="20"/>
                <w:lang w:val="en-GB" w:eastAsia="en-US"/>
              </w:rPr>
            </w:pPr>
            <w:r w:rsidRPr="004E4188">
              <w:rPr>
                <w:b/>
                <w:szCs w:val="36"/>
                <w:lang w:val="en-GB" w:eastAsia="en-US"/>
              </w:rPr>
              <w:t>Critère minimal à satisfaire</w:t>
            </w:r>
          </w:p>
        </w:tc>
        <w:tc>
          <w:tcPr>
            <w:tcW w:w="1843" w:type="dxa"/>
            <w:tcBorders>
              <w:top w:val="single" w:sz="12" w:space="0" w:color="auto"/>
              <w:left w:val="single" w:sz="12" w:space="0" w:color="auto"/>
              <w:bottom w:val="single" w:sz="12" w:space="0" w:color="auto"/>
              <w:right w:val="single" w:sz="12" w:space="0" w:color="auto"/>
            </w:tcBorders>
            <w:shd w:val="clear" w:color="auto" w:fill="D9D9D9"/>
            <w:vAlign w:val="center"/>
          </w:tcPr>
          <w:p w14:paraId="746090B4" w14:textId="77777777" w:rsidR="007049A5" w:rsidRPr="004E4188" w:rsidRDefault="007049A5" w:rsidP="006C6267">
            <w:pPr>
              <w:suppressAutoHyphens w:val="0"/>
              <w:overflowPunct/>
              <w:autoSpaceDE/>
              <w:autoSpaceDN/>
              <w:adjustRightInd/>
              <w:jc w:val="center"/>
              <w:textAlignment w:val="auto"/>
              <w:rPr>
                <w:rFonts w:cs="Arial"/>
                <w:b/>
                <w:bCs/>
                <w:lang w:val="en-GB" w:eastAsia="en-US"/>
              </w:rPr>
            </w:pPr>
            <w:r w:rsidRPr="004E4188">
              <w:rPr>
                <w:b/>
                <w:szCs w:val="36"/>
                <w:lang w:val="en-GB" w:eastAsia="en-US"/>
              </w:rPr>
              <w:t>Spécifications de soumission</w:t>
            </w:r>
          </w:p>
        </w:tc>
      </w:tr>
      <w:tr w:rsidR="007049A5" w:rsidRPr="004E4188" w14:paraId="6FCFD331" w14:textId="77777777" w:rsidTr="004507E0">
        <w:tc>
          <w:tcPr>
            <w:tcW w:w="1163" w:type="dxa"/>
            <w:tcBorders>
              <w:top w:val="single" w:sz="12" w:space="0" w:color="auto"/>
            </w:tcBorders>
          </w:tcPr>
          <w:p w14:paraId="01334462" w14:textId="77777777" w:rsidR="007049A5" w:rsidRPr="004E4188" w:rsidRDefault="007049A5" w:rsidP="006C6267">
            <w:pPr>
              <w:suppressAutoHyphens w:val="0"/>
              <w:overflowPunct/>
              <w:autoSpaceDE/>
              <w:autoSpaceDN/>
              <w:adjustRightInd/>
              <w:jc w:val="center"/>
              <w:textAlignment w:val="auto"/>
              <w:rPr>
                <w:lang w:val="en-GB" w:eastAsia="en-US"/>
              </w:rPr>
            </w:pPr>
            <w:r w:rsidRPr="004E4188">
              <w:rPr>
                <w:lang w:val="en-GB" w:eastAsia="en-US"/>
              </w:rPr>
              <w:t>1</w:t>
            </w:r>
          </w:p>
        </w:tc>
        <w:tc>
          <w:tcPr>
            <w:tcW w:w="3642" w:type="dxa"/>
            <w:tcBorders>
              <w:top w:val="single" w:sz="12" w:space="0" w:color="auto"/>
            </w:tcBorders>
          </w:tcPr>
          <w:p w14:paraId="26D30851" w14:textId="77777777" w:rsidR="007049A5" w:rsidRPr="004E4188" w:rsidRDefault="007049A5" w:rsidP="006C6267">
            <w:pPr>
              <w:suppressAutoHyphens w:val="0"/>
              <w:overflowPunct/>
              <w:autoSpaceDE/>
              <w:autoSpaceDN/>
              <w:adjustRightInd/>
              <w:textAlignment w:val="auto"/>
              <w:rPr>
                <w:rFonts w:ascii="Arial" w:hAnsi="Arial" w:cs="Arial"/>
                <w:sz w:val="20"/>
                <w:lang w:val="en-GB" w:eastAsia="ja-JP"/>
              </w:rPr>
            </w:pPr>
          </w:p>
        </w:tc>
        <w:tc>
          <w:tcPr>
            <w:tcW w:w="1559" w:type="dxa"/>
            <w:tcBorders>
              <w:top w:val="single" w:sz="12" w:space="0" w:color="auto"/>
            </w:tcBorders>
          </w:tcPr>
          <w:p w14:paraId="08F2E56B" w14:textId="77777777" w:rsidR="007049A5" w:rsidRPr="004E4188" w:rsidRDefault="007049A5" w:rsidP="006C6267">
            <w:pPr>
              <w:suppressAutoHyphens w:val="0"/>
              <w:overflowPunct/>
              <w:autoSpaceDE/>
              <w:autoSpaceDN/>
              <w:adjustRightInd/>
              <w:textAlignment w:val="auto"/>
              <w:rPr>
                <w:rFonts w:ascii="Arial" w:hAnsi="Arial" w:cs="Arial"/>
                <w:sz w:val="20"/>
                <w:lang w:val="en-GB" w:eastAsia="en-US"/>
              </w:rPr>
            </w:pPr>
          </w:p>
        </w:tc>
        <w:tc>
          <w:tcPr>
            <w:tcW w:w="1843" w:type="dxa"/>
            <w:tcBorders>
              <w:top w:val="single" w:sz="12" w:space="0" w:color="auto"/>
            </w:tcBorders>
          </w:tcPr>
          <w:p w14:paraId="6957FE9E" w14:textId="77777777" w:rsidR="007049A5" w:rsidRPr="004E4188" w:rsidRDefault="007049A5" w:rsidP="006C6267">
            <w:pPr>
              <w:suppressAutoHyphens w:val="0"/>
              <w:overflowPunct/>
              <w:autoSpaceDE/>
              <w:autoSpaceDN/>
              <w:adjustRightInd/>
              <w:textAlignment w:val="auto"/>
              <w:rPr>
                <w:rFonts w:ascii="Arial" w:hAnsi="Arial" w:cs="Arial"/>
                <w:sz w:val="20"/>
                <w:lang w:val="en-GB" w:eastAsia="en-US"/>
              </w:rPr>
            </w:pPr>
          </w:p>
        </w:tc>
      </w:tr>
      <w:tr w:rsidR="007049A5" w:rsidRPr="004E4188" w14:paraId="76FDF539" w14:textId="77777777" w:rsidTr="004507E0">
        <w:tc>
          <w:tcPr>
            <w:tcW w:w="1163" w:type="dxa"/>
          </w:tcPr>
          <w:p w14:paraId="12E5F497" w14:textId="77777777" w:rsidR="007049A5" w:rsidRPr="004E4188" w:rsidRDefault="007049A5" w:rsidP="006C6267">
            <w:pPr>
              <w:suppressAutoHyphens w:val="0"/>
              <w:overflowPunct/>
              <w:autoSpaceDE/>
              <w:autoSpaceDN/>
              <w:adjustRightInd/>
              <w:jc w:val="center"/>
              <w:textAlignment w:val="auto"/>
              <w:rPr>
                <w:lang w:val="en-GB" w:eastAsia="en-US"/>
              </w:rPr>
            </w:pPr>
            <w:r w:rsidRPr="004E4188">
              <w:rPr>
                <w:lang w:val="en-GB" w:eastAsia="en-US"/>
              </w:rPr>
              <w:t>2</w:t>
            </w:r>
          </w:p>
        </w:tc>
        <w:tc>
          <w:tcPr>
            <w:tcW w:w="3642" w:type="dxa"/>
          </w:tcPr>
          <w:p w14:paraId="1AE50D04" w14:textId="77777777" w:rsidR="007049A5" w:rsidRPr="004E4188" w:rsidRDefault="007049A5" w:rsidP="006C6267">
            <w:pPr>
              <w:suppressAutoHyphens w:val="0"/>
              <w:overflowPunct/>
              <w:autoSpaceDE/>
              <w:autoSpaceDN/>
              <w:adjustRightInd/>
              <w:textAlignment w:val="auto"/>
              <w:rPr>
                <w:rFonts w:ascii="Arial" w:hAnsi="Arial" w:cs="Arial"/>
                <w:sz w:val="20"/>
                <w:lang w:val="en-GB" w:eastAsia="en-US"/>
              </w:rPr>
            </w:pPr>
          </w:p>
        </w:tc>
        <w:tc>
          <w:tcPr>
            <w:tcW w:w="1559" w:type="dxa"/>
          </w:tcPr>
          <w:p w14:paraId="603102DB" w14:textId="77777777" w:rsidR="007049A5" w:rsidRPr="004E4188" w:rsidRDefault="007049A5" w:rsidP="006C6267">
            <w:pPr>
              <w:suppressAutoHyphens w:val="0"/>
              <w:overflowPunct/>
              <w:autoSpaceDE/>
              <w:autoSpaceDN/>
              <w:adjustRightInd/>
              <w:textAlignment w:val="auto"/>
              <w:rPr>
                <w:rFonts w:ascii="Arial" w:hAnsi="Arial" w:cs="Arial"/>
                <w:sz w:val="20"/>
                <w:u w:val="single"/>
                <w:lang w:val="en-GB" w:eastAsia="en-US"/>
              </w:rPr>
            </w:pPr>
          </w:p>
        </w:tc>
        <w:tc>
          <w:tcPr>
            <w:tcW w:w="1843" w:type="dxa"/>
          </w:tcPr>
          <w:p w14:paraId="5347726F" w14:textId="77777777" w:rsidR="007049A5" w:rsidRPr="004E4188" w:rsidRDefault="007049A5" w:rsidP="006C6267">
            <w:pPr>
              <w:suppressAutoHyphens w:val="0"/>
              <w:overflowPunct/>
              <w:autoSpaceDE/>
              <w:autoSpaceDN/>
              <w:adjustRightInd/>
              <w:textAlignment w:val="auto"/>
              <w:rPr>
                <w:rFonts w:ascii="Arial" w:hAnsi="Arial" w:cs="Arial"/>
                <w:sz w:val="20"/>
                <w:u w:val="single"/>
                <w:lang w:val="en-GB" w:eastAsia="en-US"/>
              </w:rPr>
            </w:pPr>
          </w:p>
        </w:tc>
      </w:tr>
      <w:tr w:rsidR="007049A5" w:rsidRPr="004E4188" w14:paraId="7193BA48" w14:textId="77777777" w:rsidTr="004507E0">
        <w:tc>
          <w:tcPr>
            <w:tcW w:w="1163" w:type="dxa"/>
          </w:tcPr>
          <w:p w14:paraId="07B570F0" w14:textId="77777777" w:rsidR="007049A5" w:rsidRPr="004E4188" w:rsidRDefault="007049A5" w:rsidP="006C6267">
            <w:pPr>
              <w:suppressAutoHyphens w:val="0"/>
              <w:overflowPunct/>
              <w:autoSpaceDE/>
              <w:autoSpaceDN/>
              <w:adjustRightInd/>
              <w:jc w:val="center"/>
              <w:textAlignment w:val="auto"/>
              <w:rPr>
                <w:lang w:val="en-GB" w:eastAsia="en-US"/>
              </w:rPr>
            </w:pPr>
            <w:r w:rsidRPr="004E4188">
              <w:rPr>
                <w:lang w:val="en-GB" w:eastAsia="en-US"/>
              </w:rPr>
              <w:t>3</w:t>
            </w:r>
          </w:p>
        </w:tc>
        <w:tc>
          <w:tcPr>
            <w:tcW w:w="3642" w:type="dxa"/>
          </w:tcPr>
          <w:p w14:paraId="56BA69F3" w14:textId="77777777" w:rsidR="007049A5" w:rsidRPr="004E4188" w:rsidRDefault="007049A5" w:rsidP="006C6267">
            <w:pPr>
              <w:suppressAutoHyphens w:val="0"/>
              <w:overflowPunct/>
              <w:autoSpaceDE/>
              <w:autoSpaceDN/>
              <w:adjustRightInd/>
              <w:textAlignment w:val="auto"/>
              <w:rPr>
                <w:rFonts w:ascii="Arial" w:hAnsi="Arial" w:cs="Arial"/>
                <w:sz w:val="20"/>
                <w:lang w:val="en-GB" w:eastAsia="en-US"/>
              </w:rPr>
            </w:pPr>
          </w:p>
        </w:tc>
        <w:tc>
          <w:tcPr>
            <w:tcW w:w="1559" w:type="dxa"/>
          </w:tcPr>
          <w:p w14:paraId="487F630C" w14:textId="77777777" w:rsidR="007049A5" w:rsidRPr="004E4188" w:rsidRDefault="007049A5" w:rsidP="006C6267">
            <w:pPr>
              <w:suppressAutoHyphens w:val="0"/>
              <w:overflowPunct/>
              <w:autoSpaceDE/>
              <w:autoSpaceDN/>
              <w:adjustRightInd/>
              <w:textAlignment w:val="auto"/>
              <w:rPr>
                <w:rFonts w:ascii="Arial" w:hAnsi="Arial" w:cs="Arial"/>
                <w:sz w:val="20"/>
                <w:u w:val="single"/>
                <w:lang w:val="en-GB" w:eastAsia="en-US"/>
              </w:rPr>
            </w:pPr>
          </w:p>
        </w:tc>
        <w:tc>
          <w:tcPr>
            <w:tcW w:w="1843" w:type="dxa"/>
          </w:tcPr>
          <w:p w14:paraId="5A07A00B" w14:textId="77777777" w:rsidR="007049A5" w:rsidRPr="004E4188" w:rsidRDefault="007049A5" w:rsidP="006C6267">
            <w:pPr>
              <w:suppressAutoHyphens w:val="0"/>
              <w:overflowPunct/>
              <w:autoSpaceDE/>
              <w:autoSpaceDN/>
              <w:adjustRightInd/>
              <w:textAlignment w:val="auto"/>
              <w:rPr>
                <w:rFonts w:ascii="Arial" w:hAnsi="Arial" w:cs="Arial"/>
                <w:sz w:val="20"/>
                <w:u w:val="single"/>
                <w:lang w:val="en-GB" w:eastAsia="en-US"/>
              </w:rPr>
            </w:pPr>
          </w:p>
        </w:tc>
      </w:tr>
      <w:tr w:rsidR="007049A5" w:rsidRPr="004E4188" w14:paraId="3E30680A" w14:textId="77777777" w:rsidTr="004507E0">
        <w:tc>
          <w:tcPr>
            <w:tcW w:w="1163" w:type="dxa"/>
          </w:tcPr>
          <w:p w14:paraId="4B5E58C3" w14:textId="77777777" w:rsidR="007049A5" w:rsidRPr="004E4188" w:rsidRDefault="007049A5" w:rsidP="006C6267">
            <w:pPr>
              <w:suppressAutoHyphens w:val="0"/>
              <w:overflowPunct/>
              <w:autoSpaceDE/>
              <w:autoSpaceDN/>
              <w:adjustRightInd/>
              <w:jc w:val="center"/>
              <w:textAlignment w:val="auto"/>
              <w:rPr>
                <w:lang w:val="en-GB" w:eastAsia="en-US"/>
              </w:rPr>
            </w:pPr>
            <w:r w:rsidRPr="004E4188">
              <w:rPr>
                <w:lang w:val="en-GB" w:eastAsia="en-US"/>
              </w:rPr>
              <w:t>4</w:t>
            </w:r>
          </w:p>
        </w:tc>
        <w:tc>
          <w:tcPr>
            <w:tcW w:w="3642" w:type="dxa"/>
          </w:tcPr>
          <w:p w14:paraId="7D800D5F" w14:textId="77777777" w:rsidR="007049A5" w:rsidRPr="004E4188" w:rsidRDefault="007049A5" w:rsidP="006C6267">
            <w:pPr>
              <w:suppressAutoHyphens w:val="0"/>
              <w:overflowPunct/>
              <w:autoSpaceDE/>
              <w:autoSpaceDN/>
              <w:adjustRightInd/>
              <w:textAlignment w:val="auto"/>
              <w:rPr>
                <w:rFonts w:ascii="Arial" w:hAnsi="Arial" w:cs="Arial"/>
                <w:sz w:val="20"/>
                <w:lang w:val="en-GB" w:eastAsia="en-US"/>
              </w:rPr>
            </w:pPr>
          </w:p>
        </w:tc>
        <w:tc>
          <w:tcPr>
            <w:tcW w:w="1559" w:type="dxa"/>
          </w:tcPr>
          <w:p w14:paraId="348E023A" w14:textId="77777777" w:rsidR="007049A5" w:rsidRPr="004E4188" w:rsidRDefault="007049A5" w:rsidP="006C6267">
            <w:pPr>
              <w:suppressAutoHyphens w:val="0"/>
              <w:overflowPunct/>
              <w:autoSpaceDE/>
              <w:autoSpaceDN/>
              <w:adjustRightInd/>
              <w:textAlignment w:val="auto"/>
              <w:rPr>
                <w:rFonts w:ascii="Arial" w:hAnsi="Arial" w:cs="Arial"/>
                <w:sz w:val="20"/>
                <w:u w:val="single"/>
                <w:lang w:val="en-GB" w:eastAsia="en-US"/>
              </w:rPr>
            </w:pPr>
          </w:p>
        </w:tc>
        <w:tc>
          <w:tcPr>
            <w:tcW w:w="1843" w:type="dxa"/>
          </w:tcPr>
          <w:p w14:paraId="46F849B4" w14:textId="77777777" w:rsidR="007049A5" w:rsidRPr="004E4188" w:rsidRDefault="007049A5" w:rsidP="006C6267">
            <w:pPr>
              <w:suppressAutoHyphens w:val="0"/>
              <w:overflowPunct/>
              <w:autoSpaceDE/>
              <w:autoSpaceDN/>
              <w:adjustRightInd/>
              <w:textAlignment w:val="auto"/>
              <w:rPr>
                <w:rFonts w:ascii="Arial" w:hAnsi="Arial" w:cs="Arial"/>
                <w:sz w:val="20"/>
                <w:u w:val="single"/>
                <w:lang w:val="en-GB" w:eastAsia="en-US"/>
              </w:rPr>
            </w:pPr>
          </w:p>
        </w:tc>
      </w:tr>
      <w:tr w:rsidR="007049A5" w:rsidRPr="004E4188" w14:paraId="104C1CE3" w14:textId="77777777" w:rsidTr="004507E0">
        <w:tc>
          <w:tcPr>
            <w:tcW w:w="1163" w:type="dxa"/>
          </w:tcPr>
          <w:p w14:paraId="621425D1" w14:textId="77777777" w:rsidR="007049A5" w:rsidRPr="004E4188" w:rsidRDefault="007049A5" w:rsidP="006C6267">
            <w:pPr>
              <w:suppressAutoHyphens w:val="0"/>
              <w:overflowPunct/>
              <w:autoSpaceDE/>
              <w:autoSpaceDN/>
              <w:adjustRightInd/>
              <w:jc w:val="center"/>
              <w:textAlignment w:val="auto"/>
              <w:rPr>
                <w:lang w:val="en-GB" w:eastAsia="en-US"/>
              </w:rPr>
            </w:pPr>
            <w:r w:rsidRPr="004E4188">
              <w:rPr>
                <w:lang w:val="en-GB" w:eastAsia="en-US"/>
              </w:rPr>
              <w:t>5</w:t>
            </w:r>
          </w:p>
        </w:tc>
        <w:tc>
          <w:tcPr>
            <w:tcW w:w="3642" w:type="dxa"/>
          </w:tcPr>
          <w:p w14:paraId="39FBA921" w14:textId="77777777" w:rsidR="007049A5" w:rsidRPr="004E4188" w:rsidRDefault="007049A5" w:rsidP="006C6267">
            <w:pPr>
              <w:suppressAutoHyphens w:val="0"/>
              <w:overflowPunct/>
              <w:autoSpaceDE/>
              <w:autoSpaceDN/>
              <w:adjustRightInd/>
              <w:textAlignment w:val="auto"/>
              <w:rPr>
                <w:rFonts w:ascii="Arial" w:hAnsi="Arial" w:cs="Arial"/>
                <w:sz w:val="20"/>
                <w:lang w:val="en-GB" w:eastAsia="en-US"/>
              </w:rPr>
            </w:pPr>
          </w:p>
        </w:tc>
        <w:tc>
          <w:tcPr>
            <w:tcW w:w="1559" w:type="dxa"/>
          </w:tcPr>
          <w:p w14:paraId="0694278A" w14:textId="77777777" w:rsidR="007049A5" w:rsidRPr="004E4188" w:rsidRDefault="007049A5" w:rsidP="006C6267">
            <w:pPr>
              <w:suppressAutoHyphens w:val="0"/>
              <w:overflowPunct/>
              <w:autoSpaceDE/>
              <w:autoSpaceDN/>
              <w:adjustRightInd/>
              <w:textAlignment w:val="auto"/>
              <w:rPr>
                <w:rFonts w:ascii="Arial" w:hAnsi="Arial" w:cs="Arial"/>
                <w:sz w:val="20"/>
                <w:u w:val="single"/>
                <w:lang w:val="en-GB" w:eastAsia="en-US"/>
              </w:rPr>
            </w:pPr>
          </w:p>
        </w:tc>
        <w:tc>
          <w:tcPr>
            <w:tcW w:w="1843" w:type="dxa"/>
          </w:tcPr>
          <w:p w14:paraId="7CBD96B8" w14:textId="77777777" w:rsidR="007049A5" w:rsidRPr="004E4188" w:rsidRDefault="007049A5" w:rsidP="006C6267">
            <w:pPr>
              <w:suppressAutoHyphens w:val="0"/>
              <w:overflowPunct/>
              <w:autoSpaceDE/>
              <w:autoSpaceDN/>
              <w:adjustRightInd/>
              <w:textAlignment w:val="auto"/>
              <w:rPr>
                <w:rFonts w:ascii="Arial" w:hAnsi="Arial" w:cs="Arial"/>
                <w:sz w:val="20"/>
                <w:u w:val="single"/>
                <w:lang w:val="en-GB" w:eastAsia="en-US"/>
              </w:rPr>
            </w:pPr>
          </w:p>
        </w:tc>
      </w:tr>
      <w:tr w:rsidR="007049A5" w:rsidRPr="004E4188" w14:paraId="2832AFB4" w14:textId="77777777" w:rsidTr="004507E0">
        <w:tc>
          <w:tcPr>
            <w:tcW w:w="1163" w:type="dxa"/>
          </w:tcPr>
          <w:p w14:paraId="52FCF6AC" w14:textId="77777777" w:rsidR="007049A5" w:rsidRPr="004E4188" w:rsidRDefault="007049A5" w:rsidP="006C6267">
            <w:pPr>
              <w:suppressAutoHyphens w:val="0"/>
              <w:overflowPunct/>
              <w:autoSpaceDE/>
              <w:autoSpaceDN/>
              <w:adjustRightInd/>
              <w:jc w:val="center"/>
              <w:textAlignment w:val="auto"/>
              <w:rPr>
                <w:lang w:val="en-GB" w:eastAsia="en-US"/>
              </w:rPr>
            </w:pPr>
            <w:r w:rsidRPr="004E4188">
              <w:rPr>
                <w:lang w:val="en-GB" w:eastAsia="en-US"/>
              </w:rPr>
              <w:t>…</w:t>
            </w:r>
          </w:p>
        </w:tc>
        <w:tc>
          <w:tcPr>
            <w:tcW w:w="3642" w:type="dxa"/>
          </w:tcPr>
          <w:p w14:paraId="4D9005E4" w14:textId="77777777" w:rsidR="007049A5" w:rsidRPr="004E4188" w:rsidRDefault="007049A5" w:rsidP="006C6267">
            <w:pPr>
              <w:suppressAutoHyphens w:val="0"/>
              <w:overflowPunct/>
              <w:autoSpaceDE/>
              <w:autoSpaceDN/>
              <w:adjustRightInd/>
              <w:textAlignment w:val="auto"/>
              <w:rPr>
                <w:lang w:val="en-GB" w:eastAsia="en-US"/>
              </w:rPr>
            </w:pPr>
          </w:p>
        </w:tc>
        <w:tc>
          <w:tcPr>
            <w:tcW w:w="1559" w:type="dxa"/>
          </w:tcPr>
          <w:p w14:paraId="293EDAC4" w14:textId="77777777" w:rsidR="007049A5" w:rsidRPr="004E4188" w:rsidRDefault="007049A5" w:rsidP="006C6267">
            <w:pPr>
              <w:suppressAutoHyphens w:val="0"/>
              <w:overflowPunct/>
              <w:autoSpaceDE/>
              <w:autoSpaceDN/>
              <w:adjustRightInd/>
              <w:textAlignment w:val="auto"/>
              <w:rPr>
                <w:u w:val="single"/>
                <w:lang w:val="en-GB" w:eastAsia="en-US"/>
              </w:rPr>
            </w:pPr>
          </w:p>
        </w:tc>
        <w:tc>
          <w:tcPr>
            <w:tcW w:w="1843" w:type="dxa"/>
          </w:tcPr>
          <w:p w14:paraId="6B5B49FF" w14:textId="77777777" w:rsidR="007049A5" w:rsidRPr="004E4188" w:rsidRDefault="007049A5" w:rsidP="006C6267">
            <w:pPr>
              <w:suppressAutoHyphens w:val="0"/>
              <w:overflowPunct/>
              <w:autoSpaceDE/>
              <w:autoSpaceDN/>
              <w:adjustRightInd/>
              <w:textAlignment w:val="auto"/>
              <w:rPr>
                <w:u w:val="single"/>
                <w:lang w:val="en-GB" w:eastAsia="en-US"/>
              </w:rPr>
            </w:pPr>
          </w:p>
        </w:tc>
      </w:tr>
      <w:tr w:rsidR="007049A5" w:rsidRPr="004E4188" w14:paraId="3B3730A7" w14:textId="77777777" w:rsidTr="004507E0">
        <w:tc>
          <w:tcPr>
            <w:tcW w:w="8207" w:type="dxa"/>
            <w:gridSpan w:val="4"/>
          </w:tcPr>
          <w:p w14:paraId="3B8B4DCE" w14:textId="77777777" w:rsidR="007049A5" w:rsidRPr="004E4188" w:rsidRDefault="007049A5" w:rsidP="006C6267">
            <w:pPr>
              <w:widowControl w:val="0"/>
              <w:suppressAutoHyphens w:val="0"/>
              <w:overflowPunct/>
              <w:autoSpaceDE/>
              <w:autoSpaceDN/>
              <w:adjustRightInd/>
              <w:spacing w:line="0" w:lineRule="atLeast"/>
              <w:textAlignment w:val="auto"/>
              <w:rPr>
                <w:rFonts w:ascii="Arial" w:hAnsi="Arial" w:cs="Arial"/>
                <w:i/>
                <w:sz w:val="20"/>
                <w:lang w:eastAsia="ja-JP"/>
              </w:rPr>
            </w:pPr>
            <w:r w:rsidRPr="004E4188">
              <w:rPr>
                <w:rFonts w:ascii="Arial" w:hAnsi="Arial" w:cs="Arial" w:hint="eastAsia"/>
                <w:i/>
                <w:sz w:val="20"/>
                <w:u w:val="single"/>
                <w:lang w:eastAsia="ja-JP"/>
              </w:rPr>
              <w:t>Notes</w:t>
            </w:r>
            <w:r w:rsidRPr="004E4188">
              <w:rPr>
                <w:rFonts w:ascii="Arial" w:hAnsi="Arial" w:cs="Arial"/>
                <w:i/>
                <w:sz w:val="20"/>
                <w:u w:val="single"/>
                <w:lang w:eastAsia="ja-JP"/>
              </w:rPr>
              <w:t xml:space="preserve"> à l’intention du Maître d’ouvrage</w:t>
            </w:r>
          </w:p>
          <w:p w14:paraId="6A34A143" w14:textId="0CAEE606" w:rsidR="007049A5" w:rsidRPr="004E4188" w:rsidRDefault="007049A5" w:rsidP="006C6267">
            <w:pPr>
              <w:widowControl w:val="0"/>
              <w:tabs>
                <w:tab w:val="left" w:pos="455"/>
              </w:tabs>
              <w:suppressAutoHyphens w:val="0"/>
              <w:overflowPunct/>
              <w:adjustRightInd/>
              <w:spacing w:after="120" w:line="0" w:lineRule="atLeast"/>
              <w:ind w:left="455" w:hanging="455"/>
              <w:textAlignment w:val="auto"/>
              <w:rPr>
                <w:rFonts w:ascii="Arial" w:hAnsi="Arial" w:cs="Arial"/>
                <w:i/>
                <w:sz w:val="20"/>
                <w:lang w:eastAsia="ja-JP"/>
              </w:rPr>
            </w:pPr>
            <w:r w:rsidRPr="004E4188">
              <w:rPr>
                <w:rFonts w:ascii="Arial" w:hAnsi="Arial" w:cs="Arial"/>
                <w:i/>
                <w:sz w:val="20"/>
                <w:lang w:eastAsia="en-US"/>
              </w:rPr>
              <w:t>(a)</w:t>
            </w:r>
            <w:r w:rsidRPr="004E4188">
              <w:rPr>
                <w:rFonts w:ascii="Arial" w:hAnsi="Arial" w:cs="Arial"/>
                <w:i/>
                <w:sz w:val="20"/>
                <w:lang w:eastAsia="en-US"/>
              </w:rPr>
              <w:tab/>
              <w:t xml:space="preserve">Les éléments énumérés doivent être limités à </w:t>
            </w:r>
            <w:r w:rsidRPr="004E4188">
              <w:rPr>
                <w:rFonts w:ascii="Arial" w:hAnsi="Arial" w:cs="Arial" w:hint="eastAsia"/>
                <w:i/>
                <w:sz w:val="20"/>
                <w:lang w:eastAsia="en-US"/>
              </w:rPr>
              <w:t>c</w:t>
            </w:r>
            <w:r w:rsidRPr="004E4188">
              <w:rPr>
                <w:rFonts w:ascii="Arial" w:hAnsi="Arial" w:cs="Arial"/>
                <w:i/>
                <w:sz w:val="20"/>
                <w:lang w:eastAsia="en-US"/>
              </w:rPr>
              <w:t>eux d</w:t>
            </w:r>
            <w:r w:rsidR="00E22464" w:rsidRPr="004E4188">
              <w:rPr>
                <w:rFonts w:ascii="Arial" w:hAnsi="Arial" w:cs="Arial"/>
                <w:i/>
                <w:sz w:val="20"/>
                <w:lang w:eastAsia="en-US"/>
              </w:rPr>
              <w:t>’</w:t>
            </w:r>
            <w:r w:rsidRPr="004E4188">
              <w:rPr>
                <w:rFonts w:ascii="Arial" w:hAnsi="Arial" w:cs="Arial"/>
                <w:i/>
                <w:sz w:val="20"/>
                <w:lang w:eastAsia="en-US"/>
              </w:rPr>
              <w:t>importance primordiale pour lesquels le Maître d’ouvrage souhaite confirmer l</w:t>
            </w:r>
            <w:r w:rsidR="00E22464" w:rsidRPr="004E4188">
              <w:rPr>
                <w:rFonts w:ascii="Arial" w:hAnsi="Arial" w:cs="Arial"/>
                <w:i/>
                <w:sz w:val="20"/>
                <w:lang w:eastAsia="en-US"/>
              </w:rPr>
              <w:t>’</w:t>
            </w:r>
            <w:r w:rsidRPr="004E4188">
              <w:rPr>
                <w:rFonts w:ascii="Arial" w:hAnsi="Arial" w:cs="Arial"/>
                <w:i/>
                <w:sz w:val="20"/>
                <w:lang w:eastAsia="en-US"/>
              </w:rPr>
              <w:t>adéquation et la pertinence des sous-traitants proposés durant l</w:t>
            </w:r>
            <w:r w:rsidR="00E22464" w:rsidRPr="004E4188">
              <w:rPr>
                <w:rFonts w:ascii="Arial" w:hAnsi="Arial" w:cs="Arial"/>
                <w:i/>
                <w:sz w:val="20"/>
                <w:lang w:eastAsia="en-US"/>
              </w:rPr>
              <w:t>’</w:t>
            </w:r>
            <w:r w:rsidRPr="004E4188">
              <w:rPr>
                <w:rFonts w:ascii="Arial" w:hAnsi="Arial" w:cs="Arial"/>
                <w:i/>
                <w:sz w:val="20"/>
                <w:lang w:eastAsia="en-US"/>
              </w:rPr>
              <w:t>appel d</w:t>
            </w:r>
            <w:r w:rsidR="00E22464" w:rsidRPr="004E4188">
              <w:rPr>
                <w:rFonts w:ascii="Arial" w:hAnsi="Arial" w:cs="Arial"/>
                <w:i/>
                <w:sz w:val="20"/>
                <w:lang w:eastAsia="en-US"/>
              </w:rPr>
              <w:t>’</w:t>
            </w:r>
            <w:r w:rsidRPr="004E4188">
              <w:rPr>
                <w:rFonts w:ascii="Arial" w:hAnsi="Arial" w:cs="Arial"/>
                <w:i/>
                <w:sz w:val="20"/>
                <w:lang w:eastAsia="en-US"/>
              </w:rPr>
              <w:t xml:space="preserve">offres. </w:t>
            </w:r>
          </w:p>
          <w:p w14:paraId="001B87D9" w14:textId="2CBB2290" w:rsidR="007049A5" w:rsidRPr="004E4188" w:rsidRDefault="007049A5" w:rsidP="006C6267">
            <w:pPr>
              <w:widowControl w:val="0"/>
              <w:tabs>
                <w:tab w:val="left" w:pos="455"/>
              </w:tabs>
              <w:suppressAutoHyphens w:val="0"/>
              <w:overflowPunct/>
              <w:adjustRightInd/>
              <w:spacing w:after="120" w:line="0" w:lineRule="atLeast"/>
              <w:ind w:left="455" w:hanging="455"/>
              <w:textAlignment w:val="auto"/>
              <w:rPr>
                <w:u w:val="single"/>
                <w:lang w:eastAsia="en-US"/>
              </w:rPr>
            </w:pPr>
            <w:r w:rsidRPr="004E4188">
              <w:rPr>
                <w:rFonts w:ascii="Arial" w:hAnsi="Arial" w:cs="Arial"/>
                <w:i/>
                <w:sz w:val="20"/>
                <w:lang w:eastAsia="ja-JP"/>
              </w:rPr>
              <w:t>(b)</w:t>
            </w:r>
            <w:r w:rsidRPr="004E4188">
              <w:rPr>
                <w:rFonts w:ascii="Arial" w:hAnsi="Arial" w:cs="Arial"/>
                <w:i/>
                <w:sz w:val="20"/>
                <w:lang w:eastAsia="ja-JP"/>
              </w:rPr>
              <w:tab/>
            </w:r>
            <w:r w:rsidRPr="004E4188">
              <w:rPr>
                <w:rFonts w:ascii="Arial" w:hAnsi="Arial" w:cs="Arial"/>
                <w:i/>
                <w:sz w:val="20"/>
                <w:lang w:eastAsia="en-US"/>
              </w:rPr>
              <w:t>Donner la liste des documents supplémentaires à joindre à l’offre, qui ne sont pas déjà indiqués au formulaire ELI-3, afin d’établir la conformité avec les exigences. S’il n’y a pas de document supplémentaire qui doit être soumis, indiquer « aucun ».</w:t>
            </w:r>
          </w:p>
        </w:tc>
      </w:tr>
    </w:tbl>
    <w:p w14:paraId="4F523F93" w14:textId="77777777" w:rsidR="007049A5" w:rsidRPr="004E4188" w:rsidRDefault="007049A5" w:rsidP="006C6267">
      <w:pPr>
        <w:spacing w:beforeLines="50" w:before="120" w:afterLines="50" w:after="120"/>
        <w:ind w:left="709"/>
      </w:pPr>
    </w:p>
    <w:p w14:paraId="2EA91B08" w14:textId="77777777" w:rsidR="00184C20" w:rsidRPr="004E4188" w:rsidRDefault="00184C20" w:rsidP="006C6267">
      <w:pPr>
        <w:suppressAutoHyphens w:val="0"/>
        <w:overflowPunct/>
        <w:autoSpaceDE/>
        <w:autoSpaceDN/>
        <w:adjustRightInd/>
        <w:ind w:left="850"/>
        <w:textAlignment w:val="auto"/>
        <w:rPr>
          <w:szCs w:val="24"/>
          <w:lang w:eastAsia="en-US"/>
        </w:rPr>
      </w:pPr>
    </w:p>
    <w:p w14:paraId="287EC352" w14:textId="77777777" w:rsidR="00184C20" w:rsidRPr="004E4188" w:rsidRDefault="00184C20" w:rsidP="006C6267">
      <w:pPr>
        <w:suppressAutoHyphens w:val="0"/>
        <w:overflowPunct/>
        <w:autoSpaceDE/>
        <w:autoSpaceDN/>
        <w:adjustRightInd/>
        <w:ind w:left="850"/>
        <w:textAlignment w:val="auto"/>
        <w:rPr>
          <w:szCs w:val="24"/>
          <w:lang w:eastAsia="en-US"/>
        </w:rPr>
      </w:pPr>
    </w:p>
    <w:p w14:paraId="2217EA39" w14:textId="77777777" w:rsidR="00184C20" w:rsidRPr="004E4188" w:rsidRDefault="00184C20" w:rsidP="006C6267">
      <w:pPr>
        <w:suppressAutoHyphens w:val="0"/>
        <w:overflowPunct/>
        <w:autoSpaceDE/>
        <w:autoSpaceDN/>
        <w:adjustRightInd/>
        <w:ind w:left="850"/>
        <w:textAlignment w:val="auto"/>
        <w:rPr>
          <w:szCs w:val="24"/>
          <w:lang w:eastAsia="en-US"/>
        </w:rPr>
      </w:pPr>
    </w:p>
    <w:p w14:paraId="0A81407C" w14:textId="77777777" w:rsidR="00184C20" w:rsidRPr="004E4188" w:rsidRDefault="00184C20" w:rsidP="006C6267">
      <w:pPr>
        <w:suppressAutoHyphens w:val="0"/>
        <w:overflowPunct/>
        <w:autoSpaceDE/>
        <w:autoSpaceDN/>
        <w:adjustRightInd/>
        <w:ind w:left="850"/>
        <w:textAlignment w:val="auto"/>
        <w:rPr>
          <w:szCs w:val="24"/>
          <w:lang w:eastAsia="en-US"/>
        </w:rPr>
      </w:pPr>
    </w:p>
    <w:p w14:paraId="215DC884" w14:textId="77777777" w:rsidR="007049A5" w:rsidRPr="004E4188" w:rsidRDefault="007049A5" w:rsidP="006C6267">
      <w:pPr>
        <w:suppressAutoHyphens w:val="0"/>
        <w:overflowPunct/>
        <w:autoSpaceDE/>
        <w:autoSpaceDN/>
        <w:adjustRightInd/>
        <w:ind w:left="850"/>
        <w:textAlignment w:val="auto"/>
        <w:rPr>
          <w:szCs w:val="24"/>
          <w:lang w:eastAsia="en-US"/>
        </w:rPr>
      </w:pPr>
      <w:r w:rsidRPr="004E4188">
        <w:rPr>
          <w:szCs w:val="24"/>
          <w:lang w:eastAsia="en-US"/>
        </w:rPr>
        <w:t>D</w:t>
      </w:r>
      <w:r w:rsidRPr="004E4188">
        <w:rPr>
          <w:lang w:eastAsia="en-US"/>
        </w:rPr>
        <w:t xml:space="preserve">ans le cas où un Soumissionnaire propose de fournir et d’installer des éléments majeurs des </w:t>
      </w:r>
      <w:r w:rsidRPr="004E4188">
        <w:rPr>
          <w:szCs w:val="24"/>
        </w:rPr>
        <w:t>É</w:t>
      </w:r>
      <w:r w:rsidRPr="004E4188">
        <w:rPr>
          <w:lang w:eastAsia="en-US"/>
        </w:rPr>
        <w:t>quipements au titre du Marché qu’il ne fabrique, ni ne produit lui-même, le Soumissionnaire doit présenter l’attestation du fabricant, en utilisant le formulaire de la Section IV, Formulaires de soumission, certifiant qu’il est dûment habilité par le fabricant ou le producteur des installations et équipements ou éléments concernés à les fournir et les installer dans le pays du Maître d’ouvrage.</w:t>
      </w:r>
      <w:r w:rsidRPr="004E4188">
        <w:rPr>
          <w:szCs w:val="24"/>
          <w:lang w:eastAsia="en-US"/>
        </w:rPr>
        <w:t xml:space="preserve"> </w:t>
      </w:r>
    </w:p>
    <w:p w14:paraId="25E228D3" w14:textId="77777777" w:rsidR="007049A5" w:rsidRPr="004E4188" w:rsidRDefault="007049A5" w:rsidP="006C6267">
      <w:pPr>
        <w:suppressAutoHyphens w:val="0"/>
        <w:overflowPunct/>
        <w:autoSpaceDE/>
        <w:autoSpaceDN/>
        <w:adjustRightInd/>
        <w:ind w:left="850"/>
        <w:textAlignment w:val="auto"/>
        <w:rPr>
          <w:szCs w:val="24"/>
          <w:lang w:eastAsia="en-US"/>
        </w:rPr>
      </w:pPr>
    </w:p>
    <w:p w14:paraId="08666B6D" w14:textId="77777777" w:rsidR="007049A5" w:rsidRPr="004E4188" w:rsidRDefault="007049A5" w:rsidP="003D46CF">
      <w:pPr>
        <w:numPr>
          <w:ilvl w:val="2"/>
          <w:numId w:val="58"/>
        </w:numPr>
        <w:tabs>
          <w:tab w:val="clear" w:pos="720"/>
          <w:tab w:val="num" w:pos="2705"/>
        </w:tabs>
        <w:suppressAutoHyphens w:val="0"/>
        <w:overflowPunct/>
        <w:autoSpaceDE/>
        <w:autoSpaceDN/>
        <w:adjustRightInd/>
        <w:ind w:left="851" w:hanging="851"/>
        <w:jc w:val="left"/>
        <w:textAlignment w:val="auto"/>
        <w:rPr>
          <w:b/>
          <w:bCs/>
          <w:lang w:val="en-GB" w:eastAsia="ja-JP"/>
        </w:rPr>
      </w:pPr>
      <w:r w:rsidRPr="004E4188">
        <w:rPr>
          <w:b/>
          <w:lang w:val="en-GB" w:eastAsia="en-US"/>
        </w:rPr>
        <w:t>Autre(s) critère(s) d’évaluatio</w:t>
      </w:r>
      <w:r w:rsidRPr="004E4188">
        <w:rPr>
          <w:b/>
          <w:bCs/>
          <w:lang w:val="en-GB" w:eastAsia="ja-JP"/>
        </w:rPr>
        <w:t>n</w:t>
      </w:r>
    </w:p>
    <w:p w14:paraId="5C33EFF1" w14:textId="77777777" w:rsidR="007049A5" w:rsidRPr="004E4188" w:rsidRDefault="007049A5" w:rsidP="009308DD">
      <w:pPr>
        <w:widowControl w:val="0"/>
        <w:suppressAutoHyphens w:val="0"/>
        <w:overflowPunct/>
        <w:autoSpaceDE/>
        <w:autoSpaceDN/>
        <w:adjustRightInd/>
        <w:spacing w:after="200" w:line="0" w:lineRule="atLeast"/>
        <w:ind w:left="850"/>
        <w:jc w:val="left"/>
        <w:textAlignment w:val="auto"/>
        <w:rPr>
          <w:lang w:eastAsia="en-US"/>
        </w:rPr>
      </w:pPr>
      <w:r w:rsidRPr="004E4188">
        <w:rPr>
          <w:lang w:eastAsia="en-US"/>
        </w:rPr>
        <w:t>[</w:t>
      </w:r>
      <w:r w:rsidRPr="004E4188">
        <w:rPr>
          <w:bCs/>
          <w:i/>
          <w:lang w:eastAsia="ja-JP"/>
        </w:rPr>
        <w:t>Le</w:t>
      </w:r>
      <w:r w:rsidRPr="004E4188">
        <w:rPr>
          <w:i/>
          <w:lang w:eastAsia="en-US"/>
        </w:rPr>
        <w:t xml:space="preserve"> cas échéant, indiquer un(des) autre(s) critère(s) d’évaluation. Sinon, indiquer « Sans objet ».</w:t>
      </w:r>
      <w:r w:rsidRPr="004E4188">
        <w:rPr>
          <w:lang w:eastAsia="en-US"/>
        </w:rPr>
        <w:t>]</w:t>
      </w:r>
    </w:p>
    <w:p w14:paraId="4F88C4FF" w14:textId="05220A10" w:rsidR="007049A5" w:rsidRPr="004E4188" w:rsidRDefault="007049A5" w:rsidP="009308DD">
      <w:pPr>
        <w:tabs>
          <w:tab w:val="left" w:pos="-1440"/>
          <w:tab w:val="left" w:pos="-720"/>
          <w:tab w:val="left" w:pos="0"/>
          <w:tab w:val="left" w:pos="1440"/>
          <w:tab w:val="left" w:pos="2160"/>
          <w:tab w:val="left" w:pos="4680"/>
          <w:tab w:val="center" w:pos="7380"/>
        </w:tabs>
        <w:ind w:left="850"/>
      </w:pPr>
      <w:r w:rsidRPr="004E4188">
        <w:rPr>
          <w:lang w:eastAsia="en-US"/>
        </w:rPr>
        <w:t>………………………………………………………………………………………...…</w:t>
      </w:r>
      <w:r w:rsidR="006216AC" w:rsidRPr="004E4188">
        <w:rPr>
          <w:lang w:eastAsia="en-US"/>
        </w:rPr>
        <w:t>………………………………………………………………………………………...…</w:t>
      </w:r>
    </w:p>
    <w:p w14:paraId="4CFA3950" w14:textId="77777777" w:rsidR="007049A5" w:rsidRPr="004E4188" w:rsidRDefault="007049A5">
      <w:pPr>
        <w:suppressAutoHyphens w:val="0"/>
        <w:overflowPunct/>
        <w:autoSpaceDE/>
        <w:autoSpaceDN/>
        <w:adjustRightInd/>
        <w:jc w:val="left"/>
        <w:textAlignment w:val="auto"/>
        <w:rPr>
          <w:b/>
          <w:sz w:val="28"/>
          <w:szCs w:val="28"/>
        </w:rPr>
      </w:pPr>
      <w:r w:rsidRPr="004E4188">
        <w:rPr>
          <w:b/>
          <w:sz w:val="28"/>
          <w:szCs w:val="28"/>
        </w:rPr>
        <w:br w:type="page"/>
      </w:r>
    </w:p>
    <w:p w14:paraId="36758143" w14:textId="0392E6CA" w:rsidR="007049A5" w:rsidRPr="004E4188" w:rsidRDefault="007049A5" w:rsidP="009308DD">
      <w:pPr>
        <w:spacing w:afterLines="100" w:after="240"/>
        <w:ind w:left="851" w:hanging="851"/>
        <w:rPr>
          <w:b/>
          <w:sz w:val="28"/>
          <w:szCs w:val="28"/>
          <w:lang w:eastAsia="ja-JP"/>
        </w:rPr>
      </w:pPr>
      <w:r w:rsidRPr="004E4188">
        <w:rPr>
          <w:b/>
          <w:sz w:val="28"/>
          <w:szCs w:val="28"/>
        </w:rPr>
        <w:t>2</w:t>
      </w:r>
      <w:r w:rsidR="0075268B" w:rsidRPr="004E4188">
        <w:rPr>
          <w:b/>
          <w:sz w:val="28"/>
          <w:szCs w:val="28"/>
        </w:rPr>
        <w:t>.</w:t>
      </w:r>
      <w:r w:rsidRPr="004E4188">
        <w:rPr>
          <w:b/>
          <w:sz w:val="28"/>
          <w:szCs w:val="28"/>
          <w:lang w:eastAsia="ja-JP"/>
        </w:rPr>
        <w:tab/>
      </w:r>
      <w:r w:rsidRPr="004E4188">
        <w:rPr>
          <w:b/>
          <w:sz w:val="28"/>
          <w:szCs w:val="28"/>
        </w:rPr>
        <w:t>Qualification</w:t>
      </w:r>
    </w:p>
    <w:p w14:paraId="54ECC0F4" w14:textId="77777777" w:rsidR="007049A5" w:rsidRPr="004E4188" w:rsidRDefault="007049A5" w:rsidP="009308DD">
      <w:pPr>
        <w:suppressAutoHyphens w:val="0"/>
        <w:overflowPunct/>
        <w:autoSpaceDE/>
        <w:autoSpaceDN/>
        <w:adjustRightInd/>
        <w:ind w:left="1418" w:hanging="567"/>
        <w:textAlignment w:val="auto"/>
        <w:rPr>
          <w:b/>
          <w:szCs w:val="24"/>
          <w:lang w:eastAsia="ja-JP"/>
        </w:rPr>
      </w:pPr>
      <w:r w:rsidRPr="004E4188">
        <w:rPr>
          <w:b/>
        </w:rPr>
        <w:t>(I)</w:t>
      </w:r>
      <w:r w:rsidRPr="004E4188">
        <w:rPr>
          <w:b/>
        </w:rPr>
        <w:tab/>
      </w:r>
      <w:r w:rsidRPr="004E4188">
        <w:rPr>
          <w:b/>
          <w:lang w:eastAsia="en-US"/>
        </w:rPr>
        <w:t>Qualification</w:t>
      </w:r>
      <w:r w:rsidRPr="004E4188">
        <w:rPr>
          <w:b/>
          <w:szCs w:val="24"/>
          <w:lang w:eastAsia="ja-JP"/>
        </w:rPr>
        <w:t xml:space="preserve"> du Soumissionnaire (mais pas celle des affiliés du Soumissionnaire)</w:t>
      </w:r>
    </w:p>
    <w:p w14:paraId="19B333C6" w14:textId="77777777" w:rsidR="007049A5" w:rsidRPr="004E4188" w:rsidRDefault="007049A5" w:rsidP="009308DD">
      <w:pPr>
        <w:widowControl w:val="0"/>
        <w:tabs>
          <w:tab w:val="left" w:pos="1320"/>
        </w:tabs>
        <w:ind w:left="1440"/>
        <w:rPr>
          <w:szCs w:val="24"/>
          <w:lang w:eastAsia="ja-JP"/>
        </w:rPr>
      </w:pPr>
      <w:r w:rsidRPr="004E4188">
        <w:rPr>
          <w:rFonts w:hint="eastAsia"/>
          <w:szCs w:val="24"/>
          <w:lang w:eastAsia="ja-JP"/>
        </w:rPr>
        <w:t>C</w:t>
      </w:r>
      <w:r w:rsidRPr="004E4188">
        <w:rPr>
          <w:szCs w:val="24"/>
          <w:lang w:eastAsia="ja-JP"/>
        </w:rPr>
        <w:t>’est l’entité légale ou les entités constituant le Soumissionnaire (qui fait(font) partie du Soumissionnaire sous la forme d’un Groupement ou de sous-traitants spécialisés employés pour les activités principales définies dans cette section), et non pas la(les) maison(s) mère(s) du Soumissionnaire, les sociétés du groupe, les filiales ou autres sociétés affiliées, qui doivent satisfaire aux critères de qualification.</w:t>
      </w:r>
    </w:p>
    <w:p w14:paraId="0AD5F253" w14:textId="77777777" w:rsidR="007049A5" w:rsidRPr="004E4188" w:rsidRDefault="007049A5" w:rsidP="009308DD">
      <w:pPr>
        <w:rPr>
          <w:szCs w:val="24"/>
          <w:lang w:eastAsia="ja-JP"/>
        </w:rPr>
      </w:pPr>
    </w:p>
    <w:p w14:paraId="4CBE00E4" w14:textId="2A75B187" w:rsidR="007049A5" w:rsidRPr="004E4188" w:rsidRDefault="007049A5" w:rsidP="009308DD">
      <w:pPr>
        <w:ind w:left="850"/>
        <w:rPr>
          <w:b/>
        </w:rPr>
      </w:pPr>
      <w:r w:rsidRPr="004E4188">
        <w:rPr>
          <w:b/>
        </w:rPr>
        <w:t>(II)</w:t>
      </w:r>
      <w:r w:rsidRPr="004E4188">
        <w:rPr>
          <w:b/>
          <w:lang w:eastAsia="ja-JP"/>
        </w:rPr>
        <w:tab/>
      </w:r>
      <w:r w:rsidRPr="004E4188">
        <w:rPr>
          <w:b/>
        </w:rPr>
        <w:t>Taux de change pour critères d’évaluation</w:t>
      </w:r>
    </w:p>
    <w:p w14:paraId="30350126" w14:textId="77777777" w:rsidR="007049A5" w:rsidRPr="004E4188" w:rsidRDefault="007049A5" w:rsidP="009308DD">
      <w:pPr>
        <w:spacing w:after="60"/>
        <w:ind w:left="1440"/>
      </w:pPr>
      <w:r w:rsidRPr="004E4188">
        <w:t>Lorsqu’il est demandé que le Soumissionnaire indique, dans un formulaire de la Section IV, Formulaires de soumission, un montant monétaire, le Soumissionnaire devra donner le montant équivalent en dollar US en utilisant le taux de change déterminé comme suit :</w:t>
      </w:r>
    </w:p>
    <w:p w14:paraId="7C79CBDE" w14:textId="634ECE02" w:rsidR="007049A5" w:rsidRPr="004E4188" w:rsidRDefault="007049A5" w:rsidP="009308DD">
      <w:pPr>
        <w:spacing w:after="120"/>
        <w:ind w:left="1837" w:hanging="397"/>
      </w:pPr>
      <w:r w:rsidRPr="004E4188">
        <w:t>(a)</w:t>
      </w:r>
      <w:r w:rsidRPr="004E4188">
        <w:rPr>
          <w:lang w:eastAsia="ja-JP"/>
        </w:rPr>
        <w:tab/>
      </w:r>
      <w:r w:rsidRPr="004E4188">
        <w:t xml:space="preserve">chiffre d’affaires ou autres données financières, pour chaque année - le taux de change au dernier jour de l’année calendaire </w:t>
      </w:r>
      <w:r w:rsidR="00B149B8" w:rsidRPr="004E4188">
        <w:t xml:space="preserve">ou fiscale </w:t>
      </w:r>
      <w:r w:rsidRPr="004E4188">
        <w:t>correspondante,</w:t>
      </w:r>
    </w:p>
    <w:p w14:paraId="678F0546" w14:textId="77777777" w:rsidR="007049A5" w:rsidRPr="004E4188" w:rsidRDefault="007049A5" w:rsidP="009308DD">
      <w:pPr>
        <w:spacing w:after="120"/>
        <w:ind w:left="1837" w:hanging="397"/>
      </w:pPr>
      <w:r w:rsidRPr="004E4188">
        <w:t>(b)</w:t>
      </w:r>
      <w:r w:rsidRPr="004E4188">
        <w:rPr>
          <w:lang w:eastAsia="ja-JP"/>
        </w:rPr>
        <w:tab/>
      </w:r>
      <w:r w:rsidRPr="004E4188">
        <w:t>montant d’un marché particulier - le taux de change à la date de signature du marché.</w:t>
      </w:r>
    </w:p>
    <w:p w14:paraId="74CA318F" w14:textId="69051CF5" w:rsidR="007049A5" w:rsidRPr="004E4188" w:rsidRDefault="007049A5" w:rsidP="009308DD">
      <w:pPr>
        <w:ind w:left="1440"/>
      </w:pPr>
      <w:r w:rsidRPr="004E4188">
        <w:t xml:space="preserve">Les taux de change utilisés doivent être ceux publiés par la source accessible au public </w:t>
      </w:r>
      <w:r w:rsidRPr="004E4188">
        <w:rPr>
          <w:b/>
        </w:rPr>
        <w:t xml:space="preserve">précisée à l’Article 47.1 des DP </w:t>
      </w:r>
      <w:r w:rsidRPr="004E4188">
        <w:t>ou, si ces taux ne sont pas disponibles par cette source, tout</w:t>
      </w:r>
      <w:r w:rsidR="00BA571F" w:rsidRPr="004E4188">
        <w:t>e</w:t>
      </w:r>
      <w:r w:rsidRPr="004E4188">
        <w:t xml:space="preserve"> autre source accessible au public, acceptable pour le Maître d’ouvrage. Toute erreur dans la détermination des taux de change pourra être corrigée par le Maître d’ouvrage.</w:t>
      </w:r>
    </w:p>
    <w:p w14:paraId="688556D5" w14:textId="77777777" w:rsidR="009308DD" w:rsidRPr="004E4188" w:rsidRDefault="009308DD" w:rsidP="009308DD">
      <w:pPr>
        <w:ind w:left="1440"/>
      </w:pPr>
    </w:p>
    <w:p w14:paraId="0BDC20B5" w14:textId="06E612DF" w:rsidR="007049A5" w:rsidRPr="004E4188" w:rsidRDefault="007049A5" w:rsidP="009308DD">
      <w:pPr>
        <w:ind w:left="850"/>
        <w:rPr>
          <w:b/>
        </w:rPr>
      </w:pPr>
      <w:r w:rsidRPr="004E4188">
        <w:rPr>
          <w:b/>
        </w:rPr>
        <w:t>(III)</w:t>
      </w:r>
      <w:r w:rsidRPr="004E4188">
        <w:rPr>
          <w:b/>
          <w:lang w:eastAsia="ja-JP"/>
        </w:rPr>
        <w:tab/>
      </w:r>
      <w:r w:rsidRPr="004E4188">
        <w:rPr>
          <w:b/>
        </w:rPr>
        <w:t xml:space="preserve">Critères de qualification pour </w:t>
      </w:r>
      <w:r w:rsidRPr="004E4188">
        <w:rPr>
          <w:b/>
          <w:szCs w:val="24"/>
          <w:lang w:eastAsia="ja-JP"/>
        </w:rPr>
        <w:t>l’attribution de lots</w:t>
      </w:r>
      <w:r w:rsidRPr="004E4188">
        <w:rPr>
          <w:b/>
        </w:rPr>
        <w:t xml:space="preserve"> multiples</w:t>
      </w:r>
    </w:p>
    <w:p w14:paraId="16DF66A5" w14:textId="5140A5CA" w:rsidR="007049A5" w:rsidRPr="004E4188" w:rsidRDefault="007049A5" w:rsidP="009308DD">
      <w:pPr>
        <w:spacing w:after="60"/>
        <w:ind w:left="1440"/>
        <w:rPr>
          <w:i/>
        </w:rPr>
      </w:pPr>
      <w:r w:rsidRPr="004E4188">
        <w:t>[</w:t>
      </w:r>
      <w:r w:rsidRPr="004E4188">
        <w:rPr>
          <w:i/>
        </w:rPr>
        <w:t>Insérer la clause suivante en cas d’un appel d’offres lancé pour des lots multiples. Sinon, indiquer « Sans objet ».</w:t>
      </w:r>
    </w:p>
    <w:p w14:paraId="137185D6" w14:textId="292695AA" w:rsidR="007049A5" w:rsidRPr="004E4188" w:rsidRDefault="007049A5" w:rsidP="009308DD">
      <w:pPr>
        <w:ind w:left="1440"/>
        <w:rPr>
          <w:b/>
        </w:rPr>
      </w:pPr>
      <w:r w:rsidRPr="004E4188">
        <w:rPr>
          <w:i/>
        </w:rPr>
        <w:t>« Les critères de qualification sont la somme des critères minimaux ou toute autre condition judicieuse déterminée par le Maître d’ouvrage, pour les lots respectifs, telle qu’indiquée pour les Critères 2.3.2, 2.3.3, 2.4.2(a) et 2.4.2(b) ci-après. »</w:t>
      </w:r>
      <w:r w:rsidRPr="004E4188">
        <w:t>]</w:t>
      </w:r>
    </w:p>
    <w:p w14:paraId="05281792" w14:textId="77777777" w:rsidR="007049A5" w:rsidRPr="004E4188" w:rsidRDefault="007049A5" w:rsidP="004651FB">
      <w:pPr>
        <w:rPr>
          <w:b/>
        </w:rPr>
      </w:pPr>
    </w:p>
    <w:p w14:paraId="6E1CF1AF" w14:textId="77777777" w:rsidR="007049A5" w:rsidRPr="004E4188" w:rsidRDefault="007049A5" w:rsidP="004651FB">
      <w:pPr>
        <w:rPr>
          <w:b/>
        </w:rPr>
      </w:pPr>
    </w:p>
    <w:p w14:paraId="6770C8DF" w14:textId="77777777" w:rsidR="007049A5" w:rsidRPr="004E4188" w:rsidRDefault="007049A5" w:rsidP="004651FB">
      <w:pPr>
        <w:rPr>
          <w:b/>
        </w:rPr>
        <w:sectPr w:rsidR="007049A5" w:rsidRPr="004E4188" w:rsidSect="00FD43F6">
          <w:headerReference w:type="even" r:id="rId70"/>
          <w:headerReference w:type="default" r:id="rId71"/>
          <w:footnotePr>
            <w:numRestart w:val="eachPage"/>
          </w:footnotePr>
          <w:endnotePr>
            <w:numFmt w:val="decimal"/>
          </w:endnotePr>
          <w:type w:val="nextColumn"/>
          <w:pgSz w:w="12240" w:h="15840" w:code="1"/>
          <w:pgMar w:top="1440" w:right="1440" w:bottom="1440" w:left="1440" w:header="720" w:footer="720" w:gutter="0"/>
          <w:pgNumType w:start="1"/>
          <w:cols w:space="720"/>
        </w:sectPr>
      </w:pPr>
    </w:p>
    <w:p w14:paraId="6CD70E6B" w14:textId="40236D02" w:rsidR="007049A5" w:rsidRPr="004E4188" w:rsidRDefault="007049A5" w:rsidP="003D46CF">
      <w:pPr>
        <w:pStyle w:val="ListParagraph1"/>
        <w:numPr>
          <w:ilvl w:val="1"/>
          <w:numId w:val="37"/>
        </w:numPr>
        <w:tabs>
          <w:tab w:val="clear" w:pos="842"/>
        </w:tabs>
        <w:snapToGrid w:val="0"/>
        <w:spacing w:after="240"/>
        <w:ind w:left="851" w:hanging="851"/>
        <w:contextualSpacing w:val="0"/>
        <w:jc w:val="left"/>
        <w:rPr>
          <w:b/>
          <w:sz w:val="28"/>
          <w:szCs w:val="28"/>
        </w:rPr>
      </w:pPr>
      <w:r w:rsidRPr="004E4188">
        <w:rPr>
          <w:b/>
          <w:sz w:val="28"/>
          <w:szCs w:val="28"/>
        </w:rPr>
        <w:t>Éligibilité</w:t>
      </w:r>
    </w:p>
    <w:tbl>
      <w:tblPr>
        <w:tblW w:w="13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7"/>
        <w:gridCol w:w="3513"/>
        <w:gridCol w:w="1560"/>
        <w:gridCol w:w="1464"/>
        <w:gridCol w:w="1465"/>
        <w:gridCol w:w="1465"/>
        <w:gridCol w:w="1806"/>
      </w:tblGrid>
      <w:tr w:rsidR="007049A5" w:rsidRPr="004E4188" w14:paraId="635D1BEA" w14:textId="77777777" w:rsidTr="0075268B">
        <w:trPr>
          <w:tblHeader/>
        </w:trPr>
        <w:tc>
          <w:tcPr>
            <w:tcW w:w="5778" w:type="dxa"/>
            <w:gridSpan w:val="3"/>
            <w:tcBorders>
              <w:bottom w:val="single" w:sz="4" w:space="0" w:color="auto"/>
            </w:tcBorders>
            <w:shd w:val="clear" w:color="auto" w:fill="000000" w:themeFill="text1"/>
            <w:vAlign w:val="center"/>
          </w:tcPr>
          <w:p w14:paraId="1150FEEF" w14:textId="711CFE5B" w:rsidR="007049A5" w:rsidRPr="004E4188" w:rsidRDefault="009308DD" w:rsidP="004651FB">
            <w:pPr>
              <w:jc w:val="center"/>
              <w:rPr>
                <w:rFonts w:asciiTheme="majorHAnsi" w:hAnsiTheme="majorHAnsi" w:cstheme="majorHAnsi"/>
                <w:b/>
                <w:szCs w:val="24"/>
              </w:rPr>
            </w:pPr>
            <w:r w:rsidRPr="004E4188">
              <w:rPr>
                <w:rFonts w:ascii="Arial" w:hAnsi="Arial" w:cs="Arial"/>
                <w:b/>
                <w:color w:val="FFFFFF"/>
                <w:sz w:val="20"/>
              </w:rPr>
              <w:t>Critères d’éligibilité et de qualification</w:t>
            </w:r>
          </w:p>
        </w:tc>
        <w:tc>
          <w:tcPr>
            <w:tcW w:w="5954" w:type="dxa"/>
            <w:gridSpan w:val="4"/>
            <w:tcBorders>
              <w:bottom w:val="single" w:sz="4" w:space="0" w:color="auto"/>
            </w:tcBorders>
            <w:shd w:val="clear" w:color="auto" w:fill="000000" w:themeFill="text1"/>
            <w:vAlign w:val="center"/>
          </w:tcPr>
          <w:p w14:paraId="6B50C534" w14:textId="0056E1C6" w:rsidR="007049A5" w:rsidRPr="004E4188" w:rsidRDefault="009308DD" w:rsidP="004651FB">
            <w:pPr>
              <w:jc w:val="center"/>
              <w:rPr>
                <w:rFonts w:asciiTheme="majorHAnsi" w:hAnsiTheme="majorHAnsi" w:cstheme="majorHAnsi"/>
                <w:b/>
                <w:szCs w:val="24"/>
              </w:rPr>
            </w:pPr>
            <w:r w:rsidRPr="004E4188">
              <w:rPr>
                <w:rFonts w:ascii="Arial" w:hAnsi="Arial" w:cs="Arial"/>
                <w:b/>
                <w:color w:val="FFFFFF"/>
                <w:sz w:val="20"/>
              </w:rPr>
              <w:t>Conditions de conformité</w:t>
            </w:r>
          </w:p>
        </w:tc>
        <w:tc>
          <w:tcPr>
            <w:tcW w:w="1806" w:type="dxa"/>
            <w:tcBorders>
              <w:bottom w:val="single" w:sz="4" w:space="0" w:color="auto"/>
            </w:tcBorders>
            <w:shd w:val="clear" w:color="auto" w:fill="000000" w:themeFill="text1"/>
            <w:vAlign w:val="center"/>
          </w:tcPr>
          <w:p w14:paraId="14AA4671" w14:textId="20200E05" w:rsidR="007049A5" w:rsidRPr="004E4188" w:rsidRDefault="009308DD" w:rsidP="004651FB">
            <w:pPr>
              <w:jc w:val="center"/>
              <w:rPr>
                <w:rFonts w:asciiTheme="majorHAnsi" w:hAnsiTheme="majorHAnsi" w:cstheme="majorHAnsi"/>
                <w:b/>
                <w:szCs w:val="24"/>
              </w:rPr>
            </w:pPr>
            <w:r w:rsidRPr="004E4188">
              <w:rPr>
                <w:rFonts w:ascii="Arial" w:hAnsi="Arial" w:cs="Arial"/>
                <w:b/>
                <w:color w:val="FFFFFF"/>
                <w:sz w:val="20"/>
              </w:rPr>
              <w:t>Documentation</w:t>
            </w:r>
          </w:p>
        </w:tc>
      </w:tr>
      <w:tr w:rsidR="007049A5" w:rsidRPr="004E4188" w14:paraId="14902711" w14:textId="77777777" w:rsidTr="0075268B">
        <w:trPr>
          <w:trHeight w:val="300"/>
          <w:tblHeader/>
        </w:trPr>
        <w:tc>
          <w:tcPr>
            <w:tcW w:w="708" w:type="dxa"/>
            <w:vMerge w:val="restart"/>
            <w:shd w:val="clear" w:color="auto" w:fill="BFBFBF" w:themeFill="background1" w:themeFillShade="BF"/>
            <w:vAlign w:val="center"/>
          </w:tcPr>
          <w:p w14:paraId="0604C910" w14:textId="77777777" w:rsidR="007049A5" w:rsidRPr="004E4188" w:rsidRDefault="007049A5" w:rsidP="004651FB">
            <w:pPr>
              <w:jc w:val="center"/>
              <w:rPr>
                <w:rFonts w:asciiTheme="majorHAnsi" w:hAnsiTheme="majorHAnsi" w:cstheme="majorHAnsi"/>
                <w:b/>
                <w:sz w:val="20"/>
              </w:rPr>
            </w:pPr>
            <w:r w:rsidRPr="004E4188">
              <w:rPr>
                <w:rFonts w:asciiTheme="majorHAnsi" w:hAnsiTheme="majorHAnsi" w:cstheme="majorHAnsi"/>
                <w:b/>
                <w:sz w:val="20"/>
              </w:rPr>
              <w:t>n</w:t>
            </w:r>
            <w:r w:rsidRPr="004E4188">
              <w:rPr>
                <w:rFonts w:asciiTheme="majorHAnsi" w:hAnsiTheme="majorHAnsi" w:cstheme="majorHAnsi"/>
                <w:b/>
                <w:sz w:val="20"/>
                <w:vertAlign w:val="superscript"/>
              </w:rPr>
              <w:t>o</w:t>
            </w:r>
          </w:p>
        </w:tc>
        <w:tc>
          <w:tcPr>
            <w:tcW w:w="1557" w:type="dxa"/>
            <w:vMerge w:val="restart"/>
            <w:shd w:val="clear" w:color="auto" w:fill="BFBFBF" w:themeFill="background1" w:themeFillShade="BF"/>
            <w:vAlign w:val="center"/>
          </w:tcPr>
          <w:p w14:paraId="00A21141" w14:textId="77777777" w:rsidR="007049A5" w:rsidRPr="004E4188" w:rsidRDefault="007049A5" w:rsidP="004651FB">
            <w:pPr>
              <w:jc w:val="center"/>
              <w:rPr>
                <w:rFonts w:asciiTheme="majorHAnsi" w:hAnsiTheme="majorHAnsi" w:cstheme="majorHAnsi"/>
                <w:b/>
                <w:sz w:val="20"/>
              </w:rPr>
            </w:pPr>
            <w:r w:rsidRPr="004E4188">
              <w:rPr>
                <w:rFonts w:asciiTheme="majorHAnsi" w:hAnsiTheme="majorHAnsi" w:cstheme="majorHAnsi"/>
                <w:b/>
                <w:sz w:val="20"/>
              </w:rPr>
              <w:t>Critère</w:t>
            </w:r>
          </w:p>
        </w:tc>
        <w:tc>
          <w:tcPr>
            <w:tcW w:w="3513" w:type="dxa"/>
            <w:vMerge w:val="restart"/>
            <w:shd w:val="clear" w:color="auto" w:fill="BFBFBF" w:themeFill="background1" w:themeFillShade="BF"/>
            <w:vAlign w:val="center"/>
          </w:tcPr>
          <w:p w14:paraId="647CA50E" w14:textId="77777777" w:rsidR="007049A5" w:rsidRPr="004E4188" w:rsidRDefault="007049A5" w:rsidP="004651FB">
            <w:pPr>
              <w:jc w:val="center"/>
              <w:rPr>
                <w:rFonts w:asciiTheme="majorHAnsi" w:hAnsiTheme="majorHAnsi" w:cstheme="majorHAnsi"/>
                <w:b/>
                <w:sz w:val="20"/>
              </w:rPr>
            </w:pPr>
            <w:r w:rsidRPr="004E4188">
              <w:rPr>
                <w:rFonts w:asciiTheme="majorHAnsi" w:hAnsiTheme="majorHAnsi" w:cstheme="majorHAnsi"/>
                <w:b/>
                <w:sz w:val="20"/>
              </w:rPr>
              <w:t>Spécification</w:t>
            </w:r>
          </w:p>
        </w:tc>
        <w:tc>
          <w:tcPr>
            <w:tcW w:w="1560" w:type="dxa"/>
            <w:vMerge w:val="restart"/>
            <w:shd w:val="clear" w:color="auto" w:fill="BFBFBF" w:themeFill="background1" w:themeFillShade="BF"/>
            <w:vAlign w:val="center"/>
          </w:tcPr>
          <w:p w14:paraId="1CD4FE01" w14:textId="19D7E40D" w:rsidR="007049A5" w:rsidRPr="004E4188" w:rsidRDefault="00F573E7" w:rsidP="004651FB">
            <w:pPr>
              <w:jc w:val="center"/>
              <w:rPr>
                <w:rFonts w:asciiTheme="majorHAnsi" w:hAnsiTheme="majorHAnsi" w:cstheme="majorHAnsi"/>
                <w:b/>
                <w:sz w:val="20"/>
              </w:rPr>
            </w:pPr>
            <w:r w:rsidRPr="004E4188">
              <w:rPr>
                <w:rFonts w:asciiTheme="majorHAnsi" w:hAnsiTheme="majorHAnsi" w:cstheme="majorHAnsi"/>
                <w:b/>
                <w:sz w:val="20"/>
              </w:rPr>
              <w:t xml:space="preserve">Entreprise </w:t>
            </w:r>
            <w:r w:rsidR="007049A5" w:rsidRPr="004E4188">
              <w:rPr>
                <w:rFonts w:asciiTheme="majorHAnsi" w:hAnsiTheme="majorHAnsi" w:cstheme="majorHAnsi"/>
                <w:b/>
                <w:sz w:val="20"/>
              </w:rPr>
              <w:t>unique</w:t>
            </w:r>
          </w:p>
        </w:tc>
        <w:tc>
          <w:tcPr>
            <w:tcW w:w="4394" w:type="dxa"/>
            <w:gridSpan w:val="3"/>
            <w:shd w:val="clear" w:color="auto" w:fill="BFBFBF" w:themeFill="background1" w:themeFillShade="BF"/>
            <w:vAlign w:val="center"/>
          </w:tcPr>
          <w:p w14:paraId="71E2053C" w14:textId="77777777" w:rsidR="00B14608" w:rsidRPr="004E4188" w:rsidRDefault="007049A5" w:rsidP="008E75A7">
            <w:pPr>
              <w:jc w:val="center"/>
              <w:rPr>
                <w:rFonts w:asciiTheme="majorHAnsi" w:hAnsiTheme="majorHAnsi" w:cstheme="majorHAnsi"/>
                <w:b/>
                <w:sz w:val="20"/>
              </w:rPr>
            </w:pPr>
            <w:r w:rsidRPr="004E4188">
              <w:rPr>
                <w:rFonts w:asciiTheme="majorHAnsi" w:hAnsiTheme="majorHAnsi" w:cstheme="majorHAnsi"/>
                <w:b/>
                <w:sz w:val="20"/>
              </w:rPr>
              <w:t>Groupement</w:t>
            </w:r>
          </w:p>
          <w:p w14:paraId="32212B3B" w14:textId="4D97A2E4" w:rsidR="007049A5" w:rsidRPr="004E4188" w:rsidRDefault="007049A5" w:rsidP="008E75A7">
            <w:pPr>
              <w:jc w:val="center"/>
              <w:rPr>
                <w:rFonts w:asciiTheme="majorHAnsi" w:hAnsiTheme="majorHAnsi" w:cstheme="majorHAnsi"/>
                <w:b/>
                <w:sz w:val="20"/>
              </w:rPr>
            </w:pPr>
            <w:r w:rsidRPr="004E4188">
              <w:rPr>
                <w:rFonts w:asciiTheme="majorHAnsi" w:hAnsiTheme="majorHAnsi" w:cstheme="majorHAnsi"/>
                <w:b/>
                <w:sz w:val="20"/>
              </w:rPr>
              <w:t>(existant ou prévu)</w:t>
            </w:r>
          </w:p>
        </w:tc>
        <w:tc>
          <w:tcPr>
            <w:tcW w:w="1806" w:type="dxa"/>
            <w:vMerge w:val="restart"/>
            <w:shd w:val="clear" w:color="auto" w:fill="BFBFBF" w:themeFill="background1" w:themeFillShade="BF"/>
            <w:vAlign w:val="center"/>
          </w:tcPr>
          <w:p w14:paraId="3D84391F" w14:textId="77777777" w:rsidR="007049A5" w:rsidRPr="004E4188" w:rsidRDefault="007049A5" w:rsidP="004651FB">
            <w:pPr>
              <w:jc w:val="center"/>
              <w:rPr>
                <w:rFonts w:asciiTheme="majorHAnsi" w:hAnsiTheme="majorHAnsi" w:cstheme="majorHAnsi"/>
                <w:b/>
                <w:sz w:val="20"/>
              </w:rPr>
            </w:pPr>
            <w:r w:rsidRPr="004E4188">
              <w:rPr>
                <w:rFonts w:asciiTheme="majorHAnsi" w:hAnsiTheme="majorHAnsi" w:cstheme="majorHAnsi"/>
                <w:b/>
                <w:sz w:val="20"/>
              </w:rPr>
              <w:t>Spécifications de soumission</w:t>
            </w:r>
          </w:p>
        </w:tc>
      </w:tr>
      <w:tr w:rsidR="007049A5" w:rsidRPr="004E4188" w14:paraId="11114B03" w14:textId="77777777" w:rsidTr="0075268B">
        <w:trPr>
          <w:trHeight w:val="360"/>
          <w:tblHeader/>
        </w:trPr>
        <w:tc>
          <w:tcPr>
            <w:tcW w:w="708" w:type="dxa"/>
            <w:vMerge/>
            <w:shd w:val="clear" w:color="auto" w:fill="F3F3F3"/>
          </w:tcPr>
          <w:p w14:paraId="7937719E" w14:textId="77777777" w:rsidR="007049A5" w:rsidRPr="004E4188" w:rsidRDefault="007049A5" w:rsidP="004651FB">
            <w:pPr>
              <w:rPr>
                <w:rFonts w:asciiTheme="majorHAnsi" w:hAnsiTheme="majorHAnsi" w:cstheme="majorHAnsi"/>
                <w:sz w:val="18"/>
                <w:szCs w:val="18"/>
              </w:rPr>
            </w:pPr>
          </w:p>
        </w:tc>
        <w:tc>
          <w:tcPr>
            <w:tcW w:w="1557" w:type="dxa"/>
            <w:vMerge/>
            <w:shd w:val="clear" w:color="auto" w:fill="F3F3F3"/>
          </w:tcPr>
          <w:p w14:paraId="5F0EAE50" w14:textId="77777777" w:rsidR="007049A5" w:rsidRPr="004E4188" w:rsidRDefault="007049A5" w:rsidP="004651FB">
            <w:pPr>
              <w:rPr>
                <w:rFonts w:asciiTheme="majorHAnsi" w:hAnsiTheme="majorHAnsi" w:cstheme="majorHAnsi"/>
                <w:sz w:val="18"/>
                <w:szCs w:val="18"/>
              </w:rPr>
            </w:pPr>
          </w:p>
        </w:tc>
        <w:tc>
          <w:tcPr>
            <w:tcW w:w="3513" w:type="dxa"/>
            <w:vMerge/>
            <w:shd w:val="clear" w:color="auto" w:fill="F3F3F3"/>
          </w:tcPr>
          <w:p w14:paraId="51420CE7" w14:textId="77777777" w:rsidR="007049A5" w:rsidRPr="004E4188" w:rsidRDefault="007049A5" w:rsidP="004651FB">
            <w:pPr>
              <w:rPr>
                <w:rFonts w:asciiTheme="majorHAnsi" w:hAnsiTheme="majorHAnsi" w:cstheme="majorHAnsi"/>
                <w:sz w:val="18"/>
                <w:szCs w:val="18"/>
              </w:rPr>
            </w:pPr>
          </w:p>
        </w:tc>
        <w:tc>
          <w:tcPr>
            <w:tcW w:w="1560" w:type="dxa"/>
            <w:vMerge/>
            <w:shd w:val="clear" w:color="auto" w:fill="F3F3F3"/>
          </w:tcPr>
          <w:p w14:paraId="6DF5CB96" w14:textId="77777777" w:rsidR="007049A5" w:rsidRPr="004E4188" w:rsidRDefault="007049A5" w:rsidP="004651FB">
            <w:pPr>
              <w:rPr>
                <w:rFonts w:asciiTheme="majorHAnsi" w:hAnsiTheme="majorHAnsi" w:cstheme="majorHAnsi"/>
                <w:sz w:val="18"/>
                <w:szCs w:val="18"/>
              </w:rPr>
            </w:pPr>
          </w:p>
        </w:tc>
        <w:tc>
          <w:tcPr>
            <w:tcW w:w="1464" w:type="dxa"/>
            <w:shd w:val="clear" w:color="auto" w:fill="BFBFBF" w:themeFill="background1" w:themeFillShade="BF"/>
            <w:vAlign w:val="center"/>
          </w:tcPr>
          <w:p w14:paraId="09903940" w14:textId="77777777" w:rsidR="007049A5" w:rsidRPr="004E4188" w:rsidRDefault="007049A5" w:rsidP="006C6267">
            <w:pPr>
              <w:jc w:val="center"/>
              <w:rPr>
                <w:rFonts w:asciiTheme="majorHAnsi" w:hAnsiTheme="majorHAnsi" w:cstheme="majorHAnsi"/>
                <w:b/>
                <w:sz w:val="20"/>
              </w:rPr>
            </w:pPr>
            <w:r w:rsidRPr="004E4188">
              <w:rPr>
                <w:rFonts w:asciiTheme="majorHAnsi" w:hAnsiTheme="majorHAnsi" w:cstheme="majorHAnsi"/>
                <w:b/>
                <w:sz w:val="20"/>
              </w:rPr>
              <w:t>Tous membres combinés</w:t>
            </w:r>
          </w:p>
        </w:tc>
        <w:tc>
          <w:tcPr>
            <w:tcW w:w="1465" w:type="dxa"/>
            <w:shd w:val="clear" w:color="auto" w:fill="BFBFBF" w:themeFill="background1" w:themeFillShade="BF"/>
            <w:vAlign w:val="center"/>
          </w:tcPr>
          <w:p w14:paraId="7CF0F42F" w14:textId="77777777" w:rsidR="007049A5" w:rsidRPr="004E4188" w:rsidRDefault="007049A5" w:rsidP="004651FB">
            <w:pPr>
              <w:jc w:val="center"/>
              <w:rPr>
                <w:rFonts w:asciiTheme="majorHAnsi" w:hAnsiTheme="majorHAnsi" w:cstheme="majorHAnsi"/>
                <w:b/>
                <w:sz w:val="20"/>
              </w:rPr>
            </w:pPr>
            <w:r w:rsidRPr="004E4188">
              <w:rPr>
                <w:rFonts w:asciiTheme="majorHAnsi" w:hAnsiTheme="majorHAnsi" w:cstheme="majorHAnsi"/>
                <w:b/>
                <w:sz w:val="20"/>
              </w:rPr>
              <w:t>Chaque membre</w:t>
            </w:r>
          </w:p>
        </w:tc>
        <w:tc>
          <w:tcPr>
            <w:tcW w:w="1465" w:type="dxa"/>
            <w:shd w:val="clear" w:color="auto" w:fill="BFBFBF" w:themeFill="background1" w:themeFillShade="BF"/>
            <w:vAlign w:val="center"/>
          </w:tcPr>
          <w:p w14:paraId="42D4A829" w14:textId="77777777" w:rsidR="007049A5" w:rsidRPr="004E4188" w:rsidRDefault="007049A5" w:rsidP="004651FB">
            <w:pPr>
              <w:jc w:val="center"/>
              <w:rPr>
                <w:rFonts w:asciiTheme="majorHAnsi" w:hAnsiTheme="majorHAnsi" w:cstheme="majorHAnsi"/>
                <w:b/>
                <w:sz w:val="20"/>
              </w:rPr>
            </w:pPr>
            <w:r w:rsidRPr="004E4188">
              <w:rPr>
                <w:rFonts w:asciiTheme="majorHAnsi" w:hAnsiTheme="majorHAnsi" w:cstheme="majorHAnsi"/>
                <w:b/>
                <w:sz w:val="20"/>
              </w:rPr>
              <w:t>Un membre</w:t>
            </w:r>
          </w:p>
        </w:tc>
        <w:tc>
          <w:tcPr>
            <w:tcW w:w="1806" w:type="dxa"/>
            <w:vMerge/>
            <w:shd w:val="clear" w:color="auto" w:fill="BFBFBF" w:themeFill="background1" w:themeFillShade="BF"/>
          </w:tcPr>
          <w:p w14:paraId="7343F4BF" w14:textId="77777777" w:rsidR="007049A5" w:rsidRPr="004E4188" w:rsidRDefault="007049A5" w:rsidP="004651FB">
            <w:pPr>
              <w:rPr>
                <w:rFonts w:asciiTheme="majorHAnsi" w:hAnsiTheme="majorHAnsi" w:cstheme="majorHAnsi"/>
                <w:sz w:val="18"/>
                <w:szCs w:val="18"/>
              </w:rPr>
            </w:pPr>
          </w:p>
        </w:tc>
      </w:tr>
      <w:tr w:rsidR="007049A5" w:rsidRPr="004E4188" w14:paraId="488E3741" w14:textId="77777777" w:rsidTr="0075268B">
        <w:trPr>
          <w:trHeight w:val="567"/>
        </w:trPr>
        <w:tc>
          <w:tcPr>
            <w:tcW w:w="708" w:type="dxa"/>
          </w:tcPr>
          <w:p w14:paraId="5F775CDF" w14:textId="77777777" w:rsidR="007049A5" w:rsidRPr="004E4188" w:rsidRDefault="007049A5" w:rsidP="00032685">
            <w:pPr>
              <w:spacing w:before="60"/>
              <w:jc w:val="center"/>
              <w:rPr>
                <w:rFonts w:asciiTheme="majorHAnsi" w:hAnsiTheme="majorHAnsi" w:cstheme="majorHAnsi"/>
                <w:sz w:val="20"/>
              </w:rPr>
            </w:pPr>
            <w:r w:rsidRPr="004E4188">
              <w:rPr>
                <w:rFonts w:asciiTheme="majorHAnsi" w:hAnsiTheme="majorHAnsi" w:cstheme="majorHAnsi"/>
                <w:sz w:val="20"/>
              </w:rPr>
              <w:t>2.1.1</w:t>
            </w:r>
          </w:p>
        </w:tc>
        <w:tc>
          <w:tcPr>
            <w:tcW w:w="1557" w:type="dxa"/>
          </w:tcPr>
          <w:p w14:paraId="0132CC5B" w14:textId="77777777" w:rsidR="007049A5" w:rsidRPr="004E4188" w:rsidRDefault="007049A5" w:rsidP="00032685">
            <w:pPr>
              <w:spacing w:before="60"/>
              <w:jc w:val="left"/>
              <w:rPr>
                <w:rFonts w:asciiTheme="majorHAnsi" w:hAnsiTheme="majorHAnsi" w:cstheme="majorHAnsi"/>
                <w:sz w:val="20"/>
              </w:rPr>
            </w:pPr>
            <w:r w:rsidRPr="004E4188">
              <w:rPr>
                <w:rFonts w:asciiTheme="majorHAnsi" w:hAnsiTheme="majorHAnsi" w:cstheme="majorHAnsi"/>
                <w:sz w:val="20"/>
              </w:rPr>
              <w:t>Nationalité</w:t>
            </w:r>
          </w:p>
        </w:tc>
        <w:tc>
          <w:tcPr>
            <w:tcW w:w="3513" w:type="dxa"/>
          </w:tcPr>
          <w:p w14:paraId="14D65D68" w14:textId="77777777" w:rsidR="007049A5" w:rsidRPr="004E4188" w:rsidRDefault="007049A5" w:rsidP="00032685">
            <w:pPr>
              <w:spacing w:before="60" w:afterLines="50" w:after="120"/>
              <w:rPr>
                <w:rFonts w:asciiTheme="majorHAnsi" w:hAnsiTheme="majorHAnsi" w:cstheme="majorHAnsi"/>
                <w:sz w:val="20"/>
              </w:rPr>
            </w:pPr>
            <w:r w:rsidRPr="004E4188">
              <w:rPr>
                <w:rFonts w:asciiTheme="majorHAnsi" w:hAnsiTheme="majorHAnsi" w:cstheme="majorHAnsi"/>
                <w:sz w:val="20"/>
              </w:rPr>
              <w:t>Conforme à IS 4.3.</w:t>
            </w:r>
          </w:p>
        </w:tc>
        <w:tc>
          <w:tcPr>
            <w:tcW w:w="1560" w:type="dxa"/>
          </w:tcPr>
          <w:p w14:paraId="7ECA27E9" w14:textId="77777777" w:rsidR="007049A5" w:rsidRPr="004E4188" w:rsidRDefault="007049A5" w:rsidP="00032685">
            <w:pPr>
              <w:spacing w:before="60"/>
              <w:jc w:val="center"/>
              <w:rPr>
                <w:rFonts w:asciiTheme="majorHAnsi" w:hAnsiTheme="majorHAnsi" w:cstheme="majorHAnsi"/>
                <w:sz w:val="20"/>
              </w:rPr>
            </w:pPr>
            <w:r w:rsidRPr="004E4188">
              <w:rPr>
                <w:rFonts w:asciiTheme="majorHAnsi" w:hAnsiTheme="majorHAnsi" w:cstheme="majorHAnsi"/>
                <w:sz w:val="20"/>
              </w:rPr>
              <w:t>Doit satisfaire au critère</w:t>
            </w:r>
          </w:p>
        </w:tc>
        <w:tc>
          <w:tcPr>
            <w:tcW w:w="1464" w:type="dxa"/>
          </w:tcPr>
          <w:p w14:paraId="2C6A05C7" w14:textId="77777777" w:rsidR="007049A5" w:rsidRPr="004E4188" w:rsidRDefault="007049A5" w:rsidP="00032685">
            <w:pPr>
              <w:spacing w:before="60"/>
              <w:jc w:val="center"/>
              <w:rPr>
                <w:rFonts w:asciiTheme="majorHAnsi" w:hAnsiTheme="majorHAnsi" w:cstheme="majorHAnsi"/>
                <w:sz w:val="20"/>
              </w:rPr>
            </w:pPr>
            <w:r w:rsidRPr="004E4188">
              <w:rPr>
                <w:rFonts w:asciiTheme="majorHAnsi" w:hAnsiTheme="majorHAnsi" w:cstheme="majorHAnsi"/>
                <w:sz w:val="20"/>
              </w:rPr>
              <w:t>Sans objet</w:t>
            </w:r>
          </w:p>
        </w:tc>
        <w:tc>
          <w:tcPr>
            <w:tcW w:w="1465" w:type="dxa"/>
          </w:tcPr>
          <w:p w14:paraId="7A6C635A" w14:textId="77777777" w:rsidR="007049A5" w:rsidRPr="004E4188" w:rsidRDefault="007049A5" w:rsidP="00032685">
            <w:pPr>
              <w:spacing w:before="60"/>
              <w:jc w:val="center"/>
              <w:rPr>
                <w:rFonts w:asciiTheme="majorHAnsi" w:hAnsiTheme="majorHAnsi" w:cstheme="majorHAnsi"/>
                <w:sz w:val="20"/>
              </w:rPr>
            </w:pPr>
            <w:r w:rsidRPr="004E4188">
              <w:rPr>
                <w:rFonts w:asciiTheme="majorHAnsi" w:hAnsiTheme="majorHAnsi" w:cstheme="majorHAnsi"/>
                <w:sz w:val="20"/>
              </w:rPr>
              <w:t>Doit satisfaire au critère</w:t>
            </w:r>
          </w:p>
        </w:tc>
        <w:tc>
          <w:tcPr>
            <w:tcW w:w="1465" w:type="dxa"/>
          </w:tcPr>
          <w:p w14:paraId="2B2C7F83" w14:textId="77777777" w:rsidR="007049A5" w:rsidRPr="004E4188" w:rsidRDefault="007049A5" w:rsidP="00032685">
            <w:pPr>
              <w:spacing w:before="60"/>
              <w:jc w:val="center"/>
              <w:rPr>
                <w:rFonts w:asciiTheme="majorHAnsi" w:hAnsiTheme="majorHAnsi" w:cstheme="majorHAnsi"/>
                <w:sz w:val="20"/>
              </w:rPr>
            </w:pPr>
            <w:r w:rsidRPr="004E4188">
              <w:rPr>
                <w:rFonts w:asciiTheme="majorHAnsi" w:hAnsiTheme="majorHAnsi" w:cstheme="majorHAnsi"/>
                <w:sz w:val="20"/>
              </w:rPr>
              <w:t>Sans objet</w:t>
            </w:r>
          </w:p>
        </w:tc>
        <w:tc>
          <w:tcPr>
            <w:tcW w:w="1806" w:type="dxa"/>
          </w:tcPr>
          <w:p w14:paraId="65249C54" w14:textId="0A54758E" w:rsidR="007049A5" w:rsidRPr="004E4188" w:rsidRDefault="007049A5" w:rsidP="00032685">
            <w:pPr>
              <w:spacing w:before="60" w:after="60"/>
              <w:rPr>
                <w:rFonts w:asciiTheme="majorHAnsi" w:hAnsiTheme="majorHAnsi" w:cstheme="majorHAnsi"/>
                <w:sz w:val="20"/>
              </w:rPr>
            </w:pPr>
            <w:r w:rsidRPr="004E4188">
              <w:rPr>
                <w:rFonts w:asciiTheme="majorHAnsi" w:hAnsiTheme="majorHAnsi" w:cstheme="majorHAnsi"/>
                <w:sz w:val="20"/>
              </w:rPr>
              <w:t xml:space="preserve">Formulaires </w:t>
            </w:r>
            <w:smartTag w:uri="urn:schemas-microsoft-com:office:smarttags" w:element="stockticker">
              <w:r w:rsidRPr="004E4188">
                <w:rPr>
                  <w:rFonts w:asciiTheme="majorHAnsi" w:hAnsiTheme="majorHAnsi" w:cstheme="majorHAnsi"/>
                  <w:sz w:val="20"/>
                </w:rPr>
                <w:t>ELI</w:t>
              </w:r>
            </w:smartTag>
            <w:r w:rsidRPr="004E4188">
              <w:rPr>
                <w:rFonts w:asciiTheme="majorHAnsi" w:hAnsiTheme="majorHAnsi" w:cstheme="majorHAnsi"/>
                <w:sz w:val="20"/>
              </w:rPr>
              <w:t>-1 et 2</w:t>
            </w:r>
            <w:r w:rsidRPr="004E4188">
              <w:rPr>
                <w:rFonts w:asciiTheme="majorHAnsi" w:hAnsiTheme="majorHAnsi" w:cstheme="majorHAnsi"/>
                <w:sz w:val="20"/>
                <w:vertAlign w:val="superscript"/>
              </w:rPr>
              <w:t>(i)</w:t>
            </w:r>
            <w:r w:rsidRPr="004E4188">
              <w:rPr>
                <w:rFonts w:asciiTheme="majorHAnsi" w:hAnsiTheme="majorHAnsi" w:cstheme="majorHAnsi"/>
                <w:sz w:val="20"/>
              </w:rPr>
              <w:t>, avec pièces jointes</w:t>
            </w:r>
          </w:p>
        </w:tc>
      </w:tr>
      <w:tr w:rsidR="007049A5" w:rsidRPr="004E4188" w14:paraId="5FE11E5E" w14:textId="77777777" w:rsidTr="0075268B">
        <w:trPr>
          <w:trHeight w:val="567"/>
        </w:trPr>
        <w:tc>
          <w:tcPr>
            <w:tcW w:w="708" w:type="dxa"/>
          </w:tcPr>
          <w:p w14:paraId="12EA924E" w14:textId="77777777" w:rsidR="007049A5" w:rsidRPr="004E4188" w:rsidRDefault="007049A5" w:rsidP="00032685">
            <w:pPr>
              <w:spacing w:before="60"/>
              <w:jc w:val="center"/>
              <w:rPr>
                <w:rFonts w:asciiTheme="majorHAnsi" w:hAnsiTheme="majorHAnsi" w:cstheme="majorHAnsi"/>
                <w:sz w:val="20"/>
              </w:rPr>
            </w:pPr>
            <w:r w:rsidRPr="004E4188">
              <w:rPr>
                <w:rFonts w:asciiTheme="majorHAnsi" w:hAnsiTheme="majorHAnsi" w:cstheme="majorHAnsi"/>
                <w:sz w:val="20"/>
              </w:rPr>
              <w:t>2.1.2</w:t>
            </w:r>
          </w:p>
        </w:tc>
        <w:tc>
          <w:tcPr>
            <w:tcW w:w="1557" w:type="dxa"/>
          </w:tcPr>
          <w:p w14:paraId="4BFB7E12" w14:textId="77777777" w:rsidR="007049A5" w:rsidRPr="004E4188" w:rsidRDefault="007049A5" w:rsidP="00032685">
            <w:pPr>
              <w:spacing w:before="60"/>
              <w:jc w:val="left"/>
              <w:rPr>
                <w:rFonts w:asciiTheme="majorHAnsi" w:hAnsiTheme="majorHAnsi" w:cstheme="majorHAnsi"/>
                <w:sz w:val="20"/>
              </w:rPr>
            </w:pPr>
            <w:r w:rsidRPr="004E4188">
              <w:rPr>
                <w:rFonts w:asciiTheme="majorHAnsi" w:hAnsiTheme="majorHAnsi" w:cstheme="majorHAnsi"/>
                <w:sz w:val="20"/>
              </w:rPr>
              <w:t>Conflit d’intérêt</w:t>
            </w:r>
          </w:p>
        </w:tc>
        <w:tc>
          <w:tcPr>
            <w:tcW w:w="3513" w:type="dxa"/>
          </w:tcPr>
          <w:p w14:paraId="0A205A2D" w14:textId="77777777" w:rsidR="007049A5" w:rsidRPr="004E4188" w:rsidRDefault="007049A5" w:rsidP="00032685">
            <w:pPr>
              <w:spacing w:before="60" w:afterLines="50" w:after="120"/>
              <w:rPr>
                <w:rFonts w:asciiTheme="majorHAnsi" w:hAnsiTheme="majorHAnsi" w:cstheme="majorHAnsi"/>
                <w:sz w:val="20"/>
              </w:rPr>
            </w:pPr>
            <w:r w:rsidRPr="004E4188">
              <w:rPr>
                <w:rFonts w:asciiTheme="majorHAnsi" w:hAnsiTheme="majorHAnsi" w:cstheme="majorHAnsi"/>
                <w:sz w:val="20"/>
              </w:rPr>
              <w:t xml:space="preserve">Pas de conflit d’intérêt selon IS 4.2. </w:t>
            </w:r>
          </w:p>
        </w:tc>
        <w:tc>
          <w:tcPr>
            <w:tcW w:w="1560" w:type="dxa"/>
          </w:tcPr>
          <w:p w14:paraId="16301777" w14:textId="77777777" w:rsidR="007049A5" w:rsidRPr="004E4188" w:rsidRDefault="007049A5" w:rsidP="00032685">
            <w:pPr>
              <w:spacing w:before="60"/>
              <w:jc w:val="center"/>
              <w:rPr>
                <w:rFonts w:asciiTheme="majorHAnsi" w:hAnsiTheme="majorHAnsi" w:cstheme="majorHAnsi"/>
                <w:sz w:val="20"/>
              </w:rPr>
            </w:pPr>
            <w:r w:rsidRPr="004E4188">
              <w:rPr>
                <w:rFonts w:asciiTheme="majorHAnsi" w:hAnsiTheme="majorHAnsi" w:cstheme="majorHAnsi"/>
                <w:sz w:val="20"/>
              </w:rPr>
              <w:t>Doit satisfaire au critère</w:t>
            </w:r>
          </w:p>
        </w:tc>
        <w:tc>
          <w:tcPr>
            <w:tcW w:w="1464" w:type="dxa"/>
          </w:tcPr>
          <w:p w14:paraId="4E00DCAA" w14:textId="77777777" w:rsidR="007049A5" w:rsidRPr="004E4188" w:rsidRDefault="007049A5" w:rsidP="00032685">
            <w:pPr>
              <w:spacing w:before="60"/>
              <w:jc w:val="center"/>
              <w:rPr>
                <w:rFonts w:asciiTheme="majorHAnsi" w:hAnsiTheme="majorHAnsi" w:cstheme="majorHAnsi"/>
                <w:sz w:val="20"/>
              </w:rPr>
            </w:pPr>
            <w:r w:rsidRPr="004E4188">
              <w:rPr>
                <w:rFonts w:asciiTheme="majorHAnsi" w:hAnsiTheme="majorHAnsi" w:cstheme="majorHAnsi"/>
                <w:sz w:val="20"/>
              </w:rPr>
              <w:t>Sans objet</w:t>
            </w:r>
          </w:p>
        </w:tc>
        <w:tc>
          <w:tcPr>
            <w:tcW w:w="1465" w:type="dxa"/>
          </w:tcPr>
          <w:p w14:paraId="121E3496" w14:textId="77777777" w:rsidR="007049A5" w:rsidRPr="004E4188" w:rsidRDefault="007049A5" w:rsidP="00032685">
            <w:pPr>
              <w:spacing w:before="60"/>
              <w:jc w:val="center"/>
              <w:rPr>
                <w:rFonts w:asciiTheme="majorHAnsi" w:hAnsiTheme="majorHAnsi" w:cstheme="majorHAnsi"/>
                <w:sz w:val="20"/>
              </w:rPr>
            </w:pPr>
            <w:r w:rsidRPr="004E4188">
              <w:rPr>
                <w:rFonts w:asciiTheme="majorHAnsi" w:hAnsiTheme="majorHAnsi" w:cstheme="majorHAnsi"/>
                <w:sz w:val="20"/>
              </w:rPr>
              <w:t>Doit satisfaire au critère</w:t>
            </w:r>
          </w:p>
          <w:p w14:paraId="2BD41544" w14:textId="77777777" w:rsidR="007049A5" w:rsidRPr="004E4188" w:rsidRDefault="007049A5" w:rsidP="00032685">
            <w:pPr>
              <w:jc w:val="center"/>
              <w:rPr>
                <w:rFonts w:asciiTheme="majorHAnsi" w:hAnsiTheme="majorHAnsi" w:cstheme="majorHAnsi"/>
                <w:sz w:val="20"/>
                <w:vertAlign w:val="superscript"/>
                <w:lang w:eastAsia="ja-JP"/>
              </w:rPr>
            </w:pPr>
            <w:r w:rsidRPr="004E4188">
              <w:rPr>
                <w:rFonts w:asciiTheme="majorHAnsi" w:hAnsiTheme="majorHAnsi" w:cstheme="majorHAnsi" w:hint="eastAsia"/>
                <w:sz w:val="20"/>
                <w:vertAlign w:val="superscript"/>
                <w:lang w:eastAsia="ja-JP"/>
              </w:rPr>
              <w:t>(</w:t>
            </w:r>
            <w:r w:rsidRPr="004E4188">
              <w:rPr>
                <w:rFonts w:asciiTheme="majorHAnsi" w:hAnsiTheme="majorHAnsi" w:cstheme="majorHAnsi"/>
                <w:sz w:val="20"/>
                <w:vertAlign w:val="superscript"/>
                <w:lang w:eastAsia="ja-JP"/>
              </w:rPr>
              <w:t>ii)</w:t>
            </w:r>
          </w:p>
        </w:tc>
        <w:tc>
          <w:tcPr>
            <w:tcW w:w="1465" w:type="dxa"/>
          </w:tcPr>
          <w:p w14:paraId="0240A314" w14:textId="77777777" w:rsidR="007049A5" w:rsidRPr="004E4188" w:rsidRDefault="007049A5" w:rsidP="00032685">
            <w:pPr>
              <w:spacing w:before="60"/>
              <w:jc w:val="center"/>
              <w:rPr>
                <w:rFonts w:asciiTheme="majorHAnsi" w:hAnsiTheme="majorHAnsi" w:cstheme="majorHAnsi"/>
                <w:sz w:val="20"/>
              </w:rPr>
            </w:pPr>
            <w:r w:rsidRPr="004E4188">
              <w:rPr>
                <w:rFonts w:asciiTheme="majorHAnsi" w:hAnsiTheme="majorHAnsi" w:cstheme="majorHAnsi"/>
                <w:sz w:val="20"/>
              </w:rPr>
              <w:t>Sans objet</w:t>
            </w:r>
          </w:p>
        </w:tc>
        <w:tc>
          <w:tcPr>
            <w:tcW w:w="1806" w:type="dxa"/>
            <w:vAlign w:val="center"/>
          </w:tcPr>
          <w:p w14:paraId="04BCF3C9" w14:textId="77777777" w:rsidR="007049A5" w:rsidRPr="004E4188" w:rsidRDefault="007049A5" w:rsidP="006C6267">
            <w:pPr>
              <w:pStyle w:val="Style11"/>
              <w:tabs>
                <w:tab w:val="left" w:leader="dot" w:pos="8424"/>
              </w:tabs>
              <w:spacing w:before="60" w:after="60" w:line="240" w:lineRule="atLeast"/>
              <w:rPr>
                <w:rFonts w:asciiTheme="majorHAnsi" w:hAnsiTheme="majorHAnsi" w:cstheme="majorHAnsi"/>
                <w:sz w:val="20"/>
                <w:lang w:val="fr-FR"/>
              </w:rPr>
            </w:pPr>
            <w:r w:rsidRPr="004E4188">
              <w:rPr>
                <w:rFonts w:asciiTheme="majorHAnsi" w:hAnsiTheme="majorHAnsi" w:cstheme="majorHAnsi"/>
                <w:sz w:val="20"/>
                <w:lang w:val="fr-FR"/>
              </w:rPr>
              <w:t xml:space="preserve">Lettre de soumission </w:t>
            </w:r>
            <w:r w:rsidRPr="004E4188">
              <w:rPr>
                <w:rFonts w:ascii="Arial" w:hAnsi="Arial"/>
                <w:sz w:val="20"/>
                <w:lang w:val="fr-FR"/>
              </w:rPr>
              <w:t>de l’offre de la première étape</w:t>
            </w:r>
          </w:p>
        </w:tc>
      </w:tr>
      <w:tr w:rsidR="007049A5" w:rsidRPr="004E4188" w14:paraId="77E7504B" w14:textId="77777777" w:rsidTr="0075268B">
        <w:trPr>
          <w:trHeight w:val="567"/>
        </w:trPr>
        <w:tc>
          <w:tcPr>
            <w:tcW w:w="708" w:type="dxa"/>
          </w:tcPr>
          <w:p w14:paraId="5A56DD65" w14:textId="77777777" w:rsidR="007049A5" w:rsidRPr="004E4188" w:rsidRDefault="007049A5" w:rsidP="00032685">
            <w:pPr>
              <w:spacing w:before="60"/>
              <w:jc w:val="center"/>
              <w:rPr>
                <w:rFonts w:asciiTheme="majorHAnsi" w:hAnsiTheme="majorHAnsi" w:cstheme="majorHAnsi"/>
                <w:sz w:val="20"/>
              </w:rPr>
            </w:pPr>
            <w:r w:rsidRPr="004E4188">
              <w:rPr>
                <w:rFonts w:asciiTheme="majorHAnsi" w:hAnsiTheme="majorHAnsi" w:cstheme="majorHAnsi"/>
                <w:sz w:val="20"/>
              </w:rPr>
              <w:t>2.1.3</w:t>
            </w:r>
          </w:p>
        </w:tc>
        <w:tc>
          <w:tcPr>
            <w:tcW w:w="1557" w:type="dxa"/>
          </w:tcPr>
          <w:p w14:paraId="517853C4" w14:textId="77777777" w:rsidR="007049A5" w:rsidRPr="004E4188" w:rsidRDefault="007049A5" w:rsidP="00032685">
            <w:pPr>
              <w:spacing w:before="60"/>
              <w:jc w:val="left"/>
              <w:rPr>
                <w:rFonts w:asciiTheme="majorHAnsi" w:hAnsiTheme="majorHAnsi" w:cstheme="majorHAnsi"/>
                <w:sz w:val="20"/>
              </w:rPr>
            </w:pPr>
            <w:r w:rsidRPr="004E4188">
              <w:rPr>
                <w:rFonts w:asciiTheme="majorHAnsi" w:hAnsiTheme="majorHAnsi" w:cstheme="majorHAnsi"/>
                <w:sz w:val="20"/>
              </w:rPr>
              <w:t>Exclusion par la JICA</w:t>
            </w:r>
          </w:p>
        </w:tc>
        <w:tc>
          <w:tcPr>
            <w:tcW w:w="3513" w:type="dxa"/>
          </w:tcPr>
          <w:p w14:paraId="10326B82" w14:textId="77777777" w:rsidR="007049A5" w:rsidRPr="004E4188" w:rsidRDefault="007049A5" w:rsidP="00032685">
            <w:pPr>
              <w:spacing w:before="60" w:afterLines="50" w:after="120"/>
              <w:rPr>
                <w:rFonts w:asciiTheme="majorHAnsi" w:hAnsiTheme="majorHAnsi" w:cstheme="majorHAnsi"/>
                <w:sz w:val="20"/>
              </w:rPr>
            </w:pPr>
            <w:r w:rsidRPr="004E4188">
              <w:rPr>
                <w:rFonts w:asciiTheme="majorHAnsi" w:hAnsiTheme="majorHAnsi" w:cstheme="majorHAnsi"/>
                <w:sz w:val="20"/>
              </w:rPr>
              <w:t xml:space="preserve">Ne pas avoir été déclaré inéligible par la JICA, conformément à IS 4.4. </w:t>
            </w:r>
          </w:p>
        </w:tc>
        <w:tc>
          <w:tcPr>
            <w:tcW w:w="1560" w:type="dxa"/>
          </w:tcPr>
          <w:p w14:paraId="795323E1" w14:textId="77777777" w:rsidR="007049A5" w:rsidRPr="004E4188" w:rsidRDefault="007049A5" w:rsidP="00032685">
            <w:pPr>
              <w:spacing w:before="60"/>
              <w:jc w:val="center"/>
              <w:rPr>
                <w:rFonts w:asciiTheme="majorHAnsi" w:hAnsiTheme="majorHAnsi" w:cstheme="majorHAnsi"/>
                <w:sz w:val="20"/>
              </w:rPr>
            </w:pPr>
            <w:r w:rsidRPr="004E4188">
              <w:rPr>
                <w:rFonts w:asciiTheme="majorHAnsi" w:hAnsiTheme="majorHAnsi" w:cstheme="majorHAnsi"/>
                <w:sz w:val="20"/>
              </w:rPr>
              <w:t>Doit satisfaire au critère</w:t>
            </w:r>
          </w:p>
        </w:tc>
        <w:tc>
          <w:tcPr>
            <w:tcW w:w="1464" w:type="dxa"/>
          </w:tcPr>
          <w:p w14:paraId="05945DC9" w14:textId="77777777" w:rsidR="007049A5" w:rsidRPr="004E4188" w:rsidRDefault="007049A5" w:rsidP="00032685">
            <w:pPr>
              <w:spacing w:before="60"/>
              <w:jc w:val="center"/>
              <w:rPr>
                <w:rFonts w:asciiTheme="majorHAnsi" w:hAnsiTheme="majorHAnsi" w:cstheme="majorHAnsi"/>
                <w:sz w:val="20"/>
              </w:rPr>
            </w:pPr>
            <w:r w:rsidRPr="004E4188">
              <w:rPr>
                <w:rFonts w:asciiTheme="majorHAnsi" w:hAnsiTheme="majorHAnsi" w:cstheme="majorHAnsi"/>
                <w:sz w:val="20"/>
              </w:rPr>
              <w:t>Sans objet</w:t>
            </w:r>
          </w:p>
        </w:tc>
        <w:tc>
          <w:tcPr>
            <w:tcW w:w="1465" w:type="dxa"/>
          </w:tcPr>
          <w:p w14:paraId="27DEA2FD" w14:textId="77777777" w:rsidR="007049A5" w:rsidRPr="004E4188" w:rsidRDefault="007049A5" w:rsidP="00032685">
            <w:pPr>
              <w:spacing w:before="60"/>
              <w:jc w:val="center"/>
              <w:rPr>
                <w:rFonts w:asciiTheme="majorHAnsi" w:hAnsiTheme="majorHAnsi" w:cstheme="majorHAnsi"/>
                <w:sz w:val="20"/>
              </w:rPr>
            </w:pPr>
            <w:r w:rsidRPr="004E4188">
              <w:rPr>
                <w:rFonts w:asciiTheme="majorHAnsi" w:hAnsiTheme="majorHAnsi" w:cstheme="majorHAnsi"/>
                <w:sz w:val="20"/>
              </w:rPr>
              <w:t>Doit satisfaire au critère</w:t>
            </w:r>
          </w:p>
          <w:p w14:paraId="231F9BE1" w14:textId="77777777" w:rsidR="007049A5" w:rsidRPr="004E4188" w:rsidRDefault="007049A5" w:rsidP="00032685">
            <w:pPr>
              <w:jc w:val="center"/>
              <w:rPr>
                <w:rFonts w:asciiTheme="majorHAnsi" w:hAnsiTheme="majorHAnsi" w:cstheme="majorHAnsi"/>
                <w:sz w:val="20"/>
                <w:vertAlign w:val="superscript"/>
              </w:rPr>
            </w:pPr>
            <w:r w:rsidRPr="004E4188">
              <w:rPr>
                <w:rFonts w:asciiTheme="majorHAnsi" w:hAnsiTheme="majorHAnsi" w:cstheme="majorHAnsi"/>
                <w:sz w:val="20"/>
                <w:vertAlign w:val="superscript"/>
              </w:rPr>
              <w:t>(ii)</w:t>
            </w:r>
          </w:p>
        </w:tc>
        <w:tc>
          <w:tcPr>
            <w:tcW w:w="1465" w:type="dxa"/>
          </w:tcPr>
          <w:p w14:paraId="0EABC3A9" w14:textId="77777777" w:rsidR="007049A5" w:rsidRPr="004E4188" w:rsidRDefault="007049A5" w:rsidP="00032685">
            <w:pPr>
              <w:spacing w:before="60"/>
              <w:jc w:val="center"/>
              <w:rPr>
                <w:rFonts w:asciiTheme="majorHAnsi" w:hAnsiTheme="majorHAnsi" w:cstheme="majorHAnsi"/>
                <w:sz w:val="20"/>
              </w:rPr>
            </w:pPr>
            <w:r w:rsidRPr="004E4188">
              <w:rPr>
                <w:rFonts w:asciiTheme="majorHAnsi" w:hAnsiTheme="majorHAnsi" w:cstheme="majorHAnsi"/>
                <w:sz w:val="20"/>
              </w:rPr>
              <w:t>Sans objet</w:t>
            </w:r>
          </w:p>
        </w:tc>
        <w:tc>
          <w:tcPr>
            <w:tcW w:w="1806" w:type="dxa"/>
            <w:vAlign w:val="center"/>
          </w:tcPr>
          <w:p w14:paraId="6E7DD15B" w14:textId="77777777" w:rsidR="007049A5" w:rsidRPr="004E4188" w:rsidRDefault="007049A5" w:rsidP="0075268B">
            <w:pPr>
              <w:pStyle w:val="Style11"/>
              <w:tabs>
                <w:tab w:val="left" w:leader="dot" w:pos="8424"/>
              </w:tabs>
              <w:spacing w:before="60" w:after="120" w:line="240" w:lineRule="atLeast"/>
              <w:rPr>
                <w:rFonts w:asciiTheme="majorHAnsi" w:hAnsiTheme="majorHAnsi" w:cstheme="majorHAnsi"/>
                <w:sz w:val="20"/>
                <w:lang w:val="fr-FR"/>
              </w:rPr>
            </w:pPr>
            <w:r w:rsidRPr="004E4188">
              <w:rPr>
                <w:rFonts w:asciiTheme="majorHAnsi" w:hAnsiTheme="majorHAnsi" w:cstheme="majorHAnsi"/>
                <w:sz w:val="20"/>
                <w:lang w:val="fr-FR"/>
              </w:rPr>
              <w:t>Lettre de soumission de l’offre de la première étape</w:t>
            </w:r>
          </w:p>
          <w:p w14:paraId="6BD57B47" w14:textId="77777777" w:rsidR="007049A5" w:rsidRPr="004E4188" w:rsidRDefault="007049A5" w:rsidP="009D4BED">
            <w:pPr>
              <w:spacing w:after="60"/>
              <w:rPr>
                <w:rFonts w:asciiTheme="majorHAnsi" w:hAnsiTheme="majorHAnsi" w:cstheme="majorHAnsi"/>
                <w:sz w:val="20"/>
              </w:rPr>
            </w:pPr>
            <w:r w:rsidRPr="004E4188">
              <w:rPr>
                <w:rFonts w:asciiTheme="majorHAnsi" w:hAnsiTheme="majorHAnsi" w:cstheme="majorHAnsi"/>
                <w:sz w:val="20"/>
              </w:rPr>
              <w:t>Formulaire REC</w:t>
            </w:r>
          </w:p>
        </w:tc>
      </w:tr>
      <w:tr w:rsidR="007049A5" w:rsidRPr="004E4188" w14:paraId="60E8287A" w14:textId="77777777" w:rsidTr="0075268B">
        <w:trPr>
          <w:trHeight w:val="567"/>
        </w:trPr>
        <w:tc>
          <w:tcPr>
            <w:tcW w:w="13538" w:type="dxa"/>
            <w:gridSpan w:val="8"/>
          </w:tcPr>
          <w:p w14:paraId="0000570B" w14:textId="5403FF87" w:rsidR="007049A5" w:rsidRPr="004E4188" w:rsidRDefault="007049A5" w:rsidP="006B5B2C">
            <w:pPr>
              <w:suppressAutoHyphens w:val="0"/>
              <w:overflowPunct/>
              <w:autoSpaceDE/>
              <w:autoSpaceDN/>
              <w:adjustRightInd/>
              <w:spacing w:after="60"/>
              <w:textAlignment w:val="auto"/>
              <w:rPr>
                <w:rFonts w:ascii="Arial" w:hAnsi="Arial" w:cs="Arial"/>
                <w:sz w:val="20"/>
                <w:u w:val="single"/>
                <w:lang w:eastAsia="ja-JP"/>
              </w:rPr>
            </w:pPr>
            <w:r w:rsidRPr="004E4188">
              <w:rPr>
                <w:rFonts w:ascii="Arial" w:hAnsi="Arial" w:cs="Arial"/>
                <w:sz w:val="20"/>
                <w:u w:val="single"/>
                <w:lang w:eastAsia="en-US"/>
              </w:rPr>
              <w:t xml:space="preserve">Notes </w:t>
            </w:r>
            <w:r w:rsidRPr="004E4188">
              <w:rPr>
                <w:rFonts w:ascii="Arial" w:hAnsi="Arial" w:cs="Arial"/>
                <w:sz w:val="20"/>
                <w:u w:val="single"/>
                <w:lang w:eastAsia="ja-JP"/>
              </w:rPr>
              <w:t>à l’intention des Soumissionnaires</w:t>
            </w:r>
          </w:p>
          <w:p w14:paraId="2817F5F9" w14:textId="77777777" w:rsidR="007049A5" w:rsidRPr="004E4188" w:rsidRDefault="007049A5" w:rsidP="006C6267">
            <w:pPr>
              <w:widowControl w:val="0"/>
              <w:tabs>
                <w:tab w:val="left" w:pos="328"/>
              </w:tabs>
              <w:suppressAutoHyphens w:val="0"/>
              <w:overflowPunct/>
              <w:adjustRightInd/>
              <w:spacing w:afterLines="50" w:after="120"/>
              <w:textAlignment w:val="auto"/>
              <w:rPr>
                <w:rFonts w:ascii="Arial" w:hAnsi="Arial" w:cs="Arial"/>
                <w:sz w:val="20"/>
                <w:lang w:eastAsia="en-US"/>
              </w:rPr>
            </w:pPr>
            <w:r w:rsidRPr="004E4188">
              <w:rPr>
                <w:rFonts w:ascii="Arial" w:hAnsi="Arial" w:cs="Arial"/>
                <w:sz w:val="20"/>
                <w:lang w:eastAsia="en-US"/>
              </w:rPr>
              <w:t>(i)</w:t>
            </w:r>
            <w:r w:rsidRPr="004E4188">
              <w:rPr>
                <w:rFonts w:ascii="Arial" w:hAnsi="Arial" w:cs="Arial"/>
                <w:sz w:val="20"/>
                <w:lang w:eastAsia="en-US"/>
              </w:rPr>
              <w:tab/>
              <w:t>ELI-2 est requis uniquement si le Soumissionnaire est un Groupement.</w:t>
            </w:r>
          </w:p>
          <w:p w14:paraId="3A44150B" w14:textId="70B2DEB0" w:rsidR="007049A5" w:rsidRPr="004E4188" w:rsidRDefault="007049A5" w:rsidP="006C6267">
            <w:pPr>
              <w:widowControl w:val="0"/>
              <w:tabs>
                <w:tab w:val="left" w:pos="328"/>
              </w:tabs>
              <w:suppressAutoHyphens w:val="0"/>
              <w:overflowPunct/>
              <w:adjustRightInd/>
              <w:spacing w:afterLines="50" w:after="120"/>
              <w:textAlignment w:val="auto"/>
            </w:pPr>
            <w:r w:rsidRPr="004E4188">
              <w:rPr>
                <w:rFonts w:ascii="Arial" w:hAnsi="Arial" w:cs="Arial"/>
                <w:sz w:val="20"/>
                <w:lang w:eastAsia="en-US"/>
              </w:rPr>
              <w:t>(ii)</w:t>
            </w:r>
            <w:r w:rsidR="00C96C0E" w:rsidRPr="004E4188">
              <w:rPr>
                <w:rFonts w:ascii="Arial" w:hAnsi="Arial" w:cs="Arial"/>
                <w:sz w:val="20"/>
                <w:lang w:eastAsia="en-US"/>
              </w:rPr>
              <w:tab/>
            </w:r>
            <w:r w:rsidRPr="004E4188">
              <w:rPr>
                <w:rFonts w:ascii="Arial" w:hAnsi="Arial" w:cs="Arial"/>
                <w:sz w:val="20"/>
                <w:lang w:eastAsia="en-US"/>
              </w:rPr>
              <w:t>Ce critère s’applique également aux sous-traitants proposés par le Soumissionnaire conformément aux 1.1.3 ci-dessus et 2.4.2(b) ci-après.</w:t>
            </w:r>
          </w:p>
        </w:tc>
      </w:tr>
    </w:tbl>
    <w:p w14:paraId="4565B639" w14:textId="77777777" w:rsidR="007049A5" w:rsidRPr="004E4188" w:rsidRDefault="007049A5">
      <w:pPr>
        <w:rPr>
          <w:b/>
          <w:lang w:eastAsia="ja-JP"/>
        </w:rPr>
      </w:pPr>
    </w:p>
    <w:p w14:paraId="6A0C83BE" w14:textId="77777777" w:rsidR="007049A5" w:rsidRPr="004E4188" w:rsidRDefault="007049A5">
      <w:pPr>
        <w:rPr>
          <w:b/>
          <w:lang w:eastAsia="ja-JP"/>
        </w:rPr>
      </w:pPr>
    </w:p>
    <w:p w14:paraId="7D270475" w14:textId="77777777" w:rsidR="007049A5" w:rsidRPr="004E4188" w:rsidRDefault="007049A5">
      <w:r w:rsidRPr="004E4188">
        <w:rPr>
          <w:b/>
        </w:rPr>
        <w:br w:type="page"/>
      </w:r>
    </w:p>
    <w:p w14:paraId="5CE3070B" w14:textId="77777777" w:rsidR="007049A5" w:rsidRPr="004E4188" w:rsidRDefault="007049A5" w:rsidP="003D46CF">
      <w:pPr>
        <w:pStyle w:val="ListParagraph1"/>
        <w:numPr>
          <w:ilvl w:val="1"/>
          <w:numId w:val="37"/>
        </w:numPr>
        <w:snapToGrid w:val="0"/>
        <w:spacing w:after="240"/>
        <w:ind w:left="0" w:firstLine="0"/>
        <w:contextualSpacing w:val="0"/>
        <w:jc w:val="left"/>
        <w:rPr>
          <w:b/>
          <w:sz w:val="28"/>
          <w:szCs w:val="28"/>
          <w:lang w:val="fr-FR"/>
        </w:rPr>
      </w:pPr>
      <w:r w:rsidRPr="004E4188">
        <w:rPr>
          <w:b/>
          <w:sz w:val="28"/>
          <w:szCs w:val="28"/>
          <w:lang w:val="fr-FR"/>
        </w:rPr>
        <w:t>Antécédents</w:t>
      </w:r>
      <w:r w:rsidRPr="004E4188">
        <w:rPr>
          <w:b/>
          <w:sz w:val="28"/>
          <w:szCs w:val="28"/>
          <w:lang w:val="fr-FR" w:eastAsia="ja-JP"/>
        </w:rPr>
        <w:t xml:space="preserve"> de non-exécution de marchés et litiges</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7"/>
        <w:gridCol w:w="3513"/>
        <w:gridCol w:w="1560"/>
        <w:gridCol w:w="1464"/>
        <w:gridCol w:w="1465"/>
        <w:gridCol w:w="1465"/>
        <w:gridCol w:w="1730"/>
      </w:tblGrid>
      <w:tr w:rsidR="00AB40E4" w:rsidRPr="004E4188" w14:paraId="4871DA97" w14:textId="77777777" w:rsidTr="0075268B">
        <w:trPr>
          <w:tblHeader/>
        </w:trPr>
        <w:tc>
          <w:tcPr>
            <w:tcW w:w="577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C922BA8" w14:textId="0CF28F5C" w:rsidR="00AB40E4" w:rsidRPr="004E4188" w:rsidRDefault="00AB40E4" w:rsidP="00AB40E4">
            <w:pPr>
              <w:ind w:right="-72"/>
              <w:jc w:val="center"/>
              <w:rPr>
                <w:rFonts w:asciiTheme="majorHAnsi" w:hAnsiTheme="majorHAnsi" w:cstheme="majorHAnsi"/>
                <w:b/>
                <w:szCs w:val="24"/>
              </w:rPr>
            </w:pPr>
            <w:r w:rsidRPr="004E4188">
              <w:rPr>
                <w:rFonts w:ascii="Arial" w:hAnsi="Arial" w:cs="Arial"/>
                <w:b/>
                <w:color w:val="FFFFFF"/>
                <w:sz w:val="20"/>
              </w:rPr>
              <w:t>Critères d’éligibilité et de qualification</w:t>
            </w:r>
          </w:p>
        </w:tc>
        <w:tc>
          <w:tcPr>
            <w:tcW w:w="5954"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EA18CC5" w14:textId="50727824" w:rsidR="00AB40E4" w:rsidRPr="004E4188" w:rsidRDefault="00AB40E4" w:rsidP="00AB40E4">
            <w:pPr>
              <w:ind w:right="-72"/>
              <w:jc w:val="center"/>
              <w:rPr>
                <w:rFonts w:asciiTheme="majorHAnsi" w:hAnsiTheme="majorHAnsi" w:cstheme="majorHAnsi"/>
                <w:b/>
                <w:szCs w:val="24"/>
              </w:rPr>
            </w:pPr>
            <w:r w:rsidRPr="004E4188">
              <w:rPr>
                <w:rFonts w:ascii="Arial" w:hAnsi="Arial" w:cs="Arial"/>
                <w:b/>
                <w:color w:val="FFFFFF"/>
                <w:sz w:val="20"/>
              </w:rPr>
              <w:t>Conditions de conformité</w:t>
            </w:r>
          </w:p>
        </w:tc>
        <w:tc>
          <w:tcPr>
            <w:tcW w:w="173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6A23901" w14:textId="5277CE00" w:rsidR="00AB40E4" w:rsidRPr="004E4188" w:rsidRDefault="00AB40E4" w:rsidP="00AB40E4">
            <w:pPr>
              <w:ind w:right="-72"/>
              <w:jc w:val="center"/>
              <w:rPr>
                <w:rFonts w:asciiTheme="majorHAnsi" w:hAnsiTheme="majorHAnsi" w:cstheme="majorHAnsi"/>
                <w:b/>
                <w:szCs w:val="24"/>
              </w:rPr>
            </w:pPr>
            <w:r w:rsidRPr="004E4188">
              <w:rPr>
                <w:rFonts w:ascii="Arial" w:hAnsi="Arial" w:cs="Arial"/>
                <w:b/>
                <w:color w:val="FFFFFF"/>
                <w:sz w:val="20"/>
              </w:rPr>
              <w:t>Documentation</w:t>
            </w:r>
          </w:p>
        </w:tc>
      </w:tr>
      <w:tr w:rsidR="007049A5" w:rsidRPr="004E4188" w14:paraId="15E6A7C3" w14:textId="77777777" w:rsidTr="0075268B">
        <w:trPr>
          <w:trHeight w:val="300"/>
          <w:tblHeader/>
        </w:trPr>
        <w:tc>
          <w:tcPr>
            <w:tcW w:w="708" w:type="dxa"/>
            <w:vMerge w:val="restart"/>
            <w:shd w:val="clear" w:color="auto" w:fill="BFBFBF" w:themeFill="background1" w:themeFillShade="BF"/>
            <w:vAlign w:val="center"/>
          </w:tcPr>
          <w:p w14:paraId="52DBBD2E" w14:textId="77777777" w:rsidR="007049A5" w:rsidRPr="004E4188" w:rsidRDefault="007049A5" w:rsidP="006C6267">
            <w:pPr>
              <w:jc w:val="center"/>
              <w:rPr>
                <w:rFonts w:ascii="Arial" w:hAnsi="Arial" w:cs="Arial"/>
                <w:b/>
                <w:sz w:val="20"/>
              </w:rPr>
            </w:pPr>
            <w:r w:rsidRPr="004E4188">
              <w:rPr>
                <w:rFonts w:ascii="Arial" w:hAnsi="Arial" w:cs="Arial"/>
                <w:b/>
                <w:sz w:val="20"/>
              </w:rPr>
              <w:t>n</w:t>
            </w:r>
            <w:r w:rsidRPr="004E4188">
              <w:rPr>
                <w:rFonts w:ascii="Arial" w:hAnsi="Arial" w:cs="Arial"/>
                <w:b/>
                <w:sz w:val="20"/>
                <w:vertAlign w:val="superscript"/>
              </w:rPr>
              <w:t>o</w:t>
            </w:r>
          </w:p>
        </w:tc>
        <w:tc>
          <w:tcPr>
            <w:tcW w:w="1557" w:type="dxa"/>
            <w:vMerge w:val="restart"/>
            <w:shd w:val="clear" w:color="auto" w:fill="BFBFBF" w:themeFill="background1" w:themeFillShade="BF"/>
            <w:vAlign w:val="center"/>
          </w:tcPr>
          <w:p w14:paraId="52F55DE2" w14:textId="77777777" w:rsidR="007049A5" w:rsidRPr="004E4188" w:rsidRDefault="007049A5" w:rsidP="006C6267">
            <w:pPr>
              <w:jc w:val="center"/>
              <w:rPr>
                <w:rFonts w:ascii="Arial" w:hAnsi="Arial" w:cs="Arial"/>
                <w:b/>
                <w:sz w:val="20"/>
              </w:rPr>
            </w:pPr>
            <w:r w:rsidRPr="004E4188">
              <w:rPr>
                <w:rFonts w:ascii="Arial" w:hAnsi="Arial" w:cs="Arial"/>
                <w:b/>
                <w:sz w:val="20"/>
              </w:rPr>
              <w:t>Critère</w:t>
            </w:r>
          </w:p>
        </w:tc>
        <w:tc>
          <w:tcPr>
            <w:tcW w:w="3513" w:type="dxa"/>
            <w:vMerge w:val="restart"/>
            <w:shd w:val="clear" w:color="auto" w:fill="BFBFBF" w:themeFill="background1" w:themeFillShade="BF"/>
            <w:vAlign w:val="center"/>
          </w:tcPr>
          <w:p w14:paraId="2A1F8E94" w14:textId="77777777" w:rsidR="007049A5" w:rsidRPr="004E4188" w:rsidRDefault="007049A5" w:rsidP="006C6267">
            <w:pPr>
              <w:jc w:val="center"/>
              <w:rPr>
                <w:rFonts w:ascii="Arial" w:hAnsi="Arial" w:cs="Arial"/>
                <w:b/>
                <w:sz w:val="20"/>
              </w:rPr>
            </w:pPr>
            <w:r w:rsidRPr="004E4188">
              <w:rPr>
                <w:rFonts w:ascii="Arial" w:hAnsi="Arial" w:cs="Arial"/>
                <w:b/>
                <w:sz w:val="20"/>
              </w:rPr>
              <w:t>Spécification</w:t>
            </w:r>
          </w:p>
        </w:tc>
        <w:tc>
          <w:tcPr>
            <w:tcW w:w="1560" w:type="dxa"/>
            <w:vMerge w:val="restart"/>
            <w:shd w:val="clear" w:color="auto" w:fill="BFBFBF" w:themeFill="background1" w:themeFillShade="BF"/>
            <w:vAlign w:val="center"/>
          </w:tcPr>
          <w:p w14:paraId="17AD97B0" w14:textId="77777777" w:rsidR="007049A5" w:rsidRPr="004E4188" w:rsidRDefault="007049A5" w:rsidP="006C6267">
            <w:pPr>
              <w:jc w:val="center"/>
              <w:rPr>
                <w:rFonts w:ascii="Arial" w:hAnsi="Arial" w:cs="Arial"/>
                <w:b/>
                <w:sz w:val="20"/>
              </w:rPr>
            </w:pPr>
            <w:r w:rsidRPr="004E4188">
              <w:rPr>
                <w:rFonts w:ascii="Arial" w:hAnsi="Arial" w:cs="Arial"/>
                <w:b/>
                <w:sz w:val="20"/>
              </w:rPr>
              <w:t>Entreprise unique</w:t>
            </w:r>
          </w:p>
        </w:tc>
        <w:tc>
          <w:tcPr>
            <w:tcW w:w="4394" w:type="dxa"/>
            <w:gridSpan w:val="3"/>
            <w:tcBorders>
              <w:bottom w:val="single" w:sz="4" w:space="0" w:color="auto"/>
            </w:tcBorders>
            <w:shd w:val="clear" w:color="auto" w:fill="BFBFBF" w:themeFill="background1" w:themeFillShade="BF"/>
            <w:vAlign w:val="center"/>
          </w:tcPr>
          <w:p w14:paraId="34CEB3D3" w14:textId="77777777" w:rsidR="00B14608" w:rsidRPr="004E4188" w:rsidRDefault="007049A5" w:rsidP="006C6267">
            <w:pPr>
              <w:jc w:val="center"/>
              <w:rPr>
                <w:rFonts w:ascii="Arial" w:hAnsi="Arial" w:cs="Arial"/>
                <w:b/>
                <w:sz w:val="20"/>
              </w:rPr>
            </w:pPr>
            <w:r w:rsidRPr="004E4188">
              <w:rPr>
                <w:rFonts w:ascii="Arial" w:hAnsi="Arial" w:cs="Arial"/>
                <w:b/>
                <w:sz w:val="20"/>
              </w:rPr>
              <w:t>Groupement</w:t>
            </w:r>
          </w:p>
          <w:p w14:paraId="79A0FF32" w14:textId="4F5366B2" w:rsidR="007049A5" w:rsidRPr="004E4188" w:rsidRDefault="007049A5" w:rsidP="006C6267">
            <w:pPr>
              <w:jc w:val="center"/>
              <w:rPr>
                <w:rFonts w:ascii="Arial" w:hAnsi="Arial" w:cs="Arial"/>
                <w:b/>
                <w:sz w:val="20"/>
              </w:rPr>
            </w:pPr>
            <w:r w:rsidRPr="004E4188">
              <w:rPr>
                <w:rFonts w:ascii="Arial" w:hAnsi="Arial" w:cs="Arial"/>
                <w:b/>
                <w:sz w:val="20"/>
              </w:rPr>
              <w:t>(existant ou prévu)</w:t>
            </w:r>
          </w:p>
        </w:tc>
        <w:tc>
          <w:tcPr>
            <w:tcW w:w="1730" w:type="dxa"/>
            <w:vMerge w:val="restart"/>
            <w:shd w:val="clear" w:color="auto" w:fill="BFBFBF" w:themeFill="background1" w:themeFillShade="BF"/>
            <w:vAlign w:val="center"/>
          </w:tcPr>
          <w:p w14:paraId="306B0D36" w14:textId="77777777" w:rsidR="007049A5" w:rsidRPr="004E4188" w:rsidRDefault="007049A5" w:rsidP="006C6267">
            <w:pPr>
              <w:jc w:val="center"/>
              <w:rPr>
                <w:rFonts w:ascii="Arial" w:hAnsi="Arial" w:cs="Arial"/>
                <w:b/>
                <w:sz w:val="20"/>
              </w:rPr>
            </w:pPr>
            <w:r w:rsidRPr="004E4188">
              <w:rPr>
                <w:rFonts w:ascii="Arial" w:hAnsi="Arial" w:cs="Arial"/>
                <w:b/>
                <w:sz w:val="20"/>
              </w:rPr>
              <w:t>Spécifications de soumission</w:t>
            </w:r>
          </w:p>
        </w:tc>
      </w:tr>
      <w:tr w:rsidR="007049A5" w:rsidRPr="004E4188" w14:paraId="6500F1D7" w14:textId="77777777" w:rsidTr="0075268B">
        <w:trPr>
          <w:trHeight w:val="360"/>
          <w:tblHeader/>
        </w:trPr>
        <w:tc>
          <w:tcPr>
            <w:tcW w:w="708" w:type="dxa"/>
            <w:vMerge/>
            <w:shd w:val="clear" w:color="auto" w:fill="F3F3F3"/>
          </w:tcPr>
          <w:p w14:paraId="4CBEA0D5" w14:textId="77777777" w:rsidR="007049A5" w:rsidRPr="004E4188" w:rsidRDefault="007049A5" w:rsidP="006C6267">
            <w:pPr>
              <w:rPr>
                <w:rFonts w:ascii="Arial" w:hAnsi="Arial" w:cs="Arial"/>
                <w:sz w:val="18"/>
                <w:szCs w:val="18"/>
              </w:rPr>
            </w:pPr>
          </w:p>
        </w:tc>
        <w:tc>
          <w:tcPr>
            <w:tcW w:w="1557" w:type="dxa"/>
            <w:vMerge/>
            <w:shd w:val="clear" w:color="auto" w:fill="F3F3F3"/>
          </w:tcPr>
          <w:p w14:paraId="482CDFAC" w14:textId="77777777" w:rsidR="007049A5" w:rsidRPr="004E4188" w:rsidRDefault="007049A5" w:rsidP="006C6267">
            <w:pPr>
              <w:rPr>
                <w:rFonts w:ascii="Arial" w:hAnsi="Arial" w:cs="Arial"/>
                <w:sz w:val="18"/>
                <w:szCs w:val="18"/>
              </w:rPr>
            </w:pPr>
          </w:p>
        </w:tc>
        <w:tc>
          <w:tcPr>
            <w:tcW w:w="3513" w:type="dxa"/>
            <w:vMerge/>
            <w:shd w:val="clear" w:color="auto" w:fill="F3F3F3"/>
          </w:tcPr>
          <w:p w14:paraId="7C8DB095" w14:textId="77777777" w:rsidR="007049A5" w:rsidRPr="004E4188" w:rsidRDefault="007049A5" w:rsidP="006C6267">
            <w:pPr>
              <w:rPr>
                <w:rFonts w:ascii="Arial" w:hAnsi="Arial" w:cs="Arial"/>
                <w:sz w:val="18"/>
                <w:szCs w:val="18"/>
              </w:rPr>
            </w:pPr>
          </w:p>
        </w:tc>
        <w:tc>
          <w:tcPr>
            <w:tcW w:w="1560" w:type="dxa"/>
            <w:vMerge/>
            <w:shd w:val="clear" w:color="auto" w:fill="F3F3F3"/>
          </w:tcPr>
          <w:p w14:paraId="62BC41EF" w14:textId="77777777" w:rsidR="007049A5" w:rsidRPr="004E4188" w:rsidRDefault="007049A5" w:rsidP="006C6267">
            <w:pPr>
              <w:rPr>
                <w:rFonts w:ascii="Arial" w:hAnsi="Arial" w:cs="Arial"/>
                <w:sz w:val="18"/>
                <w:szCs w:val="18"/>
              </w:rPr>
            </w:pPr>
          </w:p>
        </w:tc>
        <w:tc>
          <w:tcPr>
            <w:tcW w:w="1464" w:type="dxa"/>
            <w:shd w:val="clear" w:color="auto" w:fill="BFBFBF" w:themeFill="background1" w:themeFillShade="BF"/>
            <w:vAlign w:val="center"/>
          </w:tcPr>
          <w:p w14:paraId="6B3A46C3" w14:textId="77777777" w:rsidR="007049A5" w:rsidRPr="004E4188" w:rsidRDefault="007049A5" w:rsidP="006C6267">
            <w:pPr>
              <w:jc w:val="center"/>
              <w:rPr>
                <w:rFonts w:ascii="Arial" w:hAnsi="Arial" w:cs="Arial"/>
                <w:b/>
                <w:sz w:val="20"/>
              </w:rPr>
            </w:pPr>
            <w:r w:rsidRPr="004E4188">
              <w:rPr>
                <w:rFonts w:ascii="Arial" w:hAnsi="Arial" w:cs="Arial"/>
                <w:b/>
                <w:sz w:val="20"/>
              </w:rPr>
              <w:t>Tous membres combinés</w:t>
            </w:r>
          </w:p>
        </w:tc>
        <w:tc>
          <w:tcPr>
            <w:tcW w:w="1465" w:type="dxa"/>
            <w:shd w:val="clear" w:color="auto" w:fill="BFBFBF" w:themeFill="background1" w:themeFillShade="BF"/>
            <w:vAlign w:val="center"/>
          </w:tcPr>
          <w:p w14:paraId="35B997FC" w14:textId="77777777" w:rsidR="007049A5" w:rsidRPr="004E4188" w:rsidRDefault="007049A5" w:rsidP="006C6267">
            <w:pPr>
              <w:jc w:val="center"/>
              <w:rPr>
                <w:rFonts w:ascii="Arial" w:hAnsi="Arial" w:cs="Arial"/>
                <w:b/>
                <w:sz w:val="20"/>
              </w:rPr>
            </w:pPr>
            <w:r w:rsidRPr="004E4188">
              <w:rPr>
                <w:rFonts w:ascii="Arial" w:hAnsi="Arial" w:cs="Arial"/>
                <w:b/>
                <w:sz w:val="20"/>
              </w:rPr>
              <w:t>Chaque membre</w:t>
            </w:r>
          </w:p>
        </w:tc>
        <w:tc>
          <w:tcPr>
            <w:tcW w:w="1465" w:type="dxa"/>
            <w:shd w:val="clear" w:color="auto" w:fill="BFBFBF" w:themeFill="background1" w:themeFillShade="BF"/>
            <w:vAlign w:val="center"/>
          </w:tcPr>
          <w:p w14:paraId="2C085CD0" w14:textId="77777777" w:rsidR="007049A5" w:rsidRPr="004E4188" w:rsidRDefault="007049A5" w:rsidP="006C6267">
            <w:pPr>
              <w:jc w:val="center"/>
              <w:rPr>
                <w:rFonts w:ascii="Arial" w:hAnsi="Arial" w:cs="Arial"/>
                <w:b/>
                <w:sz w:val="20"/>
              </w:rPr>
            </w:pPr>
            <w:r w:rsidRPr="004E4188">
              <w:rPr>
                <w:rFonts w:ascii="Arial" w:hAnsi="Arial" w:cs="Arial"/>
                <w:b/>
                <w:sz w:val="20"/>
              </w:rPr>
              <w:t>Un membre</w:t>
            </w:r>
          </w:p>
        </w:tc>
        <w:tc>
          <w:tcPr>
            <w:tcW w:w="1730" w:type="dxa"/>
            <w:vMerge/>
            <w:shd w:val="clear" w:color="auto" w:fill="F3F3F3"/>
          </w:tcPr>
          <w:p w14:paraId="57DD6F3A" w14:textId="77777777" w:rsidR="007049A5" w:rsidRPr="004E4188" w:rsidRDefault="007049A5" w:rsidP="006C6267">
            <w:pPr>
              <w:rPr>
                <w:rFonts w:ascii="Arial" w:hAnsi="Arial" w:cs="Arial"/>
                <w:sz w:val="18"/>
                <w:szCs w:val="18"/>
              </w:rPr>
            </w:pPr>
          </w:p>
        </w:tc>
      </w:tr>
      <w:tr w:rsidR="007049A5" w:rsidRPr="004E4188" w14:paraId="1EDC3225" w14:textId="77777777" w:rsidTr="0075268B">
        <w:tc>
          <w:tcPr>
            <w:tcW w:w="708" w:type="dxa"/>
          </w:tcPr>
          <w:p w14:paraId="704AA2EA" w14:textId="77777777" w:rsidR="007049A5" w:rsidRPr="004E4188" w:rsidRDefault="007049A5" w:rsidP="00032685">
            <w:pPr>
              <w:spacing w:before="60"/>
              <w:jc w:val="center"/>
              <w:rPr>
                <w:rFonts w:ascii="Arial" w:hAnsi="Arial" w:cs="Arial"/>
                <w:sz w:val="20"/>
              </w:rPr>
            </w:pPr>
            <w:r w:rsidRPr="004E4188">
              <w:rPr>
                <w:rFonts w:ascii="Arial" w:hAnsi="Arial" w:cs="Arial"/>
                <w:sz w:val="20"/>
              </w:rPr>
              <w:t>2.2.1</w:t>
            </w:r>
          </w:p>
        </w:tc>
        <w:tc>
          <w:tcPr>
            <w:tcW w:w="1557" w:type="dxa"/>
          </w:tcPr>
          <w:p w14:paraId="7A58D4BA" w14:textId="77777777" w:rsidR="007049A5" w:rsidRPr="004E4188" w:rsidRDefault="007049A5" w:rsidP="00032685">
            <w:pPr>
              <w:spacing w:before="60"/>
              <w:jc w:val="left"/>
              <w:rPr>
                <w:rFonts w:ascii="Arial" w:hAnsi="Arial" w:cs="Arial"/>
                <w:sz w:val="20"/>
              </w:rPr>
            </w:pPr>
            <w:r w:rsidRPr="004E4188">
              <w:rPr>
                <w:rFonts w:ascii="Arial" w:hAnsi="Arial" w:cs="Arial"/>
                <w:sz w:val="20"/>
              </w:rPr>
              <w:t>Antécédents de non-exécution de marchés</w:t>
            </w:r>
          </w:p>
        </w:tc>
        <w:tc>
          <w:tcPr>
            <w:tcW w:w="3513" w:type="dxa"/>
          </w:tcPr>
          <w:p w14:paraId="3CE5EF2A" w14:textId="6522EA89" w:rsidR="007049A5" w:rsidRPr="004E4188" w:rsidRDefault="007049A5" w:rsidP="00032685">
            <w:pPr>
              <w:spacing w:before="60" w:afterLines="50" w:after="120"/>
              <w:rPr>
                <w:rFonts w:ascii="Arial" w:hAnsi="Arial" w:cs="Arial"/>
                <w:sz w:val="20"/>
                <w:lang w:eastAsia="ja-JP"/>
              </w:rPr>
            </w:pPr>
            <w:r w:rsidRPr="004E4188">
              <w:rPr>
                <w:rFonts w:ascii="Arial" w:hAnsi="Arial" w:cs="Arial"/>
                <w:sz w:val="20"/>
              </w:rPr>
              <w:t>Pas de non-exécution d’un marché</w:t>
            </w:r>
            <w:r w:rsidRPr="004E4188">
              <w:rPr>
                <w:rFonts w:ascii="Arial" w:hAnsi="Arial" w:cs="Arial"/>
                <w:sz w:val="20"/>
                <w:vertAlign w:val="superscript"/>
              </w:rPr>
              <w:t>(i)</w:t>
            </w:r>
            <w:r w:rsidRPr="004E4188">
              <w:rPr>
                <w:rFonts w:ascii="Arial" w:hAnsi="Arial" w:cs="Arial"/>
                <w:sz w:val="20"/>
              </w:rPr>
              <w:t xml:space="preserve"> parce que l’entrepreneur a fait défaut depuis le 1</w:t>
            </w:r>
            <w:r w:rsidRPr="004E4188">
              <w:rPr>
                <w:rFonts w:ascii="Arial" w:hAnsi="Arial" w:cs="Arial"/>
                <w:sz w:val="20"/>
                <w:vertAlign w:val="superscript"/>
              </w:rPr>
              <w:t>er</w:t>
            </w:r>
            <w:r w:rsidRPr="004E4188">
              <w:rPr>
                <w:rFonts w:ascii="Arial" w:hAnsi="Arial" w:cs="Arial"/>
                <w:sz w:val="20"/>
              </w:rPr>
              <w:t xml:space="preserve"> janvier </w:t>
            </w:r>
            <w:r w:rsidRPr="004E4188">
              <w:rPr>
                <w:rFonts w:ascii="Arial" w:hAnsi="Arial" w:cs="Arial"/>
                <w:sz w:val="20"/>
                <w:lang w:eastAsia="ja-JP"/>
              </w:rPr>
              <w:t>[</w:t>
            </w:r>
            <w:r w:rsidRPr="004E4188">
              <w:rPr>
                <w:rFonts w:ascii="Arial" w:hAnsi="Arial" w:cs="Arial"/>
                <w:i/>
                <w:sz w:val="20"/>
                <w:lang w:eastAsia="ja-JP"/>
              </w:rPr>
              <w:t>indiquer l’année</w:t>
            </w:r>
            <w:r w:rsidRPr="004E4188">
              <w:rPr>
                <w:rFonts w:ascii="Arial" w:hAnsi="Arial" w:cs="Arial"/>
                <w:sz w:val="20"/>
                <w:lang w:eastAsia="ja-JP"/>
              </w:rPr>
              <w:t>]</w:t>
            </w:r>
            <w:r w:rsidRPr="004E4188">
              <w:rPr>
                <w:rFonts w:ascii="Arial" w:hAnsi="Arial" w:cs="Arial"/>
                <w:sz w:val="20"/>
                <w:vertAlign w:val="superscript"/>
                <w:lang w:eastAsia="ja-JP"/>
              </w:rPr>
              <w:t>1</w:t>
            </w:r>
            <w:r w:rsidRPr="004E4188">
              <w:rPr>
                <w:rFonts w:ascii="Arial" w:hAnsi="Arial" w:cs="Arial"/>
                <w:sz w:val="20"/>
                <w:lang w:eastAsia="ja-JP"/>
              </w:rPr>
              <w:t>.</w:t>
            </w:r>
          </w:p>
        </w:tc>
        <w:tc>
          <w:tcPr>
            <w:tcW w:w="1560" w:type="dxa"/>
          </w:tcPr>
          <w:p w14:paraId="5C14E104" w14:textId="77777777" w:rsidR="007049A5" w:rsidRPr="004E4188" w:rsidRDefault="007049A5" w:rsidP="00032685">
            <w:pPr>
              <w:spacing w:before="60"/>
              <w:jc w:val="center"/>
              <w:rPr>
                <w:rFonts w:ascii="Arial" w:hAnsi="Arial" w:cs="Arial"/>
                <w:sz w:val="20"/>
              </w:rPr>
            </w:pPr>
            <w:r w:rsidRPr="004E4188">
              <w:rPr>
                <w:rFonts w:ascii="Arial" w:hAnsi="Arial" w:cs="Arial"/>
                <w:sz w:val="20"/>
              </w:rPr>
              <w:t>Doit satisfaire au critère</w:t>
            </w:r>
          </w:p>
          <w:p w14:paraId="28095097" w14:textId="77777777" w:rsidR="007049A5" w:rsidRPr="004E4188" w:rsidRDefault="007049A5" w:rsidP="007E03C7">
            <w:pPr>
              <w:jc w:val="center"/>
              <w:rPr>
                <w:rFonts w:ascii="Arial" w:hAnsi="Arial" w:cs="Arial"/>
                <w:sz w:val="20"/>
              </w:rPr>
            </w:pPr>
            <w:r w:rsidRPr="004E4188">
              <w:rPr>
                <w:rFonts w:ascii="Arial" w:hAnsi="Arial" w:cs="Arial"/>
                <w:sz w:val="20"/>
                <w:vertAlign w:val="superscript"/>
              </w:rPr>
              <w:t>(ii)</w:t>
            </w:r>
          </w:p>
        </w:tc>
        <w:tc>
          <w:tcPr>
            <w:tcW w:w="1464" w:type="dxa"/>
          </w:tcPr>
          <w:p w14:paraId="0865672F" w14:textId="77777777" w:rsidR="007049A5" w:rsidRPr="004E4188" w:rsidRDefault="007049A5" w:rsidP="00032685">
            <w:pPr>
              <w:spacing w:before="60"/>
              <w:jc w:val="center"/>
              <w:rPr>
                <w:rFonts w:ascii="Arial" w:hAnsi="Arial" w:cs="Arial"/>
                <w:sz w:val="20"/>
              </w:rPr>
            </w:pPr>
            <w:r w:rsidRPr="004E4188">
              <w:rPr>
                <w:rFonts w:ascii="Arial" w:hAnsi="Arial" w:cs="Arial"/>
                <w:sz w:val="20"/>
              </w:rPr>
              <w:t>Sans objet</w:t>
            </w:r>
          </w:p>
        </w:tc>
        <w:tc>
          <w:tcPr>
            <w:tcW w:w="1465" w:type="dxa"/>
          </w:tcPr>
          <w:p w14:paraId="35341DA3" w14:textId="77777777" w:rsidR="007049A5" w:rsidRPr="004E4188" w:rsidRDefault="007049A5" w:rsidP="00032685">
            <w:pPr>
              <w:spacing w:before="60"/>
              <w:jc w:val="center"/>
              <w:rPr>
                <w:rFonts w:ascii="Arial" w:hAnsi="Arial" w:cs="Arial"/>
                <w:sz w:val="20"/>
              </w:rPr>
            </w:pPr>
            <w:r w:rsidRPr="004E4188">
              <w:rPr>
                <w:rFonts w:ascii="Arial" w:hAnsi="Arial" w:cs="Arial"/>
                <w:sz w:val="20"/>
              </w:rPr>
              <w:t>Doit satisfaire au critère</w:t>
            </w:r>
          </w:p>
          <w:p w14:paraId="2B61CC75" w14:textId="77777777" w:rsidR="007049A5" w:rsidRPr="004E4188" w:rsidRDefault="007049A5" w:rsidP="007E03C7">
            <w:pPr>
              <w:jc w:val="center"/>
              <w:rPr>
                <w:rFonts w:ascii="Arial" w:hAnsi="Arial" w:cs="Arial"/>
                <w:sz w:val="20"/>
              </w:rPr>
            </w:pPr>
            <w:r w:rsidRPr="004E4188">
              <w:rPr>
                <w:rFonts w:ascii="Arial" w:hAnsi="Arial" w:cs="Arial"/>
                <w:sz w:val="20"/>
                <w:vertAlign w:val="superscript"/>
              </w:rPr>
              <w:t>(ii)</w:t>
            </w:r>
          </w:p>
        </w:tc>
        <w:tc>
          <w:tcPr>
            <w:tcW w:w="1465" w:type="dxa"/>
          </w:tcPr>
          <w:p w14:paraId="61ED80F7" w14:textId="77777777" w:rsidR="007049A5" w:rsidRPr="004E4188" w:rsidRDefault="007049A5" w:rsidP="00032685">
            <w:pPr>
              <w:spacing w:before="60"/>
              <w:jc w:val="center"/>
              <w:rPr>
                <w:rFonts w:ascii="Arial" w:hAnsi="Arial" w:cs="Arial"/>
                <w:sz w:val="20"/>
              </w:rPr>
            </w:pPr>
            <w:r w:rsidRPr="004E4188">
              <w:rPr>
                <w:rFonts w:ascii="Arial" w:hAnsi="Arial" w:cs="Arial"/>
                <w:sz w:val="20"/>
              </w:rPr>
              <w:t>Sans objet</w:t>
            </w:r>
          </w:p>
        </w:tc>
        <w:tc>
          <w:tcPr>
            <w:tcW w:w="1730" w:type="dxa"/>
          </w:tcPr>
          <w:p w14:paraId="6F79631D" w14:textId="77777777" w:rsidR="007049A5" w:rsidRPr="004E4188" w:rsidRDefault="007049A5" w:rsidP="00032685">
            <w:pPr>
              <w:spacing w:before="60"/>
              <w:rPr>
                <w:rFonts w:ascii="Arial" w:hAnsi="Arial" w:cs="Arial"/>
                <w:sz w:val="20"/>
              </w:rPr>
            </w:pPr>
            <w:r w:rsidRPr="004E4188">
              <w:rPr>
                <w:rFonts w:ascii="Arial" w:hAnsi="Arial" w:cs="Arial"/>
                <w:sz w:val="20"/>
              </w:rPr>
              <w:t>Formulaire CON</w:t>
            </w:r>
          </w:p>
        </w:tc>
      </w:tr>
      <w:tr w:rsidR="007049A5" w:rsidRPr="004E4188" w14:paraId="5C2AB194" w14:textId="77777777" w:rsidTr="0075268B">
        <w:tc>
          <w:tcPr>
            <w:tcW w:w="708" w:type="dxa"/>
          </w:tcPr>
          <w:p w14:paraId="007C6A6B" w14:textId="77777777" w:rsidR="007049A5" w:rsidRPr="004E4188" w:rsidRDefault="007049A5" w:rsidP="007E03C7">
            <w:pPr>
              <w:spacing w:before="60"/>
              <w:jc w:val="center"/>
              <w:rPr>
                <w:rFonts w:ascii="Arial" w:hAnsi="Arial" w:cs="Arial"/>
                <w:sz w:val="20"/>
              </w:rPr>
            </w:pPr>
            <w:r w:rsidRPr="004E4188">
              <w:rPr>
                <w:rFonts w:ascii="Arial" w:hAnsi="Arial" w:cs="Arial"/>
                <w:sz w:val="20"/>
              </w:rPr>
              <w:t>2.2.2</w:t>
            </w:r>
          </w:p>
        </w:tc>
        <w:tc>
          <w:tcPr>
            <w:tcW w:w="1557" w:type="dxa"/>
          </w:tcPr>
          <w:p w14:paraId="400B4E75" w14:textId="77777777" w:rsidR="007049A5" w:rsidRPr="004E4188" w:rsidRDefault="007049A5" w:rsidP="007E03C7">
            <w:pPr>
              <w:spacing w:before="60"/>
              <w:jc w:val="left"/>
              <w:rPr>
                <w:rFonts w:ascii="Arial" w:hAnsi="Arial" w:cs="Arial"/>
                <w:sz w:val="20"/>
              </w:rPr>
            </w:pPr>
            <w:r w:rsidRPr="004E4188">
              <w:rPr>
                <w:rFonts w:ascii="Arial" w:hAnsi="Arial" w:cs="Arial"/>
                <w:sz w:val="20"/>
              </w:rPr>
              <w:t>Litiges en instance</w:t>
            </w:r>
          </w:p>
        </w:tc>
        <w:tc>
          <w:tcPr>
            <w:tcW w:w="3513" w:type="dxa"/>
          </w:tcPr>
          <w:p w14:paraId="0CCDB234" w14:textId="77777777" w:rsidR="007049A5" w:rsidRPr="004E4188" w:rsidRDefault="007049A5" w:rsidP="007E03C7">
            <w:pPr>
              <w:spacing w:before="60" w:afterLines="50" w:after="120"/>
              <w:rPr>
                <w:rFonts w:ascii="Arial" w:hAnsi="Arial" w:cs="Arial"/>
                <w:sz w:val="20"/>
              </w:rPr>
            </w:pPr>
            <w:r w:rsidRPr="004E4188">
              <w:rPr>
                <w:rFonts w:ascii="Arial" w:hAnsi="Arial" w:cs="Arial"/>
                <w:sz w:val="20"/>
              </w:rPr>
              <w:t>La position financière du Soumissionnaire et sa profitabilité à long terme continuent à remplir le critère stipulé à l'Article 2.3.1 ci-après, en admettant que tous les litiges en instances seront tranchés contre le Soumissionnaire.</w:t>
            </w:r>
          </w:p>
        </w:tc>
        <w:tc>
          <w:tcPr>
            <w:tcW w:w="1560" w:type="dxa"/>
          </w:tcPr>
          <w:p w14:paraId="4A3A2FB6" w14:textId="77777777" w:rsidR="007049A5" w:rsidRPr="004E4188" w:rsidRDefault="007049A5" w:rsidP="007E03C7">
            <w:pPr>
              <w:spacing w:before="60"/>
              <w:jc w:val="center"/>
              <w:rPr>
                <w:rFonts w:ascii="Arial" w:hAnsi="Arial" w:cs="Arial"/>
                <w:sz w:val="20"/>
              </w:rPr>
            </w:pPr>
            <w:r w:rsidRPr="004E4188">
              <w:rPr>
                <w:rFonts w:ascii="Arial" w:hAnsi="Arial" w:cs="Arial"/>
                <w:sz w:val="20"/>
              </w:rPr>
              <w:t>Doit satisfaire au critère</w:t>
            </w:r>
          </w:p>
          <w:p w14:paraId="35452326" w14:textId="77777777" w:rsidR="007049A5" w:rsidRPr="004E4188" w:rsidRDefault="007049A5" w:rsidP="007E03C7">
            <w:pPr>
              <w:jc w:val="center"/>
              <w:rPr>
                <w:rFonts w:ascii="Arial" w:hAnsi="Arial" w:cs="Arial"/>
                <w:sz w:val="20"/>
              </w:rPr>
            </w:pPr>
            <w:r w:rsidRPr="004E4188">
              <w:rPr>
                <w:rFonts w:ascii="Arial" w:hAnsi="Arial" w:cs="Arial"/>
                <w:sz w:val="20"/>
                <w:vertAlign w:val="superscript"/>
              </w:rPr>
              <w:t>(ii)</w:t>
            </w:r>
          </w:p>
        </w:tc>
        <w:tc>
          <w:tcPr>
            <w:tcW w:w="1464" w:type="dxa"/>
          </w:tcPr>
          <w:p w14:paraId="38622DF7" w14:textId="77777777" w:rsidR="007049A5" w:rsidRPr="004E4188" w:rsidRDefault="007049A5" w:rsidP="007E03C7">
            <w:pPr>
              <w:spacing w:before="60"/>
              <w:jc w:val="center"/>
              <w:rPr>
                <w:rFonts w:ascii="Arial" w:hAnsi="Arial" w:cs="Arial"/>
                <w:sz w:val="20"/>
              </w:rPr>
            </w:pPr>
            <w:r w:rsidRPr="004E4188">
              <w:rPr>
                <w:rFonts w:ascii="Arial" w:hAnsi="Arial" w:cs="Arial"/>
                <w:sz w:val="20"/>
              </w:rPr>
              <w:t>Sans objet</w:t>
            </w:r>
          </w:p>
        </w:tc>
        <w:tc>
          <w:tcPr>
            <w:tcW w:w="1465" w:type="dxa"/>
          </w:tcPr>
          <w:p w14:paraId="298A294F" w14:textId="77777777" w:rsidR="007049A5" w:rsidRPr="004E4188" w:rsidRDefault="007049A5" w:rsidP="007E03C7">
            <w:pPr>
              <w:spacing w:before="60"/>
              <w:jc w:val="center"/>
              <w:rPr>
                <w:rFonts w:ascii="Arial" w:hAnsi="Arial" w:cs="Arial"/>
                <w:sz w:val="20"/>
              </w:rPr>
            </w:pPr>
            <w:r w:rsidRPr="004E4188">
              <w:rPr>
                <w:rFonts w:ascii="Arial" w:hAnsi="Arial" w:cs="Arial"/>
                <w:sz w:val="20"/>
              </w:rPr>
              <w:t>Doit satisfaire au critère</w:t>
            </w:r>
          </w:p>
          <w:p w14:paraId="345F879A" w14:textId="77777777" w:rsidR="007049A5" w:rsidRPr="004E4188" w:rsidRDefault="007049A5" w:rsidP="007E03C7">
            <w:pPr>
              <w:jc w:val="center"/>
              <w:rPr>
                <w:rFonts w:ascii="Arial" w:hAnsi="Arial" w:cs="Arial"/>
                <w:sz w:val="20"/>
              </w:rPr>
            </w:pPr>
            <w:r w:rsidRPr="004E4188">
              <w:rPr>
                <w:rFonts w:ascii="Arial" w:hAnsi="Arial" w:cs="Arial"/>
                <w:sz w:val="20"/>
                <w:vertAlign w:val="superscript"/>
              </w:rPr>
              <w:t>(ii)</w:t>
            </w:r>
          </w:p>
        </w:tc>
        <w:tc>
          <w:tcPr>
            <w:tcW w:w="1465" w:type="dxa"/>
          </w:tcPr>
          <w:p w14:paraId="4FE1F8DC" w14:textId="77777777" w:rsidR="007049A5" w:rsidRPr="004E4188" w:rsidRDefault="007049A5" w:rsidP="007E03C7">
            <w:pPr>
              <w:spacing w:before="60"/>
              <w:jc w:val="center"/>
              <w:rPr>
                <w:rFonts w:ascii="Arial" w:hAnsi="Arial" w:cs="Arial"/>
                <w:sz w:val="20"/>
              </w:rPr>
            </w:pPr>
            <w:r w:rsidRPr="004E4188">
              <w:rPr>
                <w:rFonts w:ascii="Arial" w:hAnsi="Arial" w:cs="Arial"/>
                <w:sz w:val="20"/>
              </w:rPr>
              <w:t>Sans objet</w:t>
            </w:r>
          </w:p>
        </w:tc>
        <w:tc>
          <w:tcPr>
            <w:tcW w:w="1730" w:type="dxa"/>
          </w:tcPr>
          <w:p w14:paraId="2B14E890" w14:textId="77777777" w:rsidR="007049A5" w:rsidRPr="004E4188" w:rsidRDefault="007049A5" w:rsidP="007E03C7">
            <w:pPr>
              <w:spacing w:before="60"/>
              <w:rPr>
                <w:rFonts w:ascii="Arial" w:hAnsi="Arial" w:cs="Arial"/>
                <w:sz w:val="20"/>
              </w:rPr>
            </w:pPr>
            <w:r w:rsidRPr="004E4188">
              <w:rPr>
                <w:rFonts w:ascii="Arial" w:hAnsi="Arial" w:cs="Arial"/>
                <w:sz w:val="20"/>
              </w:rPr>
              <w:t>Formulaire CON</w:t>
            </w:r>
          </w:p>
        </w:tc>
      </w:tr>
      <w:tr w:rsidR="007049A5" w:rsidRPr="004E4188" w14:paraId="2A823E8B" w14:textId="77777777" w:rsidTr="0075268B">
        <w:tc>
          <w:tcPr>
            <w:tcW w:w="708" w:type="dxa"/>
          </w:tcPr>
          <w:p w14:paraId="6CEB6FBA" w14:textId="77777777" w:rsidR="007049A5" w:rsidRPr="004E4188" w:rsidRDefault="007049A5" w:rsidP="007E03C7">
            <w:pPr>
              <w:spacing w:before="60"/>
              <w:jc w:val="center"/>
              <w:rPr>
                <w:rFonts w:ascii="Arial" w:hAnsi="Arial" w:cs="Arial"/>
                <w:sz w:val="20"/>
              </w:rPr>
            </w:pPr>
            <w:r w:rsidRPr="004E4188">
              <w:rPr>
                <w:rFonts w:ascii="Arial" w:hAnsi="Arial" w:cs="Arial"/>
                <w:sz w:val="20"/>
              </w:rPr>
              <w:t>2.2.3</w:t>
            </w:r>
          </w:p>
        </w:tc>
        <w:tc>
          <w:tcPr>
            <w:tcW w:w="1557" w:type="dxa"/>
          </w:tcPr>
          <w:p w14:paraId="1F2A212B" w14:textId="77777777" w:rsidR="007049A5" w:rsidRPr="004E4188" w:rsidRDefault="007049A5" w:rsidP="007E03C7">
            <w:pPr>
              <w:spacing w:before="60"/>
              <w:jc w:val="left"/>
              <w:rPr>
                <w:rFonts w:ascii="Arial" w:hAnsi="Arial" w:cs="Arial"/>
                <w:sz w:val="20"/>
              </w:rPr>
            </w:pPr>
            <w:r w:rsidRPr="004E4188">
              <w:rPr>
                <w:rFonts w:ascii="Arial" w:hAnsi="Arial" w:cs="Arial"/>
                <w:sz w:val="20"/>
              </w:rPr>
              <w:t>Antécédents de litiges</w:t>
            </w:r>
          </w:p>
        </w:tc>
        <w:tc>
          <w:tcPr>
            <w:tcW w:w="3513" w:type="dxa"/>
          </w:tcPr>
          <w:p w14:paraId="2E4725FF" w14:textId="77777777" w:rsidR="007049A5" w:rsidRPr="004E4188" w:rsidRDefault="007049A5" w:rsidP="007E03C7">
            <w:pPr>
              <w:spacing w:before="60" w:afterLines="50" w:after="120"/>
              <w:rPr>
                <w:rFonts w:ascii="Arial" w:hAnsi="Arial" w:cs="Arial"/>
                <w:sz w:val="20"/>
              </w:rPr>
            </w:pPr>
            <w:r w:rsidRPr="004E4188">
              <w:rPr>
                <w:rFonts w:ascii="Arial" w:hAnsi="Arial" w:cs="Arial"/>
                <w:sz w:val="20"/>
              </w:rPr>
              <w:t>Pas d’antécédents continus d’ordonnance</w:t>
            </w:r>
            <w:r w:rsidRPr="004E4188" w:rsidDel="00541700">
              <w:rPr>
                <w:rFonts w:ascii="Arial" w:hAnsi="Arial" w:cs="Arial"/>
                <w:sz w:val="20"/>
              </w:rPr>
              <w:t xml:space="preserve"> </w:t>
            </w:r>
            <w:r w:rsidRPr="004E4188">
              <w:rPr>
                <w:rFonts w:ascii="Arial" w:hAnsi="Arial" w:cs="Arial"/>
                <w:sz w:val="20"/>
              </w:rPr>
              <w:t>judiciaires</w:t>
            </w:r>
            <w:r w:rsidRPr="004E4188">
              <w:rPr>
                <w:rFonts w:ascii="Arial" w:hAnsi="Arial" w:cs="Arial"/>
                <w:sz w:val="20"/>
                <w:vertAlign w:val="superscript"/>
              </w:rPr>
              <w:t>(iii)</w:t>
            </w:r>
            <w:r w:rsidRPr="004E4188">
              <w:rPr>
                <w:rFonts w:ascii="Arial" w:hAnsi="Arial" w:cs="Arial"/>
                <w:sz w:val="20"/>
              </w:rPr>
              <w:t xml:space="preserve"> rendues contre le Soumissionnaire</w:t>
            </w:r>
            <w:r w:rsidRPr="004E4188">
              <w:rPr>
                <w:rFonts w:ascii="Arial" w:hAnsi="Arial" w:cs="Arial"/>
                <w:sz w:val="20"/>
                <w:vertAlign w:val="superscript"/>
              </w:rPr>
              <w:t xml:space="preserve"> </w:t>
            </w:r>
            <w:r w:rsidRPr="004E4188">
              <w:rPr>
                <w:rFonts w:ascii="Arial" w:hAnsi="Arial" w:cs="Arial"/>
                <w:sz w:val="20"/>
              </w:rPr>
              <w:t>depuis le 1</w:t>
            </w:r>
            <w:r w:rsidRPr="004E4188">
              <w:rPr>
                <w:rFonts w:ascii="Arial" w:hAnsi="Arial" w:cs="Arial"/>
                <w:sz w:val="20"/>
                <w:vertAlign w:val="superscript"/>
              </w:rPr>
              <w:t>er</w:t>
            </w:r>
            <w:r w:rsidRPr="004E4188">
              <w:rPr>
                <w:rFonts w:ascii="Arial" w:hAnsi="Arial" w:cs="Arial"/>
                <w:sz w:val="20"/>
              </w:rPr>
              <w:t xml:space="preserve"> janvier </w:t>
            </w:r>
            <w:r w:rsidRPr="004E4188">
              <w:rPr>
                <w:rFonts w:ascii="Arial" w:hAnsi="Arial" w:cs="Arial"/>
                <w:spacing w:val="-2"/>
                <w:sz w:val="20"/>
                <w:lang w:eastAsia="ja-JP"/>
              </w:rPr>
              <w:t>[</w:t>
            </w:r>
            <w:r w:rsidRPr="004E4188">
              <w:rPr>
                <w:rFonts w:ascii="Arial" w:hAnsi="Arial" w:cs="Arial"/>
                <w:i/>
                <w:spacing w:val="-2"/>
                <w:sz w:val="20"/>
                <w:lang w:eastAsia="ja-JP"/>
              </w:rPr>
              <w:t>indiquer l’année</w:t>
            </w:r>
            <w:r w:rsidRPr="004E4188">
              <w:rPr>
                <w:rFonts w:ascii="Arial" w:hAnsi="Arial" w:cs="Arial"/>
                <w:spacing w:val="-2"/>
                <w:sz w:val="20"/>
                <w:lang w:eastAsia="ja-JP"/>
              </w:rPr>
              <w:t>]</w:t>
            </w:r>
            <w:r w:rsidRPr="004E4188">
              <w:rPr>
                <w:rFonts w:ascii="Arial" w:hAnsi="Arial" w:cs="Arial"/>
                <w:spacing w:val="-2"/>
                <w:sz w:val="20"/>
                <w:vertAlign w:val="superscript"/>
                <w:lang w:eastAsia="ja-JP"/>
              </w:rPr>
              <w:t xml:space="preserve"> 1</w:t>
            </w:r>
            <w:r w:rsidRPr="004E4188">
              <w:rPr>
                <w:rFonts w:ascii="Arial" w:hAnsi="Arial" w:cs="Arial"/>
                <w:spacing w:val="-2"/>
                <w:sz w:val="20"/>
                <w:lang w:eastAsia="ja-JP"/>
              </w:rPr>
              <w:t>.</w:t>
            </w:r>
          </w:p>
        </w:tc>
        <w:tc>
          <w:tcPr>
            <w:tcW w:w="1560" w:type="dxa"/>
          </w:tcPr>
          <w:p w14:paraId="7A896407" w14:textId="77777777" w:rsidR="007049A5" w:rsidRPr="004E4188" w:rsidRDefault="007049A5" w:rsidP="007E03C7">
            <w:pPr>
              <w:spacing w:before="60"/>
              <w:jc w:val="center"/>
              <w:rPr>
                <w:rFonts w:ascii="Arial" w:hAnsi="Arial" w:cs="Arial"/>
                <w:sz w:val="20"/>
              </w:rPr>
            </w:pPr>
            <w:r w:rsidRPr="004E4188">
              <w:rPr>
                <w:rFonts w:ascii="Arial" w:hAnsi="Arial" w:cs="Arial"/>
                <w:sz w:val="20"/>
              </w:rPr>
              <w:t>Doit satisfaire au critère</w:t>
            </w:r>
          </w:p>
          <w:p w14:paraId="03CF49D2" w14:textId="77777777" w:rsidR="007049A5" w:rsidRPr="004E4188" w:rsidRDefault="007049A5" w:rsidP="007E03C7">
            <w:pPr>
              <w:jc w:val="center"/>
              <w:rPr>
                <w:rFonts w:ascii="Arial" w:hAnsi="Arial" w:cs="Arial"/>
                <w:sz w:val="20"/>
              </w:rPr>
            </w:pPr>
            <w:r w:rsidRPr="004E4188">
              <w:rPr>
                <w:rFonts w:ascii="Arial" w:hAnsi="Arial" w:cs="Arial"/>
                <w:sz w:val="20"/>
                <w:vertAlign w:val="superscript"/>
              </w:rPr>
              <w:t>(ii)</w:t>
            </w:r>
          </w:p>
        </w:tc>
        <w:tc>
          <w:tcPr>
            <w:tcW w:w="1464" w:type="dxa"/>
          </w:tcPr>
          <w:p w14:paraId="424FB8B5" w14:textId="77777777" w:rsidR="007049A5" w:rsidRPr="004E4188" w:rsidRDefault="007049A5" w:rsidP="007E03C7">
            <w:pPr>
              <w:spacing w:before="60"/>
              <w:jc w:val="center"/>
              <w:rPr>
                <w:rFonts w:ascii="Arial" w:hAnsi="Arial" w:cs="Arial"/>
                <w:sz w:val="20"/>
              </w:rPr>
            </w:pPr>
            <w:r w:rsidRPr="004E4188">
              <w:rPr>
                <w:rFonts w:ascii="Arial" w:hAnsi="Arial" w:cs="Arial"/>
                <w:sz w:val="20"/>
              </w:rPr>
              <w:t>Sans objet</w:t>
            </w:r>
          </w:p>
        </w:tc>
        <w:tc>
          <w:tcPr>
            <w:tcW w:w="1465" w:type="dxa"/>
          </w:tcPr>
          <w:p w14:paraId="076DD32C" w14:textId="77777777" w:rsidR="007049A5" w:rsidRPr="004E4188" w:rsidRDefault="007049A5" w:rsidP="007E03C7">
            <w:pPr>
              <w:spacing w:before="60"/>
              <w:jc w:val="center"/>
              <w:rPr>
                <w:rFonts w:ascii="Arial" w:hAnsi="Arial" w:cs="Arial"/>
                <w:sz w:val="20"/>
              </w:rPr>
            </w:pPr>
            <w:r w:rsidRPr="004E4188">
              <w:rPr>
                <w:rFonts w:ascii="Arial" w:hAnsi="Arial" w:cs="Arial"/>
                <w:sz w:val="20"/>
              </w:rPr>
              <w:t>Doit satisfaire au critère</w:t>
            </w:r>
          </w:p>
          <w:p w14:paraId="1B4AE32D" w14:textId="77777777" w:rsidR="007049A5" w:rsidRPr="004E4188" w:rsidRDefault="007049A5" w:rsidP="007E03C7">
            <w:pPr>
              <w:jc w:val="center"/>
              <w:rPr>
                <w:rFonts w:ascii="Arial" w:hAnsi="Arial" w:cs="Arial"/>
                <w:sz w:val="20"/>
              </w:rPr>
            </w:pPr>
            <w:r w:rsidRPr="004E4188">
              <w:rPr>
                <w:rFonts w:ascii="Arial" w:hAnsi="Arial" w:cs="Arial"/>
                <w:sz w:val="20"/>
                <w:vertAlign w:val="superscript"/>
              </w:rPr>
              <w:t>(ii)</w:t>
            </w:r>
          </w:p>
        </w:tc>
        <w:tc>
          <w:tcPr>
            <w:tcW w:w="1465" w:type="dxa"/>
          </w:tcPr>
          <w:p w14:paraId="22FA04EC" w14:textId="77777777" w:rsidR="007049A5" w:rsidRPr="004E4188" w:rsidRDefault="007049A5" w:rsidP="007E03C7">
            <w:pPr>
              <w:spacing w:before="60"/>
              <w:jc w:val="center"/>
              <w:rPr>
                <w:rFonts w:ascii="Arial" w:hAnsi="Arial" w:cs="Arial"/>
                <w:sz w:val="20"/>
              </w:rPr>
            </w:pPr>
            <w:r w:rsidRPr="004E4188">
              <w:rPr>
                <w:rFonts w:ascii="Arial" w:hAnsi="Arial" w:cs="Arial"/>
                <w:sz w:val="20"/>
              </w:rPr>
              <w:t>Sans objet</w:t>
            </w:r>
          </w:p>
        </w:tc>
        <w:tc>
          <w:tcPr>
            <w:tcW w:w="1730" w:type="dxa"/>
          </w:tcPr>
          <w:p w14:paraId="6C9BA7D3" w14:textId="77777777" w:rsidR="007049A5" w:rsidRPr="004E4188" w:rsidRDefault="007049A5" w:rsidP="007E03C7">
            <w:pPr>
              <w:spacing w:before="60"/>
              <w:rPr>
                <w:rFonts w:ascii="Arial" w:hAnsi="Arial" w:cs="Arial"/>
                <w:sz w:val="20"/>
              </w:rPr>
            </w:pPr>
            <w:r w:rsidRPr="004E4188">
              <w:rPr>
                <w:rFonts w:ascii="Arial" w:hAnsi="Arial" w:cs="Arial"/>
                <w:sz w:val="20"/>
              </w:rPr>
              <w:t>Formulaire CON</w:t>
            </w:r>
          </w:p>
        </w:tc>
      </w:tr>
      <w:tr w:rsidR="007049A5" w:rsidRPr="004E4188" w14:paraId="6BA9337F" w14:textId="77777777" w:rsidTr="0075268B">
        <w:tc>
          <w:tcPr>
            <w:tcW w:w="13462" w:type="dxa"/>
            <w:gridSpan w:val="8"/>
          </w:tcPr>
          <w:p w14:paraId="61A61BC2" w14:textId="77777777" w:rsidR="007049A5" w:rsidRPr="004E4188" w:rsidRDefault="007049A5" w:rsidP="006C6267">
            <w:pPr>
              <w:spacing w:afterLines="50" w:after="120"/>
              <w:rPr>
                <w:rFonts w:ascii="Arial" w:hAnsi="Arial" w:cs="Arial"/>
                <w:sz w:val="20"/>
                <w:u w:val="single"/>
                <w:lang w:eastAsia="ja-JP"/>
              </w:rPr>
            </w:pPr>
            <w:r w:rsidRPr="004E4188">
              <w:rPr>
                <w:rFonts w:ascii="Arial" w:hAnsi="Arial" w:cs="Arial"/>
                <w:sz w:val="20"/>
                <w:u w:val="single"/>
                <w:lang w:eastAsia="ja-JP"/>
              </w:rPr>
              <w:t>Notes à l’intention des Soumissionnaires</w:t>
            </w:r>
          </w:p>
          <w:p w14:paraId="3C83C355" w14:textId="77777777" w:rsidR="007049A5" w:rsidRPr="004E4188" w:rsidRDefault="007049A5" w:rsidP="006C6267">
            <w:pPr>
              <w:spacing w:afterLines="50" w:after="120"/>
              <w:ind w:left="340" w:hanging="340"/>
              <w:rPr>
                <w:rFonts w:ascii="Arial" w:hAnsi="Arial" w:cs="Arial"/>
                <w:sz w:val="20"/>
              </w:rPr>
            </w:pPr>
            <w:r w:rsidRPr="004E4188">
              <w:rPr>
                <w:rFonts w:ascii="Arial" w:hAnsi="Arial" w:cs="Arial"/>
                <w:sz w:val="20"/>
                <w:lang w:eastAsia="ja-JP"/>
              </w:rPr>
              <w:t>(i)</w:t>
            </w:r>
            <w:r w:rsidRPr="004E4188">
              <w:rPr>
                <w:rFonts w:ascii="Arial" w:hAnsi="Arial" w:cs="Arial"/>
                <w:sz w:val="20"/>
                <w:lang w:eastAsia="ja-JP"/>
              </w:rPr>
              <w:tab/>
              <w:t>L</w:t>
            </w:r>
            <w:r w:rsidRPr="004E4188">
              <w:rPr>
                <w:rFonts w:ascii="Arial" w:hAnsi="Arial" w:cs="Arial"/>
                <w:sz w:val="20"/>
              </w:rPr>
              <w:t>a non-exécution, telle que décidée par le Maître d’ouvrage, comprendra tous les marchés :</w:t>
            </w:r>
          </w:p>
          <w:p w14:paraId="25E97643" w14:textId="77777777" w:rsidR="007049A5" w:rsidRPr="004E4188" w:rsidRDefault="007049A5" w:rsidP="006C6267">
            <w:pPr>
              <w:tabs>
                <w:tab w:val="left" w:pos="1026"/>
              </w:tabs>
              <w:spacing w:afterLines="50" w:after="120"/>
              <w:ind w:left="680" w:hanging="340"/>
              <w:rPr>
                <w:rFonts w:ascii="Arial" w:hAnsi="Arial" w:cs="Arial"/>
                <w:sz w:val="20"/>
              </w:rPr>
            </w:pPr>
            <w:r w:rsidRPr="004E4188">
              <w:rPr>
                <w:rFonts w:ascii="Arial" w:hAnsi="Arial" w:cs="Arial"/>
                <w:sz w:val="20"/>
              </w:rPr>
              <w:t>(a)</w:t>
            </w:r>
            <w:r w:rsidRPr="004E4188">
              <w:rPr>
                <w:rFonts w:ascii="Arial" w:hAnsi="Arial" w:cs="Arial"/>
                <w:sz w:val="20"/>
              </w:rPr>
              <w:tab/>
              <w:t>dont la non-exécution n’a pas été contestée par l’entrepreneur, y compris par renvoi au mécanisme de résolution des litiges prescrit dans le marché concerné, et</w:t>
            </w:r>
          </w:p>
          <w:p w14:paraId="086AAEC7" w14:textId="77777777" w:rsidR="007049A5" w:rsidRPr="004E4188" w:rsidRDefault="007049A5" w:rsidP="006C6267">
            <w:pPr>
              <w:tabs>
                <w:tab w:val="left" w:pos="1026"/>
              </w:tabs>
              <w:spacing w:afterLines="50" w:after="120"/>
              <w:ind w:left="680" w:hanging="340"/>
              <w:rPr>
                <w:rFonts w:ascii="Arial" w:hAnsi="Arial" w:cs="Arial"/>
                <w:sz w:val="20"/>
              </w:rPr>
            </w:pPr>
            <w:r w:rsidRPr="004E4188">
              <w:rPr>
                <w:rFonts w:ascii="Arial" w:hAnsi="Arial" w:cs="Arial"/>
                <w:sz w:val="20"/>
              </w:rPr>
              <w:t>(b)</w:t>
            </w:r>
            <w:r w:rsidRPr="004E4188">
              <w:rPr>
                <w:rFonts w:ascii="Arial" w:hAnsi="Arial" w:cs="Arial"/>
                <w:sz w:val="20"/>
              </w:rPr>
              <w:tab/>
              <w:t xml:space="preserve">dont la non-exécution a été contestée par l’entrepreneur, mais où le litige a été résolu contre l’entrepreneur. </w:t>
            </w:r>
          </w:p>
          <w:p w14:paraId="7FBFB1E0" w14:textId="77777777" w:rsidR="007049A5" w:rsidRPr="004E4188" w:rsidRDefault="007049A5" w:rsidP="006C6267">
            <w:pPr>
              <w:tabs>
                <w:tab w:val="left" w:pos="601"/>
              </w:tabs>
              <w:spacing w:afterLines="50" w:after="120"/>
              <w:ind w:left="340" w:firstLineChars="3" w:firstLine="6"/>
              <w:rPr>
                <w:rFonts w:ascii="Arial" w:hAnsi="Arial" w:cs="Arial"/>
                <w:sz w:val="20"/>
              </w:rPr>
            </w:pPr>
            <w:r w:rsidRPr="004E4188">
              <w:rPr>
                <w:rFonts w:ascii="Arial" w:hAnsi="Arial" w:cs="Arial"/>
                <w:sz w:val="20"/>
              </w:rPr>
              <w:t>La non-exécution ne doit pas inclure les marchés pour lesquels la décision du maître d’ouvrage a été annulée par le mécanisme de résolution des litiges. La décision de non-exécution doit être basée sur toutes les informations sur les disputes ou litiges complètement réglés, c.-à-d. les disputes ou litiges qui ont été résolus conformément au mécanisme de résolution des litiges prescrit dans le marché concerné et lorsque tous les recours en instance à la disposition du Soumissionnaire ont été épuisés.</w:t>
            </w:r>
          </w:p>
          <w:p w14:paraId="7817D74E" w14:textId="77777777" w:rsidR="007049A5" w:rsidRPr="004E4188" w:rsidRDefault="007049A5" w:rsidP="006C6267">
            <w:pPr>
              <w:spacing w:afterLines="50" w:after="120"/>
              <w:ind w:left="340" w:hanging="340"/>
              <w:rPr>
                <w:rFonts w:ascii="Arial" w:hAnsi="Arial" w:cs="Arial"/>
                <w:sz w:val="20"/>
              </w:rPr>
            </w:pPr>
            <w:r w:rsidRPr="004E4188">
              <w:rPr>
                <w:rFonts w:ascii="Arial" w:hAnsi="Arial" w:cs="Arial"/>
                <w:sz w:val="20"/>
              </w:rPr>
              <w:t>(ii)</w:t>
            </w:r>
            <w:r w:rsidRPr="004E4188">
              <w:rPr>
                <w:rFonts w:ascii="Arial" w:hAnsi="Arial" w:cs="Arial"/>
                <w:sz w:val="20"/>
              </w:rPr>
              <w:tab/>
              <w:t>Ce critère s’applique également aux marchés exécutés par le Soumissionnaire en tant que Groupement.</w:t>
            </w:r>
          </w:p>
          <w:p w14:paraId="45ABD222" w14:textId="48485F3E" w:rsidR="007049A5" w:rsidRPr="004E4188" w:rsidRDefault="007049A5" w:rsidP="006C6267">
            <w:pPr>
              <w:spacing w:afterLines="50" w:after="120"/>
              <w:ind w:left="340" w:hanging="340"/>
              <w:rPr>
                <w:rFonts w:ascii="Arial" w:hAnsi="Arial" w:cs="Arial"/>
                <w:sz w:val="20"/>
              </w:rPr>
            </w:pPr>
            <w:r w:rsidRPr="004E4188">
              <w:rPr>
                <w:rFonts w:ascii="Arial" w:hAnsi="Arial" w:cs="Arial"/>
                <w:sz w:val="20"/>
              </w:rPr>
              <w:t>(iii)</w:t>
            </w:r>
            <w:r w:rsidRPr="004E4188">
              <w:rPr>
                <w:rFonts w:ascii="Arial" w:hAnsi="Arial" w:cs="Arial"/>
                <w:sz w:val="20"/>
              </w:rPr>
              <w:tab/>
              <w:t>Le Soumissionnaire doit fournir des informations exactes dans le formulaire de soumission concerné</w:t>
            </w:r>
            <w:r w:rsidRPr="004E4188" w:rsidDel="008C6443">
              <w:rPr>
                <w:rFonts w:ascii="Arial" w:hAnsi="Arial" w:cs="Arial"/>
                <w:sz w:val="20"/>
              </w:rPr>
              <w:t xml:space="preserve"> </w:t>
            </w:r>
            <w:r w:rsidRPr="004E4188">
              <w:rPr>
                <w:rFonts w:ascii="Arial" w:hAnsi="Arial" w:cs="Arial"/>
                <w:sz w:val="20"/>
              </w:rPr>
              <w:t>sur tout litige lié à des marchés</w:t>
            </w:r>
            <w:r w:rsidRPr="004E4188">
              <w:rPr>
                <w:rFonts w:ascii="Arial" w:hAnsi="Arial" w:cs="Arial"/>
                <w:sz w:val="20"/>
                <w:lang w:eastAsia="ja-JP"/>
              </w:rPr>
              <w:t xml:space="preserve"> complétés ou en cours de réalisation pour les cinq (5) dernières années. Des antécédents continus d’ordonnances judiciaires rendues contre le Soumissionnaire ou tout membre du Groupement pourront entraîner le rejet de l’offre.</w:t>
            </w:r>
          </w:p>
        </w:tc>
      </w:tr>
      <w:tr w:rsidR="007049A5" w:rsidRPr="004E4188" w14:paraId="115618C8" w14:textId="77777777" w:rsidTr="0075268B">
        <w:tc>
          <w:tcPr>
            <w:tcW w:w="13462" w:type="dxa"/>
            <w:gridSpan w:val="8"/>
          </w:tcPr>
          <w:p w14:paraId="55298479" w14:textId="77777777" w:rsidR="007049A5" w:rsidRPr="004E4188" w:rsidRDefault="007049A5" w:rsidP="006C6267">
            <w:pPr>
              <w:spacing w:afterLines="50" w:after="120"/>
              <w:rPr>
                <w:rFonts w:ascii="Arial" w:hAnsi="Arial" w:cs="Arial"/>
                <w:i/>
                <w:sz w:val="20"/>
                <w:u w:val="single"/>
                <w:lang w:eastAsia="ja-JP"/>
              </w:rPr>
            </w:pPr>
            <w:r w:rsidRPr="004E4188">
              <w:rPr>
                <w:rFonts w:ascii="Arial" w:hAnsi="Arial" w:cs="Arial"/>
                <w:i/>
                <w:sz w:val="20"/>
                <w:u w:val="single"/>
                <w:lang w:eastAsia="ja-JP"/>
              </w:rPr>
              <w:t>Notes à l’intention du Maître d’ouvrage</w:t>
            </w:r>
          </w:p>
          <w:p w14:paraId="34CC012E" w14:textId="652E9037" w:rsidR="007049A5" w:rsidRPr="004E4188" w:rsidRDefault="007049A5" w:rsidP="00FC7041">
            <w:pPr>
              <w:tabs>
                <w:tab w:val="left" w:pos="340"/>
              </w:tabs>
              <w:spacing w:afterLines="50" w:after="120"/>
              <w:ind w:left="340" w:hanging="340"/>
              <w:rPr>
                <w:rFonts w:ascii="Arial" w:hAnsi="Arial" w:cs="Arial"/>
                <w:i/>
                <w:sz w:val="20"/>
                <w:lang w:eastAsia="ja-JP"/>
              </w:rPr>
            </w:pPr>
            <w:r w:rsidRPr="004E4188">
              <w:rPr>
                <w:rFonts w:ascii="Arial" w:hAnsi="Arial" w:cs="Arial"/>
                <w:i/>
                <w:sz w:val="20"/>
                <w:lang w:eastAsia="ja-JP"/>
              </w:rPr>
              <w:t>1.</w:t>
            </w:r>
            <w:r w:rsidRPr="004E4188">
              <w:rPr>
                <w:rFonts w:ascii="Arial" w:hAnsi="Arial" w:cs="Arial"/>
                <w:i/>
                <w:sz w:val="20"/>
                <w:lang w:eastAsia="ja-JP"/>
              </w:rPr>
              <w:tab/>
              <w:t xml:space="preserve">L’année devra normalement correspondre à cinq (5) ans avant la date limite de </w:t>
            </w:r>
            <w:r w:rsidR="00FC7041" w:rsidRPr="004E4188">
              <w:rPr>
                <w:rFonts w:ascii="Arial" w:hAnsi="Arial" w:cs="Arial"/>
                <w:i/>
                <w:sz w:val="20"/>
                <w:lang w:eastAsia="ja-JP"/>
              </w:rPr>
              <w:t xml:space="preserve">remise </w:t>
            </w:r>
            <w:r w:rsidRPr="004E4188">
              <w:rPr>
                <w:rFonts w:ascii="Arial" w:hAnsi="Arial" w:cs="Arial"/>
                <w:i/>
                <w:sz w:val="20"/>
                <w:lang w:eastAsia="ja-JP"/>
              </w:rPr>
              <w:t>des offres.</w:t>
            </w:r>
          </w:p>
        </w:tc>
      </w:tr>
    </w:tbl>
    <w:p w14:paraId="2F0166AE" w14:textId="77777777" w:rsidR="007049A5" w:rsidRPr="004E4188" w:rsidRDefault="007049A5" w:rsidP="004651FB">
      <w:pPr>
        <w:ind w:right="-72"/>
        <w:rPr>
          <w:b/>
          <w:lang w:eastAsia="ja-JP"/>
        </w:rPr>
      </w:pPr>
      <w:r w:rsidRPr="004E4188">
        <w:rPr>
          <w:szCs w:val="24"/>
          <w:lang w:eastAsia="ja-JP"/>
        </w:rPr>
        <w:br w:type="page"/>
      </w:r>
    </w:p>
    <w:p w14:paraId="63CCF9A0" w14:textId="77777777" w:rsidR="007049A5" w:rsidRPr="004E4188" w:rsidRDefault="007049A5" w:rsidP="003D46CF">
      <w:pPr>
        <w:pStyle w:val="ListParagraph1"/>
        <w:numPr>
          <w:ilvl w:val="1"/>
          <w:numId w:val="37"/>
        </w:numPr>
        <w:snapToGrid w:val="0"/>
        <w:spacing w:after="240"/>
        <w:ind w:left="0" w:firstLine="0"/>
        <w:contextualSpacing w:val="0"/>
        <w:jc w:val="left"/>
        <w:rPr>
          <w:b/>
          <w:sz w:val="28"/>
          <w:szCs w:val="28"/>
          <w:lang w:val="fr-FR"/>
        </w:rPr>
      </w:pPr>
      <w:r w:rsidRPr="004E4188">
        <w:rPr>
          <w:b/>
          <w:sz w:val="28"/>
          <w:szCs w:val="28"/>
        </w:rPr>
        <w:t>Situation</w:t>
      </w:r>
      <w:r w:rsidRPr="004E4188">
        <w:rPr>
          <w:b/>
          <w:sz w:val="28"/>
          <w:szCs w:val="28"/>
          <w:lang w:val="fr-FR" w:eastAsia="ja-JP"/>
        </w:rPr>
        <w:t xml:space="preserve"> </w:t>
      </w:r>
      <w:r w:rsidRPr="004E4188">
        <w:rPr>
          <w:b/>
          <w:sz w:val="28"/>
          <w:szCs w:val="28"/>
          <w:lang w:val="fr-FR"/>
        </w:rPr>
        <w:t>et capacités financières</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557"/>
        <w:gridCol w:w="3513"/>
        <w:gridCol w:w="1560"/>
        <w:gridCol w:w="1453"/>
        <w:gridCol w:w="1453"/>
        <w:gridCol w:w="1453"/>
        <w:gridCol w:w="1765"/>
      </w:tblGrid>
      <w:tr w:rsidR="00B14608" w:rsidRPr="004E4188" w14:paraId="35DF834D" w14:textId="77777777" w:rsidTr="0075268B">
        <w:trPr>
          <w:tblHeader/>
        </w:trPr>
        <w:tc>
          <w:tcPr>
            <w:tcW w:w="5778" w:type="dxa"/>
            <w:gridSpan w:val="3"/>
            <w:tcBorders>
              <w:bottom w:val="single" w:sz="4" w:space="0" w:color="auto"/>
            </w:tcBorders>
            <w:shd w:val="clear" w:color="auto" w:fill="000000" w:themeFill="text1"/>
            <w:vAlign w:val="center"/>
          </w:tcPr>
          <w:p w14:paraId="499155DA" w14:textId="5926B66E" w:rsidR="00B14608" w:rsidRPr="004E4188" w:rsidRDefault="00B14608" w:rsidP="00B14608">
            <w:pPr>
              <w:jc w:val="center"/>
              <w:rPr>
                <w:rFonts w:ascii="Arial" w:hAnsi="Arial" w:cs="Arial"/>
                <w:b/>
              </w:rPr>
            </w:pPr>
            <w:r w:rsidRPr="004E4188">
              <w:rPr>
                <w:rFonts w:ascii="Arial" w:hAnsi="Arial" w:cs="Arial"/>
                <w:b/>
                <w:color w:val="FFFFFF"/>
                <w:sz w:val="20"/>
              </w:rPr>
              <w:t>Critères d’éligibilité et de qualification</w:t>
            </w:r>
          </w:p>
        </w:tc>
        <w:tc>
          <w:tcPr>
            <w:tcW w:w="5919" w:type="dxa"/>
            <w:gridSpan w:val="4"/>
            <w:tcBorders>
              <w:bottom w:val="single" w:sz="4" w:space="0" w:color="auto"/>
            </w:tcBorders>
            <w:shd w:val="clear" w:color="auto" w:fill="000000" w:themeFill="text1"/>
            <w:vAlign w:val="center"/>
          </w:tcPr>
          <w:p w14:paraId="67976728" w14:textId="3D319166" w:rsidR="00B14608" w:rsidRPr="004E4188" w:rsidRDefault="00B14608" w:rsidP="00B14608">
            <w:pPr>
              <w:jc w:val="center"/>
              <w:rPr>
                <w:rFonts w:ascii="Arial" w:hAnsi="Arial" w:cs="Arial"/>
                <w:b/>
              </w:rPr>
            </w:pPr>
            <w:r w:rsidRPr="004E4188">
              <w:rPr>
                <w:rFonts w:ascii="Arial" w:hAnsi="Arial" w:cs="Arial"/>
                <w:b/>
                <w:color w:val="FFFFFF"/>
                <w:sz w:val="20"/>
              </w:rPr>
              <w:t>Conditions de conformité</w:t>
            </w:r>
          </w:p>
        </w:tc>
        <w:tc>
          <w:tcPr>
            <w:tcW w:w="1765" w:type="dxa"/>
            <w:tcBorders>
              <w:bottom w:val="single" w:sz="4" w:space="0" w:color="auto"/>
            </w:tcBorders>
            <w:shd w:val="clear" w:color="auto" w:fill="000000" w:themeFill="text1"/>
            <w:vAlign w:val="center"/>
          </w:tcPr>
          <w:p w14:paraId="365D5701" w14:textId="31A3BE10" w:rsidR="00B14608" w:rsidRPr="004E4188" w:rsidRDefault="00B14608" w:rsidP="00B14608">
            <w:pPr>
              <w:jc w:val="center"/>
              <w:rPr>
                <w:rFonts w:ascii="Arial" w:hAnsi="Arial" w:cs="Arial"/>
                <w:b/>
              </w:rPr>
            </w:pPr>
            <w:r w:rsidRPr="004E4188">
              <w:rPr>
                <w:rFonts w:ascii="Arial" w:hAnsi="Arial" w:cs="Arial"/>
                <w:b/>
                <w:color w:val="FFFFFF"/>
                <w:sz w:val="20"/>
              </w:rPr>
              <w:t>Documentation</w:t>
            </w:r>
          </w:p>
        </w:tc>
      </w:tr>
      <w:tr w:rsidR="007049A5" w:rsidRPr="004E4188" w14:paraId="2BA47A5A" w14:textId="77777777" w:rsidTr="0075268B">
        <w:trPr>
          <w:trHeight w:val="300"/>
          <w:tblHeader/>
        </w:trPr>
        <w:tc>
          <w:tcPr>
            <w:tcW w:w="708" w:type="dxa"/>
            <w:vMerge w:val="restart"/>
            <w:shd w:val="clear" w:color="auto" w:fill="BFBFBF" w:themeFill="background1" w:themeFillShade="BF"/>
            <w:vAlign w:val="center"/>
          </w:tcPr>
          <w:p w14:paraId="5ABCF4D1" w14:textId="77777777" w:rsidR="007049A5" w:rsidRPr="004E4188" w:rsidRDefault="007049A5" w:rsidP="006C6267">
            <w:pPr>
              <w:jc w:val="center"/>
              <w:rPr>
                <w:rFonts w:ascii="Arial" w:hAnsi="Arial" w:cs="Arial"/>
                <w:b/>
                <w:sz w:val="20"/>
              </w:rPr>
            </w:pPr>
            <w:r w:rsidRPr="004E4188">
              <w:rPr>
                <w:rFonts w:ascii="Arial" w:hAnsi="Arial" w:cs="Arial"/>
                <w:b/>
                <w:sz w:val="20"/>
              </w:rPr>
              <w:t>n</w:t>
            </w:r>
            <w:r w:rsidRPr="004E4188">
              <w:rPr>
                <w:rFonts w:ascii="Arial" w:hAnsi="Arial" w:cs="Arial"/>
                <w:b/>
                <w:sz w:val="20"/>
                <w:vertAlign w:val="superscript"/>
              </w:rPr>
              <w:t>o</w:t>
            </w:r>
          </w:p>
        </w:tc>
        <w:tc>
          <w:tcPr>
            <w:tcW w:w="1557" w:type="dxa"/>
            <w:vMerge w:val="restart"/>
            <w:shd w:val="clear" w:color="auto" w:fill="BFBFBF" w:themeFill="background1" w:themeFillShade="BF"/>
            <w:vAlign w:val="center"/>
          </w:tcPr>
          <w:p w14:paraId="1E08D995" w14:textId="77777777" w:rsidR="007049A5" w:rsidRPr="004E4188" w:rsidRDefault="007049A5" w:rsidP="006C6267">
            <w:pPr>
              <w:jc w:val="center"/>
              <w:rPr>
                <w:rFonts w:ascii="Arial" w:hAnsi="Arial" w:cs="Arial"/>
                <w:b/>
                <w:sz w:val="20"/>
              </w:rPr>
            </w:pPr>
            <w:r w:rsidRPr="004E4188">
              <w:rPr>
                <w:rFonts w:ascii="Arial" w:hAnsi="Arial" w:cs="Arial"/>
                <w:b/>
                <w:sz w:val="20"/>
              </w:rPr>
              <w:t>Critère</w:t>
            </w:r>
          </w:p>
        </w:tc>
        <w:tc>
          <w:tcPr>
            <w:tcW w:w="3513" w:type="dxa"/>
            <w:vMerge w:val="restart"/>
            <w:shd w:val="clear" w:color="auto" w:fill="BFBFBF" w:themeFill="background1" w:themeFillShade="BF"/>
            <w:vAlign w:val="center"/>
          </w:tcPr>
          <w:p w14:paraId="548FF2EF" w14:textId="77777777" w:rsidR="007049A5" w:rsidRPr="004E4188" w:rsidRDefault="007049A5" w:rsidP="006C6267">
            <w:pPr>
              <w:jc w:val="center"/>
              <w:rPr>
                <w:rFonts w:ascii="Arial" w:hAnsi="Arial" w:cs="Arial"/>
                <w:b/>
                <w:sz w:val="20"/>
              </w:rPr>
            </w:pPr>
            <w:r w:rsidRPr="004E4188">
              <w:rPr>
                <w:rFonts w:ascii="Arial" w:hAnsi="Arial" w:cs="Arial"/>
                <w:b/>
                <w:sz w:val="20"/>
              </w:rPr>
              <w:t>Spécification</w:t>
            </w:r>
          </w:p>
        </w:tc>
        <w:tc>
          <w:tcPr>
            <w:tcW w:w="1560" w:type="dxa"/>
            <w:vMerge w:val="restart"/>
            <w:shd w:val="clear" w:color="auto" w:fill="BFBFBF" w:themeFill="background1" w:themeFillShade="BF"/>
            <w:vAlign w:val="center"/>
          </w:tcPr>
          <w:p w14:paraId="31679171" w14:textId="77777777" w:rsidR="007049A5" w:rsidRPr="004E4188" w:rsidRDefault="007049A5" w:rsidP="006C6267">
            <w:pPr>
              <w:jc w:val="center"/>
              <w:rPr>
                <w:rFonts w:ascii="Arial" w:hAnsi="Arial" w:cs="Arial"/>
                <w:b/>
                <w:sz w:val="20"/>
              </w:rPr>
            </w:pPr>
            <w:r w:rsidRPr="004E4188">
              <w:rPr>
                <w:rFonts w:ascii="Arial" w:hAnsi="Arial" w:cs="Arial"/>
                <w:b/>
                <w:sz w:val="20"/>
              </w:rPr>
              <w:t>Entreprise unique</w:t>
            </w:r>
          </w:p>
        </w:tc>
        <w:tc>
          <w:tcPr>
            <w:tcW w:w="4359" w:type="dxa"/>
            <w:gridSpan w:val="3"/>
            <w:tcBorders>
              <w:bottom w:val="single" w:sz="4" w:space="0" w:color="auto"/>
            </w:tcBorders>
            <w:shd w:val="clear" w:color="auto" w:fill="BFBFBF" w:themeFill="background1" w:themeFillShade="BF"/>
            <w:vAlign w:val="center"/>
          </w:tcPr>
          <w:p w14:paraId="2D58A6AF" w14:textId="77777777" w:rsidR="00B14608" w:rsidRPr="004E4188" w:rsidRDefault="007049A5" w:rsidP="006C6267">
            <w:pPr>
              <w:jc w:val="center"/>
              <w:rPr>
                <w:rFonts w:ascii="Arial" w:hAnsi="Arial" w:cs="Arial"/>
                <w:b/>
                <w:sz w:val="20"/>
              </w:rPr>
            </w:pPr>
            <w:r w:rsidRPr="004E4188">
              <w:rPr>
                <w:rFonts w:ascii="Arial" w:hAnsi="Arial" w:cs="Arial"/>
                <w:b/>
                <w:sz w:val="20"/>
              </w:rPr>
              <w:t>Groupement</w:t>
            </w:r>
          </w:p>
          <w:p w14:paraId="6D4374FD" w14:textId="71BF34A4" w:rsidR="007049A5" w:rsidRPr="004E4188" w:rsidRDefault="007049A5" w:rsidP="006C6267">
            <w:pPr>
              <w:jc w:val="center"/>
              <w:rPr>
                <w:rFonts w:ascii="Arial" w:hAnsi="Arial" w:cs="Arial"/>
                <w:b/>
                <w:sz w:val="20"/>
              </w:rPr>
            </w:pPr>
            <w:r w:rsidRPr="004E4188">
              <w:rPr>
                <w:rFonts w:ascii="Arial" w:hAnsi="Arial" w:cs="Arial"/>
                <w:b/>
                <w:sz w:val="20"/>
              </w:rPr>
              <w:t>(existant ou prévu)</w:t>
            </w:r>
          </w:p>
        </w:tc>
        <w:tc>
          <w:tcPr>
            <w:tcW w:w="1765" w:type="dxa"/>
            <w:vMerge w:val="restart"/>
            <w:shd w:val="clear" w:color="auto" w:fill="BFBFBF" w:themeFill="background1" w:themeFillShade="BF"/>
            <w:vAlign w:val="center"/>
          </w:tcPr>
          <w:p w14:paraId="4FEBFF0D" w14:textId="77777777" w:rsidR="007049A5" w:rsidRPr="004E4188" w:rsidRDefault="007049A5" w:rsidP="006C6267">
            <w:pPr>
              <w:jc w:val="center"/>
              <w:rPr>
                <w:rFonts w:ascii="Arial" w:hAnsi="Arial" w:cs="Arial"/>
                <w:b/>
                <w:sz w:val="20"/>
              </w:rPr>
            </w:pPr>
            <w:r w:rsidRPr="004E4188">
              <w:rPr>
                <w:rFonts w:ascii="Arial" w:hAnsi="Arial" w:cs="Arial"/>
                <w:b/>
                <w:sz w:val="20"/>
              </w:rPr>
              <w:t>Spécifications de soumission</w:t>
            </w:r>
          </w:p>
        </w:tc>
      </w:tr>
      <w:tr w:rsidR="007049A5" w:rsidRPr="004E4188" w14:paraId="52795272" w14:textId="77777777" w:rsidTr="0075268B">
        <w:trPr>
          <w:trHeight w:val="360"/>
          <w:tblHeader/>
        </w:trPr>
        <w:tc>
          <w:tcPr>
            <w:tcW w:w="708" w:type="dxa"/>
            <w:vMerge/>
            <w:shd w:val="clear" w:color="auto" w:fill="F3F3F3"/>
            <w:vAlign w:val="center"/>
          </w:tcPr>
          <w:p w14:paraId="5FF6A65C" w14:textId="77777777" w:rsidR="007049A5" w:rsidRPr="004E4188" w:rsidRDefault="007049A5" w:rsidP="006C6267">
            <w:pPr>
              <w:jc w:val="center"/>
              <w:rPr>
                <w:rFonts w:ascii="Arial" w:hAnsi="Arial" w:cs="Arial"/>
                <w:sz w:val="18"/>
                <w:szCs w:val="18"/>
              </w:rPr>
            </w:pPr>
          </w:p>
        </w:tc>
        <w:tc>
          <w:tcPr>
            <w:tcW w:w="1557" w:type="dxa"/>
            <w:vMerge/>
            <w:shd w:val="clear" w:color="auto" w:fill="F3F3F3"/>
            <w:vAlign w:val="center"/>
          </w:tcPr>
          <w:p w14:paraId="14590532" w14:textId="77777777" w:rsidR="007049A5" w:rsidRPr="004E4188" w:rsidRDefault="007049A5" w:rsidP="006C6267">
            <w:pPr>
              <w:jc w:val="center"/>
              <w:rPr>
                <w:rFonts w:ascii="Arial" w:hAnsi="Arial" w:cs="Arial"/>
                <w:sz w:val="18"/>
                <w:szCs w:val="18"/>
              </w:rPr>
            </w:pPr>
          </w:p>
        </w:tc>
        <w:tc>
          <w:tcPr>
            <w:tcW w:w="3513" w:type="dxa"/>
            <w:vMerge/>
            <w:shd w:val="clear" w:color="auto" w:fill="F3F3F3"/>
            <w:vAlign w:val="center"/>
          </w:tcPr>
          <w:p w14:paraId="3629069D" w14:textId="77777777" w:rsidR="007049A5" w:rsidRPr="004E4188" w:rsidRDefault="007049A5" w:rsidP="006C6267">
            <w:pPr>
              <w:jc w:val="center"/>
              <w:rPr>
                <w:rFonts w:ascii="Arial" w:hAnsi="Arial" w:cs="Arial"/>
                <w:sz w:val="18"/>
                <w:szCs w:val="18"/>
              </w:rPr>
            </w:pPr>
          </w:p>
        </w:tc>
        <w:tc>
          <w:tcPr>
            <w:tcW w:w="1560" w:type="dxa"/>
            <w:vMerge/>
            <w:shd w:val="clear" w:color="auto" w:fill="F3F3F3"/>
            <w:vAlign w:val="center"/>
          </w:tcPr>
          <w:p w14:paraId="5EEF7865" w14:textId="77777777" w:rsidR="007049A5" w:rsidRPr="004E4188" w:rsidRDefault="007049A5" w:rsidP="006C6267">
            <w:pPr>
              <w:jc w:val="center"/>
              <w:rPr>
                <w:rFonts w:ascii="Arial" w:hAnsi="Arial" w:cs="Arial"/>
                <w:sz w:val="18"/>
                <w:szCs w:val="18"/>
              </w:rPr>
            </w:pPr>
          </w:p>
        </w:tc>
        <w:tc>
          <w:tcPr>
            <w:tcW w:w="1453" w:type="dxa"/>
            <w:shd w:val="clear" w:color="auto" w:fill="BFBFBF" w:themeFill="background1" w:themeFillShade="BF"/>
            <w:vAlign w:val="center"/>
          </w:tcPr>
          <w:p w14:paraId="23EA9FD9" w14:textId="77777777" w:rsidR="007049A5" w:rsidRPr="004E4188" w:rsidRDefault="007049A5" w:rsidP="006C6267">
            <w:pPr>
              <w:jc w:val="center"/>
              <w:rPr>
                <w:rFonts w:ascii="Arial" w:hAnsi="Arial" w:cs="Arial"/>
                <w:b/>
                <w:sz w:val="20"/>
              </w:rPr>
            </w:pPr>
            <w:r w:rsidRPr="004E4188">
              <w:rPr>
                <w:rFonts w:ascii="Arial" w:hAnsi="Arial" w:cs="Arial"/>
                <w:b/>
                <w:sz w:val="20"/>
              </w:rPr>
              <w:t>Tous membres combinés</w:t>
            </w:r>
          </w:p>
        </w:tc>
        <w:tc>
          <w:tcPr>
            <w:tcW w:w="1453" w:type="dxa"/>
            <w:shd w:val="clear" w:color="auto" w:fill="BFBFBF" w:themeFill="background1" w:themeFillShade="BF"/>
            <w:vAlign w:val="center"/>
          </w:tcPr>
          <w:p w14:paraId="7B03038C" w14:textId="77777777" w:rsidR="007049A5" w:rsidRPr="004E4188" w:rsidRDefault="007049A5" w:rsidP="006C6267">
            <w:pPr>
              <w:jc w:val="center"/>
              <w:rPr>
                <w:rFonts w:ascii="Arial" w:hAnsi="Arial" w:cs="Arial"/>
                <w:b/>
                <w:sz w:val="20"/>
              </w:rPr>
            </w:pPr>
            <w:r w:rsidRPr="004E4188">
              <w:rPr>
                <w:rFonts w:ascii="Arial" w:hAnsi="Arial" w:cs="Arial"/>
                <w:b/>
                <w:sz w:val="20"/>
              </w:rPr>
              <w:t>Chaque membre</w:t>
            </w:r>
          </w:p>
        </w:tc>
        <w:tc>
          <w:tcPr>
            <w:tcW w:w="1453" w:type="dxa"/>
            <w:shd w:val="clear" w:color="auto" w:fill="BFBFBF" w:themeFill="background1" w:themeFillShade="BF"/>
            <w:vAlign w:val="center"/>
          </w:tcPr>
          <w:p w14:paraId="3DAC0925" w14:textId="77777777" w:rsidR="007049A5" w:rsidRPr="004E4188" w:rsidRDefault="007049A5" w:rsidP="006C6267">
            <w:pPr>
              <w:jc w:val="center"/>
              <w:rPr>
                <w:rFonts w:ascii="Arial" w:hAnsi="Arial" w:cs="Arial"/>
                <w:b/>
                <w:sz w:val="20"/>
              </w:rPr>
            </w:pPr>
            <w:r w:rsidRPr="004E4188">
              <w:rPr>
                <w:rFonts w:ascii="Arial" w:hAnsi="Arial" w:cs="Arial"/>
                <w:b/>
                <w:sz w:val="20"/>
              </w:rPr>
              <w:t>Un membre</w:t>
            </w:r>
          </w:p>
        </w:tc>
        <w:tc>
          <w:tcPr>
            <w:tcW w:w="1765" w:type="dxa"/>
            <w:vMerge/>
            <w:shd w:val="clear" w:color="auto" w:fill="F3F3F3"/>
            <w:vAlign w:val="center"/>
          </w:tcPr>
          <w:p w14:paraId="0BE7B0E1" w14:textId="77777777" w:rsidR="007049A5" w:rsidRPr="004E4188" w:rsidRDefault="007049A5" w:rsidP="006C6267">
            <w:pPr>
              <w:jc w:val="center"/>
              <w:rPr>
                <w:rFonts w:ascii="Arial" w:hAnsi="Arial" w:cs="Arial"/>
                <w:sz w:val="18"/>
                <w:szCs w:val="18"/>
              </w:rPr>
            </w:pPr>
          </w:p>
        </w:tc>
      </w:tr>
      <w:tr w:rsidR="007049A5" w:rsidRPr="004E4188" w14:paraId="641181F5" w14:textId="77777777" w:rsidTr="0075268B">
        <w:trPr>
          <w:trHeight w:val="1920"/>
        </w:trPr>
        <w:tc>
          <w:tcPr>
            <w:tcW w:w="708" w:type="dxa"/>
          </w:tcPr>
          <w:p w14:paraId="135CCDC9" w14:textId="77777777" w:rsidR="007049A5" w:rsidRPr="004E4188" w:rsidRDefault="007049A5" w:rsidP="007E03C7">
            <w:pPr>
              <w:spacing w:before="60"/>
              <w:jc w:val="center"/>
              <w:rPr>
                <w:rFonts w:ascii="Arial" w:hAnsi="Arial" w:cs="Arial"/>
                <w:sz w:val="20"/>
              </w:rPr>
            </w:pPr>
            <w:r w:rsidRPr="004E4188">
              <w:rPr>
                <w:rFonts w:ascii="Arial" w:hAnsi="Arial" w:cs="Arial"/>
                <w:sz w:val="20"/>
              </w:rPr>
              <w:t>2.3.1</w:t>
            </w:r>
          </w:p>
        </w:tc>
        <w:tc>
          <w:tcPr>
            <w:tcW w:w="1557" w:type="dxa"/>
          </w:tcPr>
          <w:p w14:paraId="6A4F60D9" w14:textId="77777777" w:rsidR="007049A5" w:rsidRPr="004E4188" w:rsidRDefault="007049A5" w:rsidP="007E03C7">
            <w:pPr>
              <w:spacing w:before="60"/>
              <w:jc w:val="left"/>
              <w:rPr>
                <w:rFonts w:ascii="Arial" w:hAnsi="Arial" w:cs="Arial"/>
                <w:sz w:val="20"/>
              </w:rPr>
            </w:pPr>
            <w:r w:rsidRPr="004E4188">
              <w:rPr>
                <w:rFonts w:ascii="Arial" w:hAnsi="Arial" w:cs="Arial"/>
                <w:sz w:val="20"/>
              </w:rPr>
              <w:t xml:space="preserve">Situation financière </w:t>
            </w:r>
          </w:p>
        </w:tc>
        <w:tc>
          <w:tcPr>
            <w:tcW w:w="3513" w:type="dxa"/>
          </w:tcPr>
          <w:p w14:paraId="024353F4" w14:textId="77777777" w:rsidR="007049A5" w:rsidRPr="004E4188" w:rsidRDefault="007049A5" w:rsidP="003073B5">
            <w:pPr>
              <w:spacing w:before="60" w:after="240"/>
              <w:rPr>
                <w:rFonts w:ascii="Arial" w:hAnsi="Arial" w:cs="Arial"/>
                <w:sz w:val="20"/>
                <w:lang w:eastAsia="ja-JP"/>
              </w:rPr>
            </w:pPr>
            <w:r w:rsidRPr="004E4188">
              <w:rPr>
                <w:rFonts w:ascii="Arial" w:hAnsi="Arial" w:cs="Arial"/>
                <w:sz w:val="20"/>
              </w:rPr>
              <w:t xml:space="preserve">Les états financiers pour les </w:t>
            </w:r>
            <w:r w:rsidRPr="004E4188">
              <w:rPr>
                <w:rFonts w:ascii="Arial" w:hAnsi="Arial" w:cs="Arial"/>
                <w:spacing w:val="-2"/>
                <w:sz w:val="20"/>
                <w:lang w:eastAsia="ja-JP"/>
              </w:rPr>
              <w:t>[</w:t>
            </w:r>
            <w:r w:rsidRPr="004E4188">
              <w:rPr>
                <w:rFonts w:ascii="Arial" w:hAnsi="Arial" w:cs="Arial"/>
                <w:i/>
                <w:spacing w:val="-2"/>
                <w:sz w:val="20"/>
                <w:lang w:eastAsia="ja-JP"/>
              </w:rPr>
              <w:t>indiquer le nombre d’années</w:t>
            </w:r>
            <w:r w:rsidRPr="004E4188">
              <w:rPr>
                <w:rFonts w:ascii="Arial" w:hAnsi="Arial" w:cs="Arial"/>
                <w:spacing w:val="-2"/>
                <w:sz w:val="20"/>
                <w:lang w:eastAsia="ja-JP"/>
              </w:rPr>
              <w:t>]</w:t>
            </w:r>
            <w:r w:rsidRPr="004E4188">
              <w:rPr>
                <w:rFonts w:ascii="Arial" w:hAnsi="Arial" w:cs="Arial"/>
                <w:spacing w:val="-2"/>
                <w:sz w:val="20"/>
                <w:vertAlign w:val="superscript"/>
                <w:lang w:eastAsia="ja-JP"/>
              </w:rPr>
              <w:t>1</w:t>
            </w:r>
            <w:r w:rsidRPr="004E4188">
              <w:rPr>
                <w:rFonts w:ascii="Arial" w:hAnsi="Arial" w:cs="Arial"/>
                <w:sz w:val="20"/>
              </w:rPr>
              <w:t xml:space="preserve"> dernières années doivent être remis et doivent démontrer la solidité actuelle de la position financière du Soumissionnaire et indiquer sa profitabilité à long terme.</w:t>
            </w:r>
          </w:p>
          <w:p w14:paraId="6BF8796D" w14:textId="77777777" w:rsidR="007049A5" w:rsidRPr="004E4188" w:rsidRDefault="007049A5" w:rsidP="007E03C7">
            <w:pPr>
              <w:spacing w:before="60" w:afterLines="50" w:after="120"/>
              <w:rPr>
                <w:rFonts w:ascii="Arial" w:hAnsi="Arial" w:cs="Arial"/>
                <w:sz w:val="20"/>
              </w:rPr>
            </w:pPr>
            <w:r w:rsidRPr="004E4188">
              <w:rPr>
                <w:rFonts w:ascii="Arial" w:hAnsi="Arial" w:cs="Arial"/>
                <w:sz w:val="20"/>
              </w:rPr>
              <w:t>Comme critère minimum, un Soumissionnaire doit avoir des actifs nets positifs calculés en faisant la différence entre le total des actifs et le total des passifs.</w:t>
            </w:r>
          </w:p>
        </w:tc>
        <w:tc>
          <w:tcPr>
            <w:tcW w:w="1560" w:type="dxa"/>
          </w:tcPr>
          <w:p w14:paraId="365736DF" w14:textId="77777777" w:rsidR="007049A5" w:rsidRPr="004E4188" w:rsidRDefault="007049A5" w:rsidP="007E03C7">
            <w:pPr>
              <w:spacing w:before="60"/>
              <w:jc w:val="center"/>
              <w:rPr>
                <w:rFonts w:ascii="Arial" w:hAnsi="Arial" w:cs="Arial"/>
                <w:sz w:val="20"/>
              </w:rPr>
            </w:pPr>
            <w:r w:rsidRPr="004E4188">
              <w:rPr>
                <w:rFonts w:ascii="Arial" w:hAnsi="Arial" w:cs="Arial"/>
                <w:sz w:val="20"/>
              </w:rPr>
              <w:t>Doit satisfaire au critère</w:t>
            </w:r>
          </w:p>
        </w:tc>
        <w:tc>
          <w:tcPr>
            <w:tcW w:w="1453" w:type="dxa"/>
          </w:tcPr>
          <w:p w14:paraId="4AE0E58C" w14:textId="77777777" w:rsidR="007049A5" w:rsidRPr="004E4188" w:rsidRDefault="007049A5" w:rsidP="007E03C7">
            <w:pPr>
              <w:spacing w:before="60"/>
              <w:jc w:val="center"/>
              <w:rPr>
                <w:rFonts w:ascii="Arial" w:hAnsi="Arial" w:cs="Arial"/>
                <w:sz w:val="20"/>
              </w:rPr>
            </w:pPr>
            <w:r w:rsidRPr="004E4188">
              <w:rPr>
                <w:rFonts w:ascii="Arial" w:hAnsi="Arial" w:cs="Arial"/>
                <w:sz w:val="20"/>
              </w:rPr>
              <w:t>Sans objet</w:t>
            </w:r>
          </w:p>
        </w:tc>
        <w:tc>
          <w:tcPr>
            <w:tcW w:w="1453" w:type="dxa"/>
          </w:tcPr>
          <w:p w14:paraId="30D31236" w14:textId="77777777" w:rsidR="007049A5" w:rsidRPr="004E4188" w:rsidRDefault="007049A5" w:rsidP="007E03C7">
            <w:pPr>
              <w:spacing w:before="60"/>
              <w:jc w:val="center"/>
              <w:rPr>
                <w:rFonts w:ascii="Arial" w:hAnsi="Arial" w:cs="Arial"/>
                <w:sz w:val="20"/>
              </w:rPr>
            </w:pPr>
            <w:r w:rsidRPr="004E4188">
              <w:rPr>
                <w:rFonts w:ascii="Arial" w:hAnsi="Arial" w:cs="Arial"/>
                <w:sz w:val="20"/>
              </w:rPr>
              <w:t>Doit satisfaire au critère</w:t>
            </w:r>
          </w:p>
        </w:tc>
        <w:tc>
          <w:tcPr>
            <w:tcW w:w="1453" w:type="dxa"/>
          </w:tcPr>
          <w:p w14:paraId="2C6E801A" w14:textId="77777777" w:rsidR="007049A5" w:rsidRPr="004E4188" w:rsidRDefault="007049A5" w:rsidP="007E03C7">
            <w:pPr>
              <w:spacing w:before="60"/>
              <w:jc w:val="center"/>
              <w:rPr>
                <w:rFonts w:ascii="Arial" w:hAnsi="Arial" w:cs="Arial"/>
                <w:sz w:val="20"/>
              </w:rPr>
            </w:pPr>
            <w:r w:rsidRPr="004E4188">
              <w:rPr>
                <w:rFonts w:ascii="Arial" w:hAnsi="Arial" w:cs="Arial"/>
                <w:sz w:val="20"/>
              </w:rPr>
              <w:t>Sans objet</w:t>
            </w:r>
          </w:p>
        </w:tc>
        <w:tc>
          <w:tcPr>
            <w:tcW w:w="1765" w:type="dxa"/>
          </w:tcPr>
          <w:p w14:paraId="26354129" w14:textId="77777777" w:rsidR="007049A5" w:rsidRPr="004E4188" w:rsidRDefault="007049A5" w:rsidP="007E03C7">
            <w:pPr>
              <w:spacing w:before="60"/>
              <w:rPr>
                <w:rFonts w:ascii="Arial" w:hAnsi="Arial" w:cs="Arial"/>
                <w:sz w:val="20"/>
              </w:rPr>
            </w:pPr>
            <w:r w:rsidRPr="004E4188">
              <w:rPr>
                <w:rFonts w:ascii="Arial" w:hAnsi="Arial" w:cs="Arial"/>
                <w:sz w:val="20"/>
              </w:rPr>
              <w:t>Formulaire FIN-1 avec pièces jointes</w:t>
            </w:r>
          </w:p>
        </w:tc>
      </w:tr>
      <w:tr w:rsidR="007049A5" w:rsidRPr="004E4188" w14:paraId="22A2CA32" w14:textId="77777777" w:rsidTr="0075268B">
        <w:tc>
          <w:tcPr>
            <w:tcW w:w="708" w:type="dxa"/>
            <w:tcBorders>
              <w:bottom w:val="single" w:sz="4" w:space="0" w:color="auto"/>
            </w:tcBorders>
          </w:tcPr>
          <w:p w14:paraId="0EB37976" w14:textId="77777777" w:rsidR="007049A5" w:rsidRPr="004E4188" w:rsidRDefault="007049A5" w:rsidP="007E03C7">
            <w:pPr>
              <w:spacing w:before="60"/>
              <w:jc w:val="center"/>
              <w:rPr>
                <w:rFonts w:ascii="Arial" w:hAnsi="Arial" w:cs="Arial"/>
                <w:sz w:val="20"/>
              </w:rPr>
            </w:pPr>
            <w:r w:rsidRPr="004E4188">
              <w:rPr>
                <w:rFonts w:ascii="Arial" w:hAnsi="Arial" w:cs="Arial"/>
                <w:sz w:val="20"/>
              </w:rPr>
              <w:t>2.3.2</w:t>
            </w:r>
          </w:p>
        </w:tc>
        <w:tc>
          <w:tcPr>
            <w:tcW w:w="1557" w:type="dxa"/>
            <w:tcBorders>
              <w:bottom w:val="single" w:sz="4" w:space="0" w:color="auto"/>
            </w:tcBorders>
          </w:tcPr>
          <w:p w14:paraId="16475519" w14:textId="77777777" w:rsidR="007049A5" w:rsidRPr="004E4188" w:rsidRDefault="007049A5" w:rsidP="007E03C7">
            <w:pPr>
              <w:spacing w:before="60"/>
              <w:jc w:val="left"/>
              <w:rPr>
                <w:rFonts w:ascii="Arial" w:hAnsi="Arial" w:cs="Arial"/>
                <w:sz w:val="20"/>
              </w:rPr>
            </w:pPr>
            <w:r w:rsidRPr="004E4188">
              <w:rPr>
                <w:rFonts w:ascii="Arial" w:hAnsi="Arial" w:cs="Arial"/>
                <w:sz w:val="20"/>
              </w:rPr>
              <w:t xml:space="preserve">Chiffre d’affaires annuel moyen </w:t>
            </w:r>
          </w:p>
        </w:tc>
        <w:tc>
          <w:tcPr>
            <w:tcW w:w="3513" w:type="dxa"/>
            <w:tcBorders>
              <w:bottom w:val="single" w:sz="4" w:space="0" w:color="auto"/>
            </w:tcBorders>
          </w:tcPr>
          <w:p w14:paraId="49986085" w14:textId="77777777" w:rsidR="007049A5" w:rsidRPr="004E4188" w:rsidRDefault="007049A5" w:rsidP="007E03C7">
            <w:pPr>
              <w:spacing w:before="60" w:afterLines="50" w:after="120"/>
              <w:rPr>
                <w:rFonts w:ascii="Arial" w:hAnsi="Arial" w:cs="Arial"/>
                <w:sz w:val="20"/>
                <w:lang w:eastAsia="ja-JP"/>
              </w:rPr>
            </w:pPr>
            <w:r w:rsidRPr="004E4188">
              <w:rPr>
                <w:rFonts w:ascii="Arial" w:hAnsi="Arial" w:cs="Arial"/>
                <w:sz w:val="20"/>
              </w:rPr>
              <w:t>Avoir un chiffre d’affaires minimum annuel moyen de [</w:t>
            </w:r>
            <w:r w:rsidRPr="004E4188">
              <w:rPr>
                <w:rFonts w:ascii="Arial" w:hAnsi="Arial" w:cs="Arial"/>
                <w:i/>
                <w:sz w:val="20"/>
              </w:rPr>
              <w:t>indiquer le montant en $US</w:t>
            </w:r>
            <w:r w:rsidRPr="004E4188">
              <w:rPr>
                <w:rFonts w:ascii="Arial" w:hAnsi="Arial" w:cs="Arial"/>
                <w:sz w:val="20"/>
              </w:rPr>
              <w:t>]</w:t>
            </w:r>
            <w:r w:rsidRPr="004E4188">
              <w:rPr>
                <w:rFonts w:ascii="Arial" w:hAnsi="Arial" w:cs="Arial"/>
                <w:sz w:val="20"/>
                <w:vertAlign w:val="superscript"/>
              </w:rPr>
              <w:t>2</w:t>
            </w:r>
            <w:r w:rsidRPr="004E4188">
              <w:rPr>
                <w:rFonts w:ascii="Arial" w:hAnsi="Arial" w:cs="Arial"/>
                <w:sz w:val="20"/>
              </w:rPr>
              <w:t>, correspondant au total des paiements certifiés reçus pour les marchés en cours et/ou achevés au cours des [</w:t>
            </w:r>
            <w:r w:rsidRPr="004E4188">
              <w:rPr>
                <w:rFonts w:ascii="Arial" w:hAnsi="Arial" w:cs="Arial"/>
                <w:i/>
                <w:sz w:val="20"/>
              </w:rPr>
              <w:t>indiquer le nombre d’années</w:t>
            </w:r>
            <w:r w:rsidRPr="004E4188">
              <w:rPr>
                <w:rFonts w:ascii="Arial" w:hAnsi="Arial" w:cs="Arial"/>
                <w:sz w:val="20"/>
              </w:rPr>
              <w:t>]</w:t>
            </w:r>
            <w:r w:rsidRPr="004E4188">
              <w:rPr>
                <w:rFonts w:ascii="Arial" w:hAnsi="Arial" w:cs="Arial"/>
                <w:sz w:val="20"/>
                <w:vertAlign w:val="superscript"/>
                <w:lang w:eastAsia="ja-JP"/>
              </w:rPr>
              <w:t>3</w:t>
            </w:r>
            <w:r w:rsidRPr="004E4188">
              <w:rPr>
                <w:rFonts w:ascii="Arial" w:hAnsi="Arial" w:cs="Arial"/>
                <w:sz w:val="20"/>
              </w:rPr>
              <w:t xml:space="preserve"> dernières années divisées par [</w:t>
            </w:r>
            <w:r w:rsidRPr="004E4188">
              <w:rPr>
                <w:rFonts w:ascii="Arial" w:hAnsi="Arial" w:cs="Arial"/>
                <w:i/>
                <w:sz w:val="20"/>
              </w:rPr>
              <w:t>indiquer le nombre d’années</w:t>
            </w:r>
            <w:r w:rsidRPr="004E4188">
              <w:rPr>
                <w:rFonts w:ascii="Arial" w:hAnsi="Arial" w:cs="Arial"/>
                <w:sz w:val="20"/>
              </w:rPr>
              <w:t>]</w:t>
            </w:r>
            <w:r w:rsidRPr="004E4188">
              <w:rPr>
                <w:rFonts w:ascii="Arial" w:hAnsi="Arial" w:cs="Arial"/>
                <w:sz w:val="20"/>
                <w:vertAlign w:val="superscript"/>
              </w:rPr>
              <w:t>4</w:t>
            </w:r>
            <w:r w:rsidRPr="004E4188">
              <w:rPr>
                <w:rFonts w:ascii="Arial" w:hAnsi="Arial" w:cs="Arial"/>
                <w:sz w:val="20"/>
              </w:rPr>
              <w:t xml:space="preserve"> ans.</w:t>
            </w:r>
          </w:p>
          <w:p w14:paraId="75BBB03F" w14:textId="77777777" w:rsidR="007049A5" w:rsidRPr="004E4188" w:rsidRDefault="007049A5" w:rsidP="007E03C7">
            <w:pPr>
              <w:spacing w:before="60"/>
              <w:rPr>
                <w:rFonts w:ascii="Arial" w:hAnsi="Arial" w:cs="Arial"/>
                <w:sz w:val="20"/>
                <w:lang w:eastAsia="ja-JP"/>
              </w:rPr>
            </w:pPr>
          </w:p>
          <w:p w14:paraId="3C654A3D" w14:textId="77777777" w:rsidR="007049A5" w:rsidRPr="004E4188" w:rsidRDefault="007049A5" w:rsidP="007E03C7">
            <w:pPr>
              <w:spacing w:before="60" w:afterLines="50" w:after="120"/>
              <w:rPr>
                <w:rFonts w:ascii="Arial" w:hAnsi="Arial" w:cs="Arial"/>
                <w:sz w:val="20"/>
              </w:rPr>
            </w:pPr>
            <w:r w:rsidRPr="004E4188">
              <w:rPr>
                <w:rFonts w:ascii="Arial" w:hAnsi="Arial" w:cs="Arial"/>
                <w:sz w:val="20"/>
              </w:rPr>
              <w:t>[</w:t>
            </w:r>
            <w:r w:rsidRPr="004E4188">
              <w:rPr>
                <w:rFonts w:ascii="Arial" w:hAnsi="Arial" w:cs="Arial"/>
                <w:i/>
                <w:sz w:val="20"/>
              </w:rPr>
              <w:t>Indiquer les critères pour l’attribution de lots multiples, le cas échéant.</w:t>
            </w:r>
            <w:r w:rsidRPr="004E4188">
              <w:rPr>
                <w:rFonts w:ascii="Arial" w:hAnsi="Arial" w:cs="Arial"/>
                <w:sz w:val="20"/>
              </w:rPr>
              <w:t>]</w:t>
            </w:r>
          </w:p>
        </w:tc>
        <w:tc>
          <w:tcPr>
            <w:tcW w:w="1560" w:type="dxa"/>
            <w:tcBorders>
              <w:bottom w:val="single" w:sz="4" w:space="0" w:color="auto"/>
            </w:tcBorders>
          </w:tcPr>
          <w:p w14:paraId="14DDC8A0" w14:textId="77777777" w:rsidR="007049A5" w:rsidRPr="004E4188" w:rsidRDefault="007049A5" w:rsidP="007E03C7">
            <w:pPr>
              <w:spacing w:before="60"/>
              <w:jc w:val="center"/>
              <w:rPr>
                <w:rFonts w:ascii="Arial" w:hAnsi="Arial" w:cs="Arial"/>
                <w:sz w:val="20"/>
              </w:rPr>
            </w:pPr>
            <w:r w:rsidRPr="004E4188">
              <w:rPr>
                <w:rFonts w:ascii="Arial" w:hAnsi="Arial" w:cs="Arial"/>
                <w:sz w:val="20"/>
              </w:rPr>
              <w:t>Doit satisfaire au critère</w:t>
            </w:r>
          </w:p>
        </w:tc>
        <w:tc>
          <w:tcPr>
            <w:tcW w:w="1453" w:type="dxa"/>
            <w:tcBorders>
              <w:bottom w:val="single" w:sz="4" w:space="0" w:color="auto"/>
            </w:tcBorders>
          </w:tcPr>
          <w:p w14:paraId="1B665A06" w14:textId="77777777" w:rsidR="007049A5" w:rsidRPr="004E4188" w:rsidRDefault="007049A5" w:rsidP="007E03C7">
            <w:pPr>
              <w:spacing w:before="60"/>
              <w:jc w:val="center"/>
              <w:rPr>
                <w:rFonts w:ascii="Arial" w:hAnsi="Arial" w:cs="Arial"/>
                <w:sz w:val="20"/>
              </w:rPr>
            </w:pPr>
            <w:r w:rsidRPr="004E4188">
              <w:rPr>
                <w:rFonts w:ascii="Arial" w:hAnsi="Arial" w:cs="Arial"/>
                <w:sz w:val="20"/>
              </w:rPr>
              <w:t>Doivent satisfaire au critère</w:t>
            </w:r>
          </w:p>
        </w:tc>
        <w:tc>
          <w:tcPr>
            <w:tcW w:w="1453" w:type="dxa"/>
            <w:tcBorders>
              <w:bottom w:val="single" w:sz="4" w:space="0" w:color="auto"/>
            </w:tcBorders>
          </w:tcPr>
          <w:p w14:paraId="40985EFD" w14:textId="77777777" w:rsidR="007049A5" w:rsidRPr="004E4188" w:rsidRDefault="007049A5" w:rsidP="007E03C7">
            <w:pPr>
              <w:spacing w:before="60"/>
              <w:jc w:val="center"/>
              <w:rPr>
                <w:rFonts w:ascii="Arial" w:hAnsi="Arial" w:cs="Arial"/>
                <w:sz w:val="20"/>
              </w:rPr>
            </w:pPr>
            <w:r w:rsidRPr="004E4188">
              <w:rPr>
                <w:rFonts w:ascii="Arial" w:hAnsi="Arial" w:cs="Arial"/>
                <w:sz w:val="20"/>
              </w:rPr>
              <w:t>Doit satisfaire à [</w:t>
            </w:r>
            <w:r w:rsidRPr="004E4188">
              <w:rPr>
                <w:rFonts w:ascii="Arial" w:hAnsi="Arial" w:cs="Arial"/>
                <w:i/>
                <w:sz w:val="20"/>
              </w:rPr>
              <w:t>insérer le nombre</w:t>
            </w:r>
            <w:r w:rsidRPr="004E4188">
              <w:rPr>
                <w:rFonts w:ascii="Arial" w:hAnsi="Arial" w:cs="Arial"/>
                <w:sz w:val="20"/>
              </w:rPr>
              <w:t>] %</w:t>
            </w:r>
            <w:r w:rsidRPr="004E4188">
              <w:rPr>
                <w:rFonts w:ascii="Arial" w:hAnsi="Arial" w:cs="Arial"/>
                <w:sz w:val="20"/>
                <w:vertAlign w:val="superscript"/>
                <w:lang w:eastAsia="ja-JP"/>
              </w:rPr>
              <w:t>5</w:t>
            </w:r>
            <w:r w:rsidRPr="004E4188">
              <w:rPr>
                <w:rFonts w:ascii="Arial" w:hAnsi="Arial" w:cs="Arial"/>
                <w:sz w:val="20"/>
              </w:rPr>
              <w:t xml:space="preserve"> du critère</w:t>
            </w:r>
          </w:p>
        </w:tc>
        <w:tc>
          <w:tcPr>
            <w:tcW w:w="1453" w:type="dxa"/>
            <w:tcBorders>
              <w:bottom w:val="single" w:sz="4" w:space="0" w:color="auto"/>
            </w:tcBorders>
          </w:tcPr>
          <w:p w14:paraId="3080DC57" w14:textId="77777777" w:rsidR="007049A5" w:rsidRPr="004E4188" w:rsidRDefault="007049A5" w:rsidP="007E03C7">
            <w:pPr>
              <w:spacing w:before="60"/>
              <w:jc w:val="center"/>
              <w:rPr>
                <w:rFonts w:ascii="Arial" w:hAnsi="Arial" w:cs="Arial"/>
                <w:sz w:val="20"/>
              </w:rPr>
            </w:pPr>
            <w:r w:rsidRPr="004E4188">
              <w:rPr>
                <w:rFonts w:ascii="Arial" w:hAnsi="Arial" w:cs="Arial"/>
                <w:sz w:val="20"/>
              </w:rPr>
              <w:t>Doit satisfaire à [</w:t>
            </w:r>
            <w:r w:rsidRPr="004E4188">
              <w:rPr>
                <w:rFonts w:ascii="Arial" w:hAnsi="Arial" w:cs="Arial"/>
                <w:i/>
                <w:sz w:val="20"/>
              </w:rPr>
              <w:t>insérer le nombre</w:t>
            </w:r>
            <w:r w:rsidRPr="004E4188">
              <w:rPr>
                <w:rFonts w:ascii="Arial" w:hAnsi="Arial" w:cs="Arial"/>
                <w:sz w:val="20"/>
              </w:rPr>
              <w:t>] %</w:t>
            </w:r>
            <w:r w:rsidRPr="004E4188">
              <w:rPr>
                <w:rFonts w:ascii="Arial" w:hAnsi="Arial" w:cs="Arial"/>
                <w:sz w:val="20"/>
                <w:vertAlign w:val="superscript"/>
              </w:rPr>
              <w:t>6</w:t>
            </w:r>
            <w:r w:rsidRPr="004E4188">
              <w:rPr>
                <w:rFonts w:ascii="Arial" w:hAnsi="Arial" w:cs="Arial"/>
                <w:sz w:val="20"/>
              </w:rPr>
              <w:t xml:space="preserve"> du critère</w:t>
            </w:r>
          </w:p>
        </w:tc>
        <w:tc>
          <w:tcPr>
            <w:tcW w:w="1765" w:type="dxa"/>
          </w:tcPr>
          <w:p w14:paraId="5A91B392" w14:textId="77777777" w:rsidR="007049A5" w:rsidRPr="004E4188" w:rsidRDefault="007049A5" w:rsidP="007E03C7">
            <w:pPr>
              <w:spacing w:before="60"/>
              <w:rPr>
                <w:rFonts w:ascii="Arial" w:hAnsi="Arial" w:cs="Arial"/>
                <w:sz w:val="20"/>
              </w:rPr>
            </w:pPr>
            <w:r w:rsidRPr="004E4188">
              <w:rPr>
                <w:rFonts w:ascii="Arial" w:hAnsi="Arial" w:cs="Arial"/>
                <w:sz w:val="20"/>
              </w:rPr>
              <w:t>Formulaire FIN-2</w:t>
            </w:r>
          </w:p>
        </w:tc>
      </w:tr>
      <w:tr w:rsidR="007049A5" w:rsidRPr="004E4188" w14:paraId="10D475AC" w14:textId="77777777" w:rsidTr="0075268B">
        <w:trPr>
          <w:cantSplit/>
        </w:trPr>
        <w:tc>
          <w:tcPr>
            <w:tcW w:w="708" w:type="dxa"/>
            <w:tcBorders>
              <w:bottom w:val="single" w:sz="4" w:space="0" w:color="auto"/>
            </w:tcBorders>
          </w:tcPr>
          <w:p w14:paraId="5A33B80E" w14:textId="77777777" w:rsidR="007049A5" w:rsidRPr="004E4188" w:rsidRDefault="007049A5" w:rsidP="007E03C7">
            <w:pPr>
              <w:spacing w:before="60"/>
              <w:jc w:val="center"/>
              <w:rPr>
                <w:rFonts w:ascii="Arial" w:hAnsi="Arial" w:cs="Arial"/>
                <w:sz w:val="20"/>
              </w:rPr>
            </w:pPr>
            <w:r w:rsidRPr="004E4188">
              <w:rPr>
                <w:rFonts w:ascii="Arial" w:hAnsi="Arial" w:cs="Arial"/>
                <w:sz w:val="20"/>
              </w:rPr>
              <w:t>2.3.3</w:t>
            </w:r>
          </w:p>
        </w:tc>
        <w:tc>
          <w:tcPr>
            <w:tcW w:w="1557" w:type="dxa"/>
            <w:tcBorders>
              <w:bottom w:val="single" w:sz="4" w:space="0" w:color="auto"/>
            </w:tcBorders>
          </w:tcPr>
          <w:p w14:paraId="0D28CD67" w14:textId="77777777" w:rsidR="007049A5" w:rsidRPr="004E4188" w:rsidRDefault="007049A5" w:rsidP="007E03C7">
            <w:pPr>
              <w:spacing w:before="60"/>
              <w:jc w:val="left"/>
              <w:rPr>
                <w:rFonts w:ascii="Arial" w:hAnsi="Arial" w:cs="Arial"/>
                <w:sz w:val="20"/>
              </w:rPr>
            </w:pPr>
            <w:r w:rsidRPr="004E4188">
              <w:rPr>
                <w:rFonts w:ascii="Arial" w:hAnsi="Arial" w:cs="Arial"/>
                <w:sz w:val="20"/>
              </w:rPr>
              <w:t>Capacités financières</w:t>
            </w:r>
          </w:p>
        </w:tc>
        <w:tc>
          <w:tcPr>
            <w:tcW w:w="3513" w:type="dxa"/>
            <w:tcBorders>
              <w:bottom w:val="single" w:sz="4" w:space="0" w:color="auto"/>
            </w:tcBorders>
          </w:tcPr>
          <w:p w14:paraId="715C9380" w14:textId="77777777" w:rsidR="007049A5" w:rsidRPr="004E4188" w:rsidRDefault="007049A5" w:rsidP="007E03C7">
            <w:pPr>
              <w:spacing w:before="60" w:afterLines="50" w:after="120"/>
              <w:rPr>
                <w:rFonts w:ascii="Arial" w:hAnsi="Arial" w:cs="Arial"/>
                <w:sz w:val="20"/>
              </w:rPr>
            </w:pPr>
            <w:r w:rsidRPr="004E4188">
              <w:rPr>
                <w:rFonts w:ascii="Arial" w:hAnsi="Arial" w:cs="Arial"/>
                <w:sz w:val="20"/>
              </w:rPr>
              <w:t>Le Soumissionnaire doit démontrer, à la satisfaction du Maître d’ouvrage, (à la date limite de remise des offres) qu’il dispose ou a accès à des avoirs liquides, des actifs réels non grevés, des lignes de crédit ou autres moyens financiers (hors avance éventuelle au titre du marché) suffisants pour assurer le flux de trésorerie des activités de construction estimé à [</w:t>
            </w:r>
            <w:r w:rsidRPr="004E4188">
              <w:rPr>
                <w:rFonts w:ascii="Arial" w:hAnsi="Arial" w:cs="Arial"/>
                <w:i/>
                <w:sz w:val="20"/>
              </w:rPr>
              <w:t>indiquer le montant en $US]</w:t>
            </w:r>
            <w:r w:rsidRPr="004E4188">
              <w:rPr>
                <w:rFonts w:ascii="Arial" w:hAnsi="Arial" w:cs="Arial"/>
                <w:i/>
                <w:sz w:val="20"/>
                <w:vertAlign w:val="superscript"/>
              </w:rPr>
              <w:t>7</w:t>
            </w:r>
            <w:r w:rsidRPr="004E4188">
              <w:rPr>
                <w:rFonts w:ascii="Arial" w:hAnsi="Arial" w:cs="Arial"/>
                <w:sz w:val="20"/>
                <w:vertAlign w:val="superscript"/>
              </w:rPr>
              <w:t xml:space="preserve"> </w:t>
            </w:r>
            <w:r w:rsidRPr="004E4188">
              <w:rPr>
                <w:rFonts w:ascii="Arial" w:hAnsi="Arial" w:cs="Arial"/>
                <w:sz w:val="20"/>
              </w:rPr>
              <w:t>pour le(s) Marché(s) en question, nets de tous autres engagements du Soumissionnaire, aussi bien actuels que futurs.</w:t>
            </w:r>
          </w:p>
          <w:p w14:paraId="72F02B05" w14:textId="77777777" w:rsidR="000939FA" w:rsidRPr="004E4188" w:rsidRDefault="000939FA" w:rsidP="007E03C7">
            <w:pPr>
              <w:spacing w:before="60" w:afterLines="50" w:after="120"/>
              <w:rPr>
                <w:rFonts w:ascii="Arial" w:hAnsi="Arial" w:cs="Arial"/>
                <w:sz w:val="20"/>
              </w:rPr>
            </w:pPr>
          </w:p>
          <w:p w14:paraId="0793805A" w14:textId="77777777" w:rsidR="007049A5" w:rsidRPr="004E4188" w:rsidRDefault="007049A5" w:rsidP="007E03C7">
            <w:pPr>
              <w:spacing w:before="60" w:afterLines="50" w:after="120"/>
              <w:rPr>
                <w:rFonts w:ascii="Arial" w:hAnsi="Arial" w:cs="Arial"/>
                <w:sz w:val="20"/>
              </w:rPr>
            </w:pPr>
            <w:r w:rsidRPr="004E4188">
              <w:rPr>
                <w:rFonts w:ascii="Arial" w:hAnsi="Arial" w:cs="Arial"/>
                <w:sz w:val="20"/>
              </w:rPr>
              <w:t>[</w:t>
            </w:r>
            <w:r w:rsidRPr="004E4188">
              <w:rPr>
                <w:rFonts w:ascii="Arial" w:hAnsi="Arial" w:cs="Arial"/>
                <w:i/>
                <w:sz w:val="20"/>
              </w:rPr>
              <w:t>Indiquer les critères pour l’attribution de lots multiples, le cas échéant.</w:t>
            </w:r>
            <w:r w:rsidRPr="004E4188">
              <w:rPr>
                <w:rFonts w:ascii="Arial" w:hAnsi="Arial" w:cs="Arial"/>
                <w:sz w:val="20"/>
              </w:rPr>
              <w:t>]</w:t>
            </w:r>
          </w:p>
        </w:tc>
        <w:tc>
          <w:tcPr>
            <w:tcW w:w="1560" w:type="dxa"/>
            <w:tcBorders>
              <w:bottom w:val="single" w:sz="4" w:space="0" w:color="auto"/>
            </w:tcBorders>
          </w:tcPr>
          <w:p w14:paraId="40AFB112" w14:textId="77777777" w:rsidR="007049A5" w:rsidRPr="004E4188" w:rsidRDefault="007049A5" w:rsidP="007E03C7">
            <w:pPr>
              <w:spacing w:before="60"/>
              <w:jc w:val="center"/>
              <w:rPr>
                <w:rFonts w:ascii="Arial" w:hAnsi="Arial" w:cs="Arial"/>
                <w:sz w:val="20"/>
              </w:rPr>
            </w:pPr>
            <w:r w:rsidRPr="004E4188">
              <w:rPr>
                <w:rFonts w:ascii="Arial" w:hAnsi="Arial" w:cs="Arial"/>
                <w:sz w:val="20"/>
              </w:rPr>
              <w:t>Doit satisfaire au critère</w:t>
            </w:r>
          </w:p>
        </w:tc>
        <w:tc>
          <w:tcPr>
            <w:tcW w:w="1453" w:type="dxa"/>
            <w:tcBorders>
              <w:bottom w:val="single" w:sz="4" w:space="0" w:color="auto"/>
            </w:tcBorders>
          </w:tcPr>
          <w:p w14:paraId="2F28D81B" w14:textId="77777777" w:rsidR="007049A5" w:rsidRPr="004E4188" w:rsidRDefault="007049A5" w:rsidP="007E03C7">
            <w:pPr>
              <w:spacing w:before="60"/>
              <w:jc w:val="center"/>
              <w:rPr>
                <w:rFonts w:ascii="Arial" w:hAnsi="Arial" w:cs="Arial"/>
                <w:sz w:val="20"/>
              </w:rPr>
            </w:pPr>
            <w:r w:rsidRPr="004E4188">
              <w:rPr>
                <w:rFonts w:ascii="Arial" w:hAnsi="Arial" w:cs="Arial"/>
                <w:sz w:val="20"/>
              </w:rPr>
              <w:t>Doivent satisfaire au critère</w:t>
            </w:r>
          </w:p>
        </w:tc>
        <w:tc>
          <w:tcPr>
            <w:tcW w:w="1453" w:type="dxa"/>
            <w:tcBorders>
              <w:bottom w:val="single" w:sz="4" w:space="0" w:color="auto"/>
            </w:tcBorders>
          </w:tcPr>
          <w:p w14:paraId="4CF7521C" w14:textId="77777777" w:rsidR="007049A5" w:rsidRPr="004E4188" w:rsidRDefault="007049A5" w:rsidP="007E03C7">
            <w:pPr>
              <w:spacing w:before="60"/>
              <w:jc w:val="center"/>
              <w:rPr>
                <w:rFonts w:ascii="Arial" w:hAnsi="Arial" w:cs="Arial"/>
                <w:sz w:val="20"/>
              </w:rPr>
            </w:pPr>
            <w:r w:rsidRPr="004E4188">
              <w:rPr>
                <w:rFonts w:ascii="Arial" w:hAnsi="Arial" w:cs="Arial"/>
                <w:sz w:val="20"/>
              </w:rPr>
              <w:t>Sans objet</w:t>
            </w:r>
          </w:p>
          <w:p w14:paraId="4715CEE5" w14:textId="77777777" w:rsidR="007049A5" w:rsidRPr="004E4188" w:rsidRDefault="007049A5" w:rsidP="007E03C7">
            <w:pPr>
              <w:spacing w:before="60"/>
              <w:jc w:val="center"/>
              <w:rPr>
                <w:rFonts w:ascii="Arial" w:hAnsi="Arial" w:cs="Arial"/>
                <w:sz w:val="20"/>
              </w:rPr>
            </w:pPr>
          </w:p>
        </w:tc>
        <w:tc>
          <w:tcPr>
            <w:tcW w:w="1453" w:type="dxa"/>
            <w:tcBorders>
              <w:bottom w:val="single" w:sz="4" w:space="0" w:color="auto"/>
            </w:tcBorders>
          </w:tcPr>
          <w:p w14:paraId="2AAEEF0D" w14:textId="77777777" w:rsidR="007049A5" w:rsidRPr="004E4188" w:rsidRDefault="007049A5" w:rsidP="007E03C7">
            <w:pPr>
              <w:spacing w:before="60"/>
              <w:jc w:val="center"/>
              <w:rPr>
                <w:rFonts w:ascii="Arial" w:hAnsi="Arial" w:cs="Arial"/>
                <w:sz w:val="20"/>
              </w:rPr>
            </w:pPr>
            <w:r w:rsidRPr="004E4188">
              <w:rPr>
                <w:rFonts w:ascii="Arial" w:hAnsi="Arial" w:cs="Arial"/>
                <w:sz w:val="20"/>
              </w:rPr>
              <w:t>Sans objet</w:t>
            </w:r>
          </w:p>
          <w:p w14:paraId="1415809F" w14:textId="77777777" w:rsidR="007049A5" w:rsidRPr="004E4188" w:rsidRDefault="007049A5" w:rsidP="007E03C7">
            <w:pPr>
              <w:spacing w:before="60"/>
              <w:jc w:val="center"/>
              <w:rPr>
                <w:rFonts w:ascii="Arial" w:hAnsi="Arial" w:cs="Arial"/>
                <w:sz w:val="20"/>
              </w:rPr>
            </w:pPr>
          </w:p>
        </w:tc>
        <w:tc>
          <w:tcPr>
            <w:tcW w:w="1765" w:type="dxa"/>
          </w:tcPr>
          <w:p w14:paraId="17F3FE66" w14:textId="77777777" w:rsidR="007049A5" w:rsidRPr="004E4188" w:rsidRDefault="007049A5" w:rsidP="00B14608">
            <w:pPr>
              <w:spacing w:before="60" w:after="60"/>
              <w:rPr>
                <w:rFonts w:ascii="Arial" w:hAnsi="Arial" w:cs="Arial"/>
                <w:sz w:val="20"/>
                <w:lang w:eastAsia="ja-JP"/>
              </w:rPr>
            </w:pPr>
            <w:r w:rsidRPr="004E4188">
              <w:rPr>
                <w:rFonts w:ascii="Arial" w:hAnsi="Arial" w:cs="Arial"/>
                <w:sz w:val="20"/>
              </w:rPr>
              <w:t>Formulaires</w:t>
            </w:r>
            <w:r w:rsidRPr="004E4188">
              <w:rPr>
                <w:rFonts w:ascii="Arial" w:hAnsi="Arial" w:cs="Arial"/>
                <w:sz w:val="20"/>
                <w:lang w:eastAsia="ja-JP"/>
              </w:rPr>
              <w:t xml:space="preserve"> </w:t>
            </w:r>
            <w:r w:rsidRPr="004E4188">
              <w:rPr>
                <w:rFonts w:ascii="Arial" w:hAnsi="Arial" w:cs="Arial"/>
                <w:sz w:val="20"/>
              </w:rPr>
              <w:t>FIN-3 et FIN-4</w:t>
            </w:r>
          </w:p>
          <w:p w14:paraId="06735019" w14:textId="77777777" w:rsidR="007049A5" w:rsidRPr="004E4188" w:rsidRDefault="007049A5" w:rsidP="00B14608">
            <w:pPr>
              <w:rPr>
                <w:rFonts w:ascii="Arial" w:hAnsi="Arial" w:cs="Arial"/>
                <w:sz w:val="20"/>
              </w:rPr>
            </w:pPr>
          </w:p>
        </w:tc>
      </w:tr>
      <w:tr w:rsidR="007049A5" w:rsidRPr="004E4188" w14:paraId="27476439" w14:textId="77777777" w:rsidTr="0075268B">
        <w:trPr>
          <w:trHeight w:val="6665"/>
        </w:trPr>
        <w:tc>
          <w:tcPr>
            <w:tcW w:w="13462" w:type="dxa"/>
            <w:gridSpan w:val="8"/>
          </w:tcPr>
          <w:p w14:paraId="41B30FDE" w14:textId="77777777" w:rsidR="007049A5" w:rsidRPr="004E4188" w:rsidRDefault="007049A5" w:rsidP="006C6267">
            <w:pPr>
              <w:spacing w:afterLines="50" w:after="120"/>
              <w:rPr>
                <w:rFonts w:ascii="Arial" w:hAnsi="Arial" w:cs="Arial"/>
                <w:i/>
                <w:sz w:val="20"/>
                <w:u w:val="single"/>
                <w:lang w:eastAsia="ja-JP"/>
              </w:rPr>
            </w:pPr>
            <w:r w:rsidRPr="004E4188">
              <w:rPr>
                <w:rFonts w:ascii="Arial" w:hAnsi="Arial" w:cs="Arial"/>
                <w:i/>
                <w:sz w:val="20"/>
                <w:u w:val="single"/>
                <w:lang w:eastAsia="ja-JP"/>
              </w:rPr>
              <w:t>Notes à l’intention du Maître d’ouvrage</w:t>
            </w:r>
          </w:p>
          <w:p w14:paraId="0D747CF6" w14:textId="1BA98E4F" w:rsidR="007049A5" w:rsidRPr="004E4188" w:rsidRDefault="007049A5" w:rsidP="006C6267">
            <w:pPr>
              <w:tabs>
                <w:tab w:val="left" w:pos="340"/>
              </w:tabs>
              <w:spacing w:afterLines="50" w:after="120"/>
              <w:ind w:left="340" w:hanging="340"/>
              <w:rPr>
                <w:rFonts w:ascii="Arial" w:hAnsi="Arial" w:cs="Arial"/>
                <w:i/>
                <w:sz w:val="20"/>
                <w:lang w:eastAsia="ja-JP"/>
              </w:rPr>
            </w:pPr>
            <w:r w:rsidRPr="004E4188">
              <w:rPr>
                <w:rFonts w:ascii="Arial" w:hAnsi="Arial" w:cs="Arial"/>
                <w:i/>
                <w:sz w:val="20"/>
              </w:rPr>
              <w:t>1.</w:t>
            </w:r>
            <w:r w:rsidRPr="004E4188">
              <w:rPr>
                <w:rFonts w:ascii="Arial" w:hAnsi="Arial" w:cs="Arial"/>
                <w:i/>
                <w:sz w:val="20"/>
                <w:lang w:eastAsia="ja-JP"/>
              </w:rPr>
              <w:tab/>
            </w:r>
            <w:r w:rsidRPr="004E4188">
              <w:rPr>
                <w:rFonts w:ascii="Arial" w:hAnsi="Arial" w:cs="Arial"/>
                <w:i/>
                <w:sz w:val="20"/>
              </w:rPr>
              <w:t>La période e</w:t>
            </w:r>
            <w:r w:rsidRPr="004E4188">
              <w:rPr>
                <w:rFonts w:ascii="Arial" w:hAnsi="Arial" w:cs="Arial"/>
                <w:i/>
                <w:sz w:val="20"/>
                <w:lang w:eastAsia="ja-JP"/>
              </w:rPr>
              <w:t xml:space="preserve">st normalement de cinq (5) ans. Elle peut être réduite à trois (3) ans minimum (avec l’accord de la JICA) en cas de circonstances particulières propres à un pays, de manière à donner des opportunités aux entreprises de construction récemment privatisées dont la période d’existence est limitée mais ayant toutefois une expérience adaptée, etc. </w:t>
            </w:r>
          </w:p>
          <w:p w14:paraId="48EA9D84" w14:textId="33337182" w:rsidR="007049A5" w:rsidRPr="004E4188" w:rsidRDefault="007049A5" w:rsidP="006C6267">
            <w:pPr>
              <w:tabs>
                <w:tab w:val="left" w:pos="340"/>
              </w:tabs>
              <w:spacing w:afterLines="50" w:after="120"/>
              <w:ind w:left="340" w:hanging="340"/>
              <w:rPr>
                <w:rFonts w:ascii="Arial" w:hAnsi="Arial" w:cs="Arial"/>
                <w:i/>
                <w:sz w:val="20"/>
              </w:rPr>
            </w:pPr>
            <w:r w:rsidRPr="004E4188">
              <w:rPr>
                <w:rFonts w:ascii="Arial" w:hAnsi="Arial" w:cs="Arial"/>
                <w:i/>
                <w:sz w:val="20"/>
                <w:lang w:eastAsia="ja-JP"/>
              </w:rPr>
              <w:t>2.</w:t>
            </w:r>
            <w:r w:rsidRPr="004E4188">
              <w:rPr>
                <w:rFonts w:ascii="Arial" w:hAnsi="Arial" w:cs="Arial"/>
                <w:i/>
                <w:sz w:val="20"/>
                <w:lang w:eastAsia="ja-JP"/>
              </w:rPr>
              <w:tab/>
              <w:t xml:space="preserve">Le montant </w:t>
            </w:r>
            <w:r w:rsidRPr="004E4188">
              <w:rPr>
                <w:rFonts w:ascii="Arial" w:hAnsi="Arial" w:cs="Arial"/>
                <w:i/>
                <w:sz w:val="20"/>
              </w:rPr>
              <w:t>indiqué ne doit pas normalement être inférieur au double du chiffre d’affaires annuel estimé du marché proposé (basé sur une projection linéaire d</w:t>
            </w:r>
            <w:r w:rsidRPr="004E4188">
              <w:rPr>
                <w:rFonts w:ascii="Arial" w:hAnsi="Arial" w:cs="Arial"/>
                <w:i/>
                <w:sz w:val="20"/>
                <w:lang w:eastAsia="ja-JP"/>
              </w:rPr>
              <w:t xml:space="preserve">e </w:t>
            </w:r>
            <w:r w:rsidRPr="004E4188">
              <w:rPr>
                <w:rFonts w:ascii="Arial" w:hAnsi="Arial" w:cs="Arial"/>
                <w:i/>
                <w:sz w:val="20"/>
              </w:rPr>
              <w:t>l’estimation des coûts établie par le Maître d’ouvrage, incluant les provisions pour risques, pendant la période contractuelle). Le multiplicateur 2 peut être réduit pour des marchés de grande envergure mais ne doit pas être inférieur à 1,5.</w:t>
            </w:r>
          </w:p>
          <w:p w14:paraId="6BA9BAF9" w14:textId="77777777" w:rsidR="007049A5" w:rsidRPr="004E4188" w:rsidRDefault="007049A5" w:rsidP="006C6267">
            <w:pPr>
              <w:tabs>
                <w:tab w:val="left" w:pos="340"/>
              </w:tabs>
              <w:spacing w:afterLines="50" w:after="120"/>
              <w:ind w:left="340" w:hanging="340"/>
              <w:rPr>
                <w:rFonts w:ascii="Arial" w:hAnsi="Arial" w:cs="Arial"/>
                <w:i/>
                <w:sz w:val="20"/>
                <w:lang w:eastAsia="ja-JP"/>
              </w:rPr>
            </w:pPr>
            <w:r w:rsidRPr="004E4188">
              <w:rPr>
                <w:rFonts w:ascii="Arial" w:hAnsi="Arial" w:cs="Arial"/>
                <w:i/>
                <w:sz w:val="20"/>
                <w:lang w:eastAsia="ja-JP"/>
              </w:rPr>
              <w:t>3.</w:t>
            </w:r>
            <w:r w:rsidRPr="004E4188">
              <w:rPr>
                <w:rFonts w:ascii="Arial" w:hAnsi="Arial" w:cs="Arial"/>
                <w:i/>
                <w:sz w:val="20"/>
                <w:lang w:eastAsia="ja-JP"/>
              </w:rPr>
              <w:tab/>
            </w:r>
            <w:r w:rsidRPr="004E4188">
              <w:rPr>
                <w:rFonts w:ascii="Arial" w:hAnsi="Arial" w:cs="Arial"/>
                <w:i/>
                <w:sz w:val="20"/>
              </w:rPr>
              <w:t>L</w:t>
            </w:r>
            <w:r w:rsidRPr="004E4188">
              <w:rPr>
                <w:rFonts w:ascii="Arial" w:hAnsi="Arial" w:cs="Arial"/>
                <w:i/>
                <w:sz w:val="20"/>
                <w:lang w:eastAsia="ja-JP"/>
              </w:rPr>
              <w:t>a période est normalement de cinq (5) ans ou plus mais elle peut être réduite à trois (3) ans minimum (avec l’accord de la JICA) en cas de circonstances particulières propres à un pays, de manière à donner des opportunités aux entreprises de construction récemment privatisées ayant peu d’années d’expérience, etc.</w:t>
            </w:r>
          </w:p>
          <w:p w14:paraId="6976E37B" w14:textId="77777777" w:rsidR="007049A5" w:rsidRPr="004E4188" w:rsidRDefault="007049A5" w:rsidP="006C6267">
            <w:pPr>
              <w:tabs>
                <w:tab w:val="left" w:pos="340"/>
              </w:tabs>
              <w:spacing w:afterLines="50" w:after="120"/>
              <w:ind w:left="340" w:hanging="340"/>
              <w:rPr>
                <w:rFonts w:ascii="Arial" w:hAnsi="Arial" w:cs="Arial"/>
                <w:i/>
                <w:sz w:val="20"/>
                <w:lang w:eastAsia="ja-JP"/>
              </w:rPr>
            </w:pPr>
            <w:r w:rsidRPr="004E4188">
              <w:rPr>
                <w:rFonts w:ascii="Arial" w:hAnsi="Arial" w:cs="Arial"/>
                <w:i/>
                <w:sz w:val="20"/>
                <w:lang w:eastAsia="ja-JP"/>
              </w:rPr>
              <w:t>4.</w:t>
            </w:r>
            <w:r w:rsidRPr="004E4188">
              <w:rPr>
                <w:rFonts w:ascii="Arial" w:hAnsi="Arial" w:cs="Arial"/>
                <w:i/>
                <w:sz w:val="20"/>
                <w:lang w:eastAsia="ja-JP"/>
              </w:rPr>
              <w:tab/>
              <w:t>Même nombre que pour 3. ci-dessus.</w:t>
            </w:r>
          </w:p>
          <w:p w14:paraId="1101DDCC" w14:textId="77777777" w:rsidR="007049A5" w:rsidRPr="004E4188" w:rsidRDefault="007049A5" w:rsidP="006C6267">
            <w:pPr>
              <w:tabs>
                <w:tab w:val="left" w:pos="340"/>
              </w:tabs>
              <w:spacing w:afterLines="50" w:after="120"/>
              <w:ind w:left="340" w:hanging="340"/>
              <w:rPr>
                <w:rFonts w:ascii="Arial" w:hAnsi="Arial" w:cs="Arial"/>
                <w:i/>
                <w:sz w:val="20"/>
                <w:lang w:eastAsia="ja-JP"/>
              </w:rPr>
            </w:pPr>
            <w:r w:rsidRPr="004E4188">
              <w:rPr>
                <w:rFonts w:ascii="Arial" w:hAnsi="Arial" w:cs="Arial"/>
                <w:i/>
                <w:sz w:val="20"/>
                <w:lang w:eastAsia="ja-JP"/>
              </w:rPr>
              <w:t>5.</w:t>
            </w:r>
            <w:r w:rsidRPr="004E4188">
              <w:rPr>
                <w:rFonts w:ascii="Arial" w:hAnsi="Arial" w:cs="Arial"/>
                <w:i/>
                <w:sz w:val="20"/>
                <w:lang w:eastAsia="ja-JP"/>
              </w:rPr>
              <w:tab/>
              <w:t>Normalement pas moins de 25% du critère pour chaque membre d’un Groupement.</w:t>
            </w:r>
          </w:p>
          <w:p w14:paraId="0FA6951B" w14:textId="77777777" w:rsidR="007049A5" w:rsidRPr="004E4188" w:rsidRDefault="007049A5" w:rsidP="006C6267">
            <w:pPr>
              <w:tabs>
                <w:tab w:val="left" w:pos="340"/>
              </w:tabs>
              <w:spacing w:afterLines="50" w:after="120"/>
              <w:ind w:left="340" w:hanging="340"/>
              <w:rPr>
                <w:rFonts w:ascii="Arial" w:hAnsi="Arial" w:cs="Arial"/>
                <w:i/>
                <w:sz w:val="20"/>
              </w:rPr>
            </w:pPr>
            <w:r w:rsidRPr="004E4188">
              <w:rPr>
                <w:rFonts w:ascii="Arial" w:hAnsi="Arial" w:cs="Arial"/>
                <w:i/>
                <w:sz w:val="20"/>
                <w:lang w:eastAsia="ja-JP"/>
              </w:rPr>
              <w:t>6.</w:t>
            </w:r>
            <w:r w:rsidRPr="004E4188">
              <w:rPr>
                <w:rFonts w:ascii="Arial" w:hAnsi="Arial" w:cs="Arial"/>
                <w:i/>
                <w:sz w:val="20"/>
                <w:lang w:eastAsia="ja-JP"/>
              </w:rPr>
              <w:tab/>
              <w:t>N</w:t>
            </w:r>
            <w:r w:rsidRPr="004E4188">
              <w:rPr>
                <w:rFonts w:ascii="Arial" w:hAnsi="Arial" w:cs="Arial"/>
                <w:i/>
                <w:sz w:val="20"/>
              </w:rPr>
              <w:t xml:space="preserve">ormalement </w:t>
            </w:r>
            <w:r w:rsidRPr="004E4188">
              <w:rPr>
                <w:rFonts w:ascii="Arial" w:hAnsi="Arial" w:cs="Arial"/>
                <w:i/>
                <w:sz w:val="20"/>
                <w:lang w:eastAsia="ja-JP"/>
              </w:rPr>
              <w:t>pas moins de</w:t>
            </w:r>
            <w:r w:rsidRPr="004E4188">
              <w:rPr>
                <w:rFonts w:ascii="Arial" w:hAnsi="Arial" w:cs="Arial"/>
                <w:i/>
                <w:sz w:val="20"/>
              </w:rPr>
              <w:t xml:space="preserve"> 40% </w:t>
            </w:r>
            <w:r w:rsidRPr="004E4188">
              <w:rPr>
                <w:rFonts w:ascii="Arial" w:hAnsi="Arial" w:cs="Arial"/>
                <w:i/>
                <w:sz w:val="20"/>
                <w:lang w:eastAsia="ja-JP"/>
              </w:rPr>
              <w:t>du critère</w:t>
            </w:r>
            <w:r w:rsidRPr="004E4188">
              <w:rPr>
                <w:rFonts w:ascii="Arial" w:hAnsi="Arial" w:cs="Arial"/>
                <w:i/>
                <w:sz w:val="20"/>
              </w:rPr>
              <w:t xml:space="preserve"> </w:t>
            </w:r>
            <w:r w:rsidRPr="004E4188">
              <w:rPr>
                <w:rFonts w:ascii="Arial" w:hAnsi="Arial" w:cs="Arial"/>
                <w:i/>
                <w:sz w:val="20"/>
                <w:lang w:eastAsia="ja-JP"/>
              </w:rPr>
              <w:t>pour un membre d’un Groupement</w:t>
            </w:r>
            <w:r w:rsidRPr="004E4188">
              <w:rPr>
                <w:rFonts w:ascii="Arial" w:hAnsi="Arial" w:cs="Arial"/>
                <w:i/>
                <w:sz w:val="20"/>
              </w:rPr>
              <w:t>.</w:t>
            </w:r>
          </w:p>
          <w:p w14:paraId="04B2F6EB" w14:textId="77777777" w:rsidR="007049A5" w:rsidRPr="004E4188" w:rsidRDefault="007049A5" w:rsidP="006C6267">
            <w:pPr>
              <w:tabs>
                <w:tab w:val="left" w:pos="340"/>
              </w:tabs>
              <w:spacing w:afterLines="50" w:after="120"/>
              <w:ind w:left="340" w:hanging="340"/>
              <w:rPr>
                <w:rFonts w:ascii="Arial" w:eastAsia="Times New Roman" w:hAnsi="Arial" w:cs="Arial"/>
                <w:i/>
                <w:sz w:val="20"/>
              </w:rPr>
            </w:pPr>
            <w:r w:rsidRPr="004E4188">
              <w:rPr>
                <w:rFonts w:ascii="Arial" w:hAnsi="Arial" w:cs="Arial"/>
                <w:i/>
                <w:sz w:val="20"/>
              </w:rPr>
              <w:t>7.</w:t>
            </w:r>
            <w:r w:rsidRPr="004E4188">
              <w:rPr>
                <w:rFonts w:ascii="Arial" w:hAnsi="Arial" w:cs="Arial"/>
                <w:i/>
                <w:sz w:val="20"/>
                <w:lang w:eastAsia="ja-JP"/>
              </w:rPr>
              <w:tab/>
              <w:t>Indiquer le flux de trésorerie des activités de construction pour un nombre de mois, correspondant à la période totale nécessaire au Maître d’ouvrage pour régler les factures d’un entrepreneur, en tenant compte (a) du temps réel de construction à partir du début du mois facturé, (b) du temps nécessaire au Directeur de projet pour</w:t>
            </w:r>
            <w:r w:rsidRPr="004E4188">
              <w:rPr>
                <w:rFonts w:ascii="Arial" w:eastAsia="Times New Roman" w:hAnsi="Arial" w:cs="Arial"/>
                <w:i/>
                <w:sz w:val="20"/>
              </w:rPr>
              <w:t xml:space="preserve"> établir l’approbation du paiement, (c) du temps nécessaire au Maître d’ouvrage pour régler les </w:t>
            </w:r>
            <w:r w:rsidRPr="004E4188">
              <w:rPr>
                <w:rFonts w:ascii="Arial" w:hAnsi="Arial" w:cs="Arial"/>
                <w:i/>
                <w:sz w:val="20"/>
                <w:lang w:eastAsia="ja-JP"/>
              </w:rPr>
              <w:t>montants certifiés</w:t>
            </w:r>
            <w:r w:rsidRPr="004E4188">
              <w:rPr>
                <w:rFonts w:ascii="Arial" w:eastAsia="Times New Roman" w:hAnsi="Arial" w:cs="Arial"/>
                <w:i/>
                <w:sz w:val="20"/>
              </w:rPr>
              <w:t>, et (d) d’un délai supplémentaire d’un mois en cas de retard imprévu</w:t>
            </w:r>
            <w:r w:rsidRPr="004E4188">
              <w:rPr>
                <w:rFonts w:ascii="Arial" w:hAnsi="Arial" w:cs="Arial"/>
                <w:i/>
                <w:sz w:val="20"/>
                <w:lang w:eastAsia="ja-JP"/>
              </w:rPr>
              <w:t xml:space="preserve">. La période totale ne devra pas dépasser six (6) mois. </w:t>
            </w:r>
            <w:r w:rsidRPr="004E4188">
              <w:rPr>
                <w:rFonts w:ascii="Arial" w:eastAsia="Times New Roman" w:hAnsi="Arial" w:cs="Arial"/>
                <w:i/>
                <w:sz w:val="20"/>
              </w:rPr>
              <w:t>L’estimation du montant mensuel devra être basée sur une projection linéaire des besoins estimés de trésorerie sur la période contractuelle, sans prendre en compte les effets d'une avance de paiement ou d’une retenue, mais incluant les provisions pour risque dans le montant estimé du Marché.</w:t>
            </w:r>
          </w:p>
          <w:tbl>
            <w:tblPr>
              <w:tblpPr w:leftFromText="142" w:rightFromText="142" w:vertAnchor="text" w:horzAnchor="margin" w:tblpX="284" w:tblpY="342"/>
              <w:tblOverlap w:val="never"/>
              <w:tblW w:w="0" w:type="auto"/>
              <w:tblLayout w:type="fixed"/>
              <w:tblLook w:val="04A0" w:firstRow="1" w:lastRow="0" w:firstColumn="1" w:lastColumn="0" w:noHBand="0" w:noVBand="1"/>
            </w:tblPr>
            <w:tblGrid>
              <w:gridCol w:w="2126"/>
              <w:gridCol w:w="338"/>
              <w:gridCol w:w="5602"/>
            </w:tblGrid>
            <w:tr w:rsidR="007049A5" w:rsidRPr="004E4188" w14:paraId="45F8DAE2" w14:textId="77777777" w:rsidTr="008931A6">
              <w:tc>
                <w:tcPr>
                  <w:tcW w:w="2126" w:type="dxa"/>
                  <w:vMerge w:val="restart"/>
                  <w:shd w:val="clear" w:color="auto" w:fill="auto"/>
                  <w:vAlign w:val="center"/>
                </w:tcPr>
                <w:p w14:paraId="60B73B22" w14:textId="77777777" w:rsidR="007049A5" w:rsidRPr="004E4188" w:rsidRDefault="007049A5" w:rsidP="006C6267">
                  <w:pPr>
                    <w:widowControl w:val="0"/>
                    <w:tabs>
                      <w:tab w:val="left" w:leader="dot" w:pos="8424"/>
                    </w:tabs>
                    <w:spacing w:before="60" w:after="60" w:line="240" w:lineRule="exact"/>
                    <w:jc w:val="center"/>
                    <w:rPr>
                      <w:rFonts w:ascii="Arial" w:hAnsi="Arial" w:cs="Arial"/>
                      <w:i/>
                      <w:sz w:val="20"/>
                      <w:lang w:val="en-US" w:eastAsia="ja-JP"/>
                    </w:rPr>
                  </w:pPr>
                  <w:r w:rsidRPr="004E4188">
                    <w:rPr>
                      <w:rFonts w:ascii="Arial" w:hAnsi="Arial" w:cs="Arial"/>
                      <w:i/>
                      <w:sz w:val="20"/>
                      <w:lang w:val="en-US" w:eastAsia="ja-JP"/>
                    </w:rPr>
                    <w:t>Montant mensuel</w:t>
                  </w:r>
                </w:p>
              </w:tc>
              <w:tc>
                <w:tcPr>
                  <w:tcW w:w="338" w:type="dxa"/>
                  <w:vMerge w:val="restart"/>
                  <w:shd w:val="clear" w:color="auto" w:fill="auto"/>
                  <w:vAlign w:val="center"/>
                </w:tcPr>
                <w:p w14:paraId="7064762B" w14:textId="77777777" w:rsidR="007049A5" w:rsidRPr="004E4188" w:rsidRDefault="007049A5" w:rsidP="006C6267">
                  <w:pPr>
                    <w:widowControl w:val="0"/>
                    <w:tabs>
                      <w:tab w:val="left" w:leader="dot" w:pos="8424"/>
                    </w:tabs>
                    <w:spacing w:before="60" w:after="60" w:line="240" w:lineRule="exact"/>
                    <w:jc w:val="center"/>
                    <w:rPr>
                      <w:rFonts w:ascii="Arial" w:hAnsi="Arial" w:cs="Arial"/>
                      <w:i/>
                      <w:sz w:val="20"/>
                      <w:lang w:val="en-US" w:eastAsia="ja-JP"/>
                    </w:rPr>
                  </w:pPr>
                  <w:r w:rsidRPr="004E4188">
                    <w:rPr>
                      <w:rFonts w:ascii="Arial" w:hAnsi="Arial" w:cs="Arial"/>
                      <w:i/>
                      <w:sz w:val="20"/>
                      <w:lang w:val="en-US" w:eastAsia="ja-JP"/>
                    </w:rPr>
                    <w:t>=</w:t>
                  </w:r>
                </w:p>
              </w:tc>
              <w:tc>
                <w:tcPr>
                  <w:tcW w:w="5602" w:type="dxa"/>
                  <w:tcBorders>
                    <w:bottom w:val="single" w:sz="4" w:space="0" w:color="auto"/>
                  </w:tcBorders>
                  <w:shd w:val="clear" w:color="auto" w:fill="auto"/>
                </w:tcPr>
                <w:p w14:paraId="59164243" w14:textId="77777777" w:rsidR="007049A5" w:rsidRPr="004E4188" w:rsidRDefault="007049A5" w:rsidP="006C6267">
                  <w:pPr>
                    <w:widowControl w:val="0"/>
                    <w:tabs>
                      <w:tab w:val="left" w:leader="dot" w:pos="8424"/>
                    </w:tabs>
                    <w:spacing w:before="60" w:after="60" w:line="240" w:lineRule="exact"/>
                    <w:jc w:val="left"/>
                    <w:rPr>
                      <w:rFonts w:ascii="Arial" w:hAnsi="Arial" w:cs="Arial"/>
                      <w:i/>
                      <w:sz w:val="20"/>
                      <w:lang w:eastAsia="ja-JP"/>
                    </w:rPr>
                  </w:pPr>
                  <w:r w:rsidRPr="004E4188">
                    <w:rPr>
                      <w:rFonts w:ascii="Arial" w:hAnsi="Arial" w:cs="Arial"/>
                      <w:i/>
                      <w:sz w:val="20"/>
                      <w:lang w:eastAsia="ja-JP"/>
                    </w:rPr>
                    <w:t>Valeur estimée du Marché (impôts et droits compris)</w:t>
                  </w:r>
                </w:p>
              </w:tc>
            </w:tr>
            <w:tr w:rsidR="007049A5" w:rsidRPr="004E4188" w14:paraId="6B040FE3" w14:textId="77777777" w:rsidTr="008931A6">
              <w:trPr>
                <w:trHeight w:val="152"/>
              </w:trPr>
              <w:tc>
                <w:tcPr>
                  <w:tcW w:w="2126" w:type="dxa"/>
                  <w:vMerge/>
                  <w:shd w:val="clear" w:color="auto" w:fill="auto"/>
                </w:tcPr>
                <w:p w14:paraId="76F1E212" w14:textId="77777777" w:rsidR="007049A5" w:rsidRPr="004E4188" w:rsidRDefault="007049A5" w:rsidP="006C6267">
                  <w:pPr>
                    <w:widowControl w:val="0"/>
                    <w:tabs>
                      <w:tab w:val="left" w:leader="dot" w:pos="8424"/>
                    </w:tabs>
                    <w:spacing w:before="60" w:after="60" w:line="240" w:lineRule="exact"/>
                    <w:rPr>
                      <w:rFonts w:ascii="Arial" w:hAnsi="Arial" w:cs="Arial"/>
                      <w:i/>
                      <w:sz w:val="20"/>
                      <w:lang w:eastAsia="ja-JP"/>
                    </w:rPr>
                  </w:pPr>
                </w:p>
              </w:tc>
              <w:tc>
                <w:tcPr>
                  <w:tcW w:w="338" w:type="dxa"/>
                  <w:vMerge/>
                  <w:shd w:val="clear" w:color="auto" w:fill="auto"/>
                </w:tcPr>
                <w:p w14:paraId="387AC1CD" w14:textId="77777777" w:rsidR="007049A5" w:rsidRPr="004E4188" w:rsidRDefault="007049A5" w:rsidP="006C6267">
                  <w:pPr>
                    <w:widowControl w:val="0"/>
                    <w:tabs>
                      <w:tab w:val="left" w:leader="dot" w:pos="8424"/>
                    </w:tabs>
                    <w:spacing w:before="60" w:after="60" w:line="240" w:lineRule="exact"/>
                    <w:rPr>
                      <w:rFonts w:ascii="Arial" w:hAnsi="Arial" w:cs="Arial"/>
                      <w:i/>
                      <w:sz w:val="20"/>
                      <w:lang w:eastAsia="ja-JP"/>
                    </w:rPr>
                  </w:pPr>
                </w:p>
              </w:tc>
              <w:tc>
                <w:tcPr>
                  <w:tcW w:w="5602" w:type="dxa"/>
                  <w:tcBorders>
                    <w:top w:val="single" w:sz="4" w:space="0" w:color="auto"/>
                  </w:tcBorders>
                  <w:shd w:val="clear" w:color="auto" w:fill="auto"/>
                </w:tcPr>
                <w:p w14:paraId="5869B9A7" w14:textId="77777777" w:rsidR="007049A5" w:rsidRPr="004E4188" w:rsidRDefault="007049A5" w:rsidP="006C6267">
                  <w:pPr>
                    <w:widowControl w:val="0"/>
                    <w:tabs>
                      <w:tab w:val="left" w:leader="dot" w:pos="8424"/>
                    </w:tabs>
                    <w:spacing w:before="60" w:after="60" w:line="240" w:lineRule="exact"/>
                    <w:jc w:val="left"/>
                    <w:rPr>
                      <w:rFonts w:ascii="Arial" w:hAnsi="Arial" w:cs="Arial"/>
                      <w:i/>
                      <w:sz w:val="20"/>
                      <w:lang w:eastAsia="ja-JP"/>
                    </w:rPr>
                  </w:pPr>
                  <w:r w:rsidRPr="004E4188">
                    <w:rPr>
                      <w:rFonts w:ascii="Arial" w:hAnsi="Arial" w:cs="Arial"/>
                      <w:i/>
                      <w:sz w:val="20"/>
                      <w:lang w:eastAsia="ja-JP"/>
                    </w:rPr>
                    <w:t>Période contractuelle en mois</w:t>
                  </w:r>
                </w:p>
              </w:tc>
            </w:tr>
          </w:tbl>
          <w:p w14:paraId="15E2579A" w14:textId="77777777" w:rsidR="007049A5" w:rsidRPr="004E4188" w:rsidRDefault="007049A5" w:rsidP="006C6267">
            <w:pPr>
              <w:tabs>
                <w:tab w:val="left" w:pos="340"/>
              </w:tabs>
              <w:spacing w:afterLines="50" w:after="120"/>
              <w:ind w:left="340" w:hanging="340"/>
              <w:rPr>
                <w:rFonts w:ascii="Arial" w:hAnsi="Arial" w:cs="Arial"/>
                <w:sz w:val="32"/>
                <w:szCs w:val="32"/>
              </w:rPr>
            </w:pPr>
          </w:p>
        </w:tc>
      </w:tr>
    </w:tbl>
    <w:p w14:paraId="78DC97CD" w14:textId="77777777" w:rsidR="007049A5" w:rsidRPr="004E4188" w:rsidRDefault="007049A5">
      <w:r w:rsidRPr="004E4188">
        <w:br w:type="page"/>
      </w:r>
    </w:p>
    <w:p w14:paraId="03FED387" w14:textId="0631A555" w:rsidR="007049A5" w:rsidRPr="004E4188" w:rsidRDefault="007049A5" w:rsidP="003D46CF">
      <w:pPr>
        <w:pStyle w:val="ListParagraph1"/>
        <w:numPr>
          <w:ilvl w:val="1"/>
          <w:numId w:val="37"/>
        </w:numPr>
        <w:snapToGrid w:val="0"/>
        <w:spacing w:after="240"/>
        <w:ind w:left="0" w:firstLine="0"/>
        <w:contextualSpacing w:val="0"/>
        <w:jc w:val="left"/>
        <w:rPr>
          <w:b/>
          <w:sz w:val="28"/>
          <w:szCs w:val="28"/>
        </w:rPr>
      </w:pPr>
      <w:r w:rsidRPr="004E4188">
        <w:rPr>
          <w:b/>
          <w:sz w:val="28"/>
          <w:szCs w:val="28"/>
        </w:rPr>
        <w:t>Exp</w:t>
      </w:r>
      <w:r w:rsidR="005755A6" w:rsidRPr="004E4188">
        <w:rPr>
          <w:b/>
          <w:sz w:val="28"/>
          <w:szCs w:val="28"/>
        </w:rPr>
        <w:t>é</w:t>
      </w:r>
      <w:r w:rsidRPr="004E4188">
        <w:rPr>
          <w:b/>
          <w:sz w:val="28"/>
          <w:szCs w:val="28"/>
        </w:rPr>
        <w:t>rience</w:t>
      </w:r>
    </w:p>
    <w:tbl>
      <w:tblPr>
        <w:tblW w:w="13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37"/>
        <w:gridCol w:w="3513"/>
        <w:gridCol w:w="1560"/>
        <w:gridCol w:w="1453"/>
        <w:gridCol w:w="1453"/>
        <w:gridCol w:w="1453"/>
        <w:gridCol w:w="1699"/>
      </w:tblGrid>
      <w:tr w:rsidR="005755A6" w:rsidRPr="004E4188" w14:paraId="217DA788" w14:textId="77777777" w:rsidTr="00B7227C">
        <w:trPr>
          <w:tblHeader/>
        </w:trPr>
        <w:tc>
          <w:tcPr>
            <w:tcW w:w="5778" w:type="dxa"/>
            <w:gridSpan w:val="3"/>
            <w:tcBorders>
              <w:bottom w:val="single" w:sz="4" w:space="0" w:color="auto"/>
            </w:tcBorders>
            <w:shd w:val="clear" w:color="auto" w:fill="000000" w:themeFill="text1"/>
            <w:vAlign w:val="center"/>
          </w:tcPr>
          <w:p w14:paraId="62059E82" w14:textId="39A065C7" w:rsidR="005755A6" w:rsidRPr="004E4188" w:rsidRDefault="005755A6" w:rsidP="005755A6">
            <w:pPr>
              <w:jc w:val="center"/>
              <w:rPr>
                <w:rFonts w:ascii="Arial" w:hAnsi="Arial" w:cs="Arial"/>
                <w:b/>
              </w:rPr>
            </w:pPr>
            <w:r w:rsidRPr="004E4188">
              <w:rPr>
                <w:rFonts w:ascii="Arial" w:hAnsi="Arial" w:cs="Arial"/>
                <w:b/>
                <w:color w:val="FFFFFF"/>
                <w:sz w:val="20"/>
              </w:rPr>
              <w:t>Critères d’éligibilité et de qualification</w:t>
            </w:r>
          </w:p>
        </w:tc>
        <w:tc>
          <w:tcPr>
            <w:tcW w:w="5919" w:type="dxa"/>
            <w:gridSpan w:val="4"/>
            <w:tcBorders>
              <w:bottom w:val="single" w:sz="4" w:space="0" w:color="auto"/>
            </w:tcBorders>
            <w:shd w:val="clear" w:color="auto" w:fill="000000" w:themeFill="text1"/>
            <w:vAlign w:val="center"/>
          </w:tcPr>
          <w:p w14:paraId="0C9ED179" w14:textId="596D4A19" w:rsidR="005755A6" w:rsidRPr="004E4188" w:rsidRDefault="005755A6" w:rsidP="005755A6">
            <w:pPr>
              <w:jc w:val="center"/>
              <w:rPr>
                <w:rFonts w:ascii="Arial" w:hAnsi="Arial" w:cs="Arial"/>
                <w:b/>
              </w:rPr>
            </w:pPr>
            <w:r w:rsidRPr="004E4188">
              <w:rPr>
                <w:rFonts w:ascii="Arial" w:hAnsi="Arial" w:cs="Arial"/>
                <w:b/>
                <w:color w:val="FFFFFF"/>
                <w:sz w:val="20"/>
              </w:rPr>
              <w:t>Conditions de conformité</w:t>
            </w:r>
          </w:p>
        </w:tc>
        <w:tc>
          <w:tcPr>
            <w:tcW w:w="1699" w:type="dxa"/>
            <w:tcBorders>
              <w:bottom w:val="single" w:sz="4" w:space="0" w:color="auto"/>
            </w:tcBorders>
            <w:shd w:val="clear" w:color="auto" w:fill="000000" w:themeFill="text1"/>
            <w:vAlign w:val="center"/>
          </w:tcPr>
          <w:p w14:paraId="43D6C62E" w14:textId="50C093DF" w:rsidR="005755A6" w:rsidRPr="004E4188" w:rsidRDefault="005755A6" w:rsidP="005755A6">
            <w:pPr>
              <w:jc w:val="center"/>
              <w:rPr>
                <w:rFonts w:ascii="Arial" w:hAnsi="Arial" w:cs="Arial"/>
                <w:b/>
              </w:rPr>
            </w:pPr>
            <w:r w:rsidRPr="004E4188">
              <w:rPr>
                <w:rFonts w:ascii="Arial" w:hAnsi="Arial" w:cs="Arial"/>
                <w:b/>
                <w:color w:val="FFFFFF"/>
                <w:sz w:val="20"/>
              </w:rPr>
              <w:t>Documentation</w:t>
            </w:r>
          </w:p>
        </w:tc>
      </w:tr>
      <w:tr w:rsidR="007049A5" w:rsidRPr="004E4188" w14:paraId="252644DD" w14:textId="77777777" w:rsidTr="00B7227C">
        <w:trPr>
          <w:trHeight w:val="300"/>
          <w:tblHeader/>
        </w:trPr>
        <w:tc>
          <w:tcPr>
            <w:tcW w:w="828" w:type="dxa"/>
            <w:vMerge w:val="restart"/>
            <w:shd w:val="clear" w:color="auto" w:fill="BFBFBF" w:themeFill="background1" w:themeFillShade="BF"/>
            <w:vAlign w:val="center"/>
          </w:tcPr>
          <w:p w14:paraId="6C90D78F" w14:textId="77777777" w:rsidR="007049A5" w:rsidRPr="004E4188" w:rsidRDefault="007049A5" w:rsidP="006C6267">
            <w:pPr>
              <w:jc w:val="center"/>
              <w:rPr>
                <w:rFonts w:ascii="Arial" w:hAnsi="Arial" w:cs="Arial"/>
                <w:b/>
                <w:sz w:val="20"/>
              </w:rPr>
            </w:pPr>
            <w:r w:rsidRPr="004E4188">
              <w:rPr>
                <w:rFonts w:ascii="Arial" w:hAnsi="Arial" w:cs="Arial"/>
                <w:b/>
                <w:sz w:val="20"/>
              </w:rPr>
              <w:t>n</w:t>
            </w:r>
            <w:r w:rsidRPr="004E4188">
              <w:rPr>
                <w:rFonts w:ascii="Arial" w:hAnsi="Arial" w:cs="Arial"/>
                <w:b/>
                <w:sz w:val="20"/>
                <w:vertAlign w:val="superscript"/>
              </w:rPr>
              <w:t>o</w:t>
            </w:r>
          </w:p>
        </w:tc>
        <w:tc>
          <w:tcPr>
            <w:tcW w:w="1437" w:type="dxa"/>
            <w:vMerge w:val="restart"/>
            <w:shd w:val="clear" w:color="auto" w:fill="BFBFBF" w:themeFill="background1" w:themeFillShade="BF"/>
            <w:vAlign w:val="center"/>
          </w:tcPr>
          <w:p w14:paraId="0BAA69E9" w14:textId="77777777" w:rsidR="007049A5" w:rsidRPr="004E4188" w:rsidRDefault="007049A5" w:rsidP="006C6267">
            <w:pPr>
              <w:jc w:val="center"/>
              <w:rPr>
                <w:rFonts w:ascii="Arial" w:hAnsi="Arial" w:cs="Arial"/>
                <w:b/>
                <w:sz w:val="20"/>
              </w:rPr>
            </w:pPr>
            <w:r w:rsidRPr="004E4188">
              <w:rPr>
                <w:rFonts w:ascii="Arial" w:hAnsi="Arial" w:cs="Arial"/>
                <w:b/>
                <w:sz w:val="20"/>
              </w:rPr>
              <w:t>Critère</w:t>
            </w:r>
          </w:p>
        </w:tc>
        <w:tc>
          <w:tcPr>
            <w:tcW w:w="3513" w:type="dxa"/>
            <w:vMerge w:val="restart"/>
            <w:shd w:val="clear" w:color="auto" w:fill="BFBFBF" w:themeFill="background1" w:themeFillShade="BF"/>
            <w:vAlign w:val="center"/>
          </w:tcPr>
          <w:p w14:paraId="23ADC4EC" w14:textId="77777777" w:rsidR="007049A5" w:rsidRPr="004E4188" w:rsidRDefault="007049A5" w:rsidP="006C6267">
            <w:pPr>
              <w:jc w:val="center"/>
              <w:rPr>
                <w:rFonts w:ascii="Arial" w:hAnsi="Arial" w:cs="Arial"/>
                <w:b/>
                <w:sz w:val="20"/>
              </w:rPr>
            </w:pPr>
            <w:r w:rsidRPr="004E4188">
              <w:rPr>
                <w:rFonts w:ascii="Arial" w:hAnsi="Arial" w:cs="Arial"/>
                <w:b/>
                <w:sz w:val="20"/>
              </w:rPr>
              <w:t>Spécification</w:t>
            </w:r>
          </w:p>
        </w:tc>
        <w:tc>
          <w:tcPr>
            <w:tcW w:w="1560" w:type="dxa"/>
            <w:vMerge w:val="restart"/>
            <w:shd w:val="clear" w:color="auto" w:fill="BFBFBF" w:themeFill="background1" w:themeFillShade="BF"/>
            <w:vAlign w:val="center"/>
          </w:tcPr>
          <w:p w14:paraId="5C684AD4" w14:textId="77777777" w:rsidR="007049A5" w:rsidRPr="004E4188" w:rsidRDefault="007049A5" w:rsidP="006C6267">
            <w:pPr>
              <w:jc w:val="center"/>
              <w:rPr>
                <w:rFonts w:ascii="Arial" w:hAnsi="Arial" w:cs="Arial"/>
                <w:b/>
                <w:sz w:val="20"/>
              </w:rPr>
            </w:pPr>
            <w:r w:rsidRPr="004E4188">
              <w:rPr>
                <w:rFonts w:ascii="Arial" w:hAnsi="Arial" w:cs="Arial"/>
                <w:b/>
                <w:sz w:val="20"/>
              </w:rPr>
              <w:t>Entreprise unique</w:t>
            </w:r>
          </w:p>
        </w:tc>
        <w:tc>
          <w:tcPr>
            <w:tcW w:w="4359" w:type="dxa"/>
            <w:gridSpan w:val="3"/>
            <w:tcBorders>
              <w:bottom w:val="single" w:sz="4" w:space="0" w:color="auto"/>
            </w:tcBorders>
            <w:shd w:val="clear" w:color="auto" w:fill="BFBFBF" w:themeFill="background1" w:themeFillShade="BF"/>
            <w:vAlign w:val="center"/>
          </w:tcPr>
          <w:p w14:paraId="2822A48E" w14:textId="77777777" w:rsidR="005755A6" w:rsidRPr="004E4188" w:rsidRDefault="007049A5" w:rsidP="005755A6">
            <w:pPr>
              <w:jc w:val="center"/>
              <w:rPr>
                <w:rFonts w:ascii="Arial" w:hAnsi="Arial" w:cs="Arial"/>
                <w:b/>
                <w:sz w:val="20"/>
              </w:rPr>
            </w:pPr>
            <w:r w:rsidRPr="004E4188">
              <w:rPr>
                <w:rFonts w:ascii="Arial" w:hAnsi="Arial" w:cs="Arial"/>
                <w:b/>
                <w:sz w:val="20"/>
              </w:rPr>
              <w:t>Groupement</w:t>
            </w:r>
          </w:p>
          <w:p w14:paraId="280B9097" w14:textId="06F5B658" w:rsidR="007049A5" w:rsidRPr="004E4188" w:rsidRDefault="007049A5" w:rsidP="005755A6">
            <w:pPr>
              <w:jc w:val="center"/>
              <w:rPr>
                <w:rFonts w:ascii="Arial" w:hAnsi="Arial" w:cs="Arial"/>
                <w:b/>
                <w:sz w:val="20"/>
              </w:rPr>
            </w:pPr>
            <w:r w:rsidRPr="004E4188">
              <w:rPr>
                <w:rFonts w:ascii="Arial" w:hAnsi="Arial" w:cs="Arial"/>
                <w:b/>
                <w:sz w:val="20"/>
              </w:rPr>
              <w:t>(existant ou prévu)</w:t>
            </w:r>
          </w:p>
        </w:tc>
        <w:tc>
          <w:tcPr>
            <w:tcW w:w="1699" w:type="dxa"/>
            <w:vMerge w:val="restart"/>
            <w:shd w:val="clear" w:color="auto" w:fill="BFBFBF" w:themeFill="background1" w:themeFillShade="BF"/>
            <w:vAlign w:val="center"/>
          </w:tcPr>
          <w:p w14:paraId="5EB6C812" w14:textId="77777777" w:rsidR="007049A5" w:rsidRPr="004E4188" w:rsidRDefault="007049A5" w:rsidP="006C6267">
            <w:pPr>
              <w:jc w:val="center"/>
              <w:rPr>
                <w:rFonts w:ascii="Arial" w:hAnsi="Arial" w:cs="Arial"/>
                <w:b/>
                <w:sz w:val="20"/>
              </w:rPr>
            </w:pPr>
            <w:r w:rsidRPr="004E4188">
              <w:rPr>
                <w:rFonts w:ascii="Arial" w:hAnsi="Arial" w:cs="Arial"/>
                <w:b/>
                <w:sz w:val="20"/>
              </w:rPr>
              <w:t>Spécifications de soumission</w:t>
            </w:r>
          </w:p>
        </w:tc>
      </w:tr>
      <w:tr w:rsidR="007049A5" w:rsidRPr="004E4188" w14:paraId="7A4F0FFF" w14:textId="77777777" w:rsidTr="00B7227C">
        <w:trPr>
          <w:trHeight w:val="360"/>
          <w:tblHeader/>
        </w:trPr>
        <w:tc>
          <w:tcPr>
            <w:tcW w:w="828" w:type="dxa"/>
            <w:vMerge/>
            <w:shd w:val="clear" w:color="auto" w:fill="F3F3F3"/>
            <w:vAlign w:val="center"/>
          </w:tcPr>
          <w:p w14:paraId="482CA275" w14:textId="77777777" w:rsidR="007049A5" w:rsidRPr="004E4188" w:rsidRDefault="007049A5" w:rsidP="006C6267">
            <w:pPr>
              <w:jc w:val="center"/>
              <w:rPr>
                <w:rFonts w:ascii="Arial" w:hAnsi="Arial" w:cs="Arial"/>
                <w:sz w:val="18"/>
                <w:szCs w:val="18"/>
              </w:rPr>
            </w:pPr>
          </w:p>
        </w:tc>
        <w:tc>
          <w:tcPr>
            <w:tcW w:w="1437" w:type="dxa"/>
            <w:vMerge/>
            <w:shd w:val="clear" w:color="auto" w:fill="F3F3F3"/>
            <w:vAlign w:val="center"/>
          </w:tcPr>
          <w:p w14:paraId="736149FA" w14:textId="77777777" w:rsidR="007049A5" w:rsidRPr="004E4188" w:rsidRDefault="007049A5" w:rsidP="006C6267">
            <w:pPr>
              <w:jc w:val="center"/>
              <w:rPr>
                <w:rFonts w:ascii="Arial" w:hAnsi="Arial" w:cs="Arial"/>
                <w:sz w:val="18"/>
                <w:szCs w:val="18"/>
              </w:rPr>
            </w:pPr>
          </w:p>
        </w:tc>
        <w:tc>
          <w:tcPr>
            <w:tcW w:w="3513" w:type="dxa"/>
            <w:vMerge/>
            <w:shd w:val="clear" w:color="auto" w:fill="F3F3F3"/>
            <w:vAlign w:val="center"/>
          </w:tcPr>
          <w:p w14:paraId="765FF61A" w14:textId="77777777" w:rsidR="007049A5" w:rsidRPr="004E4188" w:rsidRDefault="007049A5" w:rsidP="006C6267">
            <w:pPr>
              <w:jc w:val="center"/>
              <w:rPr>
                <w:rFonts w:ascii="Arial" w:hAnsi="Arial" w:cs="Arial"/>
                <w:sz w:val="18"/>
                <w:szCs w:val="18"/>
              </w:rPr>
            </w:pPr>
          </w:p>
        </w:tc>
        <w:tc>
          <w:tcPr>
            <w:tcW w:w="1560" w:type="dxa"/>
            <w:vMerge/>
            <w:shd w:val="clear" w:color="auto" w:fill="F3F3F3"/>
            <w:vAlign w:val="center"/>
          </w:tcPr>
          <w:p w14:paraId="5A712E11" w14:textId="77777777" w:rsidR="007049A5" w:rsidRPr="004E4188" w:rsidRDefault="007049A5" w:rsidP="006C6267">
            <w:pPr>
              <w:jc w:val="center"/>
              <w:rPr>
                <w:rFonts w:ascii="Arial" w:hAnsi="Arial" w:cs="Arial"/>
                <w:sz w:val="18"/>
                <w:szCs w:val="18"/>
              </w:rPr>
            </w:pPr>
          </w:p>
        </w:tc>
        <w:tc>
          <w:tcPr>
            <w:tcW w:w="1453" w:type="dxa"/>
            <w:shd w:val="clear" w:color="auto" w:fill="BFBFBF" w:themeFill="background1" w:themeFillShade="BF"/>
            <w:vAlign w:val="center"/>
          </w:tcPr>
          <w:p w14:paraId="43012E4C" w14:textId="77777777" w:rsidR="007049A5" w:rsidRPr="004E4188" w:rsidRDefault="007049A5" w:rsidP="006C6267">
            <w:pPr>
              <w:jc w:val="center"/>
              <w:rPr>
                <w:rFonts w:ascii="Arial" w:hAnsi="Arial" w:cs="Arial"/>
                <w:b/>
                <w:sz w:val="20"/>
              </w:rPr>
            </w:pPr>
            <w:r w:rsidRPr="004E4188">
              <w:rPr>
                <w:rFonts w:ascii="Arial" w:hAnsi="Arial" w:cs="Arial"/>
                <w:b/>
                <w:sz w:val="20"/>
              </w:rPr>
              <w:t>Tous membres combinés</w:t>
            </w:r>
          </w:p>
        </w:tc>
        <w:tc>
          <w:tcPr>
            <w:tcW w:w="1453" w:type="dxa"/>
            <w:shd w:val="clear" w:color="auto" w:fill="BFBFBF" w:themeFill="background1" w:themeFillShade="BF"/>
            <w:vAlign w:val="center"/>
          </w:tcPr>
          <w:p w14:paraId="1F59F792" w14:textId="77777777" w:rsidR="007049A5" w:rsidRPr="004E4188" w:rsidRDefault="007049A5" w:rsidP="006C6267">
            <w:pPr>
              <w:jc w:val="center"/>
              <w:rPr>
                <w:rFonts w:ascii="Arial" w:hAnsi="Arial" w:cs="Arial"/>
                <w:b/>
                <w:sz w:val="20"/>
              </w:rPr>
            </w:pPr>
            <w:r w:rsidRPr="004E4188">
              <w:rPr>
                <w:rFonts w:ascii="Arial" w:hAnsi="Arial" w:cs="Arial"/>
                <w:b/>
                <w:sz w:val="20"/>
              </w:rPr>
              <w:t>Chaque membre</w:t>
            </w:r>
          </w:p>
        </w:tc>
        <w:tc>
          <w:tcPr>
            <w:tcW w:w="1453" w:type="dxa"/>
            <w:shd w:val="clear" w:color="auto" w:fill="BFBFBF" w:themeFill="background1" w:themeFillShade="BF"/>
            <w:vAlign w:val="center"/>
          </w:tcPr>
          <w:p w14:paraId="597B6D56" w14:textId="77777777" w:rsidR="007049A5" w:rsidRPr="004E4188" w:rsidRDefault="007049A5" w:rsidP="006C6267">
            <w:pPr>
              <w:jc w:val="center"/>
              <w:rPr>
                <w:rFonts w:ascii="Arial" w:hAnsi="Arial" w:cs="Arial"/>
                <w:b/>
                <w:sz w:val="20"/>
              </w:rPr>
            </w:pPr>
            <w:r w:rsidRPr="004E4188">
              <w:rPr>
                <w:rFonts w:ascii="Arial" w:hAnsi="Arial" w:cs="Arial"/>
                <w:b/>
                <w:sz w:val="20"/>
              </w:rPr>
              <w:t>Un membre</w:t>
            </w:r>
          </w:p>
        </w:tc>
        <w:tc>
          <w:tcPr>
            <w:tcW w:w="1699" w:type="dxa"/>
            <w:vMerge/>
            <w:shd w:val="clear" w:color="auto" w:fill="F3F3F3"/>
            <w:vAlign w:val="center"/>
          </w:tcPr>
          <w:p w14:paraId="6F1E5927" w14:textId="77777777" w:rsidR="007049A5" w:rsidRPr="004E4188" w:rsidRDefault="007049A5" w:rsidP="006C6267">
            <w:pPr>
              <w:jc w:val="center"/>
              <w:rPr>
                <w:rFonts w:ascii="Arial" w:hAnsi="Arial" w:cs="Arial"/>
                <w:sz w:val="18"/>
                <w:szCs w:val="18"/>
              </w:rPr>
            </w:pPr>
          </w:p>
        </w:tc>
      </w:tr>
      <w:tr w:rsidR="007049A5" w:rsidRPr="004E4188" w14:paraId="05E85C6D" w14:textId="77777777" w:rsidTr="00B7227C">
        <w:trPr>
          <w:trHeight w:val="631"/>
        </w:trPr>
        <w:tc>
          <w:tcPr>
            <w:tcW w:w="828" w:type="dxa"/>
            <w:tcBorders>
              <w:bottom w:val="single" w:sz="4" w:space="0" w:color="auto"/>
            </w:tcBorders>
          </w:tcPr>
          <w:p w14:paraId="462599F4" w14:textId="77777777" w:rsidR="007049A5" w:rsidRPr="004E4188" w:rsidRDefault="007049A5" w:rsidP="002B4CF7">
            <w:pPr>
              <w:spacing w:before="60"/>
              <w:jc w:val="center"/>
              <w:rPr>
                <w:rFonts w:ascii="Arial" w:hAnsi="Arial" w:cs="Arial"/>
                <w:sz w:val="20"/>
              </w:rPr>
            </w:pPr>
            <w:r w:rsidRPr="004E4188">
              <w:rPr>
                <w:rFonts w:ascii="Arial" w:hAnsi="Arial" w:cs="Arial"/>
                <w:sz w:val="20"/>
              </w:rPr>
              <w:t>2.4.1</w:t>
            </w:r>
          </w:p>
        </w:tc>
        <w:tc>
          <w:tcPr>
            <w:tcW w:w="1437" w:type="dxa"/>
            <w:tcBorders>
              <w:bottom w:val="single" w:sz="4" w:space="0" w:color="auto"/>
            </w:tcBorders>
          </w:tcPr>
          <w:p w14:paraId="2B900A45" w14:textId="77777777" w:rsidR="007049A5" w:rsidRPr="004E4188" w:rsidRDefault="007049A5" w:rsidP="002B4CF7">
            <w:pPr>
              <w:spacing w:before="60"/>
              <w:jc w:val="left"/>
              <w:rPr>
                <w:rFonts w:ascii="Arial" w:hAnsi="Arial" w:cs="Arial"/>
                <w:sz w:val="20"/>
              </w:rPr>
            </w:pPr>
            <w:r w:rsidRPr="004E4188">
              <w:rPr>
                <w:rFonts w:ascii="Arial" w:hAnsi="Arial" w:cs="Arial"/>
                <w:sz w:val="20"/>
              </w:rPr>
              <w:t xml:space="preserve">Expérience générale </w:t>
            </w:r>
          </w:p>
        </w:tc>
        <w:tc>
          <w:tcPr>
            <w:tcW w:w="3513" w:type="dxa"/>
          </w:tcPr>
          <w:p w14:paraId="4FE6D0BB" w14:textId="1B6109C4" w:rsidR="007049A5" w:rsidRPr="004E4188" w:rsidRDefault="007049A5" w:rsidP="002B4CF7">
            <w:pPr>
              <w:spacing w:before="60" w:afterLines="70" w:after="168"/>
              <w:rPr>
                <w:rFonts w:ascii="Arial" w:hAnsi="Arial" w:cs="Arial"/>
                <w:sz w:val="20"/>
              </w:rPr>
            </w:pPr>
            <w:r w:rsidRPr="004E4188">
              <w:rPr>
                <w:rFonts w:ascii="Arial" w:hAnsi="Arial" w:cs="Arial"/>
                <w:sz w:val="20"/>
              </w:rPr>
              <w:t>Expérience continue d’approvisionnement d</w:t>
            </w:r>
            <w:r w:rsidR="005755A6" w:rsidRPr="004E4188">
              <w:rPr>
                <w:rFonts w:ascii="Arial" w:hAnsi="Arial" w:cs="Arial"/>
                <w:sz w:val="20"/>
              </w:rPr>
              <w:t>’</w:t>
            </w:r>
            <w:r w:rsidRPr="004E4188">
              <w:rPr>
                <w:rFonts w:ascii="Arial" w:hAnsi="Arial" w:cs="Arial"/>
                <w:sz w:val="20"/>
              </w:rPr>
              <w:t>équipements et de fourniture de services de montage à titre d’entrepreneur principal</w:t>
            </w:r>
            <w:r w:rsidRPr="004E4188">
              <w:rPr>
                <w:rFonts w:ascii="Arial" w:hAnsi="Arial" w:cs="Arial"/>
                <w:sz w:val="20"/>
                <w:vertAlign w:val="superscript"/>
              </w:rPr>
              <w:t>(i)</w:t>
            </w:r>
            <w:r w:rsidRPr="004E4188">
              <w:rPr>
                <w:rFonts w:ascii="Arial" w:hAnsi="Arial" w:cs="Arial"/>
                <w:sz w:val="20"/>
              </w:rPr>
              <w:t xml:space="preserve"> (entreprise unique ou membre de Groupement) ou de sous-traitant entre le 1</w:t>
            </w:r>
            <w:r w:rsidRPr="004E4188">
              <w:rPr>
                <w:rFonts w:ascii="Arial" w:hAnsi="Arial" w:cs="Arial"/>
                <w:sz w:val="20"/>
                <w:vertAlign w:val="superscript"/>
              </w:rPr>
              <w:t>er</w:t>
            </w:r>
            <w:r w:rsidRPr="004E4188">
              <w:rPr>
                <w:rFonts w:ascii="Arial" w:hAnsi="Arial" w:cs="Arial"/>
                <w:sz w:val="20"/>
              </w:rPr>
              <w:t xml:space="preserve"> janvier </w:t>
            </w:r>
            <w:r w:rsidRPr="004E4188">
              <w:rPr>
                <w:rFonts w:ascii="Arial" w:hAnsi="Arial" w:cs="Arial"/>
                <w:spacing w:val="-2"/>
                <w:sz w:val="20"/>
                <w:lang w:eastAsia="ja-JP"/>
              </w:rPr>
              <w:t>[</w:t>
            </w:r>
            <w:r w:rsidRPr="004E4188">
              <w:rPr>
                <w:rFonts w:ascii="Arial" w:hAnsi="Arial" w:cs="Arial"/>
                <w:i/>
                <w:spacing w:val="-2"/>
                <w:sz w:val="20"/>
                <w:lang w:eastAsia="ja-JP"/>
              </w:rPr>
              <w:t>indiquer l’année</w:t>
            </w:r>
            <w:r w:rsidRPr="004E4188">
              <w:rPr>
                <w:rFonts w:ascii="Arial" w:hAnsi="Arial" w:cs="Arial"/>
                <w:spacing w:val="-2"/>
                <w:sz w:val="20"/>
                <w:lang w:eastAsia="ja-JP"/>
              </w:rPr>
              <w:t>]</w:t>
            </w:r>
            <w:r w:rsidRPr="004E4188">
              <w:rPr>
                <w:rFonts w:ascii="Arial" w:hAnsi="Arial" w:cs="Arial"/>
                <w:spacing w:val="-2"/>
                <w:sz w:val="20"/>
                <w:vertAlign w:val="superscript"/>
                <w:lang w:eastAsia="ja-JP"/>
              </w:rPr>
              <w:t>1</w:t>
            </w:r>
            <w:r w:rsidRPr="004E4188">
              <w:rPr>
                <w:rFonts w:ascii="Arial" w:hAnsi="Arial" w:cs="Arial"/>
                <w:spacing w:val="-2"/>
                <w:sz w:val="20"/>
                <w:lang w:eastAsia="ja-JP"/>
              </w:rPr>
              <w:t xml:space="preserve"> et </w:t>
            </w:r>
            <w:r w:rsidRPr="004E4188">
              <w:rPr>
                <w:rFonts w:ascii="Arial" w:hAnsi="Arial" w:cs="Arial"/>
                <w:sz w:val="20"/>
              </w:rPr>
              <w:t>la date limite de remise des offres.</w:t>
            </w:r>
          </w:p>
        </w:tc>
        <w:tc>
          <w:tcPr>
            <w:tcW w:w="1560" w:type="dxa"/>
          </w:tcPr>
          <w:p w14:paraId="64E283B4" w14:textId="77777777" w:rsidR="007049A5" w:rsidRPr="004E4188" w:rsidRDefault="007049A5" w:rsidP="002B4CF7">
            <w:pPr>
              <w:spacing w:before="60"/>
              <w:jc w:val="center"/>
              <w:rPr>
                <w:rFonts w:ascii="Arial" w:hAnsi="Arial" w:cs="Arial"/>
                <w:sz w:val="20"/>
              </w:rPr>
            </w:pPr>
            <w:r w:rsidRPr="004E4188">
              <w:rPr>
                <w:rFonts w:ascii="Arial" w:hAnsi="Arial" w:cs="Arial"/>
                <w:sz w:val="20"/>
              </w:rPr>
              <w:t>Doit satisfaire au critère</w:t>
            </w:r>
          </w:p>
        </w:tc>
        <w:tc>
          <w:tcPr>
            <w:tcW w:w="1453" w:type="dxa"/>
          </w:tcPr>
          <w:p w14:paraId="60E36E33" w14:textId="77777777" w:rsidR="007049A5" w:rsidRPr="004E4188" w:rsidRDefault="007049A5" w:rsidP="002B4CF7">
            <w:pPr>
              <w:spacing w:before="60"/>
              <w:jc w:val="center"/>
              <w:rPr>
                <w:rFonts w:ascii="Arial" w:hAnsi="Arial" w:cs="Arial"/>
                <w:sz w:val="20"/>
              </w:rPr>
            </w:pPr>
            <w:r w:rsidRPr="004E4188">
              <w:rPr>
                <w:rFonts w:ascii="Arial" w:hAnsi="Arial" w:cs="Arial"/>
                <w:sz w:val="20"/>
              </w:rPr>
              <w:t>Sans objet</w:t>
            </w:r>
          </w:p>
        </w:tc>
        <w:tc>
          <w:tcPr>
            <w:tcW w:w="1453" w:type="dxa"/>
          </w:tcPr>
          <w:p w14:paraId="10078441" w14:textId="77777777" w:rsidR="007049A5" w:rsidRPr="004E4188" w:rsidRDefault="007049A5" w:rsidP="002B4CF7">
            <w:pPr>
              <w:spacing w:before="60"/>
              <w:jc w:val="center"/>
              <w:rPr>
                <w:rFonts w:ascii="Arial" w:hAnsi="Arial" w:cs="Arial"/>
                <w:sz w:val="20"/>
              </w:rPr>
            </w:pPr>
            <w:r w:rsidRPr="004E4188">
              <w:rPr>
                <w:rFonts w:ascii="Arial" w:hAnsi="Arial" w:cs="Arial"/>
                <w:sz w:val="20"/>
              </w:rPr>
              <w:t>Doit satisfaire au critère</w:t>
            </w:r>
          </w:p>
        </w:tc>
        <w:tc>
          <w:tcPr>
            <w:tcW w:w="1453" w:type="dxa"/>
          </w:tcPr>
          <w:p w14:paraId="0B697068" w14:textId="77777777" w:rsidR="007049A5" w:rsidRPr="004E4188" w:rsidRDefault="007049A5" w:rsidP="002B4CF7">
            <w:pPr>
              <w:spacing w:before="60"/>
              <w:jc w:val="center"/>
              <w:rPr>
                <w:rFonts w:ascii="Arial" w:hAnsi="Arial" w:cs="Arial"/>
                <w:sz w:val="20"/>
              </w:rPr>
            </w:pPr>
            <w:r w:rsidRPr="004E4188">
              <w:rPr>
                <w:rFonts w:ascii="Arial" w:hAnsi="Arial" w:cs="Arial"/>
                <w:sz w:val="20"/>
              </w:rPr>
              <w:t>Sans objet</w:t>
            </w:r>
          </w:p>
        </w:tc>
        <w:tc>
          <w:tcPr>
            <w:tcW w:w="1699" w:type="dxa"/>
          </w:tcPr>
          <w:p w14:paraId="670A017F" w14:textId="77777777" w:rsidR="007049A5" w:rsidRPr="004E4188" w:rsidRDefault="007049A5" w:rsidP="002B4CF7">
            <w:pPr>
              <w:spacing w:before="60"/>
              <w:rPr>
                <w:rFonts w:ascii="Arial" w:hAnsi="Arial" w:cs="Arial"/>
                <w:sz w:val="20"/>
              </w:rPr>
            </w:pPr>
            <w:r w:rsidRPr="004E4188">
              <w:rPr>
                <w:rFonts w:ascii="Arial" w:hAnsi="Arial" w:cs="Arial"/>
                <w:sz w:val="20"/>
              </w:rPr>
              <w:t>Formulaire EXP-1</w:t>
            </w:r>
          </w:p>
        </w:tc>
      </w:tr>
      <w:tr w:rsidR="007049A5" w:rsidRPr="004E4188" w14:paraId="6A91950F" w14:textId="77777777" w:rsidTr="00B7227C">
        <w:trPr>
          <w:trHeight w:val="1680"/>
        </w:trPr>
        <w:tc>
          <w:tcPr>
            <w:tcW w:w="828" w:type="dxa"/>
            <w:tcBorders>
              <w:bottom w:val="nil"/>
            </w:tcBorders>
          </w:tcPr>
          <w:p w14:paraId="3E2E7BAB" w14:textId="77777777" w:rsidR="007049A5" w:rsidRPr="004E4188" w:rsidRDefault="007049A5" w:rsidP="002B4CF7">
            <w:pPr>
              <w:spacing w:before="60"/>
              <w:jc w:val="center"/>
              <w:rPr>
                <w:rFonts w:ascii="Arial" w:hAnsi="Arial" w:cs="Arial"/>
                <w:sz w:val="20"/>
              </w:rPr>
            </w:pPr>
            <w:r w:rsidRPr="004E4188">
              <w:rPr>
                <w:rFonts w:ascii="Arial" w:hAnsi="Arial" w:cs="Arial"/>
                <w:sz w:val="20"/>
              </w:rPr>
              <w:t>2.4.2</w:t>
            </w:r>
          </w:p>
          <w:p w14:paraId="184B2032" w14:textId="77777777" w:rsidR="007049A5" w:rsidRPr="004E4188" w:rsidRDefault="007049A5" w:rsidP="002B4CF7">
            <w:pPr>
              <w:spacing w:before="60"/>
              <w:jc w:val="center"/>
              <w:rPr>
                <w:rFonts w:ascii="Arial" w:hAnsi="Arial" w:cs="Arial"/>
                <w:sz w:val="20"/>
              </w:rPr>
            </w:pPr>
          </w:p>
        </w:tc>
        <w:tc>
          <w:tcPr>
            <w:tcW w:w="1437" w:type="dxa"/>
            <w:tcBorders>
              <w:bottom w:val="nil"/>
            </w:tcBorders>
          </w:tcPr>
          <w:p w14:paraId="151EE62C" w14:textId="77777777" w:rsidR="007049A5" w:rsidRPr="004E4188" w:rsidRDefault="007049A5" w:rsidP="002B4CF7">
            <w:pPr>
              <w:spacing w:before="60"/>
              <w:jc w:val="left"/>
              <w:rPr>
                <w:rFonts w:ascii="Arial" w:hAnsi="Arial" w:cs="Arial"/>
                <w:sz w:val="20"/>
              </w:rPr>
            </w:pPr>
            <w:r w:rsidRPr="004E4188">
              <w:rPr>
                <w:rFonts w:ascii="Arial" w:hAnsi="Arial" w:cs="Arial"/>
                <w:sz w:val="20"/>
              </w:rPr>
              <w:t xml:space="preserve">Expérience spécifique </w:t>
            </w:r>
          </w:p>
        </w:tc>
        <w:tc>
          <w:tcPr>
            <w:tcW w:w="3513" w:type="dxa"/>
          </w:tcPr>
          <w:p w14:paraId="5D70EED0" w14:textId="465F80B2" w:rsidR="007049A5" w:rsidRPr="004E4188" w:rsidRDefault="007049A5" w:rsidP="006C6267">
            <w:pPr>
              <w:pStyle w:val="Style11"/>
              <w:tabs>
                <w:tab w:val="left" w:leader="dot" w:pos="8424"/>
              </w:tabs>
              <w:snapToGrid w:val="0"/>
              <w:spacing w:before="60" w:after="120" w:line="240" w:lineRule="exact"/>
              <w:ind w:left="323" w:hanging="323"/>
              <w:jc w:val="both"/>
              <w:rPr>
                <w:rFonts w:ascii="Arial" w:hAnsi="Arial" w:cs="Arial"/>
                <w:sz w:val="20"/>
                <w:lang w:val="fr-FR"/>
              </w:rPr>
            </w:pPr>
            <w:r w:rsidRPr="004E4188">
              <w:rPr>
                <w:rFonts w:ascii="Arial" w:hAnsi="Arial" w:cs="Arial"/>
                <w:sz w:val="20"/>
                <w:lang w:val="fr-FR"/>
              </w:rPr>
              <w:t xml:space="preserve">(a) Au </w:t>
            </w:r>
            <w:r w:rsidRPr="004E4188">
              <w:rPr>
                <w:rFonts w:ascii="Arial" w:hAnsi="Arial" w:cs="Arial"/>
                <w:sz w:val="20"/>
                <w:szCs w:val="20"/>
                <w:lang w:val="fr-FR"/>
              </w:rPr>
              <w:t>minimum</w:t>
            </w:r>
            <w:r w:rsidRPr="004E4188">
              <w:rPr>
                <w:rFonts w:ascii="Arial" w:hAnsi="Arial" w:cs="Arial"/>
                <w:sz w:val="20"/>
                <w:lang w:val="fr-FR"/>
              </w:rPr>
              <w:t xml:space="preserve"> </w:t>
            </w:r>
            <w:r w:rsidRPr="004E4188">
              <w:rPr>
                <w:rFonts w:ascii="Arial" w:hAnsi="Arial" w:cs="Arial"/>
                <w:spacing w:val="-2"/>
                <w:sz w:val="20"/>
                <w:lang w:val="fr-FR" w:eastAsia="ja-JP"/>
              </w:rPr>
              <w:t>[</w:t>
            </w:r>
            <w:r w:rsidRPr="004E4188">
              <w:rPr>
                <w:rFonts w:ascii="Arial" w:hAnsi="Arial" w:cs="Arial"/>
                <w:i/>
                <w:spacing w:val="-2"/>
                <w:sz w:val="20"/>
                <w:lang w:val="fr-FR" w:eastAsia="ja-JP"/>
              </w:rPr>
              <w:t>indiquer le nombre de marchés</w:t>
            </w:r>
            <w:r w:rsidRPr="004E4188">
              <w:rPr>
                <w:rFonts w:ascii="Arial" w:hAnsi="Arial" w:cs="Arial"/>
                <w:spacing w:val="-2"/>
                <w:sz w:val="20"/>
                <w:lang w:val="fr-FR" w:eastAsia="ja-JP"/>
              </w:rPr>
              <w:t>]</w:t>
            </w:r>
            <w:r w:rsidRPr="004E4188">
              <w:rPr>
                <w:rFonts w:ascii="Arial" w:hAnsi="Arial" w:cs="Arial"/>
                <w:spacing w:val="-2"/>
                <w:sz w:val="20"/>
                <w:vertAlign w:val="superscript"/>
                <w:lang w:val="fr-FR" w:eastAsia="ja-JP"/>
              </w:rPr>
              <w:t>2</w:t>
            </w:r>
            <w:r w:rsidRPr="004E4188" w:rsidDel="00FF4AA2">
              <w:rPr>
                <w:rFonts w:ascii="Arial" w:hAnsi="Arial" w:cs="Arial"/>
                <w:sz w:val="20"/>
                <w:lang w:val="fr-FR"/>
              </w:rPr>
              <w:t xml:space="preserve"> </w:t>
            </w:r>
            <w:r w:rsidRPr="004E4188">
              <w:rPr>
                <w:rFonts w:ascii="Arial" w:hAnsi="Arial" w:cs="Arial"/>
                <w:sz w:val="20"/>
                <w:lang w:val="fr-FR"/>
              </w:rPr>
              <w:t xml:space="preserve">marchés similaires  chacun d’un montant minimal de </w:t>
            </w:r>
            <w:r w:rsidRPr="004E4188">
              <w:rPr>
                <w:rFonts w:ascii="Arial" w:hAnsi="Arial" w:cs="Arial"/>
                <w:spacing w:val="-2"/>
                <w:sz w:val="20"/>
                <w:lang w:val="fr-FR"/>
              </w:rPr>
              <w:t>[</w:t>
            </w:r>
            <w:r w:rsidRPr="004E4188">
              <w:rPr>
                <w:rFonts w:ascii="Arial" w:hAnsi="Arial" w:cs="Arial"/>
                <w:i/>
                <w:spacing w:val="-2"/>
                <w:sz w:val="20"/>
                <w:lang w:val="fr-FR"/>
              </w:rPr>
              <w:t>indiquer le montant minimum</w:t>
            </w:r>
            <w:r w:rsidRPr="004E4188">
              <w:rPr>
                <w:rFonts w:ascii="Arial" w:hAnsi="Arial" w:cs="Arial"/>
                <w:spacing w:val="-2"/>
                <w:sz w:val="20"/>
                <w:lang w:val="fr-FR"/>
              </w:rPr>
              <w:t>]</w:t>
            </w:r>
            <w:r w:rsidRPr="004E4188">
              <w:rPr>
                <w:rFonts w:ascii="Arial" w:hAnsi="Arial" w:cs="Arial"/>
                <w:spacing w:val="-2"/>
                <w:vertAlign w:val="superscript"/>
                <w:lang w:val="fr-FR"/>
              </w:rPr>
              <w:t>(ii)</w:t>
            </w:r>
            <w:r w:rsidRPr="004E4188">
              <w:rPr>
                <w:rFonts w:ascii="Arial" w:hAnsi="Arial" w:cs="Arial"/>
                <w:sz w:val="20"/>
                <w:lang w:val="fr-FR"/>
              </w:rPr>
              <w:t xml:space="preserve"> achevés de manière satisfaisante</w:t>
            </w:r>
            <w:r w:rsidRPr="004E4188">
              <w:rPr>
                <w:rFonts w:ascii="Arial" w:hAnsi="Arial" w:cs="Arial"/>
                <w:sz w:val="20"/>
                <w:vertAlign w:val="superscript"/>
                <w:lang w:val="fr-FR"/>
              </w:rPr>
              <w:t>(iii)</w:t>
            </w:r>
            <w:r w:rsidRPr="004E4188">
              <w:rPr>
                <w:rFonts w:ascii="Arial" w:hAnsi="Arial" w:cs="Arial"/>
                <w:sz w:val="20"/>
                <w:lang w:val="fr-FR"/>
              </w:rPr>
              <w:t xml:space="preserve"> en tant qu’entrepreneur principal</w:t>
            </w:r>
            <w:r w:rsidRPr="004E4188">
              <w:rPr>
                <w:rFonts w:ascii="Arial" w:hAnsi="Arial" w:cs="Arial"/>
                <w:sz w:val="20"/>
                <w:vertAlign w:val="superscript"/>
                <w:lang w:val="fr-FR"/>
              </w:rPr>
              <w:t>(i)</w:t>
            </w:r>
            <w:r w:rsidRPr="004E4188">
              <w:rPr>
                <w:rFonts w:ascii="Arial" w:hAnsi="Arial" w:cs="Arial"/>
                <w:sz w:val="20"/>
                <w:lang w:val="fr-FR"/>
              </w:rPr>
              <w:t xml:space="preserve"> (entreprise unique ou membre de Groupement)</w:t>
            </w:r>
            <w:r w:rsidRPr="004E4188">
              <w:rPr>
                <w:rFonts w:ascii="Arial" w:hAnsi="Arial" w:cs="Arial"/>
                <w:sz w:val="20"/>
                <w:vertAlign w:val="superscript"/>
                <w:lang w:val="fr-FR"/>
              </w:rPr>
              <w:t>(iv)</w:t>
            </w:r>
            <w:r w:rsidRPr="004E4188" w:rsidDel="00FF4AA2">
              <w:rPr>
                <w:rFonts w:ascii="Arial" w:hAnsi="Arial" w:cs="Arial"/>
                <w:sz w:val="20"/>
                <w:lang w:val="fr-FR"/>
              </w:rPr>
              <w:t xml:space="preserve"> </w:t>
            </w:r>
            <w:r w:rsidRPr="004E4188">
              <w:rPr>
                <w:rFonts w:ascii="Arial" w:hAnsi="Arial" w:cs="Arial"/>
                <w:sz w:val="20"/>
                <w:lang w:val="fr-FR"/>
              </w:rPr>
              <w:t>entre le 1</w:t>
            </w:r>
            <w:r w:rsidRPr="004E4188">
              <w:rPr>
                <w:rFonts w:ascii="Arial" w:hAnsi="Arial" w:cs="Arial"/>
                <w:sz w:val="20"/>
                <w:vertAlign w:val="superscript"/>
                <w:lang w:val="fr-FR"/>
              </w:rPr>
              <w:t>er</w:t>
            </w:r>
            <w:r w:rsidRPr="004E4188">
              <w:rPr>
                <w:rFonts w:ascii="Arial" w:hAnsi="Arial" w:cs="Arial"/>
                <w:sz w:val="20"/>
                <w:lang w:val="fr-FR"/>
              </w:rPr>
              <w:t xml:space="preserve"> janvier </w:t>
            </w:r>
            <w:r w:rsidRPr="004E4188">
              <w:rPr>
                <w:rFonts w:ascii="Arial" w:hAnsi="Arial" w:cs="Arial"/>
                <w:spacing w:val="-2"/>
                <w:sz w:val="20"/>
                <w:lang w:val="fr-FR" w:eastAsia="ja-JP"/>
              </w:rPr>
              <w:t>[</w:t>
            </w:r>
            <w:r w:rsidRPr="004E4188">
              <w:rPr>
                <w:rFonts w:ascii="Arial" w:hAnsi="Arial" w:cs="Arial"/>
                <w:i/>
                <w:spacing w:val="-2"/>
                <w:sz w:val="20"/>
                <w:lang w:val="fr-FR" w:eastAsia="ja-JP"/>
              </w:rPr>
              <w:t>indiquer l’année</w:t>
            </w:r>
            <w:r w:rsidRPr="004E4188">
              <w:rPr>
                <w:rFonts w:ascii="Arial" w:hAnsi="Arial" w:cs="Arial"/>
                <w:spacing w:val="-2"/>
                <w:sz w:val="20"/>
                <w:lang w:val="fr-FR" w:eastAsia="ja-JP"/>
              </w:rPr>
              <w:t>]</w:t>
            </w:r>
            <w:r w:rsidRPr="004E4188">
              <w:rPr>
                <w:rFonts w:ascii="Arial" w:hAnsi="Arial" w:cs="Arial"/>
                <w:spacing w:val="-2"/>
                <w:sz w:val="20"/>
                <w:vertAlign w:val="superscript"/>
                <w:lang w:val="fr-FR" w:eastAsia="ja-JP"/>
              </w:rPr>
              <w:t>3</w:t>
            </w:r>
            <w:r w:rsidRPr="004E4188">
              <w:rPr>
                <w:rFonts w:ascii="Arial" w:hAnsi="Arial" w:cs="Arial"/>
                <w:sz w:val="20"/>
                <w:lang w:val="fr-FR"/>
              </w:rPr>
              <w:t xml:space="preserve"> et la date limite de remise des offres.</w:t>
            </w:r>
          </w:p>
          <w:p w14:paraId="508690AE" w14:textId="3A3CC51D" w:rsidR="007049A5" w:rsidRPr="004E4188" w:rsidRDefault="007049A5" w:rsidP="005755A6">
            <w:pPr>
              <w:widowControl w:val="0"/>
              <w:tabs>
                <w:tab w:val="left" w:leader="dot" w:pos="8424"/>
              </w:tabs>
              <w:suppressAutoHyphens w:val="0"/>
              <w:overflowPunct/>
              <w:adjustRightInd/>
              <w:snapToGrid w:val="0"/>
              <w:spacing w:before="60"/>
              <w:ind w:leftChars="144" w:left="346"/>
              <w:textAlignment w:val="auto"/>
              <w:rPr>
                <w:rFonts w:ascii="Arial" w:hAnsi="Arial" w:cs="Arial"/>
                <w:sz w:val="20"/>
                <w:lang w:eastAsia="ja-JP"/>
              </w:rPr>
            </w:pPr>
            <w:r w:rsidRPr="004E4188">
              <w:rPr>
                <w:rFonts w:ascii="Arial" w:hAnsi="Arial" w:cs="Arial"/>
                <w:sz w:val="20"/>
              </w:rPr>
              <w:t>La similitude</w:t>
            </w:r>
            <w:r w:rsidRPr="004E4188">
              <w:rPr>
                <w:rFonts w:ascii="Arial" w:hAnsi="Arial" w:cs="Arial"/>
                <w:sz w:val="20"/>
                <w:vertAlign w:val="superscript"/>
                <w:lang w:eastAsia="ja-JP"/>
              </w:rPr>
              <w:t xml:space="preserve"> </w:t>
            </w:r>
            <w:r w:rsidRPr="004E4188">
              <w:rPr>
                <w:rFonts w:ascii="Arial" w:hAnsi="Arial" w:cs="Arial"/>
                <w:sz w:val="20"/>
                <w:szCs w:val="24"/>
                <w:lang w:eastAsia="en-US"/>
              </w:rPr>
              <w:t>des marchés portera sur les éléments suivants :</w:t>
            </w:r>
            <w:r w:rsidRPr="004E4188">
              <w:rPr>
                <w:rFonts w:ascii="Arial" w:hAnsi="Arial" w:cs="Arial"/>
                <w:spacing w:val="-2"/>
                <w:sz w:val="20"/>
                <w:szCs w:val="24"/>
                <w:lang w:eastAsia="en-US"/>
              </w:rPr>
              <w:t xml:space="preserve"> [</w:t>
            </w:r>
            <w:r w:rsidRPr="004E4188">
              <w:rPr>
                <w:rFonts w:ascii="Arial" w:hAnsi="Arial" w:cs="Arial"/>
                <w:i/>
                <w:spacing w:val="-2"/>
                <w:sz w:val="20"/>
                <w:szCs w:val="24"/>
                <w:lang w:eastAsia="en-US"/>
              </w:rPr>
              <w:t>sur la base de la Section VI, Exigences du Maître d’ouvrage, préciser les critères minim</w:t>
            </w:r>
            <w:r w:rsidR="00456837" w:rsidRPr="004E4188">
              <w:rPr>
                <w:rFonts w:ascii="Arial" w:hAnsi="Arial" w:cs="Arial"/>
                <w:i/>
                <w:spacing w:val="-2"/>
                <w:sz w:val="20"/>
                <w:szCs w:val="24"/>
                <w:lang w:eastAsia="en-US"/>
              </w:rPr>
              <w:t>aux</w:t>
            </w:r>
            <w:r w:rsidRPr="004E4188">
              <w:rPr>
                <w:rFonts w:ascii="Arial" w:hAnsi="Arial" w:cs="Arial"/>
                <w:i/>
                <w:spacing w:val="-2"/>
                <w:sz w:val="20"/>
                <w:szCs w:val="24"/>
                <w:lang w:eastAsia="en-US"/>
              </w:rPr>
              <w:t xml:space="preserve"> principaux selon </w:t>
            </w:r>
            <w:r w:rsidRPr="004E4188">
              <w:rPr>
                <w:rFonts w:ascii="Arial" w:hAnsi="Arial" w:cs="Arial"/>
                <w:i/>
                <w:sz w:val="20"/>
                <w:szCs w:val="24"/>
                <w:lang w:eastAsia="en-US"/>
              </w:rPr>
              <w:t>la taille physique, la complexité, la méthode de montage, la technologie et/ou autres caractéristiques, y compris la partie des critères qui pourrait être remplie par des sous-traitants, lorsqu’autorisés conformément à IS 14.3.</w:t>
            </w:r>
            <w:r w:rsidRPr="004E4188">
              <w:rPr>
                <w:rFonts w:ascii="Arial" w:hAnsi="Arial" w:cs="Arial"/>
                <w:spacing w:val="-2"/>
                <w:sz w:val="20"/>
                <w:szCs w:val="24"/>
                <w:lang w:eastAsia="en-US"/>
              </w:rPr>
              <w:t>]</w:t>
            </w:r>
          </w:p>
          <w:p w14:paraId="55694B5C" w14:textId="77777777" w:rsidR="007049A5" w:rsidRPr="004E4188" w:rsidRDefault="007049A5" w:rsidP="005755A6">
            <w:pPr>
              <w:rPr>
                <w:rFonts w:ascii="Arial" w:hAnsi="Arial" w:cs="Arial"/>
                <w:sz w:val="20"/>
                <w:lang w:eastAsia="ja-JP"/>
              </w:rPr>
            </w:pPr>
          </w:p>
          <w:p w14:paraId="437CF4B2" w14:textId="12D397FF" w:rsidR="007049A5" w:rsidRPr="004E4188" w:rsidRDefault="007049A5" w:rsidP="006C6267">
            <w:pPr>
              <w:pStyle w:val="Style11"/>
              <w:tabs>
                <w:tab w:val="left" w:leader="dot" w:pos="8424"/>
              </w:tabs>
              <w:snapToGrid w:val="0"/>
              <w:spacing w:before="60" w:after="120" w:line="240" w:lineRule="exact"/>
              <w:ind w:left="316" w:firstLine="5"/>
              <w:jc w:val="both"/>
              <w:rPr>
                <w:rFonts w:ascii="Arial" w:hAnsi="Arial" w:cs="Arial"/>
                <w:sz w:val="20"/>
                <w:vertAlign w:val="superscript"/>
                <w:lang w:val="fr-FR"/>
              </w:rPr>
            </w:pPr>
            <w:r w:rsidRPr="004E4188">
              <w:rPr>
                <w:rFonts w:ascii="Arial" w:hAnsi="Arial" w:cs="Arial"/>
                <w:sz w:val="20"/>
                <w:lang w:val="fr-FR"/>
              </w:rPr>
              <w:t>[</w:t>
            </w:r>
            <w:r w:rsidRPr="004E4188">
              <w:rPr>
                <w:rFonts w:ascii="Arial" w:hAnsi="Arial" w:cs="Arial"/>
                <w:i/>
                <w:sz w:val="20"/>
                <w:lang w:val="fr-FR"/>
              </w:rPr>
              <w:t>Indiquer les critères pour l’attribution de lots</w:t>
            </w:r>
            <w:r w:rsidRPr="004E4188" w:rsidDel="00FE2993">
              <w:rPr>
                <w:rFonts w:ascii="Arial" w:hAnsi="Arial" w:cs="Arial"/>
                <w:i/>
                <w:sz w:val="20"/>
                <w:lang w:val="fr-FR"/>
              </w:rPr>
              <w:t xml:space="preserve"> </w:t>
            </w:r>
            <w:r w:rsidRPr="004E4188">
              <w:rPr>
                <w:rFonts w:ascii="Arial" w:hAnsi="Arial" w:cs="Arial"/>
                <w:i/>
                <w:sz w:val="20"/>
                <w:lang w:val="fr-FR"/>
              </w:rPr>
              <w:t>multiples, le cas échéant.</w:t>
            </w:r>
            <w:r w:rsidRPr="004E4188">
              <w:rPr>
                <w:rFonts w:ascii="Arial" w:hAnsi="Arial" w:cs="Arial"/>
                <w:sz w:val="20"/>
                <w:lang w:val="fr-FR"/>
              </w:rPr>
              <w:t>]</w:t>
            </w:r>
            <w:r w:rsidRPr="004E4188">
              <w:rPr>
                <w:rFonts w:ascii="Arial" w:hAnsi="Arial" w:cs="Arial"/>
                <w:sz w:val="20"/>
                <w:vertAlign w:val="superscript"/>
                <w:lang w:val="fr-FR"/>
              </w:rPr>
              <w:t>(vii)</w:t>
            </w:r>
          </w:p>
        </w:tc>
        <w:tc>
          <w:tcPr>
            <w:tcW w:w="1560" w:type="dxa"/>
          </w:tcPr>
          <w:p w14:paraId="2BC41633" w14:textId="77777777" w:rsidR="007049A5" w:rsidRPr="004E4188" w:rsidRDefault="007049A5" w:rsidP="002B4CF7">
            <w:pPr>
              <w:spacing w:before="60"/>
              <w:jc w:val="center"/>
              <w:rPr>
                <w:rFonts w:ascii="Arial" w:hAnsi="Arial" w:cs="Arial"/>
                <w:sz w:val="20"/>
              </w:rPr>
            </w:pPr>
            <w:r w:rsidRPr="004E4188">
              <w:rPr>
                <w:rFonts w:ascii="Arial" w:hAnsi="Arial" w:cs="Arial"/>
                <w:sz w:val="20"/>
              </w:rPr>
              <w:t>Doit satisfaire au critère</w:t>
            </w:r>
          </w:p>
        </w:tc>
        <w:tc>
          <w:tcPr>
            <w:tcW w:w="1453" w:type="dxa"/>
          </w:tcPr>
          <w:p w14:paraId="1C946B96" w14:textId="77777777" w:rsidR="007049A5" w:rsidRPr="004E4188" w:rsidRDefault="007049A5" w:rsidP="002B4CF7">
            <w:pPr>
              <w:spacing w:before="60"/>
              <w:jc w:val="center"/>
              <w:rPr>
                <w:rFonts w:ascii="Arial" w:hAnsi="Arial" w:cs="Arial"/>
                <w:sz w:val="20"/>
              </w:rPr>
            </w:pPr>
            <w:r w:rsidRPr="004E4188">
              <w:rPr>
                <w:rFonts w:ascii="Arial" w:hAnsi="Arial" w:cs="Arial"/>
                <w:sz w:val="20"/>
              </w:rPr>
              <w:t>Doivent satisfaire au critère</w:t>
            </w:r>
            <w:r w:rsidRPr="004E4188">
              <w:rPr>
                <w:rFonts w:ascii="Arial" w:hAnsi="Arial" w:cs="Arial"/>
                <w:sz w:val="20"/>
                <w:vertAlign w:val="superscript"/>
              </w:rPr>
              <w:t>(v)</w:t>
            </w:r>
          </w:p>
        </w:tc>
        <w:tc>
          <w:tcPr>
            <w:tcW w:w="1453" w:type="dxa"/>
          </w:tcPr>
          <w:p w14:paraId="04F010CB" w14:textId="77777777" w:rsidR="007049A5" w:rsidRPr="004E4188" w:rsidRDefault="007049A5" w:rsidP="002B4CF7">
            <w:pPr>
              <w:spacing w:before="60"/>
              <w:jc w:val="center"/>
              <w:rPr>
                <w:rFonts w:ascii="Arial" w:hAnsi="Arial" w:cs="Arial"/>
                <w:sz w:val="20"/>
              </w:rPr>
            </w:pPr>
            <w:r w:rsidRPr="004E4188">
              <w:rPr>
                <w:rFonts w:ascii="Arial" w:hAnsi="Arial" w:cs="Arial"/>
                <w:sz w:val="20"/>
              </w:rPr>
              <w:t>Sans objet</w:t>
            </w:r>
          </w:p>
        </w:tc>
        <w:tc>
          <w:tcPr>
            <w:tcW w:w="1453" w:type="dxa"/>
          </w:tcPr>
          <w:p w14:paraId="08C0F12C" w14:textId="4862C147" w:rsidR="007049A5" w:rsidRPr="004E4188" w:rsidRDefault="007049A5" w:rsidP="005755A6">
            <w:pPr>
              <w:pStyle w:val="Style11"/>
              <w:tabs>
                <w:tab w:val="left" w:leader="dot" w:pos="8424"/>
              </w:tabs>
              <w:snapToGrid w:val="0"/>
              <w:spacing w:before="60" w:after="60" w:line="240" w:lineRule="auto"/>
              <w:jc w:val="center"/>
              <w:rPr>
                <w:rFonts w:ascii="Arial" w:hAnsi="Arial" w:cs="Arial"/>
                <w:sz w:val="20"/>
                <w:szCs w:val="20"/>
                <w:lang w:val="fr-FR"/>
              </w:rPr>
            </w:pPr>
            <w:r w:rsidRPr="004E4188">
              <w:rPr>
                <w:rFonts w:ascii="Arial" w:hAnsi="Arial" w:cs="Arial"/>
                <w:sz w:val="20"/>
                <w:lang w:val="fr-FR"/>
              </w:rPr>
              <w:t xml:space="preserve">Doit satisfaire aux critères suivants : </w:t>
            </w:r>
            <w:r w:rsidRPr="004E4188">
              <w:rPr>
                <w:rFonts w:ascii="Arial" w:hAnsi="Arial" w:cs="Arial"/>
                <w:spacing w:val="-2"/>
                <w:sz w:val="20"/>
                <w:lang w:val="fr-FR" w:eastAsia="ja-JP"/>
              </w:rPr>
              <w:t>[</w:t>
            </w:r>
            <w:r w:rsidRPr="004E4188">
              <w:rPr>
                <w:rFonts w:ascii="Arial" w:hAnsi="Arial" w:cs="Arial"/>
                <w:i/>
                <w:spacing w:val="-2"/>
                <w:sz w:val="20"/>
                <w:lang w:val="fr-FR" w:eastAsia="ja-JP"/>
              </w:rPr>
              <w:t>Énumérer les critères minim</w:t>
            </w:r>
            <w:r w:rsidR="00456837" w:rsidRPr="004E4188">
              <w:rPr>
                <w:rFonts w:ascii="Arial" w:hAnsi="Arial" w:cs="Arial"/>
                <w:i/>
                <w:spacing w:val="-2"/>
                <w:sz w:val="20"/>
                <w:lang w:val="fr-FR" w:eastAsia="ja-JP"/>
              </w:rPr>
              <w:t>aux</w:t>
            </w:r>
            <w:r w:rsidRPr="004E4188">
              <w:rPr>
                <w:rFonts w:ascii="Arial" w:hAnsi="Arial" w:cs="Arial"/>
                <w:i/>
                <w:spacing w:val="-2"/>
                <w:sz w:val="20"/>
                <w:lang w:val="fr-FR" w:eastAsia="ja-JP"/>
              </w:rPr>
              <w:t xml:space="preserve"> à remplir par un membre ; s’il n’y a pas de tels critères, indiquer « Sans objet ».</w:t>
            </w:r>
            <w:r w:rsidRPr="004E4188">
              <w:rPr>
                <w:rFonts w:ascii="Arial" w:hAnsi="Arial" w:cs="Arial"/>
                <w:spacing w:val="-2"/>
                <w:sz w:val="20"/>
                <w:lang w:val="fr-FR" w:eastAsia="ja-JP"/>
              </w:rPr>
              <w:t>]</w:t>
            </w:r>
          </w:p>
          <w:p w14:paraId="6CF0EC04" w14:textId="77777777" w:rsidR="007049A5" w:rsidRPr="004E4188" w:rsidRDefault="007049A5" w:rsidP="005755A6">
            <w:pPr>
              <w:jc w:val="center"/>
              <w:rPr>
                <w:rFonts w:ascii="Arial" w:hAnsi="Arial" w:cs="Arial"/>
                <w:sz w:val="20"/>
              </w:rPr>
            </w:pPr>
          </w:p>
        </w:tc>
        <w:tc>
          <w:tcPr>
            <w:tcW w:w="1699" w:type="dxa"/>
          </w:tcPr>
          <w:p w14:paraId="719B36C8" w14:textId="77777777" w:rsidR="007049A5" w:rsidRPr="004E4188" w:rsidRDefault="007049A5" w:rsidP="002B4CF7">
            <w:pPr>
              <w:spacing w:before="60"/>
              <w:rPr>
                <w:rFonts w:ascii="Arial" w:hAnsi="Arial" w:cs="Arial"/>
                <w:sz w:val="20"/>
              </w:rPr>
            </w:pPr>
            <w:r w:rsidRPr="004E4188">
              <w:rPr>
                <w:rFonts w:ascii="Arial" w:hAnsi="Arial" w:cs="Arial"/>
                <w:sz w:val="20"/>
              </w:rPr>
              <w:t>Formulaire EXP-2(a) avec pièce jointe</w:t>
            </w:r>
          </w:p>
        </w:tc>
      </w:tr>
      <w:tr w:rsidR="007049A5" w:rsidRPr="004E4188" w14:paraId="3E303BD6" w14:textId="77777777" w:rsidTr="00B7227C">
        <w:tc>
          <w:tcPr>
            <w:tcW w:w="828" w:type="dxa"/>
            <w:tcBorders>
              <w:top w:val="nil"/>
            </w:tcBorders>
          </w:tcPr>
          <w:p w14:paraId="6E104AC5" w14:textId="77777777" w:rsidR="007049A5" w:rsidRPr="004E4188" w:rsidRDefault="007049A5" w:rsidP="006C6267">
            <w:pPr>
              <w:jc w:val="center"/>
              <w:rPr>
                <w:rFonts w:ascii="Arial" w:hAnsi="Arial" w:cs="Arial"/>
                <w:b/>
                <w:sz w:val="20"/>
              </w:rPr>
            </w:pPr>
            <w:r w:rsidRPr="004E4188">
              <w:rPr>
                <w:rFonts w:ascii="Arial" w:hAnsi="Arial" w:cs="Arial"/>
                <w:b/>
                <w:sz w:val="20"/>
              </w:rPr>
              <w:t xml:space="preserve"> </w:t>
            </w:r>
          </w:p>
          <w:p w14:paraId="02115E1B" w14:textId="77777777" w:rsidR="007049A5" w:rsidRPr="004E4188" w:rsidRDefault="007049A5" w:rsidP="006C6267">
            <w:pPr>
              <w:jc w:val="center"/>
              <w:rPr>
                <w:rFonts w:ascii="Arial" w:hAnsi="Arial" w:cs="Arial"/>
                <w:b/>
                <w:sz w:val="20"/>
              </w:rPr>
            </w:pPr>
          </w:p>
          <w:p w14:paraId="6F53F312" w14:textId="77777777" w:rsidR="007049A5" w:rsidRPr="004E4188" w:rsidRDefault="007049A5" w:rsidP="006C6267">
            <w:pPr>
              <w:jc w:val="center"/>
              <w:rPr>
                <w:rFonts w:ascii="Arial" w:hAnsi="Arial" w:cs="Arial"/>
                <w:b/>
                <w:sz w:val="20"/>
              </w:rPr>
            </w:pPr>
          </w:p>
        </w:tc>
        <w:tc>
          <w:tcPr>
            <w:tcW w:w="1437" w:type="dxa"/>
            <w:tcBorders>
              <w:top w:val="nil"/>
            </w:tcBorders>
          </w:tcPr>
          <w:p w14:paraId="02A0DB67" w14:textId="77777777" w:rsidR="007049A5" w:rsidRPr="004E4188" w:rsidRDefault="007049A5" w:rsidP="006C6267">
            <w:pPr>
              <w:rPr>
                <w:rFonts w:ascii="Arial" w:hAnsi="Arial" w:cs="Arial"/>
                <w:sz w:val="20"/>
              </w:rPr>
            </w:pPr>
          </w:p>
        </w:tc>
        <w:tc>
          <w:tcPr>
            <w:tcW w:w="3513" w:type="dxa"/>
          </w:tcPr>
          <w:p w14:paraId="700DAB26" w14:textId="77777777" w:rsidR="007049A5" w:rsidRPr="004E4188" w:rsidRDefault="007049A5" w:rsidP="006C6267">
            <w:pPr>
              <w:pStyle w:val="Style11"/>
              <w:tabs>
                <w:tab w:val="left" w:leader="dot" w:pos="8424"/>
              </w:tabs>
              <w:snapToGrid w:val="0"/>
              <w:spacing w:before="60" w:after="60" w:line="240" w:lineRule="exact"/>
              <w:ind w:left="321" w:hanging="321"/>
              <w:jc w:val="both"/>
              <w:rPr>
                <w:rFonts w:ascii="Arial" w:hAnsi="Arial" w:cs="Arial"/>
                <w:sz w:val="20"/>
                <w:lang w:val="fr-FR" w:eastAsia="ja-JP"/>
              </w:rPr>
            </w:pPr>
            <w:r w:rsidRPr="004E4188">
              <w:rPr>
                <w:rFonts w:ascii="Arial" w:hAnsi="Arial" w:cs="Arial"/>
                <w:sz w:val="20"/>
                <w:lang w:val="fr-FR"/>
              </w:rPr>
              <w:t>(b) Pour les marchés référencés ci-dessus ou pour d’</w:t>
            </w:r>
            <w:r w:rsidRPr="004E4188">
              <w:rPr>
                <w:rFonts w:ascii="Arial" w:hAnsi="Arial" w:cs="Arial"/>
                <w:sz w:val="20"/>
                <w:szCs w:val="20"/>
                <w:lang w:val="fr-FR"/>
              </w:rPr>
              <w:t>autres</w:t>
            </w:r>
            <w:r w:rsidRPr="004E4188">
              <w:rPr>
                <w:rFonts w:ascii="Arial" w:hAnsi="Arial" w:cs="Arial"/>
                <w:sz w:val="20"/>
                <w:lang w:val="fr-FR"/>
              </w:rPr>
              <w:t xml:space="preserve"> marchés achevés ou en cours d’exécution à titre d’entrepreneur principal</w:t>
            </w:r>
            <w:r w:rsidRPr="004E4188">
              <w:rPr>
                <w:rFonts w:ascii="Arial" w:hAnsi="Arial" w:cs="Arial"/>
                <w:sz w:val="20"/>
                <w:vertAlign w:val="superscript"/>
                <w:lang w:val="fr-FR"/>
              </w:rPr>
              <w:t>(i)</w:t>
            </w:r>
            <w:r w:rsidRPr="004E4188">
              <w:rPr>
                <w:rFonts w:ascii="Arial" w:hAnsi="Arial" w:cs="Arial"/>
                <w:sz w:val="20"/>
                <w:lang w:val="fr-FR"/>
              </w:rPr>
              <w:t xml:space="preserve"> (entreprise unique ou membre de Groupement) ou de sous-traitant</w:t>
            </w:r>
            <w:r w:rsidRPr="004E4188">
              <w:rPr>
                <w:rFonts w:ascii="Arial" w:hAnsi="Arial" w:cs="Arial"/>
                <w:sz w:val="20"/>
                <w:vertAlign w:val="superscript"/>
                <w:lang w:val="fr-FR"/>
              </w:rPr>
              <w:t>(vi)</w:t>
            </w:r>
            <w:r w:rsidRPr="004E4188">
              <w:rPr>
                <w:rFonts w:ascii="Arial" w:hAnsi="Arial" w:cs="Arial"/>
                <w:sz w:val="20"/>
                <w:lang w:val="fr-FR"/>
              </w:rPr>
              <w:t xml:space="preserve"> entre le 1</w:t>
            </w:r>
            <w:r w:rsidRPr="004E4188">
              <w:rPr>
                <w:rFonts w:ascii="Arial" w:hAnsi="Arial" w:cs="Arial"/>
                <w:sz w:val="20"/>
                <w:vertAlign w:val="superscript"/>
                <w:lang w:val="fr-FR"/>
              </w:rPr>
              <w:t>er</w:t>
            </w:r>
            <w:r w:rsidRPr="004E4188">
              <w:rPr>
                <w:rFonts w:ascii="Arial" w:hAnsi="Arial" w:cs="Arial"/>
                <w:sz w:val="20"/>
                <w:lang w:val="fr-FR"/>
              </w:rPr>
              <w:t xml:space="preserve"> janvier </w:t>
            </w:r>
            <w:r w:rsidRPr="004E4188">
              <w:rPr>
                <w:rFonts w:ascii="Arial" w:hAnsi="Arial" w:cs="Arial"/>
                <w:spacing w:val="-2"/>
                <w:sz w:val="20"/>
                <w:lang w:val="fr-FR" w:eastAsia="ja-JP"/>
              </w:rPr>
              <w:t>[</w:t>
            </w:r>
            <w:r w:rsidRPr="004E4188">
              <w:rPr>
                <w:rFonts w:ascii="Arial" w:hAnsi="Arial" w:cs="Arial"/>
                <w:i/>
                <w:spacing w:val="-2"/>
                <w:sz w:val="20"/>
                <w:lang w:val="fr-FR" w:eastAsia="ja-JP"/>
              </w:rPr>
              <w:t>indiquer l’année</w:t>
            </w:r>
            <w:r w:rsidRPr="004E4188">
              <w:rPr>
                <w:rFonts w:ascii="Arial" w:hAnsi="Arial" w:cs="Arial"/>
                <w:spacing w:val="-2"/>
                <w:sz w:val="20"/>
                <w:lang w:val="fr-FR" w:eastAsia="ja-JP"/>
              </w:rPr>
              <w:t>]</w:t>
            </w:r>
            <w:r w:rsidRPr="004E4188">
              <w:rPr>
                <w:rFonts w:ascii="Arial" w:hAnsi="Arial" w:cs="Arial"/>
                <w:spacing w:val="-2"/>
                <w:sz w:val="20"/>
                <w:vertAlign w:val="superscript"/>
                <w:lang w:val="fr-FR" w:eastAsia="ja-JP"/>
              </w:rPr>
              <w:t>4</w:t>
            </w:r>
            <w:r w:rsidRPr="004E4188">
              <w:rPr>
                <w:rFonts w:ascii="Arial" w:hAnsi="Arial" w:cs="Arial"/>
                <w:sz w:val="20"/>
                <w:lang w:val="fr-FR"/>
              </w:rPr>
              <w:t xml:space="preserve"> et la date limite de remise des offres, une expérience minimale pour les activités principales suivantes réalisées avec succès</w:t>
            </w:r>
            <w:r w:rsidRPr="004E4188">
              <w:rPr>
                <w:rFonts w:ascii="Arial" w:hAnsi="Arial" w:cs="Arial"/>
                <w:sz w:val="20"/>
                <w:vertAlign w:val="superscript"/>
                <w:lang w:val="fr-FR"/>
              </w:rPr>
              <w:t>(iii)</w:t>
            </w:r>
            <w:r w:rsidRPr="004E4188">
              <w:rPr>
                <w:rFonts w:ascii="Arial" w:hAnsi="Arial" w:cs="Arial"/>
                <w:sz w:val="20"/>
                <w:lang w:val="fr-FR"/>
              </w:rPr>
              <w:t xml:space="preserve"> [</w:t>
            </w:r>
            <w:r w:rsidRPr="004E4188">
              <w:rPr>
                <w:rFonts w:ascii="Arial" w:hAnsi="Arial" w:cs="Arial"/>
                <w:i/>
                <w:sz w:val="20"/>
                <w:lang w:val="fr-FR"/>
              </w:rPr>
              <w:t>énumérer les activités en indiquant le nombre, la production, la capacité ou les niveaux de performance, le cas échéant.</w:t>
            </w:r>
            <w:r w:rsidRPr="004E4188">
              <w:rPr>
                <w:rFonts w:ascii="Arial" w:hAnsi="Arial" w:cs="Arial"/>
                <w:sz w:val="20"/>
                <w:lang w:val="fr-FR"/>
              </w:rPr>
              <w:t>]</w:t>
            </w:r>
          </w:p>
          <w:p w14:paraId="576BBB81" w14:textId="77777777" w:rsidR="007049A5" w:rsidRPr="004E4188" w:rsidRDefault="007049A5" w:rsidP="006C6267">
            <w:pPr>
              <w:pStyle w:val="Style11"/>
              <w:tabs>
                <w:tab w:val="left" w:leader="dot" w:pos="8424"/>
              </w:tabs>
              <w:snapToGrid w:val="0"/>
              <w:spacing w:before="60" w:after="60" w:line="240" w:lineRule="exact"/>
              <w:ind w:left="321"/>
              <w:jc w:val="both"/>
              <w:rPr>
                <w:rFonts w:ascii="Arial" w:hAnsi="Arial" w:cs="Arial"/>
                <w:sz w:val="20"/>
                <w:lang w:val="fr-FR"/>
              </w:rPr>
            </w:pPr>
            <w:r w:rsidRPr="004E4188">
              <w:rPr>
                <w:rFonts w:ascii="Arial" w:hAnsi="Arial" w:cs="Arial"/>
                <w:sz w:val="20"/>
                <w:lang w:val="fr-FR"/>
              </w:rPr>
              <w:t>[</w:t>
            </w:r>
            <w:r w:rsidRPr="004E4188">
              <w:rPr>
                <w:rFonts w:ascii="Arial" w:hAnsi="Arial" w:cs="Arial"/>
                <w:i/>
                <w:sz w:val="20"/>
                <w:lang w:val="fr-FR"/>
              </w:rPr>
              <w:t>Indiquer les critères pour l’attribution de lots multiples, le cas échéant.</w:t>
            </w:r>
            <w:r w:rsidRPr="004E4188">
              <w:rPr>
                <w:rFonts w:ascii="Arial" w:hAnsi="Arial" w:cs="Arial"/>
                <w:sz w:val="20"/>
                <w:lang w:val="fr-FR"/>
              </w:rPr>
              <w:t>]</w:t>
            </w:r>
            <w:r w:rsidRPr="004E4188">
              <w:rPr>
                <w:rFonts w:ascii="Arial" w:hAnsi="Arial" w:cs="Arial"/>
                <w:sz w:val="20"/>
                <w:vertAlign w:val="superscript"/>
                <w:lang w:val="fr-FR"/>
              </w:rPr>
              <w:t xml:space="preserve"> (vii)</w:t>
            </w:r>
          </w:p>
        </w:tc>
        <w:tc>
          <w:tcPr>
            <w:tcW w:w="1560" w:type="dxa"/>
          </w:tcPr>
          <w:p w14:paraId="5B052797" w14:textId="5B7FD238" w:rsidR="007049A5" w:rsidRPr="004E4188" w:rsidRDefault="007049A5" w:rsidP="002B4CF7">
            <w:pPr>
              <w:spacing w:before="60"/>
              <w:jc w:val="center"/>
              <w:rPr>
                <w:rFonts w:ascii="Arial" w:hAnsi="Arial" w:cs="Arial"/>
                <w:sz w:val="20"/>
              </w:rPr>
            </w:pPr>
            <w:r w:rsidRPr="004E4188">
              <w:rPr>
                <w:rFonts w:ascii="Arial" w:hAnsi="Arial" w:cs="Arial"/>
                <w:sz w:val="20"/>
              </w:rPr>
              <w:t>Doit satisfaire au critère</w:t>
            </w:r>
          </w:p>
          <w:p w14:paraId="6FCCC2FD" w14:textId="77777777" w:rsidR="007049A5" w:rsidRPr="004E4188" w:rsidRDefault="007049A5" w:rsidP="002B4CF7">
            <w:pPr>
              <w:spacing w:before="60"/>
              <w:jc w:val="center"/>
              <w:rPr>
                <w:rFonts w:ascii="Arial" w:hAnsi="Arial" w:cs="Arial"/>
                <w:sz w:val="20"/>
              </w:rPr>
            </w:pPr>
          </w:p>
          <w:p w14:paraId="1D615CC6" w14:textId="77777777" w:rsidR="007049A5" w:rsidRPr="004E4188" w:rsidRDefault="007049A5" w:rsidP="002B4CF7">
            <w:pPr>
              <w:suppressAutoHyphens w:val="0"/>
              <w:overflowPunct/>
              <w:autoSpaceDE/>
              <w:autoSpaceDN/>
              <w:adjustRightInd/>
              <w:spacing w:before="60" w:after="60"/>
              <w:jc w:val="center"/>
              <w:textAlignment w:val="auto"/>
              <w:rPr>
                <w:rFonts w:ascii="Arial" w:hAnsi="Arial" w:cs="Arial"/>
                <w:sz w:val="20"/>
                <w:lang w:eastAsia="en-US"/>
              </w:rPr>
            </w:pPr>
            <w:r w:rsidRPr="004E4188">
              <w:rPr>
                <w:rFonts w:ascii="Arial" w:hAnsi="Arial" w:cs="Arial"/>
                <w:sz w:val="20"/>
                <w:lang w:eastAsia="en-US"/>
              </w:rPr>
              <w:t>Les activités suivantes peuvent être réalisées par un sous-traitant spécialisé :</w:t>
            </w:r>
          </w:p>
          <w:p w14:paraId="3B30CAF5" w14:textId="77777777" w:rsidR="007049A5" w:rsidRPr="004E4188" w:rsidRDefault="007049A5" w:rsidP="002B4CF7">
            <w:pPr>
              <w:spacing w:before="60" w:after="60"/>
              <w:jc w:val="center"/>
              <w:rPr>
                <w:rFonts w:ascii="Arial" w:hAnsi="Arial" w:cs="Arial"/>
                <w:sz w:val="20"/>
              </w:rPr>
            </w:pPr>
            <w:r w:rsidRPr="004E4188">
              <w:rPr>
                <w:rFonts w:ascii="Arial" w:hAnsi="Arial" w:cs="Arial"/>
                <w:spacing w:val="-2"/>
                <w:sz w:val="20"/>
                <w:lang w:eastAsia="en-US"/>
              </w:rPr>
              <w:t>[</w:t>
            </w:r>
            <w:r w:rsidRPr="004E4188">
              <w:rPr>
                <w:rFonts w:ascii="Arial" w:hAnsi="Arial" w:cs="Arial"/>
                <w:i/>
                <w:spacing w:val="-2"/>
                <w:sz w:val="20"/>
                <w:lang w:eastAsia="en-US"/>
              </w:rPr>
              <w:t xml:space="preserve">Indiquer les activités qui peuvent être réalisées par un sous-traitant spécialisé ; </w:t>
            </w:r>
            <w:r w:rsidRPr="004E4188">
              <w:rPr>
                <w:rFonts w:ascii="Arial" w:hAnsi="Arial" w:cs="Arial"/>
                <w:i/>
                <w:spacing w:val="-2"/>
                <w:sz w:val="20"/>
                <w:lang w:eastAsia="ja-JP"/>
              </w:rPr>
              <w:t xml:space="preserve">s’il n’y a pas de tels critères, </w:t>
            </w:r>
            <w:r w:rsidRPr="004E4188">
              <w:rPr>
                <w:rFonts w:ascii="Arial" w:hAnsi="Arial" w:cs="Arial"/>
                <w:i/>
                <w:spacing w:val="-2"/>
                <w:sz w:val="20"/>
                <w:lang w:eastAsia="en-US"/>
              </w:rPr>
              <w:t>indiquer « Sans objet ».</w:t>
            </w:r>
            <w:r w:rsidRPr="004E4188">
              <w:rPr>
                <w:rFonts w:ascii="Arial" w:hAnsi="Arial" w:cs="Arial"/>
                <w:spacing w:val="-2"/>
                <w:sz w:val="20"/>
                <w:lang w:eastAsia="en-US"/>
              </w:rPr>
              <w:t>]</w:t>
            </w:r>
          </w:p>
        </w:tc>
        <w:tc>
          <w:tcPr>
            <w:tcW w:w="1453" w:type="dxa"/>
          </w:tcPr>
          <w:p w14:paraId="59E6E73A" w14:textId="4E67BFFB" w:rsidR="007049A5" w:rsidRPr="004E4188" w:rsidRDefault="007049A5" w:rsidP="002B4CF7">
            <w:pPr>
              <w:spacing w:before="60"/>
              <w:jc w:val="center"/>
              <w:rPr>
                <w:rFonts w:ascii="Arial" w:hAnsi="Arial" w:cs="Arial"/>
                <w:sz w:val="20"/>
              </w:rPr>
            </w:pPr>
            <w:r w:rsidRPr="004E4188">
              <w:rPr>
                <w:rFonts w:ascii="Arial" w:hAnsi="Arial" w:cs="Arial"/>
                <w:sz w:val="20"/>
              </w:rPr>
              <w:t>Doivent satisfaire au critère</w:t>
            </w:r>
            <w:r w:rsidR="00D52BE8" w:rsidRPr="004E4188">
              <w:rPr>
                <w:rFonts w:ascii="Arial" w:hAnsi="Arial" w:cs="Arial"/>
                <w:sz w:val="20"/>
                <w:vertAlign w:val="superscript"/>
              </w:rPr>
              <w:t>(v)</w:t>
            </w:r>
          </w:p>
          <w:p w14:paraId="0A418E31" w14:textId="77777777" w:rsidR="007049A5" w:rsidRPr="004E4188" w:rsidRDefault="007049A5" w:rsidP="002B4CF7">
            <w:pPr>
              <w:jc w:val="center"/>
              <w:rPr>
                <w:rFonts w:ascii="Arial" w:hAnsi="Arial" w:cs="Arial"/>
                <w:sz w:val="20"/>
              </w:rPr>
            </w:pPr>
          </w:p>
          <w:p w14:paraId="0FF8936B" w14:textId="77777777" w:rsidR="007049A5" w:rsidRPr="004E4188" w:rsidRDefault="007049A5" w:rsidP="002B4CF7">
            <w:pPr>
              <w:suppressAutoHyphens w:val="0"/>
              <w:overflowPunct/>
              <w:autoSpaceDE/>
              <w:autoSpaceDN/>
              <w:adjustRightInd/>
              <w:spacing w:after="60"/>
              <w:jc w:val="center"/>
              <w:textAlignment w:val="auto"/>
              <w:rPr>
                <w:rFonts w:ascii="Arial" w:hAnsi="Arial" w:cs="Arial"/>
                <w:sz w:val="20"/>
                <w:lang w:eastAsia="en-US"/>
              </w:rPr>
            </w:pPr>
            <w:r w:rsidRPr="004E4188">
              <w:rPr>
                <w:rFonts w:ascii="Arial" w:hAnsi="Arial" w:cs="Arial"/>
                <w:sz w:val="20"/>
                <w:lang w:eastAsia="en-US"/>
              </w:rPr>
              <w:t>Les activités suivantes peuvent être réalisées par un sous-traitant spécialisé :</w:t>
            </w:r>
          </w:p>
          <w:p w14:paraId="4E3C2A64" w14:textId="77777777" w:rsidR="007049A5" w:rsidRPr="004E4188" w:rsidRDefault="007049A5" w:rsidP="002B4CF7">
            <w:pPr>
              <w:spacing w:before="60"/>
              <w:jc w:val="center"/>
              <w:rPr>
                <w:rFonts w:ascii="Arial" w:hAnsi="Arial" w:cs="Arial"/>
                <w:sz w:val="20"/>
              </w:rPr>
            </w:pPr>
            <w:r w:rsidRPr="004E4188">
              <w:rPr>
                <w:rFonts w:ascii="Arial" w:hAnsi="Arial" w:cs="Arial"/>
                <w:spacing w:val="-2"/>
                <w:sz w:val="20"/>
                <w:lang w:eastAsia="en-US"/>
              </w:rPr>
              <w:t>[</w:t>
            </w:r>
            <w:r w:rsidRPr="004E4188">
              <w:rPr>
                <w:rFonts w:ascii="Arial" w:hAnsi="Arial" w:cs="Arial"/>
                <w:i/>
                <w:spacing w:val="-2"/>
                <w:sz w:val="20"/>
                <w:lang w:eastAsia="en-US"/>
              </w:rPr>
              <w:t xml:space="preserve">Indiquer les activités qui peuvent être réalisées par un sous-traitant spécialisé ; </w:t>
            </w:r>
            <w:r w:rsidRPr="004E4188">
              <w:rPr>
                <w:rFonts w:ascii="Arial" w:hAnsi="Arial" w:cs="Arial"/>
                <w:i/>
                <w:spacing w:val="-2"/>
                <w:sz w:val="20"/>
                <w:lang w:eastAsia="ja-JP"/>
              </w:rPr>
              <w:t xml:space="preserve">s’il n’y a pas de tels critères, </w:t>
            </w:r>
            <w:r w:rsidRPr="004E4188">
              <w:rPr>
                <w:rFonts w:ascii="Arial" w:hAnsi="Arial" w:cs="Arial"/>
                <w:i/>
                <w:spacing w:val="-2"/>
                <w:sz w:val="20"/>
                <w:lang w:eastAsia="en-US"/>
              </w:rPr>
              <w:t>indiquer « Sans objet ».</w:t>
            </w:r>
            <w:r w:rsidRPr="004E4188">
              <w:rPr>
                <w:rFonts w:ascii="Arial" w:hAnsi="Arial" w:cs="Arial"/>
                <w:spacing w:val="-2"/>
                <w:sz w:val="20"/>
                <w:lang w:eastAsia="en-US"/>
              </w:rPr>
              <w:t>]</w:t>
            </w:r>
          </w:p>
        </w:tc>
        <w:tc>
          <w:tcPr>
            <w:tcW w:w="1453" w:type="dxa"/>
          </w:tcPr>
          <w:p w14:paraId="753312D8" w14:textId="77777777" w:rsidR="007049A5" w:rsidRPr="004E4188" w:rsidRDefault="007049A5" w:rsidP="002B4CF7">
            <w:pPr>
              <w:spacing w:before="60"/>
              <w:jc w:val="center"/>
              <w:rPr>
                <w:rFonts w:ascii="Arial" w:hAnsi="Arial" w:cs="Arial"/>
                <w:sz w:val="20"/>
              </w:rPr>
            </w:pPr>
            <w:r w:rsidRPr="004E4188">
              <w:rPr>
                <w:rFonts w:ascii="Arial" w:hAnsi="Arial" w:cs="Arial"/>
                <w:sz w:val="20"/>
              </w:rPr>
              <w:t>Sans objet</w:t>
            </w:r>
          </w:p>
        </w:tc>
        <w:tc>
          <w:tcPr>
            <w:tcW w:w="1453" w:type="dxa"/>
          </w:tcPr>
          <w:p w14:paraId="4366E47A" w14:textId="77777777" w:rsidR="007049A5" w:rsidRPr="004E4188" w:rsidRDefault="007049A5" w:rsidP="005755A6">
            <w:pPr>
              <w:suppressAutoHyphens w:val="0"/>
              <w:overflowPunct/>
              <w:autoSpaceDE/>
              <w:autoSpaceDN/>
              <w:adjustRightInd/>
              <w:spacing w:before="60" w:after="60"/>
              <w:jc w:val="center"/>
              <w:textAlignment w:val="auto"/>
              <w:rPr>
                <w:rFonts w:ascii="Arial" w:hAnsi="Arial" w:cs="Arial"/>
                <w:sz w:val="20"/>
                <w:lang w:eastAsia="en-US"/>
              </w:rPr>
            </w:pPr>
            <w:r w:rsidRPr="004E4188">
              <w:rPr>
                <w:rFonts w:ascii="Arial" w:hAnsi="Arial" w:cs="Arial"/>
                <w:sz w:val="20"/>
                <w:lang w:eastAsia="en-US"/>
              </w:rPr>
              <w:t>Doit satisfaire au critère</w:t>
            </w:r>
          </w:p>
          <w:p w14:paraId="5D57E779" w14:textId="77777777" w:rsidR="007049A5" w:rsidRPr="004E4188" w:rsidRDefault="007049A5" w:rsidP="005755A6">
            <w:pPr>
              <w:suppressAutoHyphens w:val="0"/>
              <w:overflowPunct/>
              <w:autoSpaceDE/>
              <w:autoSpaceDN/>
              <w:adjustRightInd/>
              <w:spacing w:before="60" w:after="60"/>
              <w:jc w:val="center"/>
              <w:textAlignment w:val="auto"/>
              <w:rPr>
                <w:rFonts w:ascii="Arial" w:hAnsi="Arial" w:cs="Arial"/>
                <w:sz w:val="20"/>
                <w:lang w:eastAsia="en-US"/>
              </w:rPr>
            </w:pPr>
          </w:p>
          <w:p w14:paraId="1057EDEB" w14:textId="77777777" w:rsidR="007049A5" w:rsidRPr="004E4188" w:rsidRDefault="007049A5" w:rsidP="005755A6">
            <w:pPr>
              <w:jc w:val="center"/>
              <w:rPr>
                <w:rFonts w:ascii="Arial" w:hAnsi="Arial" w:cs="Arial"/>
                <w:spacing w:val="-2"/>
                <w:sz w:val="20"/>
                <w:lang w:eastAsia="en-US"/>
              </w:rPr>
            </w:pPr>
            <w:r w:rsidRPr="004E4188">
              <w:rPr>
                <w:rFonts w:ascii="Arial" w:hAnsi="Arial" w:cs="Arial"/>
                <w:sz w:val="20"/>
              </w:rPr>
              <w:t xml:space="preserve">Les critères suivants doivent être remplis par un membre : </w:t>
            </w:r>
            <w:r w:rsidRPr="004E4188">
              <w:rPr>
                <w:rFonts w:ascii="Arial" w:hAnsi="Arial" w:cs="Arial"/>
                <w:spacing w:val="-2"/>
                <w:sz w:val="20"/>
              </w:rPr>
              <w:t>[</w:t>
            </w:r>
            <w:r w:rsidRPr="004E4188">
              <w:rPr>
                <w:rFonts w:ascii="Arial" w:hAnsi="Arial" w:cs="Arial"/>
                <w:i/>
                <w:spacing w:val="-2"/>
                <w:sz w:val="20"/>
              </w:rPr>
              <w:t>Indiquer les activités qui doivent être réalisées par un membre ;</w:t>
            </w:r>
            <w:r w:rsidRPr="004E4188">
              <w:rPr>
                <w:rFonts w:ascii="Arial" w:hAnsi="Arial" w:cs="Arial"/>
                <w:i/>
                <w:spacing w:val="-2"/>
                <w:sz w:val="20"/>
                <w:lang w:eastAsia="en-US"/>
              </w:rPr>
              <w:t xml:space="preserve"> </w:t>
            </w:r>
            <w:r w:rsidRPr="004E4188">
              <w:rPr>
                <w:rFonts w:ascii="Arial" w:hAnsi="Arial" w:cs="Arial"/>
                <w:i/>
                <w:spacing w:val="-2"/>
                <w:sz w:val="20"/>
                <w:lang w:eastAsia="ja-JP"/>
              </w:rPr>
              <w:t xml:space="preserve">s’il n’y a pas de tels critères, </w:t>
            </w:r>
            <w:r w:rsidRPr="004E4188">
              <w:rPr>
                <w:rFonts w:ascii="Arial" w:hAnsi="Arial" w:cs="Arial"/>
                <w:i/>
                <w:spacing w:val="-2"/>
                <w:sz w:val="20"/>
                <w:lang w:eastAsia="en-US"/>
              </w:rPr>
              <w:t>indiquer « Sans objet ».</w:t>
            </w:r>
            <w:r w:rsidRPr="004E4188">
              <w:rPr>
                <w:rFonts w:ascii="Arial" w:hAnsi="Arial" w:cs="Arial"/>
                <w:spacing w:val="-2"/>
                <w:sz w:val="20"/>
                <w:lang w:eastAsia="en-US"/>
              </w:rPr>
              <w:t>]</w:t>
            </w:r>
          </w:p>
          <w:p w14:paraId="184F057F" w14:textId="77777777" w:rsidR="007049A5" w:rsidRPr="004E4188" w:rsidRDefault="007049A5" w:rsidP="005755A6">
            <w:pPr>
              <w:jc w:val="center"/>
              <w:rPr>
                <w:rFonts w:ascii="Arial" w:hAnsi="Arial" w:cs="Arial"/>
                <w:sz w:val="20"/>
              </w:rPr>
            </w:pPr>
          </w:p>
        </w:tc>
        <w:tc>
          <w:tcPr>
            <w:tcW w:w="1699" w:type="dxa"/>
          </w:tcPr>
          <w:p w14:paraId="2EC72C34" w14:textId="77777777" w:rsidR="006973E6" w:rsidRPr="004E4188" w:rsidRDefault="006973E6" w:rsidP="006973E6">
            <w:pPr>
              <w:suppressAutoHyphens w:val="0"/>
              <w:overflowPunct/>
              <w:autoSpaceDE/>
              <w:autoSpaceDN/>
              <w:adjustRightInd/>
              <w:spacing w:before="60" w:after="60"/>
              <w:textAlignment w:val="auto"/>
              <w:rPr>
                <w:rFonts w:ascii="Arial" w:hAnsi="Arial" w:cs="Arial"/>
                <w:sz w:val="20"/>
                <w:lang w:eastAsia="ja-JP"/>
              </w:rPr>
            </w:pPr>
            <w:r w:rsidRPr="004E4188">
              <w:rPr>
                <w:rFonts w:ascii="Arial" w:hAnsi="Arial" w:cs="Arial"/>
                <w:sz w:val="20"/>
                <w:lang w:eastAsia="en-US"/>
              </w:rPr>
              <w:t>Formulaire ELI-3</w:t>
            </w:r>
          </w:p>
          <w:p w14:paraId="2A92AAA9" w14:textId="77777777" w:rsidR="007049A5" w:rsidRPr="004E4188" w:rsidRDefault="007049A5" w:rsidP="002B4CF7">
            <w:pPr>
              <w:spacing w:before="60"/>
              <w:rPr>
                <w:rFonts w:ascii="Arial" w:hAnsi="Arial" w:cs="Arial"/>
                <w:sz w:val="20"/>
              </w:rPr>
            </w:pPr>
            <w:r w:rsidRPr="004E4188">
              <w:rPr>
                <w:rFonts w:ascii="Arial" w:hAnsi="Arial" w:cs="Arial"/>
                <w:sz w:val="20"/>
              </w:rPr>
              <w:t>Formulaire EXP-2(b) avec pièce jointe</w:t>
            </w:r>
          </w:p>
          <w:p w14:paraId="2B23BB4D" w14:textId="77777777" w:rsidR="007049A5" w:rsidRPr="004E4188" w:rsidRDefault="007049A5" w:rsidP="005755A6">
            <w:pPr>
              <w:suppressAutoHyphens w:val="0"/>
              <w:overflowPunct/>
              <w:autoSpaceDE/>
              <w:autoSpaceDN/>
              <w:adjustRightInd/>
              <w:spacing w:before="60" w:after="60"/>
              <w:textAlignment w:val="auto"/>
              <w:rPr>
                <w:rFonts w:ascii="Arial" w:hAnsi="Arial" w:cs="Arial"/>
                <w:sz w:val="20"/>
                <w:lang w:eastAsia="en-US"/>
              </w:rPr>
            </w:pPr>
            <w:r w:rsidRPr="004E4188">
              <w:rPr>
                <w:rFonts w:ascii="Arial" w:hAnsi="Arial" w:cs="Arial"/>
                <w:sz w:val="20"/>
                <w:lang w:eastAsia="ja-JP"/>
              </w:rPr>
              <w:t xml:space="preserve">Formulaire </w:t>
            </w:r>
            <w:r w:rsidRPr="004E4188">
              <w:rPr>
                <w:rFonts w:ascii="Arial" w:hAnsi="Arial" w:cs="Arial"/>
                <w:sz w:val="20"/>
                <w:lang w:eastAsia="en-US"/>
              </w:rPr>
              <w:t>FAB</w:t>
            </w:r>
          </w:p>
          <w:p w14:paraId="14D543FB" w14:textId="5ACF905B" w:rsidR="007049A5" w:rsidRPr="004E4188" w:rsidRDefault="00D57E65" w:rsidP="005755A6">
            <w:pPr>
              <w:widowControl w:val="0"/>
              <w:tabs>
                <w:tab w:val="left" w:leader="dot" w:pos="8424"/>
              </w:tabs>
              <w:suppressAutoHyphens w:val="0"/>
              <w:overflowPunct/>
              <w:adjustRightInd/>
              <w:snapToGrid w:val="0"/>
              <w:spacing w:before="60" w:after="60"/>
              <w:textAlignment w:val="auto"/>
              <w:rPr>
                <w:rFonts w:ascii="Arial" w:hAnsi="Arial" w:cs="Arial"/>
                <w:sz w:val="20"/>
                <w:lang w:eastAsia="ja-JP"/>
              </w:rPr>
            </w:pPr>
            <w:r w:rsidRPr="004E4188">
              <w:rPr>
                <w:rFonts w:ascii="Arial" w:hAnsi="Arial" w:cs="Arial"/>
                <w:sz w:val="20"/>
                <w:lang w:eastAsia="ja-JP"/>
              </w:rPr>
              <w:t>Formulaire</w:t>
            </w:r>
            <w:r w:rsidRPr="004E4188">
              <w:rPr>
                <w:rFonts w:ascii="Arial" w:hAnsi="Arial" w:cs="Arial"/>
                <w:sz w:val="20"/>
                <w:szCs w:val="24"/>
                <w:lang w:eastAsia="en-US"/>
              </w:rPr>
              <w:t xml:space="preserve"> </w:t>
            </w:r>
            <w:r w:rsidR="007049A5" w:rsidRPr="004E4188">
              <w:rPr>
                <w:rFonts w:ascii="Arial" w:hAnsi="Arial" w:cs="Arial"/>
                <w:sz w:val="20"/>
                <w:szCs w:val="24"/>
                <w:lang w:eastAsia="en-US"/>
              </w:rPr>
              <w:t>« Liste de sous-traitants »</w:t>
            </w:r>
          </w:p>
          <w:p w14:paraId="549DA0D7" w14:textId="77777777" w:rsidR="007049A5" w:rsidRPr="004E4188" w:rsidRDefault="007049A5" w:rsidP="005755A6">
            <w:pPr>
              <w:rPr>
                <w:rFonts w:ascii="Arial" w:hAnsi="Arial" w:cs="Arial"/>
                <w:sz w:val="20"/>
              </w:rPr>
            </w:pPr>
          </w:p>
        </w:tc>
      </w:tr>
      <w:tr w:rsidR="007049A5" w:rsidRPr="004E4188" w14:paraId="2389D699" w14:textId="77777777" w:rsidTr="00B7227C">
        <w:tc>
          <w:tcPr>
            <w:tcW w:w="13396" w:type="dxa"/>
            <w:gridSpan w:val="8"/>
          </w:tcPr>
          <w:p w14:paraId="5B745183" w14:textId="77777777" w:rsidR="007049A5" w:rsidRPr="004E4188" w:rsidRDefault="007049A5" w:rsidP="004B0D3E">
            <w:pPr>
              <w:pStyle w:val="Style11"/>
              <w:tabs>
                <w:tab w:val="left" w:leader="dot" w:pos="8424"/>
              </w:tabs>
              <w:spacing w:after="60" w:line="240" w:lineRule="auto"/>
              <w:jc w:val="both"/>
              <w:rPr>
                <w:rFonts w:ascii="Arial" w:hAnsi="Arial" w:cs="Arial"/>
                <w:sz w:val="20"/>
                <w:szCs w:val="20"/>
                <w:lang w:val="fr-FR" w:eastAsia="ja-JP"/>
              </w:rPr>
            </w:pPr>
            <w:r w:rsidRPr="004E4188">
              <w:rPr>
                <w:rFonts w:ascii="Arial" w:hAnsi="Arial" w:cs="Arial"/>
                <w:sz w:val="20"/>
                <w:u w:val="single"/>
                <w:lang w:val="fr-FR" w:eastAsia="ja-JP"/>
              </w:rPr>
              <w:t>Notes à l’intention des Soumissionnaires</w:t>
            </w:r>
          </w:p>
          <w:p w14:paraId="18680774" w14:textId="77777777" w:rsidR="007049A5" w:rsidRPr="004E4188" w:rsidRDefault="007049A5" w:rsidP="006C6267">
            <w:pPr>
              <w:tabs>
                <w:tab w:val="left" w:pos="601"/>
              </w:tabs>
              <w:spacing w:afterLines="50" w:after="120"/>
              <w:ind w:left="397" w:hanging="397"/>
              <w:rPr>
                <w:rFonts w:ascii="Arial" w:hAnsi="Arial" w:cs="Arial"/>
                <w:sz w:val="20"/>
              </w:rPr>
            </w:pPr>
            <w:r w:rsidRPr="004E4188">
              <w:rPr>
                <w:rFonts w:ascii="Arial" w:hAnsi="Arial" w:cs="Arial"/>
                <w:sz w:val="20"/>
                <w:lang w:eastAsia="ja-JP"/>
              </w:rPr>
              <w:t>(i)</w:t>
            </w:r>
            <w:r w:rsidRPr="004E4188">
              <w:rPr>
                <w:rFonts w:ascii="Arial" w:hAnsi="Arial" w:cs="Arial"/>
                <w:sz w:val="20"/>
                <w:lang w:eastAsia="ja-JP"/>
              </w:rPr>
              <w:tab/>
            </w:r>
            <w:r w:rsidRPr="004E4188">
              <w:rPr>
                <w:rFonts w:ascii="Arial" w:hAnsi="Arial" w:cs="Arial"/>
                <w:sz w:val="20"/>
              </w:rPr>
              <w:t>A</w:t>
            </w:r>
            <w:r w:rsidRPr="004E4188">
              <w:rPr>
                <w:rFonts w:ascii="Arial" w:hAnsi="Arial" w:cs="Arial"/>
                <w:sz w:val="20"/>
                <w:lang w:eastAsia="ja-JP"/>
              </w:rPr>
              <w:t>ux fins de ce critère, un « en</w:t>
            </w:r>
            <w:r w:rsidRPr="004E4188">
              <w:rPr>
                <w:rFonts w:ascii="Arial" w:hAnsi="Arial" w:cs="Arial"/>
                <w:sz w:val="20"/>
              </w:rPr>
              <w:t>trepreneur gestionnaire de projet » est également considéré comme un entrepreneur principal. Un entrepreneur gestionnaire de projet désigne ici une entreprise qui prend en charge la gestion du marché. Normalement, un entrepreneur gestionnaire de projet ne s’occupe pas directement des équipements et services de montage associés au marché. Il dirige plutôt les travaux des autres entrepreneurs (sous-traitants) en assumant la responsabilité totale ainsi que les risques liés aux prix, à la qualité et aux délais contractuels du marché.</w:t>
            </w:r>
          </w:p>
          <w:p w14:paraId="69F2A017" w14:textId="77777777" w:rsidR="007049A5" w:rsidRPr="004E4188" w:rsidRDefault="007049A5" w:rsidP="006C6267">
            <w:pPr>
              <w:tabs>
                <w:tab w:val="left" w:pos="601"/>
              </w:tabs>
              <w:spacing w:afterLines="50" w:after="120"/>
              <w:ind w:left="397" w:hanging="397"/>
              <w:rPr>
                <w:rFonts w:ascii="Arial" w:hAnsi="Arial" w:cs="Arial"/>
                <w:sz w:val="20"/>
              </w:rPr>
            </w:pPr>
            <w:r w:rsidRPr="004E4188">
              <w:rPr>
                <w:rFonts w:ascii="Arial" w:hAnsi="Arial" w:cs="Arial"/>
                <w:sz w:val="20"/>
                <w:lang w:eastAsia="ja-JP"/>
              </w:rPr>
              <w:t>(ii)</w:t>
            </w:r>
            <w:r w:rsidRPr="004E4188">
              <w:rPr>
                <w:rFonts w:ascii="Arial" w:hAnsi="Arial" w:cs="Arial"/>
                <w:sz w:val="20"/>
                <w:lang w:eastAsia="ja-JP"/>
              </w:rPr>
              <w:tab/>
            </w:r>
            <w:r w:rsidRPr="004E4188">
              <w:rPr>
                <w:rFonts w:ascii="Arial" w:hAnsi="Arial" w:cs="Arial"/>
                <w:sz w:val="20"/>
              </w:rPr>
              <w:t>La somme d’un certain nombre de marchés de moindre valeur (inférieure à la valeur spécifiée pour ce critère) afin de remplir l’ensemble du critère ne sera pas acceptée.</w:t>
            </w:r>
          </w:p>
          <w:p w14:paraId="1BF47FFA" w14:textId="77777777" w:rsidR="007049A5" w:rsidRPr="004E4188" w:rsidRDefault="007049A5" w:rsidP="006C6267">
            <w:pPr>
              <w:tabs>
                <w:tab w:val="left" w:pos="601"/>
              </w:tabs>
              <w:spacing w:afterLines="50" w:after="120"/>
              <w:ind w:left="397" w:hanging="397"/>
              <w:rPr>
                <w:rFonts w:ascii="Arial" w:hAnsi="Arial" w:cs="Arial"/>
                <w:sz w:val="20"/>
              </w:rPr>
            </w:pPr>
            <w:r w:rsidRPr="004E4188">
              <w:rPr>
                <w:rFonts w:ascii="Arial" w:hAnsi="Arial" w:cs="Arial"/>
                <w:sz w:val="20"/>
                <w:lang w:eastAsia="ja-JP"/>
              </w:rPr>
              <w:t>(iii)</w:t>
            </w:r>
            <w:r w:rsidRPr="004E4188">
              <w:rPr>
                <w:rFonts w:ascii="Arial" w:hAnsi="Arial" w:cs="Arial"/>
                <w:sz w:val="20"/>
                <w:lang w:eastAsia="ja-JP"/>
              </w:rPr>
              <w:tab/>
            </w:r>
            <w:r w:rsidRPr="004E4188">
              <w:rPr>
                <w:rFonts w:ascii="Arial" w:hAnsi="Arial" w:cs="Arial"/>
                <w:sz w:val="20"/>
              </w:rPr>
              <w:t>L</w:t>
            </w:r>
            <w:r w:rsidRPr="004E4188">
              <w:rPr>
                <w:rFonts w:ascii="Arial" w:hAnsi="Arial" w:cs="Arial"/>
                <w:sz w:val="20"/>
                <w:lang w:eastAsia="ja-JP"/>
              </w:rPr>
              <w:t xml:space="preserve">’achèvement des travaux sera attesté par la remise d’une copie d’un </w:t>
            </w:r>
            <w:r w:rsidRPr="004E4188">
              <w:rPr>
                <w:rFonts w:ascii="Arial" w:hAnsi="Arial" w:cs="Arial"/>
                <w:sz w:val="20"/>
              </w:rPr>
              <w:t>certificat d’utilisateur final</w:t>
            </w:r>
            <w:r w:rsidRPr="004E4188">
              <w:rPr>
                <w:rFonts w:ascii="Arial" w:hAnsi="Arial" w:cs="Arial"/>
                <w:sz w:val="20"/>
                <w:lang w:eastAsia="ja-JP"/>
              </w:rPr>
              <w:t xml:space="preserve"> tel que le certificat de réception ou le certificat d’achèvement des Travaux qui doivent être soumis en pièce jointe aux formulaires EXP-2(a) ou EXP-2(b) de la Section IV, Formulaires de soumission</w:t>
            </w:r>
            <w:r w:rsidRPr="004E4188">
              <w:rPr>
                <w:rFonts w:ascii="Arial" w:hAnsi="Arial" w:cs="Arial"/>
                <w:sz w:val="20"/>
              </w:rPr>
              <w:t xml:space="preserve">. </w:t>
            </w:r>
          </w:p>
          <w:p w14:paraId="0DDE69B2" w14:textId="77777777" w:rsidR="007049A5" w:rsidRPr="004E4188" w:rsidRDefault="007049A5" w:rsidP="006C6267">
            <w:pPr>
              <w:tabs>
                <w:tab w:val="left" w:pos="601"/>
              </w:tabs>
              <w:spacing w:afterLines="50" w:after="120"/>
              <w:ind w:left="397" w:hanging="397"/>
              <w:rPr>
                <w:rFonts w:ascii="Arial" w:hAnsi="Arial" w:cs="Arial"/>
                <w:sz w:val="20"/>
              </w:rPr>
            </w:pPr>
            <w:r w:rsidRPr="004E4188">
              <w:rPr>
                <w:rFonts w:ascii="Arial" w:hAnsi="Arial" w:cs="Arial"/>
                <w:sz w:val="20"/>
                <w:lang w:eastAsia="ja-JP"/>
              </w:rPr>
              <w:t>(iv)</w:t>
            </w:r>
            <w:r w:rsidRPr="004E4188">
              <w:rPr>
                <w:rFonts w:ascii="Arial" w:hAnsi="Arial" w:cs="Arial"/>
                <w:sz w:val="20"/>
                <w:lang w:eastAsia="ja-JP"/>
              </w:rPr>
              <w:tab/>
            </w:r>
            <w:r w:rsidRPr="004E4188">
              <w:rPr>
                <w:rFonts w:ascii="Arial" w:hAnsi="Arial" w:cs="Arial"/>
                <w:sz w:val="20"/>
              </w:rPr>
              <w:t>Pour les marchés auxquels le Soumissionnaire a participé en tant que membre d’un Groupement, seule la participation du Soumissionnaire, en valeur, sera considérée pour satisfaire au critère.</w:t>
            </w:r>
          </w:p>
          <w:p w14:paraId="28899D45" w14:textId="77777777" w:rsidR="007049A5" w:rsidRPr="004E4188" w:rsidRDefault="007049A5" w:rsidP="006C6267">
            <w:pPr>
              <w:tabs>
                <w:tab w:val="left" w:pos="601"/>
              </w:tabs>
              <w:spacing w:afterLines="50" w:after="120"/>
              <w:ind w:left="397" w:hanging="397"/>
              <w:rPr>
                <w:rFonts w:ascii="Arial" w:hAnsi="Arial" w:cs="Arial"/>
                <w:sz w:val="20"/>
                <w:lang w:eastAsia="ja-JP"/>
              </w:rPr>
            </w:pPr>
            <w:r w:rsidRPr="004E4188">
              <w:rPr>
                <w:rFonts w:ascii="Arial" w:hAnsi="Arial" w:cs="Arial"/>
                <w:sz w:val="20"/>
                <w:lang w:eastAsia="ja-JP"/>
              </w:rPr>
              <w:t>(v)</w:t>
            </w:r>
            <w:r w:rsidRPr="004E4188">
              <w:rPr>
                <w:rFonts w:ascii="Arial" w:hAnsi="Arial" w:cs="Arial"/>
                <w:sz w:val="20"/>
                <w:lang w:eastAsia="ja-JP"/>
              </w:rPr>
              <w:tab/>
            </w:r>
            <w:r w:rsidRPr="004E4188">
              <w:rPr>
                <w:rFonts w:ascii="Arial" w:hAnsi="Arial" w:cs="Arial"/>
                <w:sz w:val="20"/>
              </w:rPr>
              <w:t>En cas de Groupement, la valeur des marchés réalisés par chacun des membres ne sera pas ajoutée pour déterminer si la valeur minimale requise pour un marché unique a été satisfaite. Par contre, chaque marché réalisé par chaque membre doit satisfaire la valeur minimale pour un marché unique telle que requise pour une entreprise unique. Pour déterminer si le Groupement satisfait au critère du nombre total de marchés, seul le nombre de marchés réalisés par tous les membres dont la valeur est égale ou supérieure à la valeur minimale requise, sera considéré.</w:t>
            </w:r>
          </w:p>
          <w:p w14:paraId="42631E1B" w14:textId="77777777" w:rsidR="007049A5" w:rsidRPr="004E4188" w:rsidRDefault="007049A5" w:rsidP="006C6267">
            <w:pPr>
              <w:tabs>
                <w:tab w:val="left" w:pos="601"/>
              </w:tabs>
              <w:spacing w:afterLines="50" w:after="120"/>
              <w:ind w:left="397" w:hanging="397"/>
              <w:rPr>
                <w:rFonts w:ascii="Arial" w:hAnsi="Arial" w:cs="Arial"/>
                <w:sz w:val="20"/>
              </w:rPr>
            </w:pPr>
            <w:r w:rsidRPr="004E4188">
              <w:rPr>
                <w:rFonts w:ascii="Arial" w:hAnsi="Arial" w:cs="Arial"/>
                <w:sz w:val="20"/>
                <w:lang w:eastAsia="ja-JP"/>
              </w:rPr>
              <w:t>(vi)</w:t>
            </w:r>
            <w:r w:rsidRPr="004E4188">
              <w:rPr>
                <w:rFonts w:ascii="Arial" w:hAnsi="Arial" w:cs="Arial"/>
                <w:sz w:val="20"/>
                <w:lang w:eastAsia="ja-JP"/>
              </w:rPr>
              <w:tab/>
            </w:r>
            <w:r w:rsidRPr="004E4188">
              <w:rPr>
                <w:rFonts w:ascii="Arial" w:hAnsi="Arial" w:cs="Arial"/>
                <w:sz w:val="20"/>
              </w:rPr>
              <w:t>Pour les marchés auxquels le Soumissionnaire a participé en tant que membre d’un Groupement ou en tant que sous-traitant, seule la participation du Soumissionnaire, en valeur et par rôle, sera considérée pour satisfaire au critère.</w:t>
            </w:r>
          </w:p>
          <w:p w14:paraId="6F86DAEE" w14:textId="77777777" w:rsidR="007049A5" w:rsidRPr="004E4188" w:rsidRDefault="007049A5" w:rsidP="006C6267">
            <w:pPr>
              <w:tabs>
                <w:tab w:val="left" w:pos="601"/>
              </w:tabs>
              <w:spacing w:afterLines="50" w:after="120"/>
              <w:ind w:left="397" w:hanging="397"/>
              <w:rPr>
                <w:rFonts w:ascii="Arial" w:hAnsi="Arial" w:cs="Arial"/>
                <w:i/>
                <w:sz w:val="20"/>
                <w:lang w:eastAsia="ja-JP"/>
              </w:rPr>
            </w:pPr>
            <w:r w:rsidRPr="004E4188">
              <w:rPr>
                <w:rFonts w:ascii="Arial" w:hAnsi="Arial" w:cs="Arial"/>
                <w:sz w:val="20"/>
                <w:lang w:eastAsia="ja-JP"/>
              </w:rPr>
              <w:t>(vii)</w:t>
            </w:r>
            <w:r w:rsidRPr="004E4188">
              <w:rPr>
                <w:rFonts w:ascii="Arial" w:hAnsi="Arial" w:cs="Arial"/>
                <w:sz w:val="20"/>
                <w:lang w:eastAsia="ja-JP"/>
              </w:rPr>
              <w:tab/>
              <w:t>L’expérience minimale requise pour l’attribution de lots multiples sera la somme des critères minimaux pour chaque lot unique.</w:t>
            </w:r>
          </w:p>
        </w:tc>
      </w:tr>
      <w:tr w:rsidR="007049A5" w:rsidRPr="004E4188" w14:paraId="69BA0E8D" w14:textId="77777777" w:rsidTr="00B7227C">
        <w:tc>
          <w:tcPr>
            <w:tcW w:w="13396" w:type="dxa"/>
            <w:gridSpan w:val="8"/>
          </w:tcPr>
          <w:p w14:paraId="79FA620D" w14:textId="77777777" w:rsidR="007049A5" w:rsidRPr="004E4188" w:rsidRDefault="007049A5" w:rsidP="004B0D3E">
            <w:pPr>
              <w:widowControl w:val="0"/>
              <w:suppressAutoHyphens w:val="0"/>
              <w:overflowPunct/>
              <w:adjustRightInd/>
              <w:spacing w:after="60"/>
              <w:textAlignment w:val="auto"/>
              <w:rPr>
                <w:rFonts w:ascii="Arial" w:hAnsi="Arial" w:cs="Arial"/>
                <w:i/>
                <w:sz w:val="20"/>
                <w:u w:val="single"/>
                <w:lang w:eastAsia="ja-JP"/>
              </w:rPr>
            </w:pPr>
            <w:r w:rsidRPr="004E4188">
              <w:rPr>
                <w:rFonts w:ascii="Arial" w:hAnsi="Arial" w:cs="Arial"/>
                <w:i/>
                <w:sz w:val="20"/>
                <w:u w:val="single"/>
                <w:lang w:eastAsia="ja-JP"/>
              </w:rPr>
              <w:t>Notes à l’intention du Maître d’ouvrage</w:t>
            </w:r>
          </w:p>
          <w:p w14:paraId="15908EF3" w14:textId="77777777" w:rsidR="007049A5" w:rsidRPr="004E4188" w:rsidRDefault="007049A5" w:rsidP="006C6267">
            <w:pPr>
              <w:spacing w:afterLines="50" w:after="120"/>
              <w:ind w:left="397" w:hanging="397"/>
              <w:rPr>
                <w:rFonts w:ascii="Arial" w:hAnsi="Arial" w:cs="Arial"/>
                <w:i/>
                <w:sz w:val="20"/>
                <w:lang w:eastAsia="ja-JP"/>
              </w:rPr>
            </w:pPr>
            <w:r w:rsidRPr="004E4188">
              <w:rPr>
                <w:rFonts w:ascii="Arial" w:hAnsi="Arial" w:cs="Arial"/>
                <w:i/>
                <w:sz w:val="20"/>
                <w:lang w:eastAsia="ja-JP"/>
              </w:rPr>
              <w:t>1.</w:t>
            </w:r>
            <w:r w:rsidRPr="004E4188">
              <w:rPr>
                <w:rFonts w:ascii="Arial" w:hAnsi="Arial" w:cs="Arial"/>
                <w:i/>
                <w:sz w:val="20"/>
                <w:lang w:eastAsia="ja-JP"/>
              </w:rPr>
              <w:tab/>
            </w:r>
            <w:r w:rsidRPr="004E4188">
              <w:rPr>
                <w:rFonts w:ascii="Arial" w:hAnsi="Arial" w:cs="Arial"/>
                <w:i/>
                <w:sz w:val="20"/>
              </w:rPr>
              <w:t>La</w:t>
            </w:r>
            <w:r w:rsidRPr="004E4188">
              <w:rPr>
                <w:rFonts w:ascii="Arial" w:hAnsi="Arial" w:cs="Arial"/>
                <w:i/>
                <w:sz w:val="20"/>
                <w:lang w:eastAsia="ja-JP"/>
              </w:rPr>
              <w:t xml:space="preserve"> période est généralement de cinq (5) ans ou plus, mais elle peut être réduite à trois (3) ans minimum (avec l’accord de la JICA) en cas de circonstances particulières propres à un pays, de manière à donner des opportunités aux entreprises récemment privatisées ayant peu d’années d’expérience.</w:t>
            </w:r>
          </w:p>
          <w:p w14:paraId="65C8CE6D" w14:textId="77777777" w:rsidR="007049A5" w:rsidRPr="004E4188" w:rsidRDefault="007049A5" w:rsidP="006C6267">
            <w:pPr>
              <w:spacing w:afterLines="50" w:after="120"/>
              <w:ind w:left="397" w:hanging="397"/>
              <w:rPr>
                <w:rFonts w:ascii="Arial" w:hAnsi="Arial" w:cs="Arial"/>
                <w:i/>
                <w:sz w:val="20"/>
                <w:lang w:eastAsia="ja-JP"/>
              </w:rPr>
            </w:pPr>
            <w:r w:rsidRPr="004E4188">
              <w:rPr>
                <w:rFonts w:ascii="Arial" w:hAnsi="Arial" w:cs="Arial"/>
                <w:i/>
                <w:sz w:val="20"/>
                <w:lang w:eastAsia="ja-JP"/>
              </w:rPr>
              <w:t>2.</w:t>
            </w:r>
            <w:r w:rsidRPr="004E4188">
              <w:rPr>
                <w:rFonts w:ascii="Arial" w:hAnsi="Arial" w:cs="Arial"/>
                <w:i/>
                <w:sz w:val="20"/>
                <w:lang w:eastAsia="ja-JP"/>
              </w:rPr>
              <w:tab/>
              <w:t>Le nombre des marchés doit être compris entre un (1) et trois (3), en fonction de l’envergure, de la valeur, de la nature et de la complexité du marché en question, du risque de non-exécution du marché auquel le Maître d’ouvrage est exposé, des conditions du pays et de l’expérience antérieure de marchés similaires.</w:t>
            </w:r>
          </w:p>
          <w:p w14:paraId="63A416BE" w14:textId="77777777" w:rsidR="007049A5" w:rsidRPr="004E4188" w:rsidRDefault="007049A5" w:rsidP="006C6267">
            <w:pPr>
              <w:tabs>
                <w:tab w:val="left" w:pos="340"/>
              </w:tabs>
              <w:spacing w:afterLines="50" w:after="120"/>
              <w:ind w:left="397" w:hanging="397"/>
              <w:rPr>
                <w:rFonts w:ascii="Arial" w:hAnsi="Arial" w:cs="Arial"/>
                <w:i/>
                <w:sz w:val="20"/>
                <w:lang w:eastAsia="ja-JP"/>
              </w:rPr>
            </w:pPr>
            <w:r w:rsidRPr="004E4188">
              <w:rPr>
                <w:rFonts w:ascii="Arial" w:hAnsi="Arial" w:cs="Arial"/>
                <w:i/>
                <w:sz w:val="20"/>
                <w:lang w:eastAsia="ja-JP"/>
              </w:rPr>
              <w:t>3.</w:t>
            </w:r>
            <w:r w:rsidRPr="004E4188">
              <w:rPr>
                <w:rFonts w:ascii="Arial" w:hAnsi="Arial" w:cs="Arial"/>
                <w:i/>
                <w:sz w:val="20"/>
                <w:lang w:eastAsia="ja-JP"/>
              </w:rPr>
              <w:tab/>
              <w:t>La période est généralement de cinq (5) ans, et peut être prolongée jusqu’à dix (10) ans pour des projets de grande envergure.</w:t>
            </w:r>
          </w:p>
          <w:p w14:paraId="29096D7D" w14:textId="77777777" w:rsidR="007049A5" w:rsidRPr="004E4188" w:rsidRDefault="007049A5" w:rsidP="006C6267">
            <w:pPr>
              <w:tabs>
                <w:tab w:val="left" w:pos="340"/>
              </w:tabs>
              <w:spacing w:afterLines="50" w:after="120"/>
              <w:ind w:left="397" w:hanging="397"/>
              <w:rPr>
                <w:rFonts w:ascii="Arial" w:hAnsi="Arial" w:cs="Arial"/>
                <w:i/>
                <w:sz w:val="20"/>
                <w:lang w:eastAsia="ja-JP"/>
              </w:rPr>
            </w:pPr>
            <w:r w:rsidRPr="004E4188">
              <w:rPr>
                <w:rFonts w:ascii="Arial" w:hAnsi="Arial" w:cs="Arial"/>
                <w:i/>
                <w:sz w:val="20"/>
                <w:lang w:eastAsia="ja-JP"/>
              </w:rPr>
              <w:t>4.</w:t>
            </w:r>
            <w:r w:rsidRPr="004E4188">
              <w:rPr>
                <w:rFonts w:ascii="Arial" w:hAnsi="Arial" w:cs="Arial"/>
                <w:i/>
                <w:sz w:val="20"/>
                <w:lang w:eastAsia="ja-JP"/>
              </w:rPr>
              <w:tab/>
              <w:t>La même période que pour le Critère 2.4.2(a) ci-dessus.</w:t>
            </w:r>
          </w:p>
        </w:tc>
      </w:tr>
    </w:tbl>
    <w:p w14:paraId="06999D15" w14:textId="77777777" w:rsidR="007049A5" w:rsidRPr="004E4188" w:rsidRDefault="007049A5"/>
    <w:p w14:paraId="4E2BF3DD" w14:textId="77777777" w:rsidR="007049A5" w:rsidRPr="004E4188" w:rsidRDefault="007049A5" w:rsidP="004651FB">
      <w:pPr>
        <w:rPr>
          <w:lang w:eastAsia="ja-JP"/>
        </w:rPr>
        <w:sectPr w:rsidR="007049A5" w:rsidRPr="004E4188" w:rsidSect="004018DF">
          <w:headerReference w:type="even" r:id="rId72"/>
          <w:headerReference w:type="default" r:id="rId73"/>
          <w:headerReference w:type="first" r:id="rId74"/>
          <w:footnotePr>
            <w:numRestart w:val="eachPage"/>
          </w:footnotePr>
          <w:endnotePr>
            <w:numFmt w:val="decimal"/>
          </w:endnotePr>
          <w:pgSz w:w="15840" w:h="12240" w:orient="landscape" w:code="1"/>
          <w:pgMar w:top="1797" w:right="1440" w:bottom="1440" w:left="1440" w:header="1134" w:footer="720" w:gutter="0"/>
          <w:cols w:space="720"/>
        </w:sectPr>
      </w:pPr>
    </w:p>
    <w:p w14:paraId="7DDACB0F" w14:textId="77777777" w:rsidR="007049A5" w:rsidRPr="004E4188" w:rsidRDefault="007049A5" w:rsidP="00A74C04">
      <w:pPr>
        <w:rPr>
          <w:b/>
          <w:sz w:val="28"/>
          <w:szCs w:val="28"/>
        </w:rPr>
      </w:pPr>
      <w:r w:rsidRPr="004E4188">
        <w:rPr>
          <w:b/>
          <w:sz w:val="28"/>
          <w:szCs w:val="28"/>
        </w:rPr>
        <w:t>Offres de deuxième étape</w:t>
      </w:r>
    </w:p>
    <w:p w14:paraId="4DAD01F3" w14:textId="77777777" w:rsidR="007049A5" w:rsidRPr="004E4188" w:rsidRDefault="007049A5" w:rsidP="00FB0474">
      <w:pPr>
        <w:spacing w:after="80"/>
        <w:rPr>
          <w:b/>
        </w:rPr>
      </w:pPr>
    </w:p>
    <w:p w14:paraId="013098BB" w14:textId="7EF08FA2" w:rsidR="007049A5" w:rsidRPr="004E4188" w:rsidRDefault="007049A5" w:rsidP="00FB0474">
      <w:pPr>
        <w:ind w:left="851" w:hanging="851"/>
        <w:rPr>
          <w:b/>
          <w:sz w:val="28"/>
          <w:szCs w:val="28"/>
        </w:rPr>
      </w:pPr>
      <w:r w:rsidRPr="004E4188">
        <w:rPr>
          <w:b/>
          <w:sz w:val="28"/>
          <w:szCs w:val="28"/>
        </w:rPr>
        <w:t>1</w:t>
      </w:r>
      <w:r w:rsidR="00C6128E" w:rsidRPr="004E4188">
        <w:rPr>
          <w:b/>
          <w:sz w:val="28"/>
          <w:szCs w:val="28"/>
        </w:rPr>
        <w:t>.</w:t>
      </w:r>
      <w:r w:rsidRPr="004E4188">
        <w:rPr>
          <w:b/>
          <w:sz w:val="28"/>
          <w:szCs w:val="28"/>
          <w:lang w:eastAsia="ja-JP"/>
        </w:rPr>
        <w:tab/>
      </w:r>
      <w:r w:rsidRPr="004E4188">
        <w:rPr>
          <w:b/>
          <w:sz w:val="28"/>
          <w:szCs w:val="28"/>
        </w:rPr>
        <w:t>Évaluation</w:t>
      </w:r>
    </w:p>
    <w:p w14:paraId="78B62684" w14:textId="77777777" w:rsidR="00FB0474" w:rsidRPr="004E4188" w:rsidRDefault="00FB0474" w:rsidP="00FB0474">
      <w:pPr>
        <w:ind w:left="851" w:hanging="851"/>
      </w:pPr>
    </w:p>
    <w:p w14:paraId="405FDC0E" w14:textId="77777777" w:rsidR="007049A5" w:rsidRPr="004E4188" w:rsidRDefault="007049A5" w:rsidP="003D46CF">
      <w:pPr>
        <w:pStyle w:val="ListParagraph1"/>
        <w:numPr>
          <w:ilvl w:val="1"/>
          <w:numId w:val="59"/>
        </w:numPr>
        <w:tabs>
          <w:tab w:val="clear" w:pos="420"/>
          <w:tab w:val="left" w:pos="851"/>
        </w:tabs>
        <w:snapToGrid w:val="0"/>
        <w:contextualSpacing w:val="0"/>
        <w:jc w:val="left"/>
        <w:rPr>
          <w:b/>
          <w:bCs/>
          <w:sz w:val="28"/>
          <w:szCs w:val="28"/>
          <w:lang w:val="fr-FR" w:eastAsia="ja-JP"/>
        </w:rPr>
      </w:pPr>
      <w:r w:rsidRPr="004E4188">
        <w:rPr>
          <w:b/>
          <w:bCs/>
          <w:sz w:val="30"/>
          <w:szCs w:val="30"/>
          <w:lang w:val="fr-FR" w:eastAsia="ja-JP"/>
        </w:rPr>
        <w:tab/>
      </w:r>
      <w:r w:rsidRPr="004E4188">
        <w:rPr>
          <w:b/>
          <w:sz w:val="28"/>
          <w:szCs w:val="28"/>
          <w:lang w:val="fr-FR"/>
        </w:rPr>
        <w:t>Évaluation</w:t>
      </w:r>
      <w:r w:rsidRPr="004E4188">
        <w:rPr>
          <w:b/>
          <w:bCs/>
          <w:sz w:val="28"/>
          <w:szCs w:val="28"/>
          <w:lang w:val="fr-FR" w:eastAsia="ja-JP"/>
        </w:rPr>
        <w:t xml:space="preserve"> </w:t>
      </w:r>
      <w:r w:rsidRPr="004E4188">
        <w:rPr>
          <w:b/>
          <w:sz w:val="28"/>
          <w:szCs w:val="28"/>
          <w:lang w:val="fr-FR"/>
        </w:rPr>
        <w:t>technique</w:t>
      </w:r>
    </w:p>
    <w:p w14:paraId="3889DFAD" w14:textId="411B6D1C" w:rsidR="007049A5" w:rsidRPr="004E4188" w:rsidRDefault="007049A5" w:rsidP="006C6267">
      <w:pPr>
        <w:spacing w:after="120"/>
        <w:ind w:left="851"/>
        <w:rPr>
          <w:szCs w:val="24"/>
        </w:rPr>
      </w:pPr>
      <w:r w:rsidRPr="004E4188">
        <w:rPr>
          <w:rStyle w:val="afe"/>
          <w:sz w:val="24"/>
          <w:szCs w:val="24"/>
        </w:rPr>
        <w:t>L</w:t>
      </w:r>
      <w:r w:rsidRPr="004E4188">
        <w:t>’évaluation des offres de la deuxième étape comporte les étapes suivantes :</w:t>
      </w:r>
      <w:r w:rsidRPr="004E4188">
        <w:rPr>
          <w:szCs w:val="24"/>
        </w:rPr>
        <w:t xml:space="preserve"> </w:t>
      </w:r>
    </w:p>
    <w:p w14:paraId="1C56C5F1" w14:textId="3B36FDE9" w:rsidR="007049A5" w:rsidRPr="004E4188" w:rsidRDefault="007049A5" w:rsidP="006C6267">
      <w:pPr>
        <w:widowControl w:val="0"/>
        <w:tabs>
          <w:tab w:val="left" w:pos="1418"/>
        </w:tabs>
        <w:spacing w:after="60" w:line="0" w:lineRule="atLeast"/>
        <w:ind w:left="1418" w:hanging="567"/>
        <w:rPr>
          <w:szCs w:val="24"/>
        </w:rPr>
      </w:pPr>
      <w:r w:rsidRPr="004E4188">
        <w:rPr>
          <w:szCs w:val="24"/>
        </w:rPr>
        <w:t>(a)</w:t>
      </w:r>
      <w:r w:rsidRPr="004E4188">
        <w:rPr>
          <w:szCs w:val="24"/>
        </w:rPr>
        <w:tab/>
        <w:t>La confirmation des qualifications du Soumissionnaire à exécuter le Marché de manière satisfaisante conformément à IS</w:t>
      </w:r>
      <w:r w:rsidR="00C6128E" w:rsidRPr="004E4188">
        <w:rPr>
          <w:rFonts w:cs="HBKMBP+TimesNewRoman"/>
          <w:color w:val="000000"/>
          <w:szCs w:val="24"/>
        </w:rPr>
        <w:t> </w:t>
      </w:r>
      <w:r w:rsidRPr="004E4188">
        <w:rPr>
          <w:szCs w:val="24"/>
        </w:rPr>
        <w:t>43. Les critères de qualification à considérer sont détaillés plus bas à l’Article 2 (</w:t>
      </w:r>
      <w:r w:rsidRPr="004E4188">
        <w:rPr>
          <w:i/>
          <w:szCs w:val="24"/>
        </w:rPr>
        <w:t>Qualification</w:t>
      </w:r>
      <w:r w:rsidRPr="004E4188">
        <w:rPr>
          <w:szCs w:val="24"/>
        </w:rPr>
        <w:t>).</w:t>
      </w:r>
    </w:p>
    <w:p w14:paraId="47F47D13" w14:textId="77777777" w:rsidR="007049A5" w:rsidRPr="004E4188" w:rsidRDefault="007049A5" w:rsidP="006C6267">
      <w:pPr>
        <w:widowControl w:val="0"/>
        <w:tabs>
          <w:tab w:val="left" w:pos="1418"/>
        </w:tabs>
        <w:spacing w:after="60" w:line="0" w:lineRule="atLeast"/>
        <w:ind w:left="1418" w:hanging="567"/>
        <w:rPr>
          <w:szCs w:val="24"/>
        </w:rPr>
      </w:pPr>
      <w:r w:rsidRPr="004E4188">
        <w:rPr>
          <w:szCs w:val="24"/>
        </w:rPr>
        <w:t>(b)</w:t>
      </w:r>
      <w:r w:rsidRPr="004E4188">
        <w:rPr>
          <w:szCs w:val="24"/>
        </w:rPr>
        <w:tab/>
        <w:t xml:space="preserve">La vérification </w:t>
      </w:r>
      <w:r w:rsidRPr="004E4188">
        <w:rPr>
          <w:rFonts w:hint="eastAsia"/>
          <w:szCs w:val="24"/>
        </w:rPr>
        <w:t xml:space="preserve">que </w:t>
      </w:r>
      <w:r w:rsidRPr="004E4188">
        <w:rPr>
          <w:szCs w:val="24"/>
        </w:rPr>
        <w:t xml:space="preserve">l’offre de la deuxième étape est substantiellement conforme telle que définie à IS 44. Les critères d’évaluation à considérer sont décrits ci-dessous. </w:t>
      </w:r>
    </w:p>
    <w:p w14:paraId="096F2988" w14:textId="77777777" w:rsidR="007049A5" w:rsidRPr="004E4188" w:rsidRDefault="007049A5" w:rsidP="006C6267">
      <w:pPr>
        <w:spacing w:after="120"/>
        <w:ind w:left="1418"/>
        <w:rPr>
          <w:szCs w:val="24"/>
        </w:rPr>
      </w:pPr>
      <w:r w:rsidRPr="004E4188">
        <w:rPr>
          <w:szCs w:val="24"/>
        </w:rPr>
        <w:t xml:space="preserve">Cette étape comprend, entre autres, une évaluation de la conformité de la Proposition technique présentée par le Soumissionnaire, au cours de laquelle les capacités techniques du Soumissionnaire à terminer les </w:t>
      </w:r>
      <w:r w:rsidRPr="004E4188">
        <w:rPr>
          <w:szCs w:val="24"/>
          <w:lang w:eastAsia="en-US"/>
        </w:rPr>
        <w:t>Installations</w:t>
      </w:r>
      <w:r w:rsidRPr="004E4188">
        <w:rPr>
          <w:szCs w:val="24"/>
        </w:rPr>
        <w:t xml:space="preserve"> seront vérifiées sous l’angle des points exposés ci-après.</w:t>
      </w:r>
      <w:r w:rsidRPr="004E4188">
        <w:t xml:space="preserve"> Sur la base de cette évaluation, le Maître d’ouvrage déterminera si la Proposition technique est substantiellement conforme aux exigences définies à la Section VI, Exigences du Maître d’</w:t>
      </w:r>
      <w:r w:rsidRPr="004E4188">
        <w:rPr>
          <w:rFonts w:hint="eastAsia"/>
        </w:rPr>
        <w:t>o</w:t>
      </w:r>
      <w:r w:rsidRPr="004E4188">
        <w:t>uvrage.</w:t>
      </w:r>
    </w:p>
    <w:p w14:paraId="089901E7"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(i)</w:t>
      </w:r>
      <w:r w:rsidRPr="004E4188">
        <w:rPr>
          <w:szCs w:val="24"/>
        </w:rPr>
        <w:tab/>
        <w:t>Son</w:t>
      </w:r>
      <w:r w:rsidRPr="004E4188">
        <w:rPr>
          <w:rFonts w:cs="HBKMBP+TimesNewRoman"/>
          <w:color w:val="000000"/>
          <w:szCs w:val="24"/>
        </w:rPr>
        <w:t xml:space="preserve"> exhaustivité générale et concordance avec les Exigences du Maître d’ouvrage et le mémorandum intitulé </w:t>
      </w:r>
      <w:r w:rsidRPr="004E4188">
        <w:rPr>
          <w:rFonts w:hint="eastAsia"/>
          <w:szCs w:val="24"/>
        </w:rPr>
        <w:t>«</w:t>
      </w:r>
      <w:r w:rsidRPr="004E4188">
        <w:rPr>
          <w:szCs w:val="24"/>
        </w:rPr>
        <w:t xml:space="preserve"> Modifications requises suite à l’évaluation des offres de la première étape ».</w:t>
      </w:r>
    </w:p>
    <w:p w14:paraId="70EAB6EF" w14:textId="19626E76" w:rsidR="007049A5" w:rsidRPr="004E4188" w:rsidRDefault="007049A5" w:rsidP="006C6267">
      <w:pPr>
        <w:widowControl w:val="0"/>
        <w:tabs>
          <w:tab w:val="left" w:pos="1418"/>
        </w:tabs>
        <w:spacing w:after="60" w:line="0" w:lineRule="atLeast"/>
        <w:ind w:left="1985" w:hanging="567"/>
        <w:rPr>
          <w:szCs w:val="24"/>
        </w:rPr>
      </w:pPr>
      <w:r w:rsidRPr="004E4188">
        <w:rPr>
          <w:szCs w:val="24"/>
        </w:rPr>
        <w:t>(ii)</w:t>
      </w:r>
      <w:r w:rsidRPr="004E4188">
        <w:rPr>
          <w:szCs w:val="24"/>
        </w:rPr>
        <w:tab/>
      </w:r>
      <w:r w:rsidRPr="004E4188">
        <w:rPr>
          <w:rFonts w:cs="HBKMBP+TimesNewRoman"/>
          <w:color w:val="000000"/>
          <w:szCs w:val="24"/>
        </w:rPr>
        <w:t>La conformité des</w:t>
      </w:r>
      <w:r w:rsidRPr="004E4188">
        <w:rPr>
          <w:szCs w:val="24"/>
        </w:rPr>
        <w:t xml:space="preserve"> É</w:t>
      </w:r>
      <w:r w:rsidRPr="004E4188">
        <w:rPr>
          <w:szCs w:val="24"/>
          <w:lang w:eastAsia="en-US"/>
        </w:rPr>
        <w:t>quipements et Services de montage</w:t>
      </w:r>
      <w:r w:rsidRPr="004E4188">
        <w:rPr>
          <w:szCs w:val="24"/>
        </w:rPr>
        <w:t xml:space="preserve"> </w:t>
      </w:r>
      <w:r w:rsidRPr="004E4188">
        <w:rPr>
          <w:rFonts w:cs="HBKMBP+TimesNewRoman"/>
          <w:color w:val="000000"/>
          <w:szCs w:val="24"/>
        </w:rPr>
        <w:t>avec</w:t>
      </w:r>
      <w:r w:rsidRPr="004E4188">
        <w:rPr>
          <w:color w:val="FF0000"/>
          <w:szCs w:val="24"/>
        </w:rPr>
        <w:t xml:space="preserve"> </w:t>
      </w:r>
      <w:r w:rsidRPr="004E4188">
        <w:rPr>
          <w:rFonts w:cs="HBKMBP+TimesNewRoman"/>
          <w:color w:val="000000"/>
          <w:szCs w:val="24"/>
        </w:rPr>
        <w:t xml:space="preserve">les critères de performance demandés, y compris avec les niveaux minimaux (ou maximaux, le cas échéant) acceptables spécifiés correspondant à chaque garantie opérationnelle comme indiqué dans les </w:t>
      </w:r>
      <w:r w:rsidRPr="004E4188">
        <w:t>Exigences du Maître d’</w:t>
      </w:r>
      <w:r w:rsidRPr="004E4188">
        <w:rPr>
          <w:rFonts w:hint="eastAsia"/>
        </w:rPr>
        <w:t>o</w:t>
      </w:r>
      <w:r w:rsidRPr="004E4188">
        <w:t>uvrage</w:t>
      </w:r>
      <w:r w:rsidRPr="004E4188">
        <w:rPr>
          <w:rFonts w:cs="HBKMBP+TimesNewRoman"/>
          <w:color w:val="000000"/>
          <w:szCs w:val="24"/>
        </w:rPr>
        <w:t xml:space="preserve"> et à cette </w:t>
      </w:r>
      <w:r w:rsidR="003F660A" w:rsidRPr="004E4188">
        <w:rPr>
          <w:rFonts w:cs="HBKMBP+TimesNewRoman"/>
          <w:color w:val="000000"/>
          <w:szCs w:val="24"/>
        </w:rPr>
        <w:t>s</w:t>
      </w:r>
      <w:r w:rsidRPr="004E4188">
        <w:rPr>
          <w:rFonts w:cs="HBKMBP+TimesNewRoman"/>
          <w:color w:val="000000"/>
          <w:szCs w:val="24"/>
        </w:rPr>
        <w:t>ection</w:t>
      </w:r>
      <w:r w:rsidRPr="004E4188">
        <w:rPr>
          <w:szCs w:val="24"/>
        </w:rPr>
        <w:t>.</w:t>
      </w:r>
    </w:p>
    <w:p w14:paraId="7778DB9E"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(iii)</w:t>
      </w:r>
      <w:r w:rsidRPr="004E4188">
        <w:rPr>
          <w:szCs w:val="24"/>
        </w:rPr>
        <w:tab/>
      </w:r>
      <w:r w:rsidRPr="004E4188">
        <w:rPr>
          <w:rFonts w:cs="HBKMBP+TimesNewRoman"/>
          <w:color w:val="000000"/>
          <w:szCs w:val="24"/>
        </w:rPr>
        <w:t xml:space="preserve">La compatibilité des </w:t>
      </w:r>
      <w:r w:rsidRPr="004E4188">
        <w:rPr>
          <w:szCs w:val="24"/>
        </w:rPr>
        <w:t>É</w:t>
      </w:r>
      <w:r w:rsidRPr="004E4188">
        <w:rPr>
          <w:szCs w:val="24"/>
          <w:lang w:eastAsia="en-US"/>
        </w:rPr>
        <w:t xml:space="preserve">quipements et Services de montage </w:t>
      </w:r>
      <w:r w:rsidRPr="004E4188">
        <w:rPr>
          <w:rFonts w:cs="HBKMBP+TimesNewRoman"/>
          <w:color w:val="000000"/>
          <w:szCs w:val="24"/>
        </w:rPr>
        <w:t>avec la protection de l’environnement et les conditions climatiques prévalant sur le site</w:t>
      </w:r>
      <w:r w:rsidRPr="004E4188">
        <w:rPr>
          <w:szCs w:val="24"/>
        </w:rPr>
        <w:t>.</w:t>
      </w:r>
    </w:p>
    <w:p w14:paraId="728E32B5"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 xml:space="preserve">(iv) </w:t>
      </w:r>
      <w:r w:rsidRPr="004E4188">
        <w:rPr>
          <w:szCs w:val="24"/>
        </w:rPr>
        <w:tab/>
      </w:r>
      <w:r w:rsidRPr="004E4188">
        <w:rPr>
          <w:rFonts w:cs="HBKMBP+TimesNewRoman"/>
          <w:color w:val="000000"/>
          <w:szCs w:val="24"/>
        </w:rPr>
        <w:t>La qualité, le rôle et la mise en œuvre de tout procédé de contrôle proposé dans l</w:t>
      </w:r>
      <w:r w:rsidRPr="004E4188">
        <w:rPr>
          <w:spacing w:val="-4"/>
        </w:rPr>
        <w:t>’offre</w:t>
      </w:r>
      <w:r w:rsidRPr="004E4188">
        <w:rPr>
          <w:szCs w:val="24"/>
        </w:rPr>
        <w:t>.</w:t>
      </w:r>
    </w:p>
    <w:p w14:paraId="543C42C3"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(v)</w:t>
      </w:r>
      <w:r w:rsidRPr="004E4188">
        <w:rPr>
          <w:szCs w:val="24"/>
        </w:rPr>
        <w:tab/>
        <w:t xml:space="preserve">Le </w:t>
      </w:r>
      <w:r w:rsidRPr="004E4188">
        <w:rPr>
          <w:spacing w:val="-4"/>
        </w:rPr>
        <w:t>type, la quantité, et la disponibilité à long terme des pièces de rechange obligatoires et recommandées, ainsi que les services de maintenance</w:t>
      </w:r>
      <w:r w:rsidRPr="004E4188">
        <w:rPr>
          <w:szCs w:val="24"/>
        </w:rPr>
        <w:t>.</w:t>
      </w:r>
    </w:p>
    <w:p w14:paraId="26DA1A2B"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(vi)</w:t>
      </w:r>
      <w:r w:rsidRPr="004E4188">
        <w:rPr>
          <w:szCs w:val="24"/>
        </w:rPr>
        <w:tab/>
        <w:t>La mobilisation des équipements principaux de construction et du personnel clé nécessaire à l’exécution des É</w:t>
      </w:r>
      <w:r w:rsidRPr="004E4188">
        <w:rPr>
          <w:szCs w:val="24"/>
          <w:lang w:eastAsia="en-US"/>
        </w:rPr>
        <w:t>quipements et Services de montage</w:t>
      </w:r>
      <w:r w:rsidRPr="004E4188">
        <w:rPr>
          <w:szCs w:val="24"/>
        </w:rPr>
        <w:t>.</w:t>
      </w:r>
    </w:p>
    <w:p w14:paraId="182AA99B"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(vii)</w:t>
      </w:r>
      <w:r w:rsidRPr="004E4188">
        <w:rPr>
          <w:szCs w:val="24"/>
        </w:rPr>
        <w:tab/>
        <w:t>L’affectation appropriée du personnel pour superviser et contrôler de manière adéquate l’exécution des É</w:t>
      </w:r>
      <w:r w:rsidRPr="004E4188">
        <w:rPr>
          <w:szCs w:val="24"/>
          <w:lang w:eastAsia="en-US"/>
        </w:rPr>
        <w:t>quipements et Services de montage</w:t>
      </w:r>
      <w:r w:rsidRPr="004E4188">
        <w:rPr>
          <w:szCs w:val="24"/>
        </w:rPr>
        <w:t>.</w:t>
      </w:r>
    </w:p>
    <w:p w14:paraId="37B96BD0"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(viii)</w:t>
      </w:r>
      <w:r w:rsidRPr="004E4188">
        <w:rPr>
          <w:szCs w:val="24"/>
        </w:rPr>
        <w:tab/>
        <w:t>La p</w:t>
      </w:r>
      <w:r w:rsidRPr="004E4188">
        <w:rPr>
          <w:rFonts w:hint="eastAsia"/>
          <w:szCs w:val="24"/>
        </w:rPr>
        <w:t>lanification</w:t>
      </w:r>
      <w:r w:rsidRPr="004E4188">
        <w:rPr>
          <w:szCs w:val="24"/>
        </w:rPr>
        <w:t xml:space="preserve"> et la programmation de toutes les activités de manière à ce que les </w:t>
      </w:r>
      <w:r w:rsidRPr="004E4188">
        <w:rPr>
          <w:szCs w:val="24"/>
          <w:lang w:eastAsia="en-US"/>
        </w:rPr>
        <w:t>Installations</w:t>
      </w:r>
      <w:r w:rsidRPr="004E4188">
        <w:rPr>
          <w:szCs w:val="24"/>
        </w:rPr>
        <w:t xml:space="preserve"> soient achevées à temps et répondent à toutes les exigences du Marché, principalement </w:t>
      </w:r>
      <w:r w:rsidRPr="004E4188">
        <w:rPr>
          <w:rFonts w:cs="HBKMBP+TimesNewRoman"/>
          <w:szCs w:val="24"/>
        </w:rPr>
        <w:t xml:space="preserve">le respect du </w:t>
      </w:r>
      <w:r w:rsidRPr="004E4188">
        <w:rPr>
          <w:rFonts w:cs="HBKMBP+TimesNewRoman"/>
          <w:szCs w:val="24"/>
          <w:lang w:eastAsia="en-US"/>
        </w:rPr>
        <w:t>calendrier d’exécution indiqué dans l’annexe correspondante de l’Acte d’engagement, et</w:t>
      </w:r>
      <w:r w:rsidRPr="004E4188">
        <w:rPr>
          <w:rFonts w:cs="HBKMBP+TimesNewRoman"/>
          <w:szCs w:val="24"/>
        </w:rPr>
        <w:t xml:space="preserve"> </w:t>
      </w:r>
      <w:r w:rsidRPr="004E4188">
        <w:t xml:space="preserve">documenté par </w:t>
      </w:r>
      <w:r w:rsidRPr="004E4188">
        <w:rPr>
          <w:rFonts w:cs="HBKMBP+TimesNewRoman"/>
          <w:szCs w:val="24"/>
          <w:lang w:eastAsia="en-US"/>
        </w:rPr>
        <w:t>un planning des phases d’exécution</w:t>
      </w:r>
      <w:r w:rsidRPr="004E4188">
        <w:t xml:space="preserve"> fournis dans la Proposition technique</w:t>
      </w:r>
      <w:r w:rsidRPr="004E4188">
        <w:rPr>
          <w:szCs w:val="24"/>
        </w:rPr>
        <w:t>.</w:t>
      </w:r>
    </w:p>
    <w:p w14:paraId="5F69CF7F"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(ix)</w:t>
      </w:r>
      <w:r w:rsidRPr="004E4188">
        <w:rPr>
          <w:szCs w:val="24"/>
        </w:rPr>
        <w:tab/>
        <w:t>L’exécution des É</w:t>
      </w:r>
      <w:r w:rsidRPr="004E4188">
        <w:rPr>
          <w:szCs w:val="24"/>
          <w:lang w:eastAsia="en-US"/>
        </w:rPr>
        <w:t>quipements et Services de montage</w:t>
      </w:r>
      <w:r w:rsidRPr="004E4188">
        <w:rPr>
          <w:szCs w:val="24"/>
        </w:rPr>
        <w:t xml:space="preserve"> en pleine conformité avec toutes les exigences du Marché, incluant, mais sans s’y limiter, les méthodes de travail, l’approvisionnement en matériaux, etc.</w:t>
      </w:r>
    </w:p>
    <w:p w14:paraId="794A192B"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(x)</w:t>
      </w:r>
      <w:r w:rsidRPr="004E4188">
        <w:rPr>
          <w:szCs w:val="24"/>
        </w:rPr>
        <w:tab/>
        <w:t>L’exécution de toutes les opérations pour les É</w:t>
      </w:r>
      <w:r w:rsidRPr="004E4188">
        <w:rPr>
          <w:szCs w:val="24"/>
          <w:lang w:eastAsia="en-US"/>
        </w:rPr>
        <w:t>quipements et Services de montage</w:t>
      </w:r>
      <w:r w:rsidRPr="004E4188">
        <w:rPr>
          <w:szCs w:val="24"/>
        </w:rPr>
        <w:t xml:space="preserve"> en toute sécurité et dans le respect de l’environnement.</w:t>
      </w:r>
    </w:p>
    <w:p w14:paraId="2AB48540" w14:textId="77777777" w:rsidR="007049A5" w:rsidRPr="004E4188" w:rsidRDefault="007049A5" w:rsidP="006C6267">
      <w:pPr>
        <w:widowControl w:val="0"/>
        <w:tabs>
          <w:tab w:val="left" w:pos="1418"/>
        </w:tabs>
        <w:spacing w:after="60" w:line="0" w:lineRule="atLeast"/>
        <w:ind w:left="1985" w:hanging="567"/>
        <w:rPr>
          <w:szCs w:val="24"/>
        </w:rPr>
      </w:pPr>
      <w:r w:rsidRPr="004E4188">
        <w:rPr>
          <w:szCs w:val="24"/>
        </w:rPr>
        <w:t xml:space="preserve">(xi) </w:t>
      </w:r>
      <w:r w:rsidRPr="004E4188">
        <w:rPr>
          <w:szCs w:val="24"/>
        </w:rPr>
        <w:tab/>
        <w:t>La conformité des sous-traitants proposés pour les élément</w:t>
      </w:r>
      <w:r w:rsidRPr="004E4188">
        <w:rPr>
          <w:rFonts w:hint="eastAsia"/>
          <w:szCs w:val="24"/>
          <w:lang w:eastAsia="ja-JP"/>
        </w:rPr>
        <w:t>s</w:t>
      </w:r>
      <w:r w:rsidRPr="004E4188">
        <w:rPr>
          <w:szCs w:val="24"/>
        </w:rPr>
        <w:t xml:space="preserve"> </w:t>
      </w:r>
      <w:r w:rsidRPr="004E4188">
        <w:rPr>
          <w:rFonts w:hint="eastAsia"/>
          <w:szCs w:val="24"/>
        </w:rPr>
        <w:t>é</w:t>
      </w:r>
      <w:r w:rsidRPr="004E4188">
        <w:rPr>
          <w:szCs w:val="24"/>
        </w:rPr>
        <w:t>numérés à l’Article</w:t>
      </w:r>
      <w:r w:rsidRPr="004E4188">
        <w:rPr>
          <w:rFonts w:cs="HBKMBP+TimesNewRoman"/>
          <w:color w:val="000000"/>
          <w:szCs w:val="24"/>
        </w:rPr>
        <w:t xml:space="preserve"> </w:t>
      </w:r>
      <w:r w:rsidRPr="004E4188">
        <w:rPr>
          <w:szCs w:val="24"/>
        </w:rPr>
        <w:t xml:space="preserve">1.1.3 </w:t>
      </w:r>
      <w:r w:rsidRPr="004E4188">
        <w:rPr>
          <w:rFonts w:cs="HBKMBP+TimesNewRoman"/>
          <w:color w:val="000000"/>
          <w:szCs w:val="24"/>
        </w:rPr>
        <w:t>de l’évaluation des offres de la première étape, le cas échéant</w:t>
      </w:r>
      <w:r w:rsidRPr="004E4188">
        <w:rPr>
          <w:szCs w:val="24"/>
        </w:rPr>
        <w:t>.</w:t>
      </w:r>
    </w:p>
    <w:p w14:paraId="6A68C130" w14:textId="77777777" w:rsidR="007049A5" w:rsidRPr="004E4188" w:rsidRDefault="007049A5" w:rsidP="006C6267">
      <w:pPr>
        <w:ind w:left="851"/>
        <w:rPr>
          <w:b/>
          <w:bCs/>
          <w:lang w:eastAsia="ja-JP"/>
        </w:rPr>
      </w:pPr>
    </w:p>
    <w:p w14:paraId="4FC83F94" w14:textId="77777777" w:rsidR="007049A5" w:rsidRPr="004E4188" w:rsidRDefault="007049A5" w:rsidP="006C6267">
      <w:pPr>
        <w:ind w:left="851"/>
        <w:rPr>
          <w:lang w:eastAsia="ja-JP"/>
        </w:rPr>
      </w:pPr>
      <w:r w:rsidRPr="004E4188">
        <w:rPr>
          <w:rFonts w:cs="HBKMBP+TimesNewRoman"/>
          <w:color w:val="000000"/>
          <w:szCs w:val="24"/>
        </w:rPr>
        <w:t xml:space="preserve">Une offre qui ne satisfait pas aux exigences minimales acceptables en matière d’exhaustivité, de cohérence et de précision, ainsi qu’aux </w:t>
      </w:r>
      <w:r w:rsidRPr="004E4188">
        <w:rPr>
          <w:rFonts w:cs="HBKMBP+TimesNewRoman"/>
          <w:szCs w:val="24"/>
        </w:rPr>
        <w:t>niveaux</w:t>
      </w:r>
      <w:r w:rsidRPr="004E4188">
        <w:rPr>
          <w:rFonts w:cs="HBKMBP+TimesNewRoman"/>
          <w:color w:val="FF0000"/>
          <w:szCs w:val="24"/>
        </w:rPr>
        <w:t xml:space="preserve"> </w:t>
      </w:r>
      <w:r w:rsidRPr="004E4188">
        <w:rPr>
          <w:rFonts w:cs="HBKMBP+TimesNewRoman"/>
          <w:color w:val="000000"/>
          <w:szCs w:val="24"/>
        </w:rPr>
        <w:t>minimaux (ou maximaux, le cas échéant) acceptables spécifiés pour les garanties opérationnelles requises, sera rejetée</w:t>
      </w:r>
      <w:r w:rsidRPr="004E4188">
        <w:rPr>
          <w:rFonts w:cs="HBKMBP+TimesNewRoman" w:hint="eastAsia"/>
          <w:color w:val="000000"/>
          <w:szCs w:val="24"/>
          <w:lang w:eastAsia="ja-JP"/>
        </w:rPr>
        <w:t>.</w:t>
      </w:r>
    </w:p>
    <w:p w14:paraId="503BF53E" w14:textId="77777777" w:rsidR="007049A5" w:rsidRPr="004E4188" w:rsidRDefault="007049A5" w:rsidP="00054028">
      <w:pPr>
        <w:tabs>
          <w:tab w:val="left" w:pos="1320"/>
        </w:tabs>
        <w:spacing w:afterLines="50" w:after="120"/>
        <w:ind w:leftChars="290" w:left="696"/>
        <w:rPr>
          <w:b/>
        </w:rPr>
      </w:pPr>
    </w:p>
    <w:p w14:paraId="273C3B9E" w14:textId="1E931698" w:rsidR="007049A5" w:rsidRPr="004E4188" w:rsidRDefault="007049A5" w:rsidP="003D46CF">
      <w:pPr>
        <w:pStyle w:val="ListParagraph1"/>
        <w:numPr>
          <w:ilvl w:val="1"/>
          <w:numId w:val="59"/>
        </w:numPr>
        <w:tabs>
          <w:tab w:val="clear" w:pos="420"/>
          <w:tab w:val="left" w:pos="851"/>
        </w:tabs>
        <w:snapToGrid w:val="0"/>
        <w:ind w:left="851" w:hanging="851"/>
        <w:contextualSpacing w:val="0"/>
        <w:jc w:val="left"/>
        <w:rPr>
          <w:b/>
          <w:sz w:val="28"/>
          <w:szCs w:val="28"/>
        </w:rPr>
      </w:pPr>
      <w:r w:rsidRPr="004E4188">
        <w:rPr>
          <w:b/>
          <w:sz w:val="28"/>
          <w:szCs w:val="28"/>
        </w:rPr>
        <w:t>Évaluation financière</w:t>
      </w:r>
    </w:p>
    <w:p w14:paraId="4CC7EC0C" w14:textId="70345604" w:rsidR="007049A5" w:rsidRPr="004E4188" w:rsidRDefault="007049A5" w:rsidP="00FB0474">
      <w:pPr>
        <w:ind w:left="850"/>
      </w:pPr>
      <w:r w:rsidRPr="004E4188">
        <w:t xml:space="preserve">Outre les critères </w:t>
      </w:r>
      <w:r w:rsidR="004273A1" w:rsidRPr="004E4188">
        <w:t xml:space="preserve">indiqués </w:t>
      </w:r>
      <w:r w:rsidRPr="004E4188">
        <w:t xml:space="preserve">à IS </w:t>
      </w:r>
      <w:r w:rsidRPr="004E4188">
        <w:rPr>
          <w:lang w:eastAsia="ja-JP"/>
        </w:rPr>
        <w:t>48</w:t>
      </w:r>
      <w:r w:rsidRPr="004E4188">
        <w:t>.1(a) à (c), (e) et (f), les éléments suivants seront évalués.</w:t>
      </w:r>
    </w:p>
    <w:p w14:paraId="4AB04F13" w14:textId="77777777" w:rsidR="0088613D" w:rsidRPr="004E4188" w:rsidRDefault="0088613D" w:rsidP="0088613D"/>
    <w:p w14:paraId="5C547750" w14:textId="4AD561D7" w:rsidR="007049A5" w:rsidRPr="004E4188" w:rsidRDefault="007049A5" w:rsidP="006C6267">
      <w:pPr>
        <w:pStyle w:val="ListParagraph1"/>
        <w:tabs>
          <w:tab w:val="left" w:pos="851"/>
        </w:tabs>
        <w:snapToGrid w:val="0"/>
        <w:ind w:left="0"/>
        <w:contextualSpacing w:val="0"/>
        <w:jc w:val="left"/>
        <w:rPr>
          <w:b/>
        </w:rPr>
      </w:pPr>
      <w:r w:rsidRPr="004E4188">
        <w:rPr>
          <w:b/>
          <w:szCs w:val="24"/>
          <w:lang w:eastAsia="ja-JP"/>
        </w:rPr>
        <w:t>1.2.1</w:t>
      </w:r>
      <w:r w:rsidRPr="004E4188">
        <w:rPr>
          <w:b/>
          <w:bCs/>
          <w:sz w:val="28"/>
          <w:szCs w:val="28"/>
          <w:lang w:val="en-US" w:eastAsia="ja-JP"/>
        </w:rPr>
        <w:tab/>
      </w:r>
      <w:r w:rsidRPr="004E4188">
        <w:rPr>
          <w:b/>
        </w:rPr>
        <w:t>Autre</w:t>
      </w:r>
      <w:r w:rsidRPr="004E4188">
        <w:rPr>
          <w:b/>
          <w:lang w:val="en-US"/>
        </w:rPr>
        <w:t>(s) critère(s) d’évaluation</w:t>
      </w:r>
      <w:r w:rsidRPr="004E4188">
        <w:rPr>
          <w:b/>
          <w:szCs w:val="24"/>
          <w:lang w:eastAsia="ja-JP"/>
        </w:rPr>
        <w:t xml:space="preserve"> (IS 48.1(d))</w:t>
      </w:r>
    </w:p>
    <w:p w14:paraId="2F722C34" w14:textId="08388393" w:rsidR="007049A5" w:rsidRPr="004E4188" w:rsidRDefault="007049A5" w:rsidP="00971498">
      <w:pPr>
        <w:suppressAutoHyphens w:val="0"/>
        <w:overflowPunct/>
        <w:autoSpaceDE/>
        <w:autoSpaceDN/>
        <w:adjustRightInd/>
        <w:ind w:left="851"/>
        <w:textAlignment w:val="auto"/>
        <w:rPr>
          <w:lang w:eastAsia="ja-JP"/>
        </w:rPr>
      </w:pPr>
      <w:r w:rsidRPr="004E4188">
        <w:t>Les facteurs et méthodologies d’évaluation suivants seront utilisés, conformément à IS</w:t>
      </w:r>
      <w:r w:rsidR="00971498" w:rsidRPr="004E4188">
        <w:t> </w:t>
      </w:r>
      <w:r w:rsidRPr="004E4188">
        <w:t>48.1(d) :</w:t>
      </w:r>
    </w:p>
    <w:p w14:paraId="4A168F32" w14:textId="77777777" w:rsidR="007049A5" w:rsidRPr="004E4188" w:rsidRDefault="007049A5" w:rsidP="006C6267">
      <w:pPr>
        <w:pStyle w:val="ac"/>
        <w:suppressAutoHyphens w:val="0"/>
        <w:overflowPunct/>
        <w:autoSpaceDE/>
        <w:autoSpaceDN/>
        <w:adjustRightInd/>
        <w:ind w:leftChars="227" w:left="545" w:firstLineChars="152" w:firstLine="366"/>
        <w:jc w:val="both"/>
        <w:textAlignment w:val="auto"/>
        <w:rPr>
          <w:b/>
          <w:sz w:val="24"/>
          <w:szCs w:val="24"/>
          <w:lang w:eastAsia="en-US"/>
        </w:rPr>
      </w:pPr>
    </w:p>
    <w:p w14:paraId="77BEDD8E" w14:textId="0F772A27" w:rsidR="007049A5" w:rsidRPr="004E4188" w:rsidRDefault="007049A5" w:rsidP="00AD2A2B">
      <w:pPr>
        <w:pStyle w:val="ac"/>
        <w:suppressAutoHyphens w:val="0"/>
        <w:overflowPunct/>
        <w:autoSpaceDE/>
        <w:autoSpaceDN/>
        <w:adjustRightInd/>
        <w:ind w:left="851"/>
        <w:jc w:val="both"/>
        <w:textAlignment w:val="auto"/>
        <w:rPr>
          <w:b/>
          <w:sz w:val="24"/>
          <w:szCs w:val="24"/>
        </w:rPr>
      </w:pPr>
      <w:r w:rsidRPr="004E4188">
        <w:rPr>
          <w:b/>
          <w:sz w:val="24"/>
          <w:szCs w:val="24"/>
        </w:rPr>
        <w:t>(a)</w:t>
      </w:r>
      <w:r w:rsidRPr="004E4188">
        <w:rPr>
          <w:b/>
          <w:sz w:val="24"/>
          <w:szCs w:val="24"/>
        </w:rPr>
        <w:tab/>
      </w:r>
      <w:r w:rsidRPr="004E4188">
        <w:rPr>
          <w:b/>
          <w:sz w:val="24"/>
          <w:szCs w:val="24"/>
          <w:lang w:eastAsia="en-US"/>
        </w:rPr>
        <w:t>Coûts</w:t>
      </w:r>
      <w:r w:rsidRPr="004E4188">
        <w:rPr>
          <w:b/>
          <w:sz w:val="24"/>
          <w:szCs w:val="24"/>
        </w:rPr>
        <w:t xml:space="preserve"> d’exploitation et de maintenance</w:t>
      </w:r>
    </w:p>
    <w:p w14:paraId="704684B9" w14:textId="77777777" w:rsidR="007049A5" w:rsidRPr="004E4188" w:rsidRDefault="007049A5" w:rsidP="00C6128E">
      <w:pPr>
        <w:widowControl w:val="0"/>
        <w:spacing w:line="0" w:lineRule="atLeast"/>
        <w:ind w:left="1440"/>
      </w:pPr>
      <w:r w:rsidRPr="004E4188">
        <w:t>[</w:t>
      </w:r>
      <w:r w:rsidRPr="004E4188">
        <w:rPr>
          <w:rFonts w:eastAsiaTheme="minorEastAsia"/>
          <w:i/>
          <w:kern w:val="2"/>
          <w:szCs w:val="24"/>
          <w:lang w:eastAsia="ja-JP"/>
        </w:rPr>
        <w:t>Si les coûts d’exploitation et de maintenance sont pris en considération lors de l’évaluation, insérer ce qui suit. Sinon, supprimer les dispositions ci-dessous et indiquer à la place « Sans objet ».</w:t>
      </w:r>
      <w:r w:rsidRPr="004E4188">
        <w:t>]</w:t>
      </w:r>
    </w:p>
    <w:p w14:paraId="5C5E9C06" w14:textId="77777777" w:rsidR="007049A5" w:rsidRPr="004E4188" w:rsidRDefault="007049A5" w:rsidP="006C6267">
      <w:pPr>
        <w:pStyle w:val="ac"/>
        <w:suppressAutoHyphens w:val="0"/>
        <w:overflowPunct/>
        <w:autoSpaceDE/>
        <w:autoSpaceDN/>
        <w:adjustRightInd/>
        <w:ind w:leftChars="227" w:left="545" w:firstLineChars="152" w:firstLine="304"/>
        <w:jc w:val="both"/>
        <w:textAlignment w:val="auto"/>
      </w:pPr>
    </w:p>
    <w:p w14:paraId="349484E5" w14:textId="6998D31C" w:rsidR="007049A5" w:rsidRPr="004E4188" w:rsidRDefault="007049A5" w:rsidP="006C6267">
      <w:pPr>
        <w:suppressAutoHyphens w:val="0"/>
        <w:overflowPunct/>
        <w:autoSpaceDE/>
        <w:autoSpaceDN/>
        <w:adjustRightInd/>
        <w:spacing w:after="200"/>
        <w:ind w:left="1440"/>
        <w:textAlignment w:val="auto"/>
        <w:rPr>
          <w:szCs w:val="24"/>
        </w:rPr>
      </w:pPr>
      <w:r w:rsidRPr="004E4188">
        <w:rPr>
          <w:szCs w:val="24"/>
        </w:rPr>
        <w:t xml:space="preserve">Puisque les coûts d’exploitation et de maintenance des Installations faisant l’objet du Marché représentent une part importante du coût du cycle de vie des </w:t>
      </w:r>
      <w:r w:rsidRPr="004E4188">
        <w:rPr>
          <w:szCs w:val="24"/>
          <w:lang w:eastAsia="en-US"/>
        </w:rPr>
        <w:t>Installations</w:t>
      </w:r>
      <w:r w:rsidRPr="004E4188">
        <w:rPr>
          <w:szCs w:val="24"/>
        </w:rPr>
        <w:t>, ces coûts seront évalués selon les principes donnés ci-après, en incluant le coût des pièces de rechange pendant la période de fonctionnement initiale précisée ci-après, et en prenant en compte les prix fournis par chaque Soumissionnaire dans les Bordereaux des prix, ainsi que l’expérience passée du Maître d’ouvrage ou d’autres maîtres d’ouvrage ayant l’expérience de projets similaires. Ces coûts seront ajoutés au Montant de l’offre pour l’évaluation.</w:t>
      </w:r>
    </w:p>
    <w:p w14:paraId="52CA2D1F" w14:textId="4828DD90" w:rsidR="0088613D" w:rsidRPr="004E4188" w:rsidRDefault="0088613D" w:rsidP="006C6267">
      <w:pPr>
        <w:suppressAutoHyphens w:val="0"/>
        <w:overflowPunct/>
        <w:autoSpaceDE/>
        <w:autoSpaceDN/>
        <w:adjustRightInd/>
        <w:spacing w:after="200"/>
        <w:ind w:left="1440"/>
        <w:textAlignment w:val="auto"/>
        <w:rPr>
          <w:szCs w:val="24"/>
        </w:rPr>
      </w:pPr>
      <w:r w:rsidRPr="004E4188">
        <w:t xml:space="preserve">Les </w:t>
      </w:r>
      <w:r w:rsidRPr="004E4188">
        <w:rPr>
          <w:szCs w:val="24"/>
        </w:rPr>
        <w:t>facteurs liés aux coûts d’exploitation et de maintenance utilisés pour le calcul des coûts du cycle de vie sont :</w:t>
      </w:r>
    </w:p>
    <w:p w14:paraId="5C8E4304" w14:textId="4A5AB700" w:rsidR="007049A5" w:rsidRPr="004E4188" w:rsidRDefault="007049A5" w:rsidP="006C6267">
      <w:pPr>
        <w:suppressAutoHyphens w:val="0"/>
        <w:overflowPunct/>
        <w:autoSpaceDE/>
        <w:autoSpaceDN/>
        <w:adjustRightInd/>
        <w:spacing w:after="200"/>
        <w:ind w:left="1881" w:hanging="434"/>
        <w:textAlignment w:val="auto"/>
        <w:rPr>
          <w:szCs w:val="24"/>
        </w:rPr>
      </w:pPr>
      <w:r w:rsidRPr="004E4188">
        <w:rPr>
          <w:szCs w:val="24"/>
        </w:rPr>
        <w:t>(i)</w:t>
      </w:r>
      <w:r w:rsidRPr="004E4188">
        <w:rPr>
          <w:szCs w:val="24"/>
        </w:rPr>
        <w:tab/>
        <w:t>la durée du cycle de vie [</w:t>
      </w:r>
      <w:r w:rsidRPr="004E4188">
        <w:rPr>
          <w:i/>
          <w:szCs w:val="24"/>
        </w:rPr>
        <w:t>Indiquer la durée du cycle de vie en années. Cette durée ne devra pas excéder la période comprise entre la mise en service et une remise en état importante des Installations.</w:t>
      </w:r>
      <w:r w:rsidRPr="004E4188">
        <w:rPr>
          <w:szCs w:val="24"/>
        </w:rPr>
        <w:t>] ;</w:t>
      </w:r>
    </w:p>
    <w:p w14:paraId="58ADD049" w14:textId="77777777" w:rsidR="007049A5" w:rsidRPr="004E4188" w:rsidRDefault="007049A5" w:rsidP="006C6267">
      <w:pPr>
        <w:suppressAutoHyphens w:val="0"/>
        <w:overflowPunct/>
        <w:autoSpaceDE/>
        <w:autoSpaceDN/>
        <w:adjustRightInd/>
        <w:spacing w:after="200"/>
        <w:ind w:left="1881" w:hanging="434"/>
        <w:textAlignment w:val="auto"/>
        <w:rPr>
          <w:szCs w:val="24"/>
        </w:rPr>
      </w:pPr>
      <w:r w:rsidRPr="004E4188">
        <w:rPr>
          <w:szCs w:val="24"/>
        </w:rPr>
        <w:t>(ii)</w:t>
      </w:r>
      <w:r w:rsidRPr="004E4188">
        <w:rPr>
          <w:szCs w:val="24"/>
        </w:rPr>
        <w:tab/>
        <w:t>les coûts d’exploitation [</w:t>
      </w:r>
      <w:r w:rsidRPr="004E4188">
        <w:rPr>
          <w:i/>
          <w:szCs w:val="24"/>
        </w:rPr>
        <w:t>Indiquer le combustible et/ou d’autres intrants, le coût unitaire dans les conditions d’exploitation annuelles et globales.</w:t>
      </w:r>
      <w:r w:rsidRPr="004E4188">
        <w:rPr>
          <w:szCs w:val="24"/>
        </w:rPr>
        <w:t>] ;</w:t>
      </w:r>
    </w:p>
    <w:p w14:paraId="1F1C6693" w14:textId="77777777" w:rsidR="007049A5" w:rsidRPr="004E4188" w:rsidRDefault="007049A5" w:rsidP="006C6267">
      <w:pPr>
        <w:suppressAutoHyphens w:val="0"/>
        <w:overflowPunct/>
        <w:autoSpaceDE/>
        <w:autoSpaceDN/>
        <w:adjustRightInd/>
        <w:spacing w:after="200"/>
        <w:ind w:left="1881" w:hanging="434"/>
        <w:textAlignment w:val="auto"/>
        <w:rPr>
          <w:szCs w:val="24"/>
        </w:rPr>
      </w:pPr>
      <w:r w:rsidRPr="004E4188">
        <w:rPr>
          <w:szCs w:val="24"/>
        </w:rPr>
        <w:t>(iii)</w:t>
      </w:r>
      <w:r w:rsidRPr="004E4188">
        <w:rPr>
          <w:szCs w:val="24"/>
        </w:rPr>
        <w:tab/>
        <w:t>les coûts de la maintenance, y compris le coût des pièces de rechange pendant la période initiale d’exploitation ; et</w:t>
      </w:r>
    </w:p>
    <w:p w14:paraId="1F97D804" w14:textId="77777777" w:rsidR="007049A5" w:rsidRPr="004E4188" w:rsidRDefault="007049A5" w:rsidP="006C6267">
      <w:pPr>
        <w:suppressAutoHyphens w:val="0"/>
        <w:overflowPunct/>
        <w:autoSpaceDE/>
        <w:autoSpaceDN/>
        <w:adjustRightInd/>
        <w:spacing w:after="200"/>
        <w:ind w:left="1881" w:hanging="434"/>
        <w:textAlignment w:val="auto"/>
      </w:pPr>
      <w:r w:rsidRPr="004E4188">
        <w:rPr>
          <w:szCs w:val="24"/>
        </w:rPr>
        <w:t>(iv)</w:t>
      </w:r>
      <w:r w:rsidRPr="004E4188">
        <w:rPr>
          <w:szCs w:val="24"/>
        </w:rPr>
        <w:tab/>
        <w:t>un taux de [</w:t>
      </w:r>
      <w:r w:rsidRPr="004E4188">
        <w:rPr>
          <w:i/>
          <w:szCs w:val="24"/>
        </w:rPr>
        <w:t>indiquer le taux en lettres et en chiffres</w:t>
      </w:r>
      <w:r w:rsidRPr="004E4188">
        <w:rPr>
          <w:szCs w:val="24"/>
        </w:rPr>
        <w:t>] pour cent (%), utilisé pour calculer la valeur actuelle de tous les coûts annuels futurs imputables à (ii) et (iii) pour la durée précisée en (i).</w:t>
      </w:r>
    </w:p>
    <w:p w14:paraId="5F0AB425" w14:textId="02FC2182" w:rsidR="007049A5" w:rsidRPr="004E4188" w:rsidRDefault="007049A5" w:rsidP="0088613D">
      <w:pPr>
        <w:keepNext/>
        <w:ind w:left="1418" w:hanging="567"/>
      </w:pPr>
      <w:r w:rsidRPr="004E4188">
        <w:rPr>
          <w:b/>
          <w:szCs w:val="24"/>
        </w:rPr>
        <w:t>(b)</w:t>
      </w:r>
      <w:r w:rsidRPr="004E4188">
        <w:rPr>
          <w:b/>
          <w:szCs w:val="24"/>
        </w:rPr>
        <w:tab/>
      </w:r>
      <w:r w:rsidRPr="004E4188">
        <w:rPr>
          <w:b/>
        </w:rPr>
        <w:t xml:space="preserve">Garanties opérationnelles des </w:t>
      </w:r>
      <w:r w:rsidRPr="004E4188">
        <w:rPr>
          <w:b/>
          <w:szCs w:val="24"/>
        </w:rPr>
        <w:t>É</w:t>
      </w:r>
      <w:r w:rsidRPr="004E4188">
        <w:rPr>
          <w:b/>
        </w:rPr>
        <w:t>quipements et Services de montage</w:t>
      </w:r>
    </w:p>
    <w:p w14:paraId="38ADE933" w14:textId="77777777" w:rsidR="007049A5" w:rsidRPr="004E4188" w:rsidRDefault="007049A5" w:rsidP="00AD2A2B">
      <w:pPr>
        <w:spacing w:afterLines="100" w:after="240"/>
        <w:ind w:left="1440"/>
        <w:rPr>
          <w:lang w:eastAsia="en-US"/>
        </w:rPr>
      </w:pPr>
      <w:r w:rsidRPr="004E4188">
        <w:rPr>
          <w:szCs w:val="24"/>
          <w:lang w:eastAsia="en-US"/>
        </w:rPr>
        <w:t>Les normes (niveaux à garantir) et niveaux minimaux ou maximaux acceptables</w:t>
      </w:r>
      <w:r w:rsidRPr="004E4188">
        <w:rPr>
          <w:rFonts w:hint="eastAsia"/>
          <w:szCs w:val="24"/>
          <w:lang w:eastAsia="ja-JP"/>
        </w:rPr>
        <w:t xml:space="preserve"> </w:t>
      </w:r>
      <w:r w:rsidRPr="004E4188">
        <w:rPr>
          <w:szCs w:val="24"/>
          <w:lang w:eastAsia="en-US"/>
        </w:rPr>
        <w:t>des garanties opérationnelles spécifiés dans les Exigences du Maître d’ouvrage sont </w:t>
      </w:r>
      <w:r w:rsidRPr="004E4188">
        <w:rPr>
          <w:lang w:eastAsia="en-US"/>
        </w:rPr>
        <w:t>:</w:t>
      </w:r>
    </w:p>
    <w:p w14:paraId="02D829BD" w14:textId="59D9B4BA" w:rsidR="007049A5" w:rsidRPr="004E4188" w:rsidRDefault="007049A5" w:rsidP="006C6267">
      <w:pPr>
        <w:tabs>
          <w:tab w:val="right" w:pos="7254"/>
        </w:tabs>
        <w:spacing w:after="200"/>
        <w:ind w:left="1440"/>
        <w:rPr>
          <w:i/>
        </w:rPr>
      </w:pPr>
      <w:r w:rsidRPr="004E4188">
        <w:t>[</w:t>
      </w:r>
      <w:r w:rsidRPr="004E4188">
        <w:rPr>
          <w:i/>
          <w:szCs w:val="24"/>
        </w:rPr>
        <w:t>Indiquer les critères spécifiés dans les Exigences du Maître d’ouvrage.</w:t>
      </w:r>
      <w:r w:rsidRPr="004E4188">
        <w:t>]</w:t>
      </w:r>
    </w:p>
    <w:tbl>
      <w:tblPr>
        <w:tblW w:w="0" w:type="auto"/>
        <w:tblInd w:w="1548" w:type="dxa"/>
        <w:tblLook w:val="01E0" w:firstRow="1" w:lastRow="1" w:firstColumn="1" w:lastColumn="1" w:noHBand="0" w:noVBand="0"/>
      </w:tblPr>
      <w:tblGrid>
        <w:gridCol w:w="1965"/>
        <w:gridCol w:w="2644"/>
        <w:gridCol w:w="2552"/>
      </w:tblGrid>
      <w:tr w:rsidR="007049A5" w:rsidRPr="004E4188" w14:paraId="66D814AC" w14:textId="77777777" w:rsidTr="0088613D">
        <w:tc>
          <w:tcPr>
            <w:tcW w:w="1965" w:type="dxa"/>
            <w:vMerge w:val="restart"/>
            <w:tcBorders>
              <w:top w:val="single" w:sz="12" w:space="0" w:color="auto"/>
              <w:left w:val="single" w:sz="12" w:space="0" w:color="auto"/>
              <w:right w:val="single" w:sz="12" w:space="0" w:color="auto"/>
            </w:tcBorders>
            <w:shd w:val="clear" w:color="auto" w:fill="F3F3F3"/>
            <w:vAlign w:val="center"/>
          </w:tcPr>
          <w:p w14:paraId="39C5F3D4" w14:textId="77777777" w:rsidR="007049A5" w:rsidRPr="004E4188" w:rsidRDefault="007049A5" w:rsidP="006C6267">
            <w:pPr>
              <w:jc w:val="center"/>
              <w:rPr>
                <w:b/>
              </w:rPr>
            </w:pPr>
            <w:r w:rsidRPr="004E4188">
              <w:rPr>
                <w:b/>
              </w:rPr>
              <w:t>Garantie opérationnelle</w:t>
            </w:r>
          </w:p>
        </w:tc>
        <w:tc>
          <w:tcPr>
            <w:tcW w:w="5196" w:type="dxa"/>
            <w:gridSpan w:val="2"/>
            <w:tcBorders>
              <w:top w:val="single" w:sz="12" w:space="0" w:color="auto"/>
              <w:left w:val="single" w:sz="12" w:space="0" w:color="auto"/>
              <w:bottom w:val="single" w:sz="12" w:space="0" w:color="auto"/>
              <w:right w:val="single" w:sz="12" w:space="0" w:color="auto"/>
            </w:tcBorders>
            <w:shd w:val="clear" w:color="auto" w:fill="F3F3F3"/>
          </w:tcPr>
          <w:p w14:paraId="7A27E062" w14:textId="77777777" w:rsidR="007049A5" w:rsidRPr="004E4188" w:rsidRDefault="007049A5" w:rsidP="00A26466">
            <w:pPr>
              <w:spacing w:before="60" w:after="60"/>
              <w:jc w:val="center"/>
              <w:rPr>
                <w:b/>
              </w:rPr>
            </w:pPr>
            <w:r w:rsidRPr="004E4188">
              <w:rPr>
                <w:b/>
                <w:szCs w:val="24"/>
              </w:rPr>
              <w:t>Critère</w:t>
            </w:r>
          </w:p>
        </w:tc>
      </w:tr>
      <w:tr w:rsidR="007049A5" w:rsidRPr="004E4188" w14:paraId="2CF8DBA3" w14:textId="77777777" w:rsidTr="0088613D">
        <w:trPr>
          <w:trHeight w:val="622"/>
        </w:trPr>
        <w:tc>
          <w:tcPr>
            <w:tcW w:w="1965" w:type="dxa"/>
            <w:vMerge/>
            <w:tcBorders>
              <w:left w:val="single" w:sz="12" w:space="0" w:color="auto"/>
              <w:bottom w:val="single" w:sz="12" w:space="0" w:color="auto"/>
              <w:right w:val="single" w:sz="12" w:space="0" w:color="auto"/>
            </w:tcBorders>
            <w:shd w:val="clear" w:color="auto" w:fill="F3F3F3"/>
            <w:vAlign w:val="center"/>
          </w:tcPr>
          <w:p w14:paraId="0A9DFB1B" w14:textId="77777777" w:rsidR="007049A5" w:rsidRPr="004E4188" w:rsidRDefault="007049A5" w:rsidP="006C6267">
            <w:pPr>
              <w:jc w:val="center"/>
              <w:rPr>
                <w:b/>
                <w:szCs w:val="36"/>
              </w:rPr>
            </w:pPr>
          </w:p>
        </w:tc>
        <w:tc>
          <w:tcPr>
            <w:tcW w:w="2644" w:type="dxa"/>
            <w:tcBorders>
              <w:top w:val="single" w:sz="12" w:space="0" w:color="auto"/>
              <w:left w:val="single" w:sz="12" w:space="0" w:color="auto"/>
              <w:bottom w:val="single" w:sz="12" w:space="0" w:color="auto"/>
              <w:right w:val="single" w:sz="12" w:space="0" w:color="auto"/>
            </w:tcBorders>
            <w:shd w:val="clear" w:color="auto" w:fill="F3F3F3"/>
          </w:tcPr>
          <w:p w14:paraId="69B6EE82" w14:textId="77777777" w:rsidR="007049A5" w:rsidRPr="004E4188" w:rsidRDefault="007049A5" w:rsidP="00A26466">
            <w:pPr>
              <w:tabs>
                <w:tab w:val="right" w:pos="7254"/>
              </w:tabs>
              <w:overflowPunct/>
              <w:autoSpaceDE/>
              <w:autoSpaceDN/>
              <w:adjustRightInd/>
              <w:spacing w:before="60"/>
              <w:ind w:firstLine="17"/>
              <w:jc w:val="center"/>
              <w:textAlignment w:val="auto"/>
              <w:rPr>
                <w:rFonts w:ascii="Tms Rmn" w:hAnsi="Tms Rmn"/>
                <w:b/>
                <w:sz w:val="22"/>
                <w:szCs w:val="22"/>
                <w:lang w:val="en-GB" w:eastAsia="en-US"/>
              </w:rPr>
            </w:pPr>
            <w:r w:rsidRPr="004E4188">
              <w:rPr>
                <w:rFonts w:ascii="Tms Rmn" w:hAnsi="Tms Rmn"/>
                <w:b/>
                <w:sz w:val="22"/>
                <w:szCs w:val="22"/>
                <w:lang w:val="en-GB" w:eastAsia="en-US"/>
              </w:rPr>
              <w:t>Norme</w:t>
            </w:r>
          </w:p>
          <w:p w14:paraId="29E8D7CE" w14:textId="0FF7182B" w:rsidR="007049A5" w:rsidRPr="004E4188" w:rsidRDefault="007049A5" w:rsidP="00A26466">
            <w:pPr>
              <w:jc w:val="center"/>
              <w:rPr>
                <w:b/>
                <w:szCs w:val="36"/>
              </w:rPr>
            </w:pPr>
            <w:r w:rsidRPr="004E4188">
              <w:rPr>
                <w:rFonts w:ascii="Tms Rmn" w:hAnsi="Tms Rmn"/>
                <w:b/>
                <w:sz w:val="22"/>
                <w:szCs w:val="22"/>
                <w:lang w:val="en-GB" w:eastAsia="en-US"/>
              </w:rPr>
              <w:t>(niveau à garantir)</w:t>
            </w:r>
          </w:p>
        </w:tc>
        <w:tc>
          <w:tcPr>
            <w:tcW w:w="2552" w:type="dxa"/>
            <w:tcBorders>
              <w:top w:val="single" w:sz="12" w:space="0" w:color="auto"/>
              <w:left w:val="single" w:sz="12" w:space="0" w:color="auto"/>
              <w:bottom w:val="single" w:sz="12" w:space="0" w:color="auto"/>
              <w:right w:val="single" w:sz="12" w:space="0" w:color="auto"/>
            </w:tcBorders>
            <w:shd w:val="clear" w:color="auto" w:fill="F3F3F3"/>
          </w:tcPr>
          <w:p w14:paraId="64ABC6DC" w14:textId="77777777" w:rsidR="007049A5" w:rsidRPr="004E4188" w:rsidRDefault="007049A5" w:rsidP="00A26466">
            <w:pPr>
              <w:spacing w:before="60" w:after="60"/>
              <w:jc w:val="center"/>
              <w:rPr>
                <w:b/>
              </w:rPr>
            </w:pPr>
            <w:r w:rsidRPr="004E4188">
              <w:rPr>
                <w:b/>
                <w:sz w:val="22"/>
                <w:szCs w:val="22"/>
              </w:rPr>
              <w:t xml:space="preserve">Niveau minimal </w:t>
            </w:r>
            <w:r w:rsidRPr="004E4188">
              <w:rPr>
                <w:rFonts w:ascii="Tms Rmn" w:hAnsi="Tms Rmn"/>
                <w:b/>
                <w:sz w:val="22"/>
                <w:szCs w:val="22"/>
              </w:rPr>
              <w:t>ou maximal acceptable</w:t>
            </w:r>
          </w:p>
        </w:tc>
      </w:tr>
      <w:tr w:rsidR="007049A5" w:rsidRPr="004E4188" w14:paraId="3029472A" w14:textId="77777777" w:rsidTr="0088613D">
        <w:trPr>
          <w:trHeight w:val="329"/>
        </w:trPr>
        <w:tc>
          <w:tcPr>
            <w:tcW w:w="1965" w:type="dxa"/>
            <w:tcBorders>
              <w:top w:val="single" w:sz="12" w:space="0" w:color="auto"/>
              <w:left w:val="single" w:sz="4" w:space="0" w:color="auto"/>
              <w:bottom w:val="single" w:sz="4" w:space="0" w:color="auto"/>
              <w:right w:val="single" w:sz="4" w:space="0" w:color="auto"/>
            </w:tcBorders>
            <w:shd w:val="clear" w:color="auto" w:fill="auto"/>
            <w:vAlign w:val="center"/>
          </w:tcPr>
          <w:p w14:paraId="620EBD67" w14:textId="77777777" w:rsidR="007049A5" w:rsidRPr="004E4188" w:rsidRDefault="007049A5" w:rsidP="00524131">
            <w:pPr>
              <w:rPr>
                <w:szCs w:val="36"/>
              </w:rPr>
            </w:pPr>
            <w:r w:rsidRPr="004E4188">
              <w:t>1.</w:t>
            </w:r>
          </w:p>
        </w:tc>
        <w:tc>
          <w:tcPr>
            <w:tcW w:w="2644" w:type="dxa"/>
            <w:tcBorders>
              <w:top w:val="single" w:sz="12" w:space="0" w:color="auto"/>
              <w:left w:val="single" w:sz="4" w:space="0" w:color="auto"/>
              <w:bottom w:val="single" w:sz="4" w:space="0" w:color="auto"/>
              <w:right w:val="single" w:sz="4" w:space="0" w:color="auto"/>
            </w:tcBorders>
            <w:shd w:val="clear" w:color="auto" w:fill="auto"/>
            <w:vAlign w:val="center"/>
          </w:tcPr>
          <w:p w14:paraId="6A84F34E" w14:textId="77777777" w:rsidR="007049A5" w:rsidRPr="004E4188" w:rsidRDefault="007049A5" w:rsidP="00524131">
            <w:pPr>
              <w:rPr>
                <w:szCs w:val="36"/>
              </w:rPr>
            </w:pPr>
          </w:p>
        </w:tc>
        <w:tc>
          <w:tcPr>
            <w:tcW w:w="2552" w:type="dxa"/>
            <w:tcBorders>
              <w:top w:val="single" w:sz="12" w:space="0" w:color="auto"/>
              <w:left w:val="single" w:sz="4" w:space="0" w:color="auto"/>
              <w:bottom w:val="single" w:sz="4" w:space="0" w:color="auto"/>
              <w:right w:val="single" w:sz="4" w:space="0" w:color="auto"/>
            </w:tcBorders>
          </w:tcPr>
          <w:p w14:paraId="0976DDD7" w14:textId="77777777" w:rsidR="007049A5" w:rsidRPr="004E4188" w:rsidRDefault="007049A5" w:rsidP="00524131">
            <w:pPr>
              <w:rPr>
                <w:szCs w:val="36"/>
              </w:rPr>
            </w:pPr>
          </w:p>
        </w:tc>
      </w:tr>
      <w:tr w:rsidR="007049A5" w:rsidRPr="004E4188" w14:paraId="4710D2DA" w14:textId="77777777" w:rsidTr="0088613D">
        <w:trPr>
          <w:trHeight w:val="345"/>
        </w:trPr>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3A9BE9BB" w14:textId="77777777" w:rsidR="007049A5" w:rsidRPr="004E4188" w:rsidRDefault="007049A5" w:rsidP="00524131">
            <w:pPr>
              <w:rPr>
                <w:szCs w:val="36"/>
              </w:rPr>
            </w:pPr>
            <w:r w:rsidRPr="004E4188">
              <w:t>2.</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tcPr>
          <w:p w14:paraId="0A626BC0" w14:textId="77777777" w:rsidR="007049A5" w:rsidRPr="004E4188" w:rsidRDefault="007049A5" w:rsidP="00524131">
            <w:pPr>
              <w:rPr>
                <w:szCs w:val="36"/>
              </w:rPr>
            </w:pPr>
          </w:p>
        </w:tc>
        <w:tc>
          <w:tcPr>
            <w:tcW w:w="2552" w:type="dxa"/>
            <w:tcBorders>
              <w:top w:val="single" w:sz="4" w:space="0" w:color="auto"/>
              <w:left w:val="single" w:sz="4" w:space="0" w:color="auto"/>
              <w:bottom w:val="single" w:sz="4" w:space="0" w:color="auto"/>
              <w:right w:val="single" w:sz="4" w:space="0" w:color="auto"/>
            </w:tcBorders>
          </w:tcPr>
          <w:p w14:paraId="7CCC5CCB" w14:textId="77777777" w:rsidR="007049A5" w:rsidRPr="004E4188" w:rsidRDefault="007049A5" w:rsidP="00524131">
            <w:pPr>
              <w:rPr>
                <w:szCs w:val="36"/>
              </w:rPr>
            </w:pPr>
          </w:p>
        </w:tc>
      </w:tr>
      <w:tr w:rsidR="007049A5" w:rsidRPr="004E4188" w14:paraId="6C703BEF" w14:textId="77777777" w:rsidTr="0088613D">
        <w:trPr>
          <w:trHeight w:val="356"/>
        </w:trPr>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6B75DFD1" w14:textId="77777777" w:rsidR="007049A5" w:rsidRPr="004E4188" w:rsidRDefault="007049A5" w:rsidP="00524131">
            <w:pPr>
              <w:rPr>
                <w:szCs w:val="36"/>
              </w:rPr>
            </w:pPr>
            <w:r w:rsidRPr="004E4188">
              <w:t>3.</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tcPr>
          <w:p w14:paraId="241840F9" w14:textId="77777777" w:rsidR="007049A5" w:rsidRPr="004E4188" w:rsidRDefault="007049A5" w:rsidP="00524131">
            <w:pPr>
              <w:rPr>
                <w:szCs w:val="36"/>
              </w:rPr>
            </w:pPr>
          </w:p>
        </w:tc>
        <w:tc>
          <w:tcPr>
            <w:tcW w:w="2552" w:type="dxa"/>
            <w:tcBorders>
              <w:top w:val="single" w:sz="4" w:space="0" w:color="auto"/>
              <w:left w:val="single" w:sz="4" w:space="0" w:color="auto"/>
              <w:bottom w:val="single" w:sz="4" w:space="0" w:color="auto"/>
              <w:right w:val="single" w:sz="4" w:space="0" w:color="auto"/>
            </w:tcBorders>
          </w:tcPr>
          <w:p w14:paraId="51816799" w14:textId="77777777" w:rsidR="007049A5" w:rsidRPr="004E4188" w:rsidRDefault="007049A5" w:rsidP="00524131">
            <w:pPr>
              <w:rPr>
                <w:szCs w:val="36"/>
              </w:rPr>
            </w:pPr>
          </w:p>
        </w:tc>
      </w:tr>
      <w:tr w:rsidR="007049A5" w:rsidRPr="004E4188" w14:paraId="27C82EA0" w14:textId="77777777" w:rsidTr="0088613D">
        <w:trPr>
          <w:trHeight w:val="353"/>
        </w:trPr>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28B83A7C" w14:textId="77777777" w:rsidR="007049A5" w:rsidRPr="004E4188" w:rsidRDefault="007049A5" w:rsidP="00524131">
            <w:pPr>
              <w:rPr>
                <w:b/>
                <w:szCs w:val="36"/>
              </w:rPr>
            </w:pPr>
            <w:r w:rsidRPr="004E4188">
              <w:rPr>
                <w:szCs w:val="36"/>
                <w:lang w:eastAsia="ja-JP"/>
              </w:rPr>
              <w:t>…</w:t>
            </w:r>
          </w:p>
        </w:tc>
        <w:tc>
          <w:tcPr>
            <w:tcW w:w="2644" w:type="dxa"/>
            <w:tcBorders>
              <w:top w:val="single" w:sz="4" w:space="0" w:color="auto"/>
              <w:left w:val="single" w:sz="4" w:space="0" w:color="auto"/>
              <w:bottom w:val="single" w:sz="4" w:space="0" w:color="auto"/>
              <w:right w:val="single" w:sz="4" w:space="0" w:color="auto"/>
            </w:tcBorders>
            <w:shd w:val="clear" w:color="auto" w:fill="auto"/>
            <w:vAlign w:val="center"/>
          </w:tcPr>
          <w:p w14:paraId="3EA867DC" w14:textId="77777777" w:rsidR="007049A5" w:rsidRPr="004E4188" w:rsidRDefault="007049A5" w:rsidP="00524131">
            <w:pPr>
              <w:rPr>
                <w:b/>
                <w:szCs w:val="36"/>
              </w:rPr>
            </w:pPr>
          </w:p>
        </w:tc>
        <w:tc>
          <w:tcPr>
            <w:tcW w:w="2552" w:type="dxa"/>
            <w:tcBorders>
              <w:top w:val="single" w:sz="4" w:space="0" w:color="auto"/>
              <w:left w:val="single" w:sz="4" w:space="0" w:color="auto"/>
              <w:bottom w:val="single" w:sz="4" w:space="0" w:color="auto"/>
              <w:right w:val="single" w:sz="4" w:space="0" w:color="auto"/>
            </w:tcBorders>
          </w:tcPr>
          <w:p w14:paraId="5DA54154" w14:textId="77777777" w:rsidR="007049A5" w:rsidRPr="004E4188" w:rsidRDefault="007049A5" w:rsidP="00524131">
            <w:pPr>
              <w:rPr>
                <w:b/>
                <w:szCs w:val="36"/>
              </w:rPr>
            </w:pPr>
          </w:p>
        </w:tc>
      </w:tr>
    </w:tbl>
    <w:p w14:paraId="45B1744F" w14:textId="77777777" w:rsidR="007049A5" w:rsidRPr="004E4188" w:rsidRDefault="007049A5" w:rsidP="00A74C04">
      <w:pPr>
        <w:ind w:left="1440"/>
      </w:pPr>
    </w:p>
    <w:p w14:paraId="43C7DFC7" w14:textId="77777777" w:rsidR="007049A5" w:rsidRPr="004E4188" w:rsidRDefault="007049A5" w:rsidP="00AD2A2B">
      <w:pPr>
        <w:spacing w:afterLines="100" w:after="240"/>
        <w:ind w:left="1440"/>
        <w:rPr>
          <w:szCs w:val="24"/>
          <w:lang w:eastAsia="en-US"/>
        </w:rPr>
      </w:pPr>
      <w:r w:rsidRPr="004E4188">
        <w:rPr>
          <w:szCs w:val="24"/>
        </w:rPr>
        <w:t xml:space="preserve">Aux fins de l’évaluation, </w:t>
      </w:r>
      <w:r w:rsidRPr="004E4188">
        <w:rPr>
          <w:szCs w:val="24"/>
          <w:lang w:eastAsia="en-US"/>
        </w:rPr>
        <w:t>la procédure décrite ci-dessous sera appliquée.</w:t>
      </w:r>
    </w:p>
    <w:p w14:paraId="65E0B067" w14:textId="77777777" w:rsidR="007049A5" w:rsidRPr="004E4188" w:rsidRDefault="007049A5" w:rsidP="00AD2A2B">
      <w:pPr>
        <w:spacing w:afterLines="100" w:after="240"/>
        <w:ind w:left="1440"/>
        <w:rPr>
          <w:lang w:eastAsia="en-US"/>
        </w:rPr>
      </w:pPr>
      <w:r w:rsidRPr="004E4188">
        <w:rPr>
          <w:szCs w:val="24"/>
        </w:rPr>
        <w:t>Si</w:t>
      </w:r>
      <w:r w:rsidRPr="004E4188">
        <w:rPr>
          <w:szCs w:val="24"/>
          <w:lang w:eastAsia="en-US"/>
        </w:rPr>
        <w:t xml:space="preserve"> la(les) valeur(s) de la(les) garantie(s) opérationnelle(s) pour les </w:t>
      </w:r>
      <w:r w:rsidRPr="004E4188">
        <w:rPr>
          <w:szCs w:val="24"/>
        </w:rPr>
        <w:t>É</w:t>
      </w:r>
      <w:r w:rsidRPr="004E4188">
        <w:rPr>
          <w:szCs w:val="24"/>
          <w:lang w:eastAsia="en-US"/>
        </w:rPr>
        <w:t>quipements proposés par le Soumissionnaire dans le formulaire GAR :</w:t>
      </w:r>
    </w:p>
    <w:p w14:paraId="77DC5AD2" w14:textId="77777777" w:rsidR="007049A5" w:rsidRPr="004E4188" w:rsidRDefault="007049A5" w:rsidP="006C6267">
      <w:pPr>
        <w:suppressAutoHyphens w:val="0"/>
        <w:overflowPunct/>
        <w:autoSpaceDE/>
        <w:autoSpaceDN/>
        <w:adjustRightInd/>
        <w:spacing w:after="200"/>
        <w:ind w:left="1881" w:hanging="434"/>
        <w:textAlignment w:val="auto"/>
        <w:rPr>
          <w:lang w:eastAsia="en-US"/>
        </w:rPr>
      </w:pPr>
      <w:r w:rsidRPr="004E4188">
        <w:rPr>
          <w:lang w:eastAsia="en-US"/>
        </w:rPr>
        <w:t>(i)</w:t>
      </w:r>
      <w:r w:rsidRPr="004E4188">
        <w:rPr>
          <w:lang w:eastAsia="en-US"/>
        </w:rPr>
        <w:tab/>
      </w:r>
      <w:r w:rsidRPr="004E4188">
        <w:rPr>
          <w:rFonts w:hint="eastAsia"/>
          <w:lang w:eastAsia="ja-JP"/>
        </w:rPr>
        <w:t>s</w:t>
      </w:r>
      <w:r w:rsidRPr="004E4188">
        <w:rPr>
          <w:szCs w:val="24"/>
          <w:lang w:eastAsia="en-US"/>
        </w:rPr>
        <w:t>atisfait(satisfont) la norme spécifiée dans le tableau ci-dessus, aucun ajustement ne sera apporté au Montant de l’offre</w:t>
      </w:r>
      <w:r w:rsidRPr="004E4188">
        <w:rPr>
          <w:lang w:eastAsia="en-US"/>
        </w:rPr>
        <w:t> ;</w:t>
      </w:r>
    </w:p>
    <w:p w14:paraId="5B9530B6" w14:textId="22D4DDA7" w:rsidR="007049A5" w:rsidRPr="004E4188" w:rsidRDefault="007049A5" w:rsidP="006C6267">
      <w:pPr>
        <w:suppressAutoHyphens w:val="0"/>
        <w:overflowPunct/>
        <w:autoSpaceDE/>
        <w:autoSpaceDN/>
        <w:adjustRightInd/>
        <w:spacing w:after="200"/>
        <w:ind w:left="1881" w:hanging="434"/>
        <w:textAlignment w:val="auto"/>
        <w:rPr>
          <w:lang w:eastAsia="en-US"/>
        </w:rPr>
      </w:pPr>
      <w:r w:rsidRPr="004E4188">
        <w:rPr>
          <w:lang w:eastAsia="en-US"/>
        </w:rPr>
        <w:t xml:space="preserve">(ii) </w:t>
      </w:r>
      <w:r w:rsidRPr="004E4188">
        <w:rPr>
          <w:lang w:eastAsia="en-US"/>
        </w:rPr>
        <w:tab/>
        <w:t>e</w:t>
      </w:r>
      <w:r w:rsidRPr="004E4188">
        <w:rPr>
          <w:szCs w:val="24"/>
          <w:lang w:eastAsia="en-US"/>
        </w:rPr>
        <w:t>st(sont) comprise(s) entre la norme et le niveau minimal ou maximal acceptable du tableau ci-dessus, pour chaque point de pourcentage d’écart de la garantie opérationnelle par rapport à la norme, un ajustement sera apporté au Montant de l’offre</w:t>
      </w:r>
      <w:r w:rsidR="0006060D" w:rsidRPr="004E4188">
        <w:t xml:space="preserve"> en appliquant la méthode suivante</w:t>
      </w:r>
      <w:r w:rsidRPr="004E4188">
        <w:rPr>
          <w:szCs w:val="24"/>
          <w:lang w:eastAsia="en-US"/>
        </w:rPr>
        <w:t> </w:t>
      </w:r>
      <w:r w:rsidRPr="004E4188">
        <w:rPr>
          <w:lang w:eastAsia="en-US"/>
        </w:rPr>
        <w:t>:</w:t>
      </w:r>
    </w:p>
    <w:p w14:paraId="057A8ADD" w14:textId="17835289" w:rsidR="007049A5" w:rsidRPr="004E4188" w:rsidRDefault="007049A5" w:rsidP="006C6267">
      <w:pPr>
        <w:suppressAutoHyphens w:val="0"/>
        <w:overflowPunct/>
        <w:autoSpaceDE/>
        <w:autoSpaceDN/>
        <w:adjustRightInd/>
        <w:spacing w:after="200"/>
        <w:ind w:left="2315" w:hanging="434"/>
        <w:textAlignment w:val="auto"/>
        <w:rPr>
          <w:lang w:eastAsia="en-US"/>
        </w:rPr>
      </w:pPr>
      <w:r w:rsidRPr="004E4188">
        <w:rPr>
          <w:lang w:eastAsia="en-US"/>
        </w:rPr>
        <w:t>[</w:t>
      </w:r>
      <w:r w:rsidRPr="004E4188">
        <w:rPr>
          <w:i/>
          <w:szCs w:val="24"/>
          <w:lang w:eastAsia="en-US"/>
        </w:rPr>
        <w:t>Indiquer la méthode de calcul de l’ajustement</w:t>
      </w:r>
      <w:r w:rsidRPr="004E4188">
        <w:rPr>
          <w:szCs w:val="24"/>
          <w:lang w:eastAsia="en-US"/>
        </w:rPr>
        <w:t>.</w:t>
      </w:r>
      <w:r w:rsidRPr="004E4188">
        <w:rPr>
          <w:lang w:eastAsia="en-US"/>
        </w:rPr>
        <w:t>]</w:t>
      </w:r>
    </w:p>
    <w:p w14:paraId="492E0478" w14:textId="77777777" w:rsidR="007049A5" w:rsidRPr="004E4188" w:rsidRDefault="007049A5" w:rsidP="006C6267">
      <w:pPr>
        <w:suppressAutoHyphens w:val="0"/>
        <w:overflowPunct/>
        <w:autoSpaceDE/>
        <w:autoSpaceDN/>
        <w:adjustRightInd/>
        <w:spacing w:after="200"/>
        <w:ind w:left="1881" w:hanging="434"/>
        <w:textAlignment w:val="auto"/>
        <w:rPr>
          <w:lang w:eastAsia="en-US"/>
        </w:rPr>
      </w:pPr>
      <w:r w:rsidRPr="004E4188">
        <w:rPr>
          <w:lang w:eastAsia="en-US"/>
        </w:rPr>
        <w:t>(iii)</w:t>
      </w:r>
      <w:r w:rsidRPr="004E4188">
        <w:rPr>
          <w:lang w:eastAsia="en-US"/>
        </w:rPr>
        <w:tab/>
        <w:t xml:space="preserve">ne </w:t>
      </w:r>
      <w:r w:rsidRPr="004E4188">
        <w:rPr>
          <w:szCs w:val="24"/>
          <w:lang w:eastAsia="en-US"/>
        </w:rPr>
        <w:t>satisfait(satisfont) pas le niveau minimal ou maximal acceptable du tableau ci-dessus, l’offre sera rejetée</w:t>
      </w:r>
      <w:r w:rsidRPr="004E4188">
        <w:rPr>
          <w:lang w:eastAsia="en-US"/>
        </w:rPr>
        <w:t>.</w:t>
      </w:r>
    </w:p>
    <w:p w14:paraId="43E76142" w14:textId="77E2C3AF" w:rsidR="007049A5" w:rsidRPr="004E4188" w:rsidRDefault="007049A5" w:rsidP="00AD2A2B">
      <w:pPr>
        <w:pStyle w:val="ac"/>
        <w:suppressAutoHyphens w:val="0"/>
        <w:overflowPunct/>
        <w:autoSpaceDE/>
        <w:autoSpaceDN/>
        <w:adjustRightInd/>
        <w:ind w:left="1418" w:hanging="567"/>
        <w:textAlignment w:val="auto"/>
        <w:rPr>
          <w:b/>
          <w:sz w:val="24"/>
          <w:szCs w:val="24"/>
        </w:rPr>
      </w:pPr>
      <w:r w:rsidRPr="004E4188">
        <w:rPr>
          <w:b/>
          <w:sz w:val="24"/>
          <w:szCs w:val="24"/>
          <w:lang w:eastAsia="ja-JP"/>
        </w:rPr>
        <w:t>(</w:t>
      </w:r>
      <w:r w:rsidRPr="004E4188">
        <w:rPr>
          <w:rFonts w:hint="eastAsia"/>
          <w:b/>
          <w:sz w:val="24"/>
          <w:szCs w:val="24"/>
          <w:lang w:eastAsia="ja-JP"/>
        </w:rPr>
        <w:t>c</w:t>
      </w:r>
      <w:r w:rsidRPr="004E4188">
        <w:rPr>
          <w:b/>
          <w:sz w:val="24"/>
          <w:szCs w:val="24"/>
          <w:lang w:eastAsia="ja-JP"/>
        </w:rPr>
        <w:t>)</w:t>
      </w:r>
      <w:r w:rsidRPr="004E4188">
        <w:rPr>
          <w:b/>
          <w:sz w:val="24"/>
          <w:szCs w:val="24"/>
          <w:lang w:eastAsia="ja-JP"/>
        </w:rPr>
        <w:tab/>
      </w:r>
      <w:r w:rsidRPr="004E4188">
        <w:rPr>
          <w:b/>
          <w:sz w:val="24"/>
          <w:szCs w:val="24"/>
        </w:rPr>
        <w:t>Critères d’évaluation spécifiques supplémentaires</w:t>
      </w:r>
    </w:p>
    <w:p w14:paraId="1E8AFC8B" w14:textId="6BAD923A" w:rsidR="007049A5" w:rsidRPr="004E4188" w:rsidRDefault="007049A5" w:rsidP="006C6267">
      <w:pPr>
        <w:tabs>
          <w:tab w:val="right" w:pos="7254"/>
        </w:tabs>
        <w:suppressAutoHyphens w:val="0"/>
        <w:overflowPunct/>
        <w:autoSpaceDE/>
        <w:autoSpaceDN/>
        <w:adjustRightInd/>
        <w:spacing w:after="200"/>
        <w:ind w:left="1440"/>
        <w:textAlignment w:val="auto"/>
      </w:pPr>
      <w:r w:rsidRPr="004E4188">
        <w:rPr>
          <w:szCs w:val="24"/>
        </w:rPr>
        <w:t>Les</w:t>
      </w:r>
      <w:r w:rsidRPr="004E4188">
        <w:t xml:space="preserve"> critères d’évaluation supplémentaires suivants seront utilisés lors de l’évaluation : </w:t>
      </w:r>
      <w:r w:rsidRPr="004E4188">
        <w:rPr>
          <w:b/>
        </w:rPr>
        <w:t>[</w:t>
      </w:r>
      <w:r w:rsidRPr="004E4188">
        <w:rPr>
          <w:i/>
          <w:iCs/>
          <w:lang w:eastAsia="ja-JP"/>
        </w:rPr>
        <w:t>I</w:t>
      </w:r>
      <w:r w:rsidRPr="004E4188">
        <w:rPr>
          <w:i/>
        </w:rPr>
        <w:t xml:space="preserve">nsérer, </w:t>
      </w:r>
      <w:r w:rsidRPr="004E4188">
        <w:rPr>
          <w:i/>
          <w:iCs/>
          <w:lang w:eastAsia="ja-JP"/>
        </w:rPr>
        <w:t>l</w:t>
      </w:r>
      <w:r w:rsidRPr="004E4188">
        <w:rPr>
          <w:i/>
        </w:rPr>
        <w:t>e cas échéant, les critères d’évaluation supplémentaires. Sinon, indiquer « Sans objet »</w:t>
      </w:r>
      <w:r w:rsidRPr="004E4188">
        <w:rPr>
          <w:i/>
          <w:iCs/>
          <w:lang w:eastAsia="ja-JP"/>
        </w:rPr>
        <w:t>.</w:t>
      </w:r>
      <w:r w:rsidRPr="004E4188">
        <w:t xml:space="preserve">] </w:t>
      </w:r>
    </w:p>
    <w:p w14:paraId="4FCDB66B" w14:textId="484E7260" w:rsidR="003A25BD" w:rsidRPr="004E4188" w:rsidRDefault="003A25BD" w:rsidP="006C6267">
      <w:pPr>
        <w:tabs>
          <w:tab w:val="right" w:pos="7254"/>
        </w:tabs>
        <w:suppressAutoHyphens w:val="0"/>
        <w:overflowPunct/>
        <w:autoSpaceDE/>
        <w:autoSpaceDN/>
        <w:adjustRightInd/>
        <w:spacing w:after="200"/>
        <w:ind w:left="1440"/>
        <w:textAlignment w:val="auto"/>
        <w:rPr>
          <w:lang w:eastAsia="en-US"/>
        </w:rPr>
      </w:pPr>
      <w:r w:rsidRPr="004E4188">
        <w:rPr>
          <w:lang w:eastAsia="en-US"/>
        </w:rPr>
        <w:t>………………………………………………………………………………………</w:t>
      </w:r>
      <w:r w:rsidR="00971498" w:rsidRPr="004E4188">
        <w:rPr>
          <w:lang w:eastAsia="en-US"/>
        </w:rPr>
        <w:t>………………………………………………………………………………………</w:t>
      </w:r>
    </w:p>
    <w:p w14:paraId="0B624B76" w14:textId="793A7AEF" w:rsidR="007049A5" w:rsidRPr="004E4188" w:rsidRDefault="007049A5" w:rsidP="003A25BD">
      <w:pPr>
        <w:tabs>
          <w:tab w:val="right" w:pos="7254"/>
        </w:tabs>
        <w:suppressAutoHyphens w:val="0"/>
        <w:overflowPunct/>
        <w:autoSpaceDE/>
        <w:autoSpaceDN/>
        <w:adjustRightInd/>
        <w:ind w:left="1440"/>
        <w:textAlignment w:val="auto"/>
      </w:pPr>
    </w:p>
    <w:p w14:paraId="54F59E58" w14:textId="2F185212" w:rsidR="007049A5" w:rsidRPr="004E4188" w:rsidRDefault="007049A5" w:rsidP="00CB76DB">
      <w:pPr>
        <w:pStyle w:val="ListParagraph1"/>
        <w:tabs>
          <w:tab w:val="left" w:pos="851"/>
        </w:tabs>
        <w:snapToGrid w:val="0"/>
        <w:spacing w:after="120"/>
        <w:ind w:left="851" w:hanging="851"/>
        <w:contextualSpacing w:val="0"/>
        <w:jc w:val="left"/>
        <w:rPr>
          <w:b/>
          <w:lang w:val="fr-FR"/>
        </w:rPr>
      </w:pPr>
      <w:r w:rsidRPr="004E4188">
        <w:rPr>
          <w:b/>
          <w:lang w:val="fr-FR" w:eastAsia="ja-JP"/>
        </w:rPr>
        <w:t>1.2.2</w:t>
      </w:r>
      <w:r w:rsidRPr="004E4188">
        <w:rPr>
          <w:b/>
          <w:lang w:val="fr-FR" w:eastAsia="ja-JP"/>
        </w:rPr>
        <w:tab/>
      </w:r>
      <w:r w:rsidRPr="004E4188">
        <w:rPr>
          <w:b/>
          <w:lang w:val="fr-FR"/>
        </w:rPr>
        <w:t>Critères d’attribution de lots multiples (IS 48.3)</w:t>
      </w:r>
    </w:p>
    <w:p w14:paraId="4075A757" w14:textId="37623F63" w:rsidR="007049A5" w:rsidRPr="004E4188" w:rsidRDefault="007049A5" w:rsidP="006F7EBC">
      <w:pPr>
        <w:pStyle w:val="ListParagraph1"/>
        <w:spacing w:before="120"/>
        <w:ind w:left="850"/>
        <w:rPr>
          <w:i/>
          <w:lang w:val="fr-FR"/>
        </w:rPr>
      </w:pPr>
      <w:r w:rsidRPr="004E4188">
        <w:rPr>
          <w:lang w:val="fr-FR"/>
        </w:rPr>
        <w:t>[</w:t>
      </w:r>
      <w:r w:rsidRPr="004E4188">
        <w:rPr>
          <w:i/>
          <w:lang w:val="fr-FR"/>
        </w:rPr>
        <w:t>Insérer le texte suivant en cas d’un appel d’offres lancé pour des lots</w:t>
      </w:r>
      <w:r w:rsidRPr="004E4188" w:rsidDel="00775CA8">
        <w:rPr>
          <w:i/>
          <w:lang w:val="fr-FR"/>
        </w:rPr>
        <w:t xml:space="preserve"> </w:t>
      </w:r>
      <w:r w:rsidRPr="004E4188">
        <w:rPr>
          <w:i/>
          <w:lang w:val="fr-FR"/>
        </w:rPr>
        <w:t>multiples, le cas échéant. Sinon, supprimer la totalité du texte et indiquer à la place « Sans objet ».</w:t>
      </w:r>
    </w:p>
    <w:p w14:paraId="7CA19A48" w14:textId="77777777" w:rsidR="007049A5" w:rsidRPr="004E4188" w:rsidRDefault="007049A5" w:rsidP="006C6267">
      <w:pPr>
        <w:pStyle w:val="ListParagraph1"/>
        <w:ind w:left="851"/>
        <w:jc w:val="left"/>
        <w:rPr>
          <w:i/>
          <w:lang w:val="fr-FR"/>
        </w:rPr>
      </w:pPr>
    </w:p>
    <w:p w14:paraId="075AE91C" w14:textId="5B3CFE3E" w:rsidR="007049A5" w:rsidRPr="004E4188" w:rsidRDefault="007049A5" w:rsidP="00AD2A2B">
      <w:pPr>
        <w:pStyle w:val="ListParagraph1"/>
        <w:ind w:left="850"/>
        <w:rPr>
          <w:i/>
          <w:lang w:val="fr-FR"/>
        </w:rPr>
      </w:pPr>
      <w:r w:rsidRPr="004E4188">
        <w:rPr>
          <w:i/>
          <w:lang w:val="fr-FR"/>
        </w:rPr>
        <w:t xml:space="preserve">« Si l’Article 1.1 des DP le prévoit, les Soumissionnaires ont la possibilité de remettre une offre pour des lots multiples dans n’importe quelle combinaison. Les offres pour chaque lot ou chaque combinaison de lots seront ensuite évaluées, en prenant en compte les rabais offerts, le cas échéant, pour l’attribution de ces lots multiples. </w:t>
      </w:r>
    </w:p>
    <w:p w14:paraId="45AD93DD" w14:textId="77777777" w:rsidR="007049A5" w:rsidRPr="004E4188" w:rsidRDefault="007049A5" w:rsidP="006C6267">
      <w:pPr>
        <w:pStyle w:val="ListParagraph1"/>
        <w:rPr>
          <w:i/>
          <w:lang w:val="fr-FR"/>
        </w:rPr>
      </w:pPr>
    </w:p>
    <w:p w14:paraId="6930A0DB" w14:textId="5B480F6E" w:rsidR="00CA7DD7" w:rsidRPr="004E4188" w:rsidRDefault="007049A5" w:rsidP="00AD2A2B">
      <w:pPr>
        <w:pStyle w:val="ListParagraph1"/>
        <w:ind w:left="850"/>
        <w:rPr>
          <w:lang w:val="fr-FR"/>
        </w:rPr>
      </w:pPr>
      <w:r w:rsidRPr="004E4188">
        <w:rPr>
          <w:i/>
          <w:lang w:val="fr-FR"/>
        </w:rPr>
        <w:t>Les lots seront attribués au(x) Soumissionnaire(s) offrant le coût évalué le moins</w:t>
      </w:r>
      <w:r w:rsidR="00235540" w:rsidRPr="004E4188">
        <w:rPr>
          <w:i/>
          <w:lang w:val="fr-FR"/>
        </w:rPr>
        <w:t>-</w:t>
      </w:r>
      <w:r w:rsidRPr="004E4188">
        <w:rPr>
          <w:i/>
          <w:lang w:val="fr-FR"/>
        </w:rPr>
        <w:t>disant pour le Maître d’ouvrage compte tenu des rabais offerts, sous réserve que le(les) Soumissionnaire(s) retenu(s) satisfasse(nt) aux critères de qualification requis pour l’attribution de ces lots multiples. »</w:t>
      </w:r>
      <w:r w:rsidRPr="004E4188">
        <w:rPr>
          <w:lang w:val="fr-FR"/>
        </w:rPr>
        <w:t>]</w:t>
      </w:r>
    </w:p>
    <w:p w14:paraId="282F047F" w14:textId="77777777" w:rsidR="008F1DFA" w:rsidRPr="004E4188" w:rsidRDefault="008F1DFA" w:rsidP="00AD2A2B">
      <w:pPr>
        <w:pStyle w:val="ListParagraph1"/>
        <w:ind w:left="850"/>
        <w:rPr>
          <w:lang w:val="fr-FR"/>
        </w:rPr>
      </w:pPr>
    </w:p>
    <w:p w14:paraId="2ECC3CA7" w14:textId="77777777" w:rsidR="008F1DFA" w:rsidRPr="004E4188" w:rsidRDefault="008F1DFA" w:rsidP="00AD2A2B">
      <w:pPr>
        <w:pStyle w:val="ListParagraph1"/>
        <w:ind w:left="850"/>
        <w:rPr>
          <w:lang w:val="fr-FR"/>
        </w:rPr>
      </w:pPr>
    </w:p>
    <w:p w14:paraId="036BC28C" w14:textId="77777777" w:rsidR="008F1DFA" w:rsidRPr="004E4188" w:rsidRDefault="008F1DFA" w:rsidP="00AD2A2B">
      <w:pPr>
        <w:pStyle w:val="ListParagraph1"/>
        <w:ind w:left="850"/>
        <w:rPr>
          <w:lang w:val="fr-FR"/>
        </w:rPr>
        <w:sectPr w:rsidR="008F1DFA" w:rsidRPr="004E4188" w:rsidSect="008F1DFA">
          <w:headerReference w:type="first" r:id="rId75"/>
          <w:footnotePr>
            <w:numRestart w:val="eachPage"/>
          </w:footnotePr>
          <w:pgSz w:w="12240" w:h="15840" w:code="1"/>
          <w:pgMar w:top="1440" w:right="1440" w:bottom="1440" w:left="1440" w:header="720" w:footer="720" w:gutter="0"/>
          <w:cols w:space="720"/>
        </w:sectPr>
      </w:pPr>
    </w:p>
    <w:tbl>
      <w:tblPr>
        <w:tblW w:w="9014" w:type="dxa"/>
        <w:tblLayout w:type="fixed"/>
        <w:tblLook w:val="0000" w:firstRow="0" w:lastRow="0" w:firstColumn="0" w:lastColumn="0" w:noHBand="0" w:noVBand="0"/>
      </w:tblPr>
      <w:tblGrid>
        <w:gridCol w:w="9014"/>
      </w:tblGrid>
      <w:tr w:rsidR="008F1DFA" w:rsidRPr="004E4188" w14:paraId="02DDF02D" w14:textId="77777777" w:rsidTr="00F404AB">
        <w:trPr>
          <w:trHeight w:val="709"/>
        </w:trPr>
        <w:tc>
          <w:tcPr>
            <w:tcW w:w="9014" w:type="dxa"/>
            <w:tcBorders>
              <w:top w:val="nil"/>
              <w:left w:val="nil"/>
              <w:bottom w:val="nil"/>
              <w:right w:val="nil"/>
            </w:tcBorders>
          </w:tcPr>
          <w:p w14:paraId="06D70B6C" w14:textId="77777777" w:rsidR="008F1DFA" w:rsidRPr="0006470B" w:rsidRDefault="008F1DFA" w:rsidP="008F1DFA">
            <w:pPr>
              <w:pStyle w:val="Subtitle2"/>
              <w:rPr>
                <w:lang w:val="fr-FR"/>
              </w:rPr>
            </w:pPr>
            <w:r w:rsidRPr="0006470B">
              <w:rPr>
                <w:lang w:val="fr-FR"/>
              </w:rPr>
              <w:t>Section IV. Formulaires de soumission</w:t>
            </w:r>
          </w:p>
        </w:tc>
      </w:tr>
    </w:tbl>
    <w:p w14:paraId="17539BD5" w14:textId="77777777" w:rsidR="008F1DFA" w:rsidRPr="0006470B" w:rsidRDefault="008F1DFA" w:rsidP="008F1DFA">
      <w:pPr>
        <w:pStyle w:val="Subtitle2"/>
        <w:rPr>
          <w:sz w:val="24"/>
          <w:szCs w:val="24"/>
          <w:lang w:val="fr-F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tblGrid>
      <w:tr w:rsidR="008F1DFA" w:rsidRPr="004E4188" w14:paraId="29CA7F35" w14:textId="77777777" w:rsidTr="00F404AB">
        <w:tc>
          <w:tcPr>
            <w:tcW w:w="9072" w:type="dxa"/>
          </w:tcPr>
          <w:p w14:paraId="7D8DF7AB" w14:textId="77777777" w:rsidR="008F1DFA" w:rsidRPr="004E4188" w:rsidRDefault="008F1DFA" w:rsidP="00F404AB">
            <w:pPr>
              <w:jc w:val="center"/>
              <w:rPr>
                <w:b/>
                <w:bCs/>
                <w:noProof/>
                <w:sz w:val="28"/>
                <w:lang w:eastAsia="ja-JP"/>
              </w:rPr>
            </w:pPr>
          </w:p>
          <w:p w14:paraId="4A63624B" w14:textId="77777777" w:rsidR="008F1DFA" w:rsidRPr="004E4188" w:rsidRDefault="008F1DFA" w:rsidP="00F404AB">
            <w:pPr>
              <w:jc w:val="center"/>
              <w:rPr>
                <w:b/>
                <w:bCs/>
                <w:noProof/>
                <w:sz w:val="28"/>
                <w:lang w:eastAsia="ja-JP"/>
              </w:rPr>
            </w:pPr>
            <w:r w:rsidRPr="004E4188">
              <w:rPr>
                <w:b/>
                <w:bCs/>
                <w:noProof/>
                <w:sz w:val="28"/>
                <w:lang w:eastAsia="ja-JP"/>
              </w:rPr>
              <w:t>Notes à l’intention du Maître d’ouvrage</w:t>
            </w:r>
          </w:p>
          <w:p w14:paraId="61BEA4CC" w14:textId="77777777" w:rsidR="008F1DFA" w:rsidRPr="004E4188" w:rsidRDefault="008F1DFA" w:rsidP="00F404AB">
            <w:pPr>
              <w:jc w:val="left"/>
              <w:rPr>
                <w:noProof/>
                <w:szCs w:val="24"/>
                <w:lang w:eastAsia="ja-JP"/>
              </w:rPr>
            </w:pPr>
          </w:p>
          <w:p w14:paraId="69C4FFDF" w14:textId="77777777" w:rsidR="008F1DFA" w:rsidRPr="004E4188" w:rsidRDefault="008F1DFA" w:rsidP="00F404AB">
            <w:pPr>
              <w:rPr>
                <w:noProof/>
                <w:szCs w:val="24"/>
                <w:lang w:eastAsia="ja-JP"/>
              </w:rPr>
            </w:pPr>
            <w:r w:rsidRPr="004E4188">
              <w:rPr>
                <w:noProof/>
                <w:szCs w:val="24"/>
              </w:rPr>
              <w:t>Cette section comprend les formulaires qui doivent être complétés par le Soumissionnaire et soumis dans le cadre de son offre, et le Maître d’ouvrage doit inclure ici tous les formulaires que le Soumissionnaire doit compléter et inclure dans son offre. Comme indiqué dans cette section, les formulaires comprennent la Lettre de soumission (la Lettre de soumission de l’Offre Technique et celle de l’Offre Financière pour l’appel d’offres à une étape-deux enveloppes, la Lettre de soumission de l’offre de la première étape et celle de l’offre de la deuxième étape pour l’appel d’offres à deux étapes-une enveloppe), la garantie de soumission, les Bordereaux des prix, les formulaires de la Proposition technique et ceux de renseignements sur les qualifications du Soumissionnaire</w:t>
            </w:r>
            <w:r w:rsidRPr="004E4188">
              <w:rPr>
                <w:noProof/>
                <w:szCs w:val="24"/>
                <w:lang w:eastAsia="ja-JP"/>
              </w:rPr>
              <w:t>.</w:t>
            </w:r>
          </w:p>
          <w:p w14:paraId="4598FF14" w14:textId="77777777" w:rsidR="008F1DFA" w:rsidRPr="004E4188" w:rsidRDefault="008F1DFA" w:rsidP="00F404AB">
            <w:pPr>
              <w:rPr>
                <w:noProof/>
                <w:szCs w:val="24"/>
                <w:lang w:eastAsia="ja-JP"/>
              </w:rPr>
            </w:pPr>
          </w:p>
          <w:p w14:paraId="197E7FC7" w14:textId="77777777" w:rsidR="008F1DFA" w:rsidRPr="004E4188" w:rsidRDefault="008F1DFA" w:rsidP="00F404AB">
            <w:pPr>
              <w:rPr>
                <w:noProof/>
                <w:szCs w:val="24"/>
                <w:lang w:eastAsia="ja-JP"/>
              </w:rPr>
            </w:pPr>
            <w:r w:rsidRPr="004E4188">
              <w:rPr>
                <w:noProof/>
                <w:szCs w:val="24"/>
                <w:lang w:eastAsia="ja-JP"/>
              </w:rPr>
              <w:t>Les notes « en encadré » indiquées comme « </w:t>
            </w:r>
            <w:r w:rsidRPr="004E4188">
              <w:rPr>
                <w:i/>
                <w:noProof/>
                <w:szCs w:val="24"/>
                <w:lang w:eastAsia="ja-JP"/>
              </w:rPr>
              <w:t>Notes à l’intention du Maître d’ouvrage</w:t>
            </w:r>
            <w:r w:rsidRPr="004E4188">
              <w:rPr>
                <w:noProof/>
                <w:szCs w:val="24"/>
                <w:lang w:eastAsia="ja-JP"/>
              </w:rPr>
              <w:t> » ne font pas partie de la section, Formulaires de soumission, mais contiennent des indications et des instructions à l’intention du Maître d’ouvrage. Le Maître d’ouvrage doit apporter toutes les informations nécessaires dans les formulaires suivants conformément à leurs directives et instructions :</w:t>
            </w:r>
          </w:p>
          <w:p w14:paraId="24F8C325" w14:textId="77777777" w:rsidR="008F1DFA" w:rsidRPr="004E4188" w:rsidRDefault="008F1DFA" w:rsidP="00F404AB">
            <w:pPr>
              <w:tabs>
                <w:tab w:val="left" w:pos="426"/>
              </w:tabs>
              <w:ind w:left="426" w:hanging="426"/>
              <w:rPr>
                <w:noProof/>
                <w:szCs w:val="24"/>
                <w:lang w:eastAsia="ja-JP"/>
              </w:rPr>
            </w:pPr>
            <w:r w:rsidRPr="004E4188">
              <w:rPr>
                <w:noProof/>
                <w:szCs w:val="24"/>
                <w:lang w:eastAsia="ja-JP"/>
              </w:rPr>
              <w:t xml:space="preserve">(a) </w:t>
            </w:r>
            <w:r w:rsidRPr="004E4188">
              <w:rPr>
                <w:noProof/>
                <w:szCs w:val="24"/>
                <w:lang w:eastAsia="ja-JP"/>
              </w:rPr>
              <w:tab/>
              <w:t>les Bordereaux des prix ;</w:t>
            </w:r>
          </w:p>
          <w:p w14:paraId="766331B6" w14:textId="77777777" w:rsidR="008F1DFA" w:rsidRPr="004E4188" w:rsidRDefault="008F1DFA" w:rsidP="00F404AB">
            <w:pPr>
              <w:tabs>
                <w:tab w:val="left" w:pos="426"/>
              </w:tabs>
              <w:ind w:left="426" w:hanging="426"/>
              <w:rPr>
                <w:noProof/>
                <w:szCs w:val="24"/>
                <w:lang w:eastAsia="ja-JP"/>
              </w:rPr>
            </w:pPr>
            <w:r w:rsidRPr="004E4188">
              <w:rPr>
                <w:noProof/>
                <w:szCs w:val="24"/>
                <w:lang w:eastAsia="ja-JP"/>
              </w:rPr>
              <w:t xml:space="preserve">(b) </w:t>
            </w:r>
            <w:r w:rsidRPr="004E4188">
              <w:rPr>
                <w:noProof/>
                <w:szCs w:val="24"/>
                <w:lang w:eastAsia="ja-JP"/>
              </w:rPr>
              <w:tab/>
              <w:t>le Bordereau des données de révision des prix (à l’exception des données à renseigner avant la signature du Marché comme il est expressément mentionné dans les notes à l’intention du Maître d’ouvrage de celui-ci) ;</w:t>
            </w:r>
          </w:p>
          <w:p w14:paraId="56771A10" w14:textId="77777777" w:rsidR="008F1DFA" w:rsidRPr="004E4188" w:rsidRDefault="008F1DFA" w:rsidP="00F404AB">
            <w:pPr>
              <w:tabs>
                <w:tab w:val="left" w:pos="426"/>
              </w:tabs>
              <w:ind w:left="426" w:hanging="426"/>
              <w:rPr>
                <w:noProof/>
                <w:szCs w:val="24"/>
                <w:lang w:eastAsia="ja-JP"/>
              </w:rPr>
            </w:pPr>
            <w:r w:rsidRPr="004E4188">
              <w:rPr>
                <w:noProof/>
                <w:szCs w:val="24"/>
                <w:lang w:eastAsia="ja-JP"/>
              </w:rPr>
              <w:t xml:space="preserve">(c) </w:t>
            </w:r>
            <w:r w:rsidRPr="004E4188">
              <w:rPr>
                <w:noProof/>
                <w:szCs w:val="24"/>
                <w:lang w:eastAsia="ja-JP"/>
              </w:rPr>
              <w:tab/>
              <w:t>la Proposition technique (à l’exception de la « Liste de sous-traitants », du formulaire</w:t>
            </w:r>
            <w:r w:rsidRPr="004E4188">
              <w:rPr>
                <w:noProof/>
                <w:sz w:val="21"/>
                <w:szCs w:val="21"/>
                <w:lang w:eastAsia="ja-JP"/>
              </w:rPr>
              <w:t xml:space="preserve"> </w:t>
            </w:r>
            <w:r w:rsidRPr="004E4188">
              <w:rPr>
                <w:noProof/>
                <w:szCs w:val="24"/>
                <w:lang w:eastAsia="ja-JP"/>
              </w:rPr>
              <w:t xml:space="preserve">GAR et des formulaires PER-1 Personnel proposé, PER-2 Curriculum vitae du personnel proposé et EQU </w:t>
            </w:r>
            <w:r w:rsidRPr="004E4188">
              <w:rPr>
                <w:szCs w:val="24"/>
              </w:rPr>
              <w:t>É</w:t>
            </w:r>
            <w:r w:rsidRPr="004E4188">
              <w:rPr>
                <w:noProof/>
                <w:szCs w:val="24"/>
                <w:lang w:eastAsia="ja-JP"/>
              </w:rPr>
              <w:t>quipement de construction) ;</w:t>
            </w:r>
          </w:p>
          <w:p w14:paraId="322FB6E6" w14:textId="77777777" w:rsidR="008F1DFA" w:rsidRPr="004E4188" w:rsidRDefault="008F1DFA" w:rsidP="00F404AB">
            <w:pPr>
              <w:tabs>
                <w:tab w:val="left" w:pos="426"/>
              </w:tabs>
              <w:ind w:left="426" w:hanging="426"/>
              <w:rPr>
                <w:noProof/>
                <w:szCs w:val="24"/>
                <w:lang w:eastAsia="ja-JP"/>
              </w:rPr>
            </w:pPr>
            <w:r w:rsidRPr="004E4188">
              <w:rPr>
                <w:noProof/>
                <w:szCs w:val="24"/>
                <w:lang w:eastAsia="ja-JP"/>
              </w:rPr>
              <w:t>(d)</w:t>
            </w:r>
            <w:r w:rsidRPr="004E4188">
              <w:rPr>
                <w:noProof/>
                <w:szCs w:val="24"/>
                <w:lang w:eastAsia="ja-JP"/>
              </w:rPr>
              <w:tab/>
              <w:t>le formulaire CON Antécédents de non-exécution de marchés et litiges (renseignements nécessaires sur les années conformément aux critères de préqualification ou à la Section III, Critères d’évaluation et de qualification, selon le cas) ;</w:t>
            </w:r>
          </w:p>
          <w:p w14:paraId="6B885C49" w14:textId="77777777" w:rsidR="008F1DFA" w:rsidRPr="004E4188" w:rsidRDefault="008F1DFA" w:rsidP="00F404AB">
            <w:pPr>
              <w:tabs>
                <w:tab w:val="left" w:pos="426"/>
              </w:tabs>
              <w:ind w:left="426" w:hanging="426"/>
              <w:rPr>
                <w:noProof/>
                <w:szCs w:val="24"/>
                <w:lang w:eastAsia="ja-JP"/>
              </w:rPr>
            </w:pPr>
            <w:r w:rsidRPr="004E4188">
              <w:rPr>
                <w:noProof/>
                <w:szCs w:val="24"/>
                <w:lang w:eastAsia="ja-JP"/>
              </w:rPr>
              <w:t>(e)</w:t>
            </w:r>
            <w:r w:rsidRPr="004E4188">
              <w:rPr>
                <w:noProof/>
                <w:szCs w:val="24"/>
                <w:lang w:eastAsia="ja-JP"/>
              </w:rPr>
              <w:tab/>
              <w:t>le formulaire REC Reconnaissance du respect des Directives pour les passations de marchés sous financement par Prêts APD du Japon.</w:t>
            </w:r>
          </w:p>
          <w:p w14:paraId="69494857" w14:textId="77777777" w:rsidR="008F1DFA" w:rsidRPr="004E4188" w:rsidRDefault="008F1DFA" w:rsidP="00F404AB">
            <w:pPr>
              <w:tabs>
                <w:tab w:val="left" w:pos="426"/>
              </w:tabs>
              <w:ind w:left="426" w:hanging="426"/>
              <w:rPr>
                <w:noProof/>
                <w:szCs w:val="24"/>
                <w:lang w:eastAsia="ja-JP"/>
              </w:rPr>
            </w:pPr>
          </w:p>
          <w:p w14:paraId="3B691A22" w14:textId="77777777" w:rsidR="008F1DFA" w:rsidRPr="004E4188" w:rsidRDefault="008F1DFA" w:rsidP="00F404AB">
            <w:pPr>
              <w:rPr>
                <w:noProof/>
                <w:szCs w:val="24"/>
                <w:lang w:eastAsia="ja-JP"/>
              </w:rPr>
            </w:pPr>
            <w:r w:rsidRPr="004E4188">
              <w:rPr>
                <w:noProof/>
                <w:szCs w:val="24"/>
                <w:lang w:eastAsia="ja-JP"/>
              </w:rPr>
              <w:t>Les notes « en encadré » susmentionnées doivent être retirées du Dossier d’appel d’offres qui sera remis aux Soumissionnaires.</w:t>
            </w:r>
          </w:p>
          <w:p w14:paraId="4A1C4CBD" w14:textId="77777777" w:rsidR="008F1DFA" w:rsidRPr="004E4188" w:rsidRDefault="008F1DFA" w:rsidP="00F404AB">
            <w:pPr>
              <w:rPr>
                <w:noProof/>
                <w:szCs w:val="24"/>
                <w:lang w:eastAsia="ja-JP"/>
              </w:rPr>
            </w:pPr>
          </w:p>
          <w:p w14:paraId="3AB8C5F4" w14:textId="77777777" w:rsidR="008F1DFA" w:rsidRPr="004E4188" w:rsidRDefault="008F1DFA" w:rsidP="00F404AB">
            <w:pPr>
              <w:rPr>
                <w:noProof/>
                <w:szCs w:val="24"/>
                <w:lang w:eastAsia="ja-JP"/>
              </w:rPr>
            </w:pPr>
            <w:r w:rsidRPr="004E4188">
              <w:rPr>
                <w:noProof/>
                <w:szCs w:val="24"/>
                <w:lang w:eastAsia="ja-JP"/>
              </w:rPr>
              <w:t>Des notes en italique donnent uniquement pour le Soumissionnaire des directives et des instructions (pas expressément adressées au Maître d’ouvrage) à propos des données à remplir dans les formulaires respectifs. Celles-ci ne seront ni complétées ni modifiées par le Maître d’ouvrage.</w:t>
            </w:r>
          </w:p>
          <w:p w14:paraId="5D8EEC91" w14:textId="77777777" w:rsidR="008F1DFA" w:rsidRPr="004E4188" w:rsidRDefault="008F1DFA" w:rsidP="00F404AB">
            <w:pPr>
              <w:rPr>
                <w:noProof/>
                <w:szCs w:val="24"/>
                <w:lang w:eastAsia="ja-JP"/>
              </w:rPr>
            </w:pPr>
          </w:p>
          <w:p w14:paraId="4F166917" w14:textId="77777777" w:rsidR="008F1DFA" w:rsidRPr="004E4188" w:rsidRDefault="008F1DFA" w:rsidP="00F404AB">
            <w:pPr>
              <w:spacing w:after="120"/>
              <w:rPr>
                <w:noProof/>
                <w:szCs w:val="24"/>
                <w:lang w:eastAsia="ja-JP"/>
              </w:rPr>
            </w:pPr>
            <w:r w:rsidRPr="004E4188">
              <w:rPr>
                <w:noProof/>
                <w:szCs w:val="24"/>
                <w:lang w:eastAsia="ja-JP"/>
              </w:rPr>
              <w:t>Les « </w:t>
            </w:r>
            <w:r w:rsidRPr="004E4188">
              <w:rPr>
                <w:i/>
                <w:noProof/>
                <w:szCs w:val="24"/>
                <w:lang w:eastAsia="ja-JP"/>
              </w:rPr>
              <w:t>Notes à l’intention des Soumissionnaires</w:t>
            </w:r>
            <w:r w:rsidRPr="004E4188">
              <w:rPr>
                <w:noProof/>
                <w:szCs w:val="24"/>
                <w:lang w:eastAsia="ja-JP"/>
              </w:rPr>
              <w:t> », incluses dans cette Section IV, devront être incorporées dans le Dossier d’appel d’offres préparé qui sera remis aux Soumissionnaires.</w:t>
            </w:r>
          </w:p>
        </w:tc>
      </w:tr>
    </w:tbl>
    <w:p w14:paraId="587EE4A7" w14:textId="77777777" w:rsidR="008F1DFA" w:rsidRPr="004E4188" w:rsidRDefault="008F1DFA" w:rsidP="008F1DFA">
      <w:pPr>
        <w:suppressAutoHyphens w:val="0"/>
        <w:overflowPunct/>
        <w:autoSpaceDE/>
        <w:autoSpaceDN/>
        <w:adjustRightInd/>
        <w:spacing w:line="360" w:lineRule="auto"/>
        <w:jc w:val="center"/>
        <w:textAlignment w:val="auto"/>
        <w:rPr>
          <w:b/>
          <w:noProof/>
          <w:sz w:val="44"/>
          <w:szCs w:val="44"/>
          <w:lang w:eastAsia="en-US"/>
        </w:rPr>
        <w:sectPr w:rsidR="008F1DFA" w:rsidRPr="004E4188" w:rsidSect="008F1DFA">
          <w:headerReference w:type="default" r:id="rId76"/>
          <w:footnotePr>
            <w:numRestart w:val="eachPage"/>
          </w:footnotePr>
          <w:type w:val="oddPage"/>
          <w:pgSz w:w="12240" w:h="15840" w:code="1"/>
          <w:pgMar w:top="1440" w:right="1440" w:bottom="1440" w:left="1797" w:header="720" w:footer="720" w:gutter="0"/>
          <w:cols w:space="720"/>
        </w:sectPr>
      </w:pPr>
    </w:p>
    <w:p w14:paraId="36BE2989" w14:textId="77777777" w:rsidR="007049A5" w:rsidRPr="004E4188" w:rsidRDefault="007049A5" w:rsidP="003A25BD">
      <w:pPr>
        <w:pStyle w:val="2"/>
        <w:rPr>
          <w:b w:val="0"/>
          <w:noProof/>
          <w:sz w:val="44"/>
          <w:szCs w:val="44"/>
          <w:lang w:val="fr-FR"/>
        </w:rPr>
      </w:pPr>
      <w:bookmarkStart w:id="449" w:name="_Toc494778738"/>
      <w:r w:rsidRPr="004E4188">
        <w:rPr>
          <w:b w:val="0"/>
          <w:noProof/>
          <w:sz w:val="44"/>
          <w:szCs w:val="44"/>
          <w:lang w:val="fr-FR"/>
        </w:rPr>
        <w:t>Section IV.</w:t>
      </w:r>
      <w:r w:rsidRPr="004E4188">
        <w:rPr>
          <w:b w:val="0"/>
          <w:noProof/>
          <w:sz w:val="44"/>
          <w:szCs w:val="44"/>
          <w:lang w:val="fr-FR" w:eastAsia="ja-JP"/>
        </w:rPr>
        <w:t xml:space="preserve"> </w:t>
      </w:r>
      <w:r w:rsidRPr="004E4188">
        <w:rPr>
          <w:b w:val="0"/>
          <w:noProof/>
          <w:sz w:val="44"/>
          <w:szCs w:val="44"/>
          <w:lang w:val="fr-FR"/>
        </w:rPr>
        <w:t>Formulaires de soumission</w:t>
      </w:r>
    </w:p>
    <w:p w14:paraId="384C3992" w14:textId="77777777" w:rsidR="007049A5" w:rsidRPr="004E4188" w:rsidRDefault="007049A5" w:rsidP="006C6267">
      <w:pPr>
        <w:suppressAutoHyphens w:val="0"/>
        <w:overflowPunct/>
        <w:autoSpaceDE/>
        <w:autoSpaceDN/>
        <w:adjustRightInd/>
        <w:textAlignment w:val="auto"/>
        <w:rPr>
          <w:noProof/>
          <w:lang w:eastAsia="en-US"/>
        </w:rPr>
      </w:pPr>
      <w:r w:rsidRPr="004E4188">
        <w:rPr>
          <w:noProof/>
          <w:lang w:eastAsia="en-US"/>
        </w:rPr>
        <w:t>Les formulaires compris dans cette section doivent être complétés par le Soumissionnaire conformément aux directives et instructions données dans cette section et les autres sections du Dossier d’appel d’offres, et soumis dans le cadre de son Offre Technique et son Offre Financière (dans le cas d’une procédure à une étape-deux enveloppes) ou de son offre de la première étape et son offre de la deuxième étape (dans le cas d’une procédure à deux étapes-une enveloppe) comme indiqué dans le tableau ci-dessous :</w:t>
      </w:r>
    </w:p>
    <w:p w14:paraId="5F4976D8" w14:textId="77777777" w:rsidR="007049A5" w:rsidRPr="004E4188" w:rsidRDefault="007049A5" w:rsidP="006C6267">
      <w:pPr>
        <w:suppressAutoHyphens w:val="0"/>
        <w:overflowPunct/>
        <w:autoSpaceDE/>
        <w:autoSpaceDN/>
        <w:adjustRightInd/>
        <w:textAlignment w:val="auto"/>
        <w:rPr>
          <w:szCs w:val="24"/>
          <w:lang w:eastAsia="en-US"/>
        </w:rPr>
      </w:pPr>
    </w:p>
    <w:tbl>
      <w:tblPr>
        <w:tblW w:w="9356" w:type="dxa"/>
        <w:tblInd w:w="-157" w:type="dxa"/>
        <w:tblLayout w:type="fixed"/>
        <w:tblLook w:val="0000" w:firstRow="0" w:lastRow="0" w:firstColumn="0" w:lastColumn="0" w:noHBand="0" w:noVBand="0"/>
      </w:tblPr>
      <w:tblGrid>
        <w:gridCol w:w="500"/>
        <w:gridCol w:w="635"/>
        <w:gridCol w:w="3541"/>
        <w:gridCol w:w="567"/>
        <w:gridCol w:w="567"/>
        <w:gridCol w:w="3446"/>
        <w:gridCol w:w="100"/>
      </w:tblGrid>
      <w:tr w:rsidR="007049A5" w:rsidRPr="004E4188" w14:paraId="073055DB" w14:textId="77777777" w:rsidTr="006C6267">
        <w:trPr>
          <w:trHeight w:val="709"/>
        </w:trPr>
        <w:tc>
          <w:tcPr>
            <w:tcW w:w="9356" w:type="dxa"/>
            <w:gridSpan w:val="7"/>
            <w:tcBorders>
              <w:top w:val="single" w:sz="12" w:space="0" w:color="auto"/>
              <w:left w:val="single" w:sz="12" w:space="0" w:color="auto"/>
              <w:bottom w:val="single" w:sz="8" w:space="0" w:color="auto"/>
              <w:right w:val="single" w:sz="12" w:space="0" w:color="auto"/>
            </w:tcBorders>
            <w:vAlign w:val="center"/>
          </w:tcPr>
          <w:p w14:paraId="20613063" w14:textId="77777777" w:rsidR="007049A5" w:rsidRPr="004E4188" w:rsidRDefault="007049A5" w:rsidP="006C6267">
            <w:pPr>
              <w:suppressAutoHyphens w:val="0"/>
              <w:overflowPunct/>
              <w:autoSpaceDE/>
              <w:autoSpaceDN/>
              <w:adjustRightInd/>
              <w:spacing w:before="20" w:after="20" w:line="240" w:lineRule="exact"/>
              <w:ind w:left="274" w:hanging="274"/>
              <w:jc w:val="center"/>
              <w:textAlignment w:val="auto"/>
              <w:rPr>
                <w:b/>
                <w:noProof/>
                <w:szCs w:val="24"/>
                <w:lang w:eastAsia="en-US"/>
              </w:rPr>
            </w:pPr>
            <w:r w:rsidRPr="004E4188">
              <w:rPr>
                <w:b/>
                <w:noProof/>
                <w:szCs w:val="24"/>
                <w:lang w:eastAsia="en-US"/>
              </w:rPr>
              <w:t>L’offre</w:t>
            </w:r>
          </w:p>
          <w:p w14:paraId="4B89F95E" w14:textId="77777777" w:rsidR="007049A5" w:rsidRPr="004E4188" w:rsidRDefault="007049A5" w:rsidP="006C6267">
            <w:pPr>
              <w:suppressAutoHyphens w:val="0"/>
              <w:overflowPunct/>
              <w:autoSpaceDE/>
              <w:autoSpaceDN/>
              <w:adjustRightInd/>
              <w:spacing w:before="20" w:after="20" w:line="240" w:lineRule="exact"/>
              <w:ind w:left="274" w:hanging="274"/>
              <w:jc w:val="center"/>
              <w:textAlignment w:val="auto"/>
              <w:rPr>
                <w:noProof/>
                <w:lang w:eastAsia="en-US"/>
              </w:rPr>
            </w:pPr>
            <w:r w:rsidRPr="004E4188">
              <w:rPr>
                <w:b/>
                <w:noProof/>
                <w:szCs w:val="24"/>
                <w:lang w:eastAsia="en-US"/>
              </w:rPr>
              <w:t>Remise par le Soumissionnaire</w:t>
            </w:r>
          </w:p>
        </w:tc>
      </w:tr>
      <w:tr w:rsidR="007049A5" w:rsidRPr="004E4188" w14:paraId="47549395"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76" w:type="dxa"/>
            <w:gridSpan w:val="3"/>
            <w:tcBorders>
              <w:top w:val="single" w:sz="12" w:space="0" w:color="auto"/>
              <w:left w:val="single" w:sz="12" w:space="0" w:color="auto"/>
              <w:bottom w:val="single" w:sz="12" w:space="0" w:color="auto"/>
            </w:tcBorders>
            <w:shd w:val="clear" w:color="auto" w:fill="auto"/>
            <w:vAlign w:val="center"/>
          </w:tcPr>
          <w:p w14:paraId="645A69B4" w14:textId="77777777" w:rsidR="007049A5" w:rsidRPr="004E4188" w:rsidRDefault="007049A5" w:rsidP="006C6267">
            <w:pPr>
              <w:suppressAutoHyphens w:val="0"/>
              <w:overflowPunct/>
              <w:spacing w:before="20" w:after="20" w:line="240" w:lineRule="exact"/>
              <w:ind w:left="259" w:hanging="259"/>
              <w:jc w:val="center"/>
              <w:textAlignment w:val="auto"/>
              <w:rPr>
                <w:b/>
                <w:noProof/>
                <w:szCs w:val="24"/>
                <w:lang w:eastAsia="ja-JP"/>
              </w:rPr>
            </w:pPr>
            <w:r w:rsidRPr="004E4188">
              <w:rPr>
                <w:b/>
                <w:noProof/>
                <w:szCs w:val="24"/>
                <w:lang w:eastAsia="ja-JP"/>
              </w:rPr>
              <w:t>Procédure à une étape-deux enveloppes</w:t>
            </w:r>
          </w:p>
        </w:tc>
        <w:tc>
          <w:tcPr>
            <w:tcW w:w="4680" w:type="dxa"/>
            <w:gridSpan w:val="4"/>
            <w:tcBorders>
              <w:top w:val="single" w:sz="12" w:space="0" w:color="auto"/>
              <w:bottom w:val="single" w:sz="12" w:space="0" w:color="auto"/>
              <w:right w:val="single" w:sz="12" w:space="0" w:color="auto"/>
            </w:tcBorders>
            <w:shd w:val="clear" w:color="auto" w:fill="auto"/>
            <w:vAlign w:val="center"/>
          </w:tcPr>
          <w:p w14:paraId="7B96129A" w14:textId="77777777" w:rsidR="007049A5" w:rsidRPr="004E4188" w:rsidRDefault="007049A5" w:rsidP="006C6267">
            <w:pPr>
              <w:suppressAutoHyphens w:val="0"/>
              <w:overflowPunct/>
              <w:spacing w:before="20" w:after="20" w:line="240" w:lineRule="exact"/>
              <w:jc w:val="center"/>
              <w:textAlignment w:val="auto"/>
              <w:outlineLvl w:val="0"/>
              <w:rPr>
                <w:b/>
                <w:noProof/>
                <w:szCs w:val="24"/>
                <w:lang w:eastAsia="ja-JP"/>
              </w:rPr>
            </w:pPr>
            <w:r w:rsidRPr="004E4188">
              <w:rPr>
                <w:b/>
                <w:noProof/>
                <w:szCs w:val="24"/>
                <w:lang w:eastAsia="ja-JP"/>
              </w:rPr>
              <w:t>Procédure à deux étapes-une enveloppe</w:t>
            </w:r>
          </w:p>
        </w:tc>
      </w:tr>
      <w:tr w:rsidR="007049A5" w:rsidRPr="004E4188" w14:paraId="0338A98A"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676" w:type="dxa"/>
            <w:gridSpan w:val="3"/>
            <w:tcBorders>
              <w:top w:val="single" w:sz="12" w:space="0" w:color="auto"/>
              <w:left w:val="single" w:sz="12" w:space="0" w:color="auto"/>
              <w:bottom w:val="nil"/>
            </w:tcBorders>
            <w:shd w:val="clear" w:color="auto" w:fill="auto"/>
            <w:vAlign w:val="center"/>
          </w:tcPr>
          <w:p w14:paraId="12AE9BDD" w14:textId="77777777" w:rsidR="007049A5" w:rsidRPr="004E4188" w:rsidRDefault="007049A5" w:rsidP="00BE3AC0">
            <w:pPr>
              <w:suppressAutoHyphens w:val="0"/>
              <w:overflowPunct/>
              <w:snapToGrid w:val="0"/>
              <w:spacing w:before="120" w:after="120" w:line="240" w:lineRule="exact"/>
              <w:ind w:left="259" w:hanging="259"/>
              <w:textAlignment w:val="auto"/>
              <w:rPr>
                <w:b/>
                <w:noProof/>
                <w:sz w:val="21"/>
                <w:szCs w:val="21"/>
                <w:u w:val="single"/>
                <w:lang w:eastAsia="ja-JP"/>
              </w:rPr>
            </w:pPr>
            <w:r w:rsidRPr="004E4188">
              <w:rPr>
                <w:b/>
                <w:noProof/>
                <w:sz w:val="21"/>
                <w:szCs w:val="21"/>
                <w:u w:val="single"/>
                <w:lang w:eastAsia="ja-JP"/>
              </w:rPr>
              <w:t>Offre Technique</w:t>
            </w:r>
          </w:p>
        </w:tc>
        <w:tc>
          <w:tcPr>
            <w:tcW w:w="4680" w:type="dxa"/>
            <w:gridSpan w:val="4"/>
            <w:tcBorders>
              <w:top w:val="single" w:sz="12" w:space="0" w:color="auto"/>
              <w:bottom w:val="nil"/>
              <w:right w:val="single" w:sz="12" w:space="0" w:color="auto"/>
            </w:tcBorders>
            <w:shd w:val="clear" w:color="auto" w:fill="auto"/>
            <w:vAlign w:val="center"/>
          </w:tcPr>
          <w:p w14:paraId="4F9E33DE" w14:textId="77777777" w:rsidR="007049A5" w:rsidRPr="004E4188" w:rsidRDefault="007049A5" w:rsidP="00BE3AC0">
            <w:pPr>
              <w:suppressAutoHyphens w:val="0"/>
              <w:overflowPunct/>
              <w:snapToGrid w:val="0"/>
              <w:spacing w:before="120" w:after="120" w:line="240" w:lineRule="exact"/>
              <w:textAlignment w:val="auto"/>
              <w:outlineLvl w:val="0"/>
              <w:rPr>
                <w:b/>
                <w:noProof/>
                <w:sz w:val="21"/>
                <w:szCs w:val="21"/>
                <w:u w:val="single"/>
                <w:lang w:eastAsia="ja-JP"/>
              </w:rPr>
            </w:pPr>
            <w:r w:rsidRPr="004E4188">
              <w:rPr>
                <w:b/>
                <w:noProof/>
                <w:sz w:val="21"/>
                <w:szCs w:val="21"/>
                <w:u w:val="single"/>
                <w:lang w:eastAsia="ja-JP"/>
              </w:rPr>
              <w:t>Offre de la première étape</w:t>
            </w:r>
          </w:p>
        </w:tc>
      </w:tr>
      <w:tr w:rsidR="007049A5" w:rsidRPr="004E4188" w14:paraId="2E4E0F1C"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2FCCB71A"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(a)</w:t>
            </w:r>
          </w:p>
        </w:tc>
        <w:tc>
          <w:tcPr>
            <w:tcW w:w="4176" w:type="dxa"/>
            <w:gridSpan w:val="2"/>
            <w:tcBorders>
              <w:top w:val="nil"/>
              <w:left w:val="nil"/>
              <w:bottom w:val="nil"/>
            </w:tcBorders>
            <w:shd w:val="clear" w:color="auto" w:fill="auto"/>
          </w:tcPr>
          <w:p w14:paraId="5B991B1D" w14:textId="77777777" w:rsidR="007049A5" w:rsidRPr="004E4188" w:rsidRDefault="007049A5" w:rsidP="006C6267">
            <w:pPr>
              <w:suppressAutoHyphens w:val="0"/>
              <w:overflowPunct/>
              <w:spacing w:before="20" w:after="20" w:line="240" w:lineRule="exact"/>
              <w:textAlignment w:val="auto"/>
              <w:rPr>
                <w:b/>
                <w:noProof/>
                <w:sz w:val="21"/>
                <w:szCs w:val="21"/>
                <w:lang w:eastAsia="ja-JP"/>
              </w:rPr>
            </w:pPr>
            <w:r w:rsidRPr="004E4188">
              <w:rPr>
                <w:noProof/>
                <w:sz w:val="21"/>
                <w:szCs w:val="21"/>
                <w:lang w:eastAsia="en-US"/>
              </w:rPr>
              <w:t>La</w:t>
            </w:r>
            <w:r w:rsidRPr="004E4188">
              <w:rPr>
                <w:b/>
                <w:noProof/>
                <w:sz w:val="21"/>
                <w:szCs w:val="21"/>
                <w:lang w:eastAsia="en-US"/>
              </w:rPr>
              <w:t xml:space="preserve"> Lettre de soumission de l’Offre Technique</w:t>
            </w:r>
            <w:r w:rsidRPr="004E4188">
              <w:rPr>
                <w:noProof/>
                <w:sz w:val="21"/>
                <w:szCs w:val="21"/>
                <w:lang w:eastAsia="en-US"/>
              </w:rPr>
              <w:t xml:space="preserve"> établie conformément à IS 12.1.</w:t>
            </w:r>
          </w:p>
        </w:tc>
        <w:tc>
          <w:tcPr>
            <w:tcW w:w="567" w:type="dxa"/>
            <w:tcBorders>
              <w:top w:val="nil"/>
              <w:bottom w:val="nil"/>
              <w:right w:val="nil"/>
            </w:tcBorders>
            <w:shd w:val="clear" w:color="auto" w:fill="auto"/>
          </w:tcPr>
          <w:p w14:paraId="1BB220FF"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(a)</w:t>
            </w:r>
          </w:p>
        </w:tc>
        <w:tc>
          <w:tcPr>
            <w:tcW w:w="4113" w:type="dxa"/>
            <w:gridSpan w:val="3"/>
            <w:tcBorders>
              <w:top w:val="nil"/>
              <w:left w:val="nil"/>
              <w:bottom w:val="nil"/>
              <w:right w:val="single" w:sz="12" w:space="0" w:color="auto"/>
            </w:tcBorders>
            <w:shd w:val="clear" w:color="auto" w:fill="auto"/>
          </w:tcPr>
          <w:p w14:paraId="1BA89AF9" w14:textId="77777777" w:rsidR="007049A5" w:rsidRPr="004E4188" w:rsidRDefault="007049A5" w:rsidP="006C6267">
            <w:pPr>
              <w:suppressAutoHyphens w:val="0"/>
              <w:overflowPunct/>
              <w:spacing w:before="20" w:after="20" w:line="240" w:lineRule="exact"/>
              <w:textAlignment w:val="auto"/>
              <w:outlineLvl w:val="0"/>
              <w:rPr>
                <w:noProof/>
                <w:sz w:val="21"/>
                <w:szCs w:val="21"/>
                <w:lang w:eastAsia="ja-JP"/>
              </w:rPr>
            </w:pPr>
            <w:r w:rsidRPr="004E4188">
              <w:rPr>
                <w:bCs/>
                <w:noProof/>
                <w:kern w:val="28"/>
                <w:sz w:val="21"/>
                <w:szCs w:val="21"/>
                <w:lang w:eastAsia="en-US"/>
              </w:rPr>
              <w:t>La</w:t>
            </w:r>
            <w:r w:rsidRPr="004E4188">
              <w:rPr>
                <w:b/>
                <w:bCs/>
                <w:noProof/>
                <w:kern w:val="28"/>
                <w:sz w:val="21"/>
                <w:szCs w:val="21"/>
                <w:lang w:eastAsia="en-US"/>
              </w:rPr>
              <w:t xml:space="preserve"> Lettre de soumission de l’offre de la première étape</w:t>
            </w:r>
            <w:r w:rsidRPr="004E4188">
              <w:rPr>
                <w:bCs/>
                <w:noProof/>
                <w:kern w:val="28"/>
                <w:sz w:val="21"/>
                <w:szCs w:val="21"/>
                <w:lang w:eastAsia="en-US"/>
              </w:rPr>
              <w:t>, établie conformément à IS 12.1.</w:t>
            </w:r>
          </w:p>
        </w:tc>
      </w:tr>
      <w:tr w:rsidR="007049A5" w:rsidRPr="004E4188" w14:paraId="59CDF7D4"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03A6780C" w14:textId="77777777" w:rsidR="007049A5" w:rsidRPr="004E4188" w:rsidRDefault="007049A5" w:rsidP="006C6267">
            <w:pPr>
              <w:suppressAutoHyphens w:val="0"/>
              <w:overflowPunct/>
              <w:autoSpaceDE/>
              <w:autoSpaceDN/>
              <w:adjustRightInd/>
              <w:spacing w:before="20" w:after="20" w:line="240" w:lineRule="exact"/>
              <w:jc w:val="center"/>
              <w:textAlignment w:val="auto"/>
              <w:rPr>
                <w:noProof/>
                <w:sz w:val="21"/>
                <w:szCs w:val="21"/>
                <w:lang w:eastAsia="en-US"/>
              </w:rPr>
            </w:pPr>
            <w:r w:rsidRPr="004E4188">
              <w:rPr>
                <w:noProof/>
                <w:sz w:val="21"/>
                <w:szCs w:val="21"/>
                <w:lang w:eastAsia="ja-JP"/>
              </w:rPr>
              <w:t>(b)</w:t>
            </w:r>
          </w:p>
        </w:tc>
        <w:tc>
          <w:tcPr>
            <w:tcW w:w="4176" w:type="dxa"/>
            <w:gridSpan w:val="2"/>
            <w:tcBorders>
              <w:top w:val="nil"/>
              <w:left w:val="nil"/>
              <w:bottom w:val="nil"/>
            </w:tcBorders>
            <w:shd w:val="clear" w:color="auto" w:fill="auto"/>
          </w:tcPr>
          <w:p w14:paraId="245813CA" w14:textId="77777777" w:rsidR="007049A5" w:rsidRPr="004E4188" w:rsidRDefault="007049A5" w:rsidP="006C6267">
            <w:pPr>
              <w:suppressAutoHyphens w:val="0"/>
              <w:overflowPunct/>
              <w:spacing w:before="20" w:after="20" w:line="240" w:lineRule="exact"/>
              <w:textAlignment w:val="auto"/>
              <w:rPr>
                <w:noProof/>
                <w:sz w:val="21"/>
                <w:szCs w:val="21"/>
                <w:u w:val="single"/>
                <w:lang w:eastAsia="ja-JP"/>
              </w:rPr>
            </w:pPr>
            <w:r w:rsidRPr="004E4188">
              <w:rPr>
                <w:noProof/>
                <w:sz w:val="21"/>
                <w:szCs w:val="21"/>
                <w:lang w:eastAsia="en-US"/>
              </w:rPr>
              <w:t xml:space="preserve">La </w:t>
            </w:r>
            <w:r w:rsidRPr="004E4188">
              <w:rPr>
                <w:b/>
                <w:noProof/>
                <w:sz w:val="21"/>
                <w:szCs w:val="21"/>
                <w:lang w:eastAsia="en-US"/>
              </w:rPr>
              <w:t>garantie de soumission</w:t>
            </w:r>
            <w:r w:rsidRPr="004E4188">
              <w:rPr>
                <w:noProof/>
                <w:sz w:val="21"/>
                <w:szCs w:val="21"/>
                <w:lang w:eastAsia="en-US"/>
              </w:rPr>
              <w:t xml:space="preserve"> établie conformément à IS 19.</w:t>
            </w:r>
          </w:p>
        </w:tc>
        <w:tc>
          <w:tcPr>
            <w:tcW w:w="567" w:type="dxa"/>
            <w:tcBorders>
              <w:top w:val="nil"/>
              <w:bottom w:val="nil"/>
              <w:right w:val="nil"/>
            </w:tcBorders>
            <w:shd w:val="clear" w:color="auto" w:fill="auto"/>
          </w:tcPr>
          <w:p w14:paraId="61FC0565"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p>
        </w:tc>
        <w:tc>
          <w:tcPr>
            <w:tcW w:w="4113" w:type="dxa"/>
            <w:gridSpan w:val="3"/>
            <w:tcBorders>
              <w:top w:val="nil"/>
              <w:left w:val="nil"/>
              <w:bottom w:val="nil"/>
              <w:right w:val="single" w:sz="12" w:space="0" w:color="auto"/>
            </w:tcBorders>
            <w:shd w:val="clear" w:color="auto" w:fill="auto"/>
          </w:tcPr>
          <w:p w14:paraId="1C67EBCE" w14:textId="77777777" w:rsidR="007049A5" w:rsidRPr="004E4188" w:rsidRDefault="007049A5" w:rsidP="006C6267">
            <w:pPr>
              <w:suppressAutoHyphens w:val="0"/>
              <w:overflowPunct/>
              <w:spacing w:before="20" w:after="20" w:line="240" w:lineRule="exact"/>
              <w:textAlignment w:val="auto"/>
              <w:rPr>
                <w:noProof/>
                <w:sz w:val="21"/>
                <w:szCs w:val="21"/>
                <w:lang w:eastAsia="ja-JP"/>
              </w:rPr>
            </w:pPr>
          </w:p>
        </w:tc>
      </w:tr>
      <w:tr w:rsidR="007049A5" w:rsidRPr="004E4188" w14:paraId="2D5EB8CD"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4DA9707C" w14:textId="77777777" w:rsidR="007049A5" w:rsidRPr="004E4188" w:rsidRDefault="007049A5" w:rsidP="006C6267">
            <w:pPr>
              <w:suppressAutoHyphens w:val="0"/>
              <w:overflowPunct/>
              <w:autoSpaceDE/>
              <w:autoSpaceDN/>
              <w:adjustRightInd/>
              <w:spacing w:before="20" w:after="20" w:line="240" w:lineRule="exact"/>
              <w:jc w:val="center"/>
              <w:textAlignment w:val="auto"/>
              <w:rPr>
                <w:noProof/>
                <w:sz w:val="21"/>
                <w:szCs w:val="21"/>
                <w:lang w:eastAsia="en-US"/>
              </w:rPr>
            </w:pPr>
            <w:r w:rsidRPr="004E4188">
              <w:rPr>
                <w:noProof/>
                <w:sz w:val="21"/>
                <w:szCs w:val="21"/>
                <w:lang w:eastAsia="ja-JP"/>
              </w:rPr>
              <w:t>(c)</w:t>
            </w:r>
          </w:p>
        </w:tc>
        <w:tc>
          <w:tcPr>
            <w:tcW w:w="4176" w:type="dxa"/>
            <w:gridSpan w:val="2"/>
            <w:tcBorders>
              <w:top w:val="nil"/>
              <w:left w:val="nil"/>
              <w:bottom w:val="nil"/>
            </w:tcBorders>
            <w:shd w:val="clear" w:color="auto" w:fill="auto"/>
          </w:tcPr>
          <w:p w14:paraId="784D112C" w14:textId="4EE853FA" w:rsidR="007049A5" w:rsidRPr="004E4188" w:rsidRDefault="007049A5" w:rsidP="00BE3AC0">
            <w:pPr>
              <w:suppressAutoHyphens w:val="0"/>
              <w:overflowPunct/>
              <w:spacing w:before="20" w:after="20" w:line="240" w:lineRule="exact"/>
              <w:textAlignment w:val="auto"/>
              <w:rPr>
                <w:noProof/>
                <w:sz w:val="21"/>
                <w:szCs w:val="21"/>
                <w:lang w:eastAsia="ja-JP"/>
              </w:rPr>
            </w:pPr>
            <w:r w:rsidRPr="004E4188">
              <w:rPr>
                <w:noProof/>
                <w:sz w:val="21"/>
                <w:szCs w:val="21"/>
                <w:lang w:eastAsia="ja-JP"/>
              </w:rPr>
              <w:t>La procuration attestant que le signataire de l</w:t>
            </w:r>
            <w:r w:rsidR="00BE3AC0" w:rsidRPr="004E4188">
              <w:rPr>
                <w:noProof/>
                <w:sz w:val="21"/>
                <w:szCs w:val="21"/>
                <w:lang w:eastAsia="ja-JP"/>
              </w:rPr>
              <w:t>’</w:t>
            </w:r>
            <w:r w:rsidRPr="004E4188">
              <w:rPr>
                <w:noProof/>
                <w:sz w:val="21"/>
                <w:szCs w:val="21"/>
                <w:lang w:eastAsia="ja-JP"/>
              </w:rPr>
              <w:t>offre est habilité à engager le Soumissionnaire conformément à IS 20.2 et IS 20.3.</w:t>
            </w:r>
          </w:p>
        </w:tc>
        <w:tc>
          <w:tcPr>
            <w:tcW w:w="567" w:type="dxa"/>
            <w:tcBorders>
              <w:top w:val="nil"/>
              <w:bottom w:val="nil"/>
              <w:right w:val="nil"/>
            </w:tcBorders>
            <w:shd w:val="clear" w:color="auto" w:fill="auto"/>
          </w:tcPr>
          <w:p w14:paraId="3F98B3CE"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(b)</w:t>
            </w:r>
          </w:p>
        </w:tc>
        <w:tc>
          <w:tcPr>
            <w:tcW w:w="4113" w:type="dxa"/>
            <w:gridSpan w:val="3"/>
            <w:tcBorders>
              <w:top w:val="nil"/>
              <w:left w:val="nil"/>
              <w:bottom w:val="nil"/>
              <w:right w:val="single" w:sz="12" w:space="0" w:color="auto"/>
            </w:tcBorders>
            <w:shd w:val="clear" w:color="auto" w:fill="auto"/>
          </w:tcPr>
          <w:p w14:paraId="6036B230" w14:textId="5E337B14" w:rsidR="007049A5" w:rsidRPr="004E4188" w:rsidRDefault="007049A5" w:rsidP="00BE3AC0">
            <w:pPr>
              <w:suppressAutoHyphens w:val="0"/>
              <w:overflowPunct/>
              <w:spacing w:before="20" w:after="20" w:line="240" w:lineRule="exact"/>
              <w:textAlignment w:val="auto"/>
              <w:rPr>
                <w:bCs/>
                <w:noProof/>
                <w:sz w:val="21"/>
                <w:szCs w:val="21"/>
                <w:lang w:eastAsia="ja-JP"/>
              </w:rPr>
            </w:pPr>
            <w:r w:rsidRPr="004E4188">
              <w:rPr>
                <w:noProof/>
                <w:sz w:val="21"/>
                <w:szCs w:val="21"/>
                <w:lang w:eastAsia="ja-JP"/>
              </w:rPr>
              <w:t>La procuration attestant que le signataire de l</w:t>
            </w:r>
            <w:r w:rsidR="00BE3AC0" w:rsidRPr="004E4188">
              <w:rPr>
                <w:noProof/>
                <w:sz w:val="21"/>
                <w:szCs w:val="21"/>
                <w:lang w:eastAsia="ja-JP"/>
              </w:rPr>
              <w:t>’</w:t>
            </w:r>
            <w:r w:rsidRPr="004E4188">
              <w:rPr>
                <w:noProof/>
                <w:sz w:val="21"/>
                <w:szCs w:val="21"/>
                <w:lang w:eastAsia="ja-JP"/>
              </w:rPr>
              <w:t>offre est habilité à engager le Soumissionnaire conformément à IS 16.2 et IS 16.3.</w:t>
            </w:r>
          </w:p>
        </w:tc>
      </w:tr>
      <w:tr w:rsidR="007049A5" w:rsidRPr="004E4188" w14:paraId="73323456"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25E45063" w14:textId="77777777" w:rsidR="007049A5" w:rsidRPr="004E4188" w:rsidRDefault="007049A5" w:rsidP="006C6267">
            <w:pPr>
              <w:suppressAutoHyphens w:val="0"/>
              <w:overflowPunct/>
              <w:autoSpaceDE/>
              <w:autoSpaceDN/>
              <w:adjustRightInd/>
              <w:spacing w:before="20" w:after="20" w:line="240" w:lineRule="exact"/>
              <w:jc w:val="center"/>
              <w:textAlignment w:val="auto"/>
              <w:rPr>
                <w:noProof/>
                <w:sz w:val="21"/>
                <w:szCs w:val="21"/>
                <w:lang w:eastAsia="en-US"/>
              </w:rPr>
            </w:pPr>
            <w:r w:rsidRPr="004E4188">
              <w:rPr>
                <w:noProof/>
                <w:sz w:val="21"/>
                <w:szCs w:val="21"/>
                <w:lang w:eastAsia="ja-JP"/>
              </w:rPr>
              <w:t>(d)</w:t>
            </w:r>
          </w:p>
        </w:tc>
        <w:tc>
          <w:tcPr>
            <w:tcW w:w="4176" w:type="dxa"/>
            <w:gridSpan w:val="2"/>
            <w:tcBorders>
              <w:top w:val="nil"/>
              <w:left w:val="nil"/>
              <w:bottom w:val="nil"/>
            </w:tcBorders>
            <w:shd w:val="clear" w:color="auto" w:fill="auto"/>
          </w:tcPr>
          <w:p w14:paraId="42ECBD7B" w14:textId="0C01DC88" w:rsidR="007049A5" w:rsidRPr="004E4188" w:rsidRDefault="007049A5" w:rsidP="00EB7748">
            <w:pPr>
              <w:suppressAutoHyphens w:val="0"/>
              <w:overflowPunct/>
              <w:spacing w:before="20" w:after="20" w:line="240" w:lineRule="exact"/>
              <w:textAlignment w:val="auto"/>
              <w:rPr>
                <w:noProof/>
                <w:sz w:val="21"/>
                <w:szCs w:val="21"/>
                <w:lang w:eastAsia="ja-JP"/>
              </w:rPr>
            </w:pPr>
            <w:r w:rsidRPr="004E4188">
              <w:rPr>
                <w:noProof/>
                <w:sz w:val="21"/>
                <w:szCs w:val="21"/>
                <w:lang w:eastAsia="ja-JP"/>
              </w:rPr>
              <w:t xml:space="preserve">Dans le cas </w:t>
            </w:r>
            <w:r w:rsidR="00EB7748" w:rsidRPr="004E4188">
              <w:rPr>
                <w:noProof/>
                <w:sz w:val="21"/>
                <w:szCs w:val="21"/>
                <w:lang w:eastAsia="ja-JP"/>
              </w:rPr>
              <w:t>d’une offre</w:t>
            </w:r>
            <w:r w:rsidRPr="004E4188">
              <w:rPr>
                <w:noProof/>
                <w:sz w:val="21"/>
                <w:szCs w:val="21"/>
                <w:lang w:eastAsia="ja-JP"/>
              </w:rPr>
              <w:t xml:space="preserve"> soumise par un Groupement d’entreprises, </w:t>
            </w:r>
            <w:r w:rsidR="00EB7748" w:rsidRPr="004E4188">
              <w:rPr>
                <w:noProof/>
                <w:sz w:val="21"/>
                <w:szCs w:val="21"/>
                <w:lang w:eastAsia="ja-JP"/>
              </w:rPr>
              <w:t>la</w:t>
            </w:r>
            <w:r w:rsidRPr="004E4188">
              <w:rPr>
                <w:noProof/>
                <w:sz w:val="21"/>
                <w:szCs w:val="21"/>
                <w:lang w:eastAsia="ja-JP"/>
              </w:rPr>
              <w:t xml:space="preserve"> copie de l</w:t>
            </w:r>
            <w:r w:rsidR="00BE3AC0" w:rsidRPr="004E4188">
              <w:rPr>
                <w:noProof/>
                <w:sz w:val="21"/>
                <w:szCs w:val="21"/>
                <w:lang w:eastAsia="ja-JP"/>
              </w:rPr>
              <w:t>’</w:t>
            </w:r>
            <w:r w:rsidRPr="004E4188">
              <w:rPr>
                <w:noProof/>
                <w:sz w:val="21"/>
                <w:szCs w:val="21"/>
                <w:lang w:eastAsia="ja-JP"/>
              </w:rPr>
              <w:t xml:space="preserve">accord de Groupement, ou </w:t>
            </w:r>
            <w:r w:rsidR="00EB7748" w:rsidRPr="004E4188">
              <w:rPr>
                <w:noProof/>
                <w:sz w:val="21"/>
                <w:szCs w:val="21"/>
                <w:lang w:eastAsia="ja-JP"/>
              </w:rPr>
              <w:t>la</w:t>
            </w:r>
            <w:r w:rsidRPr="004E4188">
              <w:rPr>
                <w:noProof/>
                <w:sz w:val="21"/>
                <w:szCs w:val="21"/>
                <w:lang w:eastAsia="ja-JP"/>
              </w:rPr>
              <w:t xml:space="preserve"> lettre d'intention de constituer un Groupement incluant le projet d</w:t>
            </w:r>
            <w:r w:rsidR="00BE3AC0" w:rsidRPr="004E4188">
              <w:rPr>
                <w:noProof/>
                <w:sz w:val="21"/>
                <w:szCs w:val="21"/>
                <w:lang w:eastAsia="ja-JP"/>
              </w:rPr>
              <w:t>’</w:t>
            </w:r>
            <w:r w:rsidRPr="004E4188">
              <w:rPr>
                <w:noProof/>
                <w:sz w:val="21"/>
                <w:szCs w:val="21"/>
                <w:lang w:eastAsia="ja-JP"/>
              </w:rPr>
              <w:t>accord, établies conformément à IS 4.1.</w:t>
            </w:r>
          </w:p>
        </w:tc>
        <w:tc>
          <w:tcPr>
            <w:tcW w:w="567" w:type="dxa"/>
            <w:tcBorders>
              <w:top w:val="nil"/>
              <w:bottom w:val="nil"/>
              <w:right w:val="nil"/>
            </w:tcBorders>
            <w:shd w:val="clear" w:color="auto" w:fill="auto"/>
          </w:tcPr>
          <w:p w14:paraId="0F2DF785"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(c)</w:t>
            </w:r>
          </w:p>
        </w:tc>
        <w:tc>
          <w:tcPr>
            <w:tcW w:w="4113" w:type="dxa"/>
            <w:gridSpan w:val="3"/>
            <w:tcBorders>
              <w:top w:val="nil"/>
              <w:left w:val="nil"/>
              <w:bottom w:val="nil"/>
              <w:right w:val="single" w:sz="12" w:space="0" w:color="auto"/>
            </w:tcBorders>
            <w:shd w:val="clear" w:color="auto" w:fill="auto"/>
          </w:tcPr>
          <w:p w14:paraId="717D6901" w14:textId="6A530CD3" w:rsidR="007049A5" w:rsidRPr="004E4188" w:rsidRDefault="007049A5" w:rsidP="00EB7748">
            <w:pPr>
              <w:suppressAutoHyphens w:val="0"/>
              <w:overflowPunct/>
              <w:spacing w:before="20" w:after="20" w:line="240" w:lineRule="exact"/>
              <w:textAlignment w:val="auto"/>
              <w:rPr>
                <w:noProof/>
                <w:sz w:val="21"/>
                <w:szCs w:val="21"/>
                <w:lang w:eastAsia="ja-JP"/>
              </w:rPr>
            </w:pPr>
            <w:r w:rsidRPr="004E4188">
              <w:rPr>
                <w:noProof/>
                <w:sz w:val="21"/>
                <w:szCs w:val="21"/>
                <w:lang w:eastAsia="ja-JP"/>
              </w:rPr>
              <w:t xml:space="preserve">Dans le cas </w:t>
            </w:r>
            <w:r w:rsidR="00EB7748" w:rsidRPr="004E4188">
              <w:rPr>
                <w:noProof/>
                <w:sz w:val="21"/>
                <w:szCs w:val="21"/>
                <w:lang w:eastAsia="ja-JP"/>
              </w:rPr>
              <w:t>d’une offre</w:t>
            </w:r>
            <w:r w:rsidRPr="004E4188">
              <w:rPr>
                <w:noProof/>
                <w:sz w:val="21"/>
                <w:szCs w:val="21"/>
                <w:lang w:eastAsia="ja-JP"/>
              </w:rPr>
              <w:t xml:space="preserve"> soumise par un Groupement d’entreprises, </w:t>
            </w:r>
            <w:r w:rsidR="00EB7748" w:rsidRPr="004E4188">
              <w:rPr>
                <w:noProof/>
                <w:sz w:val="21"/>
                <w:szCs w:val="21"/>
                <w:lang w:eastAsia="ja-JP"/>
              </w:rPr>
              <w:t>la</w:t>
            </w:r>
            <w:r w:rsidRPr="004E4188">
              <w:rPr>
                <w:noProof/>
                <w:sz w:val="21"/>
                <w:szCs w:val="21"/>
                <w:lang w:eastAsia="ja-JP"/>
              </w:rPr>
              <w:t xml:space="preserve"> copie de l</w:t>
            </w:r>
            <w:r w:rsidR="00BE3AC0" w:rsidRPr="004E4188">
              <w:rPr>
                <w:noProof/>
                <w:sz w:val="21"/>
                <w:szCs w:val="21"/>
                <w:lang w:eastAsia="ja-JP"/>
              </w:rPr>
              <w:t>’</w:t>
            </w:r>
            <w:r w:rsidRPr="004E4188">
              <w:rPr>
                <w:noProof/>
                <w:sz w:val="21"/>
                <w:szCs w:val="21"/>
                <w:lang w:eastAsia="ja-JP"/>
              </w:rPr>
              <w:t xml:space="preserve">accord de Groupement, ou </w:t>
            </w:r>
            <w:r w:rsidR="00EB7748" w:rsidRPr="004E4188">
              <w:rPr>
                <w:noProof/>
                <w:sz w:val="21"/>
                <w:szCs w:val="21"/>
                <w:lang w:eastAsia="ja-JP"/>
              </w:rPr>
              <w:t>la</w:t>
            </w:r>
            <w:r w:rsidRPr="004E4188">
              <w:rPr>
                <w:noProof/>
                <w:sz w:val="21"/>
                <w:szCs w:val="21"/>
                <w:lang w:eastAsia="ja-JP"/>
              </w:rPr>
              <w:t xml:space="preserve"> lettre d'intention de constituer un Groupement incluant le projet d</w:t>
            </w:r>
            <w:r w:rsidR="00BE3AC0" w:rsidRPr="004E4188">
              <w:rPr>
                <w:noProof/>
                <w:sz w:val="21"/>
                <w:szCs w:val="21"/>
                <w:lang w:eastAsia="ja-JP"/>
              </w:rPr>
              <w:t>’</w:t>
            </w:r>
            <w:r w:rsidRPr="004E4188">
              <w:rPr>
                <w:noProof/>
                <w:sz w:val="21"/>
                <w:szCs w:val="21"/>
                <w:lang w:eastAsia="ja-JP"/>
              </w:rPr>
              <w:t>accord, établies conformément à IS 4.1.</w:t>
            </w:r>
          </w:p>
        </w:tc>
      </w:tr>
      <w:tr w:rsidR="007049A5" w:rsidRPr="004E4188" w14:paraId="7E1088D1"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680EB383" w14:textId="77777777" w:rsidR="007049A5" w:rsidRPr="004E4188" w:rsidRDefault="007049A5" w:rsidP="006C6267">
            <w:pPr>
              <w:suppressAutoHyphens w:val="0"/>
              <w:overflowPunct/>
              <w:autoSpaceDE/>
              <w:autoSpaceDN/>
              <w:adjustRightInd/>
              <w:spacing w:before="20" w:after="20" w:line="240" w:lineRule="exact"/>
              <w:jc w:val="center"/>
              <w:textAlignment w:val="auto"/>
              <w:rPr>
                <w:noProof/>
                <w:sz w:val="21"/>
                <w:szCs w:val="21"/>
                <w:lang w:eastAsia="en-US"/>
              </w:rPr>
            </w:pPr>
            <w:r w:rsidRPr="004E4188">
              <w:rPr>
                <w:noProof/>
                <w:sz w:val="21"/>
                <w:szCs w:val="21"/>
                <w:lang w:eastAsia="ja-JP"/>
              </w:rPr>
              <w:t>(e)</w:t>
            </w:r>
          </w:p>
        </w:tc>
        <w:tc>
          <w:tcPr>
            <w:tcW w:w="4176" w:type="dxa"/>
            <w:gridSpan w:val="2"/>
            <w:tcBorders>
              <w:top w:val="nil"/>
              <w:left w:val="nil"/>
              <w:bottom w:val="nil"/>
            </w:tcBorders>
            <w:shd w:val="clear" w:color="auto" w:fill="auto"/>
          </w:tcPr>
          <w:p w14:paraId="17099490" w14:textId="77777777" w:rsidR="007049A5" w:rsidRPr="004E4188" w:rsidRDefault="007049A5" w:rsidP="006C6267">
            <w:pPr>
              <w:suppressAutoHyphens w:val="0"/>
              <w:overflowPunct/>
              <w:spacing w:before="20" w:after="20" w:line="240" w:lineRule="exact"/>
              <w:textAlignment w:val="auto"/>
              <w:rPr>
                <w:noProof/>
                <w:sz w:val="21"/>
                <w:szCs w:val="21"/>
                <w:lang w:eastAsia="en-US"/>
              </w:rPr>
            </w:pPr>
            <w:r w:rsidRPr="004E4188">
              <w:rPr>
                <w:noProof/>
                <w:sz w:val="21"/>
                <w:szCs w:val="21"/>
                <w:lang w:eastAsia="en-US"/>
              </w:rPr>
              <w:t>Les documents attestant que le Soumissionnaire répond aux critères d’éligibilité et possède les qualifications requises pour exécuter le Marché si son offre est retenue, conformément à IS 17.</w:t>
            </w:r>
          </w:p>
        </w:tc>
        <w:tc>
          <w:tcPr>
            <w:tcW w:w="567" w:type="dxa"/>
            <w:tcBorders>
              <w:top w:val="nil"/>
              <w:bottom w:val="nil"/>
              <w:right w:val="nil"/>
            </w:tcBorders>
            <w:shd w:val="clear" w:color="auto" w:fill="auto"/>
          </w:tcPr>
          <w:p w14:paraId="65952855"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(d)</w:t>
            </w:r>
          </w:p>
        </w:tc>
        <w:tc>
          <w:tcPr>
            <w:tcW w:w="4113" w:type="dxa"/>
            <w:gridSpan w:val="3"/>
            <w:tcBorders>
              <w:top w:val="nil"/>
              <w:left w:val="nil"/>
              <w:bottom w:val="nil"/>
              <w:right w:val="single" w:sz="12" w:space="0" w:color="auto"/>
            </w:tcBorders>
            <w:shd w:val="clear" w:color="auto" w:fill="auto"/>
          </w:tcPr>
          <w:p w14:paraId="263944C9" w14:textId="77777777" w:rsidR="007049A5" w:rsidRPr="004E4188" w:rsidRDefault="007049A5" w:rsidP="006C6267">
            <w:pPr>
              <w:suppressAutoHyphens w:val="0"/>
              <w:overflowPunct/>
              <w:spacing w:before="20" w:after="20" w:line="240" w:lineRule="exact"/>
              <w:textAlignment w:val="auto"/>
              <w:rPr>
                <w:noProof/>
                <w:sz w:val="21"/>
                <w:szCs w:val="21"/>
                <w:lang w:eastAsia="ja-JP"/>
              </w:rPr>
            </w:pPr>
            <w:r w:rsidRPr="004E4188">
              <w:rPr>
                <w:noProof/>
                <w:sz w:val="21"/>
                <w:szCs w:val="21"/>
                <w:lang w:eastAsia="en-US"/>
              </w:rPr>
              <w:t>Les documents attestant que le Soumissionnaire répond aux critères d’éligibilité et possède les qualifications requises pour exécuter le Marché si son offre est retenue, conformément à IS 15.</w:t>
            </w:r>
          </w:p>
        </w:tc>
      </w:tr>
      <w:tr w:rsidR="007049A5" w:rsidRPr="004E4188" w14:paraId="40989A59"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vAlign w:val="center"/>
          </w:tcPr>
          <w:p w14:paraId="5B5DA3CC" w14:textId="77777777" w:rsidR="007049A5" w:rsidRPr="004E4188" w:rsidRDefault="007049A5" w:rsidP="006C6267">
            <w:pPr>
              <w:suppressAutoHyphens w:val="0"/>
              <w:overflowPunct/>
              <w:spacing w:before="20" w:after="20" w:line="240" w:lineRule="exact"/>
              <w:ind w:left="259" w:hanging="259"/>
              <w:jc w:val="center"/>
              <w:textAlignment w:val="auto"/>
              <w:rPr>
                <w:b/>
                <w:noProof/>
                <w:sz w:val="21"/>
                <w:szCs w:val="21"/>
                <w:lang w:eastAsia="ja-JP"/>
              </w:rPr>
            </w:pPr>
          </w:p>
        </w:tc>
        <w:tc>
          <w:tcPr>
            <w:tcW w:w="635" w:type="dxa"/>
            <w:tcBorders>
              <w:top w:val="nil"/>
              <w:left w:val="nil"/>
              <w:bottom w:val="nil"/>
              <w:right w:val="nil"/>
            </w:tcBorders>
            <w:shd w:val="clear" w:color="auto" w:fill="auto"/>
          </w:tcPr>
          <w:p w14:paraId="3261BC46"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i.</w:t>
            </w:r>
          </w:p>
        </w:tc>
        <w:tc>
          <w:tcPr>
            <w:tcW w:w="3541" w:type="dxa"/>
            <w:tcBorders>
              <w:top w:val="nil"/>
              <w:left w:val="nil"/>
              <w:bottom w:val="nil"/>
            </w:tcBorders>
            <w:shd w:val="clear" w:color="auto" w:fill="auto"/>
          </w:tcPr>
          <w:p w14:paraId="6A80AA3C" w14:textId="77777777" w:rsidR="007049A5" w:rsidRPr="004E4188" w:rsidRDefault="007049A5" w:rsidP="006C626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Formulaire ELI-1 Renseignements sur le Soumissionnaire.</w:t>
            </w:r>
          </w:p>
        </w:tc>
        <w:tc>
          <w:tcPr>
            <w:tcW w:w="567" w:type="dxa"/>
            <w:tcBorders>
              <w:top w:val="nil"/>
              <w:bottom w:val="nil"/>
              <w:right w:val="nil"/>
            </w:tcBorders>
            <w:shd w:val="clear" w:color="auto" w:fill="auto"/>
            <w:vAlign w:val="center"/>
          </w:tcPr>
          <w:p w14:paraId="650FB3B6" w14:textId="77777777" w:rsidR="007049A5" w:rsidRPr="004E4188" w:rsidRDefault="007049A5" w:rsidP="006C6267">
            <w:pPr>
              <w:suppressAutoHyphens w:val="0"/>
              <w:overflowPunct/>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266E26E2"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i.</w:t>
            </w:r>
          </w:p>
        </w:tc>
        <w:tc>
          <w:tcPr>
            <w:tcW w:w="3546" w:type="dxa"/>
            <w:gridSpan w:val="2"/>
            <w:tcBorders>
              <w:top w:val="nil"/>
              <w:left w:val="nil"/>
              <w:bottom w:val="nil"/>
              <w:right w:val="single" w:sz="12" w:space="0" w:color="auto"/>
            </w:tcBorders>
            <w:shd w:val="clear" w:color="auto" w:fill="auto"/>
          </w:tcPr>
          <w:p w14:paraId="6AD676CE" w14:textId="77777777" w:rsidR="007049A5" w:rsidRPr="004E4188" w:rsidRDefault="007049A5" w:rsidP="006C626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Formulaire ELI-1 Renseignements sur le Soumissionnaire.</w:t>
            </w:r>
          </w:p>
        </w:tc>
      </w:tr>
      <w:tr w:rsidR="007049A5" w:rsidRPr="004E4188" w14:paraId="267405FB"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vAlign w:val="center"/>
          </w:tcPr>
          <w:p w14:paraId="3966162F" w14:textId="77777777" w:rsidR="007049A5" w:rsidRPr="004E4188" w:rsidRDefault="007049A5" w:rsidP="006C6267">
            <w:pPr>
              <w:suppressAutoHyphens w:val="0"/>
              <w:overflowPunct/>
              <w:spacing w:before="20" w:after="20" w:line="240" w:lineRule="exact"/>
              <w:ind w:left="259" w:hanging="259"/>
              <w:jc w:val="center"/>
              <w:textAlignment w:val="auto"/>
              <w:rPr>
                <w:b/>
                <w:noProof/>
                <w:sz w:val="21"/>
                <w:szCs w:val="21"/>
                <w:lang w:eastAsia="ja-JP"/>
              </w:rPr>
            </w:pPr>
          </w:p>
        </w:tc>
        <w:tc>
          <w:tcPr>
            <w:tcW w:w="635" w:type="dxa"/>
            <w:tcBorders>
              <w:top w:val="nil"/>
              <w:left w:val="nil"/>
              <w:bottom w:val="nil"/>
              <w:right w:val="nil"/>
            </w:tcBorders>
            <w:shd w:val="clear" w:color="auto" w:fill="auto"/>
          </w:tcPr>
          <w:p w14:paraId="1C6DD85A"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ii.</w:t>
            </w:r>
          </w:p>
        </w:tc>
        <w:tc>
          <w:tcPr>
            <w:tcW w:w="3541" w:type="dxa"/>
            <w:tcBorders>
              <w:top w:val="nil"/>
              <w:left w:val="nil"/>
              <w:bottom w:val="nil"/>
            </w:tcBorders>
            <w:shd w:val="clear" w:color="auto" w:fill="auto"/>
          </w:tcPr>
          <w:p w14:paraId="3D11AEEA" w14:textId="77777777" w:rsidR="007049A5" w:rsidRPr="004E4188" w:rsidRDefault="007049A5" w:rsidP="006C626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Formulaire ELI-2 Renseignements sur chaque membre du Groupement.</w:t>
            </w:r>
          </w:p>
        </w:tc>
        <w:tc>
          <w:tcPr>
            <w:tcW w:w="567" w:type="dxa"/>
            <w:tcBorders>
              <w:top w:val="nil"/>
              <w:bottom w:val="nil"/>
              <w:right w:val="nil"/>
            </w:tcBorders>
            <w:shd w:val="clear" w:color="auto" w:fill="auto"/>
            <w:vAlign w:val="center"/>
          </w:tcPr>
          <w:p w14:paraId="6A702604" w14:textId="77777777" w:rsidR="007049A5" w:rsidRPr="004E4188" w:rsidRDefault="007049A5" w:rsidP="006C6267">
            <w:pPr>
              <w:suppressAutoHyphens w:val="0"/>
              <w:overflowPunct/>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6B6F4D94"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ii.</w:t>
            </w:r>
          </w:p>
        </w:tc>
        <w:tc>
          <w:tcPr>
            <w:tcW w:w="3546" w:type="dxa"/>
            <w:gridSpan w:val="2"/>
            <w:tcBorders>
              <w:top w:val="nil"/>
              <w:left w:val="nil"/>
              <w:bottom w:val="nil"/>
              <w:right w:val="single" w:sz="12" w:space="0" w:color="auto"/>
            </w:tcBorders>
            <w:shd w:val="clear" w:color="auto" w:fill="auto"/>
          </w:tcPr>
          <w:p w14:paraId="280016B6" w14:textId="77777777" w:rsidR="007049A5" w:rsidRPr="004E4188" w:rsidRDefault="007049A5" w:rsidP="006C626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Formulaire ELI-2 Renseignements sur chaque membre du Groupement.</w:t>
            </w:r>
          </w:p>
        </w:tc>
      </w:tr>
      <w:tr w:rsidR="007049A5" w:rsidRPr="004E4188" w14:paraId="3A9D161C"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vAlign w:val="center"/>
          </w:tcPr>
          <w:p w14:paraId="4C163B0F" w14:textId="77777777" w:rsidR="007049A5" w:rsidRPr="004E4188" w:rsidRDefault="007049A5" w:rsidP="006C6267">
            <w:pPr>
              <w:suppressAutoHyphens w:val="0"/>
              <w:overflowPunct/>
              <w:spacing w:before="20" w:after="20" w:line="240" w:lineRule="exact"/>
              <w:ind w:left="259" w:hanging="259"/>
              <w:jc w:val="center"/>
              <w:textAlignment w:val="auto"/>
              <w:rPr>
                <w:b/>
                <w:noProof/>
                <w:sz w:val="21"/>
                <w:szCs w:val="21"/>
                <w:lang w:eastAsia="ja-JP"/>
              </w:rPr>
            </w:pPr>
          </w:p>
        </w:tc>
        <w:tc>
          <w:tcPr>
            <w:tcW w:w="635" w:type="dxa"/>
            <w:tcBorders>
              <w:top w:val="nil"/>
              <w:left w:val="nil"/>
              <w:bottom w:val="nil"/>
              <w:right w:val="nil"/>
            </w:tcBorders>
            <w:shd w:val="clear" w:color="auto" w:fill="auto"/>
          </w:tcPr>
          <w:p w14:paraId="0BE4963A"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iii.</w:t>
            </w:r>
          </w:p>
        </w:tc>
        <w:tc>
          <w:tcPr>
            <w:tcW w:w="3541" w:type="dxa"/>
            <w:tcBorders>
              <w:top w:val="nil"/>
              <w:left w:val="nil"/>
              <w:bottom w:val="nil"/>
            </w:tcBorders>
            <w:shd w:val="clear" w:color="auto" w:fill="auto"/>
          </w:tcPr>
          <w:p w14:paraId="5B63F880" w14:textId="77777777" w:rsidR="007049A5" w:rsidRPr="004E4188" w:rsidRDefault="007049A5" w:rsidP="006C626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Formulaire ELI-3 Renseignements sur chaque sous-traitant.</w:t>
            </w:r>
          </w:p>
        </w:tc>
        <w:tc>
          <w:tcPr>
            <w:tcW w:w="567" w:type="dxa"/>
            <w:tcBorders>
              <w:top w:val="nil"/>
              <w:bottom w:val="nil"/>
              <w:right w:val="nil"/>
            </w:tcBorders>
            <w:shd w:val="clear" w:color="auto" w:fill="auto"/>
            <w:vAlign w:val="center"/>
          </w:tcPr>
          <w:p w14:paraId="254120A4" w14:textId="77777777" w:rsidR="007049A5" w:rsidRPr="004E4188" w:rsidRDefault="007049A5" w:rsidP="006C6267">
            <w:pPr>
              <w:suppressAutoHyphens w:val="0"/>
              <w:overflowPunct/>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4E8DFAC2"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iii.</w:t>
            </w:r>
          </w:p>
        </w:tc>
        <w:tc>
          <w:tcPr>
            <w:tcW w:w="3546" w:type="dxa"/>
            <w:gridSpan w:val="2"/>
            <w:tcBorders>
              <w:top w:val="nil"/>
              <w:left w:val="nil"/>
              <w:bottom w:val="nil"/>
              <w:right w:val="single" w:sz="12" w:space="0" w:color="auto"/>
            </w:tcBorders>
            <w:shd w:val="clear" w:color="auto" w:fill="auto"/>
          </w:tcPr>
          <w:p w14:paraId="37D9D3BF" w14:textId="77777777" w:rsidR="007049A5" w:rsidRPr="004E4188" w:rsidRDefault="007049A5" w:rsidP="006C626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Formulaire ELI-3 Renseignements sur chaque sous-traitant.</w:t>
            </w:r>
          </w:p>
        </w:tc>
      </w:tr>
      <w:tr w:rsidR="007049A5" w:rsidRPr="004E4188" w14:paraId="778187B1"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vAlign w:val="center"/>
          </w:tcPr>
          <w:p w14:paraId="37661434" w14:textId="77777777" w:rsidR="007049A5" w:rsidRPr="004E4188" w:rsidRDefault="007049A5" w:rsidP="006C6267">
            <w:pPr>
              <w:suppressAutoHyphens w:val="0"/>
              <w:overflowPunct/>
              <w:spacing w:before="20" w:after="20" w:line="240" w:lineRule="exact"/>
              <w:ind w:left="259" w:hanging="259"/>
              <w:jc w:val="center"/>
              <w:textAlignment w:val="auto"/>
              <w:rPr>
                <w:b/>
                <w:noProof/>
                <w:sz w:val="21"/>
                <w:szCs w:val="21"/>
                <w:lang w:eastAsia="ja-JP"/>
              </w:rPr>
            </w:pPr>
          </w:p>
        </w:tc>
        <w:tc>
          <w:tcPr>
            <w:tcW w:w="635" w:type="dxa"/>
            <w:tcBorders>
              <w:top w:val="nil"/>
              <w:left w:val="nil"/>
              <w:bottom w:val="nil"/>
              <w:right w:val="nil"/>
            </w:tcBorders>
            <w:shd w:val="clear" w:color="auto" w:fill="auto"/>
          </w:tcPr>
          <w:p w14:paraId="6221D52C"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iv.</w:t>
            </w:r>
          </w:p>
        </w:tc>
        <w:tc>
          <w:tcPr>
            <w:tcW w:w="3541" w:type="dxa"/>
            <w:tcBorders>
              <w:top w:val="nil"/>
              <w:left w:val="nil"/>
              <w:bottom w:val="nil"/>
            </w:tcBorders>
            <w:shd w:val="clear" w:color="auto" w:fill="auto"/>
          </w:tcPr>
          <w:p w14:paraId="46FBE15C" w14:textId="77777777" w:rsidR="007049A5" w:rsidRPr="004E4188" w:rsidRDefault="007049A5" w:rsidP="006C626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Formulaire CON Antécédents de non-exécution de marchés et litiges.</w:t>
            </w:r>
          </w:p>
        </w:tc>
        <w:tc>
          <w:tcPr>
            <w:tcW w:w="567" w:type="dxa"/>
            <w:tcBorders>
              <w:top w:val="nil"/>
              <w:bottom w:val="nil"/>
              <w:right w:val="nil"/>
            </w:tcBorders>
            <w:shd w:val="clear" w:color="auto" w:fill="auto"/>
            <w:vAlign w:val="center"/>
          </w:tcPr>
          <w:p w14:paraId="4801613C" w14:textId="77777777" w:rsidR="007049A5" w:rsidRPr="004E4188" w:rsidRDefault="007049A5" w:rsidP="006C6267">
            <w:pPr>
              <w:suppressAutoHyphens w:val="0"/>
              <w:overflowPunct/>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77FC1A54"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iv.</w:t>
            </w:r>
          </w:p>
        </w:tc>
        <w:tc>
          <w:tcPr>
            <w:tcW w:w="3546" w:type="dxa"/>
            <w:gridSpan w:val="2"/>
            <w:tcBorders>
              <w:top w:val="nil"/>
              <w:left w:val="nil"/>
              <w:bottom w:val="nil"/>
              <w:right w:val="single" w:sz="12" w:space="0" w:color="auto"/>
            </w:tcBorders>
            <w:shd w:val="clear" w:color="auto" w:fill="auto"/>
          </w:tcPr>
          <w:p w14:paraId="1D8AF90F" w14:textId="77777777" w:rsidR="007049A5" w:rsidRPr="004E4188" w:rsidRDefault="007049A5" w:rsidP="006C626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Formulaire CON Antécédents de non-exécution de marchés et litiges.</w:t>
            </w:r>
          </w:p>
        </w:tc>
      </w:tr>
      <w:tr w:rsidR="007049A5" w:rsidRPr="004E4188" w14:paraId="53292DF2" w14:textId="77777777" w:rsidTr="000D7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vAlign w:val="center"/>
          </w:tcPr>
          <w:p w14:paraId="3F3F89F0" w14:textId="77777777" w:rsidR="007049A5" w:rsidRPr="004E4188" w:rsidRDefault="007049A5" w:rsidP="006C6267">
            <w:pPr>
              <w:suppressAutoHyphens w:val="0"/>
              <w:overflowPunct/>
              <w:spacing w:before="20" w:after="20" w:line="240" w:lineRule="exact"/>
              <w:ind w:left="259" w:hanging="259"/>
              <w:jc w:val="center"/>
              <w:textAlignment w:val="auto"/>
              <w:rPr>
                <w:b/>
                <w:noProof/>
                <w:sz w:val="21"/>
                <w:szCs w:val="21"/>
                <w:lang w:eastAsia="ja-JP"/>
              </w:rPr>
            </w:pPr>
          </w:p>
        </w:tc>
        <w:tc>
          <w:tcPr>
            <w:tcW w:w="635" w:type="dxa"/>
            <w:tcBorders>
              <w:top w:val="nil"/>
              <w:left w:val="nil"/>
              <w:bottom w:val="nil"/>
              <w:right w:val="nil"/>
            </w:tcBorders>
            <w:shd w:val="clear" w:color="auto" w:fill="auto"/>
          </w:tcPr>
          <w:p w14:paraId="039B80C0"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v.</w:t>
            </w:r>
          </w:p>
        </w:tc>
        <w:tc>
          <w:tcPr>
            <w:tcW w:w="3541" w:type="dxa"/>
            <w:tcBorders>
              <w:top w:val="nil"/>
              <w:left w:val="nil"/>
              <w:bottom w:val="nil"/>
              <w:right w:val="single" w:sz="4" w:space="0" w:color="auto"/>
            </w:tcBorders>
            <w:shd w:val="clear" w:color="auto" w:fill="auto"/>
          </w:tcPr>
          <w:p w14:paraId="7FA700F1" w14:textId="77777777" w:rsidR="007049A5" w:rsidRPr="004E4188" w:rsidRDefault="007049A5" w:rsidP="006C626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Formulaire FIN-1 Situation financière.</w:t>
            </w:r>
          </w:p>
        </w:tc>
        <w:tc>
          <w:tcPr>
            <w:tcW w:w="567" w:type="dxa"/>
            <w:tcBorders>
              <w:top w:val="nil"/>
              <w:left w:val="single" w:sz="4" w:space="0" w:color="auto"/>
              <w:bottom w:val="nil"/>
              <w:right w:val="nil"/>
            </w:tcBorders>
            <w:shd w:val="clear" w:color="auto" w:fill="auto"/>
            <w:vAlign w:val="center"/>
          </w:tcPr>
          <w:p w14:paraId="44DC0A6C" w14:textId="77777777" w:rsidR="007049A5" w:rsidRPr="004E4188" w:rsidRDefault="007049A5" w:rsidP="006C6267">
            <w:pPr>
              <w:suppressAutoHyphens w:val="0"/>
              <w:overflowPunct/>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4888A83A"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v.</w:t>
            </w:r>
          </w:p>
        </w:tc>
        <w:tc>
          <w:tcPr>
            <w:tcW w:w="3546" w:type="dxa"/>
            <w:gridSpan w:val="2"/>
            <w:tcBorders>
              <w:top w:val="nil"/>
              <w:left w:val="nil"/>
              <w:bottom w:val="nil"/>
              <w:right w:val="single" w:sz="12" w:space="0" w:color="auto"/>
            </w:tcBorders>
            <w:shd w:val="clear" w:color="auto" w:fill="auto"/>
          </w:tcPr>
          <w:p w14:paraId="3DAA8E7D" w14:textId="77777777" w:rsidR="007049A5" w:rsidRPr="004E4188" w:rsidRDefault="007049A5" w:rsidP="006C626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Formulaire FIN-1 Situation financière.</w:t>
            </w:r>
          </w:p>
        </w:tc>
      </w:tr>
      <w:tr w:rsidR="007049A5" w:rsidRPr="004E4188" w14:paraId="557EA241" w14:textId="77777777" w:rsidTr="000D7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vAlign w:val="center"/>
          </w:tcPr>
          <w:p w14:paraId="6DD48343" w14:textId="77777777" w:rsidR="007049A5" w:rsidRPr="004E4188" w:rsidRDefault="007049A5" w:rsidP="006C6267">
            <w:pPr>
              <w:suppressAutoHyphens w:val="0"/>
              <w:overflowPunct/>
              <w:spacing w:before="20" w:after="20" w:line="240" w:lineRule="exact"/>
              <w:ind w:left="259" w:hanging="259"/>
              <w:jc w:val="center"/>
              <w:textAlignment w:val="auto"/>
              <w:rPr>
                <w:b/>
                <w:noProof/>
                <w:sz w:val="21"/>
                <w:szCs w:val="21"/>
                <w:lang w:eastAsia="ja-JP"/>
              </w:rPr>
            </w:pPr>
          </w:p>
        </w:tc>
        <w:tc>
          <w:tcPr>
            <w:tcW w:w="635" w:type="dxa"/>
            <w:tcBorders>
              <w:top w:val="nil"/>
              <w:left w:val="nil"/>
              <w:bottom w:val="nil"/>
              <w:right w:val="nil"/>
            </w:tcBorders>
            <w:shd w:val="clear" w:color="auto" w:fill="auto"/>
          </w:tcPr>
          <w:p w14:paraId="0CBCA631"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vi.</w:t>
            </w:r>
          </w:p>
        </w:tc>
        <w:tc>
          <w:tcPr>
            <w:tcW w:w="3541" w:type="dxa"/>
            <w:tcBorders>
              <w:top w:val="nil"/>
              <w:left w:val="nil"/>
              <w:bottom w:val="nil"/>
              <w:right w:val="single" w:sz="4" w:space="0" w:color="auto"/>
            </w:tcBorders>
            <w:shd w:val="clear" w:color="auto" w:fill="auto"/>
          </w:tcPr>
          <w:p w14:paraId="3C405B3A" w14:textId="77777777" w:rsidR="007049A5" w:rsidRPr="004E4188" w:rsidRDefault="007049A5" w:rsidP="006C626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Formulaire FIN-2 Chiffre d’affaires annuel moyen.</w:t>
            </w:r>
          </w:p>
        </w:tc>
        <w:tc>
          <w:tcPr>
            <w:tcW w:w="567" w:type="dxa"/>
            <w:tcBorders>
              <w:top w:val="nil"/>
              <w:left w:val="single" w:sz="4" w:space="0" w:color="auto"/>
              <w:bottom w:val="nil"/>
              <w:right w:val="nil"/>
            </w:tcBorders>
            <w:shd w:val="clear" w:color="auto" w:fill="auto"/>
            <w:vAlign w:val="center"/>
          </w:tcPr>
          <w:p w14:paraId="0BF8871B" w14:textId="77777777" w:rsidR="007049A5" w:rsidRPr="004E4188" w:rsidRDefault="007049A5" w:rsidP="006C6267">
            <w:pPr>
              <w:suppressAutoHyphens w:val="0"/>
              <w:overflowPunct/>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5863D1C7"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vi.</w:t>
            </w:r>
          </w:p>
        </w:tc>
        <w:tc>
          <w:tcPr>
            <w:tcW w:w="3546" w:type="dxa"/>
            <w:gridSpan w:val="2"/>
            <w:tcBorders>
              <w:top w:val="nil"/>
              <w:left w:val="nil"/>
              <w:bottom w:val="nil"/>
              <w:right w:val="single" w:sz="12" w:space="0" w:color="auto"/>
            </w:tcBorders>
            <w:shd w:val="clear" w:color="auto" w:fill="auto"/>
          </w:tcPr>
          <w:p w14:paraId="08739743" w14:textId="77777777" w:rsidR="007049A5" w:rsidRPr="004E4188" w:rsidRDefault="007049A5" w:rsidP="006C626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Formulaire FIN-2 Chiffre d’affaires annuel moyen.</w:t>
            </w:r>
          </w:p>
        </w:tc>
      </w:tr>
      <w:tr w:rsidR="000D7437" w:rsidRPr="004E4188" w14:paraId="6A0C6674" w14:textId="77777777" w:rsidTr="000D7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single" w:sz="12" w:space="0" w:color="auto"/>
              <w:right w:val="nil"/>
            </w:tcBorders>
            <w:shd w:val="clear" w:color="auto" w:fill="auto"/>
            <w:vAlign w:val="center"/>
          </w:tcPr>
          <w:p w14:paraId="5F8946FD" w14:textId="77777777" w:rsidR="000D7437" w:rsidRPr="004E4188" w:rsidRDefault="000D7437" w:rsidP="000D7437">
            <w:pPr>
              <w:suppressAutoHyphens w:val="0"/>
              <w:overflowPunct/>
              <w:spacing w:before="20" w:after="20" w:line="240" w:lineRule="exact"/>
              <w:ind w:left="259" w:hanging="259"/>
              <w:jc w:val="center"/>
              <w:textAlignment w:val="auto"/>
              <w:rPr>
                <w:b/>
                <w:noProof/>
                <w:sz w:val="21"/>
                <w:szCs w:val="21"/>
                <w:lang w:eastAsia="ja-JP"/>
              </w:rPr>
            </w:pPr>
          </w:p>
        </w:tc>
        <w:tc>
          <w:tcPr>
            <w:tcW w:w="635" w:type="dxa"/>
            <w:tcBorders>
              <w:top w:val="nil"/>
              <w:left w:val="nil"/>
              <w:bottom w:val="single" w:sz="12" w:space="0" w:color="auto"/>
              <w:right w:val="nil"/>
            </w:tcBorders>
            <w:shd w:val="clear" w:color="auto" w:fill="auto"/>
          </w:tcPr>
          <w:p w14:paraId="30753798" w14:textId="4E5DAEC9" w:rsidR="000D7437" w:rsidRPr="004E4188" w:rsidRDefault="000D7437" w:rsidP="000D743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vii.</w:t>
            </w:r>
          </w:p>
        </w:tc>
        <w:tc>
          <w:tcPr>
            <w:tcW w:w="3541" w:type="dxa"/>
            <w:tcBorders>
              <w:top w:val="nil"/>
              <w:left w:val="nil"/>
              <w:bottom w:val="single" w:sz="12" w:space="0" w:color="auto"/>
              <w:right w:val="single" w:sz="4" w:space="0" w:color="auto"/>
            </w:tcBorders>
            <w:shd w:val="clear" w:color="auto" w:fill="auto"/>
          </w:tcPr>
          <w:p w14:paraId="1BE29A56" w14:textId="7B07269D" w:rsidR="000D7437" w:rsidRPr="004E4188" w:rsidRDefault="000D7437" w:rsidP="000D743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Formulaire FIN-3 Capacités financières.</w:t>
            </w:r>
          </w:p>
        </w:tc>
        <w:tc>
          <w:tcPr>
            <w:tcW w:w="567" w:type="dxa"/>
            <w:tcBorders>
              <w:top w:val="nil"/>
              <w:left w:val="single" w:sz="4" w:space="0" w:color="auto"/>
              <w:bottom w:val="single" w:sz="12" w:space="0" w:color="auto"/>
              <w:right w:val="nil"/>
            </w:tcBorders>
            <w:shd w:val="clear" w:color="auto" w:fill="auto"/>
            <w:vAlign w:val="center"/>
          </w:tcPr>
          <w:p w14:paraId="5F47A018" w14:textId="77777777" w:rsidR="000D7437" w:rsidRPr="004E4188" w:rsidRDefault="000D7437" w:rsidP="000D7437">
            <w:pPr>
              <w:suppressAutoHyphens w:val="0"/>
              <w:overflowPunct/>
              <w:spacing w:before="20" w:after="20" w:line="240" w:lineRule="exact"/>
              <w:jc w:val="center"/>
              <w:textAlignment w:val="auto"/>
              <w:outlineLvl w:val="0"/>
              <w:rPr>
                <w:b/>
                <w:noProof/>
                <w:sz w:val="21"/>
                <w:szCs w:val="21"/>
                <w:lang w:eastAsia="ja-JP"/>
              </w:rPr>
            </w:pPr>
          </w:p>
        </w:tc>
        <w:tc>
          <w:tcPr>
            <w:tcW w:w="567" w:type="dxa"/>
            <w:tcBorders>
              <w:top w:val="nil"/>
              <w:left w:val="nil"/>
              <w:bottom w:val="single" w:sz="12" w:space="0" w:color="auto"/>
              <w:right w:val="nil"/>
            </w:tcBorders>
            <w:shd w:val="clear" w:color="auto" w:fill="auto"/>
          </w:tcPr>
          <w:p w14:paraId="59D5A42A" w14:textId="5C614DD1" w:rsidR="000D7437" w:rsidRPr="004E4188" w:rsidRDefault="000D7437" w:rsidP="000D743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vii.</w:t>
            </w:r>
          </w:p>
        </w:tc>
        <w:tc>
          <w:tcPr>
            <w:tcW w:w="3546" w:type="dxa"/>
            <w:gridSpan w:val="2"/>
            <w:tcBorders>
              <w:top w:val="nil"/>
              <w:left w:val="nil"/>
              <w:bottom w:val="single" w:sz="12" w:space="0" w:color="auto"/>
              <w:right w:val="single" w:sz="12" w:space="0" w:color="auto"/>
            </w:tcBorders>
            <w:shd w:val="clear" w:color="auto" w:fill="auto"/>
          </w:tcPr>
          <w:p w14:paraId="7407CB3A" w14:textId="1BF343A3" w:rsidR="000D7437" w:rsidRPr="004E4188" w:rsidRDefault="000D7437" w:rsidP="000D743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Formulaire FIN-3 Capacités financières.</w:t>
            </w:r>
          </w:p>
        </w:tc>
      </w:tr>
      <w:tr w:rsidR="007049A5" w:rsidRPr="004E4188" w14:paraId="48DBF94E" w14:textId="77777777" w:rsidTr="00173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76" w:type="dxa"/>
            <w:gridSpan w:val="3"/>
            <w:tcBorders>
              <w:top w:val="single" w:sz="12" w:space="0" w:color="auto"/>
              <w:left w:val="single" w:sz="12" w:space="0" w:color="auto"/>
              <w:bottom w:val="single" w:sz="12" w:space="0" w:color="auto"/>
            </w:tcBorders>
            <w:shd w:val="clear" w:color="auto" w:fill="auto"/>
            <w:vAlign w:val="center"/>
          </w:tcPr>
          <w:p w14:paraId="76238B4D" w14:textId="77777777" w:rsidR="007049A5" w:rsidRPr="004E4188" w:rsidRDefault="007049A5" w:rsidP="006C6267">
            <w:pPr>
              <w:suppressAutoHyphens w:val="0"/>
              <w:overflowPunct/>
              <w:spacing w:before="20" w:after="20" w:line="240" w:lineRule="exact"/>
              <w:ind w:left="259" w:hanging="259"/>
              <w:jc w:val="center"/>
              <w:textAlignment w:val="auto"/>
              <w:rPr>
                <w:b/>
                <w:noProof/>
                <w:szCs w:val="24"/>
                <w:lang w:eastAsia="ja-JP"/>
              </w:rPr>
            </w:pPr>
            <w:r w:rsidRPr="004E4188">
              <w:rPr>
                <w:b/>
                <w:noProof/>
                <w:szCs w:val="24"/>
                <w:lang w:eastAsia="ja-JP"/>
              </w:rPr>
              <w:t>Procédure à une étape-deux enveloppes</w:t>
            </w:r>
          </w:p>
        </w:tc>
        <w:tc>
          <w:tcPr>
            <w:tcW w:w="4680" w:type="dxa"/>
            <w:gridSpan w:val="4"/>
            <w:tcBorders>
              <w:top w:val="single" w:sz="12" w:space="0" w:color="auto"/>
              <w:bottom w:val="single" w:sz="12" w:space="0" w:color="auto"/>
              <w:right w:val="single" w:sz="12" w:space="0" w:color="auto"/>
            </w:tcBorders>
            <w:shd w:val="clear" w:color="auto" w:fill="auto"/>
            <w:vAlign w:val="center"/>
          </w:tcPr>
          <w:p w14:paraId="4CA3F432" w14:textId="77777777" w:rsidR="007049A5" w:rsidRPr="004E4188" w:rsidRDefault="007049A5" w:rsidP="006C6267">
            <w:pPr>
              <w:suppressAutoHyphens w:val="0"/>
              <w:overflowPunct/>
              <w:spacing w:before="20" w:after="20" w:line="240" w:lineRule="exact"/>
              <w:jc w:val="center"/>
              <w:textAlignment w:val="auto"/>
              <w:outlineLvl w:val="0"/>
              <w:rPr>
                <w:b/>
                <w:noProof/>
                <w:szCs w:val="24"/>
                <w:lang w:eastAsia="ja-JP"/>
              </w:rPr>
            </w:pPr>
            <w:r w:rsidRPr="004E4188">
              <w:rPr>
                <w:b/>
                <w:noProof/>
                <w:szCs w:val="24"/>
                <w:lang w:eastAsia="ja-JP"/>
              </w:rPr>
              <w:t>Procédure à deux étapes-une enveloppe</w:t>
            </w:r>
          </w:p>
        </w:tc>
      </w:tr>
      <w:tr w:rsidR="007049A5" w:rsidRPr="004E4188" w14:paraId="1156E2AE"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vAlign w:val="center"/>
          </w:tcPr>
          <w:p w14:paraId="2B4DC855" w14:textId="77777777" w:rsidR="007049A5" w:rsidRPr="004E4188" w:rsidRDefault="007049A5" w:rsidP="006C6267">
            <w:pPr>
              <w:suppressAutoHyphens w:val="0"/>
              <w:overflowPunct/>
              <w:spacing w:before="20" w:after="20" w:line="240" w:lineRule="exact"/>
              <w:ind w:left="259" w:hanging="259"/>
              <w:jc w:val="center"/>
              <w:textAlignment w:val="auto"/>
              <w:rPr>
                <w:b/>
                <w:noProof/>
                <w:sz w:val="21"/>
                <w:szCs w:val="21"/>
                <w:lang w:eastAsia="ja-JP"/>
              </w:rPr>
            </w:pPr>
          </w:p>
        </w:tc>
        <w:tc>
          <w:tcPr>
            <w:tcW w:w="635" w:type="dxa"/>
            <w:tcBorders>
              <w:top w:val="nil"/>
              <w:left w:val="nil"/>
              <w:bottom w:val="nil"/>
              <w:right w:val="nil"/>
            </w:tcBorders>
            <w:shd w:val="clear" w:color="auto" w:fill="auto"/>
          </w:tcPr>
          <w:p w14:paraId="620B380C"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viii.</w:t>
            </w:r>
          </w:p>
        </w:tc>
        <w:tc>
          <w:tcPr>
            <w:tcW w:w="3541" w:type="dxa"/>
            <w:tcBorders>
              <w:top w:val="nil"/>
              <w:left w:val="nil"/>
              <w:bottom w:val="nil"/>
              <w:right w:val="single" w:sz="4" w:space="0" w:color="auto"/>
            </w:tcBorders>
            <w:shd w:val="clear" w:color="auto" w:fill="auto"/>
          </w:tcPr>
          <w:p w14:paraId="63721606" w14:textId="77777777" w:rsidR="007049A5" w:rsidRPr="004E4188" w:rsidRDefault="007049A5" w:rsidP="006C626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Formulaire FIN-4 Engagements actuels.</w:t>
            </w:r>
          </w:p>
        </w:tc>
        <w:tc>
          <w:tcPr>
            <w:tcW w:w="567" w:type="dxa"/>
            <w:tcBorders>
              <w:top w:val="nil"/>
              <w:left w:val="single" w:sz="4" w:space="0" w:color="auto"/>
              <w:bottom w:val="nil"/>
              <w:right w:val="nil"/>
            </w:tcBorders>
            <w:shd w:val="clear" w:color="auto" w:fill="auto"/>
            <w:vAlign w:val="center"/>
          </w:tcPr>
          <w:p w14:paraId="2AC3D313" w14:textId="77777777" w:rsidR="007049A5" w:rsidRPr="004E4188" w:rsidRDefault="007049A5" w:rsidP="006C6267">
            <w:pPr>
              <w:suppressAutoHyphens w:val="0"/>
              <w:overflowPunct/>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35855326"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viii.</w:t>
            </w:r>
          </w:p>
        </w:tc>
        <w:tc>
          <w:tcPr>
            <w:tcW w:w="3546" w:type="dxa"/>
            <w:gridSpan w:val="2"/>
            <w:tcBorders>
              <w:top w:val="nil"/>
              <w:left w:val="nil"/>
              <w:bottom w:val="nil"/>
              <w:right w:val="single" w:sz="12" w:space="0" w:color="auto"/>
            </w:tcBorders>
            <w:shd w:val="clear" w:color="auto" w:fill="auto"/>
          </w:tcPr>
          <w:p w14:paraId="56D3AB13" w14:textId="77777777" w:rsidR="007049A5" w:rsidRPr="004E4188" w:rsidRDefault="007049A5" w:rsidP="006C626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Formulaire FIN-4 Engagements actuels.</w:t>
            </w:r>
          </w:p>
        </w:tc>
      </w:tr>
      <w:tr w:rsidR="007049A5" w:rsidRPr="004E4188" w14:paraId="05ADDB61"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vAlign w:val="center"/>
          </w:tcPr>
          <w:p w14:paraId="4D42DA78" w14:textId="77777777" w:rsidR="007049A5" w:rsidRPr="004E4188" w:rsidRDefault="007049A5" w:rsidP="006C6267">
            <w:pPr>
              <w:suppressAutoHyphens w:val="0"/>
              <w:overflowPunct/>
              <w:spacing w:before="20" w:after="20" w:line="240" w:lineRule="exact"/>
              <w:ind w:left="259" w:hanging="259"/>
              <w:jc w:val="center"/>
              <w:textAlignment w:val="auto"/>
              <w:rPr>
                <w:b/>
                <w:noProof/>
                <w:sz w:val="21"/>
                <w:szCs w:val="21"/>
                <w:lang w:eastAsia="ja-JP"/>
              </w:rPr>
            </w:pPr>
          </w:p>
        </w:tc>
        <w:tc>
          <w:tcPr>
            <w:tcW w:w="635" w:type="dxa"/>
            <w:tcBorders>
              <w:top w:val="nil"/>
              <w:left w:val="nil"/>
              <w:bottom w:val="nil"/>
              <w:right w:val="nil"/>
            </w:tcBorders>
            <w:shd w:val="clear" w:color="auto" w:fill="auto"/>
          </w:tcPr>
          <w:p w14:paraId="18C3FC59"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ix.</w:t>
            </w:r>
          </w:p>
          <w:p w14:paraId="31B49223"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p>
        </w:tc>
        <w:tc>
          <w:tcPr>
            <w:tcW w:w="3541" w:type="dxa"/>
            <w:tcBorders>
              <w:top w:val="nil"/>
              <w:left w:val="nil"/>
              <w:bottom w:val="nil"/>
              <w:right w:val="single" w:sz="4" w:space="0" w:color="auto"/>
            </w:tcBorders>
            <w:shd w:val="clear" w:color="auto" w:fill="auto"/>
          </w:tcPr>
          <w:p w14:paraId="77571E34" w14:textId="77777777" w:rsidR="007049A5" w:rsidRPr="004E4188" w:rsidRDefault="007049A5" w:rsidP="006C626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 xml:space="preserve">Formulaire EXP-1 Expérience générale. </w:t>
            </w:r>
            <w:r w:rsidRPr="004E4188">
              <w:rPr>
                <w:noProof/>
                <w:sz w:val="21"/>
                <w:szCs w:val="21"/>
                <w:lang w:eastAsia="en-US"/>
              </w:rPr>
              <w:t>*</w:t>
            </w:r>
          </w:p>
        </w:tc>
        <w:tc>
          <w:tcPr>
            <w:tcW w:w="567" w:type="dxa"/>
            <w:tcBorders>
              <w:top w:val="nil"/>
              <w:left w:val="single" w:sz="4" w:space="0" w:color="auto"/>
              <w:bottom w:val="nil"/>
              <w:right w:val="nil"/>
            </w:tcBorders>
            <w:shd w:val="clear" w:color="auto" w:fill="auto"/>
            <w:vAlign w:val="center"/>
          </w:tcPr>
          <w:p w14:paraId="642EBAC2" w14:textId="77777777" w:rsidR="007049A5" w:rsidRPr="004E4188" w:rsidRDefault="007049A5" w:rsidP="006C6267">
            <w:pPr>
              <w:suppressAutoHyphens w:val="0"/>
              <w:overflowPunct/>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6FBF86B4"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ix.</w:t>
            </w:r>
          </w:p>
        </w:tc>
        <w:tc>
          <w:tcPr>
            <w:tcW w:w="3546" w:type="dxa"/>
            <w:gridSpan w:val="2"/>
            <w:tcBorders>
              <w:top w:val="nil"/>
              <w:left w:val="nil"/>
              <w:bottom w:val="nil"/>
              <w:right w:val="single" w:sz="12" w:space="0" w:color="auto"/>
            </w:tcBorders>
            <w:shd w:val="clear" w:color="auto" w:fill="auto"/>
          </w:tcPr>
          <w:p w14:paraId="219FAC9E" w14:textId="77777777" w:rsidR="007049A5" w:rsidRPr="004E4188" w:rsidRDefault="007049A5" w:rsidP="006C626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 xml:space="preserve">Formulaire EXP-1 Expérience générale. </w:t>
            </w:r>
            <w:r w:rsidRPr="004E4188">
              <w:rPr>
                <w:noProof/>
                <w:sz w:val="21"/>
                <w:szCs w:val="21"/>
                <w:lang w:eastAsia="en-US"/>
              </w:rPr>
              <w:t>*</w:t>
            </w:r>
          </w:p>
        </w:tc>
      </w:tr>
      <w:tr w:rsidR="007049A5" w:rsidRPr="004E4188" w14:paraId="71C3C0AF"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vAlign w:val="center"/>
          </w:tcPr>
          <w:p w14:paraId="79C5D1A1" w14:textId="77777777" w:rsidR="007049A5" w:rsidRPr="004E4188" w:rsidRDefault="007049A5" w:rsidP="006C6267">
            <w:pPr>
              <w:suppressAutoHyphens w:val="0"/>
              <w:overflowPunct/>
              <w:spacing w:before="20" w:after="20" w:line="240" w:lineRule="exact"/>
              <w:ind w:left="259" w:hanging="259"/>
              <w:jc w:val="center"/>
              <w:textAlignment w:val="auto"/>
              <w:rPr>
                <w:b/>
                <w:noProof/>
                <w:sz w:val="21"/>
                <w:szCs w:val="21"/>
                <w:lang w:eastAsia="ja-JP"/>
              </w:rPr>
            </w:pPr>
          </w:p>
        </w:tc>
        <w:tc>
          <w:tcPr>
            <w:tcW w:w="635" w:type="dxa"/>
            <w:tcBorders>
              <w:top w:val="nil"/>
              <w:left w:val="nil"/>
              <w:bottom w:val="nil"/>
              <w:right w:val="nil"/>
            </w:tcBorders>
            <w:shd w:val="clear" w:color="auto" w:fill="auto"/>
          </w:tcPr>
          <w:p w14:paraId="350812F0"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x.</w:t>
            </w:r>
          </w:p>
        </w:tc>
        <w:tc>
          <w:tcPr>
            <w:tcW w:w="3541" w:type="dxa"/>
            <w:tcBorders>
              <w:top w:val="nil"/>
              <w:left w:val="nil"/>
              <w:bottom w:val="nil"/>
              <w:right w:val="single" w:sz="4" w:space="0" w:color="auto"/>
            </w:tcBorders>
            <w:shd w:val="clear" w:color="auto" w:fill="auto"/>
          </w:tcPr>
          <w:p w14:paraId="11CB47FF" w14:textId="77777777" w:rsidR="007049A5" w:rsidRPr="004E4188" w:rsidRDefault="007049A5" w:rsidP="006C626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 xml:space="preserve">Formulaire EXP-2(a) Expérience spécifique. </w:t>
            </w:r>
            <w:r w:rsidRPr="004E4188">
              <w:rPr>
                <w:noProof/>
                <w:sz w:val="21"/>
                <w:szCs w:val="21"/>
                <w:lang w:eastAsia="en-US"/>
              </w:rPr>
              <w:t>*</w:t>
            </w:r>
          </w:p>
        </w:tc>
        <w:tc>
          <w:tcPr>
            <w:tcW w:w="567" w:type="dxa"/>
            <w:tcBorders>
              <w:top w:val="nil"/>
              <w:left w:val="single" w:sz="4" w:space="0" w:color="auto"/>
              <w:bottom w:val="nil"/>
              <w:right w:val="nil"/>
            </w:tcBorders>
            <w:shd w:val="clear" w:color="auto" w:fill="auto"/>
            <w:vAlign w:val="center"/>
          </w:tcPr>
          <w:p w14:paraId="3E95CE10" w14:textId="77777777" w:rsidR="007049A5" w:rsidRPr="004E4188" w:rsidRDefault="007049A5" w:rsidP="006C6267">
            <w:pPr>
              <w:suppressAutoHyphens w:val="0"/>
              <w:overflowPunct/>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140F2025"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x.</w:t>
            </w:r>
          </w:p>
        </w:tc>
        <w:tc>
          <w:tcPr>
            <w:tcW w:w="3546" w:type="dxa"/>
            <w:gridSpan w:val="2"/>
            <w:tcBorders>
              <w:top w:val="nil"/>
              <w:left w:val="nil"/>
              <w:bottom w:val="nil"/>
              <w:right w:val="single" w:sz="12" w:space="0" w:color="auto"/>
            </w:tcBorders>
            <w:shd w:val="clear" w:color="auto" w:fill="auto"/>
          </w:tcPr>
          <w:p w14:paraId="2350E73C" w14:textId="77777777" w:rsidR="007049A5" w:rsidRPr="004E4188" w:rsidRDefault="007049A5" w:rsidP="006C626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 xml:space="preserve">Formulaire EXP-2(a) Expérience spécifique. </w:t>
            </w:r>
            <w:r w:rsidRPr="004E4188">
              <w:rPr>
                <w:noProof/>
                <w:sz w:val="21"/>
                <w:szCs w:val="21"/>
                <w:lang w:eastAsia="en-US"/>
              </w:rPr>
              <w:t>*</w:t>
            </w:r>
          </w:p>
        </w:tc>
      </w:tr>
      <w:tr w:rsidR="007049A5" w:rsidRPr="004E4188" w14:paraId="6B98B925"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vAlign w:val="center"/>
          </w:tcPr>
          <w:p w14:paraId="7DC3FC3F" w14:textId="77777777" w:rsidR="007049A5" w:rsidRPr="004E4188" w:rsidRDefault="007049A5" w:rsidP="006C6267">
            <w:pPr>
              <w:suppressAutoHyphens w:val="0"/>
              <w:overflowPunct/>
              <w:spacing w:before="20" w:after="20" w:line="240" w:lineRule="exact"/>
              <w:ind w:left="259" w:hanging="259"/>
              <w:jc w:val="center"/>
              <w:textAlignment w:val="auto"/>
              <w:rPr>
                <w:b/>
                <w:noProof/>
                <w:sz w:val="21"/>
                <w:szCs w:val="21"/>
                <w:lang w:eastAsia="ja-JP"/>
              </w:rPr>
            </w:pPr>
          </w:p>
        </w:tc>
        <w:tc>
          <w:tcPr>
            <w:tcW w:w="635" w:type="dxa"/>
            <w:tcBorders>
              <w:top w:val="nil"/>
              <w:left w:val="nil"/>
              <w:bottom w:val="nil"/>
              <w:right w:val="nil"/>
            </w:tcBorders>
            <w:shd w:val="clear" w:color="auto" w:fill="auto"/>
          </w:tcPr>
          <w:p w14:paraId="62B0F4B2"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xi.</w:t>
            </w:r>
          </w:p>
        </w:tc>
        <w:tc>
          <w:tcPr>
            <w:tcW w:w="3541" w:type="dxa"/>
            <w:tcBorders>
              <w:top w:val="nil"/>
              <w:left w:val="nil"/>
              <w:bottom w:val="nil"/>
              <w:right w:val="single" w:sz="4" w:space="0" w:color="auto"/>
            </w:tcBorders>
            <w:shd w:val="clear" w:color="auto" w:fill="auto"/>
          </w:tcPr>
          <w:p w14:paraId="39A83B96" w14:textId="77777777" w:rsidR="007049A5" w:rsidRPr="004E4188" w:rsidRDefault="007049A5" w:rsidP="006C626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Formulaire EXP-2(b) Expérience dans les activités principales. *</w:t>
            </w:r>
          </w:p>
        </w:tc>
        <w:tc>
          <w:tcPr>
            <w:tcW w:w="567" w:type="dxa"/>
            <w:tcBorders>
              <w:top w:val="nil"/>
              <w:left w:val="single" w:sz="4" w:space="0" w:color="auto"/>
              <w:bottom w:val="nil"/>
              <w:right w:val="nil"/>
            </w:tcBorders>
            <w:shd w:val="clear" w:color="auto" w:fill="auto"/>
            <w:vAlign w:val="center"/>
          </w:tcPr>
          <w:p w14:paraId="0602CB0D" w14:textId="77777777" w:rsidR="007049A5" w:rsidRPr="004E4188" w:rsidRDefault="007049A5" w:rsidP="006C6267">
            <w:pPr>
              <w:suppressAutoHyphens w:val="0"/>
              <w:overflowPunct/>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3434783B"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xi.</w:t>
            </w:r>
          </w:p>
        </w:tc>
        <w:tc>
          <w:tcPr>
            <w:tcW w:w="3546" w:type="dxa"/>
            <w:gridSpan w:val="2"/>
            <w:tcBorders>
              <w:top w:val="nil"/>
              <w:left w:val="nil"/>
              <w:bottom w:val="nil"/>
              <w:right w:val="single" w:sz="12" w:space="0" w:color="auto"/>
            </w:tcBorders>
            <w:shd w:val="clear" w:color="auto" w:fill="auto"/>
          </w:tcPr>
          <w:p w14:paraId="5BF54659" w14:textId="77777777" w:rsidR="007049A5" w:rsidRPr="004E4188" w:rsidRDefault="007049A5" w:rsidP="006C6267">
            <w:pPr>
              <w:suppressAutoHyphens w:val="0"/>
              <w:overflowPunct/>
              <w:spacing w:before="20" w:after="20" w:line="240" w:lineRule="exact"/>
              <w:jc w:val="left"/>
              <w:textAlignment w:val="auto"/>
              <w:rPr>
                <w:b/>
                <w:noProof/>
                <w:sz w:val="21"/>
                <w:szCs w:val="21"/>
                <w:lang w:eastAsia="en-US"/>
              </w:rPr>
            </w:pPr>
            <w:r w:rsidRPr="004E4188">
              <w:rPr>
                <w:b/>
                <w:noProof/>
                <w:sz w:val="21"/>
                <w:szCs w:val="21"/>
                <w:lang w:eastAsia="en-US"/>
              </w:rPr>
              <w:t>Formulaire EXP-2(b) Expérience dans les activités principales. *</w:t>
            </w:r>
          </w:p>
        </w:tc>
      </w:tr>
      <w:tr w:rsidR="007049A5" w:rsidRPr="004E4188" w14:paraId="12232A35"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5D03A119" w14:textId="77777777" w:rsidR="007049A5" w:rsidRPr="004E4188" w:rsidRDefault="007049A5" w:rsidP="006C6267">
            <w:pPr>
              <w:suppressAutoHyphens w:val="0"/>
              <w:overflowPunct/>
              <w:spacing w:before="20" w:after="20" w:line="240" w:lineRule="exact"/>
              <w:ind w:left="259" w:hanging="259"/>
              <w:jc w:val="center"/>
              <w:textAlignment w:val="auto"/>
              <w:rPr>
                <w:b/>
                <w:noProof/>
                <w:sz w:val="21"/>
                <w:szCs w:val="21"/>
                <w:lang w:eastAsia="ja-JP"/>
              </w:rPr>
            </w:pPr>
            <w:r w:rsidRPr="004E4188">
              <w:rPr>
                <w:noProof/>
                <w:sz w:val="21"/>
                <w:szCs w:val="21"/>
                <w:lang w:eastAsia="ja-JP"/>
              </w:rPr>
              <w:t>(f)</w:t>
            </w:r>
          </w:p>
        </w:tc>
        <w:tc>
          <w:tcPr>
            <w:tcW w:w="4176" w:type="dxa"/>
            <w:gridSpan w:val="2"/>
            <w:tcBorders>
              <w:top w:val="nil"/>
              <w:left w:val="nil"/>
              <w:bottom w:val="nil"/>
              <w:right w:val="single" w:sz="4" w:space="0" w:color="auto"/>
            </w:tcBorders>
            <w:shd w:val="clear" w:color="auto" w:fill="auto"/>
          </w:tcPr>
          <w:p w14:paraId="6F482235" w14:textId="77777777" w:rsidR="007049A5" w:rsidRPr="004E4188" w:rsidRDefault="007049A5" w:rsidP="006C6267">
            <w:pPr>
              <w:suppressAutoHyphens w:val="0"/>
              <w:overflowPunct/>
              <w:snapToGrid w:val="0"/>
              <w:spacing w:before="20" w:after="20" w:line="240" w:lineRule="exact"/>
              <w:textAlignment w:val="auto"/>
              <w:rPr>
                <w:noProof/>
                <w:sz w:val="21"/>
                <w:szCs w:val="21"/>
                <w:lang w:eastAsia="en-US"/>
              </w:rPr>
            </w:pPr>
            <w:r w:rsidRPr="004E4188">
              <w:rPr>
                <w:noProof/>
                <w:sz w:val="21"/>
                <w:szCs w:val="21"/>
                <w:lang w:eastAsia="en-US"/>
              </w:rPr>
              <w:t>Les documents attestant</w:t>
            </w:r>
            <w:r w:rsidRPr="004E4188">
              <w:rPr>
                <w:noProof/>
                <w:sz w:val="21"/>
                <w:szCs w:val="21"/>
              </w:rPr>
              <w:t>, conformément à IS 16.2,</w:t>
            </w:r>
            <w:r w:rsidRPr="004E4188">
              <w:rPr>
                <w:noProof/>
                <w:sz w:val="21"/>
                <w:szCs w:val="21"/>
                <w:lang w:eastAsia="en-US"/>
              </w:rPr>
              <w:t xml:space="preserve"> que les </w:t>
            </w:r>
            <w:r w:rsidRPr="004E4188">
              <w:rPr>
                <w:sz w:val="21"/>
                <w:szCs w:val="21"/>
              </w:rPr>
              <w:t>Équipements et Services de montage</w:t>
            </w:r>
            <w:r w:rsidRPr="004E4188">
              <w:rPr>
                <w:noProof/>
                <w:sz w:val="21"/>
                <w:szCs w:val="21"/>
                <w:lang w:eastAsia="en-US"/>
              </w:rPr>
              <w:t xml:space="preserve"> proposés par le Soumissionnaire sont conformes au Dossier d’appel d’offres.</w:t>
            </w:r>
          </w:p>
        </w:tc>
        <w:tc>
          <w:tcPr>
            <w:tcW w:w="567" w:type="dxa"/>
            <w:tcBorders>
              <w:top w:val="nil"/>
              <w:left w:val="single" w:sz="4" w:space="0" w:color="auto"/>
              <w:bottom w:val="nil"/>
              <w:right w:val="nil"/>
            </w:tcBorders>
            <w:shd w:val="clear" w:color="auto" w:fill="auto"/>
          </w:tcPr>
          <w:p w14:paraId="3D553B33" w14:textId="77777777" w:rsidR="007049A5" w:rsidRPr="004E4188" w:rsidRDefault="007049A5" w:rsidP="006C6267">
            <w:pPr>
              <w:suppressAutoHyphens w:val="0"/>
              <w:overflowPunct/>
              <w:spacing w:before="20" w:after="20" w:line="240" w:lineRule="exact"/>
              <w:jc w:val="center"/>
              <w:textAlignment w:val="auto"/>
              <w:outlineLvl w:val="0"/>
              <w:rPr>
                <w:noProof/>
                <w:sz w:val="21"/>
                <w:szCs w:val="21"/>
                <w:lang w:eastAsia="ja-JP"/>
              </w:rPr>
            </w:pPr>
            <w:r w:rsidRPr="004E4188">
              <w:rPr>
                <w:bCs/>
                <w:noProof/>
                <w:kern w:val="28"/>
                <w:sz w:val="21"/>
                <w:szCs w:val="21"/>
                <w:lang w:eastAsia="ja-JP"/>
              </w:rPr>
              <w:t>(e)</w:t>
            </w:r>
          </w:p>
        </w:tc>
        <w:tc>
          <w:tcPr>
            <w:tcW w:w="4113" w:type="dxa"/>
            <w:gridSpan w:val="3"/>
            <w:tcBorders>
              <w:top w:val="nil"/>
              <w:left w:val="nil"/>
              <w:bottom w:val="nil"/>
              <w:right w:val="single" w:sz="12" w:space="0" w:color="auto"/>
            </w:tcBorders>
            <w:shd w:val="clear" w:color="auto" w:fill="auto"/>
          </w:tcPr>
          <w:p w14:paraId="09CCD565" w14:textId="517A87B4" w:rsidR="007049A5" w:rsidRPr="004E4188" w:rsidRDefault="007049A5" w:rsidP="00C724CD">
            <w:pPr>
              <w:suppressAutoHyphens w:val="0"/>
              <w:overflowPunct/>
              <w:spacing w:before="20" w:after="20" w:line="240" w:lineRule="exact"/>
              <w:textAlignment w:val="auto"/>
              <w:rPr>
                <w:b/>
                <w:noProof/>
                <w:sz w:val="21"/>
                <w:szCs w:val="21"/>
                <w:lang w:eastAsia="en-US"/>
              </w:rPr>
            </w:pPr>
            <w:r w:rsidRPr="004E4188">
              <w:rPr>
                <w:noProof/>
                <w:sz w:val="21"/>
                <w:szCs w:val="21"/>
                <w:lang w:eastAsia="en-US"/>
              </w:rPr>
              <w:t>Les documents attestant</w:t>
            </w:r>
            <w:r w:rsidRPr="004E4188">
              <w:rPr>
                <w:noProof/>
                <w:sz w:val="21"/>
                <w:szCs w:val="21"/>
              </w:rPr>
              <w:t>, conformément à IS 1</w:t>
            </w:r>
            <w:r w:rsidR="00C724CD" w:rsidRPr="004E4188">
              <w:rPr>
                <w:noProof/>
                <w:sz w:val="21"/>
                <w:szCs w:val="21"/>
              </w:rPr>
              <w:t>4</w:t>
            </w:r>
            <w:r w:rsidRPr="004E4188">
              <w:rPr>
                <w:noProof/>
                <w:sz w:val="21"/>
                <w:szCs w:val="21"/>
              </w:rPr>
              <w:t>.2,</w:t>
            </w:r>
            <w:r w:rsidRPr="004E4188">
              <w:rPr>
                <w:noProof/>
                <w:sz w:val="21"/>
                <w:szCs w:val="21"/>
                <w:lang w:eastAsia="en-US"/>
              </w:rPr>
              <w:t xml:space="preserve"> que les</w:t>
            </w:r>
            <w:r w:rsidRPr="004E4188">
              <w:rPr>
                <w:noProof/>
                <w:sz w:val="20"/>
                <w:lang w:eastAsia="en-US"/>
              </w:rPr>
              <w:t xml:space="preserve"> </w:t>
            </w:r>
            <w:r w:rsidRPr="004E4188">
              <w:rPr>
                <w:sz w:val="21"/>
                <w:szCs w:val="21"/>
              </w:rPr>
              <w:t>Équipements et Services de montage</w:t>
            </w:r>
            <w:r w:rsidRPr="004E4188">
              <w:rPr>
                <w:noProof/>
                <w:sz w:val="21"/>
                <w:szCs w:val="21"/>
                <w:lang w:eastAsia="en-US"/>
              </w:rPr>
              <w:t xml:space="preserve"> proposés par le Soumissionnaire sont conformes au Dossier d’appel d’offres.</w:t>
            </w:r>
          </w:p>
        </w:tc>
      </w:tr>
      <w:tr w:rsidR="007049A5" w:rsidRPr="004E4188" w14:paraId="01986527"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6A16F4AA" w14:textId="77777777" w:rsidR="007049A5" w:rsidRPr="004E4188" w:rsidRDefault="007049A5" w:rsidP="006C6267">
            <w:pPr>
              <w:suppressAutoHyphens w:val="0"/>
              <w:overflowPunct/>
              <w:autoSpaceDE/>
              <w:autoSpaceDN/>
              <w:adjustRightInd/>
              <w:snapToGrid w:val="0"/>
              <w:spacing w:before="20" w:after="20" w:line="240" w:lineRule="exact"/>
              <w:jc w:val="center"/>
              <w:textAlignment w:val="auto"/>
              <w:rPr>
                <w:noProof/>
                <w:sz w:val="21"/>
                <w:szCs w:val="21"/>
                <w:lang w:eastAsia="en-US"/>
              </w:rPr>
            </w:pPr>
            <w:r w:rsidRPr="004E4188">
              <w:rPr>
                <w:noProof/>
                <w:sz w:val="21"/>
                <w:szCs w:val="21"/>
                <w:lang w:eastAsia="ja-JP"/>
              </w:rPr>
              <w:t>(g)</w:t>
            </w:r>
          </w:p>
        </w:tc>
        <w:tc>
          <w:tcPr>
            <w:tcW w:w="4176" w:type="dxa"/>
            <w:gridSpan w:val="2"/>
            <w:tcBorders>
              <w:top w:val="nil"/>
              <w:left w:val="nil"/>
              <w:bottom w:val="nil"/>
              <w:right w:val="single" w:sz="4" w:space="0" w:color="auto"/>
            </w:tcBorders>
            <w:shd w:val="clear" w:color="auto" w:fill="auto"/>
            <w:vAlign w:val="center"/>
          </w:tcPr>
          <w:p w14:paraId="0DB50D8E" w14:textId="77777777" w:rsidR="007049A5" w:rsidRPr="004E4188" w:rsidRDefault="007049A5" w:rsidP="006C6267">
            <w:pPr>
              <w:suppressAutoHyphens w:val="0"/>
              <w:overflowPunct/>
              <w:snapToGrid w:val="0"/>
              <w:spacing w:before="20" w:after="20" w:line="240" w:lineRule="exact"/>
              <w:jc w:val="left"/>
              <w:textAlignment w:val="auto"/>
              <w:rPr>
                <w:noProof/>
                <w:sz w:val="21"/>
                <w:szCs w:val="21"/>
                <w:lang w:eastAsia="en-US"/>
              </w:rPr>
            </w:pPr>
            <w:r w:rsidRPr="004E4188">
              <w:rPr>
                <w:noProof/>
                <w:sz w:val="21"/>
                <w:szCs w:val="21"/>
                <w:lang w:eastAsia="en-US"/>
              </w:rPr>
              <w:t>La Proposition technique soumise conformément à IS 16.</w:t>
            </w:r>
          </w:p>
        </w:tc>
        <w:tc>
          <w:tcPr>
            <w:tcW w:w="567" w:type="dxa"/>
            <w:tcBorders>
              <w:top w:val="nil"/>
              <w:left w:val="single" w:sz="4" w:space="0" w:color="auto"/>
              <w:bottom w:val="nil"/>
              <w:right w:val="nil"/>
            </w:tcBorders>
            <w:shd w:val="clear" w:color="auto" w:fill="auto"/>
          </w:tcPr>
          <w:p w14:paraId="75D5B45C" w14:textId="77777777" w:rsidR="007049A5" w:rsidRPr="004E4188" w:rsidRDefault="007049A5" w:rsidP="006C6267">
            <w:pPr>
              <w:suppressAutoHyphens w:val="0"/>
              <w:overflowPunct/>
              <w:autoSpaceDE/>
              <w:autoSpaceDN/>
              <w:adjustRightInd/>
              <w:snapToGrid w:val="0"/>
              <w:spacing w:before="20" w:after="20" w:line="240" w:lineRule="exact"/>
              <w:jc w:val="center"/>
              <w:textAlignment w:val="auto"/>
              <w:rPr>
                <w:noProof/>
                <w:sz w:val="21"/>
                <w:szCs w:val="21"/>
                <w:lang w:eastAsia="en-US"/>
              </w:rPr>
            </w:pPr>
            <w:r w:rsidRPr="004E4188">
              <w:rPr>
                <w:noProof/>
                <w:sz w:val="21"/>
                <w:szCs w:val="21"/>
                <w:lang w:eastAsia="ja-JP"/>
              </w:rPr>
              <w:t>(f)</w:t>
            </w:r>
          </w:p>
        </w:tc>
        <w:tc>
          <w:tcPr>
            <w:tcW w:w="4113" w:type="dxa"/>
            <w:gridSpan w:val="3"/>
            <w:tcBorders>
              <w:top w:val="nil"/>
              <w:left w:val="nil"/>
              <w:bottom w:val="nil"/>
              <w:right w:val="single" w:sz="12" w:space="0" w:color="auto"/>
            </w:tcBorders>
            <w:shd w:val="clear" w:color="auto" w:fill="auto"/>
            <w:vAlign w:val="center"/>
          </w:tcPr>
          <w:p w14:paraId="22751AF8" w14:textId="77777777" w:rsidR="007049A5" w:rsidRPr="004E4188" w:rsidRDefault="007049A5" w:rsidP="00173237">
            <w:pPr>
              <w:suppressAutoHyphens w:val="0"/>
              <w:overflowPunct/>
              <w:snapToGrid w:val="0"/>
              <w:spacing w:before="20" w:after="20" w:line="240" w:lineRule="exact"/>
              <w:jc w:val="left"/>
              <w:textAlignment w:val="auto"/>
              <w:outlineLvl w:val="0"/>
              <w:rPr>
                <w:b/>
                <w:noProof/>
                <w:sz w:val="21"/>
                <w:szCs w:val="21"/>
                <w:lang w:eastAsia="ja-JP"/>
              </w:rPr>
            </w:pPr>
            <w:r w:rsidRPr="004E4188">
              <w:rPr>
                <w:bCs/>
                <w:noProof/>
                <w:kern w:val="28"/>
                <w:sz w:val="21"/>
                <w:szCs w:val="21"/>
                <w:lang w:eastAsia="en-US"/>
              </w:rPr>
              <w:t>La Proposition technique soumise conformément à IS 14.</w:t>
            </w:r>
          </w:p>
        </w:tc>
      </w:tr>
      <w:tr w:rsidR="007049A5" w:rsidRPr="004E4188" w14:paraId="0EC003B2"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4E6D4077" w14:textId="77777777" w:rsidR="007049A5" w:rsidRPr="004E4188" w:rsidRDefault="007049A5" w:rsidP="006C6267">
            <w:pPr>
              <w:suppressAutoHyphens w:val="0"/>
              <w:overflowPunct/>
              <w:snapToGrid w:val="0"/>
              <w:spacing w:before="20" w:after="20" w:line="240" w:lineRule="exact"/>
              <w:ind w:left="259" w:hanging="259"/>
              <w:jc w:val="left"/>
              <w:textAlignment w:val="auto"/>
              <w:rPr>
                <w:noProof/>
                <w:sz w:val="21"/>
                <w:szCs w:val="21"/>
                <w:lang w:eastAsia="ja-JP"/>
              </w:rPr>
            </w:pPr>
          </w:p>
        </w:tc>
        <w:tc>
          <w:tcPr>
            <w:tcW w:w="635" w:type="dxa"/>
            <w:tcBorders>
              <w:top w:val="nil"/>
              <w:left w:val="nil"/>
              <w:bottom w:val="nil"/>
              <w:right w:val="nil"/>
            </w:tcBorders>
            <w:shd w:val="clear" w:color="auto" w:fill="auto"/>
          </w:tcPr>
          <w:p w14:paraId="504EF105"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i.</w:t>
            </w:r>
          </w:p>
        </w:tc>
        <w:tc>
          <w:tcPr>
            <w:tcW w:w="3541" w:type="dxa"/>
            <w:tcBorders>
              <w:top w:val="nil"/>
              <w:left w:val="nil"/>
              <w:bottom w:val="nil"/>
              <w:right w:val="single" w:sz="4" w:space="0" w:color="auto"/>
            </w:tcBorders>
            <w:shd w:val="clear" w:color="auto" w:fill="auto"/>
          </w:tcPr>
          <w:p w14:paraId="7F811F4F"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noProof/>
                <w:sz w:val="21"/>
                <w:szCs w:val="21"/>
                <w:lang w:eastAsia="en-US"/>
              </w:rPr>
              <w:t>Organisation du chantier.</w:t>
            </w:r>
          </w:p>
        </w:tc>
        <w:tc>
          <w:tcPr>
            <w:tcW w:w="567" w:type="dxa"/>
            <w:tcBorders>
              <w:top w:val="nil"/>
              <w:left w:val="single" w:sz="4" w:space="0" w:color="auto"/>
              <w:bottom w:val="nil"/>
              <w:right w:val="nil"/>
            </w:tcBorders>
            <w:shd w:val="clear" w:color="auto" w:fill="auto"/>
            <w:vAlign w:val="center"/>
          </w:tcPr>
          <w:p w14:paraId="179B1961" w14:textId="77777777" w:rsidR="007049A5" w:rsidRPr="004E4188" w:rsidRDefault="007049A5" w:rsidP="006C6267">
            <w:pPr>
              <w:suppressAutoHyphens w:val="0"/>
              <w:overflowPunct/>
              <w:snapToGrid w:val="0"/>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3429657F"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i.</w:t>
            </w:r>
          </w:p>
        </w:tc>
        <w:tc>
          <w:tcPr>
            <w:tcW w:w="3546" w:type="dxa"/>
            <w:gridSpan w:val="2"/>
            <w:tcBorders>
              <w:top w:val="nil"/>
              <w:left w:val="nil"/>
              <w:bottom w:val="nil"/>
              <w:right w:val="single" w:sz="12" w:space="0" w:color="auto"/>
            </w:tcBorders>
            <w:shd w:val="clear" w:color="auto" w:fill="auto"/>
          </w:tcPr>
          <w:p w14:paraId="33278903"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noProof/>
                <w:sz w:val="21"/>
                <w:szCs w:val="21"/>
                <w:lang w:eastAsia="en-US"/>
              </w:rPr>
              <w:t>Organisation du chantier.</w:t>
            </w:r>
          </w:p>
        </w:tc>
      </w:tr>
      <w:tr w:rsidR="007049A5" w:rsidRPr="004E4188" w14:paraId="3B3897E9"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775A81B4" w14:textId="77777777" w:rsidR="007049A5" w:rsidRPr="004E4188" w:rsidRDefault="007049A5" w:rsidP="006C6267">
            <w:pPr>
              <w:suppressAutoHyphens w:val="0"/>
              <w:overflowPunct/>
              <w:snapToGrid w:val="0"/>
              <w:spacing w:before="20" w:after="20" w:line="240" w:lineRule="exact"/>
              <w:ind w:left="259" w:hanging="259"/>
              <w:jc w:val="left"/>
              <w:textAlignment w:val="auto"/>
              <w:rPr>
                <w:noProof/>
                <w:sz w:val="21"/>
                <w:szCs w:val="21"/>
                <w:lang w:eastAsia="ja-JP"/>
              </w:rPr>
            </w:pPr>
          </w:p>
        </w:tc>
        <w:tc>
          <w:tcPr>
            <w:tcW w:w="635" w:type="dxa"/>
            <w:tcBorders>
              <w:top w:val="nil"/>
              <w:left w:val="nil"/>
              <w:bottom w:val="nil"/>
              <w:right w:val="nil"/>
            </w:tcBorders>
            <w:shd w:val="clear" w:color="auto" w:fill="auto"/>
          </w:tcPr>
          <w:p w14:paraId="662EBF83" w14:textId="77777777" w:rsidR="007049A5" w:rsidRPr="004E4188" w:rsidRDefault="007049A5" w:rsidP="006C6267">
            <w:pPr>
              <w:suppressAutoHyphens w:val="0"/>
              <w:overflowPunct/>
              <w:snapToGrid w:val="0"/>
              <w:spacing w:before="20" w:after="20" w:line="240" w:lineRule="exact"/>
              <w:ind w:firstLineChars="50" w:firstLine="105"/>
              <w:textAlignment w:val="auto"/>
              <w:rPr>
                <w:noProof/>
                <w:sz w:val="21"/>
                <w:szCs w:val="21"/>
                <w:lang w:eastAsia="ja-JP"/>
              </w:rPr>
            </w:pPr>
            <w:r w:rsidRPr="004E4188">
              <w:rPr>
                <w:noProof/>
                <w:sz w:val="21"/>
                <w:szCs w:val="21"/>
                <w:lang w:eastAsia="ja-JP"/>
              </w:rPr>
              <w:t>ii.</w:t>
            </w:r>
          </w:p>
        </w:tc>
        <w:tc>
          <w:tcPr>
            <w:tcW w:w="3541" w:type="dxa"/>
            <w:tcBorders>
              <w:top w:val="nil"/>
              <w:left w:val="nil"/>
              <w:bottom w:val="nil"/>
              <w:right w:val="single" w:sz="4" w:space="0" w:color="auto"/>
            </w:tcBorders>
            <w:shd w:val="clear" w:color="auto" w:fill="auto"/>
          </w:tcPr>
          <w:p w14:paraId="2A75FECD"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ja-JP"/>
              </w:rPr>
            </w:pPr>
            <w:r w:rsidRPr="004E4188">
              <w:rPr>
                <w:b/>
                <w:noProof/>
                <w:sz w:val="21"/>
                <w:szCs w:val="21"/>
                <w:lang w:eastAsia="ja-JP"/>
              </w:rPr>
              <w:t>Méthodologie de conception.</w:t>
            </w:r>
          </w:p>
        </w:tc>
        <w:tc>
          <w:tcPr>
            <w:tcW w:w="567" w:type="dxa"/>
            <w:tcBorders>
              <w:top w:val="nil"/>
              <w:left w:val="single" w:sz="4" w:space="0" w:color="auto"/>
              <w:bottom w:val="nil"/>
              <w:right w:val="nil"/>
            </w:tcBorders>
            <w:shd w:val="clear" w:color="auto" w:fill="auto"/>
            <w:vAlign w:val="center"/>
          </w:tcPr>
          <w:p w14:paraId="0BBCBBC4" w14:textId="77777777" w:rsidR="007049A5" w:rsidRPr="004E4188" w:rsidRDefault="007049A5" w:rsidP="006C6267">
            <w:pPr>
              <w:suppressAutoHyphens w:val="0"/>
              <w:overflowPunct/>
              <w:snapToGrid w:val="0"/>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627C1801" w14:textId="77777777" w:rsidR="007049A5" w:rsidRPr="004E4188" w:rsidRDefault="007049A5" w:rsidP="006C6267">
            <w:pPr>
              <w:suppressAutoHyphens w:val="0"/>
              <w:overflowPunct/>
              <w:snapToGrid w:val="0"/>
              <w:spacing w:before="20" w:after="20" w:line="240" w:lineRule="exact"/>
              <w:ind w:firstLineChars="50" w:firstLine="105"/>
              <w:textAlignment w:val="auto"/>
              <w:rPr>
                <w:noProof/>
                <w:sz w:val="21"/>
                <w:szCs w:val="21"/>
                <w:lang w:eastAsia="ja-JP"/>
              </w:rPr>
            </w:pPr>
            <w:r w:rsidRPr="004E4188">
              <w:rPr>
                <w:noProof/>
                <w:sz w:val="21"/>
                <w:szCs w:val="21"/>
                <w:lang w:eastAsia="ja-JP"/>
              </w:rPr>
              <w:t>ii</w:t>
            </w:r>
          </w:p>
        </w:tc>
        <w:tc>
          <w:tcPr>
            <w:tcW w:w="3546" w:type="dxa"/>
            <w:gridSpan w:val="2"/>
            <w:tcBorders>
              <w:top w:val="nil"/>
              <w:left w:val="nil"/>
              <w:bottom w:val="nil"/>
              <w:right w:val="single" w:sz="12" w:space="0" w:color="auto"/>
            </w:tcBorders>
            <w:shd w:val="clear" w:color="auto" w:fill="auto"/>
          </w:tcPr>
          <w:p w14:paraId="4DB1DB58"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noProof/>
                <w:sz w:val="21"/>
                <w:szCs w:val="21"/>
                <w:lang w:eastAsia="ja-JP"/>
              </w:rPr>
              <w:t>Méthodologie de conception.</w:t>
            </w:r>
          </w:p>
        </w:tc>
      </w:tr>
      <w:tr w:rsidR="007049A5" w:rsidRPr="004E4188" w14:paraId="6B4FE750"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0528906D" w14:textId="77777777" w:rsidR="007049A5" w:rsidRPr="004E4188" w:rsidRDefault="007049A5" w:rsidP="006C6267">
            <w:pPr>
              <w:suppressAutoHyphens w:val="0"/>
              <w:overflowPunct/>
              <w:snapToGrid w:val="0"/>
              <w:spacing w:before="20" w:after="20" w:line="240" w:lineRule="exact"/>
              <w:ind w:left="259" w:hanging="259"/>
              <w:jc w:val="left"/>
              <w:textAlignment w:val="auto"/>
              <w:rPr>
                <w:noProof/>
                <w:sz w:val="21"/>
                <w:szCs w:val="21"/>
                <w:lang w:eastAsia="ja-JP"/>
              </w:rPr>
            </w:pPr>
          </w:p>
        </w:tc>
        <w:tc>
          <w:tcPr>
            <w:tcW w:w="635" w:type="dxa"/>
            <w:tcBorders>
              <w:top w:val="nil"/>
              <w:left w:val="nil"/>
              <w:bottom w:val="nil"/>
              <w:right w:val="nil"/>
            </w:tcBorders>
            <w:shd w:val="clear" w:color="auto" w:fill="auto"/>
          </w:tcPr>
          <w:p w14:paraId="003963B8"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iii.</w:t>
            </w:r>
          </w:p>
        </w:tc>
        <w:tc>
          <w:tcPr>
            <w:tcW w:w="3541" w:type="dxa"/>
            <w:tcBorders>
              <w:top w:val="nil"/>
              <w:left w:val="nil"/>
              <w:bottom w:val="nil"/>
              <w:right w:val="single" w:sz="4" w:space="0" w:color="auto"/>
            </w:tcBorders>
            <w:shd w:val="clear" w:color="auto" w:fill="auto"/>
          </w:tcPr>
          <w:p w14:paraId="34B32D36"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noProof/>
                <w:sz w:val="21"/>
                <w:szCs w:val="21"/>
                <w:lang w:eastAsia="en-US"/>
              </w:rPr>
              <w:t>Méthode de réalisation.</w:t>
            </w:r>
          </w:p>
        </w:tc>
        <w:tc>
          <w:tcPr>
            <w:tcW w:w="567" w:type="dxa"/>
            <w:tcBorders>
              <w:top w:val="nil"/>
              <w:left w:val="single" w:sz="4" w:space="0" w:color="auto"/>
              <w:bottom w:val="nil"/>
              <w:right w:val="nil"/>
            </w:tcBorders>
            <w:shd w:val="clear" w:color="auto" w:fill="auto"/>
            <w:vAlign w:val="center"/>
          </w:tcPr>
          <w:p w14:paraId="58DA4044" w14:textId="77777777" w:rsidR="007049A5" w:rsidRPr="004E4188" w:rsidRDefault="007049A5" w:rsidP="006C6267">
            <w:pPr>
              <w:suppressAutoHyphens w:val="0"/>
              <w:overflowPunct/>
              <w:snapToGrid w:val="0"/>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47E05C26"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iii.</w:t>
            </w:r>
          </w:p>
        </w:tc>
        <w:tc>
          <w:tcPr>
            <w:tcW w:w="3546" w:type="dxa"/>
            <w:gridSpan w:val="2"/>
            <w:tcBorders>
              <w:top w:val="nil"/>
              <w:left w:val="nil"/>
              <w:bottom w:val="nil"/>
              <w:right w:val="single" w:sz="12" w:space="0" w:color="auto"/>
            </w:tcBorders>
            <w:shd w:val="clear" w:color="auto" w:fill="auto"/>
          </w:tcPr>
          <w:p w14:paraId="053C09C8"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noProof/>
                <w:sz w:val="21"/>
                <w:szCs w:val="21"/>
                <w:lang w:eastAsia="en-US"/>
              </w:rPr>
              <w:t>Méthode de réalisation.</w:t>
            </w:r>
          </w:p>
        </w:tc>
      </w:tr>
      <w:tr w:rsidR="007049A5" w:rsidRPr="004E4188" w14:paraId="3BEA108B"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7369E7F6" w14:textId="77777777" w:rsidR="007049A5" w:rsidRPr="004E4188" w:rsidRDefault="007049A5" w:rsidP="006C6267">
            <w:pPr>
              <w:suppressAutoHyphens w:val="0"/>
              <w:overflowPunct/>
              <w:snapToGrid w:val="0"/>
              <w:spacing w:before="20" w:after="20" w:line="240" w:lineRule="exact"/>
              <w:ind w:left="259" w:hanging="259"/>
              <w:jc w:val="left"/>
              <w:textAlignment w:val="auto"/>
              <w:rPr>
                <w:noProof/>
                <w:sz w:val="21"/>
                <w:szCs w:val="21"/>
                <w:lang w:eastAsia="ja-JP"/>
              </w:rPr>
            </w:pPr>
          </w:p>
        </w:tc>
        <w:tc>
          <w:tcPr>
            <w:tcW w:w="635" w:type="dxa"/>
            <w:tcBorders>
              <w:top w:val="nil"/>
              <w:left w:val="nil"/>
              <w:bottom w:val="nil"/>
              <w:right w:val="nil"/>
            </w:tcBorders>
            <w:shd w:val="clear" w:color="auto" w:fill="auto"/>
          </w:tcPr>
          <w:p w14:paraId="40F4CAF8"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iv.</w:t>
            </w:r>
          </w:p>
        </w:tc>
        <w:tc>
          <w:tcPr>
            <w:tcW w:w="3541" w:type="dxa"/>
            <w:tcBorders>
              <w:top w:val="nil"/>
              <w:left w:val="nil"/>
              <w:bottom w:val="nil"/>
              <w:right w:val="single" w:sz="4" w:space="0" w:color="auto"/>
            </w:tcBorders>
            <w:shd w:val="clear" w:color="auto" w:fill="auto"/>
          </w:tcPr>
          <w:p w14:paraId="0A1B56A7"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noProof/>
                <w:sz w:val="21"/>
                <w:szCs w:val="21"/>
                <w:lang w:eastAsia="en-US"/>
              </w:rPr>
              <w:t>Programme de mobilisation.</w:t>
            </w:r>
          </w:p>
        </w:tc>
        <w:tc>
          <w:tcPr>
            <w:tcW w:w="567" w:type="dxa"/>
            <w:tcBorders>
              <w:top w:val="nil"/>
              <w:left w:val="single" w:sz="4" w:space="0" w:color="auto"/>
              <w:bottom w:val="nil"/>
              <w:right w:val="nil"/>
            </w:tcBorders>
            <w:shd w:val="clear" w:color="auto" w:fill="auto"/>
            <w:vAlign w:val="center"/>
          </w:tcPr>
          <w:p w14:paraId="55D7EDE1" w14:textId="77777777" w:rsidR="007049A5" w:rsidRPr="004E4188" w:rsidRDefault="007049A5" w:rsidP="006C6267">
            <w:pPr>
              <w:suppressAutoHyphens w:val="0"/>
              <w:overflowPunct/>
              <w:snapToGrid w:val="0"/>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57CDA6D4"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iv.</w:t>
            </w:r>
          </w:p>
        </w:tc>
        <w:tc>
          <w:tcPr>
            <w:tcW w:w="3546" w:type="dxa"/>
            <w:gridSpan w:val="2"/>
            <w:tcBorders>
              <w:top w:val="nil"/>
              <w:left w:val="nil"/>
              <w:bottom w:val="nil"/>
              <w:right w:val="single" w:sz="12" w:space="0" w:color="auto"/>
            </w:tcBorders>
            <w:shd w:val="clear" w:color="auto" w:fill="auto"/>
          </w:tcPr>
          <w:p w14:paraId="078607E8"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noProof/>
                <w:sz w:val="21"/>
                <w:szCs w:val="21"/>
                <w:lang w:eastAsia="en-US"/>
              </w:rPr>
              <w:t>Programme de mobilisation.</w:t>
            </w:r>
          </w:p>
        </w:tc>
      </w:tr>
      <w:tr w:rsidR="007049A5" w:rsidRPr="004E4188" w14:paraId="61408F2B"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1D89865B" w14:textId="77777777" w:rsidR="007049A5" w:rsidRPr="004E4188" w:rsidRDefault="007049A5" w:rsidP="006C6267">
            <w:pPr>
              <w:suppressAutoHyphens w:val="0"/>
              <w:overflowPunct/>
              <w:snapToGrid w:val="0"/>
              <w:spacing w:before="20" w:after="20" w:line="240" w:lineRule="exact"/>
              <w:ind w:left="259" w:hanging="259"/>
              <w:jc w:val="left"/>
              <w:textAlignment w:val="auto"/>
              <w:rPr>
                <w:noProof/>
                <w:sz w:val="21"/>
                <w:szCs w:val="21"/>
                <w:lang w:eastAsia="ja-JP"/>
              </w:rPr>
            </w:pPr>
          </w:p>
        </w:tc>
        <w:tc>
          <w:tcPr>
            <w:tcW w:w="635" w:type="dxa"/>
            <w:tcBorders>
              <w:top w:val="nil"/>
              <w:left w:val="nil"/>
              <w:bottom w:val="nil"/>
              <w:right w:val="nil"/>
            </w:tcBorders>
            <w:shd w:val="clear" w:color="auto" w:fill="auto"/>
          </w:tcPr>
          <w:p w14:paraId="3FF40D14"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v.</w:t>
            </w:r>
          </w:p>
        </w:tc>
        <w:tc>
          <w:tcPr>
            <w:tcW w:w="3541" w:type="dxa"/>
            <w:tcBorders>
              <w:top w:val="nil"/>
              <w:left w:val="nil"/>
              <w:bottom w:val="nil"/>
              <w:right w:val="single" w:sz="4" w:space="0" w:color="auto"/>
            </w:tcBorders>
            <w:shd w:val="clear" w:color="auto" w:fill="auto"/>
          </w:tcPr>
          <w:p w14:paraId="10A67EB4"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noProof/>
                <w:sz w:val="21"/>
                <w:szCs w:val="21"/>
                <w:lang w:eastAsia="en-US"/>
              </w:rPr>
              <w:t xml:space="preserve">Programme de </w:t>
            </w:r>
            <w:r w:rsidRPr="004E4188">
              <w:rPr>
                <w:b/>
                <w:sz w:val="21"/>
                <w:szCs w:val="21"/>
              </w:rPr>
              <w:t>conception, fourniture et montage des équipements</w:t>
            </w:r>
          </w:p>
        </w:tc>
        <w:tc>
          <w:tcPr>
            <w:tcW w:w="567" w:type="dxa"/>
            <w:tcBorders>
              <w:top w:val="nil"/>
              <w:left w:val="single" w:sz="4" w:space="0" w:color="auto"/>
              <w:bottom w:val="nil"/>
              <w:right w:val="nil"/>
            </w:tcBorders>
            <w:shd w:val="clear" w:color="auto" w:fill="auto"/>
            <w:vAlign w:val="center"/>
          </w:tcPr>
          <w:p w14:paraId="5E5768F9" w14:textId="77777777" w:rsidR="007049A5" w:rsidRPr="004E4188" w:rsidRDefault="007049A5" w:rsidP="006C6267">
            <w:pPr>
              <w:suppressAutoHyphens w:val="0"/>
              <w:overflowPunct/>
              <w:snapToGrid w:val="0"/>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5A631164"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v.</w:t>
            </w:r>
          </w:p>
        </w:tc>
        <w:tc>
          <w:tcPr>
            <w:tcW w:w="3546" w:type="dxa"/>
            <w:gridSpan w:val="2"/>
            <w:tcBorders>
              <w:top w:val="nil"/>
              <w:left w:val="nil"/>
              <w:bottom w:val="nil"/>
              <w:right w:val="single" w:sz="12" w:space="0" w:color="auto"/>
            </w:tcBorders>
            <w:shd w:val="clear" w:color="auto" w:fill="auto"/>
          </w:tcPr>
          <w:p w14:paraId="259F099D"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noProof/>
                <w:sz w:val="21"/>
                <w:szCs w:val="21"/>
                <w:lang w:eastAsia="en-US"/>
              </w:rPr>
              <w:t xml:space="preserve">Programme de </w:t>
            </w:r>
            <w:r w:rsidRPr="004E4188">
              <w:rPr>
                <w:b/>
                <w:sz w:val="21"/>
                <w:szCs w:val="21"/>
              </w:rPr>
              <w:t>conception, fourniture et montage des équipements</w:t>
            </w:r>
          </w:p>
        </w:tc>
      </w:tr>
      <w:tr w:rsidR="007049A5" w:rsidRPr="004E4188" w14:paraId="3FE03D15"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04C15B3D" w14:textId="77777777" w:rsidR="007049A5" w:rsidRPr="004E4188" w:rsidRDefault="007049A5" w:rsidP="006C6267">
            <w:pPr>
              <w:suppressAutoHyphens w:val="0"/>
              <w:overflowPunct/>
              <w:snapToGrid w:val="0"/>
              <w:spacing w:before="20" w:after="20" w:line="240" w:lineRule="exact"/>
              <w:ind w:left="259" w:hanging="259"/>
              <w:jc w:val="left"/>
              <w:textAlignment w:val="auto"/>
              <w:rPr>
                <w:noProof/>
                <w:sz w:val="21"/>
                <w:szCs w:val="21"/>
                <w:lang w:eastAsia="ja-JP"/>
              </w:rPr>
            </w:pPr>
          </w:p>
        </w:tc>
        <w:tc>
          <w:tcPr>
            <w:tcW w:w="635" w:type="dxa"/>
            <w:tcBorders>
              <w:top w:val="nil"/>
              <w:left w:val="nil"/>
              <w:bottom w:val="nil"/>
              <w:right w:val="nil"/>
            </w:tcBorders>
            <w:shd w:val="clear" w:color="auto" w:fill="auto"/>
          </w:tcPr>
          <w:p w14:paraId="08D5D4E2"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vi.</w:t>
            </w:r>
          </w:p>
        </w:tc>
        <w:tc>
          <w:tcPr>
            <w:tcW w:w="3541" w:type="dxa"/>
            <w:tcBorders>
              <w:top w:val="nil"/>
              <w:left w:val="nil"/>
              <w:bottom w:val="nil"/>
              <w:right w:val="single" w:sz="4" w:space="0" w:color="auto"/>
            </w:tcBorders>
            <w:shd w:val="clear" w:color="auto" w:fill="auto"/>
          </w:tcPr>
          <w:p w14:paraId="0E548B8A"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rFonts w:hint="eastAsia"/>
                <w:b/>
                <w:noProof/>
                <w:sz w:val="21"/>
                <w:szCs w:val="21"/>
                <w:lang w:eastAsia="en-US"/>
              </w:rPr>
              <w:t>É</w:t>
            </w:r>
            <w:r w:rsidRPr="004E4188">
              <w:rPr>
                <w:b/>
                <w:noProof/>
                <w:sz w:val="21"/>
                <w:szCs w:val="21"/>
                <w:lang w:eastAsia="en-US"/>
              </w:rPr>
              <w:t>quipements proposés devant être fournis et montés.</w:t>
            </w:r>
          </w:p>
        </w:tc>
        <w:tc>
          <w:tcPr>
            <w:tcW w:w="567" w:type="dxa"/>
            <w:tcBorders>
              <w:top w:val="nil"/>
              <w:left w:val="single" w:sz="4" w:space="0" w:color="auto"/>
              <w:bottom w:val="nil"/>
              <w:right w:val="nil"/>
            </w:tcBorders>
            <w:shd w:val="clear" w:color="auto" w:fill="auto"/>
            <w:vAlign w:val="center"/>
          </w:tcPr>
          <w:p w14:paraId="5C79F1C4" w14:textId="77777777" w:rsidR="007049A5" w:rsidRPr="004E4188" w:rsidRDefault="007049A5" w:rsidP="006C6267">
            <w:pPr>
              <w:suppressAutoHyphens w:val="0"/>
              <w:overflowPunct/>
              <w:snapToGrid w:val="0"/>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4D3CD4BA"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vi.</w:t>
            </w:r>
          </w:p>
        </w:tc>
        <w:tc>
          <w:tcPr>
            <w:tcW w:w="3546" w:type="dxa"/>
            <w:gridSpan w:val="2"/>
            <w:tcBorders>
              <w:top w:val="nil"/>
              <w:left w:val="nil"/>
              <w:bottom w:val="nil"/>
              <w:right w:val="single" w:sz="12" w:space="0" w:color="auto"/>
            </w:tcBorders>
            <w:shd w:val="clear" w:color="auto" w:fill="auto"/>
          </w:tcPr>
          <w:p w14:paraId="31B9CC52"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rFonts w:hint="eastAsia"/>
                <w:b/>
                <w:noProof/>
                <w:sz w:val="21"/>
                <w:szCs w:val="21"/>
                <w:lang w:eastAsia="en-US"/>
              </w:rPr>
              <w:t>É</w:t>
            </w:r>
            <w:r w:rsidRPr="004E4188">
              <w:rPr>
                <w:b/>
                <w:noProof/>
                <w:sz w:val="21"/>
                <w:szCs w:val="21"/>
                <w:lang w:eastAsia="en-US"/>
              </w:rPr>
              <w:t>quipements proposés devant être fournis et montés.</w:t>
            </w:r>
          </w:p>
        </w:tc>
      </w:tr>
      <w:tr w:rsidR="007049A5" w:rsidRPr="004E4188" w14:paraId="6C631D3A"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1894198F" w14:textId="77777777" w:rsidR="007049A5" w:rsidRPr="004E4188" w:rsidRDefault="007049A5" w:rsidP="006C6267">
            <w:pPr>
              <w:suppressAutoHyphens w:val="0"/>
              <w:overflowPunct/>
              <w:snapToGrid w:val="0"/>
              <w:spacing w:before="20" w:after="20" w:line="240" w:lineRule="exact"/>
              <w:ind w:left="259" w:hanging="259"/>
              <w:jc w:val="left"/>
              <w:textAlignment w:val="auto"/>
              <w:rPr>
                <w:noProof/>
                <w:sz w:val="21"/>
                <w:szCs w:val="21"/>
                <w:lang w:eastAsia="ja-JP"/>
              </w:rPr>
            </w:pPr>
          </w:p>
        </w:tc>
        <w:tc>
          <w:tcPr>
            <w:tcW w:w="635" w:type="dxa"/>
            <w:tcBorders>
              <w:top w:val="nil"/>
              <w:left w:val="nil"/>
              <w:bottom w:val="nil"/>
              <w:right w:val="nil"/>
            </w:tcBorders>
            <w:shd w:val="clear" w:color="auto" w:fill="auto"/>
          </w:tcPr>
          <w:p w14:paraId="04A54F01"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vii.</w:t>
            </w:r>
          </w:p>
        </w:tc>
        <w:tc>
          <w:tcPr>
            <w:tcW w:w="3541" w:type="dxa"/>
            <w:tcBorders>
              <w:top w:val="nil"/>
              <w:left w:val="nil"/>
              <w:bottom w:val="nil"/>
              <w:right w:val="single" w:sz="4" w:space="0" w:color="auto"/>
            </w:tcBorders>
            <w:shd w:val="clear" w:color="auto" w:fill="auto"/>
          </w:tcPr>
          <w:p w14:paraId="54D49ADA"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sz w:val="21"/>
                <w:szCs w:val="21"/>
                <w:lang w:eastAsia="en-US"/>
              </w:rPr>
              <w:t>Plan de santé et de sécurité.</w:t>
            </w:r>
          </w:p>
        </w:tc>
        <w:tc>
          <w:tcPr>
            <w:tcW w:w="567" w:type="dxa"/>
            <w:tcBorders>
              <w:top w:val="nil"/>
              <w:left w:val="single" w:sz="4" w:space="0" w:color="auto"/>
              <w:bottom w:val="nil"/>
              <w:right w:val="nil"/>
            </w:tcBorders>
            <w:shd w:val="clear" w:color="auto" w:fill="auto"/>
            <w:vAlign w:val="center"/>
          </w:tcPr>
          <w:p w14:paraId="7B456D97" w14:textId="77777777" w:rsidR="007049A5" w:rsidRPr="004E4188" w:rsidRDefault="007049A5" w:rsidP="006C6267">
            <w:pPr>
              <w:suppressAutoHyphens w:val="0"/>
              <w:overflowPunct/>
              <w:snapToGrid w:val="0"/>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318A363D"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vii.</w:t>
            </w:r>
          </w:p>
        </w:tc>
        <w:tc>
          <w:tcPr>
            <w:tcW w:w="3546" w:type="dxa"/>
            <w:gridSpan w:val="2"/>
            <w:tcBorders>
              <w:top w:val="nil"/>
              <w:left w:val="nil"/>
              <w:bottom w:val="nil"/>
              <w:right w:val="single" w:sz="12" w:space="0" w:color="auto"/>
            </w:tcBorders>
            <w:shd w:val="clear" w:color="auto" w:fill="auto"/>
          </w:tcPr>
          <w:p w14:paraId="1E4F89B8"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sz w:val="21"/>
                <w:szCs w:val="21"/>
                <w:lang w:eastAsia="en-US"/>
              </w:rPr>
              <w:t>Plan de santé et de sécurité.</w:t>
            </w:r>
          </w:p>
        </w:tc>
      </w:tr>
      <w:tr w:rsidR="007049A5" w:rsidRPr="004E4188" w14:paraId="75971CA8"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31651B8E" w14:textId="77777777" w:rsidR="007049A5" w:rsidRPr="004E4188" w:rsidRDefault="007049A5" w:rsidP="006C6267">
            <w:pPr>
              <w:suppressAutoHyphens w:val="0"/>
              <w:overflowPunct/>
              <w:snapToGrid w:val="0"/>
              <w:spacing w:before="20" w:after="20" w:line="240" w:lineRule="exact"/>
              <w:ind w:left="259" w:hanging="259"/>
              <w:jc w:val="left"/>
              <w:textAlignment w:val="auto"/>
              <w:rPr>
                <w:noProof/>
                <w:sz w:val="21"/>
                <w:szCs w:val="21"/>
                <w:lang w:eastAsia="ja-JP"/>
              </w:rPr>
            </w:pPr>
          </w:p>
        </w:tc>
        <w:tc>
          <w:tcPr>
            <w:tcW w:w="635" w:type="dxa"/>
            <w:tcBorders>
              <w:top w:val="nil"/>
              <w:left w:val="nil"/>
              <w:bottom w:val="nil"/>
              <w:right w:val="nil"/>
            </w:tcBorders>
            <w:shd w:val="clear" w:color="auto" w:fill="auto"/>
          </w:tcPr>
          <w:p w14:paraId="0EDED634"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viii.</w:t>
            </w:r>
          </w:p>
        </w:tc>
        <w:tc>
          <w:tcPr>
            <w:tcW w:w="3541" w:type="dxa"/>
            <w:tcBorders>
              <w:top w:val="nil"/>
              <w:left w:val="nil"/>
              <w:bottom w:val="nil"/>
              <w:right w:val="single" w:sz="4" w:space="0" w:color="auto"/>
            </w:tcBorders>
            <w:shd w:val="clear" w:color="auto" w:fill="auto"/>
          </w:tcPr>
          <w:p w14:paraId="15CC4489"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ja-JP"/>
              </w:rPr>
            </w:pPr>
            <w:r w:rsidRPr="004E4188">
              <w:rPr>
                <w:b/>
                <w:sz w:val="21"/>
                <w:szCs w:val="21"/>
                <w:lang w:val="en-GB" w:eastAsia="en-US"/>
              </w:rPr>
              <w:t>Plan environnemental.</w:t>
            </w:r>
          </w:p>
        </w:tc>
        <w:tc>
          <w:tcPr>
            <w:tcW w:w="567" w:type="dxa"/>
            <w:tcBorders>
              <w:top w:val="nil"/>
              <w:left w:val="single" w:sz="4" w:space="0" w:color="auto"/>
              <w:bottom w:val="nil"/>
              <w:right w:val="nil"/>
            </w:tcBorders>
            <w:shd w:val="clear" w:color="auto" w:fill="auto"/>
            <w:vAlign w:val="center"/>
          </w:tcPr>
          <w:p w14:paraId="586E05B9" w14:textId="77777777" w:rsidR="007049A5" w:rsidRPr="004E4188" w:rsidRDefault="007049A5" w:rsidP="006C6267">
            <w:pPr>
              <w:suppressAutoHyphens w:val="0"/>
              <w:overflowPunct/>
              <w:snapToGrid w:val="0"/>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0FDE6EC4"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viii</w:t>
            </w:r>
          </w:p>
        </w:tc>
        <w:tc>
          <w:tcPr>
            <w:tcW w:w="3546" w:type="dxa"/>
            <w:gridSpan w:val="2"/>
            <w:tcBorders>
              <w:top w:val="nil"/>
              <w:left w:val="nil"/>
              <w:bottom w:val="nil"/>
              <w:right w:val="single" w:sz="12" w:space="0" w:color="auto"/>
            </w:tcBorders>
            <w:shd w:val="clear" w:color="auto" w:fill="auto"/>
          </w:tcPr>
          <w:p w14:paraId="634BFF89"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ja-JP"/>
              </w:rPr>
            </w:pPr>
            <w:r w:rsidRPr="004E4188">
              <w:rPr>
                <w:b/>
                <w:sz w:val="21"/>
                <w:szCs w:val="21"/>
                <w:lang w:val="en-GB" w:eastAsia="en-US"/>
              </w:rPr>
              <w:t>Plan environnemental.</w:t>
            </w:r>
          </w:p>
        </w:tc>
      </w:tr>
      <w:tr w:rsidR="007049A5" w:rsidRPr="004E4188" w14:paraId="4ACDC96D"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41335CD5" w14:textId="77777777" w:rsidR="007049A5" w:rsidRPr="004E4188" w:rsidRDefault="007049A5" w:rsidP="006C6267">
            <w:pPr>
              <w:suppressAutoHyphens w:val="0"/>
              <w:overflowPunct/>
              <w:snapToGrid w:val="0"/>
              <w:spacing w:before="20" w:after="20" w:line="240" w:lineRule="exact"/>
              <w:ind w:left="259" w:hanging="259"/>
              <w:jc w:val="left"/>
              <w:textAlignment w:val="auto"/>
              <w:rPr>
                <w:noProof/>
                <w:sz w:val="21"/>
                <w:szCs w:val="21"/>
                <w:lang w:eastAsia="ja-JP"/>
              </w:rPr>
            </w:pPr>
          </w:p>
        </w:tc>
        <w:tc>
          <w:tcPr>
            <w:tcW w:w="635" w:type="dxa"/>
            <w:tcBorders>
              <w:top w:val="nil"/>
              <w:left w:val="nil"/>
              <w:bottom w:val="nil"/>
              <w:right w:val="nil"/>
            </w:tcBorders>
            <w:shd w:val="clear" w:color="auto" w:fill="auto"/>
          </w:tcPr>
          <w:p w14:paraId="6A7D1E55"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ix.</w:t>
            </w:r>
          </w:p>
        </w:tc>
        <w:tc>
          <w:tcPr>
            <w:tcW w:w="3541" w:type="dxa"/>
            <w:tcBorders>
              <w:top w:val="nil"/>
              <w:left w:val="nil"/>
              <w:bottom w:val="nil"/>
              <w:right w:val="single" w:sz="4" w:space="0" w:color="auto"/>
            </w:tcBorders>
            <w:shd w:val="clear" w:color="auto" w:fill="auto"/>
          </w:tcPr>
          <w:p w14:paraId="5D01A39B"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noProof/>
                <w:sz w:val="21"/>
                <w:szCs w:val="21"/>
                <w:lang w:eastAsia="ja-JP"/>
              </w:rPr>
              <w:t>Formulaire GAR</w:t>
            </w:r>
            <w:r w:rsidRPr="004E4188">
              <w:rPr>
                <w:rFonts w:hint="eastAsia"/>
                <w:b/>
                <w:noProof/>
                <w:sz w:val="21"/>
                <w:szCs w:val="21"/>
                <w:lang w:eastAsia="ja-JP"/>
              </w:rPr>
              <w:t xml:space="preserve"> </w:t>
            </w:r>
            <w:r w:rsidRPr="004E4188">
              <w:rPr>
                <w:b/>
                <w:noProof/>
                <w:sz w:val="21"/>
                <w:szCs w:val="21"/>
                <w:lang w:eastAsia="ja-JP"/>
              </w:rPr>
              <w:t>Garanties opérationnelles.</w:t>
            </w:r>
          </w:p>
        </w:tc>
        <w:tc>
          <w:tcPr>
            <w:tcW w:w="567" w:type="dxa"/>
            <w:tcBorders>
              <w:top w:val="nil"/>
              <w:left w:val="single" w:sz="4" w:space="0" w:color="auto"/>
              <w:bottom w:val="nil"/>
              <w:right w:val="nil"/>
            </w:tcBorders>
            <w:shd w:val="clear" w:color="auto" w:fill="auto"/>
            <w:vAlign w:val="center"/>
          </w:tcPr>
          <w:p w14:paraId="22EE4D66" w14:textId="77777777" w:rsidR="007049A5" w:rsidRPr="004E4188" w:rsidRDefault="007049A5" w:rsidP="006C6267">
            <w:pPr>
              <w:suppressAutoHyphens w:val="0"/>
              <w:overflowPunct/>
              <w:snapToGrid w:val="0"/>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2B1BFE99"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ix.</w:t>
            </w:r>
          </w:p>
        </w:tc>
        <w:tc>
          <w:tcPr>
            <w:tcW w:w="3546" w:type="dxa"/>
            <w:gridSpan w:val="2"/>
            <w:tcBorders>
              <w:top w:val="nil"/>
              <w:left w:val="nil"/>
              <w:bottom w:val="nil"/>
              <w:right w:val="single" w:sz="12" w:space="0" w:color="auto"/>
            </w:tcBorders>
            <w:shd w:val="clear" w:color="auto" w:fill="auto"/>
          </w:tcPr>
          <w:p w14:paraId="6C03046D"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noProof/>
                <w:sz w:val="21"/>
                <w:szCs w:val="21"/>
                <w:lang w:eastAsia="ja-JP"/>
              </w:rPr>
              <w:t>Formulaire GAR</w:t>
            </w:r>
            <w:r w:rsidRPr="004E4188">
              <w:rPr>
                <w:rFonts w:hint="eastAsia"/>
                <w:b/>
                <w:noProof/>
                <w:sz w:val="21"/>
                <w:szCs w:val="21"/>
                <w:lang w:eastAsia="ja-JP"/>
              </w:rPr>
              <w:t xml:space="preserve"> </w:t>
            </w:r>
            <w:r w:rsidRPr="004E4188">
              <w:rPr>
                <w:b/>
                <w:noProof/>
                <w:sz w:val="21"/>
                <w:szCs w:val="21"/>
                <w:lang w:eastAsia="ja-JP"/>
              </w:rPr>
              <w:t>Garanties opérationnelles.</w:t>
            </w:r>
          </w:p>
        </w:tc>
      </w:tr>
      <w:tr w:rsidR="007049A5" w:rsidRPr="004E4188" w14:paraId="38731DEB"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53B52FF1" w14:textId="77777777" w:rsidR="007049A5" w:rsidRPr="004E4188" w:rsidRDefault="007049A5" w:rsidP="006C6267">
            <w:pPr>
              <w:suppressAutoHyphens w:val="0"/>
              <w:overflowPunct/>
              <w:snapToGrid w:val="0"/>
              <w:spacing w:before="20" w:after="20" w:line="240" w:lineRule="exact"/>
              <w:ind w:left="259" w:hanging="259"/>
              <w:jc w:val="left"/>
              <w:textAlignment w:val="auto"/>
              <w:rPr>
                <w:noProof/>
                <w:sz w:val="21"/>
                <w:szCs w:val="21"/>
                <w:lang w:eastAsia="ja-JP"/>
              </w:rPr>
            </w:pPr>
          </w:p>
        </w:tc>
        <w:tc>
          <w:tcPr>
            <w:tcW w:w="635" w:type="dxa"/>
            <w:tcBorders>
              <w:top w:val="nil"/>
              <w:left w:val="nil"/>
              <w:bottom w:val="nil"/>
              <w:right w:val="nil"/>
            </w:tcBorders>
            <w:shd w:val="clear" w:color="auto" w:fill="auto"/>
          </w:tcPr>
          <w:p w14:paraId="68FD061E"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x.</w:t>
            </w:r>
          </w:p>
        </w:tc>
        <w:tc>
          <w:tcPr>
            <w:tcW w:w="3541" w:type="dxa"/>
            <w:tcBorders>
              <w:top w:val="nil"/>
              <w:left w:val="nil"/>
              <w:bottom w:val="nil"/>
              <w:right w:val="single" w:sz="4" w:space="0" w:color="auto"/>
            </w:tcBorders>
            <w:shd w:val="clear" w:color="auto" w:fill="auto"/>
          </w:tcPr>
          <w:p w14:paraId="4DE0975F"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sz w:val="21"/>
                <w:szCs w:val="21"/>
                <w:lang w:val="en-GB" w:eastAsia="en-US"/>
              </w:rPr>
              <w:t>Liste de sous-traitants.</w:t>
            </w:r>
          </w:p>
        </w:tc>
        <w:tc>
          <w:tcPr>
            <w:tcW w:w="567" w:type="dxa"/>
            <w:tcBorders>
              <w:top w:val="nil"/>
              <w:left w:val="single" w:sz="4" w:space="0" w:color="auto"/>
              <w:bottom w:val="nil"/>
              <w:right w:val="nil"/>
            </w:tcBorders>
            <w:shd w:val="clear" w:color="auto" w:fill="auto"/>
            <w:vAlign w:val="center"/>
          </w:tcPr>
          <w:p w14:paraId="3C1BF59F" w14:textId="77777777" w:rsidR="007049A5" w:rsidRPr="004E4188" w:rsidRDefault="007049A5" w:rsidP="006C6267">
            <w:pPr>
              <w:suppressAutoHyphens w:val="0"/>
              <w:overflowPunct/>
              <w:snapToGrid w:val="0"/>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17AAB400"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x.</w:t>
            </w:r>
          </w:p>
        </w:tc>
        <w:tc>
          <w:tcPr>
            <w:tcW w:w="3546" w:type="dxa"/>
            <w:gridSpan w:val="2"/>
            <w:tcBorders>
              <w:top w:val="nil"/>
              <w:left w:val="nil"/>
              <w:bottom w:val="nil"/>
              <w:right w:val="single" w:sz="12" w:space="0" w:color="auto"/>
            </w:tcBorders>
            <w:shd w:val="clear" w:color="auto" w:fill="auto"/>
          </w:tcPr>
          <w:p w14:paraId="0AC8124F"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sz w:val="21"/>
                <w:szCs w:val="21"/>
                <w:lang w:val="en-GB" w:eastAsia="en-US"/>
              </w:rPr>
              <w:t>Liste de sous-traitants.</w:t>
            </w:r>
          </w:p>
        </w:tc>
      </w:tr>
      <w:tr w:rsidR="007049A5" w:rsidRPr="004E4188" w14:paraId="68108819"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334F8335" w14:textId="77777777" w:rsidR="007049A5" w:rsidRPr="004E4188" w:rsidRDefault="007049A5" w:rsidP="006C6267">
            <w:pPr>
              <w:suppressAutoHyphens w:val="0"/>
              <w:overflowPunct/>
              <w:snapToGrid w:val="0"/>
              <w:spacing w:before="20" w:after="20" w:line="240" w:lineRule="exact"/>
              <w:ind w:left="259" w:hanging="259"/>
              <w:jc w:val="left"/>
              <w:textAlignment w:val="auto"/>
              <w:rPr>
                <w:noProof/>
                <w:sz w:val="21"/>
                <w:szCs w:val="21"/>
                <w:lang w:eastAsia="ja-JP"/>
              </w:rPr>
            </w:pPr>
          </w:p>
        </w:tc>
        <w:tc>
          <w:tcPr>
            <w:tcW w:w="635" w:type="dxa"/>
            <w:tcBorders>
              <w:top w:val="nil"/>
              <w:left w:val="nil"/>
              <w:bottom w:val="nil"/>
              <w:right w:val="nil"/>
            </w:tcBorders>
            <w:shd w:val="clear" w:color="auto" w:fill="auto"/>
          </w:tcPr>
          <w:p w14:paraId="0C6962FF"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xi.</w:t>
            </w:r>
          </w:p>
        </w:tc>
        <w:tc>
          <w:tcPr>
            <w:tcW w:w="3541" w:type="dxa"/>
            <w:tcBorders>
              <w:top w:val="nil"/>
              <w:left w:val="nil"/>
              <w:bottom w:val="nil"/>
              <w:right w:val="single" w:sz="4" w:space="0" w:color="auto"/>
            </w:tcBorders>
            <w:shd w:val="clear" w:color="auto" w:fill="auto"/>
          </w:tcPr>
          <w:p w14:paraId="420782D7"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noProof/>
                <w:sz w:val="21"/>
                <w:szCs w:val="21"/>
                <w:lang w:eastAsia="en-US"/>
              </w:rPr>
              <w:t>Formulaire FAB</w:t>
            </w:r>
            <w:r w:rsidRPr="004E4188">
              <w:rPr>
                <w:lang w:eastAsia="en-US"/>
              </w:rPr>
              <w:t xml:space="preserve"> </w:t>
            </w:r>
            <w:r w:rsidRPr="004E4188">
              <w:rPr>
                <w:b/>
                <w:noProof/>
                <w:sz w:val="21"/>
                <w:szCs w:val="21"/>
                <w:lang w:eastAsia="en-US"/>
              </w:rPr>
              <w:t>Autorisation du fabricant.</w:t>
            </w:r>
          </w:p>
        </w:tc>
        <w:tc>
          <w:tcPr>
            <w:tcW w:w="567" w:type="dxa"/>
            <w:tcBorders>
              <w:top w:val="nil"/>
              <w:left w:val="single" w:sz="4" w:space="0" w:color="auto"/>
              <w:bottom w:val="nil"/>
              <w:right w:val="nil"/>
            </w:tcBorders>
            <w:shd w:val="clear" w:color="auto" w:fill="auto"/>
            <w:vAlign w:val="center"/>
          </w:tcPr>
          <w:p w14:paraId="35334068" w14:textId="77777777" w:rsidR="007049A5" w:rsidRPr="004E4188" w:rsidRDefault="007049A5" w:rsidP="006C6267">
            <w:pPr>
              <w:suppressAutoHyphens w:val="0"/>
              <w:overflowPunct/>
              <w:snapToGrid w:val="0"/>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0A3AA881"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xi.</w:t>
            </w:r>
          </w:p>
        </w:tc>
        <w:tc>
          <w:tcPr>
            <w:tcW w:w="3546" w:type="dxa"/>
            <w:gridSpan w:val="2"/>
            <w:tcBorders>
              <w:top w:val="nil"/>
              <w:left w:val="nil"/>
              <w:bottom w:val="nil"/>
              <w:right w:val="single" w:sz="12" w:space="0" w:color="auto"/>
            </w:tcBorders>
            <w:shd w:val="clear" w:color="auto" w:fill="auto"/>
          </w:tcPr>
          <w:p w14:paraId="075F24B9"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noProof/>
                <w:sz w:val="21"/>
                <w:szCs w:val="21"/>
                <w:lang w:eastAsia="en-US"/>
              </w:rPr>
              <w:t>Formulaire FAB</w:t>
            </w:r>
            <w:r w:rsidRPr="004E4188">
              <w:rPr>
                <w:lang w:eastAsia="en-US"/>
              </w:rPr>
              <w:t xml:space="preserve"> </w:t>
            </w:r>
            <w:r w:rsidRPr="004E4188">
              <w:rPr>
                <w:b/>
                <w:noProof/>
                <w:sz w:val="21"/>
                <w:szCs w:val="21"/>
                <w:lang w:eastAsia="en-US"/>
              </w:rPr>
              <w:t>Autorisation du fabricant.</w:t>
            </w:r>
          </w:p>
        </w:tc>
      </w:tr>
      <w:tr w:rsidR="007049A5" w:rsidRPr="004E4188" w14:paraId="60909C26"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5D421E71" w14:textId="77777777" w:rsidR="007049A5" w:rsidRPr="004E4188" w:rsidRDefault="007049A5" w:rsidP="006C6267">
            <w:pPr>
              <w:suppressAutoHyphens w:val="0"/>
              <w:overflowPunct/>
              <w:snapToGrid w:val="0"/>
              <w:spacing w:before="20" w:after="20" w:line="240" w:lineRule="exact"/>
              <w:ind w:left="259" w:hanging="259"/>
              <w:jc w:val="left"/>
              <w:textAlignment w:val="auto"/>
              <w:rPr>
                <w:noProof/>
                <w:sz w:val="21"/>
                <w:szCs w:val="21"/>
                <w:lang w:eastAsia="ja-JP"/>
              </w:rPr>
            </w:pPr>
          </w:p>
        </w:tc>
        <w:tc>
          <w:tcPr>
            <w:tcW w:w="635" w:type="dxa"/>
            <w:tcBorders>
              <w:top w:val="nil"/>
              <w:left w:val="nil"/>
              <w:bottom w:val="nil"/>
              <w:right w:val="nil"/>
            </w:tcBorders>
            <w:shd w:val="clear" w:color="auto" w:fill="auto"/>
          </w:tcPr>
          <w:p w14:paraId="4C96BC74"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xii.</w:t>
            </w:r>
          </w:p>
        </w:tc>
        <w:tc>
          <w:tcPr>
            <w:tcW w:w="3541" w:type="dxa"/>
            <w:tcBorders>
              <w:top w:val="nil"/>
              <w:left w:val="nil"/>
              <w:bottom w:val="nil"/>
              <w:right w:val="single" w:sz="4" w:space="0" w:color="auto"/>
            </w:tcBorders>
            <w:shd w:val="clear" w:color="auto" w:fill="auto"/>
          </w:tcPr>
          <w:p w14:paraId="4DC87B17"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sz w:val="21"/>
                <w:szCs w:val="21"/>
                <w:lang w:val="en-GB" w:eastAsia="en-US"/>
              </w:rPr>
              <w:t>Formulaire PER-1 Personnel proposé.</w:t>
            </w:r>
          </w:p>
        </w:tc>
        <w:tc>
          <w:tcPr>
            <w:tcW w:w="567" w:type="dxa"/>
            <w:tcBorders>
              <w:top w:val="nil"/>
              <w:left w:val="single" w:sz="4" w:space="0" w:color="auto"/>
              <w:bottom w:val="nil"/>
              <w:right w:val="nil"/>
            </w:tcBorders>
            <w:shd w:val="clear" w:color="auto" w:fill="auto"/>
            <w:vAlign w:val="center"/>
          </w:tcPr>
          <w:p w14:paraId="1F27101A" w14:textId="77777777" w:rsidR="007049A5" w:rsidRPr="004E4188" w:rsidRDefault="007049A5" w:rsidP="006C6267">
            <w:pPr>
              <w:suppressAutoHyphens w:val="0"/>
              <w:overflowPunct/>
              <w:snapToGrid w:val="0"/>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38A17AC1"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xii.</w:t>
            </w:r>
          </w:p>
        </w:tc>
        <w:tc>
          <w:tcPr>
            <w:tcW w:w="3546" w:type="dxa"/>
            <w:gridSpan w:val="2"/>
            <w:tcBorders>
              <w:top w:val="nil"/>
              <w:left w:val="nil"/>
              <w:bottom w:val="nil"/>
              <w:right w:val="single" w:sz="12" w:space="0" w:color="auto"/>
            </w:tcBorders>
            <w:shd w:val="clear" w:color="auto" w:fill="auto"/>
          </w:tcPr>
          <w:p w14:paraId="25EF18A1"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sz w:val="21"/>
                <w:szCs w:val="21"/>
                <w:lang w:val="en-GB" w:eastAsia="en-US"/>
              </w:rPr>
              <w:t>Formulaire PER-1 Personnel proposé.</w:t>
            </w:r>
          </w:p>
        </w:tc>
      </w:tr>
      <w:tr w:rsidR="007049A5" w:rsidRPr="004E4188" w14:paraId="40B6C90F"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26C33878" w14:textId="77777777" w:rsidR="007049A5" w:rsidRPr="004E4188" w:rsidRDefault="007049A5" w:rsidP="006C6267">
            <w:pPr>
              <w:suppressAutoHyphens w:val="0"/>
              <w:overflowPunct/>
              <w:snapToGrid w:val="0"/>
              <w:spacing w:before="20" w:after="20" w:line="240" w:lineRule="exact"/>
              <w:ind w:left="259" w:hanging="259"/>
              <w:jc w:val="left"/>
              <w:textAlignment w:val="auto"/>
              <w:rPr>
                <w:noProof/>
                <w:sz w:val="21"/>
                <w:szCs w:val="21"/>
                <w:lang w:eastAsia="ja-JP"/>
              </w:rPr>
            </w:pPr>
          </w:p>
        </w:tc>
        <w:tc>
          <w:tcPr>
            <w:tcW w:w="635" w:type="dxa"/>
            <w:tcBorders>
              <w:top w:val="nil"/>
              <w:left w:val="nil"/>
              <w:bottom w:val="nil"/>
              <w:right w:val="nil"/>
            </w:tcBorders>
            <w:shd w:val="clear" w:color="auto" w:fill="auto"/>
          </w:tcPr>
          <w:p w14:paraId="2A5A2531"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xiii.</w:t>
            </w:r>
          </w:p>
        </w:tc>
        <w:tc>
          <w:tcPr>
            <w:tcW w:w="3541" w:type="dxa"/>
            <w:tcBorders>
              <w:top w:val="nil"/>
              <w:left w:val="nil"/>
              <w:bottom w:val="nil"/>
              <w:right w:val="single" w:sz="4" w:space="0" w:color="auto"/>
            </w:tcBorders>
            <w:shd w:val="clear" w:color="auto" w:fill="auto"/>
          </w:tcPr>
          <w:p w14:paraId="5F519B38"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sz w:val="21"/>
                <w:szCs w:val="21"/>
                <w:lang w:eastAsia="en-US"/>
              </w:rPr>
              <w:t>Formulaire PER-2 Curriculum vitae du personnel proposé.</w:t>
            </w:r>
          </w:p>
        </w:tc>
        <w:tc>
          <w:tcPr>
            <w:tcW w:w="567" w:type="dxa"/>
            <w:tcBorders>
              <w:top w:val="nil"/>
              <w:left w:val="single" w:sz="4" w:space="0" w:color="auto"/>
              <w:bottom w:val="nil"/>
              <w:right w:val="nil"/>
            </w:tcBorders>
            <w:shd w:val="clear" w:color="auto" w:fill="auto"/>
            <w:vAlign w:val="center"/>
          </w:tcPr>
          <w:p w14:paraId="58BCAC0D" w14:textId="77777777" w:rsidR="007049A5" w:rsidRPr="004E4188" w:rsidRDefault="007049A5" w:rsidP="006C6267">
            <w:pPr>
              <w:suppressAutoHyphens w:val="0"/>
              <w:overflowPunct/>
              <w:snapToGrid w:val="0"/>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59216076"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xiii.</w:t>
            </w:r>
          </w:p>
        </w:tc>
        <w:tc>
          <w:tcPr>
            <w:tcW w:w="3546" w:type="dxa"/>
            <w:gridSpan w:val="2"/>
            <w:tcBorders>
              <w:top w:val="nil"/>
              <w:left w:val="nil"/>
              <w:bottom w:val="nil"/>
              <w:right w:val="single" w:sz="12" w:space="0" w:color="auto"/>
            </w:tcBorders>
            <w:shd w:val="clear" w:color="auto" w:fill="auto"/>
          </w:tcPr>
          <w:p w14:paraId="707E84BA"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sz w:val="21"/>
                <w:szCs w:val="21"/>
                <w:lang w:eastAsia="en-US"/>
              </w:rPr>
              <w:t>Formulaire PER-2 Curriculum vitae du personnel proposé.</w:t>
            </w:r>
          </w:p>
        </w:tc>
      </w:tr>
      <w:tr w:rsidR="007049A5" w:rsidRPr="004E4188" w14:paraId="3F880EA5"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3F4C1718" w14:textId="77777777" w:rsidR="007049A5" w:rsidRPr="004E4188" w:rsidRDefault="007049A5" w:rsidP="006C6267">
            <w:pPr>
              <w:suppressAutoHyphens w:val="0"/>
              <w:overflowPunct/>
              <w:snapToGrid w:val="0"/>
              <w:spacing w:before="20" w:after="20" w:line="240" w:lineRule="exact"/>
              <w:ind w:left="259" w:hanging="259"/>
              <w:jc w:val="left"/>
              <w:textAlignment w:val="auto"/>
              <w:rPr>
                <w:noProof/>
                <w:sz w:val="21"/>
                <w:szCs w:val="21"/>
                <w:lang w:eastAsia="ja-JP"/>
              </w:rPr>
            </w:pPr>
          </w:p>
        </w:tc>
        <w:tc>
          <w:tcPr>
            <w:tcW w:w="635" w:type="dxa"/>
            <w:tcBorders>
              <w:top w:val="nil"/>
              <w:left w:val="nil"/>
              <w:bottom w:val="nil"/>
              <w:right w:val="nil"/>
            </w:tcBorders>
            <w:shd w:val="clear" w:color="auto" w:fill="auto"/>
          </w:tcPr>
          <w:p w14:paraId="651EDAF8"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xiv.</w:t>
            </w:r>
          </w:p>
        </w:tc>
        <w:tc>
          <w:tcPr>
            <w:tcW w:w="3541" w:type="dxa"/>
            <w:tcBorders>
              <w:top w:val="nil"/>
              <w:left w:val="nil"/>
              <w:bottom w:val="nil"/>
              <w:right w:val="single" w:sz="4" w:space="0" w:color="auto"/>
            </w:tcBorders>
            <w:shd w:val="clear" w:color="auto" w:fill="auto"/>
          </w:tcPr>
          <w:p w14:paraId="6BC34178"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sz w:val="21"/>
                <w:szCs w:val="21"/>
                <w:lang w:eastAsia="en-US"/>
              </w:rPr>
              <w:t xml:space="preserve">Formulaire EQU </w:t>
            </w:r>
            <w:r w:rsidRPr="004E4188">
              <w:rPr>
                <w:rFonts w:hint="eastAsia"/>
                <w:b/>
                <w:sz w:val="21"/>
                <w:szCs w:val="21"/>
                <w:lang w:eastAsia="en-US"/>
              </w:rPr>
              <w:t>É</w:t>
            </w:r>
            <w:r w:rsidRPr="004E4188">
              <w:rPr>
                <w:b/>
                <w:sz w:val="21"/>
                <w:szCs w:val="21"/>
                <w:lang w:eastAsia="en-US"/>
              </w:rPr>
              <w:t>quipement de construction.</w:t>
            </w:r>
          </w:p>
        </w:tc>
        <w:tc>
          <w:tcPr>
            <w:tcW w:w="567" w:type="dxa"/>
            <w:tcBorders>
              <w:top w:val="nil"/>
              <w:left w:val="single" w:sz="4" w:space="0" w:color="auto"/>
              <w:bottom w:val="nil"/>
              <w:right w:val="nil"/>
            </w:tcBorders>
            <w:shd w:val="clear" w:color="auto" w:fill="auto"/>
            <w:vAlign w:val="center"/>
          </w:tcPr>
          <w:p w14:paraId="3CB38F95" w14:textId="77777777" w:rsidR="007049A5" w:rsidRPr="004E4188" w:rsidRDefault="007049A5" w:rsidP="006C6267">
            <w:pPr>
              <w:suppressAutoHyphens w:val="0"/>
              <w:overflowPunct/>
              <w:snapToGrid w:val="0"/>
              <w:spacing w:before="20" w:after="20" w:line="240" w:lineRule="exact"/>
              <w:jc w:val="center"/>
              <w:textAlignment w:val="auto"/>
              <w:outlineLvl w:val="0"/>
              <w:rPr>
                <w:b/>
                <w:noProof/>
                <w:sz w:val="21"/>
                <w:szCs w:val="21"/>
                <w:lang w:eastAsia="ja-JP"/>
              </w:rPr>
            </w:pPr>
          </w:p>
        </w:tc>
        <w:tc>
          <w:tcPr>
            <w:tcW w:w="567" w:type="dxa"/>
            <w:tcBorders>
              <w:top w:val="nil"/>
              <w:left w:val="nil"/>
              <w:bottom w:val="nil"/>
              <w:right w:val="nil"/>
            </w:tcBorders>
            <w:shd w:val="clear" w:color="auto" w:fill="auto"/>
          </w:tcPr>
          <w:p w14:paraId="4F980BB0" w14:textId="77777777" w:rsidR="007049A5" w:rsidRPr="004E4188" w:rsidRDefault="007049A5" w:rsidP="006C6267">
            <w:pPr>
              <w:suppressAutoHyphens w:val="0"/>
              <w:overflowPunct/>
              <w:snapToGrid w:val="0"/>
              <w:spacing w:before="20" w:after="20" w:line="240" w:lineRule="exact"/>
              <w:jc w:val="center"/>
              <w:textAlignment w:val="auto"/>
              <w:rPr>
                <w:noProof/>
                <w:sz w:val="21"/>
                <w:szCs w:val="21"/>
                <w:lang w:eastAsia="ja-JP"/>
              </w:rPr>
            </w:pPr>
            <w:r w:rsidRPr="004E4188">
              <w:rPr>
                <w:noProof/>
                <w:sz w:val="21"/>
                <w:szCs w:val="21"/>
                <w:lang w:eastAsia="ja-JP"/>
              </w:rPr>
              <w:t>xiv.</w:t>
            </w:r>
          </w:p>
        </w:tc>
        <w:tc>
          <w:tcPr>
            <w:tcW w:w="3546" w:type="dxa"/>
            <w:gridSpan w:val="2"/>
            <w:tcBorders>
              <w:top w:val="nil"/>
              <w:left w:val="nil"/>
              <w:bottom w:val="nil"/>
              <w:right w:val="single" w:sz="12" w:space="0" w:color="auto"/>
            </w:tcBorders>
            <w:shd w:val="clear" w:color="auto" w:fill="auto"/>
          </w:tcPr>
          <w:p w14:paraId="1705407F" w14:textId="77777777" w:rsidR="007049A5" w:rsidRPr="004E4188" w:rsidRDefault="007049A5" w:rsidP="006C6267">
            <w:pPr>
              <w:suppressAutoHyphens w:val="0"/>
              <w:overflowPunct/>
              <w:snapToGrid w:val="0"/>
              <w:spacing w:before="20" w:after="20" w:line="240" w:lineRule="exact"/>
              <w:jc w:val="left"/>
              <w:textAlignment w:val="auto"/>
              <w:rPr>
                <w:b/>
                <w:noProof/>
                <w:sz w:val="21"/>
                <w:szCs w:val="21"/>
                <w:lang w:eastAsia="en-US"/>
              </w:rPr>
            </w:pPr>
            <w:r w:rsidRPr="004E4188">
              <w:rPr>
                <w:b/>
                <w:sz w:val="21"/>
                <w:szCs w:val="21"/>
                <w:lang w:eastAsia="en-US"/>
              </w:rPr>
              <w:t xml:space="preserve">Formulaire EQU </w:t>
            </w:r>
            <w:r w:rsidRPr="004E4188">
              <w:rPr>
                <w:rFonts w:hint="eastAsia"/>
                <w:b/>
                <w:sz w:val="21"/>
                <w:szCs w:val="21"/>
                <w:lang w:eastAsia="en-US"/>
              </w:rPr>
              <w:t>É</w:t>
            </w:r>
            <w:r w:rsidRPr="004E4188">
              <w:rPr>
                <w:b/>
                <w:sz w:val="21"/>
                <w:szCs w:val="21"/>
                <w:lang w:eastAsia="en-US"/>
              </w:rPr>
              <w:t>quipement de construction.</w:t>
            </w:r>
          </w:p>
        </w:tc>
      </w:tr>
      <w:tr w:rsidR="007049A5" w:rsidRPr="004E4188" w14:paraId="42339397" w14:textId="77777777" w:rsidTr="000D7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61A6A6DB" w14:textId="77777777" w:rsidR="007049A5" w:rsidRPr="004E4188" w:rsidRDefault="007049A5" w:rsidP="006C6267">
            <w:pPr>
              <w:suppressAutoHyphens w:val="0"/>
              <w:overflowPunct/>
              <w:snapToGrid w:val="0"/>
              <w:spacing w:before="20" w:after="20" w:line="240" w:lineRule="exact"/>
              <w:ind w:left="259" w:hanging="259"/>
              <w:jc w:val="center"/>
              <w:textAlignment w:val="auto"/>
              <w:rPr>
                <w:noProof/>
                <w:sz w:val="21"/>
                <w:szCs w:val="21"/>
                <w:lang w:eastAsia="ja-JP"/>
              </w:rPr>
            </w:pPr>
          </w:p>
        </w:tc>
        <w:tc>
          <w:tcPr>
            <w:tcW w:w="4176" w:type="dxa"/>
            <w:gridSpan w:val="2"/>
            <w:tcBorders>
              <w:top w:val="nil"/>
              <w:left w:val="nil"/>
              <w:bottom w:val="nil"/>
              <w:right w:val="single" w:sz="4" w:space="0" w:color="auto"/>
            </w:tcBorders>
            <w:shd w:val="clear" w:color="auto" w:fill="auto"/>
          </w:tcPr>
          <w:p w14:paraId="515C145F" w14:textId="77777777" w:rsidR="007049A5" w:rsidRPr="004E4188" w:rsidRDefault="007049A5" w:rsidP="006C6267">
            <w:pPr>
              <w:suppressAutoHyphens w:val="0"/>
              <w:overflowPunct/>
              <w:snapToGrid w:val="0"/>
              <w:spacing w:before="20" w:after="20" w:line="240" w:lineRule="exact"/>
              <w:textAlignment w:val="auto"/>
              <w:rPr>
                <w:b/>
                <w:noProof/>
                <w:sz w:val="21"/>
                <w:szCs w:val="21"/>
                <w:lang w:eastAsia="ja-JP"/>
              </w:rPr>
            </w:pPr>
          </w:p>
        </w:tc>
        <w:tc>
          <w:tcPr>
            <w:tcW w:w="567" w:type="dxa"/>
            <w:tcBorders>
              <w:top w:val="nil"/>
              <w:left w:val="single" w:sz="4" w:space="0" w:color="auto"/>
              <w:bottom w:val="nil"/>
              <w:right w:val="nil"/>
            </w:tcBorders>
            <w:shd w:val="clear" w:color="auto" w:fill="auto"/>
          </w:tcPr>
          <w:p w14:paraId="5486612B" w14:textId="77777777" w:rsidR="007049A5" w:rsidRPr="004E4188" w:rsidRDefault="007049A5" w:rsidP="006C6267">
            <w:pPr>
              <w:suppressAutoHyphens w:val="0"/>
              <w:overflowPunct/>
              <w:snapToGrid w:val="0"/>
              <w:spacing w:before="20" w:after="20" w:line="240" w:lineRule="exact"/>
              <w:jc w:val="center"/>
              <w:textAlignment w:val="auto"/>
              <w:outlineLvl w:val="0"/>
              <w:rPr>
                <w:bCs/>
                <w:noProof/>
                <w:kern w:val="28"/>
                <w:sz w:val="21"/>
                <w:szCs w:val="21"/>
                <w:lang w:eastAsia="ja-JP"/>
              </w:rPr>
            </w:pPr>
            <w:r w:rsidRPr="004E4188">
              <w:rPr>
                <w:bCs/>
                <w:noProof/>
                <w:kern w:val="28"/>
                <w:sz w:val="21"/>
                <w:szCs w:val="21"/>
                <w:lang w:eastAsia="ja-JP"/>
              </w:rPr>
              <w:t>(g)</w:t>
            </w:r>
          </w:p>
        </w:tc>
        <w:tc>
          <w:tcPr>
            <w:tcW w:w="4113" w:type="dxa"/>
            <w:gridSpan w:val="3"/>
            <w:tcBorders>
              <w:top w:val="nil"/>
              <w:left w:val="nil"/>
              <w:bottom w:val="nil"/>
              <w:right w:val="single" w:sz="12" w:space="0" w:color="auto"/>
            </w:tcBorders>
            <w:shd w:val="clear" w:color="auto" w:fill="auto"/>
          </w:tcPr>
          <w:p w14:paraId="424A9499" w14:textId="77777777" w:rsidR="007049A5" w:rsidRPr="004E4188" w:rsidRDefault="007049A5" w:rsidP="006C6267">
            <w:pPr>
              <w:suppressAutoHyphens w:val="0"/>
              <w:overflowPunct/>
              <w:snapToGrid w:val="0"/>
              <w:spacing w:before="20" w:after="20" w:line="240" w:lineRule="exact"/>
              <w:textAlignment w:val="auto"/>
              <w:rPr>
                <w:noProof/>
                <w:sz w:val="21"/>
                <w:szCs w:val="21"/>
                <w:lang w:eastAsia="en-US"/>
              </w:rPr>
            </w:pPr>
            <w:r w:rsidRPr="004E4188">
              <w:rPr>
                <w:noProof/>
                <w:sz w:val="21"/>
                <w:szCs w:val="21"/>
                <w:lang w:eastAsia="en-US"/>
              </w:rPr>
              <w:t>Les propositions techniques variantes, conformément à IS 13.</w:t>
            </w:r>
          </w:p>
        </w:tc>
      </w:tr>
      <w:tr w:rsidR="007049A5" w:rsidRPr="004E4188" w14:paraId="046CB4AA" w14:textId="77777777" w:rsidTr="000D7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4FB1D1CF" w14:textId="77777777" w:rsidR="007049A5" w:rsidRPr="004E4188" w:rsidRDefault="007049A5" w:rsidP="006C6267">
            <w:pPr>
              <w:suppressAutoHyphens w:val="0"/>
              <w:overflowPunct/>
              <w:snapToGrid w:val="0"/>
              <w:spacing w:before="20" w:after="20" w:line="240" w:lineRule="exact"/>
              <w:ind w:left="259" w:hanging="259"/>
              <w:jc w:val="center"/>
              <w:textAlignment w:val="auto"/>
              <w:rPr>
                <w:noProof/>
                <w:sz w:val="21"/>
                <w:szCs w:val="21"/>
                <w:lang w:eastAsia="ja-JP"/>
              </w:rPr>
            </w:pPr>
            <w:r w:rsidRPr="004E4188">
              <w:rPr>
                <w:noProof/>
                <w:sz w:val="21"/>
                <w:szCs w:val="21"/>
                <w:lang w:eastAsia="ja-JP"/>
              </w:rPr>
              <w:t>(h)</w:t>
            </w:r>
          </w:p>
        </w:tc>
        <w:tc>
          <w:tcPr>
            <w:tcW w:w="4176" w:type="dxa"/>
            <w:gridSpan w:val="2"/>
            <w:tcBorders>
              <w:top w:val="nil"/>
              <w:left w:val="nil"/>
              <w:bottom w:val="nil"/>
              <w:right w:val="single" w:sz="4" w:space="0" w:color="auto"/>
            </w:tcBorders>
            <w:shd w:val="clear" w:color="auto" w:fill="auto"/>
          </w:tcPr>
          <w:p w14:paraId="73CAD6C0" w14:textId="77777777" w:rsidR="007049A5" w:rsidRPr="004E4188" w:rsidRDefault="007049A5" w:rsidP="006C6267">
            <w:pPr>
              <w:suppressAutoHyphens w:val="0"/>
              <w:overflowPunct/>
              <w:snapToGrid w:val="0"/>
              <w:spacing w:before="20" w:after="20" w:line="240" w:lineRule="exact"/>
              <w:textAlignment w:val="auto"/>
              <w:rPr>
                <w:b/>
                <w:noProof/>
                <w:sz w:val="21"/>
                <w:szCs w:val="21"/>
                <w:lang w:eastAsia="en-US"/>
              </w:rPr>
            </w:pPr>
            <w:r w:rsidRPr="004E4188">
              <w:rPr>
                <w:sz w:val="21"/>
                <w:szCs w:val="21"/>
                <w:lang w:eastAsia="en-US"/>
              </w:rPr>
              <w:t>La</w:t>
            </w:r>
            <w:r w:rsidRPr="004E4188">
              <w:rPr>
                <w:b/>
                <w:sz w:val="21"/>
                <w:szCs w:val="21"/>
                <w:lang w:eastAsia="en-US"/>
              </w:rPr>
              <w:t xml:space="preserve"> Reconnaissance du respect des Directives pour les passations de marchés sous financement par Prêts APD du Japon (Formulaire REC)</w:t>
            </w:r>
            <w:r w:rsidRPr="004E4188">
              <w:rPr>
                <w:sz w:val="21"/>
                <w:szCs w:val="21"/>
                <w:lang w:eastAsia="en-US"/>
              </w:rPr>
              <w:t>. Le représentant habilité du Soumissionnaire doit signer et dater ce formulaire.</w:t>
            </w:r>
          </w:p>
        </w:tc>
        <w:tc>
          <w:tcPr>
            <w:tcW w:w="567" w:type="dxa"/>
            <w:tcBorders>
              <w:top w:val="nil"/>
              <w:left w:val="single" w:sz="4" w:space="0" w:color="auto"/>
              <w:bottom w:val="nil"/>
              <w:right w:val="nil"/>
            </w:tcBorders>
            <w:shd w:val="clear" w:color="auto" w:fill="auto"/>
          </w:tcPr>
          <w:p w14:paraId="479D7AD0" w14:textId="77777777" w:rsidR="007049A5" w:rsidRPr="004E4188" w:rsidRDefault="007049A5" w:rsidP="006C6267">
            <w:pPr>
              <w:suppressAutoHyphens w:val="0"/>
              <w:overflowPunct/>
              <w:snapToGrid w:val="0"/>
              <w:spacing w:before="20" w:after="20" w:line="240" w:lineRule="exact"/>
              <w:jc w:val="center"/>
              <w:textAlignment w:val="auto"/>
              <w:outlineLvl w:val="0"/>
              <w:rPr>
                <w:noProof/>
                <w:sz w:val="21"/>
                <w:szCs w:val="21"/>
                <w:lang w:eastAsia="ja-JP"/>
              </w:rPr>
            </w:pPr>
            <w:r w:rsidRPr="004E4188">
              <w:rPr>
                <w:bCs/>
                <w:noProof/>
                <w:kern w:val="28"/>
                <w:sz w:val="21"/>
                <w:szCs w:val="21"/>
                <w:lang w:eastAsia="ja-JP"/>
              </w:rPr>
              <w:t>(h)</w:t>
            </w:r>
          </w:p>
        </w:tc>
        <w:tc>
          <w:tcPr>
            <w:tcW w:w="4113" w:type="dxa"/>
            <w:gridSpan w:val="3"/>
            <w:tcBorders>
              <w:top w:val="nil"/>
              <w:left w:val="nil"/>
              <w:bottom w:val="nil"/>
              <w:right w:val="single" w:sz="12" w:space="0" w:color="auto"/>
            </w:tcBorders>
            <w:shd w:val="clear" w:color="auto" w:fill="auto"/>
          </w:tcPr>
          <w:p w14:paraId="7F7D4929" w14:textId="77777777" w:rsidR="007049A5" w:rsidRPr="004E4188" w:rsidRDefault="007049A5" w:rsidP="006C6267">
            <w:pPr>
              <w:suppressAutoHyphens w:val="0"/>
              <w:overflowPunct/>
              <w:snapToGrid w:val="0"/>
              <w:spacing w:before="20" w:after="20" w:line="240" w:lineRule="exact"/>
              <w:textAlignment w:val="auto"/>
              <w:rPr>
                <w:b/>
                <w:noProof/>
                <w:sz w:val="21"/>
                <w:szCs w:val="21"/>
                <w:lang w:eastAsia="en-US"/>
              </w:rPr>
            </w:pPr>
            <w:r w:rsidRPr="004E4188">
              <w:rPr>
                <w:sz w:val="21"/>
                <w:szCs w:val="21"/>
                <w:lang w:eastAsia="en-US"/>
              </w:rPr>
              <w:t>La</w:t>
            </w:r>
            <w:r w:rsidRPr="004E4188">
              <w:rPr>
                <w:b/>
                <w:sz w:val="21"/>
                <w:szCs w:val="21"/>
                <w:lang w:eastAsia="en-US"/>
              </w:rPr>
              <w:t xml:space="preserve"> Reconnaissance du respect des Directives pour les passations de marchés sous financement par Prêts APD du Japon (Formulaire REC)</w:t>
            </w:r>
            <w:r w:rsidRPr="004E4188">
              <w:rPr>
                <w:sz w:val="21"/>
                <w:szCs w:val="21"/>
                <w:lang w:eastAsia="en-US"/>
              </w:rPr>
              <w:t>. Le représentant habilité du Soumissionnaire doit signer et dater ce formulaire.</w:t>
            </w:r>
          </w:p>
        </w:tc>
      </w:tr>
      <w:tr w:rsidR="000D7437" w:rsidRPr="004E4188" w14:paraId="43CAED89" w14:textId="77777777" w:rsidTr="000D7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vAlign w:val="center"/>
          </w:tcPr>
          <w:p w14:paraId="745510CF" w14:textId="40C4204F" w:rsidR="000D7437" w:rsidRPr="004E4188" w:rsidRDefault="000D7437" w:rsidP="000D7437">
            <w:pPr>
              <w:suppressAutoHyphens w:val="0"/>
              <w:overflowPunct/>
              <w:snapToGrid w:val="0"/>
              <w:spacing w:before="20" w:after="20" w:line="240" w:lineRule="exact"/>
              <w:ind w:left="259" w:hanging="259"/>
              <w:jc w:val="center"/>
              <w:textAlignment w:val="auto"/>
              <w:rPr>
                <w:noProof/>
                <w:sz w:val="21"/>
                <w:szCs w:val="21"/>
                <w:lang w:eastAsia="ja-JP"/>
              </w:rPr>
            </w:pPr>
            <w:r w:rsidRPr="004E4188">
              <w:rPr>
                <w:noProof/>
                <w:sz w:val="21"/>
                <w:szCs w:val="21"/>
                <w:lang w:eastAsia="ja-JP"/>
              </w:rPr>
              <w:t>(i)</w:t>
            </w:r>
          </w:p>
        </w:tc>
        <w:tc>
          <w:tcPr>
            <w:tcW w:w="4176" w:type="dxa"/>
            <w:gridSpan w:val="2"/>
            <w:tcBorders>
              <w:top w:val="nil"/>
              <w:left w:val="nil"/>
              <w:bottom w:val="nil"/>
              <w:right w:val="single" w:sz="4" w:space="0" w:color="auto"/>
            </w:tcBorders>
            <w:shd w:val="clear" w:color="auto" w:fill="auto"/>
            <w:vAlign w:val="center"/>
          </w:tcPr>
          <w:p w14:paraId="7E72C225" w14:textId="3F184A79" w:rsidR="000D7437" w:rsidRPr="004E4188" w:rsidRDefault="000D7437" w:rsidP="000D7437">
            <w:pPr>
              <w:suppressAutoHyphens w:val="0"/>
              <w:overflowPunct/>
              <w:snapToGrid w:val="0"/>
              <w:spacing w:before="20" w:after="20" w:line="240" w:lineRule="exact"/>
              <w:textAlignment w:val="auto"/>
              <w:rPr>
                <w:sz w:val="21"/>
                <w:szCs w:val="21"/>
                <w:lang w:eastAsia="en-US"/>
              </w:rPr>
            </w:pPr>
            <w:r w:rsidRPr="004E4188">
              <w:rPr>
                <w:b/>
                <w:noProof/>
                <w:sz w:val="21"/>
                <w:szCs w:val="21"/>
                <w:lang w:eastAsia="en-US"/>
              </w:rPr>
              <w:t>Tout autre document requis par DP 11.2(i)</w:t>
            </w:r>
            <w:r w:rsidRPr="004E4188">
              <w:rPr>
                <w:noProof/>
                <w:sz w:val="21"/>
                <w:szCs w:val="21"/>
                <w:lang w:eastAsia="en-US"/>
              </w:rPr>
              <w:t>.</w:t>
            </w:r>
          </w:p>
        </w:tc>
        <w:tc>
          <w:tcPr>
            <w:tcW w:w="567" w:type="dxa"/>
            <w:tcBorders>
              <w:top w:val="nil"/>
              <w:left w:val="single" w:sz="4" w:space="0" w:color="auto"/>
              <w:bottom w:val="nil"/>
              <w:right w:val="nil"/>
            </w:tcBorders>
            <w:shd w:val="clear" w:color="auto" w:fill="auto"/>
            <w:vAlign w:val="center"/>
          </w:tcPr>
          <w:p w14:paraId="138EEEDE" w14:textId="21EDC8AB" w:rsidR="000D7437" w:rsidRPr="004E4188" w:rsidRDefault="000D7437" w:rsidP="000D7437">
            <w:pPr>
              <w:suppressAutoHyphens w:val="0"/>
              <w:overflowPunct/>
              <w:snapToGrid w:val="0"/>
              <w:spacing w:before="20" w:after="20" w:line="240" w:lineRule="exact"/>
              <w:jc w:val="center"/>
              <w:textAlignment w:val="auto"/>
              <w:outlineLvl w:val="0"/>
              <w:rPr>
                <w:bCs/>
                <w:noProof/>
                <w:kern w:val="28"/>
                <w:sz w:val="21"/>
                <w:szCs w:val="21"/>
                <w:lang w:eastAsia="ja-JP"/>
              </w:rPr>
            </w:pPr>
            <w:r w:rsidRPr="004E4188">
              <w:rPr>
                <w:noProof/>
                <w:sz w:val="21"/>
                <w:szCs w:val="21"/>
                <w:lang w:eastAsia="ja-JP"/>
              </w:rPr>
              <w:t>(i)</w:t>
            </w:r>
          </w:p>
        </w:tc>
        <w:tc>
          <w:tcPr>
            <w:tcW w:w="4113" w:type="dxa"/>
            <w:gridSpan w:val="3"/>
            <w:tcBorders>
              <w:top w:val="nil"/>
              <w:left w:val="nil"/>
              <w:bottom w:val="nil"/>
              <w:right w:val="single" w:sz="12" w:space="0" w:color="auto"/>
            </w:tcBorders>
            <w:shd w:val="clear" w:color="auto" w:fill="auto"/>
            <w:vAlign w:val="center"/>
          </w:tcPr>
          <w:p w14:paraId="6D6E8400" w14:textId="3A381140" w:rsidR="000D7437" w:rsidRPr="004E4188" w:rsidRDefault="000D7437" w:rsidP="000D7437">
            <w:pPr>
              <w:suppressAutoHyphens w:val="0"/>
              <w:overflowPunct/>
              <w:snapToGrid w:val="0"/>
              <w:spacing w:before="20" w:after="20" w:line="240" w:lineRule="exact"/>
              <w:textAlignment w:val="auto"/>
              <w:rPr>
                <w:sz w:val="21"/>
                <w:szCs w:val="21"/>
                <w:lang w:eastAsia="en-US"/>
              </w:rPr>
            </w:pPr>
            <w:r w:rsidRPr="004E4188">
              <w:rPr>
                <w:b/>
                <w:noProof/>
                <w:sz w:val="21"/>
                <w:szCs w:val="21"/>
                <w:lang w:eastAsia="en-US"/>
              </w:rPr>
              <w:t>Tout autre document requis par DP 11.1(i)</w:t>
            </w:r>
            <w:r w:rsidRPr="004E4188">
              <w:rPr>
                <w:noProof/>
                <w:sz w:val="21"/>
                <w:szCs w:val="21"/>
                <w:lang w:eastAsia="en-US"/>
              </w:rPr>
              <w:t>.</w:t>
            </w:r>
          </w:p>
        </w:tc>
      </w:tr>
      <w:tr w:rsidR="000D7437" w:rsidRPr="004E4188" w14:paraId="3FE75CBF" w14:textId="77777777" w:rsidTr="000D7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single" w:sz="12" w:space="0" w:color="auto"/>
              <w:right w:val="nil"/>
            </w:tcBorders>
            <w:shd w:val="clear" w:color="auto" w:fill="auto"/>
            <w:vAlign w:val="center"/>
          </w:tcPr>
          <w:p w14:paraId="479F4309" w14:textId="77777777" w:rsidR="000D7437" w:rsidRPr="004E4188" w:rsidRDefault="000D7437" w:rsidP="000D7437">
            <w:pPr>
              <w:suppressAutoHyphens w:val="0"/>
              <w:overflowPunct/>
              <w:snapToGrid w:val="0"/>
              <w:spacing w:before="20" w:after="20" w:line="240" w:lineRule="exact"/>
              <w:ind w:left="259" w:hanging="259"/>
              <w:jc w:val="center"/>
              <w:textAlignment w:val="auto"/>
              <w:rPr>
                <w:noProof/>
                <w:sz w:val="21"/>
                <w:szCs w:val="21"/>
                <w:lang w:eastAsia="ja-JP"/>
              </w:rPr>
            </w:pPr>
          </w:p>
        </w:tc>
        <w:tc>
          <w:tcPr>
            <w:tcW w:w="4176" w:type="dxa"/>
            <w:gridSpan w:val="2"/>
            <w:tcBorders>
              <w:top w:val="nil"/>
              <w:left w:val="nil"/>
              <w:bottom w:val="single" w:sz="12" w:space="0" w:color="auto"/>
              <w:right w:val="single" w:sz="4" w:space="0" w:color="auto"/>
            </w:tcBorders>
            <w:shd w:val="clear" w:color="auto" w:fill="auto"/>
            <w:vAlign w:val="center"/>
          </w:tcPr>
          <w:p w14:paraId="43DB8F81" w14:textId="77777777" w:rsidR="000D7437" w:rsidRPr="004E4188" w:rsidRDefault="000D7437" w:rsidP="000D7437">
            <w:pPr>
              <w:suppressAutoHyphens w:val="0"/>
              <w:overflowPunct/>
              <w:snapToGrid w:val="0"/>
              <w:spacing w:before="20" w:after="20" w:line="240" w:lineRule="exact"/>
              <w:textAlignment w:val="auto"/>
              <w:rPr>
                <w:b/>
                <w:noProof/>
                <w:sz w:val="21"/>
                <w:szCs w:val="21"/>
                <w:lang w:eastAsia="en-US"/>
              </w:rPr>
            </w:pPr>
          </w:p>
        </w:tc>
        <w:tc>
          <w:tcPr>
            <w:tcW w:w="567" w:type="dxa"/>
            <w:tcBorders>
              <w:top w:val="nil"/>
              <w:left w:val="single" w:sz="4" w:space="0" w:color="auto"/>
              <w:bottom w:val="single" w:sz="12" w:space="0" w:color="auto"/>
              <w:right w:val="nil"/>
            </w:tcBorders>
            <w:shd w:val="clear" w:color="auto" w:fill="auto"/>
            <w:vAlign w:val="center"/>
          </w:tcPr>
          <w:p w14:paraId="591D1C88" w14:textId="77777777" w:rsidR="000D7437" w:rsidRPr="004E4188" w:rsidRDefault="000D7437" w:rsidP="000D7437">
            <w:pPr>
              <w:suppressAutoHyphens w:val="0"/>
              <w:overflowPunct/>
              <w:snapToGrid w:val="0"/>
              <w:spacing w:before="20" w:after="20" w:line="240" w:lineRule="exact"/>
              <w:jc w:val="center"/>
              <w:textAlignment w:val="auto"/>
              <w:outlineLvl w:val="0"/>
              <w:rPr>
                <w:noProof/>
                <w:sz w:val="21"/>
                <w:szCs w:val="21"/>
                <w:lang w:eastAsia="ja-JP"/>
              </w:rPr>
            </w:pPr>
          </w:p>
        </w:tc>
        <w:tc>
          <w:tcPr>
            <w:tcW w:w="4113" w:type="dxa"/>
            <w:gridSpan w:val="3"/>
            <w:tcBorders>
              <w:top w:val="nil"/>
              <w:left w:val="nil"/>
              <w:bottom w:val="single" w:sz="12" w:space="0" w:color="auto"/>
              <w:right w:val="single" w:sz="12" w:space="0" w:color="auto"/>
            </w:tcBorders>
            <w:shd w:val="clear" w:color="auto" w:fill="auto"/>
            <w:vAlign w:val="center"/>
          </w:tcPr>
          <w:p w14:paraId="4CDC70FC" w14:textId="77777777" w:rsidR="000D7437" w:rsidRPr="004E4188" w:rsidRDefault="000D7437" w:rsidP="000D7437">
            <w:pPr>
              <w:suppressAutoHyphens w:val="0"/>
              <w:overflowPunct/>
              <w:snapToGrid w:val="0"/>
              <w:spacing w:before="20" w:after="20" w:line="240" w:lineRule="exact"/>
              <w:textAlignment w:val="auto"/>
              <w:rPr>
                <w:b/>
                <w:noProof/>
                <w:sz w:val="21"/>
                <w:szCs w:val="21"/>
                <w:lang w:eastAsia="en-US"/>
              </w:rPr>
            </w:pPr>
          </w:p>
        </w:tc>
      </w:tr>
      <w:tr w:rsidR="007049A5" w:rsidRPr="004E4188" w14:paraId="62D7B10F" w14:textId="77777777" w:rsidTr="0063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676" w:type="dxa"/>
            <w:gridSpan w:val="3"/>
            <w:tcBorders>
              <w:top w:val="single" w:sz="12" w:space="0" w:color="auto"/>
              <w:left w:val="single" w:sz="12" w:space="0" w:color="auto"/>
              <w:bottom w:val="single" w:sz="12" w:space="0" w:color="auto"/>
              <w:right w:val="single" w:sz="4" w:space="0" w:color="auto"/>
            </w:tcBorders>
            <w:shd w:val="clear" w:color="auto" w:fill="auto"/>
          </w:tcPr>
          <w:p w14:paraId="7A0ED5ED" w14:textId="77777777" w:rsidR="007049A5" w:rsidRPr="004E4188" w:rsidRDefault="007049A5" w:rsidP="006C6267">
            <w:pPr>
              <w:suppressAutoHyphens w:val="0"/>
              <w:overflowPunct/>
              <w:snapToGrid w:val="0"/>
              <w:spacing w:before="120" w:after="120" w:line="240" w:lineRule="exact"/>
              <w:jc w:val="center"/>
              <w:textAlignment w:val="auto"/>
              <w:rPr>
                <w:b/>
                <w:noProof/>
                <w:sz w:val="21"/>
                <w:szCs w:val="21"/>
                <w:lang w:eastAsia="en-US"/>
              </w:rPr>
            </w:pPr>
            <w:r w:rsidRPr="004E4188">
              <w:rPr>
                <w:b/>
                <w:lang w:eastAsia="en-US"/>
              </w:rPr>
              <w:t>Procédure à une étape-deux enveloppes</w:t>
            </w:r>
          </w:p>
        </w:tc>
        <w:tc>
          <w:tcPr>
            <w:tcW w:w="4680" w:type="dxa"/>
            <w:gridSpan w:val="4"/>
            <w:tcBorders>
              <w:top w:val="single" w:sz="12" w:space="0" w:color="auto"/>
              <w:left w:val="single" w:sz="4" w:space="0" w:color="auto"/>
              <w:bottom w:val="single" w:sz="12" w:space="0" w:color="auto"/>
              <w:right w:val="single" w:sz="12" w:space="0" w:color="auto"/>
            </w:tcBorders>
            <w:shd w:val="clear" w:color="auto" w:fill="auto"/>
          </w:tcPr>
          <w:p w14:paraId="2631E2D4" w14:textId="77777777" w:rsidR="007049A5" w:rsidRPr="004E4188" w:rsidRDefault="007049A5" w:rsidP="006C6267">
            <w:pPr>
              <w:suppressAutoHyphens w:val="0"/>
              <w:overflowPunct/>
              <w:snapToGrid w:val="0"/>
              <w:spacing w:before="120" w:after="120" w:line="240" w:lineRule="exact"/>
              <w:jc w:val="center"/>
              <w:textAlignment w:val="auto"/>
              <w:rPr>
                <w:b/>
                <w:noProof/>
                <w:sz w:val="21"/>
                <w:szCs w:val="21"/>
                <w:lang w:eastAsia="en-US"/>
              </w:rPr>
            </w:pPr>
            <w:r w:rsidRPr="004E4188">
              <w:rPr>
                <w:b/>
                <w:lang w:eastAsia="en-US"/>
              </w:rPr>
              <w:t>Procédure à deux étapes-une enveloppe</w:t>
            </w:r>
          </w:p>
        </w:tc>
      </w:tr>
      <w:tr w:rsidR="007049A5" w:rsidRPr="004E4188" w14:paraId="164F5ACB"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676" w:type="dxa"/>
            <w:gridSpan w:val="3"/>
            <w:tcBorders>
              <w:top w:val="nil"/>
              <w:left w:val="single" w:sz="12" w:space="0" w:color="auto"/>
              <w:bottom w:val="nil"/>
            </w:tcBorders>
            <w:shd w:val="clear" w:color="auto" w:fill="auto"/>
          </w:tcPr>
          <w:p w14:paraId="07B088AF" w14:textId="77777777" w:rsidR="007049A5" w:rsidRPr="004E4188" w:rsidRDefault="007049A5" w:rsidP="000D7437">
            <w:pPr>
              <w:suppressAutoHyphens w:val="0"/>
              <w:overflowPunct/>
              <w:spacing w:before="120" w:after="120" w:line="240" w:lineRule="exact"/>
              <w:jc w:val="left"/>
              <w:textAlignment w:val="auto"/>
              <w:rPr>
                <w:noProof/>
                <w:sz w:val="21"/>
                <w:szCs w:val="21"/>
                <w:lang w:eastAsia="ja-JP"/>
              </w:rPr>
            </w:pPr>
            <w:r w:rsidRPr="004E4188">
              <w:rPr>
                <w:b/>
                <w:noProof/>
                <w:sz w:val="21"/>
                <w:szCs w:val="21"/>
                <w:u w:val="single"/>
                <w:lang w:val="en-GB" w:eastAsia="ja-JP"/>
              </w:rPr>
              <w:t>Offre Financière</w:t>
            </w:r>
          </w:p>
        </w:tc>
        <w:tc>
          <w:tcPr>
            <w:tcW w:w="4680" w:type="dxa"/>
            <w:gridSpan w:val="4"/>
            <w:tcBorders>
              <w:top w:val="nil"/>
              <w:bottom w:val="nil"/>
              <w:right w:val="single" w:sz="12" w:space="0" w:color="auto"/>
            </w:tcBorders>
            <w:shd w:val="clear" w:color="auto" w:fill="auto"/>
            <w:vAlign w:val="center"/>
          </w:tcPr>
          <w:p w14:paraId="1A785B32" w14:textId="77777777" w:rsidR="007049A5" w:rsidRPr="004E4188" w:rsidRDefault="007049A5" w:rsidP="006C6267">
            <w:pPr>
              <w:suppressAutoHyphens w:val="0"/>
              <w:overflowPunct/>
              <w:spacing w:before="20" w:after="20" w:line="240" w:lineRule="exact"/>
              <w:textAlignment w:val="auto"/>
              <w:rPr>
                <w:noProof/>
                <w:sz w:val="21"/>
                <w:szCs w:val="21"/>
                <w:lang w:eastAsia="ja-JP"/>
              </w:rPr>
            </w:pPr>
            <w:r w:rsidRPr="004E4188">
              <w:rPr>
                <w:b/>
                <w:bCs/>
                <w:noProof/>
                <w:sz w:val="21"/>
                <w:szCs w:val="21"/>
                <w:u w:val="single"/>
                <w:lang w:eastAsia="ja-JP"/>
              </w:rPr>
              <w:t>Offres de deuxième étape</w:t>
            </w:r>
          </w:p>
        </w:tc>
      </w:tr>
      <w:tr w:rsidR="007049A5" w:rsidRPr="004E4188" w14:paraId="5BA146F6"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7D5AD81D"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(a)</w:t>
            </w:r>
          </w:p>
        </w:tc>
        <w:tc>
          <w:tcPr>
            <w:tcW w:w="4176" w:type="dxa"/>
            <w:gridSpan w:val="2"/>
            <w:tcBorders>
              <w:top w:val="nil"/>
              <w:left w:val="nil"/>
              <w:bottom w:val="nil"/>
            </w:tcBorders>
            <w:shd w:val="clear" w:color="auto" w:fill="auto"/>
          </w:tcPr>
          <w:p w14:paraId="2121BD7C" w14:textId="77777777" w:rsidR="007049A5" w:rsidRPr="004E4188" w:rsidRDefault="007049A5" w:rsidP="006C6267">
            <w:pPr>
              <w:suppressAutoHyphens w:val="0"/>
              <w:overflowPunct/>
              <w:spacing w:before="20" w:after="20" w:line="240" w:lineRule="exact"/>
              <w:textAlignment w:val="auto"/>
              <w:rPr>
                <w:noProof/>
                <w:sz w:val="21"/>
                <w:szCs w:val="21"/>
                <w:lang w:eastAsia="ja-JP"/>
              </w:rPr>
            </w:pPr>
            <w:r w:rsidRPr="004E4188">
              <w:rPr>
                <w:sz w:val="21"/>
                <w:szCs w:val="21"/>
                <w:lang w:eastAsia="ja-JP"/>
              </w:rPr>
              <w:t xml:space="preserve">La </w:t>
            </w:r>
            <w:r w:rsidRPr="004E4188">
              <w:rPr>
                <w:b/>
                <w:sz w:val="21"/>
                <w:szCs w:val="21"/>
                <w:lang w:eastAsia="ja-JP"/>
              </w:rPr>
              <w:t>Lettre de soumission de l’Offre Financière</w:t>
            </w:r>
            <w:r w:rsidRPr="004E4188">
              <w:rPr>
                <w:sz w:val="21"/>
                <w:szCs w:val="21"/>
                <w:lang w:eastAsia="ja-JP"/>
              </w:rPr>
              <w:t xml:space="preserve"> établie conformément à IS 12.1.</w:t>
            </w:r>
          </w:p>
        </w:tc>
        <w:tc>
          <w:tcPr>
            <w:tcW w:w="567" w:type="dxa"/>
            <w:tcBorders>
              <w:top w:val="nil"/>
              <w:bottom w:val="nil"/>
              <w:right w:val="nil"/>
            </w:tcBorders>
            <w:shd w:val="clear" w:color="auto" w:fill="auto"/>
          </w:tcPr>
          <w:p w14:paraId="266EF5B8" w14:textId="77777777" w:rsidR="007049A5" w:rsidRPr="004E4188" w:rsidRDefault="007049A5" w:rsidP="006C6267">
            <w:pPr>
              <w:suppressAutoHyphens w:val="0"/>
              <w:overflowPunct/>
              <w:spacing w:before="20" w:after="20" w:line="240" w:lineRule="exact"/>
              <w:jc w:val="center"/>
              <w:textAlignment w:val="auto"/>
              <w:outlineLvl w:val="0"/>
              <w:rPr>
                <w:noProof/>
                <w:sz w:val="21"/>
                <w:szCs w:val="21"/>
                <w:lang w:eastAsia="ja-JP"/>
              </w:rPr>
            </w:pPr>
            <w:r w:rsidRPr="004E4188">
              <w:rPr>
                <w:bCs/>
                <w:noProof/>
                <w:kern w:val="28"/>
                <w:sz w:val="21"/>
                <w:szCs w:val="21"/>
                <w:lang w:eastAsia="ja-JP"/>
              </w:rPr>
              <w:t>(a)</w:t>
            </w:r>
          </w:p>
        </w:tc>
        <w:tc>
          <w:tcPr>
            <w:tcW w:w="4113" w:type="dxa"/>
            <w:gridSpan w:val="3"/>
            <w:tcBorders>
              <w:top w:val="nil"/>
              <w:left w:val="nil"/>
              <w:bottom w:val="nil"/>
              <w:right w:val="single" w:sz="12" w:space="0" w:color="auto"/>
            </w:tcBorders>
            <w:shd w:val="clear" w:color="auto" w:fill="auto"/>
            <w:vAlign w:val="center"/>
          </w:tcPr>
          <w:p w14:paraId="09D56C1D" w14:textId="77777777" w:rsidR="007049A5" w:rsidRPr="004E4188" w:rsidRDefault="007049A5" w:rsidP="006C6267">
            <w:pPr>
              <w:suppressAutoHyphens w:val="0"/>
              <w:overflowPunct/>
              <w:spacing w:before="20" w:after="20" w:line="240" w:lineRule="exact"/>
              <w:textAlignment w:val="auto"/>
              <w:rPr>
                <w:bCs/>
                <w:noProof/>
                <w:sz w:val="21"/>
                <w:szCs w:val="21"/>
                <w:lang w:eastAsia="ja-JP"/>
              </w:rPr>
            </w:pPr>
            <w:r w:rsidRPr="004E4188">
              <w:rPr>
                <w:noProof/>
                <w:sz w:val="21"/>
                <w:szCs w:val="21"/>
                <w:lang w:eastAsia="ja-JP"/>
              </w:rPr>
              <w:t xml:space="preserve">La </w:t>
            </w:r>
            <w:r w:rsidRPr="004E4188">
              <w:rPr>
                <w:b/>
                <w:noProof/>
                <w:sz w:val="21"/>
                <w:szCs w:val="21"/>
                <w:lang w:eastAsia="ja-JP"/>
              </w:rPr>
              <w:t>Lettre de soumission de l’offre de la deuxième étape</w:t>
            </w:r>
            <w:r w:rsidRPr="004E4188">
              <w:rPr>
                <w:noProof/>
                <w:sz w:val="21"/>
                <w:szCs w:val="21"/>
                <w:lang w:eastAsia="ja-JP"/>
              </w:rPr>
              <w:t xml:space="preserve"> établie conformément à IS </w:t>
            </w:r>
            <w:r w:rsidRPr="004E4188">
              <w:rPr>
                <w:noProof/>
                <w:sz w:val="21"/>
                <w:szCs w:val="21"/>
                <w:lang w:eastAsia="en-US"/>
              </w:rPr>
              <w:t>29</w:t>
            </w:r>
            <w:r w:rsidRPr="004E4188">
              <w:rPr>
                <w:noProof/>
                <w:sz w:val="21"/>
                <w:szCs w:val="21"/>
                <w:lang w:eastAsia="ja-JP"/>
              </w:rPr>
              <w:t>.</w:t>
            </w:r>
          </w:p>
        </w:tc>
      </w:tr>
      <w:tr w:rsidR="007049A5" w:rsidRPr="004E4188" w14:paraId="62002B2A"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552C2E92"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(b)</w:t>
            </w:r>
          </w:p>
        </w:tc>
        <w:tc>
          <w:tcPr>
            <w:tcW w:w="4176" w:type="dxa"/>
            <w:gridSpan w:val="2"/>
            <w:tcBorders>
              <w:top w:val="nil"/>
              <w:left w:val="nil"/>
              <w:bottom w:val="nil"/>
            </w:tcBorders>
            <w:shd w:val="clear" w:color="auto" w:fill="auto"/>
          </w:tcPr>
          <w:p w14:paraId="1B0383C3" w14:textId="77777777" w:rsidR="007049A5" w:rsidRPr="004E4188" w:rsidRDefault="007049A5" w:rsidP="006C6267">
            <w:pPr>
              <w:suppressAutoHyphens w:val="0"/>
              <w:overflowPunct/>
              <w:spacing w:before="20" w:after="20" w:line="240" w:lineRule="exact"/>
              <w:textAlignment w:val="auto"/>
              <w:rPr>
                <w:noProof/>
                <w:sz w:val="21"/>
                <w:szCs w:val="21"/>
                <w:lang w:eastAsia="en-US"/>
              </w:rPr>
            </w:pPr>
            <w:r w:rsidRPr="004E4188">
              <w:rPr>
                <w:sz w:val="21"/>
                <w:szCs w:val="21"/>
                <w:lang w:eastAsia="en-US"/>
              </w:rPr>
              <w:t>Les</w:t>
            </w:r>
            <w:r w:rsidRPr="004E4188">
              <w:rPr>
                <w:b/>
                <w:sz w:val="21"/>
                <w:szCs w:val="21"/>
                <w:lang w:eastAsia="en-US"/>
              </w:rPr>
              <w:t xml:space="preserve"> Bordereaux chiffrés</w:t>
            </w:r>
            <w:r w:rsidRPr="004E4188">
              <w:rPr>
                <w:sz w:val="21"/>
                <w:szCs w:val="21"/>
                <w:lang w:eastAsia="en-US"/>
              </w:rPr>
              <w:t xml:space="preserve">, conformément à IS </w:t>
            </w:r>
            <w:r w:rsidRPr="004E4188">
              <w:rPr>
                <w:sz w:val="21"/>
                <w:szCs w:val="21"/>
                <w:lang w:eastAsia="ja-JP"/>
              </w:rPr>
              <w:t>12.1</w:t>
            </w:r>
            <w:r w:rsidRPr="004E4188">
              <w:rPr>
                <w:sz w:val="21"/>
                <w:szCs w:val="21"/>
                <w:lang w:eastAsia="en-US"/>
              </w:rPr>
              <w:t xml:space="preserve"> et IS 14, y compris</w:t>
            </w:r>
            <w:r w:rsidRPr="004E4188">
              <w:rPr>
                <w:b/>
                <w:noProof/>
                <w:sz w:val="21"/>
                <w:szCs w:val="21"/>
                <w:lang w:eastAsia="en-US"/>
              </w:rPr>
              <w:t xml:space="preserve"> </w:t>
            </w:r>
            <w:r w:rsidRPr="004E4188">
              <w:rPr>
                <w:noProof/>
                <w:sz w:val="21"/>
                <w:szCs w:val="21"/>
                <w:lang w:eastAsia="en-US"/>
              </w:rPr>
              <w:t>les</w:t>
            </w:r>
            <w:r w:rsidRPr="004E4188">
              <w:rPr>
                <w:b/>
                <w:noProof/>
                <w:sz w:val="21"/>
                <w:szCs w:val="21"/>
                <w:lang w:eastAsia="en-US"/>
              </w:rPr>
              <w:t xml:space="preserve"> Bordereaux des prix </w:t>
            </w:r>
            <w:r w:rsidRPr="004E4188">
              <w:rPr>
                <w:noProof/>
                <w:sz w:val="21"/>
                <w:szCs w:val="21"/>
                <w:lang w:eastAsia="en-US"/>
              </w:rPr>
              <w:t xml:space="preserve">complétés et le </w:t>
            </w:r>
            <w:r w:rsidRPr="004E4188">
              <w:rPr>
                <w:b/>
                <w:noProof/>
                <w:sz w:val="21"/>
                <w:szCs w:val="21"/>
                <w:lang w:eastAsia="en-US"/>
              </w:rPr>
              <w:t>Bordereau</w:t>
            </w:r>
            <w:r w:rsidRPr="004E4188">
              <w:rPr>
                <w:noProof/>
                <w:sz w:val="21"/>
                <w:szCs w:val="21"/>
                <w:lang w:eastAsia="en-US"/>
              </w:rPr>
              <w:t xml:space="preserve"> </w:t>
            </w:r>
            <w:r w:rsidRPr="004E4188">
              <w:rPr>
                <w:b/>
                <w:noProof/>
                <w:sz w:val="21"/>
                <w:szCs w:val="21"/>
                <w:lang w:eastAsia="en-US"/>
              </w:rPr>
              <w:t>des données de révision des prix</w:t>
            </w:r>
            <w:r w:rsidRPr="004E4188">
              <w:rPr>
                <w:noProof/>
                <w:sz w:val="21"/>
                <w:szCs w:val="21"/>
                <w:lang w:eastAsia="en-US"/>
              </w:rPr>
              <w:t xml:space="preserve"> complété (si requis conformément à IS 14.</w:t>
            </w:r>
            <w:r w:rsidRPr="004E4188">
              <w:rPr>
                <w:rFonts w:hint="eastAsia"/>
                <w:noProof/>
                <w:sz w:val="21"/>
                <w:szCs w:val="21"/>
                <w:lang w:eastAsia="ja-JP"/>
              </w:rPr>
              <w:t>7</w:t>
            </w:r>
            <w:r w:rsidRPr="004E4188">
              <w:rPr>
                <w:noProof/>
                <w:sz w:val="21"/>
                <w:szCs w:val="21"/>
                <w:lang w:eastAsia="en-US"/>
              </w:rPr>
              <w:t>) mais en excluant ceux requis par IS 11.2.</w:t>
            </w:r>
          </w:p>
        </w:tc>
        <w:tc>
          <w:tcPr>
            <w:tcW w:w="567" w:type="dxa"/>
            <w:tcBorders>
              <w:top w:val="nil"/>
              <w:bottom w:val="nil"/>
              <w:right w:val="nil"/>
            </w:tcBorders>
            <w:shd w:val="clear" w:color="auto" w:fill="auto"/>
          </w:tcPr>
          <w:p w14:paraId="70E298D1" w14:textId="77777777" w:rsidR="007049A5" w:rsidRPr="004E4188" w:rsidRDefault="007049A5" w:rsidP="006C6267">
            <w:pPr>
              <w:suppressAutoHyphens w:val="0"/>
              <w:overflowPunct/>
              <w:spacing w:before="20" w:after="20" w:line="240" w:lineRule="exact"/>
              <w:jc w:val="center"/>
              <w:textAlignment w:val="auto"/>
              <w:outlineLvl w:val="0"/>
              <w:rPr>
                <w:bCs/>
                <w:noProof/>
                <w:kern w:val="28"/>
                <w:sz w:val="21"/>
                <w:szCs w:val="21"/>
                <w:lang w:eastAsia="ja-JP"/>
              </w:rPr>
            </w:pPr>
            <w:r w:rsidRPr="004E4188">
              <w:rPr>
                <w:bCs/>
                <w:noProof/>
                <w:kern w:val="28"/>
                <w:sz w:val="21"/>
                <w:szCs w:val="21"/>
                <w:lang w:eastAsia="ja-JP"/>
              </w:rPr>
              <w:t>(b)</w:t>
            </w:r>
          </w:p>
        </w:tc>
        <w:tc>
          <w:tcPr>
            <w:tcW w:w="4113" w:type="dxa"/>
            <w:gridSpan w:val="3"/>
            <w:tcBorders>
              <w:top w:val="nil"/>
              <w:left w:val="nil"/>
              <w:bottom w:val="nil"/>
              <w:right w:val="single" w:sz="12" w:space="0" w:color="auto"/>
            </w:tcBorders>
            <w:shd w:val="clear" w:color="auto" w:fill="auto"/>
          </w:tcPr>
          <w:p w14:paraId="400D86FB" w14:textId="77777777" w:rsidR="007049A5" w:rsidRPr="004E4188" w:rsidRDefault="007049A5" w:rsidP="006C6267">
            <w:pPr>
              <w:suppressAutoHyphens w:val="0"/>
              <w:overflowPunct/>
              <w:spacing w:before="20" w:after="20" w:line="240" w:lineRule="exact"/>
              <w:textAlignment w:val="auto"/>
              <w:rPr>
                <w:noProof/>
                <w:sz w:val="21"/>
                <w:szCs w:val="21"/>
                <w:lang w:eastAsia="en-US"/>
              </w:rPr>
            </w:pPr>
            <w:r w:rsidRPr="004E4188">
              <w:rPr>
                <w:sz w:val="21"/>
                <w:szCs w:val="21"/>
                <w:lang w:eastAsia="en-US"/>
              </w:rPr>
              <w:t>Les</w:t>
            </w:r>
            <w:r w:rsidRPr="004E4188">
              <w:rPr>
                <w:b/>
                <w:sz w:val="21"/>
                <w:szCs w:val="21"/>
                <w:lang w:eastAsia="en-US"/>
              </w:rPr>
              <w:t xml:space="preserve"> Bordereaux chiffrés</w:t>
            </w:r>
            <w:r w:rsidRPr="004E4188">
              <w:rPr>
                <w:sz w:val="21"/>
                <w:szCs w:val="21"/>
                <w:lang w:eastAsia="en-US"/>
              </w:rPr>
              <w:t>, conformément à IS 29.1 et IS 30, y compris</w:t>
            </w:r>
            <w:r w:rsidRPr="004E4188">
              <w:rPr>
                <w:noProof/>
                <w:sz w:val="21"/>
                <w:szCs w:val="21"/>
                <w:lang w:eastAsia="en-US"/>
              </w:rPr>
              <w:t xml:space="preserve"> les</w:t>
            </w:r>
            <w:r w:rsidRPr="004E4188">
              <w:rPr>
                <w:b/>
                <w:noProof/>
                <w:sz w:val="21"/>
                <w:szCs w:val="21"/>
                <w:lang w:eastAsia="en-US"/>
              </w:rPr>
              <w:t xml:space="preserve"> Bordereaux des prix </w:t>
            </w:r>
            <w:r w:rsidRPr="004E4188">
              <w:rPr>
                <w:noProof/>
                <w:sz w:val="21"/>
                <w:szCs w:val="21"/>
                <w:lang w:eastAsia="en-US"/>
              </w:rPr>
              <w:t>complétés</w:t>
            </w:r>
            <w:r w:rsidRPr="004E4188">
              <w:rPr>
                <w:b/>
                <w:noProof/>
                <w:sz w:val="21"/>
                <w:szCs w:val="21"/>
                <w:lang w:eastAsia="en-US"/>
              </w:rPr>
              <w:t xml:space="preserve"> </w:t>
            </w:r>
            <w:r w:rsidRPr="004E4188">
              <w:rPr>
                <w:noProof/>
                <w:sz w:val="21"/>
                <w:szCs w:val="21"/>
                <w:lang w:eastAsia="en-US"/>
              </w:rPr>
              <w:t xml:space="preserve">et le </w:t>
            </w:r>
            <w:r w:rsidRPr="004E4188">
              <w:rPr>
                <w:b/>
                <w:noProof/>
                <w:sz w:val="21"/>
                <w:szCs w:val="21"/>
                <w:lang w:eastAsia="en-US"/>
              </w:rPr>
              <w:t>Bordereau</w:t>
            </w:r>
            <w:r w:rsidRPr="004E4188">
              <w:rPr>
                <w:noProof/>
                <w:sz w:val="21"/>
                <w:szCs w:val="21"/>
                <w:lang w:eastAsia="en-US"/>
              </w:rPr>
              <w:t xml:space="preserve"> </w:t>
            </w:r>
            <w:r w:rsidRPr="004E4188">
              <w:rPr>
                <w:b/>
                <w:noProof/>
                <w:sz w:val="21"/>
                <w:szCs w:val="21"/>
                <w:lang w:eastAsia="en-US"/>
              </w:rPr>
              <w:t>des données de révision des prix</w:t>
            </w:r>
            <w:r w:rsidRPr="004E4188">
              <w:rPr>
                <w:noProof/>
                <w:sz w:val="21"/>
                <w:szCs w:val="21"/>
                <w:lang w:eastAsia="en-US"/>
              </w:rPr>
              <w:t xml:space="preserve"> complété (si requis conformément à IS 30.7).</w:t>
            </w:r>
          </w:p>
        </w:tc>
      </w:tr>
      <w:tr w:rsidR="007049A5" w:rsidRPr="004E4188" w14:paraId="293BE648"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3B84DE3F"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p>
          <w:p w14:paraId="734EF79E"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p>
        </w:tc>
        <w:tc>
          <w:tcPr>
            <w:tcW w:w="4176" w:type="dxa"/>
            <w:gridSpan w:val="2"/>
            <w:tcBorders>
              <w:top w:val="nil"/>
              <w:left w:val="nil"/>
              <w:bottom w:val="nil"/>
            </w:tcBorders>
            <w:shd w:val="clear" w:color="auto" w:fill="auto"/>
          </w:tcPr>
          <w:p w14:paraId="377E5558" w14:textId="77777777" w:rsidR="007049A5" w:rsidRPr="004E4188" w:rsidRDefault="007049A5" w:rsidP="006C6267">
            <w:pPr>
              <w:suppressAutoHyphens w:val="0"/>
              <w:overflowPunct/>
              <w:spacing w:before="20" w:after="20" w:line="240" w:lineRule="exact"/>
              <w:textAlignment w:val="auto"/>
              <w:rPr>
                <w:noProof/>
                <w:sz w:val="21"/>
                <w:szCs w:val="21"/>
                <w:lang w:eastAsia="en-US"/>
              </w:rPr>
            </w:pPr>
          </w:p>
        </w:tc>
        <w:tc>
          <w:tcPr>
            <w:tcW w:w="567" w:type="dxa"/>
            <w:tcBorders>
              <w:top w:val="nil"/>
              <w:bottom w:val="nil"/>
              <w:right w:val="nil"/>
            </w:tcBorders>
            <w:shd w:val="clear" w:color="auto" w:fill="auto"/>
          </w:tcPr>
          <w:p w14:paraId="049CEF02" w14:textId="77777777" w:rsidR="007049A5" w:rsidRPr="004E4188" w:rsidRDefault="007049A5" w:rsidP="006C6267">
            <w:pPr>
              <w:suppressAutoHyphens w:val="0"/>
              <w:overflowPunct/>
              <w:spacing w:before="20" w:after="20" w:line="240" w:lineRule="exact"/>
              <w:jc w:val="center"/>
              <w:textAlignment w:val="auto"/>
              <w:outlineLvl w:val="0"/>
              <w:rPr>
                <w:bCs/>
                <w:noProof/>
                <w:kern w:val="28"/>
                <w:sz w:val="21"/>
                <w:szCs w:val="21"/>
                <w:lang w:eastAsia="ja-JP"/>
              </w:rPr>
            </w:pPr>
            <w:r w:rsidRPr="004E4188">
              <w:rPr>
                <w:bCs/>
                <w:noProof/>
                <w:kern w:val="28"/>
                <w:sz w:val="21"/>
                <w:szCs w:val="21"/>
                <w:lang w:eastAsia="ja-JP"/>
              </w:rPr>
              <w:t>(c)</w:t>
            </w:r>
          </w:p>
        </w:tc>
        <w:tc>
          <w:tcPr>
            <w:tcW w:w="4113" w:type="dxa"/>
            <w:gridSpan w:val="3"/>
            <w:tcBorders>
              <w:top w:val="nil"/>
              <w:left w:val="nil"/>
              <w:bottom w:val="nil"/>
              <w:right w:val="single" w:sz="12" w:space="0" w:color="auto"/>
            </w:tcBorders>
            <w:shd w:val="clear" w:color="auto" w:fill="auto"/>
          </w:tcPr>
          <w:p w14:paraId="1389D1A2" w14:textId="77777777" w:rsidR="007049A5" w:rsidRPr="004E4188" w:rsidRDefault="007049A5" w:rsidP="006C6267">
            <w:pPr>
              <w:suppressAutoHyphens w:val="0"/>
              <w:overflowPunct/>
              <w:spacing w:before="20" w:after="20" w:line="240" w:lineRule="exact"/>
              <w:textAlignment w:val="auto"/>
              <w:rPr>
                <w:b/>
                <w:noProof/>
                <w:sz w:val="21"/>
                <w:szCs w:val="21"/>
                <w:lang w:eastAsia="en-US"/>
              </w:rPr>
            </w:pPr>
            <w:r w:rsidRPr="004E4188">
              <w:rPr>
                <w:noProof/>
                <w:sz w:val="21"/>
                <w:szCs w:val="21"/>
                <w:lang w:eastAsia="en-US"/>
              </w:rPr>
              <w:t xml:space="preserve">La </w:t>
            </w:r>
            <w:r w:rsidRPr="004E4188">
              <w:rPr>
                <w:b/>
                <w:noProof/>
                <w:sz w:val="21"/>
                <w:szCs w:val="21"/>
                <w:lang w:eastAsia="en-US"/>
              </w:rPr>
              <w:t>garantie de soumission</w:t>
            </w:r>
            <w:r w:rsidRPr="004E4188">
              <w:rPr>
                <w:noProof/>
                <w:sz w:val="21"/>
                <w:szCs w:val="21"/>
                <w:lang w:eastAsia="en-US"/>
              </w:rPr>
              <w:t xml:space="preserve"> établie conformément à IS 33.</w:t>
            </w:r>
          </w:p>
        </w:tc>
      </w:tr>
      <w:tr w:rsidR="007049A5" w:rsidRPr="004E4188" w14:paraId="7C060EFA"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51"/>
        </w:trPr>
        <w:tc>
          <w:tcPr>
            <w:tcW w:w="4676" w:type="dxa"/>
            <w:gridSpan w:val="3"/>
            <w:vMerge w:val="restart"/>
            <w:tcBorders>
              <w:top w:val="nil"/>
              <w:left w:val="single" w:sz="12" w:space="0" w:color="auto"/>
            </w:tcBorders>
            <w:shd w:val="clear" w:color="auto" w:fill="auto"/>
          </w:tcPr>
          <w:p w14:paraId="79FE14FF" w14:textId="77777777" w:rsidR="007049A5" w:rsidRPr="004E4188" w:rsidRDefault="007049A5" w:rsidP="006C6267">
            <w:pPr>
              <w:suppressAutoHyphens w:val="0"/>
              <w:overflowPunct/>
              <w:spacing w:before="20" w:after="20" w:line="240" w:lineRule="exact"/>
              <w:textAlignment w:val="auto"/>
              <w:rPr>
                <w:noProof/>
                <w:sz w:val="21"/>
                <w:szCs w:val="21"/>
                <w:lang w:eastAsia="en-US"/>
              </w:rPr>
            </w:pPr>
          </w:p>
        </w:tc>
        <w:tc>
          <w:tcPr>
            <w:tcW w:w="567" w:type="dxa"/>
            <w:tcBorders>
              <w:top w:val="nil"/>
              <w:bottom w:val="nil"/>
              <w:right w:val="nil"/>
            </w:tcBorders>
            <w:shd w:val="clear" w:color="auto" w:fill="auto"/>
          </w:tcPr>
          <w:p w14:paraId="2378675C" w14:textId="77777777" w:rsidR="007049A5" w:rsidRPr="004E4188" w:rsidRDefault="007049A5" w:rsidP="006C6267">
            <w:pPr>
              <w:suppressAutoHyphens w:val="0"/>
              <w:overflowPunct/>
              <w:spacing w:before="20" w:after="20" w:line="240" w:lineRule="exact"/>
              <w:jc w:val="center"/>
              <w:textAlignment w:val="auto"/>
              <w:outlineLvl w:val="0"/>
              <w:rPr>
                <w:bCs/>
                <w:noProof/>
                <w:kern w:val="28"/>
                <w:sz w:val="21"/>
                <w:szCs w:val="21"/>
                <w:lang w:eastAsia="ja-JP"/>
              </w:rPr>
            </w:pPr>
            <w:r w:rsidRPr="004E4188">
              <w:rPr>
                <w:bCs/>
                <w:noProof/>
                <w:kern w:val="28"/>
                <w:sz w:val="21"/>
                <w:szCs w:val="21"/>
                <w:lang w:eastAsia="ja-JP"/>
              </w:rPr>
              <w:t>(d)</w:t>
            </w:r>
          </w:p>
        </w:tc>
        <w:tc>
          <w:tcPr>
            <w:tcW w:w="4113" w:type="dxa"/>
            <w:gridSpan w:val="3"/>
            <w:tcBorders>
              <w:top w:val="nil"/>
              <w:left w:val="nil"/>
              <w:bottom w:val="nil"/>
              <w:right w:val="single" w:sz="12" w:space="0" w:color="auto"/>
            </w:tcBorders>
            <w:shd w:val="clear" w:color="auto" w:fill="auto"/>
          </w:tcPr>
          <w:p w14:paraId="5D21FD7A" w14:textId="24EECC5D" w:rsidR="007049A5" w:rsidRPr="004E4188" w:rsidRDefault="007049A5" w:rsidP="00C724CD">
            <w:pPr>
              <w:suppressAutoHyphens w:val="0"/>
              <w:overflowPunct/>
              <w:spacing w:before="20" w:after="20" w:line="240" w:lineRule="exact"/>
              <w:textAlignment w:val="auto"/>
              <w:rPr>
                <w:noProof/>
                <w:sz w:val="21"/>
                <w:szCs w:val="21"/>
                <w:lang w:eastAsia="en-US"/>
              </w:rPr>
            </w:pPr>
            <w:r w:rsidRPr="004E4188">
              <w:rPr>
                <w:noProof/>
                <w:sz w:val="21"/>
                <w:szCs w:val="21"/>
                <w:lang w:eastAsia="ja-JP"/>
              </w:rPr>
              <w:t xml:space="preserve">La </w:t>
            </w:r>
            <w:r w:rsidRPr="004E4188">
              <w:rPr>
                <w:b/>
                <w:noProof/>
                <w:sz w:val="21"/>
                <w:szCs w:val="21"/>
                <w:lang w:eastAsia="ja-JP"/>
              </w:rPr>
              <w:t>procuration</w:t>
            </w:r>
            <w:r w:rsidRPr="004E4188">
              <w:rPr>
                <w:noProof/>
                <w:sz w:val="21"/>
                <w:szCs w:val="21"/>
                <w:lang w:eastAsia="ja-JP"/>
              </w:rPr>
              <w:t xml:space="preserve"> attestant que le signataire de l</w:t>
            </w:r>
            <w:r w:rsidR="00C724CD" w:rsidRPr="004E4188">
              <w:rPr>
                <w:noProof/>
                <w:sz w:val="21"/>
                <w:szCs w:val="21"/>
                <w:lang w:eastAsia="ja-JP"/>
              </w:rPr>
              <w:t>’</w:t>
            </w:r>
            <w:r w:rsidRPr="004E4188">
              <w:rPr>
                <w:noProof/>
                <w:sz w:val="21"/>
                <w:szCs w:val="21"/>
                <w:lang w:eastAsia="ja-JP"/>
              </w:rPr>
              <w:t>offre est habilité à engager le Soumissionnaire conformément à IS 34.2 et IS 34.3.</w:t>
            </w:r>
          </w:p>
        </w:tc>
      </w:tr>
      <w:tr w:rsidR="007049A5" w:rsidRPr="004E4188" w14:paraId="61B23BE1"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676" w:type="dxa"/>
            <w:gridSpan w:val="3"/>
            <w:vMerge/>
            <w:tcBorders>
              <w:left w:val="single" w:sz="12" w:space="0" w:color="auto"/>
              <w:bottom w:val="nil"/>
            </w:tcBorders>
            <w:shd w:val="clear" w:color="auto" w:fill="auto"/>
          </w:tcPr>
          <w:p w14:paraId="0F798EF9" w14:textId="77777777" w:rsidR="007049A5" w:rsidRPr="004E4188" w:rsidRDefault="007049A5" w:rsidP="006C6267">
            <w:pPr>
              <w:suppressAutoHyphens w:val="0"/>
              <w:overflowPunct/>
              <w:spacing w:before="20" w:after="20" w:line="240" w:lineRule="exact"/>
              <w:textAlignment w:val="auto"/>
              <w:rPr>
                <w:noProof/>
                <w:sz w:val="21"/>
                <w:szCs w:val="21"/>
                <w:lang w:eastAsia="en-US"/>
              </w:rPr>
            </w:pPr>
          </w:p>
        </w:tc>
        <w:tc>
          <w:tcPr>
            <w:tcW w:w="567" w:type="dxa"/>
            <w:tcBorders>
              <w:top w:val="nil"/>
              <w:bottom w:val="nil"/>
              <w:right w:val="nil"/>
            </w:tcBorders>
            <w:shd w:val="clear" w:color="auto" w:fill="auto"/>
          </w:tcPr>
          <w:p w14:paraId="456EAD90" w14:textId="77777777" w:rsidR="007049A5" w:rsidRPr="004E4188" w:rsidRDefault="007049A5" w:rsidP="006C6267">
            <w:pPr>
              <w:suppressAutoHyphens w:val="0"/>
              <w:overflowPunct/>
              <w:spacing w:before="20" w:after="20" w:line="240" w:lineRule="exact"/>
              <w:jc w:val="center"/>
              <w:textAlignment w:val="auto"/>
              <w:outlineLvl w:val="0"/>
              <w:rPr>
                <w:bCs/>
                <w:noProof/>
                <w:kern w:val="28"/>
                <w:sz w:val="21"/>
                <w:szCs w:val="21"/>
                <w:lang w:eastAsia="ja-JP"/>
              </w:rPr>
            </w:pPr>
            <w:r w:rsidRPr="004E4188">
              <w:rPr>
                <w:bCs/>
                <w:noProof/>
                <w:kern w:val="28"/>
                <w:sz w:val="21"/>
                <w:szCs w:val="21"/>
                <w:lang w:eastAsia="ja-JP"/>
              </w:rPr>
              <w:t>(e)</w:t>
            </w:r>
          </w:p>
        </w:tc>
        <w:tc>
          <w:tcPr>
            <w:tcW w:w="4113" w:type="dxa"/>
            <w:gridSpan w:val="3"/>
            <w:tcBorders>
              <w:top w:val="nil"/>
              <w:left w:val="nil"/>
              <w:bottom w:val="nil"/>
              <w:right w:val="single" w:sz="12" w:space="0" w:color="auto"/>
            </w:tcBorders>
            <w:shd w:val="clear" w:color="auto" w:fill="auto"/>
          </w:tcPr>
          <w:p w14:paraId="4205559D" w14:textId="77777777" w:rsidR="007049A5" w:rsidRPr="004E4188" w:rsidRDefault="007049A5" w:rsidP="006C6267">
            <w:pPr>
              <w:suppressAutoHyphens w:val="0"/>
              <w:overflowPunct/>
              <w:spacing w:before="20" w:after="20" w:line="240" w:lineRule="exact"/>
              <w:textAlignment w:val="auto"/>
              <w:rPr>
                <w:noProof/>
                <w:sz w:val="21"/>
                <w:szCs w:val="21"/>
                <w:lang w:eastAsia="en-US"/>
              </w:rPr>
            </w:pPr>
            <w:r w:rsidRPr="004E4188">
              <w:rPr>
                <w:b/>
                <w:noProof/>
                <w:sz w:val="21"/>
                <w:szCs w:val="21"/>
                <w:lang w:eastAsia="en-US"/>
              </w:rPr>
              <w:t>L’offre de la première étape mise à jour</w:t>
            </w:r>
            <w:r w:rsidRPr="004E4188">
              <w:rPr>
                <w:noProof/>
                <w:sz w:val="21"/>
                <w:szCs w:val="21"/>
                <w:lang w:eastAsia="en-US"/>
              </w:rPr>
              <w:t>, comprenant toutes les modifications requises par le mémorandum intitulé « Modifications requises suite à l’évaluation des offres de la première étape ».</w:t>
            </w:r>
          </w:p>
        </w:tc>
      </w:tr>
      <w:tr w:rsidR="007049A5" w:rsidRPr="004E4188" w14:paraId="3E0E88DD"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0DB00A65"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p>
        </w:tc>
        <w:tc>
          <w:tcPr>
            <w:tcW w:w="4176" w:type="dxa"/>
            <w:gridSpan w:val="2"/>
            <w:tcBorders>
              <w:top w:val="nil"/>
              <w:left w:val="nil"/>
              <w:bottom w:val="nil"/>
            </w:tcBorders>
            <w:shd w:val="clear" w:color="auto" w:fill="auto"/>
          </w:tcPr>
          <w:p w14:paraId="358B8E7F" w14:textId="77777777" w:rsidR="007049A5" w:rsidRPr="004E4188" w:rsidRDefault="007049A5" w:rsidP="006C6267">
            <w:pPr>
              <w:suppressAutoHyphens w:val="0"/>
              <w:overflowPunct/>
              <w:spacing w:before="20" w:after="20" w:line="240" w:lineRule="exact"/>
              <w:textAlignment w:val="auto"/>
              <w:rPr>
                <w:noProof/>
                <w:sz w:val="21"/>
                <w:szCs w:val="21"/>
                <w:lang w:eastAsia="en-US"/>
              </w:rPr>
            </w:pPr>
          </w:p>
        </w:tc>
        <w:tc>
          <w:tcPr>
            <w:tcW w:w="567" w:type="dxa"/>
            <w:tcBorders>
              <w:top w:val="nil"/>
              <w:bottom w:val="nil"/>
              <w:right w:val="nil"/>
            </w:tcBorders>
            <w:shd w:val="clear" w:color="auto" w:fill="auto"/>
          </w:tcPr>
          <w:p w14:paraId="45E674C1" w14:textId="77777777" w:rsidR="007049A5" w:rsidRPr="004E4188" w:rsidRDefault="007049A5" w:rsidP="006C6267">
            <w:pPr>
              <w:suppressAutoHyphens w:val="0"/>
              <w:overflowPunct/>
              <w:spacing w:before="20" w:after="20" w:line="240" w:lineRule="exact"/>
              <w:jc w:val="center"/>
              <w:textAlignment w:val="auto"/>
              <w:outlineLvl w:val="0"/>
              <w:rPr>
                <w:bCs/>
                <w:noProof/>
                <w:kern w:val="28"/>
                <w:sz w:val="21"/>
                <w:szCs w:val="21"/>
                <w:lang w:eastAsia="ja-JP"/>
              </w:rPr>
            </w:pPr>
            <w:r w:rsidRPr="004E4188">
              <w:rPr>
                <w:bCs/>
                <w:noProof/>
                <w:kern w:val="28"/>
                <w:sz w:val="21"/>
                <w:szCs w:val="21"/>
                <w:lang w:eastAsia="ja-JP"/>
              </w:rPr>
              <w:t>(f)</w:t>
            </w:r>
          </w:p>
        </w:tc>
        <w:tc>
          <w:tcPr>
            <w:tcW w:w="4113" w:type="dxa"/>
            <w:gridSpan w:val="3"/>
            <w:tcBorders>
              <w:top w:val="nil"/>
              <w:left w:val="nil"/>
              <w:bottom w:val="nil"/>
              <w:right w:val="single" w:sz="12" w:space="0" w:color="auto"/>
            </w:tcBorders>
            <w:shd w:val="clear" w:color="auto" w:fill="auto"/>
          </w:tcPr>
          <w:p w14:paraId="3519E90E" w14:textId="77777777" w:rsidR="007049A5" w:rsidRPr="004E4188" w:rsidRDefault="007049A5" w:rsidP="006C6267">
            <w:pPr>
              <w:suppressAutoHyphens w:val="0"/>
              <w:overflowPunct/>
              <w:spacing w:before="20" w:after="20" w:line="240" w:lineRule="exact"/>
              <w:textAlignment w:val="auto"/>
              <w:rPr>
                <w:noProof/>
                <w:sz w:val="21"/>
                <w:szCs w:val="21"/>
                <w:lang w:eastAsia="en-US"/>
              </w:rPr>
            </w:pPr>
            <w:r w:rsidRPr="004E4188">
              <w:rPr>
                <w:noProof/>
                <w:sz w:val="21"/>
                <w:szCs w:val="21"/>
                <w:lang w:eastAsia="en-US"/>
              </w:rPr>
              <w:t>Les documents concernant tout changement qui pourraient avoir eu lieu entre la remise des offres de la première et de la deuxième étapes et qui affecterait l’éligibilité du Soumissionnaire et ses qualifications à exécuter le Marché si son offre est acceptée.</w:t>
            </w:r>
          </w:p>
        </w:tc>
      </w:tr>
      <w:tr w:rsidR="007049A5" w:rsidRPr="004E4188" w14:paraId="203C1F39"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4EA56AC3"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p>
        </w:tc>
        <w:tc>
          <w:tcPr>
            <w:tcW w:w="4176" w:type="dxa"/>
            <w:gridSpan w:val="2"/>
            <w:tcBorders>
              <w:top w:val="nil"/>
              <w:left w:val="nil"/>
              <w:bottom w:val="nil"/>
            </w:tcBorders>
            <w:shd w:val="clear" w:color="auto" w:fill="auto"/>
          </w:tcPr>
          <w:p w14:paraId="3AFDAAEF" w14:textId="77777777" w:rsidR="007049A5" w:rsidRPr="004E4188" w:rsidRDefault="007049A5" w:rsidP="006C6267">
            <w:pPr>
              <w:suppressAutoHyphens w:val="0"/>
              <w:overflowPunct/>
              <w:spacing w:before="20" w:after="20" w:line="240" w:lineRule="exact"/>
              <w:ind w:left="4" w:hanging="4"/>
              <w:jc w:val="left"/>
              <w:textAlignment w:val="auto"/>
              <w:rPr>
                <w:noProof/>
                <w:sz w:val="21"/>
                <w:szCs w:val="21"/>
                <w:lang w:eastAsia="en-US"/>
              </w:rPr>
            </w:pPr>
          </w:p>
        </w:tc>
        <w:tc>
          <w:tcPr>
            <w:tcW w:w="567" w:type="dxa"/>
            <w:tcBorders>
              <w:top w:val="nil"/>
              <w:bottom w:val="nil"/>
              <w:right w:val="nil"/>
            </w:tcBorders>
            <w:shd w:val="clear" w:color="auto" w:fill="auto"/>
          </w:tcPr>
          <w:p w14:paraId="30936279" w14:textId="77777777" w:rsidR="007049A5" w:rsidRPr="004E4188" w:rsidRDefault="007049A5" w:rsidP="006C6267">
            <w:pPr>
              <w:suppressAutoHyphens w:val="0"/>
              <w:overflowPunct/>
              <w:spacing w:before="20" w:after="20" w:line="240" w:lineRule="exact"/>
              <w:jc w:val="center"/>
              <w:textAlignment w:val="auto"/>
              <w:outlineLvl w:val="0"/>
              <w:rPr>
                <w:bCs/>
                <w:noProof/>
                <w:kern w:val="28"/>
                <w:sz w:val="21"/>
                <w:szCs w:val="21"/>
                <w:lang w:eastAsia="ja-JP"/>
              </w:rPr>
            </w:pPr>
            <w:r w:rsidRPr="004E4188">
              <w:rPr>
                <w:bCs/>
                <w:noProof/>
                <w:kern w:val="28"/>
                <w:sz w:val="21"/>
                <w:szCs w:val="21"/>
                <w:lang w:eastAsia="ja-JP"/>
              </w:rPr>
              <w:t>(g)</w:t>
            </w:r>
          </w:p>
        </w:tc>
        <w:tc>
          <w:tcPr>
            <w:tcW w:w="4113" w:type="dxa"/>
            <w:gridSpan w:val="3"/>
            <w:tcBorders>
              <w:top w:val="nil"/>
              <w:left w:val="nil"/>
              <w:bottom w:val="nil"/>
              <w:right w:val="single" w:sz="12" w:space="0" w:color="auto"/>
            </w:tcBorders>
            <w:shd w:val="clear" w:color="auto" w:fill="auto"/>
          </w:tcPr>
          <w:p w14:paraId="21359905" w14:textId="77777777" w:rsidR="007049A5" w:rsidRPr="004E4188" w:rsidRDefault="007049A5" w:rsidP="006C6267">
            <w:pPr>
              <w:suppressAutoHyphens w:val="0"/>
              <w:overflowPunct/>
              <w:spacing w:before="20" w:after="20" w:line="240" w:lineRule="exact"/>
              <w:ind w:left="4" w:hanging="4"/>
              <w:textAlignment w:val="auto"/>
              <w:rPr>
                <w:noProof/>
                <w:sz w:val="21"/>
                <w:szCs w:val="21"/>
                <w:lang w:eastAsia="en-US"/>
              </w:rPr>
            </w:pPr>
            <w:r w:rsidRPr="004E4188">
              <w:rPr>
                <w:noProof/>
                <w:sz w:val="21"/>
                <w:szCs w:val="21"/>
                <w:lang w:eastAsia="en-US"/>
              </w:rPr>
              <w:t xml:space="preserve">Les documents attestant que les installations supplémentaires ou modifiées fournies et </w:t>
            </w:r>
            <w:r w:rsidRPr="004E4188">
              <w:rPr>
                <w:sz w:val="21"/>
                <w:szCs w:val="21"/>
              </w:rPr>
              <w:t>montées</w:t>
            </w:r>
            <w:r w:rsidRPr="004E4188">
              <w:rPr>
                <w:noProof/>
                <w:sz w:val="21"/>
                <w:szCs w:val="21"/>
                <w:lang w:eastAsia="en-US"/>
              </w:rPr>
              <w:t xml:space="preserve"> par le Soumissionnaire, conformément aux exigences du mémorandum intitulé « Modifications requises suite à l’évaluation des offres de la première étape » sont techniquement conformes.</w:t>
            </w:r>
          </w:p>
        </w:tc>
      </w:tr>
      <w:tr w:rsidR="007049A5" w:rsidRPr="004E4188" w14:paraId="03426F8E"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nil"/>
              <w:right w:val="nil"/>
            </w:tcBorders>
            <w:shd w:val="clear" w:color="auto" w:fill="auto"/>
          </w:tcPr>
          <w:p w14:paraId="3D868F58"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p>
        </w:tc>
        <w:tc>
          <w:tcPr>
            <w:tcW w:w="4176" w:type="dxa"/>
            <w:gridSpan w:val="2"/>
            <w:tcBorders>
              <w:top w:val="nil"/>
              <w:left w:val="nil"/>
              <w:bottom w:val="nil"/>
            </w:tcBorders>
            <w:shd w:val="clear" w:color="auto" w:fill="auto"/>
          </w:tcPr>
          <w:p w14:paraId="6E36014D" w14:textId="77777777" w:rsidR="007049A5" w:rsidRPr="004E4188" w:rsidRDefault="007049A5" w:rsidP="006C6267">
            <w:pPr>
              <w:suppressAutoHyphens w:val="0"/>
              <w:overflowPunct/>
              <w:spacing w:before="20" w:after="20" w:line="240" w:lineRule="exact"/>
              <w:ind w:left="4" w:hanging="4"/>
              <w:jc w:val="left"/>
              <w:textAlignment w:val="auto"/>
              <w:rPr>
                <w:noProof/>
                <w:sz w:val="21"/>
                <w:szCs w:val="21"/>
                <w:lang w:eastAsia="en-US"/>
              </w:rPr>
            </w:pPr>
          </w:p>
        </w:tc>
        <w:tc>
          <w:tcPr>
            <w:tcW w:w="567" w:type="dxa"/>
            <w:tcBorders>
              <w:top w:val="nil"/>
              <w:bottom w:val="nil"/>
              <w:right w:val="nil"/>
            </w:tcBorders>
            <w:shd w:val="clear" w:color="auto" w:fill="auto"/>
          </w:tcPr>
          <w:p w14:paraId="28DCDB1D" w14:textId="77777777" w:rsidR="007049A5" w:rsidRPr="004E4188" w:rsidRDefault="007049A5" w:rsidP="006C6267">
            <w:pPr>
              <w:suppressAutoHyphens w:val="0"/>
              <w:overflowPunct/>
              <w:spacing w:before="20" w:after="20" w:line="240" w:lineRule="exact"/>
              <w:jc w:val="center"/>
              <w:textAlignment w:val="auto"/>
              <w:outlineLvl w:val="0"/>
              <w:rPr>
                <w:bCs/>
                <w:noProof/>
                <w:kern w:val="28"/>
                <w:sz w:val="21"/>
                <w:szCs w:val="21"/>
                <w:lang w:eastAsia="ja-JP"/>
              </w:rPr>
            </w:pPr>
            <w:r w:rsidRPr="004E4188">
              <w:rPr>
                <w:bCs/>
                <w:noProof/>
                <w:kern w:val="28"/>
                <w:sz w:val="21"/>
                <w:szCs w:val="21"/>
                <w:lang w:eastAsia="ja-JP"/>
              </w:rPr>
              <w:t>(h)</w:t>
            </w:r>
          </w:p>
        </w:tc>
        <w:tc>
          <w:tcPr>
            <w:tcW w:w="4113" w:type="dxa"/>
            <w:gridSpan w:val="3"/>
            <w:tcBorders>
              <w:top w:val="nil"/>
              <w:left w:val="nil"/>
              <w:bottom w:val="nil"/>
              <w:right w:val="single" w:sz="12" w:space="0" w:color="auto"/>
            </w:tcBorders>
            <w:shd w:val="clear" w:color="auto" w:fill="auto"/>
          </w:tcPr>
          <w:p w14:paraId="3BCEAFFE" w14:textId="77777777" w:rsidR="007049A5" w:rsidRPr="004E4188" w:rsidRDefault="007049A5" w:rsidP="006C6267">
            <w:pPr>
              <w:suppressAutoHyphens w:val="0"/>
              <w:overflowPunct/>
              <w:spacing w:before="20" w:after="20" w:line="240" w:lineRule="exact"/>
              <w:ind w:left="4" w:hanging="4"/>
              <w:textAlignment w:val="auto"/>
              <w:rPr>
                <w:noProof/>
                <w:sz w:val="21"/>
                <w:szCs w:val="21"/>
                <w:lang w:eastAsia="en-US"/>
              </w:rPr>
            </w:pPr>
            <w:r w:rsidRPr="004E4188">
              <w:rPr>
                <w:noProof/>
                <w:sz w:val="21"/>
                <w:szCs w:val="21"/>
                <w:lang w:eastAsia="en-US"/>
              </w:rPr>
              <w:t>Les détails sur les sous-traitants proposés, y compris les fabricants, si, pour répondre aux exigences du mémorandum « Modifications requises suite à l’évaluation des offres de la première étape », le Soumissionnaire propose d’engager des sous-traitants ou des fabricants supplémentaires ou différents de ceux nommés dans son offre de la première étape.</w:t>
            </w:r>
          </w:p>
        </w:tc>
      </w:tr>
      <w:tr w:rsidR="007049A5" w:rsidRPr="004E4188" w14:paraId="2AAA830A"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500" w:type="dxa"/>
            <w:tcBorders>
              <w:top w:val="nil"/>
              <w:left w:val="single" w:sz="12" w:space="0" w:color="auto"/>
              <w:bottom w:val="single" w:sz="12" w:space="0" w:color="auto"/>
              <w:right w:val="nil"/>
            </w:tcBorders>
            <w:shd w:val="clear" w:color="auto" w:fill="auto"/>
          </w:tcPr>
          <w:p w14:paraId="26BE4A9E" w14:textId="77777777" w:rsidR="007049A5" w:rsidRPr="004E4188" w:rsidRDefault="007049A5" w:rsidP="006C6267">
            <w:pPr>
              <w:suppressAutoHyphens w:val="0"/>
              <w:overflowPunct/>
              <w:spacing w:before="20" w:after="20" w:line="240" w:lineRule="exact"/>
              <w:jc w:val="center"/>
              <w:textAlignment w:val="auto"/>
              <w:rPr>
                <w:noProof/>
                <w:sz w:val="21"/>
                <w:szCs w:val="21"/>
                <w:lang w:eastAsia="ja-JP"/>
              </w:rPr>
            </w:pPr>
            <w:r w:rsidRPr="004E4188">
              <w:rPr>
                <w:noProof/>
                <w:sz w:val="21"/>
                <w:szCs w:val="21"/>
                <w:lang w:eastAsia="ja-JP"/>
              </w:rPr>
              <w:t>(c)</w:t>
            </w:r>
          </w:p>
        </w:tc>
        <w:tc>
          <w:tcPr>
            <w:tcW w:w="4176" w:type="dxa"/>
            <w:gridSpan w:val="2"/>
            <w:tcBorders>
              <w:top w:val="nil"/>
              <w:left w:val="nil"/>
              <w:bottom w:val="single" w:sz="12" w:space="0" w:color="auto"/>
            </w:tcBorders>
            <w:shd w:val="clear" w:color="auto" w:fill="auto"/>
          </w:tcPr>
          <w:p w14:paraId="6D41536F" w14:textId="77777777" w:rsidR="007049A5" w:rsidRPr="004E4188" w:rsidRDefault="007049A5" w:rsidP="006364D7">
            <w:pPr>
              <w:suppressAutoHyphens w:val="0"/>
              <w:overflowPunct/>
              <w:spacing w:before="20" w:after="120" w:line="240" w:lineRule="exact"/>
              <w:ind w:left="4" w:hanging="4"/>
              <w:jc w:val="left"/>
              <w:textAlignment w:val="auto"/>
              <w:rPr>
                <w:noProof/>
                <w:sz w:val="21"/>
                <w:szCs w:val="21"/>
                <w:lang w:eastAsia="ja-JP"/>
              </w:rPr>
            </w:pPr>
            <w:r w:rsidRPr="004E4188">
              <w:rPr>
                <w:b/>
                <w:noProof/>
                <w:sz w:val="21"/>
                <w:szCs w:val="21"/>
                <w:lang w:eastAsia="ja-JP"/>
              </w:rPr>
              <w:t>Tout autre document requis par DP 11.3(c).</w:t>
            </w:r>
          </w:p>
        </w:tc>
        <w:tc>
          <w:tcPr>
            <w:tcW w:w="567" w:type="dxa"/>
            <w:tcBorders>
              <w:top w:val="nil"/>
              <w:bottom w:val="single" w:sz="12" w:space="0" w:color="auto"/>
              <w:right w:val="nil"/>
            </w:tcBorders>
            <w:shd w:val="clear" w:color="auto" w:fill="auto"/>
          </w:tcPr>
          <w:p w14:paraId="7E2AB777" w14:textId="77777777" w:rsidR="007049A5" w:rsidRPr="004E4188" w:rsidRDefault="007049A5" w:rsidP="006C6267">
            <w:pPr>
              <w:suppressAutoHyphens w:val="0"/>
              <w:overflowPunct/>
              <w:spacing w:before="20" w:after="20" w:line="240" w:lineRule="exact"/>
              <w:jc w:val="center"/>
              <w:textAlignment w:val="auto"/>
              <w:outlineLvl w:val="0"/>
              <w:rPr>
                <w:noProof/>
                <w:sz w:val="21"/>
                <w:szCs w:val="21"/>
                <w:lang w:eastAsia="ja-JP"/>
              </w:rPr>
            </w:pPr>
            <w:r w:rsidRPr="004E4188">
              <w:rPr>
                <w:bCs/>
                <w:noProof/>
                <w:kern w:val="28"/>
                <w:sz w:val="21"/>
                <w:szCs w:val="21"/>
                <w:lang w:eastAsia="ja-JP"/>
              </w:rPr>
              <w:t>(i)</w:t>
            </w:r>
          </w:p>
        </w:tc>
        <w:tc>
          <w:tcPr>
            <w:tcW w:w="4113" w:type="dxa"/>
            <w:gridSpan w:val="3"/>
            <w:tcBorders>
              <w:top w:val="nil"/>
              <w:left w:val="nil"/>
              <w:bottom w:val="single" w:sz="12" w:space="0" w:color="auto"/>
              <w:right w:val="single" w:sz="12" w:space="0" w:color="auto"/>
            </w:tcBorders>
            <w:shd w:val="clear" w:color="auto" w:fill="auto"/>
          </w:tcPr>
          <w:p w14:paraId="47CD5108" w14:textId="77777777" w:rsidR="007049A5" w:rsidRPr="004E4188" w:rsidRDefault="007049A5" w:rsidP="006C6267">
            <w:pPr>
              <w:suppressAutoHyphens w:val="0"/>
              <w:overflowPunct/>
              <w:spacing w:before="20" w:after="20" w:line="240" w:lineRule="exact"/>
              <w:ind w:left="4" w:hanging="4"/>
              <w:jc w:val="left"/>
              <w:textAlignment w:val="auto"/>
              <w:rPr>
                <w:noProof/>
                <w:sz w:val="21"/>
                <w:szCs w:val="21"/>
                <w:lang w:eastAsia="en-US"/>
              </w:rPr>
            </w:pPr>
            <w:r w:rsidRPr="004E4188">
              <w:rPr>
                <w:b/>
                <w:noProof/>
                <w:sz w:val="21"/>
                <w:szCs w:val="21"/>
                <w:lang w:eastAsia="en-US"/>
              </w:rPr>
              <w:t>Tout autre document requis par DP 28.1(i)</w:t>
            </w:r>
            <w:r w:rsidRPr="004E4188">
              <w:rPr>
                <w:noProof/>
                <w:sz w:val="21"/>
                <w:szCs w:val="21"/>
                <w:lang w:eastAsia="en-US"/>
              </w:rPr>
              <w:t>.</w:t>
            </w:r>
          </w:p>
        </w:tc>
      </w:tr>
      <w:tr w:rsidR="007049A5" w:rsidRPr="004E4188" w14:paraId="4002AD79" w14:textId="77777777" w:rsidTr="006C6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0" w:type="dxa"/>
          <w:trHeight w:val="288"/>
        </w:trPr>
        <w:tc>
          <w:tcPr>
            <w:tcW w:w="500" w:type="dxa"/>
            <w:tcBorders>
              <w:top w:val="nil"/>
              <w:left w:val="nil"/>
              <w:bottom w:val="nil"/>
              <w:right w:val="nil"/>
            </w:tcBorders>
            <w:shd w:val="clear" w:color="auto" w:fill="auto"/>
          </w:tcPr>
          <w:p w14:paraId="6A71D605" w14:textId="77777777" w:rsidR="007049A5" w:rsidRPr="004E4188" w:rsidRDefault="007049A5" w:rsidP="006C6267">
            <w:pPr>
              <w:suppressAutoHyphens w:val="0"/>
              <w:overflowPunct/>
              <w:spacing w:before="20" w:after="20" w:line="240" w:lineRule="exact"/>
              <w:jc w:val="center"/>
              <w:textAlignment w:val="auto"/>
              <w:rPr>
                <w:i/>
                <w:noProof/>
                <w:sz w:val="21"/>
                <w:szCs w:val="21"/>
                <w:lang w:eastAsia="ja-JP"/>
              </w:rPr>
            </w:pPr>
            <w:r w:rsidRPr="004E4188">
              <w:rPr>
                <w:i/>
                <w:noProof/>
                <w:sz w:val="21"/>
                <w:szCs w:val="21"/>
                <w:lang w:eastAsia="ja-JP"/>
              </w:rPr>
              <w:t>*</w:t>
            </w:r>
          </w:p>
        </w:tc>
        <w:tc>
          <w:tcPr>
            <w:tcW w:w="8756" w:type="dxa"/>
            <w:gridSpan w:val="5"/>
            <w:tcBorders>
              <w:top w:val="nil"/>
              <w:left w:val="nil"/>
              <w:bottom w:val="nil"/>
              <w:right w:val="nil"/>
            </w:tcBorders>
            <w:shd w:val="clear" w:color="auto" w:fill="auto"/>
          </w:tcPr>
          <w:p w14:paraId="2C2C7148" w14:textId="77777777" w:rsidR="007049A5" w:rsidRPr="004E4188" w:rsidRDefault="007049A5" w:rsidP="006C6267">
            <w:pPr>
              <w:suppressAutoHyphens w:val="0"/>
              <w:overflowPunct/>
              <w:spacing w:before="20" w:after="20" w:line="240" w:lineRule="exact"/>
              <w:textAlignment w:val="auto"/>
              <w:outlineLvl w:val="0"/>
              <w:rPr>
                <w:i/>
                <w:noProof/>
                <w:sz w:val="21"/>
                <w:szCs w:val="21"/>
                <w:lang w:eastAsia="ja-JP"/>
              </w:rPr>
            </w:pPr>
            <w:bookmarkStart w:id="450" w:name="_Toc86100047"/>
            <w:bookmarkStart w:id="451" w:name="_Toc86102218"/>
            <w:bookmarkStart w:id="452" w:name="_Toc89380372"/>
            <w:bookmarkStart w:id="453" w:name="_Toc89383033"/>
            <w:bookmarkStart w:id="454" w:name="_Toc89383111"/>
            <w:bookmarkStart w:id="455" w:name="_Toc89384616"/>
            <w:bookmarkStart w:id="456" w:name="_Toc89421188"/>
            <w:bookmarkStart w:id="457" w:name="_Toc89423465"/>
            <w:r w:rsidRPr="004E4188">
              <w:rPr>
                <w:bCs/>
                <w:i/>
                <w:kern w:val="28"/>
                <w:sz w:val="21"/>
                <w:szCs w:val="21"/>
                <w:lang w:eastAsia="ja-JP"/>
              </w:rPr>
              <w:t>Si une préqualification a été conduite préalablement à la procédure de l’appel d’offres, la soumission des formulaires EXP-1, EXP-2(a) et EXP-2(b) n’est pas requise.</w:t>
            </w:r>
            <w:bookmarkEnd w:id="450"/>
            <w:bookmarkEnd w:id="451"/>
            <w:bookmarkEnd w:id="452"/>
            <w:bookmarkEnd w:id="453"/>
            <w:bookmarkEnd w:id="454"/>
            <w:bookmarkEnd w:id="455"/>
            <w:bookmarkEnd w:id="456"/>
            <w:bookmarkEnd w:id="457"/>
          </w:p>
        </w:tc>
      </w:tr>
    </w:tbl>
    <w:p w14:paraId="5B60CC7A" w14:textId="77777777" w:rsidR="007049A5" w:rsidRPr="004E4188" w:rsidRDefault="007049A5">
      <w:pPr>
        <w:suppressAutoHyphens w:val="0"/>
        <w:overflowPunct/>
        <w:autoSpaceDE/>
        <w:autoSpaceDN/>
        <w:adjustRightInd/>
        <w:jc w:val="left"/>
        <w:textAlignment w:val="auto"/>
        <w:rPr>
          <w:b/>
          <w:sz w:val="40"/>
          <w:szCs w:val="40"/>
        </w:rPr>
      </w:pPr>
      <w:r w:rsidRPr="004E4188">
        <w:rPr>
          <w:b/>
          <w:sz w:val="40"/>
          <w:szCs w:val="40"/>
        </w:rPr>
        <w:br w:type="page"/>
      </w:r>
    </w:p>
    <w:p w14:paraId="2B9139E4" w14:textId="0B8F15A8" w:rsidR="007049A5" w:rsidRPr="004E4188" w:rsidRDefault="007049A5" w:rsidP="00B339D1">
      <w:pPr>
        <w:pStyle w:val="3"/>
        <w:ind w:left="432"/>
        <w:jc w:val="center"/>
        <w:rPr>
          <w:b/>
          <w:sz w:val="40"/>
          <w:szCs w:val="40"/>
        </w:rPr>
      </w:pPr>
      <w:r w:rsidRPr="004E4188">
        <w:rPr>
          <w:b/>
          <w:sz w:val="40"/>
          <w:szCs w:val="40"/>
        </w:rPr>
        <w:t>Liste des formulaires</w:t>
      </w:r>
      <w:bookmarkEnd w:id="449"/>
    </w:p>
    <w:p w14:paraId="7D66A3EF" w14:textId="77777777" w:rsidR="007049A5" w:rsidRPr="004E4188" w:rsidRDefault="007049A5" w:rsidP="006C6267">
      <w:pPr>
        <w:widowControl w:val="0"/>
        <w:suppressAutoHyphens w:val="0"/>
        <w:overflowPunct/>
        <w:autoSpaceDE/>
        <w:autoSpaceDN/>
        <w:adjustRightInd/>
        <w:jc w:val="right"/>
        <w:textAlignment w:val="auto"/>
        <w:rPr>
          <w:rFonts w:eastAsiaTheme="minorEastAsia"/>
          <w:kern w:val="2"/>
          <w:szCs w:val="24"/>
          <w:lang w:eastAsia="ja-JP"/>
        </w:rPr>
      </w:pPr>
      <w:bookmarkStart w:id="458" w:name="sectionIVIndex"/>
      <w:bookmarkEnd w:id="458"/>
      <w:r w:rsidRPr="004E4188">
        <w:rPr>
          <w:rFonts w:eastAsiaTheme="minorEastAsia"/>
          <w:kern w:val="2"/>
          <w:szCs w:val="24"/>
          <w:lang w:eastAsia="ja-JP"/>
        </w:rPr>
        <w:t>FS</w:t>
      </w:r>
    </w:p>
    <w:p w14:paraId="3FF4754A" w14:textId="1C04E2AF" w:rsidR="00AA4CFE" w:rsidRPr="004E4188" w:rsidRDefault="007049A5" w:rsidP="00351B7D">
      <w:pPr>
        <w:pStyle w:val="61"/>
        <w:ind w:leftChars="0" w:left="0"/>
        <w:rPr>
          <w:rFonts w:asciiTheme="minorHAnsi" w:eastAsiaTheme="minorEastAsia" w:hAnsiTheme="minorHAnsi" w:cstheme="minorBidi"/>
          <w:noProof/>
          <w:kern w:val="2"/>
          <w:sz w:val="21"/>
          <w:szCs w:val="22"/>
          <w:lang w:eastAsia="ja-JP"/>
        </w:rPr>
      </w:pPr>
      <w:r w:rsidRPr="004E4188">
        <w:rPr>
          <w:noProof/>
        </w:rPr>
        <w:fldChar w:fldCharType="begin"/>
      </w:r>
      <w:r w:rsidRPr="004E4188">
        <w:rPr>
          <w:noProof/>
        </w:rPr>
        <w:instrText xml:space="preserve"> TOC \h \z \t "Section IV. Header,1,Section IV. Heading 2,</w:instrText>
      </w:r>
      <w:r w:rsidRPr="004E4188">
        <w:rPr>
          <w:noProof/>
          <w:lang w:eastAsia="ja-JP"/>
        </w:rPr>
        <w:instrText>7</w:instrText>
      </w:r>
      <w:r w:rsidRPr="004E4188">
        <w:rPr>
          <w:noProof/>
        </w:rPr>
        <w:instrText xml:space="preserve">,Section IV option,6" \n </w:instrText>
      </w:r>
      <w:r w:rsidRPr="004E4188">
        <w:rPr>
          <w:noProof/>
          <w:lang w:eastAsia="ja-JP"/>
        </w:rPr>
        <w:instrText>6</w:instrText>
      </w:r>
      <w:r w:rsidRPr="004E4188">
        <w:rPr>
          <w:noProof/>
        </w:rPr>
        <w:instrText>-</w:instrText>
      </w:r>
      <w:r w:rsidRPr="004E4188">
        <w:rPr>
          <w:noProof/>
          <w:lang w:eastAsia="ja-JP"/>
        </w:rPr>
        <w:instrText>6</w:instrText>
      </w:r>
      <w:r w:rsidRPr="004E4188">
        <w:rPr>
          <w:noProof/>
        </w:rPr>
        <w:instrText xml:space="preserve"> </w:instrText>
      </w:r>
      <w:r w:rsidRPr="004E4188">
        <w:rPr>
          <w:noProof/>
        </w:rPr>
        <w:fldChar w:fldCharType="separate"/>
      </w:r>
      <w:hyperlink w:anchor="_Toc112429291" w:history="1">
        <w:r w:rsidR="00AA4CFE" w:rsidRPr="004E4188">
          <w:rPr>
            <w:rStyle w:val="af1"/>
            <w:noProof/>
            <w:lang w:val="fr-FR"/>
          </w:rPr>
          <w:t>&lt; Option A : appel d’offres à une étape-deux enveloppes &gt;</w:t>
        </w:r>
      </w:hyperlink>
    </w:p>
    <w:p w14:paraId="2044668F" w14:textId="27B877A9" w:rsidR="00AA4CFE" w:rsidRPr="004E4188" w:rsidRDefault="00000000">
      <w:pPr>
        <w:pStyle w:val="12"/>
        <w:rPr>
          <w:rFonts w:asciiTheme="minorHAnsi" w:eastAsiaTheme="minorEastAsia" w:hAnsiTheme="minorHAnsi" w:cstheme="minorBidi"/>
          <w:b w:val="0"/>
          <w:noProof/>
          <w:kern w:val="2"/>
          <w:sz w:val="21"/>
          <w:szCs w:val="22"/>
          <w:lang w:eastAsia="ja-JP"/>
        </w:rPr>
      </w:pPr>
      <w:hyperlink w:anchor="_Toc112429292" w:history="1">
        <w:r w:rsidR="00AA4CFE" w:rsidRPr="004E4188">
          <w:rPr>
            <w:rStyle w:val="af1"/>
            <w:noProof/>
            <w:lang w:val="fr-FR"/>
          </w:rPr>
          <w:t>Lettre de soumission de l’Offre Technique</w:t>
        </w:r>
        <w:r w:rsidR="00AA4CFE" w:rsidRPr="004E4188">
          <w:rPr>
            <w:noProof/>
            <w:webHidden/>
          </w:rPr>
          <w:tab/>
        </w:r>
        <w:r w:rsidR="00AA4CFE" w:rsidRPr="004E4188">
          <w:rPr>
            <w:noProof/>
            <w:webHidden/>
          </w:rPr>
          <w:fldChar w:fldCharType="begin"/>
        </w:r>
        <w:r w:rsidR="00AA4CFE" w:rsidRPr="004E4188">
          <w:rPr>
            <w:noProof/>
            <w:webHidden/>
          </w:rPr>
          <w:instrText xml:space="preserve"> PAGEREF _Toc112429292 \h </w:instrText>
        </w:r>
        <w:r w:rsidR="00AA4CFE" w:rsidRPr="004E4188">
          <w:rPr>
            <w:noProof/>
            <w:webHidden/>
          </w:rPr>
        </w:r>
        <w:r w:rsidR="00AA4CFE" w:rsidRPr="004E4188">
          <w:rPr>
            <w:noProof/>
            <w:webHidden/>
          </w:rPr>
          <w:fldChar w:fldCharType="separate"/>
        </w:r>
        <w:r w:rsidR="0048496E">
          <w:rPr>
            <w:noProof/>
            <w:webHidden/>
          </w:rPr>
          <w:t>6</w:t>
        </w:r>
        <w:r w:rsidR="00AA4CFE" w:rsidRPr="004E4188">
          <w:rPr>
            <w:noProof/>
            <w:webHidden/>
          </w:rPr>
          <w:fldChar w:fldCharType="end"/>
        </w:r>
      </w:hyperlink>
    </w:p>
    <w:p w14:paraId="7B1F4B25" w14:textId="499ACB41" w:rsidR="00AA4CFE" w:rsidRPr="004E4188" w:rsidRDefault="00000000">
      <w:pPr>
        <w:pStyle w:val="12"/>
        <w:rPr>
          <w:rFonts w:asciiTheme="minorHAnsi" w:eastAsiaTheme="minorEastAsia" w:hAnsiTheme="minorHAnsi" w:cstheme="minorBidi"/>
          <w:b w:val="0"/>
          <w:noProof/>
          <w:kern w:val="2"/>
          <w:sz w:val="21"/>
          <w:szCs w:val="22"/>
          <w:lang w:eastAsia="ja-JP"/>
        </w:rPr>
      </w:pPr>
      <w:hyperlink w:anchor="_Toc112429293" w:history="1">
        <w:r w:rsidR="00AA4CFE" w:rsidRPr="004E4188">
          <w:rPr>
            <w:rStyle w:val="af1"/>
            <w:noProof/>
            <w:lang w:val="fr-FR"/>
          </w:rPr>
          <w:t>Lettre de soumission de l’Offre Financière</w:t>
        </w:r>
        <w:r w:rsidR="00AA4CFE" w:rsidRPr="004E4188">
          <w:rPr>
            <w:noProof/>
            <w:webHidden/>
          </w:rPr>
          <w:tab/>
        </w:r>
        <w:r w:rsidR="00AA4CFE" w:rsidRPr="004E4188">
          <w:rPr>
            <w:noProof/>
            <w:webHidden/>
          </w:rPr>
          <w:fldChar w:fldCharType="begin"/>
        </w:r>
        <w:r w:rsidR="00AA4CFE" w:rsidRPr="004E4188">
          <w:rPr>
            <w:noProof/>
            <w:webHidden/>
          </w:rPr>
          <w:instrText xml:space="preserve"> PAGEREF _Toc112429293 \h </w:instrText>
        </w:r>
        <w:r w:rsidR="00AA4CFE" w:rsidRPr="004E4188">
          <w:rPr>
            <w:noProof/>
            <w:webHidden/>
          </w:rPr>
        </w:r>
        <w:r w:rsidR="00AA4CFE" w:rsidRPr="004E4188">
          <w:rPr>
            <w:noProof/>
            <w:webHidden/>
          </w:rPr>
          <w:fldChar w:fldCharType="separate"/>
        </w:r>
        <w:r w:rsidR="0048496E">
          <w:rPr>
            <w:noProof/>
            <w:webHidden/>
          </w:rPr>
          <w:t>8</w:t>
        </w:r>
        <w:r w:rsidR="00AA4CFE" w:rsidRPr="004E4188">
          <w:rPr>
            <w:noProof/>
            <w:webHidden/>
          </w:rPr>
          <w:fldChar w:fldCharType="end"/>
        </w:r>
      </w:hyperlink>
    </w:p>
    <w:p w14:paraId="7A92CA6A" w14:textId="77777777" w:rsidR="00AA4CFE" w:rsidRPr="004E4188" w:rsidRDefault="00000000" w:rsidP="00351B7D">
      <w:pPr>
        <w:pStyle w:val="61"/>
        <w:ind w:leftChars="0" w:left="0"/>
        <w:rPr>
          <w:rFonts w:asciiTheme="minorHAnsi" w:eastAsiaTheme="minorEastAsia" w:hAnsiTheme="minorHAnsi" w:cstheme="minorBidi"/>
          <w:noProof/>
          <w:kern w:val="2"/>
          <w:sz w:val="21"/>
          <w:szCs w:val="22"/>
          <w:lang w:eastAsia="ja-JP"/>
        </w:rPr>
      </w:pPr>
      <w:hyperlink w:anchor="_Toc112429294" w:history="1">
        <w:r w:rsidR="00AA4CFE" w:rsidRPr="004E4188">
          <w:rPr>
            <w:rStyle w:val="af1"/>
            <w:noProof/>
            <w:lang w:val="fr-FR"/>
          </w:rPr>
          <w:t>&lt; Option B : appel d’offres à deux étapes-une enveloppe &gt;</w:t>
        </w:r>
      </w:hyperlink>
    </w:p>
    <w:p w14:paraId="6C6C4E00" w14:textId="5698159E" w:rsidR="00AA4CFE" w:rsidRPr="004E4188" w:rsidRDefault="00000000">
      <w:pPr>
        <w:pStyle w:val="12"/>
        <w:rPr>
          <w:rFonts w:asciiTheme="minorHAnsi" w:eastAsiaTheme="minorEastAsia" w:hAnsiTheme="minorHAnsi" w:cstheme="minorBidi"/>
          <w:b w:val="0"/>
          <w:noProof/>
          <w:kern w:val="2"/>
          <w:sz w:val="21"/>
          <w:szCs w:val="22"/>
          <w:lang w:eastAsia="ja-JP"/>
        </w:rPr>
      </w:pPr>
      <w:hyperlink w:anchor="_Toc112429295" w:history="1">
        <w:r w:rsidR="00AA4CFE" w:rsidRPr="004E4188">
          <w:rPr>
            <w:rStyle w:val="af1"/>
            <w:noProof/>
            <w:lang w:val="fr-FR"/>
          </w:rPr>
          <w:t>Lettre de soumission de l’offre de la première étape</w:t>
        </w:r>
        <w:r w:rsidR="00AA4CFE" w:rsidRPr="004E4188">
          <w:rPr>
            <w:noProof/>
            <w:webHidden/>
          </w:rPr>
          <w:tab/>
        </w:r>
        <w:r w:rsidR="00AA4CFE" w:rsidRPr="004E4188">
          <w:rPr>
            <w:noProof/>
            <w:webHidden/>
          </w:rPr>
          <w:fldChar w:fldCharType="begin"/>
        </w:r>
        <w:r w:rsidR="00AA4CFE" w:rsidRPr="004E4188">
          <w:rPr>
            <w:noProof/>
            <w:webHidden/>
          </w:rPr>
          <w:instrText xml:space="preserve"> PAGEREF _Toc112429295 \h </w:instrText>
        </w:r>
        <w:r w:rsidR="00AA4CFE" w:rsidRPr="004E4188">
          <w:rPr>
            <w:noProof/>
            <w:webHidden/>
          </w:rPr>
        </w:r>
        <w:r w:rsidR="00AA4CFE" w:rsidRPr="004E4188">
          <w:rPr>
            <w:noProof/>
            <w:webHidden/>
          </w:rPr>
          <w:fldChar w:fldCharType="separate"/>
        </w:r>
        <w:r w:rsidR="0048496E">
          <w:rPr>
            <w:noProof/>
            <w:webHidden/>
          </w:rPr>
          <w:t>10</w:t>
        </w:r>
        <w:r w:rsidR="00AA4CFE" w:rsidRPr="004E4188">
          <w:rPr>
            <w:noProof/>
            <w:webHidden/>
          </w:rPr>
          <w:fldChar w:fldCharType="end"/>
        </w:r>
      </w:hyperlink>
    </w:p>
    <w:p w14:paraId="2179082A" w14:textId="5695D811" w:rsidR="00AA4CFE" w:rsidRPr="004E4188" w:rsidRDefault="00000000">
      <w:pPr>
        <w:pStyle w:val="12"/>
        <w:rPr>
          <w:rFonts w:asciiTheme="minorHAnsi" w:eastAsiaTheme="minorEastAsia" w:hAnsiTheme="minorHAnsi" w:cstheme="minorBidi"/>
          <w:b w:val="0"/>
          <w:noProof/>
          <w:kern w:val="2"/>
          <w:sz w:val="21"/>
          <w:szCs w:val="22"/>
          <w:lang w:eastAsia="ja-JP"/>
        </w:rPr>
      </w:pPr>
      <w:hyperlink w:anchor="_Toc112429297" w:history="1">
        <w:r w:rsidR="00AA4CFE" w:rsidRPr="004E4188">
          <w:rPr>
            <w:rStyle w:val="af1"/>
            <w:noProof/>
            <w:lang w:val="fr-FR"/>
          </w:rPr>
          <w:t>Lettre de soumission de l’offre de la deuxième étape</w:t>
        </w:r>
        <w:r w:rsidR="00AA4CFE" w:rsidRPr="004E4188">
          <w:rPr>
            <w:noProof/>
            <w:webHidden/>
          </w:rPr>
          <w:tab/>
        </w:r>
        <w:r w:rsidR="00AA4CFE" w:rsidRPr="004E4188">
          <w:rPr>
            <w:noProof/>
            <w:webHidden/>
          </w:rPr>
          <w:fldChar w:fldCharType="begin"/>
        </w:r>
        <w:r w:rsidR="00AA4CFE" w:rsidRPr="004E4188">
          <w:rPr>
            <w:noProof/>
            <w:webHidden/>
          </w:rPr>
          <w:instrText xml:space="preserve"> PAGEREF _Toc112429297 \h </w:instrText>
        </w:r>
        <w:r w:rsidR="00AA4CFE" w:rsidRPr="004E4188">
          <w:rPr>
            <w:noProof/>
            <w:webHidden/>
          </w:rPr>
        </w:r>
        <w:r w:rsidR="00AA4CFE" w:rsidRPr="004E4188">
          <w:rPr>
            <w:noProof/>
            <w:webHidden/>
          </w:rPr>
          <w:fldChar w:fldCharType="separate"/>
        </w:r>
        <w:r w:rsidR="0048496E">
          <w:rPr>
            <w:noProof/>
            <w:webHidden/>
          </w:rPr>
          <w:t>12</w:t>
        </w:r>
        <w:r w:rsidR="00AA4CFE" w:rsidRPr="004E4188">
          <w:rPr>
            <w:noProof/>
            <w:webHidden/>
          </w:rPr>
          <w:fldChar w:fldCharType="end"/>
        </w:r>
      </w:hyperlink>
    </w:p>
    <w:p w14:paraId="3B3AE60F" w14:textId="77777777" w:rsidR="00AA4CFE" w:rsidRPr="004E4188" w:rsidRDefault="00000000" w:rsidP="00351B7D">
      <w:pPr>
        <w:pStyle w:val="61"/>
        <w:ind w:leftChars="0" w:left="0"/>
        <w:rPr>
          <w:rFonts w:asciiTheme="minorHAnsi" w:eastAsiaTheme="minorEastAsia" w:hAnsiTheme="minorHAnsi" w:cstheme="minorBidi"/>
          <w:noProof/>
          <w:kern w:val="2"/>
          <w:sz w:val="21"/>
          <w:szCs w:val="22"/>
          <w:lang w:eastAsia="ja-JP"/>
        </w:rPr>
      </w:pPr>
      <w:hyperlink w:anchor="_Toc112429298" w:history="1">
        <w:r w:rsidR="00AA4CFE" w:rsidRPr="004E4188">
          <w:rPr>
            <w:rStyle w:val="af1"/>
            <w:noProof/>
            <w:lang w:val="fr-FR"/>
          </w:rPr>
          <w:t>&lt; Formulaires communs à l’option A : appel d’offres à une étape-deux enveloppes et l’option B : appel d’offres à deux étapes-une enveloppe &gt;</w:t>
        </w:r>
      </w:hyperlink>
    </w:p>
    <w:p w14:paraId="5D98AD22" w14:textId="007A2801" w:rsidR="00AA4CFE" w:rsidRPr="004E4188" w:rsidRDefault="00000000">
      <w:pPr>
        <w:pStyle w:val="12"/>
        <w:rPr>
          <w:rFonts w:asciiTheme="minorHAnsi" w:eastAsiaTheme="minorEastAsia" w:hAnsiTheme="minorHAnsi" w:cstheme="minorBidi"/>
          <w:b w:val="0"/>
          <w:noProof/>
          <w:kern w:val="2"/>
          <w:sz w:val="21"/>
          <w:szCs w:val="22"/>
          <w:lang w:eastAsia="ja-JP"/>
        </w:rPr>
      </w:pPr>
      <w:hyperlink w:anchor="_Toc112429299" w:history="1">
        <w:r w:rsidR="00AA4CFE" w:rsidRPr="004E4188">
          <w:rPr>
            <w:rStyle w:val="af1"/>
            <w:noProof/>
            <w:lang w:val="fr-FR"/>
          </w:rPr>
          <w:t>Données</w:t>
        </w:r>
        <w:r w:rsidR="00AA4CFE" w:rsidRPr="004E4188">
          <w:rPr>
            <w:rStyle w:val="af1"/>
            <w:noProof/>
            <w:lang w:val="fr-FR" w:eastAsia="ja-JP"/>
          </w:rPr>
          <w:t xml:space="preserve"> de révision des prix</w:t>
        </w:r>
        <w:r w:rsidR="00AA4CFE" w:rsidRPr="004E4188">
          <w:rPr>
            <w:noProof/>
            <w:webHidden/>
          </w:rPr>
          <w:tab/>
        </w:r>
        <w:r w:rsidR="00AA4CFE" w:rsidRPr="004E4188">
          <w:rPr>
            <w:noProof/>
            <w:webHidden/>
          </w:rPr>
          <w:fldChar w:fldCharType="begin"/>
        </w:r>
        <w:r w:rsidR="00AA4CFE" w:rsidRPr="004E4188">
          <w:rPr>
            <w:noProof/>
            <w:webHidden/>
          </w:rPr>
          <w:instrText xml:space="preserve"> PAGEREF _Toc112429299 \h </w:instrText>
        </w:r>
        <w:r w:rsidR="00AA4CFE" w:rsidRPr="004E4188">
          <w:rPr>
            <w:noProof/>
            <w:webHidden/>
          </w:rPr>
        </w:r>
        <w:r w:rsidR="00AA4CFE" w:rsidRPr="004E4188">
          <w:rPr>
            <w:noProof/>
            <w:webHidden/>
          </w:rPr>
          <w:fldChar w:fldCharType="separate"/>
        </w:r>
        <w:r w:rsidR="0048496E">
          <w:rPr>
            <w:noProof/>
            <w:webHidden/>
          </w:rPr>
          <w:t>14</w:t>
        </w:r>
        <w:r w:rsidR="00AA4CFE" w:rsidRPr="004E4188">
          <w:rPr>
            <w:noProof/>
            <w:webHidden/>
          </w:rPr>
          <w:fldChar w:fldCharType="end"/>
        </w:r>
      </w:hyperlink>
    </w:p>
    <w:p w14:paraId="4536C978" w14:textId="3D825229" w:rsidR="00AA4CFE" w:rsidRPr="004E4188" w:rsidRDefault="00000000">
      <w:pPr>
        <w:pStyle w:val="12"/>
        <w:rPr>
          <w:rFonts w:asciiTheme="minorHAnsi" w:eastAsiaTheme="minorEastAsia" w:hAnsiTheme="minorHAnsi" w:cstheme="minorBidi"/>
          <w:b w:val="0"/>
          <w:noProof/>
          <w:kern w:val="2"/>
          <w:sz w:val="21"/>
          <w:szCs w:val="22"/>
          <w:lang w:eastAsia="ja-JP"/>
        </w:rPr>
      </w:pPr>
      <w:hyperlink w:anchor="_Toc112429300" w:history="1">
        <w:r w:rsidR="00AA4CFE" w:rsidRPr="004E4188">
          <w:rPr>
            <w:rStyle w:val="af1"/>
            <w:noProof/>
            <w:lang w:val="fr-FR"/>
          </w:rPr>
          <w:t>Bordereaux des prix</w:t>
        </w:r>
        <w:r w:rsidR="00AA4CFE" w:rsidRPr="004E4188">
          <w:rPr>
            <w:noProof/>
            <w:webHidden/>
          </w:rPr>
          <w:tab/>
        </w:r>
        <w:r w:rsidR="00AA4CFE" w:rsidRPr="004E4188">
          <w:rPr>
            <w:noProof/>
            <w:webHidden/>
          </w:rPr>
          <w:fldChar w:fldCharType="begin"/>
        </w:r>
        <w:r w:rsidR="00AA4CFE" w:rsidRPr="004E4188">
          <w:rPr>
            <w:noProof/>
            <w:webHidden/>
          </w:rPr>
          <w:instrText xml:space="preserve"> PAGEREF _Toc112429300 \h </w:instrText>
        </w:r>
        <w:r w:rsidR="00AA4CFE" w:rsidRPr="004E4188">
          <w:rPr>
            <w:noProof/>
            <w:webHidden/>
          </w:rPr>
        </w:r>
        <w:r w:rsidR="00AA4CFE" w:rsidRPr="004E4188">
          <w:rPr>
            <w:noProof/>
            <w:webHidden/>
          </w:rPr>
          <w:fldChar w:fldCharType="separate"/>
        </w:r>
        <w:r w:rsidR="0048496E">
          <w:rPr>
            <w:noProof/>
            <w:webHidden/>
          </w:rPr>
          <w:t>18</w:t>
        </w:r>
        <w:r w:rsidR="00AA4CFE" w:rsidRPr="004E4188">
          <w:rPr>
            <w:noProof/>
            <w:webHidden/>
          </w:rPr>
          <w:fldChar w:fldCharType="end"/>
        </w:r>
      </w:hyperlink>
    </w:p>
    <w:p w14:paraId="61DBCB72" w14:textId="7121572B"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01" w:history="1">
        <w:r w:rsidR="00AA4CFE" w:rsidRPr="004E4188">
          <w:rPr>
            <w:rStyle w:val="af1"/>
            <w:noProof/>
            <w:sz w:val="24"/>
            <w:szCs w:val="24"/>
            <w:lang w:val="fr-FR"/>
          </w:rPr>
          <w:t>Bordereau n</w:t>
        </w:r>
        <w:r w:rsidR="00AA4CFE" w:rsidRPr="004E4188">
          <w:rPr>
            <w:rStyle w:val="af1"/>
            <w:noProof/>
            <w:sz w:val="24"/>
            <w:szCs w:val="24"/>
            <w:vertAlign w:val="superscript"/>
            <w:lang w:val="fr-FR"/>
          </w:rPr>
          <w:t>o</w:t>
        </w:r>
        <w:r w:rsidR="00AA4CFE" w:rsidRPr="004E4188">
          <w:rPr>
            <w:rStyle w:val="af1"/>
            <w:noProof/>
            <w:sz w:val="24"/>
            <w:szCs w:val="24"/>
            <w:lang w:val="fr-FR"/>
          </w:rPr>
          <w:t xml:space="preserve"> 1 Équipements d’origine étrangère (en dehors du pays du Maître d’ouvrage)</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_Toc112429301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27</w:t>
        </w:r>
        <w:r w:rsidR="00AA4CFE" w:rsidRPr="004E4188">
          <w:rPr>
            <w:noProof/>
            <w:webHidden/>
            <w:sz w:val="24"/>
            <w:szCs w:val="24"/>
          </w:rPr>
          <w:fldChar w:fldCharType="end"/>
        </w:r>
      </w:hyperlink>
    </w:p>
    <w:p w14:paraId="4818BFDC" w14:textId="29405C4E"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02" w:history="1">
        <w:r w:rsidR="00AA4CFE" w:rsidRPr="004E4188">
          <w:rPr>
            <w:rStyle w:val="af1"/>
            <w:noProof/>
            <w:sz w:val="24"/>
            <w:szCs w:val="24"/>
            <w:lang w:val="fr-FR"/>
          </w:rPr>
          <w:t>Bordereau n</w:t>
        </w:r>
        <w:r w:rsidR="00AA4CFE" w:rsidRPr="004E4188">
          <w:rPr>
            <w:rStyle w:val="af1"/>
            <w:noProof/>
            <w:sz w:val="24"/>
            <w:szCs w:val="24"/>
            <w:vertAlign w:val="superscript"/>
            <w:lang w:val="fr-FR"/>
          </w:rPr>
          <w:t>o</w:t>
        </w:r>
        <w:r w:rsidR="00AA4CFE" w:rsidRPr="004E4188">
          <w:rPr>
            <w:rStyle w:val="af1"/>
            <w:noProof/>
            <w:sz w:val="24"/>
            <w:szCs w:val="24"/>
            <w:lang w:val="fr-FR"/>
          </w:rPr>
          <w:t xml:space="preserve"> 2 Équipements d’origine locale</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_Toc112429302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28</w:t>
        </w:r>
        <w:r w:rsidR="00AA4CFE" w:rsidRPr="004E4188">
          <w:rPr>
            <w:noProof/>
            <w:webHidden/>
            <w:sz w:val="24"/>
            <w:szCs w:val="24"/>
          </w:rPr>
          <w:fldChar w:fldCharType="end"/>
        </w:r>
      </w:hyperlink>
    </w:p>
    <w:p w14:paraId="788546E4" w14:textId="2205187F"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03" w:history="1">
        <w:r w:rsidR="00AA4CFE" w:rsidRPr="004E4188">
          <w:rPr>
            <w:rStyle w:val="af1"/>
            <w:noProof/>
            <w:sz w:val="24"/>
            <w:szCs w:val="24"/>
            <w:lang w:val="en-GB"/>
          </w:rPr>
          <w:t>Bordereau n</w:t>
        </w:r>
        <w:r w:rsidR="00AA4CFE" w:rsidRPr="004E4188">
          <w:rPr>
            <w:rStyle w:val="af1"/>
            <w:noProof/>
            <w:sz w:val="24"/>
            <w:szCs w:val="24"/>
            <w:vertAlign w:val="superscript"/>
            <w:lang w:val="en-GB"/>
          </w:rPr>
          <w:t>o</w:t>
        </w:r>
        <w:r w:rsidR="00AA4CFE" w:rsidRPr="004E4188">
          <w:rPr>
            <w:rStyle w:val="af1"/>
            <w:noProof/>
            <w:sz w:val="24"/>
            <w:szCs w:val="24"/>
            <w:lang w:val="en-GB"/>
          </w:rPr>
          <w:t xml:space="preserve"> 3 Service de conception</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_Toc112429303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29</w:t>
        </w:r>
        <w:r w:rsidR="00AA4CFE" w:rsidRPr="004E4188">
          <w:rPr>
            <w:noProof/>
            <w:webHidden/>
            <w:sz w:val="24"/>
            <w:szCs w:val="24"/>
          </w:rPr>
          <w:fldChar w:fldCharType="end"/>
        </w:r>
      </w:hyperlink>
    </w:p>
    <w:p w14:paraId="2BFD8F37" w14:textId="101BD20F"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04" w:history="1">
        <w:r w:rsidR="00AA4CFE" w:rsidRPr="004E4188">
          <w:rPr>
            <w:rStyle w:val="af1"/>
            <w:noProof/>
            <w:sz w:val="24"/>
            <w:szCs w:val="24"/>
          </w:rPr>
          <w:t>Bordereau n</w:t>
        </w:r>
        <w:r w:rsidR="00AA4CFE" w:rsidRPr="004E4188">
          <w:rPr>
            <w:rStyle w:val="af1"/>
            <w:noProof/>
            <w:sz w:val="24"/>
            <w:szCs w:val="24"/>
            <w:vertAlign w:val="superscript"/>
          </w:rPr>
          <w:t>o</w:t>
        </w:r>
        <w:r w:rsidR="00AA4CFE" w:rsidRPr="004E4188">
          <w:rPr>
            <w:rStyle w:val="af1"/>
            <w:noProof/>
            <w:sz w:val="24"/>
            <w:szCs w:val="24"/>
          </w:rPr>
          <w:t xml:space="preserve"> 4 Service de montage et autres services</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_Toc112429304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30</w:t>
        </w:r>
        <w:r w:rsidR="00AA4CFE" w:rsidRPr="004E4188">
          <w:rPr>
            <w:noProof/>
            <w:webHidden/>
            <w:sz w:val="24"/>
            <w:szCs w:val="24"/>
          </w:rPr>
          <w:fldChar w:fldCharType="end"/>
        </w:r>
      </w:hyperlink>
    </w:p>
    <w:p w14:paraId="396C0A85" w14:textId="05D0BD3F"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05" w:history="1">
        <w:r w:rsidR="00AA4CFE" w:rsidRPr="004E4188">
          <w:rPr>
            <w:rStyle w:val="af1"/>
            <w:noProof/>
            <w:sz w:val="24"/>
            <w:szCs w:val="24"/>
            <w:lang w:val="fr-FR"/>
          </w:rPr>
          <w:t>Bordereau n</w:t>
        </w:r>
        <w:r w:rsidR="00AA4CFE" w:rsidRPr="004E4188">
          <w:rPr>
            <w:rStyle w:val="af1"/>
            <w:noProof/>
            <w:sz w:val="24"/>
            <w:szCs w:val="24"/>
            <w:vertAlign w:val="superscript"/>
            <w:lang w:val="fr-FR"/>
          </w:rPr>
          <w:t>o</w:t>
        </w:r>
        <w:r w:rsidR="00AA4CFE" w:rsidRPr="004E4188">
          <w:rPr>
            <w:rStyle w:val="af1"/>
            <w:noProof/>
            <w:sz w:val="24"/>
            <w:szCs w:val="24"/>
            <w:lang w:val="fr-FR"/>
          </w:rPr>
          <w:t xml:space="preserve"> 5 Pièces de rechange obligatoires</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_Toc112429305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31</w:t>
        </w:r>
        <w:r w:rsidR="00AA4CFE" w:rsidRPr="004E4188">
          <w:rPr>
            <w:noProof/>
            <w:webHidden/>
            <w:sz w:val="24"/>
            <w:szCs w:val="24"/>
          </w:rPr>
          <w:fldChar w:fldCharType="end"/>
        </w:r>
      </w:hyperlink>
    </w:p>
    <w:p w14:paraId="00DC6C7B" w14:textId="6C3B8B53"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06" w:history="1">
        <w:r w:rsidR="00AA4CFE" w:rsidRPr="004E4188">
          <w:rPr>
            <w:rStyle w:val="af1"/>
            <w:noProof/>
            <w:sz w:val="24"/>
            <w:szCs w:val="24"/>
            <w:lang w:val="fr-FR"/>
          </w:rPr>
          <w:t>Bordereau n</w:t>
        </w:r>
        <w:r w:rsidR="00AA4CFE" w:rsidRPr="004E4188">
          <w:rPr>
            <w:rStyle w:val="af1"/>
            <w:noProof/>
            <w:sz w:val="24"/>
            <w:szCs w:val="24"/>
            <w:vertAlign w:val="superscript"/>
            <w:lang w:val="fr-FR"/>
          </w:rPr>
          <w:t>o</w:t>
        </w:r>
        <w:r w:rsidR="00AA4CFE" w:rsidRPr="004E4188">
          <w:rPr>
            <w:rStyle w:val="af1"/>
            <w:noProof/>
            <w:sz w:val="24"/>
            <w:szCs w:val="24"/>
            <w:lang w:val="fr-FR"/>
          </w:rPr>
          <w:t xml:space="preserve"> 6 Pièces de rechange recommandées</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_Toc112429306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32</w:t>
        </w:r>
        <w:r w:rsidR="00AA4CFE" w:rsidRPr="004E4188">
          <w:rPr>
            <w:noProof/>
            <w:webHidden/>
            <w:sz w:val="24"/>
            <w:szCs w:val="24"/>
          </w:rPr>
          <w:fldChar w:fldCharType="end"/>
        </w:r>
      </w:hyperlink>
    </w:p>
    <w:p w14:paraId="233A6E32" w14:textId="5C018E4A"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07" w:history="1">
        <w:r w:rsidR="00AA4CFE" w:rsidRPr="004E4188">
          <w:rPr>
            <w:rStyle w:val="af1"/>
            <w:noProof/>
            <w:sz w:val="24"/>
            <w:szCs w:val="24"/>
            <w:lang w:val="fr-FR"/>
          </w:rPr>
          <w:t>Bordereau des sommes provisionnelles de nature spécifique</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_Toc112429307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34</w:t>
        </w:r>
        <w:r w:rsidR="00AA4CFE" w:rsidRPr="004E4188">
          <w:rPr>
            <w:noProof/>
            <w:webHidden/>
            <w:sz w:val="24"/>
            <w:szCs w:val="24"/>
          </w:rPr>
          <w:fldChar w:fldCharType="end"/>
        </w:r>
      </w:hyperlink>
    </w:p>
    <w:p w14:paraId="13A240E5" w14:textId="5701C7F0"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08" w:history="1">
        <w:r w:rsidR="00AA4CFE" w:rsidRPr="004E4188">
          <w:rPr>
            <w:rStyle w:val="af1"/>
            <w:noProof/>
            <w:sz w:val="24"/>
            <w:szCs w:val="24"/>
            <w:lang w:val="en-GB"/>
          </w:rPr>
          <w:t>Tableau</w:t>
        </w:r>
        <w:r w:rsidR="00AA4CFE" w:rsidRPr="004E4188">
          <w:rPr>
            <w:rStyle w:val="af1"/>
            <w:noProof/>
            <w:sz w:val="24"/>
            <w:szCs w:val="24"/>
          </w:rPr>
          <w:t xml:space="preserve"> récapitulatif</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_Toc112429308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35</w:t>
        </w:r>
        <w:r w:rsidR="00AA4CFE" w:rsidRPr="004E4188">
          <w:rPr>
            <w:noProof/>
            <w:webHidden/>
            <w:sz w:val="24"/>
            <w:szCs w:val="24"/>
          </w:rPr>
          <w:fldChar w:fldCharType="end"/>
        </w:r>
      </w:hyperlink>
    </w:p>
    <w:p w14:paraId="52A0502B" w14:textId="53A46FC6" w:rsidR="00AA4CFE" w:rsidRPr="004E4188" w:rsidRDefault="00000000">
      <w:pPr>
        <w:pStyle w:val="12"/>
        <w:rPr>
          <w:rFonts w:asciiTheme="minorHAnsi" w:eastAsiaTheme="minorEastAsia" w:hAnsiTheme="minorHAnsi" w:cstheme="minorBidi"/>
          <w:b w:val="0"/>
          <w:noProof/>
          <w:kern w:val="2"/>
          <w:sz w:val="21"/>
          <w:szCs w:val="22"/>
          <w:lang w:eastAsia="ja-JP"/>
        </w:rPr>
      </w:pPr>
      <w:hyperlink w:anchor="_Toc112429309" w:history="1">
        <w:r w:rsidR="00AA4CFE" w:rsidRPr="004E4188">
          <w:rPr>
            <w:rStyle w:val="af1"/>
            <w:noProof/>
            <w:lang w:val="en-GB"/>
          </w:rPr>
          <w:t>Proposition</w:t>
        </w:r>
        <w:r w:rsidR="00AA4CFE" w:rsidRPr="004E4188">
          <w:rPr>
            <w:rStyle w:val="af1"/>
            <w:noProof/>
            <w:lang w:val="fr-FR"/>
          </w:rPr>
          <w:t xml:space="preserve"> technique</w:t>
        </w:r>
        <w:r w:rsidR="00AA4CFE" w:rsidRPr="004E4188">
          <w:rPr>
            <w:noProof/>
            <w:webHidden/>
          </w:rPr>
          <w:tab/>
        </w:r>
        <w:r w:rsidR="00AA4CFE" w:rsidRPr="004E4188">
          <w:rPr>
            <w:noProof/>
            <w:webHidden/>
          </w:rPr>
          <w:fldChar w:fldCharType="begin"/>
        </w:r>
        <w:r w:rsidR="00AA4CFE" w:rsidRPr="004E4188">
          <w:rPr>
            <w:noProof/>
            <w:webHidden/>
          </w:rPr>
          <w:instrText xml:space="preserve"> PAGEREF _Toc112429309 \h </w:instrText>
        </w:r>
        <w:r w:rsidR="00AA4CFE" w:rsidRPr="004E4188">
          <w:rPr>
            <w:noProof/>
            <w:webHidden/>
          </w:rPr>
        </w:r>
        <w:r w:rsidR="00AA4CFE" w:rsidRPr="004E4188">
          <w:rPr>
            <w:noProof/>
            <w:webHidden/>
          </w:rPr>
          <w:fldChar w:fldCharType="separate"/>
        </w:r>
        <w:r w:rsidR="0048496E">
          <w:rPr>
            <w:noProof/>
            <w:webHidden/>
          </w:rPr>
          <w:t>37</w:t>
        </w:r>
        <w:r w:rsidR="00AA4CFE" w:rsidRPr="004E4188">
          <w:rPr>
            <w:noProof/>
            <w:webHidden/>
          </w:rPr>
          <w:fldChar w:fldCharType="end"/>
        </w:r>
      </w:hyperlink>
    </w:p>
    <w:p w14:paraId="6B3061F0" w14:textId="2FE9A6E4"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10" w:history="1">
        <w:r w:rsidR="00AA4CFE" w:rsidRPr="004E4188">
          <w:rPr>
            <w:rStyle w:val="af1"/>
            <w:noProof/>
            <w:sz w:val="24"/>
            <w:szCs w:val="24"/>
            <w:lang w:val="en-GB"/>
          </w:rPr>
          <w:t>Organisation</w:t>
        </w:r>
        <w:r w:rsidR="00AA4CFE" w:rsidRPr="004E4188">
          <w:rPr>
            <w:rStyle w:val="af1"/>
            <w:noProof/>
            <w:sz w:val="24"/>
            <w:szCs w:val="24"/>
            <w:lang w:val="fr-FR"/>
          </w:rPr>
          <w:t xml:space="preserve"> d</w:t>
        </w:r>
        <w:r w:rsidR="00AA4CFE" w:rsidRPr="004E4188">
          <w:rPr>
            <w:rStyle w:val="af1"/>
            <w:noProof/>
            <w:sz w:val="24"/>
            <w:szCs w:val="24"/>
            <w:lang w:val="fr-FR" w:eastAsia="ja-JP"/>
          </w:rPr>
          <w:t>u chantier</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_Toc112429310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38</w:t>
        </w:r>
        <w:r w:rsidR="00AA4CFE" w:rsidRPr="004E4188">
          <w:rPr>
            <w:noProof/>
            <w:webHidden/>
            <w:sz w:val="24"/>
            <w:szCs w:val="24"/>
          </w:rPr>
          <w:fldChar w:fldCharType="end"/>
        </w:r>
      </w:hyperlink>
    </w:p>
    <w:p w14:paraId="3A2A3451" w14:textId="6ACC1EB5"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11" w:history="1">
        <w:r w:rsidR="00AA4CFE" w:rsidRPr="004E4188">
          <w:rPr>
            <w:rStyle w:val="af1"/>
            <w:noProof/>
            <w:sz w:val="24"/>
            <w:szCs w:val="24"/>
            <w:lang w:val="en-GB"/>
          </w:rPr>
          <w:t>Méthodologie de conception</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_Toc112429311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39</w:t>
        </w:r>
        <w:r w:rsidR="00AA4CFE" w:rsidRPr="004E4188">
          <w:rPr>
            <w:noProof/>
            <w:webHidden/>
            <w:sz w:val="24"/>
            <w:szCs w:val="24"/>
          </w:rPr>
          <w:fldChar w:fldCharType="end"/>
        </w:r>
      </w:hyperlink>
    </w:p>
    <w:p w14:paraId="0025D249" w14:textId="5BBCDA44"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12" w:history="1">
        <w:r w:rsidR="00AA4CFE" w:rsidRPr="004E4188">
          <w:rPr>
            <w:rStyle w:val="af1"/>
            <w:noProof/>
            <w:sz w:val="24"/>
            <w:szCs w:val="24"/>
            <w:lang w:val="fr-FR"/>
          </w:rPr>
          <w:t>Méthode de réalisation</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_Toc112429312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40</w:t>
        </w:r>
        <w:r w:rsidR="00AA4CFE" w:rsidRPr="004E4188">
          <w:rPr>
            <w:noProof/>
            <w:webHidden/>
            <w:sz w:val="24"/>
            <w:szCs w:val="24"/>
          </w:rPr>
          <w:fldChar w:fldCharType="end"/>
        </w:r>
      </w:hyperlink>
    </w:p>
    <w:p w14:paraId="4600D93D" w14:textId="7BA7EA76"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13" w:history="1">
        <w:r w:rsidR="00AA4CFE" w:rsidRPr="004E4188">
          <w:rPr>
            <w:rStyle w:val="af1"/>
            <w:noProof/>
            <w:sz w:val="24"/>
            <w:szCs w:val="24"/>
            <w:lang w:val="en-GB"/>
          </w:rPr>
          <w:t>Programme</w:t>
        </w:r>
        <w:r w:rsidR="00AA4CFE" w:rsidRPr="004E4188">
          <w:rPr>
            <w:rStyle w:val="af1"/>
            <w:noProof/>
            <w:sz w:val="24"/>
            <w:szCs w:val="24"/>
            <w:lang w:val="fr-FR"/>
          </w:rPr>
          <w:t xml:space="preserve"> de mobilisation</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_Toc112429313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41</w:t>
        </w:r>
        <w:r w:rsidR="00AA4CFE" w:rsidRPr="004E4188">
          <w:rPr>
            <w:noProof/>
            <w:webHidden/>
            <w:sz w:val="24"/>
            <w:szCs w:val="24"/>
          </w:rPr>
          <w:fldChar w:fldCharType="end"/>
        </w:r>
      </w:hyperlink>
    </w:p>
    <w:p w14:paraId="299AE523" w14:textId="27D91083"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14" w:history="1">
        <w:r w:rsidR="00AA4CFE" w:rsidRPr="004E4188">
          <w:rPr>
            <w:rStyle w:val="af1"/>
            <w:noProof/>
            <w:sz w:val="24"/>
            <w:szCs w:val="24"/>
            <w:lang w:val="fr-FR"/>
          </w:rPr>
          <w:t>Programme de conception, fourniture et montage des équipements</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_Toc112429314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42</w:t>
        </w:r>
        <w:r w:rsidR="00AA4CFE" w:rsidRPr="004E4188">
          <w:rPr>
            <w:noProof/>
            <w:webHidden/>
            <w:sz w:val="24"/>
            <w:szCs w:val="24"/>
          </w:rPr>
          <w:fldChar w:fldCharType="end"/>
        </w:r>
      </w:hyperlink>
    </w:p>
    <w:p w14:paraId="365527C3" w14:textId="3FB1EBEE"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15" w:history="1">
        <w:r w:rsidR="00AA4CFE" w:rsidRPr="004E4188">
          <w:rPr>
            <w:rStyle w:val="af1"/>
            <w:noProof/>
            <w:sz w:val="24"/>
            <w:szCs w:val="24"/>
            <w:lang w:val="fr-FR"/>
          </w:rPr>
          <w:t>Équipements</w:t>
        </w:r>
        <w:r w:rsidR="00AA4CFE" w:rsidRPr="004E4188">
          <w:rPr>
            <w:rStyle w:val="af1"/>
            <w:noProof/>
            <w:sz w:val="24"/>
            <w:szCs w:val="24"/>
            <w:lang w:val="fr-FR" w:eastAsia="ja-JP"/>
          </w:rPr>
          <w:t xml:space="preserve"> </w:t>
        </w:r>
        <w:r w:rsidR="00AA4CFE" w:rsidRPr="004E4188">
          <w:rPr>
            <w:rStyle w:val="af1"/>
            <w:noProof/>
            <w:sz w:val="24"/>
            <w:szCs w:val="24"/>
            <w:lang w:val="fr-FR"/>
          </w:rPr>
          <w:t>proposés</w:t>
        </w:r>
        <w:r w:rsidR="00AA4CFE" w:rsidRPr="004E4188">
          <w:rPr>
            <w:rStyle w:val="af1"/>
            <w:noProof/>
            <w:sz w:val="24"/>
            <w:szCs w:val="24"/>
            <w:lang w:val="fr-FR" w:eastAsia="ja-JP"/>
          </w:rPr>
          <w:t xml:space="preserve"> devant être fournis et montés</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_Toc112429315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43</w:t>
        </w:r>
        <w:r w:rsidR="00AA4CFE" w:rsidRPr="004E4188">
          <w:rPr>
            <w:noProof/>
            <w:webHidden/>
            <w:sz w:val="24"/>
            <w:szCs w:val="24"/>
          </w:rPr>
          <w:fldChar w:fldCharType="end"/>
        </w:r>
      </w:hyperlink>
    </w:p>
    <w:p w14:paraId="7BE33895" w14:textId="6169D3AD"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16" w:history="1">
        <w:r w:rsidR="00AA4CFE" w:rsidRPr="004E4188">
          <w:rPr>
            <w:rStyle w:val="af1"/>
            <w:noProof/>
            <w:sz w:val="24"/>
            <w:szCs w:val="24"/>
            <w:lang w:val="fr-FR"/>
          </w:rPr>
          <w:t>Plan de santé et de sécurité</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_Toc112429316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44</w:t>
        </w:r>
        <w:r w:rsidR="00AA4CFE" w:rsidRPr="004E4188">
          <w:rPr>
            <w:noProof/>
            <w:webHidden/>
            <w:sz w:val="24"/>
            <w:szCs w:val="24"/>
          </w:rPr>
          <w:fldChar w:fldCharType="end"/>
        </w:r>
      </w:hyperlink>
    </w:p>
    <w:p w14:paraId="56FE96AD" w14:textId="485E527B"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17" w:history="1">
        <w:r w:rsidR="00AA4CFE" w:rsidRPr="004E4188">
          <w:rPr>
            <w:rStyle w:val="af1"/>
            <w:noProof/>
            <w:sz w:val="24"/>
            <w:szCs w:val="24"/>
            <w:lang w:val="en-GB" w:eastAsia="ja-JP"/>
          </w:rPr>
          <w:t>Plan</w:t>
        </w:r>
        <w:r w:rsidR="00AA4CFE" w:rsidRPr="004E4188">
          <w:rPr>
            <w:rStyle w:val="af1"/>
            <w:noProof/>
            <w:sz w:val="24"/>
            <w:szCs w:val="24"/>
          </w:rPr>
          <w:t xml:space="preserve"> </w:t>
        </w:r>
        <w:r w:rsidR="00AA4CFE" w:rsidRPr="004E4188">
          <w:rPr>
            <w:rStyle w:val="af1"/>
            <w:noProof/>
            <w:sz w:val="24"/>
            <w:szCs w:val="24"/>
            <w:lang w:val="en-GB" w:eastAsia="ja-JP"/>
          </w:rPr>
          <w:t>environnemental</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_Toc112429317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45</w:t>
        </w:r>
        <w:r w:rsidR="00AA4CFE" w:rsidRPr="004E4188">
          <w:rPr>
            <w:noProof/>
            <w:webHidden/>
            <w:sz w:val="24"/>
            <w:szCs w:val="24"/>
          </w:rPr>
          <w:fldChar w:fldCharType="end"/>
        </w:r>
      </w:hyperlink>
    </w:p>
    <w:p w14:paraId="7FE75012" w14:textId="3EE2D80A"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18" w:history="1">
        <w:r w:rsidR="00AA4CFE" w:rsidRPr="004E4188">
          <w:rPr>
            <w:rStyle w:val="af1"/>
            <w:noProof/>
            <w:sz w:val="24"/>
            <w:szCs w:val="24"/>
            <w:lang w:val="en-GB"/>
          </w:rPr>
          <w:t>Formulaire GAR Garanties opérationnelles</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_Toc112429318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46</w:t>
        </w:r>
        <w:r w:rsidR="00AA4CFE" w:rsidRPr="004E4188">
          <w:rPr>
            <w:noProof/>
            <w:webHidden/>
            <w:sz w:val="24"/>
            <w:szCs w:val="24"/>
          </w:rPr>
          <w:fldChar w:fldCharType="end"/>
        </w:r>
      </w:hyperlink>
    </w:p>
    <w:p w14:paraId="67F7D1F3" w14:textId="10EE2E57"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19" w:history="1">
        <w:r w:rsidR="00AA4CFE" w:rsidRPr="004E4188">
          <w:rPr>
            <w:rStyle w:val="af1"/>
            <w:noProof/>
            <w:sz w:val="24"/>
            <w:szCs w:val="24"/>
            <w:lang w:val="fr-FR"/>
          </w:rPr>
          <w:t>Liste de sous-traitants</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_Toc112429319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47</w:t>
        </w:r>
        <w:r w:rsidR="00AA4CFE" w:rsidRPr="004E4188">
          <w:rPr>
            <w:noProof/>
            <w:webHidden/>
            <w:sz w:val="24"/>
            <w:szCs w:val="24"/>
          </w:rPr>
          <w:fldChar w:fldCharType="end"/>
        </w:r>
      </w:hyperlink>
    </w:p>
    <w:p w14:paraId="293E4A98" w14:textId="3C97A579"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20" w:history="1">
        <w:r w:rsidR="00AA4CFE" w:rsidRPr="004E4188">
          <w:rPr>
            <w:rStyle w:val="af1"/>
            <w:noProof/>
            <w:sz w:val="24"/>
            <w:szCs w:val="24"/>
            <w:lang w:val="fr-FR" w:eastAsia="ja-JP"/>
          </w:rPr>
          <w:t>Formulaire FAB Autorisation du fabricant</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_Toc112429320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48</w:t>
        </w:r>
        <w:r w:rsidR="00AA4CFE" w:rsidRPr="004E4188">
          <w:rPr>
            <w:noProof/>
            <w:webHidden/>
            <w:sz w:val="24"/>
            <w:szCs w:val="24"/>
          </w:rPr>
          <w:fldChar w:fldCharType="end"/>
        </w:r>
      </w:hyperlink>
    </w:p>
    <w:p w14:paraId="55C07199" w14:textId="2DE709F1"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21" w:history="1">
        <w:r w:rsidR="00AA4CFE" w:rsidRPr="004E4188">
          <w:rPr>
            <w:rStyle w:val="af1"/>
            <w:noProof/>
            <w:sz w:val="24"/>
            <w:szCs w:val="24"/>
            <w:lang w:val="fr-FR"/>
          </w:rPr>
          <w:t>Formulaire PER-1 Personnel proposé</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_Toc112429321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50</w:t>
        </w:r>
        <w:r w:rsidR="00AA4CFE" w:rsidRPr="004E4188">
          <w:rPr>
            <w:noProof/>
            <w:webHidden/>
            <w:sz w:val="24"/>
            <w:szCs w:val="24"/>
          </w:rPr>
          <w:fldChar w:fldCharType="end"/>
        </w:r>
      </w:hyperlink>
    </w:p>
    <w:p w14:paraId="52D2E641" w14:textId="13A6197C"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22" w:history="1">
        <w:r w:rsidR="00AA4CFE" w:rsidRPr="004E4188">
          <w:rPr>
            <w:rStyle w:val="af1"/>
            <w:noProof/>
            <w:sz w:val="24"/>
            <w:szCs w:val="24"/>
            <w:lang w:val="fr-FR"/>
          </w:rPr>
          <w:t>Formulaire PER-2 Curriculum vitae du personnel proposé</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_Toc112429322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51</w:t>
        </w:r>
        <w:r w:rsidR="00AA4CFE" w:rsidRPr="004E4188">
          <w:rPr>
            <w:noProof/>
            <w:webHidden/>
            <w:sz w:val="24"/>
            <w:szCs w:val="24"/>
          </w:rPr>
          <w:fldChar w:fldCharType="end"/>
        </w:r>
      </w:hyperlink>
    </w:p>
    <w:p w14:paraId="7FD82620" w14:textId="5242CA5D"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23" w:history="1">
        <w:r w:rsidR="00AA4CFE" w:rsidRPr="004E4188">
          <w:rPr>
            <w:rStyle w:val="af1"/>
            <w:noProof/>
            <w:sz w:val="24"/>
            <w:szCs w:val="24"/>
            <w:lang w:val="fr-FR"/>
          </w:rPr>
          <w:t>Formulaire EQU Équipement de construction</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_Toc112429323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53</w:t>
        </w:r>
        <w:r w:rsidR="00AA4CFE" w:rsidRPr="004E4188">
          <w:rPr>
            <w:noProof/>
            <w:webHidden/>
            <w:sz w:val="24"/>
            <w:szCs w:val="24"/>
          </w:rPr>
          <w:fldChar w:fldCharType="end"/>
        </w:r>
      </w:hyperlink>
    </w:p>
    <w:p w14:paraId="223B83A7" w14:textId="0ACF5936" w:rsidR="00AA4CFE" w:rsidRPr="004E4188" w:rsidRDefault="00000000">
      <w:pPr>
        <w:pStyle w:val="12"/>
        <w:rPr>
          <w:rFonts w:asciiTheme="minorHAnsi" w:eastAsiaTheme="minorEastAsia" w:hAnsiTheme="minorHAnsi" w:cstheme="minorBidi"/>
          <w:b w:val="0"/>
          <w:noProof/>
          <w:kern w:val="2"/>
          <w:sz w:val="21"/>
          <w:szCs w:val="22"/>
          <w:lang w:eastAsia="ja-JP"/>
        </w:rPr>
      </w:pPr>
      <w:hyperlink w:anchor="_Toc112429324" w:history="1">
        <w:r w:rsidR="00AA4CFE" w:rsidRPr="004E4188">
          <w:rPr>
            <w:rStyle w:val="af1"/>
            <w:noProof/>
            <w:lang w:val="fr-FR"/>
          </w:rPr>
          <w:t>Qualification des Soumissionnaires</w:t>
        </w:r>
        <w:r w:rsidR="00AA4CFE" w:rsidRPr="004E4188">
          <w:rPr>
            <w:noProof/>
            <w:webHidden/>
          </w:rPr>
          <w:tab/>
        </w:r>
        <w:r w:rsidR="00AA4CFE" w:rsidRPr="004E4188">
          <w:rPr>
            <w:noProof/>
            <w:webHidden/>
          </w:rPr>
          <w:fldChar w:fldCharType="begin"/>
        </w:r>
        <w:r w:rsidR="00AA4CFE" w:rsidRPr="004E4188">
          <w:rPr>
            <w:noProof/>
            <w:webHidden/>
          </w:rPr>
          <w:instrText xml:space="preserve"> PAGEREF _Toc112429324 \h </w:instrText>
        </w:r>
        <w:r w:rsidR="00AA4CFE" w:rsidRPr="004E4188">
          <w:rPr>
            <w:noProof/>
            <w:webHidden/>
          </w:rPr>
        </w:r>
        <w:r w:rsidR="00AA4CFE" w:rsidRPr="004E4188">
          <w:rPr>
            <w:noProof/>
            <w:webHidden/>
          </w:rPr>
          <w:fldChar w:fldCharType="separate"/>
        </w:r>
        <w:r w:rsidR="0048496E">
          <w:rPr>
            <w:noProof/>
            <w:webHidden/>
          </w:rPr>
          <w:t>54</w:t>
        </w:r>
        <w:r w:rsidR="00AA4CFE" w:rsidRPr="004E4188">
          <w:rPr>
            <w:noProof/>
            <w:webHidden/>
          </w:rPr>
          <w:fldChar w:fldCharType="end"/>
        </w:r>
      </w:hyperlink>
    </w:p>
    <w:p w14:paraId="6036520B" w14:textId="026FB14E"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25" w:history="1">
        <w:r w:rsidR="00AA4CFE" w:rsidRPr="004E4188">
          <w:rPr>
            <w:rStyle w:val="af1"/>
            <w:noProof/>
            <w:sz w:val="24"/>
            <w:szCs w:val="24"/>
            <w:lang w:val="fr-FR"/>
          </w:rPr>
          <w:t>Formulaire ELI-1 Renseignements sur le Soumissionnaire</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_Toc112429325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55</w:t>
        </w:r>
        <w:r w:rsidR="00AA4CFE" w:rsidRPr="004E4188">
          <w:rPr>
            <w:noProof/>
            <w:webHidden/>
            <w:sz w:val="24"/>
            <w:szCs w:val="24"/>
          </w:rPr>
          <w:fldChar w:fldCharType="end"/>
        </w:r>
      </w:hyperlink>
    </w:p>
    <w:p w14:paraId="1EF64890" w14:textId="00F36369"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26" w:history="1">
        <w:r w:rsidR="00AA4CFE" w:rsidRPr="004E4188">
          <w:rPr>
            <w:rStyle w:val="af1"/>
            <w:noProof/>
            <w:sz w:val="24"/>
            <w:szCs w:val="24"/>
            <w:lang w:val="fr-FR"/>
          </w:rPr>
          <w:t>Formulaire ELI-2 Renseignements sur chaque membre du Groupement</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_Toc112429326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56</w:t>
        </w:r>
        <w:r w:rsidR="00AA4CFE" w:rsidRPr="004E4188">
          <w:rPr>
            <w:noProof/>
            <w:webHidden/>
            <w:sz w:val="24"/>
            <w:szCs w:val="24"/>
          </w:rPr>
          <w:fldChar w:fldCharType="end"/>
        </w:r>
      </w:hyperlink>
    </w:p>
    <w:p w14:paraId="694A8A9C" w14:textId="7B92775E"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27" w:history="1">
        <w:r w:rsidR="00AA4CFE" w:rsidRPr="004E4188">
          <w:rPr>
            <w:rStyle w:val="af1"/>
            <w:noProof/>
            <w:sz w:val="24"/>
            <w:szCs w:val="24"/>
            <w:lang w:val="fr-FR"/>
          </w:rPr>
          <w:t>Formulaire ELI-3 Renseignements sur chaque sous-traitant</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_Toc112429327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57</w:t>
        </w:r>
        <w:r w:rsidR="00AA4CFE" w:rsidRPr="004E4188">
          <w:rPr>
            <w:noProof/>
            <w:webHidden/>
            <w:sz w:val="24"/>
            <w:szCs w:val="24"/>
          </w:rPr>
          <w:fldChar w:fldCharType="end"/>
        </w:r>
      </w:hyperlink>
    </w:p>
    <w:p w14:paraId="6BB47BC1" w14:textId="69EEACE4"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28" w:history="1">
        <w:r w:rsidR="00AA4CFE" w:rsidRPr="004E4188">
          <w:rPr>
            <w:rStyle w:val="af1"/>
            <w:noProof/>
            <w:sz w:val="24"/>
            <w:szCs w:val="24"/>
            <w:lang w:val="fr-FR"/>
          </w:rPr>
          <w:t>Formulaire CON Antécédents de non-exécution de marchés et litiges</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_Toc112429328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58</w:t>
        </w:r>
        <w:r w:rsidR="00AA4CFE" w:rsidRPr="004E4188">
          <w:rPr>
            <w:noProof/>
            <w:webHidden/>
            <w:sz w:val="24"/>
            <w:szCs w:val="24"/>
          </w:rPr>
          <w:fldChar w:fldCharType="end"/>
        </w:r>
      </w:hyperlink>
    </w:p>
    <w:p w14:paraId="05FC8956" w14:textId="2D02BCF9"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29" w:history="1">
        <w:r w:rsidR="00AA4CFE" w:rsidRPr="004E4188">
          <w:rPr>
            <w:rStyle w:val="af1"/>
            <w:noProof/>
            <w:sz w:val="24"/>
            <w:szCs w:val="24"/>
            <w:lang w:val="fr-FR"/>
          </w:rPr>
          <w:t>Formulaire FIN-1 Situation financière</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_Toc112429329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61</w:t>
        </w:r>
        <w:r w:rsidR="00AA4CFE" w:rsidRPr="004E4188">
          <w:rPr>
            <w:noProof/>
            <w:webHidden/>
            <w:sz w:val="24"/>
            <w:szCs w:val="24"/>
          </w:rPr>
          <w:fldChar w:fldCharType="end"/>
        </w:r>
      </w:hyperlink>
    </w:p>
    <w:p w14:paraId="442D6336" w14:textId="0CBBC797"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30" w:history="1">
        <w:r w:rsidR="00AA4CFE" w:rsidRPr="004E4188">
          <w:rPr>
            <w:rStyle w:val="af1"/>
            <w:noProof/>
            <w:sz w:val="24"/>
            <w:szCs w:val="24"/>
            <w:lang w:val="fr-FR"/>
          </w:rPr>
          <w:t>Formulaire FIN-2 Chiffre d’affaires annuel moyen</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_Toc112429330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63</w:t>
        </w:r>
        <w:r w:rsidR="00AA4CFE" w:rsidRPr="004E4188">
          <w:rPr>
            <w:noProof/>
            <w:webHidden/>
            <w:sz w:val="24"/>
            <w:szCs w:val="24"/>
          </w:rPr>
          <w:fldChar w:fldCharType="end"/>
        </w:r>
      </w:hyperlink>
    </w:p>
    <w:p w14:paraId="1C43E696" w14:textId="4EE9BB40"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31" w:history="1">
        <w:r w:rsidR="00AA4CFE" w:rsidRPr="004E4188">
          <w:rPr>
            <w:rStyle w:val="af1"/>
            <w:noProof/>
            <w:sz w:val="24"/>
            <w:szCs w:val="24"/>
            <w:lang w:val="fr-FR"/>
          </w:rPr>
          <w:t>Formulaire FIN-3 Capacités financières</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_Toc112429331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64</w:t>
        </w:r>
        <w:r w:rsidR="00AA4CFE" w:rsidRPr="004E4188">
          <w:rPr>
            <w:noProof/>
            <w:webHidden/>
            <w:sz w:val="24"/>
            <w:szCs w:val="24"/>
          </w:rPr>
          <w:fldChar w:fldCharType="end"/>
        </w:r>
      </w:hyperlink>
    </w:p>
    <w:p w14:paraId="73F1C568" w14:textId="50D2410D"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32" w:history="1">
        <w:r w:rsidR="00AA4CFE" w:rsidRPr="004E4188">
          <w:rPr>
            <w:rStyle w:val="af1"/>
            <w:noProof/>
            <w:sz w:val="24"/>
            <w:szCs w:val="24"/>
            <w:lang w:val="fr-FR"/>
          </w:rPr>
          <w:t>Formulaire FIN-4 Engagements actuels</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_Toc112429332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65</w:t>
        </w:r>
        <w:r w:rsidR="00AA4CFE" w:rsidRPr="004E4188">
          <w:rPr>
            <w:noProof/>
            <w:webHidden/>
            <w:sz w:val="24"/>
            <w:szCs w:val="24"/>
          </w:rPr>
          <w:fldChar w:fldCharType="end"/>
        </w:r>
      </w:hyperlink>
    </w:p>
    <w:p w14:paraId="1D2F1A79" w14:textId="52D92895"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33" w:history="1">
        <w:r w:rsidR="00AA4CFE" w:rsidRPr="004E4188">
          <w:rPr>
            <w:rStyle w:val="af1"/>
            <w:noProof/>
            <w:sz w:val="24"/>
            <w:szCs w:val="24"/>
            <w:lang w:val="fr-FR"/>
          </w:rPr>
          <w:t>Formulaire EXP-1 Expérience générale</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_Toc112429333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66</w:t>
        </w:r>
        <w:r w:rsidR="00AA4CFE" w:rsidRPr="004E4188">
          <w:rPr>
            <w:noProof/>
            <w:webHidden/>
            <w:sz w:val="24"/>
            <w:szCs w:val="24"/>
          </w:rPr>
          <w:fldChar w:fldCharType="end"/>
        </w:r>
      </w:hyperlink>
    </w:p>
    <w:p w14:paraId="331758D1" w14:textId="69112159"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34" w:history="1">
        <w:r w:rsidR="00AA4CFE" w:rsidRPr="004E4188">
          <w:rPr>
            <w:rStyle w:val="af1"/>
            <w:noProof/>
            <w:sz w:val="24"/>
            <w:szCs w:val="24"/>
            <w:lang w:val="fr-FR"/>
          </w:rPr>
          <w:t>Formulaire EXP-2(a)</w:t>
        </w:r>
        <w:r w:rsidR="00AA4CFE" w:rsidRPr="004E4188">
          <w:rPr>
            <w:rStyle w:val="af1"/>
            <w:i/>
            <w:noProof/>
            <w:sz w:val="24"/>
            <w:szCs w:val="24"/>
            <w:lang w:val="fr-FR"/>
          </w:rPr>
          <w:t xml:space="preserve"> </w:t>
        </w:r>
        <w:r w:rsidR="00AA4CFE" w:rsidRPr="004E4188">
          <w:rPr>
            <w:rStyle w:val="af1"/>
            <w:noProof/>
            <w:sz w:val="24"/>
            <w:szCs w:val="24"/>
            <w:lang w:val="fr-FR"/>
          </w:rPr>
          <w:t>Expérience spécifique</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_Toc112429334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67</w:t>
        </w:r>
        <w:r w:rsidR="00AA4CFE" w:rsidRPr="004E4188">
          <w:rPr>
            <w:noProof/>
            <w:webHidden/>
            <w:sz w:val="24"/>
            <w:szCs w:val="24"/>
          </w:rPr>
          <w:fldChar w:fldCharType="end"/>
        </w:r>
      </w:hyperlink>
    </w:p>
    <w:p w14:paraId="21B720FF" w14:textId="1AC8B42D" w:rsidR="00AA4CFE" w:rsidRPr="004E4188" w:rsidRDefault="00000000" w:rsidP="00351B7D">
      <w:pPr>
        <w:pStyle w:val="71"/>
        <w:tabs>
          <w:tab w:val="right" w:leader="dot" w:pos="8993"/>
        </w:tabs>
        <w:ind w:left="567"/>
        <w:rPr>
          <w:rFonts w:asciiTheme="minorHAnsi" w:eastAsiaTheme="minorEastAsia" w:hAnsiTheme="minorHAnsi" w:cstheme="minorBidi"/>
          <w:noProof/>
          <w:kern w:val="2"/>
          <w:sz w:val="24"/>
          <w:szCs w:val="24"/>
          <w:lang w:eastAsia="ja-JP"/>
        </w:rPr>
      </w:pPr>
      <w:hyperlink w:anchor="_Toc112429335" w:history="1">
        <w:r w:rsidR="00AA4CFE" w:rsidRPr="004E4188">
          <w:rPr>
            <w:rStyle w:val="af1"/>
            <w:iCs/>
            <w:noProof/>
            <w:sz w:val="24"/>
            <w:szCs w:val="24"/>
            <w:lang w:val="fr-FR"/>
          </w:rPr>
          <w:t>Formulaire</w:t>
        </w:r>
        <w:r w:rsidR="00AA4CFE" w:rsidRPr="004E4188">
          <w:rPr>
            <w:rStyle w:val="af1"/>
            <w:noProof/>
            <w:sz w:val="24"/>
            <w:szCs w:val="24"/>
            <w:lang w:val="fr-FR"/>
          </w:rPr>
          <w:t xml:space="preserve"> EXP-2(b) Expérience dans les activités principales</w:t>
        </w:r>
        <w:r w:rsidR="00AA4CFE" w:rsidRPr="004E4188">
          <w:rPr>
            <w:noProof/>
            <w:webHidden/>
            <w:sz w:val="24"/>
            <w:szCs w:val="24"/>
          </w:rPr>
          <w:tab/>
        </w:r>
        <w:r w:rsidR="00AA4CFE" w:rsidRPr="004E4188">
          <w:rPr>
            <w:noProof/>
            <w:webHidden/>
            <w:sz w:val="24"/>
            <w:szCs w:val="24"/>
          </w:rPr>
          <w:fldChar w:fldCharType="begin"/>
        </w:r>
        <w:r w:rsidR="00AA4CFE" w:rsidRPr="004E4188">
          <w:rPr>
            <w:noProof/>
            <w:webHidden/>
            <w:sz w:val="24"/>
            <w:szCs w:val="24"/>
          </w:rPr>
          <w:instrText xml:space="preserve"> PAGEREF _Toc112429335 \h </w:instrText>
        </w:r>
        <w:r w:rsidR="00AA4CFE" w:rsidRPr="004E4188">
          <w:rPr>
            <w:noProof/>
            <w:webHidden/>
            <w:sz w:val="24"/>
            <w:szCs w:val="24"/>
          </w:rPr>
        </w:r>
        <w:r w:rsidR="00AA4CFE" w:rsidRPr="004E4188">
          <w:rPr>
            <w:noProof/>
            <w:webHidden/>
            <w:sz w:val="24"/>
            <w:szCs w:val="24"/>
          </w:rPr>
          <w:fldChar w:fldCharType="separate"/>
        </w:r>
        <w:r w:rsidR="0048496E">
          <w:rPr>
            <w:noProof/>
            <w:webHidden/>
            <w:sz w:val="24"/>
            <w:szCs w:val="24"/>
          </w:rPr>
          <w:t>69</w:t>
        </w:r>
        <w:r w:rsidR="00AA4CFE" w:rsidRPr="004E4188">
          <w:rPr>
            <w:noProof/>
            <w:webHidden/>
            <w:sz w:val="24"/>
            <w:szCs w:val="24"/>
          </w:rPr>
          <w:fldChar w:fldCharType="end"/>
        </w:r>
      </w:hyperlink>
    </w:p>
    <w:p w14:paraId="09798CAA" w14:textId="543C942B" w:rsidR="00AA4CFE" w:rsidRPr="004E4188" w:rsidRDefault="00000000">
      <w:pPr>
        <w:pStyle w:val="12"/>
        <w:rPr>
          <w:rFonts w:asciiTheme="minorHAnsi" w:eastAsiaTheme="minorEastAsia" w:hAnsiTheme="minorHAnsi" w:cstheme="minorBidi"/>
          <w:b w:val="0"/>
          <w:noProof/>
          <w:kern w:val="2"/>
          <w:sz w:val="21"/>
          <w:szCs w:val="22"/>
          <w:lang w:eastAsia="ja-JP"/>
        </w:rPr>
      </w:pPr>
      <w:hyperlink w:anchor="_Toc112429336" w:history="1">
        <w:r w:rsidR="00AA4CFE" w:rsidRPr="004E4188">
          <w:rPr>
            <w:rStyle w:val="af1"/>
            <w:noProof/>
            <w:lang w:val="fr-FR"/>
          </w:rPr>
          <w:t>Formulaire REC Reconnaissance du respect des Directives pour les passations de marchés sous financement par Prêts APD du Japon</w:t>
        </w:r>
        <w:r w:rsidR="00AA4CFE" w:rsidRPr="004E4188">
          <w:rPr>
            <w:noProof/>
            <w:webHidden/>
          </w:rPr>
          <w:tab/>
        </w:r>
        <w:r w:rsidR="00AA4CFE" w:rsidRPr="004E4188">
          <w:rPr>
            <w:noProof/>
            <w:webHidden/>
          </w:rPr>
          <w:fldChar w:fldCharType="begin"/>
        </w:r>
        <w:r w:rsidR="00AA4CFE" w:rsidRPr="004E4188">
          <w:rPr>
            <w:noProof/>
            <w:webHidden/>
          </w:rPr>
          <w:instrText xml:space="preserve"> PAGEREF _Toc112429336 \h </w:instrText>
        </w:r>
        <w:r w:rsidR="00AA4CFE" w:rsidRPr="004E4188">
          <w:rPr>
            <w:noProof/>
            <w:webHidden/>
          </w:rPr>
        </w:r>
        <w:r w:rsidR="00AA4CFE" w:rsidRPr="004E4188">
          <w:rPr>
            <w:noProof/>
            <w:webHidden/>
          </w:rPr>
          <w:fldChar w:fldCharType="separate"/>
        </w:r>
        <w:r w:rsidR="0048496E">
          <w:rPr>
            <w:noProof/>
            <w:webHidden/>
          </w:rPr>
          <w:t>72</w:t>
        </w:r>
        <w:r w:rsidR="00AA4CFE" w:rsidRPr="004E4188">
          <w:rPr>
            <w:noProof/>
            <w:webHidden/>
          </w:rPr>
          <w:fldChar w:fldCharType="end"/>
        </w:r>
      </w:hyperlink>
    </w:p>
    <w:p w14:paraId="171607D0" w14:textId="191C5C43" w:rsidR="00AA4CFE" w:rsidRPr="004E4188" w:rsidRDefault="00000000">
      <w:pPr>
        <w:pStyle w:val="12"/>
        <w:rPr>
          <w:rFonts w:asciiTheme="minorHAnsi" w:eastAsiaTheme="minorEastAsia" w:hAnsiTheme="minorHAnsi" w:cstheme="minorBidi"/>
          <w:b w:val="0"/>
          <w:noProof/>
          <w:kern w:val="2"/>
          <w:sz w:val="21"/>
          <w:szCs w:val="22"/>
          <w:lang w:eastAsia="ja-JP"/>
        </w:rPr>
      </w:pPr>
      <w:hyperlink w:anchor="_Toc112429337" w:history="1">
        <w:r w:rsidR="00AA4CFE" w:rsidRPr="004E4188">
          <w:rPr>
            <w:rStyle w:val="af1"/>
            <w:noProof/>
            <w:lang w:val="fr-FR"/>
          </w:rPr>
          <w:t>Garantie de soumission</w:t>
        </w:r>
        <w:r w:rsidR="00AA4CFE" w:rsidRPr="004E4188">
          <w:rPr>
            <w:noProof/>
            <w:webHidden/>
          </w:rPr>
          <w:tab/>
        </w:r>
        <w:r w:rsidR="00AA4CFE" w:rsidRPr="004E4188">
          <w:rPr>
            <w:noProof/>
            <w:webHidden/>
          </w:rPr>
          <w:fldChar w:fldCharType="begin"/>
        </w:r>
        <w:r w:rsidR="00AA4CFE" w:rsidRPr="004E4188">
          <w:rPr>
            <w:noProof/>
            <w:webHidden/>
          </w:rPr>
          <w:instrText xml:space="preserve"> PAGEREF _Toc112429337 \h </w:instrText>
        </w:r>
        <w:r w:rsidR="00AA4CFE" w:rsidRPr="004E4188">
          <w:rPr>
            <w:noProof/>
            <w:webHidden/>
          </w:rPr>
        </w:r>
        <w:r w:rsidR="00AA4CFE" w:rsidRPr="004E4188">
          <w:rPr>
            <w:noProof/>
            <w:webHidden/>
          </w:rPr>
          <w:fldChar w:fldCharType="separate"/>
        </w:r>
        <w:r w:rsidR="0048496E">
          <w:rPr>
            <w:noProof/>
            <w:webHidden/>
          </w:rPr>
          <w:t>75</w:t>
        </w:r>
        <w:r w:rsidR="00AA4CFE" w:rsidRPr="004E4188">
          <w:rPr>
            <w:noProof/>
            <w:webHidden/>
          </w:rPr>
          <w:fldChar w:fldCharType="end"/>
        </w:r>
      </w:hyperlink>
    </w:p>
    <w:p w14:paraId="28A3FF51" w14:textId="2FF4FF26" w:rsidR="007049A5" w:rsidRPr="004E4188" w:rsidRDefault="007049A5" w:rsidP="006C6267">
      <w:pPr>
        <w:pStyle w:val="SectionIVoption"/>
        <w:rPr>
          <w:noProof/>
          <w:lang w:val="fr-FR"/>
        </w:rPr>
      </w:pPr>
      <w:r w:rsidRPr="004E4188">
        <w:rPr>
          <w:noProof/>
          <w:lang w:eastAsia="en-US"/>
        </w:rPr>
        <w:fldChar w:fldCharType="end"/>
      </w:r>
      <w:r w:rsidRPr="004E4188">
        <w:rPr>
          <w:noProof/>
          <w:lang w:val="fr-FR" w:eastAsia="en-US"/>
        </w:rPr>
        <w:br w:type="page"/>
      </w:r>
      <w:hyperlink w:anchor="_Toc99312046" w:history="1">
        <w:bookmarkStart w:id="459" w:name="_Toc112429291"/>
        <w:r w:rsidRPr="004E4188">
          <w:rPr>
            <w:noProof/>
            <w:lang w:val="fr-FR" w:eastAsia="en-US"/>
          </w:rPr>
          <w:t>&lt; Option A : appel d’offres à une étape-deux enveloppes &gt;</w:t>
        </w:r>
      </w:hyperlink>
      <w:bookmarkEnd w:id="459"/>
    </w:p>
    <w:tbl>
      <w:tblPr>
        <w:tblW w:w="9014" w:type="dxa"/>
        <w:tblLayout w:type="fixed"/>
        <w:tblLook w:val="0000" w:firstRow="0" w:lastRow="0" w:firstColumn="0" w:lastColumn="0" w:noHBand="0" w:noVBand="0"/>
      </w:tblPr>
      <w:tblGrid>
        <w:gridCol w:w="9014"/>
      </w:tblGrid>
      <w:tr w:rsidR="007049A5" w:rsidRPr="004E4188" w14:paraId="6488B057" w14:textId="77777777" w:rsidTr="00DE743B">
        <w:trPr>
          <w:trHeight w:val="900"/>
        </w:trPr>
        <w:tc>
          <w:tcPr>
            <w:tcW w:w="9014" w:type="dxa"/>
            <w:tcBorders>
              <w:top w:val="nil"/>
              <w:left w:val="nil"/>
              <w:bottom w:val="nil"/>
              <w:right w:val="nil"/>
            </w:tcBorders>
            <w:vAlign w:val="center"/>
          </w:tcPr>
          <w:p w14:paraId="3686982C" w14:textId="77777777" w:rsidR="007049A5" w:rsidRPr="004E4188" w:rsidRDefault="007049A5" w:rsidP="006C6267">
            <w:pPr>
              <w:suppressAutoHyphens w:val="0"/>
              <w:overflowPunct/>
              <w:autoSpaceDE/>
              <w:autoSpaceDN/>
              <w:adjustRightInd/>
              <w:spacing w:before="240" w:after="120"/>
              <w:jc w:val="center"/>
              <w:textAlignment w:val="auto"/>
              <w:rPr>
                <w:b/>
                <w:i/>
                <w:noProof/>
                <w:lang w:eastAsia="en-US"/>
              </w:rPr>
            </w:pPr>
            <w:bookmarkStart w:id="460" w:name="_Toc86101609"/>
            <w:r w:rsidRPr="004E4188">
              <w:rPr>
                <w:b/>
                <w:szCs w:val="24"/>
                <w:lang w:eastAsia="en-US"/>
              </w:rPr>
              <w:t>[</w:t>
            </w:r>
            <w:r w:rsidRPr="004E4188">
              <w:rPr>
                <w:b/>
                <w:i/>
                <w:szCs w:val="24"/>
                <w:lang w:eastAsia="en-US"/>
              </w:rPr>
              <w:t>P</w:t>
            </w:r>
            <w:r w:rsidRPr="004E4188">
              <w:rPr>
                <w:rFonts w:hint="eastAsia"/>
                <w:b/>
                <w:i/>
                <w:szCs w:val="24"/>
                <w:lang w:eastAsia="en-US"/>
              </w:rPr>
              <w:t>réparer</w:t>
            </w:r>
            <w:r w:rsidRPr="004E4188">
              <w:rPr>
                <w:b/>
                <w:i/>
                <w:szCs w:val="24"/>
                <w:lang w:eastAsia="en-US"/>
              </w:rPr>
              <w:t xml:space="preserve"> cette Lettre de soumission de l’Offre Technique avec son entête indiquant clairement le nom et l’adresse commerciale complets du Soumissionnaire.</w:t>
            </w:r>
            <w:r w:rsidRPr="004E4188">
              <w:rPr>
                <w:b/>
                <w:szCs w:val="24"/>
                <w:lang w:eastAsia="en-US"/>
              </w:rPr>
              <w:t>]</w:t>
            </w:r>
            <w:bookmarkEnd w:id="460"/>
          </w:p>
        </w:tc>
      </w:tr>
      <w:tr w:rsidR="007049A5" w:rsidRPr="004E4188" w14:paraId="77DDA707" w14:textId="77777777" w:rsidTr="00DE743B">
        <w:trPr>
          <w:trHeight w:val="900"/>
        </w:trPr>
        <w:tc>
          <w:tcPr>
            <w:tcW w:w="9014" w:type="dxa"/>
            <w:tcBorders>
              <w:top w:val="nil"/>
              <w:left w:val="nil"/>
              <w:bottom w:val="nil"/>
              <w:right w:val="nil"/>
            </w:tcBorders>
            <w:vAlign w:val="center"/>
          </w:tcPr>
          <w:p w14:paraId="6AE1EA12" w14:textId="77777777" w:rsidR="007049A5" w:rsidRPr="004E4188" w:rsidRDefault="007049A5" w:rsidP="006C6267">
            <w:pPr>
              <w:pStyle w:val="SectionIVHeader"/>
              <w:rPr>
                <w:b w:val="0"/>
                <w:noProof/>
                <w:lang w:val="fr-FR"/>
              </w:rPr>
            </w:pPr>
            <w:bookmarkStart w:id="461" w:name="_Toc327863856"/>
            <w:bookmarkStart w:id="462" w:name="_Toc461854736"/>
            <w:bookmarkStart w:id="463" w:name="_Toc86100048"/>
            <w:bookmarkStart w:id="464" w:name="_Toc86101610"/>
            <w:bookmarkStart w:id="465" w:name="_Toc89380373"/>
            <w:bookmarkStart w:id="466" w:name="_Toc89383035"/>
            <w:bookmarkStart w:id="467" w:name="_Toc89423467"/>
            <w:bookmarkStart w:id="468" w:name="_Toc112429292"/>
            <w:r w:rsidRPr="004E4188">
              <w:rPr>
                <w:lang w:val="fr-FR"/>
              </w:rPr>
              <w:t>Lettre de soumission</w:t>
            </w:r>
            <w:bookmarkEnd w:id="461"/>
            <w:bookmarkEnd w:id="462"/>
            <w:r w:rsidRPr="004E4188">
              <w:rPr>
                <w:lang w:val="fr-FR"/>
              </w:rPr>
              <w:t xml:space="preserve"> de l’Offre Technique</w:t>
            </w:r>
            <w:bookmarkEnd w:id="463"/>
            <w:bookmarkEnd w:id="464"/>
            <w:bookmarkEnd w:id="465"/>
            <w:bookmarkEnd w:id="466"/>
            <w:bookmarkEnd w:id="467"/>
            <w:bookmarkEnd w:id="468"/>
          </w:p>
        </w:tc>
      </w:tr>
    </w:tbl>
    <w:p w14:paraId="0D5DA65E" w14:textId="77777777" w:rsidR="007049A5" w:rsidRPr="004E4188" w:rsidRDefault="007049A5" w:rsidP="006C6267">
      <w:pPr>
        <w:rPr>
          <w:noProof/>
        </w:rPr>
      </w:pPr>
    </w:p>
    <w:tbl>
      <w:tblPr>
        <w:tblStyle w:val="afb"/>
        <w:tblW w:w="0" w:type="auto"/>
        <w:tblInd w:w="4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3384"/>
      </w:tblGrid>
      <w:tr w:rsidR="007049A5" w:rsidRPr="004E4188" w14:paraId="2819C52E" w14:textId="77777777" w:rsidTr="002D65E9">
        <w:trPr>
          <w:trHeight w:val="316"/>
        </w:trPr>
        <w:tc>
          <w:tcPr>
            <w:tcW w:w="1272" w:type="dxa"/>
          </w:tcPr>
          <w:p w14:paraId="5CC40A23" w14:textId="77777777" w:rsidR="007049A5" w:rsidRPr="004E4188" w:rsidRDefault="007049A5">
            <w:pPr>
              <w:suppressAutoHyphens w:val="0"/>
              <w:overflowPunct/>
              <w:autoSpaceDE/>
              <w:autoSpaceDN/>
              <w:adjustRightInd/>
              <w:jc w:val="left"/>
              <w:textAlignment w:val="auto"/>
              <w:rPr>
                <w:sz w:val="28"/>
              </w:rPr>
            </w:pPr>
            <w:r w:rsidRPr="004E4188">
              <w:t>Date </w:t>
            </w:r>
          </w:p>
        </w:tc>
        <w:tc>
          <w:tcPr>
            <w:tcW w:w="3384" w:type="dxa"/>
          </w:tcPr>
          <w:p w14:paraId="67C5BE13" w14:textId="77777777" w:rsidR="007049A5" w:rsidRPr="004E4188" w:rsidRDefault="007049A5" w:rsidP="006C6267">
            <w:pPr>
              <w:suppressAutoHyphens w:val="0"/>
              <w:overflowPunct/>
              <w:autoSpaceDE/>
              <w:autoSpaceDN/>
              <w:adjustRightInd/>
              <w:ind w:leftChars="-17" w:left="-41"/>
              <w:jc w:val="left"/>
              <w:textAlignment w:val="auto"/>
              <w:rPr>
                <w:sz w:val="28"/>
              </w:rPr>
            </w:pPr>
            <w:r w:rsidRPr="004E4188">
              <w:t xml:space="preserve">: </w:t>
            </w:r>
            <w:r w:rsidRPr="004E4188">
              <w:rPr>
                <w:iCs/>
              </w:rPr>
              <w:t>[</w:t>
            </w:r>
            <w:r w:rsidRPr="004E4188">
              <w:rPr>
                <w:i/>
                <w:iCs/>
              </w:rPr>
              <w:t>indiquer jour, mois, année</w:t>
            </w:r>
            <w:r w:rsidRPr="004E4188">
              <w:rPr>
                <w:iCs/>
              </w:rPr>
              <w:t>]</w:t>
            </w:r>
          </w:p>
        </w:tc>
      </w:tr>
      <w:tr w:rsidR="007049A5" w:rsidRPr="004E4188" w14:paraId="0718490D" w14:textId="77777777" w:rsidTr="002D65E9">
        <w:trPr>
          <w:trHeight w:val="632"/>
        </w:trPr>
        <w:tc>
          <w:tcPr>
            <w:tcW w:w="1272" w:type="dxa"/>
          </w:tcPr>
          <w:p w14:paraId="7FAE4D39" w14:textId="77777777" w:rsidR="007049A5" w:rsidRPr="004E4188" w:rsidRDefault="007049A5">
            <w:pPr>
              <w:suppressAutoHyphens w:val="0"/>
              <w:overflowPunct/>
              <w:autoSpaceDE/>
              <w:autoSpaceDN/>
              <w:adjustRightInd/>
              <w:jc w:val="left"/>
              <w:textAlignment w:val="auto"/>
              <w:rPr>
                <w:sz w:val="28"/>
              </w:rPr>
            </w:pPr>
            <w:r w:rsidRPr="004E4188">
              <w:t>AAO n° </w:t>
            </w:r>
          </w:p>
        </w:tc>
        <w:tc>
          <w:tcPr>
            <w:tcW w:w="3384" w:type="dxa"/>
          </w:tcPr>
          <w:p w14:paraId="5CD589E7" w14:textId="77777777" w:rsidR="007049A5" w:rsidRPr="004E4188" w:rsidRDefault="007049A5" w:rsidP="006C6267">
            <w:pPr>
              <w:suppressAutoHyphens w:val="0"/>
              <w:overflowPunct/>
              <w:autoSpaceDE/>
              <w:autoSpaceDN/>
              <w:adjustRightInd/>
              <w:ind w:leftChars="-18" w:left="99" w:hangingChars="59" w:hanging="142"/>
              <w:jc w:val="left"/>
              <w:textAlignment w:val="auto"/>
              <w:rPr>
                <w:sz w:val="28"/>
              </w:rPr>
            </w:pPr>
            <w:r w:rsidRPr="004E4188">
              <w:t>:</w:t>
            </w:r>
            <w:r w:rsidRPr="004E4188">
              <w:rPr>
                <w:iCs/>
              </w:rPr>
              <w:t xml:space="preserve"> [</w:t>
            </w:r>
            <w:r w:rsidRPr="004E4188">
              <w:rPr>
                <w:i/>
                <w:iCs/>
              </w:rPr>
              <w:t>indiquer le numéro de l’Avis d’appel d’offres</w:t>
            </w:r>
            <w:r w:rsidRPr="004E4188">
              <w:rPr>
                <w:iCs/>
              </w:rPr>
              <w:t>]</w:t>
            </w:r>
          </w:p>
        </w:tc>
      </w:tr>
      <w:tr w:rsidR="007049A5" w:rsidRPr="004E4188" w14:paraId="31E75CA5" w14:textId="77777777" w:rsidTr="002D65E9">
        <w:trPr>
          <w:trHeight w:val="303"/>
        </w:trPr>
        <w:tc>
          <w:tcPr>
            <w:tcW w:w="1272" w:type="dxa"/>
          </w:tcPr>
          <w:p w14:paraId="49B71AF0" w14:textId="77777777" w:rsidR="007049A5" w:rsidRPr="004E4188" w:rsidRDefault="007049A5">
            <w:pPr>
              <w:suppressAutoHyphens w:val="0"/>
              <w:overflowPunct/>
              <w:autoSpaceDE/>
              <w:autoSpaceDN/>
              <w:adjustRightInd/>
              <w:jc w:val="left"/>
              <w:textAlignment w:val="auto"/>
              <w:rPr>
                <w:sz w:val="28"/>
              </w:rPr>
            </w:pPr>
            <w:r w:rsidRPr="004E4188">
              <w:t>Projet </w:t>
            </w:r>
          </w:p>
        </w:tc>
        <w:tc>
          <w:tcPr>
            <w:tcW w:w="3384" w:type="dxa"/>
          </w:tcPr>
          <w:p w14:paraId="10915144" w14:textId="77777777" w:rsidR="007049A5" w:rsidRPr="004E4188" w:rsidRDefault="007049A5" w:rsidP="006C6267">
            <w:pPr>
              <w:suppressAutoHyphens w:val="0"/>
              <w:overflowPunct/>
              <w:autoSpaceDE/>
              <w:autoSpaceDN/>
              <w:adjustRightInd/>
              <w:ind w:leftChars="-17" w:left="-41"/>
              <w:jc w:val="left"/>
              <w:textAlignment w:val="auto"/>
              <w:rPr>
                <w:sz w:val="28"/>
              </w:rPr>
            </w:pPr>
            <w:r w:rsidRPr="004E4188">
              <w:t xml:space="preserve">: </w:t>
            </w:r>
            <w:r w:rsidRPr="004E4188">
              <w:rPr>
                <w:iCs/>
              </w:rPr>
              <w:t>[</w:t>
            </w:r>
            <w:r w:rsidRPr="004E4188">
              <w:rPr>
                <w:i/>
                <w:iCs/>
              </w:rPr>
              <w:t>indiquer le nom du projet</w:t>
            </w:r>
            <w:r w:rsidRPr="004E4188">
              <w:rPr>
                <w:iCs/>
              </w:rPr>
              <w:t>]</w:t>
            </w:r>
          </w:p>
        </w:tc>
      </w:tr>
      <w:tr w:rsidR="007049A5" w:rsidRPr="004E4188" w14:paraId="10A3B086" w14:textId="77777777" w:rsidTr="002D65E9">
        <w:trPr>
          <w:trHeight w:val="316"/>
        </w:trPr>
        <w:tc>
          <w:tcPr>
            <w:tcW w:w="1272" w:type="dxa"/>
          </w:tcPr>
          <w:p w14:paraId="13D9EF99" w14:textId="77777777" w:rsidR="007049A5" w:rsidRPr="004E4188" w:rsidRDefault="007049A5">
            <w:pPr>
              <w:suppressAutoHyphens w:val="0"/>
              <w:overflowPunct/>
              <w:autoSpaceDE/>
              <w:autoSpaceDN/>
              <w:adjustRightInd/>
              <w:jc w:val="left"/>
              <w:textAlignment w:val="auto"/>
              <w:rPr>
                <w:sz w:val="28"/>
              </w:rPr>
            </w:pPr>
            <w:r w:rsidRPr="004E4188">
              <w:t>Marché </w:t>
            </w:r>
          </w:p>
        </w:tc>
        <w:tc>
          <w:tcPr>
            <w:tcW w:w="3384" w:type="dxa"/>
          </w:tcPr>
          <w:p w14:paraId="2AC98944" w14:textId="77777777" w:rsidR="007049A5" w:rsidRPr="004E4188" w:rsidRDefault="007049A5" w:rsidP="006C6267">
            <w:pPr>
              <w:suppressAutoHyphens w:val="0"/>
              <w:overflowPunct/>
              <w:autoSpaceDE/>
              <w:autoSpaceDN/>
              <w:adjustRightInd/>
              <w:ind w:leftChars="-17" w:left="-41"/>
              <w:jc w:val="left"/>
              <w:textAlignment w:val="auto"/>
              <w:rPr>
                <w:iCs/>
              </w:rPr>
            </w:pPr>
            <w:r w:rsidRPr="004E4188">
              <w:t xml:space="preserve">: </w:t>
            </w:r>
            <w:r w:rsidRPr="004E4188">
              <w:rPr>
                <w:iCs/>
              </w:rPr>
              <w:t>[</w:t>
            </w:r>
            <w:r w:rsidRPr="004E4188">
              <w:rPr>
                <w:i/>
                <w:iCs/>
              </w:rPr>
              <w:t>indiquer le nom du Marché</w:t>
            </w:r>
            <w:r w:rsidRPr="004E4188">
              <w:rPr>
                <w:iCs/>
              </w:rPr>
              <w:t>]</w:t>
            </w:r>
          </w:p>
        </w:tc>
      </w:tr>
    </w:tbl>
    <w:p w14:paraId="61AC2D71" w14:textId="77777777" w:rsidR="007049A5" w:rsidRPr="004E4188" w:rsidRDefault="007049A5" w:rsidP="005B4202">
      <w:pPr>
        <w:suppressAutoHyphens w:val="0"/>
        <w:overflowPunct/>
        <w:autoSpaceDE/>
        <w:autoSpaceDN/>
        <w:adjustRightInd/>
        <w:jc w:val="left"/>
        <w:textAlignment w:val="auto"/>
      </w:pPr>
      <w:bookmarkStart w:id="469" w:name="_Toc327863857"/>
    </w:p>
    <w:p w14:paraId="25584149" w14:textId="77777777" w:rsidR="007049A5" w:rsidRPr="004E4188" w:rsidRDefault="007049A5" w:rsidP="006C6267"/>
    <w:p w14:paraId="45CD6350" w14:textId="0BCC333D" w:rsidR="007049A5" w:rsidRPr="004E4188" w:rsidRDefault="0072430E" w:rsidP="006C6267">
      <w:pPr>
        <w:jc w:val="left"/>
        <w:rPr>
          <w:lang w:eastAsia="ja-JP"/>
        </w:rPr>
      </w:pPr>
      <w:r w:rsidRPr="004E4188">
        <w:t xml:space="preserve">À </w:t>
      </w:r>
      <w:r w:rsidR="007049A5" w:rsidRPr="004E4188">
        <w:t xml:space="preserve">l’attention de : </w:t>
      </w:r>
      <w:r w:rsidR="007049A5" w:rsidRPr="004E4188">
        <w:rPr>
          <w:iCs/>
        </w:rPr>
        <w:t>[</w:t>
      </w:r>
      <w:r w:rsidR="007049A5" w:rsidRPr="004E4188">
        <w:rPr>
          <w:i/>
          <w:iCs/>
        </w:rPr>
        <w:t>indiquer le nom complet du Maître d’ouvrage</w:t>
      </w:r>
      <w:r w:rsidR="007049A5" w:rsidRPr="004E4188">
        <w:rPr>
          <w:iCs/>
        </w:rPr>
        <w:t>]</w:t>
      </w:r>
    </w:p>
    <w:p w14:paraId="7367CD13" w14:textId="77777777" w:rsidR="007049A5" w:rsidRPr="004E4188" w:rsidRDefault="007049A5" w:rsidP="005B4202"/>
    <w:p w14:paraId="70334A03" w14:textId="77777777" w:rsidR="007049A5" w:rsidRPr="004E4188" w:rsidRDefault="007049A5" w:rsidP="006C6267"/>
    <w:p w14:paraId="7AAB3585" w14:textId="77777777" w:rsidR="007049A5" w:rsidRPr="004E4188" w:rsidRDefault="007049A5" w:rsidP="006C6267">
      <w:r w:rsidRPr="004E4188">
        <w:t xml:space="preserve">Nous, soussignés, attestons que : </w:t>
      </w:r>
    </w:p>
    <w:p w14:paraId="153126D4" w14:textId="77777777" w:rsidR="007049A5" w:rsidRPr="004E4188" w:rsidRDefault="007049A5" w:rsidP="006C6267"/>
    <w:p w14:paraId="19AB6211" w14:textId="77777777" w:rsidR="007049A5" w:rsidRPr="004E4188" w:rsidRDefault="007049A5" w:rsidP="003D46CF">
      <w:pPr>
        <w:numPr>
          <w:ilvl w:val="0"/>
          <w:numId w:val="41"/>
        </w:numPr>
        <w:tabs>
          <w:tab w:val="left" w:pos="360"/>
          <w:tab w:val="right" w:pos="9000"/>
        </w:tabs>
        <w:ind w:left="357" w:hanging="357"/>
      </w:pPr>
      <w:r w:rsidRPr="004E4188">
        <w:t>nous avons examiné le Dossier d’appel d’offres, y compris le(s) avenant(s) n</w:t>
      </w:r>
      <w:r w:rsidRPr="004E4188">
        <w:rPr>
          <w:vertAlign w:val="superscript"/>
        </w:rPr>
        <w:t>o</w:t>
      </w:r>
      <w:r w:rsidRPr="004E4188">
        <w:rPr>
          <w:i/>
          <w:iCs/>
        </w:rPr>
        <w:t xml:space="preserve"> </w:t>
      </w:r>
      <w:r w:rsidRPr="004E4188">
        <w:rPr>
          <w:iCs/>
        </w:rPr>
        <w:t>[</w:t>
      </w:r>
      <w:r w:rsidRPr="004E4188">
        <w:rPr>
          <w:i/>
          <w:iCs/>
        </w:rPr>
        <w:t>insérer le numéro et la date de publication de chaque avenant</w:t>
      </w:r>
      <w:r w:rsidRPr="004E4188">
        <w:rPr>
          <w:iCs/>
        </w:rPr>
        <w:t>]</w:t>
      </w:r>
      <w:r w:rsidRPr="004E4188">
        <w:t>, publié(s) conformément aux dispositions des Instructions aux soumissionnaires (IS) 8 et n’avons aucune réserve à leur égard ;</w:t>
      </w:r>
    </w:p>
    <w:p w14:paraId="5EDDF1DA" w14:textId="77777777" w:rsidR="007049A5" w:rsidRPr="004E4188" w:rsidRDefault="007049A5" w:rsidP="006C6267">
      <w:pPr>
        <w:numPr>
          <w:ilvl w:val="12"/>
          <w:numId w:val="0"/>
        </w:numPr>
        <w:tabs>
          <w:tab w:val="right" w:pos="9000"/>
        </w:tabs>
      </w:pPr>
    </w:p>
    <w:p w14:paraId="03942392" w14:textId="77777777" w:rsidR="007049A5" w:rsidRPr="004E4188" w:rsidRDefault="007049A5" w:rsidP="003D46CF">
      <w:pPr>
        <w:numPr>
          <w:ilvl w:val="0"/>
          <w:numId w:val="41"/>
        </w:numPr>
        <w:tabs>
          <w:tab w:val="left" w:pos="426"/>
        </w:tabs>
        <w:spacing w:after="120"/>
      </w:pPr>
      <w:r w:rsidRPr="004E4188">
        <w:t>nous, y compris nos sous-traitants, satisfaisons aux critères d’éligibilité, conformément à IS 4 et IS 5 ;</w:t>
      </w:r>
    </w:p>
    <w:p w14:paraId="652556AD" w14:textId="77777777" w:rsidR="007049A5" w:rsidRPr="004E4188" w:rsidRDefault="007049A5" w:rsidP="003D46CF">
      <w:pPr>
        <w:numPr>
          <w:ilvl w:val="0"/>
          <w:numId w:val="41"/>
        </w:numPr>
        <w:contextualSpacing/>
      </w:pPr>
      <w:r w:rsidRPr="004E4188">
        <w:t xml:space="preserve">nous, y compris nos sous-traitants, n’avons pas de conflit d’intérêt, conformément à IS 4 ; </w:t>
      </w:r>
    </w:p>
    <w:p w14:paraId="647B255A" w14:textId="77777777" w:rsidR="007049A5" w:rsidRPr="004E4188" w:rsidRDefault="007049A5" w:rsidP="006C6267"/>
    <w:p w14:paraId="6354ED39" w14:textId="77777777" w:rsidR="007049A5" w:rsidRPr="004E4188" w:rsidRDefault="007049A5" w:rsidP="003D46CF">
      <w:pPr>
        <w:numPr>
          <w:ilvl w:val="0"/>
          <w:numId w:val="41"/>
        </w:numPr>
        <w:tabs>
          <w:tab w:val="left" w:pos="360"/>
          <w:tab w:val="right" w:pos="9000"/>
        </w:tabs>
        <w:ind w:left="357" w:hanging="357"/>
      </w:pPr>
      <w:r w:rsidRPr="004E4188">
        <w:t xml:space="preserve">nous nous engageons à réaliser, conformément au Dossier d’appel d’offres, la conception, la fourniture et le montage des Installations suivantes : </w:t>
      </w:r>
      <w:r w:rsidRPr="004E4188">
        <w:rPr>
          <w:iCs/>
        </w:rPr>
        <w:t>[</w:t>
      </w:r>
      <w:r w:rsidRPr="004E4188">
        <w:rPr>
          <w:i/>
          <w:iCs/>
        </w:rPr>
        <w:t xml:space="preserve">donner une description succincte des </w:t>
      </w:r>
      <w:r w:rsidRPr="004E4188">
        <w:rPr>
          <w:i/>
          <w:szCs w:val="24"/>
        </w:rPr>
        <w:t>É</w:t>
      </w:r>
      <w:r w:rsidRPr="004E4188">
        <w:rPr>
          <w:i/>
        </w:rPr>
        <w:t>quipements et Services de montage</w:t>
      </w:r>
      <w:r w:rsidRPr="004E4188">
        <w:rPr>
          <w:iCs/>
        </w:rPr>
        <w:t>]</w:t>
      </w:r>
      <w:r w:rsidRPr="004E4188">
        <w:t xml:space="preserve"> ; </w:t>
      </w:r>
    </w:p>
    <w:p w14:paraId="4C1D8364" w14:textId="77777777" w:rsidR="007049A5" w:rsidRPr="004E4188" w:rsidRDefault="007049A5" w:rsidP="006C6267">
      <w:pPr>
        <w:tabs>
          <w:tab w:val="left" w:pos="360"/>
          <w:tab w:val="right" w:pos="9000"/>
        </w:tabs>
      </w:pPr>
    </w:p>
    <w:p w14:paraId="23466B72" w14:textId="77777777" w:rsidR="007049A5" w:rsidRPr="004E4188" w:rsidRDefault="007049A5" w:rsidP="003D46CF">
      <w:pPr>
        <w:numPr>
          <w:ilvl w:val="0"/>
          <w:numId w:val="41"/>
        </w:numPr>
        <w:tabs>
          <w:tab w:val="right" w:pos="9000"/>
        </w:tabs>
      </w:pPr>
      <w:r w:rsidRPr="004E4188">
        <w:t>notre offre demeurera valide pour une période de [</w:t>
      </w:r>
      <w:r w:rsidRPr="004E4188">
        <w:rPr>
          <w:i/>
        </w:rPr>
        <w:t>indiquer le nombre de jours calendaires</w:t>
      </w:r>
      <w:r w:rsidRPr="004E4188">
        <w:t xml:space="preserve">] jours à compter de la date limite fixée pour la remise des offres dans le Dossier d’appel d’offres ; cette offre nous engage et pourra être acceptée à tout moment avant l’expiration de cette période ; </w:t>
      </w:r>
    </w:p>
    <w:p w14:paraId="5F94BF44" w14:textId="77777777" w:rsidR="007049A5" w:rsidRPr="004E4188" w:rsidRDefault="007049A5" w:rsidP="006C6267">
      <w:pPr>
        <w:tabs>
          <w:tab w:val="right" w:pos="9000"/>
        </w:tabs>
      </w:pPr>
    </w:p>
    <w:p w14:paraId="687A7F26" w14:textId="77777777" w:rsidR="007049A5" w:rsidRPr="004E4188" w:rsidRDefault="007049A5" w:rsidP="003D46CF">
      <w:pPr>
        <w:numPr>
          <w:ilvl w:val="0"/>
          <w:numId w:val="41"/>
        </w:numPr>
        <w:tabs>
          <w:tab w:val="right" w:pos="9000"/>
        </w:tabs>
        <w:ind w:left="357" w:hanging="357"/>
      </w:pPr>
      <w:r w:rsidRPr="004E4188">
        <w:t>nous ne participons pas, en qualité de Soumissionnaire ou de sous-traitant, à plus d’une offre dans le cadre du présent appel d’offres, conformément à IS 4.2(c) ; et</w:t>
      </w:r>
    </w:p>
    <w:p w14:paraId="3E6CC0C7" w14:textId="77777777" w:rsidR="007049A5" w:rsidRPr="004E4188" w:rsidRDefault="007049A5" w:rsidP="006C6267">
      <w:pPr>
        <w:widowControl w:val="0"/>
        <w:rPr>
          <w:rFonts w:ascii="Century" w:hAnsi="Century"/>
          <w:sz w:val="21"/>
          <w:lang w:eastAsia="ja-JP"/>
        </w:rPr>
      </w:pPr>
    </w:p>
    <w:p w14:paraId="6D2C6250" w14:textId="77777777" w:rsidR="007049A5" w:rsidRPr="004E4188" w:rsidRDefault="007049A5" w:rsidP="003D46CF">
      <w:pPr>
        <w:numPr>
          <w:ilvl w:val="0"/>
          <w:numId w:val="41"/>
        </w:numPr>
        <w:ind w:left="357" w:hanging="357"/>
        <w:rPr>
          <w:kern w:val="28"/>
        </w:rPr>
      </w:pPr>
      <w:r w:rsidRPr="004E4188">
        <w:rPr>
          <w:kern w:val="28"/>
        </w:rPr>
        <w:t xml:space="preserve">nous certifions par la présente que nous avons pris les mesures nécessaires afin d’assurer qu’aucune personne agissant en notre nom ou pour notre compte ne puisse se livrer à des pratiques corrompues ou frauduleuses. </w:t>
      </w:r>
    </w:p>
    <w:p w14:paraId="5AC496F7" w14:textId="77777777" w:rsidR="007049A5" w:rsidRPr="004E4188" w:rsidRDefault="007049A5" w:rsidP="006C6267">
      <w:pPr>
        <w:tabs>
          <w:tab w:val="right" w:pos="4140"/>
          <w:tab w:val="left" w:pos="4500"/>
          <w:tab w:val="right" w:pos="9000"/>
        </w:tabs>
      </w:pPr>
    </w:p>
    <w:p w14:paraId="42E05DF8" w14:textId="77777777" w:rsidR="007049A5" w:rsidRPr="004E4188" w:rsidRDefault="007049A5" w:rsidP="006C6267">
      <w:pPr>
        <w:spacing w:after="180"/>
        <w:jc w:val="left"/>
      </w:pPr>
      <w:r w:rsidRPr="004E4188">
        <w:t>Nom du Soumissionnaire</w:t>
      </w:r>
      <w:r w:rsidRPr="004E4188">
        <w:rPr>
          <w:bCs/>
          <w:iCs/>
          <w:vertAlign w:val="superscript"/>
        </w:rPr>
        <w:t>1</w:t>
      </w:r>
      <w:r w:rsidRPr="004E4188">
        <w:t xml:space="preserve"> [</w:t>
      </w:r>
      <w:r w:rsidRPr="004E4188">
        <w:rPr>
          <w:i/>
        </w:rPr>
        <w:t>indiquer le nom complet du Soumissionnaire</w:t>
      </w:r>
      <w:r w:rsidRPr="004E4188">
        <w:t>]</w:t>
      </w:r>
    </w:p>
    <w:p w14:paraId="3481BD93" w14:textId="77777777" w:rsidR="007049A5" w:rsidRPr="004E4188" w:rsidRDefault="007049A5" w:rsidP="006C6267">
      <w:pPr>
        <w:spacing w:after="180"/>
        <w:jc w:val="left"/>
      </w:pPr>
      <w:r w:rsidRPr="004E4188">
        <w:t>Nom du signataire habilité à signer l’offre au nom du Soumissionnaire</w:t>
      </w:r>
      <w:r w:rsidRPr="004E4188">
        <w:rPr>
          <w:bCs/>
          <w:iCs/>
          <w:vertAlign w:val="superscript"/>
        </w:rPr>
        <w:t>2</w:t>
      </w:r>
      <w:r w:rsidRPr="004E4188">
        <w:rPr>
          <w:bCs/>
          <w:iCs/>
        </w:rPr>
        <w:t xml:space="preserve"> [</w:t>
      </w:r>
      <w:r w:rsidRPr="004E4188">
        <w:rPr>
          <w:bCs/>
          <w:i/>
          <w:iCs/>
        </w:rPr>
        <w:t>indiquer le nom complet du signataire habilité à signer l’offre</w:t>
      </w:r>
      <w:r w:rsidRPr="004E4188">
        <w:rPr>
          <w:bCs/>
          <w:iCs/>
        </w:rPr>
        <w:t>]</w:t>
      </w:r>
    </w:p>
    <w:p w14:paraId="70527901" w14:textId="77777777" w:rsidR="007049A5" w:rsidRPr="004E4188" w:rsidRDefault="007049A5" w:rsidP="006C6267">
      <w:pPr>
        <w:spacing w:after="180"/>
        <w:jc w:val="left"/>
      </w:pPr>
      <w:r w:rsidRPr="004E4188">
        <w:t>Titre du signataire habilité [</w:t>
      </w:r>
      <w:r w:rsidRPr="004E4188">
        <w:rPr>
          <w:i/>
        </w:rPr>
        <w:t>indiquer le titre complet du signataire</w:t>
      </w:r>
      <w:r w:rsidRPr="004E4188">
        <w:t>]</w:t>
      </w:r>
    </w:p>
    <w:p w14:paraId="26F91BF1" w14:textId="77777777" w:rsidR="007049A5" w:rsidRPr="004E4188" w:rsidRDefault="007049A5" w:rsidP="006C6267">
      <w:pPr>
        <w:spacing w:after="180"/>
        <w:jc w:val="left"/>
      </w:pPr>
      <w:r w:rsidRPr="004E4188">
        <w:t>Signature de la personne désignée ci-dessus [</w:t>
      </w:r>
      <w:r w:rsidRPr="004E4188">
        <w:rPr>
          <w:i/>
        </w:rPr>
        <w:t>insérer la signature</w:t>
      </w:r>
      <w:r w:rsidRPr="004E4188">
        <w:t>]</w:t>
      </w:r>
    </w:p>
    <w:p w14:paraId="3DB1BAB4" w14:textId="77777777" w:rsidR="007049A5" w:rsidRPr="004E4188" w:rsidRDefault="007049A5" w:rsidP="006C6267">
      <w:pPr>
        <w:jc w:val="left"/>
        <w:rPr>
          <w:b/>
        </w:rPr>
      </w:pPr>
      <w:r w:rsidRPr="004E4188">
        <w:t xml:space="preserve">Signé le </w:t>
      </w:r>
      <w:r w:rsidRPr="004E4188">
        <w:rPr>
          <w:szCs w:val="24"/>
        </w:rPr>
        <w:t>[</w:t>
      </w:r>
      <w:r w:rsidRPr="004E4188">
        <w:rPr>
          <w:i/>
          <w:szCs w:val="24"/>
        </w:rPr>
        <w:t>indiquer la date</w:t>
      </w:r>
      <w:r w:rsidRPr="004E4188">
        <w:t>]</w:t>
      </w:r>
    </w:p>
    <w:p w14:paraId="6654502C" w14:textId="77777777" w:rsidR="007049A5" w:rsidRPr="004E4188" w:rsidRDefault="007049A5" w:rsidP="006C6267">
      <w:pPr>
        <w:jc w:val="left"/>
      </w:pPr>
    </w:p>
    <w:p w14:paraId="492C94A7" w14:textId="77777777" w:rsidR="00DE743B" w:rsidRPr="004E4188" w:rsidRDefault="00DE743B" w:rsidP="006C6267">
      <w:pPr>
        <w:jc w:val="left"/>
      </w:pPr>
    </w:p>
    <w:p w14:paraId="4E4FAE06" w14:textId="77777777" w:rsidR="00DE743B" w:rsidRPr="004E4188" w:rsidRDefault="00DE743B" w:rsidP="006C6267">
      <w:pPr>
        <w:jc w:val="left"/>
      </w:pPr>
    </w:p>
    <w:p w14:paraId="4B949E72" w14:textId="77777777" w:rsidR="007049A5" w:rsidRPr="004E4188" w:rsidRDefault="007049A5" w:rsidP="006C6267">
      <w:pPr>
        <w:spacing w:after="120"/>
        <w:jc w:val="left"/>
        <w:rPr>
          <w:u w:val="single"/>
        </w:rPr>
      </w:pPr>
      <w:r w:rsidRPr="004E4188">
        <w:rPr>
          <w:rFonts w:hint="eastAsia"/>
          <w:u w:val="single"/>
        </w:rPr>
        <w:t>Notes à l</w:t>
      </w:r>
      <w:r w:rsidRPr="004E4188">
        <w:rPr>
          <w:u w:val="single"/>
        </w:rPr>
        <w:t>’intention des Soumissionnaires</w:t>
      </w:r>
    </w:p>
    <w:p w14:paraId="1F8F5BED" w14:textId="77777777" w:rsidR="007049A5" w:rsidRPr="004E4188" w:rsidRDefault="007049A5" w:rsidP="003D46CF">
      <w:pPr>
        <w:widowControl w:val="0"/>
        <w:numPr>
          <w:ilvl w:val="0"/>
          <w:numId w:val="66"/>
        </w:numPr>
        <w:ind w:left="284" w:hanging="284"/>
        <w:jc w:val="left"/>
        <w:rPr>
          <w:szCs w:val="24"/>
          <w:lang w:eastAsia="ja-JP"/>
        </w:rPr>
      </w:pPr>
      <w:r w:rsidRPr="004E4188">
        <w:rPr>
          <w:bCs/>
          <w:iCs/>
          <w:szCs w:val="24"/>
          <w:lang w:eastAsia="ja-JP"/>
        </w:rPr>
        <w:t>D</w:t>
      </w:r>
      <w:r w:rsidRPr="004E4188">
        <w:rPr>
          <w:szCs w:val="24"/>
          <w:lang w:eastAsia="ja-JP"/>
        </w:rPr>
        <w:t>ans le cas d’une offre remise par un Groupement, donner le nom du Groupement.</w:t>
      </w:r>
    </w:p>
    <w:p w14:paraId="59C644C6" w14:textId="77777777" w:rsidR="007049A5" w:rsidRPr="004E4188" w:rsidRDefault="007049A5" w:rsidP="003D46CF">
      <w:pPr>
        <w:widowControl w:val="0"/>
        <w:numPr>
          <w:ilvl w:val="0"/>
          <w:numId w:val="66"/>
        </w:numPr>
        <w:tabs>
          <w:tab w:val="right" w:pos="4140"/>
          <w:tab w:val="left" w:pos="4500"/>
          <w:tab w:val="right" w:pos="9000"/>
        </w:tabs>
        <w:ind w:left="284" w:hanging="284"/>
        <w:rPr>
          <w:szCs w:val="24"/>
          <w:lang w:eastAsia="ja-JP"/>
        </w:rPr>
      </w:pPr>
      <w:r w:rsidRPr="004E4188">
        <w:rPr>
          <w:bCs/>
          <w:iCs/>
          <w:szCs w:val="24"/>
          <w:lang w:eastAsia="ja-JP"/>
        </w:rPr>
        <w:t xml:space="preserve">Joindre dans l’Offre Technique la procuration du signataire spécifiant qu’il est habilité à signer au nom du Soumissionnaire. </w:t>
      </w:r>
    </w:p>
    <w:p w14:paraId="26494A2E" w14:textId="77777777" w:rsidR="007049A5" w:rsidRPr="004E4188" w:rsidRDefault="007049A5" w:rsidP="006C6267">
      <w:r w:rsidRPr="004E4188">
        <w:rPr>
          <w:b/>
          <w:noProof/>
        </w:rPr>
        <w:br w:type="page"/>
      </w:r>
    </w:p>
    <w:p w14:paraId="64AF8FEA" w14:textId="77777777" w:rsidR="007049A5" w:rsidRPr="004E4188" w:rsidRDefault="007049A5" w:rsidP="006C6267">
      <w:pPr>
        <w:rPr>
          <w:noProof/>
          <w:sz w:val="20"/>
        </w:rPr>
      </w:pPr>
      <w:r w:rsidRPr="004E4188">
        <w:rPr>
          <w:noProof/>
          <w:lang w:eastAsia="ja-JP"/>
        </w:rPr>
        <w:t>&lt; Option A : appel d’offres à une étape-deux enveloppes &gt;</w:t>
      </w:r>
    </w:p>
    <w:tbl>
      <w:tblPr>
        <w:tblW w:w="9014" w:type="dxa"/>
        <w:tblLayout w:type="fixed"/>
        <w:tblLook w:val="0000" w:firstRow="0" w:lastRow="0" w:firstColumn="0" w:lastColumn="0" w:noHBand="0" w:noVBand="0"/>
      </w:tblPr>
      <w:tblGrid>
        <w:gridCol w:w="9014"/>
      </w:tblGrid>
      <w:tr w:rsidR="007049A5" w:rsidRPr="004E4188" w14:paraId="7664E0DA" w14:textId="77777777" w:rsidTr="00DE743B">
        <w:trPr>
          <w:trHeight w:val="900"/>
        </w:trPr>
        <w:tc>
          <w:tcPr>
            <w:tcW w:w="9014" w:type="dxa"/>
            <w:tcBorders>
              <w:top w:val="nil"/>
              <w:left w:val="nil"/>
              <w:bottom w:val="nil"/>
              <w:right w:val="nil"/>
            </w:tcBorders>
            <w:vAlign w:val="center"/>
          </w:tcPr>
          <w:p w14:paraId="3E30EF9B" w14:textId="77777777" w:rsidR="007049A5" w:rsidRPr="004E4188" w:rsidRDefault="007049A5" w:rsidP="006C6267">
            <w:pPr>
              <w:spacing w:before="240" w:after="120"/>
              <w:jc w:val="center"/>
              <w:rPr>
                <w:b/>
                <w:i/>
                <w:noProof/>
              </w:rPr>
            </w:pPr>
            <w:bookmarkStart w:id="470" w:name="_Toc86101612"/>
            <w:r w:rsidRPr="004E4188">
              <w:rPr>
                <w:rFonts w:hint="eastAsia"/>
                <w:b/>
                <w:szCs w:val="24"/>
                <w:lang w:eastAsia="ja-JP"/>
              </w:rPr>
              <w:t>[</w:t>
            </w:r>
            <w:r w:rsidRPr="004E4188">
              <w:rPr>
                <w:b/>
                <w:i/>
                <w:szCs w:val="24"/>
                <w:lang w:eastAsia="ja-JP"/>
              </w:rPr>
              <w:t>P</w:t>
            </w:r>
            <w:r w:rsidRPr="004E4188">
              <w:rPr>
                <w:rFonts w:hint="eastAsia"/>
                <w:b/>
                <w:i/>
                <w:szCs w:val="24"/>
              </w:rPr>
              <w:t>réparer</w:t>
            </w:r>
            <w:r w:rsidRPr="004E4188">
              <w:rPr>
                <w:b/>
                <w:i/>
                <w:szCs w:val="24"/>
              </w:rPr>
              <w:t xml:space="preserve"> cette Lettre de soumission de l’Offre Financière avec son entête indiquant clairement le nom et l’adresse commerciale complets du Soumissionnaire.</w:t>
            </w:r>
            <w:r w:rsidRPr="004E4188">
              <w:rPr>
                <w:b/>
                <w:szCs w:val="24"/>
              </w:rPr>
              <w:t>]</w:t>
            </w:r>
            <w:bookmarkEnd w:id="470"/>
          </w:p>
        </w:tc>
      </w:tr>
      <w:tr w:rsidR="007049A5" w:rsidRPr="004E4188" w14:paraId="4DF4590B" w14:textId="77777777" w:rsidTr="00DE743B">
        <w:trPr>
          <w:trHeight w:val="900"/>
        </w:trPr>
        <w:tc>
          <w:tcPr>
            <w:tcW w:w="9014" w:type="dxa"/>
            <w:tcBorders>
              <w:top w:val="nil"/>
              <w:left w:val="nil"/>
              <w:bottom w:val="nil"/>
              <w:right w:val="nil"/>
            </w:tcBorders>
            <w:vAlign w:val="center"/>
          </w:tcPr>
          <w:p w14:paraId="1712F958" w14:textId="77777777" w:rsidR="007049A5" w:rsidRPr="004E4188" w:rsidRDefault="007049A5" w:rsidP="006C6267">
            <w:pPr>
              <w:pStyle w:val="SectionIVHeader"/>
              <w:rPr>
                <w:noProof/>
                <w:lang w:val="fr-FR"/>
              </w:rPr>
            </w:pPr>
            <w:bookmarkStart w:id="471" w:name="_Toc86100049"/>
            <w:bookmarkStart w:id="472" w:name="_Toc86101613"/>
            <w:bookmarkStart w:id="473" w:name="_Toc89380374"/>
            <w:bookmarkStart w:id="474" w:name="_Toc89383036"/>
            <w:bookmarkStart w:id="475" w:name="_Toc89423468"/>
            <w:bookmarkStart w:id="476" w:name="_Toc112429293"/>
            <w:r w:rsidRPr="004E4188">
              <w:rPr>
                <w:lang w:val="fr-FR"/>
              </w:rPr>
              <w:t>Lettre de soumission de l’Offre Financière</w:t>
            </w:r>
            <w:bookmarkEnd w:id="471"/>
            <w:bookmarkEnd w:id="472"/>
            <w:bookmarkEnd w:id="473"/>
            <w:bookmarkEnd w:id="474"/>
            <w:bookmarkEnd w:id="475"/>
            <w:bookmarkEnd w:id="476"/>
          </w:p>
        </w:tc>
      </w:tr>
    </w:tbl>
    <w:p w14:paraId="3208DE0D" w14:textId="77777777" w:rsidR="007049A5" w:rsidRPr="004E4188" w:rsidRDefault="007049A5" w:rsidP="006C6267">
      <w:pPr>
        <w:tabs>
          <w:tab w:val="right" w:pos="9000"/>
        </w:tabs>
        <w:ind w:left="4678"/>
        <w:rPr>
          <w:noProof/>
        </w:rPr>
      </w:pPr>
    </w:p>
    <w:p w14:paraId="193B7782" w14:textId="77777777" w:rsidR="007049A5" w:rsidRPr="004E4188" w:rsidRDefault="007049A5" w:rsidP="006C6267">
      <w:pPr>
        <w:tabs>
          <w:tab w:val="right" w:pos="9000"/>
        </w:tabs>
        <w:ind w:left="4678"/>
        <w:rPr>
          <w:noProof/>
        </w:rPr>
      </w:pPr>
    </w:p>
    <w:tbl>
      <w:tblPr>
        <w:tblStyle w:val="afb"/>
        <w:tblW w:w="0" w:type="auto"/>
        <w:tblInd w:w="4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3384"/>
      </w:tblGrid>
      <w:tr w:rsidR="007049A5" w:rsidRPr="004E4188" w14:paraId="4C33A5CB" w14:textId="77777777" w:rsidTr="006C6267">
        <w:trPr>
          <w:trHeight w:val="316"/>
        </w:trPr>
        <w:tc>
          <w:tcPr>
            <w:tcW w:w="1272" w:type="dxa"/>
          </w:tcPr>
          <w:p w14:paraId="19648774" w14:textId="77777777" w:rsidR="007049A5" w:rsidRPr="004E4188" w:rsidRDefault="007049A5" w:rsidP="006C6267">
            <w:pPr>
              <w:suppressAutoHyphens w:val="0"/>
              <w:overflowPunct/>
              <w:autoSpaceDE/>
              <w:autoSpaceDN/>
              <w:adjustRightInd/>
              <w:jc w:val="left"/>
              <w:textAlignment w:val="auto"/>
              <w:rPr>
                <w:sz w:val="28"/>
              </w:rPr>
            </w:pPr>
            <w:r w:rsidRPr="004E4188">
              <w:t>Date </w:t>
            </w:r>
          </w:p>
        </w:tc>
        <w:tc>
          <w:tcPr>
            <w:tcW w:w="3384" w:type="dxa"/>
          </w:tcPr>
          <w:p w14:paraId="40AD1CB8" w14:textId="77777777" w:rsidR="007049A5" w:rsidRPr="004E4188" w:rsidRDefault="007049A5" w:rsidP="006C6267">
            <w:pPr>
              <w:suppressAutoHyphens w:val="0"/>
              <w:overflowPunct/>
              <w:autoSpaceDE/>
              <w:autoSpaceDN/>
              <w:adjustRightInd/>
              <w:ind w:leftChars="-17" w:left="-41"/>
              <w:jc w:val="left"/>
              <w:textAlignment w:val="auto"/>
              <w:rPr>
                <w:sz w:val="28"/>
              </w:rPr>
            </w:pPr>
            <w:r w:rsidRPr="004E4188">
              <w:t xml:space="preserve">: </w:t>
            </w:r>
            <w:r w:rsidRPr="004E4188">
              <w:rPr>
                <w:iCs/>
              </w:rPr>
              <w:t>[</w:t>
            </w:r>
            <w:r w:rsidRPr="004E4188">
              <w:rPr>
                <w:i/>
                <w:iCs/>
              </w:rPr>
              <w:t>indiquer jour, mois, année</w:t>
            </w:r>
            <w:r w:rsidRPr="004E4188">
              <w:rPr>
                <w:iCs/>
              </w:rPr>
              <w:t>]</w:t>
            </w:r>
          </w:p>
        </w:tc>
      </w:tr>
      <w:tr w:rsidR="007049A5" w:rsidRPr="004E4188" w14:paraId="6FDFC280" w14:textId="77777777" w:rsidTr="006C6267">
        <w:trPr>
          <w:trHeight w:val="632"/>
        </w:trPr>
        <w:tc>
          <w:tcPr>
            <w:tcW w:w="1272" w:type="dxa"/>
          </w:tcPr>
          <w:p w14:paraId="746C4C9C" w14:textId="77777777" w:rsidR="007049A5" w:rsidRPr="004E4188" w:rsidRDefault="007049A5" w:rsidP="006C6267">
            <w:pPr>
              <w:suppressAutoHyphens w:val="0"/>
              <w:overflowPunct/>
              <w:autoSpaceDE/>
              <w:autoSpaceDN/>
              <w:adjustRightInd/>
              <w:jc w:val="left"/>
              <w:textAlignment w:val="auto"/>
              <w:rPr>
                <w:sz w:val="28"/>
              </w:rPr>
            </w:pPr>
            <w:r w:rsidRPr="004E4188">
              <w:t>AAO n° </w:t>
            </w:r>
          </w:p>
        </w:tc>
        <w:tc>
          <w:tcPr>
            <w:tcW w:w="3384" w:type="dxa"/>
          </w:tcPr>
          <w:p w14:paraId="79C40424" w14:textId="77777777" w:rsidR="007049A5" w:rsidRPr="004E4188" w:rsidRDefault="007049A5" w:rsidP="006C6267">
            <w:pPr>
              <w:suppressAutoHyphens w:val="0"/>
              <w:overflowPunct/>
              <w:autoSpaceDE/>
              <w:autoSpaceDN/>
              <w:adjustRightInd/>
              <w:ind w:leftChars="-18" w:left="99" w:hangingChars="59" w:hanging="142"/>
              <w:jc w:val="left"/>
              <w:textAlignment w:val="auto"/>
              <w:rPr>
                <w:sz w:val="28"/>
              </w:rPr>
            </w:pPr>
            <w:r w:rsidRPr="004E4188">
              <w:t>:</w:t>
            </w:r>
            <w:r w:rsidRPr="004E4188">
              <w:rPr>
                <w:iCs/>
              </w:rPr>
              <w:t xml:space="preserve"> [</w:t>
            </w:r>
            <w:r w:rsidRPr="004E4188">
              <w:rPr>
                <w:i/>
                <w:iCs/>
              </w:rPr>
              <w:t>indiquer le numéro de l’Avis d’appel d’offres</w:t>
            </w:r>
            <w:r w:rsidRPr="004E4188">
              <w:rPr>
                <w:iCs/>
              </w:rPr>
              <w:t>]</w:t>
            </w:r>
          </w:p>
        </w:tc>
      </w:tr>
      <w:tr w:rsidR="007049A5" w:rsidRPr="004E4188" w14:paraId="614EC633" w14:textId="77777777" w:rsidTr="006C6267">
        <w:trPr>
          <w:trHeight w:val="303"/>
        </w:trPr>
        <w:tc>
          <w:tcPr>
            <w:tcW w:w="1272" w:type="dxa"/>
          </w:tcPr>
          <w:p w14:paraId="76359837" w14:textId="77777777" w:rsidR="007049A5" w:rsidRPr="004E4188" w:rsidRDefault="007049A5" w:rsidP="006C6267">
            <w:pPr>
              <w:suppressAutoHyphens w:val="0"/>
              <w:overflowPunct/>
              <w:autoSpaceDE/>
              <w:autoSpaceDN/>
              <w:adjustRightInd/>
              <w:jc w:val="left"/>
              <w:textAlignment w:val="auto"/>
              <w:rPr>
                <w:sz w:val="28"/>
              </w:rPr>
            </w:pPr>
            <w:r w:rsidRPr="004E4188">
              <w:t>Projet </w:t>
            </w:r>
          </w:p>
        </w:tc>
        <w:tc>
          <w:tcPr>
            <w:tcW w:w="3384" w:type="dxa"/>
          </w:tcPr>
          <w:p w14:paraId="011D6F98" w14:textId="77777777" w:rsidR="007049A5" w:rsidRPr="004E4188" w:rsidRDefault="007049A5" w:rsidP="006C6267">
            <w:pPr>
              <w:suppressAutoHyphens w:val="0"/>
              <w:overflowPunct/>
              <w:autoSpaceDE/>
              <w:autoSpaceDN/>
              <w:adjustRightInd/>
              <w:ind w:leftChars="-17" w:left="-41"/>
              <w:jc w:val="left"/>
              <w:textAlignment w:val="auto"/>
              <w:rPr>
                <w:sz w:val="28"/>
              </w:rPr>
            </w:pPr>
            <w:r w:rsidRPr="004E4188">
              <w:t xml:space="preserve">: </w:t>
            </w:r>
            <w:r w:rsidRPr="004E4188">
              <w:rPr>
                <w:iCs/>
              </w:rPr>
              <w:t>[</w:t>
            </w:r>
            <w:r w:rsidRPr="004E4188">
              <w:rPr>
                <w:i/>
                <w:iCs/>
              </w:rPr>
              <w:t>indiquer le nom du projet</w:t>
            </w:r>
            <w:r w:rsidRPr="004E4188">
              <w:rPr>
                <w:iCs/>
              </w:rPr>
              <w:t>]</w:t>
            </w:r>
          </w:p>
        </w:tc>
      </w:tr>
      <w:tr w:rsidR="007049A5" w:rsidRPr="004E4188" w14:paraId="6708C803" w14:textId="77777777" w:rsidTr="006C6267">
        <w:trPr>
          <w:trHeight w:val="316"/>
        </w:trPr>
        <w:tc>
          <w:tcPr>
            <w:tcW w:w="1272" w:type="dxa"/>
          </w:tcPr>
          <w:p w14:paraId="26168446" w14:textId="77777777" w:rsidR="007049A5" w:rsidRPr="004E4188" w:rsidRDefault="007049A5" w:rsidP="006C6267">
            <w:pPr>
              <w:suppressAutoHyphens w:val="0"/>
              <w:overflowPunct/>
              <w:autoSpaceDE/>
              <w:autoSpaceDN/>
              <w:adjustRightInd/>
              <w:jc w:val="left"/>
              <w:textAlignment w:val="auto"/>
              <w:rPr>
                <w:sz w:val="28"/>
              </w:rPr>
            </w:pPr>
            <w:r w:rsidRPr="004E4188">
              <w:t>Marché </w:t>
            </w:r>
          </w:p>
        </w:tc>
        <w:tc>
          <w:tcPr>
            <w:tcW w:w="3384" w:type="dxa"/>
          </w:tcPr>
          <w:p w14:paraId="48DD2607" w14:textId="77777777" w:rsidR="007049A5" w:rsidRPr="004E4188" w:rsidRDefault="007049A5" w:rsidP="006C6267">
            <w:pPr>
              <w:suppressAutoHyphens w:val="0"/>
              <w:overflowPunct/>
              <w:autoSpaceDE/>
              <w:autoSpaceDN/>
              <w:adjustRightInd/>
              <w:ind w:leftChars="-17" w:left="-41"/>
              <w:jc w:val="left"/>
              <w:textAlignment w:val="auto"/>
              <w:rPr>
                <w:iCs/>
              </w:rPr>
            </w:pPr>
            <w:r w:rsidRPr="004E4188">
              <w:t xml:space="preserve">: </w:t>
            </w:r>
            <w:r w:rsidRPr="004E4188">
              <w:rPr>
                <w:iCs/>
              </w:rPr>
              <w:t>[</w:t>
            </w:r>
            <w:r w:rsidRPr="004E4188">
              <w:rPr>
                <w:i/>
                <w:iCs/>
              </w:rPr>
              <w:t>indiquer le nom du Marché</w:t>
            </w:r>
            <w:r w:rsidRPr="004E4188">
              <w:rPr>
                <w:iCs/>
              </w:rPr>
              <w:t>]</w:t>
            </w:r>
          </w:p>
        </w:tc>
      </w:tr>
    </w:tbl>
    <w:p w14:paraId="56EE0364" w14:textId="77777777" w:rsidR="007049A5" w:rsidRPr="004E4188" w:rsidRDefault="007049A5" w:rsidP="006C6267">
      <w:pPr>
        <w:tabs>
          <w:tab w:val="right" w:pos="9000"/>
        </w:tabs>
        <w:ind w:left="4678"/>
        <w:rPr>
          <w:noProof/>
        </w:rPr>
      </w:pPr>
    </w:p>
    <w:p w14:paraId="0404E72D" w14:textId="77777777" w:rsidR="007049A5" w:rsidRPr="004E4188" w:rsidRDefault="007049A5" w:rsidP="006C6267"/>
    <w:p w14:paraId="4B2566A3" w14:textId="40869592" w:rsidR="007049A5" w:rsidRPr="004E4188" w:rsidRDefault="0072430E" w:rsidP="006C6267">
      <w:pPr>
        <w:jc w:val="left"/>
        <w:rPr>
          <w:lang w:eastAsia="ja-JP"/>
        </w:rPr>
      </w:pPr>
      <w:r w:rsidRPr="004E4188">
        <w:t xml:space="preserve">À </w:t>
      </w:r>
      <w:r w:rsidR="007049A5" w:rsidRPr="004E4188">
        <w:t xml:space="preserve">l’attention de : </w:t>
      </w:r>
      <w:r w:rsidR="007049A5" w:rsidRPr="004E4188">
        <w:rPr>
          <w:iCs/>
        </w:rPr>
        <w:t>[</w:t>
      </w:r>
      <w:r w:rsidR="007049A5" w:rsidRPr="004E4188">
        <w:rPr>
          <w:i/>
          <w:iCs/>
        </w:rPr>
        <w:t>indiquer le nom complet du Maître d’ouvrage</w:t>
      </w:r>
      <w:r w:rsidR="007049A5" w:rsidRPr="004E4188">
        <w:rPr>
          <w:iCs/>
        </w:rPr>
        <w:t>]</w:t>
      </w:r>
    </w:p>
    <w:p w14:paraId="74DF6B61" w14:textId="77777777" w:rsidR="007049A5" w:rsidRPr="004E4188" w:rsidRDefault="007049A5" w:rsidP="006C6267"/>
    <w:p w14:paraId="3A276538" w14:textId="77777777" w:rsidR="007049A5" w:rsidRPr="004E4188" w:rsidRDefault="007049A5" w:rsidP="006C6267">
      <w:r w:rsidRPr="004E4188">
        <w:t xml:space="preserve">Nous, soussignés, attestons que : </w:t>
      </w:r>
    </w:p>
    <w:p w14:paraId="1462EE49" w14:textId="77777777" w:rsidR="007049A5" w:rsidRPr="004E4188" w:rsidRDefault="007049A5" w:rsidP="006C6267"/>
    <w:p w14:paraId="325C314D" w14:textId="77777777" w:rsidR="007049A5" w:rsidRPr="004E4188" w:rsidRDefault="007049A5" w:rsidP="003D46CF">
      <w:pPr>
        <w:numPr>
          <w:ilvl w:val="0"/>
          <w:numId w:val="44"/>
        </w:numPr>
        <w:tabs>
          <w:tab w:val="left" w:pos="360"/>
          <w:tab w:val="right" w:pos="9000"/>
        </w:tabs>
      </w:pPr>
      <w:r w:rsidRPr="004E4188">
        <w:t>nous avons examiné le Dossier d’appel d’offres, y compris le(s) avenant(s) n</w:t>
      </w:r>
      <w:r w:rsidRPr="004E4188">
        <w:rPr>
          <w:vertAlign w:val="superscript"/>
        </w:rPr>
        <w:t>o</w:t>
      </w:r>
      <w:r w:rsidRPr="004E4188">
        <w:rPr>
          <w:i/>
          <w:iCs/>
        </w:rPr>
        <w:t xml:space="preserve"> </w:t>
      </w:r>
      <w:r w:rsidRPr="004E4188">
        <w:rPr>
          <w:iCs/>
        </w:rPr>
        <w:t>[</w:t>
      </w:r>
      <w:r w:rsidRPr="004E4188">
        <w:rPr>
          <w:i/>
          <w:iCs/>
        </w:rPr>
        <w:t>insérer le numéro et la date de publication de chaque avenant</w:t>
      </w:r>
      <w:r w:rsidRPr="004E4188">
        <w:rPr>
          <w:iCs/>
        </w:rPr>
        <w:t>]</w:t>
      </w:r>
      <w:r w:rsidRPr="004E4188">
        <w:t>, publié(s) conformément aux dispositions des Instructions aux soumissionnaires (IS) 8 et n’avons aucune réserve à leur égard ;</w:t>
      </w:r>
    </w:p>
    <w:p w14:paraId="15DC1517" w14:textId="77777777" w:rsidR="007049A5" w:rsidRPr="004E4188" w:rsidRDefault="007049A5" w:rsidP="006C6267"/>
    <w:p w14:paraId="3721DD16" w14:textId="77777777" w:rsidR="007049A5" w:rsidRPr="004E4188" w:rsidRDefault="007049A5" w:rsidP="003D46CF">
      <w:pPr>
        <w:numPr>
          <w:ilvl w:val="0"/>
          <w:numId w:val="44"/>
        </w:numPr>
        <w:tabs>
          <w:tab w:val="left" w:pos="360"/>
          <w:tab w:val="right" w:pos="9000"/>
        </w:tabs>
      </w:pPr>
      <w:r w:rsidRPr="004E4188">
        <w:t xml:space="preserve">nous nous engageons à réaliser, conformément au Dossier d’appel d’offres, la conception, la fourniture et le montage des Installations suivantes : </w:t>
      </w:r>
      <w:r w:rsidRPr="004E4188">
        <w:rPr>
          <w:iCs/>
        </w:rPr>
        <w:t>[</w:t>
      </w:r>
      <w:r w:rsidRPr="004E4188">
        <w:rPr>
          <w:i/>
          <w:iCs/>
        </w:rPr>
        <w:t xml:space="preserve">donner une description succincte des </w:t>
      </w:r>
      <w:r w:rsidRPr="004E4188">
        <w:rPr>
          <w:i/>
          <w:szCs w:val="24"/>
        </w:rPr>
        <w:t>É</w:t>
      </w:r>
      <w:r w:rsidRPr="004E4188">
        <w:rPr>
          <w:i/>
        </w:rPr>
        <w:t xml:space="preserve">quipements et Services de montage </w:t>
      </w:r>
      <w:r w:rsidRPr="004E4188">
        <w:rPr>
          <w:rStyle w:val="27"/>
          <w:i/>
        </w:rPr>
        <w:t>constitutifs des Installations</w:t>
      </w:r>
      <w:r w:rsidRPr="004E4188">
        <w:rPr>
          <w:iCs/>
        </w:rPr>
        <w:t>]</w:t>
      </w:r>
      <w:r w:rsidRPr="004E4188">
        <w:t xml:space="preserve"> ; </w:t>
      </w:r>
    </w:p>
    <w:p w14:paraId="292B64A5" w14:textId="77777777" w:rsidR="007049A5" w:rsidRPr="004E4188" w:rsidRDefault="007049A5" w:rsidP="006C6267">
      <w:pPr>
        <w:numPr>
          <w:ilvl w:val="12"/>
          <w:numId w:val="0"/>
        </w:numPr>
        <w:tabs>
          <w:tab w:val="right" w:pos="9000"/>
        </w:tabs>
      </w:pPr>
    </w:p>
    <w:p w14:paraId="00C0C4A5" w14:textId="77777777" w:rsidR="007049A5" w:rsidRPr="004E4188" w:rsidRDefault="007049A5" w:rsidP="003D46CF">
      <w:pPr>
        <w:numPr>
          <w:ilvl w:val="0"/>
          <w:numId w:val="44"/>
        </w:numPr>
        <w:tabs>
          <w:tab w:val="left" w:pos="360"/>
          <w:tab w:val="right" w:pos="9000"/>
        </w:tabs>
      </w:pPr>
      <w:r w:rsidRPr="004E4188">
        <w:t>le montant total de notre offre, hors rabais offert au point d) ci-après est de :</w:t>
      </w:r>
    </w:p>
    <w:p w14:paraId="7E4491FA" w14:textId="77777777" w:rsidR="007049A5" w:rsidRPr="004E4188" w:rsidRDefault="007049A5" w:rsidP="006C6267">
      <w:pPr>
        <w:tabs>
          <w:tab w:val="left" w:pos="360"/>
          <w:tab w:val="right" w:pos="9000"/>
        </w:tabs>
        <w:ind w:left="357"/>
      </w:pPr>
      <w:r w:rsidRPr="004E4188">
        <w:t>[</w:t>
      </w:r>
      <w:r w:rsidRPr="004E4188">
        <w:rPr>
          <w:i/>
          <w:u w:val="single"/>
        </w:rPr>
        <w:t>Dans le cas d’un lot unique, indiquer le montant total de l’offre en lettres et en chiffres, en précisant les montants dans les monnaies respectives.</w:t>
      </w:r>
      <w:r w:rsidRPr="004E4188">
        <w:t>]</w:t>
      </w:r>
    </w:p>
    <w:p w14:paraId="27A13230" w14:textId="77777777" w:rsidR="007049A5" w:rsidRPr="004E4188" w:rsidRDefault="007049A5" w:rsidP="006C6267">
      <w:pPr>
        <w:tabs>
          <w:tab w:val="left" w:pos="360"/>
          <w:tab w:val="right" w:pos="9000"/>
        </w:tabs>
        <w:ind w:left="357"/>
      </w:pPr>
    </w:p>
    <w:p w14:paraId="6E0F1EF2" w14:textId="77777777" w:rsidR="007049A5" w:rsidRPr="004E4188" w:rsidRDefault="007049A5" w:rsidP="006C6267">
      <w:pPr>
        <w:tabs>
          <w:tab w:val="left" w:pos="360"/>
          <w:tab w:val="right" w:pos="9000"/>
        </w:tabs>
        <w:ind w:left="357"/>
        <w:rPr>
          <w:i/>
          <w:u w:val="single"/>
        </w:rPr>
      </w:pPr>
      <w:r w:rsidRPr="004E4188">
        <w:t>[</w:t>
      </w:r>
      <w:r w:rsidRPr="004E4188">
        <w:rPr>
          <w:i/>
          <w:u w:val="single"/>
        </w:rPr>
        <w:t>En cas de lots multiples, indiquer :</w:t>
      </w:r>
    </w:p>
    <w:p w14:paraId="55231D01" w14:textId="77777777" w:rsidR="007049A5" w:rsidRPr="004E4188" w:rsidRDefault="007049A5" w:rsidP="003D46CF">
      <w:pPr>
        <w:widowControl w:val="0"/>
        <w:numPr>
          <w:ilvl w:val="0"/>
          <w:numId w:val="67"/>
        </w:numPr>
        <w:tabs>
          <w:tab w:val="left" w:pos="360"/>
          <w:tab w:val="right" w:pos="9000"/>
        </w:tabs>
        <w:rPr>
          <w:szCs w:val="24"/>
          <w:u w:val="single"/>
          <w:lang w:eastAsia="ja-JP"/>
        </w:rPr>
      </w:pPr>
      <w:r w:rsidRPr="004E4188">
        <w:rPr>
          <w:i/>
          <w:szCs w:val="24"/>
          <w:u w:val="single"/>
          <w:lang w:eastAsia="ja-JP"/>
        </w:rPr>
        <w:t>le montant total de chaque lot ; et</w:t>
      </w:r>
    </w:p>
    <w:p w14:paraId="3F1C8934" w14:textId="77777777" w:rsidR="007049A5" w:rsidRPr="004E4188" w:rsidRDefault="007049A5" w:rsidP="003D46CF">
      <w:pPr>
        <w:widowControl w:val="0"/>
        <w:numPr>
          <w:ilvl w:val="0"/>
          <w:numId w:val="67"/>
        </w:numPr>
        <w:tabs>
          <w:tab w:val="left" w:pos="360"/>
          <w:tab w:val="right" w:pos="9000"/>
        </w:tabs>
        <w:rPr>
          <w:szCs w:val="24"/>
          <w:u w:val="single"/>
          <w:lang w:eastAsia="ja-JP"/>
        </w:rPr>
      </w:pPr>
      <w:r w:rsidRPr="004E4188">
        <w:rPr>
          <w:i/>
          <w:szCs w:val="24"/>
          <w:u w:val="single"/>
          <w:lang w:eastAsia="ja-JP"/>
        </w:rPr>
        <w:t>le montant total de l’ensemble des lots (la somme de tous les lots);</w:t>
      </w:r>
    </w:p>
    <w:p w14:paraId="44C86190" w14:textId="77777777" w:rsidR="007049A5" w:rsidRPr="004E4188" w:rsidRDefault="007049A5" w:rsidP="006C6267">
      <w:pPr>
        <w:tabs>
          <w:tab w:val="left" w:pos="360"/>
          <w:tab w:val="right" w:pos="9000"/>
        </w:tabs>
        <w:ind w:left="357"/>
        <w:rPr>
          <w:szCs w:val="24"/>
        </w:rPr>
      </w:pPr>
      <w:r w:rsidRPr="004E4188">
        <w:rPr>
          <w:i/>
          <w:szCs w:val="24"/>
          <w:u w:val="single"/>
        </w:rPr>
        <w:t>en lettres et en chiffres, en précisant les divers montants et monnaies respectives.</w:t>
      </w:r>
      <w:r w:rsidRPr="004E4188">
        <w:rPr>
          <w:szCs w:val="24"/>
        </w:rPr>
        <w:t>] ;</w:t>
      </w:r>
    </w:p>
    <w:p w14:paraId="5653AAB3" w14:textId="77777777" w:rsidR="007049A5" w:rsidRPr="004E4188" w:rsidRDefault="007049A5" w:rsidP="006C6267">
      <w:pPr>
        <w:numPr>
          <w:ilvl w:val="12"/>
          <w:numId w:val="0"/>
        </w:numPr>
        <w:tabs>
          <w:tab w:val="right" w:pos="9000"/>
        </w:tabs>
      </w:pPr>
    </w:p>
    <w:p w14:paraId="62C8899D" w14:textId="77777777" w:rsidR="007049A5" w:rsidRPr="004E4188" w:rsidRDefault="007049A5" w:rsidP="003D46CF">
      <w:pPr>
        <w:numPr>
          <w:ilvl w:val="0"/>
          <w:numId w:val="44"/>
        </w:numPr>
        <w:tabs>
          <w:tab w:val="left" w:pos="360"/>
          <w:tab w:val="right" w:pos="9000"/>
        </w:tabs>
        <w:ind w:left="357" w:hanging="357"/>
      </w:pPr>
      <w:r w:rsidRPr="004E4188">
        <w:t>les rabais offerts et leurs modalités d’application sont les suivants :</w:t>
      </w:r>
    </w:p>
    <w:p w14:paraId="42543E27" w14:textId="77777777" w:rsidR="007049A5" w:rsidRPr="004E4188" w:rsidRDefault="007049A5" w:rsidP="006C6267">
      <w:pPr>
        <w:tabs>
          <w:tab w:val="left" w:pos="360"/>
          <w:tab w:val="right" w:pos="9000"/>
        </w:tabs>
        <w:ind w:left="357"/>
      </w:pPr>
    </w:p>
    <w:p w14:paraId="34E12A25" w14:textId="77777777" w:rsidR="007049A5" w:rsidRPr="004E4188" w:rsidRDefault="007049A5" w:rsidP="006C6267">
      <w:pPr>
        <w:tabs>
          <w:tab w:val="left" w:pos="360"/>
          <w:tab w:val="right" w:pos="9000"/>
        </w:tabs>
        <w:ind w:left="357"/>
      </w:pPr>
      <w:r w:rsidRPr="004E4188">
        <w:t>Les rabais offerts sont : [</w:t>
      </w:r>
      <w:r w:rsidRPr="004E4188">
        <w:rPr>
          <w:i/>
        </w:rPr>
        <w:t>détailler tous les rabais offerts</w:t>
      </w:r>
      <w:r w:rsidRPr="004E4188">
        <w:t>].</w:t>
      </w:r>
    </w:p>
    <w:p w14:paraId="3D1AAE53" w14:textId="77777777" w:rsidR="007049A5" w:rsidRPr="004E4188" w:rsidRDefault="007049A5" w:rsidP="006C6267">
      <w:pPr>
        <w:tabs>
          <w:tab w:val="left" w:pos="360"/>
          <w:tab w:val="right" w:pos="9000"/>
        </w:tabs>
        <w:ind w:left="357"/>
      </w:pPr>
    </w:p>
    <w:p w14:paraId="439E7AAC" w14:textId="77777777" w:rsidR="007049A5" w:rsidRPr="004E4188" w:rsidRDefault="007049A5" w:rsidP="006C6267">
      <w:pPr>
        <w:tabs>
          <w:tab w:val="left" w:pos="360"/>
          <w:tab w:val="right" w:pos="9000"/>
        </w:tabs>
        <w:ind w:left="357"/>
      </w:pPr>
      <w:r w:rsidRPr="004E4188">
        <w:t>La méthode précise de calcul pour déterminer le montant de l’offre après application des rabais est : [</w:t>
      </w:r>
      <w:r w:rsidRPr="004E4188">
        <w:rPr>
          <w:i/>
        </w:rPr>
        <w:t>spécifier précisément la méthodologie qui doit être utilisée pour appliquer les rabais</w:t>
      </w:r>
      <w:r w:rsidRPr="004E4188">
        <w:t>]</w:t>
      </w:r>
      <w:r w:rsidRPr="004E4188">
        <w:rPr>
          <w:szCs w:val="24"/>
        </w:rPr>
        <w:t xml:space="preserve"> </w:t>
      </w:r>
      <w:r w:rsidRPr="004E4188">
        <w:t>;</w:t>
      </w:r>
    </w:p>
    <w:p w14:paraId="31D4EE21" w14:textId="77777777" w:rsidR="007049A5" w:rsidRPr="004E4188" w:rsidRDefault="007049A5" w:rsidP="006C6267">
      <w:pPr>
        <w:tabs>
          <w:tab w:val="left" w:pos="360"/>
          <w:tab w:val="right" w:pos="9000"/>
        </w:tabs>
        <w:ind w:left="357"/>
      </w:pPr>
    </w:p>
    <w:p w14:paraId="50C03311" w14:textId="77777777" w:rsidR="007049A5" w:rsidRPr="004E4188" w:rsidRDefault="007049A5" w:rsidP="003D46CF">
      <w:pPr>
        <w:numPr>
          <w:ilvl w:val="0"/>
          <w:numId w:val="68"/>
        </w:numPr>
        <w:ind w:left="357" w:hanging="357"/>
        <w:rPr>
          <w:kern w:val="28"/>
        </w:rPr>
      </w:pPr>
      <w:r w:rsidRPr="004E4188">
        <w:rPr>
          <w:kern w:val="28"/>
        </w:rPr>
        <w:t>notre offre demeurera valide pour une période de [</w:t>
      </w:r>
      <w:r w:rsidRPr="004E4188">
        <w:rPr>
          <w:i/>
          <w:kern w:val="28"/>
        </w:rPr>
        <w:t>indiquer le nombre de jours calendaires</w:t>
      </w:r>
      <w:r w:rsidRPr="004E4188">
        <w:rPr>
          <w:kern w:val="28"/>
        </w:rPr>
        <w:t>] jours à compter de la date limite fixée pour la remise des offres dans le Dossier d’appel d’offres ; cette offre nous engage et pourra être acceptée à tout moment avant l’expiration de cette période ;</w:t>
      </w:r>
    </w:p>
    <w:p w14:paraId="7873ED29" w14:textId="77777777" w:rsidR="007049A5" w:rsidRPr="004E4188" w:rsidRDefault="007049A5" w:rsidP="006C6267">
      <w:pPr>
        <w:ind w:left="420"/>
        <w:rPr>
          <w:kern w:val="28"/>
        </w:rPr>
      </w:pPr>
    </w:p>
    <w:p w14:paraId="125E43DF" w14:textId="77777777" w:rsidR="007049A5" w:rsidRPr="004E4188" w:rsidRDefault="007049A5" w:rsidP="003D46CF">
      <w:pPr>
        <w:numPr>
          <w:ilvl w:val="0"/>
          <w:numId w:val="68"/>
        </w:numPr>
        <w:ind w:left="357" w:hanging="357"/>
        <w:rPr>
          <w:kern w:val="28"/>
        </w:rPr>
      </w:pPr>
      <w:r w:rsidRPr="004E4188">
        <w:rPr>
          <w:kern w:val="28"/>
        </w:rPr>
        <w:t>si notre offre est acceptée, nous nous engageons à obtenir une garantie de bonne exécution conformément au Dossier d’appel d’offres ;</w:t>
      </w:r>
    </w:p>
    <w:p w14:paraId="455E6CCC" w14:textId="77777777" w:rsidR="007049A5" w:rsidRPr="004E4188" w:rsidRDefault="007049A5" w:rsidP="006C6267">
      <w:pPr>
        <w:widowControl w:val="0"/>
        <w:rPr>
          <w:rFonts w:ascii="Century" w:hAnsi="Century"/>
          <w:sz w:val="21"/>
          <w:lang w:eastAsia="ja-JP"/>
        </w:rPr>
      </w:pPr>
    </w:p>
    <w:p w14:paraId="52809D15" w14:textId="1C5B52FA" w:rsidR="007049A5" w:rsidRPr="004E4188" w:rsidRDefault="007049A5" w:rsidP="003D46CF">
      <w:pPr>
        <w:numPr>
          <w:ilvl w:val="0"/>
          <w:numId w:val="68"/>
        </w:numPr>
        <w:ind w:left="357" w:hanging="357"/>
        <w:rPr>
          <w:kern w:val="28"/>
        </w:rPr>
      </w:pPr>
      <w:r w:rsidRPr="004E4188">
        <w:t>nous comprenons que la présente offre, et votre acceptation écrite de celle-ci figurant dans la Lettre d’acceptation de l’offre, constitueront un engagement réciproque entre nous,</w:t>
      </w:r>
      <w:r w:rsidR="00D36F84" w:rsidRPr="004E4188">
        <w:t xml:space="preserve"> </w:t>
      </w:r>
      <w:r w:rsidRPr="004E4188">
        <w:t xml:space="preserve">jusqu’à ce que le Marché soit formellement rédigé et signé </w:t>
      </w:r>
      <w:r w:rsidRPr="004E4188">
        <w:rPr>
          <w:kern w:val="28"/>
        </w:rPr>
        <w:t>; et</w:t>
      </w:r>
    </w:p>
    <w:p w14:paraId="2B1719B4" w14:textId="77777777" w:rsidR="007049A5" w:rsidRPr="004E4188" w:rsidRDefault="007049A5" w:rsidP="006C6267">
      <w:pPr>
        <w:widowControl w:val="0"/>
        <w:rPr>
          <w:rFonts w:ascii="Century" w:hAnsi="Century"/>
          <w:sz w:val="21"/>
          <w:lang w:eastAsia="ja-JP"/>
        </w:rPr>
      </w:pPr>
    </w:p>
    <w:p w14:paraId="3041D786" w14:textId="77777777" w:rsidR="007049A5" w:rsidRPr="004E4188" w:rsidRDefault="007049A5" w:rsidP="003D46CF">
      <w:pPr>
        <w:numPr>
          <w:ilvl w:val="0"/>
          <w:numId w:val="68"/>
        </w:numPr>
        <w:ind w:left="357" w:hanging="357"/>
        <w:rPr>
          <w:kern w:val="28"/>
        </w:rPr>
      </w:pPr>
      <w:r w:rsidRPr="004E4188">
        <w:rPr>
          <w:kern w:val="28"/>
        </w:rPr>
        <w:t>nous comprenons que vous n’êtes tenu d’accepter ni l’offre évaluée la moins-disante, ni toute autre offre que vous pourriez recevoir.</w:t>
      </w:r>
    </w:p>
    <w:p w14:paraId="68F5EDF1" w14:textId="77777777" w:rsidR="007049A5" w:rsidRPr="004E4188" w:rsidRDefault="007049A5" w:rsidP="006C6267">
      <w:pPr>
        <w:ind w:left="864" w:hanging="504"/>
        <w:rPr>
          <w:kern w:val="28"/>
        </w:rPr>
      </w:pPr>
    </w:p>
    <w:p w14:paraId="3DB63495" w14:textId="77777777" w:rsidR="007049A5" w:rsidRPr="004E4188" w:rsidRDefault="007049A5" w:rsidP="006C6267">
      <w:pPr>
        <w:ind w:left="864" w:hanging="504"/>
        <w:rPr>
          <w:kern w:val="28"/>
        </w:rPr>
      </w:pPr>
    </w:p>
    <w:p w14:paraId="120BFF8A" w14:textId="77777777" w:rsidR="007049A5" w:rsidRPr="004E4188" w:rsidRDefault="007049A5" w:rsidP="006C6267">
      <w:pPr>
        <w:spacing w:after="120"/>
        <w:jc w:val="left"/>
      </w:pPr>
      <w:r w:rsidRPr="004E4188">
        <w:t>Nom du Soumissionnaire</w:t>
      </w:r>
      <w:r w:rsidRPr="004E4188">
        <w:rPr>
          <w:bCs/>
          <w:iCs/>
          <w:vertAlign w:val="superscript"/>
        </w:rPr>
        <w:t>1</w:t>
      </w:r>
      <w:r w:rsidRPr="004E4188">
        <w:t xml:space="preserve"> [</w:t>
      </w:r>
      <w:r w:rsidRPr="004E4188">
        <w:rPr>
          <w:i/>
        </w:rPr>
        <w:t xml:space="preserve">indiquer le nom </w:t>
      </w:r>
      <w:r w:rsidRPr="004E4188">
        <w:rPr>
          <w:bCs/>
          <w:i/>
          <w:iCs/>
        </w:rPr>
        <w:t xml:space="preserve">complet </w:t>
      </w:r>
      <w:r w:rsidRPr="004E4188">
        <w:rPr>
          <w:i/>
        </w:rPr>
        <w:t>du Soumissionnaire</w:t>
      </w:r>
      <w:r w:rsidRPr="004E4188">
        <w:t>]</w:t>
      </w:r>
    </w:p>
    <w:p w14:paraId="71570894" w14:textId="77777777" w:rsidR="007049A5" w:rsidRPr="004E4188" w:rsidRDefault="007049A5" w:rsidP="006C6267">
      <w:pPr>
        <w:spacing w:after="120"/>
        <w:jc w:val="left"/>
      </w:pPr>
      <w:r w:rsidRPr="004E4188">
        <w:t>Nom du signataire habilité à signer l’offre au nom du Soumissionnaire</w:t>
      </w:r>
      <w:r w:rsidRPr="004E4188">
        <w:rPr>
          <w:bCs/>
          <w:iCs/>
        </w:rPr>
        <w:t xml:space="preserve"> [</w:t>
      </w:r>
      <w:r w:rsidRPr="004E4188">
        <w:rPr>
          <w:bCs/>
          <w:i/>
          <w:iCs/>
        </w:rPr>
        <w:t>indiquer le nom complet du signataire habilité à signer l’offre</w:t>
      </w:r>
      <w:r w:rsidRPr="004E4188">
        <w:rPr>
          <w:bCs/>
          <w:iCs/>
        </w:rPr>
        <w:t>]</w:t>
      </w:r>
    </w:p>
    <w:p w14:paraId="32F0FF7E" w14:textId="77777777" w:rsidR="007049A5" w:rsidRPr="004E4188" w:rsidRDefault="007049A5" w:rsidP="006C6267">
      <w:pPr>
        <w:spacing w:after="120"/>
        <w:jc w:val="left"/>
      </w:pPr>
      <w:r w:rsidRPr="004E4188">
        <w:t>Titre du signataire habilité [</w:t>
      </w:r>
      <w:r w:rsidRPr="004E4188">
        <w:rPr>
          <w:i/>
        </w:rPr>
        <w:t>indiquer le titre complet du signataire</w:t>
      </w:r>
      <w:r w:rsidRPr="004E4188">
        <w:t>]</w:t>
      </w:r>
    </w:p>
    <w:p w14:paraId="628643A3" w14:textId="77777777" w:rsidR="007049A5" w:rsidRPr="004E4188" w:rsidRDefault="007049A5" w:rsidP="006C6267">
      <w:pPr>
        <w:spacing w:after="120"/>
        <w:jc w:val="left"/>
      </w:pPr>
      <w:r w:rsidRPr="004E4188">
        <w:t>Signature de la personne désignée ci-dessus [</w:t>
      </w:r>
      <w:r w:rsidRPr="004E4188">
        <w:rPr>
          <w:i/>
        </w:rPr>
        <w:t>insérer la signature</w:t>
      </w:r>
      <w:r w:rsidRPr="004E4188">
        <w:t>]</w:t>
      </w:r>
    </w:p>
    <w:p w14:paraId="53DDAD43" w14:textId="77777777" w:rsidR="007049A5" w:rsidRPr="004E4188" w:rsidRDefault="007049A5" w:rsidP="006C6267">
      <w:pPr>
        <w:spacing w:after="120"/>
        <w:jc w:val="left"/>
        <w:rPr>
          <w:b/>
        </w:rPr>
      </w:pPr>
      <w:r w:rsidRPr="004E4188">
        <w:t xml:space="preserve">Signé le </w:t>
      </w:r>
      <w:r w:rsidRPr="004E4188">
        <w:rPr>
          <w:szCs w:val="24"/>
        </w:rPr>
        <w:t>[</w:t>
      </w:r>
      <w:r w:rsidRPr="004E4188">
        <w:rPr>
          <w:i/>
          <w:szCs w:val="24"/>
        </w:rPr>
        <w:t>indiquer la date</w:t>
      </w:r>
      <w:r w:rsidRPr="004E4188">
        <w:t>]</w:t>
      </w:r>
    </w:p>
    <w:p w14:paraId="7A4CD680" w14:textId="77777777" w:rsidR="007049A5" w:rsidRPr="004E4188" w:rsidRDefault="007049A5" w:rsidP="006C6267">
      <w:pPr>
        <w:jc w:val="left"/>
        <w:rPr>
          <w:b/>
        </w:rPr>
      </w:pPr>
    </w:p>
    <w:p w14:paraId="70CDF3AB" w14:textId="77777777" w:rsidR="007049A5" w:rsidRPr="004E4188" w:rsidRDefault="007049A5" w:rsidP="006C6267">
      <w:pPr>
        <w:jc w:val="left"/>
      </w:pPr>
    </w:p>
    <w:p w14:paraId="2809DB09" w14:textId="77777777" w:rsidR="007049A5" w:rsidRPr="004E4188" w:rsidRDefault="007049A5" w:rsidP="006C6267">
      <w:pPr>
        <w:spacing w:after="120"/>
        <w:rPr>
          <w:szCs w:val="24"/>
          <w:u w:val="single"/>
        </w:rPr>
      </w:pPr>
      <w:r w:rsidRPr="004E4188">
        <w:rPr>
          <w:szCs w:val="24"/>
          <w:u w:val="single"/>
        </w:rPr>
        <w:t>Notes à l’intention des Soumissionnaires</w:t>
      </w:r>
    </w:p>
    <w:p w14:paraId="1D24C21C" w14:textId="77777777" w:rsidR="007049A5" w:rsidRPr="004E4188" w:rsidRDefault="007049A5" w:rsidP="003D46CF">
      <w:pPr>
        <w:widowControl w:val="0"/>
        <w:numPr>
          <w:ilvl w:val="0"/>
          <w:numId w:val="69"/>
        </w:numPr>
        <w:ind w:left="284" w:hanging="284"/>
        <w:jc w:val="left"/>
        <w:rPr>
          <w:szCs w:val="24"/>
          <w:u w:val="single"/>
          <w:lang w:eastAsia="ja-JP"/>
        </w:rPr>
      </w:pPr>
      <w:r w:rsidRPr="004E4188">
        <w:rPr>
          <w:bCs/>
          <w:iCs/>
          <w:szCs w:val="24"/>
          <w:lang w:eastAsia="ja-JP"/>
        </w:rPr>
        <w:t>D</w:t>
      </w:r>
      <w:r w:rsidRPr="004E4188">
        <w:rPr>
          <w:szCs w:val="24"/>
          <w:lang w:eastAsia="ja-JP"/>
        </w:rPr>
        <w:t>ans le cas d’une offre remise par un Groupement, donner le nom du Groupement.</w:t>
      </w:r>
    </w:p>
    <w:p w14:paraId="26377DD8" w14:textId="77777777" w:rsidR="007049A5" w:rsidRPr="004E4188" w:rsidRDefault="007049A5" w:rsidP="006C6267">
      <w:pPr>
        <w:tabs>
          <w:tab w:val="right" w:pos="4140"/>
          <w:tab w:val="left" w:pos="4500"/>
          <w:tab w:val="right" w:pos="9000"/>
        </w:tabs>
      </w:pPr>
    </w:p>
    <w:p w14:paraId="39E3A0DC" w14:textId="77777777" w:rsidR="007049A5" w:rsidRPr="004E4188" w:rsidRDefault="007049A5" w:rsidP="006C6267">
      <w:r w:rsidRPr="004E4188">
        <w:br w:type="page"/>
      </w:r>
    </w:p>
    <w:p w14:paraId="6C9EE625" w14:textId="77777777" w:rsidR="007049A5" w:rsidRPr="004E4188" w:rsidRDefault="007049A5" w:rsidP="006C6267">
      <w:pPr>
        <w:pStyle w:val="SectionIVoption"/>
        <w:rPr>
          <w:noProof/>
          <w:sz w:val="20"/>
          <w:lang w:val="fr-FR"/>
        </w:rPr>
      </w:pPr>
      <w:bookmarkStart w:id="477" w:name="_Toc112429294"/>
      <w:r w:rsidRPr="004E4188">
        <w:rPr>
          <w:noProof/>
          <w:lang w:val="fr-FR"/>
        </w:rPr>
        <w:t xml:space="preserve">&lt; </w:t>
      </w:r>
      <w:r w:rsidRPr="004E4188">
        <w:rPr>
          <w:lang w:val="fr-FR"/>
        </w:rPr>
        <w:t>Option</w:t>
      </w:r>
      <w:r w:rsidRPr="004E4188">
        <w:rPr>
          <w:noProof/>
          <w:lang w:val="fr-FR"/>
        </w:rPr>
        <w:t xml:space="preserve"> B : appel d’offres à deux étapes-une enveloppe &gt;</w:t>
      </w:r>
      <w:bookmarkEnd w:id="477"/>
    </w:p>
    <w:tbl>
      <w:tblPr>
        <w:tblW w:w="9014" w:type="dxa"/>
        <w:tblLayout w:type="fixed"/>
        <w:tblLook w:val="0000" w:firstRow="0" w:lastRow="0" w:firstColumn="0" w:lastColumn="0" w:noHBand="0" w:noVBand="0"/>
      </w:tblPr>
      <w:tblGrid>
        <w:gridCol w:w="9014"/>
      </w:tblGrid>
      <w:tr w:rsidR="007049A5" w:rsidRPr="004E4188" w14:paraId="61F83900" w14:textId="77777777" w:rsidTr="00DE743B">
        <w:trPr>
          <w:trHeight w:val="900"/>
        </w:trPr>
        <w:tc>
          <w:tcPr>
            <w:tcW w:w="9014" w:type="dxa"/>
            <w:vAlign w:val="center"/>
          </w:tcPr>
          <w:p w14:paraId="26F00B8F" w14:textId="77777777" w:rsidR="007049A5" w:rsidRPr="004E4188" w:rsidRDefault="007049A5" w:rsidP="006C6267">
            <w:pPr>
              <w:spacing w:before="240" w:after="120"/>
              <w:jc w:val="center"/>
              <w:rPr>
                <w:i/>
                <w:noProof/>
              </w:rPr>
            </w:pPr>
            <w:bookmarkStart w:id="478" w:name="_Toc86101614"/>
            <w:r w:rsidRPr="004E4188">
              <w:rPr>
                <w:b/>
                <w:noProof/>
              </w:rPr>
              <w:t>[</w:t>
            </w:r>
            <w:r w:rsidRPr="004E4188">
              <w:rPr>
                <w:b/>
                <w:i/>
                <w:noProof/>
              </w:rPr>
              <w:t>P</w:t>
            </w:r>
            <w:r w:rsidRPr="004E4188">
              <w:rPr>
                <w:rFonts w:hint="eastAsia"/>
                <w:b/>
                <w:i/>
                <w:noProof/>
              </w:rPr>
              <w:t>réparer</w:t>
            </w:r>
            <w:r w:rsidRPr="004E4188">
              <w:rPr>
                <w:b/>
                <w:i/>
                <w:noProof/>
              </w:rPr>
              <w:t xml:space="preserve"> cette Lettre de soumission de l’offre de la première étape avec son entête indiquant clairement le nom et l’adresse commerciale complets du Soumissionnaire.</w:t>
            </w:r>
            <w:r w:rsidRPr="004E4188">
              <w:rPr>
                <w:b/>
                <w:noProof/>
              </w:rPr>
              <w:t>]</w:t>
            </w:r>
            <w:bookmarkEnd w:id="478"/>
          </w:p>
        </w:tc>
      </w:tr>
      <w:tr w:rsidR="007049A5" w:rsidRPr="004E4188" w14:paraId="0E212799" w14:textId="77777777" w:rsidTr="00DE743B">
        <w:trPr>
          <w:trHeight w:val="900"/>
        </w:trPr>
        <w:tc>
          <w:tcPr>
            <w:tcW w:w="9014" w:type="dxa"/>
            <w:vAlign w:val="center"/>
          </w:tcPr>
          <w:p w14:paraId="0AAF9CDB" w14:textId="77777777" w:rsidR="007049A5" w:rsidRPr="004E4188" w:rsidRDefault="007049A5" w:rsidP="006C6267">
            <w:pPr>
              <w:pStyle w:val="SectionIVHeader"/>
              <w:rPr>
                <w:noProof/>
                <w:lang w:val="fr-FR"/>
              </w:rPr>
            </w:pPr>
            <w:bookmarkStart w:id="479" w:name="_Toc86100050"/>
            <w:bookmarkStart w:id="480" w:name="_Toc86101615"/>
            <w:bookmarkStart w:id="481" w:name="_Toc89380375"/>
            <w:bookmarkStart w:id="482" w:name="_Toc89383037"/>
            <w:bookmarkStart w:id="483" w:name="_Toc89423469"/>
            <w:bookmarkStart w:id="484" w:name="_Toc523578532"/>
            <w:bookmarkStart w:id="485" w:name="_Toc527716842"/>
            <w:bookmarkStart w:id="486" w:name="_Toc112429295"/>
            <w:r w:rsidRPr="004E4188">
              <w:rPr>
                <w:lang w:val="fr-FR"/>
              </w:rPr>
              <w:t>Lettre</w:t>
            </w:r>
            <w:r w:rsidRPr="004E4188">
              <w:rPr>
                <w:noProof/>
                <w:lang w:val="fr-FR"/>
              </w:rPr>
              <w:t xml:space="preserve"> de soumission</w:t>
            </w:r>
            <w:bookmarkEnd w:id="479"/>
            <w:bookmarkEnd w:id="480"/>
            <w:bookmarkEnd w:id="481"/>
            <w:bookmarkEnd w:id="482"/>
            <w:bookmarkEnd w:id="483"/>
            <w:r w:rsidRPr="004E4188">
              <w:rPr>
                <w:noProof/>
                <w:lang w:val="fr-FR"/>
              </w:rPr>
              <w:t xml:space="preserve"> de l’offre de la première étape</w:t>
            </w:r>
            <w:bookmarkEnd w:id="484"/>
            <w:bookmarkEnd w:id="485"/>
            <w:bookmarkEnd w:id="486"/>
          </w:p>
        </w:tc>
      </w:tr>
    </w:tbl>
    <w:p w14:paraId="28F8C83D" w14:textId="77777777" w:rsidR="007049A5" w:rsidRPr="004E4188" w:rsidRDefault="007049A5" w:rsidP="006C6267">
      <w:pPr>
        <w:tabs>
          <w:tab w:val="right" w:pos="9000"/>
        </w:tabs>
        <w:rPr>
          <w:noProof/>
        </w:rPr>
      </w:pPr>
    </w:p>
    <w:p w14:paraId="6B2693B7" w14:textId="77777777" w:rsidR="007049A5" w:rsidRPr="004E4188" w:rsidRDefault="007049A5" w:rsidP="006C6267">
      <w:pPr>
        <w:tabs>
          <w:tab w:val="right" w:pos="9000"/>
        </w:tabs>
        <w:ind w:left="5358" w:hanging="1389"/>
      </w:pPr>
    </w:p>
    <w:tbl>
      <w:tblPr>
        <w:tblStyle w:val="afb"/>
        <w:tblW w:w="0" w:type="auto"/>
        <w:tblInd w:w="4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3384"/>
      </w:tblGrid>
      <w:tr w:rsidR="007049A5" w:rsidRPr="004E4188" w14:paraId="4CE7C7DE" w14:textId="77777777" w:rsidTr="006C6267">
        <w:trPr>
          <w:trHeight w:val="316"/>
        </w:trPr>
        <w:tc>
          <w:tcPr>
            <w:tcW w:w="1272" w:type="dxa"/>
          </w:tcPr>
          <w:p w14:paraId="41FDBF3A" w14:textId="77777777" w:rsidR="007049A5" w:rsidRPr="004E4188" w:rsidRDefault="007049A5" w:rsidP="006C6267">
            <w:pPr>
              <w:suppressAutoHyphens w:val="0"/>
              <w:overflowPunct/>
              <w:autoSpaceDE/>
              <w:autoSpaceDN/>
              <w:adjustRightInd/>
              <w:jc w:val="left"/>
              <w:textAlignment w:val="auto"/>
              <w:rPr>
                <w:sz w:val="28"/>
              </w:rPr>
            </w:pPr>
            <w:r w:rsidRPr="004E4188">
              <w:t>Date </w:t>
            </w:r>
          </w:p>
        </w:tc>
        <w:tc>
          <w:tcPr>
            <w:tcW w:w="3384" w:type="dxa"/>
          </w:tcPr>
          <w:p w14:paraId="3E9DF5B4" w14:textId="77777777" w:rsidR="007049A5" w:rsidRPr="004E4188" w:rsidRDefault="007049A5" w:rsidP="006C6267">
            <w:pPr>
              <w:suppressAutoHyphens w:val="0"/>
              <w:overflowPunct/>
              <w:autoSpaceDE/>
              <w:autoSpaceDN/>
              <w:adjustRightInd/>
              <w:ind w:leftChars="-17" w:left="-41"/>
              <w:jc w:val="left"/>
              <w:textAlignment w:val="auto"/>
              <w:rPr>
                <w:sz w:val="28"/>
              </w:rPr>
            </w:pPr>
            <w:r w:rsidRPr="004E4188">
              <w:t xml:space="preserve">: </w:t>
            </w:r>
            <w:r w:rsidRPr="004E4188">
              <w:rPr>
                <w:iCs/>
              </w:rPr>
              <w:t>[</w:t>
            </w:r>
            <w:r w:rsidRPr="004E4188">
              <w:rPr>
                <w:i/>
                <w:iCs/>
              </w:rPr>
              <w:t>indiquer jour, mois, année</w:t>
            </w:r>
            <w:r w:rsidRPr="004E4188">
              <w:rPr>
                <w:iCs/>
              </w:rPr>
              <w:t>]</w:t>
            </w:r>
          </w:p>
        </w:tc>
      </w:tr>
      <w:tr w:rsidR="007049A5" w:rsidRPr="004E4188" w14:paraId="04F3C74D" w14:textId="77777777" w:rsidTr="006C6267">
        <w:trPr>
          <w:trHeight w:val="632"/>
        </w:trPr>
        <w:tc>
          <w:tcPr>
            <w:tcW w:w="1272" w:type="dxa"/>
          </w:tcPr>
          <w:p w14:paraId="72EB6271" w14:textId="77777777" w:rsidR="007049A5" w:rsidRPr="004E4188" w:rsidRDefault="007049A5" w:rsidP="006C6267">
            <w:pPr>
              <w:suppressAutoHyphens w:val="0"/>
              <w:overflowPunct/>
              <w:autoSpaceDE/>
              <w:autoSpaceDN/>
              <w:adjustRightInd/>
              <w:jc w:val="left"/>
              <w:textAlignment w:val="auto"/>
              <w:rPr>
                <w:sz w:val="28"/>
              </w:rPr>
            </w:pPr>
            <w:r w:rsidRPr="004E4188">
              <w:t>AAO n° </w:t>
            </w:r>
          </w:p>
        </w:tc>
        <w:tc>
          <w:tcPr>
            <w:tcW w:w="3384" w:type="dxa"/>
          </w:tcPr>
          <w:p w14:paraId="4B2C7E3D" w14:textId="77777777" w:rsidR="007049A5" w:rsidRPr="004E4188" w:rsidRDefault="007049A5" w:rsidP="006C6267">
            <w:pPr>
              <w:suppressAutoHyphens w:val="0"/>
              <w:overflowPunct/>
              <w:autoSpaceDE/>
              <w:autoSpaceDN/>
              <w:adjustRightInd/>
              <w:ind w:leftChars="-18" w:left="99" w:hangingChars="59" w:hanging="142"/>
              <w:jc w:val="left"/>
              <w:textAlignment w:val="auto"/>
              <w:rPr>
                <w:sz w:val="28"/>
              </w:rPr>
            </w:pPr>
            <w:r w:rsidRPr="004E4188">
              <w:t>:</w:t>
            </w:r>
            <w:r w:rsidRPr="004E4188">
              <w:rPr>
                <w:iCs/>
              </w:rPr>
              <w:t xml:space="preserve"> [</w:t>
            </w:r>
            <w:r w:rsidRPr="004E4188">
              <w:rPr>
                <w:i/>
                <w:iCs/>
              </w:rPr>
              <w:t>indiquer le numéro de l’Avis d’appel d’offres</w:t>
            </w:r>
            <w:r w:rsidRPr="004E4188">
              <w:rPr>
                <w:iCs/>
              </w:rPr>
              <w:t>]</w:t>
            </w:r>
          </w:p>
        </w:tc>
      </w:tr>
      <w:tr w:rsidR="007049A5" w:rsidRPr="004E4188" w14:paraId="7D2DD885" w14:textId="77777777" w:rsidTr="006C6267">
        <w:trPr>
          <w:trHeight w:val="303"/>
        </w:trPr>
        <w:tc>
          <w:tcPr>
            <w:tcW w:w="1272" w:type="dxa"/>
          </w:tcPr>
          <w:p w14:paraId="17317FFC" w14:textId="77777777" w:rsidR="007049A5" w:rsidRPr="004E4188" w:rsidRDefault="007049A5" w:rsidP="006C6267">
            <w:pPr>
              <w:suppressAutoHyphens w:val="0"/>
              <w:overflowPunct/>
              <w:autoSpaceDE/>
              <w:autoSpaceDN/>
              <w:adjustRightInd/>
              <w:jc w:val="left"/>
              <w:textAlignment w:val="auto"/>
              <w:rPr>
                <w:sz w:val="28"/>
              </w:rPr>
            </w:pPr>
            <w:r w:rsidRPr="004E4188">
              <w:t>Projet </w:t>
            </w:r>
          </w:p>
        </w:tc>
        <w:tc>
          <w:tcPr>
            <w:tcW w:w="3384" w:type="dxa"/>
          </w:tcPr>
          <w:p w14:paraId="6107A410" w14:textId="77777777" w:rsidR="007049A5" w:rsidRPr="004E4188" w:rsidRDefault="007049A5" w:rsidP="006C6267">
            <w:pPr>
              <w:suppressAutoHyphens w:val="0"/>
              <w:overflowPunct/>
              <w:autoSpaceDE/>
              <w:autoSpaceDN/>
              <w:adjustRightInd/>
              <w:ind w:leftChars="-17" w:left="-41"/>
              <w:jc w:val="left"/>
              <w:textAlignment w:val="auto"/>
              <w:rPr>
                <w:sz w:val="28"/>
              </w:rPr>
            </w:pPr>
            <w:r w:rsidRPr="004E4188">
              <w:t xml:space="preserve">: </w:t>
            </w:r>
            <w:r w:rsidRPr="004E4188">
              <w:rPr>
                <w:iCs/>
              </w:rPr>
              <w:t>[</w:t>
            </w:r>
            <w:r w:rsidRPr="004E4188">
              <w:rPr>
                <w:i/>
                <w:iCs/>
              </w:rPr>
              <w:t>indiquer le nom du projet</w:t>
            </w:r>
            <w:r w:rsidRPr="004E4188">
              <w:rPr>
                <w:iCs/>
              </w:rPr>
              <w:t>]</w:t>
            </w:r>
          </w:p>
        </w:tc>
      </w:tr>
      <w:tr w:rsidR="007049A5" w:rsidRPr="004E4188" w14:paraId="327512EA" w14:textId="77777777" w:rsidTr="006C6267">
        <w:trPr>
          <w:trHeight w:val="316"/>
        </w:trPr>
        <w:tc>
          <w:tcPr>
            <w:tcW w:w="1272" w:type="dxa"/>
          </w:tcPr>
          <w:p w14:paraId="62D856EF" w14:textId="77777777" w:rsidR="007049A5" w:rsidRPr="004E4188" w:rsidRDefault="007049A5" w:rsidP="006C6267">
            <w:pPr>
              <w:suppressAutoHyphens w:val="0"/>
              <w:overflowPunct/>
              <w:autoSpaceDE/>
              <w:autoSpaceDN/>
              <w:adjustRightInd/>
              <w:jc w:val="left"/>
              <w:textAlignment w:val="auto"/>
              <w:rPr>
                <w:sz w:val="28"/>
              </w:rPr>
            </w:pPr>
            <w:r w:rsidRPr="004E4188">
              <w:t>Marché </w:t>
            </w:r>
          </w:p>
        </w:tc>
        <w:tc>
          <w:tcPr>
            <w:tcW w:w="3384" w:type="dxa"/>
          </w:tcPr>
          <w:p w14:paraId="208BE8F7" w14:textId="77777777" w:rsidR="007049A5" w:rsidRPr="004E4188" w:rsidRDefault="007049A5" w:rsidP="006C6267">
            <w:pPr>
              <w:suppressAutoHyphens w:val="0"/>
              <w:overflowPunct/>
              <w:autoSpaceDE/>
              <w:autoSpaceDN/>
              <w:adjustRightInd/>
              <w:ind w:leftChars="-17" w:left="-41"/>
              <w:jc w:val="left"/>
              <w:textAlignment w:val="auto"/>
              <w:rPr>
                <w:iCs/>
              </w:rPr>
            </w:pPr>
            <w:r w:rsidRPr="004E4188">
              <w:t xml:space="preserve">: </w:t>
            </w:r>
            <w:r w:rsidRPr="004E4188">
              <w:rPr>
                <w:iCs/>
              </w:rPr>
              <w:t>[</w:t>
            </w:r>
            <w:r w:rsidRPr="004E4188">
              <w:rPr>
                <w:i/>
                <w:iCs/>
              </w:rPr>
              <w:t>indiquer le nom du Marché</w:t>
            </w:r>
            <w:r w:rsidRPr="004E4188">
              <w:rPr>
                <w:iCs/>
              </w:rPr>
              <w:t>]</w:t>
            </w:r>
          </w:p>
        </w:tc>
      </w:tr>
    </w:tbl>
    <w:p w14:paraId="506363EA" w14:textId="77777777" w:rsidR="007049A5" w:rsidRPr="004E4188" w:rsidRDefault="007049A5" w:rsidP="006C6267">
      <w:pPr>
        <w:tabs>
          <w:tab w:val="right" w:pos="9000"/>
        </w:tabs>
        <w:ind w:left="5358" w:hanging="1389"/>
      </w:pPr>
    </w:p>
    <w:p w14:paraId="0FFCD7BC" w14:textId="77777777" w:rsidR="007049A5" w:rsidRPr="004E4188" w:rsidRDefault="007049A5" w:rsidP="006C6267"/>
    <w:p w14:paraId="71ED04F6" w14:textId="4E3102A0" w:rsidR="007049A5" w:rsidRPr="004E4188" w:rsidRDefault="0072430E" w:rsidP="006C6267">
      <w:pPr>
        <w:jc w:val="left"/>
        <w:rPr>
          <w:lang w:eastAsia="ja-JP"/>
        </w:rPr>
      </w:pPr>
      <w:r w:rsidRPr="004E4188">
        <w:t xml:space="preserve">À </w:t>
      </w:r>
      <w:r w:rsidR="007049A5" w:rsidRPr="004E4188">
        <w:t xml:space="preserve">l’attention de : </w:t>
      </w:r>
      <w:r w:rsidR="007049A5" w:rsidRPr="004E4188">
        <w:rPr>
          <w:iCs/>
        </w:rPr>
        <w:t>[</w:t>
      </w:r>
      <w:r w:rsidR="007049A5" w:rsidRPr="004E4188">
        <w:rPr>
          <w:i/>
          <w:iCs/>
        </w:rPr>
        <w:t>indiquer le nom complet du Maître d’ouvrage</w:t>
      </w:r>
      <w:r w:rsidR="007049A5" w:rsidRPr="004E4188">
        <w:rPr>
          <w:iCs/>
        </w:rPr>
        <w:t>]</w:t>
      </w:r>
    </w:p>
    <w:p w14:paraId="2CE43E04" w14:textId="77777777" w:rsidR="007049A5" w:rsidRPr="004E4188" w:rsidRDefault="007049A5" w:rsidP="006C6267"/>
    <w:p w14:paraId="4B2BE19D" w14:textId="77777777" w:rsidR="007049A5" w:rsidRPr="004E4188" w:rsidRDefault="007049A5" w:rsidP="006C6267">
      <w:r w:rsidRPr="004E4188">
        <w:t xml:space="preserve">Nous, soussignés, attestons que : </w:t>
      </w:r>
    </w:p>
    <w:p w14:paraId="6D7B2CC8" w14:textId="77777777" w:rsidR="007049A5" w:rsidRPr="004E4188" w:rsidRDefault="007049A5" w:rsidP="006C6267"/>
    <w:p w14:paraId="2971F250" w14:textId="77777777" w:rsidR="007049A5" w:rsidRPr="004E4188" w:rsidRDefault="007049A5" w:rsidP="003D46CF">
      <w:pPr>
        <w:numPr>
          <w:ilvl w:val="0"/>
          <w:numId w:val="45"/>
        </w:numPr>
        <w:tabs>
          <w:tab w:val="left" w:pos="360"/>
          <w:tab w:val="right" w:pos="9000"/>
        </w:tabs>
        <w:ind w:left="357" w:hanging="357"/>
      </w:pPr>
      <w:r w:rsidRPr="004E4188">
        <w:t>nous avons examiné le Dossier d’appel d’offres, y compris le(s) avenant(s) n</w:t>
      </w:r>
      <w:r w:rsidRPr="004E4188">
        <w:rPr>
          <w:vertAlign w:val="superscript"/>
        </w:rPr>
        <w:t>o</w:t>
      </w:r>
      <w:r w:rsidRPr="004E4188">
        <w:rPr>
          <w:i/>
          <w:iCs/>
        </w:rPr>
        <w:t xml:space="preserve"> </w:t>
      </w:r>
      <w:r w:rsidRPr="004E4188">
        <w:rPr>
          <w:iCs/>
        </w:rPr>
        <w:t>[</w:t>
      </w:r>
      <w:r w:rsidRPr="004E4188">
        <w:rPr>
          <w:i/>
          <w:iCs/>
        </w:rPr>
        <w:t>insérer le numéro et la date de publication de chaque avenant</w:t>
      </w:r>
      <w:r w:rsidRPr="004E4188">
        <w:rPr>
          <w:iCs/>
        </w:rPr>
        <w:t>]</w:t>
      </w:r>
      <w:r w:rsidRPr="004E4188">
        <w:t>, publié(s) conformément aux dispositions des Instructions aux soumissionnaires (IS) 8 et n’avons aucune réserve à leur égard ;</w:t>
      </w:r>
    </w:p>
    <w:p w14:paraId="1369B212" w14:textId="77777777" w:rsidR="007049A5" w:rsidRPr="004E4188" w:rsidRDefault="007049A5" w:rsidP="006C6267">
      <w:pPr>
        <w:numPr>
          <w:ilvl w:val="12"/>
          <w:numId w:val="0"/>
        </w:numPr>
        <w:tabs>
          <w:tab w:val="right" w:pos="9000"/>
        </w:tabs>
      </w:pPr>
    </w:p>
    <w:p w14:paraId="58E10932" w14:textId="77777777" w:rsidR="007049A5" w:rsidRPr="004E4188" w:rsidRDefault="007049A5" w:rsidP="003D46CF">
      <w:pPr>
        <w:numPr>
          <w:ilvl w:val="0"/>
          <w:numId w:val="45"/>
        </w:numPr>
        <w:tabs>
          <w:tab w:val="left" w:pos="360"/>
          <w:tab w:val="right" w:pos="9000"/>
        </w:tabs>
      </w:pPr>
      <w:r w:rsidRPr="004E4188">
        <w:t>nous, y compris tous nos sous-traitants, satisfaisons aux critères d’éligibilité, conformément à IS 4 et IS 5 ;</w:t>
      </w:r>
    </w:p>
    <w:p w14:paraId="4C2AA6E5" w14:textId="77777777" w:rsidR="007049A5" w:rsidRPr="004E4188" w:rsidRDefault="007049A5" w:rsidP="006C6267">
      <w:pPr>
        <w:widowControl w:val="0"/>
        <w:rPr>
          <w:rFonts w:ascii="Century" w:hAnsi="Century"/>
          <w:sz w:val="21"/>
          <w:lang w:eastAsia="ja-JP"/>
        </w:rPr>
      </w:pPr>
    </w:p>
    <w:p w14:paraId="1B516FF7" w14:textId="77777777" w:rsidR="007049A5" w:rsidRPr="004E4188" w:rsidRDefault="007049A5" w:rsidP="003D46CF">
      <w:pPr>
        <w:numPr>
          <w:ilvl w:val="0"/>
          <w:numId w:val="45"/>
        </w:numPr>
        <w:tabs>
          <w:tab w:val="left" w:pos="360"/>
          <w:tab w:val="right" w:pos="9000"/>
        </w:tabs>
      </w:pPr>
      <w:r w:rsidRPr="004E4188">
        <w:t>nous, y compris tous nos sous-traitants, n’avons pas de conflit d’intérêt, conformément à IS 4 ;</w:t>
      </w:r>
    </w:p>
    <w:p w14:paraId="1E41293B" w14:textId="77777777" w:rsidR="007049A5" w:rsidRPr="004E4188" w:rsidRDefault="007049A5" w:rsidP="006C6267">
      <w:pPr>
        <w:widowControl w:val="0"/>
        <w:rPr>
          <w:rFonts w:ascii="Century" w:hAnsi="Century"/>
          <w:sz w:val="21"/>
          <w:lang w:eastAsia="ja-JP"/>
        </w:rPr>
      </w:pPr>
    </w:p>
    <w:p w14:paraId="44D76F63" w14:textId="77777777" w:rsidR="007049A5" w:rsidRPr="004E4188" w:rsidRDefault="007049A5" w:rsidP="003D46CF">
      <w:pPr>
        <w:numPr>
          <w:ilvl w:val="0"/>
          <w:numId w:val="45"/>
        </w:numPr>
        <w:tabs>
          <w:tab w:val="left" w:pos="360"/>
          <w:tab w:val="right" w:pos="9000"/>
        </w:tabs>
      </w:pPr>
      <w:r w:rsidRPr="004E4188">
        <w:t xml:space="preserve">nous nous engageons à réaliser, conformément au Dossier d’appel d’offres, la conception, la fourniture et le montage des Installations suivantes : </w:t>
      </w:r>
      <w:r w:rsidRPr="004E4188">
        <w:rPr>
          <w:iCs/>
        </w:rPr>
        <w:t>[</w:t>
      </w:r>
      <w:r w:rsidRPr="004E4188">
        <w:rPr>
          <w:i/>
          <w:iCs/>
        </w:rPr>
        <w:t xml:space="preserve">donner une description succincte des </w:t>
      </w:r>
      <w:r w:rsidRPr="004E4188">
        <w:rPr>
          <w:i/>
          <w:szCs w:val="24"/>
        </w:rPr>
        <w:t>É</w:t>
      </w:r>
      <w:r w:rsidRPr="004E4188">
        <w:rPr>
          <w:i/>
        </w:rPr>
        <w:t>quipements et Services de montage</w:t>
      </w:r>
      <w:r w:rsidRPr="004E4188">
        <w:rPr>
          <w:iCs/>
        </w:rPr>
        <w:t>]</w:t>
      </w:r>
      <w:r w:rsidRPr="004E4188">
        <w:t xml:space="preserve"> ; </w:t>
      </w:r>
    </w:p>
    <w:p w14:paraId="17D8F039" w14:textId="77777777" w:rsidR="007049A5" w:rsidRPr="004E4188" w:rsidRDefault="007049A5" w:rsidP="006C6267">
      <w:pPr>
        <w:pStyle w:val="aff7"/>
        <w:ind w:left="960"/>
        <w:rPr>
          <w:lang w:val="fr-FR" w:eastAsia="fr-FR"/>
        </w:rPr>
      </w:pPr>
    </w:p>
    <w:p w14:paraId="78848A94" w14:textId="77777777" w:rsidR="007049A5" w:rsidRPr="004E4188" w:rsidRDefault="007049A5" w:rsidP="003D46CF">
      <w:pPr>
        <w:numPr>
          <w:ilvl w:val="0"/>
          <w:numId w:val="45"/>
        </w:numPr>
        <w:tabs>
          <w:tab w:val="left" w:pos="360"/>
          <w:tab w:val="right" w:pos="9000"/>
        </w:tabs>
      </w:pPr>
      <w:r w:rsidRPr="004E4188">
        <w:t>nous ne participons pas, en qualité de Soumissionnaire ou de sous-traitant, à plus d’une offre dans le cadre du présent appel d’offres, conformément à IS 4.2(c) ;</w:t>
      </w:r>
    </w:p>
    <w:p w14:paraId="0FC541BC" w14:textId="77777777" w:rsidR="007049A5" w:rsidRPr="004E4188" w:rsidRDefault="007049A5" w:rsidP="006C6267">
      <w:pPr>
        <w:pStyle w:val="aff7"/>
        <w:ind w:left="960"/>
        <w:rPr>
          <w:noProof/>
          <w:lang w:val="fr-FR"/>
        </w:rPr>
      </w:pPr>
    </w:p>
    <w:p w14:paraId="1D77876A" w14:textId="77777777" w:rsidR="007049A5" w:rsidRPr="004E4188" w:rsidRDefault="007049A5" w:rsidP="003D46CF">
      <w:pPr>
        <w:numPr>
          <w:ilvl w:val="0"/>
          <w:numId w:val="45"/>
        </w:numPr>
        <w:tabs>
          <w:tab w:val="left" w:pos="360"/>
          <w:tab w:val="right" w:pos="9000"/>
        </w:tabs>
      </w:pPr>
      <w:r w:rsidRPr="004E4188">
        <w:rPr>
          <w:noProof/>
        </w:rPr>
        <w:t>nous nous engageons en outre, si vous nous le demandez, à participer à nos frais à une réunion pour complément d’informations au lieu de votre choix, afin d’examiner notre offre de la première étape et de prendre note précisément de toute modification et addition que vous pourriez demander et des omissions constatées ; et</w:t>
      </w:r>
    </w:p>
    <w:p w14:paraId="0D92B73E" w14:textId="77777777" w:rsidR="007049A5" w:rsidRPr="004E4188" w:rsidRDefault="007049A5" w:rsidP="006C6267">
      <w:pPr>
        <w:pStyle w:val="aff7"/>
        <w:ind w:left="960"/>
        <w:rPr>
          <w:noProof/>
          <w:lang w:val="fr-FR"/>
        </w:rPr>
      </w:pPr>
    </w:p>
    <w:p w14:paraId="508C6ECF" w14:textId="77777777" w:rsidR="007049A5" w:rsidRPr="004E4188" w:rsidRDefault="007049A5" w:rsidP="003D46CF">
      <w:pPr>
        <w:numPr>
          <w:ilvl w:val="0"/>
          <w:numId w:val="45"/>
        </w:numPr>
        <w:tabs>
          <w:tab w:val="left" w:pos="360"/>
          <w:tab w:val="right" w:pos="9000"/>
        </w:tabs>
      </w:pPr>
      <w:r w:rsidRPr="004E4188">
        <w:rPr>
          <w:noProof/>
        </w:rPr>
        <w:t>nous nous engageons également, sur réception de votre invitation écrite, à préparer notre offre de la deuxième étape en actualisant notre offre de la première étape conformément aux exigences du mémorandum établi suite à la réunion pour complément d’informations et en complétant notre offre de la deuxième étape pour l’approvisionnement des</w:t>
      </w:r>
      <w:r w:rsidRPr="004E4188">
        <w:rPr>
          <w:i/>
          <w:iCs/>
        </w:rPr>
        <w:t xml:space="preserve"> </w:t>
      </w:r>
      <w:r w:rsidRPr="004E4188">
        <w:rPr>
          <w:szCs w:val="24"/>
        </w:rPr>
        <w:t>É</w:t>
      </w:r>
      <w:r w:rsidRPr="004E4188">
        <w:t>quipements et la fourniture des Services de montage</w:t>
      </w:r>
      <w:r w:rsidRPr="004E4188">
        <w:rPr>
          <w:iCs/>
        </w:rPr>
        <w:t>.</w:t>
      </w:r>
    </w:p>
    <w:p w14:paraId="3683D843" w14:textId="77777777" w:rsidR="007049A5" w:rsidRPr="004E4188" w:rsidRDefault="007049A5" w:rsidP="006C6267">
      <w:pPr>
        <w:tabs>
          <w:tab w:val="right" w:pos="9000"/>
        </w:tabs>
        <w:jc w:val="left"/>
        <w:rPr>
          <w:noProof/>
          <w:lang w:eastAsia="ja-JP"/>
        </w:rPr>
      </w:pPr>
    </w:p>
    <w:p w14:paraId="7B0C4CBE" w14:textId="77777777" w:rsidR="007049A5" w:rsidRPr="004E4188" w:rsidRDefault="007049A5" w:rsidP="006C6267">
      <w:pPr>
        <w:tabs>
          <w:tab w:val="right" w:pos="9000"/>
        </w:tabs>
        <w:jc w:val="left"/>
        <w:rPr>
          <w:noProof/>
          <w:lang w:eastAsia="ja-JP"/>
        </w:rPr>
      </w:pPr>
    </w:p>
    <w:p w14:paraId="21E8FD07" w14:textId="77777777" w:rsidR="007049A5" w:rsidRPr="004E4188" w:rsidRDefault="007049A5" w:rsidP="006C6267">
      <w:pPr>
        <w:tabs>
          <w:tab w:val="right" w:pos="9000"/>
        </w:tabs>
        <w:jc w:val="left"/>
        <w:rPr>
          <w:noProof/>
          <w:lang w:eastAsia="ja-JP"/>
        </w:rPr>
      </w:pPr>
    </w:p>
    <w:p w14:paraId="023FAD85" w14:textId="77777777" w:rsidR="007049A5" w:rsidRPr="004E4188" w:rsidRDefault="007049A5" w:rsidP="006C6267">
      <w:pPr>
        <w:spacing w:after="180"/>
        <w:jc w:val="left"/>
      </w:pPr>
      <w:r w:rsidRPr="004E4188">
        <w:t>Nom du Soumissionnaire</w:t>
      </w:r>
      <w:r w:rsidRPr="004E4188">
        <w:rPr>
          <w:bCs/>
          <w:iCs/>
          <w:vertAlign w:val="superscript"/>
        </w:rPr>
        <w:t>1</w:t>
      </w:r>
      <w:r w:rsidRPr="004E4188">
        <w:t xml:space="preserve"> [</w:t>
      </w:r>
      <w:r w:rsidRPr="004E4188">
        <w:rPr>
          <w:i/>
        </w:rPr>
        <w:t xml:space="preserve">indiquer le nom </w:t>
      </w:r>
      <w:r w:rsidRPr="004E4188">
        <w:rPr>
          <w:bCs/>
          <w:i/>
          <w:iCs/>
        </w:rPr>
        <w:t>complet</w:t>
      </w:r>
      <w:r w:rsidRPr="004E4188">
        <w:rPr>
          <w:i/>
        </w:rPr>
        <w:t xml:space="preserve"> du Soumissionnaire</w:t>
      </w:r>
      <w:r w:rsidRPr="004E4188">
        <w:t>]</w:t>
      </w:r>
    </w:p>
    <w:p w14:paraId="5FF06EBA" w14:textId="77777777" w:rsidR="007049A5" w:rsidRPr="004E4188" w:rsidRDefault="007049A5" w:rsidP="006C6267">
      <w:pPr>
        <w:spacing w:after="180"/>
        <w:jc w:val="left"/>
      </w:pPr>
      <w:r w:rsidRPr="004E4188">
        <w:t>Nom du signataire habilité à signer l’offre au nom du Soumissionnaire</w:t>
      </w:r>
      <w:r w:rsidRPr="004E4188">
        <w:rPr>
          <w:bCs/>
          <w:iCs/>
          <w:vertAlign w:val="superscript"/>
        </w:rPr>
        <w:t>2</w:t>
      </w:r>
      <w:r w:rsidRPr="004E4188">
        <w:rPr>
          <w:bCs/>
          <w:iCs/>
        </w:rPr>
        <w:t xml:space="preserve"> [</w:t>
      </w:r>
      <w:r w:rsidRPr="004E4188">
        <w:rPr>
          <w:bCs/>
          <w:i/>
          <w:iCs/>
        </w:rPr>
        <w:t>indiquer le nom complet du signataire habilité à signer l’offre</w:t>
      </w:r>
      <w:r w:rsidRPr="004E4188">
        <w:rPr>
          <w:bCs/>
          <w:iCs/>
        </w:rPr>
        <w:t>]</w:t>
      </w:r>
    </w:p>
    <w:p w14:paraId="25D4C43E" w14:textId="77777777" w:rsidR="007049A5" w:rsidRPr="004E4188" w:rsidRDefault="007049A5" w:rsidP="006C6267">
      <w:pPr>
        <w:spacing w:after="180"/>
        <w:jc w:val="left"/>
      </w:pPr>
      <w:r w:rsidRPr="004E4188">
        <w:t>Titre du signataire habilité [</w:t>
      </w:r>
      <w:r w:rsidRPr="004E4188">
        <w:rPr>
          <w:i/>
        </w:rPr>
        <w:t>indiquer le titre complet du signataire</w:t>
      </w:r>
      <w:r w:rsidRPr="004E4188">
        <w:t>]</w:t>
      </w:r>
    </w:p>
    <w:p w14:paraId="6E7953DD" w14:textId="77777777" w:rsidR="007049A5" w:rsidRPr="004E4188" w:rsidRDefault="007049A5" w:rsidP="006C6267">
      <w:pPr>
        <w:spacing w:after="180"/>
        <w:jc w:val="left"/>
      </w:pPr>
      <w:r w:rsidRPr="004E4188">
        <w:t>Signature de la personne désignée ci-dessus [</w:t>
      </w:r>
      <w:r w:rsidRPr="004E4188">
        <w:rPr>
          <w:i/>
        </w:rPr>
        <w:t>insérer la signature</w:t>
      </w:r>
      <w:r w:rsidRPr="004E4188">
        <w:t>]</w:t>
      </w:r>
    </w:p>
    <w:p w14:paraId="3F934138" w14:textId="77777777" w:rsidR="007049A5" w:rsidRPr="004E4188" w:rsidRDefault="007049A5" w:rsidP="006C6267">
      <w:pPr>
        <w:spacing w:after="120"/>
        <w:jc w:val="left"/>
        <w:rPr>
          <w:b/>
        </w:rPr>
      </w:pPr>
      <w:r w:rsidRPr="004E4188">
        <w:t xml:space="preserve">Signé le </w:t>
      </w:r>
      <w:r w:rsidRPr="004E4188">
        <w:rPr>
          <w:szCs w:val="24"/>
        </w:rPr>
        <w:t>[</w:t>
      </w:r>
      <w:r w:rsidRPr="004E4188">
        <w:rPr>
          <w:i/>
          <w:szCs w:val="24"/>
        </w:rPr>
        <w:t>indiquer la date</w:t>
      </w:r>
      <w:r w:rsidRPr="004E4188">
        <w:t>]</w:t>
      </w:r>
    </w:p>
    <w:p w14:paraId="0F39C59B" w14:textId="77777777" w:rsidR="007049A5" w:rsidRPr="004E4188" w:rsidRDefault="007049A5" w:rsidP="006C6267">
      <w:pPr>
        <w:jc w:val="left"/>
        <w:rPr>
          <w:b/>
        </w:rPr>
      </w:pPr>
    </w:p>
    <w:p w14:paraId="236467B2" w14:textId="77777777" w:rsidR="00DE743B" w:rsidRPr="004E4188" w:rsidRDefault="00DE743B" w:rsidP="006C6267">
      <w:pPr>
        <w:jc w:val="left"/>
        <w:rPr>
          <w:b/>
        </w:rPr>
      </w:pPr>
    </w:p>
    <w:p w14:paraId="5DEADDA5" w14:textId="77777777" w:rsidR="00DE743B" w:rsidRPr="004E4188" w:rsidRDefault="00DE743B" w:rsidP="006C6267">
      <w:pPr>
        <w:jc w:val="left"/>
        <w:rPr>
          <w:b/>
        </w:rPr>
      </w:pPr>
    </w:p>
    <w:p w14:paraId="365E90FE" w14:textId="0F9D8F2C" w:rsidR="007049A5" w:rsidRPr="004E4188" w:rsidRDefault="007049A5" w:rsidP="006C6267">
      <w:pPr>
        <w:spacing w:after="120"/>
        <w:jc w:val="left"/>
        <w:rPr>
          <w:u w:val="single"/>
        </w:rPr>
      </w:pPr>
      <w:r w:rsidRPr="004E4188">
        <w:rPr>
          <w:rFonts w:hint="eastAsia"/>
          <w:u w:val="single"/>
        </w:rPr>
        <w:t>Notes à l</w:t>
      </w:r>
      <w:r w:rsidRPr="004E4188">
        <w:rPr>
          <w:u w:val="single"/>
        </w:rPr>
        <w:t xml:space="preserve">’intention </w:t>
      </w:r>
      <w:r w:rsidR="00A445E0" w:rsidRPr="004E4188">
        <w:rPr>
          <w:u w:val="single"/>
        </w:rPr>
        <w:t xml:space="preserve">des </w:t>
      </w:r>
      <w:r w:rsidRPr="004E4188">
        <w:rPr>
          <w:u w:val="single"/>
        </w:rPr>
        <w:t>Soumissionnaire</w:t>
      </w:r>
      <w:r w:rsidR="00A445E0" w:rsidRPr="004E4188">
        <w:rPr>
          <w:u w:val="single"/>
        </w:rPr>
        <w:t>s</w:t>
      </w:r>
    </w:p>
    <w:p w14:paraId="64ED3743" w14:textId="77777777" w:rsidR="007049A5" w:rsidRPr="004E4188" w:rsidRDefault="007049A5" w:rsidP="003D46CF">
      <w:pPr>
        <w:widowControl w:val="0"/>
        <w:numPr>
          <w:ilvl w:val="0"/>
          <w:numId w:val="70"/>
        </w:numPr>
        <w:ind w:left="284" w:hanging="284"/>
        <w:jc w:val="left"/>
        <w:rPr>
          <w:szCs w:val="24"/>
          <w:lang w:eastAsia="ja-JP"/>
        </w:rPr>
      </w:pPr>
      <w:r w:rsidRPr="004E4188">
        <w:rPr>
          <w:bCs/>
          <w:iCs/>
          <w:szCs w:val="24"/>
          <w:lang w:eastAsia="ja-JP"/>
        </w:rPr>
        <w:t>D</w:t>
      </w:r>
      <w:r w:rsidRPr="004E4188">
        <w:rPr>
          <w:szCs w:val="24"/>
          <w:lang w:eastAsia="ja-JP"/>
        </w:rPr>
        <w:t>ans le cas d’une offre remise par un Groupement, donner le nom du Groupement.</w:t>
      </w:r>
    </w:p>
    <w:p w14:paraId="7B6E011E" w14:textId="77777777" w:rsidR="007049A5" w:rsidRPr="004E4188" w:rsidRDefault="007049A5" w:rsidP="003D46CF">
      <w:pPr>
        <w:widowControl w:val="0"/>
        <w:numPr>
          <w:ilvl w:val="0"/>
          <w:numId w:val="70"/>
        </w:numPr>
        <w:ind w:left="284" w:hanging="284"/>
        <w:rPr>
          <w:szCs w:val="24"/>
          <w:lang w:eastAsia="ja-JP"/>
        </w:rPr>
      </w:pPr>
      <w:r w:rsidRPr="004E4188">
        <w:rPr>
          <w:bCs/>
          <w:iCs/>
          <w:szCs w:val="24"/>
          <w:lang w:eastAsia="ja-JP"/>
        </w:rPr>
        <w:t>Joindre</w:t>
      </w:r>
      <w:r w:rsidRPr="004E4188">
        <w:rPr>
          <w:bCs/>
          <w:iCs/>
          <w:szCs w:val="24"/>
        </w:rPr>
        <w:t xml:space="preserve"> </w:t>
      </w:r>
      <w:r w:rsidRPr="004E4188">
        <w:rPr>
          <w:bCs/>
          <w:iCs/>
          <w:szCs w:val="24"/>
          <w:lang w:eastAsia="ja-JP"/>
        </w:rPr>
        <w:t xml:space="preserve">dans l’offre de la première étape la procuration du signataire spécifiant qu’il est habilité à signer au nom du Soumissionnaire. </w:t>
      </w:r>
    </w:p>
    <w:p w14:paraId="462DDECC" w14:textId="77777777" w:rsidR="007049A5" w:rsidRPr="004E4188" w:rsidRDefault="007049A5" w:rsidP="006C6267">
      <w:pPr>
        <w:tabs>
          <w:tab w:val="left" w:pos="1188"/>
          <w:tab w:val="left" w:pos="2394"/>
          <w:tab w:val="left" w:pos="4209"/>
          <w:tab w:val="left" w:pos="5238"/>
          <w:tab w:val="left" w:pos="7632"/>
          <w:tab w:val="left" w:pos="7868"/>
          <w:tab w:val="left" w:pos="9468"/>
        </w:tabs>
        <w:jc w:val="left"/>
        <w:rPr>
          <w:noProof/>
          <w:lang w:eastAsia="ja-JP"/>
        </w:rPr>
      </w:pPr>
    </w:p>
    <w:p w14:paraId="68C91E89" w14:textId="77777777" w:rsidR="007049A5" w:rsidRPr="004E4188" w:rsidRDefault="007049A5" w:rsidP="006C6267">
      <w:r w:rsidRPr="004E4188">
        <w:rPr>
          <w:noProof/>
        </w:rPr>
        <w:br w:type="page"/>
      </w:r>
    </w:p>
    <w:p w14:paraId="06A5533A" w14:textId="77777777" w:rsidR="007049A5" w:rsidRPr="004E4188" w:rsidRDefault="007049A5" w:rsidP="006C6267">
      <w:pPr>
        <w:pStyle w:val="SectionIVoption"/>
        <w:rPr>
          <w:noProof/>
          <w:sz w:val="20"/>
          <w:lang w:val="fr-FR"/>
        </w:rPr>
      </w:pPr>
      <w:bookmarkStart w:id="487" w:name="_Toc99312051"/>
      <w:bookmarkStart w:id="488" w:name="_Toc103933045"/>
      <w:bookmarkStart w:id="489" w:name="_Toc103933455"/>
      <w:bookmarkStart w:id="490" w:name="_Toc104972393"/>
      <w:bookmarkStart w:id="491" w:name="_Toc112429296"/>
      <w:r w:rsidRPr="004E4188">
        <w:rPr>
          <w:noProof/>
          <w:lang w:val="fr-FR"/>
        </w:rPr>
        <w:t>&lt; Option B : appel d’offres à deux étapes-une enveloppe &gt;</w:t>
      </w:r>
      <w:bookmarkEnd w:id="487"/>
      <w:bookmarkEnd w:id="488"/>
      <w:bookmarkEnd w:id="489"/>
      <w:bookmarkEnd w:id="490"/>
      <w:bookmarkEnd w:id="491"/>
    </w:p>
    <w:tbl>
      <w:tblPr>
        <w:tblW w:w="9014" w:type="dxa"/>
        <w:tblLayout w:type="fixed"/>
        <w:tblLook w:val="0000" w:firstRow="0" w:lastRow="0" w:firstColumn="0" w:lastColumn="0" w:noHBand="0" w:noVBand="0"/>
      </w:tblPr>
      <w:tblGrid>
        <w:gridCol w:w="9014"/>
      </w:tblGrid>
      <w:tr w:rsidR="007049A5" w:rsidRPr="004E4188" w14:paraId="517E0F69" w14:textId="77777777" w:rsidTr="00DE743B">
        <w:trPr>
          <w:trHeight w:val="900"/>
        </w:trPr>
        <w:tc>
          <w:tcPr>
            <w:tcW w:w="9014" w:type="dxa"/>
            <w:vAlign w:val="center"/>
          </w:tcPr>
          <w:p w14:paraId="0F76894D" w14:textId="77777777" w:rsidR="007049A5" w:rsidRPr="004E4188" w:rsidRDefault="007049A5">
            <w:pPr>
              <w:spacing w:before="240" w:after="120"/>
              <w:jc w:val="center"/>
              <w:rPr>
                <w:i/>
                <w:noProof/>
              </w:rPr>
            </w:pPr>
            <w:r w:rsidRPr="004E4188">
              <w:rPr>
                <w:b/>
                <w:noProof/>
              </w:rPr>
              <w:t>[</w:t>
            </w:r>
            <w:r w:rsidRPr="004E4188">
              <w:rPr>
                <w:b/>
                <w:i/>
                <w:noProof/>
                <w:lang w:eastAsia="ja-JP"/>
              </w:rPr>
              <w:t>P</w:t>
            </w:r>
            <w:r w:rsidRPr="004E4188">
              <w:rPr>
                <w:rFonts w:hint="eastAsia"/>
                <w:b/>
                <w:i/>
                <w:noProof/>
              </w:rPr>
              <w:t>réparer</w:t>
            </w:r>
            <w:r w:rsidRPr="004E4188">
              <w:rPr>
                <w:b/>
                <w:i/>
                <w:noProof/>
              </w:rPr>
              <w:t xml:space="preserve"> cette Lettre de soumission de l’offre de la deuxième étape avec son entête indiquant clairement le nom et l’adresse commerciale complets du Soumissionnaire.</w:t>
            </w:r>
            <w:r w:rsidRPr="004E4188">
              <w:rPr>
                <w:b/>
                <w:noProof/>
              </w:rPr>
              <w:t>]</w:t>
            </w:r>
          </w:p>
        </w:tc>
      </w:tr>
      <w:tr w:rsidR="007049A5" w:rsidRPr="004E4188" w14:paraId="71F5EF40" w14:textId="77777777" w:rsidTr="00DE743B">
        <w:trPr>
          <w:trHeight w:val="900"/>
        </w:trPr>
        <w:tc>
          <w:tcPr>
            <w:tcW w:w="9014" w:type="dxa"/>
            <w:vAlign w:val="center"/>
          </w:tcPr>
          <w:p w14:paraId="6C221113" w14:textId="77777777" w:rsidR="007049A5" w:rsidRPr="004E4188" w:rsidRDefault="007049A5" w:rsidP="006C6267">
            <w:pPr>
              <w:pStyle w:val="SectionIVHeader"/>
              <w:rPr>
                <w:noProof/>
                <w:lang w:val="fr-FR" w:eastAsia="ja-JP"/>
              </w:rPr>
            </w:pPr>
            <w:bookmarkStart w:id="492" w:name="_Toc523578533"/>
            <w:bookmarkStart w:id="493" w:name="_Toc527716843"/>
            <w:bookmarkStart w:id="494" w:name="_Toc112429297"/>
            <w:r w:rsidRPr="004E4188">
              <w:rPr>
                <w:lang w:val="fr-FR"/>
              </w:rPr>
              <w:t>Lettre</w:t>
            </w:r>
            <w:r w:rsidRPr="004E4188">
              <w:rPr>
                <w:noProof/>
                <w:lang w:val="fr-FR"/>
              </w:rPr>
              <w:t xml:space="preserve"> de soumission de l’offre de la deuxième étape</w:t>
            </w:r>
            <w:bookmarkEnd w:id="492"/>
            <w:bookmarkEnd w:id="493"/>
            <w:bookmarkEnd w:id="494"/>
          </w:p>
        </w:tc>
      </w:tr>
    </w:tbl>
    <w:p w14:paraId="02E85314" w14:textId="77777777" w:rsidR="007049A5" w:rsidRPr="004E4188" w:rsidRDefault="007049A5" w:rsidP="006C6267">
      <w:pPr>
        <w:tabs>
          <w:tab w:val="right" w:pos="9000"/>
        </w:tabs>
        <w:rPr>
          <w:noProof/>
          <w:lang w:eastAsia="ja-JP"/>
        </w:rPr>
      </w:pPr>
    </w:p>
    <w:p w14:paraId="25C7DE3D" w14:textId="77777777" w:rsidR="007049A5" w:rsidRPr="004E4188" w:rsidRDefault="007049A5" w:rsidP="006C6267">
      <w:pPr>
        <w:tabs>
          <w:tab w:val="right" w:pos="9000"/>
        </w:tabs>
        <w:rPr>
          <w:noProof/>
          <w:lang w:eastAsia="ja-JP"/>
        </w:rPr>
      </w:pPr>
    </w:p>
    <w:tbl>
      <w:tblPr>
        <w:tblStyle w:val="afb"/>
        <w:tblW w:w="0" w:type="auto"/>
        <w:tblInd w:w="4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3384"/>
      </w:tblGrid>
      <w:tr w:rsidR="007049A5" w:rsidRPr="004E4188" w14:paraId="5E2030C6" w14:textId="77777777" w:rsidTr="006C6267">
        <w:trPr>
          <w:trHeight w:val="316"/>
        </w:trPr>
        <w:tc>
          <w:tcPr>
            <w:tcW w:w="1272" w:type="dxa"/>
          </w:tcPr>
          <w:p w14:paraId="7FA597EF" w14:textId="77777777" w:rsidR="007049A5" w:rsidRPr="004E4188" w:rsidRDefault="007049A5" w:rsidP="006C6267">
            <w:pPr>
              <w:suppressAutoHyphens w:val="0"/>
              <w:overflowPunct/>
              <w:autoSpaceDE/>
              <w:autoSpaceDN/>
              <w:adjustRightInd/>
              <w:jc w:val="left"/>
              <w:textAlignment w:val="auto"/>
              <w:rPr>
                <w:sz w:val="28"/>
              </w:rPr>
            </w:pPr>
            <w:r w:rsidRPr="004E4188">
              <w:t>Date </w:t>
            </w:r>
          </w:p>
        </w:tc>
        <w:tc>
          <w:tcPr>
            <w:tcW w:w="3384" w:type="dxa"/>
          </w:tcPr>
          <w:p w14:paraId="0EC2B180" w14:textId="77777777" w:rsidR="007049A5" w:rsidRPr="004E4188" w:rsidRDefault="007049A5" w:rsidP="006C6267">
            <w:pPr>
              <w:suppressAutoHyphens w:val="0"/>
              <w:overflowPunct/>
              <w:autoSpaceDE/>
              <w:autoSpaceDN/>
              <w:adjustRightInd/>
              <w:ind w:leftChars="-17" w:left="-41"/>
              <w:jc w:val="left"/>
              <w:textAlignment w:val="auto"/>
              <w:rPr>
                <w:sz w:val="28"/>
              </w:rPr>
            </w:pPr>
            <w:r w:rsidRPr="004E4188">
              <w:t xml:space="preserve">: </w:t>
            </w:r>
            <w:r w:rsidRPr="004E4188">
              <w:rPr>
                <w:iCs/>
              </w:rPr>
              <w:t>[</w:t>
            </w:r>
            <w:r w:rsidRPr="004E4188">
              <w:rPr>
                <w:i/>
                <w:iCs/>
              </w:rPr>
              <w:t>indiquer jour, mois, année</w:t>
            </w:r>
            <w:r w:rsidRPr="004E4188">
              <w:rPr>
                <w:iCs/>
              </w:rPr>
              <w:t>]</w:t>
            </w:r>
          </w:p>
        </w:tc>
      </w:tr>
      <w:tr w:rsidR="007049A5" w:rsidRPr="004E4188" w14:paraId="10B6FB5A" w14:textId="77777777" w:rsidTr="006C6267">
        <w:trPr>
          <w:trHeight w:val="632"/>
        </w:trPr>
        <w:tc>
          <w:tcPr>
            <w:tcW w:w="1272" w:type="dxa"/>
          </w:tcPr>
          <w:p w14:paraId="13FBFB64" w14:textId="77777777" w:rsidR="007049A5" w:rsidRPr="004E4188" w:rsidRDefault="007049A5" w:rsidP="006C6267">
            <w:pPr>
              <w:suppressAutoHyphens w:val="0"/>
              <w:overflowPunct/>
              <w:autoSpaceDE/>
              <w:autoSpaceDN/>
              <w:adjustRightInd/>
              <w:jc w:val="left"/>
              <w:textAlignment w:val="auto"/>
              <w:rPr>
                <w:sz w:val="28"/>
              </w:rPr>
            </w:pPr>
            <w:r w:rsidRPr="004E4188">
              <w:t>AAO n° </w:t>
            </w:r>
          </w:p>
        </w:tc>
        <w:tc>
          <w:tcPr>
            <w:tcW w:w="3384" w:type="dxa"/>
          </w:tcPr>
          <w:p w14:paraId="44E7EE8A" w14:textId="77777777" w:rsidR="007049A5" w:rsidRPr="004E4188" w:rsidRDefault="007049A5" w:rsidP="006C6267">
            <w:pPr>
              <w:suppressAutoHyphens w:val="0"/>
              <w:overflowPunct/>
              <w:autoSpaceDE/>
              <w:autoSpaceDN/>
              <w:adjustRightInd/>
              <w:ind w:leftChars="-18" w:left="99" w:hangingChars="59" w:hanging="142"/>
              <w:jc w:val="left"/>
              <w:textAlignment w:val="auto"/>
              <w:rPr>
                <w:sz w:val="28"/>
              </w:rPr>
            </w:pPr>
            <w:r w:rsidRPr="004E4188">
              <w:t>:</w:t>
            </w:r>
            <w:r w:rsidRPr="004E4188">
              <w:rPr>
                <w:iCs/>
              </w:rPr>
              <w:t xml:space="preserve"> [</w:t>
            </w:r>
            <w:r w:rsidRPr="004E4188">
              <w:rPr>
                <w:i/>
                <w:iCs/>
              </w:rPr>
              <w:t>indiquer le numéro de l’Avis d’appel d’offres</w:t>
            </w:r>
            <w:r w:rsidRPr="004E4188">
              <w:rPr>
                <w:iCs/>
              </w:rPr>
              <w:t>]</w:t>
            </w:r>
          </w:p>
        </w:tc>
      </w:tr>
      <w:tr w:rsidR="007049A5" w:rsidRPr="004E4188" w14:paraId="2CF6C25E" w14:textId="77777777" w:rsidTr="006C6267">
        <w:trPr>
          <w:trHeight w:val="303"/>
        </w:trPr>
        <w:tc>
          <w:tcPr>
            <w:tcW w:w="1272" w:type="dxa"/>
          </w:tcPr>
          <w:p w14:paraId="56D56FA7" w14:textId="77777777" w:rsidR="007049A5" w:rsidRPr="004E4188" w:rsidRDefault="007049A5" w:rsidP="006C6267">
            <w:pPr>
              <w:suppressAutoHyphens w:val="0"/>
              <w:overflowPunct/>
              <w:autoSpaceDE/>
              <w:autoSpaceDN/>
              <w:adjustRightInd/>
              <w:jc w:val="left"/>
              <w:textAlignment w:val="auto"/>
              <w:rPr>
                <w:sz w:val="28"/>
              </w:rPr>
            </w:pPr>
            <w:r w:rsidRPr="004E4188">
              <w:t>Projet </w:t>
            </w:r>
          </w:p>
        </w:tc>
        <w:tc>
          <w:tcPr>
            <w:tcW w:w="3384" w:type="dxa"/>
          </w:tcPr>
          <w:p w14:paraId="55295034" w14:textId="77777777" w:rsidR="007049A5" w:rsidRPr="004E4188" w:rsidRDefault="007049A5" w:rsidP="006C6267">
            <w:pPr>
              <w:suppressAutoHyphens w:val="0"/>
              <w:overflowPunct/>
              <w:autoSpaceDE/>
              <w:autoSpaceDN/>
              <w:adjustRightInd/>
              <w:ind w:leftChars="-17" w:left="-41"/>
              <w:jc w:val="left"/>
              <w:textAlignment w:val="auto"/>
              <w:rPr>
                <w:sz w:val="28"/>
              </w:rPr>
            </w:pPr>
            <w:r w:rsidRPr="004E4188">
              <w:t xml:space="preserve">: </w:t>
            </w:r>
            <w:r w:rsidRPr="004E4188">
              <w:rPr>
                <w:iCs/>
              </w:rPr>
              <w:t>[</w:t>
            </w:r>
            <w:r w:rsidRPr="004E4188">
              <w:rPr>
                <w:i/>
                <w:iCs/>
              </w:rPr>
              <w:t>indiquer le nom du projet</w:t>
            </w:r>
            <w:r w:rsidRPr="004E4188">
              <w:rPr>
                <w:iCs/>
              </w:rPr>
              <w:t>]</w:t>
            </w:r>
          </w:p>
        </w:tc>
      </w:tr>
      <w:tr w:rsidR="007049A5" w:rsidRPr="004E4188" w14:paraId="0692E029" w14:textId="77777777" w:rsidTr="006C6267">
        <w:trPr>
          <w:trHeight w:val="316"/>
        </w:trPr>
        <w:tc>
          <w:tcPr>
            <w:tcW w:w="1272" w:type="dxa"/>
          </w:tcPr>
          <w:p w14:paraId="118B6412" w14:textId="77777777" w:rsidR="007049A5" w:rsidRPr="004E4188" w:rsidRDefault="007049A5" w:rsidP="006C6267">
            <w:pPr>
              <w:suppressAutoHyphens w:val="0"/>
              <w:overflowPunct/>
              <w:autoSpaceDE/>
              <w:autoSpaceDN/>
              <w:adjustRightInd/>
              <w:jc w:val="left"/>
              <w:textAlignment w:val="auto"/>
              <w:rPr>
                <w:sz w:val="28"/>
              </w:rPr>
            </w:pPr>
            <w:r w:rsidRPr="004E4188">
              <w:t>Marché </w:t>
            </w:r>
          </w:p>
        </w:tc>
        <w:tc>
          <w:tcPr>
            <w:tcW w:w="3384" w:type="dxa"/>
          </w:tcPr>
          <w:p w14:paraId="2B8ACACD" w14:textId="77777777" w:rsidR="007049A5" w:rsidRPr="004E4188" w:rsidRDefault="007049A5" w:rsidP="006C6267">
            <w:pPr>
              <w:suppressAutoHyphens w:val="0"/>
              <w:overflowPunct/>
              <w:autoSpaceDE/>
              <w:autoSpaceDN/>
              <w:adjustRightInd/>
              <w:ind w:leftChars="-17" w:left="-41"/>
              <w:jc w:val="left"/>
              <w:textAlignment w:val="auto"/>
              <w:rPr>
                <w:iCs/>
              </w:rPr>
            </w:pPr>
            <w:r w:rsidRPr="004E4188">
              <w:t xml:space="preserve">: </w:t>
            </w:r>
            <w:r w:rsidRPr="004E4188">
              <w:rPr>
                <w:iCs/>
              </w:rPr>
              <w:t>[</w:t>
            </w:r>
            <w:r w:rsidRPr="004E4188">
              <w:rPr>
                <w:i/>
                <w:iCs/>
              </w:rPr>
              <w:t>indiquer le nom du Marché</w:t>
            </w:r>
            <w:r w:rsidRPr="004E4188">
              <w:rPr>
                <w:iCs/>
              </w:rPr>
              <w:t>]</w:t>
            </w:r>
          </w:p>
        </w:tc>
      </w:tr>
    </w:tbl>
    <w:p w14:paraId="4BAE3586" w14:textId="77777777" w:rsidR="007049A5" w:rsidRPr="004E4188" w:rsidRDefault="007049A5" w:rsidP="006C6267">
      <w:pPr>
        <w:tabs>
          <w:tab w:val="right" w:pos="9000"/>
        </w:tabs>
        <w:rPr>
          <w:noProof/>
          <w:lang w:eastAsia="ja-JP"/>
        </w:rPr>
      </w:pPr>
    </w:p>
    <w:p w14:paraId="75482B18" w14:textId="77777777" w:rsidR="007049A5" w:rsidRPr="004E4188" w:rsidRDefault="007049A5" w:rsidP="006C6267"/>
    <w:p w14:paraId="6CAA3A9E" w14:textId="02938EFB" w:rsidR="007049A5" w:rsidRPr="004E4188" w:rsidRDefault="0072430E" w:rsidP="006C6267">
      <w:pPr>
        <w:jc w:val="left"/>
        <w:rPr>
          <w:lang w:eastAsia="ja-JP"/>
        </w:rPr>
      </w:pPr>
      <w:r w:rsidRPr="004E4188">
        <w:t xml:space="preserve">À </w:t>
      </w:r>
      <w:r w:rsidR="007049A5" w:rsidRPr="004E4188">
        <w:t xml:space="preserve">l’attention de : </w:t>
      </w:r>
      <w:r w:rsidR="007049A5" w:rsidRPr="004E4188">
        <w:rPr>
          <w:iCs/>
        </w:rPr>
        <w:t>[</w:t>
      </w:r>
      <w:r w:rsidR="007049A5" w:rsidRPr="004E4188">
        <w:rPr>
          <w:i/>
          <w:iCs/>
        </w:rPr>
        <w:t>indiquer le nom complet du Maître d’ouvrage</w:t>
      </w:r>
      <w:r w:rsidR="007049A5" w:rsidRPr="004E4188">
        <w:rPr>
          <w:iCs/>
        </w:rPr>
        <w:t>]</w:t>
      </w:r>
    </w:p>
    <w:p w14:paraId="5997A5D3" w14:textId="77777777" w:rsidR="007049A5" w:rsidRPr="004E4188" w:rsidRDefault="007049A5" w:rsidP="006C6267"/>
    <w:p w14:paraId="29C1752F" w14:textId="77777777" w:rsidR="007049A5" w:rsidRPr="004E4188" w:rsidRDefault="007049A5" w:rsidP="006C6267">
      <w:r w:rsidRPr="004E4188">
        <w:t xml:space="preserve">Nous, soussignés, attestons que : </w:t>
      </w:r>
    </w:p>
    <w:p w14:paraId="7DB94444" w14:textId="77777777" w:rsidR="007049A5" w:rsidRPr="004E4188" w:rsidRDefault="007049A5" w:rsidP="006C6267">
      <w:pPr>
        <w:rPr>
          <w:noProof/>
        </w:rPr>
      </w:pPr>
    </w:p>
    <w:p w14:paraId="477CEDBF" w14:textId="77777777" w:rsidR="007049A5" w:rsidRPr="004E4188" w:rsidRDefault="007049A5" w:rsidP="003D46CF">
      <w:pPr>
        <w:numPr>
          <w:ilvl w:val="0"/>
          <w:numId w:val="72"/>
        </w:numPr>
        <w:tabs>
          <w:tab w:val="left" w:pos="360"/>
          <w:tab w:val="right" w:pos="9000"/>
        </w:tabs>
      </w:pPr>
      <w:r w:rsidRPr="004E4188">
        <w:rPr>
          <w:noProof/>
        </w:rPr>
        <w:t>nous avons examiné le Dossier d’appel d’offres, y compris le(s) avenant(s) no [</w:t>
      </w:r>
      <w:r w:rsidRPr="004E4188">
        <w:rPr>
          <w:i/>
          <w:noProof/>
        </w:rPr>
        <w:t>insérer le numéro et la date de publication de chaque avenant</w:t>
      </w:r>
      <w:r w:rsidRPr="004E4188">
        <w:rPr>
          <w:noProof/>
        </w:rPr>
        <w:t>], publié(s) conformément aux dispositions des Instructions aux soumissionnaires (IS) 8</w:t>
      </w:r>
      <w:r w:rsidRPr="004E4188">
        <w:rPr>
          <w:rFonts w:hint="eastAsia"/>
          <w:noProof/>
          <w:lang w:eastAsia="ja-JP"/>
        </w:rPr>
        <w:t>,</w:t>
      </w:r>
      <w:r w:rsidRPr="004E4188">
        <w:rPr>
          <w:noProof/>
          <w:lang w:eastAsia="ja-JP"/>
        </w:rPr>
        <w:t xml:space="preserve"> ainsi que les exigences </w:t>
      </w:r>
      <w:r w:rsidRPr="004E4188">
        <w:rPr>
          <w:noProof/>
        </w:rPr>
        <w:t>incluses dans le mémorandum intitulé « Modifications requises suite à l’évaluation des offres de la première étape », et n’avons aucune réserve à leur égard ;</w:t>
      </w:r>
    </w:p>
    <w:p w14:paraId="1EB99AC5" w14:textId="77777777" w:rsidR="007049A5" w:rsidRPr="004E4188" w:rsidRDefault="007049A5" w:rsidP="006C6267">
      <w:pPr>
        <w:tabs>
          <w:tab w:val="right" w:pos="9000"/>
        </w:tabs>
        <w:ind w:left="360"/>
      </w:pPr>
    </w:p>
    <w:p w14:paraId="51733E00" w14:textId="77777777" w:rsidR="007049A5" w:rsidRPr="004E4188" w:rsidRDefault="007049A5" w:rsidP="003D46CF">
      <w:pPr>
        <w:numPr>
          <w:ilvl w:val="0"/>
          <w:numId w:val="72"/>
        </w:numPr>
        <w:tabs>
          <w:tab w:val="left" w:pos="360"/>
          <w:tab w:val="right" w:pos="9000"/>
        </w:tabs>
      </w:pPr>
      <w:r w:rsidRPr="004E4188">
        <w:rPr>
          <w:noProof/>
        </w:rPr>
        <w:t>nous, y compris tous nos sous-traitants, satisfaisons aux critères d’éligibilité, conformément à IS 4 et IS 5 ;</w:t>
      </w:r>
    </w:p>
    <w:p w14:paraId="4D1E55F3" w14:textId="77777777" w:rsidR="007049A5" w:rsidRPr="004E4188" w:rsidRDefault="007049A5" w:rsidP="006C6267">
      <w:pPr>
        <w:pStyle w:val="aff7"/>
        <w:ind w:left="960"/>
        <w:rPr>
          <w:noProof/>
          <w:lang w:val="fr-FR"/>
        </w:rPr>
      </w:pPr>
    </w:p>
    <w:p w14:paraId="1FD41DDA" w14:textId="77777777" w:rsidR="007049A5" w:rsidRPr="004E4188" w:rsidRDefault="007049A5" w:rsidP="003D46CF">
      <w:pPr>
        <w:numPr>
          <w:ilvl w:val="0"/>
          <w:numId w:val="72"/>
        </w:numPr>
        <w:tabs>
          <w:tab w:val="left" w:pos="360"/>
          <w:tab w:val="right" w:pos="9000"/>
        </w:tabs>
      </w:pPr>
      <w:r w:rsidRPr="004E4188">
        <w:rPr>
          <w:noProof/>
          <w:lang w:eastAsia="ja-JP"/>
        </w:rPr>
        <w:t>nous, y compris tous nos sous-traitants, n’avons pas de conflit d’intérêt, conformément à IS 4 ;</w:t>
      </w:r>
    </w:p>
    <w:p w14:paraId="2789EE1E" w14:textId="77777777" w:rsidR="007049A5" w:rsidRPr="004E4188" w:rsidRDefault="007049A5" w:rsidP="006C6267">
      <w:pPr>
        <w:pStyle w:val="aff7"/>
        <w:ind w:left="960"/>
        <w:rPr>
          <w:noProof/>
          <w:szCs w:val="24"/>
          <w:lang w:val="fr-FR"/>
        </w:rPr>
      </w:pPr>
    </w:p>
    <w:p w14:paraId="7180B808" w14:textId="77777777" w:rsidR="007049A5" w:rsidRPr="004E4188" w:rsidRDefault="007049A5" w:rsidP="003D46CF">
      <w:pPr>
        <w:numPr>
          <w:ilvl w:val="0"/>
          <w:numId w:val="72"/>
        </w:numPr>
        <w:tabs>
          <w:tab w:val="left" w:pos="360"/>
          <w:tab w:val="right" w:pos="9000"/>
        </w:tabs>
      </w:pPr>
      <w:r w:rsidRPr="004E4188">
        <w:rPr>
          <w:noProof/>
          <w:szCs w:val="24"/>
          <w:lang w:eastAsia="ja-JP"/>
        </w:rPr>
        <w:t>nous ne participons pas, en qualité de Soumissionnaire ou de sous-traitant, à plus d’une offre dans le cadre du présent appel d’offres, conformément à IS 4.2(c) ;</w:t>
      </w:r>
    </w:p>
    <w:p w14:paraId="72210184" w14:textId="77777777" w:rsidR="007049A5" w:rsidRPr="004E4188" w:rsidRDefault="007049A5" w:rsidP="006C6267">
      <w:pPr>
        <w:pStyle w:val="aff7"/>
        <w:ind w:left="960"/>
        <w:rPr>
          <w:noProof/>
          <w:lang w:val="fr-FR"/>
        </w:rPr>
      </w:pPr>
    </w:p>
    <w:p w14:paraId="77441378" w14:textId="2F9633EE" w:rsidR="007049A5" w:rsidRPr="004E4188" w:rsidRDefault="007049A5" w:rsidP="003D46CF">
      <w:pPr>
        <w:numPr>
          <w:ilvl w:val="0"/>
          <w:numId w:val="72"/>
        </w:numPr>
        <w:tabs>
          <w:tab w:val="left" w:pos="360"/>
          <w:tab w:val="right" w:pos="9000"/>
        </w:tabs>
      </w:pPr>
      <w:r w:rsidRPr="004E4188">
        <w:rPr>
          <w:noProof/>
        </w:rPr>
        <w:t xml:space="preserve">nous nous engageons à </w:t>
      </w:r>
      <w:r w:rsidRPr="004E4188">
        <w:t>réaliser,</w:t>
      </w:r>
      <w:r w:rsidRPr="004E4188">
        <w:rPr>
          <w:noProof/>
        </w:rPr>
        <w:t xml:space="preserve"> conformément au Dossier d’appel d’offres, au mémorandum et aux avenants au Dossier d’appel d’offres, suite à l’évaluation des offres de la première étape, </w:t>
      </w:r>
      <w:r w:rsidRPr="004E4188">
        <w:t>la conception, la fourniture et le montage des Installations</w:t>
      </w:r>
      <w:r w:rsidRPr="004E4188">
        <w:rPr>
          <w:noProof/>
        </w:rPr>
        <w:t xml:space="preserve"> suivants : </w:t>
      </w:r>
      <w:r w:rsidRPr="004E4188">
        <w:rPr>
          <w:iCs/>
          <w:noProof/>
        </w:rPr>
        <w:t>[</w:t>
      </w:r>
      <w:r w:rsidRPr="004E4188">
        <w:rPr>
          <w:i/>
          <w:iCs/>
          <w:noProof/>
        </w:rPr>
        <w:t xml:space="preserve">donner une description succincte des </w:t>
      </w:r>
      <w:r w:rsidRPr="004E4188">
        <w:rPr>
          <w:i/>
          <w:szCs w:val="24"/>
        </w:rPr>
        <w:t>É</w:t>
      </w:r>
      <w:r w:rsidRPr="004E4188">
        <w:rPr>
          <w:i/>
        </w:rPr>
        <w:t>quipements et Services de montage</w:t>
      </w:r>
      <w:r w:rsidRPr="004E4188">
        <w:rPr>
          <w:iCs/>
          <w:noProof/>
        </w:rPr>
        <w:t>]</w:t>
      </w:r>
      <w:r w:rsidRPr="004E4188">
        <w:rPr>
          <w:noProof/>
        </w:rPr>
        <w:t xml:space="preserve"> ; </w:t>
      </w:r>
    </w:p>
    <w:p w14:paraId="09ABDFCD" w14:textId="77777777" w:rsidR="007049A5" w:rsidRPr="004E4188" w:rsidRDefault="007049A5" w:rsidP="006C6267">
      <w:pPr>
        <w:tabs>
          <w:tab w:val="right" w:pos="9000"/>
        </w:tabs>
        <w:rPr>
          <w:noProof/>
        </w:rPr>
      </w:pPr>
    </w:p>
    <w:p w14:paraId="21B58308" w14:textId="77777777" w:rsidR="007049A5" w:rsidRPr="004E4188" w:rsidRDefault="007049A5" w:rsidP="003D46CF">
      <w:pPr>
        <w:numPr>
          <w:ilvl w:val="0"/>
          <w:numId w:val="72"/>
        </w:numPr>
        <w:tabs>
          <w:tab w:val="left" w:pos="360"/>
          <w:tab w:val="right" w:pos="9000"/>
        </w:tabs>
        <w:suppressAutoHyphens w:val="0"/>
      </w:pPr>
      <w:r w:rsidRPr="004E4188">
        <w:t>le montant total de notre offre, hors rabais offert au point g) ci-après est de :</w:t>
      </w:r>
    </w:p>
    <w:p w14:paraId="4B708F4A" w14:textId="77777777" w:rsidR="007049A5" w:rsidRPr="004E4188" w:rsidRDefault="007049A5" w:rsidP="006C6267">
      <w:pPr>
        <w:tabs>
          <w:tab w:val="left" w:pos="360"/>
          <w:tab w:val="right" w:pos="9000"/>
        </w:tabs>
        <w:ind w:left="357"/>
      </w:pPr>
      <w:r w:rsidRPr="004E4188">
        <w:t>[</w:t>
      </w:r>
      <w:r w:rsidRPr="004E4188">
        <w:rPr>
          <w:i/>
          <w:u w:val="single"/>
        </w:rPr>
        <w:t>Dans le cas d’un lot unique, indiquer le montant total de l’offre en lettres et en chiffres, en précisant les montants dans les monnaies respectives.</w:t>
      </w:r>
      <w:r w:rsidRPr="004E4188">
        <w:t>] </w:t>
      </w:r>
    </w:p>
    <w:p w14:paraId="3835EB5E" w14:textId="77777777" w:rsidR="007049A5" w:rsidRPr="004E4188" w:rsidRDefault="007049A5" w:rsidP="006C6267">
      <w:pPr>
        <w:tabs>
          <w:tab w:val="left" w:pos="360"/>
          <w:tab w:val="right" w:pos="9000"/>
        </w:tabs>
        <w:ind w:left="357"/>
      </w:pPr>
    </w:p>
    <w:p w14:paraId="079334B1" w14:textId="77777777" w:rsidR="007049A5" w:rsidRPr="004E4188" w:rsidRDefault="007049A5" w:rsidP="006C6267">
      <w:pPr>
        <w:tabs>
          <w:tab w:val="left" w:pos="360"/>
          <w:tab w:val="right" w:pos="9000"/>
        </w:tabs>
        <w:ind w:left="357"/>
        <w:rPr>
          <w:i/>
          <w:u w:val="single"/>
        </w:rPr>
      </w:pPr>
      <w:r w:rsidRPr="004E4188">
        <w:t>[</w:t>
      </w:r>
      <w:r w:rsidRPr="004E4188">
        <w:rPr>
          <w:i/>
          <w:u w:val="single"/>
        </w:rPr>
        <w:t>En cas de lots multiples, indiquer :</w:t>
      </w:r>
    </w:p>
    <w:p w14:paraId="35591EFA" w14:textId="77777777" w:rsidR="007049A5" w:rsidRPr="004E4188" w:rsidRDefault="007049A5" w:rsidP="003D46CF">
      <w:pPr>
        <w:widowControl w:val="0"/>
        <w:numPr>
          <w:ilvl w:val="0"/>
          <w:numId w:val="71"/>
        </w:numPr>
        <w:tabs>
          <w:tab w:val="left" w:pos="360"/>
          <w:tab w:val="right" w:pos="9000"/>
        </w:tabs>
        <w:rPr>
          <w:szCs w:val="24"/>
          <w:u w:val="single"/>
          <w:lang w:eastAsia="ja-JP"/>
        </w:rPr>
      </w:pPr>
      <w:r w:rsidRPr="004E4188">
        <w:rPr>
          <w:i/>
          <w:szCs w:val="24"/>
          <w:u w:val="single"/>
          <w:lang w:eastAsia="ja-JP"/>
        </w:rPr>
        <w:t>le montant total de chaque lot ; et</w:t>
      </w:r>
    </w:p>
    <w:p w14:paraId="37062AE5" w14:textId="77777777" w:rsidR="007049A5" w:rsidRPr="004E4188" w:rsidRDefault="007049A5" w:rsidP="003D46CF">
      <w:pPr>
        <w:widowControl w:val="0"/>
        <w:numPr>
          <w:ilvl w:val="0"/>
          <w:numId w:val="71"/>
        </w:numPr>
        <w:tabs>
          <w:tab w:val="left" w:pos="360"/>
          <w:tab w:val="right" w:pos="9000"/>
        </w:tabs>
        <w:rPr>
          <w:szCs w:val="24"/>
          <w:u w:val="single"/>
          <w:lang w:eastAsia="ja-JP"/>
        </w:rPr>
      </w:pPr>
      <w:r w:rsidRPr="004E4188">
        <w:rPr>
          <w:i/>
          <w:szCs w:val="24"/>
          <w:u w:val="single"/>
          <w:lang w:eastAsia="ja-JP"/>
        </w:rPr>
        <w:t>le montant total de l’ensemble des lots ;</w:t>
      </w:r>
    </w:p>
    <w:p w14:paraId="02A87760" w14:textId="77777777" w:rsidR="007049A5" w:rsidRPr="004E4188" w:rsidRDefault="007049A5" w:rsidP="006C6267">
      <w:pPr>
        <w:tabs>
          <w:tab w:val="left" w:pos="360"/>
          <w:tab w:val="right" w:pos="9000"/>
        </w:tabs>
        <w:ind w:left="357"/>
        <w:rPr>
          <w:szCs w:val="24"/>
        </w:rPr>
      </w:pPr>
      <w:r w:rsidRPr="004E4188">
        <w:rPr>
          <w:i/>
          <w:szCs w:val="24"/>
          <w:u w:val="single"/>
        </w:rPr>
        <w:t>en lettres et en chiffres, en précisant les montants dans les monnaies respectives.</w:t>
      </w:r>
      <w:r w:rsidRPr="004E4188">
        <w:rPr>
          <w:szCs w:val="24"/>
        </w:rPr>
        <w:t>] ;</w:t>
      </w:r>
    </w:p>
    <w:p w14:paraId="13F84BBC" w14:textId="77777777" w:rsidR="007049A5" w:rsidRPr="004E4188" w:rsidRDefault="007049A5" w:rsidP="006C6267">
      <w:pPr>
        <w:tabs>
          <w:tab w:val="right" w:pos="9000"/>
        </w:tabs>
        <w:rPr>
          <w:noProof/>
          <w:lang w:eastAsia="ja-JP"/>
        </w:rPr>
      </w:pPr>
    </w:p>
    <w:p w14:paraId="377E2512" w14:textId="77777777" w:rsidR="007049A5" w:rsidRPr="004E4188" w:rsidRDefault="007049A5" w:rsidP="003D46CF">
      <w:pPr>
        <w:numPr>
          <w:ilvl w:val="0"/>
          <w:numId w:val="72"/>
        </w:numPr>
        <w:tabs>
          <w:tab w:val="left" w:pos="360"/>
          <w:tab w:val="right" w:pos="9000"/>
        </w:tabs>
      </w:pPr>
      <w:r w:rsidRPr="004E4188">
        <w:t>les rabais offerts et leurs modalités d’application sont les suivants :</w:t>
      </w:r>
    </w:p>
    <w:p w14:paraId="7D60EFBD" w14:textId="77777777" w:rsidR="007049A5" w:rsidRPr="004E4188" w:rsidRDefault="007049A5" w:rsidP="006C6267">
      <w:pPr>
        <w:tabs>
          <w:tab w:val="left" w:pos="360"/>
          <w:tab w:val="right" w:pos="9000"/>
        </w:tabs>
        <w:ind w:left="357"/>
      </w:pPr>
    </w:p>
    <w:p w14:paraId="0ADA1B73" w14:textId="77777777" w:rsidR="007049A5" w:rsidRPr="004E4188" w:rsidRDefault="007049A5" w:rsidP="006C6267">
      <w:pPr>
        <w:tabs>
          <w:tab w:val="left" w:pos="360"/>
          <w:tab w:val="right" w:pos="9000"/>
        </w:tabs>
        <w:ind w:left="357"/>
      </w:pPr>
      <w:r w:rsidRPr="004E4188">
        <w:t>Les rabais offerts sont : [</w:t>
      </w:r>
      <w:r w:rsidRPr="004E4188">
        <w:rPr>
          <w:i/>
        </w:rPr>
        <w:t>détailler tous les rabais offerts.</w:t>
      </w:r>
      <w:r w:rsidRPr="004E4188">
        <w:t>]</w:t>
      </w:r>
    </w:p>
    <w:p w14:paraId="6C5BD2EE" w14:textId="77777777" w:rsidR="007049A5" w:rsidRPr="004E4188" w:rsidRDefault="007049A5" w:rsidP="006C6267">
      <w:pPr>
        <w:tabs>
          <w:tab w:val="left" w:pos="360"/>
          <w:tab w:val="right" w:pos="9000"/>
        </w:tabs>
        <w:ind w:left="357"/>
      </w:pPr>
    </w:p>
    <w:p w14:paraId="19B7F198" w14:textId="77777777" w:rsidR="007049A5" w:rsidRPr="004E4188" w:rsidRDefault="007049A5" w:rsidP="006C6267">
      <w:pPr>
        <w:tabs>
          <w:tab w:val="left" w:pos="360"/>
          <w:tab w:val="right" w:pos="9000"/>
        </w:tabs>
        <w:ind w:left="357"/>
      </w:pPr>
      <w:r w:rsidRPr="004E4188">
        <w:t>La méthode précise de calcul pour déterminer le montant de l’offre après application des rabais est : [</w:t>
      </w:r>
      <w:r w:rsidRPr="004E4188">
        <w:rPr>
          <w:i/>
        </w:rPr>
        <w:t>spécifier précisément la méthodologie qui doit être utilisée pour appliquer les rabais</w:t>
      </w:r>
      <w:r w:rsidRPr="004E4188">
        <w:t>]</w:t>
      </w:r>
      <w:r w:rsidRPr="004E4188">
        <w:rPr>
          <w:szCs w:val="24"/>
        </w:rPr>
        <w:t xml:space="preserve"> </w:t>
      </w:r>
      <w:r w:rsidRPr="004E4188">
        <w:t>;</w:t>
      </w:r>
    </w:p>
    <w:p w14:paraId="40BC14E2" w14:textId="77777777" w:rsidR="007049A5" w:rsidRPr="004E4188" w:rsidRDefault="007049A5" w:rsidP="006C6267">
      <w:pPr>
        <w:tabs>
          <w:tab w:val="left" w:pos="360"/>
          <w:tab w:val="right" w:pos="9000"/>
        </w:tabs>
        <w:ind w:left="357"/>
      </w:pPr>
    </w:p>
    <w:p w14:paraId="0A79F294" w14:textId="77777777" w:rsidR="007049A5" w:rsidRPr="004E4188" w:rsidRDefault="007049A5" w:rsidP="003D46CF">
      <w:pPr>
        <w:numPr>
          <w:ilvl w:val="0"/>
          <w:numId w:val="74"/>
        </w:numPr>
        <w:rPr>
          <w:kern w:val="28"/>
        </w:rPr>
      </w:pPr>
      <w:r w:rsidRPr="004E4188">
        <w:rPr>
          <w:kern w:val="28"/>
        </w:rPr>
        <w:t>notre offre demeurera valide pour une période de [</w:t>
      </w:r>
      <w:r w:rsidRPr="004E4188">
        <w:rPr>
          <w:i/>
          <w:kern w:val="28"/>
        </w:rPr>
        <w:t>indiquer le nombre de jours calendaires</w:t>
      </w:r>
      <w:r w:rsidRPr="004E4188">
        <w:rPr>
          <w:kern w:val="28"/>
        </w:rPr>
        <w:t>] jours à compter de la date limite fixée pour la remise des offres de la deuxième étape comme indiquée dans l’Invitation à soumissionner pour la deuxième étape ; cette offre nous engage et pourra être acceptée à tout moment avant l’expiration de cette période ;</w:t>
      </w:r>
    </w:p>
    <w:p w14:paraId="035BCE64" w14:textId="77777777" w:rsidR="007049A5" w:rsidRPr="004E4188" w:rsidRDefault="007049A5" w:rsidP="006C6267">
      <w:pPr>
        <w:ind w:left="420"/>
        <w:rPr>
          <w:kern w:val="28"/>
        </w:rPr>
      </w:pPr>
    </w:p>
    <w:p w14:paraId="740995C3" w14:textId="77777777" w:rsidR="007049A5" w:rsidRPr="004E4188" w:rsidRDefault="007049A5" w:rsidP="003D46CF">
      <w:pPr>
        <w:numPr>
          <w:ilvl w:val="0"/>
          <w:numId w:val="74"/>
        </w:numPr>
        <w:rPr>
          <w:kern w:val="28"/>
        </w:rPr>
      </w:pPr>
      <w:r w:rsidRPr="004E4188">
        <w:rPr>
          <w:kern w:val="28"/>
        </w:rPr>
        <w:t>si notre offre est acceptée, nous nous engageons à obtenir une garantie de bonne exécution conformément au Dossier d’appel d’offres ;</w:t>
      </w:r>
    </w:p>
    <w:p w14:paraId="2EC345F6" w14:textId="77777777" w:rsidR="007049A5" w:rsidRPr="004E4188" w:rsidRDefault="007049A5" w:rsidP="006C6267">
      <w:pPr>
        <w:widowControl w:val="0"/>
        <w:rPr>
          <w:rFonts w:ascii="Century" w:hAnsi="Century"/>
          <w:sz w:val="21"/>
          <w:lang w:eastAsia="ja-JP"/>
        </w:rPr>
      </w:pPr>
    </w:p>
    <w:p w14:paraId="145FCC68" w14:textId="0BA2869F" w:rsidR="007049A5" w:rsidRPr="004E4188" w:rsidRDefault="007049A5" w:rsidP="003D46CF">
      <w:pPr>
        <w:numPr>
          <w:ilvl w:val="0"/>
          <w:numId w:val="74"/>
        </w:numPr>
        <w:rPr>
          <w:kern w:val="28"/>
        </w:rPr>
      </w:pPr>
      <w:r w:rsidRPr="004E4188">
        <w:t xml:space="preserve">nous comprenons que la présente offre, et votre acceptation écrite de celle-ci figurant dans la Lettre d’acceptation de l’offre, constitueront un engagement réciproque entre nous, jusqu’à ce que le Marché soit formellement rédigé et signé </w:t>
      </w:r>
      <w:r w:rsidRPr="004E4188">
        <w:rPr>
          <w:kern w:val="28"/>
        </w:rPr>
        <w:t xml:space="preserve">; </w:t>
      </w:r>
    </w:p>
    <w:p w14:paraId="3A3163AF" w14:textId="77777777" w:rsidR="007049A5" w:rsidRPr="004E4188" w:rsidRDefault="007049A5" w:rsidP="006C6267">
      <w:pPr>
        <w:widowControl w:val="0"/>
        <w:rPr>
          <w:rFonts w:ascii="Century" w:hAnsi="Century"/>
          <w:sz w:val="21"/>
          <w:lang w:eastAsia="ja-JP"/>
        </w:rPr>
      </w:pPr>
    </w:p>
    <w:p w14:paraId="13CA095E" w14:textId="77777777" w:rsidR="007049A5" w:rsidRPr="004E4188" w:rsidRDefault="007049A5" w:rsidP="003D46CF">
      <w:pPr>
        <w:numPr>
          <w:ilvl w:val="0"/>
          <w:numId w:val="74"/>
        </w:numPr>
        <w:rPr>
          <w:kern w:val="28"/>
        </w:rPr>
      </w:pPr>
      <w:r w:rsidRPr="004E4188">
        <w:rPr>
          <w:kern w:val="28"/>
        </w:rPr>
        <w:t>nous comprenons que vous n’êtes tenu d’accepter ni l’offre évaluée la moins-disante, ni toute autre offre que vous pourriez recevoir ; et</w:t>
      </w:r>
    </w:p>
    <w:p w14:paraId="48D617FD" w14:textId="77777777" w:rsidR="007049A5" w:rsidRPr="004E4188" w:rsidRDefault="007049A5" w:rsidP="006C6267">
      <w:pPr>
        <w:pStyle w:val="aff7"/>
        <w:spacing w:line="240" w:lineRule="auto"/>
        <w:ind w:left="960"/>
        <w:rPr>
          <w:noProof/>
          <w:lang w:val="fr-FR"/>
        </w:rPr>
      </w:pPr>
    </w:p>
    <w:p w14:paraId="586331A1" w14:textId="77777777" w:rsidR="007049A5" w:rsidRPr="004E4188" w:rsidRDefault="007049A5" w:rsidP="003D46CF">
      <w:pPr>
        <w:numPr>
          <w:ilvl w:val="0"/>
          <w:numId w:val="74"/>
        </w:numPr>
        <w:rPr>
          <w:kern w:val="28"/>
        </w:rPr>
      </w:pPr>
      <w:r w:rsidRPr="004E4188">
        <w:rPr>
          <w:noProof/>
          <w:lang w:eastAsia="ja-JP"/>
        </w:rPr>
        <w:t>nous certifions par la présente que nous avons pris les mesures nécessaires afin d’assurer qu’aucune personne agissant en notre nom ou pour notre compte ne puisse se livrer à des pratiques corrompues ou frauduleuses.</w:t>
      </w:r>
    </w:p>
    <w:p w14:paraId="7073DCD4" w14:textId="77777777" w:rsidR="007049A5" w:rsidRPr="004E4188" w:rsidRDefault="007049A5" w:rsidP="006C6267">
      <w:pPr>
        <w:tabs>
          <w:tab w:val="right" w:pos="9000"/>
        </w:tabs>
        <w:rPr>
          <w:noProof/>
        </w:rPr>
      </w:pPr>
    </w:p>
    <w:p w14:paraId="27EBAE13" w14:textId="77777777" w:rsidR="007049A5" w:rsidRPr="004E4188" w:rsidRDefault="007049A5" w:rsidP="006C6267">
      <w:pPr>
        <w:spacing w:after="180"/>
        <w:jc w:val="left"/>
      </w:pPr>
      <w:r w:rsidRPr="004E4188">
        <w:t>Nom du Soumissionnaire</w:t>
      </w:r>
      <w:r w:rsidRPr="004E4188">
        <w:rPr>
          <w:bCs/>
          <w:iCs/>
          <w:vertAlign w:val="superscript"/>
        </w:rPr>
        <w:t>1</w:t>
      </w:r>
      <w:r w:rsidRPr="004E4188">
        <w:t xml:space="preserve"> [</w:t>
      </w:r>
      <w:r w:rsidRPr="004E4188">
        <w:rPr>
          <w:i/>
        </w:rPr>
        <w:t xml:space="preserve">indiquer le nom </w:t>
      </w:r>
      <w:r w:rsidRPr="004E4188">
        <w:rPr>
          <w:rFonts w:hint="eastAsia"/>
          <w:i/>
          <w:lang w:eastAsia="ja-JP"/>
        </w:rPr>
        <w:t>c</w:t>
      </w:r>
      <w:r w:rsidRPr="004E4188">
        <w:rPr>
          <w:i/>
          <w:lang w:eastAsia="ja-JP"/>
        </w:rPr>
        <w:t>omplet d</w:t>
      </w:r>
      <w:r w:rsidRPr="004E4188">
        <w:rPr>
          <w:i/>
        </w:rPr>
        <w:t>u Soumissionnaire</w:t>
      </w:r>
      <w:r w:rsidRPr="004E4188">
        <w:t>]</w:t>
      </w:r>
    </w:p>
    <w:p w14:paraId="1781C886" w14:textId="77777777" w:rsidR="007049A5" w:rsidRPr="004E4188" w:rsidRDefault="007049A5" w:rsidP="006C6267">
      <w:pPr>
        <w:spacing w:after="180"/>
        <w:jc w:val="left"/>
      </w:pPr>
      <w:r w:rsidRPr="004E4188">
        <w:t>Nom du signataire habilité à signer l’offre au nom du Soumissionnaire</w:t>
      </w:r>
      <w:r w:rsidRPr="004E4188">
        <w:rPr>
          <w:bCs/>
          <w:iCs/>
          <w:vertAlign w:val="superscript"/>
        </w:rPr>
        <w:t>2</w:t>
      </w:r>
      <w:r w:rsidRPr="004E4188">
        <w:rPr>
          <w:bCs/>
          <w:iCs/>
        </w:rPr>
        <w:t xml:space="preserve"> [</w:t>
      </w:r>
      <w:r w:rsidRPr="004E4188">
        <w:rPr>
          <w:bCs/>
          <w:i/>
          <w:iCs/>
        </w:rPr>
        <w:t>indiquer le nom complet du signataire habilité à signer l’offre</w:t>
      </w:r>
      <w:r w:rsidRPr="004E4188">
        <w:rPr>
          <w:bCs/>
          <w:iCs/>
        </w:rPr>
        <w:t>]</w:t>
      </w:r>
    </w:p>
    <w:p w14:paraId="68F68A4E" w14:textId="77777777" w:rsidR="007049A5" w:rsidRPr="004E4188" w:rsidRDefault="007049A5" w:rsidP="006C6267">
      <w:pPr>
        <w:spacing w:after="180"/>
        <w:jc w:val="left"/>
      </w:pPr>
      <w:r w:rsidRPr="004E4188">
        <w:t>Titre du signataire habilité [</w:t>
      </w:r>
      <w:r w:rsidRPr="004E4188">
        <w:rPr>
          <w:i/>
        </w:rPr>
        <w:t>indiquer le titre complet du signataire</w:t>
      </w:r>
      <w:r w:rsidRPr="004E4188">
        <w:t>]</w:t>
      </w:r>
    </w:p>
    <w:p w14:paraId="5524B311" w14:textId="77777777" w:rsidR="007049A5" w:rsidRPr="004E4188" w:rsidRDefault="007049A5" w:rsidP="006C6267">
      <w:pPr>
        <w:spacing w:after="180"/>
        <w:jc w:val="left"/>
      </w:pPr>
      <w:r w:rsidRPr="004E4188">
        <w:t>Signature de la personne désignée ci-dessus [</w:t>
      </w:r>
      <w:r w:rsidRPr="004E4188">
        <w:rPr>
          <w:i/>
        </w:rPr>
        <w:t>insérer la signature</w:t>
      </w:r>
      <w:r w:rsidRPr="004E4188">
        <w:t>]</w:t>
      </w:r>
    </w:p>
    <w:p w14:paraId="7BF6801E" w14:textId="77777777" w:rsidR="007049A5" w:rsidRPr="004E4188" w:rsidRDefault="007049A5" w:rsidP="006C6267">
      <w:pPr>
        <w:spacing w:after="120"/>
        <w:jc w:val="left"/>
        <w:rPr>
          <w:b/>
        </w:rPr>
      </w:pPr>
      <w:r w:rsidRPr="004E4188">
        <w:t xml:space="preserve">Signé le </w:t>
      </w:r>
      <w:r w:rsidRPr="004E4188">
        <w:rPr>
          <w:szCs w:val="24"/>
        </w:rPr>
        <w:t>[</w:t>
      </w:r>
      <w:r w:rsidRPr="004E4188">
        <w:rPr>
          <w:i/>
          <w:szCs w:val="24"/>
        </w:rPr>
        <w:t>indiquer la date</w:t>
      </w:r>
      <w:r w:rsidRPr="004E4188">
        <w:t>]</w:t>
      </w:r>
    </w:p>
    <w:p w14:paraId="3A9E0326" w14:textId="77777777" w:rsidR="007049A5" w:rsidRPr="004E4188" w:rsidRDefault="007049A5" w:rsidP="006C6267">
      <w:pPr>
        <w:jc w:val="left"/>
      </w:pPr>
    </w:p>
    <w:p w14:paraId="5AEB9335" w14:textId="2A8A3E50" w:rsidR="007049A5" w:rsidRPr="004E4188" w:rsidRDefault="007049A5" w:rsidP="006C6267">
      <w:pPr>
        <w:spacing w:after="120"/>
        <w:jc w:val="left"/>
        <w:rPr>
          <w:u w:val="single"/>
        </w:rPr>
      </w:pPr>
      <w:r w:rsidRPr="004E4188">
        <w:rPr>
          <w:rFonts w:hint="eastAsia"/>
          <w:u w:val="single"/>
        </w:rPr>
        <w:t>Notes à l</w:t>
      </w:r>
      <w:r w:rsidRPr="004E4188">
        <w:rPr>
          <w:u w:val="single"/>
        </w:rPr>
        <w:t>’intention d</w:t>
      </w:r>
      <w:r w:rsidR="00A445E0" w:rsidRPr="004E4188">
        <w:rPr>
          <w:u w:val="single"/>
          <w:lang w:eastAsia="ja-JP"/>
        </w:rPr>
        <w:t>es</w:t>
      </w:r>
      <w:r w:rsidRPr="004E4188">
        <w:rPr>
          <w:u w:val="single"/>
        </w:rPr>
        <w:t xml:space="preserve"> Soumissionnaire</w:t>
      </w:r>
      <w:r w:rsidR="00A445E0" w:rsidRPr="004E4188">
        <w:rPr>
          <w:u w:val="single"/>
        </w:rPr>
        <w:t>s</w:t>
      </w:r>
    </w:p>
    <w:p w14:paraId="1A7B4042" w14:textId="77777777" w:rsidR="007049A5" w:rsidRPr="004E4188" w:rsidRDefault="007049A5" w:rsidP="003D46CF">
      <w:pPr>
        <w:widowControl w:val="0"/>
        <w:numPr>
          <w:ilvl w:val="0"/>
          <w:numId w:val="73"/>
        </w:numPr>
        <w:ind w:left="284" w:hanging="284"/>
        <w:jc w:val="left"/>
        <w:rPr>
          <w:szCs w:val="24"/>
          <w:lang w:eastAsia="ja-JP"/>
        </w:rPr>
      </w:pPr>
      <w:r w:rsidRPr="004E4188">
        <w:rPr>
          <w:bCs/>
          <w:iCs/>
          <w:szCs w:val="24"/>
          <w:lang w:eastAsia="ja-JP"/>
        </w:rPr>
        <w:t>D</w:t>
      </w:r>
      <w:r w:rsidRPr="004E4188">
        <w:rPr>
          <w:szCs w:val="24"/>
          <w:lang w:eastAsia="ja-JP"/>
        </w:rPr>
        <w:t>ans le cas d’une offre remise par un Groupement, donner le nom du Groupement.</w:t>
      </w:r>
    </w:p>
    <w:p w14:paraId="3C2AE4E2" w14:textId="3D358DFA" w:rsidR="003821C4" w:rsidRPr="004E4188" w:rsidRDefault="007049A5" w:rsidP="003D46CF">
      <w:pPr>
        <w:widowControl w:val="0"/>
        <w:numPr>
          <w:ilvl w:val="0"/>
          <w:numId w:val="73"/>
        </w:numPr>
        <w:ind w:left="284" w:hanging="284"/>
        <w:jc w:val="left"/>
      </w:pPr>
      <w:r w:rsidRPr="004E4188">
        <w:rPr>
          <w:bCs/>
          <w:iCs/>
          <w:szCs w:val="24"/>
          <w:lang w:eastAsia="ja-JP"/>
        </w:rPr>
        <w:t xml:space="preserve">Joindre la procuration du signataire spécifiant qu’il est habilité à signer au nom du Soumissionnaire. </w:t>
      </w:r>
      <w:r w:rsidR="003821C4" w:rsidRPr="004E4188">
        <w:br w:type="page"/>
      </w:r>
    </w:p>
    <w:p w14:paraId="549B7FA7" w14:textId="77777777" w:rsidR="007049A5" w:rsidRPr="004E4188" w:rsidRDefault="007049A5" w:rsidP="006C6267">
      <w:pPr>
        <w:pStyle w:val="SectionIVoption"/>
        <w:rPr>
          <w:noProof/>
          <w:lang w:val="fr-FR"/>
        </w:rPr>
      </w:pPr>
      <w:bookmarkStart w:id="495" w:name="_Toc112429298"/>
      <w:bookmarkStart w:id="496" w:name="_Toc527716844"/>
      <w:r w:rsidRPr="004E4188">
        <w:rPr>
          <w:lang w:val="fr-FR"/>
        </w:rPr>
        <w:t>&lt; Formulaires communs à l’option A : appel d’offres à une étape-deux enveloppes et l’option B : appel d’offres à deux étapes-une enveloppe &gt;</w:t>
      </w:r>
      <w:bookmarkEnd w:id="495"/>
      <w:r w:rsidRPr="004E4188">
        <w:rPr>
          <w:noProof/>
          <w:lang w:val="fr-FR"/>
        </w:rPr>
        <w:t xml:space="preserve"> </w:t>
      </w:r>
      <w:bookmarkEnd w:id="496"/>
    </w:p>
    <w:tbl>
      <w:tblPr>
        <w:tblW w:w="9072" w:type="dxa"/>
        <w:tblLayout w:type="fixed"/>
        <w:tblLook w:val="0000" w:firstRow="0" w:lastRow="0" w:firstColumn="0" w:lastColumn="0" w:noHBand="0" w:noVBand="0"/>
      </w:tblPr>
      <w:tblGrid>
        <w:gridCol w:w="9072"/>
      </w:tblGrid>
      <w:tr w:rsidR="007049A5" w:rsidRPr="004E4188" w14:paraId="094ADE22" w14:textId="77777777" w:rsidTr="006C6267">
        <w:trPr>
          <w:trHeight w:val="900"/>
        </w:trPr>
        <w:tc>
          <w:tcPr>
            <w:tcW w:w="9072" w:type="dxa"/>
            <w:vAlign w:val="center"/>
          </w:tcPr>
          <w:p w14:paraId="12F98408" w14:textId="77777777" w:rsidR="007049A5" w:rsidRPr="004E4188" w:rsidRDefault="007049A5" w:rsidP="006C6267">
            <w:pPr>
              <w:pStyle w:val="SectionIVHeader"/>
              <w:rPr>
                <w:b w:val="0"/>
                <w:noProof/>
                <w:lang w:val="fr-FR" w:eastAsia="ja-JP"/>
              </w:rPr>
            </w:pPr>
            <w:r w:rsidRPr="004E4188">
              <w:rPr>
                <w:b w:val="0"/>
                <w:lang w:val="fr-FR"/>
              </w:rPr>
              <w:br w:type="page"/>
            </w:r>
            <w:bookmarkStart w:id="497" w:name="_Toc86100051"/>
            <w:bookmarkStart w:id="498" w:name="_Toc89380376"/>
            <w:bookmarkStart w:id="499" w:name="_Toc89383038"/>
            <w:bookmarkStart w:id="500" w:name="_Toc89423470"/>
            <w:bookmarkStart w:id="501" w:name="_Toc112429299"/>
            <w:r w:rsidRPr="004E4188">
              <w:rPr>
                <w:lang w:val="fr-FR"/>
              </w:rPr>
              <w:t>Données</w:t>
            </w:r>
            <w:r w:rsidRPr="004E4188">
              <w:rPr>
                <w:lang w:val="fr-FR" w:eastAsia="ja-JP"/>
              </w:rPr>
              <w:t xml:space="preserve"> de révision des prix</w:t>
            </w:r>
            <w:bookmarkEnd w:id="497"/>
            <w:bookmarkEnd w:id="498"/>
            <w:bookmarkEnd w:id="499"/>
            <w:bookmarkEnd w:id="500"/>
            <w:bookmarkEnd w:id="501"/>
          </w:p>
        </w:tc>
      </w:tr>
    </w:tbl>
    <w:p w14:paraId="18386CCF" w14:textId="77777777" w:rsidR="007049A5" w:rsidRPr="004E4188" w:rsidRDefault="007049A5" w:rsidP="006C6267">
      <w:pPr>
        <w:suppressAutoHyphens w:val="0"/>
        <w:overflowPunct/>
        <w:autoSpaceDE/>
        <w:autoSpaceDN/>
        <w:adjustRightInd/>
        <w:jc w:val="left"/>
        <w:textAlignment w:val="auto"/>
        <w:rPr>
          <w:noProof/>
          <w:szCs w:val="24"/>
          <w:lang w:eastAsia="en-US"/>
        </w:rPr>
      </w:pPr>
    </w:p>
    <w:p w14:paraId="47B30C5A" w14:textId="77777777" w:rsidR="007049A5" w:rsidRPr="004E4188" w:rsidRDefault="007049A5" w:rsidP="006C6267">
      <w:pPr>
        <w:suppressAutoHyphens w:val="0"/>
        <w:overflowPunct/>
        <w:autoSpaceDE/>
        <w:autoSpaceDN/>
        <w:adjustRightInd/>
        <w:jc w:val="center"/>
        <w:textAlignment w:val="auto"/>
        <w:rPr>
          <w:rFonts w:eastAsia="Arial Unicode MS"/>
          <w:sz w:val="28"/>
          <w:szCs w:val="28"/>
          <w:lang w:val="en-GB" w:eastAsia="ja-JP"/>
        </w:rPr>
      </w:pPr>
      <w:r w:rsidRPr="004E4188">
        <w:rPr>
          <w:rFonts w:eastAsia="Arial Unicode MS"/>
          <w:sz w:val="28"/>
          <w:szCs w:val="28"/>
          <w:lang w:val="en-GB" w:eastAsia="en-US"/>
        </w:rPr>
        <w:t>Tableau A : Monnaie nationale</w:t>
      </w:r>
    </w:p>
    <w:p w14:paraId="3AEDB9A7" w14:textId="77777777" w:rsidR="007049A5" w:rsidRPr="004E4188" w:rsidRDefault="007049A5" w:rsidP="006C6267">
      <w:pPr>
        <w:suppressAutoHyphens w:val="0"/>
        <w:overflowPunct/>
        <w:autoSpaceDE/>
        <w:autoSpaceDN/>
        <w:adjustRightInd/>
        <w:textAlignment w:val="auto"/>
        <w:rPr>
          <w:rFonts w:eastAsia="Arial Unicode MS"/>
          <w:sz w:val="28"/>
          <w:szCs w:val="28"/>
          <w:lang w:val="en-GB" w:eastAsia="ja-JP"/>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049A5" w:rsidRPr="004E4188" w14:paraId="7A97AE18" w14:textId="77777777" w:rsidTr="006C6267">
        <w:tc>
          <w:tcPr>
            <w:tcW w:w="9355" w:type="dxa"/>
            <w:shd w:val="clear" w:color="auto" w:fill="auto"/>
          </w:tcPr>
          <w:p w14:paraId="4CF81728" w14:textId="77777777" w:rsidR="007049A5" w:rsidRPr="004E4188" w:rsidRDefault="007049A5" w:rsidP="006C6267">
            <w:pPr>
              <w:suppressAutoHyphens w:val="0"/>
              <w:overflowPunct/>
              <w:autoSpaceDE/>
              <w:autoSpaceDN/>
              <w:adjustRightInd/>
              <w:spacing w:after="120"/>
              <w:jc w:val="center"/>
              <w:textAlignment w:val="auto"/>
              <w:rPr>
                <w:b/>
                <w:szCs w:val="24"/>
                <w:lang w:eastAsia="ja-JP"/>
              </w:rPr>
            </w:pPr>
            <w:r w:rsidRPr="004E4188">
              <w:rPr>
                <w:b/>
                <w:szCs w:val="24"/>
                <w:lang w:eastAsia="en-US"/>
              </w:rPr>
              <w:t>Notes à l’intention du Maître d’ouvrage</w:t>
            </w:r>
          </w:p>
          <w:p w14:paraId="649D2B0D" w14:textId="77777777" w:rsidR="007049A5" w:rsidRPr="004E4188" w:rsidRDefault="007049A5" w:rsidP="006C6267">
            <w:pPr>
              <w:spacing w:after="120"/>
            </w:pPr>
            <w:r w:rsidRPr="004E4188">
              <w:t>Le Maître d’ouvrage complètera les colonnes (i), (ii) et (iii), et fournira une valeur fixe pour le paramètre ‘a’ et une échelle de valeurs pour les paramètres de pondération ‘b’, ‘c’, ‘d’</w:t>
            </w:r>
            <w:r w:rsidRPr="004E4188">
              <w:rPr>
                <w:i/>
              </w:rPr>
              <w:t xml:space="preserve"> </w:t>
            </w:r>
            <w:r w:rsidRPr="004E4188">
              <w:t>et</w:t>
            </w:r>
            <w:r w:rsidRPr="004E4188">
              <w:rPr>
                <w:i/>
              </w:rPr>
              <w:t xml:space="preserve"> </w:t>
            </w:r>
            <w:r w:rsidRPr="004E4188">
              <w:t xml:space="preserve">‘e’ dans la colonne (vi). </w:t>
            </w:r>
          </w:p>
          <w:p w14:paraId="7C898389" w14:textId="77777777" w:rsidR="007049A5" w:rsidRPr="004E4188" w:rsidRDefault="007049A5" w:rsidP="006C6267">
            <w:pPr>
              <w:spacing w:after="120"/>
              <w:rPr>
                <w:rFonts w:eastAsia="Arial Unicode MS"/>
                <w:szCs w:val="24"/>
                <w:lang w:eastAsia="ja-JP"/>
              </w:rPr>
            </w:pPr>
            <w:r w:rsidRPr="004E4188">
              <w:rPr>
                <w:rFonts w:eastAsia="Arial Unicode MS"/>
                <w:szCs w:val="24"/>
                <w:lang w:eastAsia="ja-JP"/>
              </w:rPr>
              <w:t>La colonne (iv) doit rester vide dans le Dossier d’appel d’offre, et sera complétée avec les valeurs et les dates pertinentes avant la signature du Marché, comme indiqué dans la note 3 ci-dessous.</w:t>
            </w:r>
          </w:p>
          <w:p w14:paraId="42881B9A" w14:textId="77777777" w:rsidR="007049A5" w:rsidRPr="004E4188" w:rsidRDefault="007049A5" w:rsidP="006C6267">
            <w:pPr>
              <w:spacing w:after="120"/>
              <w:rPr>
                <w:b/>
              </w:rPr>
            </w:pPr>
            <w:r w:rsidRPr="004E4188">
              <w:t>Pour des marchés importants et/ou complexes, il peut s’avérer nécessaire de prévoir une série de formules de révision des prix pour les différents éléments de rémunération concernés et de préparer les tableaux de données correspondants.</w:t>
            </w:r>
          </w:p>
        </w:tc>
      </w:tr>
    </w:tbl>
    <w:p w14:paraId="27FED60B" w14:textId="77777777" w:rsidR="007049A5" w:rsidRPr="004E4188" w:rsidRDefault="007049A5" w:rsidP="006C6267">
      <w:pPr>
        <w:suppressAutoHyphens w:val="0"/>
        <w:overflowPunct/>
        <w:autoSpaceDE/>
        <w:autoSpaceDN/>
        <w:adjustRightInd/>
        <w:textAlignment w:val="auto"/>
        <w:rPr>
          <w:rFonts w:eastAsia="Arial Unicode MS"/>
          <w:sz w:val="28"/>
          <w:szCs w:val="28"/>
          <w:lang w:eastAsia="ja-JP"/>
        </w:rPr>
      </w:pPr>
    </w:p>
    <w:tbl>
      <w:tblPr>
        <w:tblW w:w="9261" w:type="dxa"/>
        <w:tblInd w:w="72" w:type="dxa"/>
        <w:tblLayout w:type="fixed"/>
        <w:tblCellMar>
          <w:left w:w="72" w:type="dxa"/>
          <w:right w:w="72" w:type="dxa"/>
        </w:tblCellMar>
        <w:tblLook w:val="0000" w:firstRow="0" w:lastRow="0" w:firstColumn="0" w:lastColumn="0" w:noHBand="0" w:noVBand="0"/>
      </w:tblPr>
      <w:tblGrid>
        <w:gridCol w:w="1080"/>
        <w:gridCol w:w="1660"/>
        <w:gridCol w:w="1229"/>
        <w:gridCol w:w="851"/>
        <w:gridCol w:w="755"/>
        <w:gridCol w:w="1843"/>
        <w:gridCol w:w="1843"/>
      </w:tblGrid>
      <w:tr w:rsidR="007049A5" w:rsidRPr="004E4188" w14:paraId="63EE5581" w14:textId="77777777" w:rsidTr="006C6267">
        <w:trPr>
          <w:cantSplit/>
        </w:trPr>
        <w:tc>
          <w:tcPr>
            <w:tcW w:w="1080" w:type="dxa"/>
            <w:tcBorders>
              <w:top w:val="single" w:sz="18" w:space="0" w:color="auto"/>
              <w:left w:val="single" w:sz="18" w:space="0" w:color="auto"/>
              <w:bottom w:val="single" w:sz="18" w:space="0" w:color="auto"/>
              <w:right w:val="single" w:sz="18" w:space="0" w:color="auto"/>
            </w:tcBorders>
          </w:tcPr>
          <w:p w14:paraId="76661944" w14:textId="77777777" w:rsidR="007049A5" w:rsidRPr="004E4188" w:rsidRDefault="007049A5" w:rsidP="006C6267">
            <w:pPr>
              <w:overflowPunct/>
              <w:autoSpaceDE/>
              <w:autoSpaceDN/>
              <w:adjustRightInd/>
              <w:spacing w:before="60" w:after="60"/>
              <w:jc w:val="center"/>
              <w:textAlignment w:val="auto"/>
              <w:rPr>
                <w:bCs/>
                <w:iCs/>
                <w:lang w:val="en-GB" w:eastAsia="ja-JP"/>
              </w:rPr>
            </w:pPr>
            <w:r w:rsidRPr="004E4188">
              <w:t>(i)</w:t>
            </w:r>
          </w:p>
        </w:tc>
        <w:tc>
          <w:tcPr>
            <w:tcW w:w="1660" w:type="dxa"/>
            <w:tcBorders>
              <w:top w:val="single" w:sz="18" w:space="0" w:color="auto"/>
              <w:left w:val="single" w:sz="18" w:space="0" w:color="auto"/>
              <w:bottom w:val="single" w:sz="18" w:space="0" w:color="auto"/>
              <w:right w:val="single" w:sz="18" w:space="0" w:color="auto"/>
            </w:tcBorders>
          </w:tcPr>
          <w:p w14:paraId="45E44B86" w14:textId="77777777" w:rsidR="007049A5" w:rsidRPr="004E4188" w:rsidRDefault="007049A5" w:rsidP="006C6267">
            <w:pPr>
              <w:overflowPunct/>
              <w:autoSpaceDE/>
              <w:autoSpaceDN/>
              <w:adjustRightInd/>
              <w:spacing w:before="60" w:after="60"/>
              <w:jc w:val="center"/>
              <w:textAlignment w:val="auto"/>
              <w:rPr>
                <w:bCs/>
                <w:iCs/>
                <w:lang w:val="en-GB" w:eastAsia="ja-JP"/>
              </w:rPr>
            </w:pPr>
            <w:r w:rsidRPr="004E4188">
              <w:t>(ii)</w:t>
            </w:r>
          </w:p>
        </w:tc>
        <w:tc>
          <w:tcPr>
            <w:tcW w:w="1229" w:type="dxa"/>
            <w:tcBorders>
              <w:top w:val="single" w:sz="18" w:space="0" w:color="auto"/>
              <w:left w:val="single" w:sz="18" w:space="0" w:color="auto"/>
              <w:bottom w:val="single" w:sz="18" w:space="0" w:color="auto"/>
              <w:right w:val="single" w:sz="18" w:space="0" w:color="auto"/>
            </w:tcBorders>
          </w:tcPr>
          <w:p w14:paraId="62323D67" w14:textId="77777777" w:rsidR="007049A5" w:rsidRPr="004E4188" w:rsidRDefault="007049A5" w:rsidP="006C6267">
            <w:pPr>
              <w:overflowPunct/>
              <w:autoSpaceDE/>
              <w:autoSpaceDN/>
              <w:adjustRightInd/>
              <w:spacing w:before="60" w:after="60"/>
              <w:jc w:val="center"/>
              <w:textAlignment w:val="auto"/>
              <w:rPr>
                <w:bCs/>
                <w:iCs/>
                <w:lang w:val="en-GB" w:eastAsia="ja-JP"/>
              </w:rPr>
            </w:pPr>
            <w:r w:rsidRPr="004E4188">
              <w:t>(iii)</w:t>
            </w:r>
          </w:p>
        </w:tc>
        <w:tc>
          <w:tcPr>
            <w:tcW w:w="1606" w:type="dxa"/>
            <w:gridSpan w:val="2"/>
            <w:tcBorders>
              <w:top w:val="single" w:sz="18" w:space="0" w:color="auto"/>
              <w:left w:val="single" w:sz="18" w:space="0" w:color="auto"/>
              <w:bottom w:val="single" w:sz="18" w:space="0" w:color="auto"/>
              <w:right w:val="single" w:sz="18" w:space="0" w:color="auto"/>
            </w:tcBorders>
          </w:tcPr>
          <w:p w14:paraId="3C6A7D92" w14:textId="77777777" w:rsidR="007049A5" w:rsidRPr="004E4188" w:rsidRDefault="007049A5" w:rsidP="006C6267">
            <w:pPr>
              <w:overflowPunct/>
              <w:autoSpaceDE/>
              <w:autoSpaceDN/>
              <w:adjustRightInd/>
              <w:spacing w:before="60" w:after="60"/>
              <w:jc w:val="center"/>
              <w:textAlignment w:val="auto"/>
              <w:rPr>
                <w:bCs/>
                <w:iCs/>
                <w:lang w:val="en-GB" w:eastAsia="ja-JP"/>
              </w:rPr>
            </w:pPr>
            <w:r w:rsidRPr="004E4188">
              <w:t>(iv)</w:t>
            </w:r>
          </w:p>
        </w:tc>
        <w:tc>
          <w:tcPr>
            <w:tcW w:w="1843" w:type="dxa"/>
            <w:tcBorders>
              <w:top w:val="single" w:sz="18" w:space="0" w:color="auto"/>
              <w:left w:val="single" w:sz="18" w:space="0" w:color="auto"/>
              <w:bottom w:val="single" w:sz="18" w:space="0" w:color="auto"/>
              <w:right w:val="single" w:sz="18" w:space="0" w:color="auto"/>
            </w:tcBorders>
          </w:tcPr>
          <w:p w14:paraId="5C602C1E" w14:textId="77777777" w:rsidR="007049A5" w:rsidRPr="004E4188" w:rsidRDefault="007049A5" w:rsidP="006C6267">
            <w:pPr>
              <w:overflowPunct/>
              <w:autoSpaceDE/>
              <w:autoSpaceDN/>
              <w:adjustRightInd/>
              <w:spacing w:before="60" w:after="60"/>
              <w:jc w:val="center"/>
              <w:textAlignment w:val="auto"/>
              <w:rPr>
                <w:bCs/>
                <w:iCs/>
                <w:lang w:val="en-GB" w:eastAsia="ja-JP"/>
              </w:rPr>
            </w:pPr>
            <w:r w:rsidRPr="004E4188">
              <w:t>(v)</w:t>
            </w:r>
          </w:p>
        </w:tc>
        <w:tc>
          <w:tcPr>
            <w:tcW w:w="1843" w:type="dxa"/>
            <w:tcBorders>
              <w:top w:val="single" w:sz="18" w:space="0" w:color="auto"/>
              <w:left w:val="single" w:sz="18" w:space="0" w:color="auto"/>
              <w:bottom w:val="single" w:sz="18" w:space="0" w:color="auto"/>
              <w:right w:val="single" w:sz="18" w:space="0" w:color="auto"/>
            </w:tcBorders>
          </w:tcPr>
          <w:p w14:paraId="7089722E" w14:textId="77777777" w:rsidR="007049A5" w:rsidRPr="004E4188" w:rsidRDefault="007049A5" w:rsidP="006C6267">
            <w:pPr>
              <w:overflowPunct/>
              <w:autoSpaceDE/>
              <w:autoSpaceDN/>
              <w:adjustRightInd/>
              <w:spacing w:before="60" w:after="60"/>
              <w:jc w:val="center"/>
              <w:textAlignment w:val="auto"/>
              <w:rPr>
                <w:bCs/>
                <w:iCs/>
                <w:lang w:val="en-GB" w:eastAsia="ja-JP"/>
              </w:rPr>
            </w:pPr>
            <w:r w:rsidRPr="004E4188">
              <w:t>(vi)</w:t>
            </w:r>
          </w:p>
        </w:tc>
      </w:tr>
      <w:tr w:rsidR="007049A5" w:rsidRPr="004E4188" w14:paraId="4E4F0DFD" w14:textId="77777777" w:rsidTr="006C6267">
        <w:trPr>
          <w:cantSplit/>
          <w:trHeight w:val="602"/>
        </w:trPr>
        <w:tc>
          <w:tcPr>
            <w:tcW w:w="1080" w:type="dxa"/>
            <w:vMerge w:val="restart"/>
            <w:tcBorders>
              <w:top w:val="single" w:sz="18" w:space="0" w:color="auto"/>
              <w:left w:val="single" w:sz="18" w:space="0" w:color="auto"/>
              <w:bottom w:val="single" w:sz="18" w:space="0" w:color="auto"/>
              <w:right w:val="single" w:sz="18" w:space="0" w:color="auto"/>
            </w:tcBorders>
          </w:tcPr>
          <w:p w14:paraId="49532D60" w14:textId="77777777" w:rsidR="007049A5" w:rsidRPr="004E4188" w:rsidRDefault="007049A5" w:rsidP="006C6267">
            <w:pPr>
              <w:overflowPunct/>
              <w:autoSpaceDE/>
              <w:autoSpaceDN/>
              <w:adjustRightInd/>
              <w:jc w:val="center"/>
              <w:textAlignment w:val="auto"/>
              <w:rPr>
                <w:bCs/>
                <w:iCs/>
                <w:lang w:val="en-GB" w:eastAsia="en-US"/>
              </w:rPr>
            </w:pPr>
            <w:r w:rsidRPr="004E4188">
              <w:t xml:space="preserve">Code de l’indice </w:t>
            </w:r>
          </w:p>
        </w:tc>
        <w:tc>
          <w:tcPr>
            <w:tcW w:w="1660" w:type="dxa"/>
            <w:vMerge w:val="restart"/>
            <w:tcBorders>
              <w:top w:val="single" w:sz="18" w:space="0" w:color="auto"/>
              <w:left w:val="single" w:sz="18" w:space="0" w:color="auto"/>
              <w:bottom w:val="single" w:sz="18" w:space="0" w:color="auto"/>
              <w:right w:val="single" w:sz="18" w:space="0" w:color="auto"/>
            </w:tcBorders>
          </w:tcPr>
          <w:p w14:paraId="17008ADA" w14:textId="77777777" w:rsidR="007049A5" w:rsidRPr="004E4188" w:rsidRDefault="007049A5" w:rsidP="006C6267">
            <w:pPr>
              <w:overflowPunct/>
              <w:autoSpaceDE/>
              <w:autoSpaceDN/>
              <w:adjustRightInd/>
              <w:jc w:val="center"/>
              <w:textAlignment w:val="auto"/>
              <w:rPr>
                <w:bCs/>
                <w:iCs/>
                <w:lang w:val="en-GB" w:eastAsia="en-US"/>
              </w:rPr>
            </w:pPr>
            <w:r w:rsidRPr="004E4188">
              <w:t>Description de l’indice</w:t>
            </w:r>
          </w:p>
        </w:tc>
        <w:tc>
          <w:tcPr>
            <w:tcW w:w="1229" w:type="dxa"/>
            <w:vMerge w:val="restart"/>
            <w:tcBorders>
              <w:top w:val="single" w:sz="18" w:space="0" w:color="auto"/>
              <w:left w:val="single" w:sz="18" w:space="0" w:color="auto"/>
              <w:bottom w:val="single" w:sz="18" w:space="0" w:color="auto"/>
              <w:right w:val="single" w:sz="18" w:space="0" w:color="auto"/>
            </w:tcBorders>
          </w:tcPr>
          <w:p w14:paraId="0ADB91E8" w14:textId="77777777" w:rsidR="007049A5" w:rsidRPr="004E4188" w:rsidRDefault="007049A5" w:rsidP="006C6267">
            <w:pPr>
              <w:overflowPunct/>
              <w:autoSpaceDE/>
              <w:autoSpaceDN/>
              <w:adjustRightInd/>
              <w:jc w:val="center"/>
              <w:textAlignment w:val="auto"/>
              <w:rPr>
                <w:bCs/>
                <w:iCs/>
                <w:lang w:eastAsia="en-US"/>
              </w:rPr>
            </w:pPr>
            <w:r w:rsidRPr="004E4188">
              <w:t>Source de publication de l’indice</w:t>
            </w:r>
          </w:p>
        </w:tc>
        <w:tc>
          <w:tcPr>
            <w:tcW w:w="1606" w:type="dxa"/>
            <w:gridSpan w:val="2"/>
            <w:tcBorders>
              <w:top w:val="single" w:sz="18" w:space="0" w:color="auto"/>
              <w:left w:val="single" w:sz="18" w:space="0" w:color="auto"/>
              <w:bottom w:val="single" w:sz="2" w:space="0" w:color="auto"/>
              <w:right w:val="single" w:sz="18" w:space="0" w:color="auto"/>
            </w:tcBorders>
          </w:tcPr>
          <w:p w14:paraId="24793A6A" w14:textId="77777777" w:rsidR="007049A5" w:rsidRPr="004E4188" w:rsidRDefault="007049A5" w:rsidP="006C6267">
            <w:pPr>
              <w:overflowPunct/>
              <w:autoSpaceDE/>
              <w:autoSpaceDN/>
              <w:adjustRightInd/>
              <w:jc w:val="center"/>
              <w:textAlignment w:val="auto"/>
              <w:rPr>
                <w:bCs/>
                <w:iCs/>
                <w:lang w:eastAsia="en-US"/>
              </w:rPr>
            </w:pPr>
            <w:r w:rsidRPr="004E4188">
              <w:rPr>
                <w:bCs/>
                <w:iCs/>
                <w:lang w:eastAsia="en-US"/>
              </w:rPr>
              <w:t>Indice des coûts de référence</w:t>
            </w:r>
            <w:r w:rsidRPr="004E4188">
              <w:rPr>
                <w:bCs/>
                <w:iCs/>
                <w:vertAlign w:val="superscript"/>
                <w:lang w:eastAsia="en-US"/>
              </w:rPr>
              <w:t>3</w:t>
            </w:r>
          </w:p>
        </w:tc>
        <w:tc>
          <w:tcPr>
            <w:tcW w:w="1843" w:type="dxa"/>
            <w:vMerge w:val="restart"/>
            <w:tcBorders>
              <w:top w:val="single" w:sz="18" w:space="0" w:color="auto"/>
              <w:left w:val="single" w:sz="18" w:space="0" w:color="auto"/>
              <w:bottom w:val="single" w:sz="18" w:space="0" w:color="auto"/>
              <w:right w:val="single" w:sz="18" w:space="0" w:color="auto"/>
            </w:tcBorders>
          </w:tcPr>
          <w:p w14:paraId="59C2B2C6" w14:textId="77777777" w:rsidR="007049A5" w:rsidRPr="004E4188" w:rsidRDefault="007049A5" w:rsidP="006C6267">
            <w:pPr>
              <w:overflowPunct/>
              <w:autoSpaceDE/>
              <w:autoSpaceDN/>
              <w:adjustRightInd/>
              <w:jc w:val="center"/>
              <w:textAlignment w:val="auto"/>
              <w:rPr>
                <w:bCs/>
                <w:iCs/>
                <w:lang w:eastAsia="en-US"/>
              </w:rPr>
            </w:pPr>
            <w:r w:rsidRPr="004E4188">
              <w:t>Montant total</w:t>
            </w:r>
            <w:r w:rsidRPr="004E4188">
              <w:rPr>
                <w:vertAlign w:val="superscript"/>
              </w:rPr>
              <w:t xml:space="preserve">1 </w:t>
            </w:r>
            <w:r w:rsidRPr="004E4188">
              <w:t>(de chacun des indices)</w:t>
            </w:r>
          </w:p>
        </w:tc>
        <w:tc>
          <w:tcPr>
            <w:tcW w:w="1843" w:type="dxa"/>
            <w:vMerge w:val="restart"/>
            <w:tcBorders>
              <w:top w:val="single" w:sz="18" w:space="0" w:color="auto"/>
              <w:left w:val="single" w:sz="18" w:space="0" w:color="auto"/>
              <w:bottom w:val="single" w:sz="18" w:space="0" w:color="auto"/>
              <w:right w:val="single" w:sz="18" w:space="0" w:color="auto"/>
            </w:tcBorders>
          </w:tcPr>
          <w:p w14:paraId="1D512D99" w14:textId="77777777" w:rsidR="007049A5" w:rsidRPr="004E4188" w:rsidRDefault="007049A5" w:rsidP="006C6267">
            <w:pPr>
              <w:overflowPunct/>
              <w:autoSpaceDE/>
              <w:autoSpaceDN/>
              <w:adjustRightInd/>
              <w:jc w:val="center"/>
              <w:textAlignment w:val="auto"/>
              <w:rPr>
                <w:bCs/>
                <w:iCs/>
                <w:vertAlign w:val="superscript"/>
                <w:lang w:eastAsia="en-US"/>
              </w:rPr>
            </w:pPr>
            <w:r w:rsidRPr="004E4188">
              <w:t>Pondération proposée par le Soumissionnaire</w:t>
            </w:r>
            <w:r w:rsidRPr="004E4188">
              <w:rPr>
                <w:vertAlign w:val="superscript"/>
              </w:rPr>
              <w:t>2</w:t>
            </w:r>
          </w:p>
        </w:tc>
      </w:tr>
      <w:tr w:rsidR="007049A5" w:rsidRPr="004E4188" w14:paraId="61707614" w14:textId="77777777" w:rsidTr="006C6267">
        <w:trPr>
          <w:cantSplit/>
        </w:trPr>
        <w:tc>
          <w:tcPr>
            <w:tcW w:w="1080" w:type="dxa"/>
            <w:vMerge/>
            <w:tcBorders>
              <w:left w:val="single" w:sz="18" w:space="0" w:color="auto"/>
              <w:bottom w:val="single" w:sz="18" w:space="0" w:color="auto"/>
              <w:right w:val="single" w:sz="18" w:space="0" w:color="auto"/>
            </w:tcBorders>
          </w:tcPr>
          <w:p w14:paraId="49D880B8" w14:textId="77777777" w:rsidR="007049A5" w:rsidRPr="004E4188" w:rsidRDefault="007049A5" w:rsidP="006C6267">
            <w:pPr>
              <w:overflowPunct/>
              <w:autoSpaceDE/>
              <w:autoSpaceDN/>
              <w:adjustRightInd/>
              <w:jc w:val="center"/>
              <w:textAlignment w:val="auto"/>
              <w:rPr>
                <w:b/>
                <w:bCs/>
                <w:iCs/>
                <w:lang w:eastAsia="en-US"/>
              </w:rPr>
            </w:pPr>
          </w:p>
        </w:tc>
        <w:tc>
          <w:tcPr>
            <w:tcW w:w="1660" w:type="dxa"/>
            <w:vMerge/>
            <w:tcBorders>
              <w:left w:val="single" w:sz="18" w:space="0" w:color="auto"/>
              <w:bottom w:val="single" w:sz="18" w:space="0" w:color="auto"/>
              <w:right w:val="single" w:sz="18" w:space="0" w:color="auto"/>
            </w:tcBorders>
          </w:tcPr>
          <w:p w14:paraId="11CEFC92" w14:textId="77777777" w:rsidR="007049A5" w:rsidRPr="004E4188" w:rsidRDefault="007049A5" w:rsidP="006C6267">
            <w:pPr>
              <w:overflowPunct/>
              <w:autoSpaceDE/>
              <w:autoSpaceDN/>
              <w:adjustRightInd/>
              <w:jc w:val="center"/>
              <w:textAlignment w:val="auto"/>
              <w:rPr>
                <w:b/>
                <w:bCs/>
                <w:iCs/>
                <w:lang w:eastAsia="en-US"/>
              </w:rPr>
            </w:pPr>
          </w:p>
        </w:tc>
        <w:tc>
          <w:tcPr>
            <w:tcW w:w="1229" w:type="dxa"/>
            <w:vMerge/>
            <w:tcBorders>
              <w:left w:val="single" w:sz="18" w:space="0" w:color="auto"/>
              <w:bottom w:val="single" w:sz="18" w:space="0" w:color="auto"/>
              <w:right w:val="single" w:sz="18" w:space="0" w:color="auto"/>
            </w:tcBorders>
          </w:tcPr>
          <w:p w14:paraId="4CBC2BD4" w14:textId="77777777" w:rsidR="007049A5" w:rsidRPr="004E4188" w:rsidRDefault="007049A5" w:rsidP="006C6267">
            <w:pPr>
              <w:overflowPunct/>
              <w:autoSpaceDE/>
              <w:autoSpaceDN/>
              <w:adjustRightInd/>
              <w:jc w:val="center"/>
              <w:textAlignment w:val="auto"/>
              <w:rPr>
                <w:b/>
                <w:bCs/>
                <w:iCs/>
                <w:lang w:eastAsia="en-US"/>
              </w:rPr>
            </w:pPr>
          </w:p>
        </w:tc>
        <w:tc>
          <w:tcPr>
            <w:tcW w:w="851" w:type="dxa"/>
            <w:tcBorders>
              <w:top w:val="single" w:sz="2" w:space="0" w:color="auto"/>
              <w:left w:val="single" w:sz="18" w:space="0" w:color="auto"/>
              <w:bottom w:val="single" w:sz="18" w:space="0" w:color="auto"/>
              <w:right w:val="single" w:sz="2" w:space="0" w:color="auto"/>
            </w:tcBorders>
          </w:tcPr>
          <w:p w14:paraId="69EA4618" w14:textId="77777777" w:rsidR="007049A5" w:rsidRPr="004E4188" w:rsidRDefault="007049A5" w:rsidP="006C6267">
            <w:pPr>
              <w:overflowPunct/>
              <w:autoSpaceDE/>
              <w:autoSpaceDN/>
              <w:adjustRightInd/>
              <w:jc w:val="center"/>
              <w:textAlignment w:val="auto"/>
              <w:rPr>
                <w:bCs/>
                <w:iCs/>
                <w:sz w:val="20"/>
                <w:lang w:val="en-GB" w:eastAsia="en-US"/>
              </w:rPr>
            </w:pPr>
            <w:r w:rsidRPr="004E4188">
              <w:rPr>
                <w:bCs/>
                <w:iCs/>
                <w:sz w:val="20"/>
                <w:lang w:val="en-GB" w:eastAsia="en-US"/>
              </w:rPr>
              <w:t>Valeur</w:t>
            </w:r>
          </w:p>
        </w:tc>
        <w:tc>
          <w:tcPr>
            <w:tcW w:w="755" w:type="dxa"/>
            <w:tcBorders>
              <w:top w:val="single" w:sz="2" w:space="0" w:color="auto"/>
              <w:left w:val="single" w:sz="2" w:space="0" w:color="auto"/>
              <w:bottom w:val="single" w:sz="18" w:space="0" w:color="auto"/>
              <w:right w:val="single" w:sz="18" w:space="0" w:color="auto"/>
            </w:tcBorders>
          </w:tcPr>
          <w:p w14:paraId="5B8FFE01" w14:textId="77777777" w:rsidR="007049A5" w:rsidRPr="004E4188" w:rsidRDefault="007049A5" w:rsidP="006C6267">
            <w:pPr>
              <w:overflowPunct/>
              <w:autoSpaceDE/>
              <w:autoSpaceDN/>
              <w:adjustRightInd/>
              <w:jc w:val="center"/>
              <w:textAlignment w:val="auto"/>
              <w:rPr>
                <w:bCs/>
                <w:iCs/>
                <w:sz w:val="20"/>
                <w:lang w:val="en-GB" w:eastAsia="en-US"/>
              </w:rPr>
            </w:pPr>
            <w:r w:rsidRPr="004E4188">
              <w:rPr>
                <w:bCs/>
                <w:iCs/>
                <w:sz w:val="20"/>
                <w:lang w:val="en-GB" w:eastAsia="en-US"/>
              </w:rPr>
              <w:t>Date</w:t>
            </w:r>
          </w:p>
        </w:tc>
        <w:tc>
          <w:tcPr>
            <w:tcW w:w="1843" w:type="dxa"/>
            <w:vMerge/>
            <w:tcBorders>
              <w:left w:val="single" w:sz="18" w:space="0" w:color="auto"/>
              <w:bottom w:val="single" w:sz="18" w:space="0" w:color="auto"/>
              <w:right w:val="single" w:sz="18" w:space="0" w:color="auto"/>
            </w:tcBorders>
          </w:tcPr>
          <w:p w14:paraId="3E104CCC" w14:textId="77777777" w:rsidR="007049A5" w:rsidRPr="004E4188" w:rsidRDefault="007049A5" w:rsidP="006C6267">
            <w:pPr>
              <w:overflowPunct/>
              <w:autoSpaceDE/>
              <w:autoSpaceDN/>
              <w:adjustRightInd/>
              <w:jc w:val="center"/>
              <w:textAlignment w:val="auto"/>
              <w:rPr>
                <w:b/>
                <w:bCs/>
                <w:iCs/>
                <w:lang w:val="en-GB" w:eastAsia="en-US"/>
              </w:rPr>
            </w:pPr>
          </w:p>
        </w:tc>
        <w:tc>
          <w:tcPr>
            <w:tcW w:w="1843" w:type="dxa"/>
            <w:vMerge/>
            <w:tcBorders>
              <w:left w:val="single" w:sz="18" w:space="0" w:color="auto"/>
              <w:bottom w:val="single" w:sz="18" w:space="0" w:color="auto"/>
              <w:right w:val="single" w:sz="18" w:space="0" w:color="auto"/>
            </w:tcBorders>
          </w:tcPr>
          <w:p w14:paraId="125EFF2F" w14:textId="77777777" w:rsidR="007049A5" w:rsidRPr="004E4188" w:rsidRDefault="007049A5" w:rsidP="006C6267">
            <w:pPr>
              <w:tabs>
                <w:tab w:val="left" w:pos="1055"/>
              </w:tabs>
              <w:overflowPunct/>
              <w:autoSpaceDE/>
              <w:autoSpaceDN/>
              <w:adjustRightInd/>
              <w:spacing w:before="60" w:after="60"/>
              <w:textAlignment w:val="auto"/>
              <w:rPr>
                <w:lang w:val="en-GB" w:eastAsia="en-US"/>
              </w:rPr>
            </w:pPr>
          </w:p>
        </w:tc>
      </w:tr>
      <w:tr w:rsidR="007049A5" w:rsidRPr="004E4188" w14:paraId="187A0AB5" w14:textId="77777777" w:rsidTr="006C6267">
        <w:trPr>
          <w:cantSplit/>
        </w:trPr>
        <w:tc>
          <w:tcPr>
            <w:tcW w:w="1080" w:type="dxa"/>
            <w:tcBorders>
              <w:top w:val="single" w:sz="18" w:space="0" w:color="auto"/>
              <w:left w:val="single" w:sz="2" w:space="0" w:color="auto"/>
              <w:bottom w:val="single" w:sz="4" w:space="0" w:color="auto"/>
              <w:right w:val="single" w:sz="2" w:space="0" w:color="auto"/>
            </w:tcBorders>
          </w:tcPr>
          <w:p w14:paraId="326ECC76" w14:textId="77777777" w:rsidR="007049A5" w:rsidRPr="004E4188" w:rsidRDefault="007049A5" w:rsidP="006C6267">
            <w:pPr>
              <w:overflowPunct/>
              <w:autoSpaceDE/>
              <w:autoSpaceDN/>
              <w:adjustRightInd/>
              <w:jc w:val="center"/>
              <w:textAlignment w:val="auto"/>
              <w:rPr>
                <w:b/>
                <w:bCs/>
                <w:iCs/>
                <w:lang w:val="en-GB" w:eastAsia="en-US"/>
              </w:rPr>
            </w:pPr>
          </w:p>
        </w:tc>
        <w:tc>
          <w:tcPr>
            <w:tcW w:w="1660" w:type="dxa"/>
            <w:tcBorders>
              <w:top w:val="single" w:sz="18" w:space="0" w:color="auto"/>
              <w:left w:val="single" w:sz="2" w:space="0" w:color="auto"/>
              <w:bottom w:val="single" w:sz="4" w:space="0" w:color="auto"/>
              <w:right w:val="single" w:sz="2" w:space="0" w:color="auto"/>
            </w:tcBorders>
            <w:vAlign w:val="center"/>
          </w:tcPr>
          <w:p w14:paraId="5FA6939F" w14:textId="77777777" w:rsidR="007049A5" w:rsidRPr="004E4188" w:rsidRDefault="007049A5" w:rsidP="006C6267">
            <w:pPr>
              <w:overflowPunct/>
              <w:autoSpaceDE/>
              <w:autoSpaceDN/>
              <w:adjustRightInd/>
              <w:jc w:val="left"/>
              <w:textAlignment w:val="auto"/>
              <w:rPr>
                <w:b/>
                <w:bCs/>
                <w:iCs/>
                <w:sz w:val="22"/>
                <w:szCs w:val="22"/>
                <w:lang w:val="en-GB" w:eastAsia="en-US"/>
              </w:rPr>
            </w:pPr>
            <w:r w:rsidRPr="004E4188">
              <w:rPr>
                <w:sz w:val="22"/>
                <w:szCs w:val="22"/>
                <w:lang w:val="en-GB" w:eastAsia="en-US"/>
              </w:rPr>
              <w:t>Non ajustable</w:t>
            </w:r>
          </w:p>
        </w:tc>
        <w:tc>
          <w:tcPr>
            <w:tcW w:w="1229" w:type="dxa"/>
            <w:tcBorders>
              <w:top w:val="single" w:sz="18" w:space="0" w:color="auto"/>
              <w:left w:val="single" w:sz="2" w:space="0" w:color="auto"/>
              <w:bottom w:val="single" w:sz="4" w:space="0" w:color="auto"/>
              <w:right w:val="single" w:sz="2" w:space="0" w:color="auto"/>
            </w:tcBorders>
          </w:tcPr>
          <w:p w14:paraId="147A22EA" w14:textId="77777777" w:rsidR="007049A5" w:rsidRPr="004E4188" w:rsidRDefault="007049A5" w:rsidP="006C6267">
            <w:pPr>
              <w:overflowPunct/>
              <w:autoSpaceDE/>
              <w:autoSpaceDN/>
              <w:adjustRightInd/>
              <w:jc w:val="center"/>
              <w:textAlignment w:val="auto"/>
              <w:rPr>
                <w:b/>
                <w:bCs/>
                <w:iCs/>
                <w:lang w:val="en-GB" w:eastAsia="ja-JP"/>
              </w:rPr>
            </w:pPr>
            <w:r w:rsidRPr="004E4188">
              <w:rPr>
                <w:rFonts w:hint="eastAsia"/>
                <w:b/>
                <w:bCs/>
                <w:iCs/>
                <w:lang w:val="en-GB" w:eastAsia="ja-JP"/>
              </w:rPr>
              <w:t>-</w:t>
            </w:r>
          </w:p>
        </w:tc>
        <w:tc>
          <w:tcPr>
            <w:tcW w:w="851" w:type="dxa"/>
            <w:tcBorders>
              <w:top w:val="single" w:sz="18" w:space="0" w:color="auto"/>
              <w:left w:val="single" w:sz="2" w:space="0" w:color="auto"/>
              <w:bottom w:val="single" w:sz="4" w:space="0" w:color="auto"/>
              <w:right w:val="single" w:sz="2" w:space="0" w:color="auto"/>
            </w:tcBorders>
          </w:tcPr>
          <w:p w14:paraId="2C9A30EB" w14:textId="77777777" w:rsidR="007049A5" w:rsidRPr="004E4188" w:rsidRDefault="007049A5" w:rsidP="006C6267">
            <w:pPr>
              <w:overflowPunct/>
              <w:autoSpaceDE/>
              <w:autoSpaceDN/>
              <w:adjustRightInd/>
              <w:jc w:val="center"/>
              <w:textAlignment w:val="auto"/>
              <w:rPr>
                <w:b/>
                <w:bCs/>
                <w:iCs/>
                <w:lang w:val="en-GB" w:eastAsia="ja-JP"/>
              </w:rPr>
            </w:pPr>
            <w:r w:rsidRPr="004E4188">
              <w:rPr>
                <w:rFonts w:hint="eastAsia"/>
                <w:b/>
                <w:bCs/>
                <w:iCs/>
                <w:lang w:val="en-GB" w:eastAsia="ja-JP"/>
              </w:rPr>
              <w:t>-</w:t>
            </w:r>
          </w:p>
        </w:tc>
        <w:tc>
          <w:tcPr>
            <w:tcW w:w="755" w:type="dxa"/>
            <w:tcBorders>
              <w:top w:val="single" w:sz="18" w:space="0" w:color="auto"/>
              <w:left w:val="single" w:sz="2" w:space="0" w:color="auto"/>
              <w:bottom w:val="single" w:sz="4" w:space="0" w:color="auto"/>
              <w:right w:val="single" w:sz="2" w:space="0" w:color="auto"/>
            </w:tcBorders>
          </w:tcPr>
          <w:p w14:paraId="32536CE8" w14:textId="77777777" w:rsidR="007049A5" w:rsidRPr="004E4188" w:rsidRDefault="007049A5" w:rsidP="006C6267">
            <w:pPr>
              <w:overflowPunct/>
              <w:autoSpaceDE/>
              <w:autoSpaceDN/>
              <w:adjustRightInd/>
              <w:jc w:val="center"/>
              <w:textAlignment w:val="auto"/>
              <w:rPr>
                <w:b/>
                <w:bCs/>
                <w:iCs/>
                <w:lang w:val="en-GB" w:eastAsia="ja-JP"/>
              </w:rPr>
            </w:pPr>
            <w:r w:rsidRPr="004E4188">
              <w:rPr>
                <w:rFonts w:hint="eastAsia"/>
                <w:b/>
                <w:bCs/>
                <w:iCs/>
                <w:lang w:val="en-GB" w:eastAsia="ja-JP"/>
              </w:rPr>
              <w:t>-</w:t>
            </w:r>
          </w:p>
        </w:tc>
        <w:tc>
          <w:tcPr>
            <w:tcW w:w="1843" w:type="dxa"/>
            <w:tcBorders>
              <w:top w:val="single" w:sz="18" w:space="0" w:color="auto"/>
              <w:left w:val="single" w:sz="2" w:space="0" w:color="auto"/>
              <w:bottom w:val="single" w:sz="4" w:space="0" w:color="auto"/>
              <w:right w:val="single" w:sz="2" w:space="0" w:color="auto"/>
            </w:tcBorders>
          </w:tcPr>
          <w:p w14:paraId="4585C956" w14:textId="77777777" w:rsidR="007049A5" w:rsidRPr="004E4188" w:rsidRDefault="007049A5" w:rsidP="006C6267">
            <w:pPr>
              <w:overflowPunct/>
              <w:autoSpaceDE/>
              <w:autoSpaceDN/>
              <w:adjustRightInd/>
              <w:jc w:val="center"/>
              <w:textAlignment w:val="auto"/>
              <w:rPr>
                <w:b/>
                <w:bCs/>
                <w:iCs/>
                <w:lang w:val="en-GB" w:eastAsia="ja-JP"/>
              </w:rPr>
            </w:pPr>
          </w:p>
        </w:tc>
        <w:tc>
          <w:tcPr>
            <w:tcW w:w="1843" w:type="dxa"/>
            <w:tcBorders>
              <w:top w:val="single" w:sz="18" w:space="0" w:color="auto"/>
              <w:left w:val="single" w:sz="6" w:space="0" w:color="auto"/>
              <w:bottom w:val="single" w:sz="4" w:space="0" w:color="auto"/>
              <w:right w:val="single" w:sz="6" w:space="0" w:color="auto"/>
            </w:tcBorders>
          </w:tcPr>
          <w:p w14:paraId="3889C5E7" w14:textId="77777777" w:rsidR="007049A5" w:rsidRPr="004E4188" w:rsidRDefault="007049A5" w:rsidP="006C6267">
            <w:pPr>
              <w:tabs>
                <w:tab w:val="left" w:pos="1295"/>
              </w:tabs>
              <w:overflowPunct/>
              <w:autoSpaceDE/>
              <w:autoSpaceDN/>
              <w:adjustRightInd/>
              <w:spacing w:before="60" w:after="60"/>
              <w:textAlignment w:val="auto"/>
              <w:rPr>
                <w:lang w:val="en-GB" w:eastAsia="en-US"/>
              </w:rPr>
            </w:pPr>
            <w:r w:rsidRPr="004E4188">
              <w:t xml:space="preserve">a : </w:t>
            </w:r>
            <w:r w:rsidRPr="004E4188">
              <w:rPr>
                <w:u w:val="single"/>
              </w:rPr>
              <w:tab/>
            </w:r>
          </w:p>
        </w:tc>
      </w:tr>
      <w:tr w:rsidR="007049A5" w:rsidRPr="004E4188" w14:paraId="4D0F4D2D" w14:textId="77777777" w:rsidTr="006C6267">
        <w:trPr>
          <w:cantSplit/>
        </w:trPr>
        <w:tc>
          <w:tcPr>
            <w:tcW w:w="1080" w:type="dxa"/>
            <w:tcBorders>
              <w:top w:val="single" w:sz="4" w:space="0" w:color="auto"/>
              <w:left w:val="single" w:sz="2" w:space="0" w:color="auto"/>
              <w:bottom w:val="single" w:sz="4" w:space="0" w:color="auto"/>
              <w:right w:val="single" w:sz="2" w:space="0" w:color="auto"/>
            </w:tcBorders>
          </w:tcPr>
          <w:p w14:paraId="1CF988CA" w14:textId="77777777" w:rsidR="007049A5" w:rsidRPr="004E4188" w:rsidRDefault="007049A5" w:rsidP="006C6267">
            <w:pPr>
              <w:overflowPunct/>
              <w:autoSpaceDE/>
              <w:autoSpaceDN/>
              <w:adjustRightInd/>
              <w:jc w:val="center"/>
              <w:textAlignment w:val="auto"/>
              <w:rPr>
                <w:b/>
                <w:bCs/>
                <w:iCs/>
                <w:lang w:val="en-GB" w:eastAsia="en-US"/>
              </w:rPr>
            </w:pPr>
          </w:p>
        </w:tc>
        <w:tc>
          <w:tcPr>
            <w:tcW w:w="1660" w:type="dxa"/>
            <w:tcBorders>
              <w:top w:val="single" w:sz="4" w:space="0" w:color="auto"/>
              <w:left w:val="single" w:sz="2" w:space="0" w:color="auto"/>
              <w:bottom w:val="single" w:sz="4" w:space="0" w:color="auto"/>
              <w:right w:val="single" w:sz="2" w:space="0" w:color="auto"/>
            </w:tcBorders>
          </w:tcPr>
          <w:p w14:paraId="2C01685A" w14:textId="77777777" w:rsidR="007049A5" w:rsidRPr="004E4188" w:rsidRDefault="007049A5" w:rsidP="006C6267">
            <w:pPr>
              <w:overflowPunct/>
              <w:autoSpaceDE/>
              <w:autoSpaceDN/>
              <w:adjustRightInd/>
              <w:jc w:val="center"/>
              <w:textAlignment w:val="auto"/>
              <w:rPr>
                <w:b/>
                <w:bCs/>
                <w:iCs/>
                <w:lang w:val="en-GB" w:eastAsia="en-US"/>
              </w:rPr>
            </w:pPr>
          </w:p>
        </w:tc>
        <w:tc>
          <w:tcPr>
            <w:tcW w:w="1229" w:type="dxa"/>
            <w:tcBorders>
              <w:top w:val="single" w:sz="4" w:space="0" w:color="auto"/>
              <w:left w:val="single" w:sz="2" w:space="0" w:color="auto"/>
              <w:bottom w:val="single" w:sz="4" w:space="0" w:color="auto"/>
              <w:right w:val="single" w:sz="2" w:space="0" w:color="auto"/>
            </w:tcBorders>
          </w:tcPr>
          <w:p w14:paraId="4D0D1CA9" w14:textId="77777777" w:rsidR="007049A5" w:rsidRPr="004E4188" w:rsidRDefault="007049A5" w:rsidP="006C6267">
            <w:pPr>
              <w:overflowPunct/>
              <w:autoSpaceDE/>
              <w:autoSpaceDN/>
              <w:adjustRightInd/>
              <w:jc w:val="center"/>
              <w:textAlignment w:val="auto"/>
              <w:rPr>
                <w:b/>
                <w:bCs/>
                <w:iCs/>
                <w:lang w:val="en-GB" w:eastAsia="en-US"/>
              </w:rPr>
            </w:pPr>
          </w:p>
        </w:tc>
        <w:tc>
          <w:tcPr>
            <w:tcW w:w="851" w:type="dxa"/>
            <w:tcBorders>
              <w:top w:val="single" w:sz="4" w:space="0" w:color="auto"/>
              <w:left w:val="single" w:sz="2" w:space="0" w:color="auto"/>
              <w:bottom w:val="single" w:sz="4" w:space="0" w:color="auto"/>
              <w:right w:val="single" w:sz="2" w:space="0" w:color="auto"/>
            </w:tcBorders>
          </w:tcPr>
          <w:p w14:paraId="0B1162AE" w14:textId="77777777" w:rsidR="007049A5" w:rsidRPr="004E4188" w:rsidRDefault="007049A5" w:rsidP="006C6267">
            <w:pPr>
              <w:overflowPunct/>
              <w:autoSpaceDE/>
              <w:autoSpaceDN/>
              <w:adjustRightInd/>
              <w:jc w:val="center"/>
              <w:textAlignment w:val="auto"/>
              <w:rPr>
                <w:b/>
                <w:bCs/>
                <w:iCs/>
                <w:lang w:val="en-GB" w:eastAsia="en-US"/>
              </w:rPr>
            </w:pPr>
          </w:p>
        </w:tc>
        <w:tc>
          <w:tcPr>
            <w:tcW w:w="755" w:type="dxa"/>
            <w:tcBorders>
              <w:top w:val="single" w:sz="4" w:space="0" w:color="auto"/>
              <w:left w:val="single" w:sz="2" w:space="0" w:color="auto"/>
              <w:bottom w:val="single" w:sz="4" w:space="0" w:color="auto"/>
              <w:right w:val="single" w:sz="2" w:space="0" w:color="auto"/>
            </w:tcBorders>
          </w:tcPr>
          <w:p w14:paraId="3503542D" w14:textId="77777777" w:rsidR="007049A5" w:rsidRPr="004E4188" w:rsidRDefault="007049A5" w:rsidP="006C6267">
            <w:pPr>
              <w:overflowPunct/>
              <w:autoSpaceDE/>
              <w:autoSpaceDN/>
              <w:adjustRightInd/>
              <w:jc w:val="center"/>
              <w:textAlignment w:val="auto"/>
              <w:rPr>
                <w:b/>
                <w:bCs/>
                <w:iCs/>
                <w:lang w:val="en-GB" w:eastAsia="en-US"/>
              </w:rPr>
            </w:pPr>
          </w:p>
        </w:tc>
        <w:tc>
          <w:tcPr>
            <w:tcW w:w="1843" w:type="dxa"/>
            <w:tcBorders>
              <w:top w:val="single" w:sz="4" w:space="0" w:color="auto"/>
              <w:left w:val="single" w:sz="2" w:space="0" w:color="auto"/>
              <w:bottom w:val="single" w:sz="4" w:space="0" w:color="auto"/>
              <w:right w:val="single" w:sz="2" w:space="0" w:color="auto"/>
            </w:tcBorders>
          </w:tcPr>
          <w:p w14:paraId="5BC10735" w14:textId="77777777" w:rsidR="007049A5" w:rsidRPr="004E4188" w:rsidRDefault="007049A5" w:rsidP="006C6267">
            <w:pPr>
              <w:overflowPunct/>
              <w:autoSpaceDE/>
              <w:autoSpaceDN/>
              <w:adjustRightInd/>
              <w:jc w:val="center"/>
              <w:textAlignment w:val="auto"/>
              <w:rPr>
                <w:b/>
                <w:bCs/>
                <w:iCs/>
                <w:lang w:val="en-GB" w:eastAsia="en-US"/>
              </w:rPr>
            </w:pPr>
          </w:p>
        </w:tc>
        <w:tc>
          <w:tcPr>
            <w:tcW w:w="1843" w:type="dxa"/>
            <w:tcBorders>
              <w:top w:val="single" w:sz="4" w:space="0" w:color="auto"/>
              <w:left w:val="single" w:sz="6" w:space="0" w:color="auto"/>
              <w:bottom w:val="single" w:sz="4" w:space="0" w:color="auto"/>
              <w:right w:val="single" w:sz="6" w:space="0" w:color="auto"/>
            </w:tcBorders>
          </w:tcPr>
          <w:p w14:paraId="173E5353" w14:textId="77777777" w:rsidR="007049A5" w:rsidRPr="004E4188" w:rsidRDefault="007049A5" w:rsidP="006C6267">
            <w:pPr>
              <w:tabs>
                <w:tab w:val="left" w:pos="1295"/>
              </w:tabs>
              <w:overflowPunct/>
              <w:autoSpaceDE/>
              <w:autoSpaceDN/>
              <w:adjustRightInd/>
              <w:spacing w:before="60" w:after="60"/>
              <w:textAlignment w:val="auto"/>
              <w:rPr>
                <w:lang w:val="en-GB" w:eastAsia="en-US"/>
              </w:rPr>
            </w:pPr>
            <w:r w:rsidRPr="004E4188">
              <w:t xml:space="preserve">b : </w:t>
            </w:r>
            <w:r w:rsidRPr="004E4188">
              <w:rPr>
                <w:u w:val="single"/>
              </w:rPr>
              <w:tab/>
            </w:r>
          </w:p>
        </w:tc>
      </w:tr>
      <w:tr w:rsidR="007049A5" w:rsidRPr="004E4188" w14:paraId="78F010CD" w14:textId="77777777" w:rsidTr="006C6267">
        <w:trPr>
          <w:cantSplit/>
        </w:trPr>
        <w:tc>
          <w:tcPr>
            <w:tcW w:w="1080" w:type="dxa"/>
            <w:tcBorders>
              <w:top w:val="single" w:sz="4" w:space="0" w:color="auto"/>
              <w:left w:val="single" w:sz="2" w:space="0" w:color="auto"/>
              <w:bottom w:val="single" w:sz="4" w:space="0" w:color="auto"/>
              <w:right w:val="single" w:sz="2" w:space="0" w:color="auto"/>
            </w:tcBorders>
          </w:tcPr>
          <w:p w14:paraId="5F108FC3" w14:textId="77777777" w:rsidR="007049A5" w:rsidRPr="004E4188" w:rsidRDefault="007049A5" w:rsidP="006C6267">
            <w:pPr>
              <w:overflowPunct/>
              <w:autoSpaceDE/>
              <w:autoSpaceDN/>
              <w:adjustRightInd/>
              <w:jc w:val="center"/>
              <w:textAlignment w:val="auto"/>
              <w:rPr>
                <w:b/>
                <w:bCs/>
                <w:iCs/>
                <w:lang w:val="en-GB" w:eastAsia="en-US"/>
              </w:rPr>
            </w:pPr>
          </w:p>
        </w:tc>
        <w:tc>
          <w:tcPr>
            <w:tcW w:w="1660" w:type="dxa"/>
            <w:tcBorders>
              <w:top w:val="single" w:sz="4" w:space="0" w:color="auto"/>
              <w:left w:val="single" w:sz="2" w:space="0" w:color="auto"/>
              <w:bottom w:val="single" w:sz="4" w:space="0" w:color="auto"/>
              <w:right w:val="single" w:sz="2" w:space="0" w:color="auto"/>
            </w:tcBorders>
          </w:tcPr>
          <w:p w14:paraId="19681292" w14:textId="77777777" w:rsidR="007049A5" w:rsidRPr="004E4188" w:rsidRDefault="007049A5" w:rsidP="006C6267">
            <w:pPr>
              <w:overflowPunct/>
              <w:autoSpaceDE/>
              <w:autoSpaceDN/>
              <w:adjustRightInd/>
              <w:jc w:val="center"/>
              <w:textAlignment w:val="auto"/>
              <w:rPr>
                <w:b/>
                <w:bCs/>
                <w:iCs/>
                <w:lang w:val="en-GB" w:eastAsia="en-US"/>
              </w:rPr>
            </w:pPr>
          </w:p>
        </w:tc>
        <w:tc>
          <w:tcPr>
            <w:tcW w:w="1229" w:type="dxa"/>
            <w:tcBorders>
              <w:top w:val="single" w:sz="4" w:space="0" w:color="auto"/>
              <w:left w:val="single" w:sz="2" w:space="0" w:color="auto"/>
              <w:bottom w:val="single" w:sz="4" w:space="0" w:color="auto"/>
              <w:right w:val="single" w:sz="2" w:space="0" w:color="auto"/>
            </w:tcBorders>
          </w:tcPr>
          <w:p w14:paraId="489D1FA3" w14:textId="77777777" w:rsidR="007049A5" w:rsidRPr="004E4188" w:rsidRDefault="007049A5" w:rsidP="006C6267">
            <w:pPr>
              <w:overflowPunct/>
              <w:autoSpaceDE/>
              <w:autoSpaceDN/>
              <w:adjustRightInd/>
              <w:jc w:val="center"/>
              <w:textAlignment w:val="auto"/>
              <w:rPr>
                <w:b/>
                <w:bCs/>
                <w:iCs/>
                <w:lang w:val="en-GB" w:eastAsia="en-US"/>
              </w:rPr>
            </w:pPr>
          </w:p>
        </w:tc>
        <w:tc>
          <w:tcPr>
            <w:tcW w:w="851" w:type="dxa"/>
            <w:tcBorders>
              <w:top w:val="single" w:sz="4" w:space="0" w:color="auto"/>
              <w:left w:val="single" w:sz="2" w:space="0" w:color="auto"/>
              <w:bottom w:val="single" w:sz="4" w:space="0" w:color="auto"/>
              <w:right w:val="single" w:sz="2" w:space="0" w:color="auto"/>
            </w:tcBorders>
          </w:tcPr>
          <w:p w14:paraId="4ED39DAF" w14:textId="77777777" w:rsidR="007049A5" w:rsidRPr="004E4188" w:rsidRDefault="007049A5" w:rsidP="006C6267">
            <w:pPr>
              <w:overflowPunct/>
              <w:autoSpaceDE/>
              <w:autoSpaceDN/>
              <w:adjustRightInd/>
              <w:jc w:val="center"/>
              <w:textAlignment w:val="auto"/>
              <w:rPr>
                <w:b/>
                <w:bCs/>
                <w:iCs/>
                <w:lang w:val="en-GB" w:eastAsia="en-US"/>
              </w:rPr>
            </w:pPr>
          </w:p>
        </w:tc>
        <w:tc>
          <w:tcPr>
            <w:tcW w:w="755" w:type="dxa"/>
            <w:tcBorders>
              <w:top w:val="single" w:sz="4" w:space="0" w:color="auto"/>
              <w:left w:val="single" w:sz="2" w:space="0" w:color="auto"/>
              <w:bottom w:val="single" w:sz="4" w:space="0" w:color="auto"/>
              <w:right w:val="single" w:sz="2" w:space="0" w:color="auto"/>
            </w:tcBorders>
          </w:tcPr>
          <w:p w14:paraId="27552AE0" w14:textId="77777777" w:rsidR="007049A5" w:rsidRPr="004E4188" w:rsidRDefault="007049A5" w:rsidP="006C6267">
            <w:pPr>
              <w:overflowPunct/>
              <w:autoSpaceDE/>
              <w:autoSpaceDN/>
              <w:adjustRightInd/>
              <w:jc w:val="center"/>
              <w:textAlignment w:val="auto"/>
              <w:rPr>
                <w:b/>
                <w:bCs/>
                <w:iCs/>
                <w:lang w:val="en-GB" w:eastAsia="en-US"/>
              </w:rPr>
            </w:pPr>
          </w:p>
        </w:tc>
        <w:tc>
          <w:tcPr>
            <w:tcW w:w="1843" w:type="dxa"/>
            <w:tcBorders>
              <w:top w:val="single" w:sz="4" w:space="0" w:color="auto"/>
              <w:left w:val="single" w:sz="2" w:space="0" w:color="auto"/>
              <w:bottom w:val="single" w:sz="4" w:space="0" w:color="auto"/>
              <w:right w:val="single" w:sz="2" w:space="0" w:color="auto"/>
            </w:tcBorders>
          </w:tcPr>
          <w:p w14:paraId="095AA739" w14:textId="77777777" w:rsidR="007049A5" w:rsidRPr="004E4188" w:rsidRDefault="007049A5" w:rsidP="006C6267">
            <w:pPr>
              <w:overflowPunct/>
              <w:autoSpaceDE/>
              <w:autoSpaceDN/>
              <w:adjustRightInd/>
              <w:jc w:val="center"/>
              <w:textAlignment w:val="auto"/>
              <w:rPr>
                <w:b/>
                <w:bCs/>
                <w:iCs/>
                <w:lang w:val="en-GB" w:eastAsia="en-US"/>
              </w:rPr>
            </w:pPr>
          </w:p>
        </w:tc>
        <w:tc>
          <w:tcPr>
            <w:tcW w:w="1843" w:type="dxa"/>
            <w:tcBorders>
              <w:top w:val="single" w:sz="4" w:space="0" w:color="auto"/>
              <w:left w:val="single" w:sz="6" w:space="0" w:color="auto"/>
              <w:bottom w:val="single" w:sz="4" w:space="0" w:color="auto"/>
              <w:right w:val="single" w:sz="6" w:space="0" w:color="auto"/>
            </w:tcBorders>
          </w:tcPr>
          <w:p w14:paraId="75CDF2FF" w14:textId="77777777" w:rsidR="007049A5" w:rsidRPr="004E4188" w:rsidRDefault="007049A5" w:rsidP="006C6267">
            <w:pPr>
              <w:tabs>
                <w:tab w:val="left" w:pos="1295"/>
              </w:tabs>
              <w:overflowPunct/>
              <w:autoSpaceDE/>
              <w:autoSpaceDN/>
              <w:adjustRightInd/>
              <w:spacing w:before="60" w:after="60"/>
              <w:textAlignment w:val="auto"/>
              <w:rPr>
                <w:lang w:val="en-GB" w:eastAsia="en-US"/>
              </w:rPr>
            </w:pPr>
            <w:r w:rsidRPr="004E4188">
              <w:t xml:space="preserve">c : </w:t>
            </w:r>
            <w:r w:rsidRPr="004E4188">
              <w:rPr>
                <w:u w:val="single"/>
              </w:rPr>
              <w:tab/>
            </w:r>
          </w:p>
        </w:tc>
      </w:tr>
      <w:tr w:rsidR="007049A5" w:rsidRPr="004E4188" w14:paraId="750027FA" w14:textId="77777777" w:rsidTr="006C6267">
        <w:trPr>
          <w:cantSplit/>
        </w:trPr>
        <w:tc>
          <w:tcPr>
            <w:tcW w:w="1080" w:type="dxa"/>
            <w:tcBorders>
              <w:top w:val="single" w:sz="4" w:space="0" w:color="auto"/>
              <w:left w:val="single" w:sz="2" w:space="0" w:color="auto"/>
              <w:bottom w:val="single" w:sz="4" w:space="0" w:color="auto"/>
              <w:right w:val="single" w:sz="2" w:space="0" w:color="auto"/>
            </w:tcBorders>
          </w:tcPr>
          <w:p w14:paraId="2CC18588" w14:textId="77777777" w:rsidR="007049A5" w:rsidRPr="004E4188" w:rsidRDefault="007049A5" w:rsidP="006C6267">
            <w:pPr>
              <w:overflowPunct/>
              <w:autoSpaceDE/>
              <w:autoSpaceDN/>
              <w:adjustRightInd/>
              <w:jc w:val="center"/>
              <w:textAlignment w:val="auto"/>
              <w:rPr>
                <w:b/>
                <w:bCs/>
                <w:iCs/>
                <w:lang w:val="en-GB" w:eastAsia="en-US"/>
              </w:rPr>
            </w:pPr>
          </w:p>
        </w:tc>
        <w:tc>
          <w:tcPr>
            <w:tcW w:w="1660" w:type="dxa"/>
            <w:tcBorders>
              <w:top w:val="single" w:sz="4" w:space="0" w:color="auto"/>
              <w:left w:val="single" w:sz="2" w:space="0" w:color="auto"/>
              <w:bottom w:val="single" w:sz="4" w:space="0" w:color="auto"/>
              <w:right w:val="single" w:sz="2" w:space="0" w:color="auto"/>
            </w:tcBorders>
          </w:tcPr>
          <w:p w14:paraId="172C6C07" w14:textId="77777777" w:rsidR="007049A5" w:rsidRPr="004E4188" w:rsidRDefault="007049A5" w:rsidP="006C6267">
            <w:pPr>
              <w:overflowPunct/>
              <w:autoSpaceDE/>
              <w:autoSpaceDN/>
              <w:adjustRightInd/>
              <w:jc w:val="center"/>
              <w:textAlignment w:val="auto"/>
              <w:rPr>
                <w:b/>
                <w:bCs/>
                <w:iCs/>
                <w:lang w:val="en-GB" w:eastAsia="en-US"/>
              </w:rPr>
            </w:pPr>
          </w:p>
        </w:tc>
        <w:tc>
          <w:tcPr>
            <w:tcW w:w="1229" w:type="dxa"/>
            <w:tcBorders>
              <w:top w:val="single" w:sz="4" w:space="0" w:color="auto"/>
              <w:left w:val="single" w:sz="2" w:space="0" w:color="auto"/>
              <w:bottom w:val="single" w:sz="4" w:space="0" w:color="auto"/>
              <w:right w:val="single" w:sz="2" w:space="0" w:color="auto"/>
            </w:tcBorders>
          </w:tcPr>
          <w:p w14:paraId="1E39162C" w14:textId="77777777" w:rsidR="007049A5" w:rsidRPr="004E4188" w:rsidRDefault="007049A5" w:rsidP="006C6267">
            <w:pPr>
              <w:overflowPunct/>
              <w:autoSpaceDE/>
              <w:autoSpaceDN/>
              <w:adjustRightInd/>
              <w:jc w:val="center"/>
              <w:textAlignment w:val="auto"/>
              <w:rPr>
                <w:b/>
                <w:bCs/>
                <w:iCs/>
                <w:lang w:val="en-GB" w:eastAsia="en-US"/>
              </w:rPr>
            </w:pPr>
          </w:p>
        </w:tc>
        <w:tc>
          <w:tcPr>
            <w:tcW w:w="851" w:type="dxa"/>
            <w:tcBorders>
              <w:top w:val="single" w:sz="4" w:space="0" w:color="auto"/>
              <w:left w:val="single" w:sz="2" w:space="0" w:color="auto"/>
              <w:bottom w:val="single" w:sz="4" w:space="0" w:color="auto"/>
              <w:right w:val="single" w:sz="2" w:space="0" w:color="auto"/>
            </w:tcBorders>
          </w:tcPr>
          <w:p w14:paraId="0F14505B" w14:textId="77777777" w:rsidR="007049A5" w:rsidRPr="004E4188" w:rsidRDefault="007049A5" w:rsidP="006C6267">
            <w:pPr>
              <w:overflowPunct/>
              <w:autoSpaceDE/>
              <w:autoSpaceDN/>
              <w:adjustRightInd/>
              <w:jc w:val="center"/>
              <w:textAlignment w:val="auto"/>
              <w:rPr>
                <w:b/>
                <w:bCs/>
                <w:iCs/>
                <w:lang w:val="en-GB" w:eastAsia="en-US"/>
              </w:rPr>
            </w:pPr>
          </w:p>
        </w:tc>
        <w:tc>
          <w:tcPr>
            <w:tcW w:w="755" w:type="dxa"/>
            <w:tcBorders>
              <w:top w:val="single" w:sz="4" w:space="0" w:color="auto"/>
              <w:left w:val="single" w:sz="2" w:space="0" w:color="auto"/>
              <w:bottom w:val="single" w:sz="4" w:space="0" w:color="auto"/>
              <w:right w:val="single" w:sz="2" w:space="0" w:color="auto"/>
            </w:tcBorders>
          </w:tcPr>
          <w:p w14:paraId="195B79A5" w14:textId="77777777" w:rsidR="007049A5" w:rsidRPr="004E4188" w:rsidRDefault="007049A5" w:rsidP="006C6267">
            <w:pPr>
              <w:overflowPunct/>
              <w:autoSpaceDE/>
              <w:autoSpaceDN/>
              <w:adjustRightInd/>
              <w:jc w:val="center"/>
              <w:textAlignment w:val="auto"/>
              <w:rPr>
                <w:b/>
                <w:bCs/>
                <w:iCs/>
                <w:lang w:val="en-GB" w:eastAsia="en-US"/>
              </w:rPr>
            </w:pPr>
          </w:p>
        </w:tc>
        <w:tc>
          <w:tcPr>
            <w:tcW w:w="1843" w:type="dxa"/>
            <w:tcBorders>
              <w:top w:val="single" w:sz="4" w:space="0" w:color="auto"/>
              <w:left w:val="single" w:sz="2" w:space="0" w:color="auto"/>
              <w:bottom w:val="single" w:sz="4" w:space="0" w:color="auto"/>
              <w:right w:val="single" w:sz="2" w:space="0" w:color="auto"/>
            </w:tcBorders>
          </w:tcPr>
          <w:p w14:paraId="65566676" w14:textId="77777777" w:rsidR="007049A5" w:rsidRPr="004E4188" w:rsidRDefault="007049A5" w:rsidP="006C6267">
            <w:pPr>
              <w:overflowPunct/>
              <w:autoSpaceDE/>
              <w:autoSpaceDN/>
              <w:adjustRightInd/>
              <w:jc w:val="center"/>
              <w:textAlignment w:val="auto"/>
              <w:rPr>
                <w:b/>
                <w:bCs/>
                <w:iCs/>
                <w:lang w:val="en-GB" w:eastAsia="en-US"/>
              </w:rPr>
            </w:pPr>
          </w:p>
        </w:tc>
        <w:tc>
          <w:tcPr>
            <w:tcW w:w="1843" w:type="dxa"/>
            <w:tcBorders>
              <w:top w:val="single" w:sz="4" w:space="0" w:color="auto"/>
              <w:left w:val="single" w:sz="6" w:space="0" w:color="auto"/>
              <w:bottom w:val="single" w:sz="4" w:space="0" w:color="auto"/>
              <w:right w:val="single" w:sz="6" w:space="0" w:color="auto"/>
            </w:tcBorders>
          </w:tcPr>
          <w:p w14:paraId="3EA5AD8F" w14:textId="77777777" w:rsidR="007049A5" w:rsidRPr="004E4188" w:rsidRDefault="007049A5" w:rsidP="006C6267">
            <w:pPr>
              <w:tabs>
                <w:tab w:val="left" w:pos="1295"/>
              </w:tabs>
              <w:overflowPunct/>
              <w:autoSpaceDE/>
              <w:autoSpaceDN/>
              <w:adjustRightInd/>
              <w:spacing w:before="60" w:after="60"/>
              <w:textAlignment w:val="auto"/>
              <w:rPr>
                <w:u w:val="single"/>
                <w:lang w:val="en-GB" w:eastAsia="en-US"/>
              </w:rPr>
            </w:pPr>
            <w:r w:rsidRPr="004E4188">
              <w:t xml:space="preserve">d : </w:t>
            </w:r>
            <w:r w:rsidRPr="004E4188">
              <w:rPr>
                <w:u w:val="single"/>
              </w:rPr>
              <w:tab/>
            </w:r>
          </w:p>
        </w:tc>
      </w:tr>
      <w:tr w:rsidR="007049A5" w:rsidRPr="004E4188" w14:paraId="05963A76" w14:textId="77777777" w:rsidTr="006C6267">
        <w:trPr>
          <w:cantSplit/>
        </w:trPr>
        <w:tc>
          <w:tcPr>
            <w:tcW w:w="1080" w:type="dxa"/>
            <w:tcBorders>
              <w:top w:val="single" w:sz="4" w:space="0" w:color="auto"/>
              <w:left w:val="single" w:sz="2" w:space="0" w:color="auto"/>
              <w:bottom w:val="single" w:sz="2" w:space="0" w:color="auto"/>
              <w:right w:val="single" w:sz="2" w:space="0" w:color="auto"/>
            </w:tcBorders>
          </w:tcPr>
          <w:p w14:paraId="220AAAA4" w14:textId="77777777" w:rsidR="007049A5" w:rsidRPr="004E4188" w:rsidRDefault="007049A5" w:rsidP="006C6267">
            <w:pPr>
              <w:overflowPunct/>
              <w:autoSpaceDE/>
              <w:autoSpaceDN/>
              <w:adjustRightInd/>
              <w:jc w:val="center"/>
              <w:textAlignment w:val="auto"/>
              <w:rPr>
                <w:b/>
                <w:bCs/>
                <w:iCs/>
                <w:lang w:val="en-GB" w:eastAsia="en-US"/>
              </w:rPr>
            </w:pPr>
          </w:p>
        </w:tc>
        <w:tc>
          <w:tcPr>
            <w:tcW w:w="1660" w:type="dxa"/>
            <w:tcBorders>
              <w:top w:val="single" w:sz="4" w:space="0" w:color="auto"/>
              <w:left w:val="single" w:sz="2" w:space="0" w:color="auto"/>
              <w:bottom w:val="single" w:sz="2" w:space="0" w:color="auto"/>
              <w:right w:val="single" w:sz="2" w:space="0" w:color="auto"/>
            </w:tcBorders>
          </w:tcPr>
          <w:p w14:paraId="0E412322" w14:textId="77777777" w:rsidR="007049A5" w:rsidRPr="004E4188" w:rsidRDefault="007049A5" w:rsidP="006C6267">
            <w:pPr>
              <w:overflowPunct/>
              <w:autoSpaceDE/>
              <w:autoSpaceDN/>
              <w:adjustRightInd/>
              <w:jc w:val="center"/>
              <w:textAlignment w:val="auto"/>
              <w:rPr>
                <w:b/>
                <w:bCs/>
                <w:iCs/>
                <w:lang w:val="en-GB" w:eastAsia="en-US"/>
              </w:rPr>
            </w:pPr>
          </w:p>
        </w:tc>
        <w:tc>
          <w:tcPr>
            <w:tcW w:w="1229" w:type="dxa"/>
            <w:tcBorders>
              <w:top w:val="single" w:sz="4" w:space="0" w:color="auto"/>
              <w:left w:val="single" w:sz="2" w:space="0" w:color="auto"/>
              <w:bottom w:val="single" w:sz="8" w:space="0" w:color="auto"/>
              <w:right w:val="single" w:sz="2" w:space="0" w:color="auto"/>
            </w:tcBorders>
          </w:tcPr>
          <w:p w14:paraId="73ED82C0" w14:textId="77777777" w:rsidR="007049A5" w:rsidRPr="004E4188" w:rsidRDefault="007049A5" w:rsidP="006C6267">
            <w:pPr>
              <w:overflowPunct/>
              <w:autoSpaceDE/>
              <w:autoSpaceDN/>
              <w:adjustRightInd/>
              <w:jc w:val="center"/>
              <w:textAlignment w:val="auto"/>
              <w:rPr>
                <w:b/>
                <w:bCs/>
                <w:iCs/>
                <w:lang w:val="en-GB" w:eastAsia="en-US"/>
              </w:rPr>
            </w:pPr>
          </w:p>
        </w:tc>
        <w:tc>
          <w:tcPr>
            <w:tcW w:w="851" w:type="dxa"/>
            <w:tcBorders>
              <w:top w:val="single" w:sz="4" w:space="0" w:color="auto"/>
              <w:left w:val="single" w:sz="2" w:space="0" w:color="auto"/>
              <w:bottom w:val="single" w:sz="8" w:space="0" w:color="auto"/>
              <w:right w:val="single" w:sz="2" w:space="0" w:color="auto"/>
            </w:tcBorders>
          </w:tcPr>
          <w:p w14:paraId="79BDF0D0" w14:textId="77777777" w:rsidR="007049A5" w:rsidRPr="004E4188" w:rsidRDefault="007049A5" w:rsidP="006C6267">
            <w:pPr>
              <w:overflowPunct/>
              <w:autoSpaceDE/>
              <w:autoSpaceDN/>
              <w:adjustRightInd/>
              <w:jc w:val="center"/>
              <w:textAlignment w:val="auto"/>
              <w:rPr>
                <w:b/>
                <w:bCs/>
                <w:iCs/>
                <w:lang w:val="en-GB" w:eastAsia="en-US"/>
              </w:rPr>
            </w:pPr>
          </w:p>
        </w:tc>
        <w:tc>
          <w:tcPr>
            <w:tcW w:w="755" w:type="dxa"/>
            <w:tcBorders>
              <w:top w:val="single" w:sz="4" w:space="0" w:color="auto"/>
              <w:left w:val="single" w:sz="2" w:space="0" w:color="auto"/>
              <w:bottom w:val="single" w:sz="8" w:space="0" w:color="auto"/>
              <w:right w:val="single" w:sz="2" w:space="0" w:color="auto"/>
            </w:tcBorders>
          </w:tcPr>
          <w:p w14:paraId="06CC5F84" w14:textId="77777777" w:rsidR="007049A5" w:rsidRPr="004E4188" w:rsidRDefault="007049A5" w:rsidP="006C6267">
            <w:pPr>
              <w:overflowPunct/>
              <w:autoSpaceDE/>
              <w:autoSpaceDN/>
              <w:adjustRightInd/>
              <w:jc w:val="center"/>
              <w:textAlignment w:val="auto"/>
              <w:rPr>
                <w:b/>
                <w:bCs/>
                <w:iCs/>
                <w:lang w:val="en-GB" w:eastAsia="en-US"/>
              </w:rPr>
            </w:pPr>
          </w:p>
        </w:tc>
        <w:tc>
          <w:tcPr>
            <w:tcW w:w="1843" w:type="dxa"/>
            <w:tcBorders>
              <w:top w:val="single" w:sz="4" w:space="0" w:color="auto"/>
              <w:left w:val="single" w:sz="2" w:space="0" w:color="auto"/>
              <w:bottom w:val="single" w:sz="8" w:space="0" w:color="auto"/>
              <w:right w:val="single" w:sz="2" w:space="0" w:color="auto"/>
            </w:tcBorders>
          </w:tcPr>
          <w:p w14:paraId="6978F97B" w14:textId="77777777" w:rsidR="007049A5" w:rsidRPr="004E4188" w:rsidRDefault="007049A5" w:rsidP="006C6267">
            <w:pPr>
              <w:overflowPunct/>
              <w:autoSpaceDE/>
              <w:autoSpaceDN/>
              <w:adjustRightInd/>
              <w:jc w:val="center"/>
              <w:textAlignment w:val="auto"/>
              <w:rPr>
                <w:b/>
                <w:bCs/>
                <w:iCs/>
                <w:lang w:val="en-GB" w:eastAsia="en-US"/>
              </w:rPr>
            </w:pPr>
          </w:p>
        </w:tc>
        <w:tc>
          <w:tcPr>
            <w:tcW w:w="1843" w:type="dxa"/>
            <w:tcBorders>
              <w:top w:val="single" w:sz="4" w:space="0" w:color="auto"/>
              <w:left w:val="single" w:sz="6" w:space="0" w:color="auto"/>
              <w:bottom w:val="single" w:sz="18" w:space="0" w:color="auto"/>
              <w:right w:val="single" w:sz="6" w:space="0" w:color="auto"/>
            </w:tcBorders>
          </w:tcPr>
          <w:p w14:paraId="6107DC2B" w14:textId="77777777" w:rsidR="007049A5" w:rsidRPr="004E4188" w:rsidRDefault="007049A5" w:rsidP="006C6267">
            <w:pPr>
              <w:tabs>
                <w:tab w:val="left" w:pos="1295"/>
              </w:tabs>
              <w:overflowPunct/>
              <w:autoSpaceDE/>
              <w:autoSpaceDN/>
              <w:adjustRightInd/>
              <w:spacing w:before="60" w:after="60"/>
              <w:textAlignment w:val="auto"/>
              <w:rPr>
                <w:b/>
                <w:bCs/>
                <w:iCs/>
                <w:lang w:val="en-GB" w:eastAsia="en-US"/>
              </w:rPr>
            </w:pPr>
            <w:r w:rsidRPr="004E4188">
              <w:t xml:space="preserve">e : </w:t>
            </w:r>
            <w:r w:rsidRPr="004E4188">
              <w:rPr>
                <w:u w:val="single"/>
              </w:rPr>
              <w:tab/>
            </w:r>
          </w:p>
        </w:tc>
      </w:tr>
      <w:tr w:rsidR="007049A5" w:rsidRPr="004E4188" w14:paraId="5B66A926" w14:textId="77777777" w:rsidTr="006C6267">
        <w:trPr>
          <w:cantSplit/>
        </w:trPr>
        <w:tc>
          <w:tcPr>
            <w:tcW w:w="1080" w:type="dxa"/>
            <w:tcBorders>
              <w:top w:val="single" w:sz="2" w:space="0" w:color="auto"/>
            </w:tcBorders>
          </w:tcPr>
          <w:p w14:paraId="6F4D765D" w14:textId="77777777" w:rsidR="007049A5" w:rsidRPr="004E4188" w:rsidRDefault="007049A5" w:rsidP="006C6267">
            <w:pPr>
              <w:overflowPunct/>
              <w:autoSpaceDE/>
              <w:autoSpaceDN/>
              <w:adjustRightInd/>
              <w:textAlignment w:val="auto"/>
              <w:rPr>
                <w:b/>
                <w:bCs/>
                <w:sz w:val="20"/>
                <w:lang w:val="en-GB" w:eastAsia="en-US"/>
              </w:rPr>
            </w:pPr>
          </w:p>
        </w:tc>
        <w:tc>
          <w:tcPr>
            <w:tcW w:w="1660" w:type="dxa"/>
            <w:tcBorders>
              <w:top w:val="single" w:sz="2" w:space="0" w:color="auto"/>
              <w:right w:val="single" w:sz="8" w:space="0" w:color="auto"/>
            </w:tcBorders>
          </w:tcPr>
          <w:p w14:paraId="09C2C227" w14:textId="77777777" w:rsidR="007049A5" w:rsidRPr="004E4188" w:rsidRDefault="007049A5" w:rsidP="006C6267">
            <w:pPr>
              <w:overflowPunct/>
              <w:autoSpaceDE/>
              <w:autoSpaceDN/>
              <w:adjustRightInd/>
              <w:textAlignment w:val="auto"/>
              <w:rPr>
                <w:b/>
                <w:bCs/>
                <w:sz w:val="20"/>
                <w:lang w:val="en-GB" w:eastAsia="en-US"/>
              </w:rPr>
            </w:pPr>
          </w:p>
        </w:tc>
        <w:tc>
          <w:tcPr>
            <w:tcW w:w="2835" w:type="dxa"/>
            <w:gridSpan w:val="3"/>
            <w:tcBorders>
              <w:top w:val="single" w:sz="8" w:space="0" w:color="auto"/>
              <w:left w:val="single" w:sz="8" w:space="0" w:color="auto"/>
              <w:bottom w:val="single" w:sz="8" w:space="0" w:color="auto"/>
            </w:tcBorders>
          </w:tcPr>
          <w:p w14:paraId="0F9F0918" w14:textId="77777777" w:rsidR="007049A5" w:rsidRPr="004E4188" w:rsidRDefault="007049A5" w:rsidP="006C6267">
            <w:pPr>
              <w:overflowPunct/>
              <w:autoSpaceDE/>
              <w:autoSpaceDN/>
              <w:adjustRightInd/>
              <w:jc w:val="center"/>
              <w:textAlignment w:val="auto"/>
              <w:rPr>
                <w:b/>
                <w:bCs/>
                <w:sz w:val="22"/>
                <w:szCs w:val="22"/>
                <w:lang w:val="en-GB" w:eastAsia="en-US"/>
              </w:rPr>
            </w:pPr>
            <w:r w:rsidRPr="004E4188">
              <w:rPr>
                <w:b/>
                <w:bCs/>
                <w:sz w:val="22"/>
                <w:szCs w:val="22"/>
                <w:lang w:val="en-GB" w:eastAsia="en-US"/>
              </w:rPr>
              <w:t>Total</w:t>
            </w:r>
          </w:p>
        </w:tc>
        <w:tc>
          <w:tcPr>
            <w:tcW w:w="1843" w:type="dxa"/>
            <w:tcBorders>
              <w:top w:val="single" w:sz="8" w:space="0" w:color="auto"/>
              <w:bottom w:val="single" w:sz="8" w:space="0" w:color="auto"/>
              <w:right w:val="single" w:sz="18" w:space="0" w:color="auto"/>
            </w:tcBorders>
          </w:tcPr>
          <w:p w14:paraId="632C96AA" w14:textId="77777777" w:rsidR="007049A5" w:rsidRPr="004E4188" w:rsidRDefault="007049A5" w:rsidP="006C6267">
            <w:pPr>
              <w:overflowPunct/>
              <w:autoSpaceDE/>
              <w:autoSpaceDN/>
              <w:adjustRightInd/>
              <w:textAlignment w:val="auto"/>
              <w:rPr>
                <w:b/>
                <w:bCs/>
                <w:sz w:val="22"/>
                <w:szCs w:val="22"/>
                <w:lang w:val="en-GB" w:eastAsia="en-US"/>
              </w:rPr>
            </w:pPr>
          </w:p>
        </w:tc>
        <w:tc>
          <w:tcPr>
            <w:tcW w:w="1843" w:type="dxa"/>
            <w:tcBorders>
              <w:top w:val="single" w:sz="18" w:space="0" w:color="auto"/>
              <w:left w:val="single" w:sz="18" w:space="0" w:color="auto"/>
              <w:bottom w:val="single" w:sz="18" w:space="0" w:color="auto"/>
              <w:right w:val="single" w:sz="18" w:space="0" w:color="auto"/>
            </w:tcBorders>
          </w:tcPr>
          <w:p w14:paraId="409CD365" w14:textId="77777777" w:rsidR="007049A5" w:rsidRPr="004E4188" w:rsidRDefault="007049A5" w:rsidP="006C6267">
            <w:pPr>
              <w:tabs>
                <w:tab w:val="decimal" w:pos="695"/>
              </w:tabs>
              <w:overflowPunct/>
              <w:autoSpaceDE/>
              <w:autoSpaceDN/>
              <w:adjustRightInd/>
              <w:textAlignment w:val="auto"/>
              <w:rPr>
                <w:b/>
                <w:bCs/>
                <w:sz w:val="22"/>
                <w:szCs w:val="22"/>
                <w:lang w:val="en-GB" w:eastAsia="en-US"/>
              </w:rPr>
            </w:pPr>
            <w:r w:rsidRPr="004E4188">
              <w:rPr>
                <w:b/>
                <w:bCs/>
                <w:sz w:val="22"/>
                <w:szCs w:val="22"/>
                <w:lang w:val="en-GB" w:eastAsia="en-US"/>
              </w:rPr>
              <w:t>1,00</w:t>
            </w:r>
          </w:p>
        </w:tc>
      </w:tr>
    </w:tbl>
    <w:p w14:paraId="0C740062" w14:textId="77777777" w:rsidR="007049A5" w:rsidRPr="004E4188" w:rsidRDefault="007049A5" w:rsidP="006C6267">
      <w:pPr>
        <w:overflowPunct/>
        <w:autoSpaceDE/>
        <w:autoSpaceDN/>
        <w:adjustRightInd/>
        <w:textAlignment w:val="auto"/>
        <w:rPr>
          <w:rFonts w:eastAsia="Arial Unicode MS"/>
          <w:szCs w:val="24"/>
          <w:u w:val="single"/>
          <w:lang w:val="en-GB" w:eastAsia="ja-JP"/>
        </w:rPr>
      </w:pPr>
    </w:p>
    <w:p w14:paraId="593F6074" w14:textId="77777777" w:rsidR="007049A5" w:rsidRPr="004E4188" w:rsidRDefault="007049A5" w:rsidP="006C6267">
      <w:pPr>
        <w:overflowPunct/>
        <w:autoSpaceDE/>
        <w:autoSpaceDN/>
        <w:adjustRightInd/>
        <w:textAlignment w:val="auto"/>
        <w:rPr>
          <w:rFonts w:eastAsia="Arial Unicode MS"/>
          <w:szCs w:val="24"/>
          <w:u w:val="single"/>
          <w:lang w:val="en-GB" w:eastAsia="ja-JP"/>
        </w:rPr>
      </w:pPr>
      <w:r w:rsidRPr="004E4188">
        <w:rPr>
          <w:rFonts w:eastAsia="Arial Unicode MS"/>
          <w:szCs w:val="24"/>
          <w:u w:val="single"/>
          <w:lang w:val="en-GB" w:eastAsia="ja-JP"/>
        </w:rPr>
        <w:t>Notes à l’intention des Soumissionnaires</w:t>
      </w:r>
    </w:p>
    <w:p w14:paraId="6F642C76" w14:textId="12E4F7D0" w:rsidR="007049A5" w:rsidRPr="004E4188" w:rsidRDefault="007049A5" w:rsidP="006C6267">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4E4188">
        <w:rPr>
          <w:rFonts w:eastAsia="Arial Unicode MS"/>
          <w:szCs w:val="24"/>
          <w:lang w:eastAsia="ja-JP"/>
        </w:rPr>
        <w:t>1. Le Soumissionnaire indiquera dans la colonne (v) le montant total en monnaie nationale de chacun des composants de l’indice (tels que la main-d’</w:t>
      </w:r>
      <w:r w:rsidRPr="004E4188">
        <w:rPr>
          <w:rFonts w:eastAsia="Arial Unicode MS" w:hint="eastAsia"/>
          <w:szCs w:val="24"/>
          <w:lang w:eastAsia="ja-JP"/>
        </w:rPr>
        <w:t>œ</w:t>
      </w:r>
      <w:r w:rsidRPr="004E4188">
        <w:rPr>
          <w:rFonts w:eastAsia="Arial Unicode MS"/>
          <w:szCs w:val="24"/>
          <w:lang w:eastAsia="ja-JP"/>
        </w:rPr>
        <w:t xml:space="preserve">uvre, les matériaux, les équipements, etc. indiqués dans la colonne (ii)). </w:t>
      </w:r>
    </w:p>
    <w:p w14:paraId="710AA167" w14:textId="77777777" w:rsidR="007049A5" w:rsidRPr="004E4188" w:rsidRDefault="007049A5" w:rsidP="006C6267">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4E4188">
        <w:rPr>
          <w:rFonts w:eastAsia="Arial Unicode MS"/>
          <w:szCs w:val="24"/>
          <w:lang w:eastAsia="ja-JP"/>
        </w:rPr>
        <w:tab/>
        <w:t>Le montant total de la part « </w:t>
      </w:r>
      <w:r w:rsidRPr="004E4188">
        <w:rPr>
          <w:rFonts w:eastAsia="Arial Unicode MS"/>
          <w:i/>
          <w:szCs w:val="24"/>
          <w:lang w:eastAsia="ja-JP"/>
        </w:rPr>
        <w:t>non ajustable</w:t>
      </w:r>
      <w:r w:rsidRPr="004E4188">
        <w:rPr>
          <w:rFonts w:eastAsia="Arial Unicode MS"/>
          <w:szCs w:val="24"/>
          <w:lang w:eastAsia="ja-JP"/>
        </w:rPr>
        <w:t> » sera également indiqué dans la case correspondante.</w:t>
      </w:r>
    </w:p>
    <w:p w14:paraId="3FDED40B" w14:textId="1C29B0F7" w:rsidR="007049A5" w:rsidRPr="004E4188" w:rsidRDefault="007049A5" w:rsidP="006C6267">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4E4188">
        <w:rPr>
          <w:rFonts w:eastAsia="Arial Unicode MS"/>
          <w:szCs w:val="24"/>
          <w:lang w:eastAsia="ja-JP"/>
        </w:rPr>
        <w:t xml:space="preserve">2. </w:t>
      </w:r>
      <w:r w:rsidRPr="004E4188">
        <w:rPr>
          <w:szCs w:val="24"/>
        </w:rPr>
        <w:t>Le Soumissionnaire</w:t>
      </w:r>
      <w:r w:rsidRPr="004E4188">
        <w:rPr>
          <w:rFonts w:eastAsia="Arial Unicode MS"/>
          <w:szCs w:val="24"/>
          <w:lang w:eastAsia="ja-JP"/>
        </w:rPr>
        <w:t xml:space="preserve"> indiquera une valeur comprise dans la plage de valeurs données par le Maître d’ouvrage pour les paramètres ‘b’, ‘c’ ‘d’ et ‘e’ dans la colonne (vi). Le total des paramètres doit être égal à 1.</w:t>
      </w:r>
    </w:p>
    <w:p w14:paraId="62798BED" w14:textId="77777777" w:rsidR="007049A5" w:rsidRPr="004E4188" w:rsidRDefault="007049A5" w:rsidP="006C6267">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4E4188">
        <w:rPr>
          <w:rFonts w:eastAsia="Arial Unicode MS"/>
          <w:szCs w:val="24"/>
          <w:lang w:eastAsia="ja-JP"/>
        </w:rPr>
        <w:t>3. Les valeurs et les dates de(des) indice(s) des coûts de référence seront fournies par le Maître d’ouvrage avant la signature du Marché.</w:t>
      </w:r>
      <w:r w:rsidRPr="004E4188">
        <w:rPr>
          <w:rFonts w:eastAsia="Arial Unicode MS"/>
          <w:szCs w:val="24"/>
          <w:lang w:eastAsia="ja-JP"/>
        </w:rPr>
        <w:br w:type="page"/>
      </w:r>
    </w:p>
    <w:p w14:paraId="6BF9EC72" w14:textId="77777777" w:rsidR="007049A5" w:rsidRPr="004E4188" w:rsidRDefault="007049A5" w:rsidP="006C6267">
      <w:pPr>
        <w:suppressAutoHyphens w:val="0"/>
        <w:overflowPunct/>
        <w:autoSpaceDE/>
        <w:autoSpaceDN/>
        <w:adjustRightInd/>
        <w:jc w:val="center"/>
        <w:textAlignment w:val="auto"/>
        <w:rPr>
          <w:rFonts w:eastAsia="Arial Unicode MS"/>
          <w:sz w:val="28"/>
          <w:szCs w:val="28"/>
          <w:lang w:eastAsia="ja-JP"/>
        </w:rPr>
      </w:pPr>
      <w:r w:rsidRPr="004E4188">
        <w:rPr>
          <w:rFonts w:eastAsia="Arial Unicode MS"/>
          <w:sz w:val="28"/>
          <w:szCs w:val="28"/>
          <w:lang w:eastAsia="en-US"/>
        </w:rPr>
        <w:t>Tableau B : Monnaie étrangère</w:t>
      </w:r>
      <w:r w:rsidRPr="004E4188">
        <w:rPr>
          <w:rFonts w:eastAsia="Arial Unicode MS"/>
          <w:sz w:val="28"/>
          <w:szCs w:val="28"/>
          <w:vertAlign w:val="superscript"/>
          <w:lang w:eastAsia="en-US"/>
        </w:rPr>
        <w:t>1</w:t>
      </w:r>
    </w:p>
    <w:p w14:paraId="6DF0BA16" w14:textId="77777777" w:rsidR="007049A5" w:rsidRPr="004E4188" w:rsidRDefault="007049A5" w:rsidP="006C6267">
      <w:pPr>
        <w:suppressAutoHyphens w:val="0"/>
        <w:overflowPunct/>
        <w:autoSpaceDE/>
        <w:autoSpaceDN/>
        <w:adjustRightInd/>
        <w:jc w:val="center"/>
        <w:textAlignment w:val="auto"/>
        <w:rPr>
          <w:lang w:eastAsia="ja-JP"/>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7049A5" w:rsidRPr="004E4188" w14:paraId="39514A74" w14:textId="77777777" w:rsidTr="006C6267">
        <w:tc>
          <w:tcPr>
            <w:tcW w:w="9209" w:type="dxa"/>
            <w:shd w:val="clear" w:color="auto" w:fill="auto"/>
          </w:tcPr>
          <w:p w14:paraId="471FD4C1" w14:textId="77777777" w:rsidR="007049A5" w:rsidRPr="004E4188" w:rsidRDefault="007049A5" w:rsidP="006C6267">
            <w:pPr>
              <w:suppressAutoHyphens w:val="0"/>
              <w:overflowPunct/>
              <w:autoSpaceDE/>
              <w:autoSpaceDN/>
              <w:adjustRightInd/>
              <w:spacing w:after="120"/>
              <w:jc w:val="center"/>
              <w:textAlignment w:val="auto"/>
              <w:rPr>
                <w:b/>
                <w:szCs w:val="24"/>
                <w:lang w:eastAsia="en-US"/>
              </w:rPr>
            </w:pPr>
            <w:r w:rsidRPr="004E4188">
              <w:rPr>
                <w:b/>
                <w:szCs w:val="24"/>
                <w:lang w:eastAsia="en-US"/>
              </w:rPr>
              <w:t>Notes à l’intention du Maître d’ouvrage</w:t>
            </w:r>
          </w:p>
          <w:p w14:paraId="2B31C635" w14:textId="77777777" w:rsidR="007049A5" w:rsidRPr="004E4188" w:rsidRDefault="007049A5" w:rsidP="006C6267">
            <w:pPr>
              <w:suppressAutoHyphens w:val="0"/>
              <w:overflowPunct/>
              <w:autoSpaceDE/>
              <w:autoSpaceDN/>
              <w:adjustRightInd/>
              <w:textAlignment w:val="auto"/>
            </w:pPr>
            <w:r w:rsidRPr="004E4188">
              <w:t xml:space="preserve">Le Maître d’ouvrage complètera les colonnes (i) et (ii), et fournira une valeur fixe pour le paramètre ‘a’ et une échelle de valeurs pour les paramètres de pondération ‘b’, ‘c’, ‘d’ et ‘e’ dans la colonne (vii). </w:t>
            </w:r>
          </w:p>
          <w:p w14:paraId="2F8DADC8" w14:textId="77777777" w:rsidR="007049A5" w:rsidRPr="004E4188" w:rsidRDefault="007049A5" w:rsidP="006C6267">
            <w:pPr>
              <w:suppressAutoHyphens w:val="0"/>
              <w:overflowPunct/>
              <w:autoSpaceDE/>
              <w:autoSpaceDN/>
              <w:adjustRightInd/>
              <w:textAlignment w:val="auto"/>
            </w:pPr>
          </w:p>
          <w:p w14:paraId="695092EB" w14:textId="77777777" w:rsidR="007049A5" w:rsidRPr="004E4188" w:rsidRDefault="007049A5" w:rsidP="006C6267">
            <w:pPr>
              <w:suppressAutoHyphens w:val="0"/>
              <w:overflowPunct/>
              <w:autoSpaceDE/>
              <w:autoSpaceDN/>
              <w:adjustRightInd/>
              <w:textAlignment w:val="auto"/>
              <w:rPr>
                <w:b/>
              </w:rPr>
            </w:pPr>
            <w:r w:rsidRPr="004E4188">
              <w:t>Pour des marchés importants et/ou complexes, il peut s’avérer nécessaire de prévoir une série de formules de révision des prix pour les différents éléments de rémunération concernés et de préparer les tableaux de données correspondants.</w:t>
            </w:r>
          </w:p>
          <w:p w14:paraId="5321233A" w14:textId="77777777" w:rsidR="007049A5" w:rsidRPr="004E4188" w:rsidRDefault="007049A5" w:rsidP="006C6267">
            <w:pPr>
              <w:suppressAutoHyphens w:val="0"/>
              <w:overflowPunct/>
              <w:autoSpaceDE/>
              <w:autoSpaceDN/>
              <w:adjustRightInd/>
              <w:textAlignment w:val="auto"/>
              <w:rPr>
                <w:rFonts w:eastAsia="Arial Unicode MS"/>
                <w:i/>
                <w:szCs w:val="24"/>
                <w:lang w:eastAsia="ja-JP"/>
              </w:rPr>
            </w:pPr>
          </w:p>
        </w:tc>
      </w:tr>
    </w:tbl>
    <w:p w14:paraId="7EA20A92" w14:textId="77777777" w:rsidR="007049A5" w:rsidRPr="004E4188" w:rsidRDefault="007049A5" w:rsidP="006C6267">
      <w:pPr>
        <w:tabs>
          <w:tab w:val="left" w:pos="2160"/>
          <w:tab w:val="left" w:pos="3600"/>
          <w:tab w:val="left" w:pos="9144"/>
        </w:tabs>
        <w:overflowPunct/>
        <w:autoSpaceDE/>
        <w:autoSpaceDN/>
        <w:adjustRightInd/>
        <w:ind w:right="-72"/>
        <w:textAlignment w:val="auto"/>
        <w:rPr>
          <w:lang w:eastAsia="ja-JP"/>
        </w:rPr>
      </w:pPr>
    </w:p>
    <w:p w14:paraId="297C795A" w14:textId="77777777" w:rsidR="007049A5" w:rsidRPr="004E4188" w:rsidRDefault="007049A5" w:rsidP="006C6267">
      <w:pPr>
        <w:tabs>
          <w:tab w:val="left" w:pos="7200"/>
        </w:tabs>
        <w:overflowPunct/>
        <w:autoSpaceDE/>
        <w:autoSpaceDN/>
        <w:adjustRightInd/>
        <w:spacing w:after="120"/>
        <w:textAlignment w:val="auto"/>
        <w:rPr>
          <w:i/>
          <w:lang w:eastAsia="ja-JP"/>
        </w:rPr>
      </w:pPr>
      <w:r w:rsidRPr="004E4188">
        <w:rPr>
          <w:b/>
        </w:rPr>
        <w:t>Monnaie de paiement</w:t>
      </w:r>
      <w:r w:rsidRPr="004E4188">
        <w:rPr>
          <w:b/>
          <w:vertAlign w:val="superscript"/>
        </w:rPr>
        <w:t>2</w:t>
      </w:r>
      <w:r w:rsidRPr="004E4188">
        <w:rPr>
          <w:b/>
        </w:rPr>
        <w:t xml:space="preserve"> : _____ </w:t>
      </w:r>
    </w:p>
    <w:p w14:paraId="27484458" w14:textId="77777777" w:rsidR="007049A5" w:rsidRPr="004E4188" w:rsidRDefault="007049A5" w:rsidP="006C6267">
      <w:pPr>
        <w:tabs>
          <w:tab w:val="left" w:pos="2160"/>
          <w:tab w:val="left" w:pos="3600"/>
          <w:tab w:val="left" w:pos="9144"/>
        </w:tabs>
        <w:overflowPunct/>
        <w:autoSpaceDE/>
        <w:autoSpaceDN/>
        <w:adjustRightInd/>
        <w:ind w:right="-72"/>
        <w:textAlignment w:val="auto"/>
        <w:rPr>
          <w:lang w:eastAsia="ja-JP"/>
        </w:rPr>
      </w:pPr>
    </w:p>
    <w:tbl>
      <w:tblPr>
        <w:tblW w:w="9119" w:type="dxa"/>
        <w:tblInd w:w="72" w:type="dxa"/>
        <w:tblLayout w:type="fixed"/>
        <w:tblCellMar>
          <w:left w:w="72" w:type="dxa"/>
          <w:right w:w="72" w:type="dxa"/>
        </w:tblCellMar>
        <w:tblLook w:val="0000" w:firstRow="0" w:lastRow="0" w:firstColumn="0" w:lastColumn="0" w:noHBand="0" w:noVBand="0"/>
      </w:tblPr>
      <w:tblGrid>
        <w:gridCol w:w="898"/>
        <w:gridCol w:w="1275"/>
        <w:gridCol w:w="1218"/>
        <w:gridCol w:w="625"/>
        <w:gridCol w:w="567"/>
        <w:gridCol w:w="851"/>
        <w:gridCol w:w="708"/>
        <w:gridCol w:w="804"/>
        <w:gridCol w:w="756"/>
        <w:gridCol w:w="1417"/>
      </w:tblGrid>
      <w:tr w:rsidR="007049A5" w:rsidRPr="004E4188" w14:paraId="5908B0FE" w14:textId="77777777" w:rsidTr="006C6267">
        <w:trPr>
          <w:tblHeader/>
        </w:trPr>
        <w:tc>
          <w:tcPr>
            <w:tcW w:w="898" w:type="dxa"/>
            <w:tcBorders>
              <w:top w:val="single" w:sz="18" w:space="0" w:color="auto"/>
              <w:left w:val="single" w:sz="18" w:space="0" w:color="auto"/>
              <w:bottom w:val="single" w:sz="18" w:space="0" w:color="auto"/>
              <w:right w:val="single" w:sz="18" w:space="0" w:color="auto"/>
            </w:tcBorders>
          </w:tcPr>
          <w:p w14:paraId="1A72A4DC" w14:textId="77777777" w:rsidR="007049A5" w:rsidRPr="004E4188" w:rsidRDefault="007049A5" w:rsidP="006C6267">
            <w:pPr>
              <w:overflowPunct/>
              <w:autoSpaceDE/>
              <w:autoSpaceDN/>
              <w:adjustRightInd/>
              <w:jc w:val="center"/>
              <w:textAlignment w:val="auto"/>
              <w:rPr>
                <w:bCs/>
                <w:iCs/>
                <w:szCs w:val="24"/>
                <w:lang w:val="en-GB" w:eastAsia="ja-JP"/>
              </w:rPr>
            </w:pPr>
            <w:r w:rsidRPr="004E4188">
              <w:t>(i)</w:t>
            </w:r>
          </w:p>
        </w:tc>
        <w:tc>
          <w:tcPr>
            <w:tcW w:w="1275" w:type="dxa"/>
            <w:tcBorders>
              <w:top w:val="single" w:sz="18" w:space="0" w:color="auto"/>
              <w:left w:val="single" w:sz="18" w:space="0" w:color="auto"/>
              <w:bottom w:val="single" w:sz="18" w:space="0" w:color="auto"/>
              <w:right w:val="single" w:sz="18" w:space="0" w:color="auto"/>
            </w:tcBorders>
          </w:tcPr>
          <w:p w14:paraId="3B2B4AF0" w14:textId="77777777" w:rsidR="007049A5" w:rsidRPr="004E4188" w:rsidRDefault="007049A5" w:rsidP="006C6267">
            <w:pPr>
              <w:overflowPunct/>
              <w:autoSpaceDE/>
              <w:autoSpaceDN/>
              <w:adjustRightInd/>
              <w:jc w:val="center"/>
              <w:textAlignment w:val="auto"/>
              <w:rPr>
                <w:bCs/>
                <w:iCs/>
                <w:szCs w:val="24"/>
                <w:lang w:val="en-GB" w:eastAsia="ja-JP"/>
              </w:rPr>
            </w:pPr>
            <w:r w:rsidRPr="004E4188">
              <w:t>(ii)</w:t>
            </w:r>
          </w:p>
        </w:tc>
        <w:tc>
          <w:tcPr>
            <w:tcW w:w="1218" w:type="dxa"/>
            <w:tcBorders>
              <w:top w:val="single" w:sz="18" w:space="0" w:color="auto"/>
              <w:left w:val="single" w:sz="18" w:space="0" w:color="auto"/>
              <w:bottom w:val="single" w:sz="18" w:space="0" w:color="auto"/>
              <w:right w:val="single" w:sz="18" w:space="0" w:color="auto"/>
            </w:tcBorders>
          </w:tcPr>
          <w:p w14:paraId="06E6A9D0" w14:textId="77777777" w:rsidR="007049A5" w:rsidRPr="004E4188" w:rsidRDefault="007049A5" w:rsidP="006C6267">
            <w:pPr>
              <w:overflowPunct/>
              <w:autoSpaceDE/>
              <w:autoSpaceDN/>
              <w:adjustRightInd/>
              <w:jc w:val="center"/>
              <w:textAlignment w:val="auto"/>
              <w:rPr>
                <w:bCs/>
                <w:iCs/>
                <w:szCs w:val="24"/>
                <w:lang w:val="en-GB" w:eastAsia="ja-JP"/>
              </w:rPr>
            </w:pPr>
            <w:r w:rsidRPr="004E4188">
              <w:t>(iii)</w:t>
            </w:r>
          </w:p>
        </w:tc>
        <w:tc>
          <w:tcPr>
            <w:tcW w:w="1192" w:type="dxa"/>
            <w:gridSpan w:val="2"/>
            <w:tcBorders>
              <w:top w:val="single" w:sz="18" w:space="0" w:color="auto"/>
              <w:left w:val="single" w:sz="18" w:space="0" w:color="auto"/>
              <w:bottom w:val="single" w:sz="18" w:space="0" w:color="auto"/>
              <w:right w:val="single" w:sz="18" w:space="0" w:color="auto"/>
            </w:tcBorders>
            <w:shd w:val="clear" w:color="auto" w:fill="auto"/>
          </w:tcPr>
          <w:p w14:paraId="5A0D551F" w14:textId="77777777" w:rsidR="007049A5" w:rsidRPr="004E4188" w:rsidRDefault="007049A5" w:rsidP="006C6267">
            <w:pPr>
              <w:overflowPunct/>
              <w:autoSpaceDE/>
              <w:autoSpaceDN/>
              <w:adjustRightInd/>
              <w:jc w:val="center"/>
              <w:textAlignment w:val="auto"/>
              <w:rPr>
                <w:bCs/>
                <w:iCs/>
                <w:szCs w:val="24"/>
                <w:lang w:val="en-GB" w:eastAsia="ja-JP"/>
              </w:rPr>
            </w:pPr>
            <w:r w:rsidRPr="004E4188">
              <w:t>(iv)</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tcPr>
          <w:p w14:paraId="4C8767D1" w14:textId="77777777" w:rsidR="007049A5" w:rsidRPr="004E4188" w:rsidRDefault="007049A5" w:rsidP="006C6267">
            <w:pPr>
              <w:overflowPunct/>
              <w:autoSpaceDE/>
              <w:autoSpaceDN/>
              <w:adjustRightInd/>
              <w:jc w:val="center"/>
              <w:textAlignment w:val="auto"/>
              <w:rPr>
                <w:bCs/>
                <w:iCs/>
                <w:szCs w:val="24"/>
                <w:lang w:val="en-GB" w:eastAsia="ja-JP"/>
              </w:rPr>
            </w:pPr>
            <w:r w:rsidRPr="004E4188">
              <w:t>(v)</w:t>
            </w:r>
          </w:p>
        </w:tc>
        <w:tc>
          <w:tcPr>
            <w:tcW w:w="1560" w:type="dxa"/>
            <w:gridSpan w:val="2"/>
            <w:tcBorders>
              <w:top w:val="single" w:sz="18" w:space="0" w:color="auto"/>
              <w:left w:val="single" w:sz="18" w:space="0" w:color="auto"/>
              <w:bottom w:val="single" w:sz="18" w:space="0" w:color="auto"/>
              <w:right w:val="single" w:sz="18" w:space="0" w:color="auto"/>
            </w:tcBorders>
          </w:tcPr>
          <w:p w14:paraId="01A6A9CD" w14:textId="77777777" w:rsidR="007049A5" w:rsidRPr="004E4188" w:rsidRDefault="007049A5" w:rsidP="006C6267">
            <w:pPr>
              <w:overflowPunct/>
              <w:autoSpaceDE/>
              <w:autoSpaceDN/>
              <w:adjustRightInd/>
              <w:jc w:val="center"/>
              <w:textAlignment w:val="auto"/>
              <w:rPr>
                <w:bCs/>
                <w:iCs/>
                <w:szCs w:val="24"/>
                <w:lang w:val="en-GB" w:eastAsia="ja-JP"/>
              </w:rPr>
            </w:pPr>
            <w:r w:rsidRPr="004E4188">
              <w:t>(vi)</w:t>
            </w:r>
            <w:r w:rsidRPr="004E4188" w:rsidDel="00BA55D2">
              <w:t xml:space="preserve"> </w:t>
            </w:r>
          </w:p>
        </w:tc>
        <w:tc>
          <w:tcPr>
            <w:tcW w:w="1417" w:type="dxa"/>
            <w:tcBorders>
              <w:top w:val="single" w:sz="18" w:space="0" w:color="auto"/>
              <w:left w:val="single" w:sz="18" w:space="0" w:color="auto"/>
              <w:bottom w:val="single" w:sz="18" w:space="0" w:color="auto"/>
              <w:right w:val="single" w:sz="18" w:space="0" w:color="auto"/>
            </w:tcBorders>
          </w:tcPr>
          <w:p w14:paraId="71CCCE06" w14:textId="77777777" w:rsidR="007049A5" w:rsidRPr="004E4188" w:rsidRDefault="007049A5" w:rsidP="006C6267">
            <w:pPr>
              <w:overflowPunct/>
              <w:autoSpaceDE/>
              <w:autoSpaceDN/>
              <w:adjustRightInd/>
              <w:jc w:val="center"/>
              <w:textAlignment w:val="auto"/>
              <w:rPr>
                <w:bCs/>
                <w:iCs/>
                <w:szCs w:val="24"/>
                <w:lang w:val="en-GB" w:eastAsia="ja-JP"/>
              </w:rPr>
            </w:pPr>
            <w:r w:rsidRPr="004E4188">
              <w:t>(vii)</w:t>
            </w:r>
          </w:p>
        </w:tc>
      </w:tr>
      <w:tr w:rsidR="007049A5" w:rsidRPr="004E4188" w14:paraId="22E32FDF" w14:textId="77777777" w:rsidTr="006C6267">
        <w:trPr>
          <w:trHeight w:val="556"/>
          <w:tblHeader/>
        </w:trPr>
        <w:tc>
          <w:tcPr>
            <w:tcW w:w="898" w:type="dxa"/>
            <w:vMerge w:val="restart"/>
            <w:tcBorders>
              <w:top w:val="single" w:sz="18" w:space="0" w:color="auto"/>
              <w:left w:val="single" w:sz="18" w:space="0" w:color="auto"/>
              <w:bottom w:val="single" w:sz="18" w:space="0" w:color="auto"/>
              <w:right w:val="single" w:sz="18" w:space="0" w:color="auto"/>
            </w:tcBorders>
          </w:tcPr>
          <w:p w14:paraId="3D7AEC8C" w14:textId="77777777" w:rsidR="007049A5" w:rsidRPr="004E4188" w:rsidRDefault="007049A5" w:rsidP="006C6267">
            <w:pPr>
              <w:overflowPunct/>
              <w:autoSpaceDE/>
              <w:autoSpaceDN/>
              <w:adjustRightInd/>
              <w:jc w:val="center"/>
              <w:textAlignment w:val="auto"/>
              <w:rPr>
                <w:bCs/>
                <w:iCs/>
                <w:sz w:val="22"/>
                <w:szCs w:val="24"/>
                <w:lang w:val="en-GB" w:eastAsia="en-US"/>
              </w:rPr>
            </w:pPr>
            <w:r w:rsidRPr="004E4188">
              <w:rPr>
                <w:sz w:val="22"/>
              </w:rPr>
              <w:t xml:space="preserve">Code de l’indice </w:t>
            </w:r>
          </w:p>
        </w:tc>
        <w:tc>
          <w:tcPr>
            <w:tcW w:w="1275" w:type="dxa"/>
            <w:vMerge w:val="restart"/>
            <w:tcBorders>
              <w:top w:val="single" w:sz="18" w:space="0" w:color="auto"/>
              <w:left w:val="single" w:sz="18" w:space="0" w:color="auto"/>
              <w:bottom w:val="single" w:sz="18" w:space="0" w:color="auto"/>
              <w:right w:val="single" w:sz="18" w:space="0" w:color="auto"/>
            </w:tcBorders>
          </w:tcPr>
          <w:p w14:paraId="2FD17C65" w14:textId="77777777" w:rsidR="007049A5" w:rsidRPr="004E4188" w:rsidRDefault="007049A5" w:rsidP="006C6267">
            <w:pPr>
              <w:overflowPunct/>
              <w:autoSpaceDE/>
              <w:autoSpaceDN/>
              <w:adjustRightInd/>
              <w:jc w:val="center"/>
              <w:textAlignment w:val="auto"/>
              <w:rPr>
                <w:bCs/>
                <w:iCs/>
                <w:sz w:val="22"/>
                <w:szCs w:val="24"/>
                <w:lang w:val="en-GB" w:eastAsia="en-US"/>
              </w:rPr>
            </w:pPr>
            <w:r w:rsidRPr="004E4188">
              <w:rPr>
                <w:sz w:val="22"/>
              </w:rPr>
              <w:t>Description de l’indice</w:t>
            </w:r>
          </w:p>
        </w:tc>
        <w:tc>
          <w:tcPr>
            <w:tcW w:w="1218" w:type="dxa"/>
            <w:vMerge w:val="restart"/>
            <w:tcBorders>
              <w:top w:val="single" w:sz="18" w:space="0" w:color="auto"/>
              <w:left w:val="single" w:sz="18" w:space="0" w:color="auto"/>
              <w:bottom w:val="single" w:sz="18" w:space="0" w:color="auto"/>
              <w:right w:val="single" w:sz="18" w:space="0" w:color="auto"/>
            </w:tcBorders>
          </w:tcPr>
          <w:p w14:paraId="129DF7C0" w14:textId="77777777" w:rsidR="007049A5" w:rsidRPr="004E4188" w:rsidRDefault="007049A5" w:rsidP="006C6267">
            <w:pPr>
              <w:overflowPunct/>
              <w:autoSpaceDE/>
              <w:autoSpaceDN/>
              <w:adjustRightInd/>
              <w:jc w:val="center"/>
              <w:textAlignment w:val="auto"/>
              <w:rPr>
                <w:bCs/>
                <w:iCs/>
                <w:sz w:val="22"/>
                <w:vertAlign w:val="superscript"/>
                <w:lang w:eastAsia="en-US"/>
              </w:rPr>
            </w:pPr>
            <w:r w:rsidRPr="004E4188">
              <w:rPr>
                <w:sz w:val="22"/>
              </w:rPr>
              <w:t>Source de publication de l’indice</w:t>
            </w:r>
            <w:r w:rsidRPr="004E4188">
              <w:rPr>
                <w:sz w:val="22"/>
                <w:vertAlign w:val="superscript"/>
              </w:rPr>
              <w:t>3</w:t>
            </w:r>
          </w:p>
        </w:tc>
        <w:tc>
          <w:tcPr>
            <w:tcW w:w="1192" w:type="dxa"/>
            <w:gridSpan w:val="2"/>
            <w:tcBorders>
              <w:top w:val="single" w:sz="18" w:space="0" w:color="auto"/>
              <w:left w:val="single" w:sz="18" w:space="0" w:color="auto"/>
              <w:bottom w:val="single" w:sz="18" w:space="0" w:color="auto"/>
              <w:right w:val="single" w:sz="18" w:space="0" w:color="auto"/>
            </w:tcBorders>
            <w:shd w:val="clear" w:color="auto" w:fill="auto"/>
          </w:tcPr>
          <w:p w14:paraId="5136380C" w14:textId="77777777" w:rsidR="007049A5" w:rsidRPr="004E4188" w:rsidRDefault="007049A5" w:rsidP="006C6267">
            <w:pPr>
              <w:overflowPunct/>
              <w:autoSpaceDE/>
              <w:autoSpaceDN/>
              <w:adjustRightInd/>
              <w:jc w:val="center"/>
              <w:textAlignment w:val="auto"/>
              <w:rPr>
                <w:bCs/>
                <w:iCs/>
                <w:sz w:val="22"/>
                <w:szCs w:val="24"/>
                <w:vertAlign w:val="superscript"/>
                <w:lang w:eastAsia="en-US"/>
              </w:rPr>
            </w:pPr>
            <w:r w:rsidRPr="004E4188">
              <w:rPr>
                <w:sz w:val="22"/>
              </w:rPr>
              <w:t>Indice des coûts de référence</w:t>
            </w:r>
            <w:r w:rsidRPr="004E4188">
              <w:rPr>
                <w:sz w:val="22"/>
                <w:vertAlign w:val="superscript"/>
              </w:rPr>
              <w:t>4</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tcPr>
          <w:p w14:paraId="28110026" w14:textId="77777777" w:rsidR="007049A5" w:rsidRPr="004E4188" w:rsidRDefault="007049A5" w:rsidP="006C6267">
            <w:pPr>
              <w:overflowPunct/>
              <w:autoSpaceDE/>
              <w:autoSpaceDN/>
              <w:adjustRightInd/>
              <w:jc w:val="center"/>
              <w:textAlignment w:val="auto"/>
              <w:rPr>
                <w:bCs/>
                <w:iCs/>
                <w:sz w:val="22"/>
                <w:lang w:eastAsia="en-US"/>
              </w:rPr>
            </w:pPr>
            <w:r w:rsidRPr="004E4188">
              <w:rPr>
                <w:sz w:val="22"/>
                <w:szCs w:val="24"/>
              </w:rPr>
              <w:t xml:space="preserve">Montant </w:t>
            </w:r>
            <w:r w:rsidRPr="004E4188">
              <w:rPr>
                <w:sz w:val="22"/>
              </w:rPr>
              <w:t>total</w:t>
            </w:r>
            <w:r w:rsidRPr="004E4188">
              <w:rPr>
                <w:sz w:val="22"/>
                <w:szCs w:val="24"/>
              </w:rPr>
              <w:t xml:space="preserve"> en monnaie d’origine</w:t>
            </w:r>
            <w:r w:rsidRPr="004E4188">
              <w:rPr>
                <w:sz w:val="22"/>
                <w:szCs w:val="24"/>
                <w:vertAlign w:val="superscript"/>
              </w:rPr>
              <w:t>5</w:t>
            </w:r>
            <w:r w:rsidRPr="004E4188">
              <w:rPr>
                <w:sz w:val="22"/>
                <w:szCs w:val="24"/>
              </w:rPr>
              <w:t xml:space="preserve"> </w:t>
            </w:r>
          </w:p>
        </w:tc>
        <w:tc>
          <w:tcPr>
            <w:tcW w:w="1560" w:type="dxa"/>
            <w:gridSpan w:val="2"/>
            <w:tcBorders>
              <w:top w:val="single" w:sz="18" w:space="0" w:color="auto"/>
              <w:left w:val="single" w:sz="18" w:space="0" w:color="auto"/>
              <w:bottom w:val="single" w:sz="18" w:space="0" w:color="auto"/>
              <w:right w:val="single" w:sz="18" w:space="0" w:color="auto"/>
            </w:tcBorders>
          </w:tcPr>
          <w:p w14:paraId="2F3F78D7" w14:textId="77777777" w:rsidR="007049A5" w:rsidRPr="004E4188" w:rsidRDefault="007049A5" w:rsidP="006C6267">
            <w:pPr>
              <w:overflowPunct/>
              <w:autoSpaceDE/>
              <w:autoSpaceDN/>
              <w:adjustRightInd/>
              <w:jc w:val="center"/>
              <w:textAlignment w:val="auto"/>
              <w:rPr>
                <w:bCs/>
                <w:iCs/>
                <w:sz w:val="22"/>
                <w:vertAlign w:val="superscript"/>
                <w:lang w:eastAsia="ja-JP"/>
              </w:rPr>
            </w:pPr>
            <w:r w:rsidRPr="004E4188">
              <w:rPr>
                <w:sz w:val="22"/>
              </w:rPr>
              <w:t>Montant total en monnaie de paiement</w:t>
            </w:r>
            <w:r w:rsidRPr="004E4188">
              <w:rPr>
                <w:sz w:val="22"/>
                <w:vertAlign w:val="superscript"/>
              </w:rPr>
              <w:t>6</w:t>
            </w:r>
          </w:p>
        </w:tc>
        <w:tc>
          <w:tcPr>
            <w:tcW w:w="1417" w:type="dxa"/>
            <w:vMerge w:val="restart"/>
            <w:tcBorders>
              <w:top w:val="single" w:sz="18" w:space="0" w:color="auto"/>
              <w:left w:val="single" w:sz="18" w:space="0" w:color="auto"/>
              <w:bottom w:val="single" w:sz="18" w:space="0" w:color="auto"/>
              <w:right w:val="single" w:sz="18" w:space="0" w:color="auto"/>
            </w:tcBorders>
          </w:tcPr>
          <w:p w14:paraId="310B8B13" w14:textId="77777777" w:rsidR="007049A5" w:rsidRPr="004E4188" w:rsidRDefault="007049A5" w:rsidP="006C6267">
            <w:pPr>
              <w:overflowPunct/>
              <w:autoSpaceDE/>
              <w:autoSpaceDN/>
              <w:adjustRightInd/>
              <w:jc w:val="center"/>
              <w:textAlignment w:val="auto"/>
              <w:rPr>
                <w:bCs/>
                <w:iCs/>
                <w:sz w:val="22"/>
                <w:szCs w:val="24"/>
                <w:vertAlign w:val="superscript"/>
                <w:lang w:eastAsia="en-US"/>
              </w:rPr>
            </w:pPr>
            <w:r w:rsidRPr="004E4188">
              <w:rPr>
                <w:sz w:val="22"/>
              </w:rPr>
              <w:t>Pondération proposée par le Soumission-naire</w:t>
            </w:r>
            <w:r w:rsidRPr="004E4188">
              <w:rPr>
                <w:sz w:val="22"/>
                <w:vertAlign w:val="superscript"/>
              </w:rPr>
              <w:t>7</w:t>
            </w:r>
          </w:p>
        </w:tc>
      </w:tr>
      <w:tr w:rsidR="007049A5" w:rsidRPr="004E4188" w14:paraId="754C4613" w14:textId="77777777" w:rsidTr="006C6267">
        <w:trPr>
          <w:tblHeader/>
        </w:trPr>
        <w:tc>
          <w:tcPr>
            <w:tcW w:w="898" w:type="dxa"/>
            <w:vMerge/>
            <w:tcBorders>
              <w:left w:val="single" w:sz="18" w:space="0" w:color="auto"/>
              <w:bottom w:val="single" w:sz="18" w:space="0" w:color="auto"/>
              <w:right w:val="single" w:sz="18" w:space="0" w:color="auto"/>
            </w:tcBorders>
          </w:tcPr>
          <w:p w14:paraId="00B03AEF" w14:textId="77777777" w:rsidR="007049A5" w:rsidRPr="004E4188" w:rsidRDefault="007049A5" w:rsidP="006C6267">
            <w:pPr>
              <w:overflowPunct/>
              <w:autoSpaceDE/>
              <w:autoSpaceDN/>
              <w:adjustRightInd/>
              <w:jc w:val="center"/>
              <w:textAlignment w:val="auto"/>
              <w:rPr>
                <w:bCs/>
                <w:iCs/>
                <w:sz w:val="20"/>
                <w:lang w:eastAsia="en-US"/>
              </w:rPr>
            </w:pPr>
          </w:p>
        </w:tc>
        <w:tc>
          <w:tcPr>
            <w:tcW w:w="1275" w:type="dxa"/>
            <w:vMerge/>
            <w:tcBorders>
              <w:left w:val="single" w:sz="18" w:space="0" w:color="auto"/>
              <w:bottom w:val="single" w:sz="18" w:space="0" w:color="auto"/>
              <w:right w:val="single" w:sz="18" w:space="0" w:color="auto"/>
            </w:tcBorders>
          </w:tcPr>
          <w:p w14:paraId="03D189CA" w14:textId="77777777" w:rsidR="007049A5" w:rsidRPr="004E4188" w:rsidRDefault="007049A5" w:rsidP="006C6267">
            <w:pPr>
              <w:overflowPunct/>
              <w:autoSpaceDE/>
              <w:autoSpaceDN/>
              <w:adjustRightInd/>
              <w:jc w:val="center"/>
              <w:textAlignment w:val="auto"/>
              <w:rPr>
                <w:bCs/>
                <w:iCs/>
                <w:sz w:val="20"/>
                <w:lang w:eastAsia="en-US"/>
              </w:rPr>
            </w:pPr>
          </w:p>
        </w:tc>
        <w:tc>
          <w:tcPr>
            <w:tcW w:w="1218" w:type="dxa"/>
            <w:vMerge/>
            <w:tcBorders>
              <w:left w:val="single" w:sz="18" w:space="0" w:color="auto"/>
              <w:bottom w:val="single" w:sz="18" w:space="0" w:color="auto"/>
              <w:right w:val="single" w:sz="18" w:space="0" w:color="auto"/>
            </w:tcBorders>
          </w:tcPr>
          <w:p w14:paraId="189FCF3F" w14:textId="77777777" w:rsidR="007049A5" w:rsidRPr="004E4188" w:rsidRDefault="007049A5" w:rsidP="006C6267">
            <w:pPr>
              <w:overflowPunct/>
              <w:autoSpaceDE/>
              <w:autoSpaceDN/>
              <w:adjustRightInd/>
              <w:jc w:val="center"/>
              <w:textAlignment w:val="auto"/>
              <w:rPr>
                <w:bCs/>
                <w:iCs/>
                <w:sz w:val="20"/>
                <w:lang w:eastAsia="en-US"/>
              </w:rPr>
            </w:pPr>
          </w:p>
        </w:tc>
        <w:tc>
          <w:tcPr>
            <w:tcW w:w="625" w:type="dxa"/>
            <w:tcBorders>
              <w:top w:val="single" w:sz="2" w:space="0" w:color="auto"/>
              <w:left w:val="single" w:sz="18" w:space="0" w:color="auto"/>
              <w:bottom w:val="single" w:sz="18" w:space="0" w:color="auto"/>
              <w:right w:val="single" w:sz="2" w:space="0" w:color="auto"/>
            </w:tcBorders>
          </w:tcPr>
          <w:p w14:paraId="45DE6016" w14:textId="77777777" w:rsidR="007049A5" w:rsidRPr="004E4188" w:rsidRDefault="007049A5" w:rsidP="006C6267">
            <w:pPr>
              <w:overflowPunct/>
              <w:autoSpaceDE/>
              <w:autoSpaceDN/>
              <w:adjustRightInd/>
              <w:spacing w:before="60" w:after="60" w:line="240" w:lineRule="exact"/>
              <w:jc w:val="center"/>
              <w:textAlignment w:val="auto"/>
              <w:rPr>
                <w:bCs/>
                <w:iCs/>
                <w:sz w:val="16"/>
                <w:lang w:val="en-GB" w:eastAsia="en-US"/>
              </w:rPr>
            </w:pPr>
            <w:r w:rsidRPr="004E4188">
              <w:rPr>
                <w:bCs/>
                <w:iCs/>
                <w:sz w:val="16"/>
                <w:lang w:eastAsia="en-US"/>
              </w:rPr>
              <w:t>Valeur</w:t>
            </w:r>
          </w:p>
        </w:tc>
        <w:tc>
          <w:tcPr>
            <w:tcW w:w="567" w:type="dxa"/>
            <w:tcBorders>
              <w:top w:val="single" w:sz="2" w:space="0" w:color="auto"/>
              <w:left w:val="single" w:sz="2" w:space="0" w:color="auto"/>
              <w:bottom w:val="single" w:sz="18" w:space="0" w:color="auto"/>
              <w:right w:val="single" w:sz="18" w:space="0" w:color="auto"/>
            </w:tcBorders>
          </w:tcPr>
          <w:p w14:paraId="7F190F66" w14:textId="77777777" w:rsidR="007049A5" w:rsidRPr="004E4188" w:rsidRDefault="007049A5" w:rsidP="006C6267">
            <w:pPr>
              <w:overflowPunct/>
              <w:autoSpaceDE/>
              <w:autoSpaceDN/>
              <w:adjustRightInd/>
              <w:spacing w:before="60" w:after="60" w:line="240" w:lineRule="exact"/>
              <w:jc w:val="center"/>
              <w:textAlignment w:val="auto"/>
              <w:rPr>
                <w:bCs/>
                <w:iCs/>
                <w:sz w:val="16"/>
                <w:lang w:val="en-GB" w:eastAsia="en-US"/>
              </w:rPr>
            </w:pPr>
            <w:r w:rsidRPr="004E4188">
              <w:rPr>
                <w:bCs/>
                <w:iCs/>
                <w:sz w:val="16"/>
                <w:lang w:val="en-GB" w:eastAsia="en-US"/>
              </w:rPr>
              <w:t>Date</w:t>
            </w:r>
          </w:p>
        </w:tc>
        <w:tc>
          <w:tcPr>
            <w:tcW w:w="851" w:type="dxa"/>
            <w:tcBorders>
              <w:top w:val="single" w:sz="2" w:space="0" w:color="auto"/>
              <w:left w:val="single" w:sz="18" w:space="0" w:color="auto"/>
              <w:bottom w:val="single" w:sz="18" w:space="0" w:color="auto"/>
              <w:right w:val="single" w:sz="2" w:space="0" w:color="auto"/>
            </w:tcBorders>
          </w:tcPr>
          <w:p w14:paraId="7F70C58B" w14:textId="77777777" w:rsidR="007049A5" w:rsidRPr="004E4188" w:rsidRDefault="007049A5" w:rsidP="006C6267">
            <w:pPr>
              <w:overflowPunct/>
              <w:autoSpaceDE/>
              <w:autoSpaceDN/>
              <w:adjustRightInd/>
              <w:spacing w:before="60" w:after="60" w:line="240" w:lineRule="exact"/>
              <w:jc w:val="center"/>
              <w:textAlignment w:val="auto"/>
              <w:rPr>
                <w:bCs/>
                <w:iCs/>
                <w:sz w:val="16"/>
                <w:szCs w:val="16"/>
                <w:lang w:val="en-GB" w:eastAsia="en-US"/>
              </w:rPr>
            </w:pPr>
            <w:r w:rsidRPr="004E4188">
              <w:rPr>
                <w:bCs/>
                <w:iCs/>
                <w:sz w:val="16"/>
                <w:szCs w:val="16"/>
                <w:lang w:eastAsia="en-US"/>
              </w:rPr>
              <w:t>Type de monnaie</w:t>
            </w:r>
          </w:p>
        </w:tc>
        <w:tc>
          <w:tcPr>
            <w:tcW w:w="708" w:type="dxa"/>
            <w:tcBorders>
              <w:top w:val="single" w:sz="2" w:space="0" w:color="auto"/>
              <w:left w:val="single" w:sz="2" w:space="0" w:color="auto"/>
              <w:bottom w:val="single" w:sz="18" w:space="0" w:color="auto"/>
              <w:right w:val="single" w:sz="18" w:space="0" w:color="auto"/>
            </w:tcBorders>
          </w:tcPr>
          <w:p w14:paraId="245771B0" w14:textId="77777777" w:rsidR="007049A5" w:rsidRPr="004E4188" w:rsidRDefault="007049A5" w:rsidP="006C6267">
            <w:pPr>
              <w:overflowPunct/>
              <w:autoSpaceDE/>
              <w:autoSpaceDN/>
              <w:adjustRightInd/>
              <w:spacing w:before="60" w:after="60" w:line="240" w:lineRule="exact"/>
              <w:jc w:val="center"/>
              <w:textAlignment w:val="auto"/>
              <w:rPr>
                <w:bCs/>
                <w:iCs/>
                <w:sz w:val="16"/>
                <w:szCs w:val="16"/>
                <w:lang w:val="en-GB" w:eastAsia="en-US"/>
              </w:rPr>
            </w:pPr>
            <w:r w:rsidRPr="004E4188">
              <w:rPr>
                <w:bCs/>
                <w:iCs/>
                <w:sz w:val="16"/>
                <w:szCs w:val="16"/>
                <w:lang w:val="en-GB" w:eastAsia="en-US"/>
              </w:rPr>
              <w:t>Montant</w:t>
            </w:r>
          </w:p>
        </w:tc>
        <w:tc>
          <w:tcPr>
            <w:tcW w:w="804" w:type="dxa"/>
            <w:tcBorders>
              <w:top w:val="single" w:sz="4" w:space="0" w:color="auto"/>
              <w:left w:val="single" w:sz="18" w:space="0" w:color="auto"/>
              <w:bottom w:val="single" w:sz="18" w:space="0" w:color="auto"/>
              <w:right w:val="single" w:sz="4" w:space="0" w:color="auto"/>
            </w:tcBorders>
          </w:tcPr>
          <w:p w14:paraId="49B14115" w14:textId="77777777" w:rsidR="007049A5" w:rsidRPr="004E4188" w:rsidRDefault="007049A5" w:rsidP="006C6267">
            <w:pPr>
              <w:overflowPunct/>
              <w:autoSpaceDE/>
              <w:autoSpaceDN/>
              <w:adjustRightInd/>
              <w:spacing w:before="60" w:after="60" w:line="240" w:lineRule="exact"/>
              <w:jc w:val="center"/>
              <w:textAlignment w:val="auto"/>
              <w:rPr>
                <w:bCs/>
                <w:iCs/>
                <w:sz w:val="16"/>
                <w:lang w:val="en-GB" w:eastAsia="en-US"/>
              </w:rPr>
            </w:pPr>
            <w:r w:rsidRPr="004E4188">
              <w:rPr>
                <w:bCs/>
                <w:iCs/>
                <w:sz w:val="16"/>
                <w:lang w:val="en-GB" w:eastAsia="en-US"/>
              </w:rPr>
              <w:t>Taux de change</w:t>
            </w:r>
          </w:p>
        </w:tc>
        <w:tc>
          <w:tcPr>
            <w:tcW w:w="756" w:type="dxa"/>
            <w:tcBorders>
              <w:top w:val="single" w:sz="4" w:space="0" w:color="auto"/>
              <w:left w:val="single" w:sz="4" w:space="0" w:color="auto"/>
              <w:bottom w:val="single" w:sz="18" w:space="0" w:color="auto"/>
              <w:right w:val="single" w:sz="18" w:space="0" w:color="auto"/>
            </w:tcBorders>
          </w:tcPr>
          <w:p w14:paraId="301A9BCB" w14:textId="77777777" w:rsidR="007049A5" w:rsidRPr="004E4188" w:rsidRDefault="007049A5" w:rsidP="006C6267">
            <w:pPr>
              <w:overflowPunct/>
              <w:autoSpaceDE/>
              <w:autoSpaceDN/>
              <w:adjustRightInd/>
              <w:spacing w:before="60" w:after="60" w:line="240" w:lineRule="exact"/>
              <w:jc w:val="center"/>
              <w:textAlignment w:val="auto"/>
              <w:rPr>
                <w:bCs/>
                <w:iCs/>
                <w:sz w:val="16"/>
                <w:lang w:val="en-GB" w:eastAsia="en-US"/>
              </w:rPr>
            </w:pPr>
            <w:r w:rsidRPr="004E4188">
              <w:rPr>
                <w:bCs/>
                <w:iCs/>
                <w:sz w:val="16"/>
                <w:lang w:val="en-GB" w:eastAsia="en-US"/>
              </w:rPr>
              <w:t>Montant</w:t>
            </w:r>
          </w:p>
        </w:tc>
        <w:tc>
          <w:tcPr>
            <w:tcW w:w="1417" w:type="dxa"/>
            <w:vMerge/>
            <w:tcBorders>
              <w:left w:val="single" w:sz="18" w:space="0" w:color="auto"/>
              <w:bottom w:val="single" w:sz="18" w:space="0" w:color="auto"/>
              <w:right w:val="single" w:sz="18" w:space="0" w:color="auto"/>
            </w:tcBorders>
          </w:tcPr>
          <w:p w14:paraId="07D79A6F" w14:textId="77777777" w:rsidR="007049A5" w:rsidRPr="004E4188" w:rsidRDefault="007049A5" w:rsidP="006C6267">
            <w:pPr>
              <w:overflowPunct/>
              <w:autoSpaceDE/>
              <w:autoSpaceDN/>
              <w:adjustRightInd/>
              <w:jc w:val="center"/>
              <w:textAlignment w:val="auto"/>
              <w:rPr>
                <w:bCs/>
                <w:iCs/>
                <w:sz w:val="20"/>
                <w:lang w:val="en-GB" w:eastAsia="en-US"/>
              </w:rPr>
            </w:pPr>
          </w:p>
        </w:tc>
      </w:tr>
      <w:tr w:rsidR="007049A5" w:rsidRPr="004E4188" w14:paraId="31B89F71" w14:textId="77777777" w:rsidTr="006C6267">
        <w:trPr>
          <w:tblHeader/>
        </w:trPr>
        <w:tc>
          <w:tcPr>
            <w:tcW w:w="898" w:type="dxa"/>
            <w:tcBorders>
              <w:top w:val="single" w:sz="18" w:space="0" w:color="auto"/>
              <w:left w:val="single" w:sz="8" w:space="0" w:color="auto"/>
              <w:bottom w:val="single" w:sz="4" w:space="0" w:color="auto"/>
              <w:right w:val="single" w:sz="8" w:space="0" w:color="auto"/>
            </w:tcBorders>
          </w:tcPr>
          <w:p w14:paraId="0A29381F"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1275" w:type="dxa"/>
            <w:tcBorders>
              <w:top w:val="single" w:sz="18" w:space="0" w:color="auto"/>
              <w:left w:val="single" w:sz="8" w:space="0" w:color="auto"/>
              <w:bottom w:val="single" w:sz="4" w:space="0" w:color="auto"/>
              <w:right w:val="single" w:sz="8" w:space="0" w:color="auto"/>
            </w:tcBorders>
          </w:tcPr>
          <w:p w14:paraId="6A5AC26B" w14:textId="77777777" w:rsidR="007049A5" w:rsidRPr="004E4188" w:rsidRDefault="007049A5" w:rsidP="006C6267">
            <w:pPr>
              <w:overflowPunct/>
              <w:autoSpaceDE/>
              <w:autoSpaceDN/>
              <w:adjustRightInd/>
              <w:textAlignment w:val="auto"/>
              <w:rPr>
                <w:b/>
                <w:bCs/>
                <w:iCs/>
                <w:sz w:val="20"/>
                <w:lang w:val="en-GB" w:eastAsia="en-US"/>
              </w:rPr>
            </w:pPr>
            <w:r w:rsidRPr="004E4188">
              <w:rPr>
                <w:sz w:val="22"/>
              </w:rPr>
              <w:t>Non ajustable</w:t>
            </w:r>
          </w:p>
        </w:tc>
        <w:tc>
          <w:tcPr>
            <w:tcW w:w="1218" w:type="dxa"/>
            <w:tcBorders>
              <w:top w:val="single" w:sz="18" w:space="0" w:color="auto"/>
              <w:left w:val="single" w:sz="8" w:space="0" w:color="auto"/>
              <w:bottom w:val="single" w:sz="4" w:space="0" w:color="auto"/>
              <w:right w:val="single" w:sz="8" w:space="0" w:color="auto"/>
            </w:tcBorders>
          </w:tcPr>
          <w:p w14:paraId="36E175D0" w14:textId="77777777" w:rsidR="007049A5" w:rsidRPr="004E4188" w:rsidRDefault="007049A5" w:rsidP="006C6267">
            <w:pPr>
              <w:overflowPunct/>
              <w:autoSpaceDE/>
              <w:autoSpaceDN/>
              <w:adjustRightInd/>
              <w:jc w:val="center"/>
              <w:textAlignment w:val="auto"/>
              <w:rPr>
                <w:b/>
                <w:bCs/>
                <w:iCs/>
                <w:sz w:val="20"/>
                <w:lang w:val="en-GB" w:eastAsia="en-US"/>
              </w:rPr>
            </w:pPr>
            <w:r w:rsidRPr="004E4188">
              <w:rPr>
                <w:rFonts w:hint="eastAsia"/>
                <w:b/>
                <w:bCs/>
                <w:iCs/>
                <w:lang w:val="en-GB" w:eastAsia="ja-JP"/>
              </w:rPr>
              <w:t>-</w:t>
            </w:r>
          </w:p>
        </w:tc>
        <w:tc>
          <w:tcPr>
            <w:tcW w:w="625" w:type="dxa"/>
            <w:tcBorders>
              <w:top w:val="single" w:sz="18" w:space="0" w:color="auto"/>
              <w:left w:val="single" w:sz="8" w:space="0" w:color="auto"/>
              <w:bottom w:val="single" w:sz="4" w:space="0" w:color="auto"/>
              <w:right w:val="single" w:sz="8" w:space="0" w:color="auto"/>
            </w:tcBorders>
          </w:tcPr>
          <w:p w14:paraId="02717878" w14:textId="77777777" w:rsidR="007049A5" w:rsidRPr="004E4188" w:rsidRDefault="007049A5" w:rsidP="006C6267">
            <w:pPr>
              <w:overflowPunct/>
              <w:autoSpaceDE/>
              <w:autoSpaceDN/>
              <w:adjustRightInd/>
              <w:jc w:val="center"/>
              <w:textAlignment w:val="auto"/>
              <w:rPr>
                <w:b/>
                <w:bCs/>
                <w:iCs/>
                <w:sz w:val="20"/>
                <w:lang w:val="en-GB" w:eastAsia="en-US"/>
              </w:rPr>
            </w:pPr>
            <w:r w:rsidRPr="004E4188">
              <w:rPr>
                <w:rFonts w:hint="eastAsia"/>
                <w:b/>
                <w:bCs/>
                <w:iCs/>
                <w:lang w:val="en-GB" w:eastAsia="ja-JP"/>
              </w:rPr>
              <w:t>-</w:t>
            </w:r>
          </w:p>
        </w:tc>
        <w:tc>
          <w:tcPr>
            <w:tcW w:w="567" w:type="dxa"/>
            <w:tcBorders>
              <w:top w:val="single" w:sz="18" w:space="0" w:color="auto"/>
              <w:left w:val="single" w:sz="8" w:space="0" w:color="auto"/>
              <w:bottom w:val="single" w:sz="4" w:space="0" w:color="auto"/>
              <w:right w:val="single" w:sz="8" w:space="0" w:color="auto"/>
            </w:tcBorders>
          </w:tcPr>
          <w:p w14:paraId="56274725" w14:textId="77777777" w:rsidR="007049A5" w:rsidRPr="004E4188" w:rsidRDefault="007049A5" w:rsidP="006C6267">
            <w:pPr>
              <w:overflowPunct/>
              <w:autoSpaceDE/>
              <w:autoSpaceDN/>
              <w:adjustRightInd/>
              <w:jc w:val="center"/>
              <w:textAlignment w:val="auto"/>
              <w:rPr>
                <w:b/>
                <w:bCs/>
                <w:iCs/>
                <w:sz w:val="20"/>
                <w:lang w:val="en-GB" w:eastAsia="en-US"/>
              </w:rPr>
            </w:pPr>
            <w:r w:rsidRPr="004E4188">
              <w:rPr>
                <w:rFonts w:hint="eastAsia"/>
                <w:b/>
                <w:bCs/>
                <w:iCs/>
                <w:lang w:val="en-GB" w:eastAsia="ja-JP"/>
              </w:rPr>
              <w:t>-</w:t>
            </w:r>
          </w:p>
        </w:tc>
        <w:tc>
          <w:tcPr>
            <w:tcW w:w="851" w:type="dxa"/>
            <w:tcBorders>
              <w:top w:val="single" w:sz="18" w:space="0" w:color="auto"/>
              <w:left w:val="single" w:sz="8" w:space="0" w:color="auto"/>
              <w:bottom w:val="single" w:sz="4" w:space="0" w:color="auto"/>
              <w:right w:val="single" w:sz="8" w:space="0" w:color="auto"/>
            </w:tcBorders>
          </w:tcPr>
          <w:p w14:paraId="3BE12F16" w14:textId="77777777" w:rsidR="007049A5" w:rsidRPr="004E4188" w:rsidRDefault="007049A5" w:rsidP="006C6267">
            <w:pPr>
              <w:overflowPunct/>
              <w:autoSpaceDE/>
              <w:autoSpaceDN/>
              <w:adjustRightInd/>
              <w:jc w:val="center"/>
              <w:textAlignment w:val="auto"/>
              <w:rPr>
                <w:b/>
                <w:bCs/>
                <w:iCs/>
                <w:sz w:val="20"/>
                <w:lang w:val="en-GB" w:eastAsia="en-US"/>
              </w:rPr>
            </w:pPr>
            <w:r w:rsidRPr="004E4188">
              <w:rPr>
                <w:rFonts w:hint="eastAsia"/>
                <w:b/>
                <w:bCs/>
                <w:iCs/>
                <w:lang w:val="en-GB" w:eastAsia="ja-JP"/>
              </w:rPr>
              <w:t>-</w:t>
            </w:r>
          </w:p>
        </w:tc>
        <w:tc>
          <w:tcPr>
            <w:tcW w:w="708" w:type="dxa"/>
            <w:tcBorders>
              <w:top w:val="single" w:sz="18" w:space="0" w:color="auto"/>
              <w:left w:val="single" w:sz="8" w:space="0" w:color="auto"/>
              <w:bottom w:val="single" w:sz="4" w:space="0" w:color="auto"/>
              <w:right w:val="single" w:sz="8" w:space="0" w:color="auto"/>
            </w:tcBorders>
          </w:tcPr>
          <w:p w14:paraId="48D824E6" w14:textId="77777777" w:rsidR="007049A5" w:rsidRPr="004E4188" w:rsidRDefault="007049A5" w:rsidP="006C6267">
            <w:pPr>
              <w:overflowPunct/>
              <w:autoSpaceDE/>
              <w:autoSpaceDN/>
              <w:adjustRightInd/>
              <w:jc w:val="center"/>
              <w:textAlignment w:val="auto"/>
              <w:rPr>
                <w:b/>
                <w:bCs/>
                <w:iCs/>
                <w:sz w:val="20"/>
                <w:lang w:val="en-GB" w:eastAsia="en-US"/>
              </w:rPr>
            </w:pPr>
            <w:r w:rsidRPr="004E4188">
              <w:rPr>
                <w:rFonts w:hint="eastAsia"/>
                <w:b/>
                <w:bCs/>
                <w:iCs/>
                <w:lang w:val="en-GB" w:eastAsia="ja-JP"/>
              </w:rPr>
              <w:t>-</w:t>
            </w:r>
          </w:p>
        </w:tc>
        <w:tc>
          <w:tcPr>
            <w:tcW w:w="804" w:type="dxa"/>
            <w:tcBorders>
              <w:top w:val="single" w:sz="18" w:space="0" w:color="auto"/>
              <w:left w:val="single" w:sz="8" w:space="0" w:color="auto"/>
              <w:bottom w:val="single" w:sz="4" w:space="0" w:color="auto"/>
              <w:right w:val="single" w:sz="8" w:space="0" w:color="auto"/>
            </w:tcBorders>
          </w:tcPr>
          <w:p w14:paraId="270C7774"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756" w:type="dxa"/>
            <w:tcBorders>
              <w:top w:val="single" w:sz="18" w:space="0" w:color="auto"/>
              <w:left w:val="single" w:sz="8" w:space="0" w:color="auto"/>
              <w:bottom w:val="single" w:sz="4" w:space="0" w:color="auto"/>
              <w:right w:val="single" w:sz="8" w:space="0" w:color="auto"/>
            </w:tcBorders>
          </w:tcPr>
          <w:p w14:paraId="244F6633"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1417" w:type="dxa"/>
            <w:tcBorders>
              <w:top w:val="single" w:sz="18" w:space="0" w:color="auto"/>
              <w:left w:val="single" w:sz="8" w:space="0" w:color="auto"/>
              <w:bottom w:val="single" w:sz="4" w:space="0" w:color="auto"/>
              <w:right w:val="single" w:sz="6" w:space="0" w:color="auto"/>
            </w:tcBorders>
          </w:tcPr>
          <w:p w14:paraId="151069D4" w14:textId="77777777" w:rsidR="007049A5" w:rsidRPr="004E4188" w:rsidRDefault="007049A5" w:rsidP="006C6267">
            <w:pPr>
              <w:tabs>
                <w:tab w:val="left" w:pos="1055"/>
              </w:tabs>
              <w:overflowPunct/>
              <w:autoSpaceDE/>
              <w:autoSpaceDN/>
              <w:adjustRightInd/>
              <w:spacing w:before="60" w:after="60"/>
              <w:textAlignment w:val="auto"/>
              <w:rPr>
                <w:sz w:val="20"/>
                <w:lang w:val="en-GB" w:eastAsia="en-US"/>
              </w:rPr>
            </w:pPr>
            <w:r w:rsidRPr="004E4188">
              <w:t xml:space="preserve">a : </w:t>
            </w:r>
            <w:r w:rsidRPr="004E4188">
              <w:rPr>
                <w:u w:val="single"/>
              </w:rPr>
              <w:tab/>
            </w:r>
          </w:p>
        </w:tc>
      </w:tr>
      <w:tr w:rsidR="007049A5" w:rsidRPr="004E4188" w14:paraId="6B681C92" w14:textId="77777777" w:rsidTr="006C6267">
        <w:trPr>
          <w:tblHeader/>
        </w:trPr>
        <w:tc>
          <w:tcPr>
            <w:tcW w:w="898" w:type="dxa"/>
            <w:tcBorders>
              <w:top w:val="single" w:sz="4" w:space="0" w:color="auto"/>
              <w:left w:val="single" w:sz="8" w:space="0" w:color="auto"/>
              <w:bottom w:val="single" w:sz="4" w:space="0" w:color="auto"/>
              <w:right w:val="single" w:sz="8" w:space="0" w:color="auto"/>
            </w:tcBorders>
          </w:tcPr>
          <w:p w14:paraId="12C97916"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1275" w:type="dxa"/>
            <w:tcBorders>
              <w:top w:val="single" w:sz="4" w:space="0" w:color="auto"/>
              <w:left w:val="single" w:sz="8" w:space="0" w:color="auto"/>
              <w:bottom w:val="single" w:sz="4" w:space="0" w:color="auto"/>
              <w:right w:val="single" w:sz="8" w:space="0" w:color="auto"/>
            </w:tcBorders>
          </w:tcPr>
          <w:p w14:paraId="5636FBF6"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1218" w:type="dxa"/>
            <w:tcBorders>
              <w:top w:val="single" w:sz="4" w:space="0" w:color="auto"/>
              <w:left w:val="single" w:sz="8" w:space="0" w:color="auto"/>
              <w:bottom w:val="single" w:sz="4" w:space="0" w:color="auto"/>
              <w:right w:val="single" w:sz="8" w:space="0" w:color="auto"/>
            </w:tcBorders>
          </w:tcPr>
          <w:p w14:paraId="166CE456"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625" w:type="dxa"/>
            <w:tcBorders>
              <w:top w:val="single" w:sz="4" w:space="0" w:color="auto"/>
              <w:left w:val="single" w:sz="8" w:space="0" w:color="auto"/>
              <w:bottom w:val="single" w:sz="4" w:space="0" w:color="auto"/>
              <w:right w:val="single" w:sz="8" w:space="0" w:color="auto"/>
            </w:tcBorders>
          </w:tcPr>
          <w:p w14:paraId="6A807428"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567" w:type="dxa"/>
            <w:tcBorders>
              <w:top w:val="single" w:sz="4" w:space="0" w:color="auto"/>
              <w:left w:val="single" w:sz="8" w:space="0" w:color="auto"/>
              <w:bottom w:val="single" w:sz="4" w:space="0" w:color="auto"/>
              <w:right w:val="single" w:sz="8" w:space="0" w:color="auto"/>
            </w:tcBorders>
          </w:tcPr>
          <w:p w14:paraId="5CF51638"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851" w:type="dxa"/>
            <w:tcBorders>
              <w:top w:val="single" w:sz="4" w:space="0" w:color="auto"/>
              <w:left w:val="single" w:sz="8" w:space="0" w:color="auto"/>
              <w:bottom w:val="single" w:sz="4" w:space="0" w:color="auto"/>
              <w:right w:val="single" w:sz="8" w:space="0" w:color="auto"/>
            </w:tcBorders>
          </w:tcPr>
          <w:p w14:paraId="41624D91"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708" w:type="dxa"/>
            <w:tcBorders>
              <w:top w:val="single" w:sz="4" w:space="0" w:color="auto"/>
              <w:left w:val="single" w:sz="8" w:space="0" w:color="auto"/>
              <w:bottom w:val="single" w:sz="4" w:space="0" w:color="auto"/>
              <w:right w:val="single" w:sz="8" w:space="0" w:color="auto"/>
            </w:tcBorders>
          </w:tcPr>
          <w:p w14:paraId="73468ABD"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804" w:type="dxa"/>
            <w:tcBorders>
              <w:top w:val="single" w:sz="4" w:space="0" w:color="auto"/>
              <w:left w:val="single" w:sz="8" w:space="0" w:color="auto"/>
              <w:bottom w:val="single" w:sz="4" w:space="0" w:color="auto"/>
              <w:right w:val="single" w:sz="8" w:space="0" w:color="auto"/>
            </w:tcBorders>
          </w:tcPr>
          <w:p w14:paraId="74457768"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756" w:type="dxa"/>
            <w:tcBorders>
              <w:top w:val="single" w:sz="4" w:space="0" w:color="auto"/>
              <w:left w:val="single" w:sz="8" w:space="0" w:color="auto"/>
              <w:bottom w:val="single" w:sz="4" w:space="0" w:color="auto"/>
              <w:right w:val="single" w:sz="8" w:space="0" w:color="auto"/>
            </w:tcBorders>
          </w:tcPr>
          <w:p w14:paraId="2802CFA3"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1417" w:type="dxa"/>
            <w:tcBorders>
              <w:top w:val="single" w:sz="4" w:space="0" w:color="auto"/>
              <w:left w:val="single" w:sz="8" w:space="0" w:color="auto"/>
              <w:bottom w:val="single" w:sz="4" w:space="0" w:color="auto"/>
              <w:right w:val="single" w:sz="6" w:space="0" w:color="auto"/>
            </w:tcBorders>
          </w:tcPr>
          <w:p w14:paraId="0EE467A0" w14:textId="77777777" w:rsidR="007049A5" w:rsidRPr="004E4188" w:rsidRDefault="007049A5" w:rsidP="006C6267">
            <w:pPr>
              <w:tabs>
                <w:tab w:val="left" w:pos="1055"/>
              </w:tabs>
              <w:overflowPunct/>
              <w:autoSpaceDE/>
              <w:autoSpaceDN/>
              <w:adjustRightInd/>
              <w:spacing w:before="60" w:after="60"/>
              <w:textAlignment w:val="auto"/>
              <w:rPr>
                <w:sz w:val="20"/>
                <w:lang w:val="en-GB" w:eastAsia="en-US"/>
              </w:rPr>
            </w:pPr>
            <w:r w:rsidRPr="004E4188">
              <w:t xml:space="preserve">b : </w:t>
            </w:r>
            <w:r w:rsidRPr="004E4188">
              <w:rPr>
                <w:u w:val="single"/>
              </w:rPr>
              <w:tab/>
            </w:r>
          </w:p>
        </w:tc>
      </w:tr>
      <w:tr w:rsidR="007049A5" w:rsidRPr="004E4188" w14:paraId="0F6D0E3E" w14:textId="77777777" w:rsidTr="006C6267">
        <w:trPr>
          <w:tblHeader/>
        </w:trPr>
        <w:tc>
          <w:tcPr>
            <w:tcW w:w="898" w:type="dxa"/>
            <w:tcBorders>
              <w:top w:val="single" w:sz="4" w:space="0" w:color="auto"/>
              <w:left w:val="single" w:sz="8" w:space="0" w:color="auto"/>
              <w:bottom w:val="single" w:sz="4" w:space="0" w:color="auto"/>
              <w:right w:val="single" w:sz="8" w:space="0" w:color="auto"/>
            </w:tcBorders>
          </w:tcPr>
          <w:p w14:paraId="141CF6C4"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1275" w:type="dxa"/>
            <w:tcBorders>
              <w:top w:val="single" w:sz="4" w:space="0" w:color="auto"/>
              <w:left w:val="single" w:sz="8" w:space="0" w:color="auto"/>
              <w:bottom w:val="single" w:sz="4" w:space="0" w:color="auto"/>
              <w:right w:val="single" w:sz="8" w:space="0" w:color="auto"/>
            </w:tcBorders>
          </w:tcPr>
          <w:p w14:paraId="36337C12"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1218" w:type="dxa"/>
            <w:tcBorders>
              <w:top w:val="single" w:sz="4" w:space="0" w:color="auto"/>
              <w:left w:val="single" w:sz="8" w:space="0" w:color="auto"/>
              <w:bottom w:val="single" w:sz="4" w:space="0" w:color="auto"/>
              <w:right w:val="single" w:sz="8" w:space="0" w:color="auto"/>
            </w:tcBorders>
          </w:tcPr>
          <w:p w14:paraId="702B8139"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625" w:type="dxa"/>
            <w:tcBorders>
              <w:top w:val="single" w:sz="4" w:space="0" w:color="auto"/>
              <w:left w:val="single" w:sz="8" w:space="0" w:color="auto"/>
              <w:bottom w:val="single" w:sz="4" w:space="0" w:color="auto"/>
              <w:right w:val="single" w:sz="8" w:space="0" w:color="auto"/>
            </w:tcBorders>
          </w:tcPr>
          <w:p w14:paraId="50095ADF"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567" w:type="dxa"/>
            <w:tcBorders>
              <w:top w:val="single" w:sz="4" w:space="0" w:color="auto"/>
              <w:left w:val="single" w:sz="8" w:space="0" w:color="auto"/>
              <w:bottom w:val="single" w:sz="4" w:space="0" w:color="auto"/>
              <w:right w:val="single" w:sz="8" w:space="0" w:color="auto"/>
            </w:tcBorders>
          </w:tcPr>
          <w:p w14:paraId="11EFFDE6"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851" w:type="dxa"/>
            <w:tcBorders>
              <w:top w:val="single" w:sz="4" w:space="0" w:color="auto"/>
              <w:left w:val="single" w:sz="8" w:space="0" w:color="auto"/>
              <w:bottom w:val="single" w:sz="4" w:space="0" w:color="auto"/>
              <w:right w:val="single" w:sz="8" w:space="0" w:color="auto"/>
            </w:tcBorders>
          </w:tcPr>
          <w:p w14:paraId="3EEC0EB6"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708" w:type="dxa"/>
            <w:tcBorders>
              <w:top w:val="single" w:sz="4" w:space="0" w:color="auto"/>
              <w:left w:val="single" w:sz="8" w:space="0" w:color="auto"/>
              <w:bottom w:val="single" w:sz="4" w:space="0" w:color="auto"/>
              <w:right w:val="single" w:sz="8" w:space="0" w:color="auto"/>
            </w:tcBorders>
          </w:tcPr>
          <w:p w14:paraId="00FD31C4"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804" w:type="dxa"/>
            <w:tcBorders>
              <w:top w:val="single" w:sz="4" w:space="0" w:color="auto"/>
              <w:left w:val="single" w:sz="8" w:space="0" w:color="auto"/>
              <w:bottom w:val="single" w:sz="4" w:space="0" w:color="auto"/>
              <w:right w:val="single" w:sz="8" w:space="0" w:color="auto"/>
            </w:tcBorders>
          </w:tcPr>
          <w:p w14:paraId="0C6AD0EC"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756" w:type="dxa"/>
            <w:tcBorders>
              <w:top w:val="single" w:sz="4" w:space="0" w:color="auto"/>
              <w:left w:val="single" w:sz="8" w:space="0" w:color="auto"/>
              <w:bottom w:val="single" w:sz="4" w:space="0" w:color="auto"/>
              <w:right w:val="single" w:sz="8" w:space="0" w:color="auto"/>
            </w:tcBorders>
          </w:tcPr>
          <w:p w14:paraId="78DDA15C"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1417" w:type="dxa"/>
            <w:tcBorders>
              <w:top w:val="single" w:sz="4" w:space="0" w:color="auto"/>
              <w:left w:val="single" w:sz="8" w:space="0" w:color="auto"/>
              <w:bottom w:val="single" w:sz="4" w:space="0" w:color="auto"/>
              <w:right w:val="single" w:sz="6" w:space="0" w:color="auto"/>
            </w:tcBorders>
          </w:tcPr>
          <w:p w14:paraId="69843188" w14:textId="77777777" w:rsidR="007049A5" w:rsidRPr="004E4188" w:rsidRDefault="007049A5" w:rsidP="006C6267">
            <w:pPr>
              <w:tabs>
                <w:tab w:val="left" w:pos="1055"/>
              </w:tabs>
              <w:overflowPunct/>
              <w:autoSpaceDE/>
              <w:autoSpaceDN/>
              <w:adjustRightInd/>
              <w:spacing w:before="60" w:after="60"/>
              <w:textAlignment w:val="auto"/>
              <w:rPr>
                <w:sz w:val="20"/>
                <w:lang w:val="en-GB" w:eastAsia="en-US"/>
              </w:rPr>
            </w:pPr>
            <w:r w:rsidRPr="004E4188">
              <w:t xml:space="preserve">c : </w:t>
            </w:r>
            <w:r w:rsidRPr="004E4188">
              <w:rPr>
                <w:u w:val="single"/>
              </w:rPr>
              <w:tab/>
            </w:r>
          </w:p>
        </w:tc>
      </w:tr>
      <w:tr w:rsidR="007049A5" w:rsidRPr="004E4188" w14:paraId="63020234" w14:textId="77777777" w:rsidTr="006C6267">
        <w:trPr>
          <w:tblHeader/>
        </w:trPr>
        <w:tc>
          <w:tcPr>
            <w:tcW w:w="898" w:type="dxa"/>
            <w:tcBorders>
              <w:top w:val="single" w:sz="4" w:space="0" w:color="auto"/>
              <w:left w:val="single" w:sz="8" w:space="0" w:color="auto"/>
              <w:bottom w:val="single" w:sz="4" w:space="0" w:color="auto"/>
              <w:right w:val="single" w:sz="8" w:space="0" w:color="auto"/>
            </w:tcBorders>
          </w:tcPr>
          <w:p w14:paraId="65C82036"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1275" w:type="dxa"/>
            <w:tcBorders>
              <w:top w:val="single" w:sz="4" w:space="0" w:color="auto"/>
              <w:left w:val="single" w:sz="8" w:space="0" w:color="auto"/>
              <w:bottom w:val="single" w:sz="4" w:space="0" w:color="auto"/>
              <w:right w:val="single" w:sz="8" w:space="0" w:color="auto"/>
            </w:tcBorders>
          </w:tcPr>
          <w:p w14:paraId="4988A097"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1218" w:type="dxa"/>
            <w:tcBorders>
              <w:top w:val="single" w:sz="4" w:space="0" w:color="auto"/>
              <w:left w:val="single" w:sz="8" w:space="0" w:color="auto"/>
              <w:bottom w:val="single" w:sz="4" w:space="0" w:color="auto"/>
              <w:right w:val="single" w:sz="8" w:space="0" w:color="auto"/>
            </w:tcBorders>
          </w:tcPr>
          <w:p w14:paraId="1985AD0E"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625" w:type="dxa"/>
            <w:tcBorders>
              <w:top w:val="single" w:sz="4" w:space="0" w:color="auto"/>
              <w:left w:val="single" w:sz="8" w:space="0" w:color="auto"/>
              <w:bottom w:val="single" w:sz="4" w:space="0" w:color="auto"/>
              <w:right w:val="single" w:sz="8" w:space="0" w:color="auto"/>
            </w:tcBorders>
          </w:tcPr>
          <w:p w14:paraId="384CB0A7"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567" w:type="dxa"/>
            <w:tcBorders>
              <w:top w:val="single" w:sz="4" w:space="0" w:color="auto"/>
              <w:left w:val="single" w:sz="8" w:space="0" w:color="auto"/>
              <w:bottom w:val="single" w:sz="4" w:space="0" w:color="auto"/>
              <w:right w:val="single" w:sz="8" w:space="0" w:color="auto"/>
            </w:tcBorders>
          </w:tcPr>
          <w:p w14:paraId="7121C3D7"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851" w:type="dxa"/>
            <w:tcBorders>
              <w:top w:val="single" w:sz="4" w:space="0" w:color="auto"/>
              <w:left w:val="single" w:sz="8" w:space="0" w:color="auto"/>
              <w:bottom w:val="single" w:sz="4" w:space="0" w:color="auto"/>
              <w:right w:val="single" w:sz="8" w:space="0" w:color="auto"/>
            </w:tcBorders>
          </w:tcPr>
          <w:p w14:paraId="376312C1"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708" w:type="dxa"/>
            <w:tcBorders>
              <w:top w:val="single" w:sz="4" w:space="0" w:color="auto"/>
              <w:left w:val="single" w:sz="8" w:space="0" w:color="auto"/>
              <w:bottom w:val="single" w:sz="4" w:space="0" w:color="auto"/>
              <w:right w:val="single" w:sz="8" w:space="0" w:color="auto"/>
            </w:tcBorders>
          </w:tcPr>
          <w:p w14:paraId="6ED3557F"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804" w:type="dxa"/>
            <w:tcBorders>
              <w:top w:val="single" w:sz="4" w:space="0" w:color="auto"/>
              <w:left w:val="single" w:sz="8" w:space="0" w:color="auto"/>
              <w:bottom w:val="single" w:sz="4" w:space="0" w:color="auto"/>
              <w:right w:val="single" w:sz="8" w:space="0" w:color="auto"/>
            </w:tcBorders>
          </w:tcPr>
          <w:p w14:paraId="3C83CBBE"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756" w:type="dxa"/>
            <w:tcBorders>
              <w:top w:val="single" w:sz="4" w:space="0" w:color="auto"/>
              <w:left w:val="single" w:sz="8" w:space="0" w:color="auto"/>
              <w:bottom w:val="single" w:sz="4" w:space="0" w:color="auto"/>
              <w:right w:val="single" w:sz="8" w:space="0" w:color="auto"/>
            </w:tcBorders>
          </w:tcPr>
          <w:p w14:paraId="272C135D"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1417" w:type="dxa"/>
            <w:tcBorders>
              <w:top w:val="single" w:sz="4" w:space="0" w:color="auto"/>
              <w:left w:val="single" w:sz="8" w:space="0" w:color="auto"/>
              <w:bottom w:val="single" w:sz="4" w:space="0" w:color="auto"/>
              <w:right w:val="single" w:sz="6" w:space="0" w:color="auto"/>
            </w:tcBorders>
          </w:tcPr>
          <w:p w14:paraId="60EF9A5E" w14:textId="77777777" w:rsidR="007049A5" w:rsidRPr="004E4188" w:rsidRDefault="007049A5" w:rsidP="006C6267">
            <w:pPr>
              <w:tabs>
                <w:tab w:val="left" w:pos="1055"/>
              </w:tabs>
              <w:overflowPunct/>
              <w:autoSpaceDE/>
              <w:autoSpaceDN/>
              <w:adjustRightInd/>
              <w:spacing w:before="60" w:after="60"/>
              <w:textAlignment w:val="auto"/>
              <w:rPr>
                <w:sz w:val="20"/>
                <w:lang w:val="en-GB" w:eastAsia="en-US"/>
              </w:rPr>
            </w:pPr>
            <w:r w:rsidRPr="004E4188">
              <w:t xml:space="preserve">d : </w:t>
            </w:r>
            <w:r w:rsidRPr="004E4188">
              <w:rPr>
                <w:u w:val="single"/>
              </w:rPr>
              <w:tab/>
            </w:r>
          </w:p>
        </w:tc>
      </w:tr>
      <w:tr w:rsidR="007049A5" w:rsidRPr="004E4188" w14:paraId="407A8A58" w14:textId="77777777" w:rsidTr="006C6267">
        <w:trPr>
          <w:tblHeader/>
        </w:trPr>
        <w:tc>
          <w:tcPr>
            <w:tcW w:w="898" w:type="dxa"/>
            <w:tcBorders>
              <w:top w:val="single" w:sz="4" w:space="0" w:color="auto"/>
              <w:left w:val="single" w:sz="8" w:space="0" w:color="auto"/>
              <w:bottom w:val="single" w:sz="8" w:space="0" w:color="auto"/>
              <w:right w:val="single" w:sz="8" w:space="0" w:color="auto"/>
            </w:tcBorders>
          </w:tcPr>
          <w:p w14:paraId="5F1B80F8"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1275" w:type="dxa"/>
            <w:tcBorders>
              <w:top w:val="single" w:sz="4" w:space="0" w:color="auto"/>
              <w:left w:val="single" w:sz="8" w:space="0" w:color="auto"/>
              <w:bottom w:val="single" w:sz="8" w:space="0" w:color="auto"/>
              <w:right w:val="single" w:sz="8" w:space="0" w:color="auto"/>
            </w:tcBorders>
          </w:tcPr>
          <w:p w14:paraId="3D2FA281"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1218" w:type="dxa"/>
            <w:tcBorders>
              <w:top w:val="single" w:sz="4" w:space="0" w:color="auto"/>
              <w:left w:val="single" w:sz="8" w:space="0" w:color="auto"/>
              <w:bottom w:val="single" w:sz="8" w:space="0" w:color="auto"/>
              <w:right w:val="single" w:sz="8" w:space="0" w:color="auto"/>
            </w:tcBorders>
          </w:tcPr>
          <w:p w14:paraId="677A04BB"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625" w:type="dxa"/>
            <w:tcBorders>
              <w:top w:val="single" w:sz="4" w:space="0" w:color="auto"/>
              <w:left w:val="single" w:sz="8" w:space="0" w:color="auto"/>
              <w:bottom w:val="single" w:sz="8" w:space="0" w:color="auto"/>
              <w:right w:val="single" w:sz="8" w:space="0" w:color="auto"/>
            </w:tcBorders>
          </w:tcPr>
          <w:p w14:paraId="4F1459EB"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567" w:type="dxa"/>
            <w:tcBorders>
              <w:top w:val="single" w:sz="4" w:space="0" w:color="auto"/>
              <w:left w:val="single" w:sz="8" w:space="0" w:color="auto"/>
              <w:bottom w:val="single" w:sz="8" w:space="0" w:color="auto"/>
              <w:right w:val="single" w:sz="8" w:space="0" w:color="auto"/>
            </w:tcBorders>
          </w:tcPr>
          <w:p w14:paraId="5ACA59FF"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851" w:type="dxa"/>
            <w:tcBorders>
              <w:top w:val="single" w:sz="4" w:space="0" w:color="auto"/>
              <w:left w:val="single" w:sz="8" w:space="0" w:color="auto"/>
              <w:bottom w:val="single" w:sz="8" w:space="0" w:color="auto"/>
              <w:right w:val="single" w:sz="8" w:space="0" w:color="auto"/>
            </w:tcBorders>
          </w:tcPr>
          <w:p w14:paraId="1FEB6C5F"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708" w:type="dxa"/>
            <w:tcBorders>
              <w:top w:val="single" w:sz="4" w:space="0" w:color="auto"/>
              <w:left w:val="single" w:sz="8" w:space="0" w:color="auto"/>
              <w:bottom w:val="single" w:sz="8" w:space="0" w:color="auto"/>
              <w:right w:val="single" w:sz="8" w:space="0" w:color="auto"/>
            </w:tcBorders>
          </w:tcPr>
          <w:p w14:paraId="25A93F19"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804" w:type="dxa"/>
            <w:tcBorders>
              <w:top w:val="single" w:sz="4" w:space="0" w:color="auto"/>
              <w:left w:val="single" w:sz="8" w:space="0" w:color="auto"/>
              <w:bottom w:val="single" w:sz="8" w:space="0" w:color="auto"/>
              <w:right w:val="single" w:sz="8" w:space="0" w:color="auto"/>
            </w:tcBorders>
          </w:tcPr>
          <w:p w14:paraId="68E6599A"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756" w:type="dxa"/>
            <w:tcBorders>
              <w:top w:val="single" w:sz="4" w:space="0" w:color="auto"/>
              <w:left w:val="single" w:sz="8" w:space="0" w:color="auto"/>
              <w:bottom w:val="single" w:sz="8" w:space="0" w:color="auto"/>
              <w:right w:val="single" w:sz="8" w:space="0" w:color="auto"/>
            </w:tcBorders>
          </w:tcPr>
          <w:p w14:paraId="680859A3" w14:textId="77777777" w:rsidR="007049A5" w:rsidRPr="004E4188" w:rsidRDefault="007049A5" w:rsidP="006C6267">
            <w:pPr>
              <w:overflowPunct/>
              <w:autoSpaceDE/>
              <w:autoSpaceDN/>
              <w:adjustRightInd/>
              <w:jc w:val="center"/>
              <w:textAlignment w:val="auto"/>
              <w:rPr>
                <w:b/>
                <w:bCs/>
                <w:iCs/>
                <w:sz w:val="20"/>
                <w:lang w:val="en-GB" w:eastAsia="en-US"/>
              </w:rPr>
            </w:pPr>
          </w:p>
        </w:tc>
        <w:tc>
          <w:tcPr>
            <w:tcW w:w="1417" w:type="dxa"/>
            <w:tcBorders>
              <w:top w:val="single" w:sz="4" w:space="0" w:color="auto"/>
              <w:left w:val="single" w:sz="8" w:space="0" w:color="auto"/>
              <w:bottom w:val="single" w:sz="18" w:space="0" w:color="auto"/>
              <w:right w:val="single" w:sz="6" w:space="0" w:color="auto"/>
            </w:tcBorders>
          </w:tcPr>
          <w:p w14:paraId="2363A340" w14:textId="77777777" w:rsidR="007049A5" w:rsidRPr="004E4188" w:rsidRDefault="007049A5" w:rsidP="006C6267">
            <w:pPr>
              <w:tabs>
                <w:tab w:val="left" w:pos="1055"/>
              </w:tabs>
              <w:overflowPunct/>
              <w:autoSpaceDE/>
              <w:autoSpaceDN/>
              <w:adjustRightInd/>
              <w:spacing w:before="60" w:after="60"/>
              <w:textAlignment w:val="auto"/>
              <w:rPr>
                <w:b/>
                <w:bCs/>
                <w:iCs/>
                <w:sz w:val="20"/>
                <w:lang w:val="en-GB" w:eastAsia="en-US"/>
              </w:rPr>
            </w:pPr>
            <w:r w:rsidRPr="004E4188">
              <w:t xml:space="preserve">e : </w:t>
            </w:r>
            <w:r w:rsidRPr="004E4188">
              <w:rPr>
                <w:u w:val="single"/>
              </w:rPr>
              <w:tab/>
            </w:r>
          </w:p>
        </w:tc>
      </w:tr>
      <w:tr w:rsidR="007049A5" w:rsidRPr="004E4188" w14:paraId="2D9CB9C1" w14:textId="77777777" w:rsidTr="006C6267">
        <w:trPr>
          <w:tblHeader/>
        </w:trPr>
        <w:tc>
          <w:tcPr>
            <w:tcW w:w="898" w:type="dxa"/>
            <w:tcBorders>
              <w:top w:val="single" w:sz="2" w:space="0" w:color="auto"/>
            </w:tcBorders>
          </w:tcPr>
          <w:p w14:paraId="381A1F5F" w14:textId="77777777" w:rsidR="007049A5" w:rsidRPr="004E4188" w:rsidRDefault="007049A5" w:rsidP="006C6267">
            <w:pPr>
              <w:overflowPunct/>
              <w:autoSpaceDE/>
              <w:autoSpaceDN/>
              <w:adjustRightInd/>
              <w:textAlignment w:val="auto"/>
              <w:rPr>
                <w:b/>
                <w:bCs/>
                <w:sz w:val="18"/>
                <w:lang w:val="en-GB" w:eastAsia="en-US"/>
              </w:rPr>
            </w:pPr>
          </w:p>
        </w:tc>
        <w:tc>
          <w:tcPr>
            <w:tcW w:w="1275" w:type="dxa"/>
            <w:tcBorders>
              <w:top w:val="single" w:sz="2" w:space="0" w:color="auto"/>
            </w:tcBorders>
          </w:tcPr>
          <w:p w14:paraId="5D324B56" w14:textId="77777777" w:rsidR="007049A5" w:rsidRPr="004E4188" w:rsidRDefault="007049A5" w:rsidP="006C6267">
            <w:pPr>
              <w:overflowPunct/>
              <w:autoSpaceDE/>
              <w:autoSpaceDN/>
              <w:adjustRightInd/>
              <w:textAlignment w:val="auto"/>
              <w:rPr>
                <w:b/>
                <w:bCs/>
                <w:sz w:val="18"/>
                <w:lang w:val="en-GB" w:eastAsia="en-US"/>
              </w:rPr>
            </w:pPr>
          </w:p>
        </w:tc>
        <w:tc>
          <w:tcPr>
            <w:tcW w:w="1218" w:type="dxa"/>
            <w:tcBorders>
              <w:top w:val="single" w:sz="2" w:space="0" w:color="auto"/>
              <w:right w:val="single" w:sz="8" w:space="0" w:color="auto"/>
            </w:tcBorders>
          </w:tcPr>
          <w:p w14:paraId="6D811B8C" w14:textId="77777777" w:rsidR="007049A5" w:rsidRPr="004E4188" w:rsidRDefault="007049A5" w:rsidP="006C6267">
            <w:pPr>
              <w:overflowPunct/>
              <w:autoSpaceDE/>
              <w:autoSpaceDN/>
              <w:adjustRightInd/>
              <w:textAlignment w:val="auto"/>
              <w:rPr>
                <w:b/>
                <w:bCs/>
                <w:sz w:val="18"/>
                <w:lang w:val="en-GB" w:eastAsia="en-US"/>
              </w:rPr>
            </w:pPr>
          </w:p>
        </w:tc>
        <w:tc>
          <w:tcPr>
            <w:tcW w:w="2751" w:type="dxa"/>
            <w:gridSpan w:val="4"/>
            <w:tcBorders>
              <w:top w:val="single" w:sz="8" w:space="0" w:color="auto"/>
              <w:left w:val="single" w:sz="8" w:space="0" w:color="auto"/>
              <w:bottom w:val="single" w:sz="8" w:space="0" w:color="auto"/>
            </w:tcBorders>
          </w:tcPr>
          <w:p w14:paraId="0D0ACCFD" w14:textId="77777777" w:rsidR="007049A5" w:rsidRPr="004E4188" w:rsidRDefault="007049A5" w:rsidP="006C6267">
            <w:pPr>
              <w:overflowPunct/>
              <w:autoSpaceDE/>
              <w:autoSpaceDN/>
              <w:adjustRightInd/>
              <w:jc w:val="center"/>
              <w:textAlignment w:val="auto"/>
              <w:rPr>
                <w:b/>
                <w:bCs/>
                <w:sz w:val="22"/>
                <w:szCs w:val="22"/>
                <w:lang w:val="en-GB" w:eastAsia="en-US"/>
              </w:rPr>
            </w:pPr>
            <w:r w:rsidRPr="004E4188">
              <w:rPr>
                <w:b/>
                <w:bCs/>
                <w:sz w:val="22"/>
                <w:szCs w:val="22"/>
                <w:lang w:val="en-GB" w:eastAsia="en-US"/>
              </w:rPr>
              <w:t>Total</w:t>
            </w:r>
          </w:p>
        </w:tc>
        <w:tc>
          <w:tcPr>
            <w:tcW w:w="1560" w:type="dxa"/>
            <w:gridSpan w:val="2"/>
            <w:tcBorders>
              <w:top w:val="single" w:sz="8" w:space="0" w:color="auto"/>
              <w:bottom w:val="single" w:sz="8" w:space="0" w:color="auto"/>
              <w:right w:val="single" w:sz="18" w:space="0" w:color="auto"/>
            </w:tcBorders>
          </w:tcPr>
          <w:p w14:paraId="7266B496" w14:textId="77777777" w:rsidR="007049A5" w:rsidRPr="004E4188" w:rsidRDefault="007049A5" w:rsidP="006C6267">
            <w:pPr>
              <w:overflowPunct/>
              <w:autoSpaceDE/>
              <w:autoSpaceDN/>
              <w:adjustRightInd/>
              <w:textAlignment w:val="auto"/>
              <w:rPr>
                <w:b/>
                <w:bCs/>
                <w:sz w:val="22"/>
                <w:szCs w:val="22"/>
                <w:lang w:val="en-GB" w:eastAsia="en-US"/>
              </w:rPr>
            </w:pPr>
          </w:p>
        </w:tc>
        <w:tc>
          <w:tcPr>
            <w:tcW w:w="1417" w:type="dxa"/>
            <w:tcBorders>
              <w:top w:val="single" w:sz="18" w:space="0" w:color="auto"/>
              <w:left w:val="single" w:sz="18" w:space="0" w:color="auto"/>
              <w:bottom w:val="single" w:sz="18" w:space="0" w:color="auto"/>
              <w:right w:val="single" w:sz="18" w:space="0" w:color="auto"/>
            </w:tcBorders>
          </w:tcPr>
          <w:p w14:paraId="692AE4E9" w14:textId="77777777" w:rsidR="007049A5" w:rsidRPr="004E4188" w:rsidRDefault="007049A5" w:rsidP="006C6267">
            <w:pPr>
              <w:tabs>
                <w:tab w:val="decimal" w:pos="695"/>
              </w:tabs>
              <w:overflowPunct/>
              <w:autoSpaceDE/>
              <w:autoSpaceDN/>
              <w:adjustRightInd/>
              <w:textAlignment w:val="auto"/>
              <w:rPr>
                <w:bCs/>
                <w:sz w:val="22"/>
                <w:szCs w:val="22"/>
                <w:lang w:val="en-GB" w:eastAsia="en-US"/>
              </w:rPr>
            </w:pPr>
            <w:r w:rsidRPr="004E4188">
              <w:rPr>
                <w:bCs/>
                <w:sz w:val="22"/>
                <w:szCs w:val="22"/>
                <w:lang w:val="en-GB" w:eastAsia="en-US"/>
              </w:rPr>
              <w:t>1,00</w:t>
            </w:r>
          </w:p>
        </w:tc>
      </w:tr>
    </w:tbl>
    <w:p w14:paraId="708EE54C" w14:textId="77777777" w:rsidR="007049A5" w:rsidRPr="004E4188" w:rsidRDefault="007049A5" w:rsidP="006C6267">
      <w:pPr>
        <w:tabs>
          <w:tab w:val="left" w:pos="284"/>
        </w:tabs>
        <w:suppressAutoHyphens w:val="0"/>
        <w:overflowPunct/>
        <w:autoSpaceDE/>
        <w:autoSpaceDN/>
        <w:adjustRightInd/>
        <w:spacing w:before="120"/>
        <w:ind w:left="284" w:hanging="284"/>
        <w:textAlignment w:val="auto"/>
        <w:rPr>
          <w:rFonts w:eastAsia="Arial Unicode MS"/>
          <w:szCs w:val="24"/>
          <w:u w:val="single"/>
          <w:lang w:eastAsia="ja-JP"/>
        </w:rPr>
      </w:pPr>
      <w:r w:rsidRPr="004E4188">
        <w:rPr>
          <w:rFonts w:eastAsia="Arial Unicode MS"/>
          <w:szCs w:val="24"/>
          <w:u w:val="single"/>
          <w:lang w:eastAsia="ja-JP"/>
        </w:rPr>
        <w:t>Notes à l’intention des Soumissionnaires</w:t>
      </w:r>
    </w:p>
    <w:p w14:paraId="34FF79B0" w14:textId="7D9AB52A" w:rsidR="007049A5" w:rsidRPr="004E4188" w:rsidRDefault="007049A5" w:rsidP="00DE743B">
      <w:pPr>
        <w:suppressAutoHyphens w:val="0"/>
        <w:overflowPunct/>
        <w:autoSpaceDE/>
        <w:autoSpaceDN/>
        <w:adjustRightInd/>
        <w:spacing w:before="120"/>
        <w:ind w:left="284" w:hanging="284"/>
        <w:textAlignment w:val="auto"/>
        <w:rPr>
          <w:szCs w:val="24"/>
        </w:rPr>
      </w:pPr>
      <w:r w:rsidRPr="004E4188">
        <w:rPr>
          <w:rFonts w:eastAsia="Arial Unicode MS"/>
          <w:szCs w:val="24"/>
          <w:lang w:eastAsia="ja-JP"/>
        </w:rPr>
        <w:t>1.</w:t>
      </w:r>
      <w:r w:rsidR="00DE743B" w:rsidRPr="004E4188">
        <w:rPr>
          <w:rFonts w:eastAsia="Arial Unicode MS"/>
          <w:szCs w:val="24"/>
          <w:lang w:eastAsia="ja-JP"/>
        </w:rPr>
        <w:tab/>
      </w:r>
      <w:r w:rsidRPr="004E4188">
        <w:rPr>
          <w:rFonts w:hint="eastAsia"/>
          <w:szCs w:val="24"/>
        </w:rPr>
        <w:t xml:space="preserve">Si </w:t>
      </w:r>
      <w:r w:rsidRPr="004E4188">
        <w:rPr>
          <w:szCs w:val="24"/>
        </w:rPr>
        <w:t>l’Article</w:t>
      </w:r>
      <w:r w:rsidRPr="004E4188">
        <w:rPr>
          <w:rFonts w:hint="eastAsia"/>
          <w:szCs w:val="24"/>
        </w:rPr>
        <w:t xml:space="preserve"> 15.1</w:t>
      </w:r>
      <w:r w:rsidRPr="004E4188">
        <w:rPr>
          <w:szCs w:val="24"/>
        </w:rPr>
        <w:t xml:space="preserve"> des DP,</w:t>
      </w:r>
      <w:r w:rsidRPr="004E4188">
        <w:rPr>
          <w:rFonts w:hint="eastAsia"/>
          <w:szCs w:val="24"/>
        </w:rPr>
        <w:t xml:space="preserve"> </w:t>
      </w:r>
      <w:r w:rsidRPr="004E4188">
        <w:rPr>
          <w:szCs w:val="24"/>
        </w:rPr>
        <w:t xml:space="preserve">dans le cas d’une procédure à une étape-deux enveloppes, et l’Article 31.1 des DP, dans le cas d’une procédure à deux étapes-une enveloppe, </w:t>
      </w:r>
      <w:r w:rsidRPr="004E4188">
        <w:rPr>
          <w:rFonts w:hint="eastAsia"/>
          <w:szCs w:val="24"/>
        </w:rPr>
        <w:t>le prévoit,</w:t>
      </w:r>
      <w:r w:rsidRPr="004E4188">
        <w:rPr>
          <w:szCs w:val="24"/>
        </w:rPr>
        <w:t xml:space="preserve"> </w:t>
      </w:r>
      <w:r w:rsidRPr="004E4188">
        <w:rPr>
          <w:rFonts w:hint="eastAsia"/>
          <w:szCs w:val="24"/>
        </w:rPr>
        <w:t xml:space="preserve">le Soumissionnaire </w:t>
      </w:r>
      <w:r w:rsidRPr="004E4188">
        <w:rPr>
          <w:szCs w:val="24"/>
        </w:rPr>
        <w:t>peut chiffrer son offre en plusieurs monnaies étrangères et des tableaux correspondant à chacune des monnaies devront être inclus.</w:t>
      </w:r>
    </w:p>
    <w:p w14:paraId="47EC3020" w14:textId="77777777" w:rsidR="007049A5" w:rsidRPr="004E4188" w:rsidRDefault="007049A5" w:rsidP="006C6267">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4E4188">
        <w:rPr>
          <w:rFonts w:eastAsia="Arial Unicode MS"/>
          <w:szCs w:val="24"/>
          <w:lang w:eastAsia="ja-JP"/>
        </w:rPr>
        <w:t>2.</w:t>
      </w:r>
      <w:r w:rsidRPr="004E4188">
        <w:rPr>
          <w:rFonts w:eastAsia="Arial Unicode MS"/>
          <w:szCs w:val="24"/>
          <w:lang w:eastAsia="ja-JP"/>
        </w:rPr>
        <w:tab/>
        <w:t>Le Soumissionnaire indiquera au haut du tableau, le type de monnaie étrangère.</w:t>
      </w:r>
    </w:p>
    <w:p w14:paraId="4AFF17A3" w14:textId="77777777" w:rsidR="007049A5" w:rsidRPr="004E4188" w:rsidRDefault="007049A5" w:rsidP="006C6267">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4E4188">
        <w:rPr>
          <w:rFonts w:eastAsia="Arial Unicode MS"/>
          <w:szCs w:val="24"/>
          <w:lang w:eastAsia="ja-JP"/>
        </w:rPr>
        <w:t>3.</w:t>
      </w:r>
      <w:r w:rsidRPr="004E4188">
        <w:rPr>
          <w:rFonts w:eastAsia="Arial Unicode MS"/>
          <w:szCs w:val="24"/>
          <w:lang w:eastAsia="ja-JP"/>
        </w:rPr>
        <w:tab/>
        <w:t>Le Soumissionnaire doit indiquer la source de publication de chaque indice dans la colonne (iii).</w:t>
      </w:r>
    </w:p>
    <w:p w14:paraId="373AA427" w14:textId="77777777" w:rsidR="007049A5" w:rsidRPr="004E4188" w:rsidRDefault="007049A5" w:rsidP="006C6267">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4E4188">
        <w:rPr>
          <w:rFonts w:eastAsia="Arial Unicode MS"/>
          <w:szCs w:val="24"/>
          <w:lang w:eastAsia="ja-JP"/>
        </w:rPr>
        <w:t>4.</w:t>
      </w:r>
      <w:r w:rsidRPr="004E4188">
        <w:rPr>
          <w:rFonts w:eastAsia="Arial Unicode MS"/>
          <w:szCs w:val="24"/>
          <w:lang w:eastAsia="ja-JP"/>
        </w:rPr>
        <w:tab/>
        <w:t>Si les indices des coûts ne sont pas disponibles avant la soumission de l’offre en raison de l’absence de publication, le Soumissionnaire peut laisser vide la colonne (iv) des valeurs et des dates de ces indices. Cependant, le Soumissionnaire devra fournir ces valeurs et ces dates avant la signature du Marché.</w:t>
      </w:r>
    </w:p>
    <w:p w14:paraId="5FB84123" w14:textId="77777777" w:rsidR="007049A5" w:rsidRPr="004E4188" w:rsidRDefault="007049A5" w:rsidP="006C6267">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4E4188">
        <w:rPr>
          <w:rFonts w:eastAsia="Arial Unicode MS"/>
          <w:szCs w:val="24"/>
          <w:lang w:eastAsia="ja-JP"/>
        </w:rPr>
        <w:t>5.</w:t>
      </w:r>
      <w:r w:rsidRPr="004E4188">
        <w:rPr>
          <w:rFonts w:eastAsia="Arial Unicode MS"/>
          <w:szCs w:val="24"/>
          <w:lang w:eastAsia="ja-JP"/>
        </w:rPr>
        <w:tab/>
        <w:t>Le Soumissionnaire</w:t>
      </w:r>
      <w:r w:rsidRPr="004E4188">
        <w:rPr>
          <w:rFonts w:eastAsia="Arial Unicode MS" w:hint="eastAsia"/>
          <w:szCs w:val="24"/>
          <w:lang w:eastAsia="ja-JP"/>
        </w:rPr>
        <w:t xml:space="preserve"> </w:t>
      </w:r>
      <w:r w:rsidRPr="004E4188">
        <w:rPr>
          <w:rFonts w:eastAsia="Arial Unicode MS"/>
          <w:szCs w:val="24"/>
          <w:lang w:eastAsia="ja-JP"/>
        </w:rPr>
        <w:t>indiquera dans la colonne</w:t>
      </w:r>
      <w:r w:rsidRPr="004E4188">
        <w:rPr>
          <w:rFonts w:eastAsia="Arial Unicode MS" w:hint="eastAsia"/>
          <w:szCs w:val="24"/>
          <w:lang w:eastAsia="ja-JP"/>
        </w:rPr>
        <w:t xml:space="preserve"> (</w:t>
      </w:r>
      <w:r w:rsidRPr="004E4188">
        <w:rPr>
          <w:rFonts w:eastAsia="Arial Unicode MS"/>
          <w:szCs w:val="24"/>
          <w:lang w:eastAsia="ja-JP"/>
        </w:rPr>
        <w:t>v</w:t>
      </w:r>
      <w:r w:rsidRPr="004E4188">
        <w:rPr>
          <w:rFonts w:eastAsia="Arial Unicode MS" w:hint="eastAsia"/>
          <w:szCs w:val="24"/>
          <w:lang w:eastAsia="ja-JP"/>
        </w:rPr>
        <w:t>)</w:t>
      </w:r>
      <w:r w:rsidRPr="004E4188">
        <w:rPr>
          <w:rFonts w:eastAsia="Arial Unicode MS"/>
          <w:szCs w:val="24"/>
          <w:lang w:eastAsia="ja-JP"/>
        </w:rPr>
        <w:t xml:space="preserve"> le montant total de chacun des composants de l’indice (tels que la main-d’</w:t>
      </w:r>
      <w:r w:rsidRPr="004E4188">
        <w:rPr>
          <w:rFonts w:eastAsia="Arial Unicode MS" w:hint="eastAsia"/>
          <w:szCs w:val="24"/>
          <w:lang w:eastAsia="ja-JP"/>
        </w:rPr>
        <w:t>œ</w:t>
      </w:r>
      <w:r w:rsidRPr="004E4188">
        <w:rPr>
          <w:rFonts w:eastAsia="Arial Unicode MS"/>
          <w:szCs w:val="24"/>
          <w:lang w:eastAsia="ja-JP"/>
        </w:rPr>
        <w:t xml:space="preserve">uvre, les matériaux, les équipements, etc. indiqués dans la colonne (ii)) à acheter dans la monnaie d’origine correspondante. </w:t>
      </w:r>
    </w:p>
    <w:p w14:paraId="3AA7B4CE" w14:textId="77777777" w:rsidR="007049A5" w:rsidRPr="004E4188" w:rsidRDefault="007049A5" w:rsidP="006C6267">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4E4188">
        <w:rPr>
          <w:rFonts w:eastAsia="Arial Unicode MS"/>
          <w:szCs w:val="24"/>
          <w:lang w:eastAsia="ja-JP"/>
        </w:rPr>
        <w:tab/>
        <w:t xml:space="preserve">Aux fins de ce formulaire, la « monnaie d’origine » d’un composant de l’indice désigne la monnaie dans laquelle ce composant est destiné à être acheté par le Soumissionnaire. </w:t>
      </w:r>
    </w:p>
    <w:p w14:paraId="4ED01B8D" w14:textId="77777777" w:rsidR="007049A5" w:rsidRPr="004E4188" w:rsidRDefault="007049A5" w:rsidP="006C6267">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4E4188">
        <w:rPr>
          <w:rFonts w:eastAsia="Arial Unicode MS"/>
          <w:szCs w:val="24"/>
          <w:lang w:eastAsia="ja-JP"/>
        </w:rPr>
        <w:tab/>
        <w:t>Si la monnaie d’origine d’un composant de l’indice est la même que la monnaie de paiement de ce tableau, le Soumissionnaire peut laisser vide la case correspondante de la colonne (v).</w:t>
      </w:r>
    </w:p>
    <w:p w14:paraId="20BDCC76" w14:textId="77777777" w:rsidR="007049A5" w:rsidRPr="004E4188" w:rsidRDefault="007049A5" w:rsidP="006C6267">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4E4188">
        <w:rPr>
          <w:rFonts w:eastAsia="Arial Unicode MS"/>
          <w:szCs w:val="24"/>
          <w:lang w:eastAsia="ja-JP"/>
        </w:rPr>
        <w:t>6.</w:t>
      </w:r>
      <w:r w:rsidRPr="004E4188">
        <w:rPr>
          <w:rFonts w:eastAsia="Arial Unicode MS"/>
          <w:szCs w:val="24"/>
          <w:lang w:eastAsia="ja-JP"/>
        </w:rPr>
        <w:tab/>
        <w:t xml:space="preserve">Le Soumissionnaire établira le montant total en monnaie de paiement de la colonne (vi) en appliquant le taux de change en vigueur à la Date de Référence (telle que définie à l’Article 1.1 des </w:t>
      </w:r>
      <w:r w:rsidRPr="004E4188">
        <w:rPr>
          <w:szCs w:val="24"/>
        </w:rPr>
        <w:t>Conditions du Marché</w:t>
      </w:r>
      <w:r w:rsidRPr="004E4188">
        <w:rPr>
          <w:rFonts w:eastAsia="Arial Unicode MS"/>
          <w:szCs w:val="24"/>
          <w:lang w:eastAsia="ja-JP"/>
        </w:rPr>
        <w:t>) publié par la banque centrale du pays d’origine, au montant total en monnaie d’origine de la colonne (v)</w:t>
      </w:r>
      <w:r w:rsidRPr="004E4188">
        <w:rPr>
          <w:rFonts w:eastAsia="Arial Unicode MS" w:hint="eastAsia"/>
          <w:szCs w:val="24"/>
          <w:lang w:eastAsia="ja-JP"/>
        </w:rPr>
        <w:t xml:space="preserve">. </w:t>
      </w:r>
    </w:p>
    <w:p w14:paraId="2C599559" w14:textId="77777777" w:rsidR="007049A5" w:rsidRPr="004E4188" w:rsidRDefault="007049A5" w:rsidP="006C6267">
      <w:pPr>
        <w:tabs>
          <w:tab w:val="left" w:pos="284"/>
        </w:tabs>
        <w:suppressAutoHyphens w:val="0"/>
        <w:overflowPunct/>
        <w:autoSpaceDE/>
        <w:autoSpaceDN/>
        <w:adjustRightInd/>
        <w:spacing w:before="120"/>
        <w:ind w:left="284" w:hanging="284"/>
        <w:textAlignment w:val="auto"/>
        <w:rPr>
          <w:rFonts w:eastAsia="Arial Unicode MS"/>
          <w:szCs w:val="24"/>
          <w:lang w:eastAsia="ja-JP"/>
        </w:rPr>
      </w:pPr>
      <w:r w:rsidRPr="004E4188">
        <w:rPr>
          <w:rFonts w:eastAsia="Arial Unicode MS"/>
          <w:szCs w:val="24"/>
          <w:lang w:eastAsia="ja-JP"/>
        </w:rPr>
        <w:tab/>
        <w:t>Le montant total de la part « </w:t>
      </w:r>
      <w:r w:rsidRPr="004E4188">
        <w:rPr>
          <w:rFonts w:eastAsia="Arial Unicode MS"/>
          <w:i/>
          <w:szCs w:val="24"/>
          <w:lang w:eastAsia="ja-JP"/>
        </w:rPr>
        <w:t>non ajustable</w:t>
      </w:r>
      <w:r w:rsidRPr="004E4188">
        <w:rPr>
          <w:rFonts w:eastAsia="Arial Unicode MS"/>
          <w:szCs w:val="24"/>
          <w:lang w:eastAsia="ja-JP"/>
        </w:rPr>
        <w:t> » libellé en monnaie étrangère sera également indiqué dans la case correspondante.</w:t>
      </w:r>
    </w:p>
    <w:p w14:paraId="03C33FF1" w14:textId="77777777" w:rsidR="007049A5" w:rsidRPr="004E4188" w:rsidRDefault="007049A5" w:rsidP="006C6267">
      <w:pPr>
        <w:tabs>
          <w:tab w:val="left" w:pos="284"/>
        </w:tabs>
        <w:suppressAutoHyphens w:val="0"/>
        <w:overflowPunct/>
        <w:autoSpaceDE/>
        <w:autoSpaceDN/>
        <w:adjustRightInd/>
        <w:spacing w:before="120"/>
        <w:ind w:left="284" w:hanging="284"/>
        <w:textAlignment w:val="auto"/>
        <w:rPr>
          <w:szCs w:val="24"/>
        </w:rPr>
      </w:pPr>
      <w:r w:rsidRPr="004E4188">
        <w:rPr>
          <w:rFonts w:eastAsia="Arial Unicode MS"/>
          <w:szCs w:val="24"/>
          <w:lang w:eastAsia="ja-JP"/>
        </w:rPr>
        <w:t>7.</w:t>
      </w:r>
      <w:r w:rsidRPr="004E4188">
        <w:rPr>
          <w:rFonts w:eastAsia="Arial Unicode MS"/>
          <w:szCs w:val="24"/>
          <w:lang w:eastAsia="ja-JP"/>
        </w:rPr>
        <w:tab/>
      </w:r>
      <w:r w:rsidRPr="004E4188">
        <w:rPr>
          <w:szCs w:val="24"/>
        </w:rPr>
        <w:t>Le Soumissionnaire indiquera une valeur comprise dans la plage de valeurs données par le Maître d’ouvrage pour les paramètres ‘b’, ‘c’, ‘d’ et ‘e’ dans la colonne (vii). Le total des paramètres doit être égal à 1.</w:t>
      </w:r>
    </w:p>
    <w:p w14:paraId="7478B466" w14:textId="77777777" w:rsidR="007049A5" w:rsidRPr="004E4188" w:rsidRDefault="007049A5" w:rsidP="006C6267">
      <w:pPr>
        <w:suppressAutoHyphens w:val="0"/>
        <w:overflowPunct/>
        <w:autoSpaceDE/>
        <w:autoSpaceDN/>
        <w:adjustRightInd/>
        <w:jc w:val="left"/>
        <w:textAlignment w:val="auto"/>
        <w:rPr>
          <w:rFonts w:eastAsia="Arial Unicode MS"/>
          <w:noProof/>
          <w:sz w:val="28"/>
          <w:szCs w:val="28"/>
          <w:lang w:eastAsia="en-US"/>
        </w:rPr>
      </w:pPr>
    </w:p>
    <w:p w14:paraId="2F73A89F" w14:textId="77777777" w:rsidR="007049A5" w:rsidRPr="004E4188" w:rsidRDefault="007049A5" w:rsidP="006C6267">
      <w:pPr>
        <w:pStyle w:val="SectionIVHeader"/>
        <w:outlineLvl w:val="1"/>
        <w:rPr>
          <w:szCs w:val="36"/>
          <w:lang w:val="fr-FR"/>
        </w:rPr>
      </w:pPr>
      <w:r w:rsidRPr="004E4188">
        <w:rPr>
          <w:lang w:val="fr-FR"/>
        </w:rPr>
        <w:br w:type="page"/>
      </w:r>
      <w:bookmarkStart w:id="502" w:name="_Toc349117735"/>
      <w:bookmarkStart w:id="503" w:name="_Toc357513207"/>
      <w:bookmarkStart w:id="504" w:name="_Toc112429300"/>
      <w:bookmarkEnd w:id="469"/>
      <w:r w:rsidRPr="004E4188">
        <w:rPr>
          <w:lang w:val="fr-FR"/>
        </w:rPr>
        <w:t>Bordereaux</w:t>
      </w:r>
      <w:r w:rsidRPr="004E4188">
        <w:rPr>
          <w:szCs w:val="36"/>
          <w:lang w:val="fr-FR"/>
        </w:rPr>
        <w:t xml:space="preserve"> des prix</w:t>
      </w:r>
      <w:bookmarkEnd w:id="502"/>
      <w:bookmarkEnd w:id="503"/>
      <w:bookmarkEnd w:id="504"/>
    </w:p>
    <w:p w14:paraId="0318B827" w14:textId="77777777" w:rsidR="007049A5" w:rsidRPr="004E4188" w:rsidRDefault="007049A5" w:rsidP="000F0031">
      <w:pPr>
        <w:rPr>
          <w:szCs w:val="24"/>
          <w:lang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7049A5" w:rsidRPr="004E4188" w14:paraId="4CC89B63" w14:textId="77777777" w:rsidTr="006C6267">
        <w:tc>
          <w:tcPr>
            <w:tcW w:w="9067" w:type="dxa"/>
            <w:shd w:val="clear" w:color="auto" w:fill="auto"/>
          </w:tcPr>
          <w:p w14:paraId="665D6DB8" w14:textId="77777777" w:rsidR="007049A5" w:rsidRPr="004E4188" w:rsidRDefault="007049A5" w:rsidP="006C6267">
            <w:pPr>
              <w:widowControl w:val="0"/>
              <w:suppressAutoHyphens w:val="0"/>
              <w:overflowPunct/>
              <w:autoSpaceDE/>
              <w:autoSpaceDN/>
              <w:adjustRightInd/>
              <w:jc w:val="center"/>
              <w:textAlignment w:val="auto"/>
              <w:rPr>
                <w:noProof/>
                <w:lang w:eastAsia="ja-JP"/>
              </w:rPr>
            </w:pPr>
            <w:r w:rsidRPr="004E4188">
              <w:rPr>
                <w:noProof/>
                <w:lang w:eastAsia="en-US"/>
              </w:rPr>
              <w:br w:type="page"/>
            </w:r>
          </w:p>
          <w:p w14:paraId="29472139" w14:textId="77777777" w:rsidR="007049A5" w:rsidRPr="004E4188" w:rsidRDefault="007049A5" w:rsidP="006C6267">
            <w:pPr>
              <w:widowControl w:val="0"/>
              <w:spacing w:afterLines="100" w:after="240"/>
              <w:jc w:val="center"/>
              <w:rPr>
                <w:b/>
                <w:sz w:val="28"/>
                <w:szCs w:val="28"/>
              </w:rPr>
            </w:pPr>
            <w:r w:rsidRPr="004E4188">
              <w:rPr>
                <w:b/>
                <w:sz w:val="28"/>
                <w:szCs w:val="28"/>
              </w:rPr>
              <w:t>Notes à l’intention du Maître d’ouvrage</w:t>
            </w:r>
          </w:p>
          <w:p w14:paraId="28D253B0" w14:textId="0657947F" w:rsidR="007049A5" w:rsidRPr="004E4188" w:rsidRDefault="007049A5" w:rsidP="006C6267">
            <w:pPr>
              <w:keepNext/>
              <w:keepLines/>
              <w:widowControl w:val="0"/>
              <w:spacing w:after="120"/>
              <w:rPr>
                <w:szCs w:val="24"/>
              </w:rPr>
            </w:pPr>
            <w:r w:rsidRPr="004E4188">
              <w:rPr>
                <w:b/>
                <w:szCs w:val="24"/>
              </w:rPr>
              <w:t>Objectifs</w:t>
            </w:r>
          </w:p>
          <w:p w14:paraId="27E14175" w14:textId="77777777" w:rsidR="007049A5" w:rsidRPr="004E4188" w:rsidRDefault="007049A5" w:rsidP="006C6267">
            <w:pPr>
              <w:keepNext/>
              <w:keepLines/>
              <w:widowControl w:val="0"/>
              <w:rPr>
                <w:szCs w:val="24"/>
              </w:rPr>
            </w:pPr>
            <w:r w:rsidRPr="004E4188">
              <w:rPr>
                <w:szCs w:val="24"/>
              </w:rPr>
              <w:t>Les Bordereaux des prix ont pour objectifs de :</w:t>
            </w:r>
          </w:p>
          <w:p w14:paraId="0798FA07" w14:textId="77777777" w:rsidR="007049A5" w:rsidRPr="004E4188" w:rsidRDefault="007049A5" w:rsidP="003D46CF">
            <w:pPr>
              <w:keepNext/>
              <w:keepLines/>
              <w:widowControl w:val="0"/>
              <w:numPr>
                <w:ilvl w:val="0"/>
                <w:numId w:val="61"/>
              </w:numPr>
              <w:suppressAutoHyphens w:val="0"/>
              <w:overflowPunct/>
              <w:autoSpaceDE/>
              <w:autoSpaceDN/>
              <w:adjustRightInd/>
              <w:textAlignment w:val="auto"/>
              <w:rPr>
                <w:szCs w:val="24"/>
              </w:rPr>
            </w:pPr>
            <w:r w:rsidRPr="004E4188">
              <w:rPr>
                <w:szCs w:val="24"/>
              </w:rPr>
              <w:t>fournir des informations suffisantes sur les types et le volume des é</w:t>
            </w:r>
            <w:r w:rsidRPr="004E4188">
              <w:t>quipements et services de montage</w:t>
            </w:r>
            <w:r w:rsidRPr="004E4188">
              <w:rPr>
                <w:szCs w:val="24"/>
              </w:rPr>
              <w:t xml:space="preserve"> fondamentaux à réaliser pour que les offres soient préparées avec précision et de manière efficace ; et</w:t>
            </w:r>
          </w:p>
          <w:p w14:paraId="12BC8DD3" w14:textId="77777777" w:rsidR="007049A5" w:rsidRPr="004E4188" w:rsidRDefault="007049A5" w:rsidP="003D46CF">
            <w:pPr>
              <w:keepNext/>
              <w:keepLines/>
              <w:widowControl w:val="0"/>
              <w:numPr>
                <w:ilvl w:val="0"/>
                <w:numId w:val="61"/>
              </w:numPr>
              <w:suppressAutoHyphens w:val="0"/>
              <w:overflowPunct/>
              <w:autoSpaceDE/>
              <w:autoSpaceDN/>
              <w:adjustRightInd/>
              <w:textAlignment w:val="auto"/>
              <w:rPr>
                <w:szCs w:val="24"/>
              </w:rPr>
            </w:pPr>
            <w:r w:rsidRPr="004E4188">
              <w:rPr>
                <w:szCs w:val="24"/>
              </w:rPr>
              <w:t>lorsque le Marché a été signé, constituer les documents chiffrés utilisés pour la valorisation des é</w:t>
            </w:r>
            <w:r w:rsidRPr="004E4188">
              <w:t>quipements et services de montage</w:t>
            </w:r>
            <w:r w:rsidRPr="004E4188">
              <w:rPr>
                <w:szCs w:val="24"/>
              </w:rPr>
              <w:t xml:space="preserve"> réalisés, le cas échéant.</w:t>
            </w:r>
          </w:p>
          <w:p w14:paraId="6699A2BA" w14:textId="77777777" w:rsidR="007049A5" w:rsidRPr="004E4188" w:rsidRDefault="007049A5" w:rsidP="006C6267">
            <w:pPr>
              <w:keepNext/>
              <w:keepLines/>
              <w:widowControl w:val="0"/>
              <w:rPr>
                <w:szCs w:val="24"/>
              </w:rPr>
            </w:pPr>
          </w:p>
          <w:p w14:paraId="2F04B9ED" w14:textId="77777777" w:rsidR="007049A5" w:rsidRPr="004E4188" w:rsidRDefault="007049A5" w:rsidP="006C6267">
            <w:pPr>
              <w:keepNext/>
              <w:keepLines/>
              <w:widowControl w:val="0"/>
              <w:rPr>
                <w:szCs w:val="24"/>
              </w:rPr>
            </w:pPr>
            <w:r w:rsidRPr="004E4188">
              <w:rPr>
                <w:szCs w:val="24"/>
              </w:rPr>
              <w:t>Pour que les Bordereaux des prix remplissent les fonctions décrites ci-dessus, ils doivent être bien structurés et cohérents, et leur présentation et leur contenu devront être aussi compréhensibles et concis que possible.</w:t>
            </w:r>
          </w:p>
          <w:p w14:paraId="635D7257" w14:textId="77777777" w:rsidR="007049A5" w:rsidRPr="004E4188" w:rsidRDefault="007049A5" w:rsidP="006C6267">
            <w:pPr>
              <w:keepNext/>
              <w:keepLines/>
              <w:widowControl w:val="0"/>
              <w:rPr>
                <w:szCs w:val="24"/>
              </w:rPr>
            </w:pPr>
          </w:p>
          <w:p w14:paraId="12F86B1F" w14:textId="77777777" w:rsidR="007049A5" w:rsidRPr="004E4188" w:rsidRDefault="007049A5" w:rsidP="006C6267">
            <w:pPr>
              <w:keepNext/>
              <w:keepLines/>
              <w:widowControl w:val="0"/>
              <w:rPr>
                <w:szCs w:val="24"/>
              </w:rPr>
            </w:pPr>
            <w:r w:rsidRPr="004E4188">
              <w:rPr>
                <w:rFonts w:hint="eastAsia"/>
                <w:szCs w:val="24"/>
              </w:rPr>
              <w:t xml:space="preserve">Les directives </w:t>
            </w:r>
            <w:r w:rsidRPr="004E4188">
              <w:rPr>
                <w:szCs w:val="24"/>
              </w:rPr>
              <w:t>et instructions suivantes doivent être respectées lors de la préparation des Bordereaux des prix.</w:t>
            </w:r>
          </w:p>
          <w:p w14:paraId="5F322CDF" w14:textId="77777777" w:rsidR="007049A5" w:rsidRPr="004E4188" w:rsidRDefault="007049A5" w:rsidP="006C6267">
            <w:pPr>
              <w:keepNext/>
              <w:keepLines/>
              <w:widowControl w:val="0"/>
              <w:rPr>
                <w:szCs w:val="24"/>
                <w:lang w:eastAsia="ja-JP"/>
              </w:rPr>
            </w:pPr>
          </w:p>
          <w:p w14:paraId="22F05216" w14:textId="77777777" w:rsidR="007049A5" w:rsidRPr="004E4188" w:rsidRDefault="007049A5" w:rsidP="006C6267">
            <w:pPr>
              <w:keepNext/>
              <w:keepLines/>
              <w:widowControl w:val="0"/>
              <w:spacing w:after="120"/>
              <w:rPr>
                <w:b/>
                <w:szCs w:val="24"/>
              </w:rPr>
            </w:pPr>
            <w:r w:rsidRPr="004E4188">
              <w:rPr>
                <w:b/>
                <w:szCs w:val="24"/>
              </w:rPr>
              <w:t>Contenu</w:t>
            </w:r>
          </w:p>
          <w:p w14:paraId="7889DF1E" w14:textId="77777777" w:rsidR="007049A5" w:rsidRPr="004E4188" w:rsidRDefault="007049A5" w:rsidP="006C6267">
            <w:pPr>
              <w:keepNext/>
              <w:keepLines/>
              <w:widowControl w:val="0"/>
              <w:rPr>
                <w:szCs w:val="24"/>
              </w:rPr>
            </w:pPr>
            <w:r w:rsidRPr="004E4188">
              <w:rPr>
                <w:szCs w:val="24"/>
              </w:rPr>
              <w:t xml:space="preserve">Les Bordereaux des prix comprennent en général ce qui suit : </w:t>
            </w:r>
          </w:p>
          <w:p w14:paraId="5C418CE4" w14:textId="77777777" w:rsidR="007049A5" w:rsidRPr="004E4188" w:rsidRDefault="007049A5" w:rsidP="003D46CF">
            <w:pPr>
              <w:keepNext/>
              <w:keepLines/>
              <w:widowControl w:val="0"/>
              <w:numPr>
                <w:ilvl w:val="0"/>
                <w:numId w:val="62"/>
              </w:numPr>
              <w:suppressAutoHyphens w:val="0"/>
              <w:overflowPunct/>
              <w:autoSpaceDE/>
              <w:autoSpaceDN/>
              <w:adjustRightInd/>
              <w:textAlignment w:val="auto"/>
              <w:rPr>
                <w:szCs w:val="24"/>
              </w:rPr>
            </w:pPr>
            <w:r w:rsidRPr="004E4188">
              <w:rPr>
                <w:szCs w:val="24"/>
              </w:rPr>
              <w:t>un préambule ;</w:t>
            </w:r>
          </w:p>
          <w:p w14:paraId="59C6DE91" w14:textId="77777777" w:rsidR="007049A5" w:rsidRPr="004E4188" w:rsidRDefault="007049A5" w:rsidP="003D46CF">
            <w:pPr>
              <w:keepNext/>
              <w:keepLines/>
              <w:widowControl w:val="0"/>
              <w:numPr>
                <w:ilvl w:val="0"/>
                <w:numId w:val="62"/>
              </w:numPr>
              <w:suppressAutoHyphens w:val="0"/>
              <w:overflowPunct/>
              <w:autoSpaceDE/>
              <w:autoSpaceDN/>
              <w:adjustRightInd/>
              <w:textAlignment w:val="auto"/>
              <w:rPr>
                <w:szCs w:val="24"/>
              </w:rPr>
            </w:pPr>
            <w:r w:rsidRPr="004E4188">
              <w:rPr>
                <w:szCs w:val="24"/>
              </w:rPr>
              <w:t>les postes des É</w:t>
            </w:r>
            <w:r w:rsidRPr="004E4188">
              <w:t>quipements et Services de montag</w:t>
            </w:r>
            <w:r w:rsidRPr="004E4188">
              <w:rPr>
                <w:rFonts w:hint="eastAsia"/>
                <w:lang w:eastAsia="ja-JP"/>
              </w:rPr>
              <w:t>e</w:t>
            </w:r>
            <w:r w:rsidRPr="004E4188">
              <w:rPr>
                <w:szCs w:val="24"/>
              </w:rPr>
              <w:t xml:space="preserve"> (regroupés dans des Bordereaux indiquant les taux et prix) ;</w:t>
            </w:r>
          </w:p>
          <w:p w14:paraId="3D55556A" w14:textId="77777777" w:rsidR="007049A5" w:rsidRPr="004E4188" w:rsidRDefault="007049A5" w:rsidP="003D46CF">
            <w:pPr>
              <w:keepNext/>
              <w:keepLines/>
              <w:widowControl w:val="0"/>
              <w:numPr>
                <w:ilvl w:val="0"/>
                <w:numId w:val="62"/>
              </w:numPr>
              <w:suppressAutoHyphens w:val="0"/>
              <w:overflowPunct/>
              <w:autoSpaceDE/>
              <w:autoSpaceDN/>
              <w:adjustRightInd/>
              <w:textAlignment w:val="auto"/>
              <w:rPr>
                <w:szCs w:val="24"/>
              </w:rPr>
            </w:pPr>
            <w:r w:rsidRPr="004E4188">
              <w:rPr>
                <w:szCs w:val="24"/>
              </w:rPr>
              <w:t>le Bordereau des sommes provisionnelles ; e</w:t>
            </w:r>
            <w:r w:rsidRPr="004E4188">
              <w:rPr>
                <w:rFonts w:hint="eastAsia"/>
                <w:szCs w:val="24"/>
                <w:lang w:eastAsia="ja-JP"/>
              </w:rPr>
              <w:t>t</w:t>
            </w:r>
          </w:p>
          <w:p w14:paraId="0DBA9D33" w14:textId="77777777" w:rsidR="007049A5" w:rsidRPr="004E4188" w:rsidRDefault="007049A5" w:rsidP="003D46CF">
            <w:pPr>
              <w:keepNext/>
              <w:keepLines/>
              <w:widowControl w:val="0"/>
              <w:numPr>
                <w:ilvl w:val="0"/>
                <w:numId w:val="62"/>
              </w:numPr>
              <w:suppressAutoHyphens w:val="0"/>
              <w:overflowPunct/>
              <w:autoSpaceDE/>
              <w:autoSpaceDN/>
              <w:adjustRightInd/>
              <w:textAlignment w:val="auto"/>
              <w:rPr>
                <w:szCs w:val="24"/>
              </w:rPr>
            </w:pPr>
            <w:r w:rsidRPr="004E4188">
              <w:rPr>
                <w:szCs w:val="24"/>
              </w:rPr>
              <w:t>le tableau récapitulatif.</w:t>
            </w:r>
          </w:p>
          <w:p w14:paraId="4B2D7143" w14:textId="77777777" w:rsidR="007049A5" w:rsidRPr="004E4188" w:rsidRDefault="007049A5" w:rsidP="006C6267">
            <w:pPr>
              <w:keepNext/>
              <w:keepLines/>
              <w:widowControl w:val="0"/>
              <w:rPr>
                <w:szCs w:val="24"/>
                <w:lang w:eastAsia="ja-JP"/>
              </w:rPr>
            </w:pPr>
          </w:p>
          <w:p w14:paraId="295EF8F9" w14:textId="77777777" w:rsidR="007049A5" w:rsidRPr="004E4188" w:rsidRDefault="007049A5" w:rsidP="006C6267">
            <w:pPr>
              <w:keepNext/>
              <w:keepLines/>
              <w:widowControl w:val="0"/>
              <w:spacing w:after="120"/>
              <w:rPr>
                <w:b/>
                <w:szCs w:val="24"/>
                <w:lang w:val="en-US"/>
              </w:rPr>
            </w:pPr>
            <w:r w:rsidRPr="004E4188">
              <w:rPr>
                <w:b/>
                <w:szCs w:val="24"/>
                <w:lang w:val="en-US"/>
              </w:rPr>
              <w:t>Préambule</w:t>
            </w:r>
          </w:p>
          <w:p w14:paraId="3B8235EF" w14:textId="77777777" w:rsidR="007049A5" w:rsidRPr="004E4188" w:rsidRDefault="007049A5" w:rsidP="006C6267">
            <w:pPr>
              <w:widowControl w:val="0"/>
              <w:jc w:val="left"/>
              <w:rPr>
                <w:szCs w:val="24"/>
              </w:rPr>
            </w:pPr>
            <w:r w:rsidRPr="004E4188">
              <w:rPr>
                <w:szCs w:val="24"/>
              </w:rPr>
              <w:t>Le préambule doit :</w:t>
            </w:r>
          </w:p>
          <w:p w14:paraId="0D5BE4A0" w14:textId="77777777" w:rsidR="007049A5" w:rsidRPr="004E4188" w:rsidRDefault="007049A5" w:rsidP="003D46CF">
            <w:pPr>
              <w:keepNext/>
              <w:keepLines/>
              <w:widowControl w:val="0"/>
              <w:numPr>
                <w:ilvl w:val="0"/>
                <w:numId w:val="63"/>
              </w:numPr>
              <w:suppressAutoHyphens w:val="0"/>
              <w:overflowPunct/>
              <w:autoSpaceDE/>
              <w:autoSpaceDN/>
              <w:adjustRightInd/>
              <w:textAlignment w:val="auto"/>
              <w:rPr>
                <w:szCs w:val="24"/>
              </w:rPr>
            </w:pPr>
            <w:r w:rsidRPr="004E4188">
              <w:rPr>
                <w:szCs w:val="24"/>
              </w:rPr>
              <w:t>contenir les dispositions qui décrivent ce qui est inclus (et/ou exclus, le cas échéant) des prix ; et</w:t>
            </w:r>
          </w:p>
          <w:p w14:paraId="195E7697" w14:textId="77777777" w:rsidR="007049A5" w:rsidRPr="004E4188" w:rsidRDefault="007049A5" w:rsidP="003D46CF">
            <w:pPr>
              <w:keepNext/>
              <w:keepLines/>
              <w:widowControl w:val="0"/>
              <w:numPr>
                <w:ilvl w:val="0"/>
                <w:numId w:val="63"/>
              </w:numPr>
              <w:suppressAutoHyphens w:val="0"/>
              <w:overflowPunct/>
              <w:autoSpaceDE/>
              <w:autoSpaceDN/>
              <w:adjustRightInd/>
              <w:textAlignment w:val="auto"/>
              <w:rPr>
                <w:szCs w:val="24"/>
              </w:rPr>
            </w:pPr>
            <w:r w:rsidRPr="004E4188">
              <w:rPr>
                <w:rFonts w:ascii="TimesNewRoman" w:hAnsi="TimesNewRoman" w:cs="TimesNewRoman"/>
                <w:noProof/>
                <w:sz w:val="23"/>
                <w:szCs w:val="23"/>
                <w:lang w:eastAsia="ja-JP"/>
              </w:rPr>
              <w:t>si le Marché comprend des postes faisant l’objet du métré contradictoire,</w:t>
            </w:r>
            <w:r w:rsidRPr="004E4188">
              <w:rPr>
                <w:rFonts w:ascii="TimesNewRoman" w:hAnsi="TimesNewRoman" w:cs="TimesNewRoman" w:hint="eastAsia"/>
                <w:noProof/>
                <w:sz w:val="23"/>
                <w:szCs w:val="23"/>
                <w:lang w:eastAsia="ja-JP"/>
              </w:rPr>
              <w:t xml:space="preserve"> </w:t>
            </w:r>
            <w:r w:rsidRPr="004E4188">
              <w:rPr>
                <w:szCs w:val="24"/>
              </w:rPr>
              <w:t xml:space="preserve">indiquer les méthodes de métrés qui ont été utilisées pour le métré des quantités estimées </w:t>
            </w:r>
            <w:r w:rsidRPr="004E4188">
              <w:rPr>
                <w:rFonts w:hint="eastAsia"/>
                <w:szCs w:val="24"/>
                <w:lang w:eastAsia="ja-JP"/>
              </w:rPr>
              <w:t>d</w:t>
            </w:r>
            <w:r w:rsidRPr="004E4188">
              <w:rPr>
                <w:szCs w:val="24"/>
                <w:lang w:eastAsia="ja-JP"/>
              </w:rPr>
              <w:t>e ces</w:t>
            </w:r>
            <w:r w:rsidRPr="004E4188">
              <w:rPr>
                <w:rFonts w:hint="eastAsia"/>
                <w:lang w:eastAsia="en-US"/>
              </w:rPr>
              <w:t xml:space="preserve"> </w:t>
            </w:r>
            <w:r w:rsidRPr="004E4188">
              <w:rPr>
                <w:szCs w:val="24"/>
                <w:lang w:eastAsia="ja-JP"/>
              </w:rPr>
              <w:t xml:space="preserve">postes </w:t>
            </w:r>
            <w:r w:rsidRPr="004E4188">
              <w:rPr>
                <w:szCs w:val="24"/>
              </w:rPr>
              <w:t>dans les Bordereaux des prix, et qui doivent être utilisées pour le métré des quantités réelles exécutées (c.-à-d. le métré contradictoire).</w:t>
            </w:r>
          </w:p>
          <w:p w14:paraId="57F835A0" w14:textId="77777777" w:rsidR="007049A5" w:rsidRPr="004E4188" w:rsidRDefault="007049A5" w:rsidP="006C6267">
            <w:pPr>
              <w:keepNext/>
              <w:keepLines/>
              <w:widowControl w:val="0"/>
              <w:ind w:left="357"/>
              <w:rPr>
                <w:szCs w:val="24"/>
              </w:rPr>
            </w:pPr>
          </w:p>
          <w:p w14:paraId="682E32DC" w14:textId="77777777" w:rsidR="007049A5" w:rsidRPr="004E4188" w:rsidRDefault="007049A5" w:rsidP="006C6267">
            <w:pPr>
              <w:keepNext/>
              <w:keepLines/>
              <w:widowControl w:val="0"/>
              <w:overflowPunct/>
              <w:autoSpaceDE/>
              <w:autoSpaceDN/>
              <w:adjustRightInd/>
              <w:spacing w:after="120"/>
              <w:textAlignment w:val="auto"/>
              <w:rPr>
                <w:b/>
                <w:szCs w:val="24"/>
                <w:u w:val="single"/>
                <w:lang w:eastAsia="en-US"/>
              </w:rPr>
            </w:pPr>
            <w:r w:rsidRPr="004E4188">
              <w:rPr>
                <w:b/>
                <w:szCs w:val="24"/>
                <w:lang w:eastAsia="en-US"/>
              </w:rPr>
              <w:t xml:space="preserve">Postes des </w:t>
            </w:r>
            <w:r w:rsidRPr="004E4188">
              <w:rPr>
                <w:b/>
                <w:szCs w:val="24"/>
              </w:rPr>
              <w:t>É</w:t>
            </w:r>
            <w:r w:rsidRPr="004E4188">
              <w:rPr>
                <w:b/>
              </w:rPr>
              <w:t>quipements et Services de montage</w:t>
            </w:r>
          </w:p>
          <w:p w14:paraId="4F6205CD" w14:textId="77777777" w:rsidR="007049A5" w:rsidRPr="004E4188" w:rsidRDefault="007049A5" w:rsidP="006C6267">
            <w:pPr>
              <w:keepNext/>
              <w:keepLines/>
              <w:widowControl w:val="0"/>
              <w:overflowPunct/>
              <w:autoSpaceDE/>
              <w:autoSpaceDN/>
              <w:adjustRightInd/>
              <w:textAlignment w:val="auto"/>
              <w:rPr>
                <w:szCs w:val="24"/>
                <w:lang w:eastAsia="en-US"/>
              </w:rPr>
            </w:pPr>
            <w:r w:rsidRPr="004E4188">
              <w:rPr>
                <w:szCs w:val="24"/>
              </w:rPr>
              <w:t>Les Bordereaux des prix</w:t>
            </w:r>
            <w:r w:rsidRPr="004E4188">
              <w:rPr>
                <w:szCs w:val="24"/>
                <w:lang w:eastAsia="en-US"/>
              </w:rPr>
              <w:t xml:space="preserve"> doivent inclure tous les postes des </w:t>
            </w:r>
            <w:r w:rsidRPr="004E4188">
              <w:rPr>
                <w:szCs w:val="24"/>
              </w:rPr>
              <w:t>é</w:t>
            </w:r>
            <w:r w:rsidRPr="004E4188">
              <w:t>quipements et services de montage</w:t>
            </w:r>
            <w:r w:rsidRPr="004E4188">
              <w:rPr>
                <w:szCs w:val="24"/>
                <w:lang w:eastAsia="en-US"/>
              </w:rPr>
              <w:t xml:space="preserve"> de façon suffisamment détaillée pour distinguer les postes de catégories différentes du </w:t>
            </w:r>
            <w:r w:rsidRPr="004E4188">
              <w:rPr>
                <w:rFonts w:ascii="TimesNewRoman" w:hAnsi="TimesNewRoman" w:cs="TimesNewRoman"/>
                <w:noProof/>
                <w:sz w:val="23"/>
                <w:szCs w:val="23"/>
                <w:lang w:eastAsia="ja-JP"/>
              </w:rPr>
              <w:t xml:space="preserve">Marché, tels que les </w:t>
            </w:r>
            <w:r w:rsidRPr="004E4188">
              <w:rPr>
                <w:szCs w:val="24"/>
              </w:rPr>
              <w:t>é</w:t>
            </w:r>
            <w:r w:rsidRPr="004E4188">
              <w:t xml:space="preserve">quipements d’origine étrangère, </w:t>
            </w:r>
            <w:r w:rsidRPr="004E4188">
              <w:rPr>
                <w:rFonts w:ascii="TimesNewRoman" w:hAnsi="TimesNewRoman" w:cs="TimesNewRoman"/>
                <w:noProof/>
                <w:sz w:val="23"/>
                <w:szCs w:val="23"/>
                <w:lang w:eastAsia="ja-JP"/>
              </w:rPr>
              <w:t xml:space="preserve">les </w:t>
            </w:r>
            <w:r w:rsidRPr="004E4188">
              <w:rPr>
                <w:szCs w:val="24"/>
              </w:rPr>
              <w:t>é</w:t>
            </w:r>
            <w:r w:rsidRPr="004E4188">
              <w:t>quipements d’origine locale, les services de conception ou les services de montage, etc</w:t>
            </w:r>
            <w:r w:rsidRPr="004E4188">
              <w:rPr>
                <w:szCs w:val="24"/>
                <w:lang w:eastAsia="en-US"/>
              </w:rPr>
              <w:t>.</w:t>
            </w:r>
          </w:p>
          <w:p w14:paraId="7E85682E" w14:textId="77777777" w:rsidR="007049A5" w:rsidRPr="004E4188" w:rsidRDefault="007049A5" w:rsidP="006C6267">
            <w:pPr>
              <w:widowControl w:val="0"/>
              <w:suppressAutoHyphens w:val="0"/>
              <w:overflowPunct/>
              <w:autoSpaceDE/>
              <w:autoSpaceDN/>
              <w:adjustRightInd/>
              <w:spacing w:after="120"/>
              <w:jc w:val="center"/>
              <w:textAlignment w:val="auto"/>
              <w:rPr>
                <w:b/>
                <w:noProof/>
                <w:szCs w:val="24"/>
                <w:lang w:eastAsia="en-US"/>
              </w:rPr>
            </w:pPr>
          </w:p>
          <w:p w14:paraId="5EFA9D54" w14:textId="240B800B" w:rsidR="007049A5" w:rsidRPr="004E4188" w:rsidRDefault="007049A5" w:rsidP="006C6267">
            <w:pPr>
              <w:keepNext/>
              <w:keepLines/>
              <w:widowControl w:val="0"/>
              <w:rPr>
                <w:szCs w:val="24"/>
              </w:rPr>
            </w:pPr>
            <w:r w:rsidRPr="004E4188">
              <w:rPr>
                <w:szCs w:val="24"/>
              </w:rPr>
              <w:t xml:space="preserve">Ces postes doivent être regroupés dans des Bordereaux (p. ex. le Bordereau n° XX et le Bordereau n° YY) pour les distinguer en différentes </w:t>
            </w:r>
            <w:r w:rsidRPr="004E4188">
              <w:rPr>
                <w:szCs w:val="24"/>
                <w:lang w:eastAsia="en-US"/>
              </w:rPr>
              <w:t xml:space="preserve">catégories </w:t>
            </w:r>
            <w:r w:rsidRPr="004E4188">
              <w:rPr>
                <w:szCs w:val="24"/>
              </w:rPr>
              <w:t xml:space="preserve">suivant leur type, nature, localisation, accès, calendrier ou toute autre caractéristique. Chaque bordereau pourra </w:t>
            </w:r>
            <w:r w:rsidRPr="004E4188">
              <w:rPr>
                <w:szCs w:val="24"/>
                <w:lang w:eastAsia="en-US"/>
              </w:rPr>
              <w:t xml:space="preserve">inclure des sous-sections, si nécessaire, afin de préciser clairement les postes des </w:t>
            </w:r>
            <w:r w:rsidRPr="004E4188">
              <w:rPr>
                <w:szCs w:val="24"/>
              </w:rPr>
              <w:t>É</w:t>
            </w:r>
            <w:r w:rsidRPr="004E4188">
              <w:t>quipements et Services de montage</w:t>
            </w:r>
            <w:r w:rsidRPr="004E4188">
              <w:rPr>
                <w:szCs w:val="24"/>
                <w:lang w:eastAsia="en-US"/>
              </w:rPr>
              <w:t xml:space="preserve"> qui devront </w:t>
            </w:r>
            <w:r w:rsidRPr="004E4188">
              <w:rPr>
                <w:rFonts w:hint="eastAsia"/>
                <w:szCs w:val="24"/>
                <w:lang w:eastAsia="en-US"/>
              </w:rPr>
              <w:t>ê</w:t>
            </w:r>
            <w:r w:rsidRPr="004E4188">
              <w:rPr>
                <w:szCs w:val="24"/>
                <w:lang w:eastAsia="en-US"/>
              </w:rPr>
              <w:t>tre réalisés, ou évalués/payés pendant l</w:t>
            </w:r>
            <w:r w:rsidR="00B02374" w:rsidRPr="004E4188">
              <w:rPr>
                <w:szCs w:val="24"/>
                <w:lang w:eastAsia="en-US"/>
              </w:rPr>
              <w:t>’</w:t>
            </w:r>
            <w:r w:rsidRPr="004E4188">
              <w:rPr>
                <w:szCs w:val="24"/>
                <w:lang w:eastAsia="en-US"/>
              </w:rPr>
              <w:t xml:space="preserve">exécution du </w:t>
            </w:r>
            <w:r w:rsidRPr="004E4188">
              <w:rPr>
                <w:rFonts w:ascii="TimesNewRoman" w:hAnsi="TimesNewRoman" w:cs="TimesNewRoman"/>
                <w:noProof/>
                <w:sz w:val="23"/>
                <w:szCs w:val="23"/>
                <w:lang w:eastAsia="ja-JP"/>
              </w:rPr>
              <w:t>Marché</w:t>
            </w:r>
            <w:r w:rsidRPr="004E4188">
              <w:rPr>
                <w:szCs w:val="24"/>
              </w:rPr>
              <w:t>.</w:t>
            </w:r>
          </w:p>
          <w:p w14:paraId="4F7279A7" w14:textId="77777777" w:rsidR="007049A5" w:rsidRPr="004E4188" w:rsidRDefault="007049A5" w:rsidP="006C6267">
            <w:pPr>
              <w:keepNext/>
              <w:keepLines/>
              <w:widowControl w:val="0"/>
              <w:overflowPunct/>
              <w:autoSpaceDE/>
              <w:autoSpaceDN/>
              <w:adjustRightInd/>
              <w:textAlignment w:val="auto"/>
              <w:rPr>
                <w:b/>
                <w:noProof/>
                <w:lang w:eastAsia="en-US"/>
              </w:rPr>
            </w:pPr>
          </w:p>
          <w:p w14:paraId="75B1E936" w14:textId="683BFB90" w:rsidR="007049A5" w:rsidRPr="004E4188" w:rsidRDefault="007049A5" w:rsidP="006C6267">
            <w:pPr>
              <w:widowControl w:val="0"/>
              <w:suppressAutoHyphens w:val="0"/>
              <w:overflowPunct/>
              <w:autoSpaceDE/>
              <w:autoSpaceDN/>
              <w:adjustRightInd/>
              <w:textAlignment w:val="auto"/>
              <w:rPr>
                <w:rFonts w:cs="Calibri"/>
                <w:noProof/>
                <w:lang w:eastAsia="en-US"/>
              </w:rPr>
            </w:pPr>
            <w:r w:rsidRPr="004E4188">
              <w:rPr>
                <w:rFonts w:cs="Calibri"/>
                <w:noProof/>
                <w:lang w:eastAsia="en-US"/>
              </w:rPr>
              <w:t>En général, les quantités ne devront pas être indiquées pour les postes forfaitaires. Par conséquent, pour éviter toute confusion, il est conseillé d’indiquer « - » dans les cases respectives des colonnes « Quantité » et « Prix unitaire ».</w:t>
            </w:r>
          </w:p>
          <w:p w14:paraId="454CABE3" w14:textId="77777777" w:rsidR="007049A5" w:rsidRPr="004E4188" w:rsidRDefault="007049A5" w:rsidP="006C6267">
            <w:pPr>
              <w:widowControl w:val="0"/>
              <w:suppressAutoHyphens w:val="0"/>
              <w:overflowPunct/>
              <w:autoSpaceDE/>
              <w:autoSpaceDN/>
              <w:adjustRightInd/>
              <w:textAlignment w:val="auto"/>
              <w:rPr>
                <w:rFonts w:cs="Calibri"/>
                <w:noProof/>
                <w:lang w:eastAsia="en-US"/>
              </w:rPr>
            </w:pPr>
          </w:p>
          <w:p w14:paraId="296AF344" w14:textId="586AF799" w:rsidR="007049A5" w:rsidRPr="004E4188" w:rsidRDefault="007049A5" w:rsidP="006C6267">
            <w:pPr>
              <w:widowControl w:val="0"/>
              <w:suppressAutoHyphens w:val="0"/>
              <w:overflowPunct/>
              <w:autoSpaceDE/>
              <w:autoSpaceDN/>
              <w:adjustRightInd/>
              <w:textAlignment w:val="auto"/>
              <w:rPr>
                <w:rFonts w:cs="Calibri"/>
                <w:noProof/>
                <w:lang w:eastAsia="en-US"/>
              </w:rPr>
            </w:pPr>
            <w:r w:rsidRPr="004E4188">
              <w:rPr>
                <w:rFonts w:cs="Calibri"/>
                <w:noProof/>
                <w:lang w:eastAsia="ja-JP"/>
              </w:rPr>
              <w:t xml:space="preserve">Normalement, ce type de marché est basé sur un prix forfaitaire, avec peu ou pas de métré contradictoire. Cependant, si le métré contradictoire est appliqué pour des postes des </w:t>
            </w:r>
            <w:r w:rsidRPr="004E4188">
              <w:rPr>
                <w:szCs w:val="24"/>
              </w:rPr>
              <w:t>é</w:t>
            </w:r>
            <w:r w:rsidRPr="004E4188">
              <w:t>quipements et services de montage</w:t>
            </w:r>
            <w:r w:rsidRPr="004E4188">
              <w:rPr>
                <w:rFonts w:cs="Calibri"/>
                <w:noProof/>
                <w:lang w:eastAsia="ja-JP"/>
              </w:rPr>
              <w:t>, ceux-ci devront être clairement identifiés et décrits dans  l’Annexe 1 (</w:t>
            </w:r>
            <w:r w:rsidRPr="004E4188">
              <w:rPr>
                <w:i/>
              </w:rPr>
              <w:t>Conditions et procédures de règlement</w:t>
            </w:r>
            <w:r w:rsidRPr="004E4188">
              <w:rPr>
                <w:rFonts w:cs="Calibri"/>
                <w:noProof/>
                <w:lang w:eastAsia="ja-JP"/>
              </w:rPr>
              <w:t xml:space="preserve">). Les quantités estimées devront être indiquées pour ces postes afin que le Soumissionnaire puisse indiquer ses prix unitaires en conséquence. </w:t>
            </w:r>
            <w:r w:rsidRPr="004E4188">
              <w:rPr>
                <w:rFonts w:cs="Calibri" w:hint="eastAsia"/>
                <w:noProof/>
                <w:lang w:eastAsia="ja-JP"/>
              </w:rPr>
              <w:t>À</w:t>
            </w:r>
            <w:r w:rsidRPr="004E4188">
              <w:rPr>
                <w:rFonts w:cs="Calibri"/>
                <w:noProof/>
                <w:lang w:eastAsia="ja-JP"/>
              </w:rPr>
              <w:t xml:space="preserve"> cet égard, la référence à l’Article 12 (</w:t>
            </w:r>
            <w:r w:rsidRPr="004E4188">
              <w:rPr>
                <w:i/>
              </w:rPr>
              <w:t>Conditions de paiement</w:t>
            </w:r>
            <w:r w:rsidRPr="004E4188">
              <w:rPr>
                <w:rFonts w:cs="Calibri"/>
                <w:noProof/>
                <w:lang w:eastAsia="ja-JP"/>
              </w:rPr>
              <w:t xml:space="preserve">) des </w:t>
            </w:r>
            <w:r w:rsidR="00CD7A7F" w:rsidRPr="004E4188">
              <w:rPr>
                <w:rFonts w:cs="Calibri"/>
                <w:noProof/>
                <w:lang w:eastAsia="en-US"/>
              </w:rPr>
              <w:t>Conditions du Marché</w:t>
            </w:r>
            <w:r w:rsidRPr="004E4188">
              <w:rPr>
                <w:rFonts w:cs="Calibri"/>
                <w:noProof/>
                <w:lang w:eastAsia="ja-JP"/>
              </w:rPr>
              <w:t xml:space="preserve"> doit être faite.</w:t>
            </w:r>
          </w:p>
          <w:p w14:paraId="07033C57" w14:textId="77777777" w:rsidR="007049A5" w:rsidRPr="004E4188" w:rsidRDefault="007049A5" w:rsidP="006C6267">
            <w:pPr>
              <w:widowControl w:val="0"/>
              <w:suppressAutoHyphens w:val="0"/>
              <w:overflowPunct/>
              <w:autoSpaceDE/>
              <w:autoSpaceDN/>
              <w:adjustRightInd/>
              <w:textAlignment w:val="auto"/>
              <w:rPr>
                <w:rFonts w:cs="Calibri"/>
                <w:noProof/>
                <w:lang w:eastAsia="en-US"/>
              </w:rPr>
            </w:pPr>
          </w:p>
          <w:p w14:paraId="222E97C5" w14:textId="77777777" w:rsidR="007049A5" w:rsidRPr="004E4188" w:rsidRDefault="007049A5" w:rsidP="006C6267">
            <w:pPr>
              <w:widowControl w:val="0"/>
              <w:rPr>
                <w:szCs w:val="24"/>
              </w:rPr>
            </w:pPr>
            <w:r w:rsidRPr="004E4188">
              <w:rPr>
                <w:rFonts w:cs="Calibri"/>
                <w:noProof/>
                <w:lang w:eastAsia="en-US"/>
              </w:rPr>
              <w:t xml:space="preserve">Les Bordereaux alloués aux </w:t>
            </w:r>
            <w:r w:rsidRPr="004E4188">
              <w:rPr>
                <w:szCs w:val="24"/>
                <w:lang w:eastAsia="en-US"/>
              </w:rPr>
              <w:t>équipements d’origine étrangère ou ceux d’origine locale</w:t>
            </w:r>
            <w:r w:rsidRPr="004E4188">
              <w:rPr>
                <w:rFonts w:cs="Calibri"/>
                <w:noProof/>
                <w:lang w:eastAsia="en-US"/>
              </w:rPr>
              <w:t xml:space="preserve"> doivent, entre autres, inclure les pièces de rechange nécessaires à la</w:t>
            </w:r>
            <w:r w:rsidRPr="004E4188">
              <w:rPr>
                <w:rFonts w:cs="Calibri"/>
                <w:noProof/>
                <w:color w:val="FF0000"/>
                <w:lang w:eastAsia="en-US"/>
              </w:rPr>
              <w:t xml:space="preserve"> </w:t>
            </w:r>
            <w:r w:rsidRPr="004E4188">
              <w:rPr>
                <w:szCs w:val="24"/>
              </w:rPr>
              <w:t>R</w:t>
            </w:r>
            <w:r w:rsidRPr="004E4188">
              <w:rPr>
                <w:szCs w:val="24"/>
                <w:lang w:eastAsia="en-US"/>
              </w:rPr>
              <w:t>é</w:t>
            </w:r>
            <w:r w:rsidRPr="004E4188">
              <w:rPr>
                <w:szCs w:val="24"/>
              </w:rPr>
              <w:t>c</w:t>
            </w:r>
            <w:r w:rsidRPr="004E4188">
              <w:rPr>
                <w:szCs w:val="24"/>
                <w:lang w:eastAsia="en-US"/>
              </w:rPr>
              <w:t>e</w:t>
            </w:r>
            <w:r w:rsidRPr="004E4188">
              <w:rPr>
                <w:szCs w:val="24"/>
              </w:rPr>
              <w:t>ption op</w:t>
            </w:r>
            <w:r w:rsidRPr="004E4188">
              <w:rPr>
                <w:szCs w:val="24"/>
                <w:lang w:eastAsia="en-US"/>
              </w:rPr>
              <w:t>é</w:t>
            </w:r>
            <w:r w:rsidRPr="004E4188">
              <w:rPr>
                <w:szCs w:val="24"/>
              </w:rPr>
              <w:t>rationnelle</w:t>
            </w:r>
            <w:r w:rsidRPr="004E4188">
              <w:rPr>
                <w:rFonts w:cs="Calibri"/>
                <w:noProof/>
                <w:lang w:eastAsia="en-US"/>
              </w:rPr>
              <w:t xml:space="preserve">. Les pièces de rechange que le Maître d’ouvrage a jugées nécessaires pour l’exploitation et la maintenance des installations doivent être incluses dans le Bordereau intitulé « Pièces de rechange obligatoires », tandis que les pièces de rechange supplémentaires proposées par le Soumissionnaire doivent être incluses dans le Bordereau intitulé « Pièces de rechange recommandées ». </w:t>
            </w:r>
            <w:r w:rsidRPr="004E4188">
              <w:rPr>
                <w:rFonts w:cs="Calibri" w:hint="eastAsia"/>
                <w:noProof/>
                <w:lang w:eastAsia="ja-JP"/>
              </w:rPr>
              <w:t>À</w:t>
            </w:r>
            <w:r w:rsidRPr="004E4188">
              <w:rPr>
                <w:rFonts w:cs="Calibri"/>
                <w:noProof/>
                <w:lang w:eastAsia="ja-JP"/>
              </w:rPr>
              <w:t xml:space="preserve"> cet effet, d</w:t>
            </w:r>
            <w:r w:rsidRPr="004E4188">
              <w:rPr>
                <w:rFonts w:cs="Calibri"/>
                <w:noProof/>
                <w:lang w:eastAsia="en-US"/>
              </w:rPr>
              <w:t>es instructions précises pour le Soumissionnaire devront être incluses dans le préambule des Bordereaux des prix.</w:t>
            </w:r>
          </w:p>
          <w:p w14:paraId="708122F3" w14:textId="77777777" w:rsidR="007049A5" w:rsidRPr="004E4188" w:rsidRDefault="007049A5" w:rsidP="006C6267">
            <w:pPr>
              <w:widowControl w:val="0"/>
              <w:suppressAutoHyphens w:val="0"/>
              <w:overflowPunct/>
              <w:autoSpaceDE/>
              <w:autoSpaceDN/>
              <w:adjustRightInd/>
              <w:textAlignment w:val="auto"/>
              <w:rPr>
                <w:rFonts w:cs="Calibri"/>
                <w:noProof/>
                <w:lang w:eastAsia="en-US"/>
              </w:rPr>
            </w:pPr>
          </w:p>
          <w:p w14:paraId="2526C1EF" w14:textId="77777777" w:rsidR="007049A5" w:rsidRPr="004E4188" w:rsidRDefault="007049A5" w:rsidP="006C6267">
            <w:pPr>
              <w:keepNext/>
              <w:keepLines/>
              <w:widowControl w:val="0"/>
              <w:rPr>
                <w:szCs w:val="24"/>
              </w:rPr>
            </w:pPr>
            <w:r w:rsidRPr="004E4188">
              <w:rPr>
                <w:szCs w:val="24"/>
              </w:rPr>
              <w:t xml:space="preserve">Lorsqu’une série de formules de révision des prix est utilisée, chaque formule de révision des prix devra se rapporter </w:t>
            </w:r>
            <w:r w:rsidRPr="004E4188">
              <w:rPr>
                <w:rFonts w:hint="eastAsia"/>
                <w:szCs w:val="24"/>
                <w:lang w:eastAsia="ja-JP"/>
              </w:rPr>
              <w:t>a</w:t>
            </w:r>
            <w:r w:rsidRPr="004E4188">
              <w:rPr>
                <w:szCs w:val="24"/>
                <w:lang w:eastAsia="ja-JP"/>
              </w:rPr>
              <w:t>ux</w:t>
            </w:r>
            <w:r w:rsidRPr="004E4188">
              <w:rPr>
                <w:szCs w:val="24"/>
              </w:rPr>
              <w:t xml:space="preserve"> Bordereaux des prix correspondants.</w:t>
            </w:r>
          </w:p>
          <w:p w14:paraId="5AEAB8D3" w14:textId="77777777" w:rsidR="007049A5" w:rsidRPr="004E4188" w:rsidRDefault="007049A5" w:rsidP="006C6267">
            <w:pPr>
              <w:widowControl w:val="0"/>
              <w:suppressAutoHyphens w:val="0"/>
              <w:overflowPunct/>
              <w:autoSpaceDE/>
              <w:autoSpaceDN/>
              <w:adjustRightInd/>
              <w:textAlignment w:val="auto"/>
              <w:rPr>
                <w:rFonts w:cs="Calibri"/>
                <w:noProof/>
                <w:lang w:eastAsia="en-US"/>
              </w:rPr>
            </w:pPr>
          </w:p>
          <w:p w14:paraId="79C17008" w14:textId="5B541AB3" w:rsidR="007049A5" w:rsidRPr="004E4188" w:rsidRDefault="007049A5" w:rsidP="006C6267">
            <w:pPr>
              <w:keepNext/>
              <w:keepLines/>
              <w:widowControl w:val="0"/>
              <w:overflowPunct/>
              <w:autoSpaceDE/>
              <w:autoSpaceDN/>
              <w:adjustRightInd/>
              <w:textAlignment w:val="auto"/>
              <w:rPr>
                <w:noProof/>
                <w:lang w:eastAsia="ja-JP"/>
              </w:rPr>
            </w:pPr>
            <w:r w:rsidRPr="004E4188">
              <w:rPr>
                <w:noProof/>
                <w:lang w:eastAsia="ja-JP"/>
              </w:rPr>
              <w:t xml:space="preserve">De plus, conformément à IS 14.3 (dans le cas d’un appel d’offres à une étape-deux enveloppes) ou IS 30.3 (dans le cas d’un appel d’offres à deux étapes-une enveloppe), le Soumissionnaire est tenu de fournir une décomposition des prix en respectant la forme et la présentation figurant dans les Bordereaux des prix. </w:t>
            </w:r>
            <w:r w:rsidR="0072430E" w:rsidRPr="004E4188">
              <w:t>À</w:t>
            </w:r>
            <w:r w:rsidR="0072430E" w:rsidRPr="004E4188">
              <w:rPr>
                <w:noProof/>
                <w:lang w:eastAsia="ja-JP"/>
              </w:rPr>
              <w:t xml:space="preserve"> </w:t>
            </w:r>
            <w:r w:rsidRPr="004E4188">
              <w:rPr>
                <w:noProof/>
                <w:lang w:eastAsia="ja-JP"/>
              </w:rPr>
              <w:t>ce titre, le Maître d’ouvrage devra inclure des instructions claires et précises dans les préambules des Bordereaux des prix afin que la décomposition des prix proposée soit détaillée.</w:t>
            </w:r>
          </w:p>
          <w:p w14:paraId="0CF3ED01" w14:textId="0C5D6C2B" w:rsidR="007049A5" w:rsidRPr="004E4188" w:rsidRDefault="007049A5" w:rsidP="006C6267">
            <w:pPr>
              <w:keepNext/>
              <w:keepLines/>
              <w:widowControl w:val="0"/>
              <w:overflowPunct/>
              <w:autoSpaceDE/>
              <w:autoSpaceDN/>
              <w:adjustRightInd/>
              <w:textAlignment w:val="auto"/>
              <w:rPr>
                <w:noProof/>
                <w:lang w:eastAsia="ja-JP"/>
              </w:rPr>
            </w:pPr>
          </w:p>
          <w:p w14:paraId="04D7E9DA" w14:textId="77777777" w:rsidR="007049A5" w:rsidRPr="004E4188" w:rsidRDefault="007049A5" w:rsidP="006C6267">
            <w:pPr>
              <w:widowControl w:val="0"/>
              <w:overflowPunct/>
              <w:autoSpaceDE/>
              <w:autoSpaceDN/>
              <w:adjustRightInd/>
              <w:spacing w:after="120"/>
              <w:textAlignment w:val="auto"/>
              <w:rPr>
                <w:b/>
                <w:noProof/>
                <w:lang w:eastAsia="en-US"/>
              </w:rPr>
            </w:pPr>
            <w:r w:rsidRPr="004E4188">
              <w:rPr>
                <w:b/>
                <w:szCs w:val="24"/>
                <w:lang w:eastAsia="en-US"/>
              </w:rPr>
              <w:t>Description des postes</w:t>
            </w:r>
          </w:p>
          <w:p w14:paraId="6A33034B" w14:textId="0FC27073" w:rsidR="007049A5" w:rsidRPr="004E4188" w:rsidRDefault="007049A5" w:rsidP="006C6267">
            <w:pPr>
              <w:widowControl w:val="0"/>
              <w:overflowPunct/>
              <w:autoSpaceDE/>
              <w:autoSpaceDN/>
              <w:adjustRightInd/>
              <w:textAlignment w:val="auto"/>
              <w:rPr>
                <w:rFonts w:cs="Calibri"/>
                <w:noProof/>
                <w:lang w:eastAsia="en-US"/>
              </w:rPr>
            </w:pPr>
            <w:r w:rsidRPr="004E4188">
              <w:rPr>
                <w:rFonts w:cs="Calibri" w:hint="eastAsia"/>
                <w:noProof/>
                <w:lang w:eastAsia="ja-JP"/>
              </w:rPr>
              <w:t>L</w:t>
            </w:r>
            <w:r w:rsidRPr="004E4188">
              <w:rPr>
                <w:rFonts w:cs="Calibri"/>
                <w:noProof/>
                <w:lang w:eastAsia="ja-JP"/>
              </w:rPr>
              <w:t>e Marché est généralement exécuté sur la base d’un paiement forfaitaire et les bordereaux ne donnent pas nécessairement une description complète des équipements et services de montage à réaliser.</w:t>
            </w:r>
            <w:r w:rsidRPr="004E4188">
              <w:rPr>
                <w:rFonts w:cs="Calibri"/>
                <w:noProof/>
                <w:lang w:eastAsia="en-US"/>
              </w:rPr>
              <w:t xml:space="preserve"> Chaque description des postes doit mentionner les travaux couverts par le poste respectif, mais la nature exacte et l’étendue des équipements et services de montage doivent être déterminées à partir des Exigences du Maître d’ouvrage (y compris </w:t>
            </w:r>
            <w:r w:rsidR="00673434" w:rsidRPr="004E4188">
              <w:rPr>
                <w:rFonts w:cs="Calibri"/>
                <w:noProof/>
                <w:lang w:eastAsia="en-US"/>
              </w:rPr>
              <w:t xml:space="preserve">les </w:t>
            </w:r>
            <w:r w:rsidRPr="004E4188">
              <w:rPr>
                <w:rFonts w:cs="Calibri"/>
                <w:noProof/>
                <w:lang w:eastAsia="en-US"/>
              </w:rPr>
              <w:t xml:space="preserve">plans et spécifications) et des Conditions du Marché, le cas </w:t>
            </w:r>
            <w:r w:rsidRPr="004E4188">
              <w:rPr>
                <w:rFonts w:cs="Calibri" w:hint="eastAsia"/>
                <w:noProof/>
                <w:lang w:eastAsia="en-US"/>
              </w:rPr>
              <w:t>é</w:t>
            </w:r>
            <w:r w:rsidRPr="004E4188">
              <w:rPr>
                <w:rFonts w:cs="Calibri"/>
                <w:noProof/>
                <w:lang w:eastAsia="en-US"/>
              </w:rPr>
              <w:t>chéant.</w:t>
            </w:r>
          </w:p>
          <w:p w14:paraId="42124FCE" w14:textId="77777777" w:rsidR="007049A5" w:rsidRPr="004E4188" w:rsidRDefault="007049A5" w:rsidP="006C6267">
            <w:pPr>
              <w:widowControl w:val="0"/>
              <w:overflowPunct/>
              <w:autoSpaceDE/>
              <w:autoSpaceDN/>
              <w:adjustRightInd/>
              <w:textAlignment w:val="auto"/>
              <w:rPr>
                <w:rFonts w:cs="Calibri"/>
                <w:noProof/>
                <w:lang w:eastAsia="en-US"/>
              </w:rPr>
            </w:pPr>
          </w:p>
          <w:p w14:paraId="538C5977" w14:textId="77777777" w:rsidR="007049A5" w:rsidRPr="004E4188" w:rsidRDefault="007049A5" w:rsidP="006C6267">
            <w:pPr>
              <w:widowControl w:val="0"/>
              <w:overflowPunct/>
              <w:autoSpaceDE/>
              <w:autoSpaceDN/>
              <w:adjustRightInd/>
              <w:textAlignment w:val="auto"/>
              <w:rPr>
                <w:rFonts w:cs="Calibri"/>
                <w:noProof/>
                <w:lang w:eastAsia="en-US"/>
              </w:rPr>
            </w:pPr>
            <w:r w:rsidRPr="004E4188">
              <w:rPr>
                <w:rFonts w:cs="Calibri"/>
                <w:noProof/>
                <w:lang w:eastAsia="en-US"/>
              </w:rPr>
              <w:t>Le rédacteur doit s’assurer que les détails fournis dans les descriptions des postes sont cohérents avec les informations données, lorsqu’il y a lieu, aux préambules des Bordereaux des prix, aux Exigences du Maître d’ouvrage et aux Conditions du Marché.</w:t>
            </w:r>
          </w:p>
          <w:p w14:paraId="4A511CF2" w14:textId="77777777" w:rsidR="007049A5" w:rsidRPr="004E4188" w:rsidRDefault="007049A5" w:rsidP="006C6267">
            <w:pPr>
              <w:widowControl w:val="0"/>
              <w:overflowPunct/>
              <w:autoSpaceDE/>
              <w:autoSpaceDN/>
              <w:adjustRightInd/>
              <w:textAlignment w:val="auto"/>
              <w:rPr>
                <w:rFonts w:cs="Calibri"/>
                <w:noProof/>
                <w:lang w:eastAsia="en-US"/>
              </w:rPr>
            </w:pPr>
          </w:p>
          <w:p w14:paraId="24D04D47" w14:textId="77777777" w:rsidR="007049A5" w:rsidRPr="004E4188" w:rsidRDefault="007049A5" w:rsidP="006C6267">
            <w:pPr>
              <w:widowControl w:val="0"/>
              <w:spacing w:after="60"/>
              <w:rPr>
                <w:b/>
                <w:szCs w:val="24"/>
                <w:lang w:eastAsia="ja-JP"/>
              </w:rPr>
            </w:pPr>
            <w:r w:rsidRPr="004E4188">
              <w:rPr>
                <w:rFonts w:hint="eastAsia"/>
                <w:b/>
                <w:szCs w:val="24"/>
                <w:lang w:eastAsia="ja-JP"/>
              </w:rPr>
              <w:t>S</w:t>
            </w:r>
            <w:r w:rsidRPr="004E4188">
              <w:rPr>
                <w:b/>
                <w:szCs w:val="24"/>
                <w:lang w:eastAsia="ja-JP"/>
              </w:rPr>
              <w:t>ommes provisionnelles</w:t>
            </w:r>
          </w:p>
          <w:p w14:paraId="66315CB4" w14:textId="77777777" w:rsidR="007049A5" w:rsidRPr="004E4188" w:rsidRDefault="007049A5" w:rsidP="006C6267">
            <w:pPr>
              <w:widowControl w:val="0"/>
              <w:rPr>
                <w:b/>
                <w:szCs w:val="24"/>
              </w:rPr>
            </w:pPr>
            <w:r w:rsidRPr="004E4188">
              <w:rPr>
                <w:b/>
                <w:szCs w:val="24"/>
              </w:rPr>
              <w:t>Sommes provisionnelles de nature spécifique</w:t>
            </w:r>
          </w:p>
          <w:p w14:paraId="6434B69B" w14:textId="768B1377" w:rsidR="007049A5" w:rsidRPr="004E4188" w:rsidRDefault="007049A5" w:rsidP="00B02374">
            <w:pPr>
              <w:widowControl w:val="0"/>
              <w:rPr>
                <w:szCs w:val="24"/>
              </w:rPr>
            </w:pPr>
            <w:r w:rsidRPr="004E4188">
              <w:rPr>
                <w:szCs w:val="24"/>
              </w:rPr>
              <w:t>Le coût estimé</w:t>
            </w:r>
            <w:r w:rsidR="00A321F3" w:rsidRPr="004E4188">
              <w:rPr>
                <w:szCs w:val="24"/>
              </w:rPr>
              <w:t xml:space="preserve"> </w:t>
            </w:r>
            <w:r w:rsidRPr="004E4188">
              <w:rPr>
                <w:szCs w:val="24"/>
              </w:rPr>
              <w:t>de travaux ou de services qui sont reconnus comme étant nécessaires et dont la portée peut être définie mais qui ne peuvent être conçus entièrement ou spécifiés en détail,</w:t>
            </w:r>
            <w:r w:rsidR="00D36F84" w:rsidRPr="004E4188">
              <w:rPr>
                <w:szCs w:val="24"/>
              </w:rPr>
              <w:t xml:space="preserve"> </w:t>
            </w:r>
            <w:r w:rsidRPr="004E4188">
              <w:rPr>
                <w:szCs w:val="24"/>
              </w:rPr>
              <w:t xml:space="preserve">devra être indiqué dans les tableaux correspondant des Bordereaux des prix (c.-à-d. du Bordereau des sommes provisionnelles de nature spécifique) en tant que somme provisionnelle de nature spécifique avec une brève description. Il sera </w:t>
            </w:r>
            <w:r w:rsidRPr="004E4188">
              <w:rPr>
                <w:noProof/>
              </w:rPr>
              <w:t>fait référence</w:t>
            </w:r>
            <w:r w:rsidRPr="004E4188">
              <w:rPr>
                <w:szCs w:val="24"/>
              </w:rPr>
              <w:t xml:space="preserve"> </w:t>
            </w:r>
            <w:r w:rsidRPr="004E4188">
              <w:rPr>
                <w:rFonts w:hint="eastAsia"/>
                <w:szCs w:val="24"/>
              </w:rPr>
              <w:t>à</w:t>
            </w:r>
            <w:r w:rsidRPr="004E4188">
              <w:rPr>
                <w:szCs w:val="24"/>
              </w:rPr>
              <w:t xml:space="preserve"> l’Article 39.4 des </w:t>
            </w:r>
            <w:r w:rsidRPr="004E4188">
              <w:rPr>
                <w:rFonts w:cs="Calibri"/>
                <w:noProof/>
                <w:lang w:eastAsia="en-US"/>
              </w:rPr>
              <w:t>Conditions du Marché, le cas échéant.</w:t>
            </w:r>
          </w:p>
          <w:p w14:paraId="554E4148" w14:textId="77777777" w:rsidR="007049A5" w:rsidRPr="004E4188" w:rsidRDefault="007049A5" w:rsidP="006C6267">
            <w:pPr>
              <w:widowControl w:val="0"/>
              <w:rPr>
                <w:szCs w:val="24"/>
              </w:rPr>
            </w:pPr>
          </w:p>
          <w:p w14:paraId="362B535B" w14:textId="77777777" w:rsidR="007049A5" w:rsidRPr="004E4188" w:rsidRDefault="007049A5" w:rsidP="006C6267">
            <w:pPr>
              <w:widowControl w:val="0"/>
              <w:spacing w:after="120"/>
              <w:rPr>
                <w:b/>
                <w:szCs w:val="24"/>
                <w:u w:val="single"/>
              </w:rPr>
            </w:pPr>
            <w:r w:rsidRPr="004E4188">
              <w:rPr>
                <w:b/>
                <w:szCs w:val="24"/>
              </w:rPr>
              <w:t>Sommes provisionnelles pour le coût du Comité de Règlement des Différends</w:t>
            </w:r>
          </w:p>
          <w:p w14:paraId="372988A0" w14:textId="57CFDDAE" w:rsidR="007049A5" w:rsidRPr="004E4188" w:rsidRDefault="007049A5" w:rsidP="006C6267">
            <w:pPr>
              <w:widowControl w:val="0"/>
              <w:rPr>
                <w:szCs w:val="24"/>
              </w:rPr>
            </w:pPr>
            <w:r w:rsidRPr="004E4188">
              <w:rPr>
                <w:szCs w:val="24"/>
              </w:rPr>
              <w:t xml:space="preserve">Les sommes provisionnelles pour le coût du Comité de Règlement des Différends sont des sommes provisionnelles de nature spécifique qui entrent dans la catégorie </w:t>
            </w:r>
            <w:r w:rsidR="002A1A71" w:rsidRPr="004E4188">
              <w:rPr>
                <w:szCs w:val="24"/>
              </w:rPr>
              <w:t>du coût estimé décrit</w:t>
            </w:r>
            <w:r w:rsidRPr="004E4188">
              <w:rPr>
                <w:szCs w:val="24"/>
              </w:rPr>
              <w:t xml:space="preserve"> ci-dessus. Ces sommes provisionnelles doivent être déterminées pour couvrir une partie du coût du Comité de Règlement des Différends qui se compose uniquement des Coûts réguliers et de la part du Maître d’ouvrage (la moitié) des Coûts non</w:t>
            </w:r>
            <w:r w:rsidRPr="004E4188">
              <w:rPr>
                <w:rFonts w:hint="eastAsia"/>
                <w:szCs w:val="24"/>
                <w:lang w:eastAsia="ja-JP"/>
              </w:rPr>
              <w:t xml:space="preserve"> </w:t>
            </w:r>
            <w:r w:rsidRPr="004E4188">
              <w:rPr>
                <w:szCs w:val="24"/>
              </w:rPr>
              <w:t>réguliers, comme indiqué à l’Article 39.4 des Dispositions spécifiques, Partie B des Conditions Particulières.</w:t>
            </w:r>
          </w:p>
          <w:p w14:paraId="4F6B2F4D" w14:textId="77777777" w:rsidR="007049A5" w:rsidRPr="004E4188" w:rsidRDefault="007049A5" w:rsidP="006C6267">
            <w:pPr>
              <w:widowControl w:val="0"/>
              <w:rPr>
                <w:szCs w:val="24"/>
              </w:rPr>
            </w:pPr>
          </w:p>
          <w:p w14:paraId="5E027A42" w14:textId="77777777" w:rsidR="007049A5" w:rsidRPr="004E4188" w:rsidRDefault="007049A5" w:rsidP="006C6267">
            <w:pPr>
              <w:widowControl w:val="0"/>
              <w:spacing w:afterLines="100" w:after="240"/>
              <w:rPr>
                <w:szCs w:val="24"/>
              </w:rPr>
            </w:pPr>
            <w:r w:rsidRPr="004E4188">
              <w:rPr>
                <w:szCs w:val="24"/>
              </w:rPr>
              <w:t>Le Maître d’ouvrage doit indiquer dans le Bordereau des sommes provisionnelles de nature spécifique, un montant équivalent à l’estimation du Maître d’ouvrage de la partie du coût du Comité de Règlement des Différends, qui est couvert par les sommes provisionnelles. Contrairement aux autres sommes provisionnelles de nature spécifique, les bénéfices, frais généraux, etc. de l’Entrepreneur ne doivent pas être inclus dans les sommes provisionnelles pour le coût du Comité de Règlement des Différends. Lors de la préparation de l’estimation du Maître d’ouvrage ci-dessus, il convient de se référer au tableau ci-dessous qui indique la répartition des différents frais et dépenses du Comité de Règlement des Différends entre les Coûts réguliers et les Coûts non réguliers.</w:t>
            </w:r>
          </w:p>
          <w:tbl>
            <w:tblPr>
              <w:tblW w:w="7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396"/>
              <w:gridCol w:w="1134"/>
              <w:gridCol w:w="1134"/>
              <w:gridCol w:w="2268"/>
            </w:tblGrid>
            <w:tr w:rsidR="007049A5" w:rsidRPr="004E4188" w14:paraId="5E3276FD" w14:textId="77777777" w:rsidTr="006C6267">
              <w:tc>
                <w:tcPr>
                  <w:tcW w:w="3133" w:type="dxa"/>
                  <w:gridSpan w:val="2"/>
                  <w:tcBorders>
                    <w:top w:val="single" w:sz="4" w:space="0" w:color="auto"/>
                    <w:left w:val="single" w:sz="4" w:space="0" w:color="auto"/>
                  </w:tcBorders>
                  <w:shd w:val="clear" w:color="auto" w:fill="auto"/>
                </w:tcPr>
                <w:p w14:paraId="2019154A" w14:textId="77777777" w:rsidR="007049A5" w:rsidRPr="004E4188" w:rsidRDefault="007049A5" w:rsidP="006C6267">
                  <w:pPr>
                    <w:widowControl w:val="0"/>
                    <w:suppressAutoHyphens w:val="0"/>
                    <w:overflowPunct/>
                    <w:autoSpaceDE/>
                    <w:autoSpaceDN/>
                    <w:adjustRightInd/>
                    <w:spacing w:before="60" w:after="60"/>
                    <w:jc w:val="center"/>
                    <w:textAlignment w:val="auto"/>
                    <w:rPr>
                      <w:szCs w:val="24"/>
                      <w:lang w:val="en-GB" w:eastAsia="en-US"/>
                    </w:rPr>
                  </w:pPr>
                  <w:r w:rsidRPr="004E4188">
                    <w:rPr>
                      <w:szCs w:val="24"/>
                      <w:lang w:val="en-GB" w:eastAsia="en-US"/>
                    </w:rPr>
                    <w:t>Frais et dépenses</w:t>
                  </w:r>
                </w:p>
              </w:tc>
              <w:tc>
                <w:tcPr>
                  <w:tcW w:w="4536" w:type="dxa"/>
                  <w:gridSpan w:val="3"/>
                  <w:tcBorders>
                    <w:top w:val="single" w:sz="4" w:space="0" w:color="auto"/>
                    <w:right w:val="single" w:sz="4" w:space="0" w:color="auto"/>
                  </w:tcBorders>
                  <w:shd w:val="clear" w:color="auto" w:fill="auto"/>
                </w:tcPr>
                <w:p w14:paraId="7D526D27" w14:textId="77777777" w:rsidR="007049A5" w:rsidRPr="004E4188" w:rsidRDefault="007049A5" w:rsidP="006C6267">
                  <w:pPr>
                    <w:widowControl w:val="0"/>
                    <w:suppressAutoHyphens w:val="0"/>
                    <w:overflowPunct/>
                    <w:autoSpaceDE/>
                    <w:autoSpaceDN/>
                    <w:adjustRightInd/>
                    <w:spacing w:before="60" w:after="60"/>
                    <w:jc w:val="center"/>
                    <w:textAlignment w:val="auto"/>
                    <w:rPr>
                      <w:szCs w:val="24"/>
                      <w:lang w:eastAsia="en-US"/>
                    </w:rPr>
                  </w:pPr>
                  <w:r w:rsidRPr="004E4188">
                    <w:rPr>
                      <w:szCs w:val="24"/>
                      <w:lang w:eastAsia="en-US"/>
                    </w:rPr>
                    <w:t>Coût du Comité de Règlement des Différends</w:t>
                  </w:r>
                </w:p>
              </w:tc>
            </w:tr>
            <w:tr w:rsidR="007049A5" w:rsidRPr="004E4188" w14:paraId="0E19F6AE" w14:textId="77777777" w:rsidTr="006C6267">
              <w:tc>
                <w:tcPr>
                  <w:tcW w:w="737" w:type="dxa"/>
                  <w:tcBorders>
                    <w:left w:val="single" w:sz="4" w:space="0" w:color="auto"/>
                    <w:bottom w:val="double" w:sz="4" w:space="0" w:color="auto"/>
                  </w:tcBorders>
                  <w:shd w:val="clear" w:color="auto" w:fill="auto"/>
                  <w:vAlign w:val="center"/>
                </w:tcPr>
                <w:p w14:paraId="510BB1A2" w14:textId="77777777" w:rsidR="007049A5" w:rsidRPr="004E4188" w:rsidRDefault="007049A5" w:rsidP="006C6267">
                  <w:pPr>
                    <w:widowControl w:val="0"/>
                    <w:suppressAutoHyphens w:val="0"/>
                    <w:overflowPunct/>
                    <w:autoSpaceDE/>
                    <w:autoSpaceDN/>
                    <w:adjustRightInd/>
                    <w:spacing w:before="60" w:after="60"/>
                    <w:jc w:val="center"/>
                    <w:textAlignment w:val="auto"/>
                    <w:rPr>
                      <w:szCs w:val="24"/>
                      <w:lang w:val="en-GB" w:eastAsia="en-US"/>
                    </w:rPr>
                  </w:pPr>
                  <w:r w:rsidRPr="004E4188">
                    <w:rPr>
                      <w:szCs w:val="24"/>
                      <w:lang w:val="en-GB" w:eastAsia="en-US"/>
                    </w:rPr>
                    <w:t>n</w:t>
                  </w:r>
                  <w:r w:rsidRPr="004E4188">
                    <w:rPr>
                      <w:szCs w:val="24"/>
                      <w:vertAlign w:val="superscript"/>
                      <w:lang w:val="en-GB" w:eastAsia="en-US"/>
                    </w:rPr>
                    <w:t>o</w:t>
                  </w:r>
                </w:p>
              </w:tc>
              <w:tc>
                <w:tcPr>
                  <w:tcW w:w="2396" w:type="dxa"/>
                  <w:tcBorders>
                    <w:bottom w:val="double" w:sz="4" w:space="0" w:color="auto"/>
                  </w:tcBorders>
                  <w:shd w:val="clear" w:color="auto" w:fill="auto"/>
                  <w:vAlign w:val="center"/>
                </w:tcPr>
                <w:p w14:paraId="48AA7901" w14:textId="77777777" w:rsidR="007049A5" w:rsidRPr="004E4188" w:rsidRDefault="007049A5" w:rsidP="006C6267">
                  <w:pPr>
                    <w:widowControl w:val="0"/>
                    <w:suppressAutoHyphens w:val="0"/>
                    <w:overflowPunct/>
                    <w:autoSpaceDE/>
                    <w:autoSpaceDN/>
                    <w:adjustRightInd/>
                    <w:spacing w:before="60" w:after="60"/>
                    <w:jc w:val="center"/>
                    <w:textAlignment w:val="auto"/>
                    <w:rPr>
                      <w:szCs w:val="24"/>
                      <w:lang w:val="en-GB" w:eastAsia="en-US"/>
                    </w:rPr>
                  </w:pPr>
                  <w:r w:rsidRPr="004E4188">
                    <w:rPr>
                      <w:szCs w:val="24"/>
                      <w:lang w:val="en-GB" w:eastAsia="en-US"/>
                    </w:rPr>
                    <w:t>Description</w:t>
                  </w:r>
                </w:p>
              </w:tc>
              <w:tc>
                <w:tcPr>
                  <w:tcW w:w="2268" w:type="dxa"/>
                  <w:gridSpan w:val="2"/>
                  <w:tcBorders>
                    <w:bottom w:val="double" w:sz="4" w:space="0" w:color="auto"/>
                  </w:tcBorders>
                  <w:shd w:val="clear" w:color="auto" w:fill="auto"/>
                  <w:vAlign w:val="center"/>
                </w:tcPr>
                <w:p w14:paraId="4EF0FD72" w14:textId="77777777" w:rsidR="007049A5" w:rsidRPr="004E4188" w:rsidRDefault="007049A5" w:rsidP="006C6267">
                  <w:pPr>
                    <w:widowControl w:val="0"/>
                    <w:suppressAutoHyphens w:val="0"/>
                    <w:overflowPunct/>
                    <w:autoSpaceDE/>
                    <w:autoSpaceDN/>
                    <w:adjustRightInd/>
                    <w:spacing w:before="60" w:after="60"/>
                    <w:jc w:val="center"/>
                    <w:textAlignment w:val="auto"/>
                    <w:rPr>
                      <w:szCs w:val="24"/>
                      <w:lang w:val="en-GB" w:eastAsia="en-US"/>
                    </w:rPr>
                  </w:pPr>
                  <w:r w:rsidRPr="004E4188">
                    <w:rPr>
                      <w:szCs w:val="24"/>
                      <w:lang w:val="en-GB" w:eastAsia="en-US"/>
                    </w:rPr>
                    <w:t>Coûts réguliers</w:t>
                  </w:r>
                </w:p>
              </w:tc>
              <w:tc>
                <w:tcPr>
                  <w:tcW w:w="2268" w:type="dxa"/>
                  <w:tcBorders>
                    <w:bottom w:val="double" w:sz="4" w:space="0" w:color="auto"/>
                    <w:right w:val="single" w:sz="4" w:space="0" w:color="auto"/>
                  </w:tcBorders>
                  <w:shd w:val="clear" w:color="auto" w:fill="auto"/>
                  <w:vAlign w:val="center"/>
                </w:tcPr>
                <w:p w14:paraId="0E37CF57" w14:textId="77777777" w:rsidR="007049A5" w:rsidRPr="004E4188" w:rsidRDefault="007049A5" w:rsidP="006C6267">
                  <w:pPr>
                    <w:widowControl w:val="0"/>
                    <w:suppressAutoHyphens w:val="0"/>
                    <w:overflowPunct/>
                    <w:autoSpaceDE/>
                    <w:autoSpaceDN/>
                    <w:adjustRightInd/>
                    <w:spacing w:before="60" w:after="60"/>
                    <w:jc w:val="center"/>
                    <w:textAlignment w:val="auto"/>
                    <w:rPr>
                      <w:szCs w:val="24"/>
                      <w:lang w:val="en-GB" w:eastAsia="en-US"/>
                    </w:rPr>
                  </w:pPr>
                  <w:r w:rsidRPr="004E4188">
                    <w:rPr>
                      <w:szCs w:val="24"/>
                      <w:lang w:val="en-GB" w:eastAsia="en-US"/>
                    </w:rPr>
                    <w:t>Coûts non réguliers</w:t>
                  </w:r>
                </w:p>
              </w:tc>
            </w:tr>
            <w:tr w:rsidR="007049A5" w:rsidRPr="004E4188" w14:paraId="5E1BA436" w14:textId="77777777" w:rsidTr="006C6267">
              <w:tc>
                <w:tcPr>
                  <w:tcW w:w="737" w:type="dxa"/>
                  <w:tcBorders>
                    <w:top w:val="double" w:sz="4" w:space="0" w:color="auto"/>
                    <w:left w:val="single" w:sz="4" w:space="0" w:color="auto"/>
                  </w:tcBorders>
                  <w:shd w:val="clear" w:color="auto" w:fill="auto"/>
                </w:tcPr>
                <w:p w14:paraId="15191BEC" w14:textId="77777777" w:rsidR="007049A5" w:rsidRPr="004E4188" w:rsidRDefault="007049A5" w:rsidP="006C6267">
                  <w:pPr>
                    <w:widowControl w:val="0"/>
                    <w:suppressAutoHyphens w:val="0"/>
                    <w:overflowPunct/>
                    <w:autoSpaceDE/>
                    <w:autoSpaceDN/>
                    <w:adjustRightInd/>
                    <w:spacing w:before="60" w:after="60"/>
                    <w:jc w:val="left"/>
                    <w:textAlignment w:val="auto"/>
                    <w:rPr>
                      <w:szCs w:val="24"/>
                      <w:lang w:val="en-GB" w:eastAsia="en-US"/>
                    </w:rPr>
                  </w:pPr>
                  <w:r w:rsidRPr="004E4188">
                    <w:rPr>
                      <w:szCs w:val="24"/>
                      <w:lang w:val="en-GB" w:eastAsia="en-US"/>
                    </w:rPr>
                    <w:t>1.</w:t>
                  </w:r>
                </w:p>
              </w:tc>
              <w:tc>
                <w:tcPr>
                  <w:tcW w:w="2396" w:type="dxa"/>
                  <w:tcBorders>
                    <w:top w:val="double" w:sz="4" w:space="0" w:color="auto"/>
                  </w:tcBorders>
                  <w:shd w:val="clear" w:color="auto" w:fill="auto"/>
                </w:tcPr>
                <w:p w14:paraId="7F50F4BD" w14:textId="77777777" w:rsidR="007049A5" w:rsidRPr="004E4188" w:rsidRDefault="007049A5" w:rsidP="006C6267">
                  <w:pPr>
                    <w:widowControl w:val="0"/>
                    <w:suppressAutoHyphens w:val="0"/>
                    <w:overflowPunct/>
                    <w:autoSpaceDE/>
                    <w:autoSpaceDN/>
                    <w:adjustRightInd/>
                    <w:spacing w:before="60" w:after="60"/>
                    <w:jc w:val="left"/>
                    <w:textAlignment w:val="auto"/>
                    <w:rPr>
                      <w:szCs w:val="24"/>
                      <w:lang w:val="en-GB" w:eastAsia="en-US"/>
                    </w:rPr>
                  </w:pPr>
                  <w:r w:rsidRPr="004E4188">
                    <w:rPr>
                      <w:szCs w:val="24"/>
                      <w:lang w:val="en-GB" w:eastAsia="en-US"/>
                    </w:rPr>
                    <w:t>Honoraires</w:t>
                  </w:r>
                </w:p>
              </w:tc>
              <w:tc>
                <w:tcPr>
                  <w:tcW w:w="2268" w:type="dxa"/>
                  <w:gridSpan w:val="2"/>
                  <w:tcBorders>
                    <w:top w:val="double" w:sz="4" w:space="0" w:color="auto"/>
                  </w:tcBorders>
                  <w:shd w:val="clear" w:color="auto" w:fill="auto"/>
                </w:tcPr>
                <w:p w14:paraId="5FC9E5DA" w14:textId="77777777" w:rsidR="007049A5" w:rsidRPr="004E4188" w:rsidRDefault="007049A5" w:rsidP="006C6267">
                  <w:pPr>
                    <w:widowControl w:val="0"/>
                    <w:suppressAutoHyphens w:val="0"/>
                    <w:overflowPunct/>
                    <w:autoSpaceDE/>
                    <w:autoSpaceDN/>
                    <w:adjustRightInd/>
                    <w:spacing w:before="60" w:after="60"/>
                    <w:jc w:val="left"/>
                    <w:textAlignment w:val="auto"/>
                    <w:rPr>
                      <w:i/>
                      <w:szCs w:val="24"/>
                      <w:lang w:val="en-GB" w:eastAsia="en-US"/>
                    </w:rPr>
                  </w:pPr>
                  <w:r w:rsidRPr="004E4188">
                    <w:rPr>
                      <w:i/>
                      <w:szCs w:val="24"/>
                      <w:lang w:val="en-GB" w:eastAsia="en-US"/>
                    </w:rPr>
                    <w:t>Tous les honoraires.</w:t>
                  </w:r>
                </w:p>
              </w:tc>
              <w:tc>
                <w:tcPr>
                  <w:tcW w:w="2268" w:type="dxa"/>
                  <w:tcBorders>
                    <w:top w:val="double" w:sz="4" w:space="0" w:color="auto"/>
                    <w:right w:val="single" w:sz="4" w:space="0" w:color="auto"/>
                  </w:tcBorders>
                  <w:shd w:val="clear" w:color="auto" w:fill="auto"/>
                </w:tcPr>
                <w:p w14:paraId="5F83CB50" w14:textId="77777777" w:rsidR="007049A5" w:rsidRPr="004E4188" w:rsidRDefault="007049A5" w:rsidP="006C6267">
                  <w:pPr>
                    <w:widowControl w:val="0"/>
                    <w:suppressAutoHyphens w:val="0"/>
                    <w:overflowPunct/>
                    <w:autoSpaceDE/>
                    <w:autoSpaceDN/>
                    <w:adjustRightInd/>
                    <w:spacing w:before="60" w:after="60"/>
                    <w:jc w:val="left"/>
                    <w:textAlignment w:val="auto"/>
                    <w:rPr>
                      <w:i/>
                      <w:szCs w:val="24"/>
                      <w:lang w:val="en-GB" w:eastAsia="en-US"/>
                    </w:rPr>
                  </w:pPr>
                  <w:r w:rsidRPr="004E4188">
                    <w:rPr>
                      <w:i/>
                      <w:szCs w:val="24"/>
                      <w:lang w:val="en-GB" w:eastAsia="en-US"/>
                    </w:rPr>
                    <w:t>Aucun honoraire.</w:t>
                  </w:r>
                </w:p>
              </w:tc>
            </w:tr>
            <w:tr w:rsidR="007049A5" w:rsidRPr="004E4188" w14:paraId="4D494AFD" w14:textId="77777777" w:rsidTr="006C6267">
              <w:tc>
                <w:tcPr>
                  <w:tcW w:w="737" w:type="dxa"/>
                  <w:tcBorders>
                    <w:left w:val="single" w:sz="4" w:space="0" w:color="auto"/>
                    <w:bottom w:val="single" w:sz="4" w:space="0" w:color="auto"/>
                  </w:tcBorders>
                  <w:shd w:val="clear" w:color="auto" w:fill="auto"/>
                </w:tcPr>
                <w:p w14:paraId="657797E3" w14:textId="77777777" w:rsidR="007049A5" w:rsidRPr="004E4188" w:rsidRDefault="007049A5" w:rsidP="006C6267">
                  <w:pPr>
                    <w:widowControl w:val="0"/>
                    <w:suppressAutoHyphens w:val="0"/>
                    <w:overflowPunct/>
                    <w:autoSpaceDE/>
                    <w:autoSpaceDN/>
                    <w:adjustRightInd/>
                    <w:spacing w:before="60" w:after="60"/>
                    <w:jc w:val="left"/>
                    <w:textAlignment w:val="auto"/>
                    <w:rPr>
                      <w:szCs w:val="24"/>
                      <w:lang w:val="en-GB" w:eastAsia="en-US"/>
                    </w:rPr>
                  </w:pPr>
                  <w:r w:rsidRPr="004E4188">
                    <w:rPr>
                      <w:szCs w:val="24"/>
                      <w:lang w:val="en-GB" w:eastAsia="en-US"/>
                    </w:rPr>
                    <w:t>2.</w:t>
                  </w:r>
                </w:p>
              </w:tc>
              <w:tc>
                <w:tcPr>
                  <w:tcW w:w="2396" w:type="dxa"/>
                  <w:tcBorders>
                    <w:bottom w:val="single" w:sz="4" w:space="0" w:color="auto"/>
                  </w:tcBorders>
                  <w:shd w:val="clear" w:color="auto" w:fill="auto"/>
                </w:tcPr>
                <w:p w14:paraId="380ACB5D" w14:textId="77777777" w:rsidR="007049A5" w:rsidRPr="004E4188" w:rsidRDefault="007049A5" w:rsidP="006C6267">
                  <w:pPr>
                    <w:widowControl w:val="0"/>
                    <w:suppressAutoHyphens w:val="0"/>
                    <w:overflowPunct/>
                    <w:autoSpaceDE/>
                    <w:autoSpaceDN/>
                    <w:adjustRightInd/>
                    <w:spacing w:before="60" w:after="60"/>
                    <w:jc w:val="left"/>
                    <w:textAlignment w:val="auto"/>
                    <w:rPr>
                      <w:szCs w:val="24"/>
                      <w:lang w:val="en-GB" w:eastAsia="en-US"/>
                    </w:rPr>
                  </w:pPr>
                  <w:r w:rsidRPr="004E4188">
                    <w:rPr>
                      <w:szCs w:val="24"/>
                      <w:lang w:val="en-GB" w:eastAsia="en-US"/>
                    </w:rPr>
                    <w:t>Rémunération journalière</w:t>
                  </w:r>
                </w:p>
              </w:tc>
              <w:tc>
                <w:tcPr>
                  <w:tcW w:w="2268" w:type="dxa"/>
                  <w:gridSpan w:val="2"/>
                  <w:tcBorders>
                    <w:bottom w:val="single" w:sz="4" w:space="0" w:color="auto"/>
                  </w:tcBorders>
                  <w:shd w:val="clear" w:color="auto" w:fill="auto"/>
                </w:tcPr>
                <w:p w14:paraId="112877D8" w14:textId="77777777" w:rsidR="007049A5" w:rsidRPr="004E4188" w:rsidRDefault="007049A5" w:rsidP="006C6267">
                  <w:pPr>
                    <w:widowControl w:val="0"/>
                    <w:suppressAutoHyphens w:val="0"/>
                    <w:overflowPunct/>
                    <w:autoSpaceDE/>
                    <w:autoSpaceDN/>
                    <w:adjustRightInd/>
                    <w:spacing w:before="60" w:after="60"/>
                    <w:jc w:val="left"/>
                    <w:textAlignment w:val="auto"/>
                    <w:rPr>
                      <w:i/>
                      <w:szCs w:val="24"/>
                      <w:lang w:eastAsia="en-US"/>
                    </w:rPr>
                  </w:pPr>
                  <w:r w:rsidRPr="004E4188">
                    <w:rPr>
                      <w:i/>
                      <w:szCs w:val="24"/>
                      <w:lang w:eastAsia="en-US"/>
                    </w:rPr>
                    <w:t>Seulement pour les visites régulières du site.</w:t>
                  </w:r>
                </w:p>
              </w:tc>
              <w:tc>
                <w:tcPr>
                  <w:tcW w:w="2268" w:type="dxa"/>
                  <w:tcBorders>
                    <w:bottom w:val="single" w:sz="4" w:space="0" w:color="auto"/>
                    <w:right w:val="single" w:sz="4" w:space="0" w:color="auto"/>
                  </w:tcBorders>
                  <w:shd w:val="clear" w:color="auto" w:fill="auto"/>
                </w:tcPr>
                <w:p w14:paraId="588A50C4" w14:textId="77777777" w:rsidR="007049A5" w:rsidRPr="004E4188" w:rsidRDefault="007049A5" w:rsidP="006C6267">
                  <w:pPr>
                    <w:widowControl w:val="0"/>
                    <w:suppressAutoHyphens w:val="0"/>
                    <w:overflowPunct/>
                    <w:autoSpaceDE/>
                    <w:autoSpaceDN/>
                    <w:adjustRightInd/>
                    <w:spacing w:before="60" w:after="60"/>
                    <w:jc w:val="left"/>
                    <w:textAlignment w:val="auto"/>
                    <w:rPr>
                      <w:i/>
                      <w:szCs w:val="24"/>
                      <w:lang w:eastAsia="en-US"/>
                    </w:rPr>
                  </w:pPr>
                  <w:r w:rsidRPr="004E4188">
                    <w:rPr>
                      <w:i/>
                      <w:szCs w:val="24"/>
                      <w:lang w:eastAsia="en-US"/>
                    </w:rPr>
                    <w:t>Dans le cas des règlements des différends ou de travaux non accomplis durant les visites régulières du site.</w:t>
                  </w:r>
                </w:p>
              </w:tc>
            </w:tr>
            <w:tr w:rsidR="007049A5" w:rsidRPr="004E4188" w14:paraId="06B573C2" w14:textId="77777777" w:rsidTr="006C6267">
              <w:tc>
                <w:tcPr>
                  <w:tcW w:w="737" w:type="dxa"/>
                  <w:vMerge w:val="restart"/>
                  <w:tcBorders>
                    <w:left w:val="single" w:sz="4" w:space="0" w:color="auto"/>
                    <w:bottom w:val="single" w:sz="6" w:space="0" w:color="auto"/>
                  </w:tcBorders>
                  <w:shd w:val="clear" w:color="auto" w:fill="auto"/>
                </w:tcPr>
                <w:p w14:paraId="0FCEB94F" w14:textId="77777777" w:rsidR="007049A5" w:rsidRPr="004E4188" w:rsidRDefault="007049A5" w:rsidP="006C6267">
                  <w:pPr>
                    <w:widowControl w:val="0"/>
                    <w:suppressAutoHyphens w:val="0"/>
                    <w:overflowPunct/>
                    <w:autoSpaceDE/>
                    <w:autoSpaceDN/>
                    <w:adjustRightInd/>
                    <w:spacing w:before="60" w:after="60"/>
                    <w:jc w:val="left"/>
                    <w:textAlignment w:val="auto"/>
                    <w:rPr>
                      <w:szCs w:val="24"/>
                      <w:lang w:val="en-GB" w:eastAsia="en-US"/>
                    </w:rPr>
                  </w:pPr>
                  <w:r w:rsidRPr="004E4188">
                    <w:rPr>
                      <w:szCs w:val="24"/>
                      <w:lang w:val="en-GB" w:eastAsia="en-US"/>
                    </w:rPr>
                    <w:t>3.</w:t>
                  </w:r>
                </w:p>
              </w:tc>
              <w:tc>
                <w:tcPr>
                  <w:tcW w:w="2396" w:type="dxa"/>
                  <w:tcBorders>
                    <w:bottom w:val="single" w:sz="6" w:space="0" w:color="auto"/>
                  </w:tcBorders>
                  <w:shd w:val="clear" w:color="auto" w:fill="auto"/>
                </w:tcPr>
                <w:p w14:paraId="08A7C6AC" w14:textId="77777777" w:rsidR="007049A5" w:rsidRPr="004E4188" w:rsidRDefault="007049A5" w:rsidP="006C6267">
                  <w:pPr>
                    <w:widowControl w:val="0"/>
                    <w:suppressAutoHyphens w:val="0"/>
                    <w:overflowPunct/>
                    <w:autoSpaceDE/>
                    <w:autoSpaceDN/>
                    <w:adjustRightInd/>
                    <w:spacing w:before="60" w:after="60"/>
                    <w:jc w:val="left"/>
                    <w:textAlignment w:val="auto"/>
                    <w:rPr>
                      <w:szCs w:val="24"/>
                      <w:lang w:val="en-GB" w:eastAsia="en-US"/>
                    </w:rPr>
                  </w:pPr>
                  <w:r w:rsidRPr="004E4188">
                    <w:rPr>
                      <w:szCs w:val="24"/>
                      <w:lang w:val="en-GB" w:eastAsia="en-US"/>
                    </w:rPr>
                    <w:t>Frais</w:t>
                  </w:r>
                </w:p>
              </w:tc>
              <w:tc>
                <w:tcPr>
                  <w:tcW w:w="2268" w:type="dxa"/>
                  <w:gridSpan w:val="2"/>
                  <w:vMerge w:val="restart"/>
                  <w:tcBorders>
                    <w:bottom w:val="single" w:sz="6" w:space="0" w:color="auto"/>
                  </w:tcBorders>
                  <w:shd w:val="clear" w:color="auto" w:fill="auto"/>
                </w:tcPr>
                <w:p w14:paraId="277D6617" w14:textId="77777777" w:rsidR="007049A5" w:rsidRPr="004E4188" w:rsidRDefault="007049A5" w:rsidP="006C6267">
                  <w:pPr>
                    <w:widowControl w:val="0"/>
                    <w:suppressAutoHyphens w:val="0"/>
                    <w:overflowPunct/>
                    <w:autoSpaceDE/>
                    <w:autoSpaceDN/>
                    <w:adjustRightInd/>
                    <w:spacing w:before="60" w:after="60"/>
                    <w:jc w:val="left"/>
                    <w:textAlignment w:val="auto"/>
                    <w:rPr>
                      <w:i/>
                      <w:szCs w:val="24"/>
                      <w:lang w:eastAsia="en-US"/>
                    </w:rPr>
                  </w:pPr>
                  <w:r w:rsidRPr="004E4188">
                    <w:rPr>
                      <w:i/>
                      <w:szCs w:val="24"/>
                      <w:lang w:eastAsia="en-US"/>
                    </w:rPr>
                    <w:t>Seulement pour les visites régulières du site.</w:t>
                  </w:r>
                </w:p>
              </w:tc>
              <w:tc>
                <w:tcPr>
                  <w:tcW w:w="2268" w:type="dxa"/>
                  <w:vMerge w:val="restart"/>
                  <w:tcBorders>
                    <w:bottom w:val="single" w:sz="6" w:space="0" w:color="auto"/>
                    <w:right w:val="single" w:sz="4" w:space="0" w:color="auto"/>
                  </w:tcBorders>
                  <w:shd w:val="clear" w:color="auto" w:fill="auto"/>
                </w:tcPr>
                <w:p w14:paraId="10C23D46" w14:textId="77777777" w:rsidR="007049A5" w:rsidRPr="004E4188" w:rsidRDefault="007049A5" w:rsidP="006C6267">
                  <w:pPr>
                    <w:widowControl w:val="0"/>
                    <w:suppressAutoHyphens w:val="0"/>
                    <w:overflowPunct/>
                    <w:autoSpaceDE/>
                    <w:autoSpaceDN/>
                    <w:adjustRightInd/>
                    <w:spacing w:before="60" w:after="60"/>
                    <w:jc w:val="left"/>
                    <w:textAlignment w:val="auto"/>
                    <w:rPr>
                      <w:i/>
                      <w:szCs w:val="24"/>
                      <w:lang w:eastAsia="en-US"/>
                    </w:rPr>
                  </w:pPr>
                  <w:r w:rsidRPr="004E4188">
                    <w:rPr>
                      <w:i/>
                      <w:szCs w:val="24"/>
                      <w:lang w:eastAsia="en-US"/>
                    </w:rPr>
                    <w:t>Dans le cas des règlements des différends ou de travaux non accomplis durant les visites régulières du site.</w:t>
                  </w:r>
                </w:p>
              </w:tc>
            </w:tr>
            <w:tr w:rsidR="007049A5" w:rsidRPr="004E4188" w14:paraId="33538F4A" w14:textId="77777777" w:rsidTr="006C6267">
              <w:tc>
                <w:tcPr>
                  <w:tcW w:w="737" w:type="dxa"/>
                  <w:vMerge/>
                  <w:tcBorders>
                    <w:top w:val="single" w:sz="6" w:space="0" w:color="auto"/>
                    <w:left w:val="single" w:sz="4" w:space="0" w:color="auto"/>
                  </w:tcBorders>
                  <w:shd w:val="clear" w:color="auto" w:fill="auto"/>
                </w:tcPr>
                <w:p w14:paraId="7A269E55" w14:textId="77777777" w:rsidR="007049A5" w:rsidRPr="004E4188" w:rsidRDefault="007049A5" w:rsidP="006C6267">
                  <w:pPr>
                    <w:widowControl w:val="0"/>
                    <w:suppressAutoHyphens w:val="0"/>
                    <w:overflowPunct/>
                    <w:autoSpaceDE/>
                    <w:autoSpaceDN/>
                    <w:adjustRightInd/>
                    <w:spacing w:before="60" w:after="60"/>
                    <w:jc w:val="left"/>
                    <w:textAlignment w:val="auto"/>
                    <w:rPr>
                      <w:szCs w:val="24"/>
                      <w:lang w:eastAsia="en-US"/>
                    </w:rPr>
                  </w:pPr>
                </w:p>
              </w:tc>
              <w:tc>
                <w:tcPr>
                  <w:tcW w:w="2396" w:type="dxa"/>
                  <w:tcBorders>
                    <w:top w:val="single" w:sz="6" w:space="0" w:color="auto"/>
                    <w:bottom w:val="nil"/>
                  </w:tcBorders>
                  <w:shd w:val="clear" w:color="auto" w:fill="auto"/>
                </w:tcPr>
                <w:p w14:paraId="3695204F" w14:textId="77777777" w:rsidR="007049A5" w:rsidRPr="004E4188" w:rsidRDefault="007049A5" w:rsidP="006C6267">
                  <w:pPr>
                    <w:widowControl w:val="0"/>
                    <w:tabs>
                      <w:tab w:val="left" w:pos="458"/>
                    </w:tabs>
                    <w:suppressAutoHyphens w:val="0"/>
                    <w:overflowPunct/>
                    <w:autoSpaceDE/>
                    <w:autoSpaceDN/>
                    <w:adjustRightInd/>
                    <w:spacing w:before="60" w:after="60"/>
                    <w:ind w:left="458" w:hanging="470"/>
                    <w:jc w:val="left"/>
                    <w:textAlignment w:val="auto"/>
                    <w:rPr>
                      <w:szCs w:val="24"/>
                      <w:lang w:val="en-GB" w:eastAsia="en-US"/>
                    </w:rPr>
                  </w:pPr>
                  <w:r w:rsidRPr="004E4188">
                    <w:rPr>
                      <w:szCs w:val="24"/>
                      <w:lang w:val="en-GB" w:eastAsia="en-US"/>
                    </w:rPr>
                    <w:t xml:space="preserve">(a) </w:t>
                  </w:r>
                  <w:r w:rsidRPr="004E4188">
                    <w:rPr>
                      <w:szCs w:val="24"/>
                      <w:lang w:val="en-GB" w:eastAsia="en-US"/>
                    </w:rPr>
                    <w:tab/>
                    <w:t>transport international</w:t>
                  </w:r>
                </w:p>
              </w:tc>
              <w:tc>
                <w:tcPr>
                  <w:tcW w:w="2268" w:type="dxa"/>
                  <w:gridSpan w:val="2"/>
                  <w:vMerge/>
                  <w:tcBorders>
                    <w:top w:val="single" w:sz="6" w:space="0" w:color="auto"/>
                  </w:tcBorders>
                  <w:shd w:val="clear" w:color="auto" w:fill="auto"/>
                </w:tcPr>
                <w:p w14:paraId="1205533D" w14:textId="77777777" w:rsidR="007049A5" w:rsidRPr="004E4188" w:rsidRDefault="007049A5" w:rsidP="006C6267">
                  <w:pPr>
                    <w:widowControl w:val="0"/>
                    <w:suppressAutoHyphens w:val="0"/>
                    <w:overflowPunct/>
                    <w:autoSpaceDE/>
                    <w:autoSpaceDN/>
                    <w:adjustRightInd/>
                    <w:spacing w:before="60" w:after="60"/>
                    <w:textAlignment w:val="auto"/>
                    <w:rPr>
                      <w:szCs w:val="24"/>
                      <w:lang w:val="en-GB" w:eastAsia="en-US"/>
                    </w:rPr>
                  </w:pPr>
                </w:p>
              </w:tc>
              <w:tc>
                <w:tcPr>
                  <w:tcW w:w="2268" w:type="dxa"/>
                  <w:vMerge/>
                  <w:tcBorders>
                    <w:top w:val="single" w:sz="6" w:space="0" w:color="auto"/>
                    <w:right w:val="single" w:sz="4" w:space="0" w:color="auto"/>
                  </w:tcBorders>
                  <w:shd w:val="clear" w:color="auto" w:fill="auto"/>
                </w:tcPr>
                <w:p w14:paraId="71570B25" w14:textId="77777777" w:rsidR="007049A5" w:rsidRPr="004E4188" w:rsidRDefault="007049A5" w:rsidP="006C6267">
                  <w:pPr>
                    <w:widowControl w:val="0"/>
                    <w:suppressAutoHyphens w:val="0"/>
                    <w:overflowPunct/>
                    <w:autoSpaceDE/>
                    <w:autoSpaceDN/>
                    <w:adjustRightInd/>
                    <w:spacing w:before="60" w:after="60"/>
                    <w:textAlignment w:val="auto"/>
                    <w:rPr>
                      <w:szCs w:val="24"/>
                      <w:lang w:val="en-GB" w:eastAsia="en-US"/>
                    </w:rPr>
                  </w:pPr>
                </w:p>
              </w:tc>
            </w:tr>
            <w:tr w:rsidR="007049A5" w:rsidRPr="004E4188" w14:paraId="6C0F8753" w14:textId="77777777" w:rsidTr="006C6267">
              <w:tc>
                <w:tcPr>
                  <w:tcW w:w="737" w:type="dxa"/>
                  <w:vMerge/>
                  <w:tcBorders>
                    <w:left w:val="single" w:sz="4" w:space="0" w:color="auto"/>
                  </w:tcBorders>
                  <w:shd w:val="clear" w:color="auto" w:fill="auto"/>
                </w:tcPr>
                <w:p w14:paraId="27ACE5AC" w14:textId="77777777" w:rsidR="007049A5" w:rsidRPr="004E4188" w:rsidRDefault="007049A5" w:rsidP="006C6267">
                  <w:pPr>
                    <w:widowControl w:val="0"/>
                    <w:suppressAutoHyphens w:val="0"/>
                    <w:overflowPunct/>
                    <w:autoSpaceDE/>
                    <w:autoSpaceDN/>
                    <w:adjustRightInd/>
                    <w:spacing w:before="60" w:after="60"/>
                    <w:jc w:val="left"/>
                    <w:textAlignment w:val="auto"/>
                    <w:rPr>
                      <w:szCs w:val="24"/>
                      <w:lang w:val="en-GB" w:eastAsia="en-US"/>
                    </w:rPr>
                  </w:pPr>
                </w:p>
              </w:tc>
              <w:tc>
                <w:tcPr>
                  <w:tcW w:w="2396" w:type="dxa"/>
                  <w:tcBorders>
                    <w:top w:val="nil"/>
                    <w:bottom w:val="nil"/>
                  </w:tcBorders>
                  <w:shd w:val="clear" w:color="auto" w:fill="auto"/>
                </w:tcPr>
                <w:p w14:paraId="2EF3BE85" w14:textId="77777777" w:rsidR="007049A5" w:rsidRPr="004E4188" w:rsidRDefault="007049A5" w:rsidP="006C6267">
                  <w:pPr>
                    <w:widowControl w:val="0"/>
                    <w:tabs>
                      <w:tab w:val="left" w:pos="458"/>
                    </w:tabs>
                    <w:suppressAutoHyphens w:val="0"/>
                    <w:overflowPunct/>
                    <w:autoSpaceDE/>
                    <w:autoSpaceDN/>
                    <w:adjustRightInd/>
                    <w:spacing w:before="60" w:after="60"/>
                    <w:ind w:left="458" w:hanging="470"/>
                    <w:jc w:val="left"/>
                    <w:textAlignment w:val="auto"/>
                    <w:rPr>
                      <w:szCs w:val="24"/>
                      <w:lang w:val="en-GB" w:eastAsia="en-US"/>
                    </w:rPr>
                  </w:pPr>
                  <w:r w:rsidRPr="004E4188">
                    <w:rPr>
                      <w:szCs w:val="24"/>
                      <w:lang w:val="en-GB" w:eastAsia="en-US"/>
                    </w:rPr>
                    <w:t xml:space="preserve">(b) </w:t>
                  </w:r>
                  <w:r w:rsidRPr="004E4188">
                    <w:rPr>
                      <w:szCs w:val="24"/>
                      <w:lang w:val="en-GB" w:eastAsia="en-US"/>
                    </w:rPr>
                    <w:tab/>
                    <w:t>transport local</w:t>
                  </w:r>
                </w:p>
              </w:tc>
              <w:tc>
                <w:tcPr>
                  <w:tcW w:w="2268" w:type="dxa"/>
                  <w:gridSpan w:val="2"/>
                  <w:vMerge/>
                  <w:shd w:val="clear" w:color="auto" w:fill="auto"/>
                </w:tcPr>
                <w:p w14:paraId="57E0AF49" w14:textId="77777777" w:rsidR="007049A5" w:rsidRPr="004E4188" w:rsidRDefault="007049A5" w:rsidP="006C6267">
                  <w:pPr>
                    <w:widowControl w:val="0"/>
                    <w:suppressAutoHyphens w:val="0"/>
                    <w:overflowPunct/>
                    <w:autoSpaceDE/>
                    <w:autoSpaceDN/>
                    <w:adjustRightInd/>
                    <w:spacing w:before="60" w:after="60"/>
                    <w:textAlignment w:val="auto"/>
                    <w:rPr>
                      <w:szCs w:val="24"/>
                      <w:lang w:val="en-GB" w:eastAsia="en-US"/>
                    </w:rPr>
                  </w:pPr>
                </w:p>
              </w:tc>
              <w:tc>
                <w:tcPr>
                  <w:tcW w:w="2268" w:type="dxa"/>
                  <w:vMerge/>
                  <w:tcBorders>
                    <w:right w:val="single" w:sz="4" w:space="0" w:color="auto"/>
                  </w:tcBorders>
                  <w:shd w:val="clear" w:color="auto" w:fill="auto"/>
                </w:tcPr>
                <w:p w14:paraId="61B15B7C" w14:textId="77777777" w:rsidR="007049A5" w:rsidRPr="004E4188" w:rsidRDefault="007049A5" w:rsidP="006C6267">
                  <w:pPr>
                    <w:widowControl w:val="0"/>
                    <w:suppressAutoHyphens w:val="0"/>
                    <w:overflowPunct/>
                    <w:autoSpaceDE/>
                    <w:autoSpaceDN/>
                    <w:adjustRightInd/>
                    <w:spacing w:before="60" w:after="60"/>
                    <w:textAlignment w:val="auto"/>
                    <w:rPr>
                      <w:szCs w:val="24"/>
                      <w:lang w:val="en-GB" w:eastAsia="en-US"/>
                    </w:rPr>
                  </w:pPr>
                </w:p>
              </w:tc>
            </w:tr>
            <w:tr w:rsidR="007049A5" w:rsidRPr="004E4188" w14:paraId="1DC5225F" w14:textId="77777777" w:rsidTr="00B72B3E">
              <w:tc>
                <w:tcPr>
                  <w:tcW w:w="737" w:type="dxa"/>
                  <w:vMerge/>
                  <w:tcBorders>
                    <w:left w:val="single" w:sz="4" w:space="0" w:color="auto"/>
                  </w:tcBorders>
                  <w:shd w:val="clear" w:color="auto" w:fill="auto"/>
                </w:tcPr>
                <w:p w14:paraId="2AC76ED8" w14:textId="77777777" w:rsidR="007049A5" w:rsidRPr="004E4188" w:rsidRDefault="007049A5" w:rsidP="006C6267">
                  <w:pPr>
                    <w:widowControl w:val="0"/>
                    <w:suppressAutoHyphens w:val="0"/>
                    <w:overflowPunct/>
                    <w:autoSpaceDE/>
                    <w:autoSpaceDN/>
                    <w:adjustRightInd/>
                    <w:spacing w:before="60" w:after="60"/>
                    <w:jc w:val="left"/>
                    <w:textAlignment w:val="auto"/>
                    <w:rPr>
                      <w:szCs w:val="24"/>
                      <w:lang w:val="en-GB" w:eastAsia="en-US"/>
                    </w:rPr>
                  </w:pPr>
                </w:p>
              </w:tc>
              <w:tc>
                <w:tcPr>
                  <w:tcW w:w="2396" w:type="dxa"/>
                  <w:tcBorders>
                    <w:top w:val="nil"/>
                    <w:bottom w:val="nil"/>
                  </w:tcBorders>
                  <w:shd w:val="clear" w:color="auto" w:fill="auto"/>
                </w:tcPr>
                <w:p w14:paraId="3FF41954" w14:textId="77777777" w:rsidR="007049A5" w:rsidRPr="004E4188" w:rsidRDefault="007049A5" w:rsidP="006C6267">
                  <w:pPr>
                    <w:widowControl w:val="0"/>
                    <w:tabs>
                      <w:tab w:val="left" w:pos="458"/>
                    </w:tabs>
                    <w:suppressAutoHyphens w:val="0"/>
                    <w:overflowPunct/>
                    <w:autoSpaceDE/>
                    <w:autoSpaceDN/>
                    <w:adjustRightInd/>
                    <w:spacing w:before="60" w:after="60"/>
                    <w:ind w:left="458" w:hanging="470"/>
                    <w:jc w:val="left"/>
                    <w:textAlignment w:val="auto"/>
                    <w:rPr>
                      <w:szCs w:val="24"/>
                      <w:lang w:val="en-GB" w:eastAsia="en-US"/>
                    </w:rPr>
                  </w:pPr>
                  <w:r w:rsidRPr="004E4188">
                    <w:rPr>
                      <w:szCs w:val="24"/>
                      <w:lang w:val="en-GB" w:eastAsia="en-US"/>
                    </w:rPr>
                    <w:t xml:space="preserve">(c) </w:t>
                  </w:r>
                  <w:r w:rsidRPr="004E4188">
                    <w:rPr>
                      <w:szCs w:val="24"/>
                      <w:lang w:val="en-GB" w:eastAsia="en-US"/>
                    </w:rPr>
                    <w:tab/>
                    <w:t>logement</w:t>
                  </w:r>
                </w:p>
              </w:tc>
              <w:tc>
                <w:tcPr>
                  <w:tcW w:w="2268" w:type="dxa"/>
                  <w:gridSpan w:val="2"/>
                  <w:vMerge/>
                  <w:shd w:val="clear" w:color="auto" w:fill="auto"/>
                </w:tcPr>
                <w:p w14:paraId="127C8296" w14:textId="77777777" w:rsidR="007049A5" w:rsidRPr="004E4188" w:rsidRDefault="007049A5" w:rsidP="006C6267">
                  <w:pPr>
                    <w:widowControl w:val="0"/>
                    <w:suppressAutoHyphens w:val="0"/>
                    <w:overflowPunct/>
                    <w:autoSpaceDE/>
                    <w:autoSpaceDN/>
                    <w:adjustRightInd/>
                    <w:spacing w:before="60" w:after="60"/>
                    <w:textAlignment w:val="auto"/>
                    <w:rPr>
                      <w:szCs w:val="24"/>
                      <w:lang w:val="en-GB" w:eastAsia="en-US"/>
                    </w:rPr>
                  </w:pPr>
                </w:p>
              </w:tc>
              <w:tc>
                <w:tcPr>
                  <w:tcW w:w="2268" w:type="dxa"/>
                  <w:vMerge/>
                  <w:tcBorders>
                    <w:right w:val="single" w:sz="4" w:space="0" w:color="auto"/>
                  </w:tcBorders>
                  <w:shd w:val="clear" w:color="auto" w:fill="auto"/>
                </w:tcPr>
                <w:p w14:paraId="4DAA6A84" w14:textId="77777777" w:rsidR="007049A5" w:rsidRPr="004E4188" w:rsidRDefault="007049A5" w:rsidP="006C6267">
                  <w:pPr>
                    <w:widowControl w:val="0"/>
                    <w:suppressAutoHyphens w:val="0"/>
                    <w:overflowPunct/>
                    <w:autoSpaceDE/>
                    <w:autoSpaceDN/>
                    <w:adjustRightInd/>
                    <w:spacing w:before="60" w:after="60"/>
                    <w:textAlignment w:val="auto"/>
                    <w:rPr>
                      <w:szCs w:val="24"/>
                      <w:lang w:val="en-GB" w:eastAsia="en-US"/>
                    </w:rPr>
                  </w:pPr>
                </w:p>
              </w:tc>
            </w:tr>
            <w:tr w:rsidR="007049A5" w:rsidRPr="004E4188" w14:paraId="328A34B8" w14:textId="77777777" w:rsidTr="006C6267">
              <w:tc>
                <w:tcPr>
                  <w:tcW w:w="737" w:type="dxa"/>
                  <w:vMerge/>
                  <w:tcBorders>
                    <w:left w:val="single" w:sz="4" w:space="0" w:color="auto"/>
                  </w:tcBorders>
                  <w:shd w:val="clear" w:color="auto" w:fill="auto"/>
                </w:tcPr>
                <w:p w14:paraId="2EC456E0" w14:textId="77777777" w:rsidR="007049A5" w:rsidRPr="004E4188" w:rsidRDefault="007049A5" w:rsidP="006C6267">
                  <w:pPr>
                    <w:widowControl w:val="0"/>
                    <w:suppressAutoHyphens w:val="0"/>
                    <w:overflowPunct/>
                    <w:autoSpaceDE/>
                    <w:autoSpaceDN/>
                    <w:adjustRightInd/>
                    <w:spacing w:before="60" w:after="60"/>
                    <w:jc w:val="left"/>
                    <w:textAlignment w:val="auto"/>
                    <w:rPr>
                      <w:szCs w:val="24"/>
                      <w:lang w:val="en-GB" w:eastAsia="en-US"/>
                    </w:rPr>
                  </w:pPr>
                </w:p>
              </w:tc>
              <w:tc>
                <w:tcPr>
                  <w:tcW w:w="2396" w:type="dxa"/>
                  <w:tcBorders>
                    <w:top w:val="nil"/>
                    <w:bottom w:val="nil"/>
                  </w:tcBorders>
                  <w:shd w:val="clear" w:color="auto" w:fill="auto"/>
                </w:tcPr>
                <w:p w14:paraId="3D45AA57" w14:textId="77777777" w:rsidR="007049A5" w:rsidRPr="004E4188" w:rsidRDefault="007049A5" w:rsidP="006C6267">
                  <w:pPr>
                    <w:widowControl w:val="0"/>
                    <w:tabs>
                      <w:tab w:val="left" w:pos="458"/>
                    </w:tabs>
                    <w:suppressAutoHyphens w:val="0"/>
                    <w:overflowPunct/>
                    <w:autoSpaceDE/>
                    <w:autoSpaceDN/>
                    <w:adjustRightInd/>
                    <w:spacing w:before="60" w:after="60"/>
                    <w:ind w:left="460" w:hanging="471"/>
                    <w:jc w:val="left"/>
                    <w:textAlignment w:val="auto"/>
                    <w:rPr>
                      <w:szCs w:val="24"/>
                      <w:lang w:val="en-GB" w:eastAsia="en-US"/>
                    </w:rPr>
                  </w:pPr>
                  <w:r w:rsidRPr="004E4188">
                    <w:rPr>
                      <w:szCs w:val="24"/>
                      <w:lang w:val="en-GB" w:eastAsia="en-US"/>
                    </w:rPr>
                    <w:t xml:space="preserve">(d) </w:t>
                  </w:r>
                  <w:r w:rsidRPr="004E4188">
                    <w:rPr>
                      <w:szCs w:val="24"/>
                      <w:lang w:val="en-GB" w:eastAsia="en-US"/>
                    </w:rPr>
                    <w:tab/>
                    <w:t>impression/ photocopie</w:t>
                  </w:r>
                </w:p>
              </w:tc>
              <w:tc>
                <w:tcPr>
                  <w:tcW w:w="2268" w:type="dxa"/>
                  <w:gridSpan w:val="2"/>
                  <w:vMerge/>
                  <w:shd w:val="clear" w:color="auto" w:fill="auto"/>
                </w:tcPr>
                <w:p w14:paraId="34A492B7" w14:textId="77777777" w:rsidR="007049A5" w:rsidRPr="004E4188" w:rsidRDefault="007049A5" w:rsidP="006C6267">
                  <w:pPr>
                    <w:widowControl w:val="0"/>
                    <w:suppressAutoHyphens w:val="0"/>
                    <w:overflowPunct/>
                    <w:autoSpaceDE/>
                    <w:autoSpaceDN/>
                    <w:adjustRightInd/>
                    <w:spacing w:before="60" w:after="60"/>
                    <w:textAlignment w:val="auto"/>
                    <w:rPr>
                      <w:szCs w:val="24"/>
                      <w:lang w:val="en-GB" w:eastAsia="en-US"/>
                    </w:rPr>
                  </w:pPr>
                </w:p>
              </w:tc>
              <w:tc>
                <w:tcPr>
                  <w:tcW w:w="2268" w:type="dxa"/>
                  <w:vMerge/>
                  <w:tcBorders>
                    <w:right w:val="single" w:sz="4" w:space="0" w:color="auto"/>
                  </w:tcBorders>
                  <w:shd w:val="clear" w:color="auto" w:fill="auto"/>
                </w:tcPr>
                <w:p w14:paraId="289D386B" w14:textId="77777777" w:rsidR="007049A5" w:rsidRPr="004E4188" w:rsidRDefault="007049A5" w:rsidP="006C6267">
                  <w:pPr>
                    <w:widowControl w:val="0"/>
                    <w:suppressAutoHyphens w:val="0"/>
                    <w:overflowPunct/>
                    <w:autoSpaceDE/>
                    <w:autoSpaceDN/>
                    <w:adjustRightInd/>
                    <w:spacing w:before="60" w:after="60"/>
                    <w:textAlignment w:val="auto"/>
                    <w:rPr>
                      <w:szCs w:val="24"/>
                      <w:lang w:val="en-GB" w:eastAsia="en-US"/>
                    </w:rPr>
                  </w:pPr>
                </w:p>
              </w:tc>
            </w:tr>
            <w:tr w:rsidR="007049A5" w:rsidRPr="004E4188" w14:paraId="167A58BF" w14:textId="77777777" w:rsidTr="00B72B3E">
              <w:tc>
                <w:tcPr>
                  <w:tcW w:w="737" w:type="dxa"/>
                  <w:vMerge/>
                  <w:tcBorders>
                    <w:left w:val="single" w:sz="4" w:space="0" w:color="auto"/>
                  </w:tcBorders>
                  <w:shd w:val="clear" w:color="auto" w:fill="auto"/>
                </w:tcPr>
                <w:p w14:paraId="7B153422" w14:textId="77777777" w:rsidR="007049A5" w:rsidRPr="004E4188" w:rsidRDefault="007049A5" w:rsidP="006C6267">
                  <w:pPr>
                    <w:widowControl w:val="0"/>
                    <w:suppressAutoHyphens w:val="0"/>
                    <w:overflowPunct/>
                    <w:autoSpaceDE/>
                    <w:autoSpaceDN/>
                    <w:adjustRightInd/>
                    <w:spacing w:before="60" w:after="60"/>
                    <w:jc w:val="left"/>
                    <w:textAlignment w:val="auto"/>
                    <w:rPr>
                      <w:szCs w:val="24"/>
                      <w:lang w:val="en-GB" w:eastAsia="en-US"/>
                    </w:rPr>
                  </w:pPr>
                </w:p>
              </w:tc>
              <w:tc>
                <w:tcPr>
                  <w:tcW w:w="2396" w:type="dxa"/>
                  <w:tcBorders>
                    <w:top w:val="nil"/>
                    <w:bottom w:val="nil"/>
                  </w:tcBorders>
                  <w:shd w:val="clear" w:color="auto" w:fill="auto"/>
                </w:tcPr>
                <w:p w14:paraId="777DEC84" w14:textId="77777777" w:rsidR="007049A5" w:rsidRPr="004E4188" w:rsidRDefault="007049A5" w:rsidP="006C6267">
                  <w:pPr>
                    <w:widowControl w:val="0"/>
                    <w:tabs>
                      <w:tab w:val="left" w:pos="458"/>
                    </w:tabs>
                    <w:suppressAutoHyphens w:val="0"/>
                    <w:overflowPunct/>
                    <w:autoSpaceDE/>
                    <w:autoSpaceDN/>
                    <w:adjustRightInd/>
                    <w:spacing w:before="60" w:after="60"/>
                    <w:ind w:left="480" w:hangingChars="200" w:hanging="480"/>
                    <w:jc w:val="left"/>
                    <w:textAlignment w:val="auto"/>
                    <w:rPr>
                      <w:szCs w:val="24"/>
                      <w:lang w:val="en-GB" w:eastAsia="en-US"/>
                    </w:rPr>
                  </w:pPr>
                  <w:r w:rsidRPr="004E4188">
                    <w:rPr>
                      <w:szCs w:val="24"/>
                      <w:lang w:val="en-GB" w:eastAsia="en-US"/>
                    </w:rPr>
                    <w:t xml:space="preserve">(e) </w:t>
                  </w:r>
                  <w:r w:rsidRPr="004E4188">
                    <w:rPr>
                      <w:szCs w:val="24"/>
                      <w:lang w:val="en-GB" w:eastAsia="en-US"/>
                    </w:rPr>
                    <w:tab/>
                  </w:r>
                  <w:r w:rsidRPr="004E4188">
                    <w:rPr>
                      <w:szCs w:val="24"/>
                      <w:lang w:eastAsia="en-US"/>
                    </w:rPr>
                    <w:t>communications téléphoniques internationales</w:t>
                  </w:r>
                </w:p>
              </w:tc>
              <w:tc>
                <w:tcPr>
                  <w:tcW w:w="2268" w:type="dxa"/>
                  <w:gridSpan w:val="2"/>
                  <w:vMerge/>
                  <w:shd w:val="clear" w:color="auto" w:fill="auto"/>
                </w:tcPr>
                <w:p w14:paraId="34E78102" w14:textId="77777777" w:rsidR="007049A5" w:rsidRPr="004E4188" w:rsidRDefault="007049A5" w:rsidP="006C6267">
                  <w:pPr>
                    <w:widowControl w:val="0"/>
                    <w:suppressAutoHyphens w:val="0"/>
                    <w:overflowPunct/>
                    <w:autoSpaceDE/>
                    <w:autoSpaceDN/>
                    <w:adjustRightInd/>
                    <w:spacing w:before="60" w:after="60"/>
                    <w:textAlignment w:val="auto"/>
                    <w:rPr>
                      <w:szCs w:val="24"/>
                      <w:lang w:val="en-GB" w:eastAsia="en-US"/>
                    </w:rPr>
                  </w:pPr>
                </w:p>
              </w:tc>
              <w:tc>
                <w:tcPr>
                  <w:tcW w:w="2268" w:type="dxa"/>
                  <w:vMerge/>
                  <w:tcBorders>
                    <w:right w:val="single" w:sz="4" w:space="0" w:color="auto"/>
                  </w:tcBorders>
                  <w:shd w:val="clear" w:color="auto" w:fill="auto"/>
                </w:tcPr>
                <w:p w14:paraId="304D09B6" w14:textId="77777777" w:rsidR="007049A5" w:rsidRPr="004E4188" w:rsidRDefault="007049A5" w:rsidP="006C6267">
                  <w:pPr>
                    <w:widowControl w:val="0"/>
                    <w:suppressAutoHyphens w:val="0"/>
                    <w:overflowPunct/>
                    <w:autoSpaceDE/>
                    <w:autoSpaceDN/>
                    <w:adjustRightInd/>
                    <w:spacing w:before="60" w:after="60"/>
                    <w:textAlignment w:val="auto"/>
                    <w:rPr>
                      <w:szCs w:val="24"/>
                      <w:lang w:val="en-GB" w:eastAsia="en-US"/>
                    </w:rPr>
                  </w:pPr>
                </w:p>
              </w:tc>
            </w:tr>
            <w:tr w:rsidR="007049A5" w:rsidRPr="004E4188" w14:paraId="25C59201" w14:textId="77777777" w:rsidTr="005A176D">
              <w:tc>
                <w:tcPr>
                  <w:tcW w:w="737" w:type="dxa"/>
                  <w:vMerge/>
                  <w:tcBorders>
                    <w:left w:val="single" w:sz="4" w:space="0" w:color="auto"/>
                  </w:tcBorders>
                  <w:shd w:val="clear" w:color="auto" w:fill="auto"/>
                </w:tcPr>
                <w:p w14:paraId="6EAB51C1" w14:textId="77777777" w:rsidR="007049A5" w:rsidRPr="004E4188" w:rsidRDefault="007049A5" w:rsidP="006C6267">
                  <w:pPr>
                    <w:widowControl w:val="0"/>
                    <w:suppressAutoHyphens w:val="0"/>
                    <w:overflowPunct/>
                    <w:autoSpaceDE/>
                    <w:autoSpaceDN/>
                    <w:adjustRightInd/>
                    <w:spacing w:before="60" w:after="60"/>
                    <w:jc w:val="left"/>
                    <w:textAlignment w:val="auto"/>
                    <w:rPr>
                      <w:szCs w:val="24"/>
                      <w:lang w:val="en-GB" w:eastAsia="en-US"/>
                    </w:rPr>
                  </w:pPr>
                </w:p>
              </w:tc>
              <w:tc>
                <w:tcPr>
                  <w:tcW w:w="2396" w:type="dxa"/>
                  <w:tcBorders>
                    <w:top w:val="nil"/>
                    <w:bottom w:val="nil"/>
                  </w:tcBorders>
                  <w:shd w:val="clear" w:color="auto" w:fill="auto"/>
                </w:tcPr>
                <w:p w14:paraId="3D6C460F" w14:textId="77777777" w:rsidR="007049A5" w:rsidRPr="004E4188" w:rsidRDefault="007049A5" w:rsidP="006C6267">
                  <w:pPr>
                    <w:widowControl w:val="0"/>
                    <w:tabs>
                      <w:tab w:val="left" w:pos="458"/>
                    </w:tabs>
                    <w:suppressAutoHyphens w:val="0"/>
                    <w:overflowPunct/>
                    <w:autoSpaceDE/>
                    <w:autoSpaceDN/>
                    <w:adjustRightInd/>
                    <w:spacing w:before="60" w:after="60"/>
                    <w:ind w:left="458" w:hanging="470"/>
                    <w:jc w:val="left"/>
                    <w:textAlignment w:val="auto"/>
                    <w:rPr>
                      <w:szCs w:val="24"/>
                      <w:lang w:val="en-GB" w:eastAsia="en-US"/>
                    </w:rPr>
                  </w:pPr>
                  <w:r w:rsidRPr="004E4188">
                    <w:rPr>
                      <w:szCs w:val="24"/>
                      <w:lang w:val="en-GB" w:eastAsia="en-US"/>
                    </w:rPr>
                    <w:t xml:space="preserve">(f) </w:t>
                  </w:r>
                  <w:r w:rsidRPr="004E4188">
                    <w:rPr>
                      <w:szCs w:val="24"/>
                      <w:lang w:val="en-GB" w:eastAsia="en-US"/>
                    </w:rPr>
                    <w:tab/>
                    <w:t xml:space="preserve">service de messagerie </w:t>
                  </w:r>
                </w:p>
              </w:tc>
              <w:tc>
                <w:tcPr>
                  <w:tcW w:w="2268" w:type="dxa"/>
                  <w:gridSpan w:val="2"/>
                  <w:vMerge/>
                  <w:shd w:val="clear" w:color="auto" w:fill="auto"/>
                </w:tcPr>
                <w:p w14:paraId="7DC88B7B" w14:textId="77777777" w:rsidR="007049A5" w:rsidRPr="004E4188" w:rsidRDefault="007049A5" w:rsidP="006C6267">
                  <w:pPr>
                    <w:widowControl w:val="0"/>
                    <w:suppressAutoHyphens w:val="0"/>
                    <w:overflowPunct/>
                    <w:autoSpaceDE/>
                    <w:autoSpaceDN/>
                    <w:adjustRightInd/>
                    <w:spacing w:before="60" w:after="60"/>
                    <w:textAlignment w:val="auto"/>
                    <w:rPr>
                      <w:szCs w:val="24"/>
                      <w:lang w:val="en-GB" w:eastAsia="en-US"/>
                    </w:rPr>
                  </w:pPr>
                </w:p>
              </w:tc>
              <w:tc>
                <w:tcPr>
                  <w:tcW w:w="2268" w:type="dxa"/>
                  <w:vMerge/>
                  <w:tcBorders>
                    <w:right w:val="single" w:sz="4" w:space="0" w:color="auto"/>
                  </w:tcBorders>
                  <w:shd w:val="clear" w:color="auto" w:fill="auto"/>
                </w:tcPr>
                <w:p w14:paraId="119BEC51" w14:textId="77777777" w:rsidR="007049A5" w:rsidRPr="004E4188" w:rsidRDefault="007049A5" w:rsidP="006C6267">
                  <w:pPr>
                    <w:widowControl w:val="0"/>
                    <w:suppressAutoHyphens w:val="0"/>
                    <w:overflowPunct/>
                    <w:autoSpaceDE/>
                    <w:autoSpaceDN/>
                    <w:adjustRightInd/>
                    <w:spacing w:before="60" w:after="60"/>
                    <w:textAlignment w:val="auto"/>
                    <w:rPr>
                      <w:szCs w:val="24"/>
                      <w:lang w:val="en-GB" w:eastAsia="en-US"/>
                    </w:rPr>
                  </w:pPr>
                </w:p>
              </w:tc>
            </w:tr>
            <w:tr w:rsidR="007049A5" w:rsidRPr="004E4188" w14:paraId="085D75FD" w14:textId="77777777" w:rsidTr="005A176D">
              <w:tc>
                <w:tcPr>
                  <w:tcW w:w="737" w:type="dxa"/>
                  <w:vMerge/>
                  <w:tcBorders>
                    <w:left w:val="single" w:sz="4" w:space="0" w:color="auto"/>
                  </w:tcBorders>
                  <w:shd w:val="clear" w:color="auto" w:fill="auto"/>
                </w:tcPr>
                <w:p w14:paraId="277EFB25" w14:textId="77777777" w:rsidR="007049A5" w:rsidRPr="004E4188" w:rsidRDefault="007049A5" w:rsidP="006C6267">
                  <w:pPr>
                    <w:widowControl w:val="0"/>
                    <w:suppressAutoHyphens w:val="0"/>
                    <w:overflowPunct/>
                    <w:autoSpaceDE/>
                    <w:autoSpaceDN/>
                    <w:adjustRightInd/>
                    <w:spacing w:before="60" w:after="60"/>
                    <w:jc w:val="left"/>
                    <w:textAlignment w:val="auto"/>
                    <w:rPr>
                      <w:szCs w:val="24"/>
                      <w:lang w:val="en-GB" w:eastAsia="en-US"/>
                    </w:rPr>
                  </w:pPr>
                </w:p>
              </w:tc>
              <w:tc>
                <w:tcPr>
                  <w:tcW w:w="2396" w:type="dxa"/>
                  <w:tcBorders>
                    <w:top w:val="nil"/>
                    <w:bottom w:val="nil"/>
                  </w:tcBorders>
                  <w:shd w:val="clear" w:color="auto" w:fill="auto"/>
                </w:tcPr>
                <w:p w14:paraId="4D75788E" w14:textId="77777777" w:rsidR="007049A5" w:rsidRPr="004E4188" w:rsidRDefault="007049A5" w:rsidP="006C6267">
                  <w:pPr>
                    <w:widowControl w:val="0"/>
                    <w:tabs>
                      <w:tab w:val="left" w:pos="458"/>
                    </w:tabs>
                    <w:suppressAutoHyphens w:val="0"/>
                    <w:overflowPunct/>
                    <w:autoSpaceDE/>
                    <w:autoSpaceDN/>
                    <w:adjustRightInd/>
                    <w:spacing w:before="60" w:after="60"/>
                    <w:ind w:left="458" w:hanging="470"/>
                    <w:jc w:val="left"/>
                    <w:textAlignment w:val="auto"/>
                    <w:rPr>
                      <w:szCs w:val="24"/>
                      <w:lang w:val="en-GB" w:eastAsia="en-US"/>
                    </w:rPr>
                  </w:pPr>
                  <w:r w:rsidRPr="004E4188">
                    <w:rPr>
                      <w:szCs w:val="24"/>
                      <w:lang w:val="en-GB" w:eastAsia="en-US"/>
                    </w:rPr>
                    <w:t xml:space="preserve">(g) </w:t>
                  </w:r>
                  <w:r w:rsidRPr="004E4188">
                    <w:rPr>
                      <w:szCs w:val="24"/>
                      <w:lang w:val="en-GB" w:eastAsia="en-US"/>
                    </w:rPr>
                    <w:tab/>
                  </w:r>
                  <w:r w:rsidRPr="004E4188">
                    <w:rPr>
                      <w:szCs w:val="24"/>
                      <w:lang w:eastAsia="en-US"/>
                    </w:rPr>
                    <w:t>affranchissement</w:t>
                  </w:r>
                </w:p>
              </w:tc>
              <w:tc>
                <w:tcPr>
                  <w:tcW w:w="2268" w:type="dxa"/>
                  <w:gridSpan w:val="2"/>
                  <w:vMerge/>
                  <w:shd w:val="clear" w:color="auto" w:fill="auto"/>
                </w:tcPr>
                <w:p w14:paraId="2E9ECFAE" w14:textId="77777777" w:rsidR="007049A5" w:rsidRPr="004E4188" w:rsidRDefault="007049A5" w:rsidP="006C6267">
                  <w:pPr>
                    <w:widowControl w:val="0"/>
                    <w:suppressAutoHyphens w:val="0"/>
                    <w:overflowPunct/>
                    <w:autoSpaceDE/>
                    <w:autoSpaceDN/>
                    <w:adjustRightInd/>
                    <w:spacing w:before="60" w:after="60"/>
                    <w:textAlignment w:val="auto"/>
                    <w:rPr>
                      <w:szCs w:val="24"/>
                      <w:lang w:val="en-GB" w:eastAsia="en-US"/>
                    </w:rPr>
                  </w:pPr>
                </w:p>
              </w:tc>
              <w:tc>
                <w:tcPr>
                  <w:tcW w:w="2268" w:type="dxa"/>
                  <w:vMerge/>
                  <w:tcBorders>
                    <w:right w:val="single" w:sz="4" w:space="0" w:color="auto"/>
                  </w:tcBorders>
                  <w:shd w:val="clear" w:color="auto" w:fill="auto"/>
                </w:tcPr>
                <w:p w14:paraId="1D9215DD" w14:textId="77777777" w:rsidR="007049A5" w:rsidRPr="004E4188" w:rsidRDefault="007049A5" w:rsidP="006C6267">
                  <w:pPr>
                    <w:widowControl w:val="0"/>
                    <w:suppressAutoHyphens w:val="0"/>
                    <w:overflowPunct/>
                    <w:autoSpaceDE/>
                    <w:autoSpaceDN/>
                    <w:adjustRightInd/>
                    <w:spacing w:before="60" w:after="60"/>
                    <w:textAlignment w:val="auto"/>
                    <w:rPr>
                      <w:szCs w:val="24"/>
                      <w:lang w:val="en-GB" w:eastAsia="en-US"/>
                    </w:rPr>
                  </w:pPr>
                </w:p>
              </w:tc>
            </w:tr>
            <w:tr w:rsidR="007049A5" w:rsidRPr="004E4188" w14:paraId="68DDA482" w14:textId="77777777" w:rsidTr="006C6267">
              <w:tc>
                <w:tcPr>
                  <w:tcW w:w="737" w:type="dxa"/>
                  <w:vMerge/>
                  <w:tcBorders>
                    <w:left w:val="single" w:sz="4" w:space="0" w:color="auto"/>
                  </w:tcBorders>
                  <w:shd w:val="clear" w:color="auto" w:fill="auto"/>
                </w:tcPr>
                <w:p w14:paraId="04840EF4" w14:textId="77777777" w:rsidR="007049A5" w:rsidRPr="004E4188" w:rsidRDefault="007049A5" w:rsidP="006C6267">
                  <w:pPr>
                    <w:widowControl w:val="0"/>
                    <w:suppressAutoHyphens w:val="0"/>
                    <w:overflowPunct/>
                    <w:autoSpaceDE/>
                    <w:autoSpaceDN/>
                    <w:adjustRightInd/>
                    <w:spacing w:before="60" w:after="60"/>
                    <w:jc w:val="left"/>
                    <w:textAlignment w:val="auto"/>
                    <w:rPr>
                      <w:szCs w:val="24"/>
                      <w:lang w:val="en-GB" w:eastAsia="en-US"/>
                    </w:rPr>
                  </w:pPr>
                </w:p>
              </w:tc>
              <w:tc>
                <w:tcPr>
                  <w:tcW w:w="2396" w:type="dxa"/>
                  <w:tcBorders>
                    <w:top w:val="nil"/>
                  </w:tcBorders>
                  <w:shd w:val="clear" w:color="auto" w:fill="auto"/>
                </w:tcPr>
                <w:p w14:paraId="593E6847" w14:textId="77777777" w:rsidR="007049A5" w:rsidRPr="004E4188" w:rsidRDefault="007049A5" w:rsidP="006C6267">
                  <w:pPr>
                    <w:widowControl w:val="0"/>
                    <w:tabs>
                      <w:tab w:val="left" w:pos="458"/>
                    </w:tabs>
                    <w:suppressAutoHyphens w:val="0"/>
                    <w:overflowPunct/>
                    <w:autoSpaceDE/>
                    <w:autoSpaceDN/>
                    <w:adjustRightInd/>
                    <w:spacing w:before="60" w:after="60"/>
                    <w:ind w:left="458" w:hanging="470"/>
                    <w:jc w:val="left"/>
                    <w:textAlignment w:val="auto"/>
                    <w:rPr>
                      <w:szCs w:val="24"/>
                      <w:lang w:val="en-GB" w:eastAsia="en-US"/>
                    </w:rPr>
                  </w:pPr>
                  <w:r w:rsidRPr="004E4188">
                    <w:rPr>
                      <w:szCs w:val="24"/>
                      <w:lang w:val="en-GB" w:eastAsia="en-US"/>
                    </w:rPr>
                    <w:t xml:space="preserve">(h) </w:t>
                  </w:r>
                  <w:r w:rsidRPr="004E4188">
                    <w:rPr>
                      <w:szCs w:val="24"/>
                      <w:lang w:val="en-GB" w:eastAsia="en-US"/>
                    </w:rPr>
                    <w:tab/>
                    <w:t>autres</w:t>
                  </w:r>
                </w:p>
              </w:tc>
              <w:tc>
                <w:tcPr>
                  <w:tcW w:w="2268" w:type="dxa"/>
                  <w:gridSpan w:val="2"/>
                  <w:vMerge/>
                  <w:shd w:val="clear" w:color="auto" w:fill="auto"/>
                </w:tcPr>
                <w:p w14:paraId="4A334A21" w14:textId="77777777" w:rsidR="007049A5" w:rsidRPr="004E4188" w:rsidRDefault="007049A5" w:rsidP="006C6267">
                  <w:pPr>
                    <w:widowControl w:val="0"/>
                    <w:suppressAutoHyphens w:val="0"/>
                    <w:overflowPunct/>
                    <w:autoSpaceDE/>
                    <w:autoSpaceDN/>
                    <w:adjustRightInd/>
                    <w:spacing w:before="60" w:after="60"/>
                    <w:textAlignment w:val="auto"/>
                    <w:rPr>
                      <w:szCs w:val="24"/>
                      <w:lang w:val="en-GB" w:eastAsia="en-US"/>
                    </w:rPr>
                  </w:pPr>
                </w:p>
              </w:tc>
              <w:tc>
                <w:tcPr>
                  <w:tcW w:w="2268" w:type="dxa"/>
                  <w:vMerge/>
                  <w:tcBorders>
                    <w:right w:val="single" w:sz="4" w:space="0" w:color="auto"/>
                  </w:tcBorders>
                  <w:shd w:val="clear" w:color="auto" w:fill="auto"/>
                </w:tcPr>
                <w:p w14:paraId="2CAFA1C4" w14:textId="77777777" w:rsidR="007049A5" w:rsidRPr="004E4188" w:rsidRDefault="007049A5" w:rsidP="006C6267">
                  <w:pPr>
                    <w:widowControl w:val="0"/>
                    <w:suppressAutoHyphens w:val="0"/>
                    <w:overflowPunct/>
                    <w:autoSpaceDE/>
                    <w:autoSpaceDN/>
                    <w:adjustRightInd/>
                    <w:spacing w:before="60" w:after="60"/>
                    <w:textAlignment w:val="auto"/>
                    <w:rPr>
                      <w:szCs w:val="24"/>
                      <w:lang w:val="en-GB" w:eastAsia="en-US"/>
                    </w:rPr>
                  </w:pPr>
                </w:p>
              </w:tc>
            </w:tr>
            <w:tr w:rsidR="007049A5" w:rsidRPr="004E4188" w14:paraId="1D4E6915" w14:textId="77777777" w:rsidTr="006C6267">
              <w:tc>
                <w:tcPr>
                  <w:tcW w:w="737" w:type="dxa"/>
                  <w:tcBorders>
                    <w:left w:val="single" w:sz="4" w:space="0" w:color="auto"/>
                    <w:bottom w:val="single" w:sz="4" w:space="0" w:color="auto"/>
                  </w:tcBorders>
                  <w:shd w:val="clear" w:color="auto" w:fill="auto"/>
                </w:tcPr>
                <w:p w14:paraId="19FCF3EF" w14:textId="77777777" w:rsidR="007049A5" w:rsidRPr="004E4188" w:rsidRDefault="007049A5" w:rsidP="006C6267">
                  <w:pPr>
                    <w:widowControl w:val="0"/>
                    <w:suppressAutoHyphens w:val="0"/>
                    <w:overflowPunct/>
                    <w:autoSpaceDE/>
                    <w:autoSpaceDN/>
                    <w:adjustRightInd/>
                    <w:spacing w:before="60" w:after="60"/>
                    <w:textAlignment w:val="auto"/>
                    <w:rPr>
                      <w:szCs w:val="24"/>
                      <w:lang w:val="en-GB" w:eastAsia="en-US"/>
                    </w:rPr>
                  </w:pPr>
                </w:p>
              </w:tc>
              <w:tc>
                <w:tcPr>
                  <w:tcW w:w="2396" w:type="dxa"/>
                  <w:tcBorders>
                    <w:bottom w:val="single" w:sz="4" w:space="0" w:color="auto"/>
                  </w:tcBorders>
                  <w:shd w:val="clear" w:color="auto" w:fill="auto"/>
                  <w:vAlign w:val="center"/>
                </w:tcPr>
                <w:p w14:paraId="1826D019" w14:textId="77777777" w:rsidR="007049A5" w:rsidRPr="004E4188" w:rsidRDefault="007049A5" w:rsidP="006C6267">
                  <w:pPr>
                    <w:widowControl w:val="0"/>
                    <w:suppressAutoHyphens w:val="0"/>
                    <w:overflowPunct/>
                    <w:autoSpaceDE/>
                    <w:autoSpaceDN/>
                    <w:adjustRightInd/>
                    <w:spacing w:before="60" w:after="60"/>
                    <w:jc w:val="center"/>
                    <w:textAlignment w:val="auto"/>
                    <w:rPr>
                      <w:szCs w:val="24"/>
                      <w:lang w:val="en-GB" w:eastAsia="en-US"/>
                    </w:rPr>
                  </w:pPr>
                  <w:r w:rsidRPr="004E4188">
                    <w:rPr>
                      <w:szCs w:val="24"/>
                      <w:lang w:val="en-GB" w:eastAsia="en-US"/>
                    </w:rPr>
                    <w:t>Total</w:t>
                  </w:r>
                </w:p>
              </w:tc>
              <w:tc>
                <w:tcPr>
                  <w:tcW w:w="2268" w:type="dxa"/>
                  <w:gridSpan w:val="2"/>
                  <w:tcBorders>
                    <w:bottom w:val="single" w:sz="4" w:space="0" w:color="auto"/>
                  </w:tcBorders>
                  <w:shd w:val="clear" w:color="auto" w:fill="auto"/>
                  <w:vAlign w:val="center"/>
                </w:tcPr>
                <w:p w14:paraId="240A125F" w14:textId="77777777" w:rsidR="007049A5" w:rsidRPr="004E4188" w:rsidRDefault="00000000" w:rsidP="006C6267">
                  <w:pPr>
                    <w:widowControl w:val="0"/>
                    <w:suppressAutoHyphens w:val="0"/>
                    <w:overflowPunct/>
                    <w:autoSpaceDE/>
                    <w:autoSpaceDN/>
                    <w:adjustRightInd/>
                    <w:spacing w:before="60" w:after="60"/>
                    <w:jc w:val="center"/>
                    <w:textAlignment w:val="auto"/>
                    <w:rPr>
                      <w:szCs w:val="24"/>
                      <w:lang w:val="en-GB" w:eastAsia="en-US"/>
                    </w:rPr>
                  </w:pPr>
                  <m:oMathPara>
                    <m:oMath>
                      <m:nary>
                        <m:naryPr>
                          <m:chr m:val="∑"/>
                          <m:limLoc m:val="undOvr"/>
                          <m:subHide m:val="1"/>
                          <m:supHide m:val="1"/>
                          <m:ctrlPr>
                            <w:rPr>
                              <w:rFonts w:ascii="Cambria Math" w:eastAsia="游明朝" w:hAnsi="Cambria Math"/>
                              <w:i/>
                              <w:sz w:val="22"/>
                              <w:szCs w:val="22"/>
                              <w:lang w:val="en-US" w:eastAsia="ja-JP"/>
                            </w:rPr>
                          </m:ctrlPr>
                        </m:naryPr>
                        <m:sub/>
                        <m:sup/>
                        <m:e>
                          <m:r>
                            <w:rPr>
                              <w:rFonts w:ascii="Cambria Math" w:hAnsi="Cambria Math"/>
                              <w:sz w:val="22"/>
                              <w:szCs w:val="22"/>
                              <w:lang w:val="en-GB" w:eastAsia="en-US"/>
                            </w:rPr>
                            <m:t>RC</m:t>
                          </m:r>
                        </m:e>
                      </m:nary>
                    </m:oMath>
                  </m:oMathPara>
                </w:p>
              </w:tc>
              <w:tc>
                <w:tcPr>
                  <w:tcW w:w="2268" w:type="dxa"/>
                  <w:tcBorders>
                    <w:bottom w:val="single" w:sz="4" w:space="0" w:color="auto"/>
                    <w:right w:val="single" w:sz="4" w:space="0" w:color="auto"/>
                  </w:tcBorders>
                  <w:shd w:val="clear" w:color="auto" w:fill="auto"/>
                  <w:vAlign w:val="center"/>
                </w:tcPr>
                <w:p w14:paraId="316F7E56" w14:textId="77777777" w:rsidR="007049A5" w:rsidRPr="004E4188" w:rsidRDefault="00000000" w:rsidP="006C6267">
                  <w:pPr>
                    <w:widowControl w:val="0"/>
                    <w:suppressAutoHyphens w:val="0"/>
                    <w:overflowPunct/>
                    <w:autoSpaceDE/>
                    <w:autoSpaceDN/>
                    <w:adjustRightInd/>
                    <w:spacing w:before="60" w:after="60"/>
                    <w:jc w:val="center"/>
                    <w:textAlignment w:val="auto"/>
                    <w:rPr>
                      <w:szCs w:val="24"/>
                      <w:lang w:val="en-GB" w:eastAsia="en-US"/>
                    </w:rPr>
                  </w:pPr>
                  <m:oMathPara>
                    <m:oMath>
                      <m:nary>
                        <m:naryPr>
                          <m:chr m:val="∑"/>
                          <m:limLoc m:val="undOvr"/>
                          <m:subHide m:val="1"/>
                          <m:supHide m:val="1"/>
                          <m:ctrlPr>
                            <w:rPr>
                              <w:rFonts w:ascii="Cambria Math" w:eastAsia="游明朝" w:hAnsi="Cambria Math"/>
                              <w:i/>
                              <w:sz w:val="22"/>
                              <w:szCs w:val="22"/>
                              <w:lang w:val="en-US" w:eastAsia="ja-JP"/>
                            </w:rPr>
                          </m:ctrlPr>
                        </m:naryPr>
                        <m:sub/>
                        <m:sup/>
                        <m:e>
                          <m:r>
                            <w:rPr>
                              <w:rFonts w:ascii="Cambria Math" w:hAnsi="Cambria Math"/>
                              <w:sz w:val="22"/>
                              <w:szCs w:val="22"/>
                              <w:lang w:val="en-GB" w:eastAsia="en-US"/>
                            </w:rPr>
                            <m:t>NRC</m:t>
                          </m:r>
                        </m:e>
                      </m:nary>
                    </m:oMath>
                  </m:oMathPara>
                </w:p>
              </w:tc>
            </w:tr>
            <w:tr w:rsidR="007049A5" w:rsidRPr="004E4188" w14:paraId="4CFC7CA6" w14:textId="77777777" w:rsidTr="006C6267">
              <w:trPr>
                <w:trHeight w:val="750"/>
              </w:trPr>
              <w:tc>
                <w:tcPr>
                  <w:tcW w:w="4267" w:type="dxa"/>
                  <w:gridSpan w:val="3"/>
                  <w:tcBorders>
                    <w:left w:val="single" w:sz="4" w:space="0" w:color="auto"/>
                    <w:bottom w:val="single" w:sz="4" w:space="0" w:color="auto"/>
                    <w:right w:val="nil"/>
                  </w:tcBorders>
                  <w:shd w:val="clear" w:color="auto" w:fill="auto"/>
                  <w:vAlign w:val="center"/>
                </w:tcPr>
                <w:p w14:paraId="64221B2D" w14:textId="77777777" w:rsidR="007049A5" w:rsidRPr="004E4188" w:rsidRDefault="007049A5" w:rsidP="006C6267">
                  <w:pPr>
                    <w:widowControl w:val="0"/>
                    <w:jc w:val="center"/>
                    <w:rPr>
                      <w:szCs w:val="24"/>
                    </w:rPr>
                  </w:pPr>
                  <w:r w:rsidRPr="004E4188">
                    <w:rPr>
                      <w:szCs w:val="24"/>
                    </w:rPr>
                    <w:t>Somme provisionnelle pour le coût du Comité de Règlement des Différends</w:t>
                  </w:r>
                </w:p>
              </w:tc>
              <w:tc>
                <w:tcPr>
                  <w:tcW w:w="3402" w:type="dxa"/>
                  <w:gridSpan w:val="2"/>
                  <w:tcBorders>
                    <w:left w:val="nil"/>
                    <w:bottom w:val="single" w:sz="4" w:space="0" w:color="auto"/>
                    <w:right w:val="single" w:sz="4" w:space="0" w:color="auto"/>
                  </w:tcBorders>
                  <w:shd w:val="clear" w:color="auto" w:fill="auto"/>
                  <w:vAlign w:val="center"/>
                </w:tcPr>
                <w:p w14:paraId="0B79714E" w14:textId="77777777" w:rsidR="007049A5" w:rsidRPr="004E4188" w:rsidRDefault="007049A5" w:rsidP="006C6267">
                  <w:pPr>
                    <w:widowControl w:val="0"/>
                    <w:suppressAutoHyphens w:val="0"/>
                    <w:overflowPunct/>
                    <w:autoSpaceDE/>
                    <w:autoSpaceDN/>
                    <w:adjustRightInd/>
                    <w:jc w:val="left"/>
                    <w:textAlignment w:val="auto"/>
                    <w:rPr>
                      <w:sz w:val="18"/>
                      <w:szCs w:val="18"/>
                    </w:rPr>
                  </w:pPr>
                  <m:oMathPara>
                    <m:oMathParaPr>
                      <m:jc m:val="left"/>
                    </m:oMathParaPr>
                    <m:oMath>
                      <m:r>
                        <m:rPr>
                          <m:sty m:val="p"/>
                        </m:rPr>
                        <w:rPr>
                          <w:rFonts w:ascii="Cambria Math" w:hAnsi="Cambria Math"/>
                          <w:sz w:val="20"/>
                          <w:lang w:val="en-GB" w:eastAsia="ja-JP"/>
                        </w:rPr>
                        <m:t>=</m:t>
                      </m:r>
                      <m:nary>
                        <m:naryPr>
                          <m:chr m:val="∑"/>
                          <m:limLoc m:val="undOvr"/>
                          <m:subHide m:val="1"/>
                          <m:supHide m:val="1"/>
                          <m:ctrlPr>
                            <w:rPr>
                              <w:rFonts w:ascii="Cambria Math" w:hAnsi="Cambria Math"/>
                              <w:sz w:val="20"/>
                              <w:lang w:val="en-GB" w:eastAsia="ja-JP"/>
                            </w:rPr>
                          </m:ctrlPr>
                        </m:naryPr>
                        <m:sub/>
                        <m:sup/>
                        <m:e>
                          <m:r>
                            <w:rPr>
                              <w:rFonts w:ascii="Cambria Math" w:hAnsi="Cambria Math"/>
                              <w:sz w:val="20"/>
                              <w:lang w:val="en-GB" w:eastAsia="ja-JP"/>
                            </w:rPr>
                            <m:t>RC</m:t>
                          </m:r>
                        </m:e>
                      </m:nary>
                      <m:r>
                        <m:rPr>
                          <m:sty m:val="p"/>
                        </m:rPr>
                        <w:rPr>
                          <w:rFonts w:ascii="Cambria Math" w:hAnsi="Cambria Math"/>
                          <w:sz w:val="20"/>
                          <w:lang w:val="en-GB" w:eastAsia="ja-JP"/>
                        </w:rPr>
                        <m:t>+</m:t>
                      </m:r>
                      <m:f>
                        <m:fPr>
                          <m:ctrlPr>
                            <w:rPr>
                              <w:rFonts w:ascii="Cambria Math" w:hAnsi="Cambria Math"/>
                              <w:sz w:val="20"/>
                              <w:lang w:val="en-GB" w:eastAsia="ja-JP"/>
                            </w:rPr>
                          </m:ctrlPr>
                        </m:fPr>
                        <m:num>
                          <m:nary>
                            <m:naryPr>
                              <m:chr m:val="∑"/>
                              <m:limLoc m:val="undOvr"/>
                              <m:subHide m:val="1"/>
                              <m:supHide m:val="1"/>
                              <m:ctrlPr>
                                <w:rPr>
                                  <w:rFonts w:ascii="Cambria Math" w:hAnsi="Cambria Math"/>
                                  <w:sz w:val="20"/>
                                  <w:lang w:val="en-GB" w:eastAsia="ja-JP"/>
                                </w:rPr>
                              </m:ctrlPr>
                            </m:naryPr>
                            <m:sub/>
                            <m:sup/>
                            <m:e>
                              <m:r>
                                <w:rPr>
                                  <w:rFonts w:ascii="Cambria Math" w:hAnsi="Cambria Math"/>
                                  <w:sz w:val="20"/>
                                  <w:lang w:val="en-GB" w:eastAsia="ja-JP"/>
                                </w:rPr>
                                <m:t>NRC</m:t>
                              </m:r>
                            </m:e>
                          </m:nary>
                        </m:num>
                        <m:den>
                          <m:r>
                            <m:rPr>
                              <m:sty m:val="p"/>
                            </m:rPr>
                            <w:rPr>
                              <w:rFonts w:ascii="Cambria Math" w:hAnsi="Cambria Math"/>
                              <w:sz w:val="20"/>
                              <w:lang w:val="en-GB" w:eastAsia="ja-JP"/>
                            </w:rPr>
                            <m:t>2</m:t>
                          </m:r>
                        </m:den>
                      </m:f>
                    </m:oMath>
                  </m:oMathPara>
                </w:p>
              </w:tc>
            </w:tr>
          </w:tbl>
          <w:p w14:paraId="0D46D8CE" w14:textId="77777777" w:rsidR="007049A5" w:rsidRPr="004E4188" w:rsidRDefault="007049A5" w:rsidP="006C6267">
            <w:pPr>
              <w:widowControl w:val="0"/>
              <w:rPr>
                <w:szCs w:val="24"/>
                <w:lang w:val="en-US"/>
              </w:rPr>
            </w:pPr>
          </w:p>
          <w:p w14:paraId="71F80AE9" w14:textId="77777777" w:rsidR="007049A5" w:rsidRPr="004E4188" w:rsidRDefault="007049A5" w:rsidP="006C6267">
            <w:pPr>
              <w:widowControl w:val="0"/>
              <w:rPr>
                <w:b/>
                <w:szCs w:val="24"/>
              </w:rPr>
            </w:pPr>
          </w:p>
          <w:p w14:paraId="53C76FB3" w14:textId="77777777" w:rsidR="007049A5" w:rsidRPr="004E4188" w:rsidRDefault="007049A5" w:rsidP="006C6267">
            <w:pPr>
              <w:widowControl w:val="0"/>
              <w:spacing w:after="120"/>
              <w:rPr>
                <w:b/>
                <w:szCs w:val="24"/>
                <w:lang w:eastAsia="ja-JP"/>
              </w:rPr>
            </w:pPr>
            <w:r w:rsidRPr="004E4188">
              <w:rPr>
                <w:b/>
                <w:szCs w:val="24"/>
              </w:rPr>
              <w:t>Provision pour risqu</w:t>
            </w:r>
            <w:r w:rsidRPr="004E4188">
              <w:rPr>
                <w:b/>
                <w:szCs w:val="24"/>
                <w:lang w:eastAsia="ja-JP"/>
              </w:rPr>
              <w:t>e</w:t>
            </w:r>
          </w:p>
          <w:p w14:paraId="251504F7" w14:textId="77777777" w:rsidR="007049A5" w:rsidRPr="004E4188" w:rsidRDefault="007049A5" w:rsidP="006C6267">
            <w:pPr>
              <w:widowControl w:val="0"/>
              <w:rPr>
                <w:szCs w:val="24"/>
              </w:rPr>
            </w:pPr>
            <w:r w:rsidRPr="004E4188">
              <w:rPr>
                <w:szCs w:val="24"/>
              </w:rPr>
              <w:t>La prise en compte des coûts supplémentaires qui peuvent survenir pendant la mise en œuvre du projet en raison de circonstances imprévues doit être faite en indiquant une provision pour risque dans le tableau récapitulatif. L’ajout de cette provision pour risque au prix de l’offre rendra le montant final du Marché plus réaliste et facilitera d’autant l’approbation budgétaire en évitant d’avoir à obtenir des approbations supplémentaires lorsque des besoins surgiront à l’avenir. Lors de la détermination du montant de cette provision pour risque, l’effet de la hausse des prix (si le Marché autorise la révision des prix) sur la valeur estimée du Marché, doit être pris en compte afin que la provision pour risque puisse couvrir non seulement des variations imprévues de travail, mais également des variations imprévues de prix.</w:t>
            </w:r>
          </w:p>
          <w:p w14:paraId="326C3087" w14:textId="77777777" w:rsidR="007049A5" w:rsidRPr="004E4188" w:rsidRDefault="007049A5" w:rsidP="006C6267">
            <w:pPr>
              <w:widowControl w:val="0"/>
              <w:rPr>
                <w:szCs w:val="24"/>
              </w:rPr>
            </w:pPr>
          </w:p>
          <w:p w14:paraId="7B8E78BE" w14:textId="77777777" w:rsidR="007049A5" w:rsidRPr="004E4188" w:rsidRDefault="007049A5" w:rsidP="006C6267">
            <w:pPr>
              <w:widowControl w:val="0"/>
              <w:spacing w:after="120"/>
              <w:rPr>
                <w:b/>
                <w:szCs w:val="24"/>
              </w:rPr>
            </w:pPr>
            <w:r w:rsidRPr="004E4188">
              <w:rPr>
                <w:b/>
                <w:szCs w:val="24"/>
              </w:rPr>
              <w:t>Postes couvrant les clauses sociales</w:t>
            </w:r>
          </w:p>
          <w:p w14:paraId="23BAF8BA" w14:textId="54F1B012" w:rsidR="007049A5" w:rsidRPr="004E4188" w:rsidRDefault="007049A5" w:rsidP="006C6267">
            <w:pPr>
              <w:widowControl w:val="0"/>
              <w:spacing w:afterLines="100" w:after="240"/>
              <w:rPr>
                <w:szCs w:val="24"/>
              </w:rPr>
            </w:pPr>
            <w:r w:rsidRPr="004E4188">
              <w:rPr>
                <w:szCs w:val="24"/>
              </w:rPr>
              <w:t>Le Maître d’ouvrage doit décider si le coût pour être conforme avec les exigences des « clauses sociales » (Articles 22.4.1 à 22.4.22 des Conditions du Marché), dans la mesure indiquée dans les Exigences du Maître d’ouvrage, doit être considéré par le Soumissionnaire comme faisant partie de ses frais généraux ou s’il doit être considéré comme un coût associé à un ou plusieurs postes des Bordereaux des prix répondant à ces exigences. En règle générale, ce coût devra faire partie des frais généraux du Soumissionnaire, sauf si le coût pour être conforme avec les exigences de tout ou partie des « clauses sociales » représente une part importante des travaux ou services, comme indiqué dans les Exigences du Maître d’ouvrage. Si des postes sont inclus dans les Bordereaux des prix, les installations peuvent être métrées et payées par des versements mensuels afin de permettre au Maître d</w:t>
            </w:r>
            <w:r w:rsidR="005E3AD1" w:rsidRPr="004E4188">
              <w:rPr>
                <w:szCs w:val="24"/>
              </w:rPr>
              <w:t>’</w:t>
            </w:r>
            <w:r w:rsidRPr="004E4188">
              <w:rPr>
                <w:szCs w:val="24"/>
              </w:rPr>
              <w:t>ouvrage de contrôler la mise en œuvre des installations et des services à fournir.</w:t>
            </w:r>
          </w:p>
          <w:p w14:paraId="56E4BA08" w14:textId="77777777" w:rsidR="007049A5" w:rsidRPr="004E4188" w:rsidRDefault="007049A5" w:rsidP="006C6267">
            <w:pPr>
              <w:widowControl w:val="0"/>
              <w:tabs>
                <w:tab w:val="left" w:pos="8534"/>
              </w:tabs>
              <w:spacing w:afterLines="100" w:after="240"/>
              <w:rPr>
                <w:szCs w:val="24"/>
              </w:rPr>
            </w:pPr>
            <w:r w:rsidRPr="004E4188">
              <w:rPr>
                <w:szCs w:val="24"/>
              </w:rPr>
              <w:t>L’exemple qui suit illustre dans quels cas le coût pour être conforme avec les clauses sociales peut être inclus par l’Entrepreneur dans les frais généraux ou être inclus dans des postes particuliers. En ce qui concerne la prévention du VIH/SIDA en vertu de l’Article 22.4.7 des Conditions du Marché, dans les pays où le gouvernement a des programmes publics pour le VIH/SIDA, l’Entrepreneur aura seulement à créer une base de soutien dont le coût pourra être inclus dans ses frais généraux. En fait, dans de nombreux marchés (notamment en milieu urbain), les travailleurs ne logent pas sur le site mais à leur domicile et la question pourrait être abordée d’une manière différente. Dans le cas d’é</w:t>
            </w:r>
            <w:r w:rsidRPr="004E4188">
              <w:t>quipements et services de montage</w:t>
            </w:r>
            <w:r w:rsidRPr="004E4188">
              <w:rPr>
                <w:szCs w:val="24"/>
              </w:rPr>
              <w:t xml:space="preserve"> dans des endroits isolés où le coût d’un tel soutien sera plus élevé, celui-ci devra être un poste des Bordereaux des prix.</w:t>
            </w:r>
          </w:p>
          <w:p w14:paraId="1FC1A32B" w14:textId="77777777" w:rsidR="007049A5" w:rsidRPr="004E4188" w:rsidRDefault="007049A5" w:rsidP="006C6267">
            <w:pPr>
              <w:widowControl w:val="0"/>
              <w:spacing w:after="120"/>
              <w:rPr>
                <w:b/>
                <w:szCs w:val="24"/>
              </w:rPr>
            </w:pPr>
            <w:r w:rsidRPr="004E4188">
              <w:rPr>
                <w:b/>
                <w:szCs w:val="24"/>
              </w:rPr>
              <w:t>Tableau récapitulatif</w:t>
            </w:r>
          </w:p>
          <w:p w14:paraId="629D6F6D" w14:textId="316093DD" w:rsidR="007049A5" w:rsidRPr="004E4188" w:rsidRDefault="007049A5" w:rsidP="00C6592A">
            <w:pPr>
              <w:widowControl w:val="0"/>
              <w:spacing w:afterLines="100" w:after="240"/>
              <w:rPr>
                <w:noProof/>
                <w:sz w:val="22"/>
                <w:lang w:eastAsia="ja-JP"/>
              </w:rPr>
            </w:pPr>
            <w:r w:rsidRPr="004E4188">
              <w:rPr>
                <w:szCs w:val="24"/>
              </w:rPr>
              <w:t xml:space="preserve">Le </w:t>
            </w:r>
            <w:r w:rsidR="00C6592A" w:rsidRPr="004E4188">
              <w:rPr>
                <w:szCs w:val="24"/>
              </w:rPr>
              <w:t>t</w:t>
            </w:r>
            <w:r w:rsidRPr="004E4188">
              <w:rPr>
                <w:szCs w:val="24"/>
              </w:rPr>
              <w:t>ableau récapitulatif doit contenir la totalisation des différentes parties des Bordereaux des prix, avec les sommes provisionnelles de nature spécifiques et la provision pour risques, lorsqu’il y a lieu.</w:t>
            </w:r>
          </w:p>
        </w:tc>
      </w:tr>
    </w:tbl>
    <w:p w14:paraId="46FE094B" w14:textId="77777777" w:rsidR="007049A5" w:rsidRPr="004E4188" w:rsidRDefault="007049A5" w:rsidP="000F0031">
      <w:pPr>
        <w:rPr>
          <w:szCs w:val="24"/>
          <w:lang w:eastAsia="ja-JP"/>
        </w:rPr>
      </w:pPr>
    </w:p>
    <w:p w14:paraId="1AB76468" w14:textId="77777777" w:rsidR="007049A5" w:rsidRPr="004E4188" w:rsidRDefault="007049A5" w:rsidP="000F0031">
      <w:pPr>
        <w:rPr>
          <w:szCs w:val="24"/>
          <w:lang w:eastAsia="ja-JP"/>
        </w:rPr>
      </w:pPr>
    </w:p>
    <w:p w14:paraId="3594824D" w14:textId="77777777" w:rsidR="007049A5" w:rsidRPr="004E4188" w:rsidRDefault="007049A5" w:rsidP="000F0031">
      <w:pPr>
        <w:rPr>
          <w:szCs w:val="24"/>
          <w:lang w:eastAsia="ja-JP"/>
        </w:rPr>
      </w:pPr>
    </w:p>
    <w:p w14:paraId="1D5792CD" w14:textId="77777777" w:rsidR="007049A5" w:rsidRPr="004E4188" w:rsidRDefault="007049A5">
      <w:pPr>
        <w:suppressAutoHyphens w:val="0"/>
        <w:overflowPunct/>
        <w:autoSpaceDE/>
        <w:autoSpaceDN/>
        <w:adjustRightInd/>
        <w:jc w:val="left"/>
        <w:textAlignment w:val="auto"/>
        <w:rPr>
          <w:szCs w:val="24"/>
          <w:lang w:eastAsia="ja-JP"/>
        </w:rPr>
      </w:pPr>
      <w:r w:rsidRPr="004E4188">
        <w:rPr>
          <w:szCs w:val="24"/>
          <w:lang w:eastAsia="ja-JP"/>
        </w:rPr>
        <w:br w:type="page"/>
      </w:r>
    </w:p>
    <w:p w14:paraId="0AE33743" w14:textId="77777777" w:rsidR="007049A5" w:rsidRPr="004E4188" w:rsidRDefault="007049A5" w:rsidP="006C6267">
      <w:pPr>
        <w:suppressAutoHyphens w:val="0"/>
        <w:overflowPunct/>
        <w:autoSpaceDE/>
        <w:autoSpaceDN/>
        <w:adjustRightInd/>
        <w:jc w:val="center"/>
        <w:textAlignment w:val="auto"/>
        <w:rPr>
          <w:noProof/>
          <w:sz w:val="28"/>
          <w:szCs w:val="28"/>
          <w:lang w:eastAsia="en-US"/>
        </w:rPr>
      </w:pPr>
      <w:r w:rsidRPr="004E4188">
        <w:rPr>
          <w:b/>
          <w:noProof/>
          <w:sz w:val="28"/>
          <w:szCs w:val="28"/>
          <w:lang w:eastAsia="en-US"/>
        </w:rPr>
        <w:t>A.  Préambule</w:t>
      </w:r>
      <w:r w:rsidRPr="004E4188">
        <w:rPr>
          <w:b/>
          <w:noProof/>
          <w:sz w:val="28"/>
          <w:szCs w:val="28"/>
          <w:lang w:eastAsia="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7049A5" w:rsidRPr="004E4188" w14:paraId="5F448FF4" w14:textId="77777777" w:rsidTr="006C6267">
        <w:tc>
          <w:tcPr>
            <w:tcW w:w="9219" w:type="dxa"/>
            <w:shd w:val="clear" w:color="auto" w:fill="auto"/>
          </w:tcPr>
          <w:p w14:paraId="49CBC2DB" w14:textId="77777777" w:rsidR="007049A5" w:rsidRPr="004E4188" w:rsidRDefault="007049A5" w:rsidP="006C6267">
            <w:pPr>
              <w:jc w:val="center"/>
              <w:rPr>
                <w:b/>
                <w:szCs w:val="24"/>
              </w:rPr>
            </w:pPr>
            <w:r w:rsidRPr="004E4188">
              <w:rPr>
                <w:b/>
                <w:szCs w:val="24"/>
              </w:rPr>
              <w:t>Notes à l’intention du Maître d’ouvrage</w:t>
            </w:r>
          </w:p>
          <w:p w14:paraId="28FF2A45" w14:textId="77777777" w:rsidR="007049A5" w:rsidRPr="004E4188" w:rsidRDefault="007049A5" w:rsidP="006C6267">
            <w:pPr>
              <w:jc w:val="center"/>
              <w:rPr>
                <w:b/>
                <w:szCs w:val="24"/>
                <w:u w:val="single"/>
              </w:rPr>
            </w:pPr>
          </w:p>
          <w:p w14:paraId="60056352" w14:textId="5F171A42" w:rsidR="007049A5" w:rsidRPr="004E4188" w:rsidRDefault="007049A5" w:rsidP="006C6267">
            <w:pPr>
              <w:rPr>
                <w:szCs w:val="24"/>
              </w:rPr>
            </w:pPr>
            <w:r w:rsidRPr="004E4188">
              <w:rPr>
                <w:szCs w:val="24"/>
              </w:rPr>
              <w:t>Le préambule est une partie essentielle des Bordereaux des prix car il énonce les principes généraux sur la base desquels les Bordereaux des prix sont préparés et chiffrés. Les paragraphes suivants ont été rédigés à l’intention du Maître d’ouvrage et ils doivent être modifiés ou complétés selon le cas, compte tenu des exigences spécifiques au pays, au projet et aux é</w:t>
            </w:r>
            <w:r w:rsidRPr="004E4188">
              <w:t>quipements et services de montage</w:t>
            </w:r>
            <w:r w:rsidRPr="004E4188">
              <w:rPr>
                <w:szCs w:val="24"/>
              </w:rPr>
              <w:t>.</w:t>
            </w:r>
          </w:p>
          <w:p w14:paraId="49C01ADA" w14:textId="77777777" w:rsidR="007049A5" w:rsidRPr="004E4188" w:rsidRDefault="007049A5" w:rsidP="006C6267">
            <w:pPr>
              <w:rPr>
                <w:szCs w:val="24"/>
              </w:rPr>
            </w:pPr>
          </w:p>
          <w:p w14:paraId="69D303C5" w14:textId="77777777" w:rsidR="007049A5" w:rsidRPr="004E4188" w:rsidRDefault="007049A5" w:rsidP="00C63838">
            <w:pPr>
              <w:spacing w:after="60"/>
              <w:rPr>
                <w:szCs w:val="24"/>
              </w:rPr>
            </w:pPr>
            <w:r w:rsidRPr="004E4188">
              <w:rPr>
                <w:szCs w:val="24"/>
              </w:rPr>
              <w:t>Le préambule doit être cohérent avec les Conditions Générales et Particulières</w:t>
            </w:r>
            <w:r w:rsidRPr="004E4188">
              <w:rPr>
                <w:rFonts w:hint="eastAsia"/>
                <w:szCs w:val="24"/>
                <w:lang w:eastAsia="ja-JP"/>
              </w:rPr>
              <w:t xml:space="preserve"> </w:t>
            </w:r>
            <w:r w:rsidRPr="004E4188">
              <w:rPr>
                <w:szCs w:val="24"/>
                <w:lang w:eastAsia="ja-JP"/>
              </w:rPr>
              <w:t>du Marché, les Exigences du Maître d’ouvrage et tout autre document faisant partie du Marché. Le Maître d’ouvrage doit s’assurer</w:t>
            </w:r>
            <w:r w:rsidRPr="004E4188">
              <w:rPr>
                <w:rFonts w:hint="eastAsia"/>
                <w:szCs w:val="24"/>
                <w:lang w:eastAsia="ja-JP"/>
              </w:rPr>
              <w:t xml:space="preserve"> que le préambule est joint </w:t>
            </w:r>
            <w:r w:rsidRPr="004E4188">
              <w:rPr>
                <w:szCs w:val="24"/>
                <w:lang w:eastAsia="ja-JP"/>
              </w:rPr>
              <w:t>aux Bordereaux des prix complétés</w:t>
            </w:r>
            <w:r w:rsidRPr="004E4188">
              <w:rPr>
                <w:rFonts w:hint="eastAsia"/>
                <w:szCs w:val="24"/>
                <w:lang w:eastAsia="ja-JP"/>
              </w:rPr>
              <w:t xml:space="preserve"> </w:t>
            </w:r>
            <w:r w:rsidRPr="004E4188">
              <w:rPr>
                <w:szCs w:val="24"/>
              </w:rPr>
              <w:t>lors de la constitution des documents du Marché.</w:t>
            </w:r>
          </w:p>
        </w:tc>
      </w:tr>
    </w:tbl>
    <w:p w14:paraId="6453795A" w14:textId="77777777" w:rsidR="007049A5" w:rsidRPr="004E4188" w:rsidRDefault="007049A5" w:rsidP="006C6267">
      <w:pPr>
        <w:suppressAutoHyphens w:val="0"/>
        <w:overflowPunct/>
        <w:autoSpaceDE/>
        <w:autoSpaceDN/>
        <w:adjustRightInd/>
        <w:textAlignment w:val="auto"/>
        <w:rPr>
          <w:noProof/>
          <w:lang w:eastAsia="en-US"/>
        </w:rPr>
      </w:pPr>
    </w:p>
    <w:p w14:paraId="7163593E" w14:textId="77777777" w:rsidR="007049A5" w:rsidRPr="004E4188" w:rsidRDefault="007049A5" w:rsidP="006C6267">
      <w:pPr>
        <w:suppressAutoHyphens w:val="0"/>
        <w:overflowPunct/>
        <w:autoSpaceDE/>
        <w:autoSpaceDN/>
        <w:adjustRightInd/>
        <w:textAlignment w:val="auto"/>
        <w:rPr>
          <w:noProof/>
          <w:lang w:eastAsia="en-US"/>
        </w:rPr>
      </w:pPr>
    </w:p>
    <w:p w14:paraId="0B63A0C7"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ja-JP"/>
        </w:rPr>
      </w:pPr>
      <w:r w:rsidRPr="004E4188">
        <w:rPr>
          <w:noProof/>
          <w:lang w:eastAsia="en-US"/>
        </w:rPr>
        <w:t>1.</w:t>
      </w:r>
      <w:r w:rsidRPr="004E4188">
        <w:rPr>
          <w:noProof/>
          <w:lang w:eastAsia="en-US"/>
        </w:rPr>
        <w:tab/>
        <w:t xml:space="preserve">Les Bordereaux des prix doivent </w:t>
      </w:r>
      <w:r w:rsidRPr="004E4188">
        <w:rPr>
          <w:szCs w:val="24"/>
          <w:lang w:eastAsia="en-US"/>
        </w:rPr>
        <w:t>être pris en compte par le Soumissionnaire conjointement avec les Conditions Générales et Particulières du Marché et les Exigences du Maître d’ouvrage.</w:t>
      </w:r>
    </w:p>
    <w:p w14:paraId="081BB283" w14:textId="77777777" w:rsidR="007049A5" w:rsidRPr="004E4188" w:rsidRDefault="007049A5" w:rsidP="006C6267">
      <w:pPr>
        <w:tabs>
          <w:tab w:val="left" w:pos="540"/>
        </w:tabs>
        <w:suppressAutoHyphens w:val="0"/>
        <w:overflowPunct/>
        <w:autoSpaceDE/>
        <w:autoSpaceDN/>
        <w:adjustRightInd/>
        <w:textAlignment w:val="auto"/>
        <w:rPr>
          <w:noProof/>
          <w:lang w:eastAsia="ja-JP"/>
        </w:rPr>
      </w:pPr>
    </w:p>
    <w:p w14:paraId="299BF241" w14:textId="0416A216"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r w:rsidRPr="004E4188">
        <w:rPr>
          <w:noProof/>
          <w:lang w:eastAsia="en-US"/>
        </w:rPr>
        <w:t>2.</w:t>
      </w:r>
      <w:r w:rsidRPr="004E4188">
        <w:rPr>
          <w:noProof/>
          <w:lang w:eastAsia="en-US"/>
        </w:rPr>
        <w:tab/>
      </w:r>
      <w:r w:rsidR="0072430E" w:rsidRPr="004E4188">
        <w:rPr>
          <w:noProof/>
          <w:lang w:eastAsia="en-US"/>
        </w:rPr>
        <w:t xml:space="preserve">À </w:t>
      </w:r>
      <w:r w:rsidRPr="004E4188">
        <w:rPr>
          <w:noProof/>
          <w:lang w:eastAsia="en-US"/>
        </w:rPr>
        <w:t xml:space="preserve">moins que les Conditions Particulières du Marché n’en disposent autrement, le Marché est exécuté sur la base d’un prix forfaitaire. De façon générale, les Bordereaux ne donnent pas une description complète des </w:t>
      </w:r>
      <w:r w:rsidRPr="004E4188">
        <w:rPr>
          <w:szCs w:val="24"/>
        </w:rPr>
        <w:t>É</w:t>
      </w:r>
      <w:r w:rsidRPr="004E4188">
        <w:t>quipements</w:t>
      </w:r>
      <w:r w:rsidRPr="004E4188">
        <w:rPr>
          <w:noProof/>
          <w:lang w:eastAsia="en-US"/>
        </w:rPr>
        <w:t xml:space="preserve"> à fournir ou des Services à effectuer dans chaque poste. Les Soumissionnaires sont réputés avoir lu les Exigences du Maître d’ouvrage et autres sections du Dossier d’appel d’offres, et avoir examiné les plans, pour comprendre l’ensemble des exigences de chaque poste avant d’en indiquer les taux et prix. Les quantités indiquées (le cas échéant) dans les Bordereaux des prix doivent être utilisées conformément à l’Article 12 (</w:t>
      </w:r>
      <w:r w:rsidRPr="004E4188">
        <w:rPr>
          <w:i/>
        </w:rPr>
        <w:t>Conditions de paiement</w:t>
      </w:r>
      <w:r w:rsidRPr="004E4188">
        <w:rPr>
          <w:rFonts w:cs="Calibri"/>
          <w:noProof/>
          <w:lang w:eastAsia="ja-JP"/>
        </w:rPr>
        <w:t>) des CG</w:t>
      </w:r>
      <w:r w:rsidRPr="004E4188">
        <w:rPr>
          <w:noProof/>
          <w:lang w:eastAsia="en-US"/>
        </w:rPr>
        <w:t>.</w:t>
      </w:r>
    </w:p>
    <w:p w14:paraId="5EA976F6"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p>
    <w:p w14:paraId="2645A2EC"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bookmarkStart w:id="505" w:name="_Hlk529102019"/>
      <w:r w:rsidRPr="004E4188">
        <w:rPr>
          <w:noProof/>
          <w:lang w:eastAsia="en-US"/>
        </w:rPr>
        <w:t>3.</w:t>
      </w:r>
      <w:r w:rsidRPr="004E4188">
        <w:rPr>
          <w:noProof/>
          <w:lang w:eastAsia="en-US"/>
        </w:rPr>
        <w:tab/>
        <w:t>Toutes les pièces, produits consommables ou pièces de rechange nécessaires à</w:t>
      </w:r>
      <w:r w:rsidRPr="004E4188">
        <w:rPr>
          <w:rFonts w:cs="Calibri"/>
          <w:noProof/>
          <w:lang w:eastAsia="en-US"/>
        </w:rPr>
        <w:t xml:space="preserve"> la</w:t>
      </w:r>
      <w:r w:rsidRPr="004E4188">
        <w:rPr>
          <w:rFonts w:cs="Calibri"/>
          <w:noProof/>
          <w:color w:val="FF0000"/>
          <w:lang w:eastAsia="en-US"/>
        </w:rPr>
        <w:t xml:space="preserve"> </w:t>
      </w:r>
      <w:r w:rsidRPr="004E4188">
        <w:rPr>
          <w:szCs w:val="24"/>
        </w:rPr>
        <w:t>R</w:t>
      </w:r>
      <w:r w:rsidRPr="004E4188">
        <w:rPr>
          <w:szCs w:val="24"/>
          <w:lang w:eastAsia="en-US"/>
        </w:rPr>
        <w:t>é</w:t>
      </w:r>
      <w:r w:rsidRPr="004E4188">
        <w:rPr>
          <w:szCs w:val="24"/>
        </w:rPr>
        <w:t>c</w:t>
      </w:r>
      <w:r w:rsidRPr="004E4188">
        <w:rPr>
          <w:szCs w:val="24"/>
          <w:lang w:eastAsia="en-US"/>
        </w:rPr>
        <w:t>e</w:t>
      </w:r>
      <w:r w:rsidRPr="004E4188">
        <w:rPr>
          <w:szCs w:val="24"/>
        </w:rPr>
        <w:t>ption op</w:t>
      </w:r>
      <w:r w:rsidRPr="004E4188">
        <w:rPr>
          <w:szCs w:val="24"/>
          <w:lang w:eastAsia="en-US"/>
        </w:rPr>
        <w:t>é</w:t>
      </w:r>
      <w:r w:rsidRPr="004E4188">
        <w:rPr>
          <w:szCs w:val="24"/>
        </w:rPr>
        <w:t>rationnelle</w:t>
      </w:r>
      <w:r w:rsidRPr="004E4188">
        <w:rPr>
          <w:rFonts w:hint="eastAsia"/>
          <w:szCs w:val="24"/>
          <w:lang w:eastAsia="ja-JP"/>
        </w:rPr>
        <w:t xml:space="preserve"> </w:t>
      </w:r>
      <w:r w:rsidRPr="004E4188">
        <w:rPr>
          <w:szCs w:val="24"/>
          <w:lang w:eastAsia="ja-JP"/>
        </w:rPr>
        <w:t>des</w:t>
      </w:r>
      <w:r w:rsidRPr="004E4188">
        <w:rPr>
          <w:szCs w:val="24"/>
          <w:lang w:eastAsia="en-US"/>
        </w:rPr>
        <w:t xml:space="preserve"> </w:t>
      </w:r>
      <w:r w:rsidRPr="004E4188">
        <w:rPr>
          <w:szCs w:val="24"/>
        </w:rPr>
        <w:t>É</w:t>
      </w:r>
      <w:r w:rsidRPr="004E4188">
        <w:t>quipements et Services de montage</w:t>
      </w:r>
      <w:r w:rsidRPr="004E4188">
        <w:rPr>
          <w:color w:val="FF0000"/>
        </w:rPr>
        <w:t xml:space="preserve"> </w:t>
      </w:r>
      <w:r w:rsidRPr="004E4188">
        <w:t>ou</w:t>
      </w:r>
      <w:r w:rsidRPr="004E4188">
        <w:rPr>
          <w:color w:val="FF0000"/>
        </w:rPr>
        <w:t xml:space="preserve"> </w:t>
      </w:r>
      <w:r w:rsidRPr="004E4188">
        <w:t xml:space="preserve">d’une partie de ceux-ci </w:t>
      </w:r>
      <w:r w:rsidRPr="004E4188">
        <w:rPr>
          <w:noProof/>
          <w:lang w:eastAsia="en-US"/>
        </w:rPr>
        <w:t>doivent :</w:t>
      </w:r>
    </w:p>
    <w:p w14:paraId="5887EC42" w14:textId="77777777" w:rsidR="007049A5" w:rsidRPr="004E4188" w:rsidRDefault="007049A5" w:rsidP="006C6267">
      <w:pPr>
        <w:tabs>
          <w:tab w:val="left" w:pos="993"/>
        </w:tabs>
        <w:suppressAutoHyphens w:val="0"/>
        <w:overflowPunct/>
        <w:autoSpaceDE/>
        <w:autoSpaceDN/>
        <w:adjustRightInd/>
        <w:spacing w:after="60"/>
        <w:ind w:left="992" w:hanging="567"/>
        <w:textAlignment w:val="auto"/>
        <w:rPr>
          <w:noProof/>
          <w:lang w:eastAsia="en-US"/>
        </w:rPr>
      </w:pPr>
      <w:r w:rsidRPr="004E4188">
        <w:rPr>
          <w:noProof/>
          <w:lang w:eastAsia="en-US"/>
        </w:rPr>
        <w:t>(a)</w:t>
      </w:r>
      <w:r w:rsidRPr="004E4188">
        <w:rPr>
          <w:noProof/>
          <w:lang w:eastAsia="en-US"/>
        </w:rPr>
        <w:tab/>
      </w:r>
      <w:r w:rsidRPr="004E4188">
        <w:rPr>
          <w:rFonts w:hint="eastAsia"/>
          <w:noProof/>
          <w:lang w:eastAsia="en-US"/>
        </w:rPr>
        <w:t>ê</w:t>
      </w:r>
      <w:r w:rsidRPr="004E4188">
        <w:rPr>
          <w:noProof/>
          <w:lang w:eastAsia="en-US"/>
        </w:rPr>
        <w:t>tre inclus dans ou considérés comme couverts par les taux et/ou prix indiqués dans les tableaux correspondants des Bordereaux des prix. Aucun paiement séparé ne sera effectué pour ces pièces, produits consommables ou pièces de rechange.</w:t>
      </w:r>
    </w:p>
    <w:p w14:paraId="717F867A"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p>
    <w:p w14:paraId="4456E2BE" w14:textId="77777777" w:rsidR="007049A5" w:rsidRPr="004E4188" w:rsidRDefault="007049A5" w:rsidP="006C6267">
      <w:pPr>
        <w:tabs>
          <w:tab w:val="left" w:pos="993"/>
        </w:tabs>
        <w:suppressAutoHyphens w:val="0"/>
        <w:overflowPunct/>
        <w:autoSpaceDE/>
        <w:autoSpaceDN/>
        <w:adjustRightInd/>
        <w:spacing w:after="60"/>
        <w:ind w:left="992" w:hanging="567"/>
        <w:textAlignment w:val="auto"/>
        <w:rPr>
          <w:noProof/>
          <w:lang w:eastAsia="en-US"/>
        </w:rPr>
      </w:pPr>
      <w:r w:rsidRPr="004E4188">
        <w:rPr>
          <w:noProof/>
          <w:lang w:eastAsia="en-US"/>
        </w:rPr>
        <w:t>(b)</w:t>
      </w:r>
      <w:r w:rsidRPr="004E4188">
        <w:rPr>
          <w:noProof/>
          <w:lang w:eastAsia="en-US"/>
        </w:rPr>
        <w:tab/>
        <w:t xml:space="preserve">devenir la propriété du Maître d’ouvrage immédiatement après leur arrivée sur le site, qu’ils soient ultérieurement utilisés pour l’achèvement des Installations ou qu’ils restent inutilisés. </w:t>
      </w:r>
    </w:p>
    <w:bookmarkEnd w:id="505"/>
    <w:p w14:paraId="54456691"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p>
    <w:p w14:paraId="057CB6D3" w14:textId="14575090"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r w:rsidRPr="004E4188">
        <w:rPr>
          <w:rFonts w:cs="Calibri"/>
          <w:noProof/>
          <w:lang w:eastAsia="en-US"/>
        </w:rPr>
        <w:t>4.</w:t>
      </w:r>
      <w:r w:rsidRPr="004E4188">
        <w:rPr>
          <w:rFonts w:cs="Calibri"/>
          <w:noProof/>
          <w:lang w:eastAsia="en-US"/>
        </w:rPr>
        <w:tab/>
        <w:t xml:space="preserve">Les pièces de rechange que le Maître d’ouvrage a jugées nécessaires pour l’exploitation et la maintenance des </w:t>
      </w:r>
      <w:r w:rsidRPr="004E4188">
        <w:rPr>
          <w:szCs w:val="24"/>
        </w:rPr>
        <w:t>Installations</w:t>
      </w:r>
      <w:r w:rsidRPr="004E4188">
        <w:rPr>
          <w:rFonts w:cs="Calibri"/>
          <w:noProof/>
          <w:lang w:eastAsia="en-US"/>
        </w:rPr>
        <w:t xml:space="preserve"> doivent être incluses dans le Bordereau intitulé «</w:t>
      </w:r>
      <w:r w:rsidRPr="004E4188">
        <w:rPr>
          <w:rFonts w:cs="Calibri" w:hint="eastAsia"/>
          <w:noProof/>
          <w:lang w:eastAsia="en-US"/>
        </w:rPr>
        <w:t> </w:t>
      </w:r>
      <w:r w:rsidRPr="004E4188">
        <w:rPr>
          <w:rFonts w:cs="Calibri"/>
          <w:noProof/>
          <w:lang w:eastAsia="en-US"/>
        </w:rPr>
        <w:t>Pièces de rechange obligatoires</w:t>
      </w:r>
      <w:r w:rsidRPr="004E4188">
        <w:rPr>
          <w:rFonts w:cs="Calibri" w:hint="eastAsia"/>
          <w:noProof/>
          <w:lang w:eastAsia="en-US"/>
        </w:rPr>
        <w:t> </w:t>
      </w:r>
      <w:r w:rsidRPr="004E4188">
        <w:rPr>
          <w:rFonts w:cs="Calibri"/>
          <w:noProof/>
          <w:lang w:eastAsia="en-US"/>
        </w:rPr>
        <w:t>», tandis que le Bordereau intitulé «</w:t>
      </w:r>
      <w:r w:rsidRPr="004E4188">
        <w:rPr>
          <w:rFonts w:cs="Calibri" w:hint="eastAsia"/>
          <w:noProof/>
          <w:lang w:eastAsia="en-US"/>
        </w:rPr>
        <w:t> </w:t>
      </w:r>
      <w:r w:rsidRPr="004E4188">
        <w:rPr>
          <w:rFonts w:cs="Calibri"/>
          <w:noProof/>
          <w:lang w:eastAsia="en-US"/>
        </w:rPr>
        <w:t>Pièces de rechange recommandées » doit inclure les pièces de rechange supplémentaires proposées par le Soumissionnaire.</w:t>
      </w:r>
      <w:r w:rsidRPr="004E4188">
        <w:rPr>
          <w:noProof/>
          <w:lang w:eastAsia="en-US"/>
        </w:rPr>
        <w:t xml:space="preserve"> Les pièces de rechange obligatoires et recommandées seront fournies avant l’achèvement des Installations.</w:t>
      </w:r>
    </w:p>
    <w:p w14:paraId="1C7E7095"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p>
    <w:p w14:paraId="39B1B2E3"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bookmarkStart w:id="506" w:name="_Hlk529000910"/>
      <w:r w:rsidRPr="004E4188">
        <w:rPr>
          <w:noProof/>
          <w:lang w:eastAsia="en-US"/>
        </w:rPr>
        <w:t>5.</w:t>
      </w:r>
      <w:r w:rsidRPr="004E4188">
        <w:rPr>
          <w:noProof/>
          <w:lang w:eastAsia="en-US"/>
        </w:rPr>
        <w:tab/>
        <w:t>Sauf dispositions contraires spécifiées dans le Marché, les taux et les prix dans les Bordereaux des prix complétés devront comprendre tous les coûts relatifs à la conception, les installations de construction, la main-d’œuvre, la supervision, les matériaux, le montage, l’entretien, les assurances, les profits, les impôts, droits et taxes, ainsi que la couverture des risques généraux, des responsabilités et obligations spécifiées explicitement ou implicitement dans le Marché.</w:t>
      </w:r>
    </w:p>
    <w:bookmarkEnd w:id="506"/>
    <w:p w14:paraId="71286F20"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p>
    <w:p w14:paraId="373C1576"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r w:rsidRPr="004E4188">
        <w:rPr>
          <w:noProof/>
          <w:lang w:eastAsia="en-US"/>
        </w:rPr>
        <w:t>6.</w:t>
      </w:r>
      <w:r w:rsidRPr="004E4188">
        <w:rPr>
          <w:noProof/>
          <w:lang w:eastAsia="en-US"/>
        </w:rPr>
        <w:tab/>
        <w:t>Un taux ou prix devra être indiqué pour chaque poste dans les Bordereaux des prix, que les quantités soient spécifiées ou non. Les postes pour lesquels l’Entrepreneur n’a pas indiqué de taux ou prix dans les Bordereau des prix complétés seront considérés comme couverts par les taux ou prix indiqués pour d’autres postes, et ne seront pas payés séparément.</w:t>
      </w:r>
    </w:p>
    <w:p w14:paraId="17102D02"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p>
    <w:p w14:paraId="629B50BC"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r w:rsidRPr="004E4188">
        <w:rPr>
          <w:noProof/>
          <w:lang w:eastAsia="en-US"/>
        </w:rPr>
        <w:t>7.</w:t>
      </w:r>
      <w:r w:rsidRPr="004E4188">
        <w:rPr>
          <w:noProof/>
          <w:lang w:eastAsia="en-US"/>
        </w:rPr>
        <w:tab/>
        <w:t xml:space="preserve">Le coût total pour répondre aux exigences des dispositions du Marché sera inclus dans les postes spécifiés dans les Bordereau des prix complétés. Lorsqu’un poste n’est pas spécifié, le coût afférent sera considéré comme inclus dans les taux ou prix mentionnés pour des postes apparentés des </w:t>
      </w:r>
      <w:r w:rsidRPr="004E4188">
        <w:rPr>
          <w:szCs w:val="24"/>
        </w:rPr>
        <w:t>É</w:t>
      </w:r>
      <w:r w:rsidRPr="004E4188">
        <w:t>quipements et Services de montage</w:t>
      </w:r>
      <w:r w:rsidRPr="004E4188">
        <w:rPr>
          <w:noProof/>
          <w:lang w:eastAsia="en-US"/>
        </w:rPr>
        <w:t>.</w:t>
      </w:r>
    </w:p>
    <w:p w14:paraId="7B75202C"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p>
    <w:p w14:paraId="57603D0E" w14:textId="74BA5E14"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r w:rsidRPr="004E4188">
        <w:rPr>
          <w:noProof/>
          <w:lang w:eastAsia="en-US"/>
        </w:rPr>
        <w:t>8.</w:t>
      </w:r>
      <w:r w:rsidRPr="004E4188">
        <w:rPr>
          <w:noProof/>
          <w:lang w:eastAsia="en-US"/>
        </w:rPr>
        <w:tab/>
        <w:t xml:space="preserve">Le paiement sera effectué conformément à l’Article 12.2 des Conditions du Marché et à </w:t>
      </w:r>
      <w:r w:rsidRPr="004E4188">
        <w:rPr>
          <w:rFonts w:cs="Calibri"/>
          <w:noProof/>
          <w:lang w:eastAsia="ja-JP"/>
        </w:rPr>
        <w:t>l’Annexe 1 (</w:t>
      </w:r>
      <w:r w:rsidRPr="004E4188">
        <w:rPr>
          <w:i/>
        </w:rPr>
        <w:t>Conditions et procédures de règlement</w:t>
      </w:r>
      <w:r w:rsidRPr="004E4188">
        <w:rPr>
          <w:rFonts w:cs="Calibri"/>
          <w:noProof/>
          <w:lang w:eastAsia="ja-JP"/>
        </w:rPr>
        <w:t>) de l’Acte d’engagement</w:t>
      </w:r>
      <w:r w:rsidRPr="004E4188">
        <w:rPr>
          <w:noProof/>
          <w:lang w:eastAsia="en-US"/>
        </w:rPr>
        <w:t xml:space="preserve"> dans la ou les monnaies indiquées pour chaque poste des Bordereaux des prix.</w:t>
      </w:r>
    </w:p>
    <w:p w14:paraId="221332B5" w14:textId="2CB82731"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p>
    <w:p w14:paraId="558CFD74" w14:textId="23FBD10B"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r w:rsidRPr="004E4188">
        <w:rPr>
          <w:noProof/>
          <w:lang w:eastAsia="en-US"/>
        </w:rPr>
        <w:tab/>
      </w:r>
      <w:bookmarkStart w:id="507" w:name="_Hlk529102126"/>
      <w:r w:rsidRPr="004E4188">
        <w:rPr>
          <w:noProof/>
          <w:lang w:eastAsia="en-US"/>
        </w:rPr>
        <w:t xml:space="preserve">Si des postes composites ou forfaitaires nécessitent une décomposition des prix (comme indiquée dans le paragraphe B, </w:t>
      </w:r>
      <w:r w:rsidRPr="004E4188">
        <w:rPr>
          <w:i/>
          <w:noProof/>
          <w:lang w:eastAsia="en-US"/>
        </w:rPr>
        <w:t xml:space="preserve">Postes des </w:t>
      </w:r>
      <w:r w:rsidRPr="004E4188">
        <w:rPr>
          <w:i/>
          <w:szCs w:val="24"/>
        </w:rPr>
        <w:t>É</w:t>
      </w:r>
      <w:r w:rsidRPr="004E4188">
        <w:rPr>
          <w:i/>
        </w:rPr>
        <w:t>quipements et Services de montage,</w:t>
      </w:r>
      <w:r w:rsidRPr="004E4188">
        <w:rPr>
          <w:noProof/>
          <w:lang w:eastAsia="en-US"/>
        </w:rPr>
        <w:t xml:space="preserve"> ci-après), aux fins de règlement total ou partiel, d’estimation d’une </w:t>
      </w:r>
      <w:r w:rsidRPr="004E4188">
        <w:rPr>
          <w:rFonts w:hint="eastAsia"/>
          <w:noProof/>
          <w:lang w:eastAsia="ja-JP"/>
        </w:rPr>
        <w:t>m</w:t>
      </w:r>
      <w:r w:rsidRPr="004E4188">
        <w:rPr>
          <w:noProof/>
          <w:lang w:eastAsia="en-US"/>
        </w:rPr>
        <w:t xml:space="preserve">odification ou d’une réclamation, ou pour tout autre motif que le Directeur de projet juge raisonnable, le Directeur de projet pourra utiliser pour les postes concernés cette décomposition des prix soumise par l’Entrepreneur lors de l’appel d’offres et annexée aux présents Bordereaux des </w:t>
      </w:r>
      <w:r w:rsidR="008911CE" w:rsidRPr="004E4188">
        <w:rPr>
          <w:noProof/>
          <w:lang w:eastAsia="en-US"/>
        </w:rPr>
        <w:t>p</w:t>
      </w:r>
      <w:r w:rsidRPr="004E4188">
        <w:rPr>
          <w:noProof/>
          <w:lang w:eastAsia="en-US"/>
        </w:rPr>
        <w:t>rix.</w:t>
      </w:r>
    </w:p>
    <w:bookmarkEnd w:id="507"/>
    <w:p w14:paraId="1CE431B8" w14:textId="2FC45B71"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p>
    <w:p w14:paraId="79542CDE" w14:textId="5076A37B"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r w:rsidRPr="004E4188">
        <w:rPr>
          <w:noProof/>
          <w:lang w:eastAsia="en-US"/>
        </w:rPr>
        <w:tab/>
        <w:t xml:space="preserve">Cette décomposition des prix doit clairement indiquer les types de </w:t>
      </w:r>
      <w:r w:rsidRPr="004E4188">
        <w:rPr>
          <w:szCs w:val="24"/>
        </w:rPr>
        <w:t>trav</w:t>
      </w:r>
      <w:r w:rsidR="00D36F84" w:rsidRPr="004E4188">
        <w:rPr>
          <w:szCs w:val="24"/>
        </w:rPr>
        <w:t>a</w:t>
      </w:r>
      <w:r w:rsidRPr="004E4188">
        <w:rPr>
          <w:szCs w:val="24"/>
        </w:rPr>
        <w:t>ux</w:t>
      </w:r>
      <w:r w:rsidRPr="004E4188">
        <w:rPr>
          <w:noProof/>
          <w:lang w:eastAsia="en-US"/>
        </w:rPr>
        <w:t xml:space="preserve"> dont chaque poste composite ou forfaitaire se compose, ainsi que leurs quantités et leurs prix unitaires de manière à permettre son utilisation dans les cas cités précédemment. </w:t>
      </w:r>
    </w:p>
    <w:p w14:paraId="2D4A365D"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p>
    <w:p w14:paraId="13144F0D"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r w:rsidRPr="004E4188">
        <w:rPr>
          <w:noProof/>
          <w:lang w:eastAsia="en-US"/>
        </w:rPr>
        <w:t>9.</w:t>
      </w:r>
      <w:r w:rsidRPr="004E4188">
        <w:rPr>
          <w:noProof/>
          <w:lang w:eastAsia="en-US"/>
        </w:rPr>
        <w:tab/>
        <w:t>Les exigences générales, les indications et/ou la description des travaux et matériaux ne sont pas nécessairement reprises ou résumées dans les Bordereaux des prix. Les sections correspondantes des documents du Marché doivent être consultées avant de chiffrer les prix pour chaque poste des Bordereaux des prix complétés.</w:t>
      </w:r>
    </w:p>
    <w:p w14:paraId="0D296138" w14:textId="1AF4D352"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p>
    <w:p w14:paraId="07835D5D"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r w:rsidRPr="004E4188">
        <w:rPr>
          <w:noProof/>
          <w:lang w:eastAsia="en-US"/>
        </w:rPr>
        <w:t>10.</w:t>
      </w:r>
      <w:r w:rsidRPr="004E4188">
        <w:rPr>
          <w:noProof/>
          <w:lang w:eastAsia="en-US"/>
        </w:rPr>
        <w:tab/>
        <w:t>Les sommes provisionnelles indiquées dans les Bordereaux des prix seront dépensées en tout ou en parties selon les instructions et à la discrétion du Directeur de projet conformément à l’Article 39.4 des Conditions du Marché, selon le cas. Nonobstant ce qui précède, l’utilisation des sommes provisionnelles pour le coût du Comité de Règlement des Différends ne nécessitera aucune instruction préalable du Directeur de projet.</w:t>
      </w:r>
    </w:p>
    <w:p w14:paraId="55A17F37" w14:textId="77777777" w:rsidR="007049A5" w:rsidRPr="004E4188" w:rsidRDefault="007049A5" w:rsidP="006C6267">
      <w:pPr>
        <w:tabs>
          <w:tab w:val="left" w:pos="540"/>
        </w:tabs>
        <w:suppressAutoHyphens w:val="0"/>
        <w:overflowPunct/>
        <w:autoSpaceDE/>
        <w:autoSpaceDN/>
        <w:adjustRightInd/>
        <w:textAlignment w:val="auto"/>
        <w:rPr>
          <w:noProof/>
          <w:lang w:eastAsia="en-US"/>
        </w:rPr>
      </w:pPr>
    </w:p>
    <w:p w14:paraId="2F9A574B"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r w:rsidRPr="004E4188">
        <w:rPr>
          <w:noProof/>
          <w:lang w:eastAsia="en-US"/>
        </w:rPr>
        <w:t xml:space="preserve">11. </w:t>
      </w:r>
      <w:r w:rsidRPr="004E4188">
        <w:rPr>
          <w:noProof/>
          <w:lang w:eastAsia="en-US"/>
        </w:rPr>
        <w:tab/>
        <w:t>Les frais généraux, profits, etc. de l’Entrepreneur ne doivent pas être inclus dans les sommes provisionnelles pour le coût du Comité de Règlement des Différends.</w:t>
      </w:r>
    </w:p>
    <w:p w14:paraId="4F13AAD1" w14:textId="77777777" w:rsidR="007049A5" w:rsidRPr="004E4188" w:rsidRDefault="007049A5" w:rsidP="006C6267">
      <w:pPr>
        <w:tabs>
          <w:tab w:val="left" w:pos="540"/>
        </w:tabs>
        <w:suppressAutoHyphens w:val="0"/>
        <w:overflowPunct/>
        <w:autoSpaceDE/>
        <w:autoSpaceDN/>
        <w:adjustRightInd/>
        <w:textAlignment w:val="auto"/>
        <w:rPr>
          <w:noProof/>
          <w:lang w:eastAsia="ja-JP"/>
        </w:rPr>
      </w:pPr>
    </w:p>
    <w:p w14:paraId="408CF435"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r w:rsidRPr="004E4188">
        <w:rPr>
          <w:noProof/>
          <w:lang w:eastAsia="ja-JP"/>
        </w:rPr>
        <w:t>12</w:t>
      </w:r>
      <w:r w:rsidRPr="004E4188">
        <w:rPr>
          <w:noProof/>
          <w:lang w:eastAsia="en-US"/>
        </w:rPr>
        <w:t>.</w:t>
      </w:r>
      <w:r w:rsidRPr="004E4188">
        <w:rPr>
          <w:noProof/>
          <w:lang w:eastAsia="en-US"/>
        </w:rPr>
        <w:tab/>
        <w:t>Si le Marché prévoit expressément qu’un poste sera réalisé avec l’établissement d’un métré contradictoire, la méthode de métrés des prestations exécutées en vue des règlements concernant ce poste devra être en accord avec :</w:t>
      </w:r>
    </w:p>
    <w:p w14:paraId="7A817EC0" w14:textId="77777777" w:rsidR="007049A5" w:rsidRPr="004E4188" w:rsidRDefault="007049A5" w:rsidP="006C6267">
      <w:pPr>
        <w:tabs>
          <w:tab w:val="left" w:pos="426"/>
        </w:tabs>
        <w:suppressAutoHyphens w:val="0"/>
        <w:overflowPunct/>
        <w:autoSpaceDE/>
        <w:autoSpaceDN/>
        <w:adjustRightInd/>
        <w:ind w:left="420"/>
        <w:textAlignment w:val="auto"/>
        <w:rPr>
          <w:noProof/>
          <w:lang w:eastAsia="en-US"/>
        </w:rPr>
      </w:pPr>
      <w:r w:rsidRPr="004E4188">
        <w:rPr>
          <w:noProof/>
          <w:lang w:eastAsia="en-US"/>
        </w:rPr>
        <w:t>[</w:t>
      </w:r>
      <w:r w:rsidRPr="004E4188">
        <w:rPr>
          <w:i/>
          <w:noProof/>
          <w:lang w:eastAsia="en-US"/>
        </w:rPr>
        <w:t>Le Maître d’ouvrage doit insérer soit le nom d’un manuel de référence, ou une description détaillée des méthodes qui seront appliquées.</w:t>
      </w:r>
      <w:r w:rsidRPr="004E4188">
        <w:rPr>
          <w:noProof/>
          <w:lang w:eastAsia="en-US"/>
        </w:rPr>
        <w:t>]</w:t>
      </w:r>
    </w:p>
    <w:p w14:paraId="54E8825C"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ja-JP"/>
        </w:rPr>
      </w:pPr>
    </w:p>
    <w:p w14:paraId="76DDF1F0"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r w:rsidRPr="004E4188">
        <w:rPr>
          <w:noProof/>
          <w:lang w:eastAsia="ja-JP"/>
        </w:rPr>
        <w:t>13</w:t>
      </w:r>
      <w:r w:rsidRPr="004E4188">
        <w:rPr>
          <w:noProof/>
          <w:lang w:eastAsia="en-US"/>
        </w:rPr>
        <w:t>.</w:t>
      </w:r>
      <w:r w:rsidRPr="004E4188">
        <w:rPr>
          <w:noProof/>
          <w:lang w:eastAsia="en-US"/>
        </w:rPr>
        <w:tab/>
        <w:t>Tous les taux unitaires et/ou les prix indiqués dans les Bordereaux des prix libellés en :</w:t>
      </w:r>
    </w:p>
    <w:p w14:paraId="3B978151" w14:textId="0CF4B488" w:rsidR="007049A5" w:rsidRPr="004E4188" w:rsidRDefault="007049A5" w:rsidP="006C6267">
      <w:pPr>
        <w:tabs>
          <w:tab w:val="left" w:pos="993"/>
        </w:tabs>
        <w:suppressAutoHyphens w:val="0"/>
        <w:overflowPunct/>
        <w:autoSpaceDE/>
        <w:autoSpaceDN/>
        <w:adjustRightInd/>
        <w:spacing w:after="60"/>
        <w:ind w:left="992" w:hanging="567"/>
        <w:textAlignment w:val="auto"/>
        <w:rPr>
          <w:noProof/>
          <w:lang w:eastAsia="en-US"/>
        </w:rPr>
      </w:pPr>
      <w:r w:rsidRPr="004E4188">
        <w:rPr>
          <w:noProof/>
          <w:lang w:eastAsia="en-US"/>
        </w:rPr>
        <w:t xml:space="preserve">(a) </w:t>
      </w:r>
      <w:r w:rsidRPr="004E4188">
        <w:rPr>
          <w:noProof/>
          <w:lang w:eastAsia="en-US"/>
        </w:rPr>
        <w:tab/>
      </w:r>
      <w:r w:rsidRPr="004E4188">
        <w:rPr>
          <w:szCs w:val="24"/>
          <w:lang w:eastAsia="en-US"/>
        </w:rPr>
        <w:t>[</w:t>
      </w:r>
      <w:r w:rsidR="00A81565" w:rsidRPr="004E4188">
        <w:rPr>
          <w:i/>
          <w:szCs w:val="24"/>
          <w:lang w:eastAsia="en-US"/>
        </w:rPr>
        <w:t>l</w:t>
      </w:r>
      <w:r w:rsidRPr="004E4188">
        <w:rPr>
          <w:i/>
          <w:szCs w:val="24"/>
          <w:lang w:eastAsia="en-US"/>
        </w:rPr>
        <w:t>e Maître d’ouvrage doit insérer le nom de la monnaie nationale</w:t>
      </w:r>
      <w:r w:rsidRPr="004E4188">
        <w:rPr>
          <w:rFonts w:hint="eastAsia"/>
          <w:i/>
          <w:szCs w:val="24"/>
          <w:lang w:eastAsia="en-US"/>
        </w:rPr>
        <w:t xml:space="preserve"> </w:t>
      </w:r>
      <w:r w:rsidRPr="004E4188">
        <w:rPr>
          <w:i/>
          <w:szCs w:val="24"/>
          <w:lang w:eastAsia="en-US"/>
        </w:rPr>
        <w:t>comme indiqué dans l’Article 15.1 des DP (dans le cas d’une procédure à une étape-deux enveloppes) ou dans l’Article 31.1 des DP (dans le cas d’une procédure à deux étapes-une enveloppe)</w:t>
      </w:r>
      <w:r w:rsidRPr="004E4188">
        <w:rPr>
          <w:szCs w:val="24"/>
          <w:lang w:eastAsia="en-US"/>
        </w:rPr>
        <w:t>], seront exprimés avec [</w:t>
      </w:r>
      <w:r w:rsidR="00A81565" w:rsidRPr="004E4188">
        <w:rPr>
          <w:i/>
          <w:szCs w:val="24"/>
          <w:lang w:eastAsia="en-US"/>
        </w:rPr>
        <w:t>l</w:t>
      </w:r>
      <w:r w:rsidRPr="004E4188">
        <w:rPr>
          <w:i/>
          <w:szCs w:val="24"/>
          <w:lang w:eastAsia="en-US"/>
        </w:rPr>
        <w:t>e Maître d’ouvrage doit indiquer le nombre de chiffres après la virgule</w:t>
      </w:r>
      <w:r w:rsidRPr="004E4188">
        <w:rPr>
          <w:szCs w:val="24"/>
          <w:lang w:eastAsia="en-US"/>
        </w:rPr>
        <w:t>] décimale(s)</w:t>
      </w:r>
      <w:r w:rsidR="004821C9" w:rsidRPr="004E4188">
        <w:rPr>
          <w:szCs w:val="24"/>
        </w:rPr>
        <w:t> ;</w:t>
      </w:r>
    </w:p>
    <w:p w14:paraId="3E48E774" w14:textId="72378489" w:rsidR="007049A5" w:rsidRPr="004E4188" w:rsidRDefault="007049A5" w:rsidP="006C6267">
      <w:pPr>
        <w:tabs>
          <w:tab w:val="left" w:pos="993"/>
        </w:tabs>
        <w:suppressAutoHyphens w:val="0"/>
        <w:overflowPunct/>
        <w:autoSpaceDE/>
        <w:autoSpaceDN/>
        <w:adjustRightInd/>
        <w:spacing w:after="60"/>
        <w:ind w:left="992" w:hanging="567"/>
        <w:textAlignment w:val="auto"/>
        <w:rPr>
          <w:noProof/>
          <w:lang w:eastAsia="en-US"/>
        </w:rPr>
      </w:pPr>
      <w:r w:rsidRPr="004E4188">
        <w:rPr>
          <w:noProof/>
          <w:lang w:eastAsia="en-US"/>
        </w:rPr>
        <w:t xml:space="preserve">(b) </w:t>
      </w:r>
      <w:r w:rsidRPr="004E4188">
        <w:rPr>
          <w:noProof/>
          <w:lang w:eastAsia="en-US"/>
        </w:rPr>
        <w:tab/>
        <w:t>yen japonais (JPY), seront exprimés sans décimale</w:t>
      </w:r>
      <w:r w:rsidR="004821C9" w:rsidRPr="004E4188">
        <w:rPr>
          <w:szCs w:val="24"/>
        </w:rPr>
        <w:t> ;</w:t>
      </w:r>
    </w:p>
    <w:p w14:paraId="0DE41D9E" w14:textId="016999AE" w:rsidR="007049A5" w:rsidRPr="004E4188" w:rsidRDefault="007049A5" w:rsidP="006C6267">
      <w:pPr>
        <w:tabs>
          <w:tab w:val="left" w:pos="993"/>
        </w:tabs>
        <w:suppressAutoHyphens w:val="0"/>
        <w:overflowPunct/>
        <w:autoSpaceDE/>
        <w:autoSpaceDN/>
        <w:adjustRightInd/>
        <w:spacing w:after="60"/>
        <w:ind w:left="992" w:hanging="567"/>
        <w:textAlignment w:val="auto"/>
        <w:rPr>
          <w:noProof/>
          <w:lang w:eastAsia="en-US"/>
        </w:rPr>
      </w:pPr>
      <w:r w:rsidRPr="004E4188">
        <w:rPr>
          <w:noProof/>
          <w:lang w:eastAsia="en-US"/>
        </w:rPr>
        <w:t xml:space="preserve">(c) </w:t>
      </w:r>
      <w:r w:rsidRPr="004E4188">
        <w:rPr>
          <w:noProof/>
          <w:lang w:eastAsia="en-US"/>
        </w:rPr>
        <w:tab/>
      </w:r>
      <w:r w:rsidRPr="004E4188">
        <w:rPr>
          <w:szCs w:val="24"/>
          <w:lang w:eastAsia="en-US"/>
        </w:rPr>
        <w:t>[</w:t>
      </w:r>
      <w:r w:rsidR="00A81565" w:rsidRPr="004E4188">
        <w:rPr>
          <w:i/>
          <w:szCs w:val="24"/>
          <w:lang w:eastAsia="en-US"/>
        </w:rPr>
        <w:t>l</w:t>
      </w:r>
      <w:r w:rsidRPr="004E4188">
        <w:rPr>
          <w:i/>
          <w:szCs w:val="24"/>
          <w:lang w:eastAsia="en-US"/>
        </w:rPr>
        <w:t>e Maître d’ouvrage doit insérer le nom de toute autre monnaie étrangère, comme indiqué dans l’Article 15.1 des DP</w:t>
      </w:r>
      <w:r w:rsidRPr="004E4188">
        <w:rPr>
          <w:i/>
          <w:noProof/>
          <w:lang w:eastAsia="en-US"/>
        </w:rPr>
        <w:t xml:space="preserve"> (dans le cas d’une procédure à une étape-deux enveloppes) ou dans l’Article 31.1 des DP (dans le cas d’une procédure à deux étapes-une enveloppe)</w:t>
      </w:r>
      <w:r w:rsidRPr="004E4188">
        <w:rPr>
          <w:szCs w:val="24"/>
          <w:lang w:eastAsia="en-US"/>
        </w:rPr>
        <w:t>], seront exprimés avec [</w:t>
      </w:r>
      <w:r w:rsidR="00A81565" w:rsidRPr="004E4188">
        <w:rPr>
          <w:i/>
          <w:szCs w:val="24"/>
          <w:lang w:eastAsia="en-US"/>
        </w:rPr>
        <w:t>l</w:t>
      </w:r>
      <w:r w:rsidRPr="004E4188">
        <w:rPr>
          <w:i/>
          <w:szCs w:val="24"/>
          <w:lang w:eastAsia="en-US"/>
        </w:rPr>
        <w:t>e Maître d’ouvrage doit indiquer le nombre de chiffres après la virgule</w:t>
      </w:r>
      <w:r w:rsidRPr="004E4188">
        <w:rPr>
          <w:szCs w:val="24"/>
          <w:lang w:eastAsia="en-US"/>
        </w:rPr>
        <w:t>] décimale(s).</w:t>
      </w:r>
    </w:p>
    <w:p w14:paraId="0350ED06" w14:textId="7D5C76AE"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p>
    <w:p w14:paraId="52A1C29D"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r w:rsidRPr="004E4188">
        <w:rPr>
          <w:noProof/>
          <w:lang w:eastAsia="en-US"/>
        </w:rPr>
        <w:tab/>
        <w:t>Tout prix résultant de calculs (tels que le produit du prix unitaire par la quantité) sera arrondi à la ou aux décimales les plus proches, comme indiqué pour chaque monnaie correspondante ci-dessus.</w:t>
      </w:r>
    </w:p>
    <w:p w14:paraId="22B3ED29"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p>
    <w:p w14:paraId="6B9E0C7E"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r w:rsidRPr="004E4188">
        <w:rPr>
          <w:noProof/>
          <w:lang w:eastAsia="ja-JP"/>
        </w:rPr>
        <w:t>14</w:t>
      </w:r>
      <w:r w:rsidRPr="004E4188">
        <w:rPr>
          <w:noProof/>
          <w:lang w:eastAsia="en-US"/>
        </w:rPr>
        <w:t>.</w:t>
      </w:r>
      <w:r w:rsidRPr="004E4188">
        <w:rPr>
          <w:noProof/>
          <w:lang w:eastAsia="en-US"/>
        </w:rPr>
        <w:tab/>
        <w:t>Tout poste de travail indiqué dans les Bordereaux des prix conformément aux exigences des Articles 22.4.7 à 22.4.22 des Conditions du Marché, sera réglé uniquement par le paiement de versements mensuels après la conformité de l’Entrepreneur avec toutes les exigences du Marché concernant ce poste, pour chaque mois, à la satisfaction du Directeur de projet.</w:t>
      </w:r>
    </w:p>
    <w:p w14:paraId="29522C5F"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p>
    <w:p w14:paraId="507CEFE2"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p>
    <w:p w14:paraId="640B93DB" w14:textId="77777777" w:rsidR="007049A5" w:rsidRPr="004E4188" w:rsidRDefault="007049A5" w:rsidP="006C6267">
      <w:pPr>
        <w:tabs>
          <w:tab w:val="left" w:pos="540"/>
        </w:tabs>
        <w:suppressAutoHyphens w:val="0"/>
        <w:overflowPunct/>
        <w:autoSpaceDE/>
        <w:autoSpaceDN/>
        <w:adjustRightInd/>
        <w:jc w:val="center"/>
        <w:textAlignment w:val="auto"/>
        <w:rPr>
          <w:b/>
          <w:noProof/>
          <w:sz w:val="28"/>
          <w:szCs w:val="28"/>
          <w:lang w:eastAsia="ja-JP"/>
        </w:rPr>
      </w:pPr>
      <w:r w:rsidRPr="004E4188">
        <w:rPr>
          <w:noProof/>
          <w:lang w:eastAsia="en-US"/>
        </w:rPr>
        <w:br w:type="page"/>
      </w:r>
      <w:r w:rsidRPr="004E4188">
        <w:rPr>
          <w:b/>
          <w:noProof/>
          <w:sz w:val="28"/>
          <w:szCs w:val="28"/>
          <w:lang w:eastAsia="en-US"/>
        </w:rPr>
        <w:t>B. Postes</w:t>
      </w:r>
      <w:r w:rsidRPr="004E4188">
        <w:rPr>
          <w:b/>
          <w:sz w:val="28"/>
          <w:szCs w:val="28"/>
          <w:lang w:eastAsia="en-US"/>
        </w:rPr>
        <w:t xml:space="preserve"> des Équipements et Services de montage</w:t>
      </w:r>
    </w:p>
    <w:p w14:paraId="2B3421D6" w14:textId="77777777" w:rsidR="007049A5" w:rsidRPr="004E4188" w:rsidRDefault="007049A5" w:rsidP="006C6267">
      <w:pPr>
        <w:suppressAutoHyphens w:val="0"/>
        <w:overflowPunct/>
        <w:autoSpaceDE/>
        <w:autoSpaceDN/>
        <w:adjustRightInd/>
        <w:textAlignment w:val="auto"/>
        <w:rPr>
          <w:noProof/>
          <w:lang w:eastAsia="en-US"/>
        </w:rPr>
      </w:pPr>
      <w:r w:rsidRPr="004E4188">
        <w:rPr>
          <w:noProof/>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7049A5" w:rsidRPr="004E4188" w14:paraId="148F33E6" w14:textId="77777777" w:rsidTr="006C6267">
        <w:tc>
          <w:tcPr>
            <w:tcW w:w="9219" w:type="dxa"/>
            <w:shd w:val="clear" w:color="auto" w:fill="auto"/>
          </w:tcPr>
          <w:p w14:paraId="0A02CA17" w14:textId="77777777" w:rsidR="007049A5" w:rsidRPr="004E4188" w:rsidRDefault="007049A5" w:rsidP="006C6267">
            <w:pPr>
              <w:jc w:val="center"/>
              <w:rPr>
                <w:b/>
                <w:bCs/>
                <w:szCs w:val="24"/>
              </w:rPr>
            </w:pPr>
            <w:r w:rsidRPr="004E4188">
              <w:rPr>
                <w:b/>
                <w:bCs/>
                <w:szCs w:val="24"/>
              </w:rPr>
              <w:t>Notes à l’intention du Maître d’ouvrage</w:t>
            </w:r>
          </w:p>
          <w:p w14:paraId="280F8270" w14:textId="77777777" w:rsidR="007049A5" w:rsidRPr="004E4188" w:rsidRDefault="007049A5" w:rsidP="006C6267">
            <w:pPr>
              <w:rPr>
                <w:b/>
                <w:bCs/>
                <w:szCs w:val="24"/>
              </w:rPr>
            </w:pPr>
          </w:p>
          <w:p w14:paraId="760BD15C" w14:textId="77777777" w:rsidR="007049A5" w:rsidRPr="004E4188" w:rsidRDefault="007049A5" w:rsidP="006C6267">
            <w:pPr>
              <w:rPr>
                <w:bCs/>
                <w:szCs w:val="24"/>
              </w:rPr>
            </w:pPr>
            <w:r w:rsidRPr="004E4188">
              <w:rPr>
                <w:bCs/>
                <w:szCs w:val="24"/>
              </w:rPr>
              <w:t xml:space="preserve">Les paragraphes et les Bordereaux suivants sont donnés uniquement à titre indicatif pour le Maître d’ouvrage et/ou son consultant, et ils doivent être modifiés ou complétés selon le cas, compte tenu des exigences spécifiques au pays, au projet et aux </w:t>
            </w:r>
            <w:r w:rsidRPr="004E4188">
              <w:rPr>
                <w:szCs w:val="24"/>
              </w:rPr>
              <w:t>é</w:t>
            </w:r>
            <w:r w:rsidRPr="004E4188">
              <w:t>quipements et services de montage</w:t>
            </w:r>
            <w:r w:rsidRPr="004E4188">
              <w:rPr>
                <w:rFonts w:hint="eastAsia"/>
                <w:bCs/>
                <w:szCs w:val="24"/>
              </w:rPr>
              <w:t>.</w:t>
            </w:r>
          </w:p>
          <w:p w14:paraId="3E6BABFC" w14:textId="77777777" w:rsidR="007049A5" w:rsidRPr="004E4188" w:rsidRDefault="007049A5" w:rsidP="006C6267">
            <w:pPr>
              <w:rPr>
                <w:bCs/>
                <w:szCs w:val="24"/>
              </w:rPr>
            </w:pPr>
          </w:p>
          <w:p w14:paraId="43B1BC3C" w14:textId="77777777" w:rsidR="007049A5" w:rsidRPr="004E4188" w:rsidRDefault="007049A5" w:rsidP="00F9476E">
            <w:pPr>
              <w:spacing w:after="60"/>
              <w:rPr>
                <w:bCs/>
                <w:szCs w:val="24"/>
              </w:rPr>
            </w:pPr>
            <w:r w:rsidRPr="004E4188">
              <w:rPr>
                <w:bCs/>
                <w:szCs w:val="24"/>
              </w:rPr>
              <w:t>Ils doivent également être cohérents avec les Conditions du Marché, les Exigences du Maître d’ouvrage et tout autre document faisant partie du Marché. Le cas échéant, les différents postes de</w:t>
            </w:r>
            <w:r w:rsidRPr="004E4188">
              <w:rPr>
                <w:rFonts w:hint="eastAsia"/>
                <w:bCs/>
                <w:szCs w:val="24"/>
                <w:lang w:eastAsia="ja-JP"/>
              </w:rPr>
              <w:t>s</w:t>
            </w:r>
            <w:r w:rsidRPr="004E4188">
              <w:rPr>
                <w:bCs/>
                <w:szCs w:val="24"/>
              </w:rPr>
              <w:t xml:space="preserve"> </w:t>
            </w:r>
            <w:r w:rsidRPr="004E4188">
              <w:rPr>
                <w:szCs w:val="24"/>
              </w:rPr>
              <w:t>é</w:t>
            </w:r>
            <w:r w:rsidRPr="004E4188">
              <w:t xml:space="preserve">quipements et services de montage </w:t>
            </w:r>
            <w:r w:rsidRPr="004E4188">
              <w:rPr>
                <w:bCs/>
                <w:szCs w:val="24"/>
              </w:rPr>
              <w:t>devront être classés dans des tableaux des Bordereaux des prix</w:t>
            </w:r>
            <w:r w:rsidRPr="004E4188">
              <w:rPr>
                <w:noProof/>
                <w:lang w:eastAsia="en-US"/>
              </w:rPr>
              <w:t xml:space="preserve"> </w:t>
            </w:r>
            <w:r w:rsidRPr="004E4188">
              <w:rPr>
                <w:bCs/>
                <w:szCs w:val="24"/>
              </w:rPr>
              <w:t>en tenant compte de leur nature et de leur étendue, ainsi que du calendrier d’exécution.</w:t>
            </w:r>
          </w:p>
        </w:tc>
      </w:tr>
    </w:tbl>
    <w:p w14:paraId="54C6B9D2" w14:textId="77777777" w:rsidR="007049A5" w:rsidRPr="004E4188" w:rsidRDefault="007049A5" w:rsidP="006C6267">
      <w:pPr>
        <w:suppressAutoHyphens w:val="0"/>
        <w:overflowPunct/>
        <w:autoSpaceDE/>
        <w:autoSpaceDN/>
        <w:adjustRightInd/>
        <w:textAlignment w:val="auto"/>
        <w:rPr>
          <w:noProof/>
          <w:lang w:eastAsia="en-US"/>
        </w:rPr>
      </w:pPr>
    </w:p>
    <w:p w14:paraId="66D3A120"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en-US"/>
        </w:rPr>
      </w:pPr>
    </w:p>
    <w:p w14:paraId="5FD941C8" w14:textId="145FB33C" w:rsidR="007049A5" w:rsidRPr="004E4188" w:rsidRDefault="007049A5" w:rsidP="006C6267">
      <w:pPr>
        <w:tabs>
          <w:tab w:val="left" w:pos="426"/>
        </w:tabs>
        <w:suppressAutoHyphens w:val="0"/>
        <w:overflowPunct/>
        <w:autoSpaceDE/>
        <w:autoSpaceDN/>
        <w:adjustRightInd/>
        <w:ind w:left="426" w:hanging="426"/>
        <w:textAlignment w:val="auto"/>
        <w:rPr>
          <w:noProof/>
          <w:lang w:eastAsia="ja-JP"/>
        </w:rPr>
      </w:pPr>
      <w:r w:rsidRPr="004E4188">
        <w:rPr>
          <w:noProof/>
          <w:lang w:eastAsia="en-US"/>
        </w:rPr>
        <w:t>1.</w:t>
      </w:r>
      <w:r w:rsidRPr="004E4188">
        <w:rPr>
          <w:noProof/>
          <w:lang w:eastAsia="en-US"/>
        </w:rPr>
        <w:tab/>
        <w:t xml:space="preserve">Les Bordereaux des prix </w:t>
      </w:r>
      <w:r w:rsidRPr="004E4188">
        <w:rPr>
          <w:szCs w:val="24"/>
          <w:lang w:eastAsia="en-US"/>
        </w:rPr>
        <w:t>seront normalement composés des Bordereaux indiquant les taux et prix</w:t>
      </w:r>
      <w:r w:rsidRPr="004E4188">
        <w:rPr>
          <w:noProof/>
          <w:lang w:eastAsia="en-US"/>
        </w:rPr>
        <w:t xml:space="preserve">, du Bordereau des sommes provisionnelles de nature spécifique </w:t>
      </w:r>
      <w:r w:rsidRPr="004E4188">
        <w:rPr>
          <w:szCs w:val="24"/>
          <w:lang w:eastAsia="en-US"/>
        </w:rPr>
        <w:t>et du tableau récapitulatif suivants :</w:t>
      </w:r>
    </w:p>
    <w:p w14:paraId="2CBD8AD8" w14:textId="748E986E" w:rsidR="007049A5" w:rsidRPr="004E4188" w:rsidRDefault="007049A5" w:rsidP="006C6267">
      <w:pPr>
        <w:suppressAutoHyphens w:val="0"/>
        <w:overflowPunct/>
        <w:autoSpaceDE/>
        <w:autoSpaceDN/>
        <w:adjustRightInd/>
        <w:ind w:left="540" w:hanging="114"/>
        <w:textAlignment w:val="auto"/>
        <w:rPr>
          <w:noProof/>
          <w:lang w:eastAsia="en-US"/>
        </w:rPr>
      </w:pPr>
      <w:r w:rsidRPr="004E4188">
        <w:rPr>
          <w:noProof/>
          <w:lang w:eastAsia="en-US"/>
        </w:rPr>
        <w:t>Bordereau</w:t>
      </w:r>
      <w:r w:rsidR="00B72B3E" w:rsidRPr="004E4188">
        <w:rPr>
          <w:szCs w:val="24"/>
        </w:rPr>
        <w:t> </w:t>
      </w:r>
      <w:r w:rsidRPr="004E4188">
        <w:rPr>
          <w:szCs w:val="24"/>
          <w:lang w:eastAsia="en-US"/>
        </w:rPr>
        <w:t>n</w:t>
      </w:r>
      <w:r w:rsidRPr="004E4188">
        <w:rPr>
          <w:szCs w:val="24"/>
          <w:vertAlign w:val="superscript"/>
          <w:lang w:eastAsia="en-US"/>
        </w:rPr>
        <w:t>o</w:t>
      </w:r>
      <w:r w:rsidR="00B72B3E" w:rsidRPr="004E4188">
        <w:rPr>
          <w:szCs w:val="24"/>
        </w:rPr>
        <w:t> </w:t>
      </w:r>
      <w:r w:rsidRPr="004E4188">
        <w:rPr>
          <w:szCs w:val="24"/>
          <w:lang w:eastAsia="en-US"/>
        </w:rPr>
        <w:t>1</w:t>
      </w:r>
      <w:r w:rsidR="00B72B3E" w:rsidRPr="004E4188">
        <w:rPr>
          <w:szCs w:val="24"/>
        </w:rPr>
        <w:t> </w:t>
      </w:r>
      <w:r w:rsidRPr="004E4188">
        <w:rPr>
          <w:szCs w:val="24"/>
          <w:lang w:eastAsia="en-US"/>
        </w:rPr>
        <w:t>-</w:t>
      </w:r>
      <w:r w:rsidR="00B72B3E" w:rsidRPr="004E4188">
        <w:rPr>
          <w:szCs w:val="24"/>
        </w:rPr>
        <w:t> </w:t>
      </w:r>
      <w:r w:rsidRPr="004E4188">
        <w:rPr>
          <w:szCs w:val="24"/>
        </w:rPr>
        <w:t>É</w:t>
      </w:r>
      <w:r w:rsidRPr="004E4188">
        <w:rPr>
          <w:szCs w:val="24"/>
          <w:lang w:eastAsia="en-US"/>
        </w:rPr>
        <w:t>quipements d’origine étrangère (en dehors du pays du Maître d’ouvrage) ;</w:t>
      </w:r>
    </w:p>
    <w:p w14:paraId="7E845D9A" w14:textId="1D7AAD46" w:rsidR="007049A5" w:rsidRPr="004E4188" w:rsidRDefault="007049A5" w:rsidP="006C6267">
      <w:pPr>
        <w:suppressAutoHyphens w:val="0"/>
        <w:overflowPunct/>
        <w:autoSpaceDE/>
        <w:autoSpaceDN/>
        <w:adjustRightInd/>
        <w:ind w:left="540" w:hanging="114"/>
        <w:textAlignment w:val="auto"/>
        <w:rPr>
          <w:noProof/>
          <w:lang w:eastAsia="en-US"/>
        </w:rPr>
      </w:pPr>
      <w:r w:rsidRPr="004E4188">
        <w:rPr>
          <w:noProof/>
          <w:lang w:eastAsia="en-US"/>
        </w:rPr>
        <w:t xml:space="preserve">Bordereau </w:t>
      </w:r>
      <w:r w:rsidRPr="004E4188">
        <w:rPr>
          <w:szCs w:val="24"/>
          <w:lang w:eastAsia="en-US"/>
        </w:rPr>
        <w:t>n</w:t>
      </w:r>
      <w:r w:rsidRPr="004E4188">
        <w:rPr>
          <w:szCs w:val="24"/>
          <w:vertAlign w:val="superscript"/>
          <w:lang w:eastAsia="en-US"/>
        </w:rPr>
        <w:t>o</w:t>
      </w:r>
      <w:r w:rsidRPr="004E4188">
        <w:rPr>
          <w:szCs w:val="24"/>
          <w:lang w:eastAsia="en-US"/>
        </w:rPr>
        <w:t xml:space="preserve"> </w:t>
      </w:r>
      <w:r w:rsidRPr="004E4188">
        <w:rPr>
          <w:noProof/>
          <w:lang w:eastAsia="en-US"/>
        </w:rPr>
        <w:t xml:space="preserve">2 - </w:t>
      </w:r>
      <w:r w:rsidRPr="004E4188">
        <w:rPr>
          <w:szCs w:val="24"/>
        </w:rPr>
        <w:t>É</w:t>
      </w:r>
      <w:r w:rsidRPr="004E4188">
        <w:rPr>
          <w:szCs w:val="24"/>
          <w:lang w:eastAsia="en-US"/>
        </w:rPr>
        <w:t>quipements d’origine</w:t>
      </w:r>
      <w:r w:rsidRPr="004E4188">
        <w:rPr>
          <w:noProof/>
          <w:lang w:eastAsia="en-US"/>
        </w:rPr>
        <w:t xml:space="preserve"> locale ;</w:t>
      </w:r>
    </w:p>
    <w:p w14:paraId="3707D4AE" w14:textId="06560CE8" w:rsidR="007049A5" w:rsidRPr="004E4188" w:rsidRDefault="007049A5" w:rsidP="006C6267">
      <w:pPr>
        <w:suppressAutoHyphens w:val="0"/>
        <w:overflowPunct/>
        <w:autoSpaceDE/>
        <w:autoSpaceDN/>
        <w:adjustRightInd/>
        <w:ind w:left="540" w:hanging="114"/>
        <w:textAlignment w:val="auto"/>
        <w:rPr>
          <w:noProof/>
          <w:lang w:eastAsia="en-US"/>
        </w:rPr>
      </w:pPr>
      <w:r w:rsidRPr="004E4188">
        <w:rPr>
          <w:noProof/>
          <w:lang w:eastAsia="en-US"/>
        </w:rPr>
        <w:t xml:space="preserve">Bordereau </w:t>
      </w:r>
      <w:r w:rsidRPr="004E4188">
        <w:rPr>
          <w:szCs w:val="24"/>
          <w:lang w:eastAsia="en-US"/>
        </w:rPr>
        <w:t>n</w:t>
      </w:r>
      <w:r w:rsidRPr="004E4188">
        <w:rPr>
          <w:szCs w:val="24"/>
          <w:vertAlign w:val="superscript"/>
          <w:lang w:eastAsia="en-US"/>
        </w:rPr>
        <w:t>o</w:t>
      </w:r>
      <w:r w:rsidRPr="004E4188">
        <w:rPr>
          <w:szCs w:val="24"/>
          <w:lang w:eastAsia="en-US"/>
        </w:rPr>
        <w:t xml:space="preserve"> </w:t>
      </w:r>
      <w:r w:rsidRPr="004E4188">
        <w:rPr>
          <w:noProof/>
          <w:lang w:eastAsia="en-US"/>
        </w:rPr>
        <w:t>3 - Service de conception ;</w:t>
      </w:r>
    </w:p>
    <w:p w14:paraId="4276FB3E" w14:textId="2E39D5C8" w:rsidR="007049A5" w:rsidRPr="004E4188" w:rsidRDefault="007049A5" w:rsidP="006C6267">
      <w:pPr>
        <w:suppressAutoHyphens w:val="0"/>
        <w:overflowPunct/>
        <w:autoSpaceDE/>
        <w:autoSpaceDN/>
        <w:adjustRightInd/>
        <w:ind w:left="540" w:hanging="114"/>
        <w:textAlignment w:val="auto"/>
        <w:rPr>
          <w:noProof/>
          <w:lang w:eastAsia="en-US"/>
        </w:rPr>
      </w:pPr>
      <w:r w:rsidRPr="004E4188">
        <w:rPr>
          <w:noProof/>
          <w:lang w:eastAsia="en-US"/>
        </w:rPr>
        <w:t xml:space="preserve">Bordereau </w:t>
      </w:r>
      <w:r w:rsidRPr="004E4188">
        <w:rPr>
          <w:szCs w:val="24"/>
          <w:lang w:eastAsia="en-US"/>
        </w:rPr>
        <w:t>n</w:t>
      </w:r>
      <w:r w:rsidRPr="004E4188">
        <w:rPr>
          <w:szCs w:val="24"/>
          <w:vertAlign w:val="superscript"/>
          <w:lang w:eastAsia="en-US"/>
        </w:rPr>
        <w:t>o</w:t>
      </w:r>
      <w:r w:rsidRPr="004E4188">
        <w:rPr>
          <w:szCs w:val="24"/>
          <w:lang w:eastAsia="en-US"/>
        </w:rPr>
        <w:t xml:space="preserve"> </w:t>
      </w:r>
      <w:r w:rsidRPr="004E4188">
        <w:rPr>
          <w:noProof/>
          <w:lang w:eastAsia="en-US"/>
        </w:rPr>
        <w:t>4 - Service de montage et autres services ;</w:t>
      </w:r>
    </w:p>
    <w:p w14:paraId="69913FCE" w14:textId="77777777" w:rsidR="007049A5" w:rsidRPr="004E4188" w:rsidRDefault="007049A5" w:rsidP="006C6267">
      <w:pPr>
        <w:suppressAutoHyphens w:val="0"/>
        <w:overflowPunct/>
        <w:autoSpaceDE/>
        <w:autoSpaceDN/>
        <w:adjustRightInd/>
        <w:ind w:left="540" w:hanging="114"/>
        <w:textAlignment w:val="auto"/>
        <w:rPr>
          <w:noProof/>
          <w:lang w:eastAsia="en-US"/>
        </w:rPr>
      </w:pPr>
      <w:r w:rsidRPr="004E4188">
        <w:rPr>
          <w:noProof/>
          <w:lang w:eastAsia="en-US"/>
        </w:rPr>
        <w:t xml:space="preserve">Bordereau </w:t>
      </w:r>
      <w:r w:rsidRPr="004E4188">
        <w:rPr>
          <w:szCs w:val="24"/>
          <w:lang w:eastAsia="en-US"/>
        </w:rPr>
        <w:t>n</w:t>
      </w:r>
      <w:r w:rsidRPr="004E4188">
        <w:rPr>
          <w:szCs w:val="24"/>
          <w:vertAlign w:val="superscript"/>
          <w:lang w:eastAsia="en-US"/>
        </w:rPr>
        <w:t>o</w:t>
      </w:r>
      <w:r w:rsidRPr="004E4188">
        <w:rPr>
          <w:szCs w:val="24"/>
          <w:lang w:eastAsia="en-US"/>
        </w:rPr>
        <w:t xml:space="preserve"> </w:t>
      </w:r>
      <w:r w:rsidRPr="004E4188">
        <w:rPr>
          <w:noProof/>
          <w:lang w:eastAsia="en-US"/>
        </w:rPr>
        <w:t>5 - Pièces de rechange obligatoires ;</w:t>
      </w:r>
    </w:p>
    <w:p w14:paraId="0449AA37" w14:textId="2348E95C" w:rsidR="007049A5" w:rsidRPr="004E4188" w:rsidRDefault="007049A5" w:rsidP="006C6267">
      <w:pPr>
        <w:suppressAutoHyphens w:val="0"/>
        <w:overflowPunct/>
        <w:autoSpaceDE/>
        <w:autoSpaceDN/>
        <w:adjustRightInd/>
        <w:ind w:left="540" w:hanging="114"/>
        <w:textAlignment w:val="auto"/>
        <w:rPr>
          <w:noProof/>
          <w:lang w:eastAsia="en-US"/>
        </w:rPr>
      </w:pPr>
      <w:r w:rsidRPr="004E4188">
        <w:rPr>
          <w:noProof/>
          <w:lang w:eastAsia="en-US"/>
        </w:rPr>
        <w:t xml:space="preserve">Bordereau </w:t>
      </w:r>
      <w:r w:rsidRPr="004E4188">
        <w:rPr>
          <w:szCs w:val="24"/>
          <w:lang w:eastAsia="en-US"/>
        </w:rPr>
        <w:t>n</w:t>
      </w:r>
      <w:r w:rsidRPr="004E4188">
        <w:rPr>
          <w:szCs w:val="24"/>
          <w:vertAlign w:val="superscript"/>
          <w:lang w:eastAsia="en-US"/>
        </w:rPr>
        <w:t>o</w:t>
      </w:r>
      <w:r w:rsidRPr="004E4188">
        <w:rPr>
          <w:szCs w:val="24"/>
          <w:lang w:eastAsia="en-US"/>
        </w:rPr>
        <w:t xml:space="preserve"> </w:t>
      </w:r>
      <w:r w:rsidRPr="004E4188">
        <w:rPr>
          <w:noProof/>
          <w:lang w:eastAsia="en-US"/>
        </w:rPr>
        <w:t>6 - Pièces de rechange recommandées</w:t>
      </w:r>
      <w:r w:rsidR="00B72B3E" w:rsidRPr="004E4188">
        <w:rPr>
          <w:szCs w:val="24"/>
        </w:rPr>
        <w:t> </w:t>
      </w:r>
      <w:r w:rsidRPr="004E4188">
        <w:rPr>
          <w:noProof/>
          <w:lang w:eastAsia="en-US"/>
        </w:rPr>
        <w:t>;</w:t>
      </w:r>
    </w:p>
    <w:p w14:paraId="1913B46F" w14:textId="77777777" w:rsidR="007049A5" w:rsidRPr="004E4188" w:rsidRDefault="007049A5" w:rsidP="006C6267">
      <w:pPr>
        <w:suppressAutoHyphens w:val="0"/>
        <w:overflowPunct/>
        <w:autoSpaceDE/>
        <w:autoSpaceDN/>
        <w:adjustRightInd/>
        <w:ind w:left="540" w:hanging="114"/>
        <w:textAlignment w:val="auto"/>
        <w:rPr>
          <w:noProof/>
          <w:lang w:eastAsia="en-US"/>
        </w:rPr>
      </w:pPr>
      <w:r w:rsidRPr="004E4188">
        <w:rPr>
          <w:noProof/>
          <w:lang w:eastAsia="en-US"/>
        </w:rPr>
        <w:t>Bordereau des sommes provisionnelles de nature spécifique ; et</w:t>
      </w:r>
    </w:p>
    <w:p w14:paraId="23FDBF7F" w14:textId="77777777" w:rsidR="007049A5" w:rsidRPr="004E4188" w:rsidRDefault="007049A5" w:rsidP="006C6267">
      <w:pPr>
        <w:suppressAutoHyphens w:val="0"/>
        <w:overflowPunct/>
        <w:autoSpaceDE/>
        <w:autoSpaceDN/>
        <w:adjustRightInd/>
        <w:ind w:left="540" w:hanging="114"/>
        <w:textAlignment w:val="auto"/>
        <w:rPr>
          <w:noProof/>
          <w:lang w:eastAsia="ja-JP"/>
        </w:rPr>
      </w:pPr>
      <w:r w:rsidRPr="004E4188">
        <w:rPr>
          <w:noProof/>
          <w:lang w:eastAsia="en-US"/>
        </w:rPr>
        <w:t>Tableau récapitulatif.</w:t>
      </w:r>
    </w:p>
    <w:p w14:paraId="48123785" w14:textId="77777777" w:rsidR="007049A5" w:rsidRPr="004E4188" w:rsidRDefault="007049A5" w:rsidP="006C6267">
      <w:pPr>
        <w:suppressAutoHyphens w:val="0"/>
        <w:overflowPunct/>
        <w:autoSpaceDE/>
        <w:autoSpaceDN/>
        <w:adjustRightInd/>
        <w:textAlignment w:val="auto"/>
        <w:rPr>
          <w:noProof/>
          <w:lang w:eastAsia="ja-JP"/>
        </w:rPr>
      </w:pPr>
    </w:p>
    <w:p w14:paraId="7DE8D403" w14:textId="77777777" w:rsidR="007049A5" w:rsidRPr="004E4188" w:rsidRDefault="007049A5" w:rsidP="006C6267">
      <w:pPr>
        <w:tabs>
          <w:tab w:val="left" w:pos="426"/>
        </w:tabs>
        <w:suppressAutoHyphens w:val="0"/>
        <w:overflowPunct/>
        <w:autoSpaceDE/>
        <w:autoSpaceDN/>
        <w:adjustRightInd/>
        <w:ind w:left="426" w:hanging="426"/>
        <w:textAlignment w:val="auto"/>
        <w:rPr>
          <w:noProof/>
          <w:lang w:eastAsia="ja-JP"/>
        </w:rPr>
      </w:pPr>
      <w:r w:rsidRPr="004E4188">
        <w:rPr>
          <w:noProof/>
          <w:lang w:eastAsia="en-US"/>
        </w:rPr>
        <w:t>2.</w:t>
      </w:r>
      <w:r w:rsidRPr="004E4188">
        <w:rPr>
          <w:noProof/>
          <w:lang w:eastAsia="en-US"/>
        </w:rPr>
        <w:tab/>
        <w:t>Les Bordereaux de</w:t>
      </w:r>
      <w:r w:rsidRPr="004E4188">
        <w:rPr>
          <w:rFonts w:hint="eastAsia"/>
          <w:noProof/>
          <w:lang w:eastAsia="ja-JP"/>
        </w:rPr>
        <w:t>s</w:t>
      </w:r>
      <w:r w:rsidRPr="004E4188">
        <w:rPr>
          <w:noProof/>
          <w:lang w:eastAsia="en-US"/>
        </w:rPr>
        <w:t xml:space="preserve"> prix doivent inclure en pièces jointes, la décomposition des prix pour les postes composites ou forfaitaires suivants :</w:t>
      </w:r>
    </w:p>
    <w:p w14:paraId="681A6A1A" w14:textId="77777777" w:rsidR="007049A5" w:rsidRPr="004E4188" w:rsidRDefault="007049A5" w:rsidP="006C6267">
      <w:pPr>
        <w:tabs>
          <w:tab w:val="left" w:pos="993"/>
        </w:tabs>
        <w:suppressAutoHyphens w:val="0"/>
        <w:overflowPunct/>
        <w:autoSpaceDE/>
        <w:autoSpaceDN/>
        <w:adjustRightInd/>
        <w:ind w:left="993" w:hanging="567"/>
        <w:textAlignment w:val="auto"/>
        <w:rPr>
          <w:noProof/>
          <w:lang w:eastAsia="ja-JP"/>
        </w:rPr>
      </w:pPr>
      <w:r w:rsidRPr="004E4188">
        <w:rPr>
          <w:noProof/>
          <w:lang w:eastAsia="ja-JP"/>
        </w:rPr>
        <w:t xml:space="preserve">(a) </w:t>
      </w:r>
      <w:r w:rsidRPr="004E4188">
        <w:rPr>
          <w:noProof/>
          <w:lang w:eastAsia="ja-JP"/>
        </w:rPr>
        <w:tab/>
        <w:t>[</w:t>
      </w:r>
      <w:r w:rsidRPr="004E4188">
        <w:rPr>
          <w:i/>
          <w:szCs w:val="24"/>
          <w:lang w:eastAsia="ja-JP"/>
        </w:rPr>
        <w:t xml:space="preserve">Le Maître d’ouvrage doit </w:t>
      </w:r>
      <w:r w:rsidRPr="004E4188">
        <w:rPr>
          <w:rFonts w:hint="eastAsia"/>
          <w:i/>
          <w:szCs w:val="24"/>
          <w:lang w:eastAsia="ja-JP"/>
        </w:rPr>
        <w:t>i</w:t>
      </w:r>
      <w:r w:rsidRPr="004E4188">
        <w:rPr>
          <w:i/>
          <w:szCs w:val="24"/>
          <w:lang w:eastAsia="ja-JP"/>
        </w:rPr>
        <w:t>nsérer</w:t>
      </w:r>
      <w:r w:rsidRPr="004E4188">
        <w:rPr>
          <w:i/>
          <w:noProof/>
          <w:lang w:eastAsia="ja-JP"/>
        </w:rPr>
        <w:t xml:space="preserve"> la référence et la description du poste composite ou forfaitaire.</w:t>
      </w:r>
      <w:r w:rsidRPr="004E4188">
        <w:rPr>
          <w:noProof/>
          <w:lang w:eastAsia="ja-JP"/>
        </w:rPr>
        <w:t>]</w:t>
      </w:r>
    </w:p>
    <w:p w14:paraId="586560C1" w14:textId="77777777" w:rsidR="007049A5" w:rsidRPr="004E4188" w:rsidRDefault="007049A5" w:rsidP="006C6267">
      <w:pPr>
        <w:tabs>
          <w:tab w:val="left" w:pos="993"/>
        </w:tabs>
        <w:suppressAutoHyphens w:val="0"/>
        <w:overflowPunct/>
        <w:autoSpaceDE/>
        <w:autoSpaceDN/>
        <w:adjustRightInd/>
        <w:ind w:left="993" w:hanging="567"/>
        <w:textAlignment w:val="auto"/>
        <w:rPr>
          <w:noProof/>
          <w:lang w:eastAsia="ja-JP"/>
        </w:rPr>
      </w:pPr>
      <w:r w:rsidRPr="004E4188">
        <w:rPr>
          <w:noProof/>
          <w:lang w:eastAsia="ja-JP"/>
        </w:rPr>
        <w:t xml:space="preserve">(b) </w:t>
      </w:r>
      <w:r w:rsidRPr="004E4188">
        <w:rPr>
          <w:noProof/>
          <w:lang w:eastAsia="ja-JP"/>
        </w:rPr>
        <w:tab/>
        <w:t>[</w:t>
      </w:r>
      <w:r w:rsidRPr="004E4188">
        <w:rPr>
          <w:i/>
          <w:szCs w:val="24"/>
          <w:lang w:eastAsia="ja-JP"/>
        </w:rPr>
        <w:t xml:space="preserve">Le Maître d’ouvrage doit </w:t>
      </w:r>
      <w:r w:rsidRPr="004E4188">
        <w:rPr>
          <w:rFonts w:hint="eastAsia"/>
          <w:i/>
          <w:szCs w:val="24"/>
          <w:lang w:eastAsia="ja-JP"/>
        </w:rPr>
        <w:t>i</w:t>
      </w:r>
      <w:r w:rsidRPr="004E4188">
        <w:rPr>
          <w:i/>
          <w:szCs w:val="24"/>
          <w:lang w:eastAsia="ja-JP"/>
        </w:rPr>
        <w:t>nsérer</w:t>
      </w:r>
      <w:r w:rsidRPr="004E4188">
        <w:rPr>
          <w:i/>
          <w:noProof/>
          <w:lang w:eastAsia="ja-JP"/>
        </w:rPr>
        <w:t xml:space="preserve"> la référence et la description du poste composite ou forfaitaire.</w:t>
      </w:r>
      <w:r w:rsidRPr="004E4188">
        <w:rPr>
          <w:noProof/>
          <w:lang w:eastAsia="ja-JP"/>
        </w:rPr>
        <w:t>]</w:t>
      </w:r>
    </w:p>
    <w:p w14:paraId="443DA8E0" w14:textId="77777777" w:rsidR="007049A5" w:rsidRPr="004E4188" w:rsidRDefault="007049A5" w:rsidP="006C6267">
      <w:pPr>
        <w:tabs>
          <w:tab w:val="left" w:pos="993"/>
        </w:tabs>
        <w:suppressAutoHyphens w:val="0"/>
        <w:overflowPunct/>
        <w:autoSpaceDE/>
        <w:autoSpaceDN/>
        <w:adjustRightInd/>
        <w:ind w:left="993" w:hanging="567"/>
        <w:textAlignment w:val="auto"/>
        <w:rPr>
          <w:noProof/>
          <w:lang w:eastAsia="ja-JP"/>
        </w:rPr>
      </w:pPr>
      <w:r w:rsidRPr="004E4188">
        <w:rPr>
          <w:noProof/>
          <w:lang w:eastAsia="ja-JP"/>
        </w:rPr>
        <w:t xml:space="preserve">(c) </w:t>
      </w:r>
      <w:r w:rsidRPr="004E4188">
        <w:rPr>
          <w:noProof/>
          <w:lang w:eastAsia="ja-JP"/>
        </w:rPr>
        <w:tab/>
        <w:t>[</w:t>
      </w:r>
      <w:r w:rsidRPr="004E4188">
        <w:rPr>
          <w:i/>
          <w:szCs w:val="24"/>
          <w:lang w:eastAsia="ja-JP"/>
        </w:rPr>
        <w:t xml:space="preserve">Le Maître d’ouvrage doit </w:t>
      </w:r>
      <w:r w:rsidRPr="004E4188">
        <w:rPr>
          <w:rFonts w:hint="eastAsia"/>
          <w:i/>
          <w:szCs w:val="24"/>
          <w:lang w:eastAsia="ja-JP"/>
        </w:rPr>
        <w:t>i</w:t>
      </w:r>
      <w:r w:rsidRPr="004E4188">
        <w:rPr>
          <w:i/>
          <w:szCs w:val="24"/>
          <w:lang w:eastAsia="ja-JP"/>
        </w:rPr>
        <w:t>nsérer</w:t>
      </w:r>
      <w:r w:rsidRPr="004E4188">
        <w:rPr>
          <w:i/>
          <w:noProof/>
          <w:lang w:eastAsia="ja-JP"/>
        </w:rPr>
        <w:t xml:space="preserve"> la référence et la description du poste composite ou forfaitaire.</w:t>
      </w:r>
      <w:r w:rsidRPr="004E4188">
        <w:rPr>
          <w:noProof/>
          <w:lang w:eastAsia="ja-JP"/>
        </w:rPr>
        <w:t>]</w:t>
      </w:r>
    </w:p>
    <w:p w14:paraId="2014B4CD" w14:textId="77777777" w:rsidR="007049A5" w:rsidRPr="004E4188" w:rsidRDefault="007049A5" w:rsidP="006C6267">
      <w:pPr>
        <w:pStyle w:val="SectionIVHeading2"/>
        <w:rPr>
          <w:lang w:val="fr-FR"/>
        </w:rPr>
      </w:pPr>
      <w:r w:rsidRPr="004E4188">
        <w:rPr>
          <w:szCs w:val="24"/>
          <w:lang w:val="fr-FR"/>
        </w:rPr>
        <w:br w:type="page"/>
      </w:r>
      <w:bookmarkStart w:id="508" w:name="_Toc112429301"/>
      <w:bookmarkStart w:id="509" w:name="_Toc288832290"/>
      <w:bookmarkStart w:id="510" w:name="_Toc357513208"/>
      <w:r w:rsidRPr="004E4188">
        <w:rPr>
          <w:lang w:val="fr-FR"/>
        </w:rPr>
        <w:t>Bordereau n</w:t>
      </w:r>
      <w:r w:rsidRPr="004E4188">
        <w:rPr>
          <w:vertAlign w:val="superscript"/>
          <w:lang w:val="fr-FR"/>
        </w:rPr>
        <w:t>o</w:t>
      </w:r>
      <w:r w:rsidRPr="004E4188">
        <w:rPr>
          <w:lang w:val="fr-FR"/>
        </w:rPr>
        <w:t xml:space="preserve"> 1</w:t>
      </w:r>
      <w:r w:rsidRPr="004E4188">
        <w:rPr>
          <w:lang w:val="fr-FR"/>
        </w:rPr>
        <w:br/>
        <w:t>Équipements d’origine étrangère (en dehors du pays du Maître d’ouvrage)</w:t>
      </w:r>
      <w:bookmarkEnd w:id="508"/>
    </w:p>
    <w:p w14:paraId="5568E9A6" w14:textId="77777777" w:rsidR="007049A5" w:rsidRPr="004E4188" w:rsidRDefault="007049A5" w:rsidP="006C6267">
      <w:pPr>
        <w:rPr>
          <w:lang w:eastAsia="en-US"/>
        </w:rPr>
      </w:pPr>
    </w:p>
    <w:tbl>
      <w:tblPr>
        <w:tblW w:w="9651"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99"/>
        <w:gridCol w:w="2539"/>
        <w:gridCol w:w="1070"/>
        <w:gridCol w:w="758"/>
        <w:gridCol w:w="800"/>
        <w:gridCol w:w="1165"/>
        <w:gridCol w:w="1293"/>
        <w:gridCol w:w="1227"/>
      </w:tblGrid>
      <w:tr w:rsidR="007049A5" w:rsidRPr="004E4188" w14:paraId="17A18867" w14:textId="77777777" w:rsidTr="00510D0A">
        <w:trPr>
          <w:trHeight w:val="557"/>
        </w:trPr>
        <w:tc>
          <w:tcPr>
            <w:tcW w:w="799" w:type="dxa"/>
            <w:vMerge w:val="restart"/>
            <w:tcBorders>
              <w:top w:val="double" w:sz="4" w:space="0" w:color="auto"/>
              <w:left w:val="double" w:sz="4" w:space="0" w:color="auto"/>
              <w:right w:val="nil"/>
            </w:tcBorders>
          </w:tcPr>
          <w:bookmarkEnd w:id="509"/>
          <w:bookmarkEnd w:id="510"/>
          <w:p w14:paraId="183798E6" w14:textId="1AB5EF60" w:rsidR="007049A5" w:rsidRPr="004E4188" w:rsidRDefault="007049A5" w:rsidP="001C3B2E">
            <w:pPr>
              <w:jc w:val="center"/>
              <w:rPr>
                <w:i/>
                <w:sz w:val="22"/>
              </w:rPr>
            </w:pPr>
            <w:r w:rsidRPr="004E4188">
              <w:rPr>
                <w:i/>
                <w:sz w:val="22"/>
                <w:szCs w:val="22"/>
              </w:rPr>
              <w:t>N</w:t>
            </w:r>
            <w:r w:rsidRPr="004E4188">
              <w:rPr>
                <w:i/>
                <w:sz w:val="22"/>
                <w:szCs w:val="22"/>
                <w:vertAlign w:val="superscript"/>
              </w:rPr>
              <w:t xml:space="preserve">o </w:t>
            </w:r>
            <w:r w:rsidRPr="004E4188">
              <w:rPr>
                <w:i/>
                <w:sz w:val="22"/>
                <w:szCs w:val="22"/>
              </w:rPr>
              <w:t>du poste</w:t>
            </w:r>
          </w:p>
        </w:tc>
        <w:tc>
          <w:tcPr>
            <w:tcW w:w="2539" w:type="dxa"/>
            <w:vMerge w:val="restart"/>
            <w:tcBorders>
              <w:top w:val="double" w:sz="4" w:space="0" w:color="auto"/>
              <w:left w:val="single" w:sz="6" w:space="0" w:color="auto"/>
              <w:right w:val="single" w:sz="6" w:space="0" w:color="auto"/>
            </w:tcBorders>
          </w:tcPr>
          <w:p w14:paraId="27F168BA" w14:textId="50ACFE68" w:rsidR="007049A5" w:rsidRPr="004E4188" w:rsidRDefault="007049A5" w:rsidP="006C6267">
            <w:pPr>
              <w:jc w:val="center"/>
              <w:rPr>
                <w:i/>
                <w:sz w:val="22"/>
              </w:rPr>
            </w:pPr>
            <w:r w:rsidRPr="004E4188">
              <w:rPr>
                <w:i/>
                <w:sz w:val="22"/>
              </w:rPr>
              <w:t>Description</w:t>
            </w:r>
          </w:p>
        </w:tc>
        <w:tc>
          <w:tcPr>
            <w:tcW w:w="1070" w:type="dxa"/>
            <w:vMerge w:val="restart"/>
            <w:tcBorders>
              <w:top w:val="double" w:sz="4" w:space="0" w:color="auto"/>
              <w:left w:val="nil"/>
              <w:right w:val="single" w:sz="6" w:space="0" w:color="auto"/>
            </w:tcBorders>
          </w:tcPr>
          <w:p w14:paraId="734B71BF" w14:textId="77777777" w:rsidR="007049A5" w:rsidRPr="004E4188" w:rsidRDefault="007049A5" w:rsidP="001C3B2E">
            <w:pPr>
              <w:jc w:val="center"/>
              <w:rPr>
                <w:i/>
                <w:sz w:val="22"/>
              </w:rPr>
            </w:pPr>
            <w:r w:rsidRPr="004E4188">
              <w:rPr>
                <w:i/>
                <w:sz w:val="22"/>
              </w:rPr>
              <w:t>Pays d’origine</w:t>
            </w:r>
          </w:p>
        </w:tc>
        <w:tc>
          <w:tcPr>
            <w:tcW w:w="758" w:type="dxa"/>
            <w:vMerge w:val="restart"/>
            <w:tcBorders>
              <w:top w:val="double" w:sz="4" w:space="0" w:color="auto"/>
              <w:left w:val="single" w:sz="6" w:space="0" w:color="auto"/>
              <w:right w:val="nil"/>
            </w:tcBorders>
          </w:tcPr>
          <w:p w14:paraId="3057A5D9" w14:textId="77777777" w:rsidR="007049A5" w:rsidRPr="004E4188" w:rsidRDefault="007049A5" w:rsidP="001C3B2E">
            <w:pPr>
              <w:jc w:val="center"/>
              <w:rPr>
                <w:i/>
                <w:sz w:val="22"/>
              </w:rPr>
            </w:pPr>
            <w:r w:rsidRPr="004E4188">
              <w:rPr>
                <w:i/>
                <w:sz w:val="22"/>
              </w:rPr>
              <w:t>Code</w:t>
            </w:r>
            <w:r w:rsidRPr="004E4188">
              <w:rPr>
                <w:i/>
                <w:sz w:val="22"/>
                <w:vertAlign w:val="superscript"/>
              </w:rPr>
              <w:t>1</w:t>
            </w:r>
          </w:p>
        </w:tc>
        <w:tc>
          <w:tcPr>
            <w:tcW w:w="800" w:type="dxa"/>
            <w:vMerge w:val="restart"/>
            <w:tcBorders>
              <w:top w:val="double" w:sz="4" w:space="0" w:color="auto"/>
              <w:left w:val="single" w:sz="6" w:space="0" w:color="auto"/>
              <w:right w:val="single" w:sz="6" w:space="0" w:color="auto"/>
            </w:tcBorders>
          </w:tcPr>
          <w:p w14:paraId="2D823A3E" w14:textId="77777777" w:rsidR="007049A5" w:rsidRPr="004E4188" w:rsidRDefault="007049A5" w:rsidP="001C3B2E">
            <w:pPr>
              <w:jc w:val="center"/>
              <w:rPr>
                <w:i/>
                <w:sz w:val="22"/>
              </w:rPr>
            </w:pPr>
            <w:r w:rsidRPr="004E4188">
              <w:rPr>
                <w:i/>
                <w:sz w:val="22"/>
              </w:rPr>
              <w:t>Quan-tité</w:t>
            </w:r>
          </w:p>
          <w:p w14:paraId="78013024" w14:textId="77777777" w:rsidR="007049A5" w:rsidRPr="004E4188" w:rsidRDefault="007049A5" w:rsidP="001C3B2E">
            <w:pPr>
              <w:jc w:val="center"/>
              <w:rPr>
                <w:i/>
                <w:sz w:val="22"/>
              </w:rPr>
            </w:pPr>
          </w:p>
          <w:p w14:paraId="60A0CA30" w14:textId="77777777" w:rsidR="007049A5" w:rsidRPr="004E4188" w:rsidRDefault="007049A5" w:rsidP="001C3B2E">
            <w:pPr>
              <w:jc w:val="center"/>
              <w:rPr>
                <w:i/>
                <w:sz w:val="22"/>
              </w:rPr>
            </w:pPr>
            <w:r w:rsidRPr="004E4188">
              <w:rPr>
                <w:i/>
                <w:sz w:val="22"/>
              </w:rPr>
              <w:t>(1)</w:t>
            </w:r>
          </w:p>
        </w:tc>
        <w:tc>
          <w:tcPr>
            <w:tcW w:w="2458" w:type="dxa"/>
            <w:gridSpan w:val="2"/>
            <w:tcBorders>
              <w:top w:val="double" w:sz="4" w:space="0" w:color="auto"/>
              <w:left w:val="nil"/>
              <w:bottom w:val="nil"/>
              <w:right w:val="nil"/>
            </w:tcBorders>
          </w:tcPr>
          <w:p w14:paraId="1379900C" w14:textId="17A8AF08" w:rsidR="007049A5" w:rsidRPr="004E4188" w:rsidRDefault="007049A5" w:rsidP="001C3B2E">
            <w:pPr>
              <w:jc w:val="center"/>
              <w:rPr>
                <w:i/>
                <w:sz w:val="22"/>
                <w:vertAlign w:val="superscript"/>
              </w:rPr>
            </w:pPr>
            <w:r w:rsidRPr="004E4188">
              <w:rPr>
                <w:i/>
                <w:sz w:val="22"/>
              </w:rPr>
              <w:t>Prix unitaire</w:t>
            </w:r>
          </w:p>
          <w:p w14:paraId="3997D275" w14:textId="77777777" w:rsidR="007049A5" w:rsidRPr="004E4188" w:rsidRDefault="007049A5" w:rsidP="001C3B2E">
            <w:pPr>
              <w:jc w:val="center"/>
              <w:rPr>
                <w:i/>
                <w:sz w:val="22"/>
              </w:rPr>
            </w:pPr>
            <w:r w:rsidRPr="004E4188">
              <w:rPr>
                <w:i/>
                <w:sz w:val="22"/>
              </w:rPr>
              <w:t>(2)</w:t>
            </w:r>
          </w:p>
        </w:tc>
        <w:tc>
          <w:tcPr>
            <w:tcW w:w="1227" w:type="dxa"/>
            <w:vMerge w:val="restart"/>
            <w:tcBorders>
              <w:top w:val="double" w:sz="4" w:space="0" w:color="auto"/>
              <w:left w:val="single" w:sz="6" w:space="0" w:color="auto"/>
              <w:right w:val="double" w:sz="4" w:space="0" w:color="auto"/>
            </w:tcBorders>
          </w:tcPr>
          <w:p w14:paraId="1071B1E4" w14:textId="3D4F71D1" w:rsidR="007049A5" w:rsidRPr="004E4188" w:rsidRDefault="007049A5" w:rsidP="001C3B2E">
            <w:pPr>
              <w:jc w:val="center"/>
              <w:rPr>
                <w:i/>
                <w:sz w:val="22"/>
              </w:rPr>
            </w:pPr>
            <w:r w:rsidRPr="004E4188">
              <w:rPr>
                <w:i/>
                <w:sz w:val="22"/>
              </w:rPr>
              <w:t>Prix total</w:t>
            </w:r>
          </w:p>
          <w:p w14:paraId="74C23411" w14:textId="77777777" w:rsidR="007049A5" w:rsidRPr="004E4188" w:rsidRDefault="007049A5" w:rsidP="001C3B2E">
            <w:pPr>
              <w:jc w:val="center"/>
              <w:rPr>
                <w:i/>
                <w:sz w:val="22"/>
              </w:rPr>
            </w:pPr>
          </w:p>
          <w:p w14:paraId="595471E0" w14:textId="2BCE2356" w:rsidR="007049A5" w:rsidRPr="004E4188" w:rsidRDefault="007049A5" w:rsidP="001C3B2E">
            <w:pPr>
              <w:jc w:val="center"/>
              <w:rPr>
                <w:i/>
                <w:sz w:val="22"/>
              </w:rPr>
            </w:pPr>
            <w:r w:rsidRPr="004E4188">
              <w:rPr>
                <w:i/>
                <w:sz w:val="22"/>
              </w:rPr>
              <w:t>(1) x (2)</w:t>
            </w:r>
          </w:p>
        </w:tc>
      </w:tr>
      <w:tr w:rsidR="007049A5" w:rsidRPr="004E4188" w14:paraId="7413B3CE" w14:textId="77777777" w:rsidTr="00510D0A">
        <w:trPr>
          <w:trHeight w:val="563"/>
        </w:trPr>
        <w:tc>
          <w:tcPr>
            <w:tcW w:w="799" w:type="dxa"/>
            <w:vMerge/>
            <w:tcBorders>
              <w:left w:val="double" w:sz="4" w:space="0" w:color="auto"/>
              <w:bottom w:val="single" w:sz="6" w:space="0" w:color="auto"/>
              <w:right w:val="nil"/>
            </w:tcBorders>
          </w:tcPr>
          <w:p w14:paraId="2AFA8BB8" w14:textId="77777777" w:rsidR="007049A5" w:rsidRPr="004E4188" w:rsidRDefault="007049A5" w:rsidP="001C3B2E">
            <w:pPr>
              <w:rPr>
                <w:sz w:val="22"/>
              </w:rPr>
            </w:pPr>
          </w:p>
        </w:tc>
        <w:tc>
          <w:tcPr>
            <w:tcW w:w="2539" w:type="dxa"/>
            <w:vMerge/>
            <w:tcBorders>
              <w:left w:val="single" w:sz="6" w:space="0" w:color="auto"/>
              <w:bottom w:val="single" w:sz="6" w:space="0" w:color="auto"/>
              <w:right w:val="single" w:sz="6" w:space="0" w:color="auto"/>
            </w:tcBorders>
          </w:tcPr>
          <w:p w14:paraId="68CEE370" w14:textId="77777777" w:rsidR="007049A5" w:rsidRPr="004E4188" w:rsidRDefault="007049A5" w:rsidP="001C3B2E">
            <w:pPr>
              <w:rPr>
                <w:sz w:val="22"/>
              </w:rPr>
            </w:pPr>
          </w:p>
        </w:tc>
        <w:tc>
          <w:tcPr>
            <w:tcW w:w="1070" w:type="dxa"/>
            <w:vMerge/>
            <w:tcBorders>
              <w:left w:val="nil"/>
              <w:bottom w:val="single" w:sz="6" w:space="0" w:color="auto"/>
              <w:right w:val="single" w:sz="6" w:space="0" w:color="auto"/>
            </w:tcBorders>
          </w:tcPr>
          <w:p w14:paraId="63F83878" w14:textId="77777777" w:rsidR="007049A5" w:rsidRPr="004E4188" w:rsidRDefault="007049A5" w:rsidP="001C3B2E">
            <w:pPr>
              <w:rPr>
                <w:sz w:val="22"/>
              </w:rPr>
            </w:pPr>
          </w:p>
        </w:tc>
        <w:tc>
          <w:tcPr>
            <w:tcW w:w="758" w:type="dxa"/>
            <w:vMerge/>
            <w:tcBorders>
              <w:left w:val="single" w:sz="6" w:space="0" w:color="auto"/>
              <w:bottom w:val="single" w:sz="6" w:space="0" w:color="auto"/>
              <w:right w:val="nil"/>
            </w:tcBorders>
          </w:tcPr>
          <w:p w14:paraId="449B4C4E" w14:textId="77777777" w:rsidR="007049A5" w:rsidRPr="004E4188" w:rsidRDefault="007049A5" w:rsidP="001C3B2E">
            <w:pPr>
              <w:rPr>
                <w:sz w:val="22"/>
              </w:rPr>
            </w:pPr>
          </w:p>
        </w:tc>
        <w:tc>
          <w:tcPr>
            <w:tcW w:w="800" w:type="dxa"/>
            <w:vMerge/>
            <w:tcBorders>
              <w:left w:val="single" w:sz="6" w:space="0" w:color="auto"/>
              <w:bottom w:val="single" w:sz="6" w:space="0" w:color="auto"/>
              <w:right w:val="single" w:sz="6" w:space="0" w:color="auto"/>
            </w:tcBorders>
          </w:tcPr>
          <w:p w14:paraId="14CB17B7" w14:textId="77777777" w:rsidR="007049A5" w:rsidRPr="004E4188" w:rsidRDefault="007049A5" w:rsidP="001C3B2E">
            <w:pPr>
              <w:jc w:val="center"/>
              <w:rPr>
                <w:sz w:val="22"/>
              </w:rPr>
            </w:pPr>
          </w:p>
        </w:tc>
        <w:tc>
          <w:tcPr>
            <w:tcW w:w="1165" w:type="dxa"/>
            <w:tcBorders>
              <w:top w:val="single" w:sz="6" w:space="0" w:color="auto"/>
              <w:left w:val="nil"/>
              <w:bottom w:val="single" w:sz="6" w:space="0" w:color="auto"/>
              <w:right w:val="nil"/>
            </w:tcBorders>
          </w:tcPr>
          <w:p w14:paraId="5E01EA4E" w14:textId="76398608" w:rsidR="007049A5" w:rsidRPr="004E4188" w:rsidRDefault="007049A5">
            <w:pPr>
              <w:jc w:val="center"/>
              <w:rPr>
                <w:sz w:val="22"/>
              </w:rPr>
            </w:pPr>
            <w:r w:rsidRPr="004E4188">
              <w:rPr>
                <w:i/>
                <w:sz w:val="22"/>
              </w:rPr>
              <w:t>Monnaie étrangère</w:t>
            </w:r>
          </w:p>
        </w:tc>
        <w:tc>
          <w:tcPr>
            <w:tcW w:w="1293" w:type="dxa"/>
            <w:tcBorders>
              <w:top w:val="single" w:sz="6" w:space="0" w:color="auto"/>
              <w:left w:val="single" w:sz="6" w:space="0" w:color="auto"/>
              <w:bottom w:val="single" w:sz="6" w:space="0" w:color="auto"/>
              <w:right w:val="single" w:sz="6" w:space="0" w:color="auto"/>
            </w:tcBorders>
          </w:tcPr>
          <w:p w14:paraId="0A86AB59" w14:textId="77777777" w:rsidR="007049A5" w:rsidRPr="004E4188" w:rsidRDefault="007049A5">
            <w:pPr>
              <w:jc w:val="center"/>
              <w:rPr>
                <w:i/>
                <w:sz w:val="22"/>
                <w:lang w:eastAsia="ja-JP"/>
              </w:rPr>
            </w:pPr>
            <w:r w:rsidRPr="004E4188">
              <w:rPr>
                <w:i/>
                <w:sz w:val="22"/>
              </w:rPr>
              <w:t>Prix unitaire</w:t>
            </w:r>
          </w:p>
          <w:p w14:paraId="17F4E7B9" w14:textId="4F56E754" w:rsidR="007049A5" w:rsidRPr="004E4188" w:rsidRDefault="007049A5">
            <w:pPr>
              <w:jc w:val="center"/>
              <w:rPr>
                <w:sz w:val="22"/>
              </w:rPr>
            </w:pPr>
            <w:r w:rsidRPr="004E4188">
              <w:rPr>
                <w:rFonts w:hint="eastAsia"/>
                <w:i/>
                <w:sz w:val="22"/>
                <w:lang w:eastAsia="ja-JP"/>
              </w:rPr>
              <w:t>(</w:t>
            </w:r>
            <w:r w:rsidRPr="004E4188">
              <w:rPr>
                <w:i/>
                <w:sz w:val="22"/>
              </w:rPr>
              <w:t>CIP)</w:t>
            </w:r>
          </w:p>
        </w:tc>
        <w:tc>
          <w:tcPr>
            <w:tcW w:w="1227" w:type="dxa"/>
            <w:vMerge/>
            <w:tcBorders>
              <w:left w:val="single" w:sz="6" w:space="0" w:color="auto"/>
              <w:bottom w:val="single" w:sz="6" w:space="0" w:color="auto"/>
              <w:right w:val="double" w:sz="4" w:space="0" w:color="auto"/>
            </w:tcBorders>
          </w:tcPr>
          <w:p w14:paraId="296A74E8" w14:textId="77777777" w:rsidR="007049A5" w:rsidRPr="004E4188" w:rsidRDefault="007049A5" w:rsidP="001C3B2E">
            <w:pPr>
              <w:jc w:val="center"/>
              <w:rPr>
                <w:sz w:val="22"/>
              </w:rPr>
            </w:pPr>
          </w:p>
        </w:tc>
      </w:tr>
      <w:tr w:rsidR="007049A5" w:rsidRPr="004E4188" w14:paraId="76ADA3EE" w14:textId="77777777" w:rsidTr="00510D0A">
        <w:trPr>
          <w:trHeight w:val="287"/>
        </w:trPr>
        <w:tc>
          <w:tcPr>
            <w:tcW w:w="799" w:type="dxa"/>
            <w:tcBorders>
              <w:top w:val="single" w:sz="6" w:space="0" w:color="auto"/>
              <w:left w:val="double" w:sz="4" w:space="0" w:color="auto"/>
              <w:bottom w:val="dotted" w:sz="4" w:space="0" w:color="auto"/>
              <w:right w:val="nil"/>
            </w:tcBorders>
          </w:tcPr>
          <w:p w14:paraId="32E5E9A3" w14:textId="77777777" w:rsidR="007049A5" w:rsidRPr="004E4188" w:rsidRDefault="007049A5" w:rsidP="001C3B2E">
            <w:pPr>
              <w:rPr>
                <w:sz w:val="22"/>
                <w:lang w:eastAsia="ja-JP"/>
              </w:rPr>
            </w:pPr>
            <w:r w:rsidRPr="004E4188">
              <w:rPr>
                <w:rFonts w:hint="eastAsia"/>
                <w:sz w:val="22"/>
                <w:lang w:eastAsia="ja-JP"/>
              </w:rPr>
              <w:t>1</w:t>
            </w:r>
            <w:r w:rsidRPr="004E4188">
              <w:rPr>
                <w:sz w:val="22"/>
                <w:lang w:eastAsia="ja-JP"/>
              </w:rPr>
              <w:t>01</w:t>
            </w:r>
          </w:p>
        </w:tc>
        <w:tc>
          <w:tcPr>
            <w:tcW w:w="2539" w:type="dxa"/>
            <w:tcBorders>
              <w:top w:val="single" w:sz="6" w:space="0" w:color="auto"/>
              <w:left w:val="single" w:sz="6" w:space="0" w:color="auto"/>
              <w:bottom w:val="dotted" w:sz="4" w:space="0" w:color="auto"/>
              <w:right w:val="single" w:sz="6" w:space="0" w:color="auto"/>
            </w:tcBorders>
          </w:tcPr>
          <w:p w14:paraId="3940D92C" w14:textId="77777777" w:rsidR="007049A5" w:rsidRPr="004E4188" w:rsidRDefault="007049A5" w:rsidP="001C3B2E">
            <w:pPr>
              <w:rPr>
                <w:sz w:val="22"/>
              </w:rPr>
            </w:pPr>
          </w:p>
        </w:tc>
        <w:tc>
          <w:tcPr>
            <w:tcW w:w="1070" w:type="dxa"/>
            <w:tcBorders>
              <w:top w:val="single" w:sz="6" w:space="0" w:color="auto"/>
              <w:left w:val="nil"/>
              <w:bottom w:val="dotted" w:sz="4" w:space="0" w:color="auto"/>
              <w:right w:val="single" w:sz="6" w:space="0" w:color="auto"/>
            </w:tcBorders>
          </w:tcPr>
          <w:p w14:paraId="07D8475A" w14:textId="77777777" w:rsidR="007049A5" w:rsidRPr="004E4188" w:rsidRDefault="007049A5" w:rsidP="001C3B2E">
            <w:pPr>
              <w:rPr>
                <w:sz w:val="22"/>
              </w:rPr>
            </w:pPr>
          </w:p>
        </w:tc>
        <w:tc>
          <w:tcPr>
            <w:tcW w:w="758" w:type="dxa"/>
            <w:tcBorders>
              <w:top w:val="single" w:sz="6" w:space="0" w:color="auto"/>
              <w:left w:val="single" w:sz="6" w:space="0" w:color="auto"/>
              <w:bottom w:val="dotted" w:sz="4" w:space="0" w:color="auto"/>
              <w:right w:val="nil"/>
            </w:tcBorders>
          </w:tcPr>
          <w:p w14:paraId="0F35FD6C" w14:textId="77777777" w:rsidR="007049A5" w:rsidRPr="004E4188" w:rsidRDefault="007049A5" w:rsidP="001C3B2E">
            <w:pPr>
              <w:rPr>
                <w:sz w:val="22"/>
              </w:rPr>
            </w:pPr>
          </w:p>
        </w:tc>
        <w:tc>
          <w:tcPr>
            <w:tcW w:w="800" w:type="dxa"/>
            <w:tcBorders>
              <w:top w:val="single" w:sz="6" w:space="0" w:color="auto"/>
              <w:left w:val="single" w:sz="6" w:space="0" w:color="auto"/>
              <w:bottom w:val="dotted" w:sz="4" w:space="0" w:color="auto"/>
              <w:right w:val="single" w:sz="6" w:space="0" w:color="auto"/>
            </w:tcBorders>
          </w:tcPr>
          <w:p w14:paraId="2547D4C7" w14:textId="77777777" w:rsidR="007049A5" w:rsidRPr="004E4188" w:rsidRDefault="007049A5" w:rsidP="001C3B2E">
            <w:pPr>
              <w:rPr>
                <w:sz w:val="22"/>
              </w:rPr>
            </w:pPr>
          </w:p>
        </w:tc>
        <w:tc>
          <w:tcPr>
            <w:tcW w:w="1165" w:type="dxa"/>
            <w:tcBorders>
              <w:top w:val="single" w:sz="6" w:space="0" w:color="auto"/>
              <w:left w:val="nil"/>
              <w:bottom w:val="dotted" w:sz="4" w:space="0" w:color="auto"/>
              <w:right w:val="nil"/>
            </w:tcBorders>
          </w:tcPr>
          <w:p w14:paraId="4FBAA724" w14:textId="77777777" w:rsidR="007049A5" w:rsidRPr="004E4188" w:rsidRDefault="007049A5" w:rsidP="001C3B2E">
            <w:pPr>
              <w:rPr>
                <w:sz w:val="22"/>
              </w:rPr>
            </w:pPr>
          </w:p>
        </w:tc>
        <w:tc>
          <w:tcPr>
            <w:tcW w:w="1293" w:type="dxa"/>
            <w:tcBorders>
              <w:top w:val="single" w:sz="6" w:space="0" w:color="auto"/>
              <w:left w:val="single" w:sz="6" w:space="0" w:color="auto"/>
              <w:bottom w:val="dotted" w:sz="4" w:space="0" w:color="auto"/>
              <w:right w:val="single" w:sz="6" w:space="0" w:color="auto"/>
            </w:tcBorders>
          </w:tcPr>
          <w:p w14:paraId="46AAE98B" w14:textId="77777777" w:rsidR="007049A5" w:rsidRPr="004E4188" w:rsidRDefault="007049A5" w:rsidP="001C3B2E">
            <w:pPr>
              <w:rPr>
                <w:sz w:val="22"/>
              </w:rPr>
            </w:pPr>
          </w:p>
        </w:tc>
        <w:tc>
          <w:tcPr>
            <w:tcW w:w="1227" w:type="dxa"/>
            <w:tcBorders>
              <w:top w:val="single" w:sz="6" w:space="0" w:color="auto"/>
              <w:left w:val="nil"/>
              <w:bottom w:val="dotted" w:sz="4" w:space="0" w:color="auto"/>
              <w:right w:val="double" w:sz="4" w:space="0" w:color="auto"/>
            </w:tcBorders>
          </w:tcPr>
          <w:p w14:paraId="25CE4EB1" w14:textId="77777777" w:rsidR="007049A5" w:rsidRPr="004E4188" w:rsidRDefault="007049A5" w:rsidP="001C3B2E">
            <w:pPr>
              <w:rPr>
                <w:sz w:val="22"/>
              </w:rPr>
            </w:pPr>
          </w:p>
        </w:tc>
      </w:tr>
      <w:tr w:rsidR="007049A5" w:rsidRPr="004E4188" w14:paraId="7425D9AD" w14:textId="77777777" w:rsidTr="00510D0A">
        <w:trPr>
          <w:trHeight w:val="270"/>
        </w:trPr>
        <w:tc>
          <w:tcPr>
            <w:tcW w:w="799" w:type="dxa"/>
            <w:tcBorders>
              <w:top w:val="dotted" w:sz="4" w:space="0" w:color="auto"/>
              <w:left w:val="double" w:sz="4" w:space="0" w:color="auto"/>
              <w:bottom w:val="dotted" w:sz="4" w:space="0" w:color="auto"/>
              <w:right w:val="nil"/>
            </w:tcBorders>
          </w:tcPr>
          <w:p w14:paraId="7E76D42C" w14:textId="77777777" w:rsidR="007049A5" w:rsidRPr="004E4188" w:rsidRDefault="007049A5" w:rsidP="001C3B2E">
            <w:pPr>
              <w:rPr>
                <w:sz w:val="22"/>
                <w:lang w:eastAsia="ja-JP"/>
              </w:rPr>
            </w:pPr>
            <w:r w:rsidRPr="004E4188">
              <w:rPr>
                <w:rFonts w:hint="eastAsia"/>
                <w:sz w:val="22"/>
                <w:lang w:eastAsia="ja-JP"/>
              </w:rPr>
              <w:t>1</w:t>
            </w:r>
            <w:r w:rsidRPr="004E4188">
              <w:rPr>
                <w:sz w:val="22"/>
                <w:lang w:eastAsia="ja-JP"/>
              </w:rPr>
              <w:t>02</w:t>
            </w:r>
          </w:p>
        </w:tc>
        <w:tc>
          <w:tcPr>
            <w:tcW w:w="2539" w:type="dxa"/>
            <w:tcBorders>
              <w:top w:val="dotted" w:sz="4" w:space="0" w:color="auto"/>
              <w:left w:val="single" w:sz="6" w:space="0" w:color="auto"/>
              <w:bottom w:val="dotted" w:sz="4" w:space="0" w:color="auto"/>
              <w:right w:val="single" w:sz="6" w:space="0" w:color="auto"/>
            </w:tcBorders>
          </w:tcPr>
          <w:p w14:paraId="2FB69FC9" w14:textId="77777777" w:rsidR="007049A5" w:rsidRPr="004E4188" w:rsidRDefault="007049A5" w:rsidP="001C3B2E">
            <w:pPr>
              <w:rPr>
                <w:sz w:val="22"/>
              </w:rPr>
            </w:pPr>
          </w:p>
        </w:tc>
        <w:tc>
          <w:tcPr>
            <w:tcW w:w="1070" w:type="dxa"/>
            <w:tcBorders>
              <w:top w:val="dotted" w:sz="4" w:space="0" w:color="auto"/>
              <w:left w:val="nil"/>
              <w:bottom w:val="dotted" w:sz="4" w:space="0" w:color="auto"/>
              <w:right w:val="single" w:sz="6" w:space="0" w:color="auto"/>
            </w:tcBorders>
          </w:tcPr>
          <w:p w14:paraId="0C1CA8FB" w14:textId="77777777" w:rsidR="007049A5" w:rsidRPr="004E4188" w:rsidRDefault="007049A5" w:rsidP="001C3B2E">
            <w:pPr>
              <w:rPr>
                <w:sz w:val="22"/>
              </w:rPr>
            </w:pPr>
          </w:p>
        </w:tc>
        <w:tc>
          <w:tcPr>
            <w:tcW w:w="758" w:type="dxa"/>
            <w:tcBorders>
              <w:top w:val="dotted" w:sz="4" w:space="0" w:color="auto"/>
              <w:left w:val="single" w:sz="6" w:space="0" w:color="auto"/>
              <w:bottom w:val="dotted" w:sz="4" w:space="0" w:color="auto"/>
              <w:right w:val="nil"/>
            </w:tcBorders>
          </w:tcPr>
          <w:p w14:paraId="428B592F" w14:textId="77777777" w:rsidR="007049A5" w:rsidRPr="004E4188" w:rsidRDefault="007049A5" w:rsidP="001C3B2E">
            <w:pPr>
              <w:rPr>
                <w:sz w:val="22"/>
              </w:rPr>
            </w:pPr>
          </w:p>
        </w:tc>
        <w:tc>
          <w:tcPr>
            <w:tcW w:w="800" w:type="dxa"/>
            <w:tcBorders>
              <w:top w:val="dotted" w:sz="4" w:space="0" w:color="auto"/>
              <w:left w:val="single" w:sz="6" w:space="0" w:color="auto"/>
              <w:bottom w:val="dotted" w:sz="4" w:space="0" w:color="auto"/>
              <w:right w:val="single" w:sz="6" w:space="0" w:color="auto"/>
            </w:tcBorders>
          </w:tcPr>
          <w:p w14:paraId="76E93C28" w14:textId="77777777" w:rsidR="007049A5" w:rsidRPr="004E4188" w:rsidRDefault="007049A5" w:rsidP="001C3B2E">
            <w:pPr>
              <w:rPr>
                <w:sz w:val="22"/>
              </w:rPr>
            </w:pPr>
          </w:p>
        </w:tc>
        <w:tc>
          <w:tcPr>
            <w:tcW w:w="1165" w:type="dxa"/>
            <w:tcBorders>
              <w:top w:val="dotted" w:sz="4" w:space="0" w:color="auto"/>
              <w:left w:val="nil"/>
              <w:bottom w:val="dotted" w:sz="4" w:space="0" w:color="auto"/>
              <w:right w:val="nil"/>
            </w:tcBorders>
          </w:tcPr>
          <w:p w14:paraId="6CB5D3CC" w14:textId="77777777" w:rsidR="007049A5" w:rsidRPr="004E4188" w:rsidRDefault="007049A5" w:rsidP="001C3B2E">
            <w:pPr>
              <w:rPr>
                <w:sz w:val="22"/>
              </w:rPr>
            </w:pPr>
          </w:p>
        </w:tc>
        <w:tc>
          <w:tcPr>
            <w:tcW w:w="1293" w:type="dxa"/>
            <w:tcBorders>
              <w:top w:val="dotted" w:sz="4" w:space="0" w:color="auto"/>
              <w:left w:val="single" w:sz="6" w:space="0" w:color="auto"/>
              <w:bottom w:val="dotted" w:sz="4" w:space="0" w:color="auto"/>
              <w:right w:val="single" w:sz="6" w:space="0" w:color="auto"/>
            </w:tcBorders>
          </w:tcPr>
          <w:p w14:paraId="168B3053" w14:textId="77777777" w:rsidR="007049A5" w:rsidRPr="004E4188" w:rsidRDefault="007049A5" w:rsidP="001C3B2E">
            <w:pPr>
              <w:rPr>
                <w:sz w:val="22"/>
              </w:rPr>
            </w:pPr>
          </w:p>
        </w:tc>
        <w:tc>
          <w:tcPr>
            <w:tcW w:w="1227" w:type="dxa"/>
            <w:tcBorders>
              <w:top w:val="dotted" w:sz="4" w:space="0" w:color="auto"/>
              <w:left w:val="nil"/>
              <w:bottom w:val="dotted" w:sz="4" w:space="0" w:color="auto"/>
              <w:right w:val="double" w:sz="4" w:space="0" w:color="auto"/>
            </w:tcBorders>
          </w:tcPr>
          <w:p w14:paraId="74C99353" w14:textId="77777777" w:rsidR="007049A5" w:rsidRPr="004E4188" w:rsidRDefault="007049A5" w:rsidP="001C3B2E">
            <w:pPr>
              <w:rPr>
                <w:sz w:val="22"/>
              </w:rPr>
            </w:pPr>
          </w:p>
        </w:tc>
      </w:tr>
      <w:tr w:rsidR="007049A5" w:rsidRPr="004E4188" w14:paraId="331B7F85" w14:textId="77777777" w:rsidTr="00510D0A">
        <w:trPr>
          <w:trHeight w:val="287"/>
        </w:trPr>
        <w:tc>
          <w:tcPr>
            <w:tcW w:w="799" w:type="dxa"/>
            <w:tcBorders>
              <w:top w:val="dotted" w:sz="4" w:space="0" w:color="auto"/>
              <w:left w:val="double" w:sz="4" w:space="0" w:color="auto"/>
              <w:bottom w:val="dotted" w:sz="4" w:space="0" w:color="auto"/>
              <w:right w:val="nil"/>
            </w:tcBorders>
          </w:tcPr>
          <w:p w14:paraId="6B1CABDE" w14:textId="77777777" w:rsidR="007049A5" w:rsidRPr="004E4188" w:rsidRDefault="007049A5" w:rsidP="001C3B2E">
            <w:pPr>
              <w:rPr>
                <w:sz w:val="22"/>
                <w:lang w:eastAsia="ja-JP"/>
              </w:rPr>
            </w:pPr>
            <w:r w:rsidRPr="004E4188">
              <w:rPr>
                <w:rFonts w:hint="eastAsia"/>
                <w:sz w:val="22"/>
                <w:lang w:eastAsia="ja-JP"/>
              </w:rPr>
              <w:t>1</w:t>
            </w:r>
            <w:r w:rsidRPr="004E4188">
              <w:rPr>
                <w:sz w:val="22"/>
                <w:lang w:eastAsia="ja-JP"/>
              </w:rPr>
              <w:t>03</w:t>
            </w:r>
          </w:p>
        </w:tc>
        <w:tc>
          <w:tcPr>
            <w:tcW w:w="2539" w:type="dxa"/>
            <w:tcBorders>
              <w:top w:val="dotted" w:sz="4" w:space="0" w:color="auto"/>
              <w:left w:val="single" w:sz="6" w:space="0" w:color="auto"/>
              <w:bottom w:val="dotted" w:sz="4" w:space="0" w:color="auto"/>
              <w:right w:val="single" w:sz="6" w:space="0" w:color="auto"/>
            </w:tcBorders>
          </w:tcPr>
          <w:p w14:paraId="45FA64C0" w14:textId="77777777" w:rsidR="007049A5" w:rsidRPr="004E4188" w:rsidRDefault="007049A5" w:rsidP="001C3B2E">
            <w:pPr>
              <w:rPr>
                <w:sz w:val="22"/>
              </w:rPr>
            </w:pPr>
          </w:p>
        </w:tc>
        <w:tc>
          <w:tcPr>
            <w:tcW w:w="1070" w:type="dxa"/>
            <w:tcBorders>
              <w:top w:val="dotted" w:sz="4" w:space="0" w:color="auto"/>
              <w:left w:val="nil"/>
              <w:bottom w:val="dotted" w:sz="4" w:space="0" w:color="auto"/>
              <w:right w:val="single" w:sz="6" w:space="0" w:color="auto"/>
            </w:tcBorders>
          </w:tcPr>
          <w:p w14:paraId="31F7F264" w14:textId="77777777" w:rsidR="007049A5" w:rsidRPr="004E4188" w:rsidRDefault="007049A5" w:rsidP="001C3B2E">
            <w:pPr>
              <w:rPr>
                <w:sz w:val="22"/>
              </w:rPr>
            </w:pPr>
          </w:p>
        </w:tc>
        <w:tc>
          <w:tcPr>
            <w:tcW w:w="758" w:type="dxa"/>
            <w:tcBorders>
              <w:top w:val="dotted" w:sz="4" w:space="0" w:color="auto"/>
              <w:left w:val="single" w:sz="6" w:space="0" w:color="auto"/>
              <w:bottom w:val="dotted" w:sz="4" w:space="0" w:color="auto"/>
              <w:right w:val="nil"/>
            </w:tcBorders>
          </w:tcPr>
          <w:p w14:paraId="101ABB9A" w14:textId="77777777" w:rsidR="007049A5" w:rsidRPr="004E4188" w:rsidRDefault="007049A5" w:rsidP="001C3B2E">
            <w:pPr>
              <w:rPr>
                <w:sz w:val="22"/>
              </w:rPr>
            </w:pPr>
          </w:p>
        </w:tc>
        <w:tc>
          <w:tcPr>
            <w:tcW w:w="800" w:type="dxa"/>
            <w:tcBorders>
              <w:top w:val="dotted" w:sz="4" w:space="0" w:color="auto"/>
              <w:left w:val="single" w:sz="6" w:space="0" w:color="auto"/>
              <w:bottom w:val="dotted" w:sz="4" w:space="0" w:color="auto"/>
              <w:right w:val="single" w:sz="6" w:space="0" w:color="auto"/>
            </w:tcBorders>
          </w:tcPr>
          <w:p w14:paraId="6C9BAB2E" w14:textId="77777777" w:rsidR="007049A5" w:rsidRPr="004E4188" w:rsidRDefault="007049A5" w:rsidP="001C3B2E">
            <w:pPr>
              <w:rPr>
                <w:sz w:val="22"/>
              </w:rPr>
            </w:pPr>
          </w:p>
        </w:tc>
        <w:tc>
          <w:tcPr>
            <w:tcW w:w="1165" w:type="dxa"/>
            <w:tcBorders>
              <w:top w:val="dotted" w:sz="4" w:space="0" w:color="auto"/>
              <w:left w:val="nil"/>
              <w:bottom w:val="dotted" w:sz="4" w:space="0" w:color="auto"/>
              <w:right w:val="nil"/>
            </w:tcBorders>
          </w:tcPr>
          <w:p w14:paraId="2B02F24F" w14:textId="77777777" w:rsidR="007049A5" w:rsidRPr="004E4188" w:rsidRDefault="007049A5" w:rsidP="001C3B2E">
            <w:pPr>
              <w:rPr>
                <w:sz w:val="22"/>
              </w:rPr>
            </w:pPr>
          </w:p>
        </w:tc>
        <w:tc>
          <w:tcPr>
            <w:tcW w:w="1293" w:type="dxa"/>
            <w:tcBorders>
              <w:top w:val="dotted" w:sz="4" w:space="0" w:color="auto"/>
              <w:left w:val="single" w:sz="6" w:space="0" w:color="auto"/>
              <w:bottom w:val="dotted" w:sz="4" w:space="0" w:color="auto"/>
              <w:right w:val="single" w:sz="6" w:space="0" w:color="auto"/>
            </w:tcBorders>
          </w:tcPr>
          <w:p w14:paraId="2B167813" w14:textId="77777777" w:rsidR="007049A5" w:rsidRPr="004E4188" w:rsidRDefault="007049A5" w:rsidP="001C3B2E">
            <w:pPr>
              <w:rPr>
                <w:sz w:val="22"/>
              </w:rPr>
            </w:pPr>
          </w:p>
        </w:tc>
        <w:tc>
          <w:tcPr>
            <w:tcW w:w="1227" w:type="dxa"/>
            <w:tcBorders>
              <w:top w:val="dotted" w:sz="4" w:space="0" w:color="auto"/>
              <w:left w:val="nil"/>
              <w:bottom w:val="dotted" w:sz="4" w:space="0" w:color="auto"/>
              <w:right w:val="double" w:sz="4" w:space="0" w:color="auto"/>
            </w:tcBorders>
          </w:tcPr>
          <w:p w14:paraId="18092D4C" w14:textId="77777777" w:rsidR="007049A5" w:rsidRPr="004E4188" w:rsidRDefault="007049A5" w:rsidP="001C3B2E">
            <w:pPr>
              <w:rPr>
                <w:sz w:val="22"/>
              </w:rPr>
            </w:pPr>
          </w:p>
        </w:tc>
      </w:tr>
      <w:tr w:rsidR="007049A5" w:rsidRPr="004E4188" w14:paraId="0243EFA3" w14:textId="77777777" w:rsidTr="00510D0A">
        <w:trPr>
          <w:trHeight w:val="270"/>
        </w:trPr>
        <w:tc>
          <w:tcPr>
            <w:tcW w:w="799" w:type="dxa"/>
            <w:tcBorders>
              <w:top w:val="dotted" w:sz="4" w:space="0" w:color="auto"/>
              <w:left w:val="double" w:sz="4" w:space="0" w:color="auto"/>
              <w:bottom w:val="dotted" w:sz="4" w:space="0" w:color="auto"/>
              <w:right w:val="nil"/>
            </w:tcBorders>
          </w:tcPr>
          <w:p w14:paraId="40F7F306" w14:textId="77777777" w:rsidR="007049A5" w:rsidRPr="004E4188" w:rsidRDefault="007049A5" w:rsidP="001C3B2E">
            <w:pPr>
              <w:rPr>
                <w:sz w:val="22"/>
                <w:lang w:eastAsia="ja-JP"/>
              </w:rPr>
            </w:pPr>
            <w:r w:rsidRPr="004E4188">
              <w:rPr>
                <w:rFonts w:hint="eastAsia"/>
                <w:sz w:val="22"/>
                <w:lang w:eastAsia="ja-JP"/>
              </w:rPr>
              <w:t>1</w:t>
            </w:r>
            <w:r w:rsidRPr="004E4188">
              <w:rPr>
                <w:sz w:val="22"/>
                <w:lang w:eastAsia="ja-JP"/>
              </w:rPr>
              <w:t>04</w:t>
            </w:r>
          </w:p>
        </w:tc>
        <w:tc>
          <w:tcPr>
            <w:tcW w:w="2539" w:type="dxa"/>
            <w:tcBorders>
              <w:top w:val="dotted" w:sz="4" w:space="0" w:color="auto"/>
              <w:left w:val="single" w:sz="6" w:space="0" w:color="auto"/>
              <w:bottom w:val="dotted" w:sz="4" w:space="0" w:color="auto"/>
              <w:right w:val="single" w:sz="6" w:space="0" w:color="auto"/>
            </w:tcBorders>
          </w:tcPr>
          <w:p w14:paraId="033301A1" w14:textId="77777777" w:rsidR="007049A5" w:rsidRPr="004E4188" w:rsidRDefault="007049A5" w:rsidP="001C3B2E">
            <w:pPr>
              <w:rPr>
                <w:sz w:val="22"/>
              </w:rPr>
            </w:pPr>
          </w:p>
        </w:tc>
        <w:tc>
          <w:tcPr>
            <w:tcW w:w="1070" w:type="dxa"/>
            <w:tcBorders>
              <w:top w:val="dotted" w:sz="4" w:space="0" w:color="auto"/>
              <w:left w:val="nil"/>
              <w:bottom w:val="dotted" w:sz="4" w:space="0" w:color="auto"/>
              <w:right w:val="single" w:sz="6" w:space="0" w:color="auto"/>
            </w:tcBorders>
          </w:tcPr>
          <w:p w14:paraId="56D225CC" w14:textId="77777777" w:rsidR="007049A5" w:rsidRPr="004E4188" w:rsidRDefault="007049A5" w:rsidP="001C3B2E">
            <w:pPr>
              <w:rPr>
                <w:sz w:val="22"/>
              </w:rPr>
            </w:pPr>
          </w:p>
        </w:tc>
        <w:tc>
          <w:tcPr>
            <w:tcW w:w="758" w:type="dxa"/>
            <w:tcBorders>
              <w:top w:val="dotted" w:sz="4" w:space="0" w:color="auto"/>
              <w:left w:val="single" w:sz="6" w:space="0" w:color="auto"/>
              <w:bottom w:val="dotted" w:sz="4" w:space="0" w:color="auto"/>
              <w:right w:val="nil"/>
            </w:tcBorders>
          </w:tcPr>
          <w:p w14:paraId="5700F8AC" w14:textId="77777777" w:rsidR="007049A5" w:rsidRPr="004E4188" w:rsidRDefault="007049A5" w:rsidP="001C3B2E">
            <w:pPr>
              <w:rPr>
                <w:sz w:val="22"/>
              </w:rPr>
            </w:pPr>
          </w:p>
        </w:tc>
        <w:tc>
          <w:tcPr>
            <w:tcW w:w="800" w:type="dxa"/>
            <w:tcBorders>
              <w:top w:val="dotted" w:sz="4" w:space="0" w:color="auto"/>
              <w:left w:val="single" w:sz="6" w:space="0" w:color="auto"/>
              <w:bottom w:val="dotted" w:sz="4" w:space="0" w:color="auto"/>
              <w:right w:val="single" w:sz="6" w:space="0" w:color="auto"/>
            </w:tcBorders>
          </w:tcPr>
          <w:p w14:paraId="5B50CF1A" w14:textId="77777777" w:rsidR="007049A5" w:rsidRPr="004E4188" w:rsidRDefault="007049A5" w:rsidP="001C3B2E">
            <w:pPr>
              <w:rPr>
                <w:sz w:val="22"/>
              </w:rPr>
            </w:pPr>
          </w:p>
        </w:tc>
        <w:tc>
          <w:tcPr>
            <w:tcW w:w="1165" w:type="dxa"/>
            <w:tcBorders>
              <w:top w:val="dotted" w:sz="4" w:space="0" w:color="auto"/>
              <w:left w:val="nil"/>
              <w:bottom w:val="dotted" w:sz="4" w:space="0" w:color="auto"/>
              <w:right w:val="nil"/>
            </w:tcBorders>
          </w:tcPr>
          <w:p w14:paraId="4625F282" w14:textId="77777777" w:rsidR="007049A5" w:rsidRPr="004E4188" w:rsidRDefault="007049A5" w:rsidP="001C3B2E">
            <w:pPr>
              <w:rPr>
                <w:sz w:val="22"/>
              </w:rPr>
            </w:pPr>
          </w:p>
        </w:tc>
        <w:tc>
          <w:tcPr>
            <w:tcW w:w="1293" w:type="dxa"/>
            <w:tcBorders>
              <w:top w:val="dotted" w:sz="4" w:space="0" w:color="auto"/>
              <w:left w:val="single" w:sz="6" w:space="0" w:color="auto"/>
              <w:bottom w:val="dotted" w:sz="4" w:space="0" w:color="auto"/>
              <w:right w:val="single" w:sz="6" w:space="0" w:color="auto"/>
            </w:tcBorders>
          </w:tcPr>
          <w:p w14:paraId="38D54BCE" w14:textId="77777777" w:rsidR="007049A5" w:rsidRPr="004E4188" w:rsidRDefault="007049A5" w:rsidP="001C3B2E">
            <w:pPr>
              <w:rPr>
                <w:sz w:val="22"/>
              </w:rPr>
            </w:pPr>
          </w:p>
        </w:tc>
        <w:tc>
          <w:tcPr>
            <w:tcW w:w="1227" w:type="dxa"/>
            <w:tcBorders>
              <w:top w:val="dotted" w:sz="4" w:space="0" w:color="auto"/>
              <w:left w:val="nil"/>
              <w:bottom w:val="dotted" w:sz="4" w:space="0" w:color="auto"/>
              <w:right w:val="double" w:sz="4" w:space="0" w:color="auto"/>
            </w:tcBorders>
          </w:tcPr>
          <w:p w14:paraId="69C9EADC" w14:textId="77777777" w:rsidR="007049A5" w:rsidRPr="004E4188" w:rsidRDefault="007049A5" w:rsidP="001C3B2E">
            <w:pPr>
              <w:rPr>
                <w:sz w:val="22"/>
              </w:rPr>
            </w:pPr>
          </w:p>
        </w:tc>
      </w:tr>
      <w:tr w:rsidR="007049A5" w:rsidRPr="004E4188" w14:paraId="759C9A9B" w14:textId="77777777" w:rsidTr="00510D0A">
        <w:trPr>
          <w:trHeight w:val="270"/>
        </w:trPr>
        <w:tc>
          <w:tcPr>
            <w:tcW w:w="799" w:type="dxa"/>
            <w:tcBorders>
              <w:top w:val="dotted" w:sz="4" w:space="0" w:color="auto"/>
              <w:left w:val="double" w:sz="4" w:space="0" w:color="auto"/>
              <w:bottom w:val="dotted" w:sz="4" w:space="0" w:color="auto"/>
              <w:right w:val="nil"/>
            </w:tcBorders>
          </w:tcPr>
          <w:p w14:paraId="034D0168" w14:textId="77777777" w:rsidR="007049A5" w:rsidRPr="004E4188" w:rsidRDefault="007049A5" w:rsidP="001C3B2E">
            <w:pPr>
              <w:rPr>
                <w:sz w:val="22"/>
                <w:lang w:eastAsia="ja-JP"/>
              </w:rPr>
            </w:pPr>
            <w:r w:rsidRPr="004E4188">
              <w:rPr>
                <w:rFonts w:hint="eastAsia"/>
                <w:sz w:val="22"/>
                <w:lang w:eastAsia="ja-JP"/>
              </w:rPr>
              <w:t>1</w:t>
            </w:r>
            <w:r w:rsidRPr="004E4188">
              <w:rPr>
                <w:sz w:val="22"/>
                <w:lang w:eastAsia="ja-JP"/>
              </w:rPr>
              <w:t>05</w:t>
            </w:r>
          </w:p>
        </w:tc>
        <w:tc>
          <w:tcPr>
            <w:tcW w:w="2539" w:type="dxa"/>
            <w:tcBorders>
              <w:top w:val="dotted" w:sz="4" w:space="0" w:color="auto"/>
              <w:left w:val="single" w:sz="6" w:space="0" w:color="auto"/>
              <w:bottom w:val="dotted" w:sz="4" w:space="0" w:color="auto"/>
              <w:right w:val="single" w:sz="6" w:space="0" w:color="auto"/>
            </w:tcBorders>
          </w:tcPr>
          <w:p w14:paraId="3C3BA74F" w14:textId="77777777" w:rsidR="007049A5" w:rsidRPr="004E4188" w:rsidRDefault="007049A5" w:rsidP="001C3B2E">
            <w:pPr>
              <w:rPr>
                <w:sz w:val="22"/>
              </w:rPr>
            </w:pPr>
          </w:p>
        </w:tc>
        <w:tc>
          <w:tcPr>
            <w:tcW w:w="1070" w:type="dxa"/>
            <w:tcBorders>
              <w:top w:val="dotted" w:sz="4" w:space="0" w:color="auto"/>
              <w:left w:val="nil"/>
              <w:bottom w:val="dotted" w:sz="4" w:space="0" w:color="auto"/>
              <w:right w:val="single" w:sz="6" w:space="0" w:color="auto"/>
            </w:tcBorders>
          </w:tcPr>
          <w:p w14:paraId="578E58D6" w14:textId="77777777" w:rsidR="007049A5" w:rsidRPr="004E4188" w:rsidRDefault="007049A5" w:rsidP="001C3B2E">
            <w:pPr>
              <w:rPr>
                <w:sz w:val="22"/>
              </w:rPr>
            </w:pPr>
          </w:p>
        </w:tc>
        <w:tc>
          <w:tcPr>
            <w:tcW w:w="758" w:type="dxa"/>
            <w:tcBorders>
              <w:top w:val="dotted" w:sz="4" w:space="0" w:color="auto"/>
              <w:left w:val="single" w:sz="6" w:space="0" w:color="auto"/>
              <w:bottom w:val="dotted" w:sz="4" w:space="0" w:color="auto"/>
              <w:right w:val="nil"/>
            </w:tcBorders>
          </w:tcPr>
          <w:p w14:paraId="0AF2E575" w14:textId="77777777" w:rsidR="007049A5" w:rsidRPr="004E4188" w:rsidRDefault="007049A5" w:rsidP="001C3B2E">
            <w:pPr>
              <w:rPr>
                <w:sz w:val="22"/>
              </w:rPr>
            </w:pPr>
          </w:p>
        </w:tc>
        <w:tc>
          <w:tcPr>
            <w:tcW w:w="800" w:type="dxa"/>
            <w:tcBorders>
              <w:top w:val="dotted" w:sz="4" w:space="0" w:color="auto"/>
              <w:left w:val="single" w:sz="6" w:space="0" w:color="auto"/>
              <w:bottom w:val="dotted" w:sz="4" w:space="0" w:color="auto"/>
              <w:right w:val="single" w:sz="6" w:space="0" w:color="auto"/>
            </w:tcBorders>
          </w:tcPr>
          <w:p w14:paraId="23597992" w14:textId="77777777" w:rsidR="007049A5" w:rsidRPr="004E4188" w:rsidRDefault="007049A5" w:rsidP="001C3B2E">
            <w:pPr>
              <w:rPr>
                <w:sz w:val="22"/>
              </w:rPr>
            </w:pPr>
          </w:p>
        </w:tc>
        <w:tc>
          <w:tcPr>
            <w:tcW w:w="1165" w:type="dxa"/>
            <w:tcBorders>
              <w:top w:val="dotted" w:sz="4" w:space="0" w:color="auto"/>
              <w:left w:val="nil"/>
              <w:bottom w:val="dotted" w:sz="4" w:space="0" w:color="auto"/>
              <w:right w:val="nil"/>
            </w:tcBorders>
          </w:tcPr>
          <w:p w14:paraId="3A999521" w14:textId="77777777" w:rsidR="007049A5" w:rsidRPr="004E4188" w:rsidRDefault="007049A5" w:rsidP="001C3B2E">
            <w:pPr>
              <w:rPr>
                <w:sz w:val="22"/>
              </w:rPr>
            </w:pPr>
          </w:p>
        </w:tc>
        <w:tc>
          <w:tcPr>
            <w:tcW w:w="1293" w:type="dxa"/>
            <w:tcBorders>
              <w:top w:val="dotted" w:sz="4" w:space="0" w:color="auto"/>
              <w:left w:val="single" w:sz="6" w:space="0" w:color="auto"/>
              <w:bottom w:val="dotted" w:sz="4" w:space="0" w:color="auto"/>
              <w:right w:val="single" w:sz="6" w:space="0" w:color="auto"/>
            </w:tcBorders>
          </w:tcPr>
          <w:p w14:paraId="30FAEA95" w14:textId="77777777" w:rsidR="007049A5" w:rsidRPr="004E4188" w:rsidRDefault="007049A5" w:rsidP="001C3B2E">
            <w:pPr>
              <w:rPr>
                <w:sz w:val="22"/>
              </w:rPr>
            </w:pPr>
          </w:p>
        </w:tc>
        <w:tc>
          <w:tcPr>
            <w:tcW w:w="1227" w:type="dxa"/>
            <w:tcBorders>
              <w:top w:val="dotted" w:sz="4" w:space="0" w:color="auto"/>
              <w:left w:val="nil"/>
              <w:bottom w:val="dotted" w:sz="4" w:space="0" w:color="auto"/>
              <w:right w:val="double" w:sz="4" w:space="0" w:color="auto"/>
            </w:tcBorders>
          </w:tcPr>
          <w:p w14:paraId="25061692" w14:textId="77777777" w:rsidR="007049A5" w:rsidRPr="004E4188" w:rsidRDefault="007049A5" w:rsidP="001C3B2E">
            <w:pPr>
              <w:rPr>
                <w:sz w:val="22"/>
              </w:rPr>
            </w:pPr>
          </w:p>
        </w:tc>
      </w:tr>
      <w:tr w:rsidR="007049A5" w:rsidRPr="004E4188" w14:paraId="5C15DC65" w14:textId="77777777" w:rsidTr="00510D0A">
        <w:trPr>
          <w:trHeight w:val="287"/>
        </w:trPr>
        <w:tc>
          <w:tcPr>
            <w:tcW w:w="799" w:type="dxa"/>
            <w:tcBorders>
              <w:top w:val="dotted" w:sz="4" w:space="0" w:color="auto"/>
              <w:left w:val="double" w:sz="4" w:space="0" w:color="auto"/>
              <w:bottom w:val="dotted" w:sz="4" w:space="0" w:color="auto"/>
              <w:right w:val="nil"/>
            </w:tcBorders>
          </w:tcPr>
          <w:p w14:paraId="13E415A9" w14:textId="77777777" w:rsidR="007049A5" w:rsidRPr="004E4188" w:rsidRDefault="007049A5" w:rsidP="001C3B2E">
            <w:pPr>
              <w:rPr>
                <w:sz w:val="22"/>
                <w:lang w:eastAsia="ja-JP"/>
              </w:rPr>
            </w:pPr>
            <w:r w:rsidRPr="004E4188">
              <w:rPr>
                <w:rFonts w:hint="eastAsia"/>
                <w:sz w:val="22"/>
                <w:lang w:eastAsia="ja-JP"/>
              </w:rPr>
              <w:t>1</w:t>
            </w:r>
            <w:r w:rsidRPr="004E4188">
              <w:rPr>
                <w:sz w:val="22"/>
                <w:lang w:eastAsia="ja-JP"/>
              </w:rPr>
              <w:t>06</w:t>
            </w:r>
          </w:p>
        </w:tc>
        <w:tc>
          <w:tcPr>
            <w:tcW w:w="2539" w:type="dxa"/>
            <w:tcBorders>
              <w:top w:val="dotted" w:sz="4" w:space="0" w:color="auto"/>
              <w:left w:val="single" w:sz="6" w:space="0" w:color="auto"/>
              <w:bottom w:val="dotted" w:sz="4" w:space="0" w:color="auto"/>
              <w:right w:val="single" w:sz="6" w:space="0" w:color="auto"/>
            </w:tcBorders>
          </w:tcPr>
          <w:p w14:paraId="301FB6DB" w14:textId="77777777" w:rsidR="007049A5" w:rsidRPr="004E4188" w:rsidRDefault="007049A5" w:rsidP="001C3B2E">
            <w:pPr>
              <w:rPr>
                <w:sz w:val="22"/>
              </w:rPr>
            </w:pPr>
          </w:p>
        </w:tc>
        <w:tc>
          <w:tcPr>
            <w:tcW w:w="1070" w:type="dxa"/>
            <w:tcBorders>
              <w:top w:val="dotted" w:sz="4" w:space="0" w:color="auto"/>
              <w:left w:val="nil"/>
              <w:bottom w:val="dotted" w:sz="4" w:space="0" w:color="auto"/>
              <w:right w:val="single" w:sz="6" w:space="0" w:color="auto"/>
            </w:tcBorders>
          </w:tcPr>
          <w:p w14:paraId="4BB6CDD1" w14:textId="77777777" w:rsidR="007049A5" w:rsidRPr="004E4188" w:rsidRDefault="007049A5" w:rsidP="001C3B2E">
            <w:pPr>
              <w:rPr>
                <w:sz w:val="22"/>
              </w:rPr>
            </w:pPr>
          </w:p>
        </w:tc>
        <w:tc>
          <w:tcPr>
            <w:tcW w:w="758" w:type="dxa"/>
            <w:tcBorders>
              <w:top w:val="dotted" w:sz="4" w:space="0" w:color="auto"/>
              <w:left w:val="single" w:sz="6" w:space="0" w:color="auto"/>
              <w:bottom w:val="dotted" w:sz="4" w:space="0" w:color="auto"/>
              <w:right w:val="nil"/>
            </w:tcBorders>
          </w:tcPr>
          <w:p w14:paraId="3F02B819" w14:textId="77777777" w:rsidR="007049A5" w:rsidRPr="004E4188" w:rsidRDefault="007049A5" w:rsidP="001C3B2E">
            <w:pPr>
              <w:rPr>
                <w:sz w:val="22"/>
              </w:rPr>
            </w:pPr>
          </w:p>
        </w:tc>
        <w:tc>
          <w:tcPr>
            <w:tcW w:w="800" w:type="dxa"/>
            <w:tcBorders>
              <w:top w:val="dotted" w:sz="4" w:space="0" w:color="auto"/>
              <w:left w:val="single" w:sz="6" w:space="0" w:color="auto"/>
              <w:bottom w:val="dotted" w:sz="4" w:space="0" w:color="auto"/>
              <w:right w:val="single" w:sz="6" w:space="0" w:color="auto"/>
            </w:tcBorders>
          </w:tcPr>
          <w:p w14:paraId="665D6382" w14:textId="77777777" w:rsidR="007049A5" w:rsidRPr="004E4188" w:rsidRDefault="007049A5" w:rsidP="001C3B2E">
            <w:pPr>
              <w:rPr>
                <w:sz w:val="22"/>
              </w:rPr>
            </w:pPr>
          </w:p>
        </w:tc>
        <w:tc>
          <w:tcPr>
            <w:tcW w:w="1165" w:type="dxa"/>
            <w:tcBorders>
              <w:top w:val="dotted" w:sz="4" w:space="0" w:color="auto"/>
              <w:left w:val="nil"/>
              <w:bottom w:val="dotted" w:sz="4" w:space="0" w:color="auto"/>
              <w:right w:val="nil"/>
            </w:tcBorders>
          </w:tcPr>
          <w:p w14:paraId="27BF568F" w14:textId="77777777" w:rsidR="007049A5" w:rsidRPr="004E4188" w:rsidRDefault="007049A5" w:rsidP="001C3B2E">
            <w:pPr>
              <w:rPr>
                <w:sz w:val="22"/>
              </w:rPr>
            </w:pPr>
          </w:p>
        </w:tc>
        <w:tc>
          <w:tcPr>
            <w:tcW w:w="1293" w:type="dxa"/>
            <w:tcBorders>
              <w:top w:val="dotted" w:sz="4" w:space="0" w:color="auto"/>
              <w:left w:val="single" w:sz="6" w:space="0" w:color="auto"/>
              <w:bottom w:val="dotted" w:sz="4" w:space="0" w:color="auto"/>
              <w:right w:val="single" w:sz="6" w:space="0" w:color="auto"/>
            </w:tcBorders>
          </w:tcPr>
          <w:p w14:paraId="726867BD" w14:textId="77777777" w:rsidR="007049A5" w:rsidRPr="004E4188" w:rsidRDefault="007049A5" w:rsidP="001C3B2E">
            <w:pPr>
              <w:rPr>
                <w:sz w:val="22"/>
              </w:rPr>
            </w:pPr>
          </w:p>
        </w:tc>
        <w:tc>
          <w:tcPr>
            <w:tcW w:w="1227" w:type="dxa"/>
            <w:tcBorders>
              <w:top w:val="dotted" w:sz="4" w:space="0" w:color="auto"/>
              <w:left w:val="nil"/>
              <w:bottom w:val="dotted" w:sz="4" w:space="0" w:color="auto"/>
              <w:right w:val="double" w:sz="4" w:space="0" w:color="auto"/>
            </w:tcBorders>
          </w:tcPr>
          <w:p w14:paraId="2A60BBEA" w14:textId="77777777" w:rsidR="007049A5" w:rsidRPr="004E4188" w:rsidRDefault="007049A5" w:rsidP="001C3B2E">
            <w:pPr>
              <w:rPr>
                <w:sz w:val="22"/>
              </w:rPr>
            </w:pPr>
          </w:p>
        </w:tc>
      </w:tr>
      <w:tr w:rsidR="007049A5" w:rsidRPr="004E4188" w14:paraId="5FAD1DB0" w14:textId="77777777" w:rsidTr="00510D0A">
        <w:trPr>
          <w:trHeight w:val="270"/>
        </w:trPr>
        <w:tc>
          <w:tcPr>
            <w:tcW w:w="799" w:type="dxa"/>
            <w:tcBorders>
              <w:top w:val="dotted" w:sz="4" w:space="0" w:color="auto"/>
              <w:left w:val="double" w:sz="4" w:space="0" w:color="auto"/>
              <w:bottom w:val="dotted" w:sz="4" w:space="0" w:color="auto"/>
              <w:right w:val="nil"/>
            </w:tcBorders>
          </w:tcPr>
          <w:p w14:paraId="4DB4E71B" w14:textId="77777777" w:rsidR="007049A5" w:rsidRPr="004E4188" w:rsidRDefault="007049A5" w:rsidP="001C3B2E">
            <w:pPr>
              <w:rPr>
                <w:sz w:val="22"/>
                <w:lang w:eastAsia="ja-JP"/>
              </w:rPr>
            </w:pPr>
            <w:r w:rsidRPr="004E4188">
              <w:rPr>
                <w:rFonts w:hint="eastAsia"/>
                <w:sz w:val="22"/>
                <w:lang w:eastAsia="ja-JP"/>
              </w:rPr>
              <w:t>1</w:t>
            </w:r>
            <w:r w:rsidRPr="004E4188">
              <w:rPr>
                <w:sz w:val="22"/>
                <w:lang w:eastAsia="ja-JP"/>
              </w:rPr>
              <w:t>07</w:t>
            </w:r>
          </w:p>
        </w:tc>
        <w:tc>
          <w:tcPr>
            <w:tcW w:w="2539" w:type="dxa"/>
            <w:tcBorders>
              <w:top w:val="dotted" w:sz="4" w:space="0" w:color="auto"/>
              <w:left w:val="single" w:sz="6" w:space="0" w:color="auto"/>
              <w:bottom w:val="dotted" w:sz="4" w:space="0" w:color="auto"/>
              <w:right w:val="single" w:sz="6" w:space="0" w:color="auto"/>
            </w:tcBorders>
          </w:tcPr>
          <w:p w14:paraId="3012DD89" w14:textId="77777777" w:rsidR="007049A5" w:rsidRPr="004E4188" w:rsidRDefault="007049A5" w:rsidP="001C3B2E">
            <w:pPr>
              <w:rPr>
                <w:sz w:val="22"/>
              </w:rPr>
            </w:pPr>
          </w:p>
        </w:tc>
        <w:tc>
          <w:tcPr>
            <w:tcW w:w="1070" w:type="dxa"/>
            <w:tcBorders>
              <w:top w:val="dotted" w:sz="4" w:space="0" w:color="auto"/>
              <w:left w:val="nil"/>
              <w:bottom w:val="dotted" w:sz="4" w:space="0" w:color="auto"/>
              <w:right w:val="single" w:sz="6" w:space="0" w:color="auto"/>
            </w:tcBorders>
          </w:tcPr>
          <w:p w14:paraId="5EC9ABBB" w14:textId="77777777" w:rsidR="007049A5" w:rsidRPr="004E4188" w:rsidRDefault="007049A5" w:rsidP="001C3B2E">
            <w:pPr>
              <w:rPr>
                <w:sz w:val="22"/>
              </w:rPr>
            </w:pPr>
          </w:p>
        </w:tc>
        <w:tc>
          <w:tcPr>
            <w:tcW w:w="758" w:type="dxa"/>
            <w:tcBorders>
              <w:top w:val="dotted" w:sz="4" w:space="0" w:color="auto"/>
              <w:left w:val="single" w:sz="6" w:space="0" w:color="auto"/>
              <w:bottom w:val="dotted" w:sz="4" w:space="0" w:color="auto"/>
              <w:right w:val="nil"/>
            </w:tcBorders>
          </w:tcPr>
          <w:p w14:paraId="79CE1267" w14:textId="77777777" w:rsidR="007049A5" w:rsidRPr="004E4188" w:rsidRDefault="007049A5" w:rsidP="001C3B2E">
            <w:pPr>
              <w:rPr>
                <w:sz w:val="22"/>
              </w:rPr>
            </w:pPr>
          </w:p>
        </w:tc>
        <w:tc>
          <w:tcPr>
            <w:tcW w:w="800" w:type="dxa"/>
            <w:tcBorders>
              <w:top w:val="dotted" w:sz="4" w:space="0" w:color="auto"/>
              <w:left w:val="single" w:sz="6" w:space="0" w:color="auto"/>
              <w:bottom w:val="dotted" w:sz="4" w:space="0" w:color="auto"/>
              <w:right w:val="single" w:sz="6" w:space="0" w:color="auto"/>
            </w:tcBorders>
          </w:tcPr>
          <w:p w14:paraId="71A4E1B7" w14:textId="77777777" w:rsidR="007049A5" w:rsidRPr="004E4188" w:rsidRDefault="007049A5" w:rsidP="001C3B2E">
            <w:pPr>
              <w:rPr>
                <w:sz w:val="22"/>
              </w:rPr>
            </w:pPr>
          </w:p>
        </w:tc>
        <w:tc>
          <w:tcPr>
            <w:tcW w:w="1165" w:type="dxa"/>
            <w:tcBorders>
              <w:top w:val="dotted" w:sz="4" w:space="0" w:color="auto"/>
              <w:left w:val="nil"/>
              <w:bottom w:val="dotted" w:sz="4" w:space="0" w:color="auto"/>
              <w:right w:val="nil"/>
            </w:tcBorders>
          </w:tcPr>
          <w:p w14:paraId="5D7423B0" w14:textId="77777777" w:rsidR="007049A5" w:rsidRPr="004E4188" w:rsidRDefault="007049A5" w:rsidP="001C3B2E">
            <w:pPr>
              <w:rPr>
                <w:sz w:val="22"/>
              </w:rPr>
            </w:pPr>
          </w:p>
        </w:tc>
        <w:tc>
          <w:tcPr>
            <w:tcW w:w="1293" w:type="dxa"/>
            <w:tcBorders>
              <w:top w:val="dotted" w:sz="4" w:space="0" w:color="auto"/>
              <w:left w:val="single" w:sz="6" w:space="0" w:color="auto"/>
              <w:bottom w:val="dotted" w:sz="4" w:space="0" w:color="auto"/>
              <w:right w:val="single" w:sz="6" w:space="0" w:color="auto"/>
            </w:tcBorders>
          </w:tcPr>
          <w:p w14:paraId="4B89FAAB" w14:textId="77777777" w:rsidR="007049A5" w:rsidRPr="004E4188" w:rsidRDefault="007049A5" w:rsidP="001C3B2E">
            <w:pPr>
              <w:rPr>
                <w:sz w:val="22"/>
              </w:rPr>
            </w:pPr>
          </w:p>
        </w:tc>
        <w:tc>
          <w:tcPr>
            <w:tcW w:w="1227" w:type="dxa"/>
            <w:tcBorders>
              <w:top w:val="dotted" w:sz="4" w:space="0" w:color="auto"/>
              <w:left w:val="nil"/>
              <w:bottom w:val="dotted" w:sz="4" w:space="0" w:color="auto"/>
              <w:right w:val="double" w:sz="4" w:space="0" w:color="auto"/>
            </w:tcBorders>
          </w:tcPr>
          <w:p w14:paraId="076242E6" w14:textId="77777777" w:rsidR="007049A5" w:rsidRPr="004E4188" w:rsidRDefault="007049A5" w:rsidP="001C3B2E">
            <w:pPr>
              <w:rPr>
                <w:sz w:val="22"/>
              </w:rPr>
            </w:pPr>
          </w:p>
        </w:tc>
      </w:tr>
      <w:tr w:rsidR="007049A5" w:rsidRPr="004E4188" w14:paraId="1ED9E2FF" w14:textId="77777777" w:rsidTr="00510D0A">
        <w:trPr>
          <w:trHeight w:val="287"/>
        </w:trPr>
        <w:tc>
          <w:tcPr>
            <w:tcW w:w="799" w:type="dxa"/>
            <w:tcBorders>
              <w:top w:val="dotted" w:sz="4" w:space="0" w:color="auto"/>
              <w:left w:val="double" w:sz="4" w:space="0" w:color="auto"/>
              <w:bottom w:val="dotted" w:sz="4" w:space="0" w:color="auto"/>
              <w:right w:val="nil"/>
            </w:tcBorders>
          </w:tcPr>
          <w:p w14:paraId="0F58C241" w14:textId="77777777" w:rsidR="007049A5" w:rsidRPr="004E4188" w:rsidRDefault="007049A5" w:rsidP="001C3B2E">
            <w:pPr>
              <w:rPr>
                <w:sz w:val="22"/>
                <w:lang w:eastAsia="ja-JP"/>
              </w:rPr>
            </w:pPr>
            <w:r w:rsidRPr="004E4188">
              <w:rPr>
                <w:rFonts w:hint="eastAsia"/>
                <w:sz w:val="22"/>
                <w:lang w:eastAsia="ja-JP"/>
              </w:rPr>
              <w:t>1</w:t>
            </w:r>
            <w:r w:rsidRPr="004E4188">
              <w:rPr>
                <w:sz w:val="22"/>
                <w:lang w:eastAsia="ja-JP"/>
              </w:rPr>
              <w:t>08</w:t>
            </w:r>
          </w:p>
        </w:tc>
        <w:tc>
          <w:tcPr>
            <w:tcW w:w="2539" w:type="dxa"/>
            <w:tcBorders>
              <w:top w:val="dotted" w:sz="4" w:space="0" w:color="auto"/>
              <w:left w:val="single" w:sz="6" w:space="0" w:color="auto"/>
              <w:bottom w:val="dotted" w:sz="4" w:space="0" w:color="auto"/>
              <w:right w:val="single" w:sz="6" w:space="0" w:color="auto"/>
            </w:tcBorders>
          </w:tcPr>
          <w:p w14:paraId="5B20FEDE" w14:textId="77777777" w:rsidR="007049A5" w:rsidRPr="004E4188" w:rsidRDefault="007049A5" w:rsidP="001C3B2E">
            <w:pPr>
              <w:rPr>
                <w:sz w:val="22"/>
              </w:rPr>
            </w:pPr>
          </w:p>
        </w:tc>
        <w:tc>
          <w:tcPr>
            <w:tcW w:w="1070" w:type="dxa"/>
            <w:tcBorders>
              <w:top w:val="dotted" w:sz="4" w:space="0" w:color="auto"/>
              <w:left w:val="nil"/>
              <w:bottom w:val="dotted" w:sz="4" w:space="0" w:color="auto"/>
              <w:right w:val="single" w:sz="6" w:space="0" w:color="auto"/>
            </w:tcBorders>
          </w:tcPr>
          <w:p w14:paraId="1BDE80E3" w14:textId="77777777" w:rsidR="007049A5" w:rsidRPr="004E4188" w:rsidRDefault="007049A5" w:rsidP="001C3B2E">
            <w:pPr>
              <w:rPr>
                <w:sz w:val="22"/>
              </w:rPr>
            </w:pPr>
          </w:p>
        </w:tc>
        <w:tc>
          <w:tcPr>
            <w:tcW w:w="758" w:type="dxa"/>
            <w:tcBorders>
              <w:top w:val="dotted" w:sz="4" w:space="0" w:color="auto"/>
              <w:left w:val="single" w:sz="6" w:space="0" w:color="auto"/>
              <w:bottom w:val="dotted" w:sz="4" w:space="0" w:color="auto"/>
              <w:right w:val="nil"/>
            </w:tcBorders>
          </w:tcPr>
          <w:p w14:paraId="42035011" w14:textId="77777777" w:rsidR="007049A5" w:rsidRPr="004E4188" w:rsidRDefault="007049A5" w:rsidP="001C3B2E">
            <w:pPr>
              <w:rPr>
                <w:sz w:val="22"/>
              </w:rPr>
            </w:pPr>
          </w:p>
        </w:tc>
        <w:tc>
          <w:tcPr>
            <w:tcW w:w="800" w:type="dxa"/>
            <w:tcBorders>
              <w:top w:val="dotted" w:sz="4" w:space="0" w:color="auto"/>
              <w:left w:val="single" w:sz="6" w:space="0" w:color="auto"/>
              <w:bottom w:val="dotted" w:sz="4" w:space="0" w:color="auto"/>
              <w:right w:val="single" w:sz="6" w:space="0" w:color="auto"/>
            </w:tcBorders>
          </w:tcPr>
          <w:p w14:paraId="14238095" w14:textId="77777777" w:rsidR="007049A5" w:rsidRPr="004E4188" w:rsidRDefault="007049A5" w:rsidP="001C3B2E">
            <w:pPr>
              <w:rPr>
                <w:sz w:val="22"/>
              </w:rPr>
            </w:pPr>
          </w:p>
        </w:tc>
        <w:tc>
          <w:tcPr>
            <w:tcW w:w="1165" w:type="dxa"/>
            <w:tcBorders>
              <w:top w:val="dotted" w:sz="4" w:space="0" w:color="auto"/>
              <w:left w:val="nil"/>
              <w:bottom w:val="dotted" w:sz="4" w:space="0" w:color="auto"/>
              <w:right w:val="nil"/>
            </w:tcBorders>
          </w:tcPr>
          <w:p w14:paraId="310896E4" w14:textId="77777777" w:rsidR="007049A5" w:rsidRPr="004E4188" w:rsidRDefault="007049A5" w:rsidP="001C3B2E">
            <w:pPr>
              <w:rPr>
                <w:sz w:val="22"/>
              </w:rPr>
            </w:pPr>
          </w:p>
        </w:tc>
        <w:tc>
          <w:tcPr>
            <w:tcW w:w="1293" w:type="dxa"/>
            <w:tcBorders>
              <w:top w:val="dotted" w:sz="4" w:space="0" w:color="auto"/>
              <w:left w:val="single" w:sz="6" w:space="0" w:color="auto"/>
              <w:bottom w:val="dotted" w:sz="4" w:space="0" w:color="auto"/>
              <w:right w:val="single" w:sz="6" w:space="0" w:color="auto"/>
            </w:tcBorders>
          </w:tcPr>
          <w:p w14:paraId="31917C99" w14:textId="77777777" w:rsidR="007049A5" w:rsidRPr="004E4188" w:rsidRDefault="007049A5" w:rsidP="001C3B2E">
            <w:pPr>
              <w:rPr>
                <w:sz w:val="22"/>
              </w:rPr>
            </w:pPr>
          </w:p>
        </w:tc>
        <w:tc>
          <w:tcPr>
            <w:tcW w:w="1227" w:type="dxa"/>
            <w:tcBorders>
              <w:top w:val="dotted" w:sz="4" w:space="0" w:color="auto"/>
              <w:left w:val="nil"/>
              <w:bottom w:val="dotted" w:sz="4" w:space="0" w:color="auto"/>
              <w:right w:val="double" w:sz="4" w:space="0" w:color="auto"/>
            </w:tcBorders>
          </w:tcPr>
          <w:p w14:paraId="3565D645" w14:textId="77777777" w:rsidR="007049A5" w:rsidRPr="004E4188" w:rsidRDefault="007049A5" w:rsidP="001C3B2E">
            <w:pPr>
              <w:rPr>
                <w:sz w:val="22"/>
              </w:rPr>
            </w:pPr>
          </w:p>
        </w:tc>
      </w:tr>
      <w:tr w:rsidR="007049A5" w:rsidRPr="004E4188" w14:paraId="7C220C91" w14:textId="77777777" w:rsidTr="00510D0A">
        <w:trPr>
          <w:trHeight w:val="270"/>
        </w:trPr>
        <w:tc>
          <w:tcPr>
            <w:tcW w:w="799" w:type="dxa"/>
            <w:tcBorders>
              <w:top w:val="dotted" w:sz="4" w:space="0" w:color="auto"/>
              <w:left w:val="double" w:sz="4" w:space="0" w:color="auto"/>
              <w:bottom w:val="dotted" w:sz="4" w:space="0" w:color="auto"/>
              <w:right w:val="nil"/>
            </w:tcBorders>
          </w:tcPr>
          <w:p w14:paraId="27E60085" w14:textId="77777777" w:rsidR="007049A5" w:rsidRPr="004E4188" w:rsidRDefault="007049A5" w:rsidP="001C3B2E">
            <w:pPr>
              <w:rPr>
                <w:sz w:val="22"/>
                <w:lang w:eastAsia="ja-JP"/>
              </w:rPr>
            </w:pPr>
            <w:r w:rsidRPr="004E4188">
              <w:rPr>
                <w:rFonts w:hint="eastAsia"/>
                <w:sz w:val="22"/>
                <w:lang w:eastAsia="ja-JP"/>
              </w:rPr>
              <w:t>1</w:t>
            </w:r>
            <w:r w:rsidRPr="004E4188">
              <w:rPr>
                <w:sz w:val="22"/>
                <w:lang w:eastAsia="ja-JP"/>
              </w:rPr>
              <w:t>09</w:t>
            </w:r>
          </w:p>
        </w:tc>
        <w:tc>
          <w:tcPr>
            <w:tcW w:w="2539" w:type="dxa"/>
            <w:tcBorders>
              <w:top w:val="dotted" w:sz="4" w:space="0" w:color="auto"/>
              <w:left w:val="single" w:sz="6" w:space="0" w:color="auto"/>
              <w:bottom w:val="dotted" w:sz="4" w:space="0" w:color="auto"/>
              <w:right w:val="single" w:sz="6" w:space="0" w:color="auto"/>
            </w:tcBorders>
          </w:tcPr>
          <w:p w14:paraId="3DAEA46A" w14:textId="77777777" w:rsidR="007049A5" w:rsidRPr="004E4188" w:rsidRDefault="007049A5" w:rsidP="001C3B2E">
            <w:pPr>
              <w:rPr>
                <w:sz w:val="22"/>
              </w:rPr>
            </w:pPr>
          </w:p>
        </w:tc>
        <w:tc>
          <w:tcPr>
            <w:tcW w:w="1070" w:type="dxa"/>
            <w:tcBorders>
              <w:top w:val="dotted" w:sz="4" w:space="0" w:color="auto"/>
              <w:left w:val="nil"/>
              <w:bottom w:val="dotted" w:sz="4" w:space="0" w:color="auto"/>
              <w:right w:val="single" w:sz="6" w:space="0" w:color="auto"/>
            </w:tcBorders>
          </w:tcPr>
          <w:p w14:paraId="6FE655E4" w14:textId="77777777" w:rsidR="007049A5" w:rsidRPr="004E4188" w:rsidRDefault="007049A5" w:rsidP="001C3B2E">
            <w:pPr>
              <w:rPr>
                <w:sz w:val="22"/>
              </w:rPr>
            </w:pPr>
          </w:p>
        </w:tc>
        <w:tc>
          <w:tcPr>
            <w:tcW w:w="758" w:type="dxa"/>
            <w:tcBorders>
              <w:top w:val="dotted" w:sz="4" w:space="0" w:color="auto"/>
              <w:left w:val="single" w:sz="6" w:space="0" w:color="auto"/>
              <w:bottom w:val="dotted" w:sz="4" w:space="0" w:color="auto"/>
              <w:right w:val="nil"/>
            </w:tcBorders>
          </w:tcPr>
          <w:p w14:paraId="7279EE6E" w14:textId="77777777" w:rsidR="007049A5" w:rsidRPr="004E4188" w:rsidRDefault="007049A5" w:rsidP="001C3B2E">
            <w:pPr>
              <w:rPr>
                <w:sz w:val="22"/>
              </w:rPr>
            </w:pPr>
          </w:p>
        </w:tc>
        <w:tc>
          <w:tcPr>
            <w:tcW w:w="800" w:type="dxa"/>
            <w:tcBorders>
              <w:top w:val="dotted" w:sz="4" w:space="0" w:color="auto"/>
              <w:left w:val="single" w:sz="6" w:space="0" w:color="auto"/>
              <w:bottom w:val="dotted" w:sz="4" w:space="0" w:color="auto"/>
              <w:right w:val="single" w:sz="6" w:space="0" w:color="auto"/>
            </w:tcBorders>
          </w:tcPr>
          <w:p w14:paraId="4ABCF3A9" w14:textId="77777777" w:rsidR="007049A5" w:rsidRPr="004E4188" w:rsidRDefault="007049A5" w:rsidP="001C3B2E">
            <w:pPr>
              <w:rPr>
                <w:sz w:val="22"/>
              </w:rPr>
            </w:pPr>
          </w:p>
        </w:tc>
        <w:tc>
          <w:tcPr>
            <w:tcW w:w="1165" w:type="dxa"/>
            <w:tcBorders>
              <w:top w:val="dotted" w:sz="4" w:space="0" w:color="auto"/>
              <w:left w:val="nil"/>
              <w:bottom w:val="dotted" w:sz="4" w:space="0" w:color="auto"/>
              <w:right w:val="nil"/>
            </w:tcBorders>
          </w:tcPr>
          <w:p w14:paraId="4DDC846B" w14:textId="77777777" w:rsidR="007049A5" w:rsidRPr="004E4188" w:rsidRDefault="007049A5" w:rsidP="001C3B2E">
            <w:pPr>
              <w:rPr>
                <w:sz w:val="22"/>
              </w:rPr>
            </w:pPr>
          </w:p>
        </w:tc>
        <w:tc>
          <w:tcPr>
            <w:tcW w:w="1293" w:type="dxa"/>
            <w:tcBorders>
              <w:top w:val="dotted" w:sz="4" w:space="0" w:color="auto"/>
              <w:left w:val="single" w:sz="6" w:space="0" w:color="auto"/>
              <w:bottom w:val="dotted" w:sz="4" w:space="0" w:color="auto"/>
              <w:right w:val="single" w:sz="6" w:space="0" w:color="auto"/>
            </w:tcBorders>
          </w:tcPr>
          <w:p w14:paraId="1FD0D789" w14:textId="77777777" w:rsidR="007049A5" w:rsidRPr="004E4188" w:rsidRDefault="007049A5" w:rsidP="001C3B2E">
            <w:pPr>
              <w:rPr>
                <w:sz w:val="22"/>
              </w:rPr>
            </w:pPr>
          </w:p>
        </w:tc>
        <w:tc>
          <w:tcPr>
            <w:tcW w:w="1227" w:type="dxa"/>
            <w:tcBorders>
              <w:top w:val="dotted" w:sz="4" w:space="0" w:color="auto"/>
              <w:left w:val="nil"/>
              <w:bottom w:val="dotted" w:sz="4" w:space="0" w:color="auto"/>
              <w:right w:val="double" w:sz="4" w:space="0" w:color="auto"/>
            </w:tcBorders>
          </w:tcPr>
          <w:p w14:paraId="29E9745E" w14:textId="77777777" w:rsidR="007049A5" w:rsidRPr="004E4188" w:rsidRDefault="007049A5" w:rsidP="001C3B2E">
            <w:pPr>
              <w:rPr>
                <w:sz w:val="22"/>
              </w:rPr>
            </w:pPr>
          </w:p>
        </w:tc>
      </w:tr>
      <w:tr w:rsidR="007049A5" w:rsidRPr="004E4188" w14:paraId="28EFC070" w14:textId="77777777" w:rsidTr="00510D0A">
        <w:trPr>
          <w:trHeight w:val="287"/>
        </w:trPr>
        <w:tc>
          <w:tcPr>
            <w:tcW w:w="799" w:type="dxa"/>
            <w:tcBorders>
              <w:top w:val="dotted" w:sz="4" w:space="0" w:color="auto"/>
              <w:left w:val="double" w:sz="4" w:space="0" w:color="auto"/>
              <w:bottom w:val="dotted" w:sz="4" w:space="0" w:color="auto"/>
              <w:right w:val="nil"/>
            </w:tcBorders>
          </w:tcPr>
          <w:p w14:paraId="41490F63" w14:textId="77777777" w:rsidR="007049A5" w:rsidRPr="004E4188" w:rsidRDefault="007049A5" w:rsidP="001C3B2E">
            <w:pPr>
              <w:rPr>
                <w:sz w:val="22"/>
                <w:lang w:eastAsia="ja-JP"/>
              </w:rPr>
            </w:pPr>
            <w:r w:rsidRPr="004E4188">
              <w:rPr>
                <w:rFonts w:hint="eastAsia"/>
                <w:sz w:val="22"/>
                <w:lang w:eastAsia="ja-JP"/>
              </w:rPr>
              <w:t>1</w:t>
            </w:r>
            <w:r w:rsidRPr="004E4188">
              <w:rPr>
                <w:sz w:val="22"/>
                <w:lang w:eastAsia="ja-JP"/>
              </w:rPr>
              <w:t>10</w:t>
            </w:r>
          </w:p>
        </w:tc>
        <w:tc>
          <w:tcPr>
            <w:tcW w:w="2539" w:type="dxa"/>
            <w:tcBorders>
              <w:top w:val="dotted" w:sz="4" w:space="0" w:color="auto"/>
              <w:left w:val="single" w:sz="6" w:space="0" w:color="auto"/>
              <w:bottom w:val="dotted" w:sz="4" w:space="0" w:color="auto"/>
              <w:right w:val="single" w:sz="6" w:space="0" w:color="auto"/>
            </w:tcBorders>
          </w:tcPr>
          <w:p w14:paraId="2AE0146B" w14:textId="77777777" w:rsidR="007049A5" w:rsidRPr="004E4188" w:rsidRDefault="007049A5" w:rsidP="001C3B2E">
            <w:pPr>
              <w:rPr>
                <w:sz w:val="22"/>
              </w:rPr>
            </w:pPr>
          </w:p>
        </w:tc>
        <w:tc>
          <w:tcPr>
            <w:tcW w:w="1070" w:type="dxa"/>
            <w:tcBorders>
              <w:top w:val="dotted" w:sz="4" w:space="0" w:color="auto"/>
              <w:left w:val="nil"/>
              <w:bottom w:val="dotted" w:sz="4" w:space="0" w:color="auto"/>
              <w:right w:val="single" w:sz="6" w:space="0" w:color="auto"/>
            </w:tcBorders>
          </w:tcPr>
          <w:p w14:paraId="717C2356" w14:textId="77777777" w:rsidR="007049A5" w:rsidRPr="004E4188" w:rsidRDefault="007049A5" w:rsidP="001C3B2E">
            <w:pPr>
              <w:rPr>
                <w:sz w:val="22"/>
              </w:rPr>
            </w:pPr>
          </w:p>
        </w:tc>
        <w:tc>
          <w:tcPr>
            <w:tcW w:w="758" w:type="dxa"/>
            <w:tcBorders>
              <w:top w:val="dotted" w:sz="4" w:space="0" w:color="auto"/>
              <w:left w:val="single" w:sz="6" w:space="0" w:color="auto"/>
              <w:bottom w:val="dotted" w:sz="4" w:space="0" w:color="auto"/>
              <w:right w:val="nil"/>
            </w:tcBorders>
          </w:tcPr>
          <w:p w14:paraId="42648B9C" w14:textId="77777777" w:rsidR="007049A5" w:rsidRPr="004E4188" w:rsidRDefault="007049A5" w:rsidP="001C3B2E">
            <w:pPr>
              <w:rPr>
                <w:sz w:val="22"/>
              </w:rPr>
            </w:pPr>
          </w:p>
        </w:tc>
        <w:tc>
          <w:tcPr>
            <w:tcW w:w="800" w:type="dxa"/>
            <w:tcBorders>
              <w:top w:val="dotted" w:sz="4" w:space="0" w:color="auto"/>
              <w:left w:val="single" w:sz="6" w:space="0" w:color="auto"/>
              <w:bottom w:val="dotted" w:sz="4" w:space="0" w:color="auto"/>
              <w:right w:val="single" w:sz="6" w:space="0" w:color="auto"/>
            </w:tcBorders>
          </w:tcPr>
          <w:p w14:paraId="264CB2C5" w14:textId="77777777" w:rsidR="007049A5" w:rsidRPr="004E4188" w:rsidRDefault="007049A5" w:rsidP="001C3B2E">
            <w:pPr>
              <w:rPr>
                <w:sz w:val="22"/>
              </w:rPr>
            </w:pPr>
          </w:p>
        </w:tc>
        <w:tc>
          <w:tcPr>
            <w:tcW w:w="1165" w:type="dxa"/>
            <w:tcBorders>
              <w:top w:val="dotted" w:sz="4" w:space="0" w:color="auto"/>
              <w:left w:val="nil"/>
              <w:bottom w:val="dotted" w:sz="4" w:space="0" w:color="auto"/>
              <w:right w:val="nil"/>
            </w:tcBorders>
          </w:tcPr>
          <w:p w14:paraId="6772F3E6" w14:textId="77777777" w:rsidR="007049A5" w:rsidRPr="004E4188" w:rsidRDefault="007049A5" w:rsidP="001C3B2E">
            <w:pPr>
              <w:rPr>
                <w:sz w:val="22"/>
              </w:rPr>
            </w:pPr>
          </w:p>
        </w:tc>
        <w:tc>
          <w:tcPr>
            <w:tcW w:w="1293" w:type="dxa"/>
            <w:tcBorders>
              <w:top w:val="dotted" w:sz="4" w:space="0" w:color="auto"/>
              <w:left w:val="single" w:sz="6" w:space="0" w:color="auto"/>
              <w:bottom w:val="dotted" w:sz="4" w:space="0" w:color="auto"/>
              <w:right w:val="single" w:sz="6" w:space="0" w:color="auto"/>
            </w:tcBorders>
          </w:tcPr>
          <w:p w14:paraId="4003B192" w14:textId="77777777" w:rsidR="007049A5" w:rsidRPr="004E4188" w:rsidRDefault="007049A5" w:rsidP="001C3B2E">
            <w:pPr>
              <w:rPr>
                <w:sz w:val="22"/>
              </w:rPr>
            </w:pPr>
          </w:p>
        </w:tc>
        <w:tc>
          <w:tcPr>
            <w:tcW w:w="1227" w:type="dxa"/>
            <w:tcBorders>
              <w:top w:val="dotted" w:sz="4" w:space="0" w:color="auto"/>
              <w:left w:val="nil"/>
              <w:bottom w:val="dotted" w:sz="4" w:space="0" w:color="auto"/>
              <w:right w:val="double" w:sz="4" w:space="0" w:color="auto"/>
            </w:tcBorders>
          </w:tcPr>
          <w:p w14:paraId="68C000E8" w14:textId="77777777" w:rsidR="007049A5" w:rsidRPr="004E4188" w:rsidRDefault="007049A5" w:rsidP="001C3B2E">
            <w:pPr>
              <w:rPr>
                <w:sz w:val="22"/>
              </w:rPr>
            </w:pPr>
          </w:p>
        </w:tc>
      </w:tr>
      <w:tr w:rsidR="007049A5" w:rsidRPr="004E4188" w14:paraId="61D1C3A0" w14:textId="77777777" w:rsidTr="00510D0A">
        <w:trPr>
          <w:trHeight w:val="270"/>
        </w:trPr>
        <w:tc>
          <w:tcPr>
            <w:tcW w:w="799" w:type="dxa"/>
            <w:tcBorders>
              <w:top w:val="dotted" w:sz="4" w:space="0" w:color="auto"/>
              <w:left w:val="double" w:sz="4" w:space="0" w:color="auto"/>
              <w:bottom w:val="dotted" w:sz="4" w:space="0" w:color="auto"/>
              <w:right w:val="nil"/>
            </w:tcBorders>
          </w:tcPr>
          <w:p w14:paraId="10B661B5" w14:textId="77777777" w:rsidR="007049A5" w:rsidRPr="004E4188" w:rsidRDefault="007049A5" w:rsidP="001C3B2E">
            <w:pPr>
              <w:rPr>
                <w:sz w:val="22"/>
              </w:rPr>
            </w:pPr>
          </w:p>
        </w:tc>
        <w:tc>
          <w:tcPr>
            <w:tcW w:w="2539" w:type="dxa"/>
            <w:tcBorders>
              <w:top w:val="dotted" w:sz="4" w:space="0" w:color="auto"/>
              <w:left w:val="single" w:sz="6" w:space="0" w:color="auto"/>
              <w:bottom w:val="dotted" w:sz="4" w:space="0" w:color="auto"/>
              <w:right w:val="single" w:sz="6" w:space="0" w:color="auto"/>
            </w:tcBorders>
          </w:tcPr>
          <w:p w14:paraId="3FCF0823" w14:textId="77777777" w:rsidR="007049A5" w:rsidRPr="004E4188" w:rsidRDefault="007049A5" w:rsidP="001C3B2E">
            <w:pPr>
              <w:rPr>
                <w:sz w:val="22"/>
              </w:rPr>
            </w:pPr>
          </w:p>
        </w:tc>
        <w:tc>
          <w:tcPr>
            <w:tcW w:w="1070" w:type="dxa"/>
            <w:tcBorders>
              <w:top w:val="dotted" w:sz="4" w:space="0" w:color="auto"/>
              <w:left w:val="nil"/>
              <w:bottom w:val="dotted" w:sz="4" w:space="0" w:color="auto"/>
              <w:right w:val="single" w:sz="6" w:space="0" w:color="auto"/>
            </w:tcBorders>
          </w:tcPr>
          <w:p w14:paraId="04780714" w14:textId="77777777" w:rsidR="007049A5" w:rsidRPr="004E4188" w:rsidRDefault="007049A5" w:rsidP="001C3B2E">
            <w:pPr>
              <w:rPr>
                <w:sz w:val="22"/>
              </w:rPr>
            </w:pPr>
          </w:p>
        </w:tc>
        <w:tc>
          <w:tcPr>
            <w:tcW w:w="758" w:type="dxa"/>
            <w:tcBorders>
              <w:top w:val="dotted" w:sz="4" w:space="0" w:color="auto"/>
              <w:left w:val="single" w:sz="6" w:space="0" w:color="auto"/>
              <w:bottom w:val="dotted" w:sz="4" w:space="0" w:color="auto"/>
              <w:right w:val="nil"/>
            </w:tcBorders>
          </w:tcPr>
          <w:p w14:paraId="0BB42E03" w14:textId="77777777" w:rsidR="007049A5" w:rsidRPr="004E4188" w:rsidRDefault="007049A5" w:rsidP="001C3B2E">
            <w:pPr>
              <w:rPr>
                <w:sz w:val="22"/>
              </w:rPr>
            </w:pPr>
          </w:p>
        </w:tc>
        <w:tc>
          <w:tcPr>
            <w:tcW w:w="800" w:type="dxa"/>
            <w:tcBorders>
              <w:top w:val="dotted" w:sz="4" w:space="0" w:color="auto"/>
              <w:left w:val="single" w:sz="6" w:space="0" w:color="auto"/>
              <w:bottom w:val="dotted" w:sz="4" w:space="0" w:color="auto"/>
              <w:right w:val="single" w:sz="6" w:space="0" w:color="auto"/>
            </w:tcBorders>
          </w:tcPr>
          <w:p w14:paraId="1A55CEDB" w14:textId="77777777" w:rsidR="007049A5" w:rsidRPr="004E4188" w:rsidRDefault="007049A5" w:rsidP="001C3B2E">
            <w:pPr>
              <w:rPr>
                <w:sz w:val="22"/>
              </w:rPr>
            </w:pPr>
          </w:p>
        </w:tc>
        <w:tc>
          <w:tcPr>
            <w:tcW w:w="1165" w:type="dxa"/>
            <w:tcBorders>
              <w:top w:val="dotted" w:sz="4" w:space="0" w:color="auto"/>
              <w:left w:val="nil"/>
              <w:bottom w:val="dotted" w:sz="4" w:space="0" w:color="auto"/>
              <w:right w:val="nil"/>
            </w:tcBorders>
          </w:tcPr>
          <w:p w14:paraId="68ED7003" w14:textId="77777777" w:rsidR="007049A5" w:rsidRPr="004E4188" w:rsidRDefault="007049A5" w:rsidP="001C3B2E">
            <w:pPr>
              <w:rPr>
                <w:sz w:val="22"/>
              </w:rPr>
            </w:pPr>
          </w:p>
        </w:tc>
        <w:tc>
          <w:tcPr>
            <w:tcW w:w="1293" w:type="dxa"/>
            <w:tcBorders>
              <w:top w:val="dotted" w:sz="4" w:space="0" w:color="auto"/>
              <w:left w:val="single" w:sz="6" w:space="0" w:color="auto"/>
              <w:bottom w:val="dotted" w:sz="4" w:space="0" w:color="auto"/>
              <w:right w:val="single" w:sz="6" w:space="0" w:color="auto"/>
            </w:tcBorders>
          </w:tcPr>
          <w:p w14:paraId="77EF15BA" w14:textId="77777777" w:rsidR="007049A5" w:rsidRPr="004E4188" w:rsidRDefault="007049A5" w:rsidP="001C3B2E">
            <w:pPr>
              <w:rPr>
                <w:sz w:val="22"/>
              </w:rPr>
            </w:pPr>
          </w:p>
        </w:tc>
        <w:tc>
          <w:tcPr>
            <w:tcW w:w="1227" w:type="dxa"/>
            <w:tcBorders>
              <w:top w:val="dotted" w:sz="4" w:space="0" w:color="auto"/>
              <w:left w:val="nil"/>
              <w:bottom w:val="dotted" w:sz="4" w:space="0" w:color="auto"/>
              <w:right w:val="double" w:sz="4" w:space="0" w:color="auto"/>
            </w:tcBorders>
          </w:tcPr>
          <w:p w14:paraId="2A217D54" w14:textId="77777777" w:rsidR="007049A5" w:rsidRPr="004E4188" w:rsidRDefault="007049A5" w:rsidP="001C3B2E">
            <w:pPr>
              <w:rPr>
                <w:sz w:val="22"/>
              </w:rPr>
            </w:pPr>
          </w:p>
        </w:tc>
      </w:tr>
      <w:tr w:rsidR="007049A5" w:rsidRPr="004E4188" w14:paraId="09CEDC3E" w14:textId="77777777" w:rsidTr="00510D0A">
        <w:trPr>
          <w:trHeight w:val="287"/>
        </w:trPr>
        <w:tc>
          <w:tcPr>
            <w:tcW w:w="799" w:type="dxa"/>
            <w:tcBorders>
              <w:top w:val="dotted" w:sz="4" w:space="0" w:color="auto"/>
              <w:left w:val="double" w:sz="4" w:space="0" w:color="auto"/>
              <w:bottom w:val="dotted" w:sz="4" w:space="0" w:color="auto"/>
              <w:right w:val="nil"/>
            </w:tcBorders>
          </w:tcPr>
          <w:p w14:paraId="474AAF3C" w14:textId="77777777" w:rsidR="007049A5" w:rsidRPr="004E4188" w:rsidRDefault="007049A5" w:rsidP="001C3B2E">
            <w:pPr>
              <w:rPr>
                <w:sz w:val="22"/>
              </w:rPr>
            </w:pPr>
          </w:p>
        </w:tc>
        <w:tc>
          <w:tcPr>
            <w:tcW w:w="2539" w:type="dxa"/>
            <w:tcBorders>
              <w:top w:val="dotted" w:sz="4" w:space="0" w:color="auto"/>
              <w:left w:val="single" w:sz="6" w:space="0" w:color="auto"/>
              <w:bottom w:val="dotted" w:sz="4" w:space="0" w:color="auto"/>
              <w:right w:val="single" w:sz="6" w:space="0" w:color="auto"/>
            </w:tcBorders>
          </w:tcPr>
          <w:p w14:paraId="17317009" w14:textId="77777777" w:rsidR="007049A5" w:rsidRPr="004E4188" w:rsidRDefault="007049A5" w:rsidP="001C3B2E">
            <w:pPr>
              <w:rPr>
                <w:sz w:val="22"/>
              </w:rPr>
            </w:pPr>
          </w:p>
        </w:tc>
        <w:tc>
          <w:tcPr>
            <w:tcW w:w="1070" w:type="dxa"/>
            <w:tcBorders>
              <w:top w:val="dotted" w:sz="4" w:space="0" w:color="auto"/>
              <w:left w:val="nil"/>
              <w:bottom w:val="dotted" w:sz="4" w:space="0" w:color="auto"/>
              <w:right w:val="single" w:sz="6" w:space="0" w:color="auto"/>
            </w:tcBorders>
          </w:tcPr>
          <w:p w14:paraId="5EA3B793" w14:textId="77777777" w:rsidR="007049A5" w:rsidRPr="004E4188" w:rsidRDefault="007049A5" w:rsidP="001C3B2E">
            <w:pPr>
              <w:rPr>
                <w:sz w:val="22"/>
              </w:rPr>
            </w:pPr>
          </w:p>
        </w:tc>
        <w:tc>
          <w:tcPr>
            <w:tcW w:w="758" w:type="dxa"/>
            <w:tcBorders>
              <w:top w:val="dotted" w:sz="4" w:space="0" w:color="auto"/>
              <w:left w:val="single" w:sz="6" w:space="0" w:color="auto"/>
              <w:bottom w:val="dotted" w:sz="4" w:space="0" w:color="auto"/>
              <w:right w:val="nil"/>
            </w:tcBorders>
          </w:tcPr>
          <w:p w14:paraId="49C665FB" w14:textId="77777777" w:rsidR="007049A5" w:rsidRPr="004E4188" w:rsidRDefault="007049A5" w:rsidP="001C3B2E">
            <w:pPr>
              <w:rPr>
                <w:sz w:val="22"/>
              </w:rPr>
            </w:pPr>
          </w:p>
        </w:tc>
        <w:tc>
          <w:tcPr>
            <w:tcW w:w="800" w:type="dxa"/>
            <w:tcBorders>
              <w:top w:val="dotted" w:sz="4" w:space="0" w:color="auto"/>
              <w:left w:val="single" w:sz="6" w:space="0" w:color="auto"/>
              <w:bottom w:val="dotted" w:sz="4" w:space="0" w:color="auto"/>
              <w:right w:val="single" w:sz="6" w:space="0" w:color="auto"/>
            </w:tcBorders>
          </w:tcPr>
          <w:p w14:paraId="5B433762" w14:textId="77777777" w:rsidR="007049A5" w:rsidRPr="004E4188" w:rsidRDefault="007049A5" w:rsidP="001C3B2E">
            <w:pPr>
              <w:rPr>
                <w:sz w:val="22"/>
              </w:rPr>
            </w:pPr>
          </w:p>
        </w:tc>
        <w:tc>
          <w:tcPr>
            <w:tcW w:w="1165" w:type="dxa"/>
            <w:tcBorders>
              <w:top w:val="dotted" w:sz="4" w:space="0" w:color="auto"/>
              <w:left w:val="nil"/>
              <w:bottom w:val="dotted" w:sz="4" w:space="0" w:color="auto"/>
              <w:right w:val="nil"/>
            </w:tcBorders>
          </w:tcPr>
          <w:p w14:paraId="3CB08557" w14:textId="77777777" w:rsidR="007049A5" w:rsidRPr="004E4188" w:rsidRDefault="007049A5" w:rsidP="001C3B2E">
            <w:pPr>
              <w:rPr>
                <w:sz w:val="22"/>
              </w:rPr>
            </w:pPr>
          </w:p>
        </w:tc>
        <w:tc>
          <w:tcPr>
            <w:tcW w:w="1293" w:type="dxa"/>
            <w:tcBorders>
              <w:top w:val="dotted" w:sz="4" w:space="0" w:color="auto"/>
              <w:left w:val="single" w:sz="6" w:space="0" w:color="auto"/>
              <w:bottom w:val="dotted" w:sz="4" w:space="0" w:color="auto"/>
              <w:right w:val="single" w:sz="6" w:space="0" w:color="auto"/>
            </w:tcBorders>
          </w:tcPr>
          <w:p w14:paraId="5AF8332B" w14:textId="77777777" w:rsidR="007049A5" w:rsidRPr="004E4188" w:rsidRDefault="007049A5" w:rsidP="001C3B2E">
            <w:pPr>
              <w:rPr>
                <w:sz w:val="22"/>
              </w:rPr>
            </w:pPr>
          </w:p>
        </w:tc>
        <w:tc>
          <w:tcPr>
            <w:tcW w:w="1227" w:type="dxa"/>
            <w:tcBorders>
              <w:top w:val="dotted" w:sz="4" w:space="0" w:color="auto"/>
              <w:left w:val="nil"/>
              <w:bottom w:val="dotted" w:sz="4" w:space="0" w:color="auto"/>
              <w:right w:val="double" w:sz="4" w:space="0" w:color="auto"/>
            </w:tcBorders>
          </w:tcPr>
          <w:p w14:paraId="7ECFED48" w14:textId="77777777" w:rsidR="007049A5" w:rsidRPr="004E4188" w:rsidRDefault="007049A5" w:rsidP="001C3B2E">
            <w:pPr>
              <w:rPr>
                <w:sz w:val="22"/>
              </w:rPr>
            </w:pPr>
          </w:p>
        </w:tc>
      </w:tr>
      <w:tr w:rsidR="007049A5" w:rsidRPr="004E4188" w14:paraId="4687F74E" w14:textId="77777777" w:rsidTr="00510D0A">
        <w:trPr>
          <w:trHeight w:val="270"/>
        </w:trPr>
        <w:tc>
          <w:tcPr>
            <w:tcW w:w="799" w:type="dxa"/>
            <w:tcBorders>
              <w:top w:val="dotted" w:sz="4" w:space="0" w:color="auto"/>
              <w:left w:val="double" w:sz="4" w:space="0" w:color="auto"/>
              <w:bottom w:val="dotted" w:sz="4" w:space="0" w:color="auto"/>
              <w:right w:val="nil"/>
            </w:tcBorders>
          </w:tcPr>
          <w:p w14:paraId="5FE3FE61" w14:textId="77777777" w:rsidR="007049A5" w:rsidRPr="004E4188" w:rsidRDefault="007049A5" w:rsidP="001C3B2E">
            <w:pPr>
              <w:rPr>
                <w:sz w:val="22"/>
              </w:rPr>
            </w:pPr>
          </w:p>
        </w:tc>
        <w:tc>
          <w:tcPr>
            <w:tcW w:w="2539" w:type="dxa"/>
            <w:tcBorders>
              <w:top w:val="dotted" w:sz="4" w:space="0" w:color="auto"/>
              <w:left w:val="single" w:sz="6" w:space="0" w:color="auto"/>
              <w:bottom w:val="dotted" w:sz="4" w:space="0" w:color="auto"/>
              <w:right w:val="single" w:sz="6" w:space="0" w:color="auto"/>
            </w:tcBorders>
          </w:tcPr>
          <w:p w14:paraId="48A2B07F" w14:textId="77777777" w:rsidR="007049A5" w:rsidRPr="004E4188" w:rsidRDefault="007049A5" w:rsidP="001C3B2E">
            <w:pPr>
              <w:rPr>
                <w:sz w:val="22"/>
              </w:rPr>
            </w:pPr>
          </w:p>
        </w:tc>
        <w:tc>
          <w:tcPr>
            <w:tcW w:w="1070" w:type="dxa"/>
            <w:tcBorders>
              <w:top w:val="dotted" w:sz="4" w:space="0" w:color="auto"/>
              <w:left w:val="nil"/>
              <w:bottom w:val="dotted" w:sz="4" w:space="0" w:color="auto"/>
              <w:right w:val="single" w:sz="6" w:space="0" w:color="auto"/>
            </w:tcBorders>
          </w:tcPr>
          <w:p w14:paraId="2459C923" w14:textId="77777777" w:rsidR="007049A5" w:rsidRPr="004E4188" w:rsidRDefault="007049A5" w:rsidP="001C3B2E">
            <w:pPr>
              <w:rPr>
                <w:sz w:val="22"/>
              </w:rPr>
            </w:pPr>
          </w:p>
        </w:tc>
        <w:tc>
          <w:tcPr>
            <w:tcW w:w="758" w:type="dxa"/>
            <w:tcBorders>
              <w:top w:val="dotted" w:sz="4" w:space="0" w:color="auto"/>
              <w:left w:val="single" w:sz="6" w:space="0" w:color="auto"/>
              <w:bottom w:val="dotted" w:sz="4" w:space="0" w:color="auto"/>
              <w:right w:val="nil"/>
            </w:tcBorders>
          </w:tcPr>
          <w:p w14:paraId="238604C1" w14:textId="77777777" w:rsidR="007049A5" w:rsidRPr="004E4188" w:rsidRDefault="007049A5" w:rsidP="001C3B2E">
            <w:pPr>
              <w:rPr>
                <w:sz w:val="22"/>
              </w:rPr>
            </w:pPr>
          </w:p>
        </w:tc>
        <w:tc>
          <w:tcPr>
            <w:tcW w:w="800" w:type="dxa"/>
            <w:tcBorders>
              <w:top w:val="dotted" w:sz="4" w:space="0" w:color="auto"/>
              <w:left w:val="single" w:sz="6" w:space="0" w:color="auto"/>
              <w:bottom w:val="dotted" w:sz="4" w:space="0" w:color="auto"/>
              <w:right w:val="single" w:sz="6" w:space="0" w:color="auto"/>
            </w:tcBorders>
          </w:tcPr>
          <w:p w14:paraId="67712D10" w14:textId="77777777" w:rsidR="007049A5" w:rsidRPr="004E4188" w:rsidRDefault="007049A5" w:rsidP="001C3B2E">
            <w:pPr>
              <w:rPr>
                <w:sz w:val="22"/>
              </w:rPr>
            </w:pPr>
          </w:p>
        </w:tc>
        <w:tc>
          <w:tcPr>
            <w:tcW w:w="1165" w:type="dxa"/>
            <w:tcBorders>
              <w:top w:val="dotted" w:sz="4" w:space="0" w:color="auto"/>
              <w:left w:val="nil"/>
              <w:bottom w:val="dotted" w:sz="4" w:space="0" w:color="auto"/>
              <w:right w:val="nil"/>
            </w:tcBorders>
          </w:tcPr>
          <w:p w14:paraId="7BDAAD8E" w14:textId="77777777" w:rsidR="007049A5" w:rsidRPr="004E4188" w:rsidRDefault="007049A5" w:rsidP="001C3B2E">
            <w:pPr>
              <w:rPr>
                <w:sz w:val="22"/>
              </w:rPr>
            </w:pPr>
          </w:p>
        </w:tc>
        <w:tc>
          <w:tcPr>
            <w:tcW w:w="1293" w:type="dxa"/>
            <w:tcBorders>
              <w:top w:val="dotted" w:sz="4" w:space="0" w:color="auto"/>
              <w:left w:val="single" w:sz="6" w:space="0" w:color="auto"/>
              <w:bottom w:val="dotted" w:sz="4" w:space="0" w:color="auto"/>
              <w:right w:val="single" w:sz="6" w:space="0" w:color="auto"/>
            </w:tcBorders>
          </w:tcPr>
          <w:p w14:paraId="0F410C43" w14:textId="77777777" w:rsidR="007049A5" w:rsidRPr="004E4188" w:rsidRDefault="007049A5" w:rsidP="001C3B2E">
            <w:pPr>
              <w:rPr>
                <w:sz w:val="22"/>
              </w:rPr>
            </w:pPr>
          </w:p>
        </w:tc>
        <w:tc>
          <w:tcPr>
            <w:tcW w:w="1227" w:type="dxa"/>
            <w:tcBorders>
              <w:top w:val="dotted" w:sz="4" w:space="0" w:color="auto"/>
              <w:left w:val="nil"/>
              <w:bottom w:val="dotted" w:sz="4" w:space="0" w:color="auto"/>
              <w:right w:val="double" w:sz="4" w:space="0" w:color="auto"/>
            </w:tcBorders>
          </w:tcPr>
          <w:p w14:paraId="4D801A90" w14:textId="77777777" w:rsidR="007049A5" w:rsidRPr="004E4188" w:rsidRDefault="007049A5" w:rsidP="001C3B2E">
            <w:pPr>
              <w:rPr>
                <w:sz w:val="22"/>
              </w:rPr>
            </w:pPr>
          </w:p>
        </w:tc>
      </w:tr>
      <w:tr w:rsidR="007049A5" w:rsidRPr="004E4188" w14:paraId="01C8BEA0" w14:textId="77777777" w:rsidTr="00510D0A">
        <w:trPr>
          <w:trHeight w:val="270"/>
        </w:trPr>
        <w:tc>
          <w:tcPr>
            <w:tcW w:w="799" w:type="dxa"/>
            <w:tcBorders>
              <w:top w:val="dotted" w:sz="4" w:space="0" w:color="auto"/>
              <w:left w:val="double" w:sz="4" w:space="0" w:color="auto"/>
              <w:bottom w:val="dotted" w:sz="4" w:space="0" w:color="auto"/>
              <w:right w:val="nil"/>
            </w:tcBorders>
          </w:tcPr>
          <w:p w14:paraId="692741E0" w14:textId="77777777" w:rsidR="007049A5" w:rsidRPr="004E4188" w:rsidRDefault="007049A5" w:rsidP="001C3B2E">
            <w:pPr>
              <w:rPr>
                <w:sz w:val="22"/>
              </w:rPr>
            </w:pPr>
          </w:p>
        </w:tc>
        <w:tc>
          <w:tcPr>
            <w:tcW w:w="2539" w:type="dxa"/>
            <w:tcBorders>
              <w:top w:val="dotted" w:sz="4" w:space="0" w:color="auto"/>
              <w:left w:val="single" w:sz="6" w:space="0" w:color="auto"/>
              <w:bottom w:val="dotted" w:sz="4" w:space="0" w:color="auto"/>
              <w:right w:val="single" w:sz="6" w:space="0" w:color="auto"/>
            </w:tcBorders>
          </w:tcPr>
          <w:p w14:paraId="221726B6" w14:textId="77777777" w:rsidR="007049A5" w:rsidRPr="004E4188" w:rsidRDefault="007049A5" w:rsidP="001C3B2E">
            <w:pPr>
              <w:rPr>
                <w:sz w:val="22"/>
              </w:rPr>
            </w:pPr>
          </w:p>
        </w:tc>
        <w:tc>
          <w:tcPr>
            <w:tcW w:w="1070" w:type="dxa"/>
            <w:tcBorders>
              <w:top w:val="dotted" w:sz="4" w:space="0" w:color="auto"/>
              <w:left w:val="nil"/>
              <w:bottom w:val="dotted" w:sz="4" w:space="0" w:color="auto"/>
              <w:right w:val="single" w:sz="6" w:space="0" w:color="auto"/>
            </w:tcBorders>
          </w:tcPr>
          <w:p w14:paraId="6D34E304" w14:textId="77777777" w:rsidR="007049A5" w:rsidRPr="004E4188" w:rsidRDefault="007049A5" w:rsidP="001C3B2E">
            <w:pPr>
              <w:rPr>
                <w:sz w:val="22"/>
              </w:rPr>
            </w:pPr>
          </w:p>
        </w:tc>
        <w:tc>
          <w:tcPr>
            <w:tcW w:w="758" w:type="dxa"/>
            <w:tcBorders>
              <w:top w:val="dotted" w:sz="4" w:space="0" w:color="auto"/>
              <w:left w:val="single" w:sz="6" w:space="0" w:color="auto"/>
              <w:bottom w:val="dotted" w:sz="4" w:space="0" w:color="auto"/>
              <w:right w:val="nil"/>
            </w:tcBorders>
          </w:tcPr>
          <w:p w14:paraId="20F5F48F" w14:textId="77777777" w:rsidR="007049A5" w:rsidRPr="004E4188" w:rsidRDefault="007049A5" w:rsidP="001C3B2E">
            <w:pPr>
              <w:rPr>
                <w:sz w:val="22"/>
              </w:rPr>
            </w:pPr>
          </w:p>
        </w:tc>
        <w:tc>
          <w:tcPr>
            <w:tcW w:w="800" w:type="dxa"/>
            <w:tcBorders>
              <w:top w:val="dotted" w:sz="4" w:space="0" w:color="auto"/>
              <w:left w:val="single" w:sz="6" w:space="0" w:color="auto"/>
              <w:bottom w:val="dotted" w:sz="4" w:space="0" w:color="auto"/>
              <w:right w:val="single" w:sz="6" w:space="0" w:color="auto"/>
            </w:tcBorders>
          </w:tcPr>
          <w:p w14:paraId="16B3DF34" w14:textId="77777777" w:rsidR="007049A5" w:rsidRPr="004E4188" w:rsidRDefault="007049A5" w:rsidP="001C3B2E">
            <w:pPr>
              <w:rPr>
                <w:sz w:val="22"/>
              </w:rPr>
            </w:pPr>
          </w:p>
        </w:tc>
        <w:tc>
          <w:tcPr>
            <w:tcW w:w="1165" w:type="dxa"/>
            <w:tcBorders>
              <w:top w:val="dotted" w:sz="4" w:space="0" w:color="auto"/>
              <w:left w:val="nil"/>
              <w:bottom w:val="dotted" w:sz="4" w:space="0" w:color="auto"/>
              <w:right w:val="nil"/>
            </w:tcBorders>
          </w:tcPr>
          <w:p w14:paraId="0D868BC9" w14:textId="77777777" w:rsidR="007049A5" w:rsidRPr="004E4188" w:rsidRDefault="007049A5" w:rsidP="001C3B2E">
            <w:pPr>
              <w:rPr>
                <w:sz w:val="22"/>
              </w:rPr>
            </w:pPr>
          </w:p>
        </w:tc>
        <w:tc>
          <w:tcPr>
            <w:tcW w:w="1293" w:type="dxa"/>
            <w:tcBorders>
              <w:top w:val="dotted" w:sz="4" w:space="0" w:color="auto"/>
              <w:left w:val="single" w:sz="6" w:space="0" w:color="auto"/>
              <w:bottom w:val="dotted" w:sz="4" w:space="0" w:color="auto"/>
              <w:right w:val="single" w:sz="6" w:space="0" w:color="auto"/>
            </w:tcBorders>
          </w:tcPr>
          <w:p w14:paraId="7DAD52D7" w14:textId="77777777" w:rsidR="007049A5" w:rsidRPr="004E4188" w:rsidRDefault="007049A5" w:rsidP="001C3B2E">
            <w:pPr>
              <w:rPr>
                <w:sz w:val="22"/>
              </w:rPr>
            </w:pPr>
          </w:p>
        </w:tc>
        <w:tc>
          <w:tcPr>
            <w:tcW w:w="1227" w:type="dxa"/>
            <w:tcBorders>
              <w:top w:val="dotted" w:sz="4" w:space="0" w:color="auto"/>
              <w:left w:val="nil"/>
              <w:bottom w:val="dotted" w:sz="4" w:space="0" w:color="auto"/>
              <w:right w:val="double" w:sz="4" w:space="0" w:color="auto"/>
            </w:tcBorders>
          </w:tcPr>
          <w:p w14:paraId="7D50047A" w14:textId="77777777" w:rsidR="007049A5" w:rsidRPr="004E4188" w:rsidRDefault="007049A5" w:rsidP="001C3B2E">
            <w:pPr>
              <w:rPr>
                <w:sz w:val="22"/>
              </w:rPr>
            </w:pPr>
          </w:p>
        </w:tc>
      </w:tr>
      <w:tr w:rsidR="007049A5" w:rsidRPr="004E4188" w14:paraId="6BAD5401" w14:textId="77777777" w:rsidTr="00510D0A">
        <w:trPr>
          <w:trHeight w:val="287"/>
        </w:trPr>
        <w:tc>
          <w:tcPr>
            <w:tcW w:w="799" w:type="dxa"/>
            <w:tcBorders>
              <w:top w:val="dotted" w:sz="4" w:space="0" w:color="auto"/>
              <w:left w:val="double" w:sz="4" w:space="0" w:color="auto"/>
              <w:bottom w:val="single" w:sz="6" w:space="0" w:color="auto"/>
              <w:right w:val="nil"/>
            </w:tcBorders>
          </w:tcPr>
          <w:p w14:paraId="0D45AECF" w14:textId="77777777" w:rsidR="007049A5" w:rsidRPr="004E4188" w:rsidRDefault="007049A5" w:rsidP="001C3B2E">
            <w:pPr>
              <w:rPr>
                <w:sz w:val="22"/>
              </w:rPr>
            </w:pPr>
          </w:p>
        </w:tc>
        <w:tc>
          <w:tcPr>
            <w:tcW w:w="2539" w:type="dxa"/>
            <w:tcBorders>
              <w:top w:val="dotted" w:sz="4" w:space="0" w:color="auto"/>
              <w:left w:val="single" w:sz="6" w:space="0" w:color="auto"/>
              <w:bottom w:val="single" w:sz="6" w:space="0" w:color="auto"/>
              <w:right w:val="single" w:sz="6" w:space="0" w:color="auto"/>
            </w:tcBorders>
          </w:tcPr>
          <w:p w14:paraId="454FF4E5" w14:textId="77777777" w:rsidR="007049A5" w:rsidRPr="004E4188" w:rsidRDefault="007049A5" w:rsidP="001C3B2E">
            <w:pPr>
              <w:rPr>
                <w:sz w:val="22"/>
              </w:rPr>
            </w:pPr>
          </w:p>
        </w:tc>
        <w:tc>
          <w:tcPr>
            <w:tcW w:w="1070" w:type="dxa"/>
            <w:tcBorders>
              <w:top w:val="dotted" w:sz="4" w:space="0" w:color="auto"/>
              <w:left w:val="nil"/>
              <w:bottom w:val="single" w:sz="6" w:space="0" w:color="auto"/>
              <w:right w:val="single" w:sz="6" w:space="0" w:color="auto"/>
            </w:tcBorders>
          </w:tcPr>
          <w:p w14:paraId="2772E0C8" w14:textId="77777777" w:rsidR="007049A5" w:rsidRPr="004E4188" w:rsidRDefault="007049A5" w:rsidP="001C3B2E">
            <w:pPr>
              <w:rPr>
                <w:sz w:val="22"/>
              </w:rPr>
            </w:pPr>
          </w:p>
        </w:tc>
        <w:tc>
          <w:tcPr>
            <w:tcW w:w="758" w:type="dxa"/>
            <w:tcBorders>
              <w:top w:val="dotted" w:sz="4" w:space="0" w:color="auto"/>
              <w:left w:val="single" w:sz="6" w:space="0" w:color="auto"/>
              <w:bottom w:val="single" w:sz="6" w:space="0" w:color="auto"/>
              <w:right w:val="nil"/>
            </w:tcBorders>
          </w:tcPr>
          <w:p w14:paraId="7D261CEA" w14:textId="77777777" w:rsidR="007049A5" w:rsidRPr="004E4188" w:rsidRDefault="007049A5" w:rsidP="001C3B2E">
            <w:pPr>
              <w:rPr>
                <w:sz w:val="22"/>
              </w:rPr>
            </w:pPr>
          </w:p>
        </w:tc>
        <w:tc>
          <w:tcPr>
            <w:tcW w:w="800" w:type="dxa"/>
            <w:tcBorders>
              <w:top w:val="dotted" w:sz="4" w:space="0" w:color="auto"/>
              <w:left w:val="single" w:sz="6" w:space="0" w:color="auto"/>
              <w:bottom w:val="single" w:sz="6" w:space="0" w:color="auto"/>
              <w:right w:val="single" w:sz="6" w:space="0" w:color="auto"/>
            </w:tcBorders>
          </w:tcPr>
          <w:p w14:paraId="3A30290E" w14:textId="77777777" w:rsidR="007049A5" w:rsidRPr="004E4188" w:rsidRDefault="007049A5" w:rsidP="001C3B2E">
            <w:pPr>
              <w:rPr>
                <w:sz w:val="22"/>
              </w:rPr>
            </w:pPr>
          </w:p>
        </w:tc>
        <w:tc>
          <w:tcPr>
            <w:tcW w:w="1165" w:type="dxa"/>
            <w:tcBorders>
              <w:top w:val="dotted" w:sz="4" w:space="0" w:color="auto"/>
              <w:left w:val="nil"/>
              <w:bottom w:val="single" w:sz="6" w:space="0" w:color="auto"/>
              <w:right w:val="nil"/>
            </w:tcBorders>
          </w:tcPr>
          <w:p w14:paraId="64A3D53A" w14:textId="77777777" w:rsidR="007049A5" w:rsidRPr="004E4188" w:rsidRDefault="007049A5" w:rsidP="001C3B2E">
            <w:pPr>
              <w:rPr>
                <w:sz w:val="22"/>
              </w:rPr>
            </w:pPr>
          </w:p>
        </w:tc>
        <w:tc>
          <w:tcPr>
            <w:tcW w:w="1293" w:type="dxa"/>
            <w:tcBorders>
              <w:top w:val="dotted" w:sz="4" w:space="0" w:color="auto"/>
              <w:left w:val="single" w:sz="6" w:space="0" w:color="auto"/>
              <w:bottom w:val="single" w:sz="6" w:space="0" w:color="auto"/>
              <w:right w:val="single" w:sz="6" w:space="0" w:color="auto"/>
            </w:tcBorders>
          </w:tcPr>
          <w:p w14:paraId="7C37F56C" w14:textId="77777777" w:rsidR="007049A5" w:rsidRPr="004E4188" w:rsidRDefault="007049A5" w:rsidP="001C3B2E">
            <w:pPr>
              <w:rPr>
                <w:sz w:val="22"/>
              </w:rPr>
            </w:pPr>
          </w:p>
        </w:tc>
        <w:tc>
          <w:tcPr>
            <w:tcW w:w="1227" w:type="dxa"/>
            <w:tcBorders>
              <w:top w:val="dotted" w:sz="4" w:space="0" w:color="auto"/>
              <w:left w:val="nil"/>
              <w:bottom w:val="single" w:sz="6" w:space="0" w:color="auto"/>
              <w:right w:val="double" w:sz="4" w:space="0" w:color="auto"/>
            </w:tcBorders>
          </w:tcPr>
          <w:p w14:paraId="09CF2AE5" w14:textId="77777777" w:rsidR="007049A5" w:rsidRPr="004E4188" w:rsidRDefault="007049A5" w:rsidP="001C3B2E">
            <w:pPr>
              <w:rPr>
                <w:sz w:val="22"/>
              </w:rPr>
            </w:pPr>
          </w:p>
        </w:tc>
      </w:tr>
      <w:tr w:rsidR="007049A5" w:rsidRPr="004E4188" w14:paraId="0546E48E" w14:textId="77777777" w:rsidTr="00510D0A">
        <w:trPr>
          <w:trHeight w:val="557"/>
        </w:trPr>
        <w:tc>
          <w:tcPr>
            <w:tcW w:w="799" w:type="dxa"/>
            <w:tcBorders>
              <w:top w:val="single" w:sz="6" w:space="0" w:color="auto"/>
              <w:left w:val="double" w:sz="4" w:space="0" w:color="auto"/>
              <w:bottom w:val="double" w:sz="4" w:space="0" w:color="auto"/>
              <w:right w:val="nil"/>
            </w:tcBorders>
          </w:tcPr>
          <w:p w14:paraId="737C88C5" w14:textId="77777777" w:rsidR="007049A5" w:rsidRPr="004E4188" w:rsidRDefault="007049A5" w:rsidP="00DD4576">
            <w:pPr>
              <w:wordWrap w:val="0"/>
              <w:jc w:val="right"/>
              <w:rPr>
                <w:sz w:val="22"/>
              </w:rPr>
            </w:pPr>
          </w:p>
        </w:tc>
        <w:tc>
          <w:tcPr>
            <w:tcW w:w="7625" w:type="dxa"/>
            <w:gridSpan w:val="6"/>
            <w:tcBorders>
              <w:top w:val="single" w:sz="6" w:space="0" w:color="auto"/>
              <w:left w:val="single" w:sz="6" w:space="0" w:color="auto"/>
              <w:bottom w:val="double" w:sz="4" w:space="0" w:color="auto"/>
              <w:right w:val="nil"/>
            </w:tcBorders>
          </w:tcPr>
          <w:p w14:paraId="0B97E8AD" w14:textId="0674C1E3" w:rsidR="007049A5" w:rsidRPr="004E4188" w:rsidRDefault="007049A5" w:rsidP="00DD4576">
            <w:pPr>
              <w:wordWrap w:val="0"/>
              <w:jc w:val="right"/>
              <w:rPr>
                <w:sz w:val="22"/>
              </w:rPr>
            </w:pPr>
            <w:r w:rsidRPr="004E4188">
              <w:rPr>
                <w:sz w:val="22"/>
              </w:rPr>
              <w:t>Total du</w:t>
            </w:r>
            <w:r w:rsidRPr="004E4188">
              <w:rPr>
                <w:sz w:val="22"/>
                <w:lang w:eastAsia="ja-JP"/>
              </w:rPr>
              <w:t xml:space="preserve"> </w:t>
            </w:r>
            <w:r w:rsidRPr="004E4188">
              <w:rPr>
                <w:sz w:val="22"/>
              </w:rPr>
              <w:t xml:space="preserve">Bordereau n°1 </w:t>
            </w:r>
          </w:p>
          <w:p w14:paraId="5DC5F91B" w14:textId="2C2E823A" w:rsidR="007049A5" w:rsidRPr="004E4188" w:rsidRDefault="007049A5" w:rsidP="006C6267">
            <w:pPr>
              <w:jc w:val="right"/>
              <w:rPr>
                <w:sz w:val="22"/>
              </w:rPr>
            </w:pPr>
            <w:r w:rsidRPr="004E4188">
              <w:rPr>
                <w:sz w:val="22"/>
              </w:rPr>
              <w:t>(à reprendre dans le tableau récapitulatif, p.______)</w:t>
            </w:r>
          </w:p>
        </w:tc>
        <w:tc>
          <w:tcPr>
            <w:tcW w:w="1227" w:type="dxa"/>
            <w:tcBorders>
              <w:top w:val="single" w:sz="6" w:space="0" w:color="auto"/>
              <w:left w:val="single" w:sz="6" w:space="0" w:color="auto"/>
              <w:bottom w:val="double" w:sz="4" w:space="0" w:color="auto"/>
              <w:right w:val="double" w:sz="4" w:space="0" w:color="auto"/>
            </w:tcBorders>
          </w:tcPr>
          <w:p w14:paraId="0EF26CDC" w14:textId="77777777" w:rsidR="007049A5" w:rsidRPr="004E4188" w:rsidRDefault="007049A5" w:rsidP="001C3B2E">
            <w:pPr>
              <w:rPr>
                <w:sz w:val="22"/>
              </w:rPr>
            </w:pPr>
          </w:p>
        </w:tc>
      </w:tr>
    </w:tbl>
    <w:p w14:paraId="418C3F41" w14:textId="77777777" w:rsidR="007049A5" w:rsidRPr="004E4188" w:rsidRDefault="007049A5" w:rsidP="00942E0B">
      <w:pPr>
        <w:spacing w:beforeLines="50" w:before="120"/>
        <w:ind w:left="335" w:hanging="335"/>
        <w:rPr>
          <w:sz w:val="22"/>
          <w:vertAlign w:val="superscript"/>
        </w:rPr>
      </w:pPr>
    </w:p>
    <w:p w14:paraId="3C63876A" w14:textId="77777777" w:rsidR="007049A5" w:rsidRPr="004E4188" w:rsidRDefault="007049A5" w:rsidP="00942E0B">
      <w:pPr>
        <w:spacing w:beforeLines="50" w:before="120"/>
        <w:ind w:left="335" w:hanging="335"/>
        <w:rPr>
          <w:szCs w:val="24"/>
          <w:u w:val="single"/>
        </w:rPr>
      </w:pPr>
      <w:r w:rsidRPr="004E4188">
        <w:rPr>
          <w:rFonts w:hint="eastAsia"/>
          <w:szCs w:val="24"/>
          <w:u w:val="single"/>
        </w:rPr>
        <w:t>N</w:t>
      </w:r>
      <w:r w:rsidRPr="004E4188">
        <w:rPr>
          <w:szCs w:val="24"/>
          <w:u w:val="single"/>
        </w:rPr>
        <w:t>otes à l’intention des Soumissionnaires</w:t>
      </w:r>
    </w:p>
    <w:p w14:paraId="514ECF70" w14:textId="0F46AFC8" w:rsidR="007049A5" w:rsidRPr="004E4188" w:rsidRDefault="007049A5" w:rsidP="00942E0B">
      <w:pPr>
        <w:spacing w:beforeLines="50" w:before="120"/>
        <w:ind w:left="335" w:hanging="335"/>
        <w:rPr>
          <w:szCs w:val="24"/>
        </w:rPr>
      </w:pPr>
      <w:r w:rsidRPr="004E4188">
        <w:rPr>
          <w:szCs w:val="24"/>
        </w:rPr>
        <w:t>1</w:t>
      </w:r>
      <w:r w:rsidR="00110963" w:rsidRPr="004E4188">
        <w:rPr>
          <w:szCs w:val="24"/>
        </w:rPr>
        <w:t>.</w:t>
      </w:r>
      <w:r w:rsidRPr="004E4188">
        <w:rPr>
          <w:szCs w:val="24"/>
        </w:rPr>
        <w:tab/>
        <w:t>Indiquer un code représentant le pays d’origine de tous les matériels et équipements importés.</w:t>
      </w:r>
    </w:p>
    <w:p w14:paraId="5778E509" w14:textId="25D254CA" w:rsidR="007049A5" w:rsidRPr="004E4188" w:rsidRDefault="007049A5" w:rsidP="00942E0B">
      <w:pPr>
        <w:ind w:left="360" w:hanging="360"/>
        <w:rPr>
          <w:szCs w:val="24"/>
        </w:rPr>
      </w:pPr>
      <w:r w:rsidRPr="004E4188">
        <w:rPr>
          <w:szCs w:val="24"/>
        </w:rPr>
        <w:t>2</w:t>
      </w:r>
      <w:r w:rsidR="00110963" w:rsidRPr="004E4188">
        <w:rPr>
          <w:szCs w:val="24"/>
        </w:rPr>
        <w:t>.</w:t>
      </w:r>
      <w:r w:rsidRPr="004E4188">
        <w:rPr>
          <w:szCs w:val="24"/>
        </w:rPr>
        <w:tab/>
        <w:t>Insérer et utiliser autant de colonnes pour les « Prix unitaire » et « Prix total » qu’il y a de monnaies.</w:t>
      </w:r>
    </w:p>
    <w:p w14:paraId="53F772F2" w14:textId="77777777" w:rsidR="007049A5" w:rsidRPr="004E4188" w:rsidRDefault="007049A5" w:rsidP="00942E0B">
      <w:pPr>
        <w:ind w:left="360" w:hanging="360"/>
        <w:rPr>
          <w:i/>
          <w:szCs w:val="24"/>
        </w:rPr>
      </w:pPr>
    </w:p>
    <w:p w14:paraId="087AE0C6" w14:textId="77777777" w:rsidR="007049A5" w:rsidRPr="004E4188" w:rsidRDefault="007049A5" w:rsidP="00937423">
      <w:pPr>
        <w:ind w:hanging="540"/>
      </w:pPr>
    </w:p>
    <w:p w14:paraId="6D0DB224" w14:textId="56E45EC0" w:rsidR="007049A5" w:rsidRPr="004E4188" w:rsidRDefault="007049A5" w:rsidP="00FA398B">
      <w:pPr>
        <w:pStyle w:val="SectionIVHeading2"/>
        <w:rPr>
          <w:rStyle w:val="40"/>
          <w:sz w:val="28"/>
          <w:lang w:eastAsia="en-US"/>
        </w:rPr>
      </w:pPr>
      <w:r w:rsidRPr="004E4188">
        <w:rPr>
          <w:lang w:val="fr-FR"/>
        </w:rPr>
        <w:br w:type="page"/>
      </w:r>
      <w:bookmarkStart w:id="511" w:name="_Toc357513209"/>
      <w:bookmarkStart w:id="512" w:name="_Toc112429302"/>
      <w:r w:rsidRPr="004E4188">
        <w:rPr>
          <w:rStyle w:val="40"/>
          <w:sz w:val="28"/>
          <w:lang w:eastAsia="en-US"/>
        </w:rPr>
        <w:t>Bordereau n</w:t>
      </w:r>
      <w:r w:rsidR="00762E49" w:rsidRPr="004E4188">
        <w:rPr>
          <w:vertAlign w:val="superscript"/>
        </w:rPr>
        <w:t>o</w:t>
      </w:r>
      <w:r w:rsidRPr="004E4188">
        <w:rPr>
          <w:rStyle w:val="40"/>
          <w:sz w:val="28"/>
          <w:lang w:eastAsia="en-US"/>
        </w:rPr>
        <w:t xml:space="preserve"> 2</w:t>
      </w:r>
      <w:r w:rsidRPr="004E4188">
        <w:rPr>
          <w:rStyle w:val="40"/>
          <w:sz w:val="28"/>
          <w:lang w:eastAsia="en-US"/>
        </w:rPr>
        <w:br/>
      </w:r>
      <w:r w:rsidRPr="004E4188">
        <w:rPr>
          <w:rStyle w:val="40"/>
          <w:rFonts w:hint="eastAsia"/>
          <w:sz w:val="28"/>
          <w:lang w:eastAsia="en-US"/>
        </w:rPr>
        <w:t>É</w:t>
      </w:r>
      <w:r w:rsidRPr="004E4188">
        <w:rPr>
          <w:rStyle w:val="40"/>
          <w:sz w:val="28"/>
          <w:lang w:eastAsia="en-US"/>
        </w:rPr>
        <w:t>quipements d’origine locale</w:t>
      </w:r>
      <w:bookmarkEnd w:id="511"/>
      <w:bookmarkEnd w:id="512"/>
    </w:p>
    <w:p w14:paraId="33D866F5" w14:textId="77777777" w:rsidR="007049A5" w:rsidRPr="004E4188" w:rsidRDefault="007049A5" w:rsidP="00AD2441">
      <w:pPr>
        <w:pStyle w:val="Style6"/>
        <w:rPr>
          <w:szCs w:val="24"/>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3828"/>
        <w:gridCol w:w="852"/>
        <w:gridCol w:w="1793"/>
        <w:gridCol w:w="1807"/>
      </w:tblGrid>
      <w:tr w:rsidR="007049A5" w:rsidRPr="004E4188" w14:paraId="1F92E035" w14:textId="77777777" w:rsidTr="00BE740B">
        <w:trPr>
          <w:trHeight w:val="383"/>
        </w:trPr>
        <w:tc>
          <w:tcPr>
            <w:tcW w:w="720" w:type="dxa"/>
            <w:vMerge w:val="restart"/>
            <w:tcBorders>
              <w:top w:val="double" w:sz="4" w:space="0" w:color="auto"/>
              <w:left w:val="double" w:sz="4" w:space="0" w:color="auto"/>
              <w:right w:val="nil"/>
            </w:tcBorders>
          </w:tcPr>
          <w:p w14:paraId="0FF2A49E" w14:textId="25CD1449" w:rsidR="007049A5" w:rsidRPr="004E4188" w:rsidRDefault="007049A5" w:rsidP="006C6267">
            <w:pPr>
              <w:jc w:val="center"/>
              <w:rPr>
                <w:sz w:val="22"/>
              </w:rPr>
            </w:pPr>
            <w:r w:rsidRPr="004E4188">
              <w:rPr>
                <w:i/>
                <w:sz w:val="22"/>
                <w:szCs w:val="22"/>
              </w:rPr>
              <w:t>N</w:t>
            </w:r>
            <w:r w:rsidRPr="004E4188">
              <w:rPr>
                <w:i/>
                <w:sz w:val="22"/>
                <w:szCs w:val="22"/>
                <w:vertAlign w:val="superscript"/>
              </w:rPr>
              <w:t xml:space="preserve">o </w:t>
            </w:r>
            <w:r w:rsidRPr="004E4188">
              <w:rPr>
                <w:i/>
                <w:sz w:val="22"/>
                <w:szCs w:val="22"/>
              </w:rPr>
              <w:t>du poste</w:t>
            </w:r>
          </w:p>
        </w:tc>
        <w:tc>
          <w:tcPr>
            <w:tcW w:w="3828" w:type="dxa"/>
            <w:vMerge w:val="restart"/>
            <w:tcBorders>
              <w:top w:val="double" w:sz="4" w:space="0" w:color="auto"/>
              <w:left w:val="single" w:sz="6" w:space="0" w:color="auto"/>
              <w:right w:val="single" w:sz="6" w:space="0" w:color="auto"/>
            </w:tcBorders>
          </w:tcPr>
          <w:p w14:paraId="6AA1EC2E" w14:textId="478FED17" w:rsidR="007049A5" w:rsidRPr="004E4188" w:rsidRDefault="007049A5" w:rsidP="006C6267">
            <w:pPr>
              <w:jc w:val="center"/>
              <w:rPr>
                <w:i/>
                <w:sz w:val="22"/>
              </w:rPr>
            </w:pPr>
            <w:r w:rsidRPr="004E4188">
              <w:rPr>
                <w:i/>
              </w:rPr>
              <w:t>Description</w:t>
            </w:r>
          </w:p>
        </w:tc>
        <w:tc>
          <w:tcPr>
            <w:tcW w:w="852" w:type="dxa"/>
            <w:vMerge w:val="restart"/>
            <w:tcBorders>
              <w:top w:val="double" w:sz="4" w:space="0" w:color="auto"/>
              <w:left w:val="single" w:sz="6" w:space="0" w:color="auto"/>
              <w:right w:val="single" w:sz="6" w:space="0" w:color="auto"/>
            </w:tcBorders>
          </w:tcPr>
          <w:p w14:paraId="58D77837" w14:textId="77777777" w:rsidR="00BE740B" w:rsidRPr="004E4188" w:rsidRDefault="007049A5" w:rsidP="006C6267">
            <w:pPr>
              <w:jc w:val="center"/>
              <w:rPr>
                <w:i/>
                <w:sz w:val="22"/>
              </w:rPr>
            </w:pPr>
            <w:r w:rsidRPr="004E4188">
              <w:rPr>
                <w:i/>
                <w:sz w:val="22"/>
              </w:rPr>
              <w:t>Quan</w:t>
            </w:r>
            <w:r w:rsidR="00BE740B" w:rsidRPr="004E4188">
              <w:rPr>
                <w:i/>
                <w:sz w:val="22"/>
              </w:rPr>
              <w:t>-</w:t>
            </w:r>
            <w:r w:rsidRPr="004E4188">
              <w:rPr>
                <w:i/>
                <w:sz w:val="22"/>
              </w:rPr>
              <w:t>tité</w:t>
            </w:r>
            <w:r w:rsidRPr="004E4188" w:rsidDel="00DC7746">
              <w:rPr>
                <w:i/>
                <w:sz w:val="22"/>
              </w:rPr>
              <w:t xml:space="preserve"> </w:t>
            </w:r>
          </w:p>
          <w:p w14:paraId="60EE960C" w14:textId="5D2BB3A4" w:rsidR="007049A5" w:rsidRPr="004E4188" w:rsidRDefault="007049A5" w:rsidP="006C6267">
            <w:pPr>
              <w:jc w:val="center"/>
              <w:rPr>
                <w:i/>
                <w:sz w:val="22"/>
              </w:rPr>
            </w:pPr>
            <w:r w:rsidRPr="004E4188">
              <w:rPr>
                <w:i/>
                <w:sz w:val="22"/>
              </w:rPr>
              <w:t>(1)</w:t>
            </w:r>
          </w:p>
        </w:tc>
        <w:tc>
          <w:tcPr>
            <w:tcW w:w="1793" w:type="dxa"/>
            <w:tcBorders>
              <w:top w:val="double" w:sz="4" w:space="0" w:color="auto"/>
              <w:left w:val="nil"/>
              <w:bottom w:val="single" w:sz="4" w:space="0" w:color="auto"/>
              <w:right w:val="nil"/>
            </w:tcBorders>
          </w:tcPr>
          <w:p w14:paraId="48B1AC74" w14:textId="34AE4972" w:rsidR="007049A5" w:rsidRPr="004E4188" w:rsidRDefault="007049A5" w:rsidP="006C6267">
            <w:pPr>
              <w:jc w:val="center"/>
              <w:rPr>
                <w:i/>
                <w:sz w:val="22"/>
              </w:rPr>
            </w:pPr>
            <w:r w:rsidRPr="004E4188">
              <w:rPr>
                <w:i/>
                <w:sz w:val="22"/>
              </w:rPr>
              <w:t>Prix unitaire</w:t>
            </w:r>
          </w:p>
        </w:tc>
        <w:tc>
          <w:tcPr>
            <w:tcW w:w="1807" w:type="dxa"/>
            <w:vMerge w:val="restart"/>
            <w:tcBorders>
              <w:top w:val="double" w:sz="4" w:space="0" w:color="auto"/>
              <w:left w:val="single" w:sz="6" w:space="0" w:color="auto"/>
              <w:right w:val="double" w:sz="4" w:space="0" w:color="auto"/>
            </w:tcBorders>
          </w:tcPr>
          <w:p w14:paraId="6331C2C4" w14:textId="1D4463D9" w:rsidR="007049A5" w:rsidRPr="004E4188" w:rsidRDefault="007049A5" w:rsidP="006C6267">
            <w:pPr>
              <w:jc w:val="center"/>
              <w:rPr>
                <w:i/>
                <w:sz w:val="22"/>
              </w:rPr>
            </w:pPr>
            <w:r w:rsidRPr="004E4188">
              <w:rPr>
                <w:i/>
                <w:sz w:val="22"/>
              </w:rPr>
              <w:t xml:space="preserve">Prix total </w:t>
            </w:r>
          </w:p>
          <w:p w14:paraId="0709D73C" w14:textId="77777777" w:rsidR="007049A5" w:rsidRPr="004E4188" w:rsidRDefault="007049A5" w:rsidP="006C6267">
            <w:pPr>
              <w:jc w:val="center"/>
              <w:rPr>
                <w:i/>
                <w:sz w:val="22"/>
              </w:rPr>
            </w:pPr>
            <w:r w:rsidRPr="004E4188">
              <w:rPr>
                <w:i/>
                <w:sz w:val="22"/>
              </w:rPr>
              <w:t>(1) x (2)</w:t>
            </w:r>
          </w:p>
        </w:tc>
      </w:tr>
      <w:tr w:rsidR="007049A5" w:rsidRPr="004E4188" w14:paraId="530F842B" w14:textId="77777777" w:rsidTr="00D95CED">
        <w:trPr>
          <w:trHeight w:val="374"/>
        </w:trPr>
        <w:tc>
          <w:tcPr>
            <w:tcW w:w="720" w:type="dxa"/>
            <w:vMerge/>
            <w:tcBorders>
              <w:left w:val="double" w:sz="4" w:space="0" w:color="auto"/>
              <w:bottom w:val="single" w:sz="6" w:space="0" w:color="auto"/>
              <w:right w:val="nil"/>
            </w:tcBorders>
          </w:tcPr>
          <w:p w14:paraId="60B008B3" w14:textId="77777777" w:rsidR="007049A5" w:rsidRPr="004E4188" w:rsidRDefault="007049A5" w:rsidP="006C6267">
            <w:pPr>
              <w:jc w:val="center"/>
              <w:rPr>
                <w:sz w:val="22"/>
              </w:rPr>
            </w:pPr>
          </w:p>
        </w:tc>
        <w:tc>
          <w:tcPr>
            <w:tcW w:w="3828" w:type="dxa"/>
            <w:vMerge/>
            <w:tcBorders>
              <w:left w:val="single" w:sz="6" w:space="0" w:color="auto"/>
              <w:bottom w:val="single" w:sz="6" w:space="0" w:color="auto"/>
              <w:right w:val="single" w:sz="6" w:space="0" w:color="auto"/>
            </w:tcBorders>
          </w:tcPr>
          <w:p w14:paraId="5C4AA4C0" w14:textId="77777777" w:rsidR="007049A5" w:rsidRPr="004E4188" w:rsidRDefault="007049A5" w:rsidP="006C6267">
            <w:pPr>
              <w:jc w:val="center"/>
              <w:rPr>
                <w:sz w:val="22"/>
              </w:rPr>
            </w:pPr>
          </w:p>
        </w:tc>
        <w:tc>
          <w:tcPr>
            <w:tcW w:w="852" w:type="dxa"/>
            <w:vMerge/>
            <w:tcBorders>
              <w:left w:val="single" w:sz="6" w:space="0" w:color="auto"/>
              <w:bottom w:val="single" w:sz="6" w:space="0" w:color="auto"/>
              <w:right w:val="single" w:sz="6" w:space="0" w:color="auto"/>
            </w:tcBorders>
          </w:tcPr>
          <w:p w14:paraId="369F3EE7" w14:textId="77777777" w:rsidR="007049A5" w:rsidRPr="004E4188" w:rsidRDefault="007049A5" w:rsidP="006C6267">
            <w:pPr>
              <w:jc w:val="center"/>
              <w:rPr>
                <w:sz w:val="22"/>
              </w:rPr>
            </w:pPr>
          </w:p>
        </w:tc>
        <w:tc>
          <w:tcPr>
            <w:tcW w:w="1793" w:type="dxa"/>
            <w:tcBorders>
              <w:top w:val="single" w:sz="4" w:space="0" w:color="auto"/>
              <w:left w:val="nil"/>
              <w:bottom w:val="single" w:sz="6" w:space="0" w:color="auto"/>
              <w:right w:val="nil"/>
            </w:tcBorders>
            <w:vAlign w:val="center"/>
          </w:tcPr>
          <w:p w14:paraId="163D0601" w14:textId="77777777" w:rsidR="007049A5" w:rsidRPr="004E4188" w:rsidRDefault="007049A5" w:rsidP="006C6267">
            <w:pPr>
              <w:jc w:val="center"/>
              <w:rPr>
                <w:sz w:val="22"/>
              </w:rPr>
            </w:pPr>
            <w:r w:rsidRPr="004E4188">
              <w:rPr>
                <w:i/>
                <w:sz w:val="22"/>
              </w:rPr>
              <w:t>(2)</w:t>
            </w:r>
          </w:p>
        </w:tc>
        <w:tc>
          <w:tcPr>
            <w:tcW w:w="1807" w:type="dxa"/>
            <w:vMerge/>
            <w:tcBorders>
              <w:left w:val="single" w:sz="6" w:space="0" w:color="auto"/>
              <w:bottom w:val="single" w:sz="6" w:space="0" w:color="auto"/>
              <w:right w:val="double" w:sz="4" w:space="0" w:color="auto"/>
            </w:tcBorders>
          </w:tcPr>
          <w:p w14:paraId="3E1BFEEC" w14:textId="77777777" w:rsidR="007049A5" w:rsidRPr="004E4188" w:rsidRDefault="007049A5" w:rsidP="006C6267">
            <w:pPr>
              <w:jc w:val="center"/>
              <w:rPr>
                <w:sz w:val="22"/>
              </w:rPr>
            </w:pPr>
          </w:p>
        </w:tc>
      </w:tr>
      <w:tr w:rsidR="007049A5" w:rsidRPr="004E4188" w14:paraId="0EDEC932" w14:textId="77777777" w:rsidTr="00D95CED">
        <w:tc>
          <w:tcPr>
            <w:tcW w:w="720" w:type="dxa"/>
            <w:tcBorders>
              <w:top w:val="single" w:sz="6" w:space="0" w:color="auto"/>
              <w:left w:val="double" w:sz="4" w:space="0" w:color="auto"/>
              <w:bottom w:val="dotted" w:sz="4" w:space="0" w:color="auto"/>
              <w:right w:val="nil"/>
            </w:tcBorders>
          </w:tcPr>
          <w:p w14:paraId="154E36B2" w14:textId="77777777" w:rsidR="007049A5" w:rsidRPr="004E4188" w:rsidRDefault="007049A5" w:rsidP="006C6267">
            <w:pPr>
              <w:rPr>
                <w:sz w:val="22"/>
              </w:rPr>
            </w:pPr>
            <w:r w:rsidRPr="004E4188">
              <w:rPr>
                <w:rFonts w:hint="eastAsia"/>
                <w:sz w:val="22"/>
                <w:lang w:eastAsia="ja-JP"/>
              </w:rPr>
              <w:t>2</w:t>
            </w:r>
            <w:r w:rsidRPr="004E4188">
              <w:rPr>
                <w:sz w:val="22"/>
                <w:lang w:eastAsia="ja-JP"/>
              </w:rPr>
              <w:t>01</w:t>
            </w:r>
          </w:p>
        </w:tc>
        <w:tc>
          <w:tcPr>
            <w:tcW w:w="3828" w:type="dxa"/>
            <w:tcBorders>
              <w:top w:val="single" w:sz="6" w:space="0" w:color="auto"/>
              <w:left w:val="single" w:sz="6" w:space="0" w:color="auto"/>
              <w:bottom w:val="dotted" w:sz="4" w:space="0" w:color="auto"/>
              <w:right w:val="single" w:sz="6" w:space="0" w:color="auto"/>
            </w:tcBorders>
          </w:tcPr>
          <w:p w14:paraId="749512AB" w14:textId="77777777" w:rsidR="007049A5" w:rsidRPr="004E4188" w:rsidRDefault="007049A5" w:rsidP="006C6267">
            <w:pPr>
              <w:rPr>
                <w:sz w:val="22"/>
              </w:rPr>
            </w:pPr>
          </w:p>
        </w:tc>
        <w:tc>
          <w:tcPr>
            <w:tcW w:w="852" w:type="dxa"/>
            <w:tcBorders>
              <w:top w:val="single" w:sz="6" w:space="0" w:color="auto"/>
              <w:left w:val="single" w:sz="6" w:space="0" w:color="auto"/>
              <w:bottom w:val="dotted" w:sz="4" w:space="0" w:color="auto"/>
              <w:right w:val="single" w:sz="6" w:space="0" w:color="auto"/>
            </w:tcBorders>
          </w:tcPr>
          <w:p w14:paraId="15FA1951" w14:textId="77777777" w:rsidR="007049A5" w:rsidRPr="004E4188" w:rsidRDefault="007049A5" w:rsidP="006C6267">
            <w:pPr>
              <w:rPr>
                <w:sz w:val="22"/>
              </w:rPr>
            </w:pPr>
          </w:p>
        </w:tc>
        <w:tc>
          <w:tcPr>
            <w:tcW w:w="1793" w:type="dxa"/>
            <w:tcBorders>
              <w:top w:val="single" w:sz="6" w:space="0" w:color="auto"/>
              <w:left w:val="nil"/>
              <w:bottom w:val="dotted" w:sz="4" w:space="0" w:color="auto"/>
              <w:right w:val="single" w:sz="6" w:space="0" w:color="auto"/>
            </w:tcBorders>
          </w:tcPr>
          <w:p w14:paraId="36AA012F" w14:textId="77777777" w:rsidR="007049A5" w:rsidRPr="004E4188" w:rsidRDefault="007049A5" w:rsidP="006C6267">
            <w:pPr>
              <w:rPr>
                <w:sz w:val="22"/>
              </w:rPr>
            </w:pPr>
          </w:p>
        </w:tc>
        <w:tc>
          <w:tcPr>
            <w:tcW w:w="1807" w:type="dxa"/>
            <w:tcBorders>
              <w:top w:val="single" w:sz="6" w:space="0" w:color="auto"/>
              <w:left w:val="nil"/>
              <w:bottom w:val="dotted" w:sz="4" w:space="0" w:color="auto"/>
              <w:right w:val="double" w:sz="4" w:space="0" w:color="auto"/>
            </w:tcBorders>
          </w:tcPr>
          <w:p w14:paraId="32FC29DD" w14:textId="77777777" w:rsidR="007049A5" w:rsidRPr="004E4188" w:rsidRDefault="007049A5" w:rsidP="006C6267">
            <w:pPr>
              <w:rPr>
                <w:sz w:val="22"/>
              </w:rPr>
            </w:pPr>
          </w:p>
        </w:tc>
      </w:tr>
      <w:tr w:rsidR="007049A5" w:rsidRPr="004E4188" w14:paraId="3150F749" w14:textId="77777777" w:rsidTr="00D95CED">
        <w:tc>
          <w:tcPr>
            <w:tcW w:w="720" w:type="dxa"/>
            <w:tcBorders>
              <w:top w:val="dotted" w:sz="4" w:space="0" w:color="auto"/>
              <w:left w:val="double" w:sz="4" w:space="0" w:color="auto"/>
              <w:bottom w:val="dotted" w:sz="4" w:space="0" w:color="auto"/>
              <w:right w:val="nil"/>
            </w:tcBorders>
          </w:tcPr>
          <w:p w14:paraId="13D948B3" w14:textId="77777777" w:rsidR="007049A5" w:rsidRPr="004E4188" w:rsidRDefault="007049A5" w:rsidP="006C6267">
            <w:pPr>
              <w:rPr>
                <w:sz w:val="22"/>
              </w:rPr>
            </w:pPr>
            <w:r w:rsidRPr="004E4188">
              <w:rPr>
                <w:sz w:val="22"/>
                <w:lang w:eastAsia="ja-JP"/>
              </w:rPr>
              <w:t>202</w:t>
            </w:r>
          </w:p>
        </w:tc>
        <w:tc>
          <w:tcPr>
            <w:tcW w:w="3828" w:type="dxa"/>
            <w:tcBorders>
              <w:top w:val="dotted" w:sz="4" w:space="0" w:color="auto"/>
              <w:left w:val="single" w:sz="6" w:space="0" w:color="auto"/>
              <w:bottom w:val="dotted" w:sz="4" w:space="0" w:color="auto"/>
              <w:right w:val="single" w:sz="6" w:space="0" w:color="auto"/>
            </w:tcBorders>
          </w:tcPr>
          <w:p w14:paraId="11C6C416" w14:textId="77777777" w:rsidR="007049A5" w:rsidRPr="004E4188" w:rsidRDefault="007049A5" w:rsidP="006C6267">
            <w:pPr>
              <w:rPr>
                <w:sz w:val="22"/>
              </w:rPr>
            </w:pPr>
          </w:p>
        </w:tc>
        <w:tc>
          <w:tcPr>
            <w:tcW w:w="852" w:type="dxa"/>
            <w:tcBorders>
              <w:top w:val="dotted" w:sz="4" w:space="0" w:color="auto"/>
              <w:left w:val="single" w:sz="6" w:space="0" w:color="auto"/>
              <w:bottom w:val="dotted" w:sz="4" w:space="0" w:color="auto"/>
              <w:right w:val="single" w:sz="6" w:space="0" w:color="auto"/>
            </w:tcBorders>
          </w:tcPr>
          <w:p w14:paraId="115D374B" w14:textId="77777777" w:rsidR="007049A5" w:rsidRPr="004E4188" w:rsidRDefault="007049A5" w:rsidP="006C6267">
            <w:pPr>
              <w:rPr>
                <w:sz w:val="22"/>
              </w:rPr>
            </w:pPr>
          </w:p>
        </w:tc>
        <w:tc>
          <w:tcPr>
            <w:tcW w:w="1793" w:type="dxa"/>
            <w:tcBorders>
              <w:top w:val="dotted" w:sz="4" w:space="0" w:color="auto"/>
              <w:left w:val="nil"/>
              <w:bottom w:val="dotted" w:sz="4" w:space="0" w:color="auto"/>
              <w:right w:val="single" w:sz="6" w:space="0" w:color="auto"/>
            </w:tcBorders>
          </w:tcPr>
          <w:p w14:paraId="401EEDAC" w14:textId="77777777" w:rsidR="007049A5" w:rsidRPr="004E4188" w:rsidRDefault="007049A5" w:rsidP="006C6267">
            <w:pPr>
              <w:rPr>
                <w:sz w:val="22"/>
              </w:rPr>
            </w:pPr>
          </w:p>
        </w:tc>
        <w:tc>
          <w:tcPr>
            <w:tcW w:w="1807" w:type="dxa"/>
            <w:tcBorders>
              <w:top w:val="dotted" w:sz="4" w:space="0" w:color="auto"/>
              <w:left w:val="nil"/>
              <w:bottom w:val="dotted" w:sz="4" w:space="0" w:color="auto"/>
              <w:right w:val="double" w:sz="4" w:space="0" w:color="auto"/>
            </w:tcBorders>
          </w:tcPr>
          <w:p w14:paraId="7D90A683" w14:textId="77777777" w:rsidR="007049A5" w:rsidRPr="004E4188" w:rsidRDefault="007049A5" w:rsidP="006C6267">
            <w:pPr>
              <w:rPr>
                <w:sz w:val="22"/>
              </w:rPr>
            </w:pPr>
          </w:p>
        </w:tc>
      </w:tr>
      <w:tr w:rsidR="007049A5" w:rsidRPr="004E4188" w14:paraId="7487B57E" w14:textId="77777777" w:rsidTr="00D95CED">
        <w:tc>
          <w:tcPr>
            <w:tcW w:w="720" w:type="dxa"/>
            <w:tcBorders>
              <w:top w:val="dotted" w:sz="4" w:space="0" w:color="auto"/>
              <w:left w:val="double" w:sz="4" w:space="0" w:color="auto"/>
              <w:bottom w:val="dotted" w:sz="4" w:space="0" w:color="auto"/>
              <w:right w:val="nil"/>
            </w:tcBorders>
          </w:tcPr>
          <w:p w14:paraId="0A2B8390" w14:textId="77777777" w:rsidR="007049A5" w:rsidRPr="004E4188" w:rsidRDefault="007049A5" w:rsidP="006C6267">
            <w:pPr>
              <w:rPr>
                <w:sz w:val="22"/>
              </w:rPr>
            </w:pPr>
            <w:r w:rsidRPr="004E4188">
              <w:rPr>
                <w:sz w:val="22"/>
                <w:lang w:eastAsia="ja-JP"/>
              </w:rPr>
              <w:t>203</w:t>
            </w:r>
          </w:p>
        </w:tc>
        <w:tc>
          <w:tcPr>
            <w:tcW w:w="3828" w:type="dxa"/>
            <w:tcBorders>
              <w:top w:val="dotted" w:sz="4" w:space="0" w:color="auto"/>
              <w:left w:val="single" w:sz="6" w:space="0" w:color="auto"/>
              <w:bottom w:val="dotted" w:sz="4" w:space="0" w:color="auto"/>
              <w:right w:val="single" w:sz="6" w:space="0" w:color="auto"/>
            </w:tcBorders>
          </w:tcPr>
          <w:p w14:paraId="4262EF33" w14:textId="77777777" w:rsidR="007049A5" w:rsidRPr="004E4188" w:rsidRDefault="007049A5" w:rsidP="006C6267">
            <w:pPr>
              <w:rPr>
                <w:sz w:val="22"/>
              </w:rPr>
            </w:pPr>
          </w:p>
        </w:tc>
        <w:tc>
          <w:tcPr>
            <w:tcW w:w="852" w:type="dxa"/>
            <w:tcBorders>
              <w:top w:val="dotted" w:sz="4" w:space="0" w:color="auto"/>
              <w:left w:val="single" w:sz="6" w:space="0" w:color="auto"/>
              <w:bottom w:val="dotted" w:sz="4" w:space="0" w:color="auto"/>
              <w:right w:val="single" w:sz="6" w:space="0" w:color="auto"/>
            </w:tcBorders>
          </w:tcPr>
          <w:p w14:paraId="687F40BB" w14:textId="77777777" w:rsidR="007049A5" w:rsidRPr="004E4188" w:rsidRDefault="007049A5" w:rsidP="006C6267">
            <w:pPr>
              <w:rPr>
                <w:sz w:val="22"/>
              </w:rPr>
            </w:pPr>
          </w:p>
        </w:tc>
        <w:tc>
          <w:tcPr>
            <w:tcW w:w="1793" w:type="dxa"/>
            <w:tcBorders>
              <w:top w:val="dotted" w:sz="4" w:space="0" w:color="auto"/>
              <w:left w:val="nil"/>
              <w:bottom w:val="dotted" w:sz="4" w:space="0" w:color="auto"/>
              <w:right w:val="single" w:sz="6" w:space="0" w:color="auto"/>
            </w:tcBorders>
          </w:tcPr>
          <w:p w14:paraId="74E33187" w14:textId="77777777" w:rsidR="007049A5" w:rsidRPr="004E4188" w:rsidRDefault="007049A5" w:rsidP="006C6267">
            <w:pPr>
              <w:rPr>
                <w:sz w:val="22"/>
              </w:rPr>
            </w:pPr>
          </w:p>
        </w:tc>
        <w:tc>
          <w:tcPr>
            <w:tcW w:w="1807" w:type="dxa"/>
            <w:tcBorders>
              <w:top w:val="dotted" w:sz="4" w:space="0" w:color="auto"/>
              <w:left w:val="nil"/>
              <w:bottom w:val="dotted" w:sz="4" w:space="0" w:color="auto"/>
              <w:right w:val="double" w:sz="4" w:space="0" w:color="auto"/>
            </w:tcBorders>
          </w:tcPr>
          <w:p w14:paraId="4AF001F3" w14:textId="77777777" w:rsidR="007049A5" w:rsidRPr="004E4188" w:rsidRDefault="007049A5" w:rsidP="006C6267">
            <w:pPr>
              <w:rPr>
                <w:sz w:val="22"/>
              </w:rPr>
            </w:pPr>
          </w:p>
        </w:tc>
      </w:tr>
      <w:tr w:rsidR="007049A5" w:rsidRPr="004E4188" w14:paraId="0C6AD0B6" w14:textId="77777777" w:rsidTr="00D95CED">
        <w:tc>
          <w:tcPr>
            <w:tcW w:w="720" w:type="dxa"/>
            <w:tcBorders>
              <w:top w:val="dotted" w:sz="4" w:space="0" w:color="auto"/>
              <w:left w:val="double" w:sz="4" w:space="0" w:color="auto"/>
              <w:bottom w:val="dotted" w:sz="4" w:space="0" w:color="auto"/>
              <w:right w:val="nil"/>
            </w:tcBorders>
          </w:tcPr>
          <w:p w14:paraId="154AAA66" w14:textId="77777777" w:rsidR="007049A5" w:rsidRPr="004E4188" w:rsidRDefault="007049A5" w:rsidP="006C6267">
            <w:pPr>
              <w:rPr>
                <w:sz w:val="22"/>
              </w:rPr>
            </w:pPr>
            <w:r w:rsidRPr="004E4188">
              <w:rPr>
                <w:sz w:val="22"/>
                <w:lang w:eastAsia="ja-JP"/>
              </w:rPr>
              <w:t>204</w:t>
            </w:r>
          </w:p>
        </w:tc>
        <w:tc>
          <w:tcPr>
            <w:tcW w:w="3828" w:type="dxa"/>
            <w:tcBorders>
              <w:top w:val="dotted" w:sz="4" w:space="0" w:color="auto"/>
              <w:left w:val="single" w:sz="6" w:space="0" w:color="auto"/>
              <w:bottom w:val="dotted" w:sz="4" w:space="0" w:color="auto"/>
              <w:right w:val="single" w:sz="6" w:space="0" w:color="auto"/>
            </w:tcBorders>
          </w:tcPr>
          <w:p w14:paraId="6C77B5D6" w14:textId="77777777" w:rsidR="007049A5" w:rsidRPr="004E4188" w:rsidRDefault="007049A5" w:rsidP="006C6267">
            <w:pPr>
              <w:rPr>
                <w:sz w:val="22"/>
              </w:rPr>
            </w:pPr>
          </w:p>
        </w:tc>
        <w:tc>
          <w:tcPr>
            <w:tcW w:w="852" w:type="dxa"/>
            <w:tcBorders>
              <w:top w:val="dotted" w:sz="4" w:space="0" w:color="auto"/>
              <w:left w:val="single" w:sz="6" w:space="0" w:color="auto"/>
              <w:bottom w:val="dotted" w:sz="4" w:space="0" w:color="auto"/>
              <w:right w:val="single" w:sz="6" w:space="0" w:color="auto"/>
            </w:tcBorders>
          </w:tcPr>
          <w:p w14:paraId="4787C814" w14:textId="77777777" w:rsidR="007049A5" w:rsidRPr="004E4188" w:rsidRDefault="007049A5" w:rsidP="006C6267">
            <w:pPr>
              <w:rPr>
                <w:sz w:val="22"/>
              </w:rPr>
            </w:pPr>
          </w:p>
        </w:tc>
        <w:tc>
          <w:tcPr>
            <w:tcW w:w="1793" w:type="dxa"/>
            <w:tcBorders>
              <w:top w:val="dotted" w:sz="4" w:space="0" w:color="auto"/>
              <w:left w:val="nil"/>
              <w:bottom w:val="dotted" w:sz="4" w:space="0" w:color="auto"/>
              <w:right w:val="single" w:sz="6" w:space="0" w:color="auto"/>
            </w:tcBorders>
          </w:tcPr>
          <w:p w14:paraId="3F13927D" w14:textId="77777777" w:rsidR="007049A5" w:rsidRPr="004E4188" w:rsidRDefault="007049A5" w:rsidP="006C6267">
            <w:pPr>
              <w:rPr>
                <w:sz w:val="22"/>
              </w:rPr>
            </w:pPr>
          </w:p>
        </w:tc>
        <w:tc>
          <w:tcPr>
            <w:tcW w:w="1807" w:type="dxa"/>
            <w:tcBorders>
              <w:top w:val="dotted" w:sz="4" w:space="0" w:color="auto"/>
              <w:left w:val="nil"/>
              <w:bottom w:val="dotted" w:sz="4" w:space="0" w:color="auto"/>
              <w:right w:val="double" w:sz="4" w:space="0" w:color="auto"/>
            </w:tcBorders>
          </w:tcPr>
          <w:p w14:paraId="6CE79C79" w14:textId="77777777" w:rsidR="007049A5" w:rsidRPr="004E4188" w:rsidRDefault="007049A5" w:rsidP="006C6267">
            <w:pPr>
              <w:rPr>
                <w:sz w:val="22"/>
              </w:rPr>
            </w:pPr>
          </w:p>
        </w:tc>
      </w:tr>
      <w:tr w:rsidR="007049A5" w:rsidRPr="004E4188" w14:paraId="12374269" w14:textId="77777777" w:rsidTr="00D95CED">
        <w:tc>
          <w:tcPr>
            <w:tcW w:w="720" w:type="dxa"/>
            <w:tcBorders>
              <w:top w:val="dotted" w:sz="4" w:space="0" w:color="auto"/>
              <w:left w:val="double" w:sz="4" w:space="0" w:color="auto"/>
              <w:bottom w:val="dotted" w:sz="4" w:space="0" w:color="auto"/>
              <w:right w:val="nil"/>
            </w:tcBorders>
          </w:tcPr>
          <w:p w14:paraId="78D5883E" w14:textId="77777777" w:rsidR="007049A5" w:rsidRPr="004E4188" w:rsidRDefault="007049A5" w:rsidP="006C6267">
            <w:pPr>
              <w:rPr>
                <w:sz w:val="22"/>
              </w:rPr>
            </w:pPr>
            <w:r w:rsidRPr="004E4188">
              <w:rPr>
                <w:sz w:val="22"/>
                <w:lang w:eastAsia="ja-JP"/>
              </w:rPr>
              <w:t>205</w:t>
            </w:r>
          </w:p>
        </w:tc>
        <w:tc>
          <w:tcPr>
            <w:tcW w:w="3828" w:type="dxa"/>
            <w:tcBorders>
              <w:top w:val="dotted" w:sz="4" w:space="0" w:color="auto"/>
              <w:left w:val="single" w:sz="6" w:space="0" w:color="auto"/>
              <w:bottom w:val="dotted" w:sz="4" w:space="0" w:color="auto"/>
              <w:right w:val="single" w:sz="6" w:space="0" w:color="auto"/>
            </w:tcBorders>
          </w:tcPr>
          <w:p w14:paraId="32D8A038" w14:textId="77777777" w:rsidR="007049A5" w:rsidRPr="004E4188" w:rsidRDefault="007049A5" w:rsidP="006C6267">
            <w:pPr>
              <w:rPr>
                <w:sz w:val="22"/>
              </w:rPr>
            </w:pPr>
          </w:p>
        </w:tc>
        <w:tc>
          <w:tcPr>
            <w:tcW w:w="852" w:type="dxa"/>
            <w:tcBorders>
              <w:top w:val="dotted" w:sz="4" w:space="0" w:color="auto"/>
              <w:left w:val="single" w:sz="6" w:space="0" w:color="auto"/>
              <w:bottom w:val="dotted" w:sz="4" w:space="0" w:color="auto"/>
              <w:right w:val="single" w:sz="6" w:space="0" w:color="auto"/>
            </w:tcBorders>
          </w:tcPr>
          <w:p w14:paraId="3B875B30" w14:textId="77777777" w:rsidR="007049A5" w:rsidRPr="004E4188" w:rsidRDefault="007049A5" w:rsidP="006C6267">
            <w:pPr>
              <w:rPr>
                <w:sz w:val="22"/>
              </w:rPr>
            </w:pPr>
          </w:p>
        </w:tc>
        <w:tc>
          <w:tcPr>
            <w:tcW w:w="1793" w:type="dxa"/>
            <w:tcBorders>
              <w:top w:val="dotted" w:sz="4" w:space="0" w:color="auto"/>
              <w:left w:val="nil"/>
              <w:bottom w:val="dotted" w:sz="4" w:space="0" w:color="auto"/>
              <w:right w:val="single" w:sz="6" w:space="0" w:color="auto"/>
            </w:tcBorders>
          </w:tcPr>
          <w:p w14:paraId="52C207EB" w14:textId="77777777" w:rsidR="007049A5" w:rsidRPr="004E4188" w:rsidRDefault="007049A5" w:rsidP="006C6267">
            <w:pPr>
              <w:rPr>
                <w:sz w:val="22"/>
              </w:rPr>
            </w:pPr>
          </w:p>
        </w:tc>
        <w:tc>
          <w:tcPr>
            <w:tcW w:w="1807" w:type="dxa"/>
            <w:tcBorders>
              <w:top w:val="dotted" w:sz="4" w:space="0" w:color="auto"/>
              <w:left w:val="nil"/>
              <w:bottom w:val="dotted" w:sz="4" w:space="0" w:color="auto"/>
              <w:right w:val="double" w:sz="4" w:space="0" w:color="auto"/>
            </w:tcBorders>
          </w:tcPr>
          <w:p w14:paraId="78B6A726" w14:textId="77777777" w:rsidR="007049A5" w:rsidRPr="004E4188" w:rsidRDefault="007049A5" w:rsidP="006C6267">
            <w:pPr>
              <w:rPr>
                <w:sz w:val="22"/>
              </w:rPr>
            </w:pPr>
          </w:p>
        </w:tc>
      </w:tr>
      <w:tr w:rsidR="007049A5" w:rsidRPr="004E4188" w14:paraId="31A8E704" w14:textId="77777777" w:rsidTr="00D95CED">
        <w:tc>
          <w:tcPr>
            <w:tcW w:w="720" w:type="dxa"/>
            <w:tcBorders>
              <w:top w:val="dotted" w:sz="4" w:space="0" w:color="auto"/>
              <w:left w:val="double" w:sz="4" w:space="0" w:color="auto"/>
              <w:bottom w:val="dotted" w:sz="4" w:space="0" w:color="auto"/>
              <w:right w:val="nil"/>
            </w:tcBorders>
          </w:tcPr>
          <w:p w14:paraId="6CFB754F" w14:textId="77777777" w:rsidR="007049A5" w:rsidRPr="004E4188" w:rsidRDefault="007049A5" w:rsidP="006C6267">
            <w:pPr>
              <w:rPr>
                <w:sz w:val="22"/>
              </w:rPr>
            </w:pPr>
            <w:r w:rsidRPr="004E4188">
              <w:rPr>
                <w:sz w:val="22"/>
                <w:lang w:eastAsia="ja-JP"/>
              </w:rPr>
              <w:t>206</w:t>
            </w:r>
          </w:p>
        </w:tc>
        <w:tc>
          <w:tcPr>
            <w:tcW w:w="3828" w:type="dxa"/>
            <w:tcBorders>
              <w:top w:val="dotted" w:sz="4" w:space="0" w:color="auto"/>
              <w:left w:val="single" w:sz="6" w:space="0" w:color="auto"/>
              <w:bottom w:val="dotted" w:sz="4" w:space="0" w:color="auto"/>
              <w:right w:val="single" w:sz="6" w:space="0" w:color="auto"/>
            </w:tcBorders>
          </w:tcPr>
          <w:p w14:paraId="05D03643" w14:textId="77777777" w:rsidR="007049A5" w:rsidRPr="004E4188" w:rsidRDefault="007049A5" w:rsidP="006C6267">
            <w:pPr>
              <w:rPr>
                <w:sz w:val="22"/>
              </w:rPr>
            </w:pPr>
          </w:p>
        </w:tc>
        <w:tc>
          <w:tcPr>
            <w:tcW w:w="852" w:type="dxa"/>
            <w:tcBorders>
              <w:top w:val="dotted" w:sz="4" w:space="0" w:color="auto"/>
              <w:left w:val="single" w:sz="6" w:space="0" w:color="auto"/>
              <w:bottom w:val="dotted" w:sz="4" w:space="0" w:color="auto"/>
              <w:right w:val="single" w:sz="6" w:space="0" w:color="auto"/>
            </w:tcBorders>
          </w:tcPr>
          <w:p w14:paraId="1FBE64CF" w14:textId="77777777" w:rsidR="007049A5" w:rsidRPr="004E4188" w:rsidRDefault="007049A5" w:rsidP="006C6267">
            <w:pPr>
              <w:rPr>
                <w:sz w:val="22"/>
              </w:rPr>
            </w:pPr>
          </w:p>
        </w:tc>
        <w:tc>
          <w:tcPr>
            <w:tcW w:w="1793" w:type="dxa"/>
            <w:tcBorders>
              <w:top w:val="dotted" w:sz="4" w:space="0" w:color="auto"/>
              <w:left w:val="nil"/>
              <w:bottom w:val="dotted" w:sz="4" w:space="0" w:color="auto"/>
              <w:right w:val="single" w:sz="6" w:space="0" w:color="auto"/>
            </w:tcBorders>
          </w:tcPr>
          <w:p w14:paraId="662E2314" w14:textId="77777777" w:rsidR="007049A5" w:rsidRPr="004E4188" w:rsidRDefault="007049A5" w:rsidP="006C6267">
            <w:pPr>
              <w:rPr>
                <w:sz w:val="22"/>
              </w:rPr>
            </w:pPr>
          </w:p>
        </w:tc>
        <w:tc>
          <w:tcPr>
            <w:tcW w:w="1807" w:type="dxa"/>
            <w:tcBorders>
              <w:top w:val="dotted" w:sz="4" w:space="0" w:color="auto"/>
              <w:left w:val="nil"/>
              <w:bottom w:val="dotted" w:sz="4" w:space="0" w:color="auto"/>
              <w:right w:val="double" w:sz="4" w:space="0" w:color="auto"/>
            </w:tcBorders>
          </w:tcPr>
          <w:p w14:paraId="130493DB" w14:textId="77777777" w:rsidR="007049A5" w:rsidRPr="004E4188" w:rsidRDefault="007049A5" w:rsidP="006C6267">
            <w:pPr>
              <w:rPr>
                <w:sz w:val="22"/>
              </w:rPr>
            </w:pPr>
          </w:p>
        </w:tc>
      </w:tr>
      <w:tr w:rsidR="007049A5" w:rsidRPr="004E4188" w14:paraId="499E84AB" w14:textId="77777777" w:rsidTr="00D95CED">
        <w:tc>
          <w:tcPr>
            <w:tcW w:w="720" w:type="dxa"/>
            <w:tcBorders>
              <w:top w:val="dotted" w:sz="4" w:space="0" w:color="auto"/>
              <w:left w:val="double" w:sz="4" w:space="0" w:color="auto"/>
              <w:bottom w:val="dotted" w:sz="4" w:space="0" w:color="auto"/>
              <w:right w:val="nil"/>
            </w:tcBorders>
          </w:tcPr>
          <w:p w14:paraId="37B34F9B" w14:textId="77777777" w:rsidR="007049A5" w:rsidRPr="004E4188" w:rsidRDefault="007049A5" w:rsidP="006C6267">
            <w:pPr>
              <w:rPr>
                <w:sz w:val="22"/>
              </w:rPr>
            </w:pPr>
            <w:r w:rsidRPr="004E4188">
              <w:rPr>
                <w:sz w:val="22"/>
                <w:lang w:eastAsia="ja-JP"/>
              </w:rPr>
              <w:t>207</w:t>
            </w:r>
          </w:p>
        </w:tc>
        <w:tc>
          <w:tcPr>
            <w:tcW w:w="3828" w:type="dxa"/>
            <w:tcBorders>
              <w:top w:val="dotted" w:sz="4" w:space="0" w:color="auto"/>
              <w:left w:val="single" w:sz="6" w:space="0" w:color="auto"/>
              <w:bottom w:val="dotted" w:sz="4" w:space="0" w:color="auto"/>
              <w:right w:val="single" w:sz="6" w:space="0" w:color="auto"/>
            </w:tcBorders>
          </w:tcPr>
          <w:p w14:paraId="7501CE43" w14:textId="77777777" w:rsidR="007049A5" w:rsidRPr="004E4188" w:rsidRDefault="007049A5" w:rsidP="006C6267">
            <w:pPr>
              <w:rPr>
                <w:sz w:val="22"/>
              </w:rPr>
            </w:pPr>
          </w:p>
        </w:tc>
        <w:tc>
          <w:tcPr>
            <w:tcW w:w="852" w:type="dxa"/>
            <w:tcBorders>
              <w:top w:val="dotted" w:sz="4" w:space="0" w:color="auto"/>
              <w:left w:val="single" w:sz="6" w:space="0" w:color="auto"/>
              <w:bottom w:val="dotted" w:sz="4" w:space="0" w:color="auto"/>
              <w:right w:val="single" w:sz="6" w:space="0" w:color="auto"/>
            </w:tcBorders>
          </w:tcPr>
          <w:p w14:paraId="6152E230" w14:textId="77777777" w:rsidR="007049A5" w:rsidRPr="004E4188" w:rsidRDefault="007049A5" w:rsidP="006C6267">
            <w:pPr>
              <w:rPr>
                <w:sz w:val="22"/>
              </w:rPr>
            </w:pPr>
          </w:p>
        </w:tc>
        <w:tc>
          <w:tcPr>
            <w:tcW w:w="1793" w:type="dxa"/>
            <w:tcBorders>
              <w:top w:val="dotted" w:sz="4" w:space="0" w:color="auto"/>
              <w:left w:val="nil"/>
              <w:bottom w:val="dotted" w:sz="4" w:space="0" w:color="auto"/>
              <w:right w:val="single" w:sz="6" w:space="0" w:color="auto"/>
            </w:tcBorders>
          </w:tcPr>
          <w:p w14:paraId="43BC4366" w14:textId="77777777" w:rsidR="007049A5" w:rsidRPr="004E4188" w:rsidRDefault="007049A5" w:rsidP="006C6267">
            <w:pPr>
              <w:rPr>
                <w:sz w:val="22"/>
              </w:rPr>
            </w:pPr>
          </w:p>
        </w:tc>
        <w:tc>
          <w:tcPr>
            <w:tcW w:w="1807" w:type="dxa"/>
            <w:tcBorders>
              <w:top w:val="dotted" w:sz="4" w:space="0" w:color="auto"/>
              <w:left w:val="nil"/>
              <w:bottom w:val="dotted" w:sz="4" w:space="0" w:color="auto"/>
              <w:right w:val="double" w:sz="4" w:space="0" w:color="auto"/>
            </w:tcBorders>
          </w:tcPr>
          <w:p w14:paraId="2872727A" w14:textId="77777777" w:rsidR="007049A5" w:rsidRPr="004E4188" w:rsidRDefault="007049A5" w:rsidP="006C6267">
            <w:pPr>
              <w:rPr>
                <w:sz w:val="22"/>
              </w:rPr>
            </w:pPr>
          </w:p>
        </w:tc>
      </w:tr>
      <w:tr w:rsidR="007049A5" w:rsidRPr="004E4188" w14:paraId="1761F8CE" w14:textId="77777777" w:rsidTr="00D95CED">
        <w:tc>
          <w:tcPr>
            <w:tcW w:w="720" w:type="dxa"/>
            <w:tcBorders>
              <w:top w:val="dotted" w:sz="4" w:space="0" w:color="auto"/>
              <w:left w:val="double" w:sz="4" w:space="0" w:color="auto"/>
              <w:bottom w:val="dotted" w:sz="4" w:space="0" w:color="auto"/>
              <w:right w:val="nil"/>
            </w:tcBorders>
          </w:tcPr>
          <w:p w14:paraId="61545F7F" w14:textId="77777777" w:rsidR="007049A5" w:rsidRPr="004E4188" w:rsidRDefault="007049A5" w:rsidP="006C6267">
            <w:pPr>
              <w:rPr>
                <w:sz w:val="22"/>
              </w:rPr>
            </w:pPr>
            <w:r w:rsidRPr="004E4188">
              <w:rPr>
                <w:sz w:val="22"/>
                <w:lang w:eastAsia="ja-JP"/>
              </w:rPr>
              <w:t>208</w:t>
            </w:r>
          </w:p>
        </w:tc>
        <w:tc>
          <w:tcPr>
            <w:tcW w:w="3828" w:type="dxa"/>
            <w:tcBorders>
              <w:top w:val="dotted" w:sz="4" w:space="0" w:color="auto"/>
              <w:left w:val="single" w:sz="6" w:space="0" w:color="auto"/>
              <w:bottom w:val="dotted" w:sz="4" w:space="0" w:color="auto"/>
              <w:right w:val="single" w:sz="6" w:space="0" w:color="auto"/>
            </w:tcBorders>
          </w:tcPr>
          <w:p w14:paraId="7CE080FF" w14:textId="77777777" w:rsidR="007049A5" w:rsidRPr="004E4188" w:rsidRDefault="007049A5" w:rsidP="006C6267">
            <w:pPr>
              <w:rPr>
                <w:sz w:val="22"/>
              </w:rPr>
            </w:pPr>
          </w:p>
        </w:tc>
        <w:tc>
          <w:tcPr>
            <w:tcW w:w="852" w:type="dxa"/>
            <w:tcBorders>
              <w:top w:val="dotted" w:sz="4" w:space="0" w:color="auto"/>
              <w:left w:val="single" w:sz="6" w:space="0" w:color="auto"/>
              <w:bottom w:val="dotted" w:sz="4" w:space="0" w:color="auto"/>
              <w:right w:val="single" w:sz="6" w:space="0" w:color="auto"/>
            </w:tcBorders>
          </w:tcPr>
          <w:p w14:paraId="4BC1AC20" w14:textId="77777777" w:rsidR="007049A5" w:rsidRPr="004E4188" w:rsidRDefault="007049A5" w:rsidP="006C6267">
            <w:pPr>
              <w:rPr>
                <w:sz w:val="22"/>
              </w:rPr>
            </w:pPr>
          </w:p>
        </w:tc>
        <w:tc>
          <w:tcPr>
            <w:tcW w:w="1793" w:type="dxa"/>
            <w:tcBorders>
              <w:top w:val="dotted" w:sz="4" w:space="0" w:color="auto"/>
              <w:left w:val="nil"/>
              <w:bottom w:val="dotted" w:sz="4" w:space="0" w:color="auto"/>
              <w:right w:val="single" w:sz="6" w:space="0" w:color="auto"/>
            </w:tcBorders>
          </w:tcPr>
          <w:p w14:paraId="5FF51A45" w14:textId="77777777" w:rsidR="007049A5" w:rsidRPr="004E4188" w:rsidRDefault="007049A5" w:rsidP="006C6267">
            <w:pPr>
              <w:rPr>
                <w:sz w:val="22"/>
              </w:rPr>
            </w:pPr>
          </w:p>
        </w:tc>
        <w:tc>
          <w:tcPr>
            <w:tcW w:w="1807" w:type="dxa"/>
            <w:tcBorders>
              <w:top w:val="dotted" w:sz="4" w:space="0" w:color="auto"/>
              <w:left w:val="nil"/>
              <w:bottom w:val="dotted" w:sz="4" w:space="0" w:color="auto"/>
              <w:right w:val="double" w:sz="4" w:space="0" w:color="auto"/>
            </w:tcBorders>
          </w:tcPr>
          <w:p w14:paraId="58FDB051" w14:textId="77777777" w:rsidR="007049A5" w:rsidRPr="004E4188" w:rsidRDefault="007049A5" w:rsidP="006C6267">
            <w:pPr>
              <w:rPr>
                <w:sz w:val="22"/>
              </w:rPr>
            </w:pPr>
          </w:p>
        </w:tc>
      </w:tr>
      <w:tr w:rsidR="007049A5" w:rsidRPr="004E4188" w14:paraId="03FA0BAD" w14:textId="77777777" w:rsidTr="00D95CED">
        <w:tc>
          <w:tcPr>
            <w:tcW w:w="720" w:type="dxa"/>
            <w:tcBorders>
              <w:top w:val="dotted" w:sz="4" w:space="0" w:color="auto"/>
              <w:left w:val="double" w:sz="4" w:space="0" w:color="auto"/>
              <w:bottom w:val="dotted" w:sz="4" w:space="0" w:color="auto"/>
              <w:right w:val="nil"/>
            </w:tcBorders>
          </w:tcPr>
          <w:p w14:paraId="2492C776" w14:textId="77777777" w:rsidR="007049A5" w:rsidRPr="004E4188" w:rsidRDefault="007049A5" w:rsidP="006C6267">
            <w:pPr>
              <w:rPr>
                <w:sz w:val="22"/>
              </w:rPr>
            </w:pPr>
            <w:r w:rsidRPr="004E4188">
              <w:rPr>
                <w:sz w:val="22"/>
                <w:lang w:eastAsia="ja-JP"/>
              </w:rPr>
              <w:t>209</w:t>
            </w:r>
          </w:p>
        </w:tc>
        <w:tc>
          <w:tcPr>
            <w:tcW w:w="3828" w:type="dxa"/>
            <w:tcBorders>
              <w:top w:val="dotted" w:sz="4" w:space="0" w:color="auto"/>
              <w:left w:val="single" w:sz="6" w:space="0" w:color="auto"/>
              <w:bottom w:val="dotted" w:sz="4" w:space="0" w:color="auto"/>
              <w:right w:val="single" w:sz="6" w:space="0" w:color="auto"/>
            </w:tcBorders>
          </w:tcPr>
          <w:p w14:paraId="2DFABE6E" w14:textId="77777777" w:rsidR="007049A5" w:rsidRPr="004E4188" w:rsidRDefault="007049A5" w:rsidP="006C6267">
            <w:pPr>
              <w:rPr>
                <w:sz w:val="22"/>
              </w:rPr>
            </w:pPr>
          </w:p>
        </w:tc>
        <w:tc>
          <w:tcPr>
            <w:tcW w:w="852" w:type="dxa"/>
            <w:tcBorders>
              <w:top w:val="dotted" w:sz="4" w:space="0" w:color="auto"/>
              <w:left w:val="single" w:sz="6" w:space="0" w:color="auto"/>
              <w:bottom w:val="dotted" w:sz="4" w:space="0" w:color="auto"/>
              <w:right w:val="single" w:sz="6" w:space="0" w:color="auto"/>
            </w:tcBorders>
          </w:tcPr>
          <w:p w14:paraId="07683D28" w14:textId="77777777" w:rsidR="007049A5" w:rsidRPr="004E4188" w:rsidRDefault="007049A5" w:rsidP="006C6267">
            <w:pPr>
              <w:rPr>
                <w:sz w:val="22"/>
              </w:rPr>
            </w:pPr>
          </w:p>
        </w:tc>
        <w:tc>
          <w:tcPr>
            <w:tcW w:w="1793" w:type="dxa"/>
            <w:tcBorders>
              <w:top w:val="dotted" w:sz="4" w:space="0" w:color="auto"/>
              <w:left w:val="nil"/>
              <w:bottom w:val="dotted" w:sz="4" w:space="0" w:color="auto"/>
              <w:right w:val="single" w:sz="6" w:space="0" w:color="auto"/>
            </w:tcBorders>
          </w:tcPr>
          <w:p w14:paraId="44FEEE0A" w14:textId="77777777" w:rsidR="007049A5" w:rsidRPr="004E4188" w:rsidRDefault="007049A5" w:rsidP="006C6267">
            <w:pPr>
              <w:rPr>
                <w:sz w:val="22"/>
              </w:rPr>
            </w:pPr>
          </w:p>
        </w:tc>
        <w:tc>
          <w:tcPr>
            <w:tcW w:w="1807" w:type="dxa"/>
            <w:tcBorders>
              <w:top w:val="dotted" w:sz="4" w:space="0" w:color="auto"/>
              <w:left w:val="nil"/>
              <w:bottom w:val="dotted" w:sz="4" w:space="0" w:color="auto"/>
              <w:right w:val="double" w:sz="4" w:space="0" w:color="auto"/>
            </w:tcBorders>
          </w:tcPr>
          <w:p w14:paraId="02FECC8E" w14:textId="77777777" w:rsidR="007049A5" w:rsidRPr="004E4188" w:rsidRDefault="007049A5" w:rsidP="006C6267">
            <w:pPr>
              <w:rPr>
                <w:sz w:val="22"/>
              </w:rPr>
            </w:pPr>
          </w:p>
        </w:tc>
      </w:tr>
      <w:tr w:rsidR="007049A5" w:rsidRPr="004E4188" w14:paraId="4B71E6B7" w14:textId="77777777" w:rsidTr="00D95CED">
        <w:tc>
          <w:tcPr>
            <w:tcW w:w="720" w:type="dxa"/>
            <w:tcBorders>
              <w:top w:val="dotted" w:sz="4" w:space="0" w:color="auto"/>
              <w:left w:val="double" w:sz="4" w:space="0" w:color="auto"/>
              <w:bottom w:val="dotted" w:sz="4" w:space="0" w:color="auto"/>
              <w:right w:val="nil"/>
            </w:tcBorders>
          </w:tcPr>
          <w:p w14:paraId="2A9EA625" w14:textId="77777777" w:rsidR="007049A5" w:rsidRPr="004E4188" w:rsidRDefault="007049A5" w:rsidP="006C6267">
            <w:pPr>
              <w:rPr>
                <w:sz w:val="22"/>
              </w:rPr>
            </w:pPr>
            <w:r w:rsidRPr="004E4188">
              <w:rPr>
                <w:sz w:val="22"/>
                <w:lang w:eastAsia="ja-JP"/>
              </w:rPr>
              <w:t>210</w:t>
            </w:r>
          </w:p>
        </w:tc>
        <w:tc>
          <w:tcPr>
            <w:tcW w:w="3828" w:type="dxa"/>
            <w:tcBorders>
              <w:top w:val="dotted" w:sz="4" w:space="0" w:color="auto"/>
              <w:left w:val="single" w:sz="6" w:space="0" w:color="auto"/>
              <w:bottom w:val="dotted" w:sz="4" w:space="0" w:color="auto"/>
              <w:right w:val="single" w:sz="6" w:space="0" w:color="auto"/>
            </w:tcBorders>
          </w:tcPr>
          <w:p w14:paraId="2358B00D" w14:textId="77777777" w:rsidR="007049A5" w:rsidRPr="004E4188" w:rsidRDefault="007049A5" w:rsidP="006C6267">
            <w:pPr>
              <w:rPr>
                <w:sz w:val="22"/>
              </w:rPr>
            </w:pPr>
          </w:p>
        </w:tc>
        <w:tc>
          <w:tcPr>
            <w:tcW w:w="852" w:type="dxa"/>
            <w:tcBorders>
              <w:top w:val="dotted" w:sz="4" w:space="0" w:color="auto"/>
              <w:left w:val="single" w:sz="6" w:space="0" w:color="auto"/>
              <w:bottom w:val="dotted" w:sz="4" w:space="0" w:color="auto"/>
              <w:right w:val="single" w:sz="6" w:space="0" w:color="auto"/>
            </w:tcBorders>
          </w:tcPr>
          <w:p w14:paraId="1C66AC6B" w14:textId="77777777" w:rsidR="007049A5" w:rsidRPr="004E4188" w:rsidRDefault="007049A5" w:rsidP="006C6267">
            <w:pPr>
              <w:rPr>
                <w:sz w:val="22"/>
              </w:rPr>
            </w:pPr>
          </w:p>
        </w:tc>
        <w:tc>
          <w:tcPr>
            <w:tcW w:w="1793" w:type="dxa"/>
            <w:tcBorders>
              <w:top w:val="dotted" w:sz="4" w:space="0" w:color="auto"/>
              <w:left w:val="nil"/>
              <w:bottom w:val="dotted" w:sz="4" w:space="0" w:color="auto"/>
              <w:right w:val="single" w:sz="6" w:space="0" w:color="auto"/>
            </w:tcBorders>
          </w:tcPr>
          <w:p w14:paraId="29F13DDB" w14:textId="77777777" w:rsidR="007049A5" w:rsidRPr="004E4188" w:rsidRDefault="007049A5" w:rsidP="006C6267">
            <w:pPr>
              <w:rPr>
                <w:sz w:val="22"/>
              </w:rPr>
            </w:pPr>
          </w:p>
        </w:tc>
        <w:tc>
          <w:tcPr>
            <w:tcW w:w="1807" w:type="dxa"/>
            <w:tcBorders>
              <w:top w:val="dotted" w:sz="4" w:space="0" w:color="auto"/>
              <w:left w:val="nil"/>
              <w:bottom w:val="dotted" w:sz="4" w:space="0" w:color="auto"/>
              <w:right w:val="double" w:sz="4" w:space="0" w:color="auto"/>
            </w:tcBorders>
          </w:tcPr>
          <w:p w14:paraId="26DEC680" w14:textId="77777777" w:rsidR="007049A5" w:rsidRPr="004E4188" w:rsidRDefault="007049A5" w:rsidP="006C6267">
            <w:pPr>
              <w:rPr>
                <w:sz w:val="22"/>
              </w:rPr>
            </w:pPr>
          </w:p>
        </w:tc>
      </w:tr>
      <w:tr w:rsidR="007049A5" w:rsidRPr="004E4188" w14:paraId="2F96DADB" w14:textId="77777777" w:rsidTr="00D95CED">
        <w:tc>
          <w:tcPr>
            <w:tcW w:w="720" w:type="dxa"/>
            <w:tcBorders>
              <w:top w:val="dotted" w:sz="4" w:space="0" w:color="auto"/>
              <w:left w:val="double" w:sz="4" w:space="0" w:color="auto"/>
              <w:bottom w:val="dotted" w:sz="4" w:space="0" w:color="auto"/>
              <w:right w:val="nil"/>
            </w:tcBorders>
          </w:tcPr>
          <w:p w14:paraId="6BACE43D" w14:textId="77777777" w:rsidR="007049A5" w:rsidRPr="004E4188" w:rsidRDefault="007049A5" w:rsidP="006C6267">
            <w:pPr>
              <w:rPr>
                <w:sz w:val="22"/>
              </w:rPr>
            </w:pPr>
          </w:p>
        </w:tc>
        <w:tc>
          <w:tcPr>
            <w:tcW w:w="3828" w:type="dxa"/>
            <w:tcBorders>
              <w:top w:val="dotted" w:sz="4" w:space="0" w:color="auto"/>
              <w:left w:val="single" w:sz="6" w:space="0" w:color="auto"/>
              <w:bottom w:val="dotted" w:sz="4" w:space="0" w:color="auto"/>
              <w:right w:val="single" w:sz="6" w:space="0" w:color="auto"/>
            </w:tcBorders>
          </w:tcPr>
          <w:p w14:paraId="62BCF3F1" w14:textId="77777777" w:rsidR="007049A5" w:rsidRPr="004E4188" w:rsidRDefault="007049A5" w:rsidP="006C6267">
            <w:pPr>
              <w:rPr>
                <w:sz w:val="22"/>
              </w:rPr>
            </w:pPr>
          </w:p>
        </w:tc>
        <w:tc>
          <w:tcPr>
            <w:tcW w:w="852" w:type="dxa"/>
            <w:tcBorders>
              <w:top w:val="dotted" w:sz="4" w:space="0" w:color="auto"/>
              <w:left w:val="single" w:sz="6" w:space="0" w:color="auto"/>
              <w:bottom w:val="dotted" w:sz="4" w:space="0" w:color="auto"/>
              <w:right w:val="single" w:sz="6" w:space="0" w:color="auto"/>
            </w:tcBorders>
          </w:tcPr>
          <w:p w14:paraId="05E74117" w14:textId="77777777" w:rsidR="007049A5" w:rsidRPr="004E4188" w:rsidRDefault="007049A5" w:rsidP="006C6267">
            <w:pPr>
              <w:rPr>
                <w:sz w:val="22"/>
              </w:rPr>
            </w:pPr>
          </w:p>
        </w:tc>
        <w:tc>
          <w:tcPr>
            <w:tcW w:w="1793" w:type="dxa"/>
            <w:tcBorders>
              <w:top w:val="dotted" w:sz="4" w:space="0" w:color="auto"/>
              <w:left w:val="nil"/>
              <w:bottom w:val="dotted" w:sz="4" w:space="0" w:color="auto"/>
              <w:right w:val="single" w:sz="6" w:space="0" w:color="auto"/>
            </w:tcBorders>
          </w:tcPr>
          <w:p w14:paraId="13B8CF59" w14:textId="77777777" w:rsidR="007049A5" w:rsidRPr="004E4188" w:rsidRDefault="007049A5" w:rsidP="006C6267">
            <w:pPr>
              <w:rPr>
                <w:sz w:val="22"/>
              </w:rPr>
            </w:pPr>
          </w:p>
        </w:tc>
        <w:tc>
          <w:tcPr>
            <w:tcW w:w="1807" w:type="dxa"/>
            <w:tcBorders>
              <w:top w:val="dotted" w:sz="4" w:space="0" w:color="auto"/>
              <w:left w:val="nil"/>
              <w:bottom w:val="dotted" w:sz="4" w:space="0" w:color="auto"/>
              <w:right w:val="double" w:sz="4" w:space="0" w:color="auto"/>
            </w:tcBorders>
          </w:tcPr>
          <w:p w14:paraId="33F74174" w14:textId="77777777" w:rsidR="007049A5" w:rsidRPr="004E4188" w:rsidRDefault="007049A5" w:rsidP="006C6267">
            <w:pPr>
              <w:rPr>
                <w:sz w:val="22"/>
              </w:rPr>
            </w:pPr>
          </w:p>
        </w:tc>
      </w:tr>
      <w:tr w:rsidR="007049A5" w:rsidRPr="004E4188" w14:paraId="2547ECB2" w14:textId="77777777" w:rsidTr="00D95CED">
        <w:tc>
          <w:tcPr>
            <w:tcW w:w="720" w:type="dxa"/>
            <w:tcBorders>
              <w:top w:val="dotted" w:sz="4" w:space="0" w:color="auto"/>
              <w:left w:val="double" w:sz="4" w:space="0" w:color="auto"/>
              <w:bottom w:val="dotted" w:sz="4" w:space="0" w:color="auto"/>
              <w:right w:val="nil"/>
            </w:tcBorders>
          </w:tcPr>
          <w:p w14:paraId="4956C39F" w14:textId="77777777" w:rsidR="007049A5" w:rsidRPr="004E4188" w:rsidRDefault="007049A5" w:rsidP="006C6267">
            <w:pPr>
              <w:rPr>
                <w:sz w:val="22"/>
              </w:rPr>
            </w:pPr>
          </w:p>
        </w:tc>
        <w:tc>
          <w:tcPr>
            <w:tcW w:w="3828" w:type="dxa"/>
            <w:tcBorders>
              <w:top w:val="dotted" w:sz="4" w:space="0" w:color="auto"/>
              <w:left w:val="single" w:sz="6" w:space="0" w:color="auto"/>
              <w:bottom w:val="dotted" w:sz="4" w:space="0" w:color="auto"/>
              <w:right w:val="single" w:sz="6" w:space="0" w:color="auto"/>
            </w:tcBorders>
          </w:tcPr>
          <w:p w14:paraId="209B9038" w14:textId="77777777" w:rsidR="007049A5" w:rsidRPr="004E4188" w:rsidRDefault="007049A5" w:rsidP="006C6267">
            <w:pPr>
              <w:rPr>
                <w:sz w:val="22"/>
              </w:rPr>
            </w:pPr>
          </w:p>
        </w:tc>
        <w:tc>
          <w:tcPr>
            <w:tcW w:w="852" w:type="dxa"/>
            <w:tcBorders>
              <w:top w:val="dotted" w:sz="4" w:space="0" w:color="auto"/>
              <w:left w:val="single" w:sz="6" w:space="0" w:color="auto"/>
              <w:bottom w:val="dotted" w:sz="4" w:space="0" w:color="auto"/>
              <w:right w:val="single" w:sz="6" w:space="0" w:color="auto"/>
            </w:tcBorders>
          </w:tcPr>
          <w:p w14:paraId="0AF86593" w14:textId="77777777" w:rsidR="007049A5" w:rsidRPr="004E4188" w:rsidRDefault="007049A5" w:rsidP="006C6267">
            <w:pPr>
              <w:rPr>
                <w:sz w:val="22"/>
              </w:rPr>
            </w:pPr>
          </w:p>
        </w:tc>
        <w:tc>
          <w:tcPr>
            <w:tcW w:w="1793" w:type="dxa"/>
            <w:tcBorders>
              <w:top w:val="dotted" w:sz="4" w:space="0" w:color="auto"/>
              <w:left w:val="nil"/>
              <w:bottom w:val="dotted" w:sz="4" w:space="0" w:color="auto"/>
              <w:right w:val="single" w:sz="6" w:space="0" w:color="auto"/>
            </w:tcBorders>
          </w:tcPr>
          <w:p w14:paraId="765D78D6" w14:textId="77777777" w:rsidR="007049A5" w:rsidRPr="004E4188" w:rsidRDefault="007049A5" w:rsidP="006C6267">
            <w:pPr>
              <w:rPr>
                <w:sz w:val="22"/>
              </w:rPr>
            </w:pPr>
          </w:p>
        </w:tc>
        <w:tc>
          <w:tcPr>
            <w:tcW w:w="1807" w:type="dxa"/>
            <w:tcBorders>
              <w:top w:val="dotted" w:sz="4" w:space="0" w:color="auto"/>
              <w:left w:val="nil"/>
              <w:bottom w:val="dotted" w:sz="4" w:space="0" w:color="auto"/>
              <w:right w:val="double" w:sz="4" w:space="0" w:color="auto"/>
            </w:tcBorders>
          </w:tcPr>
          <w:p w14:paraId="7AF1B209" w14:textId="77777777" w:rsidR="007049A5" w:rsidRPr="004E4188" w:rsidRDefault="007049A5" w:rsidP="006C6267">
            <w:pPr>
              <w:rPr>
                <w:sz w:val="22"/>
              </w:rPr>
            </w:pPr>
          </w:p>
        </w:tc>
      </w:tr>
      <w:tr w:rsidR="007049A5" w:rsidRPr="004E4188" w14:paraId="2C4CC304" w14:textId="77777777" w:rsidTr="00D95CED">
        <w:tc>
          <w:tcPr>
            <w:tcW w:w="720" w:type="dxa"/>
            <w:tcBorders>
              <w:top w:val="dotted" w:sz="4" w:space="0" w:color="auto"/>
              <w:left w:val="double" w:sz="4" w:space="0" w:color="auto"/>
              <w:bottom w:val="dotted" w:sz="4" w:space="0" w:color="auto"/>
              <w:right w:val="nil"/>
            </w:tcBorders>
          </w:tcPr>
          <w:p w14:paraId="53503205" w14:textId="77777777" w:rsidR="007049A5" w:rsidRPr="004E4188" w:rsidRDefault="007049A5" w:rsidP="001C3B2E">
            <w:pPr>
              <w:rPr>
                <w:sz w:val="22"/>
              </w:rPr>
            </w:pPr>
          </w:p>
        </w:tc>
        <w:tc>
          <w:tcPr>
            <w:tcW w:w="3828" w:type="dxa"/>
            <w:tcBorders>
              <w:top w:val="dotted" w:sz="4" w:space="0" w:color="auto"/>
              <w:left w:val="single" w:sz="6" w:space="0" w:color="auto"/>
              <w:bottom w:val="dotted" w:sz="4" w:space="0" w:color="auto"/>
              <w:right w:val="single" w:sz="6" w:space="0" w:color="auto"/>
            </w:tcBorders>
          </w:tcPr>
          <w:p w14:paraId="469BBCFD" w14:textId="77777777" w:rsidR="007049A5" w:rsidRPr="004E4188" w:rsidRDefault="007049A5" w:rsidP="001C3B2E">
            <w:pPr>
              <w:rPr>
                <w:sz w:val="22"/>
              </w:rPr>
            </w:pPr>
          </w:p>
        </w:tc>
        <w:tc>
          <w:tcPr>
            <w:tcW w:w="852" w:type="dxa"/>
            <w:tcBorders>
              <w:top w:val="dotted" w:sz="4" w:space="0" w:color="auto"/>
              <w:left w:val="single" w:sz="6" w:space="0" w:color="auto"/>
              <w:bottom w:val="dotted" w:sz="4" w:space="0" w:color="auto"/>
              <w:right w:val="single" w:sz="6" w:space="0" w:color="auto"/>
            </w:tcBorders>
          </w:tcPr>
          <w:p w14:paraId="5FAE0136" w14:textId="77777777" w:rsidR="007049A5" w:rsidRPr="004E4188" w:rsidRDefault="007049A5" w:rsidP="001C3B2E">
            <w:pPr>
              <w:rPr>
                <w:sz w:val="22"/>
              </w:rPr>
            </w:pPr>
          </w:p>
        </w:tc>
        <w:tc>
          <w:tcPr>
            <w:tcW w:w="1793" w:type="dxa"/>
            <w:tcBorders>
              <w:top w:val="dotted" w:sz="4" w:space="0" w:color="auto"/>
              <w:left w:val="nil"/>
              <w:bottom w:val="dotted" w:sz="4" w:space="0" w:color="auto"/>
              <w:right w:val="single" w:sz="6" w:space="0" w:color="auto"/>
            </w:tcBorders>
          </w:tcPr>
          <w:p w14:paraId="31716383" w14:textId="77777777" w:rsidR="007049A5" w:rsidRPr="004E4188" w:rsidRDefault="007049A5" w:rsidP="001C3B2E">
            <w:pPr>
              <w:rPr>
                <w:sz w:val="22"/>
              </w:rPr>
            </w:pPr>
          </w:p>
        </w:tc>
        <w:tc>
          <w:tcPr>
            <w:tcW w:w="1807" w:type="dxa"/>
            <w:tcBorders>
              <w:top w:val="dotted" w:sz="4" w:space="0" w:color="auto"/>
              <w:left w:val="nil"/>
              <w:bottom w:val="dotted" w:sz="4" w:space="0" w:color="auto"/>
              <w:right w:val="double" w:sz="4" w:space="0" w:color="auto"/>
            </w:tcBorders>
          </w:tcPr>
          <w:p w14:paraId="66036BD5" w14:textId="77777777" w:rsidR="007049A5" w:rsidRPr="004E4188" w:rsidRDefault="007049A5" w:rsidP="001C3B2E">
            <w:pPr>
              <w:rPr>
                <w:sz w:val="22"/>
              </w:rPr>
            </w:pPr>
          </w:p>
        </w:tc>
      </w:tr>
      <w:tr w:rsidR="007049A5" w:rsidRPr="004E4188" w14:paraId="50251132" w14:textId="77777777" w:rsidTr="00D95CED">
        <w:tc>
          <w:tcPr>
            <w:tcW w:w="720" w:type="dxa"/>
            <w:tcBorders>
              <w:top w:val="dotted" w:sz="4" w:space="0" w:color="auto"/>
              <w:left w:val="double" w:sz="4" w:space="0" w:color="auto"/>
              <w:bottom w:val="dotted" w:sz="4" w:space="0" w:color="auto"/>
              <w:right w:val="nil"/>
            </w:tcBorders>
          </w:tcPr>
          <w:p w14:paraId="17E234DE" w14:textId="77777777" w:rsidR="007049A5" w:rsidRPr="004E4188" w:rsidRDefault="007049A5" w:rsidP="001C3B2E">
            <w:pPr>
              <w:rPr>
                <w:sz w:val="22"/>
              </w:rPr>
            </w:pPr>
          </w:p>
        </w:tc>
        <w:tc>
          <w:tcPr>
            <w:tcW w:w="3828" w:type="dxa"/>
            <w:tcBorders>
              <w:top w:val="dotted" w:sz="4" w:space="0" w:color="auto"/>
              <w:left w:val="single" w:sz="6" w:space="0" w:color="auto"/>
              <w:bottom w:val="dotted" w:sz="4" w:space="0" w:color="auto"/>
              <w:right w:val="single" w:sz="6" w:space="0" w:color="auto"/>
            </w:tcBorders>
          </w:tcPr>
          <w:p w14:paraId="5C12D5E7" w14:textId="77777777" w:rsidR="007049A5" w:rsidRPr="004E4188" w:rsidRDefault="007049A5" w:rsidP="001C3B2E">
            <w:pPr>
              <w:rPr>
                <w:sz w:val="22"/>
              </w:rPr>
            </w:pPr>
          </w:p>
        </w:tc>
        <w:tc>
          <w:tcPr>
            <w:tcW w:w="852" w:type="dxa"/>
            <w:tcBorders>
              <w:top w:val="dotted" w:sz="4" w:space="0" w:color="auto"/>
              <w:left w:val="single" w:sz="6" w:space="0" w:color="auto"/>
              <w:bottom w:val="dotted" w:sz="4" w:space="0" w:color="auto"/>
              <w:right w:val="single" w:sz="6" w:space="0" w:color="auto"/>
            </w:tcBorders>
          </w:tcPr>
          <w:p w14:paraId="59A4F408" w14:textId="77777777" w:rsidR="007049A5" w:rsidRPr="004E4188" w:rsidRDefault="007049A5" w:rsidP="001C3B2E">
            <w:pPr>
              <w:rPr>
                <w:sz w:val="22"/>
              </w:rPr>
            </w:pPr>
          </w:p>
        </w:tc>
        <w:tc>
          <w:tcPr>
            <w:tcW w:w="1793" w:type="dxa"/>
            <w:tcBorders>
              <w:top w:val="dotted" w:sz="4" w:space="0" w:color="auto"/>
              <w:left w:val="nil"/>
              <w:bottom w:val="dotted" w:sz="4" w:space="0" w:color="auto"/>
              <w:right w:val="single" w:sz="6" w:space="0" w:color="auto"/>
            </w:tcBorders>
          </w:tcPr>
          <w:p w14:paraId="2832AD13" w14:textId="77777777" w:rsidR="007049A5" w:rsidRPr="004E4188" w:rsidRDefault="007049A5" w:rsidP="001C3B2E">
            <w:pPr>
              <w:rPr>
                <w:sz w:val="22"/>
              </w:rPr>
            </w:pPr>
          </w:p>
        </w:tc>
        <w:tc>
          <w:tcPr>
            <w:tcW w:w="1807" w:type="dxa"/>
            <w:tcBorders>
              <w:top w:val="dotted" w:sz="4" w:space="0" w:color="auto"/>
              <w:left w:val="nil"/>
              <w:bottom w:val="dotted" w:sz="4" w:space="0" w:color="auto"/>
              <w:right w:val="double" w:sz="4" w:space="0" w:color="auto"/>
            </w:tcBorders>
          </w:tcPr>
          <w:p w14:paraId="3B268765" w14:textId="77777777" w:rsidR="007049A5" w:rsidRPr="004E4188" w:rsidRDefault="007049A5" w:rsidP="001C3B2E">
            <w:pPr>
              <w:rPr>
                <w:sz w:val="22"/>
              </w:rPr>
            </w:pPr>
          </w:p>
        </w:tc>
      </w:tr>
      <w:tr w:rsidR="007049A5" w:rsidRPr="004E4188" w14:paraId="52F28257" w14:textId="77777777" w:rsidTr="00D95CED">
        <w:tc>
          <w:tcPr>
            <w:tcW w:w="720" w:type="dxa"/>
            <w:tcBorders>
              <w:top w:val="dotted" w:sz="4" w:space="0" w:color="auto"/>
              <w:left w:val="double" w:sz="4" w:space="0" w:color="auto"/>
              <w:bottom w:val="single" w:sz="6" w:space="0" w:color="auto"/>
              <w:right w:val="nil"/>
            </w:tcBorders>
          </w:tcPr>
          <w:p w14:paraId="39118D65" w14:textId="77777777" w:rsidR="007049A5" w:rsidRPr="004E4188" w:rsidRDefault="007049A5" w:rsidP="001C3B2E">
            <w:pPr>
              <w:rPr>
                <w:sz w:val="22"/>
              </w:rPr>
            </w:pPr>
          </w:p>
        </w:tc>
        <w:tc>
          <w:tcPr>
            <w:tcW w:w="3828" w:type="dxa"/>
            <w:tcBorders>
              <w:top w:val="dotted" w:sz="4" w:space="0" w:color="auto"/>
              <w:left w:val="single" w:sz="6" w:space="0" w:color="auto"/>
              <w:bottom w:val="single" w:sz="6" w:space="0" w:color="auto"/>
              <w:right w:val="single" w:sz="6" w:space="0" w:color="auto"/>
            </w:tcBorders>
          </w:tcPr>
          <w:p w14:paraId="716A3A8C" w14:textId="77777777" w:rsidR="007049A5" w:rsidRPr="004E4188" w:rsidRDefault="007049A5" w:rsidP="001C3B2E">
            <w:pPr>
              <w:rPr>
                <w:sz w:val="22"/>
              </w:rPr>
            </w:pPr>
          </w:p>
        </w:tc>
        <w:tc>
          <w:tcPr>
            <w:tcW w:w="852" w:type="dxa"/>
            <w:tcBorders>
              <w:top w:val="dotted" w:sz="4" w:space="0" w:color="auto"/>
              <w:left w:val="single" w:sz="6" w:space="0" w:color="auto"/>
              <w:bottom w:val="single" w:sz="6" w:space="0" w:color="auto"/>
              <w:right w:val="single" w:sz="6" w:space="0" w:color="auto"/>
            </w:tcBorders>
          </w:tcPr>
          <w:p w14:paraId="13550B6B" w14:textId="77777777" w:rsidR="007049A5" w:rsidRPr="004E4188" w:rsidRDefault="007049A5" w:rsidP="001C3B2E">
            <w:pPr>
              <w:rPr>
                <w:sz w:val="22"/>
              </w:rPr>
            </w:pPr>
          </w:p>
        </w:tc>
        <w:tc>
          <w:tcPr>
            <w:tcW w:w="1793" w:type="dxa"/>
            <w:tcBorders>
              <w:top w:val="dotted" w:sz="4" w:space="0" w:color="auto"/>
              <w:left w:val="nil"/>
              <w:bottom w:val="single" w:sz="6" w:space="0" w:color="auto"/>
              <w:right w:val="single" w:sz="6" w:space="0" w:color="auto"/>
            </w:tcBorders>
          </w:tcPr>
          <w:p w14:paraId="40A3B368" w14:textId="77777777" w:rsidR="007049A5" w:rsidRPr="004E4188" w:rsidRDefault="007049A5" w:rsidP="001C3B2E">
            <w:pPr>
              <w:rPr>
                <w:sz w:val="22"/>
              </w:rPr>
            </w:pPr>
          </w:p>
        </w:tc>
        <w:tc>
          <w:tcPr>
            <w:tcW w:w="1807" w:type="dxa"/>
            <w:tcBorders>
              <w:top w:val="dotted" w:sz="4" w:space="0" w:color="auto"/>
              <w:left w:val="nil"/>
              <w:bottom w:val="single" w:sz="6" w:space="0" w:color="auto"/>
              <w:right w:val="double" w:sz="4" w:space="0" w:color="auto"/>
            </w:tcBorders>
          </w:tcPr>
          <w:p w14:paraId="632664B6" w14:textId="77777777" w:rsidR="007049A5" w:rsidRPr="004E4188" w:rsidRDefault="007049A5" w:rsidP="001C3B2E">
            <w:pPr>
              <w:rPr>
                <w:sz w:val="22"/>
              </w:rPr>
            </w:pPr>
          </w:p>
        </w:tc>
      </w:tr>
      <w:tr w:rsidR="007049A5" w:rsidRPr="004E4188" w14:paraId="073168DD" w14:textId="77777777" w:rsidTr="00D95CED">
        <w:tc>
          <w:tcPr>
            <w:tcW w:w="7193" w:type="dxa"/>
            <w:gridSpan w:val="4"/>
            <w:tcBorders>
              <w:top w:val="single" w:sz="6" w:space="0" w:color="auto"/>
              <w:left w:val="double" w:sz="4" w:space="0" w:color="auto"/>
              <w:bottom w:val="double" w:sz="4" w:space="0" w:color="auto"/>
              <w:right w:val="nil"/>
            </w:tcBorders>
          </w:tcPr>
          <w:p w14:paraId="3C7F36D9" w14:textId="05AA3ADC" w:rsidR="007049A5" w:rsidRPr="004E4188" w:rsidRDefault="007049A5" w:rsidP="006044AC">
            <w:pPr>
              <w:wordWrap w:val="0"/>
              <w:jc w:val="right"/>
              <w:rPr>
                <w:sz w:val="22"/>
              </w:rPr>
            </w:pPr>
            <w:r w:rsidRPr="004E4188">
              <w:rPr>
                <w:sz w:val="22"/>
              </w:rPr>
              <w:t>Total du</w:t>
            </w:r>
            <w:r w:rsidRPr="004E4188">
              <w:rPr>
                <w:sz w:val="22"/>
                <w:lang w:eastAsia="ja-JP"/>
              </w:rPr>
              <w:t xml:space="preserve"> </w:t>
            </w:r>
            <w:r w:rsidRPr="004E4188">
              <w:rPr>
                <w:sz w:val="22"/>
              </w:rPr>
              <w:t>Bordereau n°2</w:t>
            </w:r>
          </w:p>
          <w:p w14:paraId="7767E43E" w14:textId="6EA0AC76" w:rsidR="007049A5" w:rsidRPr="004E4188" w:rsidRDefault="007049A5" w:rsidP="006C6267">
            <w:pPr>
              <w:jc w:val="right"/>
              <w:rPr>
                <w:sz w:val="22"/>
              </w:rPr>
            </w:pPr>
            <w:r w:rsidRPr="004E4188">
              <w:rPr>
                <w:sz w:val="22"/>
              </w:rPr>
              <w:t>(à reprendre dans le tableau récapitulatif, p.______)</w:t>
            </w:r>
          </w:p>
        </w:tc>
        <w:tc>
          <w:tcPr>
            <w:tcW w:w="1807" w:type="dxa"/>
            <w:tcBorders>
              <w:top w:val="single" w:sz="6" w:space="0" w:color="auto"/>
              <w:left w:val="single" w:sz="6" w:space="0" w:color="auto"/>
              <w:bottom w:val="double" w:sz="4" w:space="0" w:color="auto"/>
              <w:right w:val="double" w:sz="4" w:space="0" w:color="auto"/>
            </w:tcBorders>
          </w:tcPr>
          <w:p w14:paraId="67AC0E50" w14:textId="77777777" w:rsidR="007049A5" w:rsidRPr="004E4188" w:rsidRDefault="007049A5" w:rsidP="001C3B2E">
            <w:pPr>
              <w:rPr>
                <w:sz w:val="22"/>
              </w:rPr>
            </w:pPr>
          </w:p>
          <w:p w14:paraId="4EAE1390" w14:textId="77777777" w:rsidR="007049A5" w:rsidRPr="004E4188" w:rsidRDefault="007049A5" w:rsidP="001C3B2E">
            <w:pPr>
              <w:rPr>
                <w:sz w:val="22"/>
                <w:lang w:eastAsia="ja-JP"/>
              </w:rPr>
            </w:pPr>
            <w:r w:rsidRPr="004E4188">
              <w:rPr>
                <w:rFonts w:hint="eastAsia"/>
                <w:sz w:val="22"/>
                <w:lang w:eastAsia="ja-JP"/>
              </w:rPr>
              <w:t xml:space="preserve"> </w:t>
            </w:r>
            <w:r w:rsidRPr="004E4188">
              <w:rPr>
                <w:sz w:val="22"/>
                <w:lang w:eastAsia="ja-JP"/>
              </w:rPr>
              <w:t xml:space="preserve">       -----</w:t>
            </w:r>
          </w:p>
        </w:tc>
      </w:tr>
    </w:tbl>
    <w:p w14:paraId="087AC6AA" w14:textId="0E67A120" w:rsidR="007049A5" w:rsidRPr="004E4188" w:rsidRDefault="007049A5" w:rsidP="00D47168">
      <w:pPr>
        <w:spacing w:beforeLines="50" w:before="120"/>
        <w:ind w:left="335" w:hanging="335"/>
      </w:pPr>
    </w:p>
    <w:p w14:paraId="69240A73" w14:textId="77777777" w:rsidR="007049A5" w:rsidRPr="004E4188" w:rsidRDefault="007049A5" w:rsidP="00942E0B">
      <w:pPr>
        <w:rPr>
          <w:sz w:val="18"/>
        </w:rPr>
      </w:pPr>
    </w:p>
    <w:p w14:paraId="26B1BB71" w14:textId="77777777" w:rsidR="007049A5" w:rsidRPr="004E4188" w:rsidRDefault="007049A5" w:rsidP="006C6267">
      <w:pPr>
        <w:pStyle w:val="SectionIVHeading2"/>
        <w:rPr>
          <w:szCs w:val="28"/>
          <w:lang w:val="fr-FR"/>
        </w:rPr>
      </w:pPr>
      <w:r w:rsidRPr="004E4188">
        <w:rPr>
          <w:sz w:val="18"/>
          <w:lang w:val="fr-FR"/>
        </w:rPr>
        <w:br w:type="page"/>
      </w:r>
      <w:bookmarkStart w:id="513" w:name="_Toc357513210"/>
      <w:bookmarkStart w:id="514" w:name="_Toc112429303"/>
      <w:r w:rsidRPr="004E4188">
        <w:rPr>
          <w:lang w:val="en-GB"/>
        </w:rPr>
        <w:t>Bordereau n</w:t>
      </w:r>
      <w:r w:rsidRPr="004E4188">
        <w:rPr>
          <w:vertAlign w:val="superscript"/>
          <w:lang w:val="en-GB"/>
        </w:rPr>
        <w:t>o</w:t>
      </w:r>
      <w:r w:rsidRPr="004E4188">
        <w:rPr>
          <w:lang w:val="en-GB"/>
        </w:rPr>
        <w:t xml:space="preserve"> 3</w:t>
      </w:r>
      <w:r w:rsidRPr="004E4188">
        <w:rPr>
          <w:lang w:val="en-GB"/>
        </w:rPr>
        <w:br/>
        <w:t>Service de conception</w:t>
      </w:r>
      <w:bookmarkEnd w:id="513"/>
      <w:bookmarkEnd w:id="514"/>
    </w:p>
    <w:p w14:paraId="78D67659" w14:textId="77777777" w:rsidR="007049A5" w:rsidRPr="004E4188" w:rsidRDefault="007049A5" w:rsidP="006044AC">
      <w:pPr>
        <w:pStyle w:val="Style6"/>
        <w:rPr>
          <w:szCs w:val="24"/>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694"/>
        <w:gridCol w:w="992"/>
        <w:gridCol w:w="1134"/>
        <w:gridCol w:w="1173"/>
        <w:gridCol w:w="1200"/>
        <w:gridCol w:w="1087"/>
      </w:tblGrid>
      <w:tr w:rsidR="007049A5" w:rsidRPr="004E4188" w14:paraId="4BD94A7C" w14:textId="77777777" w:rsidTr="006C6267">
        <w:trPr>
          <w:trHeight w:val="265"/>
        </w:trPr>
        <w:tc>
          <w:tcPr>
            <w:tcW w:w="720" w:type="dxa"/>
            <w:vMerge w:val="restart"/>
            <w:tcBorders>
              <w:top w:val="double" w:sz="4" w:space="0" w:color="auto"/>
              <w:left w:val="double" w:sz="4" w:space="0" w:color="auto"/>
              <w:right w:val="nil"/>
            </w:tcBorders>
          </w:tcPr>
          <w:p w14:paraId="56873C07" w14:textId="389CFB47" w:rsidR="007049A5" w:rsidRPr="004E4188" w:rsidRDefault="007049A5" w:rsidP="001C3B2E">
            <w:pPr>
              <w:jc w:val="center"/>
              <w:rPr>
                <w:sz w:val="22"/>
              </w:rPr>
            </w:pPr>
            <w:r w:rsidRPr="004E4188">
              <w:rPr>
                <w:i/>
                <w:sz w:val="22"/>
                <w:szCs w:val="22"/>
              </w:rPr>
              <w:t>N</w:t>
            </w:r>
            <w:r w:rsidRPr="004E4188">
              <w:rPr>
                <w:i/>
                <w:sz w:val="22"/>
                <w:szCs w:val="22"/>
                <w:vertAlign w:val="superscript"/>
              </w:rPr>
              <w:t xml:space="preserve">o </w:t>
            </w:r>
            <w:r w:rsidRPr="004E4188">
              <w:rPr>
                <w:i/>
                <w:sz w:val="22"/>
                <w:szCs w:val="22"/>
              </w:rPr>
              <w:t>du poste</w:t>
            </w:r>
          </w:p>
        </w:tc>
        <w:tc>
          <w:tcPr>
            <w:tcW w:w="2694" w:type="dxa"/>
            <w:vMerge w:val="restart"/>
            <w:tcBorders>
              <w:top w:val="double" w:sz="4" w:space="0" w:color="auto"/>
              <w:left w:val="single" w:sz="6" w:space="0" w:color="auto"/>
              <w:right w:val="single" w:sz="6" w:space="0" w:color="auto"/>
            </w:tcBorders>
          </w:tcPr>
          <w:p w14:paraId="1D16B096" w14:textId="7960A489" w:rsidR="007049A5" w:rsidRPr="004E4188" w:rsidRDefault="007049A5" w:rsidP="001C3B2E">
            <w:pPr>
              <w:jc w:val="center"/>
              <w:rPr>
                <w:i/>
                <w:sz w:val="22"/>
              </w:rPr>
            </w:pPr>
            <w:r w:rsidRPr="004E4188">
              <w:rPr>
                <w:i/>
              </w:rPr>
              <w:t>Description</w:t>
            </w:r>
          </w:p>
        </w:tc>
        <w:tc>
          <w:tcPr>
            <w:tcW w:w="992" w:type="dxa"/>
            <w:vMerge w:val="restart"/>
            <w:tcBorders>
              <w:top w:val="double" w:sz="4" w:space="0" w:color="auto"/>
              <w:left w:val="single" w:sz="6" w:space="0" w:color="auto"/>
              <w:right w:val="single" w:sz="6" w:space="0" w:color="auto"/>
            </w:tcBorders>
          </w:tcPr>
          <w:p w14:paraId="0A812E61" w14:textId="77777777" w:rsidR="007049A5" w:rsidRPr="004E4188" w:rsidRDefault="007049A5" w:rsidP="001C3B2E">
            <w:pPr>
              <w:jc w:val="center"/>
              <w:rPr>
                <w:i/>
                <w:sz w:val="22"/>
              </w:rPr>
            </w:pPr>
            <w:r w:rsidRPr="004E4188">
              <w:rPr>
                <w:i/>
                <w:sz w:val="22"/>
              </w:rPr>
              <w:t>Quantité</w:t>
            </w:r>
          </w:p>
          <w:p w14:paraId="18DD0872" w14:textId="77777777" w:rsidR="007049A5" w:rsidRPr="004E4188" w:rsidRDefault="007049A5" w:rsidP="00AD7BE7">
            <w:pPr>
              <w:jc w:val="center"/>
              <w:rPr>
                <w:i/>
                <w:sz w:val="22"/>
                <w:lang w:eastAsia="ja-JP"/>
              </w:rPr>
            </w:pPr>
          </w:p>
          <w:p w14:paraId="7299C2A5" w14:textId="77777777" w:rsidR="007049A5" w:rsidRPr="004E4188" w:rsidRDefault="007049A5" w:rsidP="001C3B2E">
            <w:pPr>
              <w:jc w:val="center"/>
              <w:rPr>
                <w:i/>
                <w:sz w:val="22"/>
              </w:rPr>
            </w:pPr>
          </w:p>
          <w:p w14:paraId="0FCD2DDA" w14:textId="77777777" w:rsidR="007049A5" w:rsidRPr="004E4188" w:rsidRDefault="007049A5" w:rsidP="001C3B2E">
            <w:pPr>
              <w:jc w:val="center"/>
              <w:rPr>
                <w:i/>
                <w:sz w:val="22"/>
              </w:rPr>
            </w:pPr>
            <w:r w:rsidRPr="004E4188">
              <w:rPr>
                <w:i/>
                <w:sz w:val="22"/>
              </w:rPr>
              <w:t>(1)</w:t>
            </w:r>
          </w:p>
        </w:tc>
        <w:tc>
          <w:tcPr>
            <w:tcW w:w="2307" w:type="dxa"/>
            <w:gridSpan w:val="2"/>
            <w:tcBorders>
              <w:top w:val="double" w:sz="4" w:space="0" w:color="auto"/>
              <w:left w:val="nil"/>
              <w:bottom w:val="single" w:sz="6" w:space="0" w:color="auto"/>
              <w:right w:val="nil"/>
            </w:tcBorders>
            <w:shd w:val="clear" w:color="auto" w:fill="auto"/>
          </w:tcPr>
          <w:p w14:paraId="4D64CC0D" w14:textId="0B95227E" w:rsidR="007049A5" w:rsidRPr="004E4188" w:rsidRDefault="007049A5" w:rsidP="001C3B2E">
            <w:pPr>
              <w:jc w:val="center"/>
              <w:rPr>
                <w:i/>
                <w:sz w:val="22"/>
                <w:vertAlign w:val="superscript"/>
              </w:rPr>
            </w:pPr>
            <w:r w:rsidRPr="004E4188">
              <w:rPr>
                <w:i/>
                <w:sz w:val="22"/>
              </w:rPr>
              <w:t xml:space="preserve">Prix unitaire </w:t>
            </w:r>
          </w:p>
          <w:p w14:paraId="2EF4EFFB" w14:textId="77777777" w:rsidR="007049A5" w:rsidRPr="004E4188" w:rsidRDefault="007049A5" w:rsidP="001C3B2E">
            <w:pPr>
              <w:jc w:val="center"/>
              <w:rPr>
                <w:i/>
                <w:sz w:val="22"/>
              </w:rPr>
            </w:pPr>
            <w:r w:rsidRPr="004E4188">
              <w:rPr>
                <w:i/>
                <w:sz w:val="22"/>
              </w:rPr>
              <w:t>(2)</w:t>
            </w:r>
          </w:p>
        </w:tc>
        <w:tc>
          <w:tcPr>
            <w:tcW w:w="2287" w:type="dxa"/>
            <w:gridSpan w:val="2"/>
            <w:tcBorders>
              <w:top w:val="double" w:sz="4" w:space="0" w:color="auto"/>
              <w:left w:val="single" w:sz="6" w:space="0" w:color="auto"/>
              <w:bottom w:val="single" w:sz="6" w:space="0" w:color="auto"/>
              <w:right w:val="double" w:sz="4" w:space="0" w:color="auto"/>
            </w:tcBorders>
            <w:shd w:val="clear" w:color="auto" w:fill="auto"/>
          </w:tcPr>
          <w:p w14:paraId="05A7412F" w14:textId="73590606" w:rsidR="007049A5" w:rsidRPr="004E4188" w:rsidRDefault="007049A5" w:rsidP="001C3B2E">
            <w:pPr>
              <w:jc w:val="center"/>
              <w:rPr>
                <w:i/>
                <w:sz w:val="22"/>
                <w:vertAlign w:val="superscript"/>
              </w:rPr>
            </w:pPr>
            <w:r w:rsidRPr="004E4188">
              <w:rPr>
                <w:i/>
                <w:sz w:val="22"/>
              </w:rPr>
              <w:t xml:space="preserve">Prix total </w:t>
            </w:r>
          </w:p>
          <w:p w14:paraId="7C7C691C" w14:textId="77777777" w:rsidR="007049A5" w:rsidRPr="004E4188" w:rsidRDefault="007049A5" w:rsidP="001C3B2E">
            <w:pPr>
              <w:jc w:val="center"/>
              <w:rPr>
                <w:i/>
                <w:sz w:val="22"/>
              </w:rPr>
            </w:pPr>
            <w:r w:rsidRPr="004E4188">
              <w:rPr>
                <w:i/>
                <w:sz w:val="22"/>
              </w:rPr>
              <w:t>(1) x (2)</w:t>
            </w:r>
          </w:p>
        </w:tc>
      </w:tr>
      <w:tr w:rsidR="007049A5" w:rsidRPr="004E4188" w14:paraId="30474316" w14:textId="77777777" w:rsidTr="006C6267">
        <w:trPr>
          <w:trHeight w:val="265"/>
        </w:trPr>
        <w:tc>
          <w:tcPr>
            <w:tcW w:w="720" w:type="dxa"/>
            <w:vMerge/>
            <w:tcBorders>
              <w:left w:val="double" w:sz="4" w:space="0" w:color="auto"/>
              <w:bottom w:val="single" w:sz="6" w:space="0" w:color="auto"/>
              <w:right w:val="nil"/>
            </w:tcBorders>
          </w:tcPr>
          <w:p w14:paraId="6A0B65DD" w14:textId="77777777" w:rsidR="007049A5" w:rsidRPr="004E4188" w:rsidRDefault="007049A5" w:rsidP="001C3B2E">
            <w:pPr>
              <w:jc w:val="center"/>
              <w:rPr>
                <w:sz w:val="22"/>
              </w:rPr>
            </w:pPr>
          </w:p>
        </w:tc>
        <w:tc>
          <w:tcPr>
            <w:tcW w:w="2694" w:type="dxa"/>
            <w:vMerge/>
            <w:tcBorders>
              <w:left w:val="single" w:sz="6" w:space="0" w:color="auto"/>
              <w:bottom w:val="single" w:sz="6" w:space="0" w:color="auto"/>
              <w:right w:val="single" w:sz="6" w:space="0" w:color="auto"/>
            </w:tcBorders>
          </w:tcPr>
          <w:p w14:paraId="524FC1ED" w14:textId="77777777" w:rsidR="007049A5" w:rsidRPr="004E4188" w:rsidRDefault="007049A5" w:rsidP="001C3B2E">
            <w:pPr>
              <w:jc w:val="center"/>
              <w:rPr>
                <w:i/>
                <w:sz w:val="22"/>
              </w:rPr>
            </w:pPr>
          </w:p>
        </w:tc>
        <w:tc>
          <w:tcPr>
            <w:tcW w:w="992" w:type="dxa"/>
            <w:vMerge/>
            <w:tcBorders>
              <w:left w:val="single" w:sz="6" w:space="0" w:color="auto"/>
              <w:bottom w:val="single" w:sz="6" w:space="0" w:color="auto"/>
              <w:right w:val="single" w:sz="6" w:space="0" w:color="auto"/>
            </w:tcBorders>
          </w:tcPr>
          <w:p w14:paraId="58CF777D" w14:textId="77777777" w:rsidR="007049A5" w:rsidRPr="004E4188" w:rsidRDefault="007049A5" w:rsidP="001C3B2E">
            <w:pPr>
              <w:jc w:val="center"/>
              <w:rPr>
                <w:i/>
                <w:sz w:val="22"/>
              </w:rPr>
            </w:pPr>
          </w:p>
        </w:tc>
        <w:tc>
          <w:tcPr>
            <w:tcW w:w="1134" w:type="dxa"/>
            <w:tcBorders>
              <w:top w:val="single" w:sz="6" w:space="0" w:color="auto"/>
              <w:left w:val="nil"/>
              <w:bottom w:val="single" w:sz="6" w:space="0" w:color="auto"/>
              <w:right w:val="single" w:sz="6" w:space="0" w:color="auto"/>
            </w:tcBorders>
            <w:shd w:val="clear" w:color="auto" w:fill="auto"/>
          </w:tcPr>
          <w:p w14:paraId="56E83C57" w14:textId="189AA2FD" w:rsidR="007049A5" w:rsidRPr="004E4188" w:rsidRDefault="008E396F">
            <w:pPr>
              <w:jc w:val="center"/>
              <w:rPr>
                <w:i/>
                <w:sz w:val="22"/>
              </w:rPr>
            </w:pPr>
            <w:r w:rsidRPr="004E4188">
              <w:rPr>
                <w:i/>
                <w:sz w:val="22"/>
              </w:rPr>
              <w:t xml:space="preserve">Part en </w:t>
            </w:r>
            <w:r w:rsidR="007049A5" w:rsidRPr="004E4188">
              <w:rPr>
                <w:i/>
                <w:sz w:val="22"/>
              </w:rPr>
              <w:t xml:space="preserve">Monnaie </w:t>
            </w:r>
            <w:r w:rsidR="007049A5" w:rsidRPr="004E4188">
              <w:rPr>
                <w:i/>
                <w:sz w:val="22"/>
                <w:szCs w:val="22"/>
                <w:lang w:eastAsia="ja-JP"/>
              </w:rPr>
              <w:t>nationale</w:t>
            </w:r>
            <w:r w:rsidR="007049A5" w:rsidRPr="004E4188" w:rsidDel="00A62887">
              <w:rPr>
                <w:i/>
                <w:sz w:val="22"/>
              </w:rPr>
              <w:t xml:space="preserve"> </w:t>
            </w:r>
          </w:p>
        </w:tc>
        <w:tc>
          <w:tcPr>
            <w:tcW w:w="1173" w:type="dxa"/>
            <w:tcBorders>
              <w:top w:val="single" w:sz="6" w:space="0" w:color="auto"/>
              <w:left w:val="single" w:sz="6" w:space="0" w:color="auto"/>
              <w:bottom w:val="single" w:sz="6" w:space="0" w:color="auto"/>
              <w:right w:val="nil"/>
            </w:tcBorders>
            <w:shd w:val="clear" w:color="auto" w:fill="auto"/>
          </w:tcPr>
          <w:p w14:paraId="414789A9" w14:textId="7F6B8B8A" w:rsidR="007049A5" w:rsidRPr="004E4188" w:rsidRDefault="008E396F">
            <w:pPr>
              <w:jc w:val="center"/>
              <w:rPr>
                <w:i/>
                <w:sz w:val="22"/>
              </w:rPr>
            </w:pPr>
            <w:r w:rsidRPr="004E4188">
              <w:rPr>
                <w:i/>
                <w:sz w:val="22"/>
              </w:rPr>
              <w:t xml:space="preserve">Part en </w:t>
            </w:r>
            <w:r w:rsidR="007049A5" w:rsidRPr="004E4188">
              <w:rPr>
                <w:i/>
                <w:sz w:val="22"/>
              </w:rPr>
              <w:t>Monnaie étrangère</w:t>
            </w:r>
            <w:r w:rsidR="007049A5" w:rsidRPr="004E4188" w:rsidDel="00A62887">
              <w:rPr>
                <w:i/>
                <w:sz w:val="22"/>
              </w:rPr>
              <w:t xml:space="preserve"> </w:t>
            </w:r>
          </w:p>
        </w:tc>
        <w:tc>
          <w:tcPr>
            <w:tcW w:w="1200" w:type="dxa"/>
            <w:tcBorders>
              <w:top w:val="single" w:sz="6" w:space="0" w:color="auto"/>
              <w:left w:val="single" w:sz="6" w:space="0" w:color="auto"/>
              <w:bottom w:val="single" w:sz="6" w:space="0" w:color="auto"/>
            </w:tcBorders>
            <w:shd w:val="clear" w:color="auto" w:fill="auto"/>
          </w:tcPr>
          <w:p w14:paraId="7078FF7E" w14:textId="5BD51FD9" w:rsidR="007049A5" w:rsidRPr="004E4188" w:rsidRDefault="008E396F">
            <w:pPr>
              <w:jc w:val="center"/>
              <w:rPr>
                <w:i/>
                <w:sz w:val="22"/>
              </w:rPr>
            </w:pPr>
            <w:r w:rsidRPr="004E4188">
              <w:rPr>
                <w:i/>
                <w:sz w:val="22"/>
              </w:rPr>
              <w:t xml:space="preserve">Part en </w:t>
            </w:r>
            <w:r w:rsidR="007049A5" w:rsidRPr="004E4188">
              <w:rPr>
                <w:i/>
                <w:sz w:val="22"/>
              </w:rPr>
              <w:t xml:space="preserve">Monnaie </w:t>
            </w:r>
            <w:r w:rsidR="007049A5" w:rsidRPr="004E4188">
              <w:rPr>
                <w:i/>
                <w:sz w:val="22"/>
                <w:szCs w:val="22"/>
                <w:lang w:eastAsia="ja-JP"/>
              </w:rPr>
              <w:t>nationale</w:t>
            </w:r>
          </w:p>
          <w:p w14:paraId="151440B5" w14:textId="717B514B" w:rsidR="007049A5" w:rsidRPr="004E4188" w:rsidRDefault="007049A5">
            <w:pPr>
              <w:jc w:val="center"/>
              <w:rPr>
                <w:i/>
                <w:sz w:val="22"/>
              </w:rPr>
            </w:pPr>
            <w:r w:rsidRPr="004E4188" w:rsidDel="00A62887">
              <w:rPr>
                <w:i/>
                <w:sz w:val="22"/>
              </w:rPr>
              <w:t xml:space="preserve"> </w:t>
            </w:r>
          </w:p>
        </w:tc>
        <w:tc>
          <w:tcPr>
            <w:tcW w:w="1087" w:type="dxa"/>
            <w:tcBorders>
              <w:top w:val="single" w:sz="6" w:space="0" w:color="auto"/>
              <w:left w:val="single" w:sz="6" w:space="0" w:color="auto"/>
              <w:bottom w:val="single" w:sz="6" w:space="0" w:color="auto"/>
              <w:right w:val="double" w:sz="4" w:space="0" w:color="auto"/>
            </w:tcBorders>
            <w:shd w:val="clear" w:color="auto" w:fill="auto"/>
          </w:tcPr>
          <w:p w14:paraId="258667C2" w14:textId="1A33A545" w:rsidR="007049A5" w:rsidRPr="004E4188" w:rsidRDefault="008E396F">
            <w:pPr>
              <w:jc w:val="center"/>
              <w:rPr>
                <w:i/>
                <w:sz w:val="22"/>
              </w:rPr>
            </w:pPr>
            <w:r w:rsidRPr="004E4188">
              <w:rPr>
                <w:i/>
                <w:sz w:val="22"/>
              </w:rPr>
              <w:t xml:space="preserve">Part en </w:t>
            </w:r>
            <w:r w:rsidR="007049A5" w:rsidRPr="004E4188">
              <w:rPr>
                <w:i/>
                <w:sz w:val="22"/>
              </w:rPr>
              <w:t>Monnaie étrangère</w:t>
            </w:r>
          </w:p>
        </w:tc>
      </w:tr>
      <w:tr w:rsidR="007049A5" w:rsidRPr="004E4188" w14:paraId="74C3C007" w14:textId="77777777" w:rsidTr="006C6267">
        <w:tc>
          <w:tcPr>
            <w:tcW w:w="720" w:type="dxa"/>
            <w:tcBorders>
              <w:top w:val="single" w:sz="6" w:space="0" w:color="auto"/>
              <w:left w:val="double" w:sz="4" w:space="0" w:color="auto"/>
              <w:bottom w:val="dotted" w:sz="4" w:space="0" w:color="auto"/>
              <w:right w:val="nil"/>
            </w:tcBorders>
          </w:tcPr>
          <w:p w14:paraId="38E57304" w14:textId="77777777" w:rsidR="007049A5" w:rsidRPr="004E4188" w:rsidRDefault="007049A5" w:rsidP="006C6267">
            <w:pPr>
              <w:rPr>
                <w:sz w:val="22"/>
              </w:rPr>
            </w:pPr>
            <w:r w:rsidRPr="004E4188">
              <w:rPr>
                <w:sz w:val="22"/>
                <w:lang w:eastAsia="ja-JP"/>
              </w:rPr>
              <w:t>301</w:t>
            </w:r>
          </w:p>
        </w:tc>
        <w:tc>
          <w:tcPr>
            <w:tcW w:w="2694" w:type="dxa"/>
            <w:tcBorders>
              <w:top w:val="single" w:sz="6" w:space="0" w:color="auto"/>
              <w:left w:val="single" w:sz="6" w:space="0" w:color="auto"/>
              <w:bottom w:val="dotted" w:sz="4" w:space="0" w:color="auto"/>
              <w:right w:val="single" w:sz="6" w:space="0" w:color="auto"/>
            </w:tcBorders>
          </w:tcPr>
          <w:p w14:paraId="557A39FE" w14:textId="77777777" w:rsidR="007049A5" w:rsidRPr="004E4188" w:rsidRDefault="007049A5" w:rsidP="006C6267">
            <w:pPr>
              <w:rPr>
                <w:sz w:val="22"/>
              </w:rPr>
            </w:pPr>
          </w:p>
        </w:tc>
        <w:tc>
          <w:tcPr>
            <w:tcW w:w="992" w:type="dxa"/>
            <w:tcBorders>
              <w:top w:val="single" w:sz="6" w:space="0" w:color="auto"/>
              <w:left w:val="single" w:sz="6" w:space="0" w:color="auto"/>
              <w:bottom w:val="dotted" w:sz="4" w:space="0" w:color="auto"/>
              <w:right w:val="single" w:sz="6" w:space="0" w:color="auto"/>
            </w:tcBorders>
          </w:tcPr>
          <w:p w14:paraId="4D0FA16F" w14:textId="77777777" w:rsidR="007049A5" w:rsidRPr="004E4188" w:rsidRDefault="007049A5" w:rsidP="006C6267">
            <w:pPr>
              <w:rPr>
                <w:sz w:val="22"/>
              </w:rPr>
            </w:pPr>
          </w:p>
        </w:tc>
        <w:tc>
          <w:tcPr>
            <w:tcW w:w="1134" w:type="dxa"/>
            <w:tcBorders>
              <w:top w:val="single" w:sz="6" w:space="0" w:color="auto"/>
              <w:left w:val="nil"/>
              <w:bottom w:val="dotted" w:sz="4" w:space="0" w:color="auto"/>
              <w:right w:val="single" w:sz="6" w:space="0" w:color="auto"/>
            </w:tcBorders>
            <w:shd w:val="clear" w:color="auto" w:fill="auto"/>
          </w:tcPr>
          <w:p w14:paraId="6BB10932" w14:textId="77777777" w:rsidR="007049A5" w:rsidRPr="004E4188" w:rsidRDefault="007049A5" w:rsidP="006C6267">
            <w:pPr>
              <w:rPr>
                <w:sz w:val="22"/>
              </w:rPr>
            </w:pPr>
          </w:p>
        </w:tc>
        <w:tc>
          <w:tcPr>
            <w:tcW w:w="1173" w:type="dxa"/>
            <w:tcBorders>
              <w:top w:val="single" w:sz="6" w:space="0" w:color="auto"/>
              <w:left w:val="nil"/>
              <w:bottom w:val="dotted" w:sz="4" w:space="0" w:color="auto"/>
              <w:right w:val="single" w:sz="6" w:space="0" w:color="auto"/>
            </w:tcBorders>
            <w:shd w:val="clear" w:color="auto" w:fill="auto"/>
          </w:tcPr>
          <w:p w14:paraId="01BAB642" w14:textId="77777777" w:rsidR="007049A5" w:rsidRPr="004E4188" w:rsidRDefault="007049A5" w:rsidP="006C6267">
            <w:pPr>
              <w:rPr>
                <w:sz w:val="22"/>
              </w:rPr>
            </w:pPr>
          </w:p>
        </w:tc>
        <w:tc>
          <w:tcPr>
            <w:tcW w:w="1200" w:type="dxa"/>
            <w:tcBorders>
              <w:top w:val="single" w:sz="6" w:space="0" w:color="auto"/>
              <w:left w:val="nil"/>
              <w:bottom w:val="dotted" w:sz="4" w:space="0" w:color="auto"/>
              <w:right w:val="single" w:sz="6" w:space="0" w:color="auto"/>
            </w:tcBorders>
            <w:shd w:val="clear" w:color="auto" w:fill="auto"/>
          </w:tcPr>
          <w:p w14:paraId="72EEB573" w14:textId="77777777" w:rsidR="007049A5" w:rsidRPr="004E4188" w:rsidRDefault="007049A5" w:rsidP="006C6267">
            <w:pPr>
              <w:rPr>
                <w:sz w:val="22"/>
              </w:rPr>
            </w:pPr>
          </w:p>
        </w:tc>
        <w:tc>
          <w:tcPr>
            <w:tcW w:w="1087" w:type="dxa"/>
            <w:tcBorders>
              <w:top w:val="single" w:sz="6" w:space="0" w:color="auto"/>
              <w:left w:val="single" w:sz="6" w:space="0" w:color="auto"/>
              <w:bottom w:val="dotted" w:sz="4" w:space="0" w:color="auto"/>
              <w:right w:val="double" w:sz="4" w:space="0" w:color="auto"/>
            </w:tcBorders>
            <w:shd w:val="clear" w:color="auto" w:fill="auto"/>
          </w:tcPr>
          <w:p w14:paraId="4AB3F4D1" w14:textId="77777777" w:rsidR="007049A5" w:rsidRPr="004E4188" w:rsidRDefault="007049A5" w:rsidP="006C6267">
            <w:pPr>
              <w:rPr>
                <w:sz w:val="22"/>
              </w:rPr>
            </w:pPr>
          </w:p>
        </w:tc>
      </w:tr>
      <w:tr w:rsidR="007049A5" w:rsidRPr="004E4188" w14:paraId="1CAEFBE3" w14:textId="77777777" w:rsidTr="006C6267">
        <w:tc>
          <w:tcPr>
            <w:tcW w:w="720" w:type="dxa"/>
            <w:tcBorders>
              <w:top w:val="dotted" w:sz="4" w:space="0" w:color="auto"/>
              <w:left w:val="double" w:sz="4" w:space="0" w:color="auto"/>
              <w:bottom w:val="dotted" w:sz="4" w:space="0" w:color="auto"/>
              <w:right w:val="nil"/>
            </w:tcBorders>
          </w:tcPr>
          <w:p w14:paraId="14AABF09" w14:textId="77777777" w:rsidR="007049A5" w:rsidRPr="004E4188" w:rsidRDefault="007049A5" w:rsidP="006C6267">
            <w:pPr>
              <w:rPr>
                <w:sz w:val="22"/>
              </w:rPr>
            </w:pPr>
            <w:r w:rsidRPr="004E4188">
              <w:rPr>
                <w:sz w:val="22"/>
                <w:lang w:eastAsia="ja-JP"/>
              </w:rPr>
              <w:t>302</w:t>
            </w:r>
          </w:p>
        </w:tc>
        <w:tc>
          <w:tcPr>
            <w:tcW w:w="2694" w:type="dxa"/>
            <w:tcBorders>
              <w:top w:val="dotted" w:sz="4" w:space="0" w:color="auto"/>
              <w:left w:val="single" w:sz="6" w:space="0" w:color="auto"/>
              <w:bottom w:val="dotted" w:sz="4" w:space="0" w:color="auto"/>
              <w:right w:val="single" w:sz="6" w:space="0" w:color="auto"/>
            </w:tcBorders>
          </w:tcPr>
          <w:p w14:paraId="756F84B9" w14:textId="77777777" w:rsidR="007049A5" w:rsidRPr="004E4188" w:rsidRDefault="007049A5" w:rsidP="006C6267">
            <w:pPr>
              <w:rPr>
                <w:sz w:val="22"/>
              </w:rPr>
            </w:pPr>
          </w:p>
        </w:tc>
        <w:tc>
          <w:tcPr>
            <w:tcW w:w="992" w:type="dxa"/>
            <w:tcBorders>
              <w:top w:val="dotted" w:sz="4" w:space="0" w:color="auto"/>
              <w:left w:val="single" w:sz="6" w:space="0" w:color="auto"/>
              <w:bottom w:val="dotted" w:sz="4" w:space="0" w:color="auto"/>
              <w:right w:val="single" w:sz="6" w:space="0" w:color="auto"/>
            </w:tcBorders>
          </w:tcPr>
          <w:p w14:paraId="52439FD9" w14:textId="77777777" w:rsidR="007049A5" w:rsidRPr="004E4188" w:rsidRDefault="007049A5" w:rsidP="006C6267">
            <w:pPr>
              <w:rPr>
                <w:sz w:val="22"/>
              </w:rPr>
            </w:pPr>
          </w:p>
        </w:tc>
        <w:tc>
          <w:tcPr>
            <w:tcW w:w="1134" w:type="dxa"/>
            <w:tcBorders>
              <w:top w:val="dotted" w:sz="4" w:space="0" w:color="auto"/>
              <w:left w:val="nil"/>
              <w:bottom w:val="dotted" w:sz="4" w:space="0" w:color="auto"/>
              <w:right w:val="single" w:sz="6" w:space="0" w:color="auto"/>
            </w:tcBorders>
            <w:shd w:val="clear" w:color="auto" w:fill="auto"/>
          </w:tcPr>
          <w:p w14:paraId="07581E61" w14:textId="77777777" w:rsidR="007049A5" w:rsidRPr="004E4188" w:rsidRDefault="007049A5" w:rsidP="006C6267">
            <w:pPr>
              <w:rPr>
                <w:sz w:val="22"/>
              </w:rPr>
            </w:pPr>
          </w:p>
        </w:tc>
        <w:tc>
          <w:tcPr>
            <w:tcW w:w="1173" w:type="dxa"/>
            <w:tcBorders>
              <w:top w:val="dotted" w:sz="4" w:space="0" w:color="auto"/>
              <w:left w:val="nil"/>
              <w:bottom w:val="dotted" w:sz="4" w:space="0" w:color="auto"/>
              <w:right w:val="single" w:sz="6" w:space="0" w:color="auto"/>
            </w:tcBorders>
            <w:shd w:val="clear" w:color="auto" w:fill="auto"/>
          </w:tcPr>
          <w:p w14:paraId="5A921AD8" w14:textId="77777777" w:rsidR="007049A5" w:rsidRPr="004E4188" w:rsidRDefault="007049A5" w:rsidP="006C6267">
            <w:pPr>
              <w:rPr>
                <w:sz w:val="22"/>
              </w:rPr>
            </w:pPr>
          </w:p>
        </w:tc>
        <w:tc>
          <w:tcPr>
            <w:tcW w:w="1200" w:type="dxa"/>
            <w:tcBorders>
              <w:top w:val="dotted" w:sz="4" w:space="0" w:color="auto"/>
              <w:left w:val="nil"/>
              <w:bottom w:val="dotted" w:sz="4" w:space="0" w:color="auto"/>
              <w:right w:val="single" w:sz="6" w:space="0" w:color="auto"/>
            </w:tcBorders>
            <w:shd w:val="clear" w:color="auto" w:fill="auto"/>
          </w:tcPr>
          <w:p w14:paraId="321CC5BC" w14:textId="77777777" w:rsidR="007049A5" w:rsidRPr="004E4188" w:rsidRDefault="007049A5" w:rsidP="006C6267">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14DA7B0A" w14:textId="77777777" w:rsidR="007049A5" w:rsidRPr="004E4188" w:rsidRDefault="007049A5" w:rsidP="006C6267">
            <w:pPr>
              <w:rPr>
                <w:sz w:val="22"/>
              </w:rPr>
            </w:pPr>
          </w:p>
        </w:tc>
      </w:tr>
      <w:tr w:rsidR="007049A5" w:rsidRPr="004E4188" w14:paraId="0DA0C592" w14:textId="77777777" w:rsidTr="006C6267">
        <w:tc>
          <w:tcPr>
            <w:tcW w:w="720" w:type="dxa"/>
            <w:tcBorders>
              <w:top w:val="dotted" w:sz="4" w:space="0" w:color="auto"/>
              <w:left w:val="double" w:sz="4" w:space="0" w:color="auto"/>
              <w:bottom w:val="dotted" w:sz="4" w:space="0" w:color="auto"/>
              <w:right w:val="nil"/>
            </w:tcBorders>
          </w:tcPr>
          <w:p w14:paraId="0001F15C" w14:textId="77777777" w:rsidR="007049A5" w:rsidRPr="004E4188" w:rsidRDefault="007049A5" w:rsidP="006C6267">
            <w:pPr>
              <w:rPr>
                <w:sz w:val="22"/>
              </w:rPr>
            </w:pPr>
            <w:r w:rsidRPr="004E4188">
              <w:rPr>
                <w:sz w:val="22"/>
                <w:lang w:eastAsia="ja-JP"/>
              </w:rPr>
              <w:t>303</w:t>
            </w:r>
          </w:p>
        </w:tc>
        <w:tc>
          <w:tcPr>
            <w:tcW w:w="2694" w:type="dxa"/>
            <w:tcBorders>
              <w:top w:val="dotted" w:sz="4" w:space="0" w:color="auto"/>
              <w:left w:val="single" w:sz="6" w:space="0" w:color="auto"/>
              <w:bottom w:val="dotted" w:sz="4" w:space="0" w:color="auto"/>
              <w:right w:val="single" w:sz="6" w:space="0" w:color="auto"/>
            </w:tcBorders>
          </w:tcPr>
          <w:p w14:paraId="65950B3F" w14:textId="77777777" w:rsidR="007049A5" w:rsidRPr="004E4188" w:rsidRDefault="007049A5" w:rsidP="006C6267">
            <w:pPr>
              <w:rPr>
                <w:sz w:val="22"/>
              </w:rPr>
            </w:pPr>
          </w:p>
        </w:tc>
        <w:tc>
          <w:tcPr>
            <w:tcW w:w="992" w:type="dxa"/>
            <w:tcBorders>
              <w:top w:val="dotted" w:sz="4" w:space="0" w:color="auto"/>
              <w:left w:val="single" w:sz="6" w:space="0" w:color="auto"/>
              <w:bottom w:val="dotted" w:sz="4" w:space="0" w:color="auto"/>
              <w:right w:val="single" w:sz="6" w:space="0" w:color="auto"/>
            </w:tcBorders>
          </w:tcPr>
          <w:p w14:paraId="21DD4BE7" w14:textId="77777777" w:rsidR="007049A5" w:rsidRPr="004E4188" w:rsidRDefault="007049A5" w:rsidP="006C6267">
            <w:pPr>
              <w:rPr>
                <w:sz w:val="22"/>
              </w:rPr>
            </w:pPr>
          </w:p>
        </w:tc>
        <w:tc>
          <w:tcPr>
            <w:tcW w:w="1134" w:type="dxa"/>
            <w:tcBorders>
              <w:top w:val="dotted" w:sz="4" w:space="0" w:color="auto"/>
              <w:left w:val="nil"/>
              <w:bottom w:val="dotted" w:sz="4" w:space="0" w:color="auto"/>
              <w:right w:val="single" w:sz="6" w:space="0" w:color="auto"/>
            </w:tcBorders>
            <w:shd w:val="clear" w:color="auto" w:fill="auto"/>
          </w:tcPr>
          <w:p w14:paraId="41B5A05B" w14:textId="77777777" w:rsidR="007049A5" w:rsidRPr="004E4188" w:rsidRDefault="007049A5" w:rsidP="006C6267">
            <w:pPr>
              <w:rPr>
                <w:sz w:val="22"/>
              </w:rPr>
            </w:pPr>
          </w:p>
        </w:tc>
        <w:tc>
          <w:tcPr>
            <w:tcW w:w="1173" w:type="dxa"/>
            <w:tcBorders>
              <w:top w:val="dotted" w:sz="4" w:space="0" w:color="auto"/>
              <w:left w:val="nil"/>
              <w:bottom w:val="dotted" w:sz="4" w:space="0" w:color="auto"/>
              <w:right w:val="single" w:sz="6" w:space="0" w:color="auto"/>
            </w:tcBorders>
            <w:shd w:val="clear" w:color="auto" w:fill="auto"/>
          </w:tcPr>
          <w:p w14:paraId="6FD588D0" w14:textId="77777777" w:rsidR="007049A5" w:rsidRPr="004E4188" w:rsidRDefault="007049A5" w:rsidP="006C6267">
            <w:pPr>
              <w:rPr>
                <w:sz w:val="22"/>
              </w:rPr>
            </w:pPr>
          </w:p>
        </w:tc>
        <w:tc>
          <w:tcPr>
            <w:tcW w:w="1200" w:type="dxa"/>
            <w:tcBorders>
              <w:top w:val="dotted" w:sz="4" w:space="0" w:color="auto"/>
              <w:left w:val="nil"/>
              <w:bottom w:val="dotted" w:sz="4" w:space="0" w:color="auto"/>
              <w:right w:val="single" w:sz="6" w:space="0" w:color="auto"/>
            </w:tcBorders>
            <w:shd w:val="clear" w:color="auto" w:fill="auto"/>
          </w:tcPr>
          <w:p w14:paraId="6DEE97E2" w14:textId="77777777" w:rsidR="007049A5" w:rsidRPr="004E4188" w:rsidRDefault="007049A5" w:rsidP="006C6267">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7545B0E9" w14:textId="77777777" w:rsidR="007049A5" w:rsidRPr="004E4188" w:rsidRDefault="007049A5" w:rsidP="006C6267">
            <w:pPr>
              <w:rPr>
                <w:sz w:val="22"/>
              </w:rPr>
            </w:pPr>
          </w:p>
        </w:tc>
      </w:tr>
      <w:tr w:rsidR="007049A5" w:rsidRPr="004E4188" w14:paraId="70BA9A6A" w14:textId="77777777" w:rsidTr="006C6267">
        <w:tc>
          <w:tcPr>
            <w:tcW w:w="720" w:type="dxa"/>
            <w:tcBorders>
              <w:top w:val="dotted" w:sz="4" w:space="0" w:color="auto"/>
              <w:left w:val="double" w:sz="4" w:space="0" w:color="auto"/>
              <w:bottom w:val="dotted" w:sz="4" w:space="0" w:color="auto"/>
              <w:right w:val="nil"/>
            </w:tcBorders>
          </w:tcPr>
          <w:p w14:paraId="6BC82D4E" w14:textId="77777777" w:rsidR="007049A5" w:rsidRPr="004E4188" w:rsidRDefault="007049A5" w:rsidP="006C6267">
            <w:pPr>
              <w:rPr>
                <w:sz w:val="22"/>
              </w:rPr>
            </w:pPr>
            <w:r w:rsidRPr="004E4188">
              <w:rPr>
                <w:sz w:val="22"/>
                <w:lang w:eastAsia="ja-JP"/>
              </w:rPr>
              <w:t>304</w:t>
            </w:r>
          </w:p>
        </w:tc>
        <w:tc>
          <w:tcPr>
            <w:tcW w:w="2694" w:type="dxa"/>
            <w:tcBorders>
              <w:top w:val="dotted" w:sz="4" w:space="0" w:color="auto"/>
              <w:left w:val="single" w:sz="6" w:space="0" w:color="auto"/>
              <w:bottom w:val="dotted" w:sz="4" w:space="0" w:color="auto"/>
              <w:right w:val="single" w:sz="6" w:space="0" w:color="auto"/>
            </w:tcBorders>
          </w:tcPr>
          <w:p w14:paraId="797EFD2C" w14:textId="77777777" w:rsidR="007049A5" w:rsidRPr="004E4188" w:rsidRDefault="007049A5" w:rsidP="006C6267">
            <w:pPr>
              <w:rPr>
                <w:sz w:val="22"/>
              </w:rPr>
            </w:pPr>
          </w:p>
        </w:tc>
        <w:tc>
          <w:tcPr>
            <w:tcW w:w="992" w:type="dxa"/>
            <w:tcBorders>
              <w:top w:val="dotted" w:sz="4" w:space="0" w:color="auto"/>
              <w:left w:val="single" w:sz="6" w:space="0" w:color="auto"/>
              <w:bottom w:val="dotted" w:sz="4" w:space="0" w:color="auto"/>
              <w:right w:val="single" w:sz="6" w:space="0" w:color="auto"/>
            </w:tcBorders>
          </w:tcPr>
          <w:p w14:paraId="17C37A4C" w14:textId="77777777" w:rsidR="007049A5" w:rsidRPr="004E4188" w:rsidRDefault="007049A5" w:rsidP="006C6267">
            <w:pPr>
              <w:rPr>
                <w:sz w:val="22"/>
              </w:rPr>
            </w:pPr>
          </w:p>
        </w:tc>
        <w:tc>
          <w:tcPr>
            <w:tcW w:w="1134" w:type="dxa"/>
            <w:tcBorders>
              <w:top w:val="dotted" w:sz="4" w:space="0" w:color="auto"/>
              <w:left w:val="nil"/>
              <w:bottom w:val="dotted" w:sz="4" w:space="0" w:color="auto"/>
              <w:right w:val="single" w:sz="6" w:space="0" w:color="auto"/>
            </w:tcBorders>
            <w:shd w:val="clear" w:color="auto" w:fill="auto"/>
          </w:tcPr>
          <w:p w14:paraId="41376C15" w14:textId="77777777" w:rsidR="007049A5" w:rsidRPr="004E4188" w:rsidRDefault="007049A5" w:rsidP="006C6267">
            <w:pPr>
              <w:rPr>
                <w:sz w:val="22"/>
              </w:rPr>
            </w:pPr>
          </w:p>
        </w:tc>
        <w:tc>
          <w:tcPr>
            <w:tcW w:w="1173" w:type="dxa"/>
            <w:tcBorders>
              <w:top w:val="dotted" w:sz="4" w:space="0" w:color="auto"/>
              <w:left w:val="nil"/>
              <w:bottom w:val="dotted" w:sz="4" w:space="0" w:color="auto"/>
              <w:right w:val="single" w:sz="6" w:space="0" w:color="auto"/>
            </w:tcBorders>
            <w:shd w:val="clear" w:color="auto" w:fill="auto"/>
          </w:tcPr>
          <w:p w14:paraId="063A3D7F" w14:textId="77777777" w:rsidR="007049A5" w:rsidRPr="004E4188" w:rsidRDefault="007049A5" w:rsidP="006C6267">
            <w:pPr>
              <w:rPr>
                <w:sz w:val="22"/>
              </w:rPr>
            </w:pPr>
          </w:p>
        </w:tc>
        <w:tc>
          <w:tcPr>
            <w:tcW w:w="1200" w:type="dxa"/>
            <w:tcBorders>
              <w:top w:val="dotted" w:sz="4" w:space="0" w:color="auto"/>
              <w:left w:val="nil"/>
              <w:bottom w:val="dotted" w:sz="4" w:space="0" w:color="auto"/>
              <w:right w:val="single" w:sz="6" w:space="0" w:color="auto"/>
            </w:tcBorders>
            <w:shd w:val="clear" w:color="auto" w:fill="auto"/>
          </w:tcPr>
          <w:p w14:paraId="0355D8C7" w14:textId="77777777" w:rsidR="007049A5" w:rsidRPr="004E4188" w:rsidRDefault="007049A5" w:rsidP="006C6267">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0F6A0125" w14:textId="77777777" w:rsidR="007049A5" w:rsidRPr="004E4188" w:rsidRDefault="007049A5" w:rsidP="006C6267">
            <w:pPr>
              <w:rPr>
                <w:sz w:val="22"/>
              </w:rPr>
            </w:pPr>
          </w:p>
        </w:tc>
      </w:tr>
      <w:tr w:rsidR="007049A5" w:rsidRPr="004E4188" w14:paraId="0CD15650" w14:textId="77777777" w:rsidTr="006C6267">
        <w:tc>
          <w:tcPr>
            <w:tcW w:w="720" w:type="dxa"/>
            <w:tcBorders>
              <w:top w:val="dotted" w:sz="4" w:space="0" w:color="auto"/>
              <w:left w:val="double" w:sz="4" w:space="0" w:color="auto"/>
              <w:bottom w:val="dotted" w:sz="4" w:space="0" w:color="auto"/>
              <w:right w:val="nil"/>
            </w:tcBorders>
          </w:tcPr>
          <w:p w14:paraId="41C2DAA1" w14:textId="77777777" w:rsidR="007049A5" w:rsidRPr="004E4188" w:rsidRDefault="007049A5" w:rsidP="006C6267">
            <w:pPr>
              <w:rPr>
                <w:sz w:val="22"/>
              </w:rPr>
            </w:pPr>
            <w:r w:rsidRPr="004E4188">
              <w:rPr>
                <w:sz w:val="22"/>
                <w:lang w:eastAsia="ja-JP"/>
              </w:rPr>
              <w:t>305</w:t>
            </w:r>
          </w:p>
        </w:tc>
        <w:tc>
          <w:tcPr>
            <w:tcW w:w="2694" w:type="dxa"/>
            <w:tcBorders>
              <w:top w:val="dotted" w:sz="4" w:space="0" w:color="auto"/>
              <w:left w:val="single" w:sz="6" w:space="0" w:color="auto"/>
              <w:bottom w:val="dotted" w:sz="4" w:space="0" w:color="auto"/>
              <w:right w:val="single" w:sz="6" w:space="0" w:color="auto"/>
            </w:tcBorders>
          </w:tcPr>
          <w:p w14:paraId="6B4A31B8" w14:textId="77777777" w:rsidR="007049A5" w:rsidRPr="004E4188" w:rsidRDefault="007049A5" w:rsidP="006C6267">
            <w:pPr>
              <w:rPr>
                <w:sz w:val="22"/>
              </w:rPr>
            </w:pPr>
          </w:p>
        </w:tc>
        <w:tc>
          <w:tcPr>
            <w:tcW w:w="992" w:type="dxa"/>
            <w:tcBorders>
              <w:top w:val="dotted" w:sz="4" w:space="0" w:color="auto"/>
              <w:left w:val="single" w:sz="6" w:space="0" w:color="auto"/>
              <w:bottom w:val="dotted" w:sz="4" w:space="0" w:color="auto"/>
              <w:right w:val="single" w:sz="6" w:space="0" w:color="auto"/>
            </w:tcBorders>
          </w:tcPr>
          <w:p w14:paraId="18625AE1" w14:textId="77777777" w:rsidR="007049A5" w:rsidRPr="004E4188" w:rsidRDefault="007049A5" w:rsidP="006C6267">
            <w:pPr>
              <w:rPr>
                <w:sz w:val="22"/>
              </w:rPr>
            </w:pPr>
          </w:p>
        </w:tc>
        <w:tc>
          <w:tcPr>
            <w:tcW w:w="1134" w:type="dxa"/>
            <w:tcBorders>
              <w:top w:val="dotted" w:sz="4" w:space="0" w:color="auto"/>
              <w:left w:val="nil"/>
              <w:bottom w:val="dotted" w:sz="4" w:space="0" w:color="auto"/>
              <w:right w:val="single" w:sz="6" w:space="0" w:color="auto"/>
            </w:tcBorders>
            <w:shd w:val="clear" w:color="auto" w:fill="auto"/>
          </w:tcPr>
          <w:p w14:paraId="1045271C" w14:textId="77777777" w:rsidR="007049A5" w:rsidRPr="004E4188" w:rsidRDefault="007049A5" w:rsidP="006C6267">
            <w:pPr>
              <w:rPr>
                <w:sz w:val="22"/>
              </w:rPr>
            </w:pPr>
          </w:p>
        </w:tc>
        <w:tc>
          <w:tcPr>
            <w:tcW w:w="1173" w:type="dxa"/>
            <w:tcBorders>
              <w:top w:val="dotted" w:sz="4" w:space="0" w:color="auto"/>
              <w:left w:val="nil"/>
              <w:bottom w:val="dotted" w:sz="4" w:space="0" w:color="auto"/>
              <w:right w:val="single" w:sz="6" w:space="0" w:color="auto"/>
            </w:tcBorders>
            <w:shd w:val="clear" w:color="auto" w:fill="auto"/>
          </w:tcPr>
          <w:p w14:paraId="47FA0795" w14:textId="77777777" w:rsidR="007049A5" w:rsidRPr="004E4188" w:rsidRDefault="007049A5" w:rsidP="006C6267">
            <w:pPr>
              <w:rPr>
                <w:sz w:val="22"/>
              </w:rPr>
            </w:pPr>
          </w:p>
        </w:tc>
        <w:tc>
          <w:tcPr>
            <w:tcW w:w="1200" w:type="dxa"/>
            <w:tcBorders>
              <w:top w:val="dotted" w:sz="4" w:space="0" w:color="auto"/>
              <w:left w:val="nil"/>
              <w:bottom w:val="dotted" w:sz="4" w:space="0" w:color="auto"/>
              <w:right w:val="single" w:sz="6" w:space="0" w:color="auto"/>
            </w:tcBorders>
            <w:shd w:val="clear" w:color="auto" w:fill="auto"/>
          </w:tcPr>
          <w:p w14:paraId="5E01B1A0" w14:textId="77777777" w:rsidR="007049A5" w:rsidRPr="004E4188" w:rsidRDefault="007049A5" w:rsidP="006C6267">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02082072" w14:textId="77777777" w:rsidR="007049A5" w:rsidRPr="004E4188" w:rsidRDefault="007049A5" w:rsidP="006C6267">
            <w:pPr>
              <w:rPr>
                <w:sz w:val="22"/>
              </w:rPr>
            </w:pPr>
          </w:p>
        </w:tc>
      </w:tr>
      <w:tr w:rsidR="007049A5" w:rsidRPr="004E4188" w14:paraId="76DCFC42" w14:textId="77777777" w:rsidTr="006C6267">
        <w:tc>
          <w:tcPr>
            <w:tcW w:w="720" w:type="dxa"/>
            <w:tcBorders>
              <w:top w:val="dotted" w:sz="4" w:space="0" w:color="auto"/>
              <w:left w:val="double" w:sz="4" w:space="0" w:color="auto"/>
              <w:bottom w:val="dotted" w:sz="4" w:space="0" w:color="auto"/>
              <w:right w:val="nil"/>
            </w:tcBorders>
          </w:tcPr>
          <w:p w14:paraId="55E8E493" w14:textId="77777777" w:rsidR="007049A5" w:rsidRPr="004E4188" w:rsidRDefault="007049A5" w:rsidP="006C6267">
            <w:pPr>
              <w:rPr>
                <w:sz w:val="22"/>
              </w:rPr>
            </w:pPr>
            <w:r w:rsidRPr="004E4188">
              <w:rPr>
                <w:sz w:val="22"/>
                <w:lang w:eastAsia="ja-JP"/>
              </w:rPr>
              <w:t>306</w:t>
            </w:r>
          </w:p>
        </w:tc>
        <w:tc>
          <w:tcPr>
            <w:tcW w:w="2694" w:type="dxa"/>
            <w:tcBorders>
              <w:top w:val="dotted" w:sz="4" w:space="0" w:color="auto"/>
              <w:left w:val="single" w:sz="6" w:space="0" w:color="auto"/>
              <w:bottom w:val="dotted" w:sz="4" w:space="0" w:color="auto"/>
              <w:right w:val="single" w:sz="6" w:space="0" w:color="auto"/>
            </w:tcBorders>
          </w:tcPr>
          <w:p w14:paraId="6295BDFF" w14:textId="77777777" w:rsidR="007049A5" w:rsidRPr="004E4188" w:rsidRDefault="007049A5" w:rsidP="006C6267">
            <w:pPr>
              <w:rPr>
                <w:sz w:val="22"/>
              </w:rPr>
            </w:pPr>
          </w:p>
        </w:tc>
        <w:tc>
          <w:tcPr>
            <w:tcW w:w="992" w:type="dxa"/>
            <w:tcBorders>
              <w:top w:val="dotted" w:sz="4" w:space="0" w:color="auto"/>
              <w:left w:val="single" w:sz="6" w:space="0" w:color="auto"/>
              <w:bottom w:val="dotted" w:sz="4" w:space="0" w:color="auto"/>
              <w:right w:val="single" w:sz="6" w:space="0" w:color="auto"/>
            </w:tcBorders>
          </w:tcPr>
          <w:p w14:paraId="25A6D20E" w14:textId="77777777" w:rsidR="007049A5" w:rsidRPr="004E4188" w:rsidRDefault="007049A5" w:rsidP="006C6267">
            <w:pPr>
              <w:rPr>
                <w:sz w:val="22"/>
              </w:rPr>
            </w:pPr>
          </w:p>
        </w:tc>
        <w:tc>
          <w:tcPr>
            <w:tcW w:w="1134" w:type="dxa"/>
            <w:tcBorders>
              <w:top w:val="dotted" w:sz="4" w:space="0" w:color="auto"/>
              <w:left w:val="nil"/>
              <w:bottom w:val="dotted" w:sz="4" w:space="0" w:color="auto"/>
              <w:right w:val="single" w:sz="6" w:space="0" w:color="auto"/>
            </w:tcBorders>
            <w:shd w:val="clear" w:color="auto" w:fill="auto"/>
          </w:tcPr>
          <w:p w14:paraId="0BD52494" w14:textId="77777777" w:rsidR="007049A5" w:rsidRPr="004E4188" w:rsidRDefault="007049A5" w:rsidP="006C6267">
            <w:pPr>
              <w:rPr>
                <w:sz w:val="22"/>
              </w:rPr>
            </w:pPr>
          </w:p>
        </w:tc>
        <w:tc>
          <w:tcPr>
            <w:tcW w:w="1173" w:type="dxa"/>
            <w:tcBorders>
              <w:top w:val="dotted" w:sz="4" w:space="0" w:color="auto"/>
              <w:left w:val="nil"/>
              <w:bottom w:val="dotted" w:sz="4" w:space="0" w:color="auto"/>
              <w:right w:val="single" w:sz="6" w:space="0" w:color="auto"/>
            </w:tcBorders>
            <w:shd w:val="clear" w:color="auto" w:fill="auto"/>
          </w:tcPr>
          <w:p w14:paraId="0AE8EBCE" w14:textId="77777777" w:rsidR="007049A5" w:rsidRPr="004E4188" w:rsidRDefault="007049A5" w:rsidP="006C6267">
            <w:pPr>
              <w:rPr>
                <w:sz w:val="22"/>
              </w:rPr>
            </w:pPr>
          </w:p>
        </w:tc>
        <w:tc>
          <w:tcPr>
            <w:tcW w:w="1200" w:type="dxa"/>
            <w:tcBorders>
              <w:top w:val="dotted" w:sz="4" w:space="0" w:color="auto"/>
              <w:left w:val="nil"/>
              <w:bottom w:val="dotted" w:sz="4" w:space="0" w:color="auto"/>
              <w:right w:val="single" w:sz="6" w:space="0" w:color="auto"/>
            </w:tcBorders>
            <w:shd w:val="clear" w:color="auto" w:fill="auto"/>
          </w:tcPr>
          <w:p w14:paraId="24AAED7E" w14:textId="77777777" w:rsidR="007049A5" w:rsidRPr="004E4188" w:rsidRDefault="007049A5" w:rsidP="006C6267">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4C65C254" w14:textId="77777777" w:rsidR="007049A5" w:rsidRPr="004E4188" w:rsidRDefault="007049A5" w:rsidP="006C6267">
            <w:pPr>
              <w:rPr>
                <w:sz w:val="22"/>
              </w:rPr>
            </w:pPr>
          </w:p>
        </w:tc>
      </w:tr>
      <w:tr w:rsidR="007049A5" w:rsidRPr="004E4188" w14:paraId="4D29397D" w14:textId="77777777" w:rsidTr="006C6267">
        <w:tc>
          <w:tcPr>
            <w:tcW w:w="720" w:type="dxa"/>
            <w:tcBorders>
              <w:top w:val="dotted" w:sz="4" w:space="0" w:color="auto"/>
              <w:left w:val="double" w:sz="4" w:space="0" w:color="auto"/>
              <w:bottom w:val="dotted" w:sz="4" w:space="0" w:color="auto"/>
              <w:right w:val="nil"/>
            </w:tcBorders>
          </w:tcPr>
          <w:p w14:paraId="16C677D3" w14:textId="77777777" w:rsidR="007049A5" w:rsidRPr="004E4188" w:rsidRDefault="007049A5" w:rsidP="006C6267">
            <w:pPr>
              <w:rPr>
                <w:sz w:val="22"/>
              </w:rPr>
            </w:pPr>
            <w:r w:rsidRPr="004E4188">
              <w:rPr>
                <w:sz w:val="22"/>
                <w:lang w:eastAsia="ja-JP"/>
              </w:rPr>
              <w:t>307</w:t>
            </w:r>
          </w:p>
        </w:tc>
        <w:tc>
          <w:tcPr>
            <w:tcW w:w="2694" w:type="dxa"/>
            <w:tcBorders>
              <w:top w:val="dotted" w:sz="4" w:space="0" w:color="auto"/>
              <w:left w:val="single" w:sz="6" w:space="0" w:color="auto"/>
              <w:bottom w:val="dotted" w:sz="4" w:space="0" w:color="auto"/>
              <w:right w:val="single" w:sz="6" w:space="0" w:color="auto"/>
            </w:tcBorders>
          </w:tcPr>
          <w:p w14:paraId="56EF9944" w14:textId="77777777" w:rsidR="007049A5" w:rsidRPr="004E4188" w:rsidRDefault="007049A5" w:rsidP="006C6267">
            <w:pPr>
              <w:rPr>
                <w:sz w:val="22"/>
              </w:rPr>
            </w:pPr>
          </w:p>
        </w:tc>
        <w:tc>
          <w:tcPr>
            <w:tcW w:w="992" w:type="dxa"/>
            <w:tcBorders>
              <w:top w:val="dotted" w:sz="4" w:space="0" w:color="auto"/>
              <w:left w:val="single" w:sz="6" w:space="0" w:color="auto"/>
              <w:bottom w:val="dotted" w:sz="4" w:space="0" w:color="auto"/>
              <w:right w:val="single" w:sz="6" w:space="0" w:color="auto"/>
            </w:tcBorders>
          </w:tcPr>
          <w:p w14:paraId="40D7A7B6" w14:textId="77777777" w:rsidR="007049A5" w:rsidRPr="004E4188" w:rsidRDefault="007049A5" w:rsidP="006C6267">
            <w:pPr>
              <w:rPr>
                <w:sz w:val="22"/>
              </w:rPr>
            </w:pPr>
          </w:p>
        </w:tc>
        <w:tc>
          <w:tcPr>
            <w:tcW w:w="1134" w:type="dxa"/>
            <w:tcBorders>
              <w:top w:val="dotted" w:sz="4" w:space="0" w:color="auto"/>
              <w:left w:val="nil"/>
              <w:bottom w:val="dotted" w:sz="4" w:space="0" w:color="auto"/>
              <w:right w:val="single" w:sz="6" w:space="0" w:color="auto"/>
            </w:tcBorders>
            <w:shd w:val="clear" w:color="auto" w:fill="auto"/>
          </w:tcPr>
          <w:p w14:paraId="2C49BB13" w14:textId="77777777" w:rsidR="007049A5" w:rsidRPr="004E4188" w:rsidRDefault="007049A5" w:rsidP="006C6267">
            <w:pPr>
              <w:rPr>
                <w:sz w:val="22"/>
              </w:rPr>
            </w:pPr>
          </w:p>
        </w:tc>
        <w:tc>
          <w:tcPr>
            <w:tcW w:w="1173" w:type="dxa"/>
            <w:tcBorders>
              <w:top w:val="dotted" w:sz="4" w:space="0" w:color="auto"/>
              <w:left w:val="nil"/>
              <w:bottom w:val="dotted" w:sz="4" w:space="0" w:color="auto"/>
              <w:right w:val="single" w:sz="6" w:space="0" w:color="auto"/>
            </w:tcBorders>
            <w:shd w:val="clear" w:color="auto" w:fill="auto"/>
          </w:tcPr>
          <w:p w14:paraId="239A8618" w14:textId="77777777" w:rsidR="007049A5" w:rsidRPr="004E4188" w:rsidRDefault="007049A5" w:rsidP="006C6267">
            <w:pPr>
              <w:rPr>
                <w:sz w:val="22"/>
              </w:rPr>
            </w:pPr>
          </w:p>
        </w:tc>
        <w:tc>
          <w:tcPr>
            <w:tcW w:w="1200" w:type="dxa"/>
            <w:tcBorders>
              <w:top w:val="dotted" w:sz="4" w:space="0" w:color="auto"/>
              <w:left w:val="nil"/>
              <w:bottom w:val="dotted" w:sz="4" w:space="0" w:color="auto"/>
              <w:right w:val="single" w:sz="6" w:space="0" w:color="auto"/>
            </w:tcBorders>
            <w:shd w:val="clear" w:color="auto" w:fill="auto"/>
          </w:tcPr>
          <w:p w14:paraId="7A17176A" w14:textId="77777777" w:rsidR="007049A5" w:rsidRPr="004E4188" w:rsidRDefault="007049A5" w:rsidP="006C6267">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62EA2F66" w14:textId="77777777" w:rsidR="007049A5" w:rsidRPr="004E4188" w:rsidRDefault="007049A5" w:rsidP="006C6267">
            <w:pPr>
              <w:rPr>
                <w:sz w:val="22"/>
              </w:rPr>
            </w:pPr>
          </w:p>
        </w:tc>
      </w:tr>
      <w:tr w:rsidR="007049A5" w:rsidRPr="004E4188" w14:paraId="4376F7BD" w14:textId="77777777" w:rsidTr="006C6267">
        <w:tc>
          <w:tcPr>
            <w:tcW w:w="720" w:type="dxa"/>
            <w:tcBorders>
              <w:top w:val="dotted" w:sz="4" w:space="0" w:color="auto"/>
              <w:left w:val="double" w:sz="4" w:space="0" w:color="auto"/>
              <w:bottom w:val="dotted" w:sz="4" w:space="0" w:color="auto"/>
              <w:right w:val="nil"/>
            </w:tcBorders>
          </w:tcPr>
          <w:p w14:paraId="418F5DA8" w14:textId="77777777" w:rsidR="007049A5" w:rsidRPr="004E4188" w:rsidRDefault="007049A5" w:rsidP="006C6267">
            <w:pPr>
              <w:rPr>
                <w:sz w:val="22"/>
              </w:rPr>
            </w:pPr>
            <w:r w:rsidRPr="004E4188">
              <w:rPr>
                <w:sz w:val="22"/>
                <w:lang w:eastAsia="ja-JP"/>
              </w:rPr>
              <w:t>308</w:t>
            </w:r>
          </w:p>
        </w:tc>
        <w:tc>
          <w:tcPr>
            <w:tcW w:w="2694" w:type="dxa"/>
            <w:tcBorders>
              <w:top w:val="dotted" w:sz="4" w:space="0" w:color="auto"/>
              <w:left w:val="single" w:sz="6" w:space="0" w:color="auto"/>
              <w:bottom w:val="dotted" w:sz="4" w:space="0" w:color="auto"/>
              <w:right w:val="single" w:sz="6" w:space="0" w:color="auto"/>
            </w:tcBorders>
          </w:tcPr>
          <w:p w14:paraId="3408C96D" w14:textId="77777777" w:rsidR="007049A5" w:rsidRPr="004E4188" w:rsidRDefault="007049A5" w:rsidP="006C6267">
            <w:pPr>
              <w:rPr>
                <w:sz w:val="22"/>
              </w:rPr>
            </w:pPr>
          </w:p>
        </w:tc>
        <w:tc>
          <w:tcPr>
            <w:tcW w:w="992" w:type="dxa"/>
            <w:tcBorders>
              <w:top w:val="dotted" w:sz="4" w:space="0" w:color="auto"/>
              <w:left w:val="single" w:sz="6" w:space="0" w:color="auto"/>
              <w:bottom w:val="dotted" w:sz="4" w:space="0" w:color="auto"/>
              <w:right w:val="single" w:sz="6" w:space="0" w:color="auto"/>
            </w:tcBorders>
          </w:tcPr>
          <w:p w14:paraId="50243ACE" w14:textId="77777777" w:rsidR="007049A5" w:rsidRPr="004E4188" w:rsidRDefault="007049A5" w:rsidP="006C6267">
            <w:pPr>
              <w:rPr>
                <w:sz w:val="22"/>
              </w:rPr>
            </w:pPr>
          </w:p>
        </w:tc>
        <w:tc>
          <w:tcPr>
            <w:tcW w:w="1134" w:type="dxa"/>
            <w:tcBorders>
              <w:top w:val="dotted" w:sz="4" w:space="0" w:color="auto"/>
              <w:left w:val="nil"/>
              <w:bottom w:val="dotted" w:sz="4" w:space="0" w:color="auto"/>
              <w:right w:val="single" w:sz="6" w:space="0" w:color="auto"/>
            </w:tcBorders>
            <w:shd w:val="clear" w:color="auto" w:fill="auto"/>
          </w:tcPr>
          <w:p w14:paraId="18F0D35F" w14:textId="77777777" w:rsidR="007049A5" w:rsidRPr="004E4188" w:rsidRDefault="007049A5" w:rsidP="006C6267">
            <w:pPr>
              <w:rPr>
                <w:sz w:val="22"/>
              </w:rPr>
            </w:pPr>
          </w:p>
        </w:tc>
        <w:tc>
          <w:tcPr>
            <w:tcW w:w="1173" w:type="dxa"/>
            <w:tcBorders>
              <w:top w:val="dotted" w:sz="4" w:space="0" w:color="auto"/>
              <w:left w:val="nil"/>
              <w:bottom w:val="dotted" w:sz="4" w:space="0" w:color="auto"/>
              <w:right w:val="single" w:sz="6" w:space="0" w:color="auto"/>
            </w:tcBorders>
            <w:shd w:val="clear" w:color="auto" w:fill="auto"/>
          </w:tcPr>
          <w:p w14:paraId="69E99184" w14:textId="77777777" w:rsidR="007049A5" w:rsidRPr="004E4188" w:rsidRDefault="007049A5" w:rsidP="006C6267">
            <w:pPr>
              <w:rPr>
                <w:sz w:val="22"/>
              </w:rPr>
            </w:pPr>
          </w:p>
        </w:tc>
        <w:tc>
          <w:tcPr>
            <w:tcW w:w="1200" w:type="dxa"/>
            <w:tcBorders>
              <w:top w:val="dotted" w:sz="4" w:space="0" w:color="auto"/>
              <w:left w:val="nil"/>
              <w:bottom w:val="dotted" w:sz="4" w:space="0" w:color="auto"/>
              <w:right w:val="single" w:sz="6" w:space="0" w:color="auto"/>
            </w:tcBorders>
            <w:shd w:val="clear" w:color="auto" w:fill="auto"/>
          </w:tcPr>
          <w:p w14:paraId="40806306" w14:textId="77777777" w:rsidR="007049A5" w:rsidRPr="004E4188" w:rsidRDefault="007049A5" w:rsidP="006C6267">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1863B081" w14:textId="77777777" w:rsidR="007049A5" w:rsidRPr="004E4188" w:rsidRDefault="007049A5" w:rsidP="006C6267">
            <w:pPr>
              <w:rPr>
                <w:sz w:val="22"/>
              </w:rPr>
            </w:pPr>
          </w:p>
        </w:tc>
      </w:tr>
      <w:tr w:rsidR="007049A5" w:rsidRPr="004E4188" w14:paraId="59BE2CC1" w14:textId="77777777" w:rsidTr="006C6267">
        <w:tc>
          <w:tcPr>
            <w:tcW w:w="720" w:type="dxa"/>
            <w:tcBorders>
              <w:top w:val="dotted" w:sz="4" w:space="0" w:color="auto"/>
              <w:left w:val="double" w:sz="4" w:space="0" w:color="auto"/>
              <w:bottom w:val="dotted" w:sz="4" w:space="0" w:color="auto"/>
              <w:right w:val="nil"/>
            </w:tcBorders>
          </w:tcPr>
          <w:p w14:paraId="460AF450" w14:textId="77777777" w:rsidR="007049A5" w:rsidRPr="004E4188" w:rsidRDefault="007049A5" w:rsidP="006C6267">
            <w:pPr>
              <w:rPr>
                <w:sz w:val="22"/>
              </w:rPr>
            </w:pPr>
            <w:r w:rsidRPr="004E4188">
              <w:rPr>
                <w:sz w:val="22"/>
                <w:lang w:eastAsia="ja-JP"/>
              </w:rPr>
              <w:t>309</w:t>
            </w:r>
          </w:p>
        </w:tc>
        <w:tc>
          <w:tcPr>
            <w:tcW w:w="2694" w:type="dxa"/>
            <w:tcBorders>
              <w:top w:val="dotted" w:sz="4" w:space="0" w:color="auto"/>
              <w:left w:val="single" w:sz="6" w:space="0" w:color="auto"/>
              <w:bottom w:val="dotted" w:sz="4" w:space="0" w:color="auto"/>
              <w:right w:val="single" w:sz="6" w:space="0" w:color="auto"/>
            </w:tcBorders>
          </w:tcPr>
          <w:p w14:paraId="2D4B750F" w14:textId="77777777" w:rsidR="007049A5" w:rsidRPr="004E4188" w:rsidRDefault="007049A5" w:rsidP="006C6267">
            <w:pPr>
              <w:rPr>
                <w:sz w:val="22"/>
              </w:rPr>
            </w:pPr>
          </w:p>
        </w:tc>
        <w:tc>
          <w:tcPr>
            <w:tcW w:w="992" w:type="dxa"/>
            <w:tcBorders>
              <w:top w:val="dotted" w:sz="4" w:space="0" w:color="auto"/>
              <w:left w:val="single" w:sz="6" w:space="0" w:color="auto"/>
              <w:bottom w:val="dotted" w:sz="4" w:space="0" w:color="auto"/>
              <w:right w:val="single" w:sz="6" w:space="0" w:color="auto"/>
            </w:tcBorders>
          </w:tcPr>
          <w:p w14:paraId="42D68BAD" w14:textId="77777777" w:rsidR="007049A5" w:rsidRPr="004E4188" w:rsidRDefault="007049A5" w:rsidP="006C6267">
            <w:pPr>
              <w:rPr>
                <w:sz w:val="22"/>
              </w:rPr>
            </w:pPr>
          </w:p>
        </w:tc>
        <w:tc>
          <w:tcPr>
            <w:tcW w:w="1134" w:type="dxa"/>
            <w:tcBorders>
              <w:top w:val="dotted" w:sz="4" w:space="0" w:color="auto"/>
              <w:left w:val="nil"/>
              <w:bottom w:val="dotted" w:sz="4" w:space="0" w:color="auto"/>
              <w:right w:val="single" w:sz="6" w:space="0" w:color="auto"/>
            </w:tcBorders>
            <w:shd w:val="clear" w:color="auto" w:fill="auto"/>
          </w:tcPr>
          <w:p w14:paraId="3BB953C6" w14:textId="77777777" w:rsidR="007049A5" w:rsidRPr="004E4188" w:rsidRDefault="007049A5" w:rsidP="006C6267">
            <w:pPr>
              <w:rPr>
                <w:sz w:val="22"/>
              </w:rPr>
            </w:pPr>
          </w:p>
        </w:tc>
        <w:tc>
          <w:tcPr>
            <w:tcW w:w="1173" w:type="dxa"/>
            <w:tcBorders>
              <w:top w:val="dotted" w:sz="4" w:space="0" w:color="auto"/>
              <w:left w:val="nil"/>
              <w:bottom w:val="dotted" w:sz="4" w:space="0" w:color="auto"/>
              <w:right w:val="single" w:sz="6" w:space="0" w:color="auto"/>
            </w:tcBorders>
            <w:shd w:val="clear" w:color="auto" w:fill="auto"/>
          </w:tcPr>
          <w:p w14:paraId="4FCFAA4C" w14:textId="77777777" w:rsidR="007049A5" w:rsidRPr="004E4188" w:rsidRDefault="007049A5" w:rsidP="006C6267">
            <w:pPr>
              <w:rPr>
                <w:sz w:val="22"/>
              </w:rPr>
            </w:pPr>
          </w:p>
        </w:tc>
        <w:tc>
          <w:tcPr>
            <w:tcW w:w="1200" w:type="dxa"/>
            <w:tcBorders>
              <w:top w:val="dotted" w:sz="4" w:space="0" w:color="auto"/>
              <w:left w:val="nil"/>
              <w:bottom w:val="dotted" w:sz="4" w:space="0" w:color="auto"/>
              <w:right w:val="single" w:sz="6" w:space="0" w:color="auto"/>
            </w:tcBorders>
            <w:shd w:val="clear" w:color="auto" w:fill="auto"/>
          </w:tcPr>
          <w:p w14:paraId="6CC4F781" w14:textId="77777777" w:rsidR="007049A5" w:rsidRPr="004E4188" w:rsidRDefault="007049A5" w:rsidP="006C6267">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5B57FE28" w14:textId="77777777" w:rsidR="007049A5" w:rsidRPr="004E4188" w:rsidRDefault="007049A5" w:rsidP="006C6267">
            <w:pPr>
              <w:rPr>
                <w:sz w:val="22"/>
              </w:rPr>
            </w:pPr>
          </w:p>
        </w:tc>
      </w:tr>
      <w:tr w:rsidR="007049A5" w:rsidRPr="004E4188" w14:paraId="6655A242" w14:textId="77777777" w:rsidTr="006C6267">
        <w:tc>
          <w:tcPr>
            <w:tcW w:w="720" w:type="dxa"/>
            <w:tcBorders>
              <w:top w:val="dotted" w:sz="4" w:space="0" w:color="auto"/>
              <w:left w:val="double" w:sz="4" w:space="0" w:color="auto"/>
              <w:bottom w:val="dotted" w:sz="4" w:space="0" w:color="auto"/>
              <w:right w:val="nil"/>
            </w:tcBorders>
          </w:tcPr>
          <w:p w14:paraId="6FC7DB5A" w14:textId="77777777" w:rsidR="007049A5" w:rsidRPr="004E4188" w:rsidRDefault="007049A5" w:rsidP="006C6267">
            <w:pPr>
              <w:rPr>
                <w:sz w:val="22"/>
              </w:rPr>
            </w:pPr>
            <w:r w:rsidRPr="004E4188">
              <w:rPr>
                <w:sz w:val="22"/>
                <w:lang w:eastAsia="ja-JP"/>
              </w:rPr>
              <w:t>310</w:t>
            </w:r>
          </w:p>
        </w:tc>
        <w:tc>
          <w:tcPr>
            <w:tcW w:w="2694" w:type="dxa"/>
            <w:tcBorders>
              <w:top w:val="dotted" w:sz="4" w:space="0" w:color="auto"/>
              <w:left w:val="single" w:sz="6" w:space="0" w:color="auto"/>
              <w:bottom w:val="dotted" w:sz="4" w:space="0" w:color="auto"/>
              <w:right w:val="single" w:sz="6" w:space="0" w:color="auto"/>
            </w:tcBorders>
          </w:tcPr>
          <w:p w14:paraId="6136F378" w14:textId="77777777" w:rsidR="007049A5" w:rsidRPr="004E4188" w:rsidRDefault="007049A5" w:rsidP="006C6267">
            <w:pPr>
              <w:rPr>
                <w:sz w:val="22"/>
              </w:rPr>
            </w:pPr>
          </w:p>
        </w:tc>
        <w:tc>
          <w:tcPr>
            <w:tcW w:w="992" w:type="dxa"/>
            <w:tcBorders>
              <w:top w:val="dotted" w:sz="4" w:space="0" w:color="auto"/>
              <w:left w:val="single" w:sz="6" w:space="0" w:color="auto"/>
              <w:bottom w:val="dotted" w:sz="4" w:space="0" w:color="auto"/>
              <w:right w:val="single" w:sz="6" w:space="0" w:color="auto"/>
            </w:tcBorders>
          </w:tcPr>
          <w:p w14:paraId="14273277" w14:textId="77777777" w:rsidR="007049A5" w:rsidRPr="004E4188" w:rsidRDefault="007049A5" w:rsidP="006C6267">
            <w:pPr>
              <w:rPr>
                <w:sz w:val="22"/>
              </w:rPr>
            </w:pPr>
          </w:p>
        </w:tc>
        <w:tc>
          <w:tcPr>
            <w:tcW w:w="1134" w:type="dxa"/>
            <w:tcBorders>
              <w:top w:val="dotted" w:sz="4" w:space="0" w:color="auto"/>
              <w:left w:val="nil"/>
              <w:bottom w:val="dotted" w:sz="4" w:space="0" w:color="auto"/>
              <w:right w:val="single" w:sz="6" w:space="0" w:color="auto"/>
            </w:tcBorders>
            <w:shd w:val="clear" w:color="auto" w:fill="auto"/>
          </w:tcPr>
          <w:p w14:paraId="3EC7B9FA" w14:textId="77777777" w:rsidR="007049A5" w:rsidRPr="004E4188" w:rsidRDefault="007049A5" w:rsidP="006C6267">
            <w:pPr>
              <w:rPr>
                <w:sz w:val="22"/>
              </w:rPr>
            </w:pPr>
          </w:p>
        </w:tc>
        <w:tc>
          <w:tcPr>
            <w:tcW w:w="1173" w:type="dxa"/>
            <w:tcBorders>
              <w:top w:val="dotted" w:sz="4" w:space="0" w:color="auto"/>
              <w:left w:val="nil"/>
              <w:bottom w:val="dotted" w:sz="4" w:space="0" w:color="auto"/>
              <w:right w:val="single" w:sz="6" w:space="0" w:color="auto"/>
            </w:tcBorders>
            <w:shd w:val="clear" w:color="auto" w:fill="auto"/>
          </w:tcPr>
          <w:p w14:paraId="0F366EE2" w14:textId="77777777" w:rsidR="007049A5" w:rsidRPr="004E4188" w:rsidRDefault="007049A5" w:rsidP="006C6267">
            <w:pPr>
              <w:rPr>
                <w:sz w:val="22"/>
              </w:rPr>
            </w:pPr>
          </w:p>
        </w:tc>
        <w:tc>
          <w:tcPr>
            <w:tcW w:w="1200" w:type="dxa"/>
            <w:tcBorders>
              <w:top w:val="dotted" w:sz="4" w:space="0" w:color="auto"/>
              <w:left w:val="nil"/>
              <w:bottom w:val="dotted" w:sz="4" w:space="0" w:color="auto"/>
              <w:right w:val="single" w:sz="6" w:space="0" w:color="auto"/>
            </w:tcBorders>
            <w:shd w:val="clear" w:color="auto" w:fill="auto"/>
          </w:tcPr>
          <w:p w14:paraId="36489D62" w14:textId="77777777" w:rsidR="007049A5" w:rsidRPr="004E4188" w:rsidRDefault="007049A5" w:rsidP="006C6267">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1ACA84CE" w14:textId="77777777" w:rsidR="007049A5" w:rsidRPr="004E4188" w:rsidRDefault="007049A5" w:rsidP="006C6267">
            <w:pPr>
              <w:rPr>
                <w:sz w:val="22"/>
              </w:rPr>
            </w:pPr>
          </w:p>
        </w:tc>
      </w:tr>
      <w:tr w:rsidR="007049A5" w:rsidRPr="004E4188" w14:paraId="651F1523" w14:textId="77777777" w:rsidTr="006C6267">
        <w:tc>
          <w:tcPr>
            <w:tcW w:w="720" w:type="dxa"/>
            <w:tcBorders>
              <w:top w:val="dotted" w:sz="4" w:space="0" w:color="auto"/>
              <w:left w:val="double" w:sz="4" w:space="0" w:color="auto"/>
              <w:bottom w:val="dotted" w:sz="4" w:space="0" w:color="auto"/>
              <w:right w:val="nil"/>
            </w:tcBorders>
          </w:tcPr>
          <w:p w14:paraId="7E3EAC7E" w14:textId="77777777" w:rsidR="007049A5" w:rsidRPr="004E4188" w:rsidRDefault="007049A5" w:rsidP="006C6267">
            <w:pPr>
              <w:rPr>
                <w:sz w:val="22"/>
              </w:rPr>
            </w:pPr>
          </w:p>
        </w:tc>
        <w:tc>
          <w:tcPr>
            <w:tcW w:w="2694" w:type="dxa"/>
            <w:tcBorders>
              <w:top w:val="dotted" w:sz="4" w:space="0" w:color="auto"/>
              <w:left w:val="single" w:sz="6" w:space="0" w:color="auto"/>
              <w:bottom w:val="dotted" w:sz="4" w:space="0" w:color="auto"/>
              <w:right w:val="single" w:sz="6" w:space="0" w:color="auto"/>
            </w:tcBorders>
          </w:tcPr>
          <w:p w14:paraId="456C5AE7" w14:textId="77777777" w:rsidR="007049A5" w:rsidRPr="004E4188" w:rsidRDefault="007049A5" w:rsidP="006C6267">
            <w:pPr>
              <w:rPr>
                <w:sz w:val="22"/>
              </w:rPr>
            </w:pPr>
          </w:p>
        </w:tc>
        <w:tc>
          <w:tcPr>
            <w:tcW w:w="992" w:type="dxa"/>
            <w:tcBorders>
              <w:top w:val="dotted" w:sz="4" w:space="0" w:color="auto"/>
              <w:left w:val="single" w:sz="6" w:space="0" w:color="auto"/>
              <w:bottom w:val="dotted" w:sz="4" w:space="0" w:color="auto"/>
              <w:right w:val="single" w:sz="6" w:space="0" w:color="auto"/>
            </w:tcBorders>
          </w:tcPr>
          <w:p w14:paraId="68E836F1" w14:textId="77777777" w:rsidR="007049A5" w:rsidRPr="004E4188" w:rsidRDefault="007049A5" w:rsidP="006C6267">
            <w:pPr>
              <w:rPr>
                <w:sz w:val="22"/>
              </w:rPr>
            </w:pPr>
          </w:p>
        </w:tc>
        <w:tc>
          <w:tcPr>
            <w:tcW w:w="1134" w:type="dxa"/>
            <w:tcBorders>
              <w:top w:val="dotted" w:sz="4" w:space="0" w:color="auto"/>
              <w:left w:val="nil"/>
              <w:bottom w:val="dotted" w:sz="4" w:space="0" w:color="auto"/>
              <w:right w:val="single" w:sz="6" w:space="0" w:color="auto"/>
            </w:tcBorders>
            <w:shd w:val="clear" w:color="auto" w:fill="auto"/>
          </w:tcPr>
          <w:p w14:paraId="2F90B263" w14:textId="77777777" w:rsidR="007049A5" w:rsidRPr="004E4188" w:rsidRDefault="007049A5" w:rsidP="006C6267">
            <w:pPr>
              <w:rPr>
                <w:sz w:val="22"/>
              </w:rPr>
            </w:pPr>
          </w:p>
        </w:tc>
        <w:tc>
          <w:tcPr>
            <w:tcW w:w="1173" w:type="dxa"/>
            <w:tcBorders>
              <w:top w:val="dotted" w:sz="4" w:space="0" w:color="auto"/>
              <w:left w:val="nil"/>
              <w:bottom w:val="dotted" w:sz="4" w:space="0" w:color="auto"/>
              <w:right w:val="single" w:sz="6" w:space="0" w:color="auto"/>
            </w:tcBorders>
            <w:shd w:val="clear" w:color="auto" w:fill="auto"/>
          </w:tcPr>
          <w:p w14:paraId="5D185CF3" w14:textId="77777777" w:rsidR="007049A5" w:rsidRPr="004E4188" w:rsidRDefault="007049A5" w:rsidP="006C6267">
            <w:pPr>
              <w:rPr>
                <w:sz w:val="22"/>
              </w:rPr>
            </w:pPr>
          </w:p>
        </w:tc>
        <w:tc>
          <w:tcPr>
            <w:tcW w:w="1200" w:type="dxa"/>
            <w:tcBorders>
              <w:top w:val="dotted" w:sz="4" w:space="0" w:color="auto"/>
              <w:left w:val="nil"/>
              <w:bottom w:val="dotted" w:sz="4" w:space="0" w:color="auto"/>
              <w:right w:val="single" w:sz="6" w:space="0" w:color="auto"/>
            </w:tcBorders>
            <w:shd w:val="clear" w:color="auto" w:fill="auto"/>
          </w:tcPr>
          <w:p w14:paraId="0AB2C014" w14:textId="77777777" w:rsidR="007049A5" w:rsidRPr="004E4188" w:rsidRDefault="007049A5" w:rsidP="006C6267">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067F8507" w14:textId="77777777" w:rsidR="007049A5" w:rsidRPr="004E4188" w:rsidRDefault="007049A5" w:rsidP="006C6267">
            <w:pPr>
              <w:rPr>
                <w:sz w:val="22"/>
              </w:rPr>
            </w:pPr>
          </w:p>
        </w:tc>
      </w:tr>
      <w:tr w:rsidR="007049A5" w:rsidRPr="004E4188" w14:paraId="7EA30F72" w14:textId="77777777" w:rsidTr="006C6267">
        <w:tc>
          <w:tcPr>
            <w:tcW w:w="720" w:type="dxa"/>
            <w:tcBorders>
              <w:top w:val="dotted" w:sz="4" w:space="0" w:color="auto"/>
              <w:left w:val="double" w:sz="4" w:space="0" w:color="auto"/>
              <w:bottom w:val="dotted" w:sz="4" w:space="0" w:color="auto"/>
              <w:right w:val="nil"/>
            </w:tcBorders>
          </w:tcPr>
          <w:p w14:paraId="747AD75F" w14:textId="77777777" w:rsidR="007049A5" w:rsidRPr="004E4188" w:rsidRDefault="007049A5" w:rsidP="006C6267">
            <w:pPr>
              <w:rPr>
                <w:sz w:val="22"/>
              </w:rPr>
            </w:pPr>
          </w:p>
        </w:tc>
        <w:tc>
          <w:tcPr>
            <w:tcW w:w="2694" w:type="dxa"/>
            <w:tcBorders>
              <w:top w:val="dotted" w:sz="4" w:space="0" w:color="auto"/>
              <w:left w:val="single" w:sz="6" w:space="0" w:color="auto"/>
              <w:bottom w:val="dotted" w:sz="4" w:space="0" w:color="auto"/>
              <w:right w:val="single" w:sz="6" w:space="0" w:color="auto"/>
            </w:tcBorders>
          </w:tcPr>
          <w:p w14:paraId="27A55ACA" w14:textId="77777777" w:rsidR="007049A5" w:rsidRPr="004E4188" w:rsidRDefault="007049A5" w:rsidP="006C6267">
            <w:pPr>
              <w:rPr>
                <w:sz w:val="22"/>
              </w:rPr>
            </w:pPr>
          </w:p>
        </w:tc>
        <w:tc>
          <w:tcPr>
            <w:tcW w:w="992" w:type="dxa"/>
            <w:tcBorders>
              <w:top w:val="dotted" w:sz="4" w:space="0" w:color="auto"/>
              <w:left w:val="single" w:sz="6" w:space="0" w:color="auto"/>
              <w:bottom w:val="dotted" w:sz="4" w:space="0" w:color="auto"/>
              <w:right w:val="single" w:sz="6" w:space="0" w:color="auto"/>
            </w:tcBorders>
          </w:tcPr>
          <w:p w14:paraId="0D98B3DA" w14:textId="77777777" w:rsidR="007049A5" w:rsidRPr="004E4188" w:rsidRDefault="007049A5" w:rsidP="006C6267">
            <w:pPr>
              <w:rPr>
                <w:sz w:val="22"/>
              </w:rPr>
            </w:pPr>
          </w:p>
        </w:tc>
        <w:tc>
          <w:tcPr>
            <w:tcW w:w="1134" w:type="dxa"/>
            <w:tcBorders>
              <w:top w:val="dotted" w:sz="4" w:space="0" w:color="auto"/>
              <w:left w:val="nil"/>
              <w:bottom w:val="dotted" w:sz="4" w:space="0" w:color="auto"/>
              <w:right w:val="single" w:sz="6" w:space="0" w:color="auto"/>
            </w:tcBorders>
            <w:shd w:val="clear" w:color="auto" w:fill="auto"/>
          </w:tcPr>
          <w:p w14:paraId="36387C13" w14:textId="77777777" w:rsidR="007049A5" w:rsidRPr="004E4188" w:rsidRDefault="007049A5" w:rsidP="006C6267">
            <w:pPr>
              <w:rPr>
                <w:sz w:val="22"/>
              </w:rPr>
            </w:pPr>
          </w:p>
        </w:tc>
        <w:tc>
          <w:tcPr>
            <w:tcW w:w="1173" w:type="dxa"/>
            <w:tcBorders>
              <w:top w:val="dotted" w:sz="4" w:space="0" w:color="auto"/>
              <w:left w:val="nil"/>
              <w:bottom w:val="dotted" w:sz="4" w:space="0" w:color="auto"/>
              <w:right w:val="single" w:sz="6" w:space="0" w:color="auto"/>
            </w:tcBorders>
            <w:shd w:val="clear" w:color="auto" w:fill="auto"/>
          </w:tcPr>
          <w:p w14:paraId="2FFCC27D" w14:textId="77777777" w:rsidR="007049A5" w:rsidRPr="004E4188" w:rsidRDefault="007049A5" w:rsidP="006C6267">
            <w:pPr>
              <w:rPr>
                <w:sz w:val="22"/>
              </w:rPr>
            </w:pPr>
          </w:p>
        </w:tc>
        <w:tc>
          <w:tcPr>
            <w:tcW w:w="1200" w:type="dxa"/>
            <w:tcBorders>
              <w:top w:val="dotted" w:sz="4" w:space="0" w:color="auto"/>
              <w:left w:val="nil"/>
              <w:bottom w:val="dotted" w:sz="4" w:space="0" w:color="auto"/>
              <w:right w:val="single" w:sz="6" w:space="0" w:color="auto"/>
            </w:tcBorders>
            <w:shd w:val="clear" w:color="auto" w:fill="auto"/>
          </w:tcPr>
          <w:p w14:paraId="0EBE0A3B" w14:textId="77777777" w:rsidR="007049A5" w:rsidRPr="004E4188" w:rsidRDefault="007049A5" w:rsidP="006C6267">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2B9B4497" w14:textId="77777777" w:rsidR="007049A5" w:rsidRPr="004E4188" w:rsidRDefault="007049A5" w:rsidP="006C6267">
            <w:pPr>
              <w:rPr>
                <w:sz w:val="22"/>
              </w:rPr>
            </w:pPr>
          </w:p>
        </w:tc>
      </w:tr>
      <w:tr w:rsidR="007049A5" w:rsidRPr="004E4188" w14:paraId="57B8A0B3" w14:textId="77777777" w:rsidTr="006C6267">
        <w:tc>
          <w:tcPr>
            <w:tcW w:w="720" w:type="dxa"/>
            <w:tcBorders>
              <w:top w:val="dotted" w:sz="4" w:space="0" w:color="auto"/>
              <w:left w:val="double" w:sz="4" w:space="0" w:color="auto"/>
              <w:bottom w:val="dotted" w:sz="4" w:space="0" w:color="auto"/>
              <w:right w:val="nil"/>
            </w:tcBorders>
          </w:tcPr>
          <w:p w14:paraId="50948A44" w14:textId="77777777" w:rsidR="007049A5" w:rsidRPr="004E4188" w:rsidRDefault="007049A5" w:rsidP="001C3B2E">
            <w:pPr>
              <w:rPr>
                <w:sz w:val="22"/>
              </w:rPr>
            </w:pPr>
          </w:p>
        </w:tc>
        <w:tc>
          <w:tcPr>
            <w:tcW w:w="2694" w:type="dxa"/>
            <w:tcBorders>
              <w:top w:val="dotted" w:sz="4" w:space="0" w:color="auto"/>
              <w:left w:val="single" w:sz="6" w:space="0" w:color="auto"/>
              <w:bottom w:val="dotted" w:sz="4" w:space="0" w:color="auto"/>
              <w:right w:val="single" w:sz="6" w:space="0" w:color="auto"/>
            </w:tcBorders>
          </w:tcPr>
          <w:p w14:paraId="6D89244C" w14:textId="77777777" w:rsidR="007049A5" w:rsidRPr="004E4188" w:rsidRDefault="007049A5" w:rsidP="001C3B2E">
            <w:pPr>
              <w:rPr>
                <w:sz w:val="22"/>
              </w:rPr>
            </w:pPr>
          </w:p>
        </w:tc>
        <w:tc>
          <w:tcPr>
            <w:tcW w:w="992" w:type="dxa"/>
            <w:tcBorders>
              <w:top w:val="dotted" w:sz="4" w:space="0" w:color="auto"/>
              <w:left w:val="single" w:sz="6" w:space="0" w:color="auto"/>
              <w:bottom w:val="dotted" w:sz="4" w:space="0" w:color="auto"/>
              <w:right w:val="single" w:sz="6" w:space="0" w:color="auto"/>
            </w:tcBorders>
          </w:tcPr>
          <w:p w14:paraId="41427065" w14:textId="77777777" w:rsidR="007049A5" w:rsidRPr="004E4188" w:rsidRDefault="007049A5" w:rsidP="001C3B2E">
            <w:pPr>
              <w:rPr>
                <w:sz w:val="22"/>
              </w:rPr>
            </w:pPr>
          </w:p>
        </w:tc>
        <w:tc>
          <w:tcPr>
            <w:tcW w:w="1134" w:type="dxa"/>
            <w:tcBorders>
              <w:top w:val="dotted" w:sz="4" w:space="0" w:color="auto"/>
              <w:left w:val="nil"/>
              <w:bottom w:val="dotted" w:sz="4" w:space="0" w:color="auto"/>
              <w:right w:val="single" w:sz="6" w:space="0" w:color="auto"/>
            </w:tcBorders>
            <w:shd w:val="clear" w:color="auto" w:fill="auto"/>
          </w:tcPr>
          <w:p w14:paraId="2CDEA50A" w14:textId="77777777" w:rsidR="007049A5" w:rsidRPr="004E4188" w:rsidRDefault="007049A5" w:rsidP="001C3B2E">
            <w:pPr>
              <w:rPr>
                <w:sz w:val="22"/>
              </w:rPr>
            </w:pPr>
          </w:p>
        </w:tc>
        <w:tc>
          <w:tcPr>
            <w:tcW w:w="1173" w:type="dxa"/>
            <w:tcBorders>
              <w:top w:val="dotted" w:sz="4" w:space="0" w:color="auto"/>
              <w:left w:val="nil"/>
              <w:bottom w:val="dotted" w:sz="4" w:space="0" w:color="auto"/>
              <w:right w:val="single" w:sz="6" w:space="0" w:color="auto"/>
            </w:tcBorders>
            <w:shd w:val="clear" w:color="auto" w:fill="auto"/>
          </w:tcPr>
          <w:p w14:paraId="746E3C02" w14:textId="77777777" w:rsidR="007049A5" w:rsidRPr="004E4188" w:rsidRDefault="007049A5" w:rsidP="001C3B2E">
            <w:pPr>
              <w:rPr>
                <w:sz w:val="22"/>
              </w:rPr>
            </w:pPr>
          </w:p>
        </w:tc>
        <w:tc>
          <w:tcPr>
            <w:tcW w:w="1200" w:type="dxa"/>
            <w:tcBorders>
              <w:top w:val="dotted" w:sz="4" w:space="0" w:color="auto"/>
              <w:left w:val="nil"/>
              <w:bottom w:val="dotted" w:sz="4" w:space="0" w:color="auto"/>
              <w:right w:val="single" w:sz="6" w:space="0" w:color="auto"/>
            </w:tcBorders>
            <w:shd w:val="clear" w:color="auto" w:fill="auto"/>
          </w:tcPr>
          <w:p w14:paraId="44010E97" w14:textId="77777777" w:rsidR="007049A5" w:rsidRPr="004E4188" w:rsidRDefault="007049A5" w:rsidP="001C3B2E">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7799860D" w14:textId="77777777" w:rsidR="007049A5" w:rsidRPr="004E4188" w:rsidRDefault="007049A5" w:rsidP="001C3B2E">
            <w:pPr>
              <w:rPr>
                <w:sz w:val="22"/>
              </w:rPr>
            </w:pPr>
          </w:p>
        </w:tc>
      </w:tr>
      <w:tr w:rsidR="007049A5" w:rsidRPr="004E4188" w14:paraId="472B67A7" w14:textId="77777777" w:rsidTr="006C6267">
        <w:tc>
          <w:tcPr>
            <w:tcW w:w="720" w:type="dxa"/>
            <w:tcBorders>
              <w:top w:val="dotted" w:sz="4" w:space="0" w:color="auto"/>
              <w:left w:val="double" w:sz="4" w:space="0" w:color="auto"/>
              <w:bottom w:val="dotted" w:sz="4" w:space="0" w:color="auto"/>
              <w:right w:val="nil"/>
            </w:tcBorders>
          </w:tcPr>
          <w:p w14:paraId="60F9D628" w14:textId="77777777" w:rsidR="007049A5" w:rsidRPr="004E4188" w:rsidRDefault="007049A5" w:rsidP="001C3B2E">
            <w:pPr>
              <w:rPr>
                <w:sz w:val="22"/>
              </w:rPr>
            </w:pPr>
          </w:p>
        </w:tc>
        <w:tc>
          <w:tcPr>
            <w:tcW w:w="2694" w:type="dxa"/>
            <w:tcBorders>
              <w:top w:val="dotted" w:sz="4" w:space="0" w:color="auto"/>
              <w:left w:val="single" w:sz="6" w:space="0" w:color="auto"/>
              <w:bottom w:val="dotted" w:sz="4" w:space="0" w:color="auto"/>
              <w:right w:val="single" w:sz="6" w:space="0" w:color="auto"/>
            </w:tcBorders>
          </w:tcPr>
          <w:p w14:paraId="6B99A248" w14:textId="77777777" w:rsidR="007049A5" w:rsidRPr="004E4188" w:rsidRDefault="007049A5" w:rsidP="001C3B2E">
            <w:pPr>
              <w:rPr>
                <w:sz w:val="22"/>
              </w:rPr>
            </w:pPr>
          </w:p>
        </w:tc>
        <w:tc>
          <w:tcPr>
            <w:tcW w:w="992" w:type="dxa"/>
            <w:tcBorders>
              <w:top w:val="dotted" w:sz="4" w:space="0" w:color="auto"/>
              <w:left w:val="single" w:sz="6" w:space="0" w:color="auto"/>
              <w:bottom w:val="dotted" w:sz="4" w:space="0" w:color="auto"/>
              <w:right w:val="single" w:sz="6" w:space="0" w:color="auto"/>
            </w:tcBorders>
          </w:tcPr>
          <w:p w14:paraId="7FF3979E" w14:textId="77777777" w:rsidR="007049A5" w:rsidRPr="004E4188" w:rsidRDefault="007049A5" w:rsidP="001C3B2E">
            <w:pPr>
              <w:rPr>
                <w:sz w:val="22"/>
              </w:rPr>
            </w:pPr>
          </w:p>
        </w:tc>
        <w:tc>
          <w:tcPr>
            <w:tcW w:w="1134" w:type="dxa"/>
            <w:tcBorders>
              <w:top w:val="dotted" w:sz="4" w:space="0" w:color="auto"/>
              <w:left w:val="nil"/>
              <w:bottom w:val="dotted" w:sz="4" w:space="0" w:color="auto"/>
              <w:right w:val="single" w:sz="6" w:space="0" w:color="auto"/>
            </w:tcBorders>
            <w:shd w:val="clear" w:color="auto" w:fill="auto"/>
          </w:tcPr>
          <w:p w14:paraId="3F0C8528" w14:textId="77777777" w:rsidR="007049A5" w:rsidRPr="004E4188" w:rsidRDefault="007049A5" w:rsidP="001C3B2E">
            <w:pPr>
              <w:rPr>
                <w:sz w:val="22"/>
              </w:rPr>
            </w:pPr>
          </w:p>
        </w:tc>
        <w:tc>
          <w:tcPr>
            <w:tcW w:w="1173" w:type="dxa"/>
            <w:tcBorders>
              <w:top w:val="dotted" w:sz="4" w:space="0" w:color="auto"/>
              <w:left w:val="nil"/>
              <w:bottom w:val="dotted" w:sz="4" w:space="0" w:color="auto"/>
              <w:right w:val="single" w:sz="6" w:space="0" w:color="auto"/>
            </w:tcBorders>
            <w:shd w:val="clear" w:color="auto" w:fill="auto"/>
          </w:tcPr>
          <w:p w14:paraId="5E5D13A4" w14:textId="77777777" w:rsidR="007049A5" w:rsidRPr="004E4188" w:rsidRDefault="007049A5" w:rsidP="001C3B2E">
            <w:pPr>
              <w:rPr>
                <w:sz w:val="22"/>
              </w:rPr>
            </w:pPr>
          </w:p>
        </w:tc>
        <w:tc>
          <w:tcPr>
            <w:tcW w:w="1200" w:type="dxa"/>
            <w:tcBorders>
              <w:top w:val="dotted" w:sz="4" w:space="0" w:color="auto"/>
              <w:left w:val="nil"/>
              <w:bottom w:val="dotted" w:sz="4" w:space="0" w:color="auto"/>
              <w:right w:val="single" w:sz="6" w:space="0" w:color="auto"/>
            </w:tcBorders>
            <w:shd w:val="clear" w:color="auto" w:fill="auto"/>
          </w:tcPr>
          <w:p w14:paraId="33C758B0" w14:textId="77777777" w:rsidR="007049A5" w:rsidRPr="004E4188" w:rsidRDefault="007049A5" w:rsidP="001C3B2E">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01A2372D" w14:textId="77777777" w:rsidR="007049A5" w:rsidRPr="004E4188" w:rsidRDefault="007049A5" w:rsidP="001C3B2E">
            <w:pPr>
              <w:rPr>
                <w:sz w:val="22"/>
              </w:rPr>
            </w:pPr>
          </w:p>
        </w:tc>
      </w:tr>
      <w:tr w:rsidR="007049A5" w:rsidRPr="004E4188" w14:paraId="34E424B5" w14:textId="77777777" w:rsidTr="006C6267">
        <w:tc>
          <w:tcPr>
            <w:tcW w:w="720" w:type="dxa"/>
            <w:tcBorders>
              <w:top w:val="dotted" w:sz="4" w:space="0" w:color="auto"/>
              <w:left w:val="double" w:sz="4" w:space="0" w:color="auto"/>
              <w:bottom w:val="single" w:sz="6" w:space="0" w:color="auto"/>
              <w:right w:val="nil"/>
            </w:tcBorders>
          </w:tcPr>
          <w:p w14:paraId="6734553F" w14:textId="77777777" w:rsidR="007049A5" w:rsidRPr="004E4188" w:rsidRDefault="007049A5" w:rsidP="001C3B2E">
            <w:pPr>
              <w:rPr>
                <w:sz w:val="22"/>
              </w:rPr>
            </w:pPr>
          </w:p>
        </w:tc>
        <w:tc>
          <w:tcPr>
            <w:tcW w:w="2694" w:type="dxa"/>
            <w:tcBorders>
              <w:top w:val="dotted" w:sz="4" w:space="0" w:color="auto"/>
              <w:left w:val="single" w:sz="6" w:space="0" w:color="auto"/>
              <w:bottom w:val="single" w:sz="6" w:space="0" w:color="auto"/>
              <w:right w:val="single" w:sz="6" w:space="0" w:color="auto"/>
            </w:tcBorders>
          </w:tcPr>
          <w:p w14:paraId="5DB7468C" w14:textId="77777777" w:rsidR="007049A5" w:rsidRPr="004E4188" w:rsidRDefault="007049A5" w:rsidP="001C3B2E">
            <w:pPr>
              <w:rPr>
                <w:sz w:val="22"/>
              </w:rPr>
            </w:pPr>
          </w:p>
        </w:tc>
        <w:tc>
          <w:tcPr>
            <w:tcW w:w="992" w:type="dxa"/>
            <w:tcBorders>
              <w:top w:val="dotted" w:sz="4" w:space="0" w:color="auto"/>
              <w:left w:val="single" w:sz="6" w:space="0" w:color="auto"/>
              <w:bottom w:val="single" w:sz="6" w:space="0" w:color="auto"/>
              <w:right w:val="single" w:sz="6" w:space="0" w:color="auto"/>
            </w:tcBorders>
          </w:tcPr>
          <w:p w14:paraId="5B1A61F1" w14:textId="77777777" w:rsidR="007049A5" w:rsidRPr="004E4188" w:rsidRDefault="007049A5" w:rsidP="001C3B2E">
            <w:pPr>
              <w:rPr>
                <w:sz w:val="22"/>
              </w:rPr>
            </w:pPr>
          </w:p>
        </w:tc>
        <w:tc>
          <w:tcPr>
            <w:tcW w:w="1134" w:type="dxa"/>
            <w:tcBorders>
              <w:top w:val="dotted" w:sz="4" w:space="0" w:color="auto"/>
              <w:left w:val="nil"/>
              <w:bottom w:val="single" w:sz="6" w:space="0" w:color="auto"/>
              <w:right w:val="single" w:sz="6" w:space="0" w:color="auto"/>
            </w:tcBorders>
            <w:shd w:val="clear" w:color="auto" w:fill="auto"/>
          </w:tcPr>
          <w:p w14:paraId="1E2C48C6" w14:textId="77777777" w:rsidR="007049A5" w:rsidRPr="004E4188" w:rsidRDefault="007049A5" w:rsidP="001C3B2E">
            <w:pPr>
              <w:rPr>
                <w:sz w:val="22"/>
              </w:rPr>
            </w:pPr>
          </w:p>
        </w:tc>
        <w:tc>
          <w:tcPr>
            <w:tcW w:w="1173" w:type="dxa"/>
            <w:tcBorders>
              <w:top w:val="dotted" w:sz="4" w:space="0" w:color="auto"/>
              <w:left w:val="nil"/>
              <w:bottom w:val="single" w:sz="6" w:space="0" w:color="auto"/>
              <w:right w:val="single" w:sz="6" w:space="0" w:color="auto"/>
            </w:tcBorders>
            <w:shd w:val="clear" w:color="auto" w:fill="auto"/>
          </w:tcPr>
          <w:p w14:paraId="23F08ED3" w14:textId="77777777" w:rsidR="007049A5" w:rsidRPr="004E4188" w:rsidRDefault="007049A5" w:rsidP="001C3B2E">
            <w:pPr>
              <w:rPr>
                <w:sz w:val="22"/>
              </w:rPr>
            </w:pPr>
          </w:p>
        </w:tc>
        <w:tc>
          <w:tcPr>
            <w:tcW w:w="1200" w:type="dxa"/>
            <w:tcBorders>
              <w:top w:val="dotted" w:sz="4" w:space="0" w:color="auto"/>
              <w:left w:val="nil"/>
              <w:bottom w:val="single" w:sz="6" w:space="0" w:color="auto"/>
              <w:right w:val="single" w:sz="6" w:space="0" w:color="auto"/>
            </w:tcBorders>
            <w:shd w:val="clear" w:color="auto" w:fill="auto"/>
          </w:tcPr>
          <w:p w14:paraId="5EA405A6" w14:textId="77777777" w:rsidR="007049A5" w:rsidRPr="004E4188" w:rsidRDefault="007049A5" w:rsidP="001C3B2E">
            <w:pPr>
              <w:rPr>
                <w:sz w:val="22"/>
              </w:rPr>
            </w:pPr>
          </w:p>
        </w:tc>
        <w:tc>
          <w:tcPr>
            <w:tcW w:w="1087" w:type="dxa"/>
            <w:tcBorders>
              <w:top w:val="dotted" w:sz="4" w:space="0" w:color="auto"/>
              <w:left w:val="single" w:sz="6" w:space="0" w:color="auto"/>
              <w:bottom w:val="single" w:sz="6" w:space="0" w:color="auto"/>
              <w:right w:val="double" w:sz="4" w:space="0" w:color="auto"/>
            </w:tcBorders>
            <w:shd w:val="clear" w:color="auto" w:fill="auto"/>
          </w:tcPr>
          <w:p w14:paraId="557998B4" w14:textId="77777777" w:rsidR="007049A5" w:rsidRPr="004E4188" w:rsidRDefault="007049A5" w:rsidP="001C3B2E">
            <w:pPr>
              <w:rPr>
                <w:sz w:val="22"/>
              </w:rPr>
            </w:pPr>
          </w:p>
        </w:tc>
      </w:tr>
      <w:tr w:rsidR="007049A5" w:rsidRPr="004E4188" w14:paraId="3FB461FE" w14:textId="77777777" w:rsidTr="006C6267">
        <w:tc>
          <w:tcPr>
            <w:tcW w:w="6713" w:type="dxa"/>
            <w:gridSpan w:val="5"/>
            <w:tcBorders>
              <w:top w:val="single" w:sz="6" w:space="0" w:color="auto"/>
              <w:left w:val="double" w:sz="4" w:space="0" w:color="auto"/>
              <w:bottom w:val="double" w:sz="4" w:space="0" w:color="auto"/>
              <w:right w:val="nil"/>
            </w:tcBorders>
          </w:tcPr>
          <w:p w14:paraId="2F60FC23" w14:textId="101FF35D" w:rsidR="007049A5" w:rsidRPr="004E4188" w:rsidRDefault="007049A5" w:rsidP="006C6267">
            <w:pPr>
              <w:wordWrap w:val="0"/>
              <w:jc w:val="right"/>
              <w:rPr>
                <w:sz w:val="22"/>
              </w:rPr>
            </w:pPr>
            <w:r w:rsidRPr="004E4188">
              <w:rPr>
                <w:sz w:val="22"/>
              </w:rPr>
              <w:t>Total du</w:t>
            </w:r>
            <w:r w:rsidRPr="004E4188">
              <w:rPr>
                <w:sz w:val="22"/>
                <w:lang w:eastAsia="ja-JP"/>
              </w:rPr>
              <w:t xml:space="preserve"> </w:t>
            </w:r>
            <w:r w:rsidRPr="004E4188">
              <w:rPr>
                <w:sz w:val="22"/>
              </w:rPr>
              <w:t>Bordereau n°3</w:t>
            </w:r>
          </w:p>
          <w:p w14:paraId="36B59006" w14:textId="34C7E9F7" w:rsidR="007049A5" w:rsidRPr="004E4188" w:rsidRDefault="007049A5" w:rsidP="006C6267">
            <w:pPr>
              <w:jc w:val="right"/>
              <w:rPr>
                <w:sz w:val="22"/>
              </w:rPr>
            </w:pPr>
            <w:r w:rsidRPr="004E4188">
              <w:rPr>
                <w:sz w:val="22"/>
              </w:rPr>
              <w:t>(à reprendre dans le tableau récapitulatif, p.______)</w:t>
            </w:r>
          </w:p>
        </w:tc>
        <w:tc>
          <w:tcPr>
            <w:tcW w:w="1200" w:type="dxa"/>
            <w:tcBorders>
              <w:top w:val="single" w:sz="6" w:space="0" w:color="auto"/>
              <w:left w:val="single" w:sz="6" w:space="0" w:color="auto"/>
              <w:bottom w:val="double" w:sz="4" w:space="0" w:color="auto"/>
            </w:tcBorders>
          </w:tcPr>
          <w:p w14:paraId="6E6310B1" w14:textId="77777777" w:rsidR="007049A5" w:rsidRPr="004E4188" w:rsidRDefault="007049A5" w:rsidP="006C6267">
            <w:pPr>
              <w:jc w:val="center"/>
              <w:rPr>
                <w:sz w:val="22"/>
              </w:rPr>
            </w:pPr>
          </w:p>
          <w:p w14:paraId="69844052" w14:textId="77777777" w:rsidR="007049A5" w:rsidRPr="004E4188" w:rsidRDefault="007049A5" w:rsidP="006C6267">
            <w:pPr>
              <w:jc w:val="center"/>
              <w:rPr>
                <w:sz w:val="22"/>
                <w:lang w:eastAsia="ja-JP"/>
              </w:rPr>
            </w:pPr>
            <w:r w:rsidRPr="004E4188">
              <w:rPr>
                <w:rFonts w:hint="eastAsia"/>
                <w:sz w:val="22"/>
                <w:lang w:eastAsia="ja-JP"/>
              </w:rPr>
              <w:t>-</w:t>
            </w:r>
            <w:r w:rsidRPr="004E4188">
              <w:rPr>
                <w:sz w:val="22"/>
                <w:lang w:eastAsia="ja-JP"/>
              </w:rPr>
              <w:t>----</w:t>
            </w:r>
          </w:p>
        </w:tc>
        <w:tc>
          <w:tcPr>
            <w:tcW w:w="1087" w:type="dxa"/>
            <w:tcBorders>
              <w:top w:val="single" w:sz="6" w:space="0" w:color="auto"/>
              <w:left w:val="single" w:sz="6" w:space="0" w:color="auto"/>
              <w:bottom w:val="double" w:sz="4" w:space="0" w:color="auto"/>
              <w:right w:val="double" w:sz="4" w:space="0" w:color="auto"/>
            </w:tcBorders>
          </w:tcPr>
          <w:p w14:paraId="11A48AE5" w14:textId="77777777" w:rsidR="007049A5" w:rsidRPr="004E4188" w:rsidRDefault="007049A5" w:rsidP="006C6267">
            <w:pPr>
              <w:jc w:val="center"/>
              <w:rPr>
                <w:sz w:val="22"/>
              </w:rPr>
            </w:pPr>
          </w:p>
          <w:p w14:paraId="70712564" w14:textId="77777777" w:rsidR="007049A5" w:rsidRPr="004E4188" w:rsidRDefault="007049A5" w:rsidP="006C6267">
            <w:pPr>
              <w:jc w:val="center"/>
              <w:rPr>
                <w:sz w:val="22"/>
                <w:lang w:eastAsia="ja-JP"/>
              </w:rPr>
            </w:pPr>
            <w:r w:rsidRPr="004E4188">
              <w:rPr>
                <w:rFonts w:hint="eastAsia"/>
                <w:sz w:val="22"/>
                <w:lang w:eastAsia="ja-JP"/>
              </w:rPr>
              <w:t>-</w:t>
            </w:r>
            <w:r w:rsidRPr="004E4188">
              <w:rPr>
                <w:sz w:val="22"/>
                <w:lang w:eastAsia="ja-JP"/>
              </w:rPr>
              <w:t>----</w:t>
            </w:r>
          </w:p>
        </w:tc>
      </w:tr>
    </w:tbl>
    <w:p w14:paraId="4B61D3B0" w14:textId="77777777" w:rsidR="007049A5" w:rsidRPr="004E4188" w:rsidRDefault="007049A5" w:rsidP="006044AC">
      <w:pPr>
        <w:pStyle w:val="Style6"/>
        <w:rPr>
          <w:szCs w:val="24"/>
        </w:rPr>
      </w:pPr>
    </w:p>
    <w:p w14:paraId="2133BB6E" w14:textId="68ABB7D0" w:rsidR="007049A5" w:rsidRPr="004E4188" w:rsidRDefault="007049A5" w:rsidP="00F674A1">
      <w:pPr>
        <w:pStyle w:val="SectionIVHeading2"/>
        <w:rPr>
          <w:lang w:val="fr-FR"/>
        </w:rPr>
      </w:pPr>
      <w:r w:rsidRPr="004E4188">
        <w:rPr>
          <w:i/>
          <w:lang w:val="fr-FR"/>
        </w:rPr>
        <w:br w:type="page"/>
      </w:r>
      <w:bookmarkStart w:id="515" w:name="_Toc357513211"/>
      <w:bookmarkStart w:id="516" w:name="_Toc112429304"/>
      <w:r w:rsidRPr="004E4188">
        <w:rPr>
          <w:lang w:val="fr-FR"/>
        </w:rPr>
        <w:t>Bordereau n</w:t>
      </w:r>
      <w:r w:rsidRPr="004E4188">
        <w:rPr>
          <w:vertAlign w:val="superscript"/>
          <w:lang w:val="fr-FR"/>
        </w:rPr>
        <w:t>o</w:t>
      </w:r>
      <w:r w:rsidRPr="004E4188">
        <w:rPr>
          <w:lang w:val="fr-FR"/>
        </w:rPr>
        <w:t xml:space="preserve"> 4</w:t>
      </w:r>
      <w:r w:rsidRPr="004E4188">
        <w:rPr>
          <w:lang w:val="fr-FR"/>
        </w:rPr>
        <w:br/>
        <w:t>Service de montage et autres services</w:t>
      </w:r>
      <w:bookmarkEnd w:id="515"/>
      <w:bookmarkEnd w:id="516"/>
    </w:p>
    <w:p w14:paraId="58AA40E8" w14:textId="77777777" w:rsidR="007049A5" w:rsidRPr="004E4188" w:rsidRDefault="007049A5" w:rsidP="001C3B2E">
      <w:pPr>
        <w:pStyle w:val="Style6"/>
        <w:rPr>
          <w:szCs w:val="24"/>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836"/>
        <w:gridCol w:w="997"/>
        <w:gridCol w:w="1111"/>
        <w:gridCol w:w="1152"/>
        <w:gridCol w:w="1097"/>
        <w:gridCol w:w="1087"/>
      </w:tblGrid>
      <w:tr w:rsidR="007049A5" w:rsidRPr="004E4188" w14:paraId="6F2AE4AC" w14:textId="77777777" w:rsidTr="00F52709">
        <w:trPr>
          <w:trHeight w:val="265"/>
        </w:trPr>
        <w:tc>
          <w:tcPr>
            <w:tcW w:w="720" w:type="dxa"/>
            <w:vMerge w:val="restart"/>
            <w:tcBorders>
              <w:top w:val="double" w:sz="4" w:space="0" w:color="auto"/>
              <w:left w:val="double" w:sz="4" w:space="0" w:color="auto"/>
              <w:right w:val="nil"/>
            </w:tcBorders>
          </w:tcPr>
          <w:p w14:paraId="1688DBE0" w14:textId="1EB7A4AB" w:rsidR="007049A5" w:rsidRPr="004E4188" w:rsidRDefault="007049A5" w:rsidP="006C6267">
            <w:pPr>
              <w:jc w:val="center"/>
              <w:rPr>
                <w:sz w:val="22"/>
              </w:rPr>
            </w:pPr>
            <w:r w:rsidRPr="004E4188">
              <w:rPr>
                <w:i/>
                <w:sz w:val="22"/>
                <w:szCs w:val="22"/>
              </w:rPr>
              <w:t>N</w:t>
            </w:r>
            <w:r w:rsidRPr="004E4188">
              <w:rPr>
                <w:i/>
                <w:sz w:val="22"/>
                <w:szCs w:val="22"/>
                <w:vertAlign w:val="superscript"/>
              </w:rPr>
              <w:t xml:space="preserve">o </w:t>
            </w:r>
            <w:r w:rsidRPr="004E4188">
              <w:rPr>
                <w:i/>
                <w:sz w:val="22"/>
                <w:szCs w:val="22"/>
              </w:rPr>
              <w:t>du poste</w:t>
            </w:r>
          </w:p>
        </w:tc>
        <w:tc>
          <w:tcPr>
            <w:tcW w:w="2836" w:type="dxa"/>
            <w:vMerge w:val="restart"/>
            <w:tcBorders>
              <w:top w:val="double" w:sz="4" w:space="0" w:color="auto"/>
              <w:left w:val="single" w:sz="6" w:space="0" w:color="auto"/>
              <w:right w:val="single" w:sz="6" w:space="0" w:color="auto"/>
            </w:tcBorders>
          </w:tcPr>
          <w:p w14:paraId="1B67E0D1" w14:textId="06350280" w:rsidR="007049A5" w:rsidRPr="004E4188" w:rsidRDefault="007049A5" w:rsidP="006C6267">
            <w:pPr>
              <w:jc w:val="center"/>
              <w:rPr>
                <w:i/>
                <w:sz w:val="22"/>
              </w:rPr>
            </w:pPr>
            <w:r w:rsidRPr="004E4188">
              <w:rPr>
                <w:i/>
              </w:rPr>
              <w:t>Description</w:t>
            </w:r>
          </w:p>
        </w:tc>
        <w:tc>
          <w:tcPr>
            <w:tcW w:w="997" w:type="dxa"/>
            <w:vMerge w:val="restart"/>
            <w:tcBorders>
              <w:top w:val="double" w:sz="4" w:space="0" w:color="auto"/>
              <w:left w:val="single" w:sz="6" w:space="0" w:color="auto"/>
              <w:right w:val="single" w:sz="6" w:space="0" w:color="auto"/>
            </w:tcBorders>
          </w:tcPr>
          <w:p w14:paraId="7B286D7E" w14:textId="77777777" w:rsidR="007049A5" w:rsidRPr="004E4188" w:rsidRDefault="007049A5" w:rsidP="006C6267">
            <w:pPr>
              <w:jc w:val="center"/>
              <w:rPr>
                <w:i/>
                <w:sz w:val="22"/>
              </w:rPr>
            </w:pPr>
            <w:r w:rsidRPr="004E4188">
              <w:rPr>
                <w:i/>
                <w:sz w:val="22"/>
              </w:rPr>
              <w:t>Quantité</w:t>
            </w:r>
          </w:p>
          <w:p w14:paraId="58FD641F" w14:textId="77777777" w:rsidR="007049A5" w:rsidRPr="004E4188" w:rsidRDefault="007049A5" w:rsidP="006C6267">
            <w:pPr>
              <w:jc w:val="center"/>
              <w:rPr>
                <w:i/>
                <w:sz w:val="22"/>
              </w:rPr>
            </w:pPr>
          </w:p>
          <w:p w14:paraId="0BF6E217" w14:textId="77777777" w:rsidR="007049A5" w:rsidRPr="004E4188" w:rsidRDefault="007049A5" w:rsidP="006C6267">
            <w:pPr>
              <w:jc w:val="center"/>
              <w:rPr>
                <w:i/>
                <w:sz w:val="22"/>
              </w:rPr>
            </w:pPr>
          </w:p>
          <w:p w14:paraId="194C4441" w14:textId="77777777" w:rsidR="007049A5" w:rsidRPr="004E4188" w:rsidRDefault="007049A5" w:rsidP="006C6267">
            <w:pPr>
              <w:jc w:val="center"/>
              <w:rPr>
                <w:i/>
                <w:sz w:val="22"/>
              </w:rPr>
            </w:pPr>
            <w:r w:rsidRPr="004E4188">
              <w:rPr>
                <w:i/>
                <w:sz w:val="22"/>
              </w:rPr>
              <w:t>(1)</w:t>
            </w:r>
          </w:p>
        </w:tc>
        <w:tc>
          <w:tcPr>
            <w:tcW w:w="2263" w:type="dxa"/>
            <w:gridSpan w:val="2"/>
            <w:tcBorders>
              <w:top w:val="double" w:sz="4" w:space="0" w:color="auto"/>
              <w:left w:val="nil"/>
              <w:bottom w:val="single" w:sz="6" w:space="0" w:color="auto"/>
              <w:right w:val="nil"/>
            </w:tcBorders>
            <w:shd w:val="clear" w:color="auto" w:fill="auto"/>
          </w:tcPr>
          <w:p w14:paraId="1DE3386C" w14:textId="77777777" w:rsidR="007049A5" w:rsidRPr="004E4188" w:rsidRDefault="007049A5" w:rsidP="006C6267">
            <w:pPr>
              <w:jc w:val="center"/>
              <w:rPr>
                <w:i/>
                <w:sz w:val="22"/>
                <w:vertAlign w:val="superscript"/>
              </w:rPr>
            </w:pPr>
            <w:r w:rsidRPr="004E4188">
              <w:rPr>
                <w:i/>
                <w:sz w:val="22"/>
              </w:rPr>
              <w:t xml:space="preserve">Prix unitaire </w:t>
            </w:r>
          </w:p>
          <w:p w14:paraId="30F853AA" w14:textId="313FD7C1" w:rsidR="007049A5" w:rsidRPr="004E4188" w:rsidRDefault="007049A5" w:rsidP="006C6267">
            <w:pPr>
              <w:jc w:val="center"/>
              <w:rPr>
                <w:i/>
                <w:sz w:val="22"/>
              </w:rPr>
            </w:pPr>
            <w:r w:rsidRPr="004E4188">
              <w:rPr>
                <w:i/>
                <w:sz w:val="22"/>
              </w:rPr>
              <w:t>(2)</w:t>
            </w:r>
          </w:p>
        </w:tc>
        <w:tc>
          <w:tcPr>
            <w:tcW w:w="2184" w:type="dxa"/>
            <w:gridSpan w:val="2"/>
            <w:tcBorders>
              <w:top w:val="double" w:sz="4" w:space="0" w:color="auto"/>
              <w:left w:val="single" w:sz="6" w:space="0" w:color="auto"/>
              <w:bottom w:val="single" w:sz="6" w:space="0" w:color="auto"/>
              <w:right w:val="double" w:sz="4" w:space="0" w:color="auto"/>
            </w:tcBorders>
            <w:shd w:val="clear" w:color="auto" w:fill="auto"/>
          </w:tcPr>
          <w:p w14:paraId="41AE5EB9" w14:textId="77777777" w:rsidR="007049A5" w:rsidRPr="004E4188" w:rsidRDefault="007049A5" w:rsidP="006C6267">
            <w:pPr>
              <w:jc w:val="center"/>
              <w:rPr>
                <w:i/>
                <w:sz w:val="22"/>
                <w:vertAlign w:val="superscript"/>
              </w:rPr>
            </w:pPr>
            <w:r w:rsidRPr="004E4188">
              <w:rPr>
                <w:i/>
                <w:sz w:val="22"/>
              </w:rPr>
              <w:t xml:space="preserve">Prix total </w:t>
            </w:r>
          </w:p>
          <w:p w14:paraId="5974C15D" w14:textId="5DE1F713" w:rsidR="007049A5" w:rsidRPr="004E4188" w:rsidRDefault="007049A5" w:rsidP="006C6267">
            <w:pPr>
              <w:jc w:val="center"/>
              <w:rPr>
                <w:i/>
                <w:sz w:val="22"/>
              </w:rPr>
            </w:pPr>
            <w:r w:rsidRPr="004E4188">
              <w:rPr>
                <w:i/>
                <w:sz w:val="22"/>
              </w:rPr>
              <w:t>(1) x (2)</w:t>
            </w:r>
          </w:p>
        </w:tc>
      </w:tr>
      <w:tr w:rsidR="007049A5" w:rsidRPr="004E4188" w14:paraId="5DDFEB25" w14:textId="77777777" w:rsidTr="00F52709">
        <w:trPr>
          <w:trHeight w:val="265"/>
        </w:trPr>
        <w:tc>
          <w:tcPr>
            <w:tcW w:w="720" w:type="dxa"/>
            <w:vMerge/>
            <w:tcBorders>
              <w:left w:val="double" w:sz="4" w:space="0" w:color="auto"/>
              <w:bottom w:val="single" w:sz="6" w:space="0" w:color="auto"/>
              <w:right w:val="nil"/>
            </w:tcBorders>
          </w:tcPr>
          <w:p w14:paraId="5B939D28" w14:textId="77777777" w:rsidR="007049A5" w:rsidRPr="004E4188" w:rsidRDefault="007049A5" w:rsidP="006C6267">
            <w:pPr>
              <w:jc w:val="center"/>
              <w:rPr>
                <w:sz w:val="22"/>
              </w:rPr>
            </w:pPr>
          </w:p>
        </w:tc>
        <w:tc>
          <w:tcPr>
            <w:tcW w:w="2836" w:type="dxa"/>
            <w:vMerge/>
            <w:tcBorders>
              <w:left w:val="single" w:sz="6" w:space="0" w:color="auto"/>
              <w:bottom w:val="single" w:sz="6" w:space="0" w:color="auto"/>
              <w:right w:val="single" w:sz="6" w:space="0" w:color="auto"/>
            </w:tcBorders>
          </w:tcPr>
          <w:p w14:paraId="4900FF57" w14:textId="77777777" w:rsidR="007049A5" w:rsidRPr="004E4188" w:rsidRDefault="007049A5" w:rsidP="006C6267">
            <w:pPr>
              <w:jc w:val="center"/>
              <w:rPr>
                <w:i/>
                <w:sz w:val="22"/>
              </w:rPr>
            </w:pPr>
          </w:p>
        </w:tc>
        <w:tc>
          <w:tcPr>
            <w:tcW w:w="997" w:type="dxa"/>
            <w:vMerge/>
            <w:tcBorders>
              <w:left w:val="single" w:sz="6" w:space="0" w:color="auto"/>
              <w:bottom w:val="single" w:sz="6" w:space="0" w:color="auto"/>
              <w:right w:val="single" w:sz="6" w:space="0" w:color="auto"/>
            </w:tcBorders>
          </w:tcPr>
          <w:p w14:paraId="46509774" w14:textId="77777777" w:rsidR="007049A5" w:rsidRPr="004E4188" w:rsidRDefault="007049A5" w:rsidP="006C6267">
            <w:pPr>
              <w:jc w:val="center"/>
              <w:rPr>
                <w:i/>
                <w:sz w:val="22"/>
              </w:rPr>
            </w:pPr>
          </w:p>
        </w:tc>
        <w:tc>
          <w:tcPr>
            <w:tcW w:w="1111" w:type="dxa"/>
            <w:tcBorders>
              <w:top w:val="single" w:sz="6" w:space="0" w:color="auto"/>
              <w:left w:val="nil"/>
              <w:bottom w:val="single" w:sz="6" w:space="0" w:color="auto"/>
              <w:right w:val="single" w:sz="6" w:space="0" w:color="auto"/>
            </w:tcBorders>
            <w:shd w:val="clear" w:color="auto" w:fill="auto"/>
          </w:tcPr>
          <w:p w14:paraId="4FCE2B90" w14:textId="1323A7E5" w:rsidR="007049A5" w:rsidRPr="004E4188" w:rsidRDefault="008E396F" w:rsidP="006C6267">
            <w:pPr>
              <w:jc w:val="center"/>
              <w:rPr>
                <w:i/>
                <w:sz w:val="22"/>
              </w:rPr>
            </w:pPr>
            <w:r w:rsidRPr="004E4188">
              <w:rPr>
                <w:i/>
                <w:sz w:val="22"/>
              </w:rPr>
              <w:t xml:space="preserve">Part en </w:t>
            </w:r>
            <w:r w:rsidR="007049A5" w:rsidRPr="004E4188">
              <w:rPr>
                <w:i/>
                <w:sz w:val="22"/>
              </w:rPr>
              <w:t>Monnaie nationale</w:t>
            </w:r>
            <w:r w:rsidR="007049A5" w:rsidRPr="004E4188" w:rsidDel="00A62887">
              <w:rPr>
                <w:i/>
                <w:sz w:val="22"/>
              </w:rPr>
              <w:t xml:space="preserve"> </w:t>
            </w:r>
          </w:p>
        </w:tc>
        <w:tc>
          <w:tcPr>
            <w:tcW w:w="1152" w:type="dxa"/>
            <w:tcBorders>
              <w:top w:val="single" w:sz="6" w:space="0" w:color="auto"/>
              <w:left w:val="single" w:sz="6" w:space="0" w:color="auto"/>
              <w:bottom w:val="single" w:sz="6" w:space="0" w:color="auto"/>
              <w:right w:val="nil"/>
            </w:tcBorders>
            <w:shd w:val="clear" w:color="auto" w:fill="auto"/>
          </w:tcPr>
          <w:p w14:paraId="336A09DB" w14:textId="59ECBC7B" w:rsidR="007049A5" w:rsidRPr="004E4188" w:rsidRDefault="008E396F" w:rsidP="006C6267">
            <w:pPr>
              <w:jc w:val="center"/>
              <w:rPr>
                <w:i/>
                <w:sz w:val="22"/>
              </w:rPr>
            </w:pPr>
            <w:r w:rsidRPr="004E4188">
              <w:rPr>
                <w:i/>
                <w:sz w:val="22"/>
              </w:rPr>
              <w:t xml:space="preserve">Part en </w:t>
            </w:r>
            <w:r w:rsidR="007049A5" w:rsidRPr="004E4188">
              <w:rPr>
                <w:i/>
                <w:sz w:val="22"/>
              </w:rPr>
              <w:t>Monnaie étrangère</w:t>
            </w:r>
          </w:p>
          <w:p w14:paraId="1ECD784F" w14:textId="0BD2DA9D" w:rsidR="007049A5" w:rsidRPr="004E4188" w:rsidRDefault="007049A5" w:rsidP="006C6267">
            <w:pPr>
              <w:jc w:val="center"/>
              <w:rPr>
                <w:i/>
                <w:sz w:val="22"/>
              </w:rPr>
            </w:pPr>
            <w:r w:rsidRPr="004E4188" w:rsidDel="00A62887">
              <w:rPr>
                <w:i/>
                <w:sz w:val="22"/>
              </w:rPr>
              <w:t xml:space="preserve"> </w:t>
            </w:r>
          </w:p>
        </w:tc>
        <w:tc>
          <w:tcPr>
            <w:tcW w:w="1097" w:type="dxa"/>
            <w:tcBorders>
              <w:top w:val="single" w:sz="6" w:space="0" w:color="auto"/>
              <w:left w:val="single" w:sz="6" w:space="0" w:color="auto"/>
              <w:bottom w:val="single" w:sz="6" w:space="0" w:color="auto"/>
            </w:tcBorders>
            <w:shd w:val="clear" w:color="auto" w:fill="auto"/>
          </w:tcPr>
          <w:p w14:paraId="01EEB84E" w14:textId="6A078EAD" w:rsidR="007049A5" w:rsidRPr="004E4188" w:rsidRDefault="008E396F" w:rsidP="006C6267">
            <w:pPr>
              <w:jc w:val="center"/>
              <w:rPr>
                <w:i/>
                <w:sz w:val="22"/>
              </w:rPr>
            </w:pPr>
            <w:r w:rsidRPr="004E4188">
              <w:rPr>
                <w:i/>
                <w:sz w:val="22"/>
              </w:rPr>
              <w:t xml:space="preserve">Part en </w:t>
            </w:r>
            <w:r w:rsidR="007049A5" w:rsidRPr="004E4188">
              <w:rPr>
                <w:i/>
                <w:sz w:val="22"/>
              </w:rPr>
              <w:t>Monnaie nationale</w:t>
            </w:r>
            <w:r w:rsidR="007049A5" w:rsidRPr="004E4188" w:rsidDel="00A62887">
              <w:rPr>
                <w:i/>
                <w:sz w:val="22"/>
              </w:rPr>
              <w:t xml:space="preserve"> </w:t>
            </w:r>
          </w:p>
        </w:tc>
        <w:tc>
          <w:tcPr>
            <w:tcW w:w="1087" w:type="dxa"/>
            <w:tcBorders>
              <w:top w:val="single" w:sz="6" w:space="0" w:color="auto"/>
              <w:left w:val="single" w:sz="6" w:space="0" w:color="auto"/>
              <w:bottom w:val="single" w:sz="6" w:space="0" w:color="auto"/>
              <w:right w:val="double" w:sz="4" w:space="0" w:color="auto"/>
            </w:tcBorders>
            <w:shd w:val="clear" w:color="auto" w:fill="auto"/>
          </w:tcPr>
          <w:p w14:paraId="3E21463A" w14:textId="3EF97470" w:rsidR="007049A5" w:rsidRPr="004E4188" w:rsidRDefault="008E396F" w:rsidP="006C6267">
            <w:pPr>
              <w:jc w:val="center"/>
              <w:rPr>
                <w:i/>
                <w:sz w:val="22"/>
              </w:rPr>
            </w:pPr>
            <w:r w:rsidRPr="004E4188">
              <w:rPr>
                <w:i/>
                <w:sz w:val="22"/>
              </w:rPr>
              <w:t xml:space="preserve">Part en </w:t>
            </w:r>
            <w:r w:rsidR="007049A5" w:rsidRPr="004E4188">
              <w:rPr>
                <w:i/>
                <w:sz w:val="22"/>
              </w:rPr>
              <w:t>Monnaie étrangère</w:t>
            </w:r>
          </w:p>
          <w:p w14:paraId="3780A8FE" w14:textId="1AC8BCF5" w:rsidR="007049A5" w:rsidRPr="004E4188" w:rsidRDefault="007049A5" w:rsidP="006C6267">
            <w:pPr>
              <w:jc w:val="center"/>
              <w:rPr>
                <w:i/>
                <w:sz w:val="22"/>
              </w:rPr>
            </w:pPr>
            <w:r w:rsidRPr="004E4188" w:rsidDel="00A62887">
              <w:rPr>
                <w:i/>
                <w:sz w:val="22"/>
              </w:rPr>
              <w:t xml:space="preserve"> </w:t>
            </w:r>
          </w:p>
        </w:tc>
      </w:tr>
      <w:tr w:rsidR="007049A5" w:rsidRPr="004E4188" w14:paraId="43A7ECB5" w14:textId="77777777" w:rsidTr="00F52709">
        <w:tc>
          <w:tcPr>
            <w:tcW w:w="720" w:type="dxa"/>
            <w:tcBorders>
              <w:top w:val="single" w:sz="6" w:space="0" w:color="auto"/>
              <w:left w:val="double" w:sz="4" w:space="0" w:color="auto"/>
              <w:bottom w:val="dotted" w:sz="4" w:space="0" w:color="auto"/>
              <w:right w:val="nil"/>
            </w:tcBorders>
          </w:tcPr>
          <w:p w14:paraId="724CC03B" w14:textId="77777777" w:rsidR="007049A5" w:rsidRPr="004E4188" w:rsidRDefault="007049A5" w:rsidP="006C6267">
            <w:pPr>
              <w:rPr>
                <w:sz w:val="22"/>
              </w:rPr>
            </w:pPr>
            <w:r w:rsidRPr="004E4188">
              <w:rPr>
                <w:sz w:val="22"/>
                <w:lang w:eastAsia="ja-JP"/>
              </w:rPr>
              <w:t>401</w:t>
            </w:r>
          </w:p>
        </w:tc>
        <w:tc>
          <w:tcPr>
            <w:tcW w:w="2836" w:type="dxa"/>
            <w:tcBorders>
              <w:top w:val="single" w:sz="6" w:space="0" w:color="auto"/>
              <w:left w:val="single" w:sz="6" w:space="0" w:color="auto"/>
              <w:bottom w:val="dotted" w:sz="4" w:space="0" w:color="auto"/>
              <w:right w:val="single" w:sz="6" w:space="0" w:color="auto"/>
            </w:tcBorders>
          </w:tcPr>
          <w:p w14:paraId="057796D1" w14:textId="77777777" w:rsidR="007049A5" w:rsidRPr="004E4188" w:rsidRDefault="007049A5" w:rsidP="006C6267">
            <w:pPr>
              <w:rPr>
                <w:sz w:val="22"/>
              </w:rPr>
            </w:pPr>
          </w:p>
        </w:tc>
        <w:tc>
          <w:tcPr>
            <w:tcW w:w="997" w:type="dxa"/>
            <w:tcBorders>
              <w:top w:val="single" w:sz="6" w:space="0" w:color="auto"/>
              <w:left w:val="single" w:sz="6" w:space="0" w:color="auto"/>
              <w:bottom w:val="dotted" w:sz="4" w:space="0" w:color="auto"/>
              <w:right w:val="single" w:sz="6" w:space="0" w:color="auto"/>
            </w:tcBorders>
          </w:tcPr>
          <w:p w14:paraId="57E17B4F" w14:textId="77777777" w:rsidR="007049A5" w:rsidRPr="004E4188" w:rsidRDefault="007049A5" w:rsidP="006C6267">
            <w:pPr>
              <w:rPr>
                <w:sz w:val="22"/>
              </w:rPr>
            </w:pPr>
          </w:p>
        </w:tc>
        <w:tc>
          <w:tcPr>
            <w:tcW w:w="1111" w:type="dxa"/>
            <w:tcBorders>
              <w:top w:val="single" w:sz="6" w:space="0" w:color="auto"/>
              <w:left w:val="nil"/>
              <w:bottom w:val="dotted" w:sz="4" w:space="0" w:color="auto"/>
              <w:right w:val="single" w:sz="6" w:space="0" w:color="auto"/>
            </w:tcBorders>
            <w:shd w:val="clear" w:color="auto" w:fill="auto"/>
          </w:tcPr>
          <w:p w14:paraId="00446610" w14:textId="77777777" w:rsidR="007049A5" w:rsidRPr="004E4188" w:rsidRDefault="007049A5" w:rsidP="006C6267">
            <w:pPr>
              <w:rPr>
                <w:sz w:val="22"/>
              </w:rPr>
            </w:pPr>
          </w:p>
        </w:tc>
        <w:tc>
          <w:tcPr>
            <w:tcW w:w="1152" w:type="dxa"/>
            <w:tcBorders>
              <w:top w:val="single" w:sz="6" w:space="0" w:color="auto"/>
              <w:left w:val="nil"/>
              <w:bottom w:val="dotted" w:sz="4" w:space="0" w:color="auto"/>
              <w:right w:val="single" w:sz="6" w:space="0" w:color="auto"/>
            </w:tcBorders>
            <w:shd w:val="clear" w:color="auto" w:fill="auto"/>
          </w:tcPr>
          <w:p w14:paraId="5B0C178D" w14:textId="77777777" w:rsidR="007049A5" w:rsidRPr="004E4188" w:rsidRDefault="007049A5" w:rsidP="006C6267">
            <w:pPr>
              <w:rPr>
                <w:sz w:val="22"/>
              </w:rPr>
            </w:pPr>
          </w:p>
        </w:tc>
        <w:tc>
          <w:tcPr>
            <w:tcW w:w="1097" w:type="dxa"/>
            <w:tcBorders>
              <w:top w:val="single" w:sz="6" w:space="0" w:color="auto"/>
              <w:left w:val="nil"/>
              <w:bottom w:val="dotted" w:sz="4" w:space="0" w:color="auto"/>
              <w:right w:val="single" w:sz="6" w:space="0" w:color="auto"/>
            </w:tcBorders>
            <w:shd w:val="clear" w:color="auto" w:fill="auto"/>
          </w:tcPr>
          <w:p w14:paraId="79F06EB6" w14:textId="77777777" w:rsidR="007049A5" w:rsidRPr="004E4188" w:rsidRDefault="007049A5" w:rsidP="006C6267">
            <w:pPr>
              <w:rPr>
                <w:sz w:val="22"/>
              </w:rPr>
            </w:pPr>
          </w:p>
        </w:tc>
        <w:tc>
          <w:tcPr>
            <w:tcW w:w="1087" w:type="dxa"/>
            <w:tcBorders>
              <w:top w:val="single" w:sz="6" w:space="0" w:color="auto"/>
              <w:left w:val="single" w:sz="6" w:space="0" w:color="auto"/>
              <w:bottom w:val="dotted" w:sz="4" w:space="0" w:color="auto"/>
              <w:right w:val="double" w:sz="4" w:space="0" w:color="auto"/>
            </w:tcBorders>
            <w:shd w:val="clear" w:color="auto" w:fill="auto"/>
          </w:tcPr>
          <w:p w14:paraId="17D43953" w14:textId="77777777" w:rsidR="007049A5" w:rsidRPr="004E4188" w:rsidRDefault="007049A5" w:rsidP="006C6267">
            <w:pPr>
              <w:rPr>
                <w:sz w:val="22"/>
              </w:rPr>
            </w:pPr>
          </w:p>
        </w:tc>
      </w:tr>
      <w:tr w:rsidR="007049A5" w:rsidRPr="004E4188" w14:paraId="699B6B7E" w14:textId="77777777" w:rsidTr="00F52709">
        <w:tc>
          <w:tcPr>
            <w:tcW w:w="720" w:type="dxa"/>
            <w:tcBorders>
              <w:top w:val="dotted" w:sz="4" w:space="0" w:color="auto"/>
              <w:left w:val="double" w:sz="4" w:space="0" w:color="auto"/>
              <w:bottom w:val="dotted" w:sz="4" w:space="0" w:color="auto"/>
              <w:right w:val="nil"/>
            </w:tcBorders>
          </w:tcPr>
          <w:p w14:paraId="1C30C781" w14:textId="77777777" w:rsidR="007049A5" w:rsidRPr="004E4188" w:rsidRDefault="007049A5" w:rsidP="006C6267">
            <w:pPr>
              <w:rPr>
                <w:sz w:val="22"/>
              </w:rPr>
            </w:pPr>
            <w:r w:rsidRPr="004E4188">
              <w:rPr>
                <w:sz w:val="22"/>
                <w:lang w:eastAsia="ja-JP"/>
              </w:rPr>
              <w:t>402</w:t>
            </w:r>
          </w:p>
        </w:tc>
        <w:tc>
          <w:tcPr>
            <w:tcW w:w="2836" w:type="dxa"/>
            <w:tcBorders>
              <w:top w:val="dotted" w:sz="4" w:space="0" w:color="auto"/>
              <w:left w:val="single" w:sz="6" w:space="0" w:color="auto"/>
              <w:bottom w:val="dotted" w:sz="4" w:space="0" w:color="auto"/>
              <w:right w:val="single" w:sz="6" w:space="0" w:color="auto"/>
            </w:tcBorders>
          </w:tcPr>
          <w:p w14:paraId="16625AFC" w14:textId="77777777" w:rsidR="007049A5" w:rsidRPr="004E4188" w:rsidRDefault="007049A5" w:rsidP="006C6267">
            <w:pPr>
              <w:rPr>
                <w:sz w:val="22"/>
              </w:rPr>
            </w:pPr>
          </w:p>
        </w:tc>
        <w:tc>
          <w:tcPr>
            <w:tcW w:w="997" w:type="dxa"/>
            <w:tcBorders>
              <w:top w:val="dotted" w:sz="4" w:space="0" w:color="auto"/>
              <w:left w:val="single" w:sz="6" w:space="0" w:color="auto"/>
              <w:bottom w:val="dotted" w:sz="4" w:space="0" w:color="auto"/>
              <w:right w:val="single" w:sz="6" w:space="0" w:color="auto"/>
            </w:tcBorders>
          </w:tcPr>
          <w:p w14:paraId="56493516" w14:textId="77777777" w:rsidR="007049A5" w:rsidRPr="004E4188" w:rsidRDefault="007049A5" w:rsidP="006C6267">
            <w:pPr>
              <w:rPr>
                <w:sz w:val="22"/>
              </w:rPr>
            </w:pPr>
          </w:p>
        </w:tc>
        <w:tc>
          <w:tcPr>
            <w:tcW w:w="1111" w:type="dxa"/>
            <w:tcBorders>
              <w:top w:val="dotted" w:sz="4" w:space="0" w:color="auto"/>
              <w:left w:val="nil"/>
              <w:bottom w:val="dotted" w:sz="4" w:space="0" w:color="auto"/>
              <w:right w:val="single" w:sz="6" w:space="0" w:color="auto"/>
            </w:tcBorders>
            <w:shd w:val="clear" w:color="auto" w:fill="auto"/>
          </w:tcPr>
          <w:p w14:paraId="51866808" w14:textId="77777777" w:rsidR="007049A5" w:rsidRPr="004E4188" w:rsidRDefault="007049A5" w:rsidP="006C6267">
            <w:pPr>
              <w:rPr>
                <w:sz w:val="22"/>
              </w:rPr>
            </w:pPr>
          </w:p>
        </w:tc>
        <w:tc>
          <w:tcPr>
            <w:tcW w:w="1152" w:type="dxa"/>
            <w:tcBorders>
              <w:top w:val="dotted" w:sz="4" w:space="0" w:color="auto"/>
              <w:left w:val="nil"/>
              <w:bottom w:val="dotted" w:sz="4" w:space="0" w:color="auto"/>
              <w:right w:val="single" w:sz="6" w:space="0" w:color="auto"/>
            </w:tcBorders>
            <w:shd w:val="clear" w:color="auto" w:fill="auto"/>
          </w:tcPr>
          <w:p w14:paraId="2C51C8FC" w14:textId="77777777" w:rsidR="007049A5" w:rsidRPr="004E4188" w:rsidRDefault="007049A5" w:rsidP="006C6267">
            <w:pPr>
              <w:rPr>
                <w:sz w:val="22"/>
              </w:rPr>
            </w:pPr>
          </w:p>
        </w:tc>
        <w:tc>
          <w:tcPr>
            <w:tcW w:w="1097" w:type="dxa"/>
            <w:tcBorders>
              <w:top w:val="dotted" w:sz="4" w:space="0" w:color="auto"/>
              <w:left w:val="nil"/>
              <w:bottom w:val="dotted" w:sz="4" w:space="0" w:color="auto"/>
              <w:right w:val="single" w:sz="6" w:space="0" w:color="auto"/>
            </w:tcBorders>
            <w:shd w:val="clear" w:color="auto" w:fill="auto"/>
          </w:tcPr>
          <w:p w14:paraId="5898295D" w14:textId="77777777" w:rsidR="007049A5" w:rsidRPr="004E4188" w:rsidRDefault="007049A5" w:rsidP="006C6267">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6077A901" w14:textId="77777777" w:rsidR="007049A5" w:rsidRPr="004E4188" w:rsidRDefault="007049A5" w:rsidP="006C6267">
            <w:pPr>
              <w:rPr>
                <w:sz w:val="22"/>
              </w:rPr>
            </w:pPr>
          </w:p>
        </w:tc>
      </w:tr>
      <w:tr w:rsidR="007049A5" w:rsidRPr="004E4188" w14:paraId="6FBB9103" w14:textId="77777777" w:rsidTr="00F52709">
        <w:tc>
          <w:tcPr>
            <w:tcW w:w="720" w:type="dxa"/>
            <w:tcBorders>
              <w:top w:val="dotted" w:sz="4" w:space="0" w:color="auto"/>
              <w:left w:val="double" w:sz="4" w:space="0" w:color="auto"/>
              <w:bottom w:val="dotted" w:sz="4" w:space="0" w:color="auto"/>
              <w:right w:val="nil"/>
            </w:tcBorders>
          </w:tcPr>
          <w:p w14:paraId="0A77C2B4" w14:textId="77777777" w:rsidR="007049A5" w:rsidRPr="004E4188" w:rsidRDefault="007049A5" w:rsidP="006C6267">
            <w:pPr>
              <w:rPr>
                <w:sz w:val="22"/>
              </w:rPr>
            </w:pPr>
            <w:r w:rsidRPr="004E4188">
              <w:rPr>
                <w:sz w:val="22"/>
                <w:lang w:eastAsia="ja-JP"/>
              </w:rPr>
              <w:t>403</w:t>
            </w:r>
          </w:p>
        </w:tc>
        <w:tc>
          <w:tcPr>
            <w:tcW w:w="2836" w:type="dxa"/>
            <w:tcBorders>
              <w:top w:val="dotted" w:sz="4" w:space="0" w:color="auto"/>
              <w:left w:val="single" w:sz="6" w:space="0" w:color="auto"/>
              <w:bottom w:val="dotted" w:sz="4" w:space="0" w:color="auto"/>
              <w:right w:val="single" w:sz="6" w:space="0" w:color="auto"/>
            </w:tcBorders>
          </w:tcPr>
          <w:p w14:paraId="2F752585" w14:textId="77777777" w:rsidR="007049A5" w:rsidRPr="004E4188" w:rsidRDefault="007049A5" w:rsidP="006C6267">
            <w:pPr>
              <w:rPr>
                <w:sz w:val="22"/>
              </w:rPr>
            </w:pPr>
          </w:p>
        </w:tc>
        <w:tc>
          <w:tcPr>
            <w:tcW w:w="997" w:type="dxa"/>
            <w:tcBorders>
              <w:top w:val="dotted" w:sz="4" w:space="0" w:color="auto"/>
              <w:left w:val="single" w:sz="6" w:space="0" w:color="auto"/>
              <w:bottom w:val="dotted" w:sz="4" w:space="0" w:color="auto"/>
              <w:right w:val="single" w:sz="6" w:space="0" w:color="auto"/>
            </w:tcBorders>
          </w:tcPr>
          <w:p w14:paraId="3C2D26A6" w14:textId="77777777" w:rsidR="007049A5" w:rsidRPr="004E4188" w:rsidRDefault="007049A5" w:rsidP="006C6267">
            <w:pPr>
              <w:rPr>
                <w:sz w:val="22"/>
              </w:rPr>
            </w:pPr>
          </w:p>
        </w:tc>
        <w:tc>
          <w:tcPr>
            <w:tcW w:w="1111" w:type="dxa"/>
            <w:tcBorders>
              <w:top w:val="dotted" w:sz="4" w:space="0" w:color="auto"/>
              <w:left w:val="nil"/>
              <w:bottom w:val="dotted" w:sz="4" w:space="0" w:color="auto"/>
              <w:right w:val="single" w:sz="6" w:space="0" w:color="auto"/>
            </w:tcBorders>
            <w:shd w:val="clear" w:color="auto" w:fill="auto"/>
          </w:tcPr>
          <w:p w14:paraId="2B308526" w14:textId="77777777" w:rsidR="007049A5" w:rsidRPr="004E4188" w:rsidRDefault="007049A5" w:rsidP="006C6267">
            <w:pPr>
              <w:rPr>
                <w:sz w:val="22"/>
              </w:rPr>
            </w:pPr>
          </w:p>
        </w:tc>
        <w:tc>
          <w:tcPr>
            <w:tcW w:w="1152" w:type="dxa"/>
            <w:tcBorders>
              <w:top w:val="dotted" w:sz="4" w:space="0" w:color="auto"/>
              <w:left w:val="nil"/>
              <w:bottom w:val="dotted" w:sz="4" w:space="0" w:color="auto"/>
              <w:right w:val="single" w:sz="6" w:space="0" w:color="auto"/>
            </w:tcBorders>
            <w:shd w:val="clear" w:color="auto" w:fill="auto"/>
          </w:tcPr>
          <w:p w14:paraId="7F70CA48" w14:textId="77777777" w:rsidR="007049A5" w:rsidRPr="004E4188" w:rsidRDefault="007049A5" w:rsidP="006C6267">
            <w:pPr>
              <w:rPr>
                <w:sz w:val="22"/>
              </w:rPr>
            </w:pPr>
          </w:p>
        </w:tc>
        <w:tc>
          <w:tcPr>
            <w:tcW w:w="1097" w:type="dxa"/>
            <w:tcBorders>
              <w:top w:val="dotted" w:sz="4" w:space="0" w:color="auto"/>
              <w:left w:val="nil"/>
              <w:bottom w:val="dotted" w:sz="4" w:space="0" w:color="auto"/>
              <w:right w:val="single" w:sz="6" w:space="0" w:color="auto"/>
            </w:tcBorders>
            <w:shd w:val="clear" w:color="auto" w:fill="auto"/>
          </w:tcPr>
          <w:p w14:paraId="250D374D" w14:textId="77777777" w:rsidR="007049A5" w:rsidRPr="004E4188" w:rsidRDefault="007049A5" w:rsidP="006C6267">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070F444A" w14:textId="77777777" w:rsidR="007049A5" w:rsidRPr="004E4188" w:rsidRDefault="007049A5" w:rsidP="006C6267">
            <w:pPr>
              <w:rPr>
                <w:sz w:val="22"/>
              </w:rPr>
            </w:pPr>
          </w:p>
        </w:tc>
      </w:tr>
      <w:tr w:rsidR="007049A5" w:rsidRPr="004E4188" w14:paraId="24FF2019" w14:textId="77777777" w:rsidTr="00F52709">
        <w:tc>
          <w:tcPr>
            <w:tcW w:w="720" w:type="dxa"/>
            <w:tcBorders>
              <w:top w:val="dotted" w:sz="4" w:space="0" w:color="auto"/>
              <w:left w:val="double" w:sz="4" w:space="0" w:color="auto"/>
              <w:bottom w:val="dotted" w:sz="4" w:space="0" w:color="auto"/>
              <w:right w:val="nil"/>
            </w:tcBorders>
          </w:tcPr>
          <w:p w14:paraId="09B720E5" w14:textId="77777777" w:rsidR="007049A5" w:rsidRPr="004E4188" w:rsidRDefault="007049A5" w:rsidP="006C6267">
            <w:pPr>
              <w:rPr>
                <w:sz w:val="22"/>
              </w:rPr>
            </w:pPr>
            <w:r w:rsidRPr="004E4188">
              <w:rPr>
                <w:sz w:val="22"/>
                <w:lang w:eastAsia="ja-JP"/>
              </w:rPr>
              <w:t>404</w:t>
            </w:r>
          </w:p>
        </w:tc>
        <w:tc>
          <w:tcPr>
            <w:tcW w:w="2836" w:type="dxa"/>
            <w:tcBorders>
              <w:top w:val="dotted" w:sz="4" w:space="0" w:color="auto"/>
              <w:left w:val="single" w:sz="6" w:space="0" w:color="auto"/>
              <w:bottom w:val="dotted" w:sz="4" w:space="0" w:color="auto"/>
              <w:right w:val="single" w:sz="6" w:space="0" w:color="auto"/>
            </w:tcBorders>
          </w:tcPr>
          <w:p w14:paraId="5175ADF5" w14:textId="77777777" w:rsidR="007049A5" w:rsidRPr="004E4188" w:rsidRDefault="007049A5" w:rsidP="006C6267">
            <w:pPr>
              <w:rPr>
                <w:sz w:val="22"/>
              </w:rPr>
            </w:pPr>
          </w:p>
        </w:tc>
        <w:tc>
          <w:tcPr>
            <w:tcW w:w="997" w:type="dxa"/>
            <w:tcBorders>
              <w:top w:val="dotted" w:sz="4" w:space="0" w:color="auto"/>
              <w:left w:val="single" w:sz="6" w:space="0" w:color="auto"/>
              <w:bottom w:val="dotted" w:sz="4" w:space="0" w:color="auto"/>
              <w:right w:val="single" w:sz="6" w:space="0" w:color="auto"/>
            </w:tcBorders>
          </w:tcPr>
          <w:p w14:paraId="2A9F75C2" w14:textId="77777777" w:rsidR="007049A5" w:rsidRPr="004E4188" w:rsidRDefault="007049A5" w:rsidP="006C6267">
            <w:pPr>
              <w:rPr>
                <w:sz w:val="22"/>
              </w:rPr>
            </w:pPr>
          </w:p>
        </w:tc>
        <w:tc>
          <w:tcPr>
            <w:tcW w:w="1111" w:type="dxa"/>
            <w:tcBorders>
              <w:top w:val="dotted" w:sz="4" w:space="0" w:color="auto"/>
              <w:left w:val="nil"/>
              <w:bottom w:val="dotted" w:sz="4" w:space="0" w:color="auto"/>
              <w:right w:val="single" w:sz="6" w:space="0" w:color="auto"/>
            </w:tcBorders>
            <w:shd w:val="clear" w:color="auto" w:fill="auto"/>
          </w:tcPr>
          <w:p w14:paraId="42756094" w14:textId="77777777" w:rsidR="007049A5" w:rsidRPr="004E4188" w:rsidRDefault="007049A5" w:rsidP="006C6267">
            <w:pPr>
              <w:rPr>
                <w:sz w:val="22"/>
              </w:rPr>
            </w:pPr>
          </w:p>
        </w:tc>
        <w:tc>
          <w:tcPr>
            <w:tcW w:w="1152" w:type="dxa"/>
            <w:tcBorders>
              <w:top w:val="dotted" w:sz="4" w:space="0" w:color="auto"/>
              <w:left w:val="nil"/>
              <w:bottom w:val="dotted" w:sz="4" w:space="0" w:color="auto"/>
              <w:right w:val="single" w:sz="6" w:space="0" w:color="auto"/>
            </w:tcBorders>
            <w:shd w:val="clear" w:color="auto" w:fill="auto"/>
          </w:tcPr>
          <w:p w14:paraId="2C06E416" w14:textId="77777777" w:rsidR="007049A5" w:rsidRPr="004E4188" w:rsidRDefault="007049A5" w:rsidP="006C6267">
            <w:pPr>
              <w:rPr>
                <w:sz w:val="22"/>
              </w:rPr>
            </w:pPr>
          </w:p>
        </w:tc>
        <w:tc>
          <w:tcPr>
            <w:tcW w:w="1097" w:type="dxa"/>
            <w:tcBorders>
              <w:top w:val="dotted" w:sz="4" w:space="0" w:color="auto"/>
              <w:left w:val="nil"/>
              <w:bottom w:val="dotted" w:sz="4" w:space="0" w:color="auto"/>
              <w:right w:val="single" w:sz="6" w:space="0" w:color="auto"/>
            </w:tcBorders>
            <w:shd w:val="clear" w:color="auto" w:fill="auto"/>
          </w:tcPr>
          <w:p w14:paraId="1F68DD10" w14:textId="77777777" w:rsidR="007049A5" w:rsidRPr="004E4188" w:rsidRDefault="007049A5" w:rsidP="006C6267">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14F563B7" w14:textId="77777777" w:rsidR="007049A5" w:rsidRPr="004E4188" w:rsidRDefault="007049A5" w:rsidP="006C6267">
            <w:pPr>
              <w:rPr>
                <w:sz w:val="22"/>
              </w:rPr>
            </w:pPr>
          </w:p>
        </w:tc>
      </w:tr>
      <w:tr w:rsidR="007049A5" w:rsidRPr="004E4188" w14:paraId="30496FD8" w14:textId="77777777" w:rsidTr="00F52709">
        <w:tc>
          <w:tcPr>
            <w:tcW w:w="720" w:type="dxa"/>
            <w:tcBorders>
              <w:top w:val="dotted" w:sz="4" w:space="0" w:color="auto"/>
              <w:left w:val="double" w:sz="4" w:space="0" w:color="auto"/>
              <w:bottom w:val="dotted" w:sz="4" w:space="0" w:color="auto"/>
              <w:right w:val="nil"/>
            </w:tcBorders>
          </w:tcPr>
          <w:p w14:paraId="6A7F36E5" w14:textId="77777777" w:rsidR="007049A5" w:rsidRPr="004E4188" w:rsidRDefault="007049A5" w:rsidP="006C6267">
            <w:pPr>
              <w:rPr>
                <w:sz w:val="22"/>
              </w:rPr>
            </w:pPr>
            <w:r w:rsidRPr="004E4188">
              <w:rPr>
                <w:sz w:val="22"/>
                <w:lang w:eastAsia="ja-JP"/>
              </w:rPr>
              <w:t>405</w:t>
            </w:r>
          </w:p>
        </w:tc>
        <w:tc>
          <w:tcPr>
            <w:tcW w:w="2836" w:type="dxa"/>
            <w:tcBorders>
              <w:top w:val="dotted" w:sz="4" w:space="0" w:color="auto"/>
              <w:left w:val="single" w:sz="6" w:space="0" w:color="auto"/>
              <w:bottom w:val="dotted" w:sz="4" w:space="0" w:color="auto"/>
              <w:right w:val="single" w:sz="6" w:space="0" w:color="auto"/>
            </w:tcBorders>
          </w:tcPr>
          <w:p w14:paraId="2D69EAE6" w14:textId="77777777" w:rsidR="007049A5" w:rsidRPr="004E4188" w:rsidRDefault="007049A5" w:rsidP="006C6267">
            <w:pPr>
              <w:rPr>
                <w:sz w:val="22"/>
              </w:rPr>
            </w:pPr>
          </w:p>
        </w:tc>
        <w:tc>
          <w:tcPr>
            <w:tcW w:w="997" w:type="dxa"/>
            <w:tcBorders>
              <w:top w:val="dotted" w:sz="4" w:space="0" w:color="auto"/>
              <w:left w:val="single" w:sz="6" w:space="0" w:color="auto"/>
              <w:bottom w:val="dotted" w:sz="4" w:space="0" w:color="auto"/>
              <w:right w:val="single" w:sz="6" w:space="0" w:color="auto"/>
            </w:tcBorders>
          </w:tcPr>
          <w:p w14:paraId="53654F1F" w14:textId="77777777" w:rsidR="007049A5" w:rsidRPr="004E4188" w:rsidRDefault="007049A5" w:rsidP="006C6267">
            <w:pPr>
              <w:rPr>
                <w:sz w:val="22"/>
              </w:rPr>
            </w:pPr>
          </w:p>
        </w:tc>
        <w:tc>
          <w:tcPr>
            <w:tcW w:w="1111" w:type="dxa"/>
            <w:tcBorders>
              <w:top w:val="dotted" w:sz="4" w:space="0" w:color="auto"/>
              <w:left w:val="nil"/>
              <w:bottom w:val="dotted" w:sz="4" w:space="0" w:color="auto"/>
              <w:right w:val="single" w:sz="6" w:space="0" w:color="auto"/>
            </w:tcBorders>
            <w:shd w:val="clear" w:color="auto" w:fill="auto"/>
          </w:tcPr>
          <w:p w14:paraId="709942BB" w14:textId="77777777" w:rsidR="007049A5" w:rsidRPr="004E4188" w:rsidRDefault="007049A5" w:rsidP="006C6267">
            <w:pPr>
              <w:rPr>
                <w:sz w:val="22"/>
              </w:rPr>
            </w:pPr>
          </w:p>
        </w:tc>
        <w:tc>
          <w:tcPr>
            <w:tcW w:w="1152" w:type="dxa"/>
            <w:tcBorders>
              <w:top w:val="dotted" w:sz="4" w:space="0" w:color="auto"/>
              <w:left w:val="nil"/>
              <w:bottom w:val="dotted" w:sz="4" w:space="0" w:color="auto"/>
              <w:right w:val="single" w:sz="6" w:space="0" w:color="auto"/>
            </w:tcBorders>
            <w:shd w:val="clear" w:color="auto" w:fill="auto"/>
          </w:tcPr>
          <w:p w14:paraId="42A20468" w14:textId="77777777" w:rsidR="007049A5" w:rsidRPr="004E4188" w:rsidRDefault="007049A5" w:rsidP="006C6267">
            <w:pPr>
              <w:rPr>
                <w:sz w:val="22"/>
              </w:rPr>
            </w:pPr>
          </w:p>
        </w:tc>
        <w:tc>
          <w:tcPr>
            <w:tcW w:w="1097" w:type="dxa"/>
            <w:tcBorders>
              <w:top w:val="dotted" w:sz="4" w:space="0" w:color="auto"/>
              <w:left w:val="nil"/>
              <w:bottom w:val="dotted" w:sz="4" w:space="0" w:color="auto"/>
              <w:right w:val="single" w:sz="6" w:space="0" w:color="auto"/>
            </w:tcBorders>
            <w:shd w:val="clear" w:color="auto" w:fill="auto"/>
          </w:tcPr>
          <w:p w14:paraId="5C8FE904" w14:textId="77777777" w:rsidR="007049A5" w:rsidRPr="004E4188" w:rsidRDefault="007049A5" w:rsidP="006C6267">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17EB1320" w14:textId="77777777" w:rsidR="007049A5" w:rsidRPr="004E4188" w:rsidRDefault="007049A5" w:rsidP="006C6267">
            <w:pPr>
              <w:rPr>
                <w:sz w:val="22"/>
              </w:rPr>
            </w:pPr>
          </w:p>
        </w:tc>
      </w:tr>
      <w:tr w:rsidR="007049A5" w:rsidRPr="004E4188" w14:paraId="3E909C7E" w14:textId="77777777" w:rsidTr="00F52709">
        <w:tc>
          <w:tcPr>
            <w:tcW w:w="720" w:type="dxa"/>
            <w:tcBorders>
              <w:top w:val="dotted" w:sz="4" w:space="0" w:color="auto"/>
              <w:left w:val="double" w:sz="4" w:space="0" w:color="auto"/>
              <w:bottom w:val="dotted" w:sz="4" w:space="0" w:color="auto"/>
              <w:right w:val="nil"/>
            </w:tcBorders>
          </w:tcPr>
          <w:p w14:paraId="0C54744F" w14:textId="77777777" w:rsidR="007049A5" w:rsidRPr="004E4188" w:rsidRDefault="007049A5" w:rsidP="006C6267">
            <w:pPr>
              <w:rPr>
                <w:sz w:val="22"/>
              </w:rPr>
            </w:pPr>
            <w:r w:rsidRPr="004E4188">
              <w:rPr>
                <w:sz w:val="22"/>
                <w:lang w:eastAsia="ja-JP"/>
              </w:rPr>
              <w:t>406</w:t>
            </w:r>
          </w:p>
        </w:tc>
        <w:tc>
          <w:tcPr>
            <w:tcW w:w="2836" w:type="dxa"/>
            <w:tcBorders>
              <w:top w:val="dotted" w:sz="4" w:space="0" w:color="auto"/>
              <w:left w:val="single" w:sz="6" w:space="0" w:color="auto"/>
              <w:bottom w:val="dotted" w:sz="4" w:space="0" w:color="auto"/>
              <w:right w:val="single" w:sz="6" w:space="0" w:color="auto"/>
            </w:tcBorders>
          </w:tcPr>
          <w:p w14:paraId="1EFEAF14" w14:textId="77777777" w:rsidR="007049A5" w:rsidRPr="004E4188" w:rsidRDefault="007049A5" w:rsidP="006C6267">
            <w:pPr>
              <w:rPr>
                <w:sz w:val="22"/>
              </w:rPr>
            </w:pPr>
          </w:p>
        </w:tc>
        <w:tc>
          <w:tcPr>
            <w:tcW w:w="997" w:type="dxa"/>
            <w:tcBorders>
              <w:top w:val="dotted" w:sz="4" w:space="0" w:color="auto"/>
              <w:left w:val="single" w:sz="6" w:space="0" w:color="auto"/>
              <w:bottom w:val="dotted" w:sz="4" w:space="0" w:color="auto"/>
              <w:right w:val="single" w:sz="6" w:space="0" w:color="auto"/>
            </w:tcBorders>
          </w:tcPr>
          <w:p w14:paraId="2B8F4478" w14:textId="77777777" w:rsidR="007049A5" w:rsidRPr="004E4188" w:rsidRDefault="007049A5" w:rsidP="006C6267">
            <w:pPr>
              <w:rPr>
                <w:sz w:val="22"/>
              </w:rPr>
            </w:pPr>
          </w:p>
        </w:tc>
        <w:tc>
          <w:tcPr>
            <w:tcW w:w="1111" w:type="dxa"/>
            <w:tcBorders>
              <w:top w:val="dotted" w:sz="4" w:space="0" w:color="auto"/>
              <w:left w:val="nil"/>
              <w:bottom w:val="dotted" w:sz="4" w:space="0" w:color="auto"/>
              <w:right w:val="single" w:sz="6" w:space="0" w:color="auto"/>
            </w:tcBorders>
            <w:shd w:val="clear" w:color="auto" w:fill="auto"/>
          </w:tcPr>
          <w:p w14:paraId="32427DE5" w14:textId="77777777" w:rsidR="007049A5" w:rsidRPr="004E4188" w:rsidRDefault="007049A5" w:rsidP="006C6267">
            <w:pPr>
              <w:rPr>
                <w:sz w:val="22"/>
              </w:rPr>
            </w:pPr>
          </w:p>
        </w:tc>
        <w:tc>
          <w:tcPr>
            <w:tcW w:w="1152" w:type="dxa"/>
            <w:tcBorders>
              <w:top w:val="dotted" w:sz="4" w:space="0" w:color="auto"/>
              <w:left w:val="nil"/>
              <w:bottom w:val="dotted" w:sz="4" w:space="0" w:color="auto"/>
              <w:right w:val="single" w:sz="6" w:space="0" w:color="auto"/>
            </w:tcBorders>
            <w:shd w:val="clear" w:color="auto" w:fill="auto"/>
          </w:tcPr>
          <w:p w14:paraId="3BE48CEA" w14:textId="77777777" w:rsidR="007049A5" w:rsidRPr="004E4188" w:rsidRDefault="007049A5" w:rsidP="006C6267">
            <w:pPr>
              <w:rPr>
                <w:sz w:val="22"/>
              </w:rPr>
            </w:pPr>
          </w:p>
        </w:tc>
        <w:tc>
          <w:tcPr>
            <w:tcW w:w="1097" w:type="dxa"/>
            <w:tcBorders>
              <w:top w:val="dotted" w:sz="4" w:space="0" w:color="auto"/>
              <w:left w:val="nil"/>
              <w:bottom w:val="dotted" w:sz="4" w:space="0" w:color="auto"/>
              <w:right w:val="single" w:sz="6" w:space="0" w:color="auto"/>
            </w:tcBorders>
            <w:shd w:val="clear" w:color="auto" w:fill="auto"/>
          </w:tcPr>
          <w:p w14:paraId="49FEB4DD" w14:textId="77777777" w:rsidR="007049A5" w:rsidRPr="004E4188" w:rsidRDefault="007049A5" w:rsidP="006C6267">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4B6D638B" w14:textId="77777777" w:rsidR="007049A5" w:rsidRPr="004E4188" w:rsidRDefault="007049A5" w:rsidP="006C6267">
            <w:pPr>
              <w:rPr>
                <w:sz w:val="22"/>
              </w:rPr>
            </w:pPr>
          </w:p>
        </w:tc>
      </w:tr>
      <w:tr w:rsidR="007049A5" w:rsidRPr="004E4188" w14:paraId="09D9121C" w14:textId="77777777" w:rsidTr="00F52709">
        <w:tc>
          <w:tcPr>
            <w:tcW w:w="720" w:type="dxa"/>
            <w:tcBorders>
              <w:top w:val="dotted" w:sz="4" w:space="0" w:color="auto"/>
              <w:left w:val="double" w:sz="4" w:space="0" w:color="auto"/>
              <w:bottom w:val="dotted" w:sz="4" w:space="0" w:color="auto"/>
              <w:right w:val="nil"/>
            </w:tcBorders>
          </w:tcPr>
          <w:p w14:paraId="4CD0752D" w14:textId="77777777" w:rsidR="007049A5" w:rsidRPr="004E4188" w:rsidRDefault="007049A5" w:rsidP="006C6267">
            <w:pPr>
              <w:rPr>
                <w:sz w:val="22"/>
              </w:rPr>
            </w:pPr>
            <w:r w:rsidRPr="004E4188">
              <w:rPr>
                <w:sz w:val="22"/>
                <w:lang w:eastAsia="ja-JP"/>
              </w:rPr>
              <w:t>407</w:t>
            </w:r>
          </w:p>
        </w:tc>
        <w:tc>
          <w:tcPr>
            <w:tcW w:w="2836" w:type="dxa"/>
            <w:tcBorders>
              <w:top w:val="dotted" w:sz="4" w:space="0" w:color="auto"/>
              <w:left w:val="single" w:sz="6" w:space="0" w:color="auto"/>
              <w:bottom w:val="dotted" w:sz="4" w:space="0" w:color="auto"/>
              <w:right w:val="single" w:sz="6" w:space="0" w:color="auto"/>
            </w:tcBorders>
          </w:tcPr>
          <w:p w14:paraId="742C0C4C" w14:textId="77777777" w:rsidR="007049A5" w:rsidRPr="004E4188" w:rsidRDefault="007049A5" w:rsidP="006C6267">
            <w:pPr>
              <w:rPr>
                <w:sz w:val="22"/>
              </w:rPr>
            </w:pPr>
          </w:p>
        </w:tc>
        <w:tc>
          <w:tcPr>
            <w:tcW w:w="997" w:type="dxa"/>
            <w:tcBorders>
              <w:top w:val="dotted" w:sz="4" w:space="0" w:color="auto"/>
              <w:left w:val="single" w:sz="6" w:space="0" w:color="auto"/>
              <w:bottom w:val="dotted" w:sz="4" w:space="0" w:color="auto"/>
              <w:right w:val="single" w:sz="6" w:space="0" w:color="auto"/>
            </w:tcBorders>
          </w:tcPr>
          <w:p w14:paraId="58E0AE5A" w14:textId="77777777" w:rsidR="007049A5" w:rsidRPr="004E4188" w:rsidRDefault="007049A5" w:rsidP="006C6267">
            <w:pPr>
              <w:rPr>
                <w:sz w:val="22"/>
              </w:rPr>
            </w:pPr>
          </w:p>
        </w:tc>
        <w:tc>
          <w:tcPr>
            <w:tcW w:w="1111" w:type="dxa"/>
            <w:tcBorders>
              <w:top w:val="dotted" w:sz="4" w:space="0" w:color="auto"/>
              <w:left w:val="nil"/>
              <w:bottom w:val="dotted" w:sz="4" w:space="0" w:color="auto"/>
              <w:right w:val="single" w:sz="6" w:space="0" w:color="auto"/>
            </w:tcBorders>
            <w:shd w:val="clear" w:color="auto" w:fill="auto"/>
          </w:tcPr>
          <w:p w14:paraId="3E8D9E84" w14:textId="77777777" w:rsidR="007049A5" w:rsidRPr="004E4188" w:rsidRDefault="007049A5" w:rsidP="006C6267">
            <w:pPr>
              <w:rPr>
                <w:sz w:val="22"/>
              </w:rPr>
            </w:pPr>
          </w:p>
        </w:tc>
        <w:tc>
          <w:tcPr>
            <w:tcW w:w="1152" w:type="dxa"/>
            <w:tcBorders>
              <w:top w:val="dotted" w:sz="4" w:space="0" w:color="auto"/>
              <w:left w:val="nil"/>
              <w:bottom w:val="dotted" w:sz="4" w:space="0" w:color="auto"/>
              <w:right w:val="single" w:sz="6" w:space="0" w:color="auto"/>
            </w:tcBorders>
            <w:shd w:val="clear" w:color="auto" w:fill="auto"/>
          </w:tcPr>
          <w:p w14:paraId="5A071667" w14:textId="77777777" w:rsidR="007049A5" w:rsidRPr="004E4188" w:rsidRDefault="007049A5" w:rsidP="006C6267">
            <w:pPr>
              <w:rPr>
                <w:sz w:val="22"/>
              </w:rPr>
            </w:pPr>
          </w:p>
        </w:tc>
        <w:tc>
          <w:tcPr>
            <w:tcW w:w="1097" w:type="dxa"/>
            <w:tcBorders>
              <w:top w:val="dotted" w:sz="4" w:space="0" w:color="auto"/>
              <w:left w:val="nil"/>
              <w:bottom w:val="dotted" w:sz="4" w:space="0" w:color="auto"/>
              <w:right w:val="single" w:sz="6" w:space="0" w:color="auto"/>
            </w:tcBorders>
            <w:shd w:val="clear" w:color="auto" w:fill="auto"/>
          </w:tcPr>
          <w:p w14:paraId="5CF34F33" w14:textId="77777777" w:rsidR="007049A5" w:rsidRPr="004E4188" w:rsidRDefault="007049A5" w:rsidP="006C6267">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7D3232F0" w14:textId="77777777" w:rsidR="007049A5" w:rsidRPr="004E4188" w:rsidRDefault="007049A5" w:rsidP="006C6267">
            <w:pPr>
              <w:rPr>
                <w:sz w:val="22"/>
              </w:rPr>
            </w:pPr>
          </w:p>
        </w:tc>
      </w:tr>
      <w:tr w:rsidR="007049A5" w:rsidRPr="004E4188" w14:paraId="6E497EB1" w14:textId="77777777" w:rsidTr="00F52709">
        <w:tc>
          <w:tcPr>
            <w:tcW w:w="720" w:type="dxa"/>
            <w:tcBorders>
              <w:top w:val="dotted" w:sz="4" w:space="0" w:color="auto"/>
              <w:left w:val="double" w:sz="4" w:space="0" w:color="auto"/>
              <w:bottom w:val="dotted" w:sz="4" w:space="0" w:color="auto"/>
              <w:right w:val="nil"/>
            </w:tcBorders>
          </w:tcPr>
          <w:p w14:paraId="67986575" w14:textId="77777777" w:rsidR="007049A5" w:rsidRPr="004E4188" w:rsidRDefault="007049A5" w:rsidP="006C6267">
            <w:pPr>
              <w:rPr>
                <w:sz w:val="22"/>
              </w:rPr>
            </w:pPr>
            <w:r w:rsidRPr="004E4188">
              <w:rPr>
                <w:sz w:val="22"/>
                <w:lang w:eastAsia="ja-JP"/>
              </w:rPr>
              <w:t>408</w:t>
            </w:r>
          </w:p>
        </w:tc>
        <w:tc>
          <w:tcPr>
            <w:tcW w:w="2836" w:type="dxa"/>
            <w:tcBorders>
              <w:top w:val="dotted" w:sz="4" w:space="0" w:color="auto"/>
              <w:left w:val="single" w:sz="6" w:space="0" w:color="auto"/>
              <w:bottom w:val="dotted" w:sz="4" w:space="0" w:color="auto"/>
              <w:right w:val="single" w:sz="6" w:space="0" w:color="auto"/>
            </w:tcBorders>
          </w:tcPr>
          <w:p w14:paraId="5C791690" w14:textId="77777777" w:rsidR="007049A5" w:rsidRPr="004E4188" w:rsidRDefault="007049A5" w:rsidP="006C6267">
            <w:pPr>
              <w:rPr>
                <w:sz w:val="22"/>
              </w:rPr>
            </w:pPr>
          </w:p>
        </w:tc>
        <w:tc>
          <w:tcPr>
            <w:tcW w:w="997" w:type="dxa"/>
            <w:tcBorders>
              <w:top w:val="dotted" w:sz="4" w:space="0" w:color="auto"/>
              <w:left w:val="single" w:sz="6" w:space="0" w:color="auto"/>
              <w:bottom w:val="dotted" w:sz="4" w:space="0" w:color="auto"/>
              <w:right w:val="single" w:sz="6" w:space="0" w:color="auto"/>
            </w:tcBorders>
          </w:tcPr>
          <w:p w14:paraId="2C638315" w14:textId="77777777" w:rsidR="007049A5" w:rsidRPr="004E4188" w:rsidRDefault="007049A5" w:rsidP="006C6267">
            <w:pPr>
              <w:rPr>
                <w:sz w:val="22"/>
              </w:rPr>
            </w:pPr>
          </w:p>
        </w:tc>
        <w:tc>
          <w:tcPr>
            <w:tcW w:w="1111" w:type="dxa"/>
            <w:tcBorders>
              <w:top w:val="dotted" w:sz="4" w:space="0" w:color="auto"/>
              <w:left w:val="nil"/>
              <w:bottom w:val="dotted" w:sz="4" w:space="0" w:color="auto"/>
              <w:right w:val="single" w:sz="6" w:space="0" w:color="auto"/>
            </w:tcBorders>
            <w:shd w:val="clear" w:color="auto" w:fill="auto"/>
          </w:tcPr>
          <w:p w14:paraId="00A87E45" w14:textId="77777777" w:rsidR="007049A5" w:rsidRPr="004E4188" w:rsidRDefault="007049A5" w:rsidP="006C6267">
            <w:pPr>
              <w:rPr>
                <w:sz w:val="22"/>
              </w:rPr>
            </w:pPr>
          </w:p>
        </w:tc>
        <w:tc>
          <w:tcPr>
            <w:tcW w:w="1152" w:type="dxa"/>
            <w:tcBorders>
              <w:top w:val="dotted" w:sz="4" w:space="0" w:color="auto"/>
              <w:left w:val="nil"/>
              <w:bottom w:val="dotted" w:sz="4" w:space="0" w:color="auto"/>
              <w:right w:val="single" w:sz="6" w:space="0" w:color="auto"/>
            </w:tcBorders>
            <w:shd w:val="clear" w:color="auto" w:fill="auto"/>
          </w:tcPr>
          <w:p w14:paraId="5B00D509" w14:textId="77777777" w:rsidR="007049A5" w:rsidRPr="004E4188" w:rsidRDefault="007049A5" w:rsidP="006C6267">
            <w:pPr>
              <w:rPr>
                <w:sz w:val="22"/>
              </w:rPr>
            </w:pPr>
          </w:p>
        </w:tc>
        <w:tc>
          <w:tcPr>
            <w:tcW w:w="1097" w:type="dxa"/>
            <w:tcBorders>
              <w:top w:val="dotted" w:sz="4" w:space="0" w:color="auto"/>
              <w:left w:val="nil"/>
              <w:bottom w:val="dotted" w:sz="4" w:space="0" w:color="auto"/>
              <w:right w:val="single" w:sz="6" w:space="0" w:color="auto"/>
            </w:tcBorders>
            <w:shd w:val="clear" w:color="auto" w:fill="auto"/>
          </w:tcPr>
          <w:p w14:paraId="49F9AE69" w14:textId="77777777" w:rsidR="007049A5" w:rsidRPr="004E4188" w:rsidRDefault="007049A5" w:rsidP="006C6267">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0AA4C5EB" w14:textId="77777777" w:rsidR="007049A5" w:rsidRPr="004E4188" w:rsidRDefault="007049A5" w:rsidP="006C6267">
            <w:pPr>
              <w:rPr>
                <w:sz w:val="22"/>
              </w:rPr>
            </w:pPr>
          </w:p>
        </w:tc>
      </w:tr>
      <w:tr w:rsidR="007049A5" w:rsidRPr="004E4188" w14:paraId="3DFEBC16" w14:textId="77777777" w:rsidTr="00F52709">
        <w:tc>
          <w:tcPr>
            <w:tcW w:w="720" w:type="dxa"/>
            <w:tcBorders>
              <w:top w:val="dotted" w:sz="4" w:space="0" w:color="auto"/>
              <w:left w:val="double" w:sz="4" w:space="0" w:color="auto"/>
              <w:bottom w:val="dotted" w:sz="4" w:space="0" w:color="auto"/>
              <w:right w:val="nil"/>
            </w:tcBorders>
          </w:tcPr>
          <w:p w14:paraId="148E4098" w14:textId="77777777" w:rsidR="007049A5" w:rsidRPr="004E4188" w:rsidRDefault="007049A5" w:rsidP="006C6267">
            <w:pPr>
              <w:rPr>
                <w:sz w:val="22"/>
              </w:rPr>
            </w:pPr>
            <w:r w:rsidRPr="004E4188">
              <w:rPr>
                <w:sz w:val="22"/>
                <w:lang w:eastAsia="ja-JP"/>
              </w:rPr>
              <w:t>409</w:t>
            </w:r>
          </w:p>
        </w:tc>
        <w:tc>
          <w:tcPr>
            <w:tcW w:w="2836" w:type="dxa"/>
            <w:tcBorders>
              <w:top w:val="dotted" w:sz="4" w:space="0" w:color="auto"/>
              <w:left w:val="single" w:sz="6" w:space="0" w:color="auto"/>
              <w:bottom w:val="dotted" w:sz="4" w:space="0" w:color="auto"/>
              <w:right w:val="single" w:sz="6" w:space="0" w:color="auto"/>
            </w:tcBorders>
          </w:tcPr>
          <w:p w14:paraId="3050B719" w14:textId="77777777" w:rsidR="007049A5" w:rsidRPr="004E4188" w:rsidRDefault="007049A5" w:rsidP="006C6267">
            <w:pPr>
              <w:rPr>
                <w:sz w:val="22"/>
              </w:rPr>
            </w:pPr>
          </w:p>
        </w:tc>
        <w:tc>
          <w:tcPr>
            <w:tcW w:w="997" w:type="dxa"/>
            <w:tcBorders>
              <w:top w:val="dotted" w:sz="4" w:space="0" w:color="auto"/>
              <w:left w:val="single" w:sz="6" w:space="0" w:color="auto"/>
              <w:bottom w:val="dotted" w:sz="4" w:space="0" w:color="auto"/>
              <w:right w:val="single" w:sz="6" w:space="0" w:color="auto"/>
            </w:tcBorders>
          </w:tcPr>
          <w:p w14:paraId="238D168C" w14:textId="77777777" w:rsidR="007049A5" w:rsidRPr="004E4188" w:rsidRDefault="007049A5" w:rsidP="006C6267">
            <w:pPr>
              <w:rPr>
                <w:sz w:val="22"/>
              </w:rPr>
            </w:pPr>
          </w:p>
        </w:tc>
        <w:tc>
          <w:tcPr>
            <w:tcW w:w="1111" w:type="dxa"/>
            <w:tcBorders>
              <w:top w:val="dotted" w:sz="4" w:space="0" w:color="auto"/>
              <w:left w:val="nil"/>
              <w:bottom w:val="dotted" w:sz="4" w:space="0" w:color="auto"/>
              <w:right w:val="single" w:sz="6" w:space="0" w:color="auto"/>
            </w:tcBorders>
            <w:shd w:val="clear" w:color="auto" w:fill="auto"/>
          </w:tcPr>
          <w:p w14:paraId="76A6B1E0" w14:textId="77777777" w:rsidR="007049A5" w:rsidRPr="004E4188" w:rsidRDefault="007049A5" w:rsidP="006C6267">
            <w:pPr>
              <w:rPr>
                <w:sz w:val="22"/>
              </w:rPr>
            </w:pPr>
          </w:p>
        </w:tc>
        <w:tc>
          <w:tcPr>
            <w:tcW w:w="1152" w:type="dxa"/>
            <w:tcBorders>
              <w:top w:val="dotted" w:sz="4" w:space="0" w:color="auto"/>
              <w:left w:val="nil"/>
              <w:bottom w:val="dotted" w:sz="4" w:space="0" w:color="auto"/>
              <w:right w:val="single" w:sz="6" w:space="0" w:color="auto"/>
            </w:tcBorders>
            <w:shd w:val="clear" w:color="auto" w:fill="auto"/>
          </w:tcPr>
          <w:p w14:paraId="7402E757" w14:textId="77777777" w:rsidR="007049A5" w:rsidRPr="004E4188" w:rsidRDefault="007049A5" w:rsidP="006C6267">
            <w:pPr>
              <w:rPr>
                <w:sz w:val="22"/>
              </w:rPr>
            </w:pPr>
          </w:p>
        </w:tc>
        <w:tc>
          <w:tcPr>
            <w:tcW w:w="1097" w:type="dxa"/>
            <w:tcBorders>
              <w:top w:val="dotted" w:sz="4" w:space="0" w:color="auto"/>
              <w:left w:val="nil"/>
              <w:bottom w:val="dotted" w:sz="4" w:space="0" w:color="auto"/>
              <w:right w:val="single" w:sz="6" w:space="0" w:color="auto"/>
            </w:tcBorders>
            <w:shd w:val="clear" w:color="auto" w:fill="auto"/>
          </w:tcPr>
          <w:p w14:paraId="2E71F64F" w14:textId="77777777" w:rsidR="007049A5" w:rsidRPr="004E4188" w:rsidRDefault="007049A5" w:rsidP="006C6267">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6502F85C" w14:textId="77777777" w:rsidR="007049A5" w:rsidRPr="004E4188" w:rsidRDefault="007049A5" w:rsidP="006C6267">
            <w:pPr>
              <w:rPr>
                <w:sz w:val="22"/>
              </w:rPr>
            </w:pPr>
          </w:p>
        </w:tc>
      </w:tr>
      <w:tr w:rsidR="007049A5" w:rsidRPr="004E4188" w14:paraId="1C87F157" w14:textId="77777777" w:rsidTr="00F52709">
        <w:tc>
          <w:tcPr>
            <w:tcW w:w="720" w:type="dxa"/>
            <w:tcBorders>
              <w:top w:val="dotted" w:sz="4" w:space="0" w:color="auto"/>
              <w:left w:val="double" w:sz="4" w:space="0" w:color="auto"/>
              <w:bottom w:val="dotted" w:sz="4" w:space="0" w:color="auto"/>
              <w:right w:val="nil"/>
            </w:tcBorders>
          </w:tcPr>
          <w:p w14:paraId="70826996" w14:textId="77777777" w:rsidR="007049A5" w:rsidRPr="004E4188" w:rsidRDefault="007049A5" w:rsidP="006C6267">
            <w:pPr>
              <w:rPr>
                <w:sz w:val="22"/>
              </w:rPr>
            </w:pPr>
            <w:r w:rsidRPr="004E4188">
              <w:rPr>
                <w:sz w:val="22"/>
                <w:lang w:eastAsia="ja-JP"/>
              </w:rPr>
              <w:t>410</w:t>
            </w:r>
          </w:p>
        </w:tc>
        <w:tc>
          <w:tcPr>
            <w:tcW w:w="2836" w:type="dxa"/>
            <w:tcBorders>
              <w:top w:val="dotted" w:sz="4" w:space="0" w:color="auto"/>
              <w:left w:val="single" w:sz="6" w:space="0" w:color="auto"/>
              <w:bottom w:val="dotted" w:sz="4" w:space="0" w:color="auto"/>
              <w:right w:val="single" w:sz="6" w:space="0" w:color="auto"/>
            </w:tcBorders>
          </w:tcPr>
          <w:p w14:paraId="56199847" w14:textId="77777777" w:rsidR="007049A5" w:rsidRPr="004E4188" w:rsidRDefault="007049A5" w:rsidP="006C6267">
            <w:pPr>
              <w:rPr>
                <w:sz w:val="22"/>
              </w:rPr>
            </w:pPr>
          </w:p>
        </w:tc>
        <w:tc>
          <w:tcPr>
            <w:tcW w:w="997" w:type="dxa"/>
            <w:tcBorders>
              <w:top w:val="dotted" w:sz="4" w:space="0" w:color="auto"/>
              <w:left w:val="single" w:sz="6" w:space="0" w:color="auto"/>
              <w:bottom w:val="dotted" w:sz="4" w:space="0" w:color="auto"/>
              <w:right w:val="single" w:sz="6" w:space="0" w:color="auto"/>
            </w:tcBorders>
          </w:tcPr>
          <w:p w14:paraId="2EF3AE24" w14:textId="77777777" w:rsidR="007049A5" w:rsidRPr="004E4188" w:rsidRDefault="007049A5" w:rsidP="006C6267">
            <w:pPr>
              <w:rPr>
                <w:sz w:val="22"/>
              </w:rPr>
            </w:pPr>
          </w:p>
        </w:tc>
        <w:tc>
          <w:tcPr>
            <w:tcW w:w="1111" w:type="dxa"/>
            <w:tcBorders>
              <w:top w:val="dotted" w:sz="4" w:space="0" w:color="auto"/>
              <w:left w:val="nil"/>
              <w:bottom w:val="dotted" w:sz="4" w:space="0" w:color="auto"/>
              <w:right w:val="single" w:sz="6" w:space="0" w:color="auto"/>
            </w:tcBorders>
            <w:shd w:val="clear" w:color="auto" w:fill="auto"/>
          </w:tcPr>
          <w:p w14:paraId="556C6674" w14:textId="77777777" w:rsidR="007049A5" w:rsidRPr="004E4188" w:rsidRDefault="007049A5" w:rsidP="006C6267">
            <w:pPr>
              <w:rPr>
                <w:sz w:val="22"/>
              </w:rPr>
            </w:pPr>
          </w:p>
        </w:tc>
        <w:tc>
          <w:tcPr>
            <w:tcW w:w="1152" w:type="dxa"/>
            <w:tcBorders>
              <w:top w:val="dotted" w:sz="4" w:space="0" w:color="auto"/>
              <w:left w:val="nil"/>
              <w:bottom w:val="dotted" w:sz="4" w:space="0" w:color="auto"/>
              <w:right w:val="single" w:sz="6" w:space="0" w:color="auto"/>
            </w:tcBorders>
            <w:shd w:val="clear" w:color="auto" w:fill="auto"/>
          </w:tcPr>
          <w:p w14:paraId="3AA36601" w14:textId="77777777" w:rsidR="007049A5" w:rsidRPr="004E4188" w:rsidRDefault="007049A5" w:rsidP="006C6267">
            <w:pPr>
              <w:rPr>
                <w:sz w:val="22"/>
              </w:rPr>
            </w:pPr>
          </w:p>
        </w:tc>
        <w:tc>
          <w:tcPr>
            <w:tcW w:w="1097" w:type="dxa"/>
            <w:tcBorders>
              <w:top w:val="dotted" w:sz="4" w:space="0" w:color="auto"/>
              <w:left w:val="nil"/>
              <w:bottom w:val="dotted" w:sz="4" w:space="0" w:color="auto"/>
              <w:right w:val="single" w:sz="6" w:space="0" w:color="auto"/>
            </w:tcBorders>
            <w:shd w:val="clear" w:color="auto" w:fill="auto"/>
          </w:tcPr>
          <w:p w14:paraId="298D037D" w14:textId="77777777" w:rsidR="007049A5" w:rsidRPr="004E4188" w:rsidRDefault="007049A5" w:rsidP="006C6267">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21CBA50F" w14:textId="77777777" w:rsidR="007049A5" w:rsidRPr="004E4188" w:rsidRDefault="007049A5" w:rsidP="006C6267">
            <w:pPr>
              <w:rPr>
                <w:sz w:val="22"/>
              </w:rPr>
            </w:pPr>
          </w:p>
        </w:tc>
      </w:tr>
      <w:tr w:rsidR="007049A5" w:rsidRPr="004E4188" w14:paraId="012AC24A" w14:textId="77777777" w:rsidTr="00F52709">
        <w:tc>
          <w:tcPr>
            <w:tcW w:w="720" w:type="dxa"/>
            <w:tcBorders>
              <w:top w:val="dotted" w:sz="4" w:space="0" w:color="auto"/>
              <w:left w:val="double" w:sz="4" w:space="0" w:color="auto"/>
              <w:bottom w:val="dotted" w:sz="4" w:space="0" w:color="auto"/>
              <w:right w:val="nil"/>
            </w:tcBorders>
          </w:tcPr>
          <w:p w14:paraId="2642559F" w14:textId="77777777" w:rsidR="007049A5" w:rsidRPr="004E4188" w:rsidRDefault="007049A5" w:rsidP="001C3B2E">
            <w:pPr>
              <w:rPr>
                <w:sz w:val="22"/>
              </w:rPr>
            </w:pPr>
          </w:p>
        </w:tc>
        <w:tc>
          <w:tcPr>
            <w:tcW w:w="2836" w:type="dxa"/>
            <w:tcBorders>
              <w:top w:val="dotted" w:sz="4" w:space="0" w:color="auto"/>
              <w:left w:val="single" w:sz="6" w:space="0" w:color="auto"/>
              <w:bottom w:val="dotted" w:sz="4" w:space="0" w:color="auto"/>
              <w:right w:val="single" w:sz="6" w:space="0" w:color="auto"/>
            </w:tcBorders>
          </w:tcPr>
          <w:p w14:paraId="59DB8562" w14:textId="77777777" w:rsidR="007049A5" w:rsidRPr="004E4188" w:rsidRDefault="007049A5" w:rsidP="001C3B2E">
            <w:pPr>
              <w:rPr>
                <w:sz w:val="22"/>
              </w:rPr>
            </w:pPr>
          </w:p>
        </w:tc>
        <w:tc>
          <w:tcPr>
            <w:tcW w:w="997" w:type="dxa"/>
            <w:tcBorders>
              <w:top w:val="dotted" w:sz="4" w:space="0" w:color="auto"/>
              <w:left w:val="single" w:sz="6" w:space="0" w:color="auto"/>
              <w:bottom w:val="dotted" w:sz="4" w:space="0" w:color="auto"/>
              <w:right w:val="single" w:sz="6" w:space="0" w:color="auto"/>
            </w:tcBorders>
          </w:tcPr>
          <w:p w14:paraId="5598EB86" w14:textId="77777777" w:rsidR="007049A5" w:rsidRPr="004E4188" w:rsidRDefault="007049A5" w:rsidP="001C3B2E">
            <w:pPr>
              <w:rPr>
                <w:sz w:val="22"/>
              </w:rPr>
            </w:pPr>
          </w:p>
        </w:tc>
        <w:tc>
          <w:tcPr>
            <w:tcW w:w="1111" w:type="dxa"/>
            <w:tcBorders>
              <w:top w:val="dotted" w:sz="4" w:space="0" w:color="auto"/>
              <w:left w:val="nil"/>
              <w:bottom w:val="dotted" w:sz="4" w:space="0" w:color="auto"/>
              <w:right w:val="single" w:sz="6" w:space="0" w:color="auto"/>
            </w:tcBorders>
            <w:shd w:val="clear" w:color="auto" w:fill="auto"/>
          </w:tcPr>
          <w:p w14:paraId="6690553C" w14:textId="77777777" w:rsidR="007049A5" w:rsidRPr="004E4188" w:rsidRDefault="007049A5" w:rsidP="001C3B2E">
            <w:pPr>
              <w:rPr>
                <w:sz w:val="22"/>
              </w:rPr>
            </w:pPr>
          </w:p>
        </w:tc>
        <w:tc>
          <w:tcPr>
            <w:tcW w:w="1152" w:type="dxa"/>
            <w:tcBorders>
              <w:top w:val="dotted" w:sz="4" w:space="0" w:color="auto"/>
              <w:left w:val="nil"/>
              <w:bottom w:val="dotted" w:sz="4" w:space="0" w:color="auto"/>
              <w:right w:val="single" w:sz="6" w:space="0" w:color="auto"/>
            </w:tcBorders>
            <w:shd w:val="clear" w:color="auto" w:fill="auto"/>
          </w:tcPr>
          <w:p w14:paraId="4A22CBAB" w14:textId="77777777" w:rsidR="007049A5" w:rsidRPr="004E4188" w:rsidRDefault="007049A5" w:rsidP="001C3B2E">
            <w:pPr>
              <w:rPr>
                <w:sz w:val="22"/>
              </w:rPr>
            </w:pPr>
          </w:p>
        </w:tc>
        <w:tc>
          <w:tcPr>
            <w:tcW w:w="1097" w:type="dxa"/>
            <w:tcBorders>
              <w:top w:val="dotted" w:sz="4" w:space="0" w:color="auto"/>
              <w:left w:val="nil"/>
              <w:bottom w:val="dotted" w:sz="4" w:space="0" w:color="auto"/>
              <w:right w:val="single" w:sz="6" w:space="0" w:color="auto"/>
            </w:tcBorders>
            <w:shd w:val="clear" w:color="auto" w:fill="auto"/>
          </w:tcPr>
          <w:p w14:paraId="33EC360A" w14:textId="77777777" w:rsidR="007049A5" w:rsidRPr="004E4188" w:rsidRDefault="007049A5" w:rsidP="001C3B2E">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07E1EC16" w14:textId="77777777" w:rsidR="007049A5" w:rsidRPr="004E4188" w:rsidRDefault="007049A5" w:rsidP="001C3B2E">
            <w:pPr>
              <w:rPr>
                <w:sz w:val="22"/>
              </w:rPr>
            </w:pPr>
          </w:p>
        </w:tc>
      </w:tr>
      <w:tr w:rsidR="007049A5" w:rsidRPr="004E4188" w14:paraId="5AF3972E" w14:textId="77777777" w:rsidTr="00F52709">
        <w:tc>
          <w:tcPr>
            <w:tcW w:w="720" w:type="dxa"/>
            <w:tcBorders>
              <w:top w:val="dotted" w:sz="4" w:space="0" w:color="auto"/>
              <w:left w:val="double" w:sz="4" w:space="0" w:color="auto"/>
              <w:bottom w:val="dotted" w:sz="4" w:space="0" w:color="auto"/>
              <w:right w:val="nil"/>
            </w:tcBorders>
          </w:tcPr>
          <w:p w14:paraId="606C507F" w14:textId="77777777" w:rsidR="007049A5" w:rsidRPr="004E4188" w:rsidRDefault="007049A5" w:rsidP="001C3B2E">
            <w:pPr>
              <w:rPr>
                <w:sz w:val="22"/>
              </w:rPr>
            </w:pPr>
          </w:p>
        </w:tc>
        <w:tc>
          <w:tcPr>
            <w:tcW w:w="2836" w:type="dxa"/>
            <w:tcBorders>
              <w:top w:val="dotted" w:sz="4" w:space="0" w:color="auto"/>
              <w:left w:val="single" w:sz="6" w:space="0" w:color="auto"/>
              <w:bottom w:val="dotted" w:sz="4" w:space="0" w:color="auto"/>
              <w:right w:val="single" w:sz="6" w:space="0" w:color="auto"/>
            </w:tcBorders>
          </w:tcPr>
          <w:p w14:paraId="3658FA25" w14:textId="77777777" w:rsidR="007049A5" w:rsidRPr="004E4188" w:rsidRDefault="007049A5" w:rsidP="001C3B2E">
            <w:pPr>
              <w:rPr>
                <w:sz w:val="22"/>
              </w:rPr>
            </w:pPr>
          </w:p>
        </w:tc>
        <w:tc>
          <w:tcPr>
            <w:tcW w:w="997" w:type="dxa"/>
            <w:tcBorders>
              <w:top w:val="dotted" w:sz="4" w:space="0" w:color="auto"/>
              <w:left w:val="single" w:sz="6" w:space="0" w:color="auto"/>
              <w:bottom w:val="dotted" w:sz="4" w:space="0" w:color="auto"/>
              <w:right w:val="single" w:sz="6" w:space="0" w:color="auto"/>
            </w:tcBorders>
          </w:tcPr>
          <w:p w14:paraId="0E8132DD" w14:textId="77777777" w:rsidR="007049A5" w:rsidRPr="004E4188" w:rsidRDefault="007049A5" w:rsidP="001C3B2E">
            <w:pPr>
              <w:rPr>
                <w:sz w:val="22"/>
              </w:rPr>
            </w:pPr>
          </w:p>
        </w:tc>
        <w:tc>
          <w:tcPr>
            <w:tcW w:w="1111" w:type="dxa"/>
            <w:tcBorders>
              <w:top w:val="dotted" w:sz="4" w:space="0" w:color="auto"/>
              <w:left w:val="nil"/>
              <w:bottom w:val="dotted" w:sz="4" w:space="0" w:color="auto"/>
              <w:right w:val="single" w:sz="6" w:space="0" w:color="auto"/>
            </w:tcBorders>
            <w:shd w:val="clear" w:color="auto" w:fill="auto"/>
          </w:tcPr>
          <w:p w14:paraId="0D88FE76" w14:textId="77777777" w:rsidR="007049A5" w:rsidRPr="004E4188" w:rsidRDefault="007049A5" w:rsidP="001C3B2E">
            <w:pPr>
              <w:rPr>
                <w:sz w:val="22"/>
              </w:rPr>
            </w:pPr>
          </w:p>
        </w:tc>
        <w:tc>
          <w:tcPr>
            <w:tcW w:w="1152" w:type="dxa"/>
            <w:tcBorders>
              <w:top w:val="dotted" w:sz="4" w:space="0" w:color="auto"/>
              <w:left w:val="nil"/>
              <w:bottom w:val="dotted" w:sz="4" w:space="0" w:color="auto"/>
              <w:right w:val="single" w:sz="6" w:space="0" w:color="auto"/>
            </w:tcBorders>
            <w:shd w:val="clear" w:color="auto" w:fill="auto"/>
          </w:tcPr>
          <w:p w14:paraId="5B96B4DB" w14:textId="77777777" w:rsidR="007049A5" w:rsidRPr="004E4188" w:rsidRDefault="007049A5" w:rsidP="001C3B2E">
            <w:pPr>
              <w:rPr>
                <w:sz w:val="22"/>
              </w:rPr>
            </w:pPr>
          </w:p>
        </w:tc>
        <w:tc>
          <w:tcPr>
            <w:tcW w:w="1097" w:type="dxa"/>
            <w:tcBorders>
              <w:top w:val="dotted" w:sz="4" w:space="0" w:color="auto"/>
              <w:left w:val="nil"/>
              <w:bottom w:val="dotted" w:sz="4" w:space="0" w:color="auto"/>
              <w:right w:val="single" w:sz="6" w:space="0" w:color="auto"/>
            </w:tcBorders>
            <w:shd w:val="clear" w:color="auto" w:fill="auto"/>
          </w:tcPr>
          <w:p w14:paraId="3FA5140B" w14:textId="77777777" w:rsidR="007049A5" w:rsidRPr="004E4188" w:rsidRDefault="007049A5" w:rsidP="001C3B2E">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3AFEC5B5" w14:textId="77777777" w:rsidR="007049A5" w:rsidRPr="004E4188" w:rsidRDefault="007049A5" w:rsidP="001C3B2E">
            <w:pPr>
              <w:rPr>
                <w:sz w:val="22"/>
              </w:rPr>
            </w:pPr>
          </w:p>
        </w:tc>
      </w:tr>
      <w:tr w:rsidR="007049A5" w:rsidRPr="004E4188" w14:paraId="31F3FC0E" w14:textId="77777777" w:rsidTr="00F52709">
        <w:tc>
          <w:tcPr>
            <w:tcW w:w="720" w:type="dxa"/>
            <w:tcBorders>
              <w:top w:val="dotted" w:sz="4" w:space="0" w:color="auto"/>
              <w:left w:val="double" w:sz="4" w:space="0" w:color="auto"/>
              <w:bottom w:val="dotted" w:sz="4" w:space="0" w:color="auto"/>
              <w:right w:val="nil"/>
            </w:tcBorders>
          </w:tcPr>
          <w:p w14:paraId="4DFBA52A" w14:textId="77777777" w:rsidR="007049A5" w:rsidRPr="004E4188" w:rsidRDefault="007049A5" w:rsidP="001C3B2E">
            <w:pPr>
              <w:rPr>
                <w:sz w:val="22"/>
              </w:rPr>
            </w:pPr>
          </w:p>
        </w:tc>
        <w:tc>
          <w:tcPr>
            <w:tcW w:w="2836" w:type="dxa"/>
            <w:tcBorders>
              <w:top w:val="dotted" w:sz="4" w:space="0" w:color="auto"/>
              <w:left w:val="single" w:sz="6" w:space="0" w:color="auto"/>
              <w:bottom w:val="dotted" w:sz="4" w:space="0" w:color="auto"/>
              <w:right w:val="single" w:sz="6" w:space="0" w:color="auto"/>
            </w:tcBorders>
          </w:tcPr>
          <w:p w14:paraId="49FC13D9" w14:textId="77777777" w:rsidR="007049A5" w:rsidRPr="004E4188" w:rsidRDefault="007049A5" w:rsidP="001C3B2E">
            <w:pPr>
              <w:rPr>
                <w:sz w:val="22"/>
              </w:rPr>
            </w:pPr>
          </w:p>
        </w:tc>
        <w:tc>
          <w:tcPr>
            <w:tcW w:w="997" w:type="dxa"/>
            <w:tcBorders>
              <w:top w:val="dotted" w:sz="4" w:space="0" w:color="auto"/>
              <w:left w:val="single" w:sz="6" w:space="0" w:color="auto"/>
              <w:bottom w:val="dotted" w:sz="4" w:space="0" w:color="auto"/>
              <w:right w:val="single" w:sz="6" w:space="0" w:color="auto"/>
            </w:tcBorders>
          </w:tcPr>
          <w:p w14:paraId="669252A2" w14:textId="77777777" w:rsidR="007049A5" w:rsidRPr="004E4188" w:rsidRDefault="007049A5" w:rsidP="001C3B2E">
            <w:pPr>
              <w:rPr>
                <w:sz w:val="22"/>
              </w:rPr>
            </w:pPr>
          </w:p>
        </w:tc>
        <w:tc>
          <w:tcPr>
            <w:tcW w:w="1111" w:type="dxa"/>
            <w:tcBorders>
              <w:top w:val="dotted" w:sz="4" w:space="0" w:color="auto"/>
              <w:left w:val="nil"/>
              <w:bottom w:val="dotted" w:sz="4" w:space="0" w:color="auto"/>
              <w:right w:val="single" w:sz="6" w:space="0" w:color="auto"/>
            </w:tcBorders>
            <w:shd w:val="clear" w:color="auto" w:fill="auto"/>
          </w:tcPr>
          <w:p w14:paraId="1678F2C9" w14:textId="77777777" w:rsidR="007049A5" w:rsidRPr="004E4188" w:rsidRDefault="007049A5" w:rsidP="001C3B2E">
            <w:pPr>
              <w:rPr>
                <w:sz w:val="22"/>
              </w:rPr>
            </w:pPr>
          </w:p>
        </w:tc>
        <w:tc>
          <w:tcPr>
            <w:tcW w:w="1152" w:type="dxa"/>
            <w:tcBorders>
              <w:top w:val="dotted" w:sz="4" w:space="0" w:color="auto"/>
              <w:left w:val="nil"/>
              <w:bottom w:val="dotted" w:sz="4" w:space="0" w:color="auto"/>
              <w:right w:val="single" w:sz="6" w:space="0" w:color="auto"/>
            </w:tcBorders>
            <w:shd w:val="clear" w:color="auto" w:fill="auto"/>
          </w:tcPr>
          <w:p w14:paraId="3906CC02" w14:textId="77777777" w:rsidR="007049A5" w:rsidRPr="004E4188" w:rsidRDefault="007049A5" w:rsidP="001C3B2E">
            <w:pPr>
              <w:rPr>
                <w:sz w:val="22"/>
              </w:rPr>
            </w:pPr>
          </w:p>
        </w:tc>
        <w:tc>
          <w:tcPr>
            <w:tcW w:w="1097" w:type="dxa"/>
            <w:tcBorders>
              <w:top w:val="dotted" w:sz="4" w:space="0" w:color="auto"/>
              <w:left w:val="nil"/>
              <w:bottom w:val="dotted" w:sz="4" w:space="0" w:color="auto"/>
              <w:right w:val="single" w:sz="6" w:space="0" w:color="auto"/>
            </w:tcBorders>
            <w:shd w:val="clear" w:color="auto" w:fill="auto"/>
          </w:tcPr>
          <w:p w14:paraId="54CD2B0A" w14:textId="77777777" w:rsidR="007049A5" w:rsidRPr="004E4188" w:rsidRDefault="007049A5" w:rsidP="001C3B2E">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5DF8EEF4" w14:textId="77777777" w:rsidR="007049A5" w:rsidRPr="004E4188" w:rsidRDefault="007049A5" w:rsidP="001C3B2E">
            <w:pPr>
              <w:rPr>
                <w:sz w:val="22"/>
              </w:rPr>
            </w:pPr>
          </w:p>
        </w:tc>
      </w:tr>
      <w:tr w:rsidR="007049A5" w:rsidRPr="004E4188" w14:paraId="500A8089" w14:textId="77777777" w:rsidTr="00F52709">
        <w:tc>
          <w:tcPr>
            <w:tcW w:w="720" w:type="dxa"/>
            <w:tcBorders>
              <w:top w:val="dotted" w:sz="4" w:space="0" w:color="auto"/>
              <w:left w:val="double" w:sz="4" w:space="0" w:color="auto"/>
              <w:bottom w:val="dotted" w:sz="4" w:space="0" w:color="auto"/>
              <w:right w:val="nil"/>
            </w:tcBorders>
          </w:tcPr>
          <w:p w14:paraId="781970C3" w14:textId="77777777" w:rsidR="007049A5" w:rsidRPr="004E4188" w:rsidRDefault="007049A5" w:rsidP="001C3B2E">
            <w:pPr>
              <w:rPr>
                <w:sz w:val="22"/>
              </w:rPr>
            </w:pPr>
          </w:p>
        </w:tc>
        <w:tc>
          <w:tcPr>
            <w:tcW w:w="2836" w:type="dxa"/>
            <w:tcBorders>
              <w:top w:val="dotted" w:sz="4" w:space="0" w:color="auto"/>
              <w:left w:val="single" w:sz="6" w:space="0" w:color="auto"/>
              <w:bottom w:val="dotted" w:sz="4" w:space="0" w:color="auto"/>
              <w:right w:val="single" w:sz="6" w:space="0" w:color="auto"/>
            </w:tcBorders>
          </w:tcPr>
          <w:p w14:paraId="0307D437" w14:textId="77777777" w:rsidR="007049A5" w:rsidRPr="004E4188" w:rsidRDefault="007049A5" w:rsidP="001C3B2E">
            <w:pPr>
              <w:rPr>
                <w:sz w:val="22"/>
              </w:rPr>
            </w:pPr>
          </w:p>
        </w:tc>
        <w:tc>
          <w:tcPr>
            <w:tcW w:w="997" w:type="dxa"/>
            <w:tcBorders>
              <w:top w:val="dotted" w:sz="4" w:space="0" w:color="auto"/>
              <w:left w:val="single" w:sz="6" w:space="0" w:color="auto"/>
              <w:bottom w:val="dotted" w:sz="4" w:space="0" w:color="auto"/>
              <w:right w:val="single" w:sz="6" w:space="0" w:color="auto"/>
            </w:tcBorders>
          </w:tcPr>
          <w:p w14:paraId="5E6500B2" w14:textId="77777777" w:rsidR="007049A5" w:rsidRPr="004E4188" w:rsidRDefault="007049A5" w:rsidP="001C3B2E">
            <w:pPr>
              <w:rPr>
                <w:sz w:val="22"/>
              </w:rPr>
            </w:pPr>
          </w:p>
        </w:tc>
        <w:tc>
          <w:tcPr>
            <w:tcW w:w="1111" w:type="dxa"/>
            <w:tcBorders>
              <w:top w:val="dotted" w:sz="4" w:space="0" w:color="auto"/>
              <w:left w:val="nil"/>
              <w:bottom w:val="dotted" w:sz="4" w:space="0" w:color="auto"/>
              <w:right w:val="single" w:sz="6" w:space="0" w:color="auto"/>
            </w:tcBorders>
            <w:shd w:val="clear" w:color="auto" w:fill="auto"/>
          </w:tcPr>
          <w:p w14:paraId="63D887C7" w14:textId="77777777" w:rsidR="007049A5" w:rsidRPr="004E4188" w:rsidRDefault="007049A5" w:rsidP="001C3B2E">
            <w:pPr>
              <w:rPr>
                <w:sz w:val="22"/>
              </w:rPr>
            </w:pPr>
          </w:p>
        </w:tc>
        <w:tc>
          <w:tcPr>
            <w:tcW w:w="1152" w:type="dxa"/>
            <w:tcBorders>
              <w:top w:val="dotted" w:sz="4" w:space="0" w:color="auto"/>
              <w:left w:val="nil"/>
              <w:bottom w:val="dotted" w:sz="4" w:space="0" w:color="auto"/>
              <w:right w:val="single" w:sz="6" w:space="0" w:color="auto"/>
            </w:tcBorders>
            <w:shd w:val="clear" w:color="auto" w:fill="auto"/>
          </w:tcPr>
          <w:p w14:paraId="04DDC958" w14:textId="77777777" w:rsidR="007049A5" w:rsidRPr="004E4188" w:rsidRDefault="007049A5" w:rsidP="001C3B2E">
            <w:pPr>
              <w:rPr>
                <w:sz w:val="22"/>
              </w:rPr>
            </w:pPr>
          </w:p>
        </w:tc>
        <w:tc>
          <w:tcPr>
            <w:tcW w:w="1097" w:type="dxa"/>
            <w:tcBorders>
              <w:top w:val="dotted" w:sz="4" w:space="0" w:color="auto"/>
              <w:left w:val="nil"/>
              <w:bottom w:val="dotted" w:sz="4" w:space="0" w:color="auto"/>
              <w:right w:val="single" w:sz="6" w:space="0" w:color="auto"/>
            </w:tcBorders>
            <w:shd w:val="clear" w:color="auto" w:fill="auto"/>
          </w:tcPr>
          <w:p w14:paraId="4B81E599" w14:textId="77777777" w:rsidR="007049A5" w:rsidRPr="004E4188" w:rsidRDefault="007049A5" w:rsidP="001C3B2E">
            <w:pPr>
              <w:rPr>
                <w:sz w:val="22"/>
              </w:rPr>
            </w:pPr>
          </w:p>
        </w:tc>
        <w:tc>
          <w:tcPr>
            <w:tcW w:w="1087" w:type="dxa"/>
            <w:tcBorders>
              <w:top w:val="dotted" w:sz="4" w:space="0" w:color="auto"/>
              <w:left w:val="single" w:sz="6" w:space="0" w:color="auto"/>
              <w:bottom w:val="dotted" w:sz="4" w:space="0" w:color="auto"/>
              <w:right w:val="double" w:sz="4" w:space="0" w:color="auto"/>
            </w:tcBorders>
            <w:shd w:val="clear" w:color="auto" w:fill="auto"/>
          </w:tcPr>
          <w:p w14:paraId="5151F400" w14:textId="77777777" w:rsidR="007049A5" w:rsidRPr="004E4188" w:rsidRDefault="007049A5" w:rsidP="001C3B2E">
            <w:pPr>
              <w:rPr>
                <w:sz w:val="22"/>
              </w:rPr>
            </w:pPr>
          </w:p>
        </w:tc>
      </w:tr>
      <w:tr w:rsidR="007049A5" w:rsidRPr="004E4188" w14:paraId="31305504" w14:textId="77777777" w:rsidTr="00F52709">
        <w:tc>
          <w:tcPr>
            <w:tcW w:w="720" w:type="dxa"/>
            <w:tcBorders>
              <w:top w:val="dotted" w:sz="4" w:space="0" w:color="auto"/>
              <w:left w:val="double" w:sz="4" w:space="0" w:color="auto"/>
              <w:bottom w:val="single" w:sz="6" w:space="0" w:color="auto"/>
              <w:right w:val="nil"/>
            </w:tcBorders>
          </w:tcPr>
          <w:p w14:paraId="3DF1EE1F" w14:textId="77777777" w:rsidR="007049A5" w:rsidRPr="004E4188" w:rsidRDefault="007049A5" w:rsidP="001C3B2E">
            <w:pPr>
              <w:rPr>
                <w:sz w:val="22"/>
              </w:rPr>
            </w:pPr>
          </w:p>
        </w:tc>
        <w:tc>
          <w:tcPr>
            <w:tcW w:w="2836" w:type="dxa"/>
            <w:tcBorders>
              <w:top w:val="dotted" w:sz="4" w:space="0" w:color="auto"/>
              <w:left w:val="single" w:sz="6" w:space="0" w:color="auto"/>
              <w:bottom w:val="single" w:sz="6" w:space="0" w:color="auto"/>
              <w:right w:val="single" w:sz="6" w:space="0" w:color="auto"/>
            </w:tcBorders>
          </w:tcPr>
          <w:p w14:paraId="0548F9C0" w14:textId="77777777" w:rsidR="007049A5" w:rsidRPr="004E4188" w:rsidRDefault="007049A5" w:rsidP="001C3B2E">
            <w:pPr>
              <w:rPr>
                <w:sz w:val="22"/>
              </w:rPr>
            </w:pPr>
          </w:p>
        </w:tc>
        <w:tc>
          <w:tcPr>
            <w:tcW w:w="997" w:type="dxa"/>
            <w:tcBorders>
              <w:top w:val="dotted" w:sz="4" w:space="0" w:color="auto"/>
              <w:left w:val="single" w:sz="6" w:space="0" w:color="auto"/>
              <w:bottom w:val="single" w:sz="6" w:space="0" w:color="auto"/>
              <w:right w:val="single" w:sz="6" w:space="0" w:color="auto"/>
            </w:tcBorders>
          </w:tcPr>
          <w:p w14:paraId="5BA1F019" w14:textId="77777777" w:rsidR="007049A5" w:rsidRPr="004E4188" w:rsidRDefault="007049A5" w:rsidP="001C3B2E">
            <w:pPr>
              <w:rPr>
                <w:sz w:val="22"/>
              </w:rPr>
            </w:pPr>
          </w:p>
        </w:tc>
        <w:tc>
          <w:tcPr>
            <w:tcW w:w="1111" w:type="dxa"/>
            <w:tcBorders>
              <w:top w:val="dotted" w:sz="4" w:space="0" w:color="auto"/>
              <w:left w:val="nil"/>
              <w:bottom w:val="single" w:sz="6" w:space="0" w:color="auto"/>
              <w:right w:val="single" w:sz="6" w:space="0" w:color="auto"/>
            </w:tcBorders>
            <w:shd w:val="clear" w:color="auto" w:fill="auto"/>
          </w:tcPr>
          <w:p w14:paraId="6E84D582" w14:textId="77777777" w:rsidR="007049A5" w:rsidRPr="004E4188" w:rsidRDefault="007049A5" w:rsidP="001C3B2E">
            <w:pPr>
              <w:rPr>
                <w:sz w:val="22"/>
              </w:rPr>
            </w:pPr>
          </w:p>
        </w:tc>
        <w:tc>
          <w:tcPr>
            <w:tcW w:w="1152" w:type="dxa"/>
            <w:tcBorders>
              <w:top w:val="dotted" w:sz="4" w:space="0" w:color="auto"/>
              <w:left w:val="nil"/>
              <w:bottom w:val="single" w:sz="6" w:space="0" w:color="auto"/>
              <w:right w:val="single" w:sz="6" w:space="0" w:color="auto"/>
            </w:tcBorders>
            <w:shd w:val="clear" w:color="auto" w:fill="auto"/>
          </w:tcPr>
          <w:p w14:paraId="78FFC1AD" w14:textId="77777777" w:rsidR="007049A5" w:rsidRPr="004E4188" w:rsidRDefault="007049A5" w:rsidP="001C3B2E">
            <w:pPr>
              <w:rPr>
                <w:sz w:val="22"/>
              </w:rPr>
            </w:pPr>
          </w:p>
        </w:tc>
        <w:tc>
          <w:tcPr>
            <w:tcW w:w="1097" w:type="dxa"/>
            <w:tcBorders>
              <w:top w:val="dotted" w:sz="4" w:space="0" w:color="auto"/>
              <w:left w:val="nil"/>
              <w:bottom w:val="single" w:sz="6" w:space="0" w:color="auto"/>
              <w:right w:val="single" w:sz="6" w:space="0" w:color="auto"/>
            </w:tcBorders>
            <w:shd w:val="clear" w:color="auto" w:fill="auto"/>
          </w:tcPr>
          <w:p w14:paraId="06B607F5" w14:textId="77777777" w:rsidR="007049A5" w:rsidRPr="004E4188" w:rsidRDefault="007049A5" w:rsidP="001C3B2E">
            <w:pPr>
              <w:rPr>
                <w:sz w:val="22"/>
              </w:rPr>
            </w:pPr>
          </w:p>
        </w:tc>
        <w:tc>
          <w:tcPr>
            <w:tcW w:w="1087" w:type="dxa"/>
            <w:tcBorders>
              <w:top w:val="dotted" w:sz="4" w:space="0" w:color="auto"/>
              <w:left w:val="single" w:sz="6" w:space="0" w:color="auto"/>
              <w:bottom w:val="single" w:sz="6" w:space="0" w:color="auto"/>
              <w:right w:val="double" w:sz="4" w:space="0" w:color="auto"/>
            </w:tcBorders>
            <w:shd w:val="clear" w:color="auto" w:fill="auto"/>
          </w:tcPr>
          <w:p w14:paraId="105BEA18" w14:textId="77777777" w:rsidR="007049A5" w:rsidRPr="004E4188" w:rsidRDefault="007049A5" w:rsidP="001C3B2E">
            <w:pPr>
              <w:rPr>
                <w:sz w:val="22"/>
              </w:rPr>
            </w:pPr>
          </w:p>
        </w:tc>
      </w:tr>
      <w:tr w:rsidR="007049A5" w:rsidRPr="004E4188" w14:paraId="1653B9B3" w14:textId="77777777" w:rsidTr="00F52709">
        <w:tc>
          <w:tcPr>
            <w:tcW w:w="6816" w:type="dxa"/>
            <w:gridSpan w:val="5"/>
            <w:tcBorders>
              <w:top w:val="single" w:sz="6" w:space="0" w:color="auto"/>
              <w:left w:val="double" w:sz="4" w:space="0" w:color="auto"/>
              <w:bottom w:val="double" w:sz="4" w:space="0" w:color="auto"/>
              <w:right w:val="nil"/>
            </w:tcBorders>
          </w:tcPr>
          <w:p w14:paraId="263A3A12" w14:textId="52F69EAB" w:rsidR="007049A5" w:rsidRPr="004E4188" w:rsidRDefault="007049A5" w:rsidP="006C6267">
            <w:pPr>
              <w:wordWrap w:val="0"/>
              <w:jc w:val="right"/>
              <w:rPr>
                <w:sz w:val="22"/>
                <w:lang w:eastAsia="ja-JP"/>
              </w:rPr>
            </w:pPr>
            <w:r w:rsidRPr="004E4188">
              <w:rPr>
                <w:sz w:val="22"/>
              </w:rPr>
              <w:t>Total du</w:t>
            </w:r>
            <w:r w:rsidRPr="004E4188">
              <w:rPr>
                <w:sz w:val="22"/>
                <w:lang w:eastAsia="ja-JP"/>
              </w:rPr>
              <w:t xml:space="preserve"> </w:t>
            </w:r>
            <w:r w:rsidRPr="004E4188">
              <w:rPr>
                <w:sz w:val="22"/>
              </w:rPr>
              <w:t>Bordereau n°</w:t>
            </w:r>
            <w:r w:rsidRPr="004E4188">
              <w:rPr>
                <w:rFonts w:hint="eastAsia"/>
                <w:sz w:val="22"/>
                <w:lang w:eastAsia="ja-JP"/>
              </w:rPr>
              <w:t>4</w:t>
            </w:r>
          </w:p>
          <w:p w14:paraId="22D2802F" w14:textId="2037E386" w:rsidR="007049A5" w:rsidRPr="004E4188" w:rsidRDefault="007049A5" w:rsidP="006C6267">
            <w:pPr>
              <w:jc w:val="right"/>
              <w:rPr>
                <w:sz w:val="22"/>
              </w:rPr>
            </w:pPr>
            <w:r w:rsidRPr="004E4188">
              <w:rPr>
                <w:sz w:val="22"/>
              </w:rPr>
              <w:t>(à reprendre dans le tableau récapitulatif, p.______)</w:t>
            </w:r>
          </w:p>
        </w:tc>
        <w:tc>
          <w:tcPr>
            <w:tcW w:w="1097" w:type="dxa"/>
            <w:tcBorders>
              <w:top w:val="single" w:sz="6" w:space="0" w:color="auto"/>
              <w:left w:val="single" w:sz="6" w:space="0" w:color="auto"/>
              <w:bottom w:val="double" w:sz="4" w:space="0" w:color="auto"/>
            </w:tcBorders>
          </w:tcPr>
          <w:p w14:paraId="008C5508" w14:textId="77777777" w:rsidR="007049A5" w:rsidRPr="004E4188" w:rsidRDefault="007049A5" w:rsidP="006C6267">
            <w:pPr>
              <w:jc w:val="center"/>
              <w:rPr>
                <w:sz w:val="22"/>
              </w:rPr>
            </w:pPr>
          </w:p>
          <w:p w14:paraId="22A6D219" w14:textId="77777777" w:rsidR="007049A5" w:rsidRPr="004E4188" w:rsidRDefault="007049A5" w:rsidP="006C6267">
            <w:pPr>
              <w:jc w:val="center"/>
              <w:rPr>
                <w:sz w:val="22"/>
              </w:rPr>
            </w:pPr>
            <w:r w:rsidRPr="004E4188">
              <w:rPr>
                <w:rFonts w:hint="eastAsia"/>
                <w:sz w:val="22"/>
                <w:lang w:eastAsia="ja-JP"/>
              </w:rPr>
              <w:t>-</w:t>
            </w:r>
            <w:r w:rsidRPr="004E4188">
              <w:rPr>
                <w:sz w:val="22"/>
                <w:lang w:eastAsia="ja-JP"/>
              </w:rPr>
              <w:t>----</w:t>
            </w:r>
          </w:p>
        </w:tc>
        <w:tc>
          <w:tcPr>
            <w:tcW w:w="1087" w:type="dxa"/>
            <w:tcBorders>
              <w:top w:val="single" w:sz="6" w:space="0" w:color="auto"/>
              <w:left w:val="single" w:sz="6" w:space="0" w:color="auto"/>
              <w:bottom w:val="double" w:sz="4" w:space="0" w:color="auto"/>
              <w:right w:val="double" w:sz="4" w:space="0" w:color="auto"/>
            </w:tcBorders>
          </w:tcPr>
          <w:p w14:paraId="74D6D9C7" w14:textId="77777777" w:rsidR="007049A5" w:rsidRPr="004E4188" w:rsidRDefault="007049A5" w:rsidP="006C6267">
            <w:pPr>
              <w:jc w:val="center"/>
              <w:rPr>
                <w:sz w:val="22"/>
              </w:rPr>
            </w:pPr>
          </w:p>
          <w:p w14:paraId="716DA4AF" w14:textId="77777777" w:rsidR="007049A5" w:rsidRPr="004E4188" w:rsidRDefault="007049A5" w:rsidP="006C6267">
            <w:pPr>
              <w:jc w:val="center"/>
              <w:rPr>
                <w:sz w:val="22"/>
              </w:rPr>
            </w:pPr>
            <w:r w:rsidRPr="004E4188">
              <w:rPr>
                <w:rFonts w:hint="eastAsia"/>
                <w:sz w:val="22"/>
                <w:lang w:eastAsia="ja-JP"/>
              </w:rPr>
              <w:t>-</w:t>
            </w:r>
            <w:r w:rsidRPr="004E4188">
              <w:rPr>
                <w:sz w:val="22"/>
                <w:lang w:eastAsia="ja-JP"/>
              </w:rPr>
              <w:t>----</w:t>
            </w:r>
          </w:p>
        </w:tc>
      </w:tr>
    </w:tbl>
    <w:p w14:paraId="69D53879" w14:textId="5D608264" w:rsidR="007049A5" w:rsidRPr="004E4188" w:rsidRDefault="007049A5" w:rsidP="006917F5">
      <w:pPr>
        <w:spacing w:beforeLines="50" w:before="120"/>
        <w:ind w:left="335" w:hanging="335"/>
      </w:pPr>
    </w:p>
    <w:p w14:paraId="33E466AE" w14:textId="77777777" w:rsidR="007049A5" w:rsidRPr="004E4188" w:rsidRDefault="007049A5" w:rsidP="001C3B2E">
      <w:pPr>
        <w:pStyle w:val="Style6"/>
        <w:rPr>
          <w:szCs w:val="24"/>
        </w:rPr>
      </w:pPr>
    </w:p>
    <w:p w14:paraId="5C43EA31" w14:textId="77777777" w:rsidR="007049A5" w:rsidRPr="004E4188" w:rsidRDefault="007049A5" w:rsidP="006C6267">
      <w:pPr>
        <w:pStyle w:val="SectionIVHeading2"/>
        <w:rPr>
          <w:lang w:val="fr-FR"/>
        </w:rPr>
      </w:pPr>
      <w:r w:rsidRPr="004E4188">
        <w:rPr>
          <w:i/>
          <w:lang w:val="fr-FR"/>
        </w:rPr>
        <w:br w:type="page"/>
      </w:r>
      <w:bookmarkStart w:id="517" w:name="_Toc112429305"/>
      <w:bookmarkStart w:id="518" w:name="_Toc357513212"/>
      <w:r w:rsidRPr="004E4188">
        <w:rPr>
          <w:lang w:val="fr-FR"/>
        </w:rPr>
        <w:t>Bordereau n</w:t>
      </w:r>
      <w:r w:rsidRPr="004E4188">
        <w:rPr>
          <w:vertAlign w:val="superscript"/>
          <w:lang w:val="fr-FR"/>
        </w:rPr>
        <w:t>o</w:t>
      </w:r>
      <w:r w:rsidRPr="004E4188">
        <w:rPr>
          <w:lang w:val="fr-FR"/>
        </w:rPr>
        <w:t xml:space="preserve"> 5</w:t>
      </w:r>
      <w:r w:rsidRPr="004E4188">
        <w:rPr>
          <w:lang w:val="fr-FR"/>
        </w:rPr>
        <w:br/>
        <w:t>Pièces de rechange obligatoires</w:t>
      </w:r>
      <w:bookmarkEnd w:id="5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7049A5" w:rsidRPr="004E4188" w14:paraId="029E1E18" w14:textId="77777777" w:rsidTr="006C6267">
        <w:tc>
          <w:tcPr>
            <w:tcW w:w="9219" w:type="dxa"/>
            <w:shd w:val="clear" w:color="auto" w:fill="auto"/>
          </w:tcPr>
          <w:p w14:paraId="347C307E" w14:textId="77777777" w:rsidR="007049A5" w:rsidRPr="004E4188" w:rsidRDefault="007049A5" w:rsidP="006C6267">
            <w:pPr>
              <w:spacing w:afterLines="100" w:after="240"/>
              <w:jc w:val="center"/>
              <w:rPr>
                <w:b/>
                <w:bCs/>
                <w:szCs w:val="24"/>
              </w:rPr>
            </w:pPr>
            <w:r w:rsidRPr="004E4188">
              <w:rPr>
                <w:b/>
                <w:bCs/>
                <w:szCs w:val="24"/>
              </w:rPr>
              <w:t>Notes à l’intention du Maître d’ouvrage</w:t>
            </w:r>
          </w:p>
          <w:p w14:paraId="1B5D31AF" w14:textId="77777777" w:rsidR="007049A5" w:rsidRPr="004E4188" w:rsidRDefault="007049A5" w:rsidP="006C6267">
            <w:pPr>
              <w:rPr>
                <w:noProof/>
              </w:rPr>
            </w:pPr>
            <w:r w:rsidRPr="004E4188">
              <w:rPr>
                <w:noProof/>
              </w:rPr>
              <w:t xml:space="preserve">Le Maître d’ouvrage doit décider et indiquer dans le présent Bordereau, toutes les principales pièces de rechange nécessaires à l’exploitation et la maintenance des Installations après leur </w:t>
            </w:r>
            <w:r w:rsidRPr="004E4188">
              <w:rPr>
                <w:szCs w:val="24"/>
              </w:rPr>
              <w:t>Réception op</w:t>
            </w:r>
            <w:r w:rsidRPr="004E4188">
              <w:rPr>
                <w:szCs w:val="24"/>
                <w:lang w:eastAsia="en-US"/>
              </w:rPr>
              <w:t>é</w:t>
            </w:r>
            <w:r w:rsidRPr="004E4188">
              <w:rPr>
                <w:szCs w:val="24"/>
              </w:rPr>
              <w:t>rationnelle</w:t>
            </w:r>
            <w:r w:rsidRPr="004E4188">
              <w:rPr>
                <w:noProof/>
              </w:rPr>
              <w:t>.</w:t>
            </w:r>
            <w:r w:rsidRPr="004E4188">
              <w:t xml:space="preserve"> </w:t>
            </w:r>
            <w:r w:rsidRPr="004E4188">
              <w:rPr>
                <w:noProof/>
              </w:rPr>
              <w:t xml:space="preserve">Conformément à l’Article 7.3 des Conditions du Marché, l’Entrepreneur doit fournir ces pièces de rechange au plus tard à la </w:t>
            </w:r>
            <w:r w:rsidRPr="004E4188">
              <w:rPr>
                <w:szCs w:val="24"/>
              </w:rPr>
              <w:t>Réception op</w:t>
            </w:r>
            <w:r w:rsidRPr="004E4188">
              <w:rPr>
                <w:szCs w:val="24"/>
                <w:lang w:eastAsia="en-US"/>
              </w:rPr>
              <w:t>é</w:t>
            </w:r>
            <w:r w:rsidRPr="004E4188">
              <w:rPr>
                <w:szCs w:val="24"/>
              </w:rPr>
              <w:t>rationnelle</w:t>
            </w:r>
            <w:r w:rsidRPr="004E4188">
              <w:rPr>
                <w:noProof/>
              </w:rPr>
              <w:t xml:space="preserve"> des Installations.</w:t>
            </w:r>
          </w:p>
          <w:p w14:paraId="6147CD3B" w14:textId="77777777" w:rsidR="007049A5" w:rsidRPr="004E4188" w:rsidRDefault="007049A5" w:rsidP="006C6267">
            <w:pPr>
              <w:rPr>
                <w:noProof/>
              </w:rPr>
            </w:pPr>
          </w:p>
          <w:p w14:paraId="1A99354A" w14:textId="77777777" w:rsidR="007049A5" w:rsidRPr="004E4188" w:rsidRDefault="007049A5" w:rsidP="006C6267">
            <w:pPr>
              <w:rPr>
                <w:noProof/>
                <w:lang w:eastAsia="ja-JP"/>
              </w:rPr>
            </w:pPr>
            <w:r w:rsidRPr="004E4188">
              <w:rPr>
                <w:noProof/>
              </w:rPr>
              <w:t xml:space="preserve">Toutes les pièces de rechange nécessaires à la </w:t>
            </w:r>
            <w:r w:rsidRPr="004E4188">
              <w:rPr>
                <w:szCs w:val="24"/>
              </w:rPr>
              <w:t>Réception op</w:t>
            </w:r>
            <w:r w:rsidRPr="004E4188">
              <w:rPr>
                <w:szCs w:val="24"/>
                <w:lang w:eastAsia="en-US"/>
              </w:rPr>
              <w:t>é</w:t>
            </w:r>
            <w:r w:rsidRPr="004E4188">
              <w:rPr>
                <w:szCs w:val="24"/>
              </w:rPr>
              <w:t>rationnelle</w:t>
            </w:r>
            <w:r w:rsidRPr="004E4188">
              <w:rPr>
                <w:noProof/>
              </w:rPr>
              <w:t xml:space="preserve"> des Installations ne doivent pas être incluses dans ce Bordereau</w:t>
            </w:r>
            <w:r w:rsidRPr="004E4188">
              <w:rPr>
                <w:szCs w:val="24"/>
              </w:rPr>
              <w:t xml:space="preserve"> </w:t>
            </w:r>
            <w:r w:rsidRPr="004E4188">
              <w:rPr>
                <w:noProof/>
              </w:rPr>
              <w:t>car elles ser</w:t>
            </w:r>
            <w:r w:rsidRPr="004E4188">
              <w:rPr>
                <w:rFonts w:hint="eastAsia"/>
                <w:noProof/>
                <w:lang w:eastAsia="ja-JP"/>
              </w:rPr>
              <w:t>o</w:t>
            </w:r>
            <w:r w:rsidRPr="004E4188">
              <w:rPr>
                <w:noProof/>
                <w:lang w:eastAsia="ja-JP"/>
              </w:rPr>
              <w:t>nt</w:t>
            </w:r>
            <w:r w:rsidRPr="004E4188">
              <w:rPr>
                <w:noProof/>
              </w:rPr>
              <w:t xml:space="preserve"> indiquées dans les Bordereaux intitulés </w:t>
            </w:r>
            <w:r w:rsidRPr="004E4188">
              <w:rPr>
                <w:szCs w:val="24"/>
              </w:rPr>
              <w:t xml:space="preserve">« </w:t>
            </w:r>
            <w:r w:rsidRPr="004E4188">
              <w:rPr>
                <w:i/>
                <w:szCs w:val="24"/>
              </w:rPr>
              <w:t>É</w:t>
            </w:r>
            <w:r w:rsidRPr="004E4188">
              <w:rPr>
                <w:i/>
                <w:szCs w:val="24"/>
                <w:lang w:eastAsia="en-US"/>
              </w:rPr>
              <w:t>quipements d’origine étrangère (en dehors du pays du Maître d’ouvrage)</w:t>
            </w:r>
            <w:r w:rsidRPr="004E4188">
              <w:rPr>
                <w:szCs w:val="24"/>
              </w:rPr>
              <w:t xml:space="preserve"> » et « </w:t>
            </w:r>
            <w:r w:rsidRPr="004E4188">
              <w:rPr>
                <w:i/>
                <w:szCs w:val="24"/>
              </w:rPr>
              <w:t>É</w:t>
            </w:r>
            <w:r w:rsidRPr="004E4188">
              <w:rPr>
                <w:i/>
                <w:szCs w:val="24"/>
                <w:lang w:eastAsia="en-US"/>
              </w:rPr>
              <w:t>quipements d’origine</w:t>
            </w:r>
            <w:r w:rsidRPr="004E4188">
              <w:rPr>
                <w:i/>
                <w:noProof/>
                <w:lang w:eastAsia="en-US"/>
              </w:rPr>
              <w:t xml:space="preserve"> locale</w:t>
            </w:r>
            <w:r w:rsidRPr="004E4188">
              <w:rPr>
                <w:szCs w:val="24"/>
              </w:rPr>
              <w:t xml:space="preserve"> »</w:t>
            </w:r>
            <w:r w:rsidRPr="004E4188">
              <w:rPr>
                <w:noProof/>
              </w:rPr>
              <w:t>.</w:t>
            </w:r>
          </w:p>
        </w:tc>
      </w:tr>
    </w:tbl>
    <w:p w14:paraId="06F539C4" w14:textId="77777777" w:rsidR="007049A5" w:rsidRPr="004E4188" w:rsidRDefault="007049A5" w:rsidP="006C6267">
      <w:pPr>
        <w:spacing w:beforeLines="50" w:before="120"/>
      </w:pPr>
      <w:r w:rsidRPr="004E4188">
        <w:rPr>
          <w:i/>
          <w:szCs w:val="24"/>
        </w:rPr>
        <w:t>É</w:t>
      </w:r>
      <w:r w:rsidRPr="004E4188">
        <w:rPr>
          <w:i/>
          <w:szCs w:val="24"/>
          <w:lang w:eastAsia="en-US"/>
        </w:rPr>
        <w:t>quipements d’origine étrangère (en dehors du pays du Maître d’ouvrage)</w:t>
      </w:r>
    </w:p>
    <w:tbl>
      <w:tblPr>
        <w:tblW w:w="9355" w:type="dxa"/>
        <w:tblInd w:w="120" w:type="dxa"/>
        <w:tblLayout w:type="fixed"/>
        <w:tblLook w:val="0000" w:firstRow="0" w:lastRow="0" w:firstColumn="0" w:lastColumn="0" w:noHBand="0" w:noVBand="0"/>
      </w:tblPr>
      <w:tblGrid>
        <w:gridCol w:w="707"/>
        <w:gridCol w:w="1833"/>
        <w:gridCol w:w="1134"/>
        <w:gridCol w:w="709"/>
        <w:gridCol w:w="992"/>
        <w:gridCol w:w="1145"/>
        <w:gridCol w:w="1123"/>
        <w:gridCol w:w="1712"/>
      </w:tblGrid>
      <w:tr w:rsidR="007049A5" w:rsidRPr="004E4188" w:rsidDel="00C12DF1" w14:paraId="27F08B52" w14:textId="77777777" w:rsidTr="00510D0A">
        <w:trPr>
          <w:trHeight w:val="255"/>
        </w:trPr>
        <w:tc>
          <w:tcPr>
            <w:tcW w:w="707" w:type="dxa"/>
            <w:vMerge w:val="restart"/>
            <w:tcBorders>
              <w:top w:val="double" w:sz="6" w:space="0" w:color="auto"/>
              <w:left w:val="double" w:sz="6" w:space="0" w:color="auto"/>
              <w:bottom w:val="single" w:sz="6" w:space="0" w:color="auto"/>
              <w:right w:val="single" w:sz="6" w:space="0" w:color="auto"/>
            </w:tcBorders>
          </w:tcPr>
          <w:p w14:paraId="08B5CCC8" w14:textId="77777777" w:rsidR="007049A5" w:rsidRPr="004E4188" w:rsidRDefault="007049A5" w:rsidP="006C6267">
            <w:pPr>
              <w:jc w:val="center"/>
              <w:rPr>
                <w:i/>
              </w:rPr>
            </w:pPr>
            <w:r w:rsidRPr="004E4188">
              <w:rPr>
                <w:i/>
                <w:sz w:val="22"/>
                <w:szCs w:val="22"/>
              </w:rPr>
              <w:t>N</w:t>
            </w:r>
            <w:r w:rsidRPr="004E4188">
              <w:rPr>
                <w:i/>
                <w:sz w:val="22"/>
                <w:szCs w:val="22"/>
                <w:vertAlign w:val="superscript"/>
              </w:rPr>
              <w:t xml:space="preserve">o </w:t>
            </w:r>
            <w:r w:rsidRPr="004E4188">
              <w:rPr>
                <w:i/>
                <w:sz w:val="22"/>
                <w:szCs w:val="22"/>
              </w:rPr>
              <w:t>du poste</w:t>
            </w:r>
          </w:p>
        </w:tc>
        <w:tc>
          <w:tcPr>
            <w:tcW w:w="1833" w:type="dxa"/>
            <w:vMerge w:val="restart"/>
            <w:tcBorders>
              <w:top w:val="double" w:sz="6" w:space="0" w:color="auto"/>
              <w:left w:val="single" w:sz="6" w:space="0" w:color="auto"/>
              <w:bottom w:val="single" w:sz="6" w:space="0" w:color="auto"/>
              <w:right w:val="single" w:sz="6" w:space="0" w:color="auto"/>
            </w:tcBorders>
          </w:tcPr>
          <w:p w14:paraId="417DBE15" w14:textId="77777777" w:rsidR="007049A5" w:rsidRPr="004E4188" w:rsidRDefault="007049A5" w:rsidP="006C6267">
            <w:pPr>
              <w:jc w:val="center"/>
              <w:rPr>
                <w:i/>
              </w:rPr>
            </w:pPr>
            <w:r w:rsidRPr="004E4188">
              <w:rPr>
                <w:i/>
              </w:rPr>
              <w:t>Description</w:t>
            </w:r>
          </w:p>
        </w:tc>
        <w:tc>
          <w:tcPr>
            <w:tcW w:w="1134" w:type="dxa"/>
            <w:vMerge w:val="restart"/>
            <w:tcBorders>
              <w:top w:val="double" w:sz="6" w:space="0" w:color="auto"/>
              <w:left w:val="single" w:sz="6" w:space="0" w:color="auto"/>
              <w:bottom w:val="single" w:sz="6" w:space="0" w:color="auto"/>
              <w:right w:val="single" w:sz="6" w:space="0" w:color="auto"/>
            </w:tcBorders>
          </w:tcPr>
          <w:p w14:paraId="0FF2075F" w14:textId="77777777" w:rsidR="007049A5" w:rsidRPr="004E4188" w:rsidRDefault="007049A5" w:rsidP="006C6267">
            <w:pPr>
              <w:jc w:val="center"/>
              <w:rPr>
                <w:i/>
                <w:sz w:val="20"/>
              </w:rPr>
            </w:pPr>
            <w:r w:rsidRPr="004E4188">
              <w:rPr>
                <w:i/>
                <w:sz w:val="22"/>
              </w:rPr>
              <w:t>Pays d’origine</w:t>
            </w:r>
          </w:p>
        </w:tc>
        <w:tc>
          <w:tcPr>
            <w:tcW w:w="709" w:type="dxa"/>
            <w:vMerge w:val="restart"/>
            <w:tcBorders>
              <w:top w:val="double" w:sz="6" w:space="0" w:color="auto"/>
              <w:left w:val="single" w:sz="6" w:space="0" w:color="auto"/>
              <w:bottom w:val="single" w:sz="6" w:space="0" w:color="auto"/>
              <w:right w:val="single" w:sz="6" w:space="0" w:color="auto"/>
            </w:tcBorders>
          </w:tcPr>
          <w:p w14:paraId="53118EFE" w14:textId="77777777" w:rsidR="007049A5" w:rsidRPr="004E4188" w:rsidRDefault="007049A5" w:rsidP="006C6267">
            <w:pPr>
              <w:jc w:val="center"/>
              <w:rPr>
                <w:i/>
                <w:sz w:val="20"/>
              </w:rPr>
            </w:pPr>
            <w:r w:rsidRPr="004E4188">
              <w:rPr>
                <w:i/>
                <w:sz w:val="22"/>
              </w:rPr>
              <w:t>Code</w:t>
            </w:r>
            <w:r w:rsidRPr="004E4188">
              <w:rPr>
                <w:i/>
                <w:sz w:val="22"/>
                <w:vertAlign w:val="superscript"/>
              </w:rPr>
              <w:t>1</w:t>
            </w:r>
          </w:p>
        </w:tc>
        <w:tc>
          <w:tcPr>
            <w:tcW w:w="992" w:type="dxa"/>
            <w:vMerge w:val="restart"/>
            <w:tcBorders>
              <w:top w:val="double" w:sz="6" w:space="0" w:color="auto"/>
              <w:left w:val="single" w:sz="6" w:space="0" w:color="auto"/>
              <w:right w:val="single" w:sz="6" w:space="0" w:color="auto"/>
            </w:tcBorders>
          </w:tcPr>
          <w:p w14:paraId="63A78B0D" w14:textId="77777777" w:rsidR="007049A5" w:rsidRPr="004E4188" w:rsidRDefault="007049A5" w:rsidP="006C6267">
            <w:pPr>
              <w:jc w:val="center"/>
              <w:rPr>
                <w:i/>
                <w:sz w:val="22"/>
              </w:rPr>
            </w:pPr>
            <w:r w:rsidRPr="004E4188">
              <w:rPr>
                <w:i/>
                <w:sz w:val="22"/>
              </w:rPr>
              <w:t>Quantité</w:t>
            </w:r>
          </w:p>
          <w:p w14:paraId="2D8E5754" w14:textId="77777777" w:rsidR="007049A5" w:rsidRPr="004E4188" w:rsidRDefault="007049A5" w:rsidP="006C6267">
            <w:pPr>
              <w:jc w:val="center"/>
              <w:rPr>
                <w:i/>
                <w:sz w:val="22"/>
              </w:rPr>
            </w:pPr>
          </w:p>
          <w:p w14:paraId="48B8F0AE" w14:textId="77777777" w:rsidR="007049A5" w:rsidRPr="004E4188" w:rsidRDefault="007049A5" w:rsidP="006C6267">
            <w:pPr>
              <w:jc w:val="center"/>
              <w:rPr>
                <w:i/>
                <w:sz w:val="20"/>
              </w:rPr>
            </w:pPr>
            <w:r w:rsidRPr="004E4188">
              <w:rPr>
                <w:i/>
                <w:sz w:val="22"/>
              </w:rPr>
              <w:t>(1)</w:t>
            </w:r>
          </w:p>
        </w:tc>
        <w:tc>
          <w:tcPr>
            <w:tcW w:w="2268" w:type="dxa"/>
            <w:gridSpan w:val="2"/>
            <w:tcBorders>
              <w:top w:val="double" w:sz="6" w:space="0" w:color="auto"/>
              <w:left w:val="single" w:sz="6" w:space="0" w:color="auto"/>
              <w:bottom w:val="single" w:sz="6" w:space="0" w:color="auto"/>
              <w:right w:val="single" w:sz="4" w:space="0" w:color="auto"/>
            </w:tcBorders>
          </w:tcPr>
          <w:p w14:paraId="79F621C4" w14:textId="77777777" w:rsidR="007049A5" w:rsidRPr="004E4188" w:rsidRDefault="007049A5" w:rsidP="006C6267">
            <w:pPr>
              <w:tabs>
                <w:tab w:val="left" w:pos="560"/>
              </w:tabs>
              <w:jc w:val="center"/>
              <w:rPr>
                <w:i/>
              </w:rPr>
            </w:pPr>
            <w:r w:rsidRPr="004E4188">
              <w:rPr>
                <w:i/>
                <w:sz w:val="22"/>
              </w:rPr>
              <w:t>Prix unitaire</w:t>
            </w:r>
          </w:p>
          <w:p w14:paraId="727A653F" w14:textId="77777777" w:rsidR="007049A5" w:rsidRPr="004E4188" w:rsidRDefault="007049A5" w:rsidP="006C6267">
            <w:pPr>
              <w:jc w:val="center"/>
              <w:rPr>
                <w:i/>
              </w:rPr>
            </w:pPr>
            <w:r w:rsidRPr="004E4188">
              <w:rPr>
                <w:i/>
              </w:rPr>
              <w:t>(2)</w:t>
            </w:r>
          </w:p>
        </w:tc>
        <w:tc>
          <w:tcPr>
            <w:tcW w:w="1712" w:type="dxa"/>
            <w:vMerge w:val="restart"/>
            <w:tcBorders>
              <w:top w:val="double" w:sz="6" w:space="0" w:color="auto"/>
              <w:left w:val="single" w:sz="4" w:space="0" w:color="auto"/>
              <w:right w:val="double" w:sz="6" w:space="0" w:color="auto"/>
            </w:tcBorders>
          </w:tcPr>
          <w:p w14:paraId="5C8B0444" w14:textId="77777777" w:rsidR="007049A5" w:rsidRPr="004E4188" w:rsidRDefault="007049A5" w:rsidP="006C6267">
            <w:pPr>
              <w:jc w:val="center"/>
              <w:rPr>
                <w:i/>
              </w:rPr>
            </w:pPr>
            <w:r w:rsidRPr="004E4188">
              <w:rPr>
                <w:i/>
                <w:sz w:val="22"/>
              </w:rPr>
              <w:t>Prix total</w:t>
            </w:r>
          </w:p>
          <w:p w14:paraId="5C2F9193" w14:textId="77777777" w:rsidR="007049A5" w:rsidRPr="004E4188" w:rsidDel="00C12DF1" w:rsidRDefault="007049A5" w:rsidP="006C6267">
            <w:pPr>
              <w:jc w:val="center"/>
              <w:rPr>
                <w:i/>
              </w:rPr>
            </w:pPr>
            <w:r w:rsidRPr="004E4188">
              <w:rPr>
                <w:i/>
                <w:lang w:eastAsia="ja-JP"/>
              </w:rPr>
              <w:t>(1)*(2)</w:t>
            </w:r>
          </w:p>
        </w:tc>
      </w:tr>
      <w:tr w:rsidR="007049A5" w:rsidRPr="004E4188" w14:paraId="25B67269" w14:textId="77777777" w:rsidTr="00510D0A">
        <w:trPr>
          <w:trHeight w:val="300"/>
        </w:trPr>
        <w:tc>
          <w:tcPr>
            <w:tcW w:w="707" w:type="dxa"/>
            <w:vMerge/>
            <w:tcBorders>
              <w:top w:val="single" w:sz="6" w:space="0" w:color="auto"/>
              <w:left w:val="double" w:sz="6" w:space="0" w:color="auto"/>
              <w:bottom w:val="single" w:sz="6" w:space="0" w:color="auto"/>
              <w:right w:val="single" w:sz="6" w:space="0" w:color="auto"/>
            </w:tcBorders>
          </w:tcPr>
          <w:p w14:paraId="521D973D" w14:textId="77777777" w:rsidR="007049A5" w:rsidRPr="004E4188" w:rsidRDefault="007049A5" w:rsidP="006C6267">
            <w:pPr>
              <w:jc w:val="center"/>
              <w:rPr>
                <w:i/>
              </w:rPr>
            </w:pPr>
          </w:p>
        </w:tc>
        <w:tc>
          <w:tcPr>
            <w:tcW w:w="1833" w:type="dxa"/>
            <w:vMerge/>
            <w:tcBorders>
              <w:top w:val="single" w:sz="6" w:space="0" w:color="auto"/>
              <w:left w:val="single" w:sz="6" w:space="0" w:color="auto"/>
              <w:bottom w:val="single" w:sz="6" w:space="0" w:color="auto"/>
              <w:right w:val="single" w:sz="6" w:space="0" w:color="auto"/>
            </w:tcBorders>
          </w:tcPr>
          <w:p w14:paraId="543FDFD1" w14:textId="77777777" w:rsidR="007049A5" w:rsidRPr="004E4188" w:rsidRDefault="007049A5" w:rsidP="006C6267">
            <w:pPr>
              <w:jc w:val="center"/>
              <w:rPr>
                <w:i/>
              </w:rPr>
            </w:pPr>
          </w:p>
        </w:tc>
        <w:tc>
          <w:tcPr>
            <w:tcW w:w="1134" w:type="dxa"/>
            <w:vMerge/>
            <w:tcBorders>
              <w:top w:val="single" w:sz="6" w:space="0" w:color="auto"/>
              <w:left w:val="single" w:sz="6" w:space="0" w:color="auto"/>
              <w:bottom w:val="single" w:sz="6" w:space="0" w:color="auto"/>
              <w:right w:val="single" w:sz="6" w:space="0" w:color="auto"/>
            </w:tcBorders>
          </w:tcPr>
          <w:p w14:paraId="317A3AE8" w14:textId="77777777" w:rsidR="007049A5" w:rsidRPr="004E4188" w:rsidRDefault="007049A5" w:rsidP="006C6267">
            <w:pPr>
              <w:jc w:val="center"/>
              <w:rPr>
                <w:i/>
              </w:rPr>
            </w:pPr>
          </w:p>
        </w:tc>
        <w:tc>
          <w:tcPr>
            <w:tcW w:w="709" w:type="dxa"/>
            <w:vMerge/>
            <w:tcBorders>
              <w:top w:val="single" w:sz="6" w:space="0" w:color="auto"/>
              <w:left w:val="single" w:sz="6" w:space="0" w:color="auto"/>
              <w:bottom w:val="single" w:sz="6" w:space="0" w:color="auto"/>
              <w:right w:val="single" w:sz="6" w:space="0" w:color="auto"/>
            </w:tcBorders>
          </w:tcPr>
          <w:p w14:paraId="393291ED" w14:textId="77777777" w:rsidR="007049A5" w:rsidRPr="004E4188" w:rsidRDefault="007049A5" w:rsidP="006C6267">
            <w:pPr>
              <w:jc w:val="center"/>
              <w:rPr>
                <w:i/>
              </w:rPr>
            </w:pPr>
          </w:p>
        </w:tc>
        <w:tc>
          <w:tcPr>
            <w:tcW w:w="992" w:type="dxa"/>
            <w:vMerge/>
            <w:tcBorders>
              <w:left w:val="single" w:sz="6" w:space="0" w:color="auto"/>
              <w:bottom w:val="single" w:sz="6" w:space="0" w:color="auto"/>
              <w:right w:val="single" w:sz="6" w:space="0" w:color="auto"/>
            </w:tcBorders>
          </w:tcPr>
          <w:p w14:paraId="6414FB0D" w14:textId="77777777" w:rsidR="007049A5" w:rsidRPr="004E4188" w:rsidRDefault="007049A5" w:rsidP="006C6267">
            <w:pPr>
              <w:jc w:val="center"/>
              <w:rPr>
                <w:i/>
                <w:sz w:val="20"/>
                <w:lang w:eastAsia="ja-JP"/>
              </w:rPr>
            </w:pPr>
          </w:p>
        </w:tc>
        <w:tc>
          <w:tcPr>
            <w:tcW w:w="1145" w:type="dxa"/>
            <w:tcBorders>
              <w:top w:val="single" w:sz="6" w:space="0" w:color="auto"/>
              <w:left w:val="single" w:sz="6" w:space="0" w:color="auto"/>
              <w:bottom w:val="single" w:sz="6" w:space="0" w:color="auto"/>
              <w:right w:val="single" w:sz="6" w:space="0" w:color="auto"/>
            </w:tcBorders>
          </w:tcPr>
          <w:p w14:paraId="13F00648" w14:textId="77777777" w:rsidR="007049A5" w:rsidRPr="004E4188" w:rsidRDefault="007049A5" w:rsidP="006C6267">
            <w:pPr>
              <w:jc w:val="center"/>
              <w:rPr>
                <w:i/>
                <w:sz w:val="20"/>
                <w:lang w:eastAsia="ja-JP"/>
              </w:rPr>
            </w:pPr>
            <w:r w:rsidRPr="004E4188">
              <w:rPr>
                <w:i/>
                <w:sz w:val="22"/>
              </w:rPr>
              <w:t>Monnaie étrangère</w:t>
            </w:r>
          </w:p>
        </w:tc>
        <w:tc>
          <w:tcPr>
            <w:tcW w:w="1123" w:type="dxa"/>
            <w:tcBorders>
              <w:left w:val="single" w:sz="6" w:space="0" w:color="auto"/>
              <w:bottom w:val="single" w:sz="6" w:space="0" w:color="auto"/>
              <w:right w:val="single" w:sz="4" w:space="0" w:color="auto"/>
            </w:tcBorders>
          </w:tcPr>
          <w:p w14:paraId="7A2DA27D" w14:textId="77777777" w:rsidR="007049A5" w:rsidRPr="004E4188" w:rsidRDefault="007049A5" w:rsidP="006C6267">
            <w:pPr>
              <w:jc w:val="center"/>
              <w:rPr>
                <w:i/>
                <w:sz w:val="22"/>
                <w:lang w:eastAsia="ja-JP"/>
              </w:rPr>
            </w:pPr>
            <w:r w:rsidRPr="004E4188">
              <w:rPr>
                <w:i/>
                <w:sz w:val="22"/>
              </w:rPr>
              <w:t>Prix unitaire</w:t>
            </w:r>
          </w:p>
        </w:tc>
        <w:tc>
          <w:tcPr>
            <w:tcW w:w="1712" w:type="dxa"/>
            <w:vMerge/>
            <w:tcBorders>
              <w:left w:val="single" w:sz="4" w:space="0" w:color="auto"/>
              <w:bottom w:val="single" w:sz="6" w:space="0" w:color="auto"/>
              <w:right w:val="double" w:sz="6" w:space="0" w:color="auto"/>
            </w:tcBorders>
          </w:tcPr>
          <w:p w14:paraId="43BF874D" w14:textId="77777777" w:rsidR="007049A5" w:rsidRPr="004E4188" w:rsidRDefault="007049A5" w:rsidP="006C6267">
            <w:pPr>
              <w:jc w:val="center"/>
              <w:rPr>
                <w:i/>
                <w:lang w:eastAsia="ja-JP"/>
              </w:rPr>
            </w:pPr>
          </w:p>
        </w:tc>
      </w:tr>
      <w:tr w:rsidR="007049A5" w:rsidRPr="004E4188" w14:paraId="406D90D2" w14:textId="77777777" w:rsidTr="00510D0A">
        <w:tc>
          <w:tcPr>
            <w:tcW w:w="707" w:type="dxa"/>
            <w:tcBorders>
              <w:top w:val="single" w:sz="6" w:space="0" w:color="auto"/>
              <w:left w:val="double" w:sz="6" w:space="0" w:color="auto"/>
              <w:bottom w:val="dotted" w:sz="4" w:space="0" w:color="auto"/>
              <w:right w:val="single" w:sz="6" w:space="0" w:color="auto"/>
            </w:tcBorders>
          </w:tcPr>
          <w:p w14:paraId="634FED06" w14:textId="77777777" w:rsidR="007049A5" w:rsidRPr="004E4188" w:rsidRDefault="007049A5" w:rsidP="006C6267">
            <w:pPr>
              <w:jc w:val="left"/>
            </w:pPr>
            <w:r w:rsidRPr="004E4188">
              <w:t>501</w:t>
            </w:r>
          </w:p>
        </w:tc>
        <w:tc>
          <w:tcPr>
            <w:tcW w:w="1833" w:type="dxa"/>
            <w:tcBorders>
              <w:top w:val="single" w:sz="6" w:space="0" w:color="auto"/>
              <w:left w:val="single" w:sz="6" w:space="0" w:color="auto"/>
              <w:bottom w:val="dotted" w:sz="4" w:space="0" w:color="auto"/>
              <w:right w:val="single" w:sz="6" w:space="0" w:color="auto"/>
            </w:tcBorders>
          </w:tcPr>
          <w:p w14:paraId="0C44F8F1" w14:textId="77777777" w:rsidR="007049A5" w:rsidRPr="004E4188" w:rsidRDefault="007049A5" w:rsidP="006C6267">
            <w:pPr>
              <w:jc w:val="left"/>
            </w:pPr>
          </w:p>
        </w:tc>
        <w:tc>
          <w:tcPr>
            <w:tcW w:w="1134" w:type="dxa"/>
            <w:tcBorders>
              <w:top w:val="single" w:sz="6" w:space="0" w:color="auto"/>
              <w:left w:val="single" w:sz="6" w:space="0" w:color="auto"/>
              <w:bottom w:val="dotted" w:sz="4" w:space="0" w:color="auto"/>
              <w:right w:val="single" w:sz="6" w:space="0" w:color="auto"/>
            </w:tcBorders>
          </w:tcPr>
          <w:p w14:paraId="4D0EEF65" w14:textId="77777777" w:rsidR="007049A5" w:rsidRPr="004E4188" w:rsidRDefault="007049A5" w:rsidP="006C6267">
            <w:pPr>
              <w:jc w:val="left"/>
            </w:pPr>
          </w:p>
        </w:tc>
        <w:tc>
          <w:tcPr>
            <w:tcW w:w="709" w:type="dxa"/>
            <w:tcBorders>
              <w:top w:val="single" w:sz="6" w:space="0" w:color="auto"/>
              <w:left w:val="single" w:sz="6" w:space="0" w:color="auto"/>
              <w:bottom w:val="dotted" w:sz="4" w:space="0" w:color="auto"/>
              <w:right w:val="single" w:sz="6" w:space="0" w:color="auto"/>
            </w:tcBorders>
          </w:tcPr>
          <w:p w14:paraId="5102D839" w14:textId="77777777" w:rsidR="007049A5" w:rsidRPr="004E4188" w:rsidRDefault="007049A5" w:rsidP="006C6267">
            <w:pPr>
              <w:jc w:val="left"/>
            </w:pPr>
          </w:p>
        </w:tc>
        <w:tc>
          <w:tcPr>
            <w:tcW w:w="992" w:type="dxa"/>
            <w:tcBorders>
              <w:top w:val="single" w:sz="6" w:space="0" w:color="auto"/>
              <w:left w:val="single" w:sz="6" w:space="0" w:color="auto"/>
              <w:bottom w:val="dotted" w:sz="4" w:space="0" w:color="auto"/>
              <w:right w:val="single" w:sz="6" w:space="0" w:color="auto"/>
            </w:tcBorders>
          </w:tcPr>
          <w:p w14:paraId="752DD713" w14:textId="77777777" w:rsidR="007049A5" w:rsidRPr="004E4188" w:rsidRDefault="007049A5" w:rsidP="006C6267">
            <w:pPr>
              <w:jc w:val="center"/>
            </w:pPr>
          </w:p>
        </w:tc>
        <w:tc>
          <w:tcPr>
            <w:tcW w:w="1145" w:type="dxa"/>
            <w:tcBorders>
              <w:top w:val="single" w:sz="6" w:space="0" w:color="auto"/>
              <w:left w:val="single" w:sz="6" w:space="0" w:color="auto"/>
              <w:bottom w:val="dotted" w:sz="4" w:space="0" w:color="auto"/>
              <w:right w:val="single" w:sz="6" w:space="0" w:color="auto"/>
            </w:tcBorders>
          </w:tcPr>
          <w:p w14:paraId="7AA0E1F8" w14:textId="77777777" w:rsidR="007049A5" w:rsidRPr="004E4188" w:rsidRDefault="007049A5" w:rsidP="006C6267">
            <w:pPr>
              <w:jc w:val="center"/>
            </w:pPr>
          </w:p>
        </w:tc>
        <w:tc>
          <w:tcPr>
            <w:tcW w:w="1123" w:type="dxa"/>
            <w:tcBorders>
              <w:top w:val="single" w:sz="6" w:space="0" w:color="auto"/>
              <w:left w:val="single" w:sz="6" w:space="0" w:color="auto"/>
              <w:bottom w:val="dotted" w:sz="4" w:space="0" w:color="auto"/>
              <w:right w:val="single" w:sz="4" w:space="0" w:color="auto"/>
            </w:tcBorders>
          </w:tcPr>
          <w:p w14:paraId="0909E0DB" w14:textId="77777777" w:rsidR="007049A5" w:rsidRPr="004E4188" w:rsidRDefault="007049A5" w:rsidP="006C6267">
            <w:pPr>
              <w:jc w:val="center"/>
            </w:pPr>
          </w:p>
        </w:tc>
        <w:tc>
          <w:tcPr>
            <w:tcW w:w="1712" w:type="dxa"/>
            <w:tcBorders>
              <w:top w:val="single" w:sz="6" w:space="0" w:color="auto"/>
              <w:left w:val="single" w:sz="4" w:space="0" w:color="auto"/>
              <w:bottom w:val="dotted" w:sz="4" w:space="0" w:color="auto"/>
              <w:right w:val="double" w:sz="6" w:space="0" w:color="auto"/>
            </w:tcBorders>
          </w:tcPr>
          <w:p w14:paraId="5B03EB7A" w14:textId="77777777" w:rsidR="007049A5" w:rsidRPr="004E4188" w:rsidRDefault="007049A5" w:rsidP="006C6267">
            <w:pPr>
              <w:jc w:val="center"/>
            </w:pPr>
          </w:p>
        </w:tc>
      </w:tr>
      <w:tr w:rsidR="007049A5" w:rsidRPr="004E4188" w14:paraId="43A1EFF6" w14:textId="77777777" w:rsidTr="00510D0A">
        <w:tc>
          <w:tcPr>
            <w:tcW w:w="707" w:type="dxa"/>
            <w:tcBorders>
              <w:top w:val="dotted" w:sz="4" w:space="0" w:color="auto"/>
              <w:left w:val="double" w:sz="6" w:space="0" w:color="auto"/>
              <w:bottom w:val="dotted" w:sz="4" w:space="0" w:color="auto"/>
              <w:right w:val="single" w:sz="6" w:space="0" w:color="auto"/>
            </w:tcBorders>
          </w:tcPr>
          <w:p w14:paraId="4659988A" w14:textId="77777777" w:rsidR="007049A5" w:rsidRPr="004E4188" w:rsidRDefault="007049A5" w:rsidP="006C6267">
            <w:pPr>
              <w:jc w:val="left"/>
            </w:pPr>
            <w:r w:rsidRPr="004E4188">
              <w:t>502</w:t>
            </w:r>
          </w:p>
        </w:tc>
        <w:tc>
          <w:tcPr>
            <w:tcW w:w="1833" w:type="dxa"/>
            <w:tcBorders>
              <w:top w:val="dotted" w:sz="4" w:space="0" w:color="auto"/>
              <w:left w:val="single" w:sz="6" w:space="0" w:color="auto"/>
              <w:bottom w:val="dotted" w:sz="4" w:space="0" w:color="auto"/>
              <w:right w:val="single" w:sz="6" w:space="0" w:color="auto"/>
            </w:tcBorders>
          </w:tcPr>
          <w:p w14:paraId="763DAE36" w14:textId="77777777" w:rsidR="007049A5" w:rsidRPr="004E4188" w:rsidRDefault="007049A5" w:rsidP="006C6267">
            <w:pPr>
              <w:jc w:val="left"/>
            </w:pPr>
          </w:p>
        </w:tc>
        <w:tc>
          <w:tcPr>
            <w:tcW w:w="1134" w:type="dxa"/>
            <w:tcBorders>
              <w:top w:val="dotted" w:sz="4" w:space="0" w:color="auto"/>
              <w:left w:val="single" w:sz="6" w:space="0" w:color="auto"/>
              <w:bottom w:val="dotted" w:sz="4" w:space="0" w:color="auto"/>
              <w:right w:val="single" w:sz="6" w:space="0" w:color="auto"/>
            </w:tcBorders>
          </w:tcPr>
          <w:p w14:paraId="375143C8" w14:textId="77777777" w:rsidR="007049A5" w:rsidRPr="004E4188" w:rsidRDefault="007049A5" w:rsidP="006C6267">
            <w:pPr>
              <w:jc w:val="left"/>
            </w:pPr>
          </w:p>
        </w:tc>
        <w:tc>
          <w:tcPr>
            <w:tcW w:w="709" w:type="dxa"/>
            <w:tcBorders>
              <w:top w:val="dotted" w:sz="4" w:space="0" w:color="auto"/>
              <w:left w:val="single" w:sz="6" w:space="0" w:color="auto"/>
              <w:bottom w:val="dotted" w:sz="4" w:space="0" w:color="auto"/>
              <w:right w:val="single" w:sz="6" w:space="0" w:color="auto"/>
            </w:tcBorders>
          </w:tcPr>
          <w:p w14:paraId="43A2145E" w14:textId="77777777" w:rsidR="007049A5" w:rsidRPr="004E4188" w:rsidRDefault="007049A5" w:rsidP="006C6267">
            <w:pPr>
              <w:jc w:val="left"/>
            </w:pPr>
          </w:p>
        </w:tc>
        <w:tc>
          <w:tcPr>
            <w:tcW w:w="992" w:type="dxa"/>
            <w:tcBorders>
              <w:top w:val="dotted" w:sz="4" w:space="0" w:color="auto"/>
              <w:left w:val="single" w:sz="6" w:space="0" w:color="auto"/>
              <w:bottom w:val="dotted" w:sz="4" w:space="0" w:color="auto"/>
              <w:right w:val="single" w:sz="6" w:space="0" w:color="auto"/>
            </w:tcBorders>
          </w:tcPr>
          <w:p w14:paraId="3BF42347" w14:textId="77777777" w:rsidR="007049A5" w:rsidRPr="004E4188" w:rsidRDefault="007049A5" w:rsidP="006C6267">
            <w:pPr>
              <w:jc w:val="center"/>
            </w:pPr>
          </w:p>
        </w:tc>
        <w:tc>
          <w:tcPr>
            <w:tcW w:w="1145" w:type="dxa"/>
            <w:tcBorders>
              <w:top w:val="dotted" w:sz="4" w:space="0" w:color="auto"/>
              <w:left w:val="single" w:sz="6" w:space="0" w:color="auto"/>
              <w:bottom w:val="dotted" w:sz="4" w:space="0" w:color="auto"/>
              <w:right w:val="single" w:sz="6" w:space="0" w:color="auto"/>
            </w:tcBorders>
          </w:tcPr>
          <w:p w14:paraId="1FFA3F6D" w14:textId="77777777" w:rsidR="007049A5" w:rsidRPr="004E4188" w:rsidRDefault="007049A5" w:rsidP="006C6267">
            <w:pPr>
              <w:jc w:val="center"/>
            </w:pPr>
          </w:p>
        </w:tc>
        <w:tc>
          <w:tcPr>
            <w:tcW w:w="1123" w:type="dxa"/>
            <w:tcBorders>
              <w:top w:val="dotted" w:sz="4" w:space="0" w:color="auto"/>
              <w:left w:val="single" w:sz="6" w:space="0" w:color="auto"/>
              <w:bottom w:val="dotted" w:sz="4" w:space="0" w:color="auto"/>
              <w:right w:val="single" w:sz="4" w:space="0" w:color="auto"/>
            </w:tcBorders>
          </w:tcPr>
          <w:p w14:paraId="5E5FE9E6" w14:textId="77777777" w:rsidR="007049A5" w:rsidRPr="004E4188" w:rsidRDefault="007049A5" w:rsidP="006C6267">
            <w:pPr>
              <w:jc w:val="center"/>
            </w:pPr>
          </w:p>
        </w:tc>
        <w:tc>
          <w:tcPr>
            <w:tcW w:w="1712" w:type="dxa"/>
            <w:tcBorders>
              <w:top w:val="dotted" w:sz="4" w:space="0" w:color="auto"/>
              <w:left w:val="single" w:sz="4" w:space="0" w:color="auto"/>
              <w:bottom w:val="dotted" w:sz="4" w:space="0" w:color="auto"/>
              <w:right w:val="double" w:sz="6" w:space="0" w:color="auto"/>
            </w:tcBorders>
          </w:tcPr>
          <w:p w14:paraId="209D0A54" w14:textId="77777777" w:rsidR="007049A5" w:rsidRPr="004E4188" w:rsidRDefault="007049A5" w:rsidP="006C6267">
            <w:pPr>
              <w:jc w:val="center"/>
            </w:pPr>
          </w:p>
        </w:tc>
      </w:tr>
      <w:tr w:rsidR="007049A5" w:rsidRPr="004E4188" w14:paraId="7538B4E5" w14:textId="77777777" w:rsidTr="00510D0A">
        <w:tc>
          <w:tcPr>
            <w:tcW w:w="707" w:type="dxa"/>
            <w:tcBorders>
              <w:top w:val="dotted" w:sz="4" w:space="0" w:color="auto"/>
              <w:left w:val="double" w:sz="6" w:space="0" w:color="auto"/>
              <w:bottom w:val="dotted" w:sz="4" w:space="0" w:color="auto"/>
              <w:right w:val="single" w:sz="6" w:space="0" w:color="auto"/>
            </w:tcBorders>
          </w:tcPr>
          <w:p w14:paraId="367F9A18" w14:textId="77777777" w:rsidR="007049A5" w:rsidRPr="004E4188" w:rsidRDefault="007049A5" w:rsidP="006C6267">
            <w:pPr>
              <w:jc w:val="left"/>
            </w:pPr>
            <w:r w:rsidRPr="004E4188">
              <w:t>503</w:t>
            </w:r>
          </w:p>
        </w:tc>
        <w:tc>
          <w:tcPr>
            <w:tcW w:w="1833" w:type="dxa"/>
            <w:tcBorders>
              <w:top w:val="dotted" w:sz="4" w:space="0" w:color="auto"/>
              <w:left w:val="single" w:sz="6" w:space="0" w:color="auto"/>
              <w:bottom w:val="dotted" w:sz="4" w:space="0" w:color="auto"/>
              <w:right w:val="single" w:sz="6" w:space="0" w:color="auto"/>
            </w:tcBorders>
          </w:tcPr>
          <w:p w14:paraId="58474982" w14:textId="77777777" w:rsidR="007049A5" w:rsidRPr="004E4188" w:rsidRDefault="007049A5" w:rsidP="006C6267">
            <w:pPr>
              <w:jc w:val="left"/>
            </w:pPr>
          </w:p>
        </w:tc>
        <w:tc>
          <w:tcPr>
            <w:tcW w:w="1134" w:type="dxa"/>
            <w:tcBorders>
              <w:top w:val="dotted" w:sz="4" w:space="0" w:color="auto"/>
              <w:left w:val="single" w:sz="6" w:space="0" w:color="auto"/>
              <w:bottom w:val="dotted" w:sz="4" w:space="0" w:color="auto"/>
              <w:right w:val="single" w:sz="6" w:space="0" w:color="auto"/>
            </w:tcBorders>
          </w:tcPr>
          <w:p w14:paraId="41DBE24F" w14:textId="77777777" w:rsidR="007049A5" w:rsidRPr="004E4188" w:rsidRDefault="007049A5" w:rsidP="006C6267">
            <w:pPr>
              <w:jc w:val="left"/>
            </w:pPr>
          </w:p>
        </w:tc>
        <w:tc>
          <w:tcPr>
            <w:tcW w:w="709" w:type="dxa"/>
            <w:tcBorders>
              <w:top w:val="dotted" w:sz="4" w:space="0" w:color="auto"/>
              <w:left w:val="single" w:sz="6" w:space="0" w:color="auto"/>
              <w:bottom w:val="dotted" w:sz="4" w:space="0" w:color="auto"/>
              <w:right w:val="single" w:sz="6" w:space="0" w:color="auto"/>
            </w:tcBorders>
          </w:tcPr>
          <w:p w14:paraId="2B85C1A0" w14:textId="77777777" w:rsidR="007049A5" w:rsidRPr="004E4188" w:rsidRDefault="007049A5" w:rsidP="006C6267">
            <w:pPr>
              <w:jc w:val="left"/>
            </w:pPr>
          </w:p>
        </w:tc>
        <w:tc>
          <w:tcPr>
            <w:tcW w:w="992" w:type="dxa"/>
            <w:tcBorders>
              <w:top w:val="dotted" w:sz="4" w:space="0" w:color="auto"/>
              <w:left w:val="single" w:sz="6" w:space="0" w:color="auto"/>
              <w:bottom w:val="dotted" w:sz="4" w:space="0" w:color="auto"/>
              <w:right w:val="single" w:sz="6" w:space="0" w:color="auto"/>
            </w:tcBorders>
          </w:tcPr>
          <w:p w14:paraId="4561D132" w14:textId="77777777" w:rsidR="007049A5" w:rsidRPr="004E4188" w:rsidRDefault="007049A5" w:rsidP="006C6267">
            <w:pPr>
              <w:jc w:val="center"/>
            </w:pPr>
          </w:p>
        </w:tc>
        <w:tc>
          <w:tcPr>
            <w:tcW w:w="1145" w:type="dxa"/>
            <w:tcBorders>
              <w:top w:val="dotted" w:sz="4" w:space="0" w:color="auto"/>
              <w:left w:val="single" w:sz="6" w:space="0" w:color="auto"/>
              <w:bottom w:val="dotted" w:sz="4" w:space="0" w:color="auto"/>
              <w:right w:val="single" w:sz="6" w:space="0" w:color="auto"/>
            </w:tcBorders>
          </w:tcPr>
          <w:p w14:paraId="54A33C3C" w14:textId="77777777" w:rsidR="007049A5" w:rsidRPr="004E4188" w:rsidRDefault="007049A5" w:rsidP="006C6267">
            <w:pPr>
              <w:jc w:val="center"/>
            </w:pPr>
          </w:p>
        </w:tc>
        <w:tc>
          <w:tcPr>
            <w:tcW w:w="1123" w:type="dxa"/>
            <w:tcBorders>
              <w:top w:val="dotted" w:sz="4" w:space="0" w:color="auto"/>
              <w:left w:val="single" w:sz="6" w:space="0" w:color="auto"/>
              <w:bottom w:val="dotted" w:sz="4" w:space="0" w:color="auto"/>
              <w:right w:val="single" w:sz="4" w:space="0" w:color="auto"/>
            </w:tcBorders>
          </w:tcPr>
          <w:p w14:paraId="154AB82B" w14:textId="77777777" w:rsidR="007049A5" w:rsidRPr="004E4188" w:rsidRDefault="007049A5" w:rsidP="006C6267">
            <w:pPr>
              <w:jc w:val="center"/>
            </w:pPr>
          </w:p>
        </w:tc>
        <w:tc>
          <w:tcPr>
            <w:tcW w:w="1712" w:type="dxa"/>
            <w:tcBorders>
              <w:top w:val="dotted" w:sz="4" w:space="0" w:color="auto"/>
              <w:left w:val="single" w:sz="4" w:space="0" w:color="auto"/>
              <w:bottom w:val="dotted" w:sz="4" w:space="0" w:color="auto"/>
              <w:right w:val="double" w:sz="6" w:space="0" w:color="auto"/>
            </w:tcBorders>
          </w:tcPr>
          <w:p w14:paraId="6E881273" w14:textId="77777777" w:rsidR="007049A5" w:rsidRPr="004E4188" w:rsidRDefault="007049A5" w:rsidP="006C6267">
            <w:pPr>
              <w:jc w:val="center"/>
            </w:pPr>
          </w:p>
        </w:tc>
      </w:tr>
      <w:tr w:rsidR="007049A5" w:rsidRPr="004E4188" w14:paraId="6D4B1006" w14:textId="77777777" w:rsidTr="00510D0A">
        <w:tc>
          <w:tcPr>
            <w:tcW w:w="707" w:type="dxa"/>
            <w:tcBorders>
              <w:top w:val="dotted" w:sz="4" w:space="0" w:color="auto"/>
              <w:left w:val="double" w:sz="6" w:space="0" w:color="auto"/>
              <w:bottom w:val="dotted" w:sz="4" w:space="0" w:color="auto"/>
              <w:right w:val="single" w:sz="6" w:space="0" w:color="auto"/>
            </w:tcBorders>
          </w:tcPr>
          <w:p w14:paraId="1B809D6B" w14:textId="77777777" w:rsidR="007049A5" w:rsidRPr="004E4188" w:rsidRDefault="007049A5" w:rsidP="006C6267">
            <w:pPr>
              <w:jc w:val="left"/>
            </w:pPr>
            <w:r w:rsidRPr="004E4188">
              <w:t>504</w:t>
            </w:r>
          </w:p>
        </w:tc>
        <w:tc>
          <w:tcPr>
            <w:tcW w:w="1833" w:type="dxa"/>
            <w:tcBorders>
              <w:top w:val="dotted" w:sz="4" w:space="0" w:color="auto"/>
              <w:left w:val="single" w:sz="6" w:space="0" w:color="auto"/>
              <w:bottom w:val="dotted" w:sz="4" w:space="0" w:color="auto"/>
              <w:right w:val="single" w:sz="6" w:space="0" w:color="auto"/>
            </w:tcBorders>
          </w:tcPr>
          <w:p w14:paraId="3023DED3" w14:textId="77777777" w:rsidR="007049A5" w:rsidRPr="004E4188" w:rsidRDefault="007049A5" w:rsidP="006C6267">
            <w:pPr>
              <w:jc w:val="left"/>
            </w:pPr>
          </w:p>
        </w:tc>
        <w:tc>
          <w:tcPr>
            <w:tcW w:w="1134" w:type="dxa"/>
            <w:tcBorders>
              <w:top w:val="dotted" w:sz="4" w:space="0" w:color="auto"/>
              <w:left w:val="single" w:sz="6" w:space="0" w:color="auto"/>
              <w:bottom w:val="dotted" w:sz="4" w:space="0" w:color="auto"/>
              <w:right w:val="single" w:sz="6" w:space="0" w:color="auto"/>
            </w:tcBorders>
          </w:tcPr>
          <w:p w14:paraId="6B280D08" w14:textId="77777777" w:rsidR="007049A5" w:rsidRPr="004E4188" w:rsidRDefault="007049A5" w:rsidP="006C6267">
            <w:pPr>
              <w:jc w:val="left"/>
            </w:pPr>
          </w:p>
        </w:tc>
        <w:tc>
          <w:tcPr>
            <w:tcW w:w="709" w:type="dxa"/>
            <w:tcBorders>
              <w:top w:val="dotted" w:sz="4" w:space="0" w:color="auto"/>
              <w:left w:val="single" w:sz="6" w:space="0" w:color="auto"/>
              <w:bottom w:val="dotted" w:sz="4" w:space="0" w:color="auto"/>
              <w:right w:val="single" w:sz="6" w:space="0" w:color="auto"/>
            </w:tcBorders>
          </w:tcPr>
          <w:p w14:paraId="7A88D793" w14:textId="77777777" w:rsidR="007049A5" w:rsidRPr="004E4188" w:rsidRDefault="007049A5" w:rsidP="006C6267">
            <w:pPr>
              <w:jc w:val="left"/>
            </w:pPr>
          </w:p>
        </w:tc>
        <w:tc>
          <w:tcPr>
            <w:tcW w:w="992" w:type="dxa"/>
            <w:tcBorders>
              <w:top w:val="dotted" w:sz="4" w:space="0" w:color="auto"/>
              <w:left w:val="single" w:sz="6" w:space="0" w:color="auto"/>
              <w:bottom w:val="dotted" w:sz="4" w:space="0" w:color="auto"/>
              <w:right w:val="single" w:sz="6" w:space="0" w:color="auto"/>
            </w:tcBorders>
          </w:tcPr>
          <w:p w14:paraId="6EC3235A" w14:textId="77777777" w:rsidR="007049A5" w:rsidRPr="004E4188" w:rsidRDefault="007049A5" w:rsidP="006C6267">
            <w:pPr>
              <w:jc w:val="center"/>
            </w:pPr>
          </w:p>
        </w:tc>
        <w:tc>
          <w:tcPr>
            <w:tcW w:w="1145" w:type="dxa"/>
            <w:tcBorders>
              <w:top w:val="dotted" w:sz="4" w:space="0" w:color="auto"/>
              <w:left w:val="single" w:sz="6" w:space="0" w:color="auto"/>
              <w:bottom w:val="dotted" w:sz="4" w:space="0" w:color="auto"/>
              <w:right w:val="single" w:sz="6" w:space="0" w:color="auto"/>
            </w:tcBorders>
          </w:tcPr>
          <w:p w14:paraId="4F3024C3" w14:textId="77777777" w:rsidR="007049A5" w:rsidRPr="004E4188" w:rsidRDefault="007049A5" w:rsidP="006C6267">
            <w:pPr>
              <w:jc w:val="center"/>
            </w:pPr>
          </w:p>
        </w:tc>
        <w:tc>
          <w:tcPr>
            <w:tcW w:w="1123" w:type="dxa"/>
            <w:tcBorders>
              <w:top w:val="dotted" w:sz="4" w:space="0" w:color="auto"/>
              <w:left w:val="single" w:sz="6" w:space="0" w:color="auto"/>
              <w:bottom w:val="dotted" w:sz="4" w:space="0" w:color="auto"/>
              <w:right w:val="single" w:sz="4" w:space="0" w:color="auto"/>
            </w:tcBorders>
          </w:tcPr>
          <w:p w14:paraId="04FF2A6E" w14:textId="77777777" w:rsidR="007049A5" w:rsidRPr="004E4188" w:rsidRDefault="007049A5" w:rsidP="006C6267">
            <w:pPr>
              <w:jc w:val="center"/>
            </w:pPr>
          </w:p>
        </w:tc>
        <w:tc>
          <w:tcPr>
            <w:tcW w:w="1712" w:type="dxa"/>
            <w:tcBorders>
              <w:top w:val="dotted" w:sz="4" w:space="0" w:color="auto"/>
              <w:left w:val="single" w:sz="4" w:space="0" w:color="auto"/>
              <w:bottom w:val="dotted" w:sz="4" w:space="0" w:color="auto"/>
              <w:right w:val="double" w:sz="6" w:space="0" w:color="auto"/>
            </w:tcBorders>
          </w:tcPr>
          <w:p w14:paraId="4C0B6C6B" w14:textId="77777777" w:rsidR="007049A5" w:rsidRPr="004E4188" w:rsidRDefault="007049A5" w:rsidP="006C6267">
            <w:pPr>
              <w:jc w:val="center"/>
            </w:pPr>
          </w:p>
        </w:tc>
      </w:tr>
      <w:tr w:rsidR="007049A5" w:rsidRPr="004E4188" w14:paraId="30879F1A" w14:textId="77777777" w:rsidTr="00510D0A">
        <w:tc>
          <w:tcPr>
            <w:tcW w:w="707" w:type="dxa"/>
            <w:tcBorders>
              <w:top w:val="dotted" w:sz="4" w:space="0" w:color="auto"/>
              <w:left w:val="double" w:sz="6" w:space="0" w:color="auto"/>
              <w:bottom w:val="dotted" w:sz="4" w:space="0" w:color="auto"/>
              <w:right w:val="single" w:sz="6" w:space="0" w:color="auto"/>
            </w:tcBorders>
          </w:tcPr>
          <w:p w14:paraId="73B29722" w14:textId="77777777" w:rsidR="007049A5" w:rsidRPr="004E4188" w:rsidRDefault="007049A5" w:rsidP="006C6267">
            <w:pPr>
              <w:jc w:val="left"/>
            </w:pPr>
            <w:r w:rsidRPr="004E4188">
              <w:t>505</w:t>
            </w:r>
          </w:p>
        </w:tc>
        <w:tc>
          <w:tcPr>
            <w:tcW w:w="1833" w:type="dxa"/>
            <w:tcBorders>
              <w:top w:val="dotted" w:sz="4" w:space="0" w:color="auto"/>
              <w:left w:val="single" w:sz="6" w:space="0" w:color="auto"/>
              <w:bottom w:val="dotted" w:sz="4" w:space="0" w:color="auto"/>
              <w:right w:val="single" w:sz="6" w:space="0" w:color="auto"/>
            </w:tcBorders>
          </w:tcPr>
          <w:p w14:paraId="255CF55B" w14:textId="77777777" w:rsidR="007049A5" w:rsidRPr="004E4188" w:rsidRDefault="007049A5" w:rsidP="006C6267">
            <w:pPr>
              <w:jc w:val="left"/>
            </w:pPr>
          </w:p>
        </w:tc>
        <w:tc>
          <w:tcPr>
            <w:tcW w:w="1134" w:type="dxa"/>
            <w:tcBorders>
              <w:top w:val="dotted" w:sz="4" w:space="0" w:color="auto"/>
              <w:left w:val="single" w:sz="6" w:space="0" w:color="auto"/>
              <w:bottom w:val="dotted" w:sz="4" w:space="0" w:color="auto"/>
              <w:right w:val="single" w:sz="6" w:space="0" w:color="auto"/>
            </w:tcBorders>
          </w:tcPr>
          <w:p w14:paraId="7A3D5D3A" w14:textId="77777777" w:rsidR="007049A5" w:rsidRPr="004E4188" w:rsidRDefault="007049A5" w:rsidP="006C6267">
            <w:pPr>
              <w:jc w:val="left"/>
            </w:pPr>
          </w:p>
        </w:tc>
        <w:tc>
          <w:tcPr>
            <w:tcW w:w="709" w:type="dxa"/>
            <w:tcBorders>
              <w:top w:val="dotted" w:sz="4" w:space="0" w:color="auto"/>
              <w:left w:val="single" w:sz="6" w:space="0" w:color="auto"/>
              <w:bottom w:val="dotted" w:sz="4" w:space="0" w:color="auto"/>
              <w:right w:val="single" w:sz="6" w:space="0" w:color="auto"/>
            </w:tcBorders>
          </w:tcPr>
          <w:p w14:paraId="1F2E6A9D" w14:textId="77777777" w:rsidR="007049A5" w:rsidRPr="004E4188" w:rsidRDefault="007049A5" w:rsidP="006C6267">
            <w:pPr>
              <w:jc w:val="left"/>
            </w:pPr>
          </w:p>
        </w:tc>
        <w:tc>
          <w:tcPr>
            <w:tcW w:w="992" w:type="dxa"/>
            <w:tcBorders>
              <w:top w:val="dotted" w:sz="4" w:space="0" w:color="auto"/>
              <w:left w:val="single" w:sz="6" w:space="0" w:color="auto"/>
              <w:bottom w:val="dotted" w:sz="4" w:space="0" w:color="auto"/>
              <w:right w:val="single" w:sz="6" w:space="0" w:color="auto"/>
            </w:tcBorders>
          </w:tcPr>
          <w:p w14:paraId="52BCDC48" w14:textId="77777777" w:rsidR="007049A5" w:rsidRPr="004E4188" w:rsidRDefault="007049A5" w:rsidP="006C6267">
            <w:pPr>
              <w:jc w:val="center"/>
              <w:rPr>
                <w:lang w:eastAsia="ja-JP"/>
              </w:rPr>
            </w:pPr>
          </w:p>
        </w:tc>
        <w:tc>
          <w:tcPr>
            <w:tcW w:w="1145" w:type="dxa"/>
            <w:tcBorders>
              <w:top w:val="dotted" w:sz="4" w:space="0" w:color="auto"/>
              <w:left w:val="single" w:sz="6" w:space="0" w:color="auto"/>
              <w:bottom w:val="dotted" w:sz="4" w:space="0" w:color="auto"/>
              <w:right w:val="single" w:sz="6" w:space="0" w:color="auto"/>
            </w:tcBorders>
          </w:tcPr>
          <w:p w14:paraId="325B886E" w14:textId="77777777" w:rsidR="007049A5" w:rsidRPr="004E4188" w:rsidRDefault="007049A5" w:rsidP="006C6267">
            <w:pPr>
              <w:jc w:val="center"/>
            </w:pPr>
          </w:p>
        </w:tc>
        <w:tc>
          <w:tcPr>
            <w:tcW w:w="1123" w:type="dxa"/>
            <w:tcBorders>
              <w:top w:val="dotted" w:sz="4" w:space="0" w:color="auto"/>
              <w:left w:val="single" w:sz="6" w:space="0" w:color="auto"/>
              <w:bottom w:val="dotted" w:sz="4" w:space="0" w:color="auto"/>
              <w:right w:val="single" w:sz="4" w:space="0" w:color="auto"/>
            </w:tcBorders>
          </w:tcPr>
          <w:p w14:paraId="7C8DA85E" w14:textId="77777777" w:rsidR="007049A5" w:rsidRPr="004E4188" w:rsidRDefault="007049A5" w:rsidP="006C6267">
            <w:pPr>
              <w:jc w:val="center"/>
            </w:pPr>
          </w:p>
        </w:tc>
        <w:tc>
          <w:tcPr>
            <w:tcW w:w="1712" w:type="dxa"/>
            <w:tcBorders>
              <w:top w:val="dotted" w:sz="4" w:space="0" w:color="auto"/>
              <w:left w:val="single" w:sz="4" w:space="0" w:color="auto"/>
              <w:bottom w:val="dotted" w:sz="4" w:space="0" w:color="auto"/>
              <w:right w:val="double" w:sz="6" w:space="0" w:color="auto"/>
            </w:tcBorders>
          </w:tcPr>
          <w:p w14:paraId="61811821" w14:textId="77777777" w:rsidR="007049A5" w:rsidRPr="004E4188" w:rsidRDefault="007049A5" w:rsidP="006C6267">
            <w:pPr>
              <w:jc w:val="center"/>
            </w:pPr>
          </w:p>
        </w:tc>
      </w:tr>
      <w:tr w:rsidR="007049A5" w:rsidRPr="004E4188" w14:paraId="1A25378E" w14:textId="77777777" w:rsidTr="00510D0A">
        <w:tc>
          <w:tcPr>
            <w:tcW w:w="707" w:type="dxa"/>
            <w:tcBorders>
              <w:top w:val="dotted" w:sz="4" w:space="0" w:color="auto"/>
              <w:left w:val="double" w:sz="6" w:space="0" w:color="auto"/>
              <w:bottom w:val="single" w:sz="4" w:space="0" w:color="auto"/>
              <w:right w:val="single" w:sz="4" w:space="0" w:color="auto"/>
            </w:tcBorders>
          </w:tcPr>
          <w:p w14:paraId="5DEF7E9D" w14:textId="77777777" w:rsidR="007049A5" w:rsidRPr="004E4188" w:rsidRDefault="007049A5" w:rsidP="006C6267">
            <w:pPr>
              <w:jc w:val="left"/>
            </w:pPr>
          </w:p>
        </w:tc>
        <w:tc>
          <w:tcPr>
            <w:tcW w:w="1833" w:type="dxa"/>
            <w:tcBorders>
              <w:top w:val="dotted" w:sz="4" w:space="0" w:color="auto"/>
              <w:left w:val="single" w:sz="4" w:space="0" w:color="auto"/>
              <w:bottom w:val="single" w:sz="4" w:space="0" w:color="auto"/>
              <w:right w:val="single" w:sz="4" w:space="0" w:color="auto"/>
            </w:tcBorders>
          </w:tcPr>
          <w:p w14:paraId="47D92287" w14:textId="77777777" w:rsidR="007049A5" w:rsidRPr="004E4188" w:rsidRDefault="007049A5" w:rsidP="006C6267">
            <w:pPr>
              <w:jc w:val="left"/>
            </w:pPr>
          </w:p>
        </w:tc>
        <w:tc>
          <w:tcPr>
            <w:tcW w:w="1134" w:type="dxa"/>
            <w:tcBorders>
              <w:top w:val="dotted" w:sz="4" w:space="0" w:color="auto"/>
              <w:left w:val="single" w:sz="4" w:space="0" w:color="auto"/>
              <w:bottom w:val="single" w:sz="4" w:space="0" w:color="auto"/>
              <w:right w:val="single" w:sz="4" w:space="0" w:color="auto"/>
            </w:tcBorders>
          </w:tcPr>
          <w:p w14:paraId="700E788C" w14:textId="77777777" w:rsidR="007049A5" w:rsidRPr="004E4188" w:rsidRDefault="007049A5" w:rsidP="006C6267">
            <w:pPr>
              <w:jc w:val="left"/>
            </w:pPr>
          </w:p>
        </w:tc>
        <w:tc>
          <w:tcPr>
            <w:tcW w:w="709" w:type="dxa"/>
            <w:tcBorders>
              <w:top w:val="dotted" w:sz="4" w:space="0" w:color="auto"/>
              <w:left w:val="single" w:sz="4" w:space="0" w:color="auto"/>
              <w:bottom w:val="single" w:sz="4" w:space="0" w:color="auto"/>
              <w:right w:val="single" w:sz="4" w:space="0" w:color="auto"/>
            </w:tcBorders>
          </w:tcPr>
          <w:p w14:paraId="76337516" w14:textId="77777777" w:rsidR="007049A5" w:rsidRPr="004E4188" w:rsidRDefault="007049A5" w:rsidP="006C6267">
            <w:pPr>
              <w:jc w:val="left"/>
            </w:pPr>
          </w:p>
        </w:tc>
        <w:tc>
          <w:tcPr>
            <w:tcW w:w="992" w:type="dxa"/>
            <w:tcBorders>
              <w:top w:val="dotted" w:sz="4" w:space="0" w:color="auto"/>
              <w:left w:val="single" w:sz="4" w:space="0" w:color="auto"/>
              <w:bottom w:val="single" w:sz="4" w:space="0" w:color="auto"/>
              <w:right w:val="single" w:sz="4" w:space="0" w:color="auto"/>
            </w:tcBorders>
          </w:tcPr>
          <w:p w14:paraId="2F1FD24A" w14:textId="77777777" w:rsidR="007049A5" w:rsidRPr="004E4188" w:rsidRDefault="007049A5" w:rsidP="006C6267">
            <w:pPr>
              <w:jc w:val="center"/>
            </w:pPr>
          </w:p>
        </w:tc>
        <w:tc>
          <w:tcPr>
            <w:tcW w:w="1145" w:type="dxa"/>
            <w:tcBorders>
              <w:top w:val="dotted" w:sz="4" w:space="0" w:color="auto"/>
              <w:left w:val="single" w:sz="4" w:space="0" w:color="auto"/>
              <w:bottom w:val="single" w:sz="4" w:space="0" w:color="auto"/>
              <w:right w:val="single" w:sz="4" w:space="0" w:color="auto"/>
            </w:tcBorders>
          </w:tcPr>
          <w:p w14:paraId="72D3401D" w14:textId="77777777" w:rsidR="007049A5" w:rsidRPr="004E4188" w:rsidRDefault="007049A5" w:rsidP="006C6267">
            <w:pPr>
              <w:jc w:val="center"/>
            </w:pPr>
          </w:p>
        </w:tc>
        <w:tc>
          <w:tcPr>
            <w:tcW w:w="1123" w:type="dxa"/>
            <w:tcBorders>
              <w:top w:val="dotted" w:sz="4" w:space="0" w:color="auto"/>
              <w:left w:val="single" w:sz="4" w:space="0" w:color="auto"/>
              <w:bottom w:val="single" w:sz="4" w:space="0" w:color="auto"/>
              <w:right w:val="single" w:sz="4" w:space="0" w:color="auto"/>
            </w:tcBorders>
          </w:tcPr>
          <w:p w14:paraId="2D4F9392" w14:textId="77777777" w:rsidR="007049A5" w:rsidRPr="004E4188" w:rsidRDefault="007049A5" w:rsidP="006C6267">
            <w:pPr>
              <w:jc w:val="center"/>
            </w:pPr>
          </w:p>
        </w:tc>
        <w:tc>
          <w:tcPr>
            <w:tcW w:w="1712" w:type="dxa"/>
            <w:tcBorders>
              <w:top w:val="dotted" w:sz="4" w:space="0" w:color="auto"/>
              <w:left w:val="single" w:sz="4" w:space="0" w:color="auto"/>
              <w:bottom w:val="single" w:sz="4" w:space="0" w:color="auto"/>
              <w:right w:val="double" w:sz="6" w:space="0" w:color="auto"/>
            </w:tcBorders>
          </w:tcPr>
          <w:p w14:paraId="60DD0567" w14:textId="77777777" w:rsidR="007049A5" w:rsidRPr="004E4188" w:rsidRDefault="007049A5" w:rsidP="006C6267">
            <w:pPr>
              <w:jc w:val="center"/>
            </w:pPr>
          </w:p>
        </w:tc>
      </w:tr>
      <w:tr w:rsidR="007049A5" w:rsidRPr="004E4188" w14:paraId="1F183DDC" w14:textId="77777777" w:rsidTr="00510D0A">
        <w:tc>
          <w:tcPr>
            <w:tcW w:w="7643" w:type="dxa"/>
            <w:gridSpan w:val="7"/>
            <w:tcBorders>
              <w:top w:val="single" w:sz="4" w:space="0" w:color="auto"/>
              <w:left w:val="double" w:sz="6" w:space="0" w:color="auto"/>
              <w:bottom w:val="double" w:sz="6" w:space="0" w:color="auto"/>
              <w:right w:val="single" w:sz="4" w:space="0" w:color="auto"/>
            </w:tcBorders>
          </w:tcPr>
          <w:p w14:paraId="20D11516" w14:textId="2F60FFFA" w:rsidR="007049A5" w:rsidRPr="004E4188" w:rsidRDefault="007049A5" w:rsidP="006C6267">
            <w:pPr>
              <w:wordWrap w:val="0"/>
              <w:jc w:val="right"/>
              <w:rPr>
                <w:lang w:eastAsia="ja-JP"/>
              </w:rPr>
            </w:pPr>
            <w:r w:rsidRPr="004E4188">
              <w:rPr>
                <w:sz w:val="22"/>
              </w:rPr>
              <w:t>Total du</w:t>
            </w:r>
            <w:r w:rsidRPr="004E4188">
              <w:rPr>
                <w:sz w:val="22"/>
                <w:lang w:eastAsia="ja-JP"/>
              </w:rPr>
              <w:t xml:space="preserve"> </w:t>
            </w:r>
            <w:r w:rsidRPr="004E4188">
              <w:rPr>
                <w:sz w:val="22"/>
              </w:rPr>
              <w:t>Bordereau n°</w:t>
            </w:r>
            <w:r w:rsidRPr="004E4188">
              <w:t xml:space="preserve"> </w:t>
            </w:r>
            <w:r w:rsidRPr="004E4188">
              <w:rPr>
                <w:lang w:eastAsia="ja-JP"/>
              </w:rPr>
              <w:t>5-1</w:t>
            </w:r>
          </w:p>
          <w:p w14:paraId="10229FF2" w14:textId="77777777" w:rsidR="007049A5" w:rsidRPr="004E4188" w:rsidRDefault="007049A5" w:rsidP="006C6267">
            <w:pPr>
              <w:jc w:val="right"/>
              <w:rPr>
                <w:lang w:eastAsia="ja-JP"/>
              </w:rPr>
            </w:pPr>
            <w:r w:rsidRPr="004E4188">
              <w:rPr>
                <w:sz w:val="22"/>
              </w:rPr>
              <w:t>(à reprendre dans le tableau récapitulatif,</w:t>
            </w:r>
            <w:r w:rsidRPr="004E4188">
              <w:t xml:space="preserve"> p. </w:t>
            </w:r>
            <w:r w:rsidRPr="004E4188">
              <w:rPr>
                <w:u w:val="single"/>
              </w:rPr>
              <w:tab/>
            </w:r>
            <w:r w:rsidRPr="004E4188">
              <w:t>)</w:t>
            </w:r>
          </w:p>
        </w:tc>
        <w:tc>
          <w:tcPr>
            <w:tcW w:w="1712" w:type="dxa"/>
            <w:tcBorders>
              <w:top w:val="single" w:sz="4" w:space="0" w:color="auto"/>
              <w:left w:val="single" w:sz="4" w:space="0" w:color="auto"/>
              <w:bottom w:val="double" w:sz="6" w:space="0" w:color="auto"/>
              <w:right w:val="double" w:sz="6" w:space="0" w:color="auto"/>
            </w:tcBorders>
          </w:tcPr>
          <w:p w14:paraId="1B5ECE2C" w14:textId="77777777" w:rsidR="007049A5" w:rsidRPr="004E4188" w:rsidRDefault="007049A5" w:rsidP="006C6267">
            <w:pPr>
              <w:jc w:val="center"/>
              <w:rPr>
                <w:lang w:eastAsia="ja-JP"/>
              </w:rPr>
            </w:pPr>
          </w:p>
        </w:tc>
      </w:tr>
    </w:tbl>
    <w:p w14:paraId="0009EC87" w14:textId="77777777" w:rsidR="007049A5" w:rsidRPr="004E4188" w:rsidRDefault="007049A5" w:rsidP="006C6267">
      <w:pPr>
        <w:rPr>
          <w:i/>
        </w:rPr>
      </w:pPr>
    </w:p>
    <w:p w14:paraId="17C3B516" w14:textId="77777777" w:rsidR="007049A5" w:rsidRPr="004E4188" w:rsidRDefault="007049A5" w:rsidP="006C6267">
      <w:pPr>
        <w:rPr>
          <w:i/>
          <w:lang w:val="en-US"/>
        </w:rPr>
      </w:pPr>
      <w:r w:rsidRPr="004E4188">
        <w:rPr>
          <w:i/>
          <w:szCs w:val="24"/>
        </w:rPr>
        <w:t>É</w:t>
      </w:r>
      <w:r w:rsidRPr="004E4188">
        <w:rPr>
          <w:i/>
          <w:szCs w:val="24"/>
          <w:lang w:eastAsia="en-US"/>
        </w:rPr>
        <w:t>quipements d’origine</w:t>
      </w:r>
      <w:r w:rsidRPr="004E4188">
        <w:rPr>
          <w:i/>
          <w:noProof/>
          <w:lang w:eastAsia="en-US"/>
        </w:rPr>
        <w:t xml:space="preserve"> locale</w:t>
      </w:r>
    </w:p>
    <w:tbl>
      <w:tblPr>
        <w:tblW w:w="9360" w:type="dxa"/>
        <w:tblInd w:w="115" w:type="dxa"/>
        <w:tblLayout w:type="fixed"/>
        <w:tblLook w:val="0000" w:firstRow="0" w:lastRow="0" w:firstColumn="0" w:lastColumn="0" w:noHBand="0" w:noVBand="0"/>
      </w:tblPr>
      <w:tblGrid>
        <w:gridCol w:w="707"/>
        <w:gridCol w:w="2640"/>
        <w:gridCol w:w="840"/>
        <w:gridCol w:w="342"/>
        <w:gridCol w:w="2658"/>
        <w:gridCol w:w="840"/>
        <w:gridCol w:w="1333"/>
      </w:tblGrid>
      <w:tr w:rsidR="007049A5" w:rsidRPr="004E4188" w14:paraId="2006DA39" w14:textId="77777777" w:rsidTr="00510D0A">
        <w:trPr>
          <w:trHeight w:val="615"/>
        </w:trPr>
        <w:tc>
          <w:tcPr>
            <w:tcW w:w="707" w:type="dxa"/>
            <w:tcBorders>
              <w:top w:val="double" w:sz="6" w:space="0" w:color="auto"/>
              <w:left w:val="double" w:sz="6" w:space="0" w:color="auto"/>
              <w:right w:val="single" w:sz="6" w:space="0" w:color="auto"/>
            </w:tcBorders>
          </w:tcPr>
          <w:p w14:paraId="4A06CFC1" w14:textId="77777777" w:rsidR="007049A5" w:rsidRPr="004E4188" w:rsidRDefault="007049A5" w:rsidP="006C6267">
            <w:pPr>
              <w:jc w:val="center"/>
              <w:rPr>
                <w:i/>
              </w:rPr>
            </w:pPr>
            <w:r w:rsidRPr="004E4188">
              <w:rPr>
                <w:i/>
                <w:sz w:val="22"/>
                <w:szCs w:val="22"/>
              </w:rPr>
              <w:t>N</w:t>
            </w:r>
            <w:r w:rsidRPr="004E4188">
              <w:rPr>
                <w:i/>
                <w:sz w:val="22"/>
                <w:szCs w:val="22"/>
                <w:vertAlign w:val="superscript"/>
              </w:rPr>
              <w:t xml:space="preserve">o </w:t>
            </w:r>
            <w:r w:rsidRPr="004E4188">
              <w:rPr>
                <w:i/>
                <w:sz w:val="22"/>
                <w:szCs w:val="22"/>
              </w:rPr>
              <w:t>du poste</w:t>
            </w:r>
          </w:p>
        </w:tc>
        <w:tc>
          <w:tcPr>
            <w:tcW w:w="2640" w:type="dxa"/>
            <w:tcBorders>
              <w:top w:val="double" w:sz="6" w:space="0" w:color="auto"/>
              <w:left w:val="single" w:sz="6" w:space="0" w:color="auto"/>
              <w:right w:val="single" w:sz="6" w:space="0" w:color="auto"/>
            </w:tcBorders>
          </w:tcPr>
          <w:p w14:paraId="025D008B" w14:textId="77777777" w:rsidR="007049A5" w:rsidRPr="004E4188" w:rsidRDefault="007049A5" w:rsidP="006C6267">
            <w:pPr>
              <w:jc w:val="center"/>
              <w:rPr>
                <w:i/>
              </w:rPr>
            </w:pPr>
            <w:r w:rsidRPr="004E4188">
              <w:rPr>
                <w:i/>
              </w:rPr>
              <w:t>Description</w:t>
            </w:r>
          </w:p>
        </w:tc>
        <w:tc>
          <w:tcPr>
            <w:tcW w:w="1182" w:type="dxa"/>
            <w:gridSpan w:val="2"/>
            <w:tcBorders>
              <w:top w:val="double" w:sz="6" w:space="0" w:color="auto"/>
              <w:left w:val="single" w:sz="6" w:space="0" w:color="auto"/>
              <w:right w:val="single" w:sz="4" w:space="0" w:color="auto"/>
            </w:tcBorders>
          </w:tcPr>
          <w:p w14:paraId="44EA8533" w14:textId="77777777" w:rsidR="007049A5" w:rsidRPr="004E4188" w:rsidRDefault="007049A5" w:rsidP="006C6267">
            <w:pPr>
              <w:jc w:val="center"/>
              <w:rPr>
                <w:i/>
                <w:sz w:val="22"/>
              </w:rPr>
            </w:pPr>
            <w:r w:rsidRPr="004E4188">
              <w:rPr>
                <w:i/>
                <w:sz w:val="22"/>
              </w:rPr>
              <w:t>Quantité</w:t>
            </w:r>
          </w:p>
          <w:p w14:paraId="7404D1EA" w14:textId="77777777" w:rsidR="007049A5" w:rsidRPr="004E4188" w:rsidRDefault="007049A5" w:rsidP="006C6267">
            <w:pPr>
              <w:jc w:val="center"/>
              <w:rPr>
                <w:i/>
              </w:rPr>
            </w:pPr>
            <w:r w:rsidRPr="004E4188">
              <w:rPr>
                <w:i/>
                <w:sz w:val="22"/>
              </w:rPr>
              <w:t>(1)</w:t>
            </w:r>
          </w:p>
        </w:tc>
        <w:tc>
          <w:tcPr>
            <w:tcW w:w="2658" w:type="dxa"/>
            <w:tcBorders>
              <w:top w:val="double" w:sz="6" w:space="0" w:color="auto"/>
              <w:left w:val="single" w:sz="4" w:space="0" w:color="auto"/>
              <w:right w:val="single" w:sz="6" w:space="0" w:color="auto"/>
            </w:tcBorders>
          </w:tcPr>
          <w:p w14:paraId="77F5ED6C" w14:textId="77777777" w:rsidR="007049A5" w:rsidRPr="004E4188" w:rsidRDefault="007049A5" w:rsidP="006C6267">
            <w:pPr>
              <w:jc w:val="center"/>
              <w:rPr>
                <w:i/>
                <w:sz w:val="22"/>
              </w:rPr>
            </w:pPr>
            <w:r w:rsidRPr="004E4188">
              <w:rPr>
                <w:i/>
                <w:sz w:val="22"/>
              </w:rPr>
              <w:t>Prix unitaire</w:t>
            </w:r>
          </w:p>
          <w:p w14:paraId="30A24C56" w14:textId="77777777" w:rsidR="007049A5" w:rsidRPr="004E4188" w:rsidRDefault="007049A5" w:rsidP="006C6267">
            <w:pPr>
              <w:jc w:val="center"/>
              <w:rPr>
                <w:i/>
                <w:lang w:eastAsia="ja-JP"/>
              </w:rPr>
            </w:pPr>
            <w:r w:rsidRPr="004E4188">
              <w:rPr>
                <w:rFonts w:hint="eastAsia"/>
                <w:i/>
                <w:sz w:val="22"/>
                <w:lang w:eastAsia="ja-JP"/>
              </w:rPr>
              <w:t>(</w:t>
            </w:r>
            <w:r w:rsidRPr="004E4188">
              <w:rPr>
                <w:i/>
                <w:sz w:val="22"/>
                <w:lang w:eastAsia="ja-JP"/>
              </w:rPr>
              <w:t>2)</w:t>
            </w:r>
          </w:p>
        </w:tc>
        <w:tc>
          <w:tcPr>
            <w:tcW w:w="2173" w:type="dxa"/>
            <w:gridSpan w:val="2"/>
            <w:tcBorders>
              <w:top w:val="double" w:sz="6" w:space="0" w:color="auto"/>
              <w:left w:val="single" w:sz="6" w:space="0" w:color="auto"/>
              <w:right w:val="double" w:sz="6" w:space="0" w:color="auto"/>
            </w:tcBorders>
          </w:tcPr>
          <w:p w14:paraId="5D573BB5" w14:textId="77777777" w:rsidR="007049A5" w:rsidRPr="004E4188" w:rsidRDefault="007049A5" w:rsidP="006C6267">
            <w:pPr>
              <w:jc w:val="center"/>
              <w:rPr>
                <w:i/>
                <w:sz w:val="22"/>
              </w:rPr>
            </w:pPr>
            <w:r w:rsidRPr="004E4188">
              <w:rPr>
                <w:i/>
                <w:sz w:val="22"/>
              </w:rPr>
              <w:t xml:space="preserve">Prix total </w:t>
            </w:r>
          </w:p>
          <w:p w14:paraId="769A7EFE" w14:textId="77777777" w:rsidR="007049A5" w:rsidRPr="004E4188" w:rsidRDefault="007049A5" w:rsidP="006C6267">
            <w:pPr>
              <w:jc w:val="center"/>
              <w:rPr>
                <w:i/>
              </w:rPr>
            </w:pPr>
            <w:r w:rsidRPr="004E4188">
              <w:rPr>
                <w:i/>
                <w:sz w:val="22"/>
              </w:rPr>
              <w:t>(1) x (2)</w:t>
            </w:r>
          </w:p>
        </w:tc>
      </w:tr>
      <w:tr w:rsidR="007049A5" w:rsidRPr="004E4188" w14:paraId="4190DD35" w14:textId="77777777" w:rsidTr="00510D0A">
        <w:tc>
          <w:tcPr>
            <w:tcW w:w="707" w:type="dxa"/>
            <w:tcBorders>
              <w:top w:val="single" w:sz="6" w:space="0" w:color="auto"/>
              <w:left w:val="double" w:sz="6" w:space="0" w:color="auto"/>
              <w:bottom w:val="dotted" w:sz="4" w:space="0" w:color="auto"/>
              <w:right w:val="single" w:sz="6" w:space="0" w:color="auto"/>
            </w:tcBorders>
          </w:tcPr>
          <w:p w14:paraId="41EE919A" w14:textId="77777777" w:rsidR="007049A5" w:rsidRPr="004E4188" w:rsidRDefault="007049A5" w:rsidP="006C6267">
            <w:pPr>
              <w:jc w:val="left"/>
            </w:pPr>
            <w:r w:rsidRPr="004E4188">
              <w:t>506</w:t>
            </w:r>
          </w:p>
        </w:tc>
        <w:tc>
          <w:tcPr>
            <w:tcW w:w="2640" w:type="dxa"/>
            <w:tcBorders>
              <w:top w:val="single" w:sz="6" w:space="0" w:color="auto"/>
              <w:left w:val="single" w:sz="6" w:space="0" w:color="auto"/>
              <w:bottom w:val="dotted" w:sz="4" w:space="0" w:color="auto"/>
              <w:right w:val="single" w:sz="6" w:space="0" w:color="auto"/>
            </w:tcBorders>
          </w:tcPr>
          <w:p w14:paraId="78549310" w14:textId="77777777" w:rsidR="007049A5" w:rsidRPr="004E4188" w:rsidRDefault="007049A5" w:rsidP="006C6267">
            <w:pPr>
              <w:jc w:val="left"/>
            </w:pPr>
          </w:p>
        </w:tc>
        <w:tc>
          <w:tcPr>
            <w:tcW w:w="840" w:type="dxa"/>
            <w:tcBorders>
              <w:top w:val="single" w:sz="6" w:space="0" w:color="auto"/>
              <w:left w:val="single" w:sz="6" w:space="0" w:color="auto"/>
              <w:bottom w:val="dotted" w:sz="4" w:space="0" w:color="auto"/>
            </w:tcBorders>
          </w:tcPr>
          <w:p w14:paraId="5F9AD003" w14:textId="77777777" w:rsidR="007049A5" w:rsidRPr="004E4188" w:rsidRDefault="007049A5" w:rsidP="006C6267">
            <w:pPr>
              <w:jc w:val="left"/>
            </w:pPr>
          </w:p>
        </w:tc>
        <w:tc>
          <w:tcPr>
            <w:tcW w:w="342" w:type="dxa"/>
            <w:tcBorders>
              <w:top w:val="single" w:sz="6" w:space="0" w:color="auto"/>
              <w:bottom w:val="dotted" w:sz="4" w:space="0" w:color="auto"/>
              <w:right w:val="single" w:sz="6" w:space="0" w:color="auto"/>
            </w:tcBorders>
          </w:tcPr>
          <w:p w14:paraId="512ADF07" w14:textId="77777777" w:rsidR="007049A5" w:rsidRPr="004E4188" w:rsidRDefault="007049A5" w:rsidP="006C6267">
            <w:pPr>
              <w:jc w:val="left"/>
            </w:pPr>
          </w:p>
        </w:tc>
        <w:tc>
          <w:tcPr>
            <w:tcW w:w="2658" w:type="dxa"/>
            <w:tcBorders>
              <w:top w:val="single" w:sz="6" w:space="0" w:color="auto"/>
              <w:left w:val="single" w:sz="6" w:space="0" w:color="auto"/>
              <w:bottom w:val="dotted" w:sz="4" w:space="0" w:color="auto"/>
              <w:right w:val="single" w:sz="6" w:space="0" w:color="auto"/>
            </w:tcBorders>
          </w:tcPr>
          <w:p w14:paraId="74BAE482" w14:textId="77777777" w:rsidR="007049A5" w:rsidRPr="004E4188" w:rsidRDefault="007049A5" w:rsidP="006C6267">
            <w:pPr>
              <w:jc w:val="center"/>
            </w:pPr>
          </w:p>
        </w:tc>
        <w:tc>
          <w:tcPr>
            <w:tcW w:w="840" w:type="dxa"/>
            <w:tcBorders>
              <w:top w:val="single" w:sz="6" w:space="0" w:color="auto"/>
              <w:left w:val="single" w:sz="6" w:space="0" w:color="auto"/>
              <w:bottom w:val="dotted" w:sz="4" w:space="0" w:color="auto"/>
            </w:tcBorders>
          </w:tcPr>
          <w:p w14:paraId="40DD4EAE" w14:textId="77777777" w:rsidR="007049A5" w:rsidRPr="004E4188" w:rsidRDefault="007049A5" w:rsidP="006C6267">
            <w:pPr>
              <w:jc w:val="center"/>
            </w:pPr>
          </w:p>
        </w:tc>
        <w:tc>
          <w:tcPr>
            <w:tcW w:w="1333" w:type="dxa"/>
            <w:tcBorders>
              <w:top w:val="single" w:sz="6" w:space="0" w:color="auto"/>
              <w:bottom w:val="dotted" w:sz="4" w:space="0" w:color="auto"/>
              <w:right w:val="double" w:sz="6" w:space="0" w:color="auto"/>
            </w:tcBorders>
          </w:tcPr>
          <w:p w14:paraId="05204201" w14:textId="77777777" w:rsidR="007049A5" w:rsidRPr="004E4188" w:rsidRDefault="007049A5" w:rsidP="006C6267">
            <w:pPr>
              <w:jc w:val="center"/>
            </w:pPr>
          </w:p>
        </w:tc>
      </w:tr>
      <w:tr w:rsidR="007049A5" w:rsidRPr="004E4188" w14:paraId="01C5212F" w14:textId="77777777" w:rsidTr="00510D0A">
        <w:tc>
          <w:tcPr>
            <w:tcW w:w="707" w:type="dxa"/>
            <w:tcBorders>
              <w:top w:val="dotted" w:sz="4" w:space="0" w:color="auto"/>
              <w:left w:val="double" w:sz="6" w:space="0" w:color="auto"/>
              <w:bottom w:val="dotted" w:sz="4" w:space="0" w:color="auto"/>
              <w:right w:val="single" w:sz="6" w:space="0" w:color="auto"/>
            </w:tcBorders>
          </w:tcPr>
          <w:p w14:paraId="6D83009C" w14:textId="77777777" w:rsidR="007049A5" w:rsidRPr="004E4188" w:rsidRDefault="007049A5" w:rsidP="006C6267">
            <w:pPr>
              <w:jc w:val="left"/>
            </w:pPr>
            <w:r w:rsidRPr="004E4188">
              <w:t>507</w:t>
            </w:r>
          </w:p>
        </w:tc>
        <w:tc>
          <w:tcPr>
            <w:tcW w:w="2640" w:type="dxa"/>
            <w:tcBorders>
              <w:top w:val="dotted" w:sz="4" w:space="0" w:color="auto"/>
              <w:left w:val="single" w:sz="6" w:space="0" w:color="auto"/>
              <w:bottom w:val="dotted" w:sz="4" w:space="0" w:color="auto"/>
              <w:right w:val="single" w:sz="6" w:space="0" w:color="auto"/>
            </w:tcBorders>
          </w:tcPr>
          <w:p w14:paraId="55BB5004" w14:textId="77777777" w:rsidR="007049A5" w:rsidRPr="004E4188" w:rsidRDefault="007049A5" w:rsidP="006C6267">
            <w:pPr>
              <w:jc w:val="left"/>
            </w:pPr>
          </w:p>
        </w:tc>
        <w:tc>
          <w:tcPr>
            <w:tcW w:w="840" w:type="dxa"/>
            <w:tcBorders>
              <w:top w:val="dotted" w:sz="4" w:space="0" w:color="auto"/>
              <w:left w:val="single" w:sz="6" w:space="0" w:color="auto"/>
              <w:bottom w:val="dotted" w:sz="4" w:space="0" w:color="auto"/>
            </w:tcBorders>
          </w:tcPr>
          <w:p w14:paraId="0DF9804C" w14:textId="77777777" w:rsidR="007049A5" w:rsidRPr="004E4188" w:rsidRDefault="007049A5" w:rsidP="006C6267">
            <w:pPr>
              <w:jc w:val="left"/>
            </w:pPr>
          </w:p>
        </w:tc>
        <w:tc>
          <w:tcPr>
            <w:tcW w:w="342" w:type="dxa"/>
            <w:tcBorders>
              <w:top w:val="dotted" w:sz="4" w:space="0" w:color="auto"/>
              <w:bottom w:val="dotted" w:sz="4" w:space="0" w:color="auto"/>
              <w:right w:val="single" w:sz="6" w:space="0" w:color="auto"/>
            </w:tcBorders>
          </w:tcPr>
          <w:p w14:paraId="37BBAB18" w14:textId="77777777" w:rsidR="007049A5" w:rsidRPr="004E4188" w:rsidRDefault="007049A5" w:rsidP="006C6267">
            <w:pPr>
              <w:jc w:val="left"/>
            </w:pPr>
          </w:p>
        </w:tc>
        <w:tc>
          <w:tcPr>
            <w:tcW w:w="2658" w:type="dxa"/>
            <w:tcBorders>
              <w:top w:val="dotted" w:sz="4" w:space="0" w:color="auto"/>
              <w:left w:val="single" w:sz="6" w:space="0" w:color="auto"/>
              <w:bottom w:val="dotted" w:sz="4" w:space="0" w:color="auto"/>
              <w:right w:val="single" w:sz="6" w:space="0" w:color="auto"/>
            </w:tcBorders>
          </w:tcPr>
          <w:p w14:paraId="359F7623" w14:textId="77777777" w:rsidR="007049A5" w:rsidRPr="004E4188" w:rsidRDefault="007049A5" w:rsidP="006C6267">
            <w:pPr>
              <w:jc w:val="center"/>
            </w:pPr>
          </w:p>
        </w:tc>
        <w:tc>
          <w:tcPr>
            <w:tcW w:w="840" w:type="dxa"/>
            <w:tcBorders>
              <w:top w:val="dotted" w:sz="4" w:space="0" w:color="auto"/>
              <w:left w:val="single" w:sz="6" w:space="0" w:color="auto"/>
              <w:bottom w:val="dotted" w:sz="4" w:space="0" w:color="auto"/>
            </w:tcBorders>
          </w:tcPr>
          <w:p w14:paraId="4183DBF4" w14:textId="77777777" w:rsidR="007049A5" w:rsidRPr="004E4188" w:rsidRDefault="007049A5" w:rsidP="006C6267">
            <w:pPr>
              <w:jc w:val="center"/>
            </w:pPr>
          </w:p>
        </w:tc>
        <w:tc>
          <w:tcPr>
            <w:tcW w:w="1333" w:type="dxa"/>
            <w:tcBorders>
              <w:top w:val="dotted" w:sz="4" w:space="0" w:color="auto"/>
              <w:bottom w:val="dotted" w:sz="4" w:space="0" w:color="auto"/>
              <w:right w:val="double" w:sz="6" w:space="0" w:color="auto"/>
            </w:tcBorders>
          </w:tcPr>
          <w:p w14:paraId="7A9A052A" w14:textId="77777777" w:rsidR="007049A5" w:rsidRPr="004E4188" w:rsidRDefault="007049A5" w:rsidP="006C6267">
            <w:pPr>
              <w:jc w:val="center"/>
            </w:pPr>
          </w:p>
        </w:tc>
      </w:tr>
      <w:tr w:rsidR="007049A5" w:rsidRPr="004E4188" w14:paraId="19268033" w14:textId="77777777" w:rsidTr="00510D0A">
        <w:tc>
          <w:tcPr>
            <w:tcW w:w="707" w:type="dxa"/>
            <w:tcBorders>
              <w:top w:val="dotted" w:sz="4" w:space="0" w:color="auto"/>
              <w:left w:val="double" w:sz="6" w:space="0" w:color="auto"/>
              <w:bottom w:val="dotted" w:sz="4" w:space="0" w:color="auto"/>
              <w:right w:val="single" w:sz="6" w:space="0" w:color="auto"/>
            </w:tcBorders>
          </w:tcPr>
          <w:p w14:paraId="0296C48C" w14:textId="77777777" w:rsidR="007049A5" w:rsidRPr="004E4188" w:rsidRDefault="007049A5" w:rsidP="006C6267">
            <w:pPr>
              <w:jc w:val="left"/>
            </w:pPr>
            <w:r w:rsidRPr="004E4188">
              <w:t>508</w:t>
            </w:r>
          </w:p>
        </w:tc>
        <w:tc>
          <w:tcPr>
            <w:tcW w:w="2640" w:type="dxa"/>
            <w:tcBorders>
              <w:top w:val="dotted" w:sz="4" w:space="0" w:color="auto"/>
              <w:left w:val="single" w:sz="6" w:space="0" w:color="auto"/>
              <w:bottom w:val="dotted" w:sz="4" w:space="0" w:color="auto"/>
              <w:right w:val="single" w:sz="6" w:space="0" w:color="auto"/>
            </w:tcBorders>
          </w:tcPr>
          <w:p w14:paraId="6CFED260" w14:textId="77777777" w:rsidR="007049A5" w:rsidRPr="004E4188" w:rsidRDefault="007049A5" w:rsidP="006C6267">
            <w:pPr>
              <w:jc w:val="left"/>
            </w:pPr>
          </w:p>
        </w:tc>
        <w:tc>
          <w:tcPr>
            <w:tcW w:w="840" w:type="dxa"/>
            <w:tcBorders>
              <w:top w:val="dotted" w:sz="4" w:space="0" w:color="auto"/>
              <w:left w:val="single" w:sz="6" w:space="0" w:color="auto"/>
              <w:bottom w:val="dotted" w:sz="4" w:space="0" w:color="auto"/>
            </w:tcBorders>
          </w:tcPr>
          <w:p w14:paraId="06D9A176" w14:textId="77777777" w:rsidR="007049A5" w:rsidRPr="004E4188" w:rsidRDefault="007049A5" w:rsidP="006C6267">
            <w:pPr>
              <w:jc w:val="left"/>
            </w:pPr>
          </w:p>
        </w:tc>
        <w:tc>
          <w:tcPr>
            <w:tcW w:w="342" w:type="dxa"/>
            <w:tcBorders>
              <w:top w:val="dotted" w:sz="4" w:space="0" w:color="auto"/>
              <w:bottom w:val="dotted" w:sz="4" w:space="0" w:color="auto"/>
              <w:right w:val="single" w:sz="6" w:space="0" w:color="auto"/>
            </w:tcBorders>
          </w:tcPr>
          <w:p w14:paraId="6613F020" w14:textId="77777777" w:rsidR="007049A5" w:rsidRPr="004E4188" w:rsidRDefault="007049A5" w:rsidP="006C6267">
            <w:pPr>
              <w:jc w:val="left"/>
            </w:pPr>
          </w:p>
        </w:tc>
        <w:tc>
          <w:tcPr>
            <w:tcW w:w="2658" w:type="dxa"/>
            <w:tcBorders>
              <w:top w:val="dotted" w:sz="4" w:space="0" w:color="auto"/>
              <w:left w:val="single" w:sz="6" w:space="0" w:color="auto"/>
              <w:bottom w:val="dotted" w:sz="4" w:space="0" w:color="auto"/>
              <w:right w:val="single" w:sz="6" w:space="0" w:color="auto"/>
            </w:tcBorders>
          </w:tcPr>
          <w:p w14:paraId="25EFE7AC" w14:textId="77777777" w:rsidR="007049A5" w:rsidRPr="004E4188" w:rsidRDefault="007049A5" w:rsidP="006C6267">
            <w:pPr>
              <w:jc w:val="center"/>
            </w:pPr>
          </w:p>
        </w:tc>
        <w:tc>
          <w:tcPr>
            <w:tcW w:w="840" w:type="dxa"/>
            <w:tcBorders>
              <w:top w:val="dotted" w:sz="4" w:space="0" w:color="auto"/>
              <w:left w:val="single" w:sz="6" w:space="0" w:color="auto"/>
              <w:bottom w:val="dotted" w:sz="4" w:space="0" w:color="auto"/>
            </w:tcBorders>
          </w:tcPr>
          <w:p w14:paraId="7F978879" w14:textId="77777777" w:rsidR="007049A5" w:rsidRPr="004E4188" w:rsidRDefault="007049A5" w:rsidP="006C6267">
            <w:pPr>
              <w:jc w:val="center"/>
            </w:pPr>
          </w:p>
        </w:tc>
        <w:tc>
          <w:tcPr>
            <w:tcW w:w="1333" w:type="dxa"/>
            <w:tcBorders>
              <w:top w:val="dotted" w:sz="4" w:space="0" w:color="auto"/>
              <w:bottom w:val="dotted" w:sz="4" w:space="0" w:color="auto"/>
              <w:right w:val="double" w:sz="6" w:space="0" w:color="auto"/>
            </w:tcBorders>
          </w:tcPr>
          <w:p w14:paraId="735B85BC" w14:textId="77777777" w:rsidR="007049A5" w:rsidRPr="004E4188" w:rsidRDefault="007049A5" w:rsidP="006C6267">
            <w:pPr>
              <w:jc w:val="center"/>
            </w:pPr>
          </w:p>
        </w:tc>
      </w:tr>
      <w:tr w:rsidR="007049A5" w:rsidRPr="004E4188" w14:paraId="23903562" w14:textId="77777777" w:rsidTr="00510D0A">
        <w:tc>
          <w:tcPr>
            <w:tcW w:w="707" w:type="dxa"/>
            <w:tcBorders>
              <w:top w:val="dotted" w:sz="4" w:space="0" w:color="auto"/>
              <w:left w:val="double" w:sz="6" w:space="0" w:color="auto"/>
              <w:bottom w:val="dotted" w:sz="4" w:space="0" w:color="auto"/>
              <w:right w:val="single" w:sz="6" w:space="0" w:color="auto"/>
            </w:tcBorders>
          </w:tcPr>
          <w:p w14:paraId="7510E497" w14:textId="77777777" w:rsidR="007049A5" w:rsidRPr="004E4188" w:rsidRDefault="007049A5" w:rsidP="006C6267">
            <w:pPr>
              <w:jc w:val="left"/>
            </w:pPr>
            <w:r w:rsidRPr="004E4188">
              <w:t>509</w:t>
            </w:r>
          </w:p>
        </w:tc>
        <w:tc>
          <w:tcPr>
            <w:tcW w:w="2640" w:type="dxa"/>
            <w:tcBorders>
              <w:top w:val="dotted" w:sz="4" w:space="0" w:color="auto"/>
              <w:left w:val="single" w:sz="6" w:space="0" w:color="auto"/>
              <w:bottom w:val="dotted" w:sz="4" w:space="0" w:color="auto"/>
              <w:right w:val="single" w:sz="6" w:space="0" w:color="auto"/>
            </w:tcBorders>
          </w:tcPr>
          <w:p w14:paraId="241E5A4F" w14:textId="77777777" w:rsidR="007049A5" w:rsidRPr="004E4188" w:rsidRDefault="007049A5" w:rsidP="006C6267">
            <w:pPr>
              <w:jc w:val="left"/>
            </w:pPr>
          </w:p>
        </w:tc>
        <w:tc>
          <w:tcPr>
            <w:tcW w:w="840" w:type="dxa"/>
            <w:tcBorders>
              <w:top w:val="dotted" w:sz="4" w:space="0" w:color="auto"/>
              <w:left w:val="single" w:sz="6" w:space="0" w:color="auto"/>
              <w:bottom w:val="dotted" w:sz="4" w:space="0" w:color="auto"/>
            </w:tcBorders>
          </w:tcPr>
          <w:p w14:paraId="3B7B6071" w14:textId="77777777" w:rsidR="007049A5" w:rsidRPr="004E4188" w:rsidRDefault="007049A5" w:rsidP="006C6267">
            <w:pPr>
              <w:jc w:val="left"/>
            </w:pPr>
          </w:p>
        </w:tc>
        <w:tc>
          <w:tcPr>
            <w:tcW w:w="342" w:type="dxa"/>
            <w:tcBorders>
              <w:top w:val="dotted" w:sz="4" w:space="0" w:color="auto"/>
              <w:bottom w:val="dotted" w:sz="4" w:space="0" w:color="auto"/>
              <w:right w:val="single" w:sz="6" w:space="0" w:color="auto"/>
            </w:tcBorders>
          </w:tcPr>
          <w:p w14:paraId="072F9D6E" w14:textId="77777777" w:rsidR="007049A5" w:rsidRPr="004E4188" w:rsidRDefault="007049A5" w:rsidP="006C6267">
            <w:pPr>
              <w:jc w:val="left"/>
            </w:pPr>
          </w:p>
        </w:tc>
        <w:tc>
          <w:tcPr>
            <w:tcW w:w="2658" w:type="dxa"/>
            <w:tcBorders>
              <w:top w:val="dotted" w:sz="4" w:space="0" w:color="auto"/>
              <w:left w:val="single" w:sz="6" w:space="0" w:color="auto"/>
              <w:bottom w:val="dotted" w:sz="4" w:space="0" w:color="auto"/>
              <w:right w:val="single" w:sz="6" w:space="0" w:color="auto"/>
            </w:tcBorders>
          </w:tcPr>
          <w:p w14:paraId="48B73849" w14:textId="77777777" w:rsidR="007049A5" w:rsidRPr="004E4188" w:rsidRDefault="007049A5" w:rsidP="006C6267">
            <w:pPr>
              <w:jc w:val="center"/>
            </w:pPr>
          </w:p>
        </w:tc>
        <w:tc>
          <w:tcPr>
            <w:tcW w:w="840" w:type="dxa"/>
            <w:tcBorders>
              <w:top w:val="dotted" w:sz="4" w:space="0" w:color="auto"/>
              <w:left w:val="single" w:sz="6" w:space="0" w:color="auto"/>
              <w:bottom w:val="dotted" w:sz="4" w:space="0" w:color="auto"/>
            </w:tcBorders>
          </w:tcPr>
          <w:p w14:paraId="37F7329E" w14:textId="77777777" w:rsidR="007049A5" w:rsidRPr="004E4188" w:rsidRDefault="007049A5" w:rsidP="006C6267">
            <w:pPr>
              <w:jc w:val="center"/>
            </w:pPr>
          </w:p>
        </w:tc>
        <w:tc>
          <w:tcPr>
            <w:tcW w:w="1333" w:type="dxa"/>
            <w:tcBorders>
              <w:top w:val="dotted" w:sz="4" w:space="0" w:color="auto"/>
              <w:bottom w:val="dotted" w:sz="4" w:space="0" w:color="auto"/>
              <w:right w:val="double" w:sz="6" w:space="0" w:color="auto"/>
            </w:tcBorders>
          </w:tcPr>
          <w:p w14:paraId="215DB908" w14:textId="77777777" w:rsidR="007049A5" w:rsidRPr="004E4188" w:rsidRDefault="007049A5" w:rsidP="006C6267">
            <w:pPr>
              <w:jc w:val="center"/>
            </w:pPr>
          </w:p>
        </w:tc>
      </w:tr>
      <w:tr w:rsidR="007049A5" w:rsidRPr="004E4188" w14:paraId="2EF1D40E" w14:textId="77777777" w:rsidTr="00510D0A">
        <w:tc>
          <w:tcPr>
            <w:tcW w:w="707" w:type="dxa"/>
            <w:tcBorders>
              <w:top w:val="dotted" w:sz="4" w:space="0" w:color="auto"/>
              <w:left w:val="double" w:sz="6" w:space="0" w:color="auto"/>
              <w:bottom w:val="dotted" w:sz="4" w:space="0" w:color="auto"/>
              <w:right w:val="single" w:sz="4" w:space="0" w:color="auto"/>
            </w:tcBorders>
          </w:tcPr>
          <w:p w14:paraId="6E5CC365" w14:textId="77777777" w:rsidR="007049A5" w:rsidRPr="004E4188" w:rsidRDefault="007049A5" w:rsidP="006C6267">
            <w:pPr>
              <w:jc w:val="left"/>
              <w:rPr>
                <w:lang w:eastAsia="ja-JP"/>
              </w:rPr>
            </w:pPr>
            <w:r w:rsidRPr="004E4188">
              <w:rPr>
                <w:rFonts w:hint="eastAsia"/>
                <w:lang w:eastAsia="ja-JP"/>
              </w:rPr>
              <w:t>510</w:t>
            </w:r>
          </w:p>
        </w:tc>
        <w:tc>
          <w:tcPr>
            <w:tcW w:w="2640" w:type="dxa"/>
            <w:tcBorders>
              <w:top w:val="dotted" w:sz="4" w:space="0" w:color="auto"/>
              <w:left w:val="single" w:sz="4" w:space="0" w:color="auto"/>
              <w:bottom w:val="dotted" w:sz="4" w:space="0" w:color="auto"/>
              <w:right w:val="single" w:sz="4" w:space="0" w:color="auto"/>
            </w:tcBorders>
          </w:tcPr>
          <w:p w14:paraId="77C0EEE0" w14:textId="77777777" w:rsidR="007049A5" w:rsidRPr="004E4188" w:rsidRDefault="007049A5" w:rsidP="006C6267">
            <w:pPr>
              <w:jc w:val="left"/>
            </w:pPr>
          </w:p>
        </w:tc>
        <w:tc>
          <w:tcPr>
            <w:tcW w:w="840" w:type="dxa"/>
            <w:tcBorders>
              <w:top w:val="dotted" w:sz="4" w:space="0" w:color="auto"/>
              <w:left w:val="single" w:sz="4" w:space="0" w:color="auto"/>
              <w:bottom w:val="dotted" w:sz="4" w:space="0" w:color="auto"/>
            </w:tcBorders>
          </w:tcPr>
          <w:p w14:paraId="3F990AE0" w14:textId="77777777" w:rsidR="007049A5" w:rsidRPr="004E4188" w:rsidRDefault="007049A5" w:rsidP="006C6267">
            <w:pPr>
              <w:jc w:val="left"/>
            </w:pPr>
          </w:p>
        </w:tc>
        <w:tc>
          <w:tcPr>
            <w:tcW w:w="342" w:type="dxa"/>
            <w:tcBorders>
              <w:top w:val="dotted" w:sz="4" w:space="0" w:color="auto"/>
              <w:bottom w:val="dotted" w:sz="4" w:space="0" w:color="auto"/>
              <w:right w:val="single" w:sz="4" w:space="0" w:color="auto"/>
            </w:tcBorders>
          </w:tcPr>
          <w:p w14:paraId="6D4304D2" w14:textId="77777777" w:rsidR="007049A5" w:rsidRPr="004E4188" w:rsidRDefault="007049A5" w:rsidP="006C6267">
            <w:pPr>
              <w:jc w:val="left"/>
            </w:pPr>
          </w:p>
        </w:tc>
        <w:tc>
          <w:tcPr>
            <w:tcW w:w="2658" w:type="dxa"/>
            <w:tcBorders>
              <w:top w:val="dotted" w:sz="4" w:space="0" w:color="auto"/>
              <w:left w:val="single" w:sz="4" w:space="0" w:color="auto"/>
              <w:bottom w:val="dotted" w:sz="4" w:space="0" w:color="auto"/>
              <w:right w:val="single" w:sz="4" w:space="0" w:color="auto"/>
            </w:tcBorders>
          </w:tcPr>
          <w:p w14:paraId="3F1CD723" w14:textId="77777777" w:rsidR="007049A5" w:rsidRPr="004E4188" w:rsidRDefault="007049A5" w:rsidP="006C6267">
            <w:pPr>
              <w:jc w:val="center"/>
            </w:pPr>
          </w:p>
        </w:tc>
        <w:tc>
          <w:tcPr>
            <w:tcW w:w="840" w:type="dxa"/>
            <w:tcBorders>
              <w:top w:val="dotted" w:sz="4" w:space="0" w:color="auto"/>
              <w:left w:val="single" w:sz="4" w:space="0" w:color="auto"/>
              <w:bottom w:val="dotted" w:sz="4" w:space="0" w:color="auto"/>
            </w:tcBorders>
          </w:tcPr>
          <w:p w14:paraId="50763474" w14:textId="77777777" w:rsidR="007049A5" w:rsidRPr="004E4188" w:rsidRDefault="007049A5" w:rsidP="006C6267">
            <w:pPr>
              <w:jc w:val="center"/>
            </w:pPr>
          </w:p>
        </w:tc>
        <w:tc>
          <w:tcPr>
            <w:tcW w:w="1333" w:type="dxa"/>
            <w:tcBorders>
              <w:top w:val="dotted" w:sz="4" w:space="0" w:color="auto"/>
              <w:bottom w:val="dotted" w:sz="4" w:space="0" w:color="auto"/>
              <w:right w:val="double" w:sz="6" w:space="0" w:color="auto"/>
            </w:tcBorders>
          </w:tcPr>
          <w:p w14:paraId="61C71EB4" w14:textId="77777777" w:rsidR="007049A5" w:rsidRPr="004E4188" w:rsidRDefault="007049A5" w:rsidP="006C6267">
            <w:pPr>
              <w:jc w:val="center"/>
            </w:pPr>
          </w:p>
        </w:tc>
      </w:tr>
      <w:tr w:rsidR="007049A5" w:rsidRPr="004E4188" w14:paraId="04C94607" w14:textId="77777777" w:rsidTr="00510D0A">
        <w:tc>
          <w:tcPr>
            <w:tcW w:w="707" w:type="dxa"/>
            <w:tcBorders>
              <w:top w:val="dotted" w:sz="4" w:space="0" w:color="auto"/>
              <w:left w:val="double" w:sz="6" w:space="0" w:color="auto"/>
              <w:bottom w:val="dotted" w:sz="4" w:space="0" w:color="auto"/>
              <w:right w:val="single" w:sz="4" w:space="0" w:color="auto"/>
            </w:tcBorders>
          </w:tcPr>
          <w:p w14:paraId="0E60EFCF" w14:textId="77777777" w:rsidR="007049A5" w:rsidRPr="004E4188" w:rsidRDefault="007049A5" w:rsidP="006C6267">
            <w:pPr>
              <w:jc w:val="left"/>
            </w:pPr>
          </w:p>
        </w:tc>
        <w:tc>
          <w:tcPr>
            <w:tcW w:w="2640" w:type="dxa"/>
            <w:tcBorders>
              <w:top w:val="dotted" w:sz="4" w:space="0" w:color="auto"/>
              <w:left w:val="single" w:sz="4" w:space="0" w:color="auto"/>
              <w:bottom w:val="dotted" w:sz="4" w:space="0" w:color="auto"/>
              <w:right w:val="single" w:sz="4" w:space="0" w:color="auto"/>
            </w:tcBorders>
          </w:tcPr>
          <w:p w14:paraId="37DCA00E" w14:textId="77777777" w:rsidR="007049A5" w:rsidRPr="004E4188" w:rsidRDefault="007049A5" w:rsidP="006C6267">
            <w:pPr>
              <w:jc w:val="left"/>
            </w:pPr>
          </w:p>
        </w:tc>
        <w:tc>
          <w:tcPr>
            <w:tcW w:w="840" w:type="dxa"/>
            <w:tcBorders>
              <w:top w:val="dotted" w:sz="4" w:space="0" w:color="auto"/>
              <w:left w:val="single" w:sz="4" w:space="0" w:color="auto"/>
              <w:bottom w:val="dotted" w:sz="4" w:space="0" w:color="auto"/>
            </w:tcBorders>
          </w:tcPr>
          <w:p w14:paraId="25F51A58" w14:textId="77777777" w:rsidR="007049A5" w:rsidRPr="004E4188" w:rsidRDefault="007049A5" w:rsidP="006C6267">
            <w:pPr>
              <w:jc w:val="left"/>
            </w:pPr>
          </w:p>
        </w:tc>
        <w:tc>
          <w:tcPr>
            <w:tcW w:w="342" w:type="dxa"/>
            <w:tcBorders>
              <w:top w:val="dotted" w:sz="4" w:space="0" w:color="auto"/>
              <w:bottom w:val="dotted" w:sz="4" w:space="0" w:color="auto"/>
              <w:right w:val="single" w:sz="4" w:space="0" w:color="auto"/>
            </w:tcBorders>
          </w:tcPr>
          <w:p w14:paraId="470072F7" w14:textId="77777777" w:rsidR="007049A5" w:rsidRPr="004E4188" w:rsidRDefault="007049A5" w:rsidP="006C6267">
            <w:pPr>
              <w:jc w:val="left"/>
            </w:pPr>
          </w:p>
        </w:tc>
        <w:tc>
          <w:tcPr>
            <w:tcW w:w="2658" w:type="dxa"/>
            <w:tcBorders>
              <w:top w:val="dotted" w:sz="4" w:space="0" w:color="auto"/>
              <w:left w:val="single" w:sz="4" w:space="0" w:color="auto"/>
              <w:bottom w:val="dotted" w:sz="4" w:space="0" w:color="auto"/>
              <w:right w:val="single" w:sz="4" w:space="0" w:color="auto"/>
            </w:tcBorders>
          </w:tcPr>
          <w:p w14:paraId="77475521" w14:textId="77777777" w:rsidR="007049A5" w:rsidRPr="004E4188" w:rsidRDefault="007049A5" w:rsidP="006C6267">
            <w:pPr>
              <w:jc w:val="center"/>
            </w:pPr>
          </w:p>
        </w:tc>
        <w:tc>
          <w:tcPr>
            <w:tcW w:w="840" w:type="dxa"/>
            <w:tcBorders>
              <w:top w:val="dotted" w:sz="4" w:space="0" w:color="auto"/>
              <w:left w:val="single" w:sz="4" w:space="0" w:color="auto"/>
              <w:bottom w:val="dotted" w:sz="4" w:space="0" w:color="auto"/>
            </w:tcBorders>
          </w:tcPr>
          <w:p w14:paraId="0699C64F" w14:textId="77777777" w:rsidR="007049A5" w:rsidRPr="004E4188" w:rsidRDefault="007049A5" w:rsidP="006C6267">
            <w:pPr>
              <w:jc w:val="center"/>
            </w:pPr>
          </w:p>
        </w:tc>
        <w:tc>
          <w:tcPr>
            <w:tcW w:w="1333" w:type="dxa"/>
            <w:tcBorders>
              <w:top w:val="dotted" w:sz="4" w:space="0" w:color="auto"/>
              <w:bottom w:val="dotted" w:sz="4" w:space="0" w:color="auto"/>
              <w:right w:val="double" w:sz="6" w:space="0" w:color="auto"/>
            </w:tcBorders>
          </w:tcPr>
          <w:p w14:paraId="545966CA" w14:textId="77777777" w:rsidR="007049A5" w:rsidRPr="004E4188" w:rsidRDefault="007049A5" w:rsidP="006C6267">
            <w:pPr>
              <w:jc w:val="center"/>
            </w:pPr>
          </w:p>
        </w:tc>
      </w:tr>
      <w:tr w:rsidR="007049A5" w:rsidRPr="004E4188" w14:paraId="4EA66C5A" w14:textId="77777777" w:rsidTr="00510D0A">
        <w:tc>
          <w:tcPr>
            <w:tcW w:w="707" w:type="dxa"/>
            <w:tcBorders>
              <w:top w:val="dotted" w:sz="4" w:space="0" w:color="auto"/>
              <w:left w:val="double" w:sz="6" w:space="0" w:color="auto"/>
              <w:bottom w:val="single" w:sz="4" w:space="0" w:color="auto"/>
              <w:right w:val="single" w:sz="4" w:space="0" w:color="auto"/>
            </w:tcBorders>
          </w:tcPr>
          <w:p w14:paraId="38902A93" w14:textId="77777777" w:rsidR="007049A5" w:rsidRPr="004E4188" w:rsidRDefault="007049A5" w:rsidP="006C6267">
            <w:pPr>
              <w:jc w:val="left"/>
            </w:pPr>
          </w:p>
        </w:tc>
        <w:tc>
          <w:tcPr>
            <w:tcW w:w="2640" w:type="dxa"/>
            <w:tcBorders>
              <w:top w:val="dotted" w:sz="4" w:space="0" w:color="auto"/>
              <w:left w:val="single" w:sz="4" w:space="0" w:color="auto"/>
              <w:bottom w:val="single" w:sz="4" w:space="0" w:color="auto"/>
              <w:right w:val="single" w:sz="4" w:space="0" w:color="auto"/>
            </w:tcBorders>
          </w:tcPr>
          <w:p w14:paraId="0DBE0D71" w14:textId="77777777" w:rsidR="007049A5" w:rsidRPr="004E4188" w:rsidRDefault="007049A5" w:rsidP="006C6267">
            <w:pPr>
              <w:jc w:val="left"/>
            </w:pPr>
          </w:p>
        </w:tc>
        <w:tc>
          <w:tcPr>
            <w:tcW w:w="840" w:type="dxa"/>
            <w:tcBorders>
              <w:top w:val="dotted" w:sz="4" w:space="0" w:color="auto"/>
              <w:left w:val="single" w:sz="4" w:space="0" w:color="auto"/>
            </w:tcBorders>
          </w:tcPr>
          <w:p w14:paraId="4F1658D4" w14:textId="77777777" w:rsidR="007049A5" w:rsidRPr="004E4188" w:rsidRDefault="007049A5" w:rsidP="006C6267">
            <w:pPr>
              <w:jc w:val="left"/>
            </w:pPr>
          </w:p>
        </w:tc>
        <w:tc>
          <w:tcPr>
            <w:tcW w:w="342" w:type="dxa"/>
            <w:tcBorders>
              <w:top w:val="dotted" w:sz="4" w:space="0" w:color="auto"/>
              <w:right w:val="single" w:sz="4" w:space="0" w:color="auto"/>
            </w:tcBorders>
          </w:tcPr>
          <w:p w14:paraId="275AA05F" w14:textId="77777777" w:rsidR="007049A5" w:rsidRPr="004E4188" w:rsidRDefault="007049A5" w:rsidP="006C6267">
            <w:pPr>
              <w:jc w:val="left"/>
            </w:pPr>
          </w:p>
        </w:tc>
        <w:tc>
          <w:tcPr>
            <w:tcW w:w="2658" w:type="dxa"/>
            <w:tcBorders>
              <w:top w:val="dotted" w:sz="4" w:space="0" w:color="auto"/>
              <w:left w:val="single" w:sz="4" w:space="0" w:color="auto"/>
              <w:bottom w:val="single" w:sz="6" w:space="0" w:color="auto"/>
              <w:right w:val="single" w:sz="4" w:space="0" w:color="auto"/>
            </w:tcBorders>
          </w:tcPr>
          <w:p w14:paraId="5AC730CE" w14:textId="77777777" w:rsidR="007049A5" w:rsidRPr="004E4188" w:rsidRDefault="007049A5" w:rsidP="006C6267">
            <w:pPr>
              <w:jc w:val="center"/>
            </w:pPr>
          </w:p>
        </w:tc>
        <w:tc>
          <w:tcPr>
            <w:tcW w:w="840" w:type="dxa"/>
            <w:tcBorders>
              <w:top w:val="dotted" w:sz="4" w:space="0" w:color="auto"/>
              <w:left w:val="single" w:sz="4" w:space="0" w:color="auto"/>
              <w:bottom w:val="single" w:sz="4" w:space="0" w:color="auto"/>
            </w:tcBorders>
          </w:tcPr>
          <w:p w14:paraId="26A835F0" w14:textId="77777777" w:rsidR="007049A5" w:rsidRPr="004E4188" w:rsidRDefault="007049A5" w:rsidP="006C6267">
            <w:pPr>
              <w:jc w:val="center"/>
            </w:pPr>
          </w:p>
        </w:tc>
        <w:tc>
          <w:tcPr>
            <w:tcW w:w="1333" w:type="dxa"/>
            <w:tcBorders>
              <w:top w:val="dotted" w:sz="4" w:space="0" w:color="auto"/>
              <w:bottom w:val="single" w:sz="4" w:space="0" w:color="auto"/>
              <w:right w:val="double" w:sz="6" w:space="0" w:color="auto"/>
            </w:tcBorders>
          </w:tcPr>
          <w:p w14:paraId="1E2A0FA2" w14:textId="77777777" w:rsidR="007049A5" w:rsidRPr="004E4188" w:rsidRDefault="007049A5" w:rsidP="006C6267">
            <w:pPr>
              <w:jc w:val="center"/>
            </w:pPr>
          </w:p>
        </w:tc>
      </w:tr>
      <w:tr w:rsidR="007049A5" w:rsidRPr="004E4188" w14:paraId="5B9F75FC" w14:textId="77777777" w:rsidTr="00510D0A">
        <w:tc>
          <w:tcPr>
            <w:tcW w:w="7187" w:type="dxa"/>
            <w:gridSpan w:val="5"/>
            <w:tcBorders>
              <w:top w:val="single" w:sz="4" w:space="0" w:color="auto"/>
              <w:left w:val="double" w:sz="6" w:space="0" w:color="auto"/>
              <w:bottom w:val="double" w:sz="6" w:space="0" w:color="auto"/>
              <w:right w:val="single" w:sz="4" w:space="0" w:color="auto"/>
            </w:tcBorders>
          </w:tcPr>
          <w:p w14:paraId="6197A2DE" w14:textId="0E84583E" w:rsidR="007049A5" w:rsidRPr="004E4188" w:rsidRDefault="007049A5" w:rsidP="006C6267">
            <w:pPr>
              <w:wordWrap w:val="0"/>
              <w:jc w:val="right"/>
              <w:rPr>
                <w:lang w:eastAsia="ja-JP"/>
              </w:rPr>
            </w:pPr>
            <w:r w:rsidRPr="004E4188">
              <w:rPr>
                <w:sz w:val="22"/>
              </w:rPr>
              <w:t>Total du</w:t>
            </w:r>
            <w:r w:rsidRPr="004E4188">
              <w:rPr>
                <w:sz w:val="22"/>
                <w:lang w:eastAsia="ja-JP"/>
              </w:rPr>
              <w:t xml:space="preserve"> </w:t>
            </w:r>
            <w:r w:rsidRPr="004E4188">
              <w:rPr>
                <w:sz w:val="22"/>
              </w:rPr>
              <w:t>Bordereau n°</w:t>
            </w:r>
            <w:r w:rsidRPr="004E4188">
              <w:t xml:space="preserve"> </w:t>
            </w:r>
            <w:r w:rsidRPr="004E4188">
              <w:rPr>
                <w:lang w:eastAsia="ja-JP"/>
              </w:rPr>
              <w:t>5-2</w:t>
            </w:r>
          </w:p>
          <w:p w14:paraId="11500740" w14:textId="77777777" w:rsidR="007049A5" w:rsidRPr="004E4188" w:rsidRDefault="007049A5" w:rsidP="006C6267">
            <w:pPr>
              <w:jc w:val="right"/>
            </w:pPr>
            <w:r w:rsidRPr="004E4188">
              <w:rPr>
                <w:sz w:val="22"/>
              </w:rPr>
              <w:t>(à reprendre dans le tableau récapitulatif,</w:t>
            </w:r>
            <w:r w:rsidRPr="004E4188">
              <w:t xml:space="preserve"> p. </w:t>
            </w:r>
            <w:r w:rsidRPr="004E4188">
              <w:rPr>
                <w:u w:val="single"/>
              </w:rPr>
              <w:tab/>
            </w:r>
            <w:r w:rsidRPr="004E4188">
              <w:t>)</w:t>
            </w:r>
          </w:p>
        </w:tc>
        <w:tc>
          <w:tcPr>
            <w:tcW w:w="840" w:type="dxa"/>
            <w:tcBorders>
              <w:top w:val="single" w:sz="4" w:space="0" w:color="auto"/>
              <w:left w:val="single" w:sz="4" w:space="0" w:color="auto"/>
              <w:bottom w:val="double" w:sz="6" w:space="0" w:color="auto"/>
            </w:tcBorders>
            <w:vAlign w:val="bottom"/>
          </w:tcPr>
          <w:p w14:paraId="4632EB9B" w14:textId="77777777" w:rsidR="007049A5" w:rsidRPr="004E4188" w:rsidRDefault="007049A5" w:rsidP="006C6267">
            <w:pPr>
              <w:jc w:val="center"/>
              <w:rPr>
                <w:lang w:eastAsia="ja-JP"/>
              </w:rPr>
            </w:pPr>
          </w:p>
        </w:tc>
        <w:tc>
          <w:tcPr>
            <w:tcW w:w="1333" w:type="dxa"/>
            <w:tcBorders>
              <w:top w:val="single" w:sz="4" w:space="0" w:color="auto"/>
              <w:bottom w:val="double" w:sz="6" w:space="0" w:color="auto"/>
              <w:right w:val="double" w:sz="6" w:space="0" w:color="auto"/>
            </w:tcBorders>
            <w:vAlign w:val="bottom"/>
          </w:tcPr>
          <w:p w14:paraId="2A856C7B" w14:textId="77777777" w:rsidR="007049A5" w:rsidRPr="004E4188" w:rsidRDefault="007049A5" w:rsidP="006C6267">
            <w:pPr>
              <w:jc w:val="center"/>
              <w:rPr>
                <w:lang w:eastAsia="ja-JP"/>
              </w:rPr>
            </w:pPr>
            <w:r w:rsidRPr="004E4188">
              <w:rPr>
                <w:rFonts w:hint="eastAsia"/>
                <w:lang w:eastAsia="ja-JP"/>
              </w:rPr>
              <w:t>-----</w:t>
            </w:r>
          </w:p>
        </w:tc>
      </w:tr>
    </w:tbl>
    <w:p w14:paraId="0F7E3372" w14:textId="77777777" w:rsidR="007049A5" w:rsidRPr="004E4188" w:rsidRDefault="007049A5" w:rsidP="006C6267">
      <w:pPr>
        <w:spacing w:beforeLines="50" w:before="120"/>
        <w:ind w:left="335" w:hanging="335"/>
        <w:rPr>
          <w:szCs w:val="24"/>
          <w:u w:val="single"/>
        </w:rPr>
      </w:pPr>
      <w:r w:rsidRPr="004E4188">
        <w:rPr>
          <w:rFonts w:hint="eastAsia"/>
          <w:szCs w:val="24"/>
          <w:u w:val="single"/>
        </w:rPr>
        <w:t>N</w:t>
      </w:r>
      <w:r w:rsidRPr="004E4188">
        <w:rPr>
          <w:szCs w:val="24"/>
          <w:u w:val="single"/>
        </w:rPr>
        <w:t>otes à l’intention des Soumissionnaires</w:t>
      </w:r>
    </w:p>
    <w:p w14:paraId="7788494B" w14:textId="453F9C3F" w:rsidR="007049A5" w:rsidRPr="004E4188" w:rsidRDefault="007049A5" w:rsidP="006C6267">
      <w:pPr>
        <w:spacing w:beforeLines="50" w:before="120"/>
        <w:ind w:left="335" w:hanging="335"/>
        <w:rPr>
          <w:b/>
          <w:sz w:val="36"/>
          <w:szCs w:val="36"/>
          <w:lang w:eastAsia="en-US"/>
        </w:rPr>
      </w:pPr>
      <w:r w:rsidRPr="004E4188">
        <w:rPr>
          <w:szCs w:val="24"/>
        </w:rPr>
        <w:t>1</w:t>
      </w:r>
      <w:r w:rsidR="00F52709" w:rsidRPr="004E4188">
        <w:rPr>
          <w:szCs w:val="24"/>
        </w:rPr>
        <w:t>.</w:t>
      </w:r>
      <w:r w:rsidRPr="004E4188">
        <w:rPr>
          <w:szCs w:val="24"/>
        </w:rPr>
        <w:tab/>
        <w:t>Indiquer un code représentant le pays d’origine de tous les matériels et équipements importés.</w:t>
      </w:r>
      <w:r w:rsidRPr="004E4188">
        <w:br w:type="page"/>
      </w:r>
    </w:p>
    <w:p w14:paraId="10F718F4" w14:textId="06EA01CF" w:rsidR="007049A5" w:rsidRPr="004E4188" w:rsidRDefault="007049A5" w:rsidP="00713064">
      <w:pPr>
        <w:pStyle w:val="SectionIVHeading2"/>
        <w:spacing w:after="0"/>
        <w:rPr>
          <w:lang w:val="fr-FR"/>
        </w:rPr>
      </w:pPr>
      <w:bookmarkStart w:id="519" w:name="_Toc112429306"/>
      <w:r w:rsidRPr="004E4188">
        <w:rPr>
          <w:lang w:val="fr-FR"/>
        </w:rPr>
        <w:t>Bordereau n</w:t>
      </w:r>
      <w:r w:rsidRPr="004E4188">
        <w:rPr>
          <w:vertAlign w:val="superscript"/>
          <w:lang w:val="fr-FR"/>
        </w:rPr>
        <w:t>o</w:t>
      </w:r>
      <w:r w:rsidRPr="004E4188">
        <w:rPr>
          <w:lang w:val="fr-FR"/>
        </w:rPr>
        <w:t xml:space="preserve"> 6</w:t>
      </w:r>
      <w:r w:rsidR="00713064" w:rsidRPr="004E4188">
        <w:rPr>
          <w:lang w:val="fr-FR"/>
        </w:rPr>
        <w:br/>
      </w:r>
      <w:r w:rsidRPr="004E4188">
        <w:rPr>
          <w:lang w:val="fr-FR"/>
        </w:rPr>
        <w:t>Pièces de rechange recommandées</w:t>
      </w:r>
      <w:bookmarkEnd w:id="519"/>
    </w:p>
    <w:p w14:paraId="5A540C88" w14:textId="77777777" w:rsidR="00713064" w:rsidRPr="004E4188" w:rsidRDefault="00713064" w:rsidP="00713064">
      <w:pPr>
        <w:pStyle w:val="SectionIVHeading2"/>
        <w:spacing w:before="0" w:after="0"/>
        <w:rPr>
          <w:lang w:val="fr-FR"/>
        </w:rPr>
      </w:pPr>
    </w:p>
    <w:p w14:paraId="72850F4C" w14:textId="77777777" w:rsidR="007049A5" w:rsidRPr="004E4188" w:rsidRDefault="007049A5" w:rsidP="006C6267">
      <w:pPr>
        <w:spacing w:beforeLines="50" w:before="120"/>
      </w:pPr>
      <w:r w:rsidRPr="004E4188">
        <w:rPr>
          <w:i/>
          <w:szCs w:val="24"/>
        </w:rPr>
        <w:t>É</w:t>
      </w:r>
      <w:r w:rsidRPr="004E4188">
        <w:rPr>
          <w:i/>
          <w:szCs w:val="24"/>
          <w:lang w:eastAsia="en-US"/>
        </w:rPr>
        <w:t>quipements d’origine étrangère (en dehors du pays du Maître d’ouvrage)</w:t>
      </w:r>
    </w:p>
    <w:tbl>
      <w:tblPr>
        <w:tblW w:w="9289" w:type="dxa"/>
        <w:tblInd w:w="120" w:type="dxa"/>
        <w:tblLayout w:type="fixed"/>
        <w:tblLook w:val="0000" w:firstRow="0" w:lastRow="0" w:firstColumn="0" w:lastColumn="0" w:noHBand="0" w:noVBand="0"/>
      </w:tblPr>
      <w:tblGrid>
        <w:gridCol w:w="707"/>
        <w:gridCol w:w="1833"/>
        <w:gridCol w:w="1134"/>
        <w:gridCol w:w="709"/>
        <w:gridCol w:w="992"/>
        <w:gridCol w:w="1079"/>
        <w:gridCol w:w="1189"/>
        <w:gridCol w:w="1646"/>
      </w:tblGrid>
      <w:tr w:rsidR="007049A5" w:rsidRPr="004E4188" w:rsidDel="00C12DF1" w14:paraId="2ADFA25F" w14:textId="77777777" w:rsidTr="00510D0A">
        <w:trPr>
          <w:trHeight w:val="255"/>
        </w:trPr>
        <w:tc>
          <w:tcPr>
            <w:tcW w:w="707" w:type="dxa"/>
            <w:vMerge w:val="restart"/>
            <w:tcBorders>
              <w:top w:val="double" w:sz="6" w:space="0" w:color="auto"/>
              <w:left w:val="double" w:sz="6" w:space="0" w:color="auto"/>
              <w:bottom w:val="single" w:sz="6" w:space="0" w:color="auto"/>
              <w:right w:val="single" w:sz="6" w:space="0" w:color="auto"/>
            </w:tcBorders>
          </w:tcPr>
          <w:p w14:paraId="75A8BB76" w14:textId="77777777" w:rsidR="007049A5" w:rsidRPr="004E4188" w:rsidRDefault="007049A5" w:rsidP="006C6267">
            <w:pPr>
              <w:jc w:val="center"/>
              <w:rPr>
                <w:i/>
              </w:rPr>
            </w:pPr>
            <w:r w:rsidRPr="004E4188">
              <w:rPr>
                <w:i/>
                <w:sz w:val="22"/>
                <w:szCs w:val="22"/>
              </w:rPr>
              <w:t>N</w:t>
            </w:r>
            <w:r w:rsidRPr="004E4188">
              <w:rPr>
                <w:i/>
                <w:sz w:val="22"/>
                <w:szCs w:val="22"/>
                <w:vertAlign w:val="superscript"/>
              </w:rPr>
              <w:t xml:space="preserve">o </w:t>
            </w:r>
            <w:r w:rsidRPr="004E4188">
              <w:rPr>
                <w:i/>
                <w:sz w:val="22"/>
                <w:szCs w:val="22"/>
              </w:rPr>
              <w:t>du poste</w:t>
            </w:r>
          </w:p>
        </w:tc>
        <w:tc>
          <w:tcPr>
            <w:tcW w:w="1833" w:type="dxa"/>
            <w:vMerge w:val="restart"/>
            <w:tcBorders>
              <w:top w:val="double" w:sz="6" w:space="0" w:color="auto"/>
              <w:left w:val="single" w:sz="6" w:space="0" w:color="auto"/>
              <w:bottom w:val="single" w:sz="6" w:space="0" w:color="auto"/>
              <w:right w:val="single" w:sz="6" w:space="0" w:color="auto"/>
            </w:tcBorders>
          </w:tcPr>
          <w:p w14:paraId="652C8A96" w14:textId="77777777" w:rsidR="007049A5" w:rsidRPr="004E4188" w:rsidRDefault="007049A5" w:rsidP="006C6267">
            <w:pPr>
              <w:jc w:val="center"/>
              <w:rPr>
                <w:i/>
              </w:rPr>
            </w:pPr>
            <w:r w:rsidRPr="004E4188">
              <w:rPr>
                <w:i/>
              </w:rPr>
              <w:t>Description</w:t>
            </w:r>
          </w:p>
        </w:tc>
        <w:tc>
          <w:tcPr>
            <w:tcW w:w="1134" w:type="dxa"/>
            <w:vMerge w:val="restart"/>
            <w:tcBorders>
              <w:top w:val="double" w:sz="6" w:space="0" w:color="auto"/>
              <w:left w:val="single" w:sz="6" w:space="0" w:color="auto"/>
              <w:bottom w:val="single" w:sz="6" w:space="0" w:color="auto"/>
              <w:right w:val="single" w:sz="6" w:space="0" w:color="auto"/>
            </w:tcBorders>
          </w:tcPr>
          <w:p w14:paraId="78CD8BE8" w14:textId="77777777" w:rsidR="007049A5" w:rsidRPr="004E4188" w:rsidRDefault="007049A5" w:rsidP="006C6267">
            <w:pPr>
              <w:jc w:val="center"/>
              <w:rPr>
                <w:i/>
                <w:sz w:val="20"/>
              </w:rPr>
            </w:pPr>
            <w:r w:rsidRPr="004E4188">
              <w:rPr>
                <w:i/>
                <w:sz w:val="22"/>
              </w:rPr>
              <w:t>Pays d’origine</w:t>
            </w:r>
          </w:p>
        </w:tc>
        <w:tc>
          <w:tcPr>
            <w:tcW w:w="709" w:type="dxa"/>
            <w:vMerge w:val="restart"/>
            <w:tcBorders>
              <w:top w:val="double" w:sz="6" w:space="0" w:color="auto"/>
              <w:left w:val="single" w:sz="6" w:space="0" w:color="auto"/>
              <w:bottom w:val="single" w:sz="6" w:space="0" w:color="auto"/>
              <w:right w:val="single" w:sz="6" w:space="0" w:color="auto"/>
            </w:tcBorders>
          </w:tcPr>
          <w:p w14:paraId="007D474F" w14:textId="77777777" w:rsidR="007049A5" w:rsidRPr="004E4188" w:rsidRDefault="007049A5" w:rsidP="006C6267">
            <w:pPr>
              <w:jc w:val="center"/>
              <w:rPr>
                <w:i/>
                <w:sz w:val="20"/>
              </w:rPr>
            </w:pPr>
            <w:r w:rsidRPr="004E4188">
              <w:rPr>
                <w:i/>
                <w:sz w:val="22"/>
              </w:rPr>
              <w:t>Code</w:t>
            </w:r>
            <w:r w:rsidRPr="004E4188">
              <w:rPr>
                <w:i/>
                <w:sz w:val="22"/>
                <w:vertAlign w:val="superscript"/>
              </w:rPr>
              <w:t>1</w:t>
            </w:r>
          </w:p>
        </w:tc>
        <w:tc>
          <w:tcPr>
            <w:tcW w:w="992" w:type="dxa"/>
            <w:vMerge w:val="restart"/>
            <w:tcBorders>
              <w:top w:val="double" w:sz="6" w:space="0" w:color="auto"/>
              <w:left w:val="single" w:sz="6" w:space="0" w:color="auto"/>
              <w:right w:val="single" w:sz="6" w:space="0" w:color="auto"/>
            </w:tcBorders>
          </w:tcPr>
          <w:p w14:paraId="61255745" w14:textId="77777777" w:rsidR="007049A5" w:rsidRPr="004E4188" w:rsidRDefault="007049A5" w:rsidP="006C6267">
            <w:pPr>
              <w:jc w:val="center"/>
              <w:rPr>
                <w:i/>
                <w:sz w:val="22"/>
              </w:rPr>
            </w:pPr>
            <w:r w:rsidRPr="004E4188">
              <w:rPr>
                <w:i/>
                <w:sz w:val="22"/>
              </w:rPr>
              <w:t>Quantité</w:t>
            </w:r>
          </w:p>
          <w:p w14:paraId="7091ED66" w14:textId="77777777" w:rsidR="007049A5" w:rsidRPr="004E4188" w:rsidRDefault="007049A5" w:rsidP="006C6267">
            <w:pPr>
              <w:jc w:val="center"/>
              <w:rPr>
                <w:i/>
                <w:sz w:val="22"/>
              </w:rPr>
            </w:pPr>
          </w:p>
          <w:p w14:paraId="294D469C" w14:textId="77777777" w:rsidR="007049A5" w:rsidRPr="004E4188" w:rsidRDefault="007049A5" w:rsidP="006C6267">
            <w:pPr>
              <w:jc w:val="center"/>
              <w:rPr>
                <w:i/>
                <w:sz w:val="20"/>
              </w:rPr>
            </w:pPr>
            <w:r w:rsidRPr="004E4188">
              <w:rPr>
                <w:i/>
                <w:sz w:val="22"/>
              </w:rPr>
              <w:t>(1)</w:t>
            </w:r>
          </w:p>
        </w:tc>
        <w:tc>
          <w:tcPr>
            <w:tcW w:w="2268" w:type="dxa"/>
            <w:gridSpan w:val="2"/>
            <w:tcBorders>
              <w:top w:val="double" w:sz="6" w:space="0" w:color="auto"/>
              <w:left w:val="single" w:sz="6" w:space="0" w:color="auto"/>
              <w:bottom w:val="single" w:sz="6" w:space="0" w:color="auto"/>
              <w:right w:val="single" w:sz="4" w:space="0" w:color="auto"/>
            </w:tcBorders>
          </w:tcPr>
          <w:p w14:paraId="149A9F86" w14:textId="77777777" w:rsidR="007049A5" w:rsidRPr="004E4188" w:rsidRDefault="007049A5" w:rsidP="006C6267">
            <w:pPr>
              <w:tabs>
                <w:tab w:val="left" w:pos="560"/>
              </w:tabs>
              <w:jc w:val="center"/>
              <w:rPr>
                <w:i/>
              </w:rPr>
            </w:pPr>
            <w:r w:rsidRPr="004E4188">
              <w:rPr>
                <w:i/>
                <w:sz w:val="22"/>
              </w:rPr>
              <w:t>Prix unitaire</w:t>
            </w:r>
          </w:p>
          <w:p w14:paraId="0AE68AC9" w14:textId="77777777" w:rsidR="007049A5" w:rsidRPr="004E4188" w:rsidRDefault="007049A5" w:rsidP="006C6267">
            <w:pPr>
              <w:jc w:val="center"/>
              <w:rPr>
                <w:i/>
              </w:rPr>
            </w:pPr>
            <w:r w:rsidRPr="004E4188">
              <w:rPr>
                <w:i/>
              </w:rPr>
              <w:t>(2)</w:t>
            </w:r>
          </w:p>
        </w:tc>
        <w:tc>
          <w:tcPr>
            <w:tcW w:w="1646" w:type="dxa"/>
            <w:vMerge w:val="restart"/>
            <w:tcBorders>
              <w:top w:val="double" w:sz="6" w:space="0" w:color="auto"/>
              <w:left w:val="single" w:sz="4" w:space="0" w:color="auto"/>
              <w:right w:val="double" w:sz="6" w:space="0" w:color="auto"/>
            </w:tcBorders>
          </w:tcPr>
          <w:p w14:paraId="4966EFD9" w14:textId="77777777" w:rsidR="007049A5" w:rsidRPr="004E4188" w:rsidRDefault="007049A5" w:rsidP="006C6267">
            <w:pPr>
              <w:jc w:val="center"/>
              <w:rPr>
                <w:i/>
              </w:rPr>
            </w:pPr>
            <w:r w:rsidRPr="004E4188">
              <w:rPr>
                <w:i/>
                <w:sz w:val="22"/>
              </w:rPr>
              <w:t>Prix total</w:t>
            </w:r>
          </w:p>
          <w:p w14:paraId="0D0C45D5" w14:textId="77777777" w:rsidR="007049A5" w:rsidRPr="004E4188" w:rsidDel="00C12DF1" w:rsidRDefault="007049A5" w:rsidP="006C6267">
            <w:pPr>
              <w:jc w:val="center"/>
              <w:rPr>
                <w:i/>
              </w:rPr>
            </w:pPr>
            <w:r w:rsidRPr="004E4188">
              <w:rPr>
                <w:i/>
                <w:lang w:eastAsia="ja-JP"/>
              </w:rPr>
              <w:t>(1)*(2)</w:t>
            </w:r>
          </w:p>
        </w:tc>
      </w:tr>
      <w:tr w:rsidR="007049A5" w:rsidRPr="004E4188" w14:paraId="6CDE7508" w14:textId="77777777" w:rsidTr="00510D0A">
        <w:trPr>
          <w:trHeight w:val="300"/>
        </w:trPr>
        <w:tc>
          <w:tcPr>
            <w:tcW w:w="707" w:type="dxa"/>
            <w:vMerge/>
            <w:tcBorders>
              <w:top w:val="single" w:sz="6" w:space="0" w:color="auto"/>
              <w:left w:val="double" w:sz="6" w:space="0" w:color="auto"/>
              <w:bottom w:val="single" w:sz="6" w:space="0" w:color="auto"/>
              <w:right w:val="single" w:sz="6" w:space="0" w:color="auto"/>
            </w:tcBorders>
          </w:tcPr>
          <w:p w14:paraId="6064CD82" w14:textId="77777777" w:rsidR="007049A5" w:rsidRPr="004E4188" w:rsidRDefault="007049A5" w:rsidP="006C6267">
            <w:pPr>
              <w:jc w:val="center"/>
              <w:rPr>
                <w:i/>
              </w:rPr>
            </w:pPr>
          </w:p>
        </w:tc>
        <w:tc>
          <w:tcPr>
            <w:tcW w:w="1833" w:type="dxa"/>
            <w:vMerge/>
            <w:tcBorders>
              <w:top w:val="single" w:sz="6" w:space="0" w:color="auto"/>
              <w:left w:val="single" w:sz="6" w:space="0" w:color="auto"/>
              <w:bottom w:val="single" w:sz="6" w:space="0" w:color="auto"/>
              <w:right w:val="single" w:sz="6" w:space="0" w:color="auto"/>
            </w:tcBorders>
          </w:tcPr>
          <w:p w14:paraId="162CDA82" w14:textId="77777777" w:rsidR="007049A5" w:rsidRPr="004E4188" w:rsidRDefault="007049A5" w:rsidP="006C6267">
            <w:pPr>
              <w:jc w:val="center"/>
              <w:rPr>
                <w:i/>
              </w:rPr>
            </w:pPr>
          </w:p>
        </w:tc>
        <w:tc>
          <w:tcPr>
            <w:tcW w:w="1134" w:type="dxa"/>
            <w:vMerge/>
            <w:tcBorders>
              <w:top w:val="single" w:sz="6" w:space="0" w:color="auto"/>
              <w:left w:val="single" w:sz="6" w:space="0" w:color="auto"/>
              <w:bottom w:val="single" w:sz="6" w:space="0" w:color="auto"/>
              <w:right w:val="single" w:sz="6" w:space="0" w:color="auto"/>
            </w:tcBorders>
          </w:tcPr>
          <w:p w14:paraId="51C75E61" w14:textId="77777777" w:rsidR="007049A5" w:rsidRPr="004E4188" w:rsidRDefault="007049A5" w:rsidP="006C6267">
            <w:pPr>
              <w:jc w:val="center"/>
              <w:rPr>
                <w:i/>
              </w:rPr>
            </w:pPr>
          </w:p>
        </w:tc>
        <w:tc>
          <w:tcPr>
            <w:tcW w:w="709" w:type="dxa"/>
            <w:vMerge/>
            <w:tcBorders>
              <w:top w:val="single" w:sz="6" w:space="0" w:color="auto"/>
              <w:left w:val="single" w:sz="6" w:space="0" w:color="auto"/>
              <w:bottom w:val="single" w:sz="6" w:space="0" w:color="auto"/>
              <w:right w:val="single" w:sz="6" w:space="0" w:color="auto"/>
            </w:tcBorders>
          </w:tcPr>
          <w:p w14:paraId="687C8F12" w14:textId="77777777" w:rsidR="007049A5" w:rsidRPr="004E4188" w:rsidRDefault="007049A5" w:rsidP="006C6267">
            <w:pPr>
              <w:jc w:val="center"/>
              <w:rPr>
                <w:i/>
              </w:rPr>
            </w:pPr>
          </w:p>
        </w:tc>
        <w:tc>
          <w:tcPr>
            <w:tcW w:w="992" w:type="dxa"/>
            <w:vMerge/>
            <w:tcBorders>
              <w:left w:val="single" w:sz="6" w:space="0" w:color="auto"/>
              <w:bottom w:val="single" w:sz="6" w:space="0" w:color="auto"/>
              <w:right w:val="single" w:sz="6" w:space="0" w:color="auto"/>
            </w:tcBorders>
          </w:tcPr>
          <w:p w14:paraId="0D898B98" w14:textId="77777777" w:rsidR="007049A5" w:rsidRPr="004E4188" w:rsidRDefault="007049A5" w:rsidP="006C6267">
            <w:pPr>
              <w:jc w:val="center"/>
              <w:rPr>
                <w:i/>
                <w:sz w:val="20"/>
                <w:lang w:eastAsia="ja-JP"/>
              </w:rPr>
            </w:pPr>
          </w:p>
        </w:tc>
        <w:tc>
          <w:tcPr>
            <w:tcW w:w="1079" w:type="dxa"/>
            <w:tcBorders>
              <w:top w:val="single" w:sz="6" w:space="0" w:color="auto"/>
              <w:left w:val="single" w:sz="6" w:space="0" w:color="auto"/>
              <w:bottom w:val="single" w:sz="6" w:space="0" w:color="auto"/>
              <w:right w:val="single" w:sz="6" w:space="0" w:color="auto"/>
            </w:tcBorders>
          </w:tcPr>
          <w:p w14:paraId="70BD08D4" w14:textId="77777777" w:rsidR="007049A5" w:rsidRPr="004E4188" w:rsidRDefault="007049A5" w:rsidP="006C6267">
            <w:pPr>
              <w:jc w:val="center"/>
              <w:rPr>
                <w:i/>
                <w:sz w:val="20"/>
                <w:lang w:eastAsia="ja-JP"/>
              </w:rPr>
            </w:pPr>
            <w:r w:rsidRPr="004E4188">
              <w:rPr>
                <w:i/>
                <w:sz w:val="22"/>
              </w:rPr>
              <w:t>Monnaie étrangère</w:t>
            </w:r>
          </w:p>
        </w:tc>
        <w:tc>
          <w:tcPr>
            <w:tcW w:w="1189" w:type="dxa"/>
            <w:tcBorders>
              <w:left w:val="single" w:sz="6" w:space="0" w:color="auto"/>
              <w:bottom w:val="single" w:sz="6" w:space="0" w:color="auto"/>
              <w:right w:val="single" w:sz="4" w:space="0" w:color="auto"/>
            </w:tcBorders>
          </w:tcPr>
          <w:p w14:paraId="1F089937" w14:textId="77777777" w:rsidR="007049A5" w:rsidRPr="004E4188" w:rsidRDefault="007049A5" w:rsidP="006C6267">
            <w:pPr>
              <w:jc w:val="center"/>
              <w:rPr>
                <w:i/>
                <w:lang w:eastAsia="ja-JP"/>
              </w:rPr>
            </w:pPr>
            <w:r w:rsidRPr="004E4188">
              <w:rPr>
                <w:i/>
                <w:sz w:val="22"/>
              </w:rPr>
              <w:t>Prix unitaire</w:t>
            </w:r>
          </w:p>
        </w:tc>
        <w:tc>
          <w:tcPr>
            <w:tcW w:w="1646" w:type="dxa"/>
            <w:vMerge/>
            <w:tcBorders>
              <w:left w:val="single" w:sz="4" w:space="0" w:color="auto"/>
              <w:bottom w:val="single" w:sz="6" w:space="0" w:color="auto"/>
              <w:right w:val="double" w:sz="6" w:space="0" w:color="auto"/>
            </w:tcBorders>
          </w:tcPr>
          <w:p w14:paraId="27EA918C" w14:textId="77777777" w:rsidR="007049A5" w:rsidRPr="004E4188" w:rsidRDefault="007049A5" w:rsidP="006C6267">
            <w:pPr>
              <w:jc w:val="center"/>
              <w:rPr>
                <w:i/>
                <w:lang w:eastAsia="ja-JP"/>
              </w:rPr>
            </w:pPr>
          </w:p>
        </w:tc>
      </w:tr>
      <w:tr w:rsidR="007049A5" w:rsidRPr="004E4188" w14:paraId="4D454210" w14:textId="77777777" w:rsidTr="00510D0A">
        <w:tc>
          <w:tcPr>
            <w:tcW w:w="707" w:type="dxa"/>
            <w:tcBorders>
              <w:top w:val="single" w:sz="6" w:space="0" w:color="auto"/>
              <w:left w:val="double" w:sz="6" w:space="0" w:color="auto"/>
              <w:bottom w:val="dotted" w:sz="4" w:space="0" w:color="auto"/>
              <w:right w:val="single" w:sz="6" w:space="0" w:color="auto"/>
            </w:tcBorders>
          </w:tcPr>
          <w:p w14:paraId="2D3CB78F" w14:textId="77777777" w:rsidR="007049A5" w:rsidRPr="004E4188" w:rsidRDefault="007049A5" w:rsidP="006C6267">
            <w:pPr>
              <w:jc w:val="left"/>
            </w:pPr>
            <w:r w:rsidRPr="004E4188">
              <w:t>601</w:t>
            </w:r>
          </w:p>
        </w:tc>
        <w:tc>
          <w:tcPr>
            <w:tcW w:w="1833" w:type="dxa"/>
            <w:tcBorders>
              <w:top w:val="single" w:sz="6" w:space="0" w:color="auto"/>
              <w:left w:val="single" w:sz="6" w:space="0" w:color="auto"/>
              <w:bottom w:val="dotted" w:sz="4" w:space="0" w:color="auto"/>
              <w:right w:val="single" w:sz="6" w:space="0" w:color="auto"/>
            </w:tcBorders>
          </w:tcPr>
          <w:p w14:paraId="0D5AA1F9" w14:textId="77777777" w:rsidR="007049A5" w:rsidRPr="004E4188" w:rsidRDefault="007049A5" w:rsidP="006C6267">
            <w:pPr>
              <w:jc w:val="left"/>
            </w:pPr>
          </w:p>
        </w:tc>
        <w:tc>
          <w:tcPr>
            <w:tcW w:w="1134" w:type="dxa"/>
            <w:tcBorders>
              <w:top w:val="single" w:sz="6" w:space="0" w:color="auto"/>
              <w:left w:val="single" w:sz="6" w:space="0" w:color="auto"/>
              <w:bottom w:val="dotted" w:sz="4" w:space="0" w:color="auto"/>
              <w:right w:val="single" w:sz="6" w:space="0" w:color="auto"/>
            </w:tcBorders>
          </w:tcPr>
          <w:p w14:paraId="690489B2" w14:textId="77777777" w:rsidR="007049A5" w:rsidRPr="004E4188" w:rsidRDefault="007049A5" w:rsidP="006C6267">
            <w:pPr>
              <w:jc w:val="left"/>
            </w:pPr>
          </w:p>
        </w:tc>
        <w:tc>
          <w:tcPr>
            <w:tcW w:w="709" w:type="dxa"/>
            <w:tcBorders>
              <w:top w:val="single" w:sz="6" w:space="0" w:color="auto"/>
              <w:left w:val="single" w:sz="6" w:space="0" w:color="auto"/>
              <w:bottom w:val="dotted" w:sz="4" w:space="0" w:color="auto"/>
              <w:right w:val="single" w:sz="6" w:space="0" w:color="auto"/>
            </w:tcBorders>
          </w:tcPr>
          <w:p w14:paraId="6E23735D" w14:textId="77777777" w:rsidR="007049A5" w:rsidRPr="004E4188" w:rsidRDefault="007049A5" w:rsidP="006C6267">
            <w:pPr>
              <w:jc w:val="left"/>
            </w:pPr>
          </w:p>
        </w:tc>
        <w:tc>
          <w:tcPr>
            <w:tcW w:w="992" w:type="dxa"/>
            <w:tcBorders>
              <w:top w:val="single" w:sz="6" w:space="0" w:color="auto"/>
              <w:left w:val="single" w:sz="6" w:space="0" w:color="auto"/>
              <w:bottom w:val="dotted" w:sz="4" w:space="0" w:color="auto"/>
              <w:right w:val="single" w:sz="6" w:space="0" w:color="auto"/>
            </w:tcBorders>
          </w:tcPr>
          <w:p w14:paraId="610DA0BB" w14:textId="77777777" w:rsidR="007049A5" w:rsidRPr="004E4188" w:rsidRDefault="007049A5" w:rsidP="006C6267">
            <w:pPr>
              <w:jc w:val="center"/>
            </w:pPr>
          </w:p>
        </w:tc>
        <w:tc>
          <w:tcPr>
            <w:tcW w:w="1079" w:type="dxa"/>
            <w:tcBorders>
              <w:top w:val="single" w:sz="6" w:space="0" w:color="auto"/>
              <w:left w:val="single" w:sz="6" w:space="0" w:color="auto"/>
              <w:bottom w:val="dotted" w:sz="4" w:space="0" w:color="auto"/>
              <w:right w:val="single" w:sz="6" w:space="0" w:color="auto"/>
            </w:tcBorders>
          </w:tcPr>
          <w:p w14:paraId="62DC2024" w14:textId="77777777" w:rsidR="007049A5" w:rsidRPr="004E4188" w:rsidRDefault="007049A5" w:rsidP="006C6267">
            <w:pPr>
              <w:jc w:val="center"/>
            </w:pPr>
          </w:p>
        </w:tc>
        <w:tc>
          <w:tcPr>
            <w:tcW w:w="1189" w:type="dxa"/>
            <w:tcBorders>
              <w:top w:val="single" w:sz="6" w:space="0" w:color="auto"/>
              <w:left w:val="single" w:sz="6" w:space="0" w:color="auto"/>
              <w:bottom w:val="dotted" w:sz="4" w:space="0" w:color="auto"/>
              <w:right w:val="single" w:sz="4" w:space="0" w:color="auto"/>
            </w:tcBorders>
          </w:tcPr>
          <w:p w14:paraId="31C9E8BC" w14:textId="77777777" w:rsidR="007049A5" w:rsidRPr="004E4188" w:rsidRDefault="007049A5" w:rsidP="006C6267">
            <w:pPr>
              <w:jc w:val="center"/>
            </w:pPr>
          </w:p>
        </w:tc>
        <w:tc>
          <w:tcPr>
            <w:tcW w:w="1646" w:type="dxa"/>
            <w:tcBorders>
              <w:top w:val="single" w:sz="6" w:space="0" w:color="auto"/>
              <w:left w:val="single" w:sz="4" w:space="0" w:color="auto"/>
              <w:bottom w:val="dotted" w:sz="4" w:space="0" w:color="auto"/>
              <w:right w:val="double" w:sz="6" w:space="0" w:color="auto"/>
            </w:tcBorders>
          </w:tcPr>
          <w:p w14:paraId="29F23E1A" w14:textId="77777777" w:rsidR="007049A5" w:rsidRPr="004E4188" w:rsidRDefault="007049A5" w:rsidP="006C6267">
            <w:pPr>
              <w:jc w:val="center"/>
            </w:pPr>
          </w:p>
        </w:tc>
      </w:tr>
      <w:tr w:rsidR="007049A5" w:rsidRPr="004E4188" w14:paraId="397757ED" w14:textId="77777777" w:rsidTr="00510D0A">
        <w:tc>
          <w:tcPr>
            <w:tcW w:w="707" w:type="dxa"/>
            <w:tcBorders>
              <w:top w:val="dotted" w:sz="4" w:space="0" w:color="auto"/>
              <w:left w:val="double" w:sz="6" w:space="0" w:color="auto"/>
              <w:bottom w:val="dotted" w:sz="4" w:space="0" w:color="auto"/>
              <w:right w:val="single" w:sz="6" w:space="0" w:color="auto"/>
            </w:tcBorders>
          </w:tcPr>
          <w:p w14:paraId="750438C0" w14:textId="77777777" w:rsidR="007049A5" w:rsidRPr="004E4188" w:rsidRDefault="007049A5" w:rsidP="006C6267">
            <w:pPr>
              <w:jc w:val="left"/>
            </w:pPr>
            <w:r w:rsidRPr="004E4188">
              <w:t>602</w:t>
            </w:r>
          </w:p>
        </w:tc>
        <w:tc>
          <w:tcPr>
            <w:tcW w:w="1833" w:type="dxa"/>
            <w:tcBorders>
              <w:top w:val="dotted" w:sz="4" w:space="0" w:color="auto"/>
              <w:left w:val="single" w:sz="6" w:space="0" w:color="auto"/>
              <w:bottom w:val="dotted" w:sz="4" w:space="0" w:color="auto"/>
              <w:right w:val="single" w:sz="6" w:space="0" w:color="auto"/>
            </w:tcBorders>
          </w:tcPr>
          <w:p w14:paraId="3E020EE4" w14:textId="77777777" w:rsidR="007049A5" w:rsidRPr="004E4188" w:rsidRDefault="007049A5" w:rsidP="006C6267">
            <w:pPr>
              <w:jc w:val="left"/>
            </w:pPr>
          </w:p>
        </w:tc>
        <w:tc>
          <w:tcPr>
            <w:tcW w:w="1134" w:type="dxa"/>
            <w:tcBorders>
              <w:top w:val="dotted" w:sz="4" w:space="0" w:color="auto"/>
              <w:left w:val="single" w:sz="6" w:space="0" w:color="auto"/>
              <w:bottom w:val="dotted" w:sz="4" w:space="0" w:color="auto"/>
              <w:right w:val="single" w:sz="6" w:space="0" w:color="auto"/>
            </w:tcBorders>
          </w:tcPr>
          <w:p w14:paraId="70022574" w14:textId="77777777" w:rsidR="007049A5" w:rsidRPr="004E4188" w:rsidRDefault="007049A5" w:rsidP="006C6267">
            <w:pPr>
              <w:jc w:val="left"/>
            </w:pPr>
          </w:p>
        </w:tc>
        <w:tc>
          <w:tcPr>
            <w:tcW w:w="709" w:type="dxa"/>
            <w:tcBorders>
              <w:top w:val="dotted" w:sz="4" w:space="0" w:color="auto"/>
              <w:left w:val="single" w:sz="6" w:space="0" w:color="auto"/>
              <w:bottom w:val="dotted" w:sz="4" w:space="0" w:color="auto"/>
              <w:right w:val="single" w:sz="6" w:space="0" w:color="auto"/>
            </w:tcBorders>
          </w:tcPr>
          <w:p w14:paraId="1D63D12C" w14:textId="77777777" w:rsidR="007049A5" w:rsidRPr="004E4188" w:rsidRDefault="007049A5" w:rsidP="006C6267">
            <w:pPr>
              <w:jc w:val="left"/>
            </w:pPr>
          </w:p>
        </w:tc>
        <w:tc>
          <w:tcPr>
            <w:tcW w:w="992" w:type="dxa"/>
            <w:tcBorders>
              <w:top w:val="dotted" w:sz="4" w:space="0" w:color="auto"/>
              <w:left w:val="single" w:sz="6" w:space="0" w:color="auto"/>
              <w:bottom w:val="dotted" w:sz="4" w:space="0" w:color="auto"/>
              <w:right w:val="single" w:sz="6" w:space="0" w:color="auto"/>
            </w:tcBorders>
          </w:tcPr>
          <w:p w14:paraId="195C4C8B" w14:textId="77777777" w:rsidR="007049A5" w:rsidRPr="004E4188" w:rsidRDefault="007049A5" w:rsidP="006C6267">
            <w:pPr>
              <w:jc w:val="center"/>
            </w:pPr>
          </w:p>
        </w:tc>
        <w:tc>
          <w:tcPr>
            <w:tcW w:w="1079" w:type="dxa"/>
            <w:tcBorders>
              <w:top w:val="dotted" w:sz="4" w:space="0" w:color="auto"/>
              <w:left w:val="single" w:sz="6" w:space="0" w:color="auto"/>
              <w:bottom w:val="dotted" w:sz="4" w:space="0" w:color="auto"/>
              <w:right w:val="single" w:sz="6" w:space="0" w:color="auto"/>
            </w:tcBorders>
          </w:tcPr>
          <w:p w14:paraId="04F135E2" w14:textId="77777777" w:rsidR="007049A5" w:rsidRPr="004E4188" w:rsidRDefault="007049A5" w:rsidP="006C6267">
            <w:pPr>
              <w:jc w:val="center"/>
            </w:pPr>
          </w:p>
        </w:tc>
        <w:tc>
          <w:tcPr>
            <w:tcW w:w="1189" w:type="dxa"/>
            <w:tcBorders>
              <w:top w:val="dotted" w:sz="4" w:space="0" w:color="auto"/>
              <w:left w:val="single" w:sz="6" w:space="0" w:color="auto"/>
              <w:bottom w:val="dotted" w:sz="4" w:space="0" w:color="auto"/>
              <w:right w:val="single" w:sz="4" w:space="0" w:color="auto"/>
            </w:tcBorders>
          </w:tcPr>
          <w:p w14:paraId="34ACDA39" w14:textId="77777777" w:rsidR="007049A5" w:rsidRPr="004E4188" w:rsidRDefault="007049A5" w:rsidP="006C6267">
            <w:pPr>
              <w:jc w:val="center"/>
            </w:pPr>
          </w:p>
        </w:tc>
        <w:tc>
          <w:tcPr>
            <w:tcW w:w="1646" w:type="dxa"/>
            <w:tcBorders>
              <w:top w:val="dotted" w:sz="4" w:space="0" w:color="auto"/>
              <w:left w:val="single" w:sz="4" w:space="0" w:color="auto"/>
              <w:bottom w:val="dotted" w:sz="4" w:space="0" w:color="auto"/>
              <w:right w:val="double" w:sz="6" w:space="0" w:color="auto"/>
            </w:tcBorders>
          </w:tcPr>
          <w:p w14:paraId="663C7C3F" w14:textId="77777777" w:rsidR="007049A5" w:rsidRPr="004E4188" w:rsidRDefault="007049A5" w:rsidP="006C6267">
            <w:pPr>
              <w:jc w:val="center"/>
            </w:pPr>
          </w:p>
        </w:tc>
      </w:tr>
      <w:tr w:rsidR="007049A5" w:rsidRPr="004E4188" w14:paraId="061CE51B" w14:textId="77777777" w:rsidTr="00510D0A">
        <w:tc>
          <w:tcPr>
            <w:tcW w:w="707" w:type="dxa"/>
            <w:tcBorders>
              <w:top w:val="dotted" w:sz="4" w:space="0" w:color="auto"/>
              <w:left w:val="double" w:sz="6" w:space="0" w:color="auto"/>
              <w:bottom w:val="dotted" w:sz="4" w:space="0" w:color="auto"/>
              <w:right w:val="single" w:sz="6" w:space="0" w:color="auto"/>
            </w:tcBorders>
          </w:tcPr>
          <w:p w14:paraId="3274ED2D" w14:textId="77777777" w:rsidR="007049A5" w:rsidRPr="004E4188" w:rsidRDefault="007049A5" w:rsidP="006C6267">
            <w:pPr>
              <w:jc w:val="left"/>
            </w:pPr>
            <w:r w:rsidRPr="004E4188">
              <w:t>603</w:t>
            </w:r>
          </w:p>
        </w:tc>
        <w:tc>
          <w:tcPr>
            <w:tcW w:w="1833" w:type="dxa"/>
            <w:tcBorders>
              <w:top w:val="dotted" w:sz="4" w:space="0" w:color="auto"/>
              <w:left w:val="single" w:sz="6" w:space="0" w:color="auto"/>
              <w:bottom w:val="dotted" w:sz="4" w:space="0" w:color="auto"/>
              <w:right w:val="single" w:sz="6" w:space="0" w:color="auto"/>
            </w:tcBorders>
          </w:tcPr>
          <w:p w14:paraId="4ABB952A" w14:textId="77777777" w:rsidR="007049A5" w:rsidRPr="004E4188" w:rsidRDefault="007049A5" w:rsidP="006C6267">
            <w:pPr>
              <w:jc w:val="left"/>
            </w:pPr>
          </w:p>
        </w:tc>
        <w:tc>
          <w:tcPr>
            <w:tcW w:w="1134" w:type="dxa"/>
            <w:tcBorders>
              <w:top w:val="dotted" w:sz="4" w:space="0" w:color="auto"/>
              <w:left w:val="single" w:sz="6" w:space="0" w:color="auto"/>
              <w:bottom w:val="dotted" w:sz="4" w:space="0" w:color="auto"/>
              <w:right w:val="single" w:sz="6" w:space="0" w:color="auto"/>
            </w:tcBorders>
          </w:tcPr>
          <w:p w14:paraId="1956407B" w14:textId="77777777" w:rsidR="007049A5" w:rsidRPr="004E4188" w:rsidRDefault="007049A5" w:rsidP="006C6267">
            <w:pPr>
              <w:jc w:val="left"/>
            </w:pPr>
          </w:p>
        </w:tc>
        <w:tc>
          <w:tcPr>
            <w:tcW w:w="709" w:type="dxa"/>
            <w:tcBorders>
              <w:top w:val="dotted" w:sz="4" w:space="0" w:color="auto"/>
              <w:left w:val="single" w:sz="6" w:space="0" w:color="auto"/>
              <w:bottom w:val="dotted" w:sz="4" w:space="0" w:color="auto"/>
              <w:right w:val="single" w:sz="6" w:space="0" w:color="auto"/>
            </w:tcBorders>
          </w:tcPr>
          <w:p w14:paraId="1CF46875" w14:textId="77777777" w:rsidR="007049A5" w:rsidRPr="004E4188" w:rsidRDefault="007049A5" w:rsidP="006C6267">
            <w:pPr>
              <w:jc w:val="left"/>
            </w:pPr>
          </w:p>
        </w:tc>
        <w:tc>
          <w:tcPr>
            <w:tcW w:w="992" w:type="dxa"/>
            <w:tcBorders>
              <w:top w:val="dotted" w:sz="4" w:space="0" w:color="auto"/>
              <w:left w:val="single" w:sz="6" w:space="0" w:color="auto"/>
              <w:bottom w:val="dotted" w:sz="4" w:space="0" w:color="auto"/>
              <w:right w:val="single" w:sz="6" w:space="0" w:color="auto"/>
            </w:tcBorders>
          </w:tcPr>
          <w:p w14:paraId="675805B3" w14:textId="77777777" w:rsidR="007049A5" w:rsidRPr="004E4188" w:rsidRDefault="007049A5" w:rsidP="006C6267">
            <w:pPr>
              <w:jc w:val="center"/>
            </w:pPr>
          </w:p>
        </w:tc>
        <w:tc>
          <w:tcPr>
            <w:tcW w:w="1079" w:type="dxa"/>
            <w:tcBorders>
              <w:top w:val="dotted" w:sz="4" w:space="0" w:color="auto"/>
              <w:left w:val="single" w:sz="6" w:space="0" w:color="auto"/>
              <w:bottom w:val="dotted" w:sz="4" w:space="0" w:color="auto"/>
              <w:right w:val="single" w:sz="6" w:space="0" w:color="auto"/>
            </w:tcBorders>
          </w:tcPr>
          <w:p w14:paraId="36DFA2E2" w14:textId="77777777" w:rsidR="007049A5" w:rsidRPr="004E4188" w:rsidRDefault="007049A5" w:rsidP="006C6267">
            <w:pPr>
              <w:jc w:val="center"/>
            </w:pPr>
          </w:p>
        </w:tc>
        <w:tc>
          <w:tcPr>
            <w:tcW w:w="1189" w:type="dxa"/>
            <w:tcBorders>
              <w:top w:val="dotted" w:sz="4" w:space="0" w:color="auto"/>
              <w:left w:val="single" w:sz="6" w:space="0" w:color="auto"/>
              <w:bottom w:val="dotted" w:sz="4" w:space="0" w:color="auto"/>
              <w:right w:val="single" w:sz="4" w:space="0" w:color="auto"/>
            </w:tcBorders>
          </w:tcPr>
          <w:p w14:paraId="3C787F6F" w14:textId="77777777" w:rsidR="007049A5" w:rsidRPr="004E4188" w:rsidRDefault="007049A5" w:rsidP="006C6267">
            <w:pPr>
              <w:jc w:val="center"/>
            </w:pPr>
          </w:p>
        </w:tc>
        <w:tc>
          <w:tcPr>
            <w:tcW w:w="1646" w:type="dxa"/>
            <w:tcBorders>
              <w:top w:val="dotted" w:sz="4" w:space="0" w:color="auto"/>
              <w:left w:val="single" w:sz="4" w:space="0" w:color="auto"/>
              <w:bottom w:val="dotted" w:sz="4" w:space="0" w:color="auto"/>
              <w:right w:val="double" w:sz="6" w:space="0" w:color="auto"/>
            </w:tcBorders>
          </w:tcPr>
          <w:p w14:paraId="75BD9C2A" w14:textId="77777777" w:rsidR="007049A5" w:rsidRPr="004E4188" w:rsidRDefault="007049A5" w:rsidP="006C6267">
            <w:pPr>
              <w:jc w:val="center"/>
            </w:pPr>
          </w:p>
        </w:tc>
      </w:tr>
      <w:tr w:rsidR="007049A5" w:rsidRPr="004E4188" w14:paraId="05889753" w14:textId="77777777" w:rsidTr="00510D0A">
        <w:tc>
          <w:tcPr>
            <w:tcW w:w="707" w:type="dxa"/>
            <w:tcBorders>
              <w:top w:val="dotted" w:sz="4" w:space="0" w:color="auto"/>
              <w:left w:val="double" w:sz="6" w:space="0" w:color="auto"/>
              <w:bottom w:val="dotted" w:sz="4" w:space="0" w:color="auto"/>
              <w:right w:val="single" w:sz="6" w:space="0" w:color="auto"/>
            </w:tcBorders>
          </w:tcPr>
          <w:p w14:paraId="1D8DFB60" w14:textId="77777777" w:rsidR="007049A5" w:rsidRPr="004E4188" w:rsidRDefault="007049A5" w:rsidP="006C6267">
            <w:pPr>
              <w:jc w:val="left"/>
            </w:pPr>
            <w:r w:rsidRPr="004E4188">
              <w:t>604</w:t>
            </w:r>
          </w:p>
        </w:tc>
        <w:tc>
          <w:tcPr>
            <w:tcW w:w="1833" w:type="dxa"/>
            <w:tcBorders>
              <w:top w:val="dotted" w:sz="4" w:space="0" w:color="auto"/>
              <w:left w:val="single" w:sz="6" w:space="0" w:color="auto"/>
              <w:bottom w:val="dotted" w:sz="4" w:space="0" w:color="auto"/>
              <w:right w:val="single" w:sz="6" w:space="0" w:color="auto"/>
            </w:tcBorders>
          </w:tcPr>
          <w:p w14:paraId="6AF15F0D" w14:textId="77777777" w:rsidR="007049A5" w:rsidRPr="004E4188" w:rsidRDefault="007049A5" w:rsidP="006C6267">
            <w:pPr>
              <w:jc w:val="left"/>
            </w:pPr>
          </w:p>
        </w:tc>
        <w:tc>
          <w:tcPr>
            <w:tcW w:w="1134" w:type="dxa"/>
            <w:tcBorders>
              <w:top w:val="dotted" w:sz="4" w:space="0" w:color="auto"/>
              <w:left w:val="single" w:sz="6" w:space="0" w:color="auto"/>
              <w:bottom w:val="dotted" w:sz="4" w:space="0" w:color="auto"/>
              <w:right w:val="single" w:sz="6" w:space="0" w:color="auto"/>
            </w:tcBorders>
          </w:tcPr>
          <w:p w14:paraId="48D85302" w14:textId="77777777" w:rsidR="007049A5" w:rsidRPr="004E4188" w:rsidRDefault="007049A5" w:rsidP="006C6267">
            <w:pPr>
              <w:jc w:val="left"/>
            </w:pPr>
          </w:p>
        </w:tc>
        <w:tc>
          <w:tcPr>
            <w:tcW w:w="709" w:type="dxa"/>
            <w:tcBorders>
              <w:top w:val="dotted" w:sz="4" w:space="0" w:color="auto"/>
              <w:left w:val="single" w:sz="6" w:space="0" w:color="auto"/>
              <w:bottom w:val="dotted" w:sz="4" w:space="0" w:color="auto"/>
              <w:right w:val="single" w:sz="6" w:space="0" w:color="auto"/>
            </w:tcBorders>
          </w:tcPr>
          <w:p w14:paraId="2DF5531D" w14:textId="77777777" w:rsidR="007049A5" w:rsidRPr="004E4188" w:rsidRDefault="007049A5" w:rsidP="006C6267">
            <w:pPr>
              <w:jc w:val="left"/>
            </w:pPr>
          </w:p>
        </w:tc>
        <w:tc>
          <w:tcPr>
            <w:tcW w:w="992" w:type="dxa"/>
            <w:tcBorders>
              <w:top w:val="dotted" w:sz="4" w:space="0" w:color="auto"/>
              <w:left w:val="single" w:sz="6" w:space="0" w:color="auto"/>
              <w:bottom w:val="dotted" w:sz="4" w:space="0" w:color="auto"/>
              <w:right w:val="single" w:sz="6" w:space="0" w:color="auto"/>
            </w:tcBorders>
          </w:tcPr>
          <w:p w14:paraId="37823BC7" w14:textId="77777777" w:rsidR="007049A5" w:rsidRPr="004E4188" w:rsidRDefault="007049A5" w:rsidP="006C6267">
            <w:pPr>
              <w:jc w:val="center"/>
            </w:pPr>
          </w:p>
        </w:tc>
        <w:tc>
          <w:tcPr>
            <w:tcW w:w="1079" w:type="dxa"/>
            <w:tcBorders>
              <w:top w:val="dotted" w:sz="4" w:space="0" w:color="auto"/>
              <w:left w:val="single" w:sz="6" w:space="0" w:color="auto"/>
              <w:bottom w:val="dotted" w:sz="4" w:space="0" w:color="auto"/>
              <w:right w:val="single" w:sz="6" w:space="0" w:color="auto"/>
            </w:tcBorders>
          </w:tcPr>
          <w:p w14:paraId="1A3C1CA2" w14:textId="77777777" w:rsidR="007049A5" w:rsidRPr="004E4188" w:rsidRDefault="007049A5" w:rsidP="006C6267">
            <w:pPr>
              <w:jc w:val="center"/>
            </w:pPr>
          </w:p>
        </w:tc>
        <w:tc>
          <w:tcPr>
            <w:tcW w:w="1189" w:type="dxa"/>
            <w:tcBorders>
              <w:top w:val="dotted" w:sz="4" w:space="0" w:color="auto"/>
              <w:left w:val="single" w:sz="6" w:space="0" w:color="auto"/>
              <w:bottom w:val="dotted" w:sz="4" w:space="0" w:color="auto"/>
              <w:right w:val="single" w:sz="4" w:space="0" w:color="auto"/>
            </w:tcBorders>
          </w:tcPr>
          <w:p w14:paraId="0F233671" w14:textId="77777777" w:rsidR="007049A5" w:rsidRPr="004E4188" w:rsidRDefault="007049A5" w:rsidP="006C6267">
            <w:pPr>
              <w:jc w:val="center"/>
            </w:pPr>
          </w:p>
        </w:tc>
        <w:tc>
          <w:tcPr>
            <w:tcW w:w="1646" w:type="dxa"/>
            <w:tcBorders>
              <w:top w:val="dotted" w:sz="4" w:space="0" w:color="auto"/>
              <w:left w:val="single" w:sz="4" w:space="0" w:color="auto"/>
              <w:bottom w:val="dotted" w:sz="4" w:space="0" w:color="auto"/>
              <w:right w:val="double" w:sz="6" w:space="0" w:color="auto"/>
            </w:tcBorders>
          </w:tcPr>
          <w:p w14:paraId="54EC3A62" w14:textId="77777777" w:rsidR="007049A5" w:rsidRPr="004E4188" w:rsidRDefault="007049A5" w:rsidP="006C6267">
            <w:pPr>
              <w:jc w:val="center"/>
            </w:pPr>
          </w:p>
        </w:tc>
      </w:tr>
      <w:tr w:rsidR="007049A5" w:rsidRPr="004E4188" w14:paraId="38CBB4E8" w14:textId="77777777" w:rsidTr="00510D0A">
        <w:tc>
          <w:tcPr>
            <w:tcW w:w="707" w:type="dxa"/>
            <w:tcBorders>
              <w:top w:val="dotted" w:sz="4" w:space="0" w:color="auto"/>
              <w:left w:val="double" w:sz="6" w:space="0" w:color="auto"/>
              <w:bottom w:val="dotted" w:sz="4" w:space="0" w:color="auto"/>
              <w:right w:val="single" w:sz="6" w:space="0" w:color="auto"/>
            </w:tcBorders>
          </w:tcPr>
          <w:p w14:paraId="6421F6D5" w14:textId="77777777" w:rsidR="007049A5" w:rsidRPr="004E4188" w:rsidRDefault="007049A5" w:rsidP="006C6267">
            <w:pPr>
              <w:jc w:val="left"/>
            </w:pPr>
            <w:r w:rsidRPr="004E4188">
              <w:t>605</w:t>
            </w:r>
          </w:p>
        </w:tc>
        <w:tc>
          <w:tcPr>
            <w:tcW w:w="1833" w:type="dxa"/>
            <w:tcBorders>
              <w:top w:val="dotted" w:sz="4" w:space="0" w:color="auto"/>
              <w:left w:val="single" w:sz="6" w:space="0" w:color="auto"/>
              <w:bottom w:val="dotted" w:sz="4" w:space="0" w:color="auto"/>
              <w:right w:val="single" w:sz="6" w:space="0" w:color="auto"/>
            </w:tcBorders>
          </w:tcPr>
          <w:p w14:paraId="0607459D" w14:textId="77777777" w:rsidR="007049A5" w:rsidRPr="004E4188" w:rsidRDefault="007049A5" w:rsidP="006C6267">
            <w:pPr>
              <w:jc w:val="left"/>
            </w:pPr>
          </w:p>
        </w:tc>
        <w:tc>
          <w:tcPr>
            <w:tcW w:w="1134" w:type="dxa"/>
            <w:tcBorders>
              <w:top w:val="dotted" w:sz="4" w:space="0" w:color="auto"/>
              <w:left w:val="single" w:sz="6" w:space="0" w:color="auto"/>
              <w:bottom w:val="dotted" w:sz="4" w:space="0" w:color="auto"/>
              <w:right w:val="single" w:sz="6" w:space="0" w:color="auto"/>
            </w:tcBorders>
          </w:tcPr>
          <w:p w14:paraId="600651A7" w14:textId="77777777" w:rsidR="007049A5" w:rsidRPr="004E4188" w:rsidRDefault="007049A5" w:rsidP="006C6267">
            <w:pPr>
              <w:jc w:val="left"/>
            </w:pPr>
          </w:p>
        </w:tc>
        <w:tc>
          <w:tcPr>
            <w:tcW w:w="709" w:type="dxa"/>
            <w:tcBorders>
              <w:top w:val="dotted" w:sz="4" w:space="0" w:color="auto"/>
              <w:left w:val="single" w:sz="6" w:space="0" w:color="auto"/>
              <w:bottom w:val="dotted" w:sz="4" w:space="0" w:color="auto"/>
              <w:right w:val="single" w:sz="6" w:space="0" w:color="auto"/>
            </w:tcBorders>
          </w:tcPr>
          <w:p w14:paraId="6D7767A8" w14:textId="77777777" w:rsidR="007049A5" w:rsidRPr="004E4188" w:rsidRDefault="007049A5" w:rsidP="006C6267">
            <w:pPr>
              <w:jc w:val="left"/>
            </w:pPr>
          </w:p>
        </w:tc>
        <w:tc>
          <w:tcPr>
            <w:tcW w:w="992" w:type="dxa"/>
            <w:tcBorders>
              <w:top w:val="dotted" w:sz="4" w:space="0" w:color="auto"/>
              <w:left w:val="single" w:sz="6" w:space="0" w:color="auto"/>
              <w:bottom w:val="dotted" w:sz="4" w:space="0" w:color="auto"/>
              <w:right w:val="single" w:sz="6" w:space="0" w:color="auto"/>
            </w:tcBorders>
          </w:tcPr>
          <w:p w14:paraId="18D078C4" w14:textId="77777777" w:rsidR="007049A5" w:rsidRPr="004E4188" w:rsidRDefault="007049A5" w:rsidP="006C6267">
            <w:pPr>
              <w:jc w:val="center"/>
              <w:rPr>
                <w:lang w:eastAsia="ja-JP"/>
              </w:rPr>
            </w:pPr>
          </w:p>
        </w:tc>
        <w:tc>
          <w:tcPr>
            <w:tcW w:w="1079" w:type="dxa"/>
            <w:tcBorders>
              <w:top w:val="dotted" w:sz="4" w:space="0" w:color="auto"/>
              <w:left w:val="single" w:sz="6" w:space="0" w:color="auto"/>
              <w:bottom w:val="dotted" w:sz="4" w:space="0" w:color="auto"/>
              <w:right w:val="single" w:sz="6" w:space="0" w:color="auto"/>
            </w:tcBorders>
          </w:tcPr>
          <w:p w14:paraId="10B5BDDD" w14:textId="77777777" w:rsidR="007049A5" w:rsidRPr="004E4188" w:rsidRDefault="007049A5" w:rsidP="006C6267">
            <w:pPr>
              <w:jc w:val="center"/>
            </w:pPr>
          </w:p>
        </w:tc>
        <w:tc>
          <w:tcPr>
            <w:tcW w:w="1189" w:type="dxa"/>
            <w:tcBorders>
              <w:top w:val="dotted" w:sz="4" w:space="0" w:color="auto"/>
              <w:left w:val="single" w:sz="6" w:space="0" w:color="auto"/>
              <w:bottom w:val="dotted" w:sz="4" w:space="0" w:color="auto"/>
              <w:right w:val="single" w:sz="4" w:space="0" w:color="auto"/>
            </w:tcBorders>
          </w:tcPr>
          <w:p w14:paraId="274185C7" w14:textId="77777777" w:rsidR="007049A5" w:rsidRPr="004E4188" w:rsidRDefault="007049A5" w:rsidP="006C6267">
            <w:pPr>
              <w:jc w:val="center"/>
            </w:pPr>
          </w:p>
        </w:tc>
        <w:tc>
          <w:tcPr>
            <w:tcW w:w="1646" w:type="dxa"/>
            <w:tcBorders>
              <w:top w:val="dotted" w:sz="4" w:space="0" w:color="auto"/>
              <w:left w:val="single" w:sz="4" w:space="0" w:color="auto"/>
              <w:bottom w:val="dotted" w:sz="4" w:space="0" w:color="auto"/>
              <w:right w:val="double" w:sz="6" w:space="0" w:color="auto"/>
            </w:tcBorders>
          </w:tcPr>
          <w:p w14:paraId="17B5E981" w14:textId="77777777" w:rsidR="007049A5" w:rsidRPr="004E4188" w:rsidRDefault="007049A5" w:rsidP="006C6267">
            <w:pPr>
              <w:jc w:val="center"/>
            </w:pPr>
          </w:p>
        </w:tc>
      </w:tr>
      <w:tr w:rsidR="007049A5" w:rsidRPr="004E4188" w14:paraId="475BCC7B" w14:textId="77777777" w:rsidTr="00510D0A">
        <w:tc>
          <w:tcPr>
            <w:tcW w:w="707" w:type="dxa"/>
            <w:tcBorders>
              <w:top w:val="dotted" w:sz="4" w:space="0" w:color="auto"/>
              <w:left w:val="double" w:sz="6" w:space="0" w:color="auto"/>
              <w:bottom w:val="single" w:sz="4" w:space="0" w:color="auto"/>
              <w:right w:val="single" w:sz="4" w:space="0" w:color="auto"/>
            </w:tcBorders>
          </w:tcPr>
          <w:p w14:paraId="79E80736" w14:textId="77777777" w:rsidR="007049A5" w:rsidRPr="004E4188" w:rsidRDefault="007049A5" w:rsidP="006C6267">
            <w:pPr>
              <w:jc w:val="left"/>
            </w:pPr>
          </w:p>
        </w:tc>
        <w:tc>
          <w:tcPr>
            <w:tcW w:w="1833" w:type="dxa"/>
            <w:tcBorders>
              <w:top w:val="dotted" w:sz="4" w:space="0" w:color="auto"/>
              <w:left w:val="single" w:sz="4" w:space="0" w:color="auto"/>
              <w:bottom w:val="single" w:sz="4" w:space="0" w:color="auto"/>
              <w:right w:val="single" w:sz="4" w:space="0" w:color="auto"/>
            </w:tcBorders>
          </w:tcPr>
          <w:p w14:paraId="5569A823" w14:textId="77777777" w:rsidR="007049A5" w:rsidRPr="004E4188" w:rsidRDefault="007049A5" w:rsidP="006C6267">
            <w:pPr>
              <w:jc w:val="left"/>
            </w:pPr>
          </w:p>
        </w:tc>
        <w:tc>
          <w:tcPr>
            <w:tcW w:w="1134" w:type="dxa"/>
            <w:tcBorders>
              <w:top w:val="dotted" w:sz="4" w:space="0" w:color="auto"/>
              <w:left w:val="single" w:sz="4" w:space="0" w:color="auto"/>
              <w:bottom w:val="single" w:sz="4" w:space="0" w:color="auto"/>
              <w:right w:val="single" w:sz="4" w:space="0" w:color="auto"/>
            </w:tcBorders>
          </w:tcPr>
          <w:p w14:paraId="51643AEE" w14:textId="77777777" w:rsidR="007049A5" w:rsidRPr="004E4188" w:rsidRDefault="007049A5" w:rsidP="006C6267">
            <w:pPr>
              <w:jc w:val="left"/>
            </w:pPr>
          </w:p>
        </w:tc>
        <w:tc>
          <w:tcPr>
            <w:tcW w:w="709" w:type="dxa"/>
            <w:tcBorders>
              <w:top w:val="dotted" w:sz="4" w:space="0" w:color="auto"/>
              <w:left w:val="single" w:sz="4" w:space="0" w:color="auto"/>
              <w:bottom w:val="single" w:sz="4" w:space="0" w:color="auto"/>
              <w:right w:val="single" w:sz="4" w:space="0" w:color="auto"/>
            </w:tcBorders>
          </w:tcPr>
          <w:p w14:paraId="0D358BBD" w14:textId="77777777" w:rsidR="007049A5" w:rsidRPr="004E4188" w:rsidRDefault="007049A5" w:rsidP="006C6267">
            <w:pPr>
              <w:jc w:val="left"/>
            </w:pPr>
          </w:p>
        </w:tc>
        <w:tc>
          <w:tcPr>
            <w:tcW w:w="992" w:type="dxa"/>
            <w:tcBorders>
              <w:top w:val="dotted" w:sz="4" w:space="0" w:color="auto"/>
              <w:left w:val="single" w:sz="4" w:space="0" w:color="auto"/>
              <w:bottom w:val="single" w:sz="4" w:space="0" w:color="auto"/>
              <w:right w:val="single" w:sz="4" w:space="0" w:color="auto"/>
            </w:tcBorders>
          </w:tcPr>
          <w:p w14:paraId="5A3E8BE1" w14:textId="77777777" w:rsidR="007049A5" w:rsidRPr="004E4188" w:rsidRDefault="007049A5" w:rsidP="006C6267">
            <w:pPr>
              <w:jc w:val="center"/>
            </w:pPr>
          </w:p>
        </w:tc>
        <w:tc>
          <w:tcPr>
            <w:tcW w:w="1079" w:type="dxa"/>
            <w:tcBorders>
              <w:top w:val="dotted" w:sz="4" w:space="0" w:color="auto"/>
              <w:left w:val="single" w:sz="4" w:space="0" w:color="auto"/>
              <w:bottom w:val="single" w:sz="4" w:space="0" w:color="auto"/>
              <w:right w:val="single" w:sz="4" w:space="0" w:color="auto"/>
            </w:tcBorders>
          </w:tcPr>
          <w:p w14:paraId="2C8915C0" w14:textId="77777777" w:rsidR="007049A5" w:rsidRPr="004E4188" w:rsidRDefault="007049A5" w:rsidP="006C6267">
            <w:pPr>
              <w:jc w:val="center"/>
            </w:pPr>
          </w:p>
        </w:tc>
        <w:tc>
          <w:tcPr>
            <w:tcW w:w="1189" w:type="dxa"/>
            <w:tcBorders>
              <w:top w:val="dotted" w:sz="4" w:space="0" w:color="auto"/>
              <w:left w:val="single" w:sz="4" w:space="0" w:color="auto"/>
              <w:bottom w:val="single" w:sz="4" w:space="0" w:color="auto"/>
              <w:right w:val="single" w:sz="4" w:space="0" w:color="auto"/>
            </w:tcBorders>
          </w:tcPr>
          <w:p w14:paraId="22142684" w14:textId="77777777" w:rsidR="007049A5" w:rsidRPr="004E4188" w:rsidRDefault="007049A5" w:rsidP="006C6267">
            <w:pPr>
              <w:jc w:val="center"/>
            </w:pPr>
          </w:p>
        </w:tc>
        <w:tc>
          <w:tcPr>
            <w:tcW w:w="1646" w:type="dxa"/>
            <w:tcBorders>
              <w:top w:val="dotted" w:sz="4" w:space="0" w:color="auto"/>
              <w:left w:val="single" w:sz="4" w:space="0" w:color="auto"/>
              <w:bottom w:val="single" w:sz="4" w:space="0" w:color="auto"/>
              <w:right w:val="double" w:sz="6" w:space="0" w:color="auto"/>
            </w:tcBorders>
          </w:tcPr>
          <w:p w14:paraId="7A165F88" w14:textId="77777777" w:rsidR="007049A5" w:rsidRPr="004E4188" w:rsidRDefault="007049A5" w:rsidP="006C6267">
            <w:pPr>
              <w:jc w:val="center"/>
            </w:pPr>
          </w:p>
        </w:tc>
      </w:tr>
      <w:tr w:rsidR="007049A5" w:rsidRPr="004E4188" w14:paraId="09D22172" w14:textId="77777777" w:rsidTr="00510D0A">
        <w:tc>
          <w:tcPr>
            <w:tcW w:w="7643" w:type="dxa"/>
            <w:gridSpan w:val="7"/>
            <w:tcBorders>
              <w:top w:val="single" w:sz="4" w:space="0" w:color="auto"/>
              <w:left w:val="double" w:sz="6" w:space="0" w:color="auto"/>
              <w:bottom w:val="double" w:sz="6" w:space="0" w:color="auto"/>
              <w:right w:val="single" w:sz="4" w:space="0" w:color="auto"/>
            </w:tcBorders>
          </w:tcPr>
          <w:p w14:paraId="27C07010" w14:textId="17772732" w:rsidR="007049A5" w:rsidRPr="004E4188" w:rsidRDefault="007049A5" w:rsidP="006C6267">
            <w:pPr>
              <w:wordWrap w:val="0"/>
              <w:jc w:val="right"/>
              <w:rPr>
                <w:lang w:eastAsia="ja-JP"/>
              </w:rPr>
            </w:pPr>
            <w:r w:rsidRPr="004E4188">
              <w:rPr>
                <w:sz w:val="22"/>
                <w:lang w:eastAsia="ja-JP"/>
              </w:rPr>
              <w:t xml:space="preserve">Total du </w:t>
            </w:r>
            <w:r w:rsidRPr="004E4188">
              <w:rPr>
                <w:sz w:val="22"/>
              </w:rPr>
              <w:t>Bordereau n°</w:t>
            </w:r>
            <w:r w:rsidRPr="004E4188">
              <w:t xml:space="preserve"> </w:t>
            </w:r>
            <w:r w:rsidRPr="004E4188">
              <w:rPr>
                <w:lang w:eastAsia="ja-JP"/>
              </w:rPr>
              <w:t>6-1</w:t>
            </w:r>
          </w:p>
          <w:p w14:paraId="1C97E670" w14:textId="77777777" w:rsidR="007049A5" w:rsidRPr="004E4188" w:rsidRDefault="007049A5" w:rsidP="006C6267">
            <w:pPr>
              <w:jc w:val="right"/>
              <w:rPr>
                <w:lang w:eastAsia="ja-JP"/>
              </w:rPr>
            </w:pPr>
            <w:r w:rsidRPr="004E4188">
              <w:rPr>
                <w:sz w:val="22"/>
              </w:rPr>
              <w:t>(à reprendre dans le tableau récapitulatif,</w:t>
            </w:r>
            <w:r w:rsidRPr="004E4188">
              <w:t xml:space="preserve"> p. </w:t>
            </w:r>
            <w:r w:rsidRPr="004E4188">
              <w:rPr>
                <w:u w:val="single"/>
              </w:rPr>
              <w:tab/>
            </w:r>
            <w:r w:rsidRPr="004E4188">
              <w:t>)</w:t>
            </w:r>
          </w:p>
        </w:tc>
        <w:tc>
          <w:tcPr>
            <w:tcW w:w="1646" w:type="dxa"/>
            <w:tcBorders>
              <w:top w:val="single" w:sz="4" w:space="0" w:color="auto"/>
              <w:left w:val="single" w:sz="4" w:space="0" w:color="auto"/>
              <w:bottom w:val="double" w:sz="6" w:space="0" w:color="auto"/>
              <w:right w:val="double" w:sz="6" w:space="0" w:color="auto"/>
            </w:tcBorders>
          </w:tcPr>
          <w:p w14:paraId="0A701B40" w14:textId="77777777" w:rsidR="007049A5" w:rsidRPr="004E4188" w:rsidRDefault="007049A5" w:rsidP="006C6267">
            <w:pPr>
              <w:jc w:val="center"/>
              <w:rPr>
                <w:lang w:eastAsia="ja-JP"/>
              </w:rPr>
            </w:pPr>
          </w:p>
        </w:tc>
      </w:tr>
    </w:tbl>
    <w:p w14:paraId="5D59D8EC" w14:textId="77777777" w:rsidR="007049A5" w:rsidRPr="004E4188" w:rsidRDefault="007049A5" w:rsidP="006C6267">
      <w:pPr>
        <w:rPr>
          <w:i/>
        </w:rPr>
      </w:pPr>
    </w:p>
    <w:p w14:paraId="5AE3ACA6" w14:textId="77777777" w:rsidR="007049A5" w:rsidRPr="004E4188" w:rsidRDefault="007049A5" w:rsidP="006C6267">
      <w:pPr>
        <w:rPr>
          <w:i/>
          <w:lang w:val="en-US"/>
        </w:rPr>
      </w:pPr>
      <w:r w:rsidRPr="004E4188">
        <w:rPr>
          <w:i/>
          <w:szCs w:val="24"/>
        </w:rPr>
        <w:t>É</w:t>
      </w:r>
      <w:r w:rsidRPr="004E4188">
        <w:rPr>
          <w:i/>
          <w:szCs w:val="24"/>
          <w:lang w:eastAsia="en-US"/>
        </w:rPr>
        <w:t>quipements d’origine</w:t>
      </w:r>
      <w:r w:rsidRPr="004E4188">
        <w:rPr>
          <w:i/>
          <w:noProof/>
          <w:lang w:eastAsia="en-US"/>
        </w:rPr>
        <w:t xml:space="preserve"> locale</w:t>
      </w:r>
    </w:p>
    <w:tbl>
      <w:tblPr>
        <w:tblW w:w="9294" w:type="dxa"/>
        <w:tblInd w:w="115" w:type="dxa"/>
        <w:tblLayout w:type="fixed"/>
        <w:tblLook w:val="0000" w:firstRow="0" w:lastRow="0" w:firstColumn="0" w:lastColumn="0" w:noHBand="0" w:noVBand="0"/>
      </w:tblPr>
      <w:tblGrid>
        <w:gridCol w:w="707"/>
        <w:gridCol w:w="2640"/>
        <w:gridCol w:w="840"/>
        <w:gridCol w:w="342"/>
        <w:gridCol w:w="2658"/>
        <w:gridCol w:w="840"/>
        <w:gridCol w:w="1267"/>
      </w:tblGrid>
      <w:tr w:rsidR="007049A5" w:rsidRPr="004E4188" w14:paraId="53672576" w14:textId="77777777" w:rsidTr="00510D0A">
        <w:trPr>
          <w:trHeight w:val="257"/>
        </w:trPr>
        <w:tc>
          <w:tcPr>
            <w:tcW w:w="707" w:type="dxa"/>
            <w:vMerge w:val="restart"/>
            <w:tcBorders>
              <w:top w:val="double" w:sz="6" w:space="0" w:color="auto"/>
              <w:left w:val="double" w:sz="6" w:space="0" w:color="auto"/>
              <w:right w:val="single" w:sz="6" w:space="0" w:color="auto"/>
            </w:tcBorders>
          </w:tcPr>
          <w:p w14:paraId="6B63511E" w14:textId="77777777" w:rsidR="007049A5" w:rsidRPr="004E4188" w:rsidRDefault="007049A5" w:rsidP="006C6267">
            <w:pPr>
              <w:jc w:val="center"/>
              <w:rPr>
                <w:i/>
              </w:rPr>
            </w:pPr>
            <w:r w:rsidRPr="004E4188">
              <w:rPr>
                <w:i/>
                <w:sz w:val="22"/>
                <w:szCs w:val="22"/>
              </w:rPr>
              <w:t>N</w:t>
            </w:r>
            <w:r w:rsidRPr="004E4188">
              <w:rPr>
                <w:i/>
                <w:sz w:val="22"/>
                <w:szCs w:val="22"/>
                <w:vertAlign w:val="superscript"/>
              </w:rPr>
              <w:t xml:space="preserve">o </w:t>
            </w:r>
            <w:r w:rsidRPr="004E4188">
              <w:rPr>
                <w:i/>
                <w:sz w:val="22"/>
                <w:szCs w:val="22"/>
              </w:rPr>
              <w:t>du poste</w:t>
            </w:r>
          </w:p>
        </w:tc>
        <w:tc>
          <w:tcPr>
            <w:tcW w:w="2640" w:type="dxa"/>
            <w:vMerge w:val="restart"/>
            <w:tcBorders>
              <w:top w:val="double" w:sz="6" w:space="0" w:color="auto"/>
              <w:left w:val="single" w:sz="6" w:space="0" w:color="auto"/>
              <w:right w:val="single" w:sz="6" w:space="0" w:color="auto"/>
            </w:tcBorders>
          </w:tcPr>
          <w:p w14:paraId="5C2BCC8E" w14:textId="77777777" w:rsidR="007049A5" w:rsidRPr="004E4188" w:rsidRDefault="007049A5" w:rsidP="006C6267">
            <w:pPr>
              <w:jc w:val="center"/>
              <w:rPr>
                <w:i/>
              </w:rPr>
            </w:pPr>
            <w:r w:rsidRPr="004E4188">
              <w:rPr>
                <w:i/>
              </w:rPr>
              <w:t>Description</w:t>
            </w:r>
          </w:p>
        </w:tc>
        <w:tc>
          <w:tcPr>
            <w:tcW w:w="1182" w:type="dxa"/>
            <w:gridSpan w:val="2"/>
            <w:vMerge w:val="restart"/>
            <w:tcBorders>
              <w:top w:val="double" w:sz="6" w:space="0" w:color="auto"/>
              <w:left w:val="single" w:sz="6" w:space="0" w:color="auto"/>
              <w:right w:val="single" w:sz="4" w:space="0" w:color="auto"/>
            </w:tcBorders>
          </w:tcPr>
          <w:p w14:paraId="175349B7" w14:textId="77777777" w:rsidR="007049A5" w:rsidRPr="004E4188" w:rsidRDefault="007049A5" w:rsidP="006C6267">
            <w:pPr>
              <w:jc w:val="center"/>
              <w:rPr>
                <w:i/>
                <w:sz w:val="22"/>
              </w:rPr>
            </w:pPr>
            <w:r w:rsidRPr="004E4188">
              <w:rPr>
                <w:i/>
                <w:sz w:val="22"/>
              </w:rPr>
              <w:t>Quantité</w:t>
            </w:r>
          </w:p>
          <w:p w14:paraId="713FBB0F" w14:textId="77777777" w:rsidR="007049A5" w:rsidRPr="004E4188" w:rsidRDefault="007049A5" w:rsidP="006C6267">
            <w:pPr>
              <w:jc w:val="center"/>
              <w:rPr>
                <w:i/>
              </w:rPr>
            </w:pPr>
            <w:r w:rsidRPr="004E4188">
              <w:rPr>
                <w:i/>
                <w:sz w:val="22"/>
              </w:rPr>
              <w:t>(1)</w:t>
            </w:r>
          </w:p>
        </w:tc>
        <w:tc>
          <w:tcPr>
            <w:tcW w:w="2658" w:type="dxa"/>
            <w:tcBorders>
              <w:top w:val="double" w:sz="6" w:space="0" w:color="auto"/>
              <w:left w:val="single" w:sz="4" w:space="0" w:color="auto"/>
              <w:right w:val="single" w:sz="6" w:space="0" w:color="auto"/>
            </w:tcBorders>
          </w:tcPr>
          <w:p w14:paraId="34F81687" w14:textId="77777777" w:rsidR="007049A5" w:rsidRPr="004E4188" w:rsidRDefault="007049A5" w:rsidP="006C6267">
            <w:pPr>
              <w:jc w:val="center"/>
              <w:rPr>
                <w:i/>
              </w:rPr>
            </w:pPr>
            <w:r w:rsidRPr="004E4188">
              <w:rPr>
                <w:i/>
                <w:sz w:val="22"/>
              </w:rPr>
              <w:t>Prix unitaire</w:t>
            </w:r>
          </w:p>
        </w:tc>
        <w:tc>
          <w:tcPr>
            <w:tcW w:w="2107" w:type="dxa"/>
            <w:gridSpan w:val="2"/>
            <w:vMerge w:val="restart"/>
            <w:tcBorders>
              <w:top w:val="double" w:sz="6" w:space="0" w:color="auto"/>
              <w:left w:val="single" w:sz="6" w:space="0" w:color="auto"/>
              <w:right w:val="double" w:sz="6" w:space="0" w:color="auto"/>
            </w:tcBorders>
          </w:tcPr>
          <w:p w14:paraId="2C84F80F" w14:textId="77777777" w:rsidR="007049A5" w:rsidRPr="004E4188" w:rsidRDefault="007049A5" w:rsidP="006C6267">
            <w:pPr>
              <w:jc w:val="center"/>
              <w:rPr>
                <w:i/>
                <w:sz w:val="22"/>
              </w:rPr>
            </w:pPr>
            <w:r w:rsidRPr="004E4188">
              <w:rPr>
                <w:i/>
                <w:sz w:val="22"/>
              </w:rPr>
              <w:t xml:space="preserve">Prix total </w:t>
            </w:r>
          </w:p>
          <w:p w14:paraId="042D2813" w14:textId="77777777" w:rsidR="007049A5" w:rsidRPr="004E4188" w:rsidRDefault="007049A5" w:rsidP="006C6267">
            <w:pPr>
              <w:jc w:val="center"/>
              <w:rPr>
                <w:i/>
              </w:rPr>
            </w:pPr>
            <w:r w:rsidRPr="004E4188">
              <w:rPr>
                <w:i/>
                <w:sz w:val="22"/>
              </w:rPr>
              <w:t>(1) x (2)</w:t>
            </w:r>
          </w:p>
        </w:tc>
      </w:tr>
      <w:tr w:rsidR="007049A5" w:rsidRPr="004E4188" w14:paraId="1252F916" w14:textId="77777777" w:rsidTr="00510D0A">
        <w:trPr>
          <w:trHeight w:val="256"/>
        </w:trPr>
        <w:tc>
          <w:tcPr>
            <w:tcW w:w="707" w:type="dxa"/>
            <w:vMerge/>
            <w:tcBorders>
              <w:left w:val="double" w:sz="6" w:space="0" w:color="auto"/>
              <w:bottom w:val="single" w:sz="6" w:space="0" w:color="auto"/>
              <w:right w:val="single" w:sz="6" w:space="0" w:color="auto"/>
            </w:tcBorders>
          </w:tcPr>
          <w:p w14:paraId="3715016D" w14:textId="77777777" w:rsidR="007049A5" w:rsidRPr="004E4188" w:rsidRDefault="007049A5" w:rsidP="006C6267">
            <w:pPr>
              <w:jc w:val="center"/>
              <w:rPr>
                <w:i/>
              </w:rPr>
            </w:pPr>
          </w:p>
        </w:tc>
        <w:tc>
          <w:tcPr>
            <w:tcW w:w="2640" w:type="dxa"/>
            <w:vMerge/>
            <w:tcBorders>
              <w:left w:val="single" w:sz="6" w:space="0" w:color="auto"/>
              <w:bottom w:val="single" w:sz="6" w:space="0" w:color="auto"/>
              <w:right w:val="single" w:sz="6" w:space="0" w:color="auto"/>
            </w:tcBorders>
          </w:tcPr>
          <w:p w14:paraId="3BE4791B" w14:textId="77777777" w:rsidR="007049A5" w:rsidRPr="004E4188" w:rsidRDefault="007049A5" w:rsidP="006C6267">
            <w:pPr>
              <w:jc w:val="center"/>
              <w:rPr>
                <w:i/>
              </w:rPr>
            </w:pPr>
          </w:p>
        </w:tc>
        <w:tc>
          <w:tcPr>
            <w:tcW w:w="1182" w:type="dxa"/>
            <w:gridSpan w:val="2"/>
            <w:vMerge/>
            <w:tcBorders>
              <w:left w:val="single" w:sz="6" w:space="0" w:color="auto"/>
              <w:bottom w:val="single" w:sz="6" w:space="0" w:color="auto"/>
              <w:right w:val="single" w:sz="4" w:space="0" w:color="auto"/>
            </w:tcBorders>
          </w:tcPr>
          <w:p w14:paraId="4706D7BA" w14:textId="77777777" w:rsidR="007049A5" w:rsidRPr="004E4188" w:rsidRDefault="007049A5" w:rsidP="006C6267">
            <w:pPr>
              <w:jc w:val="center"/>
              <w:rPr>
                <w:i/>
              </w:rPr>
            </w:pPr>
          </w:p>
        </w:tc>
        <w:tc>
          <w:tcPr>
            <w:tcW w:w="2658" w:type="dxa"/>
            <w:tcBorders>
              <w:left w:val="single" w:sz="4" w:space="0" w:color="auto"/>
              <w:bottom w:val="single" w:sz="6" w:space="0" w:color="auto"/>
              <w:right w:val="single" w:sz="6" w:space="0" w:color="auto"/>
            </w:tcBorders>
          </w:tcPr>
          <w:p w14:paraId="6C8EC905" w14:textId="77777777" w:rsidR="007049A5" w:rsidRPr="004E4188" w:rsidDel="002D7BDA" w:rsidRDefault="007049A5" w:rsidP="006C6267">
            <w:pPr>
              <w:jc w:val="center"/>
              <w:rPr>
                <w:i/>
                <w:lang w:eastAsia="ja-JP"/>
              </w:rPr>
            </w:pPr>
            <w:r w:rsidRPr="004E4188" w:rsidDel="00011DC4">
              <w:rPr>
                <w:i/>
                <w:sz w:val="20"/>
                <w:lang w:eastAsia="ja-JP"/>
              </w:rPr>
              <w:t xml:space="preserve"> </w:t>
            </w:r>
            <w:r w:rsidRPr="004E4188">
              <w:rPr>
                <w:i/>
                <w:lang w:eastAsia="ja-JP"/>
              </w:rPr>
              <w:t>(2)</w:t>
            </w:r>
          </w:p>
        </w:tc>
        <w:tc>
          <w:tcPr>
            <w:tcW w:w="2107" w:type="dxa"/>
            <w:gridSpan w:val="2"/>
            <w:vMerge/>
            <w:tcBorders>
              <w:left w:val="single" w:sz="6" w:space="0" w:color="auto"/>
              <w:bottom w:val="single" w:sz="6" w:space="0" w:color="auto"/>
              <w:right w:val="double" w:sz="6" w:space="0" w:color="auto"/>
            </w:tcBorders>
          </w:tcPr>
          <w:p w14:paraId="3CC2A579" w14:textId="77777777" w:rsidR="007049A5" w:rsidRPr="004E4188" w:rsidRDefault="007049A5" w:rsidP="006C6267">
            <w:pPr>
              <w:jc w:val="center"/>
              <w:rPr>
                <w:i/>
              </w:rPr>
            </w:pPr>
          </w:p>
        </w:tc>
      </w:tr>
      <w:tr w:rsidR="007049A5" w:rsidRPr="004E4188" w14:paraId="0E6D0792" w14:textId="77777777" w:rsidTr="00510D0A">
        <w:tc>
          <w:tcPr>
            <w:tcW w:w="707" w:type="dxa"/>
            <w:tcBorders>
              <w:top w:val="single" w:sz="6" w:space="0" w:color="auto"/>
              <w:left w:val="double" w:sz="6" w:space="0" w:color="auto"/>
              <w:bottom w:val="dotted" w:sz="4" w:space="0" w:color="auto"/>
              <w:right w:val="single" w:sz="6" w:space="0" w:color="auto"/>
            </w:tcBorders>
          </w:tcPr>
          <w:p w14:paraId="142A8A93" w14:textId="77777777" w:rsidR="007049A5" w:rsidRPr="004E4188" w:rsidRDefault="007049A5" w:rsidP="006C6267">
            <w:pPr>
              <w:jc w:val="left"/>
            </w:pPr>
            <w:r w:rsidRPr="004E4188">
              <w:t>606</w:t>
            </w:r>
          </w:p>
        </w:tc>
        <w:tc>
          <w:tcPr>
            <w:tcW w:w="2640" w:type="dxa"/>
            <w:tcBorders>
              <w:top w:val="single" w:sz="6" w:space="0" w:color="auto"/>
              <w:left w:val="single" w:sz="6" w:space="0" w:color="auto"/>
              <w:bottom w:val="dotted" w:sz="4" w:space="0" w:color="auto"/>
              <w:right w:val="single" w:sz="6" w:space="0" w:color="auto"/>
            </w:tcBorders>
          </w:tcPr>
          <w:p w14:paraId="3F12EB1D" w14:textId="77777777" w:rsidR="007049A5" w:rsidRPr="004E4188" w:rsidRDefault="007049A5" w:rsidP="006C6267">
            <w:pPr>
              <w:jc w:val="left"/>
            </w:pPr>
          </w:p>
        </w:tc>
        <w:tc>
          <w:tcPr>
            <w:tcW w:w="840" w:type="dxa"/>
            <w:tcBorders>
              <w:top w:val="single" w:sz="6" w:space="0" w:color="auto"/>
              <w:left w:val="single" w:sz="6" w:space="0" w:color="auto"/>
              <w:bottom w:val="dotted" w:sz="4" w:space="0" w:color="auto"/>
            </w:tcBorders>
          </w:tcPr>
          <w:p w14:paraId="53D29CD6" w14:textId="77777777" w:rsidR="007049A5" w:rsidRPr="004E4188" w:rsidRDefault="007049A5" w:rsidP="006C6267">
            <w:pPr>
              <w:jc w:val="left"/>
            </w:pPr>
          </w:p>
        </w:tc>
        <w:tc>
          <w:tcPr>
            <w:tcW w:w="342" w:type="dxa"/>
            <w:tcBorders>
              <w:top w:val="single" w:sz="6" w:space="0" w:color="auto"/>
              <w:bottom w:val="dotted" w:sz="4" w:space="0" w:color="auto"/>
              <w:right w:val="single" w:sz="6" w:space="0" w:color="auto"/>
            </w:tcBorders>
          </w:tcPr>
          <w:p w14:paraId="51D7ADC2" w14:textId="77777777" w:rsidR="007049A5" w:rsidRPr="004E4188" w:rsidRDefault="007049A5" w:rsidP="006C6267">
            <w:pPr>
              <w:jc w:val="left"/>
            </w:pPr>
          </w:p>
        </w:tc>
        <w:tc>
          <w:tcPr>
            <w:tcW w:w="2658" w:type="dxa"/>
            <w:tcBorders>
              <w:top w:val="single" w:sz="6" w:space="0" w:color="auto"/>
              <w:left w:val="single" w:sz="6" w:space="0" w:color="auto"/>
              <w:bottom w:val="dotted" w:sz="4" w:space="0" w:color="auto"/>
              <w:right w:val="single" w:sz="6" w:space="0" w:color="auto"/>
            </w:tcBorders>
          </w:tcPr>
          <w:p w14:paraId="5A31DA85" w14:textId="77777777" w:rsidR="007049A5" w:rsidRPr="004E4188" w:rsidRDefault="007049A5" w:rsidP="006C6267">
            <w:pPr>
              <w:jc w:val="center"/>
            </w:pPr>
          </w:p>
        </w:tc>
        <w:tc>
          <w:tcPr>
            <w:tcW w:w="840" w:type="dxa"/>
            <w:tcBorders>
              <w:top w:val="single" w:sz="6" w:space="0" w:color="auto"/>
              <w:left w:val="single" w:sz="6" w:space="0" w:color="auto"/>
              <w:bottom w:val="dotted" w:sz="4" w:space="0" w:color="auto"/>
            </w:tcBorders>
          </w:tcPr>
          <w:p w14:paraId="45990180" w14:textId="77777777" w:rsidR="007049A5" w:rsidRPr="004E4188" w:rsidRDefault="007049A5" w:rsidP="006C6267">
            <w:pPr>
              <w:jc w:val="center"/>
            </w:pPr>
          </w:p>
        </w:tc>
        <w:tc>
          <w:tcPr>
            <w:tcW w:w="1267" w:type="dxa"/>
            <w:tcBorders>
              <w:top w:val="single" w:sz="6" w:space="0" w:color="auto"/>
              <w:bottom w:val="dotted" w:sz="4" w:space="0" w:color="auto"/>
              <w:right w:val="double" w:sz="6" w:space="0" w:color="auto"/>
            </w:tcBorders>
          </w:tcPr>
          <w:p w14:paraId="19DB5588" w14:textId="77777777" w:rsidR="007049A5" w:rsidRPr="004E4188" w:rsidRDefault="007049A5" w:rsidP="006C6267">
            <w:pPr>
              <w:jc w:val="center"/>
            </w:pPr>
          </w:p>
        </w:tc>
      </w:tr>
      <w:tr w:rsidR="007049A5" w:rsidRPr="004E4188" w14:paraId="3F40CFB7" w14:textId="77777777" w:rsidTr="00510D0A">
        <w:tc>
          <w:tcPr>
            <w:tcW w:w="707" w:type="dxa"/>
            <w:tcBorders>
              <w:top w:val="dotted" w:sz="4" w:space="0" w:color="auto"/>
              <w:left w:val="double" w:sz="6" w:space="0" w:color="auto"/>
              <w:bottom w:val="dotted" w:sz="4" w:space="0" w:color="auto"/>
              <w:right w:val="single" w:sz="6" w:space="0" w:color="auto"/>
            </w:tcBorders>
          </w:tcPr>
          <w:p w14:paraId="07C81242" w14:textId="77777777" w:rsidR="007049A5" w:rsidRPr="004E4188" w:rsidRDefault="007049A5" w:rsidP="006C6267">
            <w:pPr>
              <w:jc w:val="left"/>
            </w:pPr>
            <w:r w:rsidRPr="004E4188">
              <w:t>607</w:t>
            </w:r>
          </w:p>
        </w:tc>
        <w:tc>
          <w:tcPr>
            <w:tcW w:w="2640" w:type="dxa"/>
            <w:tcBorders>
              <w:top w:val="dotted" w:sz="4" w:space="0" w:color="auto"/>
              <w:left w:val="single" w:sz="6" w:space="0" w:color="auto"/>
              <w:bottom w:val="dotted" w:sz="4" w:space="0" w:color="auto"/>
              <w:right w:val="single" w:sz="6" w:space="0" w:color="auto"/>
            </w:tcBorders>
          </w:tcPr>
          <w:p w14:paraId="21711385" w14:textId="77777777" w:rsidR="007049A5" w:rsidRPr="004E4188" w:rsidRDefault="007049A5" w:rsidP="006C6267">
            <w:pPr>
              <w:jc w:val="left"/>
            </w:pPr>
          </w:p>
        </w:tc>
        <w:tc>
          <w:tcPr>
            <w:tcW w:w="840" w:type="dxa"/>
            <w:tcBorders>
              <w:top w:val="dotted" w:sz="4" w:space="0" w:color="auto"/>
              <w:left w:val="single" w:sz="6" w:space="0" w:color="auto"/>
              <w:bottom w:val="dotted" w:sz="4" w:space="0" w:color="auto"/>
            </w:tcBorders>
          </w:tcPr>
          <w:p w14:paraId="0A0688DF" w14:textId="77777777" w:rsidR="007049A5" w:rsidRPr="004E4188" w:rsidRDefault="007049A5" w:rsidP="006C6267">
            <w:pPr>
              <w:jc w:val="left"/>
            </w:pPr>
          </w:p>
        </w:tc>
        <w:tc>
          <w:tcPr>
            <w:tcW w:w="342" w:type="dxa"/>
            <w:tcBorders>
              <w:top w:val="dotted" w:sz="4" w:space="0" w:color="auto"/>
              <w:bottom w:val="dotted" w:sz="4" w:space="0" w:color="auto"/>
              <w:right w:val="single" w:sz="6" w:space="0" w:color="auto"/>
            </w:tcBorders>
          </w:tcPr>
          <w:p w14:paraId="37BD854A" w14:textId="77777777" w:rsidR="007049A5" w:rsidRPr="004E4188" w:rsidRDefault="007049A5" w:rsidP="006C6267">
            <w:pPr>
              <w:jc w:val="left"/>
            </w:pPr>
          </w:p>
        </w:tc>
        <w:tc>
          <w:tcPr>
            <w:tcW w:w="2658" w:type="dxa"/>
            <w:tcBorders>
              <w:top w:val="dotted" w:sz="4" w:space="0" w:color="auto"/>
              <w:left w:val="single" w:sz="6" w:space="0" w:color="auto"/>
              <w:bottom w:val="dotted" w:sz="4" w:space="0" w:color="auto"/>
              <w:right w:val="single" w:sz="6" w:space="0" w:color="auto"/>
            </w:tcBorders>
          </w:tcPr>
          <w:p w14:paraId="7CAF3D26" w14:textId="77777777" w:rsidR="007049A5" w:rsidRPr="004E4188" w:rsidRDefault="007049A5" w:rsidP="006C6267">
            <w:pPr>
              <w:jc w:val="center"/>
            </w:pPr>
          </w:p>
        </w:tc>
        <w:tc>
          <w:tcPr>
            <w:tcW w:w="840" w:type="dxa"/>
            <w:tcBorders>
              <w:top w:val="dotted" w:sz="4" w:space="0" w:color="auto"/>
              <w:left w:val="single" w:sz="6" w:space="0" w:color="auto"/>
              <w:bottom w:val="dotted" w:sz="4" w:space="0" w:color="auto"/>
            </w:tcBorders>
          </w:tcPr>
          <w:p w14:paraId="69C9CFC4" w14:textId="77777777" w:rsidR="007049A5" w:rsidRPr="004E4188" w:rsidRDefault="007049A5" w:rsidP="006C6267">
            <w:pPr>
              <w:jc w:val="center"/>
            </w:pPr>
          </w:p>
        </w:tc>
        <w:tc>
          <w:tcPr>
            <w:tcW w:w="1267" w:type="dxa"/>
            <w:tcBorders>
              <w:top w:val="dotted" w:sz="4" w:space="0" w:color="auto"/>
              <w:bottom w:val="dotted" w:sz="4" w:space="0" w:color="auto"/>
              <w:right w:val="double" w:sz="6" w:space="0" w:color="auto"/>
            </w:tcBorders>
          </w:tcPr>
          <w:p w14:paraId="7E3480DE" w14:textId="77777777" w:rsidR="007049A5" w:rsidRPr="004E4188" w:rsidRDefault="007049A5" w:rsidP="006C6267">
            <w:pPr>
              <w:jc w:val="center"/>
            </w:pPr>
          </w:p>
        </w:tc>
      </w:tr>
      <w:tr w:rsidR="007049A5" w:rsidRPr="004E4188" w14:paraId="2EEF3565" w14:textId="77777777" w:rsidTr="00510D0A">
        <w:tc>
          <w:tcPr>
            <w:tcW w:w="707" w:type="dxa"/>
            <w:tcBorders>
              <w:top w:val="dotted" w:sz="4" w:space="0" w:color="auto"/>
              <w:left w:val="double" w:sz="6" w:space="0" w:color="auto"/>
              <w:bottom w:val="dotted" w:sz="4" w:space="0" w:color="auto"/>
              <w:right w:val="single" w:sz="6" w:space="0" w:color="auto"/>
            </w:tcBorders>
          </w:tcPr>
          <w:p w14:paraId="346D7E1E" w14:textId="77777777" w:rsidR="007049A5" w:rsidRPr="004E4188" w:rsidRDefault="007049A5" w:rsidP="006C6267">
            <w:pPr>
              <w:jc w:val="left"/>
            </w:pPr>
            <w:r w:rsidRPr="004E4188">
              <w:t>608</w:t>
            </w:r>
          </w:p>
        </w:tc>
        <w:tc>
          <w:tcPr>
            <w:tcW w:w="2640" w:type="dxa"/>
            <w:tcBorders>
              <w:top w:val="dotted" w:sz="4" w:space="0" w:color="auto"/>
              <w:left w:val="single" w:sz="6" w:space="0" w:color="auto"/>
              <w:bottom w:val="dotted" w:sz="4" w:space="0" w:color="auto"/>
              <w:right w:val="single" w:sz="6" w:space="0" w:color="auto"/>
            </w:tcBorders>
          </w:tcPr>
          <w:p w14:paraId="678C082F" w14:textId="77777777" w:rsidR="007049A5" w:rsidRPr="004E4188" w:rsidRDefault="007049A5" w:rsidP="006C6267">
            <w:pPr>
              <w:jc w:val="left"/>
            </w:pPr>
          </w:p>
        </w:tc>
        <w:tc>
          <w:tcPr>
            <w:tcW w:w="840" w:type="dxa"/>
            <w:tcBorders>
              <w:top w:val="dotted" w:sz="4" w:space="0" w:color="auto"/>
              <w:left w:val="single" w:sz="6" w:space="0" w:color="auto"/>
              <w:bottom w:val="dotted" w:sz="4" w:space="0" w:color="auto"/>
            </w:tcBorders>
          </w:tcPr>
          <w:p w14:paraId="0222D143" w14:textId="77777777" w:rsidR="007049A5" w:rsidRPr="004E4188" w:rsidRDefault="007049A5" w:rsidP="006C6267">
            <w:pPr>
              <w:jc w:val="left"/>
            </w:pPr>
          </w:p>
        </w:tc>
        <w:tc>
          <w:tcPr>
            <w:tcW w:w="342" w:type="dxa"/>
            <w:tcBorders>
              <w:top w:val="dotted" w:sz="4" w:space="0" w:color="auto"/>
              <w:bottom w:val="dotted" w:sz="4" w:space="0" w:color="auto"/>
              <w:right w:val="single" w:sz="6" w:space="0" w:color="auto"/>
            </w:tcBorders>
          </w:tcPr>
          <w:p w14:paraId="0CC2B72F" w14:textId="77777777" w:rsidR="007049A5" w:rsidRPr="004E4188" w:rsidRDefault="007049A5" w:rsidP="006C6267">
            <w:pPr>
              <w:jc w:val="left"/>
            </w:pPr>
          </w:p>
        </w:tc>
        <w:tc>
          <w:tcPr>
            <w:tcW w:w="2658" w:type="dxa"/>
            <w:tcBorders>
              <w:top w:val="dotted" w:sz="4" w:space="0" w:color="auto"/>
              <w:left w:val="single" w:sz="6" w:space="0" w:color="auto"/>
              <w:bottom w:val="dotted" w:sz="4" w:space="0" w:color="auto"/>
              <w:right w:val="single" w:sz="6" w:space="0" w:color="auto"/>
            </w:tcBorders>
          </w:tcPr>
          <w:p w14:paraId="24FA3043" w14:textId="77777777" w:rsidR="007049A5" w:rsidRPr="004E4188" w:rsidRDefault="007049A5" w:rsidP="006C6267">
            <w:pPr>
              <w:jc w:val="center"/>
            </w:pPr>
          </w:p>
        </w:tc>
        <w:tc>
          <w:tcPr>
            <w:tcW w:w="840" w:type="dxa"/>
            <w:tcBorders>
              <w:top w:val="dotted" w:sz="4" w:space="0" w:color="auto"/>
              <w:left w:val="single" w:sz="6" w:space="0" w:color="auto"/>
              <w:bottom w:val="dotted" w:sz="4" w:space="0" w:color="auto"/>
            </w:tcBorders>
          </w:tcPr>
          <w:p w14:paraId="2D1A4EED" w14:textId="77777777" w:rsidR="007049A5" w:rsidRPr="004E4188" w:rsidRDefault="007049A5" w:rsidP="006C6267">
            <w:pPr>
              <w:jc w:val="center"/>
            </w:pPr>
          </w:p>
        </w:tc>
        <w:tc>
          <w:tcPr>
            <w:tcW w:w="1267" w:type="dxa"/>
            <w:tcBorders>
              <w:top w:val="dotted" w:sz="4" w:space="0" w:color="auto"/>
              <w:bottom w:val="dotted" w:sz="4" w:space="0" w:color="auto"/>
              <w:right w:val="double" w:sz="6" w:space="0" w:color="auto"/>
            </w:tcBorders>
          </w:tcPr>
          <w:p w14:paraId="6552A776" w14:textId="77777777" w:rsidR="007049A5" w:rsidRPr="004E4188" w:rsidRDefault="007049A5" w:rsidP="006C6267">
            <w:pPr>
              <w:jc w:val="center"/>
            </w:pPr>
          </w:p>
        </w:tc>
      </w:tr>
      <w:tr w:rsidR="007049A5" w:rsidRPr="004E4188" w14:paraId="69AD3D1D" w14:textId="77777777" w:rsidTr="00510D0A">
        <w:tc>
          <w:tcPr>
            <w:tcW w:w="707" w:type="dxa"/>
            <w:tcBorders>
              <w:top w:val="dotted" w:sz="4" w:space="0" w:color="auto"/>
              <w:left w:val="double" w:sz="6" w:space="0" w:color="auto"/>
              <w:bottom w:val="dotted" w:sz="4" w:space="0" w:color="auto"/>
              <w:right w:val="single" w:sz="6" w:space="0" w:color="auto"/>
            </w:tcBorders>
          </w:tcPr>
          <w:p w14:paraId="29E0257B" w14:textId="77777777" w:rsidR="007049A5" w:rsidRPr="004E4188" w:rsidRDefault="007049A5" w:rsidP="006C6267">
            <w:pPr>
              <w:jc w:val="left"/>
            </w:pPr>
            <w:r w:rsidRPr="004E4188">
              <w:t>609</w:t>
            </w:r>
          </w:p>
        </w:tc>
        <w:tc>
          <w:tcPr>
            <w:tcW w:w="2640" w:type="dxa"/>
            <w:tcBorders>
              <w:top w:val="dotted" w:sz="4" w:space="0" w:color="auto"/>
              <w:left w:val="single" w:sz="6" w:space="0" w:color="auto"/>
              <w:bottom w:val="dotted" w:sz="4" w:space="0" w:color="auto"/>
              <w:right w:val="single" w:sz="6" w:space="0" w:color="auto"/>
            </w:tcBorders>
          </w:tcPr>
          <w:p w14:paraId="170AA598" w14:textId="77777777" w:rsidR="007049A5" w:rsidRPr="004E4188" w:rsidRDefault="007049A5" w:rsidP="006C6267">
            <w:pPr>
              <w:jc w:val="left"/>
            </w:pPr>
          </w:p>
        </w:tc>
        <w:tc>
          <w:tcPr>
            <w:tcW w:w="840" w:type="dxa"/>
            <w:tcBorders>
              <w:top w:val="dotted" w:sz="4" w:space="0" w:color="auto"/>
              <w:left w:val="single" w:sz="6" w:space="0" w:color="auto"/>
              <w:bottom w:val="dotted" w:sz="4" w:space="0" w:color="auto"/>
            </w:tcBorders>
          </w:tcPr>
          <w:p w14:paraId="0E7F7DC1" w14:textId="77777777" w:rsidR="007049A5" w:rsidRPr="004E4188" w:rsidRDefault="007049A5" w:rsidP="006C6267">
            <w:pPr>
              <w:jc w:val="left"/>
            </w:pPr>
          </w:p>
        </w:tc>
        <w:tc>
          <w:tcPr>
            <w:tcW w:w="342" w:type="dxa"/>
            <w:tcBorders>
              <w:top w:val="dotted" w:sz="4" w:space="0" w:color="auto"/>
              <w:bottom w:val="dotted" w:sz="4" w:space="0" w:color="auto"/>
              <w:right w:val="single" w:sz="6" w:space="0" w:color="auto"/>
            </w:tcBorders>
          </w:tcPr>
          <w:p w14:paraId="4C081E2B" w14:textId="77777777" w:rsidR="007049A5" w:rsidRPr="004E4188" w:rsidRDefault="007049A5" w:rsidP="006C6267">
            <w:pPr>
              <w:jc w:val="left"/>
            </w:pPr>
          </w:p>
        </w:tc>
        <w:tc>
          <w:tcPr>
            <w:tcW w:w="2658" w:type="dxa"/>
            <w:tcBorders>
              <w:top w:val="dotted" w:sz="4" w:space="0" w:color="auto"/>
              <w:left w:val="single" w:sz="6" w:space="0" w:color="auto"/>
              <w:bottom w:val="dotted" w:sz="4" w:space="0" w:color="auto"/>
              <w:right w:val="single" w:sz="6" w:space="0" w:color="auto"/>
            </w:tcBorders>
          </w:tcPr>
          <w:p w14:paraId="6E7A3547" w14:textId="77777777" w:rsidR="007049A5" w:rsidRPr="004E4188" w:rsidRDefault="007049A5" w:rsidP="006C6267">
            <w:pPr>
              <w:jc w:val="center"/>
            </w:pPr>
          </w:p>
        </w:tc>
        <w:tc>
          <w:tcPr>
            <w:tcW w:w="840" w:type="dxa"/>
            <w:tcBorders>
              <w:top w:val="dotted" w:sz="4" w:space="0" w:color="auto"/>
              <w:left w:val="single" w:sz="6" w:space="0" w:color="auto"/>
              <w:bottom w:val="dotted" w:sz="4" w:space="0" w:color="auto"/>
            </w:tcBorders>
          </w:tcPr>
          <w:p w14:paraId="615AE6F1" w14:textId="77777777" w:rsidR="007049A5" w:rsidRPr="004E4188" w:rsidRDefault="007049A5" w:rsidP="006C6267">
            <w:pPr>
              <w:jc w:val="center"/>
            </w:pPr>
          </w:p>
        </w:tc>
        <w:tc>
          <w:tcPr>
            <w:tcW w:w="1267" w:type="dxa"/>
            <w:tcBorders>
              <w:top w:val="dotted" w:sz="4" w:space="0" w:color="auto"/>
              <w:bottom w:val="dotted" w:sz="4" w:space="0" w:color="auto"/>
              <w:right w:val="double" w:sz="6" w:space="0" w:color="auto"/>
            </w:tcBorders>
          </w:tcPr>
          <w:p w14:paraId="775A9905" w14:textId="77777777" w:rsidR="007049A5" w:rsidRPr="004E4188" w:rsidRDefault="007049A5" w:rsidP="006C6267">
            <w:pPr>
              <w:jc w:val="center"/>
            </w:pPr>
          </w:p>
        </w:tc>
      </w:tr>
      <w:tr w:rsidR="007049A5" w:rsidRPr="004E4188" w14:paraId="600A84F3" w14:textId="77777777" w:rsidTr="00510D0A">
        <w:tc>
          <w:tcPr>
            <w:tcW w:w="707" w:type="dxa"/>
            <w:tcBorders>
              <w:top w:val="dotted" w:sz="4" w:space="0" w:color="auto"/>
              <w:left w:val="double" w:sz="6" w:space="0" w:color="auto"/>
              <w:bottom w:val="dotted" w:sz="4" w:space="0" w:color="auto"/>
              <w:right w:val="single" w:sz="4" w:space="0" w:color="auto"/>
            </w:tcBorders>
          </w:tcPr>
          <w:p w14:paraId="360E7BBE" w14:textId="77777777" w:rsidR="007049A5" w:rsidRPr="004E4188" w:rsidRDefault="007049A5" w:rsidP="006C6267">
            <w:pPr>
              <w:jc w:val="left"/>
              <w:rPr>
                <w:lang w:eastAsia="ja-JP"/>
              </w:rPr>
            </w:pPr>
            <w:r w:rsidRPr="004E4188">
              <w:rPr>
                <w:rFonts w:hint="eastAsia"/>
                <w:lang w:eastAsia="ja-JP"/>
              </w:rPr>
              <w:t>610</w:t>
            </w:r>
          </w:p>
        </w:tc>
        <w:tc>
          <w:tcPr>
            <w:tcW w:w="2640" w:type="dxa"/>
            <w:tcBorders>
              <w:top w:val="dotted" w:sz="4" w:space="0" w:color="auto"/>
              <w:left w:val="single" w:sz="4" w:space="0" w:color="auto"/>
              <w:bottom w:val="dotted" w:sz="4" w:space="0" w:color="auto"/>
              <w:right w:val="single" w:sz="4" w:space="0" w:color="auto"/>
            </w:tcBorders>
          </w:tcPr>
          <w:p w14:paraId="64AE0BAD" w14:textId="77777777" w:rsidR="007049A5" w:rsidRPr="004E4188" w:rsidRDefault="007049A5" w:rsidP="006C6267">
            <w:pPr>
              <w:jc w:val="left"/>
            </w:pPr>
          </w:p>
        </w:tc>
        <w:tc>
          <w:tcPr>
            <w:tcW w:w="840" w:type="dxa"/>
            <w:tcBorders>
              <w:top w:val="dotted" w:sz="4" w:space="0" w:color="auto"/>
              <w:left w:val="single" w:sz="4" w:space="0" w:color="auto"/>
              <w:bottom w:val="dotted" w:sz="4" w:space="0" w:color="auto"/>
            </w:tcBorders>
          </w:tcPr>
          <w:p w14:paraId="0402DC05" w14:textId="77777777" w:rsidR="007049A5" w:rsidRPr="004E4188" w:rsidRDefault="007049A5" w:rsidP="006C6267">
            <w:pPr>
              <w:jc w:val="left"/>
            </w:pPr>
          </w:p>
        </w:tc>
        <w:tc>
          <w:tcPr>
            <w:tcW w:w="342" w:type="dxa"/>
            <w:tcBorders>
              <w:top w:val="dotted" w:sz="4" w:space="0" w:color="auto"/>
              <w:bottom w:val="dotted" w:sz="4" w:space="0" w:color="auto"/>
              <w:right w:val="single" w:sz="4" w:space="0" w:color="auto"/>
            </w:tcBorders>
          </w:tcPr>
          <w:p w14:paraId="7CBF5C11" w14:textId="77777777" w:rsidR="007049A5" w:rsidRPr="004E4188" w:rsidRDefault="007049A5" w:rsidP="006C6267">
            <w:pPr>
              <w:jc w:val="left"/>
            </w:pPr>
          </w:p>
        </w:tc>
        <w:tc>
          <w:tcPr>
            <w:tcW w:w="2658" w:type="dxa"/>
            <w:tcBorders>
              <w:top w:val="dotted" w:sz="4" w:space="0" w:color="auto"/>
              <w:left w:val="single" w:sz="4" w:space="0" w:color="auto"/>
              <w:bottom w:val="dotted" w:sz="4" w:space="0" w:color="auto"/>
              <w:right w:val="single" w:sz="4" w:space="0" w:color="auto"/>
            </w:tcBorders>
          </w:tcPr>
          <w:p w14:paraId="543BF77A" w14:textId="77777777" w:rsidR="007049A5" w:rsidRPr="004E4188" w:rsidRDefault="007049A5" w:rsidP="006C6267">
            <w:pPr>
              <w:jc w:val="center"/>
            </w:pPr>
          </w:p>
        </w:tc>
        <w:tc>
          <w:tcPr>
            <w:tcW w:w="840" w:type="dxa"/>
            <w:tcBorders>
              <w:top w:val="dotted" w:sz="4" w:space="0" w:color="auto"/>
              <w:left w:val="single" w:sz="4" w:space="0" w:color="auto"/>
              <w:bottom w:val="dotted" w:sz="4" w:space="0" w:color="auto"/>
            </w:tcBorders>
          </w:tcPr>
          <w:p w14:paraId="1B91F48A" w14:textId="77777777" w:rsidR="007049A5" w:rsidRPr="004E4188" w:rsidRDefault="007049A5" w:rsidP="006C6267">
            <w:pPr>
              <w:jc w:val="center"/>
            </w:pPr>
          </w:p>
        </w:tc>
        <w:tc>
          <w:tcPr>
            <w:tcW w:w="1267" w:type="dxa"/>
            <w:tcBorders>
              <w:top w:val="dotted" w:sz="4" w:space="0" w:color="auto"/>
              <w:bottom w:val="dotted" w:sz="4" w:space="0" w:color="auto"/>
              <w:right w:val="double" w:sz="6" w:space="0" w:color="auto"/>
            </w:tcBorders>
          </w:tcPr>
          <w:p w14:paraId="495F1737" w14:textId="77777777" w:rsidR="007049A5" w:rsidRPr="004E4188" w:rsidRDefault="007049A5" w:rsidP="006C6267">
            <w:pPr>
              <w:jc w:val="center"/>
            </w:pPr>
          </w:p>
        </w:tc>
      </w:tr>
      <w:tr w:rsidR="007049A5" w:rsidRPr="004E4188" w14:paraId="0525CE68" w14:textId="77777777" w:rsidTr="00510D0A">
        <w:tc>
          <w:tcPr>
            <w:tcW w:w="707" w:type="dxa"/>
            <w:tcBorders>
              <w:top w:val="dotted" w:sz="4" w:space="0" w:color="auto"/>
              <w:left w:val="double" w:sz="6" w:space="0" w:color="auto"/>
              <w:bottom w:val="dotted" w:sz="4" w:space="0" w:color="auto"/>
              <w:right w:val="single" w:sz="4" w:space="0" w:color="auto"/>
            </w:tcBorders>
          </w:tcPr>
          <w:p w14:paraId="0E9B54AB" w14:textId="77777777" w:rsidR="007049A5" w:rsidRPr="004E4188" w:rsidRDefault="007049A5" w:rsidP="006C6267">
            <w:pPr>
              <w:jc w:val="left"/>
            </w:pPr>
          </w:p>
        </w:tc>
        <w:tc>
          <w:tcPr>
            <w:tcW w:w="2640" w:type="dxa"/>
            <w:tcBorders>
              <w:top w:val="dotted" w:sz="4" w:space="0" w:color="auto"/>
              <w:left w:val="single" w:sz="4" w:space="0" w:color="auto"/>
              <w:bottom w:val="dotted" w:sz="4" w:space="0" w:color="auto"/>
              <w:right w:val="single" w:sz="4" w:space="0" w:color="auto"/>
            </w:tcBorders>
          </w:tcPr>
          <w:p w14:paraId="780BD74B" w14:textId="77777777" w:rsidR="007049A5" w:rsidRPr="004E4188" w:rsidRDefault="007049A5" w:rsidP="006C6267">
            <w:pPr>
              <w:jc w:val="left"/>
            </w:pPr>
          </w:p>
        </w:tc>
        <w:tc>
          <w:tcPr>
            <w:tcW w:w="840" w:type="dxa"/>
            <w:tcBorders>
              <w:top w:val="dotted" w:sz="4" w:space="0" w:color="auto"/>
              <w:left w:val="single" w:sz="4" w:space="0" w:color="auto"/>
              <w:bottom w:val="dotted" w:sz="4" w:space="0" w:color="auto"/>
            </w:tcBorders>
          </w:tcPr>
          <w:p w14:paraId="794F5AC5" w14:textId="77777777" w:rsidR="007049A5" w:rsidRPr="004E4188" w:rsidRDefault="007049A5" w:rsidP="006C6267">
            <w:pPr>
              <w:jc w:val="left"/>
            </w:pPr>
          </w:p>
        </w:tc>
        <w:tc>
          <w:tcPr>
            <w:tcW w:w="342" w:type="dxa"/>
            <w:tcBorders>
              <w:top w:val="dotted" w:sz="4" w:space="0" w:color="auto"/>
              <w:bottom w:val="dotted" w:sz="4" w:space="0" w:color="auto"/>
              <w:right w:val="single" w:sz="4" w:space="0" w:color="auto"/>
            </w:tcBorders>
          </w:tcPr>
          <w:p w14:paraId="745A2196" w14:textId="77777777" w:rsidR="007049A5" w:rsidRPr="004E4188" w:rsidRDefault="007049A5" w:rsidP="006C6267">
            <w:pPr>
              <w:jc w:val="left"/>
            </w:pPr>
          </w:p>
        </w:tc>
        <w:tc>
          <w:tcPr>
            <w:tcW w:w="2658" w:type="dxa"/>
            <w:tcBorders>
              <w:top w:val="dotted" w:sz="4" w:space="0" w:color="auto"/>
              <w:left w:val="single" w:sz="4" w:space="0" w:color="auto"/>
              <w:bottom w:val="dotted" w:sz="4" w:space="0" w:color="auto"/>
              <w:right w:val="single" w:sz="4" w:space="0" w:color="auto"/>
            </w:tcBorders>
          </w:tcPr>
          <w:p w14:paraId="40C77898" w14:textId="77777777" w:rsidR="007049A5" w:rsidRPr="004E4188" w:rsidRDefault="007049A5" w:rsidP="006C6267">
            <w:pPr>
              <w:jc w:val="center"/>
            </w:pPr>
          </w:p>
        </w:tc>
        <w:tc>
          <w:tcPr>
            <w:tcW w:w="840" w:type="dxa"/>
            <w:tcBorders>
              <w:top w:val="dotted" w:sz="4" w:space="0" w:color="auto"/>
              <w:left w:val="single" w:sz="4" w:space="0" w:color="auto"/>
              <w:bottom w:val="dotted" w:sz="4" w:space="0" w:color="auto"/>
            </w:tcBorders>
          </w:tcPr>
          <w:p w14:paraId="3F6A37DC" w14:textId="77777777" w:rsidR="007049A5" w:rsidRPr="004E4188" w:rsidRDefault="007049A5" w:rsidP="006C6267">
            <w:pPr>
              <w:jc w:val="center"/>
            </w:pPr>
          </w:p>
        </w:tc>
        <w:tc>
          <w:tcPr>
            <w:tcW w:w="1267" w:type="dxa"/>
            <w:tcBorders>
              <w:top w:val="dotted" w:sz="4" w:space="0" w:color="auto"/>
              <w:bottom w:val="dotted" w:sz="4" w:space="0" w:color="auto"/>
              <w:right w:val="double" w:sz="6" w:space="0" w:color="auto"/>
            </w:tcBorders>
          </w:tcPr>
          <w:p w14:paraId="68EDC830" w14:textId="77777777" w:rsidR="007049A5" w:rsidRPr="004E4188" w:rsidRDefault="007049A5" w:rsidP="006C6267">
            <w:pPr>
              <w:jc w:val="center"/>
            </w:pPr>
          </w:p>
        </w:tc>
      </w:tr>
      <w:tr w:rsidR="007049A5" w:rsidRPr="004E4188" w14:paraId="5A105EE4" w14:textId="77777777" w:rsidTr="00510D0A">
        <w:tc>
          <w:tcPr>
            <w:tcW w:w="707" w:type="dxa"/>
            <w:tcBorders>
              <w:top w:val="dotted" w:sz="4" w:space="0" w:color="auto"/>
              <w:left w:val="double" w:sz="6" w:space="0" w:color="auto"/>
              <w:bottom w:val="single" w:sz="4" w:space="0" w:color="auto"/>
              <w:right w:val="single" w:sz="4" w:space="0" w:color="auto"/>
            </w:tcBorders>
          </w:tcPr>
          <w:p w14:paraId="166C0DA7" w14:textId="77777777" w:rsidR="007049A5" w:rsidRPr="004E4188" w:rsidRDefault="007049A5" w:rsidP="006C6267">
            <w:pPr>
              <w:jc w:val="left"/>
            </w:pPr>
          </w:p>
        </w:tc>
        <w:tc>
          <w:tcPr>
            <w:tcW w:w="2640" w:type="dxa"/>
            <w:tcBorders>
              <w:top w:val="dotted" w:sz="4" w:space="0" w:color="auto"/>
              <w:left w:val="single" w:sz="4" w:space="0" w:color="auto"/>
              <w:bottom w:val="single" w:sz="4" w:space="0" w:color="auto"/>
              <w:right w:val="single" w:sz="4" w:space="0" w:color="auto"/>
            </w:tcBorders>
          </w:tcPr>
          <w:p w14:paraId="4A54770A" w14:textId="77777777" w:rsidR="007049A5" w:rsidRPr="004E4188" w:rsidRDefault="007049A5" w:rsidP="006C6267">
            <w:pPr>
              <w:jc w:val="left"/>
            </w:pPr>
          </w:p>
        </w:tc>
        <w:tc>
          <w:tcPr>
            <w:tcW w:w="840" w:type="dxa"/>
            <w:tcBorders>
              <w:top w:val="dotted" w:sz="4" w:space="0" w:color="auto"/>
              <w:left w:val="single" w:sz="4" w:space="0" w:color="auto"/>
            </w:tcBorders>
          </w:tcPr>
          <w:p w14:paraId="25679D64" w14:textId="77777777" w:rsidR="007049A5" w:rsidRPr="004E4188" w:rsidRDefault="007049A5" w:rsidP="006C6267">
            <w:pPr>
              <w:jc w:val="left"/>
            </w:pPr>
          </w:p>
        </w:tc>
        <w:tc>
          <w:tcPr>
            <w:tcW w:w="342" w:type="dxa"/>
            <w:tcBorders>
              <w:top w:val="dotted" w:sz="4" w:space="0" w:color="auto"/>
              <w:right w:val="single" w:sz="4" w:space="0" w:color="auto"/>
            </w:tcBorders>
          </w:tcPr>
          <w:p w14:paraId="130DC83E" w14:textId="77777777" w:rsidR="007049A5" w:rsidRPr="004E4188" w:rsidRDefault="007049A5" w:rsidP="006C6267">
            <w:pPr>
              <w:jc w:val="left"/>
            </w:pPr>
          </w:p>
        </w:tc>
        <w:tc>
          <w:tcPr>
            <w:tcW w:w="2658" w:type="dxa"/>
            <w:tcBorders>
              <w:top w:val="dotted" w:sz="4" w:space="0" w:color="auto"/>
              <w:left w:val="single" w:sz="4" w:space="0" w:color="auto"/>
              <w:bottom w:val="single" w:sz="6" w:space="0" w:color="auto"/>
              <w:right w:val="single" w:sz="4" w:space="0" w:color="auto"/>
            </w:tcBorders>
          </w:tcPr>
          <w:p w14:paraId="12C7ADDF" w14:textId="77777777" w:rsidR="007049A5" w:rsidRPr="004E4188" w:rsidRDefault="007049A5" w:rsidP="006C6267">
            <w:pPr>
              <w:jc w:val="center"/>
            </w:pPr>
          </w:p>
        </w:tc>
        <w:tc>
          <w:tcPr>
            <w:tcW w:w="840" w:type="dxa"/>
            <w:tcBorders>
              <w:top w:val="dotted" w:sz="4" w:space="0" w:color="auto"/>
              <w:left w:val="single" w:sz="4" w:space="0" w:color="auto"/>
              <w:bottom w:val="single" w:sz="4" w:space="0" w:color="auto"/>
            </w:tcBorders>
          </w:tcPr>
          <w:p w14:paraId="1165F219" w14:textId="77777777" w:rsidR="007049A5" w:rsidRPr="004E4188" w:rsidRDefault="007049A5" w:rsidP="006C6267">
            <w:pPr>
              <w:jc w:val="center"/>
            </w:pPr>
          </w:p>
        </w:tc>
        <w:tc>
          <w:tcPr>
            <w:tcW w:w="1267" w:type="dxa"/>
            <w:tcBorders>
              <w:top w:val="dotted" w:sz="4" w:space="0" w:color="auto"/>
              <w:bottom w:val="single" w:sz="4" w:space="0" w:color="auto"/>
              <w:right w:val="double" w:sz="6" w:space="0" w:color="auto"/>
            </w:tcBorders>
          </w:tcPr>
          <w:p w14:paraId="0F055166" w14:textId="77777777" w:rsidR="007049A5" w:rsidRPr="004E4188" w:rsidRDefault="007049A5" w:rsidP="006C6267">
            <w:pPr>
              <w:jc w:val="center"/>
            </w:pPr>
          </w:p>
        </w:tc>
      </w:tr>
      <w:tr w:rsidR="007049A5" w:rsidRPr="004E4188" w14:paraId="65C46B45" w14:textId="77777777" w:rsidTr="00510D0A">
        <w:tc>
          <w:tcPr>
            <w:tcW w:w="7187" w:type="dxa"/>
            <w:gridSpan w:val="5"/>
            <w:tcBorders>
              <w:top w:val="single" w:sz="4" w:space="0" w:color="auto"/>
              <w:left w:val="double" w:sz="6" w:space="0" w:color="auto"/>
              <w:bottom w:val="double" w:sz="6" w:space="0" w:color="auto"/>
              <w:right w:val="single" w:sz="4" w:space="0" w:color="auto"/>
            </w:tcBorders>
          </w:tcPr>
          <w:p w14:paraId="41152A71" w14:textId="3BDA280E" w:rsidR="007049A5" w:rsidRPr="004E4188" w:rsidRDefault="007049A5" w:rsidP="006C6267">
            <w:pPr>
              <w:wordWrap w:val="0"/>
              <w:jc w:val="right"/>
              <w:rPr>
                <w:lang w:eastAsia="ja-JP"/>
              </w:rPr>
            </w:pPr>
            <w:r w:rsidRPr="004E4188">
              <w:rPr>
                <w:sz w:val="22"/>
              </w:rPr>
              <w:t>Total du</w:t>
            </w:r>
            <w:r w:rsidRPr="004E4188">
              <w:rPr>
                <w:sz w:val="22"/>
                <w:lang w:eastAsia="ja-JP"/>
              </w:rPr>
              <w:t xml:space="preserve"> </w:t>
            </w:r>
            <w:r w:rsidRPr="004E4188">
              <w:rPr>
                <w:sz w:val="22"/>
              </w:rPr>
              <w:t>Bordereau n°</w:t>
            </w:r>
            <w:r w:rsidRPr="004E4188">
              <w:t xml:space="preserve"> 6</w:t>
            </w:r>
            <w:r w:rsidRPr="004E4188">
              <w:rPr>
                <w:lang w:eastAsia="ja-JP"/>
              </w:rPr>
              <w:t>-2</w:t>
            </w:r>
          </w:p>
          <w:p w14:paraId="640A142E" w14:textId="77777777" w:rsidR="007049A5" w:rsidRPr="004E4188" w:rsidRDefault="007049A5" w:rsidP="006C6267">
            <w:pPr>
              <w:jc w:val="right"/>
            </w:pPr>
            <w:r w:rsidRPr="004E4188">
              <w:rPr>
                <w:sz w:val="22"/>
              </w:rPr>
              <w:t>(à reprendre dans le tableau récapitulatif,</w:t>
            </w:r>
            <w:r w:rsidRPr="004E4188">
              <w:t xml:space="preserve"> p. </w:t>
            </w:r>
            <w:r w:rsidRPr="004E4188">
              <w:rPr>
                <w:u w:val="single"/>
              </w:rPr>
              <w:tab/>
            </w:r>
            <w:r w:rsidRPr="004E4188">
              <w:t>)</w:t>
            </w:r>
          </w:p>
        </w:tc>
        <w:tc>
          <w:tcPr>
            <w:tcW w:w="840" w:type="dxa"/>
            <w:tcBorders>
              <w:top w:val="single" w:sz="4" w:space="0" w:color="auto"/>
              <w:left w:val="single" w:sz="4" w:space="0" w:color="auto"/>
              <w:bottom w:val="double" w:sz="6" w:space="0" w:color="auto"/>
            </w:tcBorders>
            <w:vAlign w:val="bottom"/>
          </w:tcPr>
          <w:p w14:paraId="71B50E76" w14:textId="77777777" w:rsidR="007049A5" w:rsidRPr="004E4188" w:rsidRDefault="007049A5" w:rsidP="006C6267">
            <w:pPr>
              <w:jc w:val="center"/>
              <w:rPr>
                <w:lang w:eastAsia="ja-JP"/>
              </w:rPr>
            </w:pPr>
          </w:p>
        </w:tc>
        <w:tc>
          <w:tcPr>
            <w:tcW w:w="1267" w:type="dxa"/>
            <w:tcBorders>
              <w:top w:val="single" w:sz="4" w:space="0" w:color="auto"/>
              <w:bottom w:val="double" w:sz="6" w:space="0" w:color="auto"/>
              <w:right w:val="double" w:sz="6" w:space="0" w:color="auto"/>
            </w:tcBorders>
            <w:vAlign w:val="bottom"/>
          </w:tcPr>
          <w:p w14:paraId="49F8B855" w14:textId="77777777" w:rsidR="007049A5" w:rsidRPr="004E4188" w:rsidRDefault="007049A5" w:rsidP="006C6267">
            <w:pPr>
              <w:jc w:val="center"/>
              <w:rPr>
                <w:lang w:eastAsia="ja-JP"/>
              </w:rPr>
            </w:pPr>
            <w:r w:rsidRPr="004E4188">
              <w:rPr>
                <w:rFonts w:hint="eastAsia"/>
                <w:lang w:eastAsia="ja-JP"/>
              </w:rPr>
              <w:t>-----</w:t>
            </w:r>
          </w:p>
        </w:tc>
      </w:tr>
    </w:tbl>
    <w:p w14:paraId="3B542077" w14:textId="77777777" w:rsidR="007049A5" w:rsidRPr="004E4188" w:rsidRDefault="007049A5" w:rsidP="006C6267">
      <w:pPr>
        <w:tabs>
          <w:tab w:val="left" w:pos="284"/>
        </w:tabs>
        <w:ind w:left="284" w:hanging="284"/>
        <w:rPr>
          <w:rFonts w:eastAsia="Arial Unicode MS"/>
          <w:szCs w:val="24"/>
          <w:u w:val="single"/>
          <w:lang w:eastAsia="ja-JP"/>
        </w:rPr>
      </w:pPr>
    </w:p>
    <w:p w14:paraId="256E4C60" w14:textId="77777777" w:rsidR="007049A5" w:rsidRPr="004E4188" w:rsidRDefault="007049A5" w:rsidP="006C6267">
      <w:pPr>
        <w:tabs>
          <w:tab w:val="left" w:pos="284"/>
        </w:tabs>
        <w:ind w:left="284" w:hanging="284"/>
        <w:rPr>
          <w:rFonts w:eastAsia="Arial Unicode MS"/>
          <w:szCs w:val="24"/>
          <w:u w:val="single"/>
          <w:lang w:eastAsia="ja-JP"/>
        </w:rPr>
      </w:pPr>
      <w:r w:rsidRPr="004E4188">
        <w:rPr>
          <w:rFonts w:eastAsia="Arial Unicode MS" w:hint="eastAsia"/>
          <w:noProof/>
          <w:szCs w:val="24"/>
          <w:u w:val="single"/>
          <w:lang w:eastAsia="ja-JP"/>
        </w:rPr>
        <w:t>Notes à l</w:t>
      </w:r>
      <w:r w:rsidRPr="004E4188">
        <w:rPr>
          <w:rFonts w:eastAsia="Arial Unicode MS"/>
          <w:noProof/>
          <w:szCs w:val="24"/>
          <w:u w:val="single"/>
          <w:lang w:eastAsia="ja-JP"/>
        </w:rPr>
        <w:t>’intention des Soumissionnaires</w:t>
      </w:r>
    </w:p>
    <w:p w14:paraId="1374BBDF" w14:textId="77777777" w:rsidR="007049A5" w:rsidRPr="004E4188" w:rsidRDefault="007049A5" w:rsidP="003D46CF">
      <w:pPr>
        <w:numPr>
          <w:ilvl w:val="0"/>
          <w:numId w:val="75"/>
        </w:numPr>
        <w:tabs>
          <w:tab w:val="clear" w:pos="698"/>
          <w:tab w:val="num" w:pos="284"/>
        </w:tabs>
        <w:suppressAutoHyphens w:val="0"/>
        <w:overflowPunct/>
        <w:autoSpaceDE/>
        <w:autoSpaceDN/>
        <w:adjustRightInd/>
        <w:spacing w:before="120"/>
        <w:ind w:left="284" w:hanging="284"/>
        <w:textAlignment w:val="auto"/>
        <w:rPr>
          <w:szCs w:val="24"/>
        </w:rPr>
      </w:pPr>
      <w:r w:rsidRPr="004E4188">
        <w:rPr>
          <w:szCs w:val="24"/>
        </w:rPr>
        <w:t>Indiquer un code représentant le pays d’origine de tous les matériels et équipements importés</w:t>
      </w:r>
      <w:r w:rsidRPr="004E4188">
        <w:rPr>
          <w:rFonts w:eastAsia="Arial Unicode MS"/>
          <w:szCs w:val="24"/>
          <w:lang w:eastAsia="ja-JP"/>
        </w:rPr>
        <w:t>.</w:t>
      </w:r>
    </w:p>
    <w:p w14:paraId="005807F2" w14:textId="276DDB9E" w:rsidR="007049A5" w:rsidRPr="004E4188" w:rsidRDefault="007049A5" w:rsidP="003D46CF">
      <w:pPr>
        <w:numPr>
          <w:ilvl w:val="0"/>
          <w:numId w:val="75"/>
        </w:numPr>
        <w:tabs>
          <w:tab w:val="clear" w:pos="698"/>
          <w:tab w:val="num" w:pos="284"/>
        </w:tabs>
        <w:suppressAutoHyphens w:val="0"/>
        <w:overflowPunct/>
        <w:autoSpaceDE/>
        <w:autoSpaceDN/>
        <w:adjustRightInd/>
        <w:spacing w:before="120"/>
        <w:ind w:left="284" w:hanging="284"/>
        <w:textAlignment w:val="auto"/>
      </w:pPr>
      <w:r w:rsidRPr="004E4188">
        <w:t xml:space="preserve">Le </w:t>
      </w:r>
      <w:r w:rsidRPr="004E4188">
        <w:rPr>
          <w:noProof/>
          <w:lang w:eastAsia="en-US"/>
        </w:rPr>
        <w:t xml:space="preserve">Soumissionnaire doit indiquer dans le Bordereau ci-dessus le prix de toutes les pièces de rechange qu’il recommande pour l’exploitation et la maintenance des installations pour la période indiquée dans l’Article 16.2(b) des DP (dans le cas d’une procédure à une étape-deux enveloppes) et dans l’Article 14.2(b) des DP (dans le cas d’une procédure à deux étapes-une enveloppe) après </w:t>
      </w:r>
      <w:r w:rsidRPr="004E4188">
        <w:rPr>
          <w:rFonts w:cs="Calibri"/>
          <w:noProof/>
          <w:lang w:eastAsia="en-US"/>
        </w:rPr>
        <w:t>la</w:t>
      </w:r>
      <w:r w:rsidRPr="004E4188">
        <w:rPr>
          <w:rFonts w:cs="Calibri"/>
          <w:noProof/>
          <w:color w:val="FF0000"/>
          <w:lang w:eastAsia="en-US"/>
        </w:rPr>
        <w:t xml:space="preserve"> </w:t>
      </w:r>
      <w:r w:rsidRPr="004E4188">
        <w:rPr>
          <w:szCs w:val="24"/>
        </w:rPr>
        <w:t>R</w:t>
      </w:r>
      <w:r w:rsidRPr="004E4188">
        <w:rPr>
          <w:szCs w:val="24"/>
          <w:lang w:eastAsia="en-US"/>
        </w:rPr>
        <w:t>é</w:t>
      </w:r>
      <w:r w:rsidRPr="004E4188">
        <w:rPr>
          <w:szCs w:val="24"/>
        </w:rPr>
        <w:t>c</w:t>
      </w:r>
      <w:r w:rsidRPr="004E4188">
        <w:rPr>
          <w:szCs w:val="24"/>
          <w:lang w:eastAsia="en-US"/>
        </w:rPr>
        <w:t>e</w:t>
      </w:r>
      <w:r w:rsidRPr="004E4188">
        <w:rPr>
          <w:szCs w:val="24"/>
        </w:rPr>
        <w:t>ption op</w:t>
      </w:r>
      <w:r w:rsidRPr="004E4188">
        <w:rPr>
          <w:szCs w:val="24"/>
          <w:lang w:eastAsia="en-US"/>
        </w:rPr>
        <w:t>é</w:t>
      </w:r>
      <w:r w:rsidRPr="004E4188">
        <w:rPr>
          <w:szCs w:val="24"/>
        </w:rPr>
        <w:t>rationnelle</w:t>
      </w:r>
      <w:r w:rsidRPr="004E4188">
        <w:rPr>
          <w:rFonts w:hint="eastAsia"/>
          <w:szCs w:val="24"/>
          <w:lang w:eastAsia="ja-JP"/>
        </w:rPr>
        <w:t xml:space="preserve"> </w:t>
      </w:r>
      <w:r w:rsidRPr="004E4188">
        <w:rPr>
          <w:szCs w:val="24"/>
          <w:lang w:eastAsia="ja-JP"/>
        </w:rPr>
        <w:t>des</w:t>
      </w:r>
      <w:r w:rsidRPr="004E4188">
        <w:rPr>
          <w:szCs w:val="24"/>
          <w:lang w:eastAsia="en-US"/>
        </w:rPr>
        <w:t xml:space="preserve"> Installations</w:t>
      </w:r>
      <w:r w:rsidRPr="004E4188">
        <w:rPr>
          <w:noProof/>
          <w:lang w:eastAsia="en-US"/>
        </w:rPr>
        <w:t>, et qui ne sont pas incluses dans le Bordereau intitulé « Pièces de rechange obligatoires »</w:t>
      </w:r>
      <w:r w:rsidRPr="004E4188">
        <w:t>.</w:t>
      </w:r>
    </w:p>
    <w:p w14:paraId="4C358FA7" w14:textId="2BD83760" w:rsidR="007049A5" w:rsidRPr="004E4188" w:rsidRDefault="007049A5" w:rsidP="003D46CF">
      <w:pPr>
        <w:numPr>
          <w:ilvl w:val="0"/>
          <w:numId w:val="75"/>
        </w:numPr>
        <w:tabs>
          <w:tab w:val="clear" w:pos="698"/>
          <w:tab w:val="num" w:pos="284"/>
        </w:tabs>
        <w:suppressAutoHyphens w:val="0"/>
        <w:overflowPunct/>
        <w:autoSpaceDE/>
        <w:autoSpaceDN/>
        <w:adjustRightInd/>
        <w:spacing w:before="120"/>
        <w:ind w:left="284" w:hanging="284"/>
        <w:textAlignment w:val="auto"/>
      </w:pPr>
      <w:r w:rsidRPr="004E4188">
        <w:t>T</w:t>
      </w:r>
      <w:r w:rsidRPr="004E4188">
        <w:rPr>
          <w:noProof/>
          <w:lang w:eastAsia="en-US"/>
        </w:rPr>
        <w:t xml:space="preserve">outes les pièces de rechange nécessaires à </w:t>
      </w:r>
      <w:r w:rsidRPr="004E4188">
        <w:rPr>
          <w:rFonts w:cs="Calibri"/>
          <w:noProof/>
          <w:lang w:eastAsia="en-US"/>
        </w:rPr>
        <w:t>la</w:t>
      </w:r>
      <w:r w:rsidRPr="004E4188">
        <w:rPr>
          <w:rFonts w:cs="Calibri"/>
          <w:noProof/>
          <w:color w:val="FF0000"/>
          <w:lang w:eastAsia="en-US"/>
        </w:rPr>
        <w:t xml:space="preserve"> </w:t>
      </w:r>
      <w:r w:rsidRPr="004E4188">
        <w:rPr>
          <w:szCs w:val="24"/>
        </w:rPr>
        <w:t>R</w:t>
      </w:r>
      <w:r w:rsidRPr="004E4188">
        <w:rPr>
          <w:szCs w:val="24"/>
          <w:lang w:eastAsia="en-US"/>
        </w:rPr>
        <w:t>é</w:t>
      </w:r>
      <w:r w:rsidRPr="004E4188">
        <w:rPr>
          <w:szCs w:val="24"/>
        </w:rPr>
        <w:t>c</w:t>
      </w:r>
      <w:r w:rsidRPr="004E4188">
        <w:rPr>
          <w:szCs w:val="24"/>
          <w:lang w:eastAsia="en-US"/>
        </w:rPr>
        <w:t>e</w:t>
      </w:r>
      <w:r w:rsidRPr="004E4188">
        <w:rPr>
          <w:szCs w:val="24"/>
        </w:rPr>
        <w:t>ption op</w:t>
      </w:r>
      <w:r w:rsidRPr="004E4188">
        <w:rPr>
          <w:szCs w:val="24"/>
          <w:lang w:eastAsia="en-US"/>
        </w:rPr>
        <w:t>é</w:t>
      </w:r>
      <w:r w:rsidRPr="004E4188">
        <w:rPr>
          <w:szCs w:val="24"/>
        </w:rPr>
        <w:t>rationnelle</w:t>
      </w:r>
      <w:r w:rsidRPr="004E4188">
        <w:rPr>
          <w:rFonts w:hint="eastAsia"/>
          <w:szCs w:val="24"/>
          <w:lang w:eastAsia="ja-JP"/>
        </w:rPr>
        <w:t xml:space="preserve"> </w:t>
      </w:r>
      <w:r w:rsidRPr="004E4188">
        <w:rPr>
          <w:szCs w:val="24"/>
          <w:lang w:eastAsia="ja-JP"/>
        </w:rPr>
        <w:t>des</w:t>
      </w:r>
      <w:r w:rsidRPr="004E4188">
        <w:rPr>
          <w:szCs w:val="24"/>
          <w:lang w:eastAsia="en-US"/>
        </w:rPr>
        <w:t xml:space="preserve"> Installations</w:t>
      </w:r>
      <w:r w:rsidRPr="004E4188">
        <w:rPr>
          <w:noProof/>
          <w:lang w:eastAsia="en-US"/>
        </w:rPr>
        <w:t xml:space="preserve"> ne doivent pas être incluses dans ce Bordereau car elles doivent être indiquées dans les Bordereaux </w:t>
      </w:r>
      <w:r w:rsidRPr="004E4188">
        <w:rPr>
          <w:szCs w:val="24"/>
        </w:rPr>
        <w:t>intitul</w:t>
      </w:r>
      <w:r w:rsidRPr="004E4188">
        <w:rPr>
          <w:szCs w:val="24"/>
          <w:lang w:eastAsia="en-US"/>
        </w:rPr>
        <w:t>és</w:t>
      </w:r>
      <w:r w:rsidRPr="004E4188">
        <w:rPr>
          <w:szCs w:val="24"/>
        </w:rPr>
        <w:t xml:space="preserve"> «</w:t>
      </w:r>
      <w:r w:rsidR="00E63AD2" w:rsidRPr="004E4188">
        <w:t> </w:t>
      </w:r>
      <w:r w:rsidRPr="004E4188">
        <w:rPr>
          <w:szCs w:val="24"/>
        </w:rPr>
        <w:t>É</w:t>
      </w:r>
      <w:r w:rsidRPr="004E4188">
        <w:rPr>
          <w:szCs w:val="24"/>
          <w:lang w:eastAsia="en-US"/>
        </w:rPr>
        <w:t>quipements d’origine étrangère (en dehors du pays du Maître d’ouvrage)</w:t>
      </w:r>
      <w:r w:rsidRPr="004E4188">
        <w:rPr>
          <w:szCs w:val="24"/>
        </w:rPr>
        <w:t xml:space="preserve"> » et « É</w:t>
      </w:r>
      <w:r w:rsidRPr="004E4188">
        <w:rPr>
          <w:szCs w:val="24"/>
          <w:lang w:eastAsia="en-US"/>
        </w:rPr>
        <w:t>quipements d’origine locale</w:t>
      </w:r>
      <w:r w:rsidRPr="004E4188">
        <w:rPr>
          <w:szCs w:val="24"/>
        </w:rPr>
        <w:t xml:space="preserve"> »</w:t>
      </w:r>
      <w:r w:rsidRPr="004E4188">
        <w:t>.</w:t>
      </w:r>
    </w:p>
    <w:p w14:paraId="3DD4D11C" w14:textId="5552967E" w:rsidR="007049A5" w:rsidRPr="004E4188" w:rsidRDefault="007049A5" w:rsidP="003D46CF">
      <w:pPr>
        <w:numPr>
          <w:ilvl w:val="0"/>
          <w:numId w:val="75"/>
        </w:numPr>
        <w:tabs>
          <w:tab w:val="clear" w:pos="698"/>
          <w:tab w:val="num" w:pos="284"/>
        </w:tabs>
        <w:suppressAutoHyphens w:val="0"/>
        <w:overflowPunct/>
        <w:autoSpaceDE/>
        <w:autoSpaceDN/>
        <w:adjustRightInd/>
        <w:spacing w:before="120"/>
        <w:ind w:left="284" w:hanging="284"/>
        <w:textAlignment w:val="auto"/>
      </w:pPr>
      <w:r w:rsidRPr="004E4188">
        <w:t>C</w:t>
      </w:r>
      <w:r w:rsidRPr="004E4188">
        <w:rPr>
          <w:noProof/>
          <w:lang w:eastAsia="en-US"/>
        </w:rPr>
        <w:t>es pièces de rechange peuvent inclure, entre autres, des produits consommables qui ne sont pas facilement disponibles dans le pays du Maître d’ouvrage</w:t>
      </w:r>
      <w:r w:rsidRPr="004E4188">
        <w:t>.</w:t>
      </w:r>
    </w:p>
    <w:p w14:paraId="2867066D" w14:textId="77777777" w:rsidR="007049A5" w:rsidRPr="004E4188" w:rsidRDefault="007049A5" w:rsidP="003D46CF">
      <w:pPr>
        <w:numPr>
          <w:ilvl w:val="0"/>
          <w:numId w:val="75"/>
        </w:numPr>
        <w:tabs>
          <w:tab w:val="clear" w:pos="698"/>
          <w:tab w:val="num" w:pos="284"/>
        </w:tabs>
        <w:suppressAutoHyphens w:val="0"/>
        <w:overflowPunct/>
        <w:autoSpaceDE/>
        <w:autoSpaceDN/>
        <w:adjustRightInd/>
        <w:spacing w:before="120"/>
        <w:ind w:left="284" w:hanging="284"/>
        <w:textAlignment w:val="auto"/>
      </w:pPr>
      <w:r w:rsidRPr="004E4188">
        <w:t>La</w:t>
      </w:r>
      <w:r w:rsidRPr="004E4188">
        <w:rPr>
          <w:noProof/>
          <w:lang w:eastAsia="en-US"/>
        </w:rPr>
        <w:t xml:space="preserve"> définition, les spécifications et les quantités de ces pièces de rechange ainsi que les termes et conditions de leur fourniture restent à établir d’un commun accord entre le Maître </w:t>
      </w:r>
      <w:r w:rsidRPr="004E4188">
        <w:rPr>
          <w:noProof/>
        </w:rPr>
        <w:t>d’ouvrage et l'Entrepreneur avant l'achèvement des Installations. Il sera également fait référence à l’Article 7.3 des Conditions du Marché</w:t>
      </w:r>
      <w:r w:rsidRPr="004E4188">
        <w:t>.</w:t>
      </w:r>
    </w:p>
    <w:p w14:paraId="136E429E" w14:textId="77777777" w:rsidR="007049A5" w:rsidRPr="004E4188" w:rsidRDefault="007049A5" w:rsidP="003D46CF">
      <w:pPr>
        <w:numPr>
          <w:ilvl w:val="0"/>
          <w:numId w:val="75"/>
        </w:numPr>
        <w:tabs>
          <w:tab w:val="clear" w:pos="698"/>
          <w:tab w:val="num" w:pos="284"/>
        </w:tabs>
        <w:suppressAutoHyphens w:val="0"/>
        <w:overflowPunct/>
        <w:autoSpaceDE/>
        <w:autoSpaceDN/>
        <w:adjustRightInd/>
        <w:spacing w:before="120"/>
        <w:ind w:left="284" w:hanging="284"/>
        <w:textAlignment w:val="auto"/>
      </w:pPr>
      <w:r w:rsidRPr="004E4188">
        <w:t xml:space="preserve">Le </w:t>
      </w:r>
      <w:r w:rsidRPr="004E4188">
        <w:rPr>
          <w:noProof/>
        </w:rPr>
        <w:t>prix de ces pièces de rechange doit comprendre le prix d’achat et les autres frais liés à leur fourniture tels que le transport, les frais de port et la rémunération de l’Entrepreneur. Les pièces de rechange recommandées ne font pas l’objet d’une évaluation conformément à IS 31.3 et IS 35.1 (dans le cas d’une procédure à une étape-deux enveloppes), et à IS 25.3 et IS 48.1 (dans le cas d’une procédure à deux étapes-une enveloppe)</w:t>
      </w:r>
      <w:r w:rsidRPr="004E4188">
        <w:t>.</w:t>
      </w:r>
    </w:p>
    <w:p w14:paraId="07FE51A9" w14:textId="5C643112" w:rsidR="007049A5" w:rsidRPr="004E4188" w:rsidRDefault="007049A5" w:rsidP="003D46CF">
      <w:pPr>
        <w:numPr>
          <w:ilvl w:val="0"/>
          <w:numId w:val="75"/>
        </w:numPr>
        <w:tabs>
          <w:tab w:val="clear" w:pos="698"/>
          <w:tab w:val="num" w:pos="284"/>
        </w:tabs>
        <w:suppressAutoHyphens w:val="0"/>
        <w:overflowPunct/>
        <w:autoSpaceDE/>
        <w:autoSpaceDN/>
        <w:adjustRightInd/>
        <w:spacing w:before="120"/>
        <w:ind w:left="284" w:hanging="284"/>
        <w:textAlignment w:val="auto"/>
      </w:pPr>
      <w:r w:rsidRPr="004E4188">
        <w:t xml:space="preserve">Le </w:t>
      </w:r>
      <w:r w:rsidRPr="004E4188">
        <w:rPr>
          <w:noProof/>
        </w:rPr>
        <w:t>prix total de ce Bordereau ne doit pas être ajouté au Montant de l’offre. Cependant, le prix pourrait été ajouté au Montant du Marché (pour des modifications convenues lors de négociations du Marché ou de l’exécution du Marché), si les deux Parties en conviennent</w:t>
      </w:r>
      <w:r w:rsidRPr="004E4188">
        <w:t>.</w:t>
      </w:r>
    </w:p>
    <w:p w14:paraId="428F84F4" w14:textId="77777777" w:rsidR="007049A5" w:rsidRPr="004E4188" w:rsidRDefault="007049A5" w:rsidP="006C6267"/>
    <w:p w14:paraId="16EC6633" w14:textId="77777777" w:rsidR="007049A5" w:rsidRPr="004E4188" w:rsidRDefault="007049A5" w:rsidP="003D46CF">
      <w:pPr>
        <w:numPr>
          <w:ilvl w:val="0"/>
          <w:numId w:val="75"/>
        </w:numPr>
        <w:tabs>
          <w:tab w:val="clear" w:pos="698"/>
          <w:tab w:val="num" w:pos="284"/>
        </w:tabs>
        <w:suppressAutoHyphens w:val="0"/>
        <w:overflowPunct/>
        <w:autoSpaceDE/>
        <w:autoSpaceDN/>
        <w:adjustRightInd/>
        <w:spacing w:before="120"/>
        <w:ind w:left="284" w:hanging="284"/>
        <w:jc w:val="left"/>
        <w:textAlignment w:val="auto"/>
        <w:rPr>
          <w:rFonts w:eastAsia="Arial Unicode MS"/>
          <w:szCs w:val="24"/>
          <w:u w:val="single"/>
          <w:lang w:eastAsia="ja-JP"/>
        </w:rPr>
      </w:pPr>
      <w:r w:rsidRPr="004E4188">
        <w:br w:type="page"/>
      </w:r>
    </w:p>
    <w:p w14:paraId="69B070E3" w14:textId="7DD1671A" w:rsidR="007049A5" w:rsidRPr="004E4188" w:rsidRDefault="00893BB1" w:rsidP="00713064">
      <w:pPr>
        <w:pStyle w:val="SectionIVHeading2"/>
        <w:rPr>
          <w:noProof/>
          <w:szCs w:val="28"/>
          <w:lang w:val="fr-FR"/>
        </w:rPr>
      </w:pPr>
      <w:bookmarkStart w:id="520" w:name="_Toc112429307"/>
      <w:r w:rsidRPr="004E4188">
        <w:rPr>
          <w:noProof/>
          <w:lang w:val="fr-FR"/>
        </w:rPr>
        <w:t xml:space="preserve">Bordereau des </w:t>
      </w:r>
      <w:r w:rsidRPr="004E4188">
        <w:rPr>
          <w:lang w:val="fr-FR"/>
        </w:rPr>
        <w:t>s</w:t>
      </w:r>
      <w:r w:rsidR="007049A5" w:rsidRPr="004E4188">
        <w:rPr>
          <w:lang w:val="fr-FR"/>
        </w:rPr>
        <w:t>ommes provisionnelles</w:t>
      </w:r>
      <w:bookmarkEnd w:id="518"/>
      <w:r w:rsidRPr="004E4188">
        <w:rPr>
          <w:noProof/>
          <w:lang w:val="fr-FR"/>
        </w:rPr>
        <w:t xml:space="preserve"> de nature spécifique</w:t>
      </w:r>
      <w:bookmarkEnd w:id="5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7049A5" w:rsidRPr="004E4188" w14:paraId="23E0C329" w14:textId="77777777" w:rsidTr="006C6267">
        <w:tc>
          <w:tcPr>
            <w:tcW w:w="9219" w:type="dxa"/>
            <w:shd w:val="clear" w:color="auto" w:fill="auto"/>
          </w:tcPr>
          <w:p w14:paraId="30E79520" w14:textId="77777777" w:rsidR="007049A5" w:rsidRPr="004E4188" w:rsidRDefault="007049A5" w:rsidP="006C6267">
            <w:pPr>
              <w:jc w:val="center"/>
              <w:rPr>
                <w:b/>
                <w:szCs w:val="24"/>
              </w:rPr>
            </w:pPr>
            <w:r w:rsidRPr="004E4188">
              <w:rPr>
                <w:rFonts w:hint="eastAsia"/>
                <w:b/>
                <w:szCs w:val="24"/>
              </w:rPr>
              <w:t>Notes à l</w:t>
            </w:r>
            <w:r w:rsidRPr="004E4188">
              <w:rPr>
                <w:b/>
                <w:szCs w:val="24"/>
              </w:rPr>
              <w:t>’intention du Maître d’ouvrage</w:t>
            </w:r>
          </w:p>
          <w:p w14:paraId="3F50AC3D" w14:textId="77777777" w:rsidR="007049A5" w:rsidRPr="004E4188" w:rsidRDefault="007049A5" w:rsidP="006C6267">
            <w:pPr>
              <w:jc w:val="left"/>
              <w:rPr>
                <w:b/>
                <w:szCs w:val="24"/>
              </w:rPr>
            </w:pPr>
          </w:p>
          <w:p w14:paraId="14EC822B" w14:textId="77777777" w:rsidR="007049A5" w:rsidRPr="004E4188" w:rsidRDefault="007049A5" w:rsidP="006C6267">
            <w:pPr>
              <w:rPr>
                <w:szCs w:val="24"/>
              </w:rPr>
            </w:pPr>
            <w:r w:rsidRPr="004E4188">
              <w:rPr>
                <w:szCs w:val="24"/>
              </w:rPr>
              <w:t>Les parts en monnaie nationale et en monnaie(s) étrangère(s) du Montant doivent être insérées pour chaque somme provisionnelle dans les colonnes respectives de « Montant ».</w:t>
            </w:r>
          </w:p>
          <w:p w14:paraId="504A7593" w14:textId="77777777" w:rsidR="007049A5" w:rsidRPr="004E4188" w:rsidRDefault="007049A5" w:rsidP="006C6267">
            <w:pPr>
              <w:jc w:val="left"/>
              <w:rPr>
                <w:szCs w:val="24"/>
              </w:rPr>
            </w:pPr>
          </w:p>
          <w:p w14:paraId="538D6CF5" w14:textId="77777777" w:rsidR="007049A5" w:rsidRPr="004E4188" w:rsidRDefault="007049A5" w:rsidP="006C6267">
            <w:pPr>
              <w:spacing w:after="60"/>
              <w:rPr>
                <w:szCs w:val="24"/>
              </w:rPr>
            </w:pPr>
            <w:r w:rsidRPr="004E4188">
              <w:rPr>
                <w:szCs w:val="24"/>
              </w:rPr>
              <w:t>Pour la somme provisionnelle affectée au coût du Comité de Règlement des Différends, conformément à l’Article 39.4 des Dispositions spécifiques, Partie B des Conditions Particulières, l’estimation du Maître d’ouvrage de la somme des coûts suivants du Comité de Règlement des Différends doit être insérée :</w:t>
            </w:r>
          </w:p>
          <w:p w14:paraId="7399C3B3" w14:textId="77777777" w:rsidR="007049A5" w:rsidRPr="004E4188" w:rsidRDefault="007049A5" w:rsidP="003D46CF">
            <w:pPr>
              <w:numPr>
                <w:ilvl w:val="0"/>
                <w:numId w:val="64"/>
              </w:numPr>
              <w:spacing w:after="60"/>
              <w:ind w:left="326" w:hanging="326"/>
              <w:rPr>
                <w:szCs w:val="24"/>
              </w:rPr>
            </w:pPr>
            <w:r w:rsidRPr="004E4188">
              <w:rPr>
                <w:szCs w:val="24"/>
              </w:rPr>
              <w:t>Les Coûts réguliers (somme des honoraires, des rémunérations</w:t>
            </w:r>
            <w:r w:rsidRPr="004E4188">
              <w:rPr>
                <w:rFonts w:hint="eastAsia"/>
                <w:szCs w:val="24"/>
              </w:rPr>
              <w:t xml:space="preserve"> </w:t>
            </w:r>
            <w:r w:rsidRPr="004E4188">
              <w:rPr>
                <w:szCs w:val="24"/>
              </w:rPr>
              <w:t>journalières pour les visites régulières sur le site et tous les frais afférents aux visites régulières du site versés aux membres du Comité de Règlement des Différends.)</w:t>
            </w:r>
          </w:p>
          <w:p w14:paraId="6CF59BEA" w14:textId="77777777" w:rsidR="007049A5" w:rsidRPr="004E4188" w:rsidRDefault="007049A5" w:rsidP="003D46CF">
            <w:pPr>
              <w:numPr>
                <w:ilvl w:val="0"/>
                <w:numId w:val="64"/>
              </w:numPr>
              <w:ind w:left="323" w:hanging="323"/>
              <w:rPr>
                <w:noProof/>
              </w:rPr>
            </w:pPr>
            <w:r w:rsidRPr="004E4188">
              <w:rPr>
                <w:szCs w:val="24"/>
              </w:rPr>
              <w:t>La moitié</w:t>
            </w:r>
            <w:r w:rsidRPr="004E4188">
              <w:rPr>
                <w:rFonts w:hint="eastAsia"/>
                <w:szCs w:val="24"/>
              </w:rPr>
              <w:t xml:space="preserve"> </w:t>
            </w:r>
            <w:r w:rsidRPr="004E4188">
              <w:rPr>
                <w:szCs w:val="24"/>
              </w:rPr>
              <w:t>des Coûts non réguliers (1/2 de tous les frais et dépenses autres que ceux inclus dans les Coûts réguliers.)</w:t>
            </w:r>
          </w:p>
          <w:p w14:paraId="256B63CF" w14:textId="77777777" w:rsidR="007049A5" w:rsidRPr="004E4188" w:rsidRDefault="007049A5" w:rsidP="006C6267">
            <w:pPr>
              <w:ind w:left="323"/>
              <w:rPr>
                <w:noProof/>
              </w:rPr>
            </w:pPr>
          </w:p>
        </w:tc>
      </w:tr>
    </w:tbl>
    <w:p w14:paraId="00ABAFE6" w14:textId="77777777" w:rsidR="007049A5" w:rsidRPr="004E4188" w:rsidRDefault="007049A5" w:rsidP="00A173E6">
      <w:pPr>
        <w:pStyle w:val="Style6"/>
        <w:jc w:val="center"/>
        <w:rPr>
          <w:noProof/>
          <w:sz w:val="28"/>
          <w:szCs w:val="28"/>
        </w:rPr>
      </w:pPr>
    </w:p>
    <w:tbl>
      <w:tblPr>
        <w:tblW w:w="8931" w:type="dxa"/>
        <w:tblInd w:w="108" w:type="dxa"/>
        <w:tblLayout w:type="fixed"/>
        <w:tblLook w:val="0000" w:firstRow="0" w:lastRow="0" w:firstColumn="0" w:lastColumn="0" w:noHBand="0" w:noVBand="0"/>
      </w:tblPr>
      <w:tblGrid>
        <w:gridCol w:w="829"/>
        <w:gridCol w:w="4700"/>
        <w:gridCol w:w="1701"/>
        <w:gridCol w:w="1701"/>
      </w:tblGrid>
      <w:tr w:rsidR="007049A5" w:rsidRPr="004E4188" w14:paraId="738B640D" w14:textId="77777777" w:rsidTr="006C6267">
        <w:trPr>
          <w:trHeight w:val="525"/>
        </w:trPr>
        <w:tc>
          <w:tcPr>
            <w:tcW w:w="829" w:type="dxa"/>
            <w:vMerge w:val="restart"/>
            <w:tcBorders>
              <w:top w:val="double" w:sz="6" w:space="0" w:color="auto"/>
              <w:left w:val="double" w:sz="6" w:space="0" w:color="auto"/>
              <w:right w:val="single" w:sz="6" w:space="0" w:color="auto"/>
            </w:tcBorders>
          </w:tcPr>
          <w:p w14:paraId="5587C047" w14:textId="77777777" w:rsidR="007049A5" w:rsidRPr="004E4188" w:rsidRDefault="007049A5" w:rsidP="006C6267">
            <w:pPr>
              <w:spacing w:line="240" w:lineRule="exact"/>
              <w:contextualSpacing/>
              <w:jc w:val="center"/>
              <w:rPr>
                <w:lang w:eastAsia="ja-JP"/>
              </w:rPr>
            </w:pPr>
            <w:r w:rsidRPr="004E4188">
              <w:t>N</w:t>
            </w:r>
            <w:r w:rsidRPr="004E4188">
              <w:rPr>
                <w:vertAlign w:val="superscript"/>
              </w:rPr>
              <w:t>o</w:t>
            </w:r>
            <w:r w:rsidRPr="004E4188">
              <w:t xml:space="preserve"> du poste</w:t>
            </w:r>
          </w:p>
        </w:tc>
        <w:tc>
          <w:tcPr>
            <w:tcW w:w="4700" w:type="dxa"/>
            <w:vMerge w:val="restart"/>
            <w:tcBorders>
              <w:top w:val="double" w:sz="6" w:space="0" w:color="auto"/>
              <w:left w:val="single" w:sz="6" w:space="0" w:color="auto"/>
              <w:right w:val="single" w:sz="6" w:space="0" w:color="auto"/>
            </w:tcBorders>
          </w:tcPr>
          <w:p w14:paraId="53E846B3" w14:textId="77777777" w:rsidR="007049A5" w:rsidRPr="004E4188" w:rsidRDefault="007049A5" w:rsidP="006C6267">
            <w:pPr>
              <w:spacing w:line="240" w:lineRule="exact"/>
              <w:contextualSpacing/>
              <w:jc w:val="center"/>
            </w:pPr>
            <w:r w:rsidRPr="004E4188">
              <w:t>Description</w:t>
            </w:r>
          </w:p>
        </w:tc>
        <w:tc>
          <w:tcPr>
            <w:tcW w:w="3402" w:type="dxa"/>
            <w:gridSpan w:val="2"/>
            <w:tcBorders>
              <w:top w:val="double" w:sz="6" w:space="0" w:color="auto"/>
              <w:left w:val="single" w:sz="6" w:space="0" w:color="auto"/>
              <w:right w:val="double" w:sz="6" w:space="0" w:color="auto"/>
            </w:tcBorders>
          </w:tcPr>
          <w:p w14:paraId="10ED1D58" w14:textId="77777777" w:rsidR="007049A5" w:rsidRPr="004E4188" w:rsidRDefault="007049A5" w:rsidP="006C6267">
            <w:pPr>
              <w:spacing w:line="240" w:lineRule="exact"/>
              <w:contextualSpacing/>
              <w:jc w:val="center"/>
            </w:pPr>
            <w:r w:rsidRPr="004E4188">
              <w:t>Montant</w:t>
            </w:r>
          </w:p>
        </w:tc>
      </w:tr>
      <w:tr w:rsidR="007049A5" w:rsidRPr="004E4188" w14:paraId="3A6A6D6E" w14:textId="77777777" w:rsidTr="006C6267">
        <w:tc>
          <w:tcPr>
            <w:tcW w:w="829" w:type="dxa"/>
            <w:vMerge/>
            <w:tcBorders>
              <w:left w:val="double" w:sz="6" w:space="0" w:color="auto"/>
              <w:bottom w:val="single" w:sz="6" w:space="0" w:color="auto"/>
              <w:right w:val="single" w:sz="6" w:space="0" w:color="auto"/>
            </w:tcBorders>
          </w:tcPr>
          <w:p w14:paraId="458A3192" w14:textId="77777777" w:rsidR="007049A5" w:rsidRPr="004E4188" w:rsidRDefault="007049A5" w:rsidP="006C6267">
            <w:pPr>
              <w:spacing w:line="240" w:lineRule="exact"/>
              <w:contextualSpacing/>
              <w:jc w:val="center"/>
            </w:pPr>
          </w:p>
        </w:tc>
        <w:tc>
          <w:tcPr>
            <w:tcW w:w="4700" w:type="dxa"/>
            <w:vMerge/>
            <w:tcBorders>
              <w:left w:val="single" w:sz="6" w:space="0" w:color="auto"/>
              <w:bottom w:val="single" w:sz="6" w:space="0" w:color="auto"/>
              <w:right w:val="single" w:sz="6" w:space="0" w:color="auto"/>
            </w:tcBorders>
          </w:tcPr>
          <w:p w14:paraId="619C88C7" w14:textId="77777777" w:rsidR="007049A5" w:rsidRPr="004E4188" w:rsidRDefault="007049A5" w:rsidP="006C6267">
            <w:pPr>
              <w:spacing w:line="240" w:lineRule="exact"/>
              <w:contextualSpacing/>
              <w:jc w:val="center"/>
            </w:pPr>
          </w:p>
        </w:tc>
        <w:tc>
          <w:tcPr>
            <w:tcW w:w="1701" w:type="dxa"/>
            <w:tcBorders>
              <w:top w:val="single" w:sz="6" w:space="0" w:color="auto"/>
              <w:left w:val="single" w:sz="6" w:space="0" w:color="auto"/>
              <w:bottom w:val="single" w:sz="6" w:space="0" w:color="auto"/>
              <w:right w:val="single" w:sz="6" w:space="0" w:color="auto"/>
            </w:tcBorders>
          </w:tcPr>
          <w:p w14:paraId="4D3812DC" w14:textId="77777777" w:rsidR="007049A5" w:rsidRPr="004E4188" w:rsidRDefault="007049A5" w:rsidP="006C6267">
            <w:pPr>
              <w:spacing w:line="240" w:lineRule="exact"/>
              <w:contextualSpacing/>
              <w:jc w:val="center"/>
              <w:rPr>
                <w:lang w:eastAsia="ja-JP"/>
              </w:rPr>
            </w:pPr>
            <w:r w:rsidRPr="004E4188">
              <w:rPr>
                <w:lang w:eastAsia="ja-JP"/>
              </w:rPr>
              <w:t>Part en monnaie nationale</w:t>
            </w:r>
          </w:p>
        </w:tc>
        <w:tc>
          <w:tcPr>
            <w:tcW w:w="1701" w:type="dxa"/>
            <w:tcBorders>
              <w:top w:val="single" w:sz="6" w:space="0" w:color="auto"/>
              <w:left w:val="single" w:sz="6" w:space="0" w:color="auto"/>
              <w:bottom w:val="single" w:sz="6" w:space="0" w:color="auto"/>
              <w:right w:val="double" w:sz="6" w:space="0" w:color="auto"/>
            </w:tcBorders>
          </w:tcPr>
          <w:p w14:paraId="7B385038" w14:textId="77777777" w:rsidR="007049A5" w:rsidRPr="004E4188" w:rsidRDefault="007049A5" w:rsidP="006C6267">
            <w:pPr>
              <w:spacing w:line="240" w:lineRule="exact"/>
              <w:contextualSpacing/>
              <w:jc w:val="center"/>
              <w:rPr>
                <w:lang w:eastAsia="ja-JP"/>
              </w:rPr>
            </w:pPr>
            <w:r w:rsidRPr="004E4188">
              <w:rPr>
                <w:lang w:eastAsia="ja-JP"/>
              </w:rPr>
              <w:t>Part en monnaie étrangère</w:t>
            </w:r>
          </w:p>
        </w:tc>
      </w:tr>
      <w:tr w:rsidR="007049A5" w:rsidRPr="004E4188" w14:paraId="04B5D682" w14:textId="77777777" w:rsidTr="006C6267">
        <w:tc>
          <w:tcPr>
            <w:tcW w:w="829" w:type="dxa"/>
            <w:tcBorders>
              <w:top w:val="single" w:sz="6" w:space="0" w:color="auto"/>
              <w:left w:val="double" w:sz="6" w:space="0" w:color="auto"/>
              <w:bottom w:val="single" w:sz="6" w:space="0" w:color="auto"/>
              <w:right w:val="single" w:sz="6" w:space="0" w:color="auto"/>
            </w:tcBorders>
          </w:tcPr>
          <w:p w14:paraId="1FF4DCD2" w14:textId="77777777" w:rsidR="007049A5" w:rsidRPr="004E4188" w:rsidRDefault="007049A5" w:rsidP="006C6267">
            <w:pPr>
              <w:spacing w:line="240" w:lineRule="exact"/>
              <w:contextualSpacing/>
              <w:jc w:val="center"/>
            </w:pPr>
            <w:r w:rsidRPr="004E4188">
              <w:t>1</w:t>
            </w:r>
          </w:p>
        </w:tc>
        <w:tc>
          <w:tcPr>
            <w:tcW w:w="4700" w:type="dxa"/>
            <w:tcBorders>
              <w:top w:val="single" w:sz="6" w:space="0" w:color="auto"/>
              <w:left w:val="single" w:sz="6" w:space="0" w:color="auto"/>
              <w:bottom w:val="single" w:sz="6" w:space="0" w:color="auto"/>
              <w:right w:val="single" w:sz="6" w:space="0" w:color="auto"/>
            </w:tcBorders>
          </w:tcPr>
          <w:p w14:paraId="0FC81F30" w14:textId="77777777" w:rsidR="007049A5" w:rsidRPr="004E4188" w:rsidRDefault="007049A5" w:rsidP="006C6267">
            <w:pPr>
              <w:spacing w:line="240" w:lineRule="exact"/>
              <w:contextualSpacing/>
              <w:jc w:val="left"/>
            </w:pPr>
            <w:r w:rsidRPr="004E4188">
              <w:t>Fourniture et installation des équipements dans la station de pompage</w:t>
            </w:r>
          </w:p>
        </w:tc>
        <w:tc>
          <w:tcPr>
            <w:tcW w:w="1701" w:type="dxa"/>
            <w:tcBorders>
              <w:top w:val="single" w:sz="6" w:space="0" w:color="auto"/>
              <w:left w:val="single" w:sz="6" w:space="0" w:color="auto"/>
              <w:bottom w:val="single" w:sz="6" w:space="0" w:color="auto"/>
              <w:right w:val="single" w:sz="6" w:space="0" w:color="auto"/>
            </w:tcBorders>
          </w:tcPr>
          <w:p w14:paraId="0B611F13" w14:textId="77777777" w:rsidR="007049A5" w:rsidRPr="004E4188" w:rsidRDefault="007049A5" w:rsidP="006C6267">
            <w:pPr>
              <w:jc w:val="center"/>
            </w:pPr>
            <w:r w:rsidRPr="004E4188">
              <w:t>[forfait]</w:t>
            </w:r>
          </w:p>
        </w:tc>
        <w:tc>
          <w:tcPr>
            <w:tcW w:w="1701" w:type="dxa"/>
            <w:tcBorders>
              <w:top w:val="single" w:sz="6" w:space="0" w:color="auto"/>
              <w:left w:val="single" w:sz="6" w:space="0" w:color="auto"/>
              <w:bottom w:val="single" w:sz="6" w:space="0" w:color="auto"/>
              <w:right w:val="double" w:sz="6" w:space="0" w:color="auto"/>
            </w:tcBorders>
          </w:tcPr>
          <w:p w14:paraId="27F1DCF1" w14:textId="77777777" w:rsidR="007049A5" w:rsidRPr="004E4188" w:rsidRDefault="007049A5" w:rsidP="006C6267">
            <w:pPr>
              <w:jc w:val="center"/>
            </w:pPr>
            <w:r w:rsidRPr="004E4188">
              <w:t>[forfait]</w:t>
            </w:r>
          </w:p>
        </w:tc>
      </w:tr>
      <w:tr w:rsidR="007049A5" w:rsidRPr="004E4188" w14:paraId="19FFF4C1" w14:textId="77777777" w:rsidTr="006C6267">
        <w:tc>
          <w:tcPr>
            <w:tcW w:w="829" w:type="dxa"/>
            <w:tcBorders>
              <w:top w:val="single" w:sz="6" w:space="0" w:color="auto"/>
              <w:left w:val="double" w:sz="6" w:space="0" w:color="auto"/>
              <w:bottom w:val="single" w:sz="6" w:space="0" w:color="auto"/>
              <w:right w:val="single" w:sz="6" w:space="0" w:color="auto"/>
            </w:tcBorders>
          </w:tcPr>
          <w:p w14:paraId="4EF2DB3E" w14:textId="77777777" w:rsidR="007049A5" w:rsidRPr="004E4188" w:rsidRDefault="007049A5" w:rsidP="006C6267">
            <w:pPr>
              <w:spacing w:line="240" w:lineRule="exact"/>
              <w:contextualSpacing/>
              <w:jc w:val="center"/>
            </w:pPr>
            <w:r w:rsidRPr="004E4188">
              <w:t>2</w:t>
            </w:r>
          </w:p>
        </w:tc>
        <w:tc>
          <w:tcPr>
            <w:tcW w:w="4700" w:type="dxa"/>
            <w:tcBorders>
              <w:top w:val="single" w:sz="6" w:space="0" w:color="auto"/>
              <w:left w:val="single" w:sz="6" w:space="0" w:color="auto"/>
              <w:bottom w:val="single" w:sz="6" w:space="0" w:color="auto"/>
              <w:right w:val="single" w:sz="6" w:space="0" w:color="auto"/>
            </w:tcBorders>
          </w:tcPr>
          <w:p w14:paraId="55D1C532" w14:textId="77777777" w:rsidR="007049A5" w:rsidRPr="004E4188" w:rsidRDefault="007049A5" w:rsidP="006C6267">
            <w:pPr>
              <w:spacing w:line="240" w:lineRule="exact"/>
              <w:contextualSpacing/>
              <w:jc w:val="left"/>
            </w:pPr>
          </w:p>
        </w:tc>
        <w:tc>
          <w:tcPr>
            <w:tcW w:w="1701" w:type="dxa"/>
            <w:tcBorders>
              <w:top w:val="single" w:sz="6" w:space="0" w:color="auto"/>
              <w:left w:val="single" w:sz="6" w:space="0" w:color="auto"/>
              <w:bottom w:val="single" w:sz="6" w:space="0" w:color="auto"/>
              <w:right w:val="single" w:sz="6" w:space="0" w:color="auto"/>
            </w:tcBorders>
          </w:tcPr>
          <w:p w14:paraId="6B86E9AD" w14:textId="77777777" w:rsidR="007049A5" w:rsidRPr="004E4188" w:rsidRDefault="007049A5" w:rsidP="006C6267">
            <w:pPr>
              <w:jc w:val="center"/>
            </w:pPr>
            <w:r w:rsidRPr="004E4188">
              <w:t>[forfait]</w:t>
            </w:r>
          </w:p>
        </w:tc>
        <w:tc>
          <w:tcPr>
            <w:tcW w:w="1701" w:type="dxa"/>
            <w:tcBorders>
              <w:top w:val="single" w:sz="6" w:space="0" w:color="auto"/>
              <w:left w:val="single" w:sz="6" w:space="0" w:color="auto"/>
              <w:bottom w:val="single" w:sz="6" w:space="0" w:color="auto"/>
              <w:right w:val="double" w:sz="6" w:space="0" w:color="auto"/>
            </w:tcBorders>
          </w:tcPr>
          <w:p w14:paraId="31BF7BDF" w14:textId="77777777" w:rsidR="007049A5" w:rsidRPr="004E4188" w:rsidRDefault="007049A5" w:rsidP="006C6267">
            <w:pPr>
              <w:jc w:val="center"/>
            </w:pPr>
            <w:r w:rsidRPr="004E4188">
              <w:t>[forfait]</w:t>
            </w:r>
          </w:p>
        </w:tc>
      </w:tr>
      <w:tr w:rsidR="007049A5" w:rsidRPr="004E4188" w14:paraId="635BF0B3" w14:textId="77777777" w:rsidTr="006C6267">
        <w:tc>
          <w:tcPr>
            <w:tcW w:w="829" w:type="dxa"/>
            <w:tcBorders>
              <w:top w:val="single" w:sz="6" w:space="0" w:color="auto"/>
              <w:left w:val="double" w:sz="6" w:space="0" w:color="auto"/>
              <w:bottom w:val="single" w:sz="6" w:space="0" w:color="auto"/>
              <w:right w:val="single" w:sz="6" w:space="0" w:color="auto"/>
            </w:tcBorders>
          </w:tcPr>
          <w:p w14:paraId="0B5D4252" w14:textId="77777777" w:rsidR="007049A5" w:rsidRPr="004E4188" w:rsidRDefault="007049A5" w:rsidP="006C6267">
            <w:pPr>
              <w:spacing w:line="240" w:lineRule="exact"/>
              <w:contextualSpacing/>
              <w:jc w:val="center"/>
            </w:pPr>
            <w:r w:rsidRPr="004E4188">
              <w:t>3</w:t>
            </w:r>
          </w:p>
        </w:tc>
        <w:tc>
          <w:tcPr>
            <w:tcW w:w="4700" w:type="dxa"/>
            <w:tcBorders>
              <w:top w:val="single" w:sz="6" w:space="0" w:color="auto"/>
              <w:left w:val="single" w:sz="6" w:space="0" w:color="auto"/>
              <w:bottom w:val="single" w:sz="6" w:space="0" w:color="auto"/>
              <w:right w:val="single" w:sz="6" w:space="0" w:color="auto"/>
            </w:tcBorders>
          </w:tcPr>
          <w:p w14:paraId="13C5EBBB" w14:textId="77777777" w:rsidR="007049A5" w:rsidRPr="004E4188" w:rsidRDefault="007049A5" w:rsidP="006C6267">
            <w:pPr>
              <w:spacing w:line="240" w:lineRule="exact"/>
              <w:contextualSpacing/>
              <w:jc w:val="left"/>
            </w:pPr>
          </w:p>
        </w:tc>
        <w:tc>
          <w:tcPr>
            <w:tcW w:w="1701" w:type="dxa"/>
            <w:tcBorders>
              <w:top w:val="single" w:sz="6" w:space="0" w:color="auto"/>
              <w:left w:val="single" w:sz="6" w:space="0" w:color="auto"/>
              <w:bottom w:val="single" w:sz="6" w:space="0" w:color="auto"/>
              <w:right w:val="single" w:sz="6" w:space="0" w:color="auto"/>
            </w:tcBorders>
          </w:tcPr>
          <w:p w14:paraId="2AF1114B" w14:textId="77777777" w:rsidR="007049A5" w:rsidRPr="004E4188" w:rsidRDefault="007049A5" w:rsidP="006C6267">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7D313219" w14:textId="77777777" w:rsidR="007049A5" w:rsidRPr="004E4188" w:rsidRDefault="007049A5" w:rsidP="006C6267">
            <w:pPr>
              <w:tabs>
                <w:tab w:val="decimal" w:pos="1050"/>
              </w:tabs>
              <w:spacing w:line="240" w:lineRule="exact"/>
              <w:contextualSpacing/>
            </w:pPr>
          </w:p>
        </w:tc>
      </w:tr>
      <w:tr w:rsidR="007049A5" w:rsidRPr="004E4188" w14:paraId="7E30180F" w14:textId="77777777" w:rsidTr="006C6267">
        <w:tc>
          <w:tcPr>
            <w:tcW w:w="829" w:type="dxa"/>
            <w:tcBorders>
              <w:top w:val="single" w:sz="6" w:space="0" w:color="auto"/>
              <w:left w:val="double" w:sz="6" w:space="0" w:color="auto"/>
              <w:bottom w:val="single" w:sz="6" w:space="0" w:color="auto"/>
              <w:right w:val="single" w:sz="6" w:space="0" w:color="auto"/>
            </w:tcBorders>
          </w:tcPr>
          <w:p w14:paraId="592DFA89" w14:textId="77777777" w:rsidR="007049A5" w:rsidRPr="004E4188" w:rsidRDefault="007049A5" w:rsidP="006C6267">
            <w:pPr>
              <w:spacing w:line="240" w:lineRule="exact"/>
              <w:contextualSpacing/>
              <w:jc w:val="center"/>
            </w:pPr>
            <w:r w:rsidRPr="004E4188">
              <w:t>4</w:t>
            </w:r>
          </w:p>
        </w:tc>
        <w:tc>
          <w:tcPr>
            <w:tcW w:w="4700" w:type="dxa"/>
            <w:tcBorders>
              <w:top w:val="single" w:sz="6" w:space="0" w:color="auto"/>
              <w:left w:val="single" w:sz="6" w:space="0" w:color="auto"/>
              <w:bottom w:val="single" w:sz="6" w:space="0" w:color="auto"/>
              <w:right w:val="single" w:sz="6" w:space="0" w:color="auto"/>
            </w:tcBorders>
          </w:tcPr>
          <w:p w14:paraId="53F14F1B" w14:textId="77777777" w:rsidR="007049A5" w:rsidRPr="004E4188" w:rsidRDefault="007049A5" w:rsidP="006C6267">
            <w:pPr>
              <w:spacing w:line="240" w:lineRule="exact"/>
              <w:contextualSpacing/>
              <w:jc w:val="left"/>
            </w:pPr>
          </w:p>
        </w:tc>
        <w:tc>
          <w:tcPr>
            <w:tcW w:w="1701" w:type="dxa"/>
            <w:tcBorders>
              <w:top w:val="single" w:sz="6" w:space="0" w:color="auto"/>
              <w:left w:val="single" w:sz="6" w:space="0" w:color="auto"/>
              <w:bottom w:val="single" w:sz="6" w:space="0" w:color="auto"/>
              <w:right w:val="single" w:sz="6" w:space="0" w:color="auto"/>
            </w:tcBorders>
          </w:tcPr>
          <w:p w14:paraId="6B74A9E1" w14:textId="77777777" w:rsidR="007049A5" w:rsidRPr="004E4188" w:rsidRDefault="007049A5" w:rsidP="006C6267">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75A60C3B" w14:textId="77777777" w:rsidR="007049A5" w:rsidRPr="004E4188" w:rsidRDefault="007049A5" w:rsidP="006C6267">
            <w:pPr>
              <w:tabs>
                <w:tab w:val="decimal" w:pos="1050"/>
              </w:tabs>
              <w:spacing w:line="240" w:lineRule="exact"/>
              <w:contextualSpacing/>
              <w:rPr>
                <w:lang w:eastAsia="ja-JP"/>
              </w:rPr>
            </w:pPr>
          </w:p>
        </w:tc>
      </w:tr>
      <w:tr w:rsidR="007049A5" w:rsidRPr="004E4188" w14:paraId="089E70EA" w14:textId="77777777" w:rsidTr="006C6267">
        <w:tc>
          <w:tcPr>
            <w:tcW w:w="829" w:type="dxa"/>
            <w:tcBorders>
              <w:top w:val="single" w:sz="6" w:space="0" w:color="auto"/>
              <w:left w:val="double" w:sz="6" w:space="0" w:color="auto"/>
              <w:bottom w:val="single" w:sz="6" w:space="0" w:color="auto"/>
              <w:right w:val="single" w:sz="6" w:space="0" w:color="auto"/>
            </w:tcBorders>
          </w:tcPr>
          <w:p w14:paraId="1617F58E" w14:textId="77777777" w:rsidR="007049A5" w:rsidRPr="004E4188" w:rsidRDefault="007049A5" w:rsidP="006C6267">
            <w:pPr>
              <w:spacing w:line="240" w:lineRule="exact"/>
              <w:contextualSpacing/>
              <w:jc w:val="center"/>
            </w:pPr>
          </w:p>
        </w:tc>
        <w:tc>
          <w:tcPr>
            <w:tcW w:w="4700" w:type="dxa"/>
            <w:tcBorders>
              <w:top w:val="single" w:sz="6" w:space="0" w:color="auto"/>
              <w:left w:val="single" w:sz="6" w:space="0" w:color="auto"/>
              <w:bottom w:val="single" w:sz="6" w:space="0" w:color="auto"/>
              <w:right w:val="single" w:sz="6" w:space="0" w:color="auto"/>
            </w:tcBorders>
          </w:tcPr>
          <w:p w14:paraId="3034170A" w14:textId="77777777" w:rsidR="007049A5" w:rsidRPr="004E4188" w:rsidRDefault="007049A5" w:rsidP="006C6267">
            <w:pPr>
              <w:spacing w:line="240" w:lineRule="exact"/>
              <w:contextualSpacing/>
              <w:jc w:val="left"/>
            </w:pPr>
          </w:p>
        </w:tc>
        <w:tc>
          <w:tcPr>
            <w:tcW w:w="1701" w:type="dxa"/>
            <w:tcBorders>
              <w:top w:val="single" w:sz="6" w:space="0" w:color="auto"/>
              <w:left w:val="single" w:sz="6" w:space="0" w:color="auto"/>
              <w:bottom w:val="single" w:sz="6" w:space="0" w:color="auto"/>
              <w:right w:val="single" w:sz="6" w:space="0" w:color="auto"/>
            </w:tcBorders>
          </w:tcPr>
          <w:p w14:paraId="596494ED" w14:textId="77777777" w:rsidR="007049A5" w:rsidRPr="004E4188" w:rsidRDefault="007049A5" w:rsidP="006C6267">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02B22E14" w14:textId="77777777" w:rsidR="007049A5" w:rsidRPr="004E4188" w:rsidRDefault="007049A5" w:rsidP="006C6267">
            <w:pPr>
              <w:tabs>
                <w:tab w:val="decimal" w:pos="1050"/>
              </w:tabs>
              <w:spacing w:line="240" w:lineRule="exact"/>
              <w:contextualSpacing/>
              <w:rPr>
                <w:lang w:eastAsia="ja-JP"/>
              </w:rPr>
            </w:pPr>
          </w:p>
        </w:tc>
      </w:tr>
      <w:tr w:rsidR="007049A5" w:rsidRPr="004E4188" w14:paraId="6A5D2E38" w14:textId="77777777" w:rsidTr="006C6267">
        <w:tc>
          <w:tcPr>
            <w:tcW w:w="829" w:type="dxa"/>
            <w:tcBorders>
              <w:top w:val="single" w:sz="6" w:space="0" w:color="auto"/>
              <w:left w:val="double" w:sz="6" w:space="0" w:color="auto"/>
              <w:bottom w:val="single" w:sz="6" w:space="0" w:color="auto"/>
              <w:right w:val="single" w:sz="6" w:space="0" w:color="auto"/>
            </w:tcBorders>
          </w:tcPr>
          <w:p w14:paraId="415E649A" w14:textId="77777777" w:rsidR="007049A5" w:rsidRPr="004E4188" w:rsidRDefault="007049A5" w:rsidP="006C6267">
            <w:pPr>
              <w:spacing w:line="240" w:lineRule="exact"/>
              <w:contextualSpacing/>
              <w:jc w:val="center"/>
            </w:pPr>
          </w:p>
        </w:tc>
        <w:tc>
          <w:tcPr>
            <w:tcW w:w="4700" w:type="dxa"/>
            <w:tcBorders>
              <w:top w:val="single" w:sz="6" w:space="0" w:color="auto"/>
              <w:left w:val="single" w:sz="6" w:space="0" w:color="auto"/>
              <w:bottom w:val="single" w:sz="6" w:space="0" w:color="auto"/>
              <w:right w:val="single" w:sz="6" w:space="0" w:color="auto"/>
            </w:tcBorders>
          </w:tcPr>
          <w:p w14:paraId="5D463D21" w14:textId="77777777" w:rsidR="007049A5" w:rsidRPr="004E4188" w:rsidRDefault="007049A5" w:rsidP="006C6267">
            <w:pPr>
              <w:spacing w:line="240" w:lineRule="exact"/>
              <w:contextualSpacing/>
              <w:jc w:val="left"/>
            </w:pPr>
          </w:p>
        </w:tc>
        <w:tc>
          <w:tcPr>
            <w:tcW w:w="1701" w:type="dxa"/>
            <w:tcBorders>
              <w:top w:val="single" w:sz="6" w:space="0" w:color="auto"/>
              <w:left w:val="single" w:sz="6" w:space="0" w:color="auto"/>
              <w:bottom w:val="single" w:sz="6" w:space="0" w:color="auto"/>
              <w:right w:val="single" w:sz="6" w:space="0" w:color="auto"/>
            </w:tcBorders>
          </w:tcPr>
          <w:p w14:paraId="6AA3F9B2" w14:textId="77777777" w:rsidR="007049A5" w:rsidRPr="004E4188" w:rsidRDefault="007049A5" w:rsidP="006C6267">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2FAF1248" w14:textId="77777777" w:rsidR="007049A5" w:rsidRPr="004E4188" w:rsidRDefault="007049A5" w:rsidP="006C6267">
            <w:pPr>
              <w:tabs>
                <w:tab w:val="decimal" w:pos="1050"/>
              </w:tabs>
              <w:spacing w:line="240" w:lineRule="exact"/>
              <w:contextualSpacing/>
              <w:rPr>
                <w:lang w:eastAsia="ja-JP"/>
              </w:rPr>
            </w:pPr>
          </w:p>
        </w:tc>
      </w:tr>
      <w:tr w:rsidR="007049A5" w:rsidRPr="004E4188" w14:paraId="1EEB96CD" w14:textId="77777777" w:rsidTr="006C6267">
        <w:tc>
          <w:tcPr>
            <w:tcW w:w="829" w:type="dxa"/>
            <w:tcBorders>
              <w:top w:val="single" w:sz="6" w:space="0" w:color="auto"/>
              <w:left w:val="double" w:sz="6" w:space="0" w:color="auto"/>
              <w:bottom w:val="single" w:sz="6" w:space="0" w:color="auto"/>
              <w:right w:val="single" w:sz="6" w:space="0" w:color="auto"/>
            </w:tcBorders>
          </w:tcPr>
          <w:p w14:paraId="13C300EC" w14:textId="77777777" w:rsidR="007049A5" w:rsidRPr="004E4188" w:rsidRDefault="007049A5" w:rsidP="006C6267">
            <w:pPr>
              <w:spacing w:line="240" w:lineRule="exact"/>
              <w:contextualSpacing/>
              <w:jc w:val="center"/>
            </w:pPr>
          </w:p>
        </w:tc>
        <w:tc>
          <w:tcPr>
            <w:tcW w:w="4700" w:type="dxa"/>
            <w:tcBorders>
              <w:top w:val="single" w:sz="6" w:space="0" w:color="auto"/>
              <w:left w:val="single" w:sz="6" w:space="0" w:color="auto"/>
              <w:bottom w:val="single" w:sz="6" w:space="0" w:color="auto"/>
              <w:right w:val="single" w:sz="6" w:space="0" w:color="auto"/>
            </w:tcBorders>
          </w:tcPr>
          <w:p w14:paraId="3B072AC3" w14:textId="77777777" w:rsidR="007049A5" w:rsidRPr="004E4188" w:rsidRDefault="007049A5" w:rsidP="006C6267">
            <w:pPr>
              <w:spacing w:line="240" w:lineRule="exact"/>
              <w:contextualSpacing/>
              <w:jc w:val="left"/>
            </w:pPr>
          </w:p>
        </w:tc>
        <w:tc>
          <w:tcPr>
            <w:tcW w:w="1701" w:type="dxa"/>
            <w:tcBorders>
              <w:top w:val="single" w:sz="6" w:space="0" w:color="auto"/>
              <w:left w:val="single" w:sz="6" w:space="0" w:color="auto"/>
              <w:bottom w:val="single" w:sz="6" w:space="0" w:color="auto"/>
              <w:right w:val="single" w:sz="6" w:space="0" w:color="auto"/>
            </w:tcBorders>
          </w:tcPr>
          <w:p w14:paraId="1D004A31" w14:textId="77777777" w:rsidR="007049A5" w:rsidRPr="004E4188" w:rsidRDefault="007049A5" w:rsidP="006C6267">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2F2AFAFD" w14:textId="77777777" w:rsidR="007049A5" w:rsidRPr="004E4188" w:rsidRDefault="007049A5" w:rsidP="006C6267">
            <w:pPr>
              <w:tabs>
                <w:tab w:val="decimal" w:pos="1050"/>
              </w:tabs>
              <w:spacing w:line="240" w:lineRule="exact"/>
              <w:contextualSpacing/>
              <w:rPr>
                <w:lang w:eastAsia="ja-JP"/>
              </w:rPr>
            </w:pPr>
          </w:p>
        </w:tc>
      </w:tr>
      <w:tr w:rsidR="007049A5" w:rsidRPr="004E4188" w14:paraId="7D864071" w14:textId="77777777" w:rsidTr="006C6267">
        <w:tc>
          <w:tcPr>
            <w:tcW w:w="829" w:type="dxa"/>
            <w:tcBorders>
              <w:top w:val="single" w:sz="6" w:space="0" w:color="auto"/>
              <w:left w:val="double" w:sz="6" w:space="0" w:color="auto"/>
              <w:bottom w:val="single" w:sz="6" w:space="0" w:color="auto"/>
              <w:right w:val="single" w:sz="6" w:space="0" w:color="auto"/>
            </w:tcBorders>
          </w:tcPr>
          <w:p w14:paraId="4F04F69C" w14:textId="77777777" w:rsidR="007049A5" w:rsidRPr="004E4188" w:rsidRDefault="007049A5" w:rsidP="006C6267">
            <w:pPr>
              <w:spacing w:line="240" w:lineRule="exact"/>
              <w:contextualSpacing/>
              <w:jc w:val="center"/>
            </w:pPr>
            <w:r w:rsidRPr="004E4188">
              <w:t>etc.</w:t>
            </w:r>
          </w:p>
        </w:tc>
        <w:tc>
          <w:tcPr>
            <w:tcW w:w="4700" w:type="dxa"/>
            <w:tcBorders>
              <w:top w:val="single" w:sz="6" w:space="0" w:color="auto"/>
              <w:left w:val="single" w:sz="6" w:space="0" w:color="auto"/>
              <w:bottom w:val="single" w:sz="6" w:space="0" w:color="auto"/>
              <w:right w:val="single" w:sz="6" w:space="0" w:color="auto"/>
            </w:tcBorders>
          </w:tcPr>
          <w:p w14:paraId="0C75AB19" w14:textId="77777777" w:rsidR="007049A5" w:rsidRPr="004E4188" w:rsidRDefault="007049A5" w:rsidP="006C6267">
            <w:pPr>
              <w:spacing w:line="240" w:lineRule="exact"/>
              <w:contextualSpacing/>
              <w:jc w:val="left"/>
            </w:pPr>
          </w:p>
        </w:tc>
        <w:tc>
          <w:tcPr>
            <w:tcW w:w="1701" w:type="dxa"/>
            <w:tcBorders>
              <w:top w:val="single" w:sz="6" w:space="0" w:color="auto"/>
              <w:left w:val="single" w:sz="6" w:space="0" w:color="auto"/>
              <w:bottom w:val="single" w:sz="6" w:space="0" w:color="auto"/>
              <w:right w:val="single" w:sz="6" w:space="0" w:color="auto"/>
            </w:tcBorders>
          </w:tcPr>
          <w:p w14:paraId="19318B31" w14:textId="77777777" w:rsidR="007049A5" w:rsidRPr="004E4188" w:rsidRDefault="007049A5" w:rsidP="006C6267">
            <w:pPr>
              <w:tabs>
                <w:tab w:val="decimal" w:pos="1050"/>
              </w:tabs>
              <w:spacing w:line="240" w:lineRule="exact"/>
              <w:contextualSpacing/>
            </w:pPr>
          </w:p>
        </w:tc>
        <w:tc>
          <w:tcPr>
            <w:tcW w:w="1701" w:type="dxa"/>
            <w:tcBorders>
              <w:top w:val="single" w:sz="6" w:space="0" w:color="auto"/>
              <w:left w:val="single" w:sz="6" w:space="0" w:color="auto"/>
              <w:bottom w:val="single" w:sz="6" w:space="0" w:color="auto"/>
              <w:right w:val="double" w:sz="6" w:space="0" w:color="auto"/>
            </w:tcBorders>
          </w:tcPr>
          <w:p w14:paraId="1CB5979E" w14:textId="77777777" w:rsidR="007049A5" w:rsidRPr="004E4188" w:rsidRDefault="007049A5" w:rsidP="006C6267">
            <w:pPr>
              <w:tabs>
                <w:tab w:val="decimal" w:pos="1050"/>
              </w:tabs>
              <w:spacing w:line="240" w:lineRule="exact"/>
              <w:contextualSpacing/>
            </w:pPr>
          </w:p>
        </w:tc>
      </w:tr>
      <w:tr w:rsidR="007049A5" w:rsidRPr="004E4188" w14:paraId="7C8424DF" w14:textId="77777777" w:rsidTr="006C6267">
        <w:tc>
          <w:tcPr>
            <w:tcW w:w="829" w:type="dxa"/>
            <w:tcBorders>
              <w:top w:val="single" w:sz="6" w:space="0" w:color="auto"/>
              <w:left w:val="double" w:sz="6" w:space="0" w:color="auto"/>
              <w:bottom w:val="single" w:sz="6" w:space="0" w:color="auto"/>
              <w:right w:val="single" w:sz="6" w:space="0" w:color="auto"/>
            </w:tcBorders>
          </w:tcPr>
          <w:p w14:paraId="22632A29" w14:textId="77777777" w:rsidR="007049A5" w:rsidRPr="004E4188" w:rsidRDefault="007049A5" w:rsidP="006C6267">
            <w:pPr>
              <w:spacing w:line="240" w:lineRule="exact"/>
              <w:contextualSpacing/>
              <w:jc w:val="center"/>
            </w:pPr>
            <w:r w:rsidRPr="004E4188">
              <w:t>xx</w:t>
            </w:r>
          </w:p>
        </w:tc>
        <w:tc>
          <w:tcPr>
            <w:tcW w:w="4700" w:type="dxa"/>
            <w:tcBorders>
              <w:top w:val="single" w:sz="6" w:space="0" w:color="auto"/>
              <w:left w:val="single" w:sz="6" w:space="0" w:color="auto"/>
              <w:bottom w:val="single" w:sz="6" w:space="0" w:color="auto"/>
              <w:right w:val="single" w:sz="6" w:space="0" w:color="auto"/>
            </w:tcBorders>
          </w:tcPr>
          <w:p w14:paraId="51552B27" w14:textId="77777777" w:rsidR="007049A5" w:rsidRPr="004E4188" w:rsidRDefault="007049A5" w:rsidP="006C6267">
            <w:pPr>
              <w:spacing w:line="240" w:lineRule="exact"/>
              <w:contextualSpacing/>
              <w:jc w:val="left"/>
            </w:pPr>
            <w:r w:rsidRPr="004E4188">
              <w:rPr>
                <w:lang w:eastAsia="ja-JP"/>
              </w:rPr>
              <w:t>Montant affecté au Comité de Règlement des Différends</w:t>
            </w:r>
          </w:p>
        </w:tc>
        <w:tc>
          <w:tcPr>
            <w:tcW w:w="1701" w:type="dxa"/>
            <w:tcBorders>
              <w:top w:val="single" w:sz="6" w:space="0" w:color="auto"/>
              <w:left w:val="single" w:sz="6" w:space="0" w:color="auto"/>
              <w:bottom w:val="single" w:sz="6" w:space="0" w:color="auto"/>
              <w:right w:val="single" w:sz="6" w:space="0" w:color="auto"/>
            </w:tcBorders>
          </w:tcPr>
          <w:p w14:paraId="4B656337" w14:textId="77777777" w:rsidR="007049A5" w:rsidRPr="004E4188" w:rsidRDefault="007049A5" w:rsidP="006C6267">
            <w:pPr>
              <w:jc w:val="center"/>
            </w:pPr>
            <w:r w:rsidRPr="004E4188">
              <w:t>[forfait]</w:t>
            </w:r>
          </w:p>
        </w:tc>
        <w:tc>
          <w:tcPr>
            <w:tcW w:w="1701" w:type="dxa"/>
            <w:tcBorders>
              <w:top w:val="single" w:sz="6" w:space="0" w:color="auto"/>
              <w:left w:val="single" w:sz="6" w:space="0" w:color="auto"/>
              <w:bottom w:val="single" w:sz="6" w:space="0" w:color="auto"/>
              <w:right w:val="double" w:sz="6" w:space="0" w:color="auto"/>
            </w:tcBorders>
          </w:tcPr>
          <w:p w14:paraId="0B9C0BFA" w14:textId="77777777" w:rsidR="007049A5" w:rsidRPr="004E4188" w:rsidRDefault="007049A5" w:rsidP="006C6267">
            <w:pPr>
              <w:jc w:val="center"/>
            </w:pPr>
            <w:r w:rsidRPr="004E4188">
              <w:t>[forfait]</w:t>
            </w:r>
          </w:p>
        </w:tc>
      </w:tr>
      <w:tr w:rsidR="007049A5" w:rsidRPr="004E4188" w14:paraId="51B34EFA" w14:textId="77777777" w:rsidTr="006C6267">
        <w:trPr>
          <w:trHeight w:val="337"/>
        </w:trPr>
        <w:tc>
          <w:tcPr>
            <w:tcW w:w="829" w:type="dxa"/>
            <w:tcBorders>
              <w:top w:val="single" w:sz="6" w:space="0" w:color="auto"/>
              <w:left w:val="double" w:sz="6" w:space="0" w:color="auto"/>
              <w:bottom w:val="double" w:sz="6" w:space="0" w:color="auto"/>
              <w:right w:val="single" w:sz="6" w:space="0" w:color="auto"/>
            </w:tcBorders>
          </w:tcPr>
          <w:p w14:paraId="748781E9" w14:textId="77777777" w:rsidR="007049A5" w:rsidRPr="004E4188" w:rsidRDefault="007049A5" w:rsidP="006C6267">
            <w:pPr>
              <w:spacing w:line="240" w:lineRule="exact"/>
              <w:contextualSpacing/>
              <w:jc w:val="center"/>
              <w:rPr>
                <w:b/>
              </w:rPr>
            </w:pPr>
          </w:p>
        </w:tc>
        <w:tc>
          <w:tcPr>
            <w:tcW w:w="4700" w:type="dxa"/>
            <w:tcBorders>
              <w:top w:val="single" w:sz="6" w:space="0" w:color="auto"/>
              <w:left w:val="single" w:sz="6" w:space="0" w:color="auto"/>
              <w:bottom w:val="double" w:sz="6" w:space="0" w:color="auto"/>
              <w:right w:val="single" w:sz="6" w:space="0" w:color="auto"/>
            </w:tcBorders>
          </w:tcPr>
          <w:p w14:paraId="0D8FAE13" w14:textId="77777777" w:rsidR="007049A5" w:rsidRPr="004E4188" w:rsidRDefault="007049A5" w:rsidP="006C6267">
            <w:pPr>
              <w:spacing w:after="120" w:line="240" w:lineRule="exact"/>
              <w:contextualSpacing/>
              <w:jc w:val="left"/>
              <w:rPr>
                <w:u w:val="single"/>
              </w:rPr>
            </w:pPr>
            <w:r w:rsidRPr="004E4188">
              <w:t>Total (à reporter dans le poste (C) du tableau récapitulatif, p.</w:t>
            </w:r>
            <w:r w:rsidRPr="004E4188">
              <w:rPr>
                <w:u w:val="single"/>
              </w:rPr>
              <w:t xml:space="preserve">     </w:t>
            </w:r>
            <w:r w:rsidRPr="004E4188">
              <w:t>)</w:t>
            </w:r>
          </w:p>
        </w:tc>
        <w:tc>
          <w:tcPr>
            <w:tcW w:w="1701" w:type="dxa"/>
            <w:tcBorders>
              <w:top w:val="single" w:sz="6" w:space="0" w:color="auto"/>
              <w:left w:val="single" w:sz="6" w:space="0" w:color="auto"/>
              <w:bottom w:val="double" w:sz="6" w:space="0" w:color="auto"/>
              <w:right w:val="single" w:sz="6" w:space="0" w:color="auto"/>
            </w:tcBorders>
          </w:tcPr>
          <w:p w14:paraId="5C15CE11" w14:textId="77777777" w:rsidR="007049A5" w:rsidRPr="004E4188" w:rsidRDefault="007049A5" w:rsidP="006C6267">
            <w:pPr>
              <w:jc w:val="center"/>
            </w:pPr>
            <w:r w:rsidRPr="004E4188">
              <w:t>[forfait]</w:t>
            </w:r>
          </w:p>
        </w:tc>
        <w:tc>
          <w:tcPr>
            <w:tcW w:w="1701" w:type="dxa"/>
            <w:tcBorders>
              <w:top w:val="single" w:sz="6" w:space="0" w:color="auto"/>
              <w:left w:val="single" w:sz="6" w:space="0" w:color="auto"/>
              <w:bottom w:val="double" w:sz="6" w:space="0" w:color="auto"/>
              <w:right w:val="double" w:sz="6" w:space="0" w:color="auto"/>
            </w:tcBorders>
          </w:tcPr>
          <w:p w14:paraId="4B8F40BC" w14:textId="77777777" w:rsidR="007049A5" w:rsidRPr="004E4188" w:rsidRDefault="007049A5" w:rsidP="006C6267">
            <w:pPr>
              <w:jc w:val="center"/>
            </w:pPr>
            <w:r w:rsidRPr="004E4188">
              <w:t>[forfait]</w:t>
            </w:r>
          </w:p>
        </w:tc>
      </w:tr>
    </w:tbl>
    <w:p w14:paraId="2DF04474" w14:textId="77777777" w:rsidR="007049A5" w:rsidRPr="004E4188" w:rsidRDefault="007049A5" w:rsidP="006C6267">
      <w:pPr>
        <w:tabs>
          <w:tab w:val="left" w:pos="284"/>
        </w:tabs>
        <w:spacing w:before="120"/>
        <w:ind w:left="284" w:hanging="284"/>
        <w:rPr>
          <w:rFonts w:eastAsia="Arial Unicode MS"/>
          <w:szCs w:val="24"/>
          <w:u w:val="single"/>
          <w:lang w:eastAsia="ja-JP"/>
        </w:rPr>
      </w:pPr>
      <w:r w:rsidRPr="004E4188">
        <w:rPr>
          <w:rFonts w:eastAsia="Arial Unicode MS"/>
          <w:szCs w:val="24"/>
          <w:u w:val="single"/>
          <w:lang w:eastAsia="ja-JP"/>
        </w:rPr>
        <w:t>Notes à l’intention des Soumissionnaires</w:t>
      </w:r>
    </w:p>
    <w:p w14:paraId="757EEA35" w14:textId="77777777" w:rsidR="007049A5" w:rsidRPr="004E4188" w:rsidRDefault="007049A5" w:rsidP="006C6267">
      <w:pPr>
        <w:tabs>
          <w:tab w:val="left" w:pos="284"/>
        </w:tabs>
        <w:spacing w:before="120"/>
        <w:ind w:left="284" w:hanging="284"/>
      </w:pPr>
      <w:r w:rsidRPr="004E4188">
        <w:t>1.</w:t>
      </w:r>
      <w:r w:rsidRPr="004E4188">
        <w:tab/>
        <w:t xml:space="preserve">Les sommes provisionnelles indiquées ci-dessus seront dépensées en tout ou en parties selon les instructions du </w:t>
      </w:r>
      <w:r w:rsidRPr="004E4188">
        <w:rPr>
          <w:noProof/>
          <w:lang w:eastAsia="en-US"/>
        </w:rPr>
        <w:t>Directeur de projet</w:t>
      </w:r>
      <w:r w:rsidRPr="004E4188">
        <w:t xml:space="preserve"> et conformément à l’Article 39.4</w:t>
      </w:r>
      <w:r w:rsidRPr="004E4188">
        <w:rPr>
          <w:noProof/>
          <w:lang w:eastAsia="en-US"/>
        </w:rPr>
        <w:t xml:space="preserve"> des Conditions du Marché</w:t>
      </w:r>
      <w:r w:rsidRPr="004E4188">
        <w:t xml:space="preserve">. Nonobstant ce qui précède, l’utilisation des sommes provisionnelles pour le coût du Comité de Règlement des Différends ne nécessitera aucune instruction préalable du </w:t>
      </w:r>
      <w:r w:rsidRPr="004E4188">
        <w:rPr>
          <w:noProof/>
          <w:lang w:eastAsia="en-US"/>
        </w:rPr>
        <w:t>Directeur de projet</w:t>
      </w:r>
      <w:r w:rsidRPr="004E4188">
        <w:t>.</w:t>
      </w:r>
    </w:p>
    <w:p w14:paraId="20EBEBD1" w14:textId="77777777" w:rsidR="007049A5" w:rsidRPr="004E4188" w:rsidRDefault="007049A5" w:rsidP="006C6267">
      <w:pPr>
        <w:tabs>
          <w:tab w:val="left" w:pos="284"/>
        </w:tabs>
        <w:spacing w:before="120"/>
        <w:ind w:left="284" w:hanging="284"/>
      </w:pPr>
      <w:r w:rsidRPr="004E4188">
        <w:t>2.</w:t>
      </w:r>
      <w:r w:rsidRPr="004E4188">
        <w:tab/>
        <w:t>Les frais généraux, profits, etc. de l’Entrepreneur ne doivent pas être inclus dans les sommes provisionnelles pour le coût du Comité de Règlement des Différends.</w:t>
      </w:r>
    </w:p>
    <w:p w14:paraId="15C26E72" w14:textId="77777777" w:rsidR="007049A5" w:rsidRPr="004E4188" w:rsidRDefault="007049A5" w:rsidP="006C6267">
      <w:pPr>
        <w:pStyle w:val="SectionIVHeading2"/>
        <w:outlineLvl w:val="2"/>
        <w:rPr>
          <w:b w:val="0"/>
          <w:noProof/>
        </w:rPr>
      </w:pPr>
      <w:r w:rsidRPr="004E4188">
        <w:rPr>
          <w:lang w:val="fr-FR"/>
        </w:rPr>
        <w:br w:type="page"/>
      </w:r>
      <w:bookmarkStart w:id="521" w:name="_Toc86100064"/>
      <w:bookmarkStart w:id="522" w:name="_Toc86101628"/>
      <w:bookmarkStart w:id="523" w:name="_Toc89380389"/>
      <w:bookmarkStart w:id="524" w:name="_Toc89383051"/>
      <w:bookmarkStart w:id="525" w:name="_Toc89413068"/>
      <w:bookmarkStart w:id="526" w:name="_Toc89423481"/>
      <w:bookmarkStart w:id="527" w:name="_Toc112429308"/>
      <w:r w:rsidRPr="004E4188">
        <w:rPr>
          <w:lang w:val="en-GB"/>
        </w:rPr>
        <w:t>Tableau</w:t>
      </w:r>
      <w:r w:rsidRPr="004E4188">
        <w:rPr>
          <w:noProof/>
        </w:rPr>
        <w:t xml:space="preserve"> récapitulatif</w:t>
      </w:r>
      <w:bookmarkEnd w:id="521"/>
      <w:bookmarkEnd w:id="522"/>
      <w:bookmarkEnd w:id="523"/>
      <w:bookmarkEnd w:id="524"/>
      <w:bookmarkEnd w:id="525"/>
      <w:bookmarkEnd w:id="526"/>
      <w:bookmarkEnd w:id="5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7049A5" w:rsidRPr="004E4188" w14:paraId="3504D435" w14:textId="77777777" w:rsidTr="006C6267">
        <w:tc>
          <w:tcPr>
            <w:tcW w:w="9219" w:type="dxa"/>
            <w:shd w:val="clear" w:color="auto" w:fill="auto"/>
          </w:tcPr>
          <w:p w14:paraId="5F13C3C2" w14:textId="77777777" w:rsidR="007049A5" w:rsidRPr="004E4188" w:rsidRDefault="007049A5" w:rsidP="006C6267">
            <w:pPr>
              <w:tabs>
                <w:tab w:val="left" w:pos="1050"/>
              </w:tabs>
              <w:suppressAutoHyphens w:val="0"/>
              <w:overflowPunct/>
              <w:autoSpaceDE/>
              <w:autoSpaceDN/>
              <w:adjustRightInd/>
              <w:spacing w:after="60" w:line="240" w:lineRule="atLeast"/>
              <w:jc w:val="center"/>
              <w:textAlignment w:val="auto"/>
              <w:rPr>
                <w:b/>
                <w:noProof/>
                <w:lang w:eastAsia="en-US"/>
              </w:rPr>
            </w:pPr>
            <w:r w:rsidRPr="004E4188">
              <w:rPr>
                <w:b/>
              </w:rPr>
              <w:t>Notes à l’intention du Maître d’ouvrage</w:t>
            </w:r>
          </w:p>
          <w:p w14:paraId="1449DA19" w14:textId="77777777" w:rsidR="007049A5" w:rsidRPr="004E4188" w:rsidRDefault="007049A5" w:rsidP="006C6267">
            <w:pPr>
              <w:tabs>
                <w:tab w:val="left" w:pos="1050"/>
              </w:tabs>
              <w:suppressAutoHyphens w:val="0"/>
              <w:overflowPunct/>
              <w:autoSpaceDE/>
              <w:autoSpaceDN/>
              <w:adjustRightInd/>
              <w:spacing w:after="120" w:line="240" w:lineRule="atLeast"/>
              <w:textAlignment w:val="auto"/>
              <w:rPr>
                <w:noProof/>
                <w:lang w:eastAsia="en-US"/>
              </w:rPr>
            </w:pPr>
            <w:r w:rsidRPr="004E4188">
              <w:rPr>
                <w:noProof/>
                <w:lang w:eastAsia="en-US"/>
              </w:rPr>
              <w:t>Le total du Bordereau intitulé « </w:t>
            </w:r>
            <w:r w:rsidRPr="004E4188">
              <w:rPr>
                <w:i/>
                <w:noProof/>
                <w:lang w:eastAsia="en-US"/>
              </w:rPr>
              <w:t>Pièces de rechange recommandées</w:t>
            </w:r>
            <w:r w:rsidRPr="004E4188">
              <w:rPr>
                <w:noProof/>
                <w:lang w:eastAsia="en-US"/>
              </w:rPr>
              <w:t xml:space="preserve"> » ne doit pas être inclus dans le Montant de l’offre et, par conséquent est indiqué séparément dans le tableau récapitulatif. </w:t>
            </w:r>
          </w:p>
          <w:p w14:paraId="7040A4C8" w14:textId="77777777" w:rsidR="007049A5" w:rsidRPr="004E4188" w:rsidRDefault="007049A5" w:rsidP="006C6267">
            <w:pPr>
              <w:tabs>
                <w:tab w:val="left" w:pos="1050"/>
              </w:tabs>
              <w:suppressAutoHyphens w:val="0"/>
              <w:overflowPunct/>
              <w:autoSpaceDE/>
              <w:autoSpaceDN/>
              <w:adjustRightInd/>
              <w:spacing w:after="120" w:line="240" w:lineRule="atLeast"/>
              <w:textAlignment w:val="auto"/>
              <w:rPr>
                <w:noProof/>
                <w:u w:val="single"/>
                <w:lang w:eastAsia="en-US"/>
              </w:rPr>
            </w:pPr>
            <w:r w:rsidRPr="004E4188">
              <w:rPr>
                <w:noProof/>
                <w:lang w:eastAsia="en-US"/>
              </w:rPr>
              <w:t>Pour le poste (B), les parts en monnaie nationale et en monnaie(s) étrangère(s) du coût estimé total des sommes provisionnelles de nature spécifique, telles que décrites au Bordereau des sommes provisionnelles, doivent être insérées dans les colonnes respectives de « Montant ».</w:t>
            </w:r>
          </w:p>
          <w:p w14:paraId="7AFE733B" w14:textId="77777777" w:rsidR="007049A5" w:rsidRPr="004E4188" w:rsidRDefault="007049A5" w:rsidP="006C6267">
            <w:pPr>
              <w:tabs>
                <w:tab w:val="left" w:pos="1050"/>
              </w:tabs>
              <w:suppressAutoHyphens w:val="0"/>
              <w:overflowPunct/>
              <w:autoSpaceDE/>
              <w:autoSpaceDN/>
              <w:adjustRightInd/>
              <w:spacing w:after="120" w:line="240" w:lineRule="atLeast"/>
              <w:textAlignment w:val="auto"/>
              <w:rPr>
                <w:noProof/>
                <w:lang w:eastAsia="en-US"/>
              </w:rPr>
            </w:pPr>
            <w:r w:rsidRPr="004E4188">
              <w:rPr>
                <w:noProof/>
                <w:lang w:eastAsia="en-US"/>
              </w:rPr>
              <w:t xml:space="preserve">Pour le poste (D), suivant les options décrites à l’Article 14.10 des DP (dans le cas d’une procédure à une étape-deux enveloppes) et à l’Article 30.10 des DP (dans le cas d’une procédure à deux étapes-une enveloppe) : </w:t>
            </w:r>
          </w:p>
          <w:p w14:paraId="0E9791E7" w14:textId="77777777" w:rsidR="007049A5" w:rsidRPr="004E4188" w:rsidRDefault="007049A5" w:rsidP="006C6267">
            <w:pPr>
              <w:tabs>
                <w:tab w:val="left" w:pos="709"/>
              </w:tabs>
              <w:spacing w:after="60" w:line="240" w:lineRule="atLeast"/>
              <w:ind w:left="425" w:hanging="425"/>
            </w:pPr>
            <w:r w:rsidRPr="004E4188">
              <w:t xml:space="preserve">(a) </w:t>
            </w:r>
            <w:r w:rsidRPr="004E4188">
              <w:tab/>
              <w:t>si l’option A est choisie, indiquer le pourcentage applicable dans « (...%) » ;</w:t>
            </w:r>
          </w:p>
          <w:p w14:paraId="67C4FAF2" w14:textId="77777777" w:rsidR="007049A5" w:rsidRPr="004E4188" w:rsidRDefault="007049A5" w:rsidP="006C6267">
            <w:pPr>
              <w:tabs>
                <w:tab w:val="left" w:pos="709"/>
              </w:tabs>
              <w:spacing w:after="120" w:line="240" w:lineRule="atLeast"/>
              <w:ind w:left="425" w:hanging="425"/>
            </w:pPr>
            <w:r w:rsidRPr="004E4188">
              <w:t>(b)</w:t>
            </w:r>
            <w:r w:rsidRPr="004E4188">
              <w:tab/>
              <w:t>si l’option B est choisie, supprimer « (...%) » ainsi que la note 1, et indiquer les parts en monnaie nationale et en monnaie(s) étrangère(s) du montant correspondant dans les colonnes respectives de « Montant ».</w:t>
            </w:r>
          </w:p>
          <w:p w14:paraId="0ADC0051" w14:textId="77777777" w:rsidR="007049A5" w:rsidRPr="004E4188" w:rsidRDefault="007049A5" w:rsidP="006C6267">
            <w:pPr>
              <w:tabs>
                <w:tab w:val="left" w:pos="709"/>
              </w:tabs>
              <w:suppressAutoHyphens w:val="0"/>
              <w:overflowPunct/>
              <w:autoSpaceDE/>
              <w:autoSpaceDN/>
              <w:adjustRightInd/>
              <w:spacing w:after="60" w:line="240" w:lineRule="atLeast"/>
              <w:textAlignment w:val="auto"/>
              <w:rPr>
                <w:noProof/>
                <w:lang w:eastAsia="ja-JP"/>
              </w:rPr>
            </w:pPr>
            <w:bookmarkStart w:id="528" w:name="_Toc86101629"/>
            <w:r w:rsidRPr="004E4188">
              <w:rPr>
                <w:szCs w:val="24"/>
              </w:rPr>
              <w:t>Pour le poste (E), dans le cas d’un appel d’offres à deux étapes-une enveloppe, remplacer « Lettre de soumission de l’Offre Financière » par « Lettre de soumission de la deuxième étape ».</w:t>
            </w:r>
            <w:bookmarkEnd w:id="528"/>
            <w:r w:rsidRPr="004E4188">
              <w:rPr>
                <w:noProof/>
                <w:lang w:eastAsia="en-US"/>
              </w:rPr>
              <w:t xml:space="preserve"> </w:t>
            </w:r>
          </w:p>
        </w:tc>
      </w:tr>
    </w:tbl>
    <w:p w14:paraId="154DB240" w14:textId="77777777" w:rsidR="007049A5" w:rsidRPr="004E4188" w:rsidRDefault="007049A5" w:rsidP="006C6267">
      <w:pPr>
        <w:suppressAutoHyphens w:val="0"/>
        <w:overflowPunct/>
        <w:autoSpaceDE/>
        <w:autoSpaceDN/>
        <w:adjustRightInd/>
        <w:jc w:val="center"/>
        <w:textAlignment w:val="auto"/>
        <w:rPr>
          <w:noProof/>
          <w:lang w:eastAsia="en-US"/>
        </w:rPr>
      </w:pPr>
    </w:p>
    <w:tbl>
      <w:tblPr>
        <w:tblW w:w="8941" w:type="dxa"/>
        <w:tblInd w:w="108" w:type="dxa"/>
        <w:tblLayout w:type="fixed"/>
        <w:tblLook w:val="0000" w:firstRow="0" w:lastRow="0" w:firstColumn="0" w:lastColumn="0" w:noHBand="0" w:noVBand="0"/>
      </w:tblPr>
      <w:tblGrid>
        <w:gridCol w:w="560"/>
        <w:gridCol w:w="4685"/>
        <w:gridCol w:w="11"/>
        <w:gridCol w:w="992"/>
        <w:gridCol w:w="1418"/>
        <w:gridCol w:w="1275"/>
      </w:tblGrid>
      <w:tr w:rsidR="007049A5" w:rsidRPr="004E4188" w14:paraId="0A49243B" w14:textId="77777777" w:rsidTr="006C6267">
        <w:tc>
          <w:tcPr>
            <w:tcW w:w="5256" w:type="dxa"/>
            <w:gridSpan w:val="3"/>
            <w:tcBorders>
              <w:top w:val="double" w:sz="6" w:space="0" w:color="auto"/>
              <w:left w:val="double" w:sz="6" w:space="0" w:color="auto"/>
            </w:tcBorders>
          </w:tcPr>
          <w:p w14:paraId="60BBEF2E" w14:textId="77777777" w:rsidR="007049A5" w:rsidRPr="004E4188" w:rsidRDefault="007049A5" w:rsidP="006C6267">
            <w:pPr>
              <w:jc w:val="center"/>
            </w:pPr>
            <w:r w:rsidRPr="004E4188">
              <w:t>Description</w:t>
            </w:r>
          </w:p>
        </w:tc>
        <w:tc>
          <w:tcPr>
            <w:tcW w:w="992" w:type="dxa"/>
            <w:tcBorders>
              <w:top w:val="double" w:sz="6" w:space="0" w:color="auto"/>
              <w:left w:val="single" w:sz="4" w:space="0" w:color="auto"/>
              <w:right w:val="single" w:sz="6" w:space="0" w:color="auto"/>
            </w:tcBorders>
          </w:tcPr>
          <w:p w14:paraId="24D39ED0" w14:textId="77777777" w:rsidR="007049A5" w:rsidRPr="004E4188" w:rsidRDefault="007049A5" w:rsidP="006C6267">
            <w:pPr>
              <w:jc w:val="center"/>
            </w:pPr>
            <w:r w:rsidRPr="004E4188">
              <w:t>Page</w:t>
            </w:r>
          </w:p>
        </w:tc>
        <w:tc>
          <w:tcPr>
            <w:tcW w:w="2693" w:type="dxa"/>
            <w:gridSpan w:val="2"/>
            <w:tcBorders>
              <w:top w:val="double" w:sz="6" w:space="0" w:color="auto"/>
              <w:left w:val="single" w:sz="6" w:space="0" w:color="auto"/>
              <w:bottom w:val="single" w:sz="6" w:space="0" w:color="auto"/>
              <w:right w:val="double" w:sz="6" w:space="0" w:color="auto"/>
            </w:tcBorders>
          </w:tcPr>
          <w:p w14:paraId="65806900" w14:textId="77777777" w:rsidR="007049A5" w:rsidRPr="004E4188" w:rsidRDefault="007049A5" w:rsidP="006C6267">
            <w:pPr>
              <w:jc w:val="center"/>
            </w:pPr>
            <w:r w:rsidRPr="004E4188">
              <w:t>Montant</w:t>
            </w:r>
          </w:p>
        </w:tc>
      </w:tr>
      <w:tr w:rsidR="007049A5" w:rsidRPr="004E4188" w14:paraId="6A8C305C" w14:textId="77777777" w:rsidTr="006C6267">
        <w:tc>
          <w:tcPr>
            <w:tcW w:w="5256" w:type="dxa"/>
            <w:gridSpan w:val="3"/>
            <w:tcBorders>
              <w:left w:val="double" w:sz="6" w:space="0" w:color="auto"/>
              <w:bottom w:val="single" w:sz="6" w:space="0" w:color="auto"/>
            </w:tcBorders>
          </w:tcPr>
          <w:p w14:paraId="32FFAF3F" w14:textId="77777777" w:rsidR="007049A5" w:rsidRPr="004E4188" w:rsidRDefault="007049A5" w:rsidP="006C6267">
            <w:pPr>
              <w:jc w:val="center"/>
            </w:pPr>
          </w:p>
        </w:tc>
        <w:tc>
          <w:tcPr>
            <w:tcW w:w="992" w:type="dxa"/>
            <w:tcBorders>
              <w:left w:val="single" w:sz="4" w:space="0" w:color="auto"/>
              <w:bottom w:val="single" w:sz="6" w:space="0" w:color="auto"/>
            </w:tcBorders>
          </w:tcPr>
          <w:p w14:paraId="15F2C620" w14:textId="77777777" w:rsidR="007049A5" w:rsidRPr="004E4188" w:rsidRDefault="007049A5" w:rsidP="006C6267">
            <w:pPr>
              <w:jc w:val="center"/>
            </w:pPr>
          </w:p>
        </w:tc>
        <w:tc>
          <w:tcPr>
            <w:tcW w:w="1418" w:type="dxa"/>
            <w:tcBorders>
              <w:top w:val="dotted" w:sz="4" w:space="0" w:color="auto"/>
              <w:left w:val="single" w:sz="4" w:space="0" w:color="auto"/>
              <w:bottom w:val="single" w:sz="6" w:space="0" w:color="auto"/>
              <w:right w:val="single" w:sz="6" w:space="0" w:color="auto"/>
            </w:tcBorders>
          </w:tcPr>
          <w:p w14:paraId="1DA782FB" w14:textId="77777777" w:rsidR="007049A5" w:rsidRPr="004E4188" w:rsidRDefault="007049A5" w:rsidP="006C6267">
            <w:pPr>
              <w:spacing w:line="240" w:lineRule="exact"/>
              <w:contextualSpacing/>
              <w:jc w:val="center"/>
              <w:rPr>
                <w:lang w:eastAsia="ja-JP"/>
              </w:rPr>
            </w:pPr>
            <w:r w:rsidRPr="004E4188">
              <w:rPr>
                <w:lang w:eastAsia="ja-JP"/>
              </w:rPr>
              <w:t>Part en monnaie nationale</w:t>
            </w:r>
          </w:p>
        </w:tc>
        <w:tc>
          <w:tcPr>
            <w:tcW w:w="1275" w:type="dxa"/>
            <w:tcBorders>
              <w:top w:val="single" w:sz="6" w:space="0" w:color="auto"/>
              <w:left w:val="single" w:sz="6" w:space="0" w:color="auto"/>
              <w:bottom w:val="single" w:sz="6" w:space="0" w:color="auto"/>
              <w:right w:val="double" w:sz="6" w:space="0" w:color="auto"/>
            </w:tcBorders>
          </w:tcPr>
          <w:p w14:paraId="3E58AA5B" w14:textId="77777777" w:rsidR="007049A5" w:rsidRPr="004E4188" w:rsidRDefault="007049A5" w:rsidP="006C6267">
            <w:pPr>
              <w:spacing w:line="240" w:lineRule="exact"/>
              <w:contextualSpacing/>
              <w:jc w:val="center"/>
              <w:rPr>
                <w:lang w:eastAsia="ja-JP"/>
              </w:rPr>
            </w:pPr>
            <w:r w:rsidRPr="004E4188">
              <w:rPr>
                <w:lang w:eastAsia="ja-JP"/>
              </w:rPr>
              <w:t>Part en monnaie étrangère</w:t>
            </w:r>
          </w:p>
        </w:tc>
      </w:tr>
      <w:tr w:rsidR="007049A5" w:rsidRPr="004E4188" w14:paraId="48386416" w14:textId="77777777" w:rsidTr="006C6267">
        <w:tc>
          <w:tcPr>
            <w:tcW w:w="5256" w:type="dxa"/>
            <w:gridSpan w:val="3"/>
            <w:tcBorders>
              <w:top w:val="single" w:sz="6" w:space="0" w:color="auto"/>
              <w:left w:val="double" w:sz="6" w:space="0" w:color="auto"/>
              <w:bottom w:val="single" w:sz="6" w:space="0" w:color="auto"/>
              <w:right w:val="single" w:sz="6" w:space="0" w:color="auto"/>
            </w:tcBorders>
          </w:tcPr>
          <w:p w14:paraId="1F282851" w14:textId="77777777" w:rsidR="007049A5" w:rsidRPr="004E4188" w:rsidRDefault="007049A5" w:rsidP="006C6267">
            <w:pPr>
              <w:tabs>
                <w:tab w:val="left" w:pos="330"/>
              </w:tabs>
              <w:spacing w:after="60"/>
              <w:jc w:val="left"/>
            </w:pPr>
            <w:r w:rsidRPr="004E4188">
              <w:rPr>
                <w:noProof/>
                <w:lang w:eastAsia="en-US"/>
              </w:rPr>
              <w:t>Bordereau</w:t>
            </w:r>
            <w:r w:rsidRPr="004E4188">
              <w:t xml:space="preserve"> n</w:t>
            </w:r>
            <w:r w:rsidRPr="004E4188">
              <w:rPr>
                <w:vertAlign w:val="superscript"/>
              </w:rPr>
              <w:t>o</w:t>
            </w:r>
            <w:r w:rsidRPr="004E4188">
              <w:t xml:space="preserve"> 1 - </w:t>
            </w:r>
            <w:r w:rsidRPr="004E4188">
              <w:rPr>
                <w:szCs w:val="24"/>
              </w:rPr>
              <w:t>É</w:t>
            </w:r>
            <w:r w:rsidRPr="004E4188">
              <w:rPr>
                <w:szCs w:val="24"/>
                <w:lang w:eastAsia="en-US"/>
              </w:rPr>
              <w:t>quipements d’origine étrangère</w:t>
            </w:r>
          </w:p>
        </w:tc>
        <w:tc>
          <w:tcPr>
            <w:tcW w:w="992" w:type="dxa"/>
            <w:tcBorders>
              <w:top w:val="single" w:sz="6" w:space="0" w:color="auto"/>
              <w:left w:val="single" w:sz="6" w:space="0" w:color="auto"/>
              <w:bottom w:val="single" w:sz="6" w:space="0" w:color="auto"/>
              <w:right w:val="single" w:sz="6" w:space="0" w:color="auto"/>
            </w:tcBorders>
          </w:tcPr>
          <w:p w14:paraId="629F7EAB" w14:textId="77777777" w:rsidR="007049A5" w:rsidRPr="004E4188" w:rsidRDefault="007049A5" w:rsidP="006C6267">
            <w:pPr>
              <w:spacing w:after="60"/>
              <w:jc w:val="center"/>
            </w:pPr>
          </w:p>
        </w:tc>
        <w:tc>
          <w:tcPr>
            <w:tcW w:w="1418" w:type="dxa"/>
            <w:tcBorders>
              <w:top w:val="single" w:sz="6" w:space="0" w:color="auto"/>
              <w:left w:val="single" w:sz="6" w:space="0" w:color="auto"/>
              <w:bottom w:val="single" w:sz="6" w:space="0" w:color="auto"/>
              <w:right w:val="single" w:sz="6" w:space="0" w:color="auto"/>
            </w:tcBorders>
          </w:tcPr>
          <w:p w14:paraId="1BCB5EC2" w14:textId="77777777" w:rsidR="007049A5" w:rsidRPr="004E4188" w:rsidRDefault="007049A5" w:rsidP="006C6267">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63FEFCE2" w14:textId="77777777" w:rsidR="007049A5" w:rsidRPr="004E4188" w:rsidRDefault="007049A5" w:rsidP="006C6267">
            <w:pPr>
              <w:spacing w:after="60"/>
              <w:jc w:val="right"/>
            </w:pPr>
          </w:p>
        </w:tc>
      </w:tr>
      <w:tr w:rsidR="007049A5" w:rsidRPr="004E4188" w14:paraId="3D83F5FB" w14:textId="77777777" w:rsidTr="006C6267">
        <w:tc>
          <w:tcPr>
            <w:tcW w:w="5256" w:type="dxa"/>
            <w:gridSpan w:val="3"/>
            <w:tcBorders>
              <w:top w:val="single" w:sz="6" w:space="0" w:color="auto"/>
              <w:left w:val="double" w:sz="6" w:space="0" w:color="auto"/>
              <w:bottom w:val="single" w:sz="6" w:space="0" w:color="auto"/>
              <w:right w:val="single" w:sz="6" w:space="0" w:color="auto"/>
            </w:tcBorders>
          </w:tcPr>
          <w:p w14:paraId="36646EBE" w14:textId="77777777" w:rsidR="007049A5" w:rsidRPr="004E4188" w:rsidRDefault="007049A5" w:rsidP="006C6267">
            <w:pPr>
              <w:tabs>
                <w:tab w:val="left" w:pos="330"/>
              </w:tabs>
              <w:spacing w:after="60"/>
              <w:jc w:val="left"/>
            </w:pPr>
            <w:r w:rsidRPr="004E4188">
              <w:rPr>
                <w:noProof/>
                <w:lang w:eastAsia="en-US"/>
              </w:rPr>
              <w:t>Bordereau</w:t>
            </w:r>
            <w:r w:rsidRPr="004E4188">
              <w:t xml:space="preserve"> n</w:t>
            </w:r>
            <w:r w:rsidRPr="004E4188">
              <w:rPr>
                <w:vertAlign w:val="superscript"/>
              </w:rPr>
              <w:t>o</w:t>
            </w:r>
            <w:r w:rsidRPr="004E4188">
              <w:t xml:space="preserve"> 2 - </w:t>
            </w:r>
            <w:r w:rsidRPr="004E4188">
              <w:rPr>
                <w:szCs w:val="24"/>
              </w:rPr>
              <w:t>É</w:t>
            </w:r>
            <w:r w:rsidRPr="004E4188">
              <w:rPr>
                <w:szCs w:val="24"/>
                <w:lang w:eastAsia="en-US"/>
              </w:rPr>
              <w:t>quipements d’origine</w:t>
            </w:r>
            <w:r w:rsidRPr="004E4188">
              <w:rPr>
                <w:noProof/>
                <w:lang w:eastAsia="en-US"/>
              </w:rPr>
              <w:t xml:space="preserve"> locale</w:t>
            </w:r>
          </w:p>
        </w:tc>
        <w:tc>
          <w:tcPr>
            <w:tcW w:w="992" w:type="dxa"/>
            <w:tcBorders>
              <w:top w:val="single" w:sz="6" w:space="0" w:color="auto"/>
              <w:left w:val="single" w:sz="6" w:space="0" w:color="auto"/>
              <w:bottom w:val="single" w:sz="6" w:space="0" w:color="auto"/>
              <w:right w:val="single" w:sz="6" w:space="0" w:color="auto"/>
            </w:tcBorders>
          </w:tcPr>
          <w:p w14:paraId="45F94531" w14:textId="77777777" w:rsidR="007049A5" w:rsidRPr="004E4188" w:rsidRDefault="007049A5" w:rsidP="006C6267">
            <w:pPr>
              <w:spacing w:after="60"/>
              <w:jc w:val="center"/>
            </w:pPr>
          </w:p>
        </w:tc>
        <w:tc>
          <w:tcPr>
            <w:tcW w:w="1418" w:type="dxa"/>
            <w:tcBorders>
              <w:top w:val="single" w:sz="6" w:space="0" w:color="auto"/>
              <w:left w:val="single" w:sz="6" w:space="0" w:color="auto"/>
              <w:bottom w:val="single" w:sz="6" w:space="0" w:color="auto"/>
              <w:right w:val="single" w:sz="6" w:space="0" w:color="auto"/>
            </w:tcBorders>
          </w:tcPr>
          <w:p w14:paraId="06E03E4C" w14:textId="77777777" w:rsidR="007049A5" w:rsidRPr="004E4188" w:rsidRDefault="007049A5" w:rsidP="006C6267">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63C2A6C0" w14:textId="77777777" w:rsidR="007049A5" w:rsidRPr="004E4188" w:rsidRDefault="007049A5" w:rsidP="006C6267">
            <w:pPr>
              <w:spacing w:after="60"/>
              <w:jc w:val="right"/>
            </w:pPr>
          </w:p>
        </w:tc>
      </w:tr>
      <w:tr w:rsidR="007049A5" w:rsidRPr="004E4188" w14:paraId="33591365" w14:textId="77777777" w:rsidTr="006C6267">
        <w:tc>
          <w:tcPr>
            <w:tcW w:w="5256" w:type="dxa"/>
            <w:gridSpan w:val="3"/>
            <w:tcBorders>
              <w:top w:val="single" w:sz="6" w:space="0" w:color="auto"/>
              <w:left w:val="double" w:sz="6" w:space="0" w:color="auto"/>
              <w:bottom w:val="single" w:sz="6" w:space="0" w:color="auto"/>
              <w:right w:val="single" w:sz="6" w:space="0" w:color="auto"/>
            </w:tcBorders>
          </w:tcPr>
          <w:p w14:paraId="0A807D0C" w14:textId="77777777" w:rsidR="007049A5" w:rsidRPr="004E4188" w:rsidRDefault="007049A5" w:rsidP="006C6267">
            <w:pPr>
              <w:tabs>
                <w:tab w:val="left" w:pos="330"/>
              </w:tabs>
              <w:spacing w:after="60"/>
              <w:ind w:left="1603" w:hangingChars="668" w:hanging="1603"/>
              <w:jc w:val="left"/>
            </w:pPr>
            <w:r w:rsidRPr="004E4188">
              <w:rPr>
                <w:noProof/>
                <w:lang w:eastAsia="en-US"/>
              </w:rPr>
              <w:t>Bordereau</w:t>
            </w:r>
            <w:r w:rsidRPr="004E4188">
              <w:t xml:space="preserve"> n</w:t>
            </w:r>
            <w:r w:rsidRPr="004E4188">
              <w:rPr>
                <w:vertAlign w:val="superscript"/>
              </w:rPr>
              <w:t>o</w:t>
            </w:r>
            <w:r w:rsidRPr="004E4188">
              <w:t xml:space="preserve"> 3 - </w:t>
            </w:r>
            <w:r w:rsidRPr="004E4188">
              <w:rPr>
                <w:noProof/>
                <w:lang w:eastAsia="en-US"/>
              </w:rPr>
              <w:t>Service de conception</w:t>
            </w:r>
          </w:p>
        </w:tc>
        <w:tc>
          <w:tcPr>
            <w:tcW w:w="992" w:type="dxa"/>
            <w:tcBorders>
              <w:top w:val="single" w:sz="6" w:space="0" w:color="auto"/>
              <w:left w:val="single" w:sz="6" w:space="0" w:color="auto"/>
              <w:bottom w:val="single" w:sz="6" w:space="0" w:color="auto"/>
              <w:right w:val="single" w:sz="6" w:space="0" w:color="auto"/>
            </w:tcBorders>
          </w:tcPr>
          <w:p w14:paraId="7E49E72F" w14:textId="77777777" w:rsidR="007049A5" w:rsidRPr="004E4188" w:rsidRDefault="007049A5" w:rsidP="006C6267">
            <w:pPr>
              <w:spacing w:after="60"/>
              <w:jc w:val="center"/>
            </w:pPr>
          </w:p>
        </w:tc>
        <w:tc>
          <w:tcPr>
            <w:tcW w:w="1418" w:type="dxa"/>
            <w:tcBorders>
              <w:top w:val="single" w:sz="6" w:space="0" w:color="auto"/>
              <w:left w:val="single" w:sz="6" w:space="0" w:color="auto"/>
              <w:bottom w:val="single" w:sz="6" w:space="0" w:color="auto"/>
              <w:right w:val="single" w:sz="6" w:space="0" w:color="auto"/>
            </w:tcBorders>
          </w:tcPr>
          <w:p w14:paraId="7436EE42" w14:textId="77777777" w:rsidR="007049A5" w:rsidRPr="004E4188" w:rsidRDefault="007049A5" w:rsidP="006C6267">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7A5F414D" w14:textId="77777777" w:rsidR="007049A5" w:rsidRPr="004E4188" w:rsidRDefault="007049A5" w:rsidP="006C6267">
            <w:pPr>
              <w:spacing w:after="60"/>
              <w:jc w:val="right"/>
            </w:pPr>
          </w:p>
        </w:tc>
      </w:tr>
      <w:tr w:rsidR="007049A5" w:rsidRPr="004E4188" w14:paraId="26F8F1AB" w14:textId="77777777" w:rsidTr="006C6267">
        <w:tc>
          <w:tcPr>
            <w:tcW w:w="5256" w:type="dxa"/>
            <w:gridSpan w:val="3"/>
            <w:tcBorders>
              <w:top w:val="single" w:sz="6" w:space="0" w:color="auto"/>
              <w:left w:val="double" w:sz="6" w:space="0" w:color="auto"/>
              <w:bottom w:val="single" w:sz="6" w:space="0" w:color="auto"/>
              <w:right w:val="single" w:sz="6" w:space="0" w:color="auto"/>
            </w:tcBorders>
          </w:tcPr>
          <w:p w14:paraId="7B49DD3C" w14:textId="509666C9" w:rsidR="007049A5" w:rsidRPr="004E4188" w:rsidRDefault="007049A5" w:rsidP="00513B6A">
            <w:pPr>
              <w:tabs>
                <w:tab w:val="left" w:pos="330"/>
              </w:tabs>
              <w:spacing w:after="60"/>
              <w:ind w:left="1632" w:hangingChars="680" w:hanging="1632"/>
              <w:jc w:val="left"/>
            </w:pPr>
            <w:r w:rsidRPr="004E4188">
              <w:rPr>
                <w:noProof/>
                <w:lang w:eastAsia="en-US"/>
              </w:rPr>
              <w:t>Bordereau</w:t>
            </w:r>
            <w:r w:rsidRPr="004E4188">
              <w:t xml:space="preserve"> n</w:t>
            </w:r>
            <w:r w:rsidRPr="004E4188">
              <w:rPr>
                <w:vertAlign w:val="superscript"/>
              </w:rPr>
              <w:t>o</w:t>
            </w:r>
            <w:r w:rsidRPr="004E4188">
              <w:t xml:space="preserve"> 4 - </w:t>
            </w:r>
            <w:r w:rsidRPr="004E4188">
              <w:rPr>
                <w:noProof/>
                <w:lang w:eastAsia="en-US"/>
              </w:rPr>
              <w:t>Service de montage et autres services</w:t>
            </w:r>
            <w:r w:rsidRPr="004E4188">
              <w:t xml:space="preserve"> </w:t>
            </w:r>
          </w:p>
        </w:tc>
        <w:tc>
          <w:tcPr>
            <w:tcW w:w="992" w:type="dxa"/>
            <w:tcBorders>
              <w:top w:val="single" w:sz="6" w:space="0" w:color="auto"/>
              <w:left w:val="single" w:sz="6" w:space="0" w:color="auto"/>
              <w:bottom w:val="single" w:sz="6" w:space="0" w:color="auto"/>
              <w:right w:val="single" w:sz="6" w:space="0" w:color="auto"/>
            </w:tcBorders>
          </w:tcPr>
          <w:p w14:paraId="5BB934F1" w14:textId="77777777" w:rsidR="007049A5" w:rsidRPr="004E4188" w:rsidRDefault="007049A5" w:rsidP="006C6267">
            <w:pPr>
              <w:spacing w:after="60"/>
              <w:jc w:val="center"/>
            </w:pPr>
          </w:p>
        </w:tc>
        <w:tc>
          <w:tcPr>
            <w:tcW w:w="1418" w:type="dxa"/>
            <w:tcBorders>
              <w:top w:val="single" w:sz="6" w:space="0" w:color="auto"/>
              <w:left w:val="single" w:sz="6" w:space="0" w:color="auto"/>
              <w:bottom w:val="single" w:sz="6" w:space="0" w:color="auto"/>
              <w:right w:val="single" w:sz="6" w:space="0" w:color="auto"/>
            </w:tcBorders>
          </w:tcPr>
          <w:p w14:paraId="6B30DBFD" w14:textId="77777777" w:rsidR="007049A5" w:rsidRPr="004E4188" w:rsidRDefault="007049A5" w:rsidP="006C6267">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4C745BF7" w14:textId="77777777" w:rsidR="007049A5" w:rsidRPr="004E4188" w:rsidRDefault="007049A5" w:rsidP="006C6267">
            <w:pPr>
              <w:spacing w:after="60"/>
              <w:jc w:val="right"/>
            </w:pPr>
          </w:p>
        </w:tc>
      </w:tr>
      <w:tr w:rsidR="007049A5" w:rsidRPr="004E4188" w14:paraId="57EFF5CE" w14:textId="77777777" w:rsidTr="006C6267">
        <w:tc>
          <w:tcPr>
            <w:tcW w:w="5256" w:type="dxa"/>
            <w:gridSpan w:val="3"/>
            <w:tcBorders>
              <w:top w:val="single" w:sz="6" w:space="0" w:color="auto"/>
              <w:left w:val="double" w:sz="6" w:space="0" w:color="auto"/>
              <w:bottom w:val="single" w:sz="6" w:space="0" w:color="auto"/>
              <w:right w:val="single" w:sz="6" w:space="0" w:color="auto"/>
            </w:tcBorders>
          </w:tcPr>
          <w:p w14:paraId="375BE5EB" w14:textId="77777777" w:rsidR="007049A5" w:rsidRPr="004E4188" w:rsidRDefault="007049A5" w:rsidP="006C6267">
            <w:pPr>
              <w:tabs>
                <w:tab w:val="left" w:pos="330"/>
              </w:tabs>
              <w:spacing w:after="60"/>
              <w:jc w:val="left"/>
              <w:rPr>
                <w:noProof/>
                <w:lang w:eastAsia="en-US"/>
              </w:rPr>
            </w:pPr>
            <w:r w:rsidRPr="004E4188">
              <w:rPr>
                <w:noProof/>
                <w:lang w:eastAsia="en-US"/>
              </w:rPr>
              <w:t>Bordereau</w:t>
            </w:r>
            <w:r w:rsidRPr="004E4188">
              <w:t xml:space="preserve"> n</w:t>
            </w:r>
            <w:r w:rsidRPr="004E4188">
              <w:rPr>
                <w:vertAlign w:val="superscript"/>
              </w:rPr>
              <w:t>o</w:t>
            </w:r>
            <w:r w:rsidRPr="004E4188">
              <w:t xml:space="preserve"> 5 - </w:t>
            </w:r>
            <w:r w:rsidRPr="004E4188">
              <w:rPr>
                <w:noProof/>
                <w:lang w:eastAsia="en-US"/>
              </w:rPr>
              <w:t xml:space="preserve">Pièces de rechange obligatoires </w:t>
            </w:r>
          </w:p>
        </w:tc>
        <w:tc>
          <w:tcPr>
            <w:tcW w:w="992" w:type="dxa"/>
            <w:tcBorders>
              <w:top w:val="single" w:sz="6" w:space="0" w:color="auto"/>
              <w:left w:val="single" w:sz="6" w:space="0" w:color="auto"/>
              <w:bottom w:val="single" w:sz="6" w:space="0" w:color="auto"/>
              <w:right w:val="single" w:sz="6" w:space="0" w:color="auto"/>
            </w:tcBorders>
          </w:tcPr>
          <w:p w14:paraId="5B903612" w14:textId="77777777" w:rsidR="007049A5" w:rsidRPr="004E4188" w:rsidRDefault="007049A5" w:rsidP="006C6267">
            <w:pPr>
              <w:spacing w:after="60"/>
              <w:jc w:val="center"/>
            </w:pPr>
          </w:p>
        </w:tc>
        <w:tc>
          <w:tcPr>
            <w:tcW w:w="1418" w:type="dxa"/>
            <w:tcBorders>
              <w:top w:val="single" w:sz="6" w:space="0" w:color="auto"/>
              <w:left w:val="single" w:sz="6" w:space="0" w:color="auto"/>
              <w:bottom w:val="single" w:sz="6" w:space="0" w:color="auto"/>
              <w:right w:val="single" w:sz="6" w:space="0" w:color="auto"/>
            </w:tcBorders>
          </w:tcPr>
          <w:p w14:paraId="4677383D" w14:textId="77777777" w:rsidR="007049A5" w:rsidRPr="004E4188" w:rsidRDefault="007049A5" w:rsidP="006C6267">
            <w:pPr>
              <w:spacing w:after="60"/>
              <w:jc w:val="right"/>
            </w:pPr>
          </w:p>
        </w:tc>
        <w:tc>
          <w:tcPr>
            <w:tcW w:w="1275" w:type="dxa"/>
            <w:tcBorders>
              <w:top w:val="single" w:sz="6" w:space="0" w:color="auto"/>
              <w:left w:val="single" w:sz="6" w:space="0" w:color="auto"/>
              <w:bottom w:val="single" w:sz="6" w:space="0" w:color="auto"/>
              <w:right w:val="double" w:sz="6" w:space="0" w:color="auto"/>
            </w:tcBorders>
          </w:tcPr>
          <w:p w14:paraId="66B564FC" w14:textId="77777777" w:rsidR="007049A5" w:rsidRPr="004E4188" w:rsidRDefault="007049A5" w:rsidP="006C6267">
            <w:pPr>
              <w:spacing w:after="60"/>
              <w:jc w:val="right"/>
            </w:pPr>
          </w:p>
        </w:tc>
      </w:tr>
      <w:tr w:rsidR="007049A5" w:rsidRPr="004E4188" w14:paraId="5FA16D02" w14:textId="77777777" w:rsidTr="006C6267">
        <w:tc>
          <w:tcPr>
            <w:tcW w:w="5256" w:type="dxa"/>
            <w:gridSpan w:val="3"/>
            <w:tcBorders>
              <w:top w:val="single" w:sz="6" w:space="0" w:color="auto"/>
              <w:left w:val="double" w:sz="6" w:space="0" w:color="auto"/>
              <w:bottom w:val="single" w:sz="4" w:space="0" w:color="auto"/>
              <w:right w:val="single" w:sz="6" w:space="0" w:color="auto"/>
            </w:tcBorders>
          </w:tcPr>
          <w:p w14:paraId="2BB5CD02" w14:textId="77777777" w:rsidR="007049A5" w:rsidRPr="004E4188" w:rsidRDefault="007049A5" w:rsidP="006C6267">
            <w:pPr>
              <w:tabs>
                <w:tab w:val="left" w:pos="330"/>
              </w:tabs>
              <w:spacing w:after="60"/>
              <w:jc w:val="left"/>
            </w:pPr>
            <w:r w:rsidRPr="004E4188">
              <w:t>—etc.—</w:t>
            </w:r>
          </w:p>
        </w:tc>
        <w:tc>
          <w:tcPr>
            <w:tcW w:w="992" w:type="dxa"/>
            <w:tcBorders>
              <w:top w:val="single" w:sz="6" w:space="0" w:color="auto"/>
              <w:left w:val="single" w:sz="6" w:space="0" w:color="auto"/>
              <w:bottom w:val="single" w:sz="4" w:space="0" w:color="auto"/>
              <w:right w:val="single" w:sz="6" w:space="0" w:color="auto"/>
            </w:tcBorders>
          </w:tcPr>
          <w:p w14:paraId="78869226" w14:textId="77777777" w:rsidR="007049A5" w:rsidRPr="004E4188" w:rsidRDefault="007049A5" w:rsidP="006C6267">
            <w:pPr>
              <w:spacing w:after="60"/>
              <w:jc w:val="center"/>
            </w:pPr>
          </w:p>
        </w:tc>
        <w:tc>
          <w:tcPr>
            <w:tcW w:w="1418" w:type="dxa"/>
            <w:tcBorders>
              <w:top w:val="single" w:sz="6" w:space="0" w:color="auto"/>
              <w:left w:val="single" w:sz="6" w:space="0" w:color="auto"/>
              <w:bottom w:val="single" w:sz="4" w:space="0" w:color="auto"/>
              <w:right w:val="single" w:sz="6" w:space="0" w:color="auto"/>
            </w:tcBorders>
          </w:tcPr>
          <w:p w14:paraId="5DA1C67F" w14:textId="77777777" w:rsidR="007049A5" w:rsidRPr="004E4188" w:rsidRDefault="007049A5" w:rsidP="006C6267">
            <w:pPr>
              <w:spacing w:after="60"/>
              <w:jc w:val="right"/>
            </w:pPr>
          </w:p>
        </w:tc>
        <w:tc>
          <w:tcPr>
            <w:tcW w:w="1275" w:type="dxa"/>
            <w:tcBorders>
              <w:top w:val="single" w:sz="6" w:space="0" w:color="auto"/>
              <w:left w:val="single" w:sz="6" w:space="0" w:color="auto"/>
              <w:bottom w:val="single" w:sz="4" w:space="0" w:color="auto"/>
              <w:right w:val="double" w:sz="6" w:space="0" w:color="auto"/>
            </w:tcBorders>
          </w:tcPr>
          <w:p w14:paraId="2248D85F" w14:textId="77777777" w:rsidR="007049A5" w:rsidRPr="004E4188" w:rsidRDefault="007049A5" w:rsidP="006C6267">
            <w:pPr>
              <w:spacing w:after="60"/>
              <w:jc w:val="right"/>
            </w:pPr>
          </w:p>
        </w:tc>
      </w:tr>
      <w:tr w:rsidR="007049A5" w:rsidRPr="004E4188" w14:paraId="4BE368D4" w14:textId="77777777" w:rsidTr="006C6267">
        <w:tc>
          <w:tcPr>
            <w:tcW w:w="560" w:type="dxa"/>
            <w:tcBorders>
              <w:top w:val="single" w:sz="4" w:space="0" w:color="auto"/>
              <w:left w:val="double" w:sz="6" w:space="0" w:color="auto"/>
              <w:bottom w:val="single" w:sz="6" w:space="0" w:color="auto"/>
              <w:right w:val="single" w:sz="6" w:space="0" w:color="auto"/>
            </w:tcBorders>
          </w:tcPr>
          <w:p w14:paraId="4EDFBDEB" w14:textId="77777777" w:rsidR="007049A5" w:rsidRPr="004E4188" w:rsidRDefault="007049A5" w:rsidP="006C6267">
            <w:pPr>
              <w:tabs>
                <w:tab w:val="left" w:pos="330"/>
              </w:tabs>
              <w:spacing w:after="60"/>
              <w:jc w:val="center"/>
            </w:pPr>
            <w:r w:rsidRPr="004E4188">
              <w:t xml:space="preserve">(A) </w:t>
            </w:r>
          </w:p>
        </w:tc>
        <w:tc>
          <w:tcPr>
            <w:tcW w:w="5688" w:type="dxa"/>
            <w:gridSpan w:val="3"/>
            <w:tcBorders>
              <w:top w:val="single" w:sz="4" w:space="0" w:color="auto"/>
              <w:left w:val="single" w:sz="6" w:space="0" w:color="auto"/>
              <w:bottom w:val="single" w:sz="6" w:space="0" w:color="auto"/>
              <w:right w:val="single" w:sz="6" w:space="0" w:color="auto"/>
            </w:tcBorders>
          </w:tcPr>
          <w:p w14:paraId="7885B231" w14:textId="77777777" w:rsidR="007049A5" w:rsidRPr="004E4188" w:rsidRDefault="007049A5" w:rsidP="006C6267">
            <w:pPr>
              <w:spacing w:after="60"/>
              <w:jc w:val="left"/>
            </w:pPr>
            <w:r w:rsidRPr="004E4188">
              <w:t>Total des Bordereaux</w:t>
            </w:r>
          </w:p>
        </w:tc>
        <w:tc>
          <w:tcPr>
            <w:tcW w:w="1418" w:type="dxa"/>
            <w:tcBorders>
              <w:top w:val="single" w:sz="4" w:space="0" w:color="auto"/>
              <w:left w:val="single" w:sz="6" w:space="0" w:color="auto"/>
              <w:bottom w:val="single" w:sz="6" w:space="0" w:color="auto"/>
              <w:right w:val="single" w:sz="6" w:space="0" w:color="auto"/>
            </w:tcBorders>
          </w:tcPr>
          <w:p w14:paraId="3C11E921" w14:textId="77777777" w:rsidR="007049A5" w:rsidRPr="004E4188" w:rsidRDefault="007049A5" w:rsidP="006C6267">
            <w:pPr>
              <w:spacing w:after="60"/>
              <w:jc w:val="right"/>
            </w:pPr>
          </w:p>
        </w:tc>
        <w:tc>
          <w:tcPr>
            <w:tcW w:w="1275" w:type="dxa"/>
            <w:tcBorders>
              <w:top w:val="single" w:sz="4" w:space="0" w:color="auto"/>
              <w:left w:val="single" w:sz="6" w:space="0" w:color="auto"/>
              <w:bottom w:val="single" w:sz="6" w:space="0" w:color="auto"/>
              <w:right w:val="double" w:sz="6" w:space="0" w:color="auto"/>
            </w:tcBorders>
          </w:tcPr>
          <w:p w14:paraId="16295D0D" w14:textId="77777777" w:rsidR="007049A5" w:rsidRPr="004E4188" w:rsidRDefault="007049A5" w:rsidP="006C6267">
            <w:pPr>
              <w:spacing w:after="60"/>
              <w:jc w:val="right"/>
            </w:pPr>
          </w:p>
        </w:tc>
      </w:tr>
      <w:tr w:rsidR="007049A5" w:rsidRPr="004E4188" w14:paraId="6B0346D6" w14:textId="77777777" w:rsidTr="006C6267">
        <w:tc>
          <w:tcPr>
            <w:tcW w:w="560" w:type="dxa"/>
            <w:tcBorders>
              <w:top w:val="single" w:sz="6" w:space="0" w:color="auto"/>
              <w:left w:val="double" w:sz="6" w:space="0" w:color="auto"/>
              <w:bottom w:val="single" w:sz="6" w:space="0" w:color="auto"/>
              <w:right w:val="single" w:sz="6" w:space="0" w:color="auto"/>
            </w:tcBorders>
          </w:tcPr>
          <w:p w14:paraId="6E397430" w14:textId="77777777" w:rsidR="007049A5" w:rsidRPr="004E4188" w:rsidRDefault="007049A5" w:rsidP="006C6267">
            <w:pPr>
              <w:tabs>
                <w:tab w:val="left" w:pos="330"/>
              </w:tabs>
              <w:spacing w:after="60"/>
              <w:jc w:val="left"/>
              <w:rPr>
                <w:lang w:eastAsia="ja-JP"/>
              </w:rPr>
            </w:pPr>
            <w:r w:rsidRPr="004E4188">
              <w:t xml:space="preserve">(B) </w:t>
            </w:r>
          </w:p>
        </w:tc>
        <w:tc>
          <w:tcPr>
            <w:tcW w:w="4685" w:type="dxa"/>
            <w:tcBorders>
              <w:top w:val="single" w:sz="6" w:space="0" w:color="auto"/>
              <w:left w:val="single" w:sz="6" w:space="0" w:color="auto"/>
              <w:bottom w:val="single" w:sz="6" w:space="0" w:color="auto"/>
              <w:right w:val="single" w:sz="6" w:space="0" w:color="auto"/>
            </w:tcBorders>
          </w:tcPr>
          <w:p w14:paraId="2D2B5A36" w14:textId="77777777" w:rsidR="007049A5" w:rsidRPr="004E4188" w:rsidRDefault="007049A5" w:rsidP="006C6267">
            <w:pPr>
              <w:spacing w:after="60"/>
              <w:jc w:val="left"/>
              <w:rPr>
                <w:vertAlign w:val="superscript"/>
              </w:rPr>
            </w:pPr>
            <w:r w:rsidRPr="004E4188">
              <w:t>Sommes provisionnelles de nature spécifique</w:t>
            </w:r>
          </w:p>
        </w:tc>
        <w:tc>
          <w:tcPr>
            <w:tcW w:w="1003" w:type="dxa"/>
            <w:gridSpan w:val="2"/>
            <w:tcBorders>
              <w:top w:val="single" w:sz="6" w:space="0" w:color="auto"/>
              <w:left w:val="single" w:sz="6" w:space="0" w:color="auto"/>
              <w:bottom w:val="single" w:sz="6" w:space="0" w:color="auto"/>
              <w:right w:val="single" w:sz="6" w:space="0" w:color="auto"/>
            </w:tcBorders>
          </w:tcPr>
          <w:p w14:paraId="73309E5C" w14:textId="77777777" w:rsidR="007049A5" w:rsidRPr="004E4188" w:rsidRDefault="007049A5" w:rsidP="006C6267">
            <w:pPr>
              <w:spacing w:after="60"/>
              <w:jc w:val="left"/>
              <w:rPr>
                <w:vertAlign w:val="superscript"/>
              </w:rPr>
            </w:pPr>
          </w:p>
        </w:tc>
        <w:tc>
          <w:tcPr>
            <w:tcW w:w="1418" w:type="dxa"/>
            <w:tcBorders>
              <w:top w:val="single" w:sz="6" w:space="0" w:color="auto"/>
              <w:left w:val="single" w:sz="6" w:space="0" w:color="auto"/>
              <w:bottom w:val="single" w:sz="6" w:space="0" w:color="auto"/>
              <w:right w:val="single" w:sz="6" w:space="0" w:color="auto"/>
            </w:tcBorders>
          </w:tcPr>
          <w:p w14:paraId="2B3819F9" w14:textId="77777777" w:rsidR="007049A5" w:rsidRPr="004E4188" w:rsidRDefault="007049A5" w:rsidP="006C6267">
            <w:pPr>
              <w:jc w:val="center"/>
            </w:pPr>
            <w:r w:rsidRPr="004E4188">
              <w:t>[forfait]</w:t>
            </w:r>
          </w:p>
        </w:tc>
        <w:tc>
          <w:tcPr>
            <w:tcW w:w="1275" w:type="dxa"/>
            <w:tcBorders>
              <w:top w:val="single" w:sz="6" w:space="0" w:color="auto"/>
              <w:left w:val="single" w:sz="6" w:space="0" w:color="auto"/>
              <w:bottom w:val="single" w:sz="6" w:space="0" w:color="auto"/>
              <w:right w:val="double" w:sz="6" w:space="0" w:color="auto"/>
            </w:tcBorders>
          </w:tcPr>
          <w:p w14:paraId="22492453" w14:textId="77777777" w:rsidR="007049A5" w:rsidRPr="004E4188" w:rsidRDefault="007049A5" w:rsidP="006C6267">
            <w:pPr>
              <w:jc w:val="center"/>
            </w:pPr>
            <w:r w:rsidRPr="004E4188">
              <w:t>[forfait]</w:t>
            </w:r>
          </w:p>
        </w:tc>
      </w:tr>
      <w:tr w:rsidR="007049A5" w:rsidRPr="004E4188" w14:paraId="57487928" w14:textId="77777777" w:rsidTr="006C6267">
        <w:tc>
          <w:tcPr>
            <w:tcW w:w="560" w:type="dxa"/>
            <w:tcBorders>
              <w:top w:val="single" w:sz="6" w:space="0" w:color="auto"/>
              <w:left w:val="double" w:sz="6" w:space="0" w:color="auto"/>
              <w:bottom w:val="single" w:sz="6" w:space="0" w:color="auto"/>
              <w:right w:val="single" w:sz="6" w:space="0" w:color="auto"/>
            </w:tcBorders>
          </w:tcPr>
          <w:p w14:paraId="77C172E7" w14:textId="77777777" w:rsidR="007049A5" w:rsidRPr="004E4188" w:rsidRDefault="007049A5" w:rsidP="006C6267">
            <w:pPr>
              <w:tabs>
                <w:tab w:val="left" w:pos="330"/>
              </w:tabs>
              <w:spacing w:after="60"/>
              <w:jc w:val="left"/>
            </w:pPr>
            <w:r w:rsidRPr="004E4188">
              <w:t xml:space="preserve">(C) </w:t>
            </w:r>
          </w:p>
        </w:tc>
        <w:tc>
          <w:tcPr>
            <w:tcW w:w="5688" w:type="dxa"/>
            <w:gridSpan w:val="3"/>
            <w:tcBorders>
              <w:top w:val="single" w:sz="6" w:space="0" w:color="auto"/>
              <w:left w:val="single" w:sz="6" w:space="0" w:color="auto"/>
              <w:bottom w:val="single" w:sz="6" w:space="0" w:color="auto"/>
              <w:right w:val="single" w:sz="6" w:space="0" w:color="auto"/>
            </w:tcBorders>
          </w:tcPr>
          <w:p w14:paraId="53620F2A" w14:textId="77777777" w:rsidR="007049A5" w:rsidRPr="004E4188" w:rsidRDefault="007049A5" w:rsidP="006C6267">
            <w:pPr>
              <w:spacing w:after="60"/>
              <w:jc w:val="left"/>
            </w:pPr>
            <w:r w:rsidRPr="004E4188">
              <w:t>Total des Bordereaux</w:t>
            </w:r>
            <w:r w:rsidRPr="004E4188">
              <w:rPr>
                <w:noProof/>
                <w:lang w:eastAsia="en-US"/>
              </w:rPr>
              <w:t xml:space="preserve"> </w:t>
            </w:r>
            <w:r w:rsidRPr="004E4188">
              <w:t>et des sommes provisionnelles (A + B)</w:t>
            </w:r>
          </w:p>
        </w:tc>
        <w:tc>
          <w:tcPr>
            <w:tcW w:w="1418" w:type="dxa"/>
            <w:tcBorders>
              <w:top w:val="single" w:sz="6" w:space="0" w:color="auto"/>
              <w:left w:val="single" w:sz="6" w:space="0" w:color="auto"/>
              <w:bottom w:val="single" w:sz="6" w:space="0" w:color="auto"/>
              <w:right w:val="single" w:sz="6" w:space="0" w:color="auto"/>
            </w:tcBorders>
          </w:tcPr>
          <w:p w14:paraId="73EC92D9" w14:textId="77777777" w:rsidR="007049A5" w:rsidRPr="004E4188" w:rsidRDefault="007049A5" w:rsidP="006C6267">
            <w:pPr>
              <w:spacing w:after="60"/>
              <w:jc w:val="center"/>
            </w:pPr>
          </w:p>
        </w:tc>
        <w:tc>
          <w:tcPr>
            <w:tcW w:w="1275" w:type="dxa"/>
            <w:tcBorders>
              <w:top w:val="single" w:sz="6" w:space="0" w:color="auto"/>
              <w:left w:val="single" w:sz="6" w:space="0" w:color="auto"/>
              <w:bottom w:val="single" w:sz="6" w:space="0" w:color="auto"/>
              <w:right w:val="double" w:sz="6" w:space="0" w:color="auto"/>
            </w:tcBorders>
          </w:tcPr>
          <w:p w14:paraId="55CA91CE" w14:textId="77777777" w:rsidR="007049A5" w:rsidRPr="004E4188" w:rsidRDefault="007049A5" w:rsidP="006C6267">
            <w:pPr>
              <w:spacing w:after="60"/>
              <w:jc w:val="center"/>
            </w:pPr>
          </w:p>
        </w:tc>
      </w:tr>
      <w:tr w:rsidR="007049A5" w:rsidRPr="004E4188" w14:paraId="667F15D6" w14:textId="77777777" w:rsidTr="006C6267">
        <w:tc>
          <w:tcPr>
            <w:tcW w:w="560" w:type="dxa"/>
            <w:tcBorders>
              <w:top w:val="single" w:sz="6" w:space="0" w:color="auto"/>
              <w:left w:val="double" w:sz="6" w:space="0" w:color="auto"/>
              <w:bottom w:val="single" w:sz="6" w:space="0" w:color="auto"/>
              <w:right w:val="single" w:sz="6" w:space="0" w:color="auto"/>
            </w:tcBorders>
          </w:tcPr>
          <w:p w14:paraId="125CCDE6" w14:textId="77777777" w:rsidR="007049A5" w:rsidRPr="004E4188" w:rsidRDefault="007049A5" w:rsidP="006C6267">
            <w:pPr>
              <w:tabs>
                <w:tab w:val="left" w:pos="330"/>
              </w:tabs>
              <w:spacing w:after="60"/>
              <w:jc w:val="left"/>
            </w:pPr>
            <w:r w:rsidRPr="004E4188">
              <w:t xml:space="preserve">(D) </w:t>
            </w:r>
          </w:p>
        </w:tc>
        <w:tc>
          <w:tcPr>
            <w:tcW w:w="5688" w:type="dxa"/>
            <w:gridSpan w:val="3"/>
            <w:tcBorders>
              <w:top w:val="single" w:sz="6" w:space="0" w:color="auto"/>
              <w:left w:val="single" w:sz="6" w:space="0" w:color="auto"/>
              <w:bottom w:val="single" w:sz="6" w:space="0" w:color="auto"/>
              <w:right w:val="single" w:sz="6" w:space="0" w:color="auto"/>
            </w:tcBorders>
          </w:tcPr>
          <w:p w14:paraId="0D53A648" w14:textId="4B396667" w:rsidR="007049A5" w:rsidRPr="004E4188" w:rsidRDefault="00696FCB" w:rsidP="006C6267">
            <w:pPr>
              <w:spacing w:after="60"/>
              <w:jc w:val="left"/>
            </w:pPr>
            <w:r w:rsidRPr="004E4188">
              <w:t>Montant</w:t>
            </w:r>
            <w:r w:rsidR="007049A5" w:rsidRPr="004E4188">
              <w:t xml:space="preserve"> à ajouter pour les provisions pour risque</w:t>
            </w:r>
            <w:r w:rsidR="007049A5" w:rsidRPr="004E4188">
              <w:rPr>
                <w:szCs w:val="24"/>
                <w:vertAlign w:val="superscript"/>
              </w:rPr>
              <w:t>1</w:t>
            </w:r>
            <w:r w:rsidR="007049A5" w:rsidRPr="004E4188">
              <w:rPr>
                <w:vertAlign w:val="superscript"/>
              </w:rPr>
              <w:t xml:space="preserve"> </w:t>
            </w:r>
            <w:r w:rsidR="007049A5" w:rsidRPr="004E4188">
              <w:t>(…%)</w:t>
            </w:r>
          </w:p>
        </w:tc>
        <w:tc>
          <w:tcPr>
            <w:tcW w:w="1418" w:type="dxa"/>
            <w:tcBorders>
              <w:top w:val="single" w:sz="6" w:space="0" w:color="auto"/>
              <w:left w:val="single" w:sz="6" w:space="0" w:color="auto"/>
              <w:bottom w:val="single" w:sz="6" w:space="0" w:color="auto"/>
              <w:right w:val="single" w:sz="6" w:space="0" w:color="auto"/>
            </w:tcBorders>
          </w:tcPr>
          <w:p w14:paraId="5D1ED4B2" w14:textId="77777777" w:rsidR="007049A5" w:rsidRPr="004E4188" w:rsidRDefault="007049A5" w:rsidP="006C6267">
            <w:pPr>
              <w:spacing w:after="60"/>
              <w:jc w:val="center"/>
              <w:rPr>
                <w:lang w:eastAsia="ja-JP"/>
              </w:rPr>
            </w:pPr>
            <w:r w:rsidRPr="004E4188">
              <w:t>[forfait]</w:t>
            </w:r>
            <w:r w:rsidRPr="004E4188">
              <w:rPr>
                <w:szCs w:val="24"/>
                <w:vertAlign w:val="superscript"/>
              </w:rPr>
              <w:t>1</w:t>
            </w:r>
          </w:p>
        </w:tc>
        <w:tc>
          <w:tcPr>
            <w:tcW w:w="1275" w:type="dxa"/>
            <w:tcBorders>
              <w:top w:val="single" w:sz="6" w:space="0" w:color="auto"/>
              <w:left w:val="single" w:sz="6" w:space="0" w:color="auto"/>
              <w:bottom w:val="single" w:sz="6" w:space="0" w:color="auto"/>
              <w:right w:val="double" w:sz="6" w:space="0" w:color="auto"/>
            </w:tcBorders>
          </w:tcPr>
          <w:p w14:paraId="02D2A7E1" w14:textId="77777777" w:rsidR="007049A5" w:rsidRPr="004E4188" w:rsidRDefault="007049A5" w:rsidP="006C6267">
            <w:pPr>
              <w:spacing w:after="60"/>
              <w:jc w:val="center"/>
              <w:rPr>
                <w:lang w:eastAsia="ja-JP"/>
              </w:rPr>
            </w:pPr>
            <w:r w:rsidRPr="004E4188">
              <w:t>[forfait]</w:t>
            </w:r>
            <w:r w:rsidRPr="004E4188">
              <w:rPr>
                <w:szCs w:val="24"/>
                <w:vertAlign w:val="superscript"/>
              </w:rPr>
              <w:t>1</w:t>
            </w:r>
          </w:p>
        </w:tc>
      </w:tr>
      <w:tr w:rsidR="007049A5" w:rsidRPr="004E4188" w14:paraId="303AC9B7" w14:textId="77777777" w:rsidTr="006C6267">
        <w:tc>
          <w:tcPr>
            <w:tcW w:w="560" w:type="dxa"/>
            <w:tcBorders>
              <w:top w:val="single" w:sz="6" w:space="0" w:color="auto"/>
              <w:left w:val="double" w:sz="6" w:space="0" w:color="auto"/>
              <w:bottom w:val="single" w:sz="6" w:space="0" w:color="auto"/>
              <w:right w:val="single" w:sz="6" w:space="0" w:color="auto"/>
            </w:tcBorders>
          </w:tcPr>
          <w:p w14:paraId="3475AE4D" w14:textId="77777777" w:rsidR="007049A5" w:rsidRPr="004E4188" w:rsidRDefault="007049A5" w:rsidP="006C6267">
            <w:pPr>
              <w:tabs>
                <w:tab w:val="left" w:pos="330"/>
              </w:tabs>
              <w:spacing w:after="60"/>
              <w:jc w:val="left"/>
            </w:pPr>
            <w:r w:rsidRPr="004E4188">
              <w:t>(E)</w:t>
            </w:r>
          </w:p>
        </w:tc>
        <w:tc>
          <w:tcPr>
            <w:tcW w:w="5688" w:type="dxa"/>
            <w:gridSpan w:val="3"/>
            <w:tcBorders>
              <w:top w:val="single" w:sz="6" w:space="0" w:color="auto"/>
              <w:left w:val="single" w:sz="6" w:space="0" w:color="auto"/>
              <w:bottom w:val="single" w:sz="6" w:space="0" w:color="auto"/>
              <w:right w:val="single" w:sz="6" w:space="0" w:color="auto"/>
            </w:tcBorders>
          </w:tcPr>
          <w:p w14:paraId="21AC9E9C" w14:textId="77777777" w:rsidR="007049A5" w:rsidRPr="004E4188" w:rsidRDefault="007049A5" w:rsidP="006C6267">
            <w:pPr>
              <w:spacing w:after="60"/>
              <w:jc w:val="left"/>
            </w:pPr>
            <w:r w:rsidRPr="004E4188">
              <w:t>Montant de l’offre (C + D) [</w:t>
            </w:r>
            <w:r w:rsidRPr="004E4188">
              <w:rPr>
                <w:rFonts w:hint="eastAsia"/>
              </w:rPr>
              <w:t>à</w:t>
            </w:r>
            <w:r w:rsidRPr="004E4188">
              <w:t xml:space="preserve"> reporter dans la Lettre</w:t>
            </w:r>
            <w:r w:rsidRPr="004E4188">
              <w:rPr>
                <w:rFonts w:hint="eastAsia"/>
                <w:lang w:eastAsia="ja-JP"/>
              </w:rPr>
              <w:t xml:space="preserve"> </w:t>
            </w:r>
            <w:r w:rsidRPr="004E4188">
              <w:t>de soumission de l’Offre Financière]</w:t>
            </w:r>
          </w:p>
        </w:tc>
        <w:tc>
          <w:tcPr>
            <w:tcW w:w="1418" w:type="dxa"/>
            <w:tcBorders>
              <w:top w:val="single" w:sz="6" w:space="0" w:color="auto"/>
              <w:left w:val="single" w:sz="6" w:space="0" w:color="auto"/>
              <w:bottom w:val="single" w:sz="6" w:space="0" w:color="auto"/>
              <w:right w:val="single" w:sz="6" w:space="0" w:color="auto"/>
            </w:tcBorders>
          </w:tcPr>
          <w:p w14:paraId="764D89F4" w14:textId="77777777" w:rsidR="007049A5" w:rsidRPr="004E4188" w:rsidRDefault="007049A5" w:rsidP="006C6267">
            <w:pPr>
              <w:spacing w:after="60"/>
              <w:jc w:val="left"/>
            </w:pPr>
          </w:p>
        </w:tc>
        <w:tc>
          <w:tcPr>
            <w:tcW w:w="1275" w:type="dxa"/>
            <w:tcBorders>
              <w:top w:val="single" w:sz="6" w:space="0" w:color="auto"/>
              <w:left w:val="single" w:sz="6" w:space="0" w:color="auto"/>
              <w:bottom w:val="single" w:sz="6" w:space="0" w:color="auto"/>
              <w:right w:val="double" w:sz="6" w:space="0" w:color="auto"/>
            </w:tcBorders>
          </w:tcPr>
          <w:p w14:paraId="17B25A31" w14:textId="77777777" w:rsidR="007049A5" w:rsidRPr="004E4188" w:rsidRDefault="007049A5" w:rsidP="006C6267">
            <w:pPr>
              <w:spacing w:after="60"/>
              <w:jc w:val="left"/>
            </w:pPr>
          </w:p>
        </w:tc>
      </w:tr>
      <w:tr w:rsidR="007049A5" w:rsidRPr="004E4188" w14:paraId="464EB634" w14:textId="77777777" w:rsidTr="006C6267">
        <w:tc>
          <w:tcPr>
            <w:tcW w:w="5256" w:type="dxa"/>
            <w:gridSpan w:val="3"/>
            <w:tcBorders>
              <w:top w:val="single" w:sz="6" w:space="0" w:color="auto"/>
              <w:left w:val="double" w:sz="6" w:space="0" w:color="auto"/>
              <w:bottom w:val="double" w:sz="4" w:space="0" w:color="auto"/>
            </w:tcBorders>
          </w:tcPr>
          <w:p w14:paraId="5A5948FF" w14:textId="77777777" w:rsidR="007049A5" w:rsidRPr="004E4188" w:rsidRDefault="007049A5" w:rsidP="006C6267">
            <w:pPr>
              <w:tabs>
                <w:tab w:val="left" w:pos="330"/>
              </w:tabs>
              <w:spacing w:after="60"/>
              <w:jc w:val="left"/>
              <w:rPr>
                <w:noProof/>
                <w:lang w:eastAsia="en-US"/>
              </w:rPr>
            </w:pPr>
            <w:r w:rsidRPr="004E4188">
              <w:rPr>
                <w:noProof/>
                <w:lang w:eastAsia="en-US"/>
              </w:rPr>
              <w:t>Bordereau</w:t>
            </w:r>
            <w:r w:rsidRPr="004E4188">
              <w:t xml:space="preserve"> n</w:t>
            </w:r>
            <w:r w:rsidRPr="004E4188">
              <w:rPr>
                <w:vertAlign w:val="superscript"/>
              </w:rPr>
              <w:t>o</w:t>
            </w:r>
            <w:r w:rsidRPr="004E4188">
              <w:t xml:space="preserve"> 6 - Pièces de rechange recommandées</w:t>
            </w:r>
          </w:p>
        </w:tc>
        <w:tc>
          <w:tcPr>
            <w:tcW w:w="992" w:type="dxa"/>
            <w:tcBorders>
              <w:top w:val="single" w:sz="6" w:space="0" w:color="auto"/>
              <w:bottom w:val="double" w:sz="4" w:space="0" w:color="auto"/>
              <w:right w:val="single" w:sz="6" w:space="0" w:color="auto"/>
            </w:tcBorders>
          </w:tcPr>
          <w:p w14:paraId="2E523E79" w14:textId="77777777" w:rsidR="007049A5" w:rsidRPr="004E4188" w:rsidRDefault="007049A5" w:rsidP="006C6267">
            <w:pPr>
              <w:spacing w:after="60"/>
              <w:jc w:val="center"/>
            </w:pPr>
          </w:p>
        </w:tc>
        <w:tc>
          <w:tcPr>
            <w:tcW w:w="1418" w:type="dxa"/>
            <w:tcBorders>
              <w:top w:val="single" w:sz="6" w:space="0" w:color="auto"/>
              <w:left w:val="single" w:sz="6" w:space="0" w:color="auto"/>
              <w:bottom w:val="double" w:sz="4" w:space="0" w:color="auto"/>
              <w:right w:val="single" w:sz="6" w:space="0" w:color="auto"/>
            </w:tcBorders>
          </w:tcPr>
          <w:p w14:paraId="243367A6" w14:textId="77777777" w:rsidR="007049A5" w:rsidRPr="004E4188" w:rsidRDefault="007049A5" w:rsidP="006C6267">
            <w:pPr>
              <w:spacing w:after="60"/>
              <w:jc w:val="center"/>
            </w:pPr>
            <w:r w:rsidRPr="004E4188">
              <w:rPr>
                <w:lang w:val="en-GB" w:eastAsia="en-US"/>
              </w:rPr>
              <w:t>[forfait]</w:t>
            </w:r>
          </w:p>
        </w:tc>
        <w:tc>
          <w:tcPr>
            <w:tcW w:w="1275" w:type="dxa"/>
            <w:tcBorders>
              <w:top w:val="single" w:sz="6" w:space="0" w:color="auto"/>
              <w:left w:val="single" w:sz="6" w:space="0" w:color="auto"/>
              <w:bottom w:val="double" w:sz="4" w:space="0" w:color="auto"/>
              <w:right w:val="double" w:sz="6" w:space="0" w:color="auto"/>
            </w:tcBorders>
          </w:tcPr>
          <w:p w14:paraId="631C0DEA" w14:textId="77777777" w:rsidR="007049A5" w:rsidRPr="004E4188" w:rsidRDefault="007049A5" w:rsidP="006C6267">
            <w:pPr>
              <w:spacing w:after="60"/>
              <w:jc w:val="center"/>
            </w:pPr>
            <w:r w:rsidRPr="004E4188">
              <w:rPr>
                <w:lang w:val="en-GB" w:eastAsia="en-US"/>
              </w:rPr>
              <w:t>[forfait]</w:t>
            </w:r>
          </w:p>
        </w:tc>
      </w:tr>
    </w:tbl>
    <w:p w14:paraId="7302EBBD" w14:textId="77777777" w:rsidR="00510D0A" w:rsidRPr="004E4188" w:rsidRDefault="00510D0A" w:rsidP="006C6267">
      <w:pPr>
        <w:tabs>
          <w:tab w:val="left" w:pos="284"/>
        </w:tabs>
        <w:suppressAutoHyphens w:val="0"/>
        <w:overflowPunct/>
        <w:autoSpaceDE/>
        <w:autoSpaceDN/>
        <w:adjustRightInd/>
        <w:spacing w:before="120"/>
        <w:ind w:left="284" w:hanging="284"/>
        <w:textAlignment w:val="auto"/>
        <w:rPr>
          <w:rFonts w:eastAsia="Arial Unicode MS"/>
          <w:noProof/>
          <w:szCs w:val="24"/>
          <w:u w:val="single"/>
          <w:lang w:eastAsia="ja-JP"/>
        </w:rPr>
      </w:pPr>
    </w:p>
    <w:p w14:paraId="54B0CDD1" w14:textId="77777777" w:rsidR="007049A5" w:rsidRPr="004E4188" w:rsidRDefault="007049A5" w:rsidP="006C6267">
      <w:pPr>
        <w:tabs>
          <w:tab w:val="left" w:pos="284"/>
        </w:tabs>
        <w:suppressAutoHyphens w:val="0"/>
        <w:overflowPunct/>
        <w:autoSpaceDE/>
        <w:autoSpaceDN/>
        <w:adjustRightInd/>
        <w:spacing w:before="120"/>
        <w:ind w:left="284" w:hanging="284"/>
        <w:textAlignment w:val="auto"/>
        <w:rPr>
          <w:rFonts w:eastAsia="Arial Unicode MS"/>
          <w:noProof/>
          <w:szCs w:val="24"/>
          <w:u w:val="single"/>
          <w:lang w:eastAsia="ja-JP"/>
        </w:rPr>
      </w:pPr>
      <w:r w:rsidRPr="004E4188">
        <w:rPr>
          <w:rFonts w:eastAsia="Arial Unicode MS"/>
          <w:noProof/>
          <w:szCs w:val="24"/>
          <w:u w:val="single"/>
          <w:lang w:eastAsia="ja-JP"/>
        </w:rPr>
        <w:t>Notes à l’intention des Soumissionnaires</w:t>
      </w:r>
    </w:p>
    <w:p w14:paraId="1DD4BE78" w14:textId="561EA868" w:rsidR="007049A5" w:rsidRPr="004E4188" w:rsidRDefault="007049A5" w:rsidP="003D46CF">
      <w:pPr>
        <w:numPr>
          <w:ilvl w:val="0"/>
          <w:numId w:val="65"/>
        </w:numPr>
        <w:suppressAutoHyphens w:val="0"/>
        <w:overflowPunct/>
        <w:autoSpaceDE/>
        <w:autoSpaceDN/>
        <w:adjustRightInd/>
        <w:spacing w:before="120"/>
        <w:textAlignment w:val="auto"/>
        <w:rPr>
          <w:noProof/>
          <w:lang w:eastAsia="en-US"/>
        </w:rPr>
      </w:pPr>
      <w:r w:rsidRPr="004E4188">
        <w:rPr>
          <w:noProof/>
          <w:lang w:eastAsia="en-US"/>
        </w:rPr>
        <w:t xml:space="preserve">Le Soumissionnaire doit établir la part en monnaie nationale et en monnaie étrangère de ce montant, en appliquant le pourcentage indiqué dans l’Article 14.10 des DP (dans le cas d’une procédure à une étape-deux enveloppes) ou dans l’Article 30.10 des DP (dans le cas d’une procédure à deux étapes-une enveloppe), selon le cas. </w:t>
      </w:r>
    </w:p>
    <w:p w14:paraId="059BB885" w14:textId="77777777" w:rsidR="007049A5" w:rsidRPr="004E4188" w:rsidRDefault="007049A5" w:rsidP="006C6267">
      <w:pPr>
        <w:tabs>
          <w:tab w:val="left" w:pos="284"/>
        </w:tabs>
        <w:suppressAutoHyphens w:val="0"/>
        <w:overflowPunct/>
        <w:autoSpaceDE/>
        <w:autoSpaceDN/>
        <w:adjustRightInd/>
        <w:spacing w:before="120"/>
        <w:textAlignment w:val="auto"/>
        <w:rPr>
          <w:noProof/>
          <w:lang w:eastAsia="en-US"/>
        </w:rPr>
      </w:pPr>
    </w:p>
    <w:p w14:paraId="42027F43" w14:textId="77777777" w:rsidR="007049A5" w:rsidRPr="004E4188" w:rsidRDefault="007049A5" w:rsidP="00A173E6">
      <w:pPr>
        <w:rPr>
          <w:i/>
        </w:rPr>
      </w:pPr>
    </w:p>
    <w:p w14:paraId="74D908F9" w14:textId="77777777" w:rsidR="007049A5" w:rsidRPr="004E4188" w:rsidRDefault="007049A5" w:rsidP="00A173E6">
      <w:pPr>
        <w:rPr>
          <w:i/>
        </w:rPr>
      </w:pPr>
    </w:p>
    <w:p w14:paraId="453A3E47" w14:textId="77777777" w:rsidR="007049A5" w:rsidRPr="004E4188" w:rsidRDefault="007049A5" w:rsidP="00A173E6">
      <w:pPr>
        <w:rPr>
          <w:i/>
        </w:rPr>
      </w:pPr>
    </w:p>
    <w:p w14:paraId="66741384" w14:textId="77777777" w:rsidR="007049A5" w:rsidRPr="004E4188" w:rsidRDefault="007049A5" w:rsidP="00D42679">
      <w:pPr>
        <w:rPr>
          <w:i/>
        </w:rPr>
      </w:pPr>
      <w:r w:rsidRPr="004E4188">
        <w:rPr>
          <w:i/>
        </w:rPr>
        <w:br w:type="page"/>
      </w:r>
    </w:p>
    <w:p w14:paraId="0E1D941C" w14:textId="77777777" w:rsidR="007049A5" w:rsidRPr="004E4188" w:rsidRDefault="007049A5" w:rsidP="00D42679">
      <w:pPr>
        <w:rPr>
          <w:i/>
        </w:rPr>
      </w:pPr>
    </w:p>
    <w:tbl>
      <w:tblPr>
        <w:tblW w:w="9014" w:type="dxa"/>
        <w:tblLayout w:type="fixed"/>
        <w:tblLook w:val="0000" w:firstRow="0" w:lastRow="0" w:firstColumn="0" w:lastColumn="0" w:noHBand="0" w:noVBand="0"/>
      </w:tblPr>
      <w:tblGrid>
        <w:gridCol w:w="9014"/>
      </w:tblGrid>
      <w:tr w:rsidR="007049A5" w:rsidRPr="004E4188" w14:paraId="4B0048C0" w14:textId="77777777" w:rsidTr="00F674A1">
        <w:trPr>
          <w:trHeight w:val="900"/>
        </w:trPr>
        <w:tc>
          <w:tcPr>
            <w:tcW w:w="9014" w:type="dxa"/>
            <w:vAlign w:val="center"/>
          </w:tcPr>
          <w:p w14:paraId="1FC7B1E4" w14:textId="77777777" w:rsidR="007049A5" w:rsidRPr="004E4188" w:rsidRDefault="007049A5" w:rsidP="006C6267">
            <w:pPr>
              <w:pStyle w:val="SectionIVHeader"/>
              <w:rPr>
                <w:lang w:val="fr-FR"/>
              </w:rPr>
            </w:pPr>
            <w:bookmarkStart w:id="529" w:name="_Toc349117741"/>
            <w:bookmarkStart w:id="530" w:name="_Toc357513216"/>
            <w:bookmarkStart w:id="531" w:name="_Toc112429309"/>
            <w:r w:rsidRPr="004E4188">
              <w:rPr>
                <w:lang w:val="en-GB"/>
              </w:rPr>
              <w:t>Proposition</w:t>
            </w:r>
            <w:r w:rsidRPr="004E4188">
              <w:rPr>
                <w:lang w:val="fr-FR"/>
              </w:rPr>
              <w:t xml:space="preserve"> technique</w:t>
            </w:r>
            <w:bookmarkEnd w:id="529"/>
            <w:bookmarkEnd w:id="530"/>
            <w:bookmarkEnd w:id="531"/>
          </w:p>
        </w:tc>
      </w:tr>
    </w:tbl>
    <w:p w14:paraId="7839B225" w14:textId="77777777" w:rsidR="007049A5" w:rsidRPr="004E4188" w:rsidRDefault="007049A5" w:rsidP="0014652D">
      <w:pPr>
        <w:tabs>
          <w:tab w:val="left" w:pos="5238"/>
          <w:tab w:val="left" w:pos="5474"/>
          <w:tab w:val="left" w:pos="9468"/>
        </w:tabs>
        <w:rPr>
          <w:b/>
          <w:bCs/>
          <w:i/>
          <w:iCs/>
          <w:sz w:val="28"/>
        </w:rPr>
      </w:pPr>
    </w:p>
    <w:p w14:paraId="587423CF" w14:textId="77777777" w:rsidR="007049A5" w:rsidRPr="004E4188" w:rsidRDefault="007049A5" w:rsidP="003D46CF">
      <w:pPr>
        <w:numPr>
          <w:ilvl w:val="0"/>
          <w:numId w:val="43"/>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4E4188">
        <w:rPr>
          <w:bCs/>
          <w:iCs/>
          <w:sz w:val="28"/>
        </w:rPr>
        <w:t>Organisation d</w:t>
      </w:r>
      <w:r w:rsidRPr="004E4188">
        <w:rPr>
          <w:bCs/>
          <w:iCs/>
          <w:sz w:val="28"/>
          <w:lang w:eastAsia="ja-JP"/>
        </w:rPr>
        <w:t>u chantier</w:t>
      </w:r>
    </w:p>
    <w:p w14:paraId="7A8EAB77" w14:textId="77777777" w:rsidR="007049A5" w:rsidRPr="004E4188" w:rsidRDefault="007049A5" w:rsidP="003D46CF">
      <w:pPr>
        <w:numPr>
          <w:ilvl w:val="0"/>
          <w:numId w:val="43"/>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sz w:val="28"/>
        </w:rPr>
      </w:pPr>
      <w:r w:rsidRPr="004E4188">
        <w:rPr>
          <w:rFonts w:hint="eastAsia"/>
          <w:bCs/>
          <w:sz w:val="28"/>
          <w:lang w:eastAsia="ja-JP"/>
        </w:rPr>
        <w:t>Mé</w:t>
      </w:r>
      <w:r w:rsidRPr="004E4188">
        <w:rPr>
          <w:bCs/>
          <w:sz w:val="28"/>
          <w:lang w:eastAsia="ja-JP"/>
        </w:rPr>
        <w:t>thodologie de conception</w:t>
      </w:r>
    </w:p>
    <w:p w14:paraId="4E54EA51" w14:textId="77777777" w:rsidR="007049A5" w:rsidRPr="004E4188" w:rsidRDefault="007049A5" w:rsidP="003D46CF">
      <w:pPr>
        <w:numPr>
          <w:ilvl w:val="0"/>
          <w:numId w:val="43"/>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4E4188">
        <w:rPr>
          <w:bCs/>
          <w:iCs/>
          <w:sz w:val="28"/>
        </w:rPr>
        <w:t>Méthode de réalisation</w:t>
      </w:r>
    </w:p>
    <w:p w14:paraId="2AAE0975" w14:textId="77777777" w:rsidR="007049A5" w:rsidRPr="004E4188" w:rsidRDefault="007049A5" w:rsidP="003D46CF">
      <w:pPr>
        <w:numPr>
          <w:ilvl w:val="0"/>
          <w:numId w:val="43"/>
        </w:numPr>
        <w:tabs>
          <w:tab w:val="left" w:pos="5238"/>
          <w:tab w:val="left" w:pos="5474"/>
          <w:tab w:val="left" w:pos="9468"/>
        </w:tabs>
        <w:suppressAutoHyphens w:val="0"/>
        <w:overflowPunct/>
        <w:autoSpaceDE/>
        <w:autoSpaceDN/>
        <w:adjustRightInd/>
        <w:spacing w:afterLines="100" w:after="240"/>
        <w:ind w:left="539" w:hanging="539"/>
        <w:jc w:val="left"/>
        <w:textAlignment w:val="auto"/>
        <w:rPr>
          <w:bCs/>
          <w:iCs/>
          <w:sz w:val="28"/>
        </w:rPr>
      </w:pPr>
      <w:r w:rsidRPr="004E4188">
        <w:rPr>
          <w:bCs/>
          <w:iCs/>
          <w:sz w:val="28"/>
        </w:rPr>
        <w:t>Programme de mobilisation</w:t>
      </w:r>
    </w:p>
    <w:p w14:paraId="71AD93C9" w14:textId="47D796F0" w:rsidR="007049A5" w:rsidRPr="004E4188" w:rsidRDefault="007049A5" w:rsidP="003D46CF">
      <w:pPr>
        <w:numPr>
          <w:ilvl w:val="0"/>
          <w:numId w:val="43"/>
        </w:numPr>
        <w:tabs>
          <w:tab w:val="left" w:pos="5238"/>
          <w:tab w:val="left" w:pos="5474"/>
          <w:tab w:val="left" w:pos="9468"/>
        </w:tabs>
        <w:suppressAutoHyphens w:val="0"/>
        <w:overflowPunct/>
        <w:autoSpaceDE/>
        <w:autoSpaceDN/>
        <w:adjustRightInd/>
        <w:spacing w:afterLines="100" w:after="240"/>
        <w:ind w:left="540"/>
        <w:jc w:val="left"/>
        <w:textAlignment w:val="auto"/>
        <w:rPr>
          <w:bCs/>
          <w:iCs/>
          <w:sz w:val="28"/>
        </w:rPr>
      </w:pPr>
      <w:r w:rsidRPr="004E4188">
        <w:rPr>
          <w:bCs/>
          <w:iCs/>
          <w:sz w:val="28"/>
        </w:rPr>
        <w:t>Programme de conception, fourniture et montage des équipements</w:t>
      </w:r>
    </w:p>
    <w:p w14:paraId="3F4FBC4B" w14:textId="77777777" w:rsidR="00F52709" w:rsidRPr="004E4188" w:rsidRDefault="007049A5" w:rsidP="003D46CF">
      <w:pPr>
        <w:numPr>
          <w:ilvl w:val="0"/>
          <w:numId w:val="43"/>
        </w:numPr>
        <w:tabs>
          <w:tab w:val="left" w:pos="5238"/>
          <w:tab w:val="left" w:pos="5474"/>
          <w:tab w:val="left" w:pos="9468"/>
        </w:tabs>
        <w:suppressAutoHyphens w:val="0"/>
        <w:overflowPunct/>
        <w:autoSpaceDE/>
        <w:autoSpaceDN/>
        <w:adjustRightInd/>
        <w:spacing w:afterLines="100" w:after="240"/>
        <w:ind w:left="540"/>
        <w:jc w:val="left"/>
        <w:textAlignment w:val="auto"/>
        <w:rPr>
          <w:bCs/>
          <w:iCs/>
          <w:sz w:val="28"/>
        </w:rPr>
      </w:pPr>
      <w:r w:rsidRPr="004E4188">
        <w:rPr>
          <w:rFonts w:hint="eastAsia"/>
          <w:bCs/>
          <w:iCs/>
          <w:sz w:val="28"/>
        </w:rPr>
        <w:t>É</w:t>
      </w:r>
      <w:r w:rsidRPr="004E4188">
        <w:rPr>
          <w:bCs/>
          <w:iCs/>
          <w:sz w:val="28"/>
        </w:rPr>
        <w:t>quipements proposés devant être fournis et montés</w:t>
      </w:r>
    </w:p>
    <w:p w14:paraId="7096F394" w14:textId="77777777" w:rsidR="007049A5" w:rsidRPr="004E4188" w:rsidRDefault="007049A5" w:rsidP="003D46CF">
      <w:pPr>
        <w:numPr>
          <w:ilvl w:val="0"/>
          <w:numId w:val="43"/>
        </w:numPr>
        <w:tabs>
          <w:tab w:val="left" w:pos="5238"/>
          <w:tab w:val="left" w:pos="5474"/>
          <w:tab w:val="left" w:pos="9468"/>
        </w:tabs>
        <w:suppressAutoHyphens w:val="0"/>
        <w:overflowPunct/>
        <w:autoSpaceDE/>
        <w:autoSpaceDN/>
        <w:adjustRightInd/>
        <w:spacing w:afterLines="100" w:after="240"/>
        <w:ind w:left="540"/>
        <w:jc w:val="left"/>
        <w:textAlignment w:val="auto"/>
        <w:rPr>
          <w:bCs/>
          <w:iCs/>
          <w:sz w:val="28"/>
        </w:rPr>
      </w:pPr>
      <w:r w:rsidRPr="004E4188">
        <w:rPr>
          <w:bCs/>
          <w:iCs/>
          <w:sz w:val="28"/>
        </w:rPr>
        <w:t>Plan de santé et de sécurité</w:t>
      </w:r>
    </w:p>
    <w:p w14:paraId="6A0B5B44" w14:textId="77777777" w:rsidR="007049A5" w:rsidRPr="004E4188" w:rsidRDefault="007049A5" w:rsidP="003D46CF">
      <w:pPr>
        <w:numPr>
          <w:ilvl w:val="0"/>
          <w:numId w:val="43"/>
        </w:numPr>
        <w:tabs>
          <w:tab w:val="left" w:pos="5238"/>
          <w:tab w:val="left" w:pos="5474"/>
          <w:tab w:val="left" w:pos="9468"/>
        </w:tabs>
        <w:suppressAutoHyphens w:val="0"/>
        <w:overflowPunct/>
        <w:autoSpaceDE/>
        <w:autoSpaceDN/>
        <w:adjustRightInd/>
        <w:spacing w:afterLines="100" w:after="240"/>
        <w:ind w:left="540"/>
        <w:jc w:val="left"/>
        <w:textAlignment w:val="auto"/>
        <w:rPr>
          <w:bCs/>
          <w:iCs/>
          <w:sz w:val="28"/>
        </w:rPr>
      </w:pPr>
      <w:r w:rsidRPr="004E4188">
        <w:rPr>
          <w:bCs/>
          <w:iCs/>
          <w:sz w:val="28"/>
        </w:rPr>
        <w:t>Plan environnemental</w:t>
      </w:r>
    </w:p>
    <w:p w14:paraId="50B92C20" w14:textId="77777777" w:rsidR="007049A5" w:rsidRPr="004E4188" w:rsidRDefault="007049A5" w:rsidP="003D46CF">
      <w:pPr>
        <w:numPr>
          <w:ilvl w:val="0"/>
          <w:numId w:val="43"/>
        </w:numPr>
        <w:tabs>
          <w:tab w:val="left" w:pos="5238"/>
          <w:tab w:val="left" w:pos="5474"/>
          <w:tab w:val="left" w:pos="9468"/>
        </w:tabs>
        <w:suppressAutoHyphens w:val="0"/>
        <w:overflowPunct/>
        <w:autoSpaceDE/>
        <w:autoSpaceDN/>
        <w:adjustRightInd/>
        <w:ind w:left="539" w:hanging="539"/>
        <w:jc w:val="left"/>
        <w:textAlignment w:val="auto"/>
        <w:rPr>
          <w:bCs/>
          <w:iCs/>
          <w:sz w:val="28"/>
        </w:rPr>
      </w:pPr>
      <w:r w:rsidRPr="004E4188">
        <w:rPr>
          <w:bCs/>
          <w:iCs/>
          <w:sz w:val="28"/>
        </w:rPr>
        <w:t>Garanties opérationnelles</w:t>
      </w:r>
    </w:p>
    <w:p w14:paraId="6ADE9B18" w14:textId="77777777" w:rsidR="007049A5" w:rsidRPr="004E4188" w:rsidRDefault="007049A5" w:rsidP="003D46CF">
      <w:pPr>
        <w:numPr>
          <w:ilvl w:val="1"/>
          <w:numId w:val="43"/>
        </w:numPr>
        <w:tabs>
          <w:tab w:val="clear" w:pos="990"/>
          <w:tab w:val="left" w:pos="709"/>
          <w:tab w:val="num" w:pos="851"/>
          <w:tab w:val="left" w:pos="5238"/>
          <w:tab w:val="left" w:pos="5474"/>
          <w:tab w:val="left" w:pos="9468"/>
        </w:tabs>
        <w:suppressAutoHyphens w:val="0"/>
        <w:overflowPunct/>
        <w:autoSpaceDE/>
        <w:autoSpaceDN/>
        <w:adjustRightInd/>
        <w:ind w:left="709" w:hanging="283"/>
        <w:jc w:val="left"/>
        <w:textAlignment w:val="auto"/>
        <w:rPr>
          <w:bCs/>
          <w:iCs/>
          <w:sz w:val="28"/>
          <w:lang w:val="en-GB"/>
        </w:rPr>
      </w:pPr>
      <w:r w:rsidRPr="004E4188">
        <w:rPr>
          <w:bCs/>
          <w:iCs/>
          <w:sz w:val="28"/>
          <w:lang w:val="en-GB"/>
        </w:rPr>
        <w:t xml:space="preserve">Formulaire GAR </w:t>
      </w:r>
      <w:r w:rsidRPr="004E4188">
        <w:rPr>
          <w:bCs/>
          <w:iCs/>
          <w:sz w:val="28"/>
        </w:rPr>
        <w:t xml:space="preserve">- </w:t>
      </w:r>
      <w:r w:rsidRPr="004E4188">
        <w:rPr>
          <w:bCs/>
          <w:iCs/>
          <w:sz w:val="28"/>
          <w:lang w:val="en-GB"/>
        </w:rPr>
        <w:t>Garanties opérationnelles</w:t>
      </w:r>
    </w:p>
    <w:p w14:paraId="78F0CEE4" w14:textId="77777777" w:rsidR="007049A5" w:rsidRPr="004E4188" w:rsidRDefault="007049A5" w:rsidP="006C6267">
      <w:pPr>
        <w:tabs>
          <w:tab w:val="left" w:pos="709"/>
        </w:tabs>
        <w:suppressAutoHyphens w:val="0"/>
        <w:overflowPunct/>
        <w:autoSpaceDE/>
        <w:autoSpaceDN/>
        <w:adjustRightInd/>
        <w:ind w:left="426"/>
        <w:jc w:val="left"/>
        <w:textAlignment w:val="auto"/>
        <w:rPr>
          <w:bCs/>
          <w:iCs/>
          <w:sz w:val="28"/>
        </w:rPr>
      </w:pPr>
    </w:p>
    <w:p w14:paraId="493E05AD" w14:textId="77777777" w:rsidR="007049A5" w:rsidRPr="004E4188" w:rsidRDefault="007049A5" w:rsidP="003D46CF">
      <w:pPr>
        <w:numPr>
          <w:ilvl w:val="0"/>
          <w:numId w:val="43"/>
        </w:numPr>
        <w:tabs>
          <w:tab w:val="left" w:pos="5238"/>
          <w:tab w:val="left" w:pos="5474"/>
          <w:tab w:val="left" w:pos="9468"/>
        </w:tabs>
        <w:suppressAutoHyphens w:val="0"/>
        <w:overflowPunct/>
        <w:autoSpaceDE/>
        <w:autoSpaceDN/>
        <w:adjustRightInd/>
        <w:ind w:left="540"/>
        <w:jc w:val="left"/>
        <w:textAlignment w:val="auto"/>
        <w:rPr>
          <w:bCs/>
          <w:iCs/>
          <w:sz w:val="28"/>
          <w:lang w:eastAsia="ja-JP"/>
        </w:rPr>
      </w:pPr>
      <w:r w:rsidRPr="004E4188">
        <w:rPr>
          <w:bCs/>
          <w:iCs/>
          <w:sz w:val="28"/>
        </w:rPr>
        <w:t>Sous</w:t>
      </w:r>
      <w:r w:rsidRPr="004E4188">
        <w:rPr>
          <w:rFonts w:hint="eastAsia"/>
          <w:bCs/>
          <w:iCs/>
          <w:sz w:val="28"/>
        </w:rPr>
        <w:t>-</w:t>
      </w:r>
      <w:r w:rsidRPr="004E4188">
        <w:rPr>
          <w:bCs/>
          <w:iCs/>
          <w:sz w:val="28"/>
        </w:rPr>
        <w:t>traitants/fabricants</w:t>
      </w:r>
    </w:p>
    <w:p w14:paraId="6B6C99A2" w14:textId="77777777" w:rsidR="007049A5" w:rsidRPr="004E4188" w:rsidRDefault="007049A5" w:rsidP="003D46CF">
      <w:pPr>
        <w:numPr>
          <w:ilvl w:val="1"/>
          <w:numId w:val="43"/>
        </w:numPr>
        <w:tabs>
          <w:tab w:val="clear" w:pos="990"/>
          <w:tab w:val="left" w:pos="709"/>
          <w:tab w:val="num" w:pos="851"/>
          <w:tab w:val="left" w:pos="5238"/>
          <w:tab w:val="left" w:pos="5474"/>
          <w:tab w:val="left" w:pos="9468"/>
        </w:tabs>
        <w:suppressAutoHyphens w:val="0"/>
        <w:overflowPunct/>
        <w:autoSpaceDE/>
        <w:autoSpaceDN/>
        <w:adjustRightInd/>
        <w:ind w:left="709" w:hanging="283"/>
        <w:jc w:val="left"/>
        <w:textAlignment w:val="auto"/>
        <w:rPr>
          <w:bCs/>
          <w:iCs/>
          <w:sz w:val="28"/>
        </w:rPr>
      </w:pPr>
      <w:r w:rsidRPr="004E4188">
        <w:rPr>
          <w:bCs/>
          <w:iCs/>
          <w:sz w:val="28"/>
        </w:rPr>
        <w:t>Liste de sous</w:t>
      </w:r>
      <w:r w:rsidRPr="004E4188">
        <w:rPr>
          <w:rFonts w:hint="eastAsia"/>
          <w:bCs/>
          <w:iCs/>
          <w:sz w:val="28"/>
        </w:rPr>
        <w:t>-</w:t>
      </w:r>
      <w:r w:rsidRPr="004E4188">
        <w:rPr>
          <w:bCs/>
          <w:iCs/>
          <w:sz w:val="28"/>
        </w:rPr>
        <w:t>traitants</w:t>
      </w:r>
    </w:p>
    <w:p w14:paraId="404EC93F" w14:textId="77777777" w:rsidR="007049A5" w:rsidRPr="004E4188" w:rsidRDefault="007049A5" w:rsidP="003D46CF">
      <w:pPr>
        <w:numPr>
          <w:ilvl w:val="1"/>
          <w:numId w:val="43"/>
        </w:numPr>
        <w:tabs>
          <w:tab w:val="clear" w:pos="990"/>
          <w:tab w:val="left" w:pos="709"/>
          <w:tab w:val="num" w:pos="851"/>
          <w:tab w:val="left" w:pos="5238"/>
          <w:tab w:val="left" w:pos="5474"/>
          <w:tab w:val="left" w:pos="9468"/>
        </w:tabs>
        <w:suppressAutoHyphens w:val="0"/>
        <w:overflowPunct/>
        <w:autoSpaceDE/>
        <w:autoSpaceDN/>
        <w:adjustRightInd/>
        <w:ind w:left="709" w:hanging="283"/>
        <w:jc w:val="left"/>
        <w:textAlignment w:val="auto"/>
        <w:rPr>
          <w:bCs/>
          <w:iCs/>
          <w:sz w:val="28"/>
        </w:rPr>
      </w:pPr>
      <w:r w:rsidRPr="004E4188">
        <w:rPr>
          <w:bCs/>
          <w:iCs/>
          <w:sz w:val="28"/>
        </w:rPr>
        <w:t xml:space="preserve">Formulaire FAB - </w:t>
      </w:r>
      <w:r w:rsidRPr="004E4188">
        <w:rPr>
          <w:bCs/>
          <w:iCs/>
          <w:sz w:val="28"/>
          <w:szCs w:val="28"/>
        </w:rPr>
        <w:t>Autorisation</w:t>
      </w:r>
      <w:r w:rsidRPr="004E4188">
        <w:rPr>
          <w:sz w:val="28"/>
          <w:szCs w:val="28"/>
        </w:rPr>
        <w:t xml:space="preserve"> du fabricant</w:t>
      </w:r>
    </w:p>
    <w:p w14:paraId="298B5738" w14:textId="77777777" w:rsidR="007049A5" w:rsidRPr="004E4188" w:rsidRDefault="007049A5" w:rsidP="006C6267">
      <w:pPr>
        <w:tabs>
          <w:tab w:val="left" w:pos="709"/>
        </w:tabs>
        <w:suppressAutoHyphens w:val="0"/>
        <w:overflowPunct/>
        <w:autoSpaceDE/>
        <w:autoSpaceDN/>
        <w:adjustRightInd/>
        <w:ind w:left="426"/>
        <w:jc w:val="left"/>
        <w:textAlignment w:val="auto"/>
        <w:rPr>
          <w:b/>
          <w:bCs/>
          <w:iCs/>
          <w:sz w:val="28"/>
        </w:rPr>
      </w:pPr>
    </w:p>
    <w:p w14:paraId="619DD74F" w14:textId="77777777" w:rsidR="007049A5" w:rsidRPr="004E4188" w:rsidRDefault="007049A5" w:rsidP="003D46CF">
      <w:pPr>
        <w:numPr>
          <w:ilvl w:val="0"/>
          <w:numId w:val="43"/>
        </w:numPr>
        <w:tabs>
          <w:tab w:val="left" w:pos="5238"/>
          <w:tab w:val="left" w:pos="5474"/>
          <w:tab w:val="left" w:pos="9468"/>
        </w:tabs>
        <w:suppressAutoHyphens w:val="0"/>
        <w:overflowPunct/>
        <w:autoSpaceDE/>
        <w:autoSpaceDN/>
        <w:adjustRightInd/>
        <w:ind w:left="540"/>
        <w:jc w:val="left"/>
        <w:textAlignment w:val="auto"/>
        <w:rPr>
          <w:bCs/>
          <w:sz w:val="28"/>
          <w:lang w:val="en-GB" w:eastAsia="en-US"/>
        </w:rPr>
      </w:pPr>
      <w:r w:rsidRPr="004E4188">
        <w:rPr>
          <w:bCs/>
          <w:iCs/>
          <w:sz w:val="28"/>
        </w:rPr>
        <w:t>Personnel</w:t>
      </w:r>
    </w:p>
    <w:p w14:paraId="7F59D4FA" w14:textId="77777777" w:rsidR="007049A5" w:rsidRPr="004E4188" w:rsidRDefault="007049A5" w:rsidP="003D46CF">
      <w:pPr>
        <w:numPr>
          <w:ilvl w:val="1"/>
          <w:numId w:val="43"/>
        </w:numPr>
        <w:tabs>
          <w:tab w:val="clear" w:pos="990"/>
          <w:tab w:val="left" w:pos="709"/>
          <w:tab w:val="num" w:pos="851"/>
          <w:tab w:val="left" w:pos="5238"/>
          <w:tab w:val="left" w:pos="5474"/>
          <w:tab w:val="left" w:pos="9468"/>
        </w:tabs>
        <w:suppressAutoHyphens w:val="0"/>
        <w:overflowPunct/>
        <w:autoSpaceDE/>
        <w:autoSpaceDN/>
        <w:adjustRightInd/>
        <w:ind w:left="709" w:hanging="283"/>
        <w:jc w:val="left"/>
        <w:textAlignment w:val="auto"/>
        <w:rPr>
          <w:bCs/>
          <w:sz w:val="28"/>
        </w:rPr>
      </w:pPr>
      <w:r w:rsidRPr="004E4188">
        <w:rPr>
          <w:bCs/>
          <w:iCs/>
          <w:sz w:val="28"/>
        </w:rPr>
        <w:t>Formulaire PER-1 - Personnel proposé</w:t>
      </w:r>
      <w:r w:rsidRPr="004E4188">
        <w:rPr>
          <w:bCs/>
          <w:sz w:val="28"/>
        </w:rPr>
        <w:t xml:space="preserve"> </w:t>
      </w:r>
    </w:p>
    <w:p w14:paraId="344C6E83" w14:textId="77777777" w:rsidR="007049A5" w:rsidRPr="004E4188" w:rsidRDefault="007049A5" w:rsidP="003D46CF">
      <w:pPr>
        <w:numPr>
          <w:ilvl w:val="1"/>
          <w:numId w:val="43"/>
        </w:numPr>
        <w:tabs>
          <w:tab w:val="clear" w:pos="990"/>
          <w:tab w:val="left" w:pos="709"/>
          <w:tab w:val="num" w:pos="851"/>
        </w:tabs>
        <w:suppressAutoHyphens w:val="0"/>
        <w:overflowPunct/>
        <w:autoSpaceDE/>
        <w:autoSpaceDN/>
        <w:adjustRightInd/>
        <w:ind w:left="709" w:hanging="283"/>
        <w:jc w:val="left"/>
        <w:textAlignment w:val="auto"/>
        <w:rPr>
          <w:bCs/>
          <w:sz w:val="28"/>
        </w:rPr>
      </w:pPr>
      <w:r w:rsidRPr="004E4188">
        <w:rPr>
          <w:bCs/>
          <w:iCs/>
          <w:sz w:val="28"/>
        </w:rPr>
        <w:t>Formulaire PER-2 - Curriculum vitae du personnel proposé</w:t>
      </w:r>
    </w:p>
    <w:p w14:paraId="73385C72" w14:textId="77777777" w:rsidR="007049A5" w:rsidRPr="004E4188" w:rsidRDefault="007049A5" w:rsidP="006C6267">
      <w:pPr>
        <w:tabs>
          <w:tab w:val="left" w:pos="709"/>
        </w:tabs>
        <w:suppressAutoHyphens w:val="0"/>
        <w:overflowPunct/>
        <w:autoSpaceDE/>
        <w:autoSpaceDN/>
        <w:adjustRightInd/>
        <w:ind w:left="426"/>
        <w:jc w:val="left"/>
        <w:textAlignment w:val="auto"/>
        <w:rPr>
          <w:bCs/>
          <w:iCs/>
          <w:sz w:val="28"/>
        </w:rPr>
      </w:pPr>
    </w:p>
    <w:p w14:paraId="543F7ED8" w14:textId="3881BDD1" w:rsidR="007049A5" w:rsidRPr="004E4188" w:rsidRDefault="00DF4FF1" w:rsidP="003D46CF">
      <w:pPr>
        <w:numPr>
          <w:ilvl w:val="0"/>
          <w:numId w:val="43"/>
        </w:numPr>
        <w:tabs>
          <w:tab w:val="left" w:pos="5238"/>
          <w:tab w:val="left" w:pos="5474"/>
          <w:tab w:val="left" w:pos="9468"/>
        </w:tabs>
        <w:suppressAutoHyphens w:val="0"/>
        <w:overflowPunct/>
        <w:autoSpaceDE/>
        <w:autoSpaceDN/>
        <w:adjustRightInd/>
        <w:ind w:left="539" w:hanging="539"/>
        <w:jc w:val="left"/>
        <w:textAlignment w:val="auto"/>
        <w:rPr>
          <w:bCs/>
          <w:sz w:val="28"/>
        </w:rPr>
      </w:pPr>
      <w:r w:rsidRPr="004E4188">
        <w:rPr>
          <w:sz w:val="28"/>
        </w:rPr>
        <w:t>É</w:t>
      </w:r>
      <w:r w:rsidR="007049A5" w:rsidRPr="004E4188">
        <w:rPr>
          <w:sz w:val="28"/>
        </w:rPr>
        <w:t xml:space="preserve">quipements de </w:t>
      </w:r>
      <w:r w:rsidR="007049A5" w:rsidRPr="004E4188">
        <w:rPr>
          <w:bCs/>
          <w:sz w:val="28"/>
        </w:rPr>
        <w:t>construction</w:t>
      </w:r>
    </w:p>
    <w:p w14:paraId="22F20102" w14:textId="645BCFF8" w:rsidR="007049A5" w:rsidRPr="004E4188" w:rsidRDefault="007049A5" w:rsidP="003D46CF">
      <w:pPr>
        <w:numPr>
          <w:ilvl w:val="1"/>
          <w:numId w:val="43"/>
        </w:numPr>
        <w:tabs>
          <w:tab w:val="clear" w:pos="990"/>
          <w:tab w:val="left" w:pos="709"/>
          <w:tab w:val="num" w:pos="851"/>
        </w:tabs>
        <w:suppressAutoHyphens w:val="0"/>
        <w:overflowPunct/>
        <w:autoSpaceDE/>
        <w:autoSpaceDN/>
        <w:adjustRightInd/>
        <w:ind w:left="709" w:hanging="283"/>
        <w:jc w:val="left"/>
        <w:textAlignment w:val="auto"/>
        <w:rPr>
          <w:bCs/>
          <w:iCs/>
          <w:sz w:val="28"/>
        </w:rPr>
      </w:pPr>
      <w:r w:rsidRPr="004E4188">
        <w:rPr>
          <w:bCs/>
          <w:iCs/>
          <w:sz w:val="28"/>
        </w:rPr>
        <w:t xml:space="preserve">Formulaire EQU - </w:t>
      </w:r>
      <w:r w:rsidRPr="004E4188">
        <w:rPr>
          <w:bCs/>
          <w:sz w:val="28"/>
        </w:rPr>
        <w:t>É</w:t>
      </w:r>
      <w:r w:rsidRPr="004E4188">
        <w:rPr>
          <w:bCs/>
          <w:iCs/>
          <w:sz w:val="28"/>
        </w:rPr>
        <w:t>quipement de construction</w:t>
      </w:r>
    </w:p>
    <w:p w14:paraId="391D69B7" w14:textId="77777777" w:rsidR="007049A5" w:rsidRPr="004E4188" w:rsidRDefault="007049A5" w:rsidP="006C6267">
      <w:pPr>
        <w:tabs>
          <w:tab w:val="left" w:pos="709"/>
        </w:tabs>
        <w:suppressAutoHyphens w:val="0"/>
        <w:overflowPunct/>
        <w:autoSpaceDE/>
        <w:autoSpaceDN/>
        <w:adjustRightInd/>
        <w:ind w:left="426"/>
        <w:jc w:val="left"/>
        <w:textAlignment w:val="auto"/>
        <w:rPr>
          <w:bCs/>
          <w:iCs/>
          <w:sz w:val="28"/>
        </w:rPr>
      </w:pPr>
    </w:p>
    <w:p w14:paraId="596D3271" w14:textId="77777777" w:rsidR="007049A5" w:rsidRPr="004E4188" w:rsidRDefault="007049A5" w:rsidP="003D46CF">
      <w:pPr>
        <w:numPr>
          <w:ilvl w:val="0"/>
          <w:numId w:val="43"/>
        </w:numPr>
        <w:tabs>
          <w:tab w:val="left" w:pos="5238"/>
          <w:tab w:val="left" w:pos="5474"/>
          <w:tab w:val="left" w:pos="9468"/>
        </w:tabs>
        <w:suppressAutoHyphens w:val="0"/>
        <w:overflowPunct/>
        <w:autoSpaceDE/>
        <w:autoSpaceDN/>
        <w:adjustRightInd/>
        <w:ind w:left="540"/>
        <w:jc w:val="left"/>
        <w:textAlignment w:val="auto"/>
        <w:rPr>
          <w:bCs/>
          <w:iCs/>
          <w:sz w:val="28"/>
        </w:rPr>
      </w:pPr>
      <w:r w:rsidRPr="004E4188">
        <w:rPr>
          <w:bCs/>
          <w:iCs/>
          <w:sz w:val="28"/>
          <w:lang w:eastAsia="ja-JP"/>
        </w:rPr>
        <w:t>[</w:t>
      </w:r>
      <w:r w:rsidRPr="004E4188">
        <w:rPr>
          <w:bCs/>
          <w:i/>
          <w:iCs/>
          <w:sz w:val="28"/>
        </w:rPr>
        <w:t>Autres</w:t>
      </w:r>
      <w:r w:rsidRPr="004E4188">
        <w:rPr>
          <w:bCs/>
          <w:iCs/>
          <w:sz w:val="28"/>
          <w:lang w:eastAsia="ja-JP"/>
        </w:rPr>
        <w:t>]</w:t>
      </w:r>
    </w:p>
    <w:p w14:paraId="4D34FF7A" w14:textId="77777777" w:rsidR="007049A5" w:rsidRPr="004E4188" w:rsidRDefault="007049A5" w:rsidP="006C6267">
      <w:pPr>
        <w:pStyle w:val="SectionIVHeading2"/>
        <w:outlineLvl w:val="2"/>
        <w:rPr>
          <w:szCs w:val="28"/>
          <w:lang w:val="fr-FR" w:eastAsia="ja-JP"/>
        </w:rPr>
      </w:pPr>
      <w:r w:rsidRPr="004E4188">
        <w:rPr>
          <w:lang w:val="fr-FR"/>
        </w:rPr>
        <w:br w:type="page"/>
      </w:r>
      <w:bookmarkStart w:id="532" w:name="_Toc349117742"/>
      <w:bookmarkStart w:id="533" w:name="_Toc357513217"/>
      <w:bookmarkStart w:id="534" w:name="_Toc112429310"/>
      <w:bookmarkStart w:id="535" w:name="_Toc327863869"/>
      <w:r w:rsidRPr="004E4188">
        <w:rPr>
          <w:lang w:val="en-GB"/>
        </w:rPr>
        <w:t>Organisation</w:t>
      </w:r>
      <w:r w:rsidRPr="004E4188">
        <w:rPr>
          <w:szCs w:val="28"/>
          <w:lang w:val="fr-FR"/>
        </w:rPr>
        <w:t xml:space="preserve"> d</w:t>
      </w:r>
      <w:r w:rsidRPr="004E4188">
        <w:rPr>
          <w:szCs w:val="28"/>
          <w:lang w:val="fr-FR" w:eastAsia="ja-JP"/>
        </w:rPr>
        <w:t>u chantier</w:t>
      </w:r>
      <w:bookmarkEnd w:id="532"/>
      <w:bookmarkEnd w:id="533"/>
      <w:bookmarkEnd w:id="534"/>
    </w:p>
    <w:p w14:paraId="0539D0C7" w14:textId="77777777" w:rsidR="007049A5" w:rsidRPr="004E4188" w:rsidRDefault="007049A5" w:rsidP="00BE44D0">
      <w:pPr>
        <w:rPr>
          <w:lang w:eastAsia="ja-JP"/>
        </w:rPr>
      </w:pPr>
    </w:p>
    <w:tbl>
      <w:tblPr>
        <w:tblStyle w:val="afb"/>
        <w:tblW w:w="0" w:type="auto"/>
        <w:tblLook w:val="04A0" w:firstRow="1" w:lastRow="0" w:firstColumn="1" w:lastColumn="0" w:noHBand="0" w:noVBand="1"/>
      </w:tblPr>
      <w:tblGrid>
        <w:gridCol w:w="8993"/>
      </w:tblGrid>
      <w:tr w:rsidR="007049A5" w:rsidRPr="004E4188" w14:paraId="7E55ACD4" w14:textId="77777777" w:rsidTr="006C6267">
        <w:tc>
          <w:tcPr>
            <w:tcW w:w="8993" w:type="dxa"/>
          </w:tcPr>
          <w:p w14:paraId="160B1386" w14:textId="77777777" w:rsidR="007049A5" w:rsidRPr="004E4188" w:rsidRDefault="007049A5" w:rsidP="006C6267">
            <w:pPr>
              <w:tabs>
                <w:tab w:val="left" w:pos="5238"/>
                <w:tab w:val="left" w:pos="5474"/>
                <w:tab w:val="left" w:pos="9468"/>
              </w:tabs>
              <w:suppressAutoHyphens w:val="0"/>
              <w:overflowPunct/>
              <w:autoSpaceDE/>
              <w:autoSpaceDN/>
              <w:adjustRightInd/>
              <w:spacing w:after="60"/>
              <w:jc w:val="center"/>
              <w:textAlignment w:val="auto"/>
              <w:rPr>
                <w:b/>
                <w:bCs/>
                <w:iCs/>
                <w:lang w:eastAsia="ja-JP"/>
              </w:rPr>
            </w:pPr>
            <w:r w:rsidRPr="004E4188">
              <w:rPr>
                <w:b/>
                <w:bCs/>
                <w:iCs/>
                <w:lang w:eastAsia="ja-JP"/>
              </w:rPr>
              <w:t>Notes à l’intention du Maître d’ouvrage</w:t>
            </w:r>
          </w:p>
          <w:p w14:paraId="41F8BC1E" w14:textId="77777777" w:rsidR="007049A5" w:rsidRPr="004E4188" w:rsidRDefault="007049A5" w:rsidP="006C6267">
            <w:pPr>
              <w:tabs>
                <w:tab w:val="left" w:pos="5238"/>
                <w:tab w:val="left" w:pos="5474"/>
                <w:tab w:val="left" w:pos="9468"/>
              </w:tabs>
              <w:suppressAutoHyphens w:val="0"/>
              <w:overflowPunct/>
              <w:autoSpaceDE/>
              <w:autoSpaceDN/>
              <w:adjustRightInd/>
              <w:spacing w:after="60"/>
              <w:textAlignment w:val="auto"/>
              <w:rPr>
                <w:bCs/>
                <w:iCs/>
                <w:sz w:val="28"/>
              </w:rPr>
            </w:pPr>
            <w:r w:rsidRPr="004E4188">
              <w:rPr>
                <w:rFonts w:hint="eastAsia"/>
                <w:bCs/>
                <w:iCs/>
                <w:lang w:eastAsia="ja-JP"/>
              </w:rPr>
              <w:t>L</w:t>
            </w:r>
            <w:r w:rsidRPr="004E4188">
              <w:rPr>
                <w:bCs/>
                <w:iCs/>
                <w:lang w:eastAsia="ja-JP"/>
              </w:rPr>
              <w:t xml:space="preserve">e Maître d’ouvrage doit décrire brièvement mais le plus clairement possible les spécifications de soumission correspondantes auxquelles le Soumissionnaire devra se conformer. </w:t>
            </w:r>
          </w:p>
        </w:tc>
      </w:tr>
    </w:tbl>
    <w:p w14:paraId="37D42A5E" w14:textId="77777777" w:rsidR="007049A5" w:rsidRPr="004E4188" w:rsidRDefault="007049A5" w:rsidP="00207201">
      <w:pPr>
        <w:tabs>
          <w:tab w:val="left" w:pos="5238"/>
          <w:tab w:val="left" w:pos="5474"/>
          <w:tab w:val="left" w:pos="9468"/>
        </w:tabs>
        <w:suppressAutoHyphens w:val="0"/>
        <w:overflowPunct/>
        <w:autoSpaceDE/>
        <w:autoSpaceDN/>
        <w:adjustRightInd/>
        <w:jc w:val="left"/>
        <w:textAlignment w:val="auto"/>
        <w:rPr>
          <w:bCs/>
          <w:iCs/>
          <w:sz w:val="28"/>
        </w:rPr>
      </w:pPr>
    </w:p>
    <w:p w14:paraId="616A1A9C" w14:textId="44A97674" w:rsidR="007049A5" w:rsidRPr="004E4188" w:rsidRDefault="007049A5" w:rsidP="004A1EE1">
      <w:pPr>
        <w:jc w:val="center"/>
        <w:rPr>
          <w:i/>
        </w:rPr>
      </w:pPr>
      <w:r w:rsidRPr="004E4188">
        <w:t>[</w:t>
      </w:r>
      <w:r w:rsidRPr="004E4188">
        <w:rPr>
          <w:i/>
        </w:rPr>
        <w:t>Le Soumissionnaire doit indiquer les informations de l’organisation.</w:t>
      </w:r>
      <w:r w:rsidRPr="004E4188">
        <w:t>]</w:t>
      </w:r>
      <w:bookmarkEnd w:id="535"/>
    </w:p>
    <w:p w14:paraId="3E8BB0EF" w14:textId="77777777" w:rsidR="007049A5" w:rsidRPr="004E4188" w:rsidRDefault="007049A5" w:rsidP="006B07EA">
      <w:pPr>
        <w:pStyle w:val="SectionIVHeading2"/>
        <w:outlineLvl w:val="2"/>
        <w:rPr>
          <w:szCs w:val="28"/>
          <w:lang w:val="en-GB"/>
        </w:rPr>
      </w:pPr>
      <w:r w:rsidRPr="004E4188">
        <w:rPr>
          <w:lang w:val="fr-FR"/>
        </w:rPr>
        <w:br w:type="page"/>
      </w:r>
      <w:bookmarkStart w:id="536" w:name="_Toc112429311"/>
      <w:bookmarkStart w:id="537" w:name="_Toc327863870"/>
      <w:bookmarkStart w:id="538" w:name="_Toc349117743"/>
      <w:bookmarkStart w:id="539" w:name="_Toc357513218"/>
      <w:r w:rsidRPr="004E4188">
        <w:rPr>
          <w:lang w:val="en-GB"/>
        </w:rPr>
        <w:t>M</w:t>
      </w:r>
      <w:r w:rsidRPr="004E4188">
        <w:rPr>
          <w:rFonts w:hint="eastAsia"/>
          <w:lang w:val="en-GB"/>
        </w:rPr>
        <w:t>é</w:t>
      </w:r>
      <w:r w:rsidRPr="004E4188">
        <w:rPr>
          <w:lang w:val="en-GB"/>
        </w:rPr>
        <w:t>thodologie</w:t>
      </w:r>
      <w:r w:rsidRPr="004E4188">
        <w:rPr>
          <w:szCs w:val="28"/>
          <w:lang w:val="en-GB"/>
        </w:rPr>
        <w:t xml:space="preserve"> de conception</w:t>
      </w:r>
      <w:bookmarkEnd w:id="536"/>
    </w:p>
    <w:p w14:paraId="46193334" w14:textId="77777777" w:rsidR="006B07EA" w:rsidRPr="004E4188" w:rsidRDefault="006B07EA" w:rsidP="006B07EA">
      <w:pPr>
        <w:pStyle w:val="SectionIVHeading2"/>
        <w:spacing w:after="0"/>
        <w:rPr>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7049A5" w:rsidRPr="004E4188" w14:paraId="443D6E1F" w14:textId="77777777" w:rsidTr="006C6267">
        <w:tc>
          <w:tcPr>
            <w:tcW w:w="9219" w:type="dxa"/>
            <w:shd w:val="clear" w:color="auto" w:fill="auto"/>
          </w:tcPr>
          <w:p w14:paraId="100F87A2" w14:textId="77777777" w:rsidR="007049A5" w:rsidRPr="004E4188" w:rsidRDefault="007049A5" w:rsidP="006C6267">
            <w:pPr>
              <w:tabs>
                <w:tab w:val="left" w:pos="5238"/>
                <w:tab w:val="left" w:pos="5474"/>
                <w:tab w:val="left" w:pos="9468"/>
              </w:tabs>
              <w:spacing w:after="120"/>
              <w:jc w:val="center"/>
              <w:rPr>
                <w:b/>
                <w:szCs w:val="24"/>
                <w:lang w:eastAsia="ja-JP"/>
              </w:rPr>
            </w:pPr>
            <w:r w:rsidRPr="004E4188">
              <w:rPr>
                <w:b/>
                <w:szCs w:val="24"/>
                <w:lang w:eastAsia="ja-JP"/>
              </w:rPr>
              <w:t>Notes à l’intention du Maître d’ouvrage</w:t>
            </w:r>
          </w:p>
          <w:p w14:paraId="3ED31E47" w14:textId="77777777" w:rsidR="007049A5" w:rsidRPr="004E4188" w:rsidRDefault="007049A5" w:rsidP="006C6267">
            <w:pPr>
              <w:spacing w:after="60"/>
              <w:rPr>
                <w:i/>
                <w:szCs w:val="24"/>
                <w:lang w:eastAsia="ja-JP"/>
              </w:rPr>
            </w:pPr>
            <w:r w:rsidRPr="004E4188">
              <w:rPr>
                <w:szCs w:val="24"/>
              </w:rPr>
              <w:t>Le Maître d’ouvrage doit décrire brièvement mais le plus clairement possible les spécifications de soumission correspondantes auxquelles le Soumissionnaire devra se conformer.</w:t>
            </w:r>
          </w:p>
        </w:tc>
      </w:tr>
    </w:tbl>
    <w:p w14:paraId="03B67D6C" w14:textId="77777777" w:rsidR="007049A5" w:rsidRPr="004E4188" w:rsidRDefault="007049A5" w:rsidP="006C6267">
      <w:pPr>
        <w:ind w:left="1440"/>
        <w:jc w:val="center"/>
        <w:rPr>
          <w:i/>
          <w:szCs w:val="24"/>
          <w:lang w:eastAsia="ja-JP"/>
        </w:rPr>
      </w:pPr>
    </w:p>
    <w:p w14:paraId="0AF649C4" w14:textId="77777777" w:rsidR="007049A5" w:rsidRPr="004E4188" w:rsidRDefault="007049A5" w:rsidP="006C6267">
      <w:pPr>
        <w:jc w:val="center"/>
        <w:rPr>
          <w:i/>
          <w:szCs w:val="24"/>
          <w:lang w:eastAsia="ja-JP"/>
        </w:rPr>
      </w:pPr>
      <w:r w:rsidRPr="004E4188">
        <w:rPr>
          <w:szCs w:val="24"/>
          <w:lang w:eastAsia="ja-JP"/>
        </w:rPr>
        <w:t>[</w:t>
      </w:r>
      <w:r w:rsidRPr="004E4188">
        <w:rPr>
          <w:i/>
          <w:szCs w:val="24"/>
          <w:lang w:eastAsia="ja-JP"/>
        </w:rPr>
        <w:t>Le Soumissionnaire doit indiquer la m</w:t>
      </w:r>
      <w:r w:rsidRPr="004E4188">
        <w:rPr>
          <w:rFonts w:hint="eastAsia"/>
          <w:i/>
          <w:szCs w:val="24"/>
          <w:lang w:eastAsia="ja-JP"/>
        </w:rPr>
        <w:t>é</w:t>
      </w:r>
      <w:r w:rsidRPr="004E4188">
        <w:rPr>
          <w:i/>
          <w:szCs w:val="24"/>
          <w:lang w:eastAsia="ja-JP"/>
        </w:rPr>
        <w:t>thodologie de conception.</w:t>
      </w:r>
      <w:r w:rsidRPr="004E4188">
        <w:rPr>
          <w:szCs w:val="24"/>
          <w:lang w:eastAsia="ja-JP"/>
        </w:rPr>
        <w:t>]</w:t>
      </w:r>
    </w:p>
    <w:p w14:paraId="25789A27" w14:textId="77777777" w:rsidR="007049A5" w:rsidRPr="004E4188" w:rsidRDefault="007049A5">
      <w:pPr>
        <w:suppressAutoHyphens w:val="0"/>
        <w:overflowPunct/>
        <w:autoSpaceDE/>
        <w:autoSpaceDN/>
        <w:adjustRightInd/>
        <w:jc w:val="left"/>
        <w:textAlignment w:val="auto"/>
        <w:rPr>
          <w:b/>
          <w:sz w:val="36"/>
          <w:szCs w:val="36"/>
          <w:lang w:eastAsia="en-US"/>
        </w:rPr>
      </w:pPr>
      <w:r w:rsidRPr="004E4188">
        <w:br w:type="page"/>
      </w:r>
    </w:p>
    <w:p w14:paraId="1EBE9B9E" w14:textId="77777777" w:rsidR="007049A5" w:rsidRPr="004E4188" w:rsidRDefault="007049A5" w:rsidP="006C6267">
      <w:pPr>
        <w:pStyle w:val="SectionIVHeading2"/>
        <w:outlineLvl w:val="2"/>
        <w:rPr>
          <w:szCs w:val="28"/>
          <w:lang w:val="fr-FR" w:eastAsia="ja-JP"/>
        </w:rPr>
      </w:pPr>
      <w:bookmarkStart w:id="540" w:name="_Toc112429312"/>
      <w:r w:rsidRPr="004E4188">
        <w:rPr>
          <w:szCs w:val="28"/>
          <w:lang w:val="fr-FR"/>
        </w:rPr>
        <w:t>Méthode de réalisation</w:t>
      </w:r>
      <w:bookmarkEnd w:id="537"/>
      <w:bookmarkEnd w:id="538"/>
      <w:bookmarkEnd w:id="539"/>
      <w:bookmarkEnd w:id="540"/>
    </w:p>
    <w:p w14:paraId="1164C0E3" w14:textId="77777777" w:rsidR="007049A5" w:rsidRPr="004E4188" w:rsidRDefault="007049A5" w:rsidP="00122D67"/>
    <w:tbl>
      <w:tblPr>
        <w:tblStyle w:val="afb"/>
        <w:tblW w:w="0" w:type="auto"/>
        <w:tblLook w:val="04A0" w:firstRow="1" w:lastRow="0" w:firstColumn="1" w:lastColumn="0" w:noHBand="0" w:noVBand="1"/>
      </w:tblPr>
      <w:tblGrid>
        <w:gridCol w:w="8993"/>
      </w:tblGrid>
      <w:tr w:rsidR="007049A5" w:rsidRPr="004E4188" w14:paraId="38D6C901" w14:textId="77777777" w:rsidTr="006C6267">
        <w:tc>
          <w:tcPr>
            <w:tcW w:w="8993" w:type="dxa"/>
          </w:tcPr>
          <w:p w14:paraId="614878B0" w14:textId="77777777" w:rsidR="007049A5" w:rsidRPr="004E4188" w:rsidRDefault="007049A5" w:rsidP="006C6267">
            <w:pPr>
              <w:pStyle w:val="SectionIVHeader-2"/>
              <w:spacing w:after="60"/>
              <w:rPr>
                <w:sz w:val="24"/>
                <w:szCs w:val="24"/>
              </w:rPr>
            </w:pPr>
            <w:bookmarkStart w:id="541" w:name="_Toc86101633"/>
            <w:r w:rsidRPr="004E4188">
              <w:rPr>
                <w:sz w:val="24"/>
                <w:szCs w:val="24"/>
              </w:rPr>
              <w:t>Notes à l’intention du Maître d’ouvrage</w:t>
            </w:r>
            <w:bookmarkEnd w:id="541"/>
          </w:p>
          <w:p w14:paraId="344AE8EE" w14:textId="77777777" w:rsidR="007049A5" w:rsidRPr="004E4188" w:rsidRDefault="007049A5" w:rsidP="006C6267">
            <w:pPr>
              <w:pStyle w:val="SectionIVHeader-2"/>
              <w:spacing w:after="60"/>
              <w:jc w:val="both"/>
            </w:pPr>
            <w:bookmarkStart w:id="542" w:name="_Toc86101634"/>
            <w:r w:rsidRPr="004E4188">
              <w:rPr>
                <w:b w:val="0"/>
                <w:sz w:val="24"/>
                <w:szCs w:val="24"/>
              </w:rPr>
              <w:t>Le Maître d’ouvrage doit décrire brièvement mais le plus clairement possible les spécifications de soumission correspondantes auxquelles le Soumissionnaire devra se conformer.</w:t>
            </w:r>
            <w:bookmarkEnd w:id="542"/>
          </w:p>
        </w:tc>
      </w:tr>
    </w:tbl>
    <w:p w14:paraId="22E9FD56" w14:textId="77777777" w:rsidR="007049A5" w:rsidRPr="004E4188" w:rsidRDefault="007049A5" w:rsidP="00207201"/>
    <w:p w14:paraId="05A89B25" w14:textId="38534DC2" w:rsidR="007049A5" w:rsidRPr="004E4188" w:rsidRDefault="007049A5" w:rsidP="004A1EE1">
      <w:pPr>
        <w:jc w:val="center"/>
        <w:rPr>
          <w:i/>
        </w:rPr>
      </w:pPr>
      <w:r w:rsidRPr="004E4188">
        <w:t>[</w:t>
      </w:r>
      <w:r w:rsidRPr="004E4188">
        <w:rPr>
          <w:i/>
        </w:rPr>
        <w:t>Le Soumissionnaire doit indiquer la méthode de réalisation.</w:t>
      </w:r>
      <w:r w:rsidRPr="004E4188">
        <w:t>]</w:t>
      </w:r>
    </w:p>
    <w:p w14:paraId="3054982F" w14:textId="77777777" w:rsidR="007049A5" w:rsidRPr="004E4188" w:rsidRDefault="007049A5" w:rsidP="00122D67"/>
    <w:p w14:paraId="385F1053" w14:textId="77777777" w:rsidR="007049A5" w:rsidRPr="004E4188" w:rsidRDefault="007049A5" w:rsidP="006C6267">
      <w:pPr>
        <w:pStyle w:val="SectionIVHeading2"/>
        <w:outlineLvl w:val="2"/>
        <w:rPr>
          <w:szCs w:val="28"/>
          <w:lang w:val="fr-FR"/>
        </w:rPr>
      </w:pPr>
      <w:r w:rsidRPr="004E4188">
        <w:rPr>
          <w:lang w:val="fr-FR"/>
        </w:rPr>
        <w:br w:type="page"/>
      </w:r>
      <w:bookmarkStart w:id="543" w:name="_Toc327863871"/>
      <w:bookmarkStart w:id="544" w:name="_Toc349117744"/>
      <w:bookmarkStart w:id="545" w:name="_Toc357513219"/>
      <w:bookmarkStart w:id="546" w:name="_Toc112429313"/>
      <w:r w:rsidRPr="004E4188">
        <w:rPr>
          <w:lang w:val="en-GB"/>
        </w:rPr>
        <w:t>Programme</w:t>
      </w:r>
      <w:r w:rsidRPr="004E4188">
        <w:rPr>
          <w:szCs w:val="28"/>
          <w:lang w:val="fr-FR"/>
        </w:rPr>
        <w:t xml:space="preserve"> de mobilisation</w:t>
      </w:r>
      <w:bookmarkEnd w:id="543"/>
      <w:bookmarkEnd w:id="544"/>
      <w:bookmarkEnd w:id="545"/>
      <w:bookmarkEnd w:id="546"/>
    </w:p>
    <w:p w14:paraId="6EB32897" w14:textId="77777777" w:rsidR="006B07EA" w:rsidRPr="004E4188" w:rsidRDefault="006B07EA" w:rsidP="006B07EA">
      <w:pPr>
        <w:pStyle w:val="SectionIVHeading2"/>
        <w:spacing w:after="0"/>
        <w:jc w:val="left"/>
        <w:rPr>
          <w:szCs w:val="28"/>
          <w:lang w:val="fr-FR"/>
        </w:rPr>
      </w:pPr>
    </w:p>
    <w:tbl>
      <w:tblPr>
        <w:tblStyle w:val="afb"/>
        <w:tblW w:w="0" w:type="auto"/>
        <w:tblLook w:val="04A0" w:firstRow="1" w:lastRow="0" w:firstColumn="1" w:lastColumn="0" w:noHBand="0" w:noVBand="1"/>
      </w:tblPr>
      <w:tblGrid>
        <w:gridCol w:w="8993"/>
      </w:tblGrid>
      <w:tr w:rsidR="007049A5" w:rsidRPr="004E4188" w14:paraId="6168FA1B" w14:textId="77777777" w:rsidTr="006C6267">
        <w:tc>
          <w:tcPr>
            <w:tcW w:w="8993" w:type="dxa"/>
          </w:tcPr>
          <w:p w14:paraId="32022468" w14:textId="77777777" w:rsidR="007049A5" w:rsidRPr="004E4188" w:rsidRDefault="007049A5" w:rsidP="006C6267">
            <w:pPr>
              <w:tabs>
                <w:tab w:val="left" w:pos="5238"/>
                <w:tab w:val="left" w:pos="5474"/>
                <w:tab w:val="left" w:pos="9468"/>
              </w:tabs>
              <w:suppressAutoHyphens w:val="0"/>
              <w:overflowPunct/>
              <w:autoSpaceDE/>
              <w:autoSpaceDN/>
              <w:adjustRightInd/>
              <w:spacing w:after="120"/>
              <w:jc w:val="center"/>
              <w:textAlignment w:val="auto"/>
              <w:rPr>
                <w:b/>
                <w:bCs/>
                <w:iCs/>
                <w:lang w:eastAsia="ja-JP"/>
              </w:rPr>
            </w:pPr>
            <w:r w:rsidRPr="004E4188">
              <w:rPr>
                <w:b/>
                <w:bCs/>
                <w:iCs/>
                <w:lang w:eastAsia="ja-JP"/>
              </w:rPr>
              <w:t>Notes à l’intention du Maître d’ouvrage</w:t>
            </w:r>
          </w:p>
          <w:p w14:paraId="173B84F9" w14:textId="77777777" w:rsidR="007049A5" w:rsidRPr="004E4188" w:rsidRDefault="007049A5" w:rsidP="006C6267">
            <w:pPr>
              <w:suppressAutoHyphens w:val="0"/>
              <w:overflowPunct/>
              <w:autoSpaceDE/>
              <w:autoSpaceDN/>
              <w:adjustRightInd/>
              <w:spacing w:after="120"/>
              <w:textAlignment w:val="auto"/>
            </w:pPr>
            <w:bookmarkStart w:id="547" w:name="_Toc86101636"/>
            <w:r w:rsidRPr="004E4188">
              <w:rPr>
                <w:bCs/>
                <w:iCs/>
                <w:lang w:eastAsia="ja-JP"/>
              </w:rPr>
              <w:t>Le Maître d’ouvrage doit décrire brièvement mais le plus clairement possible les spécifications de soumission correspondantes auxquelles le Soumissionnaire devra se conformer.</w:t>
            </w:r>
            <w:bookmarkEnd w:id="547"/>
          </w:p>
        </w:tc>
      </w:tr>
    </w:tbl>
    <w:p w14:paraId="7495A95A" w14:textId="77777777" w:rsidR="007049A5" w:rsidRPr="004E4188" w:rsidRDefault="007049A5" w:rsidP="00122D67"/>
    <w:p w14:paraId="2C8EE126" w14:textId="0FEA0FAA" w:rsidR="007049A5" w:rsidRPr="004E4188" w:rsidRDefault="007049A5" w:rsidP="004A1EE1">
      <w:pPr>
        <w:jc w:val="center"/>
        <w:rPr>
          <w:i/>
        </w:rPr>
      </w:pPr>
      <w:r w:rsidRPr="004E4188">
        <w:t>[</w:t>
      </w:r>
      <w:r w:rsidR="00A96134" w:rsidRPr="004E4188">
        <w:rPr>
          <w:i/>
        </w:rPr>
        <w:t>Le Soumissionnaire doit indiquer</w:t>
      </w:r>
      <w:r w:rsidRPr="004E4188">
        <w:rPr>
          <w:i/>
        </w:rPr>
        <w:t xml:space="preserve"> le programme de mobilisation.</w:t>
      </w:r>
      <w:r w:rsidRPr="004E4188">
        <w:t>]</w:t>
      </w:r>
    </w:p>
    <w:p w14:paraId="00604799" w14:textId="21679A17" w:rsidR="007049A5" w:rsidRPr="004E4188" w:rsidRDefault="007049A5" w:rsidP="006C6267">
      <w:pPr>
        <w:pStyle w:val="SectionIVHeading2"/>
        <w:outlineLvl w:val="2"/>
        <w:rPr>
          <w:szCs w:val="28"/>
          <w:lang w:val="fr-FR"/>
        </w:rPr>
      </w:pPr>
      <w:r w:rsidRPr="004E4188">
        <w:rPr>
          <w:lang w:val="fr-FR"/>
        </w:rPr>
        <w:br w:type="page"/>
      </w:r>
      <w:bookmarkStart w:id="548" w:name="_Toc327863872"/>
      <w:bookmarkStart w:id="549" w:name="_Toc349117745"/>
      <w:bookmarkStart w:id="550" w:name="_Toc357513220"/>
      <w:bookmarkStart w:id="551" w:name="_Toc112429314"/>
      <w:r w:rsidRPr="004E4188">
        <w:rPr>
          <w:szCs w:val="28"/>
          <w:lang w:val="fr-FR"/>
        </w:rPr>
        <w:t xml:space="preserve">Programme de </w:t>
      </w:r>
      <w:r w:rsidRPr="004E4188">
        <w:rPr>
          <w:lang w:val="fr-FR"/>
        </w:rPr>
        <w:t>conception</w:t>
      </w:r>
      <w:r w:rsidRPr="004E4188">
        <w:rPr>
          <w:szCs w:val="28"/>
          <w:lang w:val="fr-FR"/>
        </w:rPr>
        <w:t>, fourniture et montage des équipements</w:t>
      </w:r>
      <w:bookmarkEnd w:id="548"/>
      <w:bookmarkEnd w:id="549"/>
      <w:bookmarkEnd w:id="550"/>
      <w:bookmarkEnd w:id="551"/>
    </w:p>
    <w:p w14:paraId="6A292742" w14:textId="77777777" w:rsidR="006B07EA" w:rsidRPr="004E4188" w:rsidRDefault="006B07EA" w:rsidP="006B07EA">
      <w:pPr>
        <w:pStyle w:val="SectionIVHeading2"/>
        <w:spacing w:after="0"/>
        <w:rPr>
          <w:szCs w:val="28"/>
          <w:lang w:val="fr-FR" w:eastAsia="ja-JP"/>
        </w:rPr>
      </w:pPr>
    </w:p>
    <w:tbl>
      <w:tblPr>
        <w:tblStyle w:val="afb"/>
        <w:tblW w:w="0" w:type="auto"/>
        <w:tblLook w:val="04A0" w:firstRow="1" w:lastRow="0" w:firstColumn="1" w:lastColumn="0" w:noHBand="0" w:noVBand="1"/>
      </w:tblPr>
      <w:tblGrid>
        <w:gridCol w:w="8993"/>
      </w:tblGrid>
      <w:tr w:rsidR="007049A5" w:rsidRPr="004E4188" w14:paraId="7EA23A5C" w14:textId="77777777" w:rsidTr="006C6267">
        <w:tc>
          <w:tcPr>
            <w:tcW w:w="8993" w:type="dxa"/>
          </w:tcPr>
          <w:p w14:paraId="08A7756D" w14:textId="77777777" w:rsidR="007049A5" w:rsidRPr="004E4188" w:rsidRDefault="007049A5" w:rsidP="006C6267">
            <w:pPr>
              <w:tabs>
                <w:tab w:val="left" w:pos="5238"/>
                <w:tab w:val="left" w:pos="5474"/>
                <w:tab w:val="left" w:pos="9468"/>
              </w:tabs>
              <w:spacing w:after="120"/>
              <w:jc w:val="center"/>
              <w:rPr>
                <w:b/>
                <w:bCs/>
                <w:iCs/>
                <w:szCs w:val="24"/>
                <w:lang w:eastAsia="ja-JP"/>
              </w:rPr>
            </w:pPr>
            <w:r w:rsidRPr="004E4188">
              <w:rPr>
                <w:rFonts w:hint="eastAsia"/>
                <w:b/>
                <w:bCs/>
                <w:iCs/>
                <w:szCs w:val="24"/>
                <w:lang w:eastAsia="ja-JP"/>
              </w:rPr>
              <w:t>N</w:t>
            </w:r>
            <w:r w:rsidRPr="004E4188">
              <w:rPr>
                <w:b/>
                <w:bCs/>
                <w:iCs/>
                <w:szCs w:val="24"/>
                <w:lang w:eastAsia="ja-JP"/>
              </w:rPr>
              <w:t>otes à l’intention du Maître d’ouvrage</w:t>
            </w:r>
          </w:p>
          <w:p w14:paraId="1B509CF6" w14:textId="77777777" w:rsidR="007049A5" w:rsidRPr="004E4188" w:rsidRDefault="007049A5" w:rsidP="006C6267">
            <w:pPr>
              <w:pStyle w:val="SectionIVHeader-2"/>
              <w:spacing w:after="120"/>
              <w:jc w:val="both"/>
            </w:pPr>
            <w:bookmarkStart w:id="552" w:name="_Toc86101638"/>
            <w:r w:rsidRPr="004E4188">
              <w:rPr>
                <w:b w:val="0"/>
                <w:bCs/>
                <w:iCs/>
                <w:sz w:val="24"/>
                <w:szCs w:val="24"/>
                <w:lang w:eastAsia="ja-JP"/>
              </w:rPr>
              <w:t>Le Maître d’ouvrage doit décrire brièvement mais le plus clairement possible les spécifications de soumission correspondantes auxquelles le Soumissionnaire devra se conformer.</w:t>
            </w:r>
            <w:bookmarkEnd w:id="552"/>
          </w:p>
        </w:tc>
      </w:tr>
    </w:tbl>
    <w:p w14:paraId="626DB2DC" w14:textId="77777777" w:rsidR="007049A5" w:rsidRPr="004E4188" w:rsidRDefault="007049A5" w:rsidP="00122D67"/>
    <w:p w14:paraId="25738847" w14:textId="33BDC30A" w:rsidR="007049A5" w:rsidRPr="004E4188" w:rsidRDefault="007049A5" w:rsidP="004A1EE1">
      <w:pPr>
        <w:jc w:val="center"/>
        <w:rPr>
          <w:i/>
        </w:rPr>
      </w:pPr>
      <w:r w:rsidRPr="004E4188">
        <w:t>[</w:t>
      </w:r>
      <w:r w:rsidRPr="004E4188">
        <w:rPr>
          <w:i/>
          <w:szCs w:val="24"/>
          <w:lang w:eastAsia="ja-JP"/>
        </w:rPr>
        <w:t>Le Soumissionnaire doit indiquer le programme de conception</w:t>
      </w:r>
      <w:r w:rsidRPr="004E4188">
        <w:rPr>
          <w:rFonts w:hint="eastAsia"/>
          <w:i/>
          <w:szCs w:val="24"/>
          <w:lang w:eastAsia="ja-JP"/>
        </w:rPr>
        <w:t>,</w:t>
      </w:r>
      <w:r w:rsidRPr="004E4188">
        <w:rPr>
          <w:i/>
          <w:szCs w:val="24"/>
          <w:lang w:eastAsia="ja-JP"/>
        </w:rPr>
        <w:t xml:space="preserve"> fourniture et montage des équipements.</w:t>
      </w:r>
      <w:r w:rsidRPr="004E4188">
        <w:t>]</w:t>
      </w:r>
    </w:p>
    <w:p w14:paraId="5C3FC3EA" w14:textId="11F02636" w:rsidR="007049A5" w:rsidRPr="004E4188" w:rsidRDefault="007049A5" w:rsidP="006C6267">
      <w:pPr>
        <w:pStyle w:val="SectionIVHeading2"/>
        <w:outlineLvl w:val="2"/>
        <w:rPr>
          <w:szCs w:val="28"/>
          <w:lang w:val="fr-FR" w:eastAsia="ja-JP"/>
        </w:rPr>
      </w:pPr>
      <w:r w:rsidRPr="004E4188">
        <w:rPr>
          <w:lang w:val="fr-FR"/>
        </w:rPr>
        <w:br w:type="page"/>
      </w:r>
      <w:bookmarkStart w:id="553" w:name="_Toc357513221"/>
      <w:bookmarkStart w:id="554" w:name="_Toc112429315"/>
      <w:bookmarkStart w:id="555" w:name="_Toc349117746"/>
      <w:r w:rsidR="00DF4FF1" w:rsidRPr="004E4188">
        <w:rPr>
          <w:lang w:val="fr-FR"/>
        </w:rPr>
        <w:t>É</w:t>
      </w:r>
      <w:r w:rsidRPr="004E4188">
        <w:rPr>
          <w:lang w:val="fr-FR"/>
        </w:rPr>
        <w:t>quipements</w:t>
      </w:r>
      <w:bookmarkEnd w:id="553"/>
      <w:r w:rsidRPr="004E4188">
        <w:rPr>
          <w:rFonts w:hint="eastAsia"/>
          <w:szCs w:val="28"/>
          <w:lang w:val="fr-FR" w:eastAsia="ja-JP"/>
        </w:rPr>
        <w:t xml:space="preserve"> </w:t>
      </w:r>
      <w:r w:rsidRPr="004E4188">
        <w:rPr>
          <w:lang w:val="fr-FR"/>
        </w:rPr>
        <w:t>proposés</w:t>
      </w:r>
      <w:r w:rsidRPr="004E4188">
        <w:rPr>
          <w:szCs w:val="28"/>
          <w:lang w:val="fr-FR" w:eastAsia="ja-JP"/>
        </w:rPr>
        <w:t xml:space="preserve"> devant être fournis et montés</w:t>
      </w:r>
      <w:bookmarkEnd w:id="554"/>
    </w:p>
    <w:p w14:paraId="47D3F94D" w14:textId="77777777" w:rsidR="006B07EA" w:rsidRPr="004E4188" w:rsidRDefault="006B07EA" w:rsidP="006B07EA">
      <w:pPr>
        <w:pStyle w:val="SectionIVHeading2"/>
        <w:spacing w:after="0"/>
        <w:rPr>
          <w:szCs w:val="28"/>
          <w:lang w:val="fr-FR" w:eastAsia="ja-JP"/>
        </w:rPr>
      </w:pPr>
    </w:p>
    <w:tbl>
      <w:tblPr>
        <w:tblStyle w:val="afb"/>
        <w:tblW w:w="0" w:type="auto"/>
        <w:tblLook w:val="04A0" w:firstRow="1" w:lastRow="0" w:firstColumn="1" w:lastColumn="0" w:noHBand="0" w:noVBand="1"/>
      </w:tblPr>
      <w:tblGrid>
        <w:gridCol w:w="8993"/>
      </w:tblGrid>
      <w:tr w:rsidR="007049A5" w:rsidRPr="004E4188" w14:paraId="1F344C86" w14:textId="77777777" w:rsidTr="006C6267">
        <w:tc>
          <w:tcPr>
            <w:tcW w:w="8993" w:type="dxa"/>
          </w:tcPr>
          <w:p w14:paraId="154BC3B9" w14:textId="77777777" w:rsidR="007049A5" w:rsidRPr="004E4188" w:rsidRDefault="007049A5" w:rsidP="006C6267">
            <w:pPr>
              <w:tabs>
                <w:tab w:val="left" w:pos="5238"/>
                <w:tab w:val="left" w:pos="5474"/>
                <w:tab w:val="left" w:pos="9468"/>
              </w:tabs>
              <w:spacing w:after="120"/>
              <w:jc w:val="center"/>
              <w:rPr>
                <w:b/>
                <w:bCs/>
                <w:iCs/>
                <w:szCs w:val="24"/>
                <w:lang w:eastAsia="ja-JP"/>
              </w:rPr>
            </w:pPr>
            <w:r w:rsidRPr="004E4188">
              <w:rPr>
                <w:rFonts w:hint="eastAsia"/>
                <w:b/>
                <w:bCs/>
                <w:iCs/>
                <w:szCs w:val="24"/>
                <w:lang w:eastAsia="ja-JP"/>
              </w:rPr>
              <w:t>N</w:t>
            </w:r>
            <w:r w:rsidRPr="004E4188">
              <w:rPr>
                <w:b/>
                <w:bCs/>
                <w:iCs/>
                <w:szCs w:val="24"/>
                <w:lang w:eastAsia="ja-JP"/>
              </w:rPr>
              <w:t>otes à l’intention du Maître d’ouvrage</w:t>
            </w:r>
          </w:p>
          <w:p w14:paraId="16A05046" w14:textId="77777777" w:rsidR="007049A5" w:rsidRPr="004E4188" w:rsidRDefault="007049A5" w:rsidP="006C6267">
            <w:pPr>
              <w:pStyle w:val="SectionIVHeader-2"/>
              <w:spacing w:after="120"/>
              <w:jc w:val="both"/>
            </w:pPr>
            <w:bookmarkStart w:id="556" w:name="_Toc86101640"/>
            <w:r w:rsidRPr="004E4188">
              <w:rPr>
                <w:b w:val="0"/>
                <w:bCs/>
                <w:iCs/>
                <w:sz w:val="24"/>
                <w:szCs w:val="24"/>
                <w:lang w:eastAsia="ja-JP"/>
              </w:rPr>
              <w:t>Le Maître d’ouvrage doit décrire brièvement mais le plus clairement possible les spécifications de soumission correspondantes auxquelles le Soumissionnaire devra se conformer.</w:t>
            </w:r>
            <w:bookmarkEnd w:id="556"/>
          </w:p>
        </w:tc>
      </w:tr>
    </w:tbl>
    <w:p w14:paraId="346861E9" w14:textId="77777777" w:rsidR="007049A5" w:rsidRPr="004E4188" w:rsidRDefault="007049A5" w:rsidP="0018206C"/>
    <w:p w14:paraId="23544F90" w14:textId="50D9485D" w:rsidR="007049A5" w:rsidRPr="004E4188" w:rsidRDefault="007049A5" w:rsidP="0018206C">
      <w:pPr>
        <w:jc w:val="center"/>
      </w:pPr>
      <w:r w:rsidRPr="004E4188">
        <w:t>[</w:t>
      </w:r>
      <w:r w:rsidRPr="004E4188">
        <w:rPr>
          <w:i/>
          <w:szCs w:val="24"/>
          <w:lang w:eastAsia="ja-JP"/>
        </w:rPr>
        <w:t>Le Soumissionnaire doit donner une description des équipements devant être fournis et montés.</w:t>
      </w:r>
      <w:r w:rsidRPr="004E4188">
        <w:t>]</w:t>
      </w:r>
    </w:p>
    <w:p w14:paraId="747D0A4C" w14:textId="77777777" w:rsidR="007049A5" w:rsidRPr="004E4188" w:rsidRDefault="007049A5" w:rsidP="006C6267">
      <w:pPr>
        <w:pStyle w:val="SectionIVHeading2"/>
        <w:outlineLvl w:val="2"/>
        <w:rPr>
          <w:szCs w:val="28"/>
          <w:lang w:val="fr-FR"/>
        </w:rPr>
      </w:pPr>
      <w:r w:rsidRPr="004E4188">
        <w:rPr>
          <w:lang w:val="fr-FR"/>
        </w:rPr>
        <w:br w:type="page"/>
      </w:r>
      <w:bookmarkStart w:id="557" w:name="_Toc357513222"/>
      <w:bookmarkStart w:id="558" w:name="_Toc112429316"/>
      <w:r w:rsidRPr="004E4188">
        <w:rPr>
          <w:szCs w:val="28"/>
          <w:lang w:val="fr-FR"/>
        </w:rPr>
        <w:t xml:space="preserve">Plan de </w:t>
      </w:r>
      <w:r w:rsidRPr="004E4188">
        <w:rPr>
          <w:lang w:val="fr-FR"/>
        </w:rPr>
        <w:t>santé</w:t>
      </w:r>
      <w:r w:rsidRPr="004E4188">
        <w:rPr>
          <w:szCs w:val="28"/>
          <w:lang w:val="fr-FR"/>
        </w:rPr>
        <w:t xml:space="preserve"> et de sécurité</w:t>
      </w:r>
      <w:bookmarkEnd w:id="555"/>
      <w:bookmarkEnd w:id="557"/>
      <w:bookmarkEnd w:id="558"/>
    </w:p>
    <w:p w14:paraId="53DA8D81" w14:textId="77777777" w:rsidR="006B07EA" w:rsidRPr="004E4188" w:rsidRDefault="006B07EA" w:rsidP="006B07EA">
      <w:pPr>
        <w:pStyle w:val="SectionIVHeading2"/>
        <w:spacing w:after="0"/>
        <w:rPr>
          <w:szCs w:val="28"/>
          <w:lang w:val="fr-FR"/>
        </w:rPr>
      </w:pPr>
    </w:p>
    <w:tbl>
      <w:tblPr>
        <w:tblStyle w:val="afb"/>
        <w:tblW w:w="0" w:type="auto"/>
        <w:tblLook w:val="04A0" w:firstRow="1" w:lastRow="0" w:firstColumn="1" w:lastColumn="0" w:noHBand="0" w:noVBand="1"/>
      </w:tblPr>
      <w:tblGrid>
        <w:gridCol w:w="8993"/>
      </w:tblGrid>
      <w:tr w:rsidR="007049A5" w:rsidRPr="004E4188" w14:paraId="17C1AB77" w14:textId="77777777" w:rsidTr="006C6267">
        <w:tc>
          <w:tcPr>
            <w:tcW w:w="8993" w:type="dxa"/>
          </w:tcPr>
          <w:p w14:paraId="7C00EE48" w14:textId="77777777" w:rsidR="007049A5" w:rsidRPr="004E4188" w:rsidRDefault="007049A5" w:rsidP="006C6267">
            <w:pPr>
              <w:tabs>
                <w:tab w:val="left" w:pos="5238"/>
                <w:tab w:val="left" w:pos="5474"/>
                <w:tab w:val="left" w:pos="9468"/>
              </w:tabs>
              <w:spacing w:after="120"/>
              <w:jc w:val="center"/>
              <w:rPr>
                <w:b/>
                <w:bCs/>
                <w:iCs/>
                <w:szCs w:val="24"/>
                <w:lang w:eastAsia="ja-JP"/>
              </w:rPr>
            </w:pPr>
            <w:r w:rsidRPr="004E4188">
              <w:rPr>
                <w:rFonts w:hint="eastAsia"/>
                <w:b/>
                <w:bCs/>
                <w:iCs/>
                <w:szCs w:val="24"/>
                <w:lang w:eastAsia="ja-JP"/>
              </w:rPr>
              <w:t>N</w:t>
            </w:r>
            <w:r w:rsidRPr="004E4188">
              <w:rPr>
                <w:b/>
                <w:bCs/>
                <w:iCs/>
                <w:szCs w:val="24"/>
                <w:lang w:eastAsia="ja-JP"/>
              </w:rPr>
              <w:t>otes à l’intention du Maître d’ouvrage</w:t>
            </w:r>
          </w:p>
          <w:p w14:paraId="4AC236EB" w14:textId="77777777" w:rsidR="007049A5" w:rsidRPr="004E4188" w:rsidRDefault="007049A5" w:rsidP="006C6267">
            <w:pPr>
              <w:pStyle w:val="SectionIVHeader-2"/>
              <w:spacing w:after="120"/>
              <w:jc w:val="both"/>
            </w:pPr>
            <w:r w:rsidRPr="004E4188">
              <w:rPr>
                <w:b w:val="0"/>
                <w:bCs/>
                <w:iCs/>
                <w:sz w:val="24"/>
                <w:szCs w:val="24"/>
                <w:lang w:eastAsia="ja-JP"/>
              </w:rPr>
              <w:t>Le Maître d’ouvrage doit décrire brièvement mais le plus clairement possible les spécifications de soumission correspondantes auxquelles le Soumissionnaire devra se conformer.</w:t>
            </w:r>
          </w:p>
        </w:tc>
      </w:tr>
    </w:tbl>
    <w:p w14:paraId="7BDBC2C1" w14:textId="77777777" w:rsidR="007049A5" w:rsidRPr="004E4188" w:rsidRDefault="007049A5" w:rsidP="006C3B7A"/>
    <w:p w14:paraId="6A722D97" w14:textId="17C4F9D4" w:rsidR="007049A5" w:rsidRPr="004E4188" w:rsidRDefault="007049A5" w:rsidP="004A1EE1">
      <w:pPr>
        <w:jc w:val="center"/>
        <w:rPr>
          <w:i/>
        </w:rPr>
      </w:pPr>
      <w:r w:rsidRPr="004E4188">
        <w:t>[</w:t>
      </w:r>
      <w:r w:rsidRPr="004E4188">
        <w:rPr>
          <w:i/>
          <w:szCs w:val="24"/>
          <w:lang w:eastAsia="ja-JP"/>
        </w:rPr>
        <w:t>Le Soumissionnaire doit indiquer le plan de santé et de sécurité.</w:t>
      </w:r>
      <w:r w:rsidRPr="004E4188">
        <w:t>]</w:t>
      </w:r>
    </w:p>
    <w:p w14:paraId="394BE335" w14:textId="77777777" w:rsidR="007049A5" w:rsidRPr="004E4188" w:rsidRDefault="007049A5" w:rsidP="006C6267">
      <w:pPr>
        <w:pStyle w:val="SectionIVHeading2"/>
        <w:outlineLvl w:val="2"/>
        <w:rPr>
          <w:lang w:val="en-GB" w:eastAsia="ja-JP"/>
        </w:rPr>
      </w:pPr>
      <w:r w:rsidRPr="004E4188">
        <w:rPr>
          <w:lang w:val="fr-FR"/>
        </w:rPr>
        <w:br w:type="page"/>
      </w:r>
      <w:bookmarkStart w:id="559" w:name="_Toc86100071"/>
      <w:bookmarkStart w:id="560" w:name="_Toc86101641"/>
      <w:bookmarkStart w:id="561" w:name="_Toc89380396"/>
      <w:bookmarkStart w:id="562" w:name="_Toc89383058"/>
      <w:bookmarkStart w:id="563" w:name="_Toc89413074"/>
      <w:bookmarkStart w:id="564" w:name="_Toc89423488"/>
      <w:bookmarkStart w:id="565" w:name="_Toc112429317"/>
      <w:bookmarkStart w:id="566" w:name="_Toc357513223"/>
      <w:r w:rsidRPr="004E4188">
        <w:rPr>
          <w:lang w:val="en-GB" w:eastAsia="ja-JP"/>
        </w:rPr>
        <w:t>Plan</w:t>
      </w:r>
      <w:r w:rsidRPr="004E4188">
        <w:rPr>
          <w:szCs w:val="28"/>
          <w:lang w:val="en-US"/>
        </w:rPr>
        <w:t xml:space="preserve"> </w:t>
      </w:r>
      <w:r w:rsidRPr="004E4188">
        <w:rPr>
          <w:lang w:val="en-GB" w:eastAsia="ja-JP"/>
        </w:rPr>
        <w:t>environnemental</w:t>
      </w:r>
      <w:bookmarkEnd w:id="559"/>
      <w:bookmarkEnd w:id="560"/>
      <w:bookmarkEnd w:id="561"/>
      <w:bookmarkEnd w:id="562"/>
      <w:bookmarkEnd w:id="563"/>
      <w:bookmarkEnd w:id="564"/>
      <w:bookmarkEnd w:id="565"/>
    </w:p>
    <w:p w14:paraId="027379EA" w14:textId="77777777" w:rsidR="006B07EA" w:rsidRPr="004E4188" w:rsidRDefault="006B07EA" w:rsidP="006B07EA">
      <w:pPr>
        <w:pStyle w:val="SectionIVHeading2"/>
        <w:spacing w:after="0"/>
        <w:rPr>
          <w:szCs w:val="28"/>
          <w:lang w:val="en-US"/>
        </w:rPr>
      </w:pPr>
    </w:p>
    <w:tbl>
      <w:tblPr>
        <w:tblStyle w:val="afb"/>
        <w:tblW w:w="0" w:type="auto"/>
        <w:tblLook w:val="04A0" w:firstRow="1" w:lastRow="0" w:firstColumn="1" w:lastColumn="0" w:noHBand="0" w:noVBand="1"/>
      </w:tblPr>
      <w:tblGrid>
        <w:gridCol w:w="8993"/>
      </w:tblGrid>
      <w:tr w:rsidR="007049A5" w:rsidRPr="004E4188" w14:paraId="3076480D" w14:textId="77777777" w:rsidTr="006C6267">
        <w:tc>
          <w:tcPr>
            <w:tcW w:w="9350" w:type="dxa"/>
          </w:tcPr>
          <w:p w14:paraId="2F582A91" w14:textId="77777777" w:rsidR="007049A5" w:rsidRPr="004E4188" w:rsidRDefault="007049A5" w:rsidP="006C6267">
            <w:pPr>
              <w:tabs>
                <w:tab w:val="left" w:pos="5238"/>
                <w:tab w:val="left" w:pos="5474"/>
                <w:tab w:val="left" w:pos="9468"/>
              </w:tabs>
              <w:spacing w:after="120"/>
              <w:jc w:val="center"/>
              <w:rPr>
                <w:b/>
                <w:bCs/>
                <w:iCs/>
                <w:szCs w:val="24"/>
                <w:lang w:eastAsia="ja-JP"/>
              </w:rPr>
            </w:pPr>
            <w:r w:rsidRPr="004E4188">
              <w:rPr>
                <w:rFonts w:hint="eastAsia"/>
                <w:b/>
                <w:bCs/>
                <w:iCs/>
                <w:szCs w:val="24"/>
                <w:lang w:eastAsia="ja-JP"/>
              </w:rPr>
              <w:t>N</w:t>
            </w:r>
            <w:r w:rsidRPr="004E4188">
              <w:rPr>
                <w:b/>
                <w:bCs/>
                <w:iCs/>
                <w:szCs w:val="24"/>
                <w:lang w:eastAsia="ja-JP"/>
              </w:rPr>
              <w:t>otes à l’intention du Maître d’ouvrage</w:t>
            </w:r>
          </w:p>
          <w:p w14:paraId="6465CCFF" w14:textId="77777777" w:rsidR="007049A5" w:rsidRPr="004E4188" w:rsidRDefault="007049A5" w:rsidP="006C6267">
            <w:pPr>
              <w:pStyle w:val="SectionIVHeader-2"/>
              <w:spacing w:after="60"/>
              <w:jc w:val="both"/>
              <w:rPr>
                <w:b w:val="0"/>
              </w:rPr>
            </w:pPr>
            <w:bookmarkStart w:id="567" w:name="_Toc86101642"/>
            <w:r w:rsidRPr="004E4188">
              <w:rPr>
                <w:rFonts w:hint="eastAsia"/>
                <w:b w:val="0"/>
                <w:bCs/>
                <w:iCs/>
                <w:sz w:val="24"/>
                <w:szCs w:val="24"/>
                <w:lang w:eastAsia="ja-JP"/>
              </w:rPr>
              <w:t>L</w:t>
            </w:r>
            <w:r w:rsidRPr="004E4188">
              <w:rPr>
                <w:b w:val="0"/>
                <w:bCs/>
                <w:iCs/>
                <w:sz w:val="24"/>
                <w:szCs w:val="24"/>
                <w:lang w:eastAsia="ja-JP"/>
              </w:rPr>
              <w:t>e Maître d’ouvrage doit décrire brièvement mais le plus clairement possible les spécifications de soumission correspondantes auxquelles le Soumissionnaire devra se conformer.</w:t>
            </w:r>
            <w:bookmarkEnd w:id="567"/>
          </w:p>
        </w:tc>
      </w:tr>
    </w:tbl>
    <w:p w14:paraId="44B6E666" w14:textId="77777777" w:rsidR="007049A5" w:rsidRPr="004E4188" w:rsidRDefault="007049A5" w:rsidP="006C6267">
      <w:pPr>
        <w:rPr>
          <w:i/>
          <w:szCs w:val="24"/>
          <w:lang w:eastAsia="ja-JP"/>
        </w:rPr>
      </w:pPr>
    </w:p>
    <w:p w14:paraId="37B1C26E" w14:textId="77777777" w:rsidR="007049A5" w:rsidRPr="004E4188" w:rsidRDefault="007049A5" w:rsidP="006C6267">
      <w:pPr>
        <w:jc w:val="center"/>
        <w:rPr>
          <w:i/>
          <w:szCs w:val="24"/>
          <w:lang w:eastAsia="ja-JP"/>
        </w:rPr>
      </w:pPr>
      <w:r w:rsidRPr="004E4188">
        <w:rPr>
          <w:rFonts w:hint="eastAsia"/>
          <w:szCs w:val="24"/>
          <w:lang w:eastAsia="ja-JP"/>
        </w:rPr>
        <w:t>[</w:t>
      </w:r>
      <w:r w:rsidRPr="004E4188">
        <w:rPr>
          <w:i/>
          <w:szCs w:val="24"/>
          <w:lang w:eastAsia="ja-JP"/>
        </w:rPr>
        <w:t>Le Soumissionnaire doit indiquer le plan environnemental.</w:t>
      </w:r>
      <w:r w:rsidRPr="004E4188">
        <w:rPr>
          <w:rFonts w:hint="eastAsia"/>
          <w:szCs w:val="24"/>
          <w:lang w:eastAsia="ja-JP"/>
        </w:rPr>
        <w:t>]</w:t>
      </w:r>
    </w:p>
    <w:p w14:paraId="397CB49A" w14:textId="77777777" w:rsidR="007049A5" w:rsidRPr="004E4188" w:rsidRDefault="007049A5" w:rsidP="006C6267">
      <w:pPr>
        <w:jc w:val="center"/>
        <w:rPr>
          <w:i/>
          <w:szCs w:val="24"/>
          <w:lang w:eastAsia="ja-JP"/>
        </w:rPr>
      </w:pPr>
    </w:p>
    <w:p w14:paraId="00294C18" w14:textId="77777777" w:rsidR="007049A5" w:rsidRPr="004E4188" w:rsidRDefault="007049A5" w:rsidP="006C6267">
      <w:pPr>
        <w:jc w:val="center"/>
        <w:rPr>
          <w:i/>
          <w:szCs w:val="24"/>
          <w:lang w:eastAsia="ja-JP"/>
        </w:rPr>
      </w:pPr>
    </w:p>
    <w:p w14:paraId="4B58E785" w14:textId="77777777" w:rsidR="007049A5" w:rsidRPr="004E4188" w:rsidRDefault="007049A5">
      <w:pPr>
        <w:suppressAutoHyphens w:val="0"/>
        <w:overflowPunct/>
        <w:autoSpaceDE/>
        <w:autoSpaceDN/>
        <w:adjustRightInd/>
        <w:jc w:val="left"/>
        <w:textAlignment w:val="auto"/>
        <w:rPr>
          <w:szCs w:val="24"/>
          <w:lang w:eastAsia="ja-JP"/>
        </w:rPr>
      </w:pPr>
      <w:r w:rsidRPr="004E4188">
        <w:rPr>
          <w:szCs w:val="24"/>
          <w:lang w:eastAsia="ja-JP"/>
        </w:rPr>
        <w:br w:type="page"/>
      </w:r>
    </w:p>
    <w:p w14:paraId="78E41B80" w14:textId="7AB0E6D2" w:rsidR="007049A5" w:rsidRPr="004E4188" w:rsidRDefault="007049A5" w:rsidP="006C6267">
      <w:pPr>
        <w:pStyle w:val="SectionIVHeading2"/>
        <w:outlineLvl w:val="2"/>
        <w:rPr>
          <w:lang w:val="fr-FR"/>
        </w:rPr>
      </w:pPr>
      <w:bookmarkStart w:id="568" w:name="_Toc112429318"/>
      <w:r w:rsidRPr="004E4188">
        <w:rPr>
          <w:sz w:val="32"/>
          <w:szCs w:val="32"/>
          <w:lang w:val="en-GB"/>
        </w:rPr>
        <w:t>Formulaire GAR</w:t>
      </w:r>
      <w:bookmarkStart w:id="569" w:name="_Toc103933479"/>
      <w:r w:rsidR="007E31D0" w:rsidRPr="004E4188">
        <w:rPr>
          <w:sz w:val="32"/>
          <w:szCs w:val="32"/>
          <w:lang w:val="en-GB"/>
        </w:rPr>
        <w:br/>
      </w:r>
      <w:r w:rsidRPr="004E4188">
        <w:rPr>
          <w:sz w:val="32"/>
          <w:szCs w:val="32"/>
          <w:lang w:val="en-GB"/>
        </w:rPr>
        <w:t>Garanties opérationnelles</w:t>
      </w:r>
      <w:bookmarkEnd w:id="568"/>
      <w:r w:rsidRPr="004E4188">
        <w:rPr>
          <w:lang w:val="fr-FR" w:eastAsia="ja-JP"/>
        </w:rPr>
        <w:br/>
      </w:r>
      <w:bookmarkEnd w:id="566"/>
      <w:bookmarkEnd w:id="569"/>
    </w:p>
    <w:tbl>
      <w:tblPr>
        <w:tblStyle w:val="afb"/>
        <w:tblW w:w="0" w:type="auto"/>
        <w:tblLook w:val="04A0" w:firstRow="1" w:lastRow="0" w:firstColumn="1" w:lastColumn="0" w:noHBand="0" w:noVBand="1"/>
      </w:tblPr>
      <w:tblGrid>
        <w:gridCol w:w="8993"/>
      </w:tblGrid>
      <w:tr w:rsidR="007049A5" w:rsidRPr="004E4188" w14:paraId="5AD24FF0" w14:textId="77777777" w:rsidTr="006C6267">
        <w:tc>
          <w:tcPr>
            <w:tcW w:w="8993" w:type="dxa"/>
          </w:tcPr>
          <w:p w14:paraId="61FFE9EB" w14:textId="77777777" w:rsidR="007049A5" w:rsidRPr="004E4188" w:rsidRDefault="007049A5" w:rsidP="006C6267">
            <w:pPr>
              <w:tabs>
                <w:tab w:val="left" w:pos="5238"/>
                <w:tab w:val="left" w:pos="5474"/>
                <w:tab w:val="left" w:pos="9468"/>
              </w:tabs>
              <w:spacing w:after="120"/>
              <w:jc w:val="center"/>
              <w:rPr>
                <w:b/>
                <w:szCs w:val="24"/>
                <w:lang w:eastAsia="ja-JP"/>
              </w:rPr>
            </w:pPr>
            <w:r w:rsidRPr="004E4188">
              <w:rPr>
                <w:b/>
                <w:bCs/>
                <w:iCs/>
                <w:szCs w:val="24"/>
                <w:lang w:eastAsia="ja-JP"/>
              </w:rPr>
              <w:t>Notes à l’intention du Maître d’ouvrage</w:t>
            </w:r>
          </w:p>
          <w:p w14:paraId="31BDD648" w14:textId="77777777" w:rsidR="007049A5" w:rsidRPr="004E4188" w:rsidRDefault="007049A5" w:rsidP="006C6267">
            <w:pPr>
              <w:pStyle w:val="SectionIVHeader-2"/>
              <w:spacing w:after="120"/>
              <w:jc w:val="both"/>
              <w:rPr>
                <w:b w:val="0"/>
              </w:rPr>
            </w:pPr>
            <w:r w:rsidRPr="004E4188">
              <w:rPr>
                <w:rStyle w:val="Table"/>
                <w:rFonts w:ascii="Times New Roman" w:hAnsi="Times New Roman"/>
                <w:b w:val="0"/>
                <w:spacing w:val="-2"/>
                <w:sz w:val="24"/>
                <w:szCs w:val="24"/>
              </w:rPr>
              <w:t xml:space="preserve">Le Maître d’ouvrage doit indiquer dans la colonne de gauche du tableau ci-dessous la définition de chaque garantie </w:t>
            </w:r>
            <w:r w:rsidRPr="004E4188">
              <w:rPr>
                <w:b w:val="0"/>
                <w:sz w:val="24"/>
                <w:szCs w:val="24"/>
              </w:rPr>
              <w:t>opérationnelle</w:t>
            </w:r>
            <w:r w:rsidRPr="004E4188">
              <w:rPr>
                <w:rStyle w:val="Table"/>
                <w:rFonts w:ascii="Times New Roman" w:hAnsi="Times New Roman"/>
                <w:b w:val="0"/>
                <w:spacing w:val="-2"/>
                <w:sz w:val="24"/>
                <w:szCs w:val="24"/>
              </w:rPr>
              <w:t xml:space="preserve"> requise dans </w:t>
            </w:r>
            <w:r w:rsidRPr="004E4188">
              <w:rPr>
                <w:b w:val="0"/>
                <w:sz w:val="24"/>
                <w:szCs w:val="24"/>
              </w:rPr>
              <w:t xml:space="preserve">les Exigences du Maître d’ouvrage et précisée par le </w:t>
            </w:r>
            <w:r w:rsidRPr="004E4188">
              <w:rPr>
                <w:rStyle w:val="Table"/>
                <w:rFonts w:ascii="Times New Roman" w:hAnsi="Times New Roman"/>
                <w:b w:val="0"/>
                <w:spacing w:val="-2"/>
                <w:sz w:val="24"/>
                <w:szCs w:val="24"/>
              </w:rPr>
              <w:t xml:space="preserve">Maître d’ouvrage au Critère </w:t>
            </w:r>
            <w:r w:rsidRPr="004E4188">
              <w:rPr>
                <w:rStyle w:val="Table"/>
                <w:rFonts w:ascii="Times New Roman" w:hAnsi="Times New Roman"/>
                <w:b w:val="0"/>
                <w:spacing w:val="-2"/>
                <w:sz w:val="24"/>
                <w:szCs w:val="24"/>
                <w:lang w:eastAsia="ja-JP"/>
              </w:rPr>
              <w:t>1.2.1(b) de la Section III, Critères d’évaluation et de qualification.</w:t>
            </w:r>
          </w:p>
        </w:tc>
      </w:tr>
    </w:tbl>
    <w:p w14:paraId="5151847A" w14:textId="77777777" w:rsidR="007049A5" w:rsidRPr="004E4188" w:rsidRDefault="007049A5" w:rsidP="0018206C"/>
    <w:p w14:paraId="3F541170" w14:textId="77777777" w:rsidR="007049A5" w:rsidRPr="004E4188" w:rsidRDefault="007049A5" w:rsidP="0018206C">
      <w:pPr>
        <w:rPr>
          <w:lang w:eastAsia="ja-JP"/>
        </w:rPr>
      </w:pPr>
    </w:p>
    <w:p w14:paraId="172DDCB7" w14:textId="726A8B35" w:rsidR="007049A5" w:rsidRPr="004E4188" w:rsidRDefault="007049A5" w:rsidP="0018206C">
      <w:r w:rsidRPr="004E4188">
        <w:t>[</w:t>
      </w:r>
      <w:r w:rsidRPr="004E4188">
        <w:rPr>
          <w:i/>
        </w:rPr>
        <w:t>Le Soumissionnaire doit fournir dans la colonne de droite du tableau,</w:t>
      </w:r>
      <w:r w:rsidR="00D36F84" w:rsidRPr="004E4188">
        <w:rPr>
          <w:i/>
        </w:rPr>
        <w:t xml:space="preserve"> </w:t>
      </w:r>
      <w:r w:rsidRPr="004E4188">
        <w:rPr>
          <w:i/>
        </w:rPr>
        <w:t>la valeur correspondante pour chaque garantie opérationnelle des équipements proposés. Ce formulaire GAR doit être lu en combinaison avec l’Annexe 8, Garanties opérationnelle, de l’Acte d’engagement.</w:t>
      </w:r>
      <w:r w:rsidRPr="004E4188">
        <w:t>]</w:t>
      </w:r>
    </w:p>
    <w:p w14:paraId="557928F4" w14:textId="77777777" w:rsidR="007049A5" w:rsidRPr="004E4188" w:rsidRDefault="007049A5" w:rsidP="0018206C"/>
    <w:tbl>
      <w:tblPr>
        <w:tblW w:w="0" w:type="auto"/>
        <w:tblLook w:val="01E0" w:firstRow="1" w:lastRow="1" w:firstColumn="1" w:lastColumn="1" w:noHBand="0" w:noVBand="0"/>
      </w:tblPr>
      <w:tblGrid>
        <w:gridCol w:w="4541"/>
        <w:gridCol w:w="4432"/>
      </w:tblGrid>
      <w:tr w:rsidR="007049A5" w:rsidRPr="004E4188" w14:paraId="662E1DDB" w14:textId="77777777" w:rsidTr="00DC0647">
        <w:tc>
          <w:tcPr>
            <w:tcW w:w="4610" w:type="dxa"/>
            <w:tcBorders>
              <w:top w:val="single" w:sz="12" w:space="0" w:color="auto"/>
              <w:left w:val="single" w:sz="12" w:space="0" w:color="auto"/>
              <w:bottom w:val="single" w:sz="12" w:space="0" w:color="auto"/>
              <w:right w:val="single" w:sz="12" w:space="0" w:color="auto"/>
            </w:tcBorders>
            <w:shd w:val="clear" w:color="auto" w:fill="auto"/>
          </w:tcPr>
          <w:p w14:paraId="2424F5A1" w14:textId="77777777" w:rsidR="007049A5" w:rsidRPr="004E4188" w:rsidRDefault="007049A5" w:rsidP="00DC0647">
            <w:pPr>
              <w:jc w:val="center"/>
              <w:rPr>
                <w:b/>
                <w:szCs w:val="36"/>
              </w:rPr>
            </w:pPr>
            <w:r w:rsidRPr="004E4188">
              <w:rPr>
                <w:b/>
                <w:szCs w:val="36"/>
              </w:rPr>
              <w:t>Garantie opérationnelle requise</w:t>
            </w:r>
          </w:p>
        </w:tc>
        <w:tc>
          <w:tcPr>
            <w:tcW w:w="4498" w:type="dxa"/>
            <w:tcBorders>
              <w:top w:val="single" w:sz="12" w:space="0" w:color="auto"/>
              <w:left w:val="single" w:sz="12" w:space="0" w:color="auto"/>
              <w:bottom w:val="single" w:sz="12" w:space="0" w:color="auto"/>
              <w:right w:val="single" w:sz="12" w:space="0" w:color="auto"/>
            </w:tcBorders>
            <w:shd w:val="clear" w:color="auto" w:fill="auto"/>
          </w:tcPr>
          <w:p w14:paraId="38EFE4ED" w14:textId="77777777" w:rsidR="007049A5" w:rsidRPr="004E4188" w:rsidRDefault="007049A5" w:rsidP="00735E19">
            <w:pPr>
              <w:spacing w:before="60" w:after="60"/>
              <w:jc w:val="center"/>
              <w:rPr>
                <w:b/>
                <w:szCs w:val="36"/>
              </w:rPr>
            </w:pPr>
            <w:r w:rsidRPr="004E4188">
              <w:rPr>
                <w:b/>
                <w:szCs w:val="36"/>
              </w:rPr>
              <w:t>Valeur de la garantie opérationnelle pour les équipements proposés</w:t>
            </w:r>
          </w:p>
        </w:tc>
      </w:tr>
      <w:tr w:rsidR="007049A5" w:rsidRPr="004E4188" w14:paraId="6103BEF2" w14:textId="77777777" w:rsidTr="00DC0647">
        <w:tc>
          <w:tcPr>
            <w:tcW w:w="4610" w:type="dxa"/>
            <w:tcBorders>
              <w:top w:val="single" w:sz="12" w:space="0" w:color="auto"/>
              <w:left w:val="single" w:sz="4" w:space="0" w:color="auto"/>
              <w:bottom w:val="single" w:sz="4" w:space="0" w:color="auto"/>
              <w:right w:val="single" w:sz="4" w:space="0" w:color="auto"/>
            </w:tcBorders>
            <w:shd w:val="clear" w:color="auto" w:fill="auto"/>
          </w:tcPr>
          <w:p w14:paraId="123C3886" w14:textId="77777777" w:rsidR="007049A5" w:rsidRPr="004E4188" w:rsidRDefault="007049A5" w:rsidP="00DC0647">
            <w:pPr>
              <w:spacing w:afterLines="50" w:after="120"/>
              <w:rPr>
                <w:szCs w:val="36"/>
              </w:rPr>
            </w:pPr>
            <w:r w:rsidRPr="004E4188">
              <w:rPr>
                <w:szCs w:val="36"/>
              </w:rPr>
              <w:t>1.</w:t>
            </w:r>
          </w:p>
        </w:tc>
        <w:tc>
          <w:tcPr>
            <w:tcW w:w="4498" w:type="dxa"/>
            <w:tcBorders>
              <w:top w:val="single" w:sz="12" w:space="0" w:color="auto"/>
              <w:left w:val="single" w:sz="4" w:space="0" w:color="auto"/>
              <w:bottom w:val="single" w:sz="4" w:space="0" w:color="auto"/>
              <w:right w:val="single" w:sz="4" w:space="0" w:color="auto"/>
            </w:tcBorders>
            <w:shd w:val="clear" w:color="auto" w:fill="auto"/>
          </w:tcPr>
          <w:p w14:paraId="2B51179D" w14:textId="77777777" w:rsidR="007049A5" w:rsidRPr="004E4188" w:rsidRDefault="007049A5" w:rsidP="00DC0647">
            <w:pPr>
              <w:spacing w:afterLines="50" w:after="120"/>
              <w:jc w:val="center"/>
              <w:rPr>
                <w:b/>
                <w:szCs w:val="36"/>
              </w:rPr>
            </w:pPr>
          </w:p>
        </w:tc>
      </w:tr>
      <w:tr w:rsidR="007049A5" w:rsidRPr="004E4188" w14:paraId="06DFBF4B" w14:textId="77777777" w:rsidTr="00DC0647">
        <w:tc>
          <w:tcPr>
            <w:tcW w:w="4610" w:type="dxa"/>
            <w:tcBorders>
              <w:top w:val="single" w:sz="4" w:space="0" w:color="auto"/>
              <w:left w:val="single" w:sz="4" w:space="0" w:color="auto"/>
              <w:bottom w:val="single" w:sz="4" w:space="0" w:color="auto"/>
              <w:right w:val="single" w:sz="4" w:space="0" w:color="auto"/>
            </w:tcBorders>
            <w:shd w:val="clear" w:color="auto" w:fill="auto"/>
          </w:tcPr>
          <w:p w14:paraId="67C12CBE" w14:textId="77777777" w:rsidR="007049A5" w:rsidRPr="004E4188" w:rsidRDefault="007049A5" w:rsidP="00DC0647">
            <w:pPr>
              <w:spacing w:afterLines="50" w:after="120"/>
              <w:rPr>
                <w:szCs w:val="36"/>
              </w:rPr>
            </w:pPr>
            <w:r w:rsidRPr="004E4188">
              <w:rPr>
                <w:szCs w:val="36"/>
              </w:rPr>
              <w:t>2.</w:t>
            </w:r>
          </w:p>
        </w:tc>
        <w:tc>
          <w:tcPr>
            <w:tcW w:w="4498" w:type="dxa"/>
            <w:tcBorders>
              <w:top w:val="single" w:sz="4" w:space="0" w:color="auto"/>
              <w:left w:val="single" w:sz="4" w:space="0" w:color="auto"/>
              <w:bottom w:val="single" w:sz="4" w:space="0" w:color="auto"/>
              <w:right w:val="single" w:sz="4" w:space="0" w:color="auto"/>
            </w:tcBorders>
            <w:shd w:val="clear" w:color="auto" w:fill="auto"/>
          </w:tcPr>
          <w:p w14:paraId="78DE6543" w14:textId="77777777" w:rsidR="007049A5" w:rsidRPr="004E4188" w:rsidRDefault="007049A5" w:rsidP="00DC0647">
            <w:pPr>
              <w:spacing w:afterLines="50" w:after="120"/>
              <w:jc w:val="center"/>
              <w:rPr>
                <w:b/>
                <w:szCs w:val="36"/>
              </w:rPr>
            </w:pPr>
          </w:p>
        </w:tc>
      </w:tr>
      <w:tr w:rsidR="007049A5" w:rsidRPr="004E4188" w14:paraId="6DCF9157" w14:textId="77777777" w:rsidTr="00DC0647">
        <w:tc>
          <w:tcPr>
            <w:tcW w:w="4610" w:type="dxa"/>
            <w:tcBorders>
              <w:top w:val="single" w:sz="4" w:space="0" w:color="auto"/>
              <w:left w:val="single" w:sz="4" w:space="0" w:color="auto"/>
              <w:bottom w:val="single" w:sz="4" w:space="0" w:color="auto"/>
              <w:right w:val="single" w:sz="4" w:space="0" w:color="auto"/>
            </w:tcBorders>
            <w:shd w:val="clear" w:color="auto" w:fill="auto"/>
          </w:tcPr>
          <w:p w14:paraId="50BA4EC7" w14:textId="77777777" w:rsidR="007049A5" w:rsidRPr="004E4188" w:rsidRDefault="007049A5" w:rsidP="00DC0647">
            <w:pPr>
              <w:spacing w:afterLines="50" w:after="120"/>
              <w:rPr>
                <w:szCs w:val="36"/>
              </w:rPr>
            </w:pPr>
            <w:r w:rsidRPr="004E4188">
              <w:rPr>
                <w:szCs w:val="36"/>
              </w:rPr>
              <w:t>3.</w:t>
            </w:r>
          </w:p>
        </w:tc>
        <w:tc>
          <w:tcPr>
            <w:tcW w:w="4498" w:type="dxa"/>
            <w:tcBorders>
              <w:top w:val="single" w:sz="4" w:space="0" w:color="auto"/>
              <w:left w:val="single" w:sz="4" w:space="0" w:color="auto"/>
              <w:bottom w:val="single" w:sz="4" w:space="0" w:color="auto"/>
              <w:right w:val="single" w:sz="4" w:space="0" w:color="auto"/>
            </w:tcBorders>
            <w:shd w:val="clear" w:color="auto" w:fill="auto"/>
          </w:tcPr>
          <w:p w14:paraId="166CFA6B" w14:textId="77777777" w:rsidR="007049A5" w:rsidRPr="004E4188" w:rsidRDefault="007049A5" w:rsidP="00DC0647">
            <w:pPr>
              <w:spacing w:afterLines="50" w:after="120"/>
              <w:jc w:val="center"/>
              <w:rPr>
                <w:b/>
                <w:szCs w:val="36"/>
              </w:rPr>
            </w:pPr>
          </w:p>
        </w:tc>
      </w:tr>
      <w:tr w:rsidR="007049A5" w:rsidRPr="004E4188" w14:paraId="25BDD331" w14:textId="77777777" w:rsidTr="00DC0647">
        <w:tc>
          <w:tcPr>
            <w:tcW w:w="4610" w:type="dxa"/>
            <w:tcBorders>
              <w:top w:val="single" w:sz="4" w:space="0" w:color="auto"/>
              <w:left w:val="single" w:sz="4" w:space="0" w:color="auto"/>
              <w:bottom w:val="single" w:sz="4" w:space="0" w:color="auto"/>
              <w:right w:val="single" w:sz="4" w:space="0" w:color="auto"/>
            </w:tcBorders>
            <w:shd w:val="clear" w:color="auto" w:fill="auto"/>
          </w:tcPr>
          <w:p w14:paraId="4F07B8D5" w14:textId="77777777" w:rsidR="007049A5" w:rsidRPr="004E4188" w:rsidRDefault="007049A5" w:rsidP="00DC0647">
            <w:pPr>
              <w:spacing w:afterLines="50" w:after="120"/>
              <w:rPr>
                <w:szCs w:val="36"/>
              </w:rPr>
            </w:pPr>
            <w:r w:rsidRPr="004E4188">
              <w:rPr>
                <w:szCs w:val="36"/>
              </w:rPr>
              <w:t>...</w:t>
            </w:r>
          </w:p>
        </w:tc>
        <w:tc>
          <w:tcPr>
            <w:tcW w:w="4498" w:type="dxa"/>
            <w:tcBorders>
              <w:top w:val="single" w:sz="4" w:space="0" w:color="auto"/>
              <w:left w:val="single" w:sz="4" w:space="0" w:color="auto"/>
              <w:bottom w:val="single" w:sz="4" w:space="0" w:color="auto"/>
              <w:right w:val="single" w:sz="4" w:space="0" w:color="auto"/>
            </w:tcBorders>
            <w:shd w:val="clear" w:color="auto" w:fill="auto"/>
          </w:tcPr>
          <w:p w14:paraId="764A9187" w14:textId="77777777" w:rsidR="007049A5" w:rsidRPr="004E4188" w:rsidRDefault="007049A5" w:rsidP="00DC0647">
            <w:pPr>
              <w:spacing w:afterLines="50" w:after="120"/>
              <w:jc w:val="center"/>
              <w:rPr>
                <w:b/>
                <w:szCs w:val="36"/>
              </w:rPr>
            </w:pPr>
          </w:p>
        </w:tc>
      </w:tr>
    </w:tbl>
    <w:p w14:paraId="7E5BCF0C" w14:textId="77777777" w:rsidR="007049A5" w:rsidRPr="004E4188" w:rsidRDefault="007049A5" w:rsidP="0018206C"/>
    <w:p w14:paraId="2322EDCE" w14:textId="77777777" w:rsidR="007049A5" w:rsidRPr="004E4188" w:rsidRDefault="007049A5" w:rsidP="006C6267">
      <w:pPr>
        <w:pStyle w:val="SectionIVHeading2"/>
        <w:outlineLvl w:val="2"/>
        <w:rPr>
          <w:sz w:val="32"/>
          <w:szCs w:val="32"/>
          <w:lang w:val="fr-FR"/>
        </w:rPr>
      </w:pPr>
      <w:r w:rsidRPr="004E4188">
        <w:rPr>
          <w:lang w:val="fr-FR"/>
        </w:rPr>
        <w:br w:type="page"/>
      </w:r>
      <w:bookmarkStart w:id="570" w:name="_Toc86100072"/>
      <w:bookmarkStart w:id="571" w:name="_Toc86101643"/>
      <w:bookmarkStart w:id="572" w:name="_Toc89380397"/>
      <w:bookmarkStart w:id="573" w:name="_Toc89383059"/>
      <w:bookmarkStart w:id="574" w:name="_Toc89413075"/>
      <w:bookmarkStart w:id="575" w:name="_Toc89423489"/>
      <w:bookmarkStart w:id="576" w:name="_Toc112429319"/>
      <w:bookmarkStart w:id="577" w:name="_Toc357513224"/>
      <w:r w:rsidRPr="004E4188">
        <w:rPr>
          <w:sz w:val="32"/>
          <w:szCs w:val="32"/>
          <w:lang w:val="fr-FR"/>
        </w:rPr>
        <w:t>Liste de sous-traitants</w:t>
      </w:r>
      <w:bookmarkEnd w:id="570"/>
      <w:bookmarkEnd w:id="571"/>
      <w:bookmarkEnd w:id="572"/>
      <w:bookmarkEnd w:id="573"/>
      <w:bookmarkEnd w:id="574"/>
      <w:bookmarkEnd w:id="575"/>
      <w:bookmarkEnd w:id="576"/>
    </w:p>
    <w:p w14:paraId="0E09C7CA" w14:textId="7C4119CB" w:rsidR="007049A5" w:rsidRPr="004E4188" w:rsidRDefault="007049A5" w:rsidP="006C6267">
      <w:pPr>
        <w:rPr>
          <w:i/>
          <w:szCs w:val="24"/>
          <w:lang w:eastAsia="ja-JP"/>
        </w:rPr>
      </w:pPr>
      <w:r w:rsidRPr="004E4188">
        <w:rPr>
          <w:szCs w:val="24"/>
          <w:lang w:eastAsia="ja-JP"/>
        </w:rPr>
        <w:t>[</w:t>
      </w:r>
      <w:r w:rsidRPr="004E4188">
        <w:rPr>
          <w:i/>
          <w:szCs w:val="24"/>
          <w:lang w:eastAsia="ja-JP"/>
        </w:rPr>
        <w:t xml:space="preserve">Le Soumissionnaire doit énumérer ci-dessous les sous-traitants spécialisés (le cas échéant) </w:t>
      </w:r>
      <w:r w:rsidRPr="004E4188">
        <w:rPr>
          <w:i/>
          <w:iCs/>
          <w:szCs w:val="24"/>
          <w:lang w:eastAsia="ja-JP"/>
        </w:rPr>
        <w:t xml:space="preserve">proposés par le Soumissionnaire pour l’exécution </w:t>
      </w:r>
      <w:r w:rsidRPr="004E4188">
        <w:rPr>
          <w:i/>
          <w:szCs w:val="24"/>
          <w:lang w:eastAsia="ja-JP"/>
        </w:rPr>
        <w:t xml:space="preserve">des activités principales citées aux critères de préqualification ou au Critère 2.4.2(b) de la Section III, Critères d’évaluation et de qualifications, selon le cas, conformément aux dispositions de la Section </w:t>
      </w:r>
      <w:r w:rsidRPr="004E4188">
        <w:rPr>
          <w:i/>
          <w:iCs/>
          <w:szCs w:val="24"/>
          <w:lang w:eastAsia="ja-JP"/>
        </w:rPr>
        <w:t xml:space="preserve">I, Instructions aux soumissionnaires, de l’Article 16.3 </w:t>
      </w:r>
      <w:r w:rsidRPr="004E4188">
        <w:rPr>
          <w:i/>
          <w:iCs/>
          <w:spacing w:val="2"/>
          <w:szCs w:val="24"/>
        </w:rPr>
        <w:t>(dans le cas d’</w:t>
      </w:r>
      <w:r w:rsidR="00525132" w:rsidRPr="004E4188">
        <w:rPr>
          <w:i/>
          <w:iCs/>
          <w:spacing w:val="2"/>
          <w:szCs w:val="24"/>
        </w:rPr>
        <w:t xml:space="preserve">un </w:t>
      </w:r>
      <w:r w:rsidRPr="004E4188">
        <w:rPr>
          <w:i/>
          <w:iCs/>
          <w:spacing w:val="2"/>
          <w:szCs w:val="24"/>
        </w:rPr>
        <w:t>appel d’offres à une étape-deux enveloppes) ou de l’Article 14.3 (dans le cas d’</w:t>
      </w:r>
      <w:r w:rsidR="00525132" w:rsidRPr="004E4188">
        <w:rPr>
          <w:i/>
          <w:iCs/>
          <w:spacing w:val="2"/>
          <w:szCs w:val="24"/>
        </w:rPr>
        <w:t xml:space="preserve">un </w:t>
      </w:r>
      <w:r w:rsidRPr="004E4188">
        <w:rPr>
          <w:i/>
          <w:iCs/>
          <w:spacing w:val="2"/>
          <w:szCs w:val="24"/>
        </w:rPr>
        <w:t>appel d’offres à deux étapes-une enveloppe).</w:t>
      </w:r>
      <w:r w:rsidRPr="004E4188">
        <w:rPr>
          <w:i/>
          <w:szCs w:val="24"/>
          <w:lang w:eastAsia="ja-JP"/>
        </w:rPr>
        <w:t xml:space="preserve"> </w:t>
      </w:r>
    </w:p>
    <w:p w14:paraId="28423C98" w14:textId="77777777" w:rsidR="007049A5" w:rsidRPr="004E4188" w:rsidRDefault="007049A5" w:rsidP="006C6267">
      <w:pPr>
        <w:rPr>
          <w:i/>
          <w:szCs w:val="24"/>
          <w:lang w:eastAsia="ja-JP"/>
        </w:rPr>
      </w:pPr>
    </w:p>
    <w:p w14:paraId="101B4D24" w14:textId="2F4B748B" w:rsidR="007049A5" w:rsidRPr="004E4188" w:rsidRDefault="007049A5" w:rsidP="006C6267">
      <w:pPr>
        <w:rPr>
          <w:i/>
          <w:iCs/>
          <w:spacing w:val="2"/>
          <w:szCs w:val="24"/>
        </w:rPr>
      </w:pPr>
      <w:r w:rsidRPr="004E4188">
        <w:rPr>
          <w:i/>
          <w:iCs/>
          <w:spacing w:val="2"/>
          <w:szCs w:val="24"/>
        </w:rPr>
        <w:t>En outre, le Soumissionnaire doit énumérer ci-dessous les sous-traitants pour les éléments majeurs des É</w:t>
      </w:r>
      <w:r w:rsidRPr="004E4188">
        <w:rPr>
          <w:rFonts w:hint="eastAsia"/>
          <w:i/>
          <w:iCs/>
          <w:spacing w:val="2"/>
          <w:szCs w:val="24"/>
          <w:lang w:eastAsia="ja-JP"/>
        </w:rPr>
        <w:t>q</w:t>
      </w:r>
      <w:r w:rsidRPr="004E4188">
        <w:rPr>
          <w:i/>
          <w:iCs/>
          <w:spacing w:val="2"/>
          <w:szCs w:val="24"/>
          <w:lang w:eastAsia="ja-JP"/>
        </w:rPr>
        <w:t>uipements</w:t>
      </w:r>
      <w:r w:rsidRPr="004E4188">
        <w:rPr>
          <w:i/>
          <w:iCs/>
          <w:spacing w:val="2"/>
          <w:szCs w:val="24"/>
        </w:rPr>
        <w:t xml:space="preserve"> tels qu’ils sont énumérés par le Maître d’ouvrage au Critère 1.1.3 de la Section III, Critères d’évaluation et de qualification s’ils sont appliqués conformément aux dispositions de la Section I, Instructions aux soumissionnaires, de l’Article 16.3 (dans le cas d’</w:t>
      </w:r>
      <w:r w:rsidR="00525132" w:rsidRPr="004E4188">
        <w:rPr>
          <w:i/>
          <w:iCs/>
          <w:spacing w:val="2"/>
          <w:szCs w:val="24"/>
        </w:rPr>
        <w:t xml:space="preserve">un </w:t>
      </w:r>
      <w:r w:rsidRPr="004E4188">
        <w:rPr>
          <w:i/>
          <w:iCs/>
          <w:spacing w:val="2"/>
          <w:szCs w:val="24"/>
        </w:rPr>
        <w:t>appel d’offres à une étape-deux enveloppes) ou de l’Article 14.3 (dans le cas d’</w:t>
      </w:r>
      <w:r w:rsidR="00525132" w:rsidRPr="004E4188">
        <w:rPr>
          <w:i/>
          <w:iCs/>
          <w:spacing w:val="2"/>
          <w:szCs w:val="24"/>
        </w:rPr>
        <w:t xml:space="preserve">un </w:t>
      </w:r>
      <w:r w:rsidRPr="004E4188">
        <w:rPr>
          <w:i/>
          <w:iCs/>
          <w:spacing w:val="2"/>
          <w:szCs w:val="24"/>
        </w:rPr>
        <w:t>appel d’offres à deux étapes-une enveloppe).</w:t>
      </w:r>
    </w:p>
    <w:p w14:paraId="026B2138" w14:textId="77777777" w:rsidR="007049A5" w:rsidRPr="004E4188" w:rsidRDefault="007049A5" w:rsidP="006C6267">
      <w:pPr>
        <w:rPr>
          <w:i/>
          <w:szCs w:val="24"/>
          <w:lang w:eastAsia="ja-JP"/>
        </w:rPr>
      </w:pPr>
    </w:p>
    <w:p w14:paraId="62E60B3A" w14:textId="77777777" w:rsidR="007049A5" w:rsidRPr="004E4188" w:rsidRDefault="007049A5" w:rsidP="006C6267">
      <w:pPr>
        <w:rPr>
          <w:i/>
          <w:szCs w:val="24"/>
          <w:lang w:eastAsia="ja-JP"/>
        </w:rPr>
      </w:pPr>
      <w:r w:rsidRPr="004E4188">
        <w:rPr>
          <w:i/>
          <w:szCs w:val="24"/>
          <w:lang w:eastAsia="ja-JP"/>
        </w:rPr>
        <w:t>La liste complète, une fois acceptée par le Maître d’ouvrage constituera une pièce contractuelle conformément à l’Acte d’engagement.</w:t>
      </w:r>
      <w:r w:rsidRPr="004E4188">
        <w:rPr>
          <w:szCs w:val="24"/>
          <w:lang w:eastAsia="ja-JP"/>
        </w:rPr>
        <w:t>]</w:t>
      </w:r>
    </w:p>
    <w:p w14:paraId="2E499E85" w14:textId="77777777" w:rsidR="007049A5" w:rsidRPr="004E4188" w:rsidRDefault="007049A5" w:rsidP="006C6267">
      <w:pPr>
        <w:rPr>
          <w:szCs w:val="24"/>
          <w:lang w:eastAsia="ja-JP"/>
        </w:rPr>
      </w:pPr>
    </w:p>
    <w:p w14:paraId="595314C1" w14:textId="77777777" w:rsidR="007049A5" w:rsidRPr="004E4188" w:rsidRDefault="007049A5" w:rsidP="006C6267">
      <w:pPr>
        <w:rPr>
          <w:szCs w:val="24"/>
          <w:lang w:eastAsia="ja-JP"/>
        </w:rPr>
      </w:pPr>
    </w:p>
    <w:p w14:paraId="6350120B" w14:textId="77777777" w:rsidR="007049A5" w:rsidRPr="004E4188" w:rsidRDefault="007049A5" w:rsidP="006C6267">
      <w:pPr>
        <w:rPr>
          <w:szCs w:val="24"/>
          <w:lang w:eastAsia="ja-JP"/>
        </w:rPr>
      </w:pPr>
      <w:r w:rsidRPr="004E4188">
        <w:rPr>
          <w:szCs w:val="24"/>
          <w:lang w:eastAsia="ja-JP"/>
        </w:rPr>
        <w:t xml:space="preserve">La liste de sous-traitants </w:t>
      </w:r>
      <w:r w:rsidRPr="004E4188">
        <w:t xml:space="preserve">sera incorporée aux documents contractuels conformément à l’Article 19 des CG et l’Annexe 5 </w:t>
      </w:r>
      <w:r w:rsidRPr="004E4188">
        <w:rPr>
          <w:szCs w:val="24"/>
          <w:lang w:eastAsia="ja-JP"/>
        </w:rPr>
        <w:t>de l’Acte d’engagement.</w:t>
      </w:r>
    </w:p>
    <w:p w14:paraId="11D11959" w14:textId="77777777" w:rsidR="007049A5" w:rsidRPr="004E4188" w:rsidRDefault="007049A5" w:rsidP="006C6267">
      <w:pPr>
        <w:rPr>
          <w:szCs w:val="24"/>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2551"/>
        <w:gridCol w:w="1560"/>
      </w:tblGrid>
      <w:tr w:rsidR="007049A5" w:rsidRPr="004E4188" w14:paraId="58C095CA" w14:textId="77777777" w:rsidTr="006C6267">
        <w:trPr>
          <w:trHeight w:val="432"/>
        </w:trPr>
        <w:tc>
          <w:tcPr>
            <w:tcW w:w="993" w:type="dxa"/>
            <w:vMerge w:val="restart"/>
            <w:shd w:val="clear" w:color="auto" w:fill="auto"/>
            <w:vAlign w:val="center"/>
          </w:tcPr>
          <w:p w14:paraId="1DC62DA5" w14:textId="77777777" w:rsidR="007049A5" w:rsidRPr="004E4188" w:rsidRDefault="007049A5" w:rsidP="006C6267">
            <w:pPr>
              <w:jc w:val="center"/>
              <w:rPr>
                <w:b/>
                <w:szCs w:val="24"/>
                <w:lang w:eastAsia="ja-JP"/>
              </w:rPr>
            </w:pPr>
            <w:r w:rsidRPr="004E4188">
              <w:rPr>
                <w:b/>
              </w:rPr>
              <w:t>N°</w:t>
            </w:r>
          </w:p>
        </w:tc>
        <w:tc>
          <w:tcPr>
            <w:tcW w:w="3827" w:type="dxa"/>
            <w:vMerge w:val="restart"/>
            <w:shd w:val="clear" w:color="auto" w:fill="auto"/>
            <w:vAlign w:val="center"/>
          </w:tcPr>
          <w:p w14:paraId="56D1E343" w14:textId="77777777" w:rsidR="007049A5" w:rsidRPr="004E4188" w:rsidRDefault="007049A5" w:rsidP="006C6267">
            <w:pPr>
              <w:jc w:val="center"/>
              <w:rPr>
                <w:b/>
                <w:szCs w:val="24"/>
                <w:lang w:eastAsia="ja-JP"/>
              </w:rPr>
            </w:pPr>
            <w:r w:rsidRPr="004E4188">
              <w:rPr>
                <w:b/>
                <w:szCs w:val="24"/>
                <w:lang w:eastAsia="ja-JP"/>
              </w:rPr>
              <w:t>Activité pr</w:t>
            </w:r>
            <w:r w:rsidRPr="004E4188">
              <w:rPr>
                <w:rFonts w:hint="eastAsia"/>
                <w:b/>
                <w:szCs w:val="24"/>
                <w:lang w:eastAsia="ja-JP"/>
              </w:rPr>
              <w:t>i</w:t>
            </w:r>
            <w:r w:rsidRPr="004E4188">
              <w:rPr>
                <w:b/>
                <w:szCs w:val="24"/>
                <w:lang w:eastAsia="ja-JP"/>
              </w:rPr>
              <w:t>ncipale</w:t>
            </w:r>
          </w:p>
        </w:tc>
        <w:tc>
          <w:tcPr>
            <w:tcW w:w="4111" w:type="dxa"/>
            <w:gridSpan w:val="2"/>
            <w:vAlign w:val="center"/>
          </w:tcPr>
          <w:p w14:paraId="4D0876C1" w14:textId="77777777" w:rsidR="007049A5" w:rsidRPr="004E4188" w:rsidRDefault="007049A5" w:rsidP="006C6267">
            <w:pPr>
              <w:jc w:val="center"/>
              <w:rPr>
                <w:b/>
                <w:szCs w:val="24"/>
                <w:lang w:eastAsia="ja-JP"/>
              </w:rPr>
            </w:pPr>
            <w:r w:rsidRPr="004E4188">
              <w:rPr>
                <w:b/>
                <w:szCs w:val="24"/>
                <w:lang w:eastAsia="ja-JP"/>
              </w:rPr>
              <w:t>Sous-traitant spécialisé</w:t>
            </w:r>
          </w:p>
        </w:tc>
      </w:tr>
      <w:tr w:rsidR="007049A5" w:rsidRPr="004E4188" w14:paraId="70766872" w14:textId="77777777" w:rsidTr="006C6267">
        <w:trPr>
          <w:trHeight w:val="432"/>
        </w:trPr>
        <w:tc>
          <w:tcPr>
            <w:tcW w:w="993" w:type="dxa"/>
            <w:vMerge/>
            <w:shd w:val="clear" w:color="auto" w:fill="auto"/>
            <w:vAlign w:val="center"/>
          </w:tcPr>
          <w:p w14:paraId="6F3F51C1" w14:textId="77777777" w:rsidR="007049A5" w:rsidRPr="004E4188" w:rsidRDefault="007049A5" w:rsidP="006C6267">
            <w:pPr>
              <w:rPr>
                <w:szCs w:val="24"/>
                <w:lang w:eastAsia="ja-JP"/>
              </w:rPr>
            </w:pPr>
          </w:p>
        </w:tc>
        <w:tc>
          <w:tcPr>
            <w:tcW w:w="3827" w:type="dxa"/>
            <w:vMerge/>
            <w:shd w:val="clear" w:color="auto" w:fill="auto"/>
            <w:vAlign w:val="center"/>
          </w:tcPr>
          <w:p w14:paraId="6B303E1D" w14:textId="77777777" w:rsidR="007049A5" w:rsidRPr="004E4188" w:rsidRDefault="007049A5" w:rsidP="006C6267">
            <w:pPr>
              <w:rPr>
                <w:szCs w:val="24"/>
                <w:lang w:eastAsia="ja-JP"/>
              </w:rPr>
            </w:pPr>
          </w:p>
        </w:tc>
        <w:tc>
          <w:tcPr>
            <w:tcW w:w="2551" w:type="dxa"/>
            <w:vAlign w:val="center"/>
          </w:tcPr>
          <w:p w14:paraId="34CBD90B" w14:textId="77777777" w:rsidR="007049A5" w:rsidRPr="004E4188" w:rsidRDefault="007049A5" w:rsidP="006C6267">
            <w:pPr>
              <w:jc w:val="center"/>
              <w:rPr>
                <w:szCs w:val="24"/>
                <w:lang w:eastAsia="ja-JP"/>
              </w:rPr>
            </w:pPr>
            <w:r w:rsidRPr="004E4188">
              <w:rPr>
                <w:b/>
                <w:szCs w:val="24"/>
                <w:lang w:eastAsia="ja-JP"/>
              </w:rPr>
              <w:t>Nom</w:t>
            </w:r>
          </w:p>
        </w:tc>
        <w:tc>
          <w:tcPr>
            <w:tcW w:w="1560" w:type="dxa"/>
            <w:vAlign w:val="center"/>
          </w:tcPr>
          <w:p w14:paraId="0B52543D" w14:textId="77777777" w:rsidR="007049A5" w:rsidRPr="004E4188" w:rsidRDefault="007049A5" w:rsidP="006C6267">
            <w:pPr>
              <w:jc w:val="center"/>
              <w:rPr>
                <w:szCs w:val="24"/>
                <w:lang w:eastAsia="ja-JP"/>
              </w:rPr>
            </w:pPr>
            <w:r w:rsidRPr="004E4188">
              <w:rPr>
                <w:b/>
                <w:szCs w:val="24"/>
                <w:lang w:eastAsia="ja-JP"/>
              </w:rPr>
              <w:t>Nationalité</w:t>
            </w:r>
          </w:p>
        </w:tc>
      </w:tr>
      <w:tr w:rsidR="007049A5" w:rsidRPr="004E4188" w14:paraId="719F801C" w14:textId="77777777" w:rsidTr="006C6267">
        <w:trPr>
          <w:trHeight w:val="432"/>
        </w:trPr>
        <w:tc>
          <w:tcPr>
            <w:tcW w:w="993" w:type="dxa"/>
            <w:shd w:val="clear" w:color="auto" w:fill="auto"/>
          </w:tcPr>
          <w:p w14:paraId="0991D7C7" w14:textId="77777777" w:rsidR="007049A5" w:rsidRPr="004E4188" w:rsidRDefault="007049A5" w:rsidP="006C6267">
            <w:pPr>
              <w:rPr>
                <w:szCs w:val="24"/>
                <w:lang w:eastAsia="ja-JP"/>
              </w:rPr>
            </w:pPr>
          </w:p>
        </w:tc>
        <w:tc>
          <w:tcPr>
            <w:tcW w:w="3827" w:type="dxa"/>
            <w:shd w:val="clear" w:color="auto" w:fill="auto"/>
          </w:tcPr>
          <w:p w14:paraId="3B0F923C" w14:textId="77777777" w:rsidR="007049A5" w:rsidRPr="004E4188" w:rsidRDefault="007049A5" w:rsidP="006C6267">
            <w:pPr>
              <w:rPr>
                <w:szCs w:val="24"/>
                <w:lang w:eastAsia="ja-JP"/>
              </w:rPr>
            </w:pPr>
          </w:p>
        </w:tc>
        <w:tc>
          <w:tcPr>
            <w:tcW w:w="2551" w:type="dxa"/>
          </w:tcPr>
          <w:p w14:paraId="5F69D053" w14:textId="77777777" w:rsidR="007049A5" w:rsidRPr="004E4188" w:rsidRDefault="007049A5" w:rsidP="006C6267">
            <w:pPr>
              <w:rPr>
                <w:szCs w:val="24"/>
                <w:lang w:eastAsia="ja-JP"/>
              </w:rPr>
            </w:pPr>
          </w:p>
        </w:tc>
        <w:tc>
          <w:tcPr>
            <w:tcW w:w="1560" w:type="dxa"/>
          </w:tcPr>
          <w:p w14:paraId="7969F9C2" w14:textId="77777777" w:rsidR="007049A5" w:rsidRPr="004E4188" w:rsidRDefault="007049A5" w:rsidP="006C6267">
            <w:pPr>
              <w:rPr>
                <w:szCs w:val="24"/>
                <w:lang w:eastAsia="ja-JP"/>
              </w:rPr>
            </w:pPr>
          </w:p>
        </w:tc>
      </w:tr>
      <w:tr w:rsidR="007049A5" w:rsidRPr="004E4188" w14:paraId="1C2FB23A" w14:textId="77777777" w:rsidTr="006C6267">
        <w:trPr>
          <w:trHeight w:val="432"/>
        </w:trPr>
        <w:tc>
          <w:tcPr>
            <w:tcW w:w="993" w:type="dxa"/>
            <w:shd w:val="clear" w:color="auto" w:fill="auto"/>
          </w:tcPr>
          <w:p w14:paraId="0F029D19" w14:textId="77777777" w:rsidR="007049A5" w:rsidRPr="004E4188" w:rsidRDefault="007049A5" w:rsidP="006C6267">
            <w:pPr>
              <w:rPr>
                <w:szCs w:val="24"/>
                <w:lang w:eastAsia="ja-JP"/>
              </w:rPr>
            </w:pPr>
          </w:p>
        </w:tc>
        <w:tc>
          <w:tcPr>
            <w:tcW w:w="3827" w:type="dxa"/>
            <w:shd w:val="clear" w:color="auto" w:fill="auto"/>
          </w:tcPr>
          <w:p w14:paraId="72518359" w14:textId="77777777" w:rsidR="007049A5" w:rsidRPr="004E4188" w:rsidRDefault="007049A5" w:rsidP="006C6267">
            <w:pPr>
              <w:rPr>
                <w:szCs w:val="24"/>
                <w:lang w:eastAsia="ja-JP"/>
              </w:rPr>
            </w:pPr>
          </w:p>
        </w:tc>
        <w:tc>
          <w:tcPr>
            <w:tcW w:w="2551" w:type="dxa"/>
          </w:tcPr>
          <w:p w14:paraId="3C28E12C" w14:textId="77777777" w:rsidR="007049A5" w:rsidRPr="004E4188" w:rsidRDefault="007049A5" w:rsidP="006C6267">
            <w:pPr>
              <w:rPr>
                <w:szCs w:val="24"/>
                <w:lang w:eastAsia="ja-JP"/>
              </w:rPr>
            </w:pPr>
          </w:p>
        </w:tc>
        <w:tc>
          <w:tcPr>
            <w:tcW w:w="1560" w:type="dxa"/>
          </w:tcPr>
          <w:p w14:paraId="075327EF" w14:textId="77777777" w:rsidR="007049A5" w:rsidRPr="004E4188" w:rsidRDefault="007049A5" w:rsidP="006C6267">
            <w:pPr>
              <w:rPr>
                <w:szCs w:val="24"/>
                <w:lang w:eastAsia="ja-JP"/>
              </w:rPr>
            </w:pPr>
          </w:p>
        </w:tc>
      </w:tr>
      <w:tr w:rsidR="007049A5" w:rsidRPr="004E4188" w14:paraId="3527FCA4" w14:textId="77777777" w:rsidTr="006C6267">
        <w:trPr>
          <w:trHeight w:val="432"/>
        </w:trPr>
        <w:tc>
          <w:tcPr>
            <w:tcW w:w="993" w:type="dxa"/>
            <w:shd w:val="clear" w:color="auto" w:fill="auto"/>
          </w:tcPr>
          <w:p w14:paraId="6CD50999" w14:textId="77777777" w:rsidR="007049A5" w:rsidRPr="004E4188" w:rsidRDefault="007049A5" w:rsidP="006C6267">
            <w:pPr>
              <w:rPr>
                <w:szCs w:val="24"/>
                <w:lang w:eastAsia="ja-JP"/>
              </w:rPr>
            </w:pPr>
          </w:p>
        </w:tc>
        <w:tc>
          <w:tcPr>
            <w:tcW w:w="3827" w:type="dxa"/>
            <w:shd w:val="clear" w:color="auto" w:fill="auto"/>
          </w:tcPr>
          <w:p w14:paraId="43DE2B11" w14:textId="77777777" w:rsidR="007049A5" w:rsidRPr="004E4188" w:rsidRDefault="007049A5" w:rsidP="006C6267">
            <w:pPr>
              <w:rPr>
                <w:szCs w:val="24"/>
                <w:lang w:eastAsia="ja-JP"/>
              </w:rPr>
            </w:pPr>
          </w:p>
        </w:tc>
        <w:tc>
          <w:tcPr>
            <w:tcW w:w="2551" w:type="dxa"/>
          </w:tcPr>
          <w:p w14:paraId="3D270803" w14:textId="77777777" w:rsidR="007049A5" w:rsidRPr="004E4188" w:rsidRDefault="007049A5" w:rsidP="006C6267">
            <w:pPr>
              <w:rPr>
                <w:szCs w:val="24"/>
                <w:lang w:eastAsia="ja-JP"/>
              </w:rPr>
            </w:pPr>
          </w:p>
        </w:tc>
        <w:tc>
          <w:tcPr>
            <w:tcW w:w="1560" w:type="dxa"/>
          </w:tcPr>
          <w:p w14:paraId="1D6B36F4" w14:textId="77777777" w:rsidR="007049A5" w:rsidRPr="004E4188" w:rsidRDefault="007049A5" w:rsidP="006C6267">
            <w:pPr>
              <w:rPr>
                <w:szCs w:val="24"/>
                <w:lang w:eastAsia="ja-JP"/>
              </w:rPr>
            </w:pPr>
          </w:p>
        </w:tc>
      </w:tr>
    </w:tbl>
    <w:p w14:paraId="5A13FCCA" w14:textId="77777777" w:rsidR="007049A5" w:rsidRPr="004E4188" w:rsidRDefault="007049A5" w:rsidP="006C6267">
      <w:pPr>
        <w:rPr>
          <w:szCs w:val="24"/>
          <w:lang w:eastAsia="ja-JP"/>
        </w:rPr>
      </w:pPr>
    </w:p>
    <w:p w14:paraId="4BD5A9B9" w14:textId="77777777" w:rsidR="007049A5" w:rsidRPr="004E4188" w:rsidRDefault="007049A5" w:rsidP="006C6267">
      <w:pPr>
        <w:rPr>
          <w:szCs w:val="24"/>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2551"/>
        <w:gridCol w:w="1560"/>
      </w:tblGrid>
      <w:tr w:rsidR="007049A5" w:rsidRPr="004E4188" w14:paraId="58B833DA" w14:textId="77777777" w:rsidTr="006C6267">
        <w:trPr>
          <w:trHeight w:val="432"/>
        </w:trPr>
        <w:tc>
          <w:tcPr>
            <w:tcW w:w="993" w:type="dxa"/>
            <w:vMerge w:val="restart"/>
            <w:shd w:val="clear" w:color="auto" w:fill="auto"/>
            <w:vAlign w:val="center"/>
          </w:tcPr>
          <w:p w14:paraId="5EDCFDF7" w14:textId="77777777" w:rsidR="007049A5" w:rsidRPr="004E4188" w:rsidRDefault="007049A5" w:rsidP="006C6267">
            <w:pPr>
              <w:jc w:val="center"/>
              <w:rPr>
                <w:b/>
                <w:szCs w:val="24"/>
                <w:lang w:eastAsia="ja-JP"/>
              </w:rPr>
            </w:pPr>
            <w:r w:rsidRPr="004E4188">
              <w:rPr>
                <w:b/>
              </w:rPr>
              <w:t>N°</w:t>
            </w:r>
          </w:p>
        </w:tc>
        <w:tc>
          <w:tcPr>
            <w:tcW w:w="3827" w:type="dxa"/>
            <w:vMerge w:val="restart"/>
            <w:shd w:val="clear" w:color="auto" w:fill="auto"/>
            <w:vAlign w:val="center"/>
          </w:tcPr>
          <w:p w14:paraId="5F07CBD0" w14:textId="77777777" w:rsidR="007049A5" w:rsidRPr="004E4188" w:rsidRDefault="007049A5" w:rsidP="006C6267">
            <w:pPr>
              <w:jc w:val="center"/>
              <w:rPr>
                <w:b/>
                <w:szCs w:val="24"/>
                <w:lang w:eastAsia="ja-JP"/>
              </w:rPr>
            </w:pPr>
            <w:r w:rsidRPr="004E4188">
              <w:rPr>
                <w:b/>
                <w:szCs w:val="24"/>
                <w:lang w:eastAsia="ja-JP"/>
              </w:rPr>
              <w:t xml:space="preserve">Élément majeur des </w:t>
            </w:r>
            <w:r w:rsidRPr="004E4188">
              <w:rPr>
                <w:rFonts w:hint="eastAsia"/>
                <w:b/>
                <w:szCs w:val="24"/>
                <w:lang w:eastAsia="ja-JP"/>
              </w:rPr>
              <w:t>É</w:t>
            </w:r>
            <w:r w:rsidRPr="004E4188">
              <w:rPr>
                <w:b/>
                <w:szCs w:val="24"/>
                <w:lang w:eastAsia="ja-JP"/>
              </w:rPr>
              <w:t>quipements</w:t>
            </w:r>
          </w:p>
        </w:tc>
        <w:tc>
          <w:tcPr>
            <w:tcW w:w="4111" w:type="dxa"/>
            <w:gridSpan w:val="2"/>
            <w:vAlign w:val="center"/>
          </w:tcPr>
          <w:p w14:paraId="4922D7A8" w14:textId="77777777" w:rsidR="007049A5" w:rsidRPr="004E4188" w:rsidRDefault="007049A5" w:rsidP="006C6267">
            <w:pPr>
              <w:jc w:val="center"/>
              <w:rPr>
                <w:b/>
                <w:szCs w:val="24"/>
                <w:lang w:eastAsia="ja-JP"/>
              </w:rPr>
            </w:pPr>
            <w:r w:rsidRPr="004E4188">
              <w:rPr>
                <w:b/>
                <w:szCs w:val="24"/>
                <w:lang w:eastAsia="ja-JP"/>
              </w:rPr>
              <w:t>Sous-traitant</w:t>
            </w:r>
          </w:p>
        </w:tc>
      </w:tr>
      <w:tr w:rsidR="007049A5" w:rsidRPr="004E4188" w14:paraId="3D23CE00" w14:textId="77777777" w:rsidTr="006C6267">
        <w:trPr>
          <w:trHeight w:val="432"/>
        </w:trPr>
        <w:tc>
          <w:tcPr>
            <w:tcW w:w="993" w:type="dxa"/>
            <w:vMerge/>
            <w:shd w:val="clear" w:color="auto" w:fill="auto"/>
            <w:vAlign w:val="center"/>
          </w:tcPr>
          <w:p w14:paraId="2DAA1AA6" w14:textId="77777777" w:rsidR="007049A5" w:rsidRPr="004E4188" w:rsidRDefault="007049A5" w:rsidP="006C6267">
            <w:pPr>
              <w:rPr>
                <w:szCs w:val="24"/>
                <w:lang w:eastAsia="ja-JP"/>
              </w:rPr>
            </w:pPr>
          </w:p>
        </w:tc>
        <w:tc>
          <w:tcPr>
            <w:tcW w:w="3827" w:type="dxa"/>
            <w:vMerge/>
            <w:shd w:val="clear" w:color="auto" w:fill="auto"/>
            <w:vAlign w:val="center"/>
          </w:tcPr>
          <w:p w14:paraId="71CD0DB8" w14:textId="77777777" w:rsidR="007049A5" w:rsidRPr="004E4188" w:rsidRDefault="007049A5" w:rsidP="006C6267">
            <w:pPr>
              <w:rPr>
                <w:szCs w:val="24"/>
                <w:lang w:eastAsia="ja-JP"/>
              </w:rPr>
            </w:pPr>
          </w:p>
        </w:tc>
        <w:tc>
          <w:tcPr>
            <w:tcW w:w="2551" w:type="dxa"/>
            <w:vAlign w:val="center"/>
          </w:tcPr>
          <w:p w14:paraId="62944D9E" w14:textId="77777777" w:rsidR="007049A5" w:rsidRPr="004E4188" w:rsidRDefault="007049A5" w:rsidP="006C6267">
            <w:pPr>
              <w:jc w:val="center"/>
              <w:rPr>
                <w:szCs w:val="24"/>
                <w:lang w:eastAsia="ja-JP"/>
              </w:rPr>
            </w:pPr>
            <w:r w:rsidRPr="004E4188">
              <w:rPr>
                <w:b/>
                <w:szCs w:val="24"/>
                <w:lang w:eastAsia="ja-JP"/>
              </w:rPr>
              <w:t>Nom</w:t>
            </w:r>
          </w:p>
        </w:tc>
        <w:tc>
          <w:tcPr>
            <w:tcW w:w="1560" w:type="dxa"/>
            <w:vAlign w:val="center"/>
          </w:tcPr>
          <w:p w14:paraId="6E729750" w14:textId="77777777" w:rsidR="007049A5" w:rsidRPr="004E4188" w:rsidRDefault="007049A5" w:rsidP="006C6267">
            <w:pPr>
              <w:jc w:val="center"/>
              <w:rPr>
                <w:szCs w:val="24"/>
                <w:lang w:eastAsia="ja-JP"/>
              </w:rPr>
            </w:pPr>
            <w:r w:rsidRPr="004E4188">
              <w:rPr>
                <w:b/>
                <w:szCs w:val="24"/>
                <w:lang w:eastAsia="ja-JP"/>
              </w:rPr>
              <w:t xml:space="preserve">Nationalité </w:t>
            </w:r>
          </w:p>
        </w:tc>
      </w:tr>
      <w:tr w:rsidR="007049A5" w:rsidRPr="004E4188" w14:paraId="5B1FDC62" w14:textId="77777777" w:rsidTr="006C6267">
        <w:trPr>
          <w:trHeight w:val="432"/>
        </w:trPr>
        <w:tc>
          <w:tcPr>
            <w:tcW w:w="993" w:type="dxa"/>
            <w:shd w:val="clear" w:color="auto" w:fill="auto"/>
          </w:tcPr>
          <w:p w14:paraId="21A2AC3F" w14:textId="77777777" w:rsidR="007049A5" w:rsidRPr="004E4188" w:rsidRDefault="007049A5" w:rsidP="006C6267">
            <w:pPr>
              <w:rPr>
                <w:szCs w:val="24"/>
                <w:lang w:eastAsia="ja-JP"/>
              </w:rPr>
            </w:pPr>
          </w:p>
        </w:tc>
        <w:tc>
          <w:tcPr>
            <w:tcW w:w="3827" w:type="dxa"/>
            <w:shd w:val="clear" w:color="auto" w:fill="auto"/>
          </w:tcPr>
          <w:p w14:paraId="78B6A2FB" w14:textId="77777777" w:rsidR="007049A5" w:rsidRPr="004E4188" w:rsidRDefault="007049A5" w:rsidP="006C6267">
            <w:pPr>
              <w:rPr>
                <w:szCs w:val="24"/>
                <w:lang w:eastAsia="ja-JP"/>
              </w:rPr>
            </w:pPr>
          </w:p>
        </w:tc>
        <w:tc>
          <w:tcPr>
            <w:tcW w:w="2551" w:type="dxa"/>
          </w:tcPr>
          <w:p w14:paraId="11977CEF" w14:textId="77777777" w:rsidR="007049A5" w:rsidRPr="004E4188" w:rsidRDefault="007049A5" w:rsidP="006C6267">
            <w:pPr>
              <w:rPr>
                <w:szCs w:val="24"/>
                <w:lang w:eastAsia="ja-JP"/>
              </w:rPr>
            </w:pPr>
          </w:p>
        </w:tc>
        <w:tc>
          <w:tcPr>
            <w:tcW w:w="1560" w:type="dxa"/>
          </w:tcPr>
          <w:p w14:paraId="7BA09923" w14:textId="77777777" w:rsidR="007049A5" w:rsidRPr="004E4188" w:rsidRDefault="007049A5" w:rsidP="006C6267">
            <w:pPr>
              <w:rPr>
                <w:szCs w:val="24"/>
                <w:lang w:eastAsia="ja-JP"/>
              </w:rPr>
            </w:pPr>
          </w:p>
        </w:tc>
      </w:tr>
      <w:tr w:rsidR="007049A5" w:rsidRPr="004E4188" w14:paraId="1FDE15C6" w14:textId="77777777" w:rsidTr="006C6267">
        <w:trPr>
          <w:trHeight w:val="432"/>
        </w:trPr>
        <w:tc>
          <w:tcPr>
            <w:tcW w:w="993" w:type="dxa"/>
            <w:shd w:val="clear" w:color="auto" w:fill="auto"/>
          </w:tcPr>
          <w:p w14:paraId="7056816D" w14:textId="77777777" w:rsidR="007049A5" w:rsidRPr="004E4188" w:rsidRDefault="007049A5" w:rsidP="006C6267">
            <w:pPr>
              <w:rPr>
                <w:szCs w:val="24"/>
                <w:lang w:eastAsia="ja-JP"/>
              </w:rPr>
            </w:pPr>
          </w:p>
        </w:tc>
        <w:tc>
          <w:tcPr>
            <w:tcW w:w="3827" w:type="dxa"/>
            <w:shd w:val="clear" w:color="auto" w:fill="auto"/>
          </w:tcPr>
          <w:p w14:paraId="41B02D08" w14:textId="77777777" w:rsidR="007049A5" w:rsidRPr="004E4188" w:rsidRDefault="007049A5" w:rsidP="006C6267">
            <w:pPr>
              <w:rPr>
                <w:szCs w:val="24"/>
                <w:lang w:eastAsia="ja-JP"/>
              </w:rPr>
            </w:pPr>
          </w:p>
        </w:tc>
        <w:tc>
          <w:tcPr>
            <w:tcW w:w="2551" w:type="dxa"/>
          </w:tcPr>
          <w:p w14:paraId="1EBC5E41" w14:textId="77777777" w:rsidR="007049A5" w:rsidRPr="004E4188" w:rsidRDefault="007049A5" w:rsidP="006C6267">
            <w:pPr>
              <w:rPr>
                <w:szCs w:val="24"/>
                <w:lang w:eastAsia="ja-JP"/>
              </w:rPr>
            </w:pPr>
          </w:p>
        </w:tc>
        <w:tc>
          <w:tcPr>
            <w:tcW w:w="1560" w:type="dxa"/>
          </w:tcPr>
          <w:p w14:paraId="3B78AEFE" w14:textId="77777777" w:rsidR="007049A5" w:rsidRPr="004E4188" w:rsidRDefault="007049A5" w:rsidP="006C6267">
            <w:pPr>
              <w:rPr>
                <w:szCs w:val="24"/>
                <w:lang w:eastAsia="ja-JP"/>
              </w:rPr>
            </w:pPr>
          </w:p>
        </w:tc>
      </w:tr>
      <w:tr w:rsidR="007049A5" w:rsidRPr="004E4188" w14:paraId="2730AA82" w14:textId="77777777" w:rsidTr="006C6267">
        <w:trPr>
          <w:trHeight w:val="432"/>
        </w:trPr>
        <w:tc>
          <w:tcPr>
            <w:tcW w:w="993" w:type="dxa"/>
            <w:shd w:val="clear" w:color="auto" w:fill="auto"/>
          </w:tcPr>
          <w:p w14:paraId="25F61C0E" w14:textId="77777777" w:rsidR="007049A5" w:rsidRPr="004E4188" w:rsidRDefault="007049A5" w:rsidP="006C6267">
            <w:pPr>
              <w:rPr>
                <w:szCs w:val="24"/>
                <w:lang w:eastAsia="ja-JP"/>
              </w:rPr>
            </w:pPr>
          </w:p>
        </w:tc>
        <w:tc>
          <w:tcPr>
            <w:tcW w:w="3827" w:type="dxa"/>
            <w:shd w:val="clear" w:color="auto" w:fill="auto"/>
          </w:tcPr>
          <w:p w14:paraId="6D9F17BB" w14:textId="77777777" w:rsidR="007049A5" w:rsidRPr="004E4188" w:rsidRDefault="007049A5" w:rsidP="006C6267">
            <w:pPr>
              <w:rPr>
                <w:szCs w:val="24"/>
                <w:lang w:eastAsia="ja-JP"/>
              </w:rPr>
            </w:pPr>
          </w:p>
        </w:tc>
        <w:tc>
          <w:tcPr>
            <w:tcW w:w="2551" w:type="dxa"/>
          </w:tcPr>
          <w:p w14:paraId="0B5E4830" w14:textId="77777777" w:rsidR="007049A5" w:rsidRPr="004E4188" w:rsidRDefault="007049A5" w:rsidP="006C6267">
            <w:pPr>
              <w:rPr>
                <w:szCs w:val="24"/>
                <w:lang w:eastAsia="ja-JP"/>
              </w:rPr>
            </w:pPr>
          </w:p>
        </w:tc>
        <w:tc>
          <w:tcPr>
            <w:tcW w:w="1560" w:type="dxa"/>
          </w:tcPr>
          <w:p w14:paraId="3B04189A" w14:textId="77777777" w:rsidR="007049A5" w:rsidRPr="004E4188" w:rsidRDefault="007049A5" w:rsidP="006C6267">
            <w:pPr>
              <w:rPr>
                <w:szCs w:val="24"/>
                <w:lang w:eastAsia="ja-JP"/>
              </w:rPr>
            </w:pPr>
          </w:p>
        </w:tc>
      </w:tr>
    </w:tbl>
    <w:p w14:paraId="1109F98C" w14:textId="77777777" w:rsidR="007049A5" w:rsidRPr="004E4188" w:rsidRDefault="007049A5" w:rsidP="006C6267">
      <w:pPr>
        <w:pStyle w:val="SectionIVHeading2"/>
        <w:spacing w:before="0"/>
      </w:pPr>
    </w:p>
    <w:p w14:paraId="46B72BCD" w14:textId="2868AFEF" w:rsidR="007049A5" w:rsidRPr="004E4188" w:rsidRDefault="007049A5" w:rsidP="006C6267">
      <w:pPr>
        <w:pStyle w:val="SectionIVHeading2"/>
        <w:outlineLvl w:val="2"/>
        <w:rPr>
          <w:sz w:val="32"/>
          <w:szCs w:val="32"/>
          <w:lang w:val="fr-FR" w:eastAsia="ja-JP"/>
        </w:rPr>
      </w:pPr>
      <w:r w:rsidRPr="004E4188">
        <w:rPr>
          <w:lang w:val="fr-FR"/>
        </w:rPr>
        <w:br w:type="page"/>
      </w:r>
      <w:bookmarkStart w:id="578" w:name="_Toc523578553"/>
      <w:bookmarkStart w:id="579" w:name="_Toc527716865"/>
      <w:bookmarkStart w:id="580" w:name="_Toc112429320"/>
      <w:r w:rsidRPr="004E4188">
        <w:rPr>
          <w:sz w:val="32"/>
          <w:szCs w:val="32"/>
          <w:lang w:val="fr-FR" w:eastAsia="ja-JP"/>
        </w:rPr>
        <w:t>Formulaire FAB</w:t>
      </w:r>
      <w:bookmarkStart w:id="581" w:name="_Toc99312084"/>
      <w:r w:rsidRPr="004E4188">
        <w:rPr>
          <w:sz w:val="32"/>
          <w:szCs w:val="32"/>
          <w:lang w:val="fr-FR" w:eastAsia="ja-JP"/>
        </w:rPr>
        <w:br/>
        <w:t>Autorisation du fabricant</w:t>
      </w:r>
      <w:bookmarkEnd w:id="578"/>
      <w:bookmarkEnd w:id="579"/>
      <w:bookmarkEnd w:id="580"/>
      <w:bookmarkEnd w:id="581"/>
    </w:p>
    <w:p w14:paraId="7C183D4C" w14:textId="570F35CE" w:rsidR="007049A5" w:rsidRPr="004E4188" w:rsidRDefault="007049A5" w:rsidP="006C6267">
      <w:pPr>
        <w:pStyle w:val="explanatorynotes"/>
        <w:suppressAutoHyphens w:val="0"/>
        <w:spacing w:before="240" w:line="240" w:lineRule="auto"/>
        <w:ind w:left="187" w:right="289"/>
        <w:rPr>
          <w:rFonts w:ascii="Times New Roman" w:hAnsi="Times New Roman"/>
          <w:i/>
          <w:sz w:val="24"/>
          <w:szCs w:val="24"/>
          <w:lang w:val="fr-FR"/>
        </w:rPr>
      </w:pPr>
      <w:r w:rsidRPr="004E4188">
        <w:rPr>
          <w:rFonts w:ascii="Times New Roman" w:hAnsi="Times New Roman"/>
          <w:sz w:val="24"/>
          <w:szCs w:val="24"/>
          <w:lang w:val="fr-FR"/>
        </w:rPr>
        <w:t>[</w:t>
      </w:r>
      <w:r w:rsidRPr="004E4188">
        <w:rPr>
          <w:rFonts w:ascii="Times New Roman" w:hAnsi="Times New Roman"/>
          <w:i/>
          <w:sz w:val="24"/>
          <w:szCs w:val="24"/>
          <w:lang w:val="fr-FR"/>
        </w:rPr>
        <w:t>Conformément à IS 16.3 (dans le cas d’</w:t>
      </w:r>
      <w:r w:rsidR="00525132" w:rsidRPr="004E4188">
        <w:rPr>
          <w:rFonts w:ascii="Times New Roman" w:hAnsi="Times New Roman"/>
          <w:i/>
          <w:sz w:val="24"/>
          <w:szCs w:val="24"/>
          <w:lang w:val="fr-FR"/>
        </w:rPr>
        <w:t xml:space="preserve">un </w:t>
      </w:r>
      <w:r w:rsidRPr="004E4188">
        <w:rPr>
          <w:rFonts w:ascii="Times New Roman" w:hAnsi="Times New Roman"/>
          <w:i/>
          <w:sz w:val="24"/>
          <w:szCs w:val="24"/>
          <w:lang w:val="fr-FR"/>
        </w:rPr>
        <w:t>appel d’offres à une étape-deux enveloppes) ou à IS 14.3 (dans le cas d’</w:t>
      </w:r>
      <w:r w:rsidR="00525132" w:rsidRPr="004E4188">
        <w:rPr>
          <w:rFonts w:ascii="Times New Roman" w:hAnsi="Times New Roman"/>
          <w:i/>
          <w:sz w:val="24"/>
          <w:szCs w:val="24"/>
          <w:lang w:val="fr-FR"/>
        </w:rPr>
        <w:t xml:space="preserve">un </w:t>
      </w:r>
      <w:r w:rsidRPr="004E4188">
        <w:rPr>
          <w:rFonts w:ascii="Times New Roman" w:hAnsi="Times New Roman"/>
          <w:i/>
          <w:sz w:val="24"/>
          <w:szCs w:val="24"/>
          <w:lang w:val="fr-FR"/>
        </w:rPr>
        <w:t xml:space="preserve">appel d’offres à deux étapes-une enveloppe), si le Soumissionnaire propose, pour l’exécution des activités principales ou des éléments majeurs ci-dessus, de fournir et d’installer des équipements qu’il ne fabrique pas ou ne produit pas ; il demandera aux fabricants des équipements faisant l’objet du présent Marché de compléter ce formulaire selon les indications données. </w:t>
      </w:r>
    </w:p>
    <w:p w14:paraId="48F4870B" w14:textId="77777777" w:rsidR="007049A5" w:rsidRPr="004E4188" w:rsidRDefault="007049A5" w:rsidP="006C6267">
      <w:pPr>
        <w:pStyle w:val="explanatorynotes"/>
        <w:suppressAutoHyphens w:val="0"/>
        <w:spacing w:before="240" w:line="240" w:lineRule="auto"/>
        <w:ind w:left="187" w:right="288"/>
        <w:rPr>
          <w:rFonts w:ascii="Times New Roman" w:hAnsi="Times New Roman"/>
          <w:i/>
          <w:sz w:val="24"/>
          <w:szCs w:val="24"/>
          <w:lang w:val="fr-FR"/>
        </w:rPr>
      </w:pPr>
      <w:r w:rsidRPr="004E4188">
        <w:rPr>
          <w:rFonts w:ascii="Times New Roman" w:hAnsi="Times New Roman"/>
          <w:i/>
          <w:sz w:val="24"/>
          <w:szCs w:val="24"/>
          <w:lang w:val="fr-FR"/>
        </w:rPr>
        <w:t>Cette autorisation devra être signée par la personne habilitée à signer les documents engageant le fabricant.</w:t>
      </w:r>
    </w:p>
    <w:p w14:paraId="67ED8357" w14:textId="77777777" w:rsidR="007049A5" w:rsidRPr="004E4188" w:rsidRDefault="007049A5" w:rsidP="006C6267">
      <w:pPr>
        <w:pStyle w:val="explanatorynotes"/>
        <w:suppressAutoHyphens w:val="0"/>
        <w:spacing w:before="240" w:line="240" w:lineRule="auto"/>
        <w:ind w:left="187" w:right="288"/>
        <w:rPr>
          <w:rFonts w:ascii="Times New Roman" w:hAnsi="Times New Roman"/>
          <w:i/>
          <w:sz w:val="24"/>
          <w:szCs w:val="24"/>
          <w:lang w:val="fr-FR"/>
        </w:rPr>
      </w:pPr>
      <w:r w:rsidRPr="004E4188">
        <w:rPr>
          <w:rFonts w:ascii="Times New Roman" w:hAnsi="Times New Roman"/>
          <w:i/>
          <w:sz w:val="24"/>
          <w:szCs w:val="24"/>
          <w:lang w:val="fr-FR"/>
        </w:rPr>
        <w:t>Lorsque le Soumissionnaire propose des sous-traitants autres que des fabricants en vertu des Critères 1.1.3 ou 2.4.2(b) des Critères d’évaluation et de qualification, le formulaire FAB demeure toujours requis. En conséquence, le premier alinéa du texte principal sera révisé comme suit :</w:t>
      </w:r>
    </w:p>
    <w:p w14:paraId="1DD49259" w14:textId="77777777" w:rsidR="007049A5" w:rsidRPr="004E4188" w:rsidRDefault="007049A5" w:rsidP="006C6267">
      <w:pPr>
        <w:pStyle w:val="explanatorynotes"/>
        <w:suppressAutoHyphens w:val="0"/>
        <w:spacing w:before="240" w:line="240" w:lineRule="auto"/>
        <w:ind w:left="187" w:right="288"/>
        <w:rPr>
          <w:rFonts w:ascii="Times New Roman" w:hAnsi="Times New Roman"/>
          <w:i/>
          <w:sz w:val="24"/>
          <w:szCs w:val="24"/>
          <w:lang w:val="fr-FR"/>
        </w:rPr>
      </w:pPr>
      <w:r w:rsidRPr="004E4188">
        <w:rPr>
          <w:rFonts w:ascii="Times New Roman" w:hAnsi="Times New Roman" w:hint="eastAsia"/>
          <w:i/>
          <w:sz w:val="24"/>
          <w:szCs w:val="24"/>
          <w:lang w:val="fr-FR"/>
        </w:rPr>
        <w:t>«</w:t>
      </w:r>
      <w:r w:rsidRPr="004E4188">
        <w:rPr>
          <w:rFonts w:ascii="Times New Roman" w:hAnsi="Times New Roman"/>
          <w:i/>
          <w:sz w:val="24"/>
          <w:szCs w:val="24"/>
          <w:lang w:val="fr-FR" w:eastAsia="ja-JP"/>
        </w:rPr>
        <w:t> </w:t>
      </w:r>
      <w:r w:rsidRPr="004E4188">
        <w:rPr>
          <w:rFonts w:ascii="Times New Roman" w:hAnsi="Times New Roman"/>
          <w:i/>
          <w:sz w:val="24"/>
          <w:szCs w:val="24"/>
          <w:lang w:val="fr-FR"/>
        </w:rPr>
        <w:t xml:space="preserve">Nous </w:t>
      </w:r>
      <w:r w:rsidRPr="004E4188">
        <w:rPr>
          <w:rFonts w:ascii="Times New Roman" w:hAnsi="Times New Roman"/>
          <w:sz w:val="24"/>
          <w:szCs w:val="24"/>
          <w:lang w:val="fr-FR"/>
        </w:rPr>
        <w:t>[</w:t>
      </w:r>
      <w:r w:rsidRPr="004E4188">
        <w:rPr>
          <w:rFonts w:ascii="Times New Roman" w:hAnsi="Times New Roman"/>
          <w:i/>
          <w:sz w:val="24"/>
          <w:szCs w:val="24"/>
          <w:lang w:val="fr-FR"/>
        </w:rPr>
        <w:t>indiquer le nom complet du sous-traitant</w:t>
      </w:r>
      <w:r w:rsidRPr="004E4188">
        <w:rPr>
          <w:rFonts w:ascii="Times New Roman" w:hAnsi="Times New Roman"/>
          <w:sz w:val="24"/>
          <w:szCs w:val="24"/>
          <w:lang w:val="fr-FR"/>
        </w:rPr>
        <w:t>]</w:t>
      </w:r>
      <w:r w:rsidRPr="004E4188">
        <w:rPr>
          <w:rFonts w:ascii="Times New Roman" w:hAnsi="Times New Roman"/>
          <w:i/>
          <w:sz w:val="24"/>
          <w:szCs w:val="24"/>
          <w:lang w:val="fr-FR"/>
        </w:rPr>
        <w:t xml:space="preserve">, autorisons par la présente </w:t>
      </w:r>
      <w:r w:rsidRPr="004E4188">
        <w:rPr>
          <w:rFonts w:ascii="Times New Roman" w:hAnsi="Times New Roman"/>
          <w:sz w:val="24"/>
          <w:szCs w:val="24"/>
          <w:lang w:val="fr-FR"/>
        </w:rPr>
        <w:t>[</w:t>
      </w:r>
      <w:r w:rsidRPr="004E4188">
        <w:rPr>
          <w:rFonts w:ascii="Times New Roman" w:hAnsi="Times New Roman"/>
          <w:i/>
          <w:sz w:val="24"/>
          <w:szCs w:val="24"/>
          <w:lang w:val="fr-FR"/>
        </w:rPr>
        <w:t>indiquer le nom complet du Soumissionnaire</w:t>
      </w:r>
      <w:r w:rsidRPr="004E4188">
        <w:rPr>
          <w:rFonts w:ascii="Times New Roman" w:hAnsi="Times New Roman"/>
          <w:sz w:val="24"/>
          <w:szCs w:val="24"/>
          <w:lang w:val="fr-FR"/>
        </w:rPr>
        <w:t xml:space="preserve">] </w:t>
      </w:r>
      <w:r w:rsidRPr="004E4188">
        <w:rPr>
          <w:rFonts w:ascii="Times New Roman" w:hAnsi="Times New Roman"/>
          <w:i/>
          <w:sz w:val="24"/>
          <w:szCs w:val="24"/>
          <w:lang w:val="fr-FR"/>
        </w:rPr>
        <w:t xml:space="preserve">à présenter une offre pour la fourniture de la partie du Marché suivante : </w:t>
      </w:r>
      <w:r w:rsidRPr="004E4188">
        <w:rPr>
          <w:rFonts w:ascii="Times New Roman" w:hAnsi="Times New Roman"/>
          <w:sz w:val="24"/>
          <w:szCs w:val="24"/>
          <w:lang w:val="fr-FR"/>
        </w:rPr>
        <w:t>[</w:t>
      </w:r>
      <w:r w:rsidRPr="004E4188">
        <w:rPr>
          <w:rFonts w:ascii="Times New Roman" w:hAnsi="Times New Roman"/>
          <w:i/>
          <w:sz w:val="24"/>
          <w:szCs w:val="24"/>
          <w:lang w:val="fr-FR"/>
        </w:rPr>
        <w:t>indiquer le nom et/ou donner une description succincte des services</w:t>
      </w:r>
      <w:r w:rsidRPr="004E4188">
        <w:rPr>
          <w:rFonts w:ascii="Times New Roman" w:hAnsi="Times New Roman"/>
          <w:sz w:val="24"/>
          <w:szCs w:val="24"/>
          <w:lang w:val="fr-FR"/>
        </w:rPr>
        <w:t xml:space="preserve">] </w:t>
      </w:r>
      <w:r w:rsidRPr="004E4188">
        <w:rPr>
          <w:rFonts w:ascii="Times New Roman" w:hAnsi="Times New Roman"/>
          <w:i/>
          <w:sz w:val="24"/>
          <w:szCs w:val="24"/>
          <w:lang w:val="fr-FR"/>
        </w:rPr>
        <w:t>exécutée par nous, et à éventuellement négocier et signer le Marché. »</w:t>
      </w:r>
      <w:r w:rsidRPr="004E4188">
        <w:rPr>
          <w:rFonts w:ascii="Times New Roman" w:hAnsi="Times New Roman"/>
          <w:sz w:val="24"/>
          <w:szCs w:val="24"/>
          <w:lang w:val="fr-FR"/>
        </w:rPr>
        <w:t>]</w:t>
      </w:r>
    </w:p>
    <w:p w14:paraId="7EFF2FD4" w14:textId="77777777" w:rsidR="007049A5" w:rsidRPr="004E4188" w:rsidRDefault="007049A5" w:rsidP="006C6267">
      <w:pPr>
        <w:ind w:left="2880" w:hanging="720"/>
      </w:pPr>
    </w:p>
    <w:p w14:paraId="1EDACD81" w14:textId="77777777" w:rsidR="007049A5" w:rsidRPr="004E4188" w:rsidRDefault="007049A5" w:rsidP="005B3108">
      <w:pPr>
        <w:wordWrap w:val="0"/>
        <w:ind w:leftChars="150" w:left="360"/>
        <w:jc w:val="right"/>
      </w:pPr>
      <w:r w:rsidRPr="004E4188">
        <w:t>Date : [</w:t>
      </w:r>
      <w:r w:rsidRPr="004E4188">
        <w:rPr>
          <w:i/>
        </w:rPr>
        <w:t xml:space="preserve">indiquer la date (jour, mois, année) </w:t>
      </w:r>
      <w:r w:rsidRPr="004E4188">
        <w:rPr>
          <w:i/>
          <w:szCs w:val="24"/>
        </w:rPr>
        <w:t>de remise de l’offre</w:t>
      </w:r>
      <w:r w:rsidRPr="004E4188">
        <w:t>]</w:t>
      </w:r>
    </w:p>
    <w:p w14:paraId="4B0AA082" w14:textId="77777777" w:rsidR="007049A5" w:rsidRPr="004E4188" w:rsidRDefault="007049A5" w:rsidP="006C6267">
      <w:pPr>
        <w:tabs>
          <w:tab w:val="left" w:pos="4111"/>
        </w:tabs>
        <w:ind w:leftChars="150" w:left="360" w:firstLineChars="100" w:firstLine="240"/>
        <w:jc w:val="right"/>
      </w:pPr>
      <w:r w:rsidRPr="004E4188">
        <w:t xml:space="preserve">AAO n° : </w:t>
      </w:r>
      <w:r w:rsidRPr="004E4188">
        <w:rPr>
          <w:iCs/>
        </w:rPr>
        <w:t>[</w:t>
      </w:r>
      <w:r w:rsidRPr="004E4188">
        <w:rPr>
          <w:i/>
          <w:iCs/>
        </w:rPr>
        <w:t>indiquer le numéro de l’Avis d’appel d’offres</w:t>
      </w:r>
      <w:r w:rsidRPr="004E4188">
        <w:rPr>
          <w:iCs/>
        </w:rPr>
        <w:t>]</w:t>
      </w:r>
    </w:p>
    <w:p w14:paraId="71BC827A" w14:textId="77777777" w:rsidR="007049A5" w:rsidRPr="004E4188" w:rsidRDefault="007049A5" w:rsidP="006C6267">
      <w:pPr>
        <w:tabs>
          <w:tab w:val="right" w:pos="9630"/>
        </w:tabs>
        <w:ind w:left="4392"/>
      </w:pPr>
    </w:p>
    <w:p w14:paraId="67E667B2" w14:textId="741A4E1D" w:rsidR="007049A5" w:rsidRPr="004E4188" w:rsidRDefault="00D36F84" w:rsidP="006C6267">
      <w:pPr>
        <w:rPr>
          <w:rFonts w:eastAsia="游ゴシック"/>
          <w:color w:val="333333"/>
          <w:kern w:val="2"/>
          <w:szCs w:val="24"/>
          <w:shd w:val="clear" w:color="auto" w:fill="FAFBFC"/>
          <w:lang w:eastAsia="ja-JP"/>
        </w:rPr>
      </w:pPr>
      <w:r w:rsidRPr="004E4188">
        <w:rPr>
          <w:rFonts w:eastAsia="游ゴシック"/>
          <w:color w:val="333333"/>
          <w:kern w:val="2"/>
          <w:szCs w:val="24"/>
          <w:shd w:val="clear" w:color="auto" w:fill="FAFBFC"/>
          <w:lang w:eastAsia="ja-JP"/>
        </w:rPr>
        <w:t>À</w:t>
      </w:r>
      <w:r w:rsidR="007049A5" w:rsidRPr="004E4188">
        <w:t xml:space="preserve"> l’attention de : [</w:t>
      </w:r>
      <w:r w:rsidR="007049A5" w:rsidRPr="004E4188">
        <w:rPr>
          <w:i/>
        </w:rPr>
        <w:t>indiquer le nom complet du Maître d’ouvrage</w:t>
      </w:r>
      <w:r w:rsidR="007049A5" w:rsidRPr="004E4188">
        <w:t>]</w:t>
      </w:r>
    </w:p>
    <w:p w14:paraId="0D250EBB" w14:textId="77777777" w:rsidR="007049A5" w:rsidRPr="004E4188" w:rsidRDefault="007049A5" w:rsidP="006C6267">
      <w:pPr>
        <w:rPr>
          <w:i/>
        </w:rPr>
      </w:pPr>
    </w:p>
    <w:p w14:paraId="61B2C119" w14:textId="77777777" w:rsidR="007049A5" w:rsidRPr="004E4188" w:rsidRDefault="007049A5" w:rsidP="006C6267">
      <w:pPr>
        <w:rPr>
          <w:i/>
        </w:rPr>
      </w:pPr>
    </w:p>
    <w:p w14:paraId="21A6B985" w14:textId="77777777" w:rsidR="007049A5" w:rsidRPr="004E4188" w:rsidRDefault="007049A5" w:rsidP="006C6267">
      <w:pPr>
        <w:spacing w:afterLines="100" w:after="240"/>
        <w:rPr>
          <w:smallCaps/>
        </w:rPr>
      </w:pPr>
      <w:r w:rsidRPr="004E4188">
        <w:rPr>
          <w:smallCaps/>
        </w:rPr>
        <w:t>ATTENDU QUE :</w:t>
      </w:r>
    </w:p>
    <w:p w14:paraId="5A5079EC" w14:textId="77777777" w:rsidR="007049A5" w:rsidRPr="004E4188" w:rsidRDefault="007049A5" w:rsidP="006C6267">
      <w:pPr>
        <w:rPr>
          <w:i/>
        </w:rPr>
      </w:pPr>
      <w:r w:rsidRPr="004E4188">
        <w:t>Nous [</w:t>
      </w:r>
      <w:r w:rsidRPr="004E4188">
        <w:rPr>
          <w:i/>
        </w:rPr>
        <w:t>indiquer le nom complet du fabricant ou de l’agent agréé du fabricant</w:t>
      </w:r>
      <w:r w:rsidRPr="004E4188">
        <w:t>], qui sommes fabricant officiel de [</w:t>
      </w:r>
      <w:r w:rsidRPr="004E4188">
        <w:rPr>
          <w:i/>
        </w:rPr>
        <w:t>indiquer le type d’équipements fabriqués</w:t>
      </w:r>
      <w:r w:rsidRPr="004E4188">
        <w:t>], ayant nos usines localisées à [</w:t>
      </w:r>
      <w:r w:rsidRPr="004E4188">
        <w:rPr>
          <w:i/>
        </w:rPr>
        <w:t>indiquer l’adresse complète des usines du fabricant</w:t>
      </w:r>
      <w:r w:rsidRPr="004E4188">
        <w:t>],</w:t>
      </w:r>
      <w:r w:rsidRPr="004E4188">
        <w:rPr>
          <w:i/>
        </w:rPr>
        <w:t xml:space="preserve"> </w:t>
      </w:r>
      <w:r w:rsidRPr="004E4188">
        <w:t>autorisons par la présente [</w:t>
      </w:r>
      <w:r w:rsidRPr="004E4188">
        <w:rPr>
          <w:i/>
        </w:rPr>
        <w:t>indiquer le nom complet du Soumissionnaire</w:t>
      </w:r>
      <w:r w:rsidRPr="004E4188">
        <w:t>] à présenter une offre pour la fourniture des équipements suivants : [</w:t>
      </w:r>
      <w:r w:rsidRPr="004E4188">
        <w:rPr>
          <w:i/>
        </w:rPr>
        <w:t>indiquer le nom et/ou donner une description succincte des équipements</w:t>
      </w:r>
      <w:r w:rsidRPr="004E4188">
        <w:t>] fabriqués par nous, et à éventuellement négocier et signer le Marché.</w:t>
      </w:r>
    </w:p>
    <w:p w14:paraId="5C6232F1" w14:textId="77777777" w:rsidR="007049A5" w:rsidRPr="004E4188" w:rsidRDefault="007049A5" w:rsidP="006C62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492A15" w14:textId="77777777" w:rsidR="007049A5" w:rsidRPr="004E4188" w:rsidRDefault="007049A5" w:rsidP="006C62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E4188">
        <w:t>Nous confirmons toutes nos garanties et nous nous portons garants conformément au Marché pour les équipements offerts par l’entreprise susmentionnée.</w:t>
      </w:r>
    </w:p>
    <w:p w14:paraId="17E03C00" w14:textId="77777777" w:rsidR="007049A5" w:rsidRPr="004E4188" w:rsidRDefault="007049A5" w:rsidP="006C62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6A93B6" w14:textId="77777777" w:rsidR="007049A5" w:rsidRPr="004E4188" w:rsidRDefault="007049A5" w:rsidP="006C6267">
      <w:pPr>
        <w:tabs>
          <w:tab w:val="left" w:pos="6120"/>
        </w:tabs>
        <w:rPr>
          <w:lang w:eastAsia="ja-JP"/>
        </w:rPr>
      </w:pPr>
      <w:r w:rsidRPr="004E4188">
        <w:t>Nom : [</w:t>
      </w:r>
      <w:r w:rsidRPr="004E4188">
        <w:rPr>
          <w:i/>
        </w:rPr>
        <w:t>indiquer le nom complet du signataire de l’autorisation</w:t>
      </w:r>
      <w:r w:rsidRPr="004E4188">
        <w:t>]</w:t>
      </w:r>
    </w:p>
    <w:p w14:paraId="63B15A13" w14:textId="77777777" w:rsidR="007049A5" w:rsidRPr="004E4188" w:rsidRDefault="007049A5" w:rsidP="006C6267">
      <w:pPr>
        <w:tabs>
          <w:tab w:val="left" w:pos="6120"/>
        </w:tabs>
      </w:pPr>
    </w:p>
    <w:p w14:paraId="25D96425" w14:textId="77777777" w:rsidR="007049A5" w:rsidRPr="004E4188" w:rsidRDefault="007049A5" w:rsidP="006C6267">
      <w:pPr>
        <w:tabs>
          <w:tab w:val="left" w:pos="6120"/>
        </w:tabs>
      </w:pPr>
      <w:r w:rsidRPr="004E4188">
        <w:t>Titre : [</w:t>
      </w:r>
      <w:r w:rsidRPr="004E4188">
        <w:rPr>
          <w:i/>
        </w:rPr>
        <w:t>indiquer le titre du signataire</w:t>
      </w:r>
      <w:r w:rsidRPr="004E4188">
        <w:t xml:space="preserve">] </w:t>
      </w:r>
    </w:p>
    <w:p w14:paraId="1FE39FBB" w14:textId="77777777" w:rsidR="007049A5" w:rsidRPr="004E4188" w:rsidRDefault="007049A5" w:rsidP="006C6267"/>
    <w:p w14:paraId="7A739CED" w14:textId="77777777" w:rsidR="007049A5" w:rsidRPr="004E4188" w:rsidRDefault="007049A5" w:rsidP="006C6267">
      <w:pPr>
        <w:rPr>
          <w:b/>
        </w:rPr>
      </w:pPr>
      <w:r w:rsidRPr="004E4188">
        <w:rPr>
          <w:b/>
        </w:rPr>
        <w:t>Signature : [</w:t>
      </w:r>
      <w:r w:rsidRPr="004E4188">
        <w:rPr>
          <w:b/>
          <w:i/>
        </w:rPr>
        <w:t>insérer la signature de la personne dont le nom et le titre sont donnés ci-dessus</w:t>
      </w:r>
      <w:r w:rsidRPr="004E4188">
        <w:rPr>
          <w:b/>
        </w:rPr>
        <w:t>]</w:t>
      </w:r>
    </w:p>
    <w:p w14:paraId="405821B0" w14:textId="77777777" w:rsidR="007049A5" w:rsidRPr="004E4188" w:rsidRDefault="007049A5" w:rsidP="006C6267">
      <w:pPr>
        <w:pStyle w:val="BankNormal"/>
        <w:tabs>
          <w:tab w:val="left" w:pos="1188"/>
          <w:tab w:val="left" w:pos="2394"/>
          <w:tab w:val="left" w:pos="4200"/>
          <w:tab w:val="left" w:pos="5238"/>
          <w:tab w:val="left" w:pos="7632"/>
          <w:tab w:val="left" w:pos="7868"/>
          <w:tab w:val="left" w:pos="9468"/>
        </w:tabs>
        <w:rPr>
          <w:lang w:val="fr-FR"/>
        </w:rPr>
      </w:pPr>
    </w:p>
    <w:p w14:paraId="101144DE" w14:textId="7D8FF9D2" w:rsidR="007049A5" w:rsidRPr="004E4188" w:rsidRDefault="007049A5" w:rsidP="006C6267">
      <w:pPr>
        <w:tabs>
          <w:tab w:val="left" w:pos="5238"/>
          <w:tab w:val="left" w:pos="5474"/>
          <w:tab w:val="left" w:pos="9468"/>
        </w:tabs>
        <w:ind w:left="6168" w:hangingChars="2570" w:hanging="6168"/>
      </w:pPr>
      <w:r w:rsidRPr="004E4188">
        <w:t>Dûment habilité à signer l’autorisation pour et au nom de : [</w:t>
      </w:r>
      <w:r w:rsidRPr="004E4188">
        <w:rPr>
          <w:i/>
        </w:rPr>
        <w:t xml:space="preserve">indiquer le nom complet du </w:t>
      </w:r>
      <w:r w:rsidR="006B07EA" w:rsidRPr="004E4188">
        <w:rPr>
          <w:i/>
        </w:rPr>
        <w:t>fabricant</w:t>
      </w:r>
      <w:r w:rsidRPr="004E4188">
        <w:t>]</w:t>
      </w:r>
    </w:p>
    <w:p w14:paraId="018BA9A8" w14:textId="77777777" w:rsidR="007049A5" w:rsidRPr="004E4188" w:rsidRDefault="007049A5" w:rsidP="006C6267">
      <w:pPr>
        <w:tabs>
          <w:tab w:val="left" w:pos="5238"/>
          <w:tab w:val="left" w:pos="5474"/>
          <w:tab w:val="left" w:pos="9468"/>
        </w:tabs>
        <w:rPr>
          <w:i/>
        </w:rPr>
      </w:pPr>
    </w:p>
    <w:p w14:paraId="65F83D90" w14:textId="77777777" w:rsidR="007049A5" w:rsidRPr="004E4188" w:rsidRDefault="007049A5" w:rsidP="006C6267">
      <w:r w:rsidRPr="004E4188">
        <w:t>Date : [</w:t>
      </w:r>
      <w:r w:rsidRPr="004E4188">
        <w:rPr>
          <w:i/>
        </w:rPr>
        <w:t>indiquer la date de signature</w:t>
      </w:r>
      <w:r w:rsidRPr="004E4188">
        <w:t>]</w:t>
      </w:r>
    </w:p>
    <w:p w14:paraId="7F5EAB9B" w14:textId="2E483754" w:rsidR="007049A5" w:rsidRPr="004E4188" w:rsidRDefault="007049A5" w:rsidP="006C6267">
      <w:pPr>
        <w:pStyle w:val="SectionIVHeading2"/>
        <w:outlineLvl w:val="2"/>
        <w:rPr>
          <w:rStyle w:val="Table"/>
          <w:rFonts w:ascii="Times New Roman" w:hAnsi="Times New Roman"/>
          <w:spacing w:val="-2"/>
          <w:sz w:val="32"/>
          <w:szCs w:val="32"/>
          <w:lang w:val="fr-FR"/>
        </w:rPr>
      </w:pPr>
      <w:r w:rsidRPr="004E4188">
        <w:rPr>
          <w:sz w:val="32"/>
          <w:szCs w:val="32"/>
          <w:lang w:val="fr-FR"/>
        </w:rPr>
        <w:br w:type="page"/>
      </w:r>
      <w:bookmarkStart w:id="582" w:name="_Toc349117747"/>
      <w:bookmarkStart w:id="583" w:name="_Toc112429321"/>
      <w:r w:rsidRPr="004E4188">
        <w:rPr>
          <w:sz w:val="32"/>
          <w:szCs w:val="32"/>
          <w:lang w:val="fr-FR"/>
        </w:rPr>
        <w:t>Formulaire PER-1</w:t>
      </w:r>
      <w:r w:rsidRPr="004E4188">
        <w:rPr>
          <w:sz w:val="32"/>
          <w:szCs w:val="32"/>
          <w:lang w:val="fr-FR"/>
        </w:rPr>
        <w:br/>
        <w:t>Personnel proposé</w:t>
      </w:r>
      <w:bookmarkEnd w:id="577"/>
      <w:bookmarkEnd w:id="582"/>
      <w:bookmarkEnd w:id="583"/>
    </w:p>
    <w:p w14:paraId="6DEA4CFF" w14:textId="77777777" w:rsidR="007049A5" w:rsidRPr="004E4188" w:rsidRDefault="007049A5" w:rsidP="006C3B7A">
      <w:pPr>
        <w:tabs>
          <w:tab w:val="left" w:pos="2610"/>
        </w:tabs>
        <w:rPr>
          <w:rStyle w:val="Table"/>
          <w:spacing w:val="-2"/>
        </w:rPr>
      </w:pPr>
    </w:p>
    <w:p w14:paraId="5098BDDC" w14:textId="69AB1AB6" w:rsidR="007049A5" w:rsidRPr="004E4188" w:rsidRDefault="007049A5" w:rsidP="00FD7BE7">
      <w:pPr>
        <w:wordWrap w:val="0"/>
        <w:jc w:val="right"/>
        <w:rPr>
          <w:iCs/>
        </w:rPr>
      </w:pPr>
      <w:r w:rsidRPr="004E4188">
        <w:t xml:space="preserve">Date : </w:t>
      </w:r>
      <w:r w:rsidRPr="004E4188">
        <w:rPr>
          <w:iCs/>
        </w:rPr>
        <w:t>[</w:t>
      </w:r>
      <w:r w:rsidRPr="004E4188">
        <w:rPr>
          <w:i/>
          <w:iCs/>
        </w:rPr>
        <w:t>indiquer jour, mois, année</w:t>
      </w:r>
      <w:r w:rsidRPr="004E4188">
        <w:rPr>
          <w:iCs/>
        </w:rPr>
        <w:t>]</w:t>
      </w:r>
    </w:p>
    <w:p w14:paraId="0EB87811" w14:textId="77777777" w:rsidR="007049A5" w:rsidRPr="004E4188" w:rsidRDefault="007049A5" w:rsidP="00C361EB">
      <w:pPr>
        <w:jc w:val="right"/>
      </w:pPr>
      <w:r w:rsidRPr="004E4188">
        <w:t>Nom légal du Soumissionnaire : [</w:t>
      </w:r>
      <w:r w:rsidRPr="004E4188">
        <w:rPr>
          <w:i/>
        </w:rPr>
        <w:t>indiquer le nom complet</w:t>
      </w:r>
      <w:r w:rsidRPr="004E4188">
        <w:t>]</w:t>
      </w:r>
    </w:p>
    <w:p w14:paraId="55E2E12B" w14:textId="77777777" w:rsidR="007049A5" w:rsidRPr="004E4188" w:rsidRDefault="007049A5" w:rsidP="00C361EB">
      <w:pPr>
        <w:jc w:val="right"/>
      </w:pPr>
      <w:r w:rsidRPr="004E4188">
        <w:t>Nom légal du membre du Groupement : [</w:t>
      </w:r>
      <w:r w:rsidRPr="004E4188">
        <w:rPr>
          <w:i/>
        </w:rPr>
        <w:t>indiquer le nom complet</w:t>
      </w:r>
      <w:r w:rsidRPr="004E4188">
        <w:t>]</w:t>
      </w:r>
    </w:p>
    <w:p w14:paraId="7BE502E9" w14:textId="77777777" w:rsidR="007049A5" w:rsidRPr="004E4188" w:rsidRDefault="007049A5" w:rsidP="00C361EB">
      <w:pPr>
        <w:jc w:val="right"/>
        <w:rPr>
          <w:i/>
          <w:iCs/>
        </w:rPr>
      </w:pPr>
      <w:r w:rsidRPr="004E4188">
        <w:t>AAO n</w:t>
      </w:r>
      <w:r w:rsidRPr="004E4188">
        <w:rPr>
          <w:vertAlign w:val="superscript"/>
        </w:rPr>
        <w:t>o</w:t>
      </w:r>
      <w:r w:rsidRPr="004E4188">
        <w:t xml:space="preserve"> : </w:t>
      </w:r>
      <w:r w:rsidRPr="004E4188">
        <w:rPr>
          <w:iCs/>
        </w:rPr>
        <w:t>[</w:t>
      </w:r>
      <w:r w:rsidRPr="004E4188">
        <w:rPr>
          <w:i/>
          <w:iCs/>
        </w:rPr>
        <w:t>indiquer le numéro</w:t>
      </w:r>
      <w:r w:rsidRPr="004E4188">
        <w:rPr>
          <w:iCs/>
        </w:rPr>
        <w:t>]</w:t>
      </w:r>
    </w:p>
    <w:p w14:paraId="1BADB21D" w14:textId="4A945C9F" w:rsidR="007049A5" w:rsidRPr="004E4188" w:rsidRDefault="007049A5" w:rsidP="00C361EB">
      <w:pPr>
        <w:tabs>
          <w:tab w:val="left" w:pos="2610"/>
        </w:tabs>
        <w:jc w:val="right"/>
        <w:rPr>
          <w:iCs/>
        </w:rPr>
      </w:pPr>
      <w:r w:rsidRPr="004E4188">
        <w:rPr>
          <w:iCs/>
        </w:rPr>
        <w:t>Page</w:t>
      </w:r>
      <w:r w:rsidR="005E173C" w:rsidRPr="004E4188">
        <w:t> </w:t>
      </w:r>
      <w:r w:rsidRPr="004E4188">
        <w:t xml:space="preserve">: </w:t>
      </w:r>
      <w:r w:rsidRPr="004E4188">
        <w:rPr>
          <w:iCs/>
        </w:rPr>
        <w:t>[</w:t>
      </w:r>
      <w:r w:rsidRPr="004E4188">
        <w:rPr>
          <w:i/>
          <w:iCs/>
        </w:rPr>
        <w:t>indiquer le numéro de la page</w:t>
      </w:r>
      <w:r w:rsidRPr="004E4188">
        <w:rPr>
          <w:iCs/>
        </w:rPr>
        <w:t>]</w:t>
      </w:r>
      <w:r w:rsidRPr="004E4188">
        <w:rPr>
          <w:i/>
          <w:iCs/>
        </w:rPr>
        <w:t xml:space="preserve"> </w:t>
      </w:r>
      <w:r w:rsidRPr="004E4188">
        <w:rPr>
          <w:iCs/>
        </w:rPr>
        <w:t>de</w:t>
      </w:r>
      <w:r w:rsidRPr="004E4188">
        <w:rPr>
          <w:i/>
          <w:iCs/>
        </w:rPr>
        <w:t xml:space="preserve"> </w:t>
      </w:r>
      <w:r w:rsidRPr="004E4188">
        <w:rPr>
          <w:iCs/>
        </w:rPr>
        <w:t>[</w:t>
      </w:r>
      <w:r w:rsidRPr="004E4188">
        <w:rPr>
          <w:i/>
          <w:iCs/>
        </w:rPr>
        <w:t>indiquer le nombre total de</w:t>
      </w:r>
      <w:r w:rsidRPr="004E4188">
        <w:rPr>
          <w:iCs/>
        </w:rPr>
        <w:t>] pages</w:t>
      </w:r>
    </w:p>
    <w:p w14:paraId="7196B39C" w14:textId="77777777" w:rsidR="007049A5" w:rsidRPr="004E4188" w:rsidRDefault="007049A5" w:rsidP="00C361EB">
      <w:pPr>
        <w:tabs>
          <w:tab w:val="left" w:pos="2610"/>
        </w:tabs>
        <w:jc w:val="right"/>
        <w:rPr>
          <w:rStyle w:val="Table"/>
          <w:spacing w:val="-2"/>
        </w:rPr>
      </w:pPr>
    </w:p>
    <w:p w14:paraId="3D7566E7" w14:textId="77777777" w:rsidR="007049A5" w:rsidRPr="004E4188" w:rsidRDefault="007049A5" w:rsidP="006C3B7A">
      <w:pPr>
        <w:tabs>
          <w:tab w:val="left" w:pos="2610"/>
        </w:tabs>
      </w:pPr>
    </w:p>
    <w:p w14:paraId="5BF96FE0" w14:textId="77777777" w:rsidR="007049A5" w:rsidRPr="004E4188" w:rsidRDefault="007049A5" w:rsidP="00BE6B88">
      <w:pPr>
        <w:tabs>
          <w:tab w:val="left" w:pos="2610"/>
        </w:tabs>
        <w:spacing w:afterLines="100" w:after="240"/>
        <w:rPr>
          <w:rStyle w:val="Table"/>
          <w:sz w:val="24"/>
        </w:rPr>
      </w:pPr>
      <w:r w:rsidRPr="004E4188">
        <w:rPr>
          <w:iCs/>
        </w:rPr>
        <w:t>[</w:t>
      </w:r>
      <w:r w:rsidRPr="004E4188">
        <w:rPr>
          <w:i/>
        </w:rPr>
        <w:t>Le Soumissionnaire doit fournir le nom de personnes ayant les qualifications requises, spécifiées à l’Article 1.1.1 de la Section III, Critères d’évaluation et de qualification. La «</w:t>
      </w:r>
      <w:r w:rsidRPr="004E4188">
        <w:rPr>
          <w:smallCaps/>
        </w:rPr>
        <w:t> </w:t>
      </w:r>
      <w:r w:rsidRPr="004E4188">
        <w:rPr>
          <w:i/>
        </w:rPr>
        <w:t>Désignation du poste » doit être complétée par les postes-clés énumérés à l’Article ci-dessus.</w:t>
      </w:r>
      <w:r w:rsidRPr="004E4188">
        <w:rPr>
          <w:iCs/>
        </w:rPr>
        <w:t>]</w:t>
      </w: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7049A5" w:rsidRPr="004E4188" w14:paraId="2666ED2F" w14:textId="77777777" w:rsidTr="00780A3C">
        <w:trPr>
          <w:cantSplit/>
        </w:trPr>
        <w:tc>
          <w:tcPr>
            <w:tcW w:w="720" w:type="dxa"/>
            <w:tcBorders>
              <w:top w:val="single" w:sz="6" w:space="0" w:color="auto"/>
              <w:left w:val="single" w:sz="6" w:space="0" w:color="auto"/>
              <w:bottom w:val="nil"/>
              <w:right w:val="nil"/>
            </w:tcBorders>
          </w:tcPr>
          <w:p w14:paraId="0B45DAEA" w14:textId="77777777" w:rsidR="007049A5" w:rsidRPr="004E4188" w:rsidRDefault="007049A5" w:rsidP="00780A3C">
            <w:pPr>
              <w:tabs>
                <w:tab w:val="left" w:pos="2610"/>
              </w:tabs>
              <w:spacing w:before="12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1.</w:t>
            </w:r>
          </w:p>
        </w:tc>
        <w:tc>
          <w:tcPr>
            <w:tcW w:w="8370" w:type="dxa"/>
            <w:tcBorders>
              <w:top w:val="single" w:sz="6" w:space="0" w:color="auto"/>
              <w:left w:val="single" w:sz="6" w:space="0" w:color="auto"/>
              <w:bottom w:val="nil"/>
              <w:right w:val="single" w:sz="6" w:space="0" w:color="auto"/>
            </w:tcBorders>
          </w:tcPr>
          <w:p w14:paraId="11EC0420" w14:textId="77CC97B8" w:rsidR="007049A5" w:rsidRPr="004E4188" w:rsidRDefault="007049A5" w:rsidP="006C6267">
            <w:pPr>
              <w:tabs>
                <w:tab w:val="left" w:pos="2610"/>
              </w:tabs>
              <w:spacing w:before="12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Désignation du poste</w:t>
            </w:r>
            <w:r w:rsidR="00BB1DC7" w:rsidRPr="004E4188">
              <w:rPr>
                <w:b/>
                <w:spacing w:val="-2"/>
                <w:szCs w:val="24"/>
              </w:rPr>
              <w:t> :</w:t>
            </w:r>
          </w:p>
        </w:tc>
      </w:tr>
      <w:tr w:rsidR="007049A5" w:rsidRPr="004E4188" w14:paraId="15FD8B18" w14:textId="77777777" w:rsidTr="00780A3C">
        <w:trPr>
          <w:cantSplit/>
        </w:trPr>
        <w:tc>
          <w:tcPr>
            <w:tcW w:w="720" w:type="dxa"/>
            <w:tcBorders>
              <w:top w:val="nil"/>
              <w:left w:val="single" w:sz="6" w:space="0" w:color="auto"/>
              <w:bottom w:val="nil"/>
              <w:right w:val="nil"/>
            </w:tcBorders>
          </w:tcPr>
          <w:p w14:paraId="55A5E855" w14:textId="77777777" w:rsidR="007049A5" w:rsidRPr="004E4188" w:rsidRDefault="007049A5" w:rsidP="00780A3C">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58CEF0ED" w14:textId="7EE5662D" w:rsidR="007049A5" w:rsidRPr="004E4188" w:rsidRDefault="007049A5" w:rsidP="00780A3C">
            <w:pPr>
              <w:tabs>
                <w:tab w:val="left" w:pos="2610"/>
              </w:tabs>
              <w:spacing w:before="120" w:after="120"/>
              <w:rPr>
                <w:rStyle w:val="Table"/>
                <w:rFonts w:ascii="Times New Roman" w:hAnsi="Times New Roman"/>
                <w:b/>
                <w:spacing w:val="-2"/>
                <w:sz w:val="24"/>
                <w:szCs w:val="24"/>
                <w:lang w:eastAsia="ja-JP"/>
              </w:rPr>
            </w:pPr>
            <w:r w:rsidRPr="004E4188">
              <w:rPr>
                <w:rStyle w:val="Table"/>
                <w:rFonts w:ascii="Times New Roman" w:hAnsi="Times New Roman"/>
                <w:b/>
                <w:spacing w:val="-2"/>
                <w:sz w:val="24"/>
                <w:szCs w:val="24"/>
              </w:rPr>
              <w:t>Nom</w:t>
            </w:r>
            <w:r w:rsidR="00BB1DC7" w:rsidRPr="004E4188">
              <w:rPr>
                <w:b/>
                <w:spacing w:val="-2"/>
                <w:szCs w:val="24"/>
              </w:rPr>
              <w:t> :</w:t>
            </w:r>
          </w:p>
        </w:tc>
      </w:tr>
      <w:tr w:rsidR="007049A5" w:rsidRPr="004E4188" w14:paraId="1A809996" w14:textId="77777777" w:rsidTr="00780A3C">
        <w:trPr>
          <w:cantSplit/>
        </w:trPr>
        <w:tc>
          <w:tcPr>
            <w:tcW w:w="720" w:type="dxa"/>
            <w:tcBorders>
              <w:top w:val="single" w:sz="6" w:space="0" w:color="auto"/>
              <w:left w:val="single" w:sz="6" w:space="0" w:color="auto"/>
              <w:bottom w:val="nil"/>
              <w:right w:val="nil"/>
            </w:tcBorders>
          </w:tcPr>
          <w:p w14:paraId="3ACDC6C6" w14:textId="77777777" w:rsidR="007049A5" w:rsidRPr="004E4188" w:rsidRDefault="007049A5" w:rsidP="00780A3C">
            <w:pPr>
              <w:tabs>
                <w:tab w:val="left" w:pos="2610"/>
              </w:tabs>
              <w:spacing w:before="12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2.</w:t>
            </w:r>
          </w:p>
        </w:tc>
        <w:tc>
          <w:tcPr>
            <w:tcW w:w="8370" w:type="dxa"/>
            <w:tcBorders>
              <w:top w:val="single" w:sz="6" w:space="0" w:color="auto"/>
              <w:left w:val="single" w:sz="6" w:space="0" w:color="auto"/>
              <w:bottom w:val="nil"/>
              <w:right w:val="single" w:sz="6" w:space="0" w:color="auto"/>
            </w:tcBorders>
          </w:tcPr>
          <w:p w14:paraId="034F7678" w14:textId="418DCD26" w:rsidR="007049A5" w:rsidRPr="004E4188" w:rsidRDefault="007049A5" w:rsidP="006C6267">
            <w:pPr>
              <w:tabs>
                <w:tab w:val="left" w:pos="2610"/>
              </w:tabs>
              <w:spacing w:before="12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Désignation du poste</w:t>
            </w:r>
            <w:r w:rsidR="00BB1DC7" w:rsidRPr="004E4188">
              <w:rPr>
                <w:b/>
                <w:spacing w:val="-2"/>
                <w:szCs w:val="24"/>
              </w:rPr>
              <w:t> :</w:t>
            </w:r>
          </w:p>
        </w:tc>
      </w:tr>
      <w:tr w:rsidR="007049A5" w:rsidRPr="004E4188" w14:paraId="10F6D71D" w14:textId="77777777" w:rsidTr="00780A3C">
        <w:trPr>
          <w:cantSplit/>
        </w:trPr>
        <w:tc>
          <w:tcPr>
            <w:tcW w:w="720" w:type="dxa"/>
            <w:tcBorders>
              <w:top w:val="nil"/>
              <w:left w:val="single" w:sz="6" w:space="0" w:color="auto"/>
              <w:bottom w:val="nil"/>
              <w:right w:val="nil"/>
            </w:tcBorders>
          </w:tcPr>
          <w:p w14:paraId="5290C79D" w14:textId="77777777" w:rsidR="007049A5" w:rsidRPr="004E4188" w:rsidRDefault="007049A5" w:rsidP="00780A3C">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1746C4C1" w14:textId="78040DEF" w:rsidR="007049A5" w:rsidRPr="004E4188" w:rsidRDefault="007049A5" w:rsidP="00780A3C">
            <w:pPr>
              <w:tabs>
                <w:tab w:val="left" w:pos="2610"/>
              </w:tabs>
              <w:spacing w:before="12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Nom</w:t>
            </w:r>
            <w:r w:rsidR="00BB1DC7" w:rsidRPr="004E4188">
              <w:rPr>
                <w:b/>
                <w:spacing w:val="-2"/>
                <w:szCs w:val="24"/>
              </w:rPr>
              <w:t> :</w:t>
            </w:r>
          </w:p>
        </w:tc>
      </w:tr>
      <w:tr w:rsidR="007049A5" w:rsidRPr="004E4188" w14:paraId="14C50F15" w14:textId="77777777" w:rsidTr="00780A3C">
        <w:trPr>
          <w:cantSplit/>
        </w:trPr>
        <w:tc>
          <w:tcPr>
            <w:tcW w:w="720" w:type="dxa"/>
            <w:tcBorders>
              <w:top w:val="single" w:sz="6" w:space="0" w:color="auto"/>
              <w:left w:val="single" w:sz="6" w:space="0" w:color="auto"/>
              <w:bottom w:val="nil"/>
              <w:right w:val="nil"/>
            </w:tcBorders>
          </w:tcPr>
          <w:p w14:paraId="68A73372" w14:textId="77777777" w:rsidR="007049A5" w:rsidRPr="004E4188" w:rsidRDefault="007049A5" w:rsidP="00780A3C">
            <w:pPr>
              <w:tabs>
                <w:tab w:val="left" w:pos="2610"/>
              </w:tabs>
              <w:spacing w:before="12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3.</w:t>
            </w:r>
          </w:p>
        </w:tc>
        <w:tc>
          <w:tcPr>
            <w:tcW w:w="8370" w:type="dxa"/>
            <w:tcBorders>
              <w:top w:val="single" w:sz="6" w:space="0" w:color="auto"/>
              <w:left w:val="single" w:sz="6" w:space="0" w:color="auto"/>
              <w:bottom w:val="nil"/>
              <w:right w:val="single" w:sz="6" w:space="0" w:color="auto"/>
            </w:tcBorders>
          </w:tcPr>
          <w:p w14:paraId="716D9A4A" w14:textId="4E976F94" w:rsidR="007049A5" w:rsidRPr="004E4188" w:rsidRDefault="007049A5" w:rsidP="006C6267">
            <w:pPr>
              <w:tabs>
                <w:tab w:val="left" w:pos="2610"/>
              </w:tabs>
              <w:spacing w:before="12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Désignation du poste</w:t>
            </w:r>
            <w:r w:rsidR="00BB1DC7" w:rsidRPr="004E4188">
              <w:rPr>
                <w:b/>
                <w:spacing w:val="-2"/>
                <w:szCs w:val="24"/>
              </w:rPr>
              <w:t> :</w:t>
            </w:r>
          </w:p>
        </w:tc>
      </w:tr>
      <w:tr w:rsidR="007049A5" w:rsidRPr="004E4188" w14:paraId="28611325" w14:textId="77777777" w:rsidTr="00780A3C">
        <w:trPr>
          <w:cantSplit/>
        </w:trPr>
        <w:tc>
          <w:tcPr>
            <w:tcW w:w="720" w:type="dxa"/>
            <w:tcBorders>
              <w:top w:val="nil"/>
              <w:left w:val="single" w:sz="6" w:space="0" w:color="auto"/>
              <w:bottom w:val="nil"/>
              <w:right w:val="nil"/>
            </w:tcBorders>
          </w:tcPr>
          <w:p w14:paraId="66E05864" w14:textId="77777777" w:rsidR="007049A5" w:rsidRPr="004E4188" w:rsidRDefault="007049A5" w:rsidP="00780A3C">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nil"/>
              <w:right w:val="single" w:sz="6" w:space="0" w:color="auto"/>
            </w:tcBorders>
          </w:tcPr>
          <w:p w14:paraId="47ABE445" w14:textId="22A04E05" w:rsidR="007049A5" w:rsidRPr="004E4188" w:rsidRDefault="007049A5" w:rsidP="00780A3C">
            <w:pPr>
              <w:tabs>
                <w:tab w:val="left" w:pos="2610"/>
              </w:tabs>
              <w:spacing w:before="120" w:after="120"/>
              <w:rPr>
                <w:rStyle w:val="Table"/>
                <w:rFonts w:ascii="Times New Roman" w:hAnsi="Times New Roman"/>
                <w:b/>
                <w:spacing w:val="-2"/>
                <w:sz w:val="24"/>
                <w:szCs w:val="24"/>
                <w:lang w:eastAsia="ja-JP"/>
              </w:rPr>
            </w:pPr>
            <w:r w:rsidRPr="004E4188">
              <w:rPr>
                <w:rStyle w:val="Table"/>
                <w:rFonts w:ascii="Times New Roman" w:hAnsi="Times New Roman"/>
                <w:b/>
                <w:spacing w:val="-2"/>
                <w:sz w:val="24"/>
                <w:szCs w:val="24"/>
              </w:rPr>
              <w:t>Nom</w:t>
            </w:r>
            <w:r w:rsidR="00BB1DC7" w:rsidRPr="004E4188">
              <w:rPr>
                <w:b/>
                <w:spacing w:val="-2"/>
                <w:szCs w:val="24"/>
              </w:rPr>
              <w:t> :</w:t>
            </w:r>
          </w:p>
        </w:tc>
      </w:tr>
      <w:tr w:rsidR="007049A5" w:rsidRPr="004E4188" w14:paraId="49C31AA8" w14:textId="77777777" w:rsidTr="00780A3C">
        <w:trPr>
          <w:cantSplit/>
        </w:trPr>
        <w:tc>
          <w:tcPr>
            <w:tcW w:w="720" w:type="dxa"/>
            <w:tcBorders>
              <w:top w:val="single" w:sz="6" w:space="0" w:color="auto"/>
              <w:left w:val="single" w:sz="6" w:space="0" w:color="auto"/>
              <w:bottom w:val="nil"/>
              <w:right w:val="nil"/>
            </w:tcBorders>
          </w:tcPr>
          <w:p w14:paraId="2F283162" w14:textId="77777777" w:rsidR="007049A5" w:rsidRPr="004E4188" w:rsidRDefault="007049A5" w:rsidP="00780A3C">
            <w:pPr>
              <w:tabs>
                <w:tab w:val="left" w:pos="2610"/>
              </w:tabs>
              <w:spacing w:before="12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4.</w:t>
            </w:r>
          </w:p>
        </w:tc>
        <w:tc>
          <w:tcPr>
            <w:tcW w:w="8370" w:type="dxa"/>
            <w:tcBorders>
              <w:top w:val="single" w:sz="6" w:space="0" w:color="auto"/>
              <w:left w:val="single" w:sz="6" w:space="0" w:color="auto"/>
              <w:bottom w:val="nil"/>
              <w:right w:val="single" w:sz="6" w:space="0" w:color="auto"/>
            </w:tcBorders>
          </w:tcPr>
          <w:p w14:paraId="33FB4642" w14:textId="7ADDD3B4" w:rsidR="007049A5" w:rsidRPr="004E4188" w:rsidRDefault="007049A5" w:rsidP="006C6267">
            <w:pPr>
              <w:tabs>
                <w:tab w:val="left" w:pos="2610"/>
              </w:tabs>
              <w:spacing w:before="12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Désignation du poste</w:t>
            </w:r>
            <w:r w:rsidR="00BB1DC7" w:rsidRPr="004E4188">
              <w:rPr>
                <w:b/>
                <w:spacing w:val="-2"/>
                <w:szCs w:val="24"/>
              </w:rPr>
              <w:t> :</w:t>
            </w:r>
          </w:p>
        </w:tc>
      </w:tr>
      <w:tr w:rsidR="007049A5" w:rsidRPr="004E4188" w14:paraId="3737A040" w14:textId="77777777" w:rsidTr="00780A3C">
        <w:trPr>
          <w:cantSplit/>
        </w:trPr>
        <w:tc>
          <w:tcPr>
            <w:tcW w:w="720" w:type="dxa"/>
            <w:tcBorders>
              <w:top w:val="nil"/>
              <w:left w:val="single" w:sz="6" w:space="0" w:color="auto"/>
              <w:bottom w:val="single" w:sz="6" w:space="0" w:color="auto"/>
              <w:right w:val="nil"/>
            </w:tcBorders>
          </w:tcPr>
          <w:p w14:paraId="5CE28036" w14:textId="77777777" w:rsidR="007049A5" w:rsidRPr="004E4188" w:rsidRDefault="007049A5" w:rsidP="00780A3C">
            <w:pPr>
              <w:tabs>
                <w:tab w:val="left" w:pos="2610"/>
              </w:tabs>
              <w:spacing w:before="120" w:after="120"/>
              <w:rPr>
                <w:rStyle w:val="Table"/>
                <w:rFonts w:ascii="Times New Roman" w:hAnsi="Times New Roman"/>
                <w:b/>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14:paraId="785D8802" w14:textId="2B0FA1F1" w:rsidR="007049A5" w:rsidRPr="004E4188" w:rsidRDefault="007049A5" w:rsidP="00780A3C">
            <w:pPr>
              <w:tabs>
                <w:tab w:val="left" w:pos="2610"/>
              </w:tabs>
              <w:spacing w:before="120" w:after="120"/>
              <w:rPr>
                <w:rStyle w:val="Table"/>
                <w:rFonts w:ascii="Times New Roman" w:hAnsi="Times New Roman"/>
                <w:b/>
                <w:spacing w:val="-2"/>
                <w:sz w:val="24"/>
                <w:szCs w:val="24"/>
                <w:lang w:eastAsia="ja-JP"/>
              </w:rPr>
            </w:pPr>
            <w:r w:rsidRPr="004E4188">
              <w:rPr>
                <w:rStyle w:val="Table"/>
                <w:rFonts w:ascii="Times New Roman" w:hAnsi="Times New Roman"/>
                <w:b/>
                <w:spacing w:val="-2"/>
                <w:sz w:val="24"/>
                <w:szCs w:val="24"/>
              </w:rPr>
              <w:t>Nom</w:t>
            </w:r>
            <w:r w:rsidR="00BB1DC7" w:rsidRPr="004E4188">
              <w:rPr>
                <w:b/>
                <w:spacing w:val="-2"/>
                <w:szCs w:val="24"/>
              </w:rPr>
              <w:t> :</w:t>
            </w:r>
          </w:p>
        </w:tc>
      </w:tr>
    </w:tbl>
    <w:p w14:paraId="6C0B83E6" w14:textId="77777777" w:rsidR="007049A5" w:rsidRPr="004E4188" w:rsidRDefault="007049A5" w:rsidP="006C3B7A">
      <w:pPr>
        <w:tabs>
          <w:tab w:val="left" w:pos="2610"/>
        </w:tabs>
        <w:rPr>
          <w:rStyle w:val="Table"/>
          <w:spacing w:val="-2"/>
        </w:rPr>
      </w:pPr>
    </w:p>
    <w:p w14:paraId="17C7A654" w14:textId="77777777" w:rsidR="007049A5" w:rsidRPr="004E4188" w:rsidRDefault="007049A5" w:rsidP="00CE20F5"/>
    <w:p w14:paraId="6144A51A" w14:textId="77777777" w:rsidR="007049A5" w:rsidRPr="004E4188" w:rsidRDefault="007049A5" w:rsidP="00CE20F5"/>
    <w:p w14:paraId="217EC651" w14:textId="77777777" w:rsidR="007049A5" w:rsidRPr="004E4188" w:rsidRDefault="007049A5" w:rsidP="006C6267">
      <w:pPr>
        <w:pStyle w:val="SectionIVHeading2"/>
        <w:outlineLvl w:val="2"/>
        <w:rPr>
          <w:sz w:val="32"/>
          <w:szCs w:val="32"/>
          <w:lang w:val="fr-FR"/>
        </w:rPr>
      </w:pPr>
      <w:r w:rsidRPr="004E4188">
        <w:rPr>
          <w:rStyle w:val="Table"/>
          <w:spacing w:val="-2"/>
          <w:lang w:val="fr-FR"/>
        </w:rPr>
        <w:br w:type="page"/>
      </w:r>
      <w:bookmarkStart w:id="584" w:name="_Toc349117748"/>
      <w:bookmarkStart w:id="585" w:name="_Toc357513225"/>
      <w:bookmarkStart w:id="586" w:name="_Toc112429322"/>
      <w:r w:rsidRPr="004E4188">
        <w:rPr>
          <w:sz w:val="32"/>
          <w:szCs w:val="32"/>
          <w:lang w:val="fr-FR"/>
        </w:rPr>
        <w:t>Formulaire PER-2</w:t>
      </w:r>
      <w:r w:rsidRPr="004E4188">
        <w:rPr>
          <w:sz w:val="32"/>
          <w:szCs w:val="32"/>
          <w:lang w:val="fr-FR"/>
        </w:rPr>
        <w:br/>
        <w:t>Curriculum vitae du personnel proposé</w:t>
      </w:r>
      <w:bookmarkEnd w:id="584"/>
      <w:bookmarkEnd w:id="585"/>
      <w:bookmarkEnd w:id="586"/>
    </w:p>
    <w:p w14:paraId="178ACC2C" w14:textId="2C5F0F60" w:rsidR="007049A5" w:rsidRPr="004E4188" w:rsidRDefault="007049A5" w:rsidP="00FD7BE7">
      <w:pPr>
        <w:wordWrap w:val="0"/>
        <w:jc w:val="right"/>
        <w:rPr>
          <w:iCs/>
        </w:rPr>
      </w:pPr>
      <w:r w:rsidRPr="004E4188">
        <w:t xml:space="preserve">Date : </w:t>
      </w:r>
      <w:r w:rsidRPr="004E4188">
        <w:rPr>
          <w:iCs/>
        </w:rPr>
        <w:t>[</w:t>
      </w:r>
      <w:r w:rsidRPr="004E4188">
        <w:rPr>
          <w:i/>
          <w:iCs/>
        </w:rPr>
        <w:t>indiquer jour, mois, année</w:t>
      </w:r>
      <w:r w:rsidRPr="004E4188">
        <w:rPr>
          <w:iCs/>
        </w:rPr>
        <w:t>]</w:t>
      </w:r>
    </w:p>
    <w:p w14:paraId="42C7770C" w14:textId="77777777" w:rsidR="007049A5" w:rsidRPr="004E4188" w:rsidRDefault="007049A5" w:rsidP="005223A6">
      <w:pPr>
        <w:jc w:val="right"/>
      </w:pPr>
      <w:r w:rsidRPr="004E4188">
        <w:t>Nom légal du Soumissionnaire : [</w:t>
      </w:r>
      <w:r w:rsidRPr="004E4188">
        <w:rPr>
          <w:i/>
        </w:rPr>
        <w:t>indiquer le nom complet</w:t>
      </w:r>
      <w:r w:rsidRPr="004E4188">
        <w:t>]</w:t>
      </w:r>
    </w:p>
    <w:p w14:paraId="792ED0A3" w14:textId="55DD92B7" w:rsidR="007049A5" w:rsidRPr="004E4188" w:rsidRDefault="007049A5" w:rsidP="005223A6">
      <w:pPr>
        <w:jc w:val="right"/>
      </w:pPr>
      <w:r w:rsidRPr="004E4188">
        <w:t>Nom légal du membre du Groupement : [</w:t>
      </w:r>
      <w:r w:rsidRPr="004E4188">
        <w:rPr>
          <w:i/>
        </w:rPr>
        <w:t>indiquer le nom complet</w:t>
      </w:r>
      <w:r w:rsidRPr="004E4188">
        <w:t>]</w:t>
      </w:r>
    </w:p>
    <w:p w14:paraId="1406EFC9" w14:textId="77777777" w:rsidR="007049A5" w:rsidRPr="004E4188" w:rsidRDefault="007049A5" w:rsidP="005223A6">
      <w:pPr>
        <w:jc w:val="right"/>
        <w:rPr>
          <w:i/>
          <w:iCs/>
        </w:rPr>
      </w:pPr>
      <w:r w:rsidRPr="004E4188">
        <w:t>AAO n</w:t>
      </w:r>
      <w:r w:rsidRPr="004E4188">
        <w:rPr>
          <w:vertAlign w:val="superscript"/>
        </w:rPr>
        <w:t>o</w:t>
      </w:r>
      <w:r w:rsidRPr="004E4188">
        <w:t xml:space="preserve"> : </w:t>
      </w:r>
      <w:r w:rsidRPr="004E4188">
        <w:rPr>
          <w:iCs/>
        </w:rPr>
        <w:t>[</w:t>
      </w:r>
      <w:r w:rsidRPr="004E4188">
        <w:rPr>
          <w:i/>
          <w:iCs/>
        </w:rPr>
        <w:t>indiquer le numéro</w:t>
      </w:r>
      <w:r w:rsidRPr="004E4188">
        <w:rPr>
          <w:iCs/>
        </w:rPr>
        <w:t>]</w:t>
      </w:r>
    </w:p>
    <w:p w14:paraId="69299B27" w14:textId="17E1C020" w:rsidR="007049A5" w:rsidRPr="004E4188" w:rsidRDefault="007049A5" w:rsidP="00BE6B88">
      <w:pPr>
        <w:tabs>
          <w:tab w:val="left" w:pos="2610"/>
        </w:tabs>
        <w:spacing w:afterLines="200" w:after="480"/>
        <w:jc w:val="right"/>
        <w:rPr>
          <w:iCs/>
        </w:rPr>
      </w:pPr>
      <w:r w:rsidRPr="004E4188">
        <w:rPr>
          <w:iCs/>
        </w:rPr>
        <w:t>Page</w:t>
      </w:r>
      <w:r w:rsidR="005E173C" w:rsidRPr="004E4188">
        <w:t> </w:t>
      </w:r>
      <w:r w:rsidRPr="004E4188">
        <w:t xml:space="preserve">: </w:t>
      </w:r>
      <w:r w:rsidRPr="004E4188">
        <w:rPr>
          <w:iCs/>
        </w:rPr>
        <w:t>[</w:t>
      </w:r>
      <w:r w:rsidRPr="004E4188">
        <w:rPr>
          <w:i/>
          <w:iCs/>
        </w:rPr>
        <w:t>indiquer le numéro de la page</w:t>
      </w:r>
      <w:r w:rsidRPr="004E4188">
        <w:rPr>
          <w:iCs/>
        </w:rPr>
        <w:t>]</w:t>
      </w:r>
      <w:r w:rsidRPr="004E4188">
        <w:rPr>
          <w:i/>
          <w:iCs/>
        </w:rPr>
        <w:t xml:space="preserve"> </w:t>
      </w:r>
      <w:r w:rsidRPr="004E4188">
        <w:rPr>
          <w:iCs/>
        </w:rPr>
        <w:t>de</w:t>
      </w:r>
      <w:r w:rsidRPr="004E4188">
        <w:rPr>
          <w:i/>
          <w:iCs/>
        </w:rPr>
        <w:t xml:space="preserve"> </w:t>
      </w:r>
      <w:r w:rsidRPr="004E4188">
        <w:rPr>
          <w:iCs/>
        </w:rPr>
        <w:t>[</w:t>
      </w:r>
      <w:r w:rsidRPr="004E4188">
        <w:rPr>
          <w:i/>
          <w:iCs/>
        </w:rPr>
        <w:t>indiquer le nombre total de</w:t>
      </w:r>
      <w:r w:rsidRPr="004E4188">
        <w:rPr>
          <w:iCs/>
        </w:rPr>
        <w:t>] pages</w:t>
      </w:r>
    </w:p>
    <w:p w14:paraId="7C321CA7" w14:textId="17E7BEEC" w:rsidR="007049A5" w:rsidRPr="004E4188" w:rsidRDefault="007049A5" w:rsidP="00BE6B88">
      <w:pPr>
        <w:tabs>
          <w:tab w:val="left" w:pos="2610"/>
        </w:tabs>
        <w:spacing w:afterLines="100" w:after="240"/>
        <w:rPr>
          <w:rStyle w:val="Table"/>
          <w:sz w:val="24"/>
        </w:rPr>
      </w:pPr>
      <w:r w:rsidRPr="004E4188">
        <w:rPr>
          <w:iCs/>
        </w:rPr>
        <w:t>[</w:t>
      </w:r>
      <w:r w:rsidRPr="004E4188">
        <w:rPr>
          <w:i/>
        </w:rPr>
        <w:t xml:space="preserve">Le Soumissionnaire doit fournir ci-dessous des renseignements sur l’expérience du personnel désigné au </w:t>
      </w:r>
      <w:r w:rsidR="00510D0A" w:rsidRPr="004E4188">
        <w:rPr>
          <w:i/>
        </w:rPr>
        <w:t>f</w:t>
      </w:r>
      <w:r w:rsidRPr="004E4188">
        <w:rPr>
          <w:i/>
        </w:rPr>
        <w:t>ormulaire PER-1.</w:t>
      </w:r>
      <w:r w:rsidRPr="004E4188">
        <w:rPr>
          <w:iCs/>
        </w:rPr>
        <w:t>]</w:t>
      </w:r>
    </w:p>
    <w:tbl>
      <w:tblPr>
        <w:tblW w:w="0" w:type="auto"/>
        <w:tblInd w:w="72" w:type="dxa"/>
        <w:tblLayout w:type="fixed"/>
        <w:tblCellMar>
          <w:left w:w="72" w:type="dxa"/>
          <w:right w:w="72" w:type="dxa"/>
        </w:tblCellMar>
        <w:tblLook w:val="0000" w:firstRow="0" w:lastRow="0" w:firstColumn="0" w:lastColumn="0" w:noHBand="0" w:noVBand="0"/>
      </w:tblPr>
      <w:tblGrid>
        <w:gridCol w:w="9029"/>
      </w:tblGrid>
      <w:tr w:rsidR="007049A5" w:rsidRPr="004E4188" w14:paraId="01D2732E" w14:textId="77777777" w:rsidTr="00AF383D">
        <w:trPr>
          <w:cantSplit/>
        </w:trPr>
        <w:tc>
          <w:tcPr>
            <w:tcW w:w="9029" w:type="dxa"/>
            <w:tcBorders>
              <w:top w:val="single" w:sz="6" w:space="0" w:color="auto"/>
              <w:left w:val="single" w:sz="6" w:space="0" w:color="auto"/>
              <w:bottom w:val="single" w:sz="6" w:space="0" w:color="auto"/>
              <w:right w:val="single" w:sz="6" w:space="0" w:color="auto"/>
            </w:tcBorders>
          </w:tcPr>
          <w:p w14:paraId="29822BAE" w14:textId="77777777" w:rsidR="007049A5" w:rsidRPr="004E4188" w:rsidRDefault="007049A5" w:rsidP="00780A3C">
            <w:pPr>
              <w:tabs>
                <w:tab w:val="left" w:pos="2610"/>
              </w:tabs>
              <w:spacing w:before="6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Nom du Soumissionnaire</w:t>
            </w:r>
            <w:r w:rsidRPr="004E4188">
              <w:rPr>
                <w:rStyle w:val="Table"/>
                <w:b/>
                <w:bCs/>
                <w:iCs/>
                <w:spacing w:val="-2"/>
              </w:rPr>
              <w:t> :</w:t>
            </w:r>
          </w:p>
        </w:tc>
      </w:tr>
    </w:tbl>
    <w:p w14:paraId="01994B56" w14:textId="77777777" w:rsidR="007049A5" w:rsidRPr="004E4188" w:rsidRDefault="007049A5" w:rsidP="005223A6">
      <w:pPr>
        <w:tabs>
          <w:tab w:val="left" w:pos="2610"/>
        </w:tabs>
        <w:rPr>
          <w:rStyle w:val="Table"/>
          <w:rFonts w:ascii="Times New Roman" w:hAnsi="Times New Roman"/>
          <w:b/>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799"/>
        <w:gridCol w:w="3361"/>
        <w:gridCol w:w="3869"/>
      </w:tblGrid>
      <w:tr w:rsidR="007049A5" w:rsidRPr="004E4188" w14:paraId="7E8CD0A1" w14:textId="77777777" w:rsidTr="00AF383D">
        <w:trPr>
          <w:cantSplit/>
        </w:trPr>
        <w:tc>
          <w:tcPr>
            <w:tcW w:w="9029" w:type="dxa"/>
            <w:gridSpan w:val="3"/>
            <w:tcBorders>
              <w:top w:val="single" w:sz="6" w:space="0" w:color="auto"/>
              <w:left w:val="single" w:sz="6" w:space="0" w:color="auto"/>
              <w:bottom w:val="nil"/>
              <w:right w:val="single" w:sz="6" w:space="0" w:color="auto"/>
            </w:tcBorders>
          </w:tcPr>
          <w:p w14:paraId="70EBC861" w14:textId="77777777" w:rsidR="007049A5" w:rsidRPr="004E4188" w:rsidRDefault="007049A5" w:rsidP="00780A3C">
            <w:pPr>
              <w:tabs>
                <w:tab w:val="left" w:pos="2610"/>
              </w:tabs>
              <w:spacing w:before="6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Poste</w:t>
            </w:r>
            <w:r w:rsidRPr="004E4188">
              <w:rPr>
                <w:rStyle w:val="Table"/>
                <w:b/>
                <w:bCs/>
                <w:iCs/>
                <w:spacing w:val="-2"/>
              </w:rPr>
              <w:t> :</w:t>
            </w:r>
          </w:p>
          <w:p w14:paraId="20733389" w14:textId="77777777" w:rsidR="007049A5" w:rsidRPr="004E4188" w:rsidRDefault="007049A5" w:rsidP="00780A3C">
            <w:pPr>
              <w:tabs>
                <w:tab w:val="left" w:pos="1638"/>
                <w:tab w:val="left" w:pos="1998"/>
                <w:tab w:val="left" w:pos="2610"/>
              </w:tabs>
              <w:spacing w:after="71"/>
              <w:ind w:left="378" w:hanging="378"/>
              <w:rPr>
                <w:rStyle w:val="Table"/>
                <w:rFonts w:ascii="Times New Roman" w:hAnsi="Times New Roman"/>
                <w:b/>
                <w:spacing w:val="-2"/>
                <w:sz w:val="24"/>
                <w:szCs w:val="24"/>
              </w:rPr>
            </w:pPr>
          </w:p>
        </w:tc>
      </w:tr>
      <w:tr w:rsidR="007049A5" w:rsidRPr="004E4188" w14:paraId="2BB82589" w14:textId="77777777" w:rsidTr="00AF383D">
        <w:trPr>
          <w:cantSplit/>
        </w:trPr>
        <w:tc>
          <w:tcPr>
            <w:tcW w:w="1799" w:type="dxa"/>
            <w:tcBorders>
              <w:top w:val="single" w:sz="6" w:space="0" w:color="auto"/>
              <w:left w:val="single" w:sz="6" w:space="0" w:color="auto"/>
              <w:bottom w:val="nil"/>
              <w:right w:val="nil"/>
            </w:tcBorders>
          </w:tcPr>
          <w:p w14:paraId="7B2CA3BA" w14:textId="77777777" w:rsidR="007049A5" w:rsidRPr="004E4188" w:rsidRDefault="007049A5" w:rsidP="00780A3C">
            <w:pPr>
              <w:tabs>
                <w:tab w:val="left" w:pos="2610"/>
              </w:tabs>
              <w:spacing w:before="6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 xml:space="preserve">Renseignements personnels </w:t>
            </w:r>
          </w:p>
        </w:tc>
        <w:tc>
          <w:tcPr>
            <w:tcW w:w="3361" w:type="dxa"/>
            <w:tcBorders>
              <w:top w:val="single" w:sz="6" w:space="0" w:color="auto"/>
              <w:left w:val="single" w:sz="6" w:space="0" w:color="auto"/>
              <w:bottom w:val="nil"/>
              <w:right w:val="nil"/>
            </w:tcBorders>
          </w:tcPr>
          <w:p w14:paraId="7A91FE7E" w14:textId="77777777" w:rsidR="007049A5" w:rsidRPr="004E4188" w:rsidRDefault="007049A5" w:rsidP="00780A3C">
            <w:pPr>
              <w:tabs>
                <w:tab w:val="left" w:pos="2610"/>
              </w:tabs>
              <w:spacing w:before="6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Nom</w:t>
            </w:r>
            <w:r w:rsidRPr="004E4188">
              <w:rPr>
                <w:rStyle w:val="Table"/>
                <w:b/>
                <w:bCs/>
                <w:iCs/>
                <w:spacing w:val="-2"/>
              </w:rPr>
              <w:t> :</w:t>
            </w:r>
          </w:p>
          <w:p w14:paraId="4DDD2594" w14:textId="77777777" w:rsidR="007049A5" w:rsidRPr="004E4188" w:rsidRDefault="007049A5" w:rsidP="00780A3C">
            <w:pPr>
              <w:tabs>
                <w:tab w:val="left" w:pos="2610"/>
              </w:tabs>
              <w:spacing w:after="71"/>
              <w:rPr>
                <w:rStyle w:val="Table"/>
                <w:rFonts w:ascii="Times New Roman" w:hAnsi="Times New Roman"/>
                <w:b/>
                <w:spacing w:val="-2"/>
                <w:sz w:val="24"/>
                <w:szCs w:val="24"/>
              </w:rPr>
            </w:pPr>
          </w:p>
        </w:tc>
        <w:tc>
          <w:tcPr>
            <w:tcW w:w="3869" w:type="dxa"/>
            <w:tcBorders>
              <w:top w:val="single" w:sz="6" w:space="0" w:color="auto"/>
              <w:left w:val="single" w:sz="6" w:space="0" w:color="auto"/>
              <w:bottom w:val="nil"/>
              <w:right w:val="single" w:sz="6" w:space="0" w:color="auto"/>
            </w:tcBorders>
          </w:tcPr>
          <w:p w14:paraId="37F777B5" w14:textId="77777777" w:rsidR="007049A5" w:rsidRPr="004E4188" w:rsidRDefault="007049A5" w:rsidP="00780A3C">
            <w:pPr>
              <w:tabs>
                <w:tab w:val="left" w:pos="2610"/>
              </w:tabs>
              <w:spacing w:before="6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Date de naissance</w:t>
            </w:r>
            <w:r w:rsidRPr="004E4188">
              <w:rPr>
                <w:rStyle w:val="Table"/>
                <w:b/>
                <w:bCs/>
                <w:iCs/>
                <w:spacing w:val="-2"/>
              </w:rPr>
              <w:t> :</w:t>
            </w:r>
          </w:p>
        </w:tc>
      </w:tr>
      <w:tr w:rsidR="007049A5" w:rsidRPr="004E4188" w14:paraId="59974D9F" w14:textId="77777777" w:rsidTr="00AF383D">
        <w:trPr>
          <w:cantSplit/>
        </w:trPr>
        <w:tc>
          <w:tcPr>
            <w:tcW w:w="1799" w:type="dxa"/>
            <w:tcBorders>
              <w:top w:val="nil"/>
              <w:left w:val="single" w:sz="6" w:space="0" w:color="auto"/>
              <w:bottom w:val="nil"/>
              <w:right w:val="nil"/>
            </w:tcBorders>
          </w:tcPr>
          <w:p w14:paraId="5284B6E2" w14:textId="77777777" w:rsidR="007049A5" w:rsidRPr="004E4188" w:rsidRDefault="007049A5" w:rsidP="00780A3C">
            <w:pPr>
              <w:tabs>
                <w:tab w:val="left" w:pos="2610"/>
              </w:tabs>
              <w:spacing w:after="71"/>
              <w:rPr>
                <w:rStyle w:val="Table"/>
                <w:rFonts w:ascii="Times New Roman" w:hAnsi="Times New Roman"/>
                <w:b/>
                <w:spacing w:val="-2"/>
                <w:sz w:val="24"/>
                <w:szCs w:val="24"/>
              </w:rPr>
            </w:pPr>
          </w:p>
        </w:tc>
        <w:tc>
          <w:tcPr>
            <w:tcW w:w="7230" w:type="dxa"/>
            <w:gridSpan w:val="2"/>
            <w:tcBorders>
              <w:top w:val="single" w:sz="6" w:space="0" w:color="auto"/>
              <w:left w:val="single" w:sz="6" w:space="0" w:color="auto"/>
              <w:bottom w:val="nil"/>
              <w:right w:val="single" w:sz="6" w:space="0" w:color="auto"/>
            </w:tcBorders>
          </w:tcPr>
          <w:p w14:paraId="4868EC32" w14:textId="77777777" w:rsidR="007049A5" w:rsidRPr="004E4188" w:rsidRDefault="007049A5" w:rsidP="00780A3C">
            <w:pPr>
              <w:tabs>
                <w:tab w:val="left" w:pos="2610"/>
              </w:tabs>
              <w:spacing w:before="6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Qualifications professionnelles</w:t>
            </w:r>
            <w:r w:rsidRPr="004E4188">
              <w:rPr>
                <w:rStyle w:val="Table"/>
                <w:b/>
                <w:bCs/>
                <w:iCs/>
                <w:spacing w:val="-2"/>
              </w:rPr>
              <w:t> :</w:t>
            </w:r>
          </w:p>
          <w:p w14:paraId="7C3A09CF" w14:textId="77777777" w:rsidR="007049A5" w:rsidRPr="004E4188" w:rsidRDefault="007049A5" w:rsidP="00780A3C">
            <w:pPr>
              <w:tabs>
                <w:tab w:val="left" w:pos="2610"/>
              </w:tabs>
              <w:spacing w:before="60" w:after="120"/>
              <w:rPr>
                <w:rStyle w:val="Table"/>
                <w:rFonts w:ascii="Times New Roman" w:hAnsi="Times New Roman"/>
                <w:b/>
                <w:spacing w:val="-2"/>
                <w:sz w:val="24"/>
                <w:szCs w:val="24"/>
              </w:rPr>
            </w:pPr>
          </w:p>
        </w:tc>
      </w:tr>
      <w:tr w:rsidR="007049A5" w:rsidRPr="004E4188" w14:paraId="6FC44B22" w14:textId="77777777" w:rsidTr="00AF383D">
        <w:trPr>
          <w:cantSplit/>
        </w:trPr>
        <w:tc>
          <w:tcPr>
            <w:tcW w:w="1799" w:type="dxa"/>
            <w:tcBorders>
              <w:top w:val="single" w:sz="6" w:space="0" w:color="auto"/>
              <w:left w:val="single" w:sz="6" w:space="0" w:color="auto"/>
              <w:bottom w:val="nil"/>
              <w:right w:val="nil"/>
            </w:tcBorders>
          </w:tcPr>
          <w:p w14:paraId="1C89BDAE" w14:textId="77777777" w:rsidR="007049A5" w:rsidRPr="004E4188" w:rsidRDefault="007049A5" w:rsidP="00780A3C">
            <w:pPr>
              <w:tabs>
                <w:tab w:val="left" w:pos="2610"/>
              </w:tabs>
              <w:spacing w:before="6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Employeur actuel</w:t>
            </w:r>
          </w:p>
        </w:tc>
        <w:tc>
          <w:tcPr>
            <w:tcW w:w="7230" w:type="dxa"/>
            <w:gridSpan w:val="2"/>
            <w:tcBorders>
              <w:top w:val="single" w:sz="6" w:space="0" w:color="auto"/>
              <w:left w:val="single" w:sz="6" w:space="0" w:color="auto"/>
              <w:bottom w:val="nil"/>
              <w:right w:val="single" w:sz="6" w:space="0" w:color="auto"/>
            </w:tcBorders>
          </w:tcPr>
          <w:p w14:paraId="6B3E8BC8" w14:textId="77777777" w:rsidR="007049A5" w:rsidRPr="004E4188" w:rsidRDefault="007049A5" w:rsidP="00780A3C">
            <w:pPr>
              <w:tabs>
                <w:tab w:val="left" w:pos="2610"/>
              </w:tabs>
              <w:spacing w:before="6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Nom de l’employeur</w:t>
            </w:r>
            <w:r w:rsidRPr="004E4188">
              <w:rPr>
                <w:rStyle w:val="Table"/>
                <w:b/>
                <w:bCs/>
                <w:iCs/>
                <w:spacing w:val="-2"/>
              </w:rPr>
              <w:t> :</w:t>
            </w:r>
          </w:p>
          <w:p w14:paraId="5985741C" w14:textId="77777777" w:rsidR="007049A5" w:rsidRPr="004E4188" w:rsidRDefault="007049A5" w:rsidP="00780A3C">
            <w:pPr>
              <w:tabs>
                <w:tab w:val="left" w:pos="2610"/>
              </w:tabs>
              <w:spacing w:after="71"/>
              <w:rPr>
                <w:rStyle w:val="Table"/>
                <w:rFonts w:ascii="Times New Roman" w:hAnsi="Times New Roman"/>
                <w:b/>
                <w:spacing w:val="-2"/>
                <w:sz w:val="24"/>
                <w:szCs w:val="24"/>
              </w:rPr>
            </w:pPr>
          </w:p>
        </w:tc>
      </w:tr>
      <w:tr w:rsidR="007049A5" w:rsidRPr="004E4188" w14:paraId="782141B8" w14:textId="77777777" w:rsidTr="00AF383D">
        <w:trPr>
          <w:cantSplit/>
        </w:trPr>
        <w:tc>
          <w:tcPr>
            <w:tcW w:w="1799" w:type="dxa"/>
            <w:tcBorders>
              <w:top w:val="nil"/>
              <w:left w:val="single" w:sz="6" w:space="0" w:color="auto"/>
              <w:bottom w:val="nil"/>
              <w:right w:val="nil"/>
            </w:tcBorders>
          </w:tcPr>
          <w:p w14:paraId="588345F2" w14:textId="77777777" w:rsidR="007049A5" w:rsidRPr="004E4188" w:rsidRDefault="007049A5" w:rsidP="00780A3C">
            <w:pPr>
              <w:tabs>
                <w:tab w:val="left" w:pos="2610"/>
              </w:tabs>
              <w:spacing w:after="71"/>
              <w:rPr>
                <w:rStyle w:val="Table"/>
                <w:rFonts w:ascii="Times New Roman" w:hAnsi="Times New Roman"/>
                <w:b/>
                <w:spacing w:val="-2"/>
                <w:sz w:val="24"/>
                <w:szCs w:val="24"/>
              </w:rPr>
            </w:pPr>
          </w:p>
        </w:tc>
        <w:tc>
          <w:tcPr>
            <w:tcW w:w="7230" w:type="dxa"/>
            <w:gridSpan w:val="2"/>
            <w:tcBorders>
              <w:top w:val="single" w:sz="6" w:space="0" w:color="auto"/>
              <w:left w:val="single" w:sz="6" w:space="0" w:color="auto"/>
              <w:bottom w:val="nil"/>
              <w:right w:val="single" w:sz="6" w:space="0" w:color="auto"/>
            </w:tcBorders>
          </w:tcPr>
          <w:p w14:paraId="3F1F32A6" w14:textId="77777777" w:rsidR="007049A5" w:rsidRPr="004E4188" w:rsidRDefault="007049A5" w:rsidP="00780A3C">
            <w:pPr>
              <w:tabs>
                <w:tab w:val="left" w:pos="2610"/>
              </w:tabs>
              <w:spacing w:before="6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Adresse de l’employeur</w:t>
            </w:r>
            <w:r w:rsidRPr="004E4188">
              <w:rPr>
                <w:rStyle w:val="Table"/>
                <w:b/>
                <w:bCs/>
                <w:iCs/>
                <w:spacing w:val="-2"/>
              </w:rPr>
              <w:t> :</w:t>
            </w:r>
          </w:p>
          <w:p w14:paraId="2AE6ED10" w14:textId="77777777" w:rsidR="007049A5" w:rsidRPr="004E4188" w:rsidRDefault="007049A5" w:rsidP="00780A3C">
            <w:pPr>
              <w:tabs>
                <w:tab w:val="left" w:pos="2610"/>
              </w:tabs>
              <w:spacing w:before="60" w:after="120"/>
              <w:rPr>
                <w:rStyle w:val="Table"/>
                <w:rFonts w:ascii="Times New Roman" w:hAnsi="Times New Roman"/>
                <w:b/>
                <w:spacing w:val="-2"/>
                <w:sz w:val="24"/>
                <w:szCs w:val="24"/>
              </w:rPr>
            </w:pPr>
          </w:p>
        </w:tc>
      </w:tr>
      <w:tr w:rsidR="007049A5" w:rsidRPr="004E4188" w14:paraId="2F9BB23E" w14:textId="77777777" w:rsidTr="00AF383D">
        <w:trPr>
          <w:cantSplit/>
        </w:trPr>
        <w:tc>
          <w:tcPr>
            <w:tcW w:w="1799" w:type="dxa"/>
            <w:tcBorders>
              <w:top w:val="nil"/>
              <w:left w:val="single" w:sz="6" w:space="0" w:color="auto"/>
              <w:bottom w:val="nil"/>
              <w:right w:val="nil"/>
            </w:tcBorders>
          </w:tcPr>
          <w:p w14:paraId="2EE337EA" w14:textId="77777777" w:rsidR="007049A5" w:rsidRPr="004E4188" w:rsidRDefault="007049A5" w:rsidP="00780A3C">
            <w:pPr>
              <w:tabs>
                <w:tab w:val="left" w:pos="2610"/>
              </w:tabs>
              <w:spacing w:after="71"/>
              <w:rPr>
                <w:rStyle w:val="Table"/>
                <w:rFonts w:ascii="Times New Roman" w:hAnsi="Times New Roman"/>
                <w:b/>
                <w:spacing w:val="-2"/>
                <w:sz w:val="24"/>
                <w:szCs w:val="24"/>
              </w:rPr>
            </w:pPr>
          </w:p>
        </w:tc>
        <w:tc>
          <w:tcPr>
            <w:tcW w:w="3361" w:type="dxa"/>
            <w:tcBorders>
              <w:top w:val="single" w:sz="6" w:space="0" w:color="auto"/>
              <w:left w:val="single" w:sz="6" w:space="0" w:color="auto"/>
              <w:bottom w:val="nil"/>
              <w:right w:val="nil"/>
            </w:tcBorders>
          </w:tcPr>
          <w:p w14:paraId="5DE4E073" w14:textId="77777777" w:rsidR="007049A5" w:rsidRPr="004E4188" w:rsidRDefault="007049A5" w:rsidP="00780A3C">
            <w:pPr>
              <w:tabs>
                <w:tab w:val="left" w:pos="2610"/>
              </w:tabs>
              <w:spacing w:before="6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Téléphone</w:t>
            </w:r>
            <w:r w:rsidRPr="004E4188">
              <w:rPr>
                <w:rStyle w:val="Table"/>
                <w:b/>
                <w:bCs/>
                <w:iCs/>
                <w:spacing w:val="-2"/>
              </w:rPr>
              <w:t> :</w:t>
            </w:r>
          </w:p>
          <w:p w14:paraId="308390D1" w14:textId="77777777" w:rsidR="007049A5" w:rsidRPr="004E4188" w:rsidRDefault="007049A5" w:rsidP="00780A3C">
            <w:pPr>
              <w:tabs>
                <w:tab w:val="left" w:pos="2610"/>
              </w:tabs>
              <w:spacing w:before="60" w:after="120"/>
              <w:rPr>
                <w:rStyle w:val="Table"/>
                <w:rFonts w:ascii="Times New Roman" w:hAnsi="Times New Roman"/>
                <w:b/>
                <w:spacing w:val="-2"/>
                <w:sz w:val="24"/>
                <w:szCs w:val="24"/>
              </w:rPr>
            </w:pPr>
          </w:p>
        </w:tc>
        <w:tc>
          <w:tcPr>
            <w:tcW w:w="3869" w:type="dxa"/>
            <w:tcBorders>
              <w:top w:val="single" w:sz="6" w:space="0" w:color="auto"/>
              <w:left w:val="single" w:sz="6" w:space="0" w:color="auto"/>
              <w:bottom w:val="nil"/>
              <w:right w:val="single" w:sz="6" w:space="0" w:color="auto"/>
            </w:tcBorders>
          </w:tcPr>
          <w:p w14:paraId="42577120" w14:textId="30526334" w:rsidR="007049A5" w:rsidRPr="004E4188" w:rsidRDefault="007049A5" w:rsidP="00BB1DC7">
            <w:pPr>
              <w:tabs>
                <w:tab w:val="left" w:pos="2610"/>
              </w:tabs>
              <w:spacing w:before="60" w:after="120"/>
              <w:jc w:val="left"/>
              <w:rPr>
                <w:rStyle w:val="Table"/>
                <w:rFonts w:ascii="Times New Roman" w:hAnsi="Times New Roman"/>
                <w:b/>
                <w:spacing w:val="-2"/>
                <w:sz w:val="24"/>
                <w:szCs w:val="24"/>
              </w:rPr>
            </w:pPr>
            <w:r w:rsidRPr="004E4188">
              <w:rPr>
                <w:rStyle w:val="Table"/>
                <w:rFonts w:ascii="Times New Roman" w:hAnsi="Times New Roman"/>
                <w:b/>
                <w:spacing w:val="-2"/>
                <w:sz w:val="24"/>
                <w:szCs w:val="24"/>
              </w:rPr>
              <w:t>Contact (responsable/chargé du personnel)</w:t>
            </w:r>
            <w:r w:rsidRPr="004E4188">
              <w:rPr>
                <w:rStyle w:val="Table"/>
                <w:b/>
                <w:bCs/>
                <w:iCs/>
                <w:spacing w:val="-2"/>
              </w:rPr>
              <w:t> :</w:t>
            </w:r>
          </w:p>
        </w:tc>
      </w:tr>
      <w:tr w:rsidR="007049A5" w:rsidRPr="004E4188" w14:paraId="75B140BF" w14:textId="77777777" w:rsidTr="00AF383D">
        <w:trPr>
          <w:cantSplit/>
        </w:trPr>
        <w:tc>
          <w:tcPr>
            <w:tcW w:w="1799" w:type="dxa"/>
            <w:tcBorders>
              <w:top w:val="nil"/>
              <w:left w:val="single" w:sz="6" w:space="0" w:color="auto"/>
              <w:bottom w:val="nil"/>
              <w:right w:val="nil"/>
            </w:tcBorders>
          </w:tcPr>
          <w:p w14:paraId="0311B14B" w14:textId="77777777" w:rsidR="007049A5" w:rsidRPr="004E4188" w:rsidRDefault="007049A5" w:rsidP="00780A3C">
            <w:pPr>
              <w:tabs>
                <w:tab w:val="left" w:pos="2610"/>
              </w:tabs>
              <w:spacing w:after="71"/>
              <w:rPr>
                <w:rStyle w:val="Table"/>
                <w:rFonts w:ascii="Times New Roman" w:hAnsi="Times New Roman"/>
                <w:b/>
                <w:spacing w:val="-2"/>
                <w:sz w:val="24"/>
                <w:szCs w:val="24"/>
              </w:rPr>
            </w:pPr>
          </w:p>
        </w:tc>
        <w:tc>
          <w:tcPr>
            <w:tcW w:w="3361" w:type="dxa"/>
            <w:tcBorders>
              <w:top w:val="single" w:sz="6" w:space="0" w:color="auto"/>
              <w:left w:val="single" w:sz="6" w:space="0" w:color="auto"/>
              <w:bottom w:val="nil"/>
              <w:right w:val="nil"/>
            </w:tcBorders>
          </w:tcPr>
          <w:p w14:paraId="58CB49A2" w14:textId="77777777" w:rsidR="007049A5" w:rsidRPr="004E4188" w:rsidRDefault="007049A5" w:rsidP="00780A3C">
            <w:pPr>
              <w:tabs>
                <w:tab w:val="left" w:pos="2610"/>
              </w:tabs>
              <w:spacing w:before="6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Télécopie</w:t>
            </w:r>
            <w:r w:rsidRPr="004E4188">
              <w:rPr>
                <w:rStyle w:val="Table"/>
                <w:b/>
                <w:bCs/>
                <w:iCs/>
                <w:spacing w:val="-2"/>
              </w:rPr>
              <w:t> :</w:t>
            </w:r>
          </w:p>
          <w:p w14:paraId="09D4BF52" w14:textId="77777777" w:rsidR="007049A5" w:rsidRPr="004E4188" w:rsidRDefault="007049A5" w:rsidP="00780A3C">
            <w:pPr>
              <w:tabs>
                <w:tab w:val="left" w:pos="2610"/>
              </w:tabs>
              <w:spacing w:before="60" w:after="120"/>
              <w:rPr>
                <w:rStyle w:val="Table"/>
                <w:rFonts w:ascii="Times New Roman" w:hAnsi="Times New Roman"/>
                <w:b/>
                <w:spacing w:val="-2"/>
                <w:sz w:val="24"/>
                <w:szCs w:val="24"/>
              </w:rPr>
            </w:pPr>
          </w:p>
        </w:tc>
        <w:tc>
          <w:tcPr>
            <w:tcW w:w="3869" w:type="dxa"/>
            <w:tcBorders>
              <w:top w:val="single" w:sz="6" w:space="0" w:color="auto"/>
              <w:left w:val="single" w:sz="6" w:space="0" w:color="auto"/>
              <w:bottom w:val="nil"/>
              <w:right w:val="single" w:sz="6" w:space="0" w:color="auto"/>
            </w:tcBorders>
          </w:tcPr>
          <w:p w14:paraId="41BC73BF" w14:textId="77777777" w:rsidR="007049A5" w:rsidRPr="004E4188" w:rsidRDefault="007049A5" w:rsidP="00780A3C">
            <w:pPr>
              <w:tabs>
                <w:tab w:val="left" w:pos="2610"/>
              </w:tabs>
              <w:spacing w:before="6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E-mail</w:t>
            </w:r>
            <w:r w:rsidRPr="004E4188">
              <w:rPr>
                <w:rStyle w:val="Table"/>
                <w:b/>
                <w:bCs/>
                <w:iCs/>
                <w:spacing w:val="-2"/>
              </w:rPr>
              <w:t> :</w:t>
            </w:r>
          </w:p>
        </w:tc>
      </w:tr>
      <w:tr w:rsidR="007049A5" w:rsidRPr="004E4188" w14:paraId="5D23273F" w14:textId="77777777" w:rsidTr="00AF383D">
        <w:trPr>
          <w:cantSplit/>
        </w:trPr>
        <w:tc>
          <w:tcPr>
            <w:tcW w:w="1799" w:type="dxa"/>
            <w:tcBorders>
              <w:top w:val="nil"/>
              <w:left w:val="single" w:sz="6" w:space="0" w:color="auto"/>
              <w:bottom w:val="single" w:sz="6" w:space="0" w:color="auto"/>
              <w:right w:val="nil"/>
            </w:tcBorders>
          </w:tcPr>
          <w:p w14:paraId="2C0DE1D7" w14:textId="77777777" w:rsidR="007049A5" w:rsidRPr="004E4188" w:rsidRDefault="007049A5" w:rsidP="00780A3C">
            <w:pPr>
              <w:tabs>
                <w:tab w:val="left" w:pos="2610"/>
              </w:tabs>
              <w:spacing w:after="71"/>
              <w:rPr>
                <w:rStyle w:val="Table"/>
                <w:rFonts w:ascii="Times New Roman" w:hAnsi="Times New Roman"/>
                <w:b/>
                <w:spacing w:val="-2"/>
                <w:sz w:val="24"/>
                <w:szCs w:val="24"/>
              </w:rPr>
            </w:pPr>
          </w:p>
        </w:tc>
        <w:tc>
          <w:tcPr>
            <w:tcW w:w="3361" w:type="dxa"/>
            <w:tcBorders>
              <w:top w:val="single" w:sz="6" w:space="0" w:color="auto"/>
              <w:left w:val="single" w:sz="6" w:space="0" w:color="auto"/>
              <w:bottom w:val="single" w:sz="6" w:space="0" w:color="auto"/>
              <w:right w:val="nil"/>
            </w:tcBorders>
          </w:tcPr>
          <w:p w14:paraId="2B9DB1B9" w14:textId="262AFFC5" w:rsidR="007049A5" w:rsidRPr="004E4188" w:rsidRDefault="007049A5" w:rsidP="00780A3C">
            <w:pPr>
              <w:tabs>
                <w:tab w:val="left" w:pos="2610"/>
              </w:tabs>
              <w:spacing w:before="6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Emploi tenu</w:t>
            </w:r>
            <w:r w:rsidR="00BB1DC7" w:rsidRPr="004E4188">
              <w:rPr>
                <w:rStyle w:val="Table"/>
                <w:b/>
                <w:bCs/>
                <w:iCs/>
                <w:spacing w:val="-2"/>
              </w:rPr>
              <w:t> :</w:t>
            </w:r>
          </w:p>
          <w:p w14:paraId="5BB7DE06" w14:textId="77777777" w:rsidR="007049A5" w:rsidRPr="004E4188" w:rsidRDefault="007049A5" w:rsidP="00780A3C">
            <w:pPr>
              <w:tabs>
                <w:tab w:val="left" w:pos="2610"/>
              </w:tabs>
              <w:spacing w:before="60" w:after="120"/>
              <w:rPr>
                <w:rStyle w:val="Table"/>
                <w:rFonts w:ascii="Times New Roman" w:hAnsi="Times New Roman"/>
                <w:b/>
                <w:spacing w:val="-2"/>
                <w:sz w:val="24"/>
                <w:szCs w:val="24"/>
              </w:rPr>
            </w:pPr>
          </w:p>
        </w:tc>
        <w:tc>
          <w:tcPr>
            <w:tcW w:w="3869" w:type="dxa"/>
            <w:tcBorders>
              <w:top w:val="single" w:sz="6" w:space="0" w:color="auto"/>
              <w:left w:val="single" w:sz="6" w:space="0" w:color="auto"/>
              <w:bottom w:val="single" w:sz="6" w:space="0" w:color="auto"/>
              <w:right w:val="single" w:sz="6" w:space="0" w:color="auto"/>
            </w:tcBorders>
          </w:tcPr>
          <w:p w14:paraId="37CD6186" w14:textId="77777777" w:rsidR="007049A5" w:rsidRPr="004E4188" w:rsidRDefault="007049A5" w:rsidP="00780A3C">
            <w:pPr>
              <w:tabs>
                <w:tab w:val="left" w:pos="2610"/>
              </w:tabs>
              <w:spacing w:before="60" w:after="120"/>
              <w:jc w:val="left"/>
              <w:rPr>
                <w:rStyle w:val="Table"/>
                <w:rFonts w:ascii="Times New Roman" w:hAnsi="Times New Roman"/>
                <w:b/>
                <w:spacing w:val="-2"/>
                <w:sz w:val="24"/>
                <w:szCs w:val="24"/>
              </w:rPr>
            </w:pPr>
            <w:r w:rsidRPr="004E4188">
              <w:rPr>
                <w:rStyle w:val="Table"/>
                <w:rFonts w:ascii="Times New Roman" w:hAnsi="Times New Roman"/>
                <w:b/>
                <w:spacing w:val="-2"/>
                <w:sz w:val="24"/>
                <w:szCs w:val="24"/>
              </w:rPr>
              <w:t>Nombre d’années avec le présent employeur</w:t>
            </w:r>
            <w:r w:rsidRPr="004E4188">
              <w:rPr>
                <w:rStyle w:val="Table"/>
                <w:b/>
                <w:bCs/>
                <w:iCs/>
                <w:spacing w:val="-2"/>
              </w:rPr>
              <w:t> :</w:t>
            </w:r>
          </w:p>
        </w:tc>
      </w:tr>
    </w:tbl>
    <w:p w14:paraId="28A5865D" w14:textId="77777777" w:rsidR="007049A5" w:rsidRPr="004E4188" w:rsidRDefault="007049A5" w:rsidP="005223A6">
      <w:pPr>
        <w:tabs>
          <w:tab w:val="left" w:pos="2610"/>
        </w:tabs>
        <w:rPr>
          <w:rStyle w:val="Table"/>
          <w:rFonts w:ascii="Times New Roman" w:hAnsi="Times New Roman"/>
          <w:i/>
          <w:spacing w:val="-2"/>
          <w:sz w:val="22"/>
          <w:szCs w:val="22"/>
        </w:rPr>
      </w:pPr>
    </w:p>
    <w:p w14:paraId="71205587" w14:textId="77777777" w:rsidR="007049A5" w:rsidRPr="004E4188" w:rsidRDefault="007049A5" w:rsidP="005223A6">
      <w:pPr>
        <w:tabs>
          <w:tab w:val="left" w:pos="2610"/>
        </w:tabs>
        <w:rPr>
          <w:rStyle w:val="Table"/>
          <w:rFonts w:ascii="Times New Roman" w:hAnsi="Times New Roman"/>
          <w:i/>
          <w:spacing w:val="-2"/>
          <w:sz w:val="22"/>
          <w:szCs w:val="22"/>
        </w:rPr>
      </w:pPr>
      <w:r w:rsidRPr="004E4188">
        <w:rPr>
          <w:rStyle w:val="Table"/>
          <w:rFonts w:ascii="Times New Roman" w:hAnsi="Times New Roman"/>
          <w:i/>
          <w:spacing w:val="-2"/>
          <w:sz w:val="22"/>
          <w:szCs w:val="22"/>
        </w:rPr>
        <w:br w:type="page"/>
      </w:r>
    </w:p>
    <w:p w14:paraId="007E21A5" w14:textId="77777777" w:rsidR="007049A5" w:rsidRPr="004E4188" w:rsidRDefault="007049A5" w:rsidP="005223A6">
      <w:pPr>
        <w:tabs>
          <w:tab w:val="left" w:pos="2610"/>
        </w:tabs>
        <w:rPr>
          <w:rStyle w:val="Table"/>
          <w:rFonts w:ascii="Times New Roman" w:hAnsi="Times New Roman"/>
          <w:spacing w:val="-2"/>
          <w:sz w:val="22"/>
          <w:szCs w:val="22"/>
        </w:rPr>
      </w:pPr>
      <w:r w:rsidRPr="004E4188">
        <w:rPr>
          <w:iCs/>
        </w:rPr>
        <w:t>[</w:t>
      </w:r>
      <w:r w:rsidRPr="004E4188">
        <w:rPr>
          <w:i/>
          <w:iCs/>
          <w:spacing w:val="-2"/>
          <w:lang w:eastAsia="ja-JP"/>
        </w:rPr>
        <w:t>Le Soumissionnaire doit r</w:t>
      </w:r>
      <w:r w:rsidRPr="004E4188">
        <w:rPr>
          <w:rStyle w:val="Table"/>
          <w:rFonts w:ascii="Times New Roman" w:hAnsi="Times New Roman"/>
          <w:i/>
          <w:spacing w:val="-2"/>
          <w:sz w:val="24"/>
          <w:szCs w:val="24"/>
        </w:rPr>
        <w:t xml:space="preserve">ésumer l’expérience professionnelle des 20 dernières années en ordre chronologique inversé. Indiquer l’expérience technique et d’encadrement pertinente pour le </w:t>
      </w:r>
      <w:r w:rsidRPr="004E4188">
        <w:rPr>
          <w:i/>
          <w:iCs/>
          <w:spacing w:val="-2"/>
          <w:lang w:eastAsia="ja-JP"/>
        </w:rPr>
        <w:t>poste du personnel proposé</w:t>
      </w:r>
      <w:r w:rsidRPr="004E4188">
        <w:rPr>
          <w:rStyle w:val="Table"/>
          <w:rFonts w:ascii="Times New Roman" w:hAnsi="Times New Roman"/>
          <w:spacing w:val="-2"/>
          <w:sz w:val="22"/>
          <w:szCs w:val="22"/>
        </w:rPr>
        <w:t>.</w:t>
      </w:r>
      <w:r w:rsidRPr="004E4188">
        <w:rPr>
          <w:iCs/>
        </w:rPr>
        <w:t>]</w:t>
      </w:r>
    </w:p>
    <w:p w14:paraId="01DD6553" w14:textId="77777777" w:rsidR="007049A5" w:rsidRPr="004E4188" w:rsidRDefault="007049A5" w:rsidP="005223A6">
      <w:pPr>
        <w:tabs>
          <w:tab w:val="left" w:pos="2610"/>
        </w:tabs>
        <w:rPr>
          <w:rStyle w:val="Table"/>
          <w:rFonts w:ascii="Times New Roman" w:hAnsi="Times New Roman"/>
          <w:i/>
          <w:spacing w:val="-2"/>
          <w:sz w:val="22"/>
          <w:szCs w:val="22"/>
        </w:rPr>
      </w:pPr>
    </w:p>
    <w:tbl>
      <w:tblPr>
        <w:tblW w:w="8987" w:type="dxa"/>
        <w:tblInd w:w="72" w:type="dxa"/>
        <w:tblLayout w:type="fixed"/>
        <w:tblCellMar>
          <w:left w:w="72" w:type="dxa"/>
          <w:right w:w="72" w:type="dxa"/>
        </w:tblCellMar>
        <w:tblLook w:val="0000" w:firstRow="0" w:lastRow="0" w:firstColumn="0" w:lastColumn="0" w:noHBand="0" w:noVBand="0"/>
      </w:tblPr>
      <w:tblGrid>
        <w:gridCol w:w="1080"/>
        <w:gridCol w:w="1080"/>
        <w:gridCol w:w="6827"/>
      </w:tblGrid>
      <w:tr w:rsidR="007049A5" w:rsidRPr="004E4188" w14:paraId="1FD60DFF" w14:textId="77777777" w:rsidTr="006B07EA">
        <w:trPr>
          <w:cantSplit/>
        </w:trPr>
        <w:tc>
          <w:tcPr>
            <w:tcW w:w="1080" w:type="dxa"/>
            <w:tcBorders>
              <w:top w:val="single" w:sz="6" w:space="0" w:color="auto"/>
              <w:left w:val="single" w:sz="6" w:space="0" w:color="auto"/>
              <w:bottom w:val="single" w:sz="6" w:space="0" w:color="auto"/>
              <w:right w:val="nil"/>
            </w:tcBorders>
          </w:tcPr>
          <w:p w14:paraId="2584E557" w14:textId="77777777" w:rsidR="007049A5" w:rsidRPr="004E4188" w:rsidRDefault="007049A5" w:rsidP="00780A3C">
            <w:pPr>
              <w:tabs>
                <w:tab w:val="left" w:pos="2610"/>
              </w:tabs>
              <w:spacing w:before="60" w:after="60"/>
              <w:jc w:val="center"/>
              <w:rPr>
                <w:rStyle w:val="Table"/>
                <w:rFonts w:ascii="Times New Roman" w:hAnsi="Times New Roman"/>
                <w:b/>
                <w:spacing w:val="-2"/>
                <w:sz w:val="24"/>
                <w:szCs w:val="24"/>
              </w:rPr>
            </w:pPr>
            <w:r w:rsidRPr="004E4188">
              <w:rPr>
                <w:rStyle w:val="Table"/>
                <w:rFonts w:ascii="Times New Roman" w:hAnsi="Times New Roman"/>
                <w:b/>
                <w:spacing w:val="-2"/>
                <w:sz w:val="24"/>
                <w:szCs w:val="24"/>
              </w:rPr>
              <w:t>De</w:t>
            </w:r>
          </w:p>
        </w:tc>
        <w:tc>
          <w:tcPr>
            <w:tcW w:w="1080" w:type="dxa"/>
            <w:tcBorders>
              <w:top w:val="single" w:sz="6" w:space="0" w:color="auto"/>
              <w:left w:val="single" w:sz="6" w:space="0" w:color="auto"/>
              <w:bottom w:val="single" w:sz="6" w:space="0" w:color="auto"/>
              <w:right w:val="nil"/>
            </w:tcBorders>
          </w:tcPr>
          <w:p w14:paraId="765F04D1" w14:textId="77777777" w:rsidR="007049A5" w:rsidRPr="004E4188" w:rsidRDefault="007049A5" w:rsidP="00780A3C">
            <w:pPr>
              <w:tabs>
                <w:tab w:val="left" w:pos="2610"/>
              </w:tabs>
              <w:spacing w:before="60" w:after="60"/>
              <w:jc w:val="center"/>
              <w:rPr>
                <w:rStyle w:val="Table"/>
                <w:rFonts w:ascii="Times New Roman" w:hAnsi="Times New Roman"/>
                <w:b/>
                <w:spacing w:val="-2"/>
                <w:sz w:val="24"/>
                <w:szCs w:val="24"/>
              </w:rPr>
            </w:pPr>
            <w:r w:rsidRPr="004E4188">
              <w:rPr>
                <w:rStyle w:val="Table"/>
                <w:rFonts w:ascii="Times New Roman" w:hAnsi="Times New Roman"/>
                <w:b/>
                <w:spacing w:val="-2"/>
                <w:sz w:val="24"/>
                <w:szCs w:val="24"/>
              </w:rPr>
              <w:t>À</w:t>
            </w:r>
          </w:p>
        </w:tc>
        <w:tc>
          <w:tcPr>
            <w:tcW w:w="6827" w:type="dxa"/>
            <w:tcBorders>
              <w:top w:val="single" w:sz="6" w:space="0" w:color="auto"/>
              <w:left w:val="single" w:sz="6" w:space="0" w:color="auto"/>
              <w:bottom w:val="nil"/>
              <w:right w:val="single" w:sz="6" w:space="0" w:color="auto"/>
            </w:tcBorders>
          </w:tcPr>
          <w:p w14:paraId="3648BF0C" w14:textId="77777777" w:rsidR="007049A5" w:rsidRPr="004E4188" w:rsidRDefault="007049A5" w:rsidP="00780A3C">
            <w:pPr>
              <w:tabs>
                <w:tab w:val="left" w:pos="2610"/>
              </w:tabs>
              <w:spacing w:before="60" w:after="60"/>
              <w:jc w:val="center"/>
              <w:rPr>
                <w:rStyle w:val="Table"/>
                <w:rFonts w:ascii="Times New Roman" w:hAnsi="Times New Roman"/>
                <w:b/>
                <w:spacing w:val="-2"/>
                <w:sz w:val="24"/>
                <w:szCs w:val="24"/>
              </w:rPr>
            </w:pPr>
            <w:r w:rsidRPr="004E4188">
              <w:rPr>
                <w:b/>
                <w:spacing w:val="-2"/>
                <w:szCs w:val="24"/>
              </w:rPr>
              <w:t>Expérience technique et d’encadrement pertinente</w:t>
            </w:r>
          </w:p>
        </w:tc>
      </w:tr>
      <w:tr w:rsidR="007049A5" w:rsidRPr="004E4188" w14:paraId="6BDE0DD2" w14:textId="77777777" w:rsidTr="006F1A39">
        <w:trPr>
          <w:cantSplit/>
        </w:trPr>
        <w:tc>
          <w:tcPr>
            <w:tcW w:w="1080" w:type="dxa"/>
            <w:tcBorders>
              <w:top w:val="single" w:sz="6" w:space="0" w:color="auto"/>
              <w:left w:val="single" w:sz="6" w:space="0" w:color="auto"/>
              <w:bottom w:val="nil"/>
              <w:right w:val="nil"/>
            </w:tcBorders>
          </w:tcPr>
          <w:p w14:paraId="71E3B2EB"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top w:val="single" w:sz="6" w:space="0" w:color="auto"/>
              <w:left w:val="single" w:sz="6" w:space="0" w:color="auto"/>
              <w:bottom w:val="nil"/>
              <w:right w:val="nil"/>
            </w:tcBorders>
          </w:tcPr>
          <w:p w14:paraId="4753E5EB"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single" w:sz="6" w:space="0" w:color="auto"/>
              <w:left w:val="single" w:sz="6" w:space="0" w:color="auto"/>
              <w:bottom w:val="dotted" w:sz="6" w:space="0" w:color="auto"/>
              <w:right w:val="single" w:sz="6" w:space="0" w:color="auto"/>
            </w:tcBorders>
          </w:tcPr>
          <w:p w14:paraId="78A84EA5" w14:textId="77777777" w:rsidR="007049A5" w:rsidRPr="004E4188" w:rsidRDefault="007049A5" w:rsidP="006C6267">
            <w:pPr>
              <w:tabs>
                <w:tab w:val="left" w:pos="2610"/>
              </w:tabs>
              <w:spacing w:after="71"/>
              <w:rPr>
                <w:rStyle w:val="Table"/>
                <w:rFonts w:ascii="Times New Roman" w:hAnsi="Times New Roman"/>
                <w:i/>
                <w:spacing w:val="-2"/>
                <w:sz w:val="22"/>
                <w:szCs w:val="22"/>
              </w:rPr>
            </w:pPr>
            <w:r w:rsidRPr="004E4188">
              <w:rPr>
                <w:spacing w:val="-2"/>
                <w:szCs w:val="24"/>
              </w:rPr>
              <w:t>Société :</w:t>
            </w:r>
          </w:p>
        </w:tc>
      </w:tr>
      <w:tr w:rsidR="007049A5" w:rsidRPr="004E4188" w14:paraId="390AB55B" w14:textId="77777777" w:rsidTr="006F1A39">
        <w:trPr>
          <w:cantSplit/>
        </w:trPr>
        <w:tc>
          <w:tcPr>
            <w:tcW w:w="1080" w:type="dxa"/>
            <w:tcBorders>
              <w:left w:val="single" w:sz="6" w:space="0" w:color="auto"/>
              <w:bottom w:val="nil"/>
              <w:right w:val="nil"/>
            </w:tcBorders>
          </w:tcPr>
          <w:p w14:paraId="40C5111F"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left w:val="single" w:sz="6" w:space="0" w:color="auto"/>
              <w:bottom w:val="nil"/>
              <w:right w:val="nil"/>
            </w:tcBorders>
          </w:tcPr>
          <w:p w14:paraId="632EB863"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dotted" w:sz="6" w:space="0" w:color="auto"/>
              <w:left w:val="single" w:sz="6" w:space="0" w:color="auto"/>
              <w:bottom w:val="dotted" w:sz="6" w:space="0" w:color="auto"/>
              <w:right w:val="single" w:sz="6" w:space="0" w:color="auto"/>
            </w:tcBorders>
          </w:tcPr>
          <w:p w14:paraId="12649DE9" w14:textId="77777777" w:rsidR="007049A5" w:rsidRPr="004E4188" w:rsidRDefault="007049A5" w:rsidP="006C6267">
            <w:pPr>
              <w:tabs>
                <w:tab w:val="left" w:pos="2610"/>
              </w:tabs>
              <w:spacing w:after="71"/>
              <w:rPr>
                <w:rStyle w:val="Table"/>
                <w:rFonts w:ascii="Times New Roman" w:hAnsi="Times New Roman"/>
                <w:i/>
                <w:spacing w:val="-2"/>
                <w:sz w:val="22"/>
                <w:szCs w:val="22"/>
              </w:rPr>
            </w:pPr>
            <w:r w:rsidRPr="004E4188">
              <w:rPr>
                <w:spacing w:val="-2"/>
                <w:szCs w:val="24"/>
                <w:lang w:eastAsia="ja-JP"/>
              </w:rPr>
              <w:t>Projet :</w:t>
            </w:r>
          </w:p>
        </w:tc>
      </w:tr>
      <w:tr w:rsidR="007049A5" w:rsidRPr="004E4188" w14:paraId="4206EFFD" w14:textId="77777777" w:rsidTr="006F1A39">
        <w:trPr>
          <w:cantSplit/>
        </w:trPr>
        <w:tc>
          <w:tcPr>
            <w:tcW w:w="1080" w:type="dxa"/>
            <w:tcBorders>
              <w:top w:val="nil"/>
              <w:left w:val="single" w:sz="6" w:space="0" w:color="auto"/>
              <w:bottom w:val="nil"/>
              <w:right w:val="nil"/>
            </w:tcBorders>
          </w:tcPr>
          <w:p w14:paraId="6ADC495C" w14:textId="77777777" w:rsidR="007049A5" w:rsidRPr="004E4188" w:rsidRDefault="007049A5" w:rsidP="006C6267">
            <w:pPr>
              <w:tabs>
                <w:tab w:val="left" w:pos="2610"/>
              </w:tabs>
              <w:spacing w:after="71"/>
              <w:rPr>
                <w:rStyle w:val="Table"/>
                <w:rFonts w:ascii="Times New Roman" w:hAnsi="Times New Roman"/>
                <w:i/>
                <w:spacing w:val="-2"/>
                <w:sz w:val="22"/>
                <w:szCs w:val="22"/>
                <w:u w:val="single"/>
              </w:rPr>
            </w:pPr>
          </w:p>
        </w:tc>
        <w:tc>
          <w:tcPr>
            <w:tcW w:w="1080" w:type="dxa"/>
            <w:tcBorders>
              <w:top w:val="nil"/>
              <w:left w:val="single" w:sz="6" w:space="0" w:color="auto"/>
              <w:bottom w:val="nil"/>
              <w:right w:val="nil"/>
            </w:tcBorders>
          </w:tcPr>
          <w:p w14:paraId="1FF73E71"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dotted" w:sz="6" w:space="0" w:color="auto"/>
              <w:left w:val="single" w:sz="6" w:space="0" w:color="auto"/>
              <w:bottom w:val="dotted" w:sz="6" w:space="0" w:color="auto"/>
              <w:right w:val="single" w:sz="6" w:space="0" w:color="auto"/>
            </w:tcBorders>
          </w:tcPr>
          <w:p w14:paraId="6B233DCE" w14:textId="77777777" w:rsidR="007049A5" w:rsidRPr="004E4188" w:rsidRDefault="007049A5" w:rsidP="006C6267">
            <w:pPr>
              <w:tabs>
                <w:tab w:val="left" w:pos="2610"/>
              </w:tabs>
              <w:spacing w:after="71"/>
              <w:rPr>
                <w:rStyle w:val="Table"/>
                <w:rFonts w:ascii="Times New Roman" w:hAnsi="Times New Roman"/>
                <w:i/>
                <w:spacing w:val="-2"/>
                <w:sz w:val="22"/>
                <w:szCs w:val="22"/>
              </w:rPr>
            </w:pPr>
            <w:r w:rsidRPr="004E4188">
              <w:rPr>
                <w:spacing w:val="-2"/>
                <w:szCs w:val="24"/>
                <w:lang w:eastAsia="ja-JP"/>
              </w:rPr>
              <w:t>Poste :</w:t>
            </w:r>
          </w:p>
        </w:tc>
      </w:tr>
      <w:tr w:rsidR="007049A5" w:rsidRPr="004E4188" w14:paraId="097877D3" w14:textId="77777777" w:rsidTr="006F1A39">
        <w:trPr>
          <w:cantSplit/>
        </w:trPr>
        <w:tc>
          <w:tcPr>
            <w:tcW w:w="1080" w:type="dxa"/>
            <w:tcBorders>
              <w:left w:val="single" w:sz="6" w:space="0" w:color="auto"/>
              <w:right w:val="nil"/>
            </w:tcBorders>
          </w:tcPr>
          <w:p w14:paraId="1F3182F8"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left w:val="single" w:sz="6" w:space="0" w:color="auto"/>
              <w:right w:val="nil"/>
            </w:tcBorders>
          </w:tcPr>
          <w:p w14:paraId="497A3790"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dotted" w:sz="6" w:space="0" w:color="auto"/>
              <w:left w:val="single" w:sz="6" w:space="0" w:color="auto"/>
              <w:bottom w:val="dotted" w:sz="6" w:space="0" w:color="auto"/>
              <w:right w:val="single" w:sz="6" w:space="0" w:color="auto"/>
            </w:tcBorders>
          </w:tcPr>
          <w:p w14:paraId="70B2767C" w14:textId="77777777" w:rsidR="007049A5" w:rsidRPr="004E4188" w:rsidRDefault="007049A5" w:rsidP="006C6267">
            <w:pPr>
              <w:tabs>
                <w:tab w:val="left" w:pos="2610"/>
              </w:tabs>
              <w:spacing w:after="71"/>
              <w:rPr>
                <w:rStyle w:val="Table"/>
                <w:rFonts w:ascii="Times New Roman" w:hAnsi="Times New Roman"/>
                <w:i/>
                <w:spacing w:val="-2"/>
                <w:sz w:val="22"/>
                <w:szCs w:val="22"/>
              </w:rPr>
            </w:pPr>
            <w:r w:rsidRPr="004E4188">
              <w:rPr>
                <w:spacing w:val="-2"/>
                <w:szCs w:val="24"/>
              </w:rPr>
              <w:t>Expérience :</w:t>
            </w:r>
          </w:p>
        </w:tc>
      </w:tr>
      <w:tr w:rsidR="007049A5" w:rsidRPr="004E4188" w14:paraId="6E623732" w14:textId="77777777" w:rsidTr="006C6267">
        <w:trPr>
          <w:cantSplit/>
        </w:trPr>
        <w:tc>
          <w:tcPr>
            <w:tcW w:w="1080" w:type="dxa"/>
            <w:tcBorders>
              <w:top w:val="nil"/>
              <w:left w:val="single" w:sz="6" w:space="0" w:color="auto"/>
              <w:bottom w:val="nil"/>
              <w:right w:val="nil"/>
            </w:tcBorders>
          </w:tcPr>
          <w:p w14:paraId="6D998808" w14:textId="77777777" w:rsidR="007049A5" w:rsidRPr="004E4188" w:rsidRDefault="007049A5" w:rsidP="00780A3C">
            <w:pPr>
              <w:tabs>
                <w:tab w:val="left" w:pos="2610"/>
              </w:tabs>
              <w:spacing w:after="71"/>
              <w:rPr>
                <w:rStyle w:val="Table"/>
                <w:rFonts w:ascii="Times New Roman" w:hAnsi="Times New Roman"/>
                <w:i/>
                <w:spacing w:val="-2"/>
                <w:sz w:val="22"/>
                <w:szCs w:val="22"/>
              </w:rPr>
            </w:pPr>
          </w:p>
        </w:tc>
        <w:tc>
          <w:tcPr>
            <w:tcW w:w="1080" w:type="dxa"/>
            <w:tcBorders>
              <w:top w:val="nil"/>
              <w:left w:val="single" w:sz="6" w:space="0" w:color="auto"/>
              <w:bottom w:val="nil"/>
              <w:right w:val="nil"/>
            </w:tcBorders>
          </w:tcPr>
          <w:p w14:paraId="36048575" w14:textId="77777777" w:rsidR="007049A5" w:rsidRPr="004E4188" w:rsidRDefault="007049A5" w:rsidP="00780A3C">
            <w:pPr>
              <w:tabs>
                <w:tab w:val="left" w:pos="2610"/>
              </w:tabs>
              <w:spacing w:after="71"/>
              <w:rPr>
                <w:rStyle w:val="Table"/>
                <w:rFonts w:ascii="Times New Roman" w:hAnsi="Times New Roman"/>
                <w:i/>
                <w:spacing w:val="-2"/>
                <w:sz w:val="22"/>
                <w:szCs w:val="22"/>
              </w:rPr>
            </w:pPr>
          </w:p>
        </w:tc>
        <w:tc>
          <w:tcPr>
            <w:tcW w:w="6827" w:type="dxa"/>
            <w:tcBorders>
              <w:top w:val="nil"/>
              <w:left w:val="single" w:sz="6" w:space="0" w:color="auto"/>
              <w:bottom w:val="nil"/>
              <w:right w:val="single" w:sz="6" w:space="0" w:color="auto"/>
            </w:tcBorders>
          </w:tcPr>
          <w:p w14:paraId="6680985E" w14:textId="77777777" w:rsidR="007049A5" w:rsidRPr="004E4188" w:rsidRDefault="007049A5" w:rsidP="00780A3C">
            <w:pPr>
              <w:tabs>
                <w:tab w:val="left" w:pos="2610"/>
              </w:tabs>
              <w:spacing w:after="71"/>
              <w:rPr>
                <w:rStyle w:val="Table"/>
                <w:rFonts w:ascii="Times New Roman" w:hAnsi="Times New Roman"/>
                <w:i/>
                <w:spacing w:val="-2"/>
                <w:sz w:val="22"/>
                <w:szCs w:val="22"/>
              </w:rPr>
            </w:pPr>
          </w:p>
        </w:tc>
      </w:tr>
      <w:tr w:rsidR="007049A5" w:rsidRPr="004E4188" w14:paraId="227EF10C" w14:textId="77777777" w:rsidTr="005B3108">
        <w:trPr>
          <w:cantSplit/>
        </w:trPr>
        <w:tc>
          <w:tcPr>
            <w:tcW w:w="1080" w:type="dxa"/>
            <w:tcBorders>
              <w:left w:val="single" w:sz="6" w:space="0" w:color="auto"/>
              <w:right w:val="nil"/>
            </w:tcBorders>
          </w:tcPr>
          <w:p w14:paraId="48EC6C54" w14:textId="77777777" w:rsidR="007049A5" w:rsidRPr="004E4188" w:rsidRDefault="007049A5" w:rsidP="00780A3C">
            <w:pPr>
              <w:tabs>
                <w:tab w:val="left" w:pos="2610"/>
              </w:tabs>
              <w:spacing w:after="71"/>
              <w:rPr>
                <w:rStyle w:val="Table"/>
                <w:rFonts w:ascii="Times New Roman" w:hAnsi="Times New Roman"/>
                <w:i/>
                <w:spacing w:val="-2"/>
                <w:sz w:val="22"/>
                <w:szCs w:val="22"/>
              </w:rPr>
            </w:pPr>
          </w:p>
        </w:tc>
        <w:tc>
          <w:tcPr>
            <w:tcW w:w="1080" w:type="dxa"/>
            <w:tcBorders>
              <w:left w:val="single" w:sz="6" w:space="0" w:color="auto"/>
              <w:right w:val="nil"/>
            </w:tcBorders>
          </w:tcPr>
          <w:p w14:paraId="3104B366" w14:textId="77777777" w:rsidR="007049A5" w:rsidRPr="004E4188" w:rsidRDefault="007049A5" w:rsidP="00780A3C">
            <w:pPr>
              <w:tabs>
                <w:tab w:val="left" w:pos="2610"/>
              </w:tabs>
              <w:spacing w:after="71"/>
              <w:rPr>
                <w:rStyle w:val="Table"/>
                <w:rFonts w:ascii="Times New Roman" w:hAnsi="Times New Roman"/>
                <w:i/>
                <w:spacing w:val="-2"/>
                <w:sz w:val="22"/>
                <w:szCs w:val="22"/>
              </w:rPr>
            </w:pPr>
          </w:p>
        </w:tc>
        <w:tc>
          <w:tcPr>
            <w:tcW w:w="6827" w:type="dxa"/>
            <w:tcBorders>
              <w:top w:val="dotted" w:sz="6" w:space="0" w:color="auto"/>
              <w:left w:val="single" w:sz="6" w:space="0" w:color="auto"/>
              <w:bottom w:val="dotted" w:sz="6" w:space="0" w:color="auto"/>
              <w:right w:val="single" w:sz="6" w:space="0" w:color="auto"/>
            </w:tcBorders>
          </w:tcPr>
          <w:p w14:paraId="1C632494" w14:textId="77777777" w:rsidR="007049A5" w:rsidRPr="004E4188" w:rsidRDefault="007049A5" w:rsidP="00780A3C">
            <w:pPr>
              <w:tabs>
                <w:tab w:val="left" w:pos="2610"/>
              </w:tabs>
              <w:spacing w:after="71"/>
              <w:rPr>
                <w:rStyle w:val="Table"/>
                <w:rFonts w:ascii="Times New Roman" w:hAnsi="Times New Roman"/>
                <w:i/>
                <w:spacing w:val="-2"/>
                <w:sz w:val="22"/>
                <w:szCs w:val="22"/>
              </w:rPr>
            </w:pPr>
          </w:p>
        </w:tc>
      </w:tr>
      <w:tr w:rsidR="007049A5" w:rsidRPr="004E4188" w14:paraId="023A3B87" w14:textId="77777777" w:rsidTr="006F3F18">
        <w:trPr>
          <w:cantSplit/>
        </w:trPr>
        <w:tc>
          <w:tcPr>
            <w:tcW w:w="1080" w:type="dxa"/>
            <w:tcBorders>
              <w:left w:val="single" w:sz="6" w:space="0" w:color="auto"/>
              <w:bottom w:val="single" w:sz="6" w:space="0" w:color="auto"/>
              <w:right w:val="nil"/>
            </w:tcBorders>
          </w:tcPr>
          <w:p w14:paraId="7AF2246F" w14:textId="77777777" w:rsidR="007049A5" w:rsidRPr="004E4188" w:rsidRDefault="007049A5" w:rsidP="00780A3C">
            <w:pPr>
              <w:tabs>
                <w:tab w:val="left" w:pos="2610"/>
              </w:tabs>
              <w:spacing w:after="71"/>
              <w:rPr>
                <w:rStyle w:val="Table"/>
                <w:rFonts w:ascii="Times New Roman" w:hAnsi="Times New Roman"/>
                <w:i/>
                <w:spacing w:val="-2"/>
                <w:sz w:val="22"/>
                <w:szCs w:val="22"/>
              </w:rPr>
            </w:pPr>
          </w:p>
        </w:tc>
        <w:tc>
          <w:tcPr>
            <w:tcW w:w="1080" w:type="dxa"/>
            <w:tcBorders>
              <w:left w:val="single" w:sz="6" w:space="0" w:color="auto"/>
              <w:bottom w:val="single" w:sz="6" w:space="0" w:color="auto"/>
              <w:right w:val="nil"/>
            </w:tcBorders>
          </w:tcPr>
          <w:p w14:paraId="366CB6AD" w14:textId="77777777" w:rsidR="007049A5" w:rsidRPr="004E4188" w:rsidRDefault="007049A5" w:rsidP="00780A3C">
            <w:pPr>
              <w:tabs>
                <w:tab w:val="left" w:pos="2610"/>
              </w:tabs>
              <w:spacing w:after="71"/>
              <w:rPr>
                <w:rStyle w:val="Table"/>
                <w:rFonts w:ascii="Times New Roman" w:hAnsi="Times New Roman"/>
                <w:i/>
                <w:spacing w:val="-2"/>
                <w:sz w:val="22"/>
                <w:szCs w:val="22"/>
              </w:rPr>
            </w:pPr>
          </w:p>
        </w:tc>
        <w:tc>
          <w:tcPr>
            <w:tcW w:w="6827" w:type="dxa"/>
            <w:tcBorders>
              <w:top w:val="nil"/>
              <w:left w:val="single" w:sz="6" w:space="0" w:color="auto"/>
              <w:bottom w:val="single" w:sz="6" w:space="0" w:color="auto"/>
              <w:right w:val="single" w:sz="6" w:space="0" w:color="auto"/>
            </w:tcBorders>
          </w:tcPr>
          <w:p w14:paraId="03A8EA89" w14:textId="77777777" w:rsidR="007049A5" w:rsidRPr="004E4188" w:rsidRDefault="007049A5" w:rsidP="00780A3C">
            <w:pPr>
              <w:tabs>
                <w:tab w:val="left" w:pos="2610"/>
              </w:tabs>
              <w:spacing w:after="71"/>
              <w:rPr>
                <w:rStyle w:val="Table"/>
                <w:rFonts w:ascii="Times New Roman" w:hAnsi="Times New Roman"/>
                <w:i/>
                <w:spacing w:val="-2"/>
                <w:sz w:val="22"/>
                <w:szCs w:val="22"/>
              </w:rPr>
            </w:pPr>
          </w:p>
        </w:tc>
      </w:tr>
      <w:tr w:rsidR="007049A5" w:rsidRPr="004E4188" w14:paraId="7AE3C6F0" w14:textId="77777777" w:rsidTr="006F3F18">
        <w:trPr>
          <w:cantSplit/>
        </w:trPr>
        <w:tc>
          <w:tcPr>
            <w:tcW w:w="1080" w:type="dxa"/>
            <w:tcBorders>
              <w:top w:val="single" w:sz="6" w:space="0" w:color="auto"/>
              <w:left w:val="single" w:sz="6" w:space="0" w:color="auto"/>
              <w:right w:val="nil"/>
            </w:tcBorders>
          </w:tcPr>
          <w:p w14:paraId="0F0A4E89"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top w:val="single" w:sz="6" w:space="0" w:color="auto"/>
              <w:left w:val="single" w:sz="6" w:space="0" w:color="auto"/>
              <w:right w:val="nil"/>
            </w:tcBorders>
          </w:tcPr>
          <w:p w14:paraId="1973A2DC"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single" w:sz="6" w:space="0" w:color="auto"/>
              <w:left w:val="single" w:sz="6" w:space="0" w:color="auto"/>
              <w:bottom w:val="dotted" w:sz="4" w:space="0" w:color="auto"/>
              <w:right w:val="single" w:sz="6" w:space="0" w:color="auto"/>
            </w:tcBorders>
          </w:tcPr>
          <w:p w14:paraId="043B882D" w14:textId="77777777" w:rsidR="007049A5" w:rsidRPr="004E4188" w:rsidRDefault="007049A5" w:rsidP="006C6267">
            <w:pPr>
              <w:tabs>
                <w:tab w:val="left" w:pos="2610"/>
              </w:tabs>
              <w:spacing w:after="71"/>
              <w:rPr>
                <w:rStyle w:val="Table"/>
                <w:rFonts w:ascii="Times New Roman" w:hAnsi="Times New Roman"/>
                <w:i/>
                <w:spacing w:val="-2"/>
                <w:sz w:val="22"/>
                <w:szCs w:val="22"/>
              </w:rPr>
            </w:pPr>
            <w:r w:rsidRPr="004E4188">
              <w:rPr>
                <w:spacing w:val="-2"/>
                <w:szCs w:val="24"/>
              </w:rPr>
              <w:t>Société :</w:t>
            </w:r>
          </w:p>
        </w:tc>
      </w:tr>
      <w:tr w:rsidR="007049A5" w:rsidRPr="004E4188" w14:paraId="6315DBC1" w14:textId="77777777" w:rsidTr="006F3F18">
        <w:trPr>
          <w:cantSplit/>
        </w:trPr>
        <w:tc>
          <w:tcPr>
            <w:tcW w:w="1080" w:type="dxa"/>
            <w:tcBorders>
              <w:left w:val="single" w:sz="6" w:space="0" w:color="auto"/>
              <w:right w:val="nil"/>
            </w:tcBorders>
          </w:tcPr>
          <w:p w14:paraId="0F53E5EB"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left w:val="single" w:sz="6" w:space="0" w:color="auto"/>
              <w:right w:val="nil"/>
            </w:tcBorders>
          </w:tcPr>
          <w:p w14:paraId="20A81E3F"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dotted" w:sz="4" w:space="0" w:color="auto"/>
              <w:left w:val="single" w:sz="6" w:space="0" w:color="auto"/>
              <w:bottom w:val="dotted" w:sz="4" w:space="0" w:color="auto"/>
              <w:right w:val="single" w:sz="6" w:space="0" w:color="auto"/>
            </w:tcBorders>
          </w:tcPr>
          <w:p w14:paraId="6C9D215D" w14:textId="77777777" w:rsidR="007049A5" w:rsidRPr="004E4188" w:rsidRDefault="007049A5" w:rsidP="006C6267">
            <w:pPr>
              <w:tabs>
                <w:tab w:val="left" w:pos="2610"/>
              </w:tabs>
              <w:spacing w:after="71"/>
              <w:rPr>
                <w:spacing w:val="-2"/>
                <w:szCs w:val="24"/>
              </w:rPr>
            </w:pPr>
            <w:r w:rsidRPr="004E4188">
              <w:rPr>
                <w:rFonts w:hint="eastAsia"/>
                <w:spacing w:val="-2"/>
                <w:szCs w:val="24"/>
                <w:lang w:eastAsia="ja-JP"/>
              </w:rPr>
              <w:t>P</w:t>
            </w:r>
            <w:r w:rsidRPr="004E4188">
              <w:rPr>
                <w:spacing w:val="-2"/>
                <w:szCs w:val="24"/>
                <w:lang w:eastAsia="ja-JP"/>
              </w:rPr>
              <w:t>rojet :</w:t>
            </w:r>
          </w:p>
        </w:tc>
      </w:tr>
      <w:tr w:rsidR="007049A5" w:rsidRPr="004E4188" w14:paraId="3C7F6596" w14:textId="77777777" w:rsidTr="006F3F18">
        <w:trPr>
          <w:cantSplit/>
        </w:trPr>
        <w:tc>
          <w:tcPr>
            <w:tcW w:w="1080" w:type="dxa"/>
            <w:tcBorders>
              <w:left w:val="single" w:sz="6" w:space="0" w:color="auto"/>
              <w:right w:val="nil"/>
            </w:tcBorders>
          </w:tcPr>
          <w:p w14:paraId="589C5567"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left w:val="single" w:sz="6" w:space="0" w:color="auto"/>
              <w:right w:val="nil"/>
            </w:tcBorders>
          </w:tcPr>
          <w:p w14:paraId="0085258A"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dotted" w:sz="4" w:space="0" w:color="auto"/>
              <w:left w:val="single" w:sz="6" w:space="0" w:color="auto"/>
              <w:bottom w:val="dotted" w:sz="4" w:space="0" w:color="auto"/>
              <w:right w:val="single" w:sz="6" w:space="0" w:color="auto"/>
            </w:tcBorders>
          </w:tcPr>
          <w:p w14:paraId="0EFDDFCD" w14:textId="77777777" w:rsidR="007049A5" w:rsidRPr="004E4188" w:rsidRDefault="007049A5" w:rsidP="006C6267">
            <w:pPr>
              <w:tabs>
                <w:tab w:val="left" w:pos="2610"/>
              </w:tabs>
              <w:spacing w:after="71"/>
              <w:rPr>
                <w:spacing w:val="-2"/>
                <w:szCs w:val="24"/>
                <w:lang w:eastAsia="ja-JP"/>
              </w:rPr>
            </w:pPr>
            <w:r w:rsidRPr="004E4188">
              <w:rPr>
                <w:rFonts w:hint="eastAsia"/>
                <w:spacing w:val="-2"/>
                <w:szCs w:val="24"/>
                <w:lang w:eastAsia="ja-JP"/>
              </w:rPr>
              <w:t>P</w:t>
            </w:r>
            <w:r w:rsidRPr="004E4188">
              <w:rPr>
                <w:spacing w:val="-2"/>
                <w:szCs w:val="24"/>
                <w:lang w:eastAsia="ja-JP"/>
              </w:rPr>
              <w:t>oste :</w:t>
            </w:r>
          </w:p>
        </w:tc>
      </w:tr>
      <w:tr w:rsidR="007049A5" w:rsidRPr="004E4188" w14:paraId="1EBDCB08" w14:textId="77777777" w:rsidTr="006F3F18">
        <w:trPr>
          <w:cantSplit/>
        </w:trPr>
        <w:tc>
          <w:tcPr>
            <w:tcW w:w="1080" w:type="dxa"/>
            <w:tcBorders>
              <w:left w:val="single" w:sz="6" w:space="0" w:color="auto"/>
              <w:right w:val="nil"/>
            </w:tcBorders>
          </w:tcPr>
          <w:p w14:paraId="7E68ED9D"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left w:val="single" w:sz="6" w:space="0" w:color="auto"/>
              <w:right w:val="nil"/>
            </w:tcBorders>
          </w:tcPr>
          <w:p w14:paraId="1A709886"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dotted" w:sz="4" w:space="0" w:color="auto"/>
              <w:left w:val="single" w:sz="6" w:space="0" w:color="auto"/>
              <w:bottom w:val="dotted" w:sz="4" w:space="0" w:color="auto"/>
              <w:right w:val="single" w:sz="6" w:space="0" w:color="auto"/>
            </w:tcBorders>
          </w:tcPr>
          <w:p w14:paraId="6C980326" w14:textId="77777777" w:rsidR="007049A5" w:rsidRPr="004E4188" w:rsidRDefault="007049A5" w:rsidP="006C6267">
            <w:pPr>
              <w:tabs>
                <w:tab w:val="left" w:pos="2610"/>
              </w:tabs>
              <w:spacing w:after="71"/>
              <w:rPr>
                <w:spacing w:val="-2"/>
                <w:szCs w:val="24"/>
                <w:lang w:eastAsia="ja-JP"/>
              </w:rPr>
            </w:pPr>
            <w:r w:rsidRPr="004E4188">
              <w:rPr>
                <w:spacing w:val="-2"/>
                <w:szCs w:val="24"/>
              </w:rPr>
              <w:t>Expérience :</w:t>
            </w:r>
          </w:p>
        </w:tc>
      </w:tr>
      <w:tr w:rsidR="007049A5" w:rsidRPr="004E4188" w14:paraId="1FFA4E71" w14:textId="77777777" w:rsidTr="006F3F18">
        <w:trPr>
          <w:cantSplit/>
        </w:trPr>
        <w:tc>
          <w:tcPr>
            <w:tcW w:w="1080" w:type="dxa"/>
            <w:tcBorders>
              <w:left w:val="single" w:sz="6" w:space="0" w:color="auto"/>
              <w:right w:val="nil"/>
            </w:tcBorders>
          </w:tcPr>
          <w:p w14:paraId="7222C00E"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left w:val="single" w:sz="6" w:space="0" w:color="auto"/>
              <w:right w:val="nil"/>
            </w:tcBorders>
          </w:tcPr>
          <w:p w14:paraId="3A2EC43C"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dotted" w:sz="4" w:space="0" w:color="auto"/>
              <w:left w:val="single" w:sz="6" w:space="0" w:color="auto"/>
              <w:bottom w:val="dotted" w:sz="4" w:space="0" w:color="auto"/>
              <w:right w:val="single" w:sz="6" w:space="0" w:color="auto"/>
            </w:tcBorders>
          </w:tcPr>
          <w:p w14:paraId="2F2B020C" w14:textId="77777777" w:rsidR="007049A5" w:rsidRPr="004E4188" w:rsidRDefault="007049A5" w:rsidP="006C6267">
            <w:pPr>
              <w:tabs>
                <w:tab w:val="left" w:pos="2610"/>
              </w:tabs>
              <w:spacing w:after="71"/>
              <w:rPr>
                <w:spacing w:val="-2"/>
                <w:szCs w:val="24"/>
              </w:rPr>
            </w:pPr>
          </w:p>
        </w:tc>
      </w:tr>
      <w:tr w:rsidR="007049A5" w:rsidRPr="004E4188" w14:paraId="3D69FAF5" w14:textId="77777777" w:rsidTr="006F3F18">
        <w:trPr>
          <w:cantSplit/>
        </w:trPr>
        <w:tc>
          <w:tcPr>
            <w:tcW w:w="1080" w:type="dxa"/>
            <w:tcBorders>
              <w:left w:val="single" w:sz="6" w:space="0" w:color="auto"/>
              <w:right w:val="nil"/>
            </w:tcBorders>
          </w:tcPr>
          <w:p w14:paraId="60A014D9"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left w:val="single" w:sz="6" w:space="0" w:color="auto"/>
              <w:right w:val="nil"/>
            </w:tcBorders>
          </w:tcPr>
          <w:p w14:paraId="784CB3D4"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dotted" w:sz="4" w:space="0" w:color="auto"/>
              <w:left w:val="single" w:sz="6" w:space="0" w:color="auto"/>
              <w:bottom w:val="dotted" w:sz="4" w:space="0" w:color="auto"/>
              <w:right w:val="single" w:sz="6" w:space="0" w:color="auto"/>
            </w:tcBorders>
          </w:tcPr>
          <w:p w14:paraId="319BB48B" w14:textId="77777777" w:rsidR="007049A5" w:rsidRPr="004E4188" w:rsidRDefault="007049A5" w:rsidP="006C6267">
            <w:pPr>
              <w:tabs>
                <w:tab w:val="left" w:pos="2610"/>
              </w:tabs>
              <w:spacing w:after="71"/>
              <w:rPr>
                <w:spacing w:val="-2"/>
                <w:szCs w:val="24"/>
              </w:rPr>
            </w:pPr>
          </w:p>
        </w:tc>
      </w:tr>
      <w:tr w:rsidR="007049A5" w:rsidRPr="004E4188" w14:paraId="630765C8" w14:textId="77777777" w:rsidTr="006F3F18">
        <w:trPr>
          <w:cantSplit/>
        </w:trPr>
        <w:tc>
          <w:tcPr>
            <w:tcW w:w="1080" w:type="dxa"/>
            <w:tcBorders>
              <w:left w:val="single" w:sz="6" w:space="0" w:color="auto"/>
              <w:bottom w:val="single" w:sz="4" w:space="0" w:color="auto"/>
              <w:right w:val="nil"/>
            </w:tcBorders>
          </w:tcPr>
          <w:p w14:paraId="25CD6744"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left w:val="single" w:sz="6" w:space="0" w:color="auto"/>
              <w:bottom w:val="single" w:sz="4" w:space="0" w:color="auto"/>
              <w:right w:val="nil"/>
            </w:tcBorders>
          </w:tcPr>
          <w:p w14:paraId="53FF6282"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dotted" w:sz="4" w:space="0" w:color="auto"/>
              <w:left w:val="single" w:sz="6" w:space="0" w:color="auto"/>
              <w:bottom w:val="single" w:sz="4" w:space="0" w:color="auto"/>
              <w:right w:val="single" w:sz="6" w:space="0" w:color="auto"/>
            </w:tcBorders>
          </w:tcPr>
          <w:p w14:paraId="07730805" w14:textId="77777777" w:rsidR="007049A5" w:rsidRPr="004E4188" w:rsidRDefault="007049A5" w:rsidP="006C6267">
            <w:pPr>
              <w:tabs>
                <w:tab w:val="left" w:pos="2610"/>
              </w:tabs>
              <w:spacing w:after="71"/>
              <w:rPr>
                <w:spacing w:val="-2"/>
                <w:szCs w:val="24"/>
              </w:rPr>
            </w:pPr>
          </w:p>
        </w:tc>
      </w:tr>
      <w:tr w:rsidR="007049A5" w:rsidRPr="004E4188" w14:paraId="25E6CB97" w14:textId="77777777" w:rsidTr="006F3F18">
        <w:trPr>
          <w:cantSplit/>
        </w:trPr>
        <w:tc>
          <w:tcPr>
            <w:tcW w:w="1080" w:type="dxa"/>
            <w:tcBorders>
              <w:top w:val="single" w:sz="4" w:space="0" w:color="auto"/>
              <w:left w:val="single" w:sz="6" w:space="0" w:color="auto"/>
              <w:right w:val="single" w:sz="6" w:space="0" w:color="auto"/>
            </w:tcBorders>
          </w:tcPr>
          <w:p w14:paraId="2DD88BD0"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top w:val="single" w:sz="4" w:space="0" w:color="auto"/>
              <w:left w:val="single" w:sz="6" w:space="0" w:color="auto"/>
              <w:right w:val="single" w:sz="6" w:space="0" w:color="auto"/>
            </w:tcBorders>
          </w:tcPr>
          <w:p w14:paraId="67788274"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single" w:sz="4" w:space="0" w:color="auto"/>
              <w:left w:val="single" w:sz="6" w:space="0" w:color="auto"/>
              <w:bottom w:val="dotted" w:sz="4" w:space="0" w:color="auto"/>
              <w:right w:val="single" w:sz="4" w:space="0" w:color="auto"/>
            </w:tcBorders>
          </w:tcPr>
          <w:p w14:paraId="15317875" w14:textId="77777777" w:rsidR="007049A5" w:rsidRPr="004E4188" w:rsidRDefault="007049A5" w:rsidP="006C6267">
            <w:pPr>
              <w:tabs>
                <w:tab w:val="left" w:pos="2610"/>
              </w:tabs>
              <w:spacing w:after="71"/>
              <w:rPr>
                <w:spacing w:val="-2"/>
                <w:szCs w:val="24"/>
              </w:rPr>
            </w:pPr>
            <w:r w:rsidRPr="004E4188">
              <w:rPr>
                <w:spacing w:val="-2"/>
                <w:szCs w:val="24"/>
              </w:rPr>
              <w:t>Société :</w:t>
            </w:r>
          </w:p>
        </w:tc>
      </w:tr>
      <w:tr w:rsidR="007049A5" w:rsidRPr="004E4188" w14:paraId="0F93224B" w14:textId="77777777" w:rsidTr="006F3F18">
        <w:trPr>
          <w:cantSplit/>
        </w:trPr>
        <w:tc>
          <w:tcPr>
            <w:tcW w:w="1080" w:type="dxa"/>
            <w:tcBorders>
              <w:left w:val="single" w:sz="6" w:space="0" w:color="auto"/>
              <w:right w:val="single" w:sz="6" w:space="0" w:color="auto"/>
            </w:tcBorders>
          </w:tcPr>
          <w:p w14:paraId="221D2458"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left w:val="single" w:sz="6" w:space="0" w:color="auto"/>
              <w:right w:val="single" w:sz="6" w:space="0" w:color="auto"/>
            </w:tcBorders>
          </w:tcPr>
          <w:p w14:paraId="5307F831"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dotted" w:sz="4" w:space="0" w:color="auto"/>
              <w:left w:val="single" w:sz="6" w:space="0" w:color="auto"/>
              <w:bottom w:val="dotted" w:sz="4" w:space="0" w:color="auto"/>
              <w:right w:val="single" w:sz="4" w:space="0" w:color="auto"/>
            </w:tcBorders>
          </w:tcPr>
          <w:p w14:paraId="73C960CA" w14:textId="77777777" w:rsidR="007049A5" w:rsidRPr="004E4188" w:rsidRDefault="007049A5" w:rsidP="006C6267">
            <w:pPr>
              <w:tabs>
                <w:tab w:val="left" w:pos="2610"/>
              </w:tabs>
              <w:spacing w:after="71"/>
              <w:rPr>
                <w:spacing w:val="-2"/>
                <w:szCs w:val="24"/>
              </w:rPr>
            </w:pPr>
            <w:r w:rsidRPr="004E4188">
              <w:rPr>
                <w:rFonts w:hint="eastAsia"/>
                <w:spacing w:val="-2"/>
                <w:szCs w:val="24"/>
                <w:lang w:eastAsia="ja-JP"/>
              </w:rPr>
              <w:t>P</w:t>
            </w:r>
            <w:r w:rsidRPr="004E4188">
              <w:rPr>
                <w:spacing w:val="-2"/>
                <w:szCs w:val="24"/>
                <w:lang w:eastAsia="ja-JP"/>
              </w:rPr>
              <w:t>rojet :</w:t>
            </w:r>
          </w:p>
        </w:tc>
      </w:tr>
      <w:tr w:rsidR="007049A5" w:rsidRPr="004E4188" w14:paraId="78FCA41F" w14:textId="77777777" w:rsidTr="006F3F18">
        <w:trPr>
          <w:cantSplit/>
        </w:trPr>
        <w:tc>
          <w:tcPr>
            <w:tcW w:w="1080" w:type="dxa"/>
            <w:tcBorders>
              <w:left w:val="single" w:sz="6" w:space="0" w:color="auto"/>
              <w:right w:val="single" w:sz="6" w:space="0" w:color="auto"/>
            </w:tcBorders>
          </w:tcPr>
          <w:p w14:paraId="1A9742EF"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left w:val="single" w:sz="6" w:space="0" w:color="auto"/>
              <w:right w:val="single" w:sz="6" w:space="0" w:color="auto"/>
            </w:tcBorders>
          </w:tcPr>
          <w:p w14:paraId="37EF7A54"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dotted" w:sz="4" w:space="0" w:color="auto"/>
              <w:left w:val="single" w:sz="6" w:space="0" w:color="auto"/>
              <w:bottom w:val="dotted" w:sz="4" w:space="0" w:color="auto"/>
              <w:right w:val="single" w:sz="4" w:space="0" w:color="auto"/>
            </w:tcBorders>
          </w:tcPr>
          <w:p w14:paraId="7934C87F" w14:textId="77777777" w:rsidR="007049A5" w:rsidRPr="004E4188" w:rsidRDefault="007049A5" w:rsidP="006C6267">
            <w:pPr>
              <w:tabs>
                <w:tab w:val="left" w:pos="2610"/>
              </w:tabs>
              <w:spacing w:after="71"/>
              <w:rPr>
                <w:spacing w:val="-2"/>
                <w:szCs w:val="24"/>
                <w:lang w:eastAsia="ja-JP"/>
              </w:rPr>
            </w:pPr>
            <w:r w:rsidRPr="004E4188">
              <w:rPr>
                <w:rFonts w:hint="eastAsia"/>
                <w:spacing w:val="-2"/>
                <w:szCs w:val="24"/>
                <w:lang w:eastAsia="ja-JP"/>
              </w:rPr>
              <w:t>P</w:t>
            </w:r>
            <w:r w:rsidRPr="004E4188">
              <w:rPr>
                <w:spacing w:val="-2"/>
                <w:szCs w:val="24"/>
                <w:lang w:eastAsia="ja-JP"/>
              </w:rPr>
              <w:t>oste :</w:t>
            </w:r>
          </w:p>
        </w:tc>
      </w:tr>
      <w:tr w:rsidR="007049A5" w:rsidRPr="004E4188" w14:paraId="25D08F9F" w14:textId="77777777" w:rsidTr="006F3F18">
        <w:trPr>
          <w:cantSplit/>
        </w:trPr>
        <w:tc>
          <w:tcPr>
            <w:tcW w:w="1080" w:type="dxa"/>
            <w:tcBorders>
              <w:left w:val="single" w:sz="6" w:space="0" w:color="auto"/>
              <w:right w:val="single" w:sz="6" w:space="0" w:color="auto"/>
            </w:tcBorders>
          </w:tcPr>
          <w:p w14:paraId="0F31405C"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left w:val="single" w:sz="6" w:space="0" w:color="auto"/>
              <w:right w:val="single" w:sz="6" w:space="0" w:color="auto"/>
            </w:tcBorders>
          </w:tcPr>
          <w:p w14:paraId="6F7ED014"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dotted" w:sz="4" w:space="0" w:color="auto"/>
              <w:left w:val="single" w:sz="6" w:space="0" w:color="auto"/>
              <w:bottom w:val="dotted" w:sz="4" w:space="0" w:color="auto"/>
              <w:right w:val="single" w:sz="4" w:space="0" w:color="auto"/>
            </w:tcBorders>
          </w:tcPr>
          <w:p w14:paraId="6F01741E" w14:textId="77777777" w:rsidR="007049A5" w:rsidRPr="004E4188" w:rsidRDefault="007049A5" w:rsidP="006C6267">
            <w:pPr>
              <w:tabs>
                <w:tab w:val="left" w:pos="2610"/>
              </w:tabs>
              <w:spacing w:after="71"/>
              <w:rPr>
                <w:spacing w:val="-2"/>
                <w:szCs w:val="24"/>
                <w:lang w:eastAsia="ja-JP"/>
              </w:rPr>
            </w:pPr>
            <w:r w:rsidRPr="004E4188">
              <w:rPr>
                <w:spacing w:val="-2"/>
                <w:szCs w:val="24"/>
              </w:rPr>
              <w:t>Expérience :</w:t>
            </w:r>
          </w:p>
        </w:tc>
      </w:tr>
      <w:tr w:rsidR="007049A5" w:rsidRPr="004E4188" w14:paraId="197A8131" w14:textId="77777777" w:rsidTr="006F3F18">
        <w:trPr>
          <w:cantSplit/>
        </w:trPr>
        <w:tc>
          <w:tcPr>
            <w:tcW w:w="1080" w:type="dxa"/>
            <w:tcBorders>
              <w:left w:val="single" w:sz="6" w:space="0" w:color="auto"/>
              <w:right w:val="single" w:sz="6" w:space="0" w:color="auto"/>
            </w:tcBorders>
          </w:tcPr>
          <w:p w14:paraId="4D228FD1"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left w:val="single" w:sz="6" w:space="0" w:color="auto"/>
              <w:right w:val="single" w:sz="6" w:space="0" w:color="auto"/>
            </w:tcBorders>
          </w:tcPr>
          <w:p w14:paraId="41F42296"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dotted" w:sz="4" w:space="0" w:color="auto"/>
              <w:left w:val="single" w:sz="6" w:space="0" w:color="auto"/>
              <w:bottom w:val="dotted" w:sz="4" w:space="0" w:color="auto"/>
              <w:right w:val="single" w:sz="4" w:space="0" w:color="auto"/>
            </w:tcBorders>
          </w:tcPr>
          <w:p w14:paraId="4DDFB047" w14:textId="77777777" w:rsidR="007049A5" w:rsidRPr="004E4188" w:rsidRDefault="007049A5" w:rsidP="006C6267">
            <w:pPr>
              <w:tabs>
                <w:tab w:val="left" w:pos="2610"/>
              </w:tabs>
              <w:spacing w:after="71"/>
              <w:rPr>
                <w:spacing w:val="-2"/>
                <w:szCs w:val="24"/>
              </w:rPr>
            </w:pPr>
          </w:p>
        </w:tc>
      </w:tr>
      <w:tr w:rsidR="007049A5" w:rsidRPr="004E4188" w14:paraId="269F9144" w14:textId="77777777" w:rsidTr="006F3F18">
        <w:trPr>
          <w:cantSplit/>
        </w:trPr>
        <w:tc>
          <w:tcPr>
            <w:tcW w:w="1080" w:type="dxa"/>
            <w:tcBorders>
              <w:left w:val="single" w:sz="6" w:space="0" w:color="auto"/>
              <w:right w:val="single" w:sz="6" w:space="0" w:color="auto"/>
            </w:tcBorders>
          </w:tcPr>
          <w:p w14:paraId="0BBAEFC6"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left w:val="single" w:sz="6" w:space="0" w:color="auto"/>
              <w:right w:val="single" w:sz="6" w:space="0" w:color="auto"/>
            </w:tcBorders>
          </w:tcPr>
          <w:p w14:paraId="1D8D3089"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dotted" w:sz="4" w:space="0" w:color="auto"/>
              <w:left w:val="single" w:sz="6" w:space="0" w:color="auto"/>
              <w:bottom w:val="dotted" w:sz="4" w:space="0" w:color="auto"/>
              <w:right w:val="single" w:sz="4" w:space="0" w:color="auto"/>
            </w:tcBorders>
          </w:tcPr>
          <w:p w14:paraId="4C8BB4B0" w14:textId="77777777" w:rsidR="007049A5" w:rsidRPr="004E4188" w:rsidRDefault="007049A5" w:rsidP="006C6267">
            <w:pPr>
              <w:tabs>
                <w:tab w:val="left" w:pos="2610"/>
              </w:tabs>
              <w:spacing w:after="71"/>
              <w:rPr>
                <w:spacing w:val="-2"/>
                <w:szCs w:val="24"/>
              </w:rPr>
            </w:pPr>
          </w:p>
        </w:tc>
      </w:tr>
      <w:tr w:rsidR="007049A5" w:rsidRPr="004E4188" w14:paraId="5292B08A" w14:textId="77777777" w:rsidTr="006F3F18">
        <w:trPr>
          <w:cantSplit/>
        </w:trPr>
        <w:tc>
          <w:tcPr>
            <w:tcW w:w="1080" w:type="dxa"/>
            <w:tcBorders>
              <w:left w:val="single" w:sz="6" w:space="0" w:color="auto"/>
              <w:bottom w:val="single" w:sz="4" w:space="0" w:color="auto"/>
              <w:right w:val="single" w:sz="6" w:space="0" w:color="auto"/>
            </w:tcBorders>
          </w:tcPr>
          <w:p w14:paraId="5294A290"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left w:val="single" w:sz="6" w:space="0" w:color="auto"/>
              <w:bottom w:val="single" w:sz="4" w:space="0" w:color="auto"/>
              <w:right w:val="single" w:sz="6" w:space="0" w:color="auto"/>
            </w:tcBorders>
          </w:tcPr>
          <w:p w14:paraId="2B2D4561"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dotted" w:sz="4" w:space="0" w:color="auto"/>
              <w:left w:val="single" w:sz="6" w:space="0" w:color="auto"/>
              <w:bottom w:val="single" w:sz="4" w:space="0" w:color="auto"/>
              <w:right w:val="single" w:sz="4" w:space="0" w:color="auto"/>
            </w:tcBorders>
          </w:tcPr>
          <w:p w14:paraId="02CB76A1" w14:textId="77777777" w:rsidR="007049A5" w:rsidRPr="004E4188" w:rsidRDefault="007049A5" w:rsidP="006C6267">
            <w:pPr>
              <w:tabs>
                <w:tab w:val="left" w:pos="2610"/>
              </w:tabs>
              <w:spacing w:after="71"/>
              <w:rPr>
                <w:spacing w:val="-2"/>
                <w:szCs w:val="24"/>
              </w:rPr>
            </w:pPr>
          </w:p>
        </w:tc>
      </w:tr>
      <w:tr w:rsidR="007049A5" w:rsidRPr="004E4188" w14:paraId="3292FAC6" w14:textId="77777777" w:rsidTr="005B3108">
        <w:trPr>
          <w:cantSplit/>
        </w:trPr>
        <w:tc>
          <w:tcPr>
            <w:tcW w:w="1080" w:type="dxa"/>
            <w:tcBorders>
              <w:top w:val="single" w:sz="4" w:space="0" w:color="auto"/>
              <w:left w:val="single" w:sz="6" w:space="0" w:color="auto"/>
              <w:right w:val="nil"/>
            </w:tcBorders>
          </w:tcPr>
          <w:p w14:paraId="608B84DC"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top w:val="single" w:sz="4" w:space="0" w:color="auto"/>
              <w:left w:val="single" w:sz="6" w:space="0" w:color="auto"/>
              <w:right w:val="nil"/>
            </w:tcBorders>
          </w:tcPr>
          <w:p w14:paraId="6374DDE3"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single" w:sz="4" w:space="0" w:color="auto"/>
              <w:left w:val="single" w:sz="6" w:space="0" w:color="auto"/>
              <w:bottom w:val="dotted" w:sz="4" w:space="0" w:color="auto"/>
              <w:right w:val="single" w:sz="6" w:space="0" w:color="auto"/>
            </w:tcBorders>
          </w:tcPr>
          <w:p w14:paraId="157131DF" w14:textId="77777777" w:rsidR="007049A5" w:rsidRPr="004E4188" w:rsidRDefault="007049A5" w:rsidP="006C6267">
            <w:pPr>
              <w:tabs>
                <w:tab w:val="left" w:pos="2610"/>
              </w:tabs>
              <w:spacing w:after="71"/>
              <w:rPr>
                <w:spacing w:val="-2"/>
                <w:szCs w:val="24"/>
              </w:rPr>
            </w:pPr>
            <w:r w:rsidRPr="004E4188">
              <w:rPr>
                <w:spacing w:val="-2"/>
                <w:szCs w:val="24"/>
              </w:rPr>
              <w:t>Société :</w:t>
            </w:r>
          </w:p>
        </w:tc>
      </w:tr>
      <w:tr w:rsidR="007049A5" w:rsidRPr="004E4188" w14:paraId="35517A06" w14:textId="77777777" w:rsidTr="005B3108">
        <w:trPr>
          <w:cantSplit/>
        </w:trPr>
        <w:tc>
          <w:tcPr>
            <w:tcW w:w="1080" w:type="dxa"/>
            <w:tcBorders>
              <w:left w:val="single" w:sz="6" w:space="0" w:color="auto"/>
              <w:right w:val="nil"/>
            </w:tcBorders>
          </w:tcPr>
          <w:p w14:paraId="4BAB51B3"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left w:val="single" w:sz="6" w:space="0" w:color="auto"/>
              <w:right w:val="nil"/>
            </w:tcBorders>
          </w:tcPr>
          <w:p w14:paraId="066A1CB8"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dotted" w:sz="4" w:space="0" w:color="auto"/>
              <w:left w:val="single" w:sz="6" w:space="0" w:color="auto"/>
              <w:bottom w:val="dotted" w:sz="4" w:space="0" w:color="auto"/>
              <w:right w:val="single" w:sz="6" w:space="0" w:color="auto"/>
            </w:tcBorders>
          </w:tcPr>
          <w:p w14:paraId="2FDC6668" w14:textId="77777777" w:rsidR="007049A5" w:rsidRPr="004E4188" w:rsidRDefault="007049A5" w:rsidP="006C6267">
            <w:pPr>
              <w:tabs>
                <w:tab w:val="left" w:pos="2610"/>
              </w:tabs>
              <w:spacing w:after="71"/>
              <w:rPr>
                <w:spacing w:val="-2"/>
                <w:szCs w:val="24"/>
              </w:rPr>
            </w:pPr>
            <w:r w:rsidRPr="004E4188">
              <w:rPr>
                <w:rFonts w:hint="eastAsia"/>
                <w:spacing w:val="-2"/>
                <w:szCs w:val="24"/>
                <w:lang w:eastAsia="ja-JP"/>
              </w:rPr>
              <w:t>P</w:t>
            </w:r>
            <w:r w:rsidRPr="004E4188">
              <w:rPr>
                <w:spacing w:val="-2"/>
                <w:szCs w:val="24"/>
                <w:lang w:eastAsia="ja-JP"/>
              </w:rPr>
              <w:t>rojet :</w:t>
            </w:r>
          </w:p>
        </w:tc>
      </w:tr>
      <w:tr w:rsidR="007049A5" w:rsidRPr="004E4188" w14:paraId="1E9E74CC" w14:textId="77777777" w:rsidTr="005B3108">
        <w:trPr>
          <w:cantSplit/>
        </w:trPr>
        <w:tc>
          <w:tcPr>
            <w:tcW w:w="1080" w:type="dxa"/>
            <w:tcBorders>
              <w:left w:val="single" w:sz="6" w:space="0" w:color="auto"/>
              <w:right w:val="nil"/>
            </w:tcBorders>
          </w:tcPr>
          <w:p w14:paraId="11C314A5"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left w:val="single" w:sz="6" w:space="0" w:color="auto"/>
              <w:right w:val="nil"/>
            </w:tcBorders>
          </w:tcPr>
          <w:p w14:paraId="03FBB6F7"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dotted" w:sz="4" w:space="0" w:color="auto"/>
              <w:left w:val="single" w:sz="6" w:space="0" w:color="auto"/>
              <w:bottom w:val="dotted" w:sz="4" w:space="0" w:color="auto"/>
              <w:right w:val="single" w:sz="6" w:space="0" w:color="auto"/>
            </w:tcBorders>
          </w:tcPr>
          <w:p w14:paraId="6AA6DDF8" w14:textId="77777777" w:rsidR="007049A5" w:rsidRPr="004E4188" w:rsidRDefault="007049A5" w:rsidP="006C6267">
            <w:pPr>
              <w:tabs>
                <w:tab w:val="left" w:pos="2610"/>
              </w:tabs>
              <w:spacing w:after="71"/>
              <w:rPr>
                <w:spacing w:val="-2"/>
                <w:szCs w:val="24"/>
                <w:lang w:eastAsia="ja-JP"/>
              </w:rPr>
            </w:pPr>
            <w:r w:rsidRPr="004E4188">
              <w:rPr>
                <w:rFonts w:hint="eastAsia"/>
                <w:spacing w:val="-2"/>
                <w:szCs w:val="24"/>
                <w:lang w:eastAsia="ja-JP"/>
              </w:rPr>
              <w:t>P</w:t>
            </w:r>
            <w:r w:rsidRPr="004E4188">
              <w:rPr>
                <w:spacing w:val="-2"/>
                <w:szCs w:val="24"/>
                <w:lang w:eastAsia="ja-JP"/>
              </w:rPr>
              <w:t>oste :</w:t>
            </w:r>
          </w:p>
        </w:tc>
      </w:tr>
      <w:tr w:rsidR="007049A5" w:rsidRPr="004E4188" w14:paraId="1424D721" w14:textId="77777777" w:rsidTr="005B3108">
        <w:trPr>
          <w:cantSplit/>
        </w:trPr>
        <w:tc>
          <w:tcPr>
            <w:tcW w:w="1080" w:type="dxa"/>
            <w:tcBorders>
              <w:left w:val="single" w:sz="6" w:space="0" w:color="auto"/>
              <w:right w:val="nil"/>
            </w:tcBorders>
          </w:tcPr>
          <w:p w14:paraId="3FF379B2"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left w:val="single" w:sz="6" w:space="0" w:color="auto"/>
              <w:right w:val="nil"/>
            </w:tcBorders>
          </w:tcPr>
          <w:p w14:paraId="7A90755B"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dotted" w:sz="4" w:space="0" w:color="auto"/>
              <w:left w:val="single" w:sz="6" w:space="0" w:color="auto"/>
              <w:bottom w:val="dotted" w:sz="4" w:space="0" w:color="auto"/>
              <w:right w:val="single" w:sz="6" w:space="0" w:color="auto"/>
            </w:tcBorders>
          </w:tcPr>
          <w:p w14:paraId="12F32025" w14:textId="77777777" w:rsidR="007049A5" w:rsidRPr="004E4188" w:rsidRDefault="007049A5" w:rsidP="006C6267">
            <w:pPr>
              <w:tabs>
                <w:tab w:val="left" w:pos="2610"/>
              </w:tabs>
              <w:spacing w:after="71"/>
              <w:rPr>
                <w:spacing w:val="-2"/>
                <w:szCs w:val="24"/>
                <w:lang w:eastAsia="ja-JP"/>
              </w:rPr>
            </w:pPr>
            <w:r w:rsidRPr="004E4188">
              <w:rPr>
                <w:spacing w:val="-2"/>
                <w:szCs w:val="24"/>
              </w:rPr>
              <w:t>Expérience :</w:t>
            </w:r>
          </w:p>
        </w:tc>
      </w:tr>
      <w:tr w:rsidR="007049A5" w:rsidRPr="004E4188" w14:paraId="11A75B2E" w14:textId="77777777" w:rsidTr="005B3108">
        <w:trPr>
          <w:cantSplit/>
        </w:trPr>
        <w:tc>
          <w:tcPr>
            <w:tcW w:w="1080" w:type="dxa"/>
            <w:tcBorders>
              <w:left w:val="single" w:sz="6" w:space="0" w:color="auto"/>
              <w:right w:val="nil"/>
            </w:tcBorders>
          </w:tcPr>
          <w:p w14:paraId="645DBC7E"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left w:val="single" w:sz="6" w:space="0" w:color="auto"/>
              <w:right w:val="nil"/>
            </w:tcBorders>
          </w:tcPr>
          <w:p w14:paraId="7B150DC1"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dotted" w:sz="4" w:space="0" w:color="auto"/>
              <w:left w:val="single" w:sz="6" w:space="0" w:color="auto"/>
              <w:bottom w:val="dotted" w:sz="4" w:space="0" w:color="auto"/>
              <w:right w:val="single" w:sz="6" w:space="0" w:color="auto"/>
            </w:tcBorders>
          </w:tcPr>
          <w:p w14:paraId="71BD9919" w14:textId="77777777" w:rsidR="007049A5" w:rsidRPr="004E4188" w:rsidRDefault="007049A5" w:rsidP="006C6267">
            <w:pPr>
              <w:tabs>
                <w:tab w:val="left" w:pos="2610"/>
              </w:tabs>
              <w:spacing w:after="71"/>
              <w:rPr>
                <w:spacing w:val="-2"/>
                <w:szCs w:val="24"/>
              </w:rPr>
            </w:pPr>
          </w:p>
        </w:tc>
      </w:tr>
      <w:tr w:rsidR="007049A5" w:rsidRPr="004E4188" w14:paraId="47933372" w14:textId="77777777" w:rsidTr="005B3108">
        <w:trPr>
          <w:cantSplit/>
        </w:trPr>
        <w:tc>
          <w:tcPr>
            <w:tcW w:w="1080" w:type="dxa"/>
            <w:tcBorders>
              <w:left w:val="single" w:sz="6" w:space="0" w:color="auto"/>
              <w:right w:val="nil"/>
            </w:tcBorders>
          </w:tcPr>
          <w:p w14:paraId="5C61BA5E"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left w:val="single" w:sz="6" w:space="0" w:color="auto"/>
              <w:right w:val="nil"/>
            </w:tcBorders>
          </w:tcPr>
          <w:p w14:paraId="2C378D01"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dotted" w:sz="4" w:space="0" w:color="auto"/>
              <w:left w:val="single" w:sz="6" w:space="0" w:color="auto"/>
              <w:bottom w:val="dotted" w:sz="4" w:space="0" w:color="auto"/>
              <w:right w:val="single" w:sz="6" w:space="0" w:color="auto"/>
            </w:tcBorders>
          </w:tcPr>
          <w:p w14:paraId="6A292592" w14:textId="77777777" w:rsidR="007049A5" w:rsidRPr="004E4188" w:rsidRDefault="007049A5" w:rsidP="006C6267">
            <w:pPr>
              <w:tabs>
                <w:tab w:val="left" w:pos="2610"/>
              </w:tabs>
              <w:spacing w:after="71"/>
              <w:rPr>
                <w:spacing w:val="-2"/>
                <w:szCs w:val="24"/>
              </w:rPr>
            </w:pPr>
          </w:p>
        </w:tc>
      </w:tr>
      <w:tr w:rsidR="007049A5" w:rsidRPr="004E4188" w14:paraId="683D6066" w14:textId="77777777" w:rsidTr="005B3108">
        <w:trPr>
          <w:cantSplit/>
        </w:trPr>
        <w:tc>
          <w:tcPr>
            <w:tcW w:w="1080" w:type="dxa"/>
            <w:tcBorders>
              <w:left w:val="single" w:sz="6" w:space="0" w:color="auto"/>
              <w:bottom w:val="single" w:sz="6" w:space="0" w:color="auto"/>
              <w:right w:val="nil"/>
            </w:tcBorders>
          </w:tcPr>
          <w:p w14:paraId="75297B58"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1080" w:type="dxa"/>
            <w:tcBorders>
              <w:left w:val="single" w:sz="6" w:space="0" w:color="auto"/>
              <w:bottom w:val="single" w:sz="6" w:space="0" w:color="auto"/>
              <w:right w:val="nil"/>
            </w:tcBorders>
          </w:tcPr>
          <w:p w14:paraId="536DE47D" w14:textId="77777777" w:rsidR="007049A5" w:rsidRPr="004E4188" w:rsidRDefault="007049A5" w:rsidP="006C6267">
            <w:pPr>
              <w:tabs>
                <w:tab w:val="left" w:pos="2610"/>
              </w:tabs>
              <w:spacing w:after="71"/>
              <w:rPr>
                <w:rStyle w:val="Table"/>
                <w:rFonts w:ascii="Times New Roman" w:hAnsi="Times New Roman"/>
                <w:i/>
                <w:spacing w:val="-2"/>
                <w:sz w:val="22"/>
                <w:szCs w:val="22"/>
              </w:rPr>
            </w:pPr>
          </w:p>
        </w:tc>
        <w:tc>
          <w:tcPr>
            <w:tcW w:w="6827" w:type="dxa"/>
            <w:tcBorders>
              <w:top w:val="dotted" w:sz="4" w:space="0" w:color="auto"/>
              <w:left w:val="single" w:sz="6" w:space="0" w:color="auto"/>
              <w:bottom w:val="single" w:sz="6" w:space="0" w:color="auto"/>
              <w:right w:val="single" w:sz="6" w:space="0" w:color="auto"/>
            </w:tcBorders>
          </w:tcPr>
          <w:p w14:paraId="39E383A0" w14:textId="77777777" w:rsidR="007049A5" w:rsidRPr="004E4188" w:rsidRDefault="007049A5" w:rsidP="006C6267">
            <w:pPr>
              <w:tabs>
                <w:tab w:val="left" w:pos="2610"/>
              </w:tabs>
              <w:spacing w:after="71"/>
              <w:rPr>
                <w:spacing w:val="-2"/>
                <w:szCs w:val="24"/>
              </w:rPr>
            </w:pPr>
          </w:p>
        </w:tc>
      </w:tr>
    </w:tbl>
    <w:p w14:paraId="15A809A4" w14:textId="77777777" w:rsidR="007049A5" w:rsidRPr="004E4188" w:rsidRDefault="007049A5" w:rsidP="00137A6B">
      <w:pPr>
        <w:pStyle w:val="S4Header"/>
        <w:rPr>
          <w:i/>
          <w:lang w:val="fr-FR"/>
        </w:rPr>
      </w:pPr>
      <w:r w:rsidRPr="004E4188">
        <w:rPr>
          <w:i/>
          <w:lang w:val="fr-FR"/>
        </w:rPr>
        <w:br w:type="page"/>
      </w:r>
      <w:bookmarkStart w:id="587" w:name="_Toc357513226"/>
    </w:p>
    <w:p w14:paraId="477E1DD6" w14:textId="17F3D1F5" w:rsidR="007049A5" w:rsidRPr="004E4188" w:rsidRDefault="007049A5" w:rsidP="001412C2">
      <w:pPr>
        <w:pStyle w:val="SectionIVHeading2"/>
        <w:spacing w:before="0" w:after="0"/>
        <w:outlineLvl w:val="2"/>
        <w:rPr>
          <w:sz w:val="32"/>
          <w:szCs w:val="32"/>
          <w:lang w:val="fr-FR" w:eastAsia="ja-JP"/>
        </w:rPr>
      </w:pPr>
      <w:bookmarkStart w:id="588" w:name="_Toc112429323"/>
      <w:r w:rsidRPr="004E4188">
        <w:rPr>
          <w:sz w:val="32"/>
          <w:szCs w:val="32"/>
          <w:lang w:val="fr-FR"/>
        </w:rPr>
        <w:t>Formulaire EQU</w:t>
      </w:r>
      <w:r w:rsidR="007E31D0" w:rsidRPr="004E4188">
        <w:rPr>
          <w:sz w:val="32"/>
          <w:szCs w:val="32"/>
          <w:lang w:val="fr-FR"/>
        </w:rPr>
        <w:br/>
      </w:r>
      <w:r w:rsidR="00DF4FF1" w:rsidRPr="004E4188">
        <w:rPr>
          <w:sz w:val="32"/>
          <w:szCs w:val="32"/>
          <w:lang w:val="fr-FR"/>
        </w:rPr>
        <w:t>É</w:t>
      </w:r>
      <w:r w:rsidRPr="004E4188">
        <w:rPr>
          <w:sz w:val="32"/>
          <w:szCs w:val="32"/>
          <w:lang w:val="fr-FR"/>
        </w:rPr>
        <w:t>quipement de construction</w:t>
      </w:r>
      <w:bookmarkStart w:id="589" w:name="_Toc327863873"/>
      <w:bookmarkEnd w:id="587"/>
      <w:bookmarkEnd w:id="588"/>
    </w:p>
    <w:p w14:paraId="4D6788B1" w14:textId="77777777" w:rsidR="008C54C1" w:rsidRPr="004E4188" w:rsidRDefault="008C54C1" w:rsidP="00B3418A">
      <w:pPr>
        <w:pStyle w:val="SectionIVHeading2"/>
        <w:spacing w:before="0" w:after="0"/>
        <w:rPr>
          <w:sz w:val="32"/>
          <w:szCs w:val="32"/>
          <w:lang w:val="fr-FR" w:eastAsia="ja-JP"/>
        </w:rPr>
      </w:pPr>
    </w:p>
    <w:p w14:paraId="4C4B6452" w14:textId="163FDC2A" w:rsidR="007049A5" w:rsidRPr="004E4188" w:rsidRDefault="007049A5" w:rsidP="00FD7BE7">
      <w:pPr>
        <w:wordWrap w:val="0"/>
        <w:jc w:val="right"/>
        <w:rPr>
          <w:iCs/>
        </w:rPr>
      </w:pPr>
      <w:r w:rsidRPr="004E4188">
        <w:t xml:space="preserve">Date : </w:t>
      </w:r>
      <w:r w:rsidRPr="004E4188">
        <w:rPr>
          <w:iCs/>
        </w:rPr>
        <w:t>[</w:t>
      </w:r>
      <w:r w:rsidRPr="004E4188">
        <w:rPr>
          <w:i/>
          <w:iCs/>
        </w:rPr>
        <w:t>indiquer jour, mois, année</w:t>
      </w:r>
      <w:r w:rsidRPr="004E4188">
        <w:rPr>
          <w:iCs/>
        </w:rPr>
        <w:t>]</w:t>
      </w:r>
    </w:p>
    <w:p w14:paraId="035485DE" w14:textId="77777777" w:rsidR="007049A5" w:rsidRPr="004E4188" w:rsidRDefault="007049A5" w:rsidP="00780A3C">
      <w:pPr>
        <w:jc w:val="right"/>
      </w:pPr>
      <w:r w:rsidRPr="004E4188">
        <w:t>Nom légal du Soumissionnaire : [</w:t>
      </w:r>
      <w:r w:rsidRPr="004E4188">
        <w:rPr>
          <w:i/>
        </w:rPr>
        <w:t>indiquer le nom complet</w:t>
      </w:r>
      <w:r w:rsidRPr="004E4188">
        <w:t>]</w:t>
      </w:r>
    </w:p>
    <w:p w14:paraId="5CA05496" w14:textId="05D9EE62" w:rsidR="007049A5" w:rsidRPr="004E4188" w:rsidRDefault="007049A5" w:rsidP="00780A3C">
      <w:pPr>
        <w:jc w:val="right"/>
      </w:pPr>
      <w:r w:rsidRPr="004E4188">
        <w:t>Nom légal du membre du Groupement : [</w:t>
      </w:r>
      <w:r w:rsidRPr="004E4188">
        <w:rPr>
          <w:i/>
        </w:rPr>
        <w:t>indiquer le nom complet</w:t>
      </w:r>
      <w:r w:rsidRPr="004E4188">
        <w:t>]</w:t>
      </w:r>
    </w:p>
    <w:p w14:paraId="0DD9EE84" w14:textId="77777777" w:rsidR="007049A5" w:rsidRPr="004E4188" w:rsidRDefault="007049A5" w:rsidP="00780A3C">
      <w:pPr>
        <w:jc w:val="right"/>
        <w:rPr>
          <w:i/>
          <w:iCs/>
        </w:rPr>
      </w:pPr>
      <w:r w:rsidRPr="004E4188">
        <w:t>AAO n</w:t>
      </w:r>
      <w:r w:rsidRPr="004E4188">
        <w:rPr>
          <w:vertAlign w:val="superscript"/>
        </w:rPr>
        <w:t>o</w:t>
      </w:r>
      <w:r w:rsidRPr="004E4188">
        <w:t xml:space="preserve"> : </w:t>
      </w:r>
      <w:r w:rsidRPr="004E4188">
        <w:rPr>
          <w:iCs/>
        </w:rPr>
        <w:t>[</w:t>
      </w:r>
      <w:r w:rsidRPr="004E4188">
        <w:rPr>
          <w:i/>
          <w:iCs/>
        </w:rPr>
        <w:t>indiquer le numéro</w:t>
      </w:r>
      <w:r w:rsidRPr="004E4188">
        <w:rPr>
          <w:iCs/>
        </w:rPr>
        <w:t>]</w:t>
      </w:r>
    </w:p>
    <w:p w14:paraId="7C9FF745" w14:textId="04C8CD7A" w:rsidR="007049A5" w:rsidRPr="004E4188" w:rsidRDefault="007049A5" w:rsidP="00135E17">
      <w:pPr>
        <w:jc w:val="right"/>
      </w:pPr>
      <w:r w:rsidRPr="004E4188">
        <w:t>Page</w:t>
      </w:r>
      <w:r w:rsidR="006B07EA" w:rsidRPr="004E4188">
        <w:t> </w:t>
      </w:r>
      <w:r w:rsidRPr="004E4188">
        <w:t>: [</w:t>
      </w:r>
      <w:r w:rsidRPr="004E4188">
        <w:rPr>
          <w:i/>
        </w:rPr>
        <w:t>indiquer le numéro de la page</w:t>
      </w:r>
      <w:r w:rsidRPr="004E4188">
        <w:t>] de [</w:t>
      </w:r>
      <w:r w:rsidRPr="004E4188">
        <w:rPr>
          <w:i/>
        </w:rPr>
        <w:t>indiquer le nombre total de</w:t>
      </w:r>
      <w:r w:rsidRPr="004E4188">
        <w:t>] pages</w:t>
      </w:r>
    </w:p>
    <w:bookmarkEnd w:id="589"/>
    <w:p w14:paraId="1FDE108C" w14:textId="77777777" w:rsidR="007049A5" w:rsidRPr="004E4188" w:rsidRDefault="007049A5" w:rsidP="00135E17">
      <w:pPr>
        <w:jc w:val="right"/>
      </w:pPr>
    </w:p>
    <w:p w14:paraId="252D95B7" w14:textId="149AE79E" w:rsidR="007049A5" w:rsidRPr="004E4188" w:rsidRDefault="007049A5" w:rsidP="00F0048E">
      <w:pPr>
        <w:tabs>
          <w:tab w:val="left" w:pos="2610"/>
        </w:tabs>
        <w:spacing w:afterLines="50" w:after="120"/>
        <w:rPr>
          <w:rStyle w:val="Table"/>
          <w:spacing w:val="-2"/>
        </w:rPr>
      </w:pPr>
      <w:r w:rsidRPr="004E4188">
        <w:rPr>
          <w:iCs/>
          <w:szCs w:val="24"/>
        </w:rPr>
        <w:t>[</w:t>
      </w:r>
      <w:r w:rsidRPr="004E4188">
        <w:rPr>
          <w:i/>
        </w:rPr>
        <w:t>Le Soumissionnaire doit fournir des renseignements suffisants afin d’établir qu’il a les capacités à mobiliser les équipements principaux cités à l’Article 1.1.2 de la Section III, Critères d’évaluation et de qualification. Un formulaire distinct sera préparé pour chaque équipement figurant sur la liste, ou pour le matériel de remplacement proposé par le Soumissionnaire.</w:t>
      </w:r>
      <w:r w:rsidRPr="004E4188">
        <w:rPr>
          <w:iCs/>
          <w:szCs w:val="24"/>
        </w:rPr>
        <w:t>]</w:t>
      </w:r>
    </w:p>
    <w:tbl>
      <w:tblPr>
        <w:tblW w:w="0" w:type="auto"/>
        <w:tblLayout w:type="fixed"/>
        <w:tblCellMar>
          <w:left w:w="72" w:type="dxa"/>
          <w:right w:w="72" w:type="dxa"/>
        </w:tblCellMar>
        <w:tblLook w:val="0000" w:firstRow="0" w:lastRow="0" w:firstColumn="0" w:lastColumn="0" w:noHBand="0" w:noVBand="0"/>
      </w:tblPr>
      <w:tblGrid>
        <w:gridCol w:w="1710"/>
        <w:gridCol w:w="3690"/>
        <w:gridCol w:w="3673"/>
      </w:tblGrid>
      <w:tr w:rsidR="007049A5" w:rsidRPr="004E4188" w14:paraId="72CD4A48" w14:textId="77777777" w:rsidTr="00CE20F5">
        <w:trPr>
          <w:cantSplit/>
        </w:trPr>
        <w:tc>
          <w:tcPr>
            <w:tcW w:w="9073" w:type="dxa"/>
            <w:gridSpan w:val="3"/>
            <w:tcBorders>
              <w:top w:val="single" w:sz="6" w:space="0" w:color="auto"/>
              <w:left w:val="single" w:sz="6" w:space="0" w:color="auto"/>
              <w:bottom w:val="single" w:sz="6" w:space="0" w:color="auto"/>
              <w:right w:val="single" w:sz="6" w:space="0" w:color="auto"/>
            </w:tcBorders>
          </w:tcPr>
          <w:p w14:paraId="60D55290" w14:textId="77777777" w:rsidR="007049A5" w:rsidRPr="004E4188" w:rsidRDefault="007049A5" w:rsidP="00F0048E">
            <w:pPr>
              <w:tabs>
                <w:tab w:val="left" w:pos="2610"/>
              </w:tabs>
              <w:spacing w:afterLines="50" w:after="120"/>
              <w:rPr>
                <w:rStyle w:val="Table"/>
                <w:rFonts w:ascii="Times New Roman" w:hAnsi="Times New Roman"/>
                <w:b/>
                <w:spacing w:val="-2"/>
                <w:sz w:val="24"/>
                <w:szCs w:val="24"/>
              </w:rPr>
            </w:pPr>
            <w:r w:rsidRPr="004E4188">
              <w:rPr>
                <w:rStyle w:val="Table"/>
                <w:rFonts w:ascii="Times New Roman" w:hAnsi="Times New Roman"/>
                <w:b/>
                <w:spacing w:val="-2"/>
                <w:sz w:val="24"/>
                <w:szCs w:val="24"/>
              </w:rPr>
              <w:t>Matériel</w:t>
            </w:r>
            <w:r w:rsidRPr="004E4188">
              <w:rPr>
                <w:b/>
                <w:spacing w:val="-2"/>
                <w:szCs w:val="24"/>
              </w:rPr>
              <w:t> :</w:t>
            </w:r>
          </w:p>
        </w:tc>
      </w:tr>
      <w:tr w:rsidR="007049A5" w:rsidRPr="004E4188" w14:paraId="5CC2D478" w14:textId="77777777" w:rsidTr="00CE20F5">
        <w:trPr>
          <w:cantSplit/>
        </w:trPr>
        <w:tc>
          <w:tcPr>
            <w:tcW w:w="1710" w:type="dxa"/>
            <w:tcBorders>
              <w:top w:val="single" w:sz="6" w:space="0" w:color="auto"/>
              <w:left w:val="single" w:sz="6" w:space="0" w:color="auto"/>
              <w:bottom w:val="nil"/>
              <w:right w:val="nil"/>
            </w:tcBorders>
          </w:tcPr>
          <w:p w14:paraId="48A7A28B" w14:textId="77777777" w:rsidR="007049A5" w:rsidRPr="004E4188" w:rsidRDefault="007049A5" w:rsidP="00881A19">
            <w:pPr>
              <w:tabs>
                <w:tab w:val="left" w:pos="2610"/>
              </w:tabs>
              <w:jc w:val="left"/>
              <w:rPr>
                <w:rStyle w:val="Table"/>
                <w:rFonts w:ascii="Times New Roman" w:hAnsi="Times New Roman"/>
                <w:b/>
                <w:spacing w:val="-2"/>
                <w:sz w:val="24"/>
                <w:szCs w:val="24"/>
              </w:rPr>
            </w:pPr>
            <w:r w:rsidRPr="004E4188">
              <w:rPr>
                <w:rStyle w:val="Table"/>
                <w:rFonts w:ascii="Times New Roman" w:hAnsi="Times New Roman"/>
                <w:b/>
                <w:spacing w:val="-2"/>
                <w:sz w:val="24"/>
                <w:szCs w:val="24"/>
              </w:rPr>
              <w:t>Renseignement sur le matériel</w:t>
            </w:r>
          </w:p>
        </w:tc>
        <w:tc>
          <w:tcPr>
            <w:tcW w:w="3690" w:type="dxa"/>
            <w:tcBorders>
              <w:top w:val="single" w:sz="6" w:space="0" w:color="auto"/>
              <w:left w:val="single" w:sz="6" w:space="0" w:color="auto"/>
              <w:bottom w:val="nil"/>
              <w:right w:val="nil"/>
            </w:tcBorders>
          </w:tcPr>
          <w:p w14:paraId="62138809" w14:textId="77777777" w:rsidR="007049A5" w:rsidRPr="004E4188" w:rsidRDefault="007049A5" w:rsidP="00881A19">
            <w:pPr>
              <w:tabs>
                <w:tab w:val="left" w:pos="2610"/>
              </w:tabs>
              <w:ind w:left="288" w:hanging="288"/>
              <w:rPr>
                <w:rStyle w:val="Table"/>
                <w:rFonts w:ascii="Times New Roman" w:hAnsi="Times New Roman"/>
                <w:b/>
                <w:spacing w:val="-2"/>
                <w:sz w:val="24"/>
                <w:szCs w:val="24"/>
              </w:rPr>
            </w:pPr>
            <w:r w:rsidRPr="004E4188">
              <w:rPr>
                <w:rStyle w:val="Table"/>
                <w:rFonts w:ascii="Times New Roman" w:hAnsi="Times New Roman"/>
                <w:b/>
                <w:spacing w:val="-2"/>
                <w:sz w:val="24"/>
                <w:szCs w:val="24"/>
              </w:rPr>
              <w:t>Nom du fabricant</w:t>
            </w:r>
            <w:r w:rsidRPr="004E4188">
              <w:rPr>
                <w:b/>
                <w:spacing w:val="-2"/>
                <w:szCs w:val="24"/>
              </w:rPr>
              <w:t> :</w:t>
            </w:r>
          </w:p>
          <w:p w14:paraId="22569D6F" w14:textId="77777777" w:rsidR="007049A5" w:rsidRPr="004E4188" w:rsidRDefault="007049A5" w:rsidP="001412C2">
            <w:pPr>
              <w:tabs>
                <w:tab w:val="left" w:pos="2610"/>
              </w:tabs>
              <w:rPr>
                <w:rStyle w:val="Table"/>
                <w:rFonts w:ascii="Times New Roman" w:hAnsi="Times New Roman"/>
                <w:b/>
                <w:spacing w:val="-2"/>
                <w:sz w:val="24"/>
                <w:szCs w:val="24"/>
              </w:rPr>
            </w:pPr>
          </w:p>
        </w:tc>
        <w:tc>
          <w:tcPr>
            <w:tcW w:w="3673" w:type="dxa"/>
            <w:tcBorders>
              <w:top w:val="single" w:sz="6" w:space="0" w:color="auto"/>
              <w:left w:val="single" w:sz="6" w:space="0" w:color="auto"/>
              <w:bottom w:val="nil"/>
              <w:right w:val="single" w:sz="6" w:space="0" w:color="auto"/>
            </w:tcBorders>
          </w:tcPr>
          <w:p w14:paraId="6FE26ED5" w14:textId="77777777" w:rsidR="007049A5" w:rsidRPr="004E4188" w:rsidRDefault="007049A5" w:rsidP="00881A19">
            <w:pPr>
              <w:tabs>
                <w:tab w:val="left" w:pos="2610"/>
              </w:tabs>
              <w:spacing w:after="71"/>
              <w:ind w:left="288" w:hanging="288"/>
              <w:rPr>
                <w:rStyle w:val="Table"/>
                <w:rFonts w:ascii="Times New Roman" w:hAnsi="Times New Roman"/>
                <w:b/>
                <w:spacing w:val="-2"/>
                <w:sz w:val="24"/>
                <w:szCs w:val="24"/>
              </w:rPr>
            </w:pPr>
            <w:r w:rsidRPr="004E4188">
              <w:rPr>
                <w:rStyle w:val="Table"/>
                <w:rFonts w:ascii="Times New Roman" w:hAnsi="Times New Roman"/>
                <w:b/>
                <w:spacing w:val="-2"/>
                <w:sz w:val="24"/>
                <w:szCs w:val="24"/>
              </w:rPr>
              <w:t>Modèle et puissance</w:t>
            </w:r>
            <w:r w:rsidRPr="004E4188">
              <w:rPr>
                <w:b/>
                <w:spacing w:val="-2"/>
                <w:szCs w:val="24"/>
              </w:rPr>
              <w:t> :</w:t>
            </w:r>
          </w:p>
        </w:tc>
      </w:tr>
      <w:tr w:rsidR="007049A5" w:rsidRPr="004E4188" w14:paraId="315E32C5" w14:textId="77777777" w:rsidTr="00CE20F5">
        <w:trPr>
          <w:cantSplit/>
        </w:trPr>
        <w:tc>
          <w:tcPr>
            <w:tcW w:w="1710" w:type="dxa"/>
            <w:tcBorders>
              <w:top w:val="nil"/>
              <w:left w:val="single" w:sz="6" w:space="0" w:color="auto"/>
              <w:bottom w:val="nil"/>
              <w:right w:val="nil"/>
            </w:tcBorders>
          </w:tcPr>
          <w:p w14:paraId="395DD96F" w14:textId="77777777" w:rsidR="007049A5" w:rsidRPr="004E4188" w:rsidRDefault="007049A5" w:rsidP="00881A19">
            <w:pPr>
              <w:tabs>
                <w:tab w:val="left" w:pos="2610"/>
              </w:tabs>
              <w:spacing w:after="71"/>
              <w:rPr>
                <w:rStyle w:val="Table"/>
                <w:rFonts w:ascii="Times New Roman" w:hAnsi="Times New Roman"/>
                <w:b/>
                <w:spacing w:val="-2"/>
                <w:sz w:val="24"/>
                <w:szCs w:val="24"/>
              </w:rPr>
            </w:pPr>
          </w:p>
        </w:tc>
        <w:tc>
          <w:tcPr>
            <w:tcW w:w="3690" w:type="dxa"/>
            <w:tcBorders>
              <w:top w:val="single" w:sz="6" w:space="0" w:color="auto"/>
              <w:left w:val="single" w:sz="6" w:space="0" w:color="auto"/>
              <w:bottom w:val="nil"/>
              <w:right w:val="nil"/>
            </w:tcBorders>
          </w:tcPr>
          <w:p w14:paraId="606B48FF" w14:textId="77777777" w:rsidR="007049A5" w:rsidRPr="004E4188" w:rsidRDefault="007049A5" w:rsidP="00F0048E">
            <w:pPr>
              <w:tabs>
                <w:tab w:val="left" w:pos="2610"/>
              </w:tabs>
              <w:spacing w:afterLines="50" w:after="120"/>
              <w:ind w:left="289" w:hanging="289"/>
              <w:rPr>
                <w:rStyle w:val="Table"/>
                <w:rFonts w:ascii="Times New Roman" w:hAnsi="Times New Roman"/>
                <w:b/>
                <w:spacing w:val="-2"/>
                <w:sz w:val="24"/>
                <w:szCs w:val="24"/>
              </w:rPr>
            </w:pPr>
            <w:r w:rsidRPr="004E4188">
              <w:rPr>
                <w:rStyle w:val="Table"/>
                <w:rFonts w:ascii="Times New Roman" w:hAnsi="Times New Roman"/>
                <w:b/>
                <w:spacing w:val="-2"/>
                <w:sz w:val="24"/>
                <w:szCs w:val="24"/>
              </w:rPr>
              <w:t>Capacité</w:t>
            </w:r>
            <w:r w:rsidRPr="004E4188">
              <w:rPr>
                <w:b/>
                <w:spacing w:val="-2"/>
                <w:szCs w:val="24"/>
              </w:rPr>
              <w:t> :</w:t>
            </w:r>
          </w:p>
        </w:tc>
        <w:tc>
          <w:tcPr>
            <w:tcW w:w="3673" w:type="dxa"/>
            <w:tcBorders>
              <w:top w:val="single" w:sz="6" w:space="0" w:color="auto"/>
              <w:left w:val="single" w:sz="6" w:space="0" w:color="auto"/>
              <w:bottom w:val="nil"/>
              <w:right w:val="single" w:sz="6" w:space="0" w:color="auto"/>
            </w:tcBorders>
          </w:tcPr>
          <w:p w14:paraId="0EDC3808" w14:textId="77777777" w:rsidR="007049A5" w:rsidRPr="004E4188" w:rsidRDefault="007049A5" w:rsidP="00881A19">
            <w:pPr>
              <w:tabs>
                <w:tab w:val="left" w:pos="2610"/>
              </w:tabs>
              <w:spacing w:after="71"/>
              <w:ind w:left="288" w:hanging="288"/>
              <w:rPr>
                <w:rStyle w:val="Table"/>
                <w:rFonts w:ascii="Times New Roman" w:hAnsi="Times New Roman"/>
                <w:b/>
                <w:spacing w:val="-2"/>
                <w:sz w:val="24"/>
                <w:szCs w:val="24"/>
              </w:rPr>
            </w:pPr>
            <w:r w:rsidRPr="004E4188">
              <w:rPr>
                <w:rStyle w:val="Table"/>
                <w:rFonts w:ascii="Times New Roman" w:hAnsi="Times New Roman"/>
                <w:b/>
                <w:spacing w:val="-2"/>
                <w:sz w:val="24"/>
                <w:szCs w:val="24"/>
              </w:rPr>
              <w:t>Année de fabrication</w:t>
            </w:r>
            <w:r w:rsidRPr="004E4188">
              <w:rPr>
                <w:b/>
                <w:spacing w:val="-2"/>
                <w:szCs w:val="24"/>
              </w:rPr>
              <w:t> :</w:t>
            </w:r>
          </w:p>
        </w:tc>
      </w:tr>
      <w:tr w:rsidR="007049A5" w:rsidRPr="004E4188" w14:paraId="033C4484" w14:textId="77777777" w:rsidTr="00CE20F5">
        <w:trPr>
          <w:cantSplit/>
        </w:trPr>
        <w:tc>
          <w:tcPr>
            <w:tcW w:w="1710" w:type="dxa"/>
            <w:tcBorders>
              <w:top w:val="single" w:sz="6" w:space="0" w:color="auto"/>
              <w:left w:val="single" w:sz="6" w:space="0" w:color="auto"/>
              <w:bottom w:val="nil"/>
              <w:right w:val="nil"/>
            </w:tcBorders>
          </w:tcPr>
          <w:p w14:paraId="05CE7B53" w14:textId="77777777" w:rsidR="007049A5" w:rsidRPr="004E4188" w:rsidRDefault="007049A5" w:rsidP="00881A19">
            <w:pPr>
              <w:tabs>
                <w:tab w:val="left" w:pos="2610"/>
              </w:tabs>
              <w:rPr>
                <w:rStyle w:val="Table"/>
                <w:rFonts w:ascii="Times New Roman" w:hAnsi="Times New Roman"/>
                <w:b/>
                <w:spacing w:val="-2"/>
                <w:sz w:val="24"/>
                <w:szCs w:val="24"/>
              </w:rPr>
            </w:pPr>
            <w:r w:rsidRPr="004E4188">
              <w:rPr>
                <w:rStyle w:val="Table"/>
                <w:rFonts w:ascii="Times New Roman" w:hAnsi="Times New Roman"/>
                <w:b/>
                <w:spacing w:val="-2"/>
                <w:sz w:val="24"/>
                <w:szCs w:val="24"/>
              </w:rPr>
              <w:t>Position courante</w:t>
            </w:r>
          </w:p>
        </w:tc>
        <w:tc>
          <w:tcPr>
            <w:tcW w:w="7363" w:type="dxa"/>
            <w:gridSpan w:val="2"/>
            <w:tcBorders>
              <w:top w:val="single" w:sz="6" w:space="0" w:color="auto"/>
              <w:left w:val="single" w:sz="6" w:space="0" w:color="auto"/>
              <w:bottom w:val="nil"/>
              <w:right w:val="single" w:sz="6" w:space="0" w:color="auto"/>
            </w:tcBorders>
          </w:tcPr>
          <w:p w14:paraId="5D5DC4C4" w14:textId="77777777" w:rsidR="007049A5" w:rsidRPr="004E4188" w:rsidRDefault="007049A5" w:rsidP="00881A19">
            <w:pPr>
              <w:tabs>
                <w:tab w:val="left" w:pos="2610"/>
              </w:tabs>
              <w:ind w:left="288" w:hanging="288"/>
              <w:rPr>
                <w:rStyle w:val="Table"/>
                <w:rFonts w:ascii="Times New Roman" w:hAnsi="Times New Roman"/>
                <w:b/>
                <w:spacing w:val="-2"/>
                <w:sz w:val="24"/>
                <w:szCs w:val="24"/>
              </w:rPr>
            </w:pPr>
            <w:r w:rsidRPr="004E4188">
              <w:rPr>
                <w:rStyle w:val="Table"/>
                <w:rFonts w:ascii="Times New Roman" w:hAnsi="Times New Roman"/>
                <w:b/>
                <w:spacing w:val="-2"/>
                <w:sz w:val="24"/>
                <w:szCs w:val="24"/>
              </w:rPr>
              <w:t>Localisation présente</w:t>
            </w:r>
            <w:r w:rsidRPr="004E4188">
              <w:rPr>
                <w:b/>
                <w:spacing w:val="-2"/>
                <w:szCs w:val="24"/>
              </w:rPr>
              <w:t> :</w:t>
            </w:r>
          </w:p>
          <w:p w14:paraId="71527415" w14:textId="77777777" w:rsidR="007049A5" w:rsidRPr="004E4188" w:rsidRDefault="007049A5" w:rsidP="0090257A">
            <w:pPr>
              <w:tabs>
                <w:tab w:val="left" w:pos="2610"/>
              </w:tabs>
              <w:rPr>
                <w:rStyle w:val="Table"/>
                <w:rFonts w:ascii="Times New Roman" w:hAnsi="Times New Roman"/>
                <w:b/>
                <w:spacing w:val="-2"/>
                <w:sz w:val="24"/>
                <w:szCs w:val="24"/>
              </w:rPr>
            </w:pPr>
          </w:p>
        </w:tc>
      </w:tr>
      <w:tr w:rsidR="007049A5" w:rsidRPr="004E4188" w14:paraId="503805B1" w14:textId="77777777" w:rsidTr="00CE20F5">
        <w:trPr>
          <w:cantSplit/>
        </w:trPr>
        <w:tc>
          <w:tcPr>
            <w:tcW w:w="1710" w:type="dxa"/>
            <w:tcBorders>
              <w:top w:val="nil"/>
              <w:left w:val="single" w:sz="6" w:space="0" w:color="auto"/>
              <w:bottom w:val="nil"/>
              <w:right w:val="nil"/>
            </w:tcBorders>
          </w:tcPr>
          <w:p w14:paraId="3A1D2B3C" w14:textId="77777777" w:rsidR="007049A5" w:rsidRPr="004E4188" w:rsidRDefault="007049A5" w:rsidP="00881A19">
            <w:pPr>
              <w:tabs>
                <w:tab w:val="left" w:pos="2610"/>
              </w:tabs>
              <w:spacing w:after="71"/>
              <w:rPr>
                <w:rStyle w:val="Table"/>
                <w:rFonts w:ascii="Times New Roman" w:hAnsi="Times New Roman"/>
                <w:b/>
                <w:spacing w:val="-2"/>
                <w:sz w:val="24"/>
                <w:szCs w:val="24"/>
              </w:rPr>
            </w:pPr>
          </w:p>
        </w:tc>
        <w:tc>
          <w:tcPr>
            <w:tcW w:w="7363" w:type="dxa"/>
            <w:gridSpan w:val="2"/>
            <w:tcBorders>
              <w:top w:val="single" w:sz="6" w:space="0" w:color="auto"/>
              <w:left w:val="single" w:sz="6" w:space="0" w:color="auto"/>
              <w:bottom w:val="nil"/>
              <w:right w:val="single" w:sz="6" w:space="0" w:color="auto"/>
            </w:tcBorders>
          </w:tcPr>
          <w:p w14:paraId="0C1067E2" w14:textId="77777777" w:rsidR="007049A5" w:rsidRPr="004E4188" w:rsidRDefault="007049A5" w:rsidP="00881A19">
            <w:pPr>
              <w:tabs>
                <w:tab w:val="left" w:pos="2610"/>
              </w:tabs>
              <w:ind w:left="288" w:hanging="288"/>
              <w:rPr>
                <w:rStyle w:val="Table"/>
                <w:rFonts w:ascii="Times New Roman" w:hAnsi="Times New Roman"/>
                <w:b/>
                <w:spacing w:val="-2"/>
                <w:sz w:val="24"/>
                <w:szCs w:val="24"/>
              </w:rPr>
            </w:pPr>
            <w:r w:rsidRPr="004E4188">
              <w:rPr>
                <w:rStyle w:val="Table"/>
                <w:rFonts w:ascii="Times New Roman" w:hAnsi="Times New Roman"/>
                <w:b/>
                <w:spacing w:val="-2"/>
                <w:sz w:val="24"/>
                <w:szCs w:val="24"/>
              </w:rPr>
              <w:t>Détails sur les engagements courants</w:t>
            </w:r>
            <w:r w:rsidRPr="004E4188">
              <w:rPr>
                <w:b/>
                <w:spacing w:val="-2"/>
                <w:szCs w:val="24"/>
              </w:rPr>
              <w:t> :</w:t>
            </w:r>
          </w:p>
          <w:p w14:paraId="6C6DED5D" w14:textId="77777777" w:rsidR="007049A5" w:rsidRPr="004E4188" w:rsidRDefault="007049A5" w:rsidP="00881A19">
            <w:pPr>
              <w:tabs>
                <w:tab w:val="left" w:pos="2610"/>
              </w:tabs>
              <w:spacing w:after="71"/>
              <w:rPr>
                <w:rStyle w:val="Table"/>
                <w:rFonts w:ascii="Times New Roman" w:hAnsi="Times New Roman"/>
                <w:b/>
                <w:spacing w:val="-2"/>
                <w:sz w:val="24"/>
                <w:szCs w:val="24"/>
              </w:rPr>
            </w:pPr>
          </w:p>
        </w:tc>
      </w:tr>
      <w:tr w:rsidR="007049A5" w:rsidRPr="004E4188" w14:paraId="5F78BC37" w14:textId="77777777" w:rsidTr="00CE20F5">
        <w:trPr>
          <w:cantSplit/>
        </w:trPr>
        <w:tc>
          <w:tcPr>
            <w:tcW w:w="1710" w:type="dxa"/>
            <w:tcBorders>
              <w:top w:val="single" w:sz="6" w:space="0" w:color="auto"/>
              <w:left w:val="single" w:sz="6" w:space="0" w:color="auto"/>
              <w:bottom w:val="single" w:sz="6" w:space="0" w:color="auto"/>
              <w:right w:val="nil"/>
            </w:tcBorders>
          </w:tcPr>
          <w:p w14:paraId="103F295A" w14:textId="77777777" w:rsidR="007049A5" w:rsidRPr="004E4188" w:rsidRDefault="007049A5" w:rsidP="00E052B7">
            <w:pPr>
              <w:tabs>
                <w:tab w:val="left" w:pos="2088"/>
              </w:tabs>
              <w:spacing w:after="71"/>
              <w:jc w:val="left"/>
              <w:rPr>
                <w:rStyle w:val="Table"/>
                <w:rFonts w:ascii="Times New Roman" w:hAnsi="Times New Roman"/>
                <w:b/>
                <w:spacing w:val="-2"/>
                <w:sz w:val="24"/>
                <w:szCs w:val="24"/>
              </w:rPr>
            </w:pPr>
            <w:r w:rsidRPr="004E4188">
              <w:rPr>
                <w:rStyle w:val="Table"/>
                <w:rFonts w:ascii="Times New Roman" w:hAnsi="Times New Roman"/>
                <w:b/>
                <w:spacing w:val="-2"/>
                <w:sz w:val="24"/>
                <w:szCs w:val="24"/>
              </w:rPr>
              <w:t>Provenance</w:t>
            </w:r>
          </w:p>
        </w:tc>
        <w:tc>
          <w:tcPr>
            <w:tcW w:w="7363" w:type="dxa"/>
            <w:gridSpan w:val="2"/>
            <w:tcBorders>
              <w:top w:val="single" w:sz="6" w:space="0" w:color="auto"/>
              <w:left w:val="single" w:sz="6" w:space="0" w:color="auto"/>
              <w:bottom w:val="single" w:sz="6" w:space="0" w:color="auto"/>
              <w:right w:val="single" w:sz="6" w:space="0" w:color="auto"/>
            </w:tcBorders>
          </w:tcPr>
          <w:p w14:paraId="62221133" w14:textId="73823320" w:rsidR="007049A5" w:rsidRPr="004E4188" w:rsidRDefault="007049A5" w:rsidP="00881A19">
            <w:pPr>
              <w:tabs>
                <w:tab w:val="left" w:pos="2610"/>
              </w:tabs>
              <w:ind w:left="288" w:hanging="288"/>
              <w:rPr>
                <w:rStyle w:val="Table"/>
                <w:rFonts w:ascii="Times New Roman" w:hAnsi="Times New Roman"/>
                <w:b/>
                <w:spacing w:val="-2"/>
                <w:sz w:val="24"/>
                <w:szCs w:val="24"/>
              </w:rPr>
            </w:pPr>
            <w:r w:rsidRPr="004E4188">
              <w:rPr>
                <w:rStyle w:val="Table"/>
                <w:rFonts w:ascii="Times New Roman" w:hAnsi="Times New Roman"/>
                <w:b/>
                <w:spacing w:val="-2"/>
                <w:sz w:val="24"/>
                <w:szCs w:val="24"/>
              </w:rPr>
              <w:t>Indiquer la provenance du matériel</w:t>
            </w:r>
            <w:r w:rsidRPr="004E4188">
              <w:rPr>
                <w:b/>
                <w:spacing w:val="-2"/>
                <w:szCs w:val="24"/>
              </w:rPr>
              <w:t> </w:t>
            </w:r>
          </w:p>
          <w:p w14:paraId="4FFAB183" w14:textId="77777777" w:rsidR="007049A5" w:rsidRPr="004E4188" w:rsidRDefault="007049A5" w:rsidP="00881A19">
            <w:pPr>
              <w:pStyle w:val="aa"/>
              <w:tabs>
                <w:tab w:val="left" w:pos="-1440"/>
                <w:tab w:val="left" w:pos="-720"/>
                <w:tab w:val="left" w:pos="288"/>
                <w:tab w:val="left" w:pos="1638"/>
                <w:tab w:val="left" w:pos="2610"/>
                <w:tab w:val="left" w:pos="2898"/>
                <w:tab w:val="left" w:pos="4338"/>
              </w:tabs>
              <w:spacing w:after="71"/>
              <w:rPr>
                <w:rStyle w:val="Table"/>
                <w:rFonts w:ascii="Times New Roman" w:hAnsi="Times New Roman"/>
                <w:b/>
                <w:spacing w:val="-2"/>
                <w:sz w:val="24"/>
                <w:szCs w:val="24"/>
              </w:rPr>
            </w:pPr>
            <w:r w:rsidRPr="004E4188">
              <w:rPr>
                <w:rStyle w:val="Table"/>
                <w:rFonts w:ascii="Times New Roman" w:hAnsi="Times New Roman"/>
                <w:b/>
                <w:spacing w:val="-2"/>
                <w:sz w:val="24"/>
                <w:szCs w:val="24"/>
              </w:rPr>
              <w:fldChar w:fldCharType="begin"/>
            </w:r>
            <w:r w:rsidRPr="004E4188">
              <w:rPr>
                <w:rStyle w:val="Table"/>
                <w:rFonts w:ascii="Times New Roman" w:hAnsi="Times New Roman"/>
                <w:b/>
                <w:spacing w:val="-2"/>
                <w:sz w:val="24"/>
                <w:szCs w:val="24"/>
              </w:rPr>
              <w:instrText>symbol 111 \f "Wingdings" \s 12</w:instrText>
            </w:r>
            <w:r w:rsidRPr="004E4188">
              <w:rPr>
                <w:rStyle w:val="Table"/>
                <w:rFonts w:ascii="Times New Roman" w:hAnsi="Times New Roman"/>
                <w:b/>
                <w:spacing w:val="-2"/>
                <w:sz w:val="24"/>
                <w:szCs w:val="24"/>
              </w:rPr>
              <w:fldChar w:fldCharType="separate"/>
            </w:r>
            <w:r w:rsidRPr="004E4188">
              <w:rPr>
                <w:rStyle w:val="Table"/>
                <w:rFonts w:ascii="Times New Roman" w:hAnsi="Times New Roman"/>
                <w:b/>
                <w:spacing w:val="-2"/>
                <w:sz w:val="24"/>
                <w:szCs w:val="24"/>
              </w:rPr>
              <w:t>o</w:t>
            </w:r>
            <w:r w:rsidRPr="004E4188">
              <w:rPr>
                <w:rStyle w:val="Table"/>
                <w:rFonts w:ascii="Times New Roman" w:hAnsi="Times New Roman"/>
                <w:b/>
                <w:spacing w:val="-2"/>
                <w:sz w:val="24"/>
                <w:szCs w:val="24"/>
              </w:rPr>
              <w:fldChar w:fldCharType="end"/>
            </w:r>
            <w:r w:rsidRPr="004E4188">
              <w:rPr>
                <w:rStyle w:val="Table"/>
                <w:rFonts w:ascii="Times New Roman" w:hAnsi="Times New Roman"/>
                <w:b/>
                <w:spacing w:val="-2"/>
                <w:sz w:val="24"/>
                <w:szCs w:val="24"/>
              </w:rPr>
              <w:t xml:space="preserve"> en propre  </w:t>
            </w:r>
            <w:r w:rsidRPr="004E4188">
              <w:rPr>
                <w:rStyle w:val="Table"/>
                <w:rFonts w:ascii="Times New Roman" w:hAnsi="Times New Roman"/>
                <w:b/>
                <w:spacing w:val="-2"/>
                <w:sz w:val="24"/>
                <w:szCs w:val="24"/>
              </w:rPr>
              <w:fldChar w:fldCharType="begin"/>
            </w:r>
            <w:r w:rsidRPr="004E4188">
              <w:rPr>
                <w:rStyle w:val="Table"/>
                <w:rFonts w:ascii="Times New Roman" w:hAnsi="Times New Roman"/>
                <w:b/>
                <w:spacing w:val="-2"/>
                <w:sz w:val="24"/>
                <w:szCs w:val="24"/>
              </w:rPr>
              <w:instrText>symbol 111 \f "Wingdings" \s 12</w:instrText>
            </w:r>
            <w:r w:rsidRPr="004E4188">
              <w:rPr>
                <w:rStyle w:val="Table"/>
                <w:rFonts w:ascii="Times New Roman" w:hAnsi="Times New Roman"/>
                <w:b/>
                <w:spacing w:val="-2"/>
                <w:sz w:val="24"/>
                <w:szCs w:val="24"/>
              </w:rPr>
              <w:fldChar w:fldCharType="separate"/>
            </w:r>
            <w:r w:rsidRPr="004E4188">
              <w:rPr>
                <w:rStyle w:val="Table"/>
                <w:rFonts w:ascii="Times New Roman" w:hAnsi="Times New Roman"/>
                <w:b/>
                <w:spacing w:val="-2"/>
                <w:sz w:val="24"/>
                <w:szCs w:val="24"/>
              </w:rPr>
              <w:t>o</w:t>
            </w:r>
            <w:r w:rsidRPr="004E4188">
              <w:rPr>
                <w:rStyle w:val="Table"/>
                <w:rFonts w:ascii="Times New Roman" w:hAnsi="Times New Roman"/>
                <w:b/>
                <w:spacing w:val="-2"/>
                <w:sz w:val="24"/>
                <w:szCs w:val="24"/>
              </w:rPr>
              <w:fldChar w:fldCharType="end"/>
            </w:r>
            <w:r w:rsidRPr="004E4188">
              <w:rPr>
                <w:rStyle w:val="Table"/>
                <w:rFonts w:ascii="Times New Roman" w:hAnsi="Times New Roman"/>
                <w:b/>
                <w:spacing w:val="-2"/>
                <w:sz w:val="24"/>
                <w:szCs w:val="24"/>
              </w:rPr>
              <w:t xml:space="preserve"> loué  </w:t>
            </w:r>
            <w:r w:rsidRPr="004E4188">
              <w:rPr>
                <w:rStyle w:val="Table"/>
                <w:rFonts w:ascii="Times New Roman" w:hAnsi="Times New Roman"/>
                <w:b/>
                <w:spacing w:val="-2"/>
                <w:sz w:val="24"/>
                <w:szCs w:val="24"/>
              </w:rPr>
              <w:fldChar w:fldCharType="begin"/>
            </w:r>
            <w:r w:rsidRPr="004E4188">
              <w:rPr>
                <w:rStyle w:val="Table"/>
                <w:rFonts w:ascii="Times New Roman" w:hAnsi="Times New Roman"/>
                <w:b/>
                <w:spacing w:val="-2"/>
                <w:sz w:val="24"/>
                <w:szCs w:val="24"/>
              </w:rPr>
              <w:instrText>symbol 111 \f "Wingdings" \s 12</w:instrText>
            </w:r>
            <w:r w:rsidRPr="004E4188">
              <w:rPr>
                <w:rStyle w:val="Table"/>
                <w:rFonts w:ascii="Times New Roman" w:hAnsi="Times New Roman"/>
                <w:b/>
                <w:spacing w:val="-2"/>
                <w:sz w:val="24"/>
                <w:szCs w:val="24"/>
              </w:rPr>
              <w:fldChar w:fldCharType="separate"/>
            </w:r>
            <w:r w:rsidRPr="004E4188">
              <w:rPr>
                <w:rStyle w:val="Table"/>
                <w:rFonts w:ascii="Times New Roman" w:hAnsi="Times New Roman"/>
                <w:b/>
                <w:spacing w:val="-2"/>
                <w:sz w:val="24"/>
                <w:szCs w:val="24"/>
              </w:rPr>
              <w:t>o</w:t>
            </w:r>
            <w:r w:rsidRPr="004E4188">
              <w:rPr>
                <w:rStyle w:val="Table"/>
                <w:rFonts w:ascii="Times New Roman" w:hAnsi="Times New Roman"/>
                <w:b/>
                <w:spacing w:val="-2"/>
                <w:sz w:val="24"/>
                <w:szCs w:val="24"/>
              </w:rPr>
              <w:fldChar w:fldCharType="end"/>
            </w:r>
            <w:r w:rsidRPr="004E4188">
              <w:rPr>
                <w:rStyle w:val="Table"/>
                <w:rFonts w:ascii="Times New Roman" w:hAnsi="Times New Roman"/>
                <w:b/>
                <w:spacing w:val="-2"/>
                <w:sz w:val="24"/>
                <w:szCs w:val="24"/>
              </w:rPr>
              <w:t xml:space="preserve"> en location-vente </w:t>
            </w:r>
            <w:r w:rsidRPr="004E4188">
              <w:rPr>
                <w:rStyle w:val="Table"/>
                <w:rFonts w:ascii="Times New Roman" w:hAnsi="Times New Roman"/>
                <w:b/>
                <w:spacing w:val="-2"/>
                <w:sz w:val="24"/>
                <w:szCs w:val="24"/>
              </w:rPr>
              <w:fldChar w:fldCharType="begin"/>
            </w:r>
            <w:r w:rsidRPr="004E4188">
              <w:rPr>
                <w:rStyle w:val="Table"/>
                <w:rFonts w:ascii="Times New Roman" w:hAnsi="Times New Roman"/>
                <w:b/>
                <w:spacing w:val="-2"/>
                <w:sz w:val="24"/>
                <w:szCs w:val="24"/>
              </w:rPr>
              <w:instrText>symbol 111 \f "Wingdings" \s 12</w:instrText>
            </w:r>
            <w:r w:rsidRPr="004E4188">
              <w:rPr>
                <w:rStyle w:val="Table"/>
                <w:rFonts w:ascii="Times New Roman" w:hAnsi="Times New Roman"/>
                <w:b/>
                <w:spacing w:val="-2"/>
                <w:sz w:val="24"/>
                <w:szCs w:val="24"/>
              </w:rPr>
              <w:fldChar w:fldCharType="separate"/>
            </w:r>
            <w:r w:rsidRPr="004E4188">
              <w:rPr>
                <w:rStyle w:val="Table"/>
                <w:rFonts w:ascii="Times New Roman" w:hAnsi="Times New Roman"/>
                <w:b/>
                <w:spacing w:val="-2"/>
                <w:sz w:val="24"/>
                <w:szCs w:val="24"/>
              </w:rPr>
              <w:t>o</w:t>
            </w:r>
            <w:r w:rsidRPr="004E4188">
              <w:rPr>
                <w:rStyle w:val="Table"/>
                <w:rFonts w:ascii="Times New Roman" w:hAnsi="Times New Roman"/>
                <w:b/>
                <w:spacing w:val="-2"/>
                <w:sz w:val="24"/>
                <w:szCs w:val="24"/>
              </w:rPr>
              <w:fldChar w:fldCharType="end"/>
            </w:r>
            <w:r w:rsidRPr="004E4188">
              <w:rPr>
                <w:rStyle w:val="Table"/>
                <w:rFonts w:ascii="Times New Roman" w:hAnsi="Times New Roman"/>
                <w:b/>
                <w:spacing w:val="-2"/>
                <w:sz w:val="24"/>
                <w:szCs w:val="24"/>
              </w:rPr>
              <w:t xml:space="preserve"> fabriqué spécialement</w:t>
            </w:r>
          </w:p>
        </w:tc>
      </w:tr>
    </w:tbl>
    <w:p w14:paraId="35D96AB7" w14:textId="77777777" w:rsidR="007049A5" w:rsidRPr="004E4188" w:rsidRDefault="007049A5" w:rsidP="00B06B6E">
      <w:pPr>
        <w:tabs>
          <w:tab w:val="left" w:pos="2610"/>
        </w:tabs>
        <w:rPr>
          <w:rStyle w:val="Table"/>
          <w:spacing w:val="-2"/>
        </w:rPr>
      </w:pPr>
    </w:p>
    <w:p w14:paraId="70DFB50F" w14:textId="77777777" w:rsidR="007049A5" w:rsidRPr="004E4188" w:rsidRDefault="007049A5" w:rsidP="00937368">
      <w:pPr>
        <w:tabs>
          <w:tab w:val="left" w:pos="2610"/>
        </w:tabs>
      </w:pPr>
      <w:r w:rsidRPr="004E4188">
        <w:t>Omettre les renseignements suivants pour les équipements détenus en propre par le Soumissionnaire.</w:t>
      </w:r>
    </w:p>
    <w:p w14:paraId="513204B2" w14:textId="77777777" w:rsidR="007049A5" w:rsidRPr="004E4188" w:rsidRDefault="007049A5" w:rsidP="00B06B6E">
      <w:pPr>
        <w:tabs>
          <w:tab w:val="left" w:pos="2610"/>
        </w:tabs>
        <w:rPr>
          <w:rStyle w:val="Table"/>
          <w:spacing w:val="-2"/>
        </w:rPr>
      </w:pPr>
    </w:p>
    <w:tbl>
      <w:tblPr>
        <w:tblW w:w="0" w:type="auto"/>
        <w:tblLayout w:type="fixed"/>
        <w:tblCellMar>
          <w:left w:w="72" w:type="dxa"/>
          <w:right w:w="72" w:type="dxa"/>
        </w:tblCellMar>
        <w:tblLook w:val="0000" w:firstRow="0" w:lastRow="0" w:firstColumn="0" w:lastColumn="0" w:noHBand="0" w:noVBand="0"/>
      </w:tblPr>
      <w:tblGrid>
        <w:gridCol w:w="1710"/>
        <w:gridCol w:w="3690"/>
        <w:gridCol w:w="3673"/>
      </w:tblGrid>
      <w:tr w:rsidR="007049A5" w:rsidRPr="004E4188" w14:paraId="7AAE0BB3" w14:textId="77777777" w:rsidTr="00CE20F5">
        <w:trPr>
          <w:cantSplit/>
        </w:trPr>
        <w:tc>
          <w:tcPr>
            <w:tcW w:w="1710" w:type="dxa"/>
            <w:tcBorders>
              <w:top w:val="single" w:sz="6" w:space="0" w:color="auto"/>
              <w:left w:val="single" w:sz="6" w:space="0" w:color="auto"/>
              <w:bottom w:val="nil"/>
              <w:right w:val="nil"/>
            </w:tcBorders>
          </w:tcPr>
          <w:p w14:paraId="06EB116F" w14:textId="77777777" w:rsidR="007049A5" w:rsidRPr="004E4188" w:rsidRDefault="007049A5" w:rsidP="00881A19">
            <w:pPr>
              <w:tabs>
                <w:tab w:val="left" w:pos="2610"/>
              </w:tabs>
              <w:rPr>
                <w:rStyle w:val="Table"/>
                <w:rFonts w:ascii="Times New Roman" w:hAnsi="Times New Roman"/>
                <w:b/>
                <w:spacing w:val="-2"/>
                <w:sz w:val="24"/>
                <w:szCs w:val="24"/>
              </w:rPr>
            </w:pPr>
            <w:r w:rsidRPr="004E4188">
              <w:rPr>
                <w:rStyle w:val="Table"/>
                <w:rFonts w:ascii="Times New Roman" w:hAnsi="Times New Roman"/>
                <w:b/>
                <w:spacing w:val="-2"/>
                <w:sz w:val="24"/>
                <w:szCs w:val="24"/>
              </w:rPr>
              <w:t>Propriétaire</w:t>
            </w:r>
          </w:p>
        </w:tc>
        <w:tc>
          <w:tcPr>
            <w:tcW w:w="7363" w:type="dxa"/>
            <w:gridSpan w:val="2"/>
            <w:tcBorders>
              <w:top w:val="single" w:sz="6" w:space="0" w:color="auto"/>
              <w:left w:val="single" w:sz="6" w:space="0" w:color="auto"/>
              <w:bottom w:val="nil"/>
              <w:right w:val="single" w:sz="6" w:space="0" w:color="auto"/>
            </w:tcBorders>
          </w:tcPr>
          <w:p w14:paraId="030890F7" w14:textId="77777777" w:rsidR="007049A5" w:rsidRPr="004E4188" w:rsidRDefault="007049A5" w:rsidP="00881A19">
            <w:pPr>
              <w:tabs>
                <w:tab w:val="left" w:pos="2610"/>
              </w:tabs>
              <w:rPr>
                <w:rStyle w:val="Table"/>
                <w:rFonts w:ascii="Times New Roman" w:hAnsi="Times New Roman"/>
                <w:b/>
                <w:spacing w:val="-2"/>
                <w:sz w:val="24"/>
                <w:szCs w:val="24"/>
              </w:rPr>
            </w:pPr>
            <w:r w:rsidRPr="004E4188">
              <w:rPr>
                <w:rStyle w:val="Table"/>
                <w:rFonts w:ascii="Times New Roman" w:hAnsi="Times New Roman"/>
                <w:b/>
                <w:spacing w:val="-2"/>
                <w:sz w:val="24"/>
                <w:szCs w:val="24"/>
              </w:rPr>
              <w:t>Nom du propriétaire</w:t>
            </w:r>
            <w:r w:rsidRPr="004E4188">
              <w:rPr>
                <w:b/>
                <w:spacing w:val="-2"/>
                <w:szCs w:val="24"/>
              </w:rPr>
              <w:t> :</w:t>
            </w:r>
          </w:p>
        </w:tc>
      </w:tr>
      <w:tr w:rsidR="007049A5" w:rsidRPr="004E4188" w14:paraId="00D87B70" w14:textId="77777777" w:rsidTr="00CE20F5">
        <w:trPr>
          <w:cantSplit/>
        </w:trPr>
        <w:tc>
          <w:tcPr>
            <w:tcW w:w="1710" w:type="dxa"/>
            <w:tcBorders>
              <w:top w:val="nil"/>
              <w:left w:val="single" w:sz="6" w:space="0" w:color="auto"/>
              <w:bottom w:val="nil"/>
              <w:right w:val="nil"/>
            </w:tcBorders>
          </w:tcPr>
          <w:p w14:paraId="0203C62C" w14:textId="77777777" w:rsidR="007049A5" w:rsidRPr="004E4188" w:rsidRDefault="007049A5" w:rsidP="00881A19">
            <w:pPr>
              <w:tabs>
                <w:tab w:val="left" w:pos="2610"/>
              </w:tabs>
              <w:spacing w:after="71"/>
              <w:rPr>
                <w:rStyle w:val="Table"/>
                <w:rFonts w:ascii="Times New Roman" w:hAnsi="Times New Roman"/>
                <w:b/>
                <w:spacing w:val="-2"/>
                <w:sz w:val="24"/>
                <w:szCs w:val="24"/>
              </w:rPr>
            </w:pPr>
          </w:p>
        </w:tc>
        <w:tc>
          <w:tcPr>
            <w:tcW w:w="7363" w:type="dxa"/>
            <w:gridSpan w:val="2"/>
            <w:tcBorders>
              <w:top w:val="single" w:sz="6" w:space="0" w:color="auto"/>
              <w:left w:val="single" w:sz="6" w:space="0" w:color="auto"/>
              <w:bottom w:val="nil"/>
              <w:right w:val="single" w:sz="6" w:space="0" w:color="auto"/>
            </w:tcBorders>
          </w:tcPr>
          <w:p w14:paraId="65D63F01" w14:textId="77777777" w:rsidR="007049A5" w:rsidRPr="004E4188" w:rsidRDefault="007049A5" w:rsidP="00881A19">
            <w:pPr>
              <w:tabs>
                <w:tab w:val="left" w:pos="2610"/>
              </w:tabs>
              <w:rPr>
                <w:rStyle w:val="Table"/>
                <w:rFonts w:ascii="Times New Roman" w:hAnsi="Times New Roman"/>
                <w:b/>
                <w:spacing w:val="-2"/>
                <w:sz w:val="24"/>
                <w:szCs w:val="24"/>
              </w:rPr>
            </w:pPr>
            <w:r w:rsidRPr="004E4188">
              <w:rPr>
                <w:rStyle w:val="Table"/>
                <w:rFonts w:ascii="Times New Roman" w:hAnsi="Times New Roman"/>
                <w:b/>
                <w:spacing w:val="-2"/>
                <w:sz w:val="24"/>
                <w:szCs w:val="24"/>
              </w:rPr>
              <w:t>Adresse du propriétaire</w:t>
            </w:r>
            <w:r w:rsidRPr="004E4188">
              <w:rPr>
                <w:b/>
                <w:spacing w:val="-2"/>
                <w:szCs w:val="24"/>
              </w:rPr>
              <w:t> :</w:t>
            </w:r>
          </w:p>
          <w:p w14:paraId="673BEBF8" w14:textId="77777777" w:rsidR="007049A5" w:rsidRPr="004E4188" w:rsidRDefault="007049A5" w:rsidP="00881A19">
            <w:pPr>
              <w:tabs>
                <w:tab w:val="left" w:pos="2610"/>
              </w:tabs>
              <w:spacing w:after="71"/>
              <w:rPr>
                <w:rStyle w:val="Table"/>
                <w:rFonts w:ascii="Times New Roman" w:hAnsi="Times New Roman"/>
                <w:b/>
                <w:spacing w:val="-2"/>
                <w:sz w:val="24"/>
                <w:szCs w:val="24"/>
              </w:rPr>
            </w:pPr>
          </w:p>
        </w:tc>
      </w:tr>
      <w:tr w:rsidR="007049A5" w:rsidRPr="004E4188" w14:paraId="5D296013" w14:textId="77777777" w:rsidTr="00CE20F5">
        <w:trPr>
          <w:cantSplit/>
        </w:trPr>
        <w:tc>
          <w:tcPr>
            <w:tcW w:w="1710" w:type="dxa"/>
            <w:tcBorders>
              <w:top w:val="nil"/>
              <w:left w:val="single" w:sz="6" w:space="0" w:color="auto"/>
              <w:bottom w:val="nil"/>
              <w:right w:val="nil"/>
            </w:tcBorders>
          </w:tcPr>
          <w:p w14:paraId="0C043236" w14:textId="77777777" w:rsidR="007049A5" w:rsidRPr="004E4188" w:rsidRDefault="007049A5" w:rsidP="00881A19">
            <w:pPr>
              <w:tabs>
                <w:tab w:val="left" w:pos="2610"/>
              </w:tabs>
              <w:spacing w:after="71"/>
              <w:rPr>
                <w:rStyle w:val="Table"/>
                <w:rFonts w:ascii="Times New Roman" w:hAnsi="Times New Roman"/>
                <w:b/>
                <w:spacing w:val="-2"/>
                <w:sz w:val="24"/>
                <w:szCs w:val="24"/>
              </w:rPr>
            </w:pPr>
          </w:p>
        </w:tc>
        <w:tc>
          <w:tcPr>
            <w:tcW w:w="7363" w:type="dxa"/>
            <w:gridSpan w:val="2"/>
            <w:tcBorders>
              <w:top w:val="nil"/>
              <w:left w:val="single" w:sz="6" w:space="0" w:color="auto"/>
              <w:bottom w:val="nil"/>
              <w:right w:val="single" w:sz="6" w:space="0" w:color="auto"/>
            </w:tcBorders>
          </w:tcPr>
          <w:p w14:paraId="1806EFC7" w14:textId="77777777" w:rsidR="007049A5" w:rsidRPr="004E4188" w:rsidRDefault="007049A5" w:rsidP="00881A19">
            <w:pPr>
              <w:tabs>
                <w:tab w:val="left" w:pos="2610"/>
              </w:tabs>
              <w:spacing w:after="71"/>
              <w:rPr>
                <w:rStyle w:val="Table"/>
                <w:rFonts w:ascii="Times New Roman" w:hAnsi="Times New Roman"/>
                <w:b/>
                <w:spacing w:val="-2"/>
                <w:sz w:val="24"/>
                <w:szCs w:val="24"/>
              </w:rPr>
            </w:pPr>
          </w:p>
        </w:tc>
      </w:tr>
      <w:tr w:rsidR="007049A5" w:rsidRPr="004E4188" w14:paraId="140BDC11" w14:textId="77777777" w:rsidTr="00CE20F5">
        <w:trPr>
          <w:cantSplit/>
        </w:trPr>
        <w:tc>
          <w:tcPr>
            <w:tcW w:w="1710" w:type="dxa"/>
            <w:tcBorders>
              <w:top w:val="nil"/>
              <w:left w:val="single" w:sz="6" w:space="0" w:color="auto"/>
              <w:bottom w:val="nil"/>
              <w:right w:val="nil"/>
            </w:tcBorders>
          </w:tcPr>
          <w:p w14:paraId="175792A2" w14:textId="77777777" w:rsidR="007049A5" w:rsidRPr="004E4188" w:rsidRDefault="007049A5" w:rsidP="00881A19">
            <w:pPr>
              <w:tabs>
                <w:tab w:val="left" w:pos="2610"/>
              </w:tabs>
              <w:spacing w:after="71"/>
              <w:rPr>
                <w:rStyle w:val="Table"/>
                <w:rFonts w:ascii="Times New Roman" w:hAnsi="Times New Roman"/>
                <w:b/>
                <w:spacing w:val="-2"/>
                <w:sz w:val="24"/>
                <w:szCs w:val="24"/>
              </w:rPr>
            </w:pPr>
          </w:p>
        </w:tc>
        <w:tc>
          <w:tcPr>
            <w:tcW w:w="3690" w:type="dxa"/>
            <w:tcBorders>
              <w:top w:val="single" w:sz="6" w:space="0" w:color="auto"/>
              <w:left w:val="single" w:sz="6" w:space="0" w:color="auto"/>
              <w:bottom w:val="nil"/>
              <w:right w:val="nil"/>
            </w:tcBorders>
          </w:tcPr>
          <w:p w14:paraId="15A104DB" w14:textId="77777777" w:rsidR="007049A5" w:rsidRPr="004E4188" w:rsidRDefault="007049A5" w:rsidP="00881A19">
            <w:pPr>
              <w:tabs>
                <w:tab w:val="left" w:pos="2610"/>
              </w:tabs>
              <w:rPr>
                <w:rStyle w:val="Table"/>
                <w:rFonts w:ascii="Times New Roman" w:hAnsi="Times New Roman"/>
                <w:b/>
                <w:spacing w:val="-2"/>
                <w:sz w:val="24"/>
                <w:szCs w:val="24"/>
              </w:rPr>
            </w:pPr>
            <w:r w:rsidRPr="004E4188">
              <w:rPr>
                <w:rStyle w:val="Table"/>
                <w:rFonts w:ascii="Times New Roman" w:hAnsi="Times New Roman"/>
                <w:b/>
                <w:spacing w:val="-2"/>
                <w:sz w:val="24"/>
                <w:szCs w:val="24"/>
              </w:rPr>
              <w:t>Téléphone</w:t>
            </w:r>
            <w:r w:rsidRPr="004E4188">
              <w:rPr>
                <w:b/>
                <w:spacing w:val="-2"/>
                <w:szCs w:val="24"/>
              </w:rPr>
              <w:t> :</w:t>
            </w:r>
          </w:p>
        </w:tc>
        <w:tc>
          <w:tcPr>
            <w:tcW w:w="3673" w:type="dxa"/>
            <w:tcBorders>
              <w:top w:val="single" w:sz="6" w:space="0" w:color="auto"/>
              <w:left w:val="single" w:sz="6" w:space="0" w:color="auto"/>
              <w:bottom w:val="nil"/>
              <w:right w:val="single" w:sz="6" w:space="0" w:color="auto"/>
            </w:tcBorders>
          </w:tcPr>
          <w:p w14:paraId="5D43FB48" w14:textId="77777777" w:rsidR="007049A5" w:rsidRPr="004E4188" w:rsidRDefault="007049A5" w:rsidP="001412C2">
            <w:pPr>
              <w:tabs>
                <w:tab w:val="left" w:pos="2610"/>
              </w:tabs>
              <w:rPr>
                <w:rStyle w:val="Table"/>
                <w:rFonts w:ascii="Times New Roman" w:hAnsi="Times New Roman"/>
                <w:b/>
                <w:spacing w:val="-2"/>
                <w:sz w:val="24"/>
                <w:szCs w:val="24"/>
              </w:rPr>
            </w:pPr>
            <w:r w:rsidRPr="004E4188">
              <w:rPr>
                <w:rStyle w:val="Table"/>
                <w:rFonts w:ascii="Times New Roman" w:hAnsi="Times New Roman"/>
                <w:b/>
                <w:spacing w:val="-2"/>
                <w:sz w:val="24"/>
                <w:szCs w:val="24"/>
              </w:rPr>
              <w:t>Nom et titre de la personne à contacter</w:t>
            </w:r>
            <w:r w:rsidRPr="004E4188">
              <w:rPr>
                <w:b/>
                <w:spacing w:val="-2"/>
                <w:szCs w:val="24"/>
              </w:rPr>
              <w:t> :</w:t>
            </w:r>
          </w:p>
        </w:tc>
      </w:tr>
      <w:tr w:rsidR="007049A5" w:rsidRPr="004E4188" w14:paraId="2945F588" w14:textId="77777777" w:rsidTr="00CE20F5">
        <w:trPr>
          <w:cantSplit/>
        </w:trPr>
        <w:tc>
          <w:tcPr>
            <w:tcW w:w="1710" w:type="dxa"/>
            <w:tcBorders>
              <w:top w:val="nil"/>
              <w:left w:val="single" w:sz="6" w:space="0" w:color="auto"/>
              <w:bottom w:val="nil"/>
              <w:right w:val="nil"/>
            </w:tcBorders>
          </w:tcPr>
          <w:p w14:paraId="260622A9" w14:textId="77777777" w:rsidR="007049A5" w:rsidRPr="004E4188" w:rsidRDefault="007049A5" w:rsidP="00881A19">
            <w:pPr>
              <w:tabs>
                <w:tab w:val="left" w:pos="2610"/>
              </w:tabs>
              <w:spacing w:after="71"/>
              <w:rPr>
                <w:rStyle w:val="Table"/>
                <w:rFonts w:ascii="Times New Roman" w:hAnsi="Times New Roman"/>
                <w:b/>
                <w:spacing w:val="-2"/>
                <w:sz w:val="24"/>
                <w:szCs w:val="24"/>
              </w:rPr>
            </w:pPr>
          </w:p>
        </w:tc>
        <w:tc>
          <w:tcPr>
            <w:tcW w:w="3690" w:type="dxa"/>
            <w:tcBorders>
              <w:top w:val="single" w:sz="6" w:space="0" w:color="auto"/>
              <w:left w:val="single" w:sz="6" w:space="0" w:color="auto"/>
              <w:bottom w:val="nil"/>
              <w:right w:val="nil"/>
            </w:tcBorders>
          </w:tcPr>
          <w:p w14:paraId="546C86DC" w14:textId="77777777" w:rsidR="007049A5" w:rsidRPr="004E4188" w:rsidRDefault="007049A5" w:rsidP="00881A19">
            <w:pPr>
              <w:tabs>
                <w:tab w:val="left" w:pos="2610"/>
              </w:tabs>
              <w:rPr>
                <w:rStyle w:val="Table"/>
                <w:rFonts w:ascii="Times New Roman" w:hAnsi="Times New Roman"/>
                <w:b/>
                <w:spacing w:val="-2"/>
                <w:sz w:val="24"/>
                <w:szCs w:val="24"/>
              </w:rPr>
            </w:pPr>
            <w:r w:rsidRPr="004E4188">
              <w:rPr>
                <w:rStyle w:val="Table"/>
                <w:rFonts w:ascii="Times New Roman" w:hAnsi="Times New Roman"/>
                <w:b/>
                <w:spacing w:val="-2"/>
                <w:sz w:val="24"/>
                <w:szCs w:val="24"/>
              </w:rPr>
              <w:t>Télécopie</w:t>
            </w:r>
            <w:r w:rsidRPr="004E4188">
              <w:rPr>
                <w:b/>
                <w:spacing w:val="-2"/>
                <w:szCs w:val="24"/>
              </w:rPr>
              <w:t> :</w:t>
            </w:r>
          </w:p>
        </w:tc>
        <w:tc>
          <w:tcPr>
            <w:tcW w:w="3673" w:type="dxa"/>
            <w:tcBorders>
              <w:top w:val="single" w:sz="6" w:space="0" w:color="auto"/>
              <w:left w:val="single" w:sz="6" w:space="0" w:color="auto"/>
              <w:bottom w:val="nil"/>
              <w:right w:val="single" w:sz="6" w:space="0" w:color="auto"/>
            </w:tcBorders>
          </w:tcPr>
          <w:p w14:paraId="627E7B1D" w14:textId="77777777" w:rsidR="007049A5" w:rsidRPr="004E4188" w:rsidRDefault="007049A5" w:rsidP="00881A19">
            <w:pPr>
              <w:tabs>
                <w:tab w:val="left" w:pos="2610"/>
              </w:tabs>
              <w:spacing w:after="71"/>
              <w:rPr>
                <w:rStyle w:val="Table"/>
                <w:rFonts w:ascii="Times New Roman" w:hAnsi="Times New Roman"/>
                <w:b/>
                <w:spacing w:val="-2"/>
                <w:sz w:val="24"/>
                <w:szCs w:val="24"/>
              </w:rPr>
            </w:pPr>
            <w:r w:rsidRPr="004E4188">
              <w:rPr>
                <w:rStyle w:val="Table"/>
                <w:rFonts w:ascii="Times New Roman" w:hAnsi="Times New Roman"/>
                <w:b/>
                <w:spacing w:val="-2"/>
                <w:sz w:val="24"/>
                <w:szCs w:val="24"/>
              </w:rPr>
              <w:t>Télex</w:t>
            </w:r>
            <w:r w:rsidRPr="004E4188">
              <w:rPr>
                <w:b/>
                <w:spacing w:val="-2"/>
                <w:szCs w:val="24"/>
              </w:rPr>
              <w:t> :</w:t>
            </w:r>
          </w:p>
        </w:tc>
      </w:tr>
      <w:tr w:rsidR="007049A5" w:rsidRPr="004E4188" w14:paraId="4316FC13" w14:textId="77777777" w:rsidTr="00CE20F5">
        <w:trPr>
          <w:cantSplit/>
        </w:trPr>
        <w:tc>
          <w:tcPr>
            <w:tcW w:w="1710" w:type="dxa"/>
            <w:tcBorders>
              <w:top w:val="single" w:sz="6" w:space="0" w:color="auto"/>
              <w:left w:val="single" w:sz="6" w:space="0" w:color="auto"/>
              <w:bottom w:val="nil"/>
              <w:right w:val="nil"/>
            </w:tcBorders>
          </w:tcPr>
          <w:p w14:paraId="7BE92EC1" w14:textId="77777777" w:rsidR="007049A5" w:rsidRPr="004E4188" w:rsidRDefault="007049A5" w:rsidP="00881A19">
            <w:pPr>
              <w:tabs>
                <w:tab w:val="left" w:pos="2610"/>
              </w:tabs>
              <w:rPr>
                <w:rStyle w:val="Table"/>
                <w:rFonts w:ascii="Times New Roman" w:hAnsi="Times New Roman"/>
                <w:b/>
                <w:spacing w:val="-2"/>
                <w:sz w:val="24"/>
                <w:szCs w:val="24"/>
              </w:rPr>
            </w:pPr>
            <w:r w:rsidRPr="004E4188">
              <w:rPr>
                <w:rStyle w:val="Table"/>
                <w:rFonts w:ascii="Times New Roman" w:hAnsi="Times New Roman"/>
                <w:b/>
                <w:spacing w:val="-2"/>
                <w:sz w:val="24"/>
                <w:szCs w:val="24"/>
              </w:rPr>
              <w:t>Accords</w:t>
            </w:r>
          </w:p>
        </w:tc>
        <w:tc>
          <w:tcPr>
            <w:tcW w:w="7363" w:type="dxa"/>
            <w:gridSpan w:val="2"/>
            <w:tcBorders>
              <w:top w:val="single" w:sz="6" w:space="0" w:color="auto"/>
              <w:left w:val="single" w:sz="6" w:space="0" w:color="auto"/>
              <w:bottom w:val="nil"/>
              <w:right w:val="single" w:sz="6" w:space="0" w:color="auto"/>
            </w:tcBorders>
          </w:tcPr>
          <w:p w14:paraId="3BB3A5D6" w14:textId="7210E77C" w:rsidR="007049A5" w:rsidRPr="004E4188" w:rsidRDefault="007049A5" w:rsidP="00881A19">
            <w:pPr>
              <w:tabs>
                <w:tab w:val="left" w:pos="2610"/>
              </w:tabs>
              <w:rPr>
                <w:rStyle w:val="Table"/>
                <w:rFonts w:ascii="Times New Roman" w:hAnsi="Times New Roman"/>
                <w:b/>
                <w:spacing w:val="-2"/>
                <w:sz w:val="24"/>
                <w:szCs w:val="24"/>
              </w:rPr>
            </w:pPr>
            <w:r w:rsidRPr="004E4188">
              <w:rPr>
                <w:rStyle w:val="Table"/>
                <w:rFonts w:ascii="Times New Roman" w:hAnsi="Times New Roman"/>
                <w:b/>
                <w:spacing w:val="-2"/>
                <w:sz w:val="24"/>
                <w:szCs w:val="24"/>
              </w:rPr>
              <w:t>Détails de la location / location-vente / accord de fabrication, spécifiques au projet</w:t>
            </w:r>
            <w:r w:rsidRPr="004E4188">
              <w:rPr>
                <w:b/>
                <w:spacing w:val="-2"/>
                <w:szCs w:val="24"/>
              </w:rPr>
              <w:t> :</w:t>
            </w:r>
          </w:p>
          <w:p w14:paraId="75EDE92B" w14:textId="77777777" w:rsidR="007049A5" w:rsidRPr="004E4188" w:rsidRDefault="007049A5" w:rsidP="00881A19">
            <w:pPr>
              <w:tabs>
                <w:tab w:val="left" w:pos="2610"/>
              </w:tabs>
              <w:spacing w:after="71"/>
              <w:rPr>
                <w:rStyle w:val="Table"/>
                <w:rFonts w:ascii="Times New Roman" w:hAnsi="Times New Roman"/>
                <w:b/>
                <w:spacing w:val="-2"/>
                <w:sz w:val="24"/>
                <w:szCs w:val="24"/>
              </w:rPr>
            </w:pPr>
          </w:p>
        </w:tc>
      </w:tr>
      <w:tr w:rsidR="007049A5" w:rsidRPr="004E4188" w14:paraId="267F811E" w14:textId="77777777" w:rsidTr="00CE20F5">
        <w:trPr>
          <w:cantSplit/>
        </w:trPr>
        <w:tc>
          <w:tcPr>
            <w:tcW w:w="1710" w:type="dxa"/>
            <w:tcBorders>
              <w:top w:val="dotted" w:sz="6" w:space="0" w:color="auto"/>
              <w:left w:val="single" w:sz="6" w:space="0" w:color="auto"/>
              <w:bottom w:val="dotted" w:sz="6" w:space="0" w:color="auto"/>
              <w:right w:val="nil"/>
            </w:tcBorders>
          </w:tcPr>
          <w:p w14:paraId="63D13CA4" w14:textId="77777777" w:rsidR="007049A5" w:rsidRPr="004E4188" w:rsidRDefault="007049A5" w:rsidP="00881A19">
            <w:pPr>
              <w:tabs>
                <w:tab w:val="left" w:pos="2610"/>
              </w:tabs>
              <w:spacing w:after="71"/>
              <w:rPr>
                <w:rStyle w:val="Table"/>
                <w:rFonts w:ascii="Times New Roman" w:hAnsi="Times New Roman"/>
                <w:i/>
                <w:spacing w:val="-2"/>
                <w:sz w:val="24"/>
                <w:szCs w:val="24"/>
              </w:rPr>
            </w:pPr>
          </w:p>
        </w:tc>
        <w:tc>
          <w:tcPr>
            <w:tcW w:w="7363" w:type="dxa"/>
            <w:gridSpan w:val="2"/>
            <w:tcBorders>
              <w:top w:val="dotted" w:sz="6" w:space="0" w:color="auto"/>
              <w:left w:val="single" w:sz="6" w:space="0" w:color="auto"/>
              <w:bottom w:val="dotted" w:sz="6" w:space="0" w:color="auto"/>
              <w:right w:val="single" w:sz="6" w:space="0" w:color="auto"/>
            </w:tcBorders>
          </w:tcPr>
          <w:p w14:paraId="6D105450" w14:textId="77777777" w:rsidR="007049A5" w:rsidRPr="004E4188" w:rsidRDefault="007049A5" w:rsidP="00881A19">
            <w:pPr>
              <w:tabs>
                <w:tab w:val="left" w:pos="2610"/>
              </w:tabs>
              <w:spacing w:after="71"/>
              <w:rPr>
                <w:rStyle w:val="Table"/>
                <w:rFonts w:ascii="Times New Roman" w:hAnsi="Times New Roman"/>
                <w:spacing w:val="-2"/>
                <w:sz w:val="24"/>
                <w:szCs w:val="24"/>
              </w:rPr>
            </w:pPr>
          </w:p>
        </w:tc>
      </w:tr>
      <w:tr w:rsidR="007049A5" w:rsidRPr="004E4188" w14:paraId="5661AB6A" w14:textId="77777777" w:rsidTr="00CE20F5">
        <w:trPr>
          <w:cantSplit/>
        </w:trPr>
        <w:tc>
          <w:tcPr>
            <w:tcW w:w="1710" w:type="dxa"/>
            <w:tcBorders>
              <w:top w:val="nil"/>
              <w:left w:val="single" w:sz="6" w:space="0" w:color="auto"/>
              <w:bottom w:val="single" w:sz="6" w:space="0" w:color="auto"/>
              <w:right w:val="nil"/>
            </w:tcBorders>
          </w:tcPr>
          <w:p w14:paraId="04891FB6" w14:textId="77777777" w:rsidR="007049A5" w:rsidRPr="004E4188" w:rsidRDefault="007049A5" w:rsidP="00881A19">
            <w:pPr>
              <w:tabs>
                <w:tab w:val="left" w:pos="2610"/>
              </w:tabs>
              <w:spacing w:after="71"/>
              <w:rPr>
                <w:rStyle w:val="Table"/>
                <w:rFonts w:ascii="Times New Roman" w:hAnsi="Times New Roman"/>
                <w:i/>
                <w:spacing w:val="-2"/>
                <w:sz w:val="24"/>
                <w:szCs w:val="24"/>
              </w:rPr>
            </w:pPr>
          </w:p>
        </w:tc>
        <w:tc>
          <w:tcPr>
            <w:tcW w:w="7363" w:type="dxa"/>
            <w:gridSpan w:val="2"/>
            <w:tcBorders>
              <w:top w:val="nil"/>
              <w:left w:val="single" w:sz="6" w:space="0" w:color="auto"/>
              <w:bottom w:val="single" w:sz="6" w:space="0" w:color="auto"/>
              <w:right w:val="single" w:sz="6" w:space="0" w:color="auto"/>
            </w:tcBorders>
          </w:tcPr>
          <w:p w14:paraId="1B924B5B" w14:textId="77777777" w:rsidR="007049A5" w:rsidRPr="004E4188" w:rsidRDefault="007049A5" w:rsidP="00881A19">
            <w:pPr>
              <w:tabs>
                <w:tab w:val="left" w:pos="2610"/>
              </w:tabs>
              <w:spacing w:after="71"/>
              <w:rPr>
                <w:rStyle w:val="Table"/>
                <w:rFonts w:ascii="Times New Roman" w:hAnsi="Times New Roman"/>
                <w:spacing w:val="-2"/>
                <w:sz w:val="24"/>
                <w:szCs w:val="24"/>
              </w:rPr>
            </w:pPr>
          </w:p>
        </w:tc>
      </w:tr>
    </w:tbl>
    <w:p w14:paraId="3A60E284" w14:textId="7230658B" w:rsidR="007049A5" w:rsidRPr="004E4188" w:rsidRDefault="007049A5" w:rsidP="0090257A">
      <w:pPr>
        <w:pStyle w:val="SectionIVHeader"/>
        <w:rPr>
          <w:lang w:val="fr-FR"/>
        </w:rPr>
      </w:pPr>
      <w:r w:rsidRPr="004E4188">
        <w:rPr>
          <w:lang w:val="fr-FR"/>
        </w:rPr>
        <w:br w:type="page"/>
      </w:r>
      <w:bookmarkStart w:id="590" w:name="_Toc349117750"/>
      <w:bookmarkStart w:id="591" w:name="_Toc357513231"/>
      <w:bookmarkStart w:id="592" w:name="_Toc112429324"/>
      <w:bookmarkStart w:id="593" w:name="_Toc327863877"/>
      <w:r w:rsidRPr="004E4188">
        <w:rPr>
          <w:lang w:val="fr-FR"/>
        </w:rPr>
        <w:t>Qualification des Soumissionnaires</w:t>
      </w:r>
      <w:bookmarkEnd w:id="590"/>
      <w:bookmarkEnd w:id="591"/>
      <w:bookmarkEnd w:id="592"/>
    </w:p>
    <w:p w14:paraId="31DEAA8F" w14:textId="77777777" w:rsidR="007049A5" w:rsidRPr="004E4188" w:rsidRDefault="007049A5" w:rsidP="006C6267">
      <w:pPr>
        <w:pStyle w:val="SectionIVHeader"/>
        <w:rPr>
          <w:b w:val="0"/>
          <w:lang w:val="fr-FR"/>
        </w:rPr>
      </w:pPr>
      <w:r w:rsidRPr="004E4188">
        <w:rPr>
          <w:b w:val="0"/>
          <w:lang w:val="fr-FR"/>
        </w:rPr>
        <w:t xml:space="preserve"> </w:t>
      </w:r>
      <w:bookmarkEnd w:id="593"/>
    </w:p>
    <w:tbl>
      <w:tblPr>
        <w:tblStyle w:val="afb"/>
        <w:tblW w:w="0" w:type="auto"/>
        <w:tblLook w:val="04A0" w:firstRow="1" w:lastRow="0" w:firstColumn="1" w:lastColumn="0" w:noHBand="0" w:noVBand="1"/>
      </w:tblPr>
      <w:tblGrid>
        <w:gridCol w:w="8993"/>
      </w:tblGrid>
      <w:tr w:rsidR="007049A5" w:rsidRPr="004E4188" w14:paraId="3D988733" w14:textId="77777777" w:rsidTr="006C6267">
        <w:tc>
          <w:tcPr>
            <w:tcW w:w="8993" w:type="dxa"/>
          </w:tcPr>
          <w:p w14:paraId="46420A2A" w14:textId="77777777" w:rsidR="007049A5" w:rsidRPr="004E4188" w:rsidRDefault="007049A5" w:rsidP="006C6267">
            <w:pPr>
              <w:suppressAutoHyphens w:val="0"/>
              <w:overflowPunct/>
              <w:autoSpaceDE/>
              <w:autoSpaceDN/>
              <w:adjustRightInd/>
              <w:jc w:val="center"/>
              <w:textAlignment w:val="auto"/>
              <w:rPr>
                <w:b/>
              </w:rPr>
            </w:pPr>
            <w:r w:rsidRPr="004E4188">
              <w:rPr>
                <w:b/>
              </w:rPr>
              <w:t>Notes à l’intention du Maître d’ouvrage</w:t>
            </w:r>
          </w:p>
          <w:p w14:paraId="6E8CBB68" w14:textId="77777777" w:rsidR="007049A5" w:rsidRPr="004E4188" w:rsidRDefault="007049A5" w:rsidP="00D55904">
            <w:pPr>
              <w:suppressAutoHyphens w:val="0"/>
              <w:overflowPunct/>
              <w:autoSpaceDE/>
              <w:autoSpaceDN/>
              <w:adjustRightInd/>
              <w:textAlignment w:val="auto"/>
            </w:pPr>
            <w:r w:rsidRPr="004E4188">
              <w:t>Le Maître d’ouvrage doit sélectionner une des deux options ci-dessous :</w:t>
            </w:r>
          </w:p>
          <w:p w14:paraId="27FE6FEE" w14:textId="77777777" w:rsidR="007049A5" w:rsidRPr="004E4188" w:rsidRDefault="007049A5" w:rsidP="006C6267">
            <w:pPr>
              <w:spacing w:afterLines="50" w:after="120"/>
              <w:ind w:left="397" w:hanging="397"/>
            </w:pPr>
            <w:r w:rsidRPr="004E4188">
              <w:t>a)</w:t>
            </w:r>
            <w:r w:rsidRPr="004E4188">
              <w:tab/>
              <w:t>l’Option I : si une préqualification a eu lieu préalablement à la procédure d’appel d’offres.</w:t>
            </w:r>
          </w:p>
          <w:p w14:paraId="6718CDB5" w14:textId="77777777" w:rsidR="007049A5" w:rsidRPr="004E4188" w:rsidRDefault="007049A5" w:rsidP="006C6267">
            <w:pPr>
              <w:spacing w:afterLines="50" w:after="120"/>
              <w:ind w:left="397" w:hanging="397"/>
            </w:pPr>
            <w:r w:rsidRPr="004E4188">
              <w:t>b)</w:t>
            </w:r>
            <w:r w:rsidRPr="004E4188">
              <w:tab/>
              <w:t>l’Option II : dans le cas où les qualifications des Soumissionnaires seraient vérifiées durant l’appel d’offres</w:t>
            </w:r>
            <w:r w:rsidRPr="004E4188">
              <w:rPr>
                <w:i/>
              </w:rPr>
              <w:t>.</w:t>
            </w:r>
          </w:p>
        </w:tc>
      </w:tr>
    </w:tbl>
    <w:p w14:paraId="1F877F54" w14:textId="77777777" w:rsidR="007049A5" w:rsidRPr="004E4188" w:rsidRDefault="007049A5" w:rsidP="00D55904">
      <w:pPr>
        <w:suppressAutoHyphens w:val="0"/>
        <w:overflowPunct/>
        <w:autoSpaceDE/>
        <w:autoSpaceDN/>
        <w:adjustRightInd/>
        <w:textAlignment w:val="auto"/>
      </w:pPr>
    </w:p>
    <w:p w14:paraId="2C2C7E27" w14:textId="77777777" w:rsidR="007049A5" w:rsidRPr="004E4188" w:rsidRDefault="007049A5" w:rsidP="00D55904">
      <w:pPr>
        <w:suppressAutoHyphens w:val="0"/>
        <w:overflowPunct/>
        <w:autoSpaceDE/>
        <w:autoSpaceDN/>
        <w:adjustRightInd/>
        <w:textAlignment w:val="auto"/>
      </w:pPr>
    </w:p>
    <w:p w14:paraId="41F06054" w14:textId="77777777" w:rsidR="007049A5" w:rsidRPr="004E4188" w:rsidRDefault="007049A5" w:rsidP="00BE6B88">
      <w:pPr>
        <w:tabs>
          <w:tab w:val="left" w:pos="2610"/>
        </w:tabs>
        <w:spacing w:afterLines="100" w:after="240"/>
        <w:rPr>
          <w:rFonts w:ascii="Arial" w:hAnsi="Arial"/>
          <w:spacing w:val="-2"/>
          <w:sz w:val="28"/>
          <w:szCs w:val="28"/>
          <w:u w:val="single"/>
        </w:rPr>
      </w:pPr>
      <w:r w:rsidRPr="004E4188">
        <w:rPr>
          <w:iCs/>
          <w:sz w:val="28"/>
          <w:szCs w:val="28"/>
          <w:u w:val="single"/>
        </w:rPr>
        <w:t>[</w:t>
      </w:r>
      <w:r w:rsidRPr="004E4188">
        <w:rPr>
          <w:i/>
          <w:iCs/>
          <w:sz w:val="28"/>
          <w:szCs w:val="28"/>
          <w:u w:val="single"/>
        </w:rPr>
        <w:t>Option I : après préqualification</w:t>
      </w:r>
      <w:r w:rsidRPr="004E4188">
        <w:rPr>
          <w:iCs/>
          <w:sz w:val="28"/>
          <w:szCs w:val="28"/>
          <w:u w:val="single"/>
        </w:rPr>
        <w:t>]</w:t>
      </w:r>
    </w:p>
    <w:p w14:paraId="3DAC5F44" w14:textId="77777777" w:rsidR="007049A5" w:rsidRPr="004E4188" w:rsidRDefault="007049A5" w:rsidP="006C6267">
      <w:pPr>
        <w:suppressAutoHyphens w:val="0"/>
        <w:overflowPunct/>
        <w:autoSpaceDE/>
        <w:autoSpaceDN/>
        <w:adjustRightInd/>
        <w:textAlignment w:val="auto"/>
      </w:pPr>
      <w:r w:rsidRPr="004E4188">
        <w:t>Conformément à l’Article 2 de la Section III, Critères d’évaluation et de qualification, les Soumissionnaires doivent actualiser, en utilisant les formulaires ci-après, les renseignements fournis lors de la préqualification correspondant au Marché pour lequel l’appel d’offres est lancé, afin d’établir qu’ils continuent de satisfaire aux critères de préqualification :</w:t>
      </w:r>
    </w:p>
    <w:p w14:paraId="18CF8AFF" w14:textId="77777777" w:rsidR="007049A5" w:rsidRPr="004E4188" w:rsidRDefault="007049A5" w:rsidP="00672379">
      <w:pPr>
        <w:suppressAutoHyphens w:val="0"/>
        <w:overflowPunct/>
        <w:autoSpaceDE/>
        <w:autoSpaceDN/>
        <w:adjustRightInd/>
        <w:ind w:leftChars="150" w:left="360"/>
        <w:textAlignment w:val="auto"/>
      </w:pPr>
    </w:p>
    <w:p w14:paraId="6D142390" w14:textId="77777777" w:rsidR="007049A5" w:rsidRPr="004E4188" w:rsidRDefault="007049A5" w:rsidP="006C6267">
      <w:pPr>
        <w:suppressAutoHyphens w:val="0"/>
        <w:overflowPunct/>
        <w:autoSpaceDE/>
        <w:autoSpaceDN/>
        <w:adjustRightInd/>
        <w:textAlignment w:val="auto"/>
      </w:pPr>
      <w:r w:rsidRPr="004E4188">
        <w:t>Formulaire ELI-1 Renseignements sur le Soumissionnaire</w:t>
      </w:r>
    </w:p>
    <w:p w14:paraId="38A53DBB" w14:textId="77777777" w:rsidR="007049A5" w:rsidRPr="004E4188" w:rsidRDefault="007049A5" w:rsidP="006C6267">
      <w:pPr>
        <w:suppressAutoHyphens w:val="0"/>
        <w:overflowPunct/>
        <w:autoSpaceDE/>
        <w:autoSpaceDN/>
        <w:adjustRightInd/>
        <w:textAlignment w:val="auto"/>
      </w:pPr>
      <w:r w:rsidRPr="004E4188">
        <w:t>Formulaire ELI-2 Renseignements sur chaque membre du Groupement</w:t>
      </w:r>
    </w:p>
    <w:p w14:paraId="363DF07F" w14:textId="77777777" w:rsidR="007049A5" w:rsidRPr="004E4188" w:rsidRDefault="007049A5" w:rsidP="006C6267">
      <w:pPr>
        <w:suppressAutoHyphens w:val="0"/>
        <w:overflowPunct/>
        <w:autoSpaceDE/>
        <w:autoSpaceDN/>
        <w:adjustRightInd/>
        <w:textAlignment w:val="auto"/>
      </w:pPr>
      <w:r w:rsidRPr="004E4188">
        <w:t>Formulaire ELI-3 Renseignements sur chaque sous-traitant</w:t>
      </w:r>
    </w:p>
    <w:p w14:paraId="01400F82" w14:textId="77777777" w:rsidR="007049A5" w:rsidRPr="004E4188" w:rsidRDefault="007049A5" w:rsidP="006C6267">
      <w:pPr>
        <w:suppressAutoHyphens w:val="0"/>
        <w:overflowPunct/>
        <w:autoSpaceDE/>
        <w:autoSpaceDN/>
        <w:adjustRightInd/>
        <w:textAlignment w:val="auto"/>
      </w:pPr>
      <w:r w:rsidRPr="004E4188">
        <w:t>Formulaire CON Antécédents de non-exécution de marchés et litiges</w:t>
      </w:r>
    </w:p>
    <w:p w14:paraId="119F99C3" w14:textId="77777777" w:rsidR="007049A5" w:rsidRPr="004E4188" w:rsidRDefault="007049A5" w:rsidP="006C6267">
      <w:pPr>
        <w:suppressAutoHyphens w:val="0"/>
        <w:overflowPunct/>
        <w:autoSpaceDE/>
        <w:autoSpaceDN/>
        <w:adjustRightInd/>
        <w:textAlignment w:val="auto"/>
      </w:pPr>
      <w:r w:rsidRPr="004E4188">
        <w:t>Formulaire FIN-1 Situation financière</w:t>
      </w:r>
    </w:p>
    <w:p w14:paraId="32DA95C6" w14:textId="77777777" w:rsidR="007049A5" w:rsidRPr="004E4188" w:rsidRDefault="007049A5" w:rsidP="006C6267">
      <w:pPr>
        <w:suppressAutoHyphens w:val="0"/>
        <w:overflowPunct/>
        <w:autoSpaceDE/>
        <w:autoSpaceDN/>
        <w:adjustRightInd/>
        <w:textAlignment w:val="auto"/>
      </w:pPr>
      <w:r w:rsidRPr="004E4188">
        <w:t>Formulaire FIN-2 Chiffre d’affaires annuel moyen</w:t>
      </w:r>
    </w:p>
    <w:p w14:paraId="06B09A4C" w14:textId="77777777" w:rsidR="007049A5" w:rsidRPr="004E4188" w:rsidRDefault="007049A5" w:rsidP="006C6267">
      <w:pPr>
        <w:suppressAutoHyphens w:val="0"/>
        <w:overflowPunct/>
        <w:autoSpaceDE/>
        <w:autoSpaceDN/>
        <w:adjustRightInd/>
        <w:textAlignment w:val="auto"/>
      </w:pPr>
      <w:r w:rsidRPr="004E4188">
        <w:t>Formulaire FIN-3 Capacités financières</w:t>
      </w:r>
    </w:p>
    <w:p w14:paraId="401C0AC5" w14:textId="77777777" w:rsidR="007049A5" w:rsidRPr="004E4188" w:rsidRDefault="007049A5" w:rsidP="006C6267">
      <w:pPr>
        <w:suppressAutoHyphens w:val="0"/>
        <w:overflowPunct/>
        <w:autoSpaceDE/>
        <w:autoSpaceDN/>
        <w:adjustRightInd/>
        <w:textAlignment w:val="auto"/>
        <w:rPr>
          <w:lang w:eastAsia="ja-JP"/>
        </w:rPr>
      </w:pPr>
      <w:r w:rsidRPr="004E4188">
        <w:t>Formulaire FIN-</w:t>
      </w:r>
      <w:r w:rsidRPr="004E4188">
        <w:rPr>
          <w:lang w:eastAsia="ja-JP"/>
        </w:rPr>
        <w:t>4 Engagements actuels</w:t>
      </w:r>
    </w:p>
    <w:p w14:paraId="0ED60FC2" w14:textId="77777777" w:rsidR="007049A5" w:rsidRPr="004E4188" w:rsidRDefault="007049A5" w:rsidP="00E3058E">
      <w:pPr>
        <w:tabs>
          <w:tab w:val="left" w:pos="2610"/>
        </w:tabs>
        <w:spacing w:afterLines="50" w:after="120"/>
      </w:pPr>
    </w:p>
    <w:p w14:paraId="45273BBA" w14:textId="77777777" w:rsidR="007049A5" w:rsidRPr="004E4188" w:rsidRDefault="007049A5" w:rsidP="006C6267">
      <w:pPr>
        <w:tabs>
          <w:tab w:val="left" w:pos="2610"/>
        </w:tabs>
        <w:spacing w:afterLines="100" w:after="240"/>
        <w:rPr>
          <w:rFonts w:ascii="Arial" w:hAnsi="Arial"/>
          <w:spacing w:val="-2"/>
          <w:sz w:val="28"/>
          <w:szCs w:val="28"/>
          <w:u w:val="single"/>
        </w:rPr>
      </w:pPr>
      <w:r w:rsidRPr="004E4188">
        <w:rPr>
          <w:iCs/>
          <w:sz w:val="28"/>
          <w:szCs w:val="28"/>
          <w:u w:val="single"/>
        </w:rPr>
        <w:t>[</w:t>
      </w:r>
      <w:r w:rsidRPr="004E4188">
        <w:rPr>
          <w:i/>
          <w:iCs/>
          <w:sz w:val="28"/>
          <w:szCs w:val="28"/>
          <w:u w:val="single"/>
        </w:rPr>
        <w:t>Option II : sans préqualification</w:t>
      </w:r>
      <w:r w:rsidRPr="004E4188">
        <w:rPr>
          <w:iCs/>
          <w:sz w:val="28"/>
          <w:szCs w:val="28"/>
          <w:u w:val="single"/>
        </w:rPr>
        <w:t>]</w:t>
      </w:r>
    </w:p>
    <w:p w14:paraId="0D2B1588" w14:textId="77777777" w:rsidR="007049A5" w:rsidRPr="004E4188" w:rsidRDefault="007049A5" w:rsidP="006C6267">
      <w:pPr>
        <w:suppressAutoHyphens w:val="0"/>
        <w:overflowPunct/>
        <w:autoSpaceDE/>
        <w:autoSpaceDN/>
        <w:adjustRightInd/>
        <w:textAlignment w:val="auto"/>
      </w:pPr>
      <w:r w:rsidRPr="004E4188">
        <w:t>Pour établir qu’ils satisfont aux critères de qualification nécessaires pour exécuter le Marché, comme indiqué à la Section III, Critères d’évaluation et de qualification, les Soumissionnaires doivent fournir les renseignements demandés dans les formulaires suivants :</w:t>
      </w:r>
    </w:p>
    <w:p w14:paraId="48E5B668" w14:textId="77777777" w:rsidR="007049A5" w:rsidRPr="004E4188" w:rsidRDefault="007049A5" w:rsidP="006C6267">
      <w:pPr>
        <w:suppressAutoHyphens w:val="0"/>
        <w:overflowPunct/>
        <w:autoSpaceDE/>
        <w:autoSpaceDN/>
        <w:adjustRightInd/>
        <w:textAlignment w:val="auto"/>
      </w:pPr>
    </w:p>
    <w:p w14:paraId="2F938FDF" w14:textId="77777777" w:rsidR="007049A5" w:rsidRPr="004E4188" w:rsidRDefault="007049A5" w:rsidP="006C6267">
      <w:pPr>
        <w:suppressAutoHyphens w:val="0"/>
        <w:overflowPunct/>
        <w:autoSpaceDE/>
        <w:autoSpaceDN/>
        <w:adjustRightInd/>
        <w:textAlignment w:val="auto"/>
      </w:pPr>
      <w:r w:rsidRPr="004E4188">
        <w:t>Formulaire ELI-1 Renseignements sur le Soumissionnaire</w:t>
      </w:r>
    </w:p>
    <w:p w14:paraId="4B031A8E" w14:textId="77777777" w:rsidR="007049A5" w:rsidRPr="004E4188" w:rsidRDefault="007049A5" w:rsidP="006C6267">
      <w:r w:rsidRPr="004E4188">
        <w:t xml:space="preserve">Formulaire ELI-2 Renseignements sur chaque </w:t>
      </w:r>
      <w:r w:rsidRPr="004E4188">
        <w:rPr>
          <w:szCs w:val="24"/>
          <w:lang w:eastAsia="ja-JP"/>
        </w:rPr>
        <w:t>membre du Groupement</w:t>
      </w:r>
    </w:p>
    <w:p w14:paraId="511E8A6F" w14:textId="77777777" w:rsidR="007049A5" w:rsidRPr="004E4188" w:rsidRDefault="007049A5" w:rsidP="006C6267">
      <w:pPr>
        <w:rPr>
          <w:lang w:eastAsia="ja-JP"/>
        </w:rPr>
      </w:pPr>
      <w:r w:rsidRPr="004E4188">
        <w:rPr>
          <w:lang w:eastAsia="ja-JP"/>
        </w:rPr>
        <w:t>Formulaire ELI-3 Renseignements sur chaque sous-traitant</w:t>
      </w:r>
    </w:p>
    <w:p w14:paraId="1BB19DCB" w14:textId="77777777" w:rsidR="007049A5" w:rsidRPr="004E4188" w:rsidRDefault="007049A5" w:rsidP="006C6267">
      <w:r w:rsidRPr="004E4188">
        <w:t xml:space="preserve">Formulaire CON Antécédents de non-exécution de marchés </w:t>
      </w:r>
      <w:r w:rsidRPr="004E4188">
        <w:rPr>
          <w:lang w:eastAsia="ja-JP"/>
        </w:rPr>
        <w:t>et litiges</w:t>
      </w:r>
    </w:p>
    <w:p w14:paraId="07FF2394" w14:textId="77777777" w:rsidR="007049A5" w:rsidRPr="004E4188" w:rsidRDefault="007049A5" w:rsidP="006C6267">
      <w:r w:rsidRPr="004E4188">
        <w:t>Formulaire FIN-1 Situation financière</w:t>
      </w:r>
    </w:p>
    <w:p w14:paraId="6204AC65" w14:textId="77777777" w:rsidR="007049A5" w:rsidRPr="004E4188" w:rsidRDefault="007049A5" w:rsidP="006C6267">
      <w:r w:rsidRPr="004E4188">
        <w:t>Formulaire FIN-2 Chiffre d’affaires annuel moyen</w:t>
      </w:r>
    </w:p>
    <w:p w14:paraId="68569168" w14:textId="77777777" w:rsidR="007049A5" w:rsidRPr="004E4188" w:rsidRDefault="007049A5" w:rsidP="006C6267">
      <w:r w:rsidRPr="004E4188">
        <w:t>Formulaire FIN-3 Capacités financières</w:t>
      </w:r>
    </w:p>
    <w:p w14:paraId="5C152024" w14:textId="77777777" w:rsidR="007049A5" w:rsidRPr="004E4188" w:rsidRDefault="007049A5" w:rsidP="006C6267">
      <w:r w:rsidRPr="004E4188">
        <w:t>Formulaire FIN-4 Engagements actuels</w:t>
      </w:r>
    </w:p>
    <w:p w14:paraId="317EEB5B" w14:textId="77777777" w:rsidR="007049A5" w:rsidRPr="004E4188" w:rsidRDefault="007049A5" w:rsidP="006C6267">
      <w:r w:rsidRPr="004E4188">
        <w:t>Formulaire EXP-1 Expérience générale</w:t>
      </w:r>
    </w:p>
    <w:p w14:paraId="6D17D993" w14:textId="77777777" w:rsidR="007049A5" w:rsidRPr="004E4188" w:rsidRDefault="007049A5" w:rsidP="006C6267">
      <w:r w:rsidRPr="004E4188">
        <w:t>Formulaire EXP-2(a) Expérience spécifique</w:t>
      </w:r>
    </w:p>
    <w:p w14:paraId="4702BC3C" w14:textId="77777777" w:rsidR="007049A5" w:rsidRPr="004E4188" w:rsidRDefault="007049A5" w:rsidP="006C6267">
      <w:r w:rsidRPr="004E4188">
        <w:t>Formulaire EXP-2(b) Expérience dans les activités principales</w:t>
      </w:r>
    </w:p>
    <w:p w14:paraId="4EFC2FEC" w14:textId="77777777" w:rsidR="007049A5" w:rsidRPr="0006470B" w:rsidRDefault="007049A5" w:rsidP="008F1DFA">
      <w:pPr>
        <w:pStyle w:val="Subtitle2"/>
        <w:rPr>
          <w:sz w:val="28"/>
          <w:lang w:val="fr-FR"/>
        </w:rPr>
      </w:pPr>
      <w:r w:rsidRPr="0006470B">
        <w:rPr>
          <w:lang w:val="fr-FR"/>
        </w:rPr>
        <w:br w:type="page"/>
      </w:r>
    </w:p>
    <w:p w14:paraId="3BC760AE" w14:textId="52163254" w:rsidR="007049A5" w:rsidRPr="004E4188" w:rsidRDefault="007049A5" w:rsidP="006C6267">
      <w:pPr>
        <w:pStyle w:val="SectionIVHeading2"/>
        <w:outlineLvl w:val="2"/>
        <w:rPr>
          <w:sz w:val="32"/>
          <w:szCs w:val="32"/>
          <w:lang w:val="fr-FR"/>
        </w:rPr>
      </w:pPr>
      <w:bookmarkStart w:id="594" w:name="_Toc327863878"/>
      <w:bookmarkStart w:id="595" w:name="_Toc349117751"/>
      <w:bookmarkStart w:id="596" w:name="_Toc357513232"/>
      <w:bookmarkStart w:id="597" w:name="_Toc112429325"/>
      <w:r w:rsidRPr="004E4188">
        <w:rPr>
          <w:sz w:val="32"/>
          <w:szCs w:val="32"/>
          <w:lang w:val="fr-FR"/>
        </w:rPr>
        <w:t>Formulaire ELI-1</w:t>
      </w:r>
      <w:r w:rsidRPr="004E4188">
        <w:rPr>
          <w:sz w:val="32"/>
          <w:szCs w:val="32"/>
          <w:lang w:val="fr-FR"/>
        </w:rPr>
        <w:br/>
        <w:t>Renseignements sur le Soumissionnaire</w:t>
      </w:r>
      <w:bookmarkEnd w:id="594"/>
      <w:bookmarkEnd w:id="595"/>
      <w:bookmarkEnd w:id="596"/>
      <w:bookmarkEnd w:id="597"/>
    </w:p>
    <w:p w14:paraId="6AD4B4EC" w14:textId="7FCA6DCE" w:rsidR="007049A5" w:rsidRPr="004E4188" w:rsidRDefault="007049A5" w:rsidP="003349F2">
      <w:pPr>
        <w:wordWrap w:val="0"/>
        <w:jc w:val="right"/>
      </w:pPr>
      <w:r w:rsidRPr="004E4188">
        <w:t xml:space="preserve">Date : </w:t>
      </w:r>
      <w:r w:rsidRPr="004E4188">
        <w:rPr>
          <w:iCs/>
        </w:rPr>
        <w:t>[</w:t>
      </w:r>
      <w:r w:rsidRPr="004E4188">
        <w:rPr>
          <w:i/>
          <w:iCs/>
        </w:rPr>
        <w:t>indiquer jour, mois, année</w:t>
      </w:r>
      <w:r w:rsidRPr="004E4188">
        <w:rPr>
          <w:iCs/>
        </w:rPr>
        <w:t>]</w:t>
      </w:r>
    </w:p>
    <w:p w14:paraId="7D2DA709" w14:textId="77777777" w:rsidR="007049A5" w:rsidRPr="004E4188" w:rsidRDefault="007049A5" w:rsidP="00626DCA">
      <w:pPr>
        <w:jc w:val="right"/>
        <w:rPr>
          <w:i/>
          <w:iCs/>
        </w:rPr>
      </w:pPr>
      <w:r w:rsidRPr="004E4188">
        <w:t>AAO n</w:t>
      </w:r>
      <w:r w:rsidRPr="004E4188">
        <w:rPr>
          <w:vertAlign w:val="superscript"/>
        </w:rPr>
        <w:t>o</w:t>
      </w:r>
      <w:r w:rsidRPr="004E4188">
        <w:t xml:space="preserve"> : </w:t>
      </w:r>
      <w:r w:rsidRPr="004E4188">
        <w:rPr>
          <w:iCs/>
        </w:rPr>
        <w:t>[</w:t>
      </w:r>
      <w:r w:rsidRPr="004E4188">
        <w:rPr>
          <w:i/>
          <w:iCs/>
        </w:rPr>
        <w:t>indiquer le numéro</w:t>
      </w:r>
      <w:r w:rsidRPr="004E4188">
        <w:rPr>
          <w:iCs/>
        </w:rPr>
        <w:t>]</w:t>
      </w:r>
    </w:p>
    <w:p w14:paraId="5B6DF449" w14:textId="083A9ED1" w:rsidR="007049A5" w:rsidRPr="004E4188" w:rsidRDefault="007049A5" w:rsidP="00626DCA">
      <w:pPr>
        <w:wordWrap w:val="0"/>
        <w:jc w:val="right"/>
        <w:rPr>
          <w:i/>
          <w:iCs/>
          <w:spacing w:val="-4"/>
        </w:rPr>
      </w:pPr>
      <w:r w:rsidRPr="004E4188">
        <w:rPr>
          <w:iCs/>
          <w:spacing w:val="-4"/>
        </w:rPr>
        <w:t>Page</w:t>
      </w:r>
      <w:r w:rsidR="008729D9" w:rsidRPr="004E4188">
        <w:rPr>
          <w:iCs/>
          <w:spacing w:val="-4"/>
        </w:rPr>
        <w:t> </w:t>
      </w:r>
      <w:r w:rsidRPr="004E4188">
        <w:rPr>
          <w:spacing w:val="-4"/>
        </w:rPr>
        <w:t xml:space="preserve">: </w:t>
      </w:r>
      <w:r w:rsidRPr="004E4188">
        <w:rPr>
          <w:iCs/>
          <w:spacing w:val="-4"/>
        </w:rPr>
        <w:t>[</w:t>
      </w:r>
      <w:r w:rsidRPr="004E4188">
        <w:rPr>
          <w:i/>
          <w:iCs/>
          <w:spacing w:val="-4"/>
        </w:rPr>
        <w:t>indiquer le numéro de la page</w:t>
      </w:r>
      <w:r w:rsidRPr="004E4188">
        <w:rPr>
          <w:iCs/>
          <w:spacing w:val="-4"/>
        </w:rPr>
        <w:t>] de [</w:t>
      </w:r>
      <w:r w:rsidRPr="004E4188">
        <w:rPr>
          <w:i/>
          <w:iCs/>
          <w:spacing w:val="-4"/>
        </w:rPr>
        <w:t>indiquer le nombre total de</w:t>
      </w:r>
      <w:r w:rsidRPr="004E4188">
        <w:rPr>
          <w:iCs/>
          <w:spacing w:val="-4"/>
        </w:rPr>
        <w:t>] pages</w:t>
      </w:r>
    </w:p>
    <w:p w14:paraId="244183A4" w14:textId="77777777" w:rsidR="007049A5" w:rsidRPr="004E4188" w:rsidRDefault="007049A5" w:rsidP="00626DCA">
      <w:pPr>
        <w:tabs>
          <w:tab w:val="right" w:pos="9000"/>
        </w:tabs>
        <w:jc w:val="right"/>
      </w:pPr>
    </w:p>
    <w:p w14:paraId="0063EC5F" w14:textId="77777777" w:rsidR="007049A5" w:rsidRPr="004E4188" w:rsidRDefault="007049A5" w:rsidP="00BE6B88">
      <w:pPr>
        <w:numPr>
          <w:ilvl w:val="12"/>
          <w:numId w:val="0"/>
        </w:numPr>
        <w:spacing w:afterLines="50" w:after="120"/>
        <w:rPr>
          <w:spacing w:val="-2"/>
        </w:rPr>
      </w:pPr>
      <w:r w:rsidRPr="004E4188">
        <w:rPr>
          <w:iCs/>
        </w:rPr>
        <w:t>[</w:t>
      </w:r>
      <w:r w:rsidRPr="004E4188">
        <w:rPr>
          <w:i/>
          <w:iCs/>
        </w:rPr>
        <w:t>Les Soumissionnaires doivent fournir les renseignements suivants. Les documents cités comme requis doivent être remis en tant que pièces jointes aux présentes.</w:t>
      </w:r>
      <w:r w:rsidRPr="004E4188">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7049A5" w:rsidRPr="004E4188" w14:paraId="011566F9" w14:textId="77777777" w:rsidTr="008F7565">
        <w:trPr>
          <w:cantSplit/>
          <w:trHeight w:val="440"/>
        </w:trPr>
        <w:tc>
          <w:tcPr>
            <w:tcW w:w="9137" w:type="dxa"/>
          </w:tcPr>
          <w:p w14:paraId="146F980F" w14:textId="77777777" w:rsidR="007049A5" w:rsidRPr="004E4188" w:rsidRDefault="007049A5" w:rsidP="006C6267">
            <w:pPr>
              <w:pStyle w:val="Outline"/>
              <w:numPr>
                <w:ilvl w:val="12"/>
                <w:numId w:val="0"/>
              </w:numPr>
              <w:suppressAutoHyphens/>
              <w:spacing w:before="40" w:after="120"/>
              <w:ind w:left="354" w:hangingChars="150" w:hanging="354"/>
              <w:rPr>
                <w:i/>
                <w:iCs/>
              </w:rPr>
            </w:pPr>
            <w:r w:rsidRPr="004E4188">
              <w:rPr>
                <w:spacing w:val="-2"/>
                <w:kern w:val="0"/>
              </w:rPr>
              <w:t>Nom</w:t>
            </w:r>
            <w:r w:rsidRPr="004E4188">
              <w:rPr>
                <w:spacing w:val="-2"/>
              </w:rPr>
              <w:t xml:space="preserve"> légal du Soumissionnaire :</w:t>
            </w:r>
            <w:r w:rsidRPr="004E4188">
              <w:rPr>
                <w:i/>
                <w:iCs/>
              </w:rPr>
              <w:t xml:space="preserve"> </w:t>
            </w:r>
          </w:p>
          <w:p w14:paraId="18293CFD" w14:textId="77777777" w:rsidR="007049A5" w:rsidRPr="004E4188" w:rsidRDefault="007049A5" w:rsidP="006C6267">
            <w:pPr>
              <w:numPr>
                <w:ilvl w:val="12"/>
                <w:numId w:val="0"/>
              </w:numPr>
              <w:spacing w:before="40" w:after="40"/>
            </w:pPr>
            <w:r w:rsidRPr="004E4188">
              <w:rPr>
                <w:iCs/>
              </w:rPr>
              <w:t>[</w:t>
            </w:r>
            <w:r w:rsidRPr="004E4188">
              <w:rPr>
                <w:i/>
                <w:iCs/>
              </w:rPr>
              <w:t xml:space="preserve">indiquer le </w:t>
            </w:r>
            <w:r w:rsidRPr="004E4188">
              <w:rPr>
                <w:i/>
                <w:spacing w:val="-2"/>
              </w:rPr>
              <w:t>nom complet</w:t>
            </w:r>
            <w:r w:rsidRPr="004E4188">
              <w:rPr>
                <w:iCs/>
              </w:rPr>
              <w:t>]</w:t>
            </w:r>
          </w:p>
        </w:tc>
      </w:tr>
      <w:tr w:rsidR="007049A5" w:rsidRPr="004E4188" w14:paraId="0C29937B" w14:textId="77777777" w:rsidTr="008F7565">
        <w:trPr>
          <w:cantSplit/>
          <w:trHeight w:val="674"/>
        </w:trPr>
        <w:tc>
          <w:tcPr>
            <w:tcW w:w="9137" w:type="dxa"/>
          </w:tcPr>
          <w:p w14:paraId="2D1C18CF" w14:textId="77777777" w:rsidR="007049A5" w:rsidRPr="004E4188" w:rsidRDefault="007049A5" w:rsidP="006C6267">
            <w:pPr>
              <w:pStyle w:val="Outline"/>
              <w:numPr>
                <w:ilvl w:val="12"/>
                <w:numId w:val="0"/>
              </w:numPr>
              <w:suppressAutoHyphens/>
              <w:spacing w:before="40" w:after="120"/>
              <w:ind w:left="354" w:hangingChars="150" w:hanging="354"/>
              <w:rPr>
                <w:spacing w:val="-2"/>
              </w:rPr>
            </w:pPr>
            <w:r w:rsidRPr="004E4188">
              <w:rPr>
                <w:spacing w:val="-2"/>
              </w:rPr>
              <w:t xml:space="preserve">Dans le </w:t>
            </w:r>
            <w:r w:rsidRPr="004E4188">
              <w:rPr>
                <w:spacing w:val="-2"/>
                <w:kern w:val="0"/>
              </w:rPr>
              <w:t>cas</w:t>
            </w:r>
            <w:r w:rsidRPr="004E4188">
              <w:rPr>
                <w:spacing w:val="-2"/>
              </w:rPr>
              <w:t xml:space="preserve"> d’un Groupement, nom légal du représentant habilité et de chaque membre :</w:t>
            </w:r>
          </w:p>
          <w:p w14:paraId="29F08BA2" w14:textId="77777777" w:rsidR="007049A5" w:rsidRPr="004E4188" w:rsidRDefault="007049A5" w:rsidP="006C6267">
            <w:pPr>
              <w:numPr>
                <w:ilvl w:val="12"/>
                <w:numId w:val="0"/>
              </w:numPr>
              <w:spacing w:before="40" w:after="40"/>
              <w:rPr>
                <w:spacing w:val="-2"/>
              </w:rPr>
            </w:pPr>
            <w:r w:rsidRPr="004E4188">
              <w:rPr>
                <w:iCs/>
              </w:rPr>
              <w:t>[</w:t>
            </w:r>
            <w:r w:rsidRPr="004E4188">
              <w:rPr>
                <w:i/>
                <w:iCs/>
              </w:rPr>
              <w:t xml:space="preserve">indiquer le </w:t>
            </w:r>
            <w:r w:rsidRPr="004E4188">
              <w:rPr>
                <w:i/>
                <w:spacing w:val="-2"/>
              </w:rPr>
              <w:t>nom complet de chaque membre du Groupement et préciser le représentant habilité</w:t>
            </w:r>
            <w:r w:rsidRPr="004E4188">
              <w:rPr>
                <w:iCs/>
              </w:rPr>
              <w:t>]</w:t>
            </w:r>
          </w:p>
        </w:tc>
      </w:tr>
      <w:tr w:rsidR="007049A5" w:rsidRPr="004E4188" w14:paraId="690B9101" w14:textId="77777777" w:rsidTr="008F7565">
        <w:trPr>
          <w:cantSplit/>
          <w:trHeight w:val="674"/>
        </w:trPr>
        <w:tc>
          <w:tcPr>
            <w:tcW w:w="9137" w:type="dxa"/>
          </w:tcPr>
          <w:p w14:paraId="320B900E" w14:textId="77777777" w:rsidR="007049A5" w:rsidRPr="004E4188" w:rsidRDefault="007049A5" w:rsidP="006C6267">
            <w:pPr>
              <w:pStyle w:val="Outline"/>
              <w:numPr>
                <w:ilvl w:val="12"/>
                <w:numId w:val="0"/>
              </w:numPr>
              <w:suppressAutoHyphens/>
              <w:spacing w:before="40" w:after="120"/>
              <w:ind w:left="354" w:hangingChars="150" w:hanging="354"/>
            </w:pPr>
            <w:r w:rsidRPr="004E4188">
              <w:rPr>
                <w:spacing w:val="-2"/>
                <w:kern w:val="0"/>
              </w:rPr>
              <w:t>Pays</w:t>
            </w:r>
            <w:r w:rsidRPr="004E4188">
              <w:t xml:space="preserve"> où le Soumissionnaire est constitué ou a l’intention de se constituer en société :</w:t>
            </w:r>
          </w:p>
          <w:p w14:paraId="00A22FAC" w14:textId="77777777" w:rsidR="007049A5" w:rsidRPr="004E4188" w:rsidRDefault="007049A5" w:rsidP="006C6267">
            <w:pPr>
              <w:numPr>
                <w:ilvl w:val="12"/>
                <w:numId w:val="0"/>
              </w:numPr>
              <w:spacing w:before="40" w:after="40"/>
            </w:pPr>
            <w:r w:rsidRPr="004E4188">
              <w:rPr>
                <w:iCs/>
              </w:rPr>
              <w:t>[</w:t>
            </w:r>
            <w:r w:rsidRPr="004E4188">
              <w:rPr>
                <w:i/>
                <w:iCs/>
              </w:rPr>
              <w:t>indiquer le pays de constitution</w:t>
            </w:r>
            <w:r w:rsidRPr="004E4188">
              <w:rPr>
                <w:iCs/>
              </w:rPr>
              <w:t>]</w:t>
            </w:r>
          </w:p>
        </w:tc>
      </w:tr>
      <w:tr w:rsidR="007049A5" w:rsidRPr="004E4188" w14:paraId="5419E391" w14:textId="77777777" w:rsidTr="008F7565">
        <w:trPr>
          <w:cantSplit/>
          <w:trHeight w:val="674"/>
        </w:trPr>
        <w:tc>
          <w:tcPr>
            <w:tcW w:w="9137" w:type="dxa"/>
          </w:tcPr>
          <w:p w14:paraId="7BC6C40E" w14:textId="77777777" w:rsidR="007049A5" w:rsidRPr="004E4188" w:rsidRDefault="007049A5" w:rsidP="00EB2748">
            <w:pPr>
              <w:pStyle w:val="Outline"/>
              <w:numPr>
                <w:ilvl w:val="12"/>
                <w:numId w:val="0"/>
              </w:numPr>
              <w:tabs>
                <w:tab w:val="left" w:pos="360"/>
              </w:tabs>
              <w:suppressAutoHyphens/>
              <w:spacing w:before="40" w:after="120"/>
              <w:ind w:left="354" w:hangingChars="150" w:hanging="354"/>
              <w:rPr>
                <w:spacing w:val="-2"/>
              </w:rPr>
            </w:pPr>
            <w:r w:rsidRPr="004E4188">
              <w:rPr>
                <w:spacing w:val="-2"/>
              </w:rPr>
              <w:t xml:space="preserve">Année à </w:t>
            </w:r>
            <w:r w:rsidRPr="004E4188">
              <w:rPr>
                <w:spacing w:val="-2"/>
                <w:kern w:val="0"/>
              </w:rPr>
              <w:t>laquelle</w:t>
            </w:r>
            <w:r w:rsidRPr="004E4188">
              <w:rPr>
                <w:spacing w:val="-2"/>
              </w:rPr>
              <w:t xml:space="preserve"> le Soumissionnaire a été constitué ou entend se constituer en société : </w:t>
            </w:r>
          </w:p>
          <w:p w14:paraId="135C3996" w14:textId="77777777" w:rsidR="007049A5" w:rsidRPr="004E4188" w:rsidRDefault="007049A5" w:rsidP="006C6267">
            <w:pPr>
              <w:numPr>
                <w:ilvl w:val="12"/>
                <w:numId w:val="0"/>
              </w:numPr>
              <w:spacing w:before="40" w:after="40"/>
              <w:rPr>
                <w:spacing w:val="-2"/>
              </w:rPr>
            </w:pPr>
            <w:r w:rsidRPr="004E4188">
              <w:rPr>
                <w:iCs/>
              </w:rPr>
              <w:t>[</w:t>
            </w:r>
            <w:r w:rsidRPr="004E4188">
              <w:rPr>
                <w:i/>
                <w:iCs/>
              </w:rPr>
              <w:t>indiquer l’année de constitution</w:t>
            </w:r>
            <w:r w:rsidRPr="004E4188">
              <w:rPr>
                <w:iCs/>
              </w:rPr>
              <w:t>]</w:t>
            </w:r>
          </w:p>
        </w:tc>
      </w:tr>
      <w:tr w:rsidR="007049A5" w:rsidRPr="004E4188" w14:paraId="00CAEC12" w14:textId="77777777" w:rsidTr="008F7565">
        <w:trPr>
          <w:cantSplit/>
        </w:trPr>
        <w:tc>
          <w:tcPr>
            <w:tcW w:w="9137" w:type="dxa"/>
          </w:tcPr>
          <w:p w14:paraId="003C14BC" w14:textId="77777777" w:rsidR="007049A5" w:rsidRPr="004E4188" w:rsidRDefault="007049A5" w:rsidP="00EB2748">
            <w:pPr>
              <w:pStyle w:val="Outline"/>
              <w:numPr>
                <w:ilvl w:val="12"/>
                <w:numId w:val="0"/>
              </w:numPr>
              <w:tabs>
                <w:tab w:val="left" w:pos="360"/>
              </w:tabs>
              <w:suppressAutoHyphens/>
              <w:spacing w:before="40" w:after="120"/>
              <w:ind w:left="354" w:hangingChars="150" w:hanging="354"/>
              <w:rPr>
                <w:spacing w:val="-2"/>
                <w:kern w:val="0"/>
              </w:rPr>
            </w:pPr>
            <w:r w:rsidRPr="004E4188">
              <w:rPr>
                <w:spacing w:val="-2"/>
                <w:kern w:val="0"/>
              </w:rPr>
              <w:t>Adresse légale du Soumissionnaire dans le pays où il est constitué en société :</w:t>
            </w:r>
          </w:p>
          <w:p w14:paraId="1BF428B8" w14:textId="1EAF656E" w:rsidR="007049A5" w:rsidRPr="004E4188" w:rsidRDefault="007049A5" w:rsidP="006C6267">
            <w:pPr>
              <w:numPr>
                <w:ilvl w:val="12"/>
                <w:numId w:val="0"/>
              </w:numPr>
              <w:spacing w:before="40" w:after="40"/>
              <w:rPr>
                <w:spacing w:val="-2"/>
              </w:rPr>
            </w:pPr>
            <w:r w:rsidRPr="004E4188">
              <w:rPr>
                <w:iCs/>
              </w:rPr>
              <w:t>[</w:t>
            </w:r>
            <w:r w:rsidRPr="004E4188">
              <w:rPr>
                <w:i/>
                <w:iCs/>
              </w:rPr>
              <w:t>indiquer l’adresse postale</w:t>
            </w:r>
            <w:r w:rsidRPr="004E4188">
              <w:rPr>
                <w:iCs/>
              </w:rPr>
              <w:t>]</w:t>
            </w:r>
          </w:p>
        </w:tc>
      </w:tr>
      <w:tr w:rsidR="007049A5" w:rsidRPr="004E4188" w14:paraId="304163D1" w14:textId="77777777" w:rsidTr="008F7565">
        <w:trPr>
          <w:cantSplit/>
        </w:trPr>
        <w:tc>
          <w:tcPr>
            <w:tcW w:w="9137" w:type="dxa"/>
          </w:tcPr>
          <w:p w14:paraId="03CF2C82" w14:textId="77777777" w:rsidR="007049A5" w:rsidRPr="004E4188" w:rsidRDefault="007049A5" w:rsidP="00EB2748">
            <w:pPr>
              <w:pStyle w:val="Outline"/>
              <w:numPr>
                <w:ilvl w:val="12"/>
                <w:numId w:val="0"/>
              </w:numPr>
              <w:tabs>
                <w:tab w:val="left" w:pos="360"/>
              </w:tabs>
              <w:suppressAutoHyphens/>
              <w:spacing w:before="40" w:after="120"/>
              <w:ind w:left="354" w:hangingChars="150" w:hanging="354"/>
              <w:rPr>
                <w:spacing w:val="-2"/>
                <w:kern w:val="0"/>
              </w:rPr>
            </w:pPr>
            <w:r w:rsidRPr="004E4188">
              <w:rPr>
                <w:spacing w:val="-2"/>
                <w:kern w:val="0"/>
              </w:rPr>
              <w:t>Renseignements sur le représentant habilité du Soumissionnaire :</w:t>
            </w:r>
          </w:p>
          <w:p w14:paraId="3DEB3305" w14:textId="77777777" w:rsidR="007049A5" w:rsidRPr="004E4188" w:rsidRDefault="007049A5" w:rsidP="006C6267">
            <w:pPr>
              <w:numPr>
                <w:ilvl w:val="12"/>
                <w:numId w:val="0"/>
              </w:numPr>
              <w:spacing w:before="120" w:after="40"/>
              <w:rPr>
                <w:spacing w:val="-2"/>
              </w:rPr>
            </w:pPr>
            <w:r w:rsidRPr="004E4188">
              <w:rPr>
                <w:spacing w:val="-2"/>
              </w:rPr>
              <w:t xml:space="preserve">Nom : </w:t>
            </w:r>
            <w:r w:rsidRPr="004E4188">
              <w:rPr>
                <w:iCs/>
              </w:rPr>
              <w:t>[</w:t>
            </w:r>
            <w:r w:rsidRPr="004E4188">
              <w:rPr>
                <w:i/>
                <w:iCs/>
              </w:rPr>
              <w:t xml:space="preserve">indiquer le </w:t>
            </w:r>
            <w:r w:rsidRPr="004E4188">
              <w:rPr>
                <w:i/>
                <w:spacing w:val="-2"/>
              </w:rPr>
              <w:t>nom complet</w:t>
            </w:r>
            <w:r w:rsidRPr="004E4188">
              <w:rPr>
                <w:iCs/>
              </w:rPr>
              <w:t>]</w:t>
            </w:r>
          </w:p>
          <w:p w14:paraId="03112A35" w14:textId="77777777" w:rsidR="007049A5" w:rsidRPr="004E4188" w:rsidRDefault="007049A5" w:rsidP="006C6267">
            <w:pPr>
              <w:numPr>
                <w:ilvl w:val="12"/>
                <w:numId w:val="0"/>
              </w:numPr>
              <w:spacing w:before="120" w:after="40"/>
              <w:rPr>
                <w:spacing w:val="-2"/>
              </w:rPr>
            </w:pPr>
            <w:r w:rsidRPr="004E4188">
              <w:rPr>
                <w:spacing w:val="-2"/>
              </w:rPr>
              <w:t xml:space="preserve">Adresse : </w:t>
            </w:r>
            <w:r w:rsidRPr="004E4188">
              <w:rPr>
                <w:iCs/>
              </w:rPr>
              <w:t>[</w:t>
            </w:r>
            <w:r w:rsidRPr="004E4188">
              <w:rPr>
                <w:i/>
                <w:iCs/>
              </w:rPr>
              <w:t>indiquer l’adresse postale</w:t>
            </w:r>
            <w:r w:rsidRPr="004E4188">
              <w:rPr>
                <w:iCs/>
              </w:rPr>
              <w:t>]</w:t>
            </w:r>
          </w:p>
          <w:p w14:paraId="448CF03F" w14:textId="6FBFF6AE" w:rsidR="007049A5" w:rsidRPr="004E4188" w:rsidRDefault="007049A5" w:rsidP="006C6267">
            <w:pPr>
              <w:numPr>
                <w:ilvl w:val="12"/>
                <w:numId w:val="0"/>
              </w:numPr>
              <w:spacing w:before="120" w:after="40"/>
              <w:rPr>
                <w:spacing w:val="-2"/>
              </w:rPr>
            </w:pPr>
            <w:r w:rsidRPr="004E4188">
              <w:rPr>
                <w:spacing w:val="-2"/>
              </w:rPr>
              <w:t>Numéro de téléphone/fax :</w:t>
            </w:r>
            <w:r w:rsidRPr="004E4188">
              <w:rPr>
                <w:i/>
                <w:iCs/>
              </w:rPr>
              <w:t xml:space="preserve"> </w:t>
            </w:r>
            <w:r w:rsidRPr="004E4188">
              <w:rPr>
                <w:iCs/>
              </w:rPr>
              <w:t>[</w:t>
            </w:r>
            <w:r w:rsidRPr="004E4188">
              <w:rPr>
                <w:i/>
                <w:iCs/>
              </w:rPr>
              <w:t>indiquer les numéros de téléphone et fax, y compris les codes ville/pays</w:t>
            </w:r>
            <w:r w:rsidRPr="004E4188">
              <w:rPr>
                <w:iCs/>
              </w:rPr>
              <w:t>]</w:t>
            </w:r>
          </w:p>
          <w:p w14:paraId="6DE9752E" w14:textId="77777777" w:rsidR="007049A5" w:rsidRPr="004E4188" w:rsidRDefault="007049A5" w:rsidP="006C6267">
            <w:pPr>
              <w:numPr>
                <w:ilvl w:val="12"/>
                <w:numId w:val="0"/>
              </w:numPr>
              <w:spacing w:before="120" w:after="120"/>
              <w:rPr>
                <w:spacing w:val="-2"/>
                <w:lang w:eastAsia="ja-JP"/>
              </w:rPr>
            </w:pPr>
            <w:r w:rsidRPr="004E4188">
              <w:rPr>
                <w:spacing w:val="-2"/>
              </w:rPr>
              <w:t>Adresse électronique :</w:t>
            </w:r>
            <w:r w:rsidRPr="004E4188">
              <w:t xml:space="preserve"> [</w:t>
            </w:r>
            <w:r w:rsidRPr="004E4188">
              <w:rPr>
                <w:i/>
              </w:rPr>
              <w:t>indiquer l’adresse e-mail</w:t>
            </w:r>
            <w:r w:rsidRPr="004E4188">
              <w:t>]</w:t>
            </w:r>
          </w:p>
        </w:tc>
      </w:tr>
      <w:tr w:rsidR="007049A5" w:rsidRPr="004E4188" w14:paraId="68DEAD62" w14:textId="77777777" w:rsidTr="008F7565">
        <w:trPr>
          <w:cantSplit/>
        </w:trPr>
        <w:tc>
          <w:tcPr>
            <w:tcW w:w="9137" w:type="dxa"/>
          </w:tcPr>
          <w:p w14:paraId="579F1760" w14:textId="77777777" w:rsidR="007049A5" w:rsidRPr="004E4188" w:rsidRDefault="007049A5" w:rsidP="006C6267">
            <w:pPr>
              <w:numPr>
                <w:ilvl w:val="12"/>
                <w:numId w:val="0"/>
              </w:numPr>
              <w:tabs>
                <w:tab w:val="left" w:pos="360"/>
              </w:tabs>
              <w:spacing w:before="40" w:after="120"/>
              <w:ind w:left="354" w:hangingChars="150" w:hanging="354"/>
            </w:pPr>
            <w:r w:rsidRPr="004E4188">
              <w:rPr>
                <w:spacing w:val="-2"/>
              </w:rPr>
              <w:t>1.</w:t>
            </w:r>
            <w:r w:rsidRPr="004E4188">
              <w:rPr>
                <w:spacing w:val="-2"/>
                <w:lang w:eastAsia="ja-JP"/>
              </w:rPr>
              <w:tab/>
            </w:r>
            <w:r w:rsidRPr="004E4188">
              <w:rPr>
                <w:spacing w:val="-2"/>
              </w:rPr>
              <w:t xml:space="preserve">Ci-joint les copies des documents originaux de </w:t>
            </w:r>
            <w:r w:rsidRPr="004E4188">
              <w:rPr>
                <w:kern w:val="28"/>
              </w:rPr>
              <w:t>Statuts constitutifs (ou documents équivalents de constitution ou d’association), et/ou documents d’enregistrement de l’entité légale susmentionnée.</w:t>
            </w:r>
          </w:p>
          <w:p w14:paraId="0D509E89" w14:textId="77777777" w:rsidR="007049A5" w:rsidRPr="004E4188" w:rsidRDefault="007049A5" w:rsidP="006C6267">
            <w:pPr>
              <w:numPr>
                <w:ilvl w:val="12"/>
                <w:numId w:val="0"/>
              </w:numPr>
              <w:tabs>
                <w:tab w:val="left" w:pos="360"/>
              </w:tabs>
              <w:spacing w:before="40" w:after="120"/>
              <w:ind w:left="354" w:hangingChars="150" w:hanging="354"/>
              <w:rPr>
                <w:spacing w:val="-2"/>
              </w:rPr>
            </w:pPr>
            <w:r w:rsidRPr="004E4188">
              <w:rPr>
                <w:spacing w:val="-2"/>
              </w:rPr>
              <w:t>2.</w:t>
            </w:r>
            <w:r w:rsidRPr="004E4188">
              <w:rPr>
                <w:spacing w:val="-2"/>
                <w:lang w:eastAsia="ja-JP"/>
              </w:rPr>
              <w:tab/>
            </w:r>
            <w:r w:rsidRPr="004E4188">
              <w:rPr>
                <w:spacing w:val="-2"/>
              </w:rPr>
              <w:t>Sont</w:t>
            </w:r>
            <w:r w:rsidRPr="004E4188">
              <w:rPr>
                <w:spacing w:val="-2"/>
                <w:lang w:eastAsia="ja-JP"/>
              </w:rPr>
              <w:t xml:space="preserve"> é</w:t>
            </w:r>
            <w:r w:rsidRPr="004E4188">
              <w:rPr>
                <w:spacing w:val="-2"/>
              </w:rPr>
              <w:t>galement jointes la charte organisationnelle, la liste des membres du conseil d’administration et la propriété bénéficiaire.</w:t>
            </w:r>
          </w:p>
        </w:tc>
      </w:tr>
    </w:tbl>
    <w:p w14:paraId="41AE6A9C" w14:textId="77777777" w:rsidR="007049A5" w:rsidRPr="004E4188" w:rsidRDefault="007049A5" w:rsidP="00626DCA">
      <w:pPr>
        <w:numPr>
          <w:ilvl w:val="12"/>
          <w:numId w:val="0"/>
        </w:numPr>
      </w:pPr>
    </w:p>
    <w:p w14:paraId="5B3CACA0" w14:textId="77777777" w:rsidR="007049A5" w:rsidRPr="004E4188" w:rsidRDefault="007049A5" w:rsidP="00227ADD">
      <w:pPr>
        <w:numPr>
          <w:ilvl w:val="12"/>
          <w:numId w:val="0"/>
        </w:numPr>
        <w:tabs>
          <w:tab w:val="left" w:pos="2610"/>
        </w:tabs>
      </w:pPr>
    </w:p>
    <w:p w14:paraId="41B75AAE" w14:textId="49D2EB14" w:rsidR="007049A5" w:rsidRPr="004E4188" w:rsidRDefault="007049A5" w:rsidP="006C6267">
      <w:pPr>
        <w:pStyle w:val="SectionIVHeading2"/>
        <w:outlineLvl w:val="2"/>
        <w:rPr>
          <w:sz w:val="32"/>
          <w:szCs w:val="32"/>
          <w:lang w:val="fr-FR"/>
        </w:rPr>
      </w:pPr>
      <w:r w:rsidRPr="004E4188">
        <w:rPr>
          <w:lang w:val="fr-FR"/>
        </w:rPr>
        <w:br w:type="page"/>
      </w:r>
      <w:bookmarkStart w:id="598" w:name="_Toc327863879"/>
      <w:bookmarkStart w:id="599" w:name="_Toc349117752"/>
      <w:bookmarkStart w:id="600" w:name="_Toc357513233"/>
      <w:bookmarkStart w:id="601" w:name="_Toc112429326"/>
      <w:r w:rsidRPr="004E4188">
        <w:rPr>
          <w:sz w:val="32"/>
          <w:szCs w:val="32"/>
          <w:lang w:val="fr-FR"/>
        </w:rPr>
        <w:t>Formulaire ELI-2</w:t>
      </w:r>
      <w:r w:rsidRPr="004E4188">
        <w:rPr>
          <w:sz w:val="32"/>
          <w:szCs w:val="32"/>
          <w:lang w:val="fr-FR"/>
        </w:rPr>
        <w:br/>
      </w:r>
      <w:bookmarkEnd w:id="598"/>
      <w:r w:rsidRPr="004E4188">
        <w:rPr>
          <w:sz w:val="32"/>
          <w:szCs w:val="32"/>
          <w:lang w:val="fr-FR"/>
        </w:rPr>
        <w:t xml:space="preserve">Renseignements sur chaque </w:t>
      </w:r>
      <w:bookmarkEnd w:id="599"/>
      <w:bookmarkEnd w:id="600"/>
      <w:r w:rsidRPr="004E4188">
        <w:rPr>
          <w:sz w:val="32"/>
          <w:szCs w:val="32"/>
          <w:lang w:val="fr-FR"/>
        </w:rPr>
        <w:t>membre du Groupement</w:t>
      </w:r>
      <w:bookmarkEnd w:id="601"/>
    </w:p>
    <w:p w14:paraId="321E95E9" w14:textId="5778891D" w:rsidR="007049A5" w:rsidRPr="004E4188" w:rsidRDefault="007049A5" w:rsidP="0044452A">
      <w:pPr>
        <w:jc w:val="right"/>
      </w:pPr>
      <w:r w:rsidRPr="004E4188">
        <w:t xml:space="preserve">Date : </w:t>
      </w:r>
      <w:r w:rsidRPr="004E4188">
        <w:rPr>
          <w:iCs/>
        </w:rPr>
        <w:t>[</w:t>
      </w:r>
      <w:r w:rsidRPr="004E4188">
        <w:rPr>
          <w:i/>
          <w:iCs/>
        </w:rPr>
        <w:t>indiquer jour, mois, année</w:t>
      </w:r>
      <w:r w:rsidRPr="004E4188">
        <w:rPr>
          <w:iCs/>
        </w:rPr>
        <w:t>]</w:t>
      </w:r>
    </w:p>
    <w:p w14:paraId="5A69D72C" w14:textId="42D1DDE6" w:rsidR="007049A5" w:rsidRPr="004E4188" w:rsidRDefault="007049A5" w:rsidP="0044452A">
      <w:pPr>
        <w:jc w:val="right"/>
        <w:rPr>
          <w:i/>
          <w:iCs/>
        </w:rPr>
      </w:pPr>
      <w:r w:rsidRPr="004E4188">
        <w:t>AAO n</w:t>
      </w:r>
      <w:r w:rsidRPr="004E4188">
        <w:rPr>
          <w:vertAlign w:val="superscript"/>
        </w:rPr>
        <w:t>o</w:t>
      </w:r>
      <w:r w:rsidR="008729D9" w:rsidRPr="004E4188">
        <w:rPr>
          <w:rFonts w:hint="eastAsia"/>
          <w:lang w:eastAsia="ja-JP"/>
        </w:rPr>
        <w:t xml:space="preserve"> </w:t>
      </w:r>
      <w:r w:rsidRPr="004E4188">
        <w:t xml:space="preserve">: </w:t>
      </w:r>
      <w:r w:rsidRPr="004E4188">
        <w:rPr>
          <w:iCs/>
        </w:rPr>
        <w:t>[</w:t>
      </w:r>
      <w:r w:rsidRPr="004E4188">
        <w:rPr>
          <w:i/>
          <w:iCs/>
        </w:rPr>
        <w:t>indiquer le numéro</w:t>
      </w:r>
      <w:r w:rsidRPr="004E4188">
        <w:rPr>
          <w:iCs/>
        </w:rPr>
        <w:t>]</w:t>
      </w:r>
    </w:p>
    <w:p w14:paraId="2970906C" w14:textId="1225E14D" w:rsidR="007049A5" w:rsidRPr="004E4188" w:rsidRDefault="007049A5" w:rsidP="0044452A">
      <w:pPr>
        <w:tabs>
          <w:tab w:val="left" w:pos="2610"/>
        </w:tabs>
        <w:jc w:val="right"/>
      </w:pPr>
      <w:r w:rsidRPr="004E4188">
        <w:rPr>
          <w:iCs/>
        </w:rPr>
        <w:t>Page</w:t>
      </w:r>
      <w:r w:rsidR="008729D9" w:rsidRPr="004E4188">
        <w:rPr>
          <w:iCs/>
          <w:spacing w:val="-4"/>
        </w:rPr>
        <w:t> </w:t>
      </w:r>
      <w:r w:rsidRPr="004E4188">
        <w:t xml:space="preserve">: </w:t>
      </w:r>
      <w:r w:rsidRPr="004E4188">
        <w:rPr>
          <w:iCs/>
        </w:rPr>
        <w:t>[</w:t>
      </w:r>
      <w:r w:rsidRPr="004E4188">
        <w:rPr>
          <w:i/>
          <w:iCs/>
        </w:rPr>
        <w:t>indiquer le numéro de la page</w:t>
      </w:r>
      <w:r w:rsidRPr="004E4188">
        <w:rPr>
          <w:iCs/>
        </w:rPr>
        <w:t>]</w:t>
      </w:r>
      <w:r w:rsidRPr="004E4188">
        <w:rPr>
          <w:i/>
          <w:iCs/>
        </w:rPr>
        <w:t xml:space="preserve"> </w:t>
      </w:r>
      <w:r w:rsidRPr="004E4188">
        <w:rPr>
          <w:iCs/>
        </w:rPr>
        <w:t>de</w:t>
      </w:r>
      <w:r w:rsidRPr="004E4188">
        <w:rPr>
          <w:i/>
          <w:iCs/>
        </w:rPr>
        <w:t xml:space="preserve"> </w:t>
      </w:r>
      <w:r w:rsidRPr="004E4188">
        <w:rPr>
          <w:iCs/>
        </w:rPr>
        <w:t>[</w:t>
      </w:r>
      <w:r w:rsidRPr="004E4188">
        <w:rPr>
          <w:i/>
          <w:iCs/>
        </w:rPr>
        <w:t>indiquer le nombre total de</w:t>
      </w:r>
      <w:r w:rsidRPr="004E4188">
        <w:rPr>
          <w:iCs/>
        </w:rPr>
        <w:t>] pages</w:t>
      </w:r>
    </w:p>
    <w:p w14:paraId="5E61461D" w14:textId="77777777" w:rsidR="007049A5" w:rsidRPr="004E4188" w:rsidRDefault="007049A5" w:rsidP="00227ADD">
      <w:pPr>
        <w:tabs>
          <w:tab w:val="left" w:pos="2610"/>
        </w:tabs>
      </w:pPr>
    </w:p>
    <w:p w14:paraId="54CBC04B" w14:textId="77777777" w:rsidR="007049A5" w:rsidRPr="004E4188" w:rsidRDefault="007049A5" w:rsidP="00227ADD">
      <w:pPr>
        <w:tabs>
          <w:tab w:val="left" w:pos="2610"/>
        </w:tabs>
      </w:pPr>
    </w:p>
    <w:p w14:paraId="279CDD75" w14:textId="3094120B" w:rsidR="007049A5" w:rsidRPr="004E4188" w:rsidRDefault="007049A5" w:rsidP="00BE6B88">
      <w:pPr>
        <w:numPr>
          <w:ilvl w:val="12"/>
          <w:numId w:val="0"/>
        </w:numPr>
        <w:spacing w:afterLines="50" w:after="120"/>
        <w:ind w:right="34"/>
        <w:rPr>
          <w:b/>
          <w:sz w:val="28"/>
        </w:rPr>
      </w:pPr>
      <w:r w:rsidRPr="004E4188">
        <w:rPr>
          <w:iCs/>
        </w:rPr>
        <w:t>[</w:t>
      </w:r>
      <w:r w:rsidRPr="004E4188">
        <w:rPr>
          <w:i/>
          <w:iCs/>
        </w:rPr>
        <w:t xml:space="preserve">Le formulaire </w:t>
      </w:r>
      <w:r w:rsidRPr="004E4188">
        <w:rPr>
          <w:i/>
        </w:rPr>
        <w:t xml:space="preserve">ci-dessous complète le </w:t>
      </w:r>
      <w:r w:rsidR="00510D0A" w:rsidRPr="004E4188">
        <w:rPr>
          <w:i/>
        </w:rPr>
        <w:t>f</w:t>
      </w:r>
      <w:r w:rsidRPr="004E4188">
        <w:rPr>
          <w:i/>
        </w:rPr>
        <w:t>ormulaire ELI</w:t>
      </w:r>
      <w:r w:rsidRPr="004E4188">
        <w:rPr>
          <w:i/>
          <w:lang w:eastAsia="ja-JP"/>
        </w:rPr>
        <w:t>-</w:t>
      </w:r>
      <w:r w:rsidRPr="004E4188">
        <w:rPr>
          <w:i/>
        </w:rPr>
        <w:t>1, et doit être rempli</w:t>
      </w:r>
      <w:r w:rsidRPr="004E4188">
        <w:rPr>
          <w:i/>
          <w:iCs/>
        </w:rPr>
        <w:t xml:space="preserve"> pour fournir des renseignements sur chacun des membres d’un Groupement, si le Soumissionnaire est un Groupement. Les documents cités comme requis doivent être remis en tant que pièces jointes aux présentes.</w:t>
      </w:r>
      <w:r w:rsidRPr="004E4188">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7049A5" w:rsidRPr="004E4188" w14:paraId="0BBF4045" w14:textId="77777777" w:rsidTr="00B9659D">
        <w:trPr>
          <w:cantSplit/>
          <w:trHeight w:val="711"/>
        </w:trPr>
        <w:tc>
          <w:tcPr>
            <w:tcW w:w="9108" w:type="dxa"/>
          </w:tcPr>
          <w:p w14:paraId="47E88DAC" w14:textId="77777777" w:rsidR="007049A5" w:rsidRPr="004E4188" w:rsidRDefault="007049A5" w:rsidP="006C6267">
            <w:pPr>
              <w:pStyle w:val="Outline"/>
              <w:numPr>
                <w:ilvl w:val="12"/>
                <w:numId w:val="0"/>
              </w:numPr>
              <w:suppressAutoHyphens/>
              <w:spacing w:before="40" w:after="120"/>
              <w:ind w:left="360" w:hangingChars="150" w:hanging="360"/>
              <w:jc w:val="both"/>
              <w:rPr>
                <w:i/>
                <w:iCs/>
              </w:rPr>
            </w:pPr>
            <w:r w:rsidRPr="004E4188">
              <w:t>Nom</w:t>
            </w:r>
            <w:r w:rsidRPr="004E4188">
              <w:rPr>
                <w:spacing w:val="-2"/>
              </w:rPr>
              <w:t xml:space="preserve"> légal du Soumissionnaire :</w:t>
            </w:r>
            <w:r w:rsidRPr="004E4188">
              <w:rPr>
                <w:i/>
                <w:iCs/>
              </w:rPr>
              <w:t xml:space="preserve"> </w:t>
            </w:r>
          </w:p>
          <w:p w14:paraId="3F8FD3DB" w14:textId="77777777" w:rsidR="007049A5" w:rsidRPr="004E4188" w:rsidRDefault="007049A5" w:rsidP="006C6267">
            <w:pPr>
              <w:numPr>
                <w:ilvl w:val="12"/>
                <w:numId w:val="0"/>
              </w:numPr>
              <w:spacing w:before="120" w:after="40"/>
            </w:pPr>
            <w:r w:rsidRPr="004E4188">
              <w:rPr>
                <w:iCs/>
              </w:rPr>
              <w:t>[</w:t>
            </w:r>
            <w:r w:rsidRPr="004E4188">
              <w:rPr>
                <w:i/>
                <w:spacing w:val="-2"/>
              </w:rPr>
              <w:t>indiquer</w:t>
            </w:r>
            <w:r w:rsidRPr="004E4188">
              <w:rPr>
                <w:i/>
                <w:iCs/>
              </w:rPr>
              <w:t xml:space="preserve"> le </w:t>
            </w:r>
            <w:r w:rsidRPr="004E4188">
              <w:rPr>
                <w:i/>
                <w:spacing w:val="-2"/>
              </w:rPr>
              <w:t>nom complet</w:t>
            </w:r>
            <w:r w:rsidRPr="004E4188">
              <w:rPr>
                <w:iCs/>
              </w:rPr>
              <w:t>]</w:t>
            </w:r>
          </w:p>
        </w:tc>
      </w:tr>
      <w:tr w:rsidR="007049A5" w:rsidRPr="004E4188" w14:paraId="1D37B686" w14:textId="77777777" w:rsidTr="00B9659D">
        <w:trPr>
          <w:cantSplit/>
          <w:trHeight w:val="674"/>
        </w:trPr>
        <w:tc>
          <w:tcPr>
            <w:tcW w:w="9108" w:type="dxa"/>
          </w:tcPr>
          <w:p w14:paraId="43114406" w14:textId="77777777" w:rsidR="007049A5" w:rsidRPr="004E4188" w:rsidRDefault="007049A5" w:rsidP="00837EA9">
            <w:pPr>
              <w:pStyle w:val="Outline"/>
              <w:numPr>
                <w:ilvl w:val="12"/>
                <w:numId w:val="0"/>
              </w:numPr>
              <w:tabs>
                <w:tab w:val="left" w:pos="360"/>
              </w:tabs>
              <w:suppressAutoHyphens/>
              <w:spacing w:before="40" w:after="120"/>
              <w:ind w:left="360" w:hangingChars="150" w:hanging="360"/>
              <w:jc w:val="both"/>
            </w:pPr>
            <w:r w:rsidRPr="004E4188">
              <w:t>Nom légal du membre du Groupement :</w:t>
            </w:r>
          </w:p>
          <w:p w14:paraId="086B736C" w14:textId="4C01D275" w:rsidR="007049A5" w:rsidRPr="004E4188" w:rsidRDefault="007049A5" w:rsidP="006C6267">
            <w:pPr>
              <w:numPr>
                <w:ilvl w:val="12"/>
                <w:numId w:val="0"/>
              </w:numPr>
              <w:spacing w:before="120" w:after="40"/>
            </w:pPr>
            <w:r w:rsidRPr="004E4188">
              <w:rPr>
                <w:iCs/>
              </w:rPr>
              <w:t>[</w:t>
            </w:r>
            <w:r w:rsidRPr="004E4188">
              <w:rPr>
                <w:i/>
                <w:spacing w:val="-2"/>
              </w:rPr>
              <w:t>indiquer</w:t>
            </w:r>
            <w:r w:rsidRPr="004E4188">
              <w:rPr>
                <w:i/>
                <w:iCs/>
              </w:rPr>
              <w:t xml:space="preserve"> le </w:t>
            </w:r>
            <w:r w:rsidRPr="004E4188">
              <w:rPr>
                <w:i/>
                <w:spacing w:val="-2"/>
              </w:rPr>
              <w:t>nom complet du membre du Groupement</w:t>
            </w:r>
            <w:r w:rsidRPr="004E4188">
              <w:rPr>
                <w:iCs/>
              </w:rPr>
              <w:t>]</w:t>
            </w:r>
          </w:p>
        </w:tc>
      </w:tr>
      <w:tr w:rsidR="007049A5" w:rsidRPr="004E4188" w14:paraId="01D54ED5" w14:textId="77777777" w:rsidTr="00B9659D">
        <w:trPr>
          <w:cantSplit/>
          <w:trHeight w:val="674"/>
        </w:trPr>
        <w:tc>
          <w:tcPr>
            <w:tcW w:w="9108" w:type="dxa"/>
          </w:tcPr>
          <w:p w14:paraId="7D6206AC" w14:textId="77777777" w:rsidR="007049A5" w:rsidRPr="004E4188" w:rsidRDefault="007049A5" w:rsidP="00837EA9">
            <w:pPr>
              <w:pStyle w:val="Outline"/>
              <w:numPr>
                <w:ilvl w:val="12"/>
                <w:numId w:val="0"/>
              </w:numPr>
              <w:tabs>
                <w:tab w:val="left" w:pos="360"/>
              </w:tabs>
              <w:suppressAutoHyphens/>
              <w:spacing w:before="40" w:after="120"/>
              <w:ind w:left="360" w:hangingChars="150" w:hanging="360"/>
              <w:jc w:val="both"/>
            </w:pPr>
            <w:r w:rsidRPr="004E4188">
              <w:t>Pays de constitution en société du membre du Groupement :</w:t>
            </w:r>
          </w:p>
          <w:p w14:paraId="34A6E614" w14:textId="77777777" w:rsidR="007049A5" w:rsidRPr="004E4188" w:rsidRDefault="007049A5" w:rsidP="006C6267">
            <w:pPr>
              <w:numPr>
                <w:ilvl w:val="12"/>
                <w:numId w:val="0"/>
              </w:numPr>
              <w:spacing w:before="120" w:after="40"/>
            </w:pPr>
            <w:r w:rsidRPr="004E4188">
              <w:rPr>
                <w:iCs/>
              </w:rPr>
              <w:t>[</w:t>
            </w:r>
            <w:r w:rsidRPr="004E4188">
              <w:rPr>
                <w:i/>
                <w:iCs/>
              </w:rPr>
              <w:t>indiquer le pays de constitution</w:t>
            </w:r>
            <w:r w:rsidRPr="004E4188">
              <w:rPr>
                <w:iCs/>
              </w:rPr>
              <w:t>]</w:t>
            </w:r>
          </w:p>
        </w:tc>
      </w:tr>
      <w:tr w:rsidR="007049A5" w:rsidRPr="004E4188" w14:paraId="2A90EC70" w14:textId="77777777" w:rsidTr="00B9659D">
        <w:trPr>
          <w:cantSplit/>
        </w:trPr>
        <w:tc>
          <w:tcPr>
            <w:tcW w:w="9108" w:type="dxa"/>
          </w:tcPr>
          <w:p w14:paraId="6F3DF261" w14:textId="77777777" w:rsidR="007049A5" w:rsidRPr="004E4188" w:rsidRDefault="007049A5" w:rsidP="00837EA9">
            <w:pPr>
              <w:pStyle w:val="Outline"/>
              <w:numPr>
                <w:ilvl w:val="12"/>
                <w:numId w:val="0"/>
              </w:numPr>
              <w:tabs>
                <w:tab w:val="left" w:pos="360"/>
              </w:tabs>
              <w:suppressAutoHyphens/>
              <w:spacing w:before="40" w:after="120"/>
              <w:ind w:left="360" w:hangingChars="150" w:hanging="360"/>
              <w:jc w:val="both"/>
            </w:pPr>
            <w:r w:rsidRPr="004E4188">
              <w:t xml:space="preserve">Année de </w:t>
            </w:r>
            <w:r w:rsidRPr="004E4188">
              <w:rPr>
                <w:spacing w:val="-2"/>
                <w:kern w:val="0"/>
              </w:rPr>
              <w:t>constitution</w:t>
            </w:r>
            <w:r w:rsidRPr="004E4188">
              <w:t xml:space="preserve"> en société du membre du Groupement :</w:t>
            </w:r>
          </w:p>
          <w:p w14:paraId="36886B80" w14:textId="77777777" w:rsidR="007049A5" w:rsidRPr="004E4188" w:rsidRDefault="007049A5" w:rsidP="006C6267">
            <w:pPr>
              <w:numPr>
                <w:ilvl w:val="12"/>
                <w:numId w:val="0"/>
              </w:numPr>
              <w:spacing w:before="120" w:after="40"/>
            </w:pPr>
            <w:r w:rsidRPr="004E4188">
              <w:rPr>
                <w:iCs/>
              </w:rPr>
              <w:t>[</w:t>
            </w:r>
            <w:r w:rsidRPr="004E4188">
              <w:rPr>
                <w:i/>
                <w:iCs/>
              </w:rPr>
              <w:t>indiquer l’</w:t>
            </w:r>
            <w:r w:rsidRPr="004E4188">
              <w:rPr>
                <w:i/>
                <w:spacing w:val="-2"/>
              </w:rPr>
              <w:t>année</w:t>
            </w:r>
            <w:r w:rsidRPr="004E4188">
              <w:rPr>
                <w:i/>
                <w:iCs/>
              </w:rPr>
              <w:t xml:space="preserve"> de constitution</w:t>
            </w:r>
            <w:r w:rsidRPr="004E4188">
              <w:rPr>
                <w:iCs/>
              </w:rPr>
              <w:t>]</w:t>
            </w:r>
          </w:p>
        </w:tc>
      </w:tr>
      <w:tr w:rsidR="007049A5" w:rsidRPr="004E4188" w14:paraId="00B80617" w14:textId="77777777" w:rsidTr="00B9659D">
        <w:trPr>
          <w:cantSplit/>
        </w:trPr>
        <w:tc>
          <w:tcPr>
            <w:tcW w:w="9108" w:type="dxa"/>
          </w:tcPr>
          <w:p w14:paraId="14CB3D7C" w14:textId="77777777" w:rsidR="007049A5" w:rsidRPr="004E4188" w:rsidRDefault="007049A5" w:rsidP="00837EA9">
            <w:pPr>
              <w:pStyle w:val="Outline"/>
              <w:numPr>
                <w:ilvl w:val="12"/>
                <w:numId w:val="0"/>
              </w:numPr>
              <w:tabs>
                <w:tab w:val="left" w:pos="360"/>
              </w:tabs>
              <w:suppressAutoHyphens/>
              <w:spacing w:before="40" w:after="120"/>
              <w:ind w:left="354" w:hangingChars="150" w:hanging="354"/>
              <w:jc w:val="both"/>
            </w:pPr>
            <w:r w:rsidRPr="004E4188">
              <w:rPr>
                <w:spacing w:val="-2"/>
                <w:kern w:val="0"/>
              </w:rPr>
              <w:t>Adresse</w:t>
            </w:r>
            <w:r w:rsidRPr="004E4188">
              <w:t xml:space="preserve"> légale du membre du Groupement</w:t>
            </w:r>
            <w:r w:rsidRPr="004E4188" w:rsidDel="00390D49">
              <w:t xml:space="preserve"> </w:t>
            </w:r>
            <w:r w:rsidRPr="004E4188">
              <w:t>dans le pays de constitution en société :</w:t>
            </w:r>
          </w:p>
          <w:p w14:paraId="54028BBF" w14:textId="77777777" w:rsidR="007049A5" w:rsidRPr="004E4188" w:rsidRDefault="007049A5" w:rsidP="006C6267">
            <w:pPr>
              <w:numPr>
                <w:ilvl w:val="12"/>
                <w:numId w:val="0"/>
              </w:numPr>
              <w:spacing w:before="120" w:after="40"/>
            </w:pPr>
            <w:r w:rsidRPr="004E4188">
              <w:rPr>
                <w:iCs/>
              </w:rPr>
              <w:t>[</w:t>
            </w:r>
            <w:r w:rsidRPr="004E4188">
              <w:rPr>
                <w:i/>
                <w:iCs/>
              </w:rPr>
              <w:t>indiquer l’adresse postale</w:t>
            </w:r>
            <w:r w:rsidRPr="004E4188">
              <w:rPr>
                <w:iCs/>
              </w:rPr>
              <w:t>]</w:t>
            </w:r>
          </w:p>
        </w:tc>
      </w:tr>
      <w:tr w:rsidR="007049A5" w:rsidRPr="004E4188" w14:paraId="48FF8E8E" w14:textId="77777777" w:rsidTr="00B9659D">
        <w:trPr>
          <w:cantSplit/>
        </w:trPr>
        <w:tc>
          <w:tcPr>
            <w:tcW w:w="9108" w:type="dxa"/>
          </w:tcPr>
          <w:p w14:paraId="2ECE62D1" w14:textId="77777777" w:rsidR="007049A5" w:rsidRPr="004E4188" w:rsidRDefault="007049A5" w:rsidP="00837EA9">
            <w:pPr>
              <w:pStyle w:val="Outline"/>
              <w:numPr>
                <w:ilvl w:val="12"/>
                <w:numId w:val="0"/>
              </w:numPr>
              <w:tabs>
                <w:tab w:val="left" w:pos="360"/>
              </w:tabs>
              <w:suppressAutoHyphens/>
              <w:spacing w:before="40" w:after="120"/>
              <w:ind w:left="354" w:hangingChars="150" w:hanging="354"/>
              <w:jc w:val="both"/>
            </w:pPr>
            <w:r w:rsidRPr="004E4188">
              <w:rPr>
                <w:spacing w:val="-2"/>
                <w:kern w:val="0"/>
              </w:rPr>
              <w:t>Renseignements</w:t>
            </w:r>
            <w:r w:rsidRPr="004E4188">
              <w:t xml:space="preserve"> sur le représentant habilité du membre du Groupement :</w:t>
            </w:r>
          </w:p>
          <w:p w14:paraId="3EB1CA30" w14:textId="77777777" w:rsidR="007049A5" w:rsidRPr="004E4188" w:rsidRDefault="007049A5" w:rsidP="006C6267">
            <w:pPr>
              <w:numPr>
                <w:ilvl w:val="12"/>
                <w:numId w:val="0"/>
              </w:numPr>
              <w:spacing w:before="120" w:after="40"/>
            </w:pPr>
            <w:r w:rsidRPr="004E4188">
              <w:t>Nom :</w:t>
            </w:r>
            <w:r w:rsidRPr="004E4188">
              <w:rPr>
                <w:i/>
                <w:iCs/>
              </w:rPr>
              <w:t xml:space="preserve"> </w:t>
            </w:r>
            <w:r w:rsidRPr="004E4188">
              <w:rPr>
                <w:iCs/>
              </w:rPr>
              <w:t>[</w:t>
            </w:r>
            <w:r w:rsidRPr="004E4188">
              <w:rPr>
                <w:i/>
                <w:spacing w:val="-2"/>
              </w:rPr>
              <w:t>indiquer</w:t>
            </w:r>
            <w:r w:rsidRPr="004E4188">
              <w:rPr>
                <w:i/>
                <w:iCs/>
              </w:rPr>
              <w:t xml:space="preserve"> le </w:t>
            </w:r>
            <w:r w:rsidRPr="004E4188">
              <w:rPr>
                <w:i/>
                <w:spacing w:val="-2"/>
              </w:rPr>
              <w:t>nom complet</w:t>
            </w:r>
            <w:r w:rsidRPr="004E4188">
              <w:rPr>
                <w:iCs/>
              </w:rPr>
              <w:t>]</w:t>
            </w:r>
          </w:p>
          <w:p w14:paraId="45A665BF" w14:textId="77777777" w:rsidR="007049A5" w:rsidRPr="004E4188" w:rsidRDefault="007049A5" w:rsidP="006C6267">
            <w:pPr>
              <w:numPr>
                <w:ilvl w:val="12"/>
                <w:numId w:val="0"/>
              </w:numPr>
              <w:spacing w:before="120" w:after="40"/>
            </w:pPr>
            <w:r w:rsidRPr="004E4188">
              <w:t>Adresse :</w:t>
            </w:r>
            <w:r w:rsidRPr="004E4188">
              <w:rPr>
                <w:i/>
                <w:iCs/>
              </w:rPr>
              <w:t xml:space="preserve"> </w:t>
            </w:r>
            <w:r w:rsidRPr="004E4188">
              <w:rPr>
                <w:iCs/>
              </w:rPr>
              <w:t>[</w:t>
            </w:r>
            <w:r w:rsidRPr="004E4188">
              <w:rPr>
                <w:i/>
                <w:iCs/>
              </w:rPr>
              <w:t>indiquer l’adresse postale</w:t>
            </w:r>
            <w:r w:rsidRPr="004E4188">
              <w:rPr>
                <w:iCs/>
              </w:rPr>
              <w:t>]</w:t>
            </w:r>
          </w:p>
          <w:p w14:paraId="1B9A2B81" w14:textId="2BEAF4D9" w:rsidR="007049A5" w:rsidRPr="004E4188" w:rsidRDefault="007049A5" w:rsidP="006C6267">
            <w:pPr>
              <w:numPr>
                <w:ilvl w:val="12"/>
                <w:numId w:val="0"/>
              </w:numPr>
              <w:spacing w:before="120" w:after="40"/>
            </w:pPr>
            <w:r w:rsidRPr="004E4188">
              <w:t>Numéro de téléphone/fax :</w:t>
            </w:r>
            <w:r w:rsidRPr="004E4188">
              <w:rPr>
                <w:iCs/>
              </w:rPr>
              <w:t xml:space="preserve"> [</w:t>
            </w:r>
            <w:r w:rsidRPr="004E4188">
              <w:rPr>
                <w:i/>
                <w:spacing w:val="-2"/>
              </w:rPr>
              <w:t>indiquer</w:t>
            </w:r>
            <w:r w:rsidRPr="004E4188">
              <w:rPr>
                <w:i/>
                <w:iCs/>
              </w:rPr>
              <w:t xml:space="preserve"> les numéros de téléphone et fax, y compris les codes ville/pays</w:t>
            </w:r>
            <w:r w:rsidRPr="004E4188">
              <w:rPr>
                <w:iCs/>
              </w:rPr>
              <w:t>]</w:t>
            </w:r>
          </w:p>
          <w:p w14:paraId="0483A28C" w14:textId="77777777" w:rsidR="007049A5" w:rsidRPr="004E4188" w:rsidRDefault="007049A5" w:rsidP="006C6267">
            <w:pPr>
              <w:numPr>
                <w:ilvl w:val="12"/>
                <w:numId w:val="0"/>
              </w:numPr>
              <w:spacing w:before="120" w:after="40"/>
              <w:rPr>
                <w:lang w:eastAsia="ja-JP"/>
              </w:rPr>
            </w:pPr>
            <w:r w:rsidRPr="004E4188">
              <w:t>Adresse électronique :</w:t>
            </w:r>
            <w:r w:rsidRPr="004E4188">
              <w:rPr>
                <w:iCs/>
              </w:rPr>
              <w:t xml:space="preserve"> [</w:t>
            </w:r>
            <w:r w:rsidRPr="004E4188">
              <w:rPr>
                <w:i/>
                <w:spacing w:val="-2"/>
              </w:rPr>
              <w:t>indiquer</w:t>
            </w:r>
            <w:r w:rsidRPr="004E4188">
              <w:rPr>
                <w:i/>
                <w:iCs/>
              </w:rPr>
              <w:t xml:space="preserve"> l’adresse e-mail</w:t>
            </w:r>
            <w:r w:rsidRPr="004E4188">
              <w:rPr>
                <w:iCs/>
              </w:rPr>
              <w:t>]</w:t>
            </w:r>
          </w:p>
        </w:tc>
      </w:tr>
      <w:tr w:rsidR="007049A5" w:rsidRPr="004E4188" w14:paraId="5E4E161C" w14:textId="77777777" w:rsidTr="00B9659D">
        <w:trPr>
          <w:cantSplit/>
        </w:trPr>
        <w:tc>
          <w:tcPr>
            <w:tcW w:w="9108" w:type="dxa"/>
          </w:tcPr>
          <w:p w14:paraId="0F0CB22F" w14:textId="77777777" w:rsidR="007049A5" w:rsidRPr="004E4188" w:rsidRDefault="007049A5" w:rsidP="002D0906">
            <w:pPr>
              <w:tabs>
                <w:tab w:val="left" w:pos="360"/>
              </w:tabs>
              <w:spacing w:before="40" w:after="120"/>
              <w:ind w:left="354" w:hangingChars="150" w:hanging="354"/>
              <w:rPr>
                <w:spacing w:val="-2"/>
              </w:rPr>
            </w:pPr>
            <w:r w:rsidRPr="004E4188">
              <w:rPr>
                <w:spacing w:val="-2"/>
              </w:rPr>
              <w:t>1.</w:t>
            </w:r>
            <w:r w:rsidRPr="004E4188">
              <w:rPr>
                <w:spacing w:val="-2"/>
                <w:lang w:eastAsia="ja-JP"/>
              </w:rPr>
              <w:tab/>
            </w:r>
            <w:r w:rsidRPr="004E4188">
              <w:rPr>
                <w:spacing w:val="-2"/>
              </w:rPr>
              <w:t>Ci-joint les copies des documents originaux de Statuts constitutifs (ou documents équivalents de constitution ou d’association), et/ou documents d’enregistrement de l’entité légale susmentionnée.</w:t>
            </w:r>
          </w:p>
          <w:p w14:paraId="751C6B52" w14:textId="77777777" w:rsidR="007049A5" w:rsidRPr="004E4188" w:rsidRDefault="007049A5" w:rsidP="00631260">
            <w:pPr>
              <w:pStyle w:val="Outline"/>
              <w:numPr>
                <w:ilvl w:val="12"/>
                <w:numId w:val="0"/>
              </w:numPr>
              <w:tabs>
                <w:tab w:val="left" w:pos="360"/>
              </w:tabs>
              <w:suppressAutoHyphens/>
              <w:spacing w:before="40" w:after="120"/>
              <w:ind w:left="354" w:hangingChars="150" w:hanging="354"/>
              <w:jc w:val="both"/>
              <w:rPr>
                <w:spacing w:val="-2"/>
              </w:rPr>
            </w:pPr>
            <w:r w:rsidRPr="004E4188">
              <w:rPr>
                <w:spacing w:val="-2"/>
              </w:rPr>
              <w:t>2.</w:t>
            </w:r>
            <w:r w:rsidRPr="004E4188">
              <w:rPr>
                <w:spacing w:val="-2"/>
                <w:lang w:eastAsia="ja-JP"/>
              </w:rPr>
              <w:tab/>
              <w:t xml:space="preserve">Sont </w:t>
            </w:r>
            <w:r w:rsidRPr="004E4188">
              <w:rPr>
                <w:spacing w:val="-2"/>
                <w:kern w:val="0"/>
              </w:rPr>
              <w:t>également</w:t>
            </w:r>
            <w:r w:rsidRPr="004E4188">
              <w:rPr>
                <w:spacing w:val="-2"/>
              </w:rPr>
              <w:t xml:space="preserve"> jointes la charte organisationnelle, la liste des membres du conseil d’administration et la propriété bénéficiaire.</w:t>
            </w:r>
          </w:p>
        </w:tc>
      </w:tr>
    </w:tbl>
    <w:p w14:paraId="74B30A9C" w14:textId="77777777" w:rsidR="007049A5" w:rsidRPr="004E4188" w:rsidRDefault="007049A5" w:rsidP="0044452A"/>
    <w:p w14:paraId="13AAE5BB" w14:textId="7CF3B16F" w:rsidR="007049A5" w:rsidRPr="004E4188" w:rsidRDefault="007049A5" w:rsidP="006C6267">
      <w:pPr>
        <w:pStyle w:val="SectionIVHeading2"/>
        <w:spacing w:before="0" w:after="0"/>
        <w:outlineLvl w:val="2"/>
        <w:rPr>
          <w:sz w:val="32"/>
          <w:szCs w:val="32"/>
          <w:lang w:val="fr-FR"/>
        </w:rPr>
      </w:pPr>
      <w:r w:rsidRPr="004E4188">
        <w:rPr>
          <w:lang w:val="fr-FR"/>
        </w:rPr>
        <w:br w:type="page"/>
      </w:r>
      <w:bookmarkStart w:id="602" w:name="_Toc511409823"/>
      <w:bookmarkStart w:id="603" w:name="_Toc112429327"/>
      <w:bookmarkStart w:id="604" w:name="_Toc82587974"/>
      <w:bookmarkStart w:id="605" w:name="_Toc344369394"/>
      <w:bookmarkStart w:id="606" w:name="_Toc349117753"/>
      <w:bookmarkStart w:id="607" w:name="_Toc357513234"/>
      <w:bookmarkStart w:id="608" w:name="_Toc498847215"/>
      <w:bookmarkStart w:id="609" w:name="_Toc498850087"/>
      <w:bookmarkStart w:id="610" w:name="_Toc498851692"/>
      <w:bookmarkStart w:id="611" w:name="_Toc499021794"/>
      <w:bookmarkStart w:id="612" w:name="_Toc499023477"/>
      <w:bookmarkStart w:id="613" w:name="_Toc501529959"/>
      <w:bookmarkStart w:id="614" w:name="_Toc25474901"/>
      <w:r w:rsidRPr="004E4188">
        <w:rPr>
          <w:sz w:val="32"/>
          <w:szCs w:val="32"/>
          <w:lang w:val="fr-FR"/>
        </w:rPr>
        <w:t>Formulaire ELI-3</w:t>
      </w:r>
      <w:r w:rsidRPr="004E4188">
        <w:rPr>
          <w:sz w:val="32"/>
          <w:szCs w:val="32"/>
          <w:lang w:val="fr-FR"/>
        </w:rPr>
        <w:br/>
        <w:t>Renseignements sur chaque sous-traitant</w:t>
      </w:r>
      <w:bookmarkEnd w:id="602"/>
      <w:bookmarkEnd w:id="603"/>
    </w:p>
    <w:p w14:paraId="1E3BEF82" w14:textId="77777777" w:rsidR="007049A5" w:rsidRPr="004E4188" w:rsidRDefault="007049A5" w:rsidP="006C6267">
      <w:pPr>
        <w:spacing w:before="60"/>
        <w:jc w:val="right"/>
        <w:rPr>
          <w:spacing w:val="-2"/>
        </w:rPr>
      </w:pPr>
      <w:r w:rsidRPr="004E4188">
        <w:rPr>
          <w:spacing w:val="-2"/>
        </w:rPr>
        <w:t xml:space="preserve">Date : </w:t>
      </w:r>
      <w:r w:rsidRPr="004E4188">
        <w:rPr>
          <w:iCs/>
          <w:spacing w:val="-2"/>
        </w:rPr>
        <w:t>[</w:t>
      </w:r>
      <w:r w:rsidRPr="004E4188">
        <w:rPr>
          <w:i/>
          <w:iCs/>
          <w:spacing w:val="-2"/>
        </w:rPr>
        <w:t>indiquer jour, mois, année</w:t>
      </w:r>
      <w:r w:rsidRPr="004E4188">
        <w:rPr>
          <w:iCs/>
          <w:spacing w:val="-2"/>
        </w:rPr>
        <w:t>]</w:t>
      </w:r>
    </w:p>
    <w:p w14:paraId="7C600705" w14:textId="1A77CF96" w:rsidR="007049A5" w:rsidRPr="004E4188" w:rsidRDefault="007049A5" w:rsidP="006C6267">
      <w:pPr>
        <w:jc w:val="right"/>
        <w:rPr>
          <w:i/>
          <w:iCs/>
          <w:spacing w:val="-2"/>
        </w:rPr>
      </w:pPr>
      <w:r w:rsidRPr="004E4188">
        <w:rPr>
          <w:spacing w:val="-2"/>
        </w:rPr>
        <w:t>AAO n</w:t>
      </w:r>
      <w:r w:rsidRPr="004E4188">
        <w:rPr>
          <w:spacing w:val="-2"/>
          <w:vertAlign w:val="superscript"/>
        </w:rPr>
        <w:t>o</w:t>
      </w:r>
      <w:r w:rsidR="008974E7" w:rsidRPr="004E4188">
        <w:rPr>
          <w:spacing w:val="-2"/>
        </w:rPr>
        <w:t xml:space="preserve"> </w:t>
      </w:r>
      <w:r w:rsidRPr="004E4188">
        <w:rPr>
          <w:spacing w:val="-2"/>
        </w:rPr>
        <w:t xml:space="preserve">: </w:t>
      </w:r>
      <w:r w:rsidRPr="004E4188">
        <w:rPr>
          <w:iCs/>
          <w:spacing w:val="-2"/>
        </w:rPr>
        <w:t>[</w:t>
      </w:r>
      <w:r w:rsidRPr="004E4188">
        <w:rPr>
          <w:i/>
          <w:iCs/>
          <w:spacing w:val="-2"/>
        </w:rPr>
        <w:t>indiquer le numéro</w:t>
      </w:r>
      <w:r w:rsidRPr="004E4188">
        <w:rPr>
          <w:iCs/>
          <w:spacing w:val="-2"/>
        </w:rPr>
        <w:t>]</w:t>
      </w:r>
    </w:p>
    <w:p w14:paraId="0AFA3EE2" w14:textId="77777777" w:rsidR="007049A5" w:rsidRPr="004E4188" w:rsidRDefault="007049A5" w:rsidP="006C6267">
      <w:pPr>
        <w:jc w:val="right"/>
        <w:rPr>
          <w:spacing w:val="-2"/>
        </w:rPr>
      </w:pPr>
      <w:r w:rsidRPr="004E4188">
        <w:rPr>
          <w:iCs/>
          <w:spacing w:val="-2"/>
        </w:rPr>
        <w:t>Page </w:t>
      </w:r>
      <w:r w:rsidRPr="004E4188">
        <w:rPr>
          <w:spacing w:val="-2"/>
        </w:rPr>
        <w:t xml:space="preserve">: </w:t>
      </w:r>
      <w:r w:rsidRPr="004E4188">
        <w:rPr>
          <w:iCs/>
          <w:spacing w:val="-2"/>
        </w:rPr>
        <w:t>[</w:t>
      </w:r>
      <w:r w:rsidRPr="004E4188">
        <w:rPr>
          <w:i/>
          <w:iCs/>
          <w:spacing w:val="-2"/>
        </w:rPr>
        <w:t>indiquer le numéro de la page</w:t>
      </w:r>
      <w:r w:rsidRPr="004E4188">
        <w:rPr>
          <w:iCs/>
          <w:spacing w:val="-2"/>
        </w:rPr>
        <w:t>]</w:t>
      </w:r>
      <w:r w:rsidRPr="004E4188">
        <w:rPr>
          <w:i/>
          <w:iCs/>
          <w:spacing w:val="-2"/>
        </w:rPr>
        <w:t xml:space="preserve"> </w:t>
      </w:r>
      <w:r w:rsidRPr="004E4188">
        <w:rPr>
          <w:iCs/>
          <w:spacing w:val="-2"/>
        </w:rPr>
        <w:t>de</w:t>
      </w:r>
      <w:r w:rsidRPr="004E4188">
        <w:rPr>
          <w:i/>
          <w:iCs/>
          <w:spacing w:val="-2"/>
        </w:rPr>
        <w:t xml:space="preserve"> </w:t>
      </w:r>
      <w:r w:rsidRPr="004E4188">
        <w:rPr>
          <w:iCs/>
          <w:spacing w:val="-2"/>
        </w:rPr>
        <w:t>[</w:t>
      </w:r>
      <w:r w:rsidRPr="004E4188">
        <w:rPr>
          <w:i/>
          <w:iCs/>
          <w:spacing w:val="-2"/>
        </w:rPr>
        <w:t>indiquer le nombre total de</w:t>
      </w:r>
      <w:r w:rsidRPr="004E4188">
        <w:rPr>
          <w:iCs/>
          <w:spacing w:val="-2"/>
        </w:rPr>
        <w:t>] pages</w:t>
      </w:r>
    </w:p>
    <w:p w14:paraId="3D4B2584" w14:textId="77777777" w:rsidR="007049A5" w:rsidRPr="004E4188" w:rsidRDefault="007049A5" w:rsidP="006C6267">
      <w:pPr>
        <w:jc w:val="right"/>
        <w:rPr>
          <w:spacing w:val="-2"/>
          <w:szCs w:val="24"/>
          <w:lang w:eastAsia="ja-JP"/>
        </w:rPr>
      </w:pPr>
    </w:p>
    <w:p w14:paraId="06EB0263" w14:textId="77777777" w:rsidR="007049A5" w:rsidRPr="004E4188" w:rsidRDefault="007049A5" w:rsidP="006C6267">
      <w:pPr>
        <w:jc w:val="right"/>
        <w:rPr>
          <w:spacing w:val="-2"/>
          <w:szCs w:val="24"/>
          <w:lang w:eastAsia="ja-JP"/>
        </w:rPr>
      </w:pPr>
    </w:p>
    <w:p w14:paraId="00C743BF" w14:textId="3B84ED37" w:rsidR="007049A5" w:rsidRPr="004E4188" w:rsidRDefault="007049A5" w:rsidP="006C6267">
      <w:pPr>
        <w:rPr>
          <w:i/>
          <w:iCs/>
          <w:spacing w:val="2"/>
          <w:szCs w:val="24"/>
        </w:rPr>
      </w:pPr>
      <w:r w:rsidRPr="004E4188">
        <w:rPr>
          <w:iCs/>
          <w:spacing w:val="2"/>
          <w:szCs w:val="24"/>
        </w:rPr>
        <w:t>[</w:t>
      </w:r>
      <w:r w:rsidRPr="004E4188">
        <w:rPr>
          <w:i/>
          <w:iCs/>
          <w:spacing w:val="2"/>
          <w:szCs w:val="24"/>
        </w:rPr>
        <w:t xml:space="preserve">Le formulaire ci-dessous complète les </w:t>
      </w:r>
      <w:r w:rsidR="00510D0A" w:rsidRPr="004E4188">
        <w:rPr>
          <w:i/>
          <w:iCs/>
          <w:spacing w:val="2"/>
          <w:szCs w:val="24"/>
        </w:rPr>
        <w:t>f</w:t>
      </w:r>
      <w:r w:rsidRPr="004E4188">
        <w:rPr>
          <w:i/>
          <w:iCs/>
          <w:spacing w:val="2"/>
          <w:szCs w:val="24"/>
        </w:rPr>
        <w:t>ormulaires ELI</w:t>
      </w:r>
      <w:r w:rsidRPr="004E4188">
        <w:rPr>
          <w:rFonts w:hint="eastAsia"/>
          <w:i/>
          <w:iCs/>
          <w:spacing w:val="2"/>
          <w:szCs w:val="24"/>
        </w:rPr>
        <w:t>-</w:t>
      </w:r>
      <w:r w:rsidRPr="004E4188">
        <w:rPr>
          <w:i/>
          <w:iCs/>
          <w:spacing w:val="2"/>
          <w:szCs w:val="24"/>
        </w:rPr>
        <w:t xml:space="preserve">1 et ELI-2 (le cas échéant), et doit être rempli pour fournir des renseignements sur </w:t>
      </w:r>
      <w:r w:rsidRPr="004E4188">
        <w:rPr>
          <w:i/>
          <w:iCs/>
          <w:spacing w:val="2"/>
          <w:szCs w:val="24"/>
          <w:u w:val="single"/>
        </w:rPr>
        <w:t>le sous-traitant spécialisé</w:t>
      </w:r>
      <w:r w:rsidRPr="004E4188">
        <w:rPr>
          <w:i/>
          <w:iCs/>
          <w:spacing w:val="2"/>
          <w:szCs w:val="24"/>
        </w:rPr>
        <w:t xml:space="preserve"> (le cas échéant) proposé par le Soumissionnaire pour l’exécution des activités principales énumérées aux Critères de préqualification ou au Critère 2.4.2(b) de la Section III, Critère d’évaluation et de qualification, selon le cas, ou </w:t>
      </w:r>
      <w:r w:rsidRPr="004E4188">
        <w:rPr>
          <w:i/>
          <w:iCs/>
          <w:spacing w:val="2"/>
          <w:szCs w:val="24"/>
          <w:u w:val="single"/>
        </w:rPr>
        <w:t>les sous-traitants proposés pour les éléments majeurs des Équip</w:t>
      </w:r>
      <w:r w:rsidR="00F8558F" w:rsidRPr="004E4188">
        <w:rPr>
          <w:i/>
          <w:iCs/>
          <w:spacing w:val="2"/>
          <w:szCs w:val="24"/>
          <w:u w:val="single"/>
        </w:rPr>
        <w:t>e</w:t>
      </w:r>
      <w:r w:rsidRPr="004E4188">
        <w:rPr>
          <w:i/>
          <w:iCs/>
          <w:spacing w:val="2"/>
          <w:szCs w:val="24"/>
          <w:u w:val="single"/>
        </w:rPr>
        <w:t>ments</w:t>
      </w:r>
      <w:r w:rsidRPr="004E4188">
        <w:rPr>
          <w:i/>
          <w:iCs/>
          <w:spacing w:val="2"/>
          <w:szCs w:val="24"/>
        </w:rPr>
        <w:t xml:space="preserve"> et énumérés par le Maître d’ouvrage dans les Critère 1.1.3 de la Section III, Critères d’évaluation et de qualification. Les documents cités comme requis doivent être remis en tant que pièces jointes aux présentes.</w:t>
      </w:r>
      <w:r w:rsidRPr="004E4188">
        <w:rPr>
          <w:iCs/>
          <w:spacing w:val="2"/>
          <w:szCs w:val="24"/>
        </w:rPr>
        <w:t>]</w:t>
      </w:r>
    </w:p>
    <w:p w14:paraId="777E9734" w14:textId="77777777" w:rsidR="007049A5" w:rsidRPr="004E4188" w:rsidRDefault="007049A5" w:rsidP="006C6267">
      <w:pPr>
        <w:jc w:val="right"/>
        <w:rPr>
          <w:spacing w:val="-2"/>
          <w:szCs w:val="24"/>
          <w:lang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7049A5" w:rsidRPr="004E4188" w14:paraId="4A05BE62" w14:textId="77777777" w:rsidTr="006C6267">
        <w:trPr>
          <w:cantSplit/>
          <w:trHeight w:val="711"/>
        </w:trPr>
        <w:tc>
          <w:tcPr>
            <w:tcW w:w="9067" w:type="dxa"/>
          </w:tcPr>
          <w:p w14:paraId="4E7B9529" w14:textId="77777777" w:rsidR="007049A5" w:rsidRPr="004E4188" w:rsidRDefault="007049A5" w:rsidP="006C6267">
            <w:pPr>
              <w:numPr>
                <w:ilvl w:val="12"/>
                <w:numId w:val="0"/>
              </w:numPr>
              <w:spacing w:before="40" w:after="40"/>
              <w:rPr>
                <w:i/>
                <w:iCs/>
              </w:rPr>
            </w:pPr>
            <w:r w:rsidRPr="004E4188">
              <w:rPr>
                <w:spacing w:val="-2"/>
              </w:rPr>
              <w:t>Nom légal du Soumissionnaire :</w:t>
            </w:r>
            <w:r w:rsidRPr="004E4188">
              <w:rPr>
                <w:i/>
                <w:iCs/>
              </w:rPr>
              <w:t xml:space="preserve"> </w:t>
            </w:r>
          </w:p>
          <w:p w14:paraId="7616213B" w14:textId="77777777" w:rsidR="007049A5" w:rsidRPr="004E4188" w:rsidRDefault="007049A5" w:rsidP="006C6267">
            <w:pPr>
              <w:numPr>
                <w:ilvl w:val="12"/>
                <w:numId w:val="0"/>
              </w:numPr>
              <w:spacing w:before="40" w:after="40"/>
            </w:pPr>
            <w:r w:rsidRPr="004E4188">
              <w:rPr>
                <w:iCs/>
              </w:rPr>
              <w:t>[</w:t>
            </w:r>
            <w:r w:rsidRPr="004E4188">
              <w:rPr>
                <w:i/>
                <w:iCs/>
              </w:rPr>
              <w:t xml:space="preserve">indiquer le </w:t>
            </w:r>
            <w:r w:rsidRPr="004E4188">
              <w:rPr>
                <w:i/>
                <w:spacing w:val="-2"/>
              </w:rPr>
              <w:t>nom complet</w:t>
            </w:r>
            <w:r w:rsidRPr="004E4188">
              <w:rPr>
                <w:iCs/>
              </w:rPr>
              <w:t>]</w:t>
            </w:r>
          </w:p>
        </w:tc>
      </w:tr>
      <w:tr w:rsidR="007049A5" w:rsidRPr="004E4188" w14:paraId="45C68258" w14:textId="77777777" w:rsidTr="006C6267">
        <w:trPr>
          <w:cantSplit/>
          <w:trHeight w:val="674"/>
        </w:trPr>
        <w:tc>
          <w:tcPr>
            <w:tcW w:w="9067" w:type="dxa"/>
          </w:tcPr>
          <w:p w14:paraId="59658972" w14:textId="77777777" w:rsidR="007049A5" w:rsidRPr="004E4188" w:rsidRDefault="007049A5" w:rsidP="006C6267">
            <w:pPr>
              <w:numPr>
                <w:ilvl w:val="12"/>
                <w:numId w:val="0"/>
              </w:numPr>
              <w:spacing w:before="40" w:after="40"/>
            </w:pPr>
            <w:r w:rsidRPr="004E4188">
              <w:t>Nom légal du sous-</w:t>
            </w:r>
            <w:r w:rsidRPr="004E4188">
              <w:rPr>
                <w:rFonts w:hint="eastAsia"/>
                <w:lang w:eastAsia="ja-JP"/>
              </w:rPr>
              <w:t>t</w:t>
            </w:r>
            <w:r w:rsidRPr="004E4188">
              <w:rPr>
                <w:lang w:eastAsia="ja-JP"/>
              </w:rPr>
              <w:t>raitant</w:t>
            </w:r>
            <w:r w:rsidRPr="004E4188">
              <w:t xml:space="preserve"> :</w:t>
            </w:r>
          </w:p>
          <w:p w14:paraId="2756BE12" w14:textId="77777777" w:rsidR="007049A5" w:rsidRPr="004E4188" w:rsidRDefault="007049A5" w:rsidP="006C6267">
            <w:pPr>
              <w:numPr>
                <w:ilvl w:val="12"/>
                <w:numId w:val="0"/>
              </w:numPr>
              <w:spacing w:before="40" w:after="40"/>
            </w:pPr>
            <w:r w:rsidRPr="004E4188">
              <w:rPr>
                <w:iCs/>
              </w:rPr>
              <w:t>[</w:t>
            </w:r>
            <w:r w:rsidRPr="004E4188">
              <w:rPr>
                <w:i/>
                <w:iCs/>
              </w:rPr>
              <w:t xml:space="preserve">indiquer le </w:t>
            </w:r>
            <w:r w:rsidRPr="004E4188">
              <w:rPr>
                <w:i/>
                <w:spacing w:val="-2"/>
              </w:rPr>
              <w:t xml:space="preserve">nom complet </w:t>
            </w:r>
            <w:r w:rsidRPr="004E4188">
              <w:rPr>
                <w:i/>
              </w:rPr>
              <w:t>du sous-</w:t>
            </w:r>
            <w:r w:rsidRPr="004E4188">
              <w:rPr>
                <w:rFonts w:hint="eastAsia"/>
                <w:i/>
                <w:lang w:eastAsia="ja-JP"/>
              </w:rPr>
              <w:t>t</w:t>
            </w:r>
            <w:r w:rsidRPr="004E4188">
              <w:rPr>
                <w:i/>
                <w:lang w:eastAsia="ja-JP"/>
              </w:rPr>
              <w:t>raitant</w:t>
            </w:r>
            <w:r w:rsidRPr="004E4188">
              <w:rPr>
                <w:iCs/>
              </w:rPr>
              <w:t>]</w:t>
            </w:r>
          </w:p>
        </w:tc>
      </w:tr>
      <w:tr w:rsidR="007049A5" w:rsidRPr="004E4188" w14:paraId="4591D42D" w14:textId="77777777" w:rsidTr="006C6267">
        <w:trPr>
          <w:cantSplit/>
          <w:trHeight w:val="674"/>
        </w:trPr>
        <w:tc>
          <w:tcPr>
            <w:tcW w:w="9067" w:type="dxa"/>
          </w:tcPr>
          <w:p w14:paraId="6B834095" w14:textId="77777777" w:rsidR="007049A5" w:rsidRPr="004E4188" w:rsidRDefault="007049A5" w:rsidP="006C6267">
            <w:pPr>
              <w:numPr>
                <w:ilvl w:val="12"/>
                <w:numId w:val="0"/>
              </w:numPr>
              <w:spacing w:before="40" w:after="40"/>
            </w:pPr>
            <w:r w:rsidRPr="004E4188">
              <w:t>Pays de constitution en société du sous-</w:t>
            </w:r>
            <w:r w:rsidRPr="004E4188">
              <w:rPr>
                <w:rFonts w:hint="eastAsia"/>
                <w:lang w:eastAsia="ja-JP"/>
              </w:rPr>
              <w:t>t</w:t>
            </w:r>
            <w:r w:rsidRPr="004E4188">
              <w:rPr>
                <w:lang w:eastAsia="ja-JP"/>
              </w:rPr>
              <w:t>raitant</w:t>
            </w:r>
            <w:r w:rsidRPr="004E4188">
              <w:t xml:space="preserve"> :</w:t>
            </w:r>
          </w:p>
          <w:p w14:paraId="2551936F" w14:textId="77777777" w:rsidR="007049A5" w:rsidRPr="004E4188" w:rsidRDefault="007049A5" w:rsidP="006C6267">
            <w:pPr>
              <w:numPr>
                <w:ilvl w:val="12"/>
                <w:numId w:val="0"/>
              </w:numPr>
              <w:spacing w:before="40" w:after="40"/>
            </w:pPr>
            <w:r w:rsidRPr="004E4188">
              <w:rPr>
                <w:iCs/>
              </w:rPr>
              <w:t>[</w:t>
            </w:r>
            <w:r w:rsidRPr="004E4188">
              <w:rPr>
                <w:i/>
                <w:iCs/>
              </w:rPr>
              <w:t>indiquer le pays de constitution</w:t>
            </w:r>
            <w:r w:rsidRPr="004E4188">
              <w:rPr>
                <w:iCs/>
              </w:rPr>
              <w:t>]</w:t>
            </w:r>
          </w:p>
        </w:tc>
      </w:tr>
      <w:tr w:rsidR="007049A5" w:rsidRPr="004E4188" w14:paraId="4B7ED2DE" w14:textId="77777777" w:rsidTr="006C6267">
        <w:trPr>
          <w:cantSplit/>
        </w:trPr>
        <w:tc>
          <w:tcPr>
            <w:tcW w:w="9067" w:type="dxa"/>
          </w:tcPr>
          <w:p w14:paraId="0685ADCC" w14:textId="77777777" w:rsidR="007049A5" w:rsidRPr="004E4188" w:rsidRDefault="007049A5" w:rsidP="006C6267">
            <w:pPr>
              <w:numPr>
                <w:ilvl w:val="12"/>
                <w:numId w:val="0"/>
              </w:numPr>
              <w:spacing w:before="40" w:after="40"/>
            </w:pPr>
            <w:r w:rsidRPr="004E4188">
              <w:t>Année de constitution en société du sous-</w:t>
            </w:r>
            <w:r w:rsidRPr="004E4188">
              <w:rPr>
                <w:rFonts w:hint="eastAsia"/>
                <w:lang w:eastAsia="ja-JP"/>
              </w:rPr>
              <w:t>t</w:t>
            </w:r>
            <w:r w:rsidRPr="004E4188">
              <w:rPr>
                <w:lang w:eastAsia="ja-JP"/>
              </w:rPr>
              <w:t>raitant</w:t>
            </w:r>
            <w:r w:rsidRPr="004E4188">
              <w:t xml:space="preserve"> :</w:t>
            </w:r>
          </w:p>
          <w:p w14:paraId="516930B8" w14:textId="77777777" w:rsidR="007049A5" w:rsidRPr="004E4188" w:rsidRDefault="007049A5" w:rsidP="006C6267">
            <w:pPr>
              <w:numPr>
                <w:ilvl w:val="12"/>
                <w:numId w:val="0"/>
              </w:numPr>
              <w:spacing w:before="40" w:after="40"/>
            </w:pPr>
            <w:r w:rsidRPr="004E4188">
              <w:rPr>
                <w:iCs/>
                <w:lang w:val="es-ES_tradnl"/>
              </w:rPr>
              <w:t>[</w:t>
            </w:r>
            <w:r w:rsidRPr="004E4188">
              <w:rPr>
                <w:i/>
                <w:iCs/>
                <w:lang w:val="es-ES_tradnl"/>
              </w:rPr>
              <w:t>indiquer l’année de constitution</w:t>
            </w:r>
            <w:r w:rsidRPr="004E4188">
              <w:rPr>
                <w:iCs/>
                <w:lang w:val="es-ES_tradnl"/>
              </w:rPr>
              <w:t>]</w:t>
            </w:r>
          </w:p>
        </w:tc>
      </w:tr>
      <w:tr w:rsidR="007049A5" w:rsidRPr="004E4188" w14:paraId="54403874" w14:textId="77777777" w:rsidTr="006C6267">
        <w:trPr>
          <w:cantSplit/>
        </w:trPr>
        <w:tc>
          <w:tcPr>
            <w:tcW w:w="9067" w:type="dxa"/>
          </w:tcPr>
          <w:p w14:paraId="5B6C6830" w14:textId="77777777" w:rsidR="007049A5" w:rsidRPr="004E4188" w:rsidRDefault="007049A5" w:rsidP="006C6267">
            <w:pPr>
              <w:numPr>
                <w:ilvl w:val="12"/>
                <w:numId w:val="0"/>
              </w:numPr>
              <w:spacing w:before="40" w:after="40"/>
            </w:pPr>
            <w:r w:rsidRPr="004E4188">
              <w:t>Adresse légale du sous-</w:t>
            </w:r>
            <w:r w:rsidRPr="004E4188">
              <w:rPr>
                <w:rFonts w:hint="eastAsia"/>
                <w:lang w:eastAsia="ja-JP"/>
              </w:rPr>
              <w:t>t</w:t>
            </w:r>
            <w:r w:rsidRPr="004E4188">
              <w:rPr>
                <w:lang w:eastAsia="ja-JP"/>
              </w:rPr>
              <w:t>raitant</w:t>
            </w:r>
            <w:r w:rsidRPr="004E4188">
              <w:t xml:space="preserve"> dans le pays de constitution en société :</w:t>
            </w:r>
          </w:p>
          <w:p w14:paraId="68E5D599" w14:textId="77777777" w:rsidR="007049A5" w:rsidRPr="004E4188" w:rsidRDefault="007049A5" w:rsidP="006C6267">
            <w:pPr>
              <w:numPr>
                <w:ilvl w:val="12"/>
                <w:numId w:val="0"/>
              </w:numPr>
              <w:spacing w:before="40" w:after="40"/>
            </w:pPr>
            <w:r w:rsidRPr="004E4188">
              <w:rPr>
                <w:iCs/>
              </w:rPr>
              <w:t>[</w:t>
            </w:r>
            <w:r w:rsidRPr="004E4188">
              <w:rPr>
                <w:i/>
                <w:iCs/>
              </w:rPr>
              <w:t xml:space="preserve">indiquer </w:t>
            </w:r>
            <w:r w:rsidRPr="004E4188">
              <w:rPr>
                <w:i/>
                <w:iCs/>
                <w:lang w:val="es-ES_tradnl"/>
              </w:rPr>
              <w:t>l’adresse postale</w:t>
            </w:r>
            <w:r w:rsidRPr="004E4188">
              <w:rPr>
                <w:iCs/>
              </w:rPr>
              <w:t>]</w:t>
            </w:r>
          </w:p>
        </w:tc>
      </w:tr>
      <w:tr w:rsidR="007049A5" w:rsidRPr="004E4188" w14:paraId="7A635BD8" w14:textId="77777777" w:rsidTr="006C6267">
        <w:trPr>
          <w:cantSplit/>
        </w:trPr>
        <w:tc>
          <w:tcPr>
            <w:tcW w:w="9067" w:type="dxa"/>
          </w:tcPr>
          <w:p w14:paraId="3EC2AD3B" w14:textId="77777777" w:rsidR="007049A5" w:rsidRPr="004E4188" w:rsidRDefault="007049A5" w:rsidP="006C6267">
            <w:pPr>
              <w:numPr>
                <w:ilvl w:val="12"/>
                <w:numId w:val="0"/>
              </w:numPr>
              <w:spacing w:before="40" w:after="40"/>
            </w:pPr>
            <w:r w:rsidRPr="004E4188">
              <w:t>Renseignements sur le représentant habilité d</w:t>
            </w:r>
            <w:r w:rsidRPr="004E4188">
              <w:rPr>
                <w:rFonts w:hint="eastAsia"/>
                <w:lang w:eastAsia="ja-JP"/>
              </w:rPr>
              <w:t>u</w:t>
            </w:r>
            <w:r w:rsidRPr="004E4188">
              <w:t xml:space="preserve"> sous-</w:t>
            </w:r>
            <w:r w:rsidRPr="004E4188">
              <w:rPr>
                <w:rFonts w:hint="eastAsia"/>
                <w:lang w:eastAsia="ja-JP"/>
              </w:rPr>
              <w:t>t</w:t>
            </w:r>
            <w:r w:rsidRPr="004E4188">
              <w:rPr>
                <w:lang w:eastAsia="ja-JP"/>
              </w:rPr>
              <w:t>raitant</w:t>
            </w:r>
            <w:r w:rsidRPr="004E4188">
              <w:t> :</w:t>
            </w:r>
          </w:p>
          <w:p w14:paraId="4D7C8A46" w14:textId="77777777" w:rsidR="007049A5" w:rsidRPr="004E4188" w:rsidRDefault="007049A5" w:rsidP="006C6267">
            <w:pPr>
              <w:numPr>
                <w:ilvl w:val="12"/>
                <w:numId w:val="0"/>
              </w:numPr>
              <w:spacing w:before="120" w:after="40"/>
            </w:pPr>
            <w:r w:rsidRPr="004E4188">
              <w:t>Nom :</w:t>
            </w:r>
            <w:r w:rsidRPr="004E4188">
              <w:rPr>
                <w:i/>
                <w:iCs/>
              </w:rPr>
              <w:t xml:space="preserve"> </w:t>
            </w:r>
            <w:r w:rsidRPr="004E4188">
              <w:rPr>
                <w:iCs/>
              </w:rPr>
              <w:t>[</w:t>
            </w:r>
            <w:r w:rsidRPr="004E4188">
              <w:rPr>
                <w:i/>
                <w:iCs/>
              </w:rPr>
              <w:t xml:space="preserve">indiquer le </w:t>
            </w:r>
            <w:r w:rsidRPr="004E4188">
              <w:rPr>
                <w:i/>
                <w:spacing w:val="-2"/>
              </w:rPr>
              <w:t>nom complet</w:t>
            </w:r>
            <w:r w:rsidRPr="004E4188">
              <w:rPr>
                <w:iCs/>
              </w:rPr>
              <w:t>]</w:t>
            </w:r>
          </w:p>
          <w:p w14:paraId="3DD1711A" w14:textId="77777777" w:rsidR="007049A5" w:rsidRPr="004E4188" w:rsidRDefault="007049A5" w:rsidP="006C6267">
            <w:pPr>
              <w:numPr>
                <w:ilvl w:val="12"/>
                <w:numId w:val="0"/>
              </w:numPr>
              <w:spacing w:before="120" w:after="40"/>
            </w:pPr>
            <w:r w:rsidRPr="004E4188">
              <w:t>Adresse :</w:t>
            </w:r>
            <w:r w:rsidRPr="004E4188">
              <w:rPr>
                <w:i/>
                <w:iCs/>
              </w:rPr>
              <w:t xml:space="preserve"> </w:t>
            </w:r>
            <w:r w:rsidRPr="004E4188">
              <w:rPr>
                <w:iCs/>
              </w:rPr>
              <w:t>[</w:t>
            </w:r>
            <w:r w:rsidRPr="004E4188">
              <w:rPr>
                <w:i/>
                <w:iCs/>
              </w:rPr>
              <w:t>indiquer l’adresse postale</w:t>
            </w:r>
            <w:r w:rsidRPr="004E4188">
              <w:rPr>
                <w:iCs/>
              </w:rPr>
              <w:t>]</w:t>
            </w:r>
          </w:p>
          <w:p w14:paraId="26ECCBD6" w14:textId="484D34F7" w:rsidR="007049A5" w:rsidRPr="004E4188" w:rsidRDefault="007049A5" w:rsidP="006C6267">
            <w:pPr>
              <w:numPr>
                <w:ilvl w:val="12"/>
                <w:numId w:val="0"/>
              </w:numPr>
              <w:spacing w:before="120" w:after="40"/>
            </w:pPr>
            <w:r w:rsidRPr="004E4188">
              <w:t>Numéro de téléphone/fax :</w:t>
            </w:r>
            <w:r w:rsidRPr="004E4188">
              <w:rPr>
                <w:iCs/>
              </w:rPr>
              <w:t xml:space="preserve"> [</w:t>
            </w:r>
            <w:r w:rsidRPr="004E4188">
              <w:rPr>
                <w:i/>
                <w:iCs/>
              </w:rPr>
              <w:t>indiquer les numéros de téléphone et fax, y compris les codes ville/pays</w:t>
            </w:r>
            <w:r w:rsidRPr="004E4188">
              <w:rPr>
                <w:iCs/>
              </w:rPr>
              <w:t>]</w:t>
            </w:r>
          </w:p>
          <w:p w14:paraId="65549EF7" w14:textId="77777777" w:rsidR="007049A5" w:rsidRPr="004E4188" w:rsidRDefault="007049A5" w:rsidP="006C6267">
            <w:pPr>
              <w:numPr>
                <w:ilvl w:val="12"/>
                <w:numId w:val="0"/>
              </w:numPr>
              <w:spacing w:before="120" w:after="40"/>
              <w:rPr>
                <w:lang w:eastAsia="ja-JP"/>
              </w:rPr>
            </w:pPr>
            <w:r w:rsidRPr="004E4188">
              <w:t>Adresse électronique :</w:t>
            </w:r>
            <w:r w:rsidRPr="004E4188">
              <w:rPr>
                <w:iCs/>
              </w:rPr>
              <w:t xml:space="preserve"> [</w:t>
            </w:r>
            <w:r w:rsidRPr="004E4188">
              <w:rPr>
                <w:i/>
                <w:iCs/>
              </w:rPr>
              <w:t>indiquer l’adresse e-mail</w:t>
            </w:r>
            <w:r w:rsidRPr="004E4188">
              <w:rPr>
                <w:iCs/>
              </w:rPr>
              <w:t>]</w:t>
            </w:r>
          </w:p>
        </w:tc>
      </w:tr>
      <w:tr w:rsidR="007049A5" w:rsidRPr="004E4188" w14:paraId="7CD8DEE3" w14:textId="77777777" w:rsidTr="006C6267">
        <w:trPr>
          <w:cantSplit/>
        </w:trPr>
        <w:tc>
          <w:tcPr>
            <w:tcW w:w="9067" w:type="dxa"/>
          </w:tcPr>
          <w:p w14:paraId="50C75FCF" w14:textId="77777777" w:rsidR="007049A5" w:rsidRPr="004E4188" w:rsidRDefault="007049A5" w:rsidP="006C6267">
            <w:pPr>
              <w:numPr>
                <w:ilvl w:val="12"/>
                <w:numId w:val="0"/>
              </w:numPr>
              <w:tabs>
                <w:tab w:val="left" w:pos="360"/>
              </w:tabs>
              <w:spacing w:before="40" w:after="120"/>
              <w:ind w:left="354" w:hangingChars="150" w:hanging="354"/>
              <w:rPr>
                <w:spacing w:val="-2"/>
                <w:kern w:val="28"/>
              </w:rPr>
            </w:pPr>
            <w:r w:rsidRPr="004E4188">
              <w:rPr>
                <w:spacing w:val="-2"/>
              </w:rPr>
              <w:t>1.</w:t>
            </w:r>
            <w:r w:rsidRPr="004E4188">
              <w:rPr>
                <w:rFonts w:hint="eastAsia"/>
                <w:spacing w:val="-2"/>
                <w:lang w:eastAsia="ja-JP"/>
              </w:rPr>
              <w:tab/>
            </w:r>
            <w:r w:rsidRPr="004E4188">
              <w:rPr>
                <w:spacing w:val="-2"/>
              </w:rPr>
              <w:t xml:space="preserve">Ci-joint les copies des documents originaux de </w:t>
            </w:r>
            <w:r w:rsidRPr="004E4188">
              <w:rPr>
                <w:spacing w:val="-2"/>
                <w:kern w:val="28"/>
              </w:rPr>
              <w:t>Statuts constitutifs (ou documents équivalents de constitution ou d’association), et/ou documents d’enregistrement de l’entité légale susmentionnée.</w:t>
            </w:r>
          </w:p>
          <w:p w14:paraId="0BB3693C" w14:textId="77777777" w:rsidR="007049A5" w:rsidRPr="004E4188" w:rsidRDefault="007049A5" w:rsidP="006C6267">
            <w:pPr>
              <w:numPr>
                <w:ilvl w:val="12"/>
                <w:numId w:val="0"/>
              </w:numPr>
              <w:tabs>
                <w:tab w:val="left" w:pos="360"/>
              </w:tabs>
              <w:spacing w:before="40" w:after="120"/>
              <w:ind w:left="354" w:hangingChars="150" w:hanging="354"/>
              <w:rPr>
                <w:spacing w:val="-2"/>
                <w:kern w:val="28"/>
              </w:rPr>
            </w:pPr>
            <w:r w:rsidRPr="004E4188">
              <w:rPr>
                <w:spacing w:val="-2"/>
                <w:kern w:val="28"/>
              </w:rPr>
              <w:t>2.</w:t>
            </w:r>
            <w:r w:rsidRPr="004E4188">
              <w:rPr>
                <w:rFonts w:hint="eastAsia"/>
                <w:spacing w:val="-2"/>
                <w:kern w:val="28"/>
                <w:lang w:eastAsia="ja-JP"/>
              </w:rPr>
              <w:tab/>
            </w:r>
            <w:r w:rsidRPr="004E4188">
              <w:rPr>
                <w:spacing w:val="-2"/>
                <w:kern w:val="28"/>
                <w:lang w:eastAsia="ja-JP"/>
              </w:rPr>
              <w:t xml:space="preserve">Sont </w:t>
            </w:r>
            <w:r w:rsidRPr="004E4188">
              <w:rPr>
                <w:spacing w:val="-2"/>
              </w:rPr>
              <w:t>également</w:t>
            </w:r>
            <w:r w:rsidRPr="004E4188">
              <w:rPr>
                <w:spacing w:val="-2"/>
                <w:kern w:val="28"/>
              </w:rPr>
              <w:t xml:space="preserve"> jointes la charte organisationnelle, la liste des membres du conseil d’administration et la propriété bénéficiaire.</w:t>
            </w:r>
          </w:p>
        </w:tc>
      </w:tr>
    </w:tbl>
    <w:p w14:paraId="26EB9E3B" w14:textId="77777777" w:rsidR="007049A5" w:rsidRPr="004E4188" w:rsidRDefault="007049A5" w:rsidP="006C6267">
      <w:pPr>
        <w:pStyle w:val="BankNormal"/>
        <w:spacing w:after="0"/>
        <w:rPr>
          <w:sz w:val="20"/>
          <w:lang w:val="fr-FR" w:eastAsia="ja-JP"/>
        </w:rPr>
      </w:pPr>
    </w:p>
    <w:p w14:paraId="38220956" w14:textId="77777777" w:rsidR="007049A5" w:rsidRPr="004E4188" w:rsidRDefault="007049A5">
      <w:pPr>
        <w:suppressAutoHyphens w:val="0"/>
        <w:overflowPunct/>
        <w:autoSpaceDE/>
        <w:autoSpaceDN/>
        <w:adjustRightInd/>
        <w:jc w:val="left"/>
        <w:textAlignment w:val="auto"/>
        <w:rPr>
          <w:sz w:val="20"/>
          <w:lang w:eastAsia="ja-JP"/>
        </w:rPr>
      </w:pPr>
      <w:r w:rsidRPr="004E4188">
        <w:rPr>
          <w:sz w:val="20"/>
          <w:lang w:eastAsia="ja-JP"/>
        </w:rPr>
        <w:br w:type="page"/>
      </w:r>
    </w:p>
    <w:p w14:paraId="2FD8912C" w14:textId="77777777" w:rsidR="007049A5" w:rsidRPr="004E4188" w:rsidRDefault="007049A5" w:rsidP="006C6267">
      <w:pPr>
        <w:pStyle w:val="SectionIVHeading2"/>
        <w:outlineLvl w:val="2"/>
        <w:rPr>
          <w:sz w:val="32"/>
          <w:szCs w:val="32"/>
          <w:lang w:val="fr-FR"/>
        </w:rPr>
      </w:pPr>
      <w:bookmarkStart w:id="615" w:name="_Toc112429328"/>
      <w:r w:rsidRPr="004E4188">
        <w:rPr>
          <w:sz w:val="32"/>
          <w:szCs w:val="32"/>
          <w:lang w:val="fr-FR"/>
        </w:rPr>
        <w:t xml:space="preserve">Formulaire </w:t>
      </w:r>
      <w:bookmarkEnd w:id="604"/>
      <w:r w:rsidRPr="004E4188">
        <w:rPr>
          <w:sz w:val="32"/>
          <w:szCs w:val="32"/>
          <w:lang w:val="fr-FR"/>
        </w:rPr>
        <w:t>CON</w:t>
      </w:r>
      <w:r w:rsidRPr="004E4188">
        <w:rPr>
          <w:sz w:val="32"/>
          <w:szCs w:val="32"/>
          <w:lang w:val="fr-FR"/>
        </w:rPr>
        <w:br/>
        <w:t>Antécédents de non-exécution de marchés</w:t>
      </w:r>
      <w:bookmarkEnd w:id="605"/>
      <w:bookmarkEnd w:id="606"/>
      <w:bookmarkEnd w:id="607"/>
      <w:r w:rsidRPr="004E4188">
        <w:rPr>
          <w:sz w:val="32"/>
          <w:szCs w:val="32"/>
          <w:lang w:val="fr-FR"/>
        </w:rPr>
        <w:t xml:space="preserve"> et litiges</w:t>
      </w:r>
      <w:bookmarkEnd w:id="615"/>
    </w:p>
    <w:p w14:paraId="7669FE36" w14:textId="55AE2028" w:rsidR="007049A5" w:rsidRPr="004E4188" w:rsidRDefault="007049A5" w:rsidP="007F3621">
      <w:pPr>
        <w:rPr>
          <w:lang w:eastAsia="ja-JP"/>
        </w:rPr>
      </w:pPr>
      <w:r w:rsidRPr="004E4188">
        <w:t>[</w:t>
      </w:r>
      <w:r w:rsidRPr="004E4188">
        <w:rPr>
          <w:i/>
        </w:rPr>
        <w:t>Les tableaux ci-dessous doivent être remplis pour le Soumissionnaire et pour chaque membre du Groupement si le Soumissionnaire est un Groupement.</w:t>
      </w:r>
      <w:r w:rsidRPr="004E4188">
        <w:t>]</w:t>
      </w:r>
    </w:p>
    <w:p w14:paraId="5B4A4C36" w14:textId="77777777" w:rsidR="007049A5" w:rsidRPr="004E4188" w:rsidRDefault="007049A5" w:rsidP="00454DA5">
      <w:pPr>
        <w:ind w:left="960"/>
        <w:rPr>
          <w:lang w:eastAsia="en-US"/>
        </w:rPr>
      </w:pPr>
    </w:p>
    <w:p w14:paraId="4C5A915A" w14:textId="702B0A59" w:rsidR="007049A5" w:rsidRPr="004E4188" w:rsidRDefault="007049A5" w:rsidP="003349F2">
      <w:pPr>
        <w:wordWrap w:val="0"/>
        <w:jc w:val="right"/>
      </w:pPr>
      <w:r w:rsidRPr="004E4188">
        <w:t>Date : [</w:t>
      </w:r>
      <w:r w:rsidRPr="004E4188">
        <w:rPr>
          <w:i/>
        </w:rPr>
        <w:t>indiquer jour, mois, année</w:t>
      </w:r>
      <w:r w:rsidRPr="004E4188">
        <w:t>]</w:t>
      </w:r>
    </w:p>
    <w:p w14:paraId="49870C73" w14:textId="77777777" w:rsidR="007049A5" w:rsidRPr="004E4188" w:rsidRDefault="007049A5" w:rsidP="00631260">
      <w:pPr>
        <w:jc w:val="right"/>
      </w:pPr>
      <w:r w:rsidRPr="004E4188">
        <w:t>Nom légal du Soumissionnaire : [</w:t>
      </w:r>
      <w:r w:rsidRPr="004E4188">
        <w:rPr>
          <w:i/>
        </w:rPr>
        <w:t>indiquer le nom complet</w:t>
      </w:r>
      <w:r w:rsidRPr="004E4188">
        <w:t>]</w:t>
      </w:r>
    </w:p>
    <w:p w14:paraId="5CF5810D" w14:textId="77777777" w:rsidR="007049A5" w:rsidRPr="004E4188" w:rsidRDefault="007049A5" w:rsidP="00631260">
      <w:pPr>
        <w:jc w:val="right"/>
      </w:pPr>
      <w:r w:rsidRPr="004E4188">
        <w:t>Nom légal du</w:t>
      </w:r>
      <w:r w:rsidRPr="004E4188">
        <w:rPr>
          <w:rFonts w:hint="eastAsia"/>
          <w:lang w:eastAsia="ja-JP"/>
        </w:rPr>
        <w:t xml:space="preserve"> </w:t>
      </w:r>
      <w:r w:rsidRPr="004E4188">
        <w:t>membre du Groupement : [</w:t>
      </w:r>
      <w:r w:rsidRPr="004E4188">
        <w:rPr>
          <w:i/>
        </w:rPr>
        <w:t>indiquer le nom complet</w:t>
      </w:r>
      <w:r w:rsidRPr="004E4188">
        <w:t>]</w:t>
      </w:r>
    </w:p>
    <w:p w14:paraId="5164B16E" w14:textId="77777777" w:rsidR="007049A5" w:rsidRPr="004E4188" w:rsidRDefault="007049A5" w:rsidP="00631260">
      <w:pPr>
        <w:tabs>
          <w:tab w:val="right" w:pos="9356"/>
        </w:tabs>
        <w:jc w:val="right"/>
        <w:rPr>
          <w:i/>
          <w:iCs/>
        </w:rPr>
      </w:pPr>
      <w:r w:rsidRPr="004E4188">
        <w:t>AAO n</w:t>
      </w:r>
      <w:r w:rsidRPr="004E4188">
        <w:rPr>
          <w:vertAlign w:val="superscript"/>
        </w:rPr>
        <w:t>o</w:t>
      </w:r>
      <w:r w:rsidRPr="004E4188">
        <w:t xml:space="preserve"> : </w:t>
      </w:r>
      <w:r w:rsidRPr="004E4188">
        <w:rPr>
          <w:iCs/>
        </w:rPr>
        <w:t>[</w:t>
      </w:r>
      <w:r w:rsidRPr="004E4188">
        <w:rPr>
          <w:i/>
          <w:iCs/>
        </w:rPr>
        <w:t>indiquer le numéro</w:t>
      </w:r>
      <w:r w:rsidRPr="004E4188">
        <w:rPr>
          <w:iCs/>
        </w:rPr>
        <w:t>]</w:t>
      </w:r>
    </w:p>
    <w:p w14:paraId="1EF79D68" w14:textId="77777777" w:rsidR="007049A5" w:rsidRPr="004E4188" w:rsidRDefault="007049A5" w:rsidP="00BE6B88">
      <w:pPr>
        <w:tabs>
          <w:tab w:val="right" w:pos="9356"/>
        </w:tabs>
        <w:wordWrap w:val="0"/>
        <w:spacing w:afterLines="100" w:after="240"/>
        <w:jc w:val="right"/>
        <w:rPr>
          <w:i/>
          <w:iCs/>
          <w:spacing w:val="-4"/>
          <w:lang w:eastAsia="ja-JP"/>
        </w:rPr>
      </w:pPr>
      <w:r w:rsidRPr="004E4188">
        <w:rPr>
          <w:iCs/>
          <w:spacing w:val="-4"/>
        </w:rPr>
        <w:t>Page</w:t>
      </w:r>
      <w:r w:rsidRPr="004E4188">
        <w:rPr>
          <w:spacing w:val="-4"/>
        </w:rPr>
        <w:t xml:space="preserve"> : </w:t>
      </w:r>
      <w:r w:rsidRPr="004E4188">
        <w:rPr>
          <w:iCs/>
          <w:spacing w:val="-4"/>
        </w:rPr>
        <w:t>[</w:t>
      </w:r>
      <w:r w:rsidRPr="004E4188">
        <w:rPr>
          <w:i/>
          <w:iCs/>
          <w:spacing w:val="-4"/>
        </w:rPr>
        <w:t>indiquer le numéro de la page</w:t>
      </w:r>
      <w:r w:rsidRPr="004E4188">
        <w:rPr>
          <w:iCs/>
          <w:spacing w:val="-4"/>
        </w:rPr>
        <w:t>]</w:t>
      </w:r>
      <w:r w:rsidRPr="004E4188">
        <w:rPr>
          <w:i/>
          <w:iCs/>
          <w:spacing w:val="-4"/>
        </w:rPr>
        <w:t xml:space="preserve"> </w:t>
      </w:r>
      <w:r w:rsidRPr="004E4188">
        <w:rPr>
          <w:iCs/>
          <w:spacing w:val="-4"/>
        </w:rPr>
        <w:t>de</w:t>
      </w:r>
      <w:r w:rsidRPr="004E4188">
        <w:rPr>
          <w:i/>
          <w:iCs/>
          <w:spacing w:val="-4"/>
        </w:rPr>
        <w:t xml:space="preserve"> </w:t>
      </w:r>
      <w:r w:rsidRPr="004E4188">
        <w:rPr>
          <w:iCs/>
          <w:spacing w:val="-4"/>
        </w:rPr>
        <w:t>[</w:t>
      </w:r>
      <w:r w:rsidRPr="004E4188">
        <w:rPr>
          <w:i/>
          <w:iCs/>
          <w:spacing w:val="-4"/>
        </w:rPr>
        <w:t>indiquer le nombre total de</w:t>
      </w:r>
      <w:r w:rsidRPr="004E4188">
        <w:rPr>
          <w:iCs/>
          <w:spacing w:val="-4"/>
        </w:rPr>
        <w:t>]</w:t>
      </w:r>
      <w:r w:rsidRPr="004E4188">
        <w:rPr>
          <w:i/>
          <w:iCs/>
          <w:spacing w:val="-4"/>
        </w:rPr>
        <w:t xml:space="preserve"> </w:t>
      </w:r>
      <w:r w:rsidRPr="004E4188">
        <w:rPr>
          <w:iCs/>
          <w:spacing w:val="-4"/>
        </w:rPr>
        <w:t>pages</w:t>
      </w:r>
    </w:p>
    <w:p w14:paraId="6D99F0B3" w14:textId="77777777" w:rsidR="007049A5" w:rsidRPr="004E4188" w:rsidRDefault="007049A5" w:rsidP="00BE6B88">
      <w:pPr>
        <w:spacing w:afterLines="100" w:after="240"/>
        <w:rPr>
          <w:b/>
          <w:spacing w:val="-2"/>
          <w:szCs w:val="24"/>
        </w:rPr>
      </w:pPr>
      <w:r w:rsidRPr="004E4188">
        <w:rPr>
          <w:b/>
          <w:spacing w:val="-2"/>
        </w:rPr>
        <w:t xml:space="preserve">1. </w:t>
      </w:r>
      <w:r w:rsidRPr="004E4188">
        <w:rPr>
          <w:b/>
          <w:szCs w:val="24"/>
        </w:rPr>
        <w:t>Antécédents de non-exécution de marchés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535"/>
        <w:gridCol w:w="4272"/>
        <w:gridCol w:w="2172"/>
      </w:tblGrid>
      <w:tr w:rsidR="007049A5" w:rsidRPr="004E4188" w14:paraId="25E4207F" w14:textId="77777777" w:rsidTr="00C95FE8">
        <w:tc>
          <w:tcPr>
            <w:tcW w:w="9072" w:type="dxa"/>
            <w:gridSpan w:val="4"/>
            <w:tcBorders>
              <w:bottom w:val="double" w:sz="4" w:space="0" w:color="auto"/>
            </w:tcBorders>
            <w:shd w:val="clear" w:color="auto" w:fill="C0C0C0"/>
          </w:tcPr>
          <w:p w14:paraId="45B40301" w14:textId="77777777" w:rsidR="007049A5" w:rsidRPr="004E4188" w:rsidRDefault="007049A5" w:rsidP="00BE6B88">
            <w:pPr>
              <w:pStyle w:val="titulo"/>
              <w:suppressAutoHyphens/>
              <w:spacing w:beforeLines="50" w:before="120" w:afterLines="50" w:after="120"/>
              <w:rPr>
                <w:rFonts w:ascii="Times New Roman" w:hAnsi="Times New Roman"/>
                <w:spacing w:val="-2"/>
                <w:lang w:val="fr-FR"/>
              </w:rPr>
            </w:pPr>
            <w:bookmarkStart w:id="616" w:name="_Toc82587975"/>
            <w:r w:rsidRPr="004E4188">
              <w:rPr>
                <w:rFonts w:ascii="Times New Roman" w:hAnsi="Times New Roman"/>
                <w:spacing w:val="-2"/>
                <w:lang w:val="fr-FR"/>
              </w:rPr>
              <w:t xml:space="preserve">Non-exécution de marchés </w:t>
            </w:r>
            <w:bookmarkEnd w:id="616"/>
          </w:p>
        </w:tc>
      </w:tr>
      <w:tr w:rsidR="007049A5" w:rsidRPr="004E4188" w14:paraId="7D70089E" w14:textId="77777777" w:rsidTr="00C95FE8">
        <w:trPr>
          <w:trHeight w:val="440"/>
        </w:trPr>
        <w:tc>
          <w:tcPr>
            <w:tcW w:w="9072" w:type="dxa"/>
            <w:gridSpan w:val="4"/>
            <w:tcBorders>
              <w:top w:val="double" w:sz="4" w:space="0" w:color="auto"/>
            </w:tcBorders>
          </w:tcPr>
          <w:p w14:paraId="3BBF6787" w14:textId="77777777" w:rsidR="007049A5" w:rsidRPr="004E4188" w:rsidRDefault="007049A5" w:rsidP="006C6267">
            <w:pPr>
              <w:tabs>
                <w:tab w:val="left" w:pos="426"/>
              </w:tabs>
              <w:spacing w:before="40" w:afterLines="50" w:after="120"/>
              <w:rPr>
                <w:spacing w:val="-2"/>
              </w:rPr>
            </w:pPr>
            <w:r w:rsidRPr="004E4188">
              <w:t xml:space="preserve">Conformément aux </w:t>
            </w:r>
            <w:r w:rsidRPr="004E4188">
              <w:rPr>
                <w:spacing w:val="-2"/>
              </w:rPr>
              <w:t xml:space="preserve">critères de préqualification ou au Critère 2.2.1 de la Section </w:t>
            </w:r>
            <w:smartTag w:uri="urn:schemas-microsoft-com:office:smarttags" w:element="stockticker">
              <w:r w:rsidRPr="004E4188">
                <w:rPr>
                  <w:spacing w:val="-2"/>
                </w:rPr>
                <w:t>III</w:t>
              </w:r>
            </w:smartTag>
            <w:r w:rsidRPr="004E4188">
              <w:rPr>
                <w:spacing w:val="-2"/>
              </w:rPr>
              <w:t>, Critères d’évaluation et de qualification, selon le cas</w:t>
            </w:r>
            <w:r w:rsidRPr="004E4188">
              <w:t xml:space="preserve">, </w:t>
            </w:r>
            <w:r w:rsidRPr="004E4188">
              <w:rPr>
                <w:spacing w:val="-2"/>
              </w:rPr>
              <w:t>depuis le 1</w:t>
            </w:r>
            <w:r w:rsidRPr="004E4188">
              <w:rPr>
                <w:spacing w:val="-2"/>
                <w:vertAlign w:val="superscript"/>
              </w:rPr>
              <w:t>er</w:t>
            </w:r>
            <w:r w:rsidRPr="004E4188">
              <w:rPr>
                <w:spacing w:val="-2"/>
              </w:rPr>
              <w:t xml:space="preserve"> janvier [</w:t>
            </w:r>
            <w:r w:rsidRPr="004E4188">
              <w:rPr>
                <w:i/>
                <w:spacing w:val="-2"/>
              </w:rPr>
              <w:t>le Maître d’ouvrage doit indiquer l’année</w:t>
            </w:r>
            <w:r w:rsidRPr="004E4188">
              <w:rPr>
                <w:spacing w:val="-2"/>
              </w:rPr>
              <w:t>] :</w:t>
            </w:r>
          </w:p>
          <w:p w14:paraId="38F37325" w14:textId="77777777" w:rsidR="007049A5" w:rsidRPr="004E4188" w:rsidRDefault="007049A5" w:rsidP="006C6267">
            <w:pPr>
              <w:tabs>
                <w:tab w:val="left" w:pos="426"/>
              </w:tabs>
              <w:spacing w:before="40" w:afterLines="50" w:after="120"/>
              <w:rPr>
                <w:spacing w:val="-2"/>
              </w:rPr>
            </w:pPr>
            <w:r w:rsidRPr="004E4188">
              <w:rPr>
                <w:spacing w:val="-2"/>
              </w:rPr>
              <w:t>[</w:t>
            </w:r>
            <w:r w:rsidRPr="004E4188">
              <w:rPr>
                <w:i/>
                <w:spacing w:val="-2"/>
              </w:rPr>
              <w:t>Le Soumissionnaire doit choisir</w:t>
            </w:r>
            <w:r w:rsidRPr="004E4188">
              <w:rPr>
                <w:i/>
              </w:rPr>
              <w:t xml:space="preserve"> une des deux options indiquées</w:t>
            </w:r>
            <w:r w:rsidRPr="004E4188">
              <w:rPr>
                <w:i/>
                <w:spacing w:val="-2"/>
              </w:rPr>
              <w:t xml:space="preserve"> ci-dessous en cochant la case appropriée</w:t>
            </w:r>
            <w:r w:rsidRPr="004E4188">
              <w:rPr>
                <w:spacing w:val="-2"/>
                <w:lang w:eastAsia="ja-JP"/>
              </w:rPr>
              <w:t>.</w:t>
            </w:r>
            <w:r w:rsidRPr="004E4188">
              <w:rPr>
                <w:spacing w:val="-2"/>
              </w:rPr>
              <w:t>]</w:t>
            </w:r>
          </w:p>
          <w:p w14:paraId="6E9528C2" w14:textId="77777777" w:rsidR="007049A5" w:rsidRPr="004E4188" w:rsidRDefault="007049A5" w:rsidP="00BE6B88">
            <w:pPr>
              <w:tabs>
                <w:tab w:val="left" w:pos="426"/>
              </w:tabs>
              <w:spacing w:before="40" w:afterLines="50" w:after="120"/>
              <w:ind w:left="425" w:hanging="425"/>
              <w:rPr>
                <w:spacing w:val="-2"/>
              </w:rPr>
            </w:pPr>
            <w:r w:rsidRPr="004E4188">
              <w:rPr>
                <w:rFonts w:ascii="ＭＳ 明朝" w:hAnsi="ＭＳ 明朝" w:cs="ＭＳ 明朝"/>
                <w:spacing w:val="-2"/>
              </w:rPr>
              <w:sym w:font="Wingdings" w:char="F0A8"/>
            </w:r>
            <w:r w:rsidRPr="004E4188">
              <w:rPr>
                <w:rFonts w:ascii="MT Extra" w:hAnsi="MT Extra"/>
                <w:spacing w:val="-2"/>
                <w:lang w:eastAsia="ja-JP"/>
              </w:rPr>
              <w:tab/>
            </w:r>
            <w:r w:rsidRPr="004E4188">
              <w:rPr>
                <w:spacing w:val="-2"/>
              </w:rPr>
              <w:t>Pas de non-exécution de marchés.</w:t>
            </w:r>
          </w:p>
          <w:p w14:paraId="6B497DE7" w14:textId="77777777" w:rsidR="007049A5" w:rsidRPr="004E4188" w:rsidRDefault="007049A5" w:rsidP="006C6267">
            <w:pPr>
              <w:tabs>
                <w:tab w:val="left" w:pos="426"/>
              </w:tabs>
              <w:spacing w:before="40" w:afterLines="50" w:after="120"/>
              <w:ind w:left="425" w:hanging="425"/>
              <w:rPr>
                <w:spacing w:val="-2"/>
                <w:lang w:eastAsia="ja-JP"/>
              </w:rPr>
            </w:pPr>
            <w:r w:rsidRPr="004E4188">
              <w:rPr>
                <w:rFonts w:ascii="ＭＳ 明朝" w:hAnsi="ＭＳ 明朝" w:cs="ＭＳ 明朝"/>
                <w:spacing w:val="-2"/>
              </w:rPr>
              <w:sym w:font="Wingdings" w:char="F0A8"/>
            </w:r>
            <w:r w:rsidRPr="004E4188">
              <w:rPr>
                <w:rFonts w:ascii="MT Extra" w:hAnsi="MT Extra"/>
                <w:spacing w:val="-2"/>
              </w:rPr>
              <w:t></w:t>
            </w:r>
            <w:r w:rsidRPr="004E4188">
              <w:rPr>
                <w:spacing w:val="-2"/>
                <w:lang w:eastAsia="ja-JP"/>
              </w:rPr>
              <w:tab/>
              <w:t>Non</w:t>
            </w:r>
            <w:r w:rsidRPr="004E4188">
              <w:rPr>
                <w:spacing w:val="-2"/>
              </w:rPr>
              <w:t xml:space="preserve">-exécution de marchés, tels qu’indiqués ci-dessous : </w:t>
            </w:r>
          </w:p>
        </w:tc>
      </w:tr>
      <w:tr w:rsidR="007049A5" w:rsidRPr="004E4188" w14:paraId="454E07A3" w14:textId="77777777" w:rsidTr="00C95FE8">
        <w:trPr>
          <w:trHeight w:val="440"/>
        </w:trPr>
        <w:tc>
          <w:tcPr>
            <w:tcW w:w="1093" w:type="dxa"/>
          </w:tcPr>
          <w:p w14:paraId="4E077F6C" w14:textId="77777777" w:rsidR="007049A5" w:rsidRPr="004E4188" w:rsidRDefault="007049A5" w:rsidP="00631260">
            <w:pPr>
              <w:pStyle w:val="titulo"/>
              <w:suppressAutoHyphens/>
              <w:spacing w:after="0"/>
              <w:rPr>
                <w:rFonts w:ascii="Times New Roman" w:hAnsi="Times New Roman"/>
                <w:spacing w:val="-2"/>
                <w:lang w:val="fr-FR"/>
              </w:rPr>
            </w:pPr>
            <w:bookmarkStart w:id="617" w:name="_Toc82587976"/>
            <w:r w:rsidRPr="004E4188">
              <w:rPr>
                <w:rFonts w:ascii="Times New Roman" w:hAnsi="Times New Roman"/>
                <w:spacing w:val="-2"/>
                <w:lang w:val="fr-FR"/>
              </w:rPr>
              <w:t>Année</w:t>
            </w:r>
            <w:bookmarkEnd w:id="617"/>
          </w:p>
        </w:tc>
        <w:tc>
          <w:tcPr>
            <w:tcW w:w="1535" w:type="dxa"/>
          </w:tcPr>
          <w:p w14:paraId="10B02CFA" w14:textId="77777777" w:rsidR="007049A5" w:rsidRPr="004E4188" w:rsidRDefault="007049A5" w:rsidP="00631260">
            <w:pPr>
              <w:pStyle w:val="titulo"/>
              <w:suppressAutoHyphens/>
              <w:spacing w:after="0"/>
              <w:rPr>
                <w:rFonts w:ascii="Times New Roman" w:hAnsi="Times New Roman"/>
                <w:spacing w:val="-2"/>
                <w:lang w:val="fr-FR"/>
              </w:rPr>
            </w:pPr>
            <w:bookmarkStart w:id="618" w:name="_Toc82587977"/>
            <w:r w:rsidRPr="004E4188">
              <w:rPr>
                <w:rFonts w:ascii="Times New Roman" w:hAnsi="Times New Roman"/>
                <w:spacing w:val="-2"/>
                <w:lang w:val="fr-FR"/>
              </w:rPr>
              <w:t xml:space="preserve">Fraction non exécutée du </w:t>
            </w:r>
            <w:bookmarkEnd w:id="618"/>
            <w:r w:rsidRPr="004E4188">
              <w:rPr>
                <w:rFonts w:ascii="Times New Roman" w:hAnsi="Times New Roman"/>
                <w:spacing w:val="-2"/>
                <w:lang w:val="fr-FR"/>
              </w:rPr>
              <w:t>marché</w:t>
            </w:r>
          </w:p>
        </w:tc>
        <w:tc>
          <w:tcPr>
            <w:tcW w:w="4272" w:type="dxa"/>
          </w:tcPr>
          <w:p w14:paraId="6D2B257A" w14:textId="77777777" w:rsidR="007049A5" w:rsidRPr="004E4188" w:rsidRDefault="007049A5" w:rsidP="00631260">
            <w:pPr>
              <w:pStyle w:val="titulo"/>
              <w:suppressAutoHyphens/>
              <w:spacing w:after="0"/>
              <w:rPr>
                <w:rFonts w:ascii="Times New Roman" w:hAnsi="Times New Roman"/>
                <w:spacing w:val="-2"/>
                <w:lang w:val="fr-FR"/>
              </w:rPr>
            </w:pPr>
            <w:bookmarkStart w:id="619" w:name="_Toc82587978"/>
            <w:r w:rsidRPr="004E4188">
              <w:rPr>
                <w:rFonts w:ascii="Times New Roman" w:hAnsi="Times New Roman"/>
                <w:spacing w:val="-2"/>
                <w:lang w:val="fr-FR"/>
              </w:rPr>
              <w:t xml:space="preserve">Identification du </w:t>
            </w:r>
            <w:bookmarkEnd w:id="619"/>
            <w:r w:rsidRPr="004E4188">
              <w:rPr>
                <w:rFonts w:ascii="Times New Roman" w:hAnsi="Times New Roman"/>
                <w:spacing w:val="-2"/>
                <w:lang w:val="fr-FR"/>
              </w:rPr>
              <w:t>marché</w:t>
            </w:r>
          </w:p>
        </w:tc>
        <w:tc>
          <w:tcPr>
            <w:tcW w:w="2172" w:type="dxa"/>
          </w:tcPr>
          <w:p w14:paraId="2B49B268" w14:textId="77777777" w:rsidR="007049A5" w:rsidRPr="004E4188" w:rsidRDefault="007049A5" w:rsidP="006C6267">
            <w:pPr>
              <w:jc w:val="center"/>
              <w:rPr>
                <w:b/>
                <w:spacing w:val="-2"/>
              </w:rPr>
            </w:pPr>
            <w:r w:rsidRPr="004E4188">
              <w:rPr>
                <w:b/>
                <w:spacing w:val="-2"/>
              </w:rPr>
              <w:t>Montant total du marché</w:t>
            </w:r>
          </w:p>
        </w:tc>
      </w:tr>
      <w:tr w:rsidR="007049A5" w:rsidRPr="004E4188" w14:paraId="0B424895" w14:textId="77777777" w:rsidTr="00C95FE8">
        <w:trPr>
          <w:trHeight w:val="935"/>
        </w:trPr>
        <w:tc>
          <w:tcPr>
            <w:tcW w:w="1093" w:type="dxa"/>
          </w:tcPr>
          <w:p w14:paraId="5D87D978" w14:textId="77777777" w:rsidR="007049A5" w:rsidRPr="004E4188" w:rsidRDefault="007049A5" w:rsidP="00631260">
            <w:pPr>
              <w:jc w:val="center"/>
              <w:rPr>
                <w:i/>
                <w:spacing w:val="-2"/>
              </w:rPr>
            </w:pPr>
            <w:r w:rsidRPr="004E4188">
              <w:rPr>
                <w:spacing w:val="-2"/>
              </w:rPr>
              <w:t>[</w:t>
            </w:r>
            <w:r w:rsidRPr="004E4188">
              <w:rPr>
                <w:i/>
                <w:spacing w:val="-2"/>
              </w:rPr>
              <w:t>indiquer l’année</w:t>
            </w:r>
            <w:r w:rsidRPr="004E4188">
              <w:rPr>
                <w:spacing w:val="-2"/>
              </w:rPr>
              <w:t>]</w:t>
            </w:r>
          </w:p>
        </w:tc>
        <w:tc>
          <w:tcPr>
            <w:tcW w:w="1535" w:type="dxa"/>
          </w:tcPr>
          <w:p w14:paraId="3FAEC7F4" w14:textId="77777777" w:rsidR="007049A5" w:rsidRPr="004E4188" w:rsidRDefault="007049A5" w:rsidP="00631260">
            <w:pPr>
              <w:jc w:val="center"/>
              <w:rPr>
                <w:i/>
                <w:spacing w:val="-2"/>
              </w:rPr>
            </w:pPr>
            <w:r w:rsidRPr="004E4188">
              <w:rPr>
                <w:spacing w:val="-2"/>
              </w:rPr>
              <w:t>[</w:t>
            </w:r>
            <w:r w:rsidRPr="004E4188">
              <w:rPr>
                <w:i/>
                <w:spacing w:val="-2"/>
              </w:rPr>
              <w:t>indiquer le montant et pourcentage</w:t>
            </w:r>
            <w:r w:rsidRPr="004E4188">
              <w:rPr>
                <w:spacing w:val="-2"/>
              </w:rPr>
              <w:t>]</w:t>
            </w:r>
          </w:p>
        </w:tc>
        <w:tc>
          <w:tcPr>
            <w:tcW w:w="4272" w:type="dxa"/>
          </w:tcPr>
          <w:p w14:paraId="2F39C30B" w14:textId="77777777" w:rsidR="007049A5" w:rsidRPr="004E4188" w:rsidRDefault="007049A5" w:rsidP="003D46CF">
            <w:pPr>
              <w:numPr>
                <w:ilvl w:val="0"/>
                <w:numId w:val="47"/>
              </w:numPr>
              <w:tabs>
                <w:tab w:val="clear" w:pos="420"/>
                <w:tab w:val="num" w:pos="282"/>
              </w:tabs>
              <w:spacing w:afterLines="50" w:after="120"/>
              <w:ind w:left="282" w:hanging="282"/>
              <w:rPr>
                <w:i/>
                <w:spacing w:val="-2"/>
              </w:rPr>
            </w:pPr>
            <w:r w:rsidRPr="004E4188">
              <w:rPr>
                <w:spacing w:val="-2"/>
              </w:rPr>
              <w:t>Identification du marché : [</w:t>
            </w:r>
            <w:r w:rsidRPr="004E4188">
              <w:rPr>
                <w:i/>
                <w:spacing w:val="-2"/>
              </w:rPr>
              <w:t>indiquer le nom complet/numéro du marché et toute autre forme d’identification</w:t>
            </w:r>
            <w:r w:rsidRPr="004E4188">
              <w:rPr>
                <w:spacing w:val="-2"/>
              </w:rPr>
              <w:t>]</w:t>
            </w:r>
          </w:p>
          <w:p w14:paraId="55FC49F2" w14:textId="77777777" w:rsidR="007049A5" w:rsidRPr="004E4188" w:rsidRDefault="007049A5" w:rsidP="003D46CF">
            <w:pPr>
              <w:numPr>
                <w:ilvl w:val="0"/>
                <w:numId w:val="47"/>
              </w:numPr>
              <w:tabs>
                <w:tab w:val="clear" w:pos="420"/>
                <w:tab w:val="num" w:pos="282"/>
              </w:tabs>
              <w:spacing w:afterLines="50" w:after="120"/>
              <w:ind w:left="282" w:hanging="282"/>
              <w:rPr>
                <w:i/>
                <w:spacing w:val="-2"/>
              </w:rPr>
            </w:pPr>
            <w:r w:rsidRPr="004E4188">
              <w:rPr>
                <w:spacing w:val="-2"/>
              </w:rPr>
              <w:t>Nom du Maître d’ouvrage : [</w:t>
            </w:r>
            <w:r w:rsidRPr="004E4188">
              <w:rPr>
                <w:i/>
                <w:spacing w:val="-2"/>
              </w:rPr>
              <w:t>indiquer le</w:t>
            </w:r>
            <w:r w:rsidRPr="004E4188">
              <w:rPr>
                <w:spacing w:val="-2"/>
              </w:rPr>
              <w:t xml:space="preserve"> </w:t>
            </w:r>
            <w:r w:rsidRPr="004E4188">
              <w:rPr>
                <w:i/>
                <w:spacing w:val="-2"/>
              </w:rPr>
              <w:t>nom complet</w:t>
            </w:r>
            <w:r w:rsidRPr="004E4188">
              <w:rPr>
                <w:spacing w:val="-2"/>
              </w:rPr>
              <w:t xml:space="preserve">] </w:t>
            </w:r>
          </w:p>
          <w:p w14:paraId="4AADB7A8" w14:textId="77777777" w:rsidR="007049A5" w:rsidRPr="004E4188" w:rsidRDefault="007049A5" w:rsidP="003D46CF">
            <w:pPr>
              <w:numPr>
                <w:ilvl w:val="0"/>
                <w:numId w:val="47"/>
              </w:numPr>
              <w:tabs>
                <w:tab w:val="clear" w:pos="420"/>
                <w:tab w:val="num" w:pos="282"/>
              </w:tabs>
              <w:spacing w:afterLines="50" w:after="120"/>
              <w:ind w:left="282" w:hanging="282"/>
              <w:rPr>
                <w:i/>
                <w:spacing w:val="-2"/>
              </w:rPr>
            </w:pPr>
            <w:r w:rsidRPr="004E4188">
              <w:rPr>
                <w:spacing w:val="-2"/>
              </w:rPr>
              <w:t>Adresse du Maître d’ouvrage : [</w:t>
            </w:r>
            <w:r w:rsidRPr="004E4188">
              <w:rPr>
                <w:i/>
                <w:spacing w:val="-2"/>
              </w:rPr>
              <w:t xml:space="preserve">indiquer </w:t>
            </w:r>
            <w:r w:rsidRPr="004E4188">
              <w:rPr>
                <w:i/>
                <w:iCs/>
                <w:szCs w:val="24"/>
                <w:lang w:eastAsia="ja-JP"/>
              </w:rPr>
              <w:t>l’adresse postale</w:t>
            </w:r>
            <w:r w:rsidRPr="004E4188">
              <w:rPr>
                <w:spacing w:val="-2"/>
              </w:rPr>
              <w:t>]</w:t>
            </w:r>
            <w:r w:rsidRPr="004E4188">
              <w:rPr>
                <w:i/>
                <w:spacing w:val="-2"/>
              </w:rPr>
              <w:t xml:space="preserve"> </w:t>
            </w:r>
          </w:p>
          <w:p w14:paraId="056B93B5" w14:textId="77777777" w:rsidR="007049A5" w:rsidRPr="004E4188" w:rsidRDefault="007049A5" w:rsidP="003D46CF">
            <w:pPr>
              <w:numPr>
                <w:ilvl w:val="0"/>
                <w:numId w:val="47"/>
              </w:numPr>
              <w:tabs>
                <w:tab w:val="clear" w:pos="420"/>
                <w:tab w:val="num" w:pos="282"/>
              </w:tabs>
              <w:spacing w:afterLines="50" w:after="120"/>
              <w:ind w:left="282" w:hanging="282"/>
              <w:rPr>
                <w:i/>
                <w:spacing w:val="-2"/>
              </w:rPr>
            </w:pPr>
            <w:r w:rsidRPr="004E4188">
              <w:rPr>
                <w:szCs w:val="24"/>
                <w:lang w:eastAsia="ja-JP"/>
              </w:rPr>
              <w:t>Numéro de téléphone/fax :</w:t>
            </w:r>
            <w:r w:rsidRPr="004E4188">
              <w:rPr>
                <w:iCs/>
                <w:szCs w:val="24"/>
                <w:lang w:eastAsia="ja-JP"/>
              </w:rPr>
              <w:t xml:space="preserve"> [</w:t>
            </w:r>
            <w:r w:rsidRPr="004E4188">
              <w:rPr>
                <w:i/>
                <w:iCs/>
                <w:szCs w:val="24"/>
                <w:lang w:eastAsia="ja-JP"/>
              </w:rPr>
              <w:t>indiquer les numéros de téléphone et fax, y compris les codes ville/pays</w:t>
            </w:r>
            <w:r w:rsidRPr="004E4188">
              <w:rPr>
                <w:iCs/>
                <w:szCs w:val="24"/>
                <w:lang w:eastAsia="ja-JP"/>
              </w:rPr>
              <w:t>]</w:t>
            </w:r>
          </w:p>
          <w:p w14:paraId="0B0E3AE8" w14:textId="77777777" w:rsidR="007049A5" w:rsidRPr="004E4188" w:rsidRDefault="007049A5" w:rsidP="003D46CF">
            <w:pPr>
              <w:numPr>
                <w:ilvl w:val="0"/>
                <w:numId w:val="47"/>
              </w:numPr>
              <w:tabs>
                <w:tab w:val="clear" w:pos="420"/>
                <w:tab w:val="num" w:pos="282"/>
              </w:tabs>
              <w:spacing w:afterLines="50" w:after="120"/>
              <w:ind w:left="282" w:hanging="282"/>
              <w:rPr>
                <w:i/>
                <w:spacing w:val="-2"/>
              </w:rPr>
            </w:pPr>
            <w:r w:rsidRPr="004E4188">
              <w:rPr>
                <w:szCs w:val="24"/>
                <w:lang w:eastAsia="ja-JP"/>
              </w:rPr>
              <w:t>Adresse électronique :</w:t>
            </w:r>
            <w:r w:rsidRPr="004E4188">
              <w:rPr>
                <w:iCs/>
                <w:szCs w:val="24"/>
                <w:lang w:eastAsia="ja-JP"/>
              </w:rPr>
              <w:t xml:space="preserve"> [</w:t>
            </w:r>
            <w:r w:rsidRPr="004E4188">
              <w:rPr>
                <w:i/>
                <w:iCs/>
                <w:szCs w:val="24"/>
                <w:lang w:eastAsia="ja-JP"/>
              </w:rPr>
              <w:t>indiquer l’adresse e-mail</w:t>
            </w:r>
            <w:r w:rsidRPr="004E4188">
              <w:rPr>
                <w:iCs/>
                <w:szCs w:val="24"/>
                <w:lang w:eastAsia="ja-JP"/>
              </w:rPr>
              <w:t>]</w:t>
            </w:r>
          </w:p>
          <w:p w14:paraId="3BF699F1" w14:textId="77777777" w:rsidR="007049A5" w:rsidRPr="004E4188" w:rsidRDefault="007049A5" w:rsidP="003D46CF">
            <w:pPr>
              <w:numPr>
                <w:ilvl w:val="0"/>
                <w:numId w:val="47"/>
              </w:numPr>
              <w:tabs>
                <w:tab w:val="clear" w:pos="420"/>
                <w:tab w:val="num" w:pos="282"/>
              </w:tabs>
              <w:spacing w:afterLines="50" w:after="120"/>
              <w:ind w:left="282" w:hanging="282"/>
              <w:rPr>
                <w:i/>
                <w:spacing w:val="-2"/>
              </w:rPr>
            </w:pPr>
            <w:r w:rsidRPr="004E4188">
              <w:rPr>
                <w:spacing w:val="-2"/>
              </w:rPr>
              <w:t>Motifs de non-exécution : [</w:t>
            </w:r>
            <w:r w:rsidRPr="004E4188">
              <w:rPr>
                <w:i/>
                <w:spacing w:val="-2"/>
              </w:rPr>
              <w:t>indiquer le (les) motif(s) principal(aux)</w:t>
            </w:r>
            <w:r w:rsidRPr="004E4188">
              <w:rPr>
                <w:spacing w:val="-2"/>
              </w:rPr>
              <w:t>]</w:t>
            </w:r>
          </w:p>
        </w:tc>
        <w:tc>
          <w:tcPr>
            <w:tcW w:w="2172" w:type="dxa"/>
          </w:tcPr>
          <w:p w14:paraId="7E7C8D36" w14:textId="1B2E7FBB" w:rsidR="007049A5" w:rsidRPr="004E4188" w:rsidRDefault="007049A5" w:rsidP="00631260">
            <w:pPr>
              <w:jc w:val="center"/>
              <w:rPr>
                <w:i/>
                <w:spacing w:val="-2"/>
              </w:rPr>
            </w:pPr>
            <w:r w:rsidRPr="004E4188">
              <w:rPr>
                <w:spacing w:val="-2"/>
              </w:rPr>
              <w:t>[</w:t>
            </w:r>
            <w:r w:rsidRPr="004E4188">
              <w:rPr>
                <w:i/>
                <w:spacing w:val="-2"/>
              </w:rPr>
              <w:t>indiquer la valeur actuelle, la monnaie, le taux de change et l’</w:t>
            </w:r>
            <w:r w:rsidRPr="004E4188">
              <w:rPr>
                <w:i/>
              </w:rPr>
              <w:t xml:space="preserve">équivalent </w:t>
            </w:r>
            <w:r w:rsidRPr="004E4188">
              <w:rPr>
                <w:i/>
                <w:lang w:eastAsia="ja-JP"/>
              </w:rPr>
              <w:t>$</w:t>
            </w:r>
            <w:r w:rsidRPr="004E4188">
              <w:rPr>
                <w:i/>
              </w:rPr>
              <w:t>US</w:t>
            </w:r>
            <w:r w:rsidRPr="004E4188">
              <w:rPr>
                <w:spacing w:val="-2"/>
              </w:rPr>
              <w:t>]</w:t>
            </w:r>
          </w:p>
        </w:tc>
      </w:tr>
      <w:bookmarkEnd w:id="608"/>
      <w:bookmarkEnd w:id="609"/>
      <w:bookmarkEnd w:id="610"/>
      <w:bookmarkEnd w:id="611"/>
      <w:bookmarkEnd w:id="612"/>
      <w:bookmarkEnd w:id="613"/>
      <w:bookmarkEnd w:id="614"/>
    </w:tbl>
    <w:p w14:paraId="08E72844" w14:textId="77777777" w:rsidR="007049A5" w:rsidRPr="004E4188" w:rsidRDefault="007049A5" w:rsidP="00631260">
      <w:pPr>
        <w:rPr>
          <w:i/>
        </w:rPr>
      </w:pPr>
    </w:p>
    <w:p w14:paraId="27006BA8" w14:textId="77777777" w:rsidR="007049A5" w:rsidRPr="004E4188" w:rsidRDefault="007049A5" w:rsidP="00BE6B88">
      <w:pPr>
        <w:spacing w:afterLines="100" w:after="240"/>
        <w:rPr>
          <w:b/>
        </w:rPr>
      </w:pPr>
      <w:r w:rsidRPr="004E4188">
        <w:rPr>
          <w:i/>
        </w:rPr>
        <w:br w:type="page"/>
      </w:r>
      <w:r w:rsidRPr="004E4188">
        <w:rPr>
          <w:b/>
        </w:rPr>
        <w:t>2. Litiges en instance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
        <w:gridCol w:w="1264"/>
        <w:gridCol w:w="1554"/>
        <w:gridCol w:w="3465"/>
        <w:gridCol w:w="1673"/>
      </w:tblGrid>
      <w:tr w:rsidR="007049A5" w:rsidRPr="004E4188" w14:paraId="5D6C8DC1" w14:textId="77777777" w:rsidTr="00F00F6C">
        <w:tc>
          <w:tcPr>
            <w:tcW w:w="9072" w:type="dxa"/>
            <w:gridSpan w:val="5"/>
            <w:tcBorders>
              <w:bottom w:val="double" w:sz="4" w:space="0" w:color="auto"/>
            </w:tcBorders>
            <w:shd w:val="clear" w:color="auto" w:fill="C0C0C0"/>
          </w:tcPr>
          <w:p w14:paraId="562ED349" w14:textId="77777777" w:rsidR="007049A5" w:rsidRPr="004E4188" w:rsidRDefault="007049A5" w:rsidP="00BE6B88">
            <w:pPr>
              <w:pStyle w:val="titulo"/>
              <w:suppressAutoHyphens/>
              <w:spacing w:beforeLines="50" w:before="120" w:afterLines="50" w:after="120"/>
              <w:rPr>
                <w:rFonts w:ascii="Times New Roman" w:hAnsi="Times New Roman"/>
                <w:spacing w:val="-2"/>
                <w:lang w:val="fr-FR"/>
              </w:rPr>
            </w:pPr>
            <w:r w:rsidRPr="004E4188">
              <w:rPr>
                <w:rFonts w:ascii="Times New Roman" w:hAnsi="Times New Roman"/>
                <w:spacing w:val="-2"/>
                <w:lang w:val="fr-FR"/>
              </w:rPr>
              <w:t>Litiges en instance</w:t>
            </w:r>
          </w:p>
        </w:tc>
      </w:tr>
      <w:tr w:rsidR="007049A5" w:rsidRPr="004E4188" w14:paraId="15ED84B9" w14:textId="77777777" w:rsidTr="00F00F6C">
        <w:tc>
          <w:tcPr>
            <w:tcW w:w="9072" w:type="dxa"/>
            <w:gridSpan w:val="5"/>
            <w:tcBorders>
              <w:top w:val="double" w:sz="4" w:space="0" w:color="auto"/>
            </w:tcBorders>
          </w:tcPr>
          <w:p w14:paraId="28871715" w14:textId="77777777" w:rsidR="007049A5" w:rsidRPr="004E4188" w:rsidRDefault="007049A5" w:rsidP="006C6267">
            <w:pPr>
              <w:tabs>
                <w:tab w:val="left" w:pos="425"/>
              </w:tabs>
              <w:spacing w:before="40" w:afterLines="50" w:after="120"/>
            </w:pPr>
            <w:r w:rsidRPr="004E4188">
              <w:t xml:space="preserve">Conformément aux </w:t>
            </w:r>
            <w:r w:rsidRPr="004E4188">
              <w:rPr>
                <w:spacing w:val="-2"/>
              </w:rPr>
              <w:t xml:space="preserve">Critères de préqualification ou au Critère 2.2.2 de la Section </w:t>
            </w:r>
            <w:smartTag w:uri="urn:schemas-microsoft-com:office:smarttags" w:element="stockticker">
              <w:r w:rsidRPr="004E4188">
                <w:rPr>
                  <w:spacing w:val="-2"/>
                </w:rPr>
                <w:t>III</w:t>
              </w:r>
            </w:smartTag>
            <w:r w:rsidRPr="004E4188">
              <w:rPr>
                <w:spacing w:val="-2"/>
              </w:rPr>
              <w:t>, Critères d’évaluation et de qualification, selon le cas </w:t>
            </w:r>
            <w:r w:rsidRPr="004E4188">
              <w:t>:</w:t>
            </w:r>
          </w:p>
          <w:p w14:paraId="618D3EAB" w14:textId="77777777" w:rsidR="007049A5" w:rsidRPr="004E4188" w:rsidRDefault="007049A5" w:rsidP="006C6267">
            <w:pPr>
              <w:tabs>
                <w:tab w:val="left" w:pos="425"/>
              </w:tabs>
              <w:spacing w:before="40" w:afterLines="50" w:after="120"/>
              <w:rPr>
                <w:rFonts w:ascii="ＭＳ 明朝" w:hAnsi="ＭＳ 明朝" w:cs="ＭＳ 明朝"/>
                <w:spacing w:val="-2"/>
              </w:rPr>
            </w:pPr>
            <w:r w:rsidRPr="004E4188">
              <w:rPr>
                <w:spacing w:val="-2"/>
              </w:rPr>
              <w:t>[</w:t>
            </w:r>
            <w:r w:rsidRPr="004E4188">
              <w:rPr>
                <w:i/>
                <w:spacing w:val="-2"/>
              </w:rPr>
              <w:t>Le Soumissionnaire doit choisir</w:t>
            </w:r>
            <w:r w:rsidRPr="004E4188">
              <w:t xml:space="preserve"> </w:t>
            </w:r>
            <w:r w:rsidRPr="004E4188">
              <w:rPr>
                <w:i/>
              </w:rPr>
              <w:t>une des deux options</w:t>
            </w:r>
            <w:r w:rsidRPr="004E4188">
              <w:rPr>
                <w:i/>
                <w:spacing w:val="-2"/>
              </w:rPr>
              <w:t xml:space="preserve"> indiquées ci-dessous en cochant la case appropriée</w:t>
            </w:r>
            <w:r w:rsidRPr="004E4188">
              <w:rPr>
                <w:spacing w:val="-2"/>
                <w:lang w:eastAsia="ja-JP"/>
              </w:rPr>
              <w:t>.</w:t>
            </w:r>
            <w:r w:rsidRPr="004E4188">
              <w:rPr>
                <w:spacing w:val="-2"/>
              </w:rPr>
              <w:t>]</w:t>
            </w:r>
          </w:p>
          <w:p w14:paraId="02AA0F40" w14:textId="77777777" w:rsidR="007049A5" w:rsidRPr="004E4188" w:rsidRDefault="007049A5" w:rsidP="00BE6B88">
            <w:pPr>
              <w:tabs>
                <w:tab w:val="left" w:pos="425"/>
              </w:tabs>
              <w:spacing w:before="40" w:afterLines="50" w:after="120"/>
              <w:ind w:left="425" w:hanging="425"/>
              <w:rPr>
                <w:spacing w:val="-2"/>
              </w:rPr>
            </w:pPr>
            <w:r w:rsidRPr="004E4188">
              <w:rPr>
                <w:rFonts w:ascii="ＭＳ 明朝" w:hAnsi="ＭＳ 明朝" w:cs="ＭＳ 明朝"/>
                <w:spacing w:val="-2"/>
              </w:rPr>
              <w:sym w:font="Wingdings" w:char="F0A8"/>
            </w:r>
            <w:r w:rsidRPr="004E4188">
              <w:rPr>
                <w:rFonts w:ascii="ＭＳ 明朝" w:hAnsi="ＭＳ 明朝" w:cs="ＭＳ 明朝"/>
                <w:spacing w:val="-2"/>
                <w:lang w:eastAsia="ja-JP"/>
              </w:rPr>
              <w:tab/>
            </w:r>
            <w:r w:rsidRPr="004E4188">
              <w:rPr>
                <w:spacing w:val="-2"/>
              </w:rPr>
              <w:t>Pas de litige en instance</w:t>
            </w:r>
            <w:r w:rsidRPr="004E4188">
              <w:rPr>
                <w:spacing w:val="-2"/>
                <w:lang w:eastAsia="ja-JP"/>
              </w:rPr>
              <w:t xml:space="preserve"> concernant le Soumissionnaire</w:t>
            </w:r>
            <w:r w:rsidRPr="004E4188">
              <w:rPr>
                <w:spacing w:val="-2"/>
              </w:rPr>
              <w:t>.</w:t>
            </w:r>
          </w:p>
          <w:p w14:paraId="5117B7A8" w14:textId="77777777" w:rsidR="007049A5" w:rsidRPr="004E4188" w:rsidRDefault="007049A5" w:rsidP="006C6267">
            <w:pPr>
              <w:tabs>
                <w:tab w:val="left" w:pos="425"/>
              </w:tabs>
              <w:spacing w:before="40" w:afterLines="50" w:after="120"/>
              <w:ind w:left="425" w:hanging="425"/>
              <w:rPr>
                <w:spacing w:val="-2"/>
                <w:lang w:eastAsia="ja-JP"/>
              </w:rPr>
            </w:pPr>
            <w:r w:rsidRPr="004E4188">
              <w:rPr>
                <w:rFonts w:ascii="ＭＳ 明朝" w:hAnsi="ＭＳ 明朝" w:cs="ＭＳ 明朝"/>
                <w:spacing w:val="-2"/>
              </w:rPr>
              <w:sym w:font="Wingdings" w:char="F0A8"/>
            </w:r>
            <w:r w:rsidRPr="004E4188">
              <w:rPr>
                <w:rFonts w:ascii="ＭＳ 明朝" w:hAnsi="ＭＳ 明朝" w:cs="ＭＳ 明朝"/>
                <w:spacing w:val="-2"/>
                <w:lang w:eastAsia="ja-JP"/>
              </w:rPr>
              <w:tab/>
            </w:r>
            <w:r w:rsidRPr="004E4188">
              <w:rPr>
                <w:spacing w:val="-2"/>
                <w:lang w:eastAsia="ja-JP"/>
              </w:rPr>
              <w:t xml:space="preserve">Il y a un(des) </w:t>
            </w:r>
            <w:r w:rsidRPr="004E4188">
              <w:rPr>
                <w:spacing w:val="-2"/>
              </w:rPr>
              <w:t>litige(s) en instance concernant le Soumissionnaire, tel(s) qu’indiqué(s) ci-dessous :</w:t>
            </w:r>
          </w:p>
        </w:tc>
      </w:tr>
      <w:tr w:rsidR="007049A5" w:rsidRPr="004E4188" w14:paraId="671B1561" w14:textId="77777777" w:rsidTr="00F00F6C">
        <w:tc>
          <w:tcPr>
            <w:tcW w:w="1116" w:type="dxa"/>
          </w:tcPr>
          <w:p w14:paraId="54096BC5" w14:textId="77777777" w:rsidR="007049A5" w:rsidRPr="004E4188" w:rsidRDefault="007049A5" w:rsidP="00631260">
            <w:pPr>
              <w:jc w:val="center"/>
              <w:rPr>
                <w:b/>
                <w:spacing w:val="-2"/>
              </w:rPr>
            </w:pPr>
            <w:r w:rsidRPr="004E4188">
              <w:rPr>
                <w:b/>
                <w:spacing w:val="-2"/>
              </w:rPr>
              <w:t>Année du litige</w:t>
            </w:r>
          </w:p>
        </w:tc>
        <w:tc>
          <w:tcPr>
            <w:tcW w:w="1264" w:type="dxa"/>
          </w:tcPr>
          <w:p w14:paraId="0878581C" w14:textId="77777777" w:rsidR="007049A5" w:rsidRPr="004E4188" w:rsidRDefault="007049A5" w:rsidP="00631260">
            <w:pPr>
              <w:jc w:val="center"/>
              <w:rPr>
                <w:b/>
                <w:spacing w:val="-2"/>
              </w:rPr>
            </w:pPr>
            <w:r w:rsidRPr="004E4188">
              <w:rPr>
                <w:b/>
                <w:spacing w:val="-2"/>
              </w:rPr>
              <w:t xml:space="preserve">Montant de la réclama-tion </w:t>
            </w:r>
          </w:p>
          <w:p w14:paraId="0BD8E119" w14:textId="77777777" w:rsidR="007049A5" w:rsidRPr="004E4188" w:rsidRDefault="007049A5" w:rsidP="00631260">
            <w:pPr>
              <w:jc w:val="center"/>
              <w:rPr>
                <w:b/>
                <w:spacing w:val="-2"/>
              </w:rPr>
            </w:pPr>
            <w:r w:rsidRPr="004E4188">
              <w:rPr>
                <w:b/>
                <w:spacing w:val="-2"/>
              </w:rPr>
              <w:t>(monnaie)</w:t>
            </w:r>
          </w:p>
        </w:tc>
        <w:tc>
          <w:tcPr>
            <w:tcW w:w="1554" w:type="dxa"/>
          </w:tcPr>
          <w:p w14:paraId="1A403508" w14:textId="77777777" w:rsidR="007049A5" w:rsidRPr="004E4188" w:rsidRDefault="007049A5" w:rsidP="00631260">
            <w:pPr>
              <w:jc w:val="center"/>
              <w:rPr>
                <w:b/>
                <w:spacing w:val="-2"/>
              </w:rPr>
            </w:pPr>
            <w:r w:rsidRPr="004E4188">
              <w:rPr>
                <w:b/>
                <w:spacing w:val="-2"/>
              </w:rPr>
              <w:t>Règlement en pourcentage de l’actif net</w:t>
            </w:r>
          </w:p>
        </w:tc>
        <w:tc>
          <w:tcPr>
            <w:tcW w:w="3465" w:type="dxa"/>
          </w:tcPr>
          <w:p w14:paraId="2C3F292F" w14:textId="73BE206A" w:rsidR="007049A5" w:rsidRPr="004E4188" w:rsidRDefault="007049A5" w:rsidP="00631260">
            <w:pPr>
              <w:jc w:val="center"/>
              <w:rPr>
                <w:b/>
                <w:spacing w:val="-2"/>
                <w:lang w:eastAsia="ja-JP"/>
              </w:rPr>
            </w:pPr>
          </w:p>
          <w:p w14:paraId="0E1BA92C" w14:textId="77777777" w:rsidR="007049A5" w:rsidRPr="004E4188" w:rsidRDefault="007049A5" w:rsidP="00631260">
            <w:pPr>
              <w:jc w:val="center"/>
              <w:rPr>
                <w:b/>
                <w:spacing w:val="-2"/>
              </w:rPr>
            </w:pPr>
            <w:r w:rsidRPr="004E4188">
              <w:rPr>
                <w:b/>
                <w:spacing w:val="-2"/>
              </w:rPr>
              <w:t>Identification du marché</w:t>
            </w:r>
          </w:p>
        </w:tc>
        <w:tc>
          <w:tcPr>
            <w:tcW w:w="1673" w:type="dxa"/>
          </w:tcPr>
          <w:p w14:paraId="5635C032" w14:textId="77777777" w:rsidR="007049A5" w:rsidRPr="004E4188" w:rsidRDefault="007049A5" w:rsidP="006C6267">
            <w:pPr>
              <w:jc w:val="center"/>
              <w:rPr>
                <w:b/>
                <w:spacing w:val="-2"/>
              </w:rPr>
            </w:pPr>
            <w:r w:rsidRPr="004E4188">
              <w:rPr>
                <w:b/>
                <w:spacing w:val="-2"/>
              </w:rPr>
              <w:t>Montant total du marché</w:t>
            </w:r>
          </w:p>
        </w:tc>
      </w:tr>
      <w:tr w:rsidR="007049A5" w:rsidRPr="004E4188" w14:paraId="258781B7" w14:textId="77777777" w:rsidTr="00F00F6C">
        <w:tc>
          <w:tcPr>
            <w:tcW w:w="1116" w:type="dxa"/>
          </w:tcPr>
          <w:p w14:paraId="15101491" w14:textId="77777777" w:rsidR="007049A5" w:rsidRPr="004E4188" w:rsidRDefault="007049A5" w:rsidP="00631260">
            <w:pPr>
              <w:jc w:val="center"/>
              <w:rPr>
                <w:spacing w:val="-2"/>
              </w:rPr>
            </w:pPr>
            <w:r w:rsidRPr="004E4188">
              <w:rPr>
                <w:spacing w:val="-2"/>
              </w:rPr>
              <w:t>[</w:t>
            </w:r>
            <w:r w:rsidRPr="004E4188">
              <w:rPr>
                <w:i/>
                <w:spacing w:val="-2"/>
              </w:rPr>
              <w:t>indiquer année</w:t>
            </w:r>
            <w:r w:rsidRPr="004E4188">
              <w:rPr>
                <w:spacing w:val="-2"/>
              </w:rPr>
              <w:t xml:space="preserve">] </w:t>
            </w:r>
          </w:p>
        </w:tc>
        <w:tc>
          <w:tcPr>
            <w:tcW w:w="1264" w:type="dxa"/>
          </w:tcPr>
          <w:p w14:paraId="24F1A87D" w14:textId="77777777" w:rsidR="007049A5" w:rsidRPr="004E4188" w:rsidRDefault="007049A5" w:rsidP="00631260">
            <w:pPr>
              <w:jc w:val="center"/>
              <w:rPr>
                <w:i/>
                <w:spacing w:val="-2"/>
              </w:rPr>
            </w:pPr>
            <w:r w:rsidRPr="004E4188">
              <w:rPr>
                <w:spacing w:val="-2"/>
              </w:rPr>
              <w:t>[</w:t>
            </w:r>
            <w:r w:rsidRPr="004E4188">
              <w:rPr>
                <w:i/>
                <w:spacing w:val="-2"/>
              </w:rPr>
              <w:t>indiquer le montant</w:t>
            </w:r>
            <w:r w:rsidRPr="004E4188">
              <w:rPr>
                <w:spacing w:val="-2"/>
              </w:rPr>
              <w:t>]</w:t>
            </w:r>
          </w:p>
        </w:tc>
        <w:tc>
          <w:tcPr>
            <w:tcW w:w="1554" w:type="dxa"/>
          </w:tcPr>
          <w:p w14:paraId="65D98485" w14:textId="77777777" w:rsidR="007049A5" w:rsidRPr="004E4188" w:rsidRDefault="007049A5" w:rsidP="00631260">
            <w:pPr>
              <w:jc w:val="center"/>
              <w:rPr>
                <w:spacing w:val="-2"/>
              </w:rPr>
            </w:pPr>
            <w:r w:rsidRPr="004E4188">
              <w:rPr>
                <w:spacing w:val="-2"/>
              </w:rPr>
              <w:t>[</w:t>
            </w:r>
            <w:r w:rsidRPr="004E4188">
              <w:rPr>
                <w:i/>
                <w:spacing w:val="-2"/>
              </w:rPr>
              <w:t>indiquer le pourcentage</w:t>
            </w:r>
            <w:r w:rsidRPr="004E4188">
              <w:rPr>
                <w:spacing w:val="-2"/>
              </w:rPr>
              <w:t>]</w:t>
            </w:r>
          </w:p>
        </w:tc>
        <w:tc>
          <w:tcPr>
            <w:tcW w:w="3465" w:type="dxa"/>
          </w:tcPr>
          <w:p w14:paraId="64BDDC99" w14:textId="77777777" w:rsidR="007049A5" w:rsidRPr="004E4188" w:rsidRDefault="007049A5" w:rsidP="003D46CF">
            <w:pPr>
              <w:widowControl w:val="0"/>
              <w:numPr>
                <w:ilvl w:val="0"/>
                <w:numId w:val="48"/>
              </w:numPr>
              <w:tabs>
                <w:tab w:val="clear" w:pos="420"/>
              </w:tabs>
              <w:spacing w:line="240" w:lineRule="atLeast"/>
              <w:ind w:left="227" w:hanging="227"/>
              <w:rPr>
                <w:spacing w:val="-2"/>
                <w:szCs w:val="24"/>
                <w:lang w:eastAsia="ja-JP"/>
              </w:rPr>
            </w:pPr>
            <w:r w:rsidRPr="004E4188">
              <w:rPr>
                <w:spacing w:val="-2"/>
                <w:szCs w:val="24"/>
                <w:lang w:eastAsia="ja-JP"/>
              </w:rPr>
              <w:t>Identification du marché : [</w:t>
            </w:r>
            <w:r w:rsidRPr="004E4188">
              <w:rPr>
                <w:i/>
                <w:spacing w:val="-2"/>
                <w:szCs w:val="24"/>
                <w:lang w:eastAsia="ja-JP"/>
              </w:rPr>
              <w:t>insérer le nom complet et numéro du marché et toute autre forme d’identification</w:t>
            </w:r>
            <w:r w:rsidRPr="004E4188">
              <w:rPr>
                <w:spacing w:val="-2"/>
                <w:szCs w:val="24"/>
                <w:lang w:eastAsia="ja-JP"/>
              </w:rPr>
              <w:t>]</w:t>
            </w:r>
          </w:p>
          <w:p w14:paraId="62C4C434" w14:textId="77777777" w:rsidR="007049A5" w:rsidRPr="004E4188" w:rsidRDefault="007049A5" w:rsidP="003D46CF">
            <w:pPr>
              <w:widowControl w:val="0"/>
              <w:numPr>
                <w:ilvl w:val="0"/>
                <w:numId w:val="48"/>
              </w:numPr>
              <w:tabs>
                <w:tab w:val="clear" w:pos="420"/>
              </w:tabs>
              <w:spacing w:line="240" w:lineRule="atLeast"/>
              <w:ind w:left="227" w:hanging="227"/>
              <w:rPr>
                <w:spacing w:val="-2"/>
                <w:szCs w:val="24"/>
                <w:lang w:eastAsia="ja-JP"/>
              </w:rPr>
            </w:pPr>
            <w:r w:rsidRPr="004E4188">
              <w:rPr>
                <w:spacing w:val="-2"/>
                <w:szCs w:val="24"/>
                <w:lang w:eastAsia="ja-JP"/>
              </w:rPr>
              <w:t>Nom du Maître d’ouvrage : [</w:t>
            </w:r>
            <w:r w:rsidRPr="004E4188">
              <w:rPr>
                <w:i/>
                <w:spacing w:val="-2"/>
                <w:szCs w:val="24"/>
                <w:lang w:eastAsia="ja-JP"/>
              </w:rPr>
              <w:t>indiquer le nom complet</w:t>
            </w:r>
            <w:r w:rsidRPr="004E4188">
              <w:rPr>
                <w:spacing w:val="-2"/>
                <w:szCs w:val="24"/>
                <w:lang w:eastAsia="ja-JP"/>
              </w:rPr>
              <w:t>]</w:t>
            </w:r>
          </w:p>
          <w:p w14:paraId="31A7EAF0" w14:textId="6CE2AD50" w:rsidR="007049A5" w:rsidRPr="004E4188" w:rsidRDefault="007049A5" w:rsidP="003D46CF">
            <w:pPr>
              <w:widowControl w:val="0"/>
              <w:numPr>
                <w:ilvl w:val="0"/>
                <w:numId w:val="48"/>
              </w:numPr>
              <w:tabs>
                <w:tab w:val="clear" w:pos="420"/>
              </w:tabs>
              <w:spacing w:line="240" w:lineRule="atLeast"/>
              <w:ind w:left="227" w:hanging="227"/>
              <w:rPr>
                <w:spacing w:val="-2"/>
                <w:szCs w:val="24"/>
                <w:lang w:eastAsia="ja-JP"/>
              </w:rPr>
            </w:pPr>
            <w:r w:rsidRPr="004E4188">
              <w:rPr>
                <w:spacing w:val="-2"/>
                <w:szCs w:val="24"/>
                <w:lang w:eastAsia="ja-JP"/>
              </w:rPr>
              <w:t>Adresse du Maître d’ouvrage : [</w:t>
            </w:r>
            <w:r w:rsidRPr="004E4188">
              <w:rPr>
                <w:i/>
                <w:spacing w:val="-2"/>
                <w:szCs w:val="24"/>
                <w:lang w:eastAsia="ja-JP"/>
              </w:rPr>
              <w:t>indiquer l’adresse postal</w:t>
            </w:r>
            <w:r w:rsidR="00F8558F" w:rsidRPr="004E4188">
              <w:rPr>
                <w:i/>
                <w:spacing w:val="-2"/>
                <w:szCs w:val="24"/>
                <w:lang w:eastAsia="ja-JP"/>
              </w:rPr>
              <w:t>e</w:t>
            </w:r>
            <w:r w:rsidRPr="004E4188">
              <w:rPr>
                <w:spacing w:val="-2"/>
                <w:szCs w:val="24"/>
                <w:lang w:eastAsia="ja-JP"/>
              </w:rPr>
              <w:t>]</w:t>
            </w:r>
          </w:p>
          <w:p w14:paraId="11ECD02F" w14:textId="1F1E8AE6" w:rsidR="007049A5" w:rsidRPr="004E4188" w:rsidRDefault="007049A5" w:rsidP="003D46CF">
            <w:pPr>
              <w:widowControl w:val="0"/>
              <w:numPr>
                <w:ilvl w:val="0"/>
                <w:numId w:val="48"/>
              </w:numPr>
              <w:tabs>
                <w:tab w:val="clear" w:pos="420"/>
              </w:tabs>
              <w:spacing w:line="240" w:lineRule="atLeast"/>
              <w:ind w:left="227" w:hanging="227"/>
              <w:rPr>
                <w:spacing w:val="-2"/>
                <w:szCs w:val="24"/>
                <w:lang w:eastAsia="ja-JP"/>
              </w:rPr>
            </w:pPr>
            <w:r w:rsidRPr="004E4188">
              <w:rPr>
                <w:spacing w:val="-2"/>
                <w:szCs w:val="24"/>
                <w:lang w:eastAsia="ja-JP"/>
              </w:rPr>
              <w:t>Numéro de téléphone/fax</w:t>
            </w:r>
            <w:r w:rsidR="008729D9" w:rsidRPr="004E4188">
              <w:rPr>
                <w:iCs/>
                <w:spacing w:val="-4"/>
              </w:rPr>
              <w:t> </w:t>
            </w:r>
            <w:r w:rsidRPr="004E4188">
              <w:rPr>
                <w:spacing w:val="-2"/>
                <w:szCs w:val="24"/>
                <w:lang w:eastAsia="ja-JP"/>
              </w:rPr>
              <w:t>: [</w:t>
            </w:r>
            <w:r w:rsidRPr="004E4188">
              <w:rPr>
                <w:i/>
                <w:spacing w:val="-2"/>
                <w:szCs w:val="24"/>
                <w:lang w:eastAsia="ja-JP"/>
              </w:rPr>
              <w:t>indiquer les numéros de téléphone et fax, y compris les codes ville/pays</w:t>
            </w:r>
            <w:r w:rsidRPr="004E4188">
              <w:rPr>
                <w:spacing w:val="-2"/>
                <w:szCs w:val="24"/>
                <w:lang w:eastAsia="ja-JP"/>
              </w:rPr>
              <w:t>]</w:t>
            </w:r>
          </w:p>
          <w:p w14:paraId="44FB4A21" w14:textId="77777777" w:rsidR="007049A5" w:rsidRPr="004E4188" w:rsidRDefault="007049A5" w:rsidP="003D46CF">
            <w:pPr>
              <w:widowControl w:val="0"/>
              <w:numPr>
                <w:ilvl w:val="0"/>
                <w:numId w:val="48"/>
              </w:numPr>
              <w:tabs>
                <w:tab w:val="clear" w:pos="420"/>
              </w:tabs>
              <w:spacing w:line="240" w:lineRule="atLeast"/>
              <w:ind w:left="227" w:hanging="227"/>
              <w:rPr>
                <w:spacing w:val="-2"/>
                <w:szCs w:val="24"/>
                <w:lang w:eastAsia="ja-JP"/>
              </w:rPr>
            </w:pPr>
            <w:r w:rsidRPr="004E4188">
              <w:rPr>
                <w:spacing w:val="-2"/>
                <w:szCs w:val="24"/>
                <w:lang w:eastAsia="ja-JP"/>
              </w:rPr>
              <w:t>Adresse électronique : [</w:t>
            </w:r>
            <w:r w:rsidRPr="004E4188">
              <w:rPr>
                <w:i/>
                <w:spacing w:val="-2"/>
                <w:szCs w:val="24"/>
                <w:lang w:eastAsia="ja-JP"/>
              </w:rPr>
              <w:t>indiquer l’adresse e-mail</w:t>
            </w:r>
            <w:r w:rsidRPr="004E4188">
              <w:rPr>
                <w:spacing w:val="-2"/>
                <w:szCs w:val="24"/>
                <w:lang w:eastAsia="ja-JP"/>
              </w:rPr>
              <w:t xml:space="preserve">] </w:t>
            </w:r>
          </w:p>
          <w:p w14:paraId="7757B086" w14:textId="273F7539" w:rsidR="007049A5" w:rsidRPr="004E4188" w:rsidRDefault="007049A5" w:rsidP="003D46CF">
            <w:pPr>
              <w:widowControl w:val="0"/>
              <w:numPr>
                <w:ilvl w:val="0"/>
                <w:numId w:val="48"/>
              </w:numPr>
              <w:tabs>
                <w:tab w:val="clear" w:pos="420"/>
              </w:tabs>
              <w:spacing w:line="240" w:lineRule="atLeast"/>
              <w:ind w:left="227" w:hanging="227"/>
              <w:rPr>
                <w:spacing w:val="-2"/>
                <w:szCs w:val="24"/>
                <w:lang w:eastAsia="ja-JP"/>
              </w:rPr>
            </w:pPr>
            <w:r w:rsidRPr="004E4188">
              <w:rPr>
                <w:spacing w:val="-2"/>
                <w:szCs w:val="24"/>
                <w:lang w:eastAsia="ja-JP"/>
              </w:rPr>
              <w:t>Partie à l’origine du litige</w:t>
            </w:r>
            <w:r w:rsidR="008729D9" w:rsidRPr="004E4188">
              <w:rPr>
                <w:iCs/>
                <w:spacing w:val="-4"/>
              </w:rPr>
              <w:t> </w:t>
            </w:r>
            <w:r w:rsidRPr="004E4188">
              <w:rPr>
                <w:spacing w:val="-2"/>
                <w:szCs w:val="24"/>
                <w:lang w:eastAsia="ja-JP"/>
              </w:rPr>
              <w:t>: [</w:t>
            </w:r>
            <w:r w:rsidRPr="004E4188">
              <w:rPr>
                <w:i/>
                <w:spacing w:val="-2"/>
                <w:szCs w:val="24"/>
                <w:lang w:eastAsia="ja-JP"/>
              </w:rPr>
              <w:t>indiquer « Maître d’ouvrage » ou « Entrepreneur »</w:t>
            </w:r>
            <w:r w:rsidRPr="004E4188">
              <w:rPr>
                <w:spacing w:val="-2"/>
                <w:szCs w:val="24"/>
                <w:lang w:eastAsia="ja-JP"/>
              </w:rPr>
              <w:t>]</w:t>
            </w:r>
          </w:p>
          <w:p w14:paraId="7A1BEB07" w14:textId="77777777" w:rsidR="007049A5" w:rsidRPr="004E4188" w:rsidRDefault="007049A5" w:rsidP="003D46CF">
            <w:pPr>
              <w:numPr>
                <w:ilvl w:val="0"/>
                <w:numId w:val="48"/>
              </w:numPr>
              <w:tabs>
                <w:tab w:val="clear" w:pos="420"/>
                <w:tab w:val="num" w:pos="221"/>
              </w:tabs>
              <w:spacing w:afterLines="50" w:after="120"/>
              <w:ind w:left="221" w:hanging="240"/>
              <w:rPr>
                <w:i/>
                <w:spacing w:val="-2"/>
              </w:rPr>
            </w:pPr>
            <w:r w:rsidRPr="004E4188">
              <w:rPr>
                <w:spacing w:val="-2"/>
                <w:szCs w:val="24"/>
                <w:lang w:eastAsia="ja-JP"/>
              </w:rPr>
              <w:t>Objet du litige : [</w:t>
            </w:r>
            <w:r w:rsidRPr="004E4188">
              <w:rPr>
                <w:i/>
                <w:spacing w:val="-2"/>
                <w:szCs w:val="24"/>
                <w:lang w:eastAsia="ja-JP"/>
              </w:rPr>
              <w:t>indiquer les principaux points en litige</w:t>
            </w:r>
            <w:r w:rsidRPr="004E4188">
              <w:rPr>
                <w:spacing w:val="-2"/>
                <w:szCs w:val="24"/>
                <w:lang w:eastAsia="ja-JP"/>
              </w:rPr>
              <w:t>]</w:t>
            </w:r>
          </w:p>
        </w:tc>
        <w:tc>
          <w:tcPr>
            <w:tcW w:w="1673" w:type="dxa"/>
          </w:tcPr>
          <w:p w14:paraId="1C14708B" w14:textId="77777777" w:rsidR="007049A5" w:rsidRPr="004E4188" w:rsidRDefault="007049A5" w:rsidP="00631260">
            <w:pPr>
              <w:jc w:val="center"/>
              <w:rPr>
                <w:spacing w:val="-2"/>
              </w:rPr>
            </w:pPr>
            <w:r w:rsidRPr="004E4188">
              <w:rPr>
                <w:spacing w:val="-2"/>
              </w:rPr>
              <w:t>[</w:t>
            </w:r>
            <w:r w:rsidRPr="004E4188">
              <w:rPr>
                <w:i/>
                <w:spacing w:val="-2"/>
              </w:rPr>
              <w:t>indiquer la valeur actuelle, la monnaie, le taux de change et l’</w:t>
            </w:r>
            <w:r w:rsidRPr="004E4188">
              <w:rPr>
                <w:i/>
              </w:rPr>
              <w:t xml:space="preserve">équivalent </w:t>
            </w:r>
            <w:r w:rsidRPr="004E4188">
              <w:rPr>
                <w:i/>
                <w:lang w:eastAsia="ja-JP"/>
              </w:rPr>
              <w:t>$</w:t>
            </w:r>
            <w:r w:rsidRPr="004E4188">
              <w:rPr>
                <w:i/>
              </w:rPr>
              <w:t>US</w:t>
            </w:r>
            <w:r w:rsidRPr="004E4188">
              <w:rPr>
                <w:spacing w:val="-2"/>
              </w:rPr>
              <w:t>]</w:t>
            </w:r>
          </w:p>
          <w:p w14:paraId="572E47DB" w14:textId="77777777" w:rsidR="007049A5" w:rsidRPr="004E4188" w:rsidRDefault="007049A5" w:rsidP="00631260">
            <w:pPr>
              <w:jc w:val="left"/>
              <w:rPr>
                <w:i/>
                <w:spacing w:val="-2"/>
              </w:rPr>
            </w:pPr>
          </w:p>
        </w:tc>
      </w:tr>
    </w:tbl>
    <w:p w14:paraId="5A880532" w14:textId="77777777" w:rsidR="007049A5" w:rsidRPr="004E4188" w:rsidRDefault="007049A5" w:rsidP="00631260">
      <w:pPr>
        <w:rPr>
          <w:i/>
        </w:rPr>
      </w:pPr>
    </w:p>
    <w:p w14:paraId="2F3C4674" w14:textId="77777777" w:rsidR="007049A5" w:rsidRPr="004E4188" w:rsidRDefault="007049A5" w:rsidP="00BE6B88">
      <w:pPr>
        <w:spacing w:afterLines="100" w:after="240"/>
        <w:rPr>
          <w:b/>
        </w:rPr>
      </w:pPr>
      <w:r w:rsidRPr="004E4188">
        <w:br w:type="page"/>
      </w:r>
      <w:r w:rsidRPr="004E4188">
        <w:rPr>
          <w:b/>
        </w:rPr>
        <w:t>3. Antécédents de litiges</w:t>
      </w:r>
    </w:p>
    <w:tbl>
      <w:tblPr>
        <w:tblW w:w="90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1"/>
        <w:gridCol w:w="5738"/>
        <w:gridCol w:w="2033"/>
      </w:tblGrid>
      <w:tr w:rsidR="007049A5" w:rsidRPr="004E4188" w14:paraId="3D2E0AB1" w14:textId="77777777" w:rsidTr="00F00F6C">
        <w:tc>
          <w:tcPr>
            <w:tcW w:w="9105" w:type="dxa"/>
            <w:gridSpan w:val="3"/>
            <w:tcBorders>
              <w:bottom w:val="double" w:sz="4" w:space="0" w:color="auto"/>
            </w:tcBorders>
            <w:shd w:val="clear" w:color="auto" w:fill="D9D9D9"/>
            <w:tcMar>
              <w:left w:w="108" w:type="dxa"/>
              <w:right w:w="108" w:type="dxa"/>
            </w:tcMar>
            <w:vAlign w:val="center"/>
          </w:tcPr>
          <w:p w14:paraId="36678A36" w14:textId="77777777" w:rsidR="007049A5" w:rsidRPr="004E4188" w:rsidRDefault="007049A5" w:rsidP="00BE6B88">
            <w:pPr>
              <w:spacing w:beforeLines="50" w:before="120" w:afterLines="50" w:after="120"/>
              <w:jc w:val="center"/>
              <w:rPr>
                <w:b/>
                <w:spacing w:val="-4"/>
              </w:rPr>
            </w:pPr>
            <w:r w:rsidRPr="004E4188">
              <w:rPr>
                <w:b/>
                <w:spacing w:val="-8"/>
                <w:lang w:eastAsia="ja-JP"/>
              </w:rPr>
              <w:t>Antécédents de litiges</w:t>
            </w:r>
          </w:p>
        </w:tc>
      </w:tr>
      <w:tr w:rsidR="007049A5" w:rsidRPr="004E4188" w14:paraId="2F175045" w14:textId="77777777" w:rsidTr="00F00F6C">
        <w:tc>
          <w:tcPr>
            <w:tcW w:w="9105" w:type="dxa"/>
            <w:gridSpan w:val="3"/>
            <w:tcBorders>
              <w:top w:val="double" w:sz="4" w:space="0" w:color="auto"/>
            </w:tcBorders>
            <w:shd w:val="clear" w:color="auto" w:fill="auto"/>
            <w:tcMar>
              <w:left w:w="108" w:type="dxa"/>
              <w:right w:w="108" w:type="dxa"/>
            </w:tcMar>
            <w:vAlign w:val="center"/>
          </w:tcPr>
          <w:p w14:paraId="2A5CF04F" w14:textId="77777777" w:rsidR="007049A5" w:rsidRPr="004E4188" w:rsidRDefault="007049A5" w:rsidP="006C6267">
            <w:pPr>
              <w:tabs>
                <w:tab w:val="left" w:pos="425"/>
              </w:tabs>
              <w:spacing w:before="40" w:afterLines="50" w:after="120"/>
            </w:pPr>
            <w:r w:rsidRPr="004E4188">
              <w:t xml:space="preserve">Conformément aux </w:t>
            </w:r>
            <w:r w:rsidRPr="004E4188">
              <w:rPr>
                <w:spacing w:val="-2"/>
              </w:rPr>
              <w:t xml:space="preserve">Critères de préqualification ou au Critère 2.2.3 de la Section </w:t>
            </w:r>
            <w:smartTag w:uri="urn:schemas-microsoft-com:office:smarttags" w:element="stockticker">
              <w:r w:rsidRPr="004E4188">
                <w:rPr>
                  <w:spacing w:val="-2"/>
                </w:rPr>
                <w:t>III</w:t>
              </w:r>
            </w:smartTag>
            <w:r w:rsidRPr="004E4188">
              <w:rPr>
                <w:spacing w:val="-2"/>
              </w:rPr>
              <w:t>, Critères d’évaluation et de qualification, selon le cas</w:t>
            </w:r>
            <w:r w:rsidRPr="004E4188">
              <w:t>,</w:t>
            </w:r>
            <w:r w:rsidRPr="004E4188">
              <w:rPr>
                <w:spacing w:val="-8"/>
              </w:rPr>
              <w:t xml:space="preserve"> depuis le </w:t>
            </w:r>
            <w:r w:rsidRPr="004E4188">
              <w:rPr>
                <w:spacing w:val="-2"/>
              </w:rPr>
              <w:t>1</w:t>
            </w:r>
            <w:r w:rsidRPr="004E4188">
              <w:rPr>
                <w:spacing w:val="-2"/>
                <w:vertAlign w:val="superscript"/>
              </w:rPr>
              <w:t>er</w:t>
            </w:r>
            <w:r w:rsidRPr="004E4188">
              <w:rPr>
                <w:spacing w:val="-2"/>
              </w:rPr>
              <w:t xml:space="preserve"> janvier [</w:t>
            </w:r>
            <w:r w:rsidRPr="004E4188">
              <w:rPr>
                <w:i/>
                <w:spacing w:val="-2"/>
              </w:rPr>
              <w:t>le Maître d’ouvrage</w:t>
            </w:r>
            <w:r w:rsidRPr="004E4188">
              <w:rPr>
                <w:i/>
                <w:spacing w:val="-2"/>
                <w:lang w:eastAsia="ja-JP"/>
              </w:rPr>
              <w:t xml:space="preserve"> doit </w:t>
            </w:r>
            <w:r w:rsidRPr="004E4188">
              <w:rPr>
                <w:i/>
                <w:spacing w:val="-2"/>
              </w:rPr>
              <w:t>indiquer l’année</w:t>
            </w:r>
            <w:r w:rsidRPr="004E4188">
              <w:rPr>
                <w:spacing w:val="-2"/>
              </w:rPr>
              <w:t>] :</w:t>
            </w:r>
          </w:p>
          <w:p w14:paraId="4A7BCF87" w14:textId="73F153C0" w:rsidR="007049A5" w:rsidRPr="004E4188" w:rsidRDefault="007049A5" w:rsidP="006C6267">
            <w:pPr>
              <w:tabs>
                <w:tab w:val="left" w:pos="426"/>
              </w:tabs>
              <w:spacing w:before="40" w:afterLines="50" w:after="120"/>
              <w:rPr>
                <w:spacing w:val="-2"/>
              </w:rPr>
            </w:pPr>
            <w:r w:rsidRPr="004E4188">
              <w:rPr>
                <w:spacing w:val="-2"/>
              </w:rPr>
              <w:t>[</w:t>
            </w:r>
            <w:r w:rsidRPr="004E4188">
              <w:rPr>
                <w:i/>
                <w:spacing w:val="-2"/>
              </w:rPr>
              <w:t>Le Soumissionnaire doit choisir</w:t>
            </w:r>
            <w:r w:rsidRPr="004E4188">
              <w:t xml:space="preserve"> </w:t>
            </w:r>
            <w:r w:rsidRPr="004E4188">
              <w:rPr>
                <w:i/>
              </w:rPr>
              <w:t>une des deux options</w:t>
            </w:r>
            <w:r w:rsidRPr="004E4188">
              <w:rPr>
                <w:i/>
                <w:spacing w:val="-2"/>
              </w:rPr>
              <w:t xml:space="preserve"> indiquée</w:t>
            </w:r>
            <w:r w:rsidR="001F5603" w:rsidRPr="004E4188">
              <w:rPr>
                <w:i/>
                <w:spacing w:val="-2"/>
              </w:rPr>
              <w:t>s</w:t>
            </w:r>
            <w:r w:rsidRPr="004E4188">
              <w:rPr>
                <w:i/>
                <w:spacing w:val="-2"/>
              </w:rPr>
              <w:t xml:space="preserve"> ci-dessous en cochant la case appropriée</w:t>
            </w:r>
            <w:r w:rsidRPr="004E4188">
              <w:rPr>
                <w:spacing w:val="-2"/>
                <w:lang w:eastAsia="ja-JP"/>
              </w:rPr>
              <w:t>.</w:t>
            </w:r>
            <w:r w:rsidRPr="004E4188">
              <w:rPr>
                <w:spacing w:val="-2"/>
              </w:rPr>
              <w:t>]</w:t>
            </w:r>
          </w:p>
          <w:p w14:paraId="0AD55D2A" w14:textId="77777777" w:rsidR="007049A5" w:rsidRPr="004E4188" w:rsidRDefault="007049A5" w:rsidP="006C6267">
            <w:pPr>
              <w:tabs>
                <w:tab w:val="left" w:pos="425"/>
              </w:tabs>
              <w:spacing w:before="40" w:after="120"/>
              <w:ind w:left="425" w:hanging="425"/>
              <w:rPr>
                <w:spacing w:val="-8"/>
              </w:rPr>
            </w:pPr>
            <w:r w:rsidRPr="004E4188">
              <w:rPr>
                <w:spacing w:val="-8"/>
              </w:rPr>
              <w:sym w:font="Wingdings" w:char="F0A8"/>
            </w:r>
            <w:r w:rsidRPr="004E4188">
              <w:rPr>
                <w:spacing w:val="-8"/>
                <w:lang w:eastAsia="ja-JP"/>
              </w:rPr>
              <w:tab/>
            </w:r>
            <w:r w:rsidRPr="004E4188">
              <w:rPr>
                <w:spacing w:val="-8"/>
              </w:rPr>
              <w:t>Pas d’</w:t>
            </w:r>
            <w:r w:rsidRPr="004E4188">
              <w:rPr>
                <w:rFonts w:hint="eastAsia"/>
                <w:spacing w:val="-8"/>
                <w:lang w:eastAsia="ja-JP"/>
              </w:rPr>
              <w:t>o</w:t>
            </w:r>
            <w:r w:rsidRPr="004E4188">
              <w:rPr>
                <w:spacing w:val="-8"/>
                <w:lang w:eastAsia="ja-JP"/>
              </w:rPr>
              <w:t xml:space="preserve">rdonnances </w:t>
            </w:r>
            <w:r w:rsidRPr="004E4188">
              <w:rPr>
                <w:spacing w:val="-8"/>
              </w:rPr>
              <w:t>judiciaires rendues contre le Soumissionnaire</w:t>
            </w:r>
            <w:r w:rsidRPr="004E4188">
              <w:rPr>
                <w:spacing w:val="-2"/>
              </w:rPr>
              <w:t>.</w:t>
            </w:r>
          </w:p>
          <w:p w14:paraId="3663D60C" w14:textId="77777777" w:rsidR="007049A5" w:rsidRPr="004E4188" w:rsidRDefault="007049A5" w:rsidP="007F31C3">
            <w:pPr>
              <w:tabs>
                <w:tab w:val="left" w:pos="425"/>
              </w:tabs>
              <w:spacing w:before="40" w:after="120"/>
              <w:ind w:left="425" w:hanging="425"/>
              <w:rPr>
                <w:spacing w:val="-8"/>
              </w:rPr>
            </w:pPr>
            <w:r w:rsidRPr="004E4188">
              <w:rPr>
                <w:spacing w:val="-8"/>
              </w:rPr>
              <w:sym w:font="Wingdings" w:char="F0A8"/>
            </w:r>
            <w:r w:rsidRPr="004E4188">
              <w:rPr>
                <w:spacing w:val="-8"/>
                <w:lang w:eastAsia="ja-JP"/>
              </w:rPr>
              <w:tab/>
            </w:r>
            <w:r w:rsidRPr="004E4188">
              <w:rPr>
                <w:spacing w:val="-2"/>
                <w:lang w:eastAsia="ja-JP"/>
              </w:rPr>
              <w:t>Il y a des</w:t>
            </w:r>
            <w:r w:rsidRPr="004E4188">
              <w:rPr>
                <w:spacing w:val="-8"/>
              </w:rPr>
              <w:t xml:space="preserve"> </w:t>
            </w:r>
            <w:r w:rsidRPr="004E4188">
              <w:rPr>
                <w:rFonts w:hint="eastAsia"/>
                <w:spacing w:val="-8"/>
              </w:rPr>
              <w:t>o</w:t>
            </w:r>
            <w:r w:rsidRPr="004E4188">
              <w:rPr>
                <w:spacing w:val="-8"/>
              </w:rPr>
              <w:t>rdonnances judiciaires rendues contre le Soumissionnaire</w:t>
            </w:r>
            <w:r w:rsidRPr="004E4188">
              <w:rPr>
                <w:spacing w:val="-2"/>
              </w:rPr>
              <w:t xml:space="preserve">, telles qu’indiquées ci-dessous :  </w:t>
            </w:r>
          </w:p>
        </w:tc>
      </w:tr>
      <w:tr w:rsidR="007049A5" w:rsidRPr="004E4188" w14:paraId="007DD930" w14:textId="77777777" w:rsidTr="00F00F6C">
        <w:tblPrEx>
          <w:tblCellMar>
            <w:left w:w="108" w:type="dxa"/>
            <w:right w:w="108" w:type="dxa"/>
          </w:tblCellMar>
          <w:tblLook w:val="01E0" w:firstRow="1" w:lastRow="1" w:firstColumn="1" w:lastColumn="1" w:noHBand="0" w:noVBand="0"/>
        </w:tblPrEx>
        <w:tc>
          <w:tcPr>
            <w:tcW w:w="1305" w:type="dxa"/>
            <w:tcMar>
              <w:left w:w="108" w:type="dxa"/>
              <w:right w:w="108" w:type="dxa"/>
            </w:tcMar>
          </w:tcPr>
          <w:p w14:paraId="2C6F2C9A" w14:textId="77777777" w:rsidR="007049A5" w:rsidRPr="004E4188" w:rsidRDefault="007049A5" w:rsidP="007F31C3">
            <w:pPr>
              <w:jc w:val="center"/>
              <w:rPr>
                <w:b/>
                <w:spacing w:val="8"/>
                <w:szCs w:val="24"/>
              </w:rPr>
            </w:pPr>
            <w:r w:rsidRPr="004E4188">
              <w:rPr>
                <w:b/>
                <w:szCs w:val="24"/>
              </w:rPr>
              <w:t>Année de la sentence</w:t>
            </w:r>
          </w:p>
        </w:tc>
        <w:tc>
          <w:tcPr>
            <w:tcW w:w="5760" w:type="dxa"/>
            <w:tcMar>
              <w:left w:w="108" w:type="dxa"/>
              <w:right w:w="108" w:type="dxa"/>
            </w:tcMar>
          </w:tcPr>
          <w:p w14:paraId="400ED900" w14:textId="77777777" w:rsidR="007049A5" w:rsidRPr="004E4188" w:rsidRDefault="007049A5" w:rsidP="007F31C3">
            <w:pPr>
              <w:jc w:val="center"/>
              <w:rPr>
                <w:b/>
                <w:spacing w:val="-2"/>
                <w:lang w:eastAsia="ja-JP"/>
              </w:rPr>
            </w:pPr>
            <w:r w:rsidRPr="004E4188">
              <w:rPr>
                <w:b/>
                <w:spacing w:val="-2"/>
              </w:rPr>
              <w:t>Identification du marché</w:t>
            </w:r>
          </w:p>
        </w:tc>
        <w:tc>
          <w:tcPr>
            <w:tcW w:w="2040" w:type="dxa"/>
            <w:tcMar>
              <w:left w:w="108" w:type="dxa"/>
              <w:right w:w="108" w:type="dxa"/>
            </w:tcMar>
          </w:tcPr>
          <w:p w14:paraId="14A7B2AA" w14:textId="77777777" w:rsidR="007049A5" w:rsidRPr="004E4188" w:rsidRDefault="007049A5" w:rsidP="006C6267">
            <w:pPr>
              <w:spacing w:afterLines="50" w:after="120"/>
              <w:jc w:val="center"/>
              <w:rPr>
                <w:b/>
                <w:szCs w:val="24"/>
              </w:rPr>
            </w:pPr>
            <w:r w:rsidRPr="004E4188">
              <w:rPr>
                <w:b/>
                <w:spacing w:val="-2"/>
              </w:rPr>
              <w:t>Montant total du marché</w:t>
            </w:r>
          </w:p>
        </w:tc>
      </w:tr>
      <w:tr w:rsidR="007049A5" w:rsidRPr="004E4188" w14:paraId="5C888361" w14:textId="77777777" w:rsidTr="00F00F6C">
        <w:tblPrEx>
          <w:tblCellMar>
            <w:left w:w="108" w:type="dxa"/>
            <w:right w:w="108" w:type="dxa"/>
          </w:tblCellMar>
          <w:tblLook w:val="01E0" w:firstRow="1" w:lastRow="1" w:firstColumn="1" w:lastColumn="1" w:noHBand="0" w:noVBand="0"/>
        </w:tblPrEx>
        <w:tc>
          <w:tcPr>
            <w:tcW w:w="1305" w:type="dxa"/>
            <w:tcMar>
              <w:left w:w="108" w:type="dxa"/>
              <w:right w:w="108" w:type="dxa"/>
            </w:tcMar>
          </w:tcPr>
          <w:p w14:paraId="7701A71A" w14:textId="77777777" w:rsidR="007049A5" w:rsidRPr="004E4188" w:rsidRDefault="007049A5" w:rsidP="007F31C3">
            <w:pPr>
              <w:jc w:val="center"/>
              <w:rPr>
                <w:i/>
              </w:rPr>
            </w:pPr>
            <w:r w:rsidRPr="004E4188">
              <w:rPr>
                <w:spacing w:val="-2"/>
              </w:rPr>
              <w:t>[</w:t>
            </w:r>
            <w:r w:rsidRPr="004E4188">
              <w:rPr>
                <w:i/>
                <w:spacing w:val="-2"/>
              </w:rPr>
              <w:t>indiquer l’année</w:t>
            </w:r>
            <w:r w:rsidRPr="004E4188">
              <w:rPr>
                <w:spacing w:val="-2"/>
              </w:rPr>
              <w:t>]</w:t>
            </w:r>
          </w:p>
        </w:tc>
        <w:tc>
          <w:tcPr>
            <w:tcW w:w="5760" w:type="dxa"/>
            <w:tcMar>
              <w:left w:w="108" w:type="dxa"/>
              <w:right w:w="108" w:type="dxa"/>
            </w:tcMar>
          </w:tcPr>
          <w:p w14:paraId="15749825" w14:textId="77777777" w:rsidR="007049A5" w:rsidRPr="004E4188" w:rsidRDefault="007049A5" w:rsidP="003D46CF">
            <w:pPr>
              <w:numPr>
                <w:ilvl w:val="0"/>
                <w:numId w:val="49"/>
              </w:numPr>
              <w:tabs>
                <w:tab w:val="clear" w:pos="420"/>
                <w:tab w:val="num" w:pos="279"/>
              </w:tabs>
              <w:spacing w:afterLines="50" w:after="120"/>
              <w:ind w:left="279" w:hanging="279"/>
              <w:rPr>
                <w:i/>
                <w:spacing w:val="-2"/>
              </w:rPr>
            </w:pPr>
            <w:r w:rsidRPr="004E4188">
              <w:rPr>
                <w:spacing w:val="-2"/>
              </w:rPr>
              <w:t>Identification du marché : [</w:t>
            </w:r>
            <w:r w:rsidRPr="004E4188">
              <w:rPr>
                <w:i/>
                <w:spacing w:val="-2"/>
              </w:rPr>
              <w:t>insérer le nom complet et le numéro du marché et toute autre forme d’identification</w:t>
            </w:r>
            <w:r w:rsidRPr="004E4188">
              <w:rPr>
                <w:spacing w:val="-2"/>
              </w:rPr>
              <w:t>]</w:t>
            </w:r>
          </w:p>
          <w:p w14:paraId="34FD80A9" w14:textId="77777777" w:rsidR="007049A5" w:rsidRPr="004E4188" w:rsidRDefault="007049A5" w:rsidP="003D46CF">
            <w:pPr>
              <w:numPr>
                <w:ilvl w:val="0"/>
                <w:numId w:val="49"/>
              </w:numPr>
              <w:tabs>
                <w:tab w:val="clear" w:pos="420"/>
                <w:tab w:val="num" w:pos="279"/>
              </w:tabs>
              <w:spacing w:afterLines="50" w:after="120"/>
              <w:ind w:left="279" w:hanging="279"/>
              <w:rPr>
                <w:i/>
                <w:spacing w:val="-2"/>
              </w:rPr>
            </w:pPr>
            <w:r w:rsidRPr="004E4188">
              <w:rPr>
                <w:spacing w:val="-2"/>
              </w:rPr>
              <w:t>Nom du Maître d’ouvrage : [</w:t>
            </w:r>
            <w:r w:rsidRPr="004E4188">
              <w:rPr>
                <w:i/>
                <w:spacing w:val="-2"/>
              </w:rPr>
              <w:t>indiquer</w:t>
            </w:r>
            <w:r w:rsidRPr="004E4188">
              <w:rPr>
                <w:spacing w:val="-2"/>
              </w:rPr>
              <w:t xml:space="preserve"> </w:t>
            </w:r>
            <w:r w:rsidRPr="004E4188">
              <w:rPr>
                <w:i/>
                <w:spacing w:val="-2"/>
              </w:rPr>
              <w:t>le nom complet</w:t>
            </w:r>
            <w:r w:rsidRPr="004E4188">
              <w:rPr>
                <w:spacing w:val="-2"/>
              </w:rPr>
              <w:t>]</w:t>
            </w:r>
          </w:p>
          <w:p w14:paraId="7C3D963A" w14:textId="77777777" w:rsidR="007049A5" w:rsidRPr="004E4188" w:rsidRDefault="007049A5" w:rsidP="003D46CF">
            <w:pPr>
              <w:numPr>
                <w:ilvl w:val="0"/>
                <w:numId w:val="49"/>
              </w:numPr>
              <w:tabs>
                <w:tab w:val="clear" w:pos="420"/>
                <w:tab w:val="num" w:pos="279"/>
              </w:tabs>
              <w:spacing w:afterLines="50" w:after="120"/>
              <w:ind w:left="279" w:hanging="279"/>
              <w:rPr>
                <w:i/>
                <w:spacing w:val="-2"/>
              </w:rPr>
            </w:pPr>
            <w:r w:rsidRPr="004E4188">
              <w:rPr>
                <w:spacing w:val="-2"/>
              </w:rPr>
              <w:t>Adresse du Maître d’ouvrage : [</w:t>
            </w:r>
            <w:r w:rsidRPr="004E4188">
              <w:rPr>
                <w:i/>
                <w:spacing w:val="-2"/>
              </w:rPr>
              <w:t xml:space="preserve">indiquer </w:t>
            </w:r>
            <w:r w:rsidRPr="004E4188">
              <w:rPr>
                <w:i/>
                <w:iCs/>
                <w:szCs w:val="24"/>
                <w:lang w:eastAsia="ja-JP"/>
              </w:rPr>
              <w:t>l’adresse postale</w:t>
            </w:r>
            <w:r w:rsidRPr="004E4188">
              <w:rPr>
                <w:spacing w:val="-2"/>
              </w:rPr>
              <w:t>]</w:t>
            </w:r>
          </w:p>
          <w:p w14:paraId="61B9302C" w14:textId="6EA54419" w:rsidR="007049A5" w:rsidRPr="004E4188" w:rsidRDefault="007049A5" w:rsidP="003D46CF">
            <w:pPr>
              <w:numPr>
                <w:ilvl w:val="0"/>
                <w:numId w:val="49"/>
              </w:numPr>
              <w:tabs>
                <w:tab w:val="clear" w:pos="420"/>
                <w:tab w:val="num" w:pos="279"/>
              </w:tabs>
              <w:spacing w:afterLines="50" w:after="120"/>
              <w:ind w:left="279" w:hanging="279"/>
              <w:rPr>
                <w:spacing w:val="-2"/>
              </w:rPr>
            </w:pPr>
            <w:r w:rsidRPr="004E4188">
              <w:rPr>
                <w:spacing w:val="-2"/>
              </w:rPr>
              <w:t>Numéro de téléphone/fax : [</w:t>
            </w:r>
            <w:r w:rsidRPr="004E4188">
              <w:rPr>
                <w:i/>
                <w:spacing w:val="-2"/>
              </w:rPr>
              <w:t>indiquer les numéros de téléphone et fax, y compris les codes ville/pays</w:t>
            </w:r>
            <w:r w:rsidRPr="004E4188">
              <w:rPr>
                <w:spacing w:val="-2"/>
              </w:rPr>
              <w:t>]</w:t>
            </w:r>
          </w:p>
          <w:p w14:paraId="1879E0A1" w14:textId="77777777" w:rsidR="007049A5" w:rsidRPr="004E4188" w:rsidRDefault="007049A5" w:rsidP="003D46CF">
            <w:pPr>
              <w:numPr>
                <w:ilvl w:val="0"/>
                <w:numId w:val="49"/>
              </w:numPr>
              <w:tabs>
                <w:tab w:val="clear" w:pos="420"/>
                <w:tab w:val="num" w:pos="279"/>
              </w:tabs>
              <w:spacing w:afterLines="50" w:after="120"/>
              <w:ind w:left="279" w:hanging="279"/>
              <w:rPr>
                <w:spacing w:val="-2"/>
              </w:rPr>
            </w:pPr>
            <w:r w:rsidRPr="004E4188">
              <w:rPr>
                <w:spacing w:val="-2"/>
              </w:rPr>
              <w:t>Adresse électronique : [</w:t>
            </w:r>
            <w:r w:rsidRPr="004E4188">
              <w:rPr>
                <w:i/>
                <w:spacing w:val="-2"/>
              </w:rPr>
              <w:t>indiquer l’adresse e-mail</w:t>
            </w:r>
            <w:r w:rsidRPr="004E4188">
              <w:rPr>
                <w:spacing w:val="-2"/>
              </w:rPr>
              <w:t>]</w:t>
            </w:r>
          </w:p>
          <w:p w14:paraId="16AB2F65" w14:textId="77777777" w:rsidR="007049A5" w:rsidRPr="004E4188" w:rsidRDefault="007049A5" w:rsidP="003D46CF">
            <w:pPr>
              <w:numPr>
                <w:ilvl w:val="0"/>
                <w:numId w:val="49"/>
              </w:numPr>
              <w:tabs>
                <w:tab w:val="clear" w:pos="420"/>
                <w:tab w:val="num" w:pos="279"/>
              </w:tabs>
              <w:spacing w:afterLines="50" w:after="120"/>
              <w:ind w:left="279" w:hanging="279"/>
              <w:rPr>
                <w:i/>
                <w:spacing w:val="-2"/>
              </w:rPr>
            </w:pPr>
            <w:r w:rsidRPr="004E4188">
              <w:rPr>
                <w:spacing w:val="-2"/>
              </w:rPr>
              <w:t>Objet du litige : [</w:t>
            </w:r>
            <w:r w:rsidRPr="004E4188">
              <w:rPr>
                <w:i/>
                <w:spacing w:val="-2"/>
              </w:rPr>
              <w:t>indiquer les principaux points en litige</w:t>
            </w:r>
            <w:r w:rsidRPr="004E4188">
              <w:rPr>
                <w:spacing w:val="-2"/>
              </w:rPr>
              <w:t>]</w:t>
            </w:r>
          </w:p>
          <w:p w14:paraId="4046044B" w14:textId="77777777" w:rsidR="007049A5" w:rsidRPr="004E4188" w:rsidRDefault="007049A5" w:rsidP="003D46CF">
            <w:pPr>
              <w:numPr>
                <w:ilvl w:val="0"/>
                <w:numId w:val="49"/>
              </w:numPr>
              <w:tabs>
                <w:tab w:val="clear" w:pos="420"/>
                <w:tab w:val="num" w:pos="279"/>
              </w:tabs>
              <w:spacing w:afterLines="50" w:after="120"/>
              <w:ind w:left="279" w:hanging="279"/>
              <w:rPr>
                <w:i/>
                <w:spacing w:val="-2"/>
              </w:rPr>
            </w:pPr>
            <w:r w:rsidRPr="004E4188">
              <w:rPr>
                <w:spacing w:val="-2"/>
              </w:rPr>
              <w:t>Partie à l’origine du litige : [</w:t>
            </w:r>
            <w:r w:rsidRPr="004E4188">
              <w:rPr>
                <w:i/>
                <w:spacing w:val="-2"/>
              </w:rPr>
              <w:t>indiquer « Maître d’ouvrage » ou « Entrepreneur »</w:t>
            </w:r>
            <w:r w:rsidRPr="004E4188">
              <w:rPr>
                <w:spacing w:val="-2"/>
              </w:rPr>
              <w:t>]</w:t>
            </w:r>
          </w:p>
          <w:p w14:paraId="591F797A" w14:textId="77777777" w:rsidR="007049A5" w:rsidRPr="004E4188" w:rsidRDefault="007049A5" w:rsidP="003D46CF">
            <w:pPr>
              <w:numPr>
                <w:ilvl w:val="0"/>
                <w:numId w:val="49"/>
              </w:numPr>
              <w:tabs>
                <w:tab w:val="clear" w:pos="420"/>
                <w:tab w:val="num" w:pos="279"/>
              </w:tabs>
              <w:spacing w:afterLines="50" w:after="120"/>
              <w:ind w:left="279" w:hanging="279"/>
              <w:rPr>
                <w:rFonts w:ascii="Century" w:hAnsi="Century"/>
                <w:i/>
                <w:spacing w:val="-2"/>
                <w:sz w:val="21"/>
                <w:lang w:eastAsia="ja-JP"/>
              </w:rPr>
            </w:pPr>
            <w:r w:rsidRPr="004E4188">
              <w:rPr>
                <w:spacing w:val="-2"/>
              </w:rPr>
              <w:t>Résumé de l’ordonnance judiciaire : [</w:t>
            </w:r>
            <w:r w:rsidRPr="004E4188">
              <w:rPr>
                <w:i/>
                <w:spacing w:val="-2"/>
              </w:rPr>
              <w:t>indiquer de façon précise l’ordonnance judiciaire concernant les principaux points en litige</w:t>
            </w:r>
            <w:r w:rsidRPr="004E4188">
              <w:rPr>
                <w:spacing w:val="-2"/>
              </w:rPr>
              <w:t>]</w:t>
            </w:r>
          </w:p>
          <w:p w14:paraId="27841B0F" w14:textId="77777777" w:rsidR="007049A5" w:rsidRPr="004E4188" w:rsidRDefault="007049A5" w:rsidP="006C6267">
            <w:pPr>
              <w:pStyle w:val="aff7"/>
              <w:ind w:leftChars="0" w:left="420"/>
              <w:rPr>
                <w:i/>
                <w:spacing w:val="-2"/>
                <w:lang w:val="fr-FR"/>
              </w:rPr>
            </w:pPr>
          </w:p>
        </w:tc>
        <w:tc>
          <w:tcPr>
            <w:tcW w:w="2040" w:type="dxa"/>
            <w:tcMar>
              <w:left w:w="108" w:type="dxa"/>
              <w:right w:w="108" w:type="dxa"/>
            </w:tcMar>
          </w:tcPr>
          <w:p w14:paraId="120ECAD8" w14:textId="79612562" w:rsidR="007049A5" w:rsidRPr="004E4188" w:rsidRDefault="007049A5" w:rsidP="006C6267">
            <w:pPr>
              <w:jc w:val="center"/>
              <w:rPr>
                <w:spacing w:val="-2"/>
                <w:lang w:eastAsia="ja-JP"/>
              </w:rPr>
            </w:pPr>
            <w:r w:rsidRPr="004E4188">
              <w:rPr>
                <w:spacing w:val="-2"/>
              </w:rPr>
              <w:t>[</w:t>
            </w:r>
            <w:r w:rsidRPr="004E4188">
              <w:rPr>
                <w:i/>
                <w:spacing w:val="-2"/>
              </w:rPr>
              <w:t>indiquer la valeur actuelle, la monnaie, le taux de change et l’équivalent $US</w:t>
            </w:r>
            <w:r w:rsidRPr="004E4188">
              <w:rPr>
                <w:spacing w:val="-2"/>
              </w:rPr>
              <w:t>]</w:t>
            </w:r>
          </w:p>
        </w:tc>
      </w:tr>
    </w:tbl>
    <w:p w14:paraId="7C2501F1" w14:textId="77777777" w:rsidR="007049A5" w:rsidRPr="004E4188" w:rsidRDefault="007049A5" w:rsidP="00BE6B88">
      <w:pPr>
        <w:spacing w:afterLines="100" w:after="240"/>
        <w:rPr>
          <w:b/>
        </w:rPr>
      </w:pPr>
    </w:p>
    <w:p w14:paraId="32C8755C" w14:textId="77777777" w:rsidR="007049A5" w:rsidRPr="004E4188" w:rsidRDefault="007049A5" w:rsidP="006C6267">
      <w:pPr>
        <w:pStyle w:val="SectionIVHeading2"/>
        <w:outlineLvl w:val="2"/>
        <w:rPr>
          <w:sz w:val="32"/>
          <w:szCs w:val="32"/>
          <w:lang w:val="fr-FR"/>
        </w:rPr>
      </w:pPr>
      <w:r w:rsidRPr="004E4188">
        <w:rPr>
          <w:lang w:val="fr-FR"/>
        </w:rPr>
        <w:br w:type="page"/>
      </w:r>
      <w:bookmarkStart w:id="620" w:name="_Toc327863881"/>
      <w:bookmarkStart w:id="621" w:name="_Toc349117754"/>
      <w:bookmarkStart w:id="622" w:name="_Toc357513235"/>
      <w:bookmarkStart w:id="623" w:name="_Toc112429329"/>
      <w:r w:rsidRPr="004E4188">
        <w:rPr>
          <w:sz w:val="32"/>
          <w:szCs w:val="32"/>
          <w:lang w:val="fr-FR"/>
        </w:rPr>
        <w:t>Formulaire FIN-1</w:t>
      </w:r>
      <w:r w:rsidRPr="004E4188">
        <w:rPr>
          <w:sz w:val="32"/>
          <w:szCs w:val="32"/>
          <w:lang w:val="fr-FR"/>
        </w:rPr>
        <w:br/>
        <w:t>Situation financière</w:t>
      </w:r>
      <w:bookmarkEnd w:id="620"/>
      <w:bookmarkEnd w:id="621"/>
      <w:bookmarkEnd w:id="622"/>
      <w:bookmarkEnd w:id="623"/>
    </w:p>
    <w:p w14:paraId="0F118328" w14:textId="77777777" w:rsidR="007049A5" w:rsidRPr="004E4188" w:rsidRDefault="007049A5" w:rsidP="007F3621">
      <w:pPr>
        <w:rPr>
          <w:i/>
        </w:rPr>
      </w:pPr>
      <w:r w:rsidRPr="004E4188">
        <w:t>[</w:t>
      </w:r>
      <w:r w:rsidRPr="004E4188">
        <w:rPr>
          <w:i/>
        </w:rPr>
        <w:t xml:space="preserve">Le tableau ci-dessous doit être rempli pour le Soumissionnaire et pour chaque membre du Groupement si le Soumissionnaire est un Groupement. </w:t>
      </w:r>
      <w:r w:rsidRPr="004E4188">
        <w:rPr>
          <w:i/>
          <w:iCs/>
        </w:rPr>
        <w:t>Les documents cités comme requis doivent être remis en tant que pièces jointes aux présentes.</w:t>
      </w:r>
      <w:r w:rsidRPr="004E4188">
        <w:t>]</w:t>
      </w:r>
    </w:p>
    <w:p w14:paraId="2DE144AA" w14:textId="77777777" w:rsidR="007049A5" w:rsidRPr="004E4188" w:rsidRDefault="007049A5" w:rsidP="00122D67">
      <w:pPr>
        <w:tabs>
          <w:tab w:val="left" w:pos="2610"/>
          <w:tab w:val="right" w:pos="9000"/>
        </w:tabs>
        <w:jc w:val="center"/>
      </w:pPr>
    </w:p>
    <w:p w14:paraId="3613EAE6" w14:textId="405DC308" w:rsidR="007049A5" w:rsidRPr="004E4188" w:rsidRDefault="007049A5" w:rsidP="003349F2">
      <w:pPr>
        <w:wordWrap w:val="0"/>
        <w:ind w:rightChars="1" w:right="2"/>
        <w:jc w:val="right"/>
      </w:pPr>
      <w:r w:rsidRPr="004E4188">
        <w:t>Date : [</w:t>
      </w:r>
      <w:r w:rsidRPr="004E4188">
        <w:rPr>
          <w:i/>
        </w:rPr>
        <w:t>indiquer jour, mois, année</w:t>
      </w:r>
      <w:r w:rsidRPr="004E4188">
        <w:t>]</w:t>
      </w:r>
    </w:p>
    <w:p w14:paraId="35275BC9" w14:textId="77777777" w:rsidR="007049A5" w:rsidRPr="004E4188" w:rsidRDefault="007049A5" w:rsidP="00770DA9">
      <w:pPr>
        <w:ind w:rightChars="1" w:right="2"/>
        <w:jc w:val="right"/>
      </w:pPr>
      <w:r w:rsidRPr="004E4188">
        <w:t>Nom légal du Soumissionnaire : [</w:t>
      </w:r>
      <w:r w:rsidRPr="004E4188">
        <w:rPr>
          <w:i/>
        </w:rPr>
        <w:t>indiquer le nom complet</w:t>
      </w:r>
      <w:r w:rsidRPr="004E4188">
        <w:t>]</w:t>
      </w:r>
    </w:p>
    <w:p w14:paraId="41F90CE1" w14:textId="77777777" w:rsidR="007049A5" w:rsidRPr="004E4188" w:rsidRDefault="007049A5" w:rsidP="00770DA9">
      <w:pPr>
        <w:ind w:rightChars="1" w:right="2"/>
        <w:jc w:val="right"/>
      </w:pPr>
      <w:r w:rsidRPr="004E4188">
        <w:t>Nom légal du membre du Groupement : [</w:t>
      </w:r>
      <w:r w:rsidRPr="004E4188">
        <w:rPr>
          <w:i/>
        </w:rPr>
        <w:t>indiquer le nom complet</w:t>
      </w:r>
      <w:r w:rsidRPr="004E4188">
        <w:t>]</w:t>
      </w:r>
    </w:p>
    <w:p w14:paraId="0A6FEBEF" w14:textId="77777777" w:rsidR="007049A5" w:rsidRPr="004E4188" w:rsidRDefault="007049A5" w:rsidP="00770DA9">
      <w:pPr>
        <w:tabs>
          <w:tab w:val="right" w:pos="9356"/>
        </w:tabs>
        <w:ind w:rightChars="1" w:right="2"/>
        <w:jc w:val="right"/>
        <w:rPr>
          <w:i/>
          <w:iCs/>
        </w:rPr>
      </w:pPr>
      <w:r w:rsidRPr="004E4188">
        <w:t>AAO n</w:t>
      </w:r>
      <w:r w:rsidRPr="004E4188">
        <w:rPr>
          <w:vertAlign w:val="superscript"/>
        </w:rPr>
        <w:t>o</w:t>
      </w:r>
      <w:r w:rsidRPr="004E4188">
        <w:t xml:space="preserve"> : </w:t>
      </w:r>
      <w:r w:rsidRPr="004E4188">
        <w:rPr>
          <w:iCs/>
        </w:rPr>
        <w:t>[</w:t>
      </w:r>
      <w:r w:rsidRPr="004E4188">
        <w:rPr>
          <w:i/>
          <w:iCs/>
        </w:rPr>
        <w:t>indiquer le numéro</w:t>
      </w:r>
      <w:r w:rsidRPr="004E4188">
        <w:t>]</w:t>
      </w:r>
    </w:p>
    <w:p w14:paraId="02BADB49" w14:textId="1F6C2075" w:rsidR="007049A5" w:rsidRPr="004E4188" w:rsidRDefault="007049A5" w:rsidP="00770DA9">
      <w:pPr>
        <w:tabs>
          <w:tab w:val="right" w:pos="9356"/>
        </w:tabs>
        <w:ind w:rightChars="1" w:right="2"/>
        <w:jc w:val="right"/>
        <w:rPr>
          <w:i/>
          <w:iCs/>
        </w:rPr>
      </w:pPr>
      <w:r w:rsidRPr="004E4188">
        <w:rPr>
          <w:iCs/>
        </w:rPr>
        <w:t>Page</w:t>
      </w:r>
      <w:r w:rsidR="008729D9" w:rsidRPr="004E4188">
        <w:rPr>
          <w:iCs/>
          <w:spacing w:val="-4"/>
        </w:rPr>
        <w:t> </w:t>
      </w:r>
      <w:r w:rsidRPr="004E4188">
        <w:t xml:space="preserve">: </w:t>
      </w:r>
      <w:r w:rsidRPr="004E4188">
        <w:rPr>
          <w:iCs/>
        </w:rPr>
        <w:t>[</w:t>
      </w:r>
      <w:r w:rsidRPr="004E4188">
        <w:rPr>
          <w:i/>
          <w:iCs/>
        </w:rPr>
        <w:t>indiquer le numéro de la page</w:t>
      </w:r>
      <w:r w:rsidRPr="004E4188">
        <w:rPr>
          <w:iCs/>
        </w:rPr>
        <w:t>] de [</w:t>
      </w:r>
      <w:r w:rsidRPr="004E4188">
        <w:rPr>
          <w:i/>
          <w:iCs/>
        </w:rPr>
        <w:t>indiquer le nombre total de</w:t>
      </w:r>
      <w:r w:rsidRPr="004E4188">
        <w:rPr>
          <w:iCs/>
        </w:rPr>
        <w:t>] pages</w:t>
      </w:r>
    </w:p>
    <w:p w14:paraId="557B407B" w14:textId="77777777" w:rsidR="007049A5" w:rsidRPr="004E4188" w:rsidRDefault="007049A5" w:rsidP="00D45DD3"/>
    <w:p w14:paraId="74659B08" w14:textId="77777777" w:rsidR="007049A5" w:rsidRPr="004E4188" w:rsidRDefault="007049A5" w:rsidP="00800172">
      <w:pPr>
        <w:spacing w:afterLines="50" w:after="120"/>
      </w:pPr>
      <w:r w:rsidRPr="004E4188">
        <w:rPr>
          <w:b/>
        </w:rPr>
        <w:t>1. Données financières</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5"/>
        <w:gridCol w:w="1192"/>
        <w:gridCol w:w="1187"/>
        <w:gridCol w:w="1191"/>
        <w:gridCol w:w="1187"/>
        <w:gridCol w:w="1202"/>
      </w:tblGrid>
      <w:tr w:rsidR="007049A5" w:rsidRPr="004E4188" w14:paraId="3E9D885C" w14:textId="77777777" w:rsidTr="003117CC">
        <w:tc>
          <w:tcPr>
            <w:tcW w:w="3005" w:type="dxa"/>
            <w:tcBorders>
              <w:bottom w:val="double" w:sz="4" w:space="0" w:color="auto"/>
            </w:tcBorders>
            <w:shd w:val="clear" w:color="auto" w:fill="D9D9D9"/>
            <w:tcMar>
              <w:top w:w="57" w:type="dxa"/>
              <w:left w:w="28" w:type="dxa"/>
              <w:bottom w:w="57" w:type="dxa"/>
              <w:right w:w="28" w:type="dxa"/>
            </w:tcMar>
          </w:tcPr>
          <w:p w14:paraId="78F96568" w14:textId="77777777" w:rsidR="007049A5" w:rsidRPr="004E4188" w:rsidRDefault="007049A5" w:rsidP="00454DA5">
            <w:pPr>
              <w:pStyle w:val="Outline"/>
              <w:suppressAutoHyphens/>
              <w:spacing w:before="40" w:after="40"/>
              <w:jc w:val="center"/>
              <w:rPr>
                <w:b/>
                <w:spacing w:val="-2"/>
                <w:kern w:val="0"/>
              </w:rPr>
            </w:pPr>
            <w:r w:rsidRPr="004E4188">
              <w:rPr>
                <w:b/>
                <w:spacing w:val="-2"/>
                <w:kern w:val="0"/>
              </w:rPr>
              <w:t xml:space="preserve">Données financières en (monnaie) </w:t>
            </w:r>
          </w:p>
        </w:tc>
        <w:tc>
          <w:tcPr>
            <w:tcW w:w="5959" w:type="dxa"/>
            <w:gridSpan w:val="5"/>
            <w:tcBorders>
              <w:bottom w:val="double" w:sz="4" w:space="0" w:color="auto"/>
            </w:tcBorders>
            <w:shd w:val="clear" w:color="auto" w:fill="D9D9D9"/>
            <w:tcMar>
              <w:top w:w="57" w:type="dxa"/>
              <w:left w:w="28" w:type="dxa"/>
              <w:bottom w:w="57" w:type="dxa"/>
              <w:right w:w="28" w:type="dxa"/>
            </w:tcMar>
            <w:vAlign w:val="center"/>
          </w:tcPr>
          <w:p w14:paraId="12B44F61" w14:textId="77777777" w:rsidR="007049A5" w:rsidRPr="004E4188" w:rsidRDefault="007049A5" w:rsidP="00454DA5">
            <w:pPr>
              <w:spacing w:before="40"/>
              <w:jc w:val="center"/>
              <w:rPr>
                <w:b/>
                <w:spacing w:val="-2"/>
              </w:rPr>
            </w:pPr>
            <w:r w:rsidRPr="004E4188">
              <w:rPr>
                <w:b/>
                <w:spacing w:val="-2"/>
              </w:rPr>
              <w:t xml:space="preserve">Antécédents pour les </w:t>
            </w:r>
            <w:r w:rsidRPr="004E4188">
              <w:rPr>
                <w:spacing w:val="-2"/>
              </w:rPr>
              <w:t>[</w:t>
            </w:r>
            <w:r w:rsidRPr="004E4188">
              <w:rPr>
                <w:i/>
                <w:spacing w:val="-2"/>
              </w:rPr>
              <w:t>indiquer le nombre</w:t>
            </w:r>
            <w:r w:rsidRPr="004E4188">
              <w:rPr>
                <w:spacing w:val="-2"/>
              </w:rPr>
              <w:t>]</w:t>
            </w:r>
            <w:r w:rsidRPr="004E4188">
              <w:rPr>
                <w:b/>
                <w:spacing w:val="-2"/>
              </w:rPr>
              <w:t xml:space="preserve"> dernières années</w:t>
            </w:r>
          </w:p>
          <w:p w14:paraId="2A55F4D0" w14:textId="77777777" w:rsidR="007049A5" w:rsidRPr="004E4188" w:rsidRDefault="007049A5" w:rsidP="00B70D0B">
            <w:pPr>
              <w:spacing w:after="60"/>
              <w:jc w:val="center"/>
              <w:rPr>
                <w:spacing w:val="-4"/>
                <w:lang w:eastAsia="ja-JP"/>
              </w:rPr>
            </w:pPr>
            <w:r w:rsidRPr="004E4188">
              <w:rPr>
                <w:spacing w:val="-2"/>
              </w:rPr>
              <w:t>(</w:t>
            </w:r>
            <w:r w:rsidRPr="004E4188">
              <w:rPr>
                <w:b/>
                <w:spacing w:val="-2"/>
              </w:rPr>
              <w:t>valeur en monnaie, monnaie, taux de change, équivalent $US</w:t>
            </w:r>
            <w:r w:rsidRPr="004E4188">
              <w:rPr>
                <w:spacing w:val="-2"/>
              </w:rPr>
              <w:t>)</w:t>
            </w:r>
          </w:p>
        </w:tc>
      </w:tr>
      <w:tr w:rsidR="007049A5" w:rsidRPr="004E4188" w14:paraId="0A5CC4FC" w14:textId="77777777" w:rsidTr="003117CC">
        <w:trPr>
          <w:trHeight w:hRule="exact" w:val="523"/>
        </w:trPr>
        <w:tc>
          <w:tcPr>
            <w:tcW w:w="3005" w:type="dxa"/>
            <w:tcBorders>
              <w:top w:val="double" w:sz="4" w:space="0" w:color="auto"/>
            </w:tcBorders>
            <w:tcMar>
              <w:top w:w="57" w:type="dxa"/>
              <w:left w:w="28" w:type="dxa"/>
              <w:bottom w:w="57" w:type="dxa"/>
              <w:right w:w="28" w:type="dxa"/>
            </w:tcMar>
          </w:tcPr>
          <w:p w14:paraId="3C84FF20" w14:textId="77777777" w:rsidR="007049A5" w:rsidRPr="004E4188" w:rsidRDefault="007049A5" w:rsidP="007F31C3"/>
        </w:tc>
        <w:tc>
          <w:tcPr>
            <w:tcW w:w="1192" w:type="dxa"/>
            <w:tcBorders>
              <w:top w:val="double" w:sz="4" w:space="0" w:color="auto"/>
            </w:tcBorders>
            <w:tcMar>
              <w:top w:w="57" w:type="dxa"/>
              <w:left w:w="28" w:type="dxa"/>
              <w:bottom w:w="57" w:type="dxa"/>
              <w:right w:w="28" w:type="dxa"/>
            </w:tcMar>
            <w:vAlign w:val="center"/>
          </w:tcPr>
          <w:p w14:paraId="553C2FF6" w14:textId="77777777" w:rsidR="007049A5" w:rsidRPr="004E4188" w:rsidRDefault="007049A5" w:rsidP="00940E7F">
            <w:pPr>
              <w:jc w:val="center"/>
            </w:pPr>
            <w:r w:rsidRPr="004E4188">
              <w:t>Année 1</w:t>
            </w:r>
          </w:p>
        </w:tc>
        <w:tc>
          <w:tcPr>
            <w:tcW w:w="1187" w:type="dxa"/>
            <w:tcBorders>
              <w:top w:val="double" w:sz="4" w:space="0" w:color="auto"/>
            </w:tcBorders>
            <w:tcMar>
              <w:top w:w="57" w:type="dxa"/>
              <w:left w:w="28" w:type="dxa"/>
              <w:bottom w:w="57" w:type="dxa"/>
              <w:right w:w="28" w:type="dxa"/>
            </w:tcMar>
            <w:vAlign w:val="center"/>
          </w:tcPr>
          <w:p w14:paraId="0108D932" w14:textId="77777777" w:rsidR="007049A5" w:rsidRPr="004E4188" w:rsidRDefault="007049A5" w:rsidP="00940E7F">
            <w:pPr>
              <w:jc w:val="center"/>
            </w:pPr>
            <w:r w:rsidRPr="004E4188">
              <w:t>Année 2</w:t>
            </w:r>
          </w:p>
        </w:tc>
        <w:tc>
          <w:tcPr>
            <w:tcW w:w="1191" w:type="dxa"/>
            <w:tcBorders>
              <w:top w:val="double" w:sz="4" w:space="0" w:color="auto"/>
            </w:tcBorders>
            <w:tcMar>
              <w:top w:w="57" w:type="dxa"/>
              <w:left w:w="28" w:type="dxa"/>
              <w:bottom w:w="57" w:type="dxa"/>
              <w:right w:w="28" w:type="dxa"/>
            </w:tcMar>
            <w:vAlign w:val="center"/>
          </w:tcPr>
          <w:p w14:paraId="4B810B0F" w14:textId="77777777" w:rsidR="007049A5" w:rsidRPr="004E4188" w:rsidRDefault="007049A5" w:rsidP="00940E7F">
            <w:pPr>
              <w:jc w:val="center"/>
            </w:pPr>
            <w:r w:rsidRPr="004E4188">
              <w:t>Année 3</w:t>
            </w:r>
          </w:p>
        </w:tc>
        <w:tc>
          <w:tcPr>
            <w:tcW w:w="1187" w:type="dxa"/>
            <w:tcBorders>
              <w:top w:val="double" w:sz="4" w:space="0" w:color="auto"/>
            </w:tcBorders>
            <w:tcMar>
              <w:top w:w="57" w:type="dxa"/>
              <w:left w:w="28" w:type="dxa"/>
              <w:bottom w:w="57" w:type="dxa"/>
              <w:right w:w="28" w:type="dxa"/>
            </w:tcMar>
            <w:vAlign w:val="center"/>
          </w:tcPr>
          <w:p w14:paraId="30922B9F" w14:textId="77777777" w:rsidR="007049A5" w:rsidRPr="004E4188" w:rsidRDefault="007049A5" w:rsidP="00940E7F">
            <w:pPr>
              <w:jc w:val="center"/>
            </w:pPr>
            <w:r w:rsidRPr="004E4188">
              <w:t>Année 4</w:t>
            </w:r>
          </w:p>
        </w:tc>
        <w:tc>
          <w:tcPr>
            <w:tcW w:w="1202" w:type="dxa"/>
            <w:tcBorders>
              <w:top w:val="double" w:sz="4" w:space="0" w:color="auto"/>
            </w:tcBorders>
            <w:tcMar>
              <w:top w:w="57" w:type="dxa"/>
              <w:left w:w="28" w:type="dxa"/>
              <w:bottom w:w="57" w:type="dxa"/>
              <w:right w:w="28" w:type="dxa"/>
            </w:tcMar>
            <w:vAlign w:val="center"/>
          </w:tcPr>
          <w:p w14:paraId="72A04AA6" w14:textId="77777777" w:rsidR="007049A5" w:rsidRPr="004E4188" w:rsidRDefault="007049A5" w:rsidP="00940E7F">
            <w:pPr>
              <w:jc w:val="center"/>
            </w:pPr>
            <w:r w:rsidRPr="004E4188">
              <w:t>Année 5</w:t>
            </w:r>
          </w:p>
        </w:tc>
      </w:tr>
      <w:tr w:rsidR="007049A5" w:rsidRPr="004E4188" w14:paraId="5454E556" w14:textId="77777777" w:rsidTr="003117CC">
        <w:trPr>
          <w:trHeight w:val="227"/>
        </w:trPr>
        <w:tc>
          <w:tcPr>
            <w:tcW w:w="8964" w:type="dxa"/>
            <w:gridSpan w:val="6"/>
            <w:tcMar>
              <w:top w:w="57" w:type="dxa"/>
              <w:left w:w="28" w:type="dxa"/>
              <w:bottom w:w="57" w:type="dxa"/>
              <w:right w:w="28" w:type="dxa"/>
            </w:tcMar>
          </w:tcPr>
          <w:p w14:paraId="23FDA2A2" w14:textId="77777777" w:rsidR="007049A5" w:rsidRPr="004E4188" w:rsidRDefault="007049A5" w:rsidP="006C6267">
            <w:pPr>
              <w:ind w:left="238"/>
              <w:jc w:val="center"/>
              <w:rPr>
                <w:b/>
                <w:bCs/>
                <w:spacing w:val="-4"/>
              </w:rPr>
            </w:pPr>
            <w:r w:rsidRPr="004E4188">
              <w:rPr>
                <w:b/>
              </w:rPr>
              <w:t>Information du bilan</w:t>
            </w:r>
          </w:p>
        </w:tc>
      </w:tr>
      <w:tr w:rsidR="007049A5" w:rsidRPr="004E4188" w14:paraId="1F51D9D8" w14:textId="77777777" w:rsidTr="00B70D0B">
        <w:trPr>
          <w:trHeight w:val="425"/>
        </w:trPr>
        <w:tc>
          <w:tcPr>
            <w:tcW w:w="3005" w:type="dxa"/>
            <w:tcMar>
              <w:top w:w="57" w:type="dxa"/>
              <w:left w:w="28" w:type="dxa"/>
              <w:bottom w:w="57" w:type="dxa"/>
              <w:right w:w="28" w:type="dxa"/>
            </w:tcMar>
          </w:tcPr>
          <w:p w14:paraId="57EEEED4" w14:textId="77777777" w:rsidR="007049A5" w:rsidRPr="004E4188" w:rsidRDefault="007049A5" w:rsidP="00B70D0B">
            <w:r w:rsidRPr="004E4188">
              <w:t>Total actif (TA)</w:t>
            </w:r>
          </w:p>
        </w:tc>
        <w:tc>
          <w:tcPr>
            <w:tcW w:w="1192" w:type="dxa"/>
            <w:tcMar>
              <w:top w:w="57" w:type="dxa"/>
              <w:left w:w="28" w:type="dxa"/>
              <w:bottom w:w="57" w:type="dxa"/>
              <w:right w:w="28" w:type="dxa"/>
            </w:tcMar>
          </w:tcPr>
          <w:p w14:paraId="044D2C03" w14:textId="77777777" w:rsidR="007049A5" w:rsidRPr="004E4188" w:rsidRDefault="007049A5" w:rsidP="00B70D0B">
            <w:pPr>
              <w:ind w:left="68"/>
              <w:rPr>
                <w:spacing w:val="-4"/>
              </w:rPr>
            </w:pPr>
          </w:p>
        </w:tc>
        <w:tc>
          <w:tcPr>
            <w:tcW w:w="1187" w:type="dxa"/>
            <w:tcMar>
              <w:top w:w="57" w:type="dxa"/>
              <w:left w:w="28" w:type="dxa"/>
              <w:bottom w:w="57" w:type="dxa"/>
              <w:right w:w="28" w:type="dxa"/>
            </w:tcMar>
          </w:tcPr>
          <w:p w14:paraId="1F9E1F45" w14:textId="77777777" w:rsidR="007049A5" w:rsidRPr="004E4188" w:rsidRDefault="007049A5" w:rsidP="00B70D0B">
            <w:pPr>
              <w:ind w:left="68"/>
              <w:rPr>
                <w:spacing w:val="-4"/>
              </w:rPr>
            </w:pPr>
          </w:p>
        </w:tc>
        <w:tc>
          <w:tcPr>
            <w:tcW w:w="1191" w:type="dxa"/>
            <w:tcMar>
              <w:top w:w="57" w:type="dxa"/>
              <w:left w:w="28" w:type="dxa"/>
              <w:bottom w:w="57" w:type="dxa"/>
              <w:right w:w="28" w:type="dxa"/>
            </w:tcMar>
          </w:tcPr>
          <w:p w14:paraId="10226C0B" w14:textId="77777777" w:rsidR="007049A5" w:rsidRPr="004E4188" w:rsidRDefault="007049A5" w:rsidP="00B70D0B">
            <w:pPr>
              <w:ind w:left="68"/>
              <w:rPr>
                <w:spacing w:val="-4"/>
              </w:rPr>
            </w:pPr>
          </w:p>
        </w:tc>
        <w:tc>
          <w:tcPr>
            <w:tcW w:w="1187" w:type="dxa"/>
            <w:tcMar>
              <w:top w:w="57" w:type="dxa"/>
              <w:left w:w="28" w:type="dxa"/>
              <w:bottom w:w="57" w:type="dxa"/>
              <w:right w:w="28" w:type="dxa"/>
            </w:tcMar>
          </w:tcPr>
          <w:p w14:paraId="13978A89" w14:textId="77777777" w:rsidR="007049A5" w:rsidRPr="004E4188" w:rsidRDefault="007049A5" w:rsidP="00B70D0B">
            <w:pPr>
              <w:ind w:left="68"/>
              <w:rPr>
                <w:spacing w:val="-4"/>
              </w:rPr>
            </w:pPr>
          </w:p>
        </w:tc>
        <w:tc>
          <w:tcPr>
            <w:tcW w:w="1202" w:type="dxa"/>
            <w:tcMar>
              <w:top w:w="57" w:type="dxa"/>
              <w:left w:w="28" w:type="dxa"/>
              <w:bottom w:w="57" w:type="dxa"/>
              <w:right w:w="28" w:type="dxa"/>
            </w:tcMar>
          </w:tcPr>
          <w:p w14:paraId="37AA6783" w14:textId="77777777" w:rsidR="007049A5" w:rsidRPr="004E4188" w:rsidRDefault="007049A5" w:rsidP="00B70D0B">
            <w:pPr>
              <w:ind w:left="68"/>
              <w:rPr>
                <w:spacing w:val="-4"/>
              </w:rPr>
            </w:pPr>
          </w:p>
        </w:tc>
      </w:tr>
      <w:tr w:rsidR="0090257A" w:rsidRPr="004E4188" w14:paraId="447A8B59" w14:textId="77777777" w:rsidTr="00B70D0B">
        <w:trPr>
          <w:trHeight w:val="425"/>
        </w:trPr>
        <w:tc>
          <w:tcPr>
            <w:tcW w:w="3005" w:type="dxa"/>
            <w:tcMar>
              <w:top w:w="57" w:type="dxa"/>
              <w:left w:w="28" w:type="dxa"/>
              <w:bottom w:w="57" w:type="dxa"/>
              <w:right w:w="28" w:type="dxa"/>
            </w:tcMar>
          </w:tcPr>
          <w:p w14:paraId="221EF15D" w14:textId="77777777" w:rsidR="0090257A" w:rsidRPr="004E4188" w:rsidRDefault="0090257A" w:rsidP="00B70D0B">
            <w:r w:rsidRPr="004E4188">
              <w:t>Total passif (TP)</w:t>
            </w:r>
          </w:p>
        </w:tc>
        <w:tc>
          <w:tcPr>
            <w:tcW w:w="1192" w:type="dxa"/>
            <w:tcMar>
              <w:top w:w="57" w:type="dxa"/>
              <w:left w:w="28" w:type="dxa"/>
              <w:bottom w:w="57" w:type="dxa"/>
              <w:right w:w="28" w:type="dxa"/>
            </w:tcMar>
          </w:tcPr>
          <w:p w14:paraId="181E319D" w14:textId="77777777" w:rsidR="0090257A" w:rsidRPr="004E4188" w:rsidRDefault="0090257A" w:rsidP="00B70D0B">
            <w:pPr>
              <w:ind w:left="68"/>
              <w:rPr>
                <w:spacing w:val="-4"/>
              </w:rPr>
            </w:pPr>
          </w:p>
        </w:tc>
        <w:tc>
          <w:tcPr>
            <w:tcW w:w="1187" w:type="dxa"/>
            <w:tcMar>
              <w:top w:w="57" w:type="dxa"/>
              <w:left w:w="28" w:type="dxa"/>
              <w:bottom w:w="57" w:type="dxa"/>
              <w:right w:w="28" w:type="dxa"/>
            </w:tcMar>
          </w:tcPr>
          <w:p w14:paraId="596209AF" w14:textId="77777777" w:rsidR="0090257A" w:rsidRPr="004E4188" w:rsidRDefault="0090257A" w:rsidP="00B70D0B">
            <w:pPr>
              <w:ind w:left="68"/>
              <w:rPr>
                <w:spacing w:val="-4"/>
              </w:rPr>
            </w:pPr>
          </w:p>
        </w:tc>
        <w:tc>
          <w:tcPr>
            <w:tcW w:w="1191" w:type="dxa"/>
            <w:tcMar>
              <w:top w:w="57" w:type="dxa"/>
              <w:left w:w="28" w:type="dxa"/>
              <w:bottom w:w="57" w:type="dxa"/>
              <w:right w:w="28" w:type="dxa"/>
            </w:tcMar>
          </w:tcPr>
          <w:p w14:paraId="211A5A83" w14:textId="77777777" w:rsidR="0090257A" w:rsidRPr="004E4188" w:rsidRDefault="0090257A" w:rsidP="00B70D0B">
            <w:pPr>
              <w:ind w:left="68"/>
              <w:rPr>
                <w:spacing w:val="-4"/>
              </w:rPr>
            </w:pPr>
          </w:p>
        </w:tc>
        <w:tc>
          <w:tcPr>
            <w:tcW w:w="1187" w:type="dxa"/>
            <w:tcMar>
              <w:top w:w="57" w:type="dxa"/>
              <w:left w:w="28" w:type="dxa"/>
              <w:bottom w:w="57" w:type="dxa"/>
              <w:right w:w="28" w:type="dxa"/>
            </w:tcMar>
          </w:tcPr>
          <w:p w14:paraId="0B0F2890" w14:textId="77777777" w:rsidR="0090257A" w:rsidRPr="004E4188" w:rsidRDefault="0090257A" w:rsidP="00B70D0B">
            <w:pPr>
              <w:ind w:left="68"/>
              <w:rPr>
                <w:spacing w:val="-4"/>
              </w:rPr>
            </w:pPr>
          </w:p>
        </w:tc>
        <w:tc>
          <w:tcPr>
            <w:tcW w:w="1202" w:type="dxa"/>
            <w:tcMar>
              <w:top w:w="57" w:type="dxa"/>
              <w:left w:w="28" w:type="dxa"/>
              <w:bottom w:w="57" w:type="dxa"/>
              <w:right w:w="28" w:type="dxa"/>
            </w:tcMar>
          </w:tcPr>
          <w:p w14:paraId="5F93CF0A" w14:textId="77777777" w:rsidR="0090257A" w:rsidRPr="004E4188" w:rsidRDefault="0090257A" w:rsidP="00B70D0B">
            <w:pPr>
              <w:ind w:left="68"/>
              <w:rPr>
                <w:spacing w:val="-4"/>
              </w:rPr>
            </w:pPr>
          </w:p>
        </w:tc>
      </w:tr>
      <w:tr w:rsidR="0090257A" w:rsidRPr="004E4188" w14:paraId="00EBE87D" w14:textId="77777777" w:rsidTr="00B70D0B">
        <w:trPr>
          <w:trHeight w:val="425"/>
        </w:trPr>
        <w:tc>
          <w:tcPr>
            <w:tcW w:w="3005" w:type="dxa"/>
            <w:tcMar>
              <w:top w:w="57" w:type="dxa"/>
              <w:left w:w="28" w:type="dxa"/>
              <w:bottom w:w="57" w:type="dxa"/>
              <w:right w:w="28" w:type="dxa"/>
            </w:tcMar>
          </w:tcPr>
          <w:p w14:paraId="2C40B192" w14:textId="77777777" w:rsidR="0090257A" w:rsidRPr="004E4188" w:rsidRDefault="0090257A" w:rsidP="00B70D0B">
            <w:r w:rsidRPr="004E4188">
              <w:t>Actif net (AN)</w:t>
            </w:r>
          </w:p>
        </w:tc>
        <w:tc>
          <w:tcPr>
            <w:tcW w:w="1192" w:type="dxa"/>
            <w:tcMar>
              <w:top w:w="57" w:type="dxa"/>
              <w:left w:w="28" w:type="dxa"/>
              <w:bottom w:w="57" w:type="dxa"/>
              <w:right w:w="28" w:type="dxa"/>
            </w:tcMar>
          </w:tcPr>
          <w:p w14:paraId="48E8F884" w14:textId="77777777" w:rsidR="0090257A" w:rsidRPr="004E4188" w:rsidRDefault="0090257A" w:rsidP="00B70D0B">
            <w:pPr>
              <w:ind w:left="68"/>
              <w:rPr>
                <w:spacing w:val="-4"/>
              </w:rPr>
            </w:pPr>
          </w:p>
        </w:tc>
        <w:tc>
          <w:tcPr>
            <w:tcW w:w="1187" w:type="dxa"/>
            <w:tcMar>
              <w:top w:w="57" w:type="dxa"/>
              <w:left w:w="28" w:type="dxa"/>
              <w:bottom w:w="57" w:type="dxa"/>
              <w:right w:w="28" w:type="dxa"/>
            </w:tcMar>
          </w:tcPr>
          <w:p w14:paraId="2C92CEEC" w14:textId="77777777" w:rsidR="0090257A" w:rsidRPr="004E4188" w:rsidRDefault="0090257A" w:rsidP="00B70D0B">
            <w:pPr>
              <w:ind w:left="68"/>
              <w:rPr>
                <w:spacing w:val="-4"/>
              </w:rPr>
            </w:pPr>
          </w:p>
        </w:tc>
        <w:tc>
          <w:tcPr>
            <w:tcW w:w="1191" w:type="dxa"/>
            <w:tcMar>
              <w:top w:w="57" w:type="dxa"/>
              <w:left w:w="28" w:type="dxa"/>
              <w:bottom w:w="57" w:type="dxa"/>
              <w:right w:w="28" w:type="dxa"/>
            </w:tcMar>
          </w:tcPr>
          <w:p w14:paraId="17190DF3" w14:textId="77777777" w:rsidR="0090257A" w:rsidRPr="004E4188" w:rsidRDefault="0090257A" w:rsidP="00B70D0B">
            <w:pPr>
              <w:ind w:left="68"/>
              <w:rPr>
                <w:spacing w:val="-4"/>
              </w:rPr>
            </w:pPr>
          </w:p>
        </w:tc>
        <w:tc>
          <w:tcPr>
            <w:tcW w:w="1187" w:type="dxa"/>
            <w:tcMar>
              <w:top w:w="57" w:type="dxa"/>
              <w:left w:w="28" w:type="dxa"/>
              <w:bottom w:w="57" w:type="dxa"/>
              <w:right w:w="28" w:type="dxa"/>
            </w:tcMar>
          </w:tcPr>
          <w:p w14:paraId="3738F16E" w14:textId="77777777" w:rsidR="0090257A" w:rsidRPr="004E4188" w:rsidRDefault="0090257A" w:rsidP="00B70D0B">
            <w:pPr>
              <w:ind w:left="68"/>
              <w:rPr>
                <w:spacing w:val="-4"/>
              </w:rPr>
            </w:pPr>
          </w:p>
        </w:tc>
        <w:tc>
          <w:tcPr>
            <w:tcW w:w="1202" w:type="dxa"/>
            <w:tcMar>
              <w:top w:w="57" w:type="dxa"/>
              <w:left w:w="28" w:type="dxa"/>
              <w:bottom w:w="57" w:type="dxa"/>
              <w:right w:w="28" w:type="dxa"/>
            </w:tcMar>
          </w:tcPr>
          <w:p w14:paraId="1E92CDBF" w14:textId="77777777" w:rsidR="0090257A" w:rsidRPr="004E4188" w:rsidRDefault="0090257A" w:rsidP="00B70D0B">
            <w:pPr>
              <w:ind w:left="68"/>
              <w:rPr>
                <w:spacing w:val="-4"/>
              </w:rPr>
            </w:pPr>
          </w:p>
        </w:tc>
      </w:tr>
      <w:tr w:rsidR="0090257A" w:rsidRPr="004E4188" w14:paraId="0977885C" w14:textId="77777777" w:rsidTr="00B70D0B">
        <w:trPr>
          <w:trHeight w:val="425"/>
        </w:trPr>
        <w:tc>
          <w:tcPr>
            <w:tcW w:w="3005" w:type="dxa"/>
            <w:tcMar>
              <w:top w:w="57" w:type="dxa"/>
              <w:left w:w="28" w:type="dxa"/>
              <w:bottom w:w="57" w:type="dxa"/>
              <w:right w:w="28" w:type="dxa"/>
            </w:tcMar>
          </w:tcPr>
          <w:p w14:paraId="7542BD8D" w14:textId="77777777" w:rsidR="0090257A" w:rsidRPr="004E4188" w:rsidRDefault="0090257A" w:rsidP="00B70D0B">
            <w:r w:rsidRPr="004E4188">
              <w:t>Actif courant (AC)</w:t>
            </w:r>
          </w:p>
        </w:tc>
        <w:tc>
          <w:tcPr>
            <w:tcW w:w="1192" w:type="dxa"/>
            <w:tcMar>
              <w:top w:w="57" w:type="dxa"/>
              <w:left w:w="28" w:type="dxa"/>
              <w:bottom w:w="57" w:type="dxa"/>
              <w:right w:w="28" w:type="dxa"/>
            </w:tcMar>
          </w:tcPr>
          <w:p w14:paraId="1C6EC8A1" w14:textId="77777777" w:rsidR="0090257A" w:rsidRPr="004E4188" w:rsidRDefault="0090257A" w:rsidP="00B70D0B">
            <w:pPr>
              <w:ind w:left="68"/>
              <w:rPr>
                <w:spacing w:val="-4"/>
              </w:rPr>
            </w:pPr>
          </w:p>
        </w:tc>
        <w:tc>
          <w:tcPr>
            <w:tcW w:w="1187" w:type="dxa"/>
            <w:tcMar>
              <w:top w:w="57" w:type="dxa"/>
              <w:left w:w="28" w:type="dxa"/>
              <w:bottom w:w="57" w:type="dxa"/>
              <w:right w:w="28" w:type="dxa"/>
            </w:tcMar>
          </w:tcPr>
          <w:p w14:paraId="611397FC" w14:textId="77777777" w:rsidR="0090257A" w:rsidRPr="004E4188" w:rsidRDefault="0090257A" w:rsidP="00B70D0B">
            <w:pPr>
              <w:ind w:left="68"/>
              <w:rPr>
                <w:spacing w:val="-4"/>
              </w:rPr>
            </w:pPr>
          </w:p>
        </w:tc>
        <w:tc>
          <w:tcPr>
            <w:tcW w:w="1191" w:type="dxa"/>
            <w:tcMar>
              <w:top w:w="57" w:type="dxa"/>
              <w:left w:w="28" w:type="dxa"/>
              <w:bottom w:w="57" w:type="dxa"/>
              <w:right w:w="28" w:type="dxa"/>
            </w:tcMar>
          </w:tcPr>
          <w:p w14:paraId="47BA9409" w14:textId="77777777" w:rsidR="0090257A" w:rsidRPr="004E4188" w:rsidRDefault="0090257A" w:rsidP="00B70D0B">
            <w:pPr>
              <w:ind w:left="68"/>
              <w:rPr>
                <w:spacing w:val="-4"/>
              </w:rPr>
            </w:pPr>
          </w:p>
        </w:tc>
        <w:tc>
          <w:tcPr>
            <w:tcW w:w="1187" w:type="dxa"/>
            <w:tcMar>
              <w:top w:w="57" w:type="dxa"/>
              <w:left w:w="28" w:type="dxa"/>
              <w:bottom w:w="57" w:type="dxa"/>
              <w:right w:w="28" w:type="dxa"/>
            </w:tcMar>
          </w:tcPr>
          <w:p w14:paraId="5BCDEFEA" w14:textId="77777777" w:rsidR="0090257A" w:rsidRPr="004E4188" w:rsidRDefault="0090257A" w:rsidP="00B70D0B">
            <w:pPr>
              <w:ind w:left="68"/>
              <w:rPr>
                <w:spacing w:val="-4"/>
              </w:rPr>
            </w:pPr>
          </w:p>
        </w:tc>
        <w:tc>
          <w:tcPr>
            <w:tcW w:w="1202" w:type="dxa"/>
            <w:tcMar>
              <w:top w:w="57" w:type="dxa"/>
              <w:left w:w="28" w:type="dxa"/>
              <w:bottom w:w="57" w:type="dxa"/>
              <w:right w:w="28" w:type="dxa"/>
            </w:tcMar>
          </w:tcPr>
          <w:p w14:paraId="0679CB43" w14:textId="77777777" w:rsidR="0090257A" w:rsidRPr="004E4188" w:rsidRDefault="0090257A" w:rsidP="00B70D0B">
            <w:pPr>
              <w:ind w:left="68"/>
              <w:rPr>
                <w:spacing w:val="-4"/>
              </w:rPr>
            </w:pPr>
          </w:p>
        </w:tc>
      </w:tr>
      <w:tr w:rsidR="0090257A" w:rsidRPr="004E4188" w14:paraId="092FEFB6" w14:textId="77777777" w:rsidTr="00B70D0B">
        <w:trPr>
          <w:trHeight w:val="425"/>
        </w:trPr>
        <w:tc>
          <w:tcPr>
            <w:tcW w:w="3005" w:type="dxa"/>
            <w:tcMar>
              <w:top w:w="57" w:type="dxa"/>
              <w:left w:w="28" w:type="dxa"/>
              <w:bottom w:w="57" w:type="dxa"/>
              <w:right w:w="28" w:type="dxa"/>
            </w:tcMar>
          </w:tcPr>
          <w:p w14:paraId="49B6DBAE" w14:textId="77777777" w:rsidR="0090257A" w:rsidRPr="004E4188" w:rsidRDefault="0090257A" w:rsidP="00B70D0B">
            <w:r w:rsidRPr="004E4188">
              <w:t>Passif courant (PC)</w:t>
            </w:r>
          </w:p>
        </w:tc>
        <w:tc>
          <w:tcPr>
            <w:tcW w:w="1192" w:type="dxa"/>
            <w:tcMar>
              <w:top w:w="57" w:type="dxa"/>
              <w:left w:w="28" w:type="dxa"/>
              <w:bottom w:w="57" w:type="dxa"/>
              <w:right w:w="28" w:type="dxa"/>
            </w:tcMar>
          </w:tcPr>
          <w:p w14:paraId="07168D23" w14:textId="77777777" w:rsidR="0090257A" w:rsidRPr="004E4188" w:rsidRDefault="0090257A" w:rsidP="00B70D0B">
            <w:pPr>
              <w:ind w:left="68"/>
              <w:rPr>
                <w:spacing w:val="-4"/>
              </w:rPr>
            </w:pPr>
          </w:p>
        </w:tc>
        <w:tc>
          <w:tcPr>
            <w:tcW w:w="1187" w:type="dxa"/>
            <w:tcMar>
              <w:top w:w="57" w:type="dxa"/>
              <w:left w:w="28" w:type="dxa"/>
              <w:bottom w:w="57" w:type="dxa"/>
              <w:right w:w="28" w:type="dxa"/>
            </w:tcMar>
          </w:tcPr>
          <w:p w14:paraId="073132E9" w14:textId="77777777" w:rsidR="0090257A" w:rsidRPr="004E4188" w:rsidRDefault="0090257A" w:rsidP="00B70D0B">
            <w:pPr>
              <w:ind w:left="68"/>
              <w:rPr>
                <w:spacing w:val="-4"/>
              </w:rPr>
            </w:pPr>
          </w:p>
        </w:tc>
        <w:tc>
          <w:tcPr>
            <w:tcW w:w="1191" w:type="dxa"/>
            <w:tcMar>
              <w:top w:w="57" w:type="dxa"/>
              <w:left w:w="28" w:type="dxa"/>
              <w:bottom w:w="57" w:type="dxa"/>
              <w:right w:w="28" w:type="dxa"/>
            </w:tcMar>
          </w:tcPr>
          <w:p w14:paraId="057ADB28" w14:textId="77777777" w:rsidR="0090257A" w:rsidRPr="004E4188" w:rsidRDefault="0090257A" w:rsidP="00B70D0B">
            <w:pPr>
              <w:ind w:left="68"/>
              <w:rPr>
                <w:spacing w:val="-4"/>
              </w:rPr>
            </w:pPr>
          </w:p>
        </w:tc>
        <w:tc>
          <w:tcPr>
            <w:tcW w:w="1187" w:type="dxa"/>
            <w:tcMar>
              <w:top w:w="57" w:type="dxa"/>
              <w:left w:w="28" w:type="dxa"/>
              <w:bottom w:w="57" w:type="dxa"/>
              <w:right w:w="28" w:type="dxa"/>
            </w:tcMar>
          </w:tcPr>
          <w:p w14:paraId="55363E15" w14:textId="77777777" w:rsidR="0090257A" w:rsidRPr="004E4188" w:rsidRDefault="0090257A" w:rsidP="00B70D0B">
            <w:pPr>
              <w:ind w:left="68"/>
              <w:rPr>
                <w:spacing w:val="-4"/>
              </w:rPr>
            </w:pPr>
          </w:p>
        </w:tc>
        <w:tc>
          <w:tcPr>
            <w:tcW w:w="1202" w:type="dxa"/>
            <w:tcMar>
              <w:top w:w="57" w:type="dxa"/>
              <w:left w:w="28" w:type="dxa"/>
              <w:bottom w:w="57" w:type="dxa"/>
              <w:right w:w="28" w:type="dxa"/>
            </w:tcMar>
          </w:tcPr>
          <w:p w14:paraId="1CF8A072" w14:textId="77777777" w:rsidR="0090257A" w:rsidRPr="004E4188" w:rsidRDefault="0090257A" w:rsidP="00B70D0B">
            <w:pPr>
              <w:ind w:left="68"/>
              <w:rPr>
                <w:spacing w:val="-4"/>
              </w:rPr>
            </w:pPr>
          </w:p>
        </w:tc>
      </w:tr>
      <w:tr w:rsidR="0090257A" w:rsidRPr="004E4188" w14:paraId="084F1C1D" w14:textId="77777777" w:rsidTr="00B70D0B">
        <w:trPr>
          <w:trHeight w:val="425"/>
        </w:trPr>
        <w:tc>
          <w:tcPr>
            <w:tcW w:w="3005" w:type="dxa"/>
            <w:tcMar>
              <w:top w:w="57" w:type="dxa"/>
              <w:left w:w="28" w:type="dxa"/>
              <w:bottom w:w="57" w:type="dxa"/>
              <w:right w:w="28" w:type="dxa"/>
            </w:tcMar>
          </w:tcPr>
          <w:p w14:paraId="0F0BD8BC" w14:textId="77777777" w:rsidR="0090257A" w:rsidRPr="004E4188" w:rsidRDefault="0090257A" w:rsidP="00B70D0B">
            <w:r w:rsidRPr="004E4188">
              <w:rPr>
                <w:rFonts w:hint="eastAsia"/>
                <w:lang w:eastAsia="ja-JP"/>
              </w:rPr>
              <w:t>F</w:t>
            </w:r>
            <w:r w:rsidRPr="004E4188">
              <w:rPr>
                <w:lang w:eastAsia="ja-JP"/>
              </w:rPr>
              <w:t>onds de roulement (FR)</w:t>
            </w:r>
          </w:p>
        </w:tc>
        <w:tc>
          <w:tcPr>
            <w:tcW w:w="1192" w:type="dxa"/>
            <w:tcMar>
              <w:top w:w="57" w:type="dxa"/>
              <w:left w:w="28" w:type="dxa"/>
              <w:bottom w:w="57" w:type="dxa"/>
              <w:right w:w="28" w:type="dxa"/>
            </w:tcMar>
          </w:tcPr>
          <w:p w14:paraId="54865FF0" w14:textId="77777777" w:rsidR="0090257A" w:rsidRPr="004E4188" w:rsidRDefault="0090257A" w:rsidP="00B70D0B">
            <w:pPr>
              <w:ind w:left="68"/>
              <w:rPr>
                <w:spacing w:val="-4"/>
              </w:rPr>
            </w:pPr>
          </w:p>
        </w:tc>
        <w:tc>
          <w:tcPr>
            <w:tcW w:w="1187" w:type="dxa"/>
            <w:tcMar>
              <w:top w:w="57" w:type="dxa"/>
              <w:left w:w="28" w:type="dxa"/>
              <w:bottom w:w="57" w:type="dxa"/>
              <w:right w:w="28" w:type="dxa"/>
            </w:tcMar>
          </w:tcPr>
          <w:p w14:paraId="421B6A81" w14:textId="77777777" w:rsidR="0090257A" w:rsidRPr="004E4188" w:rsidRDefault="0090257A" w:rsidP="00B70D0B">
            <w:pPr>
              <w:ind w:left="68"/>
              <w:rPr>
                <w:spacing w:val="-4"/>
              </w:rPr>
            </w:pPr>
          </w:p>
        </w:tc>
        <w:tc>
          <w:tcPr>
            <w:tcW w:w="1191" w:type="dxa"/>
            <w:tcMar>
              <w:top w:w="57" w:type="dxa"/>
              <w:left w:w="28" w:type="dxa"/>
              <w:bottom w:w="57" w:type="dxa"/>
              <w:right w:w="28" w:type="dxa"/>
            </w:tcMar>
          </w:tcPr>
          <w:p w14:paraId="30D1BB6B" w14:textId="77777777" w:rsidR="0090257A" w:rsidRPr="004E4188" w:rsidRDefault="0090257A" w:rsidP="00B70D0B">
            <w:pPr>
              <w:ind w:left="68"/>
              <w:rPr>
                <w:spacing w:val="-4"/>
              </w:rPr>
            </w:pPr>
          </w:p>
        </w:tc>
        <w:tc>
          <w:tcPr>
            <w:tcW w:w="1187" w:type="dxa"/>
            <w:tcMar>
              <w:top w:w="57" w:type="dxa"/>
              <w:left w:w="28" w:type="dxa"/>
              <w:bottom w:w="57" w:type="dxa"/>
              <w:right w:w="28" w:type="dxa"/>
            </w:tcMar>
          </w:tcPr>
          <w:p w14:paraId="790FC891" w14:textId="77777777" w:rsidR="0090257A" w:rsidRPr="004E4188" w:rsidRDefault="0090257A" w:rsidP="00B70D0B">
            <w:pPr>
              <w:ind w:left="68"/>
              <w:rPr>
                <w:spacing w:val="-4"/>
              </w:rPr>
            </w:pPr>
          </w:p>
        </w:tc>
        <w:tc>
          <w:tcPr>
            <w:tcW w:w="1202" w:type="dxa"/>
            <w:tcMar>
              <w:top w:w="57" w:type="dxa"/>
              <w:left w:w="28" w:type="dxa"/>
              <w:bottom w:w="57" w:type="dxa"/>
              <w:right w:w="28" w:type="dxa"/>
            </w:tcMar>
          </w:tcPr>
          <w:p w14:paraId="6D8E5490" w14:textId="77777777" w:rsidR="0090257A" w:rsidRPr="004E4188" w:rsidRDefault="0090257A" w:rsidP="00B70D0B">
            <w:pPr>
              <w:ind w:left="68"/>
              <w:rPr>
                <w:spacing w:val="-4"/>
              </w:rPr>
            </w:pPr>
          </w:p>
        </w:tc>
      </w:tr>
      <w:tr w:rsidR="007049A5" w:rsidRPr="004E4188" w14:paraId="4CBAFB23" w14:textId="77777777" w:rsidTr="003117CC">
        <w:trPr>
          <w:trHeight w:val="227"/>
        </w:trPr>
        <w:tc>
          <w:tcPr>
            <w:tcW w:w="8964" w:type="dxa"/>
            <w:gridSpan w:val="6"/>
            <w:tcMar>
              <w:top w:w="57" w:type="dxa"/>
              <w:left w:w="28" w:type="dxa"/>
              <w:bottom w:w="57" w:type="dxa"/>
              <w:right w:w="28" w:type="dxa"/>
            </w:tcMar>
          </w:tcPr>
          <w:p w14:paraId="5DF64B7E" w14:textId="77777777" w:rsidR="007049A5" w:rsidRPr="004E4188" w:rsidRDefault="007049A5" w:rsidP="00800172">
            <w:pPr>
              <w:ind w:left="238"/>
              <w:jc w:val="center"/>
              <w:rPr>
                <w:b/>
              </w:rPr>
            </w:pPr>
            <w:r w:rsidRPr="004E4188">
              <w:rPr>
                <w:b/>
              </w:rPr>
              <w:t>Information du compte de résultat</w:t>
            </w:r>
          </w:p>
        </w:tc>
      </w:tr>
      <w:tr w:rsidR="0090257A" w:rsidRPr="004E4188" w14:paraId="3617BD87" w14:textId="77777777" w:rsidTr="00B70D0B">
        <w:trPr>
          <w:trHeight w:val="425"/>
        </w:trPr>
        <w:tc>
          <w:tcPr>
            <w:tcW w:w="3005" w:type="dxa"/>
            <w:tcMar>
              <w:top w:w="57" w:type="dxa"/>
              <w:left w:w="28" w:type="dxa"/>
              <w:bottom w:w="57" w:type="dxa"/>
              <w:right w:w="28" w:type="dxa"/>
            </w:tcMar>
          </w:tcPr>
          <w:p w14:paraId="3C4149CD" w14:textId="77777777" w:rsidR="0090257A" w:rsidRPr="004E4188" w:rsidRDefault="0090257A" w:rsidP="00B70D0B">
            <w:r w:rsidRPr="004E4188">
              <w:t>Total des produits (TP)</w:t>
            </w:r>
          </w:p>
        </w:tc>
        <w:tc>
          <w:tcPr>
            <w:tcW w:w="1192" w:type="dxa"/>
            <w:tcMar>
              <w:top w:w="57" w:type="dxa"/>
              <w:left w:w="28" w:type="dxa"/>
              <w:bottom w:w="57" w:type="dxa"/>
              <w:right w:w="28" w:type="dxa"/>
            </w:tcMar>
          </w:tcPr>
          <w:p w14:paraId="2FB92061" w14:textId="77777777" w:rsidR="0090257A" w:rsidRPr="004E4188" w:rsidRDefault="0090257A" w:rsidP="00B70D0B">
            <w:pPr>
              <w:ind w:left="68"/>
              <w:rPr>
                <w:spacing w:val="-4"/>
              </w:rPr>
            </w:pPr>
          </w:p>
        </w:tc>
        <w:tc>
          <w:tcPr>
            <w:tcW w:w="1187" w:type="dxa"/>
            <w:tcMar>
              <w:top w:w="57" w:type="dxa"/>
              <w:left w:w="28" w:type="dxa"/>
              <w:bottom w:w="57" w:type="dxa"/>
              <w:right w:w="28" w:type="dxa"/>
            </w:tcMar>
          </w:tcPr>
          <w:p w14:paraId="6C1BFA15" w14:textId="77777777" w:rsidR="0090257A" w:rsidRPr="004E4188" w:rsidRDefault="0090257A" w:rsidP="00B70D0B">
            <w:pPr>
              <w:ind w:left="68"/>
              <w:rPr>
                <w:spacing w:val="-4"/>
              </w:rPr>
            </w:pPr>
          </w:p>
        </w:tc>
        <w:tc>
          <w:tcPr>
            <w:tcW w:w="1191" w:type="dxa"/>
            <w:tcMar>
              <w:top w:w="57" w:type="dxa"/>
              <w:left w:w="28" w:type="dxa"/>
              <w:bottom w:w="57" w:type="dxa"/>
              <w:right w:w="28" w:type="dxa"/>
            </w:tcMar>
          </w:tcPr>
          <w:p w14:paraId="0855F776" w14:textId="77777777" w:rsidR="0090257A" w:rsidRPr="004E4188" w:rsidRDefault="0090257A" w:rsidP="00B70D0B">
            <w:pPr>
              <w:ind w:left="68"/>
              <w:rPr>
                <w:spacing w:val="-4"/>
              </w:rPr>
            </w:pPr>
          </w:p>
        </w:tc>
        <w:tc>
          <w:tcPr>
            <w:tcW w:w="1187" w:type="dxa"/>
            <w:tcMar>
              <w:top w:w="57" w:type="dxa"/>
              <w:left w:w="28" w:type="dxa"/>
              <w:bottom w:w="57" w:type="dxa"/>
              <w:right w:w="28" w:type="dxa"/>
            </w:tcMar>
          </w:tcPr>
          <w:p w14:paraId="650318D8" w14:textId="77777777" w:rsidR="0090257A" w:rsidRPr="004E4188" w:rsidRDefault="0090257A" w:rsidP="00B70D0B">
            <w:pPr>
              <w:ind w:left="68"/>
              <w:rPr>
                <w:spacing w:val="-4"/>
              </w:rPr>
            </w:pPr>
          </w:p>
        </w:tc>
        <w:tc>
          <w:tcPr>
            <w:tcW w:w="1202" w:type="dxa"/>
            <w:tcMar>
              <w:top w:w="57" w:type="dxa"/>
              <w:left w:w="28" w:type="dxa"/>
              <w:bottom w:w="57" w:type="dxa"/>
              <w:right w:w="28" w:type="dxa"/>
            </w:tcMar>
          </w:tcPr>
          <w:p w14:paraId="42DD1266" w14:textId="77777777" w:rsidR="0090257A" w:rsidRPr="004E4188" w:rsidRDefault="0090257A" w:rsidP="00B70D0B">
            <w:pPr>
              <w:ind w:left="68"/>
              <w:rPr>
                <w:spacing w:val="-4"/>
              </w:rPr>
            </w:pPr>
          </w:p>
        </w:tc>
      </w:tr>
      <w:tr w:rsidR="0090257A" w:rsidRPr="004E4188" w14:paraId="3D9A6603" w14:textId="77777777" w:rsidTr="00B70D0B">
        <w:trPr>
          <w:trHeight w:val="425"/>
        </w:trPr>
        <w:tc>
          <w:tcPr>
            <w:tcW w:w="3005" w:type="dxa"/>
            <w:tcMar>
              <w:top w:w="57" w:type="dxa"/>
              <w:left w:w="28" w:type="dxa"/>
              <w:bottom w:w="57" w:type="dxa"/>
              <w:right w:w="28" w:type="dxa"/>
            </w:tcMar>
          </w:tcPr>
          <w:p w14:paraId="47CEC227" w14:textId="77777777" w:rsidR="0090257A" w:rsidRPr="004E4188" w:rsidRDefault="0090257A" w:rsidP="00B70D0B">
            <w:r w:rsidRPr="004E4188">
              <w:t>Bénéfices avant impôts (BAI)</w:t>
            </w:r>
          </w:p>
        </w:tc>
        <w:tc>
          <w:tcPr>
            <w:tcW w:w="1192" w:type="dxa"/>
            <w:tcMar>
              <w:top w:w="57" w:type="dxa"/>
              <w:left w:w="28" w:type="dxa"/>
              <w:bottom w:w="57" w:type="dxa"/>
              <w:right w:w="28" w:type="dxa"/>
            </w:tcMar>
          </w:tcPr>
          <w:p w14:paraId="61FB3166" w14:textId="77777777" w:rsidR="0090257A" w:rsidRPr="004E4188" w:rsidRDefault="0090257A" w:rsidP="00B70D0B">
            <w:pPr>
              <w:ind w:left="68"/>
              <w:rPr>
                <w:spacing w:val="-4"/>
              </w:rPr>
            </w:pPr>
          </w:p>
        </w:tc>
        <w:tc>
          <w:tcPr>
            <w:tcW w:w="1187" w:type="dxa"/>
            <w:tcMar>
              <w:top w:w="57" w:type="dxa"/>
              <w:left w:w="28" w:type="dxa"/>
              <w:bottom w:w="57" w:type="dxa"/>
              <w:right w:w="28" w:type="dxa"/>
            </w:tcMar>
          </w:tcPr>
          <w:p w14:paraId="7CA31115" w14:textId="77777777" w:rsidR="0090257A" w:rsidRPr="004E4188" w:rsidRDefault="0090257A" w:rsidP="00B70D0B">
            <w:pPr>
              <w:ind w:left="68"/>
              <w:rPr>
                <w:spacing w:val="-4"/>
              </w:rPr>
            </w:pPr>
          </w:p>
        </w:tc>
        <w:tc>
          <w:tcPr>
            <w:tcW w:w="1191" w:type="dxa"/>
            <w:tcMar>
              <w:top w:w="57" w:type="dxa"/>
              <w:left w:w="28" w:type="dxa"/>
              <w:bottom w:w="57" w:type="dxa"/>
              <w:right w:w="28" w:type="dxa"/>
            </w:tcMar>
          </w:tcPr>
          <w:p w14:paraId="16D35C93" w14:textId="77777777" w:rsidR="0090257A" w:rsidRPr="004E4188" w:rsidRDefault="0090257A" w:rsidP="00B70D0B">
            <w:pPr>
              <w:ind w:left="68"/>
              <w:rPr>
                <w:spacing w:val="-4"/>
              </w:rPr>
            </w:pPr>
          </w:p>
        </w:tc>
        <w:tc>
          <w:tcPr>
            <w:tcW w:w="1187" w:type="dxa"/>
            <w:tcMar>
              <w:top w:w="57" w:type="dxa"/>
              <w:left w:w="28" w:type="dxa"/>
              <w:bottom w:w="57" w:type="dxa"/>
              <w:right w:w="28" w:type="dxa"/>
            </w:tcMar>
          </w:tcPr>
          <w:p w14:paraId="45933650" w14:textId="77777777" w:rsidR="0090257A" w:rsidRPr="004E4188" w:rsidRDefault="0090257A" w:rsidP="00B70D0B">
            <w:pPr>
              <w:ind w:left="68"/>
              <w:rPr>
                <w:spacing w:val="-4"/>
              </w:rPr>
            </w:pPr>
          </w:p>
        </w:tc>
        <w:tc>
          <w:tcPr>
            <w:tcW w:w="1202" w:type="dxa"/>
            <w:tcMar>
              <w:top w:w="57" w:type="dxa"/>
              <w:left w:w="28" w:type="dxa"/>
              <w:bottom w:w="57" w:type="dxa"/>
              <w:right w:w="28" w:type="dxa"/>
            </w:tcMar>
          </w:tcPr>
          <w:p w14:paraId="3B977CC5" w14:textId="77777777" w:rsidR="0090257A" w:rsidRPr="004E4188" w:rsidRDefault="0090257A" w:rsidP="00B70D0B">
            <w:pPr>
              <w:ind w:left="68"/>
              <w:rPr>
                <w:spacing w:val="-4"/>
              </w:rPr>
            </w:pPr>
          </w:p>
        </w:tc>
      </w:tr>
      <w:tr w:rsidR="0090257A" w:rsidRPr="004E4188" w14:paraId="4E577279" w14:textId="77777777" w:rsidTr="00B70D0B">
        <w:trPr>
          <w:trHeight w:val="425"/>
        </w:trPr>
        <w:tc>
          <w:tcPr>
            <w:tcW w:w="3005" w:type="dxa"/>
            <w:tcMar>
              <w:top w:w="57" w:type="dxa"/>
              <w:left w:w="28" w:type="dxa"/>
              <w:bottom w:w="57" w:type="dxa"/>
              <w:right w:w="28" w:type="dxa"/>
            </w:tcMar>
          </w:tcPr>
          <w:p w14:paraId="67484FC3" w14:textId="12527359" w:rsidR="0090257A" w:rsidRPr="004E4188" w:rsidRDefault="0090257A" w:rsidP="00A43196">
            <w:r w:rsidRPr="004E4188">
              <w:t>Bénéfices après impôts (</w:t>
            </w:r>
            <w:r w:rsidR="00A43196" w:rsidRPr="004E4188">
              <w:t>BApI</w:t>
            </w:r>
            <w:r w:rsidRPr="004E4188">
              <w:t>)</w:t>
            </w:r>
          </w:p>
        </w:tc>
        <w:tc>
          <w:tcPr>
            <w:tcW w:w="1192" w:type="dxa"/>
            <w:tcMar>
              <w:top w:w="57" w:type="dxa"/>
              <w:left w:w="28" w:type="dxa"/>
              <w:bottom w:w="57" w:type="dxa"/>
              <w:right w:w="28" w:type="dxa"/>
            </w:tcMar>
          </w:tcPr>
          <w:p w14:paraId="5C28E167" w14:textId="77777777" w:rsidR="0090257A" w:rsidRPr="004E4188" w:rsidRDefault="0090257A" w:rsidP="00B70D0B">
            <w:pPr>
              <w:ind w:left="68"/>
              <w:rPr>
                <w:spacing w:val="-4"/>
              </w:rPr>
            </w:pPr>
          </w:p>
        </w:tc>
        <w:tc>
          <w:tcPr>
            <w:tcW w:w="1187" w:type="dxa"/>
            <w:tcMar>
              <w:top w:w="57" w:type="dxa"/>
              <w:left w:w="28" w:type="dxa"/>
              <w:bottom w:w="57" w:type="dxa"/>
              <w:right w:w="28" w:type="dxa"/>
            </w:tcMar>
          </w:tcPr>
          <w:p w14:paraId="275C0609" w14:textId="77777777" w:rsidR="0090257A" w:rsidRPr="004E4188" w:rsidRDefault="0090257A" w:rsidP="00B70D0B">
            <w:pPr>
              <w:ind w:left="68"/>
              <w:rPr>
                <w:spacing w:val="-4"/>
              </w:rPr>
            </w:pPr>
          </w:p>
        </w:tc>
        <w:tc>
          <w:tcPr>
            <w:tcW w:w="1191" w:type="dxa"/>
            <w:tcMar>
              <w:top w:w="57" w:type="dxa"/>
              <w:left w:w="28" w:type="dxa"/>
              <w:bottom w:w="57" w:type="dxa"/>
              <w:right w:w="28" w:type="dxa"/>
            </w:tcMar>
          </w:tcPr>
          <w:p w14:paraId="1060440A" w14:textId="77777777" w:rsidR="0090257A" w:rsidRPr="004E4188" w:rsidRDefault="0090257A" w:rsidP="00B70D0B">
            <w:pPr>
              <w:ind w:left="68"/>
              <w:rPr>
                <w:spacing w:val="-4"/>
              </w:rPr>
            </w:pPr>
          </w:p>
        </w:tc>
        <w:tc>
          <w:tcPr>
            <w:tcW w:w="1187" w:type="dxa"/>
            <w:tcMar>
              <w:top w:w="57" w:type="dxa"/>
              <w:left w:w="28" w:type="dxa"/>
              <w:bottom w:w="57" w:type="dxa"/>
              <w:right w:w="28" w:type="dxa"/>
            </w:tcMar>
          </w:tcPr>
          <w:p w14:paraId="581EF305" w14:textId="77777777" w:rsidR="0090257A" w:rsidRPr="004E4188" w:rsidRDefault="0090257A" w:rsidP="00B70D0B">
            <w:pPr>
              <w:ind w:left="68"/>
              <w:rPr>
                <w:spacing w:val="-4"/>
              </w:rPr>
            </w:pPr>
          </w:p>
        </w:tc>
        <w:tc>
          <w:tcPr>
            <w:tcW w:w="1202" w:type="dxa"/>
            <w:tcMar>
              <w:top w:w="57" w:type="dxa"/>
              <w:left w:w="28" w:type="dxa"/>
              <w:bottom w:w="57" w:type="dxa"/>
              <w:right w:w="28" w:type="dxa"/>
            </w:tcMar>
          </w:tcPr>
          <w:p w14:paraId="365DFA48" w14:textId="77777777" w:rsidR="0090257A" w:rsidRPr="004E4188" w:rsidRDefault="0090257A" w:rsidP="00B70D0B">
            <w:pPr>
              <w:ind w:left="68"/>
              <w:rPr>
                <w:spacing w:val="-4"/>
              </w:rPr>
            </w:pPr>
          </w:p>
        </w:tc>
      </w:tr>
      <w:tr w:rsidR="007049A5" w:rsidRPr="004E4188" w14:paraId="2FF1043B" w14:textId="77777777" w:rsidTr="006C6267">
        <w:trPr>
          <w:trHeight w:val="313"/>
        </w:trPr>
        <w:tc>
          <w:tcPr>
            <w:tcW w:w="8964" w:type="dxa"/>
            <w:gridSpan w:val="6"/>
            <w:tcMar>
              <w:top w:w="57" w:type="dxa"/>
              <w:left w:w="28" w:type="dxa"/>
              <w:bottom w:w="57" w:type="dxa"/>
              <w:right w:w="28" w:type="dxa"/>
            </w:tcMar>
            <w:vAlign w:val="center"/>
          </w:tcPr>
          <w:p w14:paraId="0BCF6F64" w14:textId="77777777" w:rsidR="007049A5" w:rsidRPr="004E4188" w:rsidRDefault="007049A5" w:rsidP="0090257A">
            <w:pPr>
              <w:ind w:left="68"/>
              <w:jc w:val="center"/>
              <w:rPr>
                <w:spacing w:val="-4"/>
              </w:rPr>
            </w:pPr>
            <w:r w:rsidRPr="004E4188">
              <w:rPr>
                <w:b/>
              </w:rPr>
              <w:t>Information du flux de trésorerie</w:t>
            </w:r>
          </w:p>
        </w:tc>
      </w:tr>
      <w:tr w:rsidR="0090257A" w:rsidRPr="004E4188" w14:paraId="1FBCCFD8" w14:textId="77777777" w:rsidTr="003117CC">
        <w:trPr>
          <w:trHeight w:val="624"/>
        </w:trPr>
        <w:tc>
          <w:tcPr>
            <w:tcW w:w="3005" w:type="dxa"/>
            <w:tcMar>
              <w:top w:w="57" w:type="dxa"/>
              <w:left w:w="28" w:type="dxa"/>
              <w:bottom w:w="57" w:type="dxa"/>
              <w:right w:w="28" w:type="dxa"/>
            </w:tcMar>
          </w:tcPr>
          <w:p w14:paraId="4C3C080D" w14:textId="77777777" w:rsidR="0090257A" w:rsidRPr="004E4188" w:rsidRDefault="0090257A" w:rsidP="00B70D0B">
            <w:r w:rsidRPr="004E4188">
              <w:t>Flux de trésorerie provenant des activités d’exploitation</w:t>
            </w:r>
          </w:p>
        </w:tc>
        <w:tc>
          <w:tcPr>
            <w:tcW w:w="1192" w:type="dxa"/>
            <w:tcMar>
              <w:top w:w="57" w:type="dxa"/>
              <w:left w:w="28" w:type="dxa"/>
              <w:bottom w:w="57" w:type="dxa"/>
              <w:right w:w="28" w:type="dxa"/>
            </w:tcMar>
          </w:tcPr>
          <w:p w14:paraId="360DB28A" w14:textId="77777777" w:rsidR="0090257A" w:rsidRPr="004E4188" w:rsidRDefault="0090257A" w:rsidP="00B70D0B">
            <w:pPr>
              <w:ind w:left="68"/>
              <w:rPr>
                <w:spacing w:val="-4"/>
              </w:rPr>
            </w:pPr>
          </w:p>
        </w:tc>
        <w:tc>
          <w:tcPr>
            <w:tcW w:w="1187" w:type="dxa"/>
            <w:tcMar>
              <w:top w:w="57" w:type="dxa"/>
              <w:left w:w="28" w:type="dxa"/>
              <w:bottom w:w="57" w:type="dxa"/>
              <w:right w:w="28" w:type="dxa"/>
            </w:tcMar>
          </w:tcPr>
          <w:p w14:paraId="46872D7A" w14:textId="77777777" w:rsidR="0090257A" w:rsidRPr="004E4188" w:rsidRDefault="0090257A" w:rsidP="00B70D0B">
            <w:pPr>
              <w:ind w:left="68"/>
              <w:rPr>
                <w:spacing w:val="-4"/>
              </w:rPr>
            </w:pPr>
          </w:p>
        </w:tc>
        <w:tc>
          <w:tcPr>
            <w:tcW w:w="1191" w:type="dxa"/>
            <w:tcMar>
              <w:top w:w="57" w:type="dxa"/>
              <w:left w:w="28" w:type="dxa"/>
              <w:bottom w:w="57" w:type="dxa"/>
              <w:right w:w="28" w:type="dxa"/>
            </w:tcMar>
          </w:tcPr>
          <w:p w14:paraId="4AE876E3" w14:textId="77777777" w:rsidR="0090257A" w:rsidRPr="004E4188" w:rsidRDefault="0090257A" w:rsidP="00B70D0B">
            <w:pPr>
              <w:ind w:left="68"/>
              <w:rPr>
                <w:spacing w:val="-4"/>
              </w:rPr>
            </w:pPr>
          </w:p>
        </w:tc>
        <w:tc>
          <w:tcPr>
            <w:tcW w:w="1187" w:type="dxa"/>
            <w:tcMar>
              <w:top w:w="57" w:type="dxa"/>
              <w:left w:w="28" w:type="dxa"/>
              <w:bottom w:w="57" w:type="dxa"/>
              <w:right w:w="28" w:type="dxa"/>
            </w:tcMar>
          </w:tcPr>
          <w:p w14:paraId="5325CCF0" w14:textId="77777777" w:rsidR="0090257A" w:rsidRPr="004E4188" w:rsidRDefault="0090257A" w:rsidP="00B70D0B">
            <w:pPr>
              <w:ind w:left="68"/>
              <w:rPr>
                <w:spacing w:val="-4"/>
              </w:rPr>
            </w:pPr>
          </w:p>
        </w:tc>
        <w:tc>
          <w:tcPr>
            <w:tcW w:w="1202" w:type="dxa"/>
            <w:tcMar>
              <w:top w:w="57" w:type="dxa"/>
              <w:left w:w="28" w:type="dxa"/>
              <w:bottom w:w="57" w:type="dxa"/>
              <w:right w:w="28" w:type="dxa"/>
            </w:tcMar>
          </w:tcPr>
          <w:p w14:paraId="6C33F14C" w14:textId="77777777" w:rsidR="0090257A" w:rsidRPr="004E4188" w:rsidRDefault="0090257A" w:rsidP="00B70D0B">
            <w:pPr>
              <w:ind w:left="68"/>
              <w:rPr>
                <w:spacing w:val="-4"/>
              </w:rPr>
            </w:pPr>
          </w:p>
        </w:tc>
      </w:tr>
    </w:tbl>
    <w:p w14:paraId="7124102A" w14:textId="334DF0D8" w:rsidR="007049A5" w:rsidRPr="004E4188" w:rsidRDefault="007049A5" w:rsidP="00D45DD3">
      <w:pPr>
        <w:rPr>
          <w:b/>
        </w:rPr>
      </w:pPr>
      <w:r w:rsidRPr="004E4188">
        <w:br w:type="page"/>
      </w:r>
      <w:r w:rsidRPr="004E4188">
        <w:rPr>
          <w:b/>
        </w:rPr>
        <w:t>2. Documents financiers</w:t>
      </w:r>
    </w:p>
    <w:p w14:paraId="0F8D0057" w14:textId="77777777" w:rsidR="007049A5" w:rsidRPr="004E4188" w:rsidRDefault="007049A5" w:rsidP="00D45DD3">
      <w:pPr>
        <w:pStyle w:val="aa"/>
      </w:pPr>
    </w:p>
    <w:p w14:paraId="2F52BE6E" w14:textId="77777777" w:rsidR="007049A5" w:rsidRPr="004E4188" w:rsidRDefault="007049A5" w:rsidP="00AA149B">
      <w:pPr>
        <w:spacing w:after="240"/>
      </w:pPr>
      <w:bookmarkStart w:id="624" w:name="_Toc498849276"/>
      <w:bookmarkStart w:id="625" w:name="_Toc498850115"/>
      <w:bookmarkStart w:id="626" w:name="_Toc498851720"/>
      <w:r w:rsidRPr="004E4188">
        <w:t>Le Soumissionnaire et les parties au Soumissionnaire doivent fournir des copies des états financiers</w:t>
      </w:r>
      <w:r w:rsidRPr="004E4188">
        <w:rPr>
          <w:vertAlign w:val="superscript"/>
        </w:rPr>
        <w:t>1</w:t>
      </w:r>
      <w:r w:rsidRPr="004E4188">
        <w:t xml:space="preserve"> pour le nombre d’années</w:t>
      </w:r>
      <w:r w:rsidRPr="004E4188">
        <w:rPr>
          <w:spacing w:val="-2"/>
        </w:rPr>
        <w:t xml:space="preserve"> comme indiqué dans les</w:t>
      </w:r>
      <w:r w:rsidRPr="004E4188">
        <w:t xml:space="preserve"> critères de préqualification </w:t>
      </w:r>
      <w:r w:rsidRPr="004E4188">
        <w:rPr>
          <w:spacing w:val="-2"/>
          <w:szCs w:val="24"/>
        </w:rPr>
        <w:t>correspondants</w:t>
      </w:r>
      <w:r w:rsidRPr="004E4188">
        <w:t xml:space="preserve"> ou au Critère 2.3.1 de la Section </w:t>
      </w:r>
      <w:smartTag w:uri="urn:schemas-microsoft-com:office:smarttags" w:element="stockticker">
        <w:r w:rsidRPr="004E4188">
          <w:t>III</w:t>
        </w:r>
      </w:smartTag>
      <w:r w:rsidRPr="004E4188">
        <w:t>, Critères d’évaluation et de qualification, selon le cas. Les états financiers doivent :</w:t>
      </w:r>
      <w:bookmarkEnd w:id="624"/>
      <w:bookmarkEnd w:id="625"/>
      <w:bookmarkEnd w:id="626"/>
    </w:p>
    <w:p w14:paraId="5001F565" w14:textId="27B6D4B8" w:rsidR="007049A5" w:rsidRPr="004E4188" w:rsidRDefault="007049A5" w:rsidP="008D55E9">
      <w:pPr>
        <w:spacing w:afterLines="50" w:after="120"/>
        <w:ind w:leftChars="158" w:left="840" w:hangingChars="192" w:hanging="461"/>
      </w:pPr>
      <w:bookmarkStart w:id="627" w:name="_Toc498849277"/>
      <w:bookmarkStart w:id="628" w:name="_Toc498850116"/>
      <w:bookmarkStart w:id="629" w:name="_Toc498851721"/>
      <w:r w:rsidRPr="004E4188">
        <w:t>a)</w:t>
      </w:r>
      <w:r w:rsidRPr="004E4188">
        <w:tab/>
        <w:t>refléter la situation financière de</w:t>
      </w:r>
      <w:r w:rsidRPr="004E4188">
        <w:rPr>
          <w:b/>
          <w:sz w:val="32"/>
        </w:rPr>
        <w:t xml:space="preserve"> </w:t>
      </w:r>
      <w:r w:rsidR="004E3C0A" w:rsidRPr="004E4188">
        <w:t xml:space="preserve">le ou les entités </w:t>
      </w:r>
      <w:r w:rsidRPr="004E4188">
        <w:t>légale</w:t>
      </w:r>
      <w:r w:rsidR="004E3C0A" w:rsidRPr="004E4188">
        <w:t>s</w:t>
      </w:r>
      <w:r w:rsidRPr="004E4188">
        <w:t xml:space="preserve"> constituant le Soumissionnaire, et non celle des entités affiliées (telles que la(les) maison(s) mère(s), les sociétés du groupe ou les filiales) du Soumissionnaire à moins qu’elle(s) soit(soient)</w:t>
      </w:r>
      <w:r w:rsidRPr="004E4188">
        <w:rPr>
          <w:b/>
          <w:sz w:val="32"/>
        </w:rPr>
        <w:t xml:space="preserve"> </w:t>
      </w:r>
      <w:r w:rsidRPr="004E4188">
        <w:t>partie du Soumissionnaire sous la forme d’un Groupement conformément à IS 4.1 ;</w:t>
      </w:r>
      <w:bookmarkEnd w:id="627"/>
      <w:bookmarkEnd w:id="628"/>
      <w:bookmarkEnd w:id="629"/>
    </w:p>
    <w:p w14:paraId="762FF8A8" w14:textId="77777777" w:rsidR="007049A5" w:rsidRPr="004E4188" w:rsidRDefault="007049A5" w:rsidP="008D55E9">
      <w:pPr>
        <w:spacing w:afterLines="50" w:after="120"/>
        <w:ind w:leftChars="158" w:left="840" w:hangingChars="192" w:hanging="461"/>
      </w:pPr>
      <w:bookmarkStart w:id="630" w:name="_Toc498849278"/>
      <w:bookmarkStart w:id="631" w:name="_Toc498850117"/>
      <w:bookmarkStart w:id="632" w:name="_Toc498851722"/>
      <w:r w:rsidRPr="004E4188">
        <w:t>b)</w:t>
      </w:r>
      <w:r w:rsidRPr="004E4188">
        <w:tab/>
        <w:t>être indépendamment audités ou certifiés, conformément avec la législation locale ;</w:t>
      </w:r>
      <w:bookmarkEnd w:id="630"/>
      <w:bookmarkEnd w:id="631"/>
      <w:bookmarkEnd w:id="632"/>
    </w:p>
    <w:p w14:paraId="2963447C" w14:textId="77777777" w:rsidR="007049A5" w:rsidRPr="004E4188" w:rsidRDefault="007049A5" w:rsidP="008D55E9">
      <w:pPr>
        <w:spacing w:afterLines="50" w:after="120"/>
        <w:ind w:leftChars="158" w:left="840" w:hangingChars="192" w:hanging="461"/>
      </w:pPr>
      <w:bookmarkStart w:id="633" w:name="_Toc498849279"/>
      <w:bookmarkStart w:id="634" w:name="_Toc498850118"/>
      <w:bookmarkStart w:id="635" w:name="_Toc498851723"/>
      <w:r w:rsidRPr="004E4188">
        <w:t>c)</w:t>
      </w:r>
      <w:r w:rsidRPr="004E4188">
        <w:tab/>
        <w:t xml:space="preserve">être complets et inclure toutes les notes jointes ; </w:t>
      </w:r>
      <w:bookmarkEnd w:id="633"/>
      <w:bookmarkEnd w:id="634"/>
      <w:bookmarkEnd w:id="635"/>
    </w:p>
    <w:p w14:paraId="604721D6" w14:textId="77777777" w:rsidR="007049A5" w:rsidRPr="004E4188" w:rsidRDefault="007049A5" w:rsidP="008D55E9">
      <w:pPr>
        <w:spacing w:afterLines="50" w:after="120"/>
        <w:ind w:leftChars="158" w:left="840" w:hangingChars="192" w:hanging="461"/>
      </w:pPr>
      <w:bookmarkStart w:id="636" w:name="_Toc498849280"/>
      <w:bookmarkStart w:id="637" w:name="_Toc498850119"/>
      <w:bookmarkStart w:id="638" w:name="_Toc498851724"/>
      <w:r w:rsidRPr="004E4188">
        <w:t>d)</w:t>
      </w:r>
      <w:r w:rsidRPr="004E4188">
        <w:tab/>
        <w:t>correspondre à des périodes comptables déjà terminées et auditées.</w:t>
      </w:r>
      <w:bookmarkEnd w:id="636"/>
      <w:bookmarkEnd w:id="637"/>
      <w:bookmarkEnd w:id="638"/>
    </w:p>
    <w:p w14:paraId="23E9F1F3" w14:textId="77777777" w:rsidR="007049A5" w:rsidRPr="004E4188" w:rsidRDefault="007049A5" w:rsidP="00D45DD3"/>
    <w:p w14:paraId="60F3BDA2" w14:textId="77777777" w:rsidR="007049A5" w:rsidRPr="004E4188" w:rsidRDefault="007049A5" w:rsidP="006C6267">
      <w:r w:rsidRPr="004E4188">
        <w:t>Ci-joint les copies des états financiers satisfaisant aux critères</w:t>
      </w:r>
      <w:r w:rsidRPr="004E4188" w:rsidDel="00445098">
        <w:t xml:space="preserve"> </w:t>
      </w:r>
      <w:r w:rsidRPr="004E4188">
        <w:t>pour le nombre d’années comme indiqué ci-dessus.</w:t>
      </w:r>
    </w:p>
    <w:p w14:paraId="01BEDF33" w14:textId="77777777" w:rsidR="007049A5" w:rsidRPr="004E4188" w:rsidRDefault="007049A5" w:rsidP="006C6267"/>
    <w:p w14:paraId="128557DC" w14:textId="77777777" w:rsidR="007049A5" w:rsidRPr="004E4188" w:rsidRDefault="007049A5" w:rsidP="006C6267">
      <w:pPr>
        <w:spacing w:after="120" w:line="264" w:lineRule="exact"/>
        <w:ind w:left="357" w:hanging="357"/>
        <w:rPr>
          <w:u w:val="single"/>
          <w:lang w:eastAsia="ja-JP"/>
        </w:rPr>
      </w:pPr>
      <w:r w:rsidRPr="004E4188">
        <w:rPr>
          <w:u w:val="single"/>
          <w:lang w:eastAsia="ja-JP"/>
        </w:rPr>
        <w:t>Notes à l’intention des Soumissionnaires</w:t>
      </w:r>
    </w:p>
    <w:p w14:paraId="20884C79" w14:textId="77777777" w:rsidR="007049A5" w:rsidRPr="004E4188" w:rsidRDefault="007049A5" w:rsidP="003D46CF">
      <w:pPr>
        <w:widowControl w:val="0"/>
        <w:numPr>
          <w:ilvl w:val="0"/>
          <w:numId w:val="76"/>
        </w:numPr>
        <w:spacing w:after="120" w:line="264" w:lineRule="exact"/>
        <w:rPr>
          <w:rFonts w:ascii="Century" w:hAnsi="Century"/>
          <w:sz w:val="21"/>
          <w:lang w:eastAsia="ja-JP"/>
        </w:rPr>
      </w:pPr>
      <w:r w:rsidRPr="004E4188">
        <w:rPr>
          <w:lang w:eastAsia="ja-JP"/>
        </w:rPr>
        <w:t>Si les états financiers les plus récents datent de moins d’un an par rapport à la date limite de remise des offres, ceci devra être justifié.</w:t>
      </w:r>
    </w:p>
    <w:p w14:paraId="27EA7542" w14:textId="77777777" w:rsidR="007049A5" w:rsidRPr="004E4188" w:rsidRDefault="007049A5" w:rsidP="005B4D96">
      <w:pPr>
        <w:spacing w:before="40" w:after="40"/>
      </w:pPr>
    </w:p>
    <w:p w14:paraId="68A11A66" w14:textId="77777777" w:rsidR="007049A5" w:rsidRPr="004E4188" w:rsidRDefault="007049A5" w:rsidP="006C6267">
      <w:pPr>
        <w:pStyle w:val="SectionIVHeading2"/>
        <w:outlineLvl w:val="2"/>
        <w:rPr>
          <w:sz w:val="32"/>
          <w:szCs w:val="32"/>
          <w:lang w:val="fr-FR"/>
        </w:rPr>
      </w:pPr>
      <w:r w:rsidRPr="004E4188">
        <w:rPr>
          <w:lang w:val="fr-FR"/>
        </w:rPr>
        <w:br w:type="page"/>
      </w:r>
      <w:bookmarkStart w:id="639" w:name="_Toc4390861"/>
      <w:bookmarkStart w:id="640" w:name="_Toc4405766"/>
      <w:bookmarkStart w:id="641" w:name="_Toc344369396"/>
      <w:bookmarkStart w:id="642" w:name="_Toc349117755"/>
      <w:bookmarkStart w:id="643" w:name="_Toc357513236"/>
      <w:bookmarkStart w:id="644" w:name="_Toc112429330"/>
      <w:r w:rsidRPr="004E4188">
        <w:rPr>
          <w:sz w:val="32"/>
          <w:szCs w:val="32"/>
          <w:lang w:val="fr-FR"/>
        </w:rPr>
        <w:t>Formulaire FIN-2</w:t>
      </w:r>
      <w:bookmarkEnd w:id="639"/>
      <w:bookmarkEnd w:id="640"/>
      <w:r w:rsidRPr="004E4188">
        <w:rPr>
          <w:sz w:val="32"/>
          <w:szCs w:val="32"/>
          <w:lang w:val="fr-FR"/>
        </w:rPr>
        <w:br/>
        <w:t>Chiffre d’affaires annuel moyen</w:t>
      </w:r>
      <w:bookmarkEnd w:id="641"/>
      <w:bookmarkEnd w:id="642"/>
      <w:bookmarkEnd w:id="643"/>
      <w:bookmarkEnd w:id="644"/>
    </w:p>
    <w:p w14:paraId="077EA874" w14:textId="77777777" w:rsidR="007049A5" w:rsidRPr="004E4188" w:rsidRDefault="007049A5" w:rsidP="00BE6B88">
      <w:pPr>
        <w:spacing w:afterLines="100" w:after="240"/>
        <w:rPr>
          <w:i/>
          <w:lang w:eastAsia="ja-JP"/>
        </w:rPr>
      </w:pPr>
      <w:r w:rsidRPr="004E4188">
        <w:t>[</w:t>
      </w:r>
      <w:r w:rsidRPr="004E4188">
        <w:rPr>
          <w:i/>
        </w:rPr>
        <w:t>Le tableau ci-dessous doit être rempli pour le Soumissionnaire et pour chaque membre du Groupement si le Soumissionnaire est un Groupement.</w:t>
      </w:r>
      <w:r w:rsidRPr="004E4188">
        <w:t>]</w:t>
      </w:r>
    </w:p>
    <w:p w14:paraId="2111251D" w14:textId="41CC88A6" w:rsidR="007049A5" w:rsidRPr="004E4188" w:rsidRDefault="007049A5" w:rsidP="00434226">
      <w:pPr>
        <w:jc w:val="right"/>
      </w:pPr>
      <w:r w:rsidRPr="004E4188">
        <w:t>Date : [</w:t>
      </w:r>
      <w:r w:rsidRPr="004E4188">
        <w:rPr>
          <w:i/>
        </w:rPr>
        <w:t>indiquer jour, mois, année</w:t>
      </w:r>
      <w:r w:rsidRPr="004E4188">
        <w:t>]</w:t>
      </w:r>
    </w:p>
    <w:p w14:paraId="29C97B24" w14:textId="77777777" w:rsidR="007049A5" w:rsidRPr="004E4188" w:rsidRDefault="007049A5" w:rsidP="00434226">
      <w:pPr>
        <w:jc w:val="right"/>
      </w:pPr>
      <w:r w:rsidRPr="004E4188">
        <w:t>Nom légal du Soumissionnaire : [</w:t>
      </w:r>
      <w:r w:rsidRPr="004E4188">
        <w:rPr>
          <w:i/>
        </w:rPr>
        <w:t>indiquer le nom complet</w:t>
      </w:r>
      <w:r w:rsidRPr="004E4188">
        <w:t>]</w:t>
      </w:r>
    </w:p>
    <w:p w14:paraId="3185D0FF" w14:textId="5EA32464" w:rsidR="007049A5" w:rsidRPr="004E4188" w:rsidRDefault="007049A5" w:rsidP="006C6267">
      <w:pPr>
        <w:wordWrap w:val="0"/>
        <w:jc w:val="right"/>
      </w:pPr>
      <w:r w:rsidRPr="004E4188">
        <w:t xml:space="preserve">Nom légal </w:t>
      </w:r>
      <w:r w:rsidRPr="004E4188">
        <w:rPr>
          <w:rFonts w:hint="eastAsia"/>
        </w:rPr>
        <w:t xml:space="preserve">du </w:t>
      </w:r>
      <w:r w:rsidRPr="004E4188">
        <w:t>membre du Groupement : [</w:t>
      </w:r>
      <w:r w:rsidRPr="004E4188">
        <w:rPr>
          <w:i/>
        </w:rPr>
        <w:t>indiquer le nom complet</w:t>
      </w:r>
      <w:r w:rsidRPr="004E4188">
        <w:t>]</w:t>
      </w:r>
    </w:p>
    <w:p w14:paraId="75AF93F6" w14:textId="01306335" w:rsidR="007049A5" w:rsidRPr="004E4188" w:rsidRDefault="007049A5" w:rsidP="00434226">
      <w:pPr>
        <w:tabs>
          <w:tab w:val="right" w:pos="9356"/>
        </w:tabs>
        <w:jc w:val="right"/>
        <w:rPr>
          <w:i/>
          <w:iCs/>
        </w:rPr>
      </w:pPr>
      <w:r w:rsidRPr="004E4188">
        <w:t>AAO n</w:t>
      </w:r>
      <w:r w:rsidRPr="004E4188">
        <w:rPr>
          <w:vertAlign w:val="superscript"/>
        </w:rPr>
        <w:t>o</w:t>
      </w:r>
      <w:r w:rsidR="00BE4591" w:rsidRPr="004E4188">
        <w:t xml:space="preserve"> </w:t>
      </w:r>
      <w:r w:rsidRPr="004E4188">
        <w:t xml:space="preserve">: </w:t>
      </w:r>
      <w:r w:rsidRPr="004E4188">
        <w:rPr>
          <w:iCs/>
        </w:rPr>
        <w:t>[</w:t>
      </w:r>
      <w:r w:rsidRPr="004E4188">
        <w:rPr>
          <w:i/>
          <w:iCs/>
        </w:rPr>
        <w:t>indiquer le numéro</w:t>
      </w:r>
      <w:r w:rsidRPr="004E4188">
        <w:rPr>
          <w:iCs/>
        </w:rPr>
        <w:t>]</w:t>
      </w:r>
    </w:p>
    <w:p w14:paraId="6BCC2F96" w14:textId="1F9E854A" w:rsidR="007049A5" w:rsidRPr="004E4188" w:rsidRDefault="007049A5" w:rsidP="008F5C0F">
      <w:pPr>
        <w:tabs>
          <w:tab w:val="right" w:pos="9356"/>
        </w:tabs>
        <w:wordWrap w:val="0"/>
        <w:spacing w:afterLines="300" w:after="720"/>
        <w:jc w:val="right"/>
        <w:rPr>
          <w:iCs/>
          <w:spacing w:val="-4"/>
        </w:rPr>
      </w:pPr>
      <w:r w:rsidRPr="004E4188">
        <w:rPr>
          <w:iCs/>
          <w:spacing w:val="-4"/>
        </w:rPr>
        <w:t>Page</w:t>
      </w:r>
      <w:r w:rsidR="008729D9" w:rsidRPr="004E4188">
        <w:rPr>
          <w:iCs/>
          <w:spacing w:val="-4"/>
        </w:rPr>
        <w:t> </w:t>
      </w:r>
      <w:r w:rsidRPr="004E4188">
        <w:rPr>
          <w:spacing w:val="-4"/>
        </w:rPr>
        <w:t xml:space="preserve">: </w:t>
      </w:r>
      <w:r w:rsidRPr="004E4188">
        <w:rPr>
          <w:iCs/>
          <w:spacing w:val="-4"/>
        </w:rPr>
        <w:t>[</w:t>
      </w:r>
      <w:r w:rsidRPr="004E4188">
        <w:rPr>
          <w:i/>
          <w:iCs/>
          <w:spacing w:val="-4"/>
        </w:rPr>
        <w:t>insérer le numéro de la page</w:t>
      </w:r>
      <w:r w:rsidRPr="004E4188">
        <w:rPr>
          <w:iCs/>
          <w:spacing w:val="-4"/>
        </w:rPr>
        <w:t>] de [</w:t>
      </w:r>
      <w:r w:rsidRPr="004E4188">
        <w:rPr>
          <w:i/>
          <w:iCs/>
          <w:spacing w:val="-4"/>
        </w:rPr>
        <w:t>insérer le nombre total de</w:t>
      </w:r>
      <w:r w:rsidRPr="004E4188">
        <w:rPr>
          <w:iCs/>
          <w:spacing w:val="-4"/>
        </w:rPr>
        <w:t>] pages</w:t>
      </w:r>
    </w:p>
    <w:tbl>
      <w:tblPr>
        <w:tblW w:w="9087" w:type="dxa"/>
        <w:tblLayout w:type="fixed"/>
        <w:tblCellMar>
          <w:left w:w="72" w:type="dxa"/>
          <w:right w:w="72" w:type="dxa"/>
        </w:tblCellMar>
        <w:tblLook w:val="0000" w:firstRow="0" w:lastRow="0" w:firstColumn="0" w:lastColumn="0" w:noHBand="0" w:noVBand="0"/>
      </w:tblPr>
      <w:tblGrid>
        <w:gridCol w:w="1272"/>
        <w:gridCol w:w="3120"/>
        <w:gridCol w:w="2160"/>
        <w:gridCol w:w="2535"/>
      </w:tblGrid>
      <w:tr w:rsidR="007049A5" w:rsidRPr="004E4188" w14:paraId="2DC33C11" w14:textId="77777777" w:rsidTr="008F7565">
        <w:trPr>
          <w:cantSplit/>
        </w:trPr>
        <w:tc>
          <w:tcPr>
            <w:tcW w:w="9087" w:type="dxa"/>
            <w:gridSpan w:val="4"/>
            <w:tcBorders>
              <w:top w:val="single" w:sz="4" w:space="0" w:color="auto"/>
              <w:left w:val="single" w:sz="4" w:space="0" w:color="auto"/>
              <w:bottom w:val="double" w:sz="4" w:space="0" w:color="auto"/>
              <w:right w:val="single" w:sz="4" w:space="0" w:color="auto"/>
            </w:tcBorders>
            <w:shd w:val="clear" w:color="auto" w:fill="C0C0C0"/>
          </w:tcPr>
          <w:p w14:paraId="134A8B00" w14:textId="77777777" w:rsidR="007049A5" w:rsidRPr="004E4188" w:rsidRDefault="007049A5" w:rsidP="00BE6B88">
            <w:pPr>
              <w:pStyle w:val="af7"/>
              <w:spacing w:beforeLines="50" w:before="120" w:afterLines="50" w:after="120"/>
              <w:jc w:val="center"/>
              <w:rPr>
                <w:b/>
                <w:lang w:val="fr-FR"/>
              </w:rPr>
            </w:pPr>
            <w:r w:rsidRPr="004E4188">
              <w:rPr>
                <w:b/>
                <w:lang w:val="fr-FR"/>
              </w:rPr>
              <w:t>Chiffre d’affaires annuel</w:t>
            </w:r>
          </w:p>
        </w:tc>
      </w:tr>
      <w:tr w:rsidR="007049A5" w:rsidRPr="004E4188" w14:paraId="1030BBFA" w14:textId="77777777" w:rsidTr="008F7565">
        <w:trPr>
          <w:cantSplit/>
        </w:trPr>
        <w:tc>
          <w:tcPr>
            <w:tcW w:w="1272" w:type="dxa"/>
            <w:tcBorders>
              <w:top w:val="double" w:sz="4" w:space="0" w:color="auto"/>
              <w:left w:val="single" w:sz="4" w:space="0" w:color="auto"/>
              <w:bottom w:val="single" w:sz="4" w:space="0" w:color="auto"/>
              <w:right w:val="single" w:sz="4" w:space="0" w:color="auto"/>
            </w:tcBorders>
          </w:tcPr>
          <w:p w14:paraId="35E43370" w14:textId="77777777" w:rsidR="007049A5" w:rsidRPr="004E4188" w:rsidRDefault="007049A5" w:rsidP="00BE6B88">
            <w:pPr>
              <w:pStyle w:val="af7"/>
              <w:spacing w:beforeLines="50" w:before="120" w:afterLines="50" w:after="120"/>
              <w:jc w:val="center"/>
              <w:rPr>
                <w:b/>
                <w:lang w:val="fr-FR"/>
              </w:rPr>
            </w:pPr>
            <w:r w:rsidRPr="004E4188">
              <w:rPr>
                <w:b/>
                <w:lang w:val="fr-FR"/>
              </w:rPr>
              <w:t>Année</w:t>
            </w:r>
          </w:p>
        </w:tc>
        <w:tc>
          <w:tcPr>
            <w:tcW w:w="3120" w:type="dxa"/>
            <w:tcBorders>
              <w:top w:val="double" w:sz="4" w:space="0" w:color="auto"/>
              <w:left w:val="single" w:sz="4" w:space="0" w:color="auto"/>
              <w:bottom w:val="single" w:sz="4" w:space="0" w:color="auto"/>
              <w:right w:val="single" w:sz="4" w:space="0" w:color="auto"/>
            </w:tcBorders>
          </w:tcPr>
          <w:p w14:paraId="0E9632AC" w14:textId="77777777" w:rsidR="007049A5" w:rsidRPr="004E4188" w:rsidRDefault="007049A5" w:rsidP="00BE6B88">
            <w:pPr>
              <w:pStyle w:val="af7"/>
              <w:spacing w:beforeLines="50" w:before="120" w:afterLines="50" w:after="120"/>
              <w:jc w:val="center"/>
              <w:rPr>
                <w:b/>
                <w:lang w:val="fr-FR"/>
              </w:rPr>
            </w:pPr>
            <w:r w:rsidRPr="004E4188">
              <w:rPr>
                <w:b/>
                <w:lang w:val="fr-FR"/>
              </w:rPr>
              <w:t>Montant et monnaie</w:t>
            </w:r>
          </w:p>
        </w:tc>
        <w:tc>
          <w:tcPr>
            <w:tcW w:w="2160" w:type="dxa"/>
            <w:tcBorders>
              <w:top w:val="double" w:sz="4" w:space="0" w:color="auto"/>
              <w:left w:val="single" w:sz="4" w:space="0" w:color="auto"/>
              <w:bottom w:val="single" w:sz="4" w:space="0" w:color="auto"/>
              <w:right w:val="single" w:sz="4" w:space="0" w:color="auto"/>
            </w:tcBorders>
          </w:tcPr>
          <w:p w14:paraId="3322A1F0" w14:textId="77777777" w:rsidR="007049A5" w:rsidRPr="004E4188" w:rsidRDefault="007049A5" w:rsidP="00BE6B88">
            <w:pPr>
              <w:pStyle w:val="af7"/>
              <w:spacing w:beforeLines="50" w:before="120" w:afterLines="50" w:after="120"/>
              <w:jc w:val="center"/>
              <w:rPr>
                <w:b/>
                <w:lang w:val="fr-FR"/>
              </w:rPr>
            </w:pPr>
            <w:r w:rsidRPr="004E4188">
              <w:rPr>
                <w:b/>
                <w:lang w:val="fr-FR"/>
              </w:rPr>
              <w:t>Taux de change</w:t>
            </w:r>
          </w:p>
        </w:tc>
        <w:tc>
          <w:tcPr>
            <w:tcW w:w="2535" w:type="dxa"/>
            <w:tcBorders>
              <w:top w:val="double" w:sz="4" w:space="0" w:color="auto"/>
              <w:left w:val="single" w:sz="4" w:space="0" w:color="auto"/>
              <w:bottom w:val="single" w:sz="4" w:space="0" w:color="auto"/>
              <w:right w:val="single" w:sz="4" w:space="0" w:color="auto"/>
            </w:tcBorders>
          </w:tcPr>
          <w:p w14:paraId="52AB4988" w14:textId="52FF122A" w:rsidR="007049A5" w:rsidRPr="004E4188" w:rsidRDefault="000B1680" w:rsidP="00BE6B88">
            <w:pPr>
              <w:pStyle w:val="af7"/>
              <w:spacing w:beforeLines="50" w:before="120" w:afterLines="50" w:after="120"/>
              <w:jc w:val="center"/>
              <w:rPr>
                <w:b/>
                <w:lang w:val="fr-FR"/>
              </w:rPr>
            </w:pPr>
            <w:r w:rsidRPr="004E4188">
              <w:rPr>
                <w:b/>
                <w:lang w:val="fr-FR"/>
              </w:rPr>
              <w:t>É</w:t>
            </w:r>
            <w:r w:rsidR="007049A5" w:rsidRPr="004E4188">
              <w:rPr>
                <w:b/>
                <w:lang w:val="fr-FR"/>
              </w:rPr>
              <w:t>quivalent $US</w:t>
            </w:r>
          </w:p>
        </w:tc>
      </w:tr>
      <w:tr w:rsidR="007049A5" w:rsidRPr="004E4188" w14:paraId="32B94DAA" w14:textId="77777777" w:rsidTr="008F7565">
        <w:trPr>
          <w:cantSplit/>
        </w:trPr>
        <w:tc>
          <w:tcPr>
            <w:tcW w:w="1272" w:type="dxa"/>
            <w:tcBorders>
              <w:top w:val="single" w:sz="4" w:space="0" w:color="auto"/>
              <w:left w:val="single" w:sz="4" w:space="0" w:color="auto"/>
              <w:bottom w:val="single" w:sz="4" w:space="0" w:color="auto"/>
              <w:right w:val="single" w:sz="4" w:space="0" w:color="auto"/>
            </w:tcBorders>
          </w:tcPr>
          <w:p w14:paraId="38A829EE" w14:textId="77777777" w:rsidR="007049A5" w:rsidRPr="004E4188" w:rsidRDefault="007049A5" w:rsidP="007F3621">
            <w:pPr>
              <w:pStyle w:val="af7"/>
              <w:jc w:val="center"/>
              <w:rPr>
                <w:lang w:val="fr-FR"/>
              </w:rPr>
            </w:pPr>
            <w:r w:rsidRPr="004E4188">
              <w:rPr>
                <w:lang w:val="fr-FR"/>
              </w:rPr>
              <w:t>[</w:t>
            </w:r>
            <w:r w:rsidRPr="004E4188">
              <w:rPr>
                <w:i/>
                <w:lang w:val="fr-FR"/>
              </w:rPr>
              <w:t>indiquer l’année</w:t>
            </w:r>
            <w:r w:rsidRPr="004E4188">
              <w:rPr>
                <w:lang w:val="fr-FR"/>
              </w:rPr>
              <w:t>]</w:t>
            </w:r>
          </w:p>
        </w:tc>
        <w:tc>
          <w:tcPr>
            <w:tcW w:w="3120" w:type="dxa"/>
            <w:tcBorders>
              <w:top w:val="single" w:sz="4" w:space="0" w:color="auto"/>
              <w:left w:val="single" w:sz="4" w:space="0" w:color="auto"/>
              <w:bottom w:val="single" w:sz="4" w:space="0" w:color="auto"/>
              <w:right w:val="single" w:sz="4" w:space="0" w:color="auto"/>
            </w:tcBorders>
          </w:tcPr>
          <w:p w14:paraId="265D6D93" w14:textId="77777777" w:rsidR="007049A5" w:rsidRPr="004E4188" w:rsidRDefault="007049A5" w:rsidP="007F3621">
            <w:pPr>
              <w:pStyle w:val="af7"/>
              <w:jc w:val="center"/>
              <w:rPr>
                <w:lang w:val="fr-FR"/>
              </w:rPr>
            </w:pPr>
            <w:r w:rsidRPr="004E4188">
              <w:rPr>
                <w:lang w:val="fr-FR"/>
              </w:rPr>
              <w:t>[</w:t>
            </w:r>
            <w:r w:rsidRPr="004E4188">
              <w:rPr>
                <w:i/>
                <w:lang w:val="fr-FR"/>
              </w:rPr>
              <w:t>indiquer le montant et la monnaie</w:t>
            </w:r>
            <w:r w:rsidRPr="004E4188">
              <w:rPr>
                <w:lang w:val="fr-FR"/>
              </w:rPr>
              <w:t>]</w:t>
            </w:r>
          </w:p>
        </w:tc>
        <w:tc>
          <w:tcPr>
            <w:tcW w:w="2160" w:type="dxa"/>
            <w:tcBorders>
              <w:top w:val="single" w:sz="4" w:space="0" w:color="auto"/>
              <w:left w:val="single" w:sz="4" w:space="0" w:color="auto"/>
              <w:bottom w:val="single" w:sz="4" w:space="0" w:color="auto"/>
              <w:right w:val="single" w:sz="4" w:space="0" w:color="auto"/>
            </w:tcBorders>
          </w:tcPr>
          <w:p w14:paraId="69415945" w14:textId="77777777" w:rsidR="007049A5" w:rsidRPr="004E4188" w:rsidRDefault="007049A5" w:rsidP="007F3621">
            <w:pPr>
              <w:pStyle w:val="af7"/>
              <w:jc w:val="center"/>
              <w:rPr>
                <w:lang w:val="fr-FR"/>
              </w:rPr>
            </w:pPr>
            <w:r w:rsidRPr="004E4188">
              <w:rPr>
                <w:lang w:val="fr-FR"/>
              </w:rPr>
              <w:t>[</w:t>
            </w:r>
            <w:r w:rsidRPr="004E4188">
              <w:rPr>
                <w:i/>
                <w:lang w:val="fr-FR"/>
              </w:rPr>
              <w:t>indiquer le taux de change appliqué</w:t>
            </w:r>
            <w:r w:rsidRPr="004E4188">
              <w:rPr>
                <w:lang w:val="fr-FR"/>
              </w:rPr>
              <w:t>]</w:t>
            </w:r>
          </w:p>
        </w:tc>
        <w:tc>
          <w:tcPr>
            <w:tcW w:w="2535" w:type="dxa"/>
            <w:tcBorders>
              <w:top w:val="single" w:sz="4" w:space="0" w:color="auto"/>
              <w:left w:val="single" w:sz="4" w:space="0" w:color="auto"/>
              <w:bottom w:val="single" w:sz="4" w:space="0" w:color="auto"/>
              <w:right w:val="single" w:sz="4" w:space="0" w:color="auto"/>
            </w:tcBorders>
          </w:tcPr>
          <w:p w14:paraId="0B0AA71A" w14:textId="33B7F33C" w:rsidR="007049A5" w:rsidRPr="004E4188" w:rsidRDefault="007049A5" w:rsidP="006C6267">
            <w:pPr>
              <w:pStyle w:val="af7"/>
              <w:jc w:val="center"/>
              <w:rPr>
                <w:i/>
                <w:lang w:val="fr-FR" w:eastAsia="ja-JP"/>
              </w:rPr>
            </w:pPr>
            <w:r w:rsidRPr="004E4188">
              <w:rPr>
                <w:lang w:val="fr-FR"/>
              </w:rPr>
              <w:t>[</w:t>
            </w:r>
            <w:r w:rsidRPr="004E4188">
              <w:rPr>
                <w:i/>
                <w:lang w:val="fr-FR"/>
              </w:rPr>
              <w:t xml:space="preserve">indiquer le montant équivalent en </w:t>
            </w:r>
            <w:r w:rsidRPr="004E4188">
              <w:rPr>
                <w:i/>
                <w:lang w:val="fr-FR" w:eastAsia="ja-JP"/>
              </w:rPr>
              <w:t>$</w:t>
            </w:r>
            <w:r w:rsidRPr="004E4188">
              <w:rPr>
                <w:i/>
                <w:lang w:val="fr-FR"/>
              </w:rPr>
              <w:t>US</w:t>
            </w:r>
            <w:r w:rsidRPr="004E4188">
              <w:rPr>
                <w:lang w:val="fr-FR"/>
              </w:rPr>
              <w:t>]</w:t>
            </w:r>
          </w:p>
        </w:tc>
      </w:tr>
      <w:tr w:rsidR="007049A5" w:rsidRPr="004E4188" w14:paraId="3B172054" w14:textId="77777777" w:rsidTr="008F7565">
        <w:trPr>
          <w:cantSplit/>
          <w:trHeight w:val="547"/>
        </w:trPr>
        <w:tc>
          <w:tcPr>
            <w:tcW w:w="1272" w:type="dxa"/>
            <w:tcBorders>
              <w:top w:val="single" w:sz="4" w:space="0" w:color="auto"/>
              <w:left w:val="single" w:sz="4" w:space="0" w:color="auto"/>
              <w:bottom w:val="single" w:sz="4" w:space="0" w:color="auto"/>
              <w:right w:val="single" w:sz="4" w:space="0" w:color="auto"/>
            </w:tcBorders>
          </w:tcPr>
          <w:p w14:paraId="09E53599" w14:textId="77777777" w:rsidR="007049A5" w:rsidRPr="004E4188" w:rsidRDefault="007049A5" w:rsidP="007F3621">
            <w:pPr>
              <w:pStyle w:val="af7"/>
              <w:rPr>
                <w:lang w:val="fr-FR"/>
              </w:rPr>
            </w:pPr>
          </w:p>
        </w:tc>
        <w:tc>
          <w:tcPr>
            <w:tcW w:w="3120" w:type="dxa"/>
            <w:tcBorders>
              <w:top w:val="single" w:sz="4" w:space="0" w:color="auto"/>
              <w:left w:val="single" w:sz="4" w:space="0" w:color="auto"/>
              <w:bottom w:val="single" w:sz="4" w:space="0" w:color="auto"/>
              <w:right w:val="single" w:sz="4" w:space="0" w:color="auto"/>
            </w:tcBorders>
          </w:tcPr>
          <w:p w14:paraId="3945E2F5" w14:textId="77777777" w:rsidR="007049A5" w:rsidRPr="004E4188" w:rsidRDefault="007049A5" w:rsidP="007F3621">
            <w:pPr>
              <w:pStyle w:val="af7"/>
              <w:rPr>
                <w:lang w:val="fr-FR"/>
              </w:rPr>
            </w:pPr>
          </w:p>
        </w:tc>
        <w:tc>
          <w:tcPr>
            <w:tcW w:w="2160" w:type="dxa"/>
            <w:tcBorders>
              <w:top w:val="single" w:sz="4" w:space="0" w:color="auto"/>
              <w:left w:val="single" w:sz="4" w:space="0" w:color="auto"/>
              <w:bottom w:val="single" w:sz="4" w:space="0" w:color="auto"/>
              <w:right w:val="single" w:sz="4" w:space="0" w:color="auto"/>
            </w:tcBorders>
          </w:tcPr>
          <w:p w14:paraId="4920A992" w14:textId="77777777" w:rsidR="007049A5" w:rsidRPr="004E4188" w:rsidRDefault="007049A5" w:rsidP="007F3621">
            <w:pPr>
              <w:pStyle w:val="af7"/>
              <w:rPr>
                <w:lang w:val="fr-FR"/>
              </w:rPr>
            </w:pPr>
          </w:p>
        </w:tc>
        <w:tc>
          <w:tcPr>
            <w:tcW w:w="2535" w:type="dxa"/>
            <w:tcBorders>
              <w:top w:val="single" w:sz="4" w:space="0" w:color="auto"/>
              <w:left w:val="single" w:sz="4" w:space="0" w:color="auto"/>
              <w:bottom w:val="single" w:sz="4" w:space="0" w:color="auto"/>
              <w:right w:val="single" w:sz="4" w:space="0" w:color="auto"/>
            </w:tcBorders>
          </w:tcPr>
          <w:p w14:paraId="05161458" w14:textId="77777777" w:rsidR="007049A5" w:rsidRPr="004E4188" w:rsidRDefault="007049A5" w:rsidP="007F3621">
            <w:pPr>
              <w:pStyle w:val="af7"/>
              <w:rPr>
                <w:lang w:val="fr-FR"/>
              </w:rPr>
            </w:pPr>
          </w:p>
        </w:tc>
      </w:tr>
      <w:tr w:rsidR="007049A5" w:rsidRPr="004E4188" w14:paraId="7805998A" w14:textId="77777777" w:rsidTr="008F7565">
        <w:trPr>
          <w:cantSplit/>
          <w:trHeight w:val="569"/>
        </w:trPr>
        <w:tc>
          <w:tcPr>
            <w:tcW w:w="1272" w:type="dxa"/>
            <w:tcBorders>
              <w:top w:val="single" w:sz="4" w:space="0" w:color="auto"/>
              <w:left w:val="single" w:sz="4" w:space="0" w:color="auto"/>
              <w:bottom w:val="single" w:sz="4" w:space="0" w:color="auto"/>
              <w:right w:val="single" w:sz="4" w:space="0" w:color="auto"/>
            </w:tcBorders>
          </w:tcPr>
          <w:p w14:paraId="013FFE60" w14:textId="77777777" w:rsidR="007049A5" w:rsidRPr="004E4188" w:rsidRDefault="007049A5" w:rsidP="007F3621">
            <w:pPr>
              <w:pStyle w:val="af7"/>
              <w:rPr>
                <w:lang w:val="fr-FR"/>
              </w:rPr>
            </w:pPr>
          </w:p>
        </w:tc>
        <w:tc>
          <w:tcPr>
            <w:tcW w:w="3120" w:type="dxa"/>
            <w:tcBorders>
              <w:top w:val="single" w:sz="4" w:space="0" w:color="auto"/>
              <w:left w:val="single" w:sz="4" w:space="0" w:color="auto"/>
              <w:bottom w:val="single" w:sz="4" w:space="0" w:color="auto"/>
              <w:right w:val="single" w:sz="4" w:space="0" w:color="auto"/>
            </w:tcBorders>
          </w:tcPr>
          <w:p w14:paraId="0F0E63C6" w14:textId="77777777" w:rsidR="007049A5" w:rsidRPr="004E4188" w:rsidRDefault="007049A5" w:rsidP="007F3621">
            <w:pPr>
              <w:pStyle w:val="af7"/>
              <w:rPr>
                <w:lang w:val="fr-FR"/>
              </w:rPr>
            </w:pPr>
            <w:r w:rsidRPr="004E4188">
              <w:rPr>
                <w:lang w:val="fr-FR"/>
              </w:rPr>
              <w:t xml:space="preserve"> </w:t>
            </w:r>
          </w:p>
        </w:tc>
        <w:tc>
          <w:tcPr>
            <w:tcW w:w="2160" w:type="dxa"/>
            <w:tcBorders>
              <w:top w:val="single" w:sz="4" w:space="0" w:color="auto"/>
              <w:left w:val="single" w:sz="4" w:space="0" w:color="auto"/>
              <w:bottom w:val="single" w:sz="4" w:space="0" w:color="auto"/>
              <w:right w:val="single" w:sz="4" w:space="0" w:color="auto"/>
            </w:tcBorders>
          </w:tcPr>
          <w:p w14:paraId="36164D91" w14:textId="77777777" w:rsidR="007049A5" w:rsidRPr="004E4188" w:rsidRDefault="007049A5" w:rsidP="007F3621">
            <w:pPr>
              <w:pStyle w:val="af7"/>
              <w:rPr>
                <w:lang w:val="fr-FR"/>
              </w:rPr>
            </w:pPr>
          </w:p>
        </w:tc>
        <w:tc>
          <w:tcPr>
            <w:tcW w:w="2535" w:type="dxa"/>
            <w:tcBorders>
              <w:top w:val="single" w:sz="4" w:space="0" w:color="auto"/>
              <w:left w:val="single" w:sz="4" w:space="0" w:color="auto"/>
              <w:bottom w:val="single" w:sz="4" w:space="0" w:color="auto"/>
              <w:right w:val="single" w:sz="4" w:space="0" w:color="auto"/>
            </w:tcBorders>
          </w:tcPr>
          <w:p w14:paraId="10AA8038" w14:textId="77777777" w:rsidR="007049A5" w:rsidRPr="004E4188" w:rsidRDefault="007049A5" w:rsidP="007F3621">
            <w:pPr>
              <w:pStyle w:val="af7"/>
              <w:rPr>
                <w:lang w:val="fr-FR"/>
              </w:rPr>
            </w:pPr>
          </w:p>
        </w:tc>
      </w:tr>
      <w:tr w:rsidR="007049A5" w:rsidRPr="004E4188" w14:paraId="1D400D79" w14:textId="77777777" w:rsidTr="008F7565">
        <w:trPr>
          <w:cantSplit/>
          <w:trHeight w:val="549"/>
        </w:trPr>
        <w:tc>
          <w:tcPr>
            <w:tcW w:w="1272" w:type="dxa"/>
            <w:tcBorders>
              <w:top w:val="single" w:sz="4" w:space="0" w:color="auto"/>
              <w:left w:val="single" w:sz="4" w:space="0" w:color="auto"/>
              <w:bottom w:val="single" w:sz="4" w:space="0" w:color="auto"/>
              <w:right w:val="single" w:sz="4" w:space="0" w:color="auto"/>
            </w:tcBorders>
          </w:tcPr>
          <w:p w14:paraId="09E041FD" w14:textId="77777777" w:rsidR="007049A5" w:rsidRPr="004E4188" w:rsidRDefault="007049A5" w:rsidP="007F3621">
            <w:pPr>
              <w:pStyle w:val="af7"/>
              <w:rPr>
                <w:lang w:val="fr-FR"/>
              </w:rPr>
            </w:pPr>
          </w:p>
        </w:tc>
        <w:tc>
          <w:tcPr>
            <w:tcW w:w="3120" w:type="dxa"/>
            <w:tcBorders>
              <w:top w:val="single" w:sz="4" w:space="0" w:color="auto"/>
              <w:left w:val="single" w:sz="4" w:space="0" w:color="auto"/>
              <w:bottom w:val="single" w:sz="4" w:space="0" w:color="auto"/>
              <w:right w:val="single" w:sz="4" w:space="0" w:color="auto"/>
            </w:tcBorders>
          </w:tcPr>
          <w:p w14:paraId="7B504E50" w14:textId="77777777" w:rsidR="007049A5" w:rsidRPr="004E4188" w:rsidRDefault="007049A5" w:rsidP="007F3621">
            <w:pPr>
              <w:pStyle w:val="af7"/>
              <w:rPr>
                <w:lang w:val="fr-FR"/>
              </w:rPr>
            </w:pPr>
            <w:r w:rsidRPr="004E4188">
              <w:rPr>
                <w:lang w:val="fr-FR"/>
              </w:rPr>
              <w:t xml:space="preserve"> </w:t>
            </w:r>
          </w:p>
        </w:tc>
        <w:tc>
          <w:tcPr>
            <w:tcW w:w="2160" w:type="dxa"/>
            <w:tcBorders>
              <w:top w:val="single" w:sz="4" w:space="0" w:color="auto"/>
              <w:left w:val="single" w:sz="4" w:space="0" w:color="auto"/>
              <w:bottom w:val="single" w:sz="4" w:space="0" w:color="auto"/>
              <w:right w:val="single" w:sz="4" w:space="0" w:color="auto"/>
            </w:tcBorders>
          </w:tcPr>
          <w:p w14:paraId="52D9573C" w14:textId="77777777" w:rsidR="007049A5" w:rsidRPr="004E4188" w:rsidRDefault="007049A5" w:rsidP="007F3621">
            <w:pPr>
              <w:pStyle w:val="af7"/>
              <w:rPr>
                <w:lang w:val="fr-FR"/>
              </w:rPr>
            </w:pPr>
          </w:p>
        </w:tc>
        <w:tc>
          <w:tcPr>
            <w:tcW w:w="2535" w:type="dxa"/>
            <w:tcBorders>
              <w:top w:val="single" w:sz="4" w:space="0" w:color="auto"/>
              <w:left w:val="single" w:sz="4" w:space="0" w:color="auto"/>
              <w:bottom w:val="single" w:sz="4" w:space="0" w:color="auto"/>
              <w:right w:val="single" w:sz="4" w:space="0" w:color="auto"/>
            </w:tcBorders>
          </w:tcPr>
          <w:p w14:paraId="76F48285" w14:textId="77777777" w:rsidR="007049A5" w:rsidRPr="004E4188" w:rsidRDefault="007049A5" w:rsidP="007F3621">
            <w:pPr>
              <w:pStyle w:val="af7"/>
              <w:rPr>
                <w:lang w:val="fr-FR"/>
              </w:rPr>
            </w:pPr>
          </w:p>
        </w:tc>
      </w:tr>
      <w:tr w:rsidR="007049A5" w:rsidRPr="004E4188" w14:paraId="5FA4A8C7" w14:textId="77777777" w:rsidTr="008F7565">
        <w:trPr>
          <w:cantSplit/>
          <w:trHeight w:val="583"/>
        </w:trPr>
        <w:tc>
          <w:tcPr>
            <w:tcW w:w="6552" w:type="dxa"/>
            <w:gridSpan w:val="3"/>
            <w:tcBorders>
              <w:top w:val="single" w:sz="4" w:space="0" w:color="auto"/>
              <w:left w:val="single" w:sz="4" w:space="0" w:color="auto"/>
              <w:bottom w:val="single" w:sz="4" w:space="0" w:color="auto"/>
              <w:right w:val="single" w:sz="4" w:space="0" w:color="auto"/>
            </w:tcBorders>
            <w:vAlign w:val="center"/>
          </w:tcPr>
          <w:p w14:paraId="3D5196D3" w14:textId="77777777" w:rsidR="007049A5" w:rsidRPr="004E4188" w:rsidRDefault="007049A5" w:rsidP="008439D5">
            <w:pPr>
              <w:pStyle w:val="af7"/>
              <w:jc w:val="right"/>
              <w:rPr>
                <w:lang w:val="fr-FR"/>
              </w:rPr>
            </w:pPr>
            <w:r w:rsidRPr="004E4188">
              <w:rPr>
                <w:b/>
                <w:lang w:val="fr-FR"/>
              </w:rPr>
              <w:t>Chiffre d’affaires annuel moyen</w:t>
            </w:r>
            <w:r w:rsidRPr="004E4188">
              <w:rPr>
                <w:b/>
                <w:vertAlign w:val="superscript"/>
                <w:lang w:val="fr-FR"/>
              </w:rPr>
              <w:t>1</w:t>
            </w:r>
          </w:p>
        </w:tc>
        <w:tc>
          <w:tcPr>
            <w:tcW w:w="2535" w:type="dxa"/>
            <w:tcBorders>
              <w:top w:val="single" w:sz="4" w:space="0" w:color="auto"/>
              <w:left w:val="single" w:sz="4" w:space="0" w:color="auto"/>
              <w:bottom w:val="single" w:sz="4" w:space="0" w:color="auto"/>
              <w:right w:val="single" w:sz="4" w:space="0" w:color="auto"/>
            </w:tcBorders>
          </w:tcPr>
          <w:p w14:paraId="7E13FB82" w14:textId="77777777" w:rsidR="007049A5" w:rsidRPr="004E4188" w:rsidRDefault="007049A5" w:rsidP="007F3621">
            <w:pPr>
              <w:pStyle w:val="af7"/>
              <w:rPr>
                <w:lang w:val="fr-FR"/>
              </w:rPr>
            </w:pPr>
          </w:p>
        </w:tc>
      </w:tr>
    </w:tbl>
    <w:p w14:paraId="4AEBD28D" w14:textId="77777777" w:rsidR="007049A5" w:rsidRPr="004E4188" w:rsidRDefault="007049A5" w:rsidP="00434226"/>
    <w:p w14:paraId="53F95984" w14:textId="77777777" w:rsidR="007049A5" w:rsidRPr="004E4188" w:rsidRDefault="007049A5" w:rsidP="006C6267">
      <w:pPr>
        <w:spacing w:after="120" w:line="264" w:lineRule="exact"/>
        <w:ind w:left="357" w:hanging="357"/>
      </w:pPr>
      <w:r w:rsidRPr="004E4188">
        <w:rPr>
          <w:u w:val="single"/>
          <w:lang w:eastAsia="ja-JP"/>
        </w:rPr>
        <w:t>Notes à l’intention des Soumissionnaires</w:t>
      </w:r>
    </w:p>
    <w:p w14:paraId="1FEC052E" w14:textId="77777777" w:rsidR="007049A5" w:rsidRPr="004E4188" w:rsidRDefault="007049A5" w:rsidP="00B70D0B">
      <w:pPr>
        <w:ind w:left="454" w:hanging="454"/>
      </w:pPr>
      <w:bookmarkStart w:id="645" w:name="_Toc4390862"/>
      <w:bookmarkStart w:id="646" w:name="_Toc4405767"/>
      <w:r w:rsidRPr="004E4188">
        <w:t>1.</w:t>
      </w:r>
      <w:r w:rsidRPr="004E4188">
        <w:rPr>
          <w:lang w:eastAsia="ja-JP"/>
        </w:rPr>
        <w:tab/>
      </w:r>
      <w:r w:rsidRPr="004E4188">
        <w:t xml:space="preserve">Somme des équivalents </w:t>
      </w:r>
      <w:r w:rsidRPr="004E4188">
        <w:rPr>
          <w:lang w:eastAsia="ja-JP"/>
        </w:rPr>
        <w:t>$</w:t>
      </w:r>
      <w:r w:rsidRPr="004E4188">
        <w:t xml:space="preserve">US pour toutes les années divisée par le nombre total d’années, conformément aux critères de préqualification ou au Critère 2.3.2 de la Section </w:t>
      </w:r>
      <w:smartTag w:uri="urn:schemas-microsoft-com:office:smarttags" w:element="stockticker">
        <w:r w:rsidRPr="004E4188">
          <w:t>III</w:t>
        </w:r>
      </w:smartTag>
      <w:r w:rsidRPr="004E4188">
        <w:t xml:space="preserve">, </w:t>
      </w:r>
      <w:r w:rsidRPr="004E4188">
        <w:rPr>
          <w:spacing w:val="-2"/>
          <w:szCs w:val="24"/>
        </w:rPr>
        <w:t>Critères d’évaluation et de qualification, selon le cas.</w:t>
      </w:r>
      <w:bookmarkEnd w:id="645"/>
      <w:bookmarkEnd w:id="646"/>
    </w:p>
    <w:p w14:paraId="3C8F8297" w14:textId="77777777" w:rsidR="007049A5" w:rsidRPr="004E4188" w:rsidRDefault="007049A5" w:rsidP="006C6267">
      <w:pPr>
        <w:spacing w:after="120"/>
        <w:jc w:val="left"/>
        <w:rPr>
          <w:b/>
          <w:sz w:val="28"/>
        </w:rPr>
      </w:pPr>
    </w:p>
    <w:p w14:paraId="68919C44" w14:textId="77777777" w:rsidR="007049A5" w:rsidRPr="004E4188" w:rsidRDefault="007049A5" w:rsidP="006C6267">
      <w:pPr>
        <w:pStyle w:val="SectionIVHeading2"/>
        <w:outlineLvl w:val="2"/>
        <w:rPr>
          <w:sz w:val="32"/>
          <w:szCs w:val="32"/>
          <w:lang w:val="fr-FR"/>
        </w:rPr>
      </w:pPr>
      <w:r w:rsidRPr="004E4188">
        <w:rPr>
          <w:lang w:val="fr-FR"/>
        </w:rPr>
        <w:br w:type="page"/>
      </w:r>
      <w:bookmarkStart w:id="647" w:name="_Toc349117756"/>
      <w:bookmarkStart w:id="648" w:name="_Toc357513237"/>
      <w:bookmarkStart w:id="649" w:name="_Toc112429331"/>
      <w:r w:rsidRPr="004E4188">
        <w:rPr>
          <w:sz w:val="32"/>
          <w:szCs w:val="32"/>
          <w:lang w:val="fr-FR"/>
        </w:rPr>
        <w:t>Formulaire FIN-3</w:t>
      </w:r>
      <w:r w:rsidRPr="004E4188">
        <w:rPr>
          <w:sz w:val="32"/>
          <w:szCs w:val="32"/>
          <w:lang w:val="fr-FR"/>
        </w:rPr>
        <w:br/>
        <w:t>Capacités financières</w:t>
      </w:r>
      <w:bookmarkEnd w:id="647"/>
      <w:bookmarkEnd w:id="648"/>
      <w:bookmarkEnd w:id="649"/>
    </w:p>
    <w:p w14:paraId="3524CC7F" w14:textId="77777777" w:rsidR="007049A5" w:rsidRPr="004E4188" w:rsidRDefault="007049A5" w:rsidP="00BE6B88">
      <w:pPr>
        <w:spacing w:afterLines="100" w:after="240"/>
      </w:pPr>
      <w:r w:rsidRPr="004E4188">
        <w:t>[</w:t>
      </w:r>
      <w:r w:rsidRPr="004E4188">
        <w:rPr>
          <w:i/>
        </w:rPr>
        <w:t>Le tableau ci-dessous doit être rempli pour le Soumissionnaire et pour chaque membre du Groupement si le Soumissionnaire est un Groupement.</w:t>
      </w:r>
      <w:r w:rsidRPr="004E4188">
        <w:t>]</w:t>
      </w:r>
    </w:p>
    <w:p w14:paraId="5FC5FE46" w14:textId="657A3467" w:rsidR="007049A5" w:rsidRPr="004E4188" w:rsidRDefault="007049A5" w:rsidP="00AC52FB">
      <w:pPr>
        <w:jc w:val="right"/>
      </w:pPr>
      <w:r w:rsidRPr="004E4188">
        <w:t>Date : [</w:t>
      </w:r>
      <w:r w:rsidRPr="004E4188">
        <w:rPr>
          <w:i/>
        </w:rPr>
        <w:t>indiquer jour, mois, année</w:t>
      </w:r>
      <w:r w:rsidRPr="004E4188">
        <w:t>]</w:t>
      </w:r>
    </w:p>
    <w:p w14:paraId="49B8B0F9" w14:textId="77777777" w:rsidR="007049A5" w:rsidRPr="004E4188" w:rsidRDefault="007049A5" w:rsidP="00AC52FB">
      <w:pPr>
        <w:jc w:val="right"/>
      </w:pPr>
      <w:r w:rsidRPr="004E4188">
        <w:t>Nom légal du Soumissionnaire : [</w:t>
      </w:r>
      <w:r w:rsidRPr="004E4188">
        <w:rPr>
          <w:i/>
        </w:rPr>
        <w:t>indiquer le nom complet</w:t>
      </w:r>
      <w:r w:rsidRPr="004E4188">
        <w:t>]</w:t>
      </w:r>
    </w:p>
    <w:p w14:paraId="4D6A2FBA" w14:textId="77777777" w:rsidR="007049A5" w:rsidRPr="004E4188" w:rsidRDefault="007049A5" w:rsidP="00AC52FB">
      <w:pPr>
        <w:jc w:val="right"/>
      </w:pPr>
      <w:r w:rsidRPr="004E4188">
        <w:t>Nom légal du membre du Groupement : [</w:t>
      </w:r>
      <w:r w:rsidRPr="004E4188">
        <w:rPr>
          <w:i/>
        </w:rPr>
        <w:t>indiquer le nom complet</w:t>
      </w:r>
      <w:r w:rsidRPr="004E4188">
        <w:t>]</w:t>
      </w:r>
    </w:p>
    <w:p w14:paraId="7DB5C24A" w14:textId="77777777" w:rsidR="007049A5" w:rsidRPr="004E4188" w:rsidRDefault="007049A5" w:rsidP="00AC52FB">
      <w:pPr>
        <w:tabs>
          <w:tab w:val="right" w:pos="9356"/>
        </w:tabs>
        <w:jc w:val="right"/>
        <w:rPr>
          <w:i/>
          <w:iCs/>
        </w:rPr>
      </w:pPr>
      <w:r w:rsidRPr="004E4188">
        <w:t>AAO n</w:t>
      </w:r>
      <w:r w:rsidRPr="004E4188">
        <w:rPr>
          <w:vertAlign w:val="superscript"/>
        </w:rPr>
        <w:t>o</w:t>
      </w:r>
      <w:r w:rsidRPr="004E4188">
        <w:t xml:space="preserve"> : </w:t>
      </w:r>
      <w:r w:rsidRPr="004E4188">
        <w:rPr>
          <w:iCs/>
        </w:rPr>
        <w:t>[</w:t>
      </w:r>
      <w:r w:rsidRPr="004E4188">
        <w:rPr>
          <w:i/>
          <w:iCs/>
        </w:rPr>
        <w:t>indiquer le numéro</w:t>
      </w:r>
      <w:r w:rsidRPr="004E4188">
        <w:rPr>
          <w:iCs/>
        </w:rPr>
        <w:t>]</w:t>
      </w:r>
    </w:p>
    <w:p w14:paraId="40EB9B47" w14:textId="159C1356" w:rsidR="007049A5" w:rsidRPr="004E4188" w:rsidRDefault="007049A5" w:rsidP="00BE6B88">
      <w:pPr>
        <w:tabs>
          <w:tab w:val="right" w:pos="9356"/>
        </w:tabs>
        <w:wordWrap w:val="0"/>
        <w:spacing w:afterLines="100" w:after="240"/>
        <w:jc w:val="right"/>
        <w:rPr>
          <w:iCs/>
          <w:spacing w:val="-4"/>
        </w:rPr>
      </w:pPr>
      <w:r w:rsidRPr="004E4188">
        <w:rPr>
          <w:iCs/>
          <w:spacing w:val="-4"/>
        </w:rPr>
        <w:t>Page</w:t>
      </w:r>
      <w:r w:rsidR="008729D9" w:rsidRPr="004E4188">
        <w:rPr>
          <w:iCs/>
          <w:spacing w:val="-4"/>
        </w:rPr>
        <w:t> </w:t>
      </w:r>
      <w:r w:rsidRPr="004E4188">
        <w:rPr>
          <w:spacing w:val="-4"/>
        </w:rPr>
        <w:t xml:space="preserve">: </w:t>
      </w:r>
      <w:r w:rsidRPr="004E4188">
        <w:rPr>
          <w:iCs/>
          <w:spacing w:val="-4"/>
        </w:rPr>
        <w:t>[</w:t>
      </w:r>
      <w:r w:rsidRPr="004E4188">
        <w:rPr>
          <w:i/>
          <w:iCs/>
          <w:spacing w:val="-4"/>
        </w:rPr>
        <w:t>insérer le numéro de la page</w:t>
      </w:r>
      <w:r w:rsidRPr="004E4188">
        <w:rPr>
          <w:iCs/>
          <w:spacing w:val="-4"/>
        </w:rPr>
        <w:t>] de [</w:t>
      </w:r>
      <w:r w:rsidRPr="004E4188">
        <w:rPr>
          <w:i/>
          <w:iCs/>
          <w:spacing w:val="-4"/>
        </w:rPr>
        <w:t>insérer le nombre total de</w:t>
      </w:r>
      <w:r w:rsidRPr="004E4188">
        <w:rPr>
          <w:iCs/>
          <w:spacing w:val="-4"/>
        </w:rPr>
        <w:t>] pages</w:t>
      </w:r>
    </w:p>
    <w:p w14:paraId="29B0B927" w14:textId="77777777" w:rsidR="007049A5" w:rsidRPr="004E4188" w:rsidRDefault="007049A5" w:rsidP="00BE6B88">
      <w:pPr>
        <w:spacing w:afterLines="100" w:after="240"/>
        <w:rPr>
          <w:i/>
          <w:szCs w:val="24"/>
        </w:rPr>
      </w:pPr>
      <w:r w:rsidRPr="004E4188">
        <w:rPr>
          <w:szCs w:val="24"/>
        </w:rPr>
        <w:t>[</w:t>
      </w:r>
      <w:r w:rsidRPr="004E4188">
        <w:rPr>
          <w:i/>
          <w:szCs w:val="24"/>
        </w:rPr>
        <w:t>Indiquer les sources de financement proposées, telles que des avoirs liquides, des actifs non grevés ou des lignes de crédit, et autres moyens financiers, net des engagements financiers en cours, disponibles pour assurer le flux de trésorerie total des activités de construction du(des) marché(s) en question, spécifié aux critères de préqualification ou au Critère 2.3.3 de la Section III, Critères d’évaluation et de qualification, selon le cas.</w:t>
      </w:r>
      <w:r w:rsidRPr="004E4188">
        <w:t>]</w:t>
      </w:r>
    </w:p>
    <w:tbl>
      <w:tblPr>
        <w:tblW w:w="9087" w:type="dxa"/>
        <w:tblLayout w:type="fixed"/>
        <w:tblCellMar>
          <w:left w:w="72" w:type="dxa"/>
          <w:right w:w="72" w:type="dxa"/>
        </w:tblCellMar>
        <w:tblLook w:val="0000" w:firstRow="0" w:lastRow="0" w:firstColumn="0" w:lastColumn="0" w:noHBand="0" w:noVBand="0"/>
      </w:tblPr>
      <w:tblGrid>
        <w:gridCol w:w="671"/>
        <w:gridCol w:w="4081"/>
        <w:gridCol w:w="4335"/>
      </w:tblGrid>
      <w:tr w:rsidR="007049A5" w:rsidRPr="004E4188" w14:paraId="7013467E" w14:textId="77777777" w:rsidTr="001B6BBD">
        <w:trPr>
          <w:cantSplit/>
        </w:trPr>
        <w:tc>
          <w:tcPr>
            <w:tcW w:w="9087" w:type="dxa"/>
            <w:gridSpan w:val="3"/>
            <w:tcBorders>
              <w:top w:val="single" w:sz="4" w:space="0" w:color="auto"/>
              <w:left w:val="single" w:sz="4" w:space="0" w:color="auto"/>
              <w:bottom w:val="double" w:sz="4" w:space="0" w:color="auto"/>
              <w:right w:val="single" w:sz="4" w:space="0" w:color="auto"/>
            </w:tcBorders>
            <w:shd w:val="clear" w:color="auto" w:fill="C0C0C0"/>
          </w:tcPr>
          <w:p w14:paraId="7BBBD625" w14:textId="77777777" w:rsidR="007049A5" w:rsidRPr="004E4188" w:rsidRDefault="007049A5" w:rsidP="00BE6B88">
            <w:pPr>
              <w:pStyle w:val="af7"/>
              <w:spacing w:beforeLines="50" w:before="120" w:afterLines="50" w:after="120"/>
              <w:jc w:val="center"/>
              <w:rPr>
                <w:b/>
                <w:lang w:val="fr-FR"/>
              </w:rPr>
            </w:pPr>
            <w:r w:rsidRPr="004E4188">
              <w:rPr>
                <w:b/>
                <w:lang w:val="fr-FR"/>
              </w:rPr>
              <w:t>Capacités financières</w:t>
            </w:r>
          </w:p>
        </w:tc>
      </w:tr>
      <w:tr w:rsidR="007049A5" w:rsidRPr="004E4188" w14:paraId="65987C55" w14:textId="77777777" w:rsidTr="001B6BBD">
        <w:trPr>
          <w:cantSplit/>
        </w:trPr>
        <w:tc>
          <w:tcPr>
            <w:tcW w:w="671" w:type="dxa"/>
            <w:tcBorders>
              <w:top w:val="double" w:sz="4" w:space="0" w:color="auto"/>
              <w:left w:val="single" w:sz="4" w:space="0" w:color="auto"/>
              <w:bottom w:val="single" w:sz="4" w:space="0" w:color="auto"/>
              <w:right w:val="single" w:sz="4" w:space="0" w:color="auto"/>
            </w:tcBorders>
          </w:tcPr>
          <w:p w14:paraId="2E84561F" w14:textId="77777777" w:rsidR="007049A5" w:rsidRPr="004E4188" w:rsidRDefault="007049A5" w:rsidP="007F3621">
            <w:pPr>
              <w:pStyle w:val="af7"/>
              <w:spacing w:beforeLines="50" w:before="120" w:afterLines="50" w:after="120"/>
              <w:jc w:val="center"/>
              <w:rPr>
                <w:b/>
                <w:lang w:val="fr-FR"/>
              </w:rPr>
            </w:pPr>
            <w:r w:rsidRPr="004E4188">
              <w:rPr>
                <w:b/>
                <w:lang w:val="fr-FR"/>
              </w:rPr>
              <w:t>n°</w:t>
            </w:r>
          </w:p>
        </w:tc>
        <w:tc>
          <w:tcPr>
            <w:tcW w:w="4081" w:type="dxa"/>
            <w:tcBorders>
              <w:top w:val="double" w:sz="4" w:space="0" w:color="auto"/>
              <w:left w:val="single" w:sz="4" w:space="0" w:color="auto"/>
              <w:bottom w:val="single" w:sz="4" w:space="0" w:color="auto"/>
              <w:right w:val="single" w:sz="4" w:space="0" w:color="auto"/>
            </w:tcBorders>
          </w:tcPr>
          <w:p w14:paraId="25E8B0F7" w14:textId="77777777" w:rsidR="007049A5" w:rsidRPr="004E4188" w:rsidRDefault="007049A5" w:rsidP="007F3621">
            <w:pPr>
              <w:pStyle w:val="af7"/>
              <w:spacing w:beforeLines="50" w:before="120" w:afterLines="50" w:after="120"/>
              <w:jc w:val="center"/>
              <w:rPr>
                <w:b/>
                <w:lang w:val="fr-FR"/>
              </w:rPr>
            </w:pPr>
            <w:r w:rsidRPr="004E4188">
              <w:rPr>
                <w:b/>
                <w:lang w:val="fr-FR"/>
              </w:rPr>
              <w:t>Source de financement</w:t>
            </w:r>
            <w:r w:rsidRPr="004E4188">
              <w:rPr>
                <w:b/>
                <w:vertAlign w:val="superscript"/>
                <w:lang w:val="fr-FR"/>
              </w:rPr>
              <w:t>1</w:t>
            </w:r>
          </w:p>
        </w:tc>
        <w:tc>
          <w:tcPr>
            <w:tcW w:w="4335" w:type="dxa"/>
            <w:tcBorders>
              <w:top w:val="double" w:sz="4" w:space="0" w:color="auto"/>
              <w:left w:val="single" w:sz="4" w:space="0" w:color="auto"/>
              <w:bottom w:val="single" w:sz="4" w:space="0" w:color="auto"/>
              <w:right w:val="single" w:sz="4" w:space="0" w:color="auto"/>
            </w:tcBorders>
          </w:tcPr>
          <w:p w14:paraId="6AD9B511" w14:textId="77777777" w:rsidR="007049A5" w:rsidRPr="004E4188" w:rsidRDefault="007049A5" w:rsidP="007F3621">
            <w:pPr>
              <w:pStyle w:val="af7"/>
              <w:spacing w:beforeLines="50" w:before="120" w:afterLines="50" w:after="120"/>
              <w:jc w:val="center"/>
              <w:rPr>
                <w:b/>
                <w:lang w:val="fr-FR"/>
              </w:rPr>
            </w:pPr>
            <w:r w:rsidRPr="004E4188">
              <w:rPr>
                <w:b/>
                <w:lang w:val="fr-FR"/>
              </w:rPr>
              <w:t xml:space="preserve">Montant </w:t>
            </w:r>
          </w:p>
          <w:p w14:paraId="3D043600" w14:textId="77777777" w:rsidR="007049A5" w:rsidRPr="004E4188" w:rsidRDefault="007049A5" w:rsidP="007F3621">
            <w:pPr>
              <w:pStyle w:val="af7"/>
              <w:spacing w:beforeLines="50" w:before="120" w:afterLines="50" w:after="120"/>
              <w:jc w:val="center"/>
              <w:rPr>
                <w:b/>
                <w:lang w:val="fr-FR"/>
              </w:rPr>
            </w:pPr>
            <w:r w:rsidRPr="004E4188">
              <w:rPr>
                <w:b/>
                <w:lang w:val="fr-FR"/>
              </w:rPr>
              <w:t>(équivalent $US)</w:t>
            </w:r>
          </w:p>
        </w:tc>
      </w:tr>
      <w:tr w:rsidR="007049A5" w:rsidRPr="004E4188" w14:paraId="0618205E" w14:textId="77777777" w:rsidTr="001B6BBD">
        <w:trPr>
          <w:cantSplit/>
          <w:trHeight w:val="500"/>
        </w:trPr>
        <w:tc>
          <w:tcPr>
            <w:tcW w:w="671" w:type="dxa"/>
            <w:tcBorders>
              <w:top w:val="single" w:sz="4" w:space="0" w:color="auto"/>
              <w:left w:val="single" w:sz="4" w:space="0" w:color="auto"/>
              <w:bottom w:val="single" w:sz="4" w:space="0" w:color="auto"/>
              <w:right w:val="single" w:sz="4" w:space="0" w:color="auto"/>
            </w:tcBorders>
          </w:tcPr>
          <w:p w14:paraId="25E6BD05" w14:textId="77777777" w:rsidR="007049A5" w:rsidRPr="004E4188" w:rsidRDefault="007049A5" w:rsidP="00336B6F">
            <w:pPr>
              <w:pStyle w:val="af7"/>
              <w:jc w:val="center"/>
              <w:rPr>
                <w:lang w:val="fr-FR"/>
              </w:rPr>
            </w:pPr>
            <w:r w:rsidRPr="004E4188">
              <w:rPr>
                <w:lang w:val="fr-FR"/>
              </w:rPr>
              <w:t>1</w:t>
            </w:r>
          </w:p>
        </w:tc>
        <w:tc>
          <w:tcPr>
            <w:tcW w:w="4081" w:type="dxa"/>
            <w:tcBorders>
              <w:top w:val="single" w:sz="4" w:space="0" w:color="auto"/>
              <w:left w:val="single" w:sz="4" w:space="0" w:color="auto"/>
              <w:bottom w:val="single" w:sz="4" w:space="0" w:color="auto"/>
              <w:right w:val="single" w:sz="4" w:space="0" w:color="auto"/>
            </w:tcBorders>
          </w:tcPr>
          <w:p w14:paraId="1FEE3120" w14:textId="77777777" w:rsidR="007049A5" w:rsidRPr="004E4188" w:rsidRDefault="007049A5" w:rsidP="007F3621">
            <w:pPr>
              <w:pStyle w:val="af7"/>
              <w:jc w:val="center"/>
              <w:rPr>
                <w:lang w:val="fr-FR"/>
              </w:rPr>
            </w:pPr>
          </w:p>
        </w:tc>
        <w:tc>
          <w:tcPr>
            <w:tcW w:w="4335" w:type="dxa"/>
            <w:tcBorders>
              <w:top w:val="single" w:sz="4" w:space="0" w:color="auto"/>
              <w:left w:val="single" w:sz="4" w:space="0" w:color="auto"/>
              <w:bottom w:val="single" w:sz="4" w:space="0" w:color="auto"/>
              <w:right w:val="single" w:sz="4" w:space="0" w:color="auto"/>
            </w:tcBorders>
          </w:tcPr>
          <w:p w14:paraId="0FDF56F8" w14:textId="77777777" w:rsidR="007049A5" w:rsidRPr="004E4188" w:rsidRDefault="007049A5" w:rsidP="00336B6F">
            <w:pPr>
              <w:pStyle w:val="af7"/>
              <w:rPr>
                <w:lang w:val="fr-FR" w:eastAsia="ja-JP"/>
              </w:rPr>
            </w:pPr>
          </w:p>
        </w:tc>
      </w:tr>
      <w:tr w:rsidR="007049A5" w:rsidRPr="004E4188" w14:paraId="60906682" w14:textId="77777777" w:rsidTr="001B6BBD">
        <w:trPr>
          <w:cantSplit/>
          <w:trHeight w:val="547"/>
        </w:trPr>
        <w:tc>
          <w:tcPr>
            <w:tcW w:w="671" w:type="dxa"/>
            <w:tcBorders>
              <w:top w:val="single" w:sz="4" w:space="0" w:color="auto"/>
              <w:left w:val="single" w:sz="4" w:space="0" w:color="auto"/>
              <w:bottom w:val="single" w:sz="4" w:space="0" w:color="auto"/>
              <w:right w:val="single" w:sz="4" w:space="0" w:color="auto"/>
            </w:tcBorders>
          </w:tcPr>
          <w:p w14:paraId="669E796F" w14:textId="77777777" w:rsidR="007049A5" w:rsidRPr="004E4188" w:rsidRDefault="007049A5" w:rsidP="00336B6F">
            <w:pPr>
              <w:pStyle w:val="af7"/>
              <w:jc w:val="center"/>
              <w:rPr>
                <w:lang w:val="fr-FR"/>
              </w:rPr>
            </w:pPr>
            <w:r w:rsidRPr="004E4188">
              <w:rPr>
                <w:lang w:val="fr-FR"/>
              </w:rPr>
              <w:t>2</w:t>
            </w:r>
          </w:p>
        </w:tc>
        <w:tc>
          <w:tcPr>
            <w:tcW w:w="4081" w:type="dxa"/>
            <w:tcBorders>
              <w:top w:val="single" w:sz="4" w:space="0" w:color="auto"/>
              <w:left w:val="single" w:sz="4" w:space="0" w:color="auto"/>
              <w:bottom w:val="single" w:sz="4" w:space="0" w:color="auto"/>
              <w:right w:val="single" w:sz="4" w:space="0" w:color="auto"/>
            </w:tcBorders>
          </w:tcPr>
          <w:p w14:paraId="68A57582" w14:textId="77777777" w:rsidR="007049A5" w:rsidRPr="004E4188" w:rsidRDefault="007049A5" w:rsidP="007F3621">
            <w:pPr>
              <w:pStyle w:val="af7"/>
              <w:rPr>
                <w:lang w:val="fr-FR"/>
              </w:rPr>
            </w:pPr>
          </w:p>
        </w:tc>
        <w:tc>
          <w:tcPr>
            <w:tcW w:w="4335" w:type="dxa"/>
            <w:tcBorders>
              <w:top w:val="single" w:sz="4" w:space="0" w:color="auto"/>
              <w:left w:val="single" w:sz="4" w:space="0" w:color="auto"/>
              <w:bottom w:val="single" w:sz="4" w:space="0" w:color="auto"/>
              <w:right w:val="single" w:sz="4" w:space="0" w:color="auto"/>
            </w:tcBorders>
          </w:tcPr>
          <w:p w14:paraId="2E99E26E" w14:textId="77777777" w:rsidR="007049A5" w:rsidRPr="004E4188" w:rsidRDefault="007049A5" w:rsidP="007F3621">
            <w:pPr>
              <w:pStyle w:val="af7"/>
              <w:rPr>
                <w:lang w:val="fr-FR"/>
              </w:rPr>
            </w:pPr>
          </w:p>
        </w:tc>
      </w:tr>
      <w:tr w:rsidR="007049A5" w:rsidRPr="004E4188" w14:paraId="7572BE4D" w14:textId="77777777" w:rsidTr="001B6BBD">
        <w:trPr>
          <w:cantSplit/>
          <w:trHeight w:val="569"/>
        </w:trPr>
        <w:tc>
          <w:tcPr>
            <w:tcW w:w="671" w:type="dxa"/>
            <w:tcBorders>
              <w:top w:val="single" w:sz="4" w:space="0" w:color="auto"/>
              <w:left w:val="single" w:sz="4" w:space="0" w:color="auto"/>
              <w:bottom w:val="single" w:sz="4" w:space="0" w:color="auto"/>
              <w:right w:val="single" w:sz="4" w:space="0" w:color="auto"/>
            </w:tcBorders>
          </w:tcPr>
          <w:p w14:paraId="1EB96D2F" w14:textId="77777777" w:rsidR="007049A5" w:rsidRPr="004E4188" w:rsidRDefault="007049A5" w:rsidP="00336B6F">
            <w:pPr>
              <w:pStyle w:val="af7"/>
              <w:jc w:val="center"/>
              <w:rPr>
                <w:lang w:val="fr-FR"/>
              </w:rPr>
            </w:pPr>
            <w:r w:rsidRPr="004E4188">
              <w:rPr>
                <w:lang w:val="fr-FR"/>
              </w:rPr>
              <w:t>3</w:t>
            </w:r>
          </w:p>
        </w:tc>
        <w:tc>
          <w:tcPr>
            <w:tcW w:w="4081" w:type="dxa"/>
            <w:tcBorders>
              <w:top w:val="single" w:sz="4" w:space="0" w:color="auto"/>
              <w:left w:val="single" w:sz="4" w:space="0" w:color="auto"/>
              <w:bottom w:val="single" w:sz="4" w:space="0" w:color="auto"/>
              <w:right w:val="single" w:sz="4" w:space="0" w:color="auto"/>
            </w:tcBorders>
          </w:tcPr>
          <w:p w14:paraId="4A9E6363" w14:textId="77777777" w:rsidR="007049A5" w:rsidRPr="004E4188" w:rsidRDefault="007049A5" w:rsidP="007F3621">
            <w:pPr>
              <w:pStyle w:val="af7"/>
              <w:rPr>
                <w:lang w:val="fr-FR"/>
              </w:rPr>
            </w:pPr>
          </w:p>
        </w:tc>
        <w:tc>
          <w:tcPr>
            <w:tcW w:w="4335" w:type="dxa"/>
            <w:tcBorders>
              <w:top w:val="single" w:sz="4" w:space="0" w:color="auto"/>
              <w:left w:val="single" w:sz="4" w:space="0" w:color="auto"/>
              <w:bottom w:val="single" w:sz="4" w:space="0" w:color="auto"/>
              <w:right w:val="single" w:sz="4" w:space="0" w:color="auto"/>
            </w:tcBorders>
          </w:tcPr>
          <w:p w14:paraId="3957B976" w14:textId="77777777" w:rsidR="007049A5" w:rsidRPr="004E4188" w:rsidRDefault="007049A5" w:rsidP="007F3621">
            <w:pPr>
              <w:pStyle w:val="af7"/>
              <w:rPr>
                <w:lang w:val="fr-FR"/>
              </w:rPr>
            </w:pPr>
          </w:p>
        </w:tc>
      </w:tr>
      <w:tr w:rsidR="007049A5" w:rsidRPr="004E4188" w14:paraId="48089133" w14:textId="77777777" w:rsidTr="001B6BBD">
        <w:trPr>
          <w:cantSplit/>
          <w:trHeight w:val="549"/>
        </w:trPr>
        <w:tc>
          <w:tcPr>
            <w:tcW w:w="671" w:type="dxa"/>
            <w:tcBorders>
              <w:top w:val="single" w:sz="4" w:space="0" w:color="auto"/>
              <w:left w:val="single" w:sz="4" w:space="0" w:color="auto"/>
              <w:bottom w:val="single" w:sz="4" w:space="0" w:color="auto"/>
              <w:right w:val="single" w:sz="4" w:space="0" w:color="auto"/>
            </w:tcBorders>
          </w:tcPr>
          <w:p w14:paraId="4DFB9964" w14:textId="77777777" w:rsidR="007049A5" w:rsidRPr="004E4188" w:rsidRDefault="007049A5" w:rsidP="00336B6F">
            <w:pPr>
              <w:pStyle w:val="af7"/>
              <w:jc w:val="center"/>
              <w:rPr>
                <w:lang w:val="fr-FR"/>
              </w:rPr>
            </w:pPr>
          </w:p>
        </w:tc>
        <w:tc>
          <w:tcPr>
            <w:tcW w:w="4081" w:type="dxa"/>
            <w:tcBorders>
              <w:top w:val="single" w:sz="4" w:space="0" w:color="auto"/>
              <w:left w:val="single" w:sz="4" w:space="0" w:color="auto"/>
              <w:bottom w:val="single" w:sz="4" w:space="0" w:color="auto"/>
              <w:right w:val="single" w:sz="4" w:space="0" w:color="auto"/>
            </w:tcBorders>
          </w:tcPr>
          <w:p w14:paraId="48387043" w14:textId="77777777" w:rsidR="007049A5" w:rsidRPr="004E4188" w:rsidRDefault="007049A5" w:rsidP="007F3621">
            <w:pPr>
              <w:pStyle w:val="af7"/>
              <w:rPr>
                <w:lang w:val="fr-FR"/>
              </w:rPr>
            </w:pPr>
          </w:p>
        </w:tc>
        <w:tc>
          <w:tcPr>
            <w:tcW w:w="4335" w:type="dxa"/>
            <w:tcBorders>
              <w:top w:val="single" w:sz="4" w:space="0" w:color="auto"/>
              <w:left w:val="single" w:sz="4" w:space="0" w:color="auto"/>
              <w:bottom w:val="single" w:sz="4" w:space="0" w:color="auto"/>
              <w:right w:val="single" w:sz="4" w:space="0" w:color="auto"/>
            </w:tcBorders>
          </w:tcPr>
          <w:p w14:paraId="38379980" w14:textId="77777777" w:rsidR="007049A5" w:rsidRPr="004E4188" w:rsidRDefault="007049A5" w:rsidP="007F3621">
            <w:pPr>
              <w:pStyle w:val="af7"/>
              <w:rPr>
                <w:lang w:val="fr-FR"/>
              </w:rPr>
            </w:pPr>
          </w:p>
        </w:tc>
      </w:tr>
    </w:tbl>
    <w:p w14:paraId="0BB7393B" w14:textId="77777777" w:rsidR="007049A5" w:rsidRPr="004E4188" w:rsidRDefault="007049A5" w:rsidP="00AC52FB"/>
    <w:p w14:paraId="0F1B4EE6" w14:textId="77777777" w:rsidR="007049A5" w:rsidRPr="004E4188" w:rsidRDefault="007049A5" w:rsidP="006C6267">
      <w:pPr>
        <w:spacing w:after="120" w:line="264" w:lineRule="exact"/>
        <w:ind w:left="357" w:hanging="357"/>
        <w:rPr>
          <w:u w:val="single"/>
          <w:lang w:eastAsia="ja-JP"/>
        </w:rPr>
      </w:pPr>
      <w:r w:rsidRPr="004E4188">
        <w:rPr>
          <w:u w:val="single"/>
          <w:lang w:eastAsia="ja-JP"/>
        </w:rPr>
        <w:t>Notes à l’intention des Soumissionnaires</w:t>
      </w:r>
    </w:p>
    <w:p w14:paraId="25AE8574" w14:textId="1E68B5D8" w:rsidR="007049A5" w:rsidRPr="004E4188" w:rsidRDefault="007049A5" w:rsidP="003D46CF">
      <w:pPr>
        <w:widowControl w:val="0"/>
        <w:numPr>
          <w:ilvl w:val="1"/>
          <w:numId w:val="77"/>
        </w:numPr>
        <w:spacing w:after="120" w:line="264" w:lineRule="exact"/>
        <w:ind w:left="360"/>
        <w:rPr>
          <w:szCs w:val="24"/>
          <w:lang w:eastAsia="ja-JP"/>
        </w:rPr>
      </w:pPr>
      <w:r w:rsidRPr="004E4188">
        <w:rPr>
          <w:szCs w:val="24"/>
          <w:lang w:eastAsia="ja-JP"/>
        </w:rPr>
        <w:t xml:space="preserve">Les sources de financement pourront comprendre les fonds de roulement (à prendre dans le </w:t>
      </w:r>
      <w:r w:rsidR="000B1680" w:rsidRPr="004E4188">
        <w:rPr>
          <w:szCs w:val="24"/>
          <w:lang w:eastAsia="ja-JP"/>
        </w:rPr>
        <w:t>f</w:t>
      </w:r>
      <w:r w:rsidRPr="004E4188">
        <w:rPr>
          <w:szCs w:val="24"/>
          <w:lang w:eastAsia="ja-JP"/>
        </w:rPr>
        <w:t>ormulaire FIN-1), les lignes de crédit (justifiées par une lettre de la banque émettant la ligne de crédit), etc.</w:t>
      </w:r>
    </w:p>
    <w:p w14:paraId="334279F3" w14:textId="77777777" w:rsidR="007049A5" w:rsidRPr="004E4188" w:rsidRDefault="007049A5" w:rsidP="00AC52FB"/>
    <w:p w14:paraId="184D2BB5" w14:textId="77777777" w:rsidR="007049A5" w:rsidRPr="004E4188" w:rsidRDefault="007049A5" w:rsidP="00AC52FB"/>
    <w:p w14:paraId="63927CB8" w14:textId="77777777" w:rsidR="007049A5" w:rsidRPr="004E4188" w:rsidRDefault="007049A5" w:rsidP="00AC52FB"/>
    <w:p w14:paraId="05C78101" w14:textId="77777777" w:rsidR="007049A5" w:rsidRPr="004E4188" w:rsidRDefault="007049A5" w:rsidP="00AC52FB">
      <w:pPr>
        <w:spacing w:after="120"/>
        <w:jc w:val="center"/>
        <w:rPr>
          <w:b/>
          <w:sz w:val="28"/>
        </w:rPr>
      </w:pPr>
    </w:p>
    <w:p w14:paraId="51ACB4E4" w14:textId="77777777" w:rsidR="007049A5" w:rsidRPr="004E4188" w:rsidRDefault="007049A5" w:rsidP="006C6267">
      <w:pPr>
        <w:pStyle w:val="SectionIVHeading2"/>
        <w:outlineLvl w:val="2"/>
        <w:rPr>
          <w:sz w:val="32"/>
          <w:szCs w:val="32"/>
          <w:lang w:val="fr-FR"/>
        </w:rPr>
      </w:pPr>
      <w:r w:rsidRPr="004E4188">
        <w:rPr>
          <w:lang w:val="fr-FR"/>
        </w:rPr>
        <w:br w:type="page"/>
      </w:r>
      <w:bookmarkStart w:id="650" w:name="_Toc349117757"/>
      <w:bookmarkStart w:id="651" w:name="_Toc357513238"/>
      <w:bookmarkStart w:id="652" w:name="_Toc112429332"/>
      <w:r w:rsidRPr="004E4188">
        <w:rPr>
          <w:sz w:val="32"/>
          <w:szCs w:val="32"/>
          <w:lang w:val="fr-FR"/>
        </w:rPr>
        <w:t>Formulaire FIN-4</w:t>
      </w:r>
      <w:r w:rsidRPr="004E4188">
        <w:rPr>
          <w:sz w:val="32"/>
          <w:szCs w:val="32"/>
          <w:lang w:val="fr-FR"/>
        </w:rPr>
        <w:br/>
        <w:t>Engagements actuels</w:t>
      </w:r>
      <w:bookmarkEnd w:id="650"/>
      <w:bookmarkEnd w:id="651"/>
      <w:bookmarkEnd w:id="652"/>
    </w:p>
    <w:p w14:paraId="69A46B23" w14:textId="77777777" w:rsidR="007049A5" w:rsidRPr="004E4188" w:rsidRDefault="007049A5" w:rsidP="00432B0A">
      <w:pPr>
        <w:spacing w:afterLines="100" w:after="240"/>
      </w:pPr>
      <w:r w:rsidRPr="004E4188">
        <w:t>[</w:t>
      </w:r>
      <w:r w:rsidRPr="004E4188">
        <w:rPr>
          <w:i/>
        </w:rPr>
        <w:t>Le tableau ci-dessous doit être rempli pour le Soumissionnaire et pour chaque membre du Groupement si le Soumissionnaire est un Groupement.</w:t>
      </w:r>
      <w:r w:rsidRPr="004E4188">
        <w:t>]</w:t>
      </w:r>
    </w:p>
    <w:p w14:paraId="63AF1586" w14:textId="5D979473" w:rsidR="007049A5" w:rsidRPr="004E4188" w:rsidRDefault="007049A5" w:rsidP="003349F2">
      <w:pPr>
        <w:wordWrap w:val="0"/>
        <w:jc w:val="right"/>
      </w:pPr>
      <w:r w:rsidRPr="004E4188">
        <w:t>Date : [</w:t>
      </w:r>
      <w:r w:rsidRPr="004E4188">
        <w:rPr>
          <w:i/>
        </w:rPr>
        <w:t>indiquer jour, mois, année</w:t>
      </w:r>
      <w:r w:rsidRPr="004E4188">
        <w:t>]</w:t>
      </w:r>
    </w:p>
    <w:p w14:paraId="4ED9A087" w14:textId="77777777" w:rsidR="007049A5" w:rsidRPr="004E4188" w:rsidRDefault="007049A5" w:rsidP="00DB499C">
      <w:pPr>
        <w:jc w:val="right"/>
      </w:pPr>
      <w:r w:rsidRPr="004E4188">
        <w:t>Nom légal du Soumissionnaire : [</w:t>
      </w:r>
      <w:r w:rsidRPr="004E4188">
        <w:rPr>
          <w:i/>
        </w:rPr>
        <w:t>indiquer le nom complet</w:t>
      </w:r>
      <w:r w:rsidRPr="004E4188">
        <w:t>]</w:t>
      </w:r>
    </w:p>
    <w:p w14:paraId="0DF035A2" w14:textId="1B26F27F" w:rsidR="007049A5" w:rsidRPr="004E4188" w:rsidRDefault="007049A5" w:rsidP="00DB499C">
      <w:pPr>
        <w:jc w:val="right"/>
      </w:pPr>
      <w:r w:rsidRPr="004E4188">
        <w:t>Nom légal du membre du Groupement : [</w:t>
      </w:r>
      <w:r w:rsidRPr="004E4188">
        <w:rPr>
          <w:i/>
        </w:rPr>
        <w:t>indiquer le nom complet</w:t>
      </w:r>
      <w:r w:rsidRPr="004E4188">
        <w:t>]</w:t>
      </w:r>
    </w:p>
    <w:p w14:paraId="5346527B" w14:textId="77777777" w:rsidR="007049A5" w:rsidRPr="004E4188" w:rsidRDefault="007049A5" w:rsidP="00DB499C">
      <w:pPr>
        <w:tabs>
          <w:tab w:val="right" w:pos="9356"/>
        </w:tabs>
        <w:jc w:val="right"/>
        <w:rPr>
          <w:i/>
          <w:iCs/>
        </w:rPr>
      </w:pPr>
      <w:r w:rsidRPr="004E4188">
        <w:t>AAO n</w:t>
      </w:r>
      <w:r w:rsidRPr="004E4188">
        <w:rPr>
          <w:vertAlign w:val="superscript"/>
        </w:rPr>
        <w:t>o</w:t>
      </w:r>
      <w:r w:rsidRPr="004E4188">
        <w:t xml:space="preserve"> : </w:t>
      </w:r>
      <w:r w:rsidRPr="004E4188">
        <w:rPr>
          <w:iCs/>
        </w:rPr>
        <w:t>[</w:t>
      </w:r>
      <w:r w:rsidRPr="004E4188">
        <w:rPr>
          <w:i/>
          <w:iCs/>
        </w:rPr>
        <w:t>indiquer le numéro</w:t>
      </w:r>
      <w:r w:rsidRPr="004E4188">
        <w:rPr>
          <w:iCs/>
        </w:rPr>
        <w:t>]</w:t>
      </w:r>
    </w:p>
    <w:p w14:paraId="4BD70F3A" w14:textId="4424EF01" w:rsidR="007049A5" w:rsidRPr="004E4188" w:rsidRDefault="007049A5" w:rsidP="00BE6B88">
      <w:pPr>
        <w:tabs>
          <w:tab w:val="right" w:pos="9356"/>
        </w:tabs>
        <w:wordWrap w:val="0"/>
        <w:spacing w:afterLines="100" w:after="240"/>
        <w:jc w:val="right"/>
        <w:rPr>
          <w:iCs/>
          <w:spacing w:val="-4"/>
        </w:rPr>
      </w:pPr>
      <w:r w:rsidRPr="004E4188">
        <w:rPr>
          <w:iCs/>
          <w:spacing w:val="-4"/>
        </w:rPr>
        <w:t>Page</w:t>
      </w:r>
      <w:r w:rsidR="0007568F" w:rsidRPr="004E4188">
        <w:rPr>
          <w:iCs/>
          <w:spacing w:val="-4"/>
        </w:rPr>
        <w:t> </w:t>
      </w:r>
      <w:r w:rsidRPr="004E4188">
        <w:rPr>
          <w:spacing w:val="-4"/>
        </w:rPr>
        <w:t xml:space="preserve">: </w:t>
      </w:r>
      <w:r w:rsidRPr="004E4188">
        <w:rPr>
          <w:iCs/>
          <w:spacing w:val="-4"/>
        </w:rPr>
        <w:t>[</w:t>
      </w:r>
      <w:r w:rsidRPr="004E4188">
        <w:rPr>
          <w:i/>
          <w:iCs/>
          <w:spacing w:val="-4"/>
        </w:rPr>
        <w:t>insérer le numéro de la page</w:t>
      </w:r>
      <w:r w:rsidRPr="004E4188">
        <w:rPr>
          <w:iCs/>
          <w:spacing w:val="-4"/>
        </w:rPr>
        <w:t>] de [</w:t>
      </w:r>
      <w:r w:rsidRPr="004E4188">
        <w:rPr>
          <w:i/>
          <w:iCs/>
          <w:spacing w:val="-4"/>
        </w:rPr>
        <w:t>insérer le nombre total de</w:t>
      </w:r>
      <w:r w:rsidRPr="004E4188">
        <w:rPr>
          <w:iCs/>
          <w:spacing w:val="-4"/>
        </w:rPr>
        <w:t>] pages</w:t>
      </w:r>
    </w:p>
    <w:p w14:paraId="146FF60B" w14:textId="1C394EFA" w:rsidR="007049A5" w:rsidRPr="004E4188" w:rsidRDefault="007049A5" w:rsidP="00706F6D">
      <w:pPr>
        <w:suppressAutoHyphens w:val="0"/>
        <w:overflowPunct/>
        <w:autoSpaceDE/>
        <w:autoSpaceDN/>
        <w:adjustRightInd/>
        <w:textAlignment w:val="auto"/>
      </w:pPr>
      <w:r w:rsidRPr="004E4188">
        <w:t>[</w:t>
      </w:r>
      <w:r w:rsidRPr="004E4188">
        <w:rPr>
          <w:i/>
        </w:rPr>
        <w:t>Les Soumissionnaires, ainsi que chaque membre d’un Groupement</w:t>
      </w:r>
      <w:r w:rsidRPr="004E4188">
        <w:t xml:space="preserve"> </w:t>
      </w:r>
      <w:r w:rsidRPr="004E4188">
        <w:rPr>
          <w:i/>
        </w:rPr>
        <w:t>fourniront des renseignements sur leurs engagements actuels en matière de marchés déjà attribués ou pour lesquels ils ont reçu une lettre d’intention ou d’acceptation, ou encore ceux qui sont pratiquement achevés mais dont le certificat de réception ou le certificat d’achèvement des Travaux</w:t>
      </w:r>
      <w:r w:rsidRPr="004E4188">
        <w:rPr>
          <w:rFonts w:hint="eastAsia"/>
          <w:i/>
          <w:lang w:eastAsia="ja-JP"/>
        </w:rPr>
        <w:t xml:space="preserve"> </w:t>
      </w:r>
      <w:r w:rsidRPr="004E4188">
        <w:rPr>
          <w:i/>
        </w:rPr>
        <w:t>n’ont pas encore été délivrés, conformément</w:t>
      </w:r>
      <w:r w:rsidRPr="004E4188">
        <w:t xml:space="preserve"> </w:t>
      </w:r>
      <w:r w:rsidRPr="004E4188">
        <w:rPr>
          <w:i/>
        </w:rPr>
        <w:t>aux critères de préqualification</w:t>
      </w:r>
      <w:r w:rsidRPr="004E4188">
        <w:rPr>
          <w:i/>
          <w:szCs w:val="24"/>
        </w:rPr>
        <w:t xml:space="preserve"> ou au Critère 2.3.3 de la Section III, Critères d’évaluation et de qualification, selon le cas.</w:t>
      </w:r>
      <w:r w:rsidRPr="004E4188">
        <w:t>]</w:t>
      </w:r>
    </w:p>
    <w:p w14:paraId="263ED2E6" w14:textId="77777777" w:rsidR="007049A5" w:rsidRPr="004E4188" w:rsidRDefault="007049A5" w:rsidP="00122D67">
      <w:pPr>
        <w:pStyle w:val="aa"/>
        <w:tabs>
          <w:tab w:val="left" w:pos="2610"/>
        </w:tabs>
        <w:rPr>
          <w:lang w:eastAsia="ja-JP"/>
        </w:rPr>
      </w:pPr>
    </w:p>
    <w:tbl>
      <w:tblPr>
        <w:tblpPr w:leftFromText="180" w:rightFromText="180" w:vertAnchor="text" w:tblpXSpec="center" w:tblpY="1"/>
        <w:tblOverlap w:val="never"/>
        <w:tblW w:w="9348" w:type="dxa"/>
        <w:tblLayout w:type="fixed"/>
        <w:tblCellMar>
          <w:left w:w="72" w:type="dxa"/>
          <w:right w:w="72" w:type="dxa"/>
        </w:tblCellMar>
        <w:tblLook w:val="0000" w:firstRow="0" w:lastRow="0" w:firstColumn="0" w:lastColumn="0" w:noHBand="0" w:noVBand="0"/>
      </w:tblPr>
      <w:tblGrid>
        <w:gridCol w:w="522"/>
        <w:gridCol w:w="1030"/>
        <w:gridCol w:w="1275"/>
        <w:gridCol w:w="1560"/>
        <w:gridCol w:w="1701"/>
        <w:gridCol w:w="1559"/>
        <w:gridCol w:w="1701"/>
      </w:tblGrid>
      <w:tr w:rsidR="007049A5" w:rsidRPr="004E4188" w14:paraId="137953DD" w14:textId="77777777" w:rsidTr="006C6267">
        <w:trPr>
          <w:cantSplit/>
        </w:trPr>
        <w:tc>
          <w:tcPr>
            <w:tcW w:w="9348" w:type="dxa"/>
            <w:gridSpan w:val="7"/>
            <w:tcBorders>
              <w:top w:val="single" w:sz="6" w:space="0" w:color="auto"/>
              <w:left w:val="single" w:sz="6" w:space="0" w:color="auto"/>
              <w:bottom w:val="double" w:sz="4" w:space="0" w:color="auto"/>
              <w:right w:val="single" w:sz="6" w:space="0" w:color="auto"/>
            </w:tcBorders>
            <w:shd w:val="clear" w:color="auto" w:fill="D9D9D9"/>
            <w:vAlign w:val="center"/>
          </w:tcPr>
          <w:p w14:paraId="532D7F4B" w14:textId="77777777" w:rsidR="007049A5" w:rsidRPr="004E4188" w:rsidRDefault="007049A5" w:rsidP="003948A6">
            <w:pPr>
              <w:overflowPunct/>
              <w:autoSpaceDE/>
              <w:autoSpaceDN/>
              <w:adjustRightInd/>
              <w:spacing w:beforeLines="50" w:before="120" w:afterLines="50" w:after="120"/>
              <w:jc w:val="center"/>
              <w:textAlignment w:val="auto"/>
              <w:rPr>
                <w:b/>
                <w:bCs/>
                <w:spacing w:val="-2"/>
                <w:sz w:val="20"/>
                <w:lang w:eastAsia="en-US"/>
              </w:rPr>
            </w:pPr>
            <w:r w:rsidRPr="004E4188">
              <w:rPr>
                <w:b/>
              </w:rPr>
              <w:t>Engagements actuels en matière de marchés</w:t>
            </w:r>
          </w:p>
        </w:tc>
      </w:tr>
      <w:tr w:rsidR="007049A5" w:rsidRPr="004E4188" w14:paraId="0EC5A6B7" w14:textId="77777777" w:rsidTr="008729D9">
        <w:trPr>
          <w:cantSplit/>
        </w:trPr>
        <w:tc>
          <w:tcPr>
            <w:tcW w:w="522" w:type="dxa"/>
            <w:tcBorders>
              <w:top w:val="double" w:sz="4" w:space="0" w:color="auto"/>
              <w:left w:val="single" w:sz="6" w:space="0" w:color="auto"/>
              <w:bottom w:val="single" w:sz="6" w:space="0" w:color="auto"/>
              <w:right w:val="single" w:sz="6" w:space="0" w:color="auto"/>
            </w:tcBorders>
            <w:vAlign w:val="center"/>
          </w:tcPr>
          <w:p w14:paraId="3093032D" w14:textId="77777777" w:rsidR="007049A5" w:rsidRPr="004E4188" w:rsidRDefault="007049A5" w:rsidP="003948A6">
            <w:pPr>
              <w:suppressAutoHyphens w:val="0"/>
              <w:overflowPunct/>
              <w:autoSpaceDE/>
              <w:autoSpaceDN/>
              <w:adjustRightInd/>
              <w:ind w:left="22"/>
              <w:textAlignment w:val="auto"/>
              <w:outlineLvl w:val="2"/>
              <w:rPr>
                <w:b/>
                <w:sz w:val="22"/>
                <w:szCs w:val="22"/>
                <w:lang w:eastAsia="en-US"/>
              </w:rPr>
            </w:pPr>
            <w:r w:rsidRPr="004E4188">
              <w:rPr>
                <w:b/>
                <w:sz w:val="22"/>
                <w:szCs w:val="22"/>
                <w:lang w:eastAsia="en-US"/>
              </w:rPr>
              <w:t>N°</w:t>
            </w:r>
          </w:p>
        </w:tc>
        <w:tc>
          <w:tcPr>
            <w:tcW w:w="1030" w:type="dxa"/>
            <w:tcBorders>
              <w:top w:val="double" w:sz="4" w:space="0" w:color="auto"/>
              <w:left w:val="single" w:sz="6" w:space="0" w:color="auto"/>
              <w:bottom w:val="single" w:sz="6" w:space="0" w:color="auto"/>
              <w:right w:val="single" w:sz="6" w:space="0" w:color="auto"/>
            </w:tcBorders>
            <w:vAlign w:val="center"/>
          </w:tcPr>
          <w:p w14:paraId="12EDB08A" w14:textId="77777777" w:rsidR="007049A5" w:rsidRPr="004E4188" w:rsidRDefault="007049A5" w:rsidP="003948A6">
            <w:pPr>
              <w:suppressAutoHyphens w:val="0"/>
              <w:overflowPunct/>
              <w:autoSpaceDE/>
              <w:autoSpaceDN/>
              <w:adjustRightInd/>
              <w:ind w:left="22"/>
              <w:jc w:val="center"/>
              <w:textAlignment w:val="auto"/>
              <w:outlineLvl w:val="2"/>
              <w:rPr>
                <w:b/>
                <w:sz w:val="22"/>
                <w:szCs w:val="22"/>
                <w:lang w:eastAsia="en-US"/>
              </w:rPr>
            </w:pPr>
            <w:r w:rsidRPr="004E4188">
              <w:rPr>
                <w:b/>
                <w:sz w:val="22"/>
                <w:szCs w:val="22"/>
                <w:lang w:eastAsia="en-US"/>
              </w:rPr>
              <w:t>Nom du marché</w:t>
            </w:r>
          </w:p>
        </w:tc>
        <w:tc>
          <w:tcPr>
            <w:tcW w:w="1275" w:type="dxa"/>
            <w:tcBorders>
              <w:top w:val="double" w:sz="4" w:space="0" w:color="auto"/>
              <w:bottom w:val="single" w:sz="6" w:space="0" w:color="auto"/>
            </w:tcBorders>
            <w:vAlign w:val="center"/>
          </w:tcPr>
          <w:p w14:paraId="439A53C8" w14:textId="77777777" w:rsidR="007049A5" w:rsidRPr="004E4188" w:rsidRDefault="007049A5" w:rsidP="003948A6">
            <w:pPr>
              <w:overflowPunct/>
              <w:autoSpaceDE/>
              <w:autoSpaceDN/>
              <w:adjustRightInd/>
              <w:ind w:left="55"/>
              <w:jc w:val="center"/>
              <w:textAlignment w:val="auto"/>
              <w:rPr>
                <w:b/>
                <w:sz w:val="22"/>
                <w:szCs w:val="22"/>
                <w:lang w:eastAsia="en-US"/>
              </w:rPr>
            </w:pPr>
            <w:r w:rsidRPr="004E4188">
              <w:rPr>
                <w:b/>
                <w:sz w:val="22"/>
                <w:szCs w:val="22"/>
                <w:lang w:eastAsia="en-US"/>
              </w:rPr>
              <w:t xml:space="preserve">Adresse </w:t>
            </w:r>
            <w:r w:rsidRPr="004E4188">
              <w:rPr>
                <w:b/>
                <w:sz w:val="22"/>
                <w:szCs w:val="22"/>
              </w:rPr>
              <w:t>postale</w:t>
            </w:r>
            <w:r w:rsidRPr="004E4188">
              <w:rPr>
                <w:b/>
                <w:sz w:val="22"/>
                <w:szCs w:val="22"/>
                <w:lang w:eastAsia="en-US"/>
              </w:rPr>
              <w:t>, tel., fax du Maître d’ouvrage</w:t>
            </w:r>
          </w:p>
        </w:tc>
        <w:tc>
          <w:tcPr>
            <w:tcW w:w="1560" w:type="dxa"/>
            <w:tcBorders>
              <w:top w:val="double" w:sz="4" w:space="0" w:color="auto"/>
              <w:left w:val="single" w:sz="6" w:space="0" w:color="auto"/>
              <w:bottom w:val="single" w:sz="6" w:space="0" w:color="auto"/>
            </w:tcBorders>
            <w:vAlign w:val="center"/>
          </w:tcPr>
          <w:p w14:paraId="128CFB99" w14:textId="77777777" w:rsidR="007049A5" w:rsidRPr="004E4188" w:rsidRDefault="007049A5" w:rsidP="003948A6">
            <w:pPr>
              <w:overflowPunct/>
              <w:autoSpaceDE/>
              <w:autoSpaceDN/>
              <w:adjustRightInd/>
              <w:jc w:val="center"/>
              <w:textAlignment w:val="auto"/>
              <w:rPr>
                <w:b/>
                <w:bCs/>
                <w:spacing w:val="-2"/>
                <w:sz w:val="22"/>
                <w:szCs w:val="22"/>
                <w:lang w:eastAsia="en-US"/>
              </w:rPr>
            </w:pPr>
            <w:r w:rsidRPr="004E4188">
              <w:rPr>
                <w:b/>
                <w:bCs/>
                <w:spacing w:val="-2"/>
                <w:sz w:val="22"/>
                <w:szCs w:val="22"/>
                <w:lang w:eastAsia="en-US"/>
              </w:rPr>
              <w:t>Montant des travaux à achever [équivalent actuel $US]</w:t>
            </w:r>
          </w:p>
        </w:tc>
        <w:tc>
          <w:tcPr>
            <w:tcW w:w="1701" w:type="dxa"/>
            <w:tcBorders>
              <w:top w:val="double" w:sz="4" w:space="0" w:color="auto"/>
              <w:left w:val="single" w:sz="6" w:space="0" w:color="auto"/>
              <w:bottom w:val="single" w:sz="6" w:space="0" w:color="auto"/>
              <w:right w:val="single" w:sz="6" w:space="0" w:color="auto"/>
            </w:tcBorders>
            <w:vAlign w:val="center"/>
          </w:tcPr>
          <w:p w14:paraId="459CCB30" w14:textId="77777777" w:rsidR="007049A5" w:rsidRPr="004E4188" w:rsidRDefault="007049A5" w:rsidP="006C6267">
            <w:pPr>
              <w:suppressAutoHyphens w:val="0"/>
              <w:overflowPunct/>
              <w:autoSpaceDE/>
              <w:autoSpaceDN/>
              <w:adjustRightInd/>
              <w:ind w:left="22"/>
              <w:jc w:val="center"/>
              <w:textAlignment w:val="auto"/>
              <w:outlineLvl w:val="2"/>
              <w:rPr>
                <w:b/>
                <w:bCs/>
                <w:spacing w:val="-2"/>
                <w:sz w:val="22"/>
                <w:szCs w:val="22"/>
                <w:lang w:eastAsia="en-US"/>
              </w:rPr>
            </w:pPr>
            <w:r w:rsidRPr="004E4188">
              <w:rPr>
                <w:b/>
                <w:bCs/>
                <w:spacing w:val="-2"/>
                <w:sz w:val="22"/>
                <w:szCs w:val="22"/>
              </w:rPr>
              <w:t xml:space="preserve">Date de </w:t>
            </w:r>
            <w:r w:rsidRPr="004E4188">
              <w:rPr>
                <w:b/>
                <w:sz w:val="22"/>
                <w:szCs w:val="22"/>
                <w:lang w:eastAsia="en-US"/>
              </w:rPr>
              <w:t>Commencement</w:t>
            </w:r>
          </w:p>
        </w:tc>
        <w:tc>
          <w:tcPr>
            <w:tcW w:w="1559" w:type="dxa"/>
            <w:tcBorders>
              <w:top w:val="double" w:sz="4" w:space="0" w:color="auto"/>
              <w:left w:val="single" w:sz="6" w:space="0" w:color="auto"/>
              <w:bottom w:val="single" w:sz="6" w:space="0" w:color="auto"/>
            </w:tcBorders>
            <w:vAlign w:val="center"/>
          </w:tcPr>
          <w:p w14:paraId="2B2BC987" w14:textId="77777777" w:rsidR="007049A5" w:rsidRPr="004E4188" w:rsidRDefault="007049A5" w:rsidP="003948A6">
            <w:pPr>
              <w:overflowPunct/>
              <w:autoSpaceDE/>
              <w:autoSpaceDN/>
              <w:adjustRightInd/>
              <w:jc w:val="center"/>
              <w:textAlignment w:val="auto"/>
              <w:rPr>
                <w:b/>
                <w:bCs/>
                <w:spacing w:val="-2"/>
                <w:sz w:val="22"/>
                <w:szCs w:val="22"/>
                <w:lang w:eastAsia="en-US"/>
              </w:rPr>
            </w:pPr>
            <w:r w:rsidRPr="004E4188">
              <w:rPr>
                <w:b/>
                <w:bCs/>
                <w:spacing w:val="-2"/>
                <w:sz w:val="22"/>
                <w:szCs w:val="22"/>
                <w:lang w:eastAsia="en-US"/>
              </w:rPr>
              <w:t>Date d’achèvement prévue</w:t>
            </w:r>
          </w:p>
        </w:tc>
        <w:tc>
          <w:tcPr>
            <w:tcW w:w="1701" w:type="dxa"/>
            <w:tcBorders>
              <w:top w:val="double" w:sz="4" w:space="0" w:color="auto"/>
              <w:left w:val="single" w:sz="6" w:space="0" w:color="auto"/>
              <w:bottom w:val="single" w:sz="6" w:space="0" w:color="auto"/>
              <w:right w:val="single" w:sz="6" w:space="0" w:color="auto"/>
            </w:tcBorders>
            <w:vAlign w:val="center"/>
          </w:tcPr>
          <w:p w14:paraId="49DF18C2" w14:textId="4880DD27" w:rsidR="007049A5" w:rsidRPr="004E4188" w:rsidRDefault="007049A5" w:rsidP="003948A6">
            <w:pPr>
              <w:overflowPunct/>
              <w:autoSpaceDE/>
              <w:autoSpaceDN/>
              <w:adjustRightInd/>
              <w:jc w:val="center"/>
              <w:textAlignment w:val="auto"/>
              <w:rPr>
                <w:b/>
                <w:bCs/>
                <w:spacing w:val="-2"/>
                <w:sz w:val="22"/>
                <w:szCs w:val="22"/>
                <w:lang w:eastAsia="en-US"/>
              </w:rPr>
            </w:pPr>
            <w:r w:rsidRPr="004E4188">
              <w:rPr>
                <w:b/>
                <w:bCs/>
                <w:spacing w:val="-2"/>
                <w:sz w:val="22"/>
                <w:szCs w:val="22"/>
                <w:lang w:eastAsia="en-US"/>
              </w:rPr>
              <w:t>Montant moyen mensuel facturé au cours des 6 derniers mois [$US/mois]</w:t>
            </w:r>
          </w:p>
        </w:tc>
      </w:tr>
      <w:tr w:rsidR="007049A5" w:rsidRPr="004E4188" w14:paraId="75C40CD7" w14:textId="77777777" w:rsidTr="008729D9">
        <w:trPr>
          <w:cantSplit/>
        </w:trPr>
        <w:tc>
          <w:tcPr>
            <w:tcW w:w="522" w:type="dxa"/>
            <w:tcBorders>
              <w:top w:val="single" w:sz="6" w:space="0" w:color="auto"/>
              <w:left w:val="single" w:sz="6" w:space="0" w:color="auto"/>
              <w:bottom w:val="single" w:sz="6" w:space="0" w:color="auto"/>
              <w:right w:val="single" w:sz="6" w:space="0" w:color="auto"/>
            </w:tcBorders>
          </w:tcPr>
          <w:p w14:paraId="4F9984F5" w14:textId="77777777" w:rsidR="007049A5" w:rsidRPr="004E4188" w:rsidRDefault="007049A5" w:rsidP="00725A05">
            <w:pPr>
              <w:overflowPunct/>
              <w:autoSpaceDE/>
              <w:autoSpaceDN/>
              <w:adjustRightInd/>
              <w:spacing w:before="120" w:after="120"/>
              <w:jc w:val="center"/>
              <w:textAlignment w:val="auto"/>
              <w:rPr>
                <w:spacing w:val="-2"/>
                <w:sz w:val="20"/>
                <w:lang w:eastAsia="en-US"/>
              </w:rPr>
            </w:pPr>
            <w:r w:rsidRPr="004E4188">
              <w:rPr>
                <w:spacing w:val="-2"/>
                <w:sz w:val="20"/>
                <w:lang w:eastAsia="en-US"/>
              </w:rPr>
              <w:t>1</w:t>
            </w:r>
          </w:p>
        </w:tc>
        <w:tc>
          <w:tcPr>
            <w:tcW w:w="1030" w:type="dxa"/>
            <w:tcBorders>
              <w:top w:val="single" w:sz="6" w:space="0" w:color="auto"/>
              <w:left w:val="single" w:sz="6" w:space="0" w:color="auto"/>
              <w:bottom w:val="single" w:sz="6" w:space="0" w:color="auto"/>
              <w:right w:val="single" w:sz="6" w:space="0" w:color="auto"/>
            </w:tcBorders>
            <w:vAlign w:val="center"/>
          </w:tcPr>
          <w:p w14:paraId="4F8E99F9"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275" w:type="dxa"/>
            <w:tcBorders>
              <w:top w:val="single" w:sz="6" w:space="0" w:color="auto"/>
              <w:bottom w:val="single" w:sz="6" w:space="0" w:color="auto"/>
            </w:tcBorders>
          </w:tcPr>
          <w:p w14:paraId="2CB5BFAC"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bottom w:val="single" w:sz="6" w:space="0" w:color="auto"/>
            </w:tcBorders>
          </w:tcPr>
          <w:p w14:paraId="5386F7A2"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bottom w:val="single" w:sz="6" w:space="0" w:color="auto"/>
              <w:right w:val="single" w:sz="6" w:space="0" w:color="auto"/>
            </w:tcBorders>
          </w:tcPr>
          <w:p w14:paraId="7BD6ECFF"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559" w:type="dxa"/>
            <w:tcBorders>
              <w:top w:val="single" w:sz="6" w:space="0" w:color="auto"/>
              <w:left w:val="single" w:sz="6" w:space="0" w:color="auto"/>
              <w:bottom w:val="single" w:sz="6" w:space="0" w:color="auto"/>
            </w:tcBorders>
          </w:tcPr>
          <w:p w14:paraId="7F4EE918"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bottom w:val="single" w:sz="6" w:space="0" w:color="auto"/>
              <w:right w:val="single" w:sz="6" w:space="0" w:color="auto"/>
            </w:tcBorders>
          </w:tcPr>
          <w:p w14:paraId="115144AB" w14:textId="77777777" w:rsidR="007049A5" w:rsidRPr="004E4188" w:rsidRDefault="007049A5" w:rsidP="003948A6">
            <w:pPr>
              <w:overflowPunct/>
              <w:autoSpaceDE/>
              <w:autoSpaceDN/>
              <w:adjustRightInd/>
              <w:spacing w:before="120" w:after="120"/>
              <w:textAlignment w:val="auto"/>
              <w:rPr>
                <w:spacing w:val="-2"/>
                <w:sz w:val="20"/>
                <w:lang w:eastAsia="en-US"/>
              </w:rPr>
            </w:pPr>
          </w:p>
        </w:tc>
      </w:tr>
      <w:tr w:rsidR="007049A5" w:rsidRPr="004E4188" w14:paraId="01BABC7B" w14:textId="77777777" w:rsidTr="008729D9">
        <w:trPr>
          <w:cantSplit/>
        </w:trPr>
        <w:tc>
          <w:tcPr>
            <w:tcW w:w="522" w:type="dxa"/>
            <w:tcBorders>
              <w:top w:val="single" w:sz="6" w:space="0" w:color="auto"/>
              <w:left w:val="single" w:sz="6" w:space="0" w:color="auto"/>
              <w:bottom w:val="single" w:sz="6" w:space="0" w:color="auto"/>
              <w:right w:val="single" w:sz="6" w:space="0" w:color="auto"/>
            </w:tcBorders>
          </w:tcPr>
          <w:p w14:paraId="7D2D8133" w14:textId="77777777" w:rsidR="007049A5" w:rsidRPr="004E4188" w:rsidRDefault="007049A5" w:rsidP="00725A05">
            <w:pPr>
              <w:overflowPunct/>
              <w:autoSpaceDE/>
              <w:autoSpaceDN/>
              <w:adjustRightInd/>
              <w:spacing w:before="120" w:after="120"/>
              <w:jc w:val="center"/>
              <w:textAlignment w:val="auto"/>
              <w:rPr>
                <w:spacing w:val="-2"/>
                <w:sz w:val="20"/>
                <w:lang w:eastAsia="en-US"/>
              </w:rPr>
            </w:pPr>
            <w:r w:rsidRPr="004E4188">
              <w:rPr>
                <w:spacing w:val="-2"/>
                <w:sz w:val="20"/>
                <w:lang w:eastAsia="en-US"/>
              </w:rPr>
              <w:t>2</w:t>
            </w:r>
          </w:p>
        </w:tc>
        <w:tc>
          <w:tcPr>
            <w:tcW w:w="1030" w:type="dxa"/>
            <w:tcBorders>
              <w:top w:val="single" w:sz="6" w:space="0" w:color="auto"/>
              <w:left w:val="single" w:sz="6" w:space="0" w:color="auto"/>
              <w:bottom w:val="single" w:sz="6" w:space="0" w:color="auto"/>
              <w:right w:val="single" w:sz="6" w:space="0" w:color="auto"/>
            </w:tcBorders>
            <w:vAlign w:val="center"/>
          </w:tcPr>
          <w:p w14:paraId="55C26D59"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275" w:type="dxa"/>
            <w:tcBorders>
              <w:top w:val="single" w:sz="6" w:space="0" w:color="auto"/>
            </w:tcBorders>
          </w:tcPr>
          <w:p w14:paraId="1EE9D7DC"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0C0AD550"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right w:val="single" w:sz="6" w:space="0" w:color="auto"/>
            </w:tcBorders>
          </w:tcPr>
          <w:p w14:paraId="16A60EFE"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559" w:type="dxa"/>
            <w:tcBorders>
              <w:top w:val="single" w:sz="6" w:space="0" w:color="auto"/>
              <w:left w:val="single" w:sz="6" w:space="0" w:color="auto"/>
            </w:tcBorders>
          </w:tcPr>
          <w:p w14:paraId="7B99F133"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bottom w:val="single" w:sz="6" w:space="0" w:color="auto"/>
              <w:right w:val="single" w:sz="6" w:space="0" w:color="auto"/>
            </w:tcBorders>
          </w:tcPr>
          <w:p w14:paraId="5BC723F1" w14:textId="77777777" w:rsidR="007049A5" w:rsidRPr="004E4188" w:rsidRDefault="007049A5" w:rsidP="003948A6">
            <w:pPr>
              <w:overflowPunct/>
              <w:autoSpaceDE/>
              <w:autoSpaceDN/>
              <w:adjustRightInd/>
              <w:spacing w:before="120" w:after="120"/>
              <w:textAlignment w:val="auto"/>
              <w:rPr>
                <w:spacing w:val="-2"/>
                <w:sz w:val="20"/>
                <w:lang w:eastAsia="en-US"/>
              </w:rPr>
            </w:pPr>
          </w:p>
        </w:tc>
      </w:tr>
      <w:tr w:rsidR="007049A5" w:rsidRPr="004E4188" w14:paraId="7B35CF95" w14:textId="77777777" w:rsidTr="008729D9">
        <w:trPr>
          <w:cantSplit/>
        </w:trPr>
        <w:tc>
          <w:tcPr>
            <w:tcW w:w="522" w:type="dxa"/>
            <w:tcBorders>
              <w:top w:val="single" w:sz="6" w:space="0" w:color="auto"/>
              <w:left w:val="single" w:sz="6" w:space="0" w:color="auto"/>
              <w:bottom w:val="single" w:sz="6" w:space="0" w:color="auto"/>
              <w:right w:val="single" w:sz="6" w:space="0" w:color="auto"/>
            </w:tcBorders>
          </w:tcPr>
          <w:p w14:paraId="73DD6BAF" w14:textId="77777777" w:rsidR="007049A5" w:rsidRPr="004E4188" w:rsidRDefault="007049A5" w:rsidP="00725A05">
            <w:pPr>
              <w:overflowPunct/>
              <w:autoSpaceDE/>
              <w:autoSpaceDN/>
              <w:adjustRightInd/>
              <w:spacing w:before="120" w:after="120"/>
              <w:jc w:val="center"/>
              <w:textAlignment w:val="auto"/>
              <w:rPr>
                <w:spacing w:val="-2"/>
                <w:sz w:val="20"/>
                <w:lang w:eastAsia="en-US"/>
              </w:rPr>
            </w:pPr>
            <w:r w:rsidRPr="004E4188">
              <w:rPr>
                <w:spacing w:val="-2"/>
                <w:sz w:val="20"/>
                <w:lang w:eastAsia="en-US"/>
              </w:rPr>
              <w:t>3</w:t>
            </w:r>
          </w:p>
        </w:tc>
        <w:tc>
          <w:tcPr>
            <w:tcW w:w="1030" w:type="dxa"/>
            <w:tcBorders>
              <w:top w:val="single" w:sz="6" w:space="0" w:color="auto"/>
              <w:left w:val="single" w:sz="6" w:space="0" w:color="auto"/>
              <w:bottom w:val="single" w:sz="6" w:space="0" w:color="auto"/>
              <w:right w:val="single" w:sz="6" w:space="0" w:color="auto"/>
            </w:tcBorders>
            <w:vAlign w:val="center"/>
          </w:tcPr>
          <w:p w14:paraId="107910D7"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275" w:type="dxa"/>
            <w:tcBorders>
              <w:top w:val="single" w:sz="6" w:space="0" w:color="auto"/>
            </w:tcBorders>
          </w:tcPr>
          <w:p w14:paraId="0F87C0AE"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65F78C01"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right w:val="single" w:sz="6" w:space="0" w:color="auto"/>
            </w:tcBorders>
          </w:tcPr>
          <w:p w14:paraId="64C2F66D"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559" w:type="dxa"/>
            <w:tcBorders>
              <w:top w:val="single" w:sz="6" w:space="0" w:color="auto"/>
              <w:left w:val="single" w:sz="6" w:space="0" w:color="auto"/>
            </w:tcBorders>
          </w:tcPr>
          <w:p w14:paraId="26749B4D"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bottom w:val="single" w:sz="6" w:space="0" w:color="auto"/>
              <w:right w:val="single" w:sz="6" w:space="0" w:color="auto"/>
            </w:tcBorders>
          </w:tcPr>
          <w:p w14:paraId="62769B6F" w14:textId="77777777" w:rsidR="007049A5" w:rsidRPr="004E4188" w:rsidRDefault="007049A5" w:rsidP="003948A6">
            <w:pPr>
              <w:overflowPunct/>
              <w:autoSpaceDE/>
              <w:autoSpaceDN/>
              <w:adjustRightInd/>
              <w:spacing w:before="120" w:after="120"/>
              <w:textAlignment w:val="auto"/>
              <w:rPr>
                <w:spacing w:val="-2"/>
                <w:sz w:val="20"/>
                <w:lang w:eastAsia="en-US"/>
              </w:rPr>
            </w:pPr>
          </w:p>
        </w:tc>
      </w:tr>
      <w:tr w:rsidR="007049A5" w:rsidRPr="004E4188" w14:paraId="21AF0045" w14:textId="77777777" w:rsidTr="008729D9">
        <w:trPr>
          <w:cantSplit/>
        </w:trPr>
        <w:tc>
          <w:tcPr>
            <w:tcW w:w="522" w:type="dxa"/>
            <w:tcBorders>
              <w:top w:val="single" w:sz="6" w:space="0" w:color="auto"/>
              <w:left w:val="single" w:sz="6" w:space="0" w:color="auto"/>
              <w:bottom w:val="single" w:sz="6" w:space="0" w:color="auto"/>
              <w:right w:val="single" w:sz="6" w:space="0" w:color="auto"/>
            </w:tcBorders>
          </w:tcPr>
          <w:p w14:paraId="5A69744C" w14:textId="77777777" w:rsidR="007049A5" w:rsidRPr="004E4188" w:rsidRDefault="007049A5" w:rsidP="00725A05">
            <w:pPr>
              <w:overflowPunct/>
              <w:autoSpaceDE/>
              <w:autoSpaceDN/>
              <w:adjustRightInd/>
              <w:spacing w:before="120" w:after="120"/>
              <w:jc w:val="center"/>
              <w:textAlignment w:val="auto"/>
              <w:rPr>
                <w:spacing w:val="-2"/>
                <w:sz w:val="20"/>
                <w:lang w:eastAsia="en-US"/>
              </w:rPr>
            </w:pPr>
            <w:r w:rsidRPr="004E4188">
              <w:rPr>
                <w:spacing w:val="-2"/>
                <w:sz w:val="20"/>
                <w:lang w:eastAsia="en-US"/>
              </w:rPr>
              <w:t>4</w:t>
            </w:r>
          </w:p>
        </w:tc>
        <w:tc>
          <w:tcPr>
            <w:tcW w:w="1030" w:type="dxa"/>
            <w:tcBorders>
              <w:top w:val="single" w:sz="6" w:space="0" w:color="auto"/>
              <w:left w:val="single" w:sz="6" w:space="0" w:color="auto"/>
              <w:bottom w:val="single" w:sz="6" w:space="0" w:color="auto"/>
              <w:right w:val="single" w:sz="6" w:space="0" w:color="auto"/>
            </w:tcBorders>
            <w:vAlign w:val="center"/>
          </w:tcPr>
          <w:p w14:paraId="1A9F7A7A"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275" w:type="dxa"/>
            <w:tcBorders>
              <w:top w:val="single" w:sz="6" w:space="0" w:color="auto"/>
            </w:tcBorders>
          </w:tcPr>
          <w:p w14:paraId="732A5F40"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3B951EA6"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right w:val="single" w:sz="6" w:space="0" w:color="auto"/>
            </w:tcBorders>
          </w:tcPr>
          <w:p w14:paraId="62C59EA5"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559" w:type="dxa"/>
            <w:tcBorders>
              <w:top w:val="single" w:sz="6" w:space="0" w:color="auto"/>
              <w:left w:val="single" w:sz="6" w:space="0" w:color="auto"/>
            </w:tcBorders>
          </w:tcPr>
          <w:p w14:paraId="5263FFB3"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bottom w:val="single" w:sz="6" w:space="0" w:color="auto"/>
              <w:right w:val="single" w:sz="6" w:space="0" w:color="auto"/>
            </w:tcBorders>
          </w:tcPr>
          <w:p w14:paraId="6155551C" w14:textId="77777777" w:rsidR="007049A5" w:rsidRPr="004E4188" w:rsidRDefault="007049A5" w:rsidP="003948A6">
            <w:pPr>
              <w:overflowPunct/>
              <w:autoSpaceDE/>
              <w:autoSpaceDN/>
              <w:adjustRightInd/>
              <w:spacing w:before="120" w:after="120"/>
              <w:textAlignment w:val="auto"/>
              <w:rPr>
                <w:spacing w:val="-2"/>
                <w:sz w:val="20"/>
                <w:lang w:eastAsia="en-US"/>
              </w:rPr>
            </w:pPr>
          </w:p>
        </w:tc>
      </w:tr>
      <w:tr w:rsidR="007049A5" w:rsidRPr="004E4188" w14:paraId="6D560D5A" w14:textId="77777777" w:rsidTr="008729D9">
        <w:trPr>
          <w:cantSplit/>
        </w:trPr>
        <w:tc>
          <w:tcPr>
            <w:tcW w:w="522" w:type="dxa"/>
            <w:tcBorders>
              <w:top w:val="single" w:sz="6" w:space="0" w:color="auto"/>
              <w:left w:val="single" w:sz="6" w:space="0" w:color="auto"/>
              <w:bottom w:val="single" w:sz="6" w:space="0" w:color="auto"/>
              <w:right w:val="single" w:sz="6" w:space="0" w:color="auto"/>
            </w:tcBorders>
          </w:tcPr>
          <w:p w14:paraId="51AA1C86" w14:textId="77777777" w:rsidR="007049A5" w:rsidRPr="004E4188" w:rsidRDefault="007049A5" w:rsidP="00725A05">
            <w:pPr>
              <w:overflowPunct/>
              <w:autoSpaceDE/>
              <w:autoSpaceDN/>
              <w:adjustRightInd/>
              <w:spacing w:before="120" w:after="120"/>
              <w:jc w:val="center"/>
              <w:textAlignment w:val="auto"/>
              <w:rPr>
                <w:spacing w:val="-2"/>
                <w:sz w:val="20"/>
                <w:lang w:eastAsia="en-US"/>
              </w:rPr>
            </w:pPr>
            <w:r w:rsidRPr="004E4188">
              <w:rPr>
                <w:spacing w:val="-2"/>
                <w:sz w:val="20"/>
                <w:lang w:eastAsia="en-US"/>
              </w:rPr>
              <w:t>5</w:t>
            </w:r>
          </w:p>
        </w:tc>
        <w:tc>
          <w:tcPr>
            <w:tcW w:w="1030" w:type="dxa"/>
            <w:tcBorders>
              <w:top w:val="single" w:sz="6" w:space="0" w:color="auto"/>
              <w:left w:val="single" w:sz="6" w:space="0" w:color="auto"/>
              <w:bottom w:val="single" w:sz="6" w:space="0" w:color="auto"/>
              <w:right w:val="single" w:sz="6" w:space="0" w:color="auto"/>
            </w:tcBorders>
            <w:vAlign w:val="center"/>
          </w:tcPr>
          <w:p w14:paraId="06152922"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275" w:type="dxa"/>
            <w:tcBorders>
              <w:top w:val="single" w:sz="6" w:space="0" w:color="auto"/>
            </w:tcBorders>
          </w:tcPr>
          <w:p w14:paraId="74D7B8C4"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tcBorders>
          </w:tcPr>
          <w:p w14:paraId="12D838FB"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right w:val="single" w:sz="6" w:space="0" w:color="auto"/>
            </w:tcBorders>
          </w:tcPr>
          <w:p w14:paraId="0C0EBFBE"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559" w:type="dxa"/>
            <w:tcBorders>
              <w:top w:val="single" w:sz="6" w:space="0" w:color="auto"/>
              <w:left w:val="single" w:sz="6" w:space="0" w:color="auto"/>
            </w:tcBorders>
          </w:tcPr>
          <w:p w14:paraId="2CDE853C"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bottom w:val="single" w:sz="6" w:space="0" w:color="auto"/>
              <w:right w:val="single" w:sz="6" w:space="0" w:color="auto"/>
            </w:tcBorders>
          </w:tcPr>
          <w:p w14:paraId="6FAA24E3" w14:textId="77777777" w:rsidR="007049A5" w:rsidRPr="004E4188" w:rsidRDefault="007049A5" w:rsidP="003948A6">
            <w:pPr>
              <w:overflowPunct/>
              <w:autoSpaceDE/>
              <w:autoSpaceDN/>
              <w:adjustRightInd/>
              <w:spacing w:before="120" w:after="120"/>
              <w:textAlignment w:val="auto"/>
              <w:rPr>
                <w:spacing w:val="-2"/>
                <w:sz w:val="20"/>
                <w:lang w:eastAsia="en-US"/>
              </w:rPr>
            </w:pPr>
          </w:p>
        </w:tc>
      </w:tr>
      <w:tr w:rsidR="007049A5" w:rsidRPr="004E4188" w14:paraId="248B472C" w14:textId="77777777" w:rsidTr="008729D9">
        <w:trPr>
          <w:cantSplit/>
        </w:trPr>
        <w:tc>
          <w:tcPr>
            <w:tcW w:w="522" w:type="dxa"/>
            <w:tcBorders>
              <w:top w:val="single" w:sz="6" w:space="0" w:color="auto"/>
              <w:left w:val="single" w:sz="6" w:space="0" w:color="auto"/>
              <w:bottom w:val="single" w:sz="6" w:space="0" w:color="auto"/>
              <w:right w:val="single" w:sz="6" w:space="0" w:color="auto"/>
            </w:tcBorders>
          </w:tcPr>
          <w:p w14:paraId="194B1D53"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030" w:type="dxa"/>
            <w:tcBorders>
              <w:top w:val="single" w:sz="6" w:space="0" w:color="auto"/>
              <w:left w:val="single" w:sz="6" w:space="0" w:color="auto"/>
              <w:bottom w:val="single" w:sz="6" w:space="0" w:color="auto"/>
              <w:right w:val="single" w:sz="6" w:space="0" w:color="auto"/>
            </w:tcBorders>
            <w:vAlign w:val="center"/>
          </w:tcPr>
          <w:p w14:paraId="71B0B4B8"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275" w:type="dxa"/>
            <w:tcBorders>
              <w:top w:val="single" w:sz="6" w:space="0" w:color="auto"/>
              <w:bottom w:val="single" w:sz="6" w:space="0" w:color="auto"/>
            </w:tcBorders>
          </w:tcPr>
          <w:p w14:paraId="2311E032"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560" w:type="dxa"/>
            <w:tcBorders>
              <w:top w:val="single" w:sz="6" w:space="0" w:color="auto"/>
              <w:left w:val="single" w:sz="6" w:space="0" w:color="auto"/>
              <w:bottom w:val="single" w:sz="6" w:space="0" w:color="auto"/>
            </w:tcBorders>
          </w:tcPr>
          <w:p w14:paraId="7FD2A09F"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bottom w:val="single" w:sz="6" w:space="0" w:color="auto"/>
              <w:right w:val="single" w:sz="6" w:space="0" w:color="auto"/>
            </w:tcBorders>
          </w:tcPr>
          <w:p w14:paraId="4E68F862"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559" w:type="dxa"/>
            <w:tcBorders>
              <w:top w:val="single" w:sz="6" w:space="0" w:color="auto"/>
              <w:left w:val="single" w:sz="6" w:space="0" w:color="auto"/>
              <w:bottom w:val="single" w:sz="6" w:space="0" w:color="auto"/>
            </w:tcBorders>
          </w:tcPr>
          <w:p w14:paraId="2C0DB4EC" w14:textId="77777777" w:rsidR="007049A5" w:rsidRPr="004E4188" w:rsidRDefault="007049A5" w:rsidP="003948A6">
            <w:pPr>
              <w:overflowPunct/>
              <w:autoSpaceDE/>
              <w:autoSpaceDN/>
              <w:adjustRightInd/>
              <w:spacing w:before="120" w:after="120"/>
              <w:textAlignment w:val="auto"/>
              <w:rPr>
                <w:spacing w:val="-2"/>
                <w:sz w:val="20"/>
                <w:lang w:eastAsia="en-US"/>
              </w:rPr>
            </w:pPr>
          </w:p>
        </w:tc>
        <w:tc>
          <w:tcPr>
            <w:tcW w:w="1701" w:type="dxa"/>
            <w:tcBorders>
              <w:top w:val="single" w:sz="6" w:space="0" w:color="auto"/>
              <w:left w:val="single" w:sz="6" w:space="0" w:color="auto"/>
              <w:bottom w:val="single" w:sz="6" w:space="0" w:color="auto"/>
              <w:right w:val="single" w:sz="6" w:space="0" w:color="auto"/>
            </w:tcBorders>
          </w:tcPr>
          <w:p w14:paraId="24E29C1A" w14:textId="77777777" w:rsidR="007049A5" w:rsidRPr="004E4188" w:rsidRDefault="007049A5" w:rsidP="003948A6">
            <w:pPr>
              <w:overflowPunct/>
              <w:autoSpaceDE/>
              <w:autoSpaceDN/>
              <w:adjustRightInd/>
              <w:spacing w:before="120" w:after="120"/>
              <w:textAlignment w:val="auto"/>
              <w:rPr>
                <w:spacing w:val="-2"/>
                <w:sz w:val="20"/>
                <w:lang w:eastAsia="en-US"/>
              </w:rPr>
            </w:pPr>
          </w:p>
        </w:tc>
      </w:tr>
    </w:tbl>
    <w:p w14:paraId="0E361F88" w14:textId="77777777" w:rsidR="007049A5" w:rsidRPr="004E4188" w:rsidRDefault="007049A5" w:rsidP="00122D67">
      <w:pPr>
        <w:pStyle w:val="aa"/>
        <w:tabs>
          <w:tab w:val="left" w:pos="2610"/>
        </w:tabs>
        <w:rPr>
          <w:lang w:eastAsia="ja-JP"/>
        </w:rPr>
      </w:pPr>
    </w:p>
    <w:p w14:paraId="4D644EE4" w14:textId="77777777" w:rsidR="007049A5" w:rsidRPr="004E4188" w:rsidRDefault="007049A5" w:rsidP="00122D67">
      <w:pPr>
        <w:pStyle w:val="aa"/>
        <w:tabs>
          <w:tab w:val="left" w:pos="2610"/>
        </w:tabs>
        <w:rPr>
          <w:lang w:eastAsia="ja-JP"/>
        </w:rPr>
      </w:pPr>
    </w:p>
    <w:p w14:paraId="1C335A4C" w14:textId="77777777" w:rsidR="007049A5" w:rsidRPr="004E4188" w:rsidRDefault="007049A5" w:rsidP="00122D67">
      <w:pPr>
        <w:pStyle w:val="aa"/>
        <w:tabs>
          <w:tab w:val="left" w:pos="2610"/>
        </w:tabs>
        <w:rPr>
          <w:lang w:eastAsia="ja-JP"/>
        </w:rPr>
      </w:pPr>
    </w:p>
    <w:p w14:paraId="791BC470" w14:textId="77777777" w:rsidR="007049A5" w:rsidRPr="004E4188" w:rsidRDefault="007049A5" w:rsidP="00122D67">
      <w:pPr>
        <w:pStyle w:val="aa"/>
        <w:tabs>
          <w:tab w:val="left" w:pos="2610"/>
        </w:tabs>
        <w:rPr>
          <w:b/>
          <w:sz w:val="24"/>
          <w:szCs w:val="24"/>
        </w:rPr>
      </w:pPr>
      <w:r w:rsidRPr="004E4188">
        <w:rPr>
          <w:b/>
          <w:sz w:val="24"/>
          <w:szCs w:val="24"/>
        </w:rPr>
        <w:br w:type="page"/>
      </w:r>
    </w:p>
    <w:p w14:paraId="394BEAAF" w14:textId="77777777" w:rsidR="007049A5" w:rsidRPr="004E4188" w:rsidRDefault="007049A5" w:rsidP="006C6267">
      <w:pPr>
        <w:pStyle w:val="SectionIVHeading2"/>
        <w:outlineLvl w:val="2"/>
        <w:rPr>
          <w:sz w:val="32"/>
          <w:szCs w:val="32"/>
          <w:lang w:val="fr-FR"/>
        </w:rPr>
      </w:pPr>
      <w:bookmarkStart w:id="653" w:name="_Toc327863891"/>
      <w:bookmarkStart w:id="654" w:name="_Toc349117758"/>
      <w:bookmarkStart w:id="655" w:name="_Toc357513239"/>
      <w:bookmarkStart w:id="656" w:name="_Toc112429333"/>
      <w:r w:rsidRPr="004E4188">
        <w:rPr>
          <w:sz w:val="32"/>
          <w:szCs w:val="32"/>
          <w:lang w:val="fr-FR"/>
        </w:rPr>
        <w:t>Formulaire EXP-1</w:t>
      </w:r>
      <w:r w:rsidRPr="004E4188">
        <w:rPr>
          <w:sz w:val="32"/>
          <w:szCs w:val="32"/>
          <w:lang w:val="fr-FR"/>
        </w:rPr>
        <w:br/>
        <w:t>Expérience générale</w:t>
      </w:r>
      <w:bookmarkEnd w:id="653"/>
      <w:bookmarkEnd w:id="654"/>
      <w:bookmarkEnd w:id="655"/>
      <w:bookmarkEnd w:id="656"/>
    </w:p>
    <w:p w14:paraId="307707ED" w14:textId="77777777" w:rsidR="007049A5" w:rsidRPr="004E4188" w:rsidRDefault="007049A5" w:rsidP="00122D67">
      <w:pPr>
        <w:tabs>
          <w:tab w:val="left" w:pos="2610"/>
        </w:tabs>
        <w:jc w:val="center"/>
      </w:pPr>
    </w:p>
    <w:p w14:paraId="6177EC75" w14:textId="77777777" w:rsidR="007049A5" w:rsidRPr="004E4188" w:rsidRDefault="007049A5" w:rsidP="00991F68">
      <w:pPr>
        <w:tabs>
          <w:tab w:val="left" w:pos="2610"/>
        </w:tabs>
        <w:spacing w:afterLines="100" w:after="240"/>
        <w:rPr>
          <w:i/>
        </w:rPr>
      </w:pPr>
      <w:r w:rsidRPr="004E4188">
        <w:t>[</w:t>
      </w:r>
      <w:r w:rsidRPr="004E4188">
        <w:rPr>
          <w:i/>
        </w:rPr>
        <w:t>Le tableau ci-dessous doit être rempli pour le Soumissionnaire et pour chaque membre du Groupement si le Soumissionnaire est un Groupement.</w:t>
      </w:r>
      <w:r w:rsidRPr="004E4188">
        <w:t>]</w:t>
      </w:r>
    </w:p>
    <w:p w14:paraId="50B72AC8" w14:textId="1503E6CA" w:rsidR="007049A5" w:rsidRPr="004E4188" w:rsidRDefault="007049A5" w:rsidP="003349F2">
      <w:pPr>
        <w:wordWrap w:val="0"/>
        <w:jc w:val="right"/>
      </w:pPr>
      <w:r w:rsidRPr="004E4188">
        <w:t>Date : [</w:t>
      </w:r>
      <w:r w:rsidRPr="004E4188">
        <w:rPr>
          <w:i/>
        </w:rPr>
        <w:t>indiquer jour, mois, année</w:t>
      </w:r>
      <w:r w:rsidRPr="004E4188">
        <w:t>]</w:t>
      </w:r>
    </w:p>
    <w:p w14:paraId="1DF1122D" w14:textId="77777777" w:rsidR="007049A5" w:rsidRPr="004E4188" w:rsidRDefault="007049A5" w:rsidP="00991F68">
      <w:pPr>
        <w:jc w:val="right"/>
      </w:pPr>
      <w:r w:rsidRPr="004E4188">
        <w:t>Nom légal du Soumissionnaire : [</w:t>
      </w:r>
      <w:r w:rsidRPr="004E4188">
        <w:rPr>
          <w:i/>
        </w:rPr>
        <w:t>indiquer le nom complet</w:t>
      </w:r>
      <w:r w:rsidRPr="004E4188">
        <w:t>]</w:t>
      </w:r>
    </w:p>
    <w:p w14:paraId="445301D1" w14:textId="77777777" w:rsidR="007049A5" w:rsidRPr="004E4188" w:rsidRDefault="007049A5" w:rsidP="00991F68">
      <w:pPr>
        <w:jc w:val="right"/>
      </w:pPr>
      <w:r w:rsidRPr="004E4188">
        <w:t>Nom légal du membre du Groupement : [</w:t>
      </w:r>
      <w:r w:rsidRPr="004E4188">
        <w:rPr>
          <w:i/>
        </w:rPr>
        <w:t>indiquer le nom complet</w:t>
      </w:r>
      <w:r w:rsidRPr="004E4188">
        <w:t>]</w:t>
      </w:r>
    </w:p>
    <w:p w14:paraId="3F7994FA" w14:textId="58E5FD7D" w:rsidR="007049A5" w:rsidRPr="004E4188" w:rsidRDefault="007049A5" w:rsidP="00991F68">
      <w:pPr>
        <w:tabs>
          <w:tab w:val="right" w:pos="9356"/>
        </w:tabs>
        <w:jc w:val="right"/>
        <w:rPr>
          <w:i/>
          <w:iCs/>
        </w:rPr>
      </w:pPr>
      <w:r w:rsidRPr="004E4188">
        <w:t>AAO n</w:t>
      </w:r>
      <w:r w:rsidRPr="004E4188">
        <w:rPr>
          <w:vertAlign w:val="superscript"/>
        </w:rPr>
        <w:t>o</w:t>
      </w:r>
      <w:r w:rsidR="008E3909" w:rsidRPr="004E4188">
        <w:t xml:space="preserve"> </w:t>
      </w:r>
      <w:r w:rsidRPr="004E4188">
        <w:t xml:space="preserve">: </w:t>
      </w:r>
      <w:r w:rsidRPr="004E4188">
        <w:rPr>
          <w:iCs/>
        </w:rPr>
        <w:t>[</w:t>
      </w:r>
      <w:r w:rsidRPr="004E4188">
        <w:rPr>
          <w:i/>
          <w:iCs/>
        </w:rPr>
        <w:t>indiquer le numéro</w:t>
      </w:r>
      <w:r w:rsidRPr="004E4188">
        <w:rPr>
          <w:iCs/>
        </w:rPr>
        <w:t>]</w:t>
      </w:r>
    </w:p>
    <w:p w14:paraId="365523CC" w14:textId="51B98F40" w:rsidR="007049A5" w:rsidRPr="004E4188" w:rsidRDefault="007049A5" w:rsidP="00BE6B88">
      <w:pPr>
        <w:tabs>
          <w:tab w:val="right" w:pos="9356"/>
        </w:tabs>
        <w:wordWrap w:val="0"/>
        <w:spacing w:afterLines="100" w:after="240"/>
        <w:jc w:val="right"/>
        <w:rPr>
          <w:iCs/>
          <w:spacing w:val="-4"/>
        </w:rPr>
      </w:pPr>
      <w:r w:rsidRPr="004E4188">
        <w:rPr>
          <w:iCs/>
          <w:spacing w:val="-4"/>
        </w:rPr>
        <w:t>Page</w:t>
      </w:r>
      <w:r w:rsidR="00FB6B2E" w:rsidRPr="004E4188">
        <w:rPr>
          <w:iCs/>
          <w:spacing w:val="-4"/>
        </w:rPr>
        <w:t> </w:t>
      </w:r>
      <w:r w:rsidRPr="004E4188">
        <w:rPr>
          <w:spacing w:val="-4"/>
        </w:rPr>
        <w:t xml:space="preserve">: </w:t>
      </w:r>
      <w:r w:rsidRPr="004E4188">
        <w:rPr>
          <w:iCs/>
          <w:spacing w:val="-4"/>
        </w:rPr>
        <w:t>[</w:t>
      </w:r>
      <w:r w:rsidRPr="004E4188">
        <w:rPr>
          <w:i/>
          <w:iCs/>
          <w:spacing w:val="-4"/>
        </w:rPr>
        <w:t>insérer le numéro de la page</w:t>
      </w:r>
      <w:r w:rsidRPr="004E4188">
        <w:rPr>
          <w:iCs/>
          <w:spacing w:val="-4"/>
        </w:rPr>
        <w:t>] de [</w:t>
      </w:r>
      <w:r w:rsidRPr="004E4188">
        <w:rPr>
          <w:i/>
          <w:iCs/>
          <w:spacing w:val="-4"/>
        </w:rPr>
        <w:t>insérer le nombre total de</w:t>
      </w:r>
      <w:r w:rsidRPr="004E4188">
        <w:rPr>
          <w:iCs/>
          <w:spacing w:val="-4"/>
        </w:rPr>
        <w:t>] pages</w:t>
      </w:r>
    </w:p>
    <w:p w14:paraId="7B4B0EF0" w14:textId="77777777" w:rsidR="007049A5" w:rsidRPr="004E4188" w:rsidRDefault="007049A5" w:rsidP="00991F68">
      <w:pPr>
        <w:rPr>
          <w:i/>
          <w:lang w:eastAsia="ja-JP"/>
        </w:rPr>
      </w:pPr>
      <w:r w:rsidRPr="004E4188">
        <w:t>[</w:t>
      </w:r>
      <w:r w:rsidRPr="004E4188">
        <w:rPr>
          <w:i/>
        </w:rPr>
        <w:t>Le Soumissionnaire doit identifier les marchés démontrant des expériences continues</w:t>
      </w:r>
      <w:r w:rsidRPr="004E4188">
        <w:rPr>
          <w:i/>
          <w:spacing w:val="-2"/>
        </w:rPr>
        <w:t xml:space="preserve"> conformément au Critère 2.4.1 de la Section </w:t>
      </w:r>
      <w:smartTag w:uri="urn:schemas-microsoft-com:office:smarttags" w:element="stockticker">
        <w:r w:rsidRPr="004E4188">
          <w:rPr>
            <w:i/>
            <w:spacing w:val="-2"/>
          </w:rPr>
          <w:t>III</w:t>
        </w:r>
      </w:smartTag>
      <w:r w:rsidRPr="004E4188">
        <w:rPr>
          <w:i/>
          <w:spacing w:val="-2"/>
        </w:rPr>
        <w:t>, Critères</w:t>
      </w:r>
      <w:r w:rsidRPr="004E4188">
        <w:rPr>
          <w:spacing w:val="-2"/>
        </w:rPr>
        <w:t xml:space="preserve"> </w:t>
      </w:r>
      <w:r w:rsidRPr="004E4188">
        <w:rPr>
          <w:i/>
          <w:spacing w:val="-2"/>
        </w:rPr>
        <w:t>d’évaluation et de qualification, et donner la liste des marchés en ordre chronologique, selon les dates de commencement.</w:t>
      </w:r>
      <w:r w:rsidRPr="004E4188">
        <w:t>]</w:t>
      </w:r>
    </w:p>
    <w:p w14:paraId="0989187C" w14:textId="77777777" w:rsidR="007049A5" w:rsidRPr="004E4188" w:rsidRDefault="007049A5" w:rsidP="00991F68">
      <w:pPr>
        <w:jc w:val="right"/>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1245"/>
        <w:gridCol w:w="4569"/>
        <w:gridCol w:w="2268"/>
      </w:tblGrid>
      <w:tr w:rsidR="007049A5" w:rsidRPr="004E4188" w14:paraId="33A6FC14" w14:textId="77777777" w:rsidTr="006C6267">
        <w:trPr>
          <w:cantSplit/>
          <w:trHeight w:val="440"/>
          <w:tblHeader/>
          <w:jc w:val="center"/>
        </w:trPr>
        <w:tc>
          <w:tcPr>
            <w:tcW w:w="9209" w:type="dxa"/>
            <w:gridSpan w:val="4"/>
            <w:tcBorders>
              <w:bottom w:val="double" w:sz="4" w:space="0" w:color="auto"/>
            </w:tcBorders>
            <w:shd w:val="clear" w:color="auto" w:fill="C0C0C0"/>
          </w:tcPr>
          <w:p w14:paraId="6B7CF3EF" w14:textId="77777777" w:rsidR="007049A5" w:rsidRPr="004E4188" w:rsidRDefault="007049A5" w:rsidP="00BE6B88">
            <w:pPr>
              <w:spacing w:before="120" w:afterLines="50" w:after="120"/>
              <w:jc w:val="center"/>
              <w:rPr>
                <w:b/>
                <w:spacing w:val="-2"/>
                <w:lang w:eastAsia="ja-JP"/>
              </w:rPr>
            </w:pPr>
            <w:r w:rsidRPr="004E4188">
              <w:rPr>
                <w:b/>
                <w:spacing w:val="-2"/>
              </w:rPr>
              <w:t>Expérience générale</w:t>
            </w:r>
          </w:p>
        </w:tc>
      </w:tr>
      <w:tr w:rsidR="007049A5" w:rsidRPr="004E4188" w14:paraId="10B68A20" w14:textId="77777777" w:rsidTr="005F4BDA">
        <w:trPr>
          <w:cantSplit/>
          <w:trHeight w:val="440"/>
          <w:tblHeader/>
          <w:jc w:val="center"/>
        </w:trPr>
        <w:tc>
          <w:tcPr>
            <w:tcW w:w="1127" w:type="dxa"/>
            <w:tcBorders>
              <w:top w:val="double" w:sz="4" w:space="0" w:color="auto"/>
            </w:tcBorders>
            <w:vAlign w:val="center"/>
          </w:tcPr>
          <w:p w14:paraId="2821669B" w14:textId="77777777" w:rsidR="007049A5" w:rsidRPr="004E4188" w:rsidRDefault="007049A5" w:rsidP="00991F68">
            <w:pPr>
              <w:jc w:val="center"/>
              <w:rPr>
                <w:b/>
                <w:spacing w:val="-2"/>
              </w:rPr>
            </w:pPr>
            <w:r w:rsidRPr="004E4188">
              <w:rPr>
                <w:b/>
                <w:spacing w:val="-2"/>
              </w:rPr>
              <w:t>Année de départ</w:t>
            </w:r>
          </w:p>
        </w:tc>
        <w:tc>
          <w:tcPr>
            <w:tcW w:w="1245" w:type="dxa"/>
            <w:tcBorders>
              <w:top w:val="double" w:sz="4" w:space="0" w:color="auto"/>
            </w:tcBorders>
            <w:vAlign w:val="center"/>
          </w:tcPr>
          <w:p w14:paraId="246A0BE5" w14:textId="77777777" w:rsidR="007049A5" w:rsidRPr="004E4188" w:rsidRDefault="007049A5" w:rsidP="00991F68">
            <w:pPr>
              <w:jc w:val="center"/>
              <w:rPr>
                <w:b/>
                <w:spacing w:val="-2"/>
              </w:rPr>
            </w:pPr>
            <w:r w:rsidRPr="004E4188">
              <w:rPr>
                <w:b/>
                <w:spacing w:val="-2"/>
              </w:rPr>
              <w:t>Année d’achève</w:t>
            </w:r>
            <w:r w:rsidRPr="004E4188">
              <w:rPr>
                <w:lang w:eastAsia="ja-JP"/>
              </w:rPr>
              <w:softHyphen/>
            </w:r>
            <w:r w:rsidRPr="004E4188">
              <w:rPr>
                <w:b/>
                <w:spacing w:val="-2"/>
              </w:rPr>
              <w:t>ment</w:t>
            </w:r>
            <w:r w:rsidRPr="004E4188" w:rsidDel="003B2938">
              <w:rPr>
                <w:b/>
                <w:spacing w:val="-2"/>
              </w:rPr>
              <w:t xml:space="preserve"> </w:t>
            </w:r>
          </w:p>
        </w:tc>
        <w:tc>
          <w:tcPr>
            <w:tcW w:w="4569" w:type="dxa"/>
            <w:tcBorders>
              <w:top w:val="double" w:sz="4" w:space="0" w:color="auto"/>
            </w:tcBorders>
          </w:tcPr>
          <w:p w14:paraId="135723E4" w14:textId="77777777" w:rsidR="007049A5" w:rsidRPr="004E4188" w:rsidRDefault="007049A5" w:rsidP="005F4BDA">
            <w:pPr>
              <w:spacing w:before="120"/>
              <w:jc w:val="center"/>
              <w:rPr>
                <w:b/>
                <w:spacing w:val="-2"/>
                <w:lang w:eastAsia="ja-JP"/>
              </w:rPr>
            </w:pPr>
            <w:r w:rsidRPr="004E4188">
              <w:rPr>
                <w:b/>
                <w:spacing w:val="-2"/>
              </w:rPr>
              <w:t>Identification du marché</w:t>
            </w:r>
          </w:p>
        </w:tc>
        <w:tc>
          <w:tcPr>
            <w:tcW w:w="2268" w:type="dxa"/>
            <w:tcBorders>
              <w:top w:val="double" w:sz="4" w:space="0" w:color="auto"/>
            </w:tcBorders>
            <w:vAlign w:val="center"/>
          </w:tcPr>
          <w:p w14:paraId="11089130" w14:textId="77777777" w:rsidR="007049A5" w:rsidRPr="004E4188" w:rsidRDefault="007049A5" w:rsidP="00F84A97">
            <w:pPr>
              <w:jc w:val="center"/>
              <w:rPr>
                <w:b/>
                <w:spacing w:val="-2"/>
              </w:rPr>
            </w:pPr>
            <w:r w:rsidRPr="004E4188">
              <w:rPr>
                <w:b/>
                <w:spacing w:val="-2"/>
              </w:rPr>
              <w:t>Rôle du Soumissionnaire</w:t>
            </w:r>
          </w:p>
        </w:tc>
      </w:tr>
      <w:tr w:rsidR="007049A5" w:rsidRPr="004E4188" w14:paraId="05FDDB71" w14:textId="77777777" w:rsidTr="006C6267">
        <w:trPr>
          <w:cantSplit/>
          <w:trHeight w:val="420"/>
          <w:jc w:val="center"/>
        </w:trPr>
        <w:tc>
          <w:tcPr>
            <w:tcW w:w="1127" w:type="dxa"/>
          </w:tcPr>
          <w:p w14:paraId="45DD9D21" w14:textId="77777777" w:rsidR="007049A5" w:rsidRPr="004E4188" w:rsidRDefault="007049A5" w:rsidP="00991F68">
            <w:pPr>
              <w:jc w:val="center"/>
              <w:rPr>
                <w:spacing w:val="-2"/>
                <w:sz w:val="22"/>
              </w:rPr>
            </w:pPr>
            <w:r w:rsidRPr="004E4188">
              <w:t>[</w:t>
            </w:r>
            <w:r w:rsidRPr="004E4188">
              <w:rPr>
                <w:i/>
              </w:rPr>
              <w:t>indiquer l’année</w:t>
            </w:r>
            <w:r w:rsidRPr="004E4188">
              <w:t>]</w:t>
            </w:r>
          </w:p>
          <w:p w14:paraId="61E1DAF8" w14:textId="77777777" w:rsidR="007049A5" w:rsidRPr="004E4188" w:rsidRDefault="007049A5" w:rsidP="00991F68">
            <w:pPr>
              <w:jc w:val="center"/>
              <w:rPr>
                <w:spacing w:val="-2"/>
                <w:sz w:val="22"/>
              </w:rPr>
            </w:pPr>
          </w:p>
        </w:tc>
        <w:tc>
          <w:tcPr>
            <w:tcW w:w="1245" w:type="dxa"/>
          </w:tcPr>
          <w:p w14:paraId="309A5016" w14:textId="77777777" w:rsidR="007049A5" w:rsidRPr="004E4188" w:rsidRDefault="007049A5" w:rsidP="00991F68">
            <w:pPr>
              <w:jc w:val="center"/>
              <w:rPr>
                <w:spacing w:val="-2"/>
                <w:sz w:val="22"/>
              </w:rPr>
            </w:pPr>
            <w:r w:rsidRPr="004E4188">
              <w:t>[</w:t>
            </w:r>
            <w:r w:rsidRPr="004E4188">
              <w:rPr>
                <w:i/>
              </w:rPr>
              <w:t>indiquer l’année</w:t>
            </w:r>
            <w:r w:rsidRPr="004E4188">
              <w:t>]</w:t>
            </w:r>
          </w:p>
          <w:p w14:paraId="2AFF165D" w14:textId="77777777" w:rsidR="007049A5" w:rsidRPr="004E4188" w:rsidRDefault="007049A5" w:rsidP="00991F68">
            <w:pPr>
              <w:jc w:val="center"/>
              <w:rPr>
                <w:spacing w:val="-2"/>
                <w:sz w:val="22"/>
              </w:rPr>
            </w:pPr>
          </w:p>
        </w:tc>
        <w:tc>
          <w:tcPr>
            <w:tcW w:w="4569" w:type="dxa"/>
          </w:tcPr>
          <w:p w14:paraId="1709B45F" w14:textId="77777777" w:rsidR="007049A5" w:rsidRPr="004E4188" w:rsidRDefault="007049A5" w:rsidP="003D46CF">
            <w:pPr>
              <w:numPr>
                <w:ilvl w:val="0"/>
                <w:numId w:val="50"/>
              </w:numPr>
              <w:tabs>
                <w:tab w:val="clear" w:pos="420"/>
                <w:tab w:val="num" w:pos="283"/>
              </w:tabs>
              <w:spacing w:afterLines="50" w:after="120"/>
              <w:ind w:left="284" w:hanging="284"/>
              <w:rPr>
                <w:spacing w:val="-2"/>
                <w:szCs w:val="24"/>
              </w:rPr>
            </w:pPr>
            <w:r w:rsidRPr="004E4188">
              <w:rPr>
                <w:spacing w:val="-2"/>
                <w:szCs w:val="24"/>
              </w:rPr>
              <w:t>Nom du marché :</w:t>
            </w:r>
            <w:r w:rsidRPr="004E4188">
              <w:rPr>
                <w:i/>
                <w:szCs w:val="24"/>
              </w:rPr>
              <w:t xml:space="preserve"> </w:t>
            </w:r>
            <w:r w:rsidRPr="004E4188">
              <w:rPr>
                <w:szCs w:val="24"/>
              </w:rPr>
              <w:t>[</w:t>
            </w:r>
            <w:r w:rsidRPr="004E4188">
              <w:rPr>
                <w:i/>
                <w:szCs w:val="24"/>
              </w:rPr>
              <w:t>indiquer le nom complet</w:t>
            </w:r>
            <w:r w:rsidRPr="004E4188">
              <w:rPr>
                <w:szCs w:val="24"/>
              </w:rPr>
              <w:t>]</w:t>
            </w:r>
          </w:p>
          <w:p w14:paraId="6A595808" w14:textId="56B9691C" w:rsidR="007049A5" w:rsidRPr="004E4188" w:rsidRDefault="007049A5" w:rsidP="003D46CF">
            <w:pPr>
              <w:numPr>
                <w:ilvl w:val="0"/>
                <w:numId w:val="50"/>
              </w:numPr>
              <w:tabs>
                <w:tab w:val="clear" w:pos="420"/>
                <w:tab w:val="num" w:pos="283"/>
              </w:tabs>
              <w:spacing w:afterLines="50" w:after="120"/>
              <w:ind w:left="284" w:hanging="284"/>
              <w:rPr>
                <w:spacing w:val="-2"/>
                <w:szCs w:val="24"/>
              </w:rPr>
            </w:pPr>
            <w:r w:rsidRPr="004E4188">
              <w:rPr>
                <w:spacing w:val="-2"/>
                <w:szCs w:val="24"/>
              </w:rPr>
              <w:t xml:space="preserve">Brève description des </w:t>
            </w:r>
            <w:r w:rsidRPr="004E4188">
              <w:rPr>
                <w:spacing w:val="-2"/>
                <w:szCs w:val="24"/>
                <w:lang w:eastAsia="ja-JP"/>
              </w:rPr>
              <w:t>marchés</w:t>
            </w:r>
            <w:r w:rsidRPr="004E4188">
              <w:rPr>
                <w:spacing w:val="-2"/>
                <w:szCs w:val="24"/>
              </w:rPr>
              <w:t xml:space="preserve"> réalisés par le Soumissionnaire :</w:t>
            </w:r>
            <w:r w:rsidRPr="004E4188">
              <w:rPr>
                <w:szCs w:val="24"/>
              </w:rPr>
              <w:t xml:space="preserve"> [</w:t>
            </w:r>
            <w:r w:rsidRPr="004E4188">
              <w:rPr>
                <w:i/>
                <w:szCs w:val="24"/>
              </w:rPr>
              <w:t>décrire brièvement les marchés réalisés</w:t>
            </w:r>
            <w:r w:rsidRPr="004E4188">
              <w:rPr>
                <w:szCs w:val="24"/>
              </w:rPr>
              <w:t>]</w:t>
            </w:r>
          </w:p>
          <w:p w14:paraId="00931B9A" w14:textId="77777777" w:rsidR="007049A5" w:rsidRPr="004E4188" w:rsidRDefault="007049A5" w:rsidP="003D46CF">
            <w:pPr>
              <w:numPr>
                <w:ilvl w:val="0"/>
                <w:numId w:val="50"/>
              </w:numPr>
              <w:tabs>
                <w:tab w:val="clear" w:pos="420"/>
                <w:tab w:val="num" w:pos="283"/>
              </w:tabs>
              <w:spacing w:afterLines="50" w:after="120"/>
              <w:ind w:left="284" w:hanging="284"/>
              <w:rPr>
                <w:spacing w:val="-2"/>
                <w:szCs w:val="24"/>
              </w:rPr>
            </w:pPr>
            <w:r w:rsidRPr="004E4188">
              <w:rPr>
                <w:szCs w:val="24"/>
              </w:rPr>
              <w:t>Montant du marché : [</w:t>
            </w:r>
            <w:r w:rsidRPr="004E4188">
              <w:rPr>
                <w:i/>
                <w:szCs w:val="24"/>
              </w:rPr>
              <w:t xml:space="preserve">indiquer le montant, la monnaie, le taux de change et l’équivalent en </w:t>
            </w:r>
            <w:r w:rsidRPr="004E4188">
              <w:rPr>
                <w:i/>
                <w:lang w:eastAsia="ja-JP"/>
              </w:rPr>
              <w:t>$</w:t>
            </w:r>
            <w:r w:rsidRPr="004E4188">
              <w:rPr>
                <w:i/>
              </w:rPr>
              <w:t>US</w:t>
            </w:r>
            <w:r w:rsidRPr="004E4188">
              <w:rPr>
                <w:szCs w:val="24"/>
              </w:rPr>
              <w:t>]</w:t>
            </w:r>
          </w:p>
          <w:p w14:paraId="26969D9E" w14:textId="77777777" w:rsidR="007049A5" w:rsidRPr="004E4188" w:rsidRDefault="007049A5" w:rsidP="003D46CF">
            <w:pPr>
              <w:numPr>
                <w:ilvl w:val="0"/>
                <w:numId w:val="50"/>
              </w:numPr>
              <w:tabs>
                <w:tab w:val="clear" w:pos="420"/>
                <w:tab w:val="num" w:pos="283"/>
              </w:tabs>
              <w:spacing w:afterLines="50" w:after="120"/>
              <w:ind w:left="284" w:hanging="284"/>
              <w:rPr>
                <w:spacing w:val="-2"/>
                <w:szCs w:val="24"/>
              </w:rPr>
            </w:pPr>
            <w:r w:rsidRPr="004E4188">
              <w:rPr>
                <w:spacing w:val="-2"/>
                <w:szCs w:val="24"/>
              </w:rPr>
              <w:t>Nom du Maître d’ouvrage :</w:t>
            </w:r>
            <w:r w:rsidRPr="004E4188">
              <w:rPr>
                <w:szCs w:val="24"/>
              </w:rPr>
              <w:t xml:space="preserve"> [</w:t>
            </w:r>
            <w:r w:rsidRPr="004E4188">
              <w:rPr>
                <w:i/>
                <w:szCs w:val="24"/>
              </w:rPr>
              <w:t>indiquer le nom complet</w:t>
            </w:r>
            <w:r w:rsidRPr="004E4188">
              <w:rPr>
                <w:szCs w:val="24"/>
              </w:rPr>
              <w:t>]</w:t>
            </w:r>
          </w:p>
          <w:p w14:paraId="7B29727D" w14:textId="77777777" w:rsidR="007049A5" w:rsidRPr="004E4188" w:rsidRDefault="007049A5" w:rsidP="003D46CF">
            <w:pPr>
              <w:numPr>
                <w:ilvl w:val="0"/>
                <w:numId w:val="50"/>
              </w:numPr>
              <w:tabs>
                <w:tab w:val="clear" w:pos="420"/>
                <w:tab w:val="num" w:pos="283"/>
              </w:tabs>
              <w:spacing w:afterLines="50" w:after="120"/>
              <w:ind w:left="284" w:hanging="284"/>
              <w:rPr>
                <w:spacing w:val="-2"/>
                <w:szCs w:val="24"/>
              </w:rPr>
            </w:pPr>
            <w:r w:rsidRPr="004E4188">
              <w:rPr>
                <w:spacing w:val="-2"/>
                <w:szCs w:val="24"/>
              </w:rPr>
              <w:t>Adresse :</w:t>
            </w:r>
            <w:r w:rsidRPr="004E4188">
              <w:rPr>
                <w:i/>
                <w:spacing w:val="-2"/>
                <w:szCs w:val="24"/>
              </w:rPr>
              <w:t xml:space="preserve"> </w:t>
            </w:r>
            <w:r w:rsidRPr="004E4188">
              <w:rPr>
                <w:spacing w:val="-2"/>
                <w:szCs w:val="24"/>
              </w:rPr>
              <w:t>[</w:t>
            </w:r>
            <w:r w:rsidRPr="004E4188">
              <w:rPr>
                <w:i/>
                <w:spacing w:val="-2"/>
                <w:szCs w:val="24"/>
              </w:rPr>
              <w:t>indiquer</w:t>
            </w:r>
            <w:r w:rsidRPr="004E4188">
              <w:rPr>
                <w:spacing w:val="-2"/>
                <w:szCs w:val="24"/>
              </w:rPr>
              <w:t xml:space="preserve"> </w:t>
            </w:r>
            <w:r w:rsidRPr="004E4188">
              <w:rPr>
                <w:i/>
                <w:iCs/>
                <w:szCs w:val="24"/>
                <w:lang w:eastAsia="ja-JP"/>
              </w:rPr>
              <w:t>l’adresse postale</w:t>
            </w:r>
            <w:r w:rsidRPr="004E4188">
              <w:rPr>
                <w:spacing w:val="-2"/>
                <w:szCs w:val="24"/>
              </w:rPr>
              <w:t>]</w:t>
            </w:r>
          </w:p>
        </w:tc>
        <w:tc>
          <w:tcPr>
            <w:tcW w:w="2268" w:type="dxa"/>
          </w:tcPr>
          <w:p w14:paraId="001A24AE" w14:textId="77777777" w:rsidR="007049A5" w:rsidRPr="004E4188" w:rsidRDefault="007049A5" w:rsidP="006C6267">
            <w:pPr>
              <w:jc w:val="center"/>
              <w:rPr>
                <w:spacing w:val="-2"/>
                <w:szCs w:val="24"/>
                <w:lang w:eastAsia="ja-JP"/>
              </w:rPr>
            </w:pPr>
            <w:r w:rsidRPr="004E4188">
              <w:rPr>
                <w:szCs w:val="24"/>
              </w:rPr>
              <w:t>[</w:t>
            </w:r>
            <w:r w:rsidRPr="004E4188">
              <w:rPr>
                <w:i/>
                <w:szCs w:val="24"/>
              </w:rPr>
              <w:t xml:space="preserve">indiquer </w:t>
            </w:r>
            <w:r w:rsidRPr="004E4188">
              <w:rPr>
                <w:i/>
                <w:szCs w:val="24"/>
                <w:lang w:eastAsia="ja-JP"/>
              </w:rPr>
              <w:t>« E</w:t>
            </w:r>
            <w:r w:rsidRPr="004E4188">
              <w:rPr>
                <w:i/>
                <w:szCs w:val="24"/>
              </w:rPr>
              <w:t>ntrepreneur principal (entreprise</w:t>
            </w:r>
            <w:r w:rsidRPr="004E4188" w:rsidDel="00CB0116">
              <w:rPr>
                <w:i/>
                <w:szCs w:val="24"/>
              </w:rPr>
              <w:t xml:space="preserve"> </w:t>
            </w:r>
            <w:r w:rsidRPr="004E4188">
              <w:rPr>
                <w:i/>
                <w:szCs w:val="24"/>
              </w:rPr>
              <w:t>unique ou membre de Groupement)</w:t>
            </w:r>
            <w:r w:rsidRPr="004E4188">
              <w:rPr>
                <w:i/>
                <w:szCs w:val="24"/>
                <w:lang w:eastAsia="ja-JP"/>
              </w:rPr>
              <w:t> »</w:t>
            </w:r>
            <w:r w:rsidRPr="004E4188">
              <w:rPr>
                <w:i/>
                <w:szCs w:val="24"/>
              </w:rPr>
              <w:t xml:space="preserve"> ou </w:t>
            </w:r>
            <w:r w:rsidRPr="004E4188">
              <w:rPr>
                <w:i/>
                <w:szCs w:val="24"/>
                <w:lang w:eastAsia="ja-JP"/>
              </w:rPr>
              <w:t>« S</w:t>
            </w:r>
            <w:r w:rsidRPr="004E4188">
              <w:rPr>
                <w:i/>
                <w:szCs w:val="24"/>
              </w:rPr>
              <w:t>ous-traitant</w:t>
            </w:r>
            <w:r w:rsidRPr="004E4188">
              <w:rPr>
                <w:i/>
                <w:szCs w:val="24"/>
                <w:lang w:eastAsia="ja-JP"/>
              </w:rPr>
              <w:t> »</w:t>
            </w:r>
            <w:r w:rsidRPr="004E4188">
              <w:rPr>
                <w:szCs w:val="24"/>
              </w:rPr>
              <w:t>]</w:t>
            </w:r>
          </w:p>
        </w:tc>
      </w:tr>
      <w:tr w:rsidR="007049A5" w:rsidRPr="004E4188" w14:paraId="6E73ED39" w14:textId="77777777" w:rsidTr="006C6267">
        <w:trPr>
          <w:cantSplit/>
          <w:trHeight w:val="420"/>
          <w:jc w:val="center"/>
        </w:trPr>
        <w:tc>
          <w:tcPr>
            <w:tcW w:w="1127" w:type="dxa"/>
          </w:tcPr>
          <w:p w14:paraId="76D82251" w14:textId="77777777" w:rsidR="007049A5" w:rsidRPr="004E4188" w:rsidRDefault="007049A5" w:rsidP="00991F68">
            <w:pPr>
              <w:rPr>
                <w:spacing w:val="-2"/>
                <w:sz w:val="22"/>
              </w:rPr>
            </w:pPr>
          </w:p>
        </w:tc>
        <w:tc>
          <w:tcPr>
            <w:tcW w:w="1245" w:type="dxa"/>
          </w:tcPr>
          <w:p w14:paraId="5CA96257" w14:textId="77777777" w:rsidR="007049A5" w:rsidRPr="004E4188" w:rsidRDefault="007049A5" w:rsidP="00991F68">
            <w:pPr>
              <w:rPr>
                <w:spacing w:val="-2"/>
                <w:sz w:val="22"/>
              </w:rPr>
            </w:pPr>
          </w:p>
        </w:tc>
        <w:tc>
          <w:tcPr>
            <w:tcW w:w="4569" w:type="dxa"/>
          </w:tcPr>
          <w:p w14:paraId="692E804A" w14:textId="77777777" w:rsidR="007049A5" w:rsidRPr="004E4188" w:rsidRDefault="007049A5" w:rsidP="00991F68">
            <w:pPr>
              <w:rPr>
                <w:spacing w:val="-2"/>
                <w:sz w:val="22"/>
              </w:rPr>
            </w:pPr>
          </w:p>
        </w:tc>
        <w:tc>
          <w:tcPr>
            <w:tcW w:w="2268" w:type="dxa"/>
          </w:tcPr>
          <w:p w14:paraId="37FC8B2C" w14:textId="77777777" w:rsidR="007049A5" w:rsidRPr="004E4188" w:rsidRDefault="007049A5" w:rsidP="00991F68">
            <w:pPr>
              <w:rPr>
                <w:spacing w:val="-2"/>
                <w:sz w:val="22"/>
              </w:rPr>
            </w:pPr>
          </w:p>
        </w:tc>
      </w:tr>
      <w:tr w:rsidR="007049A5" w:rsidRPr="004E4188" w14:paraId="67A95B21" w14:textId="77777777" w:rsidTr="006C6267">
        <w:trPr>
          <w:cantSplit/>
          <w:trHeight w:val="420"/>
          <w:jc w:val="center"/>
        </w:trPr>
        <w:tc>
          <w:tcPr>
            <w:tcW w:w="1127" w:type="dxa"/>
          </w:tcPr>
          <w:p w14:paraId="7060A687" w14:textId="77777777" w:rsidR="007049A5" w:rsidRPr="004E4188" w:rsidRDefault="007049A5" w:rsidP="00991F68">
            <w:pPr>
              <w:rPr>
                <w:spacing w:val="-2"/>
                <w:sz w:val="22"/>
              </w:rPr>
            </w:pPr>
          </w:p>
        </w:tc>
        <w:tc>
          <w:tcPr>
            <w:tcW w:w="1245" w:type="dxa"/>
          </w:tcPr>
          <w:p w14:paraId="46E18EF1" w14:textId="77777777" w:rsidR="007049A5" w:rsidRPr="004E4188" w:rsidRDefault="007049A5" w:rsidP="00991F68">
            <w:pPr>
              <w:rPr>
                <w:spacing w:val="-2"/>
                <w:sz w:val="22"/>
              </w:rPr>
            </w:pPr>
          </w:p>
        </w:tc>
        <w:tc>
          <w:tcPr>
            <w:tcW w:w="4569" w:type="dxa"/>
          </w:tcPr>
          <w:p w14:paraId="56357DCE" w14:textId="77777777" w:rsidR="007049A5" w:rsidRPr="004E4188" w:rsidRDefault="007049A5" w:rsidP="00991F68">
            <w:pPr>
              <w:rPr>
                <w:spacing w:val="-2"/>
                <w:sz w:val="22"/>
              </w:rPr>
            </w:pPr>
          </w:p>
        </w:tc>
        <w:tc>
          <w:tcPr>
            <w:tcW w:w="2268" w:type="dxa"/>
          </w:tcPr>
          <w:p w14:paraId="5D2821E6" w14:textId="77777777" w:rsidR="007049A5" w:rsidRPr="004E4188" w:rsidRDefault="007049A5" w:rsidP="00991F68">
            <w:pPr>
              <w:rPr>
                <w:spacing w:val="-2"/>
                <w:sz w:val="22"/>
              </w:rPr>
            </w:pPr>
          </w:p>
        </w:tc>
      </w:tr>
      <w:tr w:rsidR="007049A5" w:rsidRPr="004E4188" w14:paraId="2C3A229B" w14:textId="77777777" w:rsidTr="006C6267">
        <w:trPr>
          <w:cantSplit/>
          <w:trHeight w:val="420"/>
          <w:jc w:val="center"/>
        </w:trPr>
        <w:tc>
          <w:tcPr>
            <w:tcW w:w="1127" w:type="dxa"/>
          </w:tcPr>
          <w:p w14:paraId="6719F460" w14:textId="77777777" w:rsidR="007049A5" w:rsidRPr="004E4188" w:rsidRDefault="007049A5" w:rsidP="00991F68">
            <w:pPr>
              <w:rPr>
                <w:spacing w:val="-2"/>
                <w:sz w:val="22"/>
              </w:rPr>
            </w:pPr>
          </w:p>
        </w:tc>
        <w:tc>
          <w:tcPr>
            <w:tcW w:w="1245" w:type="dxa"/>
          </w:tcPr>
          <w:p w14:paraId="69C0FC96" w14:textId="77777777" w:rsidR="007049A5" w:rsidRPr="004E4188" w:rsidRDefault="007049A5" w:rsidP="00991F68">
            <w:pPr>
              <w:rPr>
                <w:spacing w:val="-2"/>
                <w:sz w:val="22"/>
              </w:rPr>
            </w:pPr>
          </w:p>
        </w:tc>
        <w:tc>
          <w:tcPr>
            <w:tcW w:w="4569" w:type="dxa"/>
          </w:tcPr>
          <w:p w14:paraId="2BA6EE0B" w14:textId="77777777" w:rsidR="007049A5" w:rsidRPr="004E4188" w:rsidRDefault="007049A5" w:rsidP="00991F68">
            <w:pPr>
              <w:rPr>
                <w:spacing w:val="-2"/>
                <w:sz w:val="22"/>
              </w:rPr>
            </w:pPr>
          </w:p>
        </w:tc>
        <w:tc>
          <w:tcPr>
            <w:tcW w:w="2268" w:type="dxa"/>
          </w:tcPr>
          <w:p w14:paraId="3E06F6E2" w14:textId="77777777" w:rsidR="007049A5" w:rsidRPr="004E4188" w:rsidRDefault="007049A5" w:rsidP="00991F68">
            <w:pPr>
              <w:rPr>
                <w:spacing w:val="-2"/>
                <w:sz w:val="22"/>
              </w:rPr>
            </w:pPr>
          </w:p>
        </w:tc>
      </w:tr>
    </w:tbl>
    <w:p w14:paraId="4D4E5A5E" w14:textId="77777777" w:rsidR="007049A5" w:rsidRPr="004E4188" w:rsidRDefault="007049A5" w:rsidP="003948A6"/>
    <w:p w14:paraId="51ED9B9E" w14:textId="40FBCBC4" w:rsidR="007049A5" w:rsidRPr="004E4188" w:rsidRDefault="007049A5" w:rsidP="006C6267">
      <w:pPr>
        <w:pStyle w:val="SectionIVHeading2"/>
        <w:outlineLvl w:val="2"/>
        <w:rPr>
          <w:sz w:val="32"/>
          <w:szCs w:val="32"/>
          <w:lang w:val="fr-FR"/>
        </w:rPr>
      </w:pPr>
      <w:r w:rsidRPr="004E4188">
        <w:rPr>
          <w:lang w:val="fr-FR"/>
        </w:rPr>
        <w:br w:type="page"/>
      </w:r>
      <w:bookmarkStart w:id="657" w:name="_Toc327863892"/>
      <w:bookmarkStart w:id="658" w:name="_Toc349117759"/>
      <w:bookmarkStart w:id="659" w:name="_Toc357513240"/>
      <w:bookmarkStart w:id="660" w:name="_Toc112429334"/>
      <w:r w:rsidRPr="004E4188">
        <w:rPr>
          <w:sz w:val="32"/>
          <w:szCs w:val="32"/>
          <w:lang w:val="fr-FR"/>
        </w:rPr>
        <w:t>Formulaire EXP-2(a)</w:t>
      </w:r>
      <w:r w:rsidRPr="004E4188">
        <w:rPr>
          <w:i/>
          <w:sz w:val="32"/>
          <w:szCs w:val="32"/>
          <w:lang w:val="fr-FR"/>
        </w:rPr>
        <w:br/>
      </w:r>
      <w:bookmarkEnd w:id="657"/>
      <w:r w:rsidRPr="004E4188">
        <w:rPr>
          <w:sz w:val="32"/>
          <w:szCs w:val="32"/>
          <w:lang w:val="fr-FR"/>
        </w:rPr>
        <w:t>Expérience spécifique</w:t>
      </w:r>
      <w:bookmarkEnd w:id="658"/>
      <w:bookmarkEnd w:id="659"/>
      <w:bookmarkEnd w:id="660"/>
    </w:p>
    <w:p w14:paraId="2377E394" w14:textId="77777777" w:rsidR="007049A5" w:rsidRPr="004E4188" w:rsidRDefault="007049A5" w:rsidP="003948A6"/>
    <w:p w14:paraId="49625CD0" w14:textId="77777777" w:rsidR="007049A5" w:rsidRPr="004E4188" w:rsidRDefault="007049A5" w:rsidP="00416F94">
      <w:pPr>
        <w:tabs>
          <w:tab w:val="left" w:pos="2610"/>
        </w:tabs>
      </w:pPr>
      <w:r w:rsidRPr="004E4188">
        <w:t>[</w:t>
      </w:r>
      <w:r w:rsidRPr="004E4188">
        <w:rPr>
          <w:i/>
        </w:rPr>
        <w:t>Le tableau ci-dessous doit être rempli pour le Soumissionnaire et pour chaque membre du Groupement si le Soumissionnaire est un Groupement.</w:t>
      </w:r>
      <w:r w:rsidRPr="004E4188">
        <w:rPr>
          <w:rFonts w:hint="eastAsia"/>
          <w:lang w:eastAsia="ja-JP"/>
        </w:rPr>
        <w:t xml:space="preserve"> </w:t>
      </w:r>
      <w:r w:rsidRPr="004E4188">
        <w:rPr>
          <w:i/>
          <w:iCs/>
        </w:rPr>
        <w:t>Les documents cités comme requis doivent être remis en tant que pièces jointes aux présentes</w:t>
      </w:r>
      <w:r w:rsidRPr="004E4188">
        <w:rPr>
          <w:i/>
        </w:rPr>
        <w:t>.</w:t>
      </w:r>
      <w:r w:rsidRPr="004E4188">
        <w:t>]</w:t>
      </w:r>
    </w:p>
    <w:p w14:paraId="5D8F6C4E" w14:textId="77777777" w:rsidR="007049A5" w:rsidRPr="004E4188" w:rsidRDefault="007049A5" w:rsidP="00122D67">
      <w:pPr>
        <w:tabs>
          <w:tab w:val="left" w:pos="2610"/>
        </w:tabs>
        <w:jc w:val="right"/>
      </w:pPr>
    </w:p>
    <w:p w14:paraId="623AD6E2" w14:textId="16C4E730" w:rsidR="007049A5" w:rsidRPr="004E4188" w:rsidRDefault="007049A5" w:rsidP="00B52E41">
      <w:pPr>
        <w:jc w:val="right"/>
      </w:pPr>
      <w:r w:rsidRPr="004E4188">
        <w:t>Date : [</w:t>
      </w:r>
      <w:r w:rsidRPr="004E4188">
        <w:rPr>
          <w:i/>
        </w:rPr>
        <w:t>indiquer jour, mois, année</w:t>
      </w:r>
      <w:r w:rsidRPr="004E4188">
        <w:t>]</w:t>
      </w:r>
    </w:p>
    <w:p w14:paraId="0652812F" w14:textId="77777777" w:rsidR="007049A5" w:rsidRPr="004E4188" w:rsidRDefault="007049A5" w:rsidP="00B52E41">
      <w:pPr>
        <w:jc w:val="right"/>
      </w:pPr>
      <w:r w:rsidRPr="004E4188">
        <w:t>Nom légal du Soumissionnaire : [</w:t>
      </w:r>
      <w:r w:rsidRPr="004E4188">
        <w:rPr>
          <w:i/>
        </w:rPr>
        <w:t>indiquer le nom complet</w:t>
      </w:r>
      <w:r w:rsidRPr="004E4188">
        <w:t>]</w:t>
      </w:r>
    </w:p>
    <w:p w14:paraId="26329CD3" w14:textId="77777777" w:rsidR="007049A5" w:rsidRPr="004E4188" w:rsidRDefault="007049A5" w:rsidP="00B52E41">
      <w:pPr>
        <w:jc w:val="right"/>
      </w:pPr>
      <w:r w:rsidRPr="004E4188">
        <w:t>Nom légal du membre du Groupement : [</w:t>
      </w:r>
      <w:r w:rsidRPr="004E4188">
        <w:rPr>
          <w:i/>
        </w:rPr>
        <w:t>indiquer le nom complet</w:t>
      </w:r>
      <w:r w:rsidRPr="004E4188">
        <w:t>]</w:t>
      </w:r>
    </w:p>
    <w:p w14:paraId="7EB71FB1" w14:textId="385A8D45" w:rsidR="007049A5" w:rsidRPr="004E4188" w:rsidRDefault="007049A5" w:rsidP="00B52E41">
      <w:pPr>
        <w:tabs>
          <w:tab w:val="right" w:pos="9356"/>
        </w:tabs>
        <w:jc w:val="right"/>
        <w:rPr>
          <w:i/>
          <w:iCs/>
        </w:rPr>
      </w:pPr>
      <w:r w:rsidRPr="004E4188">
        <w:t>AAO n</w:t>
      </w:r>
      <w:r w:rsidRPr="004E4188">
        <w:rPr>
          <w:vertAlign w:val="superscript"/>
        </w:rPr>
        <w:t>o</w:t>
      </w:r>
      <w:r w:rsidR="00BE4591" w:rsidRPr="004E4188">
        <w:t xml:space="preserve"> </w:t>
      </w:r>
      <w:r w:rsidRPr="004E4188">
        <w:t xml:space="preserve">: </w:t>
      </w:r>
      <w:r w:rsidRPr="004E4188">
        <w:rPr>
          <w:iCs/>
        </w:rPr>
        <w:t>[</w:t>
      </w:r>
      <w:r w:rsidRPr="004E4188">
        <w:rPr>
          <w:i/>
          <w:iCs/>
        </w:rPr>
        <w:t>indiquer le numéro</w:t>
      </w:r>
      <w:r w:rsidRPr="004E4188">
        <w:rPr>
          <w:iCs/>
        </w:rPr>
        <w:t>]</w:t>
      </w:r>
    </w:p>
    <w:p w14:paraId="5247CFB9" w14:textId="77777777" w:rsidR="007049A5" w:rsidRPr="004E4188" w:rsidRDefault="007049A5" w:rsidP="00B52E41">
      <w:pPr>
        <w:tabs>
          <w:tab w:val="right" w:pos="9356"/>
        </w:tabs>
        <w:wordWrap w:val="0"/>
        <w:jc w:val="right"/>
        <w:rPr>
          <w:i/>
          <w:iCs/>
          <w:spacing w:val="-6"/>
          <w:lang w:eastAsia="ja-JP"/>
        </w:rPr>
      </w:pPr>
      <w:r w:rsidRPr="004E4188">
        <w:rPr>
          <w:iCs/>
          <w:spacing w:val="-6"/>
        </w:rPr>
        <w:t>Page : [</w:t>
      </w:r>
      <w:r w:rsidRPr="004E4188">
        <w:rPr>
          <w:i/>
          <w:iCs/>
          <w:spacing w:val="-6"/>
        </w:rPr>
        <w:t>indiquer le numéro de la page</w:t>
      </w:r>
      <w:r w:rsidRPr="004E4188">
        <w:rPr>
          <w:iCs/>
          <w:spacing w:val="-6"/>
        </w:rPr>
        <w:t>] de [</w:t>
      </w:r>
      <w:r w:rsidRPr="004E4188">
        <w:rPr>
          <w:i/>
          <w:iCs/>
          <w:spacing w:val="-6"/>
        </w:rPr>
        <w:t>indiquer le nombre total de</w:t>
      </w:r>
      <w:r w:rsidRPr="004E4188">
        <w:rPr>
          <w:iCs/>
          <w:spacing w:val="-6"/>
        </w:rPr>
        <w:t>] pages</w:t>
      </w:r>
    </w:p>
    <w:p w14:paraId="27F8C0F4" w14:textId="77777777" w:rsidR="007049A5" w:rsidRPr="004E4188" w:rsidRDefault="007049A5" w:rsidP="00B52E41">
      <w:pPr>
        <w:ind w:right="282"/>
        <w:jc w:val="right"/>
        <w:rPr>
          <w:lang w:eastAsia="ja-JP"/>
        </w:rPr>
      </w:pPr>
    </w:p>
    <w:p w14:paraId="0D0F14D4" w14:textId="77777777" w:rsidR="007049A5" w:rsidRPr="004E4188" w:rsidRDefault="007049A5" w:rsidP="00BE6B88">
      <w:pPr>
        <w:spacing w:afterLines="50" w:after="120"/>
        <w:ind w:right="284"/>
        <w:rPr>
          <w:i/>
          <w:lang w:eastAsia="ja-JP"/>
        </w:rPr>
      </w:pPr>
      <w:r w:rsidRPr="004E4188">
        <w:rPr>
          <w:iCs/>
        </w:rPr>
        <w:t>[</w:t>
      </w:r>
      <w:r w:rsidRPr="004E4188">
        <w:rPr>
          <w:i/>
        </w:rPr>
        <w:t>Le Soumissionnaire doit</w:t>
      </w:r>
      <w:r w:rsidRPr="004E4188">
        <w:rPr>
          <w:rFonts w:hint="eastAsia"/>
          <w:i/>
          <w:lang w:eastAsia="ja-JP"/>
        </w:rPr>
        <w:t xml:space="preserve"> </w:t>
      </w:r>
      <w:r w:rsidRPr="004E4188">
        <w:rPr>
          <w:i/>
          <w:lang w:eastAsia="ja-JP"/>
        </w:rPr>
        <w:t>utiliser un (1) formulaire par marché, conformément au Critère 2.4.2(a) de la Section III, Critères d’évaluation et de qualification.</w:t>
      </w:r>
      <w:r w:rsidRPr="004E4188">
        <w:rPr>
          <w:iCs/>
        </w:rPr>
        <w:t>]</w:t>
      </w:r>
      <w:r w:rsidRPr="004E4188">
        <w:rPr>
          <w:i/>
          <w:lang w:eastAsia="ja-JP"/>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28"/>
        <w:gridCol w:w="1559"/>
        <w:gridCol w:w="1417"/>
        <w:gridCol w:w="2552"/>
      </w:tblGrid>
      <w:tr w:rsidR="007049A5" w:rsidRPr="004E4188" w14:paraId="64612C0B" w14:textId="77777777" w:rsidTr="006C6267">
        <w:trPr>
          <w:cantSplit/>
          <w:tblHeader/>
        </w:trPr>
        <w:tc>
          <w:tcPr>
            <w:tcW w:w="9356" w:type="dxa"/>
            <w:gridSpan w:val="4"/>
            <w:tcBorders>
              <w:top w:val="single" w:sz="4" w:space="0" w:color="auto"/>
              <w:bottom w:val="double" w:sz="4" w:space="0" w:color="auto"/>
            </w:tcBorders>
            <w:shd w:val="clear" w:color="auto" w:fill="E0E0E0"/>
          </w:tcPr>
          <w:p w14:paraId="169EC7BC" w14:textId="77777777" w:rsidR="007049A5" w:rsidRPr="004E4188" w:rsidRDefault="007049A5" w:rsidP="006C6267">
            <w:pPr>
              <w:spacing w:before="120" w:afterLines="50" w:after="120"/>
              <w:jc w:val="center"/>
              <w:rPr>
                <w:b/>
                <w:spacing w:val="-2"/>
              </w:rPr>
            </w:pPr>
            <w:r w:rsidRPr="004E4188">
              <w:rPr>
                <w:b/>
                <w:spacing w:val="-2"/>
              </w:rPr>
              <w:t>Marché de taille et de nature similaires</w:t>
            </w:r>
          </w:p>
        </w:tc>
      </w:tr>
      <w:tr w:rsidR="007049A5" w:rsidRPr="004E4188" w14:paraId="76C11510" w14:textId="77777777" w:rsidTr="006C6267">
        <w:trPr>
          <w:cantSplit/>
          <w:tblHeader/>
        </w:trPr>
        <w:tc>
          <w:tcPr>
            <w:tcW w:w="3828" w:type="dxa"/>
            <w:tcBorders>
              <w:top w:val="double" w:sz="4" w:space="0" w:color="auto"/>
              <w:bottom w:val="single" w:sz="4" w:space="0" w:color="auto"/>
            </w:tcBorders>
            <w:shd w:val="clear" w:color="auto" w:fill="auto"/>
          </w:tcPr>
          <w:p w14:paraId="7EE39D66" w14:textId="77777777" w:rsidR="007049A5" w:rsidRPr="004E4188" w:rsidRDefault="007049A5" w:rsidP="00D83D11">
            <w:pPr>
              <w:spacing w:before="120" w:after="120"/>
              <w:rPr>
                <w:spacing w:val="-2"/>
              </w:rPr>
            </w:pPr>
            <w:r w:rsidRPr="004E4188">
              <w:rPr>
                <w:b/>
                <w:spacing w:val="-2"/>
              </w:rPr>
              <w:t>Numéro du marché similaire</w:t>
            </w:r>
            <w:r w:rsidRPr="004E4188">
              <w:rPr>
                <w:spacing w:val="-2"/>
              </w:rPr>
              <w:t xml:space="preserve"> : </w:t>
            </w:r>
            <w:r w:rsidRPr="004E4188">
              <w:t>[</w:t>
            </w:r>
            <w:r w:rsidRPr="004E4188">
              <w:rPr>
                <w:i/>
              </w:rPr>
              <w:t>indiquer le numéro</w:t>
            </w:r>
            <w:r w:rsidRPr="004E4188">
              <w:t>] de [</w:t>
            </w:r>
            <w:r w:rsidRPr="004E4188">
              <w:rPr>
                <w:i/>
              </w:rPr>
              <w:t>indiquer le nombre de marchés similaires requis</w:t>
            </w:r>
            <w:r w:rsidRPr="004E4188">
              <w:t>]</w:t>
            </w:r>
          </w:p>
        </w:tc>
        <w:tc>
          <w:tcPr>
            <w:tcW w:w="5528" w:type="dxa"/>
            <w:gridSpan w:val="3"/>
            <w:tcBorders>
              <w:top w:val="double" w:sz="4" w:space="0" w:color="auto"/>
              <w:bottom w:val="single" w:sz="4" w:space="0" w:color="auto"/>
            </w:tcBorders>
            <w:shd w:val="clear" w:color="auto" w:fill="auto"/>
          </w:tcPr>
          <w:p w14:paraId="7D1A5879" w14:textId="77777777" w:rsidR="007049A5" w:rsidRPr="004E4188" w:rsidRDefault="007049A5" w:rsidP="00D83D11">
            <w:pPr>
              <w:spacing w:before="120"/>
              <w:jc w:val="center"/>
              <w:rPr>
                <w:b/>
                <w:spacing w:val="-2"/>
              </w:rPr>
            </w:pPr>
            <w:r w:rsidRPr="004E4188">
              <w:rPr>
                <w:b/>
                <w:spacing w:val="-2"/>
              </w:rPr>
              <w:t>Information</w:t>
            </w:r>
          </w:p>
        </w:tc>
      </w:tr>
      <w:tr w:rsidR="007049A5" w:rsidRPr="004E4188" w14:paraId="0E31C261" w14:textId="77777777" w:rsidTr="006C6267">
        <w:trPr>
          <w:cantSplit/>
          <w:trHeight w:val="556"/>
        </w:trPr>
        <w:tc>
          <w:tcPr>
            <w:tcW w:w="3828" w:type="dxa"/>
            <w:tcBorders>
              <w:top w:val="single" w:sz="4" w:space="0" w:color="auto"/>
            </w:tcBorders>
            <w:vAlign w:val="center"/>
          </w:tcPr>
          <w:p w14:paraId="6851F16F" w14:textId="77777777" w:rsidR="007049A5" w:rsidRPr="004E4188" w:rsidRDefault="007049A5" w:rsidP="00D83D11">
            <w:pPr>
              <w:pStyle w:val="af7"/>
              <w:rPr>
                <w:lang w:val="fr-FR"/>
              </w:rPr>
            </w:pPr>
            <w:r w:rsidRPr="004E4188">
              <w:rPr>
                <w:lang w:val="fr-FR"/>
              </w:rPr>
              <w:t>Identification du marché</w:t>
            </w:r>
          </w:p>
        </w:tc>
        <w:tc>
          <w:tcPr>
            <w:tcW w:w="5528" w:type="dxa"/>
            <w:gridSpan w:val="3"/>
            <w:tcBorders>
              <w:top w:val="single" w:sz="4" w:space="0" w:color="auto"/>
            </w:tcBorders>
            <w:vAlign w:val="center"/>
          </w:tcPr>
          <w:p w14:paraId="2AA81B73" w14:textId="77777777" w:rsidR="007049A5" w:rsidRPr="004E4188" w:rsidRDefault="007049A5" w:rsidP="00D83D11">
            <w:pPr>
              <w:pStyle w:val="af7"/>
              <w:rPr>
                <w:lang w:val="fr-FR"/>
              </w:rPr>
            </w:pPr>
            <w:r w:rsidRPr="004E4188">
              <w:rPr>
                <w:lang w:val="fr-FR"/>
              </w:rPr>
              <w:t>[</w:t>
            </w:r>
            <w:r w:rsidRPr="004E4188">
              <w:rPr>
                <w:i/>
                <w:lang w:val="fr-FR"/>
              </w:rPr>
              <w:t>indiquer le nom du marché et le numéro de référence, le cas échéant</w:t>
            </w:r>
            <w:r w:rsidRPr="004E4188">
              <w:rPr>
                <w:lang w:val="fr-FR"/>
              </w:rPr>
              <w:t>]</w:t>
            </w:r>
          </w:p>
        </w:tc>
      </w:tr>
      <w:tr w:rsidR="007049A5" w:rsidRPr="004E4188" w14:paraId="0AC0F607" w14:textId="77777777" w:rsidTr="006C6267">
        <w:trPr>
          <w:cantSplit/>
          <w:trHeight w:val="556"/>
        </w:trPr>
        <w:tc>
          <w:tcPr>
            <w:tcW w:w="3828" w:type="dxa"/>
            <w:vAlign w:val="center"/>
          </w:tcPr>
          <w:p w14:paraId="25FAAE2D" w14:textId="77777777" w:rsidR="007049A5" w:rsidRPr="004E4188" w:rsidRDefault="007049A5" w:rsidP="00D83D11">
            <w:pPr>
              <w:pStyle w:val="af7"/>
              <w:rPr>
                <w:lang w:val="fr-FR" w:eastAsia="ja-JP"/>
              </w:rPr>
            </w:pPr>
            <w:r w:rsidRPr="004E4188">
              <w:rPr>
                <w:lang w:val="fr-FR"/>
              </w:rPr>
              <w:t>Date d’attribution</w:t>
            </w:r>
          </w:p>
        </w:tc>
        <w:tc>
          <w:tcPr>
            <w:tcW w:w="5528" w:type="dxa"/>
            <w:gridSpan w:val="3"/>
            <w:vAlign w:val="center"/>
          </w:tcPr>
          <w:p w14:paraId="1CF8AAE6" w14:textId="77777777" w:rsidR="007049A5" w:rsidRPr="004E4188" w:rsidRDefault="007049A5" w:rsidP="00D83D11">
            <w:pPr>
              <w:pStyle w:val="af7"/>
              <w:rPr>
                <w:lang w:val="fr-FR"/>
              </w:rPr>
            </w:pPr>
            <w:r w:rsidRPr="004E4188">
              <w:rPr>
                <w:lang w:val="fr-FR"/>
              </w:rPr>
              <w:t>[</w:t>
            </w:r>
            <w:r w:rsidRPr="004E4188">
              <w:rPr>
                <w:i/>
                <w:lang w:val="fr-FR"/>
              </w:rPr>
              <w:t>indiquer jour, mois, année, p. ex. : 15 juin 2015</w:t>
            </w:r>
            <w:r w:rsidRPr="004E4188">
              <w:rPr>
                <w:lang w:val="fr-FR"/>
              </w:rPr>
              <w:t>]</w:t>
            </w:r>
          </w:p>
        </w:tc>
      </w:tr>
      <w:tr w:rsidR="007049A5" w:rsidRPr="004E4188" w14:paraId="0E7DB517" w14:textId="77777777" w:rsidTr="006C6267">
        <w:trPr>
          <w:cantSplit/>
          <w:trHeight w:val="556"/>
        </w:trPr>
        <w:tc>
          <w:tcPr>
            <w:tcW w:w="3828" w:type="dxa"/>
            <w:vAlign w:val="center"/>
          </w:tcPr>
          <w:p w14:paraId="27AB0E10" w14:textId="77777777" w:rsidR="007049A5" w:rsidRPr="004E4188" w:rsidRDefault="007049A5" w:rsidP="00D83D11">
            <w:pPr>
              <w:pStyle w:val="af7"/>
              <w:rPr>
                <w:lang w:val="fr-FR" w:eastAsia="ja-JP"/>
              </w:rPr>
            </w:pPr>
            <w:r w:rsidRPr="004E4188">
              <w:rPr>
                <w:lang w:val="fr-FR"/>
              </w:rPr>
              <w:t>Date d’achèvement</w:t>
            </w:r>
          </w:p>
        </w:tc>
        <w:tc>
          <w:tcPr>
            <w:tcW w:w="5528" w:type="dxa"/>
            <w:gridSpan w:val="3"/>
            <w:vAlign w:val="center"/>
          </w:tcPr>
          <w:p w14:paraId="68473308" w14:textId="77777777" w:rsidR="007049A5" w:rsidRPr="004E4188" w:rsidRDefault="007049A5" w:rsidP="00D83D11">
            <w:pPr>
              <w:pStyle w:val="af7"/>
              <w:rPr>
                <w:lang w:val="fr-FR"/>
              </w:rPr>
            </w:pPr>
            <w:r w:rsidRPr="004E4188">
              <w:rPr>
                <w:lang w:val="fr-FR"/>
              </w:rPr>
              <w:t>[</w:t>
            </w:r>
            <w:r w:rsidRPr="004E4188">
              <w:rPr>
                <w:i/>
                <w:lang w:val="fr-FR"/>
              </w:rPr>
              <w:t>indiquer jour, mois, année, p. ex. : 3 octobre 2017</w:t>
            </w:r>
            <w:r w:rsidRPr="004E4188">
              <w:rPr>
                <w:lang w:val="fr-FR"/>
              </w:rPr>
              <w:t>]</w:t>
            </w:r>
          </w:p>
        </w:tc>
      </w:tr>
      <w:tr w:rsidR="007049A5" w:rsidRPr="004E4188" w14:paraId="404225D6" w14:textId="77777777" w:rsidTr="006C6267">
        <w:trPr>
          <w:cantSplit/>
        </w:trPr>
        <w:tc>
          <w:tcPr>
            <w:tcW w:w="3828" w:type="dxa"/>
            <w:vMerge w:val="restart"/>
            <w:vAlign w:val="center"/>
          </w:tcPr>
          <w:p w14:paraId="0798FE83" w14:textId="77777777" w:rsidR="007049A5" w:rsidRPr="004E4188" w:rsidRDefault="007049A5" w:rsidP="00D83D11">
            <w:pPr>
              <w:rPr>
                <w:spacing w:val="-2"/>
              </w:rPr>
            </w:pPr>
            <w:r w:rsidRPr="004E4188">
              <w:rPr>
                <w:spacing w:val="-2"/>
              </w:rPr>
              <w:t>Rôle dans le marché</w:t>
            </w:r>
          </w:p>
          <w:p w14:paraId="1368A230" w14:textId="77777777" w:rsidR="007049A5" w:rsidRPr="004E4188" w:rsidRDefault="007049A5" w:rsidP="00D83D11">
            <w:pPr>
              <w:rPr>
                <w:spacing w:val="-2"/>
              </w:rPr>
            </w:pPr>
            <w:r w:rsidRPr="004E4188">
              <w:t>[</w:t>
            </w:r>
            <w:r w:rsidRPr="004E4188">
              <w:rPr>
                <w:i/>
              </w:rPr>
              <w:t>cocher la case correspondante</w:t>
            </w:r>
            <w:r w:rsidRPr="004E4188">
              <w:t>]</w:t>
            </w:r>
          </w:p>
        </w:tc>
        <w:tc>
          <w:tcPr>
            <w:tcW w:w="5528" w:type="dxa"/>
            <w:gridSpan w:val="3"/>
            <w:vAlign w:val="center"/>
          </w:tcPr>
          <w:p w14:paraId="3022C090" w14:textId="77777777" w:rsidR="007049A5" w:rsidRPr="004E4188" w:rsidRDefault="007049A5" w:rsidP="00F00E3C">
            <w:pPr>
              <w:spacing w:before="40" w:after="40"/>
              <w:jc w:val="center"/>
              <w:rPr>
                <w:sz w:val="36"/>
              </w:rPr>
            </w:pPr>
            <w:r w:rsidRPr="004E4188">
              <w:t>Entrepreneur principal</w:t>
            </w:r>
          </w:p>
        </w:tc>
      </w:tr>
      <w:tr w:rsidR="007049A5" w:rsidRPr="004E4188" w14:paraId="680CE8E8" w14:textId="77777777" w:rsidTr="006C6267">
        <w:trPr>
          <w:cantSplit/>
        </w:trPr>
        <w:tc>
          <w:tcPr>
            <w:tcW w:w="3828" w:type="dxa"/>
            <w:vMerge/>
            <w:vAlign w:val="center"/>
          </w:tcPr>
          <w:p w14:paraId="44B24E32" w14:textId="77777777" w:rsidR="007049A5" w:rsidRPr="004E4188" w:rsidRDefault="007049A5" w:rsidP="00D83D11">
            <w:pPr>
              <w:rPr>
                <w:spacing w:val="-2"/>
              </w:rPr>
            </w:pPr>
          </w:p>
        </w:tc>
        <w:tc>
          <w:tcPr>
            <w:tcW w:w="2976" w:type="dxa"/>
            <w:gridSpan w:val="2"/>
            <w:vAlign w:val="center"/>
          </w:tcPr>
          <w:p w14:paraId="076EAAA3" w14:textId="77777777" w:rsidR="007049A5" w:rsidRPr="004E4188" w:rsidRDefault="007049A5" w:rsidP="00D83D11">
            <w:pPr>
              <w:jc w:val="center"/>
            </w:pPr>
            <w:r w:rsidRPr="004E4188">
              <w:t>Entreprise unique</w:t>
            </w:r>
          </w:p>
          <w:p w14:paraId="3B94D3DB" w14:textId="77777777" w:rsidR="007049A5" w:rsidRPr="004E4188" w:rsidDel="00152C7F" w:rsidRDefault="007049A5" w:rsidP="00D83D11">
            <w:pPr>
              <w:jc w:val="center"/>
            </w:pPr>
            <w:r w:rsidRPr="004E4188">
              <w:rPr>
                <w:spacing w:val="-8"/>
                <w:szCs w:val="24"/>
              </w:rPr>
              <w:sym w:font="Wingdings" w:char="F0A8"/>
            </w:r>
          </w:p>
        </w:tc>
        <w:tc>
          <w:tcPr>
            <w:tcW w:w="2552" w:type="dxa"/>
            <w:vAlign w:val="center"/>
          </w:tcPr>
          <w:p w14:paraId="57904B94" w14:textId="77777777" w:rsidR="007049A5" w:rsidRPr="004E4188" w:rsidRDefault="007049A5" w:rsidP="00D83D11">
            <w:pPr>
              <w:jc w:val="center"/>
              <w:rPr>
                <w:spacing w:val="-8"/>
                <w:szCs w:val="24"/>
              </w:rPr>
            </w:pPr>
            <w:r w:rsidRPr="004E4188">
              <w:rPr>
                <w:spacing w:val="-8"/>
                <w:szCs w:val="24"/>
              </w:rPr>
              <w:t>Membre de Groupement</w:t>
            </w:r>
          </w:p>
          <w:p w14:paraId="55B0507F" w14:textId="77777777" w:rsidR="007049A5" w:rsidRPr="004E4188" w:rsidDel="00152C7F" w:rsidRDefault="007049A5" w:rsidP="00D83D11">
            <w:pPr>
              <w:jc w:val="center"/>
            </w:pPr>
            <w:r w:rsidRPr="004E4188">
              <w:rPr>
                <w:spacing w:val="-8"/>
                <w:szCs w:val="24"/>
              </w:rPr>
              <w:sym w:font="Wingdings" w:char="F0A8"/>
            </w:r>
          </w:p>
        </w:tc>
      </w:tr>
      <w:tr w:rsidR="007049A5" w:rsidRPr="004E4188" w14:paraId="527BA626" w14:textId="77777777" w:rsidTr="006C6267">
        <w:trPr>
          <w:cantSplit/>
        </w:trPr>
        <w:tc>
          <w:tcPr>
            <w:tcW w:w="3828" w:type="dxa"/>
            <w:vAlign w:val="center"/>
          </w:tcPr>
          <w:p w14:paraId="52500524" w14:textId="77777777" w:rsidR="007049A5" w:rsidRPr="004E4188" w:rsidRDefault="007049A5" w:rsidP="00D83D11">
            <w:pPr>
              <w:pStyle w:val="af7"/>
              <w:rPr>
                <w:lang w:val="fr-FR"/>
              </w:rPr>
            </w:pPr>
            <w:r w:rsidRPr="004E4188">
              <w:rPr>
                <w:lang w:val="fr-FR"/>
              </w:rPr>
              <w:t>Montant total du marché</w:t>
            </w:r>
          </w:p>
        </w:tc>
        <w:tc>
          <w:tcPr>
            <w:tcW w:w="2976" w:type="dxa"/>
            <w:gridSpan w:val="2"/>
            <w:vAlign w:val="center"/>
          </w:tcPr>
          <w:p w14:paraId="62E20F64" w14:textId="77777777" w:rsidR="007049A5" w:rsidRPr="004E4188" w:rsidRDefault="007049A5" w:rsidP="006C6267">
            <w:pPr>
              <w:pStyle w:val="af7"/>
              <w:jc w:val="left"/>
              <w:rPr>
                <w:lang w:val="fr-FR"/>
              </w:rPr>
            </w:pPr>
            <w:r w:rsidRPr="004E4188">
              <w:rPr>
                <w:lang w:val="fr-FR"/>
              </w:rPr>
              <w:t>[</w:t>
            </w:r>
            <w:r w:rsidRPr="004E4188">
              <w:rPr>
                <w:i/>
                <w:lang w:val="fr-FR"/>
              </w:rPr>
              <w:t>indiquer le montant total du marché et la(les) monnaie(s)</w:t>
            </w:r>
            <w:r w:rsidRPr="004E4188">
              <w:rPr>
                <w:lang w:val="fr-FR"/>
              </w:rPr>
              <w:t>]</w:t>
            </w:r>
            <w:r w:rsidRPr="004E4188" w:rsidDel="00152C7F">
              <w:rPr>
                <w:i/>
                <w:lang w:val="fr-FR"/>
              </w:rPr>
              <w:t xml:space="preserve"> </w:t>
            </w:r>
          </w:p>
        </w:tc>
        <w:tc>
          <w:tcPr>
            <w:tcW w:w="2552" w:type="dxa"/>
            <w:vAlign w:val="center"/>
          </w:tcPr>
          <w:p w14:paraId="15755CF3" w14:textId="77777777" w:rsidR="007049A5" w:rsidRPr="004E4188" w:rsidRDefault="007049A5" w:rsidP="006C6267">
            <w:pPr>
              <w:pStyle w:val="af7"/>
              <w:spacing w:afterLines="50" w:after="120"/>
              <w:jc w:val="left"/>
              <w:rPr>
                <w:lang w:val="fr-FR"/>
              </w:rPr>
            </w:pPr>
            <w:r w:rsidRPr="004E4188">
              <w:rPr>
                <w:lang w:val="fr-FR"/>
              </w:rPr>
              <w:t>[</w:t>
            </w:r>
            <w:r w:rsidRPr="004E4188">
              <w:rPr>
                <w:i/>
                <w:lang w:val="fr-FR"/>
              </w:rPr>
              <w:t>indiquer le taux de change et le montant total du marché en équivalent $US</w:t>
            </w:r>
            <w:r w:rsidRPr="004E4188">
              <w:rPr>
                <w:lang w:val="fr-FR"/>
              </w:rPr>
              <w:t>]</w:t>
            </w:r>
          </w:p>
        </w:tc>
      </w:tr>
      <w:tr w:rsidR="007049A5" w:rsidRPr="004E4188" w14:paraId="4477465F" w14:textId="77777777" w:rsidTr="00B70D0B">
        <w:trPr>
          <w:cantSplit/>
        </w:trPr>
        <w:tc>
          <w:tcPr>
            <w:tcW w:w="3828" w:type="dxa"/>
            <w:vMerge w:val="restart"/>
            <w:vAlign w:val="center"/>
          </w:tcPr>
          <w:p w14:paraId="6CA1F1C5" w14:textId="77777777" w:rsidR="007049A5" w:rsidRPr="004E4188" w:rsidRDefault="007049A5" w:rsidP="00D83D11">
            <w:pPr>
              <w:pStyle w:val="af7"/>
              <w:rPr>
                <w:lang w:val="fr-FR"/>
              </w:rPr>
            </w:pPr>
            <w:r w:rsidRPr="004E4188">
              <w:rPr>
                <w:lang w:val="fr-FR"/>
              </w:rPr>
              <w:t>Si membre d’un Groupement, préciser la participation au montant total du marché</w:t>
            </w:r>
          </w:p>
        </w:tc>
        <w:tc>
          <w:tcPr>
            <w:tcW w:w="1559" w:type="dxa"/>
            <w:tcBorders>
              <w:bottom w:val="single" w:sz="4" w:space="0" w:color="auto"/>
            </w:tcBorders>
            <w:vAlign w:val="center"/>
          </w:tcPr>
          <w:p w14:paraId="1BC4F6F9" w14:textId="77777777" w:rsidR="007049A5" w:rsidRPr="004E4188" w:rsidRDefault="007049A5" w:rsidP="006C6267">
            <w:pPr>
              <w:pStyle w:val="af7"/>
              <w:ind w:leftChars="-13" w:left="-2" w:hangingChars="12" w:hanging="29"/>
              <w:jc w:val="left"/>
              <w:rPr>
                <w:lang w:val="fr-FR"/>
              </w:rPr>
            </w:pPr>
            <w:r w:rsidRPr="004E4188">
              <w:rPr>
                <w:lang w:val="fr-FR"/>
              </w:rPr>
              <w:t>[</w:t>
            </w:r>
            <w:r w:rsidRPr="004E4188">
              <w:rPr>
                <w:i/>
                <w:lang w:val="fr-FR"/>
              </w:rPr>
              <w:t>indiquer le pourcentage</w:t>
            </w:r>
            <w:r w:rsidRPr="004E4188">
              <w:rPr>
                <w:lang w:val="fr-FR"/>
              </w:rPr>
              <w:t>]</w:t>
            </w:r>
          </w:p>
        </w:tc>
        <w:tc>
          <w:tcPr>
            <w:tcW w:w="1417" w:type="dxa"/>
            <w:tcBorders>
              <w:bottom w:val="single" w:sz="4" w:space="0" w:color="auto"/>
            </w:tcBorders>
            <w:vAlign w:val="center"/>
          </w:tcPr>
          <w:p w14:paraId="6E437137" w14:textId="77777777" w:rsidR="007049A5" w:rsidRPr="004E4188" w:rsidRDefault="007049A5" w:rsidP="006C6267">
            <w:pPr>
              <w:pStyle w:val="af7"/>
              <w:jc w:val="left"/>
              <w:rPr>
                <w:lang w:val="fr-FR"/>
              </w:rPr>
            </w:pPr>
            <w:r w:rsidRPr="004E4188">
              <w:rPr>
                <w:lang w:val="fr-FR"/>
              </w:rPr>
              <w:t>[</w:t>
            </w:r>
            <w:r w:rsidRPr="004E4188">
              <w:rPr>
                <w:i/>
                <w:lang w:val="fr-FR"/>
              </w:rPr>
              <w:t>indiquer le montant et la(les) monnaie(s)</w:t>
            </w:r>
            <w:r w:rsidRPr="004E4188">
              <w:rPr>
                <w:lang w:val="fr-FR"/>
              </w:rPr>
              <w:t>]</w:t>
            </w:r>
          </w:p>
        </w:tc>
        <w:tc>
          <w:tcPr>
            <w:tcW w:w="2552" w:type="dxa"/>
            <w:tcBorders>
              <w:bottom w:val="single" w:sz="4" w:space="0" w:color="auto"/>
            </w:tcBorders>
            <w:vAlign w:val="center"/>
          </w:tcPr>
          <w:p w14:paraId="2C5B451D" w14:textId="77777777" w:rsidR="007049A5" w:rsidRPr="004E4188" w:rsidRDefault="007049A5" w:rsidP="006C6267">
            <w:pPr>
              <w:pStyle w:val="af7"/>
              <w:jc w:val="left"/>
              <w:rPr>
                <w:lang w:val="fr-FR"/>
              </w:rPr>
            </w:pPr>
            <w:r w:rsidRPr="004E4188">
              <w:rPr>
                <w:lang w:val="fr-FR"/>
              </w:rPr>
              <w:t>[</w:t>
            </w:r>
            <w:r w:rsidRPr="004E4188">
              <w:rPr>
                <w:i/>
                <w:lang w:val="fr-FR"/>
              </w:rPr>
              <w:t>indiquer le taux de change et le montant en équivalent $US</w:t>
            </w:r>
            <w:r w:rsidRPr="004E4188">
              <w:rPr>
                <w:lang w:val="fr-FR"/>
              </w:rPr>
              <w:t>]</w:t>
            </w:r>
          </w:p>
        </w:tc>
      </w:tr>
      <w:tr w:rsidR="007049A5" w:rsidRPr="004E4188" w14:paraId="65311495" w14:textId="77777777" w:rsidTr="006C6267">
        <w:trPr>
          <w:cantSplit/>
        </w:trPr>
        <w:tc>
          <w:tcPr>
            <w:tcW w:w="3828" w:type="dxa"/>
            <w:vMerge/>
            <w:tcBorders>
              <w:bottom w:val="single" w:sz="4" w:space="0" w:color="auto"/>
            </w:tcBorders>
            <w:vAlign w:val="center"/>
          </w:tcPr>
          <w:p w14:paraId="2ED38660" w14:textId="77777777" w:rsidR="007049A5" w:rsidRPr="004E4188" w:rsidRDefault="007049A5" w:rsidP="006C6267">
            <w:pPr>
              <w:pStyle w:val="af7"/>
              <w:rPr>
                <w:lang w:val="fr-FR"/>
              </w:rPr>
            </w:pPr>
          </w:p>
        </w:tc>
        <w:tc>
          <w:tcPr>
            <w:tcW w:w="5528" w:type="dxa"/>
            <w:gridSpan w:val="3"/>
            <w:tcBorders>
              <w:bottom w:val="single" w:sz="4" w:space="0" w:color="auto"/>
            </w:tcBorders>
            <w:vAlign w:val="center"/>
          </w:tcPr>
          <w:p w14:paraId="03D6DEE1" w14:textId="77777777" w:rsidR="007049A5" w:rsidRPr="004E4188" w:rsidRDefault="007049A5" w:rsidP="006C6267">
            <w:pPr>
              <w:pStyle w:val="af7"/>
              <w:jc w:val="left"/>
              <w:rPr>
                <w:lang w:val="fr-FR"/>
              </w:rPr>
            </w:pPr>
            <w:r w:rsidRPr="004E4188">
              <w:rPr>
                <w:lang w:val="fr-FR"/>
              </w:rPr>
              <w:t>[</w:t>
            </w:r>
            <w:r w:rsidRPr="004E4188">
              <w:rPr>
                <w:i/>
                <w:lang w:val="fr-FR"/>
              </w:rPr>
              <w:t>décrire la participation au Groupement et des travaux réalisés</w:t>
            </w:r>
            <w:r w:rsidRPr="004E4188">
              <w:rPr>
                <w:lang w:val="fr-FR"/>
              </w:rPr>
              <w:t>]</w:t>
            </w:r>
          </w:p>
        </w:tc>
      </w:tr>
      <w:tr w:rsidR="007049A5" w:rsidRPr="004E4188" w14:paraId="538291E1" w14:textId="77777777" w:rsidTr="006C6267">
        <w:trPr>
          <w:cantSplit/>
          <w:trHeight w:val="556"/>
        </w:trPr>
        <w:tc>
          <w:tcPr>
            <w:tcW w:w="3828" w:type="dxa"/>
            <w:tcBorders>
              <w:top w:val="nil"/>
              <w:bottom w:val="single" w:sz="4" w:space="0" w:color="auto"/>
            </w:tcBorders>
          </w:tcPr>
          <w:p w14:paraId="26EF96D6" w14:textId="77777777" w:rsidR="007049A5" w:rsidRPr="004E4188" w:rsidRDefault="007049A5" w:rsidP="006C6267">
            <w:pPr>
              <w:pStyle w:val="af7"/>
              <w:rPr>
                <w:lang w:val="fr-FR"/>
              </w:rPr>
            </w:pPr>
            <w:r w:rsidRPr="004E4188">
              <w:rPr>
                <w:lang w:val="fr-FR"/>
              </w:rPr>
              <w:t>Nom du Maître d’ouvrage :</w:t>
            </w:r>
          </w:p>
          <w:p w14:paraId="507A4923" w14:textId="77777777" w:rsidR="007049A5" w:rsidRPr="004E4188" w:rsidRDefault="007049A5" w:rsidP="006C6267">
            <w:pPr>
              <w:pStyle w:val="af7"/>
              <w:rPr>
                <w:lang w:val="fr-FR"/>
              </w:rPr>
            </w:pPr>
          </w:p>
          <w:p w14:paraId="7E54A2CC" w14:textId="77777777" w:rsidR="007049A5" w:rsidRPr="004E4188" w:rsidRDefault="007049A5" w:rsidP="006C6267">
            <w:pPr>
              <w:pStyle w:val="af7"/>
              <w:rPr>
                <w:lang w:val="fr-FR"/>
              </w:rPr>
            </w:pPr>
            <w:r w:rsidRPr="004E4188">
              <w:rPr>
                <w:lang w:val="fr-FR"/>
              </w:rPr>
              <w:t>Adresse :</w:t>
            </w:r>
          </w:p>
          <w:p w14:paraId="0FF65935" w14:textId="77777777" w:rsidR="007049A5" w:rsidRPr="004E4188" w:rsidRDefault="007049A5" w:rsidP="006C6267">
            <w:pPr>
              <w:pStyle w:val="af7"/>
              <w:rPr>
                <w:lang w:val="fr-FR"/>
              </w:rPr>
            </w:pPr>
          </w:p>
          <w:p w14:paraId="78C90BB6" w14:textId="77777777" w:rsidR="007049A5" w:rsidRPr="004E4188" w:rsidRDefault="007049A5" w:rsidP="006C6267">
            <w:pPr>
              <w:pStyle w:val="af7"/>
              <w:rPr>
                <w:lang w:val="fr-FR"/>
              </w:rPr>
            </w:pPr>
            <w:r w:rsidRPr="004E4188">
              <w:rPr>
                <w:lang w:val="fr-FR"/>
              </w:rPr>
              <w:t>Numéro de téléphone/fax :</w:t>
            </w:r>
          </w:p>
          <w:p w14:paraId="53D32D91" w14:textId="77777777" w:rsidR="007049A5" w:rsidRPr="004E4188" w:rsidRDefault="007049A5" w:rsidP="006C6267">
            <w:pPr>
              <w:pStyle w:val="af7"/>
              <w:rPr>
                <w:lang w:val="fr-FR"/>
              </w:rPr>
            </w:pPr>
          </w:p>
          <w:p w14:paraId="6787F59B" w14:textId="77777777" w:rsidR="007049A5" w:rsidRPr="004E4188" w:rsidRDefault="007049A5" w:rsidP="006C6267">
            <w:pPr>
              <w:pStyle w:val="af7"/>
              <w:rPr>
                <w:lang w:val="fr-FR"/>
              </w:rPr>
            </w:pPr>
          </w:p>
          <w:p w14:paraId="65E624A8" w14:textId="77777777" w:rsidR="007049A5" w:rsidRPr="004E4188" w:rsidRDefault="007049A5" w:rsidP="006C6267">
            <w:pPr>
              <w:pStyle w:val="af7"/>
              <w:spacing w:afterLines="50" w:after="120"/>
              <w:rPr>
                <w:lang w:val="fr-FR"/>
              </w:rPr>
            </w:pPr>
            <w:r w:rsidRPr="004E4188">
              <w:rPr>
                <w:lang w:val="fr-FR"/>
              </w:rPr>
              <w:t>Adresse électronique :</w:t>
            </w:r>
          </w:p>
        </w:tc>
        <w:tc>
          <w:tcPr>
            <w:tcW w:w="5528" w:type="dxa"/>
            <w:gridSpan w:val="3"/>
            <w:tcBorders>
              <w:top w:val="nil"/>
              <w:bottom w:val="single" w:sz="4" w:space="0" w:color="auto"/>
            </w:tcBorders>
          </w:tcPr>
          <w:p w14:paraId="491929B5" w14:textId="77777777" w:rsidR="007049A5" w:rsidRPr="004E4188" w:rsidRDefault="007049A5" w:rsidP="006C6267">
            <w:pPr>
              <w:pStyle w:val="af7"/>
              <w:jc w:val="left"/>
              <w:rPr>
                <w:spacing w:val="-2"/>
                <w:lang w:val="fr-FR"/>
              </w:rPr>
            </w:pPr>
            <w:r w:rsidRPr="004E4188">
              <w:rPr>
                <w:lang w:val="fr-FR"/>
              </w:rPr>
              <w:t>[</w:t>
            </w:r>
            <w:r w:rsidRPr="004E4188">
              <w:rPr>
                <w:i/>
                <w:lang w:val="fr-FR"/>
              </w:rPr>
              <w:t>indiquer le nom complet</w:t>
            </w:r>
            <w:r w:rsidRPr="004E4188">
              <w:rPr>
                <w:lang w:val="fr-FR"/>
              </w:rPr>
              <w:t>]</w:t>
            </w:r>
          </w:p>
          <w:p w14:paraId="6561D513" w14:textId="77777777" w:rsidR="007049A5" w:rsidRPr="004E4188" w:rsidRDefault="007049A5" w:rsidP="006C6267">
            <w:pPr>
              <w:pStyle w:val="af7"/>
              <w:jc w:val="left"/>
              <w:rPr>
                <w:spacing w:val="-2"/>
                <w:lang w:val="fr-FR"/>
              </w:rPr>
            </w:pPr>
          </w:p>
          <w:p w14:paraId="75382F50" w14:textId="77777777" w:rsidR="007049A5" w:rsidRPr="004E4188" w:rsidRDefault="007049A5" w:rsidP="006C6267">
            <w:pPr>
              <w:pStyle w:val="af7"/>
              <w:jc w:val="left"/>
              <w:rPr>
                <w:spacing w:val="-2"/>
                <w:lang w:val="fr-FR"/>
              </w:rPr>
            </w:pPr>
            <w:r w:rsidRPr="004E4188">
              <w:rPr>
                <w:spacing w:val="-2"/>
                <w:lang w:val="fr-FR"/>
              </w:rPr>
              <w:t>[</w:t>
            </w:r>
            <w:r w:rsidRPr="004E4188">
              <w:rPr>
                <w:i/>
                <w:spacing w:val="-2"/>
                <w:lang w:val="fr-FR"/>
              </w:rPr>
              <w:t xml:space="preserve">indiquer </w:t>
            </w:r>
            <w:r w:rsidRPr="004E4188">
              <w:rPr>
                <w:i/>
                <w:iCs/>
                <w:szCs w:val="24"/>
                <w:lang w:val="fr-FR"/>
              </w:rPr>
              <w:t>l’adresse postale</w:t>
            </w:r>
            <w:r w:rsidRPr="004E4188">
              <w:rPr>
                <w:spacing w:val="-2"/>
                <w:lang w:val="fr-FR"/>
              </w:rPr>
              <w:t>]</w:t>
            </w:r>
          </w:p>
          <w:p w14:paraId="077C021B" w14:textId="77777777" w:rsidR="007049A5" w:rsidRPr="004E4188" w:rsidRDefault="007049A5" w:rsidP="006C6267">
            <w:pPr>
              <w:pStyle w:val="af7"/>
              <w:jc w:val="left"/>
              <w:rPr>
                <w:spacing w:val="-2"/>
                <w:lang w:val="fr-FR"/>
              </w:rPr>
            </w:pPr>
          </w:p>
          <w:p w14:paraId="3B698AF8" w14:textId="77777777" w:rsidR="007049A5" w:rsidRPr="004E4188" w:rsidRDefault="007049A5" w:rsidP="006C6267">
            <w:pPr>
              <w:pStyle w:val="af7"/>
              <w:jc w:val="left"/>
              <w:rPr>
                <w:iCs/>
                <w:lang w:val="fr-FR"/>
              </w:rPr>
            </w:pPr>
            <w:r w:rsidRPr="004E4188">
              <w:rPr>
                <w:iCs/>
                <w:lang w:val="fr-FR"/>
              </w:rPr>
              <w:t>[</w:t>
            </w:r>
            <w:r w:rsidRPr="004E4188">
              <w:rPr>
                <w:i/>
                <w:iCs/>
                <w:lang w:val="fr-FR"/>
              </w:rPr>
              <w:t>indiquer les numéros de téléphone et fax, y compris les codes ville/pays</w:t>
            </w:r>
            <w:r w:rsidRPr="004E4188">
              <w:rPr>
                <w:iCs/>
                <w:lang w:val="fr-FR"/>
              </w:rPr>
              <w:t>]</w:t>
            </w:r>
          </w:p>
          <w:p w14:paraId="5B0518AB" w14:textId="77777777" w:rsidR="007049A5" w:rsidRPr="004E4188" w:rsidRDefault="007049A5" w:rsidP="006C6267">
            <w:pPr>
              <w:pStyle w:val="af7"/>
              <w:jc w:val="left"/>
              <w:rPr>
                <w:lang w:val="fr-FR"/>
              </w:rPr>
            </w:pPr>
          </w:p>
          <w:p w14:paraId="6D904A62" w14:textId="77777777" w:rsidR="007049A5" w:rsidRPr="004E4188" w:rsidRDefault="007049A5" w:rsidP="006C6267">
            <w:pPr>
              <w:pStyle w:val="af7"/>
              <w:jc w:val="left"/>
              <w:rPr>
                <w:lang w:val="fr-FR"/>
              </w:rPr>
            </w:pPr>
            <w:r w:rsidRPr="004E4188">
              <w:rPr>
                <w:iCs/>
                <w:lang w:val="fr-FR"/>
              </w:rPr>
              <w:t>[</w:t>
            </w:r>
            <w:r w:rsidRPr="004E4188">
              <w:rPr>
                <w:i/>
                <w:iCs/>
                <w:lang w:val="fr-FR"/>
              </w:rPr>
              <w:t>indiquer l’adresse e-mail, le cas échéant</w:t>
            </w:r>
            <w:r w:rsidRPr="004E4188">
              <w:rPr>
                <w:iCs/>
                <w:lang w:val="fr-FR"/>
              </w:rPr>
              <w:t>]</w:t>
            </w:r>
          </w:p>
        </w:tc>
      </w:tr>
      <w:tr w:rsidR="007049A5" w:rsidRPr="004E4188" w14:paraId="51B954D3" w14:textId="77777777" w:rsidTr="006C6267">
        <w:trPr>
          <w:cantSplit/>
        </w:trPr>
        <w:tc>
          <w:tcPr>
            <w:tcW w:w="3828" w:type="dxa"/>
            <w:tcBorders>
              <w:top w:val="single" w:sz="4" w:space="0" w:color="auto"/>
            </w:tcBorders>
          </w:tcPr>
          <w:p w14:paraId="53233D61" w14:textId="77777777" w:rsidR="007049A5" w:rsidRPr="004E4188" w:rsidRDefault="007049A5" w:rsidP="006C6267">
            <w:pPr>
              <w:pStyle w:val="af7"/>
              <w:spacing w:before="120" w:after="120"/>
              <w:rPr>
                <w:lang w:val="fr-FR"/>
              </w:rPr>
            </w:pPr>
            <w:r w:rsidRPr="004E4188">
              <w:rPr>
                <w:lang w:val="fr-FR"/>
              </w:rPr>
              <w:t>Description de la similarité, conformément au Critère 2.4.2(a) de la Section III</w:t>
            </w:r>
          </w:p>
        </w:tc>
        <w:tc>
          <w:tcPr>
            <w:tcW w:w="5528" w:type="dxa"/>
            <w:gridSpan w:val="3"/>
            <w:tcBorders>
              <w:top w:val="single" w:sz="4" w:space="0" w:color="auto"/>
            </w:tcBorders>
          </w:tcPr>
          <w:p w14:paraId="09F68783" w14:textId="77777777" w:rsidR="007049A5" w:rsidRPr="004E4188" w:rsidRDefault="007049A5" w:rsidP="006C6267">
            <w:pPr>
              <w:pStyle w:val="af7"/>
              <w:rPr>
                <w:spacing w:val="-2"/>
                <w:lang w:val="fr-FR"/>
              </w:rPr>
            </w:pPr>
          </w:p>
        </w:tc>
      </w:tr>
      <w:tr w:rsidR="007049A5" w:rsidRPr="004E4188" w14:paraId="4D256584" w14:textId="77777777" w:rsidTr="006C6267">
        <w:trPr>
          <w:cantSplit/>
          <w:trHeight w:val="556"/>
        </w:trPr>
        <w:tc>
          <w:tcPr>
            <w:tcW w:w="3828" w:type="dxa"/>
            <w:vAlign w:val="center"/>
          </w:tcPr>
          <w:p w14:paraId="4DF8113F" w14:textId="77777777" w:rsidR="007049A5" w:rsidRPr="004E4188" w:rsidRDefault="007049A5" w:rsidP="006C6267">
            <w:pPr>
              <w:pStyle w:val="af7"/>
              <w:tabs>
                <w:tab w:val="left" w:pos="466"/>
              </w:tabs>
              <w:ind w:leftChars="97" w:left="466" w:hangingChars="97" w:hanging="233"/>
              <w:rPr>
                <w:lang w:val="fr-FR"/>
              </w:rPr>
            </w:pPr>
            <w:r w:rsidRPr="004E4188">
              <w:rPr>
                <w:lang w:val="fr-FR"/>
              </w:rPr>
              <w:t>1.</w:t>
            </w:r>
            <w:r w:rsidRPr="004E4188">
              <w:rPr>
                <w:lang w:val="fr-FR" w:eastAsia="ja-JP"/>
              </w:rPr>
              <w:tab/>
            </w:r>
            <w:r w:rsidRPr="004E4188">
              <w:rPr>
                <w:lang w:val="fr-FR"/>
              </w:rPr>
              <w:t>Taille physique des travaux requis</w:t>
            </w:r>
          </w:p>
        </w:tc>
        <w:tc>
          <w:tcPr>
            <w:tcW w:w="5528" w:type="dxa"/>
            <w:gridSpan w:val="3"/>
            <w:vAlign w:val="center"/>
          </w:tcPr>
          <w:p w14:paraId="40BA7B9F" w14:textId="77777777" w:rsidR="007049A5" w:rsidRPr="004E4188" w:rsidRDefault="007049A5" w:rsidP="006C6267">
            <w:pPr>
              <w:pStyle w:val="af7"/>
              <w:rPr>
                <w:spacing w:val="-2"/>
                <w:lang w:val="fr-FR" w:eastAsia="ja-JP"/>
              </w:rPr>
            </w:pPr>
            <w:r w:rsidRPr="004E4188">
              <w:rPr>
                <w:spacing w:val="-2"/>
                <w:lang w:val="fr-FR"/>
              </w:rPr>
              <w:t>[</w:t>
            </w:r>
            <w:r w:rsidRPr="004E4188">
              <w:rPr>
                <w:i/>
                <w:spacing w:val="-2"/>
                <w:lang w:val="fr-FR"/>
              </w:rPr>
              <w:t>indiquer</w:t>
            </w:r>
            <w:r w:rsidRPr="004E4188">
              <w:rPr>
                <w:spacing w:val="-2"/>
                <w:lang w:val="fr-FR"/>
              </w:rPr>
              <w:t xml:space="preserve"> </w:t>
            </w:r>
            <w:r w:rsidRPr="004E4188">
              <w:rPr>
                <w:i/>
                <w:spacing w:val="-2"/>
                <w:lang w:val="fr-FR"/>
              </w:rPr>
              <w:t>la taille des travaux</w:t>
            </w:r>
            <w:r w:rsidRPr="004E4188">
              <w:rPr>
                <w:spacing w:val="-2"/>
                <w:lang w:val="fr-FR"/>
              </w:rPr>
              <w:t>]</w:t>
            </w:r>
          </w:p>
        </w:tc>
      </w:tr>
      <w:tr w:rsidR="007049A5" w:rsidRPr="004E4188" w14:paraId="1BA7A2BD" w14:textId="77777777" w:rsidTr="006C6267">
        <w:trPr>
          <w:cantSplit/>
          <w:trHeight w:val="556"/>
        </w:trPr>
        <w:tc>
          <w:tcPr>
            <w:tcW w:w="3828" w:type="dxa"/>
            <w:vAlign w:val="center"/>
          </w:tcPr>
          <w:p w14:paraId="2EB4623B" w14:textId="77777777" w:rsidR="007049A5" w:rsidRPr="004E4188" w:rsidRDefault="007049A5" w:rsidP="006C6267">
            <w:pPr>
              <w:pStyle w:val="af7"/>
              <w:tabs>
                <w:tab w:val="left" w:pos="466"/>
              </w:tabs>
              <w:ind w:leftChars="97" w:left="466" w:hangingChars="97" w:hanging="233"/>
              <w:rPr>
                <w:lang w:val="fr-FR"/>
              </w:rPr>
            </w:pPr>
            <w:r w:rsidRPr="004E4188">
              <w:rPr>
                <w:lang w:val="fr-FR"/>
              </w:rPr>
              <w:t>2.</w:t>
            </w:r>
            <w:r w:rsidRPr="004E4188">
              <w:rPr>
                <w:lang w:val="fr-FR" w:eastAsia="ja-JP"/>
              </w:rPr>
              <w:tab/>
            </w:r>
            <w:r w:rsidRPr="004E4188">
              <w:rPr>
                <w:lang w:val="fr-FR"/>
              </w:rPr>
              <w:t>Complexité</w:t>
            </w:r>
          </w:p>
        </w:tc>
        <w:tc>
          <w:tcPr>
            <w:tcW w:w="5528" w:type="dxa"/>
            <w:gridSpan w:val="3"/>
            <w:vAlign w:val="center"/>
          </w:tcPr>
          <w:p w14:paraId="59292CC7" w14:textId="77777777" w:rsidR="007049A5" w:rsidRPr="004E4188" w:rsidRDefault="007049A5" w:rsidP="006C6267">
            <w:pPr>
              <w:pStyle w:val="af7"/>
              <w:rPr>
                <w:spacing w:val="-2"/>
                <w:lang w:val="fr-FR" w:eastAsia="ja-JP"/>
              </w:rPr>
            </w:pPr>
            <w:r w:rsidRPr="004E4188">
              <w:rPr>
                <w:spacing w:val="-2"/>
                <w:lang w:val="fr-FR"/>
              </w:rPr>
              <w:t>[</w:t>
            </w:r>
            <w:r w:rsidRPr="004E4188">
              <w:rPr>
                <w:i/>
                <w:spacing w:val="-2"/>
                <w:lang w:val="fr-FR"/>
              </w:rPr>
              <w:t>donner une description de la complexité</w:t>
            </w:r>
            <w:r w:rsidRPr="004E4188">
              <w:rPr>
                <w:spacing w:val="-2"/>
                <w:lang w:val="fr-FR"/>
              </w:rPr>
              <w:t>]</w:t>
            </w:r>
          </w:p>
        </w:tc>
      </w:tr>
      <w:tr w:rsidR="007049A5" w:rsidRPr="004E4188" w14:paraId="1A5D85AB" w14:textId="77777777" w:rsidTr="006C6267">
        <w:trPr>
          <w:cantSplit/>
          <w:trHeight w:val="556"/>
        </w:trPr>
        <w:tc>
          <w:tcPr>
            <w:tcW w:w="3828" w:type="dxa"/>
            <w:vAlign w:val="center"/>
          </w:tcPr>
          <w:p w14:paraId="091AFB57" w14:textId="77777777" w:rsidR="007049A5" w:rsidRPr="004E4188" w:rsidRDefault="007049A5" w:rsidP="006C6267">
            <w:pPr>
              <w:pStyle w:val="af7"/>
              <w:tabs>
                <w:tab w:val="left" w:pos="466"/>
              </w:tabs>
              <w:ind w:leftChars="97" w:left="466" w:hangingChars="97" w:hanging="233"/>
              <w:jc w:val="left"/>
              <w:rPr>
                <w:lang w:val="fr-FR"/>
              </w:rPr>
            </w:pPr>
            <w:r w:rsidRPr="004E4188">
              <w:rPr>
                <w:lang w:val="fr-FR"/>
              </w:rPr>
              <w:t>3.</w:t>
            </w:r>
            <w:r w:rsidRPr="004E4188">
              <w:rPr>
                <w:lang w:val="fr-FR" w:eastAsia="ja-JP"/>
              </w:rPr>
              <w:tab/>
            </w:r>
            <w:r w:rsidRPr="004E4188">
              <w:rPr>
                <w:lang w:val="fr-FR"/>
              </w:rPr>
              <w:t>Méthodes de construction/technologies</w:t>
            </w:r>
          </w:p>
        </w:tc>
        <w:tc>
          <w:tcPr>
            <w:tcW w:w="5528" w:type="dxa"/>
            <w:gridSpan w:val="3"/>
            <w:vAlign w:val="center"/>
          </w:tcPr>
          <w:p w14:paraId="6B28E170" w14:textId="77777777" w:rsidR="007049A5" w:rsidRPr="004E4188" w:rsidRDefault="007049A5" w:rsidP="00416F94">
            <w:pPr>
              <w:pStyle w:val="af7"/>
              <w:spacing w:afterLines="50" w:after="120"/>
              <w:ind w:right="79"/>
              <w:rPr>
                <w:spacing w:val="-2"/>
                <w:lang w:val="fr-FR" w:eastAsia="ja-JP"/>
              </w:rPr>
            </w:pPr>
            <w:r w:rsidRPr="004E4188">
              <w:rPr>
                <w:spacing w:val="-2"/>
                <w:lang w:val="fr-FR"/>
              </w:rPr>
              <w:t>[</w:t>
            </w:r>
            <w:r w:rsidRPr="004E4188">
              <w:rPr>
                <w:i/>
                <w:spacing w:val="-2"/>
                <w:lang w:val="fr-FR"/>
              </w:rPr>
              <w:t>indiquer</w:t>
            </w:r>
            <w:r w:rsidRPr="004E4188">
              <w:rPr>
                <w:spacing w:val="-2"/>
                <w:lang w:val="fr-FR"/>
              </w:rPr>
              <w:t xml:space="preserve"> </w:t>
            </w:r>
            <w:r w:rsidRPr="004E4188">
              <w:rPr>
                <w:i/>
                <w:spacing w:val="-2"/>
                <w:lang w:val="fr-FR"/>
              </w:rPr>
              <w:t>les aspects spécifiques des méthodes/technologies employées pour le marché</w:t>
            </w:r>
            <w:r w:rsidRPr="004E4188">
              <w:rPr>
                <w:spacing w:val="-2"/>
                <w:lang w:val="fr-FR"/>
              </w:rPr>
              <w:t>]</w:t>
            </w:r>
          </w:p>
        </w:tc>
      </w:tr>
      <w:tr w:rsidR="007049A5" w:rsidRPr="004E4188" w14:paraId="6BA20871" w14:textId="77777777" w:rsidTr="006C6267">
        <w:trPr>
          <w:cantSplit/>
          <w:trHeight w:val="556"/>
        </w:trPr>
        <w:tc>
          <w:tcPr>
            <w:tcW w:w="3828" w:type="dxa"/>
            <w:vAlign w:val="center"/>
          </w:tcPr>
          <w:p w14:paraId="10DDADE4" w14:textId="77777777" w:rsidR="007049A5" w:rsidRPr="004E4188" w:rsidRDefault="007049A5" w:rsidP="006C6267">
            <w:pPr>
              <w:pStyle w:val="af7"/>
              <w:tabs>
                <w:tab w:val="left" w:pos="466"/>
              </w:tabs>
              <w:ind w:leftChars="97" w:left="466" w:hangingChars="97" w:hanging="233"/>
              <w:rPr>
                <w:lang w:val="fr-FR"/>
              </w:rPr>
            </w:pPr>
            <w:r w:rsidRPr="004E4188">
              <w:rPr>
                <w:lang w:val="fr-FR"/>
              </w:rPr>
              <w:t>4.</w:t>
            </w:r>
            <w:r w:rsidRPr="004E4188">
              <w:rPr>
                <w:lang w:val="fr-FR" w:eastAsia="ja-JP"/>
              </w:rPr>
              <w:tab/>
            </w:r>
            <w:r w:rsidRPr="004E4188">
              <w:rPr>
                <w:lang w:val="fr-FR"/>
              </w:rPr>
              <w:t>Autres caractéristiques</w:t>
            </w:r>
          </w:p>
        </w:tc>
        <w:tc>
          <w:tcPr>
            <w:tcW w:w="5528" w:type="dxa"/>
            <w:gridSpan w:val="3"/>
            <w:vAlign w:val="center"/>
          </w:tcPr>
          <w:p w14:paraId="2364C338" w14:textId="77777777" w:rsidR="007049A5" w:rsidRPr="004E4188" w:rsidRDefault="007049A5" w:rsidP="006C6267">
            <w:pPr>
              <w:pStyle w:val="af7"/>
              <w:spacing w:afterLines="50" w:after="120"/>
              <w:rPr>
                <w:spacing w:val="-2"/>
                <w:lang w:val="fr-FR" w:eastAsia="ja-JP"/>
              </w:rPr>
            </w:pPr>
            <w:r w:rsidRPr="004E4188">
              <w:rPr>
                <w:spacing w:val="-2"/>
                <w:lang w:val="fr-FR"/>
              </w:rPr>
              <w:t>[</w:t>
            </w:r>
            <w:r w:rsidRPr="004E4188">
              <w:rPr>
                <w:i/>
                <w:spacing w:val="-2"/>
                <w:lang w:val="fr-FR"/>
              </w:rPr>
              <w:t>indiquer</w:t>
            </w:r>
            <w:r w:rsidRPr="004E4188">
              <w:rPr>
                <w:spacing w:val="-2"/>
                <w:lang w:val="fr-FR"/>
              </w:rPr>
              <w:t xml:space="preserve"> </w:t>
            </w:r>
            <w:r w:rsidRPr="004E4188">
              <w:rPr>
                <w:i/>
                <w:spacing w:val="-2"/>
                <w:lang w:val="fr-FR"/>
              </w:rPr>
              <w:t>les autres caractéristiques décrites à la Section VI, Exigences du Maître d’ouvrage</w:t>
            </w:r>
            <w:r w:rsidRPr="004E4188">
              <w:rPr>
                <w:spacing w:val="-2"/>
                <w:lang w:val="fr-FR"/>
              </w:rPr>
              <w:t>]</w:t>
            </w:r>
          </w:p>
        </w:tc>
      </w:tr>
      <w:tr w:rsidR="007049A5" w:rsidRPr="004E4188" w14:paraId="74BE7E57" w14:textId="77777777" w:rsidTr="006C6267">
        <w:trPr>
          <w:cantSplit/>
          <w:trHeight w:val="556"/>
        </w:trPr>
        <w:tc>
          <w:tcPr>
            <w:tcW w:w="9356" w:type="dxa"/>
            <w:gridSpan w:val="4"/>
            <w:vAlign w:val="center"/>
          </w:tcPr>
          <w:p w14:paraId="422AD3BB" w14:textId="77777777" w:rsidR="007049A5" w:rsidRPr="004E4188" w:rsidRDefault="007049A5" w:rsidP="006C6267">
            <w:pPr>
              <w:spacing w:before="60" w:afterLines="50" w:after="120"/>
            </w:pPr>
            <w:r w:rsidRPr="004E4188">
              <w:rPr>
                <w:spacing w:val="-2"/>
              </w:rPr>
              <w:t>Ci-joint les copies des originaux des documents suivants</w:t>
            </w:r>
            <w:r w:rsidRPr="004E4188">
              <w:t> :</w:t>
            </w:r>
          </w:p>
          <w:p w14:paraId="0009905E" w14:textId="3F618BC5" w:rsidR="007049A5" w:rsidRPr="004E4188" w:rsidRDefault="007049A5" w:rsidP="003D46CF">
            <w:pPr>
              <w:numPr>
                <w:ilvl w:val="0"/>
                <w:numId w:val="78"/>
              </w:numPr>
              <w:spacing w:afterLines="50" w:after="120"/>
              <w:rPr>
                <w:spacing w:val="-2"/>
              </w:rPr>
            </w:pPr>
            <w:r w:rsidRPr="004E4188">
              <w:rPr>
                <w:spacing w:val="-2"/>
              </w:rPr>
              <w:t>résumés</w:t>
            </w:r>
            <w:r w:rsidRPr="004E4188">
              <w:rPr>
                <w:rFonts w:hint="eastAsia"/>
                <w:spacing w:val="-2"/>
              </w:rPr>
              <w:t xml:space="preserve"> </w:t>
            </w:r>
            <w:r w:rsidRPr="004E4188">
              <w:rPr>
                <w:spacing w:val="-2"/>
              </w:rPr>
              <w:t>des pièces contractuelles, d’un</w:t>
            </w:r>
            <w:r w:rsidRPr="004E4188">
              <w:t>(des)</w:t>
            </w:r>
            <w:r w:rsidRPr="004E4188">
              <w:rPr>
                <w:spacing w:val="-2"/>
              </w:rPr>
              <w:t xml:space="preserve"> accords de Groupement, etc. attestant que la taille et la nature du marché susmentionné satisfont les stipulations du Critère 2.4.2</w:t>
            </w:r>
            <w:r w:rsidRPr="004E4188">
              <w:t>(a)</w:t>
            </w:r>
            <w:r w:rsidRPr="004E4188">
              <w:rPr>
                <w:spacing w:val="-2"/>
              </w:rPr>
              <w:t xml:space="preserve"> de la Section </w:t>
            </w:r>
            <w:smartTag w:uri="urn:schemas-microsoft-com:office:smarttags" w:element="stockticker">
              <w:r w:rsidRPr="004E4188">
                <w:rPr>
                  <w:spacing w:val="-2"/>
                </w:rPr>
                <w:t>III</w:t>
              </w:r>
            </w:smartTag>
            <w:r w:rsidRPr="004E4188">
              <w:rPr>
                <w:spacing w:val="-2"/>
              </w:rPr>
              <w:t>, Critères d’évaluation et de qualification ;</w:t>
            </w:r>
          </w:p>
          <w:p w14:paraId="09F41B0D" w14:textId="77777777" w:rsidR="007049A5" w:rsidRPr="004E4188" w:rsidRDefault="007049A5" w:rsidP="003D46CF">
            <w:pPr>
              <w:numPr>
                <w:ilvl w:val="0"/>
                <w:numId w:val="78"/>
              </w:numPr>
              <w:spacing w:afterLines="50" w:after="120"/>
              <w:rPr>
                <w:spacing w:val="-2"/>
              </w:rPr>
            </w:pPr>
            <w:r w:rsidRPr="004E4188">
              <w:rPr>
                <w:spacing w:val="-2"/>
              </w:rPr>
              <w:t xml:space="preserve">certificat(s) d’utilisateur final </w:t>
            </w:r>
            <w:r w:rsidRPr="004E4188">
              <w:t xml:space="preserve">(tel(s) que </w:t>
            </w:r>
            <w:r w:rsidRPr="004E4188">
              <w:rPr>
                <w:spacing w:val="-2"/>
              </w:rPr>
              <w:t>certificat</w:t>
            </w:r>
            <w:r w:rsidRPr="004E4188">
              <w:t>(s)</w:t>
            </w:r>
            <w:r w:rsidRPr="004E4188">
              <w:rPr>
                <w:spacing w:val="-2"/>
              </w:rPr>
              <w:t xml:space="preserve"> de réception</w:t>
            </w:r>
            <w:r w:rsidRPr="004E4188">
              <w:rPr>
                <w:spacing w:val="-8"/>
              </w:rPr>
              <w:t>/</w:t>
            </w:r>
            <w:r w:rsidRPr="004E4188">
              <w:rPr>
                <w:spacing w:val="-2"/>
              </w:rPr>
              <w:t>certificat</w:t>
            </w:r>
            <w:r w:rsidRPr="004E4188">
              <w:t>(s)</w:t>
            </w:r>
            <w:r w:rsidRPr="004E4188">
              <w:rPr>
                <w:spacing w:val="-2"/>
              </w:rPr>
              <w:t xml:space="preserve"> d’achèvement des Travaux</w:t>
            </w:r>
            <w:r w:rsidRPr="004E4188">
              <w:t>)</w:t>
            </w:r>
            <w:r w:rsidRPr="004E4188">
              <w:rPr>
                <w:spacing w:val="-2"/>
              </w:rPr>
              <w:t>, attestant que le marché susmentionné a été réalisé avec succès.</w:t>
            </w:r>
          </w:p>
        </w:tc>
      </w:tr>
    </w:tbl>
    <w:p w14:paraId="4B01B514" w14:textId="77777777" w:rsidR="007049A5" w:rsidRPr="004E4188" w:rsidRDefault="007049A5" w:rsidP="00D47151"/>
    <w:p w14:paraId="1B8C9011" w14:textId="77777777" w:rsidR="007049A5" w:rsidRPr="004E4188" w:rsidRDefault="007049A5" w:rsidP="00D47151"/>
    <w:p w14:paraId="7A7FA0CF" w14:textId="77777777" w:rsidR="007049A5" w:rsidRPr="004E4188" w:rsidRDefault="007049A5" w:rsidP="00D47151"/>
    <w:p w14:paraId="0D490DBA" w14:textId="3921686F" w:rsidR="007049A5" w:rsidRPr="004E4188" w:rsidRDefault="007049A5" w:rsidP="00B02374">
      <w:pPr>
        <w:pStyle w:val="SectionIVHeading2"/>
        <w:outlineLvl w:val="2"/>
        <w:rPr>
          <w:sz w:val="32"/>
          <w:szCs w:val="32"/>
          <w:lang w:val="fr-FR"/>
        </w:rPr>
      </w:pPr>
      <w:r w:rsidRPr="004E4188">
        <w:rPr>
          <w:spacing w:val="-2"/>
          <w:lang w:val="fr-FR"/>
        </w:rPr>
        <w:br w:type="page"/>
      </w:r>
      <w:bookmarkStart w:id="661" w:name="_Toc349117760"/>
      <w:bookmarkStart w:id="662" w:name="_Toc357513241"/>
      <w:bookmarkStart w:id="663" w:name="_Toc112429335"/>
      <w:r w:rsidRPr="004E4188">
        <w:rPr>
          <w:iCs/>
          <w:sz w:val="32"/>
          <w:szCs w:val="32"/>
          <w:lang w:val="fr-FR"/>
        </w:rPr>
        <w:t>Formulaire</w:t>
      </w:r>
      <w:r w:rsidRPr="004E4188">
        <w:rPr>
          <w:sz w:val="32"/>
          <w:szCs w:val="32"/>
          <w:lang w:val="fr-FR"/>
        </w:rPr>
        <w:t xml:space="preserve"> EXP-2(b)</w:t>
      </w:r>
      <w:r w:rsidRPr="004E4188">
        <w:rPr>
          <w:sz w:val="32"/>
          <w:szCs w:val="32"/>
          <w:lang w:val="fr-FR"/>
        </w:rPr>
        <w:br/>
        <w:t>Expérience dans les activités principales</w:t>
      </w:r>
      <w:bookmarkEnd w:id="661"/>
      <w:bookmarkEnd w:id="662"/>
      <w:bookmarkEnd w:id="663"/>
    </w:p>
    <w:p w14:paraId="46A05B08" w14:textId="78D4FBFF" w:rsidR="007049A5" w:rsidRPr="004E4188" w:rsidRDefault="007049A5" w:rsidP="003349F2">
      <w:pPr>
        <w:wordWrap w:val="0"/>
        <w:jc w:val="right"/>
      </w:pPr>
      <w:r w:rsidRPr="004E4188">
        <w:t>Date : [</w:t>
      </w:r>
      <w:r w:rsidRPr="004E4188">
        <w:rPr>
          <w:i/>
        </w:rPr>
        <w:t>indiquer jour, mois, année</w:t>
      </w:r>
      <w:r w:rsidRPr="004E4188">
        <w:t>]</w:t>
      </w:r>
    </w:p>
    <w:p w14:paraId="10D1202B" w14:textId="77777777" w:rsidR="007049A5" w:rsidRPr="004E4188" w:rsidRDefault="007049A5" w:rsidP="00962BF1">
      <w:pPr>
        <w:jc w:val="right"/>
      </w:pPr>
      <w:r w:rsidRPr="004E4188">
        <w:t>Nom légal du Soumissionnaire : [</w:t>
      </w:r>
      <w:r w:rsidRPr="004E4188">
        <w:rPr>
          <w:i/>
        </w:rPr>
        <w:t>indiquer le nom complet</w:t>
      </w:r>
      <w:r w:rsidRPr="004E4188">
        <w:t>]</w:t>
      </w:r>
    </w:p>
    <w:p w14:paraId="41CBD86E" w14:textId="49171A2C" w:rsidR="007049A5" w:rsidRPr="004E4188" w:rsidRDefault="007049A5" w:rsidP="00962BF1">
      <w:pPr>
        <w:jc w:val="right"/>
      </w:pPr>
      <w:r w:rsidRPr="004E4188">
        <w:t>Nom légal du membre du Groupement : [</w:t>
      </w:r>
      <w:r w:rsidRPr="004E4188">
        <w:rPr>
          <w:i/>
        </w:rPr>
        <w:t>indiquer le nom complet</w:t>
      </w:r>
      <w:r w:rsidRPr="004E4188">
        <w:t>]</w:t>
      </w:r>
    </w:p>
    <w:p w14:paraId="443AC063" w14:textId="77777777" w:rsidR="007049A5" w:rsidRPr="004E4188" w:rsidRDefault="007049A5" w:rsidP="00962BF1">
      <w:pPr>
        <w:jc w:val="right"/>
      </w:pPr>
      <w:r w:rsidRPr="004E4188">
        <w:t>Nom légal du sous-traitant : [</w:t>
      </w:r>
      <w:r w:rsidRPr="004E4188">
        <w:rPr>
          <w:i/>
        </w:rPr>
        <w:t>indiquer le nom complet</w:t>
      </w:r>
      <w:r w:rsidRPr="004E4188">
        <w:rPr>
          <w:iCs/>
        </w:rPr>
        <w:t>]</w:t>
      </w:r>
    </w:p>
    <w:p w14:paraId="1CF37A4C" w14:textId="77777777" w:rsidR="007049A5" w:rsidRPr="004E4188" w:rsidRDefault="007049A5" w:rsidP="00962BF1">
      <w:pPr>
        <w:jc w:val="right"/>
        <w:rPr>
          <w:i/>
          <w:iCs/>
        </w:rPr>
      </w:pPr>
      <w:r w:rsidRPr="004E4188">
        <w:t>AAO n</w:t>
      </w:r>
      <w:r w:rsidRPr="004E4188">
        <w:rPr>
          <w:vertAlign w:val="superscript"/>
        </w:rPr>
        <w:t>o</w:t>
      </w:r>
      <w:r w:rsidRPr="004E4188">
        <w:t xml:space="preserve"> : </w:t>
      </w:r>
      <w:r w:rsidRPr="004E4188">
        <w:rPr>
          <w:iCs/>
        </w:rPr>
        <w:t>[</w:t>
      </w:r>
      <w:r w:rsidRPr="004E4188">
        <w:rPr>
          <w:i/>
          <w:iCs/>
        </w:rPr>
        <w:t>insérer le numéro</w:t>
      </w:r>
      <w:r w:rsidRPr="004E4188">
        <w:rPr>
          <w:iCs/>
        </w:rPr>
        <w:t>]</w:t>
      </w:r>
    </w:p>
    <w:p w14:paraId="43A77167" w14:textId="63BBDD30" w:rsidR="007049A5" w:rsidRPr="004E4188" w:rsidRDefault="007049A5" w:rsidP="006C6267">
      <w:pPr>
        <w:tabs>
          <w:tab w:val="right" w:pos="9356"/>
        </w:tabs>
        <w:spacing w:after="120"/>
        <w:jc w:val="right"/>
        <w:rPr>
          <w:b/>
          <w:lang w:eastAsia="ja-JP"/>
        </w:rPr>
      </w:pPr>
      <w:r w:rsidRPr="004E4188">
        <w:rPr>
          <w:iCs/>
        </w:rPr>
        <w:t>Page</w:t>
      </w:r>
      <w:r w:rsidR="00751DD2" w:rsidRPr="004E4188">
        <w:rPr>
          <w:iCs/>
          <w:spacing w:val="-4"/>
        </w:rPr>
        <w:t> </w:t>
      </w:r>
      <w:r w:rsidRPr="004E4188">
        <w:t xml:space="preserve">: </w:t>
      </w:r>
      <w:r w:rsidRPr="004E4188">
        <w:rPr>
          <w:iCs/>
        </w:rPr>
        <w:t>[</w:t>
      </w:r>
      <w:r w:rsidRPr="004E4188">
        <w:rPr>
          <w:i/>
          <w:iCs/>
        </w:rPr>
        <w:t>indiquer le numéro de la page</w:t>
      </w:r>
      <w:r w:rsidRPr="004E4188">
        <w:rPr>
          <w:iCs/>
        </w:rPr>
        <w:t>] de [</w:t>
      </w:r>
      <w:r w:rsidRPr="004E4188">
        <w:rPr>
          <w:i/>
          <w:iCs/>
        </w:rPr>
        <w:t xml:space="preserve">indiquer le nombre </w:t>
      </w:r>
      <w:r w:rsidRPr="004E4188">
        <w:rPr>
          <w:i/>
        </w:rPr>
        <w:t>total</w:t>
      </w:r>
      <w:r w:rsidRPr="004E4188">
        <w:rPr>
          <w:i/>
          <w:iCs/>
        </w:rPr>
        <w:t xml:space="preserve"> de</w:t>
      </w:r>
      <w:r w:rsidRPr="004E4188">
        <w:rPr>
          <w:iCs/>
        </w:rPr>
        <w:t>] pages</w:t>
      </w:r>
    </w:p>
    <w:p w14:paraId="09B65450" w14:textId="77777777" w:rsidR="007049A5" w:rsidRPr="004E4188" w:rsidRDefault="007049A5" w:rsidP="003D46CF">
      <w:pPr>
        <w:widowControl w:val="0"/>
        <w:numPr>
          <w:ilvl w:val="1"/>
          <w:numId w:val="79"/>
        </w:numPr>
        <w:spacing w:line="372" w:lineRule="atLeast"/>
        <w:ind w:left="420"/>
        <w:jc w:val="left"/>
        <w:rPr>
          <w:b/>
          <w:bCs/>
          <w:spacing w:val="-2"/>
          <w:szCs w:val="24"/>
        </w:rPr>
      </w:pPr>
      <w:r w:rsidRPr="004E4188">
        <w:rPr>
          <w:b/>
          <w:bCs/>
          <w:spacing w:val="-2"/>
          <w:szCs w:val="24"/>
        </w:rPr>
        <w:t>Résumé des activités principales</w:t>
      </w:r>
    </w:p>
    <w:p w14:paraId="32CD3703" w14:textId="77777777" w:rsidR="007049A5" w:rsidRPr="004E4188" w:rsidRDefault="007049A5" w:rsidP="005D68BB">
      <w:pPr>
        <w:spacing w:after="60"/>
        <w:ind w:right="3"/>
        <w:rPr>
          <w:lang w:eastAsia="ja-JP"/>
        </w:rPr>
      </w:pPr>
      <w:r w:rsidRPr="004E4188">
        <w:rPr>
          <w:bCs/>
          <w:iCs/>
        </w:rPr>
        <w:t>[</w:t>
      </w:r>
      <w:r w:rsidRPr="004E4188">
        <w:rPr>
          <w:i/>
          <w:lang w:eastAsia="ja-JP"/>
        </w:rPr>
        <w:t>Remplir le tableau si le Soumissionnaire est une entreprise unique/un Groupement, ou propose</w:t>
      </w:r>
      <w:r w:rsidRPr="004E4188">
        <w:rPr>
          <w:bCs/>
          <w:i/>
          <w:iCs/>
        </w:rPr>
        <w:t xml:space="preserve"> des sous-traitants spécialisés pour l’exécution de l’une quelconque des activités principales</w:t>
      </w:r>
      <w:r w:rsidRPr="004E4188">
        <w:rPr>
          <w:bCs/>
          <w:iCs/>
        </w:rPr>
        <w:t>.]</w:t>
      </w:r>
    </w:p>
    <w:tbl>
      <w:tblPr>
        <w:tblW w:w="9004" w:type="dxa"/>
        <w:tblInd w:w="1" w:type="dxa"/>
        <w:tblLayout w:type="fixed"/>
        <w:tblCellMar>
          <w:left w:w="0" w:type="dxa"/>
          <w:right w:w="0" w:type="dxa"/>
        </w:tblCellMar>
        <w:tblLook w:val="0000" w:firstRow="0" w:lastRow="0" w:firstColumn="0" w:lastColumn="0" w:noHBand="0" w:noVBand="0"/>
      </w:tblPr>
      <w:tblGrid>
        <w:gridCol w:w="520"/>
        <w:gridCol w:w="2370"/>
        <w:gridCol w:w="6114"/>
      </w:tblGrid>
      <w:tr w:rsidR="007049A5" w:rsidRPr="004E4188" w14:paraId="54C6559E" w14:textId="77777777" w:rsidTr="005F4BDA">
        <w:trPr>
          <w:trHeight w:val="538"/>
        </w:trPr>
        <w:tc>
          <w:tcPr>
            <w:tcW w:w="9004" w:type="dxa"/>
            <w:gridSpan w:val="3"/>
            <w:tcBorders>
              <w:top w:val="single" w:sz="4" w:space="0" w:color="auto"/>
              <w:left w:val="single" w:sz="6" w:space="0" w:color="auto"/>
              <w:bottom w:val="double" w:sz="4" w:space="0" w:color="auto"/>
              <w:right w:val="single" w:sz="6" w:space="0" w:color="auto"/>
            </w:tcBorders>
            <w:shd w:val="clear" w:color="auto" w:fill="E0E0E0"/>
          </w:tcPr>
          <w:p w14:paraId="05C43F8A" w14:textId="77777777" w:rsidR="007049A5" w:rsidRPr="004E4188" w:rsidRDefault="007049A5" w:rsidP="006C6267">
            <w:pPr>
              <w:spacing w:before="40" w:after="40"/>
              <w:jc w:val="center"/>
              <w:rPr>
                <w:b/>
                <w:bCs/>
                <w:spacing w:val="12"/>
                <w:szCs w:val="24"/>
              </w:rPr>
            </w:pPr>
            <w:r w:rsidRPr="004E4188">
              <w:rPr>
                <w:b/>
                <w:bCs/>
                <w:spacing w:val="12"/>
                <w:szCs w:val="24"/>
                <w:lang w:eastAsia="ja-JP"/>
              </w:rPr>
              <w:t>Sommaire des entreprises uniques</w:t>
            </w:r>
            <w:r w:rsidRPr="004E4188">
              <w:rPr>
                <w:b/>
                <w:bCs/>
                <w:spacing w:val="12"/>
                <w:lang w:eastAsia="ja-JP"/>
              </w:rPr>
              <w:t xml:space="preserve"> / des membres de Groupement </w:t>
            </w:r>
            <w:r w:rsidRPr="004E4188">
              <w:rPr>
                <w:b/>
                <w:bCs/>
                <w:spacing w:val="12"/>
                <w:szCs w:val="24"/>
                <w:lang w:eastAsia="ja-JP"/>
              </w:rPr>
              <w:t>/ des sous-traitants pour les activités principales</w:t>
            </w:r>
          </w:p>
        </w:tc>
      </w:tr>
      <w:tr w:rsidR="007049A5" w:rsidRPr="004E4188" w14:paraId="2CE590AD" w14:textId="77777777" w:rsidTr="005F4BDA">
        <w:trPr>
          <w:trHeight w:val="344"/>
        </w:trPr>
        <w:tc>
          <w:tcPr>
            <w:tcW w:w="2890" w:type="dxa"/>
            <w:gridSpan w:val="2"/>
            <w:tcBorders>
              <w:top w:val="double" w:sz="4" w:space="0" w:color="auto"/>
              <w:left w:val="single" w:sz="6" w:space="0" w:color="auto"/>
              <w:bottom w:val="single" w:sz="2" w:space="0" w:color="auto"/>
              <w:right w:val="single" w:sz="4" w:space="0" w:color="auto"/>
            </w:tcBorders>
            <w:vAlign w:val="center"/>
          </w:tcPr>
          <w:p w14:paraId="57CF68FC" w14:textId="77777777" w:rsidR="007049A5" w:rsidRPr="004E4188" w:rsidRDefault="007049A5" w:rsidP="006C6267">
            <w:pPr>
              <w:spacing w:before="40" w:after="40"/>
              <w:ind w:right="57"/>
              <w:jc w:val="center"/>
              <w:rPr>
                <w:b/>
                <w:szCs w:val="24"/>
                <w:lang w:eastAsia="ja-JP"/>
              </w:rPr>
            </w:pPr>
            <w:r w:rsidRPr="004E4188">
              <w:rPr>
                <w:b/>
                <w:szCs w:val="24"/>
                <w:lang w:eastAsia="ja-JP"/>
              </w:rPr>
              <w:t>Activité principale</w:t>
            </w:r>
          </w:p>
        </w:tc>
        <w:tc>
          <w:tcPr>
            <w:tcW w:w="6114" w:type="dxa"/>
            <w:vMerge w:val="restart"/>
            <w:tcBorders>
              <w:top w:val="double" w:sz="4" w:space="0" w:color="auto"/>
              <w:left w:val="single" w:sz="4" w:space="0" w:color="auto"/>
              <w:right w:val="single" w:sz="6" w:space="0" w:color="auto"/>
            </w:tcBorders>
            <w:vAlign w:val="center"/>
          </w:tcPr>
          <w:p w14:paraId="4AFB7C8A" w14:textId="77777777" w:rsidR="007049A5" w:rsidRPr="004E4188" w:rsidRDefault="007049A5" w:rsidP="006C6267">
            <w:pPr>
              <w:spacing w:beforeLines="30" w:before="72" w:afterLines="30" w:after="72"/>
              <w:ind w:left="62" w:rightChars="50" w:right="120"/>
              <w:jc w:val="center"/>
              <w:rPr>
                <w:b/>
                <w:bCs/>
                <w:i/>
                <w:iCs/>
                <w:lang w:eastAsia="ja-JP"/>
              </w:rPr>
            </w:pPr>
            <w:r w:rsidRPr="004E4188">
              <w:rPr>
                <w:b/>
                <w:bCs/>
                <w:i/>
                <w:iCs/>
                <w:lang w:eastAsia="ja-JP"/>
              </w:rPr>
              <w:t>Entreprise unique/Membre de Groupement/Sous-traitant</w:t>
            </w:r>
          </w:p>
        </w:tc>
      </w:tr>
      <w:tr w:rsidR="007049A5" w:rsidRPr="004E4188" w14:paraId="5649279E" w14:textId="77777777" w:rsidTr="005F4BDA">
        <w:trPr>
          <w:trHeight w:val="301"/>
        </w:trPr>
        <w:tc>
          <w:tcPr>
            <w:tcW w:w="520" w:type="dxa"/>
            <w:tcBorders>
              <w:top w:val="single" w:sz="6" w:space="0" w:color="000000"/>
              <w:left w:val="single" w:sz="6" w:space="0" w:color="000000"/>
              <w:bottom w:val="single" w:sz="6" w:space="0" w:color="auto"/>
              <w:right w:val="single" w:sz="6" w:space="0" w:color="auto"/>
            </w:tcBorders>
            <w:vAlign w:val="center"/>
          </w:tcPr>
          <w:p w14:paraId="7DEC0ED1" w14:textId="77777777" w:rsidR="007049A5" w:rsidRPr="004E4188" w:rsidRDefault="007049A5" w:rsidP="006C6267">
            <w:pPr>
              <w:ind w:right="56"/>
              <w:jc w:val="center"/>
              <w:rPr>
                <w:b/>
                <w:szCs w:val="24"/>
                <w:lang w:val="en-US" w:eastAsia="ja-JP"/>
              </w:rPr>
            </w:pPr>
            <w:r w:rsidRPr="004E4188">
              <w:rPr>
                <w:b/>
                <w:spacing w:val="-2"/>
                <w:lang w:val="en-US"/>
              </w:rPr>
              <w:t>N</w:t>
            </w:r>
            <w:r w:rsidRPr="004E4188">
              <w:rPr>
                <w:b/>
                <w:spacing w:val="-2"/>
                <w:vertAlign w:val="superscript"/>
                <w:lang w:val="en-US"/>
              </w:rPr>
              <w:t>o</w:t>
            </w:r>
          </w:p>
        </w:tc>
        <w:tc>
          <w:tcPr>
            <w:tcW w:w="2370" w:type="dxa"/>
            <w:tcBorders>
              <w:top w:val="single" w:sz="6" w:space="0" w:color="000000"/>
              <w:left w:val="single" w:sz="6" w:space="0" w:color="auto"/>
              <w:bottom w:val="single" w:sz="6" w:space="0" w:color="auto"/>
              <w:right w:val="single" w:sz="4" w:space="0" w:color="auto"/>
            </w:tcBorders>
            <w:vAlign w:val="center"/>
          </w:tcPr>
          <w:p w14:paraId="64015D30" w14:textId="77777777" w:rsidR="007049A5" w:rsidRPr="004E4188" w:rsidRDefault="007049A5" w:rsidP="006C6267">
            <w:pPr>
              <w:jc w:val="center"/>
              <w:rPr>
                <w:b/>
                <w:szCs w:val="24"/>
                <w:lang w:val="en-US" w:eastAsia="ja-JP"/>
              </w:rPr>
            </w:pPr>
            <w:r w:rsidRPr="004E4188">
              <w:rPr>
                <w:b/>
                <w:szCs w:val="24"/>
                <w:lang w:val="en-US" w:eastAsia="ja-JP"/>
              </w:rPr>
              <w:t>Description</w:t>
            </w:r>
          </w:p>
        </w:tc>
        <w:tc>
          <w:tcPr>
            <w:tcW w:w="6114" w:type="dxa"/>
            <w:vMerge/>
            <w:tcBorders>
              <w:top w:val="double" w:sz="4" w:space="0" w:color="auto"/>
              <w:left w:val="single" w:sz="4" w:space="0" w:color="auto"/>
              <w:bottom w:val="single" w:sz="6" w:space="0" w:color="auto"/>
              <w:right w:val="single" w:sz="6" w:space="0" w:color="auto"/>
            </w:tcBorders>
          </w:tcPr>
          <w:p w14:paraId="2360DE9E" w14:textId="77777777" w:rsidR="007049A5" w:rsidRPr="004E4188" w:rsidRDefault="007049A5" w:rsidP="006C6267">
            <w:pPr>
              <w:spacing w:beforeLines="50" w:before="120" w:afterLines="50" w:after="120"/>
              <w:ind w:right="-23"/>
              <w:jc w:val="center"/>
              <w:rPr>
                <w:b/>
                <w:bCs/>
                <w:spacing w:val="12"/>
                <w:szCs w:val="24"/>
                <w:lang w:val="en-US"/>
              </w:rPr>
            </w:pPr>
          </w:p>
        </w:tc>
      </w:tr>
      <w:tr w:rsidR="007049A5" w:rsidRPr="004E4188" w14:paraId="1046AFD4" w14:textId="77777777" w:rsidTr="005F4BDA">
        <w:trPr>
          <w:trHeight w:val="403"/>
        </w:trPr>
        <w:tc>
          <w:tcPr>
            <w:tcW w:w="520" w:type="dxa"/>
            <w:tcBorders>
              <w:top w:val="single" w:sz="6" w:space="0" w:color="auto"/>
              <w:left w:val="single" w:sz="6" w:space="0" w:color="000000"/>
              <w:right w:val="single" w:sz="4" w:space="0" w:color="auto"/>
            </w:tcBorders>
          </w:tcPr>
          <w:p w14:paraId="4F81B888" w14:textId="77777777" w:rsidR="007049A5" w:rsidRPr="004E4188" w:rsidRDefault="007049A5" w:rsidP="006C6267">
            <w:pPr>
              <w:ind w:right="57"/>
              <w:jc w:val="center"/>
              <w:rPr>
                <w:szCs w:val="24"/>
                <w:lang w:val="en-US" w:eastAsia="ja-JP"/>
              </w:rPr>
            </w:pPr>
            <w:r w:rsidRPr="004E4188">
              <w:rPr>
                <w:szCs w:val="24"/>
                <w:lang w:val="en-US" w:eastAsia="ja-JP"/>
              </w:rPr>
              <w:t>1</w:t>
            </w:r>
          </w:p>
        </w:tc>
        <w:tc>
          <w:tcPr>
            <w:tcW w:w="2370" w:type="dxa"/>
            <w:tcBorders>
              <w:top w:val="single" w:sz="6" w:space="0" w:color="auto"/>
              <w:left w:val="single" w:sz="4" w:space="0" w:color="auto"/>
              <w:right w:val="single" w:sz="4" w:space="0" w:color="auto"/>
            </w:tcBorders>
          </w:tcPr>
          <w:p w14:paraId="3E9114F8" w14:textId="77777777" w:rsidR="007049A5" w:rsidRPr="004E4188" w:rsidRDefault="007049A5" w:rsidP="006C6267">
            <w:pPr>
              <w:ind w:left="86"/>
              <w:jc w:val="left"/>
              <w:rPr>
                <w:szCs w:val="24"/>
                <w:lang w:eastAsia="ja-JP"/>
              </w:rPr>
            </w:pPr>
            <w:r w:rsidRPr="004E4188">
              <w:rPr>
                <w:szCs w:val="24"/>
                <w:lang w:eastAsia="ja-JP"/>
              </w:rPr>
              <w:t>[</w:t>
            </w:r>
            <w:r w:rsidRPr="004E4188">
              <w:rPr>
                <w:i/>
                <w:szCs w:val="24"/>
                <w:lang w:eastAsia="ja-JP"/>
              </w:rPr>
              <w:t xml:space="preserve">indiquer le nom de l’activité </w:t>
            </w:r>
            <w:r w:rsidRPr="004E4188">
              <w:rPr>
                <w:i/>
                <w:spacing w:val="-2"/>
              </w:rPr>
              <w:t>n</w:t>
            </w:r>
            <w:r w:rsidRPr="004E4188">
              <w:rPr>
                <w:i/>
                <w:spacing w:val="-2"/>
                <w:vertAlign w:val="superscript"/>
              </w:rPr>
              <w:t>o</w:t>
            </w:r>
            <w:r w:rsidRPr="004E4188">
              <w:rPr>
                <w:i/>
                <w:szCs w:val="24"/>
                <w:lang w:eastAsia="ja-JP"/>
              </w:rPr>
              <w:t xml:space="preserve"> 1</w:t>
            </w:r>
            <w:r w:rsidRPr="004E4188">
              <w:rPr>
                <w:szCs w:val="24"/>
                <w:lang w:eastAsia="ja-JP"/>
              </w:rPr>
              <w:t>]</w:t>
            </w:r>
          </w:p>
        </w:tc>
        <w:tc>
          <w:tcPr>
            <w:tcW w:w="6114" w:type="dxa"/>
            <w:tcBorders>
              <w:top w:val="single" w:sz="6" w:space="0" w:color="auto"/>
              <w:left w:val="single" w:sz="4" w:space="0" w:color="auto"/>
              <w:right w:val="single" w:sz="6" w:space="0" w:color="000000"/>
            </w:tcBorders>
          </w:tcPr>
          <w:p w14:paraId="5EDE4695" w14:textId="77777777" w:rsidR="007049A5" w:rsidRPr="004E4188" w:rsidRDefault="007049A5" w:rsidP="006C6267">
            <w:pPr>
              <w:tabs>
                <w:tab w:val="left" w:pos="149"/>
                <w:tab w:val="left" w:pos="723"/>
              </w:tabs>
              <w:spacing w:before="60" w:after="60"/>
              <w:ind w:leftChars="62" w:left="149" w:rightChars="50" w:right="120"/>
              <w:jc w:val="left"/>
              <w:rPr>
                <w:bCs/>
                <w:iCs/>
                <w:sz w:val="22"/>
                <w:szCs w:val="22"/>
                <w:lang w:eastAsia="ja-JP"/>
              </w:rPr>
            </w:pPr>
            <w:r w:rsidRPr="004E4188">
              <w:rPr>
                <w:rFonts w:hint="eastAsia"/>
                <w:bCs/>
                <w:iCs/>
                <w:sz w:val="22"/>
                <w:szCs w:val="22"/>
                <w:lang w:eastAsia="ja-JP"/>
              </w:rPr>
              <w:t>[</w:t>
            </w:r>
            <w:r w:rsidRPr="004E4188">
              <w:rPr>
                <w:bCs/>
                <w:i/>
                <w:iCs/>
                <w:sz w:val="22"/>
                <w:szCs w:val="22"/>
                <w:lang w:eastAsia="ja-JP"/>
              </w:rPr>
              <w:t>indiquer le ou les noms complets des entreprises uniques / des membres de Groupement / des sous-traitants</w:t>
            </w:r>
            <w:r w:rsidRPr="004E4188">
              <w:rPr>
                <w:rFonts w:hint="eastAsia"/>
                <w:bCs/>
                <w:iCs/>
                <w:sz w:val="22"/>
                <w:szCs w:val="22"/>
                <w:lang w:eastAsia="ja-JP"/>
              </w:rPr>
              <w:t>]</w:t>
            </w:r>
          </w:p>
        </w:tc>
      </w:tr>
      <w:tr w:rsidR="007049A5" w:rsidRPr="004E4188" w14:paraId="6A3973F3" w14:textId="77777777" w:rsidTr="006C6267">
        <w:trPr>
          <w:trHeight w:val="358"/>
        </w:trPr>
        <w:tc>
          <w:tcPr>
            <w:tcW w:w="520" w:type="dxa"/>
            <w:tcBorders>
              <w:left w:val="single" w:sz="6" w:space="0" w:color="000000"/>
              <w:right w:val="single" w:sz="4" w:space="0" w:color="auto"/>
            </w:tcBorders>
          </w:tcPr>
          <w:p w14:paraId="02D40880" w14:textId="77777777" w:rsidR="007049A5" w:rsidRPr="004E4188" w:rsidRDefault="007049A5" w:rsidP="006C6267">
            <w:pPr>
              <w:spacing w:before="120"/>
              <w:ind w:right="56"/>
              <w:jc w:val="center"/>
              <w:rPr>
                <w:szCs w:val="24"/>
                <w:lang w:eastAsia="ja-JP"/>
              </w:rPr>
            </w:pPr>
          </w:p>
        </w:tc>
        <w:tc>
          <w:tcPr>
            <w:tcW w:w="2370" w:type="dxa"/>
            <w:tcBorders>
              <w:left w:val="single" w:sz="4" w:space="0" w:color="auto"/>
              <w:right w:val="single" w:sz="4" w:space="0" w:color="auto"/>
            </w:tcBorders>
          </w:tcPr>
          <w:p w14:paraId="1B56B79F" w14:textId="77777777" w:rsidR="007049A5" w:rsidRPr="004E4188" w:rsidRDefault="007049A5" w:rsidP="006C6267">
            <w:pPr>
              <w:ind w:left="86"/>
              <w:jc w:val="left"/>
              <w:rPr>
                <w:szCs w:val="24"/>
                <w:lang w:eastAsia="ja-JP"/>
              </w:rPr>
            </w:pPr>
          </w:p>
        </w:tc>
        <w:tc>
          <w:tcPr>
            <w:tcW w:w="6114" w:type="dxa"/>
            <w:tcBorders>
              <w:left w:val="single" w:sz="4" w:space="0" w:color="auto"/>
              <w:right w:val="single" w:sz="6" w:space="0" w:color="000000"/>
            </w:tcBorders>
          </w:tcPr>
          <w:p w14:paraId="68CF0D2D" w14:textId="77777777" w:rsidR="007049A5" w:rsidRPr="004E4188" w:rsidRDefault="007049A5" w:rsidP="006C6267">
            <w:pPr>
              <w:tabs>
                <w:tab w:val="left" w:pos="441"/>
              </w:tabs>
              <w:spacing w:beforeLines="30" w:before="72" w:afterLines="30" w:after="72"/>
              <w:ind w:left="158" w:rightChars="50" w:right="120"/>
              <w:jc w:val="left"/>
              <w:rPr>
                <w:bCs/>
                <w:iCs/>
                <w:sz w:val="22"/>
                <w:szCs w:val="22"/>
                <w:lang w:eastAsia="ja-JP"/>
              </w:rPr>
            </w:pPr>
            <w:r w:rsidRPr="004E4188">
              <w:rPr>
                <w:bCs/>
                <w:spacing w:val="12"/>
                <w:sz w:val="22"/>
                <w:szCs w:val="22"/>
                <w:lang w:val="en-US"/>
              </w:rPr>
              <w:t xml:space="preserve">(i) </w:t>
            </w:r>
            <w:r w:rsidRPr="004E4188">
              <w:rPr>
                <w:bCs/>
                <w:spacing w:val="12"/>
                <w:sz w:val="22"/>
                <w:szCs w:val="22"/>
                <w:lang w:val="en-US"/>
              </w:rPr>
              <w:tab/>
            </w:r>
            <w:r w:rsidRPr="004E4188">
              <w:rPr>
                <w:bCs/>
                <w:iCs/>
                <w:spacing w:val="-2"/>
                <w:sz w:val="22"/>
                <w:szCs w:val="22"/>
              </w:rPr>
              <w:t>____________________________________________</w:t>
            </w:r>
          </w:p>
        </w:tc>
      </w:tr>
      <w:tr w:rsidR="007049A5" w:rsidRPr="004E4188" w14:paraId="2A50421A" w14:textId="77777777" w:rsidTr="006C6267">
        <w:trPr>
          <w:trHeight w:val="358"/>
        </w:trPr>
        <w:tc>
          <w:tcPr>
            <w:tcW w:w="520" w:type="dxa"/>
            <w:tcBorders>
              <w:left w:val="single" w:sz="6" w:space="0" w:color="000000"/>
              <w:right w:val="single" w:sz="4" w:space="0" w:color="auto"/>
            </w:tcBorders>
          </w:tcPr>
          <w:p w14:paraId="3922341A" w14:textId="77777777" w:rsidR="007049A5" w:rsidRPr="004E4188" w:rsidRDefault="007049A5" w:rsidP="006C6267">
            <w:pPr>
              <w:spacing w:before="120"/>
              <w:ind w:right="56"/>
              <w:jc w:val="center"/>
              <w:rPr>
                <w:szCs w:val="24"/>
                <w:lang w:eastAsia="ja-JP"/>
              </w:rPr>
            </w:pPr>
          </w:p>
        </w:tc>
        <w:tc>
          <w:tcPr>
            <w:tcW w:w="2370" w:type="dxa"/>
            <w:tcBorders>
              <w:left w:val="single" w:sz="4" w:space="0" w:color="auto"/>
              <w:right w:val="single" w:sz="4" w:space="0" w:color="auto"/>
            </w:tcBorders>
          </w:tcPr>
          <w:p w14:paraId="7035A8D4" w14:textId="77777777" w:rsidR="007049A5" w:rsidRPr="004E4188" w:rsidRDefault="007049A5" w:rsidP="006C6267">
            <w:pPr>
              <w:ind w:left="86"/>
              <w:jc w:val="left"/>
              <w:rPr>
                <w:szCs w:val="24"/>
                <w:lang w:eastAsia="ja-JP"/>
              </w:rPr>
            </w:pPr>
          </w:p>
        </w:tc>
        <w:tc>
          <w:tcPr>
            <w:tcW w:w="6114" w:type="dxa"/>
            <w:tcBorders>
              <w:left w:val="single" w:sz="4" w:space="0" w:color="auto"/>
              <w:right w:val="single" w:sz="6" w:space="0" w:color="000000"/>
            </w:tcBorders>
          </w:tcPr>
          <w:p w14:paraId="559AAF9F" w14:textId="77777777" w:rsidR="007049A5" w:rsidRPr="004E4188" w:rsidRDefault="007049A5" w:rsidP="006C6267">
            <w:pPr>
              <w:tabs>
                <w:tab w:val="left" w:pos="441"/>
              </w:tabs>
              <w:spacing w:beforeLines="30" w:before="72" w:afterLines="30" w:after="72"/>
              <w:ind w:left="158" w:rightChars="50" w:right="120"/>
              <w:jc w:val="left"/>
              <w:rPr>
                <w:bCs/>
                <w:iCs/>
                <w:sz w:val="22"/>
                <w:szCs w:val="22"/>
                <w:lang w:eastAsia="ja-JP"/>
              </w:rPr>
            </w:pPr>
            <w:r w:rsidRPr="004E4188">
              <w:rPr>
                <w:bCs/>
                <w:spacing w:val="12"/>
                <w:sz w:val="22"/>
                <w:szCs w:val="22"/>
              </w:rPr>
              <w:t>(ii)</w:t>
            </w:r>
            <w:r w:rsidRPr="004E4188">
              <w:rPr>
                <w:bCs/>
                <w:spacing w:val="12"/>
                <w:sz w:val="22"/>
                <w:szCs w:val="22"/>
              </w:rPr>
              <w:tab/>
            </w:r>
            <w:r w:rsidRPr="004E4188">
              <w:rPr>
                <w:bCs/>
                <w:iCs/>
                <w:spacing w:val="-2"/>
                <w:sz w:val="22"/>
                <w:szCs w:val="22"/>
              </w:rPr>
              <w:t>____________________________________________</w:t>
            </w:r>
          </w:p>
        </w:tc>
      </w:tr>
      <w:tr w:rsidR="007049A5" w:rsidRPr="004E4188" w14:paraId="4AA7D5CE" w14:textId="77777777" w:rsidTr="006C6267">
        <w:trPr>
          <w:trHeight w:val="350"/>
        </w:trPr>
        <w:tc>
          <w:tcPr>
            <w:tcW w:w="520" w:type="dxa"/>
            <w:tcBorders>
              <w:left w:val="single" w:sz="6" w:space="0" w:color="000000"/>
              <w:bottom w:val="single" w:sz="6" w:space="0" w:color="000000"/>
              <w:right w:val="single" w:sz="4" w:space="0" w:color="auto"/>
            </w:tcBorders>
          </w:tcPr>
          <w:p w14:paraId="6404A307" w14:textId="77777777" w:rsidR="007049A5" w:rsidRPr="004E4188" w:rsidRDefault="007049A5" w:rsidP="006C6267">
            <w:pPr>
              <w:spacing w:before="120"/>
              <w:ind w:right="56"/>
              <w:jc w:val="center"/>
              <w:rPr>
                <w:szCs w:val="24"/>
                <w:lang w:eastAsia="ja-JP"/>
              </w:rPr>
            </w:pPr>
          </w:p>
        </w:tc>
        <w:tc>
          <w:tcPr>
            <w:tcW w:w="2370" w:type="dxa"/>
            <w:tcBorders>
              <w:left w:val="single" w:sz="4" w:space="0" w:color="auto"/>
              <w:bottom w:val="single" w:sz="6" w:space="0" w:color="000000"/>
              <w:right w:val="single" w:sz="4" w:space="0" w:color="auto"/>
            </w:tcBorders>
          </w:tcPr>
          <w:p w14:paraId="20EF3D9A" w14:textId="77777777" w:rsidR="007049A5" w:rsidRPr="004E4188" w:rsidRDefault="007049A5" w:rsidP="006C6267">
            <w:pPr>
              <w:ind w:left="86"/>
              <w:jc w:val="left"/>
              <w:rPr>
                <w:szCs w:val="24"/>
                <w:lang w:eastAsia="ja-JP"/>
              </w:rPr>
            </w:pPr>
          </w:p>
        </w:tc>
        <w:tc>
          <w:tcPr>
            <w:tcW w:w="6114" w:type="dxa"/>
            <w:tcBorders>
              <w:left w:val="single" w:sz="4" w:space="0" w:color="auto"/>
              <w:bottom w:val="single" w:sz="6" w:space="0" w:color="000000"/>
              <w:right w:val="single" w:sz="6" w:space="0" w:color="000000"/>
            </w:tcBorders>
          </w:tcPr>
          <w:p w14:paraId="151B12AB" w14:textId="77777777" w:rsidR="007049A5" w:rsidRPr="004E4188" w:rsidRDefault="007049A5" w:rsidP="006C6267">
            <w:pPr>
              <w:tabs>
                <w:tab w:val="left" w:pos="441"/>
              </w:tabs>
              <w:spacing w:beforeLines="30" w:before="72" w:afterLines="30" w:after="72"/>
              <w:ind w:left="158" w:rightChars="50" w:right="120"/>
              <w:jc w:val="left"/>
              <w:rPr>
                <w:bCs/>
                <w:iCs/>
                <w:sz w:val="22"/>
                <w:szCs w:val="22"/>
                <w:lang w:eastAsia="ja-JP"/>
              </w:rPr>
            </w:pPr>
            <w:r w:rsidRPr="004E4188">
              <w:rPr>
                <w:bCs/>
                <w:spacing w:val="12"/>
                <w:sz w:val="22"/>
                <w:szCs w:val="22"/>
              </w:rPr>
              <w:t>(iii)</w:t>
            </w:r>
            <w:r w:rsidRPr="004E4188">
              <w:rPr>
                <w:bCs/>
                <w:spacing w:val="12"/>
                <w:sz w:val="22"/>
                <w:szCs w:val="22"/>
              </w:rPr>
              <w:tab/>
            </w:r>
            <w:r w:rsidRPr="004E4188">
              <w:rPr>
                <w:bCs/>
                <w:iCs/>
                <w:spacing w:val="-2"/>
                <w:sz w:val="22"/>
                <w:szCs w:val="22"/>
              </w:rPr>
              <w:t>____________________________________________</w:t>
            </w:r>
          </w:p>
        </w:tc>
      </w:tr>
      <w:tr w:rsidR="007049A5" w:rsidRPr="004E4188" w14:paraId="43D1493C" w14:textId="77777777" w:rsidTr="006C6267">
        <w:trPr>
          <w:trHeight w:val="529"/>
        </w:trPr>
        <w:tc>
          <w:tcPr>
            <w:tcW w:w="520" w:type="dxa"/>
            <w:tcBorders>
              <w:top w:val="single" w:sz="6" w:space="0" w:color="000000"/>
              <w:left w:val="single" w:sz="6" w:space="0" w:color="000000"/>
              <w:right w:val="single" w:sz="4" w:space="0" w:color="auto"/>
            </w:tcBorders>
          </w:tcPr>
          <w:p w14:paraId="23C215B5" w14:textId="77777777" w:rsidR="007049A5" w:rsidRPr="004E4188" w:rsidRDefault="007049A5" w:rsidP="006C6267">
            <w:pPr>
              <w:ind w:right="57"/>
              <w:jc w:val="center"/>
              <w:rPr>
                <w:szCs w:val="24"/>
                <w:lang w:eastAsia="ja-JP"/>
              </w:rPr>
            </w:pPr>
            <w:r w:rsidRPr="004E4188">
              <w:rPr>
                <w:szCs w:val="24"/>
                <w:lang w:eastAsia="ja-JP"/>
              </w:rPr>
              <w:t>2</w:t>
            </w:r>
          </w:p>
        </w:tc>
        <w:tc>
          <w:tcPr>
            <w:tcW w:w="2370" w:type="dxa"/>
            <w:tcBorders>
              <w:top w:val="single" w:sz="6" w:space="0" w:color="000000"/>
              <w:left w:val="single" w:sz="4" w:space="0" w:color="auto"/>
              <w:right w:val="single" w:sz="4" w:space="0" w:color="auto"/>
            </w:tcBorders>
          </w:tcPr>
          <w:p w14:paraId="67C77A5F" w14:textId="77777777" w:rsidR="007049A5" w:rsidRPr="004E4188" w:rsidRDefault="007049A5" w:rsidP="006C6267">
            <w:pPr>
              <w:ind w:left="86"/>
              <w:jc w:val="left"/>
              <w:rPr>
                <w:szCs w:val="24"/>
                <w:lang w:eastAsia="ja-JP"/>
              </w:rPr>
            </w:pPr>
            <w:r w:rsidRPr="004E4188">
              <w:rPr>
                <w:szCs w:val="24"/>
                <w:lang w:eastAsia="ja-JP"/>
              </w:rPr>
              <w:t>[</w:t>
            </w:r>
            <w:r w:rsidRPr="004E4188">
              <w:rPr>
                <w:i/>
                <w:szCs w:val="24"/>
                <w:lang w:eastAsia="ja-JP"/>
              </w:rPr>
              <w:t xml:space="preserve">indiquer le nom de l’activité </w:t>
            </w:r>
            <w:r w:rsidRPr="004E4188">
              <w:rPr>
                <w:i/>
                <w:spacing w:val="-2"/>
              </w:rPr>
              <w:t>n</w:t>
            </w:r>
            <w:r w:rsidRPr="004E4188">
              <w:rPr>
                <w:i/>
                <w:spacing w:val="-2"/>
                <w:vertAlign w:val="superscript"/>
              </w:rPr>
              <w:t>o</w:t>
            </w:r>
            <w:r w:rsidRPr="004E4188">
              <w:rPr>
                <w:i/>
                <w:szCs w:val="24"/>
                <w:lang w:eastAsia="ja-JP"/>
              </w:rPr>
              <w:t xml:space="preserve"> 2</w:t>
            </w:r>
            <w:r w:rsidRPr="004E4188">
              <w:rPr>
                <w:szCs w:val="24"/>
                <w:lang w:eastAsia="ja-JP"/>
              </w:rPr>
              <w:t>]</w:t>
            </w:r>
          </w:p>
        </w:tc>
        <w:tc>
          <w:tcPr>
            <w:tcW w:w="6114" w:type="dxa"/>
            <w:tcBorders>
              <w:top w:val="single" w:sz="6" w:space="0" w:color="000000"/>
              <w:left w:val="single" w:sz="4" w:space="0" w:color="auto"/>
              <w:right w:val="single" w:sz="6" w:space="0" w:color="000000"/>
            </w:tcBorders>
          </w:tcPr>
          <w:p w14:paraId="6AAE8280" w14:textId="77777777" w:rsidR="007049A5" w:rsidRPr="004E4188" w:rsidRDefault="007049A5" w:rsidP="006C6267">
            <w:pPr>
              <w:tabs>
                <w:tab w:val="left" w:pos="154"/>
                <w:tab w:val="left" w:pos="723"/>
              </w:tabs>
              <w:spacing w:before="60" w:after="60"/>
              <w:ind w:leftChars="62" w:left="149" w:rightChars="50" w:right="120"/>
              <w:jc w:val="left"/>
              <w:rPr>
                <w:bCs/>
                <w:i/>
                <w:iCs/>
                <w:lang w:eastAsia="ja-JP"/>
              </w:rPr>
            </w:pPr>
            <w:r w:rsidRPr="004E4188">
              <w:rPr>
                <w:rFonts w:hint="eastAsia"/>
                <w:bCs/>
                <w:iCs/>
                <w:sz w:val="22"/>
                <w:szCs w:val="22"/>
                <w:lang w:eastAsia="ja-JP"/>
              </w:rPr>
              <w:t>[</w:t>
            </w:r>
            <w:r w:rsidRPr="004E4188">
              <w:rPr>
                <w:bCs/>
                <w:i/>
                <w:iCs/>
                <w:sz w:val="22"/>
                <w:szCs w:val="22"/>
                <w:lang w:eastAsia="ja-JP"/>
              </w:rPr>
              <w:t>indiquer le ou les noms complets des entreprises uniques / des membres de Groupement / des sous-traitants</w:t>
            </w:r>
            <w:r w:rsidRPr="004E4188">
              <w:rPr>
                <w:rFonts w:hint="eastAsia"/>
                <w:bCs/>
                <w:iCs/>
                <w:sz w:val="22"/>
                <w:szCs w:val="22"/>
                <w:lang w:eastAsia="ja-JP"/>
              </w:rPr>
              <w:t>]</w:t>
            </w:r>
          </w:p>
        </w:tc>
      </w:tr>
      <w:tr w:rsidR="007049A5" w:rsidRPr="004E4188" w14:paraId="3009DEAD" w14:textId="77777777" w:rsidTr="006C6267">
        <w:trPr>
          <w:trHeight w:val="358"/>
        </w:trPr>
        <w:tc>
          <w:tcPr>
            <w:tcW w:w="520" w:type="dxa"/>
            <w:tcBorders>
              <w:left w:val="single" w:sz="6" w:space="0" w:color="000000"/>
              <w:right w:val="single" w:sz="4" w:space="0" w:color="auto"/>
            </w:tcBorders>
          </w:tcPr>
          <w:p w14:paraId="4EF34961" w14:textId="77777777" w:rsidR="007049A5" w:rsidRPr="004E4188" w:rsidRDefault="007049A5" w:rsidP="006C6267">
            <w:pPr>
              <w:spacing w:before="120"/>
              <w:ind w:right="56"/>
              <w:jc w:val="center"/>
              <w:rPr>
                <w:szCs w:val="24"/>
                <w:lang w:eastAsia="ja-JP"/>
              </w:rPr>
            </w:pPr>
          </w:p>
        </w:tc>
        <w:tc>
          <w:tcPr>
            <w:tcW w:w="2370" w:type="dxa"/>
            <w:tcBorders>
              <w:left w:val="single" w:sz="4" w:space="0" w:color="auto"/>
              <w:right w:val="single" w:sz="4" w:space="0" w:color="auto"/>
            </w:tcBorders>
          </w:tcPr>
          <w:p w14:paraId="6652EC1F" w14:textId="77777777" w:rsidR="007049A5" w:rsidRPr="004E4188" w:rsidRDefault="007049A5" w:rsidP="006C6267">
            <w:pPr>
              <w:ind w:left="86"/>
              <w:jc w:val="left"/>
              <w:rPr>
                <w:szCs w:val="24"/>
                <w:lang w:eastAsia="ja-JP"/>
              </w:rPr>
            </w:pPr>
          </w:p>
        </w:tc>
        <w:tc>
          <w:tcPr>
            <w:tcW w:w="6114" w:type="dxa"/>
            <w:tcBorders>
              <w:left w:val="single" w:sz="4" w:space="0" w:color="auto"/>
              <w:right w:val="single" w:sz="6" w:space="0" w:color="000000"/>
            </w:tcBorders>
          </w:tcPr>
          <w:p w14:paraId="163951F5" w14:textId="77777777" w:rsidR="007049A5" w:rsidRPr="004E4188" w:rsidRDefault="007049A5" w:rsidP="006C6267">
            <w:pPr>
              <w:tabs>
                <w:tab w:val="left" w:pos="441"/>
              </w:tabs>
              <w:spacing w:beforeLines="30" w:before="72" w:afterLines="30" w:after="72"/>
              <w:ind w:left="158" w:rightChars="50" w:right="120"/>
              <w:jc w:val="left"/>
              <w:rPr>
                <w:bCs/>
                <w:iCs/>
                <w:sz w:val="22"/>
                <w:szCs w:val="22"/>
                <w:lang w:eastAsia="ja-JP"/>
              </w:rPr>
            </w:pPr>
            <w:r w:rsidRPr="004E4188">
              <w:rPr>
                <w:bCs/>
                <w:spacing w:val="12"/>
                <w:sz w:val="22"/>
                <w:szCs w:val="22"/>
              </w:rPr>
              <w:t xml:space="preserve">(i) </w:t>
            </w:r>
            <w:r w:rsidRPr="004E4188">
              <w:rPr>
                <w:bCs/>
                <w:spacing w:val="12"/>
                <w:sz w:val="22"/>
                <w:szCs w:val="22"/>
              </w:rPr>
              <w:tab/>
            </w:r>
            <w:r w:rsidRPr="004E4188">
              <w:rPr>
                <w:bCs/>
                <w:iCs/>
                <w:spacing w:val="-2"/>
                <w:sz w:val="22"/>
                <w:szCs w:val="22"/>
              </w:rPr>
              <w:t>____________________________________________</w:t>
            </w:r>
          </w:p>
        </w:tc>
      </w:tr>
      <w:tr w:rsidR="007049A5" w:rsidRPr="004E4188" w14:paraId="7F407A89" w14:textId="77777777" w:rsidTr="006C6267">
        <w:trPr>
          <w:trHeight w:val="358"/>
        </w:trPr>
        <w:tc>
          <w:tcPr>
            <w:tcW w:w="520" w:type="dxa"/>
            <w:tcBorders>
              <w:left w:val="single" w:sz="6" w:space="0" w:color="000000"/>
              <w:right w:val="single" w:sz="4" w:space="0" w:color="auto"/>
            </w:tcBorders>
          </w:tcPr>
          <w:p w14:paraId="05B04EF2" w14:textId="77777777" w:rsidR="007049A5" w:rsidRPr="004E4188" w:rsidRDefault="007049A5" w:rsidP="006C6267">
            <w:pPr>
              <w:spacing w:before="120"/>
              <w:ind w:right="56"/>
              <w:jc w:val="center"/>
              <w:rPr>
                <w:szCs w:val="24"/>
                <w:lang w:eastAsia="ja-JP"/>
              </w:rPr>
            </w:pPr>
          </w:p>
        </w:tc>
        <w:tc>
          <w:tcPr>
            <w:tcW w:w="2370" w:type="dxa"/>
            <w:tcBorders>
              <w:left w:val="single" w:sz="4" w:space="0" w:color="auto"/>
              <w:right w:val="single" w:sz="4" w:space="0" w:color="auto"/>
            </w:tcBorders>
          </w:tcPr>
          <w:p w14:paraId="57D140F3" w14:textId="77777777" w:rsidR="007049A5" w:rsidRPr="004E4188" w:rsidRDefault="007049A5" w:rsidP="006C6267">
            <w:pPr>
              <w:ind w:left="86"/>
              <w:jc w:val="left"/>
              <w:rPr>
                <w:szCs w:val="24"/>
                <w:lang w:eastAsia="ja-JP"/>
              </w:rPr>
            </w:pPr>
          </w:p>
        </w:tc>
        <w:tc>
          <w:tcPr>
            <w:tcW w:w="6114" w:type="dxa"/>
            <w:tcBorders>
              <w:left w:val="single" w:sz="4" w:space="0" w:color="auto"/>
              <w:right w:val="single" w:sz="6" w:space="0" w:color="000000"/>
            </w:tcBorders>
          </w:tcPr>
          <w:p w14:paraId="11B59C79" w14:textId="77777777" w:rsidR="007049A5" w:rsidRPr="004E4188" w:rsidRDefault="007049A5" w:rsidP="006C6267">
            <w:pPr>
              <w:tabs>
                <w:tab w:val="left" w:pos="441"/>
              </w:tabs>
              <w:spacing w:beforeLines="30" w:before="72" w:afterLines="30" w:after="72"/>
              <w:ind w:left="158" w:rightChars="50" w:right="120"/>
              <w:jc w:val="left"/>
              <w:rPr>
                <w:bCs/>
                <w:iCs/>
                <w:sz w:val="22"/>
                <w:szCs w:val="22"/>
                <w:lang w:eastAsia="ja-JP"/>
              </w:rPr>
            </w:pPr>
            <w:r w:rsidRPr="004E4188">
              <w:rPr>
                <w:bCs/>
                <w:spacing w:val="12"/>
                <w:sz w:val="22"/>
                <w:szCs w:val="22"/>
              </w:rPr>
              <w:t>(ii)</w:t>
            </w:r>
            <w:r w:rsidRPr="004E4188">
              <w:rPr>
                <w:bCs/>
                <w:spacing w:val="12"/>
                <w:sz w:val="22"/>
                <w:szCs w:val="22"/>
              </w:rPr>
              <w:tab/>
            </w:r>
            <w:r w:rsidRPr="004E4188">
              <w:rPr>
                <w:bCs/>
                <w:iCs/>
                <w:spacing w:val="-2"/>
                <w:sz w:val="22"/>
                <w:szCs w:val="22"/>
              </w:rPr>
              <w:t>____________________________________________</w:t>
            </w:r>
          </w:p>
        </w:tc>
      </w:tr>
      <w:tr w:rsidR="007049A5" w:rsidRPr="004E4188" w14:paraId="4031114E" w14:textId="77777777" w:rsidTr="006C6267">
        <w:trPr>
          <w:trHeight w:val="350"/>
        </w:trPr>
        <w:tc>
          <w:tcPr>
            <w:tcW w:w="520" w:type="dxa"/>
            <w:tcBorders>
              <w:left w:val="single" w:sz="6" w:space="0" w:color="000000"/>
              <w:bottom w:val="single" w:sz="6" w:space="0" w:color="000000"/>
              <w:right w:val="single" w:sz="4" w:space="0" w:color="auto"/>
            </w:tcBorders>
          </w:tcPr>
          <w:p w14:paraId="67A9DCE4" w14:textId="77777777" w:rsidR="007049A5" w:rsidRPr="004E4188" w:rsidRDefault="007049A5" w:rsidP="006C6267">
            <w:pPr>
              <w:spacing w:before="120"/>
              <w:ind w:right="56"/>
              <w:jc w:val="center"/>
              <w:rPr>
                <w:szCs w:val="24"/>
                <w:lang w:eastAsia="ja-JP"/>
              </w:rPr>
            </w:pPr>
          </w:p>
        </w:tc>
        <w:tc>
          <w:tcPr>
            <w:tcW w:w="2370" w:type="dxa"/>
            <w:tcBorders>
              <w:left w:val="single" w:sz="4" w:space="0" w:color="auto"/>
              <w:bottom w:val="single" w:sz="6" w:space="0" w:color="000000"/>
              <w:right w:val="single" w:sz="4" w:space="0" w:color="auto"/>
            </w:tcBorders>
          </w:tcPr>
          <w:p w14:paraId="7A8C123B" w14:textId="77777777" w:rsidR="007049A5" w:rsidRPr="004E4188" w:rsidRDefault="007049A5" w:rsidP="006C6267">
            <w:pPr>
              <w:ind w:left="86"/>
              <w:jc w:val="left"/>
              <w:rPr>
                <w:szCs w:val="24"/>
                <w:lang w:eastAsia="ja-JP"/>
              </w:rPr>
            </w:pPr>
          </w:p>
        </w:tc>
        <w:tc>
          <w:tcPr>
            <w:tcW w:w="6114" w:type="dxa"/>
            <w:tcBorders>
              <w:left w:val="single" w:sz="4" w:space="0" w:color="auto"/>
              <w:bottom w:val="single" w:sz="6" w:space="0" w:color="000000"/>
              <w:right w:val="single" w:sz="6" w:space="0" w:color="000000"/>
            </w:tcBorders>
          </w:tcPr>
          <w:p w14:paraId="6AA467DA" w14:textId="77777777" w:rsidR="007049A5" w:rsidRPr="004E4188" w:rsidRDefault="007049A5" w:rsidP="006C6267">
            <w:pPr>
              <w:tabs>
                <w:tab w:val="left" w:pos="441"/>
              </w:tabs>
              <w:spacing w:beforeLines="30" w:before="72" w:afterLines="30" w:after="72"/>
              <w:ind w:left="158" w:rightChars="50" w:right="120"/>
              <w:jc w:val="left"/>
              <w:rPr>
                <w:bCs/>
                <w:iCs/>
                <w:sz w:val="22"/>
                <w:szCs w:val="22"/>
                <w:lang w:eastAsia="ja-JP"/>
              </w:rPr>
            </w:pPr>
            <w:r w:rsidRPr="004E4188">
              <w:rPr>
                <w:bCs/>
                <w:spacing w:val="12"/>
                <w:sz w:val="22"/>
                <w:szCs w:val="22"/>
              </w:rPr>
              <w:t>(iii)</w:t>
            </w:r>
            <w:r w:rsidRPr="004E4188">
              <w:rPr>
                <w:bCs/>
                <w:spacing w:val="12"/>
                <w:sz w:val="22"/>
                <w:szCs w:val="22"/>
              </w:rPr>
              <w:tab/>
            </w:r>
            <w:r w:rsidRPr="004E4188">
              <w:rPr>
                <w:bCs/>
                <w:iCs/>
                <w:spacing w:val="-2"/>
                <w:sz w:val="22"/>
                <w:szCs w:val="22"/>
              </w:rPr>
              <w:t>____________________________________________</w:t>
            </w:r>
          </w:p>
        </w:tc>
      </w:tr>
      <w:tr w:rsidR="007049A5" w:rsidRPr="004E4188" w14:paraId="15716CE2" w14:textId="77777777" w:rsidTr="006C6267">
        <w:trPr>
          <w:trHeight w:val="529"/>
        </w:trPr>
        <w:tc>
          <w:tcPr>
            <w:tcW w:w="520" w:type="dxa"/>
            <w:tcBorders>
              <w:top w:val="single" w:sz="6" w:space="0" w:color="000000"/>
              <w:left w:val="single" w:sz="6" w:space="0" w:color="000000"/>
              <w:right w:val="single" w:sz="4" w:space="0" w:color="auto"/>
            </w:tcBorders>
          </w:tcPr>
          <w:p w14:paraId="3571A186" w14:textId="77777777" w:rsidR="007049A5" w:rsidRPr="004E4188" w:rsidRDefault="007049A5" w:rsidP="006C6267">
            <w:pPr>
              <w:ind w:right="57"/>
              <w:jc w:val="center"/>
              <w:rPr>
                <w:szCs w:val="24"/>
                <w:lang w:eastAsia="ja-JP"/>
              </w:rPr>
            </w:pPr>
            <w:r w:rsidRPr="004E4188">
              <w:rPr>
                <w:szCs w:val="24"/>
                <w:lang w:eastAsia="ja-JP"/>
              </w:rPr>
              <w:t>3</w:t>
            </w:r>
          </w:p>
        </w:tc>
        <w:tc>
          <w:tcPr>
            <w:tcW w:w="2370" w:type="dxa"/>
            <w:tcBorders>
              <w:top w:val="single" w:sz="6" w:space="0" w:color="000000"/>
              <w:left w:val="single" w:sz="4" w:space="0" w:color="auto"/>
              <w:right w:val="single" w:sz="4" w:space="0" w:color="auto"/>
            </w:tcBorders>
          </w:tcPr>
          <w:p w14:paraId="634E5065" w14:textId="77777777" w:rsidR="007049A5" w:rsidRPr="004E4188" w:rsidRDefault="007049A5" w:rsidP="006C6267">
            <w:pPr>
              <w:ind w:left="86"/>
              <w:jc w:val="left"/>
              <w:rPr>
                <w:szCs w:val="24"/>
                <w:lang w:eastAsia="ja-JP"/>
              </w:rPr>
            </w:pPr>
            <w:r w:rsidRPr="004E4188">
              <w:rPr>
                <w:szCs w:val="24"/>
                <w:lang w:eastAsia="ja-JP"/>
              </w:rPr>
              <w:t>[</w:t>
            </w:r>
            <w:r w:rsidRPr="004E4188">
              <w:rPr>
                <w:i/>
                <w:szCs w:val="24"/>
                <w:lang w:eastAsia="ja-JP"/>
              </w:rPr>
              <w:t xml:space="preserve">indiquer le nom de l’activité </w:t>
            </w:r>
            <w:r w:rsidRPr="004E4188">
              <w:rPr>
                <w:i/>
                <w:spacing w:val="-2"/>
              </w:rPr>
              <w:t>n</w:t>
            </w:r>
            <w:r w:rsidRPr="004E4188">
              <w:rPr>
                <w:i/>
                <w:spacing w:val="-2"/>
                <w:vertAlign w:val="superscript"/>
              </w:rPr>
              <w:t>o</w:t>
            </w:r>
            <w:r w:rsidRPr="004E4188">
              <w:rPr>
                <w:i/>
                <w:szCs w:val="24"/>
                <w:lang w:eastAsia="ja-JP"/>
              </w:rPr>
              <w:t xml:space="preserve"> 3</w:t>
            </w:r>
            <w:r w:rsidRPr="004E4188">
              <w:rPr>
                <w:szCs w:val="24"/>
                <w:lang w:eastAsia="ja-JP"/>
              </w:rPr>
              <w:t>]</w:t>
            </w:r>
          </w:p>
        </w:tc>
        <w:tc>
          <w:tcPr>
            <w:tcW w:w="6114" w:type="dxa"/>
            <w:tcBorders>
              <w:top w:val="single" w:sz="6" w:space="0" w:color="000000"/>
              <w:left w:val="single" w:sz="4" w:space="0" w:color="auto"/>
              <w:right w:val="single" w:sz="6" w:space="0" w:color="000000"/>
            </w:tcBorders>
          </w:tcPr>
          <w:p w14:paraId="4E6F0DCE" w14:textId="77777777" w:rsidR="007049A5" w:rsidRPr="004E4188" w:rsidRDefault="007049A5" w:rsidP="006C6267">
            <w:pPr>
              <w:tabs>
                <w:tab w:val="left" w:pos="154"/>
                <w:tab w:val="left" w:pos="723"/>
              </w:tabs>
              <w:spacing w:before="60" w:after="60"/>
              <w:ind w:leftChars="62" w:left="149" w:rightChars="50" w:right="120"/>
              <w:jc w:val="left"/>
              <w:rPr>
                <w:bCs/>
                <w:i/>
                <w:iCs/>
                <w:lang w:eastAsia="ja-JP"/>
              </w:rPr>
            </w:pPr>
            <w:r w:rsidRPr="004E4188">
              <w:rPr>
                <w:rFonts w:hint="eastAsia"/>
                <w:bCs/>
                <w:iCs/>
                <w:sz w:val="22"/>
                <w:szCs w:val="22"/>
                <w:lang w:eastAsia="ja-JP"/>
              </w:rPr>
              <w:t>[</w:t>
            </w:r>
            <w:r w:rsidRPr="004E4188">
              <w:rPr>
                <w:bCs/>
                <w:i/>
                <w:iCs/>
                <w:sz w:val="22"/>
                <w:szCs w:val="22"/>
                <w:lang w:eastAsia="ja-JP"/>
              </w:rPr>
              <w:t>indiquer le ou les noms complets des entreprises uniques / des membres de Groupement / des sous-traitants</w:t>
            </w:r>
            <w:r w:rsidRPr="004E4188">
              <w:rPr>
                <w:rFonts w:hint="eastAsia"/>
                <w:bCs/>
                <w:iCs/>
                <w:sz w:val="22"/>
                <w:szCs w:val="22"/>
                <w:lang w:eastAsia="ja-JP"/>
              </w:rPr>
              <w:t>]</w:t>
            </w:r>
          </w:p>
        </w:tc>
      </w:tr>
      <w:tr w:rsidR="007049A5" w:rsidRPr="004E4188" w14:paraId="6298E052" w14:textId="77777777" w:rsidTr="006C6267">
        <w:trPr>
          <w:trHeight w:val="358"/>
        </w:trPr>
        <w:tc>
          <w:tcPr>
            <w:tcW w:w="520" w:type="dxa"/>
            <w:tcBorders>
              <w:left w:val="single" w:sz="6" w:space="0" w:color="000000"/>
              <w:right w:val="single" w:sz="4" w:space="0" w:color="auto"/>
            </w:tcBorders>
          </w:tcPr>
          <w:p w14:paraId="3B6AD3CC" w14:textId="77777777" w:rsidR="007049A5" w:rsidRPr="004E4188" w:rsidRDefault="007049A5" w:rsidP="006C6267">
            <w:pPr>
              <w:spacing w:before="120"/>
              <w:ind w:right="56"/>
              <w:jc w:val="center"/>
              <w:rPr>
                <w:szCs w:val="24"/>
                <w:lang w:eastAsia="ja-JP"/>
              </w:rPr>
            </w:pPr>
          </w:p>
        </w:tc>
        <w:tc>
          <w:tcPr>
            <w:tcW w:w="2370" w:type="dxa"/>
            <w:tcBorders>
              <w:left w:val="single" w:sz="4" w:space="0" w:color="auto"/>
              <w:right w:val="single" w:sz="4" w:space="0" w:color="auto"/>
            </w:tcBorders>
          </w:tcPr>
          <w:p w14:paraId="0C4C0DB5" w14:textId="77777777" w:rsidR="007049A5" w:rsidRPr="004E4188" w:rsidRDefault="007049A5" w:rsidP="006C6267">
            <w:pPr>
              <w:ind w:left="86"/>
              <w:jc w:val="left"/>
              <w:rPr>
                <w:szCs w:val="24"/>
                <w:lang w:eastAsia="ja-JP"/>
              </w:rPr>
            </w:pPr>
          </w:p>
        </w:tc>
        <w:tc>
          <w:tcPr>
            <w:tcW w:w="6114" w:type="dxa"/>
            <w:tcBorders>
              <w:left w:val="single" w:sz="4" w:space="0" w:color="auto"/>
              <w:right w:val="single" w:sz="6" w:space="0" w:color="000000"/>
            </w:tcBorders>
          </w:tcPr>
          <w:p w14:paraId="5CB68F00" w14:textId="77777777" w:rsidR="007049A5" w:rsidRPr="004E4188" w:rsidRDefault="007049A5" w:rsidP="006C6267">
            <w:pPr>
              <w:tabs>
                <w:tab w:val="left" w:pos="441"/>
              </w:tabs>
              <w:spacing w:beforeLines="30" w:before="72" w:afterLines="30" w:after="72"/>
              <w:ind w:left="158" w:rightChars="50" w:right="120"/>
              <w:jc w:val="left"/>
              <w:rPr>
                <w:bCs/>
                <w:iCs/>
                <w:sz w:val="22"/>
                <w:szCs w:val="22"/>
                <w:lang w:eastAsia="ja-JP"/>
              </w:rPr>
            </w:pPr>
            <w:r w:rsidRPr="004E4188">
              <w:rPr>
                <w:bCs/>
                <w:spacing w:val="12"/>
                <w:sz w:val="22"/>
                <w:szCs w:val="22"/>
              </w:rPr>
              <w:t xml:space="preserve">(i) </w:t>
            </w:r>
            <w:r w:rsidRPr="004E4188">
              <w:rPr>
                <w:bCs/>
                <w:spacing w:val="12"/>
                <w:sz w:val="22"/>
                <w:szCs w:val="22"/>
              </w:rPr>
              <w:tab/>
            </w:r>
            <w:r w:rsidRPr="004E4188">
              <w:rPr>
                <w:bCs/>
                <w:iCs/>
                <w:spacing w:val="-2"/>
                <w:sz w:val="22"/>
                <w:szCs w:val="22"/>
              </w:rPr>
              <w:t>____________________________________________</w:t>
            </w:r>
          </w:p>
        </w:tc>
      </w:tr>
      <w:tr w:rsidR="007049A5" w:rsidRPr="004E4188" w14:paraId="0338C72B" w14:textId="77777777" w:rsidTr="006C6267">
        <w:trPr>
          <w:trHeight w:val="358"/>
        </w:trPr>
        <w:tc>
          <w:tcPr>
            <w:tcW w:w="520" w:type="dxa"/>
            <w:tcBorders>
              <w:left w:val="single" w:sz="6" w:space="0" w:color="000000"/>
              <w:right w:val="single" w:sz="4" w:space="0" w:color="auto"/>
            </w:tcBorders>
          </w:tcPr>
          <w:p w14:paraId="1DE28428" w14:textId="77777777" w:rsidR="007049A5" w:rsidRPr="004E4188" w:rsidRDefault="007049A5" w:rsidP="006C6267">
            <w:pPr>
              <w:spacing w:before="120"/>
              <w:ind w:right="56"/>
              <w:jc w:val="center"/>
              <w:rPr>
                <w:szCs w:val="24"/>
                <w:lang w:eastAsia="ja-JP"/>
              </w:rPr>
            </w:pPr>
          </w:p>
        </w:tc>
        <w:tc>
          <w:tcPr>
            <w:tcW w:w="2370" w:type="dxa"/>
            <w:tcBorders>
              <w:left w:val="single" w:sz="4" w:space="0" w:color="auto"/>
              <w:right w:val="single" w:sz="4" w:space="0" w:color="auto"/>
            </w:tcBorders>
          </w:tcPr>
          <w:p w14:paraId="15F4A842" w14:textId="77777777" w:rsidR="007049A5" w:rsidRPr="004E4188" w:rsidRDefault="007049A5" w:rsidP="006C6267">
            <w:pPr>
              <w:ind w:left="86"/>
              <w:jc w:val="left"/>
              <w:rPr>
                <w:szCs w:val="24"/>
                <w:lang w:eastAsia="ja-JP"/>
              </w:rPr>
            </w:pPr>
          </w:p>
        </w:tc>
        <w:tc>
          <w:tcPr>
            <w:tcW w:w="6114" w:type="dxa"/>
            <w:tcBorders>
              <w:left w:val="single" w:sz="4" w:space="0" w:color="auto"/>
              <w:right w:val="single" w:sz="6" w:space="0" w:color="000000"/>
            </w:tcBorders>
          </w:tcPr>
          <w:p w14:paraId="65E7A884" w14:textId="77777777" w:rsidR="007049A5" w:rsidRPr="004E4188" w:rsidRDefault="007049A5" w:rsidP="006C6267">
            <w:pPr>
              <w:tabs>
                <w:tab w:val="left" w:pos="441"/>
              </w:tabs>
              <w:spacing w:beforeLines="30" w:before="72" w:afterLines="30" w:after="72"/>
              <w:ind w:left="158" w:rightChars="50" w:right="120"/>
              <w:jc w:val="left"/>
              <w:rPr>
                <w:bCs/>
                <w:iCs/>
                <w:sz w:val="22"/>
                <w:szCs w:val="22"/>
                <w:lang w:eastAsia="ja-JP"/>
              </w:rPr>
            </w:pPr>
            <w:r w:rsidRPr="004E4188">
              <w:rPr>
                <w:bCs/>
                <w:spacing w:val="12"/>
                <w:sz w:val="22"/>
                <w:szCs w:val="22"/>
              </w:rPr>
              <w:t>(ii)</w:t>
            </w:r>
            <w:r w:rsidRPr="004E4188">
              <w:rPr>
                <w:bCs/>
                <w:spacing w:val="12"/>
                <w:sz w:val="22"/>
                <w:szCs w:val="22"/>
              </w:rPr>
              <w:tab/>
            </w:r>
            <w:r w:rsidRPr="004E4188">
              <w:rPr>
                <w:bCs/>
                <w:iCs/>
                <w:spacing w:val="-2"/>
                <w:sz w:val="22"/>
                <w:szCs w:val="22"/>
              </w:rPr>
              <w:t>____________________________________________</w:t>
            </w:r>
          </w:p>
        </w:tc>
      </w:tr>
      <w:tr w:rsidR="007049A5" w:rsidRPr="004E4188" w14:paraId="5E83DB5F" w14:textId="77777777" w:rsidTr="006C6267">
        <w:trPr>
          <w:trHeight w:val="350"/>
        </w:trPr>
        <w:tc>
          <w:tcPr>
            <w:tcW w:w="520" w:type="dxa"/>
            <w:tcBorders>
              <w:left w:val="single" w:sz="6" w:space="0" w:color="000000"/>
              <w:bottom w:val="single" w:sz="6" w:space="0" w:color="000000"/>
              <w:right w:val="single" w:sz="4" w:space="0" w:color="auto"/>
            </w:tcBorders>
          </w:tcPr>
          <w:p w14:paraId="343D6FB9" w14:textId="77777777" w:rsidR="007049A5" w:rsidRPr="004E4188" w:rsidRDefault="007049A5" w:rsidP="006C6267">
            <w:pPr>
              <w:spacing w:before="120"/>
              <w:ind w:right="56"/>
              <w:jc w:val="center"/>
              <w:rPr>
                <w:szCs w:val="24"/>
                <w:lang w:eastAsia="ja-JP"/>
              </w:rPr>
            </w:pPr>
          </w:p>
        </w:tc>
        <w:tc>
          <w:tcPr>
            <w:tcW w:w="2370" w:type="dxa"/>
            <w:tcBorders>
              <w:left w:val="single" w:sz="4" w:space="0" w:color="auto"/>
              <w:bottom w:val="single" w:sz="6" w:space="0" w:color="000000"/>
              <w:right w:val="single" w:sz="4" w:space="0" w:color="auto"/>
            </w:tcBorders>
          </w:tcPr>
          <w:p w14:paraId="33F3E167" w14:textId="77777777" w:rsidR="007049A5" w:rsidRPr="004E4188" w:rsidRDefault="007049A5" w:rsidP="006C6267">
            <w:pPr>
              <w:ind w:left="86"/>
              <w:jc w:val="left"/>
              <w:rPr>
                <w:szCs w:val="24"/>
                <w:lang w:eastAsia="ja-JP"/>
              </w:rPr>
            </w:pPr>
          </w:p>
        </w:tc>
        <w:tc>
          <w:tcPr>
            <w:tcW w:w="6114" w:type="dxa"/>
            <w:tcBorders>
              <w:left w:val="single" w:sz="4" w:space="0" w:color="auto"/>
              <w:bottom w:val="single" w:sz="6" w:space="0" w:color="000000"/>
              <w:right w:val="single" w:sz="6" w:space="0" w:color="000000"/>
            </w:tcBorders>
          </w:tcPr>
          <w:p w14:paraId="2E1B0B0E" w14:textId="77777777" w:rsidR="007049A5" w:rsidRPr="004E4188" w:rsidRDefault="007049A5" w:rsidP="006C6267">
            <w:pPr>
              <w:tabs>
                <w:tab w:val="left" w:pos="441"/>
              </w:tabs>
              <w:spacing w:beforeLines="30" w:before="72" w:afterLines="30" w:after="72"/>
              <w:ind w:left="158" w:rightChars="50" w:right="120"/>
              <w:jc w:val="left"/>
              <w:rPr>
                <w:bCs/>
                <w:iCs/>
                <w:sz w:val="22"/>
                <w:szCs w:val="22"/>
                <w:lang w:eastAsia="ja-JP"/>
              </w:rPr>
            </w:pPr>
            <w:r w:rsidRPr="004E4188">
              <w:rPr>
                <w:bCs/>
                <w:spacing w:val="12"/>
                <w:sz w:val="22"/>
                <w:szCs w:val="22"/>
              </w:rPr>
              <w:t>(iii)</w:t>
            </w:r>
            <w:r w:rsidRPr="004E4188">
              <w:rPr>
                <w:bCs/>
                <w:spacing w:val="12"/>
                <w:sz w:val="22"/>
                <w:szCs w:val="22"/>
              </w:rPr>
              <w:tab/>
            </w:r>
            <w:r w:rsidRPr="004E4188">
              <w:rPr>
                <w:bCs/>
                <w:iCs/>
                <w:spacing w:val="-2"/>
                <w:sz w:val="22"/>
                <w:szCs w:val="22"/>
              </w:rPr>
              <w:t>____________________________________________</w:t>
            </w:r>
          </w:p>
        </w:tc>
      </w:tr>
      <w:tr w:rsidR="007049A5" w:rsidRPr="004E4188" w14:paraId="0165F233" w14:textId="77777777" w:rsidTr="006C6267">
        <w:trPr>
          <w:trHeight w:val="529"/>
        </w:trPr>
        <w:tc>
          <w:tcPr>
            <w:tcW w:w="520" w:type="dxa"/>
            <w:tcBorders>
              <w:top w:val="single" w:sz="6" w:space="0" w:color="000000"/>
              <w:left w:val="single" w:sz="6" w:space="0" w:color="000000"/>
              <w:right w:val="single" w:sz="4" w:space="0" w:color="auto"/>
            </w:tcBorders>
          </w:tcPr>
          <w:p w14:paraId="0383A9B3" w14:textId="77777777" w:rsidR="007049A5" w:rsidRPr="004E4188" w:rsidRDefault="007049A5" w:rsidP="006C6267">
            <w:pPr>
              <w:ind w:right="57"/>
              <w:jc w:val="center"/>
              <w:rPr>
                <w:szCs w:val="24"/>
                <w:lang w:eastAsia="ja-JP"/>
              </w:rPr>
            </w:pPr>
            <w:r w:rsidRPr="004E4188">
              <w:rPr>
                <w:szCs w:val="24"/>
                <w:lang w:eastAsia="ja-JP"/>
              </w:rPr>
              <w:t>4</w:t>
            </w:r>
          </w:p>
        </w:tc>
        <w:tc>
          <w:tcPr>
            <w:tcW w:w="2370" w:type="dxa"/>
            <w:tcBorders>
              <w:top w:val="single" w:sz="6" w:space="0" w:color="000000"/>
              <w:left w:val="single" w:sz="4" w:space="0" w:color="auto"/>
              <w:right w:val="single" w:sz="4" w:space="0" w:color="auto"/>
            </w:tcBorders>
          </w:tcPr>
          <w:p w14:paraId="6D11F7DD" w14:textId="77777777" w:rsidR="007049A5" w:rsidRPr="004E4188" w:rsidRDefault="007049A5" w:rsidP="006C6267">
            <w:pPr>
              <w:ind w:left="86"/>
              <w:jc w:val="left"/>
              <w:rPr>
                <w:szCs w:val="24"/>
                <w:lang w:eastAsia="ja-JP"/>
              </w:rPr>
            </w:pPr>
            <w:r w:rsidRPr="004E4188">
              <w:rPr>
                <w:szCs w:val="24"/>
                <w:lang w:eastAsia="ja-JP"/>
              </w:rPr>
              <w:t>[</w:t>
            </w:r>
            <w:r w:rsidRPr="004E4188">
              <w:rPr>
                <w:i/>
                <w:szCs w:val="24"/>
                <w:lang w:eastAsia="ja-JP"/>
              </w:rPr>
              <w:t xml:space="preserve">indiquer le nom de l’activité </w:t>
            </w:r>
            <w:r w:rsidRPr="004E4188">
              <w:rPr>
                <w:i/>
                <w:spacing w:val="-2"/>
              </w:rPr>
              <w:t>n</w:t>
            </w:r>
            <w:r w:rsidRPr="004E4188">
              <w:rPr>
                <w:i/>
                <w:spacing w:val="-2"/>
                <w:vertAlign w:val="superscript"/>
              </w:rPr>
              <w:t>o</w:t>
            </w:r>
            <w:r w:rsidRPr="004E4188">
              <w:rPr>
                <w:i/>
                <w:szCs w:val="24"/>
                <w:lang w:eastAsia="ja-JP"/>
              </w:rPr>
              <w:t xml:space="preserve"> 4</w:t>
            </w:r>
            <w:r w:rsidRPr="004E4188">
              <w:rPr>
                <w:szCs w:val="24"/>
                <w:lang w:eastAsia="ja-JP"/>
              </w:rPr>
              <w:t>]</w:t>
            </w:r>
          </w:p>
        </w:tc>
        <w:tc>
          <w:tcPr>
            <w:tcW w:w="6114" w:type="dxa"/>
            <w:tcBorders>
              <w:top w:val="single" w:sz="6" w:space="0" w:color="000000"/>
              <w:left w:val="single" w:sz="4" w:space="0" w:color="auto"/>
              <w:right w:val="single" w:sz="6" w:space="0" w:color="000000"/>
            </w:tcBorders>
          </w:tcPr>
          <w:p w14:paraId="655ED032" w14:textId="77777777" w:rsidR="007049A5" w:rsidRPr="004E4188" w:rsidRDefault="007049A5" w:rsidP="006C6267">
            <w:pPr>
              <w:tabs>
                <w:tab w:val="left" w:pos="154"/>
                <w:tab w:val="left" w:pos="723"/>
              </w:tabs>
              <w:spacing w:before="60" w:after="60"/>
              <w:ind w:leftChars="62" w:left="149" w:rightChars="50" w:right="120"/>
              <w:jc w:val="left"/>
              <w:rPr>
                <w:bCs/>
                <w:i/>
                <w:iCs/>
                <w:lang w:eastAsia="ja-JP"/>
              </w:rPr>
            </w:pPr>
            <w:r w:rsidRPr="004E4188">
              <w:rPr>
                <w:rFonts w:hint="eastAsia"/>
                <w:bCs/>
                <w:iCs/>
                <w:sz w:val="22"/>
                <w:szCs w:val="22"/>
                <w:lang w:eastAsia="ja-JP"/>
              </w:rPr>
              <w:t>[</w:t>
            </w:r>
            <w:r w:rsidRPr="004E4188">
              <w:rPr>
                <w:bCs/>
                <w:i/>
                <w:iCs/>
                <w:sz w:val="22"/>
                <w:szCs w:val="22"/>
                <w:lang w:eastAsia="ja-JP"/>
              </w:rPr>
              <w:t>indiquer le ou les noms complets des entreprises uniques / des membres de Groupement / des sous-traitants</w:t>
            </w:r>
            <w:r w:rsidRPr="004E4188">
              <w:rPr>
                <w:rFonts w:hint="eastAsia"/>
                <w:bCs/>
                <w:iCs/>
                <w:sz w:val="22"/>
                <w:szCs w:val="22"/>
                <w:lang w:eastAsia="ja-JP"/>
              </w:rPr>
              <w:t>]</w:t>
            </w:r>
          </w:p>
        </w:tc>
      </w:tr>
      <w:tr w:rsidR="007049A5" w:rsidRPr="004E4188" w14:paraId="64A954E9" w14:textId="77777777" w:rsidTr="006C6267">
        <w:trPr>
          <w:trHeight w:val="358"/>
        </w:trPr>
        <w:tc>
          <w:tcPr>
            <w:tcW w:w="520" w:type="dxa"/>
            <w:tcBorders>
              <w:left w:val="single" w:sz="6" w:space="0" w:color="000000"/>
              <w:right w:val="single" w:sz="4" w:space="0" w:color="auto"/>
            </w:tcBorders>
          </w:tcPr>
          <w:p w14:paraId="3F092E72" w14:textId="77777777" w:rsidR="007049A5" w:rsidRPr="004E4188" w:rsidRDefault="007049A5" w:rsidP="006C6267">
            <w:pPr>
              <w:spacing w:before="120"/>
              <w:ind w:right="56"/>
              <w:jc w:val="center"/>
              <w:rPr>
                <w:szCs w:val="24"/>
                <w:lang w:eastAsia="ja-JP"/>
              </w:rPr>
            </w:pPr>
          </w:p>
        </w:tc>
        <w:tc>
          <w:tcPr>
            <w:tcW w:w="2370" w:type="dxa"/>
            <w:tcBorders>
              <w:left w:val="single" w:sz="4" w:space="0" w:color="auto"/>
              <w:right w:val="single" w:sz="4" w:space="0" w:color="auto"/>
            </w:tcBorders>
          </w:tcPr>
          <w:p w14:paraId="5E47B3CA" w14:textId="77777777" w:rsidR="007049A5" w:rsidRPr="004E4188" w:rsidRDefault="007049A5" w:rsidP="006C6267">
            <w:pPr>
              <w:ind w:left="86"/>
              <w:jc w:val="left"/>
              <w:rPr>
                <w:szCs w:val="24"/>
                <w:lang w:eastAsia="ja-JP"/>
              </w:rPr>
            </w:pPr>
          </w:p>
        </w:tc>
        <w:tc>
          <w:tcPr>
            <w:tcW w:w="6114" w:type="dxa"/>
            <w:tcBorders>
              <w:left w:val="single" w:sz="4" w:space="0" w:color="auto"/>
              <w:right w:val="single" w:sz="6" w:space="0" w:color="000000"/>
            </w:tcBorders>
          </w:tcPr>
          <w:p w14:paraId="7FC932A8" w14:textId="77777777" w:rsidR="007049A5" w:rsidRPr="004E4188" w:rsidRDefault="007049A5" w:rsidP="006C6267">
            <w:pPr>
              <w:tabs>
                <w:tab w:val="left" w:pos="441"/>
              </w:tabs>
              <w:spacing w:beforeLines="30" w:before="72" w:afterLines="30" w:after="72"/>
              <w:ind w:left="158" w:rightChars="50" w:right="120"/>
              <w:jc w:val="left"/>
              <w:rPr>
                <w:bCs/>
                <w:iCs/>
                <w:sz w:val="22"/>
                <w:szCs w:val="22"/>
                <w:lang w:eastAsia="ja-JP"/>
              </w:rPr>
            </w:pPr>
            <w:r w:rsidRPr="004E4188">
              <w:rPr>
                <w:bCs/>
                <w:spacing w:val="12"/>
                <w:sz w:val="22"/>
                <w:szCs w:val="22"/>
              </w:rPr>
              <w:t xml:space="preserve">(i) </w:t>
            </w:r>
            <w:r w:rsidRPr="004E4188">
              <w:rPr>
                <w:bCs/>
                <w:spacing w:val="12"/>
                <w:sz w:val="22"/>
                <w:szCs w:val="22"/>
              </w:rPr>
              <w:tab/>
            </w:r>
            <w:r w:rsidRPr="004E4188">
              <w:rPr>
                <w:bCs/>
                <w:iCs/>
                <w:spacing w:val="-2"/>
                <w:sz w:val="22"/>
                <w:szCs w:val="22"/>
              </w:rPr>
              <w:t>____________________________________________</w:t>
            </w:r>
          </w:p>
        </w:tc>
      </w:tr>
      <w:tr w:rsidR="007049A5" w:rsidRPr="004E4188" w14:paraId="48B3963E" w14:textId="77777777" w:rsidTr="006C6267">
        <w:trPr>
          <w:trHeight w:val="358"/>
        </w:trPr>
        <w:tc>
          <w:tcPr>
            <w:tcW w:w="520" w:type="dxa"/>
            <w:tcBorders>
              <w:left w:val="single" w:sz="6" w:space="0" w:color="000000"/>
              <w:right w:val="single" w:sz="4" w:space="0" w:color="auto"/>
            </w:tcBorders>
          </w:tcPr>
          <w:p w14:paraId="4F2B4E7A" w14:textId="77777777" w:rsidR="007049A5" w:rsidRPr="004E4188" w:rsidRDefault="007049A5" w:rsidP="006C6267">
            <w:pPr>
              <w:spacing w:before="120"/>
              <w:ind w:right="56"/>
              <w:jc w:val="center"/>
              <w:rPr>
                <w:szCs w:val="24"/>
                <w:lang w:eastAsia="ja-JP"/>
              </w:rPr>
            </w:pPr>
          </w:p>
        </w:tc>
        <w:tc>
          <w:tcPr>
            <w:tcW w:w="2370" w:type="dxa"/>
            <w:tcBorders>
              <w:left w:val="single" w:sz="4" w:space="0" w:color="auto"/>
              <w:right w:val="single" w:sz="4" w:space="0" w:color="auto"/>
            </w:tcBorders>
          </w:tcPr>
          <w:p w14:paraId="4B6E845F" w14:textId="77777777" w:rsidR="007049A5" w:rsidRPr="004E4188" w:rsidRDefault="007049A5" w:rsidP="006C6267">
            <w:pPr>
              <w:ind w:left="86"/>
              <w:jc w:val="left"/>
              <w:rPr>
                <w:szCs w:val="24"/>
                <w:lang w:eastAsia="ja-JP"/>
              </w:rPr>
            </w:pPr>
          </w:p>
        </w:tc>
        <w:tc>
          <w:tcPr>
            <w:tcW w:w="6114" w:type="dxa"/>
            <w:tcBorders>
              <w:left w:val="single" w:sz="4" w:space="0" w:color="auto"/>
              <w:right w:val="single" w:sz="6" w:space="0" w:color="000000"/>
            </w:tcBorders>
          </w:tcPr>
          <w:p w14:paraId="69D9197C" w14:textId="77777777" w:rsidR="007049A5" w:rsidRPr="004E4188" w:rsidRDefault="007049A5" w:rsidP="006C6267">
            <w:pPr>
              <w:tabs>
                <w:tab w:val="left" w:pos="441"/>
              </w:tabs>
              <w:spacing w:beforeLines="30" w:before="72" w:afterLines="30" w:after="72"/>
              <w:ind w:left="158" w:rightChars="50" w:right="120"/>
              <w:jc w:val="left"/>
              <w:rPr>
                <w:bCs/>
                <w:iCs/>
                <w:sz w:val="22"/>
                <w:szCs w:val="22"/>
                <w:lang w:eastAsia="ja-JP"/>
              </w:rPr>
            </w:pPr>
            <w:r w:rsidRPr="004E4188">
              <w:rPr>
                <w:bCs/>
                <w:spacing w:val="12"/>
                <w:sz w:val="22"/>
                <w:szCs w:val="22"/>
              </w:rPr>
              <w:t>(ii)</w:t>
            </w:r>
            <w:r w:rsidRPr="004E4188">
              <w:rPr>
                <w:bCs/>
                <w:spacing w:val="12"/>
                <w:sz w:val="22"/>
                <w:szCs w:val="22"/>
              </w:rPr>
              <w:tab/>
            </w:r>
            <w:r w:rsidRPr="004E4188">
              <w:rPr>
                <w:bCs/>
                <w:iCs/>
                <w:spacing w:val="-2"/>
                <w:sz w:val="22"/>
                <w:szCs w:val="22"/>
              </w:rPr>
              <w:t>____________________________________________</w:t>
            </w:r>
          </w:p>
        </w:tc>
      </w:tr>
      <w:tr w:rsidR="007049A5" w:rsidRPr="004E4188" w14:paraId="42C16D6D" w14:textId="77777777" w:rsidTr="006C6267">
        <w:trPr>
          <w:trHeight w:val="367"/>
        </w:trPr>
        <w:tc>
          <w:tcPr>
            <w:tcW w:w="520" w:type="dxa"/>
            <w:tcBorders>
              <w:left w:val="single" w:sz="6" w:space="0" w:color="000000"/>
              <w:bottom w:val="single" w:sz="6" w:space="0" w:color="000000"/>
              <w:right w:val="single" w:sz="4" w:space="0" w:color="auto"/>
            </w:tcBorders>
          </w:tcPr>
          <w:p w14:paraId="2C97AD74" w14:textId="77777777" w:rsidR="007049A5" w:rsidRPr="004E4188" w:rsidRDefault="007049A5" w:rsidP="006C6267">
            <w:pPr>
              <w:spacing w:before="120"/>
              <w:ind w:right="56"/>
              <w:jc w:val="center"/>
              <w:rPr>
                <w:szCs w:val="24"/>
                <w:lang w:eastAsia="ja-JP"/>
              </w:rPr>
            </w:pPr>
          </w:p>
        </w:tc>
        <w:tc>
          <w:tcPr>
            <w:tcW w:w="2370" w:type="dxa"/>
            <w:tcBorders>
              <w:left w:val="single" w:sz="4" w:space="0" w:color="auto"/>
              <w:bottom w:val="single" w:sz="6" w:space="0" w:color="000000"/>
              <w:right w:val="single" w:sz="4" w:space="0" w:color="auto"/>
            </w:tcBorders>
          </w:tcPr>
          <w:p w14:paraId="51E60851" w14:textId="77777777" w:rsidR="007049A5" w:rsidRPr="004E4188" w:rsidRDefault="007049A5" w:rsidP="006C6267">
            <w:pPr>
              <w:ind w:left="86"/>
              <w:jc w:val="left"/>
              <w:rPr>
                <w:szCs w:val="24"/>
                <w:lang w:eastAsia="ja-JP"/>
              </w:rPr>
            </w:pPr>
          </w:p>
        </w:tc>
        <w:tc>
          <w:tcPr>
            <w:tcW w:w="6114" w:type="dxa"/>
            <w:tcBorders>
              <w:left w:val="single" w:sz="4" w:space="0" w:color="auto"/>
              <w:bottom w:val="single" w:sz="6" w:space="0" w:color="000000"/>
              <w:right w:val="single" w:sz="6" w:space="0" w:color="000000"/>
            </w:tcBorders>
          </w:tcPr>
          <w:p w14:paraId="00D9E8B7" w14:textId="77777777" w:rsidR="007049A5" w:rsidRPr="004E4188" w:rsidRDefault="007049A5" w:rsidP="006C6267">
            <w:pPr>
              <w:tabs>
                <w:tab w:val="left" w:pos="441"/>
              </w:tabs>
              <w:spacing w:beforeLines="30" w:before="72" w:afterLines="30" w:after="72"/>
              <w:ind w:left="158" w:rightChars="50" w:right="120"/>
              <w:jc w:val="left"/>
              <w:rPr>
                <w:bCs/>
                <w:iCs/>
                <w:sz w:val="22"/>
                <w:szCs w:val="22"/>
                <w:lang w:eastAsia="ja-JP"/>
              </w:rPr>
            </w:pPr>
            <w:r w:rsidRPr="004E4188">
              <w:rPr>
                <w:bCs/>
                <w:spacing w:val="12"/>
                <w:sz w:val="22"/>
                <w:szCs w:val="22"/>
              </w:rPr>
              <w:t>(iii)</w:t>
            </w:r>
            <w:r w:rsidRPr="004E4188">
              <w:rPr>
                <w:bCs/>
                <w:spacing w:val="12"/>
                <w:sz w:val="22"/>
                <w:szCs w:val="22"/>
              </w:rPr>
              <w:tab/>
            </w:r>
            <w:r w:rsidRPr="004E4188">
              <w:rPr>
                <w:bCs/>
                <w:iCs/>
                <w:spacing w:val="-2"/>
                <w:sz w:val="22"/>
                <w:szCs w:val="22"/>
              </w:rPr>
              <w:t>____________________________________________</w:t>
            </w:r>
          </w:p>
        </w:tc>
      </w:tr>
      <w:tr w:rsidR="007049A5" w:rsidRPr="004E4188" w14:paraId="2E2073ED" w14:textId="77777777" w:rsidTr="006C6267">
        <w:trPr>
          <w:trHeight w:val="333"/>
        </w:trPr>
        <w:tc>
          <w:tcPr>
            <w:tcW w:w="520" w:type="dxa"/>
            <w:tcBorders>
              <w:top w:val="single" w:sz="6" w:space="0" w:color="000000"/>
              <w:left w:val="single" w:sz="6" w:space="0" w:color="000000"/>
              <w:bottom w:val="single" w:sz="6" w:space="0" w:color="000000"/>
              <w:right w:val="single" w:sz="6" w:space="0" w:color="000000"/>
            </w:tcBorders>
          </w:tcPr>
          <w:p w14:paraId="118FCA3D" w14:textId="77777777" w:rsidR="007049A5" w:rsidRPr="004E4188" w:rsidRDefault="007049A5" w:rsidP="006C6267">
            <w:pPr>
              <w:spacing w:before="120"/>
              <w:ind w:right="56"/>
              <w:jc w:val="center"/>
              <w:rPr>
                <w:szCs w:val="24"/>
                <w:lang w:eastAsia="ja-JP"/>
              </w:rPr>
            </w:pPr>
            <w:r w:rsidRPr="004E4188">
              <w:rPr>
                <w:szCs w:val="24"/>
                <w:lang w:eastAsia="ja-JP"/>
              </w:rPr>
              <w:t>etc.</w:t>
            </w:r>
          </w:p>
        </w:tc>
        <w:tc>
          <w:tcPr>
            <w:tcW w:w="2370" w:type="dxa"/>
            <w:tcBorders>
              <w:top w:val="single" w:sz="6" w:space="0" w:color="000000"/>
              <w:left w:val="single" w:sz="6" w:space="0" w:color="000000"/>
              <w:bottom w:val="single" w:sz="6" w:space="0" w:color="000000"/>
              <w:right w:val="single" w:sz="6" w:space="0" w:color="000000"/>
            </w:tcBorders>
          </w:tcPr>
          <w:p w14:paraId="544E4AB8" w14:textId="77777777" w:rsidR="007049A5" w:rsidRPr="004E4188" w:rsidRDefault="007049A5" w:rsidP="006C6267">
            <w:pPr>
              <w:spacing w:before="60" w:after="60"/>
              <w:ind w:left="86"/>
              <w:jc w:val="left"/>
              <w:rPr>
                <w:szCs w:val="24"/>
                <w:lang w:eastAsia="ja-JP"/>
              </w:rPr>
            </w:pPr>
            <w:r w:rsidRPr="004E4188">
              <w:rPr>
                <w:bCs/>
                <w:iCs/>
                <w:spacing w:val="-2"/>
              </w:rPr>
              <w:t>______</w:t>
            </w:r>
            <w:r w:rsidRPr="004E4188">
              <w:rPr>
                <w:szCs w:val="24"/>
                <w:lang w:eastAsia="ja-JP"/>
              </w:rPr>
              <w:t>_________</w:t>
            </w:r>
          </w:p>
        </w:tc>
        <w:tc>
          <w:tcPr>
            <w:tcW w:w="6114" w:type="dxa"/>
            <w:tcBorders>
              <w:top w:val="single" w:sz="6" w:space="0" w:color="000000"/>
              <w:left w:val="single" w:sz="6" w:space="0" w:color="000000"/>
              <w:bottom w:val="single" w:sz="6" w:space="0" w:color="000000"/>
              <w:right w:val="single" w:sz="6" w:space="0" w:color="000000"/>
            </w:tcBorders>
          </w:tcPr>
          <w:p w14:paraId="5A955666" w14:textId="77777777" w:rsidR="007049A5" w:rsidRPr="004E4188" w:rsidRDefault="007049A5" w:rsidP="006C6267">
            <w:pPr>
              <w:tabs>
                <w:tab w:val="left" w:pos="441"/>
              </w:tabs>
              <w:spacing w:before="60" w:after="60"/>
              <w:ind w:left="158" w:rightChars="50" w:right="120"/>
              <w:jc w:val="left"/>
              <w:rPr>
                <w:b/>
                <w:bCs/>
                <w:spacing w:val="12"/>
                <w:szCs w:val="24"/>
              </w:rPr>
            </w:pPr>
            <w:r w:rsidRPr="004E4188">
              <w:rPr>
                <w:bCs/>
                <w:iCs/>
                <w:spacing w:val="-2"/>
              </w:rPr>
              <w:t>_____</w:t>
            </w:r>
            <w:r w:rsidRPr="004E4188">
              <w:rPr>
                <w:szCs w:val="24"/>
                <w:lang w:eastAsia="ja-JP"/>
              </w:rPr>
              <w:t>_________</w:t>
            </w:r>
          </w:p>
        </w:tc>
      </w:tr>
    </w:tbl>
    <w:p w14:paraId="2E0C2204" w14:textId="77777777" w:rsidR="007049A5" w:rsidRPr="004E4188" w:rsidRDefault="007049A5" w:rsidP="00962BF1"/>
    <w:p w14:paraId="2281C1E8" w14:textId="77777777" w:rsidR="007049A5" w:rsidRPr="004E4188" w:rsidRDefault="007049A5" w:rsidP="003D46CF">
      <w:pPr>
        <w:numPr>
          <w:ilvl w:val="0"/>
          <w:numId w:val="79"/>
        </w:numPr>
        <w:suppressAutoHyphens w:val="0"/>
        <w:overflowPunct/>
        <w:autoSpaceDE/>
        <w:autoSpaceDN/>
        <w:adjustRightInd/>
        <w:textAlignment w:val="auto"/>
        <w:rPr>
          <w:b/>
          <w:bCs/>
          <w:i/>
          <w:iCs/>
        </w:rPr>
      </w:pPr>
      <w:r w:rsidRPr="004E4188">
        <w:rPr>
          <w:b/>
          <w:bCs/>
          <w:iCs/>
        </w:rPr>
        <w:t>Information du marché</w:t>
      </w:r>
    </w:p>
    <w:p w14:paraId="66F89B93" w14:textId="77777777" w:rsidR="007049A5" w:rsidRPr="004E4188" w:rsidRDefault="007049A5" w:rsidP="006C6267">
      <w:pPr>
        <w:spacing w:before="120" w:after="120"/>
        <w:rPr>
          <w:bCs/>
          <w:iCs/>
        </w:rPr>
      </w:pPr>
      <w:r w:rsidRPr="004E4188">
        <w:rPr>
          <w:b/>
          <w:bCs/>
          <w:iCs/>
        </w:rPr>
        <w:t>Activité principale n</w:t>
      </w:r>
      <w:r w:rsidRPr="004E4188">
        <w:rPr>
          <w:b/>
          <w:bCs/>
          <w:iCs/>
          <w:vertAlign w:val="superscript"/>
        </w:rPr>
        <w:t>o</w:t>
      </w:r>
      <w:r w:rsidRPr="004E4188">
        <w:rPr>
          <w:b/>
          <w:bCs/>
          <w:iCs/>
        </w:rPr>
        <w:t xml:space="preserve"> 1 :</w:t>
      </w:r>
      <w:r w:rsidRPr="004E4188">
        <w:rPr>
          <w:bCs/>
          <w:iCs/>
        </w:rPr>
        <w:t xml:space="preserve"> </w:t>
      </w:r>
      <w:r w:rsidRPr="004E4188">
        <w:rPr>
          <w:b/>
          <w:bCs/>
          <w:iCs/>
        </w:rPr>
        <w:t>[</w:t>
      </w:r>
      <w:r w:rsidRPr="004E4188">
        <w:rPr>
          <w:b/>
          <w:bCs/>
          <w:i/>
          <w:iCs/>
        </w:rPr>
        <w:t>indiquer le nom de l’activité principale</w:t>
      </w:r>
      <w:r w:rsidRPr="004E4188">
        <w:rPr>
          <w:b/>
          <w:bCs/>
          <w:iCs/>
        </w:rPr>
        <w:t>]</w:t>
      </w:r>
    </w:p>
    <w:p w14:paraId="6A753C61" w14:textId="77777777" w:rsidR="007049A5" w:rsidRPr="004E4188" w:rsidRDefault="007049A5" w:rsidP="006C6267">
      <w:pPr>
        <w:rPr>
          <w:bCs/>
          <w:iCs/>
        </w:rPr>
      </w:pPr>
      <w:r w:rsidRPr="004E4188">
        <w:rPr>
          <w:bCs/>
          <w:iCs/>
        </w:rPr>
        <w:t>[</w:t>
      </w:r>
      <w:r w:rsidRPr="004E4188">
        <w:rPr>
          <w:bCs/>
          <w:i/>
          <w:iCs/>
        </w:rPr>
        <w:t xml:space="preserve">Utiliser un </w:t>
      </w:r>
      <w:r w:rsidRPr="004E4188">
        <w:rPr>
          <w:rFonts w:hint="eastAsia"/>
          <w:bCs/>
          <w:i/>
          <w:iCs/>
        </w:rPr>
        <w:t>(</w:t>
      </w:r>
      <w:r w:rsidRPr="004E4188">
        <w:rPr>
          <w:bCs/>
          <w:i/>
          <w:iCs/>
        </w:rPr>
        <w:t xml:space="preserve">1) formulaire par marché exécuté par le Soumissionnaire </w:t>
      </w:r>
      <w:r w:rsidRPr="004E4188">
        <w:rPr>
          <w:rFonts w:hint="eastAsia"/>
          <w:bCs/>
          <w:i/>
          <w:iCs/>
        </w:rPr>
        <w:t>(</w:t>
      </w:r>
      <w:r w:rsidRPr="004E4188">
        <w:rPr>
          <w:bCs/>
          <w:i/>
          <w:iCs/>
        </w:rPr>
        <w:t>entreprise unique/ membre de Groupement/sous-traitant spécialisé) pour les activités énumérées dans le Résumé des activités principales ci-dessus conformément au Critère 2.4.2</w:t>
      </w:r>
      <w:r w:rsidRPr="004E4188">
        <w:rPr>
          <w:rFonts w:hint="eastAsia"/>
          <w:bCs/>
          <w:i/>
          <w:iCs/>
        </w:rPr>
        <w:t>(</w:t>
      </w:r>
      <w:r w:rsidRPr="004E4188">
        <w:rPr>
          <w:bCs/>
          <w:i/>
          <w:iCs/>
        </w:rPr>
        <w:t>b) de la Section III, Critères d’évaluation et de qualification. Les documents cités comme requis doivent être remis en tant que pièces jointes aux présentes.</w:t>
      </w:r>
      <w:r w:rsidRPr="004E4188">
        <w:rPr>
          <w:bCs/>
          <w:iCs/>
        </w:rPr>
        <w:t>]</w:t>
      </w:r>
    </w:p>
    <w:p w14:paraId="2E9A373F" w14:textId="77777777" w:rsidR="007049A5" w:rsidRPr="004E4188" w:rsidRDefault="007049A5" w:rsidP="006C6267">
      <w:pPr>
        <w:rPr>
          <w:bCs/>
          <w:iCs/>
        </w:rPr>
      </w:pPr>
    </w:p>
    <w:p w14:paraId="6D4635D7" w14:textId="64B3B6A9" w:rsidR="007049A5" w:rsidRPr="004E4188" w:rsidRDefault="007049A5" w:rsidP="003D46CF">
      <w:pPr>
        <w:widowControl w:val="0"/>
        <w:numPr>
          <w:ilvl w:val="0"/>
          <w:numId w:val="80"/>
        </w:numPr>
        <w:tabs>
          <w:tab w:val="right" w:pos="9090"/>
        </w:tabs>
        <w:spacing w:after="120"/>
        <w:ind w:rightChars="68" w:right="163"/>
        <w:rPr>
          <w:bCs/>
          <w:iCs/>
        </w:rPr>
      </w:pPr>
      <w:r w:rsidRPr="004E4188">
        <w:rPr>
          <w:iCs/>
          <w:spacing w:val="-2"/>
          <w:szCs w:val="24"/>
          <w:lang w:eastAsia="ja-JP"/>
        </w:rPr>
        <w:t>[</w:t>
      </w:r>
      <w:r w:rsidRPr="004E4188">
        <w:rPr>
          <w:i/>
          <w:szCs w:val="24"/>
          <w:lang w:eastAsia="ja-JP"/>
        </w:rPr>
        <w:t>indiquer le nom complet de l’entreprise unique</w:t>
      </w:r>
      <w:r w:rsidR="00BA7F64" w:rsidRPr="004E4188">
        <w:rPr>
          <w:i/>
          <w:szCs w:val="24"/>
          <w:lang w:eastAsia="ja-JP"/>
        </w:rPr>
        <w:t>/</w:t>
      </w:r>
      <w:r w:rsidRPr="004E4188">
        <w:rPr>
          <w:i/>
          <w:szCs w:val="24"/>
          <w:lang w:eastAsia="ja-JP"/>
        </w:rPr>
        <w:t>du membre de Groupement</w:t>
      </w:r>
      <w:r w:rsidR="00BA7F64" w:rsidRPr="004E4188">
        <w:rPr>
          <w:i/>
          <w:szCs w:val="24"/>
          <w:lang w:eastAsia="ja-JP"/>
        </w:rPr>
        <w:t>/</w:t>
      </w:r>
      <w:r w:rsidRPr="004E4188">
        <w:rPr>
          <w:i/>
          <w:szCs w:val="24"/>
          <w:lang w:eastAsia="ja-JP"/>
        </w:rPr>
        <w:t>du sous</w:t>
      </w:r>
      <w:r w:rsidRPr="004E4188">
        <w:rPr>
          <w:bCs/>
          <w:i/>
          <w:iCs/>
          <w:szCs w:val="24"/>
          <w:lang w:eastAsia="ja-JP"/>
        </w:rPr>
        <w:t>-traitant</w:t>
      </w:r>
      <w:r w:rsidRPr="004E4188">
        <w:rPr>
          <w:iCs/>
          <w:spacing w:val="-2"/>
          <w:szCs w:val="24"/>
          <w:lang w:eastAsia="ja-JP"/>
        </w:rPr>
        <w:t>]</w:t>
      </w:r>
    </w:p>
    <w:tbl>
      <w:tblPr>
        <w:tblW w:w="90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544"/>
        <w:gridCol w:w="2049"/>
        <w:gridCol w:w="887"/>
        <w:gridCol w:w="1098"/>
        <w:gridCol w:w="1494"/>
      </w:tblGrid>
      <w:tr w:rsidR="007049A5" w:rsidRPr="004E4188" w14:paraId="58F1ED3E" w14:textId="77777777" w:rsidTr="006C6267">
        <w:trPr>
          <w:cantSplit/>
          <w:tblHeader/>
        </w:trPr>
        <w:tc>
          <w:tcPr>
            <w:tcW w:w="9072" w:type="dxa"/>
            <w:gridSpan w:val="5"/>
            <w:tcBorders>
              <w:bottom w:val="double" w:sz="4" w:space="0" w:color="auto"/>
            </w:tcBorders>
            <w:shd w:val="clear" w:color="auto" w:fill="C0C0C0"/>
          </w:tcPr>
          <w:p w14:paraId="398C5DA9" w14:textId="77777777" w:rsidR="007049A5" w:rsidRPr="004E4188" w:rsidRDefault="007049A5" w:rsidP="006C6267">
            <w:pPr>
              <w:spacing w:before="120" w:afterLines="50" w:after="120"/>
              <w:jc w:val="center"/>
              <w:rPr>
                <w:b/>
                <w:szCs w:val="24"/>
                <w:lang w:eastAsia="ja-JP"/>
              </w:rPr>
            </w:pPr>
            <w:r w:rsidRPr="004E4188">
              <w:rPr>
                <w:b/>
                <w:szCs w:val="24"/>
              </w:rPr>
              <w:t>Marché incluant des activités principales similaires</w:t>
            </w:r>
          </w:p>
        </w:tc>
      </w:tr>
      <w:tr w:rsidR="007049A5" w:rsidRPr="004E4188" w14:paraId="52F45270" w14:textId="77777777" w:rsidTr="006C6267">
        <w:trPr>
          <w:cantSplit/>
        </w:trPr>
        <w:tc>
          <w:tcPr>
            <w:tcW w:w="3544" w:type="dxa"/>
            <w:tcBorders>
              <w:top w:val="double" w:sz="4" w:space="0" w:color="auto"/>
            </w:tcBorders>
          </w:tcPr>
          <w:p w14:paraId="54273CFD" w14:textId="77777777" w:rsidR="007049A5" w:rsidRPr="004E4188" w:rsidRDefault="007049A5" w:rsidP="006C6267">
            <w:pPr>
              <w:spacing w:before="60" w:after="60"/>
              <w:jc w:val="center"/>
              <w:rPr>
                <w:b/>
                <w:spacing w:val="-2"/>
                <w:szCs w:val="24"/>
              </w:rPr>
            </w:pPr>
            <w:r w:rsidRPr="004E4188">
              <w:rPr>
                <w:b/>
                <w:spacing w:val="-2"/>
                <w:szCs w:val="24"/>
              </w:rPr>
              <w:t>Objet</w:t>
            </w:r>
          </w:p>
        </w:tc>
        <w:tc>
          <w:tcPr>
            <w:tcW w:w="5528" w:type="dxa"/>
            <w:gridSpan w:val="4"/>
            <w:tcBorders>
              <w:top w:val="double" w:sz="4" w:space="0" w:color="auto"/>
            </w:tcBorders>
          </w:tcPr>
          <w:p w14:paraId="005B8B1C" w14:textId="77777777" w:rsidR="007049A5" w:rsidRPr="004E4188" w:rsidRDefault="007049A5" w:rsidP="006C6267">
            <w:pPr>
              <w:spacing w:before="60" w:after="60"/>
              <w:jc w:val="center"/>
              <w:rPr>
                <w:b/>
                <w:spacing w:val="-2"/>
                <w:szCs w:val="24"/>
              </w:rPr>
            </w:pPr>
            <w:r w:rsidRPr="004E4188">
              <w:rPr>
                <w:b/>
                <w:szCs w:val="24"/>
              </w:rPr>
              <w:t>Information</w:t>
            </w:r>
          </w:p>
        </w:tc>
      </w:tr>
      <w:tr w:rsidR="007049A5" w:rsidRPr="004E4188" w14:paraId="011EA8BF" w14:textId="77777777" w:rsidTr="006C6267">
        <w:trPr>
          <w:cantSplit/>
          <w:trHeight w:val="414"/>
        </w:trPr>
        <w:tc>
          <w:tcPr>
            <w:tcW w:w="3544" w:type="dxa"/>
            <w:vAlign w:val="center"/>
          </w:tcPr>
          <w:p w14:paraId="020B8569" w14:textId="77777777" w:rsidR="007049A5" w:rsidRPr="004E4188" w:rsidRDefault="007049A5" w:rsidP="006C6267">
            <w:pPr>
              <w:rPr>
                <w:szCs w:val="24"/>
              </w:rPr>
            </w:pPr>
            <w:r w:rsidRPr="004E4188">
              <w:rPr>
                <w:szCs w:val="24"/>
              </w:rPr>
              <w:t>Identification du marché</w:t>
            </w:r>
          </w:p>
        </w:tc>
        <w:tc>
          <w:tcPr>
            <w:tcW w:w="5528" w:type="dxa"/>
            <w:gridSpan w:val="4"/>
            <w:vAlign w:val="center"/>
          </w:tcPr>
          <w:p w14:paraId="0F09AC2B" w14:textId="77777777" w:rsidR="007049A5" w:rsidRPr="004E4188" w:rsidRDefault="007049A5" w:rsidP="006C6267">
            <w:pPr>
              <w:rPr>
                <w:szCs w:val="24"/>
              </w:rPr>
            </w:pPr>
            <w:r w:rsidRPr="004E4188">
              <w:rPr>
                <w:szCs w:val="24"/>
              </w:rPr>
              <w:t>[</w:t>
            </w:r>
            <w:r w:rsidRPr="004E4188">
              <w:rPr>
                <w:i/>
                <w:szCs w:val="24"/>
              </w:rPr>
              <w:t>indiquer le nom du marché et le numéro, le cas échéant</w:t>
            </w:r>
            <w:r w:rsidRPr="004E4188">
              <w:rPr>
                <w:szCs w:val="24"/>
              </w:rPr>
              <w:t>]</w:t>
            </w:r>
          </w:p>
        </w:tc>
      </w:tr>
      <w:tr w:rsidR="007049A5" w:rsidRPr="004E4188" w14:paraId="4C15E5B5" w14:textId="77777777" w:rsidTr="006C6267">
        <w:trPr>
          <w:cantSplit/>
          <w:trHeight w:val="414"/>
        </w:trPr>
        <w:tc>
          <w:tcPr>
            <w:tcW w:w="3544" w:type="dxa"/>
            <w:vAlign w:val="center"/>
          </w:tcPr>
          <w:p w14:paraId="103C5792" w14:textId="77777777" w:rsidR="007049A5" w:rsidRPr="004E4188" w:rsidRDefault="007049A5" w:rsidP="006C6267">
            <w:pPr>
              <w:rPr>
                <w:szCs w:val="24"/>
              </w:rPr>
            </w:pPr>
            <w:r w:rsidRPr="004E4188">
              <w:rPr>
                <w:szCs w:val="24"/>
              </w:rPr>
              <w:t>Date d’attribution</w:t>
            </w:r>
          </w:p>
        </w:tc>
        <w:tc>
          <w:tcPr>
            <w:tcW w:w="5528" w:type="dxa"/>
            <w:gridSpan w:val="4"/>
            <w:vAlign w:val="center"/>
          </w:tcPr>
          <w:p w14:paraId="75F827A5" w14:textId="77777777" w:rsidR="007049A5" w:rsidRPr="004E4188" w:rsidRDefault="007049A5" w:rsidP="006C6267">
            <w:pPr>
              <w:rPr>
                <w:szCs w:val="24"/>
              </w:rPr>
            </w:pPr>
            <w:r w:rsidRPr="004E4188">
              <w:rPr>
                <w:szCs w:val="24"/>
              </w:rPr>
              <w:t>[</w:t>
            </w:r>
            <w:r w:rsidRPr="004E4188">
              <w:rPr>
                <w:i/>
                <w:szCs w:val="24"/>
              </w:rPr>
              <w:t>indiquer jour, mois, année, p. ex. : 15 juin 2015</w:t>
            </w:r>
            <w:r w:rsidRPr="004E4188">
              <w:rPr>
                <w:szCs w:val="24"/>
              </w:rPr>
              <w:t>]</w:t>
            </w:r>
          </w:p>
        </w:tc>
      </w:tr>
      <w:tr w:rsidR="007049A5" w:rsidRPr="004E4188" w14:paraId="054495AF" w14:textId="77777777" w:rsidTr="006C6267">
        <w:trPr>
          <w:cantSplit/>
          <w:trHeight w:val="414"/>
        </w:trPr>
        <w:tc>
          <w:tcPr>
            <w:tcW w:w="3544" w:type="dxa"/>
            <w:vAlign w:val="center"/>
          </w:tcPr>
          <w:p w14:paraId="7F1A1D41" w14:textId="77777777" w:rsidR="007049A5" w:rsidRPr="004E4188" w:rsidRDefault="007049A5" w:rsidP="006C6267">
            <w:pPr>
              <w:rPr>
                <w:szCs w:val="24"/>
              </w:rPr>
            </w:pPr>
            <w:r w:rsidRPr="004E4188">
              <w:rPr>
                <w:szCs w:val="24"/>
              </w:rPr>
              <w:t>Date d’achèvement</w:t>
            </w:r>
          </w:p>
        </w:tc>
        <w:tc>
          <w:tcPr>
            <w:tcW w:w="5528" w:type="dxa"/>
            <w:gridSpan w:val="4"/>
            <w:vAlign w:val="center"/>
          </w:tcPr>
          <w:p w14:paraId="27E131EA" w14:textId="77777777" w:rsidR="007049A5" w:rsidRPr="004E4188" w:rsidRDefault="007049A5" w:rsidP="006C6267">
            <w:pPr>
              <w:rPr>
                <w:szCs w:val="24"/>
              </w:rPr>
            </w:pPr>
            <w:r w:rsidRPr="004E4188">
              <w:rPr>
                <w:szCs w:val="24"/>
              </w:rPr>
              <w:t>[</w:t>
            </w:r>
            <w:r w:rsidRPr="004E4188">
              <w:rPr>
                <w:i/>
                <w:szCs w:val="24"/>
              </w:rPr>
              <w:t>indiquer jour, mois, année, p. ex. : 3 octobre 2017</w:t>
            </w:r>
            <w:r w:rsidRPr="004E4188">
              <w:rPr>
                <w:szCs w:val="24"/>
              </w:rPr>
              <w:t>]</w:t>
            </w:r>
          </w:p>
        </w:tc>
      </w:tr>
      <w:tr w:rsidR="007049A5" w:rsidRPr="004E4188" w14:paraId="74127E60" w14:textId="77777777" w:rsidTr="006C6267">
        <w:trPr>
          <w:cantSplit/>
          <w:trHeight w:val="414"/>
        </w:trPr>
        <w:tc>
          <w:tcPr>
            <w:tcW w:w="3544" w:type="dxa"/>
            <w:vAlign w:val="center"/>
          </w:tcPr>
          <w:p w14:paraId="332F0C7A" w14:textId="77777777" w:rsidR="007049A5" w:rsidRPr="004E4188" w:rsidRDefault="007049A5" w:rsidP="006C6267">
            <w:pPr>
              <w:rPr>
                <w:szCs w:val="24"/>
              </w:rPr>
            </w:pPr>
          </w:p>
        </w:tc>
        <w:tc>
          <w:tcPr>
            <w:tcW w:w="5528" w:type="dxa"/>
            <w:gridSpan w:val="4"/>
            <w:vAlign w:val="center"/>
          </w:tcPr>
          <w:p w14:paraId="2EFE7D1D" w14:textId="77777777" w:rsidR="007049A5" w:rsidRPr="004E4188" w:rsidRDefault="007049A5" w:rsidP="006C6267">
            <w:pPr>
              <w:rPr>
                <w:szCs w:val="24"/>
              </w:rPr>
            </w:pPr>
          </w:p>
        </w:tc>
      </w:tr>
      <w:tr w:rsidR="007049A5" w:rsidRPr="004E4188" w14:paraId="7D1D65F1" w14:textId="77777777" w:rsidTr="006C6267">
        <w:trPr>
          <w:cantSplit/>
          <w:trHeight w:val="286"/>
        </w:trPr>
        <w:tc>
          <w:tcPr>
            <w:tcW w:w="3544" w:type="dxa"/>
            <w:vMerge w:val="restart"/>
          </w:tcPr>
          <w:p w14:paraId="0487159A" w14:textId="77777777" w:rsidR="007049A5" w:rsidRPr="004E4188" w:rsidRDefault="007049A5" w:rsidP="006C6267">
            <w:pPr>
              <w:rPr>
                <w:spacing w:val="-2"/>
                <w:szCs w:val="24"/>
              </w:rPr>
            </w:pPr>
            <w:r w:rsidRPr="004E4188">
              <w:rPr>
                <w:spacing w:val="-2"/>
                <w:szCs w:val="24"/>
              </w:rPr>
              <w:t>Rôle dans le marché</w:t>
            </w:r>
          </w:p>
          <w:p w14:paraId="4D5457A3" w14:textId="77777777" w:rsidR="007049A5" w:rsidRPr="004E4188" w:rsidRDefault="007049A5" w:rsidP="006C6267">
            <w:pPr>
              <w:rPr>
                <w:spacing w:val="-2"/>
                <w:szCs w:val="24"/>
              </w:rPr>
            </w:pPr>
            <w:r w:rsidRPr="004E4188">
              <w:rPr>
                <w:szCs w:val="24"/>
              </w:rPr>
              <w:t>[</w:t>
            </w:r>
            <w:r w:rsidRPr="004E4188">
              <w:rPr>
                <w:i/>
                <w:szCs w:val="24"/>
              </w:rPr>
              <w:t>cocher la case correspondante</w:t>
            </w:r>
            <w:r w:rsidRPr="004E4188">
              <w:rPr>
                <w:szCs w:val="24"/>
              </w:rPr>
              <w:t>]</w:t>
            </w:r>
          </w:p>
        </w:tc>
        <w:tc>
          <w:tcPr>
            <w:tcW w:w="4034" w:type="dxa"/>
            <w:gridSpan w:val="3"/>
            <w:vAlign w:val="center"/>
          </w:tcPr>
          <w:p w14:paraId="37B2E5E0" w14:textId="77777777" w:rsidR="007049A5" w:rsidRPr="004E4188" w:rsidRDefault="007049A5" w:rsidP="006C6267">
            <w:pPr>
              <w:spacing w:after="120"/>
              <w:jc w:val="center"/>
              <w:rPr>
                <w:spacing w:val="-2"/>
                <w:szCs w:val="24"/>
              </w:rPr>
            </w:pPr>
            <w:r w:rsidRPr="004E4188">
              <w:rPr>
                <w:szCs w:val="24"/>
              </w:rPr>
              <w:t>Entrepreneur principal</w:t>
            </w:r>
          </w:p>
        </w:tc>
        <w:tc>
          <w:tcPr>
            <w:tcW w:w="1494" w:type="dxa"/>
            <w:vMerge w:val="restart"/>
            <w:vAlign w:val="bottom"/>
          </w:tcPr>
          <w:p w14:paraId="65299E29" w14:textId="77777777" w:rsidR="007049A5" w:rsidRPr="004E4188" w:rsidRDefault="007049A5" w:rsidP="006C6267">
            <w:pPr>
              <w:jc w:val="center"/>
              <w:rPr>
                <w:szCs w:val="24"/>
              </w:rPr>
            </w:pPr>
            <w:r w:rsidRPr="004E4188">
              <w:rPr>
                <w:szCs w:val="24"/>
              </w:rPr>
              <w:t>Sous-traitant</w:t>
            </w:r>
          </w:p>
          <w:p w14:paraId="08A5784B" w14:textId="77777777" w:rsidR="007049A5" w:rsidRPr="004E4188" w:rsidRDefault="007049A5" w:rsidP="006C6267">
            <w:pPr>
              <w:jc w:val="center"/>
              <w:rPr>
                <w:spacing w:val="-8"/>
                <w:szCs w:val="24"/>
              </w:rPr>
            </w:pPr>
            <w:r w:rsidRPr="004E4188">
              <w:rPr>
                <w:spacing w:val="-8"/>
                <w:szCs w:val="24"/>
              </w:rPr>
              <w:sym w:font="Wingdings" w:char="F0A8"/>
            </w:r>
          </w:p>
          <w:p w14:paraId="4F049037" w14:textId="77777777" w:rsidR="007049A5" w:rsidRPr="004E4188" w:rsidRDefault="007049A5" w:rsidP="006C6267">
            <w:pPr>
              <w:jc w:val="center"/>
              <w:rPr>
                <w:spacing w:val="-2"/>
                <w:szCs w:val="24"/>
              </w:rPr>
            </w:pPr>
          </w:p>
        </w:tc>
      </w:tr>
      <w:tr w:rsidR="007049A5" w:rsidRPr="004E4188" w14:paraId="35E596B4" w14:textId="77777777" w:rsidTr="006C6267">
        <w:trPr>
          <w:cantSplit/>
          <w:trHeight w:val="285"/>
        </w:trPr>
        <w:tc>
          <w:tcPr>
            <w:tcW w:w="3544" w:type="dxa"/>
            <w:vMerge/>
          </w:tcPr>
          <w:p w14:paraId="6BDCD831" w14:textId="77777777" w:rsidR="007049A5" w:rsidRPr="004E4188" w:rsidRDefault="007049A5" w:rsidP="006C6267">
            <w:pPr>
              <w:rPr>
                <w:spacing w:val="-2"/>
                <w:szCs w:val="24"/>
              </w:rPr>
            </w:pPr>
          </w:p>
        </w:tc>
        <w:tc>
          <w:tcPr>
            <w:tcW w:w="2049" w:type="dxa"/>
            <w:vAlign w:val="center"/>
          </w:tcPr>
          <w:p w14:paraId="125EC391" w14:textId="77777777" w:rsidR="007049A5" w:rsidRPr="004E4188" w:rsidRDefault="007049A5" w:rsidP="006C6267">
            <w:pPr>
              <w:jc w:val="center"/>
              <w:rPr>
                <w:szCs w:val="24"/>
              </w:rPr>
            </w:pPr>
            <w:r w:rsidRPr="004E4188">
              <w:rPr>
                <w:szCs w:val="24"/>
              </w:rPr>
              <w:t>Entreprise unique</w:t>
            </w:r>
          </w:p>
          <w:p w14:paraId="58815D94" w14:textId="77777777" w:rsidR="007049A5" w:rsidRPr="004E4188" w:rsidDel="00D47EB6" w:rsidRDefault="007049A5" w:rsidP="006C6267">
            <w:pPr>
              <w:jc w:val="center"/>
              <w:rPr>
                <w:szCs w:val="24"/>
              </w:rPr>
            </w:pPr>
            <w:r w:rsidRPr="004E4188">
              <w:rPr>
                <w:spacing w:val="-8"/>
                <w:szCs w:val="24"/>
              </w:rPr>
              <w:sym w:font="Wingdings" w:char="F0A8"/>
            </w:r>
          </w:p>
        </w:tc>
        <w:tc>
          <w:tcPr>
            <w:tcW w:w="1985" w:type="dxa"/>
            <w:gridSpan w:val="2"/>
            <w:shd w:val="clear" w:color="auto" w:fill="auto"/>
            <w:vAlign w:val="center"/>
          </w:tcPr>
          <w:p w14:paraId="75EFD0AD" w14:textId="77777777" w:rsidR="007049A5" w:rsidRPr="004E4188" w:rsidRDefault="007049A5" w:rsidP="006C6267">
            <w:pPr>
              <w:jc w:val="center"/>
              <w:rPr>
                <w:spacing w:val="-8"/>
                <w:szCs w:val="24"/>
              </w:rPr>
            </w:pPr>
            <w:r w:rsidRPr="004E4188">
              <w:rPr>
                <w:spacing w:val="-8"/>
                <w:szCs w:val="24"/>
              </w:rPr>
              <w:t>Membre de Groupement</w:t>
            </w:r>
          </w:p>
          <w:p w14:paraId="0C257BDB" w14:textId="77777777" w:rsidR="007049A5" w:rsidRPr="004E4188" w:rsidDel="00D47EB6" w:rsidRDefault="007049A5" w:rsidP="006C6267">
            <w:pPr>
              <w:jc w:val="center"/>
              <w:rPr>
                <w:szCs w:val="24"/>
              </w:rPr>
            </w:pPr>
            <w:r w:rsidRPr="004E4188">
              <w:rPr>
                <w:spacing w:val="-8"/>
                <w:szCs w:val="24"/>
              </w:rPr>
              <w:sym w:font="Wingdings" w:char="F0A8"/>
            </w:r>
          </w:p>
        </w:tc>
        <w:tc>
          <w:tcPr>
            <w:tcW w:w="1494" w:type="dxa"/>
            <w:vMerge/>
            <w:vAlign w:val="center"/>
          </w:tcPr>
          <w:p w14:paraId="150D2F8B" w14:textId="77777777" w:rsidR="007049A5" w:rsidRPr="004E4188" w:rsidDel="00D47EB6" w:rsidRDefault="007049A5" w:rsidP="006C6267">
            <w:pPr>
              <w:jc w:val="center"/>
              <w:rPr>
                <w:szCs w:val="24"/>
              </w:rPr>
            </w:pPr>
          </w:p>
        </w:tc>
      </w:tr>
      <w:tr w:rsidR="007049A5" w:rsidRPr="004E4188" w14:paraId="3BF20EF3" w14:textId="77777777" w:rsidTr="006C6267">
        <w:trPr>
          <w:cantSplit/>
        </w:trPr>
        <w:tc>
          <w:tcPr>
            <w:tcW w:w="3544" w:type="dxa"/>
          </w:tcPr>
          <w:p w14:paraId="43D33B80" w14:textId="77777777" w:rsidR="007049A5" w:rsidRPr="004E4188" w:rsidRDefault="007049A5" w:rsidP="006C6267">
            <w:pPr>
              <w:rPr>
                <w:szCs w:val="24"/>
              </w:rPr>
            </w:pPr>
            <w:r w:rsidRPr="004E4188">
              <w:rPr>
                <w:szCs w:val="24"/>
              </w:rPr>
              <w:t>Montant total du marché</w:t>
            </w:r>
          </w:p>
        </w:tc>
        <w:tc>
          <w:tcPr>
            <w:tcW w:w="2936" w:type="dxa"/>
            <w:gridSpan w:val="2"/>
          </w:tcPr>
          <w:p w14:paraId="199E7B9D" w14:textId="77777777" w:rsidR="007049A5" w:rsidRPr="004E4188" w:rsidRDefault="007049A5" w:rsidP="006C6267">
            <w:pPr>
              <w:spacing w:afterLines="50" w:after="120"/>
              <w:jc w:val="left"/>
              <w:rPr>
                <w:szCs w:val="24"/>
              </w:rPr>
            </w:pPr>
            <w:r w:rsidRPr="004E4188">
              <w:rPr>
                <w:szCs w:val="24"/>
              </w:rPr>
              <w:t>[</w:t>
            </w:r>
            <w:r w:rsidRPr="004E4188">
              <w:rPr>
                <w:i/>
                <w:szCs w:val="24"/>
              </w:rPr>
              <w:t>indiquer le montant total du marché et la(les) monnaie(s)</w:t>
            </w:r>
            <w:r w:rsidRPr="004E4188">
              <w:rPr>
                <w:szCs w:val="24"/>
              </w:rPr>
              <w:t>]</w:t>
            </w:r>
            <w:r w:rsidRPr="004E4188" w:rsidDel="00CF5302">
              <w:rPr>
                <w:i/>
                <w:szCs w:val="24"/>
              </w:rPr>
              <w:t xml:space="preserve"> </w:t>
            </w:r>
          </w:p>
        </w:tc>
        <w:tc>
          <w:tcPr>
            <w:tcW w:w="2592" w:type="dxa"/>
            <w:gridSpan w:val="2"/>
          </w:tcPr>
          <w:p w14:paraId="6FF8EEE7" w14:textId="77777777" w:rsidR="007049A5" w:rsidRPr="004E4188" w:rsidRDefault="007049A5" w:rsidP="006C6267">
            <w:pPr>
              <w:spacing w:after="120"/>
              <w:jc w:val="left"/>
              <w:rPr>
                <w:szCs w:val="24"/>
              </w:rPr>
            </w:pPr>
            <w:r w:rsidRPr="004E4188">
              <w:rPr>
                <w:szCs w:val="24"/>
              </w:rPr>
              <w:t>[</w:t>
            </w:r>
            <w:r w:rsidRPr="004E4188">
              <w:rPr>
                <w:i/>
                <w:szCs w:val="24"/>
              </w:rPr>
              <w:t>indiquer le taux de change et le montant total du marché en équivalent $US</w:t>
            </w:r>
            <w:r w:rsidRPr="004E4188">
              <w:rPr>
                <w:szCs w:val="24"/>
              </w:rPr>
              <w:t>]</w:t>
            </w:r>
          </w:p>
        </w:tc>
      </w:tr>
      <w:tr w:rsidR="007049A5" w:rsidRPr="004E4188" w14:paraId="431FEA6E" w14:textId="77777777" w:rsidTr="006C6267">
        <w:trPr>
          <w:cantSplit/>
        </w:trPr>
        <w:tc>
          <w:tcPr>
            <w:tcW w:w="3544" w:type="dxa"/>
          </w:tcPr>
          <w:p w14:paraId="50346402" w14:textId="77777777" w:rsidR="007049A5" w:rsidRPr="004E4188" w:rsidRDefault="007049A5" w:rsidP="006C6267">
            <w:pPr>
              <w:jc w:val="left"/>
              <w:rPr>
                <w:szCs w:val="24"/>
              </w:rPr>
            </w:pPr>
            <w:r w:rsidRPr="004E4188">
              <w:rPr>
                <w:iCs/>
                <w:szCs w:val="24"/>
              </w:rPr>
              <w:t>[</w:t>
            </w:r>
            <w:r w:rsidRPr="004E4188">
              <w:rPr>
                <w:i/>
                <w:iCs/>
                <w:szCs w:val="24"/>
              </w:rPr>
              <w:t>décrire brièvement l’activité</w:t>
            </w:r>
            <w:r w:rsidRPr="004E4188">
              <w:rPr>
                <w:i/>
                <w:spacing w:val="-2"/>
                <w:szCs w:val="24"/>
                <w:lang w:val="es-ES_tradnl"/>
              </w:rPr>
              <w:t xml:space="preserve"> n</w:t>
            </w:r>
            <w:r w:rsidRPr="004E4188">
              <w:rPr>
                <w:i/>
                <w:spacing w:val="-2"/>
                <w:szCs w:val="24"/>
                <w:vertAlign w:val="superscript"/>
                <w:lang w:val="es-ES_tradnl"/>
              </w:rPr>
              <w:t>o</w:t>
            </w:r>
            <w:r w:rsidRPr="004E4188">
              <w:rPr>
                <w:i/>
                <w:spacing w:val="-2"/>
                <w:szCs w:val="24"/>
                <w:lang w:val="es-ES_tradnl"/>
              </w:rPr>
              <w:t xml:space="preserve"> 1</w:t>
            </w:r>
            <w:r w:rsidRPr="004E4188">
              <w:rPr>
                <w:szCs w:val="24"/>
              </w:rPr>
              <w:t>]</w:t>
            </w:r>
          </w:p>
        </w:tc>
        <w:tc>
          <w:tcPr>
            <w:tcW w:w="5528" w:type="dxa"/>
            <w:gridSpan w:val="4"/>
            <w:shd w:val="clear" w:color="auto" w:fill="auto"/>
          </w:tcPr>
          <w:p w14:paraId="04ED7181" w14:textId="77777777" w:rsidR="007049A5" w:rsidRPr="004E4188" w:rsidRDefault="007049A5" w:rsidP="006C6267">
            <w:pPr>
              <w:rPr>
                <w:iCs/>
                <w:szCs w:val="24"/>
              </w:rPr>
            </w:pPr>
            <w:r w:rsidRPr="004E4188">
              <w:rPr>
                <w:iCs/>
                <w:szCs w:val="24"/>
              </w:rPr>
              <w:t>[</w:t>
            </w:r>
            <w:r w:rsidRPr="004E4188">
              <w:rPr>
                <w:i/>
                <w:iCs/>
                <w:szCs w:val="24"/>
              </w:rPr>
              <w:t>décrire brièvement comment le critère minimum correspondant est satisfait</w:t>
            </w:r>
            <w:r w:rsidRPr="004E4188">
              <w:rPr>
                <w:iCs/>
                <w:szCs w:val="24"/>
              </w:rPr>
              <w:t>]</w:t>
            </w:r>
          </w:p>
          <w:p w14:paraId="24280E00" w14:textId="77777777" w:rsidR="007049A5" w:rsidRPr="004E4188" w:rsidRDefault="007049A5" w:rsidP="006C6267">
            <w:pPr>
              <w:rPr>
                <w:iCs/>
                <w:szCs w:val="24"/>
              </w:rPr>
            </w:pPr>
          </w:p>
          <w:p w14:paraId="2FADC8F4" w14:textId="77777777" w:rsidR="007049A5" w:rsidRPr="004E4188" w:rsidRDefault="007049A5" w:rsidP="006C6267">
            <w:pPr>
              <w:rPr>
                <w:iCs/>
                <w:szCs w:val="24"/>
              </w:rPr>
            </w:pPr>
          </w:p>
          <w:p w14:paraId="3902FFE6" w14:textId="77777777" w:rsidR="007049A5" w:rsidRPr="004E4188" w:rsidDel="00CF5302" w:rsidRDefault="007049A5" w:rsidP="006C6267">
            <w:pPr>
              <w:rPr>
                <w:i/>
                <w:szCs w:val="24"/>
              </w:rPr>
            </w:pPr>
          </w:p>
        </w:tc>
      </w:tr>
      <w:tr w:rsidR="007049A5" w:rsidRPr="004E4188" w14:paraId="0E4F9415" w14:textId="77777777" w:rsidTr="006C6267">
        <w:trPr>
          <w:cantSplit/>
          <w:trHeight w:val="414"/>
        </w:trPr>
        <w:tc>
          <w:tcPr>
            <w:tcW w:w="3544" w:type="dxa"/>
          </w:tcPr>
          <w:p w14:paraId="3A714990" w14:textId="77777777" w:rsidR="007049A5" w:rsidRPr="004E4188" w:rsidRDefault="007049A5" w:rsidP="006C6267">
            <w:pPr>
              <w:spacing w:afterLines="50" w:after="120"/>
              <w:rPr>
                <w:szCs w:val="24"/>
              </w:rPr>
            </w:pPr>
            <w:r w:rsidRPr="004E4188">
              <w:rPr>
                <w:szCs w:val="24"/>
              </w:rPr>
              <w:t>Nom du Maître d’ouvrage :</w:t>
            </w:r>
          </w:p>
        </w:tc>
        <w:tc>
          <w:tcPr>
            <w:tcW w:w="5528" w:type="dxa"/>
            <w:gridSpan w:val="4"/>
            <w:vAlign w:val="center"/>
          </w:tcPr>
          <w:p w14:paraId="271FFDB8" w14:textId="77777777" w:rsidR="007049A5" w:rsidRPr="004E4188" w:rsidRDefault="007049A5" w:rsidP="006C6267">
            <w:pPr>
              <w:spacing w:afterLines="50" w:after="120"/>
              <w:rPr>
                <w:szCs w:val="24"/>
              </w:rPr>
            </w:pPr>
            <w:r w:rsidRPr="004E4188">
              <w:rPr>
                <w:szCs w:val="24"/>
              </w:rPr>
              <w:t>[</w:t>
            </w:r>
            <w:r w:rsidRPr="004E4188">
              <w:rPr>
                <w:i/>
                <w:szCs w:val="24"/>
              </w:rPr>
              <w:t>indiquer le nom complet</w:t>
            </w:r>
            <w:r w:rsidRPr="004E4188">
              <w:rPr>
                <w:szCs w:val="24"/>
              </w:rPr>
              <w:t>]</w:t>
            </w:r>
          </w:p>
          <w:p w14:paraId="11553E9C" w14:textId="77777777" w:rsidR="007049A5" w:rsidRPr="004E4188" w:rsidRDefault="007049A5" w:rsidP="006C6267">
            <w:pPr>
              <w:spacing w:afterLines="50" w:after="120"/>
              <w:rPr>
                <w:szCs w:val="24"/>
              </w:rPr>
            </w:pPr>
          </w:p>
        </w:tc>
      </w:tr>
      <w:tr w:rsidR="007049A5" w:rsidRPr="004E4188" w14:paraId="571E143D" w14:textId="77777777" w:rsidTr="006C6267">
        <w:trPr>
          <w:cantSplit/>
        </w:trPr>
        <w:tc>
          <w:tcPr>
            <w:tcW w:w="3544" w:type="dxa"/>
          </w:tcPr>
          <w:p w14:paraId="1DF09FF4" w14:textId="77777777" w:rsidR="007049A5" w:rsidRPr="004E4188" w:rsidRDefault="007049A5" w:rsidP="006C6267">
            <w:pPr>
              <w:spacing w:afterLines="50" w:after="120"/>
              <w:rPr>
                <w:szCs w:val="24"/>
              </w:rPr>
            </w:pPr>
            <w:r w:rsidRPr="004E4188">
              <w:rPr>
                <w:szCs w:val="24"/>
              </w:rPr>
              <w:t>Adresse :</w:t>
            </w:r>
          </w:p>
          <w:p w14:paraId="33352191" w14:textId="77777777" w:rsidR="007049A5" w:rsidRPr="004E4188" w:rsidRDefault="007049A5" w:rsidP="006C6267">
            <w:pPr>
              <w:spacing w:afterLines="50" w:after="120"/>
              <w:rPr>
                <w:szCs w:val="24"/>
              </w:rPr>
            </w:pPr>
          </w:p>
          <w:p w14:paraId="18558DEC" w14:textId="77777777" w:rsidR="007049A5" w:rsidRPr="004E4188" w:rsidRDefault="007049A5" w:rsidP="006C6267">
            <w:pPr>
              <w:rPr>
                <w:szCs w:val="24"/>
              </w:rPr>
            </w:pPr>
            <w:r w:rsidRPr="004E4188">
              <w:rPr>
                <w:szCs w:val="24"/>
              </w:rPr>
              <w:t>Numéro de téléphone/télécopie :</w:t>
            </w:r>
          </w:p>
          <w:p w14:paraId="25324CD6" w14:textId="77777777" w:rsidR="007049A5" w:rsidRPr="004E4188" w:rsidRDefault="007049A5" w:rsidP="006C6267">
            <w:pPr>
              <w:rPr>
                <w:szCs w:val="24"/>
              </w:rPr>
            </w:pPr>
          </w:p>
          <w:p w14:paraId="15BA66C4" w14:textId="77777777" w:rsidR="007049A5" w:rsidRPr="004E4188" w:rsidRDefault="007049A5" w:rsidP="006C6267">
            <w:pPr>
              <w:rPr>
                <w:szCs w:val="24"/>
              </w:rPr>
            </w:pPr>
          </w:p>
          <w:p w14:paraId="2B052972" w14:textId="77777777" w:rsidR="007049A5" w:rsidRPr="004E4188" w:rsidRDefault="007049A5" w:rsidP="006C6267">
            <w:pPr>
              <w:rPr>
                <w:szCs w:val="24"/>
              </w:rPr>
            </w:pPr>
            <w:r w:rsidRPr="004E4188">
              <w:rPr>
                <w:szCs w:val="24"/>
              </w:rPr>
              <w:t>Adresse électronique :</w:t>
            </w:r>
          </w:p>
        </w:tc>
        <w:tc>
          <w:tcPr>
            <w:tcW w:w="5528" w:type="dxa"/>
            <w:gridSpan w:val="4"/>
          </w:tcPr>
          <w:p w14:paraId="0013D5C2" w14:textId="77777777" w:rsidR="007049A5" w:rsidRPr="004E4188" w:rsidRDefault="007049A5" w:rsidP="006C6267">
            <w:pPr>
              <w:spacing w:afterLines="50" w:after="120"/>
              <w:rPr>
                <w:spacing w:val="-2"/>
                <w:szCs w:val="24"/>
              </w:rPr>
            </w:pPr>
            <w:r w:rsidRPr="004E4188">
              <w:rPr>
                <w:spacing w:val="-2"/>
                <w:szCs w:val="24"/>
              </w:rPr>
              <w:t>[</w:t>
            </w:r>
            <w:r w:rsidRPr="004E4188">
              <w:rPr>
                <w:i/>
                <w:spacing w:val="-2"/>
                <w:szCs w:val="24"/>
              </w:rPr>
              <w:t xml:space="preserve">indiquer </w:t>
            </w:r>
            <w:r w:rsidRPr="004E4188">
              <w:rPr>
                <w:i/>
                <w:iCs/>
                <w:szCs w:val="24"/>
              </w:rPr>
              <w:t>l’adresse postale</w:t>
            </w:r>
            <w:r w:rsidRPr="004E4188">
              <w:rPr>
                <w:spacing w:val="-2"/>
                <w:szCs w:val="24"/>
              </w:rPr>
              <w:t>]</w:t>
            </w:r>
          </w:p>
          <w:p w14:paraId="13FC10B4" w14:textId="77777777" w:rsidR="007049A5" w:rsidRPr="004E4188" w:rsidRDefault="007049A5" w:rsidP="006C6267">
            <w:pPr>
              <w:spacing w:afterLines="50" w:after="120"/>
              <w:rPr>
                <w:i/>
                <w:spacing w:val="-2"/>
                <w:szCs w:val="24"/>
              </w:rPr>
            </w:pPr>
          </w:p>
          <w:p w14:paraId="481976B9" w14:textId="77777777" w:rsidR="007049A5" w:rsidRPr="004E4188" w:rsidRDefault="007049A5" w:rsidP="006C6267">
            <w:pPr>
              <w:numPr>
                <w:ilvl w:val="12"/>
                <w:numId w:val="0"/>
              </w:numPr>
              <w:spacing w:after="40"/>
              <w:rPr>
                <w:iCs/>
                <w:szCs w:val="24"/>
              </w:rPr>
            </w:pPr>
            <w:r w:rsidRPr="004E4188">
              <w:rPr>
                <w:iCs/>
                <w:szCs w:val="24"/>
              </w:rPr>
              <w:t>[</w:t>
            </w:r>
            <w:r w:rsidRPr="004E4188">
              <w:rPr>
                <w:i/>
                <w:iCs/>
                <w:szCs w:val="24"/>
              </w:rPr>
              <w:t>indiquer les numéros de téléphone et fax, y compris les codes ville/pays</w:t>
            </w:r>
            <w:r w:rsidRPr="004E4188">
              <w:rPr>
                <w:iCs/>
                <w:szCs w:val="24"/>
              </w:rPr>
              <w:t>]</w:t>
            </w:r>
          </w:p>
          <w:p w14:paraId="13EC7A95" w14:textId="77777777" w:rsidR="007049A5" w:rsidRPr="004E4188" w:rsidRDefault="007049A5" w:rsidP="006C6267">
            <w:pPr>
              <w:numPr>
                <w:ilvl w:val="12"/>
                <w:numId w:val="0"/>
              </w:numPr>
              <w:spacing w:after="40"/>
              <w:rPr>
                <w:szCs w:val="24"/>
              </w:rPr>
            </w:pPr>
          </w:p>
          <w:p w14:paraId="7227728E" w14:textId="77777777" w:rsidR="007049A5" w:rsidRPr="004E4188" w:rsidRDefault="007049A5" w:rsidP="006C6267">
            <w:pPr>
              <w:spacing w:afterLines="50" w:after="120"/>
              <w:rPr>
                <w:iCs/>
                <w:szCs w:val="24"/>
              </w:rPr>
            </w:pPr>
            <w:r w:rsidRPr="004E4188">
              <w:rPr>
                <w:iCs/>
                <w:szCs w:val="24"/>
              </w:rPr>
              <w:t>[</w:t>
            </w:r>
            <w:r w:rsidRPr="004E4188">
              <w:rPr>
                <w:i/>
                <w:iCs/>
                <w:szCs w:val="24"/>
              </w:rPr>
              <w:t>indiquer l’adresse e-mail, le cas échéant</w:t>
            </w:r>
            <w:r w:rsidRPr="004E4188">
              <w:rPr>
                <w:iCs/>
                <w:szCs w:val="24"/>
              </w:rPr>
              <w:t>]</w:t>
            </w:r>
          </w:p>
          <w:p w14:paraId="6E6295EA" w14:textId="77777777" w:rsidR="007049A5" w:rsidRPr="004E4188" w:rsidRDefault="007049A5" w:rsidP="006C6267">
            <w:pPr>
              <w:spacing w:afterLines="50" w:after="120"/>
              <w:rPr>
                <w:szCs w:val="24"/>
              </w:rPr>
            </w:pPr>
          </w:p>
        </w:tc>
      </w:tr>
      <w:tr w:rsidR="007049A5" w:rsidRPr="004E4188" w14:paraId="7FEAD362" w14:textId="77777777" w:rsidTr="006C6267">
        <w:trPr>
          <w:cantSplit/>
        </w:trPr>
        <w:tc>
          <w:tcPr>
            <w:tcW w:w="9072" w:type="dxa"/>
            <w:gridSpan w:val="5"/>
          </w:tcPr>
          <w:p w14:paraId="37FB4718" w14:textId="77777777" w:rsidR="007049A5" w:rsidRPr="004E4188" w:rsidRDefault="007049A5" w:rsidP="006C6267">
            <w:pPr>
              <w:spacing w:before="60" w:afterLines="50" w:after="120"/>
              <w:rPr>
                <w:szCs w:val="24"/>
              </w:rPr>
            </w:pPr>
            <w:r w:rsidRPr="004E4188">
              <w:rPr>
                <w:spacing w:val="-2"/>
                <w:szCs w:val="24"/>
              </w:rPr>
              <w:t>Ci-joint les copies des originaux des documents suivants</w:t>
            </w:r>
            <w:r w:rsidRPr="004E4188">
              <w:rPr>
                <w:szCs w:val="24"/>
              </w:rPr>
              <w:t> :</w:t>
            </w:r>
          </w:p>
          <w:p w14:paraId="3DE342E1" w14:textId="1C3BE66D" w:rsidR="007049A5" w:rsidRPr="004E4188" w:rsidRDefault="007049A5" w:rsidP="003D46CF">
            <w:pPr>
              <w:numPr>
                <w:ilvl w:val="0"/>
                <w:numId w:val="81"/>
              </w:numPr>
              <w:spacing w:afterLines="50" w:after="120"/>
              <w:rPr>
                <w:spacing w:val="-2"/>
                <w:szCs w:val="24"/>
              </w:rPr>
            </w:pPr>
            <w:r w:rsidRPr="004E4188">
              <w:rPr>
                <w:spacing w:val="-2"/>
                <w:szCs w:val="24"/>
              </w:rPr>
              <w:t>résumés des pièces contractuelles, d’un</w:t>
            </w:r>
            <w:r w:rsidRPr="004E4188">
              <w:rPr>
                <w:szCs w:val="24"/>
              </w:rPr>
              <w:t>(des)</w:t>
            </w:r>
            <w:r w:rsidRPr="004E4188">
              <w:rPr>
                <w:spacing w:val="-2"/>
                <w:szCs w:val="24"/>
              </w:rPr>
              <w:t xml:space="preserve"> accord</w:t>
            </w:r>
            <w:r w:rsidRPr="004E4188">
              <w:rPr>
                <w:szCs w:val="24"/>
              </w:rPr>
              <w:t>(s)</w:t>
            </w:r>
            <w:r w:rsidRPr="004E4188">
              <w:rPr>
                <w:spacing w:val="-2"/>
                <w:szCs w:val="24"/>
              </w:rPr>
              <w:t xml:space="preserve"> de</w:t>
            </w:r>
            <w:r w:rsidRPr="004E4188">
              <w:rPr>
                <w:szCs w:val="24"/>
              </w:rPr>
              <w:t xml:space="preserve"> </w:t>
            </w:r>
            <w:r w:rsidRPr="004E4188">
              <w:rPr>
                <w:spacing w:val="-2"/>
                <w:szCs w:val="24"/>
              </w:rPr>
              <w:t>sous-traitance, d’un</w:t>
            </w:r>
            <w:r w:rsidRPr="004E4188">
              <w:rPr>
                <w:szCs w:val="24"/>
              </w:rPr>
              <w:t>(des)</w:t>
            </w:r>
            <w:r w:rsidRPr="004E4188">
              <w:rPr>
                <w:spacing w:val="-2"/>
                <w:szCs w:val="24"/>
              </w:rPr>
              <w:t xml:space="preserve"> accord</w:t>
            </w:r>
            <w:r w:rsidRPr="004E4188">
              <w:rPr>
                <w:szCs w:val="24"/>
              </w:rPr>
              <w:t>(s)</w:t>
            </w:r>
            <w:r w:rsidRPr="004E4188">
              <w:rPr>
                <w:spacing w:val="-2"/>
                <w:szCs w:val="24"/>
              </w:rPr>
              <w:t xml:space="preserve"> de Groupement, etc. attestant que les activités susmentionnées satisfont les stipulations du Critère 2.4.2</w:t>
            </w:r>
            <w:r w:rsidRPr="004E4188">
              <w:rPr>
                <w:szCs w:val="24"/>
              </w:rPr>
              <w:t>(b)</w:t>
            </w:r>
            <w:r w:rsidRPr="004E4188">
              <w:rPr>
                <w:spacing w:val="-2"/>
                <w:szCs w:val="24"/>
              </w:rPr>
              <w:t xml:space="preserve"> de la Section </w:t>
            </w:r>
            <w:smartTag w:uri="urn:schemas-microsoft-com:office:smarttags" w:element="stockticker">
              <w:r w:rsidRPr="004E4188">
                <w:rPr>
                  <w:spacing w:val="-2"/>
                  <w:szCs w:val="24"/>
                </w:rPr>
                <w:t>III</w:t>
              </w:r>
            </w:smartTag>
            <w:r w:rsidRPr="004E4188">
              <w:rPr>
                <w:spacing w:val="-2"/>
                <w:szCs w:val="24"/>
              </w:rPr>
              <w:t>, Critères d’évaluation et de qualification</w:t>
            </w:r>
            <w:r w:rsidR="002A1A71" w:rsidRPr="004E4188">
              <w:rPr>
                <w:spacing w:val="-2"/>
                <w:szCs w:val="24"/>
              </w:rPr>
              <w:t> ;</w:t>
            </w:r>
          </w:p>
          <w:p w14:paraId="52897F70" w14:textId="77777777" w:rsidR="007049A5" w:rsidRPr="004E4188" w:rsidRDefault="007049A5" w:rsidP="003D46CF">
            <w:pPr>
              <w:numPr>
                <w:ilvl w:val="0"/>
                <w:numId w:val="81"/>
              </w:numPr>
              <w:spacing w:afterLines="50" w:after="120"/>
              <w:rPr>
                <w:spacing w:val="-2"/>
                <w:szCs w:val="24"/>
              </w:rPr>
            </w:pPr>
            <w:r w:rsidRPr="004E4188">
              <w:rPr>
                <w:spacing w:val="-2"/>
                <w:szCs w:val="24"/>
              </w:rPr>
              <w:t xml:space="preserve">certificat(s) d’utilisateur finale </w:t>
            </w:r>
            <w:r w:rsidRPr="004E4188">
              <w:rPr>
                <w:szCs w:val="24"/>
              </w:rPr>
              <w:t>(tel</w:t>
            </w:r>
            <w:r w:rsidRPr="004E4188">
              <w:rPr>
                <w:rFonts w:hint="eastAsia"/>
                <w:szCs w:val="24"/>
                <w:lang w:eastAsia="ja-JP"/>
              </w:rPr>
              <w:t>(</w:t>
            </w:r>
            <w:r w:rsidRPr="004E4188">
              <w:rPr>
                <w:szCs w:val="24"/>
                <w:lang w:eastAsia="ja-JP"/>
              </w:rPr>
              <w:t>s)</w:t>
            </w:r>
            <w:r w:rsidRPr="004E4188">
              <w:rPr>
                <w:szCs w:val="24"/>
              </w:rPr>
              <w:t xml:space="preserve"> que</w:t>
            </w:r>
            <w:r w:rsidRPr="004E4188">
              <w:rPr>
                <w:spacing w:val="-2"/>
                <w:szCs w:val="24"/>
              </w:rPr>
              <w:t xml:space="preserve"> certificat</w:t>
            </w:r>
            <w:r w:rsidRPr="004E4188">
              <w:rPr>
                <w:szCs w:val="24"/>
              </w:rPr>
              <w:t>(s)</w:t>
            </w:r>
            <w:r w:rsidRPr="004E4188">
              <w:rPr>
                <w:spacing w:val="-2"/>
                <w:szCs w:val="24"/>
              </w:rPr>
              <w:t xml:space="preserve"> de réception</w:t>
            </w:r>
            <w:r w:rsidRPr="004E4188">
              <w:rPr>
                <w:spacing w:val="-8"/>
                <w:szCs w:val="24"/>
              </w:rPr>
              <w:t>/</w:t>
            </w:r>
            <w:r w:rsidRPr="004E4188">
              <w:rPr>
                <w:spacing w:val="-2"/>
                <w:szCs w:val="24"/>
              </w:rPr>
              <w:t xml:space="preserve"> certificat</w:t>
            </w:r>
            <w:r w:rsidRPr="004E4188">
              <w:rPr>
                <w:szCs w:val="24"/>
              </w:rPr>
              <w:t>(s)</w:t>
            </w:r>
            <w:r w:rsidRPr="004E4188">
              <w:rPr>
                <w:spacing w:val="-2"/>
                <w:szCs w:val="24"/>
              </w:rPr>
              <w:t xml:space="preserve"> d’achèvement des Travaux</w:t>
            </w:r>
            <w:r w:rsidRPr="004E4188">
              <w:rPr>
                <w:szCs w:val="24"/>
              </w:rPr>
              <w:t xml:space="preserve">) pour </w:t>
            </w:r>
            <w:r w:rsidRPr="004E4188">
              <w:rPr>
                <w:rFonts w:hint="eastAsia"/>
                <w:szCs w:val="24"/>
                <w:lang w:eastAsia="ja-JP"/>
              </w:rPr>
              <w:t>l</w:t>
            </w:r>
            <w:r w:rsidRPr="004E4188">
              <w:rPr>
                <w:szCs w:val="24"/>
                <w:lang w:eastAsia="ja-JP"/>
              </w:rPr>
              <w:t xml:space="preserve">e </w:t>
            </w:r>
            <w:r w:rsidRPr="004E4188">
              <w:rPr>
                <w:spacing w:val="-2"/>
                <w:szCs w:val="24"/>
              </w:rPr>
              <w:t>marché ci-dessus, attestant que l’activité susmentionnée a été exécutée avec succès.</w:t>
            </w:r>
          </w:p>
        </w:tc>
      </w:tr>
    </w:tbl>
    <w:p w14:paraId="3C3774E9" w14:textId="77777777" w:rsidR="001868EE" w:rsidRPr="004E4188" w:rsidRDefault="001868EE" w:rsidP="001868EE">
      <w:pPr>
        <w:tabs>
          <w:tab w:val="left" w:pos="426"/>
        </w:tabs>
        <w:wordWrap w:val="0"/>
        <w:spacing w:after="120" w:line="240" w:lineRule="exact"/>
        <w:ind w:right="482"/>
        <w:rPr>
          <w:b/>
          <w:bCs/>
          <w:iCs/>
          <w:lang w:eastAsia="ja-JP"/>
        </w:rPr>
      </w:pPr>
    </w:p>
    <w:p w14:paraId="368CE929" w14:textId="5B98FF96" w:rsidR="001868EE" w:rsidRPr="004E4188" w:rsidRDefault="001868EE" w:rsidP="003D46CF">
      <w:pPr>
        <w:widowControl w:val="0"/>
        <w:numPr>
          <w:ilvl w:val="0"/>
          <w:numId w:val="80"/>
        </w:numPr>
        <w:tabs>
          <w:tab w:val="right" w:pos="9090"/>
        </w:tabs>
        <w:spacing w:before="120" w:after="120"/>
        <w:ind w:rightChars="68" w:right="163"/>
        <w:rPr>
          <w:szCs w:val="24"/>
          <w:lang w:eastAsia="ja-JP"/>
        </w:rPr>
      </w:pPr>
      <w:r w:rsidRPr="004E4188">
        <w:rPr>
          <w:iCs/>
          <w:spacing w:val="-2"/>
          <w:szCs w:val="24"/>
          <w:lang w:eastAsia="ja-JP"/>
        </w:rPr>
        <w:t>[</w:t>
      </w:r>
      <w:r w:rsidRPr="004E4188">
        <w:rPr>
          <w:i/>
          <w:szCs w:val="24"/>
          <w:lang w:eastAsia="ja-JP"/>
        </w:rPr>
        <w:t>indiquer le nom complet de l’entreprise unique</w:t>
      </w:r>
      <w:r w:rsidR="00403440" w:rsidRPr="004E4188">
        <w:rPr>
          <w:i/>
          <w:szCs w:val="24"/>
          <w:lang w:eastAsia="ja-JP"/>
        </w:rPr>
        <w:t>/</w:t>
      </w:r>
      <w:r w:rsidRPr="004E4188">
        <w:rPr>
          <w:i/>
          <w:szCs w:val="24"/>
          <w:lang w:eastAsia="ja-JP"/>
        </w:rPr>
        <w:t>du membre de Groupement</w:t>
      </w:r>
      <w:r w:rsidR="00403440" w:rsidRPr="004E4188">
        <w:rPr>
          <w:i/>
          <w:szCs w:val="24"/>
          <w:lang w:eastAsia="ja-JP"/>
        </w:rPr>
        <w:t>/</w:t>
      </w:r>
      <w:r w:rsidRPr="004E4188">
        <w:rPr>
          <w:i/>
          <w:szCs w:val="24"/>
          <w:lang w:eastAsia="ja-JP"/>
        </w:rPr>
        <w:t>du sous</w:t>
      </w:r>
      <w:r w:rsidRPr="004E4188">
        <w:rPr>
          <w:bCs/>
          <w:i/>
          <w:iCs/>
          <w:szCs w:val="24"/>
          <w:lang w:eastAsia="ja-JP"/>
        </w:rPr>
        <w:t>-traitant</w:t>
      </w:r>
      <w:r w:rsidRPr="004E4188">
        <w:rPr>
          <w:iCs/>
          <w:spacing w:val="-2"/>
          <w:szCs w:val="24"/>
          <w:lang w:eastAsia="ja-JP"/>
        </w:rPr>
        <w:t>]</w:t>
      </w:r>
    </w:p>
    <w:p w14:paraId="5CFEF3E3" w14:textId="58F7C4F3" w:rsidR="001868EE" w:rsidRPr="004E4188" w:rsidRDefault="001868EE" w:rsidP="003D46CF">
      <w:pPr>
        <w:widowControl w:val="0"/>
        <w:numPr>
          <w:ilvl w:val="0"/>
          <w:numId w:val="80"/>
        </w:numPr>
        <w:tabs>
          <w:tab w:val="right" w:pos="9090"/>
        </w:tabs>
        <w:spacing w:before="120" w:after="120"/>
        <w:ind w:rightChars="68" w:right="163"/>
        <w:rPr>
          <w:szCs w:val="24"/>
          <w:lang w:eastAsia="ja-JP"/>
        </w:rPr>
      </w:pPr>
      <w:r w:rsidRPr="004E4188">
        <w:rPr>
          <w:iCs/>
          <w:spacing w:val="-2"/>
          <w:szCs w:val="24"/>
          <w:lang w:eastAsia="ja-JP"/>
        </w:rPr>
        <w:t>[</w:t>
      </w:r>
      <w:r w:rsidRPr="004E4188">
        <w:rPr>
          <w:i/>
          <w:iCs/>
          <w:spacing w:val="-2"/>
          <w:szCs w:val="24"/>
          <w:lang w:eastAsia="ja-JP"/>
        </w:rPr>
        <w:t>indiquer le nom complet de l’entreprise unique</w:t>
      </w:r>
      <w:r w:rsidR="00403440" w:rsidRPr="004E4188">
        <w:rPr>
          <w:i/>
          <w:iCs/>
          <w:spacing w:val="-2"/>
          <w:szCs w:val="24"/>
          <w:lang w:eastAsia="ja-JP"/>
        </w:rPr>
        <w:t>/</w:t>
      </w:r>
      <w:r w:rsidRPr="004E4188">
        <w:rPr>
          <w:i/>
          <w:iCs/>
          <w:spacing w:val="-2"/>
          <w:szCs w:val="24"/>
          <w:lang w:eastAsia="ja-JP"/>
        </w:rPr>
        <w:t>du membre de Groupement</w:t>
      </w:r>
      <w:r w:rsidR="00403440" w:rsidRPr="004E4188">
        <w:rPr>
          <w:i/>
          <w:iCs/>
          <w:spacing w:val="-2"/>
          <w:szCs w:val="24"/>
          <w:lang w:eastAsia="ja-JP"/>
        </w:rPr>
        <w:t>/</w:t>
      </w:r>
      <w:r w:rsidRPr="004E4188">
        <w:rPr>
          <w:i/>
          <w:iCs/>
          <w:spacing w:val="-2"/>
          <w:szCs w:val="24"/>
          <w:lang w:eastAsia="ja-JP"/>
        </w:rPr>
        <w:t>du sous-trai</w:t>
      </w:r>
      <w:r w:rsidRPr="004E4188">
        <w:rPr>
          <w:bCs/>
          <w:i/>
          <w:iCs/>
          <w:szCs w:val="24"/>
          <w:lang w:eastAsia="ja-JP"/>
        </w:rPr>
        <w:t>itant</w:t>
      </w:r>
      <w:r w:rsidRPr="004E4188">
        <w:rPr>
          <w:iCs/>
          <w:spacing w:val="-2"/>
          <w:szCs w:val="24"/>
          <w:lang w:eastAsia="ja-JP"/>
        </w:rPr>
        <w:t>]</w:t>
      </w:r>
    </w:p>
    <w:p w14:paraId="5BCC0061" w14:textId="6BCB8686" w:rsidR="001868EE" w:rsidRPr="004E4188" w:rsidRDefault="001868EE" w:rsidP="001868EE">
      <w:pPr>
        <w:widowControl w:val="0"/>
        <w:tabs>
          <w:tab w:val="right" w:pos="9090"/>
        </w:tabs>
        <w:spacing w:before="120" w:after="120"/>
        <w:ind w:rightChars="68" w:right="163"/>
        <w:rPr>
          <w:b/>
          <w:bCs/>
          <w:iCs/>
          <w:lang w:eastAsia="ja-JP"/>
        </w:rPr>
      </w:pPr>
    </w:p>
    <w:p w14:paraId="2D96790C" w14:textId="77777777" w:rsidR="00C86267" w:rsidRPr="004E4188" w:rsidRDefault="00C86267" w:rsidP="001868EE">
      <w:pPr>
        <w:widowControl w:val="0"/>
        <w:tabs>
          <w:tab w:val="right" w:pos="9090"/>
        </w:tabs>
        <w:spacing w:before="120" w:after="120"/>
        <w:ind w:rightChars="68" w:right="163"/>
        <w:rPr>
          <w:b/>
          <w:bCs/>
          <w:iCs/>
          <w:lang w:eastAsia="ja-JP"/>
        </w:rPr>
      </w:pPr>
    </w:p>
    <w:p w14:paraId="448264B2" w14:textId="5D736156" w:rsidR="007049A5" w:rsidRPr="004E4188" w:rsidRDefault="007049A5" w:rsidP="001868EE">
      <w:pPr>
        <w:tabs>
          <w:tab w:val="left" w:pos="426"/>
        </w:tabs>
        <w:wordWrap w:val="0"/>
        <w:spacing w:after="120" w:line="240" w:lineRule="exact"/>
        <w:ind w:right="482"/>
        <w:rPr>
          <w:szCs w:val="24"/>
          <w:lang w:eastAsia="ja-JP"/>
        </w:rPr>
      </w:pPr>
      <w:r w:rsidRPr="004E4188">
        <w:rPr>
          <w:b/>
          <w:bCs/>
          <w:iCs/>
          <w:lang w:eastAsia="ja-JP"/>
        </w:rPr>
        <w:t>Activité principale n</w:t>
      </w:r>
      <w:r w:rsidRPr="004E4188">
        <w:rPr>
          <w:b/>
          <w:bCs/>
          <w:iCs/>
          <w:vertAlign w:val="superscript"/>
          <w:lang w:eastAsia="ja-JP"/>
        </w:rPr>
        <w:t>o</w:t>
      </w:r>
      <w:r w:rsidRPr="004E4188">
        <w:rPr>
          <w:b/>
          <w:bCs/>
          <w:iCs/>
          <w:lang w:eastAsia="ja-JP"/>
        </w:rPr>
        <w:t xml:space="preserve"> 2 :</w:t>
      </w:r>
    </w:p>
    <w:p w14:paraId="595DCFF0" w14:textId="77777777" w:rsidR="007049A5" w:rsidRPr="004E4188" w:rsidRDefault="007049A5" w:rsidP="006C6267">
      <w:pPr>
        <w:tabs>
          <w:tab w:val="left" w:pos="426"/>
        </w:tabs>
        <w:wordWrap w:val="0"/>
        <w:spacing w:before="120" w:after="120" w:line="240" w:lineRule="exact"/>
        <w:ind w:right="482"/>
        <w:rPr>
          <w:b/>
          <w:bCs/>
          <w:iCs/>
          <w:lang w:eastAsia="ja-JP"/>
        </w:rPr>
      </w:pPr>
    </w:p>
    <w:p w14:paraId="194D0694" w14:textId="2658E095" w:rsidR="007049A5" w:rsidRPr="004E4188" w:rsidRDefault="007049A5" w:rsidP="001868EE">
      <w:pPr>
        <w:tabs>
          <w:tab w:val="left" w:pos="426"/>
        </w:tabs>
        <w:wordWrap w:val="0"/>
        <w:spacing w:after="120" w:line="240" w:lineRule="exact"/>
        <w:ind w:right="482"/>
        <w:rPr>
          <w:iCs/>
          <w:spacing w:val="-2"/>
          <w:szCs w:val="24"/>
          <w:lang w:eastAsia="ja-JP"/>
        </w:rPr>
      </w:pPr>
      <w:r w:rsidRPr="004E4188">
        <w:rPr>
          <w:b/>
          <w:bCs/>
          <w:iCs/>
          <w:lang w:eastAsia="ja-JP"/>
        </w:rPr>
        <w:t>Activité principale n</w:t>
      </w:r>
      <w:r w:rsidRPr="004E4188">
        <w:rPr>
          <w:b/>
          <w:bCs/>
          <w:iCs/>
          <w:vertAlign w:val="superscript"/>
          <w:lang w:eastAsia="ja-JP"/>
        </w:rPr>
        <w:t>o</w:t>
      </w:r>
      <w:r w:rsidRPr="004E4188">
        <w:rPr>
          <w:b/>
          <w:bCs/>
          <w:iCs/>
          <w:lang w:eastAsia="ja-JP"/>
        </w:rPr>
        <w:t xml:space="preserve"> 3 :</w:t>
      </w:r>
    </w:p>
    <w:p w14:paraId="3B021B88" w14:textId="069F3AE9" w:rsidR="007049A5" w:rsidRPr="004E4188" w:rsidRDefault="007049A5" w:rsidP="006E6A21">
      <w:pPr>
        <w:tabs>
          <w:tab w:val="left" w:pos="426"/>
        </w:tabs>
        <w:jc w:val="center"/>
        <w:rPr>
          <w:sz w:val="28"/>
          <w:szCs w:val="28"/>
        </w:rPr>
      </w:pPr>
      <w:r w:rsidRPr="004E4188">
        <w:br w:type="page"/>
      </w:r>
      <w:bookmarkStart w:id="664" w:name="_Toc341177809"/>
      <w:bookmarkStart w:id="665" w:name="_Toc344369400"/>
      <w:bookmarkStart w:id="666" w:name="_Toc349117761"/>
      <w:bookmarkStart w:id="667" w:name="_Toc357513242"/>
      <w:bookmarkStart w:id="668" w:name="_Toc112429336"/>
      <w:r w:rsidRPr="004E4188">
        <w:rPr>
          <w:b/>
          <w:sz w:val="32"/>
        </w:rPr>
        <w:t>Formulaire REC</w:t>
      </w:r>
      <w:r w:rsidRPr="004E4188">
        <w:rPr>
          <w:szCs w:val="36"/>
        </w:rPr>
        <w:br/>
      </w:r>
      <w:r w:rsidRPr="004E4188">
        <w:rPr>
          <w:b/>
          <w:sz w:val="32"/>
        </w:rPr>
        <w:t>Reconnaissance du respect des Directives pour les passations de marchés sous financement par Prêts APD du Japon</w:t>
      </w:r>
      <w:bookmarkEnd w:id="664"/>
      <w:bookmarkEnd w:id="665"/>
      <w:bookmarkEnd w:id="666"/>
      <w:bookmarkEnd w:id="667"/>
      <w:bookmarkEnd w:id="668"/>
    </w:p>
    <w:p w14:paraId="5AE6F9FC" w14:textId="77777777" w:rsidR="007049A5" w:rsidRPr="004E4188" w:rsidRDefault="007049A5" w:rsidP="006C6267">
      <w:pPr>
        <w:pStyle w:val="SectionIVHeader"/>
        <w:spacing w:line="360" w:lineRule="exact"/>
        <w:rPr>
          <w:szCs w:val="36"/>
          <w:lang w:val="fr-FR" w:eastAsia="ja-JP"/>
        </w:rPr>
      </w:pPr>
    </w:p>
    <w:tbl>
      <w:tblPr>
        <w:tblStyle w:val="afb"/>
        <w:tblW w:w="0" w:type="auto"/>
        <w:tblLook w:val="04A0" w:firstRow="1" w:lastRow="0" w:firstColumn="1" w:lastColumn="0" w:noHBand="0" w:noVBand="1"/>
      </w:tblPr>
      <w:tblGrid>
        <w:gridCol w:w="8993"/>
      </w:tblGrid>
      <w:tr w:rsidR="007049A5" w:rsidRPr="004E4188" w14:paraId="22623783" w14:textId="77777777" w:rsidTr="006C6267">
        <w:tc>
          <w:tcPr>
            <w:tcW w:w="8993" w:type="dxa"/>
          </w:tcPr>
          <w:p w14:paraId="6A11209F" w14:textId="77777777" w:rsidR="007049A5" w:rsidRPr="004E4188" w:rsidRDefault="007049A5" w:rsidP="006C6267">
            <w:pPr>
              <w:tabs>
                <w:tab w:val="left" w:pos="2610"/>
              </w:tabs>
              <w:ind w:left="482" w:hanging="482"/>
              <w:jc w:val="center"/>
              <w:rPr>
                <w:b/>
                <w:szCs w:val="24"/>
                <w:lang w:eastAsia="ja-JP"/>
              </w:rPr>
            </w:pPr>
            <w:bookmarkStart w:id="669" w:name="_Toc86101660"/>
            <w:r w:rsidRPr="004E4188">
              <w:rPr>
                <w:b/>
                <w:szCs w:val="24"/>
                <w:lang w:eastAsia="ja-JP"/>
              </w:rPr>
              <w:t>Notes à l’intention du Maître d’ouvrage</w:t>
            </w:r>
            <w:bookmarkEnd w:id="669"/>
          </w:p>
          <w:p w14:paraId="2E1D5911" w14:textId="77777777" w:rsidR="007049A5" w:rsidRPr="004E4188" w:rsidRDefault="007049A5" w:rsidP="006C6267">
            <w:pPr>
              <w:tabs>
                <w:tab w:val="left" w:pos="2610"/>
              </w:tabs>
              <w:ind w:left="482" w:hanging="482"/>
              <w:jc w:val="center"/>
              <w:rPr>
                <w:b/>
                <w:szCs w:val="24"/>
                <w:lang w:eastAsia="ja-JP"/>
              </w:rPr>
            </w:pPr>
          </w:p>
          <w:p w14:paraId="6B9AC9C6" w14:textId="77777777" w:rsidR="00470F14" w:rsidRDefault="007049A5" w:rsidP="00470F14">
            <w:pPr>
              <w:tabs>
                <w:tab w:val="left" w:pos="0"/>
              </w:tabs>
              <w:suppressAutoHyphens w:val="0"/>
              <w:overflowPunct/>
              <w:autoSpaceDE/>
              <w:autoSpaceDN/>
              <w:adjustRightInd/>
              <w:textAlignment w:val="auto"/>
            </w:pPr>
            <w:bookmarkStart w:id="670" w:name="_Toc86101661"/>
            <w:r w:rsidRPr="004E4188">
              <w:t xml:space="preserve">Le </w:t>
            </w:r>
            <w:r w:rsidR="00F00E3C" w:rsidRPr="004E4188">
              <w:t>f</w:t>
            </w:r>
            <w:r w:rsidRPr="004E4188">
              <w:t xml:space="preserve">ormulaire REC doit être finalisé en utilisant la dernière version du </w:t>
            </w:r>
            <w:r w:rsidR="00F00E3C" w:rsidRPr="004E4188">
              <w:t>f</w:t>
            </w:r>
            <w:r w:rsidRPr="004E4188">
              <w:t>ormulaire REC, publiée sur la page web de la JICA ;</w:t>
            </w:r>
          </w:p>
          <w:p w14:paraId="36EEAAD5" w14:textId="2C3BAC6A" w:rsidR="007049A5" w:rsidRPr="004E4188" w:rsidRDefault="007049A5" w:rsidP="00470F14">
            <w:pPr>
              <w:tabs>
                <w:tab w:val="left" w:pos="0"/>
              </w:tabs>
              <w:suppressAutoHyphens w:val="0"/>
              <w:overflowPunct/>
              <w:autoSpaceDE/>
              <w:autoSpaceDN/>
              <w:adjustRightInd/>
              <w:ind w:right="454"/>
              <w:jc w:val="left"/>
              <w:textAlignment w:val="auto"/>
            </w:pPr>
            <w:r w:rsidRPr="004E4188">
              <w:t>https://www.jica.go.jp/english/our_work/types_of_assistance/oda_loans/oda_op_info/guide/index.html</w:t>
            </w:r>
            <w:bookmarkEnd w:id="670"/>
          </w:p>
          <w:p w14:paraId="7D1C760E" w14:textId="77777777" w:rsidR="007049A5" w:rsidRPr="004E4188" w:rsidRDefault="007049A5" w:rsidP="006C6267">
            <w:pPr>
              <w:tabs>
                <w:tab w:val="left" w:pos="2610"/>
              </w:tabs>
              <w:ind w:left="480" w:hanging="480"/>
              <w:jc w:val="left"/>
              <w:rPr>
                <w:szCs w:val="24"/>
                <w:lang w:eastAsia="ja-JP"/>
              </w:rPr>
            </w:pPr>
          </w:p>
          <w:p w14:paraId="47E9FEA2" w14:textId="77777777" w:rsidR="007049A5" w:rsidRPr="004E4188" w:rsidRDefault="007049A5" w:rsidP="006C6267">
            <w:pPr>
              <w:tabs>
                <w:tab w:val="left" w:pos="0"/>
              </w:tabs>
              <w:ind w:rightChars="486" w:right="1166"/>
            </w:pPr>
            <w:r w:rsidRPr="004E4188">
              <w:t>Le terme « date de publication de l’Avis d’appel d’offres » qui apparait dans B) et B’) ci-après</w:t>
            </w:r>
            <w:r w:rsidRPr="004E4188">
              <w:rPr>
                <w:rFonts w:hint="eastAsia"/>
                <w:lang w:eastAsia="ja-JP"/>
              </w:rPr>
              <w:t xml:space="preserve"> </w:t>
            </w:r>
            <w:r w:rsidRPr="004E4188">
              <w:t>sera rem</w:t>
            </w:r>
            <w:r w:rsidRPr="004E4188">
              <w:rPr>
                <w:szCs w:val="24"/>
                <w:lang w:eastAsia="ja-JP"/>
              </w:rPr>
              <w:t>placé par</w:t>
            </w:r>
            <w:r w:rsidRPr="004E4188">
              <w:t xml:space="preserve"> </w:t>
            </w:r>
            <w:r w:rsidRPr="004E4188">
              <w:rPr>
                <w:rFonts w:hint="eastAsia"/>
              </w:rPr>
              <w:t>:</w:t>
            </w:r>
            <w:r w:rsidRPr="004E4188">
              <w:t xml:space="preserve"> </w:t>
            </w:r>
          </w:p>
          <w:p w14:paraId="76DA56F4" w14:textId="77777777" w:rsidR="007049A5" w:rsidRPr="004E4188" w:rsidRDefault="007049A5" w:rsidP="006C6267">
            <w:pPr>
              <w:tabs>
                <w:tab w:val="left" w:pos="0"/>
                <w:tab w:val="left" w:pos="709"/>
              </w:tabs>
              <w:ind w:left="480" w:hanging="480"/>
            </w:pPr>
            <w:r w:rsidRPr="004E4188">
              <w:t>(a)</w:t>
            </w:r>
            <w:r w:rsidRPr="004E4188">
              <w:tab/>
            </w:r>
            <w:r w:rsidRPr="004E4188">
              <w:rPr>
                <w:szCs w:val="24"/>
                <w:lang w:eastAsia="ja-JP"/>
              </w:rPr>
              <w:t>« demande de cotation »</w:t>
            </w:r>
            <w:r w:rsidRPr="004E4188">
              <w:t>, si l’Entrepreneur est sélectionné par voie d’«</w:t>
            </w:r>
            <w:r w:rsidRPr="004E4188">
              <w:rPr>
                <w:szCs w:val="24"/>
                <w:lang w:eastAsia="ja-JP"/>
              </w:rPr>
              <w:t> </w:t>
            </w:r>
            <w:r w:rsidRPr="004E4188">
              <w:t>International Shopping » </w:t>
            </w:r>
            <w:r w:rsidRPr="004E4188">
              <w:rPr>
                <w:rFonts w:hint="eastAsia"/>
              </w:rPr>
              <w:t xml:space="preserve">; </w:t>
            </w:r>
          </w:p>
          <w:p w14:paraId="3146C122" w14:textId="77777777" w:rsidR="007049A5" w:rsidRPr="004E4188" w:rsidRDefault="007049A5" w:rsidP="006C6267">
            <w:pPr>
              <w:tabs>
                <w:tab w:val="left" w:pos="0"/>
                <w:tab w:val="left" w:pos="709"/>
              </w:tabs>
              <w:ind w:left="480" w:hanging="480"/>
            </w:pPr>
            <w:r w:rsidRPr="004E4188">
              <w:t>(b)</w:t>
            </w:r>
            <w:r w:rsidRPr="004E4188">
              <w:tab/>
              <w:t>« nomination », si l’Entrepreneur est sélectionné par un marché de gré à gré</w:t>
            </w:r>
            <w:r w:rsidRPr="004E4188">
              <w:rPr>
                <w:rFonts w:hint="eastAsia"/>
              </w:rPr>
              <w:t xml:space="preserve">; </w:t>
            </w:r>
            <w:r w:rsidRPr="004E4188">
              <w:t>ou</w:t>
            </w:r>
          </w:p>
          <w:p w14:paraId="026BFDD0" w14:textId="428B9080" w:rsidR="007049A5" w:rsidRPr="004E4188" w:rsidRDefault="007049A5" w:rsidP="006C6267">
            <w:pPr>
              <w:tabs>
                <w:tab w:val="left" w:pos="0"/>
                <w:tab w:val="left" w:pos="709"/>
              </w:tabs>
              <w:spacing w:after="120"/>
              <w:ind w:left="480" w:hanging="480"/>
            </w:pPr>
            <w:r w:rsidRPr="004E4188">
              <w:t>(c)</w:t>
            </w:r>
            <w:r w:rsidRPr="004E4188">
              <w:tab/>
              <w:t>«</w:t>
            </w:r>
            <w:r w:rsidRPr="004E4188">
              <w:rPr>
                <w:szCs w:val="24"/>
                <w:lang w:eastAsia="ja-JP"/>
              </w:rPr>
              <w:t> </w:t>
            </w:r>
            <w:r w:rsidRPr="004E4188">
              <w:t>commencement du processus effectif de sélection/d’appel d’offres</w:t>
            </w:r>
            <w:r w:rsidRPr="004E4188">
              <w:rPr>
                <w:szCs w:val="24"/>
                <w:lang w:eastAsia="ja-JP"/>
              </w:rPr>
              <w:t> </w:t>
            </w:r>
            <w:r w:rsidRPr="004E4188">
              <w:t>» si l</w:t>
            </w:r>
            <w:r w:rsidR="001657EE" w:rsidRPr="004E4188">
              <w:t>’</w:t>
            </w:r>
            <w:r w:rsidR="001657EE" w:rsidRPr="004E4188">
              <w:rPr>
                <w:iCs/>
                <w:szCs w:val="24"/>
                <w:lang w:eastAsia="ja-JP"/>
              </w:rPr>
              <w:t>Emprunteur</w:t>
            </w:r>
            <w:r w:rsidRPr="004E4188">
              <w:t xml:space="preserve"> souhaite adopter une procédure de passation de marché autre que l’AOI, l’Appel d’Offre International restreint, l’ « International Shopping » ou le marché de gr</w:t>
            </w:r>
            <w:r w:rsidRPr="004E4188">
              <w:rPr>
                <w:rFonts w:hint="eastAsia"/>
              </w:rPr>
              <w:t>é</w:t>
            </w:r>
            <w:r w:rsidRPr="004E4188">
              <w:t xml:space="preserve"> à gré</w:t>
            </w:r>
            <w:r w:rsidRPr="004E4188">
              <w:rPr>
                <w:rFonts w:hint="eastAsia"/>
              </w:rPr>
              <w:t>.</w:t>
            </w:r>
          </w:p>
          <w:p w14:paraId="03F4BA7B" w14:textId="77777777" w:rsidR="007049A5" w:rsidRPr="004E4188" w:rsidRDefault="007049A5" w:rsidP="006C6267">
            <w:pPr>
              <w:tabs>
                <w:tab w:val="left" w:pos="2610"/>
              </w:tabs>
              <w:ind w:rightChars="13" w:right="31"/>
              <w:rPr>
                <w:szCs w:val="24"/>
              </w:rPr>
            </w:pPr>
            <w:bookmarkStart w:id="671" w:name="_Toc86101662"/>
            <w:r w:rsidRPr="004E4188">
              <w:rPr>
                <w:szCs w:val="24"/>
              </w:rPr>
              <w:t>L’</w:t>
            </w:r>
            <w:r w:rsidRPr="004E4188">
              <w:t>adresse postale et de contact du bureau de la JICA dans le pays du projet doit être indiquée en E)</w:t>
            </w:r>
            <w:r w:rsidRPr="004E4188">
              <w:rPr>
                <w:rFonts w:hint="eastAsia"/>
              </w:rPr>
              <w:t xml:space="preserve"> </w:t>
            </w:r>
            <w:r w:rsidRPr="004E4188">
              <w:t>(2). Cette adresse peut être trouvée sur la page web dont l’URL a été donnée en E) (1). S’</w:t>
            </w:r>
            <w:r w:rsidRPr="004E4188">
              <w:rPr>
                <w:szCs w:val="24"/>
              </w:rPr>
              <w:t>il n’y a pas de bureau de la JICA dans le pays, E) (2) doit être entièrement supprimé.</w:t>
            </w:r>
            <w:bookmarkEnd w:id="671"/>
          </w:p>
          <w:p w14:paraId="5EA2B0B7" w14:textId="77777777" w:rsidR="007049A5" w:rsidRPr="004E4188" w:rsidRDefault="007049A5" w:rsidP="002607D2">
            <w:pPr>
              <w:widowControl w:val="0"/>
              <w:tabs>
                <w:tab w:val="left" w:pos="8973"/>
              </w:tabs>
              <w:overflowPunct/>
              <w:autoSpaceDE/>
              <w:autoSpaceDN/>
              <w:adjustRightInd/>
              <w:spacing w:line="280" w:lineRule="exact"/>
              <w:textAlignment w:val="auto"/>
              <w:rPr>
                <w:rFonts w:cs="Arial"/>
                <w:szCs w:val="21"/>
                <w:lang w:eastAsia="zh-CN"/>
              </w:rPr>
            </w:pPr>
          </w:p>
        </w:tc>
      </w:tr>
    </w:tbl>
    <w:p w14:paraId="2CF85B62" w14:textId="77777777" w:rsidR="007049A5" w:rsidRPr="004E4188" w:rsidRDefault="007049A5" w:rsidP="002607D2">
      <w:pPr>
        <w:widowControl w:val="0"/>
        <w:tabs>
          <w:tab w:val="left" w:pos="8973"/>
        </w:tabs>
        <w:overflowPunct/>
        <w:autoSpaceDE/>
        <w:autoSpaceDN/>
        <w:adjustRightInd/>
        <w:spacing w:line="280" w:lineRule="exact"/>
        <w:textAlignment w:val="auto"/>
        <w:rPr>
          <w:rFonts w:cs="Arial"/>
          <w:szCs w:val="21"/>
          <w:lang w:eastAsia="zh-CN"/>
        </w:rPr>
      </w:pPr>
    </w:p>
    <w:p w14:paraId="4ED67A52" w14:textId="77777777" w:rsidR="007049A5" w:rsidRPr="004E4188" w:rsidRDefault="007049A5" w:rsidP="006C6267">
      <w:pPr>
        <w:widowControl w:val="0"/>
        <w:tabs>
          <w:tab w:val="left" w:pos="8973"/>
        </w:tabs>
        <w:overflowPunct/>
        <w:autoSpaceDE/>
        <w:autoSpaceDN/>
        <w:adjustRightInd/>
        <w:spacing w:line="280" w:lineRule="exact"/>
        <w:ind w:left="488" w:hanging="488"/>
        <w:textAlignment w:val="auto"/>
        <w:rPr>
          <w:rFonts w:cs="Arial"/>
          <w:szCs w:val="21"/>
          <w:lang w:eastAsia="zh-CN"/>
        </w:rPr>
      </w:pPr>
      <w:r w:rsidRPr="004E4188">
        <w:rPr>
          <w:rFonts w:cs="Arial"/>
          <w:szCs w:val="21"/>
          <w:lang w:eastAsia="zh-CN"/>
        </w:rPr>
        <w:t xml:space="preserve">A) </w:t>
      </w:r>
      <w:r w:rsidRPr="004E4188">
        <w:rPr>
          <w:rFonts w:cs="Arial"/>
          <w:szCs w:val="21"/>
          <w:lang w:eastAsia="zh-CN"/>
        </w:rPr>
        <w:tab/>
        <w:t>Je soussigné [</w:t>
      </w:r>
      <w:r w:rsidRPr="004E4188">
        <w:rPr>
          <w:rFonts w:cs="Arial"/>
          <w:i/>
          <w:iCs/>
          <w:szCs w:val="21"/>
          <w:lang w:eastAsia="zh-CN"/>
        </w:rPr>
        <w:t>indiquer le nom et la position du signataire habilité</w:t>
      </w:r>
      <w:r w:rsidRPr="004E4188">
        <w:rPr>
          <w:rFonts w:cs="Arial"/>
          <w:szCs w:val="21"/>
          <w:lang w:eastAsia="zh-CN"/>
        </w:rPr>
        <w:t>], étant dûment habilité par [</w:t>
      </w:r>
      <w:r w:rsidRPr="004E4188">
        <w:rPr>
          <w:rFonts w:cs="Arial"/>
          <w:i/>
          <w:iCs/>
          <w:szCs w:val="21"/>
          <w:lang w:eastAsia="zh-CN"/>
        </w:rPr>
        <w:t>indiquer le nom du Soumissionnaire/des membres du Groupement</w:t>
      </w:r>
      <w:r w:rsidRPr="004E4188">
        <w:rPr>
          <w:rFonts w:cs="Arial"/>
          <w:szCs w:val="21"/>
          <w:lang w:eastAsia="zh-CN"/>
        </w:rPr>
        <w:t xml:space="preserve">] (ci-après désigné « le Soumissionnaire ») pour signer la présente Reconnaissance du respect des Directives pour les passations de marchés sous financement par Prêts APD du Japon, certifie par la présente au nom du Soumissionnaire et en mon nom propre que : </w:t>
      </w:r>
    </w:p>
    <w:p w14:paraId="151F6CB7" w14:textId="77777777" w:rsidR="007049A5" w:rsidRPr="004E4188" w:rsidRDefault="007049A5" w:rsidP="002607D2">
      <w:pPr>
        <w:widowControl w:val="0"/>
        <w:tabs>
          <w:tab w:val="left" w:pos="8973"/>
        </w:tabs>
        <w:overflowPunct/>
        <w:autoSpaceDE/>
        <w:autoSpaceDN/>
        <w:adjustRightInd/>
        <w:spacing w:line="280" w:lineRule="exact"/>
        <w:textAlignment w:val="auto"/>
        <w:rPr>
          <w:rFonts w:cs="Arial"/>
          <w:szCs w:val="21"/>
          <w:lang w:eastAsia="zh-CN"/>
        </w:rPr>
      </w:pPr>
    </w:p>
    <w:p w14:paraId="719A628C" w14:textId="77777777" w:rsidR="007049A5" w:rsidRPr="004E4188" w:rsidRDefault="007049A5" w:rsidP="003D46CF">
      <w:pPr>
        <w:widowControl w:val="0"/>
        <w:numPr>
          <w:ilvl w:val="0"/>
          <w:numId w:val="82"/>
        </w:numPr>
        <w:tabs>
          <w:tab w:val="num" w:pos="1080"/>
        </w:tabs>
        <w:spacing w:line="280" w:lineRule="exact"/>
        <w:ind w:left="1032" w:hanging="567"/>
        <w:rPr>
          <w:rFonts w:cs="Arial"/>
          <w:szCs w:val="21"/>
          <w:lang w:eastAsia="zh-CN"/>
        </w:rPr>
      </w:pPr>
      <w:r w:rsidRPr="004E4188">
        <w:rPr>
          <w:szCs w:val="24"/>
          <w:lang w:eastAsia="zh-CN"/>
        </w:rPr>
        <w:t>toutes</w:t>
      </w:r>
      <w:r w:rsidRPr="004E4188">
        <w:rPr>
          <w:rFonts w:cs="Arial"/>
          <w:szCs w:val="24"/>
          <w:lang w:eastAsia="zh-CN"/>
        </w:rPr>
        <w:t xml:space="preserve"> les informations fournies dans l’offre soumise par le Soumissionnaire </w:t>
      </w:r>
      <w:r w:rsidRPr="004E4188">
        <w:rPr>
          <w:szCs w:val="21"/>
          <w:lang w:eastAsia="zh-CN"/>
        </w:rPr>
        <w:t>et leurs sous-traitants</w:t>
      </w:r>
      <w:r w:rsidRPr="004E4188">
        <w:rPr>
          <w:rFonts w:cs="Arial"/>
          <w:szCs w:val="24"/>
          <w:lang w:eastAsia="zh-CN"/>
        </w:rPr>
        <w:t xml:space="preserve"> pour [</w:t>
      </w:r>
      <w:r w:rsidRPr="004E4188">
        <w:rPr>
          <w:rFonts w:cs="Arial"/>
          <w:i/>
          <w:iCs/>
          <w:szCs w:val="24"/>
          <w:lang w:eastAsia="zh-CN"/>
        </w:rPr>
        <w:t xml:space="preserve">indiquer </w:t>
      </w:r>
      <w:r w:rsidRPr="004E4188">
        <w:rPr>
          <w:i/>
          <w:iCs/>
          <w:szCs w:val="21"/>
          <w:lang w:eastAsia="zh-CN"/>
        </w:rPr>
        <w:t>le nom du projet et le nom, le numéro et l’identification de lots (marchés)</w:t>
      </w:r>
      <w:r w:rsidRPr="004E4188">
        <w:rPr>
          <w:i/>
          <w:szCs w:val="21"/>
          <w:lang w:eastAsia="zh-CN"/>
        </w:rPr>
        <w:t xml:space="preserve"> tels qu’indiqués à l’Article 1.1 des DP</w:t>
      </w:r>
      <w:r w:rsidRPr="004E4188" w:rsidDel="00D7379B">
        <w:rPr>
          <w:rFonts w:cs="Arial"/>
          <w:i/>
          <w:iCs/>
          <w:szCs w:val="24"/>
          <w:lang w:eastAsia="zh-CN"/>
        </w:rPr>
        <w:t xml:space="preserve"> </w:t>
      </w:r>
      <w:r w:rsidRPr="004E4188">
        <w:rPr>
          <w:rFonts w:cs="Arial"/>
          <w:szCs w:val="24"/>
          <w:lang w:eastAsia="zh-CN"/>
        </w:rPr>
        <w:t>] sont véridiques, correctes et exactes pour autan</w:t>
      </w:r>
      <w:r w:rsidRPr="004E4188">
        <w:rPr>
          <w:rFonts w:cs="Arial"/>
          <w:szCs w:val="21"/>
          <w:lang w:eastAsia="zh-CN"/>
        </w:rPr>
        <w:t>t que le Soumissionnaire et moi-même le sachions ; et</w:t>
      </w:r>
    </w:p>
    <w:p w14:paraId="4AC38C4B" w14:textId="77777777" w:rsidR="007049A5" w:rsidRPr="004E4188" w:rsidRDefault="007049A5" w:rsidP="006C6267">
      <w:pPr>
        <w:widowControl w:val="0"/>
        <w:tabs>
          <w:tab w:val="left" w:pos="1095"/>
        </w:tabs>
        <w:spacing w:line="280" w:lineRule="exact"/>
        <w:rPr>
          <w:rFonts w:cs="Arial"/>
          <w:szCs w:val="21"/>
          <w:lang w:eastAsia="zh-CN"/>
        </w:rPr>
      </w:pPr>
    </w:p>
    <w:p w14:paraId="0F38C0F9" w14:textId="1AF3F505" w:rsidR="007049A5" w:rsidRPr="004E4188" w:rsidRDefault="007049A5" w:rsidP="003D46CF">
      <w:pPr>
        <w:widowControl w:val="0"/>
        <w:numPr>
          <w:ilvl w:val="0"/>
          <w:numId w:val="82"/>
        </w:numPr>
        <w:tabs>
          <w:tab w:val="num" w:pos="1080"/>
        </w:tabs>
        <w:spacing w:line="280" w:lineRule="exact"/>
        <w:ind w:left="1032" w:hanging="567"/>
        <w:rPr>
          <w:rFonts w:cs="Arial"/>
          <w:color w:val="FF0000"/>
          <w:szCs w:val="21"/>
          <w:u w:val="single"/>
          <w:lang w:eastAsia="zh-CN"/>
        </w:rPr>
      </w:pPr>
      <w:r w:rsidRPr="004E4188">
        <w:rPr>
          <w:rFonts w:cs="Arial"/>
          <w:szCs w:val="21"/>
          <w:lang w:eastAsia="zh-CN"/>
        </w:rPr>
        <w:t>le Soumissionnaire ou l’un de ses sous-traitants n’a, directement ou indirectement, commis aucun acte qui est ou constitue une pratique corrompue ou frauduleuse, et n’est l’objet d’aucun conflit d’intérêt, tel que stipulé dans l’article concerné des Directives et le Dossier d’appel d’offres.</w:t>
      </w:r>
    </w:p>
    <w:p w14:paraId="0F4FD0F9" w14:textId="77777777" w:rsidR="007049A5" w:rsidRPr="004E4188" w:rsidRDefault="007049A5" w:rsidP="002607D2">
      <w:pPr>
        <w:widowControl w:val="0"/>
        <w:overflowPunct/>
        <w:autoSpaceDE/>
        <w:autoSpaceDN/>
        <w:adjustRightInd/>
        <w:spacing w:line="280" w:lineRule="exact"/>
        <w:textAlignment w:val="auto"/>
        <w:rPr>
          <w:rFonts w:cs="Arial"/>
          <w:color w:val="FF0000"/>
          <w:szCs w:val="21"/>
          <w:u w:val="single"/>
          <w:lang w:eastAsia="zh-CN"/>
        </w:rPr>
      </w:pPr>
    </w:p>
    <w:p w14:paraId="0410A2FF" w14:textId="3C0D3DDC" w:rsidR="007049A5" w:rsidRPr="004E4188" w:rsidRDefault="007049A5" w:rsidP="002607D2">
      <w:pPr>
        <w:widowControl w:val="0"/>
        <w:overflowPunct/>
        <w:autoSpaceDE/>
        <w:autoSpaceDN/>
        <w:adjustRightInd/>
        <w:spacing w:line="280" w:lineRule="exact"/>
        <w:ind w:left="2"/>
        <w:textAlignment w:val="auto"/>
        <w:rPr>
          <w:rFonts w:cs="Arial"/>
          <w:sz w:val="21"/>
          <w:szCs w:val="21"/>
          <w:lang w:eastAsia="zh-CN"/>
        </w:rPr>
      </w:pPr>
      <w:r w:rsidRPr="004E4188">
        <w:rPr>
          <w:rFonts w:cs="Arial"/>
          <w:i/>
          <w:sz w:val="21"/>
          <w:szCs w:val="21"/>
          <w:lang w:eastAsia="zh-CN"/>
        </w:rPr>
        <w:t xml:space="preserve">&lt;S’il n’y a PAS eu de </w:t>
      </w:r>
      <w:r w:rsidR="00A9211D">
        <w:rPr>
          <w:rFonts w:cs="Arial"/>
          <w:i/>
          <w:sz w:val="21"/>
          <w:szCs w:val="21"/>
          <w:lang w:eastAsia="zh-CN"/>
        </w:rPr>
        <w:t>radiation</w:t>
      </w:r>
      <w:r w:rsidRPr="004E4188">
        <w:rPr>
          <w:rFonts w:cs="Arial"/>
          <w:i/>
          <w:sz w:val="21"/>
          <w:szCs w:val="21"/>
          <w:lang w:eastAsia="zh-CN"/>
        </w:rPr>
        <w:t xml:space="preserve"> pour plus d’un an par le Groupe de la Banque Mondiale, utilisez la disposition suivante B).&gt;</w:t>
      </w:r>
    </w:p>
    <w:p w14:paraId="0D49CF81" w14:textId="630B0240" w:rsidR="007049A5" w:rsidRPr="004E4188" w:rsidRDefault="007049A5" w:rsidP="002607D2">
      <w:pPr>
        <w:widowControl w:val="0"/>
        <w:overflowPunct/>
        <w:autoSpaceDE/>
        <w:autoSpaceDN/>
        <w:adjustRightInd/>
        <w:spacing w:line="280" w:lineRule="exact"/>
        <w:ind w:left="485" w:hanging="485"/>
        <w:textAlignment w:val="auto"/>
        <w:rPr>
          <w:rFonts w:cs="Arial"/>
          <w:i/>
          <w:sz w:val="21"/>
          <w:szCs w:val="21"/>
          <w:lang w:eastAsia="zh-CN"/>
        </w:rPr>
      </w:pPr>
      <w:r w:rsidRPr="004E4188">
        <w:rPr>
          <w:rFonts w:cs="Arial"/>
          <w:szCs w:val="21"/>
          <w:lang w:eastAsia="zh-CN"/>
        </w:rPr>
        <w:t>B)</w:t>
      </w:r>
      <w:r w:rsidRPr="004E4188">
        <w:rPr>
          <w:rFonts w:cs="Arial"/>
          <w:szCs w:val="21"/>
          <w:lang w:eastAsia="zh-CN"/>
        </w:rPr>
        <w:tab/>
        <w:t xml:space="preserve">Je certifie que le Soumissionnaire n’a pas été </w:t>
      </w:r>
      <w:r w:rsidR="00D65227" w:rsidRPr="00D65227">
        <w:rPr>
          <w:rFonts w:cs="Arial"/>
          <w:szCs w:val="21"/>
          <w:lang w:eastAsia="zh-CN"/>
        </w:rPr>
        <w:t>radié</w:t>
      </w:r>
      <w:r w:rsidRPr="004E4188">
        <w:rPr>
          <w:rFonts w:cs="Arial"/>
          <w:szCs w:val="21"/>
          <w:lang w:eastAsia="zh-CN"/>
        </w:rPr>
        <w:t xml:space="preserve"> par le Groupe de la Banque Mondiale pour plus d’un an depuis la date de publication de l’Avis d</w:t>
      </w:r>
      <w:r w:rsidR="008D778A" w:rsidRPr="004E4188">
        <w:rPr>
          <w:rFonts w:cs="Arial"/>
          <w:szCs w:val="21"/>
          <w:lang w:eastAsia="zh-CN"/>
        </w:rPr>
        <w:t>’</w:t>
      </w:r>
      <w:r w:rsidRPr="004E4188">
        <w:rPr>
          <w:rFonts w:cs="Arial"/>
          <w:szCs w:val="21"/>
          <w:lang w:eastAsia="zh-CN"/>
        </w:rPr>
        <w:t>appel d</w:t>
      </w:r>
      <w:r w:rsidR="008D778A" w:rsidRPr="004E4188">
        <w:rPr>
          <w:rFonts w:cs="Arial"/>
          <w:szCs w:val="21"/>
          <w:lang w:eastAsia="zh-CN"/>
        </w:rPr>
        <w:t>’</w:t>
      </w:r>
      <w:r w:rsidRPr="004E4188">
        <w:rPr>
          <w:rFonts w:cs="Arial"/>
          <w:szCs w:val="21"/>
          <w:lang w:eastAsia="zh-CN"/>
        </w:rPr>
        <w:t>offres</w:t>
      </w:r>
      <w:r w:rsidRPr="004E4188">
        <w:rPr>
          <w:szCs w:val="21"/>
          <w:lang w:eastAsia="zh-CN"/>
        </w:rPr>
        <w:t>.</w:t>
      </w:r>
    </w:p>
    <w:p w14:paraId="63AA4A8C" w14:textId="77777777" w:rsidR="007049A5" w:rsidRPr="004E4188" w:rsidRDefault="007049A5" w:rsidP="002607D2">
      <w:pPr>
        <w:widowControl w:val="0"/>
        <w:overflowPunct/>
        <w:autoSpaceDE/>
        <w:autoSpaceDN/>
        <w:adjustRightInd/>
        <w:spacing w:line="280" w:lineRule="exact"/>
        <w:ind w:left="2"/>
        <w:textAlignment w:val="auto"/>
        <w:rPr>
          <w:rFonts w:cs="Arial"/>
          <w:i/>
          <w:sz w:val="21"/>
          <w:szCs w:val="21"/>
          <w:lang w:eastAsia="zh-CN"/>
        </w:rPr>
      </w:pPr>
    </w:p>
    <w:p w14:paraId="16FAD007" w14:textId="2E93C40C" w:rsidR="007049A5" w:rsidRPr="004E4188" w:rsidRDefault="007049A5" w:rsidP="002607D2">
      <w:pPr>
        <w:widowControl w:val="0"/>
        <w:overflowPunct/>
        <w:autoSpaceDE/>
        <w:autoSpaceDN/>
        <w:adjustRightInd/>
        <w:spacing w:line="280" w:lineRule="exact"/>
        <w:ind w:left="2"/>
        <w:textAlignment w:val="auto"/>
        <w:rPr>
          <w:rFonts w:cs="Arial"/>
          <w:i/>
          <w:sz w:val="21"/>
          <w:szCs w:val="21"/>
          <w:lang w:eastAsia="zh-CN"/>
        </w:rPr>
      </w:pPr>
      <w:r w:rsidRPr="004E4188">
        <w:rPr>
          <w:rFonts w:cs="Arial"/>
          <w:i/>
          <w:sz w:val="21"/>
          <w:szCs w:val="21"/>
          <w:lang w:eastAsia="zh-CN"/>
        </w:rPr>
        <w:t xml:space="preserve">&lt;S’il y a eu </w:t>
      </w:r>
      <w:r w:rsidR="00A9211D">
        <w:rPr>
          <w:rFonts w:cs="Arial"/>
          <w:i/>
          <w:sz w:val="21"/>
          <w:szCs w:val="21"/>
          <w:lang w:eastAsia="zh-CN"/>
        </w:rPr>
        <w:t>radiation</w:t>
      </w:r>
      <w:r w:rsidRPr="004E4188">
        <w:rPr>
          <w:rFonts w:cs="Arial"/>
          <w:i/>
          <w:sz w:val="21"/>
          <w:szCs w:val="21"/>
          <w:lang w:eastAsia="zh-CN"/>
        </w:rPr>
        <w:t xml:space="preserve"> pour plus d’un an par le Groupe de la Banque Mondiale, MAIS que trois (3) ans se sont écoulés depuis la date de cette </w:t>
      </w:r>
      <w:r w:rsidR="00A9211D">
        <w:rPr>
          <w:rFonts w:cs="Arial"/>
          <w:i/>
          <w:sz w:val="21"/>
          <w:szCs w:val="21"/>
          <w:lang w:eastAsia="zh-CN"/>
        </w:rPr>
        <w:t>radiation</w:t>
      </w:r>
      <w:r w:rsidRPr="004E4188">
        <w:rPr>
          <w:rFonts w:cs="Arial"/>
          <w:i/>
          <w:sz w:val="21"/>
          <w:szCs w:val="21"/>
          <w:lang w:eastAsia="zh-CN"/>
        </w:rPr>
        <w:t>, utilisez la disposition suivante B’).&gt;</w:t>
      </w:r>
    </w:p>
    <w:p w14:paraId="2F0B56FD" w14:textId="77777777" w:rsidR="007049A5" w:rsidRPr="004E4188" w:rsidRDefault="007049A5" w:rsidP="002607D2">
      <w:pPr>
        <w:widowControl w:val="0"/>
        <w:overflowPunct/>
        <w:autoSpaceDE/>
        <w:autoSpaceDN/>
        <w:adjustRightInd/>
        <w:spacing w:line="280" w:lineRule="exact"/>
        <w:ind w:left="2"/>
        <w:textAlignment w:val="auto"/>
        <w:rPr>
          <w:rFonts w:eastAsia="ＭＳ ゴシック"/>
          <w:szCs w:val="24"/>
          <w:lang w:eastAsia="zh-CN"/>
        </w:rPr>
      </w:pPr>
    </w:p>
    <w:p w14:paraId="6114F576" w14:textId="0310E4AF" w:rsidR="007049A5" w:rsidRPr="004E4188" w:rsidRDefault="007049A5" w:rsidP="002607D2">
      <w:pPr>
        <w:widowControl w:val="0"/>
        <w:overflowPunct/>
        <w:autoSpaceDE/>
        <w:autoSpaceDN/>
        <w:adjustRightInd/>
        <w:spacing w:line="280" w:lineRule="exact"/>
        <w:ind w:left="485" w:hanging="485"/>
        <w:rPr>
          <w:rFonts w:eastAsia="ＭＳ ゴシック"/>
          <w:sz w:val="21"/>
          <w:szCs w:val="21"/>
          <w:lang w:eastAsia="ja-JP"/>
        </w:rPr>
      </w:pPr>
      <w:r w:rsidRPr="004E4188">
        <w:rPr>
          <w:rFonts w:eastAsia="ＭＳ ゴシック"/>
          <w:szCs w:val="24"/>
          <w:lang w:eastAsia="ja-JP"/>
        </w:rPr>
        <w:t>B’)</w:t>
      </w:r>
      <w:r w:rsidRPr="004E4188">
        <w:rPr>
          <w:rFonts w:ascii="Arial" w:eastAsia="ＭＳ ゴシック" w:hAnsi="Arial" w:cs="Arial"/>
          <w:szCs w:val="24"/>
          <w:lang w:eastAsia="ja-JP"/>
        </w:rPr>
        <w:tab/>
      </w:r>
      <w:r w:rsidRPr="004E4188">
        <w:rPr>
          <w:rFonts w:eastAsia="ＭＳ ゴシック"/>
          <w:szCs w:val="24"/>
          <w:lang w:eastAsia="ja-JP"/>
        </w:rPr>
        <w:t xml:space="preserve">Je certifie que le Soumissionnaire a été </w:t>
      </w:r>
      <w:r w:rsidR="00D65227" w:rsidRPr="00D65227">
        <w:rPr>
          <w:rFonts w:eastAsia="ＭＳ ゴシック"/>
          <w:szCs w:val="24"/>
          <w:lang w:eastAsia="ja-JP"/>
        </w:rPr>
        <w:t>radié</w:t>
      </w:r>
      <w:r w:rsidRPr="004E4188">
        <w:rPr>
          <w:rFonts w:eastAsia="ＭＳ ゴシック"/>
          <w:szCs w:val="24"/>
          <w:lang w:eastAsia="ja-JP"/>
        </w:rPr>
        <w:t xml:space="preserve"> par le Groupe de la Banque Mondiale pour une durée de plus d</w:t>
      </w:r>
      <w:r w:rsidRPr="004E4188">
        <w:rPr>
          <w:rFonts w:cs="Arial"/>
          <w:szCs w:val="21"/>
          <w:lang w:eastAsia="zh-CN"/>
        </w:rPr>
        <w:t>’</w:t>
      </w:r>
      <w:r w:rsidRPr="004E4188">
        <w:rPr>
          <w:rFonts w:eastAsia="ＭＳ ゴシック"/>
          <w:szCs w:val="24"/>
          <w:lang w:eastAsia="ja-JP"/>
        </w:rPr>
        <w:t>un an MAIS qu'à la date de publication de l</w:t>
      </w:r>
      <w:r w:rsidRPr="004E4188">
        <w:rPr>
          <w:rFonts w:cs="Arial"/>
          <w:szCs w:val="21"/>
          <w:lang w:eastAsia="zh-CN"/>
        </w:rPr>
        <w:t>’Avis d’a</w:t>
      </w:r>
      <w:r w:rsidRPr="004E4188">
        <w:rPr>
          <w:rFonts w:eastAsia="ＭＳ ゴシック"/>
          <w:szCs w:val="24"/>
          <w:lang w:eastAsia="ja-JP"/>
        </w:rPr>
        <w:t>ppel d</w:t>
      </w:r>
      <w:r w:rsidRPr="004E4188">
        <w:rPr>
          <w:rFonts w:cs="Arial"/>
          <w:szCs w:val="21"/>
          <w:lang w:eastAsia="zh-CN"/>
        </w:rPr>
        <w:t>’</w:t>
      </w:r>
      <w:r w:rsidRPr="004E4188">
        <w:rPr>
          <w:rFonts w:eastAsia="ＭＳ ゴシック"/>
          <w:szCs w:val="24"/>
          <w:lang w:eastAsia="ja-JP"/>
        </w:rPr>
        <w:t>offres au moins trois (3) ans s</w:t>
      </w:r>
      <w:r w:rsidRPr="004E4188">
        <w:rPr>
          <w:rFonts w:cs="Arial"/>
          <w:szCs w:val="21"/>
          <w:lang w:eastAsia="zh-CN"/>
        </w:rPr>
        <w:t>’</w:t>
      </w:r>
      <w:r w:rsidRPr="004E4188">
        <w:rPr>
          <w:rFonts w:eastAsia="ＭＳ ゴシック"/>
          <w:szCs w:val="24"/>
          <w:lang w:eastAsia="ja-JP"/>
        </w:rPr>
        <w:t xml:space="preserve">étaient écoulés depuis la date de cette </w:t>
      </w:r>
      <w:r w:rsidR="00A9211D">
        <w:rPr>
          <w:rFonts w:eastAsia="ＭＳ ゴシック"/>
          <w:szCs w:val="24"/>
          <w:lang w:eastAsia="ja-JP"/>
        </w:rPr>
        <w:t>radiation</w:t>
      </w:r>
      <w:r w:rsidRPr="004E4188">
        <w:rPr>
          <w:rFonts w:eastAsia="ＭＳ ゴシック"/>
          <w:szCs w:val="24"/>
          <w:lang w:eastAsia="ja-JP"/>
        </w:rPr>
        <w:t xml:space="preserve">. Les détails de la </w:t>
      </w:r>
      <w:r w:rsidR="00A9211D">
        <w:rPr>
          <w:rFonts w:eastAsia="ＭＳ ゴシック"/>
          <w:szCs w:val="24"/>
          <w:lang w:eastAsia="ja-JP"/>
        </w:rPr>
        <w:t>radiation</w:t>
      </w:r>
      <w:r w:rsidRPr="004E4188">
        <w:rPr>
          <w:rFonts w:eastAsia="ＭＳ ゴシック"/>
          <w:szCs w:val="24"/>
          <w:lang w:eastAsia="ja-JP"/>
        </w:rPr>
        <w:t xml:space="preserve"> sont donnés ci-après :</w:t>
      </w:r>
    </w:p>
    <w:tbl>
      <w:tblPr>
        <w:tblW w:w="8646" w:type="dxa"/>
        <w:tblInd w:w="421" w:type="dxa"/>
        <w:tblLayout w:type="fixed"/>
        <w:tblLook w:val="0000" w:firstRow="0" w:lastRow="0" w:firstColumn="0" w:lastColumn="0" w:noHBand="0" w:noVBand="0"/>
      </w:tblPr>
      <w:tblGrid>
        <w:gridCol w:w="2026"/>
        <w:gridCol w:w="2339"/>
        <w:gridCol w:w="2155"/>
        <w:gridCol w:w="2126"/>
      </w:tblGrid>
      <w:tr w:rsidR="007049A5" w:rsidRPr="004E4188" w14:paraId="285E00F0" w14:textId="77777777" w:rsidTr="00762E49">
        <w:trPr>
          <w:trHeight w:val="468"/>
        </w:trPr>
        <w:tc>
          <w:tcPr>
            <w:tcW w:w="2026" w:type="dxa"/>
            <w:tcBorders>
              <w:top w:val="single" w:sz="4" w:space="0" w:color="000000"/>
              <w:left w:val="single" w:sz="4" w:space="0" w:color="000000"/>
              <w:bottom w:val="single" w:sz="4" w:space="0" w:color="000000"/>
            </w:tcBorders>
            <w:shd w:val="clear" w:color="auto" w:fill="auto"/>
          </w:tcPr>
          <w:p w14:paraId="7C1989A1" w14:textId="3A21C279" w:rsidR="007049A5" w:rsidRPr="004E4188" w:rsidRDefault="007049A5" w:rsidP="002607D2">
            <w:pPr>
              <w:widowControl w:val="0"/>
              <w:overflowPunct/>
              <w:autoSpaceDE/>
              <w:autoSpaceDN/>
              <w:adjustRightInd/>
              <w:spacing w:line="240" w:lineRule="exact"/>
              <w:jc w:val="center"/>
              <w:rPr>
                <w:rFonts w:eastAsia="ＭＳ ゴシック"/>
                <w:sz w:val="21"/>
                <w:szCs w:val="21"/>
                <w:lang w:eastAsia="ja-JP"/>
              </w:rPr>
            </w:pPr>
            <w:r w:rsidRPr="004E4188">
              <w:rPr>
                <w:rFonts w:eastAsia="ＭＳ ゴシック"/>
                <w:sz w:val="21"/>
                <w:szCs w:val="21"/>
                <w:lang w:eastAsia="ja-JP"/>
              </w:rPr>
              <w:t xml:space="preserve">Nom de la firme </w:t>
            </w:r>
            <w:r w:rsidR="000918A4" w:rsidRPr="000918A4">
              <w:rPr>
                <w:rFonts w:eastAsia="ＭＳ ゴシック"/>
                <w:sz w:val="21"/>
                <w:szCs w:val="21"/>
                <w:lang w:eastAsia="ja-JP"/>
              </w:rPr>
              <w:t>radiée</w:t>
            </w:r>
          </w:p>
        </w:tc>
        <w:tc>
          <w:tcPr>
            <w:tcW w:w="2339" w:type="dxa"/>
            <w:tcBorders>
              <w:top w:val="single" w:sz="4" w:space="0" w:color="000000"/>
              <w:left w:val="single" w:sz="4" w:space="0" w:color="000000"/>
              <w:bottom w:val="single" w:sz="4" w:space="0" w:color="000000"/>
            </w:tcBorders>
            <w:shd w:val="clear" w:color="auto" w:fill="auto"/>
          </w:tcPr>
          <w:p w14:paraId="7AC1D68D" w14:textId="3C2E7EF1" w:rsidR="007049A5" w:rsidRPr="004E4188" w:rsidRDefault="007049A5" w:rsidP="002607D2">
            <w:pPr>
              <w:widowControl w:val="0"/>
              <w:overflowPunct/>
              <w:autoSpaceDE/>
              <w:autoSpaceDN/>
              <w:adjustRightInd/>
              <w:spacing w:line="240" w:lineRule="exact"/>
              <w:jc w:val="center"/>
              <w:rPr>
                <w:rFonts w:eastAsia="ＭＳ ゴシック"/>
                <w:sz w:val="21"/>
                <w:szCs w:val="21"/>
                <w:lang w:eastAsia="ja-JP"/>
              </w:rPr>
            </w:pPr>
            <w:r w:rsidRPr="004E4188">
              <w:rPr>
                <w:rFonts w:eastAsia="ＭＳ ゴシック"/>
                <w:sz w:val="21"/>
                <w:szCs w:val="21"/>
                <w:lang w:eastAsia="ja-JP"/>
              </w:rPr>
              <w:t xml:space="preserve">Date du début de la </w:t>
            </w:r>
            <w:r w:rsidR="00A9211D">
              <w:rPr>
                <w:rFonts w:eastAsia="ＭＳ ゴシック"/>
                <w:sz w:val="21"/>
                <w:szCs w:val="21"/>
                <w:lang w:eastAsia="ja-JP"/>
              </w:rPr>
              <w:t>radiation</w:t>
            </w:r>
          </w:p>
        </w:tc>
        <w:tc>
          <w:tcPr>
            <w:tcW w:w="2155" w:type="dxa"/>
            <w:tcBorders>
              <w:top w:val="single" w:sz="4" w:space="0" w:color="000000"/>
              <w:left w:val="single" w:sz="4" w:space="0" w:color="000000"/>
              <w:bottom w:val="single" w:sz="4" w:space="0" w:color="000000"/>
            </w:tcBorders>
            <w:shd w:val="clear" w:color="auto" w:fill="auto"/>
          </w:tcPr>
          <w:p w14:paraId="7950E32B" w14:textId="5EC8AC01" w:rsidR="007049A5" w:rsidRPr="004E4188" w:rsidRDefault="007049A5" w:rsidP="002607D2">
            <w:pPr>
              <w:widowControl w:val="0"/>
              <w:overflowPunct/>
              <w:autoSpaceDE/>
              <w:autoSpaceDN/>
              <w:adjustRightInd/>
              <w:spacing w:line="240" w:lineRule="exact"/>
              <w:jc w:val="center"/>
              <w:rPr>
                <w:rFonts w:eastAsia="ＭＳ ゴシック"/>
                <w:sz w:val="21"/>
                <w:szCs w:val="21"/>
                <w:lang w:eastAsia="ja-JP"/>
              </w:rPr>
            </w:pPr>
            <w:r w:rsidRPr="004E4188">
              <w:rPr>
                <w:rFonts w:eastAsia="ＭＳ ゴシック"/>
                <w:sz w:val="21"/>
                <w:szCs w:val="21"/>
                <w:lang w:eastAsia="ja-JP"/>
              </w:rPr>
              <w:t xml:space="preserve">Date de levée de la </w:t>
            </w:r>
            <w:r w:rsidR="00A9211D">
              <w:rPr>
                <w:rFonts w:eastAsia="ＭＳ ゴシック"/>
                <w:sz w:val="21"/>
                <w:szCs w:val="21"/>
                <w:lang w:eastAsia="ja-JP"/>
              </w:rPr>
              <w:t>radiation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F27E3E1" w14:textId="537B9501" w:rsidR="007049A5" w:rsidRPr="004E4188" w:rsidRDefault="007049A5" w:rsidP="002607D2">
            <w:pPr>
              <w:widowControl w:val="0"/>
              <w:overflowPunct/>
              <w:autoSpaceDE/>
              <w:autoSpaceDN/>
              <w:adjustRightInd/>
              <w:spacing w:line="240" w:lineRule="exact"/>
              <w:jc w:val="center"/>
              <w:rPr>
                <w:rFonts w:ascii="Century" w:hAnsi="Century" w:cs="Century"/>
                <w:sz w:val="21"/>
                <w:lang w:val="en-GB" w:eastAsia="ja-JP"/>
              </w:rPr>
            </w:pPr>
            <w:r w:rsidRPr="004E4188">
              <w:rPr>
                <w:rFonts w:eastAsia="ＭＳ ゴシック"/>
                <w:sz w:val="21"/>
                <w:szCs w:val="21"/>
                <w:lang w:eastAsia="ja-JP"/>
              </w:rPr>
              <w:t xml:space="preserve">Raison de la </w:t>
            </w:r>
            <w:r w:rsidR="00A9211D">
              <w:rPr>
                <w:rFonts w:eastAsia="ＭＳ ゴシック"/>
                <w:sz w:val="21"/>
                <w:szCs w:val="21"/>
                <w:lang w:eastAsia="ja-JP"/>
              </w:rPr>
              <w:t>radiation</w:t>
            </w:r>
          </w:p>
        </w:tc>
      </w:tr>
      <w:tr w:rsidR="007049A5" w:rsidRPr="004E4188" w14:paraId="5A8FED90" w14:textId="77777777" w:rsidTr="00762E49">
        <w:trPr>
          <w:trHeight w:val="361"/>
        </w:trPr>
        <w:tc>
          <w:tcPr>
            <w:tcW w:w="2026" w:type="dxa"/>
            <w:tcBorders>
              <w:top w:val="single" w:sz="4" w:space="0" w:color="000000"/>
              <w:left w:val="single" w:sz="4" w:space="0" w:color="000000"/>
              <w:bottom w:val="single" w:sz="4" w:space="0" w:color="000000"/>
            </w:tcBorders>
            <w:shd w:val="clear" w:color="auto" w:fill="auto"/>
          </w:tcPr>
          <w:p w14:paraId="3956B4A1" w14:textId="77777777" w:rsidR="007049A5" w:rsidRPr="004E4188" w:rsidRDefault="007049A5" w:rsidP="002607D2">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c>
          <w:tcPr>
            <w:tcW w:w="2339" w:type="dxa"/>
            <w:tcBorders>
              <w:top w:val="single" w:sz="4" w:space="0" w:color="000000"/>
              <w:left w:val="single" w:sz="4" w:space="0" w:color="000000"/>
              <w:bottom w:val="single" w:sz="4" w:space="0" w:color="000000"/>
            </w:tcBorders>
            <w:shd w:val="clear" w:color="auto" w:fill="auto"/>
          </w:tcPr>
          <w:p w14:paraId="4E5C5C3B" w14:textId="77777777" w:rsidR="007049A5" w:rsidRPr="004E4188" w:rsidRDefault="007049A5" w:rsidP="002607D2">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c>
          <w:tcPr>
            <w:tcW w:w="2155" w:type="dxa"/>
            <w:tcBorders>
              <w:top w:val="single" w:sz="4" w:space="0" w:color="000000"/>
              <w:left w:val="single" w:sz="4" w:space="0" w:color="000000"/>
              <w:bottom w:val="single" w:sz="4" w:space="0" w:color="000000"/>
            </w:tcBorders>
            <w:shd w:val="clear" w:color="auto" w:fill="auto"/>
          </w:tcPr>
          <w:p w14:paraId="484B11CF" w14:textId="77777777" w:rsidR="007049A5" w:rsidRPr="004E4188" w:rsidRDefault="007049A5" w:rsidP="002607D2">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F70BE4" w14:textId="77777777" w:rsidR="007049A5" w:rsidRPr="004E4188" w:rsidRDefault="007049A5" w:rsidP="002607D2">
            <w:pPr>
              <w:widowControl w:val="0"/>
              <w:overflowPunct/>
              <w:autoSpaceDE/>
              <w:autoSpaceDN/>
              <w:adjustRightInd/>
              <w:snapToGrid w:val="0"/>
              <w:spacing w:line="240" w:lineRule="exact"/>
              <w:rPr>
                <w:rFonts w:ascii="Arial" w:eastAsia="ＭＳ ゴシック" w:hAnsi="Arial" w:cs="Arial"/>
                <w:sz w:val="21"/>
                <w:szCs w:val="21"/>
                <w:u w:val="single"/>
                <w:lang w:eastAsia="ja-JP"/>
              </w:rPr>
            </w:pPr>
          </w:p>
        </w:tc>
      </w:tr>
    </w:tbl>
    <w:p w14:paraId="5E998EF2" w14:textId="77777777" w:rsidR="007049A5" w:rsidRPr="004E4188" w:rsidRDefault="007049A5" w:rsidP="006C6267">
      <w:pPr>
        <w:widowControl w:val="0"/>
        <w:overflowPunct/>
        <w:autoSpaceDE/>
        <w:autoSpaceDN/>
        <w:adjustRightInd/>
        <w:spacing w:line="280" w:lineRule="exact"/>
        <w:ind w:left="420"/>
        <w:textAlignment w:val="auto"/>
        <w:rPr>
          <w:rFonts w:ascii="Arial" w:eastAsia="ＭＳ ゴシック" w:hAnsi="Arial" w:cs="Arial"/>
          <w:szCs w:val="21"/>
          <w:lang w:eastAsia="zh-CN"/>
        </w:rPr>
      </w:pPr>
    </w:p>
    <w:p w14:paraId="440DBE65" w14:textId="50525F83" w:rsidR="007049A5" w:rsidRPr="004E4188" w:rsidRDefault="007049A5" w:rsidP="003D46CF">
      <w:pPr>
        <w:widowControl w:val="0"/>
        <w:numPr>
          <w:ilvl w:val="0"/>
          <w:numId w:val="51"/>
        </w:numPr>
        <w:overflowPunct/>
        <w:autoSpaceDE/>
        <w:autoSpaceDN/>
        <w:adjustRightInd/>
        <w:spacing w:line="280" w:lineRule="exact"/>
        <w:textAlignment w:val="auto"/>
        <w:rPr>
          <w:rFonts w:ascii="Arial" w:eastAsia="ＭＳ ゴシック" w:hAnsi="Arial" w:cs="Arial"/>
          <w:szCs w:val="21"/>
          <w:lang w:eastAsia="zh-CN"/>
        </w:rPr>
      </w:pPr>
      <w:r w:rsidRPr="004E4188">
        <w:rPr>
          <w:rFonts w:cs="Arial"/>
          <w:szCs w:val="21"/>
          <w:lang w:eastAsia="zh-CN"/>
        </w:rPr>
        <w:t xml:space="preserve">Je certifie que le Soumissionnaire ne conclura pas de contrat de sous-traitance avec une personne physique ou morale </w:t>
      </w:r>
      <w:r w:rsidR="000918A4" w:rsidRPr="000918A4">
        <w:rPr>
          <w:rFonts w:cs="Arial"/>
          <w:szCs w:val="21"/>
          <w:lang w:eastAsia="zh-CN"/>
        </w:rPr>
        <w:t>radiée</w:t>
      </w:r>
      <w:r w:rsidRPr="004E4188">
        <w:rPr>
          <w:rFonts w:cs="Arial"/>
          <w:szCs w:val="21"/>
          <w:lang w:eastAsia="zh-CN"/>
        </w:rPr>
        <w:t xml:space="preserve"> par le Groupe de la Banque Mondiale pour une durée de plus d’un an, à moins qu’à la date du contrat de sous-traitance au moins trois (3) ans ne se soient écoulés depuis la date de la décision de </w:t>
      </w:r>
      <w:r w:rsidR="00A9211D">
        <w:rPr>
          <w:rFonts w:cs="Arial"/>
          <w:szCs w:val="21"/>
          <w:lang w:eastAsia="zh-CN"/>
        </w:rPr>
        <w:t>radiation</w:t>
      </w:r>
    </w:p>
    <w:p w14:paraId="5E4DF26B" w14:textId="77777777" w:rsidR="007049A5" w:rsidRPr="004E4188" w:rsidRDefault="007049A5" w:rsidP="002607D2">
      <w:pPr>
        <w:widowControl w:val="0"/>
        <w:overflowPunct/>
        <w:autoSpaceDE/>
        <w:autoSpaceDN/>
        <w:adjustRightInd/>
        <w:spacing w:line="280" w:lineRule="exact"/>
        <w:rPr>
          <w:rFonts w:ascii="Arial" w:eastAsia="ＭＳ ゴシック" w:hAnsi="Arial" w:cs="Arial"/>
          <w:sz w:val="21"/>
          <w:szCs w:val="21"/>
          <w:lang w:eastAsia="ja-JP"/>
        </w:rPr>
      </w:pPr>
    </w:p>
    <w:p w14:paraId="6F59E8E1" w14:textId="01EF2D2B" w:rsidR="007049A5" w:rsidRPr="004E4188" w:rsidRDefault="007049A5" w:rsidP="003D46CF">
      <w:pPr>
        <w:widowControl w:val="0"/>
        <w:numPr>
          <w:ilvl w:val="0"/>
          <w:numId w:val="51"/>
        </w:numPr>
        <w:overflowPunct/>
        <w:autoSpaceDE/>
        <w:autoSpaceDN/>
        <w:adjustRightInd/>
        <w:spacing w:line="280" w:lineRule="exact"/>
        <w:textAlignment w:val="auto"/>
        <w:rPr>
          <w:szCs w:val="21"/>
          <w:lang w:eastAsia="zh-CN"/>
        </w:rPr>
      </w:pPr>
      <w:r w:rsidRPr="004E4188">
        <w:rPr>
          <w:rFonts w:cs="Arial"/>
          <w:szCs w:val="21"/>
          <w:lang w:eastAsia="zh-CN"/>
        </w:rPr>
        <w:t>Je certifie au nom du Soumissionnaire et des sous-traitants que, si sélectionné pour fournir des travaux et services en relation avec le Marché, le Soumissionnaire et les sous-traitants réaliseront ces travaux et services dans le respect continu des termes et conditions du Marché.</w:t>
      </w:r>
    </w:p>
    <w:p w14:paraId="67480329" w14:textId="77777777" w:rsidR="007049A5" w:rsidRPr="004E4188" w:rsidRDefault="007049A5" w:rsidP="002607D2">
      <w:pPr>
        <w:widowControl w:val="0"/>
        <w:overflowPunct/>
        <w:autoSpaceDE/>
        <w:autoSpaceDN/>
        <w:adjustRightInd/>
        <w:spacing w:line="360" w:lineRule="atLeast"/>
        <w:ind w:left="960"/>
        <w:rPr>
          <w:rFonts w:ascii="Century" w:hAnsi="Century" w:cs="Century"/>
          <w:sz w:val="21"/>
          <w:szCs w:val="21"/>
          <w:lang w:eastAsia="ja-JP"/>
        </w:rPr>
      </w:pPr>
    </w:p>
    <w:p w14:paraId="50AE2CD0" w14:textId="025B57BE" w:rsidR="007049A5" w:rsidRPr="004E4188" w:rsidRDefault="007049A5" w:rsidP="003D46CF">
      <w:pPr>
        <w:widowControl w:val="0"/>
        <w:numPr>
          <w:ilvl w:val="0"/>
          <w:numId w:val="51"/>
        </w:numPr>
        <w:overflowPunct/>
        <w:autoSpaceDE/>
        <w:autoSpaceDN/>
        <w:adjustRightInd/>
        <w:spacing w:line="240" w:lineRule="exact"/>
        <w:textAlignment w:val="auto"/>
        <w:rPr>
          <w:szCs w:val="24"/>
          <w:lang w:eastAsia="zh-CN"/>
        </w:rPr>
      </w:pPr>
      <w:r w:rsidRPr="004E4188">
        <w:rPr>
          <w:szCs w:val="21"/>
          <w:lang w:eastAsia="ja-JP"/>
        </w:rPr>
        <w:t>Je certifie également, au nom du Soumissionnaire</w:t>
      </w:r>
      <w:r w:rsidRPr="004E4188">
        <w:rPr>
          <w:rFonts w:cs="Arial"/>
          <w:szCs w:val="21"/>
          <w:lang w:eastAsia="zh-CN"/>
        </w:rPr>
        <w:t xml:space="preserve"> et des sous-traitants</w:t>
      </w:r>
      <w:r w:rsidRPr="004E4188">
        <w:rPr>
          <w:szCs w:val="21"/>
          <w:lang w:eastAsia="ja-JP"/>
        </w:rPr>
        <w:t>, que s’il est requis du Soumissionnaire</w:t>
      </w:r>
      <w:r w:rsidRPr="004E4188">
        <w:rPr>
          <w:rFonts w:cs="Arial"/>
          <w:szCs w:val="21"/>
          <w:lang w:eastAsia="zh-CN"/>
        </w:rPr>
        <w:t xml:space="preserve"> et l’un de ses sous-traitants</w:t>
      </w:r>
      <w:r w:rsidRPr="004E4188">
        <w:rPr>
          <w:szCs w:val="21"/>
          <w:lang w:eastAsia="ja-JP"/>
        </w:rPr>
        <w:t>, directement ou indirectement, qu’il se livre à tout</w:t>
      </w:r>
      <w:r w:rsidR="00A72461" w:rsidRPr="004E4188">
        <w:rPr>
          <w:szCs w:val="21"/>
          <w:lang w:eastAsia="ja-JP"/>
        </w:rPr>
        <w:t>e</w:t>
      </w:r>
      <w:r w:rsidRPr="004E4188">
        <w:rPr>
          <w:szCs w:val="21"/>
          <w:lang w:eastAsia="ja-JP"/>
        </w:rPr>
        <w:t xml:space="preserve"> pratique corrompue ou frauduleuse en vertu de toute loi applicable, comme le paiement d’un rabais, à tout moment ou à toute étape au cours d’un processus de passation de marché public, tel que les négociations, la signature ou l’exécution d’un contrat (y compris la modification de celui-ci), le Soumissionnaire devra déclarer sans délai tous les faits pertinents concernant cette demande à la section correspondante de la JICA (dont les coordonnées sont indiquées ci-dessous).</w:t>
      </w:r>
    </w:p>
    <w:p w14:paraId="44F9F723" w14:textId="77777777" w:rsidR="007049A5" w:rsidRPr="004E4188" w:rsidRDefault="007049A5" w:rsidP="006C6267">
      <w:pPr>
        <w:widowControl w:val="0"/>
        <w:overflowPunct/>
        <w:autoSpaceDE/>
        <w:autoSpaceDN/>
        <w:adjustRightInd/>
        <w:spacing w:line="240" w:lineRule="exact"/>
        <w:ind w:left="420"/>
        <w:textAlignment w:val="auto"/>
        <w:rPr>
          <w:szCs w:val="24"/>
          <w:lang w:eastAsia="zh-CN"/>
        </w:rPr>
      </w:pPr>
    </w:p>
    <w:p w14:paraId="448ACFCF" w14:textId="77777777" w:rsidR="007049A5" w:rsidRPr="004E4188" w:rsidRDefault="007049A5" w:rsidP="006C6267">
      <w:pPr>
        <w:widowControl w:val="0"/>
        <w:overflowPunct/>
        <w:autoSpaceDE/>
        <w:autoSpaceDN/>
        <w:adjustRightInd/>
        <w:spacing w:line="360" w:lineRule="atLeast"/>
        <w:ind w:left="420"/>
        <w:rPr>
          <w:rFonts w:cs="Century"/>
          <w:szCs w:val="24"/>
          <w:lang w:eastAsia="ja-JP"/>
        </w:rPr>
      </w:pPr>
      <w:r w:rsidRPr="004E4188">
        <w:rPr>
          <w:szCs w:val="24"/>
          <w:lang w:eastAsia="ja-JP"/>
        </w:rPr>
        <w:t>Bureau</w:t>
      </w:r>
      <w:r w:rsidRPr="004E4188">
        <w:rPr>
          <w:rFonts w:cs="Century"/>
          <w:szCs w:val="24"/>
          <w:lang w:eastAsia="ja-JP"/>
        </w:rPr>
        <w:t xml:space="preserve"> d’information de la JICA sur les fraudes et la corruption (le rapport peut être remis à l’un ou l’autre des bureaux indiqués ci-après.)</w:t>
      </w:r>
    </w:p>
    <w:p w14:paraId="1C5306BA" w14:textId="77777777" w:rsidR="007049A5" w:rsidRPr="004E4188" w:rsidRDefault="007049A5" w:rsidP="006C6267">
      <w:pPr>
        <w:widowControl w:val="0"/>
        <w:overflowPunct/>
        <w:autoSpaceDE/>
        <w:autoSpaceDN/>
        <w:adjustRightInd/>
        <w:spacing w:line="360" w:lineRule="atLeast"/>
        <w:ind w:left="420"/>
        <w:rPr>
          <w:rFonts w:cs="Century"/>
          <w:szCs w:val="24"/>
          <w:lang w:eastAsia="ja-JP"/>
        </w:rPr>
      </w:pPr>
      <w:r w:rsidRPr="004E4188">
        <w:rPr>
          <w:rFonts w:cs="Century"/>
          <w:szCs w:val="24"/>
          <w:lang w:eastAsia="ja-JP"/>
        </w:rPr>
        <w:t>(1) Siège de la JICA : Division des Affaires Juridiques, Département des Affaires Générales</w:t>
      </w:r>
    </w:p>
    <w:p w14:paraId="3835CED5" w14:textId="0326FBBC" w:rsidR="007049A5" w:rsidRPr="004E4188" w:rsidRDefault="007049A5" w:rsidP="006C6267">
      <w:pPr>
        <w:widowControl w:val="0"/>
        <w:overflowPunct/>
        <w:autoSpaceDE/>
        <w:autoSpaceDN/>
        <w:adjustRightInd/>
        <w:spacing w:line="360" w:lineRule="atLeast"/>
        <w:ind w:left="426" w:firstLine="420"/>
        <w:rPr>
          <w:rFonts w:cs="Century"/>
          <w:szCs w:val="24"/>
          <w:lang w:val="en-US" w:eastAsia="ja-JP"/>
        </w:rPr>
      </w:pPr>
      <w:r w:rsidRPr="004E4188">
        <w:rPr>
          <w:rFonts w:cs="Century"/>
          <w:szCs w:val="24"/>
          <w:lang w:val="en-US" w:eastAsia="ja-JP"/>
        </w:rPr>
        <w:t xml:space="preserve">URL : </w:t>
      </w:r>
      <w:r w:rsidR="00C971AF" w:rsidRPr="00C971AF">
        <w:rPr>
          <w:rFonts w:cs="Century"/>
          <w:szCs w:val="24"/>
          <w:lang w:val="en-US" w:eastAsia="ja-JP"/>
        </w:rPr>
        <w:t>https://forms.office.com/r/7n9Z2c4fAR</w:t>
      </w:r>
    </w:p>
    <w:p w14:paraId="034CA33D" w14:textId="77777777" w:rsidR="007049A5" w:rsidRPr="004E4188" w:rsidRDefault="007049A5" w:rsidP="006C6267">
      <w:pPr>
        <w:widowControl w:val="0"/>
        <w:overflowPunct/>
        <w:autoSpaceDE/>
        <w:autoSpaceDN/>
        <w:adjustRightInd/>
        <w:spacing w:line="360" w:lineRule="atLeast"/>
        <w:ind w:left="426" w:firstLine="420"/>
        <w:rPr>
          <w:rFonts w:cs="Century"/>
          <w:szCs w:val="24"/>
          <w:lang w:eastAsia="ja-JP"/>
        </w:rPr>
      </w:pPr>
      <w:r w:rsidRPr="004E4188">
        <w:rPr>
          <w:szCs w:val="21"/>
          <w:lang w:eastAsia="ja-JP"/>
        </w:rPr>
        <w:t>Tél </w:t>
      </w:r>
      <w:r w:rsidRPr="004E4188">
        <w:rPr>
          <w:rFonts w:ascii="Century" w:hAnsi="Century" w:cs="Century"/>
          <w:sz w:val="21"/>
          <w:szCs w:val="21"/>
          <w:lang w:eastAsia="ja-JP"/>
        </w:rPr>
        <w:t xml:space="preserve">: </w:t>
      </w:r>
      <w:r w:rsidRPr="004E4188">
        <w:rPr>
          <w:szCs w:val="24"/>
          <w:lang w:eastAsia="ja-JP"/>
        </w:rPr>
        <w:t>+81 (0)3 5226 8850</w:t>
      </w:r>
    </w:p>
    <w:p w14:paraId="2E1F172E" w14:textId="77777777" w:rsidR="007049A5" w:rsidRPr="004E4188" w:rsidRDefault="007049A5" w:rsidP="002607D2">
      <w:pPr>
        <w:widowControl w:val="0"/>
        <w:overflowPunct/>
        <w:autoSpaceDE/>
        <w:autoSpaceDN/>
        <w:adjustRightInd/>
        <w:spacing w:line="360" w:lineRule="atLeast"/>
        <w:ind w:left="960" w:firstLine="420"/>
        <w:rPr>
          <w:rFonts w:ascii="Century" w:hAnsi="Century" w:cs="Century"/>
          <w:sz w:val="21"/>
          <w:szCs w:val="21"/>
          <w:lang w:eastAsia="ja-JP"/>
        </w:rPr>
      </w:pPr>
    </w:p>
    <w:p w14:paraId="79C90625" w14:textId="77777777" w:rsidR="007049A5" w:rsidRPr="004E4188" w:rsidRDefault="007049A5" w:rsidP="006C6267">
      <w:pPr>
        <w:widowControl w:val="0"/>
        <w:overflowPunct/>
        <w:autoSpaceDE/>
        <w:autoSpaceDN/>
        <w:adjustRightInd/>
        <w:spacing w:line="360" w:lineRule="atLeast"/>
        <w:ind w:left="420"/>
        <w:rPr>
          <w:rFonts w:eastAsia="Century"/>
          <w:szCs w:val="21"/>
          <w:lang w:eastAsia="zh-CN"/>
        </w:rPr>
      </w:pPr>
      <w:r w:rsidRPr="004E4188">
        <w:rPr>
          <w:szCs w:val="21"/>
          <w:lang w:eastAsia="ja-JP"/>
        </w:rPr>
        <w:t>(2) Bureau XX de la JICA</w:t>
      </w:r>
    </w:p>
    <w:p w14:paraId="2FFDA065" w14:textId="77777777" w:rsidR="007049A5" w:rsidRPr="004E4188" w:rsidRDefault="007049A5" w:rsidP="00C86267">
      <w:pPr>
        <w:widowControl w:val="0"/>
        <w:overflowPunct/>
        <w:autoSpaceDE/>
        <w:autoSpaceDN/>
        <w:adjustRightInd/>
        <w:spacing w:line="360" w:lineRule="atLeast"/>
        <w:ind w:left="737"/>
        <w:rPr>
          <w:szCs w:val="24"/>
          <w:lang w:eastAsia="ja-JP"/>
        </w:rPr>
      </w:pPr>
      <w:r w:rsidRPr="004E4188">
        <w:rPr>
          <w:rFonts w:eastAsia="Century"/>
          <w:szCs w:val="21"/>
          <w:lang w:eastAsia="ja-JP"/>
        </w:rPr>
        <w:t xml:space="preserve"> </w:t>
      </w:r>
      <w:r w:rsidRPr="004E4188">
        <w:rPr>
          <w:szCs w:val="21"/>
          <w:lang w:eastAsia="ja-JP"/>
        </w:rPr>
        <w:t xml:space="preserve">Tél : </w:t>
      </w:r>
    </w:p>
    <w:p w14:paraId="2FFF0C59" w14:textId="77777777" w:rsidR="007049A5" w:rsidRPr="004E4188" w:rsidRDefault="007049A5" w:rsidP="002607D2">
      <w:pPr>
        <w:widowControl w:val="0"/>
        <w:overflowPunct/>
        <w:autoSpaceDE/>
        <w:autoSpaceDN/>
        <w:adjustRightInd/>
        <w:spacing w:line="360" w:lineRule="atLeast"/>
        <w:ind w:left="960" w:firstLine="480"/>
        <w:rPr>
          <w:szCs w:val="24"/>
          <w:lang w:eastAsia="ja-JP"/>
        </w:rPr>
      </w:pPr>
    </w:p>
    <w:p w14:paraId="66897B03" w14:textId="77777777" w:rsidR="007049A5" w:rsidRPr="004E4188" w:rsidRDefault="007049A5" w:rsidP="002607D2">
      <w:pPr>
        <w:widowControl w:val="0"/>
        <w:overflowPunct/>
        <w:autoSpaceDE/>
        <w:autoSpaceDN/>
        <w:adjustRightInd/>
        <w:spacing w:line="280" w:lineRule="exact"/>
        <w:ind w:left="425"/>
        <w:textAlignment w:val="auto"/>
        <w:rPr>
          <w:rFonts w:ascii="Arial" w:eastAsia="ＭＳ ゴシック" w:hAnsi="Arial" w:cs="Arial"/>
          <w:szCs w:val="21"/>
          <w:lang w:eastAsia="zh-CN"/>
        </w:rPr>
      </w:pPr>
      <w:r w:rsidRPr="004E4188">
        <w:rPr>
          <w:rFonts w:eastAsia="Times New Roman" w:cs="Arial"/>
          <w:szCs w:val="21"/>
          <w:lang w:eastAsia="ja-JP"/>
        </w:rPr>
        <w:t xml:space="preserve">Le Soumissionnaire reconnaît et accepte que les obligations de rapport mentionnées ci-dessus NE POURRONT en aucun cas affecter les responsabilités, obligations ou droits du Soumissionnaire en vertu des lois, règlements, contrats, directives, ou autres, pertinents de divulguer ou de signaler cette demande ou d’autres informations à toute autre personne, </w:t>
      </w:r>
      <w:r w:rsidRPr="004E4188">
        <w:rPr>
          <w:szCs w:val="21"/>
          <w:lang w:eastAsia="ja-JP"/>
        </w:rPr>
        <w:t>y compris</w:t>
      </w:r>
      <w:r w:rsidRPr="004E4188">
        <w:rPr>
          <w:rFonts w:eastAsia="Times New Roman" w:cs="Arial"/>
          <w:szCs w:val="21"/>
          <w:lang w:eastAsia="ja-JP"/>
        </w:rPr>
        <w:t xml:space="preserve"> le Maître d’ouvrage, ou de prendre toute autre mesure, que le Soumissionnaire sera obligé ou autorisé à prendre. Le Soumissionnaire reconnaît et convient en outre que la JICA n’est pas impliqué dans le ou responsable du processus de passation de marché de quelque manière que ce soit.</w:t>
      </w:r>
    </w:p>
    <w:p w14:paraId="43410346" w14:textId="77777777" w:rsidR="007049A5" w:rsidRPr="004E4188" w:rsidRDefault="007049A5" w:rsidP="002607D2">
      <w:pPr>
        <w:widowControl w:val="0"/>
        <w:overflowPunct/>
        <w:autoSpaceDE/>
        <w:autoSpaceDN/>
        <w:adjustRightInd/>
        <w:spacing w:line="280" w:lineRule="exact"/>
        <w:ind w:left="960"/>
        <w:rPr>
          <w:rFonts w:ascii="Arial" w:eastAsia="ＭＳ ゴシック" w:hAnsi="Arial" w:cs="Arial"/>
          <w:sz w:val="21"/>
          <w:szCs w:val="21"/>
          <w:lang w:eastAsia="ja-JP"/>
        </w:rPr>
      </w:pPr>
    </w:p>
    <w:p w14:paraId="30275E76" w14:textId="77777777" w:rsidR="007049A5" w:rsidRPr="004E4188" w:rsidRDefault="007049A5" w:rsidP="003D46CF">
      <w:pPr>
        <w:widowControl w:val="0"/>
        <w:numPr>
          <w:ilvl w:val="0"/>
          <w:numId w:val="51"/>
        </w:numPr>
        <w:overflowPunct/>
        <w:autoSpaceDE/>
        <w:autoSpaceDN/>
        <w:adjustRightInd/>
        <w:spacing w:line="280" w:lineRule="exact"/>
        <w:textAlignment w:val="auto"/>
        <w:rPr>
          <w:bCs/>
          <w:lang w:eastAsia="zh-CN"/>
        </w:rPr>
      </w:pPr>
      <w:r w:rsidRPr="004E4188">
        <w:rPr>
          <w:rFonts w:cs="Arial"/>
          <w:szCs w:val="21"/>
          <w:lang w:eastAsia="zh-CN"/>
        </w:rPr>
        <w:t>Si l’une quelconque des déclarations faite aux présentes s’avère par la suite être fausse ou inexacte sur la base de faits déterminés ultérieurement, ou si l’une quelconque des garanties ou engagements indiqués par les présentes n’est pas respectée, le Soumissionnaire acceptera, se conformera à et ne s’opposera pas à tout recours pris par le Maître d’ouvrage et toute sanction imposée par ou les mesures prises par la JICA.</w:t>
      </w:r>
    </w:p>
    <w:p w14:paraId="715F9A06" w14:textId="77777777" w:rsidR="007049A5" w:rsidRPr="004E4188" w:rsidRDefault="007049A5" w:rsidP="002607D2">
      <w:pPr>
        <w:widowControl w:val="0"/>
        <w:overflowPunct/>
        <w:autoSpaceDE/>
        <w:autoSpaceDN/>
        <w:adjustRightInd/>
        <w:ind w:left="5386"/>
        <w:jc w:val="right"/>
        <w:textAlignment w:val="auto"/>
        <w:rPr>
          <w:bCs/>
          <w:lang w:eastAsia="ja-JP"/>
        </w:rPr>
      </w:pPr>
    </w:p>
    <w:p w14:paraId="5B1901B5" w14:textId="77777777" w:rsidR="00C86267" w:rsidRPr="004E4188" w:rsidRDefault="00C86267" w:rsidP="002607D2">
      <w:pPr>
        <w:widowControl w:val="0"/>
        <w:overflowPunct/>
        <w:autoSpaceDE/>
        <w:autoSpaceDN/>
        <w:adjustRightInd/>
        <w:ind w:left="5386"/>
        <w:jc w:val="right"/>
        <w:textAlignment w:val="auto"/>
        <w:rPr>
          <w:bCs/>
          <w:lang w:eastAsia="ja-JP"/>
        </w:rPr>
      </w:pPr>
    </w:p>
    <w:p w14:paraId="6963644D" w14:textId="77777777" w:rsidR="00C86267" w:rsidRPr="004E4188" w:rsidRDefault="00C86267" w:rsidP="002607D2">
      <w:pPr>
        <w:widowControl w:val="0"/>
        <w:overflowPunct/>
        <w:autoSpaceDE/>
        <w:autoSpaceDN/>
        <w:adjustRightInd/>
        <w:ind w:left="5386"/>
        <w:jc w:val="right"/>
        <w:textAlignment w:val="auto"/>
        <w:rPr>
          <w:bCs/>
          <w:lang w:eastAsia="ja-JP"/>
        </w:rPr>
      </w:pPr>
    </w:p>
    <w:p w14:paraId="7BA4CB1E" w14:textId="77777777" w:rsidR="007049A5" w:rsidRPr="004E4188" w:rsidRDefault="007049A5" w:rsidP="002607D2">
      <w:pPr>
        <w:widowControl w:val="0"/>
        <w:overflowPunct/>
        <w:autoSpaceDE/>
        <w:autoSpaceDN/>
        <w:adjustRightInd/>
        <w:ind w:left="5386"/>
        <w:jc w:val="right"/>
        <w:textAlignment w:val="auto"/>
        <w:rPr>
          <w:lang w:eastAsia="zh-CN"/>
        </w:rPr>
      </w:pPr>
      <w:r w:rsidRPr="004E4188">
        <w:rPr>
          <w:bCs/>
          <w:lang w:eastAsia="zh-CN"/>
        </w:rPr>
        <w:t>_____________________________</w:t>
      </w:r>
      <w:r w:rsidRPr="004E4188">
        <w:rPr>
          <w:b/>
          <w:lang w:eastAsia="zh-CN"/>
        </w:rPr>
        <w:t xml:space="preserve"> Signataire habilité</w:t>
      </w:r>
    </w:p>
    <w:p w14:paraId="7C113050" w14:textId="39978B38" w:rsidR="007049A5" w:rsidRPr="004E4188" w:rsidRDefault="007049A5" w:rsidP="002607D2">
      <w:pPr>
        <w:widowControl w:val="0"/>
        <w:overflowPunct/>
        <w:autoSpaceDE/>
        <w:autoSpaceDN/>
        <w:adjustRightInd/>
        <w:ind w:left="5386"/>
        <w:jc w:val="right"/>
        <w:textAlignment w:val="auto"/>
        <w:rPr>
          <w:lang w:eastAsia="zh-CN"/>
        </w:rPr>
      </w:pPr>
      <w:r w:rsidRPr="004E4188">
        <w:rPr>
          <w:lang w:eastAsia="zh-CN"/>
        </w:rPr>
        <w:t>[</w:t>
      </w:r>
      <w:r w:rsidR="00717332" w:rsidRPr="004E4188">
        <w:rPr>
          <w:i/>
          <w:iCs/>
          <w:lang w:eastAsia="zh-CN"/>
        </w:rPr>
        <w:t xml:space="preserve">insérer </w:t>
      </w:r>
      <w:r w:rsidR="007669F2" w:rsidRPr="004E4188">
        <w:rPr>
          <w:i/>
          <w:iCs/>
          <w:lang w:eastAsia="zh-CN"/>
        </w:rPr>
        <w:t xml:space="preserve">le </w:t>
      </w:r>
      <w:r w:rsidRPr="004E4188">
        <w:rPr>
          <w:i/>
          <w:iCs/>
          <w:lang w:eastAsia="zh-CN"/>
        </w:rPr>
        <w:t xml:space="preserve">nom et </w:t>
      </w:r>
      <w:r w:rsidR="007669F2" w:rsidRPr="004E4188">
        <w:rPr>
          <w:i/>
          <w:iCs/>
          <w:lang w:eastAsia="zh-CN"/>
        </w:rPr>
        <w:t xml:space="preserve">le </w:t>
      </w:r>
      <w:r w:rsidRPr="004E4188">
        <w:rPr>
          <w:i/>
          <w:iCs/>
          <w:lang w:eastAsia="zh-CN"/>
        </w:rPr>
        <w:t>titre du signataire</w:t>
      </w:r>
      <w:r w:rsidRPr="004E4188">
        <w:rPr>
          <w:lang w:eastAsia="zh-CN"/>
        </w:rPr>
        <w:t>]</w:t>
      </w:r>
    </w:p>
    <w:p w14:paraId="3A7754FD" w14:textId="77777777" w:rsidR="007049A5" w:rsidRPr="004E4188" w:rsidRDefault="007049A5" w:rsidP="002607D2">
      <w:pPr>
        <w:widowControl w:val="0"/>
        <w:overflowPunct/>
        <w:autoSpaceDE/>
        <w:autoSpaceDN/>
        <w:adjustRightInd/>
        <w:ind w:left="5386"/>
        <w:jc w:val="right"/>
        <w:textAlignment w:val="auto"/>
        <w:rPr>
          <w:b/>
          <w:lang w:eastAsia="ja-JP"/>
        </w:rPr>
      </w:pPr>
    </w:p>
    <w:p w14:paraId="0F04455B" w14:textId="77777777" w:rsidR="007049A5" w:rsidRPr="004E4188" w:rsidRDefault="007049A5" w:rsidP="002607D2">
      <w:pPr>
        <w:widowControl w:val="0"/>
        <w:overflowPunct/>
        <w:autoSpaceDE/>
        <w:autoSpaceDN/>
        <w:adjustRightInd/>
        <w:ind w:right="-1"/>
        <w:jc w:val="right"/>
        <w:textAlignment w:val="auto"/>
        <w:rPr>
          <w:b/>
          <w:lang w:eastAsia="zh-CN"/>
        </w:rPr>
      </w:pPr>
      <w:r w:rsidRPr="004E4188">
        <w:rPr>
          <w:b/>
          <w:lang w:eastAsia="zh-CN"/>
        </w:rPr>
        <w:t xml:space="preserve">Pour et au nom de </w:t>
      </w:r>
    </w:p>
    <w:p w14:paraId="31E56690" w14:textId="6A50DB37" w:rsidR="007049A5" w:rsidRPr="004E4188" w:rsidRDefault="007049A5" w:rsidP="002607D2">
      <w:pPr>
        <w:widowControl w:val="0"/>
        <w:overflowPunct/>
        <w:autoSpaceDE/>
        <w:autoSpaceDN/>
        <w:adjustRightInd/>
        <w:ind w:right="-1"/>
        <w:jc w:val="right"/>
        <w:textAlignment w:val="auto"/>
        <w:rPr>
          <w:rFonts w:eastAsia="Times New Roman"/>
          <w:bCs/>
          <w:lang w:eastAsia="ja-JP"/>
        </w:rPr>
      </w:pPr>
      <w:r w:rsidRPr="004E4188">
        <w:rPr>
          <w:lang w:eastAsia="zh-CN"/>
        </w:rPr>
        <w:t>[</w:t>
      </w:r>
      <w:r w:rsidR="00717332" w:rsidRPr="004E4188">
        <w:rPr>
          <w:i/>
          <w:iCs/>
          <w:lang w:eastAsia="zh-CN"/>
        </w:rPr>
        <w:t xml:space="preserve">insérer </w:t>
      </w:r>
      <w:r w:rsidRPr="004E4188">
        <w:rPr>
          <w:i/>
          <w:iCs/>
          <w:lang w:eastAsia="zh-CN"/>
        </w:rPr>
        <w:t>le nom du Soumissionnaire</w:t>
      </w:r>
      <w:r w:rsidRPr="004E4188">
        <w:rPr>
          <w:lang w:eastAsia="zh-CN"/>
        </w:rPr>
        <w:t>]</w:t>
      </w:r>
    </w:p>
    <w:p w14:paraId="489C661F" w14:textId="77777777" w:rsidR="007049A5" w:rsidRPr="004E4188" w:rsidRDefault="007049A5" w:rsidP="006C6267">
      <w:pPr>
        <w:widowControl w:val="0"/>
        <w:overflowPunct/>
        <w:autoSpaceDE/>
        <w:autoSpaceDN/>
        <w:adjustRightInd/>
        <w:ind w:right="-1"/>
        <w:jc w:val="right"/>
        <w:textAlignment w:val="auto"/>
        <w:rPr>
          <w:bCs/>
          <w:lang w:eastAsia="ja-JP"/>
        </w:rPr>
      </w:pPr>
      <w:r w:rsidRPr="004E4188">
        <w:rPr>
          <w:bCs/>
          <w:lang w:eastAsia="zh-CN"/>
        </w:rPr>
        <w:t>Date :</w:t>
      </w:r>
      <w:r w:rsidRPr="004E4188">
        <w:rPr>
          <w:bCs/>
          <w:lang w:eastAsia="ja-JP"/>
        </w:rPr>
        <w:t xml:space="preserve"> [</w:t>
      </w:r>
      <w:r w:rsidRPr="004E4188">
        <w:rPr>
          <w:bCs/>
          <w:i/>
          <w:lang w:eastAsia="ja-JP"/>
        </w:rPr>
        <w:t>insérer la date</w:t>
      </w:r>
      <w:r w:rsidRPr="004E4188">
        <w:rPr>
          <w:bCs/>
          <w:lang w:eastAsia="ja-JP"/>
        </w:rPr>
        <w:t>]</w:t>
      </w:r>
    </w:p>
    <w:p w14:paraId="33069BDD" w14:textId="77777777" w:rsidR="007049A5" w:rsidRPr="004E4188" w:rsidRDefault="007049A5" w:rsidP="006C6267">
      <w:pPr>
        <w:widowControl w:val="0"/>
        <w:overflowPunct/>
        <w:autoSpaceDE/>
        <w:autoSpaceDN/>
        <w:adjustRightInd/>
        <w:ind w:right="-1"/>
        <w:jc w:val="right"/>
        <w:textAlignment w:val="auto"/>
        <w:rPr>
          <w:bCs/>
          <w:lang w:eastAsia="ja-JP"/>
        </w:rPr>
      </w:pPr>
    </w:p>
    <w:p w14:paraId="1F9636A4" w14:textId="77777777" w:rsidR="007049A5" w:rsidRPr="004E4188" w:rsidRDefault="007049A5">
      <w:pPr>
        <w:suppressAutoHyphens w:val="0"/>
        <w:overflowPunct/>
        <w:autoSpaceDE/>
        <w:autoSpaceDN/>
        <w:adjustRightInd/>
        <w:jc w:val="left"/>
        <w:textAlignment w:val="auto"/>
        <w:rPr>
          <w:bCs/>
          <w:i/>
          <w:lang w:eastAsia="ja-JP"/>
        </w:rPr>
      </w:pPr>
      <w:r w:rsidRPr="004E4188">
        <w:rPr>
          <w:bCs/>
          <w:lang w:eastAsia="ja-JP"/>
        </w:rPr>
        <w:br w:type="page"/>
      </w:r>
    </w:p>
    <w:p w14:paraId="60BB04BF" w14:textId="77777777" w:rsidR="007049A5" w:rsidRPr="004E4188" w:rsidRDefault="007049A5" w:rsidP="002607D2">
      <w:pPr>
        <w:widowControl w:val="0"/>
        <w:tabs>
          <w:tab w:val="left" w:pos="5238"/>
          <w:tab w:val="left" w:pos="5474"/>
          <w:tab w:val="left" w:pos="9468"/>
        </w:tabs>
        <w:overflowPunct/>
        <w:autoSpaceDE/>
        <w:autoSpaceDN/>
        <w:adjustRightInd/>
        <w:jc w:val="center"/>
        <w:textAlignment w:val="auto"/>
        <w:rPr>
          <w:lang w:val="en-GB" w:eastAsia="zh-CN"/>
        </w:rPr>
      </w:pPr>
    </w:p>
    <w:tbl>
      <w:tblPr>
        <w:tblW w:w="9014" w:type="dxa"/>
        <w:tblLayout w:type="fixed"/>
        <w:tblLook w:val="0000" w:firstRow="0" w:lastRow="0" w:firstColumn="0" w:lastColumn="0" w:noHBand="0" w:noVBand="0"/>
      </w:tblPr>
      <w:tblGrid>
        <w:gridCol w:w="9014"/>
      </w:tblGrid>
      <w:tr w:rsidR="007049A5" w:rsidRPr="004E4188" w14:paraId="2578B29E" w14:textId="77777777" w:rsidTr="00C86267">
        <w:trPr>
          <w:trHeight w:val="900"/>
        </w:trPr>
        <w:tc>
          <w:tcPr>
            <w:tcW w:w="9014" w:type="dxa"/>
            <w:tcBorders>
              <w:top w:val="nil"/>
              <w:left w:val="nil"/>
              <w:bottom w:val="nil"/>
              <w:right w:val="nil"/>
            </w:tcBorders>
            <w:vAlign w:val="center"/>
          </w:tcPr>
          <w:p w14:paraId="01B2050F" w14:textId="77777777" w:rsidR="007049A5" w:rsidRPr="004E4188" w:rsidRDefault="007049A5" w:rsidP="006C6267">
            <w:pPr>
              <w:pStyle w:val="SectionIVHeader"/>
              <w:rPr>
                <w:szCs w:val="36"/>
                <w:lang w:val="fr-FR"/>
              </w:rPr>
            </w:pPr>
            <w:r w:rsidRPr="004E4188">
              <w:rPr>
                <w:lang w:val="fr-FR"/>
              </w:rPr>
              <w:br w:type="page"/>
            </w:r>
            <w:bookmarkStart w:id="672" w:name="_Toc327863894"/>
            <w:bookmarkStart w:id="673" w:name="_Toc349117762"/>
            <w:bookmarkStart w:id="674" w:name="_Toc357513243"/>
            <w:bookmarkStart w:id="675" w:name="_Toc112429337"/>
            <w:r w:rsidRPr="004E4188">
              <w:rPr>
                <w:szCs w:val="36"/>
                <w:lang w:val="fr-FR"/>
              </w:rPr>
              <w:t>Garantie de soumission</w:t>
            </w:r>
            <w:bookmarkEnd w:id="672"/>
            <w:bookmarkEnd w:id="673"/>
            <w:bookmarkEnd w:id="674"/>
            <w:bookmarkEnd w:id="675"/>
          </w:p>
        </w:tc>
      </w:tr>
    </w:tbl>
    <w:p w14:paraId="22692AA6" w14:textId="77777777" w:rsidR="007049A5" w:rsidRPr="004E4188" w:rsidRDefault="007049A5" w:rsidP="00D83D11">
      <w:pPr>
        <w:jc w:val="center"/>
        <w:rPr>
          <w:b/>
          <w:szCs w:val="24"/>
        </w:rPr>
      </w:pPr>
      <w:r w:rsidRPr="004E4188">
        <w:rPr>
          <w:b/>
          <w:sz w:val="28"/>
          <w:szCs w:val="28"/>
        </w:rPr>
        <w:t>(garantie bancaire)</w:t>
      </w:r>
    </w:p>
    <w:p w14:paraId="3795E537" w14:textId="77777777" w:rsidR="007049A5" w:rsidRPr="004E4188" w:rsidRDefault="007049A5" w:rsidP="00D83D11">
      <w:pPr>
        <w:jc w:val="center"/>
        <w:rPr>
          <w:szCs w:val="24"/>
        </w:rPr>
      </w:pPr>
    </w:p>
    <w:tbl>
      <w:tblPr>
        <w:tblStyle w:val="afb"/>
        <w:tblW w:w="0" w:type="auto"/>
        <w:tblLook w:val="04A0" w:firstRow="1" w:lastRow="0" w:firstColumn="1" w:lastColumn="0" w:noHBand="0" w:noVBand="1"/>
      </w:tblPr>
      <w:tblGrid>
        <w:gridCol w:w="8993"/>
      </w:tblGrid>
      <w:tr w:rsidR="007049A5" w:rsidRPr="004E4188" w14:paraId="365F3247" w14:textId="77777777" w:rsidTr="006C6267">
        <w:tc>
          <w:tcPr>
            <w:tcW w:w="8993" w:type="dxa"/>
          </w:tcPr>
          <w:p w14:paraId="0C8750B1" w14:textId="77777777" w:rsidR="007049A5" w:rsidRPr="004E4188" w:rsidRDefault="007049A5" w:rsidP="006C6267">
            <w:pPr>
              <w:tabs>
                <w:tab w:val="left" w:pos="2610"/>
              </w:tabs>
              <w:spacing w:after="120"/>
              <w:jc w:val="center"/>
              <w:rPr>
                <w:b/>
                <w:szCs w:val="24"/>
                <w:lang w:eastAsia="ja-JP"/>
              </w:rPr>
            </w:pPr>
            <w:bookmarkStart w:id="676" w:name="_Toc86101665"/>
            <w:r w:rsidRPr="004E4188">
              <w:rPr>
                <w:b/>
                <w:szCs w:val="24"/>
                <w:lang w:eastAsia="ja-JP"/>
              </w:rPr>
              <w:t>Notes à l’intention du Maître d’ouvrage</w:t>
            </w:r>
            <w:bookmarkEnd w:id="676"/>
          </w:p>
          <w:p w14:paraId="3E2F4462" w14:textId="77777777" w:rsidR="007049A5" w:rsidRPr="004E4188" w:rsidRDefault="007049A5" w:rsidP="006C6267">
            <w:pPr>
              <w:tabs>
                <w:tab w:val="left" w:pos="284"/>
              </w:tabs>
              <w:suppressAutoHyphens w:val="0"/>
              <w:overflowPunct/>
              <w:autoSpaceDE/>
              <w:autoSpaceDN/>
              <w:adjustRightInd/>
              <w:spacing w:after="60"/>
              <w:textAlignment w:val="auto"/>
              <w:rPr>
                <w:szCs w:val="24"/>
              </w:rPr>
            </w:pPr>
            <w:r w:rsidRPr="004E4188">
              <w:rPr>
                <w:rFonts w:hint="eastAsia"/>
                <w:szCs w:val="24"/>
                <w:lang w:eastAsia="ja-JP"/>
              </w:rPr>
              <w:t>E</w:t>
            </w:r>
            <w:r w:rsidRPr="004E4188">
              <w:rPr>
                <w:szCs w:val="24"/>
                <w:lang w:eastAsia="ja-JP"/>
              </w:rPr>
              <w:t xml:space="preserve">n cas de procédure d’appel d’offres à deux étapes-une enveloppe, les « Lettres de soumission de l’Offre Technique et Financière » </w:t>
            </w:r>
            <w:r w:rsidRPr="004E4188">
              <w:rPr>
                <w:szCs w:val="24"/>
              </w:rPr>
              <w:t>(au premier</w:t>
            </w:r>
            <w:r w:rsidRPr="004E4188" w:rsidDel="001F1058">
              <w:rPr>
                <w:szCs w:val="24"/>
              </w:rPr>
              <w:t xml:space="preserve"> </w:t>
            </w:r>
            <w:r w:rsidRPr="004E4188">
              <w:rPr>
                <w:szCs w:val="24"/>
              </w:rPr>
              <w:t xml:space="preserve">alinéa (a)) ci-après doivent être remplacées par </w:t>
            </w:r>
            <w:r w:rsidRPr="004E4188">
              <w:rPr>
                <w:szCs w:val="24"/>
                <w:lang w:eastAsia="ja-JP"/>
              </w:rPr>
              <w:t>« Lettre de soumission de l’offre de la deuxième étape ».</w:t>
            </w:r>
          </w:p>
        </w:tc>
      </w:tr>
    </w:tbl>
    <w:p w14:paraId="7D189CFD" w14:textId="77777777" w:rsidR="007049A5" w:rsidRPr="004E4188" w:rsidRDefault="007049A5" w:rsidP="00D83D11">
      <w:pPr>
        <w:jc w:val="center"/>
        <w:rPr>
          <w:szCs w:val="24"/>
        </w:rPr>
      </w:pPr>
    </w:p>
    <w:p w14:paraId="344B95E4" w14:textId="77777777" w:rsidR="007049A5" w:rsidRPr="004E4188" w:rsidRDefault="007049A5" w:rsidP="006C6267">
      <w:pPr>
        <w:jc w:val="left"/>
        <w:rPr>
          <w:i/>
          <w:szCs w:val="24"/>
        </w:rPr>
      </w:pPr>
      <w:r w:rsidRPr="004E4188">
        <w:rPr>
          <w:szCs w:val="24"/>
        </w:rPr>
        <w:t>[</w:t>
      </w:r>
      <w:r w:rsidRPr="004E4188">
        <w:rPr>
          <w:i/>
          <w:szCs w:val="24"/>
        </w:rPr>
        <w:t>papier à en-tête du Garant ou code Swift</w:t>
      </w:r>
      <w:r w:rsidRPr="004E4188">
        <w:rPr>
          <w:szCs w:val="24"/>
        </w:rPr>
        <w:t>]</w:t>
      </w:r>
    </w:p>
    <w:p w14:paraId="52C20898" w14:textId="77777777" w:rsidR="007049A5" w:rsidRPr="004E4188" w:rsidRDefault="007049A5" w:rsidP="00D83D11">
      <w:pPr>
        <w:pStyle w:val="ac"/>
      </w:pPr>
    </w:p>
    <w:p w14:paraId="78D094F8" w14:textId="77777777" w:rsidR="007049A5" w:rsidRPr="004E4188" w:rsidRDefault="007049A5" w:rsidP="00D83D11">
      <w:pPr>
        <w:rPr>
          <w:szCs w:val="24"/>
        </w:rPr>
      </w:pPr>
    </w:p>
    <w:p w14:paraId="74EFE18E" w14:textId="77777777" w:rsidR="007049A5" w:rsidRPr="004E4188" w:rsidRDefault="007049A5" w:rsidP="00D83D11">
      <w:pPr>
        <w:rPr>
          <w:szCs w:val="24"/>
        </w:rPr>
      </w:pPr>
      <w:r w:rsidRPr="004E4188">
        <w:rPr>
          <w:b/>
          <w:szCs w:val="24"/>
        </w:rPr>
        <w:t>Bénéficiaire</w:t>
      </w:r>
      <w:r w:rsidRPr="004E4188">
        <w:rPr>
          <w:szCs w:val="24"/>
        </w:rPr>
        <w:t> : _________ [</w:t>
      </w:r>
      <w:r w:rsidRPr="004E4188">
        <w:rPr>
          <w:i/>
          <w:szCs w:val="24"/>
        </w:rPr>
        <w:t>indiquer ses nom et adresse</w:t>
      </w:r>
      <w:r w:rsidRPr="004E4188">
        <w:rPr>
          <w:szCs w:val="24"/>
        </w:rPr>
        <w:t xml:space="preserve">] </w:t>
      </w:r>
    </w:p>
    <w:p w14:paraId="31AD0158" w14:textId="77777777" w:rsidR="007049A5" w:rsidRPr="004E4188" w:rsidRDefault="007049A5" w:rsidP="00D83D11">
      <w:pPr>
        <w:rPr>
          <w:szCs w:val="24"/>
        </w:rPr>
      </w:pPr>
    </w:p>
    <w:p w14:paraId="55195114" w14:textId="77777777" w:rsidR="007049A5" w:rsidRPr="004E4188" w:rsidRDefault="007049A5" w:rsidP="00D83D11">
      <w:pPr>
        <w:rPr>
          <w:szCs w:val="24"/>
        </w:rPr>
      </w:pPr>
      <w:r w:rsidRPr="004E4188">
        <w:rPr>
          <w:b/>
          <w:szCs w:val="24"/>
        </w:rPr>
        <w:t>AAO n°</w:t>
      </w:r>
      <w:r w:rsidRPr="004E4188">
        <w:rPr>
          <w:szCs w:val="24"/>
        </w:rPr>
        <w:t> : ____________ [</w:t>
      </w:r>
      <w:r w:rsidRPr="004E4188">
        <w:rPr>
          <w:i/>
          <w:szCs w:val="24"/>
        </w:rPr>
        <w:t>indiquer le numéro de l’AAO</w:t>
      </w:r>
      <w:r w:rsidRPr="004E4188">
        <w:rPr>
          <w:szCs w:val="24"/>
        </w:rPr>
        <w:t>]</w:t>
      </w:r>
    </w:p>
    <w:p w14:paraId="47484A60" w14:textId="77777777" w:rsidR="007049A5" w:rsidRPr="004E4188" w:rsidRDefault="007049A5" w:rsidP="00D83D11">
      <w:pPr>
        <w:rPr>
          <w:szCs w:val="24"/>
        </w:rPr>
      </w:pPr>
    </w:p>
    <w:p w14:paraId="3B5A241C" w14:textId="77777777" w:rsidR="007049A5" w:rsidRPr="004E4188" w:rsidRDefault="007049A5" w:rsidP="00D83D11">
      <w:pPr>
        <w:rPr>
          <w:szCs w:val="24"/>
        </w:rPr>
      </w:pPr>
      <w:r w:rsidRPr="004E4188">
        <w:rPr>
          <w:b/>
          <w:szCs w:val="24"/>
        </w:rPr>
        <w:t>Date</w:t>
      </w:r>
      <w:r w:rsidRPr="004E4188">
        <w:rPr>
          <w:szCs w:val="24"/>
        </w:rPr>
        <w:t> : _______________ [</w:t>
      </w:r>
      <w:r w:rsidRPr="004E4188">
        <w:rPr>
          <w:i/>
          <w:szCs w:val="24"/>
        </w:rPr>
        <w:t>indiquer</w:t>
      </w:r>
      <w:r w:rsidRPr="004E4188">
        <w:rPr>
          <w:szCs w:val="24"/>
        </w:rPr>
        <w:t xml:space="preserve"> </w:t>
      </w:r>
      <w:r w:rsidRPr="004E4188">
        <w:rPr>
          <w:i/>
          <w:szCs w:val="24"/>
        </w:rPr>
        <w:t>la date d’émission</w:t>
      </w:r>
      <w:r w:rsidRPr="004E4188">
        <w:rPr>
          <w:szCs w:val="24"/>
        </w:rPr>
        <w:t>]</w:t>
      </w:r>
    </w:p>
    <w:p w14:paraId="0C281AD8" w14:textId="77777777" w:rsidR="007049A5" w:rsidRPr="004E4188" w:rsidRDefault="007049A5" w:rsidP="00D83D11">
      <w:pPr>
        <w:rPr>
          <w:szCs w:val="24"/>
        </w:rPr>
      </w:pPr>
    </w:p>
    <w:p w14:paraId="799A8DAF" w14:textId="77777777" w:rsidR="007049A5" w:rsidRPr="004E4188" w:rsidRDefault="007049A5" w:rsidP="00D83D11">
      <w:pPr>
        <w:rPr>
          <w:szCs w:val="24"/>
        </w:rPr>
      </w:pPr>
      <w:r w:rsidRPr="004E4188">
        <w:rPr>
          <w:b/>
          <w:szCs w:val="24"/>
        </w:rPr>
        <w:t>Garantie de soumission n°</w:t>
      </w:r>
      <w:r w:rsidRPr="004E4188">
        <w:rPr>
          <w:szCs w:val="24"/>
        </w:rPr>
        <w:t> : ___________ [</w:t>
      </w:r>
      <w:r w:rsidRPr="004E4188">
        <w:rPr>
          <w:i/>
          <w:szCs w:val="24"/>
        </w:rPr>
        <w:t>indiquer le numéro de référence de la garantie</w:t>
      </w:r>
      <w:r w:rsidRPr="004E4188">
        <w:rPr>
          <w:szCs w:val="24"/>
        </w:rPr>
        <w:t>]</w:t>
      </w:r>
    </w:p>
    <w:p w14:paraId="393A5BC6" w14:textId="77777777" w:rsidR="007049A5" w:rsidRPr="004E4188" w:rsidRDefault="007049A5" w:rsidP="00D83D11">
      <w:pPr>
        <w:rPr>
          <w:szCs w:val="24"/>
        </w:rPr>
      </w:pPr>
    </w:p>
    <w:p w14:paraId="0EDF95AC" w14:textId="77777777" w:rsidR="007049A5" w:rsidRPr="004E4188" w:rsidRDefault="007049A5" w:rsidP="00D83D11">
      <w:pPr>
        <w:rPr>
          <w:szCs w:val="24"/>
        </w:rPr>
      </w:pPr>
      <w:r w:rsidRPr="004E4188">
        <w:rPr>
          <w:b/>
          <w:szCs w:val="24"/>
        </w:rPr>
        <w:t>Garant</w:t>
      </w:r>
      <w:r w:rsidRPr="004E4188">
        <w:rPr>
          <w:szCs w:val="24"/>
        </w:rPr>
        <w:t> : ______ [</w:t>
      </w:r>
      <w:r w:rsidRPr="004E4188">
        <w:rPr>
          <w:i/>
          <w:szCs w:val="24"/>
        </w:rPr>
        <w:t>nom et adresse de la banque émettrice, sauf si indiqués sur le papier à en-tête</w:t>
      </w:r>
      <w:r w:rsidRPr="004E4188">
        <w:rPr>
          <w:szCs w:val="24"/>
        </w:rPr>
        <w:t>]</w:t>
      </w:r>
    </w:p>
    <w:p w14:paraId="327D99B0" w14:textId="77777777" w:rsidR="007049A5" w:rsidRPr="004E4188" w:rsidRDefault="007049A5" w:rsidP="00F5540F">
      <w:pPr>
        <w:rPr>
          <w:szCs w:val="24"/>
        </w:rPr>
      </w:pPr>
    </w:p>
    <w:p w14:paraId="177DC33E" w14:textId="77777777" w:rsidR="007049A5" w:rsidRPr="004E4188" w:rsidRDefault="007049A5" w:rsidP="00F5540F">
      <w:pPr>
        <w:rPr>
          <w:szCs w:val="24"/>
        </w:rPr>
      </w:pPr>
      <w:r w:rsidRPr="004E4188">
        <w:rPr>
          <w:szCs w:val="24"/>
        </w:rPr>
        <w:t>Nous avons été informés que ________ [</w:t>
      </w:r>
      <w:r w:rsidRPr="004E4188">
        <w:rPr>
          <w:i/>
          <w:szCs w:val="24"/>
        </w:rPr>
        <w:t>indiquer le nom du Soumissionnaire, et en cas de Groupement, le nom du Groupement (légalement constitué ou en voie de constitution), ou les noms de ses membres</w:t>
      </w:r>
      <w:r w:rsidRPr="004E4188">
        <w:rPr>
          <w:szCs w:val="24"/>
        </w:rPr>
        <w:t>] (ci-après dénommé « le Donneur d’ordre ») a soumis ou a l’intention de soumettre au Bénéficiaire une offre (ci-après dénommée « l’Offre ») pour l’exécution de __________________ [</w:t>
      </w:r>
      <w:r w:rsidRPr="004E4188">
        <w:rPr>
          <w:i/>
          <w:szCs w:val="24"/>
        </w:rPr>
        <w:t>donner une description du Marché</w:t>
      </w:r>
      <w:r w:rsidRPr="004E4188">
        <w:rPr>
          <w:szCs w:val="24"/>
        </w:rPr>
        <w:t>].</w:t>
      </w:r>
    </w:p>
    <w:p w14:paraId="4EB7CDE1" w14:textId="77777777" w:rsidR="007049A5" w:rsidRPr="004E4188" w:rsidRDefault="007049A5" w:rsidP="00F5540F">
      <w:pPr>
        <w:rPr>
          <w:szCs w:val="24"/>
        </w:rPr>
      </w:pPr>
    </w:p>
    <w:p w14:paraId="7C621EF4" w14:textId="77777777" w:rsidR="007049A5" w:rsidRPr="004E4188" w:rsidRDefault="007049A5" w:rsidP="00F5540F">
      <w:pPr>
        <w:rPr>
          <w:szCs w:val="24"/>
        </w:rPr>
      </w:pPr>
      <w:r w:rsidRPr="004E4188">
        <w:rPr>
          <w:szCs w:val="24"/>
        </w:rPr>
        <w:t>En outre, nous comprenons que conformément aux conditions du Bénéficiaire, les offres doivent être accompagnées d’une garantie de soumission.</w:t>
      </w:r>
    </w:p>
    <w:p w14:paraId="5B4A7E42" w14:textId="77777777" w:rsidR="007049A5" w:rsidRPr="004E4188" w:rsidRDefault="007049A5" w:rsidP="00F5540F">
      <w:pPr>
        <w:rPr>
          <w:szCs w:val="24"/>
        </w:rPr>
      </w:pPr>
    </w:p>
    <w:p w14:paraId="53DAA17C" w14:textId="0541B392" w:rsidR="007049A5" w:rsidRPr="004E4188" w:rsidRDefault="001C10B1" w:rsidP="00F5540F">
      <w:pPr>
        <w:rPr>
          <w:szCs w:val="24"/>
        </w:rPr>
      </w:pPr>
      <w:r w:rsidRPr="004E4188">
        <w:rPr>
          <w:szCs w:val="24"/>
        </w:rPr>
        <w:t xml:space="preserve">À </w:t>
      </w:r>
      <w:r w:rsidR="007049A5" w:rsidRPr="004E4188">
        <w:rPr>
          <w:szCs w:val="24"/>
        </w:rPr>
        <w:t>la demande du Donneur d’ordre, nous prenons, en tant que Garant, l’engagement irrévocable de payer au Bénéficiaire toute somme dans la limite du montant de la garantie qui s’élève à __________ (      ) [</w:t>
      </w:r>
      <w:r w:rsidR="007049A5" w:rsidRPr="004E4188">
        <w:rPr>
          <w:i/>
          <w:szCs w:val="24"/>
        </w:rPr>
        <w:t>insérer le montant en lettres et en chiffres, et indiquer la monnaie</w:t>
      </w:r>
      <w:r w:rsidR="007049A5" w:rsidRPr="004E4188">
        <w:rPr>
          <w:szCs w:val="24"/>
        </w:rPr>
        <w:t xml:space="preserve">] sur réception de notre part d’une demande en bonne et due forme du Bénéficiaire, étayée d’une déclaration du Bénéficiaire directement incluse dans la demande, ou dans un document séparé signé joint à la demande, </w:t>
      </w:r>
      <w:r w:rsidR="007049A5" w:rsidRPr="004E4188">
        <w:rPr>
          <w:szCs w:val="24"/>
          <w:lang w:eastAsia="ja-JP"/>
        </w:rPr>
        <w:t xml:space="preserve">ou l’identifiant, indiquant </w:t>
      </w:r>
      <w:r w:rsidR="007049A5" w:rsidRPr="004E4188">
        <w:rPr>
          <w:szCs w:val="24"/>
        </w:rPr>
        <w:t xml:space="preserve">que le Donneur d’ordre :  </w:t>
      </w:r>
    </w:p>
    <w:p w14:paraId="05720763" w14:textId="77777777" w:rsidR="007049A5" w:rsidRPr="004E4188" w:rsidRDefault="007049A5" w:rsidP="00F5540F">
      <w:pPr>
        <w:rPr>
          <w:szCs w:val="24"/>
        </w:rPr>
      </w:pPr>
    </w:p>
    <w:p w14:paraId="029225AE" w14:textId="77777777" w:rsidR="007049A5" w:rsidRPr="004E4188" w:rsidRDefault="007049A5" w:rsidP="00294E9E">
      <w:pPr>
        <w:pStyle w:val="14"/>
        <w:ind w:left="425" w:hanging="425"/>
        <w:rPr>
          <w:szCs w:val="24"/>
        </w:rPr>
      </w:pPr>
      <w:r w:rsidRPr="004E4188">
        <w:rPr>
          <w:szCs w:val="24"/>
        </w:rPr>
        <w:t>(a)</w:t>
      </w:r>
      <w:r w:rsidRPr="004E4188">
        <w:rPr>
          <w:szCs w:val="24"/>
        </w:rPr>
        <w:tab/>
        <w:t xml:space="preserve">a retiré son Offre pendant la période de validité des offres spécifiée dans les Lettres de soumission de l’Offre Technique </w:t>
      </w:r>
      <w:r w:rsidRPr="004E4188">
        <w:rPr>
          <w:szCs w:val="24"/>
          <w:lang w:eastAsia="ja-JP"/>
        </w:rPr>
        <w:t>et Financière</w:t>
      </w:r>
      <w:r w:rsidRPr="004E4188">
        <w:rPr>
          <w:szCs w:val="24"/>
        </w:rPr>
        <w:t xml:space="preserve"> du Donneur d’ordre (« la période de validité de l’offre »), ou pendant toute prolongation</w:t>
      </w:r>
      <w:r w:rsidRPr="004E4188">
        <w:rPr>
          <w:szCs w:val="24"/>
          <w:lang w:eastAsia="ja-JP"/>
        </w:rPr>
        <w:t xml:space="preserve"> de celle-ci </w:t>
      </w:r>
      <w:r w:rsidRPr="004E4188">
        <w:rPr>
          <w:szCs w:val="24"/>
        </w:rPr>
        <w:t xml:space="preserve">qu’il aura octroyée ; ou </w:t>
      </w:r>
    </w:p>
    <w:p w14:paraId="3BBC26FA" w14:textId="77777777" w:rsidR="007049A5" w:rsidRPr="004E4188" w:rsidRDefault="007049A5" w:rsidP="00294E9E">
      <w:pPr>
        <w:pStyle w:val="14"/>
        <w:ind w:left="425" w:hanging="425"/>
        <w:rPr>
          <w:szCs w:val="24"/>
        </w:rPr>
      </w:pPr>
    </w:p>
    <w:p w14:paraId="3C302974" w14:textId="77777777" w:rsidR="007049A5" w:rsidRPr="004E4188" w:rsidRDefault="007049A5" w:rsidP="00294E9E">
      <w:pPr>
        <w:pStyle w:val="14"/>
        <w:ind w:left="425" w:hanging="425"/>
        <w:rPr>
          <w:szCs w:val="24"/>
        </w:rPr>
      </w:pPr>
      <w:r w:rsidRPr="004E4188">
        <w:rPr>
          <w:szCs w:val="24"/>
        </w:rPr>
        <w:t>(b)</w:t>
      </w:r>
      <w:r w:rsidRPr="004E4188">
        <w:rPr>
          <w:szCs w:val="24"/>
        </w:rPr>
        <w:tab/>
        <w:t>s’étant vu notifier l’acceptation de son Offre par le Bénéficiaire pendant la période de validité de l’offre ou toute prolongation qu’il aura octroyée :</w:t>
      </w:r>
    </w:p>
    <w:p w14:paraId="1EB30F73" w14:textId="77777777" w:rsidR="007049A5" w:rsidRPr="004E4188" w:rsidRDefault="007049A5" w:rsidP="00682701">
      <w:pPr>
        <w:pStyle w:val="14"/>
        <w:rPr>
          <w:szCs w:val="24"/>
        </w:rPr>
      </w:pPr>
    </w:p>
    <w:p w14:paraId="56646D1E" w14:textId="77777777" w:rsidR="007049A5" w:rsidRPr="004E4188" w:rsidRDefault="007049A5" w:rsidP="00294E9E">
      <w:pPr>
        <w:pStyle w:val="14"/>
        <w:ind w:left="850" w:hanging="425"/>
        <w:rPr>
          <w:szCs w:val="24"/>
        </w:rPr>
      </w:pPr>
      <w:r w:rsidRPr="004E4188">
        <w:rPr>
          <w:szCs w:val="24"/>
        </w:rPr>
        <w:t>(i)</w:t>
      </w:r>
      <w:r w:rsidRPr="004E4188">
        <w:rPr>
          <w:szCs w:val="24"/>
        </w:rPr>
        <w:tab/>
        <w:t>ne signe pas le Marché ; ou</w:t>
      </w:r>
    </w:p>
    <w:p w14:paraId="65BAF688" w14:textId="77777777" w:rsidR="007049A5" w:rsidRPr="004E4188" w:rsidRDefault="007049A5" w:rsidP="00294E9E">
      <w:pPr>
        <w:pStyle w:val="14"/>
        <w:ind w:left="850" w:hanging="425"/>
        <w:rPr>
          <w:szCs w:val="24"/>
        </w:rPr>
      </w:pPr>
      <w:r w:rsidRPr="004E4188">
        <w:rPr>
          <w:szCs w:val="24"/>
        </w:rPr>
        <w:t>(ii)</w:t>
      </w:r>
      <w:r w:rsidRPr="004E4188">
        <w:rPr>
          <w:szCs w:val="24"/>
        </w:rPr>
        <w:tab/>
        <w:t>ne fournit pas la garantie de bonne exécution, ainsi qu’il est prévu dans les Instructions aux soumissionnaires du Dossier d’appel d’offres préparé par le Bénéficiaire.</w:t>
      </w:r>
    </w:p>
    <w:p w14:paraId="5090A90E" w14:textId="77777777" w:rsidR="007049A5" w:rsidRPr="004E4188" w:rsidRDefault="007049A5" w:rsidP="00F5540F">
      <w:pPr>
        <w:rPr>
          <w:szCs w:val="24"/>
        </w:rPr>
      </w:pPr>
    </w:p>
    <w:p w14:paraId="58B25C45" w14:textId="77777777" w:rsidR="007049A5" w:rsidRPr="004E4188" w:rsidRDefault="007049A5" w:rsidP="00F5540F">
      <w:pPr>
        <w:rPr>
          <w:szCs w:val="24"/>
        </w:rPr>
      </w:pPr>
      <w:r w:rsidRPr="004E4188">
        <w:rPr>
          <w:szCs w:val="24"/>
        </w:rPr>
        <w:t>La présente garantie expirera et nous sera retournée :</w:t>
      </w:r>
    </w:p>
    <w:p w14:paraId="4D8AA945" w14:textId="77777777" w:rsidR="007049A5" w:rsidRPr="004E4188" w:rsidRDefault="007049A5" w:rsidP="00F5540F">
      <w:pPr>
        <w:rPr>
          <w:szCs w:val="24"/>
        </w:rPr>
      </w:pPr>
    </w:p>
    <w:p w14:paraId="5B8C8C9D" w14:textId="77777777" w:rsidR="007049A5" w:rsidRPr="004E4188" w:rsidRDefault="007049A5" w:rsidP="00294E9E">
      <w:pPr>
        <w:pStyle w:val="14"/>
        <w:ind w:left="425" w:hanging="425"/>
        <w:rPr>
          <w:szCs w:val="24"/>
        </w:rPr>
      </w:pPr>
      <w:r w:rsidRPr="004E4188">
        <w:rPr>
          <w:szCs w:val="24"/>
        </w:rPr>
        <w:t>(a)</w:t>
      </w:r>
      <w:r w:rsidRPr="004E4188">
        <w:rPr>
          <w:szCs w:val="24"/>
        </w:rPr>
        <w:tab/>
        <w:t>si le Marché est attribué au Donneur d’ordre, lorsque nous recevrons une copie de l’Acte d’engagement signé par le Donneur d’ordre et de la garantie de bonne exécution émise au nom du Bénéficiaire, conformément à cet Acte d’engagement ; ou</w:t>
      </w:r>
    </w:p>
    <w:p w14:paraId="39FB46FD" w14:textId="77777777" w:rsidR="007049A5" w:rsidRPr="004E4188" w:rsidRDefault="007049A5" w:rsidP="00294E9E">
      <w:pPr>
        <w:pStyle w:val="14"/>
        <w:ind w:left="425" w:hanging="425"/>
        <w:rPr>
          <w:szCs w:val="24"/>
        </w:rPr>
      </w:pPr>
    </w:p>
    <w:p w14:paraId="77DF3D96" w14:textId="77777777" w:rsidR="007049A5" w:rsidRPr="004E4188" w:rsidRDefault="007049A5" w:rsidP="00294E9E">
      <w:pPr>
        <w:pStyle w:val="14"/>
        <w:ind w:left="425" w:hanging="425"/>
        <w:rPr>
          <w:szCs w:val="24"/>
        </w:rPr>
      </w:pPr>
      <w:r w:rsidRPr="004E4188">
        <w:rPr>
          <w:szCs w:val="24"/>
        </w:rPr>
        <w:t>(b)</w:t>
      </w:r>
      <w:r w:rsidRPr="004E4188">
        <w:rPr>
          <w:szCs w:val="24"/>
        </w:rPr>
        <w:tab/>
        <w:t>si le Marché n’est pas attribué au Donneur d’ordre, à la première des dates suivantes :</w:t>
      </w:r>
    </w:p>
    <w:p w14:paraId="4A4A8FFD" w14:textId="77777777" w:rsidR="007049A5" w:rsidRPr="004E4188" w:rsidRDefault="007049A5" w:rsidP="00294E9E">
      <w:pPr>
        <w:pStyle w:val="14"/>
        <w:ind w:left="850" w:hanging="425"/>
        <w:rPr>
          <w:szCs w:val="24"/>
        </w:rPr>
      </w:pPr>
      <w:r w:rsidRPr="004E4188">
        <w:rPr>
          <w:szCs w:val="24"/>
        </w:rPr>
        <w:t>(i)</w:t>
      </w:r>
      <w:r w:rsidRPr="004E4188">
        <w:rPr>
          <w:szCs w:val="24"/>
        </w:rPr>
        <w:tab/>
        <w:t>la date à laquelle nous recevrons copie de la notification du Bénéficiaire au Donneur d’ordre du résultat de l’appel d’offres, ou</w:t>
      </w:r>
    </w:p>
    <w:p w14:paraId="2982B75A" w14:textId="77777777" w:rsidR="007049A5" w:rsidRPr="004E4188" w:rsidRDefault="007049A5" w:rsidP="00294E9E">
      <w:pPr>
        <w:pStyle w:val="14"/>
        <w:ind w:left="850" w:hanging="425"/>
        <w:rPr>
          <w:szCs w:val="24"/>
        </w:rPr>
      </w:pPr>
      <w:r w:rsidRPr="004E4188">
        <w:rPr>
          <w:szCs w:val="24"/>
        </w:rPr>
        <w:t>(ii)</w:t>
      </w:r>
      <w:r w:rsidRPr="004E4188">
        <w:rPr>
          <w:szCs w:val="24"/>
        </w:rPr>
        <w:tab/>
        <w:t>vingt-huit (28) jours suivant l’expiration du délai de validité de l’offre.</w:t>
      </w:r>
    </w:p>
    <w:p w14:paraId="16C0B464" w14:textId="77777777" w:rsidR="007049A5" w:rsidRPr="004E4188" w:rsidRDefault="007049A5" w:rsidP="00F5540F">
      <w:pPr>
        <w:rPr>
          <w:szCs w:val="24"/>
        </w:rPr>
      </w:pPr>
    </w:p>
    <w:p w14:paraId="79D518BF" w14:textId="77777777" w:rsidR="007049A5" w:rsidRPr="004E4188" w:rsidRDefault="007049A5" w:rsidP="00F5540F">
      <w:pPr>
        <w:rPr>
          <w:szCs w:val="24"/>
        </w:rPr>
      </w:pPr>
      <w:r w:rsidRPr="004E4188">
        <w:rPr>
          <w:szCs w:val="24"/>
        </w:rPr>
        <w:t>Toute demande de paiement au titre de la présente garantie doit être reçue au plus tard à cette date et à l’adresse mentionnée ci-dessus.</w:t>
      </w:r>
    </w:p>
    <w:p w14:paraId="7F234EF8" w14:textId="77777777" w:rsidR="007049A5" w:rsidRPr="004E4188" w:rsidRDefault="007049A5" w:rsidP="00F5540F">
      <w:pPr>
        <w:rPr>
          <w:szCs w:val="24"/>
        </w:rPr>
      </w:pPr>
    </w:p>
    <w:p w14:paraId="08997C67" w14:textId="3AF6ACD0" w:rsidR="007049A5" w:rsidRPr="004E4188" w:rsidRDefault="007049A5" w:rsidP="00F5540F">
      <w:pPr>
        <w:rPr>
          <w:szCs w:val="24"/>
        </w:rPr>
      </w:pPr>
      <w:r w:rsidRPr="004E4188">
        <w:rPr>
          <w:szCs w:val="24"/>
        </w:rPr>
        <w:t>La présente garantie est régie par les Règles uniformes de la CCI relatives aux Garanties sur Demande (RUGD), révisées en 2010, Publication CCI n° 758.</w:t>
      </w:r>
    </w:p>
    <w:p w14:paraId="03463C16" w14:textId="77777777" w:rsidR="007049A5" w:rsidRPr="004E4188" w:rsidRDefault="007049A5" w:rsidP="00F5540F">
      <w:pPr>
        <w:rPr>
          <w:szCs w:val="24"/>
        </w:rPr>
      </w:pPr>
    </w:p>
    <w:p w14:paraId="250BDF3A" w14:textId="77777777" w:rsidR="00C86267" w:rsidRPr="004E4188" w:rsidRDefault="00C86267" w:rsidP="00F5540F">
      <w:pPr>
        <w:rPr>
          <w:szCs w:val="24"/>
        </w:rPr>
      </w:pPr>
    </w:p>
    <w:p w14:paraId="387BC21A" w14:textId="77777777" w:rsidR="007049A5" w:rsidRPr="004E4188" w:rsidRDefault="007049A5" w:rsidP="00F5540F">
      <w:pPr>
        <w:rPr>
          <w:szCs w:val="24"/>
        </w:rPr>
      </w:pPr>
      <w:r w:rsidRPr="004E4188">
        <w:rPr>
          <w:szCs w:val="24"/>
        </w:rPr>
        <w:t>_____________________</w:t>
      </w:r>
    </w:p>
    <w:p w14:paraId="7ED23C6E" w14:textId="77777777" w:rsidR="007049A5" w:rsidRPr="004E4188" w:rsidRDefault="007049A5" w:rsidP="00F5540F">
      <w:pPr>
        <w:rPr>
          <w:szCs w:val="24"/>
        </w:rPr>
      </w:pPr>
    </w:p>
    <w:p w14:paraId="626548C3" w14:textId="77777777" w:rsidR="007049A5" w:rsidRPr="004E4188" w:rsidRDefault="007049A5" w:rsidP="00F5540F">
      <w:pPr>
        <w:rPr>
          <w:szCs w:val="24"/>
        </w:rPr>
      </w:pPr>
      <w:r w:rsidRPr="004E4188">
        <w:rPr>
          <w:szCs w:val="24"/>
        </w:rPr>
        <w:t>[</w:t>
      </w:r>
      <w:r w:rsidRPr="004E4188">
        <w:rPr>
          <w:i/>
          <w:szCs w:val="24"/>
        </w:rPr>
        <w:t>signature(s)</w:t>
      </w:r>
      <w:r w:rsidRPr="004E4188">
        <w:rPr>
          <w:szCs w:val="24"/>
        </w:rPr>
        <w:t>]</w:t>
      </w:r>
    </w:p>
    <w:p w14:paraId="62A543F8" w14:textId="77777777" w:rsidR="007049A5" w:rsidRPr="004E4188" w:rsidRDefault="007049A5" w:rsidP="00F5540F">
      <w:pPr>
        <w:rPr>
          <w:szCs w:val="24"/>
        </w:rPr>
      </w:pPr>
    </w:p>
    <w:p w14:paraId="792D66D8" w14:textId="77777777" w:rsidR="007049A5" w:rsidRPr="004E4188" w:rsidRDefault="007049A5" w:rsidP="00F5540F">
      <w:pPr>
        <w:rPr>
          <w:szCs w:val="24"/>
        </w:rPr>
      </w:pPr>
    </w:p>
    <w:p w14:paraId="5DCF5FEF" w14:textId="4492AD93" w:rsidR="007049A5" w:rsidRPr="004E4188" w:rsidRDefault="007049A5" w:rsidP="00F5540F">
      <w:pPr>
        <w:rPr>
          <w:szCs w:val="24"/>
        </w:rPr>
      </w:pPr>
      <w:r w:rsidRPr="004E4188">
        <w:rPr>
          <w:szCs w:val="24"/>
        </w:rPr>
        <w:t>[</w:t>
      </w:r>
      <w:r w:rsidRPr="004E4188">
        <w:rPr>
          <w:i/>
          <w:szCs w:val="24"/>
        </w:rPr>
        <w:t xml:space="preserve">Note : </w:t>
      </w:r>
      <w:r w:rsidR="005B1DC6" w:rsidRPr="004E4188">
        <w:rPr>
          <w:i/>
          <w:szCs w:val="24"/>
        </w:rPr>
        <w:t xml:space="preserve">Le </w:t>
      </w:r>
      <w:r w:rsidRPr="004E4188">
        <w:rPr>
          <w:i/>
          <w:szCs w:val="24"/>
        </w:rPr>
        <w:t>texte en italique doit être retiré du document final ; il est fourni à titre indicatif en vue de faciliter la préparation du document.</w:t>
      </w:r>
      <w:r w:rsidRPr="004E4188">
        <w:rPr>
          <w:szCs w:val="24"/>
        </w:rPr>
        <w:t>]</w:t>
      </w:r>
    </w:p>
    <w:p w14:paraId="77A02A37" w14:textId="77777777" w:rsidR="007049A5" w:rsidRPr="004E4188" w:rsidRDefault="007049A5" w:rsidP="00541532">
      <w:pPr>
        <w:rPr>
          <w:szCs w:val="24"/>
        </w:rPr>
      </w:pPr>
    </w:p>
    <w:p w14:paraId="56806A61" w14:textId="77777777" w:rsidR="007049A5" w:rsidRPr="004E4188" w:rsidRDefault="007049A5" w:rsidP="00B45912">
      <w:pPr>
        <w:ind w:right="43"/>
        <w:outlineLvl w:val="0"/>
        <w:rPr>
          <w:sz w:val="36"/>
        </w:rPr>
        <w:sectPr w:rsidR="007049A5" w:rsidRPr="004E4188" w:rsidSect="00BE3AC0">
          <w:headerReference w:type="even" r:id="rId77"/>
          <w:headerReference w:type="default" r:id="rId78"/>
          <w:footnotePr>
            <w:numRestart w:val="eachPage"/>
          </w:footnotePr>
          <w:type w:val="oddPage"/>
          <w:pgSz w:w="12240" w:h="15840" w:code="1"/>
          <w:pgMar w:top="1440" w:right="1440" w:bottom="1440" w:left="1797" w:header="720" w:footer="720" w:gutter="0"/>
          <w:pgNumType w:start="1"/>
          <w:cols w:space="720"/>
        </w:sectPr>
      </w:pPr>
      <w:bookmarkStart w:id="677" w:name="_Toc267386074"/>
      <w:bookmarkStart w:id="678" w:name="_Toc273706477"/>
      <w:bookmarkStart w:id="679" w:name="_Toc273708934"/>
      <w:bookmarkStart w:id="680" w:name="_Toc274225433"/>
      <w:bookmarkStart w:id="681" w:name="_Toc274225638"/>
      <w:bookmarkStart w:id="682" w:name="_Toc274226324"/>
    </w:p>
    <w:p w14:paraId="664401B0" w14:textId="698A49AE" w:rsidR="007F5356" w:rsidRPr="0006470B" w:rsidRDefault="007049A5" w:rsidP="008F1DFA">
      <w:pPr>
        <w:pStyle w:val="17"/>
        <w:rPr>
          <w:lang w:val="fr-FR"/>
        </w:rPr>
      </w:pPr>
      <w:bookmarkStart w:id="683" w:name="_Toc77392473"/>
      <w:bookmarkStart w:id="684" w:name="_Toc77493054"/>
      <w:bookmarkStart w:id="685" w:name="_Toc156027996"/>
      <w:bookmarkStart w:id="686" w:name="_Toc156372852"/>
      <w:bookmarkStart w:id="687" w:name="_Toc326657865"/>
      <w:bookmarkStart w:id="688" w:name="_Toc349055428"/>
      <w:bookmarkStart w:id="689" w:name="_Toc438266926"/>
      <w:bookmarkStart w:id="690" w:name="_Toc438267900"/>
      <w:bookmarkStart w:id="691" w:name="_Toc438366668"/>
      <w:bookmarkStart w:id="692" w:name="_Toc438954446"/>
      <w:bookmarkEnd w:id="677"/>
      <w:bookmarkEnd w:id="678"/>
      <w:bookmarkEnd w:id="679"/>
      <w:bookmarkEnd w:id="680"/>
      <w:bookmarkEnd w:id="681"/>
      <w:bookmarkEnd w:id="682"/>
      <w:r w:rsidRPr="0006470B">
        <w:rPr>
          <w:lang w:val="fr-FR"/>
        </w:rPr>
        <w:t>Section V. Pays d’origine éligibles</w:t>
      </w:r>
      <w:bookmarkEnd w:id="683"/>
      <w:bookmarkEnd w:id="684"/>
      <w:bookmarkEnd w:id="685"/>
      <w:bookmarkEnd w:id="686"/>
      <w:bookmarkEnd w:id="687"/>
      <w:r w:rsidRPr="0006470B">
        <w:rPr>
          <w:lang w:val="fr-FR"/>
        </w:rPr>
        <w:t xml:space="preserve"> des Prêts APD du Japon</w:t>
      </w:r>
      <w:bookmarkEnd w:id="688"/>
    </w:p>
    <w:p w14:paraId="23C80EAE" w14:textId="77777777" w:rsidR="00286BA1" w:rsidRPr="0006470B" w:rsidRDefault="00286BA1" w:rsidP="008F1DFA">
      <w:pPr>
        <w:pStyle w:val="17"/>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286BA1" w:rsidRPr="002E5093" w14:paraId="4A8498AD" w14:textId="77777777" w:rsidTr="003F6D42">
        <w:trPr>
          <w:trHeight w:val="2390"/>
        </w:trPr>
        <w:tc>
          <w:tcPr>
            <w:tcW w:w="9216" w:type="dxa"/>
            <w:shd w:val="clear" w:color="auto" w:fill="auto"/>
          </w:tcPr>
          <w:p w14:paraId="4CE7EA2C" w14:textId="77777777" w:rsidR="00286BA1" w:rsidRPr="004E4188" w:rsidRDefault="00286BA1" w:rsidP="003F6D42">
            <w:pPr>
              <w:spacing w:after="240"/>
              <w:jc w:val="center"/>
              <w:rPr>
                <w:b/>
                <w:szCs w:val="24"/>
                <w:lang w:eastAsia="ja-JP"/>
              </w:rPr>
            </w:pPr>
            <w:r w:rsidRPr="004E4188">
              <w:rPr>
                <w:b/>
                <w:szCs w:val="24"/>
                <w:lang w:eastAsia="ja-JP"/>
              </w:rPr>
              <w:t>Notes à l’intention du Maître d’ouvrage</w:t>
            </w:r>
          </w:p>
          <w:p w14:paraId="780F8654" w14:textId="77777777" w:rsidR="00286BA1" w:rsidRPr="004E4188" w:rsidRDefault="00286BA1" w:rsidP="003F6D42">
            <w:pPr>
              <w:spacing w:after="240"/>
              <w:rPr>
                <w:szCs w:val="24"/>
              </w:rPr>
            </w:pPr>
            <w:r w:rsidRPr="004E4188">
              <w:rPr>
                <w:szCs w:val="24"/>
              </w:rPr>
              <w:t>Cette section contient les informations et les dispositions relatives aux pays d’origine éligibles applicables aux Soumissionnaires, et aux biens et services faisant l’objet du présent Marché, telles qu’elles figurent dans l’Accord de Prêt avec la JICA.</w:t>
            </w:r>
          </w:p>
          <w:p w14:paraId="06A13762" w14:textId="77777777" w:rsidR="00286BA1" w:rsidRPr="0046120F" w:rsidRDefault="00286BA1" w:rsidP="003F6D42">
            <w:pPr>
              <w:pStyle w:val="ac"/>
              <w:tabs>
                <w:tab w:val="left" w:pos="-1080"/>
                <w:tab w:val="left" w:pos="-720"/>
                <w:tab w:val="left" w:pos="0"/>
                <w:tab w:val="left" w:pos="720"/>
                <w:tab w:val="left" w:pos="1440"/>
                <w:tab w:val="left" w:pos="2160"/>
                <w:tab w:val="left" w:pos="3510"/>
                <w:tab w:val="left" w:pos="5310"/>
                <w:tab w:val="left" w:pos="6480"/>
              </w:tabs>
              <w:jc w:val="both"/>
              <w:rPr>
                <w:sz w:val="24"/>
                <w:szCs w:val="24"/>
                <w:lang w:eastAsia="ja-JP"/>
              </w:rPr>
            </w:pPr>
            <w:r w:rsidRPr="004E4188">
              <w:rPr>
                <w:sz w:val="24"/>
                <w:szCs w:val="24"/>
              </w:rPr>
              <w:t xml:space="preserve">Le Maître d’ouvrage doit indiquer ci-après toutes les informations et dispositions pertinentes citées dans l’Accord de Prêt avec la JICA. Si des documents supplémentaires doivent être soumis par le Soumissionnaire pour attester la conformité aux dispositions ci-dessus, ces documents supplémentaires seront énumérés dans la Section II, Données particulières : dans le cas d’une procédure d’appel d’offre à une étape-deux enveloppes, à IS 11.2(i) et/ou IS 11.3(c), selon le cas, et dans le cas d’une procédure d’appel d’offre à </w:t>
            </w:r>
            <w:r w:rsidRPr="004E4188">
              <w:rPr>
                <w:sz w:val="24"/>
                <w:szCs w:val="24"/>
                <w:lang w:eastAsia="ja-JP"/>
              </w:rPr>
              <w:t>deux étapes-une enveloppe</w:t>
            </w:r>
            <w:r w:rsidRPr="004E4188">
              <w:rPr>
                <w:sz w:val="24"/>
                <w:szCs w:val="24"/>
              </w:rPr>
              <w:t>, à IS 11.1(i)</w:t>
            </w:r>
            <w:r w:rsidRPr="004E4188">
              <w:rPr>
                <w:sz w:val="24"/>
                <w:szCs w:val="24"/>
                <w:lang w:eastAsia="ja-JP"/>
              </w:rPr>
              <w:t xml:space="preserve"> et/ou IS 28.1(i), selon le cas</w:t>
            </w:r>
            <w:r w:rsidRPr="004E4188">
              <w:rPr>
                <w:sz w:val="24"/>
                <w:szCs w:val="24"/>
              </w:rPr>
              <w:t>.</w:t>
            </w:r>
          </w:p>
          <w:p w14:paraId="71D66F9C" w14:textId="77777777" w:rsidR="00286BA1" w:rsidRPr="0046120F" w:rsidRDefault="00286BA1" w:rsidP="003F6D42">
            <w:pPr>
              <w:pStyle w:val="ac"/>
              <w:tabs>
                <w:tab w:val="left" w:pos="-1080"/>
                <w:tab w:val="left" w:pos="-720"/>
                <w:tab w:val="left" w:pos="0"/>
                <w:tab w:val="left" w:pos="720"/>
                <w:tab w:val="left" w:pos="1440"/>
                <w:tab w:val="left" w:pos="2160"/>
                <w:tab w:val="left" w:pos="3510"/>
                <w:tab w:val="left" w:pos="5310"/>
                <w:tab w:val="left" w:pos="6480"/>
              </w:tabs>
            </w:pPr>
          </w:p>
        </w:tc>
      </w:tr>
    </w:tbl>
    <w:p w14:paraId="11B98EAE" w14:textId="77777777" w:rsidR="00286BA1" w:rsidRPr="004E4188" w:rsidRDefault="00286BA1" w:rsidP="008F1DFA">
      <w:pPr>
        <w:pStyle w:val="17"/>
        <w:rPr>
          <w:lang w:val="fr-FR"/>
        </w:rPr>
      </w:pPr>
      <w:bookmarkStart w:id="693" w:name="_Toc438529602"/>
      <w:bookmarkStart w:id="694" w:name="_Toc438725758"/>
      <w:bookmarkStart w:id="695" w:name="_Toc438817753"/>
      <w:bookmarkStart w:id="696" w:name="_Toc438954447"/>
      <w:bookmarkStart w:id="697" w:name="_Toc461939622"/>
      <w:bookmarkEnd w:id="689"/>
      <w:bookmarkEnd w:id="690"/>
      <w:bookmarkEnd w:id="691"/>
      <w:bookmarkEnd w:id="692"/>
    </w:p>
    <w:p w14:paraId="31E2210E" w14:textId="77777777" w:rsidR="00286BA1" w:rsidRPr="004E4188" w:rsidRDefault="00286BA1" w:rsidP="008F1DFA">
      <w:pPr>
        <w:pStyle w:val="17"/>
        <w:rPr>
          <w:lang w:val="fr-FR"/>
        </w:rPr>
        <w:sectPr w:rsidR="00286BA1" w:rsidRPr="004E4188" w:rsidSect="00DB6D02">
          <w:headerReference w:type="default" r:id="rId79"/>
          <w:headerReference w:type="first" r:id="rId80"/>
          <w:footnotePr>
            <w:numRestart w:val="eachPage"/>
          </w:footnotePr>
          <w:endnotePr>
            <w:numFmt w:val="decimal"/>
          </w:endnotePr>
          <w:type w:val="nextColumn"/>
          <w:pgSz w:w="12240" w:h="15840" w:code="1"/>
          <w:pgMar w:top="1440" w:right="1440" w:bottom="1440" w:left="1797" w:header="720" w:footer="720" w:gutter="0"/>
          <w:pgNumType w:start="1"/>
          <w:cols w:space="720"/>
        </w:sectPr>
      </w:pPr>
    </w:p>
    <w:p w14:paraId="320B3850" w14:textId="77777777" w:rsidR="00F332DA" w:rsidRPr="00BD76AF" w:rsidRDefault="00F332DA" w:rsidP="003857BD">
      <w:pPr>
        <w:pStyle w:val="Parts"/>
        <w:spacing w:after="0"/>
        <w:rPr>
          <w:lang w:val="fr-FR"/>
        </w:rPr>
      </w:pPr>
      <w:bookmarkStart w:id="698" w:name="_Toc327446559"/>
      <w:bookmarkStart w:id="699" w:name="_Toc354490981"/>
      <w:bookmarkStart w:id="700" w:name="_Toc354491082"/>
      <w:bookmarkStart w:id="701" w:name="_Toc354491571"/>
      <w:bookmarkStart w:id="702" w:name="_Toc354567705"/>
      <w:bookmarkEnd w:id="693"/>
      <w:bookmarkEnd w:id="694"/>
      <w:bookmarkEnd w:id="695"/>
      <w:bookmarkEnd w:id="696"/>
      <w:bookmarkEnd w:id="697"/>
      <w:r w:rsidRPr="00BD76AF">
        <w:rPr>
          <w:lang w:val="fr-FR"/>
        </w:rPr>
        <w:t>DEUXIÈME PARTIE –</w:t>
      </w:r>
      <w:r w:rsidRPr="00BD76AF">
        <w:rPr>
          <w:rFonts w:hint="eastAsia"/>
          <w:lang w:val="fr-FR" w:eastAsia="ja-JP"/>
        </w:rPr>
        <w:t xml:space="preserve"> </w:t>
      </w:r>
      <w:r w:rsidRPr="00BD76AF">
        <w:rPr>
          <w:lang w:val="fr-FR"/>
        </w:rPr>
        <w:br/>
        <w:t>EXIGENCES DU MAÎTRE D’OUVRAGE</w:t>
      </w:r>
      <w:bookmarkEnd w:id="698"/>
      <w:bookmarkEnd w:id="699"/>
      <w:bookmarkEnd w:id="700"/>
      <w:bookmarkEnd w:id="701"/>
      <w:bookmarkEnd w:id="702"/>
    </w:p>
    <w:p w14:paraId="737C2622" w14:textId="77777777" w:rsidR="00F332DA" w:rsidRPr="00BD76AF" w:rsidRDefault="00F332DA" w:rsidP="006426E2">
      <w:pPr>
        <w:pStyle w:val="Parts"/>
        <w:outlineLvl w:val="9"/>
        <w:rPr>
          <w:lang w:val="fr-FR"/>
        </w:rPr>
      </w:pPr>
    </w:p>
    <w:p w14:paraId="7CCFD4B8" w14:textId="77777777" w:rsidR="00F332DA" w:rsidRPr="00BD76AF" w:rsidRDefault="00F332DA" w:rsidP="00E44302">
      <w:pPr>
        <w:sectPr w:rsidR="00F332DA" w:rsidRPr="00BD76AF" w:rsidSect="00AF66C8">
          <w:headerReference w:type="first" r:id="rId81"/>
          <w:footnotePr>
            <w:numRestart w:val="eachPage"/>
          </w:footnotePr>
          <w:endnotePr>
            <w:numFmt w:val="decimal"/>
          </w:endnotePr>
          <w:type w:val="oddPage"/>
          <w:pgSz w:w="12240" w:h="15840" w:code="1"/>
          <w:pgMar w:top="1440" w:right="1440" w:bottom="1440" w:left="1797" w:header="720" w:footer="720" w:gutter="0"/>
          <w:cols w:space="720"/>
          <w:vAlign w:val="center"/>
          <w:titlePg/>
        </w:sectPr>
      </w:pPr>
    </w:p>
    <w:tbl>
      <w:tblPr>
        <w:tblW w:w="9014" w:type="dxa"/>
        <w:tblLayout w:type="fixed"/>
        <w:tblLook w:val="0000" w:firstRow="0" w:lastRow="0" w:firstColumn="0" w:lastColumn="0" w:noHBand="0" w:noVBand="0"/>
      </w:tblPr>
      <w:tblGrid>
        <w:gridCol w:w="9014"/>
      </w:tblGrid>
      <w:tr w:rsidR="00F332DA" w:rsidRPr="00BD76AF" w14:paraId="16C5D656" w14:textId="77777777" w:rsidTr="00544F70">
        <w:trPr>
          <w:trHeight w:val="800"/>
        </w:trPr>
        <w:tc>
          <w:tcPr>
            <w:tcW w:w="9014" w:type="dxa"/>
            <w:tcBorders>
              <w:top w:val="nil"/>
              <w:left w:val="nil"/>
              <w:bottom w:val="nil"/>
              <w:right w:val="nil"/>
            </w:tcBorders>
            <w:vAlign w:val="center"/>
          </w:tcPr>
          <w:p w14:paraId="4C20861D" w14:textId="77777777" w:rsidR="00F332DA" w:rsidRPr="00BD76AF" w:rsidRDefault="00F332DA" w:rsidP="0070715F">
            <w:pPr>
              <w:pStyle w:val="17"/>
              <w:rPr>
                <w:lang w:val="fr-FR"/>
              </w:rPr>
            </w:pPr>
            <w:bookmarkStart w:id="703" w:name="_Toc156027997"/>
            <w:bookmarkStart w:id="704" w:name="_Toc156372854"/>
            <w:bookmarkStart w:id="705" w:name="_Toc326657868"/>
            <w:bookmarkStart w:id="706" w:name="_Toc349055430"/>
            <w:bookmarkStart w:id="707" w:name="_Toc354567706"/>
            <w:r w:rsidRPr="00BD76AF">
              <w:rPr>
                <w:lang w:val="fr-FR"/>
              </w:rPr>
              <w:t>Section VI. Exigences du Maître d’ouvrage</w:t>
            </w:r>
            <w:bookmarkEnd w:id="703"/>
            <w:bookmarkEnd w:id="704"/>
            <w:bookmarkEnd w:id="705"/>
            <w:bookmarkEnd w:id="706"/>
            <w:bookmarkEnd w:id="707"/>
          </w:p>
        </w:tc>
      </w:tr>
    </w:tbl>
    <w:p w14:paraId="3EBC65E0" w14:textId="77777777" w:rsidR="00F332DA" w:rsidRPr="00BD76AF" w:rsidRDefault="00F332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F332DA" w:rsidRPr="00BD76AF" w14:paraId="1BA5FCF8" w14:textId="77777777" w:rsidTr="00401858">
        <w:trPr>
          <w:trHeight w:val="4130"/>
        </w:trPr>
        <w:tc>
          <w:tcPr>
            <w:tcW w:w="9108" w:type="dxa"/>
            <w:shd w:val="clear" w:color="auto" w:fill="auto"/>
            <w:tcMar>
              <w:top w:w="113" w:type="dxa"/>
              <w:bottom w:w="113" w:type="dxa"/>
            </w:tcMar>
          </w:tcPr>
          <w:p w14:paraId="5C9D2AE6" w14:textId="77777777" w:rsidR="00F332DA" w:rsidRPr="00BD76AF" w:rsidRDefault="00F332DA" w:rsidP="00DC0647">
            <w:pPr>
              <w:spacing w:afterLines="200" w:after="480"/>
              <w:jc w:val="center"/>
              <w:rPr>
                <w:b/>
                <w:sz w:val="28"/>
                <w:szCs w:val="28"/>
              </w:rPr>
            </w:pPr>
            <w:bookmarkStart w:id="708" w:name="_Toc494778743"/>
            <w:r w:rsidRPr="00BD76AF">
              <w:rPr>
                <w:b/>
                <w:sz w:val="28"/>
                <w:szCs w:val="28"/>
              </w:rPr>
              <w:t xml:space="preserve">Notes </w:t>
            </w:r>
            <w:r w:rsidRPr="00BD76AF">
              <w:rPr>
                <w:b/>
                <w:sz w:val="28"/>
              </w:rPr>
              <w:t xml:space="preserve">à l’intention du </w:t>
            </w:r>
            <w:r w:rsidRPr="00BD76AF">
              <w:rPr>
                <w:b/>
                <w:sz w:val="28"/>
                <w:szCs w:val="28"/>
              </w:rPr>
              <w:t>Maître d’ouvrage</w:t>
            </w:r>
          </w:p>
          <w:p w14:paraId="1483A24F" w14:textId="77777777" w:rsidR="00F332DA" w:rsidRPr="00BD76AF" w:rsidRDefault="00F332DA" w:rsidP="0000527F">
            <w:pPr>
              <w:tabs>
                <w:tab w:val="left" w:pos="3148"/>
              </w:tabs>
              <w:overflowPunct/>
              <w:autoSpaceDE/>
              <w:autoSpaceDN/>
              <w:adjustRightInd/>
              <w:spacing w:after="200"/>
              <w:textAlignment w:val="auto"/>
              <w:rPr>
                <w:rFonts w:ascii="Tms Rmn" w:hAnsi="Tms Rmn"/>
                <w:lang w:eastAsia="en-US"/>
              </w:rPr>
            </w:pPr>
            <w:r w:rsidRPr="00BD76AF">
              <w:rPr>
                <w:rFonts w:ascii="Tms Rmn" w:hAnsi="Tms Rmn"/>
                <w:lang w:eastAsia="en-US"/>
              </w:rPr>
              <w:t xml:space="preserve">Cette Section VI, Exigences du Maître d’ouvrage, comprend la description des </w:t>
            </w:r>
            <w:r w:rsidRPr="00BD76AF">
              <w:rPr>
                <w:lang w:eastAsia="ja-JP"/>
              </w:rPr>
              <w:t>É</w:t>
            </w:r>
            <w:r w:rsidRPr="00BD76AF">
              <w:rPr>
                <w:rFonts w:ascii="Tms Rmn" w:hAnsi="Tms Rmn"/>
                <w:lang w:eastAsia="en-US"/>
              </w:rPr>
              <w:t>quipements et Services de montage à fournir par l’Entrepreneur, la description des Travaux et fournitures par le Maître d’ouvrage,</w:t>
            </w:r>
            <w:r w:rsidRPr="00BD76AF">
              <w:rPr>
                <w:rFonts w:ascii="Tms Rmn" w:hAnsi="Tms Rmn" w:hint="eastAsia"/>
                <w:lang w:eastAsia="en-US"/>
              </w:rPr>
              <w:t xml:space="preserve"> </w:t>
            </w:r>
            <w:r w:rsidRPr="00BD76AF">
              <w:rPr>
                <w:rFonts w:ascii="Tms Rmn" w:hAnsi="Tms Rmn"/>
                <w:lang w:eastAsia="en-US"/>
              </w:rPr>
              <w:t>les sp</w:t>
            </w:r>
            <w:r w:rsidRPr="00BD76AF">
              <w:rPr>
                <w:rFonts w:ascii="Tms Rmn" w:hAnsi="Tms Rmn" w:hint="eastAsia"/>
                <w:lang w:eastAsia="en-US"/>
              </w:rPr>
              <w:t>é</w:t>
            </w:r>
            <w:r w:rsidRPr="00BD76AF">
              <w:rPr>
                <w:rFonts w:ascii="Tms Rmn" w:hAnsi="Tms Rmn"/>
                <w:lang w:eastAsia="en-US"/>
              </w:rPr>
              <w:t xml:space="preserve">cifications, les plans et toute information supplémentaire définissant les Installations, et les formulaires et procédures </w:t>
            </w:r>
            <w:r w:rsidRPr="00BD76AF">
              <w:rPr>
                <w:lang w:eastAsia="en-US"/>
              </w:rPr>
              <w:t>devant être utilisés</w:t>
            </w:r>
            <w:r w:rsidRPr="00BD76AF">
              <w:rPr>
                <w:rFonts w:ascii="Tms Rmn" w:hAnsi="Tms Rmn"/>
                <w:lang w:eastAsia="en-US"/>
              </w:rPr>
              <w:t xml:space="preserve"> durant l’exécution du Marché.</w:t>
            </w:r>
          </w:p>
          <w:p w14:paraId="18F661A1" w14:textId="77777777" w:rsidR="00F332DA" w:rsidRPr="00BD76AF" w:rsidRDefault="00F332DA" w:rsidP="0000527F">
            <w:pPr>
              <w:overflowPunct/>
              <w:autoSpaceDE/>
              <w:autoSpaceDN/>
              <w:adjustRightInd/>
              <w:spacing w:after="120"/>
              <w:textAlignment w:val="auto"/>
              <w:rPr>
                <w:lang w:eastAsia="en-US"/>
              </w:rPr>
            </w:pPr>
            <w:r w:rsidRPr="00BD76AF">
              <w:rPr>
                <w:lang w:eastAsia="en-US"/>
              </w:rPr>
              <w:t>Cette procédure d’appel d’offres entraîne un Marché de conception-fourniture-montage dans lequel l’Entrepreneur est responsable de la performance ou du</w:t>
            </w:r>
            <w:r w:rsidRPr="00BD76AF">
              <w:t xml:space="preserve"> </w:t>
            </w:r>
            <w:r w:rsidRPr="00BD76AF">
              <w:rPr>
                <w:lang w:eastAsia="en-US"/>
              </w:rPr>
              <w:t>rendement que les Installations achevées devront atteindre. Par conséquent, le Maître d’ouvrage n’est pas requis de fournir des spécifications techniques conventionnelles avec des plans détaillés. C’est néanmoins dans cette section que le Maître d’ouvrage indique précisément les performances à atteindre ou les spécifications de production des Installations une fois achevées, comme la production d’une installation industrielle ou la capacité maximale d’une centrale électrique. Cette section doit également fournir les critères de conception et toute autre exigence technique que le Maître d’ouvrage souhaite imposer (p. ex., la qualité des matériaux et de l’exécution, la protection de l’environnement, la sécurité et la santé au travail, etc.).</w:t>
            </w:r>
            <w:r w:rsidRPr="00BD76AF">
              <w:rPr>
                <w:rFonts w:ascii="Tms Rmn" w:hAnsi="Tms Rmn"/>
                <w:lang w:eastAsia="en-US"/>
              </w:rPr>
              <w:t xml:space="preserve"> Les Exigences du Maître d’ouvrage devront également préciser les essais et les procédures d’essai (</w:t>
            </w:r>
            <w:r w:rsidRPr="00BD76AF">
              <w:rPr>
                <w:lang w:eastAsia="en-US"/>
              </w:rPr>
              <w:t>p. ex., l’Essai de garantie</w:t>
            </w:r>
            <w:r w:rsidRPr="00BD76AF">
              <w:rPr>
                <w:rFonts w:ascii="Tms Rmn" w:hAnsi="Tms Rmn"/>
                <w:lang w:eastAsia="en-US"/>
              </w:rPr>
              <w:t>) qui seront appliqués après achèvement des installations</w:t>
            </w:r>
            <w:r w:rsidRPr="00BD76AF">
              <w:t>, afin de vérifier leur conformité aux</w:t>
            </w:r>
            <w:r w:rsidRPr="00BD76AF">
              <w:rPr>
                <w:rFonts w:ascii="Tms Rmn" w:hAnsi="Tms Rmn"/>
                <w:lang w:eastAsia="en-US"/>
              </w:rPr>
              <w:t xml:space="preserve"> exigences.</w:t>
            </w:r>
          </w:p>
          <w:p w14:paraId="3F0C286B" w14:textId="77777777" w:rsidR="00F332DA" w:rsidRPr="00BD76AF" w:rsidRDefault="00F332DA" w:rsidP="0000527F">
            <w:pPr>
              <w:overflowPunct/>
              <w:autoSpaceDE/>
              <w:autoSpaceDN/>
              <w:adjustRightInd/>
              <w:spacing w:after="120"/>
              <w:textAlignment w:val="auto"/>
              <w:rPr>
                <w:lang w:eastAsia="en-US"/>
              </w:rPr>
            </w:pPr>
            <w:r w:rsidRPr="00BD76AF">
              <w:rPr>
                <w:lang w:eastAsia="ja-JP"/>
              </w:rPr>
              <w:t>D’autre part, il est conseillé de ne pas spécifier les détails de manière excessive car la flexibilité et les avantages associés aux marchés de conception-construction</w:t>
            </w:r>
            <w:r w:rsidRPr="00BD76AF">
              <w:rPr>
                <w:rFonts w:ascii="Arial" w:hAnsi="Arial"/>
                <w:lang w:eastAsia="en-US"/>
              </w:rPr>
              <w:t xml:space="preserve"> </w:t>
            </w:r>
            <w:r w:rsidRPr="00BD76AF">
              <w:rPr>
                <w:lang w:eastAsia="ja-JP"/>
              </w:rPr>
              <w:t>en seraient diminués ou compromis. Cette section devra donc être rédigée avec soin par des experts qualifiés familiers avec les exigences et les aspects techniques des Installations.</w:t>
            </w:r>
          </w:p>
          <w:p w14:paraId="50775CEC" w14:textId="77777777" w:rsidR="00F332DA" w:rsidRPr="00BD76AF" w:rsidRDefault="00F332DA" w:rsidP="0000527F">
            <w:pPr>
              <w:overflowPunct/>
              <w:autoSpaceDE/>
              <w:autoSpaceDN/>
              <w:adjustRightInd/>
              <w:spacing w:after="120"/>
              <w:textAlignment w:val="auto"/>
              <w:rPr>
                <w:lang w:eastAsia="ja-JP"/>
              </w:rPr>
            </w:pPr>
            <w:r w:rsidRPr="00BD76AF">
              <w:rPr>
                <w:lang w:eastAsia="en-US"/>
              </w:rPr>
              <w:t>En particulier, l’étendue de</w:t>
            </w:r>
            <w:r w:rsidRPr="00BD76AF">
              <w:rPr>
                <w:rFonts w:hint="eastAsia"/>
                <w:lang w:eastAsia="ja-JP"/>
              </w:rPr>
              <w:t>s</w:t>
            </w:r>
            <w:r w:rsidRPr="00BD76AF">
              <w:rPr>
                <w:lang w:eastAsia="ja-JP"/>
              </w:rPr>
              <w:t xml:space="preserve"> </w:t>
            </w:r>
            <w:r w:rsidRPr="00BD76AF">
              <w:rPr>
                <w:lang w:eastAsia="en-US"/>
              </w:rPr>
              <w:t xml:space="preserve">obligations de l’Entrepreneur à propos de la conception doit être définie sans aucune incertitude. Si le Maître d’ouvrage est responsable de la conception détaillée d’une partie quelconque des Installations, l’étendue du champ d’application, et l’étendue de ses obligations doivent être indiquées dans les Exigences du Maître d’ouvrage. </w:t>
            </w:r>
          </w:p>
          <w:p w14:paraId="0E34B197" w14:textId="77777777" w:rsidR="00F332DA" w:rsidRPr="00BD76AF" w:rsidRDefault="00F332DA" w:rsidP="0000527F">
            <w:pPr>
              <w:suppressAutoHyphens w:val="0"/>
              <w:overflowPunct/>
              <w:autoSpaceDE/>
              <w:autoSpaceDN/>
              <w:adjustRightInd/>
              <w:spacing w:afterLines="50" w:after="120"/>
              <w:textAlignment w:val="auto"/>
              <w:rPr>
                <w:lang w:eastAsia="en-US"/>
              </w:rPr>
            </w:pPr>
            <w:r w:rsidRPr="00BD76AF">
              <w:rPr>
                <w:lang w:eastAsia="ja-JP"/>
              </w:rPr>
              <w:t>Pour les marchés de conception</w:t>
            </w:r>
            <w:r w:rsidRPr="00BD76AF">
              <w:rPr>
                <w:lang w:eastAsia="en-US"/>
              </w:rPr>
              <w:t>-fourniture-montage</w:t>
            </w:r>
            <w:r w:rsidRPr="00BD76AF">
              <w:rPr>
                <w:lang w:eastAsia="ja-JP"/>
              </w:rPr>
              <w:t>, aucun plan détaillé n’est généralement disponible au stade de l’appel d’offres. Il serait préférable d’inclure des schémas et/ou des plans conceptuels, le cas échéant, afin de complémenter ou d’aider à expliquer le concept général des besoins du Maître d’ouvrage. Les Soumissionnaires doivent être informés de la mesure dans laquelle la conception du Maître d’ouvrage est une suggestion ou une exigence.</w:t>
            </w:r>
          </w:p>
          <w:p w14:paraId="168D97E5" w14:textId="77777777" w:rsidR="00F332DA" w:rsidRPr="00BD76AF" w:rsidRDefault="00F332DA" w:rsidP="0000527F">
            <w:pPr>
              <w:suppressAutoHyphens w:val="0"/>
              <w:overflowPunct/>
              <w:autoSpaceDE/>
              <w:autoSpaceDN/>
              <w:adjustRightInd/>
              <w:textAlignment w:val="auto"/>
              <w:rPr>
                <w:lang w:eastAsia="en-US"/>
              </w:rPr>
            </w:pPr>
            <w:r w:rsidRPr="00BD76AF">
              <w:rPr>
                <w:lang w:eastAsia="en-US"/>
              </w:rPr>
              <w:t>Les Exigences du Maître d’ouvrage doivent inclure, le cas échéant, des informations de nature technique aux quelles les Articles suivants des Conditions du Marché peuvent faire référence, ou les indiquer comme spécifiées ou décrites dans le Marché :</w:t>
            </w:r>
          </w:p>
          <w:p w14:paraId="5108DBD8" w14:textId="77777777" w:rsidR="00F332DA" w:rsidRPr="00BD76AF" w:rsidRDefault="00F332DA" w:rsidP="004D2C4D">
            <w:pPr>
              <w:rPr>
                <w:color w:val="DEEAF6" w:themeColor="accent1" w:themeTint="3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48"/>
              <w:gridCol w:w="2693"/>
              <w:gridCol w:w="4903"/>
            </w:tblGrid>
            <w:tr w:rsidR="00F332DA" w:rsidRPr="00BD76AF" w14:paraId="0FD4379A" w14:textId="77777777" w:rsidTr="0000527F">
              <w:trPr>
                <w:tblHeader/>
              </w:trPr>
              <w:tc>
                <w:tcPr>
                  <w:tcW w:w="3841" w:type="dxa"/>
                  <w:gridSpan w:val="2"/>
                  <w:tcBorders>
                    <w:top w:val="double" w:sz="4" w:space="0" w:color="auto"/>
                    <w:bottom w:val="double" w:sz="4" w:space="0" w:color="auto"/>
                  </w:tcBorders>
                  <w:shd w:val="clear" w:color="auto" w:fill="auto"/>
                </w:tcPr>
                <w:p w14:paraId="5BE6DB63" w14:textId="77777777" w:rsidR="00F332DA" w:rsidRPr="00BD76AF" w:rsidRDefault="00F332DA" w:rsidP="0000527F">
                  <w:pPr>
                    <w:spacing w:before="60" w:after="60"/>
                    <w:jc w:val="center"/>
                    <w:rPr>
                      <w:b/>
                    </w:rPr>
                  </w:pPr>
                  <w:r w:rsidRPr="00BD76AF">
                    <w:rPr>
                      <w:b/>
                    </w:rPr>
                    <w:t>Article</w:t>
                  </w:r>
                </w:p>
              </w:tc>
              <w:tc>
                <w:tcPr>
                  <w:tcW w:w="4903" w:type="dxa"/>
                  <w:vMerge w:val="restart"/>
                  <w:tcBorders>
                    <w:top w:val="double" w:sz="4" w:space="0" w:color="auto"/>
                  </w:tcBorders>
                  <w:shd w:val="clear" w:color="auto" w:fill="auto"/>
                </w:tcPr>
                <w:p w14:paraId="427B50B6" w14:textId="77777777" w:rsidR="00F332DA" w:rsidRPr="00BD76AF" w:rsidRDefault="00F332DA" w:rsidP="0000527F">
                  <w:pPr>
                    <w:spacing w:before="60" w:after="60"/>
                    <w:jc w:val="center"/>
                    <w:rPr>
                      <w:b/>
                    </w:rPr>
                  </w:pPr>
                  <w:r w:rsidRPr="00BD76AF">
                    <w:rPr>
                      <w:b/>
                    </w:rPr>
                    <w:t xml:space="preserve">Résumé de l’information requise </w:t>
                  </w:r>
                </w:p>
              </w:tc>
            </w:tr>
            <w:tr w:rsidR="00F332DA" w:rsidRPr="00BD76AF" w14:paraId="0110D882" w14:textId="77777777" w:rsidTr="0000527F">
              <w:tc>
                <w:tcPr>
                  <w:tcW w:w="1148" w:type="dxa"/>
                  <w:tcBorders>
                    <w:top w:val="double" w:sz="4" w:space="0" w:color="auto"/>
                  </w:tcBorders>
                  <w:shd w:val="clear" w:color="auto" w:fill="auto"/>
                </w:tcPr>
                <w:p w14:paraId="5B65CE7C" w14:textId="77777777" w:rsidR="00F332DA" w:rsidRPr="00BD76AF" w:rsidRDefault="00F332DA" w:rsidP="0000527F">
                  <w:pPr>
                    <w:spacing w:before="60" w:afterLines="40" w:after="96"/>
                    <w:jc w:val="center"/>
                    <w:rPr>
                      <w:b/>
                      <w:lang w:eastAsia="ja-JP"/>
                    </w:rPr>
                  </w:pPr>
                  <w:r w:rsidRPr="00BD76AF">
                    <w:rPr>
                      <w:b/>
                      <w:lang w:eastAsia="ja-JP"/>
                    </w:rPr>
                    <w:t>N</w:t>
                  </w:r>
                  <w:r w:rsidRPr="00BD76AF">
                    <w:rPr>
                      <w:b/>
                      <w:vertAlign w:val="superscript"/>
                      <w:lang w:eastAsia="ja-JP"/>
                    </w:rPr>
                    <w:t>o</w:t>
                  </w:r>
                </w:p>
              </w:tc>
              <w:tc>
                <w:tcPr>
                  <w:tcW w:w="2693" w:type="dxa"/>
                  <w:tcBorders>
                    <w:top w:val="double" w:sz="4" w:space="0" w:color="auto"/>
                  </w:tcBorders>
                  <w:shd w:val="clear" w:color="auto" w:fill="auto"/>
                </w:tcPr>
                <w:p w14:paraId="6BAF4615" w14:textId="77777777" w:rsidR="00F332DA" w:rsidRPr="00BD76AF" w:rsidRDefault="00F332DA" w:rsidP="0000527F">
                  <w:pPr>
                    <w:spacing w:before="60" w:afterLines="40" w:after="96"/>
                    <w:jc w:val="center"/>
                    <w:rPr>
                      <w:b/>
                      <w:lang w:eastAsia="ja-JP"/>
                    </w:rPr>
                  </w:pPr>
                  <w:r w:rsidRPr="00BD76AF">
                    <w:rPr>
                      <w:b/>
                      <w:lang w:eastAsia="ja-JP"/>
                    </w:rPr>
                    <w:t>Titre</w:t>
                  </w:r>
                </w:p>
              </w:tc>
              <w:tc>
                <w:tcPr>
                  <w:tcW w:w="4903" w:type="dxa"/>
                  <w:vMerge/>
                  <w:shd w:val="clear" w:color="auto" w:fill="auto"/>
                </w:tcPr>
                <w:p w14:paraId="3E208811" w14:textId="77777777" w:rsidR="00F332DA" w:rsidRPr="00BD76AF" w:rsidRDefault="00F332DA" w:rsidP="0000527F">
                  <w:pPr>
                    <w:spacing w:before="60" w:afterLines="40" w:after="96"/>
                    <w:jc w:val="left"/>
                  </w:pPr>
                </w:p>
              </w:tc>
            </w:tr>
            <w:tr w:rsidR="00F332DA" w:rsidRPr="00BD76AF" w14:paraId="06236F95" w14:textId="77777777" w:rsidTr="0000527F">
              <w:tc>
                <w:tcPr>
                  <w:tcW w:w="1148" w:type="dxa"/>
                  <w:tcBorders>
                    <w:top w:val="double" w:sz="4" w:space="0" w:color="auto"/>
                  </w:tcBorders>
                  <w:shd w:val="clear" w:color="auto" w:fill="auto"/>
                </w:tcPr>
                <w:p w14:paraId="7E4EAF04" w14:textId="77777777" w:rsidR="00F332DA" w:rsidRPr="00BD76AF" w:rsidRDefault="00F332DA" w:rsidP="0000527F">
                  <w:pPr>
                    <w:spacing w:before="60" w:afterLines="40" w:after="96"/>
                    <w:jc w:val="left"/>
                    <w:rPr>
                      <w:lang w:eastAsia="ja-JP"/>
                    </w:rPr>
                  </w:pPr>
                  <w:r w:rsidRPr="00BD76AF">
                    <w:rPr>
                      <w:rFonts w:hint="eastAsia"/>
                      <w:lang w:eastAsia="ja-JP"/>
                    </w:rPr>
                    <w:t>1</w:t>
                  </w:r>
                  <w:r w:rsidRPr="00BD76AF">
                    <w:rPr>
                      <w:lang w:eastAsia="ja-JP"/>
                    </w:rPr>
                    <w:t>.1</w:t>
                  </w:r>
                </w:p>
              </w:tc>
              <w:tc>
                <w:tcPr>
                  <w:tcW w:w="2693" w:type="dxa"/>
                  <w:tcBorders>
                    <w:top w:val="double" w:sz="4" w:space="0" w:color="auto"/>
                  </w:tcBorders>
                  <w:shd w:val="clear" w:color="auto" w:fill="auto"/>
                </w:tcPr>
                <w:p w14:paraId="2B9D2AB6" w14:textId="77777777" w:rsidR="00F332DA" w:rsidRPr="00BD76AF" w:rsidRDefault="00F332DA" w:rsidP="0000527F">
                  <w:pPr>
                    <w:spacing w:before="60" w:after="60"/>
                    <w:jc w:val="left"/>
                    <w:rPr>
                      <w:color w:val="9CC2E5" w:themeColor="accent1" w:themeTint="99"/>
                    </w:rPr>
                  </w:pPr>
                  <w:r w:rsidRPr="00BD76AF">
                    <w:t>Définition - « </w:t>
                  </w:r>
                  <w:r w:rsidRPr="00BD76AF">
                    <w:rPr>
                      <w:rFonts w:ascii="Tms Rmn" w:hAnsi="Tms Rmn"/>
                      <w:lang w:eastAsia="en-US"/>
                    </w:rPr>
                    <w:t>Exigences du Maître d’ouvrage</w:t>
                  </w:r>
                  <w:r w:rsidRPr="00BD76AF">
                    <w:t> »</w:t>
                  </w:r>
                </w:p>
              </w:tc>
              <w:tc>
                <w:tcPr>
                  <w:tcW w:w="4903" w:type="dxa"/>
                  <w:tcBorders>
                    <w:top w:val="double" w:sz="4" w:space="0" w:color="auto"/>
                  </w:tcBorders>
                  <w:shd w:val="clear" w:color="auto" w:fill="auto"/>
                </w:tcPr>
                <w:p w14:paraId="477C49AE" w14:textId="77777777" w:rsidR="00F332DA" w:rsidRPr="00BD76AF" w:rsidRDefault="00F332DA" w:rsidP="00FA35D3">
                  <w:pPr>
                    <w:spacing w:before="60" w:after="60"/>
                    <w:jc w:val="left"/>
                    <w:rPr>
                      <w:b/>
                      <w:lang w:eastAsia="ja-JP"/>
                    </w:rPr>
                  </w:pPr>
                  <w:r w:rsidRPr="00BD76AF">
                    <w:rPr>
                      <w:szCs w:val="24"/>
                    </w:rPr>
                    <w:t>précise l’objet des Installations et les décrit, et/ou spécifie les critères de conception et/ou les autres conditions techniques</w:t>
                  </w:r>
                </w:p>
              </w:tc>
            </w:tr>
            <w:tr w:rsidR="00F332DA" w:rsidRPr="00BD76AF" w14:paraId="0B8BE336" w14:textId="77777777" w:rsidTr="0000527F">
              <w:tc>
                <w:tcPr>
                  <w:tcW w:w="1148" w:type="dxa"/>
                  <w:shd w:val="clear" w:color="auto" w:fill="auto"/>
                </w:tcPr>
                <w:p w14:paraId="187C52AA" w14:textId="77777777" w:rsidR="00F332DA" w:rsidRPr="00BD76AF" w:rsidRDefault="00F332DA" w:rsidP="0000527F">
                  <w:pPr>
                    <w:spacing w:before="60" w:afterLines="40" w:after="96"/>
                    <w:jc w:val="left"/>
                  </w:pPr>
                  <w:r w:rsidRPr="00BD76AF">
                    <w:rPr>
                      <w:rFonts w:hint="eastAsia"/>
                      <w:lang w:eastAsia="ja-JP"/>
                    </w:rPr>
                    <w:t>1</w:t>
                  </w:r>
                  <w:r w:rsidRPr="00BD76AF">
                    <w:rPr>
                      <w:lang w:eastAsia="ja-JP"/>
                    </w:rPr>
                    <w:t>.1</w:t>
                  </w:r>
                </w:p>
              </w:tc>
              <w:tc>
                <w:tcPr>
                  <w:tcW w:w="2693" w:type="dxa"/>
                  <w:shd w:val="clear" w:color="auto" w:fill="auto"/>
                </w:tcPr>
                <w:p w14:paraId="747C0BB0" w14:textId="77777777" w:rsidR="00F332DA" w:rsidRPr="00BD76AF" w:rsidRDefault="00F332DA" w:rsidP="0000527F">
                  <w:pPr>
                    <w:spacing w:before="60" w:afterLines="40" w:after="96"/>
                    <w:jc w:val="left"/>
                    <w:rPr>
                      <w:lang w:eastAsia="en-US"/>
                    </w:rPr>
                  </w:pPr>
                  <w:r w:rsidRPr="00BD76AF">
                    <w:t>Définition - « </w:t>
                  </w:r>
                  <w:r w:rsidRPr="00BD76AF">
                    <w:rPr>
                      <w:lang w:eastAsia="en-US"/>
                    </w:rPr>
                    <w:t>Essai(s) de garantie</w:t>
                  </w:r>
                  <w:r w:rsidRPr="00BD76AF">
                    <w:t> »</w:t>
                  </w:r>
                </w:p>
              </w:tc>
              <w:tc>
                <w:tcPr>
                  <w:tcW w:w="4903" w:type="dxa"/>
                  <w:shd w:val="clear" w:color="auto" w:fill="auto"/>
                </w:tcPr>
                <w:p w14:paraId="55D94729" w14:textId="77777777" w:rsidR="00F332DA" w:rsidRPr="00BD76AF" w:rsidRDefault="00F332DA" w:rsidP="00FA35D3">
                  <w:pPr>
                    <w:spacing w:before="60" w:after="60"/>
                    <w:jc w:val="left"/>
                    <w:rPr>
                      <w:color w:val="9CC2E5" w:themeColor="accent1" w:themeTint="99"/>
                    </w:rPr>
                  </w:pPr>
                  <w:r w:rsidRPr="00BD76AF">
                    <w:rPr>
                      <w:lang w:eastAsia="en-US"/>
                    </w:rPr>
                    <w:t>Essai(s) de garantie</w:t>
                  </w:r>
                  <w:r w:rsidRPr="00BD76AF">
                    <w:rPr>
                      <w:szCs w:val="24"/>
                    </w:rPr>
                    <w:t xml:space="preserve"> réalisé(s) afin de vérifier que les Installations ou une partie de celles-ci atteignent les Garanties opérationnelles</w:t>
                  </w:r>
                </w:p>
              </w:tc>
            </w:tr>
            <w:tr w:rsidR="00F332DA" w:rsidRPr="00BD76AF" w14:paraId="4EBCAEA4" w14:textId="77777777" w:rsidTr="0000527F">
              <w:tc>
                <w:tcPr>
                  <w:tcW w:w="1148" w:type="dxa"/>
                  <w:shd w:val="clear" w:color="auto" w:fill="auto"/>
                </w:tcPr>
                <w:p w14:paraId="10985700" w14:textId="77777777" w:rsidR="00F332DA" w:rsidRPr="00BD76AF" w:rsidRDefault="00F332DA" w:rsidP="0000527F">
                  <w:pPr>
                    <w:spacing w:before="60" w:afterLines="40" w:after="96"/>
                    <w:jc w:val="left"/>
                  </w:pPr>
                  <w:r w:rsidRPr="00BD76AF">
                    <w:rPr>
                      <w:rFonts w:hint="eastAsia"/>
                      <w:lang w:eastAsia="ja-JP"/>
                    </w:rPr>
                    <w:t>1</w:t>
                  </w:r>
                  <w:r w:rsidRPr="00BD76AF">
                    <w:rPr>
                      <w:lang w:eastAsia="ja-JP"/>
                    </w:rPr>
                    <w:t>.1</w:t>
                  </w:r>
                </w:p>
              </w:tc>
              <w:tc>
                <w:tcPr>
                  <w:tcW w:w="2693" w:type="dxa"/>
                  <w:shd w:val="clear" w:color="auto" w:fill="auto"/>
                </w:tcPr>
                <w:p w14:paraId="3F4E604F" w14:textId="77777777" w:rsidR="00F332DA" w:rsidRPr="00BD76AF" w:rsidRDefault="00F332DA" w:rsidP="0000527F">
                  <w:pPr>
                    <w:spacing w:before="60" w:afterLines="40" w:after="96"/>
                    <w:jc w:val="left"/>
                    <w:rPr>
                      <w:color w:val="9CC2E5" w:themeColor="accent1" w:themeTint="99"/>
                      <w:lang w:eastAsia="ja-JP"/>
                    </w:rPr>
                  </w:pPr>
                  <w:r w:rsidRPr="00BD76AF">
                    <w:t>Définition - « Pré-mise en service »</w:t>
                  </w:r>
                </w:p>
              </w:tc>
              <w:tc>
                <w:tcPr>
                  <w:tcW w:w="4903" w:type="dxa"/>
                  <w:shd w:val="clear" w:color="auto" w:fill="auto"/>
                </w:tcPr>
                <w:p w14:paraId="3CD19137" w14:textId="77777777" w:rsidR="00F332DA" w:rsidRPr="00BD76AF" w:rsidRDefault="00F332DA" w:rsidP="00FA35D3">
                  <w:pPr>
                    <w:spacing w:before="60" w:after="60"/>
                    <w:jc w:val="left"/>
                    <w:rPr>
                      <w:b/>
                    </w:rPr>
                  </w:pPr>
                  <w:r w:rsidRPr="00BD76AF">
                    <w:rPr>
                      <w:szCs w:val="24"/>
                    </w:rPr>
                    <w:t xml:space="preserve">essais, vérification et autres exigences que l’Entrepreneur doit effectuer en vue de </w:t>
                  </w:r>
                  <w:smartTag w:uri="urn:schemas-microsoft-com:office:smarttags" w:element="PersonName">
                    <w:smartTagPr>
                      <w:attr w:name="ProductID" w:val="la Mise"/>
                    </w:smartTagPr>
                    <w:r w:rsidRPr="00BD76AF">
                      <w:rPr>
                        <w:szCs w:val="24"/>
                      </w:rPr>
                      <w:t>la Mise</w:t>
                    </w:r>
                  </w:smartTag>
                  <w:r w:rsidRPr="00BD76AF">
                    <w:rPr>
                      <w:szCs w:val="24"/>
                    </w:rPr>
                    <w:t xml:space="preserve"> en service</w:t>
                  </w:r>
                </w:p>
              </w:tc>
            </w:tr>
            <w:tr w:rsidR="00F332DA" w:rsidRPr="00BD76AF" w14:paraId="64E876EB" w14:textId="77777777" w:rsidTr="0000527F">
              <w:tc>
                <w:tcPr>
                  <w:tcW w:w="1148" w:type="dxa"/>
                  <w:shd w:val="clear" w:color="auto" w:fill="auto"/>
                </w:tcPr>
                <w:p w14:paraId="3784A43E" w14:textId="77777777" w:rsidR="00F332DA" w:rsidRPr="00BD76AF" w:rsidRDefault="00F332DA" w:rsidP="0000527F">
                  <w:pPr>
                    <w:spacing w:before="60" w:afterLines="40" w:after="96"/>
                    <w:jc w:val="left"/>
                  </w:pPr>
                  <w:r w:rsidRPr="00BD76AF">
                    <w:rPr>
                      <w:rFonts w:hint="eastAsia"/>
                      <w:lang w:eastAsia="ja-JP"/>
                    </w:rPr>
                    <w:t>1</w:t>
                  </w:r>
                  <w:r w:rsidRPr="00BD76AF">
                    <w:rPr>
                      <w:lang w:eastAsia="ja-JP"/>
                    </w:rPr>
                    <w:t>.1</w:t>
                  </w:r>
                </w:p>
              </w:tc>
              <w:tc>
                <w:tcPr>
                  <w:tcW w:w="2693" w:type="dxa"/>
                  <w:shd w:val="clear" w:color="auto" w:fill="auto"/>
                </w:tcPr>
                <w:p w14:paraId="769DB01E" w14:textId="77777777" w:rsidR="00F332DA" w:rsidRPr="00BD76AF" w:rsidRDefault="00F332DA" w:rsidP="0000527F">
                  <w:pPr>
                    <w:spacing w:before="60" w:afterLines="40" w:after="96"/>
                    <w:jc w:val="left"/>
                    <w:rPr>
                      <w:color w:val="9CC2E5" w:themeColor="accent1" w:themeTint="99"/>
                    </w:rPr>
                  </w:pPr>
                  <w:r w:rsidRPr="00BD76AF">
                    <w:t>Définition - « Site »</w:t>
                  </w:r>
                </w:p>
              </w:tc>
              <w:tc>
                <w:tcPr>
                  <w:tcW w:w="4903" w:type="dxa"/>
                  <w:shd w:val="clear" w:color="auto" w:fill="FFFFFF" w:themeFill="background1"/>
                </w:tcPr>
                <w:p w14:paraId="1A7A67AF" w14:textId="77777777" w:rsidR="00F332DA" w:rsidRPr="00BD76AF" w:rsidRDefault="00F332DA" w:rsidP="00FA35D3">
                  <w:pPr>
                    <w:spacing w:before="60" w:after="60"/>
                    <w:jc w:val="left"/>
                    <w:rPr>
                      <w:b/>
                    </w:rPr>
                  </w:pPr>
                  <w:r w:rsidRPr="00BD76AF">
                    <w:rPr>
                      <w:szCs w:val="24"/>
                    </w:rPr>
                    <w:t>terrain et autres lieux sur lesquels les Installations doivent être montées</w:t>
                  </w:r>
                </w:p>
              </w:tc>
            </w:tr>
            <w:tr w:rsidR="00F332DA" w:rsidRPr="00BD76AF" w14:paraId="1388B27F" w14:textId="77777777" w:rsidTr="0000527F">
              <w:tc>
                <w:tcPr>
                  <w:tcW w:w="1148" w:type="dxa"/>
                  <w:tcBorders>
                    <w:bottom w:val="nil"/>
                  </w:tcBorders>
                  <w:shd w:val="clear" w:color="auto" w:fill="auto"/>
                </w:tcPr>
                <w:p w14:paraId="4527071D" w14:textId="77777777" w:rsidR="00F332DA" w:rsidRPr="00BD76AF" w:rsidRDefault="00F332DA" w:rsidP="0000527F">
                  <w:pPr>
                    <w:spacing w:before="60" w:afterLines="40" w:after="96"/>
                    <w:jc w:val="left"/>
                    <w:rPr>
                      <w:lang w:eastAsia="ja-JP"/>
                    </w:rPr>
                  </w:pPr>
                  <w:r w:rsidRPr="00BD76AF">
                    <w:rPr>
                      <w:rFonts w:hint="eastAsia"/>
                      <w:lang w:eastAsia="ja-JP"/>
                    </w:rPr>
                    <w:t>7</w:t>
                  </w:r>
                  <w:r w:rsidRPr="00BD76AF">
                    <w:rPr>
                      <w:lang w:eastAsia="ja-JP"/>
                    </w:rPr>
                    <w:t>.1</w:t>
                  </w:r>
                </w:p>
              </w:tc>
              <w:tc>
                <w:tcPr>
                  <w:tcW w:w="2693" w:type="dxa"/>
                  <w:tcBorders>
                    <w:bottom w:val="nil"/>
                  </w:tcBorders>
                  <w:shd w:val="clear" w:color="auto" w:fill="auto"/>
                </w:tcPr>
                <w:p w14:paraId="0548B30A" w14:textId="77777777" w:rsidR="00F332DA" w:rsidRPr="00BD76AF" w:rsidRDefault="00F332DA" w:rsidP="0000527F">
                  <w:pPr>
                    <w:spacing w:before="60" w:afterLines="40" w:after="96"/>
                    <w:jc w:val="left"/>
                    <w:rPr>
                      <w:lang w:eastAsia="en-US"/>
                    </w:rPr>
                  </w:pPr>
                  <w:r w:rsidRPr="00BD76AF">
                    <w:t>Descriptif des Installations</w:t>
                  </w:r>
                </w:p>
                <w:p w14:paraId="51092F65" w14:textId="77777777" w:rsidR="00F332DA" w:rsidRPr="00BD76AF" w:rsidRDefault="00F332DA" w:rsidP="0000527F">
                  <w:pPr>
                    <w:spacing w:before="60" w:afterLines="40" w:after="96"/>
                    <w:jc w:val="left"/>
                    <w:rPr>
                      <w:color w:val="9CC2E5" w:themeColor="accent1" w:themeTint="99"/>
                    </w:rPr>
                  </w:pPr>
                </w:p>
              </w:tc>
              <w:tc>
                <w:tcPr>
                  <w:tcW w:w="4903" w:type="dxa"/>
                  <w:shd w:val="clear" w:color="auto" w:fill="auto"/>
                </w:tcPr>
                <w:p w14:paraId="686C0856" w14:textId="77777777" w:rsidR="00F332DA" w:rsidRPr="00BD76AF" w:rsidRDefault="00F332DA" w:rsidP="00FA35D3">
                  <w:pPr>
                    <w:spacing w:before="60" w:after="60"/>
                    <w:jc w:val="left"/>
                    <w:rPr>
                      <w:color w:val="9CC2E5" w:themeColor="accent1" w:themeTint="99"/>
                      <w:lang w:eastAsia="ja-JP"/>
                    </w:rPr>
                  </w:pPr>
                  <w:r w:rsidRPr="00BD76AF">
                    <w:rPr>
                      <w:lang w:eastAsia="ja-JP"/>
                    </w:rPr>
                    <w:t xml:space="preserve">restrictions des obligations de </w:t>
                  </w:r>
                  <w:r w:rsidRPr="00BD76AF">
                    <w:t>l’Entrepreneur</w:t>
                  </w:r>
                  <w:r w:rsidRPr="00BD76AF">
                    <w:rPr>
                      <w:lang w:eastAsia="ja-JP"/>
                    </w:rPr>
                    <w:t xml:space="preserve"> pour la fourniture de </w:t>
                  </w:r>
                  <w:r w:rsidRPr="00BD76AF">
                    <w:rPr>
                      <w:szCs w:val="24"/>
                    </w:rPr>
                    <w:t>l’ensemble des É</w:t>
                  </w:r>
                  <w:r w:rsidRPr="00BD76AF">
                    <w:t>quipements et la r</w:t>
                  </w:r>
                  <w:r w:rsidRPr="00BD76AF">
                    <w:rPr>
                      <w:lang w:eastAsia="ja-JP"/>
                    </w:rPr>
                    <w:t>é</w:t>
                  </w:r>
                  <w:r w:rsidRPr="00BD76AF">
                    <w:t xml:space="preserve">alisation de tous les Services de montage </w:t>
                  </w:r>
                </w:p>
              </w:tc>
            </w:tr>
            <w:tr w:rsidR="00F332DA" w:rsidRPr="00BD76AF" w14:paraId="54E51EE4" w14:textId="77777777" w:rsidTr="0000527F">
              <w:tc>
                <w:tcPr>
                  <w:tcW w:w="1148" w:type="dxa"/>
                  <w:tcBorders>
                    <w:top w:val="nil"/>
                    <w:bottom w:val="single" w:sz="4" w:space="0" w:color="auto"/>
                  </w:tcBorders>
                  <w:shd w:val="clear" w:color="auto" w:fill="auto"/>
                </w:tcPr>
                <w:p w14:paraId="7E347126" w14:textId="77777777" w:rsidR="00F332DA" w:rsidRPr="00BD76AF" w:rsidRDefault="00F332DA" w:rsidP="0000527F">
                  <w:pPr>
                    <w:spacing w:before="60" w:afterLines="40" w:after="96"/>
                    <w:jc w:val="left"/>
                    <w:rPr>
                      <w:lang w:eastAsia="ja-JP"/>
                    </w:rPr>
                  </w:pPr>
                </w:p>
              </w:tc>
              <w:tc>
                <w:tcPr>
                  <w:tcW w:w="2693" w:type="dxa"/>
                  <w:tcBorders>
                    <w:top w:val="nil"/>
                    <w:bottom w:val="single" w:sz="4" w:space="0" w:color="auto"/>
                  </w:tcBorders>
                  <w:shd w:val="clear" w:color="auto" w:fill="auto"/>
                </w:tcPr>
                <w:p w14:paraId="3CE5B5CB" w14:textId="77777777" w:rsidR="00F332DA" w:rsidRPr="00BD76AF" w:rsidRDefault="00F332DA" w:rsidP="0000527F">
                  <w:pPr>
                    <w:spacing w:before="60" w:afterLines="40" w:after="96"/>
                    <w:jc w:val="left"/>
                  </w:pPr>
                </w:p>
              </w:tc>
              <w:tc>
                <w:tcPr>
                  <w:tcW w:w="4903" w:type="dxa"/>
                  <w:shd w:val="clear" w:color="auto" w:fill="auto"/>
                </w:tcPr>
                <w:p w14:paraId="537BF14E" w14:textId="77777777" w:rsidR="00F332DA" w:rsidRPr="00BD76AF" w:rsidRDefault="00F332DA" w:rsidP="00FA35D3">
                  <w:pPr>
                    <w:spacing w:before="60" w:after="60"/>
                    <w:jc w:val="left"/>
                    <w:rPr>
                      <w:color w:val="9CC2E5" w:themeColor="accent1" w:themeTint="99"/>
                    </w:rPr>
                  </w:pPr>
                  <w:r w:rsidRPr="00BD76AF">
                    <w:rPr>
                      <w:szCs w:val="24"/>
                    </w:rPr>
                    <w:t xml:space="preserve">documents qui décrivent les travaux qui seront exécutés pour réaliser les Installations </w:t>
                  </w:r>
                </w:p>
              </w:tc>
            </w:tr>
            <w:tr w:rsidR="00F332DA" w:rsidRPr="00BD76AF" w14:paraId="01326109" w14:textId="77777777" w:rsidTr="0000527F">
              <w:tc>
                <w:tcPr>
                  <w:tcW w:w="1148" w:type="dxa"/>
                  <w:tcBorders>
                    <w:top w:val="single" w:sz="4" w:space="0" w:color="auto"/>
                  </w:tcBorders>
                  <w:shd w:val="clear" w:color="auto" w:fill="auto"/>
                </w:tcPr>
                <w:p w14:paraId="74DEFDB2" w14:textId="77777777" w:rsidR="00F332DA" w:rsidRPr="00BD76AF" w:rsidRDefault="00F332DA" w:rsidP="0000527F">
                  <w:pPr>
                    <w:spacing w:before="60" w:afterLines="40" w:after="96"/>
                    <w:jc w:val="left"/>
                    <w:rPr>
                      <w:lang w:eastAsia="ja-JP"/>
                    </w:rPr>
                  </w:pPr>
                  <w:r w:rsidRPr="00BD76AF">
                    <w:rPr>
                      <w:rFonts w:hint="eastAsia"/>
                      <w:lang w:eastAsia="ja-JP"/>
                    </w:rPr>
                    <w:t>9</w:t>
                  </w:r>
                  <w:r w:rsidRPr="00BD76AF">
                    <w:rPr>
                      <w:lang w:eastAsia="ja-JP"/>
                    </w:rPr>
                    <w:t>.1</w:t>
                  </w:r>
                </w:p>
                <w:p w14:paraId="29B792F2" w14:textId="77777777" w:rsidR="00F332DA" w:rsidRPr="00BD76AF" w:rsidRDefault="00F332DA" w:rsidP="0000527F"/>
              </w:tc>
              <w:tc>
                <w:tcPr>
                  <w:tcW w:w="2693" w:type="dxa"/>
                  <w:tcBorders>
                    <w:top w:val="single" w:sz="4" w:space="0" w:color="auto"/>
                  </w:tcBorders>
                  <w:shd w:val="clear" w:color="auto" w:fill="auto"/>
                </w:tcPr>
                <w:p w14:paraId="028D1C5E" w14:textId="77777777" w:rsidR="00F332DA" w:rsidRPr="00BD76AF" w:rsidRDefault="00F332DA" w:rsidP="00FA35D3">
                  <w:pPr>
                    <w:spacing w:before="60" w:after="60"/>
                    <w:jc w:val="left"/>
                    <w:rPr>
                      <w:color w:val="9CC2E5" w:themeColor="accent1" w:themeTint="99"/>
                    </w:rPr>
                  </w:pPr>
                  <w:r w:rsidRPr="00BD76AF">
                    <w:rPr>
                      <w:lang w:eastAsia="ja-JP"/>
                    </w:rPr>
                    <w:t xml:space="preserve">Responsabilités de </w:t>
                  </w:r>
                  <w:r w:rsidRPr="00BD76AF">
                    <w:t>l’Entrepreneur</w:t>
                  </w:r>
                </w:p>
              </w:tc>
              <w:tc>
                <w:tcPr>
                  <w:tcW w:w="4903" w:type="dxa"/>
                  <w:shd w:val="clear" w:color="auto" w:fill="auto"/>
                </w:tcPr>
                <w:p w14:paraId="7A85FC70" w14:textId="77777777" w:rsidR="00F332DA" w:rsidRPr="00BD76AF" w:rsidRDefault="00F332DA" w:rsidP="0000527F">
                  <w:pPr>
                    <w:spacing w:before="60" w:after="60"/>
                    <w:jc w:val="left"/>
                    <w:rPr>
                      <w:color w:val="9CC2E5" w:themeColor="accent1" w:themeTint="99"/>
                    </w:rPr>
                  </w:pPr>
                  <w:r w:rsidRPr="00BD76AF">
                    <w:rPr>
                      <w:szCs w:val="24"/>
                    </w:rPr>
                    <w:t>usage pour lequel les Installations sont destinées</w:t>
                  </w:r>
                </w:p>
              </w:tc>
            </w:tr>
            <w:tr w:rsidR="00F332DA" w:rsidRPr="00BD76AF" w14:paraId="7118DF05" w14:textId="77777777" w:rsidTr="0000527F">
              <w:tc>
                <w:tcPr>
                  <w:tcW w:w="1148" w:type="dxa"/>
                  <w:shd w:val="clear" w:color="auto" w:fill="auto"/>
                </w:tcPr>
                <w:p w14:paraId="04C1428E" w14:textId="77777777" w:rsidR="00F332DA" w:rsidRPr="00BD76AF" w:rsidRDefault="00F332DA" w:rsidP="0000527F">
                  <w:pPr>
                    <w:spacing w:before="60" w:afterLines="40" w:after="96"/>
                    <w:jc w:val="left"/>
                    <w:rPr>
                      <w:lang w:eastAsia="ja-JP"/>
                    </w:rPr>
                  </w:pPr>
                  <w:r w:rsidRPr="00BD76AF">
                    <w:rPr>
                      <w:rFonts w:hint="eastAsia"/>
                      <w:lang w:eastAsia="ja-JP"/>
                    </w:rPr>
                    <w:t>1</w:t>
                  </w:r>
                  <w:r w:rsidRPr="00BD76AF">
                    <w:rPr>
                      <w:lang w:eastAsia="ja-JP"/>
                    </w:rPr>
                    <w:t>0.1</w:t>
                  </w:r>
                </w:p>
              </w:tc>
              <w:tc>
                <w:tcPr>
                  <w:tcW w:w="2693" w:type="dxa"/>
                  <w:shd w:val="clear" w:color="auto" w:fill="auto"/>
                </w:tcPr>
                <w:p w14:paraId="0523027B" w14:textId="77777777" w:rsidR="00F332DA" w:rsidRPr="00BD76AF" w:rsidRDefault="00F332DA" w:rsidP="0000527F">
                  <w:pPr>
                    <w:spacing w:before="60" w:afterLines="40" w:after="96"/>
                    <w:jc w:val="left"/>
                    <w:rPr>
                      <w:color w:val="9CC2E5" w:themeColor="accent1" w:themeTint="99"/>
                    </w:rPr>
                  </w:pPr>
                  <w:r w:rsidRPr="00BD76AF">
                    <w:rPr>
                      <w:lang w:eastAsia="ja-JP"/>
                    </w:rPr>
                    <w:t xml:space="preserve">Responsabilités </w:t>
                  </w:r>
                  <w:r w:rsidRPr="00BD76AF">
                    <w:rPr>
                      <w:noProof/>
                    </w:rPr>
                    <w:t>du Maître d’ouvrage</w:t>
                  </w:r>
                </w:p>
              </w:tc>
              <w:tc>
                <w:tcPr>
                  <w:tcW w:w="4903" w:type="dxa"/>
                  <w:shd w:val="clear" w:color="auto" w:fill="auto"/>
                </w:tcPr>
                <w:p w14:paraId="2B22CCD5" w14:textId="77777777" w:rsidR="00F332DA" w:rsidRPr="00BD76AF" w:rsidRDefault="00F332DA" w:rsidP="00FA35D3">
                  <w:pPr>
                    <w:spacing w:before="60" w:after="60"/>
                    <w:jc w:val="left"/>
                    <w:rPr>
                      <w:color w:val="9CC2E5" w:themeColor="accent1" w:themeTint="99"/>
                    </w:rPr>
                  </w:pPr>
                  <w:r w:rsidRPr="00BD76AF">
                    <w:rPr>
                      <w:szCs w:val="24"/>
                    </w:rPr>
                    <w:t>toutes informations et/ou données qui seront fournies par le Maître d’ouvrage</w:t>
                  </w:r>
                </w:p>
              </w:tc>
            </w:tr>
            <w:tr w:rsidR="00F332DA" w:rsidRPr="00BD76AF" w14:paraId="312BD16E" w14:textId="77777777" w:rsidTr="0000527F">
              <w:tc>
                <w:tcPr>
                  <w:tcW w:w="1148" w:type="dxa"/>
                  <w:shd w:val="clear" w:color="auto" w:fill="auto"/>
                </w:tcPr>
                <w:p w14:paraId="6230B0CF" w14:textId="77777777" w:rsidR="00F332DA" w:rsidRPr="00BD76AF" w:rsidRDefault="00F332DA" w:rsidP="0000527F">
                  <w:pPr>
                    <w:spacing w:before="60" w:afterLines="40" w:after="96"/>
                    <w:jc w:val="left"/>
                    <w:rPr>
                      <w:lang w:eastAsia="ja-JP"/>
                    </w:rPr>
                  </w:pPr>
                  <w:r w:rsidRPr="00BD76AF">
                    <w:rPr>
                      <w:rFonts w:hint="eastAsia"/>
                      <w:lang w:eastAsia="ja-JP"/>
                    </w:rPr>
                    <w:t>1</w:t>
                  </w:r>
                  <w:r w:rsidRPr="00BD76AF">
                    <w:rPr>
                      <w:lang w:eastAsia="ja-JP"/>
                    </w:rPr>
                    <w:t>0.2</w:t>
                  </w:r>
                </w:p>
              </w:tc>
              <w:tc>
                <w:tcPr>
                  <w:tcW w:w="2693" w:type="dxa"/>
                  <w:shd w:val="clear" w:color="auto" w:fill="auto"/>
                </w:tcPr>
                <w:p w14:paraId="00FBE7EB" w14:textId="77777777" w:rsidR="00F332DA" w:rsidRPr="00BD76AF" w:rsidRDefault="00F332DA" w:rsidP="00FA35D3">
                  <w:pPr>
                    <w:spacing w:before="60" w:after="60"/>
                    <w:jc w:val="left"/>
                    <w:rPr>
                      <w:color w:val="9CC2E5" w:themeColor="accent1" w:themeTint="99"/>
                    </w:rPr>
                  </w:pPr>
                  <w:r w:rsidRPr="00BD76AF">
                    <w:rPr>
                      <w:lang w:eastAsia="ja-JP"/>
                    </w:rPr>
                    <w:t xml:space="preserve">Responsabilités </w:t>
                  </w:r>
                  <w:r w:rsidRPr="00BD76AF">
                    <w:rPr>
                      <w:noProof/>
                    </w:rPr>
                    <w:t>du Maître d’ouvrage</w:t>
                  </w:r>
                </w:p>
              </w:tc>
              <w:tc>
                <w:tcPr>
                  <w:tcW w:w="4903" w:type="dxa"/>
                  <w:shd w:val="clear" w:color="auto" w:fill="auto"/>
                </w:tcPr>
                <w:p w14:paraId="5AFCD95E" w14:textId="77777777" w:rsidR="00F332DA" w:rsidRPr="00BD76AF" w:rsidRDefault="00F332DA" w:rsidP="0000527F">
                  <w:pPr>
                    <w:spacing w:before="60" w:afterLines="40" w:after="96"/>
                    <w:jc w:val="left"/>
                    <w:rPr>
                      <w:color w:val="9CC2E5" w:themeColor="accent1" w:themeTint="99"/>
                    </w:rPr>
                  </w:pPr>
                  <w:r w:rsidRPr="00BD76AF">
                    <w:t>droit relatif à la possession du Site et son accès</w:t>
                  </w:r>
                </w:p>
              </w:tc>
            </w:tr>
            <w:tr w:rsidR="00F332DA" w:rsidRPr="00BD76AF" w14:paraId="7C598286" w14:textId="77777777" w:rsidTr="0000527F">
              <w:tc>
                <w:tcPr>
                  <w:tcW w:w="1148" w:type="dxa"/>
                  <w:shd w:val="clear" w:color="auto" w:fill="auto"/>
                </w:tcPr>
                <w:p w14:paraId="790E2593" w14:textId="77777777" w:rsidR="00F332DA" w:rsidRPr="00BD76AF" w:rsidRDefault="00F332DA" w:rsidP="0000527F">
                  <w:pPr>
                    <w:spacing w:before="60" w:afterLines="40" w:after="96"/>
                    <w:jc w:val="left"/>
                    <w:rPr>
                      <w:lang w:eastAsia="ja-JP"/>
                    </w:rPr>
                  </w:pPr>
                  <w:r w:rsidRPr="00BD76AF">
                    <w:rPr>
                      <w:rFonts w:hint="eastAsia"/>
                      <w:lang w:eastAsia="ja-JP"/>
                    </w:rPr>
                    <w:t>1</w:t>
                  </w:r>
                  <w:r w:rsidRPr="00BD76AF">
                    <w:rPr>
                      <w:lang w:eastAsia="ja-JP"/>
                    </w:rPr>
                    <w:t>0.3</w:t>
                  </w:r>
                </w:p>
              </w:tc>
              <w:tc>
                <w:tcPr>
                  <w:tcW w:w="2693" w:type="dxa"/>
                  <w:shd w:val="clear" w:color="auto" w:fill="auto"/>
                </w:tcPr>
                <w:p w14:paraId="2EC47695" w14:textId="77777777" w:rsidR="00F332DA" w:rsidRPr="00BD76AF" w:rsidRDefault="00F332DA" w:rsidP="00FA35D3">
                  <w:pPr>
                    <w:spacing w:before="60" w:after="60"/>
                    <w:jc w:val="left"/>
                    <w:rPr>
                      <w:color w:val="9CC2E5" w:themeColor="accent1" w:themeTint="99"/>
                    </w:rPr>
                  </w:pPr>
                  <w:r w:rsidRPr="00BD76AF">
                    <w:rPr>
                      <w:lang w:eastAsia="ja-JP"/>
                    </w:rPr>
                    <w:t xml:space="preserve">Responsabilités </w:t>
                  </w:r>
                  <w:r w:rsidRPr="00BD76AF">
                    <w:rPr>
                      <w:noProof/>
                    </w:rPr>
                    <w:t>du Maître d’ouvrage</w:t>
                  </w:r>
                </w:p>
              </w:tc>
              <w:tc>
                <w:tcPr>
                  <w:tcW w:w="4903" w:type="dxa"/>
                  <w:shd w:val="clear" w:color="auto" w:fill="auto"/>
                </w:tcPr>
                <w:p w14:paraId="42060779" w14:textId="77777777" w:rsidR="00F332DA" w:rsidRPr="00BD76AF" w:rsidRDefault="00F332DA" w:rsidP="0000527F">
                  <w:pPr>
                    <w:spacing w:before="60" w:afterLines="40" w:after="96"/>
                    <w:jc w:val="left"/>
                    <w:rPr>
                      <w:color w:val="9CC2E5" w:themeColor="accent1" w:themeTint="99"/>
                    </w:rPr>
                  </w:pPr>
                  <w:r w:rsidRPr="00BD76AF">
                    <w:rPr>
                      <w:szCs w:val="24"/>
                    </w:rPr>
                    <w:t xml:space="preserve">permis, autorisations et licences que le Maître d’ouvrage doit obtenir et payer </w:t>
                  </w:r>
                </w:p>
              </w:tc>
            </w:tr>
            <w:tr w:rsidR="00F332DA" w:rsidRPr="00BD76AF" w14:paraId="7E9DE519" w14:textId="77777777" w:rsidTr="0000527F">
              <w:tc>
                <w:tcPr>
                  <w:tcW w:w="1148" w:type="dxa"/>
                  <w:tcBorders>
                    <w:bottom w:val="nil"/>
                  </w:tcBorders>
                  <w:shd w:val="clear" w:color="auto" w:fill="auto"/>
                </w:tcPr>
                <w:p w14:paraId="10F13928" w14:textId="77777777" w:rsidR="00F332DA" w:rsidRPr="00BD76AF" w:rsidRDefault="00F332DA" w:rsidP="0000527F">
                  <w:pPr>
                    <w:spacing w:before="60" w:afterLines="40" w:after="96"/>
                    <w:jc w:val="left"/>
                    <w:rPr>
                      <w:lang w:eastAsia="ja-JP"/>
                    </w:rPr>
                  </w:pPr>
                  <w:r w:rsidRPr="00BD76AF">
                    <w:rPr>
                      <w:rFonts w:hint="eastAsia"/>
                      <w:lang w:eastAsia="ja-JP"/>
                    </w:rPr>
                    <w:t>1</w:t>
                  </w:r>
                  <w:r w:rsidRPr="00BD76AF">
                    <w:rPr>
                      <w:lang w:eastAsia="ja-JP"/>
                    </w:rPr>
                    <w:t>0.6</w:t>
                  </w:r>
                </w:p>
              </w:tc>
              <w:tc>
                <w:tcPr>
                  <w:tcW w:w="2693" w:type="dxa"/>
                  <w:tcBorders>
                    <w:bottom w:val="nil"/>
                  </w:tcBorders>
                  <w:shd w:val="clear" w:color="auto" w:fill="auto"/>
                </w:tcPr>
                <w:p w14:paraId="112A6B5B" w14:textId="77777777" w:rsidR="00F332DA" w:rsidRPr="00BD76AF" w:rsidRDefault="00F332DA" w:rsidP="0000527F">
                  <w:pPr>
                    <w:spacing w:before="60" w:afterLines="40" w:after="96"/>
                    <w:jc w:val="left"/>
                    <w:rPr>
                      <w:color w:val="9CC2E5" w:themeColor="accent1" w:themeTint="99"/>
                    </w:rPr>
                  </w:pPr>
                  <w:r w:rsidRPr="00BD76AF">
                    <w:rPr>
                      <w:lang w:eastAsia="ja-JP"/>
                    </w:rPr>
                    <w:t xml:space="preserve">Responsabilités </w:t>
                  </w:r>
                  <w:r w:rsidRPr="00BD76AF">
                    <w:rPr>
                      <w:noProof/>
                    </w:rPr>
                    <w:t>du Maître d’ouvrage</w:t>
                  </w:r>
                </w:p>
              </w:tc>
              <w:tc>
                <w:tcPr>
                  <w:tcW w:w="4903" w:type="dxa"/>
                  <w:shd w:val="clear" w:color="auto" w:fill="auto"/>
                </w:tcPr>
                <w:p w14:paraId="236541E6" w14:textId="77777777" w:rsidR="00F332DA" w:rsidRPr="00BD76AF" w:rsidRDefault="00F332DA" w:rsidP="00FA35D3">
                  <w:pPr>
                    <w:spacing w:before="60" w:after="60"/>
                    <w:jc w:val="left"/>
                    <w:rPr>
                      <w:noProof/>
                      <w:color w:val="9CC2E5" w:themeColor="accent1" w:themeTint="99"/>
                    </w:rPr>
                  </w:pPr>
                  <w:r w:rsidRPr="00BD76AF">
                    <w:rPr>
                      <w:szCs w:val="24"/>
                    </w:rPr>
                    <w:t>personnel d’exploitation et de maintenance qui seront fournis par le Maître d’ouvrage pour la Pré-mise en service</w:t>
                  </w:r>
                </w:p>
              </w:tc>
            </w:tr>
            <w:tr w:rsidR="00F332DA" w:rsidRPr="00BD76AF" w14:paraId="27F3142F" w14:textId="77777777" w:rsidTr="0000527F">
              <w:tc>
                <w:tcPr>
                  <w:tcW w:w="1148" w:type="dxa"/>
                  <w:tcBorders>
                    <w:top w:val="nil"/>
                    <w:bottom w:val="nil"/>
                  </w:tcBorders>
                  <w:shd w:val="clear" w:color="auto" w:fill="auto"/>
                </w:tcPr>
                <w:p w14:paraId="0A6AFA67" w14:textId="77777777" w:rsidR="00F332DA" w:rsidRPr="00BD76AF" w:rsidRDefault="00F332DA" w:rsidP="0000527F">
                  <w:pPr>
                    <w:spacing w:before="60" w:afterLines="40" w:after="96"/>
                    <w:jc w:val="left"/>
                    <w:rPr>
                      <w:lang w:eastAsia="ja-JP"/>
                    </w:rPr>
                  </w:pPr>
                </w:p>
              </w:tc>
              <w:tc>
                <w:tcPr>
                  <w:tcW w:w="2693" w:type="dxa"/>
                  <w:tcBorders>
                    <w:top w:val="nil"/>
                    <w:bottom w:val="nil"/>
                  </w:tcBorders>
                  <w:shd w:val="clear" w:color="auto" w:fill="auto"/>
                </w:tcPr>
                <w:p w14:paraId="451500E2" w14:textId="77777777" w:rsidR="00F332DA" w:rsidRPr="00BD76AF" w:rsidRDefault="00F332DA" w:rsidP="0000527F">
                  <w:pPr>
                    <w:spacing w:before="60" w:afterLines="40" w:after="96"/>
                    <w:jc w:val="left"/>
                    <w:rPr>
                      <w:lang w:eastAsia="ja-JP"/>
                    </w:rPr>
                  </w:pPr>
                </w:p>
              </w:tc>
              <w:tc>
                <w:tcPr>
                  <w:tcW w:w="4903" w:type="dxa"/>
                  <w:shd w:val="clear" w:color="auto" w:fill="auto"/>
                </w:tcPr>
                <w:p w14:paraId="51CFB22C" w14:textId="77777777" w:rsidR="00F332DA" w:rsidRPr="00BD76AF" w:rsidRDefault="00F332DA" w:rsidP="00FA35D3">
                  <w:pPr>
                    <w:spacing w:before="60" w:after="60"/>
                    <w:jc w:val="left"/>
                    <w:rPr>
                      <w:szCs w:val="24"/>
                    </w:rPr>
                  </w:pPr>
                  <w:r w:rsidRPr="00BD76AF">
                    <w:rPr>
                      <w:szCs w:val="24"/>
                    </w:rPr>
                    <w:t>matières premières, combustibles, lubrifiants, produits chimiques, catalyseurs, autres matériaux et outils d’installation qui seront fournis par le Maître d’ouvrage</w:t>
                  </w:r>
                </w:p>
              </w:tc>
            </w:tr>
            <w:tr w:rsidR="00F332DA" w:rsidRPr="00BD76AF" w14:paraId="15CA1B53" w14:textId="77777777" w:rsidTr="00FA35D3">
              <w:tc>
                <w:tcPr>
                  <w:tcW w:w="1148" w:type="dxa"/>
                  <w:tcBorders>
                    <w:top w:val="nil"/>
                    <w:bottom w:val="single" w:sz="4" w:space="0" w:color="auto"/>
                  </w:tcBorders>
                  <w:shd w:val="clear" w:color="auto" w:fill="auto"/>
                </w:tcPr>
                <w:p w14:paraId="335A0C84" w14:textId="77777777" w:rsidR="00F332DA" w:rsidRPr="00BD76AF" w:rsidRDefault="00F332DA" w:rsidP="0000527F">
                  <w:pPr>
                    <w:spacing w:before="60" w:afterLines="40" w:after="96"/>
                    <w:jc w:val="left"/>
                    <w:rPr>
                      <w:lang w:eastAsia="ja-JP"/>
                    </w:rPr>
                  </w:pPr>
                </w:p>
              </w:tc>
              <w:tc>
                <w:tcPr>
                  <w:tcW w:w="2693" w:type="dxa"/>
                  <w:tcBorders>
                    <w:top w:val="nil"/>
                    <w:bottom w:val="single" w:sz="4" w:space="0" w:color="auto"/>
                  </w:tcBorders>
                  <w:shd w:val="clear" w:color="auto" w:fill="auto"/>
                </w:tcPr>
                <w:p w14:paraId="209EFBB2" w14:textId="77777777" w:rsidR="00F332DA" w:rsidRPr="00BD76AF" w:rsidRDefault="00F332DA" w:rsidP="0000527F">
                  <w:pPr>
                    <w:spacing w:before="60" w:afterLines="40" w:after="96"/>
                    <w:jc w:val="left"/>
                    <w:rPr>
                      <w:lang w:eastAsia="ja-JP"/>
                    </w:rPr>
                  </w:pPr>
                </w:p>
              </w:tc>
              <w:tc>
                <w:tcPr>
                  <w:tcW w:w="4903" w:type="dxa"/>
                  <w:tcBorders>
                    <w:bottom w:val="single" w:sz="4" w:space="0" w:color="auto"/>
                  </w:tcBorders>
                  <w:shd w:val="clear" w:color="auto" w:fill="auto"/>
                </w:tcPr>
                <w:p w14:paraId="0E2AAA0B" w14:textId="77777777" w:rsidR="00F332DA" w:rsidRPr="00BD76AF" w:rsidRDefault="00F332DA" w:rsidP="00FA35D3">
                  <w:pPr>
                    <w:spacing w:before="60" w:after="60"/>
                    <w:jc w:val="left"/>
                    <w:rPr>
                      <w:szCs w:val="24"/>
                    </w:rPr>
                  </w:pPr>
                  <w:r w:rsidRPr="00BD76AF">
                    <w:rPr>
                      <w:szCs w:val="24"/>
                    </w:rPr>
                    <w:t>travaux et services qui seront effectués par le Maître d’ouvrage</w:t>
                  </w:r>
                </w:p>
              </w:tc>
            </w:tr>
            <w:tr w:rsidR="00F332DA" w:rsidRPr="00BD76AF" w14:paraId="31C0BCBF" w14:textId="77777777" w:rsidTr="00FA35D3">
              <w:tc>
                <w:tcPr>
                  <w:tcW w:w="1148" w:type="dxa"/>
                  <w:tcBorders>
                    <w:top w:val="single" w:sz="4" w:space="0" w:color="auto"/>
                  </w:tcBorders>
                  <w:shd w:val="clear" w:color="auto" w:fill="auto"/>
                </w:tcPr>
                <w:p w14:paraId="058702E4" w14:textId="77777777" w:rsidR="00F332DA" w:rsidRPr="00BD76AF" w:rsidRDefault="00F332DA" w:rsidP="0000527F">
                  <w:pPr>
                    <w:rPr>
                      <w:lang w:eastAsia="ja-JP"/>
                    </w:rPr>
                  </w:pPr>
                  <w:r w:rsidRPr="00BD76AF">
                    <w:rPr>
                      <w:rFonts w:hint="eastAsia"/>
                      <w:lang w:eastAsia="ja-JP"/>
                    </w:rPr>
                    <w:t>2</w:t>
                  </w:r>
                  <w:r w:rsidRPr="00BD76AF">
                    <w:rPr>
                      <w:lang w:eastAsia="ja-JP"/>
                    </w:rPr>
                    <w:t>1.2</w:t>
                  </w:r>
                </w:p>
              </w:tc>
              <w:tc>
                <w:tcPr>
                  <w:tcW w:w="2693" w:type="dxa"/>
                  <w:tcBorders>
                    <w:top w:val="single" w:sz="4" w:space="0" w:color="auto"/>
                  </w:tcBorders>
                  <w:shd w:val="clear" w:color="auto" w:fill="auto"/>
                </w:tcPr>
                <w:p w14:paraId="2786A019" w14:textId="77777777" w:rsidR="00F332DA" w:rsidRPr="00BD76AF" w:rsidRDefault="00F332DA" w:rsidP="00FA35D3">
                  <w:pPr>
                    <w:jc w:val="left"/>
                    <w:rPr>
                      <w:color w:val="9CC2E5" w:themeColor="accent1" w:themeTint="99"/>
                    </w:rPr>
                  </w:pPr>
                  <w:r w:rsidRPr="00BD76AF">
                    <w:t xml:space="preserve">Acquisition - </w:t>
                  </w:r>
                  <w:r w:rsidRPr="00BD76AF">
                    <w:rPr>
                      <w:szCs w:val="24"/>
                    </w:rPr>
                    <w:t>É</w:t>
                  </w:r>
                  <w:r w:rsidRPr="00BD76AF">
                    <w:t xml:space="preserve">quipements fournis par le </w:t>
                  </w:r>
                  <w:r w:rsidRPr="00BD76AF">
                    <w:rPr>
                      <w:noProof/>
                    </w:rPr>
                    <w:t>Maître d’ouvrage</w:t>
                  </w:r>
                </w:p>
              </w:tc>
              <w:tc>
                <w:tcPr>
                  <w:tcW w:w="4903" w:type="dxa"/>
                  <w:tcBorders>
                    <w:top w:val="single" w:sz="4" w:space="0" w:color="auto"/>
                  </w:tcBorders>
                  <w:shd w:val="clear" w:color="auto" w:fill="auto"/>
                </w:tcPr>
                <w:p w14:paraId="72B8AC8E" w14:textId="77777777" w:rsidR="00F332DA" w:rsidRPr="00BD76AF" w:rsidRDefault="00F332DA" w:rsidP="00FA35D3">
                  <w:pPr>
                    <w:jc w:val="left"/>
                    <w:rPr>
                      <w:color w:val="9CC2E5" w:themeColor="accent1" w:themeTint="99"/>
                    </w:rPr>
                  </w:pPr>
                  <w:r w:rsidRPr="00BD76AF">
                    <w:rPr>
                      <w:szCs w:val="24"/>
                    </w:rPr>
                    <w:t>éléments spécifiques d’équipement que le Maître d’ouvrage fournira, le cas échéant, à l’Entrepreneur</w:t>
                  </w:r>
                  <w:r w:rsidRPr="00BD76AF">
                    <w:rPr>
                      <w:color w:val="9CC2E5" w:themeColor="accent1" w:themeTint="99"/>
                    </w:rPr>
                    <w:t xml:space="preserve"> </w:t>
                  </w:r>
                </w:p>
              </w:tc>
            </w:tr>
            <w:tr w:rsidR="00F332DA" w:rsidRPr="00BD76AF" w14:paraId="2FF7A821" w14:textId="77777777" w:rsidTr="0000527F">
              <w:tc>
                <w:tcPr>
                  <w:tcW w:w="1148" w:type="dxa"/>
                  <w:shd w:val="clear" w:color="auto" w:fill="auto"/>
                </w:tcPr>
                <w:p w14:paraId="4A15BA49" w14:textId="77777777" w:rsidR="00F332DA" w:rsidRPr="00BD76AF" w:rsidRDefault="00F332DA" w:rsidP="0000527F">
                  <w:pPr>
                    <w:rPr>
                      <w:lang w:eastAsia="ja-JP"/>
                    </w:rPr>
                  </w:pPr>
                  <w:r w:rsidRPr="00BD76AF">
                    <w:rPr>
                      <w:rFonts w:hint="eastAsia"/>
                      <w:lang w:eastAsia="ja-JP"/>
                    </w:rPr>
                    <w:t>2</w:t>
                  </w:r>
                  <w:r w:rsidRPr="00BD76AF">
                    <w:rPr>
                      <w:lang w:eastAsia="ja-JP"/>
                    </w:rPr>
                    <w:t>1.3</w:t>
                  </w:r>
                </w:p>
              </w:tc>
              <w:tc>
                <w:tcPr>
                  <w:tcW w:w="2693" w:type="dxa"/>
                  <w:shd w:val="clear" w:color="auto" w:fill="auto"/>
                </w:tcPr>
                <w:p w14:paraId="3E9866A0" w14:textId="77777777" w:rsidR="00F332DA" w:rsidRPr="00BD76AF" w:rsidRDefault="00F332DA" w:rsidP="00FA35D3">
                  <w:pPr>
                    <w:spacing w:afterLines="60" w:after="144"/>
                    <w:jc w:val="left"/>
                    <w:rPr>
                      <w:color w:val="9CC2E5" w:themeColor="accent1" w:themeTint="99"/>
                    </w:rPr>
                  </w:pPr>
                  <w:r w:rsidRPr="00BD76AF">
                    <w:t>Acquisition - Transport</w:t>
                  </w:r>
                </w:p>
              </w:tc>
              <w:tc>
                <w:tcPr>
                  <w:tcW w:w="4903" w:type="dxa"/>
                  <w:shd w:val="clear" w:color="auto" w:fill="auto"/>
                </w:tcPr>
                <w:p w14:paraId="77A5D55F" w14:textId="77777777" w:rsidR="00F332DA" w:rsidRPr="00BD76AF" w:rsidRDefault="00F332DA" w:rsidP="00FA35D3">
                  <w:pPr>
                    <w:spacing w:afterLines="60" w:after="144"/>
                    <w:jc w:val="left"/>
                    <w:rPr>
                      <w:color w:val="9CC2E5" w:themeColor="accent1" w:themeTint="99"/>
                    </w:rPr>
                  </w:pPr>
                  <w:r w:rsidRPr="00BD76AF">
                    <w:rPr>
                      <w:szCs w:val="24"/>
                    </w:rPr>
                    <w:t>mode de transport exigé, le cas échéant, par le Maître d’ouvrage de l’Entrepreneur pour le transport du matériel et des É</w:t>
                  </w:r>
                  <w:r w:rsidRPr="00BD76AF">
                    <w:t>q</w:t>
                  </w:r>
                  <w:r w:rsidRPr="00BD76AF">
                    <w:rPr>
                      <w:szCs w:val="24"/>
                    </w:rPr>
                    <w:t xml:space="preserve">uipements de l’Entrepreneur </w:t>
                  </w:r>
                </w:p>
              </w:tc>
            </w:tr>
            <w:tr w:rsidR="00F332DA" w:rsidRPr="00BD76AF" w14:paraId="443E42DF" w14:textId="77777777" w:rsidTr="0000527F">
              <w:tc>
                <w:tcPr>
                  <w:tcW w:w="1148" w:type="dxa"/>
                  <w:shd w:val="clear" w:color="auto" w:fill="auto"/>
                </w:tcPr>
                <w:p w14:paraId="4AF9D553" w14:textId="77777777" w:rsidR="00F332DA" w:rsidRPr="00BD76AF" w:rsidRDefault="00F332DA" w:rsidP="0000527F">
                  <w:pPr>
                    <w:rPr>
                      <w:lang w:eastAsia="ja-JP"/>
                    </w:rPr>
                  </w:pPr>
                  <w:r w:rsidRPr="00BD76AF">
                    <w:rPr>
                      <w:rFonts w:hint="eastAsia"/>
                      <w:lang w:eastAsia="ja-JP"/>
                    </w:rPr>
                    <w:t>2</w:t>
                  </w:r>
                  <w:r w:rsidRPr="00BD76AF">
                    <w:rPr>
                      <w:lang w:eastAsia="ja-JP"/>
                    </w:rPr>
                    <w:t>2.4.1</w:t>
                  </w:r>
                </w:p>
              </w:tc>
              <w:tc>
                <w:tcPr>
                  <w:tcW w:w="2693" w:type="dxa"/>
                  <w:shd w:val="clear" w:color="auto" w:fill="auto"/>
                </w:tcPr>
                <w:p w14:paraId="6D79BB19" w14:textId="77777777" w:rsidR="00F332DA" w:rsidRPr="00BD76AF" w:rsidRDefault="00F332DA" w:rsidP="00FA35D3">
                  <w:pPr>
                    <w:spacing w:afterLines="60" w:after="144"/>
                    <w:jc w:val="left"/>
                    <w:rPr>
                      <w:color w:val="9CC2E5" w:themeColor="accent1" w:themeTint="99"/>
                    </w:rPr>
                  </w:pPr>
                  <w:r w:rsidRPr="00BD76AF">
                    <w:t xml:space="preserve">Montage - </w:t>
                  </w:r>
                  <w:r w:rsidRPr="00BD76AF">
                    <w:rPr>
                      <w:noProof/>
                    </w:rPr>
                    <w:t>Personnel et main-d’œuvre</w:t>
                  </w:r>
                  <w:r w:rsidRPr="00BD76AF">
                    <w:t> - Recrutement du personnel et de la main-d’œuvre</w:t>
                  </w:r>
                </w:p>
              </w:tc>
              <w:tc>
                <w:tcPr>
                  <w:tcW w:w="4903" w:type="dxa"/>
                  <w:shd w:val="clear" w:color="auto" w:fill="auto"/>
                </w:tcPr>
                <w:p w14:paraId="720BA823" w14:textId="77777777" w:rsidR="00F332DA" w:rsidRPr="00BD76AF" w:rsidRDefault="00F332DA" w:rsidP="00FA35D3">
                  <w:pPr>
                    <w:spacing w:afterLines="60" w:after="144"/>
                    <w:jc w:val="left"/>
                    <w:rPr>
                      <w:color w:val="9CC2E5" w:themeColor="accent1" w:themeTint="99"/>
                    </w:rPr>
                  </w:pPr>
                  <w:r w:rsidRPr="00BD76AF">
                    <w:rPr>
                      <w:noProof/>
                    </w:rPr>
                    <w:t xml:space="preserve">dispositions pour </w:t>
                  </w:r>
                  <w:r w:rsidRPr="00BD76AF">
                    <w:t>l</w:t>
                  </w:r>
                  <w:r w:rsidRPr="00BD76AF">
                    <w:rPr>
                      <w:lang w:eastAsia="ja-JP"/>
                    </w:rPr>
                    <w:t>e recrutement</w:t>
                  </w:r>
                  <w:r w:rsidRPr="00BD76AF">
                    <w:t xml:space="preserve"> du</w:t>
                  </w:r>
                  <w:r w:rsidRPr="00BD76AF">
                    <w:rPr>
                      <w:noProof/>
                    </w:rPr>
                    <w:t xml:space="preserve"> personnel et de la main-d’œuvre, et pour leur rémunération, leur hébergement, leur restauration et leur transport</w:t>
                  </w:r>
                </w:p>
              </w:tc>
            </w:tr>
            <w:tr w:rsidR="00F332DA" w:rsidRPr="00BD76AF" w14:paraId="5DF3A3D4" w14:textId="77777777" w:rsidTr="0000527F">
              <w:tc>
                <w:tcPr>
                  <w:tcW w:w="1148" w:type="dxa"/>
                  <w:tcBorders>
                    <w:bottom w:val="nil"/>
                  </w:tcBorders>
                  <w:shd w:val="clear" w:color="auto" w:fill="auto"/>
                </w:tcPr>
                <w:p w14:paraId="23983E1B" w14:textId="77777777" w:rsidR="00F332DA" w:rsidRPr="00BD76AF" w:rsidRDefault="00F332DA" w:rsidP="0000527F">
                  <w:pPr>
                    <w:rPr>
                      <w:lang w:eastAsia="ja-JP"/>
                    </w:rPr>
                  </w:pPr>
                  <w:r w:rsidRPr="00BD76AF">
                    <w:rPr>
                      <w:rFonts w:hint="eastAsia"/>
                      <w:lang w:eastAsia="ja-JP"/>
                    </w:rPr>
                    <w:t>2</w:t>
                  </w:r>
                  <w:r w:rsidRPr="00BD76AF">
                    <w:rPr>
                      <w:lang w:eastAsia="ja-JP"/>
                    </w:rPr>
                    <w:t>2.4.6</w:t>
                  </w:r>
                </w:p>
              </w:tc>
              <w:tc>
                <w:tcPr>
                  <w:tcW w:w="2693" w:type="dxa"/>
                  <w:tcBorders>
                    <w:bottom w:val="nil"/>
                  </w:tcBorders>
                  <w:shd w:val="clear" w:color="auto" w:fill="auto"/>
                </w:tcPr>
                <w:p w14:paraId="2293442A" w14:textId="77777777" w:rsidR="00F332DA" w:rsidRPr="00BD76AF" w:rsidRDefault="00F332DA" w:rsidP="00FA35D3">
                  <w:pPr>
                    <w:spacing w:afterLines="60" w:after="144"/>
                    <w:jc w:val="left"/>
                    <w:rPr>
                      <w:color w:val="9CC2E5" w:themeColor="accent1" w:themeTint="99"/>
                    </w:rPr>
                  </w:pPr>
                  <w:r w:rsidRPr="00BD76AF">
                    <w:t xml:space="preserve">Montage - </w:t>
                  </w:r>
                  <w:r w:rsidRPr="00BD76AF">
                    <w:rPr>
                      <w:noProof/>
                    </w:rPr>
                    <w:t>Personnel et main-d’œuvre</w:t>
                  </w:r>
                  <w:r w:rsidRPr="00BD76AF">
                    <w:t> - Hébergement du personnel et de la main-d’œuvre</w:t>
                  </w:r>
                </w:p>
              </w:tc>
              <w:tc>
                <w:tcPr>
                  <w:tcW w:w="4903" w:type="dxa"/>
                  <w:shd w:val="clear" w:color="auto" w:fill="auto"/>
                </w:tcPr>
                <w:p w14:paraId="06AAB523" w14:textId="77777777" w:rsidR="00F332DA" w:rsidRPr="00BD76AF" w:rsidRDefault="00F332DA" w:rsidP="00FA35D3">
                  <w:pPr>
                    <w:spacing w:afterLines="60" w:after="144"/>
                    <w:jc w:val="left"/>
                    <w:rPr>
                      <w:color w:val="9CC2E5" w:themeColor="accent1" w:themeTint="99"/>
                    </w:rPr>
                  </w:pPr>
                  <w:r w:rsidRPr="00BD76AF">
                    <w:rPr>
                      <w:noProof/>
                    </w:rPr>
                    <w:t>logements et installations de bien-être</w:t>
                  </w:r>
                  <w:r w:rsidRPr="00BD76AF">
                    <w:rPr>
                      <w:i/>
                      <w:szCs w:val="24"/>
                    </w:rPr>
                    <w:t xml:space="preserve"> </w:t>
                  </w:r>
                  <w:r w:rsidRPr="00BD76AF">
                    <w:rPr>
                      <w:szCs w:val="24"/>
                    </w:rPr>
                    <w:t xml:space="preserve">(le cas échéant) </w:t>
                  </w:r>
                  <w:r w:rsidRPr="00BD76AF">
                    <w:rPr>
                      <w:noProof/>
                    </w:rPr>
                    <w:t>pour le personnel de l’Entrepreneur</w:t>
                  </w:r>
                </w:p>
              </w:tc>
            </w:tr>
            <w:tr w:rsidR="00F332DA" w:rsidRPr="00BD76AF" w14:paraId="2935DA0F" w14:textId="77777777" w:rsidTr="0000527F">
              <w:tc>
                <w:tcPr>
                  <w:tcW w:w="1148" w:type="dxa"/>
                  <w:tcBorders>
                    <w:top w:val="nil"/>
                    <w:bottom w:val="single" w:sz="4" w:space="0" w:color="auto"/>
                  </w:tcBorders>
                  <w:shd w:val="clear" w:color="auto" w:fill="auto"/>
                </w:tcPr>
                <w:p w14:paraId="66E0EAFB" w14:textId="77777777" w:rsidR="00F332DA" w:rsidRPr="00BD76AF" w:rsidRDefault="00F332DA" w:rsidP="0000527F">
                  <w:pPr>
                    <w:rPr>
                      <w:lang w:eastAsia="ja-JP"/>
                    </w:rPr>
                  </w:pPr>
                </w:p>
              </w:tc>
              <w:tc>
                <w:tcPr>
                  <w:tcW w:w="2693" w:type="dxa"/>
                  <w:tcBorders>
                    <w:top w:val="nil"/>
                    <w:bottom w:val="single" w:sz="4" w:space="0" w:color="auto"/>
                  </w:tcBorders>
                  <w:shd w:val="clear" w:color="auto" w:fill="auto"/>
                </w:tcPr>
                <w:p w14:paraId="5DA39FC2" w14:textId="77777777" w:rsidR="00F332DA" w:rsidRPr="00BD76AF" w:rsidRDefault="00F332DA" w:rsidP="00FA35D3">
                  <w:pPr>
                    <w:spacing w:afterLines="60" w:after="144"/>
                    <w:jc w:val="left"/>
                  </w:pPr>
                </w:p>
              </w:tc>
              <w:tc>
                <w:tcPr>
                  <w:tcW w:w="4903" w:type="dxa"/>
                  <w:shd w:val="clear" w:color="auto" w:fill="auto"/>
                </w:tcPr>
                <w:p w14:paraId="6934C9FD" w14:textId="77777777" w:rsidR="00F332DA" w:rsidRPr="00BD76AF" w:rsidRDefault="00F332DA" w:rsidP="0000527F">
                  <w:pPr>
                    <w:spacing w:afterLines="60" w:after="144"/>
                    <w:rPr>
                      <w:noProof/>
                    </w:rPr>
                  </w:pPr>
                  <w:r w:rsidRPr="00BD76AF">
                    <w:rPr>
                      <w:noProof/>
                    </w:rPr>
                    <w:t>installations qui seront fournies par</w:t>
                  </w:r>
                  <w:r w:rsidRPr="00BD76AF">
                    <w:rPr>
                      <w:i/>
                      <w:noProof/>
                    </w:rPr>
                    <w:t xml:space="preserve"> </w:t>
                  </w:r>
                  <w:r w:rsidRPr="00BD76AF">
                    <w:rPr>
                      <w:noProof/>
                    </w:rPr>
                    <w:t xml:space="preserve">l’Entrepreneur pour le personnel du </w:t>
                  </w:r>
                  <w:r w:rsidRPr="00BD76AF">
                    <w:rPr>
                      <w:szCs w:val="24"/>
                    </w:rPr>
                    <w:t>Maître d’ouvrage</w:t>
                  </w:r>
                </w:p>
              </w:tc>
            </w:tr>
            <w:tr w:rsidR="00F332DA" w:rsidRPr="00BD76AF" w14:paraId="5C24C9C2" w14:textId="77777777" w:rsidTr="0000527F">
              <w:tc>
                <w:tcPr>
                  <w:tcW w:w="1148" w:type="dxa"/>
                  <w:tcBorders>
                    <w:top w:val="single" w:sz="4" w:space="0" w:color="auto"/>
                  </w:tcBorders>
                  <w:shd w:val="clear" w:color="auto" w:fill="auto"/>
                </w:tcPr>
                <w:p w14:paraId="11FB418D" w14:textId="77777777" w:rsidR="00F332DA" w:rsidRPr="00BD76AF" w:rsidRDefault="00F332DA" w:rsidP="0000527F">
                  <w:pPr>
                    <w:rPr>
                      <w:lang w:eastAsia="ja-JP"/>
                    </w:rPr>
                  </w:pPr>
                  <w:r w:rsidRPr="00BD76AF">
                    <w:rPr>
                      <w:rFonts w:hint="eastAsia"/>
                      <w:lang w:eastAsia="ja-JP"/>
                    </w:rPr>
                    <w:t>2</w:t>
                  </w:r>
                  <w:r w:rsidRPr="00BD76AF">
                    <w:rPr>
                      <w:lang w:eastAsia="ja-JP"/>
                    </w:rPr>
                    <w:t>2.4.11</w:t>
                  </w:r>
                </w:p>
              </w:tc>
              <w:tc>
                <w:tcPr>
                  <w:tcW w:w="2693" w:type="dxa"/>
                  <w:tcBorders>
                    <w:top w:val="single" w:sz="4" w:space="0" w:color="auto"/>
                  </w:tcBorders>
                  <w:shd w:val="clear" w:color="auto" w:fill="auto"/>
                </w:tcPr>
                <w:p w14:paraId="6F0E785D" w14:textId="77777777" w:rsidR="00F332DA" w:rsidRPr="00BD76AF" w:rsidRDefault="00F332DA" w:rsidP="00FA35D3">
                  <w:pPr>
                    <w:spacing w:afterLines="60" w:after="144"/>
                    <w:jc w:val="left"/>
                    <w:rPr>
                      <w:color w:val="9CC2E5" w:themeColor="accent1" w:themeTint="99"/>
                    </w:rPr>
                  </w:pPr>
                  <w:r w:rsidRPr="00BD76AF">
                    <w:t xml:space="preserve">Montage - </w:t>
                  </w:r>
                  <w:r w:rsidRPr="00BD76AF">
                    <w:rPr>
                      <w:noProof/>
                    </w:rPr>
                    <w:t>Personnel et main-d’œuvre</w:t>
                  </w:r>
                  <w:r w:rsidRPr="00BD76AF">
                    <w:t> - Fourniture de denrées alimentaires</w:t>
                  </w:r>
                </w:p>
              </w:tc>
              <w:tc>
                <w:tcPr>
                  <w:tcW w:w="4903" w:type="dxa"/>
                  <w:shd w:val="clear" w:color="auto" w:fill="auto"/>
                </w:tcPr>
                <w:p w14:paraId="192C8631" w14:textId="77777777" w:rsidR="00F332DA" w:rsidRPr="00BD76AF" w:rsidRDefault="00F332DA" w:rsidP="0000527F">
                  <w:pPr>
                    <w:spacing w:afterLines="60" w:after="144"/>
                    <w:rPr>
                      <w:color w:val="9CC2E5" w:themeColor="accent1" w:themeTint="99"/>
                    </w:rPr>
                  </w:pPr>
                  <w:r w:rsidRPr="00BD76AF">
                    <w:rPr>
                      <w:noProof/>
                    </w:rPr>
                    <w:t>denrées alimentaires qui seront fournies par l’Entrepreneur</w:t>
                  </w:r>
                </w:p>
              </w:tc>
            </w:tr>
            <w:tr w:rsidR="00F332DA" w:rsidRPr="00BD76AF" w14:paraId="508F1F27" w14:textId="77777777" w:rsidTr="0000527F">
              <w:tc>
                <w:tcPr>
                  <w:tcW w:w="1148" w:type="dxa"/>
                  <w:shd w:val="clear" w:color="auto" w:fill="auto"/>
                </w:tcPr>
                <w:p w14:paraId="0A5D0E04" w14:textId="77777777" w:rsidR="00F332DA" w:rsidRPr="00BD76AF" w:rsidRDefault="00F332DA" w:rsidP="0000527F">
                  <w:pPr>
                    <w:spacing w:before="60" w:afterLines="40" w:after="96"/>
                    <w:jc w:val="left"/>
                    <w:rPr>
                      <w:lang w:eastAsia="ja-JP"/>
                    </w:rPr>
                  </w:pPr>
                  <w:r w:rsidRPr="00BD76AF">
                    <w:rPr>
                      <w:rFonts w:hint="eastAsia"/>
                      <w:lang w:eastAsia="ja-JP"/>
                    </w:rPr>
                    <w:t>2</w:t>
                  </w:r>
                  <w:r w:rsidRPr="00BD76AF">
                    <w:rPr>
                      <w:lang w:eastAsia="ja-JP"/>
                    </w:rPr>
                    <w:t>2.5</w:t>
                  </w:r>
                </w:p>
              </w:tc>
              <w:tc>
                <w:tcPr>
                  <w:tcW w:w="2693" w:type="dxa"/>
                  <w:shd w:val="clear" w:color="auto" w:fill="auto"/>
                </w:tcPr>
                <w:p w14:paraId="2EEF7091" w14:textId="77777777" w:rsidR="00F332DA" w:rsidRPr="00BD76AF" w:rsidRDefault="00F332DA" w:rsidP="00FA35D3">
                  <w:pPr>
                    <w:spacing w:afterLines="60" w:after="144"/>
                    <w:jc w:val="left"/>
                    <w:rPr>
                      <w:color w:val="9CC2E5" w:themeColor="accent1" w:themeTint="99"/>
                    </w:rPr>
                  </w:pPr>
                  <w:r w:rsidRPr="00BD76AF">
                    <w:rPr>
                      <w:lang w:val="en-US"/>
                    </w:rPr>
                    <w:t>Montage</w:t>
                  </w:r>
                  <w:r w:rsidRPr="00BD76AF">
                    <w:t> </w:t>
                  </w:r>
                  <w:r w:rsidRPr="00BD76AF">
                    <w:rPr>
                      <w:lang w:val="en-US"/>
                    </w:rPr>
                    <w:t xml:space="preserve">- </w:t>
                  </w:r>
                  <w:r w:rsidRPr="00BD76AF">
                    <w:rPr>
                      <w:szCs w:val="24"/>
                    </w:rPr>
                    <w:t>É</w:t>
                  </w:r>
                  <w:r w:rsidRPr="00BD76AF">
                    <w:t>quipements de l’Entrepreneur</w:t>
                  </w:r>
                </w:p>
              </w:tc>
              <w:tc>
                <w:tcPr>
                  <w:tcW w:w="4903" w:type="dxa"/>
                  <w:shd w:val="clear" w:color="auto" w:fill="auto"/>
                </w:tcPr>
                <w:p w14:paraId="32BE3E99" w14:textId="77777777" w:rsidR="00F332DA" w:rsidRPr="00BD76AF" w:rsidRDefault="00F332DA" w:rsidP="0000527F">
                  <w:pPr>
                    <w:spacing w:afterLines="50" w:after="120"/>
                    <w:rPr>
                      <w:szCs w:val="24"/>
                    </w:rPr>
                  </w:pPr>
                  <w:r w:rsidRPr="00BD76AF">
                    <w:rPr>
                      <w:szCs w:val="24"/>
                    </w:rPr>
                    <w:t>Équipements de l’Entrepreneur devant rester sur le Site après l’achèvement des Installations</w:t>
                  </w:r>
                </w:p>
                <w:p w14:paraId="477437D7" w14:textId="77777777" w:rsidR="00F332DA" w:rsidRPr="00BD76AF" w:rsidRDefault="00F332DA" w:rsidP="0000527F">
                  <w:pPr>
                    <w:spacing w:before="60" w:afterLines="60" w:after="144"/>
                    <w:jc w:val="left"/>
                    <w:rPr>
                      <w:color w:val="9CC2E5" w:themeColor="accent1" w:themeTint="99"/>
                    </w:rPr>
                  </w:pPr>
                </w:p>
              </w:tc>
            </w:tr>
            <w:tr w:rsidR="00F332DA" w:rsidRPr="00BD76AF" w14:paraId="76DA2B4E" w14:textId="77777777" w:rsidTr="0000527F">
              <w:tc>
                <w:tcPr>
                  <w:tcW w:w="1148" w:type="dxa"/>
                  <w:shd w:val="clear" w:color="auto" w:fill="auto"/>
                </w:tcPr>
                <w:p w14:paraId="1DAAF22A" w14:textId="77777777" w:rsidR="00F332DA" w:rsidRPr="00BD76AF" w:rsidRDefault="00F332DA" w:rsidP="0000527F">
                  <w:pPr>
                    <w:spacing w:before="60" w:afterLines="40" w:after="96"/>
                    <w:jc w:val="left"/>
                  </w:pPr>
                  <w:r w:rsidRPr="00BD76AF">
                    <w:t>24.1</w:t>
                  </w:r>
                </w:p>
              </w:tc>
              <w:tc>
                <w:tcPr>
                  <w:tcW w:w="2693" w:type="dxa"/>
                  <w:shd w:val="clear" w:color="auto" w:fill="auto"/>
                </w:tcPr>
                <w:p w14:paraId="4218E450" w14:textId="77777777" w:rsidR="00F332DA" w:rsidRPr="00BD76AF" w:rsidRDefault="00F332DA" w:rsidP="00FA35D3">
                  <w:pPr>
                    <w:spacing w:before="60" w:afterLines="60" w:after="144"/>
                    <w:jc w:val="left"/>
                    <w:rPr>
                      <w:color w:val="9CC2E5" w:themeColor="accent1" w:themeTint="99"/>
                    </w:rPr>
                  </w:pPr>
                  <w:r w:rsidRPr="00BD76AF">
                    <w:t>Achèvement des Installations</w:t>
                  </w:r>
                </w:p>
              </w:tc>
              <w:tc>
                <w:tcPr>
                  <w:tcW w:w="4903" w:type="dxa"/>
                  <w:shd w:val="clear" w:color="auto" w:fill="auto"/>
                </w:tcPr>
                <w:p w14:paraId="4FFBAD99" w14:textId="77777777" w:rsidR="00F332DA" w:rsidRPr="00BD76AF" w:rsidRDefault="00F332DA" w:rsidP="0000527F">
                  <w:pPr>
                    <w:spacing w:afterLines="50" w:after="120"/>
                    <w:ind w:left="34" w:firstLine="12"/>
                    <w:rPr>
                      <w:szCs w:val="24"/>
                    </w:rPr>
                  </w:pPr>
                  <w:r w:rsidRPr="00BD76AF">
                    <w:rPr>
                      <w:szCs w:val="24"/>
                    </w:rPr>
                    <w:t>conditions pour l’achèvement des Installations</w:t>
                  </w:r>
                </w:p>
                <w:p w14:paraId="053FACF0" w14:textId="77777777" w:rsidR="00F332DA" w:rsidRPr="00BD76AF" w:rsidRDefault="00F332DA" w:rsidP="0000527F">
                  <w:pPr>
                    <w:spacing w:before="60" w:afterLines="60" w:after="144"/>
                    <w:jc w:val="left"/>
                    <w:rPr>
                      <w:color w:val="9CC2E5" w:themeColor="accent1" w:themeTint="99"/>
                    </w:rPr>
                  </w:pPr>
                </w:p>
              </w:tc>
            </w:tr>
            <w:tr w:rsidR="00F332DA" w:rsidRPr="00BD76AF" w14:paraId="1406CC97" w14:textId="77777777" w:rsidTr="0000527F">
              <w:tc>
                <w:tcPr>
                  <w:tcW w:w="1148" w:type="dxa"/>
                  <w:shd w:val="clear" w:color="auto" w:fill="auto"/>
                </w:tcPr>
                <w:p w14:paraId="2ABC516A" w14:textId="77777777" w:rsidR="00F332DA" w:rsidRPr="00BD76AF" w:rsidRDefault="00F332DA" w:rsidP="0000527F">
                  <w:pPr>
                    <w:spacing w:before="60" w:afterLines="40" w:after="96"/>
                    <w:jc w:val="left"/>
                  </w:pPr>
                  <w:r w:rsidRPr="00BD76AF">
                    <w:t>24.2</w:t>
                  </w:r>
                </w:p>
              </w:tc>
              <w:tc>
                <w:tcPr>
                  <w:tcW w:w="2693" w:type="dxa"/>
                  <w:shd w:val="clear" w:color="auto" w:fill="auto"/>
                </w:tcPr>
                <w:p w14:paraId="158C0F93" w14:textId="77777777" w:rsidR="00F332DA" w:rsidRPr="00BD76AF" w:rsidRDefault="00F332DA" w:rsidP="00FA35D3">
                  <w:pPr>
                    <w:spacing w:before="60" w:afterLines="40" w:after="96"/>
                    <w:jc w:val="left"/>
                    <w:rPr>
                      <w:color w:val="9CC2E5" w:themeColor="accent1" w:themeTint="99"/>
                    </w:rPr>
                  </w:pPr>
                  <w:r w:rsidRPr="00BD76AF">
                    <w:t>Achèvement des Installations</w:t>
                  </w:r>
                </w:p>
              </w:tc>
              <w:tc>
                <w:tcPr>
                  <w:tcW w:w="4903" w:type="dxa"/>
                  <w:shd w:val="clear" w:color="auto" w:fill="auto"/>
                </w:tcPr>
                <w:p w14:paraId="393E397E" w14:textId="77777777" w:rsidR="00F332DA" w:rsidRPr="00BD76AF" w:rsidRDefault="00F332DA" w:rsidP="003D46CF">
                  <w:pPr>
                    <w:pStyle w:val="aff7"/>
                    <w:numPr>
                      <w:ilvl w:val="0"/>
                      <w:numId w:val="86"/>
                    </w:numPr>
                    <w:spacing w:before="60" w:afterLines="40" w:after="96" w:line="240" w:lineRule="auto"/>
                    <w:ind w:leftChars="0" w:left="340" w:hanging="340"/>
                    <w:jc w:val="left"/>
                    <w:rPr>
                      <w:rFonts w:ascii="Times New Roman" w:hAnsi="Times New Roman"/>
                      <w:sz w:val="24"/>
                      <w:szCs w:val="24"/>
                      <w:lang w:val="fr-FR"/>
                    </w:rPr>
                  </w:pPr>
                  <w:r w:rsidRPr="00BD76AF">
                    <w:rPr>
                      <w:rFonts w:ascii="Times New Roman" w:hAnsi="Times New Roman"/>
                      <w:sz w:val="24"/>
                      <w:szCs w:val="24"/>
                      <w:lang w:val="fr-FR"/>
                    </w:rPr>
                    <w:t>personnel d’exploitation et de maintenance qui seront fournis par le Maître d’ouvrage pour la Pré-mise en service</w:t>
                  </w:r>
                </w:p>
                <w:p w14:paraId="23306E5E" w14:textId="77777777" w:rsidR="00F332DA" w:rsidRPr="00BD76AF" w:rsidRDefault="00F332DA" w:rsidP="003D46CF">
                  <w:pPr>
                    <w:pStyle w:val="aff7"/>
                    <w:numPr>
                      <w:ilvl w:val="0"/>
                      <w:numId w:val="86"/>
                    </w:numPr>
                    <w:spacing w:before="60" w:afterLines="40" w:after="96" w:line="240" w:lineRule="auto"/>
                    <w:ind w:leftChars="0" w:left="340" w:hanging="340"/>
                    <w:jc w:val="left"/>
                    <w:rPr>
                      <w:noProof/>
                      <w:color w:val="9CC2E5" w:themeColor="accent1" w:themeTint="99"/>
                      <w:lang w:val="fr-FR"/>
                    </w:rPr>
                  </w:pPr>
                  <w:r w:rsidRPr="00BD76AF">
                    <w:rPr>
                      <w:rFonts w:ascii="Times New Roman" w:hAnsi="Times New Roman"/>
                      <w:sz w:val="24"/>
                      <w:szCs w:val="24"/>
                      <w:lang w:val="fr-FR"/>
                    </w:rPr>
                    <w:t>matières premières, combustibles, lubrifiants, produits chimiques, catalyseurs, autres matériaux et outils d’installation qui seront fournis par le Maître d’ouvrage</w:t>
                  </w:r>
                </w:p>
              </w:tc>
            </w:tr>
          </w:tbl>
          <w:p w14:paraId="63E3786C" w14:textId="77777777" w:rsidR="00F332DA" w:rsidRPr="00BD76AF" w:rsidRDefault="00F332DA" w:rsidP="004D2C4D">
            <w:pPr>
              <w:rPr>
                <w:color w:val="DEEAF6" w:themeColor="accent1" w:themeTint="33"/>
              </w:rPr>
            </w:pPr>
          </w:p>
          <w:p w14:paraId="288FB096" w14:textId="77777777" w:rsidR="00F332DA" w:rsidRPr="00BD76AF" w:rsidRDefault="00F332DA" w:rsidP="004D2C4D">
            <w:pPr>
              <w:rPr>
                <w:color w:val="DEEAF6" w:themeColor="accent1" w:themeTint="33"/>
              </w:rPr>
            </w:pPr>
            <w:r w:rsidRPr="00BD76AF">
              <w:t>Le Maître d’ouvrage doit veiller à ce que les exigences ou les paramètres établis ne soient pas limitatifs. Des normes internationales reconnues devront être utilisées dans la mesure du possible dans la description des procédés de fabrication, des équipements et des matériels. Lorsque des normes spécifiques sont données, qu’elles soient celles du pays du Maître d’ouvrage ou d’autres normes, il faudra préciser que les équipements, les matériels et les procédés de fabrication répondent à d’autres normes admises et</w:t>
            </w:r>
            <w:r w:rsidRPr="00BD76AF">
              <w:rPr>
                <w:color w:val="FF0000"/>
              </w:rPr>
              <w:t xml:space="preserve"> </w:t>
            </w:r>
            <w:r w:rsidRPr="00BD76AF">
              <w:t>assurent un niveau de qualité égal ou supérieur à celui des normes mentionnées.</w:t>
            </w:r>
          </w:p>
          <w:p w14:paraId="2B762CCE" w14:textId="77777777" w:rsidR="00F332DA" w:rsidRPr="00BD76AF" w:rsidRDefault="00F332DA" w:rsidP="0000527F">
            <w:pPr>
              <w:pStyle w:val="explanatorynotes"/>
              <w:spacing w:after="0" w:line="240" w:lineRule="auto"/>
              <w:rPr>
                <w:rFonts w:ascii="Times New Roman" w:hAnsi="Times New Roman"/>
                <w:sz w:val="24"/>
                <w:lang w:val="fr-FR"/>
              </w:rPr>
            </w:pPr>
          </w:p>
          <w:p w14:paraId="6FA1AB28" w14:textId="77777777" w:rsidR="00F332DA" w:rsidRPr="00BD76AF" w:rsidRDefault="00F332DA" w:rsidP="0000527F">
            <w:pPr>
              <w:pStyle w:val="explanatorynotes"/>
              <w:spacing w:after="0" w:line="240" w:lineRule="auto"/>
              <w:rPr>
                <w:rFonts w:ascii="Times New Roman" w:hAnsi="Times New Roman"/>
                <w:sz w:val="24"/>
                <w:lang w:val="fr-FR"/>
              </w:rPr>
            </w:pPr>
            <w:r w:rsidRPr="00BD76AF">
              <w:rPr>
                <w:rFonts w:ascii="Times New Roman" w:hAnsi="Times New Roman"/>
                <w:sz w:val="24"/>
                <w:lang w:val="fr-FR"/>
              </w:rPr>
              <w:t>Les Exigences du Maître d’ouvrage devront indiquer que l’ensemble des équipements et matériels qui seront incorporés dans les Installations sont neufs, non usagés et du modèle le plus récent ou courant et qu’ils intègrent les améliorations les plus récentes en matière de conception ou matériaux.</w:t>
            </w:r>
          </w:p>
          <w:p w14:paraId="283012F2" w14:textId="77777777" w:rsidR="00F332DA" w:rsidRPr="00BD76AF" w:rsidRDefault="00F332DA" w:rsidP="0000527F">
            <w:pPr>
              <w:pStyle w:val="explanatorynotes"/>
              <w:spacing w:after="0" w:line="240" w:lineRule="auto"/>
              <w:rPr>
                <w:rFonts w:ascii="Times New Roman" w:hAnsi="Times New Roman"/>
                <w:sz w:val="24"/>
                <w:lang w:val="fr-FR"/>
              </w:rPr>
            </w:pPr>
          </w:p>
          <w:p w14:paraId="575399AA" w14:textId="77777777" w:rsidR="00F332DA" w:rsidRPr="00BD76AF" w:rsidRDefault="00F332DA" w:rsidP="0000527F">
            <w:pPr>
              <w:pStyle w:val="explanatorynotes"/>
              <w:spacing w:after="0" w:line="240" w:lineRule="auto"/>
              <w:rPr>
                <w:rFonts w:ascii="Times New Roman" w:hAnsi="Times New Roman"/>
                <w:sz w:val="24"/>
                <w:lang w:val="fr-FR"/>
              </w:rPr>
            </w:pPr>
            <w:r w:rsidRPr="00BD76AF">
              <w:rPr>
                <w:rFonts w:ascii="Times New Roman" w:hAnsi="Times New Roman"/>
                <w:sz w:val="24"/>
                <w:lang w:val="fr-FR"/>
              </w:rPr>
              <w:t xml:space="preserve">Le Maître d’ouvrage doit exécuter des tâches initiales appropriées (telles que des études géotechniques/environnementales et des obtentions de permis). </w:t>
            </w:r>
            <w:r w:rsidRPr="00BD76AF">
              <w:rPr>
                <w:rFonts w:ascii="Times New Roman" w:hAnsi="Times New Roman" w:hint="eastAsia"/>
                <w:sz w:val="24"/>
                <w:lang w:val="fr-FR"/>
              </w:rPr>
              <w:t>À</w:t>
            </w:r>
            <w:r w:rsidRPr="00BD76AF">
              <w:rPr>
                <w:rFonts w:ascii="Times New Roman" w:hAnsi="Times New Roman"/>
                <w:sz w:val="24"/>
                <w:lang w:val="fr-FR"/>
              </w:rPr>
              <w:t xml:space="preserve"> cet effet, conformément aux Articles 9.2 et 10.1 des Conditions du Marché, le Maître d’ouvrage doit fournir toutes les informations et/ou données en sa possession se rapportant au site et aux travaux proposés.</w:t>
            </w:r>
          </w:p>
          <w:p w14:paraId="3D3B0119" w14:textId="77777777" w:rsidR="00F332DA" w:rsidRPr="00BD76AF" w:rsidRDefault="00F332DA" w:rsidP="00D72650">
            <w:pPr>
              <w:spacing w:afterLines="50" w:after="120"/>
              <w:rPr>
                <w:lang w:eastAsia="ja-JP"/>
              </w:rPr>
            </w:pPr>
          </w:p>
        </w:tc>
      </w:tr>
    </w:tbl>
    <w:p w14:paraId="49E66440" w14:textId="77777777" w:rsidR="00F332DA" w:rsidRPr="00BD76AF" w:rsidRDefault="00F332DA" w:rsidP="004D2C4D"/>
    <w:p w14:paraId="26A0C0E5" w14:textId="77777777" w:rsidR="00F332DA" w:rsidRPr="00BD76AF" w:rsidRDefault="00F332DA" w:rsidP="009126F0">
      <w:pPr>
        <w:pStyle w:val="i"/>
        <w:spacing w:after="120"/>
        <w:rPr>
          <w:rFonts w:ascii="Times New Roman" w:hAnsi="Times New Roman"/>
          <w:lang w:val="fr-FR"/>
        </w:rPr>
        <w:sectPr w:rsidR="00F332DA" w:rsidRPr="00BD76AF" w:rsidSect="00FB7055">
          <w:headerReference w:type="even" r:id="rId82"/>
          <w:headerReference w:type="default" r:id="rId83"/>
          <w:headerReference w:type="first" r:id="rId84"/>
          <w:footnotePr>
            <w:numRestart w:val="eachPage"/>
          </w:footnotePr>
          <w:endnotePr>
            <w:numFmt w:val="decimal"/>
          </w:endnotePr>
          <w:type w:val="nextColumn"/>
          <w:pgSz w:w="12240" w:h="15840" w:code="1"/>
          <w:pgMar w:top="1440" w:right="1440" w:bottom="1440" w:left="1797" w:header="720" w:footer="720" w:gutter="0"/>
          <w:pgNumType w:start="1"/>
          <w:cols w:space="720"/>
        </w:sectPr>
      </w:pPr>
    </w:p>
    <w:p w14:paraId="0014DC46" w14:textId="77777777" w:rsidR="00F332DA" w:rsidRPr="00BD76AF" w:rsidRDefault="00F332DA" w:rsidP="009126F0">
      <w:pPr>
        <w:pStyle w:val="i"/>
        <w:spacing w:after="120"/>
        <w:rPr>
          <w:rFonts w:ascii="Times New Roman" w:hAnsi="Times New Roman"/>
          <w:lang w:val="fr-FR"/>
        </w:rPr>
      </w:pPr>
    </w:p>
    <w:p w14:paraId="3B531D0E" w14:textId="77777777" w:rsidR="00F332DA" w:rsidRPr="00BD76AF" w:rsidRDefault="00F332DA" w:rsidP="006B3A68">
      <w:pPr>
        <w:jc w:val="center"/>
        <w:rPr>
          <w:b/>
          <w:sz w:val="44"/>
        </w:rPr>
      </w:pPr>
      <w:r w:rsidRPr="00BD76AF">
        <w:rPr>
          <w:b/>
          <w:sz w:val="44"/>
        </w:rPr>
        <w:t>Table des matières</w:t>
      </w:r>
      <w:bookmarkEnd w:id="708"/>
    </w:p>
    <w:p w14:paraId="7E8E81B1" w14:textId="77777777" w:rsidR="00F332DA" w:rsidRPr="00BD76AF" w:rsidRDefault="00F332DA">
      <w:pPr>
        <w:rPr>
          <w:i/>
          <w:lang w:eastAsia="ja-JP"/>
        </w:rPr>
      </w:pPr>
      <w:r w:rsidRPr="00BD76AF">
        <w:rPr>
          <w:b/>
          <w:noProof/>
          <w:bdr w:val="single" w:sz="4" w:space="0" w:color="auto"/>
          <w:lang w:val="en-US" w:eastAsia="ja-JP"/>
        </w:rPr>
        <mc:AlternateContent>
          <mc:Choice Requires="wps">
            <w:drawing>
              <wp:anchor distT="0" distB="0" distL="114300" distR="114300" simplePos="0" relativeHeight="251667968" behindDoc="0" locked="0" layoutInCell="1" allowOverlap="1" wp14:anchorId="676A2E13" wp14:editId="6F768A62">
                <wp:simplePos x="0" y="0"/>
                <wp:positionH relativeFrom="column">
                  <wp:posOffset>5349240</wp:posOffset>
                </wp:positionH>
                <wp:positionV relativeFrom="paragraph">
                  <wp:posOffset>74041</wp:posOffset>
                </wp:positionV>
                <wp:extent cx="490855" cy="3263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9BBD4" w14:textId="77777777" w:rsidR="00F332DA" w:rsidRPr="007D48C9" w:rsidRDefault="00F332DA" w:rsidP="00041760">
                            <w:pPr>
                              <w:rPr>
                                <w:szCs w:val="24"/>
                                <w:lang w:val="es-ES" w:eastAsia="ja-JP"/>
                              </w:rPr>
                            </w:pPr>
                            <w:r>
                              <w:rPr>
                                <w:rFonts w:hint="eastAsia"/>
                                <w:szCs w:val="24"/>
                                <w:lang w:val="es-ES" w:eastAsia="ja-JP"/>
                              </w:rPr>
                              <w:t>EMO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A2E13" id="Text Box 5" o:spid="_x0000_s1029" type="#_x0000_t202" style="position:absolute;left:0;text-align:left;margin-left:421.2pt;margin-top:5.85pt;width:38.65pt;height:25.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" filled="f" stroked="f">
                <v:textbox inset="5.85pt,.7pt,5.85pt,.7pt">
                  <w:txbxContent>
                    <w:p w14:paraId="0089BBD4" w14:textId="77777777" w:rsidR="00F332DA" w:rsidRPr="007D48C9" w:rsidRDefault="00F332DA" w:rsidP="00041760">
                      <w:pPr>
                        <w:rPr>
                          <w:szCs w:val="24"/>
                          <w:lang w:val="es-ES" w:eastAsia="ja-JP"/>
                        </w:rPr>
                      </w:pPr>
                      <w:r>
                        <w:rPr>
                          <w:rFonts w:hint="eastAsia"/>
                          <w:szCs w:val="24"/>
                          <w:lang w:val="es-ES" w:eastAsia="ja-JP"/>
                        </w:rPr>
                        <w:t>EMO</w:t>
                      </w:r>
                    </w:p>
                  </w:txbxContent>
                </v:textbox>
              </v:shape>
            </w:pict>
          </mc:Fallback>
        </mc:AlternateContent>
      </w:r>
    </w:p>
    <w:p w14:paraId="3C126873" w14:textId="77777777" w:rsidR="00F332DA" w:rsidRPr="00BD76AF" w:rsidRDefault="00F332DA" w:rsidP="003B7548">
      <w:pPr>
        <w:jc w:val="left"/>
        <w:rPr>
          <w:szCs w:val="24"/>
        </w:rPr>
      </w:pPr>
      <w:r w:rsidRPr="00BD76AF">
        <w:rPr>
          <w:szCs w:val="24"/>
          <w:bdr w:val="single" w:sz="4" w:space="0" w:color="auto"/>
        </w:rPr>
        <w:t>Exigences du Maître d’ouvrage</w:t>
      </w:r>
    </w:p>
    <w:p w14:paraId="293DD514" w14:textId="216D1D68" w:rsidR="00F332DA" w:rsidRPr="00BD76AF" w:rsidRDefault="00F332DA">
      <w:pPr>
        <w:pStyle w:val="12"/>
        <w:rPr>
          <w:rFonts w:asciiTheme="minorHAnsi" w:eastAsiaTheme="minorEastAsia" w:hAnsiTheme="minorHAnsi" w:cstheme="minorBidi"/>
          <w:b w:val="0"/>
          <w:noProof/>
          <w:kern w:val="2"/>
          <w:sz w:val="21"/>
          <w:szCs w:val="22"/>
          <w:lang w:eastAsia="ja-JP"/>
        </w:rPr>
      </w:pPr>
      <w:r w:rsidRPr="00BD76AF">
        <w:rPr>
          <w:lang w:val="fr-FR"/>
        </w:rPr>
        <w:fldChar w:fldCharType="begin"/>
      </w:r>
      <w:r w:rsidRPr="00BD76AF">
        <w:rPr>
          <w:lang w:val="fr-FR"/>
        </w:rPr>
        <w:instrText xml:space="preserve"> TOC \h \z \t "Sec VI - Header 2,2,Sec VI - Header 3,</w:instrText>
      </w:r>
      <w:r w:rsidRPr="00BD76AF">
        <w:rPr>
          <w:lang w:val="fr-FR" w:eastAsia="ja-JP"/>
        </w:rPr>
        <w:instrText>4</w:instrText>
      </w:r>
      <w:r w:rsidRPr="00BD76AF">
        <w:rPr>
          <w:lang w:val="fr-FR"/>
        </w:rPr>
        <w:instrText xml:space="preserve">,Sec VI - Header 1,1" </w:instrText>
      </w:r>
      <w:r w:rsidRPr="00BD76AF">
        <w:rPr>
          <w:lang w:val="fr-FR"/>
        </w:rPr>
        <w:fldChar w:fldCharType="separate"/>
      </w:r>
      <w:hyperlink w:anchor="_Toc104294471" w:history="1">
        <w:r w:rsidRPr="00BD76AF">
          <w:rPr>
            <w:rStyle w:val="af1"/>
            <w:noProof/>
            <w:lang w:val="fr-FR"/>
          </w:rPr>
          <w:t>Descriptif des Équipements et Services de montage à fournir par l’Entrepreneur</w:t>
        </w:r>
        <w:r w:rsidRPr="00BD76AF">
          <w:rPr>
            <w:noProof/>
            <w:webHidden/>
          </w:rPr>
          <w:tab/>
        </w:r>
        <w:r w:rsidRPr="00BD76AF">
          <w:rPr>
            <w:noProof/>
            <w:webHidden/>
          </w:rPr>
          <w:fldChar w:fldCharType="begin"/>
        </w:r>
        <w:r w:rsidRPr="00BD76AF">
          <w:rPr>
            <w:noProof/>
            <w:webHidden/>
          </w:rPr>
          <w:instrText xml:space="preserve"> PAGEREF _Toc104294471 \h </w:instrText>
        </w:r>
        <w:r w:rsidRPr="00BD76AF">
          <w:rPr>
            <w:noProof/>
            <w:webHidden/>
          </w:rPr>
        </w:r>
        <w:r w:rsidRPr="00BD76AF">
          <w:rPr>
            <w:noProof/>
            <w:webHidden/>
          </w:rPr>
          <w:fldChar w:fldCharType="separate"/>
        </w:r>
        <w:r w:rsidR="0048496E">
          <w:rPr>
            <w:noProof/>
            <w:webHidden/>
          </w:rPr>
          <w:t>6</w:t>
        </w:r>
        <w:r w:rsidRPr="00BD76AF">
          <w:rPr>
            <w:noProof/>
            <w:webHidden/>
          </w:rPr>
          <w:fldChar w:fldCharType="end"/>
        </w:r>
      </w:hyperlink>
    </w:p>
    <w:p w14:paraId="442416D0" w14:textId="17E8F869" w:rsidR="00F332DA" w:rsidRPr="00BD76AF" w:rsidRDefault="00000000">
      <w:pPr>
        <w:pStyle w:val="12"/>
        <w:rPr>
          <w:rFonts w:asciiTheme="minorHAnsi" w:eastAsiaTheme="minorEastAsia" w:hAnsiTheme="minorHAnsi" w:cstheme="minorBidi"/>
          <w:b w:val="0"/>
          <w:noProof/>
          <w:kern w:val="2"/>
          <w:sz w:val="21"/>
          <w:szCs w:val="22"/>
          <w:lang w:eastAsia="ja-JP"/>
        </w:rPr>
      </w:pPr>
      <w:hyperlink w:anchor="_Toc104294472" w:history="1">
        <w:r w:rsidR="00F332DA" w:rsidRPr="00BD76AF">
          <w:rPr>
            <w:rStyle w:val="af1"/>
            <w:noProof/>
            <w:lang w:val="fr-FR"/>
          </w:rPr>
          <w:t>Descriptif des travaux et apport du Maître d’ouvrage</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_Toc104294472 \h </w:instrText>
        </w:r>
        <w:r w:rsidR="00F332DA" w:rsidRPr="00BD76AF">
          <w:rPr>
            <w:noProof/>
            <w:webHidden/>
          </w:rPr>
        </w:r>
        <w:r w:rsidR="00F332DA" w:rsidRPr="00BD76AF">
          <w:rPr>
            <w:noProof/>
            <w:webHidden/>
          </w:rPr>
          <w:fldChar w:fldCharType="separate"/>
        </w:r>
        <w:r w:rsidR="0048496E">
          <w:rPr>
            <w:noProof/>
            <w:webHidden/>
          </w:rPr>
          <w:t>7</w:t>
        </w:r>
        <w:r w:rsidR="00F332DA" w:rsidRPr="00BD76AF">
          <w:rPr>
            <w:noProof/>
            <w:webHidden/>
          </w:rPr>
          <w:fldChar w:fldCharType="end"/>
        </w:r>
      </w:hyperlink>
    </w:p>
    <w:p w14:paraId="378C0C65" w14:textId="79D331FB" w:rsidR="00F332DA" w:rsidRPr="00BD76AF" w:rsidRDefault="00000000">
      <w:pPr>
        <w:pStyle w:val="12"/>
        <w:rPr>
          <w:rFonts w:asciiTheme="minorHAnsi" w:eastAsiaTheme="minorEastAsia" w:hAnsiTheme="minorHAnsi" w:cstheme="minorBidi"/>
          <w:b w:val="0"/>
          <w:noProof/>
          <w:kern w:val="2"/>
          <w:sz w:val="21"/>
          <w:szCs w:val="22"/>
          <w:lang w:eastAsia="ja-JP"/>
        </w:rPr>
      </w:pPr>
      <w:hyperlink w:anchor="_Toc104294473" w:history="1">
        <w:r w:rsidR="00F332DA" w:rsidRPr="00BD76AF">
          <w:rPr>
            <w:rStyle w:val="af1"/>
            <w:noProof/>
            <w:lang w:val="fr-FR"/>
          </w:rPr>
          <w:t>Spécifications</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_Toc104294473 \h </w:instrText>
        </w:r>
        <w:r w:rsidR="00F332DA" w:rsidRPr="00BD76AF">
          <w:rPr>
            <w:noProof/>
            <w:webHidden/>
          </w:rPr>
        </w:r>
        <w:r w:rsidR="00F332DA" w:rsidRPr="00BD76AF">
          <w:rPr>
            <w:noProof/>
            <w:webHidden/>
          </w:rPr>
          <w:fldChar w:fldCharType="separate"/>
        </w:r>
        <w:r w:rsidR="0048496E">
          <w:rPr>
            <w:noProof/>
            <w:webHidden/>
          </w:rPr>
          <w:t>8</w:t>
        </w:r>
        <w:r w:rsidR="00F332DA" w:rsidRPr="00BD76AF">
          <w:rPr>
            <w:noProof/>
            <w:webHidden/>
          </w:rPr>
          <w:fldChar w:fldCharType="end"/>
        </w:r>
      </w:hyperlink>
    </w:p>
    <w:p w14:paraId="12C44893" w14:textId="22635759" w:rsidR="00F332DA" w:rsidRPr="00BD76AF" w:rsidRDefault="00000000">
      <w:pPr>
        <w:pStyle w:val="12"/>
        <w:rPr>
          <w:rFonts w:asciiTheme="minorHAnsi" w:eastAsiaTheme="minorEastAsia" w:hAnsiTheme="minorHAnsi" w:cstheme="minorBidi"/>
          <w:b w:val="0"/>
          <w:noProof/>
          <w:kern w:val="2"/>
          <w:sz w:val="21"/>
          <w:szCs w:val="22"/>
          <w:lang w:eastAsia="ja-JP"/>
        </w:rPr>
      </w:pPr>
      <w:hyperlink w:anchor="_Toc104294474" w:history="1">
        <w:r w:rsidR="00F332DA" w:rsidRPr="00BD76AF">
          <w:rPr>
            <w:rStyle w:val="af1"/>
            <w:noProof/>
            <w:lang w:val="fr-FR"/>
          </w:rPr>
          <w:t>Plan</w:t>
        </w:r>
        <w:r w:rsidR="00F332DA" w:rsidRPr="00BD76AF">
          <w:rPr>
            <w:rStyle w:val="af1"/>
            <w:noProof/>
            <w:lang w:val="fr-FR" w:eastAsia="ja-JP"/>
          </w:rPr>
          <w:t>s</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_Toc104294474 \h </w:instrText>
        </w:r>
        <w:r w:rsidR="00F332DA" w:rsidRPr="00BD76AF">
          <w:rPr>
            <w:noProof/>
            <w:webHidden/>
          </w:rPr>
        </w:r>
        <w:r w:rsidR="00F332DA" w:rsidRPr="00BD76AF">
          <w:rPr>
            <w:noProof/>
            <w:webHidden/>
          </w:rPr>
          <w:fldChar w:fldCharType="separate"/>
        </w:r>
        <w:r w:rsidR="0048496E">
          <w:rPr>
            <w:noProof/>
            <w:webHidden/>
          </w:rPr>
          <w:t>9</w:t>
        </w:r>
        <w:r w:rsidR="00F332DA" w:rsidRPr="00BD76AF">
          <w:rPr>
            <w:noProof/>
            <w:webHidden/>
          </w:rPr>
          <w:fldChar w:fldCharType="end"/>
        </w:r>
      </w:hyperlink>
    </w:p>
    <w:p w14:paraId="0F20E6A1" w14:textId="16758E38" w:rsidR="00F332DA" w:rsidRPr="00BD76AF" w:rsidRDefault="00000000">
      <w:pPr>
        <w:pStyle w:val="12"/>
        <w:rPr>
          <w:rFonts w:asciiTheme="minorHAnsi" w:eastAsiaTheme="minorEastAsia" w:hAnsiTheme="minorHAnsi" w:cstheme="minorBidi"/>
          <w:b w:val="0"/>
          <w:noProof/>
          <w:kern w:val="2"/>
          <w:sz w:val="21"/>
          <w:szCs w:val="22"/>
          <w:lang w:eastAsia="ja-JP"/>
        </w:rPr>
      </w:pPr>
      <w:hyperlink w:anchor="_Toc104294475" w:history="1">
        <w:r w:rsidR="00F332DA" w:rsidRPr="00BD76AF">
          <w:rPr>
            <w:rStyle w:val="af1"/>
            <w:noProof/>
            <w:lang w:val="fr-FR"/>
          </w:rPr>
          <w:t>Formulaires et procédures</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_Toc104294475 \h </w:instrText>
        </w:r>
        <w:r w:rsidR="00F332DA" w:rsidRPr="00BD76AF">
          <w:rPr>
            <w:noProof/>
            <w:webHidden/>
          </w:rPr>
        </w:r>
        <w:r w:rsidR="00F332DA" w:rsidRPr="00BD76AF">
          <w:rPr>
            <w:noProof/>
            <w:webHidden/>
          </w:rPr>
          <w:fldChar w:fldCharType="separate"/>
        </w:r>
        <w:r w:rsidR="0048496E">
          <w:rPr>
            <w:noProof/>
            <w:webHidden/>
          </w:rPr>
          <w:t>10</w:t>
        </w:r>
        <w:r w:rsidR="00F332DA" w:rsidRPr="00BD76AF">
          <w:rPr>
            <w:noProof/>
            <w:webHidden/>
          </w:rPr>
          <w:fldChar w:fldCharType="end"/>
        </w:r>
      </w:hyperlink>
    </w:p>
    <w:p w14:paraId="7C3C5CF1" w14:textId="74E01ABD" w:rsidR="00F332DA" w:rsidRPr="00BD76AF" w:rsidRDefault="00000000">
      <w:pPr>
        <w:pStyle w:val="21"/>
        <w:ind w:left="934"/>
        <w:rPr>
          <w:rFonts w:asciiTheme="minorHAnsi" w:eastAsiaTheme="minorEastAsia" w:hAnsiTheme="minorHAnsi" w:cstheme="minorBidi"/>
          <w:kern w:val="2"/>
          <w:sz w:val="21"/>
          <w:szCs w:val="22"/>
          <w:lang w:eastAsia="ja-JP"/>
        </w:rPr>
      </w:pPr>
      <w:hyperlink w:anchor="_Toc104294476" w:history="1">
        <w:r w:rsidR="00F332DA" w:rsidRPr="00BD76AF">
          <w:rPr>
            <w:rStyle w:val="af1"/>
            <w:lang w:val="fr-FR"/>
          </w:rPr>
          <w:t>Certificat d’Achèvement</w:t>
        </w:r>
        <w:r w:rsidR="00F332DA" w:rsidRPr="00BD76AF">
          <w:rPr>
            <w:webHidden/>
          </w:rPr>
          <w:tab/>
        </w:r>
        <w:r w:rsidR="00F332DA" w:rsidRPr="00BD76AF">
          <w:rPr>
            <w:webHidden/>
          </w:rPr>
          <w:fldChar w:fldCharType="begin"/>
        </w:r>
        <w:r w:rsidR="00F332DA" w:rsidRPr="00BD76AF">
          <w:rPr>
            <w:webHidden/>
          </w:rPr>
          <w:instrText xml:space="preserve"> PAGEREF _Toc104294476 \h </w:instrText>
        </w:r>
        <w:r w:rsidR="00F332DA" w:rsidRPr="00BD76AF">
          <w:rPr>
            <w:webHidden/>
          </w:rPr>
        </w:r>
        <w:r w:rsidR="00F332DA" w:rsidRPr="00BD76AF">
          <w:rPr>
            <w:webHidden/>
          </w:rPr>
          <w:fldChar w:fldCharType="separate"/>
        </w:r>
        <w:r w:rsidR="0048496E">
          <w:rPr>
            <w:webHidden/>
          </w:rPr>
          <w:t>11</w:t>
        </w:r>
        <w:r w:rsidR="00F332DA" w:rsidRPr="00BD76AF">
          <w:rPr>
            <w:webHidden/>
          </w:rPr>
          <w:fldChar w:fldCharType="end"/>
        </w:r>
      </w:hyperlink>
    </w:p>
    <w:p w14:paraId="32C67B11" w14:textId="36191FC3" w:rsidR="00F332DA" w:rsidRPr="00BD76AF" w:rsidRDefault="00000000">
      <w:pPr>
        <w:pStyle w:val="21"/>
        <w:ind w:left="934"/>
        <w:rPr>
          <w:rFonts w:asciiTheme="minorHAnsi" w:eastAsiaTheme="minorEastAsia" w:hAnsiTheme="minorHAnsi" w:cstheme="minorBidi"/>
          <w:kern w:val="2"/>
          <w:sz w:val="21"/>
          <w:szCs w:val="22"/>
          <w:lang w:eastAsia="ja-JP"/>
        </w:rPr>
      </w:pPr>
      <w:hyperlink w:anchor="_Toc104294477" w:history="1">
        <w:r w:rsidR="00F332DA" w:rsidRPr="00BD76AF">
          <w:rPr>
            <w:rStyle w:val="af1"/>
            <w:lang w:val="fr-FR"/>
          </w:rPr>
          <w:t>Certificat de Réception opérationnelle</w:t>
        </w:r>
        <w:r w:rsidR="00F332DA" w:rsidRPr="00BD76AF">
          <w:rPr>
            <w:webHidden/>
          </w:rPr>
          <w:tab/>
        </w:r>
        <w:r w:rsidR="00F332DA" w:rsidRPr="00BD76AF">
          <w:rPr>
            <w:webHidden/>
          </w:rPr>
          <w:fldChar w:fldCharType="begin"/>
        </w:r>
        <w:r w:rsidR="00F332DA" w:rsidRPr="00BD76AF">
          <w:rPr>
            <w:webHidden/>
          </w:rPr>
          <w:instrText xml:space="preserve"> PAGEREF _Toc104294477 \h </w:instrText>
        </w:r>
        <w:r w:rsidR="00F332DA" w:rsidRPr="00BD76AF">
          <w:rPr>
            <w:webHidden/>
          </w:rPr>
        </w:r>
        <w:r w:rsidR="00F332DA" w:rsidRPr="00BD76AF">
          <w:rPr>
            <w:webHidden/>
          </w:rPr>
          <w:fldChar w:fldCharType="separate"/>
        </w:r>
        <w:r w:rsidR="0048496E">
          <w:rPr>
            <w:webHidden/>
          </w:rPr>
          <w:t>12</w:t>
        </w:r>
        <w:r w:rsidR="00F332DA" w:rsidRPr="00BD76AF">
          <w:rPr>
            <w:webHidden/>
          </w:rPr>
          <w:fldChar w:fldCharType="end"/>
        </w:r>
      </w:hyperlink>
    </w:p>
    <w:p w14:paraId="036C1C36" w14:textId="5F336052" w:rsidR="00F332DA" w:rsidRPr="00BD76AF" w:rsidRDefault="00000000">
      <w:pPr>
        <w:pStyle w:val="21"/>
        <w:ind w:left="934"/>
        <w:rPr>
          <w:rFonts w:asciiTheme="minorHAnsi" w:eastAsiaTheme="minorEastAsia" w:hAnsiTheme="minorHAnsi" w:cstheme="minorBidi"/>
          <w:kern w:val="2"/>
          <w:sz w:val="21"/>
          <w:szCs w:val="22"/>
          <w:lang w:eastAsia="ja-JP"/>
        </w:rPr>
      </w:pPr>
      <w:hyperlink w:anchor="_Toc104294478" w:history="1">
        <w:r w:rsidR="00F332DA" w:rsidRPr="00BD76AF">
          <w:rPr>
            <w:rStyle w:val="af1"/>
            <w:lang w:val="fr-FR"/>
          </w:rPr>
          <w:t>Procédures concernant les ordres de modification</w:t>
        </w:r>
        <w:r w:rsidR="00F332DA" w:rsidRPr="00BD76AF">
          <w:rPr>
            <w:webHidden/>
          </w:rPr>
          <w:tab/>
        </w:r>
        <w:r w:rsidR="00F332DA" w:rsidRPr="00BD76AF">
          <w:rPr>
            <w:webHidden/>
          </w:rPr>
          <w:fldChar w:fldCharType="begin"/>
        </w:r>
        <w:r w:rsidR="00F332DA" w:rsidRPr="00BD76AF">
          <w:rPr>
            <w:webHidden/>
          </w:rPr>
          <w:instrText xml:space="preserve"> PAGEREF _Toc104294478 \h </w:instrText>
        </w:r>
        <w:r w:rsidR="00F332DA" w:rsidRPr="00BD76AF">
          <w:rPr>
            <w:webHidden/>
          </w:rPr>
        </w:r>
        <w:r w:rsidR="00F332DA" w:rsidRPr="00BD76AF">
          <w:rPr>
            <w:webHidden/>
          </w:rPr>
          <w:fldChar w:fldCharType="separate"/>
        </w:r>
        <w:r w:rsidR="0048496E">
          <w:rPr>
            <w:webHidden/>
          </w:rPr>
          <w:t>13</w:t>
        </w:r>
        <w:r w:rsidR="00F332DA" w:rsidRPr="00BD76AF">
          <w:rPr>
            <w:webHidden/>
          </w:rPr>
          <w:fldChar w:fldCharType="end"/>
        </w:r>
      </w:hyperlink>
    </w:p>
    <w:p w14:paraId="6582FFB5" w14:textId="7DD13096" w:rsidR="00F332DA" w:rsidRPr="00BD76AF" w:rsidRDefault="00000000" w:rsidP="006426E2">
      <w:pPr>
        <w:pStyle w:val="41"/>
        <w:spacing w:after="80"/>
        <w:ind w:leftChars="200" w:left="480"/>
        <w:rPr>
          <w:rFonts w:asciiTheme="minorHAnsi" w:eastAsiaTheme="minorEastAsia" w:hAnsiTheme="minorHAnsi" w:cstheme="minorBidi"/>
          <w:noProof/>
          <w:kern w:val="2"/>
          <w:sz w:val="21"/>
          <w:szCs w:val="22"/>
          <w:lang w:eastAsia="ja-JP"/>
        </w:rPr>
      </w:pPr>
      <w:hyperlink w:anchor="_Toc104294479" w:history="1">
        <w:r w:rsidR="00F332DA" w:rsidRPr="00BD76AF">
          <w:rPr>
            <w:rStyle w:val="af1"/>
            <w:noProof/>
            <w:lang w:val="fr-FR"/>
          </w:rPr>
          <w:t>Formulaires concernant les ordres de modification</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_Toc104294479 \h </w:instrText>
        </w:r>
        <w:r w:rsidR="00F332DA" w:rsidRPr="00BD76AF">
          <w:rPr>
            <w:noProof/>
            <w:webHidden/>
          </w:rPr>
        </w:r>
        <w:r w:rsidR="00F332DA" w:rsidRPr="00BD76AF">
          <w:rPr>
            <w:noProof/>
            <w:webHidden/>
          </w:rPr>
          <w:fldChar w:fldCharType="separate"/>
        </w:r>
        <w:r w:rsidR="0048496E">
          <w:rPr>
            <w:noProof/>
            <w:webHidden/>
          </w:rPr>
          <w:t>15</w:t>
        </w:r>
        <w:r w:rsidR="00F332DA" w:rsidRPr="00BD76AF">
          <w:rPr>
            <w:noProof/>
            <w:webHidden/>
          </w:rPr>
          <w:fldChar w:fldCharType="end"/>
        </w:r>
      </w:hyperlink>
    </w:p>
    <w:p w14:paraId="6D98B684" w14:textId="42689C58" w:rsidR="00F332DA" w:rsidRPr="00BD76AF" w:rsidRDefault="00000000">
      <w:pPr>
        <w:pStyle w:val="41"/>
        <w:rPr>
          <w:rFonts w:asciiTheme="minorHAnsi" w:eastAsiaTheme="minorEastAsia" w:hAnsiTheme="minorHAnsi" w:cstheme="minorBidi"/>
          <w:noProof/>
          <w:kern w:val="2"/>
          <w:sz w:val="21"/>
          <w:szCs w:val="22"/>
          <w:lang w:eastAsia="ja-JP"/>
        </w:rPr>
      </w:pPr>
      <w:hyperlink w:anchor="_Toc104294480" w:history="1">
        <w:r w:rsidR="00F332DA" w:rsidRPr="00BD76AF">
          <w:rPr>
            <w:rStyle w:val="af1"/>
            <w:noProof/>
            <w:lang w:val="fr-FR"/>
          </w:rPr>
          <w:t>Formulaire 1.  Demande de proposition de modification</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_Toc104294480 \h </w:instrText>
        </w:r>
        <w:r w:rsidR="00F332DA" w:rsidRPr="00BD76AF">
          <w:rPr>
            <w:noProof/>
            <w:webHidden/>
          </w:rPr>
        </w:r>
        <w:r w:rsidR="00F332DA" w:rsidRPr="00BD76AF">
          <w:rPr>
            <w:noProof/>
            <w:webHidden/>
          </w:rPr>
          <w:fldChar w:fldCharType="separate"/>
        </w:r>
        <w:r w:rsidR="0048496E">
          <w:rPr>
            <w:noProof/>
            <w:webHidden/>
          </w:rPr>
          <w:t>16</w:t>
        </w:r>
        <w:r w:rsidR="00F332DA" w:rsidRPr="00BD76AF">
          <w:rPr>
            <w:noProof/>
            <w:webHidden/>
          </w:rPr>
          <w:fldChar w:fldCharType="end"/>
        </w:r>
      </w:hyperlink>
    </w:p>
    <w:p w14:paraId="169ED826" w14:textId="166A9F2C" w:rsidR="00F332DA" w:rsidRPr="00BD76AF" w:rsidRDefault="00000000">
      <w:pPr>
        <w:pStyle w:val="41"/>
        <w:rPr>
          <w:rFonts w:asciiTheme="minorHAnsi" w:eastAsiaTheme="minorEastAsia" w:hAnsiTheme="minorHAnsi" w:cstheme="minorBidi"/>
          <w:noProof/>
          <w:kern w:val="2"/>
          <w:sz w:val="21"/>
          <w:szCs w:val="22"/>
          <w:lang w:eastAsia="ja-JP"/>
        </w:rPr>
      </w:pPr>
      <w:hyperlink w:anchor="_Toc104294481" w:history="1">
        <w:r w:rsidR="00F332DA" w:rsidRPr="00BD76AF">
          <w:rPr>
            <w:rStyle w:val="af1"/>
            <w:noProof/>
            <w:lang w:val="fr-FR"/>
          </w:rPr>
          <w:t>Formulaire 2.  Estimation de la proposition de modification</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_Toc104294481 \h </w:instrText>
        </w:r>
        <w:r w:rsidR="00F332DA" w:rsidRPr="00BD76AF">
          <w:rPr>
            <w:noProof/>
            <w:webHidden/>
          </w:rPr>
        </w:r>
        <w:r w:rsidR="00F332DA" w:rsidRPr="00BD76AF">
          <w:rPr>
            <w:noProof/>
            <w:webHidden/>
          </w:rPr>
          <w:fldChar w:fldCharType="separate"/>
        </w:r>
        <w:r w:rsidR="0048496E">
          <w:rPr>
            <w:noProof/>
            <w:webHidden/>
          </w:rPr>
          <w:t>18</w:t>
        </w:r>
        <w:r w:rsidR="00F332DA" w:rsidRPr="00BD76AF">
          <w:rPr>
            <w:noProof/>
            <w:webHidden/>
          </w:rPr>
          <w:fldChar w:fldCharType="end"/>
        </w:r>
      </w:hyperlink>
    </w:p>
    <w:p w14:paraId="66D6D663" w14:textId="4311575F" w:rsidR="00F332DA" w:rsidRPr="00BD76AF" w:rsidRDefault="00000000">
      <w:pPr>
        <w:pStyle w:val="41"/>
        <w:rPr>
          <w:rFonts w:asciiTheme="minorHAnsi" w:eastAsiaTheme="minorEastAsia" w:hAnsiTheme="minorHAnsi" w:cstheme="minorBidi"/>
          <w:noProof/>
          <w:kern w:val="2"/>
          <w:sz w:val="21"/>
          <w:szCs w:val="22"/>
          <w:lang w:eastAsia="ja-JP"/>
        </w:rPr>
      </w:pPr>
      <w:hyperlink w:anchor="_Toc104294482" w:history="1">
        <w:r w:rsidR="00F332DA" w:rsidRPr="00BD76AF">
          <w:rPr>
            <w:rStyle w:val="af1"/>
            <w:noProof/>
            <w:lang w:val="fr-FR"/>
          </w:rPr>
          <w:t>Formulaire 3.  Acceptation de l’estimation</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_Toc104294482 \h </w:instrText>
        </w:r>
        <w:r w:rsidR="00F332DA" w:rsidRPr="00BD76AF">
          <w:rPr>
            <w:noProof/>
            <w:webHidden/>
          </w:rPr>
        </w:r>
        <w:r w:rsidR="00F332DA" w:rsidRPr="00BD76AF">
          <w:rPr>
            <w:noProof/>
            <w:webHidden/>
          </w:rPr>
          <w:fldChar w:fldCharType="separate"/>
        </w:r>
        <w:r w:rsidR="0048496E">
          <w:rPr>
            <w:noProof/>
            <w:webHidden/>
          </w:rPr>
          <w:t>20</w:t>
        </w:r>
        <w:r w:rsidR="00F332DA" w:rsidRPr="00BD76AF">
          <w:rPr>
            <w:noProof/>
            <w:webHidden/>
          </w:rPr>
          <w:fldChar w:fldCharType="end"/>
        </w:r>
      </w:hyperlink>
    </w:p>
    <w:p w14:paraId="5AEB70BA" w14:textId="58A034C5" w:rsidR="00F332DA" w:rsidRPr="00BD76AF" w:rsidRDefault="00000000">
      <w:pPr>
        <w:pStyle w:val="41"/>
        <w:rPr>
          <w:rFonts w:asciiTheme="minorHAnsi" w:eastAsiaTheme="minorEastAsia" w:hAnsiTheme="minorHAnsi" w:cstheme="minorBidi"/>
          <w:noProof/>
          <w:kern w:val="2"/>
          <w:sz w:val="21"/>
          <w:szCs w:val="22"/>
          <w:lang w:eastAsia="ja-JP"/>
        </w:rPr>
      </w:pPr>
      <w:hyperlink w:anchor="_Toc104294483" w:history="1">
        <w:r w:rsidR="00F332DA" w:rsidRPr="00BD76AF">
          <w:rPr>
            <w:rStyle w:val="af1"/>
            <w:noProof/>
            <w:lang w:val="fr-FR"/>
          </w:rPr>
          <w:t>Formulaire 4.  Proposition de modification</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_Toc104294483 \h </w:instrText>
        </w:r>
        <w:r w:rsidR="00F332DA" w:rsidRPr="00BD76AF">
          <w:rPr>
            <w:noProof/>
            <w:webHidden/>
          </w:rPr>
        </w:r>
        <w:r w:rsidR="00F332DA" w:rsidRPr="00BD76AF">
          <w:rPr>
            <w:noProof/>
            <w:webHidden/>
          </w:rPr>
          <w:fldChar w:fldCharType="separate"/>
        </w:r>
        <w:r w:rsidR="0048496E">
          <w:rPr>
            <w:noProof/>
            <w:webHidden/>
          </w:rPr>
          <w:t>21</w:t>
        </w:r>
        <w:r w:rsidR="00F332DA" w:rsidRPr="00BD76AF">
          <w:rPr>
            <w:noProof/>
            <w:webHidden/>
          </w:rPr>
          <w:fldChar w:fldCharType="end"/>
        </w:r>
      </w:hyperlink>
    </w:p>
    <w:p w14:paraId="15506478" w14:textId="6EB5FCB2" w:rsidR="00F332DA" w:rsidRPr="00BD76AF" w:rsidRDefault="00000000">
      <w:pPr>
        <w:pStyle w:val="41"/>
        <w:rPr>
          <w:rFonts w:asciiTheme="minorHAnsi" w:eastAsiaTheme="minorEastAsia" w:hAnsiTheme="minorHAnsi" w:cstheme="minorBidi"/>
          <w:noProof/>
          <w:kern w:val="2"/>
          <w:sz w:val="21"/>
          <w:szCs w:val="22"/>
          <w:lang w:eastAsia="ja-JP"/>
        </w:rPr>
      </w:pPr>
      <w:hyperlink w:anchor="_Toc104294484" w:history="1">
        <w:r w:rsidR="00F332DA" w:rsidRPr="00BD76AF">
          <w:rPr>
            <w:rStyle w:val="af1"/>
            <w:noProof/>
            <w:lang w:val="fr-FR"/>
          </w:rPr>
          <w:t>Formulaire 5.  Ordre de modification</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_Toc104294484 \h </w:instrText>
        </w:r>
        <w:r w:rsidR="00F332DA" w:rsidRPr="00BD76AF">
          <w:rPr>
            <w:noProof/>
            <w:webHidden/>
          </w:rPr>
        </w:r>
        <w:r w:rsidR="00F332DA" w:rsidRPr="00BD76AF">
          <w:rPr>
            <w:noProof/>
            <w:webHidden/>
          </w:rPr>
          <w:fldChar w:fldCharType="separate"/>
        </w:r>
        <w:r w:rsidR="0048496E">
          <w:rPr>
            <w:noProof/>
            <w:webHidden/>
          </w:rPr>
          <w:t>24</w:t>
        </w:r>
        <w:r w:rsidR="00F332DA" w:rsidRPr="00BD76AF">
          <w:rPr>
            <w:noProof/>
            <w:webHidden/>
          </w:rPr>
          <w:fldChar w:fldCharType="end"/>
        </w:r>
      </w:hyperlink>
    </w:p>
    <w:p w14:paraId="482AFB5A" w14:textId="27C691B5" w:rsidR="00F332DA" w:rsidRPr="00BD76AF" w:rsidRDefault="00000000">
      <w:pPr>
        <w:pStyle w:val="41"/>
        <w:rPr>
          <w:rFonts w:asciiTheme="minorHAnsi" w:eastAsiaTheme="minorEastAsia" w:hAnsiTheme="minorHAnsi" w:cstheme="minorBidi"/>
          <w:noProof/>
          <w:kern w:val="2"/>
          <w:sz w:val="21"/>
          <w:szCs w:val="22"/>
          <w:lang w:eastAsia="ja-JP"/>
        </w:rPr>
      </w:pPr>
      <w:hyperlink w:anchor="_Toc104294485" w:history="1">
        <w:r w:rsidR="00F332DA" w:rsidRPr="00BD76AF">
          <w:rPr>
            <w:rStyle w:val="af1"/>
            <w:noProof/>
            <w:lang w:val="fr-FR"/>
          </w:rPr>
          <w:t>Formulaire 6.  Ordre de modification en attente d’accord</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_Toc104294485 \h </w:instrText>
        </w:r>
        <w:r w:rsidR="00F332DA" w:rsidRPr="00BD76AF">
          <w:rPr>
            <w:noProof/>
            <w:webHidden/>
          </w:rPr>
        </w:r>
        <w:r w:rsidR="00F332DA" w:rsidRPr="00BD76AF">
          <w:rPr>
            <w:noProof/>
            <w:webHidden/>
          </w:rPr>
          <w:fldChar w:fldCharType="separate"/>
        </w:r>
        <w:r w:rsidR="0048496E">
          <w:rPr>
            <w:noProof/>
            <w:webHidden/>
          </w:rPr>
          <w:t>25</w:t>
        </w:r>
        <w:r w:rsidR="00F332DA" w:rsidRPr="00BD76AF">
          <w:rPr>
            <w:noProof/>
            <w:webHidden/>
          </w:rPr>
          <w:fldChar w:fldCharType="end"/>
        </w:r>
      </w:hyperlink>
    </w:p>
    <w:p w14:paraId="33F98888" w14:textId="650AC6A5" w:rsidR="00F332DA" w:rsidRPr="00BD76AF" w:rsidRDefault="00000000">
      <w:pPr>
        <w:pStyle w:val="41"/>
        <w:rPr>
          <w:rFonts w:asciiTheme="minorHAnsi" w:eastAsiaTheme="minorEastAsia" w:hAnsiTheme="minorHAnsi" w:cstheme="minorBidi"/>
          <w:noProof/>
          <w:kern w:val="2"/>
          <w:sz w:val="21"/>
          <w:szCs w:val="22"/>
          <w:lang w:eastAsia="ja-JP"/>
        </w:rPr>
      </w:pPr>
      <w:hyperlink w:anchor="_Toc104294486" w:history="1">
        <w:r w:rsidR="00F332DA" w:rsidRPr="00BD76AF">
          <w:rPr>
            <w:rStyle w:val="af1"/>
            <w:noProof/>
            <w:lang w:val="fr-FR"/>
          </w:rPr>
          <w:t>Formulaire 7.  Offre de proposition de modification</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_Toc104294486 \h </w:instrText>
        </w:r>
        <w:r w:rsidR="00F332DA" w:rsidRPr="00BD76AF">
          <w:rPr>
            <w:noProof/>
            <w:webHidden/>
          </w:rPr>
        </w:r>
        <w:r w:rsidR="00F332DA" w:rsidRPr="00BD76AF">
          <w:rPr>
            <w:noProof/>
            <w:webHidden/>
          </w:rPr>
          <w:fldChar w:fldCharType="separate"/>
        </w:r>
        <w:r w:rsidR="0048496E">
          <w:rPr>
            <w:noProof/>
            <w:webHidden/>
          </w:rPr>
          <w:t>27</w:t>
        </w:r>
        <w:r w:rsidR="00F332DA" w:rsidRPr="00BD76AF">
          <w:rPr>
            <w:noProof/>
            <w:webHidden/>
          </w:rPr>
          <w:fldChar w:fldCharType="end"/>
        </w:r>
      </w:hyperlink>
    </w:p>
    <w:p w14:paraId="06F7A546" w14:textId="14B8C89C" w:rsidR="00F332DA" w:rsidRPr="00BD76AF" w:rsidRDefault="00000000">
      <w:pPr>
        <w:pStyle w:val="41"/>
        <w:rPr>
          <w:rFonts w:asciiTheme="minorHAnsi" w:eastAsiaTheme="minorEastAsia" w:hAnsiTheme="minorHAnsi" w:cstheme="minorBidi"/>
          <w:noProof/>
          <w:kern w:val="2"/>
          <w:sz w:val="21"/>
          <w:szCs w:val="22"/>
          <w:lang w:eastAsia="ja-JP"/>
        </w:rPr>
      </w:pPr>
      <w:hyperlink w:anchor="_Toc104294487" w:history="1">
        <w:r w:rsidR="00F332DA" w:rsidRPr="00BD76AF">
          <w:rPr>
            <w:rStyle w:val="af1"/>
            <w:noProof/>
            <w:lang w:val="fr-FR"/>
          </w:rPr>
          <w:t>Formulaire 8.  Tableau de suivi des ordres de modification</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_Toc104294487 \h </w:instrText>
        </w:r>
        <w:r w:rsidR="00F332DA" w:rsidRPr="00BD76AF">
          <w:rPr>
            <w:noProof/>
            <w:webHidden/>
          </w:rPr>
        </w:r>
        <w:r w:rsidR="00F332DA" w:rsidRPr="00BD76AF">
          <w:rPr>
            <w:noProof/>
            <w:webHidden/>
          </w:rPr>
          <w:fldChar w:fldCharType="separate"/>
        </w:r>
        <w:r w:rsidR="0048496E">
          <w:rPr>
            <w:noProof/>
            <w:webHidden/>
          </w:rPr>
          <w:t>28</w:t>
        </w:r>
        <w:r w:rsidR="00F332DA" w:rsidRPr="00BD76AF">
          <w:rPr>
            <w:noProof/>
            <w:webHidden/>
          </w:rPr>
          <w:fldChar w:fldCharType="end"/>
        </w:r>
      </w:hyperlink>
    </w:p>
    <w:p w14:paraId="658C1611" w14:textId="3A3EF6D9" w:rsidR="00F332DA" w:rsidRPr="00BD76AF" w:rsidRDefault="00000000">
      <w:pPr>
        <w:pStyle w:val="12"/>
        <w:rPr>
          <w:rFonts w:asciiTheme="minorHAnsi" w:eastAsiaTheme="minorEastAsia" w:hAnsiTheme="minorHAnsi" w:cstheme="minorBidi"/>
          <w:b w:val="0"/>
          <w:noProof/>
          <w:kern w:val="2"/>
          <w:sz w:val="21"/>
          <w:szCs w:val="22"/>
          <w:lang w:eastAsia="ja-JP"/>
        </w:rPr>
      </w:pPr>
      <w:hyperlink w:anchor="_Toc104294488" w:history="1">
        <w:r w:rsidR="00F332DA" w:rsidRPr="00BD76AF">
          <w:rPr>
            <w:rStyle w:val="af1"/>
            <w:noProof/>
            <w:lang w:val="fr-FR"/>
          </w:rPr>
          <w:t>Informations supplémentaires</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_Toc104294488 \h </w:instrText>
        </w:r>
        <w:r w:rsidR="00F332DA" w:rsidRPr="00BD76AF">
          <w:rPr>
            <w:noProof/>
            <w:webHidden/>
          </w:rPr>
        </w:r>
        <w:r w:rsidR="00F332DA" w:rsidRPr="00BD76AF">
          <w:rPr>
            <w:noProof/>
            <w:webHidden/>
          </w:rPr>
          <w:fldChar w:fldCharType="separate"/>
        </w:r>
        <w:r w:rsidR="0048496E">
          <w:rPr>
            <w:noProof/>
            <w:webHidden/>
          </w:rPr>
          <w:t>29</w:t>
        </w:r>
        <w:r w:rsidR="00F332DA" w:rsidRPr="00BD76AF">
          <w:rPr>
            <w:noProof/>
            <w:webHidden/>
          </w:rPr>
          <w:fldChar w:fldCharType="end"/>
        </w:r>
      </w:hyperlink>
    </w:p>
    <w:p w14:paraId="4A376763" w14:textId="77777777" w:rsidR="00F332DA" w:rsidRPr="00BD76AF" w:rsidRDefault="00F332DA">
      <w:pPr>
        <w:pStyle w:val="12"/>
        <w:rPr>
          <w:rStyle w:val="af1"/>
          <w:noProof/>
          <w:lang w:val="es-ES"/>
        </w:rPr>
      </w:pPr>
    </w:p>
    <w:p w14:paraId="4A86194E" w14:textId="77777777" w:rsidR="00F332DA" w:rsidRPr="00BD76AF" w:rsidRDefault="00F332DA" w:rsidP="006426E2">
      <w:pPr>
        <w:spacing w:before="120"/>
        <w:rPr>
          <w:noProof/>
          <w:lang w:val="es-ES"/>
        </w:rPr>
      </w:pPr>
      <w:r w:rsidRPr="00BD76AF">
        <w:rPr>
          <w:noProof/>
          <w:bdr w:val="single" w:sz="4" w:space="0" w:color="auto"/>
          <w:lang w:val="es-ES"/>
        </w:rPr>
        <w:t>Données du Site</w:t>
      </w:r>
    </w:p>
    <w:p w14:paraId="1585A519" w14:textId="7846BCC8" w:rsidR="00F332DA" w:rsidRPr="00BD76AF" w:rsidRDefault="00000000">
      <w:pPr>
        <w:pStyle w:val="12"/>
        <w:rPr>
          <w:rFonts w:asciiTheme="minorHAnsi" w:eastAsiaTheme="minorEastAsia" w:hAnsiTheme="minorHAnsi" w:cstheme="minorBidi"/>
          <w:b w:val="0"/>
          <w:noProof/>
          <w:kern w:val="2"/>
          <w:sz w:val="21"/>
          <w:szCs w:val="22"/>
          <w:lang w:eastAsia="ja-JP"/>
        </w:rPr>
      </w:pPr>
      <w:hyperlink w:anchor="_Toc104294489" w:history="1">
        <w:r w:rsidR="00F332DA" w:rsidRPr="00BD76AF">
          <w:rPr>
            <w:rStyle w:val="af1"/>
            <w:noProof/>
            <w:lang w:val="fr-FR"/>
          </w:rPr>
          <w:t>Données du Site</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_Toc104294489 \h </w:instrText>
        </w:r>
        <w:r w:rsidR="00F332DA" w:rsidRPr="00BD76AF">
          <w:rPr>
            <w:noProof/>
            <w:webHidden/>
          </w:rPr>
        </w:r>
        <w:r w:rsidR="00F332DA" w:rsidRPr="00BD76AF">
          <w:rPr>
            <w:noProof/>
            <w:webHidden/>
          </w:rPr>
          <w:fldChar w:fldCharType="separate"/>
        </w:r>
        <w:r w:rsidR="0048496E">
          <w:rPr>
            <w:noProof/>
            <w:webHidden/>
          </w:rPr>
          <w:t>30</w:t>
        </w:r>
        <w:r w:rsidR="00F332DA" w:rsidRPr="00BD76AF">
          <w:rPr>
            <w:noProof/>
            <w:webHidden/>
          </w:rPr>
          <w:fldChar w:fldCharType="end"/>
        </w:r>
      </w:hyperlink>
    </w:p>
    <w:p w14:paraId="431B68CE" w14:textId="77777777" w:rsidR="00F332DA" w:rsidRPr="00BD76AF" w:rsidRDefault="00F332DA" w:rsidP="00041760">
      <w:pPr>
        <w:spacing w:after="80"/>
        <w:rPr>
          <w:b/>
          <w:lang w:eastAsia="ja-JP"/>
        </w:rPr>
      </w:pPr>
      <w:r w:rsidRPr="00BD76AF">
        <w:fldChar w:fldCharType="end"/>
      </w:r>
    </w:p>
    <w:p w14:paraId="0D906D92" w14:textId="77777777" w:rsidR="00F332DA" w:rsidRPr="00BD76AF" w:rsidRDefault="00F332DA" w:rsidP="005F67D6">
      <w:pPr>
        <w:pStyle w:val="SecVI-Header1"/>
        <w:rPr>
          <w:lang w:val="fr-FR"/>
        </w:rPr>
      </w:pPr>
      <w:r w:rsidRPr="00BD76AF">
        <w:rPr>
          <w:szCs w:val="36"/>
          <w:lang w:val="fr-FR"/>
        </w:rPr>
        <w:br w:type="page"/>
      </w:r>
      <w:bookmarkStart w:id="709" w:name="_Toc104294471"/>
      <w:r w:rsidRPr="00BD76AF">
        <w:rPr>
          <w:lang w:val="fr-FR"/>
        </w:rPr>
        <w:t xml:space="preserve">Descriptif des </w:t>
      </w:r>
      <w:r w:rsidRPr="00BD76AF">
        <w:rPr>
          <w:szCs w:val="36"/>
          <w:lang w:val="fr-FR"/>
        </w:rPr>
        <w:t xml:space="preserve">Équipements et Services de montage </w:t>
      </w:r>
      <w:r w:rsidRPr="00BD76AF">
        <w:rPr>
          <w:lang w:val="fr-FR"/>
        </w:rPr>
        <w:t>à fournir par l’Entrepreneur</w:t>
      </w:r>
      <w:bookmarkEnd w:id="709"/>
    </w:p>
    <w:p w14:paraId="78C83F7F" w14:textId="77777777" w:rsidR="00F332DA" w:rsidRPr="00BD76AF" w:rsidRDefault="00F332DA" w:rsidP="005F67D6">
      <w:pPr>
        <w:pStyle w:val="SecVI-Header1"/>
        <w:rPr>
          <w:lang w:val="fr-FR"/>
        </w:rPr>
      </w:pPr>
    </w:p>
    <w:p w14:paraId="3538D396" w14:textId="77777777" w:rsidR="00F332DA" w:rsidRPr="00BD76AF" w:rsidRDefault="00F332DA" w:rsidP="005F67D6">
      <w:pPr>
        <w:pStyle w:val="SecVI-Header1"/>
        <w:rPr>
          <w:lang w:val="fr-FR" w:eastAsia="ja-JP"/>
        </w:rPr>
      </w:pPr>
    </w:p>
    <w:tbl>
      <w:tblPr>
        <w:tblW w:w="0" w:type="auto"/>
        <w:tblBorders>
          <w:top w:val="single" w:sz="4" w:space="0" w:color="000000"/>
          <w:left w:val="single" w:sz="4" w:space="0" w:color="auto"/>
          <w:bottom w:val="single" w:sz="4" w:space="0" w:color="auto"/>
          <w:right w:val="single" w:sz="4" w:space="0" w:color="auto"/>
        </w:tblBorders>
        <w:tblLook w:val="04A0" w:firstRow="1" w:lastRow="0" w:firstColumn="1" w:lastColumn="0" w:noHBand="0" w:noVBand="1"/>
      </w:tblPr>
      <w:tblGrid>
        <w:gridCol w:w="8993"/>
      </w:tblGrid>
      <w:tr w:rsidR="00F332DA" w:rsidRPr="00BD76AF" w14:paraId="2BE84FCE" w14:textId="77777777" w:rsidTr="0000527F">
        <w:trPr>
          <w:trHeight w:val="1048"/>
        </w:trPr>
        <w:tc>
          <w:tcPr>
            <w:tcW w:w="8993" w:type="dxa"/>
            <w:shd w:val="clear" w:color="auto" w:fill="auto"/>
          </w:tcPr>
          <w:p w14:paraId="601A036C" w14:textId="77777777" w:rsidR="00F332DA" w:rsidRPr="00BD76AF" w:rsidRDefault="00F332DA" w:rsidP="0000527F">
            <w:pPr>
              <w:spacing w:after="120"/>
              <w:jc w:val="center"/>
              <w:rPr>
                <w:b/>
              </w:rPr>
            </w:pPr>
            <w:r w:rsidRPr="00BD76AF">
              <w:rPr>
                <w:b/>
              </w:rPr>
              <w:t>Notes à l’intention du Maître d’ouvrage</w:t>
            </w:r>
          </w:p>
          <w:p w14:paraId="61022F95" w14:textId="77777777" w:rsidR="00F332DA" w:rsidRPr="00BD76AF" w:rsidRDefault="00F332DA" w:rsidP="00753C9D">
            <w:pPr>
              <w:pStyle w:val="SectionVHeader1"/>
              <w:jc w:val="both"/>
              <w:rPr>
                <w:lang w:val="fr-FR"/>
              </w:rPr>
            </w:pPr>
            <w:r w:rsidRPr="00BD76AF">
              <w:rPr>
                <w:b w:val="0"/>
                <w:sz w:val="24"/>
                <w:szCs w:val="24"/>
                <w:lang w:val="fr-FR" w:eastAsia="ja-JP"/>
              </w:rPr>
              <w:t>Le Maître d’ouvrage doit insérer ci-après le descriptif des Équipements et Services de montage de l’Entrepreneur conformément à l’Article 7.1 des Conditions du Marché.</w:t>
            </w:r>
          </w:p>
        </w:tc>
      </w:tr>
    </w:tbl>
    <w:p w14:paraId="0A4A622A" w14:textId="77777777" w:rsidR="00F332DA" w:rsidRPr="00BD76AF" w:rsidRDefault="00F332DA" w:rsidP="009126F0">
      <w:pPr>
        <w:jc w:val="center"/>
        <w:rPr>
          <w:i/>
        </w:rPr>
      </w:pPr>
    </w:p>
    <w:p w14:paraId="62A48DF1" w14:textId="77777777" w:rsidR="00F332DA" w:rsidRPr="00BD76AF" w:rsidRDefault="00F332DA" w:rsidP="006328A8">
      <w:pPr>
        <w:pStyle w:val="SecVI-Header1"/>
        <w:jc w:val="both"/>
        <w:rPr>
          <w:b w:val="0"/>
          <w:szCs w:val="36"/>
          <w:lang w:val="fr-FR"/>
        </w:rPr>
      </w:pPr>
    </w:p>
    <w:p w14:paraId="5DE64897" w14:textId="77777777" w:rsidR="00F332DA" w:rsidRPr="00BD76AF" w:rsidRDefault="00F332DA">
      <w:pPr>
        <w:suppressAutoHyphens w:val="0"/>
        <w:overflowPunct/>
        <w:autoSpaceDE/>
        <w:autoSpaceDN/>
        <w:adjustRightInd/>
        <w:jc w:val="left"/>
        <w:textAlignment w:val="auto"/>
        <w:rPr>
          <w:b/>
        </w:rPr>
      </w:pPr>
      <w:r w:rsidRPr="00BD76AF">
        <w:rPr>
          <w:b/>
        </w:rPr>
        <w:br w:type="page"/>
      </w:r>
    </w:p>
    <w:p w14:paraId="667BB43A" w14:textId="77777777" w:rsidR="00F332DA" w:rsidRPr="00BD76AF" w:rsidRDefault="00F332DA" w:rsidP="00107912">
      <w:pPr>
        <w:pStyle w:val="SecVI-Header1"/>
        <w:rPr>
          <w:lang w:val="fr-FR"/>
        </w:rPr>
      </w:pPr>
      <w:bookmarkStart w:id="710" w:name="_Toc104294472"/>
      <w:r w:rsidRPr="00BD76AF">
        <w:rPr>
          <w:lang w:val="fr-FR"/>
        </w:rPr>
        <w:t>Descriptif des travaux et apport du Maître d’ouvrage</w:t>
      </w:r>
      <w:bookmarkEnd w:id="710"/>
    </w:p>
    <w:p w14:paraId="32BDFA13" w14:textId="77777777" w:rsidR="00F332DA" w:rsidRPr="00BD76AF" w:rsidRDefault="00F332DA" w:rsidP="00107912">
      <w:pPr>
        <w:pStyle w:val="SecVI-Header1"/>
        <w:rPr>
          <w:lang w:val="fr-FR"/>
        </w:rPr>
      </w:pPr>
    </w:p>
    <w:p w14:paraId="3D2F7F0C" w14:textId="77777777" w:rsidR="00F332DA" w:rsidRPr="00BD76AF" w:rsidRDefault="00F332DA" w:rsidP="0000527F">
      <w:pPr>
        <w:pStyle w:val="SectionVHeader1"/>
        <w:rPr>
          <w:b w:val="0"/>
          <w:sz w:val="24"/>
          <w:szCs w:val="24"/>
          <w:lang w:val="fr-FR" w:eastAsia="ja-JP"/>
        </w:rPr>
      </w:pPr>
    </w:p>
    <w:tbl>
      <w:tblPr>
        <w:tblW w:w="0" w:type="auto"/>
        <w:tblBorders>
          <w:top w:val="single" w:sz="4" w:space="0" w:color="000000"/>
          <w:left w:val="single" w:sz="4" w:space="0" w:color="auto"/>
          <w:bottom w:val="single" w:sz="4" w:space="0" w:color="auto"/>
          <w:right w:val="single" w:sz="4" w:space="0" w:color="auto"/>
        </w:tblBorders>
        <w:tblLook w:val="04A0" w:firstRow="1" w:lastRow="0" w:firstColumn="1" w:lastColumn="0" w:noHBand="0" w:noVBand="1"/>
      </w:tblPr>
      <w:tblGrid>
        <w:gridCol w:w="8993"/>
      </w:tblGrid>
      <w:tr w:rsidR="00F332DA" w:rsidRPr="00BD76AF" w14:paraId="7DC173E6" w14:textId="77777777" w:rsidTr="0000527F">
        <w:trPr>
          <w:trHeight w:val="1048"/>
        </w:trPr>
        <w:tc>
          <w:tcPr>
            <w:tcW w:w="9216" w:type="dxa"/>
            <w:shd w:val="clear" w:color="auto" w:fill="auto"/>
          </w:tcPr>
          <w:p w14:paraId="6229C886" w14:textId="77777777" w:rsidR="00F332DA" w:rsidRPr="00BD76AF" w:rsidRDefault="00F332DA" w:rsidP="0000527F">
            <w:pPr>
              <w:spacing w:after="120"/>
              <w:jc w:val="center"/>
              <w:rPr>
                <w:b/>
              </w:rPr>
            </w:pPr>
            <w:r w:rsidRPr="00BD76AF">
              <w:rPr>
                <w:b/>
              </w:rPr>
              <w:t>Notes à l’intention du Maître d’ouvrage</w:t>
            </w:r>
          </w:p>
          <w:p w14:paraId="77FE9C5C" w14:textId="77777777" w:rsidR="00F332DA" w:rsidRPr="00BD76AF" w:rsidRDefault="00F332DA" w:rsidP="00753C9D">
            <w:pPr>
              <w:pStyle w:val="SectionVHeader1"/>
              <w:jc w:val="both"/>
              <w:rPr>
                <w:lang w:val="fr-FR"/>
              </w:rPr>
            </w:pPr>
            <w:r w:rsidRPr="00BD76AF">
              <w:rPr>
                <w:b w:val="0"/>
                <w:sz w:val="24"/>
                <w:szCs w:val="24"/>
                <w:lang w:val="fr-FR" w:eastAsia="ja-JP"/>
              </w:rPr>
              <w:t>Le Maître d’ouvrage doit insérer le descriptif des travaux et apport du Maître d’ouvrage y compris ceux indiqués dans les Articles 10.1, 10.2, 10.3 et 10.6 des Conditions du Marché.</w:t>
            </w:r>
          </w:p>
        </w:tc>
      </w:tr>
    </w:tbl>
    <w:p w14:paraId="01882FC7" w14:textId="77777777" w:rsidR="00F332DA" w:rsidRPr="00BD76AF" w:rsidRDefault="00F332DA" w:rsidP="0000527F">
      <w:pPr>
        <w:jc w:val="center"/>
      </w:pPr>
    </w:p>
    <w:p w14:paraId="609D8416" w14:textId="77777777" w:rsidR="00F332DA" w:rsidRPr="00BD76AF" w:rsidRDefault="00F332DA">
      <w:pPr>
        <w:suppressAutoHyphens w:val="0"/>
        <w:overflowPunct/>
        <w:autoSpaceDE/>
        <w:autoSpaceDN/>
        <w:adjustRightInd/>
        <w:jc w:val="left"/>
        <w:textAlignment w:val="auto"/>
        <w:rPr>
          <w:b/>
          <w:sz w:val="36"/>
        </w:rPr>
      </w:pPr>
      <w:r w:rsidRPr="00BD76AF">
        <w:br w:type="page"/>
      </w:r>
    </w:p>
    <w:p w14:paraId="15E132F0" w14:textId="77777777" w:rsidR="00F332DA" w:rsidRPr="00BD76AF" w:rsidRDefault="00F332DA" w:rsidP="00107912">
      <w:pPr>
        <w:pStyle w:val="SecVI-Header1"/>
        <w:rPr>
          <w:lang w:val="fr-FR" w:eastAsia="ja-JP"/>
        </w:rPr>
      </w:pPr>
      <w:bookmarkStart w:id="711" w:name="_Toc104294473"/>
      <w:r w:rsidRPr="00BD76AF">
        <w:rPr>
          <w:lang w:val="fr-FR"/>
        </w:rPr>
        <w:t>Spécifications</w:t>
      </w:r>
      <w:bookmarkEnd w:id="711"/>
    </w:p>
    <w:p w14:paraId="7B6BD230" w14:textId="77777777" w:rsidR="00F332DA" w:rsidRPr="00BD76AF" w:rsidRDefault="00F332DA" w:rsidP="0000527F">
      <w:pPr>
        <w:rPr>
          <w:lang w:eastAsia="ja-JP"/>
        </w:rPr>
      </w:pPr>
    </w:p>
    <w:p w14:paraId="726B73B2" w14:textId="77777777" w:rsidR="00F332DA" w:rsidRPr="00BD76AF" w:rsidRDefault="00F332DA" w:rsidP="0000527F">
      <w:pPr>
        <w:rPr>
          <w:lang w:eastAsia="ja-JP"/>
        </w:rPr>
      </w:pPr>
    </w:p>
    <w:tbl>
      <w:tblPr>
        <w:tblW w:w="0" w:type="auto"/>
        <w:tblBorders>
          <w:top w:val="single" w:sz="4" w:space="0" w:color="000000"/>
          <w:left w:val="single" w:sz="4" w:space="0" w:color="auto"/>
          <w:bottom w:val="single" w:sz="4" w:space="0" w:color="auto"/>
          <w:right w:val="single" w:sz="4" w:space="0" w:color="auto"/>
        </w:tblBorders>
        <w:tblLook w:val="04A0" w:firstRow="1" w:lastRow="0" w:firstColumn="1" w:lastColumn="0" w:noHBand="0" w:noVBand="1"/>
      </w:tblPr>
      <w:tblGrid>
        <w:gridCol w:w="8993"/>
      </w:tblGrid>
      <w:tr w:rsidR="00F332DA" w:rsidRPr="00BD76AF" w14:paraId="40C56709" w14:textId="77777777" w:rsidTr="0000527F">
        <w:trPr>
          <w:trHeight w:val="1048"/>
        </w:trPr>
        <w:tc>
          <w:tcPr>
            <w:tcW w:w="9216" w:type="dxa"/>
            <w:shd w:val="clear" w:color="auto" w:fill="auto"/>
          </w:tcPr>
          <w:p w14:paraId="1F426209" w14:textId="77777777" w:rsidR="00F332DA" w:rsidRPr="00BD76AF" w:rsidRDefault="00F332DA" w:rsidP="0000527F">
            <w:pPr>
              <w:spacing w:after="120"/>
              <w:jc w:val="center"/>
              <w:rPr>
                <w:b/>
                <w:szCs w:val="24"/>
              </w:rPr>
            </w:pPr>
            <w:r w:rsidRPr="00BD76AF">
              <w:rPr>
                <w:b/>
                <w:szCs w:val="24"/>
              </w:rPr>
              <w:t>Notes à l’intention du Maître d’ouvrage</w:t>
            </w:r>
          </w:p>
          <w:p w14:paraId="50B7BC2D" w14:textId="77777777" w:rsidR="00F332DA" w:rsidRPr="00BD76AF" w:rsidRDefault="00F332DA" w:rsidP="0000527F"/>
          <w:p w14:paraId="33BADA13" w14:textId="77777777" w:rsidR="00F332DA" w:rsidRPr="00BD76AF" w:rsidRDefault="00F332DA" w:rsidP="0000527F">
            <w:pPr>
              <w:rPr>
                <w:szCs w:val="24"/>
              </w:rPr>
            </w:pPr>
            <w:r w:rsidRPr="00BD76AF">
              <w:t>Le Maître d’ouvrage</w:t>
            </w:r>
            <w:r w:rsidRPr="00BD76AF">
              <w:rPr>
                <w:szCs w:val="24"/>
              </w:rPr>
              <w:t xml:space="preserve"> doit indiquer ci-dessous les spécifications qui précisent les normes minimales applicables aux Installations ainsi que les autres exigences techniques à intégrer dans la conception. Se référer aux notes à l’intention du Maître d’ouvrage au début de la section. En plus des informations requises et des aspects à mentionner, conformément aux Conditions du Marché (comme indiqué dans les notes ci-dessus), la totalité ou une partie des informations suivantes peuvent être spécifiées :</w:t>
            </w:r>
          </w:p>
          <w:p w14:paraId="224CC892" w14:textId="77777777" w:rsidR="00F332DA" w:rsidRPr="00BD76AF" w:rsidRDefault="00F332DA" w:rsidP="003D46CF">
            <w:pPr>
              <w:pStyle w:val="aff7"/>
              <w:widowControl/>
              <w:numPr>
                <w:ilvl w:val="0"/>
                <w:numId w:val="87"/>
              </w:numPr>
              <w:adjustRightInd/>
              <w:spacing w:line="259" w:lineRule="auto"/>
              <w:ind w:leftChars="0"/>
              <w:contextualSpacing/>
              <w:textAlignment w:val="auto"/>
              <w:rPr>
                <w:rFonts w:ascii="Times New Roman" w:hAnsi="Times New Roman"/>
                <w:sz w:val="24"/>
                <w:szCs w:val="24"/>
                <w:lang w:val="fr-FR"/>
              </w:rPr>
            </w:pPr>
            <w:r w:rsidRPr="00BD76AF">
              <w:rPr>
                <w:rFonts w:ascii="Times New Roman" w:hAnsi="Times New Roman"/>
                <w:sz w:val="24"/>
                <w:szCs w:val="24"/>
                <w:lang w:val="fr-FR"/>
              </w:rPr>
              <w:t>les performances prévues des installations ;</w:t>
            </w:r>
          </w:p>
          <w:p w14:paraId="76B74F52" w14:textId="77777777" w:rsidR="00F332DA" w:rsidRPr="00BD76AF" w:rsidRDefault="00F332DA" w:rsidP="003D46CF">
            <w:pPr>
              <w:pStyle w:val="aff7"/>
              <w:widowControl/>
              <w:numPr>
                <w:ilvl w:val="0"/>
                <w:numId w:val="87"/>
              </w:numPr>
              <w:adjustRightInd/>
              <w:spacing w:line="259" w:lineRule="auto"/>
              <w:ind w:leftChars="0"/>
              <w:contextualSpacing/>
              <w:textAlignment w:val="auto"/>
              <w:rPr>
                <w:rFonts w:ascii="Times New Roman" w:hAnsi="Times New Roman"/>
                <w:sz w:val="24"/>
                <w:szCs w:val="24"/>
                <w:lang w:val="fr-FR"/>
              </w:rPr>
            </w:pPr>
            <w:r w:rsidRPr="00BD76AF">
              <w:rPr>
                <w:rFonts w:ascii="Times New Roman" w:hAnsi="Times New Roman"/>
                <w:sz w:val="24"/>
                <w:szCs w:val="24"/>
                <w:lang w:val="fr-FR"/>
              </w:rPr>
              <w:t>la définition de la localisation du site ;</w:t>
            </w:r>
          </w:p>
          <w:p w14:paraId="716AE529" w14:textId="77777777" w:rsidR="00F332DA" w:rsidRPr="00BD76AF" w:rsidRDefault="00F332DA" w:rsidP="003D46CF">
            <w:pPr>
              <w:pStyle w:val="aff7"/>
              <w:widowControl/>
              <w:numPr>
                <w:ilvl w:val="0"/>
                <w:numId w:val="87"/>
              </w:numPr>
              <w:adjustRightInd/>
              <w:spacing w:line="259" w:lineRule="auto"/>
              <w:ind w:leftChars="0"/>
              <w:contextualSpacing/>
              <w:textAlignment w:val="auto"/>
              <w:rPr>
                <w:rFonts w:ascii="Times New Roman" w:hAnsi="Times New Roman"/>
                <w:sz w:val="24"/>
                <w:szCs w:val="24"/>
                <w:lang w:val="fr-FR"/>
              </w:rPr>
            </w:pPr>
            <w:r w:rsidRPr="00BD76AF">
              <w:rPr>
                <w:rFonts w:ascii="Times New Roman" w:hAnsi="Times New Roman"/>
                <w:sz w:val="24"/>
                <w:szCs w:val="24"/>
                <w:lang w:val="fr-FR"/>
              </w:rPr>
              <w:t>les critères de conception et autres critères techniques ;</w:t>
            </w:r>
          </w:p>
          <w:p w14:paraId="2CE65726" w14:textId="77777777" w:rsidR="00F332DA" w:rsidRPr="00BD76AF" w:rsidRDefault="00F332DA" w:rsidP="003D46CF">
            <w:pPr>
              <w:pStyle w:val="aff7"/>
              <w:widowControl/>
              <w:numPr>
                <w:ilvl w:val="0"/>
                <w:numId w:val="87"/>
              </w:numPr>
              <w:adjustRightInd/>
              <w:spacing w:line="259" w:lineRule="auto"/>
              <w:ind w:leftChars="0"/>
              <w:contextualSpacing/>
              <w:textAlignment w:val="auto"/>
              <w:rPr>
                <w:rFonts w:ascii="Times New Roman" w:hAnsi="Times New Roman"/>
                <w:sz w:val="24"/>
                <w:szCs w:val="24"/>
                <w:lang w:val="fr-FR"/>
              </w:rPr>
            </w:pPr>
            <w:r w:rsidRPr="00BD76AF">
              <w:rPr>
                <w:rFonts w:ascii="Times New Roman" w:hAnsi="Times New Roman"/>
                <w:sz w:val="24"/>
                <w:szCs w:val="24"/>
                <w:lang w:val="fr-FR"/>
              </w:rPr>
              <w:t>les normes techniques, codes et règlements applicables ;</w:t>
            </w:r>
          </w:p>
          <w:p w14:paraId="1BAA0D05" w14:textId="77777777" w:rsidR="00F332DA" w:rsidRPr="00BD76AF" w:rsidRDefault="00F332DA" w:rsidP="003D46CF">
            <w:pPr>
              <w:pStyle w:val="aff7"/>
              <w:widowControl/>
              <w:numPr>
                <w:ilvl w:val="0"/>
                <w:numId w:val="87"/>
              </w:numPr>
              <w:adjustRightInd/>
              <w:spacing w:line="259" w:lineRule="auto"/>
              <w:ind w:leftChars="0"/>
              <w:contextualSpacing/>
              <w:textAlignment w:val="auto"/>
              <w:rPr>
                <w:rFonts w:ascii="Times New Roman" w:hAnsi="Times New Roman"/>
                <w:sz w:val="24"/>
                <w:szCs w:val="24"/>
                <w:lang w:val="fr-FR"/>
              </w:rPr>
            </w:pPr>
            <w:r w:rsidRPr="00BD76AF">
              <w:rPr>
                <w:rFonts w:ascii="Times New Roman" w:hAnsi="Times New Roman"/>
                <w:sz w:val="24"/>
                <w:szCs w:val="24"/>
                <w:lang w:val="fr-FR"/>
              </w:rPr>
              <w:t xml:space="preserve">les critères de qualité et de performance ; </w:t>
            </w:r>
          </w:p>
          <w:p w14:paraId="65C245D7" w14:textId="77777777" w:rsidR="00F332DA" w:rsidRPr="00BD76AF" w:rsidRDefault="00F332DA" w:rsidP="003D46CF">
            <w:pPr>
              <w:pStyle w:val="aff7"/>
              <w:widowControl/>
              <w:numPr>
                <w:ilvl w:val="0"/>
                <w:numId w:val="87"/>
              </w:numPr>
              <w:adjustRightInd/>
              <w:spacing w:line="259" w:lineRule="auto"/>
              <w:ind w:leftChars="0"/>
              <w:contextualSpacing/>
              <w:textAlignment w:val="auto"/>
              <w:rPr>
                <w:rFonts w:ascii="Times New Roman" w:hAnsi="Times New Roman"/>
                <w:sz w:val="24"/>
                <w:szCs w:val="24"/>
                <w:lang w:val="fr-FR"/>
              </w:rPr>
            </w:pPr>
            <w:r w:rsidRPr="00BD76AF">
              <w:rPr>
                <w:rFonts w:ascii="Times New Roman" w:hAnsi="Times New Roman"/>
                <w:sz w:val="24"/>
                <w:szCs w:val="24"/>
                <w:lang w:val="fr-FR"/>
              </w:rPr>
              <w:t>le système de contrôle et d’assurance de qualité ;</w:t>
            </w:r>
          </w:p>
          <w:p w14:paraId="68FE3ED1" w14:textId="77777777" w:rsidR="00F332DA" w:rsidRPr="00BD76AF" w:rsidRDefault="00F332DA" w:rsidP="003D46CF">
            <w:pPr>
              <w:pStyle w:val="aff7"/>
              <w:widowControl/>
              <w:numPr>
                <w:ilvl w:val="0"/>
                <w:numId w:val="87"/>
              </w:numPr>
              <w:adjustRightInd/>
              <w:spacing w:line="259" w:lineRule="auto"/>
              <w:ind w:leftChars="0"/>
              <w:contextualSpacing/>
              <w:textAlignment w:val="auto"/>
              <w:rPr>
                <w:rFonts w:ascii="Times New Roman" w:hAnsi="Times New Roman"/>
                <w:sz w:val="24"/>
                <w:szCs w:val="24"/>
              </w:rPr>
            </w:pPr>
            <w:r w:rsidRPr="00BD76AF">
              <w:rPr>
                <w:rFonts w:ascii="Times New Roman" w:hAnsi="Times New Roman"/>
                <w:sz w:val="24"/>
                <w:szCs w:val="24"/>
              </w:rPr>
              <w:t>les exigences douanières ;</w:t>
            </w:r>
          </w:p>
          <w:p w14:paraId="7CBCBF79" w14:textId="77777777" w:rsidR="00F332DA" w:rsidRPr="00BD76AF" w:rsidRDefault="00F332DA" w:rsidP="003D46CF">
            <w:pPr>
              <w:pStyle w:val="aff7"/>
              <w:widowControl/>
              <w:numPr>
                <w:ilvl w:val="0"/>
                <w:numId w:val="87"/>
              </w:numPr>
              <w:adjustRightInd/>
              <w:spacing w:line="259" w:lineRule="auto"/>
              <w:ind w:leftChars="0"/>
              <w:contextualSpacing/>
              <w:textAlignment w:val="auto"/>
              <w:rPr>
                <w:rFonts w:ascii="Times New Roman" w:hAnsi="Times New Roman"/>
                <w:sz w:val="24"/>
                <w:szCs w:val="24"/>
                <w:lang w:val="fr-FR"/>
              </w:rPr>
            </w:pPr>
            <w:r w:rsidRPr="00BD76AF">
              <w:rPr>
                <w:rFonts w:ascii="Times New Roman" w:hAnsi="Times New Roman"/>
                <w:sz w:val="24"/>
                <w:szCs w:val="24"/>
                <w:lang w:val="fr-FR"/>
              </w:rPr>
              <w:t>le programme proposé ou requis, son logiciel, sa modification périodique, et les étapes requises ;</w:t>
            </w:r>
          </w:p>
          <w:p w14:paraId="700A8635" w14:textId="77777777" w:rsidR="00F332DA" w:rsidRPr="00BD76AF" w:rsidRDefault="00F332DA" w:rsidP="003D46CF">
            <w:pPr>
              <w:pStyle w:val="aff7"/>
              <w:widowControl/>
              <w:numPr>
                <w:ilvl w:val="0"/>
                <w:numId w:val="87"/>
              </w:numPr>
              <w:adjustRightInd/>
              <w:spacing w:line="259" w:lineRule="auto"/>
              <w:ind w:leftChars="0"/>
              <w:contextualSpacing/>
              <w:textAlignment w:val="auto"/>
              <w:rPr>
                <w:rFonts w:ascii="Times New Roman" w:hAnsi="Times New Roman"/>
                <w:sz w:val="24"/>
                <w:szCs w:val="24"/>
                <w:lang w:val="fr-FR"/>
              </w:rPr>
            </w:pPr>
            <w:r w:rsidRPr="00BD76AF">
              <w:rPr>
                <w:rFonts w:ascii="Times New Roman" w:hAnsi="Times New Roman"/>
                <w:sz w:val="24"/>
                <w:szCs w:val="24"/>
                <w:lang w:val="fr-FR"/>
              </w:rPr>
              <w:t>le ou les autres entrepreneurs présents sur le chantier ;</w:t>
            </w:r>
          </w:p>
          <w:p w14:paraId="5ECB85D4" w14:textId="77777777" w:rsidR="00F332DA" w:rsidRPr="00BD76AF" w:rsidRDefault="00F332DA" w:rsidP="003D46CF">
            <w:pPr>
              <w:pStyle w:val="aff7"/>
              <w:widowControl/>
              <w:numPr>
                <w:ilvl w:val="0"/>
                <w:numId w:val="87"/>
              </w:numPr>
              <w:adjustRightInd/>
              <w:spacing w:line="259" w:lineRule="auto"/>
              <w:ind w:leftChars="0"/>
              <w:contextualSpacing/>
              <w:textAlignment w:val="auto"/>
              <w:rPr>
                <w:rFonts w:ascii="Times New Roman" w:hAnsi="Times New Roman"/>
                <w:sz w:val="24"/>
                <w:szCs w:val="24"/>
                <w:lang w:val="fr-FR"/>
              </w:rPr>
            </w:pPr>
            <w:r w:rsidRPr="00BD76AF">
              <w:rPr>
                <w:rFonts w:ascii="Times New Roman" w:hAnsi="Times New Roman"/>
                <w:sz w:val="24"/>
                <w:szCs w:val="24"/>
                <w:lang w:val="fr-FR"/>
              </w:rPr>
              <w:t>les points de référence, lignes et niveaux de référence pour l’implantation des ouvrages ;</w:t>
            </w:r>
          </w:p>
          <w:p w14:paraId="40DA097B" w14:textId="77777777" w:rsidR="00F332DA" w:rsidRPr="00BD76AF" w:rsidRDefault="00F332DA" w:rsidP="003D46CF">
            <w:pPr>
              <w:pStyle w:val="aff7"/>
              <w:widowControl/>
              <w:numPr>
                <w:ilvl w:val="0"/>
                <w:numId w:val="87"/>
              </w:numPr>
              <w:adjustRightInd/>
              <w:spacing w:line="259" w:lineRule="auto"/>
              <w:ind w:leftChars="0"/>
              <w:contextualSpacing/>
              <w:textAlignment w:val="auto"/>
              <w:rPr>
                <w:rFonts w:ascii="Times New Roman" w:hAnsi="Times New Roman"/>
                <w:sz w:val="24"/>
                <w:szCs w:val="24"/>
              </w:rPr>
            </w:pPr>
            <w:r w:rsidRPr="00BD76AF">
              <w:rPr>
                <w:rFonts w:ascii="Times New Roman" w:hAnsi="Times New Roman"/>
                <w:sz w:val="24"/>
                <w:szCs w:val="24"/>
              </w:rPr>
              <w:t>la participation de tiers ;</w:t>
            </w:r>
          </w:p>
          <w:p w14:paraId="07AA8A01" w14:textId="77777777" w:rsidR="00F332DA" w:rsidRPr="00BD76AF" w:rsidRDefault="00F332DA" w:rsidP="003D46CF">
            <w:pPr>
              <w:pStyle w:val="aff7"/>
              <w:widowControl/>
              <w:numPr>
                <w:ilvl w:val="0"/>
                <w:numId w:val="87"/>
              </w:numPr>
              <w:adjustRightInd/>
              <w:spacing w:line="259" w:lineRule="auto"/>
              <w:ind w:leftChars="0"/>
              <w:contextualSpacing/>
              <w:textAlignment w:val="auto"/>
              <w:rPr>
                <w:rFonts w:ascii="Times New Roman" w:hAnsi="Times New Roman"/>
                <w:sz w:val="24"/>
                <w:szCs w:val="24"/>
              </w:rPr>
            </w:pPr>
            <w:r w:rsidRPr="00BD76AF">
              <w:rPr>
                <w:rFonts w:ascii="Times New Roman" w:hAnsi="Times New Roman"/>
                <w:sz w:val="24"/>
                <w:szCs w:val="24"/>
              </w:rPr>
              <w:t>les contraintes environnementales ;</w:t>
            </w:r>
          </w:p>
          <w:p w14:paraId="347D056E" w14:textId="77777777" w:rsidR="00F332DA" w:rsidRPr="00BD76AF" w:rsidRDefault="00F332DA" w:rsidP="003D46CF">
            <w:pPr>
              <w:pStyle w:val="aff7"/>
              <w:widowControl/>
              <w:numPr>
                <w:ilvl w:val="0"/>
                <w:numId w:val="87"/>
              </w:numPr>
              <w:adjustRightInd/>
              <w:spacing w:line="259" w:lineRule="auto"/>
              <w:ind w:leftChars="0"/>
              <w:contextualSpacing/>
              <w:textAlignment w:val="auto"/>
              <w:rPr>
                <w:rFonts w:ascii="Times New Roman" w:hAnsi="Times New Roman"/>
                <w:sz w:val="24"/>
                <w:szCs w:val="24"/>
                <w:lang w:val="fr-FR"/>
              </w:rPr>
            </w:pPr>
            <w:r w:rsidRPr="00BD76AF">
              <w:rPr>
                <w:rFonts w:ascii="Times New Roman" w:hAnsi="Times New Roman"/>
                <w:sz w:val="24"/>
                <w:szCs w:val="24"/>
                <w:lang w:val="fr-FR"/>
              </w:rPr>
              <w:t>les contraintes d’accès routier, ferroviaire, aérien et maritime ;</w:t>
            </w:r>
          </w:p>
          <w:p w14:paraId="3B462839" w14:textId="77777777" w:rsidR="00F332DA" w:rsidRPr="00BD76AF" w:rsidRDefault="00F332DA" w:rsidP="003D46CF">
            <w:pPr>
              <w:pStyle w:val="aff7"/>
              <w:widowControl/>
              <w:numPr>
                <w:ilvl w:val="0"/>
                <w:numId w:val="87"/>
              </w:numPr>
              <w:adjustRightInd/>
              <w:spacing w:line="259" w:lineRule="auto"/>
              <w:ind w:leftChars="0"/>
              <w:contextualSpacing/>
              <w:textAlignment w:val="auto"/>
              <w:rPr>
                <w:rFonts w:ascii="Times New Roman" w:hAnsi="Times New Roman"/>
                <w:sz w:val="24"/>
                <w:szCs w:val="24"/>
                <w:lang w:val="fr-FR"/>
              </w:rPr>
            </w:pPr>
            <w:r w:rsidRPr="00BD76AF">
              <w:rPr>
                <w:rFonts w:ascii="Times New Roman" w:hAnsi="Times New Roman"/>
                <w:sz w:val="24"/>
                <w:szCs w:val="24"/>
                <w:lang w:val="fr-FR"/>
              </w:rPr>
              <w:t>l’</w:t>
            </w:r>
            <w:r w:rsidRPr="00BD76AF">
              <w:rPr>
                <w:rFonts w:ascii="Times New Roman" w:hAnsi="Times New Roman" w:hint="eastAsia"/>
                <w:sz w:val="24"/>
                <w:szCs w:val="24"/>
                <w:lang w:val="fr-FR"/>
              </w:rPr>
              <w:t>é</w:t>
            </w:r>
            <w:r w:rsidRPr="00BD76AF">
              <w:rPr>
                <w:rFonts w:ascii="Times New Roman" w:hAnsi="Times New Roman"/>
                <w:sz w:val="24"/>
                <w:szCs w:val="24"/>
                <w:lang w:val="fr-FR"/>
              </w:rPr>
              <w:t>lectricité, eau, gaz et autres services disponibles sur le chantier ;</w:t>
            </w:r>
          </w:p>
          <w:p w14:paraId="0D81F5B1" w14:textId="77777777" w:rsidR="00F332DA" w:rsidRPr="00BD76AF" w:rsidRDefault="00F332DA" w:rsidP="003D46CF">
            <w:pPr>
              <w:pStyle w:val="aff7"/>
              <w:widowControl/>
              <w:numPr>
                <w:ilvl w:val="0"/>
                <w:numId w:val="87"/>
              </w:numPr>
              <w:adjustRightInd/>
              <w:spacing w:line="259" w:lineRule="auto"/>
              <w:ind w:leftChars="0" w:left="357" w:hanging="357"/>
              <w:contextualSpacing/>
              <w:textAlignment w:val="auto"/>
              <w:rPr>
                <w:rFonts w:ascii="Times New Roman" w:hAnsi="Times New Roman"/>
                <w:noProof/>
                <w:sz w:val="24"/>
                <w:szCs w:val="24"/>
                <w:lang w:val="fr-FR"/>
              </w:rPr>
            </w:pPr>
            <w:r w:rsidRPr="00BD76AF">
              <w:rPr>
                <w:rFonts w:ascii="Times New Roman" w:hAnsi="Times New Roman"/>
                <w:noProof/>
                <w:sz w:val="24"/>
                <w:szCs w:val="24"/>
                <w:lang w:val="fr-FR"/>
              </w:rPr>
              <w:t xml:space="preserve">les </w:t>
            </w:r>
            <w:r w:rsidRPr="00BD76AF">
              <w:rPr>
                <w:rFonts w:ascii="Times New Roman" w:hAnsi="Times New Roman"/>
                <w:sz w:val="24"/>
                <w:szCs w:val="24"/>
                <w:lang w:val="fr-FR"/>
              </w:rPr>
              <w:t>critères</w:t>
            </w:r>
            <w:r w:rsidRPr="00BD76AF">
              <w:rPr>
                <w:rFonts w:ascii="Times New Roman" w:hAnsi="Times New Roman"/>
                <w:noProof/>
                <w:sz w:val="24"/>
                <w:szCs w:val="24"/>
                <w:lang w:val="fr-FR"/>
              </w:rPr>
              <w:t xml:space="preserve"> pour le personnel de conception ;</w:t>
            </w:r>
          </w:p>
          <w:p w14:paraId="4DBB38C1" w14:textId="77777777" w:rsidR="00F332DA" w:rsidRPr="00BD76AF" w:rsidRDefault="00F332DA" w:rsidP="003D46CF">
            <w:pPr>
              <w:pStyle w:val="aff7"/>
              <w:widowControl/>
              <w:numPr>
                <w:ilvl w:val="0"/>
                <w:numId w:val="87"/>
              </w:numPr>
              <w:adjustRightInd/>
              <w:spacing w:line="259" w:lineRule="auto"/>
              <w:ind w:leftChars="0"/>
              <w:contextualSpacing/>
              <w:textAlignment w:val="auto"/>
              <w:rPr>
                <w:rFonts w:ascii="Times New Roman" w:hAnsi="Times New Roman"/>
                <w:sz w:val="24"/>
                <w:szCs w:val="24"/>
                <w:lang w:val="fr-FR"/>
              </w:rPr>
            </w:pPr>
            <w:r w:rsidRPr="00BD76AF">
              <w:rPr>
                <w:rFonts w:ascii="Times New Roman" w:hAnsi="Times New Roman"/>
                <w:sz w:val="24"/>
                <w:szCs w:val="24"/>
                <w:lang w:val="fr-FR"/>
              </w:rPr>
              <w:t>les documents de l’Entrepreneur exigés, et s’ils sont exigés pour information, vérification et/ou approbation, et le nombre de copies ;</w:t>
            </w:r>
          </w:p>
          <w:p w14:paraId="227D1975" w14:textId="77777777" w:rsidR="00F332DA" w:rsidRPr="00BD76AF" w:rsidRDefault="00F332DA" w:rsidP="003D46CF">
            <w:pPr>
              <w:pStyle w:val="aff7"/>
              <w:widowControl/>
              <w:numPr>
                <w:ilvl w:val="0"/>
                <w:numId w:val="87"/>
              </w:numPr>
              <w:adjustRightInd/>
              <w:spacing w:line="259" w:lineRule="auto"/>
              <w:ind w:leftChars="0"/>
              <w:contextualSpacing/>
              <w:textAlignment w:val="auto"/>
              <w:rPr>
                <w:rFonts w:ascii="Times New Roman" w:hAnsi="Times New Roman"/>
                <w:sz w:val="24"/>
                <w:szCs w:val="24"/>
                <w:lang w:val="fr-FR"/>
              </w:rPr>
            </w:pPr>
            <w:r w:rsidRPr="00BD76AF">
              <w:rPr>
                <w:rFonts w:ascii="Times New Roman" w:hAnsi="Times New Roman"/>
                <w:sz w:val="24"/>
                <w:szCs w:val="24"/>
                <w:lang w:val="fr-FR"/>
              </w:rPr>
              <w:t>la formation opérationnelle pour le personnel du Maître d’ouvrage ;</w:t>
            </w:r>
          </w:p>
          <w:p w14:paraId="34467313" w14:textId="77777777" w:rsidR="00F332DA" w:rsidRPr="00BD76AF" w:rsidRDefault="00F332DA" w:rsidP="003D46CF">
            <w:pPr>
              <w:pStyle w:val="aff7"/>
              <w:numPr>
                <w:ilvl w:val="0"/>
                <w:numId w:val="87"/>
              </w:numPr>
              <w:spacing w:line="259" w:lineRule="auto"/>
              <w:ind w:leftChars="0"/>
              <w:contextualSpacing/>
              <w:rPr>
                <w:rFonts w:ascii="Times New Roman" w:hAnsi="Times New Roman"/>
                <w:sz w:val="24"/>
                <w:szCs w:val="24"/>
                <w:lang w:val="fr-FR"/>
              </w:rPr>
            </w:pPr>
            <w:r w:rsidRPr="00BD76AF">
              <w:rPr>
                <w:rFonts w:ascii="Times New Roman" w:hAnsi="Times New Roman"/>
                <w:sz w:val="24"/>
                <w:szCs w:val="24"/>
                <w:lang w:val="fr-FR"/>
              </w:rPr>
              <w:t>les plans « tel que construit » et autres notes des équipements et services de montage ;</w:t>
            </w:r>
          </w:p>
          <w:p w14:paraId="0DB96404" w14:textId="77777777" w:rsidR="00F332DA" w:rsidRPr="00BD76AF" w:rsidRDefault="00F332DA" w:rsidP="003D46CF">
            <w:pPr>
              <w:pStyle w:val="aff7"/>
              <w:widowControl/>
              <w:numPr>
                <w:ilvl w:val="0"/>
                <w:numId w:val="87"/>
              </w:numPr>
              <w:adjustRightInd/>
              <w:spacing w:line="259" w:lineRule="auto"/>
              <w:ind w:leftChars="0" w:left="357" w:hanging="357"/>
              <w:contextualSpacing/>
              <w:textAlignment w:val="auto"/>
              <w:rPr>
                <w:rFonts w:ascii="Times New Roman" w:hAnsi="Times New Roman"/>
                <w:sz w:val="24"/>
                <w:szCs w:val="24"/>
                <w:lang w:val="fr-FR"/>
              </w:rPr>
            </w:pPr>
            <w:r w:rsidRPr="00BD76AF">
              <w:rPr>
                <w:rFonts w:ascii="Times New Roman" w:hAnsi="Times New Roman"/>
                <w:sz w:val="24"/>
                <w:szCs w:val="24"/>
                <w:lang w:val="fr-FR"/>
              </w:rPr>
              <w:t>les manuels d’utilisation et de maintenance ;</w:t>
            </w:r>
          </w:p>
          <w:p w14:paraId="1C3EA534" w14:textId="77777777" w:rsidR="00F332DA" w:rsidRPr="00BD76AF" w:rsidRDefault="00F332DA" w:rsidP="003D46CF">
            <w:pPr>
              <w:pStyle w:val="aff7"/>
              <w:widowControl/>
              <w:numPr>
                <w:ilvl w:val="0"/>
                <w:numId w:val="87"/>
              </w:numPr>
              <w:adjustRightInd/>
              <w:spacing w:line="259" w:lineRule="auto"/>
              <w:ind w:leftChars="0"/>
              <w:contextualSpacing/>
              <w:textAlignment w:val="auto"/>
              <w:rPr>
                <w:rFonts w:ascii="Times New Roman" w:hAnsi="Times New Roman"/>
                <w:sz w:val="24"/>
                <w:szCs w:val="24"/>
              </w:rPr>
            </w:pPr>
            <w:r w:rsidRPr="00BD76AF">
              <w:rPr>
                <w:rFonts w:ascii="Times New Roman" w:hAnsi="Times New Roman"/>
                <w:sz w:val="24"/>
                <w:szCs w:val="24"/>
              </w:rPr>
              <w:t>les pièces de rechange ;</w:t>
            </w:r>
          </w:p>
          <w:p w14:paraId="2A5474C3" w14:textId="77777777" w:rsidR="00F332DA" w:rsidRPr="00BD76AF" w:rsidRDefault="00F332DA" w:rsidP="003D46CF">
            <w:pPr>
              <w:pStyle w:val="aff7"/>
              <w:widowControl/>
              <w:numPr>
                <w:ilvl w:val="0"/>
                <w:numId w:val="87"/>
              </w:numPr>
              <w:adjustRightInd/>
              <w:spacing w:line="259" w:lineRule="auto"/>
              <w:ind w:leftChars="0"/>
              <w:contextualSpacing/>
              <w:textAlignment w:val="auto"/>
              <w:rPr>
                <w:rFonts w:ascii="Times New Roman" w:hAnsi="Times New Roman"/>
                <w:sz w:val="24"/>
                <w:szCs w:val="24"/>
                <w:lang w:val="fr-FR"/>
              </w:rPr>
            </w:pPr>
            <w:r w:rsidRPr="00BD76AF">
              <w:rPr>
                <w:rFonts w:ascii="Times New Roman" w:hAnsi="Times New Roman"/>
                <w:sz w:val="24"/>
                <w:szCs w:val="24"/>
                <w:lang w:val="fr-FR"/>
              </w:rPr>
              <w:t>les équipements et services de montage couverts par des sommes provisionnelles ;</w:t>
            </w:r>
          </w:p>
          <w:p w14:paraId="05103183" w14:textId="77777777" w:rsidR="00F332DA" w:rsidRPr="00BD76AF" w:rsidRDefault="00F332DA" w:rsidP="003D46CF">
            <w:pPr>
              <w:pStyle w:val="aff7"/>
              <w:widowControl/>
              <w:numPr>
                <w:ilvl w:val="0"/>
                <w:numId w:val="87"/>
              </w:numPr>
              <w:adjustRightInd/>
              <w:spacing w:line="259" w:lineRule="auto"/>
              <w:ind w:leftChars="0"/>
              <w:contextualSpacing/>
              <w:textAlignment w:val="auto"/>
              <w:rPr>
                <w:lang w:val="fr-FR"/>
              </w:rPr>
            </w:pPr>
            <w:r w:rsidRPr="00BD76AF">
              <w:rPr>
                <w:rFonts w:ascii="Times New Roman" w:hAnsi="Times New Roman"/>
                <w:sz w:val="24"/>
                <w:szCs w:val="24"/>
                <w:lang w:val="fr-FR"/>
              </w:rPr>
              <w:t>le plan de santé, de sécurité et environnemental ;</w:t>
            </w:r>
          </w:p>
          <w:p w14:paraId="59482BCE" w14:textId="77777777" w:rsidR="00F332DA" w:rsidRPr="00BD76AF" w:rsidRDefault="00F332DA" w:rsidP="003D46CF">
            <w:pPr>
              <w:pStyle w:val="aff7"/>
              <w:widowControl/>
              <w:numPr>
                <w:ilvl w:val="0"/>
                <w:numId w:val="87"/>
              </w:numPr>
              <w:adjustRightInd/>
              <w:spacing w:after="120" w:line="259" w:lineRule="auto"/>
              <w:ind w:leftChars="0"/>
              <w:contextualSpacing/>
              <w:textAlignment w:val="auto"/>
              <w:rPr>
                <w:lang w:val="fr-FR"/>
              </w:rPr>
            </w:pPr>
            <w:r w:rsidRPr="00BD76AF">
              <w:rPr>
                <w:rFonts w:ascii="Times New Roman" w:hAnsi="Times New Roman"/>
                <w:sz w:val="24"/>
                <w:szCs w:val="24"/>
                <w:lang w:val="fr-FR"/>
              </w:rPr>
              <w:t xml:space="preserve">l’exploitation et la maintenance par l’Entrepreneur (le cas </w:t>
            </w:r>
            <w:r w:rsidRPr="00BD76AF">
              <w:rPr>
                <w:rFonts w:ascii="Times New Roman" w:hAnsi="Times New Roman" w:hint="eastAsia"/>
                <w:sz w:val="24"/>
                <w:szCs w:val="24"/>
                <w:lang w:val="fr-FR"/>
              </w:rPr>
              <w:t>é</w:t>
            </w:r>
            <w:r w:rsidRPr="00BD76AF">
              <w:rPr>
                <w:rFonts w:ascii="Times New Roman" w:hAnsi="Times New Roman"/>
                <w:sz w:val="24"/>
                <w:szCs w:val="24"/>
                <w:lang w:val="fr-FR"/>
              </w:rPr>
              <w:t>chéant).</w:t>
            </w:r>
          </w:p>
        </w:tc>
      </w:tr>
    </w:tbl>
    <w:p w14:paraId="700E9F01" w14:textId="77777777" w:rsidR="00F332DA" w:rsidRPr="00BD76AF" w:rsidRDefault="00F332DA" w:rsidP="00425B03">
      <w:pPr>
        <w:pStyle w:val="SecVI-Header1"/>
        <w:rPr>
          <w:lang w:val="fr-FR" w:eastAsia="ja-JP"/>
        </w:rPr>
      </w:pPr>
      <w:r w:rsidRPr="00BD76AF">
        <w:rPr>
          <w:lang w:val="fr-FR"/>
        </w:rPr>
        <w:br w:type="page"/>
      </w:r>
      <w:bookmarkStart w:id="712" w:name="_Toc104294474"/>
      <w:r w:rsidRPr="00BD76AF">
        <w:rPr>
          <w:lang w:val="fr-FR"/>
        </w:rPr>
        <w:t>Plan</w:t>
      </w:r>
      <w:r w:rsidRPr="00BD76AF">
        <w:rPr>
          <w:rFonts w:hint="eastAsia"/>
          <w:lang w:val="fr-FR" w:eastAsia="ja-JP"/>
        </w:rPr>
        <w:t>s</w:t>
      </w:r>
      <w:bookmarkEnd w:id="712"/>
    </w:p>
    <w:p w14:paraId="7BF6E84A" w14:textId="77777777" w:rsidR="00F332DA" w:rsidRPr="00BD76AF" w:rsidRDefault="00F332DA" w:rsidP="00425B03">
      <w:pPr>
        <w:pStyle w:val="SecVI-Header1"/>
        <w:rPr>
          <w:lang w:val="fr-FR" w:eastAsia="ja-JP"/>
        </w:rPr>
      </w:pPr>
    </w:p>
    <w:p w14:paraId="4A3A53B2" w14:textId="77777777" w:rsidR="00F332DA" w:rsidRPr="00BD76AF" w:rsidRDefault="00F332DA" w:rsidP="0000527F">
      <w:pPr>
        <w:jc w:val="cente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F332DA" w:rsidRPr="00BD76AF" w14:paraId="318E6A2A" w14:textId="77777777" w:rsidTr="0000527F">
        <w:trPr>
          <w:trHeight w:val="5109"/>
        </w:trPr>
        <w:tc>
          <w:tcPr>
            <w:tcW w:w="9198" w:type="dxa"/>
            <w:shd w:val="clear" w:color="auto" w:fill="auto"/>
          </w:tcPr>
          <w:p w14:paraId="3AA9B466" w14:textId="77777777" w:rsidR="00F332DA" w:rsidRPr="00BD76AF" w:rsidRDefault="00F332DA" w:rsidP="0000527F">
            <w:pPr>
              <w:jc w:val="center"/>
              <w:rPr>
                <w:szCs w:val="24"/>
                <w:lang w:eastAsia="ja-JP"/>
              </w:rPr>
            </w:pPr>
            <w:r w:rsidRPr="00BD76AF">
              <w:rPr>
                <w:b/>
                <w:bCs/>
                <w:szCs w:val="24"/>
                <w:lang w:eastAsia="ja-JP"/>
              </w:rPr>
              <w:t>Notes à l’intention du Maître d’ouvrage</w:t>
            </w:r>
          </w:p>
          <w:p w14:paraId="1B7A73A4" w14:textId="77777777" w:rsidR="00F332DA" w:rsidRPr="00BD76AF" w:rsidRDefault="00F332DA" w:rsidP="0000527F">
            <w:pPr>
              <w:rPr>
                <w:lang w:eastAsia="ja-JP"/>
              </w:rPr>
            </w:pPr>
          </w:p>
          <w:p w14:paraId="43B3121A" w14:textId="77777777" w:rsidR="00F332DA" w:rsidRPr="00BD76AF" w:rsidRDefault="00F332DA" w:rsidP="0000527F">
            <w:pPr>
              <w:pStyle w:val="SectionVHeader1"/>
              <w:jc w:val="both"/>
              <w:rPr>
                <w:b w:val="0"/>
                <w:sz w:val="24"/>
                <w:szCs w:val="24"/>
                <w:lang w:val="fr-FR" w:eastAsia="ja-JP"/>
              </w:rPr>
            </w:pPr>
            <w:r w:rsidRPr="00BD76AF">
              <w:rPr>
                <w:b w:val="0"/>
                <w:sz w:val="24"/>
                <w:szCs w:val="24"/>
                <w:lang w:val="fr-FR" w:eastAsia="ja-JP"/>
              </w:rPr>
              <w:t>Les exigences du Maître d’ouvrage peuvent inclure des plans sur lesquels les Installations proposées peuvent être décrites. Dans ce cas, les exigences du Maître d’ouvrage devront définir la mesure dans laquelle (par exemple) les Équipements et Services de montage doivent être conformes à la représentation. L’incorporation des aspects de la conception dans les plans doit être effectuée avec soin, en tenant pleinement compte des conséquences, y compris de toute responsabilité finale du Maître d'ouvrage pour la conception.</w:t>
            </w:r>
          </w:p>
          <w:p w14:paraId="47CA39C6" w14:textId="77777777" w:rsidR="00F332DA" w:rsidRPr="00BD76AF" w:rsidRDefault="00F332DA" w:rsidP="0000527F">
            <w:pPr>
              <w:pStyle w:val="SectionVHeader1"/>
              <w:jc w:val="both"/>
              <w:rPr>
                <w:b w:val="0"/>
                <w:sz w:val="24"/>
                <w:szCs w:val="24"/>
                <w:lang w:val="fr-FR" w:eastAsia="ja-JP"/>
              </w:rPr>
            </w:pPr>
          </w:p>
          <w:p w14:paraId="341741F6" w14:textId="77777777" w:rsidR="00F332DA" w:rsidRPr="00BD76AF" w:rsidRDefault="00F332DA" w:rsidP="0000527F">
            <w:pPr>
              <w:pStyle w:val="SectionVHeader1"/>
              <w:jc w:val="both"/>
              <w:rPr>
                <w:b w:val="0"/>
                <w:sz w:val="24"/>
                <w:szCs w:val="24"/>
                <w:lang w:val="fr-FR" w:eastAsia="ja-JP"/>
              </w:rPr>
            </w:pPr>
            <w:r w:rsidRPr="00BD76AF">
              <w:rPr>
                <w:b w:val="0"/>
                <w:sz w:val="24"/>
                <w:szCs w:val="24"/>
                <w:lang w:val="fr-FR" w:eastAsia="ja-JP"/>
              </w:rPr>
              <w:t>Les plans, même si non exhaustifs, doivent fournir suffisamment de renseignements pour permettre aux Soumissionnaires de comprendre le type et la complexité des Installations.</w:t>
            </w:r>
          </w:p>
          <w:p w14:paraId="7B4A5CD2" w14:textId="77777777" w:rsidR="00F332DA" w:rsidRPr="00BD76AF" w:rsidRDefault="00F332DA" w:rsidP="0000527F">
            <w:pPr>
              <w:pStyle w:val="SectionVHeader1"/>
              <w:jc w:val="both"/>
              <w:rPr>
                <w:b w:val="0"/>
                <w:sz w:val="24"/>
                <w:szCs w:val="24"/>
                <w:lang w:val="fr-FR" w:eastAsia="ja-JP"/>
              </w:rPr>
            </w:pPr>
          </w:p>
          <w:p w14:paraId="6ED7D80D" w14:textId="77777777" w:rsidR="00F332DA" w:rsidRPr="00BD76AF" w:rsidRDefault="00F332DA" w:rsidP="0000527F">
            <w:pPr>
              <w:pStyle w:val="SectionVHeader1"/>
              <w:jc w:val="both"/>
              <w:rPr>
                <w:b w:val="0"/>
                <w:sz w:val="24"/>
                <w:szCs w:val="24"/>
                <w:lang w:val="fr-FR" w:eastAsia="ja-JP"/>
              </w:rPr>
            </w:pPr>
            <w:r w:rsidRPr="00BD76AF">
              <w:rPr>
                <w:b w:val="0"/>
                <w:sz w:val="24"/>
                <w:szCs w:val="24"/>
                <w:lang w:val="fr-FR" w:eastAsia="ja-JP"/>
              </w:rPr>
              <w:t>Une carte simplifiée localisant le site en relation avec la géographie locale, y compris les routes principales, ports, aéroports et chemins de fer, est utile.</w:t>
            </w:r>
          </w:p>
          <w:p w14:paraId="69885CFC" w14:textId="77777777" w:rsidR="00F332DA" w:rsidRPr="00BD76AF" w:rsidRDefault="00F332DA" w:rsidP="0000527F">
            <w:pPr>
              <w:pStyle w:val="SectionVHeader1"/>
              <w:jc w:val="both"/>
              <w:rPr>
                <w:b w:val="0"/>
                <w:sz w:val="24"/>
                <w:szCs w:val="24"/>
                <w:lang w:val="fr-FR" w:eastAsia="ja-JP"/>
              </w:rPr>
            </w:pPr>
          </w:p>
          <w:p w14:paraId="2F642FE6" w14:textId="77777777" w:rsidR="00F332DA" w:rsidRPr="00BD76AF" w:rsidRDefault="00F332DA" w:rsidP="0000527F">
            <w:pPr>
              <w:spacing w:after="120"/>
              <w:rPr>
                <w:lang w:eastAsia="ja-JP"/>
              </w:rPr>
            </w:pPr>
            <w:r w:rsidRPr="00BD76AF">
              <w:rPr>
                <w:szCs w:val="24"/>
                <w:lang w:eastAsia="ja-JP"/>
              </w:rPr>
              <w:t>Il est d’usage de relier les plans dans un document séparé, souvent plus volumineux que les autres documents du Dossier d’appel d’offres, en fonction de leur importance. Ils ne doivent pas être réduits au point de rendre les détails illisibles.</w:t>
            </w:r>
          </w:p>
        </w:tc>
      </w:tr>
    </w:tbl>
    <w:p w14:paraId="3F8B9E68" w14:textId="77777777" w:rsidR="00F332DA" w:rsidRPr="00BD76AF" w:rsidRDefault="00F332DA" w:rsidP="0000527F">
      <w:pPr>
        <w:jc w:val="center"/>
      </w:pPr>
      <w:r w:rsidRPr="00BD76AF">
        <w:br w:type="page"/>
      </w:r>
    </w:p>
    <w:p w14:paraId="6A48CAC1" w14:textId="77777777" w:rsidR="00F332DA" w:rsidRPr="00BD76AF" w:rsidRDefault="00F332DA" w:rsidP="00425B03">
      <w:pPr>
        <w:pStyle w:val="SecVI-Header1"/>
        <w:rPr>
          <w:lang w:val="fr-FR"/>
        </w:rPr>
      </w:pPr>
      <w:bookmarkStart w:id="713" w:name="_Toc104294475"/>
      <w:r w:rsidRPr="00BD76AF">
        <w:rPr>
          <w:lang w:val="fr-FR"/>
        </w:rPr>
        <w:t>Formulaires et procédures</w:t>
      </w:r>
      <w:bookmarkEnd w:id="713"/>
    </w:p>
    <w:p w14:paraId="05973931" w14:textId="77777777" w:rsidR="00F332DA" w:rsidRPr="00BD76AF" w:rsidRDefault="00F332DA" w:rsidP="00425B03">
      <w:pPr>
        <w:pStyle w:val="SecVI-Header1"/>
        <w:rPr>
          <w:lang w:val="fr-FR"/>
        </w:rPr>
      </w:pPr>
    </w:p>
    <w:p w14:paraId="1579AF92" w14:textId="77777777" w:rsidR="00F332DA" w:rsidRPr="00BD76AF" w:rsidRDefault="00F332DA" w:rsidP="0000527F">
      <w:r w:rsidRPr="00BD76AF">
        <w:t>SOMMAIRE</w:t>
      </w:r>
    </w:p>
    <w:p w14:paraId="7851324D" w14:textId="77777777" w:rsidR="00F332DA" w:rsidRPr="00BD76AF" w:rsidRDefault="00F332DA" w:rsidP="0000527F"/>
    <w:p w14:paraId="5E03B200" w14:textId="77777777" w:rsidR="00F332DA" w:rsidRPr="00BD76AF" w:rsidRDefault="00F332DA" w:rsidP="0000527F">
      <w:pPr>
        <w:ind w:left="540" w:hanging="540"/>
      </w:pPr>
      <w:r w:rsidRPr="00BD76AF">
        <w:t>1.</w:t>
      </w:r>
      <w:r w:rsidRPr="00BD76AF">
        <w:tab/>
        <w:t>Certificat d’Achèvement</w:t>
      </w:r>
    </w:p>
    <w:p w14:paraId="4ED097EB" w14:textId="77777777" w:rsidR="00F332DA" w:rsidRPr="00BD76AF" w:rsidRDefault="00F332DA" w:rsidP="0000527F">
      <w:pPr>
        <w:ind w:left="540" w:hanging="540"/>
      </w:pPr>
      <w:r w:rsidRPr="00BD76AF">
        <w:t>2.</w:t>
      </w:r>
      <w:r w:rsidRPr="00BD76AF">
        <w:tab/>
        <w:t>Certificat de Réception opérationnelle</w:t>
      </w:r>
    </w:p>
    <w:p w14:paraId="3360FE1E" w14:textId="77777777" w:rsidR="00F332DA" w:rsidRPr="00BD76AF" w:rsidRDefault="00F332DA" w:rsidP="0000527F">
      <w:pPr>
        <w:ind w:left="540" w:hanging="540"/>
      </w:pPr>
      <w:r w:rsidRPr="00BD76AF">
        <w:t>3.</w:t>
      </w:r>
      <w:r w:rsidRPr="00BD76AF">
        <w:tab/>
        <w:t>Procédures concernant les ordres de modification</w:t>
      </w:r>
    </w:p>
    <w:p w14:paraId="2B01A662" w14:textId="77777777" w:rsidR="00F332DA" w:rsidRPr="00BD76AF" w:rsidRDefault="00F332DA" w:rsidP="0000527F">
      <w:pPr>
        <w:ind w:left="540" w:hanging="540"/>
      </w:pPr>
      <w:r w:rsidRPr="00BD76AF">
        <w:t>4.</w:t>
      </w:r>
      <w:r w:rsidRPr="00BD76AF">
        <w:tab/>
        <w:t>Formulaires concernant les ordres de modification</w:t>
      </w:r>
    </w:p>
    <w:p w14:paraId="7958BD23" w14:textId="77777777" w:rsidR="00F332DA" w:rsidRPr="00BD76AF" w:rsidRDefault="00F332DA" w:rsidP="0000527F">
      <w:pPr>
        <w:pStyle w:val="SecVI-Header1"/>
        <w:rPr>
          <w:lang w:val="fr-FR"/>
        </w:rPr>
        <w:sectPr w:rsidR="00F332DA" w:rsidRPr="00BD76AF" w:rsidSect="003857BD">
          <w:headerReference w:type="first" r:id="rId85"/>
          <w:footnotePr>
            <w:numRestart w:val="eachPage"/>
          </w:footnotePr>
          <w:type w:val="nextColumn"/>
          <w:pgSz w:w="12240" w:h="15840" w:code="1"/>
          <w:pgMar w:top="1440" w:right="1440" w:bottom="1440" w:left="1797" w:header="720" w:footer="862" w:gutter="0"/>
          <w:paperSrc w:first="7" w:other="7"/>
          <w:cols w:space="720"/>
        </w:sectPr>
      </w:pPr>
    </w:p>
    <w:p w14:paraId="5C5CE91D" w14:textId="77777777" w:rsidR="00F332DA" w:rsidRPr="00BD76AF" w:rsidRDefault="00F332DA" w:rsidP="0000527F">
      <w:pPr>
        <w:pStyle w:val="SecVI-Header1"/>
        <w:jc w:val="left"/>
        <w:rPr>
          <w:sz w:val="24"/>
          <w:szCs w:val="24"/>
          <w:lang w:val="fr-FR"/>
        </w:rPr>
      </w:pPr>
    </w:p>
    <w:p w14:paraId="7367F20C" w14:textId="77777777" w:rsidR="00F332DA" w:rsidRPr="00BD76AF" w:rsidRDefault="00F332DA" w:rsidP="006679E8">
      <w:pPr>
        <w:pStyle w:val="SecVI-Header2"/>
        <w:spacing w:after="360"/>
        <w:rPr>
          <w:lang w:val="fr-FR"/>
        </w:rPr>
      </w:pPr>
      <w:bookmarkStart w:id="714" w:name="_Toc440708559"/>
      <w:bookmarkStart w:id="715" w:name="_Toc104294476"/>
      <w:r w:rsidRPr="00BD76AF">
        <w:rPr>
          <w:lang w:val="fr-FR"/>
        </w:rPr>
        <w:t>Certificat d’Achèvement</w:t>
      </w:r>
      <w:bookmarkEnd w:id="714"/>
      <w:bookmarkEnd w:id="715"/>
    </w:p>
    <w:p w14:paraId="75BDA181" w14:textId="77777777" w:rsidR="00F332DA" w:rsidRPr="00BD76AF" w:rsidRDefault="00F332DA" w:rsidP="00A70B25">
      <w:pPr>
        <w:tabs>
          <w:tab w:val="right" w:pos="9000"/>
        </w:tabs>
        <w:ind w:firstLineChars="1950" w:firstLine="4680"/>
        <w:jc w:val="right"/>
        <w:rPr>
          <w:iCs/>
        </w:rPr>
      </w:pPr>
      <w:r w:rsidRPr="00BD76AF">
        <w:t xml:space="preserve">Date : </w:t>
      </w:r>
      <w:r w:rsidRPr="00BD76AF">
        <w:rPr>
          <w:iCs/>
        </w:rPr>
        <w:t>[</w:t>
      </w:r>
      <w:r w:rsidRPr="00BD76AF">
        <w:rPr>
          <w:i/>
          <w:iCs/>
        </w:rPr>
        <w:t>indiquer jour, mois, année</w:t>
      </w:r>
      <w:r w:rsidRPr="00BD76AF">
        <w:rPr>
          <w:iCs/>
        </w:rPr>
        <w:t>]</w:t>
      </w:r>
    </w:p>
    <w:p w14:paraId="06E9C87B" w14:textId="77777777" w:rsidR="00F332DA" w:rsidRPr="00BD76AF" w:rsidRDefault="00F332DA" w:rsidP="009126F0">
      <w:pPr>
        <w:tabs>
          <w:tab w:val="right" w:pos="6480"/>
          <w:tab w:val="left" w:pos="6660"/>
          <w:tab w:val="left" w:pos="8640"/>
        </w:tabs>
      </w:pPr>
    </w:p>
    <w:p w14:paraId="51BCB87A" w14:textId="77777777" w:rsidR="00F332DA" w:rsidRPr="00BD76AF" w:rsidRDefault="00F332DA" w:rsidP="009126F0">
      <w:pPr>
        <w:rPr>
          <w:i/>
        </w:rPr>
      </w:pPr>
    </w:p>
    <w:p w14:paraId="4FFDF716" w14:textId="77777777" w:rsidR="00F332DA" w:rsidRPr="00BD76AF" w:rsidRDefault="00F332DA" w:rsidP="009126F0">
      <w:r w:rsidRPr="00BD76AF">
        <w:t>[</w:t>
      </w:r>
      <w:r w:rsidRPr="00BD76AF">
        <w:rPr>
          <w:i/>
        </w:rPr>
        <w:t>Nom du Marché</w:t>
      </w:r>
      <w:r w:rsidRPr="00BD76AF">
        <w:t>]</w:t>
      </w:r>
    </w:p>
    <w:p w14:paraId="5CFCEDDE" w14:textId="77777777" w:rsidR="00F332DA" w:rsidRPr="00BD76AF" w:rsidRDefault="00F332DA" w:rsidP="009126F0"/>
    <w:p w14:paraId="6E3E468C" w14:textId="77777777" w:rsidR="00F332DA" w:rsidRPr="00BD76AF" w:rsidRDefault="00F332DA" w:rsidP="009126F0">
      <w:r w:rsidRPr="00BD76AF">
        <w:rPr>
          <w:rFonts w:eastAsia="ＭＳ Ｐゴシック"/>
        </w:rPr>
        <w:t>À</w:t>
      </w:r>
      <w:r w:rsidRPr="00BD76AF">
        <w:t xml:space="preserve"> l’attention de : [</w:t>
      </w:r>
      <w:r w:rsidRPr="00BD76AF">
        <w:rPr>
          <w:i/>
        </w:rPr>
        <w:t>nom et adresse de l’Entrepreneur</w:t>
      </w:r>
      <w:r w:rsidRPr="00BD76AF">
        <w:t>]</w:t>
      </w:r>
    </w:p>
    <w:p w14:paraId="66254E16" w14:textId="77777777" w:rsidR="00F332DA" w:rsidRPr="00BD76AF" w:rsidRDefault="00F332DA" w:rsidP="009126F0"/>
    <w:p w14:paraId="40318B1E" w14:textId="77777777" w:rsidR="00F332DA" w:rsidRPr="00BD76AF" w:rsidRDefault="00F332DA" w:rsidP="009126F0">
      <w:r w:rsidRPr="00BD76AF">
        <w:t xml:space="preserve">Mesdames/Messieurs, </w:t>
      </w:r>
    </w:p>
    <w:p w14:paraId="47B2D1AB" w14:textId="77777777" w:rsidR="00F332DA" w:rsidRPr="00BD76AF" w:rsidRDefault="00F332DA" w:rsidP="009126F0"/>
    <w:p w14:paraId="322269CF" w14:textId="77777777" w:rsidR="00F332DA" w:rsidRPr="00BD76AF" w:rsidRDefault="00F332DA" w:rsidP="009126F0">
      <w:r w:rsidRPr="00BD76AF">
        <w:t>Conformément à l’Article 24 (Achèvement des Installations) des Conditions Générales du Marché conclu entre vous-mêmes et le Maître d’ouvrage en date du [</w:t>
      </w:r>
      <w:r w:rsidRPr="00BD76AF">
        <w:rPr>
          <w:i/>
        </w:rPr>
        <w:t>indiquer la date du Marché</w:t>
      </w:r>
      <w:r w:rsidRPr="00BD76AF">
        <w:t>], et concernant [</w:t>
      </w:r>
      <w:r w:rsidRPr="00BD76AF">
        <w:rPr>
          <w:i/>
        </w:rPr>
        <w:t>donner une description succincte des Installations</w:t>
      </w:r>
      <w:r w:rsidRPr="00BD76AF">
        <w:t>], nous vous notifions par la présente que [</w:t>
      </w:r>
      <w:r w:rsidRPr="00BD76AF">
        <w:rPr>
          <w:i/>
        </w:rPr>
        <w:t>indiquer « l’ensemble des Installations comme décrites ci-dessus » ou donner une description de la ou les parties correspondantes des Installations, selon le cas</w:t>
      </w:r>
      <w:r w:rsidRPr="00BD76AF">
        <w:t>] a été achevé(e) (ont été achevées) à la date du [</w:t>
      </w:r>
      <w:r w:rsidRPr="00BD76AF">
        <w:rPr>
          <w:i/>
        </w:rPr>
        <w:t>indiquer la date d’achèvement</w:t>
      </w:r>
      <w:r w:rsidRPr="00BD76AF">
        <w:t>], conformément aux conditions du Marché.</w:t>
      </w:r>
    </w:p>
    <w:p w14:paraId="6D41F81F" w14:textId="77777777" w:rsidR="00F332DA" w:rsidRPr="00BD76AF" w:rsidRDefault="00F332DA" w:rsidP="009126F0"/>
    <w:p w14:paraId="16D8B9DF" w14:textId="77777777" w:rsidR="00F332DA" w:rsidRPr="00BD76AF" w:rsidRDefault="00F332DA" w:rsidP="009126F0">
      <w:r w:rsidRPr="00BD76AF">
        <w:t>Vous devez néanmoins achever dès que possible les parties en cours d’exécution énumérées dans le document joint.</w:t>
      </w:r>
    </w:p>
    <w:p w14:paraId="135F5630" w14:textId="77777777" w:rsidR="00F332DA" w:rsidRPr="00BD76AF" w:rsidRDefault="00F332DA" w:rsidP="009126F0"/>
    <w:p w14:paraId="4B7A2F6D" w14:textId="77777777" w:rsidR="00F332DA" w:rsidRPr="00BD76AF" w:rsidRDefault="00F332DA" w:rsidP="009126F0">
      <w:r w:rsidRPr="00BD76AF">
        <w:t>La présente lettre ne vous dégage pas de votre obligation d’achever l’exécution de tout travail sur les Installations ou de toute partie correspondantes des Installations selon les termes du Marché, ni de vos obligations au titre de la période de garantie.</w:t>
      </w:r>
    </w:p>
    <w:p w14:paraId="297A4715" w14:textId="77777777" w:rsidR="00F332DA" w:rsidRPr="00BD76AF" w:rsidRDefault="00F332DA" w:rsidP="009126F0"/>
    <w:p w14:paraId="5305CC57" w14:textId="77777777" w:rsidR="00F332DA" w:rsidRPr="00BD76AF" w:rsidRDefault="00F332DA" w:rsidP="009126F0">
      <w:r w:rsidRPr="00BD76AF">
        <w:t>Veuillez agréer, Mesdames/Messieurs, l’expression de nos sentiments les meilleurs.</w:t>
      </w:r>
    </w:p>
    <w:p w14:paraId="207D0C09" w14:textId="77777777" w:rsidR="00F332DA" w:rsidRPr="00BD76AF" w:rsidRDefault="00F332DA" w:rsidP="009126F0"/>
    <w:p w14:paraId="7843745B" w14:textId="77777777" w:rsidR="00F332DA" w:rsidRPr="00BD76AF" w:rsidRDefault="00F332DA" w:rsidP="009126F0"/>
    <w:p w14:paraId="4ED3C503" w14:textId="77777777" w:rsidR="00F332DA" w:rsidRPr="00BD76AF" w:rsidRDefault="00F332DA" w:rsidP="009126F0"/>
    <w:p w14:paraId="2D39EAF8" w14:textId="77777777" w:rsidR="00F332DA" w:rsidRPr="00BD76AF" w:rsidRDefault="00F332DA" w:rsidP="009126F0"/>
    <w:p w14:paraId="21F7EEA2" w14:textId="77777777" w:rsidR="00F332DA" w:rsidRPr="00BD76AF" w:rsidRDefault="00F332DA" w:rsidP="009126F0">
      <w:pPr>
        <w:tabs>
          <w:tab w:val="left" w:pos="7200"/>
        </w:tabs>
      </w:pPr>
      <w:r w:rsidRPr="00BD76AF">
        <w:rPr>
          <w:u w:val="single"/>
        </w:rPr>
        <w:tab/>
      </w:r>
    </w:p>
    <w:p w14:paraId="3F8A7BB7" w14:textId="77777777" w:rsidR="00F332DA" w:rsidRPr="00BD76AF" w:rsidRDefault="00F332DA" w:rsidP="009126F0">
      <w:r w:rsidRPr="00BD76AF">
        <w:t>Titre</w:t>
      </w:r>
    </w:p>
    <w:p w14:paraId="3EB90488" w14:textId="77777777" w:rsidR="00F332DA" w:rsidRPr="00BD76AF" w:rsidRDefault="00F332DA" w:rsidP="009126F0">
      <w:r w:rsidRPr="00BD76AF">
        <w:t>(Directeur de projet)</w:t>
      </w:r>
    </w:p>
    <w:p w14:paraId="5AEFA235" w14:textId="77777777" w:rsidR="00F332DA" w:rsidRPr="00BD76AF" w:rsidRDefault="00F332DA" w:rsidP="006679E8">
      <w:pPr>
        <w:pStyle w:val="SecVI-Header2"/>
        <w:spacing w:after="360"/>
        <w:rPr>
          <w:lang w:val="fr-FR"/>
        </w:rPr>
      </w:pPr>
      <w:r w:rsidRPr="00BD76AF">
        <w:rPr>
          <w:lang w:val="fr-FR"/>
        </w:rPr>
        <w:br w:type="page"/>
      </w:r>
      <w:bookmarkStart w:id="716" w:name="_Toc440708560"/>
      <w:bookmarkStart w:id="717" w:name="_Toc104294477"/>
      <w:r w:rsidRPr="00BD76AF">
        <w:rPr>
          <w:lang w:val="fr-FR"/>
        </w:rPr>
        <w:t>Certificat de Réception opérationnelle</w:t>
      </w:r>
      <w:bookmarkEnd w:id="716"/>
      <w:bookmarkEnd w:id="717"/>
    </w:p>
    <w:p w14:paraId="362EAC10" w14:textId="77777777" w:rsidR="00F332DA" w:rsidRPr="00BD76AF" w:rsidRDefault="00F332DA" w:rsidP="00A70B25">
      <w:pPr>
        <w:tabs>
          <w:tab w:val="right" w:pos="9000"/>
        </w:tabs>
        <w:wordWrap w:val="0"/>
        <w:ind w:right="3" w:firstLineChars="2000" w:firstLine="4800"/>
        <w:jc w:val="right"/>
        <w:rPr>
          <w:iCs/>
        </w:rPr>
      </w:pPr>
      <w:r w:rsidRPr="00BD76AF">
        <w:t xml:space="preserve">Date : </w:t>
      </w:r>
      <w:r w:rsidRPr="00BD76AF">
        <w:rPr>
          <w:iCs/>
        </w:rPr>
        <w:t>[</w:t>
      </w:r>
      <w:r w:rsidRPr="00BD76AF">
        <w:rPr>
          <w:i/>
          <w:iCs/>
        </w:rPr>
        <w:t>indiquer jour, mois, année</w:t>
      </w:r>
      <w:r w:rsidRPr="00BD76AF">
        <w:rPr>
          <w:iCs/>
        </w:rPr>
        <w:t>]</w:t>
      </w:r>
    </w:p>
    <w:p w14:paraId="378BAF5D" w14:textId="77777777" w:rsidR="00F332DA" w:rsidRPr="00BD76AF" w:rsidRDefault="00F332DA" w:rsidP="00E96009">
      <w:pPr>
        <w:tabs>
          <w:tab w:val="right" w:pos="6480"/>
          <w:tab w:val="left" w:pos="6660"/>
          <w:tab w:val="left" w:pos="8640"/>
        </w:tabs>
      </w:pPr>
    </w:p>
    <w:p w14:paraId="04D35C8E" w14:textId="77777777" w:rsidR="00F332DA" w:rsidRPr="00BD76AF" w:rsidRDefault="00F332DA" w:rsidP="00E96009">
      <w:pPr>
        <w:rPr>
          <w:i/>
        </w:rPr>
      </w:pPr>
    </w:p>
    <w:p w14:paraId="3B9257ED" w14:textId="77777777" w:rsidR="00F332DA" w:rsidRPr="00BD76AF" w:rsidRDefault="00F332DA" w:rsidP="00E96009">
      <w:r w:rsidRPr="00BD76AF">
        <w:t>[</w:t>
      </w:r>
      <w:r w:rsidRPr="00BD76AF">
        <w:rPr>
          <w:i/>
        </w:rPr>
        <w:t>Nom du Marché</w:t>
      </w:r>
      <w:r w:rsidRPr="00BD76AF">
        <w:t>]</w:t>
      </w:r>
    </w:p>
    <w:p w14:paraId="7843FC9B" w14:textId="77777777" w:rsidR="00F332DA" w:rsidRPr="00BD76AF" w:rsidRDefault="00F332DA" w:rsidP="00E96009"/>
    <w:p w14:paraId="633EBA85" w14:textId="77777777" w:rsidR="00F332DA" w:rsidRPr="00BD76AF" w:rsidRDefault="00F332DA" w:rsidP="00E96009">
      <w:r w:rsidRPr="00BD76AF">
        <w:rPr>
          <w:rFonts w:eastAsia="ＭＳ Ｐゴシック"/>
        </w:rPr>
        <w:t>À</w:t>
      </w:r>
      <w:r w:rsidRPr="00BD76AF">
        <w:t xml:space="preserve"> l’attention de : [</w:t>
      </w:r>
      <w:r w:rsidRPr="00BD76AF">
        <w:rPr>
          <w:i/>
        </w:rPr>
        <w:t>nom et adresse de l’Entrepreneur</w:t>
      </w:r>
      <w:r w:rsidRPr="00BD76AF">
        <w:t>]</w:t>
      </w:r>
    </w:p>
    <w:p w14:paraId="78867607" w14:textId="77777777" w:rsidR="00F332DA" w:rsidRPr="00BD76AF" w:rsidRDefault="00F332DA" w:rsidP="009126F0"/>
    <w:p w14:paraId="596AD218" w14:textId="77777777" w:rsidR="00F332DA" w:rsidRPr="00BD76AF" w:rsidRDefault="00F332DA" w:rsidP="009126F0">
      <w:r w:rsidRPr="00BD76AF">
        <w:t xml:space="preserve">Mesdames/Messieurs, </w:t>
      </w:r>
    </w:p>
    <w:p w14:paraId="720ABDC1" w14:textId="77777777" w:rsidR="00F332DA" w:rsidRPr="00BD76AF" w:rsidRDefault="00F332DA" w:rsidP="009126F0"/>
    <w:p w14:paraId="211E898E" w14:textId="77777777" w:rsidR="00F332DA" w:rsidRPr="00BD76AF" w:rsidRDefault="00F332DA" w:rsidP="009126F0">
      <w:r w:rsidRPr="00BD76AF">
        <w:t>Conformément à l’Article 25.3 (Réception opérationnelle) des Conditions Générales du Marché conclu entre vous-mêmes et le Maître d’ouvrage en date du [</w:t>
      </w:r>
      <w:r w:rsidRPr="00BD76AF">
        <w:rPr>
          <w:i/>
        </w:rPr>
        <w:t>indiquer la date du Marché</w:t>
      </w:r>
      <w:r w:rsidRPr="00BD76AF">
        <w:t>], et concernant [</w:t>
      </w:r>
      <w:r w:rsidRPr="00BD76AF">
        <w:rPr>
          <w:i/>
        </w:rPr>
        <w:t>donner une description succincte des Installations</w:t>
      </w:r>
      <w:r w:rsidRPr="00BD76AF">
        <w:t>], nous vous notifions par la présente que les garanties opérationnelles de [</w:t>
      </w:r>
      <w:r w:rsidRPr="00BD76AF">
        <w:rPr>
          <w:i/>
        </w:rPr>
        <w:t>indiquer « l’ensemble des Installations comme décrites ci-dessus » ou donner une description de la partie correspondante des Installations, selon le cas</w:t>
      </w:r>
      <w:r w:rsidRPr="00BD76AF">
        <w:t>] ont été atteintes de façon satisfaisante à la date du [</w:t>
      </w:r>
      <w:r w:rsidRPr="00BD76AF">
        <w:rPr>
          <w:i/>
        </w:rPr>
        <w:t>indiquer la date de la réception opérationnelle</w:t>
      </w:r>
      <w:r w:rsidRPr="00BD76AF">
        <w:t>].</w:t>
      </w:r>
    </w:p>
    <w:p w14:paraId="2B8FCA8E" w14:textId="77777777" w:rsidR="00F332DA" w:rsidRPr="00BD76AF" w:rsidRDefault="00F332DA" w:rsidP="009126F0"/>
    <w:p w14:paraId="465A6561" w14:textId="77777777" w:rsidR="00F332DA" w:rsidRPr="00BD76AF" w:rsidRDefault="00F332DA" w:rsidP="009126F0">
      <w:r w:rsidRPr="00BD76AF">
        <w:t>La présente lettre ne vous dégage pas de votre obligation d’achever l’exécution des Installations selon les termes du Marché, ni de vos obligations au titre de la période de garantie.</w:t>
      </w:r>
    </w:p>
    <w:p w14:paraId="14F01222" w14:textId="77777777" w:rsidR="00F332DA" w:rsidRPr="00BD76AF" w:rsidRDefault="00F332DA" w:rsidP="009126F0"/>
    <w:p w14:paraId="58F4584C" w14:textId="77777777" w:rsidR="00F332DA" w:rsidRPr="00BD76AF" w:rsidRDefault="00F332DA" w:rsidP="009126F0">
      <w:r w:rsidRPr="00BD76AF">
        <w:t>Veuillez agréer, Mesdames/Messieurs, l’expression de nos sentiments les meilleurs.</w:t>
      </w:r>
    </w:p>
    <w:p w14:paraId="30EC536C" w14:textId="77777777" w:rsidR="00F332DA" w:rsidRPr="00BD76AF" w:rsidRDefault="00F332DA" w:rsidP="009126F0"/>
    <w:p w14:paraId="75491AB7" w14:textId="77777777" w:rsidR="00F332DA" w:rsidRPr="00BD76AF" w:rsidRDefault="00F332DA" w:rsidP="009126F0"/>
    <w:p w14:paraId="1092DF6F" w14:textId="77777777" w:rsidR="00F332DA" w:rsidRPr="00BD76AF" w:rsidRDefault="00F332DA" w:rsidP="009126F0"/>
    <w:p w14:paraId="6D927006" w14:textId="77777777" w:rsidR="00F332DA" w:rsidRPr="00BD76AF" w:rsidRDefault="00F332DA" w:rsidP="009126F0"/>
    <w:p w14:paraId="25E09A0E" w14:textId="77777777" w:rsidR="00F332DA" w:rsidRPr="00BD76AF" w:rsidRDefault="00F332DA" w:rsidP="009126F0"/>
    <w:p w14:paraId="3482D8F0" w14:textId="77777777" w:rsidR="00F332DA" w:rsidRPr="00BD76AF" w:rsidRDefault="00F332DA" w:rsidP="009126F0">
      <w:pPr>
        <w:tabs>
          <w:tab w:val="left" w:pos="7200"/>
        </w:tabs>
      </w:pPr>
      <w:r w:rsidRPr="00BD76AF">
        <w:rPr>
          <w:u w:val="single"/>
        </w:rPr>
        <w:tab/>
      </w:r>
    </w:p>
    <w:p w14:paraId="1AC93E77" w14:textId="77777777" w:rsidR="00F332DA" w:rsidRPr="00BD76AF" w:rsidRDefault="00F332DA" w:rsidP="009126F0">
      <w:r w:rsidRPr="00BD76AF">
        <w:t>Titre</w:t>
      </w:r>
    </w:p>
    <w:p w14:paraId="356E1573" w14:textId="77777777" w:rsidR="00F332DA" w:rsidRPr="00BD76AF" w:rsidRDefault="00F332DA" w:rsidP="009126F0">
      <w:r w:rsidRPr="00BD76AF">
        <w:t>(Directeur de projet)</w:t>
      </w:r>
    </w:p>
    <w:p w14:paraId="5B39BBC9" w14:textId="77777777" w:rsidR="00F332DA" w:rsidRPr="00BD76AF" w:rsidRDefault="00F332DA" w:rsidP="0000527F">
      <w:pPr>
        <w:pStyle w:val="SecVI-Header2"/>
        <w:rPr>
          <w:lang w:val="fr-FR"/>
        </w:rPr>
      </w:pPr>
      <w:r w:rsidRPr="00BD76AF">
        <w:rPr>
          <w:lang w:val="fr-FR"/>
        </w:rPr>
        <w:br w:type="page"/>
      </w:r>
      <w:bookmarkStart w:id="718" w:name="_Toc440708561"/>
      <w:bookmarkStart w:id="719" w:name="_Toc104294478"/>
      <w:r w:rsidRPr="00BD76AF">
        <w:rPr>
          <w:lang w:val="fr-FR"/>
        </w:rPr>
        <w:t>Procédures concernant les ordres de modification</w:t>
      </w:r>
      <w:bookmarkEnd w:id="718"/>
      <w:bookmarkEnd w:id="719"/>
    </w:p>
    <w:p w14:paraId="50E5F425" w14:textId="77777777" w:rsidR="00F332DA" w:rsidRPr="00BD76AF" w:rsidRDefault="00F332DA" w:rsidP="005A0C64"/>
    <w:p w14:paraId="20D41F63" w14:textId="77777777" w:rsidR="00F332DA" w:rsidRPr="00BD76AF" w:rsidRDefault="00F332DA" w:rsidP="005A0C64"/>
    <w:p w14:paraId="04C4DAAE" w14:textId="77777777" w:rsidR="00F332DA" w:rsidRPr="00BD76AF" w:rsidRDefault="00F332DA" w:rsidP="005A0C64">
      <w:r w:rsidRPr="00BD76AF">
        <w:t>SOMMAIRE</w:t>
      </w:r>
    </w:p>
    <w:p w14:paraId="0F060427" w14:textId="77777777" w:rsidR="00F332DA" w:rsidRPr="00BD76AF" w:rsidRDefault="00F332DA" w:rsidP="005A0C64"/>
    <w:p w14:paraId="74DA15D2" w14:textId="77777777" w:rsidR="00F332DA" w:rsidRPr="00BD76AF" w:rsidRDefault="00F332DA" w:rsidP="006D5453">
      <w:pPr>
        <w:pStyle w:val="51"/>
        <w:rPr>
          <w:rFonts w:ascii="Century" w:hAnsi="Century"/>
          <w:kern w:val="2"/>
          <w:sz w:val="21"/>
          <w:szCs w:val="24"/>
          <w:lang w:val="fr-FR" w:eastAsia="ja-JP"/>
        </w:rPr>
      </w:pPr>
      <w:r w:rsidRPr="00BD76AF">
        <w:rPr>
          <w:lang w:val="fr-FR"/>
        </w:rPr>
        <w:fldChar w:fldCharType="begin"/>
      </w:r>
      <w:r w:rsidRPr="00BD76AF">
        <w:rPr>
          <w:lang w:val="fr-FR"/>
        </w:rPr>
        <w:instrText xml:space="preserve"> TOC \h \z \t "Sec VI - Header 4,</w:instrText>
      </w:r>
      <w:r w:rsidRPr="00BD76AF">
        <w:rPr>
          <w:lang w:val="fr-FR" w:eastAsia="ja-JP"/>
        </w:rPr>
        <w:instrText>5</w:instrText>
      </w:r>
      <w:r w:rsidRPr="00BD76AF">
        <w:rPr>
          <w:lang w:val="fr-FR"/>
        </w:rPr>
        <w:instrText xml:space="preserve">" \n 5-5 </w:instrText>
      </w:r>
      <w:r w:rsidRPr="00BD76AF">
        <w:rPr>
          <w:lang w:val="fr-FR"/>
        </w:rPr>
        <w:fldChar w:fldCharType="separate"/>
      </w:r>
      <w:hyperlink w:anchor="_Toc354492689" w:history="1">
        <w:r w:rsidRPr="00BD76AF">
          <w:rPr>
            <w:rStyle w:val="af1"/>
            <w:lang w:val="fr-FR"/>
          </w:rPr>
          <w:t>1.</w:t>
        </w:r>
        <w:r w:rsidRPr="00BD76AF">
          <w:rPr>
            <w:rFonts w:ascii="Century" w:hAnsi="Century"/>
            <w:kern w:val="2"/>
            <w:sz w:val="21"/>
            <w:szCs w:val="24"/>
            <w:lang w:val="fr-FR" w:eastAsia="ja-JP"/>
          </w:rPr>
          <w:tab/>
        </w:r>
        <w:r w:rsidRPr="00BD76AF">
          <w:rPr>
            <w:rStyle w:val="af1"/>
            <w:lang w:val="fr-FR"/>
          </w:rPr>
          <w:t>Généralités</w:t>
        </w:r>
      </w:hyperlink>
    </w:p>
    <w:p w14:paraId="6D840855" w14:textId="77777777" w:rsidR="00F332DA" w:rsidRPr="00BD76AF" w:rsidRDefault="00000000" w:rsidP="006D5453">
      <w:pPr>
        <w:pStyle w:val="51"/>
        <w:rPr>
          <w:rFonts w:ascii="Century" w:hAnsi="Century"/>
          <w:kern w:val="2"/>
          <w:sz w:val="21"/>
          <w:szCs w:val="24"/>
          <w:lang w:val="fr-FR" w:eastAsia="ja-JP"/>
        </w:rPr>
      </w:pPr>
      <w:hyperlink w:anchor="_Toc354492690" w:history="1">
        <w:r w:rsidR="00F332DA" w:rsidRPr="00BD76AF">
          <w:rPr>
            <w:rStyle w:val="af1"/>
            <w:lang w:val="fr-FR"/>
          </w:rPr>
          <w:t>2.</w:t>
        </w:r>
        <w:r w:rsidR="00F332DA" w:rsidRPr="00BD76AF">
          <w:rPr>
            <w:rFonts w:ascii="Century" w:hAnsi="Century"/>
            <w:kern w:val="2"/>
            <w:sz w:val="21"/>
            <w:szCs w:val="24"/>
            <w:lang w:val="fr-FR" w:eastAsia="ja-JP"/>
          </w:rPr>
          <w:tab/>
        </w:r>
        <w:r w:rsidR="00F332DA" w:rsidRPr="00BD76AF">
          <w:rPr>
            <w:rStyle w:val="af1"/>
            <w:lang w:val="fr-FR"/>
          </w:rPr>
          <w:t>Tableau de suivi des ordres de modification</w:t>
        </w:r>
      </w:hyperlink>
    </w:p>
    <w:p w14:paraId="7D408635" w14:textId="77777777" w:rsidR="00F332DA" w:rsidRPr="00BD76AF" w:rsidRDefault="00000000" w:rsidP="006D5453">
      <w:pPr>
        <w:pStyle w:val="51"/>
        <w:rPr>
          <w:rFonts w:ascii="Century" w:hAnsi="Century"/>
          <w:kern w:val="2"/>
          <w:sz w:val="21"/>
          <w:szCs w:val="24"/>
          <w:lang w:val="fr-FR" w:eastAsia="ja-JP"/>
        </w:rPr>
      </w:pPr>
      <w:hyperlink w:anchor="_Toc354492691" w:history="1">
        <w:r w:rsidR="00F332DA" w:rsidRPr="00BD76AF">
          <w:rPr>
            <w:rStyle w:val="af1"/>
            <w:lang w:val="fr-FR"/>
          </w:rPr>
          <w:t>3.</w:t>
        </w:r>
        <w:r w:rsidR="00F332DA" w:rsidRPr="00BD76AF">
          <w:rPr>
            <w:rFonts w:ascii="Century" w:hAnsi="Century"/>
            <w:kern w:val="2"/>
            <w:sz w:val="21"/>
            <w:szCs w:val="24"/>
            <w:lang w:val="fr-FR" w:eastAsia="ja-JP"/>
          </w:rPr>
          <w:tab/>
        </w:r>
        <w:r w:rsidR="00F332DA" w:rsidRPr="00BD76AF">
          <w:rPr>
            <w:rStyle w:val="af1"/>
            <w:lang w:val="fr-FR"/>
          </w:rPr>
          <w:t>Référencement des modifications</w:t>
        </w:r>
      </w:hyperlink>
    </w:p>
    <w:p w14:paraId="2F699DA9" w14:textId="77777777" w:rsidR="00F332DA" w:rsidRPr="00BD76AF" w:rsidRDefault="00F332DA" w:rsidP="00917DBD">
      <w:r w:rsidRPr="00BD76AF">
        <w:fldChar w:fldCharType="end"/>
      </w:r>
    </w:p>
    <w:p w14:paraId="01D2205C" w14:textId="77777777" w:rsidR="00F332DA" w:rsidRPr="00BD76AF" w:rsidRDefault="00F332DA" w:rsidP="005A0C64"/>
    <w:p w14:paraId="7530133B" w14:textId="77777777" w:rsidR="00F332DA" w:rsidRPr="00BD76AF" w:rsidRDefault="00F332DA" w:rsidP="005A0C64"/>
    <w:p w14:paraId="505EA5E9" w14:textId="77777777" w:rsidR="00F332DA" w:rsidRPr="00BD76AF" w:rsidRDefault="00F332DA" w:rsidP="005A0C64"/>
    <w:p w14:paraId="5A0FC691" w14:textId="77777777" w:rsidR="00F332DA" w:rsidRPr="00BD76AF" w:rsidRDefault="00F332DA" w:rsidP="006426E2">
      <w:pPr>
        <w:pStyle w:val="SecVI-Header2"/>
        <w:tabs>
          <w:tab w:val="clear" w:pos="864"/>
        </w:tabs>
        <w:jc w:val="both"/>
        <w:outlineLvl w:val="9"/>
        <w:rPr>
          <w:lang w:val="fr-FR" w:eastAsia="ja-JP"/>
        </w:rPr>
      </w:pPr>
    </w:p>
    <w:p w14:paraId="2A418A3C" w14:textId="77777777" w:rsidR="00F332DA" w:rsidRPr="00BD76AF" w:rsidRDefault="00F332DA" w:rsidP="00293AAC"/>
    <w:p w14:paraId="2F60E64E" w14:textId="77777777" w:rsidR="00F332DA" w:rsidRPr="00BD76AF" w:rsidRDefault="00F332DA" w:rsidP="00293AAC"/>
    <w:p w14:paraId="33701541" w14:textId="77777777" w:rsidR="00F332DA" w:rsidRPr="00BD76AF" w:rsidRDefault="00F332DA" w:rsidP="006426E2">
      <w:pPr>
        <w:pStyle w:val="SecVI-Header2"/>
        <w:outlineLvl w:val="9"/>
        <w:rPr>
          <w:lang w:val="fr-FR" w:eastAsia="ja-JP"/>
        </w:rPr>
      </w:pPr>
    </w:p>
    <w:p w14:paraId="6DEC2D10" w14:textId="77777777" w:rsidR="00F332DA" w:rsidRPr="00BD76AF" w:rsidRDefault="00F332DA" w:rsidP="006426E2">
      <w:pPr>
        <w:pStyle w:val="SecVI-Header2"/>
        <w:outlineLvl w:val="9"/>
        <w:rPr>
          <w:lang w:val="fr-FR"/>
        </w:rPr>
      </w:pPr>
      <w:r w:rsidRPr="00BD76AF">
        <w:rPr>
          <w:lang w:val="fr-FR"/>
        </w:rPr>
        <w:br w:type="page"/>
      </w:r>
    </w:p>
    <w:p w14:paraId="18899F79" w14:textId="77777777" w:rsidR="00F332DA" w:rsidRPr="00BD76AF" w:rsidRDefault="00F332DA" w:rsidP="006328A8">
      <w:pPr>
        <w:pStyle w:val="SecVI-Header4"/>
        <w:rPr>
          <w:lang w:val="fr-FR"/>
        </w:rPr>
      </w:pPr>
      <w:bookmarkStart w:id="720" w:name="_Toc354492689"/>
      <w:r w:rsidRPr="00BD76AF">
        <w:rPr>
          <w:lang w:val="fr-FR"/>
        </w:rPr>
        <w:t>1.</w:t>
      </w:r>
      <w:r w:rsidRPr="00BD76AF">
        <w:rPr>
          <w:lang w:val="fr-FR"/>
        </w:rPr>
        <w:tab/>
        <w:t>Généralités</w:t>
      </w:r>
      <w:bookmarkEnd w:id="720"/>
    </w:p>
    <w:p w14:paraId="72B7A4B8" w14:textId="77777777" w:rsidR="00F332DA" w:rsidRPr="00BD76AF" w:rsidRDefault="00F332DA" w:rsidP="00BC0BC0">
      <w:pPr>
        <w:rPr>
          <w:b/>
        </w:rPr>
      </w:pPr>
    </w:p>
    <w:p w14:paraId="0A3716CA" w14:textId="77777777" w:rsidR="00F332DA" w:rsidRPr="00BD76AF" w:rsidRDefault="00F332DA" w:rsidP="00425B03">
      <w:pPr>
        <w:ind w:left="539"/>
      </w:pPr>
      <w:r w:rsidRPr="00BD76AF">
        <w:t>Cette section fournit des exemples de procédures et de formulaires de mise en œuvre des modifications des Installations pendant l’exécution du Marché conformément à l’Article 39 (</w:t>
      </w:r>
      <w:r w:rsidRPr="00BD76AF">
        <w:rPr>
          <w:i/>
        </w:rPr>
        <w:t>Modifications des Installations</w:t>
      </w:r>
      <w:r w:rsidRPr="00BD76AF">
        <w:t>) des Conditions Générales du Marché.</w:t>
      </w:r>
    </w:p>
    <w:p w14:paraId="7E72053E" w14:textId="77777777" w:rsidR="00F332DA" w:rsidRPr="00BD76AF" w:rsidRDefault="00F332DA" w:rsidP="00BC0BC0">
      <w:pPr>
        <w:ind w:left="720"/>
      </w:pPr>
    </w:p>
    <w:p w14:paraId="77400EC3" w14:textId="77777777" w:rsidR="00F332DA" w:rsidRPr="00BD76AF" w:rsidRDefault="00F332DA" w:rsidP="009B6B2E">
      <w:pPr>
        <w:pStyle w:val="SecVI-Header4"/>
        <w:rPr>
          <w:lang w:val="fr-FR"/>
        </w:rPr>
      </w:pPr>
      <w:bookmarkStart w:id="721" w:name="_Toc354492690"/>
      <w:r w:rsidRPr="00BD76AF">
        <w:rPr>
          <w:lang w:val="fr-FR"/>
        </w:rPr>
        <w:t>2.</w:t>
      </w:r>
      <w:r w:rsidRPr="00BD76AF">
        <w:rPr>
          <w:lang w:val="fr-FR"/>
        </w:rPr>
        <w:tab/>
        <w:t>Tableau de suivi des ordres de modification</w:t>
      </w:r>
      <w:bookmarkEnd w:id="721"/>
    </w:p>
    <w:p w14:paraId="6F8336C3" w14:textId="77777777" w:rsidR="00F332DA" w:rsidRPr="00BD76AF" w:rsidRDefault="00F332DA" w:rsidP="00BC0BC0">
      <w:pPr>
        <w:ind w:left="720"/>
      </w:pPr>
    </w:p>
    <w:p w14:paraId="17D8D4A6" w14:textId="77777777" w:rsidR="00F332DA" w:rsidRPr="00BD76AF" w:rsidRDefault="00F332DA" w:rsidP="00425B03">
      <w:pPr>
        <w:ind w:left="539"/>
      </w:pPr>
      <w:r w:rsidRPr="00BD76AF">
        <w:t>L’Entrepreneur tiendra à jour un tableau de suivi des ordres de modification (Formulaire 8) présentant la situation actuelle des demandes de modification et des modifications approuvées ou en attente d’accord. La saisie des modifications dans ce tableau devra être effectuée de façon à assurer un suivi régulier. L’Entrepreneur joindra une copie du tableau de suivi des ordres de modification au rapport d’avancement mensuel soumis au Maître d’ouvrage.</w:t>
      </w:r>
    </w:p>
    <w:p w14:paraId="746296E1" w14:textId="77777777" w:rsidR="00F332DA" w:rsidRPr="00BD76AF" w:rsidRDefault="00F332DA" w:rsidP="00BC0BC0">
      <w:pPr>
        <w:ind w:left="720"/>
      </w:pPr>
    </w:p>
    <w:p w14:paraId="054326E2" w14:textId="77777777" w:rsidR="00F332DA" w:rsidRPr="00BD76AF" w:rsidRDefault="00F332DA" w:rsidP="006328A8">
      <w:pPr>
        <w:pStyle w:val="SecVI-Header4"/>
        <w:rPr>
          <w:lang w:val="fr-FR"/>
        </w:rPr>
      </w:pPr>
      <w:bookmarkStart w:id="722" w:name="_Toc354492691"/>
      <w:r w:rsidRPr="00BD76AF">
        <w:rPr>
          <w:lang w:val="fr-FR"/>
        </w:rPr>
        <w:t>3.</w:t>
      </w:r>
      <w:r w:rsidRPr="00BD76AF">
        <w:rPr>
          <w:lang w:val="fr-FR"/>
        </w:rPr>
        <w:tab/>
        <w:t>Référencement des modifications</w:t>
      </w:r>
      <w:bookmarkEnd w:id="722"/>
    </w:p>
    <w:p w14:paraId="7C376A5D" w14:textId="77777777" w:rsidR="00F332DA" w:rsidRPr="00BD76AF" w:rsidRDefault="00F332DA" w:rsidP="00BC0BC0">
      <w:pPr>
        <w:ind w:left="1440" w:hanging="720"/>
      </w:pPr>
    </w:p>
    <w:p w14:paraId="74F86FD0" w14:textId="77777777" w:rsidR="00F332DA" w:rsidRPr="00BD76AF" w:rsidRDefault="00F332DA" w:rsidP="00C9668D">
      <w:pPr>
        <w:ind w:left="1078" w:hanging="539"/>
      </w:pPr>
      <w:r w:rsidRPr="00BD76AF">
        <w:t>1)</w:t>
      </w:r>
      <w:r w:rsidRPr="00BD76AF">
        <w:tab/>
        <w:t>Les demandes de modification décrites à l’Article 39 des CG seront numérotées séquentiellement DM-X-nnn.</w:t>
      </w:r>
    </w:p>
    <w:p w14:paraId="79E66C7B" w14:textId="77777777" w:rsidR="00F332DA" w:rsidRPr="00BD76AF" w:rsidRDefault="00F332DA" w:rsidP="00C9668D">
      <w:pPr>
        <w:ind w:left="1078" w:hanging="539"/>
      </w:pPr>
    </w:p>
    <w:p w14:paraId="17DC9682" w14:textId="77777777" w:rsidR="00F332DA" w:rsidRPr="00BD76AF" w:rsidRDefault="00F332DA" w:rsidP="00C9668D">
      <w:pPr>
        <w:ind w:left="1078" w:hanging="539"/>
      </w:pPr>
      <w:r w:rsidRPr="00BD76AF">
        <w:t>2)</w:t>
      </w:r>
      <w:r w:rsidRPr="00BD76AF">
        <w:tab/>
        <w:t>Les estimations des propositions de modification décrites à l’Article 39 des CG seront numérotés séquentiellement EM-X-nnn.</w:t>
      </w:r>
    </w:p>
    <w:p w14:paraId="0486BB64" w14:textId="77777777" w:rsidR="00F332DA" w:rsidRPr="00BD76AF" w:rsidRDefault="00F332DA" w:rsidP="00C9668D">
      <w:pPr>
        <w:ind w:left="1078" w:hanging="539"/>
      </w:pPr>
    </w:p>
    <w:p w14:paraId="3FCFADB7" w14:textId="77777777" w:rsidR="00F332DA" w:rsidRPr="00BD76AF" w:rsidRDefault="00F332DA" w:rsidP="00C9668D">
      <w:pPr>
        <w:ind w:left="1078" w:hanging="539"/>
      </w:pPr>
      <w:r w:rsidRPr="00BD76AF">
        <w:t>3)</w:t>
      </w:r>
      <w:r w:rsidRPr="00BD76AF">
        <w:tab/>
        <w:t>Les acceptations des estimations décrites à l’Article 39 des CG seront numérotées séquentiellement AM-X-nnn.</w:t>
      </w:r>
    </w:p>
    <w:p w14:paraId="1D481CC6" w14:textId="77777777" w:rsidR="00F332DA" w:rsidRPr="00BD76AF" w:rsidRDefault="00F332DA" w:rsidP="00C9668D">
      <w:pPr>
        <w:ind w:left="1078" w:hanging="539"/>
      </w:pPr>
    </w:p>
    <w:p w14:paraId="7284A2DB" w14:textId="77777777" w:rsidR="00F332DA" w:rsidRPr="00BD76AF" w:rsidRDefault="00F332DA" w:rsidP="00C9668D">
      <w:pPr>
        <w:ind w:left="1078" w:hanging="539"/>
      </w:pPr>
      <w:r w:rsidRPr="00BD76AF">
        <w:t>4)</w:t>
      </w:r>
      <w:r w:rsidRPr="00BD76AF">
        <w:tab/>
        <w:t>Les propositions de modification décrites à l’Article 39 des CG seront numérotées séquentiellement PM-X-nnn.</w:t>
      </w:r>
    </w:p>
    <w:p w14:paraId="65689DF9" w14:textId="77777777" w:rsidR="00F332DA" w:rsidRPr="00BD76AF" w:rsidRDefault="00F332DA" w:rsidP="00C9668D">
      <w:pPr>
        <w:ind w:left="1078" w:hanging="539"/>
      </w:pPr>
    </w:p>
    <w:p w14:paraId="79814161" w14:textId="77777777" w:rsidR="00F332DA" w:rsidRPr="00BD76AF" w:rsidRDefault="00F332DA" w:rsidP="00C9668D">
      <w:pPr>
        <w:ind w:left="1078" w:hanging="539"/>
      </w:pPr>
      <w:r w:rsidRPr="00BD76AF">
        <w:t>5)</w:t>
      </w:r>
      <w:r w:rsidRPr="00BD76AF">
        <w:tab/>
        <w:t>Les ordres de modification décrits à l’Article 39 des CG seront numérotés séquentiellement OM-X-nnn.</w:t>
      </w:r>
    </w:p>
    <w:p w14:paraId="6EB623F7" w14:textId="77777777" w:rsidR="00F332DA" w:rsidRPr="00BD76AF" w:rsidRDefault="00F332DA" w:rsidP="00BC0BC0">
      <w:pPr>
        <w:ind w:left="1440" w:hanging="720"/>
      </w:pPr>
    </w:p>
    <w:p w14:paraId="5C8EB324" w14:textId="77777777" w:rsidR="00F332DA" w:rsidRPr="00BD76AF" w:rsidRDefault="00F332DA" w:rsidP="002C5DAD">
      <w:pPr>
        <w:tabs>
          <w:tab w:val="left" w:pos="1260"/>
        </w:tabs>
        <w:suppressAutoHyphens w:val="0"/>
        <w:overflowPunct/>
        <w:autoSpaceDE/>
        <w:autoSpaceDN/>
        <w:adjustRightInd/>
        <w:ind w:left="1800" w:hanging="1260"/>
        <w:textAlignment w:val="auto"/>
      </w:pPr>
      <w:r w:rsidRPr="00BD76AF">
        <w:rPr>
          <w:lang w:eastAsia="en-US"/>
        </w:rPr>
        <w:t>Note</w:t>
      </w:r>
      <w:r w:rsidRPr="00BD76AF">
        <w:t> :</w:t>
      </w:r>
      <w:r w:rsidRPr="00BD76AF">
        <w:rPr>
          <w:lang w:eastAsia="ja-JP"/>
        </w:rPr>
        <w:tab/>
      </w:r>
      <w:r w:rsidRPr="00BD76AF">
        <w:t>a)</w:t>
      </w:r>
      <w:r w:rsidRPr="00BD76AF">
        <w:tab/>
        <w:t>Les demandes de modification émises par le siège du Maître d’ouvrage et ses représentants sur le Site porteront les références respectives suivantes :</w:t>
      </w:r>
    </w:p>
    <w:p w14:paraId="697B4205" w14:textId="77777777" w:rsidR="00F332DA" w:rsidRPr="00BD76AF" w:rsidRDefault="00F332DA" w:rsidP="00BC0BC0">
      <w:pPr>
        <w:ind w:left="2160" w:hanging="1440"/>
      </w:pPr>
    </w:p>
    <w:p w14:paraId="38A0A0C5" w14:textId="77777777" w:rsidR="00F332DA" w:rsidRPr="00BD76AF" w:rsidRDefault="00F332DA" w:rsidP="002C5DAD">
      <w:pPr>
        <w:tabs>
          <w:tab w:val="left" w:pos="3600"/>
        </w:tabs>
        <w:suppressAutoHyphens w:val="0"/>
        <w:overflowPunct/>
        <w:autoSpaceDE/>
        <w:autoSpaceDN/>
        <w:adjustRightInd/>
        <w:ind w:left="1800"/>
        <w:textAlignment w:val="auto"/>
      </w:pPr>
      <w:r w:rsidRPr="00BD76AF">
        <w:rPr>
          <w:lang w:eastAsia="en-US"/>
        </w:rPr>
        <w:t>Siège</w:t>
      </w:r>
      <w:r w:rsidRPr="00BD76AF">
        <w:tab/>
        <w:t>DM-H-nnn</w:t>
      </w:r>
    </w:p>
    <w:p w14:paraId="05446F13" w14:textId="77777777" w:rsidR="00F332DA" w:rsidRPr="00BD76AF" w:rsidRDefault="00F332DA" w:rsidP="002C5DAD">
      <w:pPr>
        <w:tabs>
          <w:tab w:val="left" w:pos="3600"/>
        </w:tabs>
        <w:suppressAutoHyphens w:val="0"/>
        <w:overflowPunct/>
        <w:autoSpaceDE/>
        <w:autoSpaceDN/>
        <w:adjustRightInd/>
        <w:ind w:left="1800"/>
        <w:textAlignment w:val="auto"/>
      </w:pPr>
      <w:r w:rsidRPr="00BD76AF">
        <w:rPr>
          <w:lang w:eastAsia="en-US"/>
        </w:rPr>
        <w:t>Site</w:t>
      </w:r>
      <w:r w:rsidRPr="00BD76AF">
        <w:tab/>
        <w:t>DM-S-nnn</w:t>
      </w:r>
    </w:p>
    <w:p w14:paraId="2D65E6A6" w14:textId="77777777" w:rsidR="00F332DA" w:rsidRPr="00BD76AF" w:rsidRDefault="00F332DA" w:rsidP="00BC0BC0">
      <w:pPr>
        <w:keepNext/>
        <w:keepLines/>
        <w:ind w:left="2160" w:hanging="720"/>
      </w:pPr>
    </w:p>
    <w:p w14:paraId="394E315E" w14:textId="77777777" w:rsidR="00F332DA" w:rsidRPr="00BD76AF" w:rsidRDefault="00F332DA" w:rsidP="002C5DAD">
      <w:pPr>
        <w:suppressAutoHyphens w:val="0"/>
        <w:overflowPunct/>
        <w:autoSpaceDE/>
        <w:autoSpaceDN/>
        <w:adjustRightInd/>
        <w:ind w:left="1800" w:hanging="540"/>
        <w:textAlignment w:val="auto"/>
      </w:pPr>
      <w:r w:rsidRPr="00BD76AF">
        <w:t>b)</w:t>
      </w:r>
      <w:r w:rsidRPr="00BD76AF">
        <w:tab/>
        <w:t>Le numéro ci-dessus « nnn » est le même pour la demande de modification, l’estimation de proposition de modification, l’acceptation de l’estimation, la proposition de modification et l’ordre de modification.</w:t>
      </w:r>
    </w:p>
    <w:p w14:paraId="07C8AC6F" w14:textId="77777777" w:rsidR="00F332DA" w:rsidRPr="00BD76AF" w:rsidRDefault="00F332DA" w:rsidP="00773479">
      <w:pPr>
        <w:pStyle w:val="SecVI-Header3"/>
        <w:rPr>
          <w:lang w:val="fr-FR"/>
        </w:rPr>
      </w:pPr>
      <w:r w:rsidRPr="00BD76AF">
        <w:rPr>
          <w:lang w:val="fr-FR"/>
        </w:rPr>
        <w:br w:type="page"/>
      </w:r>
      <w:bookmarkStart w:id="723" w:name="_Toc357505477"/>
    </w:p>
    <w:p w14:paraId="388BC42A" w14:textId="77777777" w:rsidR="00F332DA" w:rsidRPr="00BD76AF" w:rsidRDefault="00F332DA" w:rsidP="00773479">
      <w:pPr>
        <w:pStyle w:val="SecVI-Header3"/>
        <w:rPr>
          <w:sz w:val="36"/>
          <w:szCs w:val="36"/>
          <w:lang w:val="fr-FR"/>
        </w:rPr>
      </w:pPr>
      <w:bookmarkStart w:id="724" w:name="_Toc104294479"/>
      <w:r w:rsidRPr="00BD76AF">
        <w:rPr>
          <w:sz w:val="36"/>
          <w:szCs w:val="36"/>
          <w:lang w:val="fr-FR"/>
        </w:rPr>
        <w:t>Formulaires concernant les ordres de modification</w:t>
      </w:r>
      <w:bookmarkEnd w:id="724"/>
    </w:p>
    <w:p w14:paraId="64F14EAE" w14:textId="77777777" w:rsidR="00F332DA" w:rsidRPr="00BD76AF" w:rsidRDefault="00F332DA" w:rsidP="006426E2">
      <w:pPr>
        <w:pStyle w:val="SecVI-Header3"/>
        <w:jc w:val="left"/>
        <w:outlineLvl w:val="9"/>
        <w:rPr>
          <w:sz w:val="24"/>
          <w:szCs w:val="24"/>
          <w:lang w:val="fr-FR"/>
        </w:rPr>
      </w:pPr>
    </w:p>
    <w:p w14:paraId="186457BC" w14:textId="77777777" w:rsidR="00F332DA" w:rsidRPr="00BD76AF" w:rsidRDefault="00F332DA" w:rsidP="0000527F">
      <w:r w:rsidRPr="00BD76AF">
        <w:t>SOMMAIRE</w:t>
      </w:r>
    </w:p>
    <w:p w14:paraId="5C8677B3" w14:textId="77777777" w:rsidR="00F332DA" w:rsidRPr="00BD76AF" w:rsidRDefault="00F332DA" w:rsidP="0000527F"/>
    <w:p w14:paraId="2DAAF4E8" w14:textId="77777777" w:rsidR="00F332DA" w:rsidRPr="00BD76AF" w:rsidRDefault="00F332DA" w:rsidP="006426E2">
      <w:pPr>
        <w:pStyle w:val="51"/>
        <w:rPr>
          <w:rFonts w:ascii="Century" w:hAnsi="Century"/>
          <w:noProof/>
          <w:kern w:val="2"/>
          <w:sz w:val="21"/>
          <w:szCs w:val="24"/>
          <w:lang w:eastAsia="ja-JP"/>
        </w:rPr>
      </w:pPr>
      <w:r w:rsidRPr="00BD76AF">
        <w:rPr>
          <w:lang w:val="fr-FR"/>
        </w:rPr>
        <w:fldChar w:fldCharType="begin"/>
      </w:r>
      <w:r w:rsidRPr="00BD76AF">
        <w:rPr>
          <w:lang w:val="fr-FR"/>
        </w:rPr>
        <w:instrText xml:space="preserve"> TOC \h \z \t "Sec VI - Header 3,</w:instrText>
      </w:r>
      <w:r w:rsidRPr="00BD76AF">
        <w:rPr>
          <w:lang w:val="fr-FR" w:eastAsia="ja-JP"/>
        </w:rPr>
        <w:instrText>5</w:instrText>
      </w:r>
      <w:r w:rsidRPr="00BD76AF">
        <w:rPr>
          <w:lang w:val="fr-FR"/>
        </w:rPr>
        <w:instrText xml:space="preserve">" \n 5-5 </w:instrText>
      </w:r>
      <w:r w:rsidRPr="00BD76AF">
        <w:rPr>
          <w:lang w:val="fr-FR"/>
        </w:rPr>
        <w:fldChar w:fldCharType="separate"/>
      </w:r>
      <w:hyperlink w:anchor="_Toc357505477" w:history="1">
        <w:r w:rsidRPr="00BD76AF">
          <w:rPr>
            <w:rStyle w:val="af1"/>
            <w:noProof/>
            <w:lang w:val="fr-FR"/>
          </w:rPr>
          <w:t>Formulaire 1.  Demande de proposition de modification</w:t>
        </w:r>
      </w:hyperlink>
    </w:p>
    <w:p w14:paraId="12822AD2" w14:textId="77777777" w:rsidR="00F332DA" w:rsidRPr="00BD76AF" w:rsidRDefault="00000000" w:rsidP="006426E2">
      <w:pPr>
        <w:pStyle w:val="51"/>
        <w:rPr>
          <w:rFonts w:ascii="Century" w:hAnsi="Century"/>
          <w:noProof/>
          <w:kern w:val="2"/>
          <w:sz w:val="21"/>
          <w:szCs w:val="24"/>
          <w:lang w:eastAsia="ja-JP"/>
        </w:rPr>
      </w:pPr>
      <w:hyperlink w:anchor="_Toc357505478" w:history="1">
        <w:r w:rsidR="00F332DA" w:rsidRPr="00BD76AF">
          <w:rPr>
            <w:rStyle w:val="af1"/>
            <w:noProof/>
            <w:lang w:val="fr-FR"/>
          </w:rPr>
          <w:t>Formulaire 2.  Estimation de la proposition de modification</w:t>
        </w:r>
      </w:hyperlink>
    </w:p>
    <w:p w14:paraId="26B17928" w14:textId="77777777" w:rsidR="00F332DA" w:rsidRPr="00BD76AF" w:rsidRDefault="00000000" w:rsidP="006426E2">
      <w:pPr>
        <w:pStyle w:val="51"/>
        <w:rPr>
          <w:rFonts w:ascii="Century" w:hAnsi="Century"/>
          <w:noProof/>
          <w:kern w:val="2"/>
          <w:sz w:val="21"/>
          <w:szCs w:val="24"/>
          <w:lang w:eastAsia="ja-JP"/>
        </w:rPr>
      </w:pPr>
      <w:hyperlink w:anchor="_Toc357505479" w:history="1">
        <w:r w:rsidR="00F332DA" w:rsidRPr="00BD76AF">
          <w:rPr>
            <w:rStyle w:val="af1"/>
            <w:noProof/>
            <w:lang w:val="fr-FR"/>
          </w:rPr>
          <w:t>Formulaire 3.  Acceptation de l’estimation</w:t>
        </w:r>
      </w:hyperlink>
    </w:p>
    <w:p w14:paraId="0181B639" w14:textId="77777777" w:rsidR="00F332DA" w:rsidRPr="00BD76AF" w:rsidRDefault="00000000" w:rsidP="006426E2">
      <w:pPr>
        <w:pStyle w:val="51"/>
        <w:rPr>
          <w:rFonts w:ascii="Century" w:hAnsi="Century"/>
          <w:noProof/>
          <w:kern w:val="2"/>
          <w:sz w:val="21"/>
          <w:szCs w:val="24"/>
          <w:lang w:eastAsia="ja-JP"/>
        </w:rPr>
      </w:pPr>
      <w:hyperlink w:anchor="_Toc357505480" w:history="1">
        <w:r w:rsidR="00F332DA" w:rsidRPr="00BD76AF">
          <w:rPr>
            <w:rStyle w:val="af1"/>
            <w:noProof/>
            <w:lang w:val="fr-FR"/>
          </w:rPr>
          <w:t>Formulaire 4.  Proposition de modification</w:t>
        </w:r>
      </w:hyperlink>
    </w:p>
    <w:p w14:paraId="68384F25" w14:textId="77777777" w:rsidR="00F332DA" w:rsidRPr="00BD76AF" w:rsidRDefault="00000000" w:rsidP="006426E2">
      <w:pPr>
        <w:pStyle w:val="51"/>
        <w:rPr>
          <w:rFonts w:ascii="Century" w:hAnsi="Century"/>
          <w:noProof/>
          <w:kern w:val="2"/>
          <w:sz w:val="21"/>
          <w:szCs w:val="24"/>
          <w:lang w:eastAsia="ja-JP"/>
        </w:rPr>
      </w:pPr>
      <w:hyperlink w:anchor="_Toc357505481" w:history="1">
        <w:r w:rsidR="00F332DA" w:rsidRPr="00BD76AF">
          <w:rPr>
            <w:rStyle w:val="af1"/>
            <w:noProof/>
            <w:lang w:val="fr-FR"/>
          </w:rPr>
          <w:t>Formulaire 5.  Ordre de modification</w:t>
        </w:r>
      </w:hyperlink>
    </w:p>
    <w:p w14:paraId="53411F40" w14:textId="77777777" w:rsidR="00F332DA" w:rsidRPr="00BD76AF" w:rsidRDefault="00000000" w:rsidP="006426E2">
      <w:pPr>
        <w:pStyle w:val="51"/>
        <w:rPr>
          <w:rFonts w:ascii="Century" w:hAnsi="Century"/>
          <w:noProof/>
          <w:kern w:val="2"/>
          <w:sz w:val="21"/>
          <w:szCs w:val="24"/>
          <w:lang w:eastAsia="ja-JP"/>
        </w:rPr>
      </w:pPr>
      <w:hyperlink w:anchor="_Toc357505482" w:history="1">
        <w:r w:rsidR="00F332DA" w:rsidRPr="00BD76AF">
          <w:rPr>
            <w:rStyle w:val="af1"/>
            <w:noProof/>
            <w:lang w:val="fr-FR"/>
          </w:rPr>
          <w:t>Formulaire 6.  Ordre de modification en attente d’accord</w:t>
        </w:r>
      </w:hyperlink>
    </w:p>
    <w:p w14:paraId="0458B345" w14:textId="77777777" w:rsidR="00F332DA" w:rsidRPr="00BD76AF" w:rsidRDefault="00000000" w:rsidP="006426E2">
      <w:pPr>
        <w:pStyle w:val="51"/>
        <w:rPr>
          <w:rFonts w:ascii="Century" w:hAnsi="Century"/>
          <w:noProof/>
          <w:kern w:val="2"/>
          <w:sz w:val="21"/>
          <w:szCs w:val="24"/>
          <w:lang w:eastAsia="ja-JP"/>
        </w:rPr>
      </w:pPr>
      <w:hyperlink w:anchor="_Toc357505483" w:history="1">
        <w:r w:rsidR="00F332DA" w:rsidRPr="00BD76AF">
          <w:rPr>
            <w:rStyle w:val="af1"/>
            <w:noProof/>
            <w:lang w:val="fr-FR"/>
          </w:rPr>
          <w:t>Formulaire 7.  Offre de proposition de modification</w:t>
        </w:r>
      </w:hyperlink>
    </w:p>
    <w:p w14:paraId="59E20973" w14:textId="77777777" w:rsidR="00F332DA" w:rsidRPr="00BD76AF" w:rsidRDefault="00000000" w:rsidP="006426E2">
      <w:pPr>
        <w:pStyle w:val="51"/>
        <w:rPr>
          <w:rFonts w:ascii="Century" w:hAnsi="Century"/>
          <w:noProof/>
          <w:kern w:val="2"/>
          <w:sz w:val="21"/>
          <w:szCs w:val="24"/>
          <w:lang w:eastAsia="ja-JP"/>
        </w:rPr>
      </w:pPr>
      <w:hyperlink w:anchor="_Toc357505484" w:history="1">
        <w:r w:rsidR="00F332DA" w:rsidRPr="00BD76AF">
          <w:rPr>
            <w:rStyle w:val="af1"/>
            <w:noProof/>
            <w:lang w:val="fr-FR"/>
          </w:rPr>
          <w:t>Formulaire 8.  Tableau de suivi des ordres de modification</w:t>
        </w:r>
      </w:hyperlink>
    </w:p>
    <w:p w14:paraId="4F916122" w14:textId="77777777" w:rsidR="00F332DA" w:rsidRPr="00BD76AF" w:rsidRDefault="00F332DA" w:rsidP="006426E2">
      <w:pPr>
        <w:pStyle w:val="SecVI-Header3"/>
        <w:jc w:val="left"/>
        <w:outlineLvl w:val="9"/>
        <w:rPr>
          <w:lang w:val="fr-FR"/>
        </w:rPr>
      </w:pPr>
      <w:r w:rsidRPr="00BD76AF">
        <w:rPr>
          <w:lang w:val="fr-FR"/>
        </w:rPr>
        <w:fldChar w:fldCharType="end"/>
      </w:r>
    </w:p>
    <w:p w14:paraId="174845D2" w14:textId="77777777" w:rsidR="00F332DA" w:rsidRPr="00BD76AF" w:rsidRDefault="00F332DA">
      <w:pPr>
        <w:suppressAutoHyphens w:val="0"/>
        <w:overflowPunct/>
        <w:autoSpaceDE/>
        <w:autoSpaceDN/>
        <w:adjustRightInd/>
        <w:jc w:val="left"/>
        <w:textAlignment w:val="auto"/>
        <w:rPr>
          <w:b/>
          <w:sz w:val="28"/>
          <w:szCs w:val="32"/>
          <w:lang w:eastAsia="en-US"/>
        </w:rPr>
      </w:pPr>
      <w:r w:rsidRPr="00BD76AF">
        <w:br w:type="page"/>
      </w:r>
    </w:p>
    <w:p w14:paraId="4AAB556A" w14:textId="77777777" w:rsidR="00F332DA" w:rsidRPr="00BD76AF" w:rsidRDefault="00F332DA" w:rsidP="00773479">
      <w:pPr>
        <w:pStyle w:val="SecVI-Header3"/>
        <w:rPr>
          <w:lang w:val="fr-FR"/>
        </w:rPr>
      </w:pPr>
      <w:bookmarkStart w:id="725" w:name="_Toc104294480"/>
      <w:r w:rsidRPr="00BD76AF">
        <w:rPr>
          <w:lang w:val="fr-FR"/>
        </w:rPr>
        <w:t>Formulaire 1.  Demande de proposition de modification</w:t>
      </w:r>
      <w:bookmarkEnd w:id="723"/>
      <w:bookmarkEnd w:id="725"/>
    </w:p>
    <w:p w14:paraId="29F8B254" w14:textId="77777777" w:rsidR="00F332DA" w:rsidRPr="00BD76AF" w:rsidRDefault="00F332DA" w:rsidP="009C3494">
      <w:pPr>
        <w:spacing w:afterLines="100" w:after="240"/>
        <w:jc w:val="center"/>
      </w:pPr>
      <w:r w:rsidRPr="00BD76AF">
        <w:t>(Papier à en-tête du Maître d’ouvrage)</w:t>
      </w:r>
    </w:p>
    <w:p w14:paraId="44DE0CCB" w14:textId="77777777" w:rsidR="00F332DA" w:rsidRPr="00BD76AF" w:rsidRDefault="00F332DA" w:rsidP="00D11E4A">
      <w:pPr>
        <w:jc w:val="center"/>
      </w:pPr>
    </w:p>
    <w:p w14:paraId="159D9E24" w14:textId="77777777" w:rsidR="00F332DA" w:rsidRPr="00BD76AF" w:rsidRDefault="00F332DA" w:rsidP="0000527F">
      <w:pPr>
        <w:tabs>
          <w:tab w:val="right" w:pos="9000"/>
        </w:tabs>
        <w:wordWrap w:val="0"/>
        <w:ind w:right="3" w:firstLineChars="2000" w:firstLine="4800"/>
        <w:jc w:val="right"/>
        <w:rPr>
          <w:lang w:eastAsia="ja-JP"/>
        </w:rPr>
      </w:pPr>
      <w:r w:rsidRPr="00BD76AF">
        <w:tab/>
        <w:t>Date : [</w:t>
      </w:r>
      <w:r w:rsidRPr="00BD76AF">
        <w:rPr>
          <w:i/>
        </w:rPr>
        <w:t>indiquer jour, mois, année</w:t>
      </w:r>
      <w:r w:rsidRPr="00BD76AF">
        <w:t>]</w:t>
      </w:r>
      <w:r w:rsidRPr="00BD76AF">
        <w:rPr>
          <w:lang w:eastAsia="ja-JP"/>
        </w:rPr>
        <w:tab/>
      </w:r>
    </w:p>
    <w:p w14:paraId="5AC88F1D" w14:textId="77777777" w:rsidR="00F332DA" w:rsidRPr="00BD76AF" w:rsidRDefault="00F332DA" w:rsidP="00D11E4A"/>
    <w:p w14:paraId="5B2722AD" w14:textId="77777777" w:rsidR="00F332DA" w:rsidRPr="00BD76AF" w:rsidRDefault="00F332DA" w:rsidP="00D11E4A">
      <w:r w:rsidRPr="00BD76AF">
        <w:rPr>
          <w:rFonts w:hint="eastAsia"/>
        </w:rPr>
        <w:t>À</w:t>
      </w:r>
      <w:r w:rsidRPr="00BD76AF">
        <w:t> : [</w:t>
      </w:r>
      <w:r w:rsidRPr="00BD76AF">
        <w:rPr>
          <w:i/>
        </w:rPr>
        <w:t>indiquer les</w:t>
      </w:r>
      <w:r w:rsidRPr="00BD76AF">
        <w:t xml:space="preserve"> </w:t>
      </w:r>
      <w:r w:rsidRPr="00BD76AF">
        <w:rPr>
          <w:i/>
        </w:rPr>
        <w:t>nom et adresse de l</w:t>
      </w:r>
      <w:r w:rsidRPr="00BD76AF">
        <w:t>’</w:t>
      </w:r>
      <w:r w:rsidRPr="00BD76AF">
        <w:rPr>
          <w:i/>
        </w:rPr>
        <w:t>Entrepreneur</w:t>
      </w:r>
      <w:r w:rsidRPr="00BD76AF">
        <w:t>]</w:t>
      </w:r>
    </w:p>
    <w:p w14:paraId="076A2A35" w14:textId="77777777" w:rsidR="00F332DA" w:rsidRPr="00BD76AF" w:rsidRDefault="00F332DA" w:rsidP="00D11E4A"/>
    <w:p w14:paraId="0EE1E130" w14:textId="77777777" w:rsidR="00F332DA" w:rsidRPr="00BD76AF" w:rsidRDefault="00F332DA" w:rsidP="00D11E4A">
      <w:r w:rsidRPr="00BD76AF">
        <w:rPr>
          <w:rFonts w:hint="eastAsia"/>
        </w:rPr>
        <w:t>À</w:t>
      </w:r>
      <w:r w:rsidRPr="00BD76AF">
        <w:t xml:space="preserve"> l’attention de : [</w:t>
      </w:r>
      <w:r w:rsidRPr="00BD76AF">
        <w:rPr>
          <w:i/>
        </w:rPr>
        <w:t>indiquer les nom et titre</w:t>
      </w:r>
      <w:r w:rsidRPr="00BD76AF">
        <w:t>]</w:t>
      </w:r>
    </w:p>
    <w:p w14:paraId="0A88AF2E" w14:textId="77777777" w:rsidR="00F332DA" w:rsidRPr="00BD76AF" w:rsidRDefault="00F332DA" w:rsidP="00D11E4A"/>
    <w:p w14:paraId="38B528CA" w14:textId="77777777" w:rsidR="00F332DA" w:rsidRPr="00BD76AF" w:rsidRDefault="00F332DA" w:rsidP="00D11E4A">
      <w:r w:rsidRPr="00BD76AF">
        <w:t>Nom du Marché : [</w:t>
      </w:r>
      <w:r w:rsidRPr="00BD76AF">
        <w:rPr>
          <w:i/>
        </w:rPr>
        <w:t>indiquer le nom du Marché</w:t>
      </w:r>
      <w:r w:rsidRPr="00BD76AF">
        <w:t>]</w:t>
      </w:r>
    </w:p>
    <w:p w14:paraId="18EAA640" w14:textId="77777777" w:rsidR="00F332DA" w:rsidRPr="00BD76AF" w:rsidRDefault="00F332DA" w:rsidP="00D11E4A">
      <w:r w:rsidRPr="00BD76AF">
        <w:t>Marché n</w:t>
      </w:r>
      <w:r w:rsidRPr="00BD76AF">
        <w:rPr>
          <w:vertAlign w:val="superscript"/>
        </w:rPr>
        <w:t>o</w:t>
      </w:r>
      <w:r w:rsidRPr="00BD76AF">
        <w:t> : [</w:t>
      </w:r>
      <w:r w:rsidRPr="00BD76AF">
        <w:rPr>
          <w:i/>
        </w:rPr>
        <w:t>indiquer le numéro du Marché</w:t>
      </w:r>
      <w:r w:rsidRPr="00BD76AF">
        <w:t>]</w:t>
      </w:r>
    </w:p>
    <w:p w14:paraId="7CF8A90F" w14:textId="77777777" w:rsidR="00F332DA" w:rsidRPr="00BD76AF" w:rsidRDefault="00F332DA" w:rsidP="00D11E4A"/>
    <w:p w14:paraId="6A7A8D0C" w14:textId="77777777" w:rsidR="00F332DA" w:rsidRPr="00BD76AF" w:rsidRDefault="00F332DA" w:rsidP="00D11E4A">
      <w:r w:rsidRPr="00BD76AF">
        <w:t>Mesdames/Messieurs,</w:t>
      </w:r>
    </w:p>
    <w:p w14:paraId="7A81F513" w14:textId="77777777" w:rsidR="00F332DA" w:rsidRPr="00BD76AF" w:rsidRDefault="00F332DA" w:rsidP="00D11E4A"/>
    <w:p w14:paraId="66A3D36F" w14:textId="77777777" w:rsidR="00F332DA" w:rsidRPr="00BD76AF" w:rsidRDefault="00F332DA" w:rsidP="00D11E4A">
      <w:r w:rsidRPr="00BD76AF">
        <w:t>Dans le cadre du Marché susmentionné, nous vous demandons d’élaborer et de soumettre dans un délai de [</w:t>
      </w:r>
      <w:r w:rsidRPr="00BD76AF">
        <w:rPr>
          <w:i/>
        </w:rPr>
        <w:t>nombre</w:t>
      </w:r>
      <w:r w:rsidRPr="00BD76AF">
        <w:t>] jours suivant la date de cette lettre [</w:t>
      </w:r>
      <w:r w:rsidRPr="00BD76AF">
        <w:rPr>
          <w:i/>
        </w:rPr>
        <w:t>ou</w:t>
      </w:r>
      <w:r w:rsidRPr="00BD76AF">
        <w:t xml:space="preserve"> </w:t>
      </w:r>
      <w:r w:rsidRPr="00BD76AF">
        <w:rPr>
          <w:i/>
        </w:rPr>
        <w:t>au plus tard le (date)</w:t>
      </w:r>
      <w:r w:rsidRPr="00BD76AF">
        <w:t>] une proposition de modification pour la modification précisée ci-après conformément aux instructions suivantes :</w:t>
      </w:r>
    </w:p>
    <w:p w14:paraId="35F33B24" w14:textId="77777777" w:rsidR="00F332DA" w:rsidRPr="00BD76AF" w:rsidRDefault="00F332DA" w:rsidP="00D11E4A"/>
    <w:p w14:paraId="4F30AA8B" w14:textId="77777777" w:rsidR="00F332DA" w:rsidRPr="00BD76AF" w:rsidRDefault="00F332DA" w:rsidP="00D11E4A">
      <w:r w:rsidRPr="00BD76AF">
        <w:t>1.</w:t>
      </w:r>
      <w:r w:rsidRPr="00BD76AF">
        <w:tab/>
        <w:t>Titre de la modification : [</w:t>
      </w:r>
      <w:r w:rsidRPr="00BD76AF">
        <w:rPr>
          <w:i/>
        </w:rPr>
        <w:t>indiquer le titre</w:t>
      </w:r>
      <w:r w:rsidRPr="00BD76AF">
        <w:t>]</w:t>
      </w:r>
    </w:p>
    <w:p w14:paraId="190B87DE" w14:textId="77777777" w:rsidR="00F332DA" w:rsidRPr="00BD76AF" w:rsidRDefault="00F332DA" w:rsidP="00D11E4A"/>
    <w:p w14:paraId="6A67FC4E" w14:textId="77777777" w:rsidR="00F332DA" w:rsidRPr="00BD76AF" w:rsidRDefault="00F332DA" w:rsidP="00D11E4A">
      <w:r w:rsidRPr="00BD76AF">
        <w:t>2.</w:t>
      </w:r>
      <w:r w:rsidRPr="00BD76AF">
        <w:tab/>
        <w:t>Demande de modification n</w:t>
      </w:r>
      <w:r w:rsidRPr="00BD76AF">
        <w:rPr>
          <w:vertAlign w:val="superscript"/>
        </w:rPr>
        <w:t>o</w:t>
      </w:r>
      <w:r w:rsidRPr="00BD76AF">
        <w:t> : [</w:t>
      </w:r>
      <w:r w:rsidRPr="00BD76AF">
        <w:rPr>
          <w:i/>
        </w:rPr>
        <w:t>indiquer le numéro</w:t>
      </w:r>
      <w:r w:rsidRPr="00BD76AF">
        <w:t>]</w:t>
      </w:r>
    </w:p>
    <w:p w14:paraId="32472011" w14:textId="77777777" w:rsidR="00F332DA" w:rsidRPr="00BD76AF" w:rsidRDefault="00F332DA" w:rsidP="00D11E4A"/>
    <w:p w14:paraId="6DA5FCF2" w14:textId="77777777" w:rsidR="00F332DA" w:rsidRPr="00BD76AF" w:rsidRDefault="00F332DA" w:rsidP="00D11E4A">
      <w:r w:rsidRPr="00BD76AF">
        <w:t>3.</w:t>
      </w:r>
      <w:r w:rsidRPr="00BD76AF">
        <w:tab/>
        <w:t>Demandeur de la modification : Maître d’ouvrage : [</w:t>
      </w:r>
      <w:r w:rsidRPr="00BD76AF">
        <w:rPr>
          <w:i/>
        </w:rPr>
        <w:t>indiquer le nom</w:t>
      </w:r>
      <w:r w:rsidRPr="00BD76AF">
        <w:t>]</w:t>
      </w:r>
    </w:p>
    <w:p w14:paraId="13E5C8C7" w14:textId="77777777" w:rsidR="00F332DA" w:rsidRPr="00BD76AF" w:rsidRDefault="00F332DA" w:rsidP="009C3494">
      <w:pPr>
        <w:ind w:leftChars="1600" w:left="3840"/>
        <w:rPr>
          <w:i/>
        </w:rPr>
      </w:pPr>
      <w:r w:rsidRPr="00BD76AF">
        <w:t>Entrepreneur (suggestion de proposition de modification n</w:t>
      </w:r>
      <w:r w:rsidRPr="00BD76AF">
        <w:rPr>
          <w:vertAlign w:val="superscript"/>
        </w:rPr>
        <w:t>o</w:t>
      </w:r>
      <w:r w:rsidRPr="00BD76AF">
        <w:t xml:space="preserve"> [</w:t>
      </w:r>
      <w:r w:rsidRPr="00BD76AF">
        <w:rPr>
          <w:i/>
        </w:rPr>
        <w:t>nombre</w:t>
      </w:r>
      <w:r w:rsidRPr="00BD76AF">
        <w:t>]) : [</w:t>
      </w:r>
      <w:r w:rsidRPr="00BD76AF">
        <w:rPr>
          <w:i/>
        </w:rPr>
        <w:t>indiquer le nom</w:t>
      </w:r>
      <w:r w:rsidRPr="00BD76AF">
        <w:t>]</w:t>
      </w:r>
    </w:p>
    <w:p w14:paraId="71542D51" w14:textId="77777777" w:rsidR="00F332DA" w:rsidRPr="00BD76AF" w:rsidRDefault="00F332DA" w:rsidP="00D11E4A">
      <w:pPr>
        <w:ind w:left="4320"/>
      </w:pPr>
    </w:p>
    <w:p w14:paraId="455B7104" w14:textId="77777777" w:rsidR="00F332DA" w:rsidRPr="00BD76AF" w:rsidRDefault="00F332DA" w:rsidP="00D11E4A">
      <w:r w:rsidRPr="00BD76AF">
        <w:t>4.</w:t>
      </w:r>
      <w:r w:rsidRPr="00BD76AF">
        <w:tab/>
        <w:t>Brève description de la modification : [</w:t>
      </w:r>
      <w:r w:rsidRPr="00BD76AF">
        <w:rPr>
          <w:i/>
        </w:rPr>
        <w:t>donner la description</w:t>
      </w:r>
      <w:r w:rsidRPr="00BD76AF">
        <w:t>]</w:t>
      </w:r>
    </w:p>
    <w:p w14:paraId="600B7234" w14:textId="77777777" w:rsidR="00F332DA" w:rsidRPr="00BD76AF" w:rsidRDefault="00F332DA" w:rsidP="00D11E4A">
      <w:pPr>
        <w:ind w:left="720" w:hanging="720"/>
      </w:pPr>
    </w:p>
    <w:p w14:paraId="3229273B" w14:textId="77777777" w:rsidR="00F332DA" w:rsidRPr="00BD76AF" w:rsidRDefault="00F332DA" w:rsidP="00D11E4A">
      <w:pPr>
        <w:ind w:left="720" w:hanging="720"/>
        <w:rPr>
          <w:i/>
        </w:rPr>
      </w:pPr>
      <w:r w:rsidRPr="00BD76AF">
        <w:t>5.</w:t>
      </w:r>
      <w:r w:rsidRPr="00BD76AF">
        <w:tab/>
        <w:t>Installations et/ou n</w:t>
      </w:r>
      <w:r w:rsidRPr="00BD76AF">
        <w:rPr>
          <w:vertAlign w:val="superscript"/>
        </w:rPr>
        <w:t>o</w:t>
      </w:r>
      <w:r w:rsidRPr="00BD76AF">
        <w:t xml:space="preserve"> de l’élément concernés par la modification demandée : [</w:t>
      </w:r>
      <w:r w:rsidRPr="00BD76AF">
        <w:rPr>
          <w:i/>
        </w:rPr>
        <w:t>donner la description</w:t>
      </w:r>
      <w:r w:rsidRPr="00BD76AF">
        <w:t>]</w:t>
      </w:r>
    </w:p>
    <w:p w14:paraId="6FD2E350" w14:textId="77777777" w:rsidR="00F332DA" w:rsidRPr="00BD76AF" w:rsidRDefault="00F332DA" w:rsidP="00D11E4A">
      <w:pPr>
        <w:ind w:left="720" w:hanging="720"/>
      </w:pPr>
    </w:p>
    <w:p w14:paraId="08676EF3" w14:textId="77777777" w:rsidR="00F332DA" w:rsidRPr="00BD76AF" w:rsidRDefault="00F332DA" w:rsidP="009C3494">
      <w:pPr>
        <w:pStyle w:val="32"/>
        <w:ind w:left="0"/>
        <w:rPr>
          <w:lang w:val="fr-FR"/>
        </w:rPr>
      </w:pPr>
      <w:r w:rsidRPr="00BD76AF">
        <w:rPr>
          <w:lang w:val="fr-FR"/>
        </w:rPr>
        <w:t>6.</w:t>
      </w:r>
      <w:r w:rsidRPr="00BD76AF">
        <w:rPr>
          <w:lang w:val="fr-FR"/>
        </w:rPr>
        <w:tab/>
        <w:t>Dessins et/ou documents techniques de référence pour la demande de modification :</w:t>
      </w:r>
    </w:p>
    <w:p w14:paraId="03180F90" w14:textId="77777777" w:rsidR="00F332DA" w:rsidRPr="00BD76AF" w:rsidRDefault="00F332DA" w:rsidP="0000527F">
      <w:pPr>
        <w:tabs>
          <w:tab w:val="left" w:pos="5040"/>
        </w:tabs>
        <w:ind w:left="72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209"/>
      </w:tblGrid>
      <w:tr w:rsidR="00F332DA" w:rsidRPr="00BD76AF" w14:paraId="5075F204" w14:textId="77777777" w:rsidTr="0000527F">
        <w:tc>
          <w:tcPr>
            <w:tcW w:w="4217" w:type="dxa"/>
            <w:shd w:val="clear" w:color="auto" w:fill="auto"/>
          </w:tcPr>
          <w:p w14:paraId="4D19AC07" w14:textId="77777777" w:rsidR="00F332DA" w:rsidRPr="00BD76AF" w:rsidRDefault="00F332DA" w:rsidP="0000527F">
            <w:pPr>
              <w:rPr>
                <w:lang w:val="en-GB"/>
              </w:rPr>
            </w:pPr>
            <w:r w:rsidRPr="00BD76AF">
              <w:t>Dessin n</w:t>
            </w:r>
            <w:r w:rsidRPr="00BD76AF">
              <w:rPr>
                <w:vertAlign w:val="superscript"/>
              </w:rPr>
              <w:t>o</w:t>
            </w:r>
            <w:r w:rsidRPr="00BD76AF">
              <w:t>/Document n</w:t>
            </w:r>
            <w:r w:rsidRPr="00BD76AF">
              <w:rPr>
                <w:vertAlign w:val="superscript"/>
              </w:rPr>
              <w:t>o</w:t>
            </w:r>
          </w:p>
        </w:tc>
        <w:tc>
          <w:tcPr>
            <w:tcW w:w="4327" w:type="dxa"/>
            <w:shd w:val="clear" w:color="auto" w:fill="auto"/>
          </w:tcPr>
          <w:p w14:paraId="6CE96288" w14:textId="77777777" w:rsidR="00F332DA" w:rsidRPr="00BD76AF" w:rsidRDefault="00F332DA" w:rsidP="0000527F">
            <w:pPr>
              <w:rPr>
                <w:lang w:val="en-GB"/>
              </w:rPr>
            </w:pPr>
            <w:r w:rsidRPr="00BD76AF">
              <w:rPr>
                <w:lang w:val="en-GB"/>
              </w:rPr>
              <w:t>Description</w:t>
            </w:r>
          </w:p>
        </w:tc>
      </w:tr>
      <w:tr w:rsidR="00F332DA" w:rsidRPr="00BD76AF" w14:paraId="0EBF5596" w14:textId="77777777" w:rsidTr="0000527F">
        <w:tc>
          <w:tcPr>
            <w:tcW w:w="4217" w:type="dxa"/>
            <w:shd w:val="clear" w:color="auto" w:fill="auto"/>
          </w:tcPr>
          <w:p w14:paraId="57D271F9" w14:textId="77777777" w:rsidR="00F332DA" w:rsidRPr="00BD76AF" w:rsidRDefault="00F332DA" w:rsidP="0000527F">
            <w:pPr>
              <w:rPr>
                <w:lang w:val="en-GB"/>
              </w:rPr>
            </w:pPr>
          </w:p>
        </w:tc>
        <w:tc>
          <w:tcPr>
            <w:tcW w:w="4327" w:type="dxa"/>
            <w:shd w:val="clear" w:color="auto" w:fill="auto"/>
          </w:tcPr>
          <w:p w14:paraId="3F6B3439" w14:textId="77777777" w:rsidR="00F332DA" w:rsidRPr="00BD76AF" w:rsidRDefault="00F332DA" w:rsidP="0000527F">
            <w:pPr>
              <w:rPr>
                <w:lang w:val="en-GB"/>
              </w:rPr>
            </w:pPr>
          </w:p>
        </w:tc>
      </w:tr>
      <w:tr w:rsidR="00F332DA" w:rsidRPr="00BD76AF" w14:paraId="29D9899E" w14:textId="77777777" w:rsidTr="0000527F">
        <w:tc>
          <w:tcPr>
            <w:tcW w:w="4217" w:type="dxa"/>
            <w:shd w:val="clear" w:color="auto" w:fill="auto"/>
          </w:tcPr>
          <w:p w14:paraId="5D431E07" w14:textId="77777777" w:rsidR="00F332DA" w:rsidRPr="00BD76AF" w:rsidRDefault="00F332DA" w:rsidP="0000527F">
            <w:pPr>
              <w:rPr>
                <w:lang w:val="en-GB"/>
              </w:rPr>
            </w:pPr>
          </w:p>
        </w:tc>
        <w:tc>
          <w:tcPr>
            <w:tcW w:w="4327" w:type="dxa"/>
            <w:shd w:val="clear" w:color="auto" w:fill="auto"/>
          </w:tcPr>
          <w:p w14:paraId="72E3D7C5" w14:textId="77777777" w:rsidR="00F332DA" w:rsidRPr="00BD76AF" w:rsidRDefault="00F332DA" w:rsidP="0000527F">
            <w:pPr>
              <w:rPr>
                <w:lang w:val="en-GB"/>
              </w:rPr>
            </w:pPr>
          </w:p>
        </w:tc>
      </w:tr>
      <w:tr w:rsidR="00F332DA" w:rsidRPr="00BD76AF" w14:paraId="4CD64C93" w14:textId="77777777" w:rsidTr="0000527F">
        <w:tc>
          <w:tcPr>
            <w:tcW w:w="4217" w:type="dxa"/>
            <w:shd w:val="clear" w:color="auto" w:fill="auto"/>
          </w:tcPr>
          <w:p w14:paraId="19813F5A" w14:textId="77777777" w:rsidR="00F332DA" w:rsidRPr="00BD76AF" w:rsidRDefault="00F332DA" w:rsidP="0000527F">
            <w:pPr>
              <w:rPr>
                <w:lang w:val="en-GB"/>
              </w:rPr>
            </w:pPr>
          </w:p>
        </w:tc>
        <w:tc>
          <w:tcPr>
            <w:tcW w:w="4327" w:type="dxa"/>
            <w:shd w:val="clear" w:color="auto" w:fill="auto"/>
          </w:tcPr>
          <w:p w14:paraId="0E682814" w14:textId="77777777" w:rsidR="00F332DA" w:rsidRPr="00BD76AF" w:rsidRDefault="00F332DA" w:rsidP="0000527F">
            <w:pPr>
              <w:rPr>
                <w:lang w:val="en-GB"/>
              </w:rPr>
            </w:pPr>
          </w:p>
        </w:tc>
      </w:tr>
    </w:tbl>
    <w:p w14:paraId="54447DEA" w14:textId="77777777" w:rsidR="00F332DA" w:rsidRPr="00BD76AF" w:rsidRDefault="00F332DA" w:rsidP="00D11E4A">
      <w:pPr>
        <w:rPr>
          <w:lang w:eastAsia="ja-JP"/>
        </w:rPr>
      </w:pPr>
    </w:p>
    <w:p w14:paraId="629F6408" w14:textId="77777777" w:rsidR="00F332DA" w:rsidRPr="00BD76AF" w:rsidRDefault="00F332DA" w:rsidP="00D11E4A">
      <w:pPr>
        <w:rPr>
          <w:lang w:eastAsia="ja-JP"/>
        </w:rPr>
      </w:pPr>
    </w:p>
    <w:p w14:paraId="17CD6192" w14:textId="77777777" w:rsidR="00F332DA" w:rsidRPr="00BD76AF" w:rsidRDefault="00F332DA" w:rsidP="00D11E4A">
      <w:pPr>
        <w:ind w:left="720" w:hanging="720"/>
      </w:pPr>
      <w:r w:rsidRPr="00BD76AF">
        <w:t>7.</w:t>
      </w:r>
      <w:r w:rsidRPr="00BD76AF">
        <w:tab/>
        <w:t>Conditions détaillées ou exigences spéciales relatives à la modification demandée : [</w:t>
      </w:r>
      <w:r w:rsidRPr="00BD76AF">
        <w:rPr>
          <w:i/>
        </w:rPr>
        <w:t>indiquer les conditions ou exigences</w:t>
      </w:r>
      <w:r w:rsidRPr="00BD76AF">
        <w:t>]</w:t>
      </w:r>
    </w:p>
    <w:p w14:paraId="3D24EFA3" w14:textId="77777777" w:rsidR="00F332DA" w:rsidRPr="00BD76AF" w:rsidRDefault="00F332DA" w:rsidP="00D11E4A"/>
    <w:p w14:paraId="4D0A12A3" w14:textId="77777777" w:rsidR="00F332DA" w:rsidRPr="00BD76AF" w:rsidRDefault="00F332DA" w:rsidP="00D11E4A">
      <w:pPr>
        <w:keepNext/>
      </w:pPr>
      <w:r w:rsidRPr="00BD76AF">
        <w:t>8.</w:t>
      </w:r>
      <w:r w:rsidRPr="00BD76AF">
        <w:tab/>
        <w:t>Termes et conditions - généralités :</w:t>
      </w:r>
    </w:p>
    <w:p w14:paraId="1679C990" w14:textId="77777777" w:rsidR="00F332DA" w:rsidRPr="00BD76AF" w:rsidRDefault="00F332DA" w:rsidP="00D11E4A">
      <w:pPr>
        <w:keepNext/>
        <w:ind w:left="1440" w:hanging="720"/>
      </w:pPr>
    </w:p>
    <w:p w14:paraId="593664B0" w14:textId="77777777" w:rsidR="00F332DA" w:rsidRPr="00BD76AF" w:rsidRDefault="00F332DA" w:rsidP="00D11E4A">
      <w:pPr>
        <w:keepNext/>
        <w:ind w:left="1440" w:hanging="720"/>
      </w:pPr>
      <w:r w:rsidRPr="00BD76AF">
        <w:t>a)</w:t>
      </w:r>
      <w:r w:rsidRPr="00BD76AF">
        <w:tab/>
        <w:t>L’estimation doit indiquer les incidences de la modification demandée sur le Montant du Marché.</w:t>
      </w:r>
    </w:p>
    <w:p w14:paraId="16C1A9CD" w14:textId="77777777" w:rsidR="00F332DA" w:rsidRPr="00BD76AF" w:rsidRDefault="00F332DA" w:rsidP="00D11E4A">
      <w:pPr>
        <w:ind w:left="1440" w:hanging="720"/>
      </w:pPr>
    </w:p>
    <w:p w14:paraId="1E9BEC99" w14:textId="77777777" w:rsidR="00F332DA" w:rsidRPr="00BD76AF" w:rsidRDefault="00F332DA" w:rsidP="00D11E4A">
      <w:pPr>
        <w:ind w:left="1440" w:hanging="720"/>
      </w:pPr>
      <w:r w:rsidRPr="00BD76AF">
        <w:t>b)</w:t>
      </w:r>
      <w:r w:rsidRPr="00BD76AF">
        <w:tab/>
        <w:t>L’estimation devra mentionner la demande de l’Entrepreneur d’un délai supplémentaire, le cas échéant, pour l’exécution de la modification demandée.</w:t>
      </w:r>
    </w:p>
    <w:p w14:paraId="5ED07C3A" w14:textId="77777777" w:rsidR="00F332DA" w:rsidRPr="00BD76AF" w:rsidRDefault="00F332DA" w:rsidP="00D11E4A">
      <w:pPr>
        <w:ind w:left="1440" w:hanging="720"/>
      </w:pPr>
    </w:p>
    <w:p w14:paraId="7F3AA451" w14:textId="77777777" w:rsidR="00F332DA" w:rsidRPr="00BD76AF" w:rsidRDefault="00F332DA" w:rsidP="00D11E4A">
      <w:pPr>
        <w:ind w:left="1440" w:hanging="720"/>
      </w:pPr>
      <w:r w:rsidRPr="00BD76AF">
        <w:t>c)</w:t>
      </w:r>
      <w:r w:rsidRPr="00BD76AF">
        <w:tab/>
        <w:t>Si l’ Entrepreneur a une opinion négative ou critique quant à l’adoption de la modification demandée en raison de problèmes de conformité aux autres dispositions du Marché ou de problèmes de sécurité des Équipements ou des Installations, le Maître d’ouvrage devra en être informé dans la proposition.</w:t>
      </w:r>
    </w:p>
    <w:p w14:paraId="07BEC32C" w14:textId="77777777" w:rsidR="00F332DA" w:rsidRPr="00BD76AF" w:rsidRDefault="00F332DA" w:rsidP="00D11E4A">
      <w:pPr>
        <w:ind w:left="1440" w:hanging="720"/>
      </w:pPr>
    </w:p>
    <w:p w14:paraId="3C521952" w14:textId="77777777" w:rsidR="00F332DA" w:rsidRPr="00BD76AF" w:rsidRDefault="00F332DA" w:rsidP="00D11E4A">
      <w:pPr>
        <w:ind w:left="1440" w:hanging="720"/>
      </w:pPr>
      <w:r w:rsidRPr="00BD76AF">
        <w:t>d)</w:t>
      </w:r>
      <w:r w:rsidRPr="00BD76AF">
        <w:tab/>
        <w:t>Toute augmentation ou diminution du travail de l’Entrepreneur en terme de personnel devra être calculée.</w:t>
      </w:r>
    </w:p>
    <w:p w14:paraId="34A22A51" w14:textId="77777777" w:rsidR="00F332DA" w:rsidRPr="00BD76AF" w:rsidRDefault="00F332DA" w:rsidP="00D11E4A">
      <w:pPr>
        <w:ind w:left="1440" w:hanging="720"/>
      </w:pPr>
    </w:p>
    <w:p w14:paraId="4C3E42DC" w14:textId="77777777" w:rsidR="00F332DA" w:rsidRPr="00BD76AF" w:rsidRDefault="00F332DA" w:rsidP="00D11E4A">
      <w:pPr>
        <w:ind w:left="1440" w:hanging="720"/>
      </w:pPr>
      <w:r w:rsidRPr="00BD76AF">
        <w:t>e)</w:t>
      </w:r>
      <w:r w:rsidRPr="00BD76AF">
        <w:tab/>
        <w:t>L’Entrepreneur pourra commencer l’exécution du travail correspondant à la modification demandée après acceptation et confirmation de son montant et de sa nature par écrit.</w:t>
      </w:r>
    </w:p>
    <w:p w14:paraId="0B97DF2C" w14:textId="77777777" w:rsidR="00F332DA" w:rsidRPr="00BD76AF" w:rsidRDefault="00F332DA" w:rsidP="009B6B2E">
      <w:pPr>
        <w:spacing w:after="200"/>
      </w:pPr>
    </w:p>
    <w:p w14:paraId="5C594804" w14:textId="77777777" w:rsidR="00F332DA" w:rsidRPr="00BD76AF" w:rsidRDefault="00F332DA" w:rsidP="00D11E4A">
      <w:pPr>
        <w:tabs>
          <w:tab w:val="left" w:pos="7200"/>
        </w:tabs>
      </w:pPr>
      <w:r w:rsidRPr="00BD76AF">
        <w:rPr>
          <w:u w:val="single"/>
        </w:rPr>
        <w:tab/>
      </w:r>
    </w:p>
    <w:p w14:paraId="682CA1A9" w14:textId="77777777" w:rsidR="00F332DA" w:rsidRPr="00BD76AF" w:rsidRDefault="00F332DA" w:rsidP="00D11E4A">
      <w:r w:rsidRPr="00BD76AF">
        <w:t>(nom du Maître d’ouvrage)</w:t>
      </w:r>
    </w:p>
    <w:p w14:paraId="1342B2EE" w14:textId="77777777" w:rsidR="00F332DA" w:rsidRPr="00BD76AF" w:rsidRDefault="00F332DA" w:rsidP="00D11E4A"/>
    <w:p w14:paraId="00D70279" w14:textId="77777777" w:rsidR="00F332DA" w:rsidRPr="00BD76AF" w:rsidRDefault="00F332DA" w:rsidP="00D11E4A">
      <w:pPr>
        <w:tabs>
          <w:tab w:val="left" w:pos="7200"/>
        </w:tabs>
      </w:pPr>
      <w:r w:rsidRPr="00BD76AF">
        <w:rPr>
          <w:u w:val="single"/>
        </w:rPr>
        <w:tab/>
      </w:r>
    </w:p>
    <w:p w14:paraId="53867D4D" w14:textId="77777777" w:rsidR="00F332DA" w:rsidRPr="00BD76AF" w:rsidRDefault="00F332DA" w:rsidP="00D11E4A">
      <w:r w:rsidRPr="00BD76AF">
        <w:t>(signature)</w:t>
      </w:r>
    </w:p>
    <w:p w14:paraId="6981C64B" w14:textId="77777777" w:rsidR="00F332DA" w:rsidRPr="00BD76AF" w:rsidRDefault="00F332DA" w:rsidP="00D11E4A"/>
    <w:p w14:paraId="32A10FF3" w14:textId="77777777" w:rsidR="00F332DA" w:rsidRPr="00BD76AF" w:rsidRDefault="00F332DA" w:rsidP="00D11E4A">
      <w:pPr>
        <w:tabs>
          <w:tab w:val="left" w:pos="7200"/>
        </w:tabs>
      </w:pPr>
      <w:r w:rsidRPr="00BD76AF">
        <w:rPr>
          <w:u w:val="single"/>
        </w:rPr>
        <w:tab/>
      </w:r>
    </w:p>
    <w:p w14:paraId="67EDBBE9" w14:textId="77777777" w:rsidR="00F332DA" w:rsidRPr="00BD76AF" w:rsidRDefault="00F332DA" w:rsidP="00D11E4A">
      <w:r w:rsidRPr="00BD76AF">
        <w:t>(nom du signataire)</w:t>
      </w:r>
    </w:p>
    <w:p w14:paraId="264EC34C" w14:textId="77777777" w:rsidR="00F332DA" w:rsidRPr="00BD76AF" w:rsidRDefault="00F332DA" w:rsidP="00D11E4A"/>
    <w:p w14:paraId="36A6F26F" w14:textId="77777777" w:rsidR="00F332DA" w:rsidRPr="00BD76AF" w:rsidRDefault="00F332DA" w:rsidP="00D11E4A">
      <w:pPr>
        <w:tabs>
          <w:tab w:val="left" w:pos="7200"/>
        </w:tabs>
      </w:pPr>
      <w:r w:rsidRPr="00BD76AF">
        <w:rPr>
          <w:u w:val="single"/>
        </w:rPr>
        <w:tab/>
      </w:r>
    </w:p>
    <w:p w14:paraId="3DAF4C2A" w14:textId="77777777" w:rsidR="00F332DA" w:rsidRPr="00BD76AF" w:rsidRDefault="00F332DA" w:rsidP="00D11E4A">
      <w:r w:rsidRPr="00BD76AF">
        <w:t>(titre du signataire)</w:t>
      </w:r>
    </w:p>
    <w:p w14:paraId="0909B7CF" w14:textId="77777777" w:rsidR="00F332DA" w:rsidRPr="00BD76AF" w:rsidRDefault="00F332DA" w:rsidP="00D11E4A">
      <w:pPr>
        <w:jc w:val="center"/>
      </w:pPr>
    </w:p>
    <w:p w14:paraId="54DD3DCA" w14:textId="77777777" w:rsidR="00F332DA" w:rsidRPr="00BD76AF" w:rsidRDefault="00F332DA" w:rsidP="00D11E4A">
      <w:pPr>
        <w:jc w:val="center"/>
      </w:pPr>
    </w:p>
    <w:p w14:paraId="4698540F" w14:textId="77777777" w:rsidR="00F332DA" w:rsidRPr="00BD76AF" w:rsidRDefault="00F332DA" w:rsidP="00E819E4">
      <w:pPr>
        <w:pStyle w:val="SecVI-Header3"/>
        <w:rPr>
          <w:lang w:val="fr-FR"/>
        </w:rPr>
      </w:pPr>
      <w:r w:rsidRPr="00BD76AF">
        <w:rPr>
          <w:lang w:val="fr-FR"/>
        </w:rPr>
        <w:br w:type="page"/>
      </w:r>
      <w:bookmarkStart w:id="726" w:name="_Toc440701672"/>
      <w:bookmarkStart w:id="727" w:name="_Toc440701988"/>
      <w:bookmarkStart w:id="728" w:name="_Toc357505478"/>
      <w:bookmarkStart w:id="729" w:name="_Toc104294481"/>
      <w:r w:rsidRPr="00BD76AF">
        <w:rPr>
          <w:lang w:val="fr-FR"/>
        </w:rPr>
        <w:t>Formulaire 2.  Estimation de la proposition de modification</w:t>
      </w:r>
      <w:bookmarkEnd w:id="726"/>
      <w:bookmarkEnd w:id="727"/>
      <w:bookmarkEnd w:id="728"/>
      <w:bookmarkEnd w:id="729"/>
    </w:p>
    <w:p w14:paraId="5CDDAFF2" w14:textId="77777777" w:rsidR="00F332DA" w:rsidRPr="00BD76AF" w:rsidRDefault="00F332DA" w:rsidP="008C1D4B">
      <w:pPr>
        <w:jc w:val="center"/>
      </w:pPr>
      <w:r w:rsidRPr="00BD76AF">
        <w:t xml:space="preserve">(Papier à en-tête de </w:t>
      </w:r>
      <w:r w:rsidRPr="00BD76AF">
        <w:rPr>
          <w:szCs w:val="24"/>
        </w:rPr>
        <w:t>l’Entrepreneur</w:t>
      </w:r>
      <w:r w:rsidRPr="00BD76AF">
        <w:t>)</w:t>
      </w:r>
    </w:p>
    <w:p w14:paraId="3FB3B15A" w14:textId="77777777" w:rsidR="00F332DA" w:rsidRPr="00BD76AF" w:rsidRDefault="00F332DA" w:rsidP="008C1D4B">
      <w:pPr>
        <w:jc w:val="center"/>
      </w:pPr>
    </w:p>
    <w:p w14:paraId="6BA7ACC0" w14:textId="77777777" w:rsidR="00F332DA" w:rsidRPr="00BD76AF" w:rsidRDefault="00F332DA" w:rsidP="008C1D4B">
      <w:pPr>
        <w:jc w:val="center"/>
      </w:pPr>
    </w:p>
    <w:p w14:paraId="1A9B2089" w14:textId="77777777" w:rsidR="00F332DA" w:rsidRPr="00BD76AF" w:rsidRDefault="00F332DA" w:rsidP="008C1D4B">
      <w:pPr>
        <w:tabs>
          <w:tab w:val="left" w:pos="6660"/>
          <w:tab w:val="left" w:pos="8640"/>
          <w:tab w:val="right" w:pos="8760"/>
        </w:tabs>
        <w:wordWrap w:val="0"/>
        <w:jc w:val="right"/>
      </w:pPr>
      <w:r w:rsidRPr="00BD76AF">
        <w:t>Date : [</w:t>
      </w:r>
      <w:r w:rsidRPr="00BD76AF">
        <w:rPr>
          <w:i/>
        </w:rPr>
        <w:t>indiquer jour, mois, année</w:t>
      </w:r>
      <w:r w:rsidRPr="00BD76AF">
        <w:t>]</w:t>
      </w:r>
    </w:p>
    <w:p w14:paraId="4C3BF911" w14:textId="77777777" w:rsidR="00F332DA" w:rsidRPr="00BD76AF" w:rsidRDefault="00F332DA" w:rsidP="008C1D4B"/>
    <w:p w14:paraId="33CEDE17" w14:textId="77777777" w:rsidR="00F332DA" w:rsidRPr="00BD76AF" w:rsidRDefault="00F332DA" w:rsidP="008C1D4B">
      <w:r w:rsidRPr="00BD76AF">
        <w:rPr>
          <w:rFonts w:hint="eastAsia"/>
        </w:rPr>
        <w:t>À</w:t>
      </w:r>
      <w:r w:rsidRPr="00BD76AF">
        <w:t> : [</w:t>
      </w:r>
      <w:r w:rsidRPr="00BD76AF">
        <w:rPr>
          <w:i/>
        </w:rPr>
        <w:t>indiquer les</w:t>
      </w:r>
      <w:r w:rsidRPr="00BD76AF">
        <w:t xml:space="preserve"> </w:t>
      </w:r>
      <w:r w:rsidRPr="00BD76AF">
        <w:rPr>
          <w:i/>
        </w:rPr>
        <w:t>nom et adresse de l’Entrepreneur</w:t>
      </w:r>
      <w:r w:rsidRPr="00BD76AF">
        <w:t>]</w:t>
      </w:r>
    </w:p>
    <w:p w14:paraId="222AD4D3" w14:textId="77777777" w:rsidR="00F332DA" w:rsidRPr="00BD76AF" w:rsidRDefault="00F332DA" w:rsidP="008C1D4B"/>
    <w:p w14:paraId="60336C88" w14:textId="77777777" w:rsidR="00F332DA" w:rsidRPr="00BD76AF" w:rsidRDefault="00F332DA" w:rsidP="008C1D4B">
      <w:r w:rsidRPr="00BD76AF">
        <w:rPr>
          <w:rFonts w:hint="eastAsia"/>
        </w:rPr>
        <w:t>À</w:t>
      </w:r>
      <w:r w:rsidRPr="00BD76AF">
        <w:t xml:space="preserve"> l’attention de : [</w:t>
      </w:r>
      <w:r w:rsidRPr="00BD76AF">
        <w:rPr>
          <w:i/>
        </w:rPr>
        <w:t>indiquer les nom et titre</w:t>
      </w:r>
      <w:r w:rsidRPr="00BD76AF">
        <w:t>]</w:t>
      </w:r>
    </w:p>
    <w:p w14:paraId="2FD77AFE" w14:textId="77777777" w:rsidR="00F332DA" w:rsidRPr="00BD76AF" w:rsidRDefault="00F332DA" w:rsidP="008C1D4B"/>
    <w:p w14:paraId="78963717" w14:textId="77777777" w:rsidR="00F332DA" w:rsidRPr="00BD76AF" w:rsidRDefault="00F332DA" w:rsidP="008C1D4B">
      <w:r w:rsidRPr="00BD76AF">
        <w:t>Nom du Marché : [</w:t>
      </w:r>
      <w:r w:rsidRPr="00BD76AF">
        <w:rPr>
          <w:i/>
        </w:rPr>
        <w:t>indiquer le nom du Marché</w:t>
      </w:r>
      <w:r w:rsidRPr="00BD76AF">
        <w:t>]</w:t>
      </w:r>
    </w:p>
    <w:p w14:paraId="35CC5EDF" w14:textId="77777777" w:rsidR="00F332DA" w:rsidRPr="00BD76AF" w:rsidRDefault="00F332DA" w:rsidP="008C1D4B">
      <w:r w:rsidRPr="00BD76AF">
        <w:t>Marché n</w:t>
      </w:r>
      <w:r w:rsidRPr="00BD76AF">
        <w:rPr>
          <w:vertAlign w:val="superscript"/>
        </w:rPr>
        <w:t>o</w:t>
      </w:r>
      <w:r w:rsidRPr="00BD76AF">
        <w:t> : [</w:t>
      </w:r>
      <w:r w:rsidRPr="00BD76AF">
        <w:rPr>
          <w:i/>
        </w:rPr>
        <w:t>indiquer le numéro du Marché</w:t>
      </w:r>
      <w:r w:rsidRPr="00BD76AF">
        <w:t>]</w:t>
      </w:r>
    </w:p>
    <w:p w14:paraId="7C60720A" w14:textId="77777777" w:rsidR="00F332DA" w:rsidRPr="00BD76AF" w:rsidRDefault="00F332DA" w:rsidP="008C1D4B"/>
    <w:p w14:paraId="1B03F274" w14:textId="77777777" w:rsidR="00F332DA" w:rsidRPr="00BD76AF" w:rsidRDefault="00F332DA" w:rsidP="008C1D4B">
      <w:r w:rsidRPr="00BD76AF">
        <w:t>Mesdames/Messieurs,</w:t>
      </w:r>
    </w:p>
    <w:p w14:paraId="017919B2" w14:textId="77777777" w:rsidR="00F332DA" w:rsidRPr="00BD76AF" w:rsidRDefault="00F332DA" w:rsidP="008C1D4B"/>
    <w:p w14:paraId="1DDB7511" w14:textId="77777777" w:rsidR="00F332DA" w:rsidRPr="00BD76AF" w:rsidRDefault="00F332DA" w:rsidP="008C1D4B">
      <w:r w:rsidRPr="00BD76AF">
        <w:t>En référence à votre demande de proposition de modification, nous avons le plaisir de vous notifier le coût approximatif de l’élaboration de la proposition de modification ci</w:t>
      </w:r>
      <w:r w:rsidRPr="00BD76AF">
        <w:noBreakHyphen/>
        <w:t>dessous référencée conformément à l’Article 39.2.1 des CG du Marché. Nous vous confirmons que votre accord sur le coût d’élaboration de la proposition de modification conformément à l’Article 39.2.2 des CG est un préalable à l’estimation du coût de la modification elle-même.</w:t>
      </w:r>
    </w:p>
    <w:p w14:paraId="0726D7E2" w14:textId="77777777" w:rsidR="00F332DA" w:rsidRPr="00BD76AF" w:rsidRDefault="00F332DA" w:rsidP="008C1D4B"/>
    <w:p w14:paraId="7834BBBF" w14:textId="77777777" w:rsidR="00F332DA" w:rsidRPr="00BD76AF" w:rsidRDefault="00F332DA" w:rsidP="008C1D4B">
      <w:r w:rsidRPr="00BD76AF">
        <w:t>1.</w:t>
      </w:r>
      <w:r w:rsidRPr="00BD76AF">
        <w:tab/>
        <w:t>Titre de la modification : [</w:t>
      </w:r>
      <w:r w:rsidRPr="00BD76AF">
        <w:rPr>
          <w:i/>
        </w:rPr>
        <w:t>indiquer le titre</w:t>
      </w:r>
      <w:r w:rsidRPr="00BD76AF">
        <w:t>]</w:t>
      </w:r>
    </w:p>
    <w:p w14:paraId="1A139140" w14:textId="77777777" w:rsidR="00F332DA" w:rsidRPr="00BD76AF" w:rsidRDefault="00F332DA" w:rsidP="008C1D4B"/>
    <w:p w14:paraId="7BB8140C" w14:textId="77777777" w:rsidR="00F332DA" w:rsidRPr="00BD76AF" w:rsidRDefault="00F332DA" w:rsidP="008C1D4B">
      <w:r w:rsidRPr="00BD76AF">
        <w:t>2.</w:t>
      </w:r>
      <w:r w:rsidRPr="00BD76AF">
        <w:tab/>
        <w:t>Demande de modification n</w:t>
      </w:r>
      <w:r w:rsidRPr="00BD76AF">
        <w:rPr>
          <w:vertAlign w:val="superscript"/>
        </w:rPr>
        <w:t>o</w:t>
      </w:r>
      <w:r w:rsidRPr="00BD76AF">
        <w:t>/rév. : [</w:t>
      </w:r>
      <w:r w:rsidRPr="00BD76AF">
        <w:rPr>
          <w:i/>
        </w:rPr>
        <w:t>indiquer le numéro</w:t>
      </w:r>
      <w:r w:rsidRPr="00BD76AF">
        <w:t>]</w:t>
      </w:r>
    </w:p>
    <w:p w14:paraId="5FE5FB5B" w14:textId="77777777" w:rsidR="00F332DA" w:rsidRPr="00BD76AF" w:rsidRDefault="00F332DA" w:rsidP="008C1D4B"/>
    <w:p w14:paraId="14E8BA96" w14:textId="77777777" w:rsidR="00F332DA" w:rsidRPr="00BD76AF" w:rsidRDefault="00F332DA" w:rsidP="008C1D4B">
      <w:r w:rsidRPr="00BD76AF">
        <w:t>3.</w:t>
      </w:r>
      <w:r w:rsidRPr="00BD76AF">
        <w:tab/>
        <w:t>Brève description de la modification : [</w:t>
      </w:r>
      <w:r w:rsidRPr="00BD76AF">
        <w:rPr>
          <w:i/>
        </w:rPr>
        <w:t>donner la description</w:t>
      </w:r>
      <w:r w:rsidRPr="00BD76AF">
        <w:t>]</w:t>
      </w:r>
    </w:p>
    <w:p w14:paraId="3F4ACEE1" w14:textId="77777777" w:rsidR="00F332DA" w:rsidRPr="00BD76AF" w:rsidRDefault="00F332DA" w:rsidP="008C1D4B"/>
    <w:p w14:paraId="33EF6508" w14:textId="77777777" w:rsidR="00F332DA" w:rsidRPr="00BD76AF" w:rsidRDefault="00F332DA" w:rsidP="008C1D4B">
      <w:r w:rsidRPr="00BD76AF">
        <w:t>4.</w:t>
      </w:r>
      <w:r w:rsidRPr="00BD76AF">
        <w:tab/>
        <w:t>Conséquences prévues de la modification : [</w:t>
      </w:r>
      <w:r w:rsidRPr="00BD76AF">
        <w:rPr>
          <w:i/>
        </w:rPr>
        <w:t>indiquer les conséquences</w:t>
      </w:r>
      <w:r w:rsidRPr="00BD76AF">
        <w:t>]</w:t>
      </w:r>
    </w:p>
    <w:p w14:paraId="0203AED7" w14:textId="77777777" w:rsidR="00F332DA" w:rsidRPr="00BD76AF" w:rsidRDefault="00F332DA" w:rsidP="008C1D4B"/>
    <w:p w14:paraId="625713CB" w14:textId="77777777" w:rsidR="00F332DA" w:rsidRPr="00BD76AF" w:rsidRDefault="00F332DA" w:rsidP="008C1D4B">
      <w:r w:rsidRPr="00BD76AF">
        <w:t>5.</w:t>
      </w:r>
      <w:r w:rsidRPr="00BD76AF">
        <w:tab/>
        <w:t>Coût d’élaboration de la proposition de modification : [</w:t>
      </w:r>
      <w:r w:rsidRPr="00BD76AF">
        <w:rPr>
          <w:i/>
        </w:rPr>
        <w:t>indiquer le coût</w:t>
      </w:r>
      <w:r w:rsidRPr="00BD76AF">
        <w:t>]</w:t>
      </w:r>
      <w:r w:rsidRPr="00BD76AF">
        <w:rPr>
          <w:rStyle w:val="a9"/>
        </w:rPr>
        <w:footnoteReference w:id="1"/>
      </w:r>
    </w:p>
    <w:p w14:paraId="419F3A99" w14:textId="77777777" w:rsidR="00F332DA" w:rsidRPr="00BD76AF" w:rsidRDefault="00F332DA" w:rsidP="008C1D4B">
      <w:pPr>
        <w:tabs>
          <w:tab w:val="left" w:pos="1440"/>
          <w:tab w:val="left" w:pos="7200"/>
        </w:tabs>
        <w:ind w:left="720"/>
      </w:pPr>
    </w:p>
    <w:p w14:paraId="1497E6FC" w14:textId="77777777" w:rsidR="00F332DA" w:rsidRPr="00BD76AF" w:rsidRDefault="00F332DA" w:rsidP="008C1D4B">
      <w:pPr>
        <w:tabs>
          <w:tab w:val="left" w:pos="1440"/>
          <w:tab w:val="left" w:pos="7200"/>
        </w:tabs>
        <w:ind w:left="720"/>
      </w:pPr>
      <w:r w:rsidRPr="00BD76AF">
        <w:t>a)</w:t>
      </w:r>
      <w:r w:rsidRPr="00BD76AF">
        <w:tab/>
        <w:t>Ingénierie</w:t>
      </w:r>
      <w:r w:rsidRPr="00BD76AF">
        <w:tab/>
        <w:t>(montant)</w:t>
      </w:r>
    </w:p>
    <w:p w14:paraId="22851E80" w14:textId="77777777" w:rsidR="00F332DA" w:rsidRPr="00BD76AF" w:rsidRDefault="00F332DA" w:rsidP="008C1D4B">
      <w:pPr>
        <w:tabs>
          <w:tab w:val="left" w:pos="1440"/>
          <w:tab w:val="left" w:pos="7200"/>
        </w:tabs>
        <w:ind w:left="720"/>
      </w:pPr>
    </w:p>
    <w:p w14:paraId="67EFDCE1" w14:textId="77777777" w:rsidR="00F332DA" w:rsidRPr="00BD76AF" w:rsidRDefault="00F332DA" w:rsidP="008C1D4B">
      <w:pPr>
        <w:tabs>
          <w:tab w:val="left" w:pos="2160"/>
          <w:tab w:val="left" w:pos="3600"/>
          <w:tab w:val="left" w:pos="4320"/>
          <w:tab w:val="left" w:pos="5400"/>
          <w:tab w:val="left" w:pos="7200"/>
          <w:tab w:val="left" w:pos="7920"/>
        </w:tabs>
        <w:ind w:left="2160" w:hanging="720"/>
      </w:pPr>
      <w:r w:rsidRPr="00BD76AF">
        <w:t>i)</w:t>
      </w:r>
      <w:r w:rsidRPr="00BD76AF">
        <w:tab/>
        <w:t>Ingénieur</w:t>
      </w:r>
      <w:r w:rsidRPr="00BD76AF">
        <w:tab/>
      </w:r>
      <w:r w:rsidRPr="00BD76AF">
        <w:rPr>
          <w:u w:val="single"/>
        </w:rPr>
        <w:tab/>
      </w:r>
      <w:r w:rsidRPr="00BD76AF">
        <w:t xml:space="preserve"> h x </w:t>
      </w:r>
      <w:r w:rsidRPr="00BD76AF">
        <w:rPr>
          <w:u w:val="single"/>
        </w:rPr>
        <w:tab/>
      </w:r>
      <w:r w:rsidRPr="00BD76AF">
        <w:t xml:space="preserve"> taux horaire =</w:t>
      </w:r>
      <w:r w:rsidRPr="00BD76AF">
        <w:tab/>
      </w:r>
      <w:r w:rsidRPr="00BD76AF">
        <w:rPr>
          <w:u w:val="single"/>
        </w:rPr>
        <w:tab/>
      </w:r>
    </w:p>
    <w:p w14:paraId="77F98F68" w14:textId="77777777" w:rsidR="00F332DA" w:rsidRPr="00BD76AF" w:rsidRDefault="00F332DA" w:rsidP="008C1D4B">
      <w:pPr>
        <w:tabs>
          <w:tab w:val="left" w:pos="2160"/>
          <w:tab w:val="left" w:pos="3600"/>
          <w:tab w:val="left" w:pos="4320"/>
          <w:tab w:val="left" w:pos="5400"/>
          <w:tab w:val="left" w:pos="7200"/>
          <w:tab w:val="left" w:pos="7920"/>
        </w:tabs>
        <w:ind w:left="2160" w:hanging="720"/>
      </w:pPr>
      <w:r w:rsidRPr="00BD76AF">
        <w:t>ii)</w:t>
      </w:r>
      <w:r w:rsidRPr="00BD76AF">
        <w:tab/>
        <w:t>Dessinateur</w:t>
      </w:r>
      <w:r w:rsidRPr="00BD76AF">
        <w:tab/>
      </w:r>
      <w:r w:rsidRPr="00BD76AF">
        <w:rPr>
          <w:u w:val="single"/>
        </w:rPr>
        <w:tab/>
      </w:r>
      <w:r w:rsidRPr="00BD76AF">
        <w:t xml:space="preserve"> h x </w:t>
      </w:r>
      <w:r w:rsidRPr="00BD76AF">
        <w:rPr>
          <w:u w:val="single"/>
        </w:rPr>
        <w:tab/>
      </w:r>
      <w:r w:rsidRPr="00BD76AF">
        <w:t xml:space="preserve"> taux horaire =</w:t>
      </w:r>
      <w:r w:rsidRPr="00BD76AF">
        <w:tab/>
      </w:r>
      <w:r w:rsidRPr="00BD76AF">
        <w:rPr>
          <w:u w:val="single"/>
        </w:rPr>
        <w:tab/>
      </w:r>
    </w:p>
    <w:p w14:paraId="3BFF89A9" w14:textId="77777777" w:rsidR="00F332DA" w:rsidRPr="00BD76AF" w:rsidRDefault="00F332DA" w:rsidP="008C1D4B">
      <w:pPr>
        <w:tabs>
          <w:tab w:val="left" w:pos="3600"/>
          <w:tab w:val="left" w:pos="4320"/>
          <w:tab w:val="left" w:pos="7200"/>
        </w:tabs>
        <w:ind w:left="2160"/>
      </w:pPr>
      <w:r w:rsidRPr="00BD76AF">
        <w:t>Sous-total</w:t>
      </w:r>
      <w:r w:rsidRPr="00BD76AF">
        <w:tab/>
      </w:r>
      <w:r w:rsidRPr="00BD76AF">
        <w:rPr>
          <w:u w:val="single"/>
        </w:rPr>
        <w:tab/>
      </w:r>
      <w:r w:rsidRPr="00BD76AF">
        <w:t xml:space="preserve"> h</w:t>
      </w:r>
      <w:r w:rsidRPr="00BD76AF">
        <w:tab/>
      </w:r>
      <w:r w:rsidRPr="00BD76AF">
        <w:rPr>
          <w:u w:val="single"/>
        </w:rPr>
        <w:tab/>
      </w:r>
    </w:p>
    <w:p w14:paraId="5550DC0E" w14:textId="77777777" w:rsidR="00F332DA" w:rsidRPr="00BD76AF" w:rsidRDefault="00F332DA" w:rsidP="008C1D4B">
      <w:pPr>
        <w:tabs>
          <w:tab w:val="left" w:pos="7200"/>
          <w:tab w:val="left" w:pos="7920"/>
        </w:tabs>
        <w:ind w:left="2160"/>
      </w:pPr>
    </w:p>
    <w:p w14:paraId="1A16DFC0" w14:textId="77777777" w:rsidR="00F332DA" w:rsidRPr="00BD76AF" w:rsidRDefault="00F332DA" w:rsidP="008C1D4B">
      <w:pPr>
        <w:tabs>
          <w:tab w:val="left" w:pos="7200"/>
          <w:tab w:val="left" w:pos="7920"/>
        </w:tabs>
        <w:ind w:left="2160"/>
      </w:pPr>
      <w:r w:rsidRPr="00BD76AF">
        <w:t>Coût total de l’ingénierie</w:t>
      </w:r>
      <w:r w:rsidRPr="00BD76AF">
        <w:tab/>
      </w:r>
      <w:r w:rsidRPr="00BD76AF">
        <w:rPr>
          <w:u w:val="single"/>
        </w:rPr>
        <w:tab/>
      </w:r>
    </w:p>
    <w:p w14:paraId="7A929A58" w14:textId="77777777" w:rsidR="00F332DA" w:rsidRPr="00BD76AF" w:rsidRDefault="00F332DA" w:rsidP="008C1D4B">
      <w:pPr>
        <w:tabs>
          <w:tab w:val="left" w:pos="1440"/>
          <w:tab w:val="left" w:pos="7200"/>
          <w:tab w:val="left" w:pos="7920"/>
        </w:tabs>
        <w:ind w:left="720"/>
      </w:pPr>
    </w:p>
    <w:p w14:paraId="65381AC0" w14:textId="77777777" w:rsidR="00F332DA" w:rsidRPr="00BD76AF" w:rsidRDefault="00F332DA" w:rsidP="008C1D4B">
      <w:pPr>
        <w:keepNext/>
        <w:keepLines/>
        <w:tabs>
          <w:tab w:val="left" w:pos="1440"/>
          <w:tab w:val="left" w:pos="7200"/>
          <w:tab w:val="left" w:pos="7920"/>
        </w:tabs>
        <w:ind w:left="720"/>
      </w:pPr>
      <w:r w:rsidRPr="00BD76AF">
        <w:t>b)</w:t>
      </w:r>
      <w:r w:rsidRPr="00BD76AF">
        <w:tab/>
        <w:t>Autres coûts</w:t>
      </w:r>
      <w:r w:rsidRPr="00BD76AF">
        <w:tab/>
      </w:r>
      <w:r w:rsidRPr="00BD76AF">
        <w:rPr>
          <w:u w:val="single"/>
        </w:rPr>
        <w:tab/>
      </w:r>
    </w:p>
    <w:p w14:paraId="34673076" w14:textId="77777777" w:rsidR="00F332DA" w:rsidRPr="00BD76AF" w:rsidRDefault="00F332DA" w:rsidP="008C1D4B">
      <w:pPr>
        <w:keepNext/>
        <w:keepLines/>
        <w:tabs>
          <w:tab w:val="left" w:pos="7200"/>
          <w:tab w:val="left" w:pos="7920"/>
        </w:tabs>
        <w:ind w:left="720"/>
      </w:pPr>
    </w:p>
    <w:p w14:paraId="75BAEA3E" w14:textId="77777777" w:rsidR="00F332DA" w:rsidRPr="00BD76AF" w:rsidRDefault="00F332DA" w:rsidP="008C1D4B">
      <w:pPr>
        <w:keepNext/>
        <w:keepLines/>
        <w:tabs>
          <w:tab w:val="left" w:pos="7200"/>
          <w:tab w:val="left" w:pos="7920"/>
        </w:tabs>
        <w:ind w:left="720"/>
      </w:pPr>
      <w:r w:rsidRPr="00BD76AF">
        <w:t>Coût total a) + b)</w:t>
      </w:r>
      <w:r w:rsidRPr="00BD76AF">
        <w:tab/>
      </w:r>
      <w:r w:rsidRPr="00BD76AF">
        <w:rPr>
          <w:u w:val="single"/>
        </w:rPr>
        <w:tab/>
      </w:r>
    </w:p>
    <w:p w14:paraId="1EB94263" w14:textId="77777777" w:rsidR="00F332DA" w:rsidRPr="00BD76AF" w:rsidRDefault="00F332DA" w:rsidP="008C1D4B"/>
    <w:p w14:paraId="44349F2A" w14:textId="77777777" w:rsidR="00F332DA" w:rsidRPr="00BD76AF" w:rsidRDefault="00F332DA" w:rsidP="008C1D4B"/>
    <w:p w14:paraId="31CAE7E0" w14:textId="77777777" w:rsidR="00F332DA" w:rsidRPr="00BD76AF" w:rsidRDefault="00F332DA" w:rsidP="008C1D4B"/>
    <w:p w14:paraId="502E3924" w14:textId="77777777" w:rsidR="00F332DA" w:rsidRPr="00BD76AF" w:rsidRDefault="00F332DA" w:rsidP="008C1D4B">
      <w:pPr>
        <w:tabs>
          <w:tab w:val="left" w:pos="7200"/>
        </w:tabs>
      </w:pPr>
      <w:r w:rsidRPr="00BD76AF">
        <w:rPr>
          <w:u w:val="single"/>
        </w:rPr>
        <w:tab/>
      </w:r>
    </w:p>
    <w:p w14:paraId="1852FFD5" w14:textId="77777777" w:rsidR="00F332DA" w:rsidRPr="00BD76AF" w:rsidRDefault="00F332DA" w:rsidP="008C1D4B">
      <w:r w:rsidRPr="00BD76AF">
        <w:t xml:space="preserve">(nom de </w:t>
      </w:r>
      <w:r w:rsidRPr="00BD76AF">
        <w:rPr>
          <w:szCs w:val="24"/>
        </w:rPr>
        <w:t>l’Entrepreneur</w:t>
      </w:r>
      <w:r w:rsidRPr="00BD76AF">
        <w:t>)</w:t>
      </w:r>
    </w:p>
    <w:p w14:paraId="432D5B7B" w14:textId="77777777" w:rsidR="00F332DA" w:rsidRPr="00BD76AF" w:rsidRDefault="00F332DA" w:rsidP="008C1D4B"/>
    <w:p w14:paraId="3E1B5400" w14:textId="77777777" w:rsidR="00F332DA" w:rsidRPr="00BD76AF" w:rsidRDefault="00F332DA" w:rsidP="008C1D4B">
      <w:pPr>
        <w:tabs>
          <w:tab w:val="left" w:pos="7200"/>
        </w:tabs>
      </w:pPr>
      <w:r w:rsidRPr="00BD76AF">
        <w:rPr>
          <w:u w:val="single"/>
        </w:rPr>
        <w:tab/>
      </w:r>
    </w:p>
    <w:p w14:paraId="3972676E" w14:textId="77777777" w:rsidR="00F332DA" w:rsidRPr="00BD76AF" w:rsidRDefault="00F332DA" w:rsidP="008C1D4B">
      <w:r w:rsidRPr="00BD76AF">
        <w:t>(signature)</w:t>
      </w:r>
    </w:p>
    <w:p w14:paraId="74F6C238" w14:textId="77777777" w:rsidR="00F332DA" w:rsidRPr="00BD76AF" w:rsidRDefault="00F332DA" w:rsidP="008C1D4B"/>
    <w:p w14:paraId="3985E7B0" w14:textId="77777777" w:rsidR="00F332DA" w:rsidRPr="00BD76AF" w:rsidRDefault="00F332DA" w:rsidP="008C1D4B">
      <w:pPr>
        <w:tabs>
          <w:tab w:val="left" w:pos="7200"/>
        </w:tabs>
      </w:pPr>
      <w:r w:rsidRPr="00BD76AF">
        <w:rPr>
          <w:u w:val="single"/>
        </w:rPr>
        <w:tab/>
      </w:r>
    </w:p>
    <w:p w14:paraId="611622D4" w14:textId="77777777" w:rsidR="00F332DA" w:rsidRPr="00BD76AF" w:rsidRDefault="00F332DA" w:rsidP="008C1D4B">
      <w:r w:rsidRPr="00BD76AF">
        <w:t>(nom du signataire)</w:t>
      </w:r>
    </w:p>
    <w:p w14:paraId="2942FB54" w14:textId="77777777" w:rsidR="00F332DA" w:rsidRPr="00BD76AF" w:rsidRDefault="00F332DA" w:rsidP="008C1D4B"/>
    <w:p w14:paraId="09B096F7" w14:textId="77777777" w:rsidR="00F332DA" w:rsidRPr="00BD76AF" w:rsidRDefault="00F332DA" w:rsidP="008C1D4B">
      <w:pPr>
        <w:tabs>
          <w:tab w:val="left" w:pos="7200"/>
        </w:tabs>
      </w:pPr>
      <w:r w:rsidRPr="00BD76AF">
        <w:rPr>
          <w:u w:val="single"/>
        </w:rPr>
        <w:tab/>
      </w:r>
    </w:p>
    <w:p w14:paraId="569C4637" w14:textId="77777777" w:rsidR="00F332DA" w:rsidRPr="00BD76AF" w:rsidRDefault="00F332DA" w:rsidP="008C1D4B">
      <w:r w:rsidRPr="00BD76AF">
        <w:t>(titre du signataire)</w:t>
      </w:r>
    </w:p>
    <w:p w14:paraId="443E8692" w14:textId="77777777" w:rsidR="00F332DA" w:rsidRPr="00BD76AF" w:rsidRDefault="00F332DA" w:rsidP="00E819E4">
      <w:pPr>
        <w:pStyle w:val="SecVI-Header3"/>
        <w:rPr>
          <w:lang w:val="fr-FR"/>
        </w:rPr>
      </w:pPr>
      <w:r w:rsidRPr="00BD76AF">
        <w:rPr>
          <w:lang w:val="fr-FR"/>
        </w:rPr>
        <w:br w:type="page"/>
      </w:r>
      <w:bookmarkStart w:id="730" w:name="_Toc357505479"/>
      <w:bookmarkStart w:id="731" w:name="_Toc104294482"/>
      <w:r w:rsidRPr="00BD76AF">
        <w:rPr>
          <w:lang w:val="fr-FR"/>
        </w:rPr>
        <w:t>Formulaire 3.  Acceptation de l’estimation</w:t>
      </w:r>
      <w:bookmarkEnd w:id="730"/>
      <w:bookmarkEnd w:id="731"/>
    </w:p>
    <w:p w14:paraId="2DBD59AB" w14:textId="77777777" w:rsidR="00F332DA" w:rsidRPr="00BD76AF" w:rsidRDefault="00F332DA" w:rsidP="00E25879">
      <w:pPr>
        <w:jc w:val="center"/>
      </w:pPr>
      <w:r w:rsidRPr="00BD76AF">
        <w:t>(Papier à en-tête du Maître d’ouvrage)</w:t>
      </w:r>
    </w:p>
    <w:p w14:paraId="5425CBAA" w14:textId="77777777" w:rsidR="00F332DA" w:rsidRPr="00BD76AF" w:rsidRDefault="00F332DA" w:rsidP="00E25879">
      <w:pPr>
        <w:jc w:val="center"/>
      </w:pPr>
    </w:p>
    <w:p w14:paraId="49030ABB" w14:textId="77777777" w:rsidR="00F332DA" w:rsidRPr="00BD76AF" w:rsidRDefault="00F332DA" w:rsidP="000B289E">
      <w:pPr>
        <w:tabs>
          <w:tab w:val="left" w:pos="6660"/>
          <w:tab w:val="left" w:pos="8640"/>
          <w:tab w:val="right" w:pos="8760"/>
        </w:tabs>
        <w:wordWrap w:val="0"/>
        <w:jc w:val="right"/>
      </w:pPr>
      <w:r w:rsidRPr="00BD76AF">
        <w:t>Date :</w:t>
      </w:r>
      <w:r w:rsidRPr="00BD76AF">
        <w:rPr>
          <w:lang w:eastAsia="ja-JP"/>
        </w:rPr>
        <w:t xml:space="preserve"> </w:t>
      </w:r>
      <w:r w:rsidRPr="00BD76AF">
        <w:t>[</w:t>
      </w:r>
      <w:r w:rsidRPr="00BD76AF">
        <w:rPr>
          <w:i/>
        </w:rPr>
        <w:t>indiquer jour, mois, année</w:t>
      </w:r>
      <w:r w:rsidRPr="00BD76AF">
        <w:t>]</w:t>
      </w:r>
    </w:p>
    <w:p w14:paraId="14BF76D6" w14:textId="77777777" w:rsidR="00F332DA" w:rsidRPr="00BD76AF" w:rsidRDefault="00F332DA" w:rsidP="00E25879"/>
    <w:p w14:paraId="103EAD7D" w14:textId="77777777" w:rsidR="00F332DA" w:rsidRPr="00BD76AF" w:rsidRDefault="00F332DA" w:rsidP="00E25879">
      <w:r w:rsidRPr="00BD76AF">
        <w:rPr>
          <w:rFonts w:hint="eastAsia"/>
        </w:rPr>
        <w:t>À</w:t>
      </w:r>
      <w:r w:rsidRPr="00BD76AF">
        <w:t> : [</w:t>
      </w:r>
      <w:r w:rsidRPr="00BD76AF">
        <w:rPr>
          <w:i/>
        </w:rPr>
        <w:t>indiquer les</w:t>
      </w:r>
      <w:r w:rsidRPr="00BD76AF">
        <w:t xml:space="preserve"> </w:t>
      </w:r>
      <w:r w:rsidRPr="00BD76AF">
        <w:rPr>
          <w:i/>
        </w:rPr>
        <w:t>nom et adresse de l’Entrepreneur</w:t>
      </w:r>
      <w:r w:rsidRPr="00BD76AF">
        <w:t>]</w:t>
      </w:r>
    </w:p>
    <w:p w14:paraId="4F923B4C" w14:textId="77777777" w:rsidR="00F332DA" w:rsidRPr="00BD76AF" w:rsidRDefault="00F332DA" w:rsidP="00E25879"/>
    <w:p w14:paraId="37F9B6DD" w14:textId="77777777" w:rsidR="00F332DA" w:rsidRPr="00BD76AF" w:rsidRDefault="00F332DA" w:rsidP="00E25879">
      <w:r w:rsidRPr="00BD76AF">
        <w:rPr>
          <w:rFonts w:hint="eastAsia"/>
        </w:rPr>
        <w:t>À</w:t>
      </w:r>
      <w:r w:rsidRPr="00BD76AF">
        <w:t xml:space="preserve"> l’attention de : [</w:t>
      </w:r>
      <w:r w:rsidRPr="00BD76AF">
        <w:rPr>
          <w:i/>
        </w:rPr>
        <w:t>indiquer les nom et titre</w:t>
      </w:r>
      <w:r w:rsidRPr="00BD76AF">
        <w:t>]</w:t>
      </w:r>
    </w:p>
    <w:p w14:paraId="01E9177A" w14:textId="77777777" w:rsidR="00F332DA" w:rsidRPr="00BD76AF" w:rsidRDefault="00F332DA" w:rsidP="00E25879"/>
    <w:p w14:paraId="663658F8" w14:textId="77777777" w:rsidR="00F332DA" w:rsidRPr="00BD76AF" w:rsidRDefault="00F332DA" w:rsidP="00E25879">
      <w:r w:rsidRPr="00BD76AF">
        <w:t>Nom du Marché : [</w:t>
      </w:r>
      <w:r w:rsidRPr="00BD76AF">
        <w:rPr>
          <w:i/>
        </w:rPr>
        <w:t>indiquer le nom du Marché</w:t>
      </w:r>
      <w:r w:rsidRPr="00BD76AF">
        <w:t>]</w:t>
      </w:r>
    </w:p>
    <w:p w14:paraId="4DFFFE08" w14:textId="77777777" w:rsidR="00F332DA" w:rsidRPr="00BD76AF" w:rsidRDefault="00F332DA" w:rsidP="00E25879">
      <w:r w:rsidRPr="00BD76AF">
        <w:t>Marché n</w:t>
      </w:r>
      <w:r w:rsidRPr="00BD76AF">
        <w:rPr>
          <w:vertAlign w:val="superscript"/>
        </w:rPr>
        <w:t>o</w:t>
      </w:r>
      <w:r w:rsidRPr="00BD76AF">
        <w:t> : [</w:t>
      </w:r>
      <w:r w:rsidRPr="00BD76AF">
        <w:rPr>
          <w:i/>
        </w:rPr>
        <w:t>indiquer le numéro du Marché</w:t>
      </w:r>
      <w:r w:rsidRPr="00BD76AF">
        <w:t>]</w:t>
      </w:r>
    </w:p>
    <w:p w14:paraId="70C164E0" w14:textId="77777777" w:rsidR="00F332DA" w:rsidRPr="00BD76AF" w:rsidRDefault="00F332DA" w:rsidP="00E25879">
      <w:pPr>
        <w:rPr>
          <w:lang w:eastAsia="ja-JP"/>
        </w:rPr>
      </w:pPr>
    </w:p>
    <w:p w14:paraId="4647DBC3" w14:textId="77777777" w:rsidR="00F332DA" w:rsidRPr="00BD76AF" w:rsidRDefault="00F332DA" w:rsidP="00E25879"/>
    <w:p w14:paraId="4DC6A161" w14:textId="77777777" w:rsidR="00F332DA" w:rsidRPr="00BD76AF" w:rsidRDefault="00F332DA" w:rsidP="00E25879">
      <w:r w:rsidRPr="00BD76AF">
        <w:t>Mesdames/Messieurs,</w:t>
      </w:r>
    </w:p>
    <w:p w14:paraId="5829E266" w14:textId="77777777" w:rsidR="00F332DA" w:rsidRPr="00BD76AF" w:rsidRDefault="00F332DA" w:rsidP="00E25879"/>
    <w:p w14:paraId="59DF4CED" w14:textId="77777777" w:rsidR="00F332DA" w:rsidRPr="00BD76AF" w:rsidRDefault="00F332DA" w:rsidP="00E25879">
      <w:r w:rsidRPr="00BD76AF">
        <w:t>Par les présentes, nous acceptons votre estimation de proposition de modification et vous donnons notre accord pour l’élaboration de la proposition de modification.</w:t>
      </w:r>
    </w:p>
    <w:p w14:paraId="6697132F" w14:textId="77777777" w:rsidR="00F332DA" w:rsidRPr="00BD76AF" w:rsidRDefault="00F332DA" w:rsidP="00E25879"/>
    <w:p w14:paraId="4CC7F247" w14:textId="77777777" w:rsidR="00F332DA" w:rsidRPr="00BD76AF" w:rsidRDefault="00F332DA" w:rsidP="00E25879">
      <w:r w:rsidRPr="00BD76AF">
        <w:t>1.</w:t>
      </w:r>
      <w:r w:rsidRPr="00BD76AF">
        <w:tab/>
        <w:t>Titre de la modification : [</w:t>
      </w:r>
      <w:r w:rsidRPr="00BD76AF">
        <w:rPr>
          <w:i/>
        </w:rPr>
        <w:t>indiquer le titre</w:t>
      </w:r>
      <w:r w:rsidRPr="00BD76AF">
        <w:t>]</w:t>
      </w:r>
    </w:p>
    <w:p w14:paraId="2DA65F77" w14:textId="77777777" w:rsidR="00F332DA" w:rsidRPr="00BD76AF" w:rsidRDefault="00F332DA" w:rsidP="00E25879"/>
    <w:p w14:paraId="62A9319E" w14:textId="77777777" w:rsidR="00F332DA" w:rsidRPr="00BD76AF" w:rsidRDefault="00F332DA" w:rsidP="00E25879">
      <w:r w:rsidRPr="00BD76AF">
        <w:t>2.</w:t>
      </w:r>
      <w:r w:rsidRPr="00BD76AF">
        <w:tab/>
        <w:t>Demande de modification n</w:t>
      </w:r>
      <w:r w:rsidRPr="00BD76AF">
        <w:rPr>
          <w:vertAlign w:val="superscript"/>
        </w:rPr>
        <w:t>o</w:t>
      </w:r>
      <w:r w:rsidRPr="00BD76AF">
        <w:t>/rév. : [</w:t>
      </w:r>
      <w:r w:rsidRPr="00BD76AF">
        <w:rPr>
          <w:i/>
        </w:rPr>
        <w:t>indiquer le numéro</w:t>
      </w:r>
      <w:r w:rsidRPr="00BD76AF">
        <w:t>]</w:t>
      </w:r>
    </w:p>
    <w:p w14:paraId="0FE16EFD" w14:textId="77777777" w:rsidR="00F332DA" w:rsidRPr="00BD76AF" w:rsidRDefault="00F332DA" w:rsidP="00E25879"/>
    <w:p w14:paraId="566BABA9" w14:textId="77777777" w:rsidR="00F332DA" w:rsidRPr="00BD76AF" w:rsidRDefault="00F332DA" w:rsidP="00E25879">
      <w:r w:rsidRPr="00BD76AF">
        <w:t>3.</w:t>
      </w:r>
      <w:r w:rsidRPr="00BD76AF">
        <w:tab/>
        <w:t>Estimation de la proposition de modification n</w:t>
      </w:r>
      <w:r w:rsidRPr="00BD76AF">
        <w:rPr>
          <w:vertAlign w:val="superscript"/>
        </w:rPr>
        <w:t>o</w:t>
      </w:r>
      <w:r w:rsidRPr="00BD76AF">
        <w:t>/rév. : [</w:t>
      </w:r>
      <w:r w:rsidRPr="00BD76AF">
        <w:rPr>
          <w:i/>
        </w:rPr>
        <w:t>indiquer le numéro</w:t>
      </w:r>
      <w:r w:rsidRPr="00BD76AF">
        <w:t>]</w:t>
      </w:r>
    </w:p>
    <w:p w14:paraId="7BA564BB" w14:textId="77777777" w:rsidR="00F332DA" w:rsidRPr="00BD76AF" w:rsidRDefault="00F332DA" w:rsidP="00E25879"/>
    <w:p w14:paraId="1316612F" w14:textId="77777777" w:rsidR="00F332DA" w:rsidRPr="00BD76AF" w:rsidRDefault="00F332DA" w:rsidP="00E25879">
      <w:r w:rsidRPr="00BD76AF">
        <w:t>4.</w:t>
      </w:r>
      <w:r w:rsidRPr="00BD76AF">
        <w:tab/>
        <w:t>Acceptation de l’estimation n</w:t>
      </w:r>
      <w:r w:rsidRPr="00BD76AF">
        <w:rPr>
          <w:vertAlign w:val="superscript"/>
        </w:rPr>
        <w:t>o</w:t>
      </w:r>
      <w:r w:rsidRPr="00BD76AF">
        <w:t>/rév. : [</w:t>
      </w:r>
      <w:r w:rsidRPr="00BD76AF">
        <w:rPr>
          <w:i/>
        </w:rPr>
        <w:t>indiquer le numéro</w:t>
      </w:r>
      <w:r w:rsidRPr="00BD76AF">
        <w:t>]</w:t>
      </w:r>
    </w:p>
    <w:p w14:paraId="5C9AF64E" w14:textId="77777777" w:rsidR="00F332DA" w:rsidRPr="00BD76AF" w:rsidRDefault="00F332DA" w:rsidP="00E25879"/>
    <w:p w14:paraId="3FE7EAF3" w14:textId="77777777" w:rsidR="00F332DA" w:rsidRPr="00BD76AF" w:rsidRDefault="00F332DA" w:rsidP="00E25879">
      <w:r w:rsidRPr="00BD76AF">
        <w:t>5.</w:t>
      </w:r>
      <w:r w:rsidRPr="00BD76AF">
        <w:tab/>
        <w:t>Brève description de la modification : [</w:t>
      </w:r>
      <w:r w:rsidRPr="00BD76AF">
        <w:rPr>
          <w:i/>
        </w:rPr>
        <w:t>donner la description</w:t>
      </w:r>
      <w:r w:rsidRPr="00BD76AF">
        <w:t>]</w:t>
      </w:r>
    </w:p>
    <w:p w14:paraId="3F2D333C" w14:textId="77777777" w:rsidR="00F332DA" w:rsidRPr="00BD76AF" w:rsidRDefault="00F332DA" w:rsidP="00E25879"/>
    <w:p w14:paraId="44135F29" w14:textId="77777777" w:rsidR="00F332DA" w:rsidRPr="00BD76AF" w:rsidRDefault="00F332DA" w:rsidP="00E25879">
      <w:pPr>
        <w:ind w:left="720" w:hanging="720"/>
      </w:pPr>
      <w:r w:rsidRPr="00BD76AF">
        <w:t>6.</w:t>
      </w:r>
      <w:r w:rsidRPr="00BD76AF">
        <w:tab/>
        <w:t>Autres termes et conditions : si le Maître d’ouvrage décide de ne pas ordonner la modification acceptée, l’Entrepreneur aura droit, conformément à l’Article 39 des CG du Marché, à une indemnisation du coût d’élaboration de la proposition de modification décrite dans l’estimation de proposition de modification de l’Entrepreneur indiquée au paragraphe 3 ci-dessus.</w:t>
      </w:r>
    </w:p>
    <w:p w14:paraId="363683FB" w14:textId="77777777" w:rsidR="00F332DA" w:rsidRPr="00BD76AF" w:rsidRDefault="00F332DA" w:rsidP="00E25879"/>
    <w:p w14:paraId="64721716" w14:textId="77777777" w:rsidR="00F332DA" w:rsidRPr="00BD76AF" w:rsidRDefault="00F332DA" w:rsidP="00E25879"/>
    <w:p w14:paraId="07EC9E35" w14:textId="77777777" w:rsidR="00F332DA" w:rsidRPr="00BD76AF" w:rsidRDefault="00F332DA" w:rsidP="00E25879"/>
    <w:p w14:paraId="1B7E0A5C" w14:textId="77777777" w:rsidR="00F332DA" w:rsidRPr="00BD76AF" w:rsidRDefault="00F332DA" w:rsidP="00E25879">
      <w:pPr>
        <w:tabs>
          <w:tab w:val="left" w:pos="7200"/>
        </w:tabs>
      </w:pPr>
      <w:r w:rsidRPr="00BD76AF">
        <w:rPr>
          <w:u w:val="single"/>
        </w:rPr>
        <w:tab/>
      </w:r>
    </w:p>
    <w:p w14:paraId="4D601A40" w14:textId="77777777" w:rsidR="00F332DA" w:rsidRPr="00BD76AF" w:rsidRDefault="00F332DA" w:rsidP="00E25879">
      <w:r w:rsidRPr="00BD76AF">
        <w:t>(nom du Maître d’ouvrage)</w:t>
      </w:r>
    </w:p>
    <w:p w14:paraId="7ADBF73E" w14:textId="77777777" w:rsidR="00F332DA" w:rsidRPr="00BD76AF" w:rsidRDefault="00F332DA" w:rsidP="00E25879"/>
    <w:p w14:paraId="63A8F83D" w14:textId="77777777" w:rsidR="00F332DA" w:rsidRPr="00BD76AF" w:rsidRDefault="00F332DA" w:rsidP="00E25879">
      <w:pPr>
        <w:tabs>
          <w:tab w:val="left" w:pos="7200"/>
        </w:tabs>
      </w:pPr>
      <w:r w:rsidRPr="00BD76AF">
        <w:rPr>
          <w:u w:val="single"/>
        </w:rPr>
        <w:tab/>
      </w:r>
    </w:p>
    <w:p w14:paraId="64481998" w14:textId="77777777" w:rsidR="00F332DA" w:rsidRPr="00BD76AF" w:rsidRDefault="00F332DA" w:rsidP="00E25879">
      <w:r w:rsidRPr="00BD76AF">
        <w:t>(signature)</w:t>
      </w:r>
    </w:p>
    <w:p w14:paraId="3D0AC977" w14:textId="77777777" w:rsidR="00F332DA" w:rsidRPr="00BD76AF" w:rsidRDefault="00F332DA" w:rsidP="00E25879"/>
    <w:p w14:paraId="61DFADA0" w14:textId="77777777" w:rsidR="00F332DA" w:rsidRPr="00BD76AF" w:rsidRDefault="00F332DA" w:rsidP="00E25879">
      <w:pPr>
        <w:tabs>
          <w:tab w:val="left" w:pos="7200"/>
        </w:tabs>
      </w:pPr>
      <w:r w:rsidRPr="00BD76AF">
        <w:rPr>
          <w:u w:val="single"/>
        </w:rPr>
        <w:tab/>
      </w:r>
    </w:p>
    <w:p w14:paraId="5D14B355" w14:textId="77777777" w:rsidR="00F332DA" w:rsidRPr="00BD76AF" w:rsidRDefault="00F332DA" w:rsidP="00E25879">
      <w:r w:rsidRPr="00BD76AF">
        <w:t>(nom et titre du signataire)</w:t>
      </w:r>
    </w:p>
    <w:p w14:paraId="7E30A668" w14:textId="77777777" w:rsidR="00F332DA" w:rsidRPr="00BD76AF" w:rsidRDefault="00F332DA" w:rsidP="00E819E4">
      <w:pPr>
        <w:pStyle w:val="SecVI-Header3"/>
        <w:rPr>
          <w:lang w:val="fr-FR"/>
        </w:rPr>
      </w:pPr>
      <w:r w:rsidRPr="00BD76AF">
        <w:rPr>
          <w:lang w:val="fr-FR"/>
        </w:rPr>
        <w:br w:type="page"/>
      </w:r>
      <w:bookmarkStart w:id="732" w:name="_Toc357505480"/>
      <w:bookmarkStart w:id="733" w:name="_Toc104294483"/>
      <w:r w:rsidRPr="00BD76AF">
        <w:rPr>
          <w:lang w:val="fr-FR"/>
        </w:rPr>
        <w:t>Formulaire 4.  Proposition de modification</w:t>
      </w:r>
      <w:bookmarkEnd w:id="732"/>
      <w:bookmarkEnd w:id="733"/>
    </w:p>
    <w:p w14:paraId="2B6CDE84" w14:textId="77777777" w:rsidR="00F332DA" w:rsidRPr="00BD76AF" w:rsidRDefault="00F332DA" w:rsidP="00E25879">
      <w:pPr>
        <w:jc w:val="center"/>
      </w:pPr>
    </w:p>
    <w:p w14:paraId="0AA135D0" w14:textId="77777777" w:rsidR="00F332DA" w:rsidRPr="00BD76AF" w:rsidRDefault="00F332DA" w:rsidP="00E25879">
      <w:pPr>
        <w:jc w:val="center"/>
      </w:pPr>
    </w:p>
    <w:p w14:paraId="659A2774" w14:textId="77777777" w:rsidR="00F332DA" w:rsidRPr="00BD76AF" w:rsidRDefault="00F332DA" w:rsidP="00E25879">
      <w:pPr>
        <w:spacing w:afterLines="100" w:after="240"/>
        <w:jc w:val="center"/>
      </w:pPr>
      <w:r w:rsidRPr="00BD76AF">
        <w:tab/>
        <w:t xml:space="preserve">(Papier à en-tête de </w:t>
      </w:r>
      <w:r w:rsidRPr="00BD76AF">
        <w:rPr>
          <w:szCs w:val="24"/>
        </w:rPr>
        <w:t>l’Entrepreneur</w:t>
      </w:r>
      <w:r w:rsidRPr="00BD76AF">
        <w:t>)</w:t>
      </w:r>
    </w:p>
    <w:p w14:paraId="65E88480" w14:textId="77777777" w:rsidR="00F332DA" w:rsidRPr="00BD76AF" w:rsidRDefault="00F332DA" w:rsidP="00E25879">
      <w:pPr>
        <w:jc w:val="center"/>
      </w:pPr>
    </w:p>
    <w:p w14:paraId="243009E7" w14:textId="77777777" w:rsidR="00F332DA" w:rsidRPr="00BD76AF" w:rsidRDefault="00F332DA" w:rsidP="00A864B7">
      <w:pPr>
        <w:tabs>
          <w:tab w:val="left" w:pos="6660"/>
          <w:tab w:val="left" w:pos="8640"/>
          <w:tab w:val="right" w:pos="8760"/>
        </w:tabs>
        <w:wordWrap w:val="0"/>
        <w:jc w:val="right"/>
      </w:pPr>
      <w:r w:rsidRPr="00BD76AF">
        <w:t>Date :</w:t>
      </w:r>
      <w:r w:rsidRPr="00BD76AF">
        <w:rPr>
          <w:lang w:eastAsia="ja-JP"/>
        </w:rPr>
        <w:t xml:space="preserve"> </w:t>
      </w:r>
      <w:r w:rsidRPr="00BD76AF">
        <w:t>[</w:t>
      </w:r>
      <w:r w:rsidRPr="00BD76AF">
        <w:rPr>
          <w:i/>
        </w:rPr>
        <w:t>indiquer jour, mois, année</w:t>
      </w:r>
      <w:r w:rsidRPr="00BD76AF">
        <w:t>]</w:t>
      </w:r>
    </w:p>
    <w:p w14:paraId="61F8AFDE" w14:textId="77777777" w:rsidR="00F332DA" w:rsidRPr="00BD76AF" w:rsidRDefault="00F332DA" w:rsidP="00E25879"/>
    <w:p w14:paraId="1C7FC665" w14:textId="77777777" w:rsidR="00F332DA" w:rsidRPr="00BD76AF" w:rsidRDefault="00F332DA" w:rsidP="00E25879">
      <w:r w:rsidRPr="00BD76AF">
        <w:rPr>
          <w:rFonts w:hint="eastAsia"/>
        </w:rPr>
        <w:t>À</w:t>
      </w:r>
      <w:r w:rsidRPr="00BD76AF">
        <w:t> : [</w:t>
      </w:r>
      <w:r w:rsidRPr="00BD76AF">
        <w:rPr>
          <w:i/>
        </w:rPr>
        <w:t>indiquer les</w:t>
      </w:r>
      <w:r w:rsidRPr="00BD76AF">
        <w:t xml:space="preserve"> </w:t>
      </w:r>
      <w:r w:rsidRPr="00BD76AF">
        <w:rPr>
          <w:i/>
        </w:rPr>
        <w:t>nom et adresse du Maître d’ouvrage</w:t>
      </w:r>
      <w:r w:rsidRPr="00BD76AF">
        <w:t>]</w:t>
      </w:r>
    </w:p>
    <w:p w14:paraId="6CEAD5FF" w14:textId="77777777" w:rsidR="00F332DA" w:rsidRPr="00BD76AF" w:rsidRDefault="00F332DA" w:rsidP="00E25879"/>
    <w:p w14:paraId="08209884" w14:textId="77777777" w:rsidR="00F332DA" w:rsidRPr="00BD76AF" w:rsidRDefault="00F332DA" w:rsidP="00E25879">
      <w:r w:rsidRPr="00BD76AF">
        <w:rPr>
          <w:rFonts w:hint="eastAsia"/>
        </w:rPr>
        <w:t>À</w:t>
      </w:r>
      <w:r w:rsidRPr="00BD76AF">
        <w:t xml:space="preserve"> l’attention de : [</w:t>
      </w:r>
      <w:r w:rsidRPr="00BD76AF">
        <w:rPr>
          <w:i/>
        </w:rPr>
        <w:t>indiquer les nom et titre</w:t>
      </w:r>
      <w:r w:rsidRPr="00BD76AF">
        <w:t>]</w:t>
      </w:r>
    </w:p>
    <w:p w14:paraId="6587C39D" w14:textId="77777777" w:rsidR="00F332DA" w:rsidRPr="00BD76AF" w:rsidRDefault="00F332DA" w:rsidP="00E25879"/>
    <w:p w14:paraId="246838B3" w14:textId="77777777" w:rsidR="00F332DA" w:rsidRPr="00BD76AF" w:rsidRDefault="00F332DA" w:rsidP="00E25879">
      <w:r w:rsidRPr="00BD76AF">
        <w:t>Nom du Marché : [</w:t>
      </w:r>
      <w:r w:rsidRPr="00BD76AF">
        <w:rPr>
          <w:i/>
        </w:rPr>
        <w:t>indiquer le nom du Marché</w:t>
      </w:r>
      <w:r w:rsidRPr="00BD76AF">
        <w:t>]</w:t>
      </w:r>
    </w:p>
    <w:p w14:paraId="4D53FCA0" w14:textId="77777777" w:rsidR="00F332DA" w:rsidRPr="00BD76AF" w:rsidRDefault="00F332DA" w:rsidP="00E25879">
      <w:r w:rsidRPr="00BD76AF">
        <w:t>Marché n</w:t>
      </w:r>
      <w:r w:rsidRPr="00BD76AF">
        <w:rPr>
          <w:vertAlign w:val="superscript"/>
        </w:rPr>
        <w:t>o</w:t>
      </w:r>
      <w:r w:rsidRPr="00BD76AF">
        <w:t> : [</w:t>
      </w:r>
      <w:r w:rsidRPr="00BD76AF">
        <w:rPr>
          <w:i/>
        </w:rPr>
        <w:t>indiquer le numéro du Marché</w:t>
      </w:r>
      <w:r w:rsidRPr="00BD76AF">
        <w:t>]</w:t>
      </w:r>
    </w:p>
    <w:p w14:paraId="2A0F588C" w14:textId="77777777" w:rsidR="00F332DA" w:rsidRPr="00BD76AF" w:rsidRDefault="00F332DA" w:rsidP="00E25879"/>
    <w:p w14:paraId="29C4C535" w14:textId="77777777" w:rsidR="00F332DA" w:rsidRPr="00BD76AF" w:rsidRDefault="00F332DA" w:rsidP="00E25879"/>
    <w:p w14:paraId="7CCE4DA1" w14:textId="77777777" w:rsidR="00F332DA" w:rsidRPr="00BD76AF" w:rsidRDefault="00F332DA" w:rsidP="00E25879"/>
    <w:p w14:paraId="11850F5B" w14:textId="77777777" w:rsidR="00F332DA" w:rsidRPr="00BD76AF" w:rsidRDefault="00F332DA" w:rsidP="00E25879">
      <w:r w:rsidRPr="00BD76AF">
        <w:t>Mesdames/Messieurs,</w:t>
      </w:r>
    </w:p>
    <w:p w14:paraId="38AABEE5" w14:textId="77777777" w:rsidR="00F332DA" w:rsidRPr="00BD76AF" w:rsidRDefault="00F332DA" w:rsidP="00E25879"/>
    <w:p w14:paraId="096A30CF" w14:textId="77777777" w:rsidR="00F332DA" w:rsidRPr="00BD76AF" w:rsidRDefault="00F332DA" w:rsidP="00E25879">
      <w:r w:rsidRPr="00BD76AF">
        <w:t>En réponse à votre demande de proposition de modification n</w:t>
      </w:r>
      <w:r w:rsidRPr="00BD76AF">
        <w:rPr>
          <w:vertAlign w:val="superscript"/>
        </w:rPr>
        <w:t>o</w:t>
      </w:r>
      <w:r w:rsidRPr="00BD76AF">
        <w:t xml:space="preserve"> [</w:t>
      </w:r>
      <w:r w:rsidRPr="00BD76AF">
        <w:rPr>
          <w:i/>
        </w:rPr>
        <w:t>indiquer le numéro</w:t>
      </w:r>
      <w:r w:rsidRPr="00BD76AF">
        <w:t>], nous vous soumettons la proposition suivante :</w:t>
      </w:r>
    </w:p>
    <w:p w14:paraId="49DF31F7" w14:textId="77777777" w:rsidR="00F332DA" w:rsidRPr="00BD76AF" w:rsidRDefault="00F332DA" w:rsidP="00E25879"/>
    <w:p w14:paraId="128CB67C" w14:textId="77777777" w:rsidR="00F332DA" w:rsidRPr="00BD76AF" w:rsidRDefault="00F332DA" w:rsidP="00E25879">
      <w:r w:rsidRPr="00BD76AF">
        <w:t>1.</w:t>
      </w:r>
      <w:r w:rsidRPr="00BD76AF">
        <w:tab/>
        <w:t>Titre de la modification : [</w:t>
      </w:r>
      <w:r w:rsidRPr="00BD76AF">
        <w:rPr>
          <w:i/>
        </w:rPr>
        <w:t>indiquer le titre</w:t>
      </w:r>
      <w:r w:rsidRPr="00BD76AF">
        <w:t>]</w:t>
      </w:r>
    </w:p>
    <w:p w14:paraId="3B418026" w14:textId="77777777" w:rsidR="00F332DA" w:rsidRPr="00BD76AF" w:rsidRDefault="00F332DA" w:rsidP="00E25879"/>
    <w:p w14:paraId="5ADE081F" w14:textId="77777777" w:rsidR="00F332DA" w:rsidRPr="00BD76AF" w:rsidRDefault="00F332DA" w:rsidP="00E25879">
      <w:r w:rsidRPr="00BD76AF">
        <w:t>2.</w:t>
      </w:r>
      <w:r w:rsidRPr="00BD76AF">
        <w:tab/>
        <w:t>Proposition de modification n</w:t>
      </w:r>
      <w:r w:rsidRPr="00BD76AF">
        <w:rPr>
          <w:vertAlign w:val="superscript"/>
        </w:rPr>
        <w:t>o</w:t>
      </w:r>
      <w:r w:rsidRPr="00BD76AF">
        <w:t>/rév. : [</w:t>
      </w:r>
      <w:r w:rsidRPr="00BD76AF">
        <w:rPr>
          <w:i/>
        </w:rPr>
        <w:t>indiquer le numéro</w:t>
      </w:r>
      <w:r w:rsidRPr="00BD76AF">
        <w:t>]</w:t>
      </w:r>
    </w:p>
    <w:p w14:paraId="12EA70B2" w14:textId="77777777" w:rsidR="00F332DA" w:rsidRPr="00BD76AF" w:rsidRDefault="00F332DA" w:rsidP="00E25879"/>
    <w:p w14:paraId="46F21190" w14:textId="77777777" w:rsidR="00F332DA" w:rsidRPr="00BD76AF" w:rsidRDefault="00F332DA" w:rsidP="00E25879">
      <w:r w:rsidRPr="00BD76AF">
        <w:t>3.</w:t>
      </w:r>
      <w:r w:rsidRPr="00BD76AF">
        <w:tab/>
        <w:t>Demandeur de la modification :</w:t>
      </w:r>
      <w:r w:rsidRPr="00BD76AF" w:rsidDel="00F76E1A">
        <w:t xml:space="preserve"> </w:t>
      </w:r>
      <w:r w:rsidRPr="00BD76AF">
        <w:t>Maître d’ouvrage : [</w:t>
      </w:r>
      <w:r w:rsidRPr="00BD76AF">
        <w:rPr>
          <w:i/>
        </w:rPr>
        <w:t>indiquer le nom</w:t>
      </w:r>
      <w:r w:rsidRPr="00BD76AF">
        <w:t>]</w:t>
      </w:r>
    </w:p>
    <w:p w14:paraId="4F98A44B" w14:textId="77777777" w:rsidR="00F332DA" w:rsidRPr="00BD76AF" w:rsidRDefault="00F332DA" w:rsidP="00F76E1A">
      <w:pPr>
        <w:ind w:left="3827"/>
      </w:pPr>
      <w:r w:rsidRPr="00BD76AF">
        <w:t>Entrepreneur : [</w:t>
      </w:r>
      <w:r w:rsidRPr="00BD76AF">
        <w:rPr>
          <w:i/>
        </w:rPr>
        <w:t>indiquer le nom</w:t>
      </w:r>
      <w:r w:rsidRPr="00BD76AF">
        <w:t>]</w:t>
      </w:r>
    </w:p>
    <w:p w14:paraId="2DE3A910" w14:textId="77777777" w:rsidR="00F332DA" w:rsidRPr="00BD76AF" w:rsidRDefault="00F332DA" w:rsidP="00E25879"/>
    <w:p w14:paraId="11D9A029" w14:textId="77777777" w:rsidR="00F332DA" w:rsidRPr="00BD76AF" w:rsidRDefault="00F332DA" w:rsidP="00E25879">
      <w:r w:rsidRPr="00BD76AF">
        <w:t>4.</w:t>
      </w:r>
      <w:r w:rsidRPr="00BD76AF">
        <w:tab/>
        <w:t>Brève description de la modification : [</w:t>
      </w:r>
      <w:r w:rsidRPr="00BD76AF">
        <w:rPr>
          <w:i/>
        </w:rPr>
        <w:t>donner la description</w:t>
      </w:r>
      <w:r w:rsidRPr="00BD76AF">
        <w:t>]</w:t>
      </w:r>
    </w:p>
    <w:p w14:paraId="64E1F419" w14:textId="77777777" w:rsidR="00F332DA" w:rsidRPr="00BD76AF" w:rsidRDefault="00F332DA" w:rsidP="00E25879"/>
    <w:p w14:paraId="4B5E4D8E" w14:textId="77777777" w:rsidR="00F332DA" w:rsidRPr="00BD76AF" w:rsidRDefault="00F332DA" w:rsidP="00E25879">
      <w:r w:rsidRPr="00BD76AF">
        <w:t>5.</w:t>
      </w:r>
      <w:r w:rsidRPr="00BD76AF">
        <w:tab/>
        <w:t>Raisons de la modification : [</w:t>
      </w:r>
      <w:r w:rsidRPr="00BD76AF">
        <w:rPr>
          <w:i/>
        </w:rPr>
        <w:t>indiquer la raison</w:t>
      </w:r>
      <w:r w:rsidRPr="00BD76AF">
        <w:t>]</w:t>
      </w:r>
    </w:p>
    <w:p w14:paraId="7BD21EB1" w14:textId="77777777" w:rsidR="00F332DA" w:rsidRPr="00BD76AF" w:rsidRDefault="00F332DA" w:rsidP="00E25879"/>
    <w:p w14:paraId="46F071E6" w14:textId="77777777" w:rsidR="00F332DA" w:rsidRPr="00BD76AF" w:rsidRDefault="00F332DA" w:rsidP="00E25879">
      <w:pPr>
        <w:ind w:left="720" w:hanging="720"/>
      </w:pPr>
      <w:r w:rsidRPr="00BD76AF">
        <w:t>6.</w:t>
      </w:r>
      <w:r w:rsidRPr="00BD76AF">
        <w:tab/>
        <w:t>Installations et/ou n</w:t>
      </w:r>
      <w:r w:rsidRPr="00BD76AF">
        <w:rPr>
          <w:vertAlign w:val="superscript"/>
        </w:rPr>
        <w:t>o</w:t>
      </w:r>
      <w:r w:rsidRPr="00BD76AF">
        <w:t xml:space="preserve"> de l’élément concernés par la modification demandée : [</w:t>
      </w:r>
      <w:r w:rsidRPr="00BD76AF">
        <w:rPr>
          <w:i/>
        </w:rPr>
        <w:t>donner la description</w:t>
      </w:r>
      <w:r w:rsidRPr="00BD76AF">
        <w:t xml:space="preserve">] </w:t>
      </w:r>
    </w:p>
    <w:p w14:paraId="114E594D" w14:textId="77777777" w:rsidR="00F332DA" w:rsidRPr="00BD76AF" w:rsidRDefault="00F332DA" w:rsidP="00E25879"/>
    <w:p w14:paraId="05C4A329" w14:textId="77777777" w:rsidR="00F332DA" w:rsidRPr="00BD76AF" w:rsidRDefault="00F332DA" w:rsidP="00E25879">
      <w:pPr>
        <w:ind w:left="720" w:hanging="720"/>
      </w:pPr>
      <w:r w:rsidRPr="00BD76AF">
        <w:t>7.</w:t>
      </w:r>
      <w:r w:rsidRPr="00BD76AF">
        <w:tab/>
        <w:t>Dessins et/ou documents techniques de référence relatifs à la modification demandée :</w:t>
      </w:r>
    </w:p>
    <w:p w14:paraId="63B41A9C" w14:textId="77777777" w:rsidR="00F332DA" w:rsidRPr="00BD76AF" w:rsidRDefault="00F332DA" w:rsidP="00E25879">
      <w:pPr>
        <w:ind w:left="720" w:hanging="72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209"/>
      </w:tblGrid>
      <w:tr w:rsidR="00F332DA" w:rsidRPr="00BD76AF" w14:paraId="02B7BEE0" w14:textId="77777777" w:rsidTr="00C41E04">
        <w:tc>
          <w:tcPr>
            <w:tcW w:w="4109" w:type="dxa"/>
            <w:shd w:val="clear" w:color="auto" w:fill="auto"/>
          </w:tcPr>
          <w:p w14:paraId="0F6DADCA" w14:textId="77777777" w:rsidR="00F332DA" w:rsidRPr="00BD76AF" w:rsidRDefault="00F332DA" w:rsidP="0000527F">
            <w:pPr>
              <w:rPr>
                <w:lang w:val="en-GB"/>
              </w:rPr>
            </w:pPr>
            <w:r w:rsidRPr="00BD76AF">
              <w:t>Dessin n</w:t>
            </w:r>
            <w:r w:rsidRPr="00BD76AF">
              <w:rPr>
                <w:vertAlign w:val="superscript"/>
              </w:rPr>
              <w:t>o</w:t>
            </w:r>
            <w:r w:rsidRPr="00BD76AF">
              <w:t>/Document n</w:t>
            </w:r>
            <w:r w:rsidRPr="00BD76AF">
              <w:rPr>
                <w:vertAlign w:val="superscript"/>
              </w:rPr>
              <w:t>o</w:t>
            </w:r>
          </w:p>
        </w:tc>
        <w:tc>
          <w:tcPr>
            <w:tcW w:w="4209" w:type="dxa"/>
            <w:shd w:val="clear" w:color="auto" w:fill="auto"/>
          </w:tcPr>
          <w:p w14:paraId="7DB0CD0F" w14:textId="77777777" w:rsidR="00F332DA" w:rsidRPr="00BD76AF" w:rsidRDefault="00F332DA" w:rsidP="0000527F">
            <w:pPr>
              <w:rPr>
                <w:lang w:val="en-GB"/>
              </w:rPr>
            </w:pPr>
            <w:r w:rsidRPr="00BD76AF">
              <w:rPr>
                <w:lang w:val="en-GB"/>
              </w:rPr>
              <w:t>Description</w:t>
            </w:r>
          </w:p>
        </w:tc>
      </w:tr>
      <w:tr w:rsidR="00F332DA" w:rsidRPr="00BD76AF" w14:paraId="5FF63A79" w14:textId="77777777" w:rsidTr="00C41E04">
        <w:tc>
          <w:tcPr>
            <w:tcW w:w="4109" w:type="dxa"/>
            <w:shd w:val="clear" w:color="auto" w:fill="auto"/>
          </w:tcPr>
          <w:p w14:paraId="5E2245C1" w14:textId="77777777" w:rsidR="00F332DA" w:rsidRPr="00BD76AF" w:rsidRDefault="00F332DA" w:rsidP="0000527F">
            <w:pPr>
              <w:rPr>
                <w:lang w:val="en-GB"/>
              </w:rPr>
            </w:pPr>
          </w:p>
        </w:tc>
        <w:tc>
          <w:tcPr>
            <w:tcW w:w="4209" w:type="dxa"/>
            <w:shd w:val="clear" w:color="auto" w:fill="auto"/>
          </w:tcPr>
          <w:p w14:paraId="63DAE7A9" w14:textId="77777777" w:rsidR="00F332DA" w:rsidRPr="00BD76AF" w:rsidRDefault="00F332DA" w:rsidP="0000527F">
            <w:pPr>
              <w:rPr>
                <w:lang w:val="en-GB"/>
              </w:rPr>
            </w:pPr>
          </w:p>
        </w:tc>
      </w:tr>
      <w:tr w:rsidR="00F332DA" w:rsidRPr="00BD76AF" w14:paraId="2599C170" w14:textId="77777777" w:rsidTr="00C41E04">
        <w:tc>
          <w:tcPr>
            <w:tcW w:w="4109" w:type="dxa"/>
            <w:shd w:val="clear" w:color="auto" w:fill="auto"/>
          </w:tcPr>
          <w:p w14:paraId="042E2C5F" w14:textId="77777777" w:rsidR="00F332DA" w:rsidRPr="00BD76AF" w:rsidRDefault="00F332DA" w:rsidP="0000527F">
            <w:pPr>
              <w:rPr>
                <w:lang w:val="en-GB"/>
              </w:rPr>
            </w:pPr>
          </w:p>
        </w:tc>
        <w:tc>
          <w:tcPr>
            <w:tcW w:w="4209" w:type="dxa"/>
            <w:shd w:val="clear" w:color="auto" w:fill="auto"/>
          </w:tcPr>
          <w:p w14:paraId="7A68E803" w14:textId="77777777" w:rsidR="00F332DA" w:rsidRPr="00BD76AF" w:rsidRDefault="00F332DA" w:rsidP="0000527F">
            <w:pPr>
              <w:rPr>
                <w:lang w:val="en-GB"/>
              </w:rPr>
            </w:pPr>
          </w:p>
        </w:tc>
      </w:tr>
      <w:tr w:rsidR="00F332DA" w:rsidRPr="00BD76AF" w14:paraId="0C099696" w14:textId="77777777" w:rsidTr="00C41E04">
        <w:tc>
          <w:tcPr>
            <w:tcW w:w="4109" w:type="dxa"/>
            <w:shd w:val="clear" w:color="auto" w:fill="auto"/>
          </w:tcPr>
          <w:p w14:paraId="169EB364" w14:textId="77777777" w:rsidR="00F332DA" w:rsidRPr="00BD76AF" w:rsidRDefault="00F332DA" w:rsidP="0000527F">
            <w:pPr>
              <w:rPr>
                <w:lang w:val="en-GB"/>
              </w:rPr>
            </w:pPr>
          </w:p>
        </w:tc>
        <w:tc>
          <w:tcPr>
            <w:tcW w:w="4209" w:type="dxa"/>
            <w:shd w:val="clear" w:color="auto" w:fill="auto"/>
          </w:tcPr>
          <w:p w14:paraId="6154C4AA" w14:textId="77777777" w:rsidR="00F332DA" w:rsidRPr="00BD76AF" w:rsidRDefault="00F332DA" w:rsidP="0000527F">
            <w:pPr>
              <w:rPr>
                <w:lang w:val="en-GB"/>
              </w:rPr>
            </w:pPr>
          </w:p>
        </w:tc>
      </w:tr>
    </w:tbl>
    <w:p w14:paraId="66E2B063" w14:textId="77777777" w:rsidR="00F332DA" w:rsidRPr="00BD76AF" w:rsidRDefault="00F332DA" w:rsidP="00E25879">
      <w:pPr>
        <w:rPr>
          <w:lang w:eastAsia="ja-JP"/>
        </w:rPr>
      </w:pPr>
    </w:p>
    <w:p w14:paraId="2195B323" w14:textId="77777777" w:rsidR="00F332DA" w:rsidRPr="00BD76AF" w:rsidRDefault="00F332DA" w:rsidP="00E25879">
      <w:pPr>
        <w:rPr>
          <w:lang w:eastAsia="ja-JP"/>
        </w:rPr>
      </w:pPr>
    </w:p>
    <w:p w14:paraId="07061225" w14:textId="77777777" w:rsidR="00F332DA" w:rsidRPr="00BD76AF" w:rsidRDefault="00F332DA" w:rsidP="00E25879">
      <w:pPr>
        <w:ind w:left="720" w:hanging="720"/>
      </w:pPr>
      <w:r w:rsidRPr="00BD76AF">
        <w:t>8.</w:t>
      </w:r>
      <w:r w:rsidRPr="00BD76AF">
        <w:tab/>
        <w:t>Estimation de l’augmentation ou de la diminution du Montant du Marché résultant de la proposition de modification :</w:t>
      </w:r>
      <w:r w:rsidRPr="00BD76AF">
        <w:rPr>
          <w:rStyle w:val="a9"/>
        </w:rPr>
        <w:footnoteReference w:id="2"/>
      </w:r>
    </w:p>
    <w:p w14:paraId="0EF2D369" w14:textId="77777777" w:rsidR="00F332DA" w:rsidRPr="00BD76AF" w:rsidRDefault="00F332DA" w:rsidP="00BC31F1">
      <w:pPr>
        <w:tabs>
          <w:tab w:val="left" w:pos="7440"/>
        </w:tabs>
        <w:spacing w:after="200"/>
        <w:ind w:left="720"/>
      </w:pPr>
      <w:r w:rsidRPr="00BD76AF">
        <w:tab/>
      </w:r>
      <w:r w:rsidRPr="00BD76AF">
        <w:rPr>
          <w:u w:val="single"/>
        </w:rPr>
        <w:t>(montant)</w:t>
      </w:r>
    </w:p>
    <w:p w14:paraId="14A51EF1" w14:textId="77777777" w:rsidR="00F332DA" w:rsidRPr="00BD76AF" w:rsidRDefault="00F332DA" w:rsidP="00E25879">
      <w:pPr>
        <w:tabs>
          <w:tab w:val="left" w:pos="1440"/>
          <w:tab w:val="left" w:pos="7200"/>
          <w:tab w:val="left" w:pos="8640"/>
        </w:tabs>
        <w:ind w:left="720"/>
      </w:pPr>
      <w:r w:rsidRPr="00BD76AF">
        <w:t>a)</w:t>
      </w:r>
      <w:r w:rsidRPr="00BD76AF">
        <w:tab/>
        <w:t>Matériaux directs</w:t>
      </w:r>
      <w:r w:rsidRPr="00BD76AF">
        <w:tab/>
      </w:r>
      <w:r w:rsidRPr="00BD76AF">
        <w:rPr>
          <w:u w:val="single"/>
        </w:rPr>
        <w:tab/>
      </w:r>
    </w:p>
    <w:p w14:paraId="1DA0B515" w14:textId="77777777" w:rsidR="00F332DA" w:rsidRPr="00BD76AF" w:rsidRDefault="00F332DA" w:rsidP="00E25879">
      <w:pPr>
        <w:tabs>
          <w:tab w:val="left" w:pos="1440"/>
          <w:tab w:val="left" w:pos="7200"/>
          <w:tab w:val="left" w:pos="8640"/>
        </w:tabs>
        <w:ind w:left="720"/>
      </w:pPr>
    </w:p>
    <w:p w14:paraId="394F9C94" w14:textId="77777777" w:rsidR="00F332DA" w:rsidRPr="00BD76AF" w:rsidRDefault="00F332DA" w:rsidP="00E25879">
      <w:pPr>
        <w:tabs>
          <w:tab w:val="left" w:pos="1440"/>
          <w:tab w:val="left" w:pos="7200"/>
          <w:tab w:val="left" w:pos="8640"/>
        </w:tabs>
        <w:ind w:left="720"/>
      </w:pPr>
      <w:r w:rsidRPr="00BD76AF">
        <w:t>b)</w:t>
      </w:r>
      <w:r w:rsidRPr="00BD76AF">
        <w:tab/>
        <w:t>Équipements importants de construction</w:t>
      </w:r>
      <w:r w:rsidRPr="00BD76AF">
        <w:tab/>
      </w:r>
      <w:r w:rsidRPr="00BD76AF">
        <w:rPr>
          <w:u w:val="single"/>
        </w:rPr>
        <w:tab/>
      </w:r>
    </w:p>
    <w:p w14:paraId="3E36AB37" w14:textId="77777777" w:rsidR="00F332DA" w:rsidRPr="00BD76AF" w:rsidRDefault="00F332DA" w:rsidP="00E25879">
      <w:pPr>
        <w:tabs>
          <w:tab w:val="left" w:pos="1440"/>
          <w:tab w:val="left" w:pos="7200"/>
          <w:tab w:val="left" w:pos="8640"/>
        </w:tabs>
        <w:ind w:left="720"/>
      </w:pPr>
    </w:p>
    <w:p w14:paraId="52532177" w14:textId="77777777" w:rsidR="00F332DA" w:rsidRPr="00BD76AF" w:rsidRDefault="00F332DA" w:rsidP="00E25879">
      <w:pPr>
        <w:tabs>
          <w:tab w:val="left" w:pos="1440"/>
          <w:tab w:val="left" w:pos="7200"/>
          <w:tab w:val="left" w:pos="8640"/>
        </w:tabs>
        <w:ind w:left="720"/>
      </w:pPr>
      <w:r w:rsidRPr="00BD76AF">
        <w:t>c)</w:t>
      </w:r>
      <w:r w:rsidRPr="00BD76AF">
        <w:tab/>
        <w:t>Main-d’œuvre directe sur le chantier (total ______ h)</w:t>
      </w:r>
      <w:r w:rsidRPr="00BD76AF">
        <w:tab/>
      </w:r>
      <w:r w:rsidRPr="00BD76AF">
        <w:rPr>
          <w:u w:val="single"/>
        </w:rPr>
        <w:tab/>
      </w:r>
    </w:p>
    <w:p w14:paraId="5A37ACD1" w14:textId="77777777" w:rsidR="00F332DA" w:rsidRPr="00BD76AF" w:rsidRDefault="00F332DA" w:rsidP="00E25879">
      <w:pPr>
        <w:tabs>
          <w:tab w:val="left" w:pos="1440"/>
          <w:tab w:val="left" w:pos="7200"/>
          <w:tab w:val="left" w:pos="8640"/>
        </w:tabs>
        <w:ind w:left="720"/>
      </w:pPr>
    </w:p>
    <w:p w14:paraId="24EDBEEB" w14:textId="77777777" w:rsidR="00F332DA" w:rsidRPr="00BD76AF" w:rsidRDefault="00F332DA" w:rsidP="00E25879">
      <w:pPr>
        <w:tabs>
          <w:tab w:val="left" w:pos="1440"/>
          <w:tab w:val="left" w:pos="7200"/>
          <w:tab w:val="left" w:pos="8640"/>
        </w:tabs>
        <w:ind w:left="720"/>
      </w:pPr>
      <w:r w:rsidRPr="00BD76AF">
        <w:t>d)</w:t>
      </w:r>
      <w:r w:rsidRPr="00BD76AF">
        <w:tab/>
        <w:t>Contrats de sous-traitance</w:t>
      </w:r>
      <w:r w:rsidRPr="00BD76AF">
        <w:tab/>
      </w:r>
      <w:r w:rsidRPr="00BD76AF">
        <w:rPr>
          <w:u w:val="single"/>
        </w:rPr>
        <w:tab/>
      </w:r>
    </w:p>
    <w:p w14:paraId="4FC213EA" w14:textId="77777777" w:rsidR="00F332DA" w:rsidRPr="00BD76AF" w:rsidRDefault="00F332DA" w:rsidP="00E25879">
      <w:pPr>
        <w:tabs>
          <w:tab w:val="left" w:pos="1440"/>
          <w:tab w:val="left" w:pos="7200"/>
          <w:tab w:val="left" w:pos="8640"/>
        </w:tabs>
        <w:ind w:left="720"/>
      </w:pPr>
    </w:p>
    <w:p w14:paraId="6382C9FA" w14:textId="77777777" w:rsidR="00F332DA" w:rsidRPr="00BD76AF" w:rsidRDefault="00F332DA" w:rsidP="00E25879">
      <w:pPr>
        <w:tabs>
          <w:tab w:val="left" w:pos="1440"/>
          <w:tab w:val="left" w:pos="7200"/>
          <w:tab w:val="left" w:pos="8640"/>
        </w:tabs>
        <w:ind w:left="720"/>
      </w:pPr>
      <w:r w:rsidRPr="00BD76AF">
        <w:t>e)</w:t>
      </w:r>
      <w:r w:rsidRPr="00BD76AF">
        <w:tab/>
        <w:t>Matériaux et main-d’œuvre indirects</w:t>
      </w:r>
      <w:r w:rsidRPr="00BD76AF">
        <w:tab/>
      </w:r>
      <w:r w:rsidRPr="00BD76AF">
        <w:rPr>
          <w:u w:val="single"/>
        </w:rPr>
        <w:tab/>
      </w:r>
    </w:p>
    <w:p w14:paraId="2B8B7116" w14:textId="77777777" w:rsidR="00F332DA" w:rsidRPr="00BD76AF" w:rsidRDefault="00F332DA" w:rsidP="00E25879">
      <w:pPr>
        <w:tabs>
          <w:tab w:val="left" w:pos="1440"/>
          <w:tab w:val="left" w:pos="7200"/>
          <w:tab w:val="left" w:pos="8640"/>
        </w:tabs>
        <w:ind w:left="720"/>
      </w:pPr>
    </w:p>
    <w:p w14:paraId="1F7E16BC" w14:textId="77777777" w:rsidR="00F332DA" w:rsidRPr="00BD76AF" w:rsidRDefault="00F332DA" w:rsidP="00E25879">
      <w:pPr>
        <w:tabs>
          <w:tab w:val="left" w:pos="1440"/>
          <w:tab w:val="left" w:pos="7200"/>
          <w:tab w:val="left" w:pos="8640"/>
        </w:tabs>
        <w:ind w:left="720"/>
      </w:pPr>
      <w:r w:rsidRPr="00BD76AF">
        <w:t>f)</w:t>
      </w:r>
      <w:r w:rsidRPr="00BD76AF">
        <w:tab/>
        <w:t>Supervision du Site</w:t>
      </w:r>
      <w:r w:rsidRPr="00BD76AF">
        <w:tab/>
      </w:r>
      <w:r w:rsidRPr="00BD76AF">
        <w:rPr>
          <w:u w:val="single"/>
        </w:rPr>
        <w:tab/>
      </w:r>
    </w:p>
    <w:p w14:paraId="433AF78C" w14:textId="77777777" w:rsidR="00F332DA" w:rsidRPr="00BD76AF" w:rsidRDefault="00F332DA" w:rsidP="00E25879">
      <w:pPr>
        <w:ind w:left="720"/>
      </w:pPr>
    </w:p>
    <w:p w14:paraId="48379A1D" w14:textId="77777777" w:rsidR="00F332DA" w:rsidRPr="00BD76AF" w:rsidRDefault="00F332DA" w:rsidP="00E25879">
      <w:pPr>
        <w:ind w:left="720"/>
      </w:pPr>
      <w:r w:rsidRPr="00BD76AF">
        <w:t>g)</w:t>
      </w:r>
      <w:r w:rsidRPr="00BD76AF">
        <w:tab/>
        <w:t>Salaires de l’équipe technique du siège</w:t>
      </w:r>
    </w:p>
    <w:p w14:paraId="182025BA" w14:textId="77777777" w:rsidR="00F332DA" w:rsidRPr="00BD76AF" w:rsidRDefault="00F332DA" w:rsidP="00E25879">
      <w:pPr>
        <w:ind w:left="720"/>
      </w:pPr>
    </w:p>
    <w:p w14:paraId="24540639" w14:textId="77777777" w:rsidR="00F332DA" w:rsidRPr="00BD76AF" w:rsidRDefault="00F332DA" w:rsidP="00E25879">
      <w:pPr>
        <w:tabs>
          <w:tab w:val="left" w:pos="3960"/>
          <w:tab w:val="left" w:pos="4680"/>
          <w:tab w:val="left" w:pos="5040"/>
          <w:tab w:val="left" w:pos="5760"/>
          <w:tab w:val="left" w:pos="7200"/>
          <w:tab w:val="left" w:pos="8640"/>
        </w:tabs>
        <w:ind w:left="1440"/>
      </w:pPr>
      <w:r w:rsidRPr="00BD76AF">
        <w:t>Ingénieur procédés</w:t>
      </w:r>
      <w:r w:rsidRPr="00BD76AF">
        <w:tab/>
      </w:r>
      <w:r w:rsidRPr="00BD76AF">
        <w:rPr>
          <w:u w:val="single"/>
        </w:rPr>
        <w:tab/>
      </w:r>
      <w:r w:rsidRPr="00BD76AF">
        <w:t xml:space="preserve"> h x </w:t>
      </w:r>
      <w:r w:rsidRPr="00BD76AF">
        <w:rPr>
          <w:u w:val="single"/>
        </w:rPr>
        <w:tab/>
      </w:r>
      <w:r w:rsidRPr="00BD76AF">
        <w:t xml:space="preserve"> taux horaire</w:t>
      </w:r>
      <w:r w:rsidRPr="00BD76AF">
        <w:tab/>
      </w:r>
      <w:r w:rsidRPr="00BD76AF">
        <w:rPr>
          <w:u w:val="single"/>
        </w:rPr>
        <w:tab/>
      </w:r>
    </w:p>
    <w:p w14:paraId="467F6E48" w14:textId="77777777" w:rsidR="00F332DA" w:rsidRPr="00BD76AF" w:rsidRDefault="00F332DA" w:rsidP="00E25879">
      <w:pPr>
        <w:tabs>
          <w:tab w:val="left" w:pos="3960"/>
          <w:tab w:val="left" w:pos="4680"/>
          <w:tab w:val="left" w:pos="5040"/>
          <w:tab w:val="left" w:pos="5760"/>
          <w:tab w:val="left" w:pos="7200"/>
          <w:tab w:val="left" w:pos="8640"/>
        </w:tabs>
        <w:ind w:left="1440"/>
      </w:pPr>
      <w:r w:rsidRPr="00BD76AF">
        <w:t>Ingénieur projet</w:t>
      </w:r>
      <w:r w:rsidRPr="00BD76AF">
        <w:tab/>
      </w:r>
      <w:r w:rsidRPr="00BD76AF">
        <w:rPr>
          <w:u w:val="single"/>
        </w:rPr>
        <w:tab/>
      </w:r>
      <w:r w:rsidRPr="00BD76AF">
        <w:t xml:space="preserve"> h x </w:t>
      </w:r>
      <w:r w:rsidRPr="00BD76AF">
        <w:rPr>
          <w:u w:val="single"/>
        </w:rPr>
        <w:tab/>
      </w:r>
      <w:r w:rsidRPr="00BD76AF">
        <w:t xml:space="preserve"> taux horaire</w:t>
      </w:r>
      <w:r w:rsidRPr="00BD76AF">
        <w:tab/>
      </w:r>
      <w:r w:rsidRPr="00BD76AF">
        <w:rPr>
          <w:u w:val="single"/>
        </w:rPr>
        <w:tab/>
      </w:r>
    </w:p>
    <w:p w14:paraId="21B69521" w14:textId="77777777" w:rsidR="00F332DA" w:rsidRPr="00BD76AF" w:rsidRDefault="00F332DA" w:rsidP="00E25879">
      <w:pPr>
        <w:tabs>
          <w:tab w:val="left" w:pos="3960"/>
          <w:tab w:val="left" w:pos="4680"/>
          <w:tab w:val="left" w:pos="5040"/>
          <w:tab w:val="left" w:pos="5760"/>
          <w:tab w:val="left" w:pos="7200"/>
          <w:tab w:val="left" w:pos="8640"/>
        </w:tabs>
        <w:ind w:left="1440"/>
      </w:pPr>
      <w:r w:rsidRPr="00BD76AF">
        <w:t>Ingénieur équipements</w:t>
      </w:r>
      <w:r w:rsidRPr="00BD76AF">
        <w:tab/>
      </w:r>
      <w:r w:rsidRPr="00BD76AF">
        <w:rPr>
          <w:u w:val="single"/>
        </w:rPr>
        <w:tab/>
      </w:r>
      <w:r w:rsidRPr="00BD76AF">
        <w:t xml:space="preserve"> h x </w:t>
      </w:r>
      <w:r w:rsidRPr="00BD76AF">
        <w:rPr>
          <w:u w:val="single"/>
        </w:rPr>
        <w:tab/>
      </w:r>
      <w:r w:rsidRPr="00BD76AF">
        <w:t xml:space="preserve"> taux horaire</w:t>
      </w:r>
      <w:r w:rsidRPr="00BD76AF">
        <w:tab/>
      </w:r>
      <w:r w:rsidRPr="00BD76AF">
        <w:rPr>
          <w:u w:val="single"/>
        </w:rPr>
        <w:tab/>
      </w:r>
    </w:p>
    <w:p w14:paraId="7483C5B6" w14:textId="77777777" w:rsidR="00F332DA" w:rsidRPr="00BD76AF" w:rsidRDefault="00F332DA" w:rsidP="00E25879">
      <w:pPr>
        <w:tabs>
          <w:tab w:val="left" w:pos="3960"/>
          <w:tab w:val="left" w:pos="4680"/>
          <w:tab w:val="left" w:pos="5040"/>
          <w:tab w:val="left" w:pos="5760"/>
          <w:tab w:val="left" w:pos="7200"/>
          <w:tab w:val="left" w:pos="8640"/>
        </w:tabs>
        <w:ind w:left="1440"/>
      </w:pPr>
      <w:r w:rsidRPr="00BD76AF">
        <w:t>Approvisionnement</w:t>
      </w:r>
      <w:r w:rsidRPr="00BD76AF">
        <w:tab/>
      </w:r>
      <w:r w:rsidRPr="00BD76AF">
        <w:rPr>
          <w:u w:val="single"/>
        </w:rPr>
        <w:tab/>
      </w:r>
      <w:r w:rsidRPr="00BD76AF">
        <w:t xml:space="preserve"> h x </w:t>
      </w:r>
      <w:r w:rsidRPr="00BD76AF">
        <w:rPr>
          <w:u w:val="single"/>
        </w:rPr>
        <w:tab/>
      </w:r>
      <w:r w:rsidRPr="00BD76AF">
        <w:t xml:space="preserve"> taux horaire</w:t>
      </w:r>
      <w:r w:rsidRPr="00BD76AF">
        <w:tab/>
      </w:r>
      <w:r w:rsidRPr="00BD76AF">
        <w:rPr>
          <w:u w:val="single"/>
        </w:rPr>
        <w:tab/>
      </w:r>
    </w:p>
    <w:p w14:paraId="7E44D631" w14:textId="77777777" w:rsidR="00F332DA" w:rsidRPr="00BD76AF" w:rsidRDefault="00F332DA" w:rsidP="00E25879">
      <w:pPr>
        <w:tabs>
          <w:tab w:val="left" w:pos="3960"/>
          <w:tab w:val="left" w:pos="4680"/>
          <w:tab w:val="left" w:pos="5040"/>
          <w:tab w:val="left" w:pos="5760"/>
          <w:tab w:val="left" w:pos="7200"/>
          <w:tab w:val="left" w:pos="8640"/>
        </w:tabs>
        <w:ind w:left="1440"/>
      </w:pPr>
      <w:r w:rsidRPr="00BD76AF">
        <w:t>Dessinateurs</w:t>
      </w:r>
      <w:r w:rsidRPr="00BD76AF">
        <w:tab/>
      </w:r>
      <w:r w:rsidRPr="00BD76AF">
        <w:rPr>
          <w:u w:val="single"/>
        </w:rPr>
        <w:tab/>
      </w:r>
      <w:r w:rsidRPr="00BD76AF">
        <w:t xml:space="preserve"> h x </w:t>
      </w:r>
      <w:r w:rsidRPr="00BD76AF">
        <w:rPr>
          <w:u w:val="single"/>
        </w:rPr>
        <w:tab/>
      </w:r>
      <w:r w:rsidRPr="00BD76AF">
        <w:t xml:space="preserve"> taux horaire</w:t>
      </w:r>
      <w:r w:rsidRPr="00BD76AF">
        <w:tab/>
      </w:r>
      <w:r w:rsidRPr="00BD76AF">
        <w:rPr>
          <w:u w:val="single"/>
        </w:rPr>
        <w:tab/>
      </w:r>
    </w:p>
    <w:p w14:paraId="31DA1867" w14:textId="77777777" w:rsidR="00F332DA" w:rsidRPr="00BD76AF" w:rsidRDefault="00F332DA" w:rsidP="00E25879">
      <w:pPr>
        <w:tabs>
          <w:tab w:val="left" w:pos="3960"/>
          <w:tab w:val="left" w:pos="4680"/>
          <w:tab w:val="left" w:pos="7200"/>
          <w:tab w:val="left" w:pos="8640"/>
        </w:tabs>
        <w:ind w:left="1440"/>
        <w:rPr>
          <w:u w:val="single"/>
        </w:rPr>
      </w:pPr>
      <w:r w:rsidRPr="00BD76AF">
        <w:t>TOTAL</w:t>
      </w:r>
      <w:r w:rsidRPr="00BD76AF">
        <w:tab/>
      </w:r>
      <w:r w:rsidRPr="00BD76AF">
        <w:rPr>
          <w:u w:val="single"/>
        </w:rPr>
        <w:tab/>
      </w:r>
      <w:r w:rsidRPr="00BD76AF">
        <w:t xml:space="preserve"> h</w:t>
      </w:r>
      <w:r w:rsidRPr="00BD76AF">
        <w:tab/>
      </w:r>
      <w:r w:rsidRPr="00BD76AF">
        <w:rPr>
          <w:u w:val="single"/>
        </w:rPr>
        <w:tab/>
      </w:r>
    </w:p>
    <w:p w14:paraId="16E6F1F9" w14:textId="77777777" w:rsidR="00F332DA" w:rsidRPr="00BD76AF" w:rsidRDefault="00F332DA" w:rsidP="00E25879">
      <w:pPr>
        <w:tabs>
          <w:tab w:val="left" w:pos="3960"/>
          <w:tab w:val="left" w:pos="4680"/>
          <w:tab w:val="left" w:pos="7200"/>
          <w:tab w:val="left" w:pos="8640"/>
        </w:tabs>
        <w:ind w:left="1440"/>
      </w:pPr>
    </w:p>
    <w:p w14:paraId="34DDAD08" w14:textId="77777777" w:rsidR="00F332DA" w:rsidRPr="00BD76AF" w:rsidRDefault="00F332DA" w:rsidP="00E25879">
      <w:pPr>
        <w:tabs>
          <w:tab w:val="left" w:pos="1440"/>
          <w:tab w:val="left" w:pos="7200"/>
          <w:tab w:val="left" w:pos="8640"/>
        </w:tabs>
        <w:ind w:left="720"/>
      </w:pPr>
      <w:r w:rsidRPr="00BD76AF">
        <w:t>h)</w:t>
      </w:r>
      <w:r w:rsidRPr="00BD76AF">
        <w:tab/>
        <w:t>Frais divers (informatique, déplacements, etc.)</w:t>
      </w:r>
      <w:r w:rsidRPr="00BD76AF">
        <w:tab/>
      </w:r>
      <w:r w:rsidRPr="00BD76AF">
        <w:rPr>
          <w:u w:val="single"/>
        </w:rPr>
        <w:tab/>
      </w:r>
    </w:p>
    <w:p w14:paraId="3743E200" w14:textId="77777777" w:rsidR="00F332DA" w:rsidRPr="00BD76AF" w:rsidRDefault="00F332DA" w:rsidP="00E25879">
      <w:pPr>
        <w:tabs>
          <w:tab w:val="left" w:pos="1440"/>
          <w:tab w:val="left" w:pos="7200"/>
          <w:tab w:val="left" w:pos="8640"/>
        </w:tabs>
        <w:ind w:left="720"/>
      </w:pPr>
    </w:p>
    <w:p w14:paraId="4241E886" w14:textId="77777777" w:rsidR="00F332DA" w:rsidRPr="00BD76AF" w:rsidRDefault="00F332DA" w:rsidP="00E25879">
      <w:pPr>
        <w:tabs>
          <w:tab w:val="left" w:pos="1440"/>
          <w:tab w:val="left" w:pos="7200"/>
          <w:tab w:val="left" w:pos="8640"/>
        </w:tabs>
        <w:ind w:left="720"/>
      </w:pPr>
      <w:r w:rsidRPr="00BD76AF">
        <w:t>i)</w:t>
      </w:r>
      <w:r w:rsidRPr="00BD76AF">
        <w:tab/>
        <w:t>Frais généraux de gestion : ______ % des postes</w:t>
      </w:r>
      <w:r w:rsidRPr="00BD76AF">
        <w:tab/>
      </w:r>
      <w:r w:rsidRPr="00BD76AF">
        <w:rPr>
          <w:u w:val="single"/>
        </w:rPr>
        <w:tab/>
      </w:r>
    </w:p>
    <w:p w14:paraId="7582444D" w14:textId="77777777" w:rsidR="00F332DA" w:rsidRPr="00BD76AF" w:rsidRDefault="00F332DA" w:rsidP="00E25879">
      <w:pPr>
        <w:tabs>
          <w:tab w:val="left" w:pos="1440"/>
          <w:tab w:val="left" w:pos="7200"/>
          <w:tab w:val="left" w:pos="8640"/>
        </w:tabs>
        <w:ind w:left="720"/>
      </w:pPr>
    </w:p>
    <w:p w14:paraId="21834632" w14:textId="77777777" w:rsidR="00F332DA" w:rsidRPr="00BD76AF" w:rsidRDefault="00F332DA" w:rsidP="00E25879">
      <w:pPr>
        <w:tabs>
          <w:tab w:val="left" w:pos="1440"/>
          <w:tab w:val="left" w:pos="7200"/>
          <w:tab w:val="left" w:pos="8640"/>
        </w:tabs>
        <w:ind w:left="720"/>
      </w:pPr>
      <w:r w:rsidRPr="00BD76AF">
        <w:t>j)</w:t>
      </w:r>
      <w:r w:rsidRPr="00BD76AF">
        <w:tab/>
        <w:t>Impôts et droits de douane</w:t>
      </w:r>
      <w:r w:rsidRPr="00BD76AF">
        <w:tab/>
      </w:r>
      <w:r w:rsidRPr="00BD76AF">
        <w:rPr>
          <w:u w:val="single"/>
        </w:rPr>
        <w:tab/>
      </w:r>
    </w:p>
    <w:p w14:paraId="4428A855" w14:textId="77777777" w:rsidR="00F332DA" w:rsidRPr="00BD76AF" w:rsidRDefault="00F332DA" w:rsidP="00E25879">
      <w:pPr>
        <w:ind w:left="720"/>
      </w:pPr>
    </w:p>
    <w:p w14:paraId="66CE993F" w14:textId="77777777" w:rsidR="00F332DA" w:rsidRPr="00BD76AF" w:rsidRDefault="00F332DA" w:rsidP="00E25879">
      <w:pPr>
        <w:ind w:left="720"/>
      </w:pPr>
      <w:r w:rsidRPr="00BD76AF">
        <w:t>Somme forfaitaire totale pour la proposition de modification</w:t>
      </w:r>
    </w:p>
    <w:p w14:paraId="1ED9F3F5" w14:textId="77777777" w:rsidR="00F332DA" w:rsidRPr="00BD76AF" w:rsidRDefault="00F332DA" w:rsidP="00E25879">
      <w:pPr>
        <w:tabs>
          <w:tab w:val="left" w:pos="7200"/>
          <w:tab w:val="left" w:pos="8640"/>
        </w:tabs>
        <w:ind w:left="720"/>
        <w:rPr>
          <w:u w:val="single"/>
        </w:rPr>
      </w:pPr>
      <w:r w:rsidRPr="00BD76AF">
        <w:t>(</w:t>
      </w:r>
      <w:r w:rsidRPr="00BD76AF">
        <w:rPr>
          <w:i/>
        </w:rPr>
        <w:t>somme des postes a) à j)</w:t>
      </w:r>
      <w:r w:rsidRPr="00BD76AF">
        <w:t>)</w:t>
      </w:r>
      <w:r w:rsidRPr="00BD76AF">
        <w:tab/>
      </w:r>
      <w:r w:rsidRPr="00BD76AF">
        <w:rPr>
          <w:u w:val="single"/>
        </w:rPr>
        <w:tab/>
      </w:r>
    </w:p>
    <w:p w14:paraId="2A70D153" w14:textId="77777777" w:rsidR="00F332DA" w:rsidRPr="00BD76AF" w:rsidRDefault="00F332DA" w:rsidP="00E25879">
      <w:pPr>
        <w:tabs>
          <w:tab w:val="left" w:pos="7200"/>
          <w:tab w:val="left" w:pos="8640"/>
        </w:tabs>
        <w:ind w:left="720"/>
      </w:pPr>
    </w:p>
    <w:p w14:paraId="451B3664" w14:textId="77777777" w:rsidR="00F332DA" w:rsidRPr="00BD76AF" w:rsidRDefault="00F332DA" w:rsidP="00E25879">
      <w:pPr>
        <w:ind w:left="720"/>
      </w:pPr>
      <w:r w:rsidRPr="00BD76AF">
        <w:t>Coût d’élaboration de l’estimation de la proposition de modification</w:t>
      </w:r>
    </w:p>
    <w:p w14:paraId="400280FB" w14:textId="77777777" w:rsidR="00F332DA" w:rsidRPr="00BD76AF" w:rsidRDefault="00F332DA" w:rsidP="00E25879">
      <w:pPr>
        <w:tabs>
          <w:tab w:val="left" w:pos="7200"/>
          <w:tab w:val="left" w:pos="8640"/>
        </w:tabs>
        <w:ind w:left="720"/>
      </w:pPr>
      <w:r w:rsidRPr="00BD76AF">
        <w:t>(</w:t>
      </w:r>
      <w:r w:rsidRPr="00BD76AF">
        <w:rPr>
          <w:i/>
        </w:rPr>
        <w:t>payable en cas de rejet de la proposition de modification</w:t>
      </w:r>
      <w:r w:rsidRPr="00BD76AF">
        <w:t>)</w:t>
      </w:r>
      <w:r w:rsidRPr="00BD76AF">
        <w:tab/>
      </w:r>
      <w:r w:rsidRPr="00BD76AF">
        <w:rPr>
          <w:u w:val="single"/>
        </w:rPr>
        <w:tab/>
      </w:r>
    </w:p>
    <w:p w14:paraId="3B1AF12E" w14:textId="77777777" w:rsidR="00F332DA" w:rsidRPr="00BD76AF" w:rsidRDefault="00F332DA" w:rsidP="00E25879"/>
    <w:p w14:paraId="13A33CF1" w14:textId="77777777" w:rsidR="00F332DA" w:rsidRPr="00BD76AF" w:rsidRDefault="00F332DA" w:rsidP="00E25879">
      <w:r w:rsidRPr="00BD76AF">
        <w:t>9.</w:t>
      </w:r>
      <w:r w:rsidRPr="00BD76AF">
        <w:tab/>
        <w:t>Prorogation de la date d’achèvement liée à la proposition de modification</w:t>
      </w:r>
    </w:p>
    <w:p w14:paraId="7865AB1C" w14:textId="77777777" w:rsidR="00F332DA" w:rsidRPr="00BD76AF" w:rsidRDefault="00F332DA" w:rsidP="00E25879"/>
    <w:p w14:paraId="6F624EE6" w14:textId="77777777" w:rsidR="00F332DA" w:rsidRPr="00BD76AF" w:rsidRDefault="00F332DA" w:rsidP="00E25879">
      <w:r w:rsidRPr="00BD76AF">
        <w:t>10.</w:t>
      </w:r>
      <w:r w:rsidRPr="00BD76AF">
        <w:tab/>
        <w:t>Conséquences sur les garanties opérationnelles</w:t>
      </w:r>
    </w:p>
    <w:p w14:paraId="2979C5F7" w14:textId="77777777" w:rsidR="00F332DA" w:rsidRPr="00BD76AF" w:rsidRDefault="00F332DA" w:rsidP="00E25879"/>
    <w:p w14:paraId="3FAC6AAC" w14:textId="77777777" w:rsidR="00F332DA" w:rsidRPr="00BD76AF" w:rsidRDefault="00F332DA" w:rsidP="00E25879">
      <w:r w:rsidRPr="00BD76AF">
        <w:t>11.</w:t>
      </w:r>
      <w:r w:rsidRPr="00BD76AF">
        <w:tab/>
        <w:t>Conséquences sur les autres termes et conditions du Marché</w:t>
      </w:r>
    </w:p>
    <w:p w14:paraId="54852F6F" w14:textId="77777777" w:rsidR="00F332DA" w:rsidRPr="00BD76AF" w:rsidRDefault="00F332DA" w:rsidP="00E25879">
      <w:pPr>
        <w:ind w:left="720" w:hanging="720"/>
      </w:pPr>
    </w:p>
    <w:p w14:paraId="1479A532" w14:textId="77777777" w:rsidR="00F332DA" w:rsidRPr="00BD76AF" w:rsidRDefault="00F332DA" w:rsidP="00E25879">
      <w:pPr>
        <w:ind w:left="720" w:hanging="720"/>
      </w:pPr>
      <w:r w:rsidRPr="00BD76AF">
        <w:t>12.</w:t>
      </w:r>
      <w:r w:rsidRPr="00BD76AF">
        <w:tab/>
        <w:t>Durée de validité de cette proposition : [</w:t>
      </w:r>
      <w:r w:rsidRPr="00BD76AF">
        <w:rPr>
          <w:i/>
        </w:rPr>
        <w:t>nombre</w:t>
      </w:r>
      <w:r w:rsidRPr="00BD76AF">
        <w:t>] jours après réception de la proposition par le Maître d’ouvrage</w:t>
      </w:r>
    </w:p>
    <w:p w14:paraId="19C329E9" w14:textId="77777777" w:rsidR="00F332DA" w:rsidRPr="00BD76AF" w:rsidRDefault="00F332DA" w:rsidP="00E25879"/>
    <w:p w14:paraId="6F2B92B4" w14:textId="77777777" w:rsidR="00F332DA" w:rsidRPr="00BD76AF" w:rsidRDefault="00F332DA" w:rsidP="00E25879">
      <w:r w:rsidRPr="00BD76AF">
        <w:t>13.</w:t>
      </w:r>
      <w:r w:rsidRPr="00BD76AF">
        <w:tab/>
        <w:t>Autres termes et conditions de cette proposition de modification :</w:t>
      </w:r>
    </w:p>
    <w:p w14:paraId="75A7F308" w14:textId="77777777" w:rsidR="00F332DA" w:rsidRPr="00BD76AF" w:rsidRDefault="00F332DA" w:rsidP="00E25879"/>
    <w:p w14:paraId="47236C9F" w14:textId="77777777" w:rsidR="00F332DA" w:rsidRPr="00BD76AF" w:rsidRDefault="00F332DA" w:rsidP="00E25879">
      <w:pPr>
        <w:ind w:left="1440" w:hanging="720"/>
      </w:pPr>
      <w:r w:rsidRPr="00BD76AF">
        <w:t>a)</w:t>
      </w:r>
      <w:r w:rsidRPr="00BD76AF">
        <w:tab/>
        <w:t>Nous vous demandons de nous notifier par écrit votre acceptation, votre analyse ou votre rejet de cette proposition détaillée de modification dans les [</w:t>
      </w:r>
      <w:r w:rsidRPr="00BD76AF">
        <w:rPr>
          <w:i/>
        </w:rPr>
        <w:t>nombre</w:t>
      </w:r>
      <w:r w:rsidRPr="00BD76AF">
        <w:t>] jours suivant la réception de la proposition.</w:t>
      </w:r>
    </w:p>
    <w:p w14:paraId="350AED33" w14:textId="77777777" w:rsidR="00F332DA" w:rsidRPr="00BD76AF" w:rsidRDefault="00F332DA" w:rsidP="00E25879">
      <w:pPr>
        <w:ind w:left="1440" w:hanging="720"/>
      </w:pPr>
    </w:p>
    <w:p w14:paraId="7F3A8468" w14:textId="77777777" w:rsidR="00F332DA" w:rsidRPr="00BD76AF" w:rsidRDefault="00F332DA" w:rsidP="00E25879">
      <w:pPr>
        <w:ind w:left="1440" w:hanging="720"/>
      </w:pPr>
      <w:r w:rsidRPr="00BD76AF">
        <w:t>b)</w:t>
      </w:r>
      <w:r w:rsidRPr="00BD76AF">
        <w:tab/>
        <w:t>Le montant de toute augmentation ou diminution sera pris en compte dans la rectification du Montant du Marché.</w:t>
      </w:r>
    </w:p>
    <w:p w14:paraId="02F6838B" w14:textId="77777777" w:rsidR="00F332DA" w:rsidRPr="00BD76AF" w:rsidRDefault="00F332DA" w:rsidP="00E25879">
      <w:pPr>
        <w:ind w:left="1440" w:hanging="720"/>
      </w:pPr>
    </w:p>
    <w:p w14:paraId="4621256A" w14:textId="77777777" w:rsidR="00F332DA" w:rsidRPr="00BD76AF" w:rsidRDefault="00F332DA" w:rsidP="003D46CF">
      <w:pPr>
        <w:numPr>
          <w:ilvl w:val="0"/>
          <w:numId w:val="85"/>
        </w:numPr>
      </w:pPr>
      <w:r w:rsidRPr="00BD76AF">
        <w:t>Coût pour l’Entrepreneur de l’élaboration de cette proposition de modification :</w:t>
      </w:r>
    </w:p>
    <w:p w14:paraId="00A53D03" w14:textId="77777777" w:rsidR="00F332DA" w:rsidRPr="00BD76AF" w:rsidRDefault="00F332DA" w:rsidP="00D10930">
      <w:pPr>
        <w:ind w:left="1440"/>
      </w:pPr>
      <w:r w:rsidRPr="00BD76AF">
        <w:t>[</w:t>
      </w:r>
      <w:r w:rsidRPr="00BD76AF">
        <w:rPr>
          <w:b/>
          <w:i/>
        </w:rPr>
        <w:t>Note</w:t>
      </w:r>
      <w:r w:rsidRPr="00BD76AF">
        <w:rPr>
          <w:i/>
        </w:rPr>
        <w:t> : ce coût sera remboursé par le Maître d’ouvrage si celui-ci retire ou rejette la proposition de modification sans que l’Entrepreneur ne soit en faute, conformément à l’Article 39 des CG du Marché.</w:t>
      </w:r>
      <w:r w:rsidRPr="00BD76AF">
        <w:t>] </w:t>
      </w:r>
    </w:p>
    <w:p w14:paraId="5E225CFA" w14:textId="77777777" w:rsidR="00F332DA" w:rsidRPr="00BD76AF" w:rsidRDefault="00F332DA" w:rsidP="00E25879"/>
    <w:p w14:paraId="6755C833" w14:textId="77777777" w:rsidR="00F332DA" w:rsidRPr="00BD76AF" w:rsidRDefault="00F332DA" w:rsidP="00E25879"/>
    <w:p w14:paraId="60EE289D" w14:textId="77777777" w:rsidR="00F332DA" w:rsidRPr="00BD76AF" w:rsidRDefault="00F332DA" w:rsidP="00E25879">
      <w:pPr>
        <w:tabs>
          <w:tab w:val="left" w:pos="7200"/>
        </w:tabs>
      </w:pPr>
      <w:r w:rsidRPr="00BD76AF">
        <w:rPr>
          <w:u w:val="single"/>
        </w:rPr>
        <w:tab/>
      </w:r>
    </w:p>
    <w:p w14:paraId="2B98F1F1" w14:textId="77777777" w:rsidR="00F332DA" w:rsidRPr="00BD76AF" w:rsidRDefault="00F332DA" w:rsidP="00E25879">
      <w:r w:rsidRPr="00BD76AF">
        <w:t xml:space="preserve">(nom de </w:t>
      </w:r>
      <w:r w:rsidRPr="00BD76AF">
        <w:rPr>
          <w:szCs w:val="24"/>
        </w:rPr>
        <w:t>l’Entrepreneur</w:t>
      </w:r>
      <w:r w:rsidRPr="00BD76AF">
        <w:t>)</w:t>
      </w:r>
    </w:p>
    <w:p w14:paraId="25867B66" w14:textId="77777777" w:rsidR="00F332DA" w:rsidRPr="00BD76AF" w:rsidRDefault="00F332DA" w:rsidP="00E25879"/>
    <w:p w14:paraId="3338D185" w14:textId="77777777" w:rsidR="00F332DA" w:rsidRPr="00BD76AF" w:rsidRDefault="00F332DA" w:rsidP="00E25879">
      <w:pPr>
        <w:tabs>
          <w:tab w:val="left" w:pos="7200"/>
        </w:tabs>
      </w:pPr>
      <w:r w:rsidRPr="00BD76AF">
        <w:rPr>
          <w:u w:val="single"/>
        </w:rPr>
        <w:tab/>
      </w:r>
    </w:p>
    <w:p w14:paraId="25CAB083" w14:textId="77777777" w:rsidR="00F332DA" w:rsidRPr="00BD76AF" w:rsidRDefault="00F332DA" w:rsidP="00E25879">
      <w:r w:rsidRPr="00BD76AF">
        <w:t>(signature)</w:t>
      </w:r>
    </w:p>
    <w:p w14:paraId="6BE25938" w14:textId="77777777" w:rsidR="00F332DA" w:rsidRPr="00BD76AF" w:rsidRDefault="00F332DA" w:rsidP="00E25879"/>
    <w:p w14:paraId="6585AC0F" w14:textId="77777777" w:rsidR="00F332DA" w:rsidRPr="00BD76AF" w:rsidRDefault="00F332DA" w:rsidP="00E25879">
      <w:pPr>
        <w:tabs>
          <w:tab w:val="left" w:pos="7200"/>
        </w:tabs>
      </w:pPr>
      <w:r w:rsidRPr="00BD76AF">
        <w:rPr>
          <w:u w:val="single"/>
        </w:rPr>
        <w:tab/>
      </w:r>
    </w:p>
    <w:p w14:paraId="542698E2" w14:textId="77777777" w:rsidR="00F332DA" w:rsidRPr="00BD76AF" w:rsidRDefault="00F332DA" w:rsidP="00E25879">
      <w:r w:rsidRPr="00BD76AF">
        <w:t>(nom du signataire)</w:t>
      </w:r>
    </w:p>
    <w:p w14:paraId="67C40358" w14:textId="77777777" w:rsidR="00F332DA" w:rsidRPr="00BD76AF" w:rsidRDefault="00F332DA" w:rsidP="00E25879"/>
    <w:p w14:paraId="65C140BA" w14:textId="77777777" w:rsidR="00F332DA" w:rsidRPr="00BD76AF" w:rsidRDefault="00F332DA" w:rsidP="00E25879">
      <w:pPr>
        <w:tabs>
          <w:tab w:val="left" w:pos="7200"/>
        </w:tabs>
      </w:pPr>
      <w:r w:rsidRPr="00BD76AF">
        <w:rPr>
          <w:u w:val="single"/>
        </w:rPr>
        <w:tab/>
      </w:r>
    </w:p>
    <w:p w14:paraId="41DCFFC7" w14:textId="77777777" w:rsidR="00F332DA" w:rsidRPr="00BD76AF" w:rsidRDefault="00F332DA" w:rsidP="00E25879">
      <w:r w:rsidRPr="00BD76AF">
        <w:t>(titre du signataire)</w:t>
      </w:r>
    </w:p>
    <w:p w14:paraId="564D57D3" w14:textId="77777777" w:rsidR="00F332DA" w:rsidRPr="00BD76AF" w:rsidRDefault="00F332DA" w:rsidP="00E25879"/>
    <w:p w14:paraId="702F0E05" w14:textId="77777777" w:rsidR="00F332DA" w:rsidRPr="00BD76AF" w:rsidRDefault="00F332DA" w:rsidP="00E819E4">
      <w:pPr>
        <w:pStyle w:val="SecVI-Header3"/>
        <w:rPr>
          <w:lang w:val="fr-FR"/>
        </w:rPr>
      </w:pPr>
      <w:r w:rsidRPr="00BD76AF">
        <w:rPr>
          <w:lang w:val="fr-FR"/>
        </w:rPr>
        <w:br w:type="page"/>
      </w:r>
      <w:bookmarkStart w:id="734" w:name="_Toc357505481"/>
      <w:bookmarkStart w:id="735" w:name="_Toc104294484"/>
      <w:r w:rsidRPr="00BD76AF">
        <w:rPr>
          <w:lang w:val="fr-FR"/>
        </w:rPr>
        <w:t>Formulaire 5.  Ordre de modification</w:t>
      </w:r>
      <w:bookmarkEnd w:id="734"/>
      <w:bookmarkEnd w:id="735"/>
    </w:p>
    <w:p w14:paraId="5839C3E3" w14:textId="77777777" w:rsidR="00F332DA" w:rsidRPr="00BD76AF" w:rsidRDefault="00F332DA" w:rsidP="008D172D">
      <w:pPr>
        <w:jc w:val="center"/>
      </w:pPr>
      <w:r w:rsidRPr="00BD76AF">
        <w:t>(Papier à en-tête du Maître d’ouvrage)</w:t>
      </w:r>
    </w:p>
    <w:p w14:paraId="3B1CAEDC" w14:textId="77777777" w:rsidR="00F332DA" w:rsidRPr="00BD76AF" w:rsidRDefault="00F332DA" w:rsidP="008D172D">
      <w:pPr>
        <w:jc w:val="center"/>
      </w:pPr>
    </w:p>
    <w:p w14:paraId="566D0E21" w14:textId="77777777" w:rsidR="00F332DA" w:rsidRPr="00BD76AF" w:rsidRDefault="00F332DA" w:rsidP="008D172D">
      <w:pPr>
        <w:tabs>
          <w:tab w:val="right" w:pos="6480"/>
          <w:tab w:val="left" w:pos="6660"/>
          <w:tab w:val="left" w:pos="8640"/>
        </w:tabs>
        <w:wordWrap w:val="0"/>
        <w:jc w:val="right"/>
      </w:pPr>
      <w:r w:rsidRPr="00BD76AF">
        <w:t>Date : [</w:t>
      </w:r>
      <w:r w:rsidRPr="00BD76AF">
        <w:rPr>
          <w:i/>
        </w:rPr>
        <w:t>indiquer jour, mois, année</w:t>
      </w:r>
      <w:r w:rsidRPr="00BD76AF">
        <w:t>]</w:t>
      </w:r>
    </w:p>
    <w:p w14:paraId="30C3EA85" w14:textId="77777777" w:rsidR="00F332DA" w:rsidRPr="00BD76AF" w:rsidRDefault="00F332DA" w:rsidP="008D172D"/>
    <w:p w14:paraId="6708C4AF" w14:textId="77777777" w:rsidR="00F332DA" w:rsidRPr="00BD76AF" w:rsidRDefault="00F332DA" w:rsidP="008D172D">
      <w:r w:rsidRPr="00BD76AF">
        <w:rPr>
          <w:rFonts w:hint="eastAsia"/>
        </w:rPr>
        <w:t>À</w:t>
      </w:r>
      <w:r w:rsidRPr="00BD76AF">
        <w:t> : [</w:t>
      </w:r>
      <w:r w:rsidRPr="00BD76AF">
        <w:rPr>
          <w:i/>
        </w:rPr>
        <w:t>indiquer les</w:t>
      </w:r>
      <w:r w:rsidRPr="00BD76AF">
        <w:t xml:space="preserve"> </w:t>
      </w:r>
      <w:r w:rsidRPr="00BD76AF">
        <w:rPr>
          <w:i/>
        </w:rPr>
        <w:t>nom et adresse de l’Entrepreneur</w:t>
      </w:r>
      <w:r w:rsidRPr="00BD76AF">
        <w:t>]</w:t>
      </w:r>
    </w:p>
    <w:p w14:paraId="566E5BA5" w14:textId="77777777" w:rsidR="00F332DA" w:rsidRPr="00BD76AF" w:rsidRDefault="00F332DA" w:rsidP="008D172D"/>
    <w:p w14:paraId="62BE9C43" w14:textId="77777777" w:rsidR="00F332DA" w:rsidRPr="00BD76AF" w:rsidRDefault="00F332DA" w:rsidP="008D172D">
      <w:r w:rsidRPr="00BD76AF">
        <w:rPr>
          <w:rFonts w:hint="eastAsia"/>
        </w:rPr>
        <w:t>À</w:t>
      </w:r>
      <w:r w:rsidRPr="00BD76AF">
        <w:t xml:space="preserve"> l’attention de : [</w:t>
      </w:r>
      <w:r w:rsidRPr="00BD76AF">
        <w:rPr>
          <w:i/>
        </w:rPr>
        <w:t>indiquer les nom et titre</w:t>
      </w:r>
      <w:r w:rsidRPr="00BD76AF">
        <w:t>]</w:t>
      </w:r>
    </w:p>
    <w:p w14:paraId="457D8F94" w14:textId="77777777" w:rsidR="00F332DA" w:rsidRPr="00BD76AF" w:rsidRDefault="00F332DA" w:rsidP="008D172D"/>
    <w:p w14:paraId="7CFA076A" w14:textId="77777777" w:rsidR="00F332DA" w:rsidRPr="00BD76AF" w:rsidRDefault="00F332DA" w:rsidP="008D172D">
      <w:r w:rsidRPr="00BD76AF">
        <w:t>Nom du Marché : [</w:t>
      </w:r>
      <w:r w:rsidRPr="00BD76AF">
        <w:rPr>
          <w:i/>
        </w:rPr>
        <w:t>indiquer le nom du Marché</w:t>
      </w:r>
      <w:r w:rsidRPr="00BD76AF">
        <w:t>]</w:t>
      </w:r>
    </w:p>
    <w:p w14:paraId="1EFB67DE" w14:textId="77777777" w:rsidR="00F332DA" w:rsidRPr="00BD76AF" w:rsidRDefault="00F332DA" w:rsidP="008D172D">
      <w:r w:rsidRPr="00BD76AF">
        <w:t>Marché n</w:t>
      </w:r>
      <w:r w:rsidRPr="00BD76AF">
        <w:rPr>
          <w:vertAlign w:val="superscript"/>
        </w:rPr>
        <w:t>o</w:t>
      </w:r>
      <w:r w:rsidRPr="00BD76AF">
        <w:t> : [</w:t>
      </w:r>
      <w:r w:rsidRPr="00BD76AF">
        <w:rPr>
          <w:i/>
        </w:rPr>
        <w:t>indiquer le numéro du Marché</w:t>
      </w:r>
      <w:r w:rsidRPr="00BD76AF">
        <w:t>]</w:t>
      </w:r>
    </w:p>
    <w:p w14:paraId="2DCC7AF4" w14:textId="77777777" w:rsidR="00F332DA" w:rsidRPr="00BD76AF" w:rsidRDefault="00F332DA" w:rsidP="008D172D"/>
    <w:p w14:paraId="1895AB2D" w14:textId="77777777" w:rsidR="00F332DA" w:rsidRPr="00BD76AF" w:rsidRDefault="00F332DA" w:rsidP="008D172D">
      <w:r w:rsidRPr="00BD76AF">
        <w:t>Mesdames/Messieurs,</w:t>
      </w:r>
    </w:p>
    <w:p w14:paraId="40D48A3B" w14:textId="77777777" w:rsidR="00F332DA" w:rsidRPr="00BD76AF" w:rsidRDefault="00F332DA" w:rsidP="008D172D"/>
    <w:p w14:paraId="34C7CBB5" w14:textId="77777777" w:rsidR="00F332DA" w:rsidRPr="00BD76AF" w:rsidRDefault="00F332DA" w:rsidP="008D172D">
      <w:r w:rsidRPr="00BD76AF">
        <w:t>Nous approuvons l’ordre de modification concernant les Installations indiquées dans la proposition de modification n</w:t>
      </w:r>
      <w:r w:rsidRPr="00BD76AF">
        <w:rPr>
          <w:vertAlign w:val="superscript"/>
        </w:rPr>
        <w:t>o</w:t>
      </w:r>
      <w:r w:rsidRPr="00BD76AF">
        <w:t xml:space="preserve"> [</w:t>
      </w:r>
      <w:r w:rsidRPr="00BD76AF">
        <w:rPr>
          <w:i/>
        </w:rPr>
        <w:t>indiquer le numéro</w:t>
      </w:r>
      <w:r w:rsidRPr="00BD76AF">
        <w:t>], et vous donnons notre accord pour ajuster le Montant du Marché, la date d’achèvement et/ou toute autre condition du Marché conformément à l’Article 39 des CG du Marché.</w:t>
      </w:r>
    </w:p>
    <w:p w14:paraId="6FDEA329" w14:textId="77777777" w:rsidR="00F332DA" w:rsidRPr="00BD76AF" w:rsidRDefault="00F332DA" w:rsidP="008D172D"/>
    <w:p w14:paraId="4B2655E1" w14:textId="77777777" w:rsidR="00F332DA" w:rsidRPr="00BD76AF" w:rsidRDefault="00F332DA" w:rsidP="008D172D">
      <w:r w:rsidRPr="00BD76AF">
        <w:t>1.</w:t>
      </w:r>
      <w:r w:rsidRPr="00BD76AF">
        <w:tab/>
        <w:t>Titre de la modification : [</w:t>
      </w:r>
      <w:r w:rsidRPr="00BD76AF">
        <w:rPr>
          <w:i/>
        </w:rPr>
        <w:t>indiquer le titre</w:t>
      </w:r>
      <w:r w:rsidRPr="00BD76AF">
        <w:t>]</w:t>
      </w:r>
    </w:p>
    <w:p w14:paraId="18B9677E" w14:textId="77777777" w:rsidR="00F332DA" w:rsidRPr="00BD76AF" w:rsidRDefault="00F332DA" w:rsidP="008D172D"/>
    <w:p w14:paraId="1BC3FC95" w14:textId="77777777" w:rsidR="00F332DA" w:rsidRPr="00BD76AF" w:rsidRDefault="00F332DA" w:rsidP="008D172D">
      <w:r w:rsidRPr="00BD76AF">
        <w:t>2.</w:t>
      </w:r>
      <w:r w:rsidRPr="00BD76AF">
        <w:tab/>
        <w:t>Demande de modification n</w:t>
      </w:r>
      <w:r w:rsidRPr="00BD76AF">
        <w:rPr>
          <w:vertAlign w:val="superscript"/>
        </w:rPr>
        <w:t>o</w:t>
      </w:r>
      <w:r w:rsidRPr="00BD76AF">
        <w:t>/rév. : [</w:t>
      </w:r>
      <w:r w:rsidRPr="00BD76AF">
        <w:rPr>
          <w:i/>
        </w:rPr>
        <w:t>indiquer le numéro</w:t>
      </w:r>
      <w:r w:rsidRPr="00BD76AF">
        <w:t>]</w:t>
      </w:r>
    </w:p>
    <w:p w14:paraId="48BD8F42" w14:textId="77777777" w:rsidR="00F332DA" w:rsidRPr="00BD76AF" w:rsidRDefault="00F332DA" w:rsidP="008D172D"/>
    <w:p w14:paraId="2B2DBA7C" w14:textId="77777777" w:rsidR="00F332DA" w:rsidRPr="00BD76AF" w:rsidRDefault="00F332DA" w:rsidP="008D172D">
      <w:r w:rsidRPr="00BD76AF">
        <w:t>3.</w:t>
      </w:r>
      <w:r w:rsidRPr="00BD76AF">
        <w:tab/>
        <w:t>Ordre de modification n</w:t>
      </w:r>
      <w:r w:rsidRPr="00BD76AF">
        <w:rPr>
          <w:vertAlign w:val="superscript"/>
        </w:rPr>
        <w:t>o</w:t>
      </w:r>
      <w:r w:rsidRPr="00BD76AF">
        <w:t>/rév. : [</w:t>
      </w:r>
      <w:r w:rsidRPr="00BD76AF">
        <w:rPr>
          <w:i/>
        </w:rPr>
        <w:t>indiquer le numéro</w:t>
      </w:r>
      <w:r w:rsidRPr="00BD76AF">
        <w:t>]</w:t>
      </w:r>
    </w:p>
    <w:p w14:paraId="1457E2EB" w14:textId="77777777" w:rsidR="00F332DA" w:rsidRPr="00BD76AF" w:rsidRDefault="00F332DA" w:rsidP="008D172D"/>
    <w:p w14:paraId="0AA909DF" w14:textId="77777777" w:rsidR="00F332DA" w:rsidRPr="00BD76AF" w:rsidRDefault="00F332DA" w:rsidP="008D172D">
      <w:r w:rsidRPr="00BD76AF">
        <w:t>4.</w:t>
      </w:r>
      <w:r w:rsidRPr="00BD76AF">
        <w:tab/>
        <w:t>Demandeur de la modification : Maître d’ouvrage : [</w:t>
      </w:r>
      <w:r w:rsidRPr="00BD76AF">
        <w:rPr>
          <w:i/>
        </w:rPr>
        <w:t>indiquer le nom</w:t>
      </w:r>
      <w:r w:rsidRPr="00BD76AF">
        <w:t>]</w:t>
      </w:r>
    </w:p>
    <w:p w14:paraId="11EC61D8" w14:textId="77777777" w:rsidR="00F332DA" w:rsidRPr="00BD76AF" w:rsidRDefault="00F332DA" w:rsidP="008D172D">
      <w:pPr>
        <w:ind w:leftChars="1500" w:left="3600" w:firstLineChars="100" w:firstLine="240"/>
      </w:pPr>
      <w:r w:rsidRPr="00BD76AF">
        <w:rPr>
          <w:szCs w:val="24"/>
        </w:rPr>
        <w:t>Entrepreneur</w:t>
      </w:r>
      <w:r w:rsidRPr="00BD76AF">
        <w:t> : [</w:t>
      </w:r>
      <w:r w:rsidRPr="00BD76AF">
        <w:rPr>
          <w:i/>
        </w:rPr>
        <w:t>indiquer le nom</w:t>
      </w:r>
      <w:r w:rsidRPr="00BD76AF">
        <w:t>]</w:t>
      </w:r>
    </w:p>
    <w:p w14:paraId="347246EE" w14:textId="77777777" w:rsidR="00F332DA" w:rsidRPr="00BD76AF" w:rsidRDefault="00F332DA" w:rsidP="008D172D">
      <w:pPr>
        <w:pStyle w:val="BankNormal"/>
        <w:spacing w:after="0"/>
        <w:rPr>
          <w:lang w:val="fr-FR"/>
        </w:rPr>
      </w:pPr>
    </w:p>
    <w:p w14:paraId="1F17D96D" w14:textId="77777777" w:rsidR="00F332DA" w:rsidRPr="00BD76AF" w:rsidRDefault="00F332DA" w:rsidP="008D172D">
      <w:r w:rsidRPr="00BD76AF">
        <w:t>5.</w:t>
      </w:r>
      <w:r w:rsidRPr="00BD76AF">
        <w:tab/>
        <w:t>Prix autorisé :</w:t>
      </w:r>
    </w:p>
    <w:p w14:paraId="70FCF094" w14:textId="77777777" w:rsidR="00F332DA" w:rsidRPr="00BD76AF" w:rsidRDefault="00F332DA" w:rsidP="008D172D"/>
    <w:p w14:paraId="32A650A2" w14:textId="77777777" w:rsidR="00F332DA" w:rsidRPr="00BD76AF" w:rsidRDefault="00F332DA" w:rsidP="008D172D">
      <w:pPr>
        <w:tabs>
          <w:tab w:val="left" w:pos="5760"/>
        </w:tabs>
        <w:ind w:left="720"/>
      </w:pPr>
      <w:r w:rsidRPr="00BD76AF">
        <w:t>Référence n</w:t>
      </w:r>
      <w:r w:rsidRPr="00BD76AF">
        <w:rPr>
          <w:vertAlign w:val="superscript"/>
        </w:rPr>
        <w:t>o</w:t>
      </w:r>
      <w:r w:rsidRPr="00BD76AF">
        <w:t> : [</w:t>
      </w:r>
      <w:r w:rsidRPr="00BD76AF">
        <w:rPr>
          <w:i/>
        </w:rPr>
        <w:t>indiquer le numéro</w:t>
      </w:r>
      <w:r w:rsidRPr="00BD76AF">
        <w:t xml:space="preserve">] </w:t>
      </w:r>
      <w:r w:rsidRPr="00BD76AF">
        <w:tab/>
        <w:t>Date : [</w:t>
      </w:r>
      <w:r w:rsidRPr="00BD76AF">
        <w:rPr>
          <w:i/>
        </w:rPr>
        <w:t>indiquer la date</w:t>
      </w:r>
      <w:r w:rsidRPr="00BD76AF">
        <w:t>]</w:t>
      </w:r>
    </w:p>
    <w:p w14:paraId="31701BDD" w14:textId="77777777" w:rsidR="00F332DA" w:rsidRPr="00BD76AF" w:rsidRDefault="00F332DA" w:rsidP="008D172D">
      <w:pPr>
        <w:ind w:left="720"/>
      </w:pPr>
      <w:r w:rsidRPr="00BD76AF">
        <w:t>Partie en monnaie étrangère [</w:t>
      </w:r>
      <w:r w:rsidRPr="00BD76AF">
        <w:rPr>
          <w:i/>
        </w:rPr>
        <w:t>indiquer le montant</w:t>
      </w:r>
      <w:r w:rsidRPr="00BD76AF">
        <w:t>] plus partie en monnaie locale [</w:t>
      </w:r>
      <w:r w:rsidRPr="00BD76AF">
        <w:rPr>
          <w:i/>
        </w:rPr>
        <w:t>indiquer le montant</w:t>
      </w:r>
      <w:r w:rsidRPr="00BD76AF">
        <w:t>]</w:t>
      </w:r>
    </w:p>
    <w:p w14:paraId="34E9ABED" w14:textId="77777777" w:rsidR="00F332DA" w:rsidRPr="00BD76AF" w:rsidRDefault="00F332DA" w:rsidP="008D172D"/>
    <w:p w14:paraId="0375773F" w14:textId="77777777" w:rsidR="00F332DA" w:rsidRPr="00BD76AF" w:rsidRDefault="00F332DA" w:rsidP="008D172D">
      <w:r w:rsidRPr="00BD76AF">
        <w:t>6.</w:t>
      </w:r>
      <w:r w:rsidRPr="00BD76AF">
        <w:tab/>
        <w:t>Rectification de la date d’achèvement</w:t>
      </w:r>
    </w:p>
    <w:p w14:paraId="4C6C5EB0" w14:textId="77777777" w:rsidR="00F332DA" w:rsidRPr="00BD76AF" w:rsidRDefault="00F332DA" w:rsidP="008D172D"/>
    <w:p w14:paraId="7479659E" w14:textId="77777777" w:rsidR="00F332DA" w:rsidRPr="00BD76AF" w:rsidRDefault="00F332DA" w:rsidP="008D172D">
      <w:pPr>
        <w:tabs>
          <w:tab w:val="left" w:pos="2160"/>
          <w:tab w:val="left" w:pos="5760"/>
        </w:tabs>
        <w:ind w:left="720"/>
      </w:pPr>
      <w:r w:rsidRPr="00BD76AF">
        <w:t>Aucune</w:t>
      </w:r>
      <w:r w:rsidRPr="00BD76AF">
        <w:tab/>
        <w:t>Augmentation : [</w:t>
      </w:r>
      <w:r w:rsidRPr="00BD76AF">
        <w:rPr>
          <w:i/>
        </w:rPr>
        <w:t>nombre</w:t>
      </w:r>
      <w:r w:rsidRPr="00BD76AF">
        <w:t>] jours</w:t>
      </w:r>
      <w:r w:rsidRPr="00BD76AF">
        <w:tab/>
        <w:t>Diminution : [</w:t>
      </w:r>
      <w:r w:rsidRPr="00BD76AF">
        <w:rPr>
          <w:i/>
        </w:rPr>
        <w:t>nombre</w:t>
      </w:r>
      <w:r w:rsidRPr="00BD76AF">
        <w:t>] jours</w:t>
      </w:r>
    </w:p>
    <w:p w14:paraId="703C5CE0" w14:textId="77777777" w:rsidR="00F332DA" w:rsidRPr="00BD76AF" w:rsidRDefault="00F332DA" w:rsidP="008D172D"/>
    <w:p w14:paraId="56C3EE97" w14:textId="77777777" w:rsidR="00F332DA" w:rsidRPr="00BD76AF" w:rsidRDefault="00F332DA" w:rsidP="008D172D">
      <w:r w:rsidRPr="00BD76AF">
        <w:t>7.</w:t>
      </w:r>
      <w:r w:rsidRPr="00BD76AF">
        <w:tab/>
        <w:t>Autres conséquences éventuelles</w:t>
      </w:r>
    </w:p>
    <w:p w14:paraId="35A50261" w14:textId="77777777" w:rsidR="00F332DA" w:rsidRPr="00BD76AF" w:rsidRDefault="00F332DA" w:rsidP="008D172D"/>
    <w:p w14:paraId="16590FD1" w14:textId="77777777" w:rsidR="00F332DA" w:rsidRPr="00BD76AF" w:rsidRDefault="00F332DA" w:rsidP="008D172D">
      <w:pPr>
        <w:tabs>
          <w:tab w:val="left" w:pos="1440"/>
          <w:tab w:val="left" w:pos="5760"/>
          <w:tab w:val="left" w:pos="6480"/>
          <w:tab w:val="left" w:pos="8640"/>
        </w:tabs>
      </w:pPr>
      <w:r w:rsidRPr="00BD76AF">
        <w:t>Autorisé par :</w:t>
      </w:r>
      <w:r w:rsidRPr="00BD76AF">
        <w:tab/>
      </w:r>
      <w:r w:rsidRPr="00BD76AF">
        <w:rPr>
          <w:u w:val="single"/>
        </w:rPr>
        <w:tab/>
      </w:r>
      <w:r w:rsidRPr="00BD76AF">
        <w:tab/>
        <w:t xml:space="preserve">Date : </w:t>
      </w:r>
      <w:r w:rsidRPr="00BD76AF">
        <w:rPr>
          <w:u w:val="single"/>
        </w:rPr>
        <w:tab/>
      </w:r>
    </w:p>
    <w:p w14:paraId="71C090D3" w14:textId="77777777" w:rsidR="00F332DA" w:rsidRPr="00BD76AF" w:rsidRDefault="00F332DA" w:rsidP="008D172D">
      <w:pPr>
        <w:ind w:left="1440"/>
      </w:pPr>
      <w:r w:rsidRPr="00BD76AF">
        <w:t>(Maître d’ouvrage)</w:t>
      </w:r>
    </w:p>
    <w:p w14:paraId="0380EEEF" w14:textId="77777777" w:rsidR="00F332DA" w:rsidRPr="00BD76AF" w:rsidRDefault="00F332DA" w:rsidP="008D172D"/>
    <w:p w14:paraId="045AF91B" w14:textId="77777777" w:rsidR="00F332DA" w:rsidRPr="00BD76AF" w:rsidRDefault="00F332DA" w:rsidP="008D172D">
      <w:pPr>
        <w:tabs>
          <w:tab w:val="left" w:pos="1440"/>
          <w:tab w:val="left" w:pos="5760"/>
          <w:tab w:val="left" w:pos="6480"/>
          <w:tab w:val="left" w:pos="8640"/>
        </w:tabs>
      </w:pPr>
      <w:r w:rsidRPr="00BD76AF">
        <w:t>Accepté par :</w:t>
      </w:r>
      <w:r w:rsidRPr="00BD76AF">
        <w:tab/>
      </w:r>
      <w:r w:rsidRPr="00BD76AF">
        <w:rPr>
          <w:u w:val="single"/>
        </w:rPr>
        <w:tab/>
      </w:r>
      <w:r w:rsidRPr="00BD76AF">
        <w:tab/>
        <w:t xml:space="preserve">Date : </w:t>
      </w:r>
      <w:r w:rsidRPr="00BD76AF">
        <w:rPr>
          <w:u w:val="single"/>
        </w:rPr>
        <w:tab/>
      </w:r>
    </w:p>
    <w:p w14:paraId="31132FB7" w14:textId="77777777" w:rsidR="00F332DA" w:rsidRPr="00BD76AF" w:rsidRDefault="00F332DA" w:rsidP="008D172D">
      <w:pPr>
        <w:ind w:left="1440"/>
      </w:pPr>
      <w:r w:rsidRPr="00BD76AF">
        <w:t>(Entrepreneur)</w:t>
      </w:r>
    </w:p>
    <w:p w14:paraId="481A4E15" w14:textId="77777777" w:rsidR="00F332DA" w:rsidRPr="00BD76AF" w:rsidRDefault="00F332DA" w:rsidP="00E819E4">
      <w:pPr>
        <w:pStyle w:val="SecVI-Header3"/>
        <w:rPr>
          <w:lang w:val="fr-FR"/>
        </w:rPr>
      </w:pPr>
      <w:r w:rsidRPr="00BD76AF">
        <w:rPr>
          <w:lang w:val="fr-FR"/>
        </w:rPr>
        <w:br w:type="page"/>
      </w:r>
      <w:bookmarkStart w:id="736" w:name="_Toc357505482"/>
      <w:bookmarkStart w:id="737" w:name="_Toc104294485"/>
      <w:r w:rsidRPr="00BD76AF">
        <w:rPr>
          <w:lang w:val="fr-FR"/>
        </w:rPr>
        <w:t>Formulaire 6.  Ordre de modification en attente d’accord</w:t>
      </w:r>
      <w:bookmarkEnd w:id="736"/>
      <w:bookmarkEnd w:id="737"/>
    </w:p>
    <w:p w14:paraId="343243DC" w14:textId="77777777" w:rsidR="00F332DA" w:rsidRPr="00BD76AF" w:rsidRDefault="00F332DA" w:rsidP="008D172D">
      <w:pPr>
        <w:jc w:val="center"/>
      </w:pPr>
      <w:r w:rsidRPr="00BD76AF">
        <w:t>(Papier à en-tête du Maître d’ouvrage)</w:t>
      </w:r>
    </w:p>
    <w:p w14:paraId="07622CA9" w14:textId="77777777" w:rsidR="00F332DA" w:rsidRPr="00BD76AF" w:rsidRDefault="00F332DA" w:rsidP="00D018EF"/>
    <w:p w14:paraId="5C580BC9" w14:textId="77777777" w:rsidR="00F332DA" w:rsidRPr="00BD76AF" w:rsidRDefault="00F332DA" w:rsidP="003E5CE0">
      <w:pPr>
        <w:tabs>
          <w:tab w:val="right" w:pos="6480"/>
          <w:tab w:val="left" w:pos="6660"/>
          <w:tab w:val="left" w:pos="8640"/>
        </w:tabs>
        <w:wordWrap w:val="0"/>
        <w:jc w:val="right"/>
      </w:pPr>
      <w:r w:rsidRPr="00BD76AF">
        <w:tab/>
        <w:t>Date : [</w:t>
      </w:r>
      <w:r w:rsidRPr="00BD76AF">
        <w:rPr>
          <w:i/>
        </w:rPr>
        <w:t>indiquer jour, mois, année</w:t>
      </w:r>
      <w:r w:rsidRPr="00BD76AF">
        <w:t>]</w:t>
      </w:r>
    </w:p>
    <w:p w14:paraId="38C9074B" w14:textId="77777777" w:rsidR="00F332DA" w:rsidRPr="00BD76AF" w:rsidRDefault="00F332DA" w:rsidP="003E5CE0"/>
    <w:p w14:paraId="1329A9F5" w14:textId="77777777" w:rsidR="00F332DA" w:rsidRPr="00BD76AF" w:rsidRDefault="00F332DA" w:rsidP="003E5CE0">
      <w:r w:rsidRPr="00BD76AF">
        <w:rPr>
          <w:rFonts w:hint="eastAsia"/>
        </w:rPr>
        <w:t>À</w:t>
      </w:r>
      <w:r w:rsidRPr="00BD76AF">
        <w:t> : [</w:t>
      </w:r>
      <w:r w:rsidRPr="00BD76AF">
        <w:rPr>
          <w:i/>
        </w:rPr>
        <w:t>indiquer les</w:t>
      </w:r>
      <w:r w:rsidRPr="00BD76AF">
        <w:t xml:space="preserve"> </w:t>
      </w:r>
      <w:r w:rsidRPr="00BD76AF">
        <w:rPr>
          <w:i/>
        </w:rPr>
        <w:t>nom et adresse de l’Entrepreneur</w:t>
      </w:r>
      <w:r w:rsidRPr="00BD76AF">
        <w:t>]</w:t>
      </w:r>
    </w:p>
    <w:p w14:paraId="4069CA16" w14:textId="77777777" w:rsidR="00F332DA" w:rsidRPr="00BD76AF" w:rsidRDefault="00F332DA" w:rsidP="003E5CE0"/>
    <w:p w14:paraId="357A7CAB" w14:textId="77777777" w:rsidR="00F332DA" w:rsidRPr="00BD76AF" w:rsidRDefault="00F332DA" w:rsidP="003E5CE0">
      <w:r w:rsidRPr="00BD76AF">
        <w:rPr>
          <w:rFonts w:hint="eastAsia"/>
        </w:rPr>
        <w:t>À</w:t>
      </w:r>
      <w:r w:rsidRPr="00BD76AF">
        <w:t xml:space="preserve"> l’attention de : [</w:t>
      </w:r>
      <w:r w:rsidRPr="00BD76AF">
        <w:rPr>
          <w:i/>
        </w:rPr>
        <w:t>indiquer les nom et titre</w:t>
      </w:r>
      <w:r w:rsidRPr="00BD76AF">
        <w:t>]</w:t>
      </w:r>
    </w:p>
    <w:p w14:paraId="370D7B52" w14:textId="77777777" w:rsidR="00F332DA" w:rsidRPr="00BD76AF" w:rsidRDefault="00F332DA" w:rsidP="003E5CE0"/>
    <w:p w14:paraId="1B40D268" w14:textId="77777777" w:rsidR="00F332DA" w:rsidRPr="00BD76AF" w:rsidRDefault="00F332DA" w:rsidP="003E5CE0">
      <w:r w:rsidRPr="00BD76AF">
        <w:t>Nom du Marché : [</w:t>
      </w:r>
      <w:r w:rsidRPr="00BD76AF">
        <w:rPr>
          <w:i/>
        </w:rPr>
        <w:t>indiquer le nom du Marché</w:t>
      </w:r>
      <w:r w:rsidRPr="00BD76AF">
        <w:t>]</w:t>
      </w:r>
    </w:p>
    <w:p w14:paraId="20D49C8D" w14:textId="77777777" w:rsidR="00F332DA" w:rsidRPr="00BD76AF" w:rsidRDefault="00F332DA" w:rsidP="003E5CE0">
      <w:r w:rsidRPr="00BD76AF">
        <w:t>Marché n</w:t>
      </w:r>
      <w:r w:rsidRPr="00BD76AF">
        <w:rPr>
          <w:vertAlign w:val="superscript"/>
        </w:rPr>
        <w:t>o</w:t>
      </w:r>
      <w:r w:rsidRPr="00BD76AF">
        <w:t> : [</w:t>
      </w:r>
      <w:r w:rsidRPr="00BD76AF">
        <w:rPr>
          <w:i/>
        </w:rPr>
        <w:t>indiquer le numéro du Marché</w:t>
      </w:r>
      <w:r w:rsidRPr="00BD76AF">
        <w:t>]</w:t>
      </w:r>
    </w:p>
    <w:p w14:paraId="17868C9D" w14:textId="77777777" w:rsidR="00F332DA" w:rsidRPr="00BD76AF" w:rsidRDefault="00F332DA" w:rsidP="00D018EF"/>
    <w:p w14:paraId="1FCD3023" w14:textId="77777777" w:rsidR="00F332DA" w:rsidRPr="00BD76AF" w:rsidRDefault="00F332DA" w:rsidP="008D172D">
      <w:r w:rsidRPr="00BD76AF">
        <w:t>Mesdames/Messieurs,</w:t>
      </w:r>
    </w:p>
    <w:p w14:paraId="1DBC8509" w14:textId="77777777" w:rsidR="00F332DA" w:rsidRPr="00BD76AF" w:rsidRDefault="00F332DA" w:rsidP="008D172D"/>
    <w:p w14:paraId="64486756" w14:textId="77777777" w:rsidR="00F332DA" w:rsidRPr="00BD76AF" w:rsidRDefault="00F332DA" w:rsidP="008D172D">
      <w:r w:rsidRPr="00BD76AF">
        <w:t>Nous vous demandons d’exécuter le travail décrit dans la demande de modification précisée ci-dessous conformément à l’Article 39 des CG du Marché.</w:t>
      </w:r>
    </w:p>
    <w:p w14:paraId="48B12981" w14:textId="77777777" w:rsidR="00F332DA" w:rsidRPr="00BD76AF" w:rsidRDefault="00F332DA" w:rsidP="008D172D"/>
    <w:p w14:paraId="4F921CD8" w14:textId="77777777" w:rsidR="00F332DA" w:rsidRPr="00BD76AF" w:rsidRDefault="00F332DA" w:rsidP="00D018EF">
      <w:pPr>
        <w:spacing w:afterLines="50" w:after="120"/>
      </w:pPr>
      <w:r w:rsidRPr="00BD76AF">
        <w:t>1.</w:t>
      </w:r>
      <w:r w:rsidRPr="00BD76AF">
        <w:tab/>
        <w:t>Titre de la modification : [</w:t>
      </w:r>
      <w:r w:rsidRPr="00BD76AF">
        <w:rPr>
          <w:i/>
        </w:rPr>
        <w:t>indiquer le titre</w:t>
      </w:r>
      <w:r w:rsidRPr="00BD76AF">
        <w:t>]</w:t>
      </w:r>
    </w:p>
    <w:p w14:paraId="33696249" w14:textId="77777777" w:rsidR="00F332DA" w:rsidRPr="00BD76AF" w:rsidRDefault="00F332DA" w:rsidP="008D172D">
      <w:pPr>
        <w:ind w:left="720" w:hanging="720"/>
        <w:rPr>
          <w:i/>
        </w:rPr>
      </w:pPr>
      <w:r w:rsidRPr="00BD76AF">
        <w:t>2.</w:t>
      </w:r>
      <w:r w:rsidRPr="00BD76AF">
        <w:tab/>
        <w:t>Demande de proposition de modification du Maître d’ouvrage n</w:t>
      </w:r>
      <w:r w:rsidRPr="00BD76AF">
        <w:rPr>
          <w:vertAlign w:val="superscript"/>
        </w:rPr>
        <w:t>o</w:t>
      </w:r>
      <w:r w:rsidRPr="00BD76AF">
        <w:t>/rév. : [</w:t>
      </w:r>
      <w:r w:rsidRPr="00BD76AF">
        <w:rPr>
          <w:i/>
        </w:rPr>
        <w:t>indiquer le numéro</w:t>
      </w:r>
      <w:r w:rsidRPr="00BD76AF">
        <w:t>]</w:t>
      </w:r>
    </w:p>
    <w:p w14:paraId="6CEC5FDC" w14:textId="77777777" w:rsidR="00F332DA" w:rsidRPr="00BD76AF" w:rsidRDefault="00F332DA" w:rsidP="00D018EF">
      <w:pPr>
        <w:spacing w:afterLines="50" w:after="120"/>
        <w:ind w:left="720"/>
      </w:pPr>
      <w:r w:rsidRPr="00BD76AF">
        <w:t>datée : [</w:t>
      </w:r>
      <w:r w:rsidRPr="00BD76AF">
        <w:rPr>
          <w:i/>
        </w:rPr>
        <w:t>indiquer la date</w:t>
      </w:r>
      <w:r w:rsidRPr="00BD76AF">
        <w:t>]</w:t>
      </w:r>
    </w:p>
    <w:p w14:paraId="432676DA" w14:textId="77777777" w:rsidR="00F332DA" w:rsidRPr="00BD76AF" w:rsidRDefault="00F332DA" w:rsidP="008D172D">
      <w:pPr>
        <w:ind w:left="720" w:hanging="720"/>
      </w:pPr>
      <w:r w:rsidRPr="00BD76AF">
        <w:t>3.</w:t>
      </w:r>
      <w:r w:rsidRPr="00BD76AF">
        <w:tab/>
        <w:t>Proposition de modification de l’Entrepreneur n</w:t>
      </w:r>
      <w:r w:rsidRPr="00BD76AF">
        <w:rPr>
          <w:vertAlign w:val="superscript"/>
        </w:rPr>
        <w:t>o</w:t>
      </w:r>
      <w:r w:rsidRPr="00BD76AF">
        <w:t>/rév. : [</w:t>
      </w:r>
      <w:r w:rsidRPr="00BD76AF">
        <w:rPr>
          <w:i/>
        </w:rPr>
        <w:t>indiquer le numéro</w:t>
      </w:r>
      <w:r w:rsidRPr="00BD76AF">
        <w:t>]</w:t>
      </w:r>
    </w:p>
    <w:p w14:paraId="35AA73D2" w14:textId="77777777" w:rsidR="00F332DA" w:rsidRPr="00BD76AF" w:rsidRDefault="00F332DA" w:rsidP="00D018EF">
      <w:pPr>
        <w:spacing w:afterLines="50" w:after="120"/>
        <w:ind w:left="720" w:hanging="720"/>
      </w:pPr>
      <w:r w:rsidRPr="00BD76AF">
        <w:rPr>
          <w:i/>
        </w:rPr>
        <w:tab/>
      </w:r>
      <w:r w:rsidRPr="00BD76AF">
        <w:t>datée : [</w:t>
      </w:r>
      <w:r w:rsidRPr="00BD76AF">
        <w:rPr>
          <w:i/>
        </w:rPr>
        <w:t>indiquer la date</w:t>
      </w:r>
      <w:r w:rsidRPr="00BD76AF">
        <w:t>]</w:t>
      </w:r>
    </w:p>
    <w:p w14:paraId="672A04F8" w14:textId="77777777" w:rsidR="00F332DA" w:rsidRPr="00BD76AF" w:rsidRDefault="00F332DA" w:rsidP="00D018EF">
      <w:pPr>
        <w:spacing w:afterLines="50" w:after="120"/>
      </w:pPr>
      <w:r w:rsidRPr="00BD76AF">
        <w:t>4.</w:t>
      </w:r>
      <w:r w:rsidRPr="00BD76AF">
        <w:tab/>
        <w:t>Brève description de la modification : [</w:t>
      </w:r>
      <w:r w:rsidRPr="00BD76AF">
        <w:rPr>
          <w:i/>
        </w:rPr>
        <w:t>donner la description</w:t>
      </w:r>
      <w:r w:rsidRPr="00BD76AF">
        <w:t>]</w:t>
      </w:r>
    </w:p>
    <w:p w14:paraId="520D9B73" w14:textId="77777777" w:rsidR="00F332DA" w:rsidRPr="00BD76AF" w:rsidRDefault="00F332DA" w:rsidP="00D018EF">
      <w:pPr>
        <w:spacing w:afterLines="50" w:after="120"/>
        <w:ind w:left="720" w:hanging="720"/>
      </w:pPr>
      <w:r w:rsidRPr="00BD76AF">
        <w:t>5.</w:t>
      </w:r>
      <w:r w:rsidRPr="00BD76AF">
        <w:tab/>
        <w:t>Installations et/ou n</w:t>
      </w:r>
      <w:r w:rsidRPr="00BD76AF">
        <w:rPr>
          <w:vertAlign w:val="superscript"/>
        </w:rPr>
        <w:t>o</w:t>
      </w:r>
      <w:r w:rsidRPr="00BD76AF">
        <w:t xml:space="preserve"> de l’élément concernés par la modification demandée : [</w:t>
      </w:r>
      <w:r w:rsidRPr="00BD76AF">
        <w:rPr>
          <w:i/>
        </w:rPr>
        <w:t>donner la description</w:t>
      </w:r>
      <w:r w:rsidRPr="00BD76AF">
        <w:t xml:space="preserve">] </w:t>
      </w:r>
    </w:p>
    <w:p w14:paraId="6F116031" w14:textId="77777777" w:rsidR="00F332DA" w:rsidRPr="00BD76AF" w:rsidRDefault="00F332DA" w:rsidP="00D018EF">
      <w:pPr>
        <w:spacing w:afterLines="50" w:after="120"/>
      </w:pPr>
      <w:r w:rsidRPr="00BD76AF">
        <w:t>6.</w:t>
      </w:r>
      <w:r w:rsidRPr="00BD76AF">
        <w:tab/>
        <w:t>Dessins et/ou documents techniques de référence pour la modification demandée :</w:t>
      </w:r>
    </w:p>
    <w:p w14:paraId="08A43AB4" w14:textId="77777777" w:rsidR="00F332DA" w:rsidRPr="00BD76AF" w:rsidRDefault="00F332DA" w:rsidP="00724512">
      <w:pPr>
        <w:tabs>
          <w:tab w:val="left" w:pos="5760"/>
        </w:tabs>
        <w:ind w:left="720"/>
        <w:rPr>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209"/>
      </w:tblGrid>
      <w:tr w:rsidR="00F332DA" w:rsidRPr="00BD76AF" w14:paraId="66F7CCCF" w14:textId="77777777" w:rsidTr="00FF02A3">
        <w:tc>
          <w:tcPr>
            <w:tcW w:w="4217" w:type="dxa"/>
            <w:shd w:val="clear" w:color="auto" w:fill="auto"/>
          </w:tcPr>
          <w:p w14:paraId="1F6CCB75" w14:textId="77777777" w:rsidR="00F332DA" w:rsidRPr="00BD76AF" w:rsidRDefault="00F332DA" w:rsidP="00FF02A3">
            <w:pPr>
              <w:rPr>
                <w:lang w:val="en-GB"/>
              </w:rPr>
            </w:pPr>
            <w:r w:rsidRPr="00BD76AF">
              <w:t>Dessin n</w:t>
            </w:r>
            <w:r w:rsidRPr="00BD76AF">
              <w:rPr>
                <w:vertAlign w:val="superscript"/>
              </w:rPr>
              <w:t>o</w:t>
            </w:r>
            <w:r w:rsidRPr="00BD76AF">
              <w:t>/Document n</w:t>
            </w:r>
            <w:r w:rsidRPr="00BD76AF">
              <w:rPr>
                <w:vertAlign w:val="superscript"/>
              </w:rPr>
              <w:t>o</w:t>
            </w:r>
          </w:p>
        </w:tc>
        <w:tc>
          <w:tcPr>
            <w:tcW w:w="4327" w:type="dxa"/>
            <w:shd w:val="clear" w:color="auto" w:fill="auto"/>
          </w:tcPr>
          <w:p w14:paraId="2BC60698" w14:textId="77777777" w:rsidR="00F332DA" w:rsidRPr="00BD76AF" w:rsidRDefault="00F332DA" w:rsidP="00FF02A3">
            <w:pPr>
              <w:rPr>
                <w:lang w:val="en-GB"/>
              </w:rPr>
            </w:pPr>
            <w:r w:rsidRPr="00BD76AF">
              <w:rPr>
                <w:lang w:val="en-GB"/>
              </w:rPr>
              <w:t>Description</w:t>
            </w:r>
          </w:p>
        </w:tc>
      </w:tr>
      <w:tr w:rsidR="00F332DA" w:rsidRPr="00BD76AF" w14:paraId="6D3398CF" w14:textId="77777777" w:rsidTr="00FF02A3">
        <w:tc>
          <w:tcPr>
            <w:tcW w:w="4217" w:type="dxa"/>
            <w:shd w:val="clear" w:color="auto" w:fill="auto"/>
          </w:tcPr>
          <w:p w14:paraId="4B790800" w14:textId="77777777" w:rsidR="00F332DA" w:rsidRPr="00BD76AF" w:rsidRDefault="00F332DA" w:rsidP="00FF02A3">
            <w:pPr>
              <w:rPr>
                <w:lang w:val="en-GB"/>
              </w:rPr>
            </w:pPr>
          </w:p>
        </w:tc>
        <w:tc>
          <w:tcPr>
            <w:tcW w:w="4327" w:type="dxa"/>
            <w:shd w:val="clear" w:color="auto" w:fill="auto"/>
          </w:tcPr>
          <w:p w14:paraId="7D34C9EE" w14:textId="77777777" w:rsidR="00F332DA" w:rsidRPr="00BD76AF" w:rsidRDefault="00F332DA" w:rsidP="00FF02A3">
            <w:pPr>
              <w:rPr>
                <w:lang w:val="en-GB"/>
              </w:rPr>
            </w:pPr>
          </w:p>
        </w:tc>
      </w:tr>
      <w:tr w:rsidR="00F332DA" w:rsidRPr="00BD76AF" w14:paraId="092E9FCF" w14:textId="77777777" w:rsidTr="00FF02A3">
        <w:tc>
          <w:tcPr>
            <w:tcW w:w="4217" w:type="dxa"/>
            <w:shd w:val="clear" w:color="auto" w:fill="auto"/>
          </w:tcPr>
          <w:p w14:paraId="6F7A2605" w14:textId="77777777" w:rsidR="00F332DA" w:rsidRPr="00BD76AF" w:rsidRDefault="00F332DA" w:rsidP="00FF02A3">
            <w:pPr>
              <w:rPr>
                <w:lang w:val="en-GB"/>
              </w:rPr>
            </w:pPr>
          </w:p>
        </w:tc>
        <w:tc>
          <w:tcPr>
            <w:tcW w:w="4327" w:type="dxa"/>
            <w:shd w:val="clear" w:color="auto" w:fill="auto"/>
          </w:tcPr>
          <w:p w14:paraId="3C119284" w14:textId="77777777" w:rsidR="00F332DA" w:rsidRPr="00BD76AF" w:rsidRDefault="00F332DA" w:rsidP="00FF02A3">
            <w:pPr>
              <w:rPr>
                <w:lang w:val="en-GB"/>
              </w:rPr>
            </w:pPr>
          </w:p>
        </w:tc>
      </w:tr>
      <w:tr w:rsidR="00F332DA" w:rsidRPr="00BD76AF" w14:paraId="06EC0E20" w14:textId="77777777" w:rsidTr="00FF02A3">
        <w:tc>
          <w:tcPr>
            <w:tcW w:w="4217" w:type="dxa"/>
            <w:shd w:val="clear" w:color="auto" w:fill="auto"/>
          </w:tcPr>
          <w:p w14:paraId="5CB5711C" w14:textId="77777777" w:rsidR="00F332DA" w:rsidRPr="00BD76AF" w:rsidRDefault="00F332DA" w:rsidP="00FF02A3">
            <w:pPr>
              <w:rPr>
                <w:lang w:val="en-GB"/>
              </w:rPr>
            </w:pPr>
          </w:p>
        </w:tc>
        <w:tc>
          <w:tcPr>
            <w:tcW w:w="4327" w:type="dxa"/>
            <w:shd w:val="clear" w:color="auto" w:fill="auto"/>
          </w:tcPr>
          <w:p w14:paraId="37C11FC1" w14:textId="77777777" w:rsidR="00F332DA" w:rsidRPr="00BD76AF" w:rsidRDefault="00F332DA" w:rsidP="00FF02A3">
            <w:pPr>
              <w:rPr>
                <w:lang w:val="en-GB"/>
              </w:rPr>
            </w:pPr>
          </w:p>
        </w:tc>
      </w:tr>
    </w:tbl>
    <w:p w14:paraId="28E6A164" w14:textId="77777777" w:rsidR="00F332DA" w:rsidRPr="00BD76AF" w:rsidRDefault="00F332DA" w:rsidP="008D172D"/>
    <w:p w14:paraId="32CA42E9" w14:textId="77777777" w:rsidR="00F332DA" w:rsidRPr="00BD76AF" w:rsidRDefault="00F332DA" w:rsidP="00D018EF">
      <w:pPr>
        <w:spacing w:afterLines="50" w:after="120"/>
      </w:pPr>
      <w:r w:rsidRPr="00BD76AF">
        <w:t>7.</w:t>
      </w:r>
      <w:r w:rsidRPr="00BD76AF">
        <w:tab/>
        <w:t>Rectification de la date d’achèvement :</w:t>
      </w:r>
    </w:p>
    <w:p w14:paraId="1475A65C" w14:textId="77777777" w:rsidR="00F332DA" w:rsidRPr="00BD76AF" w:rsidRDefault="00F332DA" w:rsidP="00D018EF">
      <w:pPr>
        <w:spacing w:afterLines="50" w:after="120"/>
      </w:pPr>
      <w:r w:rsidRPr="00BD76AF">
        <w:t>8.</w:t>
      </w:r>
      <w:r w:rsidRPr="00BD76AF">
        <w:tab/>
        <w:t>Autres modifications des termes du marché :</w:t>
      </w:r>
    </w:p>
    <w:p w14:paraId="007BD65E" w14:textId="77777777" w:rsidR="00F332DA" w:rsidRPr="00BD76AF" w:rsidRDefault="00F332DA" w:rsidP="008D172D">
      <w:r w:rsidRPr="00BD76AF">
        <w:t>9.</w:t>
      </w:r>
      <w:r w:rsidRPr="00BD76AF">
        <w:tab/>
        <w:t>Autres termes et conditions :</w:t>
      </w:r>
    </w:p>
    <w:p w14:paraId="29DB7771" w14:textId="77777777" w:rsidR="00F332DA" w:rsidRPr="00BD76AF" w:rsidRDefault="00F332DA" w:rsidP="008D172D"/>
    <w:p w14:paraId="6381F2BB" w14:textId="77777777" w:rsidR="00F332DA" w:rsidRPr="00BD76AF" w:rsidRDefault="00F332DA" w:rsidP="008D172D"/>
    <w:p w14:paraId="0B49DC9F" w14:textId="77777777" w:rsidR="00F332DA" w:rsidRPr="00BD76AF" w:rsidRDefault="00F332DA" w:rsidP="008D172D"/>
    <w:p w14:paraId="2BA1721D" w14:textId="77777777" w:rsidR="00F332DA" w:rsidRPr="00BD76AF" w:rsidRDefault="00F332DA" w:rsidP="008D172D">
      <w:pPr>
        <w:tabs>
          <w:tab w:val="left" w:pos="7200"/>
        </w:tabs>
      </w:pPr>
      <w:r w:rsidRPr="00BD76AF">
        <w:rPr>
          <w:u w:val="single"/>
        </w:rPr>
        <w:tab/>
      </w:r>
    </w:p>
    <w:p w14:paraId="6BA39EC5" w14:textId="77777777" w:rsidR="00F332DA" w:rsidRPr="00BD76AF" w:rsidRDefault="00F332DA" w:rsidP="008D172D">
      <w:r w:rsidRPr="00BD76AF">
        <w:t>(nom du Maître d’ouvrage)</w:t>
      </w:r>
    </w:p>
    <w:p w14:paraId="7F0EDC68" w14:textId="77777777" w:rsidR="00F332DA" w:rsidRPr="00BD76AF" w:rsidRDefault="00F332DA" w:rsidP="008D172D"/>
    <w:p w14:paraId="782A70E6" w14:textId="77777777" w:rsidR="00F332DA" w:rsidRPr="00BD76AF" w:rsidRDefault="00F332DA" w:rsidP="008D172D">
      <w:pPr>
        <w:tabs>
          <w:tab w:val="left" w:pos="7200"/>
        </w:tabs>
      </w:pPr>
      <w:r w:rsidRPr="00BD76AF">
        <w:rPr>
          <w:u w:val="single"/>
        </w:rPr>
        <w:tab/>
      </w:r>
    </w:p>
    <w:p w14:paraId="0F3A0FC9" w14:textId="77777777" w:rsidR="00F332DA" w:rsidRPr="00BD76AF" w:rsidRDefault="00F332DA" w:rsidP="008D172D">
      <w:r w:rsidRPr="00BD76AF">
        <w:t>(signature)</w:t>
      </w:r>
    </w:p>
    <w:p w14:paraId="417C389C" w14:textId="77777777" w:rsidR="00F332DA" w:rsidRPr="00BD76AF" w:rsidRDefault="00F332DA" w:rsidP="008D172D"/>
    <w:p w14:paraId="5594810D" w14:textId="77777777" w:rsidR="00F332DA" w:rsidRPr="00BD76AF" w:rsidRDefault="00F332DA" w:rsidP="008D172D">
      <w:pPr>
        <w:tabs>
          <w:tab w:val="left" w:pos="7200"/>
        </w:tabs>
      </w:pPr>
      <w:r w:rsidRPr="00BD76AF">
        <w:rPr>
          <w:u w:val="single"/>
        </w:rPr>
        <w:tab/>
      </w:r>
    </w:p>
    <w:p w14:paraId="3D27BB65" w14:textId="77777777" w:rsidR="00F332DA" w:rsidRPr="00BD76AF" w:rsidRDefault="00F332DA" w:rsidP="008D172D">
      <w:r w:rsidRPr="00BD76AF">
        <w:t>(nom du signataire)</w:t>
      </w:r>
    </w:p>
    <w:p w14:paraId="384CEC35" w14:textId="77777777" w:rsidR="00F332DA" w:rsidRPr="00BD76AF" w:rsidRDefault="00F332DA" w:rsidP="008D172D"/>
    <w:p w14:paraId="7A0E70E9" w14:textId="77777777" w:rsidR="00F332DA" w:rsidRPr="00BD76AF" w:rsidRDefault="00F332DA" w:rsidP="008D172D">
      <w:pPr>
        <w:tabs>
          <w:tab w:val="left" w:pos="7200"/>
        </w:tabs>
      </w:pPr>
      <w:r w:rsidRPr="00BD76AF">
        <w:rPr>
          <w:u w:val="single"/>
        </w:rPr>
        <w:tab/>
      </w:r>
    </w:p>
    <w:p w14:paraId="170E9BAD" w14:textId="77777777" w:rsidR="00F332DA" w:rsidRPr="00BD76AF" w:rsidRDefault="00F332DA" w:rsidP="008D172D">
      <w:r w:rsidRPr="00BD76AF">
        <w:t>(titre du signataire)</w:t>
      </w:r>
    </w:p>
    <w:p w14:paraId="2676E73C" w14:textId="77777777" w:rsidR="00F332DA" w:rsidRPr="00BD76AF" w:rsidRDefault="00F332DA" w:rsidP="00E819E4">
      <w:pPr>
        <w:pStyle w:val="SecVI-Header3"/>
        <w:rPr>
          <w:lang w:val="fr-FR"/>
        </w:rPr>
      </w:pPr>
      <w:r w:rsidRPr="00BD76AF">
        <w:rPr>
          <w:lang w:val="fr-FR"/>
        </w:rPr>
        <w:br w:type="page"/>
      </w:r>
      <w:bookmarkStart w:id="738" w:name="_Toc357505483"/>
      <w:bookmarkStart w:id="739" w:name="_Toc104294486"/>
      <w:r w:rsidRPr="00BD76AF">
        <w:rPr>
          <w:lang w:val="fr-FR"/>
        </w:rPr>
        <w:t>Formulaire 7.  Offre de proposition de modification</w:t>
      </w:r>
      <w:bookmarkEnd w:id="738"/>
      <w:bookmarkEnd w:id="739"/>
    </w:p>
    <w:p w14:paraId="3A91A2CB" w14:textId="77777777" w:rsidR="00F332DA" w:rsidRPr="00BD76AF" w:rsidRDefault="00F332DA" w:rsidP="00D018EF">
      <w:pPr>
        <w:jc w:val="center"/>
      </w:pPr>
      <w:r w:rsidRPr="00BD76AF">
        <w:t xml:space="preserve">(Papier à en-tête de </w:t>
      </w:r>
      <w:r w:rsidRPr="00BD76AF">
        <w:rPr>
          <w:szCs w:val="24"/>
        </w:rPr>
        <w:t>l’Entrepreneur</w:t>
      </w:r>
      <w:r w:rsidRPr="00BD76AF">
        <w:t>)</w:t>
      </w:r>
    </w:p>
    <w:p w14:paraId="001F0FDB" w14:textId="77777777" w:rsidR="00F332DA" w:rsidRPr="00BD76AF" w:rsidRDefault="00F332DA" w:rsidP="00D018EF">
      <w:pPr>
        <w:jc w:val="center"/>
      </w:pPr>
    </w:p>
    <w:p w14:paraId="42AFEA53" w14:textId="77777777" w:rsidR="00F332DA" w:rsidRPr="00BD76AF" w:rsidRDefault="00F332DA" w:rsidP="00665DE8">
      <w:pPr>
        <w:tabs>
          <w:tab w:val="right" w:pos="6480"/>
          <w:tab w:val="left" w:pos="6660"/>
          <w:tab w:val="left" w:pos="8640"/>
        </w:tabs>
        <w:wordWrap w:val="0"/>
        <w:jc w:val="right"/>
      </w:pPr>
      <w:r w:rsidRPr="00BD76AF">
        <w:t>Date : [</w:t>
      </w:r>
      <w:r w:rsidRPr="00BD76AF">
        <w:rPr>
          <w:i/>
        </w:rPr>
        <w:t>indiquer jour, mois, année</w:t>
      </w:r>
      <w:r w:rsidRPr="00BD76AF">
        <w:t>]</w:t>
      </w:r>
    </w:p>
    <w:p w14:paraId="71BD3A9B" w14:textId="77777777" w:rsidR="00F332DA" w:rsidRPr="00BD76AF" w:rsidRDefault="00F332DA" w:rsidP="00665DE8"/>
    <w:p w14:paraId="037E4D57" w14:textId="77777777" w:rsidR="00F332DA" w:rsidRPr="00BD76AF" w:rsidRDefault="00F332DA" w:rsidP="00665DE8">
      <w:r w:rsidRPr="00BD76AF">
        <w:rPr>
          <w:rFonts w:hint="eastAsia"/>
        </w:rPr>
        <w:t>À</w:t>
      </w:r>
      <w:r w:rsidRPr="00BD76AF">
        <w:t> : [</w:t>
      </w:r>
      <w:r w:rsidRPr="00BD76AF">
        <w:rPr>
          <w:i/>
        </w:rPr>
        <w:t>indiquer les</w:t>
      </w:r>
      <w:r w:rsidRPr="00BD76AF">
        <w:t xml:space="preserve"> </w:t>
      </w:r>
      <w:r w:rsidRPr="00BD76AF">
        <w:rPr>
          <w:i/>
        </w:rPr>
        <w:t>nom et adresse du Maître d’ouvrage</w:t>
      </w:r>
      <w:r w:rsidRPr="00BD76AF">
        <w:t>]</w:t>
      </w:r>
    </w:p>
    <w:p w14:paraId="1F69ADFE" w14:textId="77777777" w:rsidR="00F332DA" w:rsidRPr="00BD76AF" w:rsidRDefault="00F332DA" w:rsidP="00665DE8"/>
    <w:p w14:paraId="3444A345" w14:textId="77777777" w:rsidR="00F332DA" w:rsidRPr="00BD76AF" w:rsidRDefault="00F332DA" w:rsidP="00665DE8">
      <w:r w:rsidRPr="00BD76AF">
        <w:rPr>
          <w:rFonts w:hint="eastAsia"/>
        </w:rPr>
        <w:t>À</w:t>
      </w:r>
      <w:r w:rsidRPr="00BD76AF">
        <w:t xml:space="preserve"> l’attention de : [</w:t>
      </w:r>
      <w:r w:rsidRPr="00BD76AF">
        <w:rPr>
          <w:i/>
        </w:rPr>
        <w:t>indiquer les nom et titre</w:t>
      </w:r>
      <w:r w:rsidRPr="00BD76AF">
        <w:t>]</w:t>
      </w:r>
    </w:p>
    <w:p w14:paraId="4838582C" w14:textId="77777777" w:rsidR="00F332DA" w:rsidRPr="00BD76AF" w:rsidRDefault="00F332DA" w:rsidP="00665DE8"/>
    <w:p w14:paraId="349B5C1D" w14:textId="77777777" w:rsidR="00F332DA" w:rsidRPr="00BD76AF" w:rsidRDefault="00F332DA" w:rsidP="00665DE8">
      <w:r w:rsidRPr="00BD76AF">
        <w:t>Nom du Marché : [</w:t>
      </w:r>
      <w:r w:rsidRPr="00BD76AF">
        <w:rPr>
          <w:i/>
        </w:rPr>
        <w:t>indiquer le nom du Marché</w:t>
      </w:r>
      <w:r w:rsidRPr="00BD76AF">
        <w:t>]</w:t>
      </w:r>
    </w:p>
    <w:p w14:paraId="47298CFE" w14:textId="77777777" w:rsidR="00F332DA" w:rsidRPr="00BD76AF" w:rsidRDefault="00F332DA" w:rsidP="00665DE8">
      <w:r w:rsidRPr="00BD76AF">
        <w:t>Marché n</w:t>
      </w:r>
      <w:r w:rsidRPr="00BD76AF">
        <w:rPr>
          <w:vertAlign w:val="superscript"/>
        </w:rPr>
        <w:t>o</w:t>
      </w:r>
      <w:r w:rsidRPr="00BD76AF">
        <w:t> : [</w:t>
      </w:r>
      <w:r w:rsidRPr="00BD76AF">
        <w:rPr>
          <w:i/>
        </w:rPr>
        <w:t>indiquer le numéro du Marché</w:t>
      </w:r>
      <w:r w:rsidRPr="00BD76AF">
        <w:t>]</w:t>
      </w:r>
    </w:p>
    <w:p w14:paraId="2012B88D" w14:textId="77777777" w:rsidR="00F332DA" w:rsidRPr="00BD76AF" w:rsidRDefault="00F332DA" w:rsidP="00D018EF"/>
    <w:p w14:paraId="093ECF9E" w14:textId="77777777" w:rsidR="00F332DA" w:rsidRPr="00BD76AF" w:rsidRDefault="00F332DA" w:rsidP="00D018EF">
      <w:r w:rsidRPr="00BD76AF">
        <w:t>Mesdames/Messieurs,</w:t>
      </w:r>
    </w:p>
    <w:p w14:paraId="49AFA46F" w14:textId="77777777" w:rsidR="00F332DA" w:rsidRPr="00BD76AF" w:rsidRDefault="00F332DA" w:rsidP="00D018EF"/>
    <w:p w14:paraId="72440D77" w14:textId="77777777" w:rsidR="00F332DA" w:rsidRPr="00BD76AF" w:rsidRDefault="00F332DA" w:rsidP="00D018EF">
      <w:r w:rsidRPr="00BD76AF">
        <w:t>Par les présentes, nous vous proposons que le travail mentionné ci-dessous soit considéré comme une modification des Installations.</w:t>
      </w:r>
    </w:p>
    <w:p w14:paraId="37C57196" w14:textId="77777777" w:rsidR="00F332DA" w:rsidRPr="00BD76AF" w:rsidRDefault="00F332DA" w:rsidP="00D018EF"/>
    <w:p w14:paraId="2CA35BF0" w14:textId="77777777" w:rsidR="00F332DA" w:rsidRPr="00BD76AF" w:rsidRDefault="00F332DA" w:rsidP="00D018EF">
      <w:r w:rsidRPr="00BD76AF">
        <w:t>1.</w:t>
      </w:r>
      <w:r w:rsidRPr="00BD76AF">
        <w:tab/>
        <w:t>Titre de la modification : [</w:t>
      </w:r>
      <w:r w:rsidRPr="00BD76AF">
        <w:rPr>
          <w:i/>
        </w:rPr>
        <w:t>indiquer le titre</w:t>
      </w:r>
      <w:r w:rsidRPr="00BD76AF">
        <w:t>]</w:t>
      </w:r>
    </w:p>
    <w:p w14:paraId="120AD4DE" w14:textId="77777777" w:rsidR="00F332DA" w:rsidRPr="00BD76AF" w:rsidRDefault="00F332DA" w:rsidP="00D018EF"/>
    <w:p w14:paraId="4494F17C" w14:textId="77777777" w:rsidR="00F332DA" w:rsidRPr="00BD76AF" w:rsidRDefault="00F332DA" w:rsidP="00D018EF">
      <w:pPr>
        <w:ind w:left="720" w:hanging="720"/>
      </w:pPr>
      <w:r w:rsidRPr="00BD76AF">
        <w:t>2.</w:t>
      </w:r>
      <w:r w:rsidRPr="00BD76AF">
        <w:tab/>
        <w:t>Proposition de modification n</w:t>
      </w:r>
      <w:r w:rsidRPr="00BD76AF">
        <w:rPr>
          <w:vertAlign w:val="superscript"/>
        </w:rPr>
        <w:t>o</w:t>
      </w:r>
      <w:r w:rsidRPr="00BD76AF">
        <w:t>/rév. : [</w:t>
      </w:r>
      <w:r w:rsidRPr="00BD76AF">
        <w:rPr>
          <w:i/>
        </w:rPr>
        <w:t>indiquer le numéro</w:t>
      </w:r>
      <w:r w:rsidRPr="00BD76AF">
        <w:t>]</w:t>
      </w:r>
      <w:r w:rsidRPr="00BD76AF">
        <w:rPr>
          <w:i/>
        </w:rPr>
        <w:tab/>
      </w:r>
      <w:r w:rsidRPr="00BD76AF">
        <w:t>datée : [</w:t>
      </w:r>
      <w:r w:rsidRPr="00BD76AF">
        <w:rPr>
          <w:i/>
        </w:rPr>
        <w:t>indiquer la date</w:t>
      </w:r>
      <w:r w:rsidRPr="00BD76AF">
        <w:t>]</w:t>
      </w:r>
    </w:p>
    <w:p w14:paraId="2100FBAA" w14:textId="77777777" w:rsidR="00F332DA" w:rsidRPr="00BD76AF" w:rsidRDefault="00F332DA" w:rsidP="00D018EF"/>
    <w:p w14:paraId="3DC36586" w14:textId="77777777" w:rsidR="00F332DA" w:rsidRPr="00BD76AF" w:rsidRDefault="00F332DA" w:rsidP="00D018EF">
      <w:r w:rsidRPr="00BD76AF">
        <w:t>3.</w:t>
      </w:r>
      <w:r w:rsidRPr="00BD76AF">
        <w:tab/>
        <w:t>Brève description de la modification : [</w:t>
      </w:r>
      <w:r w:rsidRPr="00BD76AF">
        <w:rPr>
          <w:i/>
        </w:rPr>
        <w:t>donner la description</w:t>
      </w:r>
      <w:r w:rsidRPr="00BD76AF">
        <w:t>]</w:t>
      </w:r>
    </w:p>
    <w:p w14:paraId="0C1AAB70" w14:textId="77777777" w:rsidR="00F332DA" w:rsidRPr="00BD76AF" w:rsidRDefault="00F332DA" w:rsidP="00D018EF"/>
    <w:p w14:paraId="762F8E6C" w14:textId="77777777" w:rsidR="00F332DA" w:rsidRPr="00BD76AF" w:rsidRDefault="00F332DA" w:rsidP="00D018EF">
      <w:r w:rsidRPr="00BD76AF">
        <w:t>4.</w:t>
      </w:r>
      <w:r w:rsidRPr="00BD76AF">
        <w:tab/>
        <w:t>Raisons de la modification : [</w:t>
      </w:r>
      <w:r w:rsidRPr="00BD76AF">
        <w:rPr>
          <w:i/>
        </w:rPr>
        <w:t>indiquer la raison</w:t>
      </w:r>
      <w:r w:rsidRPr="00BD76AF">
        <w:t>]</w:t>
      </w:r>
    </w:p>
    <w:p w14:paraId="1977C1EB" w14:textId="77777777" w:rsidR="00F332DA" w:rsidRPr="00BD76AF" w:rsidRDefault="00F332DA" w:rsidP="00D018EF"/>
    <w:p w14:paraId="22571171" w14:textId="77777777" w:rsidR="00F332DA" w:rsidRPr="00BD76AF" w:rsidRDefault="00F332DA" w:rsidP="00D018EF">
      <w:r w:rsidRPr="00BD76AF">
        <w:t>5.</w:t>
      </w:r>
      <w:r w:rsidRPr="00BD76AF">
        <w:tab/>
        <w:t>Estimation du coût (dans les monnaies du Marché) : [</w:t>
      </w:r>
      <w:r w:rsidRPr="00BD76AF">
        <w:rPr>
          <w:i/>
        </w:rPr>
        <w:t>indiquer l’estimation</w:t>
      </w:r>
      <w:r w:rsidRPr="00BD76AF">
        <w:t>]</w:t>
      </w:r>
    </w:p>
    <w:p w14:paraId="0144D0F4" w14:textId="77777777" w:rsidR="00F332DA" w:rsidRPr="00BD76AF" w:rsidRDefault="00F332DA" w:rsidP="00D018EF"/>
    <w:p w14:paraId="4810DD42" w14:textId="77777777" w:rsidR="00F332DA" w:rsidRPr="00BD76AF" w:rsidRDefault="00F332DA" w:rsidP="00D018EF">
      <w:r w:rsidRPr="00BD76AF">
        <w:t>6.</w:t>
      </w:r>
      <w:r w:rsidRPr="00BD76AF">
        <w:tab/>
        <w:t>Conséquences prévues de la modification : [</w:t>
      </w:r>
      <w:r w:rsidRPr="00BD76AF">
        <w:rPr>
          <w:i/>
        </w:rPr>
        <w:t>indiquer les conséquences</w:t>
      </w:r>
      <w:r w:rsidRPr="00BD76AF">
        <w:t>]</w:t>
      </w:r>
    </w:p>
    <w:p w14:paraId="4A0504CB" w14:textId="77777777" w:rsidR="00F332DA" w:rsidRPr="00BD76AF" w:rsidRDefault="00F332DA" w:rsidP="00D018EF"/>
    <w:p w14:paraId="3D95C08E" w14:textId="77777777" w:rsidR="00F332DA" w:rsidRPr="00BD76AF" w:rsidRDefault="00F332DA" w:rsidP="00A75E62">
      <w:pPr>
        <w:ind w:left="720" w:hangingChars="300" w:hanging="720"/>
      </w:pPr>
      <w:r w:rsidRPr="00BD76AF">
        <w:t>7.</w:t>
      </w:r>
      <w:r w:rsidRPr="00BD76AF">
        <w:tab/>
        <w:t>Conséquences éventuelles sur les garanties opérationnelles: [</w:t>
      </w:r>
      <w:r w:rsidRPr="00BD76AF">
        <w:rPr>
          <w:i/>
        </w:rPr>
        <w:t>indiquer les conséquences le cas échéant</w:t>
      </w:r>
      <w:r w:rsidRPr="00BD76AF">
        <w:t>]</w:t>
      </w:r>
    </w:p>
    <w:p w14:paraId="3508D523" w14:textId="77777777" w:rsidR="00F332DA" w:rsidRPr="00BD76AF" w:rsidRDefault="00F332DA" w:rsidP="00D018EF"/>
    <w:p w14:paraId="2EE5797B" w14:textId="77777777" w:rsidR="00F332DA" w:rsidRPr="00BD76AF" w:rsidRDefault="00F332DA" w:rsidP="00D018EF">
      <w:r w:rsidRPr="00BD76AF">
        <w:t>8.</w:t>
      </w:r>
      <w:r w:rsidRPr="00BD76AF">
        <w:tab/>
        <w:t>Annexe :</w:t>
      </w:r>
    </w:p>
    <w:p w14:paraId="34722E63" w14:textId="77777777" w:rsidR="00F332DA" w:rsidRPr="00BD76AF" w:rsidRDefault="00F332DA" w:rsidP="00D018EF"/>
    <w:p w14:paraId="1B6A697A" w14:textId="77777777" w:rsidR="00F332DA" w:rsidRPr="00BD76AF" w:rsidRDefault="00F332DA" w:rsidP="00D018EF">
      <w:pPr>
        <w:tabs>
          <w:tab w:val="left" w:pos="7200"/>
        </w:tabs>
      </w:pPr>
      <w:r w:rsidRPr="00BD76AF">
        <w:rPr>
          <w:u w:val="single"/>
        </w:rPr>
        <w:tab/>
      </w:r>
    </w:p>
    <w:p w14:paraId="5C5D3B2B" w14:textId="77777777" w:rsidR="00F332DA" w:rsidRPr="00BD76AF" w:rsidRDefault="00F332DA" w:rsidP="00D018EF">
      <w:r w:rsidRPr="00BD76AF">
        <w:t>(nom de l’Entrepreneur)</w:t>
      </w:r>
    </w:p>
    <w:p w14:paraId="7FB3D641" w14:textId="77777777" w:rsidR="00F332DA" w:rsidRPr="00BD76AF" w:rsidRDefault="00F332DA" w:rsidP="00D018EF"/>
    <w:p w14:paraId="312F828F" w14:textId="77777777" w:rsidR="00F332DA" w:rsidRPr="00BD76AF" w:rsidRDefault="00F332DA" w:rsidP="00D018EF">
      <w:pPr>
        <w:tabs>
          <w:tab w:val="left" w:pos="7200"/>
        </w:tabs>
      </w:pPr>
      <w:r w:rsidRPr="00BD76AF">
        <w:rPr>
          <w:u w:val="single"/>
        </w:rPr>
        <w:tab/>
      </w:r>
    </w:p>
    <w:p w14:paraId="06B08709" w14:textId="77777777" w:rsidR="00F332DA" w:rsidRPr="00BD76AF" w:rsidRDefault="00F332DA" w:rsidP="00D018EF">
      <w:r w:rsidRPr="00BD76AF">
        <w:t>(signature)</w:t>
      </w:r>
    </w:p>
    <w:p w14:paraId="3D392B01" w14:textId="77777777" w:rsidR="00F332DA" w:rsidRPr="00BD76AF" w:rsidRDefault="00F332DA" w:rsidP="00D018EF"/>
    <w:p w14:paraId="55338AD2" w14:textId="77777777" w:rsidR="00F332DA" w:rsidRPr="00BD76AF" w:rsidRDefault="00F332DA" w:rsidP="00D018EF">
      <w:pPr>
        <w:tabs>
          <w:tab w:val="left" w:pos="7200"/>
        </w:tabs>
      </w:pPr>
      <w:r w:rsidRPr="00BD76AF">
        <w:rPr>
          <w:u w:val="single"/>
        </w:rPr>
        <w:tab/>
      </w:r>
    </w:p>
    <w:p w14:paraId="356182BD" w14:textId="77777777" w:rsidR="00F332DA" w:rsidRPr="00BD76AF" w:rsidRDefault="00F332DA" w:rsidP="00D018EF">
      <w:r w:rsidRPr="00BD76AF">
        <w:t>(nom du signataire)</w:t>
      </w:r>
    </w:p>
    <w:p w14:paraId="78E16E70" w14:textId="77777777" w:rsidR="00F332DA" w:rsidRPr="00BD76AF" w:rsidRDefault="00F332DA" w:rsidP="00D018EF"/>
    <w:p w14:paraId="7B56C076" w14:textId="77777777" w:rsidR="00F332DA" w:rsidRPr="00BD76AF" w:rsidRDefault="00F332DA" w:rsidP="00D018EF">
      <w:pPr>
        <w:tabs>
          <w:tab w:val="left" w:pos="7200"/>
        </w:tabs>
      </w:pPr>
      <w:r w:rsidRPr="00BD76AF">
        <w:rPr>
          <w:u w:val="single"/>
        </w:rPr>
        <w:tab/>
      </w:r>
    </w:p>
    <w:p w14:paraId="4A225FC9" w14:textId="77777777" w:rsidR="00F332DA" w:rsidRPr="00BD76AF" w:rsidRDefault="00F332DA" w:rsidP="00D018EF">
      <w:pPr>
        <w:rPr>
          <w:lang w:eastAsia="ja-JP"/>
        </w:rPr>
      </w:pPr>
      <w:r w:rsidRPr="00BD76AF">
        <w:t>(titre du signataire)</w:t>
      </w:r>
    </w:p>
    <w:p w14:paraId="23C171AC" w14:textId="77777777" w:rsidR="00F332DA" w:rsidRPr="00BD76AF" w:rsidRDefault="00F332DA" w:rsidP="00E819E4">
      <w:pPr>
        <w:pStyle w:val="SecVI-Header3"/>
        <w:rPr>
          <w:lang w:val="fr-FR"/>
        </w:rPr>
      </w:pPr>
      <w:r w:rsidRPr="00BD76AF">
        <w:rPr>
          <w:lang w:val="fr-FR"/>
        </w:rPr>
        <w:br w:type="page"/>
      </w:r>
      <w:bookmarkStart w:id="740" w:name="_Toc357505484"/>
      <w:bookmarkStart w:id="741" w:name="_Toc104294487"/>
      <w:r w:rsidRPr="00BD76AF">
        <w:rPr>
          <w:lang w:val="fr-FR"/>
        </w:rPr>
        <w:t>Formulaire 8.  Tableau de suivi des ordres de modification</w:t>
      </w:r>
      <w:bookmarkEnd w:id="740"/>
      <w:bookmarkEnd w:id="741"/>
    </w:p>
    <w:p w14:paraId="4F328A2E" w14:textId="77777777" w:rsidR="00F332DA" w:rsidRPr="00BD76AF" w:rsidRDefault="00F332DA" w:rsidP="00D018EF">
      <w:pPr>
        <w:pStyle w:val="BankNormal"/>
        <w:jc w:val="both"/>
        <w:rPr>
          <w:lang w:val="fr-FR"/>
        </w:rPr>
      </w:pPr>
    </w:p>
    <w:p w14:paraId="60EBF77A" w14:textId="77777777" w:rsidR="00F332DA" w:rsidRPr="00BD76AF" w:rsidRDefault="00F332DA" w:rsidP="00CE0948">
      <w:r w:rsidRPr="00BD76AF">
        <w:t>[</w:t>
      </w:r>
      <w:r w:rsidRPr="00BD76AF">
        <w:rPr>
          <w:i/>
        </w:rPr>
        <w:t>L’Entrepreneur</w:t>
      </w:r>
      <w:r w:rsidRPr="00BD76AF">
        <w:t xml:space="preserve"> </w:t>
      </w:r>
      <w:r w:rsidRPr="00BD76AF">
        <w:rPr>
          <w:i/>
        </w:rPr>
        <w:t>tiendra à jour un tableau de suivi des ordres de modification, conformément à l’Article 2 de la procédure concernant les ordres de modifications et joindra une copie du tableau au rapport d’avancement mensuel soumis au Maître d’ouvrage.</w:t>
      </w:r>
      <w:r w:rsidRPr="00BD76AF">
        <w:t>]</w:t>
      </w:r>
    </w:p>
    <w:p w14:paraId="5781EB52" w14:textId="77777777" w:rsidR="00F332DA" w:rsidRPr="00BD76AF" w:rsidRDefault="00F332DA" w:rsidP="009749D8">
      <w:pPr>
        <w:pStyle w:val="SecVI-Header1"/>
        <w:jc w:val="both"/>
        <w:rPr>
          <w:b w:val="0"/>
          <w:i/>
          <w:sz w:val="24"/>
          <w:szCs w:val="24"/>
          <w:lang w:val="fr-FR"/>
        </w:rPr>
      </w:pPr>
    </w:p>
    <w:p w14:paraId="2E2D8720" w14:textId="77777777" w:rsidR="00F332DA" w:rsidRPr="00BD76AF" w:rsidRDefault="00F332DA">
      <w:pPr>
        <w:suppressAutoHyphens w:val="0"/>
        <w:overflowPunct/>
        <w:autoSpaceDE/>
        <w:autoSpaceDN/>
        <w:adjustRightInd/>
        <w:jc w:val="left"/>
        <w:textAlignment w:val="auto"/>
        <w:rPr>
          <w:b/>
          <w:sz w:val="36"/>
        </w:rPr>
      </w:pPr>
      <w:r w:rsidRPr="00BD76AF">
        <w:br w:type="page"/>
      </w:r>
    </w:p>
    <w:p w14:paraId="23A5A467" w14:textId="77777777" w:rsidR="00F332DA" w:rsidRPr="00BD76AF" w:rsidRDefault="00F332DA" w:rsidP="00BF4900">
      <w:pPr>
        <w:pStyle w:val="SecVI-Header1"/>
        <w:rPr>
          <w:lang w:val="fr-FR"/>
        </w:rPr>
      </w:pPr>
      <w:bookmarkStart w:id="742" w:name="_Toc104294488"/>
      <w:r w:rsidRPr="00BD76AF">
        <w:rPr>
          <w:lang w:val="fr-FR"/>
        </w:rPr>
        <w:t>Informations supplémentaires</w:t>
      </w:r>
      <w:bookmarkEnd w:id="742"/>
    </w:p>
    <w:p w14:paraId="24A0CBBA" w14:textId="77777777" w:rsidR="00F332DA" w:rsidRPr="00BD76AF" w:rsidRDefault="00F332DA" w:rsidP="000F399E">
      <w:pPr>
        <w:pStyle w:val="SecVI-Header1"/>
        <w:rPr>
          <w:lang w:val="fr-FR"/>
        </w:rPr>
      </w:pPr>
    </w:p>
    <w:p w14:paraId="47B45CE9" w14:textId="77777777" w:rsidR="00F332DA" w:rsidRPr="00BD76AF" w:rsidRDefault="00F332DA" w:rsidP="000052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F332DA" w:rsidRPr="00BD76AF" w14:paraId="1CAE4239" w14:textId="77777777" w:rsidTr="0000527F">
        <w:tc>
          <w:tcPr>
            <w:tcW w:w="9198" w:type="dxa"/>
            <w:shd w:val="clear" w:color="auto" w:fill="auto"/>
          </w:tcPr>
          <w:p w14:paraId="6D5D3547" w14:textId="77777777" w:rsidR="00F332DA" w:rsidRPr="00BD76AF" w:rsidRDefault="00F332DA" w:rsidP="0000527F">
            <w:pPr>
              <w:jc w:val="center"/>
              <w:rPr>
                <w:b/>
                <w:sz w:val="28"/>
                <w:lang w:eastAsia="ja-JP"/>
              </w:rPr>
            </w:pPr>
          </w:p>
          <w:p w14:paraId="2BD1CE72" w14:textId="77777777" w:rsidR="00F332DA" w:rsidRPr="00BD76AF" w:rsidRDefault="00F332DA" w:rsidP="0000527F">
            <w:pPr>
              <w:jc w:val="center"/>
              <w:rPr>
                <w:lang w:eastAsia="ja-JP"/>
              </w:rPr>
            </w:pPr>
            <w:r w:rsidRPr="00BD76AF">
              <w:rPr>
                <w:b/>
                <w:sz w:val="28"/>
                <w:lang w:eastAsia="ja-JP"/>
              </w:rPr>
              <w:t>Notes à l’intention du Maître d’ouvrage</w:t>
            </w:r>
          </w:p>
          <w:p w14:paraId="2AE9A363" w14:textId="77777777" w:rsidR="00F332DA" w:rsidRPr="00BD76AF" w:rsidRDefault="00F332DA" w:rsidP="0000527F">
            <w:pPr>
              <w:rPr>
                <w:lang w:eastAsia="ja-JP"/>
              </w:rPr>
            </w:pPr>
          </w:p>
          <w:p w14:paraId="602DDABD" w14:textId="77777777" w:rsidR="00F332DA" w:rsidRPr="00BD76AF" w:rsidRDefault="00F332DA" w:rsidP="0000527F">
            <w:r w:rsidRPr="00BD76AF">
              <w:t>Les informations supplémentaires contiennent généralement des données ou des informations additionnelles relatives aux Installations, au Site, au projet, au pays ou à la région, qui peuvent être très utiles au Soumissionnaire pour la préparation de son offre.</w:t>
            </w:r>
          </w:p>
          <w:p w14:paraId="5A2D7354" w14:textId="77777777" w:rsidR="00F332DA" w:rsidRPr="00BD76AF" w:rsidRDefault="00F332DA" w:rsidP="0000527F"/>
        </w:tc>
      </w:tr>
    </w:tbl>
    <w:p w14:paraId="642F3CFA" w14:textId="77777777" w:rsidR="00F332DA" w:rsidRPr="00BD76AF" w:rsidRDefault="00F332DA" w:rsidP="0000527F"/>
    <w:p w14:paraId="03432C79" w14:textId="77777777" w:rsidR="00F332DA" w:rsidRPr="00BD76AF" w:rsidRDefault="00F332DA" w:rsidP="000F399E">
      <w:pPr>
        <w:pStyle w:val="SecVI-Header1"/>
        <w:rPr>
          <w:lang w:val="fr-FR"/>
        </w:rPr>
      </w:pPr>
      <w:r w:rsidRPr="00BD76AF">
        <w:rPr>
          <w:lang w:val="fr-FR"/>
        </w:rPr>
        <w:br w:type="page"/>
      </w:r>
    </w:p>
    <w:p w14:paraId="430DD5C7" w14:textId="77777777" w:rsidR="00F332DA" w:rsidRPr="00BD76AF" w:rsidRDefault="00F332DA" w:rsidP="000F399E">
      <w:pPr>
        <w:pStyle w:val="SecVI-Header1"/>
        <w:rPr>
          <w:lang w:val="fr-FR"/>
        </w:rPr>
      </w:pPr>
      <w:bookmarkStart w:id="743" w:name="_Toc521149756"/>
      <w:bookmarkStart w:id="744" w:name="_Toc90466031"/>
      <w:bookmarkStart w:id="745" w:name="_Toc99116182"/>
      <w:bookmarkStart w:id="746" w:name="_Toc104294489"/>
      <w:r w:rsidRPr="00BD76AF">
        <w:rPr>
          <w:lang w:val="fr-FR"/>
        </w:rPr>
        <w:t>Données du Site</w:t>
      </w:r>
      <w:bookmarkEnd w:id="743"/>
      <w:bookmarkEnd w:id="744"/>
      <w:bookmarkEnd w:id="745"/>
      <w:bookmarkEnd w:id="746"/>
    </w:p>
    <w:p w14:paraId="04CF1980" w14:textId="77777777" w:rsidR="00F332DA" w:rsidRPr="00BD76AF" w:rsidRDefault="00F332DA" w:rsidP="0000527F">
      <w:pPr>
        <w:jc w:val="cente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F332DA" w:rsidRPr="00BD76AF" w14:paraId="402C7711" w14:textId="77777777" w:rsidTr="0000527F">
        <w:tc>
          <w:tcPr>
            <w:tcW w:w="9198" w:type="dxa"/>
            <w:shd w:val="clear" w:color="auto" w:fill="auto"/>
          </w:tcPr>
          <w:p w14:paraId="181204B1" w14:textId="77777777" w:rsidR="00F332DA" w:rsidRPr="00BD76AF" w:rsidRDefault="00F332DA" w:rsidP="0000527F">
            <w:pPr>
              <w:jc w:val="center"/>
              <w:rPr>
                <w:b/>
                <w:sz w:val="28"/>
                <w:lang w:eastAsia="ja-JP"/>
              </w:rPr>
            </w:pPr>
          </w:p>
          <w:p w14:paraId="064AAED4" w14:textId="77777777" w:rsidR="00F332DA" w:rsidRPr="00BD76AF" w:rsidRDefault="00F332DA" w:rsidP="0000527F">
            <w:pPr>
              <w:jc w:val="center"/>
              <w:rPr>
                <w:lang w:eastAsia="ja-JP"/>
              </w:rPr>
            </w:pPr>
            <w:r w:rsidRPr="00BD76AF">
              <w:rPr>
                <w:b/>
                <w:sz w:val="28"/>
                <w:lang w:eastAsia="ja-JP"/>
              </w:rPr>
              <w:t>Notes à l’intention du Maître d’ouvrage</w:t>
            </w:r>
          </w:p>
          <w:p w14:paraId="7A21BB27" w14:textId="77777777" w:rsidR="00F332DA" w:rsidRPr="00BD76AF" w:rsidRDefault="00F332DA" w:rsidP="0000527F">
            <w:pPr>
              <w:rPr>
                <w:lang w:eastAsia="ja-JP"/>
              </w:rPr>
            </w:pPr>
          </w:p>
          <w:p w14:paraId="7B15B396" w14:textId="77777777" w:rsidR="00F332DA" w:rsidRPr="00BD76AF" w:rsidRDefault="00F332DA" w:rsidP="0000527F">
            <w:r w:rsidRPr="00BD76AF">
              <w:t>Conformément aux Articles 9.2 et 10.1 des Conditions du Marché, le Maître d’ouvrage devra mettre à la disposition du Soumissionnaire les données en sa possession se rapportant au Site et aux Installations proposées, notamment en ce qui concerne :</w:t>
            </w:r>
          </w:p>
          <w:p w14:paraId="0A977B67" w14:textId="77777777" w:rsidR="00F332DA" w:rsidRPr="00BD76AF" w:rsidRDefault="00F332DA" w:rsidP="0000527F">
            <w:pPr>
              <w:tabs>
                <w:tab w:val="left" w:pos="426"/>
              </w:tabs>
              <w:ind w:left="454" w:hanging="454"/>
            </w:pPr>
            <w:r w:rsidRPr="00BD76AF">
              <w:t>a)</w:t>
            </w:r>
            <w:r w:rsidRPr="00BD76AF">
              <w:tab/>
              <w:t xml:space="preserve">les données topographiques ; </w:t>
            </w:r>
          </w:p>
          <w:p w14:paraId="7065E646" w14:textId="77777777" w:rsidR="00F332DA" w:rsidRPr="00BD76AF" w:rsidRDefault="00F332DA" w:rsidP="0000527F">
            <w:pPr>
              <w:tabs>
                <w:tab w:val="left" w:pos="426"/>
              </w:tabs>
              <w:ind w:left="454" w:hanging="454"/>
            </w:pPr>
            <w:r w:rsidRPr="00BD76AF">
              <w:t>b)</w:t>
            </w:r>
            <w:r w:rsidRPr="00BD76AF">
              <w:tab/>
              <w:t>les données de référence environnementales et sociales ;</w:t>
            </w:r>
          </w:p>
          <w:p w14:paraId="103FECB1" w14:textId="77777777" w:rsidR="00F332DA" w:rsidRPr="00BD76AF" w:rsidRDefault="00F332DA" w:rsidP="0000527F">
            <w:pPr>
              <w:tabs>
                <w:tab w:val="left" w:pos="426"/>
              </w:tabs>
              <w:ind w:left="454" w:hanging="454"/>
            </w:pPr>
            <w:r w:rsidRPr="00BD76AF">
              <w:t>c)</w:t>
            </w:r>
            <w:r w:rsidRPr="00BD76AF">
              <w:tab/>
              <w:t>les données météorologiques et les données sur les marées ;</w:t>
            </w:r>
          </w:p>
          <w:p w14:paraId="7F67ED15" w14:textId="77777777" w:rsidR="00F332DA" w:rsidRPr="00BD76AF" w:rsidRDefault="00F332DA" w:rsidP="0000527F">
            <w:pPr>
              <w:tabs>
                <w:tab w:val="left" w:pos="426"/>
              </w:tabs>
              <w:ind w:left="454" w:hanging="454"/>
            </w:pPr>
            <w:r w:rsidRPr="00BD76AF">
              <w:t>d)</w:t>
            </w:r>
            <w:r w:rsidRPr="00BD76AF">
              <w:tab/>
              <w:t>les données sur les investigations géotechniques et les données géologiques ;</w:t>
            </w:r>
          </w:p>
          <w:p w14:paraId="50FF33F7" w14:textId="77777777" w:rsidR="00F332DA" w:rsidRPr="00BD76AF" w:rsidRDefault="00F332DA" w:rsidP="0000527F">
            <w:pPr>
              <w:tabs>
                <w:tab w:val="left" w:pos="426"/>
              </w:tabs>
              <w:ind w:left="454" w:hanging="454"/>
            </w:pPr>
            <w:r w:rsidRPr="00BD76AF">
              <w:t>e)</w:t>
            </w:r>
            <w:r w:rsidRPr="00BD76AF">
              <w:tab/>
              <w:t>les relevés des services publics ;</w:t>
            </w:r>
          </w:p>
          <w:p w14:paraId="697975F3" w14:textId="77777777" w:rsidR="00F332DA" w:rsidRPr="00BD76AF" w:rsidRDefault="00F332DA" w:rsidP="0000527F">
            <w:pPr>
              <w:tabs>
                <w:tab w:val="left" w:pos="426"/>
              </w:tabs>
              <w:ind w:left="454" w:hanging="454"/>
            </w:pPr>
            <w:r w:rsidRPr="00BD76AF">
              <w:t>f)</w:t>
            </w:r>
            <w:r w:rsidRPr="00BD76AF">
              <w:tab/>
              <w:t>les données sur les propriétés foncières ;</w:t>
            </w:r>
          </w:p>
          <w:p w14:paraId="73AEE8B4" w14:textId="77777777" w:rsidR="00F332DA" w:rsidRPr="00BD76AF" w:rsidRDefault="00F332DA" w:rsidP="0000527F">
            <w:pPr>
              <w:tabs>
                <w:tab w:val="left" w:pos="426"/>
              </w:tabs>
              <w:ind w:left="454" w:hanging="454"/>
            </w:pPr>
            <w:r w:rsidRPr="00BD76AF">
              <w:t>g)</w:t>
            </w:r>
            <w:r w:rsidRPr="00BD76AF">
              <w:tab/>
              <w:t>les données sur les eaux souterraines et les eaux de surface, et les données hydrologiques ;</w:t>
            </w:r>
          </w:p>
          <w:p w14:paraId="18224425" w14:textId="77777777" w:rsidR="00F332DA" w:rsidRPr="00BD76AF" w:rsidRDefault="00F332DA" w:rsidP="0000527F">
            <w:pPr>
              <w:tabs>
                <w:tab w:val="left" w:pos="426"/>
              </w:tabs>
              <w:ind w:left="454" w:hanging="454"/>
            </w:pPr>
            <w:r w:rsidRPr="00BD76AF">
              <w:rPr>
                <w:rFonts w:hint="eastAsia"/>
                <w:lang w:eastAsia="ja-JP"/>
              </w:rPr>
              <w:t>h</w:t>
            </w:r>
            <w:r w:rsidRPr="00BD76AF">
              <w:t>)</w:t>
            </w:r>
            <w:r w:rsidRPr="00BD76AF">
              <w:tab/>
              <w:t>les ordres de service, les approbations, les autorisations, les licences et les conditions de conformité ;</w:t>
            </w:r>
          </w:p>
          <w:p w14:paraId="759CF191" w14:textId="77777777" w:rsidR="00F332DA" w:rsidRPr="00BD76AF" w:rsidRDefault="00F332DA" w:rsidP="0000527F">
            <w:pPr>
              <w:tabs>
                <w:tab w:val="left" w:pos="426"/>
              </w:tabs>
              <w:ind w:left="454" w:hanging="454"/>
            </w:pPr>
            <w:r w:rsidRPr="00BD76AF">
              <w:t>i)</w:t>
            </w:r>
            <w:r w:rsidRPr="00BD76AF">
              <w:tab/>
              <w:t>les dossiers conformes à l’exécution des infrastructures existantes ;</w:t>
            </w:r>
          </w:p>
          <w:p w14:paraId="20EC355F" w14:textId="77777777" w:rsidR="00F332DA" w:rsidRPr="00BD76AF" w:rsidRDefault="00F332DA" w:rsidP="0000527F">
            <w:pPr>
              <w:tabs>
                <w:tab w:val="left" w:pos="426"/>
              </w:tabs>
              <w:ind w:left="454" w:hanging="454"/>
            </w:pPr>
            <w:r w:rsidRPr="00BD76AF">
              <w:t>j)</w:t>
            </w:r>
            <w:r w:rsidRPr="00BD76AF">
              <w:tab/>
              <w:t>les mesures environnementales et les systèmes de qualité, santé ou sécurité à mettre en place ;</w:t>
            </w:r>
          </w:p>
          <w:p w14:paraId="20C8545B" w14:textId="77777777" w:rsidR="00F332DA" w:rsidRPr="00BD76AF" w:rsidRDefault="00F332DA" w:rsidP="0000527F">
            <w:pPr>
              <w:tabs>
                <w:tab w:val="left" w:pos="426"/>
              </w:tabs>
              <w:ind w:left="454" w:hanging="454"/>
            </w:pPr>
            <w:r w:rsidRPr="00BD76AF">
              <w:t>k)</w:t>
            </w:r>
            <w:r w:rsidRPr="00BD76AF">
              <w:tab/>
              <w:t>les détails de tout risque ou danger ;</w:t>
            </w:r>
          </w:p>
          <w:p w14:paraId="4058EE8A" w14:textId="77777777" w:rsidR="00F332DA" w:rsidRPr="00BD76AF" w:rsidRDefault="00F332DA" w:rsidP="0000527F">
            <w:pPr>
              <w:tabs>
                <w:tab w:val="left" w:pos="426"/>
              </w:tabs>
              <w:ind w:left="454" w:hanging="454"/>
            </w:pPr>
            <w:r w:rsidRPr="00BD76AF">
              <w:t>l)</w:t>
            </w:r>
            <w:r w:rsidRPr="00BD76AF">
              <w:tab/>
              <w:t>toute autre contrainte physique.</w:t>
            </w:r>
          </w:p>
          <w:p w14:paraId="2EC408EA" w14:textId="77777777" w:rsidR="00F332DA" w:rsidRPr="00BD76AF" w:rsidRDefault="00F332DA" w:rsidP="0000527F">
            <w:pPr>
              <w:ind w:left="1080"/>
            </w:pPr>
          </w:p>
          <w:p w14:paraId="3196B840" w14:textId="77777777" w:rsidR="00F332DA" w:rsidRPr="00BD76AF" w:rsidRDefault="00F332DA" w:rsidP="0000527F">
            <w:pPr>
              <w:spacing w:afterLines="50" w:after="120"/>
            </w:pPr>
            <w:r w:rsidRPr="00BD76AF">
              <w:t>Si les données du Site sont abondantes et que le Maître d’ouvrage a du mal à les joindre au Dossier d’appel d’offres, il pourra indiquer ci-dessous uniquement la liste de celles-ci et les remettre aux Soumissionnaires sous la forme de CD(s)/DVD(s).</w:t>
            </w:r>
          </w:p>
          <w:p w14:paraId="7E272E69" w14:textId="77777777" w:rsidR="00F332DA" w:rsidRPr="00BD76AF" w:rsidRDefault="00F332DA" w:rsidP="0000527F">
            <w:pPr>
              <w:jc w:val="center"/>
              <w:rPr>
                <w:lang w:eastAsia="ja-JP"/>
              </w:rPr>
            </w:pPr>
          </w:p>
        </w:tc>
      </w:tr>
    </w:tbl>
    <w:p w14:paraId="04E0AA03" w14:textId="77777777" w:rsidR="00F332DA" w:rsidRPr="00BD76AF" w:rsidRDefault="00F332DA" w:rsidP="0000527F">
      <w:pPr>
        <w:jc w:val="center"/>
      </w:pPr>
    </w:p>
    <w:p w14:paraId="39E6D89B" w14:textId="77777777" w:rsidR="00F332DA" w:rsidRPr="00BD76AF" w:rsidRDefault="00F332DA" w:rsidP="000F399E">
      <w:pPr>
        <w:pStyle w:val="SecVI-Header1"/>
        <w:rPr>
          <w:lang w:val="fr-FR"/>
        </w:rPr>
      </w:pPr>
    </w:p>
    <w:p w14:paraId="68108FE4" w14:textId="77777777" w:rsidR="00F332DA" w:rsidRPr="00BD76AF" w:rsidRDefault="00F332DA" w:rsidP="00CD030A">
      <w:pPr>
        <w:jc w:val="center"/>
        <w:rPr>
          <w:lang w:eastAsia="ja-JP"/>
        </w:rPr>
      </w:pPr>
      <w:bookmarkStart w:id="747" w:name="_Toc348175663"/>
      <w:bookmarkEnd w:id="747"/>
    </w:p>
    <w:p w14:paraId="5E6D1902" w14:textId="77777777" w:rsidR="00F332DA" w:rsidRPr="00BD76AF" w:rsidRDefault="00F332DA" w:rsidP="001F7B8F">
      <w:pPr>
        <w:suppressAutoHyphens w:val="0"/>
        <w:overflowPunct/>
        <w:autoSpaceDE/>
        <w:autoSpaceDN/>
        <w:adjustRightInd/>
        <w:jc w:val="left"/>
        <w:textAlignment w:val="auto"/>
        <w:rPr>
          <w:lang w:eastAsia="ja-JP"/>
        </w:rPr>
      </w:pPr>
    </w:p>
    <w:p w14:paraId="1A65533F" w14:textId="77777777" w:rsidR="00F332DA" w:rsidRPr="00BD76AF" w:rsidRDefault="00F332DA" w:rsidP="001F7B8F">
      <w:pPr>
        <w:sectPr w:rsidR="00F332DA" w:rsidRPr="00BD76AF" w:rsidSect="0079334B">
          <w:footnotePr>
            <w:numRestart w:val="eachPage"/>
          </w:footnotePr>
          <w:type w:val="nextColumn"/>
          <w:pgSz w:w="12240" w:h="15840"/>
          <w:pgMar w:top="1440" w:right="1440" w:bottom="1440" w:left="1797" w:header="720" w:footer="720" w:gutter="0"/>
          <w:cols w:space="720"/>
        </w:sectPr>
      </w:pPr>
    </w:p>
    <w:p w14:paraId="3C37527B" w14:textId="77777777" w:rsidR="00F332DA" w:rsidRPr="00BD76AF" w:rsidRDefault="00F332DA" w:rsidP="00DC4C81">
      <w:pPr>
        <w:pStyle w:val="Part11"/>
      </w:pPr>
      <w:bookmarkStart w:id="748" w:name="_Toc349047542"/>
      <w:bookmarkStart w:id="749" w:name="_Toc349055431"/>
      <w:bookmarkStart w:id="750" w:name="_Toc354567707"/>
      <w:r w:rsidRPr="00BD76AF">
        <w:t>TROISIÈME PARTIE – CONDITIONS DU MARCHÉ ET FORMULAIRES DU MARCHÉ</w:t>
      </w:r>
      <w:bookmarkEnd w:id="748"/>
      <w:bookmarkEnd w:id="749"/>
      <w:bookmarkEnd w:id="750"/>
    </w:p>
    <w:p w14:paraId="3164142C" w14:textId="77777777" w:rsidR="00F332DA" w:rsidRPr="00BD76AF" w:rsidRDefault="00F332DA" w:rsidP="001F7B8F"/>
    <w:p w14:paraId="6766AD81" w14:textId="77777777" w:rsidR="00F332DA" w:rsidRPr="00BD76AF" w:rsidRDefault="00F332DA" w:rsidP="007872EB">
      <w:pPr>
        <w:suppressAutoHyphens w:val="0"/>
        <w:overflowPunct/>
        <w:autoSpaceDE/>
        <w:autoSpaceDN/>
        <w:adjustRightInd/>
        <w:jc w:val="center"/>
        <w:textAlignment w:val="auto"/>
        <w:rPr>
          <w:b/>
          <w:sz w:val="44"/>
          <w:szCs w:val="44"/>
        </w:rPr>
        <w:sectPr w:rsidR="00F332DA" w:rsidRPr="00BD76AF" w:rsidSect="00751F2D">
          <w:headerReference w:type="default" r:id="rId86"/>
          <w:footnotePr>
            <w:numRestart w:val="eachPage"/>
          </w:footnotePr>
          <w:type w:val="oddPage"/>
          <w:pgSz w:w="12240" w:h="15840"/>
          <w:pgMar w:top="1440" w:right="1440" w:bottom="1440" w:left="1797" w:header="720" w:footer="720" w:gutter="0"/>
          <w:cols w:space="720"/>
          <w:vAlign w:val="center"/>
        </w:sectPr>
      </w:pPr>
    </w:p>
    <w:p w14:paraId="691B1FAD" w14:textId="77777777" w:rsidR="00F332DA" w:rsidRPr="00BD76AF" w:rsidRDefault="00F332DA" w:rsidP="00200B3C"/>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3"/>
      </w:tblGrid>
      <w:tr w:rsidR="00F332DA" w:rsidRPr="00BD76AF" w14:paraId="3038896A" w14:textId="77777777" w:rsidTr="00200B3C">
        <w:tc>
          <w:tcPr>
            <w:tcW w:w="9558" w:type="dxa"/>
            <w:shd w:val="clear" w:color="auto" w:fill="auto"/>
          </w:tcPr>
          <w:p w14:paraId="509B2CAD" w14:textId="77777777" w:rsidR="00F332DA" w:rsidRPr="00BD76AF" w:rsidRDefault="00F332DA" w:rsidP="005412DA">
            <w:pPr>
              <w:jc w:val="center"/>
              <w:rPr>
                <w:lang w:eastAsia="ja-JP"/>
              </w:rPr>
            </w:pPr>
          </w:p>
          <w:p w14:paraId="6C0DDA36" w14:textId="77777777" w:rsidR="00F332DA" w:rsidRPr="00BD76AF" w:rsidRDefault="00F332DA" w:rsidP="005412DA">
            <w:pPr>
              <w:spacing w:afterLines="150" w:after="360"/>
              <w:jc w:val="center"/>
              <w:rPr>
                <w:b/>
                <w:sz w:val="28"/>
                <w:szCs w:val="28"/>
              </w:rPr>
            </w:pPr>
            <w:r w:rsidRPr="00BD76AF">
              <w:rPr>
                <w:b/>
                <w:bCs/>
                <w:sz w:val="28"/>
                <w:szCs w:val="28"/>
              </w:rPr>
              <w:t xml:space="preserve">Notes à l’intention du Maître d’ouvrage </w:t>
            </w:r>
          </w:p>
          <w:p w14:paraId="6A794300" w14:textId="77777777" w:rsidR="00F332DA" w:rsidRPr="00BD76AF" w:rsidRDefault="00F332DA" w:rsidP="001116C4">
            <w:r w:rsidRPr="00BD76AF">
              <w:t>Le Marché se compose de deux parties :</w:t>
            </w:r>
          </w:p>
          <w:p w14:paraId="490C3ABB" w14:textId="77777777" w:rsidR="00F332DA" w:rsidRPr="00BD76AF" w:rsidRDefault="00F332DA" w:rsidP="001116C4"/>
          <w:p w14:paraId="7535E8B4" w14:textId="77777777" w:rsidR="00F332DA" w:rsidRPr="00BD76AF" w:rsidRDefault="00F332DA" w:rsidP="003D46CF">
            <w:pPr>
              <w:numPr>
                <w:ilvl w:val="0"/>
                <w:numId w:val="89"/>
              </w:numPr>
              <w:overflowPunct/>
              <w:autoSpaceDE/>
              <w:autoSpaceDN/>
              <w:adjustRightInd/>
              <w:textAlignment w:val="auto"/>
            </w:pPr>
            <w:r w:rsidRPr="00BD76AF">
              <w:rPr>
                <w:b/>
                <w:bCs/>
                <w:szCs w:val="24"/>
                <w:lang w:eastAsia="ja-JP"/>
              </w:rPr>
              <w:t>les Conditions Générales</w:t>
            </w:r>
            <w:r w:rsidRPr="00BD76AF">
              <w:rPr>
                <w:bCs/>
                <w:szCs w:val="24"/>
                <w:lang w:eastAsia="ja-JP"/>
              </w:rPr>
              <w:t xml:space="preserve"> (CG)</w:t>
            </w:r>
            <w:r w:rsidRPr="00BD76AF">
              <w:t xml:space="preserve"> (Section VII du Dossier d’appel d’offres) ; et</w:t>
            </w:r>
          </w:p>
          <w:p w14:paraId="302D3A40" w14:textId="77777777" w:rsidR="00F332DA" w:rsidRPr="00BD76AF" w:rsidRDefault="00F332DA" w:rsidP="003D46CF">
            <w:pPr>
              <w:numPr>
                <w:ilvl w:val="0"/>
                <w:numId w:val="89"/>
              </w:numPr>
              <w:overflowPunct/>
              <w:autoSpaceDE/>
              <w:autoSpaceDN/>
              <w:adjustRightInd/>
              <w:spacing w:afterLines="100" w:after="240"/>
              <w:ind w:left="714" w:hanging="357"/>
              <w:textAlignment w:val="auto"/>
            </w:pPr>
            <w:r w:rsidRPr="00BD76AF">
              <w:rPr>
                <w:b/>
                <w:bCs/>
                <w:szCs w:val="24"/>
                <w:lang w:eastAsia="ja-JP"/>
              </w:rPr>
              <w:t>les Conditions Particulières</w:t>
            </w:r>
            <w:r w:rsidRPr="00BD76AF">
              <w:rPr>
                <w:bCs/>
                <w:szCs w:val="24"/>
                <w:lang w:eastAsia="ja-JP"/>
              </w:rPr>
              <w:t xml:space="preserve"> (CP)</w:t>
            </w:r>
            <w:r w:rsidRPr="00BD76AF">
              <w:t xml:space="preserve"> (Section VIII du Dossier d’appel d’offres).</w:t>
            </w:r>
          </w:p>
          <w:p w14:paraId="522082A3" w14:textId="77777777" w:rsidR="00F332DA" w:rsidRPr="00BD76AF" w:rsidRDefault="00F332DA" w:rsidP="0079334B">
            <w:pPr>
              <w:spacing w:afterLines="50" w:after="120"/>
              <w:rPr>
                <w:lang w:eastAsia="ja-JP"/>
              </w:rPr>
            </w:pPr>
            <w:r w:rsidRPr="00BD76AF">
              <w:rPr>
                <w:bCs/>
                <w:szCs w:val="24"/>
                <w:lang w:eastAsia="ja-JP"/>
              </w:rPr>
              <w:t>Les Conditions Générales</w:t>
            </w:r>
            <w:r w:rsidRPr="00BD76AF">
              <w:t>, la Section VII de la Troisième Partie de ce Dossier Standard d’Appel d’Offres pour la passation de marchés de Conception, Fourniture et Montage d’Équipements,</w:t>
            </w:r>
            <w:r w:rsidRPr="00BD76AF">
              <w:rPr>
                <w:lang w:eastAsia="ja-JP"/>
              </w:rPr>
              <w:t xml:space="preserve"> s’inspire</w:t>
            </w:r>
            <w:r w:rsidRPr="00BD76AF">
              <w:t xml:space="preserve"> du « Model Form of International Contract for Process Plant Construction » publié par l’« Engineering Advancement Association of Japan » (ENAA). </w:t>
            </w:r>
            <w:r w:rsidRPr="00BD76AF">
              <w:rPr>
                <w:lang w:eastAsia="ja-JP"/>
              </w:rPr>
              <w:t xml:space="preserve">L’utilisation de ces CG standard est requise pour tout Dossier d’appel d’offres/marché de </w:t>
            </w:r>
            <w:r w:rsidRPr="00BD76AF">
              <w:t xml:space="preserve">Conception, Fourniture et Montage d’Équipements </w:t>
            </w:r>
            <w:r w:rsidRPr="00BD76AF">
              <w:rPr>
                <w:lang w:eastAsia="ja-JP"/>
              </w:rPr>
              <w:t xml:space="preserve">faisant l’objet d’appels d’offres internationaux (AOI). Les CG standard ne doivent pas être modifiées. </w:t>
            </w:r>
          </w:p>
          <w:p w14:paraId="44409BCE" w14:textId="77777777" w:rsidR="00F332DA" w:rsidRPr="00BD76AF" w:rsidRDefault="00F332DA" w:rsidP="0079334B">
            <w:pPr>
              <w:spacing w:afterLines="50" w:after="120"/>
              <w:rPr>
                <w:lang w:eastAsia="ja-JP"/>
              </w:rPr>
            </w:pPr>
            <w:r w:rsidRPr="00BD76AF">
              <w:rPr>
                <w:lang w:eastAsia="ja-JP"/>
              </w:rPr>
              <w:t xml:space="preserve">Une copie des CG standard doit être jointe aux Dossiers d’appel d’offres/Marchés préparés par le Maître d’ouvrage. Si les Conditions Générales dans le Dossier d’appel d’offres/Marché préparé par le Maître d’ouvrage comprennent des modifications par rapport aux CG standard, la JICA ne les considèrera pas valides et demandera au Maître d’ouvrage de modifier </w:t>
            </w:r>
            <w:r w:rsidRPr="00BD76AF">
              <w:rPr>
                <w:bCs/>
                <w:szCs w:val="24"/>
              </w:rPr>
              <w:t>le Dossier d’appel d’offres</w:t>
            </w:r>
            <w:r w:rsidRPr="00BD76AF">
              <w:rPr>
                <w:lang w:eastAsia="ja-JP"/>
              </w:rPr>
              <w:t>/Marché</w:t>
            </w:r>
            <w:r w:rsidRPr="00BD76AF">
              <w:rPr>
                <w:bCs/>
                <w:szCs w:val="24"/>
              </w:rPr>
              <w:t xml:space="preserve"> afin que</w:t>
            </w:r>
            <w:r w:rsidRPr="00BD76AF">
              <w:rPr>
                <w:lang w:eastAsia="ja-JP"/>
              </w:rPr>
              <w:t xml:space="preserve"> les CG standard, telles que définies ci-dessus, s’appliquent.</w:t>
            </w:r>
          </w:p>
          <w:p w14:paraId="7DA5F996" w14:textId="77777777" w:rsidR="00F332DA" w:rsidRPr="00BD76AF" w:rsidRDefault="00F332DA" w:rsidP="00403241">
            <w:pPr>
              <w:spacing w:afterLines="50" w:after="120"/>
            </w:pPr>
            <w:r w:rsidRPr="00BD76AF">
              <w:rPr>
                <w:lang w:eastAsia="ja-JP"/>
              </w:rPr>
              <w:t xml:space="preserve">Les Conditions Particulières (CP) complètent les Conditions Générales (CG) pour préciser les données et les exigences contractuelles qui sont liées aux spécificités du pays, du Maître d'ouvrage, du </w:t>
            </w:r>
            <w:r w:rsidRPr="00BD76AF">
              <w:rPr>
                <w:szCs w:val="24"/>
              </w:rPr>
              <w:t>Directeur de projet</w:t>
            </w:r>
            <w:r w:rsidRPr="00BD76AF">
              <w:rPr>
                <w:lang w:eastAsia="ja-JP"/>
              </w:rPr>
              <w:t>, du secteur, de l’ensemble du projet et des Installations. C’est une bonne pratique que le Dossier d’appel d’offres comporte à titre d’information générale non contraignante, en pièce jointe, une liste des réglementations fiscales et douanières applicables dans le pays.</w:t>
            </w:r>
          </w:p>
          <w:p w14:paraId="6364E1D5" w14:textId="77777777" w:rsidR="00F332DA" w:rsidRPr="00BD76AF" w:rsidRDefault="00F332DA" w:rsidP="00B539D9">
            <w:pPr>
              <w:spacing w:afterLines="100" w:after="240"/>
            </w:pPr>
            <w:r w:rsidRPr="00BD76AF">
              <w:rPr>
                <w:lang w:eastAsia="ja-JP"/>
              </w:rPr>
              <w:t xml:space="preserve">Cette section est constituée de la Partie A, Données du Marché, qui contient les données spécifiques à chaque marché, et la Partie B, Dispositions spécifiques, qui contient les dispositions spécifiques à chaque marché. Par ailleurs, la partie B est constituée d’un ensemble de dispositions préparées par la JICA qui </w:t>
            </w:r>
            <w:r w:rsidRPr="00BD76AF">
              <w:rPr>
                <w:b/>
                <w:lang w:eastAsia="ja-JP"/>
              </w:rPr>
              <w:t>ne doivent pas être modifiées</w:t>
            </w:r>
            <w:r w:rsidRPr="00BD76AF">
              <w:rPr>
                <w:lang w:eastAsia="ja-JP"/>
              </w:rPr>
              <w:t xml:space="preserve">. En plus de celles-ci, des dispositions spécifiques au pays ou au projet doivent également être préparées et incorporées dans chaque cas. </w:t>
            </w:r>
            <w:r w:rsidRPr="00BD76AF">
              <w:t xml:space="preserve">La personne responsable de la </w:t>
            </w:r>
            <w:r w:rsidRPr="00BD76AF">
              <w:rPr>
                <w:lang w:eastAsia="ja-JP"/>
              </w:rPr>
              <w:t xml:space="preserve">rédaction des CP devra bien connaître les dispositions </w:t>
            </w:r>
            <w:r w:rsidRPr="00BD76AF">
              <w:t xml:space="preserve">des CG et les exigences </w:t>
            </w:r>
            <w:r w:rsidRPr="00BD76AF">
              <w:rPr>
                <w:lang w:eastAsia="ja-JP"/>
              </w:rPr>
              <w:t>spécifiques au Marché</w:t>
            </w:r>
            <w:r w:rsidRPr="00BD76AF">
              <w:t xml:space="preserve">. Il est recommandé </w:t>
            </w:r>
            <w:r w:rsidRPr="00BD76AF">
              <w:rPr>
                <w:lang w:eastAsia="ja-JP"/>
              </w:rPr>
              <w:t>de demander des conseils juridiques pour réviser des dispositions ou en rédiger de nouvelles</w:t>
            </w:r>
            <w:r w:rsidRPr="00BD76AF">
              <w:t xml:space="preserve">. </w:t>
            </w:r>
            <w:r w:rsidRPr="00BD76AF">
              <w:rPr>
                <w:lang w:eastAsia="ja-JP"/>
              </w:rPr>
              <w:t xml:space="preserve">Il est à noter que </w:t>
            </w:r>
            <w:r w:rsidRPr="00BD76AF">
              <w:rPr>
                <w:b/>
                <w:lang w:eastAsia="ja-JP"/>
              </w:rPr>
              <w:t>les dispositions des CP prévaudront sur celles des CG</w:t>
            </w:r>
            <w:r w:rsidRPr="00BD76AF">
              <w:rPr>
                <w:lang w:eastAsia="ja-JP"/>
              </w:rPr>
              <w:t xml:space="preserve">. </w:t>
            </w:r>
            <w:r w:rsidRPr="00BD76AF">
              <w:t>La numérotation des Articles des CP correspond à celles des Articles des CG.</w:t>
            </w:r>
          </w:p>
        </w:tc>
      </w:tr>
    </w:tbl>
    <w:p w14:paraId="03FC639B" w14:textId="77777777" w:rsidR="00F332DA" w:rsidRPr="00BD76AF" w:rsidRDefault="00F332DA" w:rsidP="000F7EC0">
      <w:pPr>
        <w:suppressAutoHyphens w:val="0"/>
        <w:overflowPunct/>
        <w:autoSpaceDE/>
        <w:autoSpaceDN/>
        <w:adjustRightInd/>
        <w:jc w:val="left"/>
        <w:textAlignment w:val="auto"/>
        <w:rPr>
          <w:b/>
          <w:sz w:val="16"/>
          <w:szCs w:val="16"/>
        </w:rPr>
      </w:pPr>
      <w:bookmarkStart w:id="751" w:name="_Toc327867933"/>
      <w:bookmarkStart w:id="752" w:name="_Toc326657869"/>
      <w:bookmarkStart w:id="753" w:name="_Toc156372855"/>
    </w:p>
    <w:p w14:paraId="0485D85A" w14:textId="77777777" w:rsidR="00F332DA" w:rsidRPr="00BD76AF" w:rsidRDefault="00F332DA" w:rsidP="0079334B">
      <w:pPr>
        <w:pStyle w:val="17"/>
        <w:rPr>
          <w:lang w:val="fr-FR"/>
        </w:rPr>
        <w:sectPr w:rsidR="00F332DA" w:rsidRPr="00BD76AF" w:rsidSect="00FB7055">
          <w:headerReference w:type="even" r:id="rId87"/>
          <w:headerReference w:type="default" r:id="rId88"/>
          <w:headerReference w:type="first" r:id="rId89"/>
          <w:endnotePr>
            <w:numFmt w:val="decimal"/>
          </w:endnotePr>
          <w:type w:val="nextColumn"/>
          <w:pgSz w:w="12240" w:h="15840" w:code="1"/>
          <w:pgMar w:top="1440" w:right="1440" w:bottom="1440" w:left="1797" w:header="720" w:footer="720" w:gutter="0"/>
          <w:pgNumType w:start="1"/>
          <w:cols w:space="720"/>
        </w:sectPr>
      </w:pPr>
    </w:p>
    <w:p w14:paraId="1DC99A29" w14:textId="77777777" w:rsidR="00F332DA" w:rsidRPr="00BD76AF" w:rsidRDefault="00F332DA" w:rsidP="0079334B">
      <w:pPr>
        <w:pStyle w:val="17"/>
        <w:rPr>
          <w:b w:val="0"/>
          <w:lang w:val="fr-FR"/>
        </w:rPr>
      </w:pPr>
      <w:r w:rsidRPr="00BD76AF">
        <w:rPr>
          <w:lang w:val="fr-FR"/>
        </w:rPr>
        <w:t>Section VII. Conditions Générales</w:t>
      </w:r>
      <w:bookmarkEnd w:id="751"/>
      <w:r w:rsidRPr="00BD76AF">
        <w:rPr>
          <w:lang w:val="fr-FR"/>
        </w:rPr>
        <w:t xml:space="preserve"> (CG)</w:t>
      </w:r>
    </w:p>
    <w:p w14:paraId="5A2BE9D7" w14:textId="77777777" w:rsidR="00F332DA" w:rsidRPr="00BD76AF" w:rsidRDefault="00F332DA" w:rsidP="0005653D">
      <w:pPr>
        <w:suppressAutoHyphens w:val="0"/>
        <w:overflowPunct/>
        <w:autoSpaceDE/>
        <w:autoSpaceDN/>
        <w:adjustRightInd/>
        <w:textAlignment w:val="auto"/>
        <w:rPr>
          <w:b/>
          <w:sz w:val="44"/>
          <w:szCs w:val="44"/>
        </w:rPr>
      </w:pPr>
    </w:p>
    <w:p w14:paraId="61B6B9DD" w14:textId="77777777" w:rsidR="00F332DA" w:rsidRPr="00BD76AF" w:rsidRDefault="00F332DA" w:rsidP="00E621C8">
      <w:pPr>
        <w:pStyle w:val="3"/>
        <w:ind w:left="432"/>
        <w:jc w:val="center"/>
        <w:rPr>
          <w:b/>
          <w:sz w:val="28"/>
        </w:rPr>
      </w:pPr>
      <w:bookmarkStart w:id="754" w:name="sectionVII_Index"/>
      <w:bookmarkStart w:id="755" w:name="_Toc348175652"/>
      <w:bookmarkEnd w:id="752"/>
      <w:bookmarkEnd w:id="753"/>
      <w:bookmarkEnd w:id="754"/>
      <w:r w:rsidRPr="00BD76AF">
        <w:rPr>
          <w:b/>
          <w:sz w:val="28"/>
        </w:rPr>
        <w:t>Table des Matières</w:t>
      </w:r>
      <w:bookmarkEnd w:id="755"/>
    </w:p>
    <w:p w14:paraId="3A054E8B" w14:textId="77777777" w:rsidR="00F332DA" w:rsidRPr="00BD76AF" w:rsidRDefault="00F332DA" w:rsidP="006426E2">
      <w:pPr>
        <w:pStyle w:val="12"/>
        <w:outlineLvl w:val="9"/>
        <w:rPr>
          <w:color w:val="FF0000"/>
          <w:lang w:val="fr-FR" w:eastAsia="ja-JP"/>
        </w:rPr>
      </w:pPr>
    </w:p>
    <w:p w14:paraId="78A2FC9D" w14:textId="462926AB" w:rsidR="00F332DA" w:rsidRPr="00BD76AF" w:rsidRDefault="00F332DA">
      <w:pPr>
        <w:pStyle w:val="12"/>
        <w:rPr>
          <w:rFonts w:asciiTheme="minorHAnsi" w:eastAsiaTheme="minorEastAsia" w:hAnsiTheme="minorHAnsi" w:cstheme="minorBidi"/>
          <w:b w:val="0"/>
          <w:noProof/>
          <w:kern w:val="2"/>
          <w:sz w:val="21"/>
          <w:szCs w:val="22"/>
          <w:lang w:eastAsia="ja-JP"/>
        </w:rPr>
      </w:pPr>
      <w:r w:rsidRPr="00BD76AF">
        <w:rPr>
          <w:color w:val="FF0000"/>
          <w:lang w:val="fr-FR"/>
        </w:rPr>
        <w:fldChar w:fldCharType="begin"/>
      </w:r>
      <w:r w:rsidRPr="00BD76AF">
        <w:rPr>
          <w:color w:val="FF0000"/>
          <w:lang w:val="fr-FR"/>
        </w:rPr>
        <w:instrText xml:space="preserve"> TOC \h \z \t "S7 Header 1,1,S7 Header 2,</w:instrText>
      </w:r>
      <w:r w:rsidRPr="00BD76AF">
        <w:rPr>
          <w:color w:val="FF0000"/>
          <w:lang w:val="fr-FR" w:eastAsia="ja-JP"/>
        </w:rPr>
        <w:instrText>2</w:instrText>
      </w:r>
      <w:r w:rsidRPr="00BD76AF">
        <w:rPr>
          <w:color w:val="FF0000"/>
          <w:lang w:val="fr-FR"/>
        </w:rPr>
        <w:instrText xml:space="preserve">" </w:instrText>
      </w:r>
      <w:r w:rsidRPr="00BD76AF">
        <w:rPr>
          <w:color w:val="FF0000"/>
          <w:lang w:val="fr-FR"/>
        </w:rPr>
        <w:fldChar w:fldCharType="separate"/>
      </w:r>
      <w:hyperlink w:anchor="_Toc102050776" w:history="1">
        <w:r w:rsidRPr="00BD76AF">
          <w:rPr>
            <w:rStyle w:val="af1"/>
            <w:noProof/>
          </w:rPr>
          <w:t>A.  Marché et interprétation</w:t>
        </w:r>
        <w:r w:rsidRPr="00BD76AF">
          <w:rPr>
            <w:noProof/>
            <w:webHidden/>
          </w:rPr>
          <w:tab/>
        </w:r>
        <w:r w:rsidRPr="00BD76AF">
          <w:rPr>
            <w:noProof/>
            <w:webHidden/>
          </w:rPr>
          <w:fldChar w:fldCharType="begin"/>
        </w:r>
        <w:r w:rsidRPr="00BD76AF">
          <w:rPr>
            <w:noProof/>
            <w:webHidden/>
          </w:rPr>
          <w:instrText xml:space="preserve"> PAGEREF _Toc102050776 \h </w:instrText>
        </w:r>
        <w:r w:rsidRPr="00BD76AF">
          <w:rPr>
            <w:noProof/>
            <w:webHidden/>
          </w:rPr>
        </w:r>
        <w:r w:rsidRPr="00BD76AF">
          <w:rPr>
            <w:noProof/>
            <w:webHidden/>
          </w:rPr>
          <w:fldChar w:fldCharType="separate"/>
        </w:r>
        <w:r w:rsidR="0048496E">
          <w:rPr>
            <w:noProof/>
            <w:webHidden/>
          </w:rPr>
          <w:t>3</w:t>
        </w:r>
        <w:r w:rsidRPr="00BD76AF">
          <w:rPr>
            <w:noProof/>
            <w:webHidden/>
          </w:rPr>
          <w:fldChar w:fldCharType="end"/>
        </w:r>
      </w:hyperlink>
    </w:p>
    <w:p w14:paraId="1FC2163D" w14:textId="7E22A9AF"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777" w:history="1">
        <w:r w:rsidR="00F332DA" w:rsidRPr="00BD76AF">
          <w:rPr>
            <w:rStyle w:val="af1"/>
          </w:rPr>
          <w:t>1.</w:t>
        </w:r>
        <w:r w:rsidR="00F332DA" w:rsidRPr="00BD76AF">
          <w:rPr>
            <w:rFonts w:asciiTheme="minorHAnsi" w:eastAsiaTheme="minorEastAsia" w:hAnsiTheme="minorHAnsi" w:cstheme="minorBidi"/>
            <w:kern w:val="2"/>
            <w:sz w:val="21"/>
            <w:szCs w:val="22"/>
            <w:lang w:eastAsia="ja-JP"/>
          </w:rPr>
          <w:tab/>
        </w:r>
        <w:r w:rsidR="00F332DA" w:rsidRPr="00BD76AF">
          <w:rPr>
            <w:rStyle w:val="af1"/>
          </w:rPr>
          <w:t>Définitions</w:t>
        </w:r>
        <w:r w:rsidR="00F332DA" w:rsidRPr="00BD76AF">
          <w:rPr>
            <w:webHidden/>
          </w:rPr>
          <w:tab/>
        </w:r>
        <w:r w:rsidR="00F332DA" w:rsidRPr="00BD76AF">
          <w:rPr>
            <w:webHidden/>
          </w:rPr>
          <w:fldChar w:fldCharType="begin"/>
        </w:r>
        <w:r w:rsidR="00F332DA" w:rsidRPr="00BD76AF">
          <w:rPr>
            <w:webHidden/>
          </w:rPr>
          <w:instrText xml:space="preserve"> PAGEREF _Toc102050777 \h </w:instrText>
        </w:r>
        <w:r w:rsidR="00F332DA" w:rsidRPr="00BD76AF">
          <w:rPr>
            <w:webHidden/>
          </w:rPr>
        </w:r>
        <w:r w:rsidR="00F332DA" w:rsidRPr="00BD76AF">
          <w:rPr>
            <w:webHidden/>
          </w:rPr>
          <w:fldChar w:fldCharType="separate"/>
        </w:r>
        <w:r w:rsidR="0048496E">
          <w:rPr>
            <w:webHidden/>
          </w:rPr>
          <w:t>3</w:t>
        </w:r>
        <w:r w:rsidR="00F332DA" w:rsidRPr="00BD76AF">
          <w:rPr>
            <w:webHidden/>
          </w:rPr>
          <w:fldChar w:fldCharType="end"/>
        </w:r>
      </w:hyperlink>
    </w:p>
    <w:p w14:paraId="73DBD7BB" w14:textId="01C7EAE0"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778" w:history="1">
        <w:r w:rsidR="00F332DA" w:rsidRPr="00BD76AF">
          <w:rPr>
            <w:rStyle w:val="af1"/>
          </w:rPr>
          <w:t>2.</w:t>
        </w:r>
        <w:r w:rsidR="00F332DA" w:rsidRPr="00BD76AF">
          <w:rPr>
            <w:rFonts w:asciiTheme="minorHAnsi" w:eastAsiaTheme="minorEastAsia" w:hAnsiTheme="minorHAnsi" w:cstheme="minorBidi"/>
            <w:kern w:val="2"/>
            <w:sz w:val="21"/>
            <w:szCs w:val="22"/>
            <w:lang w:eastAsia="ja-JP"/>
          </w:rPr>
          <w:tab/>
        </w:r>
        <w:r w:rsidR="00F332DA" w:rsidRPr="00BD76AF">
          <w:rPr>
            <w:rStyle w:val="af1"/>
          </w:rPr>
          <w:t>Documents contractuels</w:t>
        </w:r>
        <w:r w:rsidR="00F332DA" w:rsidRPr="00BD76AF">
          <w:rPr>
            <w:webHidden/>
          </w:rPr>
          <w:tab/>
        </w:r>
        <w:r w:rsidR="00F332DA" w:rsidRPr="00BD76AF">
          <w:rPr>
            <w:webHidden/>
          </w:rPr>
          <w:fldChar w:fldCharType="begin"/>
        </w:r>
        <w:r w:rsidR="00F332DA" w:rsidRPr="00BD76AF">
          <w:rPr>
            <w:webHidden/>
          </w:rPr>
          <w:instrText xml:space="preserve"> PAGEREF _Toc102050778 \h </w:instrText>
        </w:r>
        <w:r w:rsidR="00F332DA" w:rsidRPr="00BD76AF">
          <w:rPr>
            <w:webHidden/>
          </w:rPr>
        </w:r>
        <w:r w:rsidR="00F332DA" w:rsidRPr="00BD76AF">
          <w:rPr>
            <w:webHidden/>
          </w:rPr>
          <w:fldChar w:fldCharType="separate"/>
        </w:r>
        <w:r w:rsidR="0048496E">
          <w:rPr>
            <w:webHidden/>
          </w:rPr>
          <w:t>8</w:t>
        </w:r>
        <w:r w:rsidR="00F332DA" w:rsidRPr="00BD76AF">
          <w:rPr>
            <w:webHidden/>
          </w:rPr>
          <w:fldChar w:fldCharType="end"/>
        </w:r>
      </w:hyperlink>
    </w:p>
    <w:p w14:paraId="53F01C44" w14:textId="6B4E9C11"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779" w:history="1">
        <w:r w:rsidR="00F332DA" w:rsidRPr="00BD76AF">
          <w:rPr>
            <w:rStyle w:val="af1"/>
          </w:rPr>
          <w:t>3.</w:t>
        </w:r>
        <w:r w:rsidR="00F332DA" w:rsidRPr="00BD76AF">
          <w:rPr>
            <w:rFonts w:asciiTheme="minorHAnsi" w:eastAsiaTheme="minorEastAsia" w:hAnsiTheme="minorHAnsi" w:cstheme="minorBidi"/>
            <w:kern w:val="2"/>
            <w:sz w:val="21"/>
            <w:szCs w:val="22"/>
            <w:lang w:eastAsia="ja-JP"/>
          </w:rPr>
          <w:tab/>
        </w:r>
        <w:r w:rsidR="00F332DA" w:rsidRPr="00BD76AF">
          <w:rPr>
            <w:rStyle w:val="af1"/>
          </w:rPr>
          <w:t>Interprétation</w:t>
        </w:r>
        <w:r w:rsidR="00F332DA" w:rsidRPr="00BD76AF">
          <w:rPr>
            <w:webHidden/>
          </w:rPr>
          <w:tab/>
        </w:r>
        <w:r w:rsidR="00F332DA" w:rsidRPr="00BD76AF">
          <w:rPr>
            <w:webHidden/>
          </w:rPr>
          <w:fldChar w:fldCharType="begin"/>
        </w:r>
        <w:r w:rsidR="00F332DA" w:rsidRPr="00BD76AF">
          <w:rPr>
            <w:webHidden/>
          </w:rPr>
          <w:instrText xml:space="preserve"> PAGEREF _Toc102050779 \h </w:instrText>
        </w:r>
        <w:r w:rsidR="00F332DA" w:rsidRPr="00BD76AF">
          <w:rPr>
            <w:webHidden/>
          </w:rPr>
        </w:r>
        <w:r w:rsidR="00F332DA" w:rsidRPr="00BD76AF">
          <w:rPr>
            <w:webHidden/>
          </w:rPr>
          <w:fldChar w:fldCharType="separate"/>
        </w:r>
        <w:r w:rsidR="0048496E">
          <w:rPr>
            <w:webHidden/>
          </w:rPr>
          <w:t>8</w:t>
        </w:r>
        <w:r w:rsidR="00F332DA" w:rsidRPr="00BD76AF">
          <w:rPr>
            <w:webHidden/>
          </w:rPr>
          <w:fldChar w:fldCharType="end"/>
        </w:r>
      </w:hyperlink>
    </w:p>
    <w:p w14:paraId="3D7935F1" w14:textId="6BB5BB42"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780" w:history="1">
        <w:r w:rsidR="00F332DA" w:rsidRPr="00BD76AF">
          <w:rPr>
            <w:rStyle w:val="af1"/>
          </w:rPr>
          <w:t>4.</w:t>
        </w:r>
        <w:r w:rsidR="00F332DA" w:rsidRPr="00BD76AF">
          <w:rPr>
            <w:rFonts w:asciiTheme="minorHAnsi" w:eastAsiaTheme="minorEastAsia" w:hAnsiTheme="minorHAnsi" w:cstheme="minorBidi"/>
            <w:kern w:val="2"/>
            <w:sz w:val="21"/>
            <w:szCs w:val="22"/>
            <w:lang w:eastAsia="ja-JP"/>
          </w:rPr>
          <w:tab/>
        </w:r>
        <w:r w:rsidR="00F332DA" w:rsidRPr="00BD76AF">
          <w:rPr>
            <w:rStyle w:val="af1"/>
          </w:rPr>
          <w:t>Communications</w:t>
        </w:r>
        <w:r w:rsidR="00F332DA" w:rsidRPr="00BD76AF">
          <w:rPr>
            <w:webHidden/>
          </w:rPr>
          <w:tab/>
        </w:r>
        <w:r w:rsidR="00F332DA" w:rsidRPr="00BD76AF">
          <w:rPr>
            <w:webHidden/>
          </w:rPr>
          <w:fldChar w:fldCharType="begin"/>
        </w:r>
        <w:r w:rsidR="00F332DA" w:rsidRPr="00BD76AF">
          <w:rPr>
            <w:webHidden/>
          </w:rPr>
          <w:instrText xml:space="preserve"> PAGEREF _Toc102050780 \h </w:instrText>
        </w:r>
        <w:r w:rsidR="00F332DA" w:rsidRPr="00BD76AF">
          <w:rPr>
            <w:webHidden/>
          </w:rPr>
        </w:r>
        <w:r w:rsidR="00F332DA" w:rsidRPr="00BD76AF">
          <w:rPr>
            <w:webHidden/>
          </w:rPr>
          <w:fldChar w:fldCharType="separate"/>
        </w:r>
        <w:r w:rsidR="0048496E">
          <w:rPr>
            <w:webHidden/>
          </w:rPr>
          <w:t>9</w:t>
        </w:r>
        <w:r w:rsidR="00F332DA" w:rsidRPr="00BD76AF">
          <w:rPr>
            <w:webHidden/>
          </w:rPr>
          <w:fldChar w:fldCharType="end"/>
        </w:r>
      </w:hyperlink>
    </w:p>
    <w:p w14:paraId="6E174533" w14:textId="1A3D7A90"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781" w:history="1">
        <w:r w:rsidR="00F332DA" w:rsidRPr="00BD76AF">
          <w:rPr>
            <w:rStyle w:val="af1"/>
          </w:rPr>
          <w:t>5.</w:t>
        </w:r>
        <w:r w:rsidR="00F332DA" w:rsidRPr="00BD76AF">
          <w:rPr>
            <w:rFonts w:asciiTheme="minorHAnsi" w:eastAsiaTheme="minorEastAsia" w:hAnsiTheme="minorHAnsi" w:cstheme="minorBidi"/>
            <w:kern w:val="2"/>
            <w:sz w:val="21"/>
            <w:szCs w:val="22"/>
            <w:lang w:eastAsia="ja-JP"/>
          </w:rPr>
          <w:tab/>
        </w:r>
        <w:r w:rsidR="00F332DA" w:rsidRPr="00BD76AF">
          <w:rPr>
            <w:rStyle w:val="af1"/>
          </w:rPr>
          <w:t>Droit applicable et langue</w:t>
        </w:r>
        <w:r w:rsidR="00F332DA" w:rsidRPr="00BD76AF">
          <w:rPr>
            <w:webHidden/>
          </w:rPr>
          <w:tab/>
        </w:r>
        <w:r w:rsidR="00F332DA" w:rsidRPr="00BD76AF">
          <w:rPr>
            <w:webHidden/>
          </w:rPr>
          <w:fldChar w:fldCharType="begin"/>
        </w:r>
        <w:r w:rsidR="00F332DA" w:rsidRPr="00BD76AF">
          <w:rPr>
            <w:webHidden/>
          </w:rPr>
          <w:instrText xml:space="preserve"> PAGEREF _Toc102050781 \h </w:instrText>
        </w:r>
        <w:r w:rsidR="00F332DA" w:rsidRPr="00BD76AF">
          <w:rPr>
            <w:webHidden/>
          </w:rPr>
        </w:r>
        <w:r w:rsidR="00F332DA" w:rsidRPr="00BD76AF">
          <w:rPr>
            <w:webHidden/>
          </w:rPr>
          <w:fldChar w:fldCharType="separate"/>
        </w:r>
        <w:r w:rsidR="0048496E">
          <w:rPr>
            <w:webHidden/>
          </w:rPr>
          <w:t>10</w:t>
        </w:r>
        <w:r w:rsidR="00F332DA" w:rsidRPr="00BD76AF">
          <w:rPr>
            <w:webHidden/>
          </w:rPr>
          <w:fldChar w:fldCharType="end"/>
        </w:r>
      </w:hyperlink>
    </w:p>
    <w:p w14:paraId="0DC6AFE3" w14:textId="0FD053F2"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782" w:history="1">
        <w:r w:rsidR="00F332DA" w:rsidRPr="00BD76AF">
          <w:rPr>
            <w:rStyle w:val="af1"/>
          </w:rPr>
          <w:t>6.</w:t>
        </w:r>
        <w:r w:rsidR="00F332DA" w:rsidRPr="00BD76AF">
          <w:rPr>
            <w:rFonts w:asciiTheme="minorHAnsi" w:eastAsiaTheme="minorEastAsia" w:hAnsiTheme="minorHAnsi" w:cstheme="minorBidi"/>
            <w:kern w:val="2"/>
            <w:sz w:val="21"/>
            <w:szCs w:val="22"/>
            <w:lang w:eastAsia="ja-JP"/>
          </w:rPr>
          <w:tab/>
        </w:r>
        <w:r w:rsidR="00F332DA" w:rsidRPr="00BD76AF">
          <w:rPr>
            <w:rStyle w:val="af1"/>
          </w:rPr>
          <w:t>Pratiques corrompues et frauduleuses</w:t>
        </w:r>
        <w:r w:rsidR="00F332DA" w:rsidRPr="00BD76AF">
          <w:rPr>
            <w:webHidden/>
          </w:rPr>
          <w:tab/>
        </w:r>
        <w:r w:rsidR="00F332DA" w:rsidRPr="00BD76AF">
          <w:rPr>
            <w:webHidden/>
          </w:rPr>
          <w:fldChar w:fldCharType="begin"/>
        </w:r>
        <w:r w:rsidR="00F332DA" w:rsidRPr="00BD76AF">
          <w:rPr>
            <w:webHidden/>
          </w:rPr>
          <w:instrText xml:space="preserve"> PAGEREF _Toc102050782 \h </w:instrText>
        </w:r>
        <w:r w:rsidR="00F332DA" w:rsidRPr="00BD76AF">
          <w:rPr>
            <w:webHidden/>
          </w:rPr>
        </w:r>
        <w:r w:rsidR="00F332DA" w:rsidRPr="00BD76AF">
          <w:rPr>
            <w:webHidden/>
          </w:rPr>
          <w:fldChar w:fldCharType="separate"/>
        </w:r>
        <w:r w:rsidR="0048496E">
          <w:rPr>
            <w:webHidden/>
          </w:rPr>
          <w:t>10</w:t>
        </w:r>
        <w:r w:rsidR="00F332DA" w:rsidRPr="00BD76AF">
          <w:rPr>
            <w:webHidden/>
          </w:rPr>
          <w:fldChar w:fldCharType="end"/>
        </w:r>
      </w:hyperlink>
    </w:p>
    <w:p w14:paraId="1A5662C5" w14:textId="6883F02D" w:rsidR="00F332DA" w:rsidRPr="00BD76AF" w:rsidRDefault="00000000">
      <w:pPr>
        <w:pStyle w:val="12"/>
        <w:rPr>
          <w:rFonts w:asciiTheme="minorHAnsi" w:eastAsiaTheme="minorEastAsia" w:hAnsiTheme="minorHAnsi" w:cstheme="minorBidi"/>
          <w:b w:val="0"/>
          <w:noProof/>
          <w:kern w:val="2"/>
          <w:sz w:val="21"/>
          <w:szCs w:val="22"/>
          <w:lang w:eastAsia="ja-JP"/>
        </w:rPr>
      </w:pPr>
      <w:hyperlink w:anchor="_Toc102050783" w:history="1">
        <w:r w:rsidR="00F332DA" w:rsidRPr="00BD76AF">
          <w:rPr>
            <w:rStyle w:val="af1"/>
            <w:noProof/>
          </w:rPr>
          <w:t>B.  Objet du marché</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_Toc102050783 \h </w:instrText>
        </w:r>
        <w:r w:rsidR="00F332DA" w:rsidRPr="00BD76AF">
          <w:rPr>
            <w:noProof/>
            <w:webHidden/>
          </w:rPr>
        </w:r>
        <w:r w:rsidR="00F332DA" w:rsidRPr="00BD76AF">
          <w:rPr>
            <w:noProof/>
            <w:webHidden/>
          </w:rPr>
          <w:fldChar w:fldCharType="separate"/>
        </w:r>
        <w:r w:rsidR="0048496E">
          <w:rPr>
            <w:noProof/>
            <w:webHidden/>
          </w:rPr>
          <w:t>10</w:t>
        </w:r>
        <w:r w:rsidR="00F332DA" w:rsidRPr="00BD76AF">
          <w:rPr>
            <w:noProof/>
            <w:webHidden/>
          </w:rPr>
          <w:fldChar w:fldCharType="end"/>
        </w:r>
      </w:hyperlink>
    </w:p>
    <w:p w14:paraId="7F17E818" w14:textId="62DFBBB8"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784" w:history="1">
        <w:r w:rsidR="00F332DA" w:rsidRPr="00BD76AF">
          <w:rPr>
            <w:rStyle w:val="af1"/>
          </w:rPr>
          <w:t>7.</w:t>
        </w:r>
        <w:r w:rsidR="00F332DA" w:rsidRPr="00BD76AF">
          <w:rPr>
            <w:rFonts w:asciiTheme="minorHAnsi" w:eastAsiaTheme="minorEastAsia" w:hAnsiTheme="minorHAnsi" w:cstheme="minorBidi"/>
            <w:kern w:val="2"/>
            <w:sz w:val="21"/>
            <w:szCs w:val="22"/>
            <w:lang w:eastAsia="ja-JP"/>
          </w:rPr>
          <w:tab/>
        </w:r>
        <w:r w:rsidR="00F332DA" w:rsidRPr="00BD76AF">
          <w:rPr>
            <w:rStyle w:val="af1"/>
          </w:rPr>
          <w:t>Descriptif des Installations</w:t>
        </w:r>
        <w:r w:rsidR="00F332DA" w:rsidRPr="00BD76AF">
          <w:rPr>
            <w:webHidden/>
          </w:rPr>
          <w:tab/>
        </w:r>
        <w:r w:rsidR="00F332DA" w:rsidRPr="00BD76AF">
          <w:rPr>
            <w:webHidden/>
          </w:rPr>
          <w:fldChar w:fldCharType="begin"/>
        </w:r>
        <w:r w:rsidR="00F332DA" w:rsidRPr="00BD76AF">
          <w:rPr>
            <w:webHidden/>
          </w:rPr>
          <w:instrText xml:space="preserve"> PAGEREF _Toc102050784 \h </w:instrText>
        </w:r>
        <w:r w:rsidR="00F332DA" w:rsidRPr="00BD76AF">
          <w:rPr>
            <w:webHidden/>
          </w:rPr>
        </w:r>
        <w:r w:rsidR="00F332DA" w:rsidRPr="00BD76AF">
          <w:rPr>
            <w:webHidden/>
          </w:rPr>
          <w:fldChar w:fldCharType="separate"/>
        </w:r>
        <w:r w:rsidR="0048496E">
          <w:rPr>
            <w:webHidden/>
          </w:rPr>
          <w:t>10</w:t>
        </w:r>
        <w:r w:rsidR="00F332DA" w:rsidRPr="00BD76AF">
          <w:rPr>
            <w:webHidden/>
          </w:rPr>
          <w:fldChar w:fldCharType="end"/>
        </w:r>
      </w:hyperlink>
    </w:p>
    <w:p w14:paraId="532FDA54" w14:textId="4DC4ECAB"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785" w:history="1">
        <w:r w:rsidR="00F332DA" w:rsidRPr="00BD76AF">
          <w:rPr>
            <w:rStyle w:val="af1"/>
          </w:rPr>
          <w:t>8.</w:t>
        </w:r>
        <w:r w:rsidR="00F332DA" w:rsidRPr="00BD76AF">
          <w:rPr>
            <w:rFonts w:asciiTheme="minorHAnsi" w:eastAsiaTheme="minorEastAsia" w:hAnsiTheme="minorHAnsi" w:cstheme="minorBidi"/>
            <w:kern w:val="2"/>
            <w:sz w:val="21"/>
            <w:szCs w:val="22"/>
            <w:lang w:eastAsia="ja-JP"/>
          </w:rPr>
          <w:tab/>
        </w:r>
        <w:r w:rsidR="00F332DA" w:rsidRPr="00BD76AF">
          <w:rPr>
            <w:rStyle w:val="af1"/>
          </w:rPr>
          <w:t>Commencement et Délai d’</w:t>
        </w:r>
        <w:r w:rsidR="00F332DA" w:rsidRPr="00BD76AF">
          <w:rPr>
            <w:rStyle w:val="af1"/>
            <w:rFonts w:eastAsia="ＭＳ ゴシック"/>
            <w:lang w:eastAsia="ja-JP"/>
          </w:rPr>
          <w:t>achèvement</w:t>
        </w:r>
        <w:r w:rsidR="00F332DA" w:rsidRPr="00BD76AF">
          <w:rPr>
            <w:webHidden/>
          </w:rPr>
          <w:tab/>
        </w:r>
        <w:r w:rsidR="00F332DA" w:rsidRPr="00BD76AF">
          <w:rPr>
            <w:webHidden/>
          </w:rPr>
          <w:fldChar w:fldCharType="begin"/>
        </w:r>
        <w:r w:rsidR="00F332DA" w:rsidRPr="00BD76AF">
          <w:rPr>
            <w:webHidden/>
          </w:rPr>
          <w:instrText xml:space="preserve"> PAGEREF _Toc102050785 \h </w:instrText>
        </w:r>
        <w:r w:rsidR="00F332DA" w:rsidRPr="00BD76AF">
          <w:rPr>
            <w:webHidden/>
          </w:rPr>
        </w:r>
        <w:r w:rsidR="00F332DA" w:rsidRPr="00BD76AF">
          <w:rPr>
            <w:webHidden/>
          </w:rPr>
          <w:fldChar w:fldCharType="separate"/>
        </w:r>
        <w:r w:rsidR="0048496E">
          <w:rPr>
            <w:webHidden/>
          </w:rPr>
          <w:t>12</w:t>
        </w:r>
        <w:r w:rsidR="00F332DA" w:rsidRPr="00BD76AF">
          <w:rPr>
            <w:webHidden/>
          </w:rPr>
          <w:fldChar w:fldCharType="end"/>
        </w:r>
      </w:hyperlink>
    </w:p>
    <w:p w14:paraId="6DD79ADC" w14:textId="324EA34F"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786" w:history="1">
        <w:r w:rsidR="00F332DA" w:rsidRPr="00BD76AF">
          <w:rPr>
            <w:rStyle w:val="af1"/>
          </w:rPr>
          <w:t>9.</w:t>
        </w:r>
        <w:r w:rsidR="00F332DA" w:rsidRPr="00BD76AF">
          <w:rPr>
            <w:rFonts w:asciiTheme="minorHAnsi" w:eastAsiaTheme="minorEastAsia" w:hAnsiTheme="minorHAnsi" w:cstheme="minorBidi"/>
            <w:kern w:val="2"/>
            <w:sz w:val="21"/>
            <w:szCs w:val="22"/>
            <w:lang w:eastAsia="ja-JP"/>
          </w:rPr>
          <w:tab/>
        </w:r>
        <w:r w:rsidR="00F332DA" w:rsidRPr="00BD76AF">
          <w:rPr>
            <w:rStyle w:val="af1"/>
          </w:rPr>
          <w:t>Responsabilités de l’Entrepreneur</w:t>
        </w:r>
        <w:r w:rsidR="00F332DA" w:rsidRPr="00BD76AF">
          <w:rPr>
            <w:webHidden/>
          </w:rPr>
          <w:tab/>
        </w:r>
        <w:r w:rsidR="00F332DA" w:rsidRPr="00BD76AF">
          <w:rPr>
            <w:webHidden/>
          </w:rPr>
          <w:fldChar w:fldCharType="begin"/>
        </w:r>
        <w:r w:rsidR="00F332DA" w:rsidRPr="00BD76AF">
          <w:rPr>
            <w:webHidden/>
          </w:rPr>
          <w:instrText xml:space="preserve"> PAGEREF _Toc102050786 \h </w:instrText>
        </w:r>
        <w:r w:rsidR="00F332DA" w:rsidRPr="00BD76AF">
          <w:rPr>
            <w:webHidden/>
          </w:rPr>
        </w:r>
        <w:r w:rsidR="00F332DA" w:rsidRPr="00BD76AF">
          <w:rPr>
            <w:webHidden/>
          </w:rPr>
          <w:fldChar w:fldCharType="separate"/>
        </w:r>
        <w:r w:rsidR="0048496E">
          <w:rPr>
            <w:webHidden/>
          </w:rPr>
          <w:t>13</w:t>
        </w:r>
        <w:r w:rsidR="00F332DA" w:rsidRPr="00BD76AF">
          <w:rPr>
            <w:webHidden/>
          </w:rPr>
          <w:fldChar w:fldCharType="end"/>
        </w:r>
      </w:hyperlink>
    </w:p>
    <w:p w14:paraId="035CDBAB" w14:textId="4845CB31"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787" w:history="1">
        <w:r w:rsidR="00F332DA" w:rsidRPr="00BD76AF">
          <w:rPr>
            <w:rStyle w:val="af1"/>
          </w:rPr>
          <w:t>10.</w:t>
        </w:r>
        <w:r w:rsidR="00F332DA" w:rsidRPr="00BD76AF">
          <w:rPr>
            <w:rFonts w:asciiTheme="minorHAnsi" w:eastAsiaTheme="minorEastAsia" w:hAnsiTheme="minorHAnsi" w:cstheme="minorBidi"/>
            <w:kern w:val="2"/>
            <w:sz w:val="21"/>
            <w:szCs w:val="22"/>
            <w:lang w:eastAsia="ja-JP"/>
          </w:rPr>
          <w:tab/>
        </w:r>
        <w:r w:rsidR="00F332DA" w:rsidRPr="00BD76AF">
          <w:rPr>
            <w:rStyle w:val="af1"/>
          </w:rPr>
          <w:t>Responsabilités du Maître d’ouvrage</w:t>
        </w:r>
        <w:r w:rsidR="00F332DA" w:rsidRPr="00BD76AF">
          <w:rPr>
            <w:webHidden/>
          </w:rPr>
          <w:tab/>
        </w:r>
        <w:r w:rsidR="00F332DA" w:rsidRPr="00BD76AF">
          <w:rPr>
            <w:webHidden/>
          </w:rPr>
          <w:fldChar w:fldCharType="begin"/>
        </w:r>
        <w:r w:rsidR="00F332DA" w:rsidRPr="00BD76AF">
          <w:rPr>
            <w:webHidden/>
          </w:rPr>
          <w:instrText xml:space="preserve"> PAGEREF _Toc102050787 \h </w:instrText>
        </w:r>
        <w:r w:rsidR="00F332DA" w:rsidRPr="00BD76AF">
          <w:rPr>
            <w:webHidden/>
          </w:rPr>
        </w:r>
        <w:r w:rsidR="00F332DA" w:rsidRPr="00BD76AF">
          <w:rPr>
            <w:webHidden/>
          </w:rPr>
          <w:fldChar w:fldCharType="separate"/>
        </w:r>
        <w:r w:rsidR="0048496E">
          <w:rPr>
            <w:webHidden/>
          </w:rPr>
          <w:t>14</w:t>
        </w:r>
        <w:r w:rsidR="00F332DA" w:rsidRPr="00BD76AF">
          <w:rPr>
            <w:webHidden/>
          </w:rPr>
          <w:fldChar w:fldCharType="end"/>
        </w:r>
      </w:hyperlink>
    </w:p>
    <w:p w14:paraId="1C63D869" w14:textId="2D35A0B0" w:rsidR="00F332DA" w:rsidRPr="00BD76AF" w:rsidRDefault="00000000">
      <w:pPr>
        <w:pStyle w:val="12"/>
        <w:rPr>
          <w:rFonts w:asciiTheme="minorHAnsi" w:eastAsiaTheme="minorEastAsia" w:hAnsiTheme="minorHAnsi" w:cstheme="minorBidi"/>
          <w:b w:val="0"/>
          <w:noProof/>
          <w:kern w:val="2"/>
          <w:sz w:val="21"/>
          <w:szCs w:val="22"/>
          <w:lang w:eastAsia="ja-JP"/>
        </w:rPr>
      </w:pPr>
      <w:hyperlink w:anchor="_Toc102050788" w:history="1">
        <w:r w:rsidR="00F332DA" w:rsidRPr="00BD76AF">
          <w:rPr>
            <w:rStyle w:val="af1"/>
            <w:noProof/>
          </w:rPr>
          <w:t>C.  Paiement</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_Toc102050788 \h </w:instrText>
        </w:r>
        <w:r w:rsidR="00F332DA" w:rsidRPr="00BD76AF">
          <w:rPr>
            <w:noProof/>
            <w:webHidden/>
          </w:rPr>
        </w:r>
        <w:r w:rsidR="00F332DA" w:rsidRPr="00BD76AF">
          <w:rPr>
            <w:noProof/>
            <w:webHidden/>
          </w:rPr>
          <w:fldChar w:fldCharType="separate"/>
        </w:r>
        <w:r w:rsidR="0048496E">
          <w:rPr>
            <w:noProof/>
            <w:webHidden/>
          </w:rPr>
          <w:t>16</w:t>
        </w:r>
        <w:r w:rsidR="00F332DA" w:rsidRPr="00BD76AF">
          <w:rPr>
            <w:noProof/>
            <w:webHidden/>
          </w:rPr>
          <w:fldChar w:fldCharType="end"/>
        </w:r>
      </w:hyperlink>
    </w:p>
    <w:p w14:paraId="3D71EAD8" w14:textId="4093DF0B"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789" w:history="1">
        <w:r w:rsidR="00F332DA" w:rsidRPr="00BD76AF">
          <w:rPr>
            <w:rStyle w:val="af1"/>
          </w:rPr>
          <w:t>11.</w:t>
        </w:r>
        <w:r w:rsidR="00F332DA" w:rsidRPr="00BD76AF">
          <w:rPr>
            <w:rFonts w:asciiTheme="minorHAnsi" w:eastAsiaTheme="minorEastAsia" w:hAnsiTheme="minorHAnsi" w:cstheme="minorBidi"/>
            <w:kern w:val="2"/>
            <w:sz w:val="21"/>
            <w:szCs w:val="22"/>
            <w:lang w:eastAsia="ja-JP"/>
          </w:rPr>
          <w:tab/>
        </w:r>
        <w:r w:rsidR="00F332DA" w:rsidRPr="00BD76AF">
          <w:rPr>
            <w:rStyle w:val="af1"/>
          </w:rPr>
          <w:t>Montant du Marché</w:t>
        </w:r>
        <w:r w:rsidR="00F332DA" w:rsidRPr="00BD76AF">
          <w:rPr>
            <w:webHidden/>
          </w:rPr>
          <w:tab/>
        </w:r>
        <w:r w:rsidR="00F332DA" w:rsidRPr="00BD76AF">
          <w:rPr>
            <w:webHidden/>
          </w:rPr>
          <w:fldChar w:fldCharType="begin"/>
        </w:r>
        <w:r w:rsidR="00F332DA" w:rsidRPr="00BD76AF">
          <w:rPr>
            <w:webHidden/>
          </w:rPr>
          <w:instrText xml:space="preserve"> PAGEREF _Toc102050789 \h </w:instrText>
        </w:r>
        <w:r w:rsidR="00F332DA" w:rsidRPr="00BD76AF">
          <w:rPr>
            <w:webHidden/>
          </w:rPr>
        </w:r>
        <w:r w:rsidR="00F332DA" w:rsidRPr="00BD76AF">
          <w:rPr>
            <w:webHidden/>
          </w:rPr>
          <w:fldChar w:fldCharType="separate"/>
        </w:r>
        <w:r w:rsidR="0048496E">
          <w:rPr>
            <w:webHidden/>
          </w:rPr>
          <w:t>16</w:t>
        </w:r>
        <w:r w:rsidR="00F332DA" w:rsidRPr="00BD76AF">
          <w:rPr>
            <w:webHidden/>
          </w:rPr>
          <w:fldChar w:fldCharType="end"/>
        </w:r>
      </w:hyperlink>
    </w:p>
    <w:p w14:paraId="564B2ADF" w14:textId="57419AD4"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790" w:history="1">
        <w:r w:rsidR="00F332DA" w:rsidRPr="00BD76AF">
          <w:rPr>
            <w:rStyle w:val="af1"/>
          </w:rPr>
          <w:t>12.</w:t>
        </w:r>
        <w:r w:rsidR="00F332DA" w:rsidRPr="00BD76AF">
          <w:rPr>
            <w:rFonts w:asciiTheme="minorHAnsi" w:eastAsiaTheme="minorEastAsia" w:hAnsiTheme="minorHAnsi" w:cstheme="minorBidi"/>
            <w:kern w:val="2"/>
            <w:sz w:val="21"/>
            <w:szCs w:val="22"/>
            <w:lang w:eastAsia="ja-JP"/>
          </w:rPr>
          <w:tab/>
        </w:r>
        <w:r w:rsidR="00F332DA" w:rsidRPr="00BD76AF">
          <w:rPr>
            <w:rStyle w:val="af1"/>
          </w:rPr>
          <w:t>Conditions de paiement</w:t>
        </w:r>
        <w:r w:rsidR="00F332DA" w:rsidRPr="00BD76AF">
          <w:rPr>
            <w:webHidden/>
          </w:rPr>
          <w:tab/>
        </w:r>
        <w:r w:rsidR="00F332DA" w:rsidRPr="00BD76AF">
          <w:rPr>
            <w:webHidden/>
          </w:rPr>
          <w:fldChar w:fldCharType="begin"/>
        </w:r>
        <w:r w:rsidR="00F332DA" w:rsidRPr="00BD76AF">
          <w:rPr>
            <w:webHidden/>
          </w:rPr>
          <w:instrText xml:space="preserve"> PAGEREF _Toc102050790 \h </w:instrText>
        </w:r>
        <w:r w:rsidR="00F332DA" w:rsidRPr="00BD76AF">
          <w:rPr>
            <w:webHidden/>
          </w:rPr>
        </w:r>
        <w:r w:rsidR="00F332DA" w:rsidRPr="00BD76AF">
          <w:rPr>
            <w:webHidden/>
          </w:rPr>
          <w:fldChar w:fldCharType="separate"/>
        </w:r>
        <w:r w:rsidR="0048496E">
          <w:rPr>
            <w:webHidden/>
          </w:rPr>
          <w:t>16</w:t>
        </w:r>
        <w:r w:rsidR="00F332DA" w:rsidRPr="00BD76AF">
          <w:rPr>
            <w:webHidden/>
          </w:rPr>
          <w:fldChar w:fldCharType="end"/>
        </w:r>
      </w:hyperlink>
    </w:p>
    <w:p w14:paraId="1CB89504" w14:textId="701F3DD5"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791" w:history="1">
        <w:r w:rsidR="00F332DA" w:rsidRPr="00BD76AF">
          <w:rPr>
            <w:rStyle w:val="af1"/>
          </w:rPr>
          <w:t>13.</w:t>
        </w:r>
        <w:r w:rsidR="00F332DA" w:rsidRPr="00BD76AF">
          <w:rPr>
            <w:rFonts w:asciiTheme="minorHAnsi" w:eastAsiaTheme="minorEastAsia" w:hAnsiTheme="minorHAnsi" w:cstheme="minorBidi"/>
            <w:kern w:val="2"/>
            <w:sz w:val="21"/>
            <w:szCs w:val="22"/>
            <w:lang w:eastAsia="ja-JP"/>
          </w:rPr>
          <w:tab/>
        </w:r>
        <w:r w:rsidR="00F332DA" w:rsidRPr="00BD76AF">
          <w:rPr>
            <w:rStyle w:val="af1"/>
          </w:rPr>
          <w:t>Garanties</w:t>
        </w:r>
        <w:r w:rsidR="00F332DA" w:rsidRPr="00BD76AF">
          <w:rPr>
            <w:webHidden/>
          </w:rPr>
          <w:tab/>
        </w:r>
        <w:r w:rsidR="00F332DA" w:rsidRPr="00BD76AF">
          <w:rPr>
            <w:webHidden/>
          </w:rPr>
          <w:fldChar w:fldCharType="begin"/>
        </w:r>
        <w:r w:rsidR="00F332DA" w:rsidRPr="00BD76AF">
          <w:rPr>
            <w:webHidden/>
          </w:rPr>
          <w:instrText xml:space="preserve"> PAGEREF _Toc102050791 \h </w:instrText>
        </w:r>
        <w:r w:rsidR="00F332DA" w:rsidRPr="00BD76AF">
          <w:rPr>
            <w:webHidden/>
          </w:rPr>
        </w:r>
        <w:r w:rsidR="00F332DA" w:rsidRPr="00BD76AF">
          <w:rPr>
            <w:webHidden/>
          </w:rPr>
          <w:fldChar w:fldCharType="separate"/>
        </w:r>
        <w:r w:rsidR="0048496E">
          <w:rPr>
            <w:webHidden/>
          </w:rPr>
          <w:t>18</w:t>
        </w:r>
        <w:r w:rsidR="00F332DA" w:rsidRPr="00BD76AF">
          <w:rPr>
            <w:webHidden/>
          </w:rPr>
          <w:fldChar w:fldCharType="end"/>
        </w:r>
      </w:hyperlink>
    </w:p>
    <w:p w14:paraId="7039726C" w14:textId="3FBB7753"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792" w:history="1">
        <w:r w:rsidR="00F332DA" w:rsidRPr="00BD76AF">
          <w:rPr>
            <w:rStyle w:val="af1"/>
          </w:rPr>
          <w:t>14.</w:t>
        </w:r>
        <w:r w:rsidR="00F332DA" w:rsidRPr="00BD76AF">
          <w:rPr>
            <w:rFonts w:asciiTheme="minorHAnsi" w:eastAsiaTheme="minorEastAsia" w:hAnsiTheme="minorHAnsi" w:cstheme="minorBidi"/>
            <w:kern w:val="2"/>
            <w:sz w:val="21"/>
            <w:szCs w:val="22"/>
            <w:lang w:eastAsia="ja-JP"/>
          </w:rPr>
          <w:tab/>
        </w:r>
        <w:r w:rsidR="00F332DA" w:rsidRPr="00BD76AF">
          <w:rPr>
            <w:rStyle w:val="af1"/>
          </w:rPr>
          <w:t>Impôts et taxes</w:t>
        </w:r>
        <w:r w:rsidR="00F332DA" w:rsidRPr="00BD76AF">
          <w:rPr>
            <w:webHidden/>
          </w:rPr>
          <w:tab/>
        </w:r>
        <w:r w:rsidR="00F332DA" w:rsidRPr="00BD76AF">
          <w:rPr>
            <w:webHidden/>
          </w:rPr>
          <w:fldChar w:fldCharType="begin"/>
        </w:r>
        <w:r w:rsidR="00F332DA" w:rsidRPr="00BD76AF">
          <w:rPr>
            <w:webHidden/>
          </w:rPr>
          <w:instrText xml:space="preserve"> PAGEREF _Toc102050792 \h </w:instrText>
        </w:r>
        <w:r w:rsidR="00F332DA" w:rsidRPr="00BD76AF">
          <w:rPr>
            <w:webHidden/>
          </w:rPr>
        </w:r>
        <w:r w:rsidR="00F332DA" w:rsidRPr="00BD76AF">
          <w:rPr>
            <w:webHidden/>
          </w:rPr>
          <w:fldChar w:fldCharType="separate"/>
        </w:r>
        <w:r w:rsidR="0048496E">
          <w:rPr>
            <w:webHidden/>
          </w:rPr>
          <w:t>20</w:t>
        </w:r>
        <w:r w:rsidR="00F332DA" w:rsidRPr="00BD76AF">
          <w:rPr>
            <w:webHidden/>
          </w:rPr>
          <w:fldChar w:fldCharType="end"/>
        </w:r>
      </w:hyperlink>
    </w:p>
    <w:p w14:paraId="66E78D5F" w14:textId="703DBF2E" w:rsidR="00F332DA" w:rsidRPr="00BD76AF" w:rsidRDefault="00000000">
      <w:pPr>
        <w:pStyle w:val="12"/>
        <w:rPr>
          <w:rFonts w:asciiTheme="minorHAnsi" w:eastAsiaTheme="minorEastAsia" w:hAnsiTheme="minorHAnsi" w:cstheme="minorBidi"/>
          <w:b w:val="0"/>
          <w:noProof/>
          <w:kern w:val="2"/>
          <w:sz w:val="21"/>
          <w:szCs w:val="22"/>
          <w:lang w:eastAsia="ja-JP"/>
        </w:rPr>
      </w:pPr>
      <w:hyperlink w:anchor="_Toc102050793" w:history="1">
        <w:r w:rsidR="00F332DA" w:rsidRPr="00BD76AF">
          <w:rPr>
            <w:rStyle w:val="af1"/>
            <w:noProof/>
          </w:rPr>
          <w:t>D.  Propriété intellectuelle</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_Toc102050793 \h </w:instrText>
        </w:r>
        <w:r w:rsidR="00F332DA" w:rsidRPr="00BD76AF">
          <w:rPr>
            <w:noProof/>
            <w:webHidden/>
          </w:rPr>
        </w:r>
        <w:r w:rsidR="00F332DA" w:rsidRPr="00BD76AF">
          <w:rPr>
            <w:noProof/>
            <w:webHidden/>
          </w:rPr>
          <w:fldChar w:fldCharType="separate"/>
        </w:r>
        <w:r w:rsidR="0048496E">
          <w:rPr>
            <w:noProof/>
            <w:webHidden/>
          </w:rPr>
          <w:t>21</w:t>
        </w:r>
        <w:r w:rsidR="00F332DA" w:rsidRPr="00BD76AF">
          <w:rPr>
            <w:noProof/>
            <w:webHidden/>
          </w:rPr>
          <w:fldChar w:fldCharType="end"/>
        </w:r>
      </w:hyperlink>
    </w:p>
    <w:p w14:paraId="5C276454" w14:textId="1D386853"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794" w:history="1">
        <w:r w:rsidR="00F332DA" w:rsidRPr="00BD76AF">
          <w:rPr>
            <w:rStyle w:val="af1"/>
          </w:rPr>
          <w:t>15.</w:t>
        </w:r>
        <w:r w:rsidR="00F332DA" w:rsidRPr="00BD76AF">
          <w:rPr>
            <w:rFonts w:asciiTheme="minorHAnsi" w:eastAsiaTheme="minorEastAsia" w:hAnsiTheme="minorHAnsi" w:cstheme="minorBidi"/>
            <w:kern w:val="2"/>
            <w:sz w:val="21"/>
            <w:szCs w:val="22"/>
            <w:lang w:eastAsia="ja-JP"/>
          </w:rPr>
          <w:tab/>
        </w:r>
        <w:r w:rsidR="00F332DA" w:rsidRPr="00BD76AF">
          <w:rPr>
            <w:rStyle w:val="af1"/>
          </w:rPr>
          <w:t>Licence et usage des informations techniques</w:t>
        </w:r>
        <w:r w:rsidR="00F332DA" w:rsidRPr="00BD76AF">
          <w:rPr>
            <w:webHidden/>
          </w:rPr>
          <w:tab/>
        </w:r>
        <w:r w:rsidR="00F332DA" w:rsidRPr="00BD76AF">
          <w:rPr>
            <w:webHidden/>
          </w:rPr>
          <w:fldChar w:fldCharType="begin"/>
        </w:r>
        <w:r w:rsidR="00F332DA" w:rsidRPr="00BD76AF">
          <w:rPr>
            <w:webHidden/>
          </w:rPr>
          <w:instrText xml:space="preserve"> PAGEREF _Toc102050794 \h </w:instrText>
        </w:r>
        <w:r w:rsidR="00F332DA" w:rsidRPr="00BD76AF">
          <w:rPr>
            <w:webHidden/>
          </w:rPr>
        </w:r>
        <w:r w:rsidR="00F332DA" w:rsidRPr="00BD76AF">
          <w:rPr>
            <w:webHidden/>
          </w:rPr>
          <w:fldChar w:fldCharType="separate"/>
        </w:r>
        <w:r w:rsidR="0048496E">
          <w:rPr>
            <w:webHidden/>
          </w:rPr>
          <w:t>21</w:t>
        </w:r>
        <w:r w:rsidR="00F332DA" w:rsidRPr="00BD76AF">
          <w:rPr>
            <w:webHidden/>
          </w:rPr>
          <w:fldChar w:fldCharType="end"/>
        </w:r>
      </w:hyperlink>
    </w:p>
    <w:p w14:paraId="6E40DD27" w14:textId="60530593"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795" w:history="1">
        <w:r w:rsidR="00F332DA" w:rsidRPr="00BD76AF">
          <w:rPr>
            <w:rStyle w:val="af1"/>
          </w:rPr>
          <w:t>16.</w:t>
        </w:r>
        <w:r w:rsidR="00F332DA" w:rsidRPr="00BD76AF">
          <w:rPr>
            <w:rFonts w:asciiTheme="minorHAnsi" w:eastAsiaTheme="minorEastAsia" w:hAnsiTheme="minorHAnsi" w:cstheme="minorBidi"/>
            <w:kern w:val="2"/>
            <w:sz w:val="21"/>
            <w:szCs w:val="22"/>
            <w:lang w:eastAsia="ja-JP"/>
          </w:rPr>
          <w:tab/>
        </w:r>
        <w:r w:rsidR="00F332DA" w:rsidRPr="00BD76AF">
          <w:rPr>
            <w:rStyle w:val="af1"/>
          </w:rPr>
          <w:t>Informations confidentielles</w:t>
        </w:r>
        <w:r w:rsidR="00F332DA" w:rsidRPr="00BD76AF">
          <w:rPr>
            <w:webHidden/>
          </w:rPr>
          <w:tab/>
        </w:r>
        <w:r w:rsidR="00F332DA" w:rsidRPr="00BD76AF">
          <w:rPr>
            <w:webHidden/>
          </w:rPr>
          <w:fldChar w:fldCharType="begin"/>
        </w:r>
        <w:r w:rsidR="00F332DA" w:rsidRPr="00BD76AF">
          <w:rPr>
            <w:webHidden/>
          </w:rPr>
          <w:instrText xml:space="preserve"> PAGEREF _Toc102050795 \h </w:instrText>
        </w:r>
        <w:r w:rsidR="00F332DA" w:rsidRPr="00BD76AF">
          <w:rPr>
            <w:webHidden/>
          </w:rPr>
        </w:r>
        <w:r w:rsidR="00F332DA" w:rsidRPr="00BD76AF">
          <w:rPr>
            <w:webHidden/>
          </w:rPr>
          <w:fldChar w:fldCharType="separate"/>
        </w:r>
        <w:r w:rsidR="0048496E">
          <w:rPr>
            <w:webHidden/>
          </w:rPr>
          <w:t>22</w:t>
        </w:r>
        <w:r w:rsidR="00F332DA" w:rsidRPr="00BD76AF">
          <w:rPr>
            <w:webHidden/>
          </w:rPr>
          <w:fldChar w:fldCharType="end"/>
        </w:r>
      </w:hyperlink>
    </w:p>
    <w:p w14:paraId="49711DEC" w14:textId="4F8E3214" w:rsidR="00F332DA" w:rsidRPr="00BD76AF" w:rsidRDefault="00000000">
      <w:pPr>
        <w:pStyle w:val="12"/>
        <w:rPr>
          <w:rFonts w:asciiTheme="minorHAnsi" w:eastAsiaTheme="minorEastAsia" w:hAnsiTheme="minorHAnsi" w:cstheme="minorBidi"/>
          <w:b w:val="0"/>
          <w:noProof/>
          <w:kern w:val="2"/>
          <w:sz w:val="21"/>
          <w:szCs w:val="22"/>
          <w:lang w:eastAsia="ja-JP"/>
        </w:rPr>
      </w:pPr>
      <w:hyperlink w:anchor="_Toc102050796" w:history="1">
        <w:r w:rsidR="00F332DA" w:rsidRPr="00BD76AF">
          <w:rPr>
            <w:rStyle w:val="af1"/>
            <w:noProof/>
          </w:rPr>
          <w:t>E.  Réalisation des Installations</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_Toc102050796 \h </w:instrText>
        </w:r>
        <w:r w:rsidR="00F332DA" w:rsidRPr="00BD76AF">
          <w:rPr>
            <w:noProof/>
            <w:webHidden/>
          </w:rPr>
        </w:r>
        <w:r w:rsidR="00F332DA" w:rsidRPr="00BD76AF">
          <w:rPr>
            <w:noProof/>
            <w:webHidden/>
          </w:rPr>
          <w:fldChar w:fldCharType="separate"/>
        </w:r>
        <w:r w:rsidR="0048496E">
          <w:rPr>
            <w:noProof/>
            <w:webHidden/>
          </w:rPr>
          <w:t>23</w:t>
        </w:r>
        <w:r w:rsidR="00F332DA" w:rsidRPr="00BD76AF">
          <w:rPr>
            <w:noProof/>
            <w:webHidden/>
          </w:rPr>
          <w:fldChar w:fldCharType="end"/>
        </w:r>
      </w:hyperlink>
    </w:p>
    <w:p w14:paraId="1395D136" w14:textId="07DD4866"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797" w:history="1">
        <w:r w:rsidR="00F332DA" w:rsidRPr="00BD76AF">
          <w:rPr>
            <w:rStyle w:val="af1"/>
          </w:rPr>
          <w:t>17.</w:t>
        </w:r>
        <w:r w:rsidR="00F332DA" w:rsidRPr="00BD76AF">
          <w:rPr>
            <w:rFonts w:asciiTheme="minorHAnsi" w:eastAsiaTheme="minorEastAsia" w:hAnsiTheme="minorHAnsi" w:cstheme="minorBidi"/>
            <w:kern w:val="2"/>
            <w:sz w:val="21"/>
            <w:szCs w:val="22"/>
            <w:lang w:eastAsia="ja-JP"/>
          </w:rPr>
          <w:tab/>
        </w:r>
        <w:r w:rsidR="00F332DA" w:rsidRPr="00BD76AF">
          <w:rPr>
            <w:rStyle w:val="af1"/>
          </w:rPr>
          <w:t>Représentants</w:t>
        </w:r>
        <w:r w:rsidR="00F332DA" w:rsidRPr="00BD76AF">
          <w:rPr>
            <w:webHidden/>
          </w:rPr>
          <w:tab/>
        </w:r>
        <w:r w:rsidR="00F332DA" w:rsidRPr="00BD76AF">
          <w:rPr>
            <w:webHidden/>
          </w:rPr>
          <w:fldChar w:fldCharType="begin"/>
        </w:r>
        <w:r w:rsidR="00F332DA" w:rsidRPr="00BD76AF">
          <w:rPr>
            <w:webHidden/>
          </w:rPr>
          <w:instrText xml:space="preserve"> PAGEREF _Toc102050797 \h </w:instrText>
        </w:r>
        <w:r w:rsidR="00F332DA" w:rsidRPr="00BD76AF">
          <w:rPr>
            <w:webHidden/>
          </w:rPr>
        </w:r>
        <w:r w:rsidR="00F332DA" w:rsidRPr="00BD76AF">
          <w:rPr>
            <w:webHidden/>
          </w:rPr>
          <w:fldChar w:fldCharType="separate"/>
        </w:r>
        <w:r w:rsidR="0048496E">
          <w:rPr>
            <w:webHidden/>
          </w:rPr>
          <w:t>23</w:t>
        </w:r>
        <w:r w:rsidR="00F332DA" w:rsidRPr="00BD76AF">
          <w:rPr>
            <w:webHidden/>
          </w:rPr>
          <w:fldChar w:fldCharType="end"/>
        </w:r>
      </w:hyperlink>
    </w:p>
    <w:p w14:paraId="7587BC5C" w14:textId="61A723E6"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798" w:history="1">
        <w:r w:rsidR="00F332DA" w:rsidRPr="00BD76AF">
          <w:rPr>
            <w:rStyle w:val="af1"/>
          </w:rPr>
          <w:t>18.</w:t>
        </w:r>
        <w:r w:rsidR="00F332DA" w:rsidRPr="00BD76AF">
          <w:rPr>
            <w:rFonts w:asciiTheme="minorHAnsi" w:eastAsiaTheme="minorEastAsia" w:hAnsiTheme="minorHAnsi" w:cstheme="minorBidi"/>
            <w:kern w:val="2"/>
            <w:sz w:val="21"/>
            <w:szCs w:val="22"/>
            <w:lang w:eastAsia="ja-JP"/>
          </w:rPr>
          <w:tab/>
        </w:r>
        <w:r w:rsidR="00F332DA" w:rsidRPr="00BD76AF">
          <w:rPr>
            <w:rStyle w:val="af1"/>
          </w:rPr>
          <w:t>Programme des travaux</w:t>
        </w:r>
        <w:r w:rsidR="00F332DA" w:rsidRPr="00BD76AF">
          <w:rPr>
            <w:webHidden/>
          </w:rPr>
          <w:tab/>
        </w:r>
        <w:r w:rsidR="00F332DA" w:rsidRPr="00BD76AF">
          <w:rPr>
            <w:webHidden/>
          </w:rPr>
          <w:fldChar w:fldCharType="begin"/>
        </w:r>
        <w:r w:rsidR="00F332DA" w:rsidRPr="00BD76AF">
          <w:rPr>
            <w:webHidden/>
          </w:rPr>
          <w:instrText xml:space="preserve"> PAGEREF _Toc102050798 \h </w:instrText>
        </w:r>
        <w:r w:rsidR="00F332DA" w:rsidRPr="00BD76AF">
          <w:rPr>
            <w:webHidden/>
          </w:rPr>
        </w:r>
        <w:r w:rsidR="00F332DA" w:rsidRPr="00BD76AF">
          <w:rPr>
            <w:webHidden/>
          </w:rPr>
          <w:fldChar w:fldCharType="separate"/>
        </w:r>
        <w:r w:rsidR="0048496E">
          <w:rPr>
            <w:webHidden/>
          </w:rPr>
          <w:t>25</w:t>
        </w:r>
        <w:r w:rsidR="00F332DA" w:rsidRPr="00BD76AF">
          <w:rPr>
            <w:webHidden/>
          </w:rPr>
          <w:fldChar w:fldCharType="end"/>
        </w:r>
      </w:hyperlink>
    </w:p>
    <w:p w14:paraId="73521B04" w14:textId="33D06969"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799" w:history="1">
        <w:r w:rsidR="00F332DA" w:rsidRPr="00BD76AF">
          <w:rPr>
            <w:rStyle w:val="af1"/>
          </w:rPr>
          <w:t>19.</w:t>
        </w:r>
        <w:r w:rsidR="00F332DA" w:rsidRPr="00BD76AF">
          <w:rPr>
            <w:rFonts w:asciiTheme="minorHAnsi" w:eastAsiaTheme="minorEastAsia" w:hAnsiTheme="minorHAnsi" w:cstheme="minorBidi"/>
            <w:kern w:val="2"/>
            <w:sz w:val="21"/>
            <w:szCs w:val="22"/>
            <w:lang w:eastAsia="ja-JP"/>
          </w:rPr>
          <w:tab/>
        </w:r>
        <w:r w:rsidR="00F332DA" w:rsidRPr="00BD76AF">
          <w:rPr>
            <w:rStyle w:val="af1"/>
          </w:rPr>
          <w:t>Sous-traitance</w:t>
        </w:r>
        <w:r w:rsidR="00F332DA" w:rsidRPr="00BD76AF">
          <w:rPr>
            <w:webHidden/>
          </w:rPr>
          <w:tab/>
        </w:r>
        <w:r w:rsidR="00F332DA" w:rsidRPr="00BD76AF">
          <w:rPr>
            <w:webHidden/>
          </w:rPr>
          <w:fldChar w:fldCharType="begin"/>
        </w:r>
        <w:r w:rsidR="00F332DA" w:rsidRPr="00BD76AF">
          <w:rPr>
            <w:webHidden/>
          </w:rPr>
          <w:instrText xml:space="preserve"> PAGEREF _Toc102050799 \h </w:instrText>
        </w:r>
        <w:r w:rsidR="00F332DA" w:rsidRPr="00BD76AF">
          <w:rPr>
            <w:webHidden/>
          </w:rPr>
        </w:r>
        <w:r w:rsidR="00F332DA" w:rsidRPr="00BD76AF">
          <w:rPr>
            <w:webHidden/>
          </w:rPr>
          <w:fldChar w:fldCharType="separate"/>
        </w:r>
        <w:r w:rsidR="0048496E">
          <w:rPr>
            <w:webHidden/>
          </w:rPr>
          <w:t>27</w:t>
        </w:r>
        <w:r w:rsidR="00F332DA" w:rsidRPr="00BD76AF">
          <w:rPr>
            <w:webHidden/>
          </w:rPr>
          <w:fldChar w:fldCharType="end"/>
        </w:r>
      </w:hyperlink>
    </w:p>
    <w:p w14:paraId="2FE36390" w14:textId="13EBBD77"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00" w:history="1">
        <w:r w:rsidR="00F332DA" w:rsidRPr="00BD76AF">
          <w:rPr>
            <w:rStyle w:val="af1"/>
          </w:rPr>
          <w:t>20.</w:t>
        </w:r>
        <w:r w:rsidR="00F332DA" w:rsidRPr="00BD76AF">
          <w:rPr>
            <w:rFonts w:asciiTheme="minorHAnsi" w:eastAsiaTheme="minorEastAsia" w:hAnsiTheme="minorHAnsi" w:cstheme="minorBidi"/>
            <w:kern w:val="2"/>
            <w:sz w:val="21"/>
            <w:szCs w:val="22"/>
            <w:lang w:eastAsia="ja-JP"/>
          </w:rPr>
          <w:tab/>
        </w:r>
        <w:r w:rsidR="00F332DA" w:rsidRPr="00BD76AF">
          <w:rPr>
            <w:rStyle w:val="af1"/>
          </w:rPr>
          <w:t>Conception et ingénierie</w:t>
        </w:r>
        <w:r w:rsidR="00F332DA" w:rsidRPr="00BD76AF">
          <w:rPr>
            <w:webHidden/>
          </w:rPr>
          <w:tab/>
        </w:r>
        <w:r w:rsidR="00F332DA" w:rsidRPr="00BD76AF">
          <w:rPr>
            <w:webHidden/>
          </w:rPr>
          <w:fldChar w:fldCharType="begin"/>
        </w:r>
        <w:r w:rsidR="00F332DA" w:rsidRPr="00BD76AF">
          <w:rPr>
            <w:webHidden/>
          </w:rPr>
          <w:instrText xml:space="preserve"> PAGEREF _Toc102050800 \h </w:instrText>
        </w:r>
        <w:r w:rsidR="00F332DA" w:rsidRPr="00BD76AF">
          <w:rPr>
            <w:webHidden/>
          </w:rPr>
        </w:r>
        <w:r w:rsidR="00F332DA" w:rsidRPr="00BD76AF">
          <w:rPr>
            <w:webHidden/>
          </w:rPr>
          <w:fldChar w:fldCharType="separate"/>
        </w:r>
        <w:r w:rsidR="0048496E">
          <w:rPr>
            <w:webHidden/>
          </w:rPr>
          <w:t>27</w:t>
        </w:r>
        <w:r w:rsidR="00F332DA" w:rsidRPr="00BD76AF">
          <w:rPr>
            <w:webHidden/>
          </w:rPr>
          <w:fldChar w:fldCharType="end"/>
        </w:r>
      </w:hyperlink>
    </w:p>
    <w:p w14:paraId="416F4F93" w14:textId="31BBDFA6"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01" w:history="1">
        <w:r w:rsidR="00F332DA" w:rsidRPr="00BD76AF">
          <w:rPr>
            <w:rStyle w:val="af1"/>
          </w:rPr>
          <w:t>21.</w:t>
        </w:r>
        <w:r w:rsidR="00F332DA" w:rsidRPr="00BD76AF">
          <w:rPr>
            <w:rFonts w:asciiTheme="minorHAnsi" w:eastAsiaTheme="minorEastAsia" w:hAnsiTheme="minorHAnsi" w:cstheme="minorBidi"/>
            <w:kern w:val="2"/>
            <w:sz w:val="21"/>
            <w:szCs w:val="22"/>
            <w:lang w:eastAsia="ja-JP"/>
          </w:rPr>
          <w:tab/>
        </w:r>
        <w:r w:rsidR="00F332DA" w:rsidRPr="00BD76AF">
          <w:rPr>
            <w:rStyle w:val="af1"/>
          </w:rPr>
          <w:t>Acquisition</w:t>
        </w:r>
        <w:r w:rsidR="00F332DA" w:rsidRPr="00BD76AF">
          <w:rPr>
            <w:webHidden/>
          </w:rPr>
          <w:tab/>
        </w:r>
        <w:r w:rsidR="00F332DA" w:rsidRPr="00BD76AF">
          <w:rPr>
            <w:webHidden/>
          </w:rPr>
          <w:fldChar w:fldCharType="begin"/>
        </w:r>
        <w:r w:rsidR="00F332DA" w:rsidRPr="00BD76AF">
          <w:rPr>
            <w:webHidden/>
          </w:rPr>
          <w:instrText xml:space="preserve"> PAGEREF _Toc102050801 \h </w:instrText>
        </w:r>
        <w:r w:rsidR="00F332DA" w:rsidRPr="00BD76AF">
          <w:rPr>
            <w:webHidden/>
          </w:rPr>
        </w:r>
        <w:r w:rsidR="00F332DA" w:rsidRPr="00BD76AF">
          <w:rPr>
            <w:webHidden/>
          </w:rPr>
          <w:fldChar w:fldCharType="separate"/>
        </w:r>
        <w:r w:rsidR="0048496E">
          <w:rPr>
            <w:webHidden/>
          </w:rPr>
          <w:t>30</w:t>
        </w:r>
        <w:r w:rsidR="00F332DA" w:rsidRPr="00BD76AF">
          <w:rPr>
            <w:webHidden/>
          </w:rPr>
          <w:fldChar w:fldCharType="end"/>
        </w:r>
      </w:hyperlink>
    </w:p>
    <w:p w14:paraId="664C8015" w14:textId="2F352C65"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02" w:history="1">
        <w:r w:rsidR="00F332DA" w:rsidRPr="00BD76AF">
          <w:rPr>
            <w:rStyle w:val="af1"/>
          </w:rPr>
          <w:t>22.</w:t>
        </w:r>
        <w:r w:rsidR="00F332DA" w:rsidRPr="00BD76AF">
          <w:rPr>
            <w:rFonts w:asciiTheme="minorHAnsi" w:eastAsiaTheme="minorEastAsia" w:hAnsiTheme="minorHAnsi" w:cstheme="minorBidi"/>
            <w:kern w:val="2"/>
            <w:sz w:val="21"/>
            <w:szCs w:val="22"/>
            <w:lang w:eastAsia="ja-JP"/>
          </w:rPr>
          <w:tab/>
        </w:r>
        <w:r w:rsidR="00F332DA" w:rsidRPr="00BD76AF">
          <w:rPr>
            <w:rStyle w:val="af1"/>
          </w:rPr>
          <w:t>Montage</w:t>
        </w:r>
        <w:r w:rsidR="00F332DA" w:rsidRPr="00BD76AF">
          <w:rPr>
            <w:webHidden/>
          </w:rPr>
          <w:tab/>
        </w:r>
        <w:r w:rsidR="00F332DA" w:rsidRPr="00BD76AF">
          <w:rPr>
            <w:webHidden/>
          </w:rPr>
          <w:fldChar w:fldCharType="begin"/>
        </w:r>
        <w:r w:rsidR="00F332DA" w:rsidRPr="00BD76AF">
          <w:rPr>
            <w:webHidden/>
          </w:rPr>
          <w:instrText xml:space="preserve"> PAGEREF _Toc102050802 \h </w:instrText>
        </w:r>
        <w:r w:rsidR="00F332DA" w:rsidRPr="00BD76AF">
          <w:rPr>
            <w:webHidden/>
          </w:rPr>
        </w:r>
        <w:r w:rsidR="00F332DA" w:rsidRPr="00BD76AF">
          <w:rPr>
            <w:webHidden/>
          </w:rPr>
          <w:fldChar w:fldCharType="separate"/>
        </w:r>
        <w:r w:rsidR="0048496E">
          <w:rPr>
            <w:webHidden/>
          </w:rPr>
          <w:t>32</w:t>
        </w:r>
        <w:r w:rsidR="00F332DA" w:rsidRPr="00BD76AF">
          <w:rPr>
            <w:webHidden/>
          </w:rPr>
          <w:fldChar w:fldCharType="end"/>
        </w:r>
      </w:hyperlink>
    </w:p>
    <w:p w14:paraId="1FDAA2FC" w14:textId="40B3194E"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03" w:history="1">
        <w:r w:rsidR="00F332DA" w:rsidRPr="00BD76AF">
          <w:rPr>
            <w:rStyle w:val="af1"/>
          </w:rPr>
          <w:t>23.</w:t>
        </w:r>
        <w:r w:rsidR="00F332DA" w:rsidRPr="00BD76AF">
          <w:rPr>
            <w:rFonts w:asciiTheme="minorHAnsi" w:eastAsiaTheme="minorEastAsia" w:hAnsiTheme="minorHAnsi" w:cstheme="minorBidi"/>
            <w:kern w:val="2"/>
            <w:sz w:val="21"/>
            <w:szCs w:val="22"/>
            <w:lang w:eastAsia="ja-JP"/>
          </w:rPr>
          <w:tab/>
        </w:r>
        <w:r w:rsidR="00F332DA" w:rsidRPr="00BD76AF">
          <w:rPr>
            <w:rStyle w:val="af1"/>
          </w:rPr>
          <w:t>Essais et inspections</w:t>
        </w:r>
        <w:r w:rsidR="00F332DA" w:rsidRPr="00BD76AF">
          <w:rPr>
            <w:webHidden/>
          </w:rPr>
          <w:tab/>
        </w:r>
        <w:r w:rsidR="00F332DA" w:rsidRPr="00BD76AF">
          <w:rPr>
            <w:webHidden/>
          </w:rPr>
          <w:fldChar w:fldCharType="begin"/>
        </w:r>
        <w:r w:rsidR="00F332DA" w:rsidRPr="00BD76AF">
          <w:rPr>
            <w:webHidden/>
          </w:rPr>
          <w:instrText xml:space="preserve"> PAGEREF _Toc102050803 \h </w:instrText>
        </w:r>
        <w:r w:rsidR="00F332DA" w:rsidRPr="00BD76AF">
          <w:rPr>
            <w:webHidden/>
          </w:rPr>
        </w:r>
        <w:r w:rsidR="00F332DA" w:rsidRPr="00BD76AF">
          <w:rPr>
            <w:webHidden/>
          </w:rPr>
          <w:fldChar w:fldCharType="separate"/>
        </w:r>
        <w:r w:rsidR="0048496E">
          <w:rPr>
            <w:webHidden/>
          </w:rPr>
          <w:t>43</w:t>
        </w:r>
        <w:r w:rsidR="00F332DA" w:rsidRPr="00BD76AF">
          <w:rPr>
            <w:webHidden/>
          </w:rPr>
          <w:fldChar w:fldCharType="end"/>
        </w:r>
      </w:hyperlink>
    </w:p>
    <w:p w14:paraId="21AB72F8" w14:textId="436DDFF4"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04" w:history="1">
        <w:r w:rsidR="00F332DA" w:rsidRPr="00BD76AF">
          <w:rPr>
            <w:rStyle w:val="af1"/>
          </w:rPr>
          <w:t>24.</w:t>
        </w:r>
        <w:r w:rsidR="00F332DA" w:rsidRPr="00BD76AF">
          <w:rPr>
            <w:rFonts w:asciiTheme="minorHAnsi" w:eastAsiaTheme="minorEastAsia" w:hAnsiTheme="minorHAnsi" w:cstheme="minorBidi"/>
            <w:kern w:val="2"/>
            <w:sz w:val="21"/>
            <w:szCs w:val="22"/>
            <w:lang w:eastAsia="ja-JP"/>
          </w:rPr>
          <w:tab/>
        </w:r>
        <w:r w:rsidR="00F332DA" w:rsidRPr="00BD76AF">
          <w:rPr>
            <w:rStyle w:val="af1"/>
          </w:rPr>
          <w:t>Achèvement des Installations</w:t>
        </w:r>
        <w:r w:rsidR="00F332DA" w:rsidRPr="00BD76AF">
          <w:rPr>
            <w:webHidden/>
          </w:rPr>
          <w:tab/>
        </w:r>
        <w:r w:rsidR="00F332DA" w:rsidRPr="00BD76AF">
          <w:rPr>
            <w:webHidden/>
          </w:rPr>
          <w:fldChar w:fldCharType="begin"/>
        </w:r>
        <w:r w:rsidR="00F332DA" w:rsidRPr="00BD76AF">
          <w:rPr>
            <w:webHidden/>
          </w:rPr>
          <w:instrText xml:space="preserve"> PAGEREF _Toc102050804 \h </w:instrText>
        </w:r>
        <w:r w:rsidR="00F332DA" w:rsidRPr="00BD76AF">
          <w:rPr>
            <w:webHidden/>
          </w:rPr>
        </w:r>
        <w:r w:rsidR="00F332DA" w:rsidRPr="00BD76AF">
          <w:rPr>
            <w:webHidden/>
          </w:rPr>
          <w:fldChar w:fldCharType="separate"/>
        </w:r>
        <w:r w:rsidR="0048496E">
          <w:rPr>
            <w:webHidden/>
          </w:rPr>
          <w:t>45</w:t>
        </w:r>
        <w:r w:rsidR="00F332DA" w:rsidRPr="00BD76AF">
          <w:rPr>
            <w:webHidden/>
          </w:rPr>
          <w:fldChar w:fldCharType="end"/>
        </w:r>
      </w:hyperlink>
    </w:p>
    <w:p w14:paraId="49664A44" w14:textId="40292B34"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05" w:history="1">
        <w:r w:rsidR="00F332DA" w:rsidRPr="00BD76AF">
          <w:rPr>
            <w:rStyle w:val="af1"/>
          </w:rPr>
          <w:t>25.</w:t>
        </w:r>
        <w:r w:rsidR="00F332DA" w:rsidRPr="00BD76AF">
          <w:rPr>
            <w:rFonts w:asciiTheme="minorHAnsi" w:eastAsiaTheme="minorEastAsia" w:hAnsiTheme="minorHAnsi" w:cstheme="minorBidi"/>
            <w:kern w:val="2"/>
            <w:sz w:val="21"/>
            <w:szCs w:val="22"/>
            <w:lang w:eastAsia="ja-JP"/>
          </w:rPr>
          <w:tab/>
        </w:r>
        <w:r w:rsidR="00F332DA" w:rsidRPr="00BD76AF">
          <w:rPr>
            <w:rStyle w:val="af1"/>
          </w:rPr>
          <w:t>Mise en service et Réception opérationnelle</w:t>
        </w:r>
        <w:r w:rsidR="00F332DA" w:rsidRPr="00BD76AF">
          <w:rPr>
            <w:webHidden/>
          </w:rPr>
          <w:tab/>
        </w:r>
        <w:r w:rsidR="00F332DA" w:rsidRPr="00BD76AF">
          <w:rPr>
            <w:webHidden/>
          </w:rPr>
          <w:fldChar w:fldCharType="begin"/>
        </w:r>
        <w:r w:rsidR="00F332DA" w:rsidRPr="00BD76AF">
          <w:rPr>
            <w:webHidden/>
          </w:rPr>
          <w:instrText xml:space="preserve"> PAGEREF _Toc102050805 \h </w:instrText>
        </w:r>
        <w:r w:rsidR="00F332DA" w:rsidRPr="00BD76AF">
          <w:rPr>
            <w:webHidden/>
          </w:rPr>
        </w:r>
        <w:r w:rsidR="00F332DA" w:rsidRPr="00BD76AF">
          <w:rPr>
            <w:webHidden/>
          </w:rPr>
          <w:fldChar w:fldCharType="separate"/>
        </w:r>
        <w:r w:rsidR="0048496E">
          <w:rPr>
            <w:webHidden/>
          </w:rPr>
          <w:t>47</w:t>
        </w:r>
        <w:r w:rsidR="00F332DA" w:rsidRPr="00BD76AF">
          <w:rPr>
            <w:webHidden/>
          </w:rPr>
          <w:fldChar w:fldCharType="end"/>
        </w:r>
      </w:hyperlink>
    </w:p>
    <w:p w14:paraId="743BF90D" w14:textId="5AFE3B05" w:rsidR="00F332DA" w:rsidRPr="00BD76AF" w:rsidRDefault="00000000">
      <w:pPr>
        <w:pStyle w:val="12"/>
        <w:rPr>
          <w:rFonts w:asciiTheme="minorHAnsi" w:eastAsiaTheme="minorEastAsia" w:hAnsiTheme="minorHAnsi" w:cstheme="minorBidi"/>
          <w:b w:val="0"/>
          <w:noProof/>
          <w:kern w:val="2"/>
          <w:sz w:val="21"/>
          <w:szCs w:val="22"/>
          <w:lang w:eastAsia="ja-JP"/>
        </w:rPr>
      </w:pPr>
      <w:hyperlink w:anchor="_Toc102050806" w:history="1">
        <w:r w:rsidR="00F332DA" w:rsidRPr="00BD76AF">
          <w:rPr>
            <w:rStyle w:val="af1"/>
            <w:noProof/>
          </w:rPr>
          <w:t>F.  Garanties et responsabilités</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_Toc102050806 \h </w:instrText>
        </w:r>
        <w:r w:rsidR="00F332DA" w:rsidRPr="00BD76AF">
          <w:rPr>
            <w:noProof/>
            <w:webHidden/>
          </w:rPr>
        </w:r>
        <w:r w:rsidR="00F332DA" w:rsidRPr="00BD76AF">
          <w:rPr>
            <w:noProof/>
            <w:webHidden/>
          </w:rPr>
          <w:fldChar w:fldCharType="separate"/>
        </w:r>
        <w:r w:rsidR="0048496E">
          <w:rPr>
            <w:noProof/>
            <w:webHidden/>
          </w:rPr>
          <w:t>49</w:t>
        </w:r>
        <w:r w:rsidR="00F332DA" w:rsidRPr="00BD76AF">
          <w:rPr>
            <w:noProof/>
            <w:webHidden/>
          </w:rPr>
          <w:fldChar w:fldCharType="end"/>
        </w:r>
      </w:hyperlink>
    </w:p>
    <w:p w14:paraId="3BCE6C92" w14:textId="1DB292CA"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07" w:history="1">
        <w:r w:rsidR="00F332DA" w:rsidRPr="00BD76AF">
          <w:rPr>
            <w:rStyle w:val="af1"/>
          </w:rPr>
          <w:t>26.</w:t>
        </w:r>
        <w:r w:rsidR="00F332DA" w:rsidRPr="00BD76AF">
          <w:rPr>
            <w:rFonts w:asciiTheme="minorHAnsi" w:eastAsiaTheme="minorEastAsia" w:hAnsiTheme="minorHAnsi" w:cstheme="minorBidi"/>
            <w:kern w:val="2"/>
            <w:sz w:val="21"/>
            <w:szCs w:val="22"/>
            <w:lang w:eastAsia="ja-JP"/>
          </w:rPr>
          <w:tab/>
        </w:r>
        <w:r w:rsidR="00F332DA" w:rsidRPr="00BD76AF">
          <w:rPr>
            <w:rStyle w:val="af1"/>
          </w:rPr>
          <w:t>Garantie du Délai d’achèvement</w:t>
        </w:r>
        <w:r w:rsidR="00F332DA" w:rsidRPr="00BD76AF">
          <w:rPr>
            <w:webHidden/>
          </w:rPr>
          <w:tab/>
        </w:r>
        <w:r w:rsidR="00F332DA" w:rsidRPr="00BD76AF">
          <w:rPr>
            <w:webHidden/>
          </w:rPr>
          <w:fldChar w:fldCharType="begin"/>
        </w:r>
        <w:r w:rsidR="00F332DA" w:rsidRPr="00BD76AF">
          <w:rPr>
            <w:webHidden/>
          </w:rPr>
          <w:instrText xml:space="preserve"> PAGEREF _Toc102050807 \h </w:instrText>
        </w:r>
        <w:r w:rsidR="00F332DA" w:rsidRPr="00BD76AF">
          <w:rPr>
            <w:webHidden/>
          </w:rPr>
        </w:r>
        <w:r w:rsidR="00F332DA" w:rsidRPr="00BD76AF">
          <w:rPr>
            <w:webHidden/>
          </w:rPr>
          <w:fldChar w:fldCharType="separate"/>
        </w:r>
        <w:r w:rsidR="0048496E">
          <w:rPr>
            <w:webHidden/>
          </w:rPr>
          <w:t>49</w:t>
        </w:r>
        <w:r w:rsidR="00F332DA" w:rsidRPr="00BD76AF">
          <w:rPr>
            <w:webHidden/>
          </w:rPr>
          <w:fldChar w:fldCharType="end"/>
        </w:r>
      </w:hyperlink>
    </w:p>
    <w:p w14:paraId="7927F8D3" w14:textId="7227E61B"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08" w:history="1">
        <w:r w:rsidR="00F332DA" w:rsidRPr="00BD76AF">
          <w:rPr>
            <w:rStyle w:val="af1"/>
          </w:rPr>
          <w:t>27.</w:t>
        </w:r>
        <w:r w:rsidR="00F332DA" w:rsidRPr="00BD76AF">
          <w:rPr>
            <w:rFonts w:asciiTheme="minorHAnsi" w:eastAsiaTheme="minorEastAsia" w:hAnsiTheme="minorHAnsi" w:cstheme="minorBidi"/>
            <w:kern w:val="2"/>
            <w:sz w:val="21"/>
            <w:szCs w:val="22"/>
            <w:lang w:eastAsia="ja-JP"/>
          </w:rPr>
          <w:tab/>
        </w:r>
        <w:r w:rsidR="00F332DA" w:rsidRPr="00BD76AF">
          <w:rPr>
            <w:rStyle w:val="af1"/>
          </w:rPr>
          <w:t>Garantie</w:t>
        </w:r>
        <w:r w:rsidR="00F332DA" w:rsidRPr="00BD76AF">
          <w:rPr>
            <w:webHidden/>
          </w:rPr>
          <w:tab/>
        </w:r>
        <w:r w:rsidR="00F332DA" w:rsidRPr="00BD76AF">
          <w:rPr>
            <w:webHidden/>
          </w:rPr>
          <w:fldChar w:fldCharType="begin"/>
        </w:r>
        <w:r w:rsidR="00F332DA" w:rsidRPr="00BD76AF">
          <w:rPr>
            <w:webHidden/>
          </w:rPr>
          <w:instrText xml:space="preserve"> PAGEREF _Toc102050808 \h </w:instrText>
        </w:r>
        <w:r w:rsidR="00F332DA" w:rsidRPr="00BD76AF">
          <w:rPr>
            <w:webHidden/>
          </w:rPr>
        </w:r>
        <w:r w:rsidR="00F332DA" w:rsidRPr="00BD76AF">
          <w:rPr>
            <w:webHidden/>
          </w:rPr>
          <w:fldChar w:fldCharType="separate"/>
        </w:r>
        <w:r w:rsidR="0048496E">
          <w:rPr>
            <w:webHidden/>
          </w:rPr>
          <w:t>50</w:t>
        </w:r>
        <w:r w:rsidR="00F332DA" w:rsidRPr="00BD76AF">
          <w:rPr>
            <w:webHidden/>
          </w:rPr>
          <w:fldChar w:fldCharType="end"/>
        </w:r>
      </w:hyperlink>
    </w:p>
    <w:p w14:paraId="0D81A40D" w14:textId="25429834"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09" w:history="1">
        <w:r w:rsidR="00F332DA" w:rsidRPr="00BD76AF">
          <w:rPr>
            <w:rStyle w:val="af1"/>
          </w:rPr>
          <w:t>28.</w:t>
        </w:r>
        <w:r w:rsidR="00F332DA" w:rsidRPr="00BD76AF">
          <w:rPr>
            <w:rFonts w:asciiTheme="minorHAnsi" w:eastAsiaTheme="minorEastAsia" w:hAnsiTheme="minorHAnsi" w:cstheme="minorBidi"/>
            <w:kern w:val="2"/>
            <w:sz w:val="21"/>
            <w:szCs w:val="22"/>
            <w:lang w:eastAsia="ja-JP"/>
          </w:rPr>
          <w:tab/>
        </w:r>
        <w:r w:rsidR="00F332DA" w:rsidRPr="00BD76AF">
          <w:rPr>
            <w:rStyle w:val="af1"/>
          </w:rPr>
          <w:t>Garanties opérationnelles</w:t>
        </w:r>
        <w:r w:rsidR="00F332DA" w:rsidRPr="00BD76AF">
          <w:rPr>
            <w:webHidden/>
          </w:rPr>
          <w:tab/>
        </w:r>
        <w:r w:rsidR="00F332DA" w:rsidRPr="00BD76AF">
          <w:rPr>
            <w:webHidden/>
          </w:rPr>
          <w:fldChar w:fldCharType="begin"/>
        </w:r>
        <w:r w:rsidR="00F332DA" w:rsidRPr="00BD76AF">
          <w:rPr>
            <w:webHidden/>
          </w:rPr>
          <w:instrText xml:space="preserve"> PAGEREF _Toc102050809 \h </w:instrText>
        </w:r>
        <w:r w:rsidR="00F332DA" w:rsidRPr="00BD76AF">
          <w:rPr>
            <w:webHidden/>
          </w:rPr>
        </w:r>
        <w:r w:rsidR="00F332DA" w:rsidRPr="00BD76AF">
          <w:rPr>
            <w:webHidden/>
          </w:rPr>
          <w:fldChar w:fldCharType="separate"/>
        </w:r>
        <w:r w:rsidR="0048496E">
          <w:rPr>
            <w:webHidden/>
          </w:rPr>
          <w:t>53</w:t>
        </w:r>
        <w:r w:rsidR="00F332DA" w:rsidRPr="00BD76AF">
          <w:rPr>
            <w:webHidden/>
          </w:rPr>
          <w:fldChar w:fldCharType="end"/>
        </w:r>
      </w:hyperlink>
    </w:p>
    <w:p w14:paraId="417F41B1" w14:textId="54DB0B1B"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10" w:history="1">
        <w:r w:rsidR="00F332DA" w:rsidRPr="00BD76AF">
          <w:rPr>
            <w:rStyle w:val="af1"/>
          </w:rPr>
          <w:t>29.</w:t>
        </w:r>
        <w:r w:rsidR="00F332DA" w:rsidRPr="00BD76AF">
          <w:rPr>
            <w:rFonts w:asciiTheme="minorHAnsi" w:eastAsiaTheme="minorEastAsia" w:hAnsiTheme="minorHAnsi" w:cstheme="minorBidi"/>
            <w:kern w:val="2"/>
            <w:sz w:val="21"/>
            <w:szCs w:val="22"/>
            <w:lang w:eastAsia="ja-JP"/>
          </w:rPr>
          <w:tab/>
        </w:r>
        <w:r w:rsidR="00F332DA" w:rsidRPr="00BD76AF">
          <w:rPr>
            <w:rStyle w:val="af1"/>
          </w:rPr>
          <w:t>Indemnisation des brevets</w:t>
        </w:r>
        <w:r w:rsidR="00F332DA" w:rsidRPr="00BD76AF">
          <w:rPr>
            <w:webHidden/>
          </w:rPr>
          <w:tab/>
        </w:r>
        <w:r w:rsidR="00F332DA" w:rsidRPr="00BD76AF">
          <w:rPr>
            <w:webHidden/>
          </w:rPr>
          <w:fldChar w:fldCharType="begin"/>
        </w:r>
        <w:r w:rsidR="00F332DA" w:rsidRPr="00BD76AF">
          <w:rPr>
            <w:webHidden/>
          </w:rPr>
          <w:instrText xml:space="preserve"> PAGEREF _Toc102050810 \h </w:instrText>
        </w:r>
        <w:r w:rsidR="00F332DA" w:rsidRPr="00BD76AF">
          <w:rPr>
            <w:webHidden/>
          </w:rPr>
        </w:r>
        <w:r w:rsidR="00F332DA" w:rsidRPr="00BD76AF">
          <w:rPr>
            <w:webHidden/>
          </w:rPr>
          <w:fldChar w:fldCharType="separate"/>
        </w:r>
        <w:r w:rsidR="0048496E">
          <w:rPr>
            <w:webHidden/>
          </w:rPr>
          <w:t>54</w:t>
        </w:r>
        <w:r w:rsidR="00F332DA" w:rsidRPr="00BD76AF">
          <w:rPr>
            <w:webHidden/>
          </w:rPr>
          <w:fldChar w:fldCharType="end"/>
        </w:r>
      </w:hyperlink>
    </w:p>
    <w:p w14:paraId="4A07FB44" w14:textId="7FA3777D"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11" w:history="1">
        <w:r w:rsidR="00F332DA" w:rsidRPr="00BD76AF">
          <w:rPr>
            <w:rStyle w:val="af1"/>
          </w:rPr>
          <w:t>30.</w:t>
        </w:r>
        <w:r w:rsidR="00F332DA" w:rsidRPr="00BD76AF">
          <w:rPr>
            <w:rFonts w:asciiTheme="minorHAnsi" w:eastAsiaTheme="minorEastAsia" w:hAnsiTheme="minorHAnsi" w:cstheme="minorBidi"/>
            <w:kern w:val="2"/>
            <w:sz w:val="21"/>
            <w:szCs w:val="22"/>
            <w:lang w:eastAsia="ja-JP"/>
          </w:rPr>
          <w:tab/>
        </w:r>
        <w:r w:rsidR="00F332DA" w:rsidRPr="00BD76AF">
          <w:rPr>
            <w:rStyle w:val="af1"/>
          </w:rPr>
          <w:t>Limite de responsabilité</w:t>
        </w:r>
        <w:r w:rsidR="00F332DA" w:rsidRPr="00BD76AF">
          <w:rPr>
            <w:webHidden/>
          </w:rPr>
          <w:tab/>
        </w:r>
        <w:r w:rsidR="00F332DA" w:rsidRPr="00BD76AF">
          <w:rPr>
            <w:webHidden/>
          </w:rPr>
          <w:fldChar w:fldCharType="begin"/>
        </w:r>
        <w:r w:rsidR="00F332DA" w:rsidRPr="00BD76AF">
          <w:rPr>
            <w:webHidden/>
          </w:rPr>
          <w:instrText xml:space="preserve"> PAGEREF _Toc102050811 \h </w:instrText>
        </w:r>
        <w:r w:rsidR="00F332DA" w:rsidRPr="00BD76AF">
          <w:rPr>
            <w:webHidden/>
          </w:rPr>
        </w:r>
        <w:r w:rsidR="00F332DA" w:rsidRPr="00BD76AF">
          <w:rPr>
            <w:webHidden/>
          </w:rPr>
          <w:fldChar w:fldCharType="separate"/>
        </w:r>
        <w:r w:rsidR="0048496E">
          <w:rPr>
            <w:webHidden/>
          </w:rPr>
          <w:t>55</w:t>
        </w:r>
        <w:r w:rsidR="00F332DA" w:rsidRPr="00BD76AF">
          <w:rPr>
            <w:webHidden/>
          </w:rPr>
          <w:fldChar w:fldCharType="end"/>
        </w:r>
      </w:hyperlink>
    </w:p>
    <w:p w14:paraId="2F3F42FC" w14:textId="5A67395E" w:rsidR="00F332DA" w:rsidRPr="00BD76AF" w:rsidRDefault="00000000">
      <w:pPr>
        <w:pStyle w:val="12"/>
        <w:rPr>
          <w:rFonts w:asciiTheme="minorHAnsi" w:eastAsiaTheme="minorEastAsia" w:hAnsiTheme="minorHAnsi" w:cstheme="minorBidi"/>
          <w:b w:val="0"/>
          <w:noProof/>
          <w:kern w:val="2"/>
          <w:sz w:val="21"/>
          <w:szCs w:val="22"/>
          <w:lang w:eastAsia="ja-JP"/>
        </w:rPr>
      </w:pPr>
      <w:hyperlink w:anchor="_Toc102050812" w:history="1">
        <w:r w:rsidR="00F332DA" w:rsidRPr="00BD76AF">
          <w:rPr>
            <w:rStyle w:val="af1"/>
            <w:noProof/>
          </w:rPr>
          <w:t>G.  Partage des risques</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_Toc102050812 \h </w:instrText>
        </w:r>
        <w:r w:rsidR="00F332DA" w:rsidRPr="00BD76AF">
          <w:rPr>
            <w:noProof/>
            <w:webHidden/>
          </w:rPr>
        </w:r>
        <w:r w:rsidR="00F332DA" w:rsidRPr="00BD76AF">
          <w:rPr>
            <w:noProof/>
            <w:webHidden/>
          </w:rPr>
          <w:fldChar w:fldCharType="separate"/>
        </w:r>
        <w:r w:rsidR="0048496E">
          <w:rPr>
            <w:noProof/>
            <w:webHidden/>
          </w:rPr>
          <w:t>56</w:t>
        </w:r>
        <w:r w:rsidR="00F332DA" w:rsidRPr="00BD76AF">
          <w:rPr>
            <w:noProof/>
            <w:webHidden/>
          </w:rPr>
          <w:fldChar w:fldCharType="end"/>
        </w:r>
      </w:hyperlink>
    </w:p>
    <w:p w14:paraId="28F98AE0" w14:textId="2C6ADA81"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13" w:history="1">
        <w:r w:rsidR="00F332DA" w:rsidRPr="00BD76AF">
          <w:rPr>
            <w:rStyle w:val="af1"/>
          </w:rPr>
          <w:t>31.</w:t>
        </w:r>
        <w:r w:rsidR="00F332DA" w:rsidRPr="00BD76AF">
          <w:rPr>
            <w:rFonts w:asciiTheme="minorHAnsi" w:eastAsiaTheme="minorEastAsia" w:hAnsiTheme="minorHAnsi" w:cstheme="minorBidi"/>
            <w:kern w:val="2"/>
            <w:sz w:val="21"/>
            <w:szCs w:val="22"/>
            <w:lang w:eastAsia="ja-JP"/>
          </w:rPr>
          <w:tab/>
        </w:r>
        <w:r w:rsidR="00F332DA" w:rsidRPr="00BD76AF">
          <w:rPr>
            <w:rStyle w:val="af1"/>
          </w:rPr>
          <w:t>Transfert de propriété</w:t>
        </w:r>
        <w:r w:rsidR="00F332DA" w:rsidRPr="00BD76AF">
          <w:rPr>
            <w:webHidden/>
          </w:rPr>
          <w:tab/>
        </w:r>
        <w:r w:rsidR="00F332DA" w:rsidRPr="00BD76AF">
          <w:rPr>
            <w:webHidden/>
          </w:rPr>
          <w:fldChar w:fldCharType="begin"/>
        </w:r>
        <w:r w:rsidR="00F332DA" w:rsidRPr="00BD76AF">
          <w:rPr>
            <w:webHidden/>
          </w:rPr>
          <w:instrText xml:space="preserve"> PAGEREF _Toc102050813 \h </w:instrText>
        </w:r>
        <w:r w:rsidR="00F332DA" w:rsidRPr="00BD76AF">
          <w:rPr>
            <w:webHidden/>
          </w:rPr>
        </w:r>
        <w:r w:rsidR="00F332DA" w:rsidRPr="00BD76AF">
          <w:rPr>
            <w:webHidden/>
          </w:rPr>
          <w:fldChar w:fldCharType="separate"/>
        </w:r>
        <w:r w:rsidR="0048496E">
          <w:rPr>
            <w:webHidden/>
          </w:rPr>
          <w:t>56</w:t>
        </w:r>
        <w:r w:rsidR="00F332DA" w:rsidRPr="00BD76AF">
          <w:rPr>
            <w:webHidden/>
          </w:rPr>
          <w:fldChar w:fldCharType="end"/>
        </w:r>
      </w:hyperlink>
    </w:p>
    <w:p w14:paraId="0851783D" w14:textId="22842D98"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14" w:history="1">
        <w:r w:rsidR="00F332DA" w:rsidRPr="00BD76AF">
          <w:rPr>
            <w:rStyle w:val="af1"/>
          </w:rPr>
          <w:t>32.</w:t>
        </w:r>
        <w:r w:rsidR="00F332DA" w:rsidRPr="00BD76AF">
          <w:rPr>
            <w:rFonts w:asciiTheme="minorHAnsi" w:eastAsiaTheme="minorEastAsia" w:hAnsiTheme="minorHAnsi" w:cstheme="minorBidi"/>
            <w:kern w:val="2"/>
            <w:sz w:val="21"/>
            <w:szCs w:val="22"/>
            <w:lang w:eastAsia="ja-JP"/>
          </w:rPr>
          <w:tab/>
        </w:r>
        <w:r w:rsidR="00F332DA" w:rsidRPr="00BD76AF">
          <w:rPr>
            <w:rStyle w:val="af1"/>
          </w:rPr>
          <w:t>Entretien des Installations</w:t>
        </w:r>
        <w:r w:rsidR="00F332DA" w:rsidRPr="00BD76AF">
          <w:rPr>
            <w:webHidden/>
          </w:rPr>
          <w:tab/>
        </w:r>
        <w:r w:rsidR="00F332DA" w:rsidRPr="00BD76AF">
          <w:rPr>
            <w:webHidden/>
          </w:rPr>
          <w:fldChar w:fldCharType="begin"/>
        </w:r>
        <w:r w:rsidR="00F332DA" w:rsidRPr="00BD76AF">
          <w:rPr>
            <w:webHidden/>
          </w:rPr>
          <w:instrText xml:space="preserve"> PAGEREF _Toc102050814 \h </w:instrText>
        </w:r>
        <w:r w:rsidR="00F332DA" w:rsidRPr="00BD76AF">
          <w:rPr>
            <w:webHidden/>
          </w:rPr>
        </w:r>
        <w:r w:rsidR="00F332DA" w:rsidRPr="00BD76AF">
          <w:rPr>
            <w:webHidden/>
          </w:rPr>
          <w:fldChar w:fldCharType="separate"/>
        </w:r>
        <w:r w:rsidR="0048496E">
          <w:rPr>
            <w:webHidden/>
          </w:rPr>
          <w:t>57</w:t>
        </w:r>
        <w:r w:rsidR="00F332DA" w:rsidRPr="00BD76AF">
          <w:rPr>
            <w:webHidden/>
          </w:rPr>
          <w:fldChar w:fldCharType="end"/>
        </w:r>
      </w:hyperlink>
    </w:p>
    <w:p w14:paraId="387E6CDD" w14:textId="010118FB"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15" w:history="1">
        <w:r w:rsidR="00F332DA" w:rsidRPr="00BD76AF">
          <w:rPr>
            <w:rStyle w:val="af1"/>
          </w:rPr>
          <w:t>33.</w:t>
        </w:r>
        <w:r w:rsidR="00F332DA" w:rsidRPr="00BD76AF">
          <w:rPr>
            <w:rFonts w:asciiTheme="minorHAnsi" w:eastAsiaTheme="minorEastAsia" w:hAnsiTheme="minorHAnsi" w:cstheme="minorBidi"/>
            <w:kern w:val="2"/>
            <w:sz w:val="21"/>
            <w:szCs w:val="22"/>
            <w:lang w:eastAsia="ja-JP"/>
          </w:rPr>
          <w:tab/>
        </w:r>
        <w:r w:rsidR="00F332DA" w:rsidRPr="00BD76AF">
          <w:rPr>
            <w:rStyle w:val="af1"/>
          </w:rPr>
          <w:t>Pertes ou dommages matériels, accidents du travail, indemnisation</w:t>
        </w:r>
        <w:r w:rsidR="00F332DA" w:rsidRPr="00BD76AF">
          <w:rPr>
            <w:webHidden/>
          </w:rPr>
          <w:tab/>
        </w:r>
        <w:r w:rsidR="00F332DA" w:rsidRPr="00BD76AF">
          <w:rPr>
            <w:webHidden/>
          </w:rPr>
          <w:fldChar w:fldCharType="begin"/>
        </w:r>
        <w:r w:rsidR="00F332DA" w:rsidRPr="00BD76AF">
          <w:rPr>
            <w:webHidden/>
          </w:rPr>
          <w:instrText xml:space="preserve"> PAGEREF _Toc102050815 \h </w:instrText>
        </w:r>
        <w:r w:rsidR="00F332DA" w:rsidRPr="00BD76AF">
          <w:rPr>
            <w:webHidden/>
          </w:rPr>
        </w:r>
        <w:r w:rsidR="00F332DA" w:rsidRPr="00BD76AF">
          <w:rPr>
            <w:webHidden/>
          </w:rPr>
          <w:fldChar w:fldCharType="separate"/>
        </w:r>
        <w:r w:rsidR="0048496E">
          <w:rPr>
            <w:webHidden/>
          </w:rPr>
          <w:t>58</w:t>
        </w:r>
        <w:r w:rsidR="00F332DA" w:rsidRPr="00BD76AF">
          <w:rPr>
            <w:webHidden/>
          </w:rPr>
          <w:fldChar w:fldCharType="end"/>
        </w:r>
      </w:hyperlink>
    </w:p>
    <w:p w14:paraId="652336AB" w14:textId="75B2E3A0"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16" w:history="1">
        <w:r w:rsidR="00F332DA" w:rsidRPr="00BD76AF">
          <w:rPr>
            <w:rStyle w:val="af1"/>
          </w:rPr>
          <w:t>34.</w:t>
        </w:r>
        <w:r w:rsidR="00F332DA" w:rsidRPr="00BD76AF">
          <w:rPr>
            <w:rFonts w:asciiTheme="minorHAnsi" w:eastAsiaTheme="minorEastAsia" w:hAnsiTheme="minorHAnsi" w:cstheme="minorBidi"/>
            <w:kern w:val="2"/>
            <w:sz w:val="21"/>
            <w:szCs w:val="22"/>
            <w:lang w:eastAsia="ja-JP"/>
          </w:rPr>
          <w:tab/>
        </w:r>
        <w:r w:rsidR="00F332DA" w:rsidRPr="00BD76AF">
          <w:rPr>
            <w:rStyle w:val="af1"/>
          </w:rPr>
          <w:t>Assurances</w:t>
        </w:r>
        <w:r w:rsidR="00F332DA" w:rsidRPr="00BD76AF">
          <w:rPr>
            <w:webHidden/>
          </w:rPr>
          <w:tab/>
        </w:r>
        <w:r w:rsidR="00F332DA" w:rsidRPr="00BD76AF">
          <w:rPr>
            <w:webHidden/>
          </w:rPr>
          <w:fldChar w:fldCharType="begin"/>
        </w:r>
        <w:r w:rsidR="00F332DA" w:rsidRPr="00BD76AF">
          <w:rPr>
            <w:webHidden/>
          </w:rPr>
          <w:instrText xml:space="preserve"> PAGEREF _Toc102050816 \h </w:instrText>
        </w:r>
        <w:r w:rsidR="00F332DA" w:rsidRPr="00BD76AF">
          <w:rPr>
            <w:webHidden/>
          </w:rPr>
        </w:r>
        <w:r w:rsidR="00F332DA" w:rsidRPr="00BD76AF">
          <w:rPr>
            <w:webHidden/>
          </w:rPr>
          <w:fldChar w:fldCharType="separate"/>
        </w:r>
        <w:r w:rsidR="0048496E">
          <w:rPr>
            <w:webHidden/>
          </w:rPr>
          <w:t>60</w:t>
        </w:r>
        <w:r w:rsidR="00F332DA" w:rsidRPr="00BD76AF">
          <w:rPr>
            <w:webHidden/>
          </w:rPr>
          <w:fldChar w:fldCharType="end"/>
        </w:r>
      </w:hyperlink>
    </w:p>
    <w:p w14:paraId="12F53CE7" w14:textId="498089E3"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17" w:history="1">
        <w:r w:rsidR="00F332DA" w:rsidRPr="00BD76AF">
          <w:rPr>
            <w:rStyle w:val="af1"/>
          </w:rPr>
          <w:t>35.</w:t>
        </w:r>
        <w:r w:rsidR="00F332DA" w:rsidRPr="00BD76AF">
          <w:rPr>
            <w:rFonts w:asciiTheme="minorHAnsi" w:eastAsiaTheme="minorEastAsia" w:hAnsiTheme="minorHAnsi" w:cstheme="minorBidi"/>
            <w:kern w:val="2"/>
            <w:sz w:val="21"/>
            <w:szCs w:val="22"/>
            <w:lang w:eastAsia="ja-JP"/>
          </w:rPr>
          <w:tab/>
        </w:r>
        <w:r w:rsidR="00F332DA" w:rsidRPr="00BD76AF">
          <w:rPr>
            <w:rStyle w:val="af1"/>
          </w:rPr>
          <w:t>Conditions imprévues</w:t>
        </w:r>
        <w:r w:rsidR="00F332DA" w:rsidRPr="00BD76AF">
          <w:rPr>
            <w:webHidden/>
          </w:rPr>
          <w:tab/>
        </w:r>
        <w:r w:rsidR="00F332DA" w:rsidRPr="00BD76AF">
          <w:rPr>
            <w:webHidden/>
          </w:rPr>
          <w:fldChar w:fldCharType="begin"/>
        </w:r>
        <w:r w:rsidR="00F332DA" w:rsidRPr="00BD76AF">
          <w:rPr>
            <w:webHidden/>
          </w:rPr>
          <w:instrText xml:space="preserve"> PAGEREF _Toc102050817 \h </w:instrText>
        </w:r>
        <w:r w:rsidR="00F332DA" w:rsidRPr="00BD76AF">
          <w:rPr>
            <w:webHidden/>
          </w:rPr>
        </w:r>
        <w:r w:rsidR="00F332DA" w:rsidRPr="00BD76AF">
          <w:rPr>
            <w:webHidden/>
          </w:rPr>
          <w:fldChar w:fldCharType="separate"/>
        </w:r>
        <w:r w:rsidR="0048496E">
          <w:rPr>
            <w:webHidden/>
          </w:rPr>
          <w:t>62</w:t>
        </w:r>
        <w:r w:rsidR="00F332DA" w:rsidRPr="00BD76AF">
          <w:rPr>
            <w:webHidden/>
          </w:rPr>
          <w:fldChar w:fldCharType="end"/>
        </w:r>
      </w:hyperlink>
    </w:p>
    <w:p w14:paraId="652E2A48" w14:textId="45375593"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18" w:history="1">
        <w:r w:rsidR="00F332DA" w:rsidRPr="00BD76AF">
          <w:rPr>
            <w:rStyle w:val="af1"/>
          </w:rPr>
          <w:t>36</w:t>
        </w:r>
        <w:r w:rsidR="00F332DA" w:rsidRPr="00BD76AF">
          <w:rPr>
            <w:rFonts w:asciiTheme="minorHAnsi" w:eastAsiaTheme="minorEastAsia" w:hAnsiTheme="minorHAnsi" w:cstheme="minorBidi"/>
            <w:kern w:val="2"/>
            <w:sz w:val="21"/>
            <w:szCs w:val="22"/>
            <w:lang w:eastAsia="ja-JP"/>
          </w:rPr>
          <w:tab/>
        </w:r>
        <w:r w:rsidR="00F332DA" w:rsidRPr="00BD76AF">
          <w:rPr>
            <w:rStyle w:val="af1"/>
          </w:rPr>
          <w:t>Modification des législations et réglementations</w:t>
        </w:r>
        <w:r w:rsidR="00F332DA" w:rsidRPr="00BD76AF">
          <w:rPr>
            <w:webHidden/>
          </w:rPr>
          <w:tab/>
        </w:r>
        <w:r w:rsidR="00F332DA" w:rsidRPr="00BD76AF">
          <w:rPr>
            <w:webHidden/>
          </w:rPr>
          <w:fldChar w:fldCharType="begin"/>
        </w:r>
        <w:r w:rsidR="00F332DA" w:rsidRPr="00BD76AF">
          <w:rPr>
            <w:webHidden/>
          </w:rPr>
          <w:instrText xml:space="preserve"> PAGEREF _Toc102050818 \h </w:instrText>
        </w:r>
        <w:r w:rsidR="00F332DA" w:rsidRPr="00BD76AF">
          <w:rPr>
            <w:webHidden/>
          </w:rPr>
        </w:r>
        <w:r w:rsidR="00F332DA" w:rsidRPr="00BD76AF">
          <w:rPr>
            <w:webHidden/>
          </w:rPr>
          <w:fldChar w:fldCharType="separate"/>
        </w:r>
        <w:r w:rsidR="0048496E">
          <w:rPr>
            <w:webHidden/>
          </w:rPr>
          <w:t>63</w:t>
        </w:r>
        <w:r w:rsidR="00F332DA" w:rsidRPr="00BD76AF">
          <w:rPr>
            <w:webHidden/>
          </w:rPr>
          <w:fldChar w:fldCharType="end"/>
        </w:r>
      </w:hyperlink>
    </w:p>
    <w:p w14:paraId="3718E71F" w14:textId="3ECB33AF"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19" w:history="1">
        <w:r w:rsidR="00F332DA" w:rsidRPr="00BD76AF">
          <w:rPr>
            <w:rStyle w:val="af1"/>
          </w:rPr>
          <w:t>37.</w:t>
        </w:r>
        <w:r w:rsidR="00F332DA" w:rsidRPr="00BD76AF">
          <w:rPr>
            <w:rFonts w:asciiTheme="minorHAnsi" w:eastAsiaTheme="minorEastAsia" w:hAnsiTheme="minorHAnsi" w:cstheme="minorBidi"/>
            <w:kern w:val="2"/>
            <w:sz w:val="21"/>
            <w:szCs w:val="22"/>
            <w:lang w:eastAsia="ja-JP"/>
          </w:rPr>
          <w:tab/>
        </w:r>
        <w:r w:rsidR="00F332DA" w:rsidRPr="00BD76AF">
          <w:rPr>
            <w:rStyle w:val="af1"/>
          </w:rPr>
          <w:t>Force majeure</w:t>
        </w:r>
        <w:r w:rsidR="00F332DA" w:rsidRPr="00BD76AF">
          <w:rPr>
            <w:webHidden/>
          </w:rPr>
          <w:tab/>
        </w:r>
        <w:r w:rsidR="00F332DA" w:rsidRPr="00BD76AF">
          <w:rPr>
            <w:webHidden/>
          </w:rPr>
          <w:fldChar w:fldCharType="begin"/>
        </w:r>
        <w:r w:rsidR="00F332DA" w:rsidRPr="00BD76AF">
          <w:rPr>
            <w:webHidden/>
          </w:rPr>
          <w:instrText xml:space="preserve"> PAGEREF _Toc102050819 \h </w:instrText>
        </w:r>
        <w:r w:rsidR="00F332DA" w:rsidRPr="00BD76AF">
          <w:rPr>
            <w:webHidden/>
          </w:rPr>
        </w:r>
        <w:r w:rsidR="00F332DA" w:rsidRPr="00BD76AF">
          <w:rPr>
            <w:webHidden/>
          </w:rPr>
          <w:fldChar w:fldCharType="separate"/>
        </w:r>
        <w:r w:rsidR="0048496E">
          <w:rPr>
            <w:webHidden/>
          </w:rPr>
          <w:t>64</w:t>
        </w:r>
        <w:r w:rsidR="00F332DA" w:rsidRPr="00BD76AF">
          <w:rPr>
            <w:webHidden/>
          </w:rPr>
          <w:fldChar w:fldCharType="end"/>
        </w:r>
      </w:hyperlink>
    </w:p>
    <w:p w14:paraId="5167575E" w14:textId="215BC853"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20" w:history="1">
        <w:r w:rsidR="00F332DA" w:rsidRPr="00BD76AF">
          <w:rPr>
            <w:rStyle w:val="af1"/>
          </w:rPr>
          <w:t>38.</w:t>
        </w:r>
        <w:r w:rsidR="00F332DA" w:rsidRPr="00BD76AF">
          <w:rPr>
            <w:rFonts w:asciiTheme="minorHAnsi" w:eastAsiaTheme="minorEastAsia" w:hAnsiTheme="minorHAnsi" w:cstheme="minorBidi"/>
            <w:kern w:val="2"/>
            <w:sz w:val="21"/>
            <w:szCs w:val="22"/>
            <w:lang w:eastAsia="ja-JP"/>
          </w:rPr>
          <w:tab/>
        </w:r>
        <w:r w:rsidR="00F332DA" w:rsidRPr="00BD76AF">
          <w:rPr>
            <w:rStyle w:val="af1"/>
          </w:rPr>
          <w:t>Risques de guerre</w:t>
        </w:r>
        <w:r w:rsidR="00F332DA" w:rsidRPr="00BD76AF">
          <w:rPr>
            <w:webHidden/>
          </w:rPr>
          <w:tab/>
        </w:r>
        <w:r w:rsidR="00F332DA" w:rsidRPr="00BD76AF">
          <w:rPr>
            <w:webHidden/>
          </w:rPr>
          <w:fldChar w:fldCharType="begin"/>
        </w:r>
        <w:r w:rsidR="00F332DA" w:rsidRPr="00BD76AF">
          <w:rPr>
            <w:webHidden/>
          </w:rPr>
          <w:instrText xml:space="preserve"> PAGEREF _Toc102050820 \h </w:instrText>
        </w:r>
        <w:r w:rsidR="00F332DA" w:rsidRPr="00BD76AF">
          <w:rPr>
            <w:webHidden/>
          </w:rPr>
        </w:r>
        <w:r w:rsidR="00F332DA" w:rsidRPr="00BD76AF">
          <w:rPr>
            <w:webHidden/>
          </w:rPr>
          <w:fldChar w:fldCharType="separate"/>
        </w:r>
        <w:r w:rsidR="0048496E">
          <w:rPr>
            <w:webHidden/>
          </w:rPr>
          <w:t>66</w:t>
        </w:r>
        <w:r w:rsidR="00F332DA" w:rsidRPr="00BD76AF">
          <w:rPr>
            <w:webHidden/>
          </w:rPr>
          <w:fldChar w:fldCharType="end"/>
        </w:r>
      </w:hyperlink>
    </w:p>
    <w:p w14:paraId="048F9974" w14:textId="5C305A24" w:rsidR="00F332DA" w:rsidRPr="00BD76AF" w:rsidRDefault="00000000">
      <w:pPr>
        <w:pStyle w:val="12"/>
        <w:rPr>
          <w:rFonts w:asciiTheme="minorHAnsi" w:eastAsiaTheme="minorEastAsia" w:hAnsiTheme="minorHAnsi" w:cstheme="minorBidi"/>
          <w:b w:val="0"/>
          <w:noProof/>
          <w:kern w:val="2"/>
          <w:sz w:val="21"/>
          <w:szCs w:val="22"/>
          <w:lang w:eastAsia="ja-JP"/>
        </w:rPr>
      </w:pPr>
      <w:hyperlink w:anchor="_Toc102050821" w:history="1">
        <w:r w:rsidR="00F332DA" w:rsidRPr="00BD76AF">
          <w:rPr>
            <w:rStyle w:val="af1"/>
            <w:noProof/>
          </w:rPr>
          <w:t>H.  Modification des éléments du Marché</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_Toc102050821 \h </w:instrText>
        </w:r>
        <w:r w:rsidR="00F332DA" w:rsidRPr="00BD76AF">
          <w:rPr>
            <w:noProof/>
            <w:webHidden/>
          </w:rPr>
        </w:r>
        <w:r w:rsidR="00F332DA" w:rsidRPr="00BD76AF">
          <w:rPr>
            <w:noProof/>
            <w:webHidden/>
          </w:rPr>
          <w:fldChar w:fldCharType="separate"/>
        </w:r>
        <w:r w:rsidR="0048496E">
          <w:rPr>
            <w:noProof/>
            <w:webHidden/>
          </w:rPr>
          <w:t>67</w:t>
        </w:r>
        <w:r w:rsidR="00F332DA" w:rsidRPr="00BD76AF">
          <w:rPr>
            <w:noProof/>
            <w:webHidden/>
          </w:rPr>
          <w:fldChar w:fldCharType="end"/>
        </w:r>
      </w:hyperlink>
    </w:p>
    <w:p w14:paraId="13FEA4A0" w14:textId="5FA9C1D6"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22" w:history="1">
        <w:r w:rsidR="00F332DA" w:rsidRPr="00BD76AF">
          <w:rPr>
            <w:rStyle w:val="af1"/>
          </w:rPr>
          <w:t>39.</w:t>
        </w:r>
        <w:r w:rsidR="00F332DA" w:rsidRPr="00BD76AF">
          <w:rPr>
            <w:rFonts w:asciiTheme="minorHAnsi" w:eastAsiaTheme="minorEastAsia" w:hAnsiTheme="minorHAnsi" w:cstheme="minorBidi"/>
            <w:kern w:val="2"/>
            <w:sz w:val="21"/>
            <w:szCs w:val="22"/>
            <w:lang w:eastAsia="ja-JP"/>
          </w:rPr>
          <w:tab/>
        </w:r>
        <w:r w:rsidR="00F332DA" w:rsidRPr="00BD76AF">
          <w:rPr>
            <w:rStyle w:val="af1"/>
          </w:rPr>
          <w:t>Modification des Installations</w:t>
        </w:r>
        <w:r w:rsidR="00F332DA" w:rsidRPr="00BD76AF">
          <w:rPr>
            <w:webHidden/>
          </w:rPr>
          <w:tab/>
        </w:r>
        <w:r w:rsidR="00F332DA" w:rsidRPr="00BD76AF">
          <w:rPr>
            <w:webHidden/>
          </w:rPr>
          <w:fldChar w:fldCharType="begin"/>
        </w:r>
        <w:r w:rsidR="00F332DA" w:rsidRPr="00BD76AF">
          <w:rPr>
            <w:webHidden/>
          </w:rPr>
          <w:instrText xml:space="preserve"> PAGEREF _Toc102050822 \h </w:instrText>
        </w:r>
        <w:r w:rsidR="00F332DA" w:rsidRPr="00BD76AF">
          <w:rPr>
            <w:webHidden/>
          </w:rPr>
        </w:r>
        <w:r w:rsidR="00F332DA" w:rsidRPr="00BD76AF">
          <w:rPr>
            <w:webHidden/>
          </w:rPr>
          <w:fldChar w:fldCharType="separate"/>
        </w:r>
        <w:r w:rsidR="0048496E">
          <w:rPr>
            <w:webHidden/>
          </w:rPr>
          <w:t>67</w:t>
        </w:r>
        <w:r w:rsidR="00F332DA" w:rsidRPr="00BD76AF">
          <w:rPr>
            <w:webHidden/>
          </w:rPr>
          <w:fldChar w:fldCharType="end"/>
        </w:r>
      </w:hyperlink>
    </w:p>
    <w:p w14:paraId="2AFE4B6B" w14:textId="15CB3A68"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23" w:history="1">
        <w:r w:rsidR="00F332DA" w:rsidRPr="00BD76AF">
          <w:rPr>
            <w:rStyle w:val="af1"/>
          </w:rPr>
          <w:t>40.</w:t>
        </w:r>
        <w:r w:rsidR="00F332DA" w:rsidRPr="00BD76AF">
          <w:rPr>
            <w:rFonts w:asciiTheme="minorHAnsi" w:eastAsiaTheme="minorEastAsia" w:hAnsiTheme="minorHAnsi" w:cstheme="minorBidi"/>
            <w:kern w:val="2"/>
            <w:sz w:val="21"/>
            <w:szCs w:val="22"/>
            <w:lang w:eastAsia="ja-JP"/>
          </w:rPr>
          <w:tab/>
        </w:r>
        <w:r w:rsidR="00F332DA" w:rsidRPr="00BD76AF">
          <w:rPr>
            <w:rStyle w:val="af1"/>
          </w:rPr>
          <w:t>Prolongation du Délai d’achèvement</w:t>
        </w:r>
        <w:r w:rsidR="00F332DA" w:rsidRPr="00BD76AF">
          <w:rPr>
            <w:webHidden/>
          </w:rPr>
          <w:tab/>
        </w:r>
        <w:r w:rsidR="00F332DA" w:rsidRPr="00BD76AF">
          <w:rPr>
            <w:webHidden/>
          </w:rPr>
          <w:fldChar w:fldCharType="begin"/>
        </w:r>
        <w:r w:rsidR="00F332DA" w:rsidRPr="00BD76AF">
          <w:rPr>
            <w:webHidden/>
          </w:rPr>
          <w:instrText xml:space="preserve"> PAGEREF _Toc102050823 \h </w:instrText>
        </w:r>
        <w:r w:rsidR="00F332DA" w:rsidRPr="00BD76AF">
          <w:rPr>
            <w:webHidden/>
          </w:rPr>
        </w:r>
        <w:r w:rsidR="00F332DA" w:rsidRPr="00BD76AF">
          <w:rPr>
            <w:webHidden/>
          </w:rPr>
          <w:fldChar w:fldCharType="separate"/>
        </w:r>
        <w:r w:rsidR="0048496E">
          <w:rPr>
            <w:webHidden/>
          </w:rPr>
          <w:t>73</w:t>
        </w:r>
        <w:r w:rsidR="00F332DA" w:rsidRPr="00BD76AF">
          <w:rPr>
            <w:webHidden/>
          </w:rPr>
          <w:fldChar w:fldCharType="end"/>
        </w:r>
      </w:hyperlink>
    </w:p>
    <w:p w14:paraId="78A011AC" w14:textId="12DDCCEE"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24" w:history="1">
        <w:r w:rsidR="00F332DA" w:rsidRPr="00BD76AF">
          <w:rPr>
            <w:rStyle w:val="af1"/>
          </w:rPr>
          <w:t>41.</w:t>
        </w:r>
        <w:r w:rsidR="00F332DA" w:rsidRPr="00BD76AF">
          <w:rPr>
            <w:rFonts w:asciiTheme="minorHAnsi" w:eastAsiaTheme="minorEastAsia" w:hAnsiTheme="minorHAnsi" w:cstheme="minorBidi"/>
            <w:kern w:val="2"/>
            <w:sz w:val="21"/>
            <w:szCs w:val="22"/>
            <w:lang w:eastAsia="ja-JP"/>
          </w:rPr>
          <w:tab/>
        </w:r>
        <w:r w:rsidR="00F332DA" w:rsidRPr="00BD76AF">
          <w:rPr>
            <w:rStyle w:val="af1"/>
          </w:rPr>
          <w:t>Suspension</w:t>
        </w:r>
        <w:r w:rsidR="00F332DA" w:rsidRPr="00BD76AF">
          <w:rPr>
            <w:webHidden/>
          </w:rPr>
          <w:tab/>
        </w:r>
        <w:r w:rsidR="00F332DA" w:rsidRPr="00BD76AF">
          <w:rPr>
            <w:webHidden/>
          </w:rPr>
          <w:fldChar w:fldCharType="begin"/>
        </w:r>
        <w:r w:rsidR="00F332DA" w:rsidRPr="00BD76AF">
          <w:rPr>
            <w:webHidden/>
          </w:rPr>
          <w:instrText xml:space="preserve"> PAGEREF _Toc102050824 \h </w:instrText>
        </w:r>
        <w:r w:rsidR="00F332DA" w:rsidRPr="00BD76AF">
          <w:rPr>
            <w:webHidden/>
          </w:rPr>
        </w:r>
        <w:r w:rsidR="00F332DA" w:rsidRPr="00BD76AF">
          <w:rPr>
            <w:webHidden/>
          </w:rPr>
          <w:fldChar w:fldCharType="separate"/>
        </w:r>
        <w:r w:rsidR="0048496E">
          <w:rPr>
            <w:webHidden/>
          </w:rPr>
          <w:t>75</w:t>
        </w:r>
        <w:r w:rsidR="00F332DA" w:rsidRPr="00BD76AF">
          <w:rPr>
            <w:webHidden/>
          </w:rPr>
          <w:fldChar w:fldCharType="end"/>
        </w:r>
      </w:hyperlink>
    </w:p>
    <w:p w14:paraId="2FD2F077" w14:textId="6C8886E9"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25" w:history="1">
        <w:r w:rsidR="00F332DA" w:rsidRPr="00BD76AF">
          <w:rPr>
            <w:rStyle w:val="af1"/>
          </w:rPr>
          <w:t>42.</w:t>
        </w:r>
        <w:r w:rsidR="00F332DA" w:rsidRPr="00BD76AF">
          <w:rPr>
            <w:rFonts w:asciiTheme="minorHAnsi" w:eastAsiaTheme="minorEastAsia" w:hAnsiTheme="minorHAnsi" w:cstheme="minorBidi"/>
            <w:kern w:val="2"/>
            <w:sz w:val="21"/>
            <w:szCs w:val="22"/>
            <w:lang w:eastAsia="ja-JP"/>
          </w:rPr>
          <w:tab/>
        </w:r>
        <w:r w:rsidR="00F332DA" w:rsidRPr="00BD76AF">
          <w:rPr>
            <w:rStyle w:val="af1"/>
          </w:rPr>
          <w:t>Résiliation</w:t>
        </w:r>
        <w:r w:rsidR="00F332DA" w:rsidRPr="00BD76AF">
          <w:rPr>
            <w:webHidden/>
          </w:rPr>
          <w:tab/>
        </w:r>
        <w:r w:rsidR="00F332DA" w:rsidRPr="00BD76AF">
          <w:rPr>
            <w:webHidden/>
          </w:rPr>
          <w:fldChar w:fldCharType="begin"/>
        </w:r>
        <w:r w:rsidR="00F332DA" w:rsidRPr="00BD76AF">
          <w:rPr>
            <w:webHidden/>
          </w:rPr>
          <w:instrText xml:space="preserve"> PAGEREF _Toc102050825 \h </w:instrText>
        </w:r>
        <w:r w:rsidR="00F332DA" w:rsidRPr="00BD76AF">
          <w:rPr>
            <w:webHidden/>
          </w:rPr>
        </w:r>
        <w:r w:rsidR="00F332DA" w:rsidRPr="00BD76AF">
          <w:rPr>
            <w:webHidden/>
          </w:rPr>
          <w:fldChar w:fldCharType="separate"/>
        </w:r>
        <w:r w:rsidR="0048496E">
          <w:rPr>
            <w:webHidden/>
          </w:rPr>
          <w:t>77</w:t>
        </w:r>
        <w:r w:rsidR="00F332DA" w:rsidRPr="00BD76AF">
          <w:rPr>
            <w:webHidden/>
          </w:rPr>
          <w:fldChar w:fldCharType="end"/>
        </w:r>
      </w:hyperlink>
    </w:p>
    <w:p w14:paraId="4A5FDE2C" w14:textId="119C2F2C"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26" w:history="1">
        <w:r w:rsidR="00F332DA" w:rsidRPr="00BD76AF">
          <w:rPr>
            <w:rStyle w:val="af1"/>
          </w:rPr>
          <w:t>43.</w:t>
        </w:r>
        <w:r w:rsidR="00F332DA" w:rsidRPr="00BD76AF">
          <w:rPr>
            <w:rFonts w:asciiTheme="minorHAnsi" w:eastAsiaTheme="minorEastAsia" w:hAnsiTheme="minorHAnsi" w:cstheme="minorBidi"/>
            <w:kern w:val="2"/>
            <w:sz w:val="21"/>
            <w:szCs w:val="22"/>
            <w:lang w:eastAsia="ja-JP"/>
          </w:rPr>
          <w:tab/>
        </w:r>
        <w:r w:rsidR="00F332DA" w:rsidRPr="00BD76AF">
          <w:rPr>
            <w:rStyle w:val="af1"/>
          </w:rPr>
          <w:t>Cession</w:t>
        </w:r>
        <w:r w:rsidR="00F332DA" w:rsidRPr="00BD76AF">
          <w:rPr>
            <w:webHidden/>
          </w:rPr>
          <w:tab/>
        </w:r>
        <w:r w:rsidR="00F332DA" w:rsidRPr="00BD76AF">
          <w:rPr>
            <w:webHidden/>
          </w:rPr>
          <w:fldChar w:fldCharType="begin"/>
        </w:r>
        <w:r w:rsidR="00F332DA" w:rsidRPr="00BD76AF">
          <w:rPr>
            <w:webHidden/>
          </w:rPr>
          <w:instrText xml:space="preserve"> PAGEREF _Toc102050826 \h </w:instrText>
        </w:r>
        <w:r w:rsidR="00F332DA" w:rsidRPr="00BD76AF">
          <w:rPr>
            <w:webHidden/>
          </w:rPr>
        </w:r>
        <w:r w:rsidR="00F332DA" w:rsidRPr="00BD76AF">
          <w:rPr>
            <w:webHidden/>
          </w:rPr>
          <w:fldChar w:fldCharType="separate"/>
        </w:r>
        <w:r w:rsidR="0048496E">
          <w:rPr>
            <w:webHidden/>
          </w:rPr>
          <w:t>86</w:t>
        </w:r>
        <w:r w:rsidR="00F332DA" w:rsidRPr="00BD76AF">
          <w:rPr>
            <w:webHidden/>
          </w:rPr>
          <w:fldChar w:fldCharType="end"/>
        </w:r>
      </w:hyperlink>
    </w:p>
    <w:p w14:paraId="5ADB08C3" w14:textId="02F836A3" w:rsidR="00F332DA" w:rsidRPr="00BD76AF" w:rsidRDefault="00000000">
      <w:pPr>
        <w:pStyle w:val="12"/>
        <w:rPr>
          <w:rFonts w:asciiTheme="minorHAnsi" w:eastAsiaTheme="minorEastAsia" w:hAnsiTheme="minorHAnsi" w:cstheme="minorBidi"/>
          <w:b w:val="0"/>
          <w:noProof/>
          <w:kern w:val="2"/>
          <w:sz w:val="21"/>
          <w:szCs w:val="22"/>
          <w:lang w:eastAsia="ja-JP"/>
        </w:rPr>
      </w:pPr>
      <w:hyperlink w:anchor="_Toc102050827" w:history="1">
        <w:r w:rsidR="00F332DA" w:rsidRPr="00BD76AF">
          <w:rPr>
            <w:rStyle w:val="af1"/>
            <w:noProof/>
          </w:rPr>
          <w:t xml:space="preserve">I. </w:t>
        </w:r>
        <w:r w:rsidR="00F332DA" w:rsidRPr="00BD76AF">
          <w:rPr>
            <w:rStyle w:val="af1"/>
            <w:noProof/>
            <w:lang w:eastAsia="ja-JP"/>
          </w:rPr>
          <w:t xml:space="preserve"> </w:t>
        </w:r>
        <w:r w:rsidR="00F332DA" w:rsidRPr="00BD76AF">
          <w:rPr>
            <w:rStyle w:val="af1"/>
            <w:noProof/>
          </w:rPr>
          <w:t>Réclamations, différends et arbitrage</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_Toc102050827 \h </w:instrText>
        </w:r>
        <w:r w:rsidR="00F332DA" w:rsidRPr="00BD76AF">
          <w:rPr>
            <w:noProof/>
            <w:webHidden/>
          </w:rPr>
        </w:r>
        <w:r w:rsidR="00F332DA" w:rsidRPr="00BD76AF">
          <w:rPr>
            <w:noProof/>
            <w:webHidden/>
          </w:rPr>
          <w:fldChar w:fldCharType="separate"/>
        </w:r>
        <w:r w:rsidR="0048496E">
          <w:rPr>
            <w:noProof/>
            <w:webHidden/>
          </w:rPr>
          <w:t>86</w:t>
        </w:r>
        <w:r w:rsidR="00F332DA" w:rsidRPr="00BD76AF">
          <w:rPr>
            <w:noProof/>
            <w:webHidden/>
          </w:rPr>
          <w:fldChar w:fldCharType="end"/>
        </w:r>
      </w:hyperlink>
    </w:p>
    <w:p w14:paraId="1FEC0552" w14:textId="57D9CCD9"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28" w:history="1">
        <w:r w:rsidR="00F332DA" w:rsidRPr="00BD76AF">
          <w:rPr>
            <w:rStyle w:val="af1"/>
          </w:rPr>
          <w:t>44.</w:t>
        </w:r>
        <w:r w:rsidR="00F332DA" w:rsidRPr="00BD76AF">
          <w:rPr>
            <w:rFonts w:asciiTheme="minorHAnsi" w:eastAsiaTheme="minorEastAsia" w:hAnsiTheme="minorHAnsi" w:cstheme="minorBidi"/>
            <w:kern w:val="2"/>
            <w:sz w:val="21"/>
            <w:szCs w:val="22"/>
            <w:lang w:eastAsia="ja-JP"/>
          </w:rPr>
          <w:tab/>
        </w:r>
        <w:r w:rsidR="00F332DA" w:rsidRPr="00BD76AF">
          <w:rPr>
            <w:rStyle w:val="af1"/>
          </w:rPr>
          <w:t>Réclamation de l’Entrepreneur</w:t>
        </w:r>
        <w:r w:rsidR="00F332DA" w:rsidRPr="00BD76AF">
          <w:rPr>
            <w:webHidden/>
          </w:rPr>
          <w:tab/>
        </w:r>
        <w:r w:rsidR="00F332DA" w:rsidRPr="00BD76AF">
          <w:rPr>
            <w:webHidden/>
          </w:rPr>
          <w:fldChar w:fldCharType="begin"/>
        </w:r>
        <w:r w:rsidR="00F332DA" w:rsidRPr="00BD76AF">
          <w:rPr>
            <w:webHidden/>
          </w:rPr>
          <w:instrText xml:space="preserve"> PAGEREF _Toc102050828 \h </w:instrText>
        </w:r>
        <w:r w:rsidR="00F332DA" w:rsidRPr="00BD76AF">
          <w:rPr>
            <w:webHidden/>
          </w:rPr>
        </w:r>
        <w:r w:rsidR="00F332DA" w:rsidRPr="00BD76AF">
          <w:rPr>
            <w:webHidden/>
          </w:rPr>
          <w:fldChar w:fldCharType="separate"/>
        </w:r>
        <w:r w:rsidR="0048496E">
          <w:rPr>
            <w:webHidden/>
          </w:rPr>
          <w:t>86</w:t>
        </w:r>
        <w:r w:rsidR="00F332DA" w:rsidRPr="00BD76AF">
          <w:rPr>
            <w:webHidden/>
          </w:rPr>
          <w:fldChar w:fldCharType="end"/>
        </w:r>
      </w:hyperlink>
    </w:p>
    <w:p w14:paraId="3C94E485" w14:textId="2FDC5206" w:rsidR="00F332DA" w:rsidRPr="00BD76AF" w:rsidRDefault="00000000">
      <w:pPr>
        <w:pStyle w:val="21"/>
        <w:tabs>
          <w:tab w:val="left" w:pos="1021"/>
        </w:tabs>
        <w:ind w:left="934"/>
        <w:rPr>
          <w:rFonts w:asciiTheme="minorHAnsi" w:eastAsiaTheme="minorEastAsia" w:hAnsiTheme="minorHAnsi" w:cstheme="minorBidi"/>
          <w:kern w:val="2"/>
          <w:sz w:val="21"/>
          <w:szCs w:val="22"/>
          <w:lang w:eastAsia="ja-JP"/>
        </w:rPr>
      </w:pPr>
      <w:hyperlink w:anchor="_Toc102050829" w:history="1">
        <w:r w:rsidR="00F332DA" w:rsidRPr="00BD76AF">
          <w:rPr>
            <w:rStyle w:val="af1"/>
          </w:rPr>
          <w:t>45.</w:t>
        </w:r>
        <w:r w:rsidR="00F332DA" w:rsidRPr="00BD76AF">
          <w:rPr>
            <w:rFonts w:asciiTheme="minorHAnsi" w:eastAsiaTheme="minorEastAsia" w:hAnsiTheme="minorHAnsi" w:cstheme="minorBidi"/>
            <w:kern w:val="2"/>
            <w:sz w:val="21"/>
            <w:szCs w:val="22"/>
            <w:lang w:eastAsia="ja-JP"/>
          </w:rPr>
          <w:tab/>
        </w:r>
        <w:r w:rsidR="00F332DA" w:rsidRPr="00BD76AF">
          <w:rPr>
            <w:rStyle w:val="af1"/>
          </w:rPr>
          <w:t>Différends et arbitrage</w:t>
        </w:r>
        <w:r w:rsidR="00F332DA" w:rsidRPr="00BD76AF">
          <w:rPr>
            <w:webHidden/>
          </w:rPr>
          <w:tab/>
        </w:r>
        <w:r w:rsidR="00F332DA" w:rsidRPr="00BD76AF">
          <w:rPr>
            <w:webHidden/>
          </w:rPr>
          <w:fldChar w:fldCharType="begin"/>
        </w:r>
        <w:r w:rsidR="00F332DA" w:rsidRPr="00BD76AF">
          <w:rPr>
            <w:webHidden/>
          </w:rPr>
          <w:instrText xml:space="preserve"> PAGEREF _Toc102050829 \h </w:instrText>
        </w:r>
        <w:r w:rsidR="00F332DA" w:rsidRPr="00BD76AF">
          <w:rPr>
            <w:webHidden/>
          </w:rPr>
        </w:r>
        <w:r w:rsidR="00F332DA" w:rsidRPr="00BD76AF">
          <w:rPr>
            <w:webHidden/>
          </w:rPr>
          <w:fldChar w:fldCharType="separate"/>
        </w:r>
        <w:r w:rsidR="0048496E">
          <w:rPr>
            <w:webHidden/>
          </w:rPr>
          <w:t>88</w:t>
        </w:r>
        <w:r w:rsidR="00F332DA" w:rsidRPr="00BD76AF">
          <w:rPr>
            <w:webHidden/>
          </w:rPr>
          <w:fldChar w:fldCharType="end"/>
        </w:r>
      </w:hyperlink>
    </w:p>
    <w:p w14:paraId="370F91F7" w14:textId="77777777" w:rsidR="00F332DA" w:rsidRPr="00BD76AF" w:rsidRDefault="00F332DA" w:rsidP="00DE2391">
      <w:pPr>
        <w:tabs>
          <w:tab w:val="left" w:pos="720"/>
        </w:tabs>
        <w:jc w:val="left"/>
      </w:pPr>
      <w:r w:rsidRPr="00BD76AF">
        <w:rPr>
          <w:color w:val="FF0000"/>
        </w:rPr>
        <w:fldChar w:fldCharType="end"/>
      </w:r>
    </w:p>
    <w:p w14:paraId="6B5F8DCA" w14:textId="77777777" w:rsidR="00F332DA" w:rsidRPr="00BD76AF" w:rsidRDefault="00F332DA" w:rsidP="001E22CE">
      <w:pPr>
        <w:pStyle w:val="S7Header1"/>
        <w:spacing w:afterLines="100" w:after="240"/>
        <w:rPr>
          <w:sz w:val="32"/>
          <w:szCs w:val="32"/>
        </w:rPr>
      </w:pPr>
      <w:r w:rsidRPr="00BD76AF">
        <w:br w:type="page"/>
      </w:r>
      <w:bookmarkStart w:id="756" w:name="_Toc102050776"/>
      <w:r w:rsidRPr="00BD76AF">
        <w:rPr>
          <w:sz w:val="32"/>
          <w:szCs w:val="32"/>
        </w:rPr>
        <w:t>A.  Marché et interprétation</w:t>
      </w:r>
      <w:bookmarkEnd w:id="756"/>
    </w:p>
    <w:tbl>
      <w:tblPr>
        <w:tblW w:w="9288" w:type="dxa"/>
        <w:tblInd w:w="-74" w:type="dxa"/>
        <w:tblLayout w:type="fixed"/>
        <w:tblLook w:val="0000" w:firstRow="0" w:lastRow="0" w:firstColumn="0" w:lastColumn="0" w:noHBand="0" w:noVBand="0"/>
      </w:tblPr>
      <w:tblGrid>
        <w:gridCol w:w="2352"/>
        <w:gridCol w:w="6936"/>
      </w:tblGrid>
      <w:tr w:rsidR="00F332DA" w:rsidRPr="00BD76AF" w14:paraId="2F77590B" w14:textId="77777777" w:rsidTr="00F717E9">
        <w:tc>
          <w:tcPr>
            <w:tcW w:w="2352" w:type="dxa"/>
          </w:tcPr>
          <w:p w14:paraId="4BCF6F26" w14:textId="77777777" w:rsidR="00F332DA" w:rsidRPr="00BD76AF" w:rsidRDefault="00F332DA" w:rsidP="007C71D1">
            <w:pPr>
              <w:pStyle w:val="S7Header2"/>
              <w:rPr>
                <w:szCs w:val="24"/>
              </w:rPr>
            </w:pPr>
            <w:bookmarkStart w:id="757" w:name="_Toc102050777"/>
            <w:r w:rsidRPr="00BD76AF">
              <w:rPr>
                <w:szCs w:val="24"/>
              </w:rPr>
              <w:t>1.</w:t>
            </w:r>
            <w:r w:rsidRPr="00BD76AF">
              <w:rPr>
                <w:szCs w:val="24"/>
              </w:rPr>
              <w:tab/>
              <w:t>Définitions</w:t>
            </w:r>
            <w:bookmarkEnd w:id="757"/>
          </w:p>
        </w:tc>
        <w:tc>
          <w:tcPr>
            <w:tcW w:w="6936" w:type="dxa"/>
          </w:tcPr>
          <w:p w14:paraId="6FE7ECE1" w14:textId="77777777" w:rsidR="00F332DA" w:rsidRPr="00BD76AF" w:rsidRDefault="00F332DA" w:rsidP="00CA7F18">
            <w:pPr>
              <w:spacing w:afterLines="50" w:after="120"/>
              <w:ind w:left="601" w:hanging="601"/>
              <w:rPr>
                <w:szCs w:val="24"/>
              </w:rPr>
            </w:pPr>
            <w:r w:rsidRPr="00BD76AF">
              <w:rPr>
                <w:szCs w:val="24"/>
              </w:rPr>
              <w:t>1.1</w:t>
            </w:r>
            <w:r w:rsidRPr="00BD76AF">
              <w:rPr>
                <w:szCs w:val="24"/>
              </w:rPr>
              <w:tab/>
              <w:t>Les termes et expressions suivants auront la signification qui leur est attribuée ci-après :</w:t>
            </w:r>
          </w:p>
        </w:tc>
      </w:tr>
      <w:tr w:rsidR="00F332DA" w:rsidRPr="00BD76AF" w14:paraId="51B54E83" w14:textId="77777777" w:rsidTr="00F717E9">
        <w:tc>
          <w:tcPr>
            <w:tcW w:w="2352" w:type="dxa"/>
          </w:tcPr>
          <w:p w14:paraId="109FC4A7" w14:textId="77777777" w:rsidR="00F332DA" w:rsidRPr="00BD76AF" w:rsidRDefault="00F332DA" w:rsidP="007C71D1">
            <w:pPr>
              <w:pStyle w:val="S7Header2"/>
              <w:rPr>
                <w:szCs w:val="24"/>
              </w:rPr>
            </w:pPr>
          </w:p>
        </w:tc>
        <w:tc>
          <w:tcPr>
            <w:tcW w:w="6936" w:type="dxa"/>
          </w:tcPr>
          <w:p w14:paraId="5C480359" w14:textId="77777777" w:rsidR="00F332DA" w:rsidRPr="00BD76AF" w:rsidRDefault="00F332DA" w:rsidP="0079334B">
            <w:pPr>
              <w:spacing w:afterLines="50" w:after="120"/>
              <w:ind w:left="601"/>
              <w:rPr>
                <w:szCs w:val="24"/>
              </w:rPr>
            </w:pPr>
            <w:r w:rsidRPr="00BD76AF">
              <w:rPr>
                <w:szCs w:val="24"/>
              </w:rPr>
              <w:t xml:space="preserve">« Achèvement » signifie que les Installations ou une de leurs Tranches ont été achevées opérationnellement et structurellement, mises en ordre et laissées propres, que tous les travaux de Pré-mise en service des Installations ou de telle Tranche ont été achevés et que les Installations ou </w:t>
            </w:r>
            <w:r w:rsidRPr="00BD76AF">
              <w:rPr>
                <w:rFonts w:hint="eastAsia"/>
                <w:szCs w:val="24"/>
                <w:lang w:eastAsia="ja-JP"/>
              </w:rPr>
              <w:t>t</w:t>
            </w:r>
            <w:r w:rsidRPr="00BD76AF">
              <w:rPr>
                <w:szCs w:val="24"/>
                <w:lang w:eastAsia="ja-JP"/>
              </w:rPr>
              <w:t>elle Tranche</w:t>
            </w:r>
            <w:r w:rsidRPr="00BD76AF">
              <w:rPr>
                <w:szCs w:val="24"/>
              </w:rPr>
              <w:t xml:space="preserve"> sont prêtes pour la Mise en service, conformément à l’Article 24 (</w:t>
            </w:r>
            <w:r w:rsidRPr="00BD76AF">
              <w:rPr>
                <w:i/>
                <w:szCs w:val="24"/>
              </w:rPr>
              <w:t>Achèvement des Installations</w:t>
            </w:r>
            <w:r w:rsidRPr="00BD76AF">
              <w:rPr>
                <w:szCs w:val="24"/>
              </w:rPr>
              <w:t>) des CG.</w:t>
            </w:r>
          </w:p>
        </w:tc>
      </w:tr>
      <w:tr w:rsidR="00F332DA" w:rsidRPr="00BD76AF" w14:paraId="0ACCB356" w14:textId="77777777" w:rsidTr="00F717E9">
        <w:tc>
          <w:tcPr>
            <w:tcW w:w="2352" w:type="dxa"/>
          </w:tcPr>
          <w:p w14:paraId="3391E7FC" w14:textId="77777777" w:rsidR="00F332DA" w:rsidRPr="00BD76AF" w:rsidRDefault="00F332DA" w:rsidP="007C71D1">
            <w:pPr>
              <w:pStyle w:val="S7Header2"/>
              <w:rPr>
                <w:szCs w:val="24"/>
              </w:rPr>
            </w:pPr>
          </w:p>
        </w:tc>
        <w:tc>
          <w:tcPr>
            <w:tcW w:w="6936" w:type="dxa"/>
          </w:tcPr>
          <w:p w14:paraId="7F7D73B4" w14:textId="77777777" w:rsidR="00F332DA" w:rsidRPr="00BD76AF" w:rsidRDefault="00F332DA" w:rsidP="00CA7F18">
            <w:pPr>
              <w:spacing w:afterLines="50" w:after="120"/>
              <w:ind w:left="601"/>
              <w:rPr>
                <w:szCs w:val="24"/>
              </w:rPr>
            </w:pPr>
            <w:r w:rsidRPr="00BD76AF">
              <w:rPr>
                <w:szCs w:val="24"/>
              </w:rPr>
              <w:t>« an » signifie 365 jours.</w:t>
            </w:r>
          </w:p>
        </w:tc>
      </w:tr>
      <w:tr w:rsidR="00F332DA" w:rsidRPr="00BD76AF" w14:paraId="74B51E75" w14:textId="77777777" w:rsidTr="00F717E9">
        <w:tc>
          <w:tcPr>
            <w:tcW w:w="2352" w:type="dxa"/>
          </w:tcPr>
          <w:p w14:paraId="6A088FEE" w14:textId="77777777" w:rsidR="00F332DA" w:rsidRPr="00BD76AF" w:rsidRDefault="00F332DA" w:rsidP="007C71D1">
            <w:pPr>
              <w:pStyle w:val="S7Header2"/>
              <w:rPr>
                <w:szCs w:val="24"/>
              </w:rPr>
            </w:pPr>
          </w:p>
        </w:tc>
        <w:tc>
          <w:tcPr>
            <w:tcW w:w="6936" w:type="dxa"/>
          </w:tcPr>
          <w:p w14:paraId="6586854F" w14:textId="77777777" w:rsidR="00F332DA" w:rsidRPr="00BD76AF" w:rsidRDefault="00F332DA" w:rsidP="0079334B">
            <w:pPr>
              <w:spacing w:afterLines="50" w:after="120"/>
              <w:ind w:left="601"/>
              <w:rPr>
                <w:szCs w:val="24"/>
              </w:rPr>
            </w:pPr>
            <w:r w:rsidRPr="00BD76AF">
              <w:rPr>
                <w:szCs w:val="24"/>
              </w:rPr>
              <w:t xml:space="preserve">« Certificat de Réception opérationnelle » désigne le certificat </w:t>
            </w:r>
            <w:r w:rsidRPr="00BD76AF">
              <w:t xml:space="preserve">délivré </w:t>
            </w:r>
            <w:r w:rsidRPr="00BD76AF">
              <w:rPr>
                <w:szCs w:val="24"/>
              </w:rPr>
              <w:t>conformément aux dispositions de l’Article 25 (</w:t>
            </w:r>
            <w:r w:rsidRPr="00BD76AF">
              <w:rPr>
                <w:i/>
                <w:szCs w:val="24"/>
              </w:rPr>
              <w:t>Mise en service et Réception opérationnelle</w:t>
            </w:r>
            <w:r w:rsidRPr="00BD76AF">
              <w:rPr>
                <w:szCs w:val="24"/>
              </w:rPr>
              <w:t>) des CG.</w:t>
            </w:r>
          </w:p>
        </w:tc>
      </w:tr>
      <w:tr w:rsidR="00F332DA" w:rsidRPr="00BD76AF" w14:paraId="3CB90190" w14:textId="77777777" w:rsidTr="00F717E9">
        <w:tc>
          <w:tcPr>
            <w:tcW w:w="2352" w:type="dxa"/>
          </w:tcPr>
          <w:p w14:paraId="635E6AE2" w14:textId="77777777" w:rsidR="00F332DA" w:rsidRPr="00BD76AF" w:rsidRDefault="00F332DA" w:rsidP="007C71D1">
            <w:pPr>
              <w:pStyle w:val="S7Header2"/>
              <w:rPr>
                <w:szCs w:val="24"/>
              </w:rPr>
            </w:pPr>
          </w:p>
        </w:tc>
        <w:tc>
          <w:tcPr>
            <w:tcW w:w="6936" w:type="dxa"/>
          </w:tcPr>
          <w:p w14:paraId="38374E06" w14:textId="77777777" w:rsidR="00F332DA" w:rsidRPr="00BD76AF" w:rsidRDefault="00F332DA" w:rsidP="0079334B">
            <w:pPr>
              <w:spacing w:afterLines="50" w:after="120"/>
              <w:ind w:left="601"/>
              <w:rPr>
                <w:szCs w:val="24"/>
              </w:rPr>
            </w:pPr>
            <w:r w:rsidRPr="00BD76AF">
              <w:rPr>
                <w:szCs w:val="24"/>
              </w:rPr>
              <w:t>« CG » signifie ces Conditions Générales.</w:t>
            </w:r>
          </w:p>
        </w:tc>
      </w:tr>
      <w:tr w:rsidR="00F332DA" w:rsidRPr="00BD76AF" w14:paraId="7CBC0A57" w14:textId="77777777" w:rsidTr="00F717E9">
        <w:tc>
          <w:tcPr>
            <w:tcW w:w="2352" w:type="dxa"/>
          </w:tcPr>
          <w:p w14:paraId="207DD2CC" w14:textId="77777777" w:rsidR="00F332DA" w:rsidRPr="00BD76AF" w:rsidRDefault="00F332DA" w:rsidP="007C71D1">
            <w:pPr>
              <w:pStyle w:val="S7Header2"/>
              <w:rPr>
                <w:szCs w:val="24"/>
              </w:rPr>
            </w:pPr>
          </w:p>
        </w:tc>
        <w:tc>
          <w:tcPr>
            <w:tcW w:w="6936" w:type="dxa"/>
          </w:tcPr>
          <w:p w14:paraId="160C9BA7" w14:textId="77777777" w:rsidR="00F332DA" w:rsidRPr="00BD76AF" w:rsidRDefault="00F332DA" w:rsidP="0079334B">
            <w:pPr>
              <w:spacing w:afterLines="50" w:after="120"/>
              <w:ind w:left="601"/>
              <w:rPr>
                <w:szCs w:val="24"/>
              </w:rPr>
            </w:pPr>
            <w:r w:rsidRPr="00BD76AF">
              <w:rPr>
                <w:szCs w:val="24"/>
              </w:rPr>
              <w:t>« CP » signifie les Conditions Particulières.</w:t>
            </w:r>
          </w:p>
        </w:tc>
      </w:tr>
      <w:tr w:rsidR="00F332DA" w:rsidRPr="00BD76AF" w14:paraId="2748144F" w14:textId="77777777" w:rsidTr="00F717E9">
        <w:tc>
          <w:tcPr>
            <w:tcW w:w="2352" w:type="dxa"/>
          </w:tcPr>
          <w:p w14:paraId="54E5A00B" w14:textId="77777777" w:rsidR="00F332DA" w:rsidRPr="00BD76AF" w:rsidRDefault="00F332DA" w:rsidP="007C71D1">
            <w:pPr>
              <w:pStyle w:val="S7Header2"/>
              <w:rPr>
                <w:szCs w:val="24"/>
              </w:rPr>
            </w:pPr>
          </w:p>
        </w:tc>
        <w:tc>
          <w:tcPr>
            <w:tcW w:w="6936" w:type="dxa"/>
          </w:tcPr>
          <w:p w14:paraId="0839AA54" w14:textId="77777777" w:rsidR="00F332DA" w:rsidRPr="00BD76AF" w:rsidRDefault="00F332DA" w:rsidP="0079334B">
            <w:pPr>
              <w:spacing w:afterLines="50" w:after="120"/>
              <w:ind w:left="601"/>
              <w:rPr>
                <w:szCs w:val="24"/>
              </w:rPr>
            </w:pPr>
            <w:r w:rsidRPr="00BD76AF">
              <w:rPr>
                <w:szCs w:val="24"/>
              </w:rPr>
              <w:t>« Comité de Règlement des Différends » désigne la ou les personne(s) nommée(s) d’un commun accord par le Maître d’ouvrage et l’Entrepreneur pour résoudre tout litige ou différend survenant entre eux, qui lui est soumis par les Parties, conformément aux dispositions à l’Article 45.1 (</w:t>
            </w:r>
            <w:r w:rsidRPr="00BD76AF">
              <w:rPr>
                <w:i/>
                <w:szCs w:val="24"/>
              </w:rPr>
              <w:t xml:space="preserve">Nomination du </w:t>
            </w:r>
            <w:r w:rsidRPr="00BD76AF">
              <w:rPr>
                <w:i/>
              </w:rPr>
              <w:t>Comité de Règlement des Différends</w:t>
            </w:r>
            <w:r w:rsidRPr="00BD76AF">
              <w:rPr>
                <w:szCs w:val="24"/>
              </w:rPr>
              <w:t>) des CG.</w:t>
            </w:r>
          </w:p>
        </w:tc>
      </w:tr>
      <w:tr w:rsidR="00F332DA" w:rsidRPr="00BD76AF" w14:paraId="1C64AE12" w14:textId="77777777" w:rsidTr="00F717E9">
        <w:tc>
          <w:tcPr>
            <w:tcW w:w="2352" w:type="dxa"/>
          </w:tcPr>
          <w:p w14:paraId="133FF298" w14:textId="77777777" w:rsidR="00F332DA" w:rsidRPr="00BD76AF" w:rsidRDefault="00F332DA" w:rsidP="007C71D1">
            <w:pPr>
              <w:pStyle w:val="S7Header2"/>
              <w:rPr>
                <w:szCs w:val="24"/>
              </w:rPr>
            </w:pPr>
          </w:p>
        </w:tc>
        <w:tc>
          <w:tcPr>
            <w:tcW w:w="6936" w:type="dxa"/>
          </w:tcPr>
          <w:p w14:paraId="174A672C" w14:textId="77777777" w:rsidR="00F332DA" w:rsidRPr="00BD76AF" w:rsidRDefault="00F332DA" w:rsidP="0079334B">
            <w:pPr>
              <w:spacing w:afterLines="50" w:after="120"/>
              <w:ind w:left="601"/>
              <w:rPr>
                <w:szCs w:val="24"/>
              </w:rPr>
            </w:pPr>
            <w:r w:rsidRPr="00BD76AF">
              <w:rPr>
                <w:szCs w:val="24"/>
              </w:rPr>
              <w:t>« Date d’entrée en vigueur » signifie la date prévue conformément aux dispositions de l’Article 8.1 des CG à partir de laquelle le Délai d’</w:t>
            </w:r>
            <w:r w:rsidRPr="00BD76AF">
              <w:rPr>
                <w:rFonts w:eastAsia="ＭＳ ゴシック"/>
                <w:color w:val="000000"/>
                <w:szCs w:val="24"/>
                <w:lang w:eastAsia="ja-JP"/>
              </w:rPr>
              <w:t>achèvement</w:t>
            </w:r>
            <w:r w:rsidRPr="00BD76AF">
              <w:rPr>
                <w:szCs w:val="24"/>
              </w:rPr>
              <w:t xml:space="preserve"> sera calculé.</w:t>
            </w:r>
          </w:p>
        </w:tc>
      </w:tr>
      <w:tr w:rsidR="00F332DA" w:rsidRPr="00BD76AF" w14:paraId="6A0E42B9" w14:textId="77777777" w:rsidTr="00F717E9">
        <w:tc>
          <w:tcPr>
            <w:tcW w:w="2352" w:type="dxa"/>
          </w:tcPr>
          <w:p w14:paraId="5D76AD06" w14:textId="77777777" w:rsidR="00F332DA" w:rsidRPr="00BD76AF" w:rsidRDefault="00F332DA" w:rsidP="007C71D1">
            <w:pPr>
              <w:pStyle w:val="S7Header2"/>
              <w:rPr>
                <w:szCs w:val="24"/>
              </w:rPr>
            </w:pPr>
          </w:p>
        </w:tc>
        <w:tc>
          <w:tcPr>
            <w:tcW w:w="6936" w:type="dxa"/>
          </w:tcPr>
          <w:p w14:paraId="2CD899C5" w14:textId="77777777" w:rsidR="00F332DA" w:rsidRPr="00BD76AF" w:rsidRDefault="00F332DA" w:rsidP="00CA7F18">
            <w:pPr>
              <w:spacing w:afterLines="50" w:after="120"/>
              <w:ind w:left="601"/>
              <w:rPr>
                <w:szCs w:val="24"/>
              </w:rPr>
            </w:pPr>
            <w:r w:rsidRPr="00BD76AF">
              <w:rPr>
                <w:szCs w:val="24"/>
              </w:rPr>
              <w:t xml:space="preserve">« Date de référence » signifie : </w:t>
            </w:r>
          </w:p>
          <w:p w14:paraId="0C8FE533" w14:textId="77777777" w:rsidR="00F332DA" w:rsidRPr="00BD76AF" w:rsidRDefault="00F332DA" w:rsidP="00C21879">
            <w:pPr>
              <w:pStyle w:val="SectionVII1"/>
              <w:rPr>
                <w:lang w:val="fr-FR"/>
              </w:rPr>
            </w:pPr>
            <w:r w:rsidRPr="00BD76AF">
              <w:rPr>
                <w:lang w:val="fr-FR"/>
              </w:rPr>
              <w:t>a)</w:t>
            </w:r>
            <w:r w:rsidRPr="00BD76AF">
              <w:rPr>
                <w:lang w:val="fr-FR" w:eastAsia="ja-JP"/>
              </w:rPr>
              <w:tab/>
            </w:r>
            <w:r w:rsidRPr="00BD76AF">
              <w:rPr>
                <w:lang w:val="fr-FR"/>
              </w:rPr>
              <w:t>la date vingt-huit (28) jours avant la dernière date de remise des offres, dans le cas d’une procédure d’appel d’offres à une étape-deux enveloppes ; ou</w:t>
            </w:r>
          </w:p>
          <w:p w14:paraId="075885B6" w14:textId="77777777" w:rsidR="00F332DA" w:rsidRPr="00BD76AF" w:rsidRDefault="00F332DA" w:rsidP="00C21879">
            <w:pPr>
              <w:pStyle w:val="SectionVII1"/>
              <w:rPr>
                <w:lang w:val="fr-FR"/>
              </w:rPr>
            </w:pPr>
            <w:r w:rsidRPr="00BD76AF">
              <w:rPr>
                <w:lang w:val="fr-FR"/>
              </w:rPr>
              <w:t>b)</w:t>
            </w:r>
            <w:r w:rsidRPr="00BD76AF">
              <w:rPr>
                <w:lang w:val="fr-FR" w:eastAsia="ja-JP"/>
              </w:rPr>
              <w:tab/>
            </w:r>
            <w:r w:rsidRPr="00BD76AF">
              <w:rPr>
                <w:lang w:val="fr-FR"/>
              </w:rPr>
              <w:t>la date vingt-huit (28) jours avant la dernière date de remise des offres de la deuxième étape, dans le cas d’une procédure d’appel d’offres à deux étapes-une enveloppe.</w:t>
            </w:r>
          </w:p>
        </w:tc>
      </w:tr>
      <w:tr w:rsidR="00F332DA" w:rsidRPr="00BD76AF" w14:paraId="53B68B47" w14:textId="77777777" w:rsidTr="00F717E9">
        <w:tc>
          <w:tcPr>
            <w:tcW w:w="2352" w:type="dxa"/>
          </w:tcPr>
          <w:p w14:paraId="4022A878" w14:textId="77777777" w:rsidR="00F332DA" w:rsidRPr="00BD76AF" w:rsidRDefault="00F332DA" w:rsidP="007C71D1">
            <w:pPr>
              <w:pStyle w:val="S7Header2"/>
              <w:rPr>
                <w:szCs w:val="24"/>
              </w:rPr>
            </w:pPr>
          </w:p>
        </w:tc>
        <w:tc>
          <w:tcPr>
            <w:tcW w:w="6936" w:type="dxa"/>
          </w:tcPr>
          <w:p w14:paraId="0CA5E7B4" w14:textId="77777777" w:rsidR="00F332DA" w:rsidRPr="00BD76AF" w:rsidRDefault="00F332DA" w:rsidP="0079334B">
            <w:pPr>
              <w:spacing w:afterLines="50" w:after="120"/>
              <w:ind w:left="601"/>
              <w:rPr>
                <w:szCs w:val="24"/>
              </w:rPr>
            </w:pPr>
            <w:r w:rsidRPr="00BD76AF">
              <w:rPr>
                <w:szCs w:val="24"/>
              </w:rPr>
              <w:t>« Délai d’</w:t>
            </w:r>
            <w:r w:rsidRPr="00BD76AF">
              <w:rPr>
                <w:rFonts w:eastAsia="ＭＳ ゴシック"/>
                <w:color w:val="000000"/>
                <w:szCs w:val="24"/>
                <w:lang w:eastAsia="ja-JP"/>
              </w:rPr>
              <w:t>achèvement</w:t>
            </w:r>
            <w:r w:rsidRPr="00BD76AF">
              <w:rPr>
                <w:szCs w:val="24"/>
              </w:rPr>
              <w:t> » signifie le délai dans lequel les Installations ou une de leurs Tranches doivent être achevées, comme précisé à l’Article 8 (</w:t>
            </w:r>
            <w:r w:rsidRPr="00BD76AF">
              <w:rPr>
                <w:i/>
                <w:szCs w:val="24"/>
              </w:rPr>
              <w:t>Commencement et Délai d’achèvement</w:t>
            </w:r>
            <w:r w:rsidRPr="00BD76AF">
              <w:rPr>
                <w:szCs w:val="24"/>
              </w:rPr>
              <w:t>) des CG et conformément à toutes les dispositions correspondantes du Marché.</w:t>
            </w:r>
          </w:p>
        </w:tc>
      </w:tr>
      <w:tr w:rsidR="00F332DA" w:rsidRPr="00BD76AF" w14:paraId="094900E0" w14:textId="77777777" w:rsidTr="00F717E9">
        <w:tc>
          <w:tcPr>
            <w:tcW w:w="2352" w:type="dxa"/>
          </w:tcPr>
          <w:p w14:paraId="1D0A070D" w14:textId="77777777" w:rsidR="00F332DA" w:rsidRPr="00BD76AF" w:rsidRDefault="00F332DA" w:rsidP="007C71D1">
            <w:pPr>
              <w:pStyle w:val="S7Header2"/>
              <w:rPr>
                <w:szCs w:val="24"/>
              </w:rPr>
            </w:pPr>
          </w:p>
        </w:tc>
        <w:tc>
          <w:tcPr>
            <w:tcW w:w="6936" w:type="dxa"/>
          </w:tcPr>
          <w:p w14:paraId="24BD328D" w14:textId="77777777" w:rsidR="00F332DA" w:rsidRPr="00BD76AF" w:rsidRDefault="00F332DA" w:rsidP="00CA7F18">
            <w:pPr>
              <w:spacing w:afterLines="50" w:after="120"/>
              <w:ind w:left="601"/>
              <w:rPr>
                <w:szCs w:val="24"/>
              </w:rPr>
            </w:pPr>
            <w:r w:rsidRPr="00BD76AF">
              <w:rPr>
                <w:szCs w:val="24"/>
              </w:rPr>
              <w:t>« Directeur des travaux » désigne la personne nommée par le Représentant de l’Entrepreneur, comme indiqué à l’Article 17.2.4 des CG.</w:t>
            </w:r>
          </w:p>
        </w:tc>
      </w:tr>
      <w:tr w:rsidR="00F332DA" w:rsidRPr="00BD76AF" w14:paraId="3CC422FA" w14:textId="77777777" w:rsidTr="00F717E9">
        <w:tc>
          <w:tcPr>
            <w:tcW w:w="2352" w:type="dxa"/>
          </w:tcPr>
          <w:p w14:paraId="50B346F3" w14:textId="77777777" w:rsidR="00F332DA" w:rsidRPr="00BD76AF" w:rsidRDefault="00F332DA" w:rsidP="007C71D1">
            <w:pPr>
              <w:pStyle w:val="S7Header2"/>
              <w:rPr>
                <w:szCs w:val="24"/>
              </w:rPr>
            </w:pPr>
          </w:p>
        </w:tc>
        <w:tc>
          <w:tcPr>
            <w:tcW w:w="6936" w:type="dxa"/>
          </w:tcPr>
          <w:p w14:paraId="08B5AD40" w14:textId="77777777" w:rsidR="00F332DA" w:rsidRPr="00BD76AF" w:rsidRDefault="00F332DA" w:rsidP="007A388C">
            <w:pPr>
              <w:spacing w:afterLines="50" w:after="120"/>
              <w:ind w:left="601"/>
              <w:rPr>
                <w:szCs w:val="24"/>
              </w:rPr>
            </w:pPr>
            <w:r w:rsidRPr="00BD76AF">
              <w:rPr>
                <w:szCs w:val="24"/>
              </w:rPr>
              <w:t>« Directeur de projet » désigne la personne nommée par le Maître d’ouvrage conformément à l’Article 17.1 (</w:t>
            </w:r>
            <w:r w:rsidRPr="00BD76AF">
              <w:rPr>
                <w:i/>
                <w:szCs w:val="24"/>
              </w:rPr>
              <w:t>Directeur de projet</w:t>
            </w:r>
            <w:r w:rsidRPr="00BD76AF">
              <w:rPr>
                <w:szCs w:val="24"/>
              </w:rPr>
              <w:t xml:space="preserve">) des CG, et dont </w:t>
            </w:r>
            <w:r w:rsidRPr="00BD76AF">
              <w:rPr>
                <w:b/>
                <w:szCs w:val="24"/>
              </w:rPr>
              <w:t>le nom figure dans les Données du Marché</w:t>
            </w:r>
            <w:r w:rsidRPr="00BD76AF">
              <w:rPr>
                <w:szCs w:val="24"/>
              </w:rPr>
              <w:t>,</w:t>
            </w:r>
            <w:r w:rsidRPr="00BD76AF">
              <w:rPr>
                <w:b/>
                <w:szCs w:val="24"/>
              </w:rPr>
              <w:t xml:space="preserve"> </w:t>
            </w:r>
            <w:r w:rsidRPr="00BD76AF">
              <w:rPr>
                <w:szCs w:val="24"/>
              </w:rPr>
              <w:t>afin de réaliser les tâches qui lui sont déléguées par le Maître d’ouvrage.</w:t>
            </w:r>
          </w:p>
        </w:tc>
      </w:tr>
      <w:tr w:rsidR="00F332DA" w:rsidRPr="00BD76AF" w14:paraId="4B3E1C34" w14:textId="77777777" w:rsidTr="00F717E9">
        <w:tc>
          <w:tcPr>
            <w:tcW w:w="2352" w:type="dxa"/>
          </w:tcPr>
          <w:p w14:paraId="4B7EA989" w14:textId="77777777" w:rsidR="00F332DA" w:rsidRPr="00BD76AF" w:rsidRDefault="00F332DA" w:rsidP="007C71D1">
            <w:pPr>
              <w:pStyle w:val="S7Header2"/>
              <w:rPr>
                <w:szCs w:val="24"/>
              </w:rPr>
            </w:pPr>
          </w:p>
        </w:tc>
        <w:tc>
          <w:tcPr>
            <w:tcW w:w="6936" w:type="dxa"/>
          </w:tcPr>
          <w:p w14:paraId="553AC901" w14:textId="77777777" w:rsidR="00F332DA" w:rsidRPr="00BD76AF" w:rsidRDefault="00F332DA" w:rsidP="00CA7F18">
            <w:pPr>
              <w:spacing w:afterLines="50" w:after="120"/>
              <w:ind w:left="601"/>
              <w:rPr>
                <w:szCs w:val="24"/>
              </w:rPr>
            </w:pPr>
            <w:r w:rsidRPr="00BD76AF">
              <w:rPr>
                <w:szCs w:val="24"/>
              </w:rPr>
              <w:t>« Documents contractuels » signifie les documents dont la liste figure à l’Article 1.1 (</w:t>
            </w:r>
            <w:r w:rsidRPr="00BD76AF">
              <w:rPr>
                <w:i/>
                <w:szCs w:val="24"/>
              </w:rPr>
              <w:t>Documents contractuels</w:t>
            </w:r>
            <w:r w:rsidRPr="00BD76AF">
              <w:rPr>
                <w:szCs w:val="24"/>
              </w:rPr>
              <w:t>) de l’Acte d’engagement (y compris toute modification de ceux-ci).</w:t>
            </w:r>
          </w:p>
        </w:tc>
      </w:tr>
      <w:tr w:rsidR="00F332DA" w:rsidRPr="00BD76AF" w14:paraId="70D423DD" w14:textId="77777777" w:rsidTr="00F717E9">
        <w:tc>
          <w:tcPr>
            <w:tcW w:w="2352" w:type="dxa"/>
          </w:tcPr>
          <w:p w14:paraId="28CCE5DC" w14:textId="77777777" w:rsidR="00F332DA" w:rsidRPr="00BD76AF" w:rsidRDefault="00F332DA" w:rsidP="007C71D1">
            <w:pPr>
              <w:pStyle w:val="S7Header2"/>
              <w:rPr>
                <w:szCs w:val="24"/>
              </w:rPr>
            </w:pPr>
          </w:p>
        </w:tc>
        <w:tc>
          <w:tcPr>
            <w:tcW w:w="6936" w:type="dxa"/>
          </w:tcPr>
          <w:p w14:paraId="579B0322" w14:textId="77777777" w:rsidR="00F332DA" w:rsidRPr="00BD76AF" w:rsidRDefault="00F332DA" w:rsidP="00CA7F18">
            <w:pPr>
              <w:spacing w:afterLines="50" w:after="120"/>
              <w:ind w:left="601"/>
              <w:rPr>
                <w:szCs w:val="24"/>
              </w:rPr>
            </w:pPr>
            <w:r w:rsidRPr="00BD76AF">
              <w:rPr>
                <w:szCs w:val="24"/>
              </w:rPr>
              <w:t>« Données du Marché » signifie les pages renseignées par le Maître d’ouvrage, intitulées données du marché et qui constituent la Partie A des Conditions Particulières.</w:t>
            </w:r>
          </w:p>
        </w:tc>
      </w:tr>
      <w:tr w:rsidR="00F332DA" w:rsidRPr="00BD76AF" w14:paraId="2707F97C" w14:textId="77777777" w:rsidTr="00F717E9">
        <w:tc>
          <w:tcPr>
            <w:tcW w:w="2352" w:type="dxa"/>
          </w:tcPr>
          <w:p w14:paraId="1570C070" w14:textId="77777777" w:rsidR="00F332DA" w:rsidRPr="00BD76AF" w:rsidRDefault="00F332DA" w:rsidP="007C71D1">
            <w:pPr>
              <w:pStyle w:val="S7Header2"/>
              <w:rPr>
                <w:szCs w:val="24"/>
              </w:rPr>
            </w:pPr>
          </w:p>
        </w:tc>
        <w:tc>
          <w:tcPr>
            <w:tcW w:w="6936" w:type="dxa"/>
          </w:tcPr>
          <w:p w14:paraId="21933293" w14:textId="77777777" w:rsidR="00F332DA" w:rsidRPr="00BD76AF" w:rsidRDefault="00F332DA" w:rsidP="0079334B">
            <w:pPr>
              <w:spacing w:afterLines="50" w:after="120"/>
              <w:ind w:left="601"/>
              <w:rPr>
                <w:szCs w:val="24"/>
              </w:rPr>
            </w:pPr>
            <w:r w:rsidRPr="00BD76AF">
              <w:rPr>
                <w:rFonts w:hint="eastAsia"/>
                <w:szCs w:val="24"/>
              </w:rPr>
              <w:t>«</w:t>
            </w:r>
            <w:r w:rsidRPr="00BD76AF">
              <w:rPr>
                <w:szCs w:val="24"/>
              </w:rPr>
              <w:t xml:space="preserve"> Emprunteur » désigne la personne (le cas échéant) </w:t>
            </w:r>
            <w:r w:rsidRPr="00BD76AF">
              <w:rPr>
                <w:b/>
                <w:szCs w:val="24"/>
              </w:rPr>
              <w:t>nommée comme tel dans les Données du Marché</w:t>
            </w:r>
            <w:r w:rsidRPr="00BD76AF">
              <w:rPr>
                <w:szCs w:val="24"/>
              </w:rPr>
              <w:t>.</w:t>
            </w:r>
          </w:p>
        </w:tc>
      </w:tr>
      <w:tr w:rsidR="00F332DA" w:rsidRPr="00BD76AF" w14:paraId="0091A3C2" w14:textId="77777777" w:rsidTr="00F717E9">
        <w:tc>
          <w:tcPr>
            <w:tcW w:w="2352" w:type="dxa"/>
          </w:tcPr>
          <w:p w14:paraId="77FAD9D8" w14:textId="77777777" w:rsidR="00F332DA" w:rsidRPr="00BD76AF" w:rsidRDefault="00F332DA" w:rsidP="007C71D1">
            <w:pPr>
              <w:pStyle w:val="S7Header2"/>
              <w:rPr>
                <w:szCs w:val="24"/>
              </w:rPr>
            </w:pPr>
          </w:p>
        </w:tc>
        <w:tc>
          <w:tcPr>
            <w:tcW w:w="6936" w:type="dxa"/>
          </w:tcPr>
          <w:p w14:paraId="6D841E77" w14:textId="77777777" w:rsidR="00F332DA" w:rsidRPr="00BD76AF" w:rsidRDefault="00F332DA" w:rsidP="00CA7F18">
            <w:pPr>
              <w:spacing w:afterLines="50" w:after="120"/>
              <w:ind w:left="601"/>
              <w:rPr>
                <w:szCs w:val="24"/>
              </w:rPr>
            </w:pPr>
            <w:r w:rsidRPr="00BD76AF">
              <w:rPr>
                <w:szCs w:val="24"/>
              </w:rPr>
              <w:t>« Entrepreneur » désigne la ou les personnes dont l’offre pour exécuter le Marché a été acceptée par le Maître d’ouvrage, et dont le nom figure en tant que tel dans l’Acte d’engagement, et inclut les successeurs légaux ou ayants droit autorisés de l’Entrepreneur.</w:t>
            </w:r>
          </w:p>
        </w:tc>
      </w:tr>
      <w:tr w:rsidR="00F332DA" w:rsidRPr="00BD76AF" w14:paraId="40051220" w14:textId="77777777" w:rsidTr="00F717E9">
        <w:tc>
          <w:tcPr>
            <w:tcW w:w="2352" w:type="dxa"/>
          </w:tcPr>
          <w:p w14:paraId="6E440BEF" w14:textId="77777777" w:rsidR="00F332DA" w:rsidRPr="00BD76AF" w:rsidRDefault="00F332DA" w:rsidP="007C71D1">
            <w:pPr>
              <w:pStyle w:val="S7Header2"/>
              <w:rPr>
                <w:szCs w:val="24"/>
              </w:rPr>
            </w:pPr>
          </w:p>
        </w:tc>
        <w:tc>
          <w:tcPr>
            <w:tcW w:w="6936" w:type="dxa"/>
          </w:tcPr>
          <w:p w14:paraId="438AD473" w14:textId="77777777" w:rsidR="00F332DA" w:rsidRPr="00BD76AF" w:rsidRDefault="00F332DA" w:rsidP="00CA7F18">
            <w:pPr>
              <w:spacing w:afterLines="50" w:after="120"/>
              <w:ind w:left="601"/>
              <w:rPr>
                <w:szCs w:val="24"/>
              </w:rPr>
            </w:pPr>
            <w:r w:rsidRPr="00BD76AF">
              <w:rPr>
                <w:szCs w:val="24"/>
              </w:rPr>
              <w:t>« Équipements » signifie le matériel, les équipements, machines, appareils, matériaux, articles et choses de toutes sortes que l’Entrepreneur devra fournir et incorporer de manière permanente dans les Installations en vertu du Marché (y compris les pièces de rechange que l’Entrepreneur devra fournir conformément à l’Article 7.3 des CG), mais ne comprend pas les Équipements de l’Entrepreneur.</w:t>
            </w:r>
          </w:p>
        </w:tc>
      </w:tr>
      <w:tr w:rsidR="00F332DA" w:rsidRPr="00BD76AF" w14:paraId="4DB4D769" w14:textId="77777777" w:rsidTr="00F717E9">
        <w:tc>
          <w:tcPr>
            <w:tcW w:w="2352" w:type="dxa"/>
          </w:tcPr>
          <w:p w14:paraId="1D952101" w14:textId="77777777" w:rsidR="00F332DA" w:rsidRPr="00BD76AF" w:rsidRDefault="00F332DA" w:rsidP="007C71D1">
            <w:pPr>
              <w:pStyle w:val="S7Header2"/>
              <w:rPr>
                <w:szCs w:val="24"/>
              </w:rPr>
            </w:pPr>
          </w:p>
        </w:tc>
        <w:tc>
          <w:tcPr>
            <w:tcW w:w="6936" w:type="dxa"/>
          </w:tcPr>
          <w:p w14:paraId="7D1FF2DC" w14:textId="77777777" w:rsidR="00F332DA" w:rsidRPr="00BD76AF" w:rsidRDefault="00F332DA" w:rsidP="00CA7F18">
            <w:pPr>
              <w:spacing w:afterLines="50" w:after="120"/>
              <w:ind w:left="601"/>
              <w:rPr>
                <w:szCs w:val="24"/>
              </w:rPr>
            </w:pPr>
            <w:r w:rsidRPr="00BD76AF">
              <w:rPr>
                <w:szCs w:val="24"/>
              </w:rPr>
              <w:t>« Équipements de l’Entrepreneur » signifie l’ensemble des installations, équipements, machines, outils, appareils, instruments ou choses de toutes sortes nécessaires au montage, à l’achèvement et à la maintenance des Installations que l’Entrepreneur devra fournir, mais ne comprend pas les Équipements ou autres choses destinées à faire partie ou faisant partie des Installations.</w:t>
            </w:r>
          </w:p>
        </w:tc>
      </w:tr>
      <w:tr w:rsidR="00F332DA" w:rsidRPr="00BD76AF" w14:paraId="341DD93B" w14:textId="77777777" w:rsidTr="00F717E9">
        <w:tc>
          <w:tcPr>
            <w:tcW w:w="2352" w:type="dxa"/>
          </w:tcPr>
          <w:p w14:paraId="2DB8A9CB" w14:textId="77777777" w:rsidR="00F332DA" w:rsidRPr="00BD76AF" w:rsidRDefault="00F332DA" w:rsidP="007C71D1">
            <w:pPr>
              <w:pStyle w:val="S7Header2"/>
              <w:rPr>
                <w:szCs w:val="24"/>
              </w:rPr>
            </w:pPr>
          </w:p>
        </w:tc>
        <w:tc>
          <w:tcPr>
            <w:tcW w:w="6936" w:type="dxa"/>
          </w:tcPr>
          <w:p w14:paraId="205691A3" w14:textId="77777777" w:rsidR="00F332DA" w:rsidRPr="00BD76AF" w:rsidRDefault="00F332DA" w:rsidP="0079334B">
            <w:pPr>
              <w:spacing w:afterLines="50" w:after="120"/>
              <w:ind w:left="601"/>
              <w:rPr>
                <w:szCs w:val="24"/>
              </w:rPr>
            </w:pPr>
            <w:r w:rsidRPr="00BD76AF">
              <w:rPr>
                <w:szCs w:val="24"/>
              </w:rPr>
              <w:t>« Essai(s) de garantie » signifie l’essai ou les essais indiqué(s) dans le</w:t>
            </w:r>
            <w:r w:rsidRPr="00BD76AF">
              <w:rPr>
                <w:szCs w:val="24"/>
                <w:lang w:eastAsia="ja-JP"/>
              </w:rPr>
              <w:t xml:space="preserve">s </w:t>
            </w:r>
            <w:r w:rsidRPr="00BD76AF">
              <w:rPr>
                <w:szCs w:val="24"/>
              </w:rPr>
              <w:t>Exigences du Maître d’ouvrage et réalisé(s) afin de vérifier que les Installations ou une partie spécifique de celles-ci atteignent les Garanties opérationnelles indiquées dans l’Annexe 8 (</w:t>
            </w:r>
            <w:r w:rsidRPr="00BD76AF">
              <w:rPr>
                <w:i/>
                <w:szCs w:val="24"/>
              </w:rPr>
              <w:t>Garanties opérationnelles</w:t>
            </w:r>
            <w:r w:rsidRPr="00BD76AF">
              <w:rPr>
                <w:szCs w:val="24"/>
              </w:rPr>
              <w:t>) à l’Acte d’engagement, conformément à l’Article 25.2 (</w:t>
            </w:r>
            <w:r w:rsidRPr="00BD76AF">
              <w:rPr>
                <w:i/>
                <w:szCs w:val="24"/>
              </w:rPr>
              <w:t>Essai de garantie</w:t>
            </w:r>
            <w:r w:rsidRPr="00BD76AF">
              <w:rPr>
                <w:szCs w:val="24"/>
              </w:rPr>
              <w:t>) des CG.</w:t>
            </w:r>
          </w:p>
        </w:tc>
      </w:tr>
      <w:tr w:rsidR="00F332DA" w:rsidRPr="00BD76AF" w14:paraId="743FC75B" w14:textId="77777777" w:rsidTr="0079334B">
        <w:tc>
          <w:tcPr>
            <w:tcW w:w="2352" w:type="dxa"/>
          </w:tcPr>
          <w:p w14:paraId="78237D0E" w14:textId="77777777" w:rsidR="00F332DA" w:rsidRPr="00BD76AF" w:rsidRDefault="00F332DA" w:rsidP="0079334B">
            <w:pPr>
              <w:pStyle w:val="S7Header2"/>
              <w:rPr>
                <w:szCs w:val="24"/>
              </w:rPr>
            </w:pPr>
          </w:p>
        </w:tc>
        <w:tc>
          <w:tcPr>
            <w:tcW w:w="6936" w:type="dxa"/>
          </w:tcPr>
          <w:p w14:paraId="04816D03" w14:textId="77777777" w:rsidR="00F332DA" w:rsidRPr="00BD76AF" w:rsidRDefault="00F332DA" w:rsidP="008F37B0">
            <w:pPr>
              <w:spacing w:afterLines="50" w:after="120"/>
              <w:ind w:left="601"/>
              <w:rPr>
                <w:szCs w:val="24"/>
              </w:rPr>
            </w:pPr>
            <w:r w:rsidRPr="00BD76AF">
              <w:rPr>
                <w:szCs w:val="24"/>
              </w:rPr>
              <w:t>« Exigences du Maître d’ouvrage » signifie le document intitulé Exigences du Maître d’ouvrage, tel qu’inclut dans le Marché, ainsi que tout ajout ou modification de ce document conformément au Marché. Ce document comprend des plans, des spécifications et tout autre document qui précisent l’objet des Installations et les décrivent, et/ou spécifient les critères de conception et/ou les autres conditions techniques.</w:t>
            </w:r>
          </w:p>
        </w:tc>
      </w:tr>
      <w:tr w:rsidR="00F332DA" w:rsidRPr="00BD76AF" w14:paraId="709E9642" w14:textId="77777777" w:rsidTr="00F717E9">
        <w:tc>
          <w:tcPr>
            <w:tcW w:w="2352" w:type="dxa"/>
          </w:tcPr>
          <w:p w14:paraId="4DCFE1E6" w14:textId="77777777" w:rsidR="00F332DA" w:rsidRPr="00BD76AF" w:rsidRDefault="00F332DA" w:rsidP="007C71D1">
            <w:pPr>
              <w:pStyle w:val="S7Header2"/>
              <w:rPr>
                <w:szCs w:val="24"/>
              </w:rPr>
            </w:pPr>
          </w:p>
        </w:tc>
        <w:tc>
          <w:tcPr>
            <w:tcW w:w="6936" w:type="dxa"/>
          </w:tcPr>
          <w:p w14:paraId="3B1A0780" w14:textId="77777777" w:rsidR="00F332DA" w:rsidRPr="00BD76AF" w:rsidRDefault="00F332DA" w:rsidP="0079334B">
            <w:pPr>
              <w:spacing w:afterLines="50" w:after="120"/>
              <w:ind w:left="601"/>
              <w:rPr>
                <w:szCs w:val="24"/>
              </w:rPr>
            </w:pPr>
            <w:r w:rsidRPr="00BD76AF">
              <w:rPr>
                <w:szCs w:val="24"/>
              </w:rPr>
              <w:t>« Garantie de bonne exécution » signifie la garantie ou les garanties prévues conformément à l’Article 13.3 (</w:t>
            </w:r>
            <w:r w:rsidRPr="00BD76AF">
              <w:rPr>
                <w:i/>
                <w:szCs w:val="24"/>
              </w:rPr>
              <w:t>Garantie de bonne exécution</w:t>
            </w:r>
            <w:r w:rsidRPr="00BD76AF">
              <w:rPr>
                <w:szCs w:val="24"/>
              </w:rPr>
              <w:t>) des CG.</w:t>
            </w:r>
          </w:p>
        </w:tc>
      </w:tr>
      <w:tr w:rsidR="00F332DA" w:rsidRPr="00BD76AF" w14:paraId="71BA2C13" w14:textId="77777777" w:rsidTr="00F717E9">
        <w:tc>
          <w:tcPr>
            <w:tcW w:w="2352" w:type="dxa"/>
          </w:tcPr>
          <w:p w14:paraId="0EF75D3D" w14:textId="77777777" w:rsidR="00F332DA" w:rsidRPr="00BD76AF" w:rsidRDefault="00F332DA" w:rsidP="007C71D1">
            <w:pPr>
              <w:pStyle w:val="S7Header2"/>
              <w:rPr>
                <w:szCs w:val="24"/>
              </w:rPr>
            </w:pPr>
          </w:p>
        </w:tc>
        <w:tc>
          <w:tcPr>
            <w:tcW w:w="6936" w:type="dxa"/>
          </w:tcPr>
          <w:p w14:paraId="42C098FE" w14:textId="77777777" w:rsidR="00F332DA" w:rsidRPr="00BD76AF" w:rsidRDefault="00F332DA" w:rsidP="0079334B">
            <w:pPr>
              <w:spacing w:afterLines="50" w:after="120"/>
              <w:ind w:left="601"/>
              <w:rPr>
                <w:szCs w:val="24"/>
              </w:rPr>
            </w:pPr>
            <w:r w:rsidRPr="00BD76AF">
              <w:rPr>
                <w:szCs w:val="24"/>
              </w:rPr>
              <w:t>« Installations » signifie les Équipements à fournir et à monter, ainsi que les Services de montage que l’Entrepreneur doit fournir en vertu du Marché.</w:t>
            </w:r>
          </w:p>
        </w:tc>
      </w:tr>
      <w:tr w:rsidR="00F332DA" w:rsidRPr="00BD76AF" w14:paraId="2A061902" w14:textId="77777777" w:rsidTr="00F717E9">
        <w:tc>
          <w:tcPr>
            <w:tcW w:w="2352" w:type="dxa"/>
          </w:tcPr>
          <w:p w14:paraId="0E39D303" w14:textId="77777777" w:rsidR="00F332DA" w:rsidRPr="00BD76AF" w:rsidRDefault="00F332DA" w:rsidP="007C71D1">
            <w:pPr>
              <w:pStyle w:val="S7Header2"/>
              <w:rPr>
                <w:szCs w:val="24"/>
              </w:rPr>
            </w:pPr>
          </w:p>
        </w:tc>
        <w:tc>
          <w:tcPr>
            <w:tcW w:w="6936" w:type="dxa"/>
          </w:tcPr>
          <w:p w14:paraId="5B60C22D" w14:textId="77777777" w:rsidR="00F332DA" w:rsidRPr="00BD76AF" w:rsidRDefault="00F332DA" w:rsidP="00CA7F18">
            <w:pPr>
              <w:spacing w:afterLines="50" w:after="120"/>
              <w:ind w:left="601"/>
              <w:rPr>
                <w:szCs w:val="24"/>
              </w:rPr>
            </w:pPr>
            <w:r w:rsidRPr="00BD76AF">
              <w:rPr>
                <w:szCs w:val="24"/>
              </w:rPr>
              <w:t>« JICA » désigne l’Agence Japonaise de Coopération Internationale.</w:t>
            </w:r>
          </w:p>
        </w:tc>
      </w:tr>
      <w:tr w:rsidR="00F332DA" w:rsidRPr="00BD76AF" w14:paraId="503198FD" w14:textId="77777777" w:rsidTr="00F717E9">
        <w:tc>
          <w:tcPr>
            <w:tcW w:w="2352" w:type="dxa"/>
          </w:tcPr>
          <w:p w14:paraId="46FA2157" w14:textId="77777777" w:rsidR="00F332DA" w:rsidRPr="00BD76AF" w:rsidRDefault="00F332DA" w:rsidP="007C71D1">
            <w:pPr>
              <w:pStyle w:val="S7Header2"/>
              <w:rPr>
                <w:szCs w:val="24"/>
              </w:rPr>
            </w:pPr>
          </w:p>
        </w:tc>
        <w:tc>
          <w:tcPr>
            <w:tcW w:w="6936" w:type="dxa"/>
          </w:tcPr>
          <w:p w14:paraId="04DDE89E" w14:textId="77777777" w:rsidR="00F332DA" w:rsidRPr="00BD76AF" w:rsidRDefault="00F332DA" w:rsidP="00CA7F18">
            <w:pPr>
              <w:spacing w:afterLines="50" w:after="120"/>
              <w:ind w:left="601"/>
              <w:rPr>
                <w:szCs w:val="24"/>
              </w:rPr>
            </w:pPr>
            <w:r w:rsidRPr="00BD76AF">
              <w:rPr>
                <w:szCs w:val="24"/>
              </w:rPr>
              <w:t>« jour » signifie un jour calendaire.</w:t>
            </w:r>
          </w:p>
        </w:tc>
      </w:tr>
      <w:tr w:rsidR="00F332DA" w:rsidRPr="00BD76AF" w14:paraId="28821CFE" w14:textId="77777777" w:rsidTr="00F717E9">
        <w:tc>
          <w:tcPr>
            <w:tcW w:w="2352" w:type="dxa"/>
          </w:tcPr>
          <w:p w14:paraId="19C70677" w14:textId="77777777" w:rsidR="00F332DA" w:rsidRPr="00BD76AF" w:rsidRDefault="00F332DA" w:rsidP="007C71D1">
            <w:pPr>
              <w:pStyle w:val="S7Header2"/>
              <w:rPr>
                <w:szCs w:val="24"/>
              </w:rPr>
            </w:pPr>
          </w:p>
        </w:tc>
        <w:tc>
          <w:tcPr>
            <w:tcW w:w="6936" w:type="dxa"/>
          </w:tcPr>
          <w:p w14:paraId="034FD3EF" w14:textId="77777777" w:rsidR="00F332DA" w:rsidRPr="00BD76AF" w:rsidRDefault="00F332DA" w:rsidP="00A41C66">
            <w:pPr>
              <w:spacing w:afterLines="50" w:after="120"/>
              <w:ind w:left="601"/>
              <w:rPr>
                <w:szCs w:val="24"/>
              </w:rPr>
            </w:pPr>
            <w:r w:rsidRPr="00BD76AF">
              <w:rPr>
                <w:szCs w:val="24"/>
              </w:rPr>
              <w:t>« Lettre d’acceptation de l’offre » signifie la lettre d’acceptation formelle signée par le Maître d’ouvrage de la Lettre de soumission, y compris tous les mémorandums joints constituant les accords signés par les deux Parties. S’il n’y a pas de lettre d’acceptation de l’offre, l’expression « Lettre d’acceptation de l’offre » signifie l’Acte d’engagement et la date de diffusion ou de réception de la Lettre d’acceptation de l’offre signifie la date de signature de l’Acte d’engagement.</w:t>
            </w:r>
          </w:p>
        </w:tc>
      </w:tr>
      <w:tr w:rsidR="00F332DA" w:rsidRPr="00BD76AF" w14:paraId="2C85DDAD" w14:textId="77777777" w:rsidTr="00F717E9">
        <w:tc>
          <w:tcPr>
            <w:tcW w:w="2352" w:type="dxa"/>
          </w:tcPr>
          <w:p w14:paraId="229EF35A" w14:textId="77777777" w:rsidR="00F332DA" w:rsidRPr="00BD76AF" w:rsidRDefault="00F332DA" w:rsidP="007C71D1">
            <w:pPr>
              <w:pStyle w:val="S7Header2"/>
              <w:rPr>
                <w:szCs w:val="24"/>
              </w:rPr>
            </w:pPr>
          </w:p>
        </w:tc>
        <w:tc>
          <w:tcPr>
            <w:tcW w:w="6936" w:type="dxa"/>
          </w:tcPr>
          <w:p w14:paraId="46EA7B38" w14:textId="77777777" w:rsidR="00F332DA" w:rsidRPr="00BD76AF" w:rsidRDefault="00F332DA" w:rsidP="0079334B">
            <w:pPr>
              <w:spacing w:afterLines="50" w:after="120"/>
              <w:ind w:left="601"/>
              <w:rPr>
                <w:szCs w:val="24"/>
              </w:rPr>
            </w:pPr>
            <w:r w:rsidRPr="00BD76AF">
              <w:rPr>
                <w:rFonts w:hint="eastAsia"/>
                <w:iCs/>
                <w:szCs w:val="24"/>
              </w:rPr>
              <w:t>«</w:t>
            </w:r>
            <w:r w:rsidRPr="00BD76AF">
              <w:t> </w:t>
            </w:r>
            <w:r w:rsidRPr="00BD76AF">
              <w:rPr>
                <w:iCs/>
                <w:szCs w:val="24"/>
              </w:rPr>
              <w:t>Lettre de soumission</w:t>
            </w:r>
            <w:r w:rsidRPr="00BD76AF">
              <w:t> </w:t>
            </w:r>
            <w:r w:rsidRPr="00BD76AF">
              <w:rPr>
                <w:iCs/>
                <w:szCs w:val="24"/>
              </w:rPr>
              <w:t xml:space="preserve">» </w:t>
            </w:r>
            <w:r w:rsidRPr="00BD76AF">
              <w:rPr>
                <w:szCs w:val="24"/>
              </w:rPr>
              <w:t>signifie</w:t>
            </w:r>
            <w:r w:rsidRPr="00BD76AF">
              <w:rPr>
                <w:iCs/>
                <w:szCs w:val="24"/>
              </w:rPr>
              <w:t xml:space="preserve"> le ou les documents intitulés lettres de soumission de l’Offre Technique et de l’Offre Financière, ou </w:t>
            </w:r>
            <w:r w:rsidRPr="00BD76AF">
              <w:rPr>
                <w:rFonts w:hint="eastAsia"/>
                <w:iCs/>
                <w:szCs w:val="24"/>
                <w:lang w:eastAsia="ja-JP"/>
              </w:rPr>
              <w:t>l</w:t>
            </w:r>
            <w:r w:rsidRPr="00BD76AF">
              <w:rPr>
                <w:iCs/>
                <w:szCs w:val="24"/>
              </w:rPr>
              <w:t xml:space="preserve">ettre de soumission de l’offre de la deuxième étape, le cas échéant, complétés par l’Entrepreneur et qui incluent l’offre signée à l’intention du Maître d’ouvrage pour les </w:t>
            </w:r>
            <w:r w:rsidRPr="00BD76AF">
              <w:rPr>
                <w:szCs w:val="24"/>
              </w:rPr>
              <w:t>Installations</w:t>
            </w:r>
            <w:r w:rsidRPr="00BD76AF">
              <w:rPr>
                <w:i/>
                <w:iCs/>
                <w:szCs w:val="24"/>
              </w:rPr>
              <w:t>.</w:t>
            </w:r>
          </w:p>
        </w:tc>
      </w:tr>
      <w:tr w:rsidR="00F332DA" w:rsidRPr="00BD76AF" w14:paraId="5D1FBB8B" w14:textId="77777777" w:rsidTr="00F717E9">
        <w:tc>
          <w:tcPr>
            <w:tcW w:w="2352" w:type="dxa"/>
          </w:tcPr>
          <w:p w14:paraId="2695F085" w14:textId="77777777" w:rsidR="00F332DA" w:rsidRPr="00BD76AF" w:rsidRDefault="00F332DA" w:rsidP="007C71D1">
            <w:pPr>
              <w:pStyle w:val="S7Header2"/>
              <w:rPr>
                <w:szCs w:val="24"/>
              </w:rPr>
            </w:pPr>
          </w:p>
        </w:tc>
        <w:tc>
          <w:tcPr>
            <w:tcW w:w="6936" w:type="dxa"/>
          </w:tcPr>
          <w:p w14:paraId="6138DA68" w14:textId="77777777" w:rsidR="00F332DA" w:rsidRPr="00BD76AF" w:rsidRDefault="00F332DA" w:rsidP="0079334B">
            <w:pPr>
              <w:spacing w:afterLines="50" w:after="120"/>
              <w:ind w:left="601"/>
              <w:rPr>
                <w:szCs w:val="24"/>
              </w:rPr>
            </w:pPr>
            <w:r w:rsidRPr="00BD76AF">
              <w:rPr>
                <w:szCs w:val="24"/>
              </w:rPr>
              <w:t xml:space="preserve">« Maître d’ouvrage » désigne la personne nommée </w:t>
            </w:r>
            <w:r w:rsidRPr="00BD76AF">
              <w:rPr>
                <w:b/>
                <w:szCs w:val="24"/>
              </w:rPr>
              <w:t>comme tel dans les Données du Marché</w:t>
            </w:r>
            <w:r w:rsidRPr="00BD76AF">
              <w:rPr>
                <w:szCs w:val="24"/>
              </w:rPr>
              <w:t xml:space="preserve"> et inclut les successeurs légaux ou ayants droit autorisés du Maître d’ouvrage.</w:t>
            </w:r>
          </w:p>
        </w:tc>
      </w:tr>
      <w:tr w:rsidR="00F332DA" w:rsidRPr="00BD76AF" w14:paraId="7D4101DC" w14:textId="77777777" w:rsidTr="00F717E9">
        <w:tc>
          <w:tcPr>
            <w:tcW w:w="2352" w:type="dxa"/>
          </w:tcPr>
          <w:p w14:paraId="256AB5B0" w14:textId="77777777" w:rsidR="00F332DA" w:rsidRPr="00BD76AF" w:rsidRDefault="00F332DA" w:rsidP="007C71D1">
            <w:pPr>
              <w:pStyle w:val="S7Header2"/>
              <w:rPr>
                <w:szCs w:val="24"/>
              </w:rPr>
            </w:pPr>
          </w:p>
        </w:tc>
        <w:tc>
          <w:tcPr>
            <w:tcW w:w="6936" w:type="dxa"/>
          </w:tcPr>
          <w:p w14:paraId="09C8F3E3" w14:textId="77777777" w:rsidR="00F332DA" w:rsidRPr="00BD76AF" w:rsidRDefault="00F332DA" w:rsidP="00CA7F18">
            <w:pPr>
              <w:spacing w:afterLines="50" w:after="120"/>
              <w:ind w:left="601"/>
              <w:rPr>
                <w:szCs w:val="24"/>
              </w:rPr>
            </w:pPr>
            <w:r w:rsidRPr="00BD76AF">
              <w:rPr>
                <w:szCs w:val="24"/>
              </w:rPr>
              <w:t>« Marché » signifie l’Acte d’engagement conclu entre le Maître d’ouvrage et l’Entrepreneur, ainsi que les documents contractuels qui y sont mentionnés ; ces documents constitueront le Marché, et le terme « Marché » sera interprété de cette manière dans tous ces documents.</w:t>
            </w:r>
          </w:p>
        </w:tc>
      </w:tr>
      <w:tr w:rsidR="00F332DA" w:rsidRPr="00BD76AF" w14:paraId="7CE49615" w14:textId="77777777" w:rsidTr="00F717E9">
        <w:tc>
          <w:tcPr>
            <w:tcW w:w="2352" w:type="dxa"/>
          </w:tcPr>
          <w:p w14:paraId="41F1502E" w14:textId="77777777" w:rsidR="00F332DA" w:rsidRPr="00BD76AF" w:rsidRDefault="00F332DA" w:rsidP="007C71D1">
            <w:pPr>
              <w:pStyle w:val="S7Header2"/>
              <w:rPr>
                <w:szCs w:val="24"/>
              </w:rPr>
            </w:pPr>
          </w:p>
        </w:tc>
        <w:tc>
          <w:tcPr>
            <w:tcW w:w="6936" w:type="dxa"/>
          </w:tcPr>
          <w:p w14:paraId="619DC6E8" w14:textId="77777777" w:rsidR="00F332DA" w:rsidRPr="00BD76AF" w:rsidRDefault="00F332DA" w:rsidP="0079334B">
            <w:pPr>
              <w:spacing w:afterLines="50" w:after="120"/>
              <w:ind w:left="601"/>
              <w:rPr>
                <w:szCs w:val="24"/>
              </w:rPr>
            </w:pPr>
            <w:r w:rsidRPr="00BD76AF">
              <w:rPr>
                <w:szCs w:val="24"/>
              </w:rPr>
              <w:t xml:space="preserve">« Mise en service » signifie la mise en exploitation des Installations ou d’une de leurs </w:t>
            </w:r>
            <w:r w:rsidRPr="00BD76AF">
              <w:rPr>
                <w:rFonts w:hint="eastAsia"/>
                <w:szCs w:val="24"/>
                <w:lang w:eastAsia="ja-JP"/>
              </w:rPr>
              <w:t>Tranche</w:t>
            </w:r>
            <w:r w:rsidRPr="00BD76AF">
              <w:rPr>
                <w:szCs w:val="24"/>
                <w:lang w:eastAsia="ja-JP"/>
              </w:rPr>
              <w:t>s</w:t>
            </w:r>
            <w:r w:rsidRPr="00BD76AF">
              <w:rPr>
                <w:szCs w:val="24"/>
              </w:rPr>
              <w:t xml:space="preserve"> par l’Entrepreneur suite à l’Achèvement, qui doit être réalisée par l’Entrepreneur comme spécifié à l’Article 25.1 (</w:t>
            </w:r>
            <w:r w:rsidRPr="00BD76AF">
              <w:rPr>
                <w:i/>
                <w:szCs w:val="24"/>
              </w:rPr>
              <w:t>Mise en service</w:t>
            </w:r>
            <w:r w:rsidRPr="00BD76AF">
              <w:rPr>
                <w:szCs w:val="24"/>
              </w:rPr>
              <w:t>) des CG, dans le but d’effectuer l’Essai ou les Essais de garantie.</w:t>
            </w:r>
          </w:p>
        </w:tc>
      </w:tr>
      <w:tr w:rsidR="00F332DA" w:rsidRPr="00BD76AF" w14:paraId="7C51BB0A" w14:textId="77777777" w:rsidTr="00F717E9">
        <w:tc>
          <w:tcPr>
            <w:tcW w:w="2352" w:type="dxa"/>
          </w:tcPr>
          <w:p w14:paraId="685EA1BB" w14:textId="77777777" w:rsidR="00F332DA" w:rsidRPr="00BD76AF" w:rsidRDefault="00F332DA" w:rsidP="007C71D1">
            <w:pPr>
              <w:pStyle w:val="S7Header2"/>
              <w:rPr>
                <w:szCs w:val="24"/>
              </w:rPr>
            </w:pPr>
          </w:p>
        </w:tc>
        <w:tc>
          <w:tcPr>
            <w:tcW w:w="6936" w:type="dxa"/>
          </w:tcPr>
          <w:p w14:paraId="116F77C0" w14:textId="77777777" w:rsidR="00F332DA" w:rsidRPr="00BD76AF" w:rsidRDefault="00F332DA" w:rsidP="00CA7F18">
            <w:pPr>
              <w:spacing w:afterLines="50" w:after="120"/>
              <w:ind w:left="601"/>
              <w:rPr>
                <w:szCs w:val="24"/>
              </w:rPr>
            </w:pPr>
            <w:r w:rsidRPr="00BD76AF">
              <w:rPr>
                <w:szCs w:val="24"/>
              </w:rPr>
              <w:t>« mois » signifie un mois calendaire.</w:t>
            </w:r>
          </w:p>
        </w:tc>
      </w:tr>
      <w:tr w:rsidR="00F332DA" w:rsidRPr="00BD76AF" w14:paraId="0884730F" w14:textId="77777777" w:rsidTr="00F717E9">
        <w:tc>
          <w:tcPr>
            <w:tcW w:w="2352" w:type="dxa"/>
          </w:tcPr>
          <w:p w14:paraId="66817AF9" w14:textId="77777777" w:rsidR="00F332DA" w:rsidRPr="00BD76AF" w:rsidRDefault="00F332DA" w:rsidP="007C71D1">
            <w:pPr>
              <w:pStyle w:val="S7Header2"/>
              <w:rPr>
                <w:szCs w:val="24"/>
              </w:rPr>
            </w:pPr>
          </w:p>
        </w:tc>
        <w:tc>
          <w:tcPr>
            <w:tcW w:w="6936" w:type="dxa"/>
          </w:tcPr>
          <w:p w14:paraId="1057848B" w14:textId="77777777" w:rsidR="00F332DA" w:rsidRPr="00BD76AF" w:rsidRDefault="00F332DA" w:rsidP="00CA7F18">
            <w:pPr>
              <w:spacing w:afterLines="50" w:after="120"/>
              <w:ind w:left="601"/>
              <w:rPr>
                <w:szCs w:val="24"/>
              </w:rPr>
            </w:pPr>
            <w:r w:rsidRPr="00BD76AF">
              <w:rPr>
                <w:szCs w:val="24"/>
              </w:rPr>
              <w:t>« Montant du Marché » signifie le montant précisé à l’Article 2.1 (</w:t>
            </w:r>
            <w:r w:rsidRPr="00BD76AF">
              <w:rPr>
                <w:i/>
                <w:szCs w:val="24"/>
              </w:rPr>
              <w:t>Montant du Marché</w:t>
            </w:r>
            <w:r w:rsidRPr="00BD76AF">
              <w:rPr>
                <w:szCs w:val="24"/>
              </w:rPr>
              <w:t>) de l’Acte d’engagement, sous réserve des augmentations, rectifications ou réductions qui pourront y être apportées en vertu du Marché.</w:t>
            </w:r>
          </w:p>
        </w:tc>
      </w:tr>
      <w:tr w:rsidR="00F332DA" w:rsidRPr="00BD76AF" w14:paraId="535FE755" w14:textId="77777777" w:rsidTr="00F717E9">
        <w:tc>
          <w:tcPr>
            <w:tcW w:w="2352" w:type="dxa"/>
          </w:tcPr>
          <w:p w14:paraId="5C3EC084" w14:textId="77777777" w:rsidR="00F332DA" w:rsidRPr="00BD76AF" w:rsidRDefault="00F332DA" w:rsidP="007C71D1">
            <w:pPr>
              <w:pStyle w:val="S7Header2"/>
              <w:rPr>
                <w:szCs w:val="24"/>
              </w:rPr>
            </w:pPr>
          </w:p>
        </w:tc>
        <w:tc>
          <w:tcPr>
            <w:tcW w:w="6936" w:type="dxa"/>
          </w:tcPr>
          <w:p w14:paraId="6E6C7F63" w14:textId="77777777" w:rsidR="00F332DA" w:rsidRPr="00BD76AF" w:rsidRDefault="00F332DA" w:rsidP="00CA7F18">
            <w:pPr>
              <w:spacing w:afterLines="50" w:after="120"/>
              <w:ind w:left="601"/>
              <w:rPr>
                <w:szCs w:val="24"/>
              </w:rPr>
            </w:pPr>
            <w:r w:rsidRPr="00BD76AF">
              <w:rPr>
                <w:szCs w:val="24"/>
              </w:rPr>
              <w:t>« Partie » désigne le Maître d’ouvrage ou l’Entrepreneur, selon le contexte, et « Parties » signifie les deux.</w:t>
            </w:r>
          </w:p>
        </w:tc>
      </w:tr>
      <w:tr w:rsidR="00F332DA" w:rsidRPr="00BD76AF" w14:paraId="317B8B13" w14:textId="77777777" w:rsidTr="00F717E9">
        <w:tc>
          <w:tcPr>
            <w:tcW w:w="2352" w:type="dxa"/>
          </w:tcPr>
          <w:p w14:paraId="213A9726" w14:textId="77777777" w:rsidR="00F332DA" w:rsidRPr="00BD76AF" w:rsidRDefault="00F332DA" w:rsidP="007C71D1">
            <w:pPr>
              <w:pStyle w:val="S7Header2"/>
              <w:rPr>
                <w:szCs w:val="24"/>
              </w:rPr>
            </w:pPr>
          </w:p>
        </w:tc>
        <w:tc>
          <w:tcPr>
            <w:tcW w:w="6936" w:type="dxa"/>
          </w:tcPr>
          <w:p w14:paraId="5FC55C87" w14:textId="77777777" w:rsidR="00F332DA" w:rsidRPr="00BD76AF" w:rsidRDefault="00F332DA" w:rsidP="00CA7F18">
            <w:pPr>
              <w:spacing w:afterLines="50" w:after="120"/>
              <w:ind w:left="601"/>
              <w:rPr>
                <w:szCs w:val="24"/>
              </w:rPr>
            </w:pPr>
            <w:r w:rsidRPr="00BD76AF">
              <w:rPr>
                <w:szCs w:val="24"/>
              </w:rPr>
              <w:t>« Période de garantie » signifie la période de validité des garanties données par l’Entrepreneur, commençant à la Réception opérationnelle des Installations ou d’une partie de celles-ci, pendant laquelle l’Entrepreneur est responsable des défauts des Installations (ou de la partie considérée des Installations) conformément à l’Article 27 (</w:t>
            </w:r>
            <w:r w:rsidRPr="00BD76AF">
              <w:rPr>
                <w:i/>
                <w:szCs w:val="24"/>
              </w:rPr>
              <w:t>Garantie</w:t>
            </w:r>
            <w:r w:rsidRPr="00BD76AF">
              <w:rPr>
                <w:szCs w:val="24"/>
              </w:rPr>
              <w:t>) des CG.</w:t>
            </w:r>
          </w:p>
        </w:tc>
      </w:tr>
      <w:tr w:rsidR="00F332DA" w:rsidRPr="00BD76AF" w14:paraId="5D17EBAA" w14:textId="77777777" w:rsidTr="00F717E9">
        <w:tc>
          <w:tcPr>
            <w:tcW w:w="2352" w:type="dxa"/>
          </w:tcPr>
          <w:p w14:paraId="6B931E2F" w14:textId="77777777" w:rsidR="00F332DA" w:rsidRPr="00BD76AF" w:rsidRDefault="00F332DA" w:rsidP="007C71D1">
            <w:pPr>
              <w:pStyle w:val="S7Header2"/>
              <w:rPr>
                <w:szCs w:val="24"/>
              </w:rPr>
            </w:pPr>
          </w:p>
        </w:tc>
        <w:tc>
          <w:tcPr>
            <w:tcW w:w="6936" w:type="dxa"/>
          </w:tcPr>
          <w:p w14:paraId="05F9D974" w14:textId="77777777" w:rsidR="00F332DA" w:rsidRPr="00BD76AF" w:rsidRDefault="00F332DA" w:rsidP="0079334B">
            <w:pPr>
              <w:spacing w:afterLines="50" w:after="120"/>
              <w:ind w:left="601"/>
              <w:rPr>
                <w:szCs w:val="24"/>
              </w:rPr>
            </w:pPr>
            <w:r w:rsidRPr="00BD76AF">
              <w:rPr>
                <w:rFonts w:hint="eastAsia"/>
                <w:szCs w:val="24"/>
              </w:rPr>
              <w:t>«</w:t>
            </w:r>
            <w:r w:rsidRPr="00BD76AF">
              <w:rPr>
                <w:szCs w:val="24"/>
              </w:rPr>
              <w:t> Personnel de l’Entrepreneur » désigne tout le personnel que l’Entrepreneur emploie pour l’exécution du Marché, qui peut inclure le personnel, la main-d’œuvre et les autres employés de l’Entrepreneur et de chaque Sous-Traitant ; ainsi que tout autre personnel assistant l’Entrepreneur lors de l’exécution du Marché.</w:t>
            </w:r>
          </w:p>
        </w:tc>
      </w:tr>
      <w:tr w:rsidR="00F332DA" w:rsidRPr="00BD76AF" w14:paraId="0FCF12BB" w14:textId="77777777" w:rsidTr="00F717E9">
        <w:tc>
          <w:tcPr>
            <w:tcW w:w="2352" w:type="dxa"/>
          </w:tcPr>
          <w:p w14:paraId="79B8BF42" w14:textId="77777777" w:rsidR="00F332DA" w:rsidRPr="00BD76AF" w:rsidRDefault="00F332DA" w:rsidP="007C71D1">
            <w:pPr>
              <w:pStyle w:val="S7Header2"/>
              <w:rPr>
                <w:szCs w:val="24"/>
              </w:rPr>
            </w:pPr>
          </w:p>
        </w:tc>
        <w:tc>
          <w:tcPr>
            <w:tcW w:w="6936" w:type="dxa"/>
          </w:tcPr>
          <w:p w14:paraId="3F8E3366" w14:textId="77777777" w:rsidR="00F332DA" w:rsidRPr="00BD76AF" w:rsidRDefault="00F332DA" w:rsidP="0079334B">
            <w:pPr>
              <w:spacing w:afterLines="50" w:after="120"/>
              <w:ind w:left="601"/>
              <w:rPr>
                <w:szCs w:val="24"/>
              </w:rPr>
            </w:pPr>
            <w:r w:rsidRPr="00BD76AF">
              <w:rPr>
                <w:szCs w:val="24"/>
              </w:rPr>
              <w:t>« Pièces de rechange obligatoires » signifie les pièces de rechange énumérées dans le Bordereau intitulé « Pièces de rechange obligatoires » des Bordereaux des prix inclus dans le Marché, qui sont requises dans le Marché et fournies par l’Entrepreneur, avant l’achèvement des Installations en vertu du a) de l’Article 7.</w:t>
            </w:r>
            <w:r w:rsidRPr="00BD76AF">
              <w:rPr>
                <w:rFonts w:hint="eastAsia"/>
                <w:szCs w:val="24"/>
                <w:lang w:eastAsia="ja-JP"/>
              </w:rPr>
              <w:t>3</w:t>
            </w:r>
            <w:r w:rsidRPr="00BD76AF">
              <w:rPr>
                <w:szCs w:val="24"/>
                <w:lang w:eastAsia="ja-JP"/>
              </w:rPr>
              <w:t xml:space="preserve"> </w:t>
            </w:r>
            <w:r w:rsidRPr="00BD76AF">
              <w:rPr>
                <w:szCs w:val="24"/>
              </w:rPr>
              <w:t>(</w:t>
            </w:r>
            <w:r w:rsidRPr="00BD76AF">
              <w:rPr>
                <w:i/>
              </w:rPr>
              <w:t>Pièces de rechange</w:t>
            </w:r>
            <w:r w:rsidRPr="00BD76AF">
              <w:rPr>
                <w:szCs w:val="24"/>
              </w:rPr>
              <w:t>) des CG, pour le bon fonctionnement continu des Installations après la Réception opérationnelle des Installations conformément à l’Article 25.3 (</w:t>
            </w:r>
            <w:r w:rsidRPr="00BD76AF">
              <w:rPr>
                <w:i/>
                <w:szCs w:val="24"/>
              </w:rPr>
              <w:t>Réception opérationnelle</w:t>
            </w:r>
            <w:r w:rsidRPr="00BD76AF">
              <w:rPr>
                <w:szCs w:val="24"/>
              </w:rPr>
              <w:t>) des CG.</w:t>
            </w:r>
          </w:p>
          <w:p w14:paraId="4D56A399" w14:textId="77777777" w:rsidR="00F332DA" w:rsidRPr="00BD76AF" w:rsidRDefault="00F332DA" w:rsidP="0079334B">
            <w:pPr>
              <w:spacing w:afterLines="50" w:after="120"/>
              <w:ind w:left="601"/>
              <w:rPr>
                <w:szCs w:val="24"/>
              </w:rPr>
            </w:pPr>
            <w:r w:rsidRPr="00BD76AF">
              <w:rPr>
                <w:szCs w:val="24"/>
              </w:rPr>
              <w:t>Si ce Bordereau n’est pas inclus dans le Marché, les dispositions de cet Article ne seront pas applicables.</w:t>
            </w:r>
          </w:p>
        </w:tc>
      </w:tr>
      <w:tr w:rsidR="00F332DA" w:rsidRPr="00BD76AF" w14:paraId="1CC97AA9" w14:textId="77777777" w:rsidTr="00F717E9">
        <w:tc>
          <w:tcPr>
            <w:tcW w:w="2352" w:type="dxa"/>
          </w:tcPr>
          <w:p w14:paraId="160E43DD" w14:textId="77777777" w:rsidR="00F332DA" w:rsidRPr="00BD76AF" w:rsidRDefault="00F332DA" w:rsidP="007C71D1">
            <w:pPr>
              <w:pStyle w:val="S7Header2"/>
              <w:rPr>
                <w:szCs w:val="24"/>
              </w:rPr>
            </w:pPr>
          </w:p>
        </w:tc>
        <w:tc>
          <w:tcPr>
            <w:tcW w:w="6936" w:type="dxa"/>
          </w:tcPr>
          <w:p w14:paraId="3C4E240A" w14:textId="77777777" w:rsidR="00F332DA" w:rsidRPr="00BD76AF" w:rsidRDefault="00F332DA" w:rsidP="0079334B">
            <w:pPr>
              <w:spacing w:afterLines="50" w:after="120"/>
              <w:ind w:left="601"/>
              <w:rPr>
                <w:szCs w:val="24"/>
              </w:rPr>
            </w:pPr>
            <w:r w:rsidRPr="00BD76AF">
              <w:rPr>
                <w:rFonts w:hint="eastAsia"/>
                <w:szCs w:val="24"/>
              </w:rPr>
              <w:t>«</w:t>
            </w:r>
            <w:r w:rsidRPr="00BD76AF">
              <w:rPr>
                <w:szCs w:val="24"/>
              </w:rPr>
              <w:t> Pièces de rechange recommandées » signifie les pièces de rechange énumérées dans le Bordereau intitulé « Pièces de rechange recommandées » des Bordereaux des prix inclus dans le Marché, qui sont fournies par l’Entrepreneur en vertu d’un accord entre les Parties conformément au b) de l’Article 7.3 (</w:t>
            </w:r>
            <w:r w:rsidRPr="00BD76AF">
              <w:rPr>
                <w:i/>
                <w:szCs w:val="24"/>
              </w:rPr>
              <w:t>Pièces de rechange</w:t>
            </w:r>
            <w:r w:rsidRPr="00BD76AF">
              <w:rPr>
                <w:szCs w:val="24"/>
              </w:rPr>
              <w:t>) des CG, avant l’achèvement des Installations, et sont nécessaires au bon fonctionnement continu des Installations après la Réception opérationnelle des Installations conformément à l’Article 25.3 (</w:t>
            </w:r>
            <w:r w:rsidRPr="00BD76AF">
              <w:rPr>
                <w:i/>
                <w:szCs w:val="24"/>
              </w:rPr>
              <w:t>Réception opérationnelle</w:t>
            </w:r>
            <w:r w:rsidRPr="00BD76AF">
              <w:rPr>
                <w:szCs w:val="24"/>
              </w:rPr>
              <w:t>) des CG.</w:t>
            </w:r>
          </w:p>
        </w:tc>
      </w:tr>
      <w:tr w:rsidR="00F332DA" w:rsidRPr="00BD76AF" w14:paraId="6ED50AB9" w14:textId="77777777" w:rsidTr="00F717E9">
        <w:tc>
          <w:tcPr>
            <w:tcW w:w="2352" w:type="dxa"/>
          </w:tcPr>
          <w:p w14:paraId="787375DD" w14:textId="77777777" w:rsidR="00F332DA" w:rsidRPr="00BD76AF" w:rsidRDefault="00F332DA" w:rsidP="007C71D1">
            <w:pPr>
              <w:pStyle w:val="S7Header2"/>
              <w:rPr>
                <w:szCs w:val="24"/>
              </w:rPr>
            </w:pPr>
          </w:p>
        </w:tc>
        <w:tc>
          <w:tcPr>
            <w:tcW w:w="6936" w:type="dxa"/>
          </w:tcPr>
          <w:p w14:paraId="007DA2A3" w14:textId="77777777" w:rsidR="00F332DA" w:rsidRPr="00BD76AF" w:rsidRDefault="00F332DA" w:rsidP="00CA7F18">
            <w:pPr>
              <w:spacing w:afterLines="50" w:after="120"/>
              <w:ind w:left="601"/>
              <w:rPr>
                <w:szCs w:val="24"/>
              </w:rPr>
            </w:pPr>
            <w:r w:rsidRPr="00BD76AF">
              <w:rPr>
                <w:szCs w:val="24"/>
              </w:rPr>
              <w:t xml:space="preserve">« Pré-mise en service » signifie les essais, la vérification et les autres exigences mentionnées dans les Exigences du Maître d’ouvrage que l’Entrepreneur doit effectuer en vue de </w:t>
            </w:r>
            <w:smartTag w:uri="urn:schemas-microsoft-com:office:smarttags" w:element="PersonName">
              <w:smartTagPr>
                <w:attr w:name="ProductID" w:val="la Mise"/>
              </w:smartTagPr>
              <w:r w:rsidRPr="00BD76AF">
                <w:rPr>
                  <w:szCs w:val="24"/>
                </w:rPr>
                <w:t>la Mise</w:t>
              </w:r>
            </w:smartTag>
            <w:r w:rsidRPr="00BD76AF">
              <w:rPr>
                <w:szCs w:val="24"/>
              </w:rPr>
              <w:t xml:space="preserve"> en service conformément à l’Article 24 (</w:t>
            </w:r>
            <w:r w:rsidRPr="00BD76AF">
              <w:rPr>
                <w:i/>
                <w:szCs w:val="24"/>
              </w:rPr>
              <w:t>Achèvement des Installations</w:t>
            </w:r>
            <w:r w:rsidRPr="00BD76AF">
              <w:rPr>
                <w:szCs w:val="24"/>
              </w:rPr>
              <w:t>) des CG.</w:t>
            </w:r>
          </w:p>
        </w:tc>
      </w:tr>
      <w:tr w:rsidR="00F332DA" w:rsidRPr="00BD76AF" w14:paraId="1399209C" w14:textId="77777777" w:rsidTr="00F717E9">
        <w:tc>
          <w:tcPr>
            <w:tcW w:w="2352" w:type="dxa"/>
          </w:tcPr>
          <w:p w14:paraId="7E094E4B" w14:textId="77777777" w:rsidR="00F332DA" w:rsidRPr="00BD76AF" w:rsidRDefault="00F332DA" w:rsidP="007C71D1">
            <w:pPr>
              <w:pStyle w:val="S7Header2"/>
              <w:rPr>
                <w:szCs w:val="24"/>
              </w:rPr>
            </w:pPr>
          </w:p>
        </w:tc>
        <w:tc>
          <w:tcPr>
            <w:tcW w:w="6936" w:type="dxa"/>
          </w:tcPr>
          <w:p w14:paraId="460D9EFD" w14:textId="77777777" w:rsidR="00F332DA" w:rsidRPr="00BD76AF" w:rsidRDefault="00F332DA" w:rsidP="0079334B">
            <w:pPr>
              <w:spacing w:afterLines="50" w:after="120"/>
              <w:ind w:left="601"/>
              <w:rPr>
                <w:szCs w:val="24"/>
              </w:rPr>
            </w:pPr>
            <w:r w:rsidRPr="00BD76AF">
              <w:rPr>
                <w:szCs w:val="24"/>
              </w:rPr>
              <w:t>« Réception opérationnelle » signifie la réception des Installations ou d’une de leurs Tranches par le Maître d’ouvrage, certifiant que l’Entrepreneur a satisfait aux Garanties opérationnelles des Installations (ou de la Tranche considérée) demandées en vertu du Marché, conformément à l’Article 28 (</w:t>
            </w:r>
            <w:r w:rsidRPr="00BD76AF">
              <w:rPr>
                <w:i/>
                <w:szCs w:val="24"/>
              </w:rPr>
              <w:t>Garanties opérationnelles</w:t>
            </w:r>
            <w:r w:rsidRPr="00BD76AF">
              <w:rPr>
                <w:szCs w:val="24"/>
              </w:rPr>
              <w:t>) des CG et vaut présomption de réception conformément à l’Article 25 (</w:t>
            </w:r>
            <w:r w:rsidRPr="00BD76AF">
              <w:rPr>
                <w:i/>
                <w:szCs w:val="24"/>
              </w:rPr>
              <w:t>Mise en service et Réception opérationnelle</w:t>
            </w:r>
            <w:r w:rsidRPr="00BD76AF">
              <w:rPr>
                <w:szCs w:val="24"/>
              </w:rPr>
              <w:t>) des CG.</w:t>
            </w:r>
          </w:p>
        </w:tc>
      </w:tr>
      <w:tr w:rsidR="00F332DA" w:rsidRPr="00BD76AF" w14:paraId="37AAD3B0" w14:textId="77777777" w:rsidTr="00F717E9">
        <w:tc>
          <w:tcPr>
            <w:tcW w:w="2352" w:type="dxa"/>
          </w:tcPr>
          <w:p w14:paraId="7484CC32" w14:textId="77777777" w:rsidR="00F332DA" w:rsidRPr="00BD76AF" w:rsidRDefault="00F332DA" w:rsidP="007C71D1">
            <w:pPr>
              <w:pStyle w:val="S7Header2"/>
              <w:rPr>
                <w:szCs w:val="24"/>
              </w:rPr>
            </w:pPr>
          </w:p>
        </w:tc>
        <w:tc>
          <w:tcPr>
            <w:tcW w:w="6936" w:type="dxa"/>
          </w:tcPr>
          <w:p w14:paraId="259A9DF7" w14:textId="77777777" w:rsidR="00F332DA" w:rsidRPr="00BD76AF" w:rsidRDefault="00F332DA" w:rsidP="00CA7F18">
            <w:pPr>
              <w:spacing w:afterLines="50" w:after="120"/>
              <w:ind w:left="601"/>
              <w:rPr>
                <w:szCs w:val="24"/>
              </w:rPr>
            </w:pPr>
            <w:r w:rsidRPr="00BD76AF">
              <w:rPr>
                <w:szCs w:val="24"/>
              </w:rPr>
              <w:t>« Représentant de l’Entrepreneur » désigne toute personne nommée par l’Entrepreneur et approuvée par le Maître d’ouvrage, conformément à l’Article 17.2 (</w:t>
            </w:r>
            <w:r w:rsidRPr="00BD76AF">
              <w:rPr>
                <w:i/>
                <w:szCs w:val="24"/>
              </w:rPr>
              <w:t>Représentant de l’Entrepreneur et Directeur des travaux</w:t>
            </w:r>
            <w:r w:rsidRPr="00BD76AF">
              <w:rPr>
                <w:szCs w:val="24"/>
              </w:rPr>
              <w:t>) des CG chargée d’exécuter les tâches qui lui sont déléguées par l’Entrepreneur.</w:t>
            </w:r>
          </w:p>
        </w:tc>
      </w:tr>
      <w:tr w:rsidR="00F332DA" w:rsidRPr="00BD76AF" w14:paraId="13DCD95C" w14:textId="77777777" w:rsidTr="00F717E9">
        <w:tc>
          <w:tcPr>
            <w:tcW w:w="2352" w:type="dxa"/>
          </w:tcPr>
          <w:p w14:paraId="2F87E14D" w14:textId="77777777" w:rsidR="00F332DA" w:rsidRPr="00BD76AF" w:rsidRDefault="00F332DA" w:rsidP="007C71D1">
            <w:pPr>
              <w:pStyle w:val="S7Header2"/>
              <w:rPr>
                <w:szCs w:val="24"/>
              </w:rPr>
            </w:pPr>
          </w:p>
        </w:tc>
        <w:tc>
          <w:tcPr>
            <w:tcW w:w="6936" w:type="dxa"/>
          </w:tcPr>
          <w:p w14:paraId="0ADB2310" w14:textId="77777777" w:rsidR="00F332DA" w:rsidRPr="00BD76AF" w:rsidRDefault="00F332DA" w:rsidP="00CA7F18">
            <w:pPr>
              <w:spacing w:afterLines="50" w:after="120"/>
              <w:ind w:left="601"/>
              <w:rPr>
                <w:szCs w:val="24"/>
              </w:rPr>
            </w:pPr>
            <w:r w:rsidRPr="00BD76AF">
              <w:rPr>
                <w:szCs w:val="24"/>
              </w:rPr>
              <w:t>« Services de montage » signifie toutes les prestations accessoires à la fourniture des Équipements pour les Installations que l’Entrepreneur devra fournir en vertu du Marché, telles que le transport, la fourniture des assurances maritimes ou d’autres assurances similaires, l’inspection, l’expédition, les travaux de préparation du Site (y compris la fourniture et l’utilisation des Équipements de l’Entrepreneur, et la fourniture de tout le matériel de construction nécessaire), le montage, les essais, la Pré-mise en service, la Mise en service, l’exploitation, la maintenance, la fourniture des manuels de fonctionnement et de maintenance, la formation, etc. en fonction du Marché.</w:t>
            </w:r>
          </w:p>
        </w:tc>
      </w:tr>
      <w:tr w:rsidR="00F332DA" w:rsidRPr="00BD76AF" w14:paraId="70470594" w14:textId="77777777" w:rsidTr="00F717E9">
        <w:tc>
          <w:tcPr>
            <w:tcW w:w="2352" w:type="dxa"/>
          </w:tcPr>
          <w:p w14:paraId="1A8B48E9" w14:textId="77777777" w:rsidR="00F332DA" w:rsidRPr="00BD76AF" w:rsidRDefault="00F332DA" w:rsidP="007C71D1">
            <w:pPr>
              <w:pStyle w:val="S7Header2"/>
              <w:rPr>
                <w:szCs w:val="24"/>
              </w:rPr>
            </w:pPr>
          </w:p>
        </w:tc>
        <w:tc>
          <w:tcPr>
            <w:tcW w:w="6936" w:type="dxa"/>
          </w:tcPr>
          <w:p w14:paraId="6C78C5BE" w14:textId="77777777" w:rsidR="00F332DA" w:rsidRPr="00BD76AF" w:rsidRDefault="00F332DA" w:rsidP="00CA7F18">
            <w:pPr>
              <w:spacing w:afterLines="50" w:after="120"/>
              <w:ind w:left="601"/>
              <w:rPr>
                <w:szCs w:val="24"/>
              </w:rPr>
            </w:pPr>
            <w:r w:rsidRPr="00BD76AF">
              <w:rPr>
                <w:szCs w:val="24"/>
              </w:rPr>
              <w:t>« Site » signifie le terrain et les autres lieux sur lesquels les Installations doivent être montées, et tels autres lieux et endroits que le Marché peut désigner comme faisant partie du Site.</w:t>
            </w:r>
          </w:p>
        </w:tc>
      </w:tr>
      <w:tr w:rsidR="00F332DA" w:rsidRPr="00BD76AF" w14:paraId="4F299BFF" w14:textId="77777777" w:rsidTr="00F717E9">
        <w:tc>
          <w:tcPr>
            <w:tcW w:w="2352" w:type="dxa"/>
          </w:tcPr>
          <w:p w14:paraId="6FADECD5" w14:textId="77777777" w:rsidR="00F332DA" w:rsidRPr="00BD76AF" w:rsidRDefault="00F332DA" w:rsidP="007C71D1">
            <w:pPr>
              <w:pStyle w:val="S7Header2"/>
              <w:rPr>
                <w:szCs w:val="24"/>
              </w:rPr>
            </w:pPr>
          </w:p>
        </w:tc>
        <w:tc>
          <w:tcPr>
            <w:tcW w:w="6936" w:type="dxa"/>
          </w:tcPr>
          <w:p w14:paraId="7E63A122" w14:textId="77777777" w:rsidR="00F332DA" w:rsidRPr="00BD76AF" w:rsidRDefault="00F332DA" w:rsidP="0079334B">
            <w:pPr>
              <w:spacing w:afterLines="50" w:after="120"/>
              <w:ind w:left="601"/>
              <w:rPr>
                <w:szCs w:val="24"/>
              </w:rPr>
            </w:pPr>
            <w:r w:rsidRPr="00BD76AF">
              <w:rPr>
                <w:szCs w:val="24"/>
              </w:rPr>
              <w:t>« Sommes provisionnelles » signifie une somme spécifiée dans le Marché comme telle prévue pour la fourniture d’ Équipements et de Services de montage ou de tout autre service conformément à l’Article 39.4 (</w:t>
            </w:r>
            <w:r w:rsidRPr="00BD76AF">
              <w:rPr>
                <w:i/>
                <w:szCs w:val="24"/>
              </w:rPr>
              <w:t>Sommes provisionnelles</w:t>
            </w:r>
            <w:r w:rsidRPr="00BD76AF">
              <w:rPr>
                <w:szCs w:val="24"/>
              </w:rPr>
              <w:t>) des CG.</w:t>
            </w:r>
          </w:p>
        </w:tc>
      </w:tr>
      <w:tr w:rsidR="00F332DA" w:rsidRPr="00BD76AF" w14:paraId="54C772B4" w14:textId="77777777" w:rsidTr="00F717E9">
        <w:tc>
          <w:tcPr>
            <w:tcW w:w="2352" w:type="dxa"/>
          </w:tcPr>
          <w:p w14:paraId="0A526F37" w14:textId="77777777" w:rsidR="00F332DA" w:rsidRPr="00BD76AF" w:rsidRDefault="00F332DA" w:rsidP="007C71D1">
            <w:pPr>
              <w:pStyle w:val="S7Header2"/>
              <w:rPr>
                <w:szCs w:val="24"/>
              </w:rPr>
            </w:pPr>
          </w:p>
        </w:tc>
        <w:tc>
          <w:tcPr>
            <w:tcW w:w="6936" w:type="dxa"/>
          </w:tcPr>
          <w:p w14:paraId="178141D6" w14:textId="77777777" w:rsidR="00F332DA" w:rsidRPr="00BD76AF" w:rsidRDefault="00F332DA" w:rsidP="0079334B">
            <w:pPr>
              <w:spacing w:afterLines="50" w:after="120"/>
              <w:ind w:left="601"/>
              <w:rPr>
                <w:szCs w:val="24"/>
              </w:rPr>
            </w:pPr>
            <w:r w:rsidRPr="00BD76AF">
              <w:rPr>
                <w:szCs w:val="24"/>
              </w:rPr>
              <w:t>« Sous-traitant », y compris les fabricants, désigne toute personne à laquelle une partie des Installations est directement ou indirectement sous-traitée par l’Entrepreneur, y compris l’élaboration de la conception ou la fourniture de tout Équipement, et inclut ses successeurs légaux ou ayants droit autorisés.</w:t>
            </w:r>
          </w:p>
        </w:tc>
      </w:tr>
      <w:tr w:rsidR="00F332DA" w:rsidRPr="00BD76AF" w14:paraId="2C8AD34E" w14:textId="77777777" w:rsidTr="00F717E9">
        <w:tc>
          <w:tcPr>
            <w:tcW w:w="2352" w:type="dxa"/>
          </w:tcPr>
          <w:p w14:paraId="02883391" w14:textId="77777777" w:rsidR="00F332DA" w:rsidRPr="00BD76AF" w:rsidRDefault="00F332DA" w:rsidP="007C71D1">
            <w:pPr>
              <w:pStyle w:val="S7Header2"/>
              <w:rPr>
                <w:szCs w:val="24"/>
              </w:rPr>
            </w:pPr>
          </w:p>
        </w:tc>
        <w:tc>
          <w:tcPr>
            <w:tcW w:w="6936" w:type="dxa"/>
          </w:tcPr>
          <w:p w14:paraId="3E2F02CA" w14:textId="77777777" w:rsidR="00F332DA" w:rsidRPr="00BD76AF" w:rsidRDefault="00F332DA" w:rsidP="00A934D2">
            <w:pPr>
              <w:spacing w:after="200"/>
              <w:ind w:left="601"/>
              <w:rPr>
                <w:szCs w:val="24"/>
              </w:rPr>
            </w:pPr>
            <w:r w:rsidRPr="00BD76AF">
              <w:rPr>
                <w:rFonts w:hint="eastAsia"/>
                <w:szCs w:val="24"/>
              </w:rPr>
              <w:t>«</w:t>
            </w:r>
            <w:r w:rsidRPr="00BD76AF">
              <w:rPr>
                <w:szCs w:val="24"/>
              </w:rPr>
              <w:t> Tranche » désigne une partie des Installatio</w:t>
            </w:r>
            <w:r w:rsidRPr="00BD76AF">
              <w:rPr>
                <w:rFonts w:hint="eastAsia"/>
                <w:szCs w:val="24"/>
                <w:lang w:eastAsia="ja-JP"/>
              </w:rPr>
              <w:t>n</w:t>
            </w:r>
            <w:r w:rsidRPr="00BD76AF">
              <w:rPr>
                <w:szCs w:val="24"/>
              </w:rPr>
              <w:t xml:space="preserve">s </w:t>
            </w:r>
            <w:r w:rsidRPr="00BD76AF">
              <w:rPr>
                <w:b/>
                <w:szCs w:val="24"/>
              </w:rPr>
              <w:t>définie dans les Données du Marché</w:t>
            </w:r>
            <w:r w:rsidRPr="00BD76AF">
              <w:rPr>
                <w:szCs w:val="24"/>
              </w:rPr>
              <w:t xml:space="preserve"> comme étant une Tranche (le cas échéant).</w:t>
            </w:r>
          </w:p>
        </w:tc>
      </w:tr>
      <w:tr w:rsidR="00F332DA" w:rsidRPr="00BD76AF" w14:paraId="1E773E21" w14:textId="77777777" w:rsidTr="00F717E9">
        <w:tc>
          <w:tcPr>
            <w:tcW w:w="2352" w:type="dxa"/>
          </w:tcPr>
          <w:p w14:paraId="64D93299" w14:textId="77777777" w:rsidR="00F332DA" w:rsidRPr="00BD76AF" w:rsidRDefault="00F332DA" w:rsidP="007C71D1">
            <w:pPr>
              <w:pStyle w:val="S7Header2"/>
              <w:rPr>
                <w:szCs w:val="24"/>
              </w:rPr>
            </w:pPr>
            <w:bookmarkStart w:id="758" w:name="_Toc102050778"/>
            <w:r w:rsidRPr="00BD76AF">
              <w:rPr>
                <w:szCs w:val="24"/>
              </w:rPr>
              <w:t>2.</w:t>
            </w:r>
            <w:r w:rsidRPr="00BD76AF">
              <w:rPr>
                <w:szCs w:val="24"/>
              </w:rPr>
              <w:tab/>
              <w:t>Documents contractuels</w:t>
            </w:r>
            <w:bookmarkEnd w:id="758"/>
          </w:p>
        </w:tc>
        <w:tc>
          <w:tcPr>
            <w:tcW w:w="6936" w:type="dxa"/>
          </w:tcPr>
          <w:p w14:paraId="7B76FA8F" w14:textId="77777777" w:rsidR="00F332DA" w:rsidRPr="00BD76AF" w:rsidRDefault="00F332DA" w:rsidP="00A934D2">
            <w:pPr>
              <w:spacing w:after="200"/>
              <w:ind w:left="601" w:hanging="601"/>
              <w:rPr>
                <w:szCs w:val="24"/>
              </w:rPr>
            </w:pPr>
            <w:r w:rsidRPr="00BD76AF">
              <w:rPr>
                <w:szCs w:val="24"/>
              </w:rPr>
              <w:t>2.1</w:t>
            </w:r>
            <w:r w:rsidRPr="00BD76AF">
              <w:rPr>
                <w:szCs w:val="24"/>
              </w:rPr>
              <w:tab/>
              <w:t>Sous réserve de l’Article 1.2 (</w:t>
            </w:r>
            <w:r w:rsidRPr="00BD76AF">
              <w:rPr>
                <w:i/>
                <w:szCs w:val="24"/>
              </w:rPr>
              <w:t>Ordre de priorité</w:t>
            </w:r>
            <w:r w:rsidRPr="00BD76AF">
              <w:rPr>
                <w:szCs w:val="24"/>
              </w:rPr>
              <w:t>) de l’Acte d’engagement, tous les documents constituant le Marché (et toutes les parties de celui-ci) se veulent corrélatifs, complémentaires et s’expliquent mutuellement l’un l’autre. Le Marché doit être lu comme un tout.</w:t>
            </w:r>
          </w:p>
        </w:tc>
      </w:tr>
      <w:tr w:rsidR="00F332DA" w:rsidRPr="00BD76AF" w14:paraId="29EDC87D" w14:textId="77777777" w:rsidTr="00F717E9">
        <w:tc>
          <w:tcPr>
            <w:tcW w:w="2352" w:type="dxa"/>
            <w:shd w:val="clear" w:color="auto" w:fill="auto"/>
          </w:tcPr>
          <w:p w14:paraId="5F974D54" w14:textId="77777777" w:rsidR="00F332DA" w:rsidRPr="00BD76AF" w:rsidRDefault="00F332DA" w:rsidP="007C71D1">
            <w:pPr>
              <w:pStyle w:val="S7Header2"/>
              <w:rPr>
                <w:szCs w:val="24"/>
              </w:rPr>
            </w:pPr>
            <w:bookmarkStart w:id="759" w:name="_Toc102050779"/>
            <w:r w:rsidRPr="00BD76AF">
              <w:rPr>
                <w:szCs w:val="24"/>
              </w:rPr>
              <w:t>3.</w:t>
            </w:r>
            <w:r w:rsidRPr="00BD76AF">
              <w:rPr>
                <w:szCs w:val="24"/>
              </w:rPr>
              <w:tab/>
              <w:t>Interprétation</w:t>
            </w:r>
            <w:bookmarkEnd w:id="759"/>
          </w:p>
        </w:tc>
        <w:tc>
          <w:tcPr>
            <w:tcW w:w="6936" w:type="dxa"/>
          </w:tcPr>
          <w:p w14:paraId="4A7E8B72" w14:textId="77777777" w:rsidR="00F332DA" w:rsidRPr="00BD76AF" w:rsidRDefault="00F332DA" w:rsidP="009C10D0">
            <w:pPr>
              <w:spacing w:afterLines="50" w:after="120"/>
              <w:ind w:left="601" w:hanging="601"/>
              <w:rPr>
                <w:szCs w:val="24"/>
                <w:lang w:eastAsia="ja-JP"/>
              </w:rPr>
            </w:pPr>
            <w:r w:rsidRPr="00BD76AF">
              <w:rPr>
                <w:szCs w:val="24"/>
              </w:rPr>
              <w:t>3.1</w:t>
            </w:r>
            <w:r w:rsidRPr="00BD76AF">
              <w:rPr>
                <w:szCs w:val="24"/>
              </w:rPr>
              <w:tab/>
              <w:t>Dans le Marché, à moins que le contexte n’en décide autrement :</w:t>
            </w:r>
          </w:p>
          <w:p w14:paraId="73B87EE2" w14:textId="77777777" w:rsidR="00F332DA" w:rsidRPr="00BD76AF" w:rsidDel="00B74ACA" w:rsidRDefault="00F332DA" w:rsidP="00C21879">
            <w:pPr>
              <w:pStyle w:val="SectionVII1"/>
              <w:rPr>
                <w:lang w:val="fr-FR"/>
              </w:rPr>
            </w:pPr>
            <w:r w:rsidRPr="00BD76AF">
              <w:rPr>
                <w:rFonts w:eastAsia="ＭＳ 明朝"/>
                <w:lang w:val="fr-FR" w:eastAsia="ja-JP"/>
              </w:rPr>
              <w:t>a)</w:t>
            </w:r>
            <w:r w:rsidRPr="00BD76AF">
              <w:rPr>
                <w:rFonts w:eastAsia="ＭＳ 明朝"/>
                <w:lang w:val="fr-FR" w:eastAsia="ja-JP"/>
              </w:rPr>
              <w:tab/>
            </w:r>
            <w:r w:rsidRPr="00BD76AF">
              <w:rPr>
                <w:lang w:val="fr-FR"/>
              </w:rPr>
              <w:t>les termes au masculin s’entendent au féminin et vice versa ;</w:t>
            </w:r>
          </w:p>
          <w:p w14:paraId="07E8A894" w14:textId="77777777" w:rsidR="00F332DA" w:rsidRPr="00BD76AF" w:rsidDel="00B74ACA" w:rsidRDefault="00F332DA" w:rsidP="00C21879">
            <w:pPr>
              <w:pStyle w:val="SectionVII1"/>
              <w:rPr>
                <w:lang w:val="fr-FR"/>
              </w:rPr>
            </w:pPr>
            <w:r w:rsidRPr="00BD76AF">
              <w:rPr>
                <w:rFonts w:eastAsia="ＭＳ 明朝"/>
                <w:lang w:val="fr-FR" w:eastAsia="ja-JP"/>
              </w:rPr>
              <w:t>b)</w:t>
            </w:r>
            <w:r w:rsidRPr="00BD76AF">
              <w:rPr>
                <w:rFonts w:eastAsia="ＭＳ 明朝"/>
                <w:lang w:val="fr-FR" w:eastAsia="ja-JP"/>
              </w:rPr>
              <w:tab/>
            </w:r>
            <w:r w:rsidRPr="00BD76AF">
              <w:rPr>
                <w:lang w:val="fr-FR"/>
              </w:rPr>
              <w:t>les termes au singulier s’entendent au pluriel et vice versa ;</w:t>
            </w:r>
          </w:p>
          <w:p w14:paraId="0397EEA4" w14:textId="77777777" w:rsidR="00F332DA" w:rsidRPr="00BD76AF" w:rsidRDefault="00F332DA" w:rsidP="00C21879">
            <w:pPr>
              <w:pStyle w:val="SectionVII1"/>
              <w:rPr>
                <w:rFonts w:eastAsia="ＭＳ 明朝"/>
                <w:lang w:val="fr-FR" w:eastAsia="ja-JP"/>
              </w:rPr>
            </w:pPr>
            <w:r w:rsidRPr="00BD76AF">
              <w:rPr>
                <w:rFonts w:eastAsia="ＭＳ 明朝"/>
                <w:lang w:val="fr-FR" w:eastAsia="ja-JP"/>
              </w:rPr>
              <w:t>c)</w:t>
            </w:r>
            <w:r w:rsidRPr="00BD76AF">
              <w:rPr>
                <w:rFonts w:eastAsia="ＭＳ 明朝"/>
                <w:lang w:val="fr-FR" w:eastAsia="ja-JP"/>
              </w:rPr>
              <w:tab/>
            </w:r>
            <w:r w:rsidRPr="00BD76AF">
              <w:rPr>
                <w:lang w:val="fr-FR"/>
              </w:rPr>
              <w:t>les dispositions comprenant les termes « s’accorde », « accordé » ou « accord » nécessitent que l’accord soit consigné par écrit ;</w:t>
            </w:r>
          </w:p>
          <w:p w14:paraId="76AAB7E1" w14:textId="77777777" w:rsidR="00F332DA" w:rsidRPr="00BD76AF" w:rsidRDefault="00F332DA" w:rsidP="00C21879">
            <w:pPr>
              <w:pStyle w:val="SectionVII1"/>
              <w:rPr>
                <w:lang w:val="fr-FR"/>
              </w:rPr>
            </w:pPr>
            <w:r w:rsidRPr="00BD76AF">
              <w:rPr>
                <w:rFonts w:eastAsia="ＭＳ 明朝"/>
                <w:lang w:val="fr-FR" w:eastAsia="ja-JP"/>
              </w:rPr>
              <w:t>d)</w:t>
            </w:r>
            <w:r w:rsidRPr="00BD76AF">
              <w:rPr>
                <w:rFonts w:eastAsia="ＭＳ 明朝"/>
                <w:lang w:val="fr-FR" w:eastAsia="ja-JP"/>
              </w:rPr>
              <w:tab/>
            </w:r>
            <w:r w:rsidRPr="00BD76AF">
              <w:rPr>
                <w:lang w:val="fr-FR"/>
              </w:rPr>
              <w:t>« écrit » o</w:t>
            </w:r>
            <w:r w:rsidRPr="00BD76AF">
              <w:rPr>
                <w:lang w:val="fr-FR" w:eastAsia="ja-JP"/>
              </w:rPr>
              <w:t>u</w:t>
            </w:r>
            <w:r w:rsidRPr="00BD76AF">
              <w:rPr>
                <w:lang w:val="fr-FR"/>
              </w:rPr>
              <w:t xml:space="preserve"> « par écrit » signifie manuscrit, dactylographié, imprimé ou par voie électronique, et constituant un document permanent.</w:t>
            </w:r>
          </w:p>
          <w:p w14:paraId="0E5D3CAF" w14:textId="77777777" w:rsidR="00F332DA" w:rsidRPr="00BD76AF" w:rsidRDefault="00F332DA" w:rsidP="00A934D2">
            <w:pPr>
              <w:spacing w:after="200"/>
              <w:ind w:left="601"/>
            </w:pPr>
            <w:r w:rsidRPr="00BD76AF">
              <w:t>Les en-têtes et notes en marge ne doivent pas être pris en considération dans l’interprétation des CG.</w:t>
            </w:r>
          </w:p>
        </w:tc>
      </w:tr>
      <w:tr w:rsidR="00F332DA" w:rsidRPr="00BD76AF" w14:paraId="1875A8C5" w14:textId="77777777" w:rsidTr="00F717E9">
        <w:tc>
          <w:tcPr>
            <w:tcW w:w="2352" w:type="dxa"/>
          </w:tcPr>
          <w:p w14:paraId="22311EC1" w14:textId="77777777" w:rsidR="00F332DA" w:rsidRPr="00BD76AF" w:rsidRDefault="00F332DA" w:rsidP="007C71D1">
            <w:pPr>
              <w:pStyle w:val="S7Header2"/>
              <w:rPr>
                <w:szCs w:val="24"/>
              </w:rPr>
            </w:pPr>
          </w:p>
        </w:tc>
        <w:tc>
          <w:tcPr>
            <w:tcW w:w="6936" w:type="dxa"/>
          </w:tcPr>
          <w:p w14:paraId="5175A68F" w14:textId="77777777" w:rsidR="00F332DA" w:rsidRPr="00BD76AF" w:rsidRDefault="00F332DA" w:rsidP="00884A36">
            <w:pPr>
              <w:spacing w:afterLines="50" w:after="120"/>
              <w:ind w:left="601" w:hanging="601"/>
              <w:rPr>
                <w:i/>
                <w:szCs w:val="24"/>
              </w:rPr>
            </w:pPr>
            <w:r w:rsidRPr="00BD76AF">
              <w:rPr>
                <w:szCs w:val="24"/>
              </w:rPr>
              <w:t>3.2</w:t>
            </w:r>
            <w:r w:rsidRPr="00BD76AF">
              <w:rPr>
                <w:szCs w:val="24"/>
              </w:rPr>
              <w:tab/>
            </w:r>
            <w:r w:rsidRPr="00BD76AF">
              <w:rPr>
                <w:szCs w:val="24"/>
                <w:u w:val="single"/>
              </w:rPr>
              <w:t>Incoterms</w:t>
            </w:r>
          </w:p>
          <w:p w14:paraId="29838AA0" w14:textId="77777777" w:rsidR="00F332DA" w:rsidRPr="00BD76AF" w:rsidRDefault="00F332DA" w:rsidP="005745EC">
            <w:pPr>
              <w:spacing w:afterLines="50" w:after="120"/>
              <w:ind w:left="601"/>
              <w:rPr>
                <w:szCs w:val="24"/>
              </w:rPr>
            </w:pPr>
            <w:r w:rsidRPr="00BD76AF">
              <w:rPr>
                <w:szCs w:val="24"/>
              </w:rPr>
              <w:t xml:space="preserve">Sauf en cas de contradiction avec une disposition du Marché, la </w:t>
            </w:r>
            <w:r w:rsidRPr="00BD76AF">
              <w:t>signification</w:t>
            </w:r>
            <w:r w:rsidRPr="00BD76AF">
              <w:rPr>
                <w:szCs w:val="24"/>
              </w:rPr>
              <w:t xml:space="preserve"> des termes commerciaux et des droits et obligations des parties sera déterminée par les </w:t>
            </w:r>
            <w:r w:rsidRPr="00BD76AF">
              <w:rPr>
                <w:i/>
                <w:szCs w:val="24"/>
              </w:rPr>
              <w:t>Incoterms</w:t>
            </w:r>
            <w:r w:rsidRPr="00BD76AF">
              <w:rPr>
                <w:szCs w:val="24"/>
              </w:rPr>
              <w:t>.</w:t>
            </w:r>
          </w:p>
          <w:p w14:paraId="3669EB53" w14:textId="77777777" w:rsidR="00F332DA" w:rsidRPr="00BD76AF" w:rsidRDefault="00F332DA" w:rsidP="00A934D2">
            <w:pPr>
              <w:spacing w:after="200"/>
              <w:ind w:left="601"/>
              <w:rPr>
                <w:szCs w:val="24"/>
              </w:rPr>
            </w:pPr>
            <w:r w:rsidRPr="00BD76AF">
              <w:rPr>
                <w:szCs w:val="24"/>
              </w:rPr>
              <w:t>Les Incoterms signifient les règles internationales d’interprétation des termes commerciaux publiées par la Chambre de commerce internationale (dernière édition à la Date de référence), 38 Cours Albert 1</w:t>
            </w:r>
            <w:r w:rsidRPr="00BD76AF">
              <w:rPr>
                <w:szCs w:val="24"/>
                <w:vertAlign w:val="superscript"/>
              </w:rPr>
              <w:t>er</w:t>
            </w:r>
            <w:r w:rsidRPr="00BD76AF">
              <w:rPr>
                <w:szCs w:val="24"/>
              </w:rPr>
              <w:t>, 75008 Paris, France.</w:t>
            </w:r>
          </w:p>
        </w:tc>
      </w:tr>
      <w:tr w:rsidR="00F332DA" w:rsidRPr="00BD76AF" w14:paraId="4A44B1B3" w14:textId="77777777" w:rsidTr="00F717E9">
        <w:tc>
          <w:tcPr>
            <w:tcW w:w="2352" w:type="dxa"/>
          </w:tcPr>
          <w:p w14:paraId="74D84A55" w14:textId="77777777" w:rsidR="00F332DA" w:rsidRPr="00BD76AF" w:rsidRDefault="00F332DA" w:rsidP="007C71D1">
            <w:pPr>
              <w:pStyle w:val="S7Header2"/>
              <w:rPr>
                <w:szCs w:val="24"/>
              </w:rPr>
            </w:pPr>
          </w:p>
        </w:tc>
        <w:tc>
          <w:tcPr>
            <w:tcW w:w="6936" w:type="dxa"/>
          </w:tcPr>
          <w:p w14:paraId="28A884A2" w14:textId="77777777" w:rsidR="00F332DA" w:rsidRPr="00BD76AF" w:rsidRDefault="00F332DA" w:rsidP="00884A36">
            <w:pPr>
              <w:spacing w:afterLines="50" w:after="120"/>
              <w:ind w:left="601" w:hanging="601"/>
              <w:rPr>
                <w:szCs w:val="24"/>
              </w:rPr>
            </w:pPr>
            <w:r w:rsidRPr="00BD76AF">
              <w:rPr>
                <w:szCs w:val="24"/>
              </w:rPr>
              <w:t>3.3</w:t>
            </w:r>
            <w:r w:rsidRPr="00BD76AF">
              <w:rPr>
                <w:szCs w:val="24"/>
              </w:rPr>
              <w:tab/>
            </w:r>
            <w:r w:rsidRPr="00BD76AF">
              <w:rPr>
                <w:szCs w:val="24"/>
                <w:u w:val="single"/>
              </w:rPr>
              <w:t>Intégralité du Marché</w:t>
            </w:r>
          </w:p>
          <w:p w14:paraId="63F5081A" w14:textId="77777777" w:rsidR="00F332DA" w:rsidRPr="00BD76AF" w:rsidRDefault="00F332DA" w:rsidP="00A934D2">
            <w:pPr>
              <w:spacing w:after="200"/>
              <w:ind w:left="601"/>
              <w:rPr>
                <w:szCs w:val="24"/>
              </w:rPr>
            </w:pPr>
            <w:r w:rsidRPr="00BD76AF">
              <w:rPr>
                <w:szCs w:val="24"/>
              </w:rPr>
              <w:t xml:space="preserve">Sous </w:t>
            </w:r>
            <w:r w:rsidRPr="00BD76AF">
              <w:t>réserve</w:t>
            </w:r>
            <w:r w:rsidRPr="00BD76AF">
              <w:rPr>
                <w:szCs w:val="24"/>
              </w:rPr>
              <w:t xml:space="preserve"> des dispositions de l’Article 16.4 des CG, le Marché constitue l’intégralité des dispositions contractuelles entre le Maître d’ouvrage et l’Entrepreneur en ce qui concerne l’objet du Marché, et il remplace toutes les communications, négociations et tous les accords (écrits comme oraux) effectués à cet égard entre les Parties, préalablement à la date du Marché.</w:t>
            </w:r>
          </w:p>
        </w:tc>
      </w:tr>
      <w:tr w:rsidR="00F332DA" w:rsidRPr="00BD76AF" w14:paraId="60A430A9" w14:textId="77777777" w:rsidTr="006B5093">
        <w:trPr>
          <w:cantSplit/>
        </w:trPr>
        <w:tc>
          <w:tcPr>
            <w:tcW w:w="2352" w:type="dxa"/>
          </w:tcPr>
          <w:p w14:paraId="4861FB37" w14:textId="77777777" w:rsidR="00F332DA" w:rsidRPr="00BD76AF" w:rsidRDefault="00F332DA" w:rsidP="007C71D1">
            <w:pPr>
              <w:pStyle w:val="S7Header2"/>
              <w:rPr>
                <w:szCs w:val="24"/>
              </w:rPr>
            </w:pPr>
          </w:p>
        </w:tc>
        <w:tc>
          <w:tcPr>
            <w:tcW w:w="6936" w:type="dxa"/>
          </w:tcPr>
          <w:p w14:paraId="71EF48FD" w14:textId="77777777" w:rsidR="00F332DA" w:rsidRPr="00BD76AF" w:rsidRDefault="00F332DA" w:rsidP="006B5093">
            <w:pPr>
              <w:keepNext/>
              <w:spacing w:afterLines="50" w:after="120"/>
              <w:ind w:left="601" w:hanging="601"/>
              <w:rPr>
                <w:szCs w:val="24"/>
              </w:rPr>
            </w:pPr>
            <w:r w:rsidRPr="00BD76AF">
              <w:rPr>
                <w:szCs w:val="24"/>
              </w:rPr>
              <w:t>3.4</w:t>
            </w:r>
            <w:r w:rsidRPr="00BD76AF">
              <w:rPr>
                <w:szCs w:val="24"/>
              </w:rPr>
              <w:tab/>
            </w:r>
            <w:r w:rsidRPr="00BD76AF">
              <w:rPr>
                <w:szCs w:val="24"/>
                <w:u w:val="single"/>
              </w:rPr>
              <w:t>Modification</w:t>
            </w:r>
          </w:p>
          <w:p w14:paraId="03D01437" w14:textId="77777777" w:rsidR="00F332DA" w:rsidRPr="00BD76AF" w:rsidRDefault="00F332DA" w:rsidP="00A934D2">
            <w:pPr>
              <w:spacing w:after="200"/>
              <w:ind w:left="601"/>
              <w:rPr>
                <w:szCs w:val="24"/>
              </w:rPr>
            </w:pPr>
            <w:r w:rsidRPr="00BD76AF">
              <w:t>Aucune</w:t>
            </w:r>
            <w:r w:rsidRPr="00BD76AF">
              <w:rPr>
                <w:szCs w:val="24"/>
              </w:rPr>
              <w:t xml:space="preserve"> modification ou autre avenant au Marché ne sera valide que si fait par écrit, daté, référant expressément au Marché et signé par un représentant dûment habilité de chacune des Parties.</w:t>
            </w:r>
          </w:p>
        </w:tc>
      </w:tr>
      <w:tr w:rsidR="00F332DA" w:rsidRPr="00BD76AF" w14:paraId="5D98A44F" w14:textId="77777777" w:rsidTr="00F717E9">
        <w:tc>
          <w:tcPr>
            <w:tcW w:w="2352" w:type="dxa"/>
          </w:tcPr>
          <w:p w14:paraId="15EBA375" w14:textId="77777777" w:rsidR="00F332DA" w:rsidRPr="00BD76AF" w:rsidRDefault="00F332DA" w:rsidP="007C71D1">
            <w:pPr>
              <w:pStyle w:val="S7Header2"/>
              <w:rPr>
                <w:szCs w:val="24"/>
              </w:rPr>
            </w:pPr>
          </w:p>
        </w:tc>
        <w:tc>
          <w:tcPr>
            <w:tcW w:w="6936" w:type="dxa"/>
            <w:shd w:val="clear" w:color="auto" w:fill="auto"/>
          </w:tcPr>
          <w:p w14:paraId="0BEA6DBD" w14:textId="77777777" w:rsidR="00F332DA" w:rsidRPr="00BD76AF" w:rsidRDefault="00F332DA" w:rsidP="00884A36">
            <w:pPr>
              <w:spacing w:afterLines="50" w:after="120"/>
              <w:ind w:left="601" w:hanging="601"/>
              <w:rPr>
                <w:szCs w:val="24"/>
              </w:rPr>
            </w:pPr>
            <w:r w:rsidRPr="00BD76AF">
              <w:rPr>
                <w:szCs w:val="24"/>
              </w:rPr>
              <w:t>3.5</w:t>
            </w:r>
            <w:r w:rsidRPr="00BD76AF">
              <w:rPr>
                <w:szCs w:val="24"/>
              </w:rPr>
              <w:tab/>
            </w:r>
            <w:r w:rsidRPr="00BD76AF">
              <w:rPr>
                <w:szCs w:val="24"/>
                <w:u w:val="single"/>
              </w:rPr>
              <w:t>Entrepreneur indépendant</w:t>
            </w:r>
          </w:p>
          <w:p w14:paraId="3B80A1E9" w14:textId="77777777" w:rsidR="00F332DA" w:rsidRPr="00BD76AF" w:rsidRDefault="00F332DA" w:rsidP="00A934D2">
            <w:pPr>
              <w:spacing w:after="200"/>
              <w:ind w:left="601"/>
              <w:rPr>
                <w:szCs w:val="24"/>
              </w:rPr>
            </w:pPr>
            <w:r w:rsidRPr="00BD76AF">
              <w:rPr>
                <w:szCs w:val="24"/>
              </w:rPr>
              <w:t>L’Entrepreneur doit être un entrepreneur indépendant exécutant le Marché. Le Marché ne crée aucune relation d’agence, d’association, de groupement ou tout autre relation conjointe entre les Parties au présent Marché.</w:t>
            </w:r>
          </w:p>
          <w:p w14:paraId="50D02E9A" w14:textId="77777777" w:rsidR="00F332DA" w:rsidRPr="00BD76AF" w:rsidRDefault="00F332DA" w:rsidP="00A934D2">
            <w:pPr>
              <w:spacing w:after="200"/>
              <w:ind w:left="601"/>
              <w:rPr>
                <w:szCs w:val="24"/>
              </w:rPr>
            </w:pPr>
            <w:r w:rsidRPr="00BD76AF">
              <w:rPr>
                <w:szCs w:val="24"/>
              </w:rPr>
              <w:t>Sous réserve des dispositions du Marché, l’Entrepreneur sera seul responsable de la manière dont le Marché est exécuté. Les employés, représentants, ou Sous-traitants engagés par l’</w:t>
            </w:r>
            <w:r w:rsidRPr="00BD76AF">
              <w:t>Entrepreneur</w:t>
            </w:r>
            <w:r w:rsidRPr="00BD76AF">
              <w:rPr>
                <w:szCs w:val="24"/>
              </w:rPr>
              <w:t xml:space="preserve"> dans le cadre de l’exécution du Marché seront sous le contrôle total de l’Entrepreneur et ne seront pas considérés comme des employés du Maître d’ouvrage. Rien de ce qui figure au Marché ou dans quelque contrat de sous-traitance que ce soit, passé par l’Entrepreneur, ne doit être interprété comme créant une relation contractuelle entre ces employés, représentants ou Sous-traitants et le Maître d’ouvrage.</w:t>
            </w:r>
          </w:p>
        </w:tc>
      </w:tr>
      <w:tr w:rsidR="00F332DA" w:rsidRPr="00BD76AF" w14:paraId="217B324A" w14:textId="77777777" w:rsidTr="00F717E9">
        <w:tc>
          <w:tcPr>
            <w:tcW w:w="2352" w:type="dxa"/>
          </w:tcPr>
          <w:p w14:paraId="43E446C9" w14:textId="77777777" w:rsidR="00F332DA" w:rsidRPr="00BD76AF" w:rsidRDefault="00F332DA" w:rsidP="007C71D1">
            <w:pPr>
              <w:pStyle w:val="S7Header2"/>
              <w:rPr>
                <w:szCs w:val="24"/>
              </w:rPr>
            </w:pPr>
          </w:p>
        </w:tc>
        <w:tc>
          <w:tcPr>
            <w:tcW w:w="6936" w:type="dxa"/>
          </w:tcPr>
          <w:p w14:paraId="277C6FED" w14:textId="77777777" w:rsidR="00F332DA" w:rsidRPr="00BD76AF" w:rsidRDefault="00F332DA" w:rsidP="00B02B6F">
            <w:pPr>
              <w:spacing w:afterLines="50" w:after="120"/>
              <w:ind w:left="601" w:hanging="601"/>
              <w:rPr>
                <w:szCs w:val="24"/>
              </w:rPr>
            </w:pPr>
            <w:r w:rsidRPr="00BD76AF">
              <w:rPr>
                <w:szCs w:val="24"/>
              </w:rPr>
              <w:t>3.6</w:t>
            </w:r>
            <w:r w:rsidRPr="00BD76AF">
              <w:rPr>
                <w:szCs w:val="24"/>
              </w:rPr>
              <w:tab/>
            </w:r>
            <w:r w:rsidRPr="00BD76AF">
              <w:rPr>
                <w:szCs w:val="24"/>
                <w:u w:val="single"/>
              </w:rPr>
              <w:t>Non-renonciation</w:t>
            </w:r>
          </w:p>
          <w:p w14:paraId="6BDEA7F1" w14:textId="77777777" w:rsidR="00F332DA" w:rsidRPr="00BD76AF" w:rsidRDefault="00F332DA" w:rsidP="00A934D2">
            <w:pPr>
              <w:spacing w:after="200"/>
              <w:ind w:left="1202" w:hanging="601"/>
              <w:rPr>
                <w:szCs w:val="24"/>
              </w:rPr>
            </w:pPr>
            <w:r w:rsidRPr="00BD76AF">
              <w:rPr>
                <w:szCs w:val="24"/>
              </w:rPr>
              <w:t>3.6.1</w:t>
            </w:r>
            <w:r w:rsidRPr="00BD76AF">
              <w:rPr>
                <w:szCs w:val="24"/>
              </w:rPr>
              <w:tab/>
              <w:t>Sous réserve des dispositions du paragraphe 3.6.2 ci-après, aucun assouplissement, tolérance, retard ou indulgence de l’une des Parties dans l’application des termes et conditions du Marché, ou l’octroi de délai par l’une des Parties à l’autre Partie, ne saurait préjuger de, affecter ou restreindre les droits de cette Partie en vertu du Marché ; de même, l’exonération de quelque manquement au Marché que ce soit par l’une des Parties ne doit être interprétée comme l’exonération de tout manquement ultérieur ou continu au Marché.</w:t>
            </w:r>
          </w:p>
          <w:p w14:paraId="57DDC861" w14:textId="77777777" w:rsidR="00F332DA" w:rsidRPr="00BD76AF" w:rsidRDefault="00F332DA" w:rsidP="00A934D2">
            <w:pPr>
              <w:spacing w:after="200"/>
              <w:ind w:left="1202" w:hanging="601"/>
              <w:rPr>
                <w:szCs w:val="24"/>
              </w:rPr>
            </w:pPr>
            <w:r w:rsidRPr="00BD76AF">
              <w:rPr>
                <w:szCs w:val="24"/>
              </w:rPr>
              <w:t>3.6.2</w:t>
            </w:r>
            <w:r w:rsidRPr="00BD76AF">
              <w:rPr>
                <w:szCs w:val="24"/>
              </w:rPr>
              <w:tab/>
              <w:t>Toute renonciation aux droits, pouvoirs ou recours d’une Partie, en vertu du Marché, doit être effectuée par écrit, être datée et signée par un représentant habilité de la Partie accordant cette renonciation, et doit préciser le droit faisant l’objet de cette renonciation et l’étendue de cette renonciation.</w:t>
            </w:r>
          </w:p>
          <w:p w14:paraId="725D0694" w14:textId="77777777" w:rsidR="00F332DA" w:rsidRPr="00BD76AF" w:rsidRDefault="00F332DA" w:rsidP="00884A36">
            <w:pPr>
              <w:spacing w:afterLines="50" w:after="120"/>
              <w:ind w:left="601" w:hanging="601"/>
              <w:rPr>
                <w:szCs w:val="24"/>
              </w:rPr>
            </w:pPr>
            <w:r w:rsidRPr="00BD76AF">
              <w:rPr>
                <w:szCs w:val="24"/>
              </w:rPr>
              <w:t>3.7</w:t>
            </w:r>
            <w:r w:rsidRPr="00BD76AF">
              <w:rPr>
                <w:szCs w:val="24"/>
              </w:rPr>
              <w:tab/>
            </w:r>
            <w:r w:rsidRPr="00BD76AF">
              <w:rPr>
                <w:szCs w:val="24"/>
                <w:u w:val="single"/>
              </w:rPr>
              <w:t>Divisibilité</w:t>
            </w:r>
          </w:p>
          <w:p w14:paraId="75D257B2" w14:textId="77777777" w:rsidR="00F332DA" w:rsidRPr="00BD76AF" w:rsidRDefault="00F332DA" w:rsidP="00A934D2">
            <w:pPr>
              <w:spacing w:after="200"/>
              <w:ind w:left="601"/>
              <w:rPr>
                <w:szCs w:val="24"/>
              </w:rPr>
            </w:pPr>
            <w:r w:rsidRPr="00BD76AF">
              <w:rPr>
                <w:szCs w:val="24"/>
              </w:rPr>
              <w:t xml:space="preserve">Si une des dispositions ou conditions du Marché est interdite ou </w:t>
            </w:r>
            <w:r w:rsidRPr="00BD76AF">
              <w:t>rendue</w:t>
            </w:r>
            <w:r w:rsidRPr="00BD76AF">
              <w:rPr>
                <w:szCs w:val="24"/>
              </w:rPr>
              <w:t xml:space="preserve"> invalide ou inapplicable, cette interdiction, invalidité ou inapplicabilité ne doit pas affecter la validité ou l’applicabilité des autres dispositions et conditions du Marché.</w:t>
            </w:r>
          </w:p>
        </w:tc>
      </w:tr>
      <w:tr w:rsidR="00F332DA" w:rsidRPr="00BD76AF" w14:paraId="2AA5835A" w14:textId="77777777" w:rsidTr="00F717E9">
        <w:tc>
          <w:tcPr>
            <w:tcW w:w="2352" w:type="dxa"/>
          </w:tcPr>
          <w:p w14:paraId="0E4506A5" w14:textId="77777777" w:rsidR="00F332DA" w:rsidRPr="00BD76AF" w:rsidRDefault="00F332DA" w:rsidP="009F45DD">
            <w:pPr>
              <w:pStyle w:val="S7Header2"/>
              <w:rPr>
                <w:szCs w:val="24"/>
              </w:rPr>
            </w:pPr>
            <w:bookmarkStart w:id="760" w:name="_Toc102050780"/>
            <w:r w:rsidRPr="00BD76AF">
              <w:rPr>
                <w:szCs w:val="24"/>
              </w:rPr>
              <w:t>4.</w:t>
            </w:r>
            <w:r w:rsidRPr="00BD76AF">
              <w:rPr>
                <w:szCs w:val="24"/>
              </w:rPr>
              <w:tab/>
              <w:t>Communications</w:t>
            </w:r>
            <w:bookmarkEnd w:id="760"/>
          </w:p>
        </w:tc>
        <w:tc>
          <w:tcPr>
            <w:tcW w:w="6936" w:type="dxa"/>
          </w:tcPr>
          <w:p w14:paraId="091C9F8B" w14:textId="77777777" w:rsidR="00F332DA" w:rsidRPr="00BD76AF" w:rsidRDefault="00F332DA" w:rsidP="00884A36">
            <w:pPr>
              <w:spacing w:afterLines="50" w:after="120"/>
              <w:ind w:left="601" w:hanging="601"/>
            </w:pPr>
            <w:r w:rsidRPr="00BD76AF">
              <w:rPr>
                <w:szCs w:val="24"/>
              </w:rPr>
              <w:t>4.1</w:t>
            </w:r>
            <w:r w:rsidRPr="00BD76AF">
              <w:rPr>
                <w:szCs w:val="24"/>
              </w:rPr>
              <w:tab/>
              <w:t xml:space="preserve">Lorsque les présentes Conditions Générales mentionnent la délivrance ou l’émission d’une approbation, d’un certificat, d’un consentement, d’une décision, d’une notification, d’une demande ou d’une mainlevée, ces communications doivent être effectuées de la manière suivante : </w:t>
            </w:r>
          </w:p>
          <w:p w14:paraId="2A21426F" w14:textId="77777777" w:rsidR="00F332DA" w:rsidRPr="00BD76AF" w:rsidRDefault="00F332DA" w:rsidP="00C21879">
            <w:pPr>
              <w:pStyle w:val="SectionVII1"/>
              <w:rPr>
                <w:lang w:val="fr-FR"/>
              </w:rPr>
            </w:pPr>
            <w:r w:rsidRPr="00BD76AF">
              <w:rPr>
                <w:rFonts w:eastAsia="ＭＳ 明朝"/>
                <w:lang w:val="fr-FR" w:eastAsia="ja-JP"/>
              </w:rPr>
              <w:t>a)</w:t>
            </w:r>
            <w:r w:rsidRPr="00BD76AF">
              <w:rPr>
                <w:rFonts w:eastAsia="ＭＳ 明朝"/>
                <w:lang w:val="fr-FR" w:eastAsia="ja-JP"/>
              </w:rPr>
              <w:tab/>
            </w:r>
            <w:r w:rsidRPr="00BD76AF">
              <w:rPr>
                <w:lang w:val="fr-FR"/>
              </w:rPr>
              <w:t>par écrit et remises contre reçu </w:t>
            </w:r>
            <w:r w:rsidRPr="00BD76AF">
              <w:rPr>
                <w:lang w:val="fr-FR" w:eastAsia="ja-JP"/>
              </w:rPr>
              <w:t>;</w:t>
            </w:r>
            <w:r w:rsidRPr="00BD76AF">
              <w:rPr>
                <w:lang w:val="fr-FR"/>
              </w:rPr>
              <w:t xml:space="preserve"> et</w:t>
            </w:r>
          </w:p>
          <w:p w14:paraId="58FE52DF" w14:textId="77777777" w:rsidR="00F332DA" w:rsidRPr="00BD76AF" w:rsidRDefault="00F332DA" w:rsidP="00C21879">
            <w:pPr>
              <w:pStyle w:val="SectionVII1"/>
              <w:rPr>
                <w:lang w:val="fr-FR"/>
              </w:rPr>
            </w:pPr>
            <w:r w:rsidRPr="00BD76AF">
              <w:rPr>
                <w:rFonts w:eastAsia="ＭＳ 明朝"/>
                <w:lang w:val="fr-FR" w:eastAsia="ja-JP"/>
              </w:rPr>
              <w:t>b)</w:t>
            </w:r>
            <w:r w:rsidRPr="00BD76AF">
              <w:rPr>
                <w:rFonts w:eastAsia="ＭＳ 明朝"/>
                <w:lang w:val="fr-FR" w:eastAsia="ja-JP"/>
              </w:rPr>
              <w:tab/>
            </w:r>
            <w:r w:rsidRPr="00BD76AF">
              <w:rPr>
                <w:lang w:val="fr-FR"/>
              </w:rPr>
              <w:t xml:space="preserve">remise, adressée ou transmise à l’adresse du destinataire de la communication </w:t>
            </w:r>
            <w:r w:rsidRPr="00BD76AF">
              <w:rPr>
                <w:b/>
                <w:lang w:val="fr-FR"/>
              </w:rPr>
              <w:t>inscrite dans les Données du Marché</w:t>
            </w:r>
            <w:r w:rsidRPr="00BD76AF">
              <w:rPr>
                <w:lang w:val="fr-FR"/>
              </w:rPr>
              <w:t xml:space="preserve">. </w:t>
            </w:r>
          </w:p>
          <w:p w14:paraId="2FBE17D8" w14:textId="77777777" w:rsidR="00F332DA" w:rsidRPr="00BD76AF" w:rsidRDefault="00F332DA" w:rsidP="00A934D2">
            <w:pPr>
              <w:spacing w:after="200"/>
              <w:ind w:left="601"/>
              <w:rPr>
                <w:szCs w:val="24"/>
              </w:rPr>
            </w:pPr>
            <w:r w:rsidRPr="00BD76AF">
              <w:rPr>
                <w:szCs w:val="24"/>
              </w:rPr>
              <w:t xml:space="preserve">Lorsqu’un certificat est adressé à une Partie, le certificateur doit envoyer une copie à l’autre Partie. Lorsqu’une notification est </w:t>
            </w:r>
            <w:r w:rsidRPr="00BD76AF">
              <w:t>adressée</w:t>
            </w:r>
            <w:r w:rsidRPr="00BD76AF">
              <w:rPr>
                <w:szCs w:val="24"/>
              </w:rPr>
              <w:t xml:space="preserve"> à une Partie par l’autre Partie ou par le Directeur de projet, une copie doit être envoyée au Directeur de projet ou à l’autre Partie, selon le cas.</w:t>
            </w:r>
          </w:p>
        </w:tc>
      </w:tr>
      <w:tr w:rsidR="00F332DA" w:rsidRPr="00BD76AF" w14:paraId="626FAE11" w14:textId="77777777" w:rsidTr="00F717E9">
        <w:tc>
          <w:tcPr>
            <w:tcW w:w="2352" w:type="dxa"/>
          </w:tcPr>
          <w:p w14:paraId="2AACCAEB" w14:textId="77777777" w:rsidR="00F332DA" w:rsidRPr="00BD76AF" w:rsidRDefault="00F332DA" w:rsidP="007C71D1">
            <w:pPr>
              <w:pStyle w:val="S7Header2"/>
              <w:rPr>
                <w:szCs w:val="24"/>
              </w:rPr>
            </w:pPr>
            <w:bookmarkStart w:id="761" w:name="_Toc102050781"/>
            <w:r w:rsidRPr="00BD76AF">
              <w:rPr>
                <w:szCs w:val="24"/>
              </w:rPr>
              <w:t>5.</w:t>
            </w:r>
            <w:r w:rsidRPr="00BD76AF">
              <w:rPr>
                <w:szCs w:val="24"/>
              </w:rPr>
              <w:tab/>
              <w:t>Droit applicable et langue</w:t>
            </w:r>
            <w:bookmarkEnd w:id="761"/>
          </w:p>
        </w:tc>
        <w:tc>
          <w:tcPr>
            <w:tcW w:w="6936" w:type="dxa"/>
          </w:tcPr>
          <w:p w14:paraId="41F16E31" w14:textId="77777777" w:rsidR="00F332DA" w:rsidRPr="00BD76AF" w:rsidRDefault="00F332DA" w:rsidP="00A934D2">
            <w:pPr>
              <w:spacing w:after="200"/>
              <w:ind w:left="601" w:hanging="601"/>
              <w:rPr>
                <w:szCs w:val="24"/>
              </w:rPr>
            </w:pPr>
            <w:r w:rsidRPr="00BD76AF">
              <w:rPr>
                <w:szCs w:val="24"/>
              </w:rPr>
              <w:t>5.1</w:t>
            </w:r>
            <w:r w:rsidRPr="00BD76AF">
              <w:rPr>
                <w:szCs w:val="24"/>
              </w:rPr>
              <w:tab/>
              <w:t xml:space="preserve">Le Marché doit être régi et interprété conformément au droit du pays </w:t>
            </w:r>
            <w:r w:rsidRPr="00BD76AF">
              <w:rPr>
                <w:b/>
                <w:szCs w:val="24"/>
              </w:rPr>
              <w:t xml:space="preserve">indiqué dans </w:t>
            </w:r>
            <w:r w:rsidRPr="00BD76AF">
              <w:rPr>
                <w:b/>
                <w:bCs/>
              </w:rPr>
              <w:t xml:space="preserve">les </w:t>
            </w:r>
            <w:r w:rsidRPr="00BD76AF">
              <w:rPr>
                <w:b/>
                <w:szCs w:val="24"/>
              </w:rPr>
              <w:t>Données du Marché</w:t>
            </w:r>
            <w:r w:rsidRPr="00BD76AF">
              <w:rPr>
                <w:szCs w:val="24"/>
              </w:rPr>
              <w:t>.</w:t>
            </w:r>
          </w:p>
          <w:p w14:paraId="661D18F4" w14:textId="77777777" w:rsidR="00F332DA" w:rsidRPr="00BD76AF" w:rsidRDefault="00F332DA" w:rsidP="00A934D2">
            <w:pPr>
              <w:spacing w:after="200"/>
              <w:ind w:left="601" w:hanging="601"/>
              <w:rPr>
                <w:szCs w:val="24"/>
              </w:rPr>
            </w:pPr>
            <w:r w:rsidRPr="00BD76AF">
              <w:rPr>
                <w:szCs w:val="24"/>
              </w:rPr>
              <w:t>5.2</w:t>
            </w:r>
            <w:r w:rsidRPr="00BD76AF">
              <w:rPr>
                <w:szCs w:val="24"/>
              </w:rPr>
              <w:tab/>
              <w:t xml:space="preserve">La langue du Marché doit être celle </w:t>
            </w:r>
            <w:r w:rsidRPr="00BD76AF">
              <w:rPr>
                <w:b/>
                <w:szCs w:val="24"/>
              </w:rPr>
              <w:t xml:space="preserve">stipulée dans </w:t>
            </w:r>
            <w:r w:rsidRPr="00BD76AF">
              <w:rPr>
                <w:b/>
                <w:bCs/>
              </w:rPr>
              <w:t xml:space="preserve">les </w:t>
            </w:r>
            <w:r w:rsidRPr="00BD76AF">
              <w:rPr>
                <w:b/>
                <w:szCs w:val="24"/>
              </w:rPr>
              <w:t>Données du Marché</w:t>
            </w:r>
            <w:r w:rsidRPr="00BD76AF">
              <w:rPr>
                <w:szCs w:val="24"/>
              </w:rPr>
              <w:t>.</w:t>
            </w:r>
          </w:p>
          <w:p w14:paraId="0553299A" w14:textId="77777777" w:rsidR="00F332DA" w:rsidRPr="00BD76AF" w:rsidRDefault="00F332DA" w:rsidP="00A934D2">
            <w:pPr>
              <w:spacing w:after="200"/>
              <w:ind w:left="601" w:hanging="601"/>
              <w:rPr>
                <w:szCs w:val="24"/>
              </w:rPr>
            </w:pPr>
            <w:r w:rsidRPr="00BD76AF">
              <w:t>5.3</w:t>
            </w:r>
            <w:r w:rsidRPr="00BD76AF">
              <w:tab/>
              <w:t xml:space="preserve">La langue utilisée pour les communications doit être la langue du Marché, sauf disposition contraire </w:t>
            </w:r>
            <w:r w:rsidRPr="00BD76AF">
              <w:rPr>
                <w:b/>
              </w:rPr>
              <w:t xml:space="preserve">dans </w:t>
            </w:r>
            <w:r w:rsidRPr="00BD76AF">
              <w:rPr>
                <w:b/>
                <w:bCs/>
              </w:rPr>
              <w:t xml:space="preserve">les </w:t>
            </w:r>
            <w:r w:rsidRPr="00BD76AF">
              <w:rPr>
                <w:b/>
                <w:szCs w:val="24"/>
              </w:rPr>
              <w:t>Données du Marché</w:t>
            </w:r>
          </w:p>
        </w:tc>
      </w:tr>
      <w:tr w:rsidR="00F332DA" w:rsidRPr="00BD76AF" w14:paraId="6134E8DB" w14:textId="77777777" w:rsidTr="00F717E9">
        <w:tc>
          <w:tcPr>
            <w:tcW w:w="2352" w:type="dxa"/>
          </w:tcPr>
          <w:p w14:paraId="7175BA0F" w14:textId="77777777" w:rsidR="00F332DA" w:rsidRPr="00BD76AF" w:rsidRDefault="00F332DA" w:rsidP="007C71D1">
            <w:pPr>
              <w:pStyle w:val="S7Header2"/>
              <w:rPr>
                <w:szCs w:val="24"/>
              </w:rPr>
            </w:pPr>
            <w:bookmarkStart w:id="762" w:name="_Toc65406806"/>
            <w:bookmarkStart w:id="763" w:name="_Toc213729116"/>
            <w:bookmarkStart w:id="764" w:name="_Toc102050782"/>
            <w:r w:rsidRPr="00BD76AF">
              <w:rPr>
                <w:szCs w:val="24"/>
              </w:rPr>
              <w:t>6.</w:t>
            </w:r>
            <w:r w:rsidRPr="00BD76AF">
              <w:rPr>
                <w:szCs w:val="24"/>
              </w:rPr>
              <w:tab/>
              <w:t>Pratiques corrompues et frauduleuses</w:t>
            </w:r>
            <w:bookmarkEnd w:id="762"/>
            <w:bookmarkEnd w:id="763"/>
            <w:bookmarkEnd w:id="764"/>
          </w:p>
        </w:tc>
        <w:tc>
          <w:tcPr>
            <w:tcW w:w="6936" w:type="dxa"/>
          </w:tcPr>
          <w:p w14:paraId="4C6FC344" w14:textId="77777777" w:rsidR="00F332DA" w:rsidRPr="00BD76AF" w:rsidRDefault="00F332DA" w:rsidP="00A934D2">
            <w:pPr>
              <w:spacing w:after="200"/>
              <w:ind w:left="601" w:hanging="601"/>
            </w:pPr>
            <w:r w:rsidRPr="00BD76AF">
              <w:rPr>
                <w:szCs w:val="24"/>
              </w:rPr>
              <w:t>6.1</w:t>
            </w:r>
            <w:r w:rsidRPr="00BD76AF">
              <w:rPr>
                <w:szCs w:val="24"/>
              </w:rPr>
              <w:tab/>
            </w:r>
            <w:r w:rsidRPr="00BD76AF">
              <w:t xml:space="preserve">Si le Maître d’ouvrage établit, sur la base de preuves raisonnables, que l’Entrepreneur s’est livré à des pratiques corrompues ou frauduleuses lors de la compétition ou de l’exécution du Marché, le Maître d’ouvrage peut, quatorze (14) jours après en avoir notifié l’Entrepreneur, résilier le Marché et l’expulser du Site, et les dispositions de l’Article 42 des CG s’appliqueront comme si cette </w:t>
            </w:r>
            <w:r w:rsidRPr="00BD76AF">
              <w:rPr>
                <w:szCs w:val="24"/>
              </w:rPr>
              <w:t>résiliation</w:t>
            </w:r>
            <w:r w:rsidRPr="00BD76AF">
              <w:t xml:space="preserve"> avait été </w:t>
            </w:r>
            <w:r w:rsidRPr="00BD76AF">
              <w:rPr>
                <w:szCs w:val="24"/>
              </w:rPr>
              <w:t>prononcée</w:t>
            </w:r>
            <w:r w:rsidRPr="00BD76AF">
              <w:t xml:space="preserve"> conformément au c) de l’Article 42.2.1 des CG.</w:t>
            </w:r>
          </w:p>
          <w:p w14:paraId="76A2DE3E" w14:textId="77777777" w:rsidR="00F332DA" w:rsidRPr="00BD76AF" w:rsidRDefault="00F332DA" w:rsidP="00A934D2">
            <w:pPr>
              <w:spacing w:after="200"/>
              <w:ind w:left="601" w:hanging="601"/>
            </w:pPr>
            <w:r w:rsidRPr="00BD76AF">
              <w:t>6.2</w:t>
            </w:r>
            <w:r w:rsidRPr="00BD76AF">
              <w:rPr>
                <w:lang w:eastAsia="ja-JP"/>
              </w:rPr>
              <w:tab/>
            </w:r>
            <w:r w:rsidRPr="00BD76AF">
              <w:t xml:space="preserve">S’il </w:t>
            </w:r>
            <w:r w:rsidRPr="00BD76AF">
              <w:rPr>
                <w:szCs w:val="24"/>
              </w:rPr>
              <w:t>s’avérait, sur la base de preuves raisonnables</w:t>
            </w:r>
            <w:r w:rsidRPr="00BD76AF">
              <w:t xml:space="preserve">, qu’un </w:t>
            </w:r>
            <w:r w:rsidRPr="00BD76AF">
              <w:rPr>
                <w:szCs w:val="24"/>
              </w:rPr>
              <w:t>employé</w:t>
            </w:r>
            <w:r w:rsidRPr="00BD76AF">
              <w:t xml:space="preserve"> de l’Entrepreneur s’est livré à des pratiques corrompues ou frauduleuses </w:t>
            </w:r>
            <w:r w:rsidRPr="00BD76AF">
              <w:rPr>
                <w:szCs w:val="24"/>
              </w:rPr>
              <w:t>pendant</w:t>
            </w:r>
            <w:r w:rsidRPr="00BD76AF">
              <w:t xml:space="preserve"> l’exécution du Marché, </w:t>
            </w:r>
            <w:r w:rsidRPr="00BD76AF">
              <w:rPr>
                <w:szCs w:val="24"/>
              </w:rPr>
              <w:t>alors cet employé sera renvoyé</w:t>
            </w:r>
            <w:r w:rsidRPr="00BD76AF">
              <w:t xml:space="preserve"> conformément à l’Article 17.2.5 des CG.</w:t>
            </w:r>
          </w:p>
        </w:tc>
      </w:tr>
      <w:tr w:rsidR="00F332DA" w:rsidRPr="00BD76AF" w14:paraId="3BD52DB9" w14:textId="77777777" w:rsidTr="00F717E9">
        <w:tc>
          <w:tcPr>
            <w:tcW w:w="2352" w:type="dxa"/>
          </w:tcPr>
          <w:p w14:paraId="45D60EF9" w14:textId="77777777" w:rsidR="00F332DA" w:rsidRPr="00BD76AF" w:rsidRDefault="00F332DA" w:rsidP="007C71D1">
            <w:pPr>
              <w:pStyle w:val="S7Header2"/>
              <w:rPr>
                <w:szCs w:val="24"/>
              </w:rPr>
            </w:pPr>
          </w:p>
        </w:tc>
        <w:tc>
          <w:tcPr>
            <w:tcW w:w="6936" w:type="dxa"/>
          </w:tcPr>
          <w:p w14:paraId="40093223" w14:textId="77777777" w:rsidR="00F332DA" w:rsidRPr="00BD76AF" w:rsidRDefault="00F332DA" w:rsidP="00A934D2">
            <w:pPr>
              <w:spacing w:after="200"/>
              <w:ind w:left="601" w:hanging="601"/>
              <w:rPr>
                <w:szCs w:val="24"/>
              </w:rPr>
            </w:pPr>
            <w:r w:rsidRPr="00BD76AF">
              <w:t>6.3</w:t>
            </w:r>
            <w:r w:rsidRPr="00BD76AF">
              <w:rPr>
                <w:lang w:eastAsia="ja-JP"/>
              </w:rPr>
              <w:tab/>
            </w:r>
            <w:r w:rsidRPr="00BD76AF">
              <w:t>L’Entrepreneur est tenu de se conformer à la politique générale de la JICA en ce qui concerne les pratiques corrompues et frauduleuses, comme souligné dans la reconnaissance du respect des Directives pour les passations de marchés sous financement par Prêts APD du Japon.</w:t>
            </w:r>
          </w:p>
        </w:tc>
      </w:tr>
    </w:tbl>
    <w:p w14:paraId="7C47F735" w14:textId="77777777" w:rsidR="00F332DA" w:rsidRPr="00BD76AF" w:rsidRDefault="00F332DA" w:rsidP="00A616A4">
      <w:pPr>
        <w:pStyle w:val="S7Header1"/>
        <w:spacing w:before="240" w:afterLines="100" w:after="240"/>
        <w:rPr>
          <w:sz w:val="32"/>
          <w:szCs w:val="32"/>
        </w:rPr>
      </w:pPr>
      <w:bookmarkStart w:id="765" w:name="_Toc102050783"/>
      <w:r w:rsidRPr="00BD76AF">
        <w:rPr>
          <w:sz w:val="32"/>
          <w:szCs w:val="32"/>
        </w:rPr>
        <w:t>B.  Objet du marché</w:t>
      </w:r>
      <w:bookmarkEnd w:id="765"/>
    </w:p>
    <w:tbl>
      <w:tblPr>
        <w:tblW w:w="9288" w:type="dxa"/>
        <w:tblInd w:w="-74" w:type="dxa"/>
        <w:tblLayout w:type="fixed"/>
        <w:tblLook w:val="0000" w:firstRow="0" w:lastRow="0" w:firstColumn="0" w:lastColumn="0" w:noHBand="0" w:noVBand="0"/>
      </w:tblPr>
      <w:tblGrid>
        <w:gridCol w:w="2352"/>
        <w:gridCol w:w="6936"/>
      </w:tblGrid>
      <w:tr w:rsidR="00F332DA" w:rsidRPr="00BD76AF" w14:paraId="20882564" w14:textId="77777777" w:rsidTr="00DE35EE">
        <w:tc>
          <w:tcPr>
            <w:tcW w:w="2352" w:type="dxa"/>
          </w:tcPr>
          <w:p w14:paraId="6FE3A6C2" w14:textId="77777777" w:rsidR="00F332DA" w:rsidRPr="00BD76AF" w:rsidRDefault="00F332DA" w:rsidP="007C71D1">
            <w:pPr>
              <w:pStyle w:val="S7Header2"/>
              <w:rPr>
                <w:szCs w:val="24"/>
              </w:rPr>
            </w:pPr>
            <w:bookmarkStart w:id="766" w:name="_Toc102050784"/>
            <w:r w:rsidRPr="00BD76AF">
              <w:rPr>
                <w:szCs w:val="24"/>
              </w:rPr>
              <w:t>7.</w:t>
            </w:r>
            <w:r w:rsidRPr="00BD76AF">
              <w:rPr>
                <w:szCs w:val="24"/>
              </w:rPr>
              <w:tab/>
              <w:t>Descriptif des Installations</w:t>
            </w:r>
            <w:bookmarkEnd w:id="766"/>
          </w:p>
        </w:tc>
        <w:tc>
          <w:tcPr>
            <w:tcW w:w="6936" w:type="dxa"/>
          </w:tcPr>
          <w:p w14:paraId="0B816015" w14:textId="77777777" w:rsidR="00F332DA" w:rsidRPr="00BD76AF" w:rsidRDefault="00F332DA" w:rsidP="00A934D2">
            <w:pPr>
              <w:spacing w:after="200"/>
              <w:ind w:left="601" w:hanging="601"/>
              <w:rPr>
                <w:szCs w:val="24"/>
              </w:rPr>
            </w:pPr>
            <w:r w:rsidRPr="00BD76AF">
              <w:rPr>
                <w:szCs w:val="24"/>
              </w:rPr>
              <w:t>7.1</w:t>
            </w:r>
            <w:r w:rsidRPr="00BD76AF">
              <w:rPr>
                <w:szCs w:val="24"/>
              </w:rPr>
              <w:tab/>
              <w:t>Sauf restrictions expressément indiquées dans les Exigences du Maître d’ouvrage, les obligations de l’Entrepreneur couvrent la fourniture de l’ensemble des Équipements et la réalisation de tous les Services de montage nécessaires à la conception et à la fabrication (y compris l’approvisionnement, les contrôles de qualité, la construction, le montage, les travaux de génie civil associés, la Pré-mise en service et la livraison) des Équipements, ainsi que le montage, l’achèvement et la Mise en service des Installations conformément aux plans, procédures, spécifications, dessins, codes et autres documents indiqués à la Section VI, Exigences du Maître d’ouvrage. Ces spécifications incluent, de manière non exhaustive, des prestations de services de supervision et d’ingénierie, la fourniture de la main-d’œuvre, du matériel, des équipements, des pièces de rechange (comme indiqué à l’Article 7.3 des CG ci-dessous) et accessoires, des Équipements de l’Entrepreneur, des fournitures et services de construction, du matériel, des ouvrages et installations temporaires, du transport (y compris, sans y être limité, le déchargement et la manutention à destination ou à partir du Site et sur le Site) et l’entreposage, à l’exception des fournitures, travaux et services qui seront fournis ou assurés par le Maître d’ouvrage comme indiqué dans les Exigences du Maître d’ouvrage, ou de toute autre exigence indiquée dans le Marché.</w:t>
            </w:r>
          </w:p>
          <w:p w14:paraId="7D4FC5FD" w14:textId="77777777" w:rsidR="00F332DA" w:rsidRPr="00BD76AF" w:rsidRDefault="00F332DA" w:rsidP="00A934D2">
            <w:pPr>
              <w:spacing w:after="200"/>
              <w:ind w:left="601" w:hanging="601"/>
              <w:rPr>
                <w:szCs w:val="24"/>
              </w:rPr>
            </w:pPr>
            <w:r w:rsidRPr="00BD76AF">
              <w:rPr>
                <w:szCs w:val="24"/>
              </w:rPr>
              <w:t>7.2</w:t>
            </w:r>
            <w:r w:rsidRPr="00BD76AF">
              <w:rPr>
                <w:szCs w:val="24"/>
              </w:rPr>
              <w:tab/>
              <w:t>L’Entrepreneur doit, sauf lorsque spécifiquement non exigé dans le Marché, exécuter l’ensemble des travaux et/ou fournir tous les composants et le matériel non expressément mentionnés dans le Marché mais que l’on peut raisonnablement déduire, à la lecture du Marché, comme étant nécessaires à l’achèvement des Installations, comme si ces travaux et/ou composants et matériel étaient expressément mentionnés dans le Marché.</w:t>
            </w:r>
          </w:p>
          <w:p w14:paraId="786B7C3C" w14:textId="77777777" w:rsidR="00F332DA" w:rsidRPr="00BD76AF" w:rsidRDefault="00F332DA" w:rsidP="00E5666B">
            <w:pPr>
              <w:pStyle w:val="3"/>
              <w:tabs>
                <w:tab w:val="clear" w:pos="864"/>
                <w:tab w:val="num" w:pos="607"/>
              </w:tabs>
              <w:overflowPunct/>
              <w:autoSpaceDE/>
              <w:autoSpaceDN/>
              <w:adjustRightInd/>
              <w:ind w:left="992" w:hanging="992"/>
              <w:textAlignment w:val="auto"/>
              <w:rPr>
                <w:szCs w:val="24"/>
                <w:lang w:val="fr-FR"/>
              </w:rPr>
            </w:pPr>
            <w:r w:rsidRPr="00BD76AF">
              <w:rPr>
                <w:szCs w:val="24"/>
                <w:lang w:val="fr-FR"/>
              </w:rPr>
              <w:t>7.3</w:t>
            </w:r>
            <w:r w:rsidRPr="00BD76AF">
              <w:rPr>
                <w:szCs w:val="24"/>
                <w:lang w:val="fr-FR"/>
              </w:rPr>
              <w:tab/>
            </w:r>
            <w:r w:rsidRPr="00BD76AF">
              <w:rPr>
                <w:szCs w:val="24"/>
                <w:u w:val="single"/>
                <w:lang w:val="fr-FR"/>
              </w:rPr>
              <w:t>Pièces de rechange</w:t>
            </w:r>
          </w:p>
          <w:p w14:paraId="4E89F76B" w14:textId="77777777" w:rsidR="00F332DA" w:rsidRPr="00BD76AF" w:rsidRDefault="00F332DA" w:rsidP="00E5666B">
            <w:pPr>
              <w:pStyle w:val="3"/>
              <w:tabs>
                <w:tab w:val="clear" w:pos="864"/>
                <w:tab w:val="num" w:pos="607"/>
              </w:tabs>
              <w:overflowPunct/>
              <w:autoSpaceDE/>
              <w:autoSpaceDN/>
              <w:adjustRightInd/>
              <w:ind w:left="1026" w:hanging="425"/>
              <w:textAlignment w:val="auto"/>
              <w:rPr>
                <w:szCs w:val="24"/>
                <w:lang w:val="fr-FR"/>
              </w:rPr>
            </w:pPr>
            <w:r w:rsidRPr="00BD76AF">
              <w:rPr>
                <w:lang w:val="fr-FR"/>
              </w:rPr>
              <w:t>a)</w:t>
            </w:r>
            <w:r w:rsidRPr="00BD76AF">
              <w:rPr>
                <w:lang w:val="fr-FR"/>
              </w:rPr>
              <w:tab/>
            </w:r>
            <w:r w:rsidRPr="00BD76AF">
              <w:rPr>
                <w:szCs w:val="24"/>
                <w:lang w:val="fr-FR"/>
              </w:rPr>
              <w:t xml:space="preserve">L’Entrepreneur doit fournir au Maître d’ouvrage les pièces de rechange obligatoires, avant l’achèvement des Installations ou d’une de leurs Tranches, suivant le calendrier spécifié dans le Marché pour l’exploitation et la maintenance des Installations pour la période </w:t>
            </w:r>
            <w:r w:rsidRPr="00BD76AF">
              <w:rPr>
                <w:b/>
                <w:szCs w:val="24"/>
                <w:lang w:val="fr-FR"/>
              </w:rPr>
              <w:t>spécifiée dans les Données du Marché</w:t>
            </w:r>
            <w:r w:rsidRPr="00BD76AF">
              <w:rPr>
                <w:szCs w:val="24"/>
                <w:lang w:val="fr-FR"/>
              </w:rPr>
              <w:t xml:space="preserve"> après la Réception opérationnelle par le Maître d’ouvrage.</w:t>
            </w:r>
          </w:p>
          <w:p w14:paraId="1DE593D2" w14:textId="77777777" w:rsidR="00F332DA" w:rsidRPr="00BD76AF" w:rsidRDefault="00F332DA" w:rsidP="00A934D2">
            <w:pPr>
              <w:spacing w:after="200"/>
              <w:ind w:left="1026"/>
              <w:rPr>
                <w:szCs w:val="24"/>
              </w:rPr>
            </w:pPr>
            <w:r w:rsidRPr="00BD76AF">
              <w:rPr>
                <w:szCs w:val="24"/>
              </w:rPr>
              <w:t>Le prix des pièces de rechange obligatoires doit être inclus dans le Montant du Marché.</w:t>
            </w:r>
          </w:p>
          <w:p w14:paraId="0B64B1DD" w14:textId="77777777" w:rsidR="00F332DA" w:rsidRPr="00BD76AF" w:rsidRDefault="00F332DA" w:rsidP="00E5666B">
            <w:pPr>
              <w:pStyle w:val="3"/>
              <w:tabs>
                <w:tab w:val="clear" w:pos="864"/>
                <w:tab w:val="num" w:pos="607"/>
              </w:tabs>
              <w:overflowPunct/>
              <w:autoSpaceDE/>
              <w:autoSpaceDN/>
              <w:adjustRightInd/>
              <w:ind w:left="1026" w:hanging="425"/>
              <w:textAlignment w:val="auto"/>
              <w:rPr>
                <w:szCs w:val="24"/>
                <w:lang w:val="fr-FR" w:eastAsia="en-US"/>
              </w:rPr>
            </w:pPr>
            <w:r w:rsidRPr="00BD76AF">
              <w:rPr>
                <w:lang w:val="fr-FR"/>
              </w:rPr>
              <w:t xml:space="preserve">b) </w:t>
            </w:r>
            <w:r w:rsidRPr="00BD76AF">
              <w:rPr>
                <w:lang w:val="fr-FR"/>
              </w:rPr>
              <w:tab/>
            </w:r>
            <w:r w:rsidRPr="00BD76AF">
              <w:rPr>
                <w:lang w:val="fr-FR" w:eastAsia="en-US"/>
              </w:rPr>
              <w:t>Une</w:t>
            </w:r>
            <w:r w:rsidRPr="00BD76AF">
              <w:rPr>
                <w:szCs w:val="24"/>
                <w:lang w:val="fr-FR" w:eastAsia="en-US"/>
              </w:rPr>
              <w:t xml:space="preserve"> fois que les deux parties conviennent des détails des pièces de rechange recommandées pour l’exploitation et la maintenance des </w:t>
            </w:r>
            <w:r w:rsidRPr="00BD76AF">
              <w:rPr>
                <w:szCs w:val="24"/>
                <w:lang w:val="fr-FR"/>
              </w:rPr>
              <w:t>Installations</w:t>
            </w:r>
            <w:r w:rsidRPr="00BD76AF">
              <w:rPr>
                <w:szCs w:val="24"/>
                <w:lang w:val="fr-FR" w:eastAsia="en-US"/>
              </w:rPr>
              <w:t xml:space="preserve"> pendant la période </w:t>
            </w:r>
            <w:r w:rsidRPr="00BD76AF">
              <w:rPr>
                <w:b/>
                <w:szCs w:val="24"/>
                <w:lang w:val="fr-FR" w:eastAsia="en-US"/>
              </w:rPr>
              <w:t>spécifiée dans les Données du Marché</w:t>
            </w:r>
            <w:r w:rsidRPr="00BD76AF">
              <w:rPr>
                <w:szCs w:val="24"/>
                <w:lang w:val="fr-FR" w:eastAsia="en-US"/>
              </w:rPr>
              <w:t>, y compris de l’identité, des spécifications et des quantités de ces pièces de rechange, ainsi que des termes et conditions, une modification est émise en vertu de l’Article 39 (</w:t>
            </w:r>
            <w:r w:rsidRPr="00BD76AF">
              <w:rPr>
                <w:i/>
                <w:szCs w:val="24"/>
                <w:lang w:val="fr-FR" w:eastAsia="en-US"/>
              </w:rPr>
              <w:t>Modifications des Installations</w:t>
            </w:r>
            <w:r w:rsidRPr="00BD76AF">
              <w:rPr>
                <w:szCs w:val="24"/>
                <w:lang w:val="fr-FR" w:eastAsia="en-US"/>
              </w:rPr>
              <w:t>) des CG et le prix des pièces de rechange recommandées est inclus dans le Montant du Marché. L’Entrepreneur doit fournir au Maître d’ouvrage les pièces de rechange recommandées, avant l’achèvement des Installations.</w:t>
            </w:r>
          </w:p>
          <w:p w14:paraId="31082535" w14:textId="77777777" w:rsidR="00F332DA" w:rsidRPr="00BD76AF" w:rsidRDefault="00F332DA" w:rsidP="00E5666B">
            <w:pPr>
              <w:pStyle w:val="3"/>
              <w:tabs>
                <w:tab w:val="clear" w:pos="864"/>
                <w:tab w:val="num" w:pos="607"/>
              </w:tabs>
              <w:overflowPunct/>
              <w:autoSpaceDE/>
              <w:autoSpaceDN/>
              <w:adjustRightInd/>
              <w:ind w:left="1026" w:firstLine="0"/>
              <w:textAlignment w:val="auto"/>
              <w:rPr>
                <w:szCs w:val="24"/>
                <w:lang w:val="fr-FR"/>
              </w:rPr>
            </w:pPr>
            <w:r w:rsidRPr="00BD76AF">
              <w:rPr>
                <w:szCs w:val="24"/>
                <w:lang w:val="fr-FR" w:eastAsia="en-US"/>
              </w:rPr>
              <w:t>Le prix des pièces de rechange recommandées doit comprendre le prix d’achat et les autres frais liés à leur fourniture tels que le transport, les frais de port et la rémunération de l’Entrepreneur.</w:t>
            </w:r>
          </w:p>
        </w:tc>
      </w:tr>
      <w:tr w:rsidR="00F332DA" w:rsidRPr="00BD76AF" w14:paraId="057F388D" w14:textId="77777777" w:rsidTr="00DE35EE">
        <w:tc>
          <w:tcPr>
            <w:tcW w:w="2352" w:type="dxa"/>
          </w:tcPr>
          <w:p w14:paraId="220F3D94" w14:textId="77777777" w:rsidR="00F332DA" w:rsidRPr="00BD76AF" w:rsidRDefault="00F332DA" w:rsidP="0079334B">
            <w:pPr>
              <w:pStyle w:val="S7Header2"/>
              <w:rPr>
                <w:szCs w:val="24"/>
              </w:rPr>
            </w:pPr>
            <w:bookmarkStart w:id="767" w:name="_Toc102050785"/>
            <w:r w:rsidRPr="00BD76AF">
              <w:rPr>
                <w:szCs w:val="24"/>
              </w:rPr>
              <w:t>8.</w:t>
            </w:r>
            <w:r w:rsidRPr="00BD76AF">
              <w:rPr>
                <w:szCs w:val="24"/>
              </w:rPr>
              <w:tab/>
              <w:t>Commencement et Délai d’</w:t>
            </w:r>
            <w:r w:rsidRPr="00BD76AF">
              <w:rPr>
                <w:rFonts w:eastAsia="ＭＳ ゴシック"/>
                <w:color w:val="000000"/>
                <w:szCs w:val="24"/>
                <w:lang w:val="en-US" w:eastAsia="ja-JP"/>
              </w:rPr>
              <w:t>achèvement</w:t>
            </w:r>
            <w:bookmarkEnd w:id="767"/>
          </w:p>
        </w:tc>
        <w:tc>
          <w:tcPr>
            <w:tcW w:w="6936" w:type="dxa"/>
          </w:tcPr>
          <w:p w14:paraId="3DBA1ED9" w14:textId="77777777" w:rsidR="00F332DA" w:rsidRPr="00BD76AF" w:rsidRDefault="00F332DA" w:rsidP="00884A36">
            <w:pPr>
              <w:spacing w:afterLines="50" w:after="120"/>
              <w:ind w:left="601" w:hanging="601"/>
              <w:rPr>
                <w:szCs w:val="24"/>
              </w:rPr>
            </w:pPr>
            <w:r w:rsidRPr="00BD76AF">
              <w:rPr>
                <w:szCs w:val="24"/>
              </w:rPr>
              <w:t>8.1</w:t>
            </w:r>
            <w:r w:rsidRPr="00BD76AF">
              <w:rPr>
                <w:szCs w:val="24"/>
              </w:rPr>
              <w:tab/>
              <w:t xml:space="preserve">La Date d’entrée en vigueur est la date à laquelle les conditions suivantes ont toutes été remplies et la notification du Directeur de projet, prenant acte de l’accord des deux Parties quant au fait que ces conditions ont été remplies et ordonnant le commencement des </w:t>
            </w:r>
            <w:r w:rsidRPr="00BD76AF">
              <w:rPr>
                <w:rFonts w:hint="eastAsia"/>
                <w:szCs w:val="24"/>
                <w:lang w:eastAsia="ja-JP"/>
              </w:rPr>
              <w:t>t</w:t>
            </w:r>
            <w:r w:rsidRPr="00BD76AF">
              <w:rPr>
                <w:szCs w:val="24"/>
                <w:lang w:eastAsia="ja-JP"/>
              </w:rPr>
              <w:t>ravaux</w:t>
            </w:r>
            <w:r w:rsidRPr="00BD76AF">
              <w:rPr>
                <w:szCs w:val="24"/>
              </w:rPr>
              <w:t>, a été reçue par l’Entrepreneur :</w:t>
            </w:r>
          </w:p>
          <w:p w14:paraId="283E3AA2" w14:textId="77777777" w:rsidR="00F332DA" w:rsidRPr="00BD76AF" w:rsidRDefault="00F332DA" w:rsidP="00E5666B">
            <w:pPr>
              <w:tabs>
                <w:tab w:val="left" w:pos="852"/>
              </w:tabs>
              <w:spacing w:after="200"/>
              <w:ind w:left="1126" w:hanging="525"/>
            </w:pPr>
            <w:r w:rsidRPr="00BD76AF">
              <w:t xml:space="preserve">a) </w:t>
            </w:r>
            <w:r w:rsidRPr="00BD76AF">
              <w:tab/>
              <w:t xml:space="preserve">le présent Acte d’engagement </w:t>
            </w:r>
            <w:r w:rsidRPr="00BD76AF">
              <w:rPr>
                <w:szCs w:val="24"/>
              </w:rPr>
              <w:t>a été dûment signé</w:t>
            </w:r>
            <w:r w:rsidRPr="00BD76AF">
              <w:t xml:space="preserve"> pour le compte de et au nom du Maître d’ouvrage et de l’Entrepreneur ;</w:t>
            </w:r>
          </w:p>
          <w:p w14:paraId="765C1D7C" w14:textId="77777777" w:rsidR="00F332DA" w:rsidRPr="00BD76AF" w:rsidRDefault="00F332DA" w:rsidP="00E5666B">
            <w:pPr>
              <w:tabs>
                <w:tab w:val="left" w:pos="852"/>
              </w:tabs>
              <w:spacing w:after="200"/>
              <w:ind w:left="1126" w:hanging="525"/>
            </w:pPr>
            <w:r w:rsidRPr="00BD76AF">
              <w:t xml:space="preserve">b) </w:t>
            </w:r>
            <w:r w:rsidRPr="00BD76AF">
              <w:tab/>
              <w:t>le Maître d’ouvrage a remis à l’Entrepreneur des justificatifs raisonnables des dispositions financières du Maître d’ouvrage conformément à l’Article 10.5 des CG ;</w:t>
            </w:r>
          </w:p>
          <w:p w14:paraId="46E40692" w14:textId="77777777" w:rsidR="00F332DA" w:rsidRPr="00BD76AF" w:rsidRDefault="00F332DA" w:rsidP="00E5666B">
            <w:pPr>
              <w:tabs>
                <w:tab w:val="left" w:pos="852"/>
              </w:tabs>
              <w:spacing w:after="200"/>
              <w:ind w:left="1126" w:hanging="525"/>
            </w:pPr>
            <w:r w:rsidRPr="00BD76AF">
              <w:t>c)</w:t>
            </w:r>
            <w:r w:rsidRPr="00BD76AF">
              <w:tab/>
            </w:r>
            <w:r w:rsidRPr="00BD76AF">
              <w:tab/>
            </w:r>
            <w:r w:rsidRPr="00BD76AF">
              <w:rPr>
                <w:rFonts w:hint="eastAsia"/>
                <w:b/>
              </w:rPr>
              <w:t>à</w:t>
            </w:r>
            <w:r w:rsidRPr="00BD76AF">
              <w:rPr>
                <w:b/>
              </w:rPr>
              <w:t xml:space="preserve"> moins que les Données du Marché n’en disposent autrement</w:t>
            </w:r>
            <w:r w:rsidRPr="00BD76AF">
              <w:t>, l’accès et la prise de possession du Site</w:t>
            </w:r>
            <w:r w:rsidRPr="00BD76AF">
              <w:rPr>
                <w:rFonts w:hint="eastAsia"/>
                <w:lang w:eastAsia="ja-JP"/>
              </w:rPr>
              <w:t>,</w:t>
            </w:r>
            <w:r w:rsidRPr="00BD76AF">
              <w:t xml:space="preserve"> ainsi que de toutes les autres zones qui peuvent raisonnablement être requises pour </w:t>
            </w:r>
            <w:r w:rsidRPr="00BD76AF">
              <w:rPr>
                <w:szCs w:val="24"/>
              </w:rPr>
              <w:t>la bonne exécution du Marché</w:t>
            </w:r>
            <w:r w:rsidRPr="00BD76AF">
              <w:t xml:space="preserve"> conformément à l’Article 10.2 des CG, est accordé à l’Entrepreneur suivant les exigences pour le commencement des travaux ;</w:t>
            </w:r>
          </w:p>
          <w:p w14:paraId="34DCF7DD" w14:textId="77777777" w:rsidR="00F332DA" w:rsidRPr="00BD76AF" w:rsidRDefault="00F332DA" w:rsidP="00E5666B">
            <w:pPr>
              <w:tabs>
                <w:tab w:val="left" w:pos="852"/>
              </w:tabs>
              <w:spacing w:after="200"/>
              <w:ind w:left="1126" w:hanging="525"/>
            </w:pPr>
            <w:r w:rsidRPr="00BD76AF">
              <w:t>d)</w:t>
            </w:r>
            <w:r w:rsidRPr="00BD76AF">
              <w:tab/>
            </w:r>
            <w:r w:rsidRPr="00BD76AF">
              <w:tab/>
              <w:t>l’Entrepreneur a reçu le paiement de l’avance comme indiqué dans l’Annexe 1 (</w:t>
            </w:r>
            <w:r w:rsidRPr="00BD76AF">
              <w:rPr>
                <w:i/>
              </w:rPr>
              <w:t>Conditions et procédures de règlement</w:t>
            </w:r>
            <w:r w:rsidRPr="00BD76AF">
              <w:t>) de l’Acte d’engagement, sous réserve que la garantie bancaire correspondante ait été fournie par l’Entrepreneur.</w:t>
            </w:r>
          </w:p>
          <w:p w14:paraId="1C1DB78C" w14:textId="77777777" w:rsidR="00F332DA" w:rsidRPr="00BD76AF" w:rsidRDefault="00F332DA" w:rsidP="00A934D2">
            <w:pPr>
              <w:spacing w:after="200"/>
              <w:ind w:left="601"/>
              <w:rPr>
                <w:szCs w:val="24"/>
              </w:rPr>
            </w:pPr>
            <w:r w:rsidRPr="00BD76AF">
              <w:rPr>
                <w:szCs w:val="24"/>
              </w:rPr>
              <w:t>L’Entrepreneur doit commencer les travaux des Installations après la Date d’entrée en vigueur et, l’Entrepreneur doit ensuite exécuter les Installations conformément au calendrier d’exécution indiqué à l’Annexe 4 (</w:t>
            </w:r>
            <w:r w:rsidRPr="00BD76AF">
              <w:rPr>
                <w:i/>
                <w:szCs w:val="24"/>
              </w:rPr>
              <w:t>Calendrier d’exécution</w:t>
            </w:r>
            <w:r w:rsidRPr="00BD76AF">
              <w:rPr>
                <w:szCs w:val="24"/>
              </w:rPr>
              <w:t>) de l’Acte d’engagement.</w:t>
            </w:r>
          </w:p>
          <w:p w14:paraId="3B173CAB" w14:textId="77777777" w:rsidR="00F332DA" w:rsidRPr="00BD76AF" w:rsidRDefault="00F332DA" w:rsidP="00AE0249">
            <w:pPr>
              <w:spacing w:after="200"/>
              <w:ind w:left="601" w:hanging="601"/>
              <w:rPr>
                <w:szCs w:val="24"/>
              </w:rPr>
            </w:pPr>
            <w:r w:rsidRPr="00BD76AF">
              <w:rPr>
                <w:szCs w:val="24"/>
              </w:rPr>
              <w:t>8.2</w:t>
            </w:r>
            <w:r w:rsidRPr="00BD76AF">
              <w:rPr>
                <w:szCs w:val="24"/>
              </w:rPr>
              <w:tab/>
              <w:t>L’Entrepreneur doit achever les Installations, ou une de leurs Tranches, dans le Délai d’</w:t>
            </w:r>
            <w:r w:rsidRPr="00BD76AF">
              <w:rPr>
                <w:rFonts w:eastAsia="ＭＳ ゴシック"/>
                <w:color w:val="000000"/>
                <w:szCs w:val="24"/>
                <w:lang w:eastAsia="ja-JP"/>
              </w:rPr>
              <w:t>achèvement</w:t>
            </w:r>
            <w:r w:rsidRPr="00BD76AF">
              <w:rPr>
                <w:szCs w:val="24"/>
              </w:rPr>
              <w:t xml:space="preserve"> </w:t>
            </w:r>
            <w:r w:rsidRPr="00BD76AF">
              <w:rPr>
                <w:b/>
                <w:szCs w:val="24"/>
              </w:rPr>
              <w:t>fixé dans le</w:t>
            </w:r>
            <w:r w:rsidRPr="00BD76AF">
              <w:rPr>
                <w:b/>
              </w:rPr>
              <w:t>s Données du Marché</w:t>
            </w:r>
            <w:r w:rsidRPr="00BD76AF">
              <w:t>, calculé à</w:t>
            </w:r>
            <w:r w:rsidRPr="00BD76AF">
              <w:rPr>
                <w:szCs w:val="24"/>
              </w:rPr>
              <w:t xml:space="preserve"> partir de la Date d’entrée en vigueur, ou dans les délais prolongés auquel l’Entrepreneur aura droit en vertu de l’Article 40 des CG.</w:t>
            </w:r>
          </w:p>
        </w:tc>
      </w:tr>
      <w:tr w:rsidR="00F332DA" w:rsidRPr="00BD76AF" w14:paraId="54061188" w14:textId="77777777" w:rsidTr="00DE35EE">
        <w:tc>
          <w:tcPr>
            <w:tcW w:w="2352" w:type="dxa"/>
          </w:tcPr>
          <w:p w14:paraId="7CA9372F" w14:textId="77777777" w:rsidR="00F332DA" w:rsidRPr="00BD76AF" w:rsidRDefault="00F332DA" w:rsidP="007C71D1">
            <w:pPr>
              <w:pStyle w:val="S7Header2"/>
              <w:rPr>
                <w:szCs w:val="24"/>
              </w:rPr>
            </w:pPr>
            <w:bookmarkStart w:id="768" w:name="_Toc102050786"/>
            <w:r w:rsidRPr="00BD76AF">
              <w:rPr>
                <w:szCs w:val="24"/>
              </w:rPr>
              <w:t>9.</w:t>
            </w:r>
            <w:r w:rsidRPr="00BD76AF">
              <w:rPr>
                <w:szCs w:val="24"/>
              </w:rPr>
              <w:tab/>
              <w:t>Responsabilités de l’Entrepreneur</w:t>
            </w:r>
            <w:bookmarkEnd w:id="768"/>
          </w:p>
        </w:tc>
        <w:tc>
          <w:tcPr>
            <w:tcW w:w="6936" w:type="dxa"/>
          </w:tcPr>
          <w:p w14:paraId="02B70E99" w14:textId="77777777" w:rsidR="00F332DA" w:rsidRPr="00BD76AF" w:rsidRDefault="00F332DA" w:rsidP="00A934D2">
            <w:pPr>
              <w:spacing w:after="200"/>
              <w:ind w:left="601" w:hanging="601"/>
              <w:rPr>
                <w:szCs w:val="24"/>
              </w:rPr>
            </w:pPr>
            <w:r w:rsidRPr="00BD76AF">
              <w:rPr>
                <w:szCs w:val="24"/>
              </w:rPr>
              <w:t>9.1</w:t>
            </w:r>
            <w:r w:rsidRPr="00BD76AF">
              <w:rPr>
                <w:szCs w:val="24"/>
              </w:rPr>
              <w:tab/>
              <w:t>L’Entrepreneur doit concevoir, fabriquer, y compris effectuer les achats connexes et/ou passer des contrats de sous-traitance, installer et compléter les Installations conformément au Marché. Une fois achevées, les Installations doivent être propres à l’usage pour lequel elles sont destinées tel qu’il est décrit dans le Marché.</w:t>
            </w:r>
          </w:p>
          <w:p w14:paraId="43B7B542" w14:textId="77777777" w:rsidR="00F332DA" w:rsidRPr="00BD76AF" w:rsidRDefault="00F332DA" w:rsidP="00884A36">
            <w:pPr>
              <w:spacing w:afterLines="50" w:after="120"/>
              <w:ind w:left="601" w:hanging="601"/>
              <w:rPr>
                <w:szCs w:val="24"/>
              </w:rPr>
            </w:pPr>
            <w:r w:rsidRPr="00BD76AF">
              <w:rPr>
                <w:szCs w:val="24"/>
              </w:rPr>
              <w:t>9.2</w:t>
            </w:r>
            <w:r w:rsidRPr="00BD76AF">
              <w:rPr>
                <w:szCs w:val="24"/>
              </w:rPr>
              <w:tab/>
              <w:t>L’Entrepreneur confirme :</w:t>
            </w:r>
          </w:p>
          <w:p w14:paraId="79B18F39" w14:textId="77777777" w:rsidR="00F332DA" w:rsidRPr="00BD76AF" w:rsidRDefault="00F332DA" w:rsidP="005909F1">
            <w:pPr>
              <w:tabs>
                <w:tab w:val="left" w:pos="604"/>
              </w:tabs>
              <w:suppressAutoHyphens w:val="0"/>
              <w:overflowPunct/>
              <w:autoSpaceDE/>
              <w:autoSpaceDN/>
              <w:adjustRightInd/>
              <w:spacing w:after="200"/>
              <w:ind w:left="1128" w:hanging="527"/>
              <w:textAlignment w:val="auto"/>
              <w:rPr>
                <w:szCs w:val="24"/>
              </w:rPr>
            </w:pPr>
            <w:r w:rsidRPr="00BD76AF">
              <w:t>a)</w:t>
            </w:r>
            <w:r w:rsidRPr="00BD76AF">
              <w:tab/>
              <w:t>qu’</w:t>
            </w:r>
            <w:r w:rsidRPr="00BD76AF">
              <w:rPr>
                <w:szCs w:val="24"/>
              </w:rPr>
              <w:t xml:space="preserve">il a </w:t>
            </w:r>
            <w:r w:rsidRPr="00BD76AF">
              <w:rPr>
                <w:lang w:eastAsia="en-US"/>
              </w:rPr>
              <w:t>conclu</w:t>
            </w:r>
            <w:r w:rsidRPr="00BD76AF">
              <w:rPr>
                <w:szCs w:val="24"/>
              </w:rPr>
              <w:t xml:space="preserve"> le présent Marché après avoir examiné de façon approfondie les informations concernant les Installations, y compris toutes les données de sondage fournies par le Maître d’ouvrage, et sur la base des informations que l’Entrepreneur pourrait avoir obtenues grâce à une inspection visuelle du Site, si celui-ci était accessible, et de toutes autres données facilement disponibles concernant les Installations à la Date de référence ; </w:t>
            </w:r>
          </w:p>
          <w:p w14:paraId="2BD08448" w14:textId="77777777" w:rsidR="00F332DA" w:rsidRPr="00BD76AF" w:rsidRDefault="00F332DA" w:rsidP="00BD59EA">
            <w:pPr>
              <w:tabs>
                <w:tab w:val="left" w:pos="604"/>
              </w:tabs>
              <w:spacing w:after="200"/>
              <w:ind w:left="1126" w:hanging="525"/>
            </w:pPr>
            <w:r w:rsidRPr="00BD76AF">
              <w:t>b)</w:t>
            </w:r>
            <w:r w:rsidRPr="00BD76AF">
              <w:tab/>
              <w:t>qu’il est responsable de l’interprétation de toutes les données mentionnées à l’alinéa précédent.</w:t>
            </w:r>
          </w:p>
          <w:p w14:paraId="796F7A52" w14:textId="77777777" w:rsidR="00F332DA" w:rsidRPr="00BD76AF" w:rsidRDefault="00F332DA" w:rsidP="00BD59EA">
            <w:pPr>
              <w:tabs>
                <w:tab w:val="left" w:pos="604"/>
              </w:tabs>
              <w:suppressAutoHyphens w:val="0"/>
              <w:overflowPunct/>
              <w:autoSpaceDE/>
              <w:autoSpaceDN/>
              <w:adjustRightInd/>
              <w:spacing w:after="200"/>
              <w:ind w:left="629" w:hanging="28"/>
              <w:textAlignment w:val="auto"/>
              <w:rPr>
                <w:szCs w:val="24"/>
              </w:rPr>
            </w:pPr>
            <w:r w:rsidRPr="00BD76AF">
              <w:rPr>
                <w:szCs w:val="24"/>
              </w:rPr>
              <w:t xml:space="preserve">L’Entrepreneur reconnaît qu’un manque de connaissance de sa </w:t>
            </w:r>
            <w:r w:rsidRPr="00BD76AF">
              <w:rPr>
                <w:lang w:eastAsia="en-US"/>
              </w:rPr>
              <w:t>part</w:t>
            </w:r>
            <w:r w:rsidRPr="00BD76AF">
              <w:rPr>
                <w:szCs w:val="24"/>
              </w:rPr>
              <w:t xml:space="preserve"> de ces données et informations ne le dégagera pas de la responsabilité qui lui incombe d’estimer correctement la difficulté ou le coût de la bonne exécution des Installations.</w:t>
            </w:r>
          </w:p>
          <w:p w14:paraId="44B49686" w14:textId="77777777" w:rsidR="00F332DA" w:rsidRPr="00BD76AF" w:rsidRDefault="00F332DA" w:rsidP="00A934D2">
            <w:pPr>
              <w:spacing w:after="200"/>
              <w:ind w:left="601" w:hanging="601"/>
              <w:rPr>
                <w:szCs w:val="24"/>
              </w:rPr>
            </w:pPr>
            <w:r w:rsidRPr="00BD76AF">
              <w:rPr>
                <w:szCs w:val="24"/>
              </w:rPr>
              <w:t>9.3</w:t>
            </w:r>
            <w:r w:rsidRPr="00BD76AF">
              <w:rPr>
                <w:szCs w:val="24"/>
              </w:rPr>
              <w:tab/>
              <w:t>L’Entrepreneur doit obtenir et payer les droits pour tous les permis, autorisations et/ou licences auprès de toutes les autorités administratives locales, régionales ou nationales ou des entreprises de service public dans le pays où le Site se situe, que ces autorités ou entreprises obligent l’Entrepreneur à obtenir en son nom propre et qui sont nécessaires à l’exécution du Marché, y compris, mais sans s’y limiter, les visas du personnel de l’Entrepreneur et des Sous-traitants et les autorisations d’importer les Équipements de l’Entrepreneur.  L’Entrepreneur doit acquérir tous les autres permis, autorisations et/ou licences dont la responsabilité n’incombe pas au Maître d’ouvrage en vertu de l’Article 10.3 des CG et qui sont nécessaires à l’exécution du Marché.</w:t>
            </w:r>
          </w:p>
          <w:p w14:paraId="5EFF5A89" w14:textId="77777777" w:rsidR="00F332DA" w:rsidRPr="00BD76AF" w:rsidRDefault="00F332DA" w:rsidP="00A934D2">
            <w:pPr>
              <w:spacing w:after="200"/>
              <w:ind w:left="601" w:hanging="601"/>
              <w:rPr>
                <w:szCs w:val="24"/>
              </w:rPr>
            </w:pPr>
            <w:r w:rsidRPr="00BD76AF">
              <w:rPr>
                <w:szCs w:val="24"/>
              </w:rPr>
              <w:t>9.4</w:t>
            </w:r>
            <w:r w:rsidRPr="00BD76AF">
              <w:rPr>
                <w:szCs w:val="24"/>
              </w:rPr>
              <w:tab/>
              <w:t>L’Entrepreneur doit respecter le droit en vigueur dans le pays où les Installations seront situées. Ce droit comprend les réglementations locales, régionales, nationales, ou autres, affectant l’exécution du Marché, et qui sont applicables à l’Entrepreneur. L’Entrepreneur doit indemniser et garantir le Maître d’ouvrage contre toute responsabilité, dommage, réclamation, amende, pénalité et frais de toute nature entraînés par ou résultant de la violation par l’Entrepreneur ou par son personnel, y compris les Sous-traitants et leur personnel, de ce droit, mais sans préjudice de l’Article 10.1 des CG.</w:t>
            </w:r>
          </w:p>
          <w:p w14:paraId="05411B08" w14:textId="77777777" w:rsidR="00F332DA" w:rsidRPr="00BD76AF" w:rsidRDefault="00F332DA" w:rsidP="00A934D2">
            <w:pPr>
              <w:spacing w:after="200"/>
              <w:ind w:left="601" w:hanging="601"/>
              <w:rPr>
                <w:szCs w:val="24"/>
              </w:rPr>
            </w:pPr>
            <w:r w:rsidRPr="00BD76AF">
              <w:rPr>
                <w:szCs w:val="24"/>
              </w:rPr>
              <w:t>9.5</w:t>
            </w:r>
            <w:r w:rsidRPr="00BD76AF">
              <w:rPr>
                <w:szCs w:val="24"/>
              </w:rPr>
              <w:tab/>
              <w:t xml:space="preserve">Tous les Équipements et Services de montage qui seront incorporés dans ou sont nécessaires aux Installations et autres fournitures doivent </w:t>
            </w:r>
            <w:r w:rsidRPr="00BD76AF">
              <w:t>répondre aux exigences indiquées à l’Annexe 6 (</w:t>
            </w:r>
            <w:r w:rsidRPr="00BD76AF">
              <w:rPr>
                <w:i/>
              </w:rPr>
              <w:t>Pays d’origine éligibles des Prêts APD du Japon</w:t>
            </w:r>
            <w:r w:rsidRPr="00BD76AF">
              <w:t>)</w:t>
            </w:r>
            <w:r w:rsidRPr="00BD76AF">
              <w:rPr>
                <w:szCs w:val="24"/>
              </w:rPr>
              <w:t xml:space="preserve"> de l’Acte d’engagement.</w:t>
            </w:r>
          </w:p>
          <w:p w14:paraId="2DB6AC8B" w14:textId="77777777" w:rsidR="00F332DA" w:rsidRPr="00BD76AF" w:rsidRDefault="00F332DA" w:rsidP="00A934D2">
            <w:pPr>
              <w:spacing w:after="200"/>
              <w:ind w:left="601" w:hanging="601"/>
              <w:rPr>
                <w:szCs w:val="24"/>
              </w:rPr>
            </w:pPr>
            <w:r w:rsidRPr="00BD76AF">
              <w:rPr>
                <w:szCs w:val="24"/>
              </w:rPr>
              <w:t>9.6</w:t>
            </w:r>
            <w:r w:rsidRPr="00BD76AF">
              <w:rPr>
                <w:szCs w:val="24"/>
              </w:rPr>
              <w:tab/>
              <w:t xml:space="preserve">Si l’Entrepreneur est un groupement, ce qui </w:t>
            </w:r>
            <w:r w:rsidRPr="00BD76AF">
              <w:t>signifie,</w:t>
            </w:r>
            <w:r w:rsidRPr="00BD76AF">
              <w:rPr>
                <w:szCs w:val="24"/>
              </w:rPr>
              <w:t xml:space="preserve"> aux fins de ce Marché, </w:t>
            </w:r>
            <w:r w:rsidRPr="00BD76AF">
              <w:t xml:space="preserve">un groupement, consortium, association ou groupe non constitué en personne morale de deux personnes ou plus, </w:t>
            </w:r>
            <w:r w:rsidRPr="00BD76AF">
              <w:rPr>
                <w:szCs w:val="24"/>
              </w:rPr>
              <w:t>ces entreprises seront solidairement tenues envers le Maître d’ouvrage de respecter les dispositions du Marché, et doivent désigner une de ces entreprises pour agir en qualité de mandataire avec pouvoir d’engager le groupement. La composition ou la constitution du groupement ne pourra être modifiée sans le consentement préalable du Maître d’ouvrage.</w:t>
            </w:r>
          </w:p>
        </w:tc>
      </w:tr>
      <w:tr w:rsidR="00F332DA" w:rsidRPr="00BD76AF" w14:paraId="582F0FC3" w14:textId="77777777" w:rsidTr="00DE35EE">
        <w:tc>
          <w:tcPr>
            <w:tcW w:w="2352" w:type="dxa"/>
            <w:shd w:val="clear" w:color="auto" w:fill="auto"/>
          </w:tcPr>
          <w:p w14:paraId="07DB81BA" w14:textId="77777777" w:rsidR="00F332DA" w:rsidRPr="00BD76AF" w:rsidRDefault="00F332DA" w:rsidP="007C71D1">
            <w:pPr>
              <w:pStyle w:val="S7Header2"/>
              <w:rPr>
                <w:szCs w:val="24"/>
              </w:rPr>
            </w:pPr>
            <w:bookmarkStart w:id="769" w:name="_Toc102050787"/>
            <w:r w:rsidRPr="00BD76AF">
              <w:rPr>
                <w:szCs w:val="24"/>
              </w:rPr>
              <w:t>10.</w:t>
            </w:r>
            <w:r w:rsidRPr="00BD76AF">
              <w:rPr>
                <w:szCs w:val="24"/>
              </w:rPr>
              <w:tab/>
              <w:t>Responsabilités du Maître d’ouvrage</w:t>
            </w:r>
            <w:bookmarkEnd w:id="769"/>
          </w:p>
        </w:tc>
        <w:tc>
          <w:tcPr>
            <w:tcW w:w="6936" w:type="dxa"/>
            <w:shd w:val="clear" w:color="auto" w:fill="auto"/>
          </w:tcPr>
          <w:p w14:paraId="0B0C5E97" w14:textId="77777777" w:rsidR="00F332DA" w:rsidRPr="00BD76AF" w:rsidRDefault="00F332DA" w:rsidP="00A934D2">
            <w:pPr>
              <w:spacing w:after="200"/>
              <w:ind w:left="601" w:hanging="601"/>
              <w:rPr>
                <w:szCs w:val="24"/>
              </w:rPr>
            </w:pPr>
            <w:r w:rsidRPr="00BD76AF">
              <w:rPr>
                <w:szCs w:val="24"/>
              </w:rPr>
              <w:t>10.1</w:t>
            </w:r>
            <w:r w:rsidRPr="00BD76AF">
              <w:rPr>
                <w:szCs w:val="24"/>
              </w:rPr>
              <w:tab/>
              <w:t>Toutes les informations et/ou données qui seront fournies par le Maître d’ouvrage telles qu’elles sont décrites dans les Exigences du Maître d’ouvrage, seront considérées comme étant exactes, sauf lorsque le Maître d’ouvrage indique expressément qu’elles ne le sont pas. L’Entrepreneur ne sera pas responsable des conséquences de divergences, erreurs, omissions ou inexactitudes dans ces informations et/ou données.</w:t>
            </w:r>
          </w:p>
          <w:p w14:paraId="74958C29" w14:textId="77777777" w:rsidR="00F332DA" w:rsidRPr="00BD76AF" w:rsidRDefault="00F332DA" w:rsidP="00A934D2">
            <w:pPr>
              <w:spacing w:after="200"/>
              <w:ind w:left="601" w:hanging="601"/>
              <w:rPr>
                <w:szCs w:val="24"/>
              </w:rPr>
            </w:pPr>
            <w:r w:rsidRPr="00BD76AF">
              <w:rPr>
                <w:szCs w:val="24"/>
              </w:rPr>
              <w:t>10.2</w:t>
            </w:r>
            <w:r w:rsidRPr="00BD76AF">
              <w:rPr>
                <w:szCs w:val="24"/>
              </w:rPr>
              <w:tab/>
              <w:t>Le Maître d’ouvrage doit être responsable de l’acquisition et de la mise à disposition de la possession du Site ainsi que de son accès, de la possession et de l’accès à toutes les autres zones raisonnablement nécessaires à la bonne exécution du Marché, y compris tous les droits de passage nécessaires, comme l’indique les Exigences</w:t>
            </w:r>
            <w:r w:rsidRPr="00BD76AF" w:rsidDel="008304B7">
              <w:rPr>
                <w:szCs w:val="24"/>
              </w:rPr>
              <w:t xml:space="preserve"> </w:t>
            </w:r>
            <w:r w:rsidRPr="00BD76AF">
              <w:rPr>
                <w:szCs w:val="24"/>
              </w:rPr>
              <w:t xml:space="preserve">du Maître d’ouvrage. Le Maître d’ouvrage doit donner à l’Entrepreneur cette possession et cet accès à ou avant la ou les dates fixées </w:t>
            </w:r>
            <w:r w:rsidRPr="00BD76AF">
              <w:rPr>
                <w:b/>
                <w:szCs w:val="24"/>
              </w:rPr>
              <w:t>dans les Données du Marché</w:t>
            </w:r>
            <w:r w:rsidRPr="00BD76AF">
              <w:rPr>
                <w:szCs w:val="24"/>
              </w:rPr>
              <w:t>.</w:t>
            </w:r>
          </w:p>
          <w:p w14:paraId="282F01C6" w14:textId="77777777" w:rsidR="00F332DA" w:rsidRPr="00BD76AF" w:rsidRDefault="00F332DA" w:rsidP="00A934D2">
            <w:pPr>
              <w:spacing w:after="200"/>
              <w:ind w:left="601" w:hanging="601"/>
              <w:rPr>
                <w:szCs w:val="24"/>
              </w:rPr>
            </w:pPr>
            <w:r w:rsidRPr="00BD76AF">
              <w:rPr>
                <w:szCs w:val="24"/>
              </w:rPr>
              <w:t>10.3</w:t>
            </w:r>
            <w:r w:rsidRPr="00BD76AF">
              <w:rPr>
                <w:szCs w:val="24"/>
              </w:rPr>
              <w:tab/>
              <w:t>Le Maître d’ouvrage doit obtenir et payer les droits pour tous les permis, autorisations et licences auprès de toutes les autorités administratives locales, régionales ou nationales ou des entreprises de service public dans le pays où se trouve le Site a) que ces autorités ou entreprises obligent le Maître d’ouvrage à obtenir en son nom propre, b) qui sont nécessaires à l’exécution du Marché, y compris ceux requis pour que l’Entrepreneur et le Maître d’ouvrage remplissent leurs obligations respectives en vertu du Marché, et c) qui sont indiqués dans les Exigences</w:t>
            </w:r>
            <w:r w:rsidRPr="00BD76AF" w:rsidDel="008304B7">
              <w:rPr>
                <w:szCs w:val="24"/>
              </w:rPr>
              <w:t xml:space="preserve"> </w:t>
            </w:r>
            <w:r w:rsidRPr="00BD76AF">
              <w:rPr>
                <w:szCs w:val="24"/>
              </w:rPr>
              <w:t>du Maître d’ouvrage.</w:t>
            </w:r>
          </w:p>
          <w:p w14:paraId="2E63CC97" w14:textId="77777777" w:rsidR="00F332DA" w:rsidRPr="00BD76AF" w:rsidRDefault="00F332DA" w:rsidP="00A934D2">
            <w:pPr>
              <w:spacing w:after="200"/>
              <w:ind w:left="601" w:hanging="601"/>
            </w:pPr>
            <w:r w:rsidRPr="00BD76AF">
              <w:rPr>
                <w:szCs w:val="24"/>
              </w:rPr>
              <w:t>10.4</w:t>
            </w:r>
            <w:r w:rsidRPr="00BD76AF">
              <w:rPr>
                <w:szCs w:val="24"/>
              </w:rPr>
              <w:tab/>
              <w:t>En cas de demande de l’Entrepreneur, le Maître d’ouvrage fera tout son possible pour l’aider à obtenir promptement tous les permis, autorisations et licences nécessaires à l’exécution du Marché auprès de toutes les autorités administratives locales, régionales ou nationales ou des entreprises de service public que ces autorités ou entreprises demandent à l’Entrepreneur, aux Sous-traitants ou au personnel de l’Entrepreneur ou des Sous-traitants d’obtenir.</w:t>
            </w:r>
            <w:r w:rsidRPr="00BD76AF">
              <w:t xml:space="preserve"> </w:t>
            </w:r>
          </w:p>
          <w:p w14:paraId="45AC9785" w14:textId="77777777" w:rsidR="00F332DA" w:rsidRPr="00BD76AF" w:rsidRDefault="00F332DA" w:rsidP="0079334B">
            <w:pPr>
              <w:spacing w:afterLines="50" w:after="120"/>
              <w:ind w:left="601" w:hanging="601"/>
              <w:rPr>
                <w:szCs w:val="24"/>
              </w:rPr>
            </w:pPr>
            <w:r w:rsidRPr="00BD76AF">
              <w:rPr>
                <w:szCs w:val="24"/>
              </w:rPr>
              <w:t>10.5</w:t>
            </w:r>
            <w:r w:rsidRPr="00BD76AF">
              <w:rPr>
                <w:szCs w:val="24"/>
              </w:rPr>
              <w:tab/>
              <w:t xml:space="preserve">Le Maître d’ouvrage doit apporter, avant la Date d’entrée en vigueur, et ultérieurement dans un délai de vingt-huit (28) jours après réception d’une demande de l’Entrepreneur, les justificatifs raisonnables démontrant que les </w:t>
            </w:r>
            <w:r w:rsidRPr="00BD76AF">
              <w:rPr>
                <w:szCs w:val="24"/>
                <w:lang w:eastAsia="ja-JP"/>
              </w:rPr>
              <w:t>accord</w:t>
            </w:r>
            <w:r w:rsidRPr="00BD76AF">
              <w:rPr>
                <w:szCs w:val="24"/>
              </w:rPr>
              <w:t>s financiers lui permettant de payer le Montant du Marché (tel qu’estimé à ce moment-là) conformément à l’Annexe 1 (</w:t>
            </w:r>
            <w:r w:rsidRPr="00BD76AF">
              <w:rPr>
                <w:i/>
              </w:rPr>
              <w:t>Conditions et procédures de règlement</w:t>
            </w:r>
            <w:r w:rsidRPr="00BD76AF">
              <w:rPr>
                <w:szCs w:val="24"/>
              </w:rPr>
              <w:t xml:space="preserve">) de l’Acte d’engagement ont été priss et seront maintenus. Avant que le Maître d’ouvrage ne procède à tout changement substantiel de ses </w:t>
            </w:r>
            <w:r w:rsidRPr="00BD76AF">
              <w:rPr>
                <w:rFonts w:hint="eastAsia"/>
                <w:szCs w:val="24"/>
                <w:lang w:eastAsia="ja-JP"/>
              </w:rPr>
              <w:t>a</w:t>
            </w:r>
            <w:r w:rsidRPr="00BD76AF">
              <w:rPr>
                <w:szCs w:val="24"/>
                <w:lang w:eastAsia="ja-JP"/>
              </w:rPr>
              <w:t>ccord</w:t>
            </w:r>
            <w:r w:rsidRPr="00BD76AF">
              <w:rPr>
                <w:szCs w:val="24"/>
              </w:rPr>
              <w:t>s financiers, le Maître d’ouvrage doit en notifier l´Entrepreneur, précisions à l’appui.</w:t>
            </w:r>
          </w:p>
          <w:p w14:paraId="093D9AEB" w14:textId="77777777" w:rsidR="00F332DA" w:rsidRPr="00BD76AF" w:rsidRDefault="00F332DA" w:rsidP="00A934D2">
            <w:pPr>
              <w:spacing w:after="200"/>
              <w:ind w:left="601"/>
              <w:rPr>
                <w:szCs w:val="24"/>
              </w:rPr>
            </w:pPr>
            <w:r w:rsidRPr="00BD76AF">
              <w:rPr>
                <w:szCs w:val="24"/>
              </w:rPr>
              <w:t>De plus, si la JICA a avisé l’Emprunteur que la JICA a suspendu ses décaissements au titre du prêt qui finance tout ou partie de l’exécution des travaux sur les Installations, le Maître d’ouvrage doit notifier l’Entrepreneur de cette suspension, précisions à l’appui et notamment la date de cet avis de la JICA, avec copie au Directeur de projet, dans un délai de sept (7) jours après que l’Emprunteur a reçu l’avis de suspension par la JICA. Si une source de financement alternative est disponible dans les monnaies appropriées, permettant au Maître d’ouvrage de continuer à effectuer les paiements à l’Entrepreneur au-delà de soixante (60) jours après la date de l’avis de suspension de la JICA, le Maître d’ouvrage devra justifier raisonnablement, dans sa notification à l’Entrepreneur, de la mesure dans laquelle cette source de financement est disponible.</w:t>
            </w:r>
          </w:p>
          <w:p w14:paraId="1B6CD56E" w14:textId="77777777" w:rsidR="00F332DA" w:rsidRPr="00BD76AF" w:rsidRDefault="00F332DA" w:rsidP="00A934D2">
            <w:pPr>
              <w:spacing w:after="200"/>
              <w:ind w:left="601" w:hanging="601"/>
              <w:rPr>
                <w:szCs w:val="24"/>
              </w:rPr>
            </w:pPr>
            <w:r w:rsidRPr="00BD76AF">
              <w:rPr>
                <w:szCs w:val="24"/>
              </w:rPr>
              <w:t>10.6</w:t>
            </w:r>
            <w:r w:rsidRPr="00BD76AF">
              <w:rPr>
                <w:szCs w:val="24"/>
              </w:rPr>
              <w:tab/>
              <w:t xml:space="preserve">Sauf disposition contraire dans le Marché ou accord entre l’Entrepreneur et le Maître d’ouvrage, le Maître d’ouvrage doit fournir, en nombre suffisant, un personnel d’exploitation et de maintenance dûment qualifié, fournir et mettre à disposition les matières premières, combustibles, lubrifiants, produits chimiques, catalyseurs, autres matériaux et outils d’installation, et exécuter tous les travaux et services de quelque nature que ce soit, y compris ceux requis par l’Entrepreneur pour la bonne exécution de la Pré-mise en service, de </w:t>
            </w:r>
            <w:smartTag w:uri="urn:schemas-microsoft-com:office:smarttags" w:element="PersonName">
              <w:smartTagPr>
                <w:attr w:name="ProductID" w:val="la Mise"/>
              </w:smartTagPr>
              <w:r w:rsidRPr="00BD76AF">
                <w:rPr>
                  <w:szCs w:val="24"/>
                </w:rPr>
                <w:t>la Mise</w:t>
              </w:r>
            </w:smartTag>
            <w:r w:rsidRPr="00BD76AF">
              <w:rPr>
                <w:szCs w:val="24"/>
              </w:rPr>
              <w:t xml:space="preserve"> en service et des Essais de garantie, le tout conformément aux Exigences</w:t>
            </w:r>
            <w:r w:rsidRPr="00BD76AF" w:rsidDel="008304B7">
              <w:rPr>
                <w:szCs w:val="24"/>
              </w:rPr>
              <w:t xml:space="preserve"> </w:t>
            </w:r>
            <w:r w:rsidRPr="00BD76AF">
              <w:rPr>
                <w:szCs w:val="24"/>
              </w:rPr>
              <w:t>du Maître d’ouvrage, au plus tard à la date fixée dans le programme fourni par l’Entrepreneur conformément à l’Article 18.2 (</w:t>
            </w:r>
            <w:r w:rsidRPr="00BD76AF">
              <w:rPr>
                <w:i/>
                <w:szCs w:val="24"/>
              </w:rPr>
              <w:t>Programme des travaux</w:t>
            </w:r>
            <w:r w:rsidRPr="00BD76AF">
              <w:rPr>
                <w:szCs w:val="24"/>
              </w:rPr>
              <w:t>) des CG, et de la manière indiquée ou convenue par ailleurs entre le Maître d’ouvrage et l’Entrepreneur.</w:t>
            </w:r>
          </w:p>
          <w:p w14:paraId="3944AF4F" w14:textId="77777777" w:rsidR="00F332DA" w:rsidRPr="00BD76AF" w:rsidRDefault="00F332DA" w:rsidP="00A934D2">
            <w:pPr>
              <w:spacing w:after="200"/>
              <w:ind w:left="601" w:hanging="601"/>
              <w:rPr>
                <w:szCs w:val="24"/>
              </w:rPr>
            </w:pPr>
            <w:r w:rsidRPr="00BD76AF">
              <w:rPr>
                <w:szCs w:val="24"/>
              </w:rPr>
              <w:t>10.7</w:t>
            </w:r>
            <w:r w:rsidRPr="00BD76AF">
              <w:rPr>
                <w:szCs w:val="24"/>
              </w:rPr>
              <w:tab/>
              <w:t>Tous les frais et dépenses engagés pour l’exécution des obligations à remplir en vertu du présent Article 10 des CG seront à la charge du Maître d’ouvrage, à l’exception des frais qui seront engagés par l’Entrepreneur dans le cadre de l’exécution des Essais de garantie conformément à l’Article 25.2 (</w:t>
            </w:r>
            <w:r w:rsidRPr="00BD76AF">
              <w:rPr>
                <w:i/>
                <w:szCs w:val="24"/>
              </w:rPr>
              <w:t>Essai de garantie</w:t>
            </w:r>
            <w:r w:rsidRPr="00BD76AF">
              <w:rPr>
                <w:szCs w:val="24"/>
              </w:rPr>
              <w:t>) des CG.</w:t>
            </w:r>
          </w:p>
          <w:p w14:paraId="1B063514" w14:textId="77777777" w:rsidR="00F332DA" w:rsidRPr="00BD76AF" w:rsidRDefault="00F332DA" w:rsidP="00A934D2">
            <w:pPr>
              <w:spacing w:after="200"/>
              <w:ind w:left="601" w:hanging="601"/>
              <w:rPr>
                <w:szCs w:val="24"/>
              </w:rPr>
            </w:pPr>
            <w:r w:rsidRPr="00BD76AF">
              <w:rPr>
                <w:szCs w:val="24"/>
              </w:rPr>
              <w:t>10.8</w:t>
            </w:r>
            <w:r w:rsidRPr="00BD76AF">
              <w:rPr>
                <w:szCs w:val="24"/>
              </w:rPr>
              <w:tab/>
              <w:t>Dans le cas où le Maître d’ouvrage ne remplirait pas une quelconque de ses obligations en vertu de cet Article, le coût supplémentaire en résultant pour l’Entrepreneur sera ajouté au Montant du Marché.</w:t>
            </w:r>
          </w:p>
        </w:tc>
      </w:tr>
    </w:tbl>
    <w:p w14:paraId="207CA154" w14:textId="77777777" w:rsidR="00F332DA" w:rsidRPr="00BD76AF" w:rsidRDefault="00F332DA" w:rsidP="00A616A4">
      <w:pPr>
        <w:pStyle w:val="S7Header1"/>
        <w:spacing w:before="240" w:afterLines="100" w:after="240"/>
        <w:rPr>
          <w:sz w:val="32"/>
          <w:szCs w:val="32"/>
        </w:rPr>
      </w:pPr>
      <w:bookmarkStart w:id="770" w:name="_Toc102050788"/>
      <w:r w:rsidRPr="00BD76AF">
        <w:rPr>
          <w:sz w:val="32"/>
          <w:szCs w:val="32"/>
        </w:rPr>
        <w:t>C.  Paiement</w:t>
      </w:r>
      <w:bookmarkEnd w:id="770"/>
    </w:p>
    <w:tbl>
      <w:tblPr>
        <w:tblW w:w="9288" w:type="dxa"/>
        <w:tblInd w:w="-74" w:type="dxa"/>
        <w:tblLayout w:type="fixed"/>
        <w:tblLook w:val="0000" w:firstRow="0" w:lastRow="0" w:firstColumn="0" w:lastColumn="0" w:noHBand="0" w:noVBand="0"/>
      </w:tblPr>
      <w:tblGrid>
        <w:gridCol w:w="2352"/>
        <w:gridCol w:w="6936"/>
      </w:tblGrid>
      <w:tr w:rsidR="00F332DA" w:rsidRPr="00BD76AF" w14:paraId="4879EF91" w14:textId="77777777" w:rsidTr="009E3A0D">
        <w:tc>
          <w:tcPr>
            <w:tcW w:w="2352" w:type="dxa"/>
          </w:tcPr>
          <w:p w14:paraId="6845E629" w14:textId="77777777" w:rsidR="00F332DA" w:rsidRPr="00BD76AF" w:rsidRDefault="00F332DA" w:rsidP="007C71D1">
            <w:pPr>
              <w:pStyle w:val="S7Header2"/>
              <w:rPr>
                <w:szCs w:val="24"/>
              </w:rPr>
            </w:pPr>
            <w:bookmarkStart w:id="771" w:name="_Toc102050789"/>
            <w:r w:rsidRPr="00BD76AF">
              <w:rPr>
                <w:szCs w:val="24"/>
              </w:rPr>
              <w:t>11.</w:t>
            </w:r>
            <w:r w:rsidRPr="00BD76AF">
              <w:rPr>
                <w:szCs w:val="24"/>
              </w:rPr>
              <w:tab/>
              <w:t>Montant du Marché</w:t>
            </w:r>
            <w:bookmarkEnd w:id="771"/>
          </w:p>
        </w:tc>
        <w:tc>
          <w:tcPr>
            <w:tcW w:w="6936" w:type="dxa"/>
          </w:tcPr>
          <w:p w14:paraId="5C9B9A25" w14:textId="77777777" w:rsidR="00F332DA" w:rsidRPr="00BD76AF" w:rsidRDefault="00F332DA" w:rsidP="00A934D2">
            <w:pPr>
              <w:spacing w:after="200"/>
              <w:ind w:left="601" w:hanging="601"/>
              <w:rPr>
                <w:szCs w:val="24"/>
              </w:rPr>
            </w:pPr>
            <w:r w:rsidRPr="00BD76AF">
              <w:rPr>
                <w:szCs w:val="24"/>
              </w:rPr>
              <w:t>11.1</w:t>
            </w:r>
            <w:r w:rsidRPr="00BD76AF">
              <w:rPr>
                <w:szCs w:val="24"/>
              </w:rPr>
              <w:tab/>
              <w:t>Le Montant du Marché sera le montant indiqué à l’Article 2 (</w:t>
            </w:r>
            <w:r w:rsidRPr="00BD76AF">
              <w:rPr>
                <w:i/>
                <w:szCs w:val="24"/>
              </w:rPr>
              <w:t>Montant du Marché et conditions de paiement</w:t>
            </w:r>
            <w:r w:rsidRPr="00BD76AF">
              <w:rPr>
                <w:szCs w:val="24"/>
              </w:rPr>
              <w:t>) de l’Acte d’engagement.</w:t>
            </w:r>
          </w:p>
          <w:p w14:paraId="587562D1" w14:textId="77777777" w:rsidR="00F332DA" w:rsidRPr="00BD76AF" w:rsidRDefault="00F332DA" w:rsidP="00A934D2">
            <w:pPr>
              <w:spacing w:after="200"/>
              <w:ind w:left="601" w:hanging="601"/>
              <w:rPr>
                <w:szCs w:val="24"/>
              </w:rPr>
            </w:pPr>
            <w:r w:rsidRPr="00BD76AF">
              <w:rPr>
                <w:szCs w:val="24"/>
              </w:rPr>
              <w:t>11.2</w:t>
            </w:r>
            <w:r w:rsidRPr="00BD76AF">
              <w:rPr>
                <w:szCs w:val="24"/>
              </w:rPr>
              <w:tab/>
            </w:r>
            <w:r w:rsidRPr="00BD76AF">
              <w:rPr>
                <w:b/>
                <w:szCs w:val="24"/>
              </w:rPr>
              <w:t>À moins que</w:t>
            </w:r>
            <w:r w:rsidRPr="00BD76AF">
              <w:rPr>
                <w:szCs w:val="24"/>
              </w:rPr>
              <w:t xml:space="preserve"> </w:t>
            </w:r>
            <w:r w:rsidRPr="00BD76AF">
              <w:rPr>
                <w:b/>
              </w:rPr>
              <w:t>les Données du Marché n’en disposent autrement</w:t>
            </w:r>
            <w:r w:rsidRPr="00BD76AF">
              <w:rPr>
                <w:szCs w:val="24"/>
              </w:rPr>
              <w:t>, le Montant du Marché sera une somme forfaitaire fixe ne faisant l’objet d’aucune révision, sauf dans le cas de modifications des Installations ou conformément à d’autres dispositions du Marché.</w:t>
            </w:r>
          </w:p>
          <w:p w14:paraId="2A5CE2EA" w14:textId="77777777" w:rsidR="00F332DA" w:rsidRPr="00BD76AF" w:rsidRDefault="00F332DA" w:rsidP="00A934D2">
            <w:pPr>
              <w:spacing w:after="200"/>
              <w:ind w:left="601" w:hanging="601"/>
              <w:rPr>
                <w:szCs w:val="24"/>
              </w:rPr>
            </w:pPr>
            <w:r w:rsidRPr="00BD76AF">
              <w:rPr>
                <w:szCs w:val="24"/>
              </w:rPr>
              <w:t>11.3</w:t>
            </w:r>
            <w:r w:rsidRPr="00BD76AF">
              <w:rPr>
                <w:szCs w:val="24"/>
              </w:rPr>
              <w:tab/>
              <w:t>Sous réserve des Articles 9.2, 10.1, et 35 des CG, l’Entrepreneur sera réputé s’être assuré par lui-même que le Montant du Marché est exact et suffisant, et qu’il couvre toutes les obligations qui lui incombent en vertu du Marché, sauf disposition contraire du Marché.</w:t>
            </w:r>
          </w:p>
        </w:tc>
      </w:tr>
      <w:tr w:rsidR="00F332DA" w:rsidRPr="00BD76AF" w14:paraId="30DF09AD" w14:textId="77777777" w:rsidTr="009E3A0D">
        <w:tc>
          <w:tcPr>
            <w:tcW w:w="2352" w:type="dxa"/>
          </w:tcPr>
          <w:p w14:paraId="08E86F3C" w14:textId="77777777" w:rsidR="00F332DA" w:rsidRPr="00BD76AF" w:rsidRDefault="00F332DA" w:rsidP="007C71D1">
            <w:pPr>
              <w:pStyle w:val="S7Header2"/>
              <w:rPr>
                <w:szCs w:val="24"/>
              </w:rPr>
            </w:pPr>
            <w:bookmarkStart w:id="772" w:name="_Toc102050790"/>
            <w:r w:rsidRPr="00BD76AF">
              <w:rPr>
                <w:szCs w:val="24"/>
              </w:rPr>
              <w:t>12.</w:t>
            </w:r>
            <w:r w:rsidRPr="00BD76AF">
              <w:rPr>
                <w:szCs w:val="24"/>
              </w:rPr>
              <w:tab/>
              <w:t>Conditions de paiement</w:t>
            </w:r>
            <w:bookmarkEnd w:id="772"/>
          </w:p>
        </w:tc>
        <w:tc>
          <w:tcPr>
            <w:tcW w:w="6936" w:type="dxa"/>
          </w:tcPr>
          <w:p w14:paraId="5800174E" w14:textId="77777777" w:rsidR="00F332DA" w:rsidRPr="00BD76AF" w:rsidRDefault="00F332DA" w:rsidP="00884A36">
            <w:pPr>
              <w:spacing w:afterLines="50" w:after="120"/>
              <w:ind w:left="601" w:hanging="601"/>
              <w:rPr>
                <w:szCs w:val="24"/>
              </w:rPr>
            </w:pPr>
            <w:r w:rsidRPr="00BD76AF">
              <w:rPr>
                <w:szCs w:val="24"/>
              </w:rPr>
              <w:t>12.1</w:t>
            </w:r>
            <w:r w:rsidRPr="00BD76AF">
              <w:rPr>
                <w:szCs w:val="24"/>
              </w:rPr>
              <w:tab/>
            </w:r>
            <w:r w:rsidRPr="00BD76AF">
              <w:rPr>
                <w:u w:val="single"/>
              </w:rPr>
              <w:t>Montant du Marché et procédures de paiement</w:t>
            </w:r>
          </w:p>
          <w:p w14:paraId="168AE241" w14:textId="77777777" w:rsidR="00F332DA" w:rsidRPr="00BD76AF" w:rsidRDefault="00F332DA" w:rsidP="0079334B">
            <w:pPr>
              <w:spacing w:afterLines="50" w:after="120"/>
              <w:ind w:left="601"/>
              <w:rPr>
                <w:szCs w:val="24"/>
              </w:rPr>
            </w:pPr>
            <w:r w:rsidRPr="00BD76AF">
              <w:rPr>
                <w:szCs w:val="24"/>
              </w:rPr>
              <w:t>Le Montant du Marché doit être payé comme indiqué à l’Article 2 (</w:t>
            </w:r>
            <w:r w:rsidRPr="00BD76AF">
              <w:rPr>
                <w:i/>
                <w:szCs w:val="24"/>
              </w:rPr>
              <w:t>Montant du Marché et conditions de paiement</w:t>
            </w:r>
            <w:r w:rsidRPr="00BD76AF">
              <w:rPr>
                <w:szCs w:val="24"/>
              </w:rPr>
              <w:t>) de l’Acte d’engagement, le présent Article 12 des CG et l’Annexe 1 (</w:t>
            </w:r>
            <w:r w:rsidRPr="00BD76AF">
              <w:rPr>
                <w:i/>
              </w:rPr>
              <w:t>Conditions et procédures de règlement</w:t>
            </w:r>
            <w:r w:rsidRPr="00BD76AF">
              <w:t>)</w:t>
            </w:r>
            <w:r w:rsidRPr="00BD76AF">
              <w:rPr>
                <w:szCs w:val="24"/>
              </w:rPr>
              <w:t xml:space="preserve"> de l’Acte d’engagement, qui précise également la procédure à suivre pour demander et réaliser les paiements.</w:t>
            </w:r>
          </w:p>
          <w:p w14:paraId="6916A610" w14:textId="77777777" w:rsidR="00F332DA" w:rsidRPr="00BD76AF" w:rsidRDefault="00F332DA" w:rsidP="0079334B">
            <w:pPr>
              <w:spacing w:afterLines="50" w:after="120"/>
              <w:ind w:left="601"/>
              <w:rPr>
                <w:szCs w:val="24"/>
              </w:rPr>
            </w:pPr>
            <w:r w:rsidRPr="00BD76AF">
              <w:rPr>
                <w:szCs w:val="24"/>
              </w:rPr>
              <w:t>Aucun paiement effectué par le Maître d’ouvrage en vertu des présentes ne sera réputé valoir acceptation par le Maître d’ouvrage des Installations ou de toute(s) partie(s) de celles-ci.</w:t>
            </w:r>
          </w:p>
          <w:p w14:paraId="24ED9479" w14:textId="77777777" w:rsidR="00F332DA" w:rsidRPr="00BD76AF" w:rsidRDefault="00F332DA" w:rsidP="001F3E12">
            <w:pPr>
              <w:spacing w:after="200"/>
              <w:ind w:left="607" w:hanging="6"/>
              <w:rPr>
                <w:lang w:eastAsia="ja-JP"/>
              </w:rPr>
            </w:pPr>
            <w:r w:rsidRPr="00BD76AF">
              <w:rPr>
                <w:lang w:eastAsia="ja-JP"/>
              </w:rPr>
              <w:t xml:space="preserve">Toutefois, si un élément des équipements et service de montage doit être payé selon une quantité fournie ou un travail effectué, les dispositions pour le </w:t>
            </w:r>
            <w:r w:rsidRPr="00BD76AF">
              <w:rPr>
                <w:szCs w:val="24"/>
              </w:rPr>
              <w:t>métré</w:t>
            </w:r>
            <w:r w:rsidRPr="00BD76AF">
              <w:rPr>
                <w:lang w:eastAsia="ja-JP"/>
              </w:rPr>
              <w:t xml:space="preserve"> et l’évaluation seront telles que décrites dans l</w:t>
            </w:r>
            <w:r w:rsidRPr="00BD76AF">
              <w:rPr>
                <w:szCs w:val="24"/>
              </w:rPr>
              <w:t>’Annexe 1 (</w:t>
            </w:r>
            <w:r w:rsidRPr="00BD76AF">
              <w:rPr>
                <w:i/>
              </w:rPr>
              <w:t>Conditions et procédures de règlement</w:t>
            </w:r>
            <w:r w:rsidRPr="00BD76AF">
              <w:t>)</w:t>
            </w:r>
            <w:r w:rsidRPr="00BD76AF">
              <w:rPr>
                <w:lang w:eastAsia="ja-JP"/>
              </w:rPr>
              <w:t xml:space="preserve"> et le Montant du Marché sera déterminé en conséquence. Toutes les quantités présentées dans un Bordereau sont des quantités estimées et ne doivent pas être considérées comme des quantités réelles et correctes des Équipements et Services de montage que l’Entrepreneur doit exécuter ; et toutes les quantités ou données de prix présentées dans un Bordereau doivent </w:t>
            </w:r>
            <w:r w:rsidRPr="00BD76AF">
              <w:rPr>
                <w:rFonts w:hint="eastAsia"/>
                <w:lang w:eastAsia="ja-JP"/>
              </w:rPr>
              <w:t>ê</w:t>
            </w:r>
            <w:r w:rsidRPr="00BD76AF">
              <w:rPr>
                <w:lang w:eastAsia="ja-JP"/>
              </w:rPr>
              <w:t>tre utilisées pour les besoins mentionnés dans le Bordereau et peuvent être inapplicables pour d’autres besoins.</w:t>
            </w:r>
          </w:p>
          <w:p w14:paraId="4965A592" w14:textId="77777777" w:rsidR="00F332DA" w:rsidRPr="00BD76AF" w:rsidRDefault="00F332DA" w:rsidP="0058127D">
            <w:pPr>
              <w:spacing w:after="200"/>
              <w:ind w:left="607" w:hanging="6"/>
              <w:rPr>
                <w:szCs w:val="24"/>
              </w:rPr>
            </w:pPr>
            <w:r w:rsidRPr="00BD76AF">
              <w:rPr>
                <w:szCs w:val="24"/>
              </w:rPr>
              <w:t>La ou les monnaies dans lesquelles les paiements doivent être effectués à l’Entrepreneur en vertu du Marché doivent être indiquées à l’Article 2.1 de l’Acte d’engagement, sous réserve du principe général que les paiements seront effectués dans la ou les monnaies dans lesquelles le Montant du Marché a été spécifié dans l’offre de l’Entrepreneur.</w:t>
            </w:r>
          </w:p>
          <w:p w14:paraId="5B8DB40B" w14:textId="77777777" w:rsidR="00F332DA" w:rsidRPr="00BD76AF" w:rsidRDefault="00F332DA" w:rsidP="00BE1675">
            <w:pPr>
              <w:spacing w:afterLines="50" w:after="120"/>
              <w:ind w:left="601" w:hanging="601"/>
              <w:rPr>
                <w:b/>
              </w:rPr>
            </w:pPr>
            <w:r w:rsidRPr="00BD76AF">
              <w:rPr>
                <w:rFonts w:hint="eastAsia"/>
                <w:szCs w:val="24"/>
              </w:rPr>
              <w:t>12.2</w:t>
            </w:r>
            <w:r w:rsidRPr="00BD76AF">
              <w:rPr>
                <w:szCs w:val="24"/>
              </w:rPr>
              <w:tab/>
            </w:r>
            <w:r w:rsidRPr="00BD76AF">
              <w:rPr>
                <w:u w:val="single"/>
              </w:rPr>
              <w:t>Paiement</w:t>
            </w:r>
          </w:p>
          <w:p w14:paraId="6640FA50" w14:textId="77777777" w:rsidR="00F332DA" w:rsidRPr="00BD76AF" w:rsidRDefault="00F332DA" w:rsidP="00BE1675">
            <w:pPr>
              <w:spacing w:afterLines="50" w:after="120"/>
              <w:ind w:left="606" w:hanging="5"/>
            </w:pPr>
            <w:r w:rsidRPr="00BD76AF">
              <w:t>Le Maître d’ouvrage doit payer à l’Entrepreneur :</w:t>
            </w:r>
          </w:p>
          <w:p w14:paraId="65CFB39D" w14:textId="77777777" w:rsidR="00F332DA" w:rsidRPr="00BD76AF" w:rsidRDefault="00F332DA" w:rsidP="00BE1675">
            <w:pPr>
              <w:spacing w:afterLines="50" w:after="120"/>
              <w:ind w:left="1177" w:hanging="576"/>
              <w:rPr>
                <w:lang w:eastAsia="ja-JP"/>
              </w:rPr>
            </w:pPr>
            <w:r w:rsidRPr="00BD76AF">
              <w:t xml:space="preserve">a) </w:t>
            </w:r>
            <w:r w:rsidRPr="00BD76AF">
              <w:tab/>
              <w:t>l’avance de paiement dans un délai de vingt-et-un (21) jours après que le Directeur de projet a reçu la facture et les documents indiqués dans l’Annexe 1 (</w:t>
            </w:r>
            <w:r w:rsidRPr="00BD76AF">
              <w:rPr>
                <w:i/>
              </w:rPr>
              <w:t>Conditions et procédures de règlement</w:t>
            </w:r>
            <w:r w:rsidRPr="00BD76AF">
              <w:t>) de l’Acte d’engagement ;</w:t>
            </w:r>
          </w:p>
          <w:p w14:paraId="6C2A8518" w14:textId="77777777" w:rsidR="00F332DA" w:rsidRPr="00BD76AF" w:rsidRDefault="00F332DA" w:rsidP="0058127D">
            <w:pPr>
              <w:spacing w:after="200"/>
              <w:ind w:left="1179" w:hanging="578"/>
            </w:pPr>
            <w:r w:rsidRPr="00BD76AF">
              <w:t xml:space="preserve">b) </w:t>
            </w:r>
            <w:r w:rsidRPr="00BD76AF">
              <w:tab/>
              <w:t>le montant approuvé par le Directeur de projet concernant chaque demande ultérieure de paiement, dans un délai de cinquante-six (56) jours après que le Directeur de projet a reçu la facture et les documents indiqués dans l’Annexe 1 (</w:t>
            </w:r>
            <w:r w:rsidRPr="00BD76AF">
              <w:rPr>
                <w:i/>
              </w:rPr>
              <w:t>Conditions et procédures de règlement</w:t>
            </w:r>
            <w:r w:rsidRPr="00BD76AF">
              <w:t>) de l’Acte d’engagement ; ou, lorsque le prêt ou crédit de la JICA (à partir duquel une partie des paiements est effectuée) est suspendu, le montant figurant sur toute facture soumise par l’Entrepreneur dans un délai de quatorze (14) jours suivant la soumission d’une telle facture, toute incohérence étant rectifiée dans le paiement suivant à l’Entrepreneur.</w:t>
            </w:r>
          </w:p>
          <w:p w14:paraId="3640DB9C" w14:textId="77777777" w:rsidR="00F332DA" w:rsidRPr="00BD76AF" w:rsidRDefault="00F332DA" w:rsidP="00B1248B">
            <w:pPr>
              <w:spacing w:afterLines="50" w:after="120"/>
              <w:ind w:left="601" w:hanging="601"/>
              <w:rPr>
                <w:szCs w:val="24"/>
              </w:rPr>
            </w:pPr>
            <w:r w:rsidRPr="00BD76AF">
              <w:rPr>
                <w:szCs w:val="24"/>
              </w:rPr>
              <w:t>12.3</w:t>
            </w:r>
            <w:r w:rsidRPr="00BD76AF">
              <w:rPr>
                <w:szCs w:val="24"/>
              </w:rPr>
              <w:tab/>
            </w:r>
            <w:r w:rsidRPr="00BD76AF">
              <w:rPr>
                <w:rFonts w:eastAsia="Times New Roman"/>
                <w:u w:val="single"/>
              </w:rPr>
              <w:t>Procédure de décaissement de la JICA</w:t>
            </w:r>
          </w:p>
          <w:p w14:paraId="7135CD1B" w14:textId="77777777" w:rsidR="00F332DA" w:rsidRPr="00BD76AF" w:rsidRDefault="00F332DA" w:rsidP="00BE1675">
            <w:pPr>
              <w:spacing w:afterLines="50" w:after="120"/>
              <w:ind w:left="601" w:hanging="601"/>
              <w:rPr>
                <w:iCs/>
                <w:szCs w:val="24"/>
                <w:lang w:eastAsia="ja-JP"/>
              </w:rPr>
            </w:pPr>
            <w:r w:rsidRPr="00BD76AF">
              <w:tab/>
            </w:r>
            <w:r w:rsidRPr="00BD76AF">
              <w:rPr>
                <w:iCs/>
                <w:szCs w:val="24"/>
                <w:lang w:eastAsia="ja-JP"/>
              </w:rPr>
              <w:t>Tout paiement du montant dû :</w:t>
            </w:r>
          </w:p>
          <w:p w14:paraId="380A720E" w14:textId="77777777" w:rsidR="00F332DA" w:rsidRPr="00BD76AF" w:rsidRDefault="00F332DA" w:rsidP="00BE1675">
            <w:pPr>
              <w:spacing w:afterLines="50" w:after="120"/>
              <w:ind w:left="1055" w:hanging="454"/>
              <w:rPr>
                <w:iCs/>
                <w:szCs w:val="24"/>
                <w:lang w:eastAsia="ja-JP"/>
              </w:rPr>
            </w:pPr>
            <w:r w:rsidRPr="00BD76AF">
              <w:rPr>
                <w:szCs w:val="24"/>
              </w:rPr>
              <w:t xml:space="preserve">a) </w:t>
            </w:r>
            <w:r w:rsidRPr="00BD76AF">
              <w:rPr>
                <w:szCs w:val="24"/>
              </w:rPr>
              <w:tab/>
              <w:t xml:space="preserve">en </w:t>
            </w:r>
            <w:r w:rsidRPr="00BD76AF">
              <w:rPr>
                <w:iCs/>
                <w:szCs w:val="24"/>
                <w:lang w:eastAsia="ja-JP"/>
              </w:rPr>
              <w:t xml:space="preserve">monnaie nationale, payable sur les fonds provenant du Prêt, sera effectué conformément aux dispositions </w:t>
            </w:r>
            <w:r w:rsidRPr="00BD76AF">
              <w:rPr>
                <w:b/>
                <w:iCs/>
                <w:szCs w:val="24"/>
                <w:lang w:eastAsia="ja-JP"/>
              </w:rPr>
              <w:t>indiquées dans les Données du Marché</w:t>
            </w:r>
            <w:r w:rsidRPr="00BD76AF">
              <w:rPr>
                <w:iCs/>
                <w:szCs w:val="24"/>
                <w:lang w:eastAsia="ja-JP"/>
              </w:rPr>
              <w:t xml:space="preserve"> ; et</w:t>
            </w:r>
          </w:p>
          <w:p w14:paraId="03C656A3" w14:textId="77777777" w:rsidR="00F332DA" w:rsidRPr="00BD76AF" w:rsidRDefault="00F332DA" w:rsidP="00BE1675">
            <w:pPr>
              <w:spacing w:afterLines="50" w:after="120"/>
              <w:ind w:left="1055" w:hanging="454"/>
              <w:rPr>
                <w:iCs/>
                <w:szCs w:val="24"/>
                <w:lang w:eastAsia="ja-JP"/>
              </w:rPr>
            </w:pPr>
            <w:r w:rsidRPr="00BD76AF">
              <w:rPr>
                <w:szCs w:val="24"/>
              </w:rPr>
              <w:t>b)</w:t>
            </w:r>
            <w:r w:rsidRPr="00BD76AF">
              <w:rPr>
                <w:szCs w:val="24"/>
              </w:rPr>
              <w:tab/>
              <w:t xml:space="preserve">en </w:t>
            </w:r>
            <w:r w:rsidRPr="00BD76AF">
              <w:rPr>
                <w:iCs/>
                <w:szCs w:val="24"/>
                <w:lang w:eastAsia="ja-JP"/>
              </w:rPr>
              <w:t xml:space="preserve">monnaie étrangère, payable sur les fonds provenant du Prêt, sera effectué conformément aux dispositions </w:t>
            </w:r>
            <w:r w:rsidRPr="00BD76AF">
              <w:rPr>
                <w:b/>
                <w:iCs/>
                <w:szCs w:val="24"/>
                <w:lang w:eastAsia="ja-JP"/>
              </w:rPr>
              <w:t>indiquées dans les Données du Marché</w:t>
            </w:r>
            <w:r w:rsidRPr="00BD76AF">
              <w:rPr>
                <w:iCs/>
                <w:szCs w:val="24"/>
                <w:lang w:eastAsia="ja-JP"/>
              </w:rPr>
              <w:t>,</w:t>
            </w:r>
          </w:p>
          <w:p w14:paraId="6AF64CA1" w14:textId="77777777" w:rsidR="00F332DA" w:rsidRPr="00BD76AF" w:rsidRDefault="00F332DA" w:rsidP="00021FB8">
            <w:pPr>
              <w:pStyle w:val="ClauseSubList"/>
              <w:spacing w:afterLines="50" w:after="120"/>
              <w:ind w:left="601" w:firstLine="0"/>
              <w:jc w:val="both"/>
              <w:rPr>
                <w:iCs/>
                <w:sz w:val="24"/>
                <w:szCs w:val="24"/>
                <w:lang w:val="fr-FR" w:eastAsia="ja-JP"/>
              </w:rPr>
            </w:pPr>
            <w:r w:rsidRPr="00BD76AF">
              <w:rPr>
                <w:iCs/>
                <w:sz w:val="24"/>
                <w:szCs w:val="24"/>
                <w:lang w:val="fr-FR" w:eastAsia="ja-JP"/>
              </w:rPr>
              <w:t>conformément aux procédures de d</w:t>
            </w:r>
            <w:r w:rsidRPr="00BD76AF">
              <w:rPr>
                <w:rFonts w:eastAsia="Times New Roman"/>
                <w:lang w:val="fr-FR"/>
              </w:rPr>
              <w:t xml:space="preserve">écaissement de la JICA </w:t>
            </w:r>
            <w:r w:rsidRPr="00BD76AF">
              <w:rPr>
                <w:b/>
                <w:iCs/>
                <w:sz w:val="24"/>
                <w:szCs w:val="24"/>
                <w:lang w:val="fr-FR" w:eastAsia="ja-JP"/>
              </w:rPr>
              <w:t>stipulées dans les Données du Marché</w:t>
            </w:r>
            <w:r w:rsidRPr="00BD76AF">
              <w:rPr>
                <w:iCs/>
                <w:sz w:val="24"/>
                <w:szCs w:val="24"/>
                <w:lang w:val="fr-FR" w:eastAsia="ja-JP"/>
              </w:rPr>
              <w:t>.</w:t>
            </w:r>
          </w:p>
          <w:p w14:paraId="05E6BD25" w14:textId="77777777" w:rsidR="00F332DA" w:rsidRPr="00BD76AF" w:rsidRDefault="00F332DA" w:rsidP="00021FB8">
            <w:pPr>
              <w:pStyle w:val="ClauseSubList"/>
              <w:spacing w:afterLines="50" w:after="120"/>
              <w:ind w:left="601" w:firstLine="0"/>
              <w:jc w:val="both"/>
              <w:rPr>
                <w:iCs/>
                <w:sz w:val="24"/>
                <w:szCs w:val="24"/>
                <w:lang w:val="fr-FR" w:eastAsia="ja-JP"/>
              </w:rPr>
            </w:pPr>
            <w:r w:rsidRPr="00BD76AF">
              <w:rPr>
                <w:iCs/>
                <w:sz w:val="24"/>
                <w:szCs w:val="24"/>
                <w:lang w:val="fr-FR" w:eastAsia="ja-JP"/>
              </w:rPr>
              <w:t>Tout paiement provenant de toute source de financement autre que le Prêt, tel que les fonds propres du Maître d’ouvrage, sera effectué directement sur le compte bancaire, désigné par l’Entrepreneur, dans le pays de paiement tel que spécifié dans le Marché pour cette monnaie.</w:t>
            </w:r>
          </w:p>
          <w:p w14:paraId="7FF2E345" w14:textId="77777777" w:rsidR="00F332DA" w:rsidRPr="00BD76AF" w:rsidRDefault="00F332DA" w:rsidP="0058127D">
            <w:pPr>
              <w:pStyle w:val="ClauseSubList"/>
              <w:spacing w:after="200"/>
              <w:ind w:left="601" w:firstLine="0"/>
              <w:jc w:val="both"/>
              <w:rPr>
                <w:iCs/>
                <w:sz w:val="24"/>
                <w:szCs w:val="24"/>
                <w:lang w:val="fr-FR" w:eastAsia="ja-JP"/>
              </w:rPr>
            </w:pPr>
            <w:r w:rsidRPr="00BD76AF">
              <w:rPr>
                <w:iCs/>
                <w:sz w:val="24"/>
                <w:szCs w:val="24"/>
                <w:lang w:val="fr-FR"/>
              </w:rPr>
              <w:t>Tous les frais ou dépenses liés à la remise de fonds de la JICA ou du Maître d’ouvrage sur le compte de l’Entrepreneur, y compris mais non limité à ceux des commissions d’ouverture et de modification de la lettre de crédit, sont à la charge exclusive du Ma</w:t>
            </w:r>
            <w:r w:rsidRPr="00BD76AF">
              <w:rPr>
                <w:rFonts w:hint="eastAsia"/>
                <w:iCs/>
                <w:sz w:val="24"/>
                <w:szCs w:val="24"/>
                <w:lang w:val="fr-FR"/>
              </w:rPr>
              <w:t>î</w:t>
            </w:r>
            <w:r w:rsidRPr="00BD76AF">
              <w:rPr>
                <w:iCs/>
                <w:sz w:val="24"/>
                <w:szCs w:val="24"/>
                <w:lang w:val="fr-FR"/>
              </w:rPr>
              <w:t>tre d’ouvrage.</w:t>
            </w:r>
          </w:p>
          <w:p w14:paraId="2405BC10" w14:textId="77777777" w:rsidR="00F332DA" w:rsidRPr="00BD76AF" w:rsidRDefault="00F332DA" w:rsidP="00B1248B">
            <w:pPr>
              <w:spacing w:afterLines="50" w:after="120"/>
              <w:ind w:left="601" w:hanging="601"/>
              <w:rPr>
                <w:szCs w:val="24"/>
              </w:rPr>
            </w:pPr>
            <w:r w:rsidRPr="00BD76AF">
              <w:rPr>
                <w:szCs w:val="24"/>
              </w:rPr>
              <w:t>12.4</w:t>
            </w:r>
            <w:r w:rsidRPr="00BD76AF">
              <w:rPr>
                <w:szCs w:val="24"/>
              </w:rPr>
              <w:tab/>
            </w:r>
            <w:r w:rsidRPr="00BD76AF">
              <w:rPr>
                <w:szCs w:val="24"/>
                <w:u w:val="single"/>
              </w:rPr>
              <w:t>Retard de paiement</w:t>
            </w:r>
          </w:p>
          <w:p w14:paraId="0B0C7E2B" w14:textId="77777777" w:rsidR="00F332DA" w:rsidRPr="00BD76AF" w:rsidRDefault="00F332DA" w:rsidP="0079334B">
            <w:pPr>
              <w:spacing w:afterLines="50" w:after="120"/>
              <w:ind w:left="601"/>
            </w:pPr>
            <w:r w:rsidRPr="00BD76AF">
              <w:rPr>
                <w:szCs w:val="24"/>
              </w:rPr>
              <w:t>Si l´Entrepreneur ne reçoit pas le paiement à la date prévue conformément à l’Article 12.2 (</w:t>
            </w:r>
            <w:r w:rsidRPr="00BD76AF">
              <w:rPr>
                <w:i/>
                <w:szCs w:val="24"/>
              </w:rPr>
              <w:t>Paiement</w:t>
            </w:r>
            <w:r w:rsidRPr="00BD76AF">
              <w:rPr>
                <w:szCs w:val="24"/>
              </w:rPr>
              <w:t>) des CG, l’Entrepreneur sera en droit d’obtenir le paiement d’intérêts de retard composés mensuellement sur le montant impayé pendant la période de retard</w:t>
            </w:r>
            <w:r w:rsidRPr="00BD76AF" w:rsidDel="00FA18AB">
              <w:rPr>
                <w:szCs w:val="24"/>
              </w:rPr>
              <w:t xml:space="preserve"> </w:t>
            </w:r>
            <w:r w:rsidRPr="00BD76AF">
              <w:rPr>
                <w:szCs w:val="24"/>
              </w:rPr>
              <w:t>jusqu</w:t>
            </w:r>
            <w:r w:rsidRPr="00BD76AF">
              <w:rPr>
                <w:lang w:eastAsia="ja-JP"/>
              </w:rPr>
              <w:t>’</w:t>
            </w:r>
            <w:r w:rsidRPr="00BD76AF">
              <w:rPr>
                <w:szCs w:val="24"/>
              </w:rPr>
              <w:t>au paiement complet, que ce soit avant ou après un jugement ou une décision arbitrale.</w:t>
            </w:r>
          </w:p>
          <w:p w14:paraId="7950EE9E" w14:textId="77777777" w:rsidR="00F332DA" w:rsidRPr="00BD76AF" w:rsidRDefault="00F332DA" w:rsidP="0058127D">
            <w:pPr>
              <w:spacing w:after="200"/>
              <w:ind w:left="601"/>
              <w:rPr>
                <w:szCs w:val="24"/>
              </w:rPr>
            </w:pPr>
            <w:r w:rsidRPr="00BD76AF">
              <w:rPr>
                <w:lang w:eastAsia="ja-JP"/>
              </w:rPr>
              <w:t>Ces intérêts de retard doivent être calculés sur la base d’un taux annuel de trois pour cent au-dessus du taux d’escompte de la banque centrale du pays de la monnaie de paiement ou, si le taux d’escompte n’est pas disponible, du taux interbancaire proposé, et ils doivent être payés dans cette monnaie.</w:t>
            </w:r>
          </w:p>
        </w:tc>
      </w:tr>
      <w:tr w:rsidR="00F332DA" w:rsidRPr="00BD76AF" w14:paraId="5B982DCB" w14:textId="77777777" w:rsidTr="009E3A0D">
        <w:tc>
          <w:tcPr>
            <w:tcW w:w="2352" w:type="dxa"/>
          </w:tcPr>
          <w:p w14:paraId="77830970" w14:textId="77777777" w:rsidR="00F332DA" w:rsidRPr="00BD76AF" w:rsidRDefault="00F332DA" w:rsidP="007C71D1">
            <w:pPr>
              <w:pStyle w:val="S7Header2"/>
              <w:rPr>
                <w:szCs w:val="24"/>
              </w:rPr>
            </w:pPr>
            <w:bookmarkStart w:id="773" w:name="_Toc102050791"/>
            <w:r w:rsidRPr="00BD76AF">
              <w:rPr>
                <w:szCs w:val="24"/>
              </w:rPr>
              <w:t>13.</w:t>
            </w:r>
            <w:r w:rsidRPr="00BD76AF">
              <w:rPr>
                <w:szCs w:val="24"/>
              </w:rPr>
              <w:tab/>
              <w:t>Garanties</w:t>
            </w:r>
            <w:bookmarkEnd w:id="773"/>
          </w:p>
        </w:tc>
        <w:tc>
          <w:tcPr>
            <w:tcW w:w="6936" w:type="dxa"/>
          </w:tcPr>
          <w:p w14:paraId="790DF47C" w14:textId="77777777" w:rsidR="00F332DA" w:rsidRPr="00BD76AF" w:rsidRDefault="00F332DA" w:rsidP="00884A36">
            <w:pPr>
              <w:spacing w:afterLines="50" w:after="120"/>
              <w:ind w:left="601" w:hanging="601"/>
              <w:rPr>
                <w:szCs w:val="24"/>
              </w:rPr>
            </w:pPr>
            <w:r w:rsidRPr="00BD76AF">
              <w:rPr>
                <w:szCs w:val="24"/>
              </w:rPr>
              <w:t>13.1</w:t>
            </w:r>
            <w:r w:rsidRPr="00BD76AF">
              <w:rPr>
                <w:szCs w:val="24"/>
              </w:rPr>
              <w:tab/>
            </w:r>
            <w:r w:rsidRPr="00BD76AF">
              <w:rPr>
                <w:szCs w:val="24"/>
                <w:u w:val="single"/>
              </w:rPr>
              <w:t>Émission des garanties</w:t>
            </w:r>
          </w:p>
          <w:p w14:paraId="27694158" w14:textId="77777777" w:rsidR="00F332DA" w:rsidRPr="00BD76AF" w:rsidRDefault="00F332DA" w:rsidP="0058127D">
            <w:pPr>
              <w:spacing w:after="200"/>
              <w:ind w:left="601"/>
              <w:rPr>
                <w:szCs w:val="24"/>
              </w:rPr>
            </w:pPr>
            <w:r w:rsidRPr="00BD76AF">
              <w:rPr>
                <w:szCs w:val="24"/>
              </w:rPr>
              <w:t>L’</w:t>
            </w:r>
            <w:r w:rsidRPr="00BD76AF">
              <w:t>Entrepreneur</w:t>
            </w:r>
            <w:r w:rsidRPr="00BD76AF">
              <w:rPr>
                <w:szCs w:val="24"/>
              </w:rPr>
              <w:t xml:space="preserve"> doit fournir les garanties indiquées ci-dessous en faveur du Maître d’ouvrage dans les délais, pour le montant, suivant la manière et sous la forme décrits ci-après.</w:t>
            </w:r>
          </w:p>
          <w:p w14:paraId="0BFC9008" w14:textId="77777777" w:rsidR="00F332DA" w:rsidRPr="00BD76AF" w:rsidRDefault="00F332DA" w:rsidP="00884A36">
            <w:pPr>
              <w:spacing w:afterLines="50" w:after="120"/>
              <w:ind w:left="601" w:hanging="601"/>
              <w:rPr>
                <w:szCs w:val="24"/>
              </w:rPr>
            </w:pPr>
            <w:r w:rsidRPr="00BD76AF">
              <w:rPr>
                <w:szCs w:val="24"/>
              </w:rPr>
              <w:t>13.2</w:t>
            </w:r>
            <w:r w:rsidRPr="00BD76AF">
              <w:rPr>
                <w:szCs w:val="24"/>
              </w:rPr>
              <w:tab/>
            </w:r>
            <w:r w:rsidRPr="00BD76AF">
              <w:rPr>
                <w:szCs w:val="24"/>
                <w:u w:val="single"/>
              </w:rPr>
              <w:t>Garantie de restitution d’avance</w:t>
            </w:r>
          </w:p>
          <w:p w14:paraId="732E4C2F" w14:textId="77777777" w:rsidR="00F332DA" w:rsidRPr="00BD76AF" w:rsidRDefault="00F332DA" w:rsidP="0058127D">
            <w:pPr>
              <w:spacing w:after="200"/>
              <w:ind w:left="1440" w:hanging="839"/>
              <w:rPr>
                <w:szCs w:val="24"/>
              </w:rPr>
            </w:pPr>
            <w:r w:rsidRPr="00BD76AF">
              <w:rPr>
                <w:szCs w:val="24"/>
              </w:rPr>
              <w:t>13.2.1</w:t>
            </w:r>
            <w:r w:rsidRPr="00BD76AF">
              <w:rPr>
                <w:szCs w:val="24"/>
              </w:rPr>
              <w:tab/>
              <w:t xml:space="preserve">Dans un délai de vingt-huit (28) jours suivant la réception de la Lettre d’acceptation de l’offre, l’Entrepreneur devra fournir une garantie d’un montant égal au total de l’avance. Ce montant doit être calculé en appliquant le pourcentage </w:t>
            </w:r>
            <w:r w:rsidRPr="00BD76AF">
              <w:rPr>
                <w:b/>
                <w:szCs w:val="24"/>
              </w:rPr>
              <w:t>mentionné dans les Données du Marché</w:t>
            </w:r>
            <w:r w:rsidRPr="00BD76AF">
              <w:rPr>
                <w:szCs w:val="24"/>
              </w:rPr>
              <w:t>, et dans la ou les mêmes monnaies du Montant du Marché. L’avance doit être</w:t>
            </w:r>
            <w:r w:rsidRPr="00BD76AF">
              <w:t xml:space="preserve"> </w:t>
            </w:r>
            <w:r w:rsidRPr="00BD76AF">
              <w:rPr>
                <w:szCs w:val="24"/>
              </w:rPr>
              <w:t>réglée pour l’ensemble des Installations ou pour le ou les Équipements ou Services de montage pertinents, conformément à l’Annexe 1 (</w:t>
            </w:r>
            <w:r w:rsidRPr="00BD76AF">
              <w:rPr>
                <w:i/>
              </w:rPr>
              <w:t>Conditions et procédures de règlement</w:t>
            </w:r>
            <w:r w:rsidRPr="00BD76AF">
              <w:t xml:space="preserve">) </w:t>
            </w:r>
            <w:r w:rsidRPr="00BD76AF">
              <w:rPr>
                <w:szCs w:val="24"/>
              </w:rPr>
              <w:t>de l’Acte d’engagement.</w:t>
            </w:r>
          </w:p>
          <w:p w14:paraId="522D99A4" w14:textId="77777777" w:rsidR="00F332DA" w:rsidRPr="00BD76AF" w:rsidRDefault="00F332DA" w:rsidP="0058127D">
            <w:pPr>
              <w:spacing w:after="200"/>
              <w:ind w:left="1440" w:hanging="839"/>
              <w:rPr>
                <w:szCs w:val="24"/>
              </w:rPr>
            </w:pPr>
            <w:r w:rsidRPr="00BD76AF">
              <w:rPr>
                <w:szCs w:val="24"/>
              </w:rPr>
              <w:t>13.2.2</w:t>
            </w:r>
            <w:r w:rsidRPr="00BD76AF">
              <w:rPr>
                <w:szCs w:val="24"/>
              </w:rPr>
              <w:tab/>
              <w:t xml:space="preserve">La garantie doit être préparée selon le modèle inclus dans le Marché ou </w:t>
            </w:r>
            <w:r w:rsidRPr="00BD76AF">
              <w:t>tout autre format jugé acceptable par le Maître d’ouvrage</w:t>
            </w:r>
            <w:r w:rsidRPr="00BD76AF">
              <w:rPr>
                <w:szCs w:val="24"/>
              </w:rPr>
              <w:t>. Le montant de la garantie sera réduit à concurrence de la valeur des travaux des Installations exécutés par l’Entrepreneur et réglée à l’Entrepreneur de temps à autre ; elle deviendra automatiquement nulle et non avenue lorsque le montant total de l’avance aura été recouvré par le Maître d’ouvrage. La garantie sera retournée à l’Entrepreneur dès son expiration.</w:t>
            </w:r>
          </w:p>
          <w:p w14:paraId="3A6BF814" w14:textId="77777777" w:rsidR="00F332DA" w:rsidRPr="00BD76AF" w:rsidRDefault="00F332DA" w:rsidP="00884A36">
            <w:pPr>
              <w:spacing w:afterLines="50" w:after="120"/>
              <w:ind w:left="601" w:hanging="601"/>
              <w:rPr>
                <w:szCs w:val="24"/>
              </w:rPr>
            </w:pPr>
            <w:r w:rsidRPr="00BD76AF">
              <w:rPr>
                <w:szCs w:val="24"/>
              </w:rPr>
              <w:t>13.3</w:t>
            </w:r>
            <w:r w:rsidRPr="00BD76AF">
              <w:rPr>
                <w:szCs w:val="24"/>
              </w:rPr>
              <w:tab/>
            </w:r>
            <w:r w:rsidRPr="00BD76AF">
              <w:rPr>
                <w:szCs w:val="24"/>
                <w:u w:val="single"/>
              </w:rPr>
              <w:t>Garantie de bonne exécution</w:t>
            </w:r>
          </w:p>
          <w:p w14:paraId="5B18E663" w14:textId="77777777" w:rsidR="00F332DA" w:rsidRPr="00BD76AF" w:rsidRDefault="00F332DA" w:rsidP="0058127D">
            <w:pPr>
              <w:spacing w:after="200"/>
              <w:ind w:left="1440" w:hanging="839"/>
              <w:rPr>
                <w:szCs w:val="24"/>
              </w:rPr>
            </w:pPr>
            <w:r w:rsidRPr="00BD76AF">
              <w:rPr>
                <w:szCs w:val="24"/>
              </w:rPr>
              <w:t>13.3.1</w:t>
            </w:r>
            <w:r w:rsidRPr="00BD76AF">
              <w:rPr>
                <w:szCs w:val="24"/>
              </w:rPr>
              <w:tab/>
              <w:t xml:space="preserve">Dans un délai de vingt-huit (28) jours suivant la réception de la Lettre d’acceptation de l’offre, l’Entrepreneur devra fournir une garantie pour la bonne exécution du Marché dont le montant est </w:t>
            </w:r>
            <w:r w:rsidRPr="00BD76AF">
              <w:rPr>
                <w:b/>
                <w:szCs w:val="24"/>
              </w:rPr>
              <w:t>indiqué dans les</w:t>
            </w:r>
            <w:r w:rsidRPr="00BD76AF">
              <w:rPr>
                <w:szCs w:val="24"/>
              </w:rPr>
              <w:t xml:space="preserve"> </w:t>
            </w:r>
            <w:r w:rsidRPr="00BD76AF">
              <w:rPr>
                <w:b/>
                <w:szCs w:val="24"/>
              </w:rPr>
              <w:t>Données du Marché</w:t>
            </w:r>
            <w:r w:rsidRPr="00BD76AF">
              <w:rPr>
                <w:szCs w:val="24"/>
              </w:rPr>
              <w:t>.</w:t>
            </w:r>
          </w:p>
          <w:p w14:paraId="654B5CF9" w14:textId="77777777" w:rsidR="00F332DA" w:rsidRPr="00BD76AF" w:rsidRDefault="00F332DA" w:rsidP="0058127D">
            <w:pPr>
              <w:spacing w:after="200"/>
              <w:ind w:left="1440" w:hanging="839"/>
              <w:rPr>
                <w:szCs w:val="24"/>
              </w:rPr>
            </w:pPr>
            <w:r w:rsidRPr="00BD76AF">
              <w:rPr>
                <w:szCs w:val="24"/>
              </w:rPr>
              <w:t>13.3.2</w:t>
            </w:r>
            <w:r w:rsidRPr="00BD76AF">
              <w:rPr>
                <w:szCs w:val="24"/>
              </w:rPr>
              <w:tab/>
              <w:t xml:space="preserve">La garantie de bonne exécution sera libellée dans la ou les monnaies du Marché, ou dans une monnaie librement convertible acceptable pour le Maître d’ouvrage, et devra être préparée selon le modèle inclus dans le Marché </w:t>
            </w:r>
            <w:r w:rsidRPr="00BD76AF">
              <w:rPr>
                <w:b/>
                <w:szCs w:val="24"/>
              </w:rPr>
              <w:t>indiqué dans les Données du Marché</w:t>
            </w:r>
            <w:r w:rsidRPr="00BD76AF">
              <w:rPr>
                <w:szCs w:val="24"/>
              </w:rPr>
              <w:t xml:space="preserve">, ou </w:t>
            </w:r>
            <w:r w:rsidRPr="00BD76AF">
              <w:t>tout autre format jugé acceptable par le Maître d’ouvrage</w:t>
            </w:r>
            <w:r w:rsidRPr="00BD76AF">
              <w:rPr>
                <w:szCs w:val="24"/>
              </w:rPr>
              <w:t>.</w:t>
            </w:r>
          </w:p>
          <w:p w14:paraId="173AA3B6" w14:textId="77777777" w:rsidR="00F332DA" w:rsidRPr="00BD76AF" w:rsidRDefault="00F332DA" w:rsidP="00DC426C">
            <w:pPr>
              <w:spacing w:afterLines="50" w:after="120"/>
              <w:ind w:left="1440" w:hanging="839"/>
              <w:rPr>
                <w:szCs w:val="24"/>
              </w:rPr>
            </w:pPr>
            <w:r w:rsidRPr="00BD76AF">
              <w:rPr>
                <w:szCs w:val="24"/>
                <w:lang w:eastAsia="ja-JP"/>
              </w:rPr>
              <w:t>13.3.3</w:t>
            </w:r>
            <w:r w:rsidRPr="00BD76AF">
              <w:rPr>
                <w:szCs w:val="24"/>
                <w:lang w:eastAsia="ja-JP"/>
              </w:rPr>
              <w:tab/>
            </w:r>
            <w:r w:rsidRPr="00BD76AF">
              <w:t>Immédiatement après l’expiration du délai</w:t>
            </w:r>
            <w:r w:rsidRPr="00BD76AF">
              <w:rPr>
                <w:szCs w:val="24"/>
              </w:rPr>
              <w:t xml:space="preserve"> de période de garantie, la garantie de bonne exécution deviendra nulle et non avenue.</w:t>
            </w:r>
          </w:p>
          <w:p w14:paraId="3FA73C22" w14:textId="77777777" w:rsidR="00F332DA" w:rsidRPr="00BD76AF" w:rsidRDefault="00F332DA" w:rsidP="0079334B">
            <w:pPr>
              <w:spacing w:afterLines="50" w:after="120"/>
              <w:ind w:left="1440"/>
              <w:rPr>
                <w:szCs w:val="24"/>
              </w:rPr>
            </w:pPr>
            <w:r w:rsidRPr="00BD76AF">
              <w:rPr>
                <w:szCs w:val="24"/>
              </w:rPr>
              <w:t xml:space="preserve">Cependant, si la Période de garantie a été prolongée pour une partie quelconque des Installations, conformément à l’Article 27.8 des CG, l’Entrepreneur devra émettre une garantie supplémentaire d’un montant correspondant au Montant du Marché pour cette partie. </w:t>
            </w:r>
          </w:p>
          <w:p w14:paraId="0DBAB4FA" w14:textId="77777777" w:rsidR="00F332DA" w:rsidRPr="00BD76AF" w:rsidRDefault="00F332DA" w:rsidP="0058127D">
            <w:pPr>
              <w:spacing w:after="200"/>
              <w:ind w:left="1440"/>
              <w:rPr>
                <w:szCs w:val="24"/>
              </w:rPr>
            </w:pPr>
            <w:r w:rsidRPr="00BD76AF">
              <w:rPr>
                <w:szCs w:val="24"/>
              </w:rPr>
              <w:t>La garantie sera retournée à l’Entrepreneur immédiatement après son expiration.</w:t>
            </w:r>
          </w:p>
          <w:p w14:paraId="4EBD9F61" w14:textId="77777777" w:rsidR="00F332DA" w:rsidRPr="00BD76AF" w:rsidRDefault="00F332DA" w:rsidP="0058127D">
            <w:pPr>
              <w:spacing w:after="200"/>
              <w:ind w:left="1440" w:hanging="839"/>
              <w:rPr>
                <w:szCs w:val="24"/>
              </w:rPr>
            </w:pPr>
            <w:r w:rsidRPr="00BD76AF">
              <w:rPr>
                <w:szCs w:val="24"/>
                <w:lang w:eastAsia="ja-JP"/>
              </w:rPr>
              <w:t>13.3.4</w:t>
            </w:r>
            <w:r w:rsidRPr="00BD76AF">
              <w:rPr>
                <w:szCs w:val="24"/>
                <w:lang w:eastAsia="ja-JP"/>
              </w:rPr>
              <w:tab/>
            </w:r>
            <w:r w:rsidRPr="00BD76AF">
              <w:rPr>
                <w:szCs w:val="24"/>
              </w:rPr>
              <w:t>Le Maître d’ouvrage ne doit pas réclamer de versements de la garantie de bonne exécution, sauf pour les montants auxquels il a droit en vertu du Marché. Le Maître d’ouvrage doit indemniser et dégager l’Entrepreneur de toute responsabilité contre et pour tout dommage, perte ou dépense (y compris les droits et frais légaux) résultant d’une réclamation concernant la garantie de bonne exécution dans la mesure où le Maître d’ouvrage n’était pas en droit de faire des réclamations.</w:t>
            </w:r>
          </w:p>
        </w:tc>
      </w:tr>
      <w:tr w:rsidR="00F332DA" w:rsidRPr="00BD76AF" w14:paraId="73728384" w14:textId="77777777" w:rsidTr="009E3A0D">
        <w:tc>
          <w:tcPr>
            <w:tcW w:w="2352" w:type="dxa"/>
          </w:tcPr>
          <w:p w14:paraId="7821B19D" w14:textId="77777777" w:rsidR="00F332DA" w:rsidRPr="00BD76AF" w:rsidRDefault="00F332DA" w:rsidP="007C71D1">
            <w:pPr>
              <w:pStyle w:val="S7Header2"/>
              <w:rPr>
                <w:szCs w:val="24"/>
              </w:rPr>
            </w:pPr>
            <w:bookmarkStart w:id="774" w:name="_Toc102050792"/>
            <w:r w:rsidRPr="00BD76AF">
              <w:rPr>
                <w:szCs w:val="24"/>
              </w:rPr>
              <w:t>14.</w:t>
            </w:r>
            <w:r w:rsidRPr="00BD76AF">
              <w:rPr>
                <w:szCs w:val="24"/>
              </w:rPr>
              <w:tab/>
              <w:t>Impôts et taxes</w:t>
            </w:r>
            <w:bookmarkEnd w:id="774"/>
          </w:p>
        </w:tc>
        <w:tc>
          <w:tcPr>
            <w:tcW w:w="6936" w:type="dxa"/>
          </w:tcPr>
          <w:p w14:paraId="3FA7D151" w14:textId="77777777" w:rsidR="00F332DA" w:rsidRPr="00BD76AF" w:rsidRDefault="00F332DA" w:rsidP="00884A36">
            <w:pPr>
              <w:spacing w:afterLines="50" w:after="120"/>
              <w:ind w:left="601" w:hanging="601"/>
              <w:rPr>
                <w:szCs w:val="24"/>
              </w:rPr>
            </w:pPr>
            <w:r w:rsidRPr="00BD76AF">
              <w:rPr>
                <w:szCs w:val="24"/>
              </w:rPr>
              <w:t>14.1</w:t>
            </w:r>
            <w:r w:rsidRPr="00BD76AF">
              <w:rPr>
                <w:szCs w:val="24"/>
              </w:rPr>
              <w:tab/>
              <w:t xml:space="preserve">L’Entrepreneur sera responsable et devra payer tous les droits, taxes, </w:t>
            </w:r>
            <w:r w:rsidRPr="00BD76AF">
              <w:rPr>
                <w:iCs/>
                <w:szCs w:val="24"/>
                <w:lang w:eastAsia="ja-JP" w:bidi="ta-IN"/>
              </w:rPr>
              <w:t>prélèvements</w:t>
            </w:r>
            <w:r w:rsidRPr="00BD76AF">
              <w:rPr>
                <w:szCs w:val="24"/>
              </w:rPr>
              <w:t xml:space="preserve"> et charges déterminés être à la charge de l’Entrepreneur, de ses Sous-traitants ou de leurs employés par toute autorité administrative municipale, régionale ou nationale, en relation avec les Installations dans ou en dehors du pays où se trouve le Site, </w:t>
            </w:r>
            <w:r w:rsidRPr="00BD76AF">
              <w:rPr>
                <w:b/>
                <w:szCs w:val="24"/>
              </w:rPr>
              <w:t>sauf disposition contraire dans les Données du Marché</w:t>
            </w:r>
            <w:r w:rsidRPr="00BD76AF">
              <w:rPr>
                <w:szCs w:val="24"/>
              </w:rPr>
              <w:t>.</w:t>
            </w:r>
          </w:p>
          <w:p w14:paraId="2415DEE1" w14:textId="77777777" w:rsidR="00F332DA" w:rsidRPr="00BD76AF" w:rsidRDefault="00F332DA" w:rsidP="0079334B">
            <w:pPr>
              <w:ind w:left="601"/>
              <w:rPr>
                <w:lang w:eastAsia="ja-JP" w:bidi="ta-IN"/>
              </w:rPr>
            </w:pPr>
            <w:r w:rsidRPr="00BD76AF">
              <w:rPr>
                <w:lang w:eastAsia="ja-JP" w:bidi="ta-IN"/>
              </w:rPr>
              <w:t xml:space="preserve">Dans ce contexte : </w:t>
            </w:r>
          </w:p>
          <w:p w14:paraId="76141808" w14:textId="77777777" w:rsidR="00F332DA" w:rsidRPr="00BD76AF" w:rsidRDefault="00F332DA" w:rsidP="0079334B">
            <w:pPr>
              <w:tabs>
                <w:tab w:val="right" w:pos="7848"/>
                <w:tab w:val="left" w:pos="9000"/>
                <w:tab w:val="right" w:pos="9360"/>
              </w:tabs>
              <w:spacing w:before="60" w:after="60"/>
              <w:ind w:left="998" w:hanging="397"/>
              <w:rPr>
                <w:iCs/>
                <w:szCs w:val="24"/>
                <w:lang w:eastAsia="ja-JP" w:bidi="ta-IN"/>
              </w:rPr>
            </w:pPr>
            <w:r w:rsidRPr="00BD76AF">
              <w:rPr>
                <w:iCs/>
                <w:szCs w:val="24"/>
                <w:lang w:eastAsia="ja-JP" w:bidi="ta-IN"/>
              </w:rPr>
              <w:t>a)</w:t>
            </w:r>
            <w:r w:rsidRPr="00BD76AF">
              <w:rPr>
                <w:iCs/>
                <w:szCs w:val="24"/>
                <w:lang w:eastAsia="ja-JP" w:bidi="ta-IN"/>
              </w:rPr>
              <w:tab/>
              <w:t xml:space="preserve">les droits, taxes et prélèvements </w:t>
            </w:r>
            <w:r w:rsidRPr="00BD76AF">
              <w:rPr>
                <w:b/>
                <w:iCs/>
                <w:szCs w:val="24"/>
                <w:lang w:eastAsia="ja-JP" w:bidi="ta-IN"/>
              </w:rPr>
              <w:t>indiqués dans les Données du Marché</w:t>
            </w:r>
            <w:r w:rsidRPr="00BD76AF">
              <w:rPr>
                <w:iCs/>
                <w:szCs w:val="24"/>
                <w:lang w:eastAsia="ja-JP" w:bidi="ta-IN"/>
              </w:rPr>
              <w:t xml:space="preserve"> </w:t>
            </w:r>
            <w:r w:rsidRPr="00BD76AF">
              <w:rPr>
                <w:rFonts w:hint="eastAsia"/>
                <w:iCs/>
                <w:szCs w:val="24"/>
                <w:lang w:eastAsia="ja-JP" w:bidi="ta-IN"/>
              </w:rPr>
              <w:t>d</w:t>
            </w:r>
            <w:r w:rsidRPr="00BD76AF">
              <w:rPr>
                <w:iCs/>
                <w:szCs w:val="24"/>
                <w:lang w:eastAsia="ja-JP" w:bidi="ta-IN"/>
              </w:rPr>
              <w:t>oivent être exemptés. Ces exemptions sont réparties en deux catégories, à savoir :</w:t>
            </w:r>
          </w:p>
          <w:p w14:paraId="7BEAD0E1" w14:textId="77777777" w:rsidR="00F332DA" w:rsidRPr="00BD76AF" w:rsidRDefault="00F332DA" w:rsidP="0079334B">
            <w:pPr>
              <w:pStyle w:val="a6"/>
              <w:tabs>
                <w:tab w:val="left" w:pos="397"/>
                <w:tab w:val="right" w:pos="7848"/>
              </w:tabs>
              <w:overflowPunct/>
              <w:autoSpaceDE/>
              <w:autoSpaceDN/>
              <w:adjustRightInd/>
              <w:spacing w:before="60" w:after="60"/>
              <w:ind w:left="1418" w:hanging="397"/>
              <w:textAlignment w:val="auto"/>
              <w:rPr>
                <w:iCs/>
                <w:szCs w:val="24"/>
                <w:lang w:eastAsia="ja-JP" w:bidi="ta-IN"/>
              </w:rPr>
            </w:pPr>
            <w:r w:rsidRPr="00BD76AF">
              <w:rPr>
                <w:iCs/>
                <w:szCs w:val="24"/>
                <w:lang w:eastAsia="ja-JP" w:bidi="ta-IN"/>
              </w:rPr>
              <w:t>i)</w:t>
            </w:r>
            <w:r w:rsidRPr="00BD76AF">
              <w:rPr>
                <w:iCs/>
                <w:szCs w:val="24"/>
                <w:lang w:eastAsia="ja-JP" w:bidi="ta-IN"/>
              </w:rPr>
              <w:tab/>
              <w:t>Catégorie «</w:t>
            </w:r>
            <w:r w:rsidRPr="00BD76AF">
              <w:t> </w:t>
            </w:r>
            <w:r w:rsidRPr="00BD76AF">
              <w:rPr>
                <w:iCs/>
                <w:szCs w:val="24"/>
                <w:lang w:eastAsia="ja-JP" w:bidi="ta-IN"/>
              </w:rPr>
              <w:t>Sans paiement</w:t>
            </w:r>
            <w:r w:rsidRPr="00BD76AF">
              <w:t> </w:t>
            </w:r>
            <w:r w:rsidRPr="00BD76AF">
              <w:rPr>
                <w:iCs/>
                <w:szCs w:val="24"/>
                <w:lang w:eastAsia="ja-JP" w:bidi="ta-IN"/>
              </w:rPr>
              <w:t>»</w:t>
            </w:r>
            <w:r w:rsidRPr="00BD76AF">
              <w:t> </w:t>
            </w:r>
            <w:r w:rsidRPr="00BD76AF">
              <w:rPr>
                <w:iCs/>
                <w:szCs w:val="24"/>
                <w:lang w:eastAsia="ja-JP" w:bidi="ta-IN"/>
              </w:rPr>
              <w:t>: l’Entrepreneur sera autorisé à être exonéré du paiement des droits, taxes et prélèvements relevant de cette catégorie, étant précisé qu’aucun paiement découlant de ou en relation avec de telles exonérations ne pourra être exigé ; ou</w:t>
            </w:r>
          </w:p>
          <w:p w14:paraId="7A5C502E" w14:textId="77777777" w:rsidR="00F332DA" w:rsidRPr="00BD76AF" w:rsidRDefault="00F332DA" w:rsidP="0079334B">
            <w:pPr>
              <w:pStyle w:val="a6"/>
              <w:tabs>
                <w:tab w:val="left" w:pos="397"/>
                <w:tab w:val="right" w:pos="7848"/>
              </w:tabs>
              <w:overflowPunct/>
              <w:autoSpaceDE/>
              <w:autoSpaceDN/>
              <w:adjustRightInd/>
              <w:spacing w:before="60" w:after="60"/>
              <w:ind w:left="1418" w:hanging="397"/>
              <w:textAlignment w:val="auto"/>
              <w:rPr>
                <w:iCs/>
                <w:szCs w:val="24"/>
                <w:lang w:eastAsia="ja-JP" w:bidi="ta-IN"/>
              </w:rPr>
            </w:pPr>
            <w:r w:rsidRPr="00BD76AF">
              <w:rPr>
                <w:iCs/>
                <w:szCs w:val="24"/>
                <w:lang w:eastAsia="ja-JP" w:bidi="ta-IN"/>
              </w:rPr>
              <w:t>ii)</w:t>
            </w:r>
            <w:r w:rsidRPr="00BD76AF">
              <w:rPr>
                <w:iCs/>
                <w:szCs w:val="24"/>
                <w:lang w:eastAsia="ja-JP" w:bidi="ta-IN"/>
              </w:rPr>
              <w:tab/>
              <w:t>Catégorie «</w:t>
            </w:r>
            <w:r w:rsidRPr="00BD76AF">
              <w:t> </w:t>
            </w:r>
            <w:r w:rsidRPr="00BD76AF">
              <w:rPr>
                <w:iCs/>
                <w:szCs w:val="24"/>
                <w:lang w:eastAsia="ja-JP" w:bidi="ta-IN"/>
              </w:rPr>
              <w:t>Avec paiement &amp; remboursement</w:t>
            </w:r>
            <w:r w:rsidRPr="00BD76AF">
              <w:t> </w:t>
            </w:r>
            <w:r w:rsidRPr="00BD76AF">
              <w:rPr>
                <w:iCs/>
                <w:szCs w:val="24"/>
                <w:lang w:eastAsia="ja-JP" w:bidi="ta-IN"/>
              </w:rPr>
              <w:t>»</w:t>
            </w:r>
            <w:r w:rsidRPr="00BD76AF">
              <w:t> </w:t>
            </w:r>
            <w:r w:rsidRPr="00BD76AF">
              <w:rPr>
                <w:iCs/>
                <w:szCs w:val="24"/>
                <w:lang w:eastAsia="ja-JP" w:bidi="ta-IN"/>
              </w:rPr>
              <w:t xml:space="preserve">: l’Entrepreneur sera autorisé à être exonéré des droits, taxes et prélèvements relevant de cette catégorie, à condition qu’il effectue d’abord tous les paiements découlant de ou liés à de telles responsabilités, et demande ensuite leur remboursement par l’autorité compétente, en suivant la procédure prescrite par cette autorité ; </w:t>
            </w:r>
          </w:p>
          <w:p w14:paraId="427CEC12" w14:textId="77777777" w:rsidR="00F332DA" w:rsidRPr="00BD76AF" w:rsidRDefault="00F332DA" w:rsidP="0079334B">
            <w:pPr>
              <w:tabs>
                <w:tab w:val="right" w:pos="7848"/>
                <w:tab w:val="left" w:pos="9000"/>
                <w:tab w:val="right" w:pos="9360"/>
              </w:tabs>
              <w:spacing w:before="60" w:after="60"/>
              <w:ind w:left="998" w:hanging="397"/>
              <w:rPr>
                <w:lang w:eastAsia="ja-JP" w:bidi="ta-IN"/>
              </w:rPr>
            </w:pPr>
            <w:r w:rsidRPr="00BD76AF">
              <w:rPr>
                <w:iCs/>
                <w:szCs w:val="24"/>
                <w:lang w:eastAsia="ja-JP" w:bidi="ta-IN"/>
              </w:rPr>
              <w:t>ou</w:t>
            </w:r>
          </w:p>
          <w:p w14:paraId="4D795604" w14:textId="77777777" w:rsidR="00F332DA" w:rsidRPr="00BD76AF" w:rsidRDefault="00F332DA" w:rsidP="00B1248B">
            <w:pPr>
              <w:tabs>
                <w:tab w:val="right" w:pos="7848"/>
                <w:tab w:val="left" w:pos="9000"/>
                <w:tab w:val="right" w:pos="9360"/>
              </w:tabs>
              <w:spacing w:before="60" w:after="200"/>
              <w:ind w:left="998" w:hanging="397"/>
              <w:rPr>
                <w:iCs/>
                <w:szCs w:val="24"/>
                <w:lang w:eastAsia="ja-JP" w:bidi="ta-IN"/>
              </w:rPr>
            </w:pPr>
            <w:r w:rsidRPr="00BD76AF">
              <w:rPr>
                <w:iCs/>
                <w:szCs w:val="24"/>
                <w:lang w:eastAsia="ja-JP" w:bidi="ta-IN"/>
              </w:rPr>
              <w:t>b)</w:t>
            </w:r>
            <w:r w:rsidRPr="00BD76AF">
              <w:rPr>
                <w:iCs/>
                <w:szCs w:val="24"/>
                <w:lang w:eastAsia="ja-JP" w:bidi="ta-IN"/>
              </w:rPr>
              <w:tab/>
              <w:t xml:space="preserve">les droits, taxes et prélèvements </w:t>
            </w:r>
            <w:r w:rsidRPr="00BD76AF">
              <w:rPr>
                <w:rFonts w:hint="eastAsia"/>
                <w:iCs/>
                <w:szCs w:val="24"/>
                <w:lang w:eastAsia="ja-JP" w:bidi="ta-IN"/>
              </w:rPr>
              <w:t>d</w:t>
            </w:r>
            <w:r w:rsidRPr="00BD76AF">
              <w:rPr>
                <w:iCs/>
                <w:szCs w:val="24"/>
                <w:lang w:eastAsia="ja-JP" w:bidi="ta-IN"/>
              </w:rPr>
              <w:t>oivent être à la charge du Maître d’ouvrage pour le compte de l’Entrepreneur.</w:t>
            </w:r>
          </w:p>
          <w:p w14:paraId="42E5AB5F" w14:textId="77777777" w:rsidR="00F332DA" w:rsidRPr="00BD76AF" w:rsidRDefault="00F332DA" w:rsidP="00206820">
            <w:pPr>
              <w:spacing w:after="200"/>
              <w:ind w:left="601" w:hanging="601"/>
            </w:pPr>
            <w:r w:rsidRPr="00BD76AF">
              <w:rPr>
                <w:szCs w:val="24"/>
              </w:rPr>
              <w:t>14.2</w:t>
            </w:r>
            <w:r w:rsidRPr="00BD76AF">
              <w:rPr>
                <w:szCs w:val="24"/>
              </w:rPr>
              <w:tab/>
              <w:t xml:space="preserve">Nonobstant l’Article 14.1 des CG ci-dessus, le Maître d’ouvrage sera responsable et devra payer rapidement </w:t>
            </w:r>
            <w:r w:rsidRPr="00BD76AF">
              <w:t xml:space="preserve">tous les droits de douane et d’importation pour les </w:t>
            </w:r>
            <w:r w:rsidRPr="00BD76AF">
              <w:rPr>
                <w:bCs/>
              </w:rPr>
              <w:t>Équipements</w:t>
            </w:r>
            <w:r w:rsidRPr="00BD76AF">
              <w:t xml:space="preserve"> indiqués au Bordereau des prix n°1.</w:t>
            </w:r>
          </w:p>
          <w:p w14:paraId="7FEC4622" w14:textId="77777777" w:rsidR="00F332DA" w:rsidRPr="00BD76AF" w:rsidRDefault="00F332DA" w:rsidP="00206820">
            <w:pPr>
              <w:spacing w:after="200"/>
              <w:ind w:left="601" w:hanging="601"/>
              <w:rPr>
                <w:szCs w:val="24"/>
              </w:rPr>
            </w:pPr>
            <w:r w:rsidRPr="00BD76AF">
              <w:rPr>
                <w:szCs w:val="24"/>
              </w:rPr>
              <w:t>14.3</w:t>
            </w:r>
            <w:r w:rsidRPr="00BD76AF">
              <w:rPr>
                <w:szCs w:val="24"/>
              </w:rPr>
              <w:tab/>
              <w:t>Si l’Entrepreneur peut prétendre à des exemptions, réductions, abattements ou privilèges en matière fiscale, dans le pays où se trouve le Site, le Maître d’ouvrage fera son possible pour lui permettre d’en bénéficier au maximum.</w:t>
            </w:r>
          </w:p>
          <w:p w14:paraId="264B7266" w14:textId="77777777" w:rsidR="00F332DA" w:rsidRPr="00BD76AF" w:rsidRDefault="00F332DA" w:rsidP="00206820">
            <w:pPr>
              <w:spacing w:after="200"/>
              <w:ind w:left="601" w:hanging="601"/>
              <w:rPr>
                <w:szCs w:val="24"/>
              </w:rPr>
            </w:pPr>
            <w:r w:rsidRPr="00BD76AF">
              <w:rPr>
                <w:szCs w:val="24"/>
              </w:rPr>
              <w:t>14.4</w:t>
            </w:r>
            <w:r w:rsidRPr="00BD76AF">
              <w:rPr>
                <w:szCs w:val="24"/>
              </w:rPr>
              <w:tab/>
              <w:t>Pour les besoins du Marché, le Montant du Marché indiqué à l’Article 2 (</w:t>
            </w:r>
            <w:r w:rsidRPr="00BD76AF">
              <w:rPr>
                <w:i/>
                <w:szCs w:val="24"/>
              </w:rPr>
              <w:t>Montant du Marché et conditions de paiement</w:t>
            </w:r>
            <w:r w:rsidRPr="00BD76AF">
              <w:rPr>
                <w:szCs w:val="24"/>
              </w:rPr>
              <w:t xml:space="preserve">) de l’Acte d’engagement sera considéré comme établi sur la base des droits, taxes, </w:t>
            </w:r>
            <w:r w:rsidRPr="00BD76AF">
              <w:rPr>
                <w:iCs/>
                <w:szCs w:val="24"/>
                <w:lang w:eastAsia="ja-JP" w:bidi="ta-IN"/>
              </w:rPr>
              <w:t>prélèvements</w:t>
            </w:r>
            <w:r w:rsidRPr="00BD76AF">
              <w:rPr>
                <w:szCs w:val="24"/>
              </w:rPr>
              <w:t xml:space="preserve"> et charges en vigueur à la Date de référence dans le pays où se trouve le Site (ci-après dénommés « Taxe » dans cet Article 14.4 des CG). </w:t>
            </w:r>
          </w:p>
          <w:p w14:paraId="37708A32" w14:textId="77777777" w:rsidR="00F332DA" w:rsidRPr="00BD76AF" w:rsidRDefault="00F332DA" w:rsidP="00206820">
            <w:pPr>
              <w:spacing w:after="200"/>
              <w:ind w:left="601"/>
              <w:rPr>
                <w:szCs w:val="24"/>
              </w:rPr>
            </w:pPr>
            <w:r w:rsidRPr="00BD76AF">
              <w:rPr>
                <w:szCs w:val="24"/>
              </w:rPr>
              <w:t>Si le taux d’une Taxe est augmenté ou réduit, une nouvelle Taxe est introduite, une Taxe existante est supprimée ou en cas de tout changement dans l’interprétation ou l’application de toute Taxe survenant pendant l’exécution du Marché, qui est ou sera déterminée être à la charge de l’Entrepreneur, ses Sous-traitants ou de leurs employés dans le cadre de l’exécution du Marché, une révision équitable du Montant du Marché sera effectuée pour prendre en compte dans sa totalité toute modification de ce type par majoration ou minoration du Montant du Marché selon le cas, conformément à l’Article 36 des CG.</w:t>
            </w:r>
          </w:p>
        </w:tc>
      </w:tr>
    </w:tbl>
    <w:p w14:paraId="0B2C599D" w14:textId="77777777" w:rsidR="00F332DA" w:rsidRPr="00BD76AF" w:rsidRDefault="00F332DA" w:rsidP="00622DD9">
      <w:pPr>
        <w:pStyle w:val="S7Header1"/>
        <w:spacing w:before="240" w:afterLines="100" w:after="240"/>
        <w:rPr>
          <w:sz w:val="32"/>
          <w:szCs w:val="32"/>
        </w:rPr>
      </w:pPr>
      <w:bookmarkStart w:id="775" w:name="_Toc102050793"/>
      <w:r w:rsidRPr="00BD76AF">
        <w:rPr>
          <w:sz w:val="32"/>
          <w:szCs w:val="32"/>
        </w:rPr>
        <w:t>D.  Propriété intellectuelle</w:t>
      </w:r>
      <w:bookmarkEnd w:id="775"/>
    </w:p>
    <w:tbl>
      <w:tblPr>
        <w:tblW w:w="9288" w:type="dxa"/>
        <w:tblInd w:w="-74" w:type="dxa"/>
        <w:tblLayout w:type="fixed"/>
        <w:tblLook w:val="0000" w:firstRow="0" w:lastRow="0" w:firstColumn="0" w:lastColumn="0" w:noHBand="0" w:noVBand="0"/>
      </w:tblPr>
      <w:tblGrid>
        <w:gridCol w:w="2352"/>
        <w:gridCol w:w="6936"/>
      </w:tblGrid>
      <w:tr w:rsidR="00F332DA" w:rsidRPr="00BD76AF" w14:paraId="6BA52540" w14:textId="77777777" w:rsidTr="00B97BA4">
        <w:tc>
          <w:tcPr>
            <w:tcW w:w="2352" w:type="dxa"/>
          </w:tcPr>
          <w:p w14:paraId="3F769CD9" w14:textId="77777777" w:rsidR="00F332DA" w:rsidRPr="00BD76AF" w:rsidRDefault="00F332DA" w:rsidP="007C71D1">
            <w:pPr>
              <w:pStyle w:val="S7Header2"/>
              <w:rPr>
                <w:szCs w:val="24"/>
              </w:rPr>
            </w:pPr>
            <w:bookmarkStart w:id="776" w:name="_Toc102050794"/>
            <w:r w:rsidRPr="00BD76AF">
              <w:rPr>
                <w:szCs w:val="24"/>
              </w:rPr>
              <w:t>15.</w:t>
            </w:r>
            <w:r w:rsidRPr="00BD76AF">
              <w:rPr>
                <w:szCs w:val="24"/>
              </w:rPr>
              <w:tab/>
              <w:t>Licence et usage des informations techniques</w:t>
            </w:r>
            <w:bookmarkEnd w:id="776"/>
          </w:p>
        </w:tc>
        <w:tc>
          <w:tcPr>
            <w:tcW w:w="6936" w:type="dxa"/>
          </w:tcPr>
          <w:p w14:paraId="446C0F3E" w14:textId="77777777" w:rsidR="00F332DA" w:rsidRPr="00BD76AF" w:rsidRDefault="00F332DA" w:rsidP="00206820">
            <w:pPr>
              <w:spacing w:after="200"/>
              <w:ind w:left="601" w:hanging="601"/>
              <w:rPr>
                <w:szCs w:val="24"/>
              </w:rPr>
            </w:pPr>
            <w:r w:rsidRPr="00BD76AF">
              <w:rPr>
                <w:szCs w:val="24"/>
              </w:rPr>
              <w:t>15.1</w:t>
            </w:r>
            <w:r w:rsidRPr="00BD76AF">
              <w:rPr>
                <w:szCs w:val="24"/>
              </w:rPr>
              <w:tab/>
              <w:t>Pour les besoins du fonctionnement et de la maintenance des Installations, l’Entrepreneur donne au Maître d’ouvrage une licence non exclusive et non transférable (sans droit de sous-licence) dans le cadre des droits de brevets, modèles d’utilité ou autre droit de propriété intellectuelle détenus par l’Entrepreneur ou une tierce partie de laquelle l’Entrepreneur a obtenu le droit de donner des sous-licences, et donnera également au Maître d’ouvrage le droit non exclusif et non transférable (sans droit de sous-licence) d’utiliser le savoir-faire et toute autre information technique divulguée au Maître d’ouvrage dans le cadre du Marché. Aucune disposition ci-incluse ne saurait être interprétée comme un transfert de propriété d’un quelconque brevet, modèle d’utilité, marque commerciale, conception, droit d’auteur, savoir-faire, ou autre droit de propriété intellectuelle de l’Entrepreneur ou d’une tierce partie au Maître d’ouvrage.</w:t>
            </w:r>
          </w:p>
          <w:p w14:paraId="00919246" w14:textId="77777777" w:rsidR="00F332DA" w:rsidRPr="00BD76AF" w:rsidRDefault="00F332DA" w:rsidP="00206820">
            <w:pPr>
              <w:spacing w:after="200"/>
              <w:ind w:left="601" w:hanging="601"/>
              <w:rPr>
                <w:szCs w:val="24"/>
              </w:rPr>
            </w:pPr>
            <w:r w:rsidRPr="00BD76AF">
              <w:rPr>
                <w:szCs w:val="24"/>
              </w:rPr>
              <w:t>15.2</w:t>
            </w:r>
            <w:r w:rsidRPr="00BD76AF">
              <w:rPr>
                <w:szCs w:val="24"/>
              </w:rPr>
              <w:tab/>
              <w:t>Les droits d’auteur des plans, documents et autre matériel contenant des données et informations fournies au Maître d’ouvrage par l’Entrepreneur en vertu du Marché demeureront la propriété de l’Entrepreneur ou, dans le cas où ils sont fournis au Maître d’ouvrage par une tierce partie, y compris les fournisseurs d’équipements, directement ou par l’entremise de l’Entrepreneur, les droits d’auteur de ces documents demeureront la propriété de cette tierce partie.</w:t>
            </w:r>
          </w:p>
        </w:tc>
      </w:tr>
      <w:tr w:rsidR="00F332DA" w:rsidRPr="00BD76AF" w14:paraId="07E727AB" w14:textId="77777777" w:rsidTr="00B97BA4">
        <w:tc>
          <w:tcPr>
            <w:tcW w:w="2352" w:type="dxa"/>
          </w:tcPr>
          <w:p w14:paraId="3992ED55" w14:textId="77777777" w:rsidR="00F332DA" w:rsidRPr="00BD76AF" w:rsidRDefault="00F332DA" w:rsidP="007C71D1">
            <w:pPr>
              <w:pStyle w:val="S7Header2"/>
              <w:rPr>
                <w:szCs w:val="24"/>
              </w:rPr>
            </w:pPr>
            <w:bookmarkStart w:id="777" w:name="_Toc102050795"/>
            <w:r w:rsidRPr="00BD76AF">
              <w:rPr>
                <w:szCs w:val="24"/>
              </w:rPr>
              <w:t>16.</w:t>
            </w:r>
            <w:r w:rsidRPr="00BD76AF">
              <w:rPr>
                <w:szCs w:val="24"/>
              </w:rPr>
              <w:tab/>
              <w:t>Informations confidentielles</w:t>
            </w:r>
            <w:bookmarkEnd w:id="777"/>
          </w:p>
        </w:tc>
        <w:tc>
          <w:tcPr>
            <w:tcW w:w="6936" w:type="dxa"/>
          </w:tcPr>
          <w:p w14:paraId="54A7963E" w14:textId="77777777" w:rsidR="00F332DA" w:rsidRPr="00BD76AF" w:rsidRDefault="00F332DA" w:rsidP="00C21879">
            <w:pPr>
              <w:spacing w:after="200"/>
              <w:ind w:left="601" w:hanging="601"/>
              <w:rPr>
                <w:szCs w:val="24"/>
              </w:rPr>
            </w:pPr>
            <w:r w:rsidRPr="00BD76AF">
              <w:rPr>
                <w:szCs w:val="24"/>
              </w:rPr>
              <w:t>16.1</w:t>
            </w:r>
            <w:r w:rsidRPr="00BD76AF">
              <w:rPr>
                <w:szCs w:val="24"/>
              </w:rPr>
              <w:tab/>
              <w:t>Le Maître d’ouvrage et l’Entrepreneur tiendront pour confidentiel et ne divulgueront pas, sans avoir préalablement obtenu le consentement écrit de l’autre Partie, les documents, données ou autre information marqués comme confidentiels par l’autre Partie en relation avec le Marché, que ces informations aient été fournies avant, pendant ou après l’achèvement du Marché. Nonobstant ce qui précède, l’Entrepreneur peut communiquer à son ou ses Sous-traitant(s) les documents, données et autre information qu’il reçoit du Maître d’ouvrage dans la mesure où cela est nécessaire pour que le(s) Sous-traitant(s) exécute(nt) les travaux en vertu du Marché, auquel cas l’Entrepreneur obtiendra de ce(s) Sous-traitant(s) un engagement de confidentialité similaire à celui requis de l’Entrepreneur conformément à cet Article 16 des CG.</w:t>
            </w:r>
          </w:p>
          <w:p w14:paraId="3C3BA37D" w14:textId="77777777" w:rsidR="00F332DA" w:rsidRPr="00BD76AF" w:rsidRDefault="00F332DA" w:rsidP="00C21879">
            <w:pPr>
              <w:spacing w:after="200"/>
              <w:ind w:left="601" w:hanging="601"/>
              <w:rPr>
                <w:szCs w:val="24"/>
              </w:rPr>
            </w:pPr>
            <w:r w:rsidRPr="00BD76AF">
              <w:rPr>
                <w:szCs w:val="24"/>
              </w:rPr>
              <w:t>16.2</w:t>
            </w:r>
            <w:r w:rsidRPr="00BD76AF">
              <w:rPr>
                <w:szCs w:val="24"/>
              </w:rPr>
              <w:tab/>
              <w:t>Le Maître d’ouvrage n’utilisera pas les documents, données et autre information marqués comme confidentiels et obtenus de l’Entrepreneur dans un but autre que l’exploitation et la maintenance des Installations ou pour le respect des lois applicables. De même, l’Entrepreneur n’utilisera pas les documents, données et autre information marqués comme confidentiels et obtenus du Maître d’ouvrage dans un but autre que la conception, l’achat des Équipements, le montage ou tout autre travail et service requis pour l’exécution du Marché ou pour le respect des lois applicables.</w:t>
            </w:r>
          </w:p>
          <w:p w14:paraId="56FBB984" w14:textId="77777777" w:rsidR="00F332DA" w:rsidRPr="00BD76AF" w:rsidRDefault="00F332DA" w:rsidP="00884A36">
            <w:pPr>
              <w:spacing w:afterLines="50" w:after="120"/>
              <w:ind w:left="601" w:hanging="601"/>
              <w:rPr>
                <w:szCs w:val="24"/>
              </w:rPr>
            </w:pPr>
            <w:r w:rsidRPr="00BD76AF">
              <w:rPr>
                <w:szCs w:val="24"/>
              </w:rPr>
              <w:t>16.3</w:t>
            </w:r>
            <w:r w:rsidRPr="00BD76AF">
              <w:rPr>
                <w:szCs w:val="24"/>
              </w:rPr>
              <w:tab/>
              <w:t>L’obligation incombant à l’une des Parties conformément aux Articles 16.1 et 16.2 ci-dessus ne s’applique cependant pas aux informations :</w:t>
            </w:r>
          </w:p>
          <w:p w14:paraId="1208E542" w14:textId="77777777" w:rsidR="00F332DA" w:rsidRPr="00BD76AF" w:rsidRDefault="00F332DA" w:rsidP="00C21879">
            <w:pPr>
              <w:pStyle w:val="SectionVII1"/>
              <w:rPr>
                <w:lang w:val="fr-FR"/>
              </w:rPr>
            </w:pPr>
            <w:r w:rsidRPr="00BD76AF">
              <w:rPr>
                <w:lang w:val="fr-FR"/>
              </w:rPr>
              <w:t>a)</w:t>
            </w:r>
            <w:r w:rsidRPr="00BD76AF">
              <w:rPr>
                <w:lang w:val="fr-FR"/>
              </w:rPr>
              <w:tab/>
              <w:t xml:space="preserve">qui tombent dans le domaine public dès à présent ou par la suite sans que cette Partie en soit responsable ; </w:t>
            </w:r>
          </w:p>
          <w:p w14:paraId="7A4FC274" w14:textId="77777777" w:rsidR="00F332DA" w:rsidRPr="00BD76AF" w:rsidRDefault="00F332DA" w:rsidP="00C21879">
            <w:pPr>
              <w:pStyle w:val="SectionVII1"/>
              <w:rPr>
                <w:lang w:val="fr-FR"/>
              </w:rPr>
            </w:pPr>
            <w:r w:rsidRPr="00BD76AF">
              <w:rPr>
                <w:lang w:val="fr-FR"/>
              </w:rPr>
              <w:t>b)</w:t>
            </w:r>
            <w:r w:rsidRPr="00BD76AF">
              <w:rPr>
                <w:lang w:val="fr-FR"/>
              </w:rPr>
              <w:tab/>
              <w:t>dont on peut prouver qu’elles étaient en possession de cette Partie au moment de leur divulgation et qui n’ont pas été précédemment obtenues, directement ou indirectement, de l’autre Partie ; ou</w:t>
            </w:r>
          </w:p>
          <w:p w14:paraId="60E3E628" w14:textId="77777777" w:rsidR="00F332DA" w:rsidRPr="00BD76AF" w:rsidRDefault="00F332DA" w:rsidP="00C21879">
            <w:pPr>
              <w:pStyle w:val="SectionVII1"/>
              <w:rPr>
                <w:lang w:val="fr-FR"/>
              </w:rPr>
            </w:pPr>
            <w:r w:rsidRPr="00BD76AF">
              <w:rPr>
                <w:lang w:val="fr-FR"/>
              </w:rPr>
              <w:t>c)</w:t>
            </w:r>
            <w:r w:rsidRPr="00BD76AF">
              <w:rPr>
                <w:lang w:val="fr-FR"/>
              </w:rPr>
              <w:tab/>
              <w:t>qui sont, de façon licite, mises à la disposition de cette Partie par une tierce partie non soumise à l’obligation de confidentialité.</w:t>
            </w:r>
          </w:p>
          <w:p w14:paraId="22017CDA" w14:textId="77777777" w:rsidR="00F332DA" w:rsidRPr="00BD76AF" w:rsidRDefault="00F332DA" w:rsidP="00C21879">
            <w:pPr>
              <w:spacing w:after="200"/>
              <w:ind w:left="601" w:hanging="601"/>
              <w:rPr>
                <w:szCs w:val="24"/>
              </w:rPr>
            </w:pPr>
            <w:r w:rsidRPr="00BD76AF">
              <w:rPr>
                <w:szCs w:val="24"/>
              </w:rPr>
              <w:t>16.4</w:t>
            </w:r>
            <w:r w:rsidRPr="00BD76AF">
              <w:rPr>
                <w:szCs w:val="24"/>
              </w:rPr>
              <w:tab/>
              <w:t>Les dispositions ci-dessus de cet Article 16 des CG n’affectent en aucune façon un quelconque engagement de confidentialité souscrit par l’une ou l’autre des Parties avant la date du Marché en ce qui concerne les Installations ou une quelconque partie de celles-ci.</w:t>
            </w:r>
          </w:p>
          <w:p w14:paraId="2E1F7563" w14:textId="77777777" w:rsidR="00F332DA" w:rsidRPr="00BD76AF" w:rsidRDefault="00F332DA" w:rsidP="00C21879">
            <w:pPr>
              <w:spacing w:after="200"/>
              <w:ind w:left="601" w:hanging="601"/>
              <w:rPr>
                <w:szCs w:val="24"/>
              </w:rPr>
            </w:pPr>
            <w:r w:rsidRPr="00BD76AF">
              <w:rPr>
                <w:szCs w:val="24"/>
              </w:rPr>
              <w:t>16.5</w:t>
            </w:r>
            <w:r w:rsidRPr="00BD76AF">
              <w:rPr>
                <w:szCs w:val="24"/>
              </w:rPr>
              <w:tab/>
              <w:t>Les dispositions de cet Article 16 des CG resteront en vigueur suite à la résiliation du Marché, quel qu’en soit le motif.</w:t>
            </w:r>
          </w:p>
        </w:tc>
      </w:tr>
    </w:tbl>
    <w:p w14:paraId="49E97049" w14:textId="77777777" w:rsidR="00F332DA" w:rsidRPr="00BD76AF" w:rsidRDefault="00F332DA" w:rsidP="00E821FB">
      <w:pPr>
        <w:pStyle w:val="S7Header1"/>
        <w:keepNext/>
        <w:spacing w:before="240" w:afterLines="100" w:after="240"/>
        <w:rPr>
          <w:sz w:val="32"/>
          <w:szCs w:val="32"/>
          <w:lang w:eastAsia="ja-JP"/>
        </w:rPr>
      </w:pPr>
      <w:bookmarkStart w:id="778" w:name="_Toc102050796"/>
      <w:r w:rsidRPr="00BD76AF">
        <w:rPr>
          <w:sz w:val="32"/>
          <w:szCs w:val="32"/>
        </w:rPr>
        <w:t>E.  Réalisation des Installations</w:t>
      </w:r>
      <w:bookmarkEnd w:id="778"/>
    </w:p>
    <w:tbl>
      <w:tblPr>
        <w:tblW w:w="9288" w:type="dxa"/>
        <w:tblInd w:w="-74" w:type="dxa"/>
        <w:tblLayout w:type="fixed"/>
        <w:tblLook w:val="0000" w:firstRow="0" w:lastRow="0" w:firstColumn="0" w:lastColumn="0" w:noHBand="0" w:noVBand="0"/>
      </w:tblPr>
      <w:tblGrid>
        <w:gridCol w:w="2352"/>
        <w:gridCol w:w="6936"/>
      </w:tblGrid>
      <w:tr w:rsidR="00F332DA" w:rsidRPr="00BD76AF" w14:paraId="5036DEA1" w14:textId="77777777" w:rsidTr="0079334B">
        <w:trPr>
          <w:trHeight w:val="2127"/>
        </w:trPr>
        <w:tc>
          <w:tcPr>
            <w:tcW w:w="2352" w:type="dxa"/>
            <w:vMerge w:val="restart"/>
          </w:tcPr>
          <w:p w14:paraId="1B857DF5" w14:textId="77777777" w:rsidR="00F332DA" w:rsidRPr="00BD76AF" w:rsidRDefault="00F332DA" w:rsidP="007C71D1">
            <w:pPr>
              <w:pStyle w:val="S7Header2"/>
              <w:rPr>
                <w:szCs w:val="24"/>
              </w:rPr>
            </w:pPr>
            <w:bookmarkStart w:id="779" w:name="_Toc102050797"/>
            <w:r w:rsidRPr="00BD76AF">
              <w:rPr>
                <w:szCs w:val="24"/>
              </w:rPr>
              <w:t>17.</w:t>
            </w:r>
            <w:r w:rsidRPr="00BD76AF">
              <w:rPr>
                <w:szCs w:val="24"/>
              </w:rPr>
              <w:tab/>
              <w:t>Représentants</w:t>
            </w:r>
            <w:bookmarkEnd w:id="779"/>
          </w:p>
        </w:tc>
        <w:tc>
          <w:tcPr>
            <w:tcW w:w="6936" w:type="dxa"/>
          </w:tcPr>
          <w:p w14:paraId="6B3DE6E2" w14:textId="77777777" w:rsidR="00F332DA" w:rsidRPr="00BD76AF" w:rsidRDefault="00F332DA" w:rsidP="00E821FB">
            <w:pPr>
              <w:keepNext/>
              <w:spacing w:afterLines="50" w:after="120"/>
              <w:ind w:left="601" w:hanging="601"/>
              <w:rPr>
                <w:szCs w:val="24"/>
              </w:rPr>
            </w:pPr>
            <w:r w:rsidRPr="00BD76AF">
              <w:rPr>
                <w:szCs w:val="24"/>
              </w:rPr>
              <w:t>17.1</w:t>
            </w:r>
            <w:r w:rsidRPr="00BD76AF">
              <w:rPr>
                <w:szCs w:val="24"/>
              </w:rPr>
              <w:tab/>
            </w:r>
            <w:r w:rsidRPr="00BD76AF">
              <w:rPr>
                <w:szCs w:val="24"/>
                <w:u w:val="single"/>
              </w:rPr>
              <w:t>Directeur de projet</w:t>
            </w:r>
          </w:p>
          <w:p w14:paraId="40CF65DC" w14:textId="77777777" w:rsidR="00F332DA" w:rsidRPr="00BD76AF" w:rsidRDefault="00F332DA" w:rsidP="005745EC">
            <w:pPr>
              <w:spacing w:afterLines="50" w:after="120"/>
              <w:ind w:left="601"/>
              <w:rPr>
                <w:szCs w:val="24"/>
              </w:rPr>
            </w:pPr>
            <w:r w:rsidRPr="00BD76AF">
              <w:rPr>
                <w:szCs w:val="24"/>
              </w:rPr>
              <w:t xml:space="preserve">Le </w:t>
            </w:r>
            <w:r w:rsidRPr="00BD76AF">
              <w:t>Maître</w:t>
            </w:r>
            <w:r w:rsidRPr="00BD76AF">
              <w:rPr>
                <w:szCs w:val="24"/>
              </w:rPr>
              <w:t xml:space="preserve"> d’ouvrage doit nommer un Directeur de projet et le nom de cette personne doit être</w:t>
            </w:r>
            <w:r w:rsidRPr="00BD76AF">
              <w:rPr>
                <w:b/>
                <w:szCs w:val="24"/>
              </w:rPr>
              <w:t xml:space="preserve"> indiqué dans le</w:t>
            </w:r>
            <w:r w:rsidRPr="00BD76AF">
              <w:rPr>
                <w:rFonts w:hint="eastAsia"/>
                <w:b/>
                <w:szCs w:val="24"/>
                <w:lang w:eastAsia="ja-JP"/>
              </w:rPr>
              <w:t>s</w:t>
            </w:r>
            <w:r w:rsidRPr="00BD76AF">
              <w:rPr>
                <w:b/>
                <w:szCs w:val="24"/>
              </w:rPr>
              <w:t xml:space="preserve"> Données du Marché</w:t>
            </w:r>
            <w:r w:rsidRPr="00BD76AF">
              <w:rPr>
                <w:szCs w:val="24"/>
              </w:rPr>
              <w:t xml:space="preserve">. Le Maître d’ouvrage peut de temps à autre nommer une autre personne en qualité de Directeur de projet au lieu de la personne précédemment nommée à cette fonction et il en avisera sans délai l’Entrepreneur. Une telle nomination ne pourra être faite à un moment ou selon des modalités qui perturberaient l’avancement du travail de réalisation des Installations. Cette nomination ne sera effective qu’à partir de la réception de cet avis par l’Entrepreneur. Le Directeur de projet représentera le Maître d’ouvrage et agira pour le compte de ce dernier en tout temps durant la durée du Marché. </w:t>
            </w:r>
          </w:p>
          <w:p w14:paraId="6F838934" w14:textId="77777777" w:rsidR="00F332DA" w:rsidRPr="00BD76AF" w:rsidRDefault="00F332DA" w:rsidP="005745EC">
            <w:pPr>
              <w:spacing w:afterLines="50" w:after="120"/>
              <w:ind w:left="601"/>
              <w:rPr>
                <w:szCs w:val="24"/>
              </w:rPr>
            </w:pPr>
            <w:r w:rsidRPr="00BD76AF">
              <w:rPr>
                <w:szCs w:val="24"/>
              </w:rPr>
              <w:t>Toutes les notifications, instructions, ordres, certificats, autorisations et autres communications donnés en vertu du Marché émaneront du Directeur de projet, sauf disposition contraire du Marché.</w:t>
            </w:r>
          </w:p>
          <w:p w14:paraId="24337964" w14:textId="77777777" w:rsidR="00F332DA" w:rsidRPr="00BD76AF" w:rsidRDefault="00F332DA" w:rsidP="00C21879">
            <w:pPr>
              <w:spacing w:after="200"/>
              <w:ind w:left="601"/>
              <w:rPr>
                <w:szCs w:val="24"/>
              </w:rPr>
            </w:pPr>
            <w:r w:rsidRPr="00BD76AF">
              <w:rPr>
                <w:szCs w:val="24"/>
              </w:rPr>
              <w:t>En cas de désaccord, réclamation ou différend, le Directeur de projet doit consulter chaque Partie pour s’efforcer d’aboutir à un accord.</w:t>
            </w:r>
          </w:p>
          <w:p w14:paraId="65C4C193" w14:textId="77777777" w:rsidR="00F332DA" w:rsidRPr="00BD76AF" w:rsidRDefault="00F332DA" w:rsidP="0079334B">
            <w:pPr>
              <w:keepNext/>
              <w:spacing w:afterLines="50" w:after="120"/>
              <w:ind w:left="601" w:hanging="601"/>
              <w:rPr>
                <w:szCs w:val="24"/>
              </w:rPr>
            </w:pPr>
            <w:r w:rsidRPr="00BD76AF">
              <w:rPr>
                <w:szCs w:val="24"/>
              </w:rPr>
              <w:t>17.2</w:t>
            </w:r>
            <w:r w:rsidRPr="00BD76AF">
              <w:rPr>
                <w:szCs w:val="24"/>
              </w:rPr>
              <w:tab/>
            </w:r>
            <w:r w:rsidRPr="00BD76AF">
              <w:rPr>
                <w:szCs w:val="24"/>
                <w:u w:val="single"/>
              </w:rPr>
              <w:t>Représentant de l’Entrepreneur et Directeur des travaux</w:t>
            </w:r>
          </w:p>
          <w:p w14:paraId="484312D9" w14:textId="77777777" w:rsidR="00F332DA" w:rsidRPr="00BD76AF" w:rsidRDefault="00F332DA" w:rsidP="00C21879">
            <w:pPr>
              <w:spacing w:after="200"/>
              <w:ind w:left="1440" w:hanging="839"/>
              <w:rPr>
                <w:szCs w:val="24"/>
                <w:lang w:eastAsia="ja-JP"/>
              </w:rPr>
            </w:pPr>
            <w:r w:rsidRPr="00BD76AF">
              <w:rPr>
                <w:szCs w:val="24"/>
              </w:rPr>
              <w:t>17.2.1</w:t>
            </w:r>
            <w:r w:rsidRPr="00BD76AF">
              <w:rPr>
                <w:szCs w:val="24"/>
              </w:rPr>
              <w:tab/>
              <w:t>L’Entrepreneur doit nommer son Représentant avant la Date d’entrée en vigueur. Si le Maître d’ouvrage ne s’oppose pas à cette nomination dans un délai de quatorze (14) jours, le choix du Représentant de l’Entrepreneur sera considéré comme ayant été approuvé. Si le Maître d’ouvrage s’oppose au choix du Représentant de l’Entrepreneur dans ce délai de quatorze (14) jours en précisant les motifs de sa décision, l’Entrepreneur nommera un remplaçant dans un délai de quatorze (14) jours suivant cette opposition, et cette nomination sera soumise aux dispositions de cet Article 17.2.1 des CG.</w:t>
            </w:r>
          </w:p>
        </w:tc>
      </w:tr>
      <w:tr w:rsidR="00F332DA" w:rsidRPr="00BD76AF" w14:paraId="7746466E" w14:textId="77777777" w:rsidTr="00A430F1">
        <w:tc>
          <w:tcPr>
            <w:tcW w:w="2352" w:type="dxa"/>
            <w:vMerge/>
          </w:tcPr>
          <w:p w14:paraId="6407B17C" w14:textId="77777777" w:rsidR="00F332DA" w:rsidRPr="00BD76AF" w:rsidRDefault="00F332DA" w:rsidP="007C71D1">
            <w:pPr>
              <w:pStyle w:val="S7Header2"/>
              <w:rPr>
                <w:szCs w:val="24"/>
              </w:rPr>
            </w:pPr>
          </w:p>
        </w:tc>
        <w:tc>
          <w:tcPr>
            <w:tcW w:w="6936" w:type="dxa"/>
          </w:tcPr>
          <w:p w14:paraId="1630CA93" w14:textId="77777777" w:rsidR="00F332DA" w:rsidRPr="00BD76AF" w:rsidRDefault="00F332DA" w:rsidP="00DC426C">
            <w:pPr>
              <w:spacing w:afterLines="50" w:after="120"/>
              <w:ind w:left="1440" w:hanging="839"/>
              <w:rPr>
                <w:szCs w:val="24"/>
              </w:rPr>
            </w:pPr>
            <w:r w:rsidRPr="00BD76AF">
              <w:rPr>
                <w:szCs w:val="24"/>
              </w:rPr>
              <w:t>17.2.2</w:t>
            </w:r>
            <w:r w:rsidRPr="00BD76AF">
              <w:rPr>
                <w:szCs w:val="24"/>
              </w:rPr>
              <w:tab/>
              <w:t>Le Représentant de l’Entrepreneur doit représenter l’Entrepreneur et agir pour le compte de ce dernier en tout temps durant l’exécution du Marché et il doit donner au Directeur de projet toutes les notifications, instructions, informations et autre communication de l’Entrepreneur en vertu du Marché.</w:t>
            </w:r>
          </w:p>
          <w:p w14:paraId="68D82BC9" w14:textId="77777777" w:rsidR="00F332DA" w:rsidRPr="00BD76AF" w:rsidRDefault="00F332DA" w:rsidP="008963F5">
            <w:pPr>
              <w:spacing w:afterLines="50" w:after="120"/>
              <w:ind w:left="1440"/>
              <w:rPr>
                <w:szCs w:val="24"/>
              </w:rPr>
            </w:pPr>
            <w:r w:rsidRPr="00BD76AF">
              <w:rPr>
                <w:szCs w:val="24"/>
              </w:rPr>
              <w:t>Toutes les notifications, instructions, informations et autre communication données par le Maître d’ouvrage ou le Directeur de projet à l’Entrepreneur en vertu du Marché seront remis au Représentant de l’Entrepreneur ou, en son absence, à son adjoint, sauf si le Marché n’en dispose autrement.</w:t>
            </w:r>
          </w:p>
          <w:p w14:paraId="4814BBAD" w14:textId="77777777" w:rsidR="00F332DA" w:rsidRPr="00BD76AF" w:rsidRDefault="00F332DA" w:rsidP="00C21879">
            <w:pPr>
              <w:spacing w:after="200"/>
              <w:ind w:left="1440"/>
              <w:rPr>
                <w:szCs w:val="24"/>
              </w:rPr>
            </w:pPr>
            <w:r w:rsidRPr="00BD76AF">
              <w:rPr>
                <w:szCs w:val="24"/>
              </w:rPr>
              <w:t>L’Entrepreneur ne révoquera pas le Représentant de l’Entrepreneur sans le consentement écrit préalable du Maître d’ouvrage, qui ne le refusera pas sans motif valable. Si le Maître d’ouvrage y consent, l’Entrepreneur nommera une autre personne en tant que Représentant de l’Entrepreneur conformément à la procédure décrite à l’Article 17.2.1 des CG.</w:t>
            </w:r>
          </w:p>
          <w:p w14:paraId="5E70A6C6" w14:textId="77777777" w:rsidR="00F332DA" w:rsidRPr="00BD76AF" w:rsidRDefault="00F332DA" w:rsidP="00DC426C">
            <w:pPr>
              <w:spacing w:afterLines="50" w:after="120"/>
              <w:ind w:left="1440" w:hanging="839"/>
              <w:rPr>
                <w:szCs w:val="24"/>
              </w:rPr>
            </w:pPr>
            <w:r w:rsidRPr="00BD76AF">
              <w:rPr>
                <w:szCs w:val="24"/>
              </w:rPr>
              <w:t>17.2.3</w:t>
            </w:r>
            <w:r w:rsidRPr="00BD76AF">
              <w:rPr>
                <w:szCs w:val="24"/>
              </w:rPr>
              <w:tab/>
              <w:t>Le Représentant de l’Entrepreneur peut, sous réserve de l’approbation du Maître d’ouvrage, qui ne la refusera pas sans motif valable, déléguer à tout moment à toute personne les pouvoirs, fonctions ou l’autorité dont il est investi. Cette délégation peut être révoquée à tout moment. Cette délégation ou révocation doit faire l’objet d’une notification préalable écrite signée par le Représentant de l’Entrepreneur qui devra spécifier les pouvoirs, fonctions et autorités ainsi délégués ou révoqués. Cette délégation ou révocation sera sans effet tant qu’une copie de la notification n’aura pas été remise au Maître d’ouvrage et au Directeur de projet.</w:t>
            </w:r>
          </w:p>
          <w:p w14:paraId="22BAEC59" w14:textId="77777777" w:rsidR="00F332DA" w:rsidRPr="00BD76AF" w:rsidRDefault="00F332DA" w:rsidP="00C21879">
            <w:pPr>
              <w:spacing w:after="200"/>
              <w:ind w:left="1440"/>
              <w:rPr>
                <w:szCs w:val="24"/>
              </w:rPr>
            </w:pPr>
            <w:r w:rsidRPr="00BD76AF">
              <w:rPr>
                <w:szCs w:val="24"/>
              </w:rPr>
              <w:t>Tout acte ou exercice, par une quelconque personne, des pouvoirs, fonctions et autorités qui lui ont ainsi été délégués conformément à cet Article 17.2.3 des CG, sera réputé avoir été effectué ou exercé par le Représentant de l’Entrepreneur.</w:t>
            </w:r>
          </w:p>
          <w:p w14:paraId="7809D3D1" w14:textId="77777777" w:rsidR="00F332DA" w:rsidRPr="00BD76AF" w:rsidRDefault="00F332DA" w:rsidP="00C21879">
            <w:pPr>
              <w:spacing w:after="200"/>
              <w:ind w:left="1440" w:hanging="839"/>
              <w:rPr>
                <w:szCs w:val="24"/>
              </w:rPr>
            </w:pPr>
            <w:r w:rsidRPr="00BD76AF">
              <w:rPr>
                <w:szCs w:val="24"/>
              </w:rPr>
              <w:t>17.2.4</w:t>
            </w:r>
            <w:r w:rsidRPr="00BD76AF">
              <w:rPr>
                <w:szCs w:val="24"/>
              </w:rPr>
              <w:tab/>
              <w:t>A partir du commencement de la réalisation des Installations sur le Site et jusqu’à l’achèvement de celles-ci, le Représentant de l’Entrepreneur nommera une personne qualifiée en qualité de Directeur des travaux. Le Directeur des travaux supervisera tous les travaux effectués sur le Site par l’Entrepreneur et il sera présent sur le Site durant les horaires normaux de travail, sauf en cas de congé, de maladie ou d’absence pour des raisons liées à la bonne exécution du Marché. Toutes les fois que le Directeur des travaux est absent du Site, une personne qualifiée sera nommée pour le remplacer en qualité d’adjoint.</w:t>
            </w:r>
          </w:p>
          <w:p w14:paraId="2C0FEFB0" w14:textId="77777777" w:rsidR="00F332DA" w:rsidRPr="00BD76AF" w:rsidRDefault="00F332DA" w:rsidP="00C21879">
            <w:pPr>
              <w:spacing w:after="200"/>
              <w:ind w:left="1440" w:hanging="839"/>
              <w:rPr>
                <w:szCs w:val="24"/>
              </w:rPr>
            </w:pPr>
            <w:r w:rsidRPr="00BD76AF">
              <w:rPr>
                <w:szCs w:val="24"/>
              </w:rPr>
              <w:t>17.2.5</w:t>
            </w:r>
            <w:r w:rsidRPr="00BD76AF">
              <w:rPr>
                <w:szCs w:val="24"/>
              </w:rPr>
              <w:tab/>
              <w:t>Le Maître d’ouvrage peut, par notification à l’Entrepreneur, s’opposer à un quelconque représentant ou personne employé(e) par l’Entrepreneur dans l’exécution du Marché qui, de l’avis raisonnable du Maître d’ouvrage, se conduit mal, est incompétent(e), négligent(e) ou commet une violation grave aux règlements du site énoncés à l’Article 22.6 (</w:t>
            </w:r>
            <w:r w:rsidRPr="00BD76AF">
              <w:rPr>
                <w:i/>
                <w:szCs w:val="24"/>
              </w:rPr>
              <w:t>Règlement de chantier et sécurité du Site</w:t>
            </w:r>
            <w:r w:rsidRPr="00BD76AF">
              <w:rPr>
                <w:szCs w:val="24"/>
              </w:rPr>
              <w:t>) des CG. Le Maître d’ouvrage doit en fournir la preuve et, en conséquence, l’Entrepreneur expulsera cette personne du Site.</w:t>
            </w:r>
          </w:p>
          <w:p w14:paraId="7A6B0907" w14:textId="77777777" w:rsidR="00F332DA" w:rsidRPr="00BD76AF" w:rsidRDefault="00F332DA" w:rsidP="00C21879">
            <w:pPr>
              <w:spacing w:after="200"/>
              <w:ind w:left="1440" w:hanging="839"/>
              <w:rPr>
                <w:szCs w:val="24"/>
              </w:rPr>
            </w:pPr>
            <w:r w:rsidRPr="00BD76AF">
              <w:rPr>
                <w:szCs w:val="24"/>
              </w:rPr>
              <w:t>17.2.6</w:t>
            </w:r>
            <w:r w:rsidRPr="00BD76AF">
              <w:rPr>
                <w:szCs w:val="24"/>
              </w:rPr>
              <w:tab/>
              <w:t>Si un représentant ou une personne employé(e) par l’Entrepreneur est expulsé(e) conformément à l’Article 17.2.5 des CG ci-dessus, l’Entrepreneur désignera rapidement un remplaçant</w:t>
            </w:r>
            <w:r w:rsidRPr="00BD76AF">
              <w:t xml:space="preserve"> </w:t>
            </w:r>
            <w:r w:rsidRPr="00BD76AF">
              <w:rPr>
                <w:szCs w:val="24"/>
              </w:rPr>
              <w:t>ayant des compétences et une expérience équivalentes, s’il en est requis.</w:t>
            </w:r>
          </w:p>
        </w:tc>
      </w:tr>
      <w:tr w:rsidR="00F332DA" w:rsidRPr="00BD76AF" w14:paraId="2B02B99E" w14:textId="77777777" w:rsidTr="00B97BA4">
        <w:tc>
          <w:tcPr>
            <w:tcW w:w="2352" w:type="dxa"/>
          </w:tcPr>
          <w:p w14:paraId="5E08D196" w14:textId="77777777" w:rsidR="00F332DA" w:rsidRPr="00BD76AF" w:rsidRDefault="00F332DA" w:rsidP="007C71D1">
            <w:pPr>
              <w:pStyle w:val="S7Header2"/>
              <w:rPr>
                <w:szCs w:val="24"/>
              </w:rPr>
            </w:pPr>
            <w:bookmarkStart w:id="780" w:name="_Toc102050798"/>
            <w:r w:rsidRPr="00BD76AF">
              <w:rPr>
                <w:szCs w:val="24"/>
              </w:rPr>
              <w:t>18.</w:t>
            </w:r>
            <w:r w:rsidRPr="00BD76AF">
              <w:rPr>
                <w:szCs w:val="24"/>
              </w:rPr>
              <w:tab/>
              <w:t>Programme des travaux</w:t>
            </w:r>
            <w:bookmarkEnd w:id="780"/>
            <w:r w:rsidRPr="00BD76AF">
              <w:rPr>
                <w:szCs w:val="24"/>
              </w:rPr>
              <w:t xml:space="preserve"> </w:t>
            </w:r>
          </w:p>
        </w:tc>
        <w:tc>
          <w:tcPr>
            <w:tcW w:w="6936" w:type="dxa"/>
          </w:tcPr>
          <w:p w14:paraId="135D496D" w14:textId="77777777" w:rsidR="00F332DA" w:rsidRPr="00BD76AF" w:rsidRDefault="00F332DA" w:rsidP="00884A36">
            <w:pPr>
              <w:spacing w:afterLines="50" w:after="120"/>
              <w:ind w:left="601" w:hanging="601"/>
              <w:rPr>
                <w:szCs w:val="24"/>
              </w:rPr>
            </w:pPr>
            <w:r w:rsidRPr="00BD76AF">
              <w:rPr>
                <w:szCs w:val="24"/>
              </w:rPr>
              <w:t>18.1</w:t>
            </w:r>
            <w:r w:rsidRPr="00BD76AF">
              <w:rPr>
                <w:szCs w:val="24"/>
              </w:rPr>
              <w:tab/>
            </w:r>
            <w:r w:rsidRPr="00BD76AF">
              <w:rPr>
                <w:szCs w:val="24"/>
                <w:u w:val="single"/>
              </w:rPr>
              <w:t>Organisation de l’Entrepreneur</w:t>
            </w:r>
          </w:p>
          <w:p w14:paraId="7CD69D95" w14:textId="77777777" w:rsidR="00F332DA" w:rsidRPr="00BD76AF" w:rsidRDefault="00F332DA" w:rsidP="00C21879">
            <w:pPr>
              <w:spacing w:after="200"/>
              <w:ind w:left="601"/>
              <w:rPr>
                <w:szCs w:val="24"/>
              </w:rPr>
            </w:pPr>
            <w:r w:rsidRPr="00BD76AF">
              <w:rPr>
                <w:szCs w:val="24"/>
              </w:rPr>
              <w:t xml:space="preserve">L’Entrepreneur doit fournir au Maître d’ouvrage et au Directeur de projet, dans un délai de vingt et un (21) jours suivant la Date d’entrée en vigueur, un organigramme </w:t>
            </w:r>
            <w:r w:rsidRPr="00BD76AF">
              <w:t>montrant</w:t>
            </w:r>
            <w:r w:rsidRPr="00BD76AF">
              <w:rPr>
                <w:szCs w:val="24"/>
              </w:rPr>
              <w:t xml:space="preserve"> l’organisation proposée par l’Entrepreneur pour la réalisation des Installations. Cet organigramme doit indiquer l’identité du personnel clé, et les curriculum vitae de ces personnes qui seront employées en qualité de personnel clé devront être joints à l’organigramme.  L’Entrepreneur informera rapidement par écrit le Maître d’ouvrage et le Directeur de projet de toute révision ou modification de cet organigramme.</w:t>
            </w:r>
          </w:p>
          <w:p w14:paraId="506845CE" w14:textId="77777777" w:rsidR="00F332DA" w:rsidRPr="00BD76AF" w:rsidRDefault="00F332DA" w:rsidP="00884A36">
            <w:pPr>
              <w:spacing w:afterLines="50" w:after="120"/>
              <w:ind w:left="601" w:hanging="601"/>
              <w:rPr>
                <w:szCs w:val="24"/>
              </w:rPr>
            </w:pPr>
            <w:r w:rsidRPr="00BD76AF">
              <w:rPr>
                <w:szCs w:val="24"/>
              </w:rPr>
              <w:t>18.2</w:t>
            </w:r>
            <w:r w:rsidRPr="00BD76AF">
              <w:rPr>
                <w:szCs w:val="24"/>
              </w:rPr>
              <w:tab/>
            </w:r>
            <w:r w:rsidRPr="00BD76AF">
              <w:rPr>
                <w:szCs w:val="24"/>
                <w:u w:val="single"/>
              </w:rPr>
              <w:t>Programme d’exécution</w:t>
            </w:r>
          </w:p>
          <w:p w14:paraId="4B4AC03C" w14:textId="77777777" w:rsidR="00F332DA" w:rsidRPr="00BD76AF" w:rsidRDefault="00F332DA" w:rsidP="00C21879">
            <w:pPr>
              <w:spacing w:after="200"/>
              <w:ind w:left="601"/>
              <w:rPr>
                <w:szCs w:val="24"/>
              </w:rPr>
            </w:pPr>
            <w:r w:rsidRPr="00BD76AF">
              <w:rPr>
                <w:szCs w:val="24"/>
              </w:rPr>
              <w:t xml:space="preserve">Dans un délai de vingt-huit (28) jours suivant la Date d’entrée en vigueur, l’Entrepreneur doit remettre au Directeur de projet un programme détaillé d’exécution du Marché préparé dans un format acceptable pour le </w:t>
            </w:r>
            <w:r w:rsidRPr="00BD76AF">
              <w:t>Directeur</w:t>
            </w:r>
            <w:r w:rsidRPr="00BD76AF">
              <w:rPr>
                <w:szCs w:val="24"/>
              </w:rPr>
              <w:t xml:space="preserve"> de projet et montrant la séquence selon laquelle il propose de concevoir, fabriquer, transporter, assembler, monter et assurer la Pré-mise en service des Installations, ainsi que la date, raisonnablement fixée par l’Entrepreneur, à laquelle le Maître d’ouvrage doit s’être acquitté de ses obligations en vertu du Marché de manière à permettre à l’Entrepreneur d’exécuter le Marché conformément au programme, d’achever les Installations et de procéder à la Mise en service et à la réception de celles-ci, conformément au Marché. Le programme ainsi présenté par l’Entrepreneur doit être conforme au calendrier d’exécution inclus dans l’Annexe 4 (</w:t>
            </w:r>
            <w:r w:rsidRPr="00BD76AF">
              <w:rPr>
                <w:i/>
                <w:szCs w:val="24"/>
              </w:rPr>
              <w:t>Calendrier d’exécution</w:t>
            </w:r>
            <w:r w:rsidRPr="00BD76AF">
              <w:rPr>
                <w:szCs w:val="24"/>
              </w:rPr>
              <w:t>) de l’Acte d’engagement, et aux autres dates et délais spécifiés dans le Marché. L’Entrepreneur doit actualiser et réviser le programme chaque fois que cela s’avère nécessaire ou lorsque le Directeur de projet le lui demande, mais sans modifier le Délai d’</w:t>
            </w:r>
            <w:r w:rsidRPr="00BD76AF">
              <w:rPr>
                <w:rFonts w:eastAsia="ＭＳ ゴシック"/>
                <w:color w:val="000000"/>
                <w:szCs w:val="24"/>
                <w:lang w:eastAsia="ja-JP"/>
              </w:rPr>
              <w:t>achèvement</w:t>
            </w:r>
            <w:r w:rsidRPr="00BD76AF">
              <w:rPr>
                <w:szCs w:val="24"/>
              </w:rPr>
              <w:t xml:space="preserve"> indiqué dans les CP conformément à l’Article 8.2 des CG et toute extension accordée conformément à l’Article 40 des CG, et il doit soumettre toutes ces révisions au Directeur de projet.</w:t>
            </w:r>
          </w:p>
          <w:p w14:paraId="0DBD93D1" w14:textId="77777777" w:rsidR="00F332DA" w:rsidRPr="00BD76AF" w:rsidRDefault="00F332DA" w:rsidP="00884A36">
            <w:pPr>
              <w:spacing w:afterLines="50" w:after="120"/>
              <w:ind w:left="601" w:hanging="601"/>
              <w:rPr>
                <w:szCs w:val="24"/>
              </w:rPr>
            </w:pPr>
            <w:r w:rsidRPr="00BD76AF">
              <w:rPr>
                <w:szCs w:val="24"/>
              </w:rPr>
              <w:t>18.3</w:t>
            </w:r>
            <w:r w:rsidRPr="00BD76AF">
              <w:rPr>
                <w:szCs w:val="24"/>
              </w:rPr>
              <w:tab/>
            </w:r>
            <w:r w:rsidRPr="00BD76AF">
              <w:rPr>
                <w:szCs w:val="24"/>
                <w:u w:val="single"/>
              </w:rPr>
              <w:t>Rapport d’avancement</w:t>
            </w:r>
          </w:p>
          <w:p w14:paraId="3CDC807C" w14:textId="77777777" w:rsidR="00F332DA" w:rsidRPr="00BD76AF" w:rsidRDefault="00F332DA" w:rsidP="005745EC">
            <w:pPr>
              <w:spacing w:afterLines="50" w:after="120"/>
              <w:ind w:left="601"/>
              <w:rPr>
                <w:szCs w:val="24"/>
              </w:rPr>
            </w:pPr>
            <w:r w:rsidRPr="00BD76AF">
              <w:rPr>
                <w:szCs w:val="24"/>
              </w:rPr>
              <w:t xml:space="preserve">L’Entrepreneur doit assurer le suivi de l’avancement de toutes les activités spécifiées dans le programme mentionné à l’Article 18.2 des CG ci-dessus, et doit </w:t>
            </w:r>
            <w:r w:rsidRPr="00BD76AF">
              <w:t>remettre</w:t>
            </w:r>
            <w:r w:rsidRPr="00BD76AF">
              <w:rPr>
                <w:szCs w:val="24"/>
              </w:rPr>
              <w:t xml:space="preserve"> tous les mois un rapport d’avancement au Directeur de projet. </w:t>
            </w:r>
          </w:p>
          <w:p w14:paraId="7239DA6E" w14:textId="77777777" w:rsidR="00F332DA" w:rsidRPr="00BD76AF" w:rsidRDefault="00F332DA" w:rsidP="00C21879">
            <w:pPr>
              <w:spacing w:after="200"/>
              <w:ind w:left="601"/>
              <w:rPr>
                <w:szCs w:val="24"/>
              </w:rPr>
            </w:pPr>
            <w:r w:rsidRPr="00BD76AF">
              <w:rPr>
                <w:szCs w:val="24"/>
              </w:rPr>
              <w:t xml:space="preserve">Le rapport d’avancement doit être préparé dans un format </w:t>
            </w:r>
            <w:r w:rsidRPr="00BD76AF">
              <w:t>acceptable</w:t>
            </w:r>
            <w:r w:rsidRPr="00BD76AF">
              <w:rPr>
                <w:szCs w:val="24"/>
              </w:rPr>
              <w:t xml:space="preserve"> pour le Directeur de projet et doit : a) faire une comparaison entre les pourcentages d’achèvement effectif et prévu pour chaque activité ; et b) en cas de retard sur le programme d’une activité quelle qu’elle soit, donner des commentaires et une description des conséquences probables de ce retard ainsi que les mesures correctives adoptées.</w:t>
            </w:r>
          </w:p>
          <w:p w14:paraId="307D8F72" w14:textId="77777777" w:rsidR="00F332DA" w:rsidRPr="00BD76AF" w:rsidRDefault="00F332DA" w:rsidP="00884A36">
            <w:pPr>
              <w:spacing w:afterLines="50" w:after="120"/>
              <w:ind w:left="601" w:hanging="601"/>
              <w:rPr>
                <w:szCs w:val="24"/>
              </w:rPr>
            </w:pPr>
            <w:r w:rsidRPr="00BD76AF">
              <w:rPr>
                <w:szCs w:val="24"/>
              </w:rPr>
              <w:t>18.4</w:t>
            </w:r>
            <w:r w:rsidRPr="00BD76AF">
              <w:rPr>
                <w:szCs w:val="24"/>
              </w:rPr>
              <w:tab/>
            </w:r>
            <w:r w:rsidRPr="00BD76AF">
              <w:rPr>
                <w:szCs w:val="24"/>
                <w:u w:val="single"/>
              </w:rPr>
              <w:t>Avancement de l’exécution</w:t>
            </w:r>
          </w:p>
          <w:p w14:paraId="5BF4C807" w14:textId="77777777" w:rsidR="00F332DA" w:rsidRPr="00BD76AF" w:rsidRDefault="00F332DA" w:rsidP="00C21879">
            <w:pPr>
              <w:spacing w:after="200"/>
              <w:ind w:left="601"/>
              <w:rPr>
                <w:szCs w:val="24"/>
              </w:rPr>
            </w:pPr>
            <w:r w:rsidRPr="00BD76AF">
              <w:rPr>
                <w:szCs w:val="24"/>
              </w:rPr>
              <w:t>Si, à un moment quelconque, la progression effective des travaux de l’Entrepreneur prend du retard sur le programme mentionné à l’Article 18.2 des CG, ou s’il devient manifeste qu’elle prendra du retard, l’Entrepreneur doit préparer et soumettre, à la demande du Maître d’ouvrage ou du Directeur de projet, un programme révisé tenant compte de la situation actuelle, et doit aviser le Directeur de projet des mesures prises pour hâter cette progression de manière à achever les Installations dans le Délai d’</w:t>
            </w:r>
            <w:r w:rsidRPr="00BD76AF">
              <w:rPr>
                <w:rFonts w:eastAsia="ＭＳ ゴシック"/>
                <w:color w:val="000000"/>
                <w:szCs w:val="24"/>
                <w:lang w:eastAsia="ja-JP"/>
              </w:rPr>
              <w:t>achèvement</w:t>
            </w:r>
            <w:r w:rsidRPr="00BD76AF">
              <w:rPr>
                <w:szCs w:val="24"/>
              </w:rPr>
              <w:t xml:space="preserve"> conformément à l’Article 8.2 des CG, toute extension autorisée conformément à l’Article 40.1 des CG, ou tout délai supplémentaire qui pourra être convenu par ailleurs entre le Maître d’ouvrage et l’Entrepreneur.</w:t>
            </w:r>
          </w:p>
          <w:p w14:paraId="58AA968C" w14:textId="77777777" w:rsidR="00F332DA" w:rsidRPr="00BD76AF" w:rsidRDefault="00F332DA" w:rsidP="00884A36">
            <w:pPr>
              <w:spacing w:afterLines="50" w:after="120"/>
              <w:ind w:left="601" w:hanging="601"/>
              <w:rPr>
                <w:szCs w:val="24"/>
              </w:rPr>
            </w:pPr>
            <w:r w:rsidRPr="00BD76AF">
              <w:rPr>
                <w:szCs w:val="24"/>
              </w:rPr>
              <w:t>18.5</w:t>
            </w:r>
            <w:r w:rsidRPr="00BD76AF">
              <w:rPr>
                <w:szCs w:val="24"/>
              </w:rPr>
              <w:tab/>
            </w:r>
            <w:r w:rsidRPr="00BD76AF">
              <w:rPr>
                <w:szCs w:val="24"/>
                <w:u w:val="single"/>
              </w:rPr>
              <w:t>Procédures de travail</w:t>
            </w:r>
          </w:p>
          <w:p w14:paraId="235E692E" w14:textId="77777777" w:rsidR="00F332DA" w:rsidRPr="00BD76AF" w:rsidRDefault="00F332DA" w:rsidP="005745EC">
            <w:pPr>
              <w:spacing w:afterLines="50" w:after="120"/>
              <w:ind w:left="601"/>
              <w:rPr>
                <w:szCs w:val="24"/>
              </w:rPr>
            </w:pPr>
            <w:r w:rsidRPr="00BD76AF">
              <w:rPr>
                <w:szCs w:val="24"/>
              </w:rPr>
              <w:t xml:space="preserve">Le Marché doit être exécuté conformément aux documents contractuels, y compris les procédures </w:t>
            </w:r>
            <w:r w:rsidRPr="00BD76AF">
              <w:t>spécifiées</w:t>
            </w:r>
            <w:r w:rsidRPr="00BD76AF">
              <w:rPr>
                <w:szCs w:val="24"/>
              </w:rPr>
              <w:t xml:space="preserve"> dans les formulaires et les Exigences du Maître d’ouvrage.</w:t>
            </w:r>
          </w:p>
          <w:p w14:paraId="77F5C7E6" w14:textId="77777777" w:rsidR="00F332DA" w:rsidRPr="00BD76AF" w:rsidRDefault="00F332DA" w:rsidP="00C21879">
            <w:pPr>
              <w:spacing w:after="200"/>
              <w:ind w:left="601"/>
              <w:rPr>
                <w:szCs w:val="24"/>
              </w:rPr>
            </w:pPr>
            <w:r w:rsidRPr="00BD76AF">
              <w:rPr>
                <w:szCs w:val="24"/>
              </w:rPr>
              <w:t xml:space="preserve">L’Entrepreneur peut exécuter le Marché selon ses propres </w:t>
            </w:r>
            <w:r w:rsidRPr="00BD76AF">
              <w:t>plans</w:t>
            </w:r>
            <w:r w:rsidRPr="00BD76AF">
              <w:rPr>
                <w:szCs w:val="24"/>
              </w:rPr>
              <w:t xml:space="preserve"> et procédures standard d’exécution de projet dans la mesure où ceux-ci ne sont pas contraires aux stipulations du Marché.</w:t>
            </w:r>
          </w:p>
        </w:tc>
      </w:tr>
      <w:tr w:rsidR="00F332DA" w:rsidRPr="00BD76AF" w14:paraId="63E05CDB" w14:textId="77777777" w:rsidTr="00B97BA4">
        <w:tc>
          <w:tcPr>
            <w:tcW w:w="2352" w:type="dxa"/>
          </w:tcPr>
          <w:p w14:paraId="2297AE01" w14:textId="77777777" w:rsidR="00F332DA" w:rsidRPr="00BD76AF" w:rsidRDefault="00F332DA" w:rsidP="007C71D1">
            <w:pPr>
              <w:pStyle w:val="S7Header2"/>
              <w:rPr>
                <w:szCs w:val="24"/>
              </w:rPr>
            </w:pPr>
            <w:bookmarkStart w:id="781" w:name="_Toc102050799"/>
            <w:r w:rsidRPr="00BD76AF">
              <w:rPr>
                <w:szCs w:val="24"/>
              </w:rPr>
              <w:t>19.</w:t>
            </w:r>
            <w:r w:rsidRPr="00BD76AF">
              <w:rPr>
                <w:szCs w:val="24"/>
              </w:rPr>
              <w:tab/>
              <w:t>Sous-traitance</w:t>
            </w:r>
            <w:bookmarkEnd w:id="781"/>
          </w:p>
        </w:tc>
        <w:tc>
          <w:tcPr>
            <w:tcW w:w="6936" w:type="dxa"/>
          </w:tcPr>
          <w:p w14:paraId="2FFB1A68" w14:textId="77777777" w:rsidR="00F332DA" w:rsidRPr="00BD76AF" w:rsidRDefault="00F332DA" w:rsidP="00C21879">
            <w:pPr>
              <w:spacing w:after="200"/>
              <w:ind w:left="601" w:hanging="601"/>
              <w:rPr>
                <w:szCs w:val="24"/>
              </w:rPr>
            </w:pPr>
            <w:r w:rsidRPr="00BD76AF">
              <w:rPr>
                <w:szCs w:val="24"/>
              </w:rPr>
              <w:t>19.1</w:t>
            </w:r>
            <w:r w:rsidRPr="00BD76AF">
              <w:rPr>
                <w:szCs w:val="24"/>
              </w:rPr>
              <w:tab/>
              <w:t>L’Annexe 5 (</w:t>
            </w:r>
            <w:r w:rsidRPr="00BD76AF">
              <w:rPr>
                <w:i/>
                <w:szCs w:val="24"/>
              </w:rPr>
              <w:t>Liste des Sous-traitants agréés</w:t>
            </w:r>
            <w:r w:rsidRPr="00BD76AF">
              <w:rPr>
                <w:szCs w:val="24"/>
              </w:rPr>
              <w:t>) de l’Acte d’engagement indique les éléments importants de fournitures ou services et donne une liste des Sous-traitants agréés, y compris les fabricants, pour chaque élément. Dans le cas où aucun Sous-traitant ne serait inscrit pour l’un quelconque de ces éléments, l’Entrepreneur doit préparer une liste de Sous-traitants pour cet élément qui sera incluse dans cette liste. L’Entrepreneur peut de temps à autre proposer des ajouts ou retraits à cette liste. L’Entrepreneur doit soumettre au Maître d’ouvrage cette liste ou les modifications s’y rapportant pour approbation dans des délais permettant de ne pas perturber l’avancement de la réalisation des Installations. Une telle approbation donnée par le Maître d’ouvrage pour l’un des Sous-traitants ne dégage l’Entrepreneur d’aucun de ses devoirs, obligations ou responsabilités en vertu du Marché.</w:t>
            </w:r>
          </w:p>
          <w:p w14:paraId="4F30CA8B" w14:textId="77777777" w:rsidR="00F332DA" w:rsidRPr="00BD76AF" w:rsidRDefault="00F332DA" w:rsidP="00C21879">
            <w:pPr>
              <w:spacing w:after="200"/>
              <w:ind w:left="601" w:hanging="601"/>
              <w:rPr>
                <w:szCs w:val="24"/>
              </w:rPr>
            </w:pPr>
            <w:r w:rsidRPr="00BD76AF">
              <w:rPr>
                <w:szCs w:val="24"/>
              </w:rPr>
              <w:t>19.2</w:t>
            </w:r>
            <w:r w:rsidRPr="00BD76AF">
              <w:rPr>
                <w:szCs w:val="24"/>
              </w:rPr>
              <w:tab/>
              <w:t>L’Entrepreneur doit sélectionner et employer ses Sous-traitants pour ces éléments importants parmi ceux indiqués sur les listes mentionnées à l’Article 19.1 des CG.</w:t>
            </w:r>
          </w:p>
          <w:p w14:paraId="1DD70A45" w14:textId="77777777" w:rsidR="00F332DA" w:rsidRPr="00BD76AF" w:rsidRDefault="00F332DA" w:rsidP="00C21879">
            <w:pPr>
              <w:spacing w:after="200"/>
              <w:ind w:left="601" w:hanging="601"/>
              <w:rPr>
                <w:szCs w:val="24"/>
              </w:rPr>
            </w:pPr>
            <w:r w:rsidRPr="00BD76AF">
              <w:rPr>
                <w:szCs w:val="24"/>
              </w:rPr>
              <w:t>19.3</w:t>
            </w:r>
            <w:r w:rsidRPr="00BD76AF">
              <w:rPr>
                <w:szCs w:val="24"/>
              </w:rPr>
              <w:tab/>
              <w:t>Pour les éléments ou parties des Installations qui ne figurent pas à l’Annexe 5 (</w:t>
            </w:r>
            <w:r w:rsidRPr="00BD76AF">
              <w:rPr>
                <w:i/>
                <w:szCs w:val="24"/>
              </w:rPr>
              <w:t>Liste des Sous-traitants agréés</w:t>
            </w:r>
            <w:r w:rsidRPr="00BD76AF">
              <w:rPr>
                <w:szCs w:val="24"/>
              </w:rPr>
              <w:t>) de l’Acte d’engagement, l’Entrepreneur peut employer les Sous-traitants qu’il aura sélectionnés à sa seule discrétion.</w:t>
            </w:r>
          </w:p>
          <w:p w14:paraId="5DB1AF63" w14:textId="77777777" w:rsidR="00F332DA" w:rsidRPr="00BD76AF" w:rsidRDefault="00F332DA" w:rsidP="00C21879">
            <w:pPr>
              <w:spacing w:after="200"/>
              <w:ind w:left="601" w:hanging="601"/>
              <w:rPr>
                <w:szCs w:val="24"/>
              </w:rPr>
            </w:pPr>
            <w:r w:rsidRPr="00BD76AF">
              <w:rPr>
                <w:szCs w:val="24"/>
              </w:rPr>
              <w:t>19.4</w:t>
            </w:r>
            <w:r w:rsidRPr="00BD76AF">
              <w:rPr>
                <w:szCs w:val="24"/>
              </w:rPr>
              <w:tab/>
              <w:t>Chaque contrat de sous-traitance doit inclure des dispositions permettant au Maître d’ouvrage d’exiger que le contrat de sous-traitance lui soit cédé, conformément à l’Article 19.5 des CG (si et lorsqu’applicable), ou dans le cas de résiliation de Marché par le Maître d’ouvrage conformément à l’Article 42.2 (</w:t>
            </w:r>
            <w:r w:rsidRPr="00BD76AF">
              <w:rPr>
                <w:i/>
                <w:szCs w:val="24"/>
              </w:rPr>
              <w:t>Résiliation par le Maître d’ouvrage pour manquement de l’Entrepreneur</w:t>
            </w:r>
            <w:r w:rsidRPr="00BD76AF">
              <w:rPr>
                <w:szCs w:val="24"/>
              </w:rPr>
              <w:t>) des CG.</w:t>
            </w:r>
          </w:p>
          <w:p w14:paraId="04A25D42" w14:textId="77777777" w:rsidR="00F332DA" w:rsidRPr="00BD76AF" w:rsidRDefault="00F332DA" w:rsidP="00C21879">
            <w:pPr>
              <w:spacing w:after="200"/>
              <w:ind w:left="601" w:hanging="601"/>
              <w:rPr>
                <w:szCs w:val="24"/>
              </w:rPr>
            </w:pPr>
            <w:r w:rsidRPr="00BD76AF">
              <w:rPr>
                <w:szCs w:val="24"/>
              </w:rPr>
              <w:t>19.5</w:t>
            </w:r>
            <w:r w:rsidRPr="00BD76AF">
              <w:rPr>
                <w:szCs w:val="24"/>
              </w:rPr>
              <w:tab/>
              <w:t>Dans le cas où les obligations d’un Sous-traitant s’étendraient au-delà de la date d’expiration de la Période de garantie et où le Directeur de Projet, avant cette échéance, demanderait à l’Entrepreneur de céder au Maître d’ouvrage le bénéfice de telles obligations, l’Entrepreneur doit y consentir.</w:t>
            </w:r>
          </w:p>
        </w:tc>
      </w:tr>
      <w:tr w:rsidR="00F332DA" w:rsidRPr="00BD76AF" w14:paraId="2F2BB535" w14:textId="77777777" w:rsidTr="00B97BA4">
        <w:tc>
          <w:tcPr>
            <w:tcW w:w="2352" w:type="dxa"/>
          </w:tcPr>
          <w:p w14:paraId="31571A05" w14:textId="77777777" w:rsidR="00F332DA" w:rsidRPr="00BD76AF" w:rsidRDefault="00F332DA" w:rsidP="007C71D1">
            <w:pPr>
              <w:pStyle w:val="S7Header2"/>
              <w:rPr>
                <w:szCs w:val="24"/>
              </w:rPr>
            </w:pPr>
            <w:bookmarkStart w:id="782" w:name="_Toc102050800"/>
            <w:r w:rsidRPr="00BD76AF">
              <w:rPr>
                <w:szCs w:val="24"/>
              </w:rPr>
              <w:t>20.</w:t>
            </w:r>
            <w:r w:rsidRPr="00BD76AF">
              <w:rPr>
                <w:szCs w:val="24"/>
              </w:rPr>
              <w:tab/>
              <w:t>Conception et ingénierie</w:t>
            </w:r>
            <w:bookmarkEnd w:id="782"/>
          </w:p>
        </w:tc>
        <w:tc>
          <w:tcPr>
            <w:tcW w:w="6936" w:type="dxa"/>
          </w:tcPr>
          <w:p w14:paraId="758E1132" w14:textId="77777777" w:rsidR="00F332DA" w:rsidRPr="00BD76AF" w:rsidRDefault="00F332DA" w:rsidP="00884A36">
            <w:pPr>
              <w:spacing w:afterLines="50" w:after="120"/>
              <w:ind w:left="601" w:hanging="601"/>
              <w:rPr>
                <w:szCs w:val="24"/>
              </w:rPr>
            </w:pPr>
            <w:r w:rsidRPr="00BD76AF">
              <w:rPr>
                <w:szCs w:val="24"/>
              </w:rPr>
              <w:t>20.1</w:t>
            </w:r>
            <w:r w:rsidRPr="00BD76AF">
              <w:rPr>
                <w:szCs w:val="24"/>
              </w:rPr>
              <w:tab/>
            </w:r>
            <w:r w:rsidRPr="00BD76AF">
              <w:rPr>
                <w:szCs w:val="24"/>
                <w:u w:val="single"/>
              </w:rPr>
              <w:t>Documents techniques</w:t>
            </w:r>
          </w:p>
          <w:p w14:paraId="6636B422" w14:textId="77777777" w:rsidR="00F332DA" w:rsidRPr="00BD76AF" w:rsidRDefault="00F332DA" w:rsidP="00DC426C">
            <w:pPr>
              <w:spacing w:afterLines="50" w:after="120"/>
              <w:ind w:left="1440" w:hanging="839"/>
              <w:rPr>
                <w:szCs w:val="24"/>
              </w:rPr>
            </w:pPr>
            <w:r w:rsidRPr="00BD76AF">
              <w:rPr>
                <w:szCs w:val="24"/>
              </w:rPr>
              <w:t>20.1.1</w:t>
            </w:r>
            <w:r w:rsidRPr="00BD76AF">
              <w:rPr>
                <w:szCs w:val="24"/>
              </w:rPr>
              <w:tab/>
              <w:t>L’Entrepreneur doit réaliser l’avant-projet et le projet détaillé et les travaux d’ingénierie conformément aux dispositions du Marché ou, lorsque cela n’est pas précisé, conformément aux règles de l’art.</w:t>
            </w:r>
          </w:p>
          <w:p w14:paraId="5BA957B0" w14:textId="77777777" w:rsidR="00F332DA" w:rsidRPr="00BD76AF" w:rsidRDefault="00F332DA" w:rsidP="007F0268">
            <w:pPr>
              <w:spacing w:after="200"/>
              <w:ind w:left="1440"/>
              <w:rPr>
                <w:szCs w:val="24"/>
              </w:rPr>
            </w:pPr>
            <w:r w:rsidRPr="00BD76AF">
              <w:rPr>
                <w:szCs w:val="24"/>
              </w:rPr>
              <w:t>Sous réserve de l’Article 10.1 des CG, l’Entrepreneur est responsable de toute divergence, erreur ou omission dans les spécifications, plans et autres documents techniques élaborés par ses soins, que ces plans, spécifications et autres documents techniques aient été approuvés ou non par le Directeur de projet.</w:t>
            </w:r>
          </w:p>
          <w:p w14:paraId="0A95E4E4" w14:textId="77777777" w:rsidR="00F332DA" w:rsidRPr="00BD76AF" w:rsidRDefault="00F332DA" w:rsidP="007F0268">
            <w:pPr>
              <w:spacing w:after="200"/>
              <w:ind w:left="1440" w:hanging="839"/>
              <w:rPr>
                <w:szCs w:val="24"/>
              </w:rPr>
            </w:pPr>
            <w:r w:rsidRPr="00BD76AF">
              <w:rPr>
                <w:szCs w:val="24"/>
              </w:rPr>
              <w:t>20.1.2</w:t>
            </w:r>
            <w:r w:rsidRPr="00BD76AF">
              <w:rPr>
                <w:szCs w:val="24"/>
              </w:rPr>
              <w:tab/>
              <w:t>L’Entrepreneur a le droit de décliner toute responsabilité pour les études de conception, données, plans, spécifications ou autre document, ou toute modification de ceux-ci, fournis ou préparés par ou au nom du Maître d’ouvrage, en remettant une notification par laquelle il décline sa responsabilité au Directeur de projet.</w:t>
            </w:r>
          </w:p>
          <w:p w14:paraId="337AAC29" w14:textId="77777777" w:rsidR="00F332DA" w:rsidRPr="00BD76AF" w:rsidRDefault="00F332DA" w:rsidP="00884A36">
            <w:pPr>
              <w:spacing w:afterLines="50" w:after="120"/>
              <w:ind w:left="601" w:hanging="601"/>
              <w:rPr>
                <w:szCs w:val="24"/>
              </w:rPr>
            </w:pPr>
            <w:r w:rsidRPr="00BD76AF">
              <w:rPr>
                <w:szCs w:val="24"/>
              </w:rPr>
              <w:t>20.2</w:t>
            </w:r>
            <w:r w:rsidRPr="00BD76AF">
              <w:rPr>
                <w:szCs w:val="24"/>
              </w:rPr>
              <w:tab/>
            </w:r>
            <w:r w:rsidRPr="00BD76AF">
              <w:rPr>
                <w:szCs w:val="24"/>
                <w:u w:val="single"/>
              </w:rPr>
              <w:t>Codes et normes</w:t>
            </w:r>
          </w:p>
          <w:p w14:paraId="042B769E" w14:textId="77777777" w:rsidR="00F332DA" w:rsidRPr="00BD76AF" w:rsidRDefault="00F332DA" w:rsidP="007F0268">
            <w:pPr>
              <w:spacing w:after="200"/>
              <w:ind w:left="601"/>
              <w:rPr>
                <w:szCs w:val="24"/>
              </w:rPr>
            </w:pPr>
            <w:r w:rsidRPr="00BD76AF">
              <w:rPr>
                <w:szCs w:val="24"/>
              </w:rPr>
              <w:t xml:space="preserve">Chaque fois que le Marché fait référence à des codes et </w:t>
            </w:r>
            <w:r w:rsidRPr="00BD76AF">
              <w:t>normes</w:t>
            </w:r>
            <w:r w:rsidRPr="00BD76AF">
              <w:rPr>
                <w:szCs w:val="24"/>
              </w:rPr>
              <w:t xml:space="preserve"> conformément auxquels le Marché doit être exécuté, l’édition ou la version révisée de ces codes et normes en vigueur à la Date de référence prévaudra en l’absence de dispositions contraires. Pendant l’exécution du Marché, toute modification de ces codes et normes sera appliquée, sous réserve de leur approbation par le Maître d’ouvrage, et elle sera traitée conformément à l’Article 39 (</w:t>
            </w:r>
            <w:r w:rsidRPr="00BD76AF">
              <w:rPr>
                <w:i/>
                <w:szCs w:val="24"/>
              </w:rPr>
              <w:t>Modifications des Installations</w:t>
            </w:r>
            <w:r w:rsidRPr="00BD76AF">
              <w:rPr>
                <w:szCs w:val="24"/>
              </w:rPr>
              <w:t>) des CG.</w:t>
            </w:r>
          </w:p>
          <w:p w14:paraId="12723716" w14:textId="77777777" w:rsidR="00F332DA" w:rsidRPr="00BD76AF" w:rsidRDefault="00F332DA" w:rsidP="00884A36">
            <w:pPr>
              <w:spacing w:afterLines="50" w:after="120"/>
              <w:ind w:left="601" w:hanging="601"/>
              <w:rPr>
                <w:szCs w:val="24"/>
              </w:rPr>
            </w:pPr>
            <w:r w:rsidRPr="00BD76AF">
              <w:rPr>
                <w:szCs w:val="24"/>
              </w:rPr>
              <w:t>20.3</w:t>
            </w:r>
            <w:r w:rsidRPr="00BD76AF">
              <w:rPr>
                <w:szCs w:val="24"/>
              </w:rPr>
              <w:tab/>
            </w:r>
            <w:r w:rsidRPr="00BD76AF">
              <w:rPr>
                <w:szCs w:val="24"/>
                <w:u w:val="single"/>
              </w:rPr>
              <w:t>Approbation/examen des documents techniques par le Directeur de projet</w:t>
            </w:r>
          </w:p>
          <w:p w14:paraId="42B7F67F" w14:textId="77777777" w:rsidR="00F332DA" w:rsidRPr="00BD76AF" w:rsidRDefault="00F332DA" w:rsidP="00DC426C">
            <w:pPr>
              <w:spacing w:afterLines="50" w:after="120"/>
              <w:ind w:left="1440" w:hanging="839"/>
              <w:rPr>
                <w:szCs w:val="24"/>
              </w:rPr>
            </w:pPr>
            <w:r w:rsidRPr="00BD76AF">
              <w:rPr>
                <w:szCs w:val="24"/>
              </w:rPr>
              <w:t>20.3.1</w:t>
            </w:r>
            <w:r w:rsidRPr="00BD76AF">
              <w:rPr>
                <w:szCs w:val="24"/>
              </w:rPr>
              <w:tab/>
              <w:t>L’Entrepreneur doit préparer ou faire préparer par ses Sous-traitants et fournir au Directeur de projet les documents énumérés à l’Annexe 7 (</w:t>
            </w:r>
            <w:r w:rsidRPr="00BD76AF">
              <w:rPr>
                <w:i/>
                <w:szCs w:val="24"/>
              </w:rPr>
              <w:t>Liste des documents soumis à approbation ou examen</w:t>
            </w:r>
            <w:r w:rsidRPr="00BD76AF">
              <w:rPr>
                <w:szCs w:val="24"/>
              </w:rPr>
              <w:t>) de l’Acte d’engagement, afin qu’il les approuve ou les examine dans les conditions prévues et conformément aux dispositions de l’Article 18.2 (</w:t>
            </w:r>
            <w:r w:rsidRPr="00BD76AF">
              <w:rPr>
                <w:i/>
                <w:szCs w:val="24"/>
              </w:rPr>
              <w:t>Programme d’exécution</w:t>
            </w:r>
            <w:r w:rsidRPr="00BD76AF">
              <w:rPr>
                <w:szCs w:val="24"/>
              </w:rPr>
              <w:t>) des CG, ainsi que la notification de l’Entrepreneur indiquant que les documents fournis :</w:t>
            </w:r>
          </w:p>
          <w:p w14:paraId="2678461F" w14:textId="77777777" w:rsidR="00F332DA" w:rsidRPr="00BD76AF" w:rsidRDefault="00F332DA" w:rsidP="0079334B">
            <w:pPr>
              <w:spacing w:afterLines="50" w:after="120"/>
              <w:ind w:left="1865" w:hanging="425"/>
            </w:pPr>
            <w:r w:rsidRPr="00BD76AF">
              <w:t>a)</w:t>
            </w:r>
            <w:r w:rsidRPr="00BD76AF">
              <w:tab/>
              <w:t xml:space="preserve">sont considérés comme prêts, pour vérification (et pour approbation si spécifié) conformément à cet Article et </w:t>
            </w:r>
            <w:r w:rsidRPr="00BD76AF">
              <w:rPr>
                <w:rFonts w:hint="eastAsia"/>
              </w:rPr>
              <w:t>é</w:t>
            </w:r>
            <w:r w:rsidRPr="00BD76AF">
              <w:t>galement pour utilisation ; et</w:t>
            </w:r>
          </w:p>
          <w:p w14:paraId="6F26E0E3" w14:textId="77777777" w:rsidR="00F332DA" w:rsidRPr="00BD76AF" w:rsidRDefault="00F332DA" w:rsidP="0079334B">
            <w:pPr>
              <w:spacing w:afterLines="50" w:after="120"/>
              <w:ind w:left="1865" w:hanging="425"/>
              <w:rPr>
                <w:strike/>
              </w:rPr>
            </w:pPr>
            <w:r w:rsidRPr="00BD76AF">
              <w:t>b)</w:t>
            </w:r>
            <w:r w:rsidRPr="00BD76AF">
              <w:tab/>
              <w:t>sont conformes au Marché, ou dans quelle mesure ils ne le sont pas</w:t>
            </w:r>
            <w:r w:rsidRPr="00BD76AF">
              <w:rPr>
                <w:bCs/>
              </w:rPr>
              <w:t>.</w:t>
            </w:r>
          </w:p>
          <w:p w14:paraId="418E4533" w14:textId="77777777" w:rsidR="00F332DA" w:rsidRPr="00BD76AF" w:rsidRDefault="00F332DA" w:rsidP="00690920">
            <w:pPr>
              <w:spacing w:afterLines="50" w:after="120"/>
              <w:ind w:left="1440"/>
              <w:rPr>
                <w:szCs w:val="24"/>
              </w:rPr>
            </w:pPr>
            <w:r w:rsidRPr="00BD76AF">
              <w:rPr>
                <w:lang w:eastAsia="en-US"/>
              </w:rPr>
              <w:t>Toute</w:t>
            </w:r>
            <w:r w:rsidRPr="00BD76AF">
              <w:rPr>
                <w:szCs w:val="24"/>
              </w:rPr>
              <w:t xml:space="preserve"> partie des Installations décrite ou incluse dans les documents soumis au Directeur de projet pour accord ne sera réalisée qu’après approbation du Directeur de projet. </w:t>
            </w:r>
          </w:p>
          <w:p w14:paraId="0A017C30" w14:textId="77777777" w:rsidR="00F332DA" w:rsidRPr="00BD76AF" w:rsidRDefault="00F332DA" w:rsidP="00914890">
            <w:pPr>
              <w:spacing w:after="200"/>
              <w:ind w:left="1440"/>
              <w:rPr>
                <w:szCs w:val="24"/>
              </w:rPr>
            </w:pPr>
            <w:r w:rsidRPr="00BD76AF">
              <w:rPr>
                <w:szCs w:val="24"/>
              </w:rPr>
              <w:t>Les dispositions des Articles 20.3.2 à 20.3.6 des CG s’appliqueront à tous les documents soumis à l’approbation du Directeur de projet, mais non à ceux qui sont fournis au Directeur de projet aux seules fins d’examen.</w:t>
            </w:r>
          </w:p>
          <w:p w14:paraId="7605FBED" w14:textId="77777777" w:rsidR="00F332DA" w:rsidRPr="00BD76AF" w:rsidRDefault="00F332DA" w:rsidP="00DC426C">
            <w:pPr>
              <w:spacing w:afterLines="50" w:after="120"/>
              <w:ind w:left="1440" w:hanging="839"/>
              <w:rPr>
                <w:szCs w:val="24"/>
              </w:rPr>
            </w:pPr>
            <w:r w:rsidRPr="00BD76AF">
              <w:rPr>
                <w:szCs w:val="24"/>
              </w:rPr>
              <w:t>20.3.2</w:t>
            </w:r>
            <w:r w:rsidRPr="00BD76AF">
              <w:rPr>
                <w:szCs w:val="24"/>
              </w:rPr>
              <w:tab/>
              <w:t>Dans un délai</w:t>
            </w:r>
            <w:r w:rsidRPr="00BD76AF">
              <w:rPr>
                <w:b/>
                <w:szCs w:val="24"/>
              </w:rPr>
              <w:t xml:space="preserve"> indiqué dans les Données du Marché</w:t>
            </w:r>
            <w:r w:rsidRPr="00BD76AF">
              <w:rPr>
                <w:szCs w:val="24"/>
              </w:rPr>
              <w:t xml:space="preserve"> suivant la réception par le Directeur de projet de tout document soumis à son approbation conformément à l’Article 20.3.1 des CG, le Directeur de projet retournera une copie endossée du document à l’Entrepreneur ou il avisera l’Entrepreneur par écrit de son désaccord, des raisons de ce désaccord et des modifications qu’il propose. </w:t>
            </w:r>
          </w:p>
          <w:p w14:paraId="5E9E9FAB" w14:textId="77777777" w:rsidR="00F332DA" w:rsidRPr="00BD76AF" w:rsidRDefault="00F332DA" w:rsidP="00914890">
            <w:pPr>
              <w:spacing w:after="200"/>
              <w:ind w:left="1440"/>
              <w:rPr>
                <w:szCs w:val="24"/>
              </w:rPr>
            </w:pPr>
            <w:r w:rsidRPr="00BD76AF">
              <w:rPr>
                <w:szCs w:val="24"/>
              </w:rPr>
              <w:t>Si le Directeur de projet ne prend pas une telle mesure dans le délai précisé ci-dessus, le document sera considéré comme ayant été approuvé par le Directeur de projet.</w:t>
            </w:r>
          </w:p>
          <w:p w14:paraId="0660449B" w14:textId="77777777" w:rsidR="00F332DA" w:rsidRPr="00BD76AF" w:rsidRDefault="00F332DA" w:rsidP="00914890">
            <w:pPr>
              <w:spacing w:after="200"/>
              <w:ind w:left="1440" w:hanging="839"/>
              <w:rPr>
                <w:szCs w:val="24"/>
              </w:rPr>
            </w:pPr>
            <w:r w:rsidRPr="00BD76AF">
              <w:rPr>
                <w:szCs w:val="24"/>
              </w:rPr>
              <w:t>20.3.3</w:t>
            </w:r>
            <w:r w:rsidRPr="00BD76AF">
              <w:rPr>
                <w:szCs w:val="24"/>
              </w:rPr>
              <w:tab/>
              <w:t>Le Directeur de projet ne doit désapprouver un document que si le document n’est pas conforme au Marché ou s’il est contraire aux règles de l’art. Si le Directeur de projet désapprouve un document, il doit préciser les raisons de ce désaccord.</w:t>
            </w:r>
          </w:p>
          <w:p w14:paraId="3634ADD9" w14:textId="77777777" w:rsidR="00F332DA" w:rsidRPr="00BD76AF" w:rsidRDefault="00F332DA" w:rsidP="00914890">
            <w:pPr>
              <w:spacing w:after="200"/>
              <w:ind w:left="1440" w:hanging="839"/>
              <w:rPr>
                <w:szCs w:val="24"/>
              </w:rPr>
            </w:pPr>
            <w:r w:rsidRPr="00BD76AF">
              <w:rPr>
                <w:szCs w:val="24"/>
              </w:rPr>
              <w:t>20.3.4</w:t>
            </w:r>
            <w:r w:rsidRPr="00BD76AF">
              <w:rPr>
                <w:szCs w:val="24"/>
              </w:rPr>
              <w:tab/>
              <w:t>Si le Directeur de projet désapprouve un document, l’Entrepreneur peut soit modifier le document et le soumettre à nouveau à l’approbation du Directeur de projet conformément à l’Article 20.3.2 des CG, soit contester le désaccord conformément à l’Article 45 des CG. Si le Directeur de projet approuve le document sous réserve de modification(s), l’Entrepreneur peut soit accepter la ou les modifications demandées, après quoi le document sera réputé avoir été approuvé, modifier encore le document et le soumettre à nouveau à l’approbation du Directeur de projet conformément à l’Article 20.3.2 des CG, soit contester la ou les modifications conformément à l’Article 45 des CG.</w:t>
            </w:r>
          </w:p>
          <w:p w14:paraId="1DFE38DF" w14:textId="77777777" w:rsidR="00F332DA" w:rsidRPr="00BD76AF" w:rsidRDefault="00F332DA" w:rsidP="00914890">
            <w:pPr>
              <w:spacing w:after="200"/>
              <w:ind w:left="1440" w:hanging="839"/>
              <w:rPr>
                <w:szCs w:val="24"/>
              </w:rPr>
            </w:pPr>
            <w:r w:rsidRPr="00BD76AF">
              <w:rPr>
                <w:szCs w:val="24"/>
                <w:lang w:eastAsia="ja-JP"/>
              </w:rPr>
              <w:t>20.3.5</w:t>
            </w:r>
            <w:r w:rsidRPr="00BD76AF">
              <w:rPr>
                <w:szCs w:val="24"/>
                <w:lang w:eastAsia="ja-JP"/>
              </w:rPr>
              <w:tab/>
            </w:r>
            <w:r w:rsidRPr="00BD76AF">
              <w:rPr>
                <w:szCs w:val="24"/>
              </w:rPr>
              <w:t>L’approbation du Directeur de projet avec ou sans modification du document fourni par l’Entrepreneur ne libérera l’Entrepreneur d’aucune des responsabilités ou obligations qui lui incombent en vertu des dispositions du Marché.</w:t>
            </w:r>
          </w:p>
          <w:p w14:paraId="3CD89116" w14:textId="77777777" w:rsidR="00F332DA" w:rsidRPr="00BD76AF" w:rsidRDefault="00F332DA" w:rsidP="00914890">
            <w:pPr>
              <w:spacing w:after="200"/>
              <w:ind w:left="1440" w:hanging="839"/>
              <w:rPr>
                <w:szCs w:val="24"/>
              </w:rPr>
            </w:pPr>
            <w:r w:rsidRPr="00BD76AF">
              <w:rPr>
                <w:szCs w:val="24"/>
              </w:rPr>
              <w:t>20.3.6</w:t>
            </w:r>
            <w:r w:rsidRPr="00BD76AF">
              <w:rPr>
                <w:szCs w:val="24"/>
              </w:rPr>
              <w:tab/>
              <w:t xml:space="preserve">L’Entrepreneur ne peut déroger à un document approuvé sauf si l’Entrepreneur a soumis au préalable au Directeur de projet un document révisé et obtenu l’approbation du Directeur de projet à cet égard, conformément aux dispositions de cet Article 20.3 des CG. </w:t>
            </w:r>
          </w:p>
          <w:p w14:paraId="5B42DD2C" w14:textId="77777777" w:rsidR="00F332DA" w:rsidRPr="00BD76AF" w:rsidRDefault="00F332DA" w:rsidP="00914890">
            <w:pPr>
              <w:spacing w:after="200"/>
              <w:ind w:left="1440"/>
              <w:rPr>
                <w:szCs w:val="24"/>
              </w:rPr>
            </w:pPr>
            <w:r w:rsidRPr="00BD76AF">
              <w:rPr>
                <w:szCs w:val="24"/>
              </w:rPr>
              <w:t>Si le Directeur de projet demande une modification d’un document déjà approuvé ou de tout autre document basé sur ce document, les dispositions de l’Article 39 (</w:t>
            </w:r>
            <w:r w:rsidRPr="00BD76AF">
              <w:rPr>
                <w:i/>
                <w:szCs w:val="24"/>
              </w:rPr>
              <w:t>Modifications des Installations</w:t>
            </w:r>
            <w:r w:rsidRPr="00BD76AF">
              <w:rPr>
                <w:szCs w:val="24"/>
              </w:rPr>
              <w:t>) des CG s’appliqueront à cette demande.</w:t>
            </w:r>
          </w:p>
        </w:tc>
      </w:tr>
      <w:tr w:rsidR="00F332DA" w:rsidRPr="00BD76AF" w14:paraId="3AD48600" w14:textId="77777777" w:rsidTr="00B97BA4">
        <w:tc>
          <w:tcPr>
            <w:tcW w:w="2352" w:type="dxa"/>
          </w:tcPr>
          <w:p w14:paraId="3AD36C06" w14:textId="77777777" w:rsidR="00F332DA" w:rsidRPr="00BD76AF" w:rsidRDefault="00F332DA" w:rsidP="007C71D1">
            <w:pPr>
              <w:pStyle w:val="S7Header2"/>
              <w:rPr>
                <w:szCs w:val="24"/>
              </w:rPr>
            </w:pPr>
            <w:bookmarkStart w:id="783" w:name="_Toc102050801"/>
            <w:r w:rsidRPr="00BD76AF">
              <w:rPr>
                <w:szCs w:val="24"/>
              </w:rPr>
              <w:t>21.</w:t>
            </w:r>
            <w:r w:rsidRPr="00BD76AF">
              <w:rPr>
                <w:szCs w:val="24"/>
              </w:rPr>
              <w:tab/>
              <w:t>Acquisition</w:t>
            </w:r>
            <w:bookmarkEnd w:id="783"/>
          </w:p>
        </w:tc>
        <w:tc>
          <w:tcPr>
            <w:tcW w:w="6936" w:type="dxa"/>
          </w:tcPr>
          <w:p w14:paraId="5BE3FDBE" w14:textId="77777777" w:rsidR="00F332DA" w:rsidRPr="00BD76AF" w:rsidRDefault="00F332DA" w:rsidP="00884A36">
            <w:pPr>
              <w:spacing w:afterLines="50" w:after="120"/>
              <w:ind w:left="601" w:hanging="601"/>
              <w:rPr>
                <w:szCs w:val="24"/>
              </w:rPr>
            </w:pPr>
            <w:r w:rsidRPr="00BD76AF">
              <w:rPr>
                <w:szCs w:val="24"/>
              </w:rPr>
              <w:t>21.1</w:t>
            </w:r>
            <w:r w:rsidRPr="00BD76AF">
              <w:rPr>
                <w:szCs w:val="24"/>
              </w:rPr>
              <w:tab/>
            </w:r>
            <w:r w:rsidRPr="00BD76AF">
              <w:rPr>
                <w:szCs w:val="24"/>
                <w:u w:val="single"/>
              </w:rPr>
              <w:t>Équipements</w:t>
            </w:r>
          </w:p>
          <w:p w14:paraId="548A3A83" w14:textId="77777777" w:rsidR="00F332DA" w:rsidRPr="00BD76AF" w:rsidRDefault="00F332DA" w:rsidP="00C36A6E">
            <w:pPr>
              <w:spacing w:after="200"/>
              <w:ind w:left="601"/>
              <w:rPr>
                <w:szCs w:val="24"/>
              </w:rPr>
            </w:pPr>
            <w:r w:rsidRPr="00BD76AF">
              <w:rPr>
                <w:szCs w:val="24"/>
              </w:rPr>
              <w:t xml:space="preserve">Sous réserve des obligations du Maître d’ouvrage en vertu de l’Article 14.2 des CG, l’Entrepreneur doit faire l’acquisition et transporter tous les Équipements sur le Site de manière ordonnée et avec </w:t>
            </w:r>
            <w:r w:rsidRPr="00BD76AF">
              <w:t>diligence</w:t>
            </w:r>
            <w:r w:rsidRPr="00BD76AF">
              <w:rPr>
                <w:szCs w:val="24"/>
              </w:rPr>
              <w:t>.</w:t>
            </w:r>
          </w:p>
          <w:p w14:paraId="55F3A149" w14:textId="77777777" w:rsidR="00F332DA" w:rsidRPr="00BD76AF" w:rsidRDefault="00F332DA" w:rsidP="00884A36">
            <w:pPr>
              <w:spacing w:afterLines="50" w:after="120"/>
              <w:ind w:left="601" w:hanging="601"/>
              <w:rPr>
                <w:szCs w:val="24"/>
              </w:rPr>
            </w:pPr>
            <w:r w:rsidRPr="00BD76AF">
              <w:rPr>
                <w:szCs w:val="24"/>
              </w:rPr>
              <w:t>21.2</w:t>
            </w:r>
            <w:r w:rsidRPr="00BD76AF">
              <w:rPr>
                <w:szCs w:val="24"/>
              </w:rPr>
              <w:tab/>
            </w:r>
            <w:r w:rsidRPr="00BD76AF">
              <w:rPr>
                <w:szCs w:val="24"/>
                <w:u w:val="single"/>
              </w:rPr>
              <w:t>Équipements fournis par le Maître d’ouvrage</w:t>
            </w:r>
          </w:p>
          <w:p w14:paraId="7E7F445C" w14:textId="77777777" w:rsidR="00F332DA" w:rsidRPr="00BD76AF" w:rsidRDefault="00F332DA" w:rsidP="005745EC">
            <w:pPr>
              <w:spacing w:afterLines="50" w:after="120"/>
              <w:ind w:left="601"/>
              <w:rPr>
                <w:szCs w:val="24"/>
              </w:rPr>
            </w:pPr>
            <w:r w:rsidRPr="00BD76AF">
              <w:rPr>
                <w:szCs w:val="24"/>
              </w:rPr>
              <w:t>Si les Exigences du Maître d’ouvrage, prévoit que le Maître d’ouvrage doit fournir à l’Entrepreneur des éléments spécifiques d’équipement, les dispositions suivantes s’appliqueront :</w:t>
            </w:r>
          </w:p>
          <w:p w14:paraId="736E6B44" w14:textId="77777777" w:rsidR="00F332DA" w:rsidRPr="00BD76AF" w:rsidRDefault="00F332DA" w:rsidP="00C36A6E">
            <w:pPr>
              <w:spacing w:after="200"/>
              <w:ind w:left="1440" w:hanging="839"/>
              <w:rPr>
                <w:szCs w:val="24"/>
              </w:rPr>
            </w:pPr>
            <w:r w:rsidRPr="00BD76AF">
              <w:rPr>
                <w:szCs w:val="24"/>
              </w:rPr>
              <w:t>21.2.1</w:t>
            </w:r>
            <w:r w:rsidRPr="00BD76AF">
              <w:rPr>
                <w:szCs w:val="24"/>
              </w:rPr>
              <w:tab/>
              <w:t>Le Maître d’ouvrage doit transporter chaque élément à ses propres risques et à ses frais sur ou près du Site, comme convenu entre les Parties, et mettre à la disposition de l’Entrepreneur cet élément à la date fixée sur le programme fourni par l’Entrepreneur, conformément à l’Article 18.2 (</w:t>
            </w:r>
            <w:r w:rsidRPr="00BD76AF">
              <w:rPr>
                <w:i/>
                <w:szCs w:val="24"/>
              </w:rPr>
              <w:t>Programme d’exécution</w:t>
            </w:r>
            <w:r w:rsidRPr="00BD76AF">
              <w:rPr>
                <w:szCs w:val="24"/>
              </w:rPr>
              <w:t>) des CG, à moins qu’il n’en soit convenu autrement entre les Parties.</w:t>
            </w:r>
          </w:p>
          <w:p w14:paraId="6E15F4A1" w14:textId="77777777" w:rsidR="00F332DA" w:rsidRPr="00BD76AF" w:rsidRDefault="00F332DA" w:rsidP="00C36A6E">
            <w:pPr>
              <w:spacing w:after="200"/>
              <w:ind w:left="1440" w:hanging="839"/>
              <w:rPr>
                <w:szCs w:val="24"/>
              </w:rPr>
            </w:pPr>
            <w:r w:rsidRPr="00BD76AF">
              <w:rPr>
                <w:szCs w:val="24"/>
              </w:rPr>
              <w:t>21.2.2</w:t>
            </w:r>
            <w:r w:rsidRPr="00BD76AF">
              <w:rPr>
                <w:szCs w:val="24"/>
              </w:rPr>
              <w:tab/>
              <w:t>Dès réception de cet élément, l’Entrepreneur doit procéder à une inspection visuelle de l’élément et aviser le Directeur de projet de tout défaut, défaillance ou insuffisance, qu’il aurait décelé. Le Maître d’ouvrage doit immédiatement remédier à cette insuffisance, ce défaut ou cette défaillance, ou l’Entrepreneur doit lui-même, si cela est faisable et possible, remédier à cette insuffisance, ce défaut ou cette défaillance, à la demande du Maître d’ouvrage et à ses frais. Après cette inspection, la responsabilité du soin, de la garde et du contrôle de cet élément appartiendra à l’Entrepreneur. Les dispositions de cet Article 21.2.2 des CG s’appliqueront à tout élément fourni pour remédier à toute insuffisance ou défaillance, ou pour remplacer un élément défectueux, ou s’appliqueront à des éléments défectueux qui ont été réparés.</w:t>
            </w:r>
          </w:p>
          <w:p w14:paraId="5B56B81A" w14:textId="77777777" w:rsidR="00F332DA" w:rsidRPr="00BD76AF" w:rsidRDefault="00F332DA" w:rsidP="00C36A6E">
            <w:pPr>
              <w:spacing w:after="200"/>
              <w:ind w:left="1440" w:hanging="839"/>
              <w:rPr>
                <w:szCs w:val="24"/>
              </w:rPr>
            </w:pPr>
            <w:r w:rsidRPr="00BD76AF">
              <w:rPr>
                <w:szCs w:val="24"/>
              </w:rPr>
              <w:t>21.2.3</w:t>
            </w:r>
            <w:r w:rsidRPr="00BD76AF">
              <w:rPr>
                <w:szCs w:val="24"/>
              </w:rPr>
              <w:tab/>
              <w:t>Les responsabilités de l’Entrepreneur et ses obligations de soin, de garde et de contrôle définies dans le paragraphe précédent ne doivent pas libérer le Maître d’ouvrage de ses responsabilités concernant les insuffisances, défaillances ou défauts non décelés, ni placer l’Entrepreneur en situation de responsabilité pour ces insuffisances, défaillances ou défauts, soit conformément à l’Article 27 des CG (</w:t>
            </w:r>
            <w:r w:rsidRPr="00BD76AF">
              <w:rPr>
                <w:i/>
                <w:szCs w:val="24"/>
              </w:rPr>
              <w:t>Garantie</w:t>
            </w:r>
            <w:r w:rsidRPr="00BD76AF">
              <w:rPr>
                <w:szCs w:val="24"/>
              </w:rPr>
              <w:t>) ou de toute autre disposition du Marché.</w:t>
            </w:r>
          </w:p>
          <w:p w14:paraId="28E1A1C7" w14:textId="77777777" w:rsidR="00F332DA" w:rsidRPr="00BD76AF" w:rsidRDefault="00F332DA" w:rsidP="00884A36">
            <w:pPr>
              <w:spacing w:afterLines="50" w:after="120"/>
              <w:ind w:left="601" w:hanging="601"/>
              <w:rPr>
                <w:szCs w:val="24"/>
              </w:rPr>
            </w:pPr>
            <w:r w:rsidRPr="00BD76AF">
              <w:rPr>
                <w:szCs w:val="24"/>
              </w:rPr>
              <w:t>21.3</w:t>
            </w:r>
            <w:r w:rsidRPr="00BD76AF">
              <w:rPr>
                <w:szCs w:val="24"/>
              </w:rPr>
              <w:tab/>
            </w:r>
            <w:r w:rsidRPr="00BD76AF">
              <w:rPr>
                <w:szCs w:val="24"/>
                <w:u w:val="single"/>
              </w:rPr>
              <w:t>Transport</w:t>
            </w:r>
          </w:p>
          <w:p w14:paraId="73080B15" w14:textId="77777777" w:rsidR="00F332DA" w:rsidRPr="00BD76AF" w:rsidRDefault="00F332DA" w:rsidP="00C36A6E">
            <w:pPr>
              <w:spacing w:after="200"/>
              <w:ind w:left="1440" w:hanging="839"/>
              <w:rPr>
                <w:szCs w:val="24"/>
              </w:rPr>
            </w:pPr>
            <w:r w:rsidRPr="00BD76AF">
              <w:rPr>
                <w:szCs w:val="24"/>
              </w:rPr>
              <w:t>21.3.1</w:t>
            </w:r>
            <w:r w:rsidRPr="00BD76AF">
              <w:rPr>
                <w:szCs w:val="24"/>
              </w:rPr>
              <w:tab/>
              <w:t>L’Entrepreneur doit, à ses propres risques et frais, transporter tout le matériel et tous les Équipements de l’Entrepreneur sur le Site.</w:t>
            </w:r>
          </w:p>
          <w:p w14:paraId="169E22E3" w14:textId="77777777" w:rsidR="00F332DA" w:rsidRPr="00BD76AF" w:rsidRDefault="00F332DA" w:rsidP="00C36A6E">
            <w:pPr>
              <w:spacing w:after="200"/>
              <w:ind w:left="1440" w:hanging="839"/>
              <w:rPr>
                <w:szCs w:val="24"/>
              </w:rPr>
            </w:pPr>
            <w:r w:rsidRPr="00BD76AF">
              <w:rPr>
                <w:szCs w:val="24"/>
              </w:rPr>
              <w:t>21.3.2</w:t>
            </w:r>
            <w:r w:rsidRPr="00BD76AF">
              <w:rPr>
                <w:szCs w:val="24"/>
              </w:rPr>
              <w:tab/>
              <w:t>Sauf disposition contraire du Marché, l’Entrepreneur est en droit de choisir tout mode de transport sûr opéré par qui que ce soit pour transporter le matériel et les Équipements de l’Entrepreneur.</w:t>
            </w:r>
          </w:p>
          <w:p w14:paraId="4BAD147D" w14:textId="77777777" w:rsidR="00F332DA" w:rsidRPr="00BD76AF" w:rsidRDefault="00F332DA" w:rsidP="00C36A6E">
            <w:pPr>
              <w:spacing w:after="200"/>
              <w:ind w:left="1440" w:hanging="839"/>
              <w:rPr>
                <w:szCs w:val="24"/>
              </w:rPr>
            </w:pPr>
            <w:r w:rsidRPr="00BD76AF">
              <w:rPr>
                <w:szCs w:val="24"/>
              </w:rPr>
              <w:t>21.3.3</w:t>
            </w:r>
            <w:r w:rsidRPr="00BD76AF">
              <w:rPr>
                <w:szCs w:val="24"/>
              </w:rPr>
              <w:tab/>
              <w:t>Dès l’expédition de chaque cargaison de matériel et Équipements de l’Entrepreneur, ce dernier doit avertir le Maître d’ouvrage par télécopie ou courrier électronique de la description du matériel et des Équipements de l’Entrepreneur, du point de départ et du mode d’expédition, et de la date estimée et du lieu d’arrivée dans le pays où se trouve le Site, le cas échéant, ainsi que sur le Site. L’Entrepreneur doit fournir au Maître d’ouvrage les documents d’expédition nécessaires qui auront été convenus entre les Parties.</w:t>
            </w:r>
          </w:p>
          <w:p w14:paraId="49F7D7D3" w14:textId="77777777" w:rsidR="00F332DA" w:rsidRPr="00BD76AF" w:rsidRDefault="00F332DA" w:rsidP="00C36A6E">
            <w:pPr>
              <w:spacing w:after="200"/>
              <w:ind w:left="1440" w:hanging="839"/>
              <w:rPr>
                <w:szCs w:val="24"/>
              </w:rPr>
            </w:pPr>
            <w:r w:rsidRPr="00BD76AF">
              <w:rPr>
                <w:szCs w:val="24"/>
              </w:rPr>
              <w:t>21.3.4</w:t>
            </w:r>
            <w:r w:rsidRPr="00BD76AF">
              <w:rPr>
                <w:szCs w:val="24"/>
              </w:rPr>
              <w:tab/>
              <w:t>L’Entrepreneur doit être responsable de l’obtention, le cas échéant, des autorisations auprès des autorités pour le transport sur le Site du matériel et des Équipements de l’Entrepreneur. Le Maître d’ouvrage doit s’efforcer d’assister l’Entrepreneur à obtenir promptement ces autorisations, si l’Entrepreneur le demande. L’Entrepreneur garantira et indemnisera le Maître d’ouvrage contre toute réclamation pour dommages causés aux routes, ponts ou à toute autre infrastructure routière qui pourraient être causés par le transport du matériel et des Équipements de l’Entrepreneur sur le Site.</w:t>
            </w:r>
          </w:p>
          <w:p w14:paraId="441FA061" w14:textId="77777777" w:rsidR="00F332DA" w:rsidRPr="00BD76AF" w:rsidRDefault="00F332DA" w:rsidP="00884A36">
            <w:pPr>
              <w:spacing w:afterLines="50" w:after="120"/>
              <w:ind w:left="601" w:hanging="601"/>
              <w:rPr>
                <w:szCs w:val="24"/>
              </w:rPr>
            </w:pPr>
            <w:r w:rsidRPr="00BD76AF">
              <w:rPr>
                <w:szCs w:val="24"/>
              </w:rPr>
              <w:t>21.4</w:t>
            </w:r>
            <w:r w:rsidRPr="00BD76AF">
              <w:rPr>
                <w:szCs w:val="24"/>
              </w:rPr>
              <w:tab/>
            </w:r>
            <w:r w:rsidRPr="00BD76AF">
              <w:rPr>
                <w:szCs w:val="24"/>
                <w:u w:val="single"/>
              </w:rPr>
              <w:t>Dédouanement</w:t>
            </w:r>
          </w:p>
          <w:p w14:paraId="0C588434" w14:textId="77777777" w:rsidR="00F332DA" w:rsidRPr="00BD76AF" w:rsidRDefault="00F332DA" w:rsidP="00C36A6E">
            <w:pPr>
              <w:spacing w:after="200"/>
              <w:ind w:left="601"/>
              <w:rPr>
                <w:szCs w:val="24"/>
              </w:rPr>
            </w:pPr>
            <w:r w:rsidRPr="00BD76AF">
              <w:rPr>
                <w:szCs w:val="24"/>
              </w:rPr>
              <w:t>L’Entrepreneur doit, à ses propres frais, assurer la manutention de tout le matériel et de tous les Équipements de l’Entrepreneur importés jusqu’au(x) point(s) d’importation, et effectuer toutes les formalités de dédouanement, sous réserve des obligations du Maître d’ouvrage conformément à l’Article 14.2 des CG, et si les lois ou la règlementation en vigueur exigent qu’une demande ou un acte soit fait par ou au nom du Maître d’ouvrage, le Maître d’ouvrage devra prendre toutes les mesures nécessaires pour respecter ces lois ou cette règlementation. Dans l’éventualité de délais de douane qui ne sont pas imputables à l’Entrepreneur, l’Entrepreneur doit être en droit d’obtenir une prolongation du Délai d’</w:t>
            </w:r>
            <w:r w:rsidRPr="00BD76AF">
              <w:rPr>
                <w:rFonts w:eastAsia="ＭＳ ゴシック"/>
                <w:color w:val="000000"/>
                <w:szCs w:val="24"/>
                <w:lang w:eastAsia="ja-JP"/>
              </w:rPr>
              <w:t>achèvement</w:t>
            </w:r>
            <w:r w:rsidRPr="00BD76AF">
              <w:rPr>
                <w:szCs w:val="24"/>
              </w:rPr>
              <w:t>, conformément à l’Article 40 (</w:t>
            </w:r>
            <w:r w:rsidRPr="00BD76AF">
              <w:rPr>
                <w:i/>
                <w:szCs w:val="24"/>
              </w:rPr>
              <w:t>Prolongation du Délai d’</w:t>
            </w:r>
            <w:r w:rsidRPr="00BD76AF">
              <w:rPr>
                <w:rFonts w:hint="eastAsia"/>
                <w:i/>
                <w:lang w:eastAsia="ja-JP"/>
              </w:rPr>
              <w:t>a</w:t>
            </w:r>
            <w:r w:rsidRPr="00BD76AF">
              <w:rPr>
                <w:i/>
                <w:szCs w:val="24"/>
              </w:rPr>
              <w:t>chèvement</w:t>
            </w:r>
            <w:r w:rsidRPr="00BD76AF">
              <w:rPr>
                <w:szCs w:val="24"/>
              </w:rPr>
              <w:t>) des CG.</w:t>
            </w:r>
          </w:p>
        </w:tc>
      </w:tr>
      <w:tr w:rsidR="00F332DA" w:rsidRPr="00BD76AF" w14:paraId="4231FDEA" w14:textId="77777777" w:rsidTr="00B97BA4">
        <w:tc>
          <w:tcPr>
            <w:tcW w:w="2352" w:type="dxa"/>
            <w:shd w:val="clear" w:color="auto" w:fill="auto"/>
          </w:tcPr>
          <w:p w14:paraId="06256FF1" w14:textId="77777777" w:rsidR="00F332DA" w:rsidRPr="00BD76AF" w:rsidRDefault="00F332DA" w:rsidP="007C71D1">
            <w:pPr>
              <w:pStyle w:val="S7Header2"/>
              <w:rPr>
                <w:szCs w:val="24"/>
              </w:rPr>
            </w:pPr>
            <w:bookmarkStart w:id="784" w:name="_Toc102050802"/>
            <w:r w:rsidRPr="00BD76AF">
              <w:rPr>
                <w:szCs w:val="24"/>
              </w:rPr>
              <w:t>22.</w:t>
            </w:r>
            <w:r w:rsidRPr="00BD76AF">
              <w:rPr>
                <w:szCs w:val="24"/>
              </w:rPr>
              <w:tab/>
              <w:t>Montage</w:t>
            </w:r>
            <w:bookmarkEnd w:id="784"/>
          </w:p>
        </w:tc>
        <w:tc>
          <w:tcPr>
            <w:tcW w:w="6936" w:type="dxa"/>
          </w:tcPr>
          <w:p w14:paraId="65441E08" w14:textId="77777777" w:rsidR="00F332DA" w:rsidRPr="00BD76AF" w:rsidRDefault="00F332DA" w:rsidP="00884A36">
            <w:pPr>
              <w:spacing w:afterLines="50" w:after="120"/>
              <w:ind w:left="601" w:hanging="601"/>
              <w:rPr>
                <w:szCs w:val="24"/>
              </w:rPr>
            </w:pPr>
            <w:r w:rsidRPr="00BD76AF">
              <w:rPr>
                <w:szCs w:val="24"/>
              </w:rPr>
              <w:t>22.1</w:t>
            </w:r>
            <w:r w:rsidRPr="00BD76AF">
              <w:rPr>
                <w:szCs w:val="24"/>
              </w:rPr>
              <w:tab/>
            </w:r>
            <w:r w:rsidRPr="00BD76AF">
              <w:rPr>
                <w:szCs w:val="24"/>
                <w:u w:val="single"/>
              </w:rPr>
              <w:t>Implantation des Installations</w:t>
            </w:r>
          </w:p>
          <w:p w14:paraId="0140FC91" w14:textId="77777777" w:rsidR="00F332DA" w:rsidRPr="00BD76AF" w:rsidRDefault="00F332DA" w:rsidP="0079334B">
            <w:pPr>
              <w:spacing w:afterLines="50" w:after="120"/>
              <w:ind w:left="601"/>
              <w:rPr>
                <w:szCs w:val="24"/>
              </w:rPr>
            </w:pPr>
            <w:r w:rsidRPr="00BD76AF">
              <w:rPr>
                <w:szCs w:val="24"/>
              </w:rPr>
              <w:t xml:space="preserve">L’Entrepreneur doit être responsable de l’implantation correcte et exacte des Installations par rapport aux points, repères et lignes de référence qu’il aura reçus par écrit du ou de la part du Maître d’ouvrage. </w:t>
            </w:r>
          </w:p>
          <w:p w14:paraId="3525EA1E" w14:textId="77777777" w:rsidR="00F332DA" w:rsidRPr="00BD76AF" w:rsidRDefault="00F332DA" w:rsidP="00C36A6E">
            <w:pPr>
              <w:spacing w:after="200"/>
              <w:ind w:left="601"/>
              <w:rPr>
                <w:szCs w:val="24"/>
              </w:rPr>
            </w:pPr>
            <w:r w:rsidRPr="00BD76AF">
              <w:rPr>
                <w:szCs w:val="24"/>
              </w:rPr>
              <w:t>S’il apparaît, à tout moment au cours du montage des Installations, qu’une erreur a été commise dans le positionnement, le niveau ou l’alignement des Installations, l’Entrepreneur doit notifier sur le champ cette erreur au Directeur de projet et la rectifier immédiatement à ses propres frais, à la satisfaction raisonnable du Directeur de projet. Si cette erreur a pour cause des données incorrectes communiquées par écrit par ou de la part du Maître d’ouvrage, les frais de rectification de cette erreur seront à la charge du Maître d’ouvrage.</w:t>
            </w:r>
          </w:p>
          <w:p w14:paraId="0A935785" w14:textId="77777777" w:rsidR="00F332DA" w:rsidRPr="00BD76AF" w:rsidRDefault="00F332DA" w:rsidP="00E142D3">
            <w:pPr>
              <w:spacing w:afterLines="50" w:after="120"/>
              <w:ind w:left="601" w:hanging="601"/>
              <w:rPr>
                <w:szCs w:val="24"/>
              </w:rPr>
            </w:pPr>
            <w:r w:rsidRPr="00BD76AF">
              <w:rPr>
                <w:szCs w:val="24"/>
              </w:rPr>
              <w:t>22.2</w:t>
            </w:r>
            <w:r w:rsidRPr="00BD76AF">
              <w:rPr>
                <w:szCs w:val="24"/>
              </w:rPr>
              <w:tab/>
            </w:r>
            <w:r w:rsidRPr="00BD76AF">
              <w:rPr>
                <w:szCs w:val="24"/>
                <w:u w:val="single"/>
              </w:rPr>
              <w:t>Supervision par l’Entrepreneur</w:t>
            </w:r>
          </w:p>
          <w:p w14:paraId="51914765" w14:textId="77777777" w:rsidR="00F332DA" w:rsidRPr="00BD76AF" w:rsidRDefault="00F332DA" w:rsidP="00C36A6E">
            <w:pPr>
              <w:spacing w:after="200"/>
              <w:ind w:left="601"/>
              <w:rPr>
                <w:szCs w:val="24"/>
              </w:rPr>
            </w:pPr>
            <w:r w:rsidRPr="00BD76AF">
              <w:rPr>
                <w:szCs w:val="24"/>
              </w:rPr>
              <w:t>L’Entrepreneur doit assurer ou faire assurer toute la supervision nécessaire pendant le montage des Installations, et aussi longtemps que cela est par la suite nécessaire pour remplir ses obligations. Le Directeur des travaux ou son adjoint doit être constamment présent sur le Site afin d’assurer la supervision à plein temps des travaux de montage. La supervision doit être assurée par un nombre suffisant de personnes ayant une connaissance adéquate de la langue de communication (telle que précisée dans l’Article 5 (</w:t>
            </w:r>
            <w:r w:rsidRPr="00BD76AF">
              <w:rPr>
                <w:i/>
                <w:szCs w:val="24"/>
              </w:rPr>
              <w:t>Droit applicable et langue</w:t>
            </w:r>
            <w:r w:rsidRPr="00BD76AF">
              <w:rPr>
                <w:szCs w:val="24"/>
              </w:rPr>
              <w:t>) des CG et des opérations à exécuter (y compris des méthodes et des techniques exigées, des risques susceptibles d’être encourus et des méthodes de prévention des accidents) en vue d’une exécution satisfaisante des Équipements et Services de montages et respectueuse des règles de sécurité.</w:t>
            </w:r>
          </w:p>
          <w:p w14:paraId="4D6CC71E" w14:textId="77777777" w:rsidR="00F332DA" w:rsidRPr="00BD76AF" w:rsidRDefault="00F332DA" w:rsidP="0079334B">
            <w:pPr>
              <w:spacing w:afterLines="50" w:after="120"/>
              <w:ind w:left="601" w:hanging="601"/>
              <w:rPr>
                <w:szCs w:val="24"/>
              </w:rPr>
            </w:pPr>
            <w:r w:rsidRPr="00BD76AF">
              <w:rPr>
                <w:szCs w:val="24"/>
              </w:rPr>
              <w:t>22.3</w:t>
            </w:r>
            <w:r w:rsidRPr="00BD76AF">
              <w:rPr>
                <w:szCs w:val="24"/>
              </w:rPr>
              <w:tab/>
            </w:r>
            <w:r w:rsidRPr="00BD76AF">
              <w:rPr>
                <w:szCs w:val="24"/>
                <w:u w:val="single"/>
              </w:rPr>
              <w:t>Personnel de l’Entrepreneur</w:t>
            </w:r>
          </w:p>
          <w:p w14:paraId="611FAEC0" w14:textId="77777777" w:rsidR="00F332DA" w:rsidRPr="00BD76AF" w:rsidRDefault="00F332DA" w:rsidP="0079334B">
            <w:pPr>
              <w:spacing w:afterLines="50" w:after="120"/>
              <w:ind w:left="601"/>
              <w:rPr>
                <w:szCs w:val="24"/>
              </w:rPr>
            </w:pPr>
            <w:r w:rsidRPr="00BD76AF">
              <w:rPr>
                <w:szCs w:val="24"/>
              </w:rPr>
              <w:t>Le personnel de l’Entrepreneur doit être dûment qualifié, spécialisé et expérimenté dans les différents corps de métiers ou activités concernés. Le Directeur de projet peut exiger que l’Entrepreneur renvoie (ou fasse renvoyer) toute personne employée sur le Site ou pour les Équipements et Services de montages, y compris le Représentant de l’Entrepreneur, le cas échéant, qui :</w:t>
            </w:r>
          </w:p>
          <w:p w14:paraId="177FE853" w14:textId="77777777" w:rsidR="00F332DA" w:rsidRPr="00BD76AF" w:rsidRDefault="00F332DA" w:rsidP="0079334B">
            <w:pPr>
              <w:tabs>
                <w:tab w:val="left" w:pos="1016"/>
              </w:tabs>
              <w:spacing w:afterLines="50" w:after="120"/>
              <w:ind w:left="998" w:hanging="397"/>
              <w:rPr>
                <w:szCs w:val="24"/>
              </w:rPr>
            </w:pPr>
            <w:r w:rsidRPr="00BD76AF">
              <w:rPr>
                <w:szCs w:val="24"/>
              </w:rPr>
              <w:t>a)</w:t>
            </w:r>
            <w:r w:rsidRPr="00BD76AF">
              <w:tab/>
            </w:r>
            <w:r w:rsidRPr="00BD76AF">
              <w:rPr>
                <w:lang w:eastAsia="en-US"/>
              </w:rPr>
              <w:t>persiste</w:t>
            </w:r>
            <w:r w:rsidRPr="00BD76AF">
              <w:rPr>
                <w:szCs w:val="24"/>
              </w:rPr>
              <w:t xml:space="preserve"> dans une conduite fautive ou dans son imprudence ;</w:t>
            </w:r>
          </w:p>
          <w:p w14:paraId="21007333" w14:textId="77777777" w:rsidR="00F332DA" w:rsidRPr="00BD76AF" w:rsidRDefault="00F332DA" w:rsidP="0079334B">
            <w:pPr>
              <w:tabs>
                <w:tab w:val="left" w:pos="1016"/>
              </w:tabs>
              <w:spacing w:afterLines="50" w:after="120"/>
              <w:ind w:left="998" w:hanging="397"/>
              <w:rPr>
                <w:szCs w:val="24"/>
              </w:rPr>
            </w:pPr>
            <w:r w:rsidRPr="00BD76AF">
              <w:t>b)</w:t>
            </w:r>
            <w:r w:rsidRPr="00BD76AF">
              <w:tab/>
            </w:r>
            <w:r w:rsidRPr="00BD76AF">
              <w:rPr>
                <w:szCs w:val="24"/>
              </w:rPr>
              <w:t>exécute ses obligations de façon incompétente ou négligente ;</w:t>
            </w:r>
          </w:p>
          <w:p w14:paraId="2950241A" w14:textId="77777777" w:rsidR="00F332DA" w:rsidRPr="00BD76AF" w:rsidRDefault="00F332DA" w:rsidP="0079334B">
            <w:pPr>
              <w:tabs>
                <w:tab w:val="left" w:pos="1016"/>
              </w:tabs>
              <w:spacing w:afterLines="50" w:after="120"/>
              <w:ind w:left="998" w:hanging="397"/>
              <w:rPr>
                <w:szCs w:val="24"/>
              </w:rPr>
            </w:pPr>
            <w:r w:rsidRPr="00BD76AF">
              <w:rPr>
                <w:szCs w:val="24"/>
              </w:rPr>
              <w:t>c)</w:t>
            </w:r>
            <w:r w:rsidRPr="00BD76AF">
              <w:tab/>
            </w:r>
            <w:r w:rsidRPr="00BD76AF">
              <w:rPr>
                <w:szCs w:val="24"/>
              </w:rPr>
              <w:t>manque à se conformer à l’une quelconque des dispositions du Marché ; ou</w:t>
            </w:r>
          </w:p>
          <w:p w14:paraId="0285B23F" w14:textId="77777777" w:rsidR="00F332DA" w:rsidRPr="00BD76AF" w:rsidRDefault="00F332DA" w:rsidP="0079334B">
            <w:pPr>
              <w:tabs>
                <w:tab w:val="left" w:pos="1016"/>
              </w:tabs>
              <w:spacing w:afterLines="50" w:after="120"/>
              <w:ind w:left="998" w:hanging="397"/>
              <w:rPr>
                <w:szCs w:val="24"/>
              </w:rPr>
            </w:pPr>
            <w:r w:rsidRPr="00BD76AF">
              <w:rPr>
                <w:szCs w:val="24"/>
              </w:rPr>
              <w:t>d)</w:t>
            </w:r>
            <w:r w:rsidRPr="00BD76AF">
              <w:tab/>
            </w:r>
            <w:r w:rsidRPr="00BD76AF">
              <w:rPr>
                <w:szCs w:val="24"/>
              </w:rPr>
              <w:t>persiste dans toute conduite préjudiciable à la sécurité, à la santé ou à la protection de l’environnement.</w:t>
            </w:r>
          </w:p>
          <w:p w14:paraId="5E13C239" w14:textId="77777777" w:rsidR="00F332DA" w:rsidRPr="00BD76AF" w:rsidRDefault="00F332DA" w:rsidP="00C36A6E">
            <w:pPr>
              <w:spacing w:after="200"/>
              <w:ind w:left="601"/>
              <w:rPr>
                <w:szCs w:val="24"/>
              </w:rPr>
            </w:pPr>
            <w:r w:rsidRPr="00BD76AF">
              <w:rPr>
                <w:szCs w:val="24"/>
              </w:rPr>
              <w:t>Le cas échéant, l’Entrepreneur doit alors nommer (ou faire nommer) un remplaçant approprié ayant des compétences et une expérience équivalentes.</w:t>
            </w:r>
          </w:p>
          <w:p w14:paraId="370EEC69" w14:textId="77777777" w:rsidR="00F332DA" w:rsidRPr="00BD76AF" w:rsidRDefault="00F332DA" w:rsidP="00884A36">
            <w:pPr>
              <w:spacing w:afterLines="50" w:after="120"/>
              <w:ind w:left="601" w:hanging="601"/>
              <w:rPr>
                <w:szCs w:val="24"/>
              </w:rPr>
            </w:pPr>
            <w:r w:rsidRPr="00BD76AF">
              <w:rPr>
                <w:szCs w:val="24"/>
              </w:rPr>
              <w:t>22.4</w:t>
            </w:r>
            <w:r w:rsidRPr="00BD76AF">
              <w:rPr>
                <w:szCs w:val="24"/>
              </w:rPr>
              <w:tab/>
            </w:r>
            <w:r w:rsidRPr="00BD76AF">
              <w:rPr>
                <w:szCs w:val="24"/>
                <w:u w:val="single"/>
              </w:rPr>
              <w:t>Personnel et main-d’œuvre</w:t>
            </w:r>
          </w:p>
          <w:p w14:paraId="5290519C" w14:textId="77777777" w:rsidR="00F332DA" w:rsidRPr="00BD76AF" w:rsidRDefault="00F332DA" w:rsidP="0079334B">
            <w:pPr>
              <w:ind w:left="1440" w:hanging="839"/>
              <w:rPr>
                <w:szCs w:val="24"/>
                <w:u w:val="single"/>
              </w:rPr>
            </w:pPr>
            <w:r w:rsidRPr="00BD76AF">
              <w:rPr>
                <w:szCs w:val="24"/>
              </w:rPr>
              <w:t>22.4.1</w:t>
            </w:r>
            <w:r w:rsidRPr="00BD76AF">
              <w:rPr>
                <w:szCs w:val="24"/>
              </w:rPr>
              <w:tab/>
            </w:r>
            <w:r w:rsidRPr="00BD76AF">
              <w:rPr>
                <w:szCs w:val="24"/>
                <w:u w:val="single"/>
              </w:rPr>
              <w:t>Recrutement du personnel et de la main-d’œuvre</w:t>
            </w:r>
          </w:p>
          <w:p w14:paraId="0597A2DF" w14:textId="77777777" w:rsidR="00F332DA" w:rsidRPr="00BD76AF" w:rsidRDefault="00F332DA" w:rsidP="00690920">
            <w:pPr>
              <w:spacing w:afterLines="50" w:after="120"/>
              <w:ind w:left="1440"/>
              <w:rPr>
                <w:szCs w:val="24"/>
              </w:rPr>
            </w:pPr>
            <w:r w:rsidRPr="00BD76AF">
              <w:rPr>
                <w:szCs w:val="24"/>
              </w:rPr>
              <w:t>Sauf disposition contraire dans les Exigences du Maître d’ouvrage, l’Entrepreneur doit être responsable du recrutement de tout le personnel et la main-d’œuvre, local ou autre, et de leur rémunération, logement, nourriture et transport.</w:t>
            </w:r>
          </w:p>
          <w:p w14:paraId="254FE648" w14:textId="77777777" w:rsidR="00F332DA" w:rsidRPr="00BD76AF" w:rsidRDefault="00F332DA" w:rsidP="00C36A6E">
            <w:pPr>
              <w:spacing w:after="200"/>
              <w:ind w:left="1440"/>
              <w:rPr>
                <w:szCs w:val="24"/>
              </w:rPr>
            </w:pPr>
            <w:r w:rsidRPr="00BD76AF">
              <w:rPr>
                <w:szCs w:val="24"/>
              </w:rPr>
              <w:t>L’Entrepreneur doit fournir et employer sur le Site, lors du montage des Installations, la main-d’œuvre qualifiée, semi qualifiée et non qualifiée nécessaire afin d’assurer la bonne exécution du Marché dans les délais impartis. L’Entrepreneur est encouragé, dans une mesure raisonnable et praticable, à faire appel à la main-d’œuvre locale ayant les compétences nécessaires.</w:t>
            </w:r>
          </w:p>
          <w:p w14:paraId="05422483" w14:textId="77777777" w:rsidR="00F332DA" w:rsidRPr="00BD76AF" w:rsidRDefault="00F332DA" w:rsidP="0079334B">
            <w:pPr>
              <w:ind w:left="1440" w:hanging="839"/>
              <w:rPr>
                <w:szCs w:val="24"/>
              </w:rPr>
            </w:pPr>
            <w:r w:rsidRPr="00BD76AF">
              <w:rPr>
                <w:szCs w:val="24"/>
              </w:rPr>
              <w:t>22.4.2</w:t>
            </w:r>
            <w:r w:rsidRPr="00BD76AF">
              <w:rPr>
                <w:szCs w:val="24"/>
                <w:lang w:eastAsia="ja-JP"/>
              </w:rPr>
              <w:tab/>
            </w:r>
            <w:r w:rsidRPr="00BD76AF">
              <w:rPr>
                <w:szCs w:val="24"/>
                <w:u w:val="single"/>
              </w:rPr>
              <w:t>Taux de rémunération et conditions de travail</w:t>
            </w:r>
          </w:p>
          <w:p w14:paraId="557F6C96" w14:textId="77777777" w:rsidR="00F332DA" w:rsidRPr="00BD76AF" w:rsidRDefault="00F332DA" w:rsidP="00690920">
            <w:pPr>
              <w:spacing w:afterLines="50" w:after="120"/>
              <w:ind w:left="1440"/>
              <w:rPr>
                <w:szCs w:val="24"/>
              </w:rPr>
            </w:pPr>
            <w:r w:rsidRPr="00BD76AF">
              <w:rPr>
                <w:szCs w:val="24"/>
              </w:rPr>
              <w:t>L’Entrepreneur doit pratiquer des taux de rémunération et respecter des conditions de travail qui ne sont pas inférieurs à ceux établis pour le domaine d’activités des travaux exécutés. S’il n’existe pas de taux ou conditions prescrits, l’Entrepreneur doit pratiquer des taux de rémunération et respecter des conditions qui ne sont pas inférieurs au niveau général des taux et conditions appliqué localement par des employeurs dont le domaine d’activités est comparable à celui de l’Entrepreneur.</w:t>
            </w:r>
          </w:p>
          <w:p w14:paraId="14759CC6" w14:textId="77777777" w:rsidR="00F332DA" w:rsidRPr="00BD76AF" w:rsidRDefault="00F332DA" w:rsidP="00C36A6E">
            <w:pPr>
              <w:spacing w:after="200"/>
              <w:ind w:left="1440"/>
              <w:rPr>
                <w:szCs w:val="24"/>
              </w:rPr>
            </w:pPr>
            <w:r w:rsidRPr="00BD76AF">
              <w:rPr>
                <w:szCs w:val="24"/>
              </w:rPr>
              <w:t>L’Entrepreneur doit informer son personnel de son obligation de payer l’impôt sur le revenu dans le pays sur les salaires, rémunérations, et autres rétributions qui sont imposables dans le cadre de la règlementation en vigueur, et l’Entrepreneur doit effectuer toutes retenues à ce titre qui peut lui être imposé par cette règlementation.</w:t>
            </w:r>
          </w:p>
          <w:p w14:paraId="7F0C0914" w14:textId="77777777" w:rsidR="00F332DA" w:rsidRPr="00BD76AF" w:rsidRDefault="00F332DA" w:rsidP="0079334B">
            <w:pPr>
              <w:ind w:left="1440" w:hanging="839"/>
              <w:rPr>
                <w:szCs w:val="24"/>
              </w:rPr>
            </w:pPr>
            <w:r w:rsidRPr="00BD76AF">
              <w:rPr>
                <w:szCs w:val="24"/>
              </w:rPr>
              <w:t>22.4.3</w:t>
            </w:r>
            <w:r w:rsidRPr="00BD76AF">
              <w:rPr>
                <w:szCs w:val="24"/>
                <w:lang w:eastAsia="ja-JP"/>
              </w:rPr>
              <w:tab/>
            </w:r>
            <w:r w:rsidRPr="00BD76AF">
              <w:rPr>
                <w:szCs w:val="24"/>
                <w:u w:val="single"/>
              </w:rPr>
              <w:t>Personnel au service du Maître d’ouvrage</w:t>
            </w:r>
          </w:p>
          <w:p w14:paraId="0BC54A77" w14:textId="77777777" w:rsidR="00F332DA" w:rsidRPr="00BD76AF" w:rsidRDefault="00F332DA" w:rsidP="00C36A6E">
            <w:pPr>
              <w:spacing w:after="200"/>
              <w:ind w:left="1440"/>
              <w:rPr>
                <w:szCs w:val="24"/>
              </w:rPr>
            </w:pPr>
            <w:r w:rsidRPr="00BD76AF">
              <w:rPr>
                <w:szCs w:val="24"/>
              </w:rPr>
              <w:t>L’Entrepreneur ne doit pas recruter, ni tenter de recruter du personnel ou de la main-d’œuvre parmi le personnel du Maître d’ouvrage.</w:t>
            </w:r>
          </w:p>
          <w:p w14:paraId="2AC676FF" w14:textId="77777777" w:rsidR="00F332DA" w:rsidRPr="00BD76AF" w:rsidRDefault="00F332DA" w:rsidP="0079334B">
            <w:pPr>
              <w:ind w:left="1440" w:hanging="839"/>
              <w:rPr>
                <w:szCs w:val="24"/>
              </w:rPr>
            </w:pPr>
            <w:r w:rsidRPr="00BD76AF">
              <w:rPr>
                <w:szCs w:val="24"/>
              </w:rPr>
              <w:t>22.4.4</w:t>
            </w:r>
            <w:r w:rsidRPr="00BD76AF">
              <w:rPr>
                <w:szCs w:val="24"/>
                <w:lang w:eastAsia="ja-JP"/>
              </w:rPr>
              <w:tab/>
            </w:r>
            <w:r w:rsidRPr="00BD76AF">
              <w:rPr>
                <w:szCs w:val="24"/>
                <w:u w:val="single"/>
              </w:rPr>
              <w:t>Législation du Travail</w:t>
            </w:r>
          </w:p>
          <w:p w14:paraId="1ACFDE38" w14:textId="77777777" w:rsidR="00F332DA" w:rsidRPr="00BD76AF" w:rsidRDefault="00F332DA" w:rsidP="0079334B">
            <w:pPr>
              <w:spacing w:afterLines="50" w:after="120"/>
              <w:ind w:left="1440"/>
              <w:rPr>
                <w:szCs w:val="24"/>
              </w:rPr>
            </w:pPr>
            <w:r w:rsidRPr="00BD76AF">
              <w:rPr>
                <w:szCs w:val="24"/>
              </w:rPr>
              <w:t xml:space="preserve">L’Entrepreneur doit </w:t>
            </w:r>
          </w:p>
          <w:p w14:paraId="338CCC0F" w14:textId="77777777" w:rsidR="00F332DA" w:rsidRPr="00BD76AF" w:rsidRDefault="00F332DA" w:rsidP="0079334B">
            <w:pPr>
              <w:spacing w:afterLines="50" w:after="120"/>
              <w:ind w:left="1865" w:hanging="425"/>
              <w:rPr>
                <w:szCs w:val="24"/>
              </w:rPr>
            </w:pPr>
            <w:r w:rsidRPr="00BD76AF">
              <w:rPr>
                <w:szCs w:val="24"/>
              </w:rPr>
              <w:t>a)</w:t>
            </w:r>
            <w:r w:rsidRPr="00BD76AF">
              <w:rPr>
                <w:szCs w:val="24"/>
                <w:lang w:eastAsia="ja-JP"/>
              </w:rPr>
              <w:tab/>
            </w:r>
            <w:r w:rsidRPr="00BD76AF">
              <w:rPr>
                <w:szCs w:val="24"/>
              </w:rPr>
              <w:t>se conformer à la législation du travail applicable à son Personnel, incluant la législation concernant l’embauche, la santé, la sécurité, la protection sociale, l’immigration et l’émigration, et doit leur permettre de jouir de tous leurs droits juridiques.</w:t>
            </w:r>
          </w:p>
          <w:p w14:paraId="3B7D1A64" w14:textId="77777777" w:rsidR="00F332DA" w:rsidRPr="00BD76AF" w:rsidRDefault="00F332DA" w:rsidP="00C36A6E">
            <w:pPr>
              <w:spacing w:after="200"/>
              <w:ind w:left="1865" w:hanging="425"/>
              <w:rPr>
                <w:szCs w:val="24"/>
              </w:rPr>
            </w:pPr>
            <w:r w:rsidRPr="00BD76AF">
              <w:rPr>
                <w:szCs w:val="24"/>
              </w:rPr>
              <w:t>b)</w:t>
            </w:r>
            <w:r w:rsidRPr="00BD76AF">
              <w:rPr>
                <w:szCs w:val="24"/>
                <w:lang w:eastAsia="ja-JP"/>
              </w:rPr>
              <w:tab/>
            </w:r>
            <w:r w:rsidRPr="00BD76AF">
              <w:rPr>
                <w:szCs w:val="24"/>
              </w:rPr>
              <w:t>pendant toute la durée d’exécution du Marché,</w:t>
            </w:r>
            <w:r w:rsidRPr="00BD76AF">
              <w:t xml:space="preserve"> </w:t>
            </w:r>
            <w:r w:rsidRPr="00BD76AF">
              <w:rPr>
                <w:szCs w:val="24"/>
              </w:rPr>
              <w:t>exiger de ses employés qu’ils respectent toutes les lois applicables y compris celles concernant leur sécurité pendant le travail.</w:t>
            </w:r>
          </w:p>
          <w:p w14:paraId="496A37FB" w14:textId="77777777" w:rsidR="00F332DA" w:rsidRPr="00BD76AF" w:rsidRDefault="00F332DA" w:rsidP="0079334B">
            <w:pPr>
              <w:ind w:left="1440" w:hanging="839"/>
              <w:rPr>
                <w:szCs w:val="24"/>
              </w:rPr>
            </w:pPr>
            <w:r w:rsidRPr="00BD76AF">
              <w:rPr>
                <w:szCs w:val="24"/>
              </w:rPr>
              <w:t>22.4.5</w:t>
            </w:r>
            <w:r w:rsidRPr="00BD76AF">
              <w:rPr>
                <w:szCs w:val="24"/>
                <w:lang w:eastAsia="ja-JP"/>
              </w:rPr>
              <w:tab/>
            </w:r>
            <w:r w:rsidRPr="00BD76AF">
              <w:rPr>
                <w:szCs w:val="24"/>
                <w:u w:val="single"/>
              </w:rPr>
              <w:t>Horaires de travail</w:t>
            </w:r>
          </w:p>
          <w:p w14:paraId="0AF2873B" w14:textId="77777777" w:rsidR="00F332DA" w:rsidRPr="00BD76AF" w:rsidRDefault="00F332DA" w:rsidP="00690920">
            <w:pPr>
              <w:spacing w:afterLines="50" w:after="120"/>
              <w:ind w:left="1440"/>
              <w:rPr>
                <w:szCs w:val="24"/>
              </w:rPr>
            </w:pPr>
            <w:r w:rsidRPr="00BD76AF">
              <w:rPr>
                <w:szCs w:val="24"/>
              </w:rPr>
              <w:t xml:space="preserve">Aucun travail ne doit être exécuté sur le Site les jours reconnus localement comme jours de repos, ou hors des heures normales de travail </w:t>
            </w:r>
            <w:r w:rsidRPr="00BD76AF">
              <w:rPr>
                <w:b/>
                <w:szCs w:val="24"/>
              </w:rPr>
              <w:t>mentionnées dans les Données du Marché</w:t>
            </w:r>
            <w:r w:rsidRPr="00BD76AF">
              <w:rPr>
                <w:szCs w:val="24"/>
              </w:rPr>
              <w:t>, à moins que:</w:t>
            </w:r>
          </w:p>
          <w:p w14:paraId="153A9D41" w14:textId="77777777" w:rsidR="00F332DA" w:rsidRPr="00BD76AF" w:rsidRDefault="00F332DA" w:rsidP="00075313">
            <w:pPr>
              <w:spacing w:afterLines="50" w:after="120"/>
              <w:ind w:left="1865" w:hanging="425"/>
              <w:rPr>
                <w:szCs w:val="24"/>
              </w:rPr>
            </w:pPr>
            <w:r w:rsidRPr="00BD76AF">
              <w:rPr>
                <w:szCs w:val="24"/>
              </w:rPr>
              <w:t>a)</w:t>
            </w:r>
            <w:r w:rsidRPr="00BD76AF">
              <w:rPr>
                <w:szCs w:val="24"/>
                <w:lang w:eastAsia="ja-JP"/>
              </w:rPr>
              <w:tab/>
            </w:r>
            <w:r w:rsidRPr="00BD76AF">
              <w:rPr>
                <w:szCs w:val="24"/>
              </w:rPr>
              <w:t>le Marché n’en dispose autrement ;</w:t>
            </w:r>
          </w:p>
          <w:p w14:paraId="04AF90A5" w14:textId="77777777" w:rsidR="00F332DA" w:rsidRPr="00BD76AF" w:rsidRDefault="00F332DA" w:rsidP="00075313">
            <w:pPr>
              <w:spacing w:afterLines="50" w:after="120"/>
              <w:ind w:left="1865" w:hanging="425"/>
              <w:rPr>
                <w:szCs w:val="24"/>
              </w:rPr>
            </w:pPr>
            <w:r w:rsidRPr="00BD76AF">
              <w:rPr>
                <w:szCs w:val="24"/>
              </w:rPr>
              <w:t>b)</w:t>
            </w:r>
            <w:r w:rsidRPr="00BD76AF">
              <w:rPr>
                <w:szCs w:val="24"/>
                <w:lang w:eastAsia="ja-JP"/>
              </w:rPr>
              <w:tab/>
            </w:r>
            <w:r w:rsidRPr="00BD76AF">
              <w:rPr>
                <w:szCs w:val="24"/>
              </w:rPr>
              <w:t>le Directeur de projet donne son accord ; ou</w:t>
            </w:r>
          </w:p>
          <w:p w14:paraId="5E4CCF19" w14:textId="77777777" w:rsidR="00F332DA" w:rsidRPr="00BD76AF" w:rsidRDefault="00F332DA" w:rsidP="00075313">
            <w:pPr>
              <w:spacing w:afterLines="50" w:after="120"/>
              <w:ind w:left="1865" w:hanging="425"/>
              <w:rPr>
                <w:szCs w:val="24"/>
              </w:rPr>
            </w:pPr>
            <w:r w:rsidRPr="00BD76AF">
              <w:rPr>
                <w:szCs w:val="24"/>
              </w:rPr>
              <w:t>c)</w:t>
            </w:r>
            <w:r w:rsidRPr="00BD76AF">
              <w:rPr>
                <w:szCs w:val="24"/>
                <w:lang w:eastAsia="ja-JP"/>
              </w:rPr>
              <w:tab/>
            </w:r>
            <w:r w:rsidRPr="00BD76AF">
              <w:rPr>
                <w:szCs w:val="24"/>
              </w:rPr>
              <w:t>le travail soit inévitable, ou nécessaire pour la protection des vies humaines ou des biens, ou pour la sécurité des Installations, auquel cas l’Entrepreneur doit immédiatement en informer le Directeur de projet.</w:t>
            </w:r>
          </w:p>
          <w:p w14:paraId="43B1E506" w14:textId="77777777" w:rsidR="00F332DA" w:rsidRPr="00BD76AF" w:rsidRDefault="00F332DA" w:rsidP="00690920">
            <w:pPr>
              <w:spacing w:afterLines="50" w:after="120"/>
              <w:ind w:left="1440"/>
              <w:rPr>
                <w:szCs w:val="24"/>
              </w:rPr>
            </w:pPr>
            <w:r w:rsidRPr="00BD76AF">
              <w:rPr>
                <w:szCs w:val="24"/>
              </w:rPr>
              <w:t>Si et lorsque l’Entrepreneur juge nécessaire de travailler la nuit ou les jours fériés afin de respecter le Délai d’</w:t>
            </w:r>
            <w:r w:rsidRPr="00BD76AF">
              <w:rPr>
                <w:rFonts w:eastAsia="ＭＳ ゴシック"/>
                <w:color w:val="000000"/>
                <w:szCs w:val="24"/>
                <w:lang w:eastAsia="ja-JP"/>
              </w:rPr>
              <w:t>achèvement</w:t>
            </w:r>
            <w:r w:rsidRPr="00BD76AF">
              <w:rPr>
                <w:szCs w:val="24"/>
              </w:rPr>
              <w:t xml:space="preserve"> et présente une demande d’approbation au Directeur de projet, celui-ci ne doit pas refuser son consentement sans raison.</w:t>
            </w:r>
          </w:p>
          <w:p w14:paraId="1AABE316" w14:textId="77777777" w:rsidR="00F332DA" w:rsidRPr="00BD76AF" w:rsidRDefault="00F332DA" w:rsidP="00C36A6E">
            <w:pPr>
              <w:spacing w:after="200"/>
              <w:ind w:left="1440"/>
              <w:rPr>
                <w:szCs w:val="24"/>
              </w:rPr>
            </w:pPr>
            <w:r w:rsidRPr="00BD76AF">
              <w:rPr>
                <w:szCs w:val="24"/>
              </w:rPr>
              <w:t>Le présent Article ne s’applique pas à tout travail qui est normalement réalisé par roulement ou deux quarts.</w:t>
            </w:r>
          </w:p>
          <w:p w14:paraId="4F33768B" w14:textId="77777777" w:rsidR="00F332DA" w:rsidRPr="00BD76AF" w:rsidRDefault="00F332DA" w:rsidP="0079334B">
            <w:pPr>
              <w:ind w:left="1440" w:hanging="839"/>
              <w:rPr>
                <w:szCs w:val="24"/>
                <w:u w:val="single"/>
              </w:rPr>
            </w:pPr>
            <w:r w:rsidRPr="00BD76AF">
              <w:rPr>
                <w:szCs w:val="24"/>
              </w:rPr>
              <w:t>22.4.6</w:t>
            </w:r>
            <w:r w:rsidRPr="00BD76AF">
              <w:rPr>
                <w:szCs w:val="24"/>
                <w:lang w:eastAsia="ja-JP"/>
              </w:rPr>
              <w:tab/>
            </w:r>
            <w:r w:rsidRPr="00BD76AF">
              <w:rPr>
                <w:szCs w:val="24"/>
                <w:u w:val="single"/>
              </w:rPr>
              <w:t>Hébergement du personnel et de la main-d’œuvre</w:t>
            </w:r>
          </w:p>
          <w:p w14:paraId="04578B24" w14:textId="77777777" w:rsidR="00F332DA" w:rsidRPr="00BD76AF" w:rsidRDefault="00F332DA" w:rsidP="00690920">
            <w:pPr>
              <w:spacing w:afterLines="50" w:after="120"/>
              <w:ind w:left="1440"/>
              <w:rPr>
                <w:szCs w:val="24"/>
              </w:rPr>
            </w:pPr>
            <w:r w:rsidRPr="00BD76AF">
              <w:rPr>
                <w:szCs w:val="24"/>
              </w:rPr>
              <w:t>Sauf si les Exigences du Maître d’ouvrage en disposent autrement, l’Entrepreneur doit fournir et entretenir les logements et équipements sociaux nécessaires pour son personnel. L’Entrepreneur doit également fournir les installations pour le personnel du Maître d’ouvrage comme mentionné dans les Exigences du Maître d’ouvrage.</w:t>
            </w:r>
          </w:p>
          <w:p w14:paraId="2D8192FC" w14:textId="77777777" w:rsidR="00F332DA" w:rsidRPr="00BD76AF" w:rsidRDefault="00F332DA" w:rsidP="00C36A6E">
            <w:pPr>
              <w:spacing w:after="200"/>
              <w:ind w:left="1440"/>
              <w:rPr>
                <w:szCs w:val="24"/>
              </w:rPr>
            </w:pPr>
            <w:r w:rsidRPr="00BD76AF">
              <w:rPr>
                <w:szCs w:val="24"/>
              </w:rPr>
              <w:t>L’Entrepreneur ne doit permettre à aucun des membres de son personnel de garder des lieux d’habitation temporaires ou permanents à l’intérieur des structures constituant une partie des Installations.</w:t>
            </w:r>
          </w:p>
          <w:p w14:paraId="5EF09C25" w14:textId="77777777" w:rsidR="00F332DA" w:rsidRPr="00BD76AF" w:rsidRDefault="00F332DA" w:rsidP="0079334B">
            <w:pPr>
              <w:ind w:left="1440" w:hanging="839"/>
              <w:rPr>
                <w:szCs w:val="24"/>
              </w:rPr>
            </w:pPr>
            <w:r w:rsidRPr="00BD76AF">
              <w:rPr>
                <w:szCs w:val="24"/>
              </w:rPr>
              <w:t>22.4.7</w:t>
            </w:r>
            <w:r w:rsidRPr="00BD76AF">
              <w:rPr>
                <w:szCs w:val="24"/>
                <w:lang w:eastAsia="ja-JP"/>
              </w:rPr>
              <w:tab/>
            </w:r>
            <w:r w:rsidRPr="00BD76AF">
              <w:rPr>
                <w:szCs w:val="24"/>
                <w:u w:val="single"/>
              </w:rPr>
              <w:t>Santé et sécurité</w:t>
            </w:r>
          </w:p>
          <w:p w14:paraId="4FA32609" w14:textId="77777777" w:rsidR="00F332DA" w:rsidRPr="00BD76AF" w:rsidRDefault="00F332DA" w:rsidP="00690920">
            <w:pPr>
              <w:spacing w:afterLines="50" w:after="120"/>
              <w:ind w:left="1440"/>
            </w:pPr>
            <w:r w:rsidRPr="00BD76AF">
              <w:rPr>
                <w:szCs w:val="24"/>
              </w:rPr>
              <w:t xml:space="preserve">L’Entrepreneur doit, en tout temps, prendre toutes les précautions </w:t>
            </w:r>
            <w:r w:rsidRPr="00BD76AF">
              <w:t>nécessaires</w:t>
            </w:r>
            <w:r w:rsidRPr="00BD76AF">
              <w:rPr>
                <w:szCs w:val="24"/>
              </w:rPr>
              <w:t xml:space="preserve"> à </w:t>
            </w:r>
            <w:r w:rsidRPr="00BD76AF">
              <w:t>la protection de la santé et de la sécurité de son personnel</w:t>
            </w:r>
            <w:r w:rsidRPr="00BD76AF">
              <w:rPr>
                <w:szCs w:val="24"/>
              </w:rPr>
              <w:t xml:space="preserve">. En collaboration avec les autorités sanitaires locales, </w:t>
            </w:r>
            <w:r w:rsidRPr="00BD76AF">
              <w:t xml:space="preserve">l’Entrepreneur doit faire en sorte que le personnel médical, les équipements de premiers secours, l’infirmerie et les services d’ambulance soient toujours disponibles sur le Site et sur les lieux d’hébergement du personnel de l’Entrepreneur ou du Maître d’ouvrage et que les dispositions nécessaires aient été prises en matière d’hygiène et de bien-être et pour la prévention des épidémies. </w:t>
            </w:r>
          </w:p>
          <w:p w14:paraId="40F70501" w14:textId="77777777" w:rsidR="00F332DA" w:rsidRPr="00BD76AF" w:rsidRDefault="00F332DA" w:rsidP="00690920">
            <w:pPr>
              <w:spacing w:afterLines="50" w:after="120"/>
              <w:ind w:left="1440"/>
              <w:rPr>
                <w:szCs w:val="24"/>
              </w:rPr>
            </w:pPr>
            <w:r w:rsidRPr="00BD76AF">
              <w:rPr>
                <w:szCs w:val="24"/>
              </w:rPr>
              <w:t xml:space="preserve">L’Entrepreneur doit désigner un responsable pour la prévention des accidents sur le Site, chargé du maintien de la sécurité et de la protection contre les accidents. Cette personne doit être qualifiée pour assumer cette responsabilité et doit avoir le pouvoir de donner des instructions et de prendre les mesures de protection contre les accidents. Pendant l’exécution du Marché, l’Entrepreneur doit fournir tout ce qui est nécessaire à cette personne pour exercer une telle responsabilité et assumer un tel pouvoir. </w:t>
            </w:r>
          </w:p>
          <w:p w14:paraId="5F87DA1E" w14:textId="77777777" w:rsidR="00F332DA" w:rsidRPr="00BD76AF" w:rsidRDefault="00F332DA" w:rsidP="00690920">
            <w:pPr>
              <w:spacing w:afterLines="50" w:after="120"/>
              <w:ind w:left="1440"/>
              <w:rPr>
                <w:szCs w:val="24"/>
              </w:rPr>
            </w:pPr>
            <w:r w:rsidRPr="00BD76AF">
              <w:rPr>
                <w:szCs w:val="24"/>
              </w:rPr>
              <w:t>L’Entrepreneur doit adresser au Directeur de projet les détails de tout accident aussitôt que possible après qu’il soit survenu. L’Entrepreneur doit tenir à jour des données sur la santé, la sécurité, le bien-être des personnes et les dommages matériels et préparer des rapports, à la demande raisonnable du Directeur de projet.</w:t>
            </w:r>
          </w:p>
          <w:p w14:paraId="79C79A2B" w14:textId="77777777" w:rsidR="00F332DA" w:rsidRPr="00BD76AF" w:rsidRDefault="00F332DA" w:rsidP="00690920">
            <w:pPr>
              <w:spacing w:afterLines="50" w:after="120"/>
              <w:ind w:left="1440"/>
              <w:rPr>
                <w:szCs w:val="24"/>
                <w:lang w:eastAsia="ja-JP"/>
              </w:rPr>
            </w:pPr>
            <w:r w:rsidRPr="00BD76AF">
              <w:rPr>
                <w:szCs w:val="24"/>
                <w:lang w:eastAsia="ja-JP"/>
              </w:rPr>
              <w:t>Prévention contre le VIH-SIDA. L’Entrepreneur doit conduire une campagne de sensibilisation au VIH-SIDA par l’intermédiaire d’un prestataire de service approuvé, et doit prendre toute autre mesure spécifiée dans le Marché pour réduire le risque de transmission du virus VIH au sein du personnel de l’Entrepreneur, et entre le personnel de l’Entrepreneur et la communauté locale, pour promouvoir un diagnostic précoce et pour assister les individus contaminés.</w:t>
            </w:r>
          </w:p>
          <w:p w14:paraId="79726BB0" w14:textId="77777777" w:rsidR="00F332DA" w:rsidRPr="00BD76AF" w:rsidRDefault="00F332DA" w:rsidP="00690920">
            <w:pPr>
              <w:spacing w:afterLines="50" w:after="120"/>
              <w:ind w:left="1440"/>
              <w:rPr>
                <w:szCs w:val="24"/>
              </w:rPr>
            </w:pPr>
            <w:r w:rsidRPr="00BD76AF">
              <w:rPr>
                <w:szCs w:val="24"/>
              </w:rPr>
              <w:t>L’Entrepreneur doit, pendant toute la durée du Marché (y compris la Période de garantie) : i) mener des campagnes d’information, d’éducation et de communication, au minimum tous les deux (2) mois pour tout le personnel et la main-d’œuvre sur le Site (incluant les employés de l’Entrepreneur, les employés des Sous-traitants, du Maître d’ouvrage et du Directeur de projet, les chauffeurs de camion et les équipes effectuant des livraisons sur le Site aux fins des activités de construction) et pour les communautés riveraines, concernant les risques, les dangers et les conséquences, et les comportements préventifs appropriés concernant les maladies sexuellement transmissibles (MST) – ou les infections sexuellement transmissibles (</w:t>
            </w:r>
            <w:smartTag w:uri="urn:schemas-microsoft-com:office:smarttags" w:element="stockticker">
              <w:r w:rsidRPr="00BD76AF">
                <w:rPr>
                  <w:szCs w:val="24"/>
                </w:rPr>
                <w:t>IST</w:t>
              </w:r>
            </w:smartTag>
            <w:r w:rsidRPr="00BD76AF">
              <w:rPr>
                <w:szCs w:val="24"/>
              </w:rPr>
              <w:t xml:space="preserve">) en général et le VIH/SIDA en particulier ; ii) fournir des préservatifs masculins et féminins à tout le personnel et la main-d’œuvre présents sur le Site, selon les besoins ; et iii) assurer le dépistage, le diagnostic, le conseil concernant les IST et le VIH/SIDA et la référence à un programme national consacré aux </w:t>
            </w:r>
            <w:smartTag w:uri="urn:schemas-microsoft-com:office:smarttags" w:element="stockticker">
              <w:r w:rsidRPr="00BD76AF">
                <w:rPr>
                  <w:szCs w:val="24"/>
                </w:rPr>
                <w:t>IST</w:t>
              </w:r>
            </w:smartTag>
            <w:r w:rsidRPr="00BD76AF">
              <w:rPr>
                <w:szCs w:val="24"/>
              </w:rPr>
              <w:t xml:space="preserve"> et VIH/SIDA (sauf accord différent) pour tout le personnel et la main-d’œuvre du Site.</w:t>
            </w:r>
          </w:p>
          <w:p w14:paraId="359A39BF" w14:textId="77777777" w:rsidR="00F332DA" w:rsidRPr="00BD76AF" w:rsidRDefault="00F332DA" w:rsidP="00C36A6E">
            <w:pPr>
              <w:spacing w:after="200"/>
              <w:ind w:left="1440"/>
              <w:rPr>
                <w:szCs w:val="24"/>
              </w:rPr>
            </w:pPr>
            <w:r w:rsidRPr="00BD76AF">
              <w:rPr>
                <w:szCs w:val="24"/>
              </w:rPr>
              <w:t xml:space="preserve">L’Entrepreneur doit inclure dans le programme à remettre pour l’exécution des travaux sur les Installations conformément à l’Article 18.2 des CG, un programme de prévention destiné au personnel, à la main-d’œuvre sur le Site, et à leurs familles, concernant les MST et IST, incluant le VIH/SIDA. Le programme de prévention des </w:t>
            </w:r>
            <w:smartTag w:uri="urn:schemas-microsoft-com:office:smarttags" w:element="stockticker">
              <w:r w:rsidRPr="00BD76AF">
                <w:rPr>
                  <w:szCs w:val="24"/>
                </w:rPr>
                <w:t>IST</w:t>
              </w:r>
            </w:smartTag>
            <w:r w:rsidRPr="00BD76AF">
              <w:rPr>
                <w:szCs w:val="24"/>
              </w:rPr>
              <w:t xml:space="preserve">, MST et VIH/SIDA doit indiquer quand, comment et à quel coût l’Entrepreneur prévoit de satisfaire aux exigences du présent Article des CG et aux Exigences du Maître d’ouvrage s’y rapportant. Pour chaque composante, le programme comprendra le détail des ressources à fournir ou utiliser, et des sous-traitants proposés à cet effet. Le programme devra également fournir une évaluation détaillée du coût avec justificatifs. </w:t>
            </w:r>
          </w:p>
          <w:p w14:paraId="78A62322" w14:textId="77777777" w:rsidR="00F332DA" w:rsidRPr="00BD76AF" w:rsidRDefault="00F332DA" w:rsidP="0079334B">
            <w:pPr>
              <w:ind w:left="1440" w:hanging="839"/>
              <w:rPr>
                <w:szCs w:val="24"/>
                <w:u w:val="single"/>
              </w:rPr>
            </w:pPr>
            <w:r w:rsidRPr="00BD76AF">
              <w:rPr>
                <w:szCs w:val="24"/>
              </w:rPr>
              <w:t>22.4.8</w:t>
            </w:r>
            <w:r w:rsidRPr="00BD76AF">
              <w:rPr>
                <w:szCs w:val="24"/>
                <w:lang w:eastAsia="ja-JP"/>
              </w:rPr>
              <w:tab/>
            </w:r>
            <w:r w:rsidRPr="00BD76AF">
              <w:rPr>
                <w:szCs w:val="24"/>
                <w:u w:val="single"/>
              </w:rPr>
              <w:t>Registres du personnel de l’Entrepreneur</w:t>
            </w:r>
          </w:p>
          <w:p w14:paraId="189ECBE3" w14:textId="77777777" w:rsidR="00F332DA" w:rsidRPr="00BD76AF" w:rsidRDefault="00F332DA" w:rsidP="00C36A6E">
            <w:pPr>
              <w:spacing w:after="200"/>
              <w:ind w:left="1440"/>
              <w:rPr>
                <w:szCs w:val="24"/>
              </w:rPr>
            </w:pPr>
            <w:r w:rsidRPr="00BD76AF">
              <w:rPr>
                <w:szCs w:val="24"/>
              </w:rPr>
              <w:t>L’Entrepreneur doit tenir à jour les registres de son personnel faisant apparaître le nombre de personnes dans chaque catégorie professionnelle présent sur le Site. Ces registres doivent être récapitulés mensuellement, sous un format approuvé par le Directeur de projet et doivent être disponibles pour inspection par le Directeur de projet jusqu’à l’achèvement des travaux par l’Entrepreneur.</w:t>
            </w:r>
          </w:p>
          <w:p w14:paraId="1F0072BF" w14:textId="77777777" w:rsidR="00F332DA" w:rsidRPr="00BD76AF" w:rsidRDefault="00F332DA" w:rsidP="0079334B">
            <w:pPr>
              <w:ind w:left="1440" w:hanging="839"/>
              <w:rPr>
                <w:szCs w:val="24"/>
                <w:u w:val="single"/>
                <w:lang w:eastAsia="ja-JP"/>
              </w:rPr>
            </w:pPr>
            <w:r w:rsidRPr="00BD76AF">
              <w:rPr>
                <w:szCs w:val="24"/>
              </w:rPr>
              <w:t>22.4.9</w:t>
            </w:r>
            <w:r w:rsidRPr="00BD76AF">
              <w:rPr>
                <w:szCs w:val="24"/>
                <w:lang w:eastAsia="ja-JP"/>
              </w:rPr>
              <w:tab/>
            </w:r>
            <w:r w:rsidRPr="00BD76AF">
              <w:rPr>
                <w:szCs w:val="24"/>
                <w:u w:val="single"/>
                <w:lang w:eastAsia="ja-JP"/>
              </w:rPr>
              <w:t>Comportement fautif</w:t>
            </w:r>
          </w:p>
          <w:p w14:paraId="6F3ED476" w14:textId="77777777" w:rsidR="00F332DA" w:rsidRPr="00BD76AF" w:rsidRDefault="00F332DA" w:rsidP="00C36A6E">
            <w:pPr>
              <w:spacing w:after="200"/>
              <w:ind w:left="1440"/>
              <w:rPr>
                <w:szCs w:val="24"/>
                <w:lang w:eastAsia="ja-JP"/>
              </w:rPr>
            </w:pPr>
            <w:r w:rsidRPr="00BD76AF">
              <w:rPr>
                <w:rFonts w:hint="eastAsia"/>
                <w:szCs w:val="24"/>
                <w:lang w:eastAsia="ja-JP"/>
              </w:rPr>
              <w:t>L</w:t>
            </w:r>
            <w:r w:rsidRPr="00BD76AF">
              <w:rPr>
                <w:szCs w:val="24"/>
                <w:lang w:eastAsia="ja-JP"/>
              </w:rPr>
              <w:t>’Entrepreneur doit à tout moment prendre toutes les précautions adaptées pour prévenir toute conduite illicite, séditieuse ou portant atteinte à l’ordre public par son Personnel, et veiller à préserver la jouissance paisible et la sécurité des biens et des personnes sur le Site ou à sa proximité.</w:t>
            </w:r>
          </w:p>
          <w:p w14:paraId="5869B338" w14:textId="77777777" w:rsidR="00F332DA" w:rsidRPr="00BD76AF" w:rsidRDefault="00F332DA" w:rsidP="0079334B">
            <w:pPr>
              <w:ind w:left="1440" w:hanging="839"/>
              <w:rPr>
                <w:szCs w:val="24"/>
                <w:lang w:eastAsia="ja-JP"/>
              </w:rPr>
            </w:pPr>
            <w:r w:rsidRPr="00BD76AF">
              <w:rPr>
                <w:szCs w:val="24"/>
              </w:rPr>
              <w:t>22.4.10</w:t>
            </w:r>
            <w:r w:rsidRPr="00BD76AF">
              <w:rPr>
                <w:szCs w:val="24"/>
                <w:lang w:eastAsia="ja-JP"/>
              </w:rPr>
              <w:tab/>
            </w:r>
            <w:r w:rsidRPr="00BD76AF">
              <w:rPr>
                <w:szCs w:val="24"/>
                <w:u w:val="single"/>
                <w:lang w:eastAsia="ja-JP"/>
              </w:rPr>
              <w:t xml:space="preserve">Personnel </w:t>
            </w:r>
            <w:r w:rsidRPr="00BD76AF">
              <w:rPr>
                <w:rFonts w:hint="eastAsia"/>
                <w:szCs w:val="24"/>
                <w:u w:val="single"/>
                <w:lang w:eastAsia="ja-JP"/>
              </w:rPr>
              <w:t>é</w:t>
            </w:r>
            <w:r w:rsidRPr="00BD76AF">
              <w:rPr>
                <w:szCs w:val="24"/>
                <w:u w:val="single"/>
                <w:lang w:eastAsia="ja-JP"/>
              </w:rPr>
              <w:t>tranger</w:t>
            </w:r>
          </w:p>
          <w:p w14:paraId="6A0D4B06" w14:textId="77777777" w:rsidR="00F332DA" w:rsidRPr="00BD76AF" w:rsidRDefault="00F332DA" w:rsidP="0079334B">
            <w:pPr>
              <w:spacing w:afterLines="50" w:after="120"/>
              <w:ind w:left="1440"/>
              <w:rPr>
                <w:szCs w:val="24"/>
                <w:lang w:eastAsia="ja-JP"/>
              </w:rPr>
            </w:pPr>
            <w:r w:rsidRPr="00BD76AF">
              <w:rPr>
                <w:szCs w:val="24"/>
                <w:lang w:eastAsia="ja-JP"/>
              </w:rPr>
              <w:t>L’Entrepreneur peut faire venir dans le pays tout personnel étranger qui est nécessaire pour l’exécution des travaux des Installations, dans la limite permise par les lois applicables. L’Entrepreneur doit s’assurer que ce personnel dispose des visas de séjour et des permis de travail nécessaires. Le Maître d’ouvrage doit, à la demande de l’Entrepreneur, faire de son mieux, et de manière prompte et ponctuelle, pour aider l’Entrepreneur à obtenir toute autorisation émanant des collectivités locales, de l’administration nationale, étatique ou des autorités gouvernementales, requise pour mobiliser le personnel de l’Entrepreneur.</w:t>
            </w:r>
          </w:p>
          <w:p w14:paraId="1B0423A9" w14:textId="77777777" w:rsidR="00F332DA" w:rsidRPr="00BD76AF" w:rsidRDefault="00F332DA" w:rsidP="00C36A6E">
            <w:pPr>
              <w:spacing w:after="200"/>
              <w:ind w:left="1440"/>
              <w:rPr>
                <w:szCs w:val="24"/>
                <w:lang w:eastAsia="ja-JP"/>
              </w:rPr>
            </w:pPr>
            <w:r w:rsidRPr="00BD76AF">
              <w:rPr>
                <w:szCs w:val="24"/>
                <w:lang w:eastAsia="ja-JP"/>
              </w:rPr>
              <w:t>L’Entrepreneur est responsable du retour de ce personnel vers leur lieu de recrutement ou vers leur domicile. En cas de décès dans le pays où se trouve le Site</w:t>
            </w:r>
            <w:r w:rsidRPr="00BD76AF">
              <w:rPr>
                <w:rFonts w:hint="eastAsia"/>
                <w:szCs w:val="24"/>
                <w:lang w:eastAsia="ja-JP"/>
              </w:rPr>
              <w:t xml:space="preserve"> </w:t>
            </w:r>
            <w:r w:rsidRPr="00BD76AF">
              <w:rPr>
                <w:szCs w:val="24"/>
                <w:lang w:eastAsia="ja-JP"/>
              </w:rPr>
              <w:t>d’un tel membre du personnel ou d’un membre de sa famille, l’Entrepreneur est de la même manière responsable de la prise de mesures appropriées pour leur rapatriement ou leurs obsèques.</w:t>
            </w:r>
          </w:p>
          <w:p w14:paraId="08D8D540" w14:textId="77777777" w:rsidR="00F332DA" w:rsidRPr="00BD76AF" w:rsidRDefault="00F332DA" w:rsidP="0079334B">
            <w:pPr>
              <w:ind w:left="1440" w:hanging="839"/>
              <w:rPr>
                <w:szCs w:val="24"/>
              </w:rPr>
            </w:pPr>
            <w:r w:rsidRPr="00BD76AF">
              <w:rPr>
                <w:szCs w:val="24"/>
              </w:rPr>
              <w:t>22.4.11</w:t>
            </w:r>
            <w:r w:rsidRPr="00BD76AF">
              <w:rPr>
                <w:szCs w:val="24"/>
                <w:lang w:eastAsia="ja-JP"/>
              </w:rPr>
              <w:tab/>
            </w:r>
            <w:r w:rsidRPr="00BD76AF">
              <w:rPr>
                <w:szCs w:val="24"/>
                <w:u w:val="single"/>
              </w:rPr>
              <w:t>Fourniture de denrées alimentaires</w:t>
            </w:r>
          </w:p>
          <w:p w14:paraId="0179BD57" w14:textId="77777777" w:rsidR="00F332DA" w:rsidRPr="00BD76AF" w:rsidRDefault="00F332DA" w:rsidP="00C36A6E">
            <w:pPr>
              <w:spacing w:after="200"/>
              <w:ind w:left="1440"/>
              <w:rPr>
                <w:szCs w:val="24"/>
              </w:rPr>
            </w:pPr>
            <w:r w:rsidRPr="00BD76AF">
              <w:rPr>
                <w:szCs w:val="24"/>
              </w:rPr>
              <w:t>L’Entrepreneur doit prendre les mesures nécessaires pour fournir une alimentation convenable et suffisante au personnel de l’Entrepreneur, tel qu’éventuellement mentionné dans les</w:t>
            </w:r>
            <w:r w:rsidRPr="00BD76AF" w:rsidDel="005421EC">
              <w:rPr>
                <w:szCs w:val="24"/>
              </w:rPr>
              <w:t xml:space="preserve"> </w:t>
            </w:r>
            <w:r w:rsidRPr="00BD76AF">
              <w:rPr>
                <w:szCs w:val="24"/>
              </w:rPr>
              <w:t>Exigences du Maître d’ouvrage, et à un prix raisonnable dans le cadre de l’exécution du Marché ou en lien avec celui-ci.</w:t>
            </w:r>
          </w:p>
          <w:p w14:paraId="366151DA" w14:textId="77777777" w:rsidR="00F332DA" w:rsidRPr="00BD76AF" w:rsidRDefault="00F332DA" w:rsidP="0079334B">
            <w:pPr>
              <w:ind w:left="1440" w:hanging="839"/>
              <w:rPr>
                <w:szCs w:val="24"/>
              </w:rPr>
            </w:pPr>
            <w:r w:rsidRPr="00BD76AF">
              <w:rPr>
                <w:szCs w:val="24"/>
              </w:rPr>
              <w:t>22.4.12</w:t>
            </w:r>
            <w:r w:rsidRPr="00BD76AF">
              <w:rPr>
                <w:szCs w:val="24"/>
                <w:lang w:eastAsia="ja-JP"/>
              </w:rPr>
              <w:tab/>
            </w:r>
            <w:r w:rsidRPr="00BD76AF">
              <w:rPr>
                <w:szCs w:val="24"/>
                <w:u w:val="single"/>
              </w:rPr>
              <w:t>Approvisionnement en eau</w:t>
            </w:r>
          </w:p>
          <w:p w14:paraId="4E8DE838" w14:textId="77777777" w:rsidR="00F332DA" w:rsidRPr="00BD76AF" w:rsidRDefault="00F332DA" w:rsidP="00C36A6E">
            <w:pPr>
              <w:spacing w:after="200"/>
              <w:ind w:left="1440"/>
              <w:rPr>
                <w:szCs w:val="24"/>
              </w:rPr>
            </w:pPr>
            <w:r w:rsidRPr="00BD76AF">
              <w:rPr>
                <w:szCs w:val="24"/>
              </w:rPr>
              <w:t>L’Entrepreneur doit, en tenant compte des conditions locales, assurer sur le Site une alimentation en eau potable et autre en quantités suffisantes pour son utilisation par le personnel de l’Entrepreneur.</w:t>
            </w:r>
          </w:p>
          <w:p w14:paraId="35129159" w14:textId="77777777" w:rsidR="00F332DA" w:rsidRPr="00BD76AF" w:rsidRDefault="00F332DA" w:rsidP="0079334B">
            <w:pPr>
              <w:ind w:left="1440" w:hanging="839"/>
              <w:rPr>
                <w:szCs w:val="24"/>
              </w:rPr>
            </w:pPr>
            <w:r w:rsidRPr="00BD76AF">
              <w:rPr>
                <w:szCs w:val="24"/>
              </w:rPr>
              <w:t>22.4.13</w:t>
            </w:r>
            <w:r w:rsidRPr="00BD76AF">
              <w:rPr>
                <w:szCs w:val="24"/>
                <w:lang w:eastAsia="ja-JP"/>
              </w:rPr>
              <w:tab/>
            </w:r>
            <w:r w:rsidRPr="00BD76AF">
              <w:rPr>
                <w:szCs w:val="24"/>
                <w:u w:val="single"/>
              </w:rPr>
              <w:t>Mesures contre les insectes et animaux nuisibles</w:t>
            </w:r>
          </w:p>
          <w:p w14:paraId="245ED77B" w14:textId="77777777" w:rsidR="00F332DA" w:rsidRPr="00BD76AF" w:rsidRDefault="00F332DA" w:rsidP="00C36A6E">
            <w:pPr>
              <w:spacing w:after="200"/>
              <w:ind w:left="1440"/>
              <w:rPr>
                <w:szCs w:val="24"/>
              </w:rPr>
            </w:pPr>
            <w:r w:rsidRPr="00BD76AF">
              <w:rPr>
                <w:szCs w:val="24"/>
              </w:rPr>
              <w:t>L’Entrepreneur doit prendre, à tout moment, les précautions nécessaires pour protéger le personnel de l’Entrepreneur employé sur le Site contre les insectes et animaux nuisibles, et pour réduire le risque pour sa santé. L’Entrepreneur doit se conformer à toutes les réglementations des autorités sanitaires locales, y compris en ce qui concerne l’utilisation d’insecticides appropriés.</w:t>
            </w:r>
          </w:p>
          <w:p w14:paraId="657D3C7C" w14:textId="77777777" w:rsidR="00F332DA" w:rsidRPr="00BD76AF" w:rsidRDefault="00F332DA" w:rsidP="0079334B">
            <w:pPr>
              <w:ind w:left="1440" w:hanging="839"/>
              <w:rPr>
                <w:szCs w:val="24"/>
              </w:rPr>
            </w:pPr>
            <w:r w:rsidRPr="00BD76AF">
              <w:rPr>
                <w:szCs w:val="24"/>
              </w:rPr>
              <w:t>22.4.14</w:t>
            </w:r>
            <w:r w:rsidRPr="00BD76AF">
              <w:rPr>
                <w:szCs w:val="24"/>
                <w:lang w:eastAsia="ja-JP"/>
              </w:rPr>
              <w:tab/>
            </w:r>
            <w:r w:rsidRPr="00BD76AF">
              <w:rPr>
                <w:szCs w:val="24"/>
                <w:u w:val="single"/>
              </w:rPr>
              <w:t>Boissons alcooliques et narcotiques</w:t>
            </w:r>
          </w:p>
          <w:p w14:paraId="108640BC" w14:textId="77777777" w:rsidR="00F332DA" w:rsidRPr="00BD76AF" w:rsidRDefault="00F332DA" w:rsidP="00C36A6E">
            <w:pPr>
              <w:spacing w:after="200"/>
              <w:ind w:left="1440"/>
              <w:rPr>
                <w:szCs w:val="24"/>
              </w:rPr>
            </w:pPr>
            <w:r w:rsidRPr="00BD76AF">
              <w:rPr>
                <w:szCs w:val="24"/>
              </w:rPr>
              <w:t>L’Entrepreneur ne doit pas, en dehors des cas autorisés par les lois du pays, importer, vendre, donner, faire le troc ou autrement céder des boissons alcooliques ou des narcotiques, ou permettre l’importation, la vente, le don, l’échange ou la cession de ceux-ci par le personnel de l’Entrepreneur.</w:t>
            </w:r>
          </w:p>
          <w:p w14:paraId="096E1E0E" w14:textId="77777777" w:rsidR="00F332DA" w:rsidRPr="00BD76AF" w:rsidRDefault="00F332DA" w:rsidP="0079334B">
            <w:pPr>
              <w:ind w:left="1440" w:hanging="839"/>
              <w:rPr>
                <w:szCs w:val="24"/>
              </w:rPr>
            </w:pPr>
            <w:r w:rsidRPr="00BD76AF">
              <w:rPr>
                <w:szCs w:val="24"/>
              </w:rPr>
              <w:t>22.4.15</w:t>
            </w:r>
            <w:r w:rsidRPr="00BD76AF">
              <w:rPr>
                <w:szCs w:val="24"/>
                <w:lang w:eastAsia="ja-JP"/>
              </w:rPr>
              <w:tab/>
            </w:r>
            <w:r w:rsidRPr="00BD76AF">
              <w:rPr>
                <w:szCs w:val="24"/>
                <w:u w:val="single"/>
              </w:rPr>
              <w:t>Armes et munitions</w:t>
            </w:r>
          </w:p>
          <w:p w14:paraId="6083A393" w14:textId="77777777" w:rsidR="00F332DA" w:rsidRPr="00BD76AF" w:rsidRDefault="00F332DA" w:rsidP="00C36A6E">
            <w:pPr>
              <w:spacing w:after="200"/>
              <w:ind w:left="1440"/>
              <w:rPr>
                <w:szCs w:val="24"/>
              </w:rPr>
            </w:pPr>
            <w:r w:rsidRPr="00BD76AF">
              <w:rPr>
                <w:szCs w:val="24"/>
              </w:rPr>
              <w:t>L’Entrepreneur ne doit donner, faire le troc ou autrement céder aucune arme ou munition de quelque sorte que ce soir, pour quiconque, ou permettre au personnel de l’Entrepreneur d’en faire autant.</w:t>
            </w:r>
          </w:p>
          <w:p w14:paraId="352729DA" w14:textId="77777777" w:rsidR="00F332DA" w:rsidRPr="00BD76AF" w:rsidRDefault="00F332DA" w:rsidP="0079334B">
            <w:pPr>
              <w:ind w:left="1440" w:hanging="839"/>
              <w:rPr>
                <w:szCs w:val="24"/>
                <w:lang w:eastAsia="ja-JP"/>
              </w:rPr>
            </w:pPr>
            <w:r w:rsidRPr="00BD76AF">
              <w:rPr>
                <w:szCs w:val="24"/>
              </w:rPr>
              <w:t>22.4.16</w:t>
            </w:r>
            <w:r w:rsidRPr="00BD76AF">
              <w:rPr>
                <w:szCs w:val="24"/>
                <w:lang w:eastAsia="ja-JP"/>
              </w:rPr>
              <w:tab/>
            </w:r>
            <w:r w:rsidRPr="00BD76AF">
              <w:rPr>
                <w:szCs w:val="24"/>
                <w:u w:val="single"/>
                <w:lang w:eastAsia="ja-JP"/>
              </w:rPr>
              <w:t>Fêtes et coutumes religieuses</w:t>
            </w:r>
            <w:r w:rsidRPr="00BD76AF">
              <w:rPr>
                <w:szCs w:val="24"/>
                <w:lang w:eastAsia="ja-JP"/>
              </w:rPr>
              <w:t xml:space="preserve"> </w:t>
            </w:r>
          </w:p>
          <w:p w14:paraId="3A7D55CE" w14:textId="77777777" w:rsidR="00F332DA" w:rsidRPr="00BD76AF" w:rsidRDefault="00F332DA" w:rsidP="00C36A6E">
            <w:pPr>
              <w:spacing w:after="200"/>
              <w:ind w:left="1440"/>
              <w:rPr>
                <w:spacing w:val="-3"/>
                <w:szCs w:val="24"/>
              </w:rPr>
            </w:pPr>
            <w:r w:rsidRPr="00BD76AF">
              <w:rPr>
                <w:spacing w:val="-3"/>
                <w:szCs w:val="24"/>
              </w:rPr>
              <w:t>L’Entrepreneur doit respecter les fêtes, les jours de repos, ainsi que les coutumes, religieuses ou autres, en vigueur dans le pays</w:t>
            </w:r>
            <w:r w:rsidRPr="00BD76AF">
              <w:rPr>
                <w:szCs w:val="24"/>
                <w:lang w:eastAsia="ja-JP"/>
              </w:rPr>
              <w:t xml:space="preserve"> où se trouve le Site</w:t>
            </w:r>
            <w:r w:rsidRPr="00BD76AF">
              <w:rPr>
                <w:spacing w:val="-3"/>
                <w:szCs w:val="24"/>
              </w:rPr>
              <w:t xml:space="preserve">. </w:t>
            </w:r>
          </w:p>
          <w:p w14:paraId="75518FDB" w14:textId="77777777" w:rsidR="00F332DA" w:rsidRPr="00BD76AF" w:rsidRDefault="00F332DA" w:rsidP="0079334B">
            <w:pPr>
              <w:ind w:left="1440" w:hanging="839"/>
              <w:rPr>
                <w:szCs w:val="24"/>
                <w:u w:val="single"/>
                <w:lang w:eastAsia="ja-JP"/>
              </w:rPr>
            </w:pPr>
            <w:r w:rsidRPr="00BD76AF">
              <w:rPr>
                <w:szCs w:val="24"/>
              </w:rPr>
              <w:t>22.4.17</w:t>
            </w:r>
            <w:r w:rsidRPr="00BD76AF">
              <w:rPr>
                <w:szCs w:val="24"/>
                <w:lang w:eastAsia="ja-JP"/>
              </w:rPr>
              <w:tab/>
            </w:r>
            <w:r w:rsidRPr="00BD76AF">
              <w:rPr>
                <w:szCs w:val="24"/>
                <w:u w:val="single"/>
                <w:lang w:eastAsia="ja-JP"/>
              </w:rPr>
              <w:t>Préparatifs funéraires</w:t>
            </w:r>
          </w:p>
          <w:p w14:paraId="5508C476" w14:textId="77777777" w:rsidR="00F332DA" w:rsidRPr="00BD76AF" w:rsidRDefault="00F332DA" w:rsidP="00C36A6E">
            <w:pPr>
              <w:spacing w:after="200"/>
              <w:ind w:left="1440"/>
              <w:rPr>
                <w:spacing w:val="-3"/>
                <w:szCs w:val="24"/>
              </w:rPr>
            </w:pPr>
            <w:r w:rsidRPr="00BD76AF">
              <w:rPr>
                <w:spacing w:val="-3"/>
                <w:szCs w:val="24"/>
              </w:rPr>
              <w:t>L’Entrepreneur est responsable, dans le respect des réglementations locales, de l’organisation des obsèques de quiconque de ses préposés locaux pourrait décéder alors qu’il est employé à l’exécution des travaux des Installations.</w:t>
            </w:r>
          </w:p>
          <w:p w14:paraId="4C65BF1A" w14:textId="77777777" w:rsidR="00F332DA" w:rsidRPr="00BD76AF" w:rsidRDefault="00F332DA" w:rsidP="0079334B">
            <w:pPr>
              <w:ind w:left="1440" w:hanging="839"/>
              <w:rPr>
                <w:spacing w:val="-3"/>
                <w:szCs w:val="24"/>
              </w:rPr>
            </w:pPr>
            <w:r w:rsidRPr="00BD76AF">
              <w:rPr>
                <w:szCs w:val="24"/>
              </w:rPr>
              <w:t>22.4.18</w:t>
            </w:r>
            <w:r w:rsidRPr="00BD76AF">
              <w:rPr>
                <w:szCs w:val="24"/>
                <w:lang w:eastAsia="ja-JP"/>
              </w:rPr>
              <w:tab/>
            </w:r>
            <w:r w:rsidRPr="00BD76AF">
              <w:rPr>
                <w:spacing w:val="-3"/>
                <w:szCs w:val="24"/>
                <w:u w:val="single"/>
              </w:rPr>
              <w:t>T</w:t>
            </w:r>
            <w:r w:rsidRPr="00BD76AF">
              <w:rPr>
                <w:szCs w:val="24"/>
                <w:u w:val="single"/>
              </w:rPr>
              <w:t>ravail forcé</w:t>
            </w:r>
          </w:p>
          <w:p w14:paraId="76613949" w14:textId="77777777" w:rsidR="00F332DA" w:rsidRPr="00BD76AF" w:rsidRDefault="00F332DA" w:rsidP="00C36A6E">
            <w:pPr>
              <w:spacing w:after="200"/>
              <w:ind w:left="1440"/>
              <w:rPr>
                <w:spacing w:val="-3"/>
                <w:szCs w:val="24"/>
              </w:rPr>
            </w:pPr>
            <w:r w:rsidRPr="00BD76AF">
              <w:rPr>
                <w:spacing w:val="-3"/>
                <w:szCs w:val="24"/>
              </w:rPr>
              <w:t>L</w:t>
            </w:r>
            <w:r w:rsidRPr="00BD76AF">
              <w:rPr>
                <w:szCs w:val="24"/>
              </w:rPr>
              <w:t>’Entrepreneur</w:t>
            </w:r>
            <w:r w:rsidRPr="00BD76AF">
              <w:rPr>
                <w:spacing w:val="-3"/>
                <w:szCs w:val="24"/>
              </w:rPr>
              <w:t xml:space="preserve"> ne doit pas recourir au </w:t>
            </w:r>
            <w:r w:rsidRPr="00BD76AF">
              <w:rPr>
                <w:szCs w:val="24"/>
              </w:rPr>
              <w:t>travail</w:t>
            </w:r>
            <w:r w:rsidRPr="00BD76AF">
              <w:rPr>
                <w:spacing w:val="-3"/>
                <w:szCs w:val="24"/>
              </w:rPr>
              <w:t xml:space="preserve"> forcé, lequel consiste en tout travail ou service réalisé de manière non volontaire et qui est obtenu d’un individu sous la menace de la force ou d’une sanction, et inclut toute sorte de travail non volontaire ou obligatoire, tel que le travail en servitude, le travail non rémunéré (pour le compte d’un créancier), ou tout travail effectué sous des dispositions similaires.</w:t>
            </w:r>
          </w:p>
          <w:p w14:paraId="0ADF947E" w14:textId="77777777" w:rsidR="00F332DA" w:rsidRPr="00BD76AF" w:rsidRDefault="00F332DA" w:rsidP="0079334B">
            <w:pPr>
              <w:ind w:left="1440" w:hanging="839"/>
              <w:rPr>
                <w:szCs w:val="24"/>
              </w:rPr>
            </w:pPr>
            <w:r w:rsidRPr="00BD76AF">
              <w:rPr>
                <w:szCs w:val="24"/>
              </w:rPr>
              <w:t>22.4.1</w:t>
            </w:r>
            <w:r w:rsidRPr="00BD76AF">
              <w:rPr>
                <w:szCs w:val="24"/>
                <w:lang w:eastAsia="ja-JP"/>
              </w:rPr>
              <w:t>9</w:t>
            </w:r>
            <w:r w:rsidRPr="00BD76AF">
              <w:rPr>
                <w:szCs w:val="24"/>
                <w:lang w:eastAsia="ja-JP"/>
              </w:rPr>
              <w:tab/>
            </w:r>
            <w:r w:rsidRPr="00BD76AF">
              <w:rPr>
                <w:szCs w:val="24"/>
                <w:u w:val="single"/>
              </w:rPr>
              <w:t>Travail des enfants</w:t>
            </w:r>
            <w:r w:rsidRPr="00BD76AF">
              <w:rPr>
                <w:szCs w:val="24"/>
              </w:rPr>
              <w:t xml:space="preserve"> </w:t>
            </w:r>
          </w:p>
          <w:p w14:paraId="3E5059B3" w14:textId="77777777" w:rsidR="00F332DA" w:rsidRPr="00BD76AF" w:rsidRDefault="00F332DA" w:rsidP="00C36A6E">
            <w:pPr>
              <w:spacing w:after="200"/>
              <w:ind w:left="1440"/>
              <w:rPr>
                <w:szCs w:val="24"/>
              </w:rPr>
            </w:pPr>
            <w:r w:rsidRPr="00BD76AF">
              <w:rPr>
                <w:szCs w:val="24"/>
              </w:rPr>
              <w:t xml:space="preserve">L’Entrepreneur ne doit pas employer des enfants d’une manière qui soit assimilable à une exploitation économique, ou qui soit susceptible d’être dangereuse, ou qui interfère avec l’éducation de l’enfant, ou qui soit dommageable à la santé de l’enfant ou à son développement physique, mental, spirituel, moral ou social. Lorsqu’il existe des dispositions pour l’emploi de mineurs dans les lois du pays </w:t>
            </w:r>
            <w:r w:rsidRPr="00BD76AF">
              <w:rPr>
                <w:szCs w:val="24"/>
                <w:lang w:eastAsia="ja-JP"/>
              </w:rPr>
              <w:t>où se trouve le Site</w:t>
            </w:r>
            <w:r w:rsidRPr="00BD76AF">
              <w:rPr>
                <w:szCs w:val="24"/>
              </w:rPr>
              <w:t xml:space="preserve"> relatives au droit du travail, l’Entrepreneur doit respecter ces lois qui lui sont applicables. Les enfants âgés de moins de 18 ans ne doivent pas être employés pour un travail dangereux.</w:t>
            </w:r>
          </w:p>
          <w:p w14:paraId="2B8DFD26" w14:textId="77777777" w:rsidR="00F332DA" w:rsidRPr="00BD76AF" w:rsidRDefault="00F332DA" w:rsidP="0079334B">
            <w:pPr>
              <w:ind w:left="1440" w:hanging="839"/>
              <w:rPr>
                <w:szCs w:val="24"/>
              </w:rPr>
            </w:pPr>
            <w:r w:rsidRPr="00BD76AF">
              <w:rPr>
                <w:szCs w:val="24"/>
              </w:rPr>
              <w:t>22.4.20</w:t>
            </w:r>
            <w:r w:rsidRPr="00BD76AF">
              <w:rPr>
                <w:szCs w:val="24"/>
                <w:lang w:eastAsia="ja-JP"/>
              </w:rPr>
              <w:tab/>
            </w:r>
            <w:r w:rsidRPr="00BD76AF">
              <w:rPr>
                <w:szCs w:val="24"/>
                <w:u w:val="single"/>
              </w:rPr>
              <w:t>Registres sur l’emploi des ouvriers</w:t>
            </w:r>
          </w:p>
          <w:p w14:paraId="01355B79" w14:textId="77777777" w:rsidR="00F332DA" w:rsidRPr="00BD76AF" w:rsidRDefault="00F332DA" w:rsidP="00E7415F">
            <w:pPr>
              <w:spacing w:after="200"/>
              <w:ind w:left="1440"/>
              <w:rPr>
                <w:szCs w:val="24"/>
              </w:rPr>
            </w:pPr>
            <w:r w:rsidRPr="00BD76AF">
              <w:rPr>
                <w:szCs w:val="24"/>
              </w:rPr>
              <w:t>L’Entrepreneur doit tenir des registres complets et précis sur l’emploi de la main d’</w:t>
            </w:r>
            <w:r w:rsidRPr="00BD76AF">
              <w:rPr>
                <w:rFonts w:hint="eastAsia"/>
                <w:szCs w:val="24"/>
              </w:rPr>
              <w:t>œ</w:t>
            </w:r>
            <w:r w:rsidRPr="00BD76AF">
              <w:rPr>
                <w:szCs w:val="24"/>
              </w:rPr>
              <w:t>uvre sur le Site. Les registres doivent inclure les noms, âges, le sexe, nombre d’heures travaillées et salaires payés de tous les ouvriers. Ces registres seront résumés mensuellement et soumis au Directeur de projet. Ces registres doivent être inclus dans les données présentées par l’Entrepreneur conformément à l’Article 22.4.8 (</w:t>
            </w:r>
            <w:r w:rsidRPr="00BD76AF">
              <w:rPr>
                <w:i/>
                <w:szCs w:val="24"/>
              </w:rPr>
              <w:t>Registres du personnel de l’Entrepreneur</w:t>
            </w:r>
            <w:r w:rsidRPr="00BD76AF">
              <w:rPr>
                <w:szCs w:val="24"/>
              </w:rPr>
              <w:t>) des CG.</w:t>
            </w:r>
          </w:p>
          <w:p w14:paraId="7702DB10" w14:textId="77777777" w:rsidR="00F332DA" w:rsidRPr="00BD76AF" w:rsidRDefault="00F332DA" w:rsidP="0079334B">
            <w:pPr>
              <w:ind w:left="1440" w:hanging="839"/>
              <w:rPr>
                <w:szCs w:val="24"/>
                <w:u w:val="single"/>
              </w:rPr>
            </w:pPr>
            <w:r w:rsidRPr="00BD76AF">
              <w:rPr>
                <w:szCs w:val="24"/>
              </w:rPr>
              <w:t>22.4.21</w:t>
            </w:r>
            <w:r w:rsidRPr="00BD76AF">
              <w:rPr>
                <w:szCs w:val="24"/>
                <w:lang w:eastAsia="ja-JP"/>
              </w:rPr>
              <w:tab/>
            </w:r>
            <w:r w:rsidRPr="00BD76AF">
              <w:rPr>
                <w:szCs w:val="24"/>
                <w:u w:val="single"/>
              </w:rPr>
              <w:t>Organisations de travailleurs</w:t>
            </w:r>
          </w:p>
          <w:p w14:paraId="439AF82A" w14:textId="77777777" w:rsidR="00F332DA" w:rsidRPr="00BD76AF" w:rsidRDefault="00F332DA" w:rsidP="00E7415F">
            <w:pPr>
              <w:spacing w:after="200"/>
              <w:ind w:left="1440"/>
              <w:rPr>
                <w:szCs w:val="24"/>
              </w:rPr>
            </w:pPr>
            <w:r w:rsidRPr="00BD76AF">
              <w:rPr>
                <w:szCs w:val="24"/>
              </w:rPr>
              <w:t>Dans les pays où les lois relatives au droit du travail reconnaissent les droits des travailleurs à créer et rejoindre les organisations de travailleurs de leur choix sans interférence et à négocier de manière collective, l’Entrepreneur doit se conformer à ces lois. Lorsque les lois relatives au droit du travail limitent notablement les organisations de travailleurs, l’Entrepreneur doit assurer au personnel de l’Entrepreneur des moyens alternatifs pour exprimer leurs griefs et protéger leurs droits quant aux conditions de travail et modalités d’emploi. Dans chaque cas décrit ci-dessus, et lorsque les lois relatives au droit du travail sont silencieuses, l’Entrepreneur ne doit pas décourager le personnel de l’Entrepreneur de créer ou rejoindre les organisations de travailleurs de leur choix, ou de négocier de manière collective, et ne doit pas discriminer ou user de représailles contre le personnel de l’Entrepreneur qui participe ou cherche à participer à de telles organisations et à négocier de manière collective. L’Entrepreneur doit dialoguer avec les représentants des travailleurs. Les organisations de travailleurs sont supposées représenter de manière juste les travailleurs dans la population active.</w:t>
            </w:r>
          </w:p>
          <w:p w14:paraId="2B2F324F" w14:textId="77777777" w:rsidR="00F332DA" w:rsidRPr="00BD76AF" w:rsidRDefault="00F332DA" w:rsidP="0079334B">
            <w:pPr>
              <w:ind w:left="1440" w:hanging="839"/>
              <w:rPr>
                <w:szCs w:val="24"/>
              </w:rPr>
            </w:pPr>
            <w:r w:rsidRPr="00BD76AF">
              <w:rPr>
                <w:szCs w:val="24"/>
              </w:rPr>
              <w:t>22.4.22</w:t>
            </w:r>
            <w:r w:rsidRPr="00BD76AF">
              <w:rPr>
                <w:szCs w:val="24"/>
                <w:lang w:eastAsia="ja-JP"/>
              </w:rPr>
              <w:tab/>
            </w:r>
            <w:r w:rsidRPr="00BD76AF">
              <w:rPr>
                <w:szCs w:val="24"/>
                <w:u w:val="single"/>
              </w:rPr>
              <w:t>Non-discrimination et égalité des chances</w:t>
            </w:r>
          </w:p>
          <w:p w14:paraId="4CA9CC60" w14:textId="77777777" w:rsidR="00F332DA" w:rsidRPr="00BD76AF" w:rsidRDefault="00F332DA" w:rsidP="00E7415F">
            <w:pPr>
              <w:spacing w:after="200"/>
              <w:ind w:left="1440"/>
              <w:rPr>
                <w:szCs w:val="24"/>
              </w:rPr>
            </w:pPr>
            <w:r w:rsidRPr="00BD76AF">
              <w:rPr>
                <w:szCs w:val="24"/>
              </w:rPr>
              <w:t>L’Entrepreneur ne doit pas prendre de décision relative à un emploi sur la base de caractéristiques personnelles qui sont sans relation avec les exigences intrinsèques du travail. L’Entrepreneur doit baser la relation de travail sur le principe de l’égalit</w:t>
            </w:r>
            <w:r w:rsidRPr="00BD76AF">
              <w:rPr>
                <w:rFonts w:hint="eastAsia"/>
                <w:szCs w:val="24"/>
              </w:rPr>
              <w:t>é</w:t>
            </w:r>
            <w:r w:rsidRPr="00BD76AF">
              <w:rPr>
                <w:szCs w:val="24"/>
              </w:rPr>
              <w:t xml:space="preserve"> des chances et d’un traitement équitable, et ne doit pas faire de discrimination dans la relation de travail, y compris le recrutement et l’embauche, la rémunération (incluant salaire et avantages), les conditions de travail et les modalités de l’emploi, l’accès à la formation, la promotion, le licenciement ou le départ à la retraite, et la discipline. Dans les pays où les lois relatives au droit du travail ont des dispositions visant à la non-discrimination à l’emploi, l’Entrepreneur doit se conformer à ces lois. Lorsque les lois relatives au droit du travail sont silencieuses en ce qui concerne la non-discrimination à l’emploi, l’Entrepreneur doit remplir les conditions de cet Article. Des mesures spéciales de protection ou d’aide pour remédier à une discrimination passée, ou une sélection pour un emploi particulier basée sur les exigences inhérentes à cet emploi, ne sont pas considérées comme une discrimination.</w:t>
            </w:r>
          </w:p>
          <w:p w14:paraId="29126A40" w14:textId="77777777" w:rsidR="00F332DA" w:rsidRPr="00BD76AF" w:rsidRDefault="00F332DA" w:rsidP="005629D3">
            <w:pPr>
              <w:spacing w:afterLines="50" w:after="120"/>
              <w:ind w:left="601" w:hanging="601"/>
              <w:rPr>
                <w:szCs w:val="24"/>
              </w:rPr>
            </w:pPr>
            <w:r w:rsidRPr="00BD76AF">
              <w:rPr>
                <w:szCs w:val="24"/>
              </w:rPr>
              <w:t>22.5</w:t>
            </w:r>
            <w:r w:rsidRPr="00BD76AF">
              <w:rPr>
                <w:szCs w:val="24"/>
              </w:rPr>
              <w:tab/>
            </w:r>
            <w:r w:rsidRPr="00BD76AF">
              <w:rPr>
                <w:szCs w:val="24"/>
                <w:u w:val="single"/>
              </w:rPr>
              <w:t>Équipements de l’Entrepreneur</w:t>
            </w:r>
          </w:p>
          <w:p w14:paraId="4282D7E4" w14:textId="77777777" w:rsidR="00F332DA" w:rsidRPr="00BD76AF" w:rsidRDefault="00F332DA" w:rsidP="00E7415F">
            <w:pPr>
              <w:spacing w:after="200"/>
              <w:ind w:left="1440" w:hanging="839"/>
              <w:rPr>
                <w:szCs w:val="24"/>
              </w:rPr>
            </w:pPr>
            <w:r w:rsidRPr="00BD76AF">
              <w:rPr>
                <w:szCs w:val="24"/>
              </w:rPr>
              <w:t>22.5.1</w:t>
            </w:r>
            <w:r w:rsidRPr="00BD76AF">
              <w:rPr>
                <w:szCs w:val="24"/>
              </w:rPr>
              <w:tab/>
              <w:t>Tous les Équipements de l’Entrepreneur amenés par l’Entrepreneur sur le Site seront réputés être exclusivement destinés à l’exécution du Marché.  L’Entrepreneur ne doit pas les enlever du Site sans que le Directeur de projet n’ait reconnu au préalable que ces Équipements de l’Entrepreneur ne sont plus nécessaires à l’exécution du Marché.</w:t>
            </w:r>
          </w:p>
          <w:p w14:paraId="30A119F9" w14:textId="77777777" w:rsidR="00F332DA" w:rsidRPr="00BD76AF" w:rsidRDefault="00F332DA" w:rsidP="00E7415F">
            <w:pPr>
              <w:spacing w:after="200"/>
              <w:ind w:left="1440" w:hanging="839"/>
              <w:rPr>
                <w:szCs w:val="24"/>
              </w:rPr>
            </w:pPr>
            <w:r w:rsidRPr="00BD76AF">
              <w:rPr>
                <w:szCs w:val="24"/>
              </w:rPr>
              <w:t>22.5.2</w:t>
            </w:r>
            <w:r w:rsidRPr="00BD76AF">
              <w:rPr>
                <w:szCs w:val="24"/>
              </w:rPr>
              <w:tab/>
              <w:t>L’Entrepreneur doit enlever du Site tous les Équipements de l’Entrepreneur qu’il aura apportés sur le Site, ainsi que tous les surplus de matériaux, suite à l’achèvement des Installations.</w:t>
            </w:r>
            <w:r w:rsidRPr="00BD76AF">
              <w:t xml:space="preserve"> </w:t>
            </w:r>
            <w:r w:rsidRPr="00BD76AF">
              <w:rPr>
                <w:szCs w:val="24"/>
              </w:rPr>
              <w:t>Toutefois, l’Entrepreneur peut conserver sur le Site, pendant la Période de garantie, les Équipements de l’Entrepreneur nécessaires à l’Entrepreneur pour remplir ses obligations conformément au Marché.</w:t>
            </w:r>
          </w:p>
          <w:p w14:paraId="2F6E3E9F" w14:textId="77777777" w:rsidR="00F332DA" w:rsidRPr="00BD76AF" w:rsidRDefault="00F332DA" w:rsidP="00E7415F">
            <w:pPr>
              <w:spacing w:after="200"/>
              <w:ind w:left="1440" w:hanging="839"/>
              <w:rPr>
                <w:szCs w:val="24"/>
              </w:rPr>
            </w:pPr>
            <w:r w:rsidRPr="00BD76AF">
              <w:rPr>
                <w:szCs w:val="24"/>
              </w:rPr>
              <w:t>22.5.3</w:t>
            </w:r>
            <w:r w:rsidRPr="00BD76AF">
              <w:rPr>
                <w:szCs w:val="24"/>
              </w:rPr>
              <w:tab/>
              <w:t>Si l’Entrepreneur le lui demande, le Maître d’ouvrage doit faire son possible pour aider l’Entrepreneur à obtenir toutes les autorisations administratives locales, régionales ou nationales nécessaires à l’Entrepreneur afin d’exporter les Équipements de l’Entrepreneur importés pour l’exécution du Marché, qui ne sont plus nécessaires à cette exécution.</w:t>
            </w:r>
          </w:p>
          <w:p w14:paraId="33653972" w14:textId="77777777" w:rsidR="00F332DA" w:rsidRPr="00BD76AF" w:rsidRDefault="00F332DA" w:rsidP="00E7415F">
            <w:pPr>
              <w:spacing w:after="200"/>
              <w:ind w:left="1440" w:hanging="839"/>
              <w:rPr>
                <w:szCs w:val="24"/>
                <w:lang w:eastAsia="ja-JP"/>
              </w:rPr>
            </w:pPr>
            <w:r w:rsidRPr="00BD76AF">
              <w:rPr>
                <w:szCs w:val="24"/>
              </w:rPr>
              <w:t>22.5.4</w:t>
            </w:r>
            <w:r w:rsidRPr="00BD76AF">
              <w:rPr>
                <w:szCs w:val="24"/>
              </w:rPr>
              <w:tab/>
              <w:t>L’Entrepreneur doit tenir des registres précis sur le nombre de chaque type d’Équipement de l’Entrepreneur sur le Site. Ces registres seront résumés mensuellement sous une forme approuvée par le Directeur de projet et seront disponibles pour inspection par le Directeur de projet jusqu’à l’achèvement de tous les travaux par l’Entrepreneur.</w:t>
            </w:r>
          </w:p>
          <w:p w14:paraId="4D59A287" w14:textId="77777777" w:rsidR="00F332DA" w:rsidRPr="00BD76AF" w:rsidRDefault="00F332DA" w:rsidP="001C2201">
            <w:pPr>
              <w:spacing w:afterLines="50" w:after="120"/>
              <w:ind w:left="601" w:hanging="601"/>
              <w:rPr>
                <w:szCs w:val="24"/>
              </w:rPr>
            </w:pPr>
            <w:r w:rsidRPr="00BD76AF">
              <w:rPr>
                <w:szCs w:val="24"/>
              </w:rPr>
              <w:t>22.6</w:t>
            </w:r>
            <w:r w:rsidRPr="00BD76AF">
              <w:rPr>
                <w:szCs w:val="24"/>
              </w:rPr>
              <w:tab/>
            </w:r>
            <w:r w:rsidRPr="00BD76AF">
              <w:rPr>
                <w:szCs w:val="24"/>
                <w:u w:val="single"/>
              </w:rPr>
              <w:t>Règlement de chantier et sécurité du Site</w:t>
            </w:r>
          </w:p>
          <w:p w14:paraId="02BD0644" w14:textId="77777777" w:rsidR="00F332DA" w:rsidRPr="00BD76AF" w:rsidRDefault="00F332DA" w:rsidP="005745EC">
            <w:pPr>
              <w:spacing w:afterLines="50" w:after="120"/>
              <w:ind w:left="601"/>
              <w:rPr>
                <w:szCs w:val="24"/>
              </w:rPr>
            </w:pPr>
            <w:r w:rsidRPr="00BD76AF">
              <w:rPr>
                <w:szCs w:val="24"/>
              </w:rPr>
              <w:t xml:space="preserve">L’Entrepreneur doit établir un règlement de chantier décrivant les règles à observer dans l’exécution du Marché sur le Site, et auxquelles il devra se conformer. L’Entrepreneur doit préparer et soumettre pour approbation au Maître d’ouvrage, avec copie au Directeur de projet, un projet de règlement de chantier, étant entendu que cette approbation ne doit pas lui être refusée sans raison. </w:t>
            </w:r>
          </w:p>
          <w:p w14:paraId="28A5FD6D" w14:textId="77777777" w:rsidR="00F332DA" w:rsidRPr="00BD76AF" w:rsidRDefault="00F332DA" w:rsidP="00E7415F">
            <w:pPr>
              <w:spacing w:after="200"/>
              <w:ind w:left="601"/>
              <w:rPr>
                <w:szCs w:val="24"/>
              </w:rPr>
            </w:pPr>
            <w:r w:rsidRPr="00BD76AF">
              <w:rPr>
                <w:szCs w:val="24"/>
              </w:rPr>
              <w:t xml:space="preserve">Ce règlement de chantier doit comprendre, sans s’y limiter, des règles en matière de sécurité générale, sécurité </w:t>
            </w:r>
            <w:r w:rsidRPr="00BD76AF">
              <w:t>des</w:t>
            </w:r>
            <w:r w:rsidRPr="00BD76AF">
              <w:rPr>
                <w:szCs w:val="24"/>
              </w:rPr>
              <w:t xml:space="preserve"> Installations, contrôle des accès au Site, hygiène, soins médicaux et prévention-incendie.</w:t>
            </w:r>
          </w:p>
          <w:p w14:paraId="02F80436" w14:textId="77777777" w:rsidR="00F332DA" w:rsidRPr="00BD76AF" w:rsidRDefault="00F332DA" w:rsidP="001C2201">
            <w:pPr>
              <w:spacing w:afterLines="50" w:after="120"/>
              <w:ind w:left="601" w:hanging="601"/>
              <w:rPr>
                <w:szCs w:val="24"/>
              </w:rPr>
            </w:pPr>
            <w:r w:rsidRPr="00BD76AF">
              <w:rPr>
                <w:szCs w:val="24"/>
              </w:rPr>
              <w:t>22.7</w:t>
            </w:r>
            <w:r w:rsidRPr="00BD76AF">
              <w:rPr>
                <w:szCs w:val="24"/>
              </w:rPr>
              <w:tab/>
            </w:r>
            <w:r w:rsidRPr="00BD76AF">
              <w:rPr>
                <w:szCs w:val="24"/>
                <w:u w:val="single"/>
              </w:rPr>
              <w:t>Opportunités pour d’autres entrepreneurs</w:t>
            </w:r>
          </w:p>
          <w:p w14:paraId="7FC64C47" w14:textId="77777777" w:rsidR="00F332DA" w:rsidRPr="00BD76AF" w:rsidRDefault="00F332DA" w:rsidP="00E7415F">
            <w:pPr>
              <w:spacing w:after="200"/>
              <w:ind w:left="1440" w:hanging="839"/>
              <w:rPr>
                <w:szCs w:val="24"/>
              </w:rPr>
            </w:pPr>
            <w:r w:rsidRPr="00BD76AF">
              <w:rPr>
                <w:szCs w:val="24"/>
              </w:rPr>
              <w:t>22.7.1</w:t>
            </w:r>
            <w:r w:rsidRPr="00BD76AF">
              <w:rPr>
                <w:szCs w:val="24"/>
              </w:rPr>
              <w:tab/>
              <w:t>Sur demande écrite du Maître d’ouvrage ou du Directeur de projet, et dans la mesure où il peut raisonnablement le faire, l’Entrepreneur doit donner aux autres entrepreneurs engagés par le Maître d’ouvrage, travaillant sur le Site ou à proximité de celui-ci, la possibilité d’exécuter leurs propres travaux.</w:t>
            </w:r>
          </w:p>
          <w:p w14:paraId="756936A1" w14:textId="77777777" w:rsidR="00F332DA" w:rsidRPr="00BD76AF" w:rsidRDefault="00F332DA" w:rsidP="00E7415F">
            <w:pPr>
              <w:spacing w:after="200"/>
              <w:ind w:left="1440" w:hanging="839"/>
              <w:rPr>
                <w:szCs w:val="24"/>
              </w:rPr>
            </w:pPr>
            <w:r w:rsidRPr="00BD76AF">
              <w:rPr>
                <w:szCs w:val="24"/>
              </w:rPr>
              <w:t>22.7.2</w:t>
            </w:r>
            <w:r w:rsidRPr="00BD76AF">
              <w:rPr>
                <w:szCs w:val="24"/>
              </w:rPr>
              <w:tab/>
              <w:t>Si, accédant à une demande écrite du Maître d’ouvrage ou du Directeur de projet, l’Entrepreneur met à la disposition d’autres entrepreneurs des routes ou voies d’accès dont l’entretien est de la responsabilité de l’Entrepreneur, leur permet d’utiliser des Équipements de l’Entrepreneur, ou fournit d’autres prestations de quelque nature que ce soit à ces autres entrepreneurs, le Maître d’ouvrage doit indemniser intégralement l’Entrepreneur de toute perte ou de tout dommage causé ou occasionné par ces autres entrepreneurs, à l’occasion de cette utilisation ou de ces prestations, et il doit payer à l’Entrepreneur une rémunération raisonnable pour l’utilisation de ces équipements ou la fourniture de ces prestations.</w:t>
            </w:r>
          </w:p>
          <w:p w14:paraId="6061B28D" w14:textId="77777777" w:rsidR="00F332DA" w:rsidRPr="00BD76AF" w:rsidRDefault="00F332DA" w:rsidP="00E7415F">
            <w:pPr>
              <w:spacing w:after="200"/>
              <w:ind w:left="1440" w:hanging="839"/>
              <w:rPr>
                <w:szCs w:val="24"/>
              </w:rPr>
            </w:pPr>
            <w:r w:rsidRPr="00BD76AF">
              <w:rPr>
                <w:szCs w:val="24"/>
              </w:rPr>
              <w:t>22.7.3</w:t>
            </w:r>
            <w:r w:rsidRPr="00BD76AF">
              <w:rPr>
                <w:szCs w:val="24"/>
              </w:rPr>
              <w:tab/>
              <w:t>L’Entrepreneur doit également veiller à exécuter ses travaux de manière à gêner le moins possible l’exécution des travaux confiés à d’autres entrepreneurs. Le Directeur de projet tranchera tout différend ou conflit qui pourrait s’élever entre l’Entrepreneur et d’autres entrepreneurs, ou entre l’Entrepreneur et le personnel du Maître d’ouvrage, à propos de l’exécution de leurs travaux.</w:t>
            </w:r>
          </w:p>
          <w:p w14:paraId="1F0BB300" w14:textId="77777777" w:rsidR="00F332DA" w:rsidRPr="00BD76AF" w:rsidRDefault="00F332DA" w:rsidP="00E7415F">
            <w:pPr>
              <w:spacing w:after="200"/>
              <w:ind w:left="1440" w:hanging="839"/>
              <w:rPr>
                <w:szCs w:val="24"/>
              </w:rPr>
            </w:pPr>
            <w:r w:rsidRPr="00BD76AF">
              <w:rPr>
                <w:szCs w:val="24"/>
              </w:rPr>
              <w:t>22.7.4</w:t>
            </w:r>
            <w:r w:rsidRPr="00BD76AF">
              <w:rPr>
                <w:szCs w:val="24"/>
              </w:rPr>
              <w:tab/>
              <w:t>L’Entrepreneur doit notifier sans délai au Directeur de projet les défauts qu’il aura constatés dans les travaux d’autres entrepreneurs et qui pourraient affecter les travaux de l’Entrepreneur. Le Directeur de projet doit déterminer les mesures correctives à prendre, le cas échéant, afin de remédier à cette situation, après inspection des Installations et peut demander une modification en vertu de l’Article 39 des CG pour la mise en œuvre de ces mesures correctives.</w:t>
            </w:r>
          </w:p>
          <w:p w14:paraId="1EDED06F" w14:textId="77777777" w:rsidR="00F332DA" w:rsidRPr="00BD76AF" w:rsidRDefault="00F332DA" w:rsidP="00884351">
            <w:pPr>
              <w:spacing w:afterLines="50" w:after="120"/>
              <w:ind w:left="601" w:hanging="601"/>
              <w:rPr>
                <w:szCs w:val="24"/>
              </w:rPr>
            </w:pPr>
            <w:r w:rsidRPr="00BD76AF">
              <w:rPr>
                <w:szCs w:val="24"/>
              </w:rPr>
              <w:t>22.8</w:t>
            </w:r>
            <w:r w:rsidRPr="00BD76AF">
              <w:rPr>
                <w:szCs w:val="24"/>
              </w:rPr>
              <w:tab/>
            </w:r>
            <w:r w:rsidRPr="00BD76AF">
              <w:rPr>
                <w:szCs w:val="24"/>
                <w:u w:val="single"/>
              </w:rPr>
              <w:t>Travaux d’urgence</w:t>
            </w:r>
          </w:p>
          <w:p w14:paraId="64EEE619" w14:textId="77777777" w:rsidR="00F332DA" w:rsidRPr="00BD76AF" w:rsidRDefault="00F332DA" w:rsidP="005745EC">
            <w:pPr>
              <w:spacing w:afterLines="50" w:after="120"/>
              <w:ind w:left="601"/>
              <w:rPr>
                <w:szCs w:val="24"/>
              </w:rPr>
            </w:pPr>
            <w:r w:rsidRPr="00BD76AF">
              <w:rPr>
                <w:szCs w:val="24"/>
              </w:rPr>
              <w:t>Dans le cas où une situation d’urgence survenant au cours ou à l’occasion de l’exécution du Marché impose d’</w:t>
            </w:r>
            <w:r w:rsidRPr="00BD76AF">
              <w:t>effectuer</w:t>
            </w:r>
            <w:r w:rsidRPr="00BD76AF">
              <w:rPr>
                <w:szCs w:val="24"/>
              </w:rPr>
              <w:t xml:space="preserve"> des travaux de protection ou de réfection en priorité, pour éviter que les Installations soient endommagées, l’Entrepreneur doit immédiatement exécuter ces travaux. </w:t>
            </w:r>
          </w:p>
          <w:p w14:paraId="3BFE3AA1" w14:textId="77777777" w:rsidR="00F332DA" w:rsidRPr="00BD76AF" w:rsidRDefault="00F332DA" w:rsidP="00E7415F">
            <w:pPr>
              <w:spacing w:after="200"/>
              <w:ind w:left="601"/>
              <w:rPr>
                <w:szCs w:val="24"/>
              </w:rPr>
            </w:pPr>
            <w:r w:rsidRPr="00BD76AF">
              <w:rPr>
                <w:szCs w:val="24"/>
              </w:rPr>
              <w:t>Si l’Entrepreneur est dans l’incapacité ou refuse d’</w:t>
            </w:r>
            <w:r w:rsidRPr="00BD76AF">
              <w:t>exécuter</w:t>
            </w:r>
            <w:r w:rsidRPr="00BD76AF">
              <w:rPr>
                <w:szCs w:val="24"/>
              </w:rPr>
              <w:t xml:space="preserve"> ces travaux immédiatement, le Maître d’ouvrage peut exécuter ou faire exécuter les travaux qu’il jugera nécessaires, afin d’empêcher que les Installations soient endommagées. Dans ce cas, dès que possible suite à l’apparition de cette situation d’urgence, le Maître d’ouvrage doit notifier par écrit à l’Entrepreneur cette situation d’urgence, les travaux exécutés et les motifs pour lesquels ils l’ont été. Si les travaux exécutés par ou pour le compte du Maître d’ouvrage constituent des travaux que l’Entrepreneur devait exécuter à ses frais en vertu du Marché, l’Entrepreneur doit payer au Maître d’ouvrage les frais raisonnables engagés par le Maître d’ouvrage pour exécuter ou faire exécuter ces travaux. Dans tous les autres cas, le coût de ces travaux de réparation seront à la charge du Maître d’ouvrage.</w:t>
            </w:r>
          </w:p>
          <w:p w14:paraId="231BFB65" w14:textId="77777777" w:rsidR="00F332DA" w:rsidRPr="00BD76AF" w:rsidRDefault="00F332DA" w:rsidP="00884351">
            <w:pPr>
              <w:spacing w:afterLines="50" w:after="120"/>
              <w:ind w:left="601" w:hanging="601"/>
              <w:rPr>
                <w:szCs w:val="24"/>
              </w:rPr>
            </w:pPr>
            <w:r w:rsidRPr="00BD76AF">
              <w:rPr>
                <w:szCs w:val="24"/>
              </w:rPr>
              <w:t>22.9</w:t>
            </w:r>
            <w:r w:rsidRPr="00BD76AF">
              <w:rPr>
                <w:szCs w:val="24"/>
              </w:rPr>
              <w:tab/>
            </w:r>
            <w:r w:rsidRPr="00BD76AF">
              <w:rPr>
                <w:szCs w:val="24"/>
                <w:u w:val="single"/>
              </w:rPr>
              <w:t>Nettoyage du Site</w:t>
            </w:r>
          </w:p>
          <w:p w14:paraId="0388216B" w14:textId="77777777" w:rsidR="00F332DA" w:rsidRPr="00BD76AF" w:rsidRDefault="00F332DA" w:rsidP="0079334B">
            <w:pPr>
              <w:spacing w:afterLines="50" w:after="120"/>
              <w:ind w:left="601"/>
              <w:rPr>
                <w:szCs w:val="24"/>
              </w:rPr>
            </w:pPr>
            <w:r w:rsidRPr="00BD76AF">
              <w:rPr>
                <w:szCs w:val="24"/>
              </w:rPr>
              <w:t>L’Entrepreneur doit veiller à ce que le Site ne soit pas inutilement obstrué, et doit stocker ou enlever les matériaux en surplus, enlever les déchets et ouvrages provisoires du Site, et enlever tous les Équipements de l’Entrepreneur qui ne sont plus exigés pour l’exécution du Marché.</w:t>
            </w:r>
          </w:p>
          <w:p w14:paraId="1876C38A" w14:textId="77777777" w:rsidR="00F332DA" w:rsidRPr="00BD76AF" w:rsidRDefault="00F332DA" w:rsidP="00E7415F">
            <w:pPr>
              <w:spacing w:after="200"/>
              <w:ind w:left="601"/>
              <w:rPr>
                <w:szCs w:val="24"/>
              </w:rPr>
            </w:pPr>
            <w:r w:rsidRPr="00BD76AF">
              <w:rPr>
                <w:szCs w:val="24"/>
              </w:rPr>
              <w:t>Après l’achèvement complet des Installations ou d’une de leurs Tranches, l’Entrepreneur doit déblayer et enlever du Site (ou de la partie concernée du Site) tous les déchets et débris de toute sorte, et laisser le Site (ou la partie concernée du Site) et les Installations (ou la partie concernée des Installations) en ordre et dans un parfait état de propreté et de sécurité.</w:t>
            </w:r>
          </w:p>
          <w:p w14:paraId="1F384B6B" w14:textId="77777777" w:rsidR="00F332DA" w:rsidRPr="00BD76AF" w:rsidRDefault="00F332DA" w:rsidP="00884351">
            <w:pPr>
              <w:spacing w:afterLines="50" w:after="120"/>
              <w:ind w:left="601" w:hanging="601"/>
              <w:rPr>
                <w:szCs w:val="24"/>
              </w:rPr>
            </w:pPr>
            <w:r w:rsidRPr="00BD76AF">
              <w:rPr>
                <w:szCs w:val="24"/>
              </w:rPr>
              <w:t>22.10</w:t>
            </w:r>
            <w:r w:rsidRPr="00BD76AF">
              <w:rPr>
                <w:szCs w:val="24"/>
              </w:rPr>
              <w:tab/>
            </w:r>
            <w:r w:rsidRPr="00BD76AF">
              <w:rPr>
                <w:szCs w:val="24"/>
                <w:u w:val="single"/>
              </w:rPr>
              <w:t>Gardiennage et éclairage</w:t>
            </w:r>
          </w:p>
          <w:p w14:paraId="4DB209E2" w14:textId="77777777" w:rsidR="00F332DA" w:rsidRPr="00BD76AF" w:rsidRDefault="00F332DA" w:rsidP="00E7415F">
            <w:pPr>
              <w:spacing w:after="200"/>
              <w:ind w:left="601"/>
              <w:rPr>
                <w:szCs w:val="24"/>
              </w:rPr>
            </w:pPr>
            <w:r w:rsidRPr="00BD76AF">
              <w:rPr>
                <w:szCs w:val="24"/>
              </w:rPr>
              <w:t>L’Entrepreneur doit fournir et entretenir à ses propres frais tous les éclairages, clôtures et gardiennage nécessaires à la bonne exécution et la protection des Installations, ou à la sécurité des propriétaires et occupants des immeubles adjacents et à celle du public.</w:t>
            </w:r>
          </w:p>
        </w:tc>
      </w:tr>
      <w:tr w:rsidR="00F332DA" w:rsidRPr="00BD76AF" w14:paraId="71B64C1D" w14:textId="77777777" w:rsidTr="00B97BA4">
        <w:tc>
          <w:tcPr>
            <w:tcW w:w="2352" w:type="dxa"/>
          </w:tcPr>
          <w:p w14:paraId="12E6D98B" w14:textId="77777777" w:rsidR="00F332DA" w:rsidRPr="00BD76AF" w:rsidRDefault="00F332DA" w:rsidP="007C71D1">
            <w:pPr>
              <w:pStyle w:val="S7Header2"/>
              <w:rPr>
                <w:szCs w:val="24"/>
              </w:rPr>
            </w:pPr>
            <w:bookmarkStart w:id="785" w:name="_Toc102050803"/>
            <w:r w:rsidRPr="00BD76AF">
              <w:rPr>
                <w:szCs w:val="24"/>
              </w:rPr>
              <w:t>23.</w:t>
            </w:r>
            <w:r w:rsidRPr="00BD76AF">
              <w:rPr>
                <w:szCs w:val="24"/>
              </w:rPr>
              <w:tab/>
              <w:t>Essais et inspections</w:t>
            </w:r>
            <w:bookmarkEnd w:id="785"/>
          </w:p>
        </w:tc>
        <w:tc>
          <w:tcPr>
            <w:tcW w:w="6936" w:type="dxa"/>
          </w:tcPr>
          <w:p w14:paraId="3D3473AD" w14:textId="77777777" w:rsidR="00F332DA" w:rsidRPr="00BD76AF" w:rsidRDefault="00F332DA" w:rsidP="00E7415F">
            <w:pPr>
              <w:spacing w:after="200"/>
              <w:ind w:left="601" w:hanging="601"/>
              <w:rPr>
                <w:szCs w:val="24"/>
              </w:rPr>
            </w:pPr>
            <w:r w:rsidRPr="00BD76AF">
              <w:rPr>
                <w:szCs w:val="24"/>
              </w:rPr>
              <w:t>23.1</w:t>
            </w:r>
            <w:r w:rsidRPr="00BD76AF">
              <w:rPr>
                <w:szCs w:val="24"/>
              </w:rPr>
              <w:tab/>
              <w:t>L’Entrepreneur doit réaliser à ses propres frais, au lieu de fabrication et/ou sur le Site, tous les essais et/ou inspections des Équipements et de toute partie des Installations, dans les conditions spécifiées par le Marché.</w:t>
            </w:r>
          </w:p>
          <w:p w14:paraId="204686F2" w14:textId="77777777" w:rsidR="00F332DA" w:rsidRPr="00BD76AF" w:rsidRDefault="00F332DA" w:rsidP="00E7415F">
            <w:pPr>
              <w:spacing w:after="200"/>
              <w:ind w:left="601" w:hanging="601"/>
              <w:rPr>
                <w:szCs w:val="24"/>
              </w:rPr>
            </w:pPr>
            <w:r w:rsidRPr="00BD76AF">
              <w:rPr>
                <w:szCs w:val="24"/>
              </w:rPr>
              <w:t>23.2</w:t>
            </w:r>
            <w:r w:rsidRPr="00BD76AF">
              <w:rPr>
                <w:szCs w:val="24"/>
              </w:rPr>
              <w:tab/>
              <w:t>Le Maître d’ouvrage et le Directeur de projet ou leurs représentants désignés seront en droit d’assister aux essais et/ou inspections précités, étant entendu que le Maître d’ouvrage supportera tous les frais et dépenses engagés pour y assister, y compris, mais sans s’y limiter, tous les frais de voyage, de gîte et de couvert.</w:t>
            </w:r>
          </w:p>
          <w:p w14:paraId="4CB3B640" w14:textId="77777777" w:rsidR="00F332DA" w:rsidRPr="00BD76AF" w:rsidRDefault="00F332DA" w:rsidP="00E7415F">
            <w:pPr>
              <w:spacing w:after="200"/>
              <w:ind w:left="601" w:hanging="601"/>
              <w:rPr>
                <w:szCs w:val="24"/>
              </w:rPr>
            </w:pPr>
            <w:r w:rsidRPr="00BD76AF">
              <w:rPr>
                <w:szCs w:val="24"/>
              </w:rPr>
              <w:t>23.3</w:t>
            </w:r>
            <w:r w:rsidRPr="00BD76AF">
              <w:rPr>
                <w:szCs w:val="24"/>
              </w:rPr>
              <w:tab/>
              <w:t>Chaque fois qu’il est prêt à réaliser l’un de ces essais et/ou l’une de ces inspections, l’Entrepreneur doit le notifier au Directeur de projet raisonnablement à l’avance, en lui indiquant le lieu, la date et l’heure de cet essai et/ou de cette inspection.  L’Entrepreneur doit obtenir de tout tiers ou fabricant concerné toutes les autorisations ou les permis nécessaires pour permettre au Maître d’ouvrage et au Directeur de projet ou à leurs représentants désignés d’assister à l’essai et/ou à l’inspection.</w:t>
            </w:r>
          </w:p>
          <w:p w14:paraId="256381E7" w14:textId="77777777" w:rsidR="00F332DA" w:rsidRPr="00BD76AF" w:rsidRDefault="00F332DA" w:rsidP="00E7415F">
            <w:pPr>
              <w:spacing w:after="200"/>
              <w:ind w:left="601" w:hanging="601"/>
              <w:rPr>
                <w:szCs w:val="24"/>
              </w:rPr>
            </w:pPr>
            <w:r w:rsidRPr="00BD76AF">
              <w:rPr>
                <w:szCs w:val="24"/>
              </w:rPr>
              <w:t>23.4</w:t>
            </w:r>
            <w:r w:rsidRPr="00BD76AF">
              <w:rPr>
                <w:szCs w:val="24"/>
              </w:rPr>
              <w:tab/>
              <w:t xml:space="preserve">L’Entrepreneur doit fournir au Directeur de projet un rapport certifié des résultats de chacun de ces essais et/ou inspections. </w:t>
            </w:r>
          </w:p>
          <w:p w14:paraId="757B4DC9" w14:textId="77777777" w:rsidR="00F332DA" w:rsidRPr="00BD76AF" w:rsidRDefault="00F332DA" w:rsidP="00E7415F">
            <w:pPr>
              <w:spacing w:after="200"/>
              <w:ind w:left="601"/>
              <w:rPr>
                <w:szCs w:val="24"/>
              </w:rPr>
            </w:pPr>
            <w:r w:rsidRPr="00BD76AF">
              <w:rPr>
                <w:szCs w:val="24"/>
              </w:rPr>
              <w:t xml:space="preserve">Dans le cas où le Maître d’ouvrage ou le Directeur de projet ou leurs représentants désignés n’assisteraient pas à un essai et/ou à une inspection, ou encore si les Parties </w:t>
            </w:r>
            <w:r w:rsidRPr="00BD76AF">
              <w:t>conviennent</w:t>
            </w:r>
            <w:r w:rsidRPr="00BD76AF">
              <w:rPr>
                <w:szCs w:val="24"/>
              </w:rPr>
              <w:t xml:space="preserve"> qu’ils n’y assisteront pas, l’Entrepreneur peut procéder à l’essai et/ou à l’inspection en l’absence de ces personnes et fournir au Directeur de projet un rapport certifié des résultats de cet essai et/ou de cette inspection.</w:t>
            </w:r>
          </w:p>
          <w:p w14:paraId="1664142E" w14:textId="77777777" w:rsidR="00F332DA" w:rsidRPr="00BD76AF" w:rsidRDefault="00F332DA" w:rsidP="00E7415F">
            <w:pPr>
              <w:spacing w:after="200"/>
              <w:ind w:left="601" w:hanging="601"/>
              <w:rPr>
                <w:szCs w:val="24"/>
              </w:rPr>
            </w:pPr>
            <w:r w:rsidRPr="00BD76AF">
              <w:rPr>
                <w:szCs w:val="24"/>
              </w:rPr>
              <w:t>23.5</w:t>
            </w:r>
            <w:r w:rsidRPr="00BD76AF">
              <w:rPr>
                <w:szCs w:val="24"/>
              </w:rPr>
              <w:tab/>
              <w:t>Le Directeur de projet peut exiger de l’Entrepreneur qu’il réalise des essais et/ou inspections non exigés par le Marché, étant entendu que les coûts et dépenses raisonnables engagés par l’Entrepreneur pour la réalisation de cet essai et/ou de cette inspection seront ajoutés au Montant du Marché. En outre, si cet essai et/ou cette inspection empêche l’avancement de la réalisation des Installations et/ou l’exécution par l’Entrepreneur de ses autres obligations en vertu du Marché, le Directeur de projet, à la demande de l’Entrepreneur, en tiendra compte dans le Délai d’</w:t>
            </w:r>
            <w:r w:rsidRPr="00BD76AF">
              <w:rPr>
                <w:rFonts w:eastAsia="ＭＳ ゴシック"/>
                <w:color w:val="000000"/>
                <w:szCs w:val="24"/>
                <w:lang w:eastAsia="ja-JP"/>
              </w:rPr>
              <w:t>achèvement</w:t>
            </w:r>
            <w:r w:rsidRPr="00BD76AF">
              <w:rPr>
                <w:szCs w:val="24"/>
              </w:rPr>
              <w:t xml:space="preserve"> et les autres obligations ainsi affectées.</w:t>
            </w:r>
          </w:p>
          <w:p w14:paraId="1866DB71" w14:textId="77777777" w:rsidR="00F332DA" w:rsidRPr="00BD76AF" w:rsidRDefault="00F332DA" w:rsidP="00E7415F">
            <w:pPr>
              <w:spacing w:after="200"/>
              <w:ind w:left="601" w:hanging="601"/>
              <w:rPr>
                <w:szCs w:val="24"/>
              </w:rPr>
            </w:pPr>
            <w:r w:rsidRPr="00BD76AF">
              <w:rPr>
                <w:szCs w:val="24"/>
              </w:rPr>
              <w:t>23.6</w:t>
            </w:r>
            <w:r w:rsidRPr="00BD76AF">
              <w:rPr>
                <w:szCs w:val="24"/>
              </w:rPr>
              <w:tab/>
              <w:t>Si l’un des Équipements ou une partie des Installations ne passe pas avec succès un essai et/ou une inspection, l’Entrepreneur doit soit rectifier, soit remplacer cet Équipement ou cette partie des Installations, et répéter l’essai et/ou l’inspection, après l’envoi d’une notification, conformément à l’Article 23.3 des CG.</w:t>
            </w:r>
          </w:p>
          <w:p w14:paraId="3CFD3067" w14:textId="77777777" w:rsidR="00F332DA" w:rsidRPr="00BD76AF" w:rsidRDefault="00F332DA" w:rsidP="00E7415F">
            <w:pPr>
              <w:spacing w:after="200"/>
              <w:ind w:left="601" w:hanging="601"/>
              <w:rPr>
                <w:szCs w:val="24"/>
              </w:rPr>
            </w:pPr>
            <w:r w:rsidRPr="00BD76AF">
              <w:rPr>
                <w:szCs w:val="24"/>
              </w:rPr>
              <w:t>23.7</w:t>
            </w:r>
            <w:r w:rsidRPr="00BD76AF">
              <w:rPr>
                <w:szCs w:val="24"/>
              </w:rPr>
              <w:tab/>
              <w:t>Lorsque un différend ou une divergence d’opinion survient entre les Parties en relation avec ou à propos d’un essai et/ou d’une inspection des Équipements ou d’une partie des Installations, que les Parties ne parviennent pas à résoudre dans un délai raisonnable, ce différend peut être notifié à un Comité de Règlement des Différends, conformément à l’Article 45.3 (</w:t>
            </w:r>
            <w:r w:rsidRPr="00BD76AF">
              <w:rPr>
                <w:i/>
                <w:szCs w:val="24"/>
              </w:rPr>
              <w:t>Obtention de la décision du Comité de Règlement des Différends</w:t>
            </w:r>
            <w:r w:rsidRPr="00BD76AF">
              <w:rPr>
                <w:szCs w:val="24"/>
              </w:rPr>
              <w:t>) des CG.</w:t>
            </w:r>
          </w:p>
          <w:p w14:paraId="5836BBA7" w14:textId="77777777" w:rsidR="00F332DA" w:rsidRPr="00BD76AF" w:rsidRDefault="00F332DA" w:rsidP="00E7415F">
            <w:pPr>
              <w:spacing w:after="200"/>
              <w:ind w:left="601" w:hanging="601"/>
              <w:rPr>
                <w:szCs w:val="24"/>
                <w:lang w:eastAsia="ja-JP"/>
              </w:rPr>
            </w:pPr>
            <w:r w:rsidRPr="00BD76AF">
              <w:rPr>
                <w:szCs w:val="24"/>
              </w:rPr>
              <w:t>23.8</w:t>
            </w:r>
            <w:r w:rsidRPr="00BD76AF">
              <w:rPr>
                <w:szCs w:val="24"/>
              </w:rPr>
              <w:tab/>
              <w:t>L’Entrepreneur doit donner au Maître d’ouvrage et au Directeur de projet, aux frais du Maître d’ouvrage, l’accès, à tout moment raisonnable, à tout lieu où les Équipements sont fabriqués ou les Installations sont montées, afin qu’ils puissent inspecter l’avancement et le mode de fabrication ou de montage, sous réserve que le Directeur de projet en informe l’Entrepreneur suffisamment à l’avance.</w:t>
            </w:r>
          </w:p>
          <w:p w14:paraId="46C9E683" w14:textId="77777777" w:rsidR="00F332DA" w:rsidRPr="00BD76AF" w:rsidRDefault="00F332DA" w:rsidP="00E7415F">
            <w:pPr>
              <w:spacing w:after="200"/>
              <w:ind w:left="601" w:hanging="601"/>
              <w:rPr>
                <w:szCs w:val="24"/>
              </w:rPr>
            </w:pPr>
            <w:r w:rsidRPr="00BD76AF">
              <w:rPr>
                <w:szCs w:val="24"/>
              </w:rPr>
              <w:t>23.9</w:t>
            </w:r>
            <w:r w:rsidRPr="00BD76AF">
              <w:rPr>
                <w:szCs w:val="24"/>
              </w:rPr>
              <w:tab/>
              <w:t>L’Entrepreneur convient que ni la réalisation d’un essai et/ou d’une inspection des Équipements ou de toute partie des Installations, ni la présence du Maître d’ouvrage ou du Directeur de projet à cet essai/inspection, ni la délivrance d’un certificat d’essai conformément à l’Article 23.4 des CG, ne déchargeront l’Entrepreneur de ses responsabilités en vertu du Marché.</w:t>
            </w:r>
          </w:p>
          <w:p w14:paraId="4A9CF832" w14:textId="77777777" w:rsidR="00F332DA" w:rsidRPr="00BD76AF" w:rsidRDefault="00F332DA" w:rsidP="00E7415F">
            <w:pPr>
              <w:spacing w:after="200"/>
              <w:ind w:left="601" w:hanging="601"/>
              <w:rPr>
                <w:szCs w:val="24"/>
              </w:rPr>
            </w:pPr>
            <w:r w:rsidRPr="00BD76AF">
              <w:rPr>
                <w:szCs w:val="24"/>
              </w:rPr>
              <w:t>23.10</w:t>
            </w:r>
            <w:r w:rsidRPr="00BD76AF">
              <w:rPr>
                <w:szCs w:val="24"/>
              </w:rPr>
              <w:tab/>
              <w:t>Aucune partie des Installations ou des fondations ne doit être recouverte sur le Site, sans que l’Entrepreneur n’ait procédé aux essais et/ou inspections exigés par le Marché. L’Entrepreneur doit prévenir le Directeur de projet, suffisamment à l’avance, dès que cette partie des Installations ou des fondations sera prête ou pratiquement prête pour réaliser cet essai et/ou cette inspection ; cet essai et/ou cette inspection et les formalités de notification dont ils feront l’objet doivent satisfaire aux exigences du Marché.</w:t>
            </w:r>
          </w:p>
          <w:p w14:paraId="02EA7062" w14:textId="77777777" w:rsidR="00F332DA" w:rsidRPr="00BD76AF" w:rsidRDefault="00F332DA" w:rsidP="00884A36">
            <w:pPr>
              <w:spacing w:afterLines="50" w:after="120"/>
              <w:ind w:left="601" w:hanging="601"/>
              <w:rPr>
                <w:szCs w:val="24"/>
              </w:rPr>
            </w:pPr>
            <w:r w:rsidRPr="00BD76AF">
              <w:rPr>
                <w:szCs w:val="24"/>
              </w:rPr>
              <w:t>23.11</w:t>
            </w:r>
            <w:r w:rsidRPr="00BD76AF">
              <w:rPr>
                <w:szCs w:val="24"/>
              </w:rPr>
              <w:tab/>
              <w:t xml:space="preserve">L’Entrepreneur doit découvrir toute partie des Installations ou des fondations, ou y pratiquer des ouvertures que le Directeur de projet peut exiger de temps à autre sur le Site, et il doit ensuite recouvrir et remettre cette ou ces parties en état. </w:t>
            </w:r>
          </w:p>
          <w:p w14:paraId="76E60763" w14:textId="77777777" w:rsidR="00F332DA" w:rsidRPr="00BD76AF" w:rsidRDefault="00F332DA" w:rsidP="00E7415F">
            <w:pPr>
              <w:spacing w:after="200"/>
              <w:ind w:left="601"/>
              <w:rPr>
                <w:szCs w:val="24"/>
              </w:rPr>
            </w:pPr>
            <w:r w:rsidRPr="00BD76AF">
              <w:rPr>
                <w:szCs w:val="24"/>
              </w:rPr>
              <w:t xml:space="preserve">Lorsqu’une partie des Installations ou des fondations a été </w:t>
            </w:r>
            <w:r w:rsidRPr="00BD76AF">
              <w:t>recouverte</w:t>
            </w:r>
            <w:r w:rsidRPr="00BD76AF">
              <w:rPr>
                <w:szCs w:val="24"/>
              </w:rPr>
              <w:t xml:space="preserve"> sur le Site après avoir satisfait aux exigences de l’Article 23.10 des CG et se révèle avoir été exécutée en conformité avec le Marché, les frais de dégagement, d’ouverture, de réinstallation et de remise en état seront à la charge du Maître d’ouvrage, et le Délai d’</w:t>
            </w:r>
            <w:r w:rsidRPr="00BD76AF">
              <w:rPr>
                <w:rFonts w:eastAsia="ＭＳ ゴシック"/>
                <w:color w:val="000000"/>
                <w:szCs w:val="24"/>
                <w:lang w:eastAsia="ja-JP"/>
              </w:rPr>
              <w:t>achèvement</w:t>
            </w:r>
            <w:r w:rsidRPr="00BD76AF">
              <w:rPr>
                <w:szCs w:val="24"/>
              </w:rPr>
              <w:t xml:space="preserve"> sera raisonnablement ajusté dans la mesure où l’Entrepreneur a, en conséquence, été retardé ou empêché dans l’exercice de ses obligations en vertu du Marché.</w:t>
            </w:r>
          </w:p>
        </w:tc>
      </w:tr>
      <w:tr w:rsidR="00F332DA" w:rsidRPr="00BD76AF" w14:paraId="11B1B57D" w14:textId="77777777" w:rsidTr="00B97BA4">
        <w:tc>
          <w:tcPr>
            <w:tcW w:w="2352" w:type="dxa"/>
          </w:tcPr>
          <w:p w14:paraId="7992DBB5" w14:textId="77777777" w:rsidR="00F332DA" w:rsidRPr="00BD76AF" w:rsidRDefault="00F332DA" w:rsidP="007C71D1">
            <w:pPr>
              <w:pStyle w:val="S7Header2"/>
              <w:rPr>
                <w:szCs w:val="24"/>
              </w:rPr>
            </w:pPr>
            <w:bookmarkStart w:id="786" w:name="_Toc102050804"/>
            <w:r w:rsidRPr="00BD76AF">
              <w:rPr>
                <w:szCs w:val="24"/>
              </w:rPr>
              <w:t>24.</w:t>
            </w:r>
            <w:r w:rsidRPr="00BD76AF">
              <w:rPr>
                <w:szCs w:val="24"/>
              </w:rPr>
              <w:tab/>
              <w:t>Achèvement des Installations</w:t>
            </w:r>
            <w:bookmarkEnd w:id="786"/>
          </w:p>
        </w:tc>
        <w:tc>
          <w:tcPr>
            <w:tcW w:w="6936" w:type="dxa"/>
          </w:tcPr>
          <w:p w14:paraId="1203B39B" w14:textId="77777777" w:rsidR="00F332DA" w:rsidRPr="00BD76AF" w:rsidRDefault="00F332DA" w:rsidP="00E7415F">
            <w:pPr>
              <w:spacing w:after="200"/>
              <w:ind w:left="601" w:hanging="601"/>
              <w:rPr>
                <w:szCs w:val="24"/>
              </w:rPr>
            </w:pPr>
            <w:r w:rsidRPr="00BD76AF">
              <w:rPr>
                <w:szCs w:val="24"/>
              </w:rPr>
              <w:t>24.1</w:t>
            </w:r>
            <w:r w:rsidRPr="00BD76AF">
              <w:rPr>
                <w:szCs w:val="24"/>
              </w:rPr>
              <w:tab/>
              <w:t>Dès que les Installations ou une de leurs Tranches sont, de l’avis de l’Entrepreneur, achevées opérationnellement et structurellement et qu’elles ont été mise en ordre et en état de propreté conformément aux Exigences du Maître d’ouvrage, en dehors d’aspects mineurs n’ayant aucune incidence importante sur le fonctionnement ou la sécurité des Installations, l’Entrepreneur doit en aviser le Maître d’ouvrage par écrit.</w:t>
            </w:r>
          </w:p>
          <w:p w14:paraId="330DF6BC" w14:textId="77777777" w:rsidR="00F332DA" w:rsidRPr="00BD76AF" w:rsidRDefault="00F332DA" w:rsidP="00884A36">
            <w:pPr>
              <w:spacing w:afterLines="50" w:after="120"/>
              <w:ind w:left="601" w:hanging="601"/>
              <w:rPr>
                <w:szCs w:val="24"/>
              </w:rPr>
            </w:pPr>
            <w:r w:rsidRPr="00BD76AF">
              <w:rPr>
                <w:szCs w:val="24"/>
              </w:rPr>
              <w:t>24.2</w:t>
            </w:r>
            <w:r w:rsidRPr="00BD76AF">
              <w:rPr>
                <w:szCs w:val="24"/>
              </w:rPr>
              <w:tab/>
              <w:t xml:space="preserve">Dans un délai de sept (7) jours suivant la réception de la notification de l’Entrepreneur, donnée conformément à l’Article 24.1 des CG, le Maître d’ouvrage doit fournir le personnel d’exploitation et de maintenance indiqué aux Exigences du Maître d’ouvrage pour la Pré-mise en service des Installations ou d’une de leurs Tranches. </w:t>
            </w:r>
          </w:p>
          <w:p w14:paraId="39BF5154" w14:textId="77777777" w:rsidR="00F332DA" w:rsidRPr="00BD76AF" w:rsidRDefault="00F332DA" w:rsidP="00E7415F">
            <w:pPr>
              <w:spacing w:after="200"/>
              <w:ind w:left="601"/>
              <w:rPr>
                <w:szCs w:val="24"/>
              </w:rPr>
            </w:pPr>
            <w:r w:rsidRPr="00BD76AF">
              <w:rPr>
                <w:szCs w:val="24"/>
              </w:rPr>
              <w:t xml:space="preserve">Conformément aux Exigences du Maître d’ouvrage, le Maître d’ouvrage doit fournir, dans ce délai de </w:t>
            </w:r>
            <w:r w:rsidRPr="00BD76AF">
              <w:t>sept</w:t>
            </w:r>
            <w:r w:rsidRPr="00BD76AF">
              <w:rPr>
                <w:szCs w:val="24"/>
              </w:rPr>
              <w:t xml:space="preserve"> (7) jours, les matières premières, l’eau et l’électricité, les lubrifiants, produits chimiques, catalyseurs, équipements, services et autres nécessaires à la Pré-mise en service des Installations ou d’une de leurs Tranches.</w:t>
            </w:r>
          </w:p>
          <w:p w14:paraId="7B9FE4D8" w14:textId="77777777" w:rsidR="00F332DA" w:rsidRPr="00BD76AF" w:rsidRDefault="00F332DA" w:rsidP="00E7415F">
            <w:pPr>
              <w:spacing w:after="200"/>
              <w:ind w:left="601" w:hanging="601"/>
            </w:pPr>
            <w:r w:rsidRPr="00BD76AF">
              <w:t>24.3</w:t>
            </w:r>
            <w:r w:rsidRPr="00BD76AF">
              <w:tab/>
              <w:t>Dès que cela est raisonnablement possible après la mise à disposition par le Maître d’ouvrage du personnel d’exploitation et de maintenance, et la fourniture des matières premières, de l’eau et de l’électricité, des lubrifiants, produits chimiques, catalyseurs, équipements, services et autres, conformément à l’Article 24.2 des CG, l’Entrepreneur doit commencer la Pré-mise en service des Installations ou de la Tranche correspondante, en préparation à la Mise en service, sous réserve de l’Article 25 (</w:t>
            </w:r>
            <w:r w:rsidRPr="00BD76AF">
              <w:rPr>
                <w:i/>
                <w:szCs w:val="24"/>
              </w:rPr>
              <w:t>Mise en service et Réception opérationnelle</w:t>
            </w:r>
            <w:r w:rsidRPr="00BD76AF">
              <w:t>) des CG.</w:t>
            </w:r>
          </w:p>
          <w:p w14:paraId="401B30CC" w14:textId="77777777" w:rsidR="00F332DA" w:rsidRPr="00BD76AF" w:rsidRDefault="00F332DA" w:rsidP="00E7415F">
            <w:pPr>
              <w:spacing w:after="200"/>
              <w:ind w:left="601" w:hanging="601"/>
              <w:rPr>
                <w:szCs w:val="24"/>
              </w:rPr>
            </w:pPr>
            <w:r w:rsidRPr="00BD76AF">
              <w:rPr>
                <w:szCs w:val="24"/>
              </w:rPr>
              <w:t>24.4</w:t>
            </w:r>
            <w:r w:rsidRPr="00BD76AF">
              <w:rPr>
                <w:szCs w:val="24"/>
              </w:rPr>
              <w:tab/>
              <w:t>Dès que tous les travaux de Pré-mise en service sont achevés, et que, de l’avis de l’Entrepreneur, les Installations ou une de leurs Tranches sont prêtes pour la Mise en service, l’Entrepreneur doit en aviser par écrit le Directeur de projet.</w:t>
            </w:r>
          </w:p>
          <w:p w14:paraId="6E2BE589" w14:textId="77777777" w:rsidR="00F332DA" w:rsidRPr="00BD76AF" w:rsidRDefault="00F332DA" w:rsidP="00E7415F">
            <w:pPr>
              <w:spacing w:afterLines="50" w:after="120"/>
              <w:ind w:left="601" w:hanging="601"/>
              <w:rPr>
                <w:szCs w:val="24"/>
              </w:rPr>
            </w:pPr>
            <w:r w:rsidRPr="00BD76AF">
              <w:rPr>
                <w:szCs w:val="24"/>
              </w:rPr>
              <w:t>24.5</w:t>
            </w:r>
            <w:r w:rsidRPr="00BD76AF">
              <w:rPr>
                <w:szCs w:val="24"/>
              </w:rPr>
              <w:tab/>
              <w:t>Dans un délai de quatorze (14) jours suivant la réception de la notification de l’Entrepreneur conformément à l’Article 24.4 des CG, le Directeur de projet doit soit délivrer un certificat d’Achèvement dans le format spécifié dans les Exigences du Maître d’ouvrage, indiquant que les Installations ou la Tranche concernée ont été achevées conformément au Marché à la date de la notification donnée par l’Entrepreneur en vertu de l’Article 24.4 des CG, soit notifier par écrit à l’Entrepreneur tous les défauts et/ou insuffisances constatés.</w:t>
            </w:r>
          </w:p>
          <w:p w14:paraId="2511BA66" w14:textId="77777777" w:rsidR="00F332DA" w:rsidRPr="00BD76AF" w:rsidRDefault="00F332DA" w:rsidP="005745EC">
            <w:pPr>
              <w:spacing w:afterLines="50" w:after="120"/>
              <w:ind w:left="601"/>
              <w:rPr>
                <w:szCs w:val="24"/>
              </w:rPr>
            </w:pPr>
            <w:r w:rsidRPr="00BD76AF">
              <w:rPr>
                <w:szCs w:val="24"/>
              </w:rPr>
              <w:t>Si le Directeur de projet notifie l’existence de défauts et/ou insuffisances à l’Entrepreneur, ce dernier doit les corriger et répéter la procédure décrite à l’Article 24.4 des CG.</w:t>
            </w:r>
          </w:p>
          <w:p w14:paraId="342897D3" w14:textId="77777777" w:rsidR="00F332DA" w:rsidRPr="00BD76AF" w:rsidRDefault="00F332DA" w:rsidP="005745EC">
            <w:pPr>
              <w:spacing w:afterLines="50" w:after="120"/>
              <w:ind w:left="601"/>
              <w:rPr>
                <w:szCs w:val="24"/>
              </w:rPr>
            </w:pPr>
            <w:r w:rsidRPr="00BD76AF">
              <w:rPr>
                <w:szCs w:val="24"/>
              </w:rPr>
              <w:t xml:space="preserve">Si le Directeur de projet est satisfait de l’achèvement des Installations ou de la Tranche concernée, le Directeur de projet doit, dans un délai de sept (7) jours </w:t>
            </w:r>
            <w:r w:rsidRPr="00BD76AF">
              <w:t>suivant</w:t>
            </w:r>
            <w:r w:rsidRPr="00BD76AF">
              <w:rPr>
                <w:szCs w:val="24"/>
              </w:rPr>
              <w:t xml:space="preserve"> la réception de la notification répétée de l’Entrepreneur, délivrer un certificat d’Achèvement attestant de l’achèvement des Installations ou de la Tranche concernée, à la date de la notification répétée de l’Entrepreneur.</w:t>
            </w:r>
          </w:p>
          <w:p w14:paraId="1455390B" w14:textId="77777777" w:rsidR="00F332DA" w:rsidRPr="00BD76AF" w:rsidRDefault="00F332DA" w:rsidP="00E7415F">
            <w:pPr>
              <w:spacing w:after="200"/>
              <w:ind w:left="601"/>
              <w:rPr>
                <w:szCs w:val="24"/>
              </w:rPr>
            </w:pPr>
            <w:r w:rsidRPr="00BD76AF">
              <w:rPr>
                <w:szCs w:val="24"/>
              </w:rPr>
              <w:t xml:space="preserve">Si le Directeur de projet n’est pas satisfait, il doit alors </w:t>
            </w:r>
            <w:r w:rsidRPr="00BD76AF">
              <w:t>notifier</w:t>
            </w:r>
            <w:r w:rsidRPr="00BD76AF">
              <w:rPr>
                <w:szCs w:val="24"/>
              </w:rPr>
              <w:t xml:space="preserve"> par écrit à l’Entrepreneur tous les défauts et/ou insuffisances, dans un délai de sept (7) jours suivant la seconde notification de l’Entrepreneur, et la procédure ci-dessus doit être de nouveau répétée.</w:t>
            </w:r>
          </w:p>
          <w:p w14:paraId="247A2819" w14:textId="77777777" w:rsidR="00F332DA" w:rsidRPr="00BD76AF" w:rsidRDefault="00F332DA" w:rsidP="005B36A8">
            <w:pPr>
              <w:spacing w:after="200"/>
              <w:ind w:left="601" w:hanging="601"/>
              <w:rPr>
                <w:szCs w:val="24"/>
              </w:rPr>
            </w:pPr>
            <w:r w:rsidRPr="00BD76AF">
              <w:rPr>
                <w:szCs w:val="24"/>
              </w:rPr>
              <w:t>24.6</w:t>
            </w:r>
            <w:r w:rsidRPr="00BD76AF">
              <w:rPr>
                <w:szCs w:val="24"/>
              </w:rPr>
              <w:tab/>
              <w:t>Si le Directeur de projet ne délivre pas le certificat d’Achèvement et n’informe pas l’Entrepreneur des défauts et/ou insuffisances constatés, dans un délai de quatorze (14) jours suivant la réception de la notification donnée par l’Entrepreneur conformément à l’Article 24.4 des CG, ou dans un délai de sept (7) jours suivant la réception de la seconde notification faite par l’Entrepreneur conformément à l’Article 24.5 des CG, ou si le Maître d’ouvrage utilise les Installations ou une partie de celles-ci, alors les Installations ou la partie concernée de celles-ci seront considérées comme achevées à la date de la notification ou de la notification répétée de l’Entrepreneur, ou de l’utilisation des Installations ou une partie de celles-ci par le Maître d’ouvrage, selon le cas.</w:t>
            </w:r>
          </w:p>
          <w:p w14:paraId="7D611D65" w14:textId="77777777" w:rsidR="00F332DA" w:rsidRPr="00BD76AF" w:rsidRDefault="00F332DA" w:rsidP="005B36A8">
            <w:pPr>
              <w:spacing w:after="200"/>
              <w:ind w:left="601" w:hanging="601"/>
              <w:rPr>
                <w:szCs w:val="24"/>
              </w:rPr>
            </w:pPr>
            <w:r w:rsidRPr="00BD76AF">
              <w:rPr>
                <w:szCs w:val="24"/>
              </w:rPr>
              <w:t>24.7</w:t>
            </w:r>
            <w:r w:rsidRPr="00BD76AF">
              <w:rPr>
                <w:szCs w:val="24"/>
              </w:rPr>
              <w:tab/>
              <w:t>Dès que possible après l’Achèvement, l’Entrepreneur doit compléter tous les travaux mineurs restés en suspens, de telle sorte que les Installations ou la partie concernée de celles-ci soient parfaitement conformes aux exigences du Marché, faute de quoi le Maître d’ouvrage procédera lui-même à l’exécution de ces travaux et déduira le coût correspondant de toutes sommes dues à l’Entrepreneur.</w:t>
            </w:r>
          </w:p>
        </w:tc>
      </w:tr>
      <w:tr w:rsidR="00F332DA" w:rsidRPr="00BD76AF" w14:paraId="075660EE" w14:textId="77777777" w:rsidTr="00B97BA4">
        <w:tc>
          <w:tcPr>
            <w:tcW w:w="2352" w:type="dxa"/>
          </w:tcPr>
          <w:p w14:paraId="698C3162" w14:textId="77777777" w:rsidR="00F332DA" w:rsidRPr="00BD76AF" w:rsidRDefault="00F332DA" w:rsidP="007C71D1">
            <w:pPr>
              <w:pStyle w:val="S7Header2"/>
              <w:rPr>
                <w:szCs w:val="24"/>
              </w:rPr>
            </w:pPr>
            <w:bookmarkStart w:id="787" w:name="_Toc102050805"/>
            <w:r w:rsidRPr="00BD76AF">
              <w:rPr>
                <w:szCs w:val="24"/>
              </w:rPr>
              <w:t>25.</w:t>
            </w:r>
            <w:r w:rsidRPr="00BD76AF">
              <w:rPr>
                <w:szCs w:val="24"/>
              </w:rPr>
              <w:tab/>
              <w:t>Mise en service et Réception opérationnelle</w:t>
            </w:r>
            <w:bookmarkEnd w:id="787"/>
          </w:p>
        </w:tc>
        <w:tc>
          <w:tcPr>
            <w:tcW w:w="6936" w:type="dxa"/>
          </w:tcPr>
          <w:p w14:paraId="424F668D" w14:textId="77777777" w:rsidR="00F332DA" w:rsidRPr="00BD76AF" w:rsidRDefault="00F332DA" w:rsidP="00884A36">
            <w:pPr>
              <w:spacing w:afterLines="50" w:after="120"/>
              <w:ind w:left="601" w:hanging="601"/>
              <w:rPr>
                <w:szCs w:val="24"/>
              </w:rPr>
            </w:pPr>
            <w:r w:rsidRPr="00BD76AF">
              <w:rPr>
                <w:szCs w:val="24"/>
              </w:rPr>
              <w:t>25.1</w:t>
            </w:r>
            <w:r w:rsidRPr="00BD76AF">
              <w:rPr>
                <w:szCs w:val="24"/>
              </w:rPr>
              <w:tab/>
            </w:r>
            <w:r w:rsidRPr="00BD76AF">
              <w:rPr>
                <w:szCs w:val="24"/>
                <w:u w:val="single"/>
              </w:rPr>
              <w:t>Mise en service</w:t>
            </w:r>
          </w:p>
          <w:p w14:paraId="7B1E02EA" w14:textId="77777777" w:rsidR="00F332DA" w:rsidRPr="00BD76AF" w:rsidRDefault="00F332DA" w:rsidP="00C6139F">
            <w:pPr>
              <w:spacing w:after="200"/>
              <w:ind w:left="1440" w:hanging="839"/>
              <w:rPr>
                <w:szCs w:val="24"/>
              </w:rPr>
            </w:pPr>
            <w:r w:rsidRPr="00BD76AF">
              <w:rPr>
                <w:szCs w:val="24"/>
              </w:rPr>
              <w:t>25.1.1</w:t>
            </w:r>
            <w:r w:rsidRPr="00BD76AF">
              <w:rPr>
                <w:szCs w:val="24"/>
              </w:rPr>
              <w:tab/>
              <w:t>L’Entrepreneur doit effectuer la Mise en service des Installations ou d’une de leurs Tranches immédiatement après la délivrance par le Directeur de projet du certificat d’Achèvement conformément à l’Article 24.5 des CG, ou immédiatement après la date d’Achèvement présumé conformément à l’Article 24.6 des CG.</w:t>
            </w:r>
          </w:p>
          <w:p w14:paraId="4962C717" w14:textId="77777777" w:rsidR="00F332DA" w:rsidRPr="00BD76AF" w:rsidRDefault="00F332DA" w:rsidP="00C6139F">
            <w:pPr>
              <w:spacing w:after="200"/>
              <w:ind w:left="1440" w:hanging="839"/>
              <w:rPr>
                <w:szCs w:val="24"/>
              </w:rPr>
            </w:pPr>
            <w:r w:rsidRPr="00BD76AF">
              <w:rPr>
                <w:szCs w:val="24"/>
              </w:rPr>
              <w:t>25.1.2</w:t>
            </w:r>
            <w:r w:rsidRPr="00BD76AF">
              <w:rPr>
                <w:szCs w:val="24"/>
              </w:rPr>
              <w:tab/>
              <w:t>Le Maître d’ouvrage doit fournir le personnel d’exploitation et de maintenance et toutes les matières premières, l’eau et l’électricité, les lubrifiants, produits chimiques, catalyseurs, équipements, services et autres, nécessaires à la Mise en service.</w:t>
            </w:r>
          </w:p>
          <w:p w14:paraId="6D7C8F66" w14:textId="77777777" w:rsidR="00F332DA" w:rsidRPr="00BD76AF" w:rsidRDefault="00F332DA" w:rsidP="00C6139F">
            <w:pPr>
              <w:spacing w:after="200"/>
              <w:ind w:left="1440" w:hanging="839"/>
              <w:rPr>
                <w:szCs w:val="24"/>
              </w:rPr>
            </w:pPr>
            <w:r w:rsidRPr="00BD76AF">
              <w:rPr>
                <w:szCs w:val="24"/>
              </w:rPr>
              <w:t>25.1.3</w:t>
            </w:r>
            <w:r w:rsidRPr="00BD76AF">
              <w:rPr>
                <w:szCs w:val="24"/>
                <w:lang w:eastAsia="ja-JP"/>
              </w:rPr>
              <w:tab/>
            </w:r>
            <w:r w:rsidRPr="00BD76AF">
              <w:rPr>
                <w:szCs w:val="24"/>
              </w:rPr>
              <w:t xml:space="preserve">Conformément aux exigences du Marché, l’Entrepreneur et le personnel consultatif du Directeur de projet doivent prendre part à la Mise en service, y compris aux Essais de garantie, et doivent conseiller et assister le Maître d’ouvrage. </w:t>
            </w:r>
          </w:p>
          <w:p w14:paraId="5E963849" w14:textId="77777777" w:rsidR="00F332DA" w:rsidRPr="00BD76AF" w:rsidRDefault="00F332DA" w:rsidP="00884A36">
            <w:pPr>
              <w:spacing w:afterLines="50" w:after="120"/>
              <w:ind w:left="601" w:hanging="601"/>
              <w:rPr>
                <w:szCs w:val="24"/>
              </w:rPr>
            </w:pPr>
            <w:r w:rsidRPr="00BD76AF">
              <w:rPr>
                <w:szCs w:val="24"/>
              </w:rPr>
              <w:t>25.2</w:t>
            </w:r>
            <w:r w:rsidRPr="00BD76AF">
              <w:rPr>
                <w:szCs w:val="24"/>
              </w:rPr>
              <w:tab/>
            </w:r>
            <w:r w:rsidRPr="00BD76AF">
              <w:rPr>
                <w:szCs w:val="24"/>
                <w:u w:val="single"/>
              </w:rPr>
              <w:t>Essai de garantie</w:t>
            </w:r>
          </w:p>
          <w:p w14:paraId="43FA28A7" w14:textId="77777777" w:rsidR="00F332DA" w:rsidRPr="00BD76AF" w:rsidRDefault="00F332DA" w:rsidP="00C6139F">
            <w:pPr>
              <w:spacing w:after="200"/>
              <w:ind w:left="1440" w:hanging="839"/>
              <w:rPr>
                <w:szCs w:val="24"/>
              </w:rPr>
            </w:pPr>
            <w:r w:rsidRPr="00BD76AF">
              <w:rPr>
                <w:szCs w:val="24"/>
              </w:rPr>
              <w:t>25.2.1</w:t>
            </w:r>
            <w:r w:rsidRPr="00BD76AF">
              <w:rPr>
                <w:szCs w:val="24"/>
              </w:rPr>
              <w:tab/>
              <w:t>L’Essai de garantie et ses répétitions doivent être réalisés par l’Entrepreneur pendant la Mise en service des Installations ou de la partie concernée de celles-ci, afin d’assurer que les Installations ou la partie concernée de celles-ci peuvent atteindre les Garanties opérationnelles indiquées à l’Annexe 8 (</w:t>
            </w:r>
            <w:r w:rsidRPr="00BD76AF">
              <w:rPr>
                <w:i/>
                <w:szCs w:val="24"/>
              </w:rPr>
              <w:t>Garanties opérationnelles</w:t>
            </w:r>
            <w:r w:rsidRPr="00BD76AF">
              <w:rPr>
                <w:szCs w:val="24"/>
              </w:rPr>
              <w:t>) de l’Acte d’engagement. Le Maître d’ouvrage doit fournir sans délai à l’Entrepreneur toutes les informations que ce dernier pourra raisonnablement exiger en relation avec la conduite et les résultats de l’Essai de garantie et de ses répétitions.</w:t>
            </w:r>
          </w:p>
          <w:p w14:paraId="6EF66A3A" w14:textId="77777777" w:rsidR="00F332DA" w:rsidRPr="00BD76AF" w:rsidRDefault="00F332DA" w:rsidP="00C6139F">
            <w:pPr>
              <w:spacing w:after="200"/>
              <w:ind w:left="1440" w:hanging="839"/>
              <w:rPr>
                <w:szCs w:val="24"/>
              </w:rPr>
            </w:pPr>
            <w:r w:rsidRPr="00BD76AF">
              <w:rPr>
                <w:szCs w:val="24"/>
              </w:rPr>
              <w:t>25.2.2</w:t>
            </w:r>
            <w:r w:rsidRPr="00BD76AF">
              <w:rPr>
                <w:szCs w:val="24"/>
              </w:rPr>
              <w:tab/>
              <w:t xml:space="preserve">Dans le cas où, pour des raisons non imputables à l’Entrepreneur, l’Essai de garantie des Installations ou de la partie concernée de celles-ci ne peut pas être complété avec succès dans le délai </w:t>
            </w:r>
            <w:r w:rsidRPr="00BD76AF">
              <w:rPr>
                <w:b/>
                <w:szCs w:val="24"/>
              </w:rPr>
              <w:t>indiqué dans les Données du Marché</w:t>
            </w:r>
            <w:r w:rsidRPr="00BD76AF">
              <w:rPr>
                <w:szCs w:val="24"/>
              </w:rPr>
              <w:t xml:space="preserve"> à compter de la date d’Achèvement ou de tout autre délai convenu entre le Maître d’ouvrage et l’Entrepreneur, l’Entrepreneur sera réputé avoir rempli ses obligations en matière de Garanties opérationnelles et les dispositions des Articles 28.2 et 28.3 des CG ne seront pas applicables.</w:t>
            </w:r>
          </w:p>
          <w:p w14:paraId="7E5631EC" w14:textId="77777777" w:rsidR="00F332DA" w:rsidRPr="00BD76AF" w:rsidRDefault="00F332DA" w:rsidP="00884A36">
            <w:pPr>
              <w:spacing w:afterLines="50" w:after="120"/>
              <w:ind w:left="601" w:hanging="601"/>
              <w:rPr>
                <w:szCs w:val="24"/>
              </w:rPr>
            </w:pPr>
            <w:r w:rsidRPr="00BD76AF">
              <w:rPr>
                <w:szCs w:val="24"/>
              </w:rPr>
              <w:t>25.3</w:t>
            </w:r>
            <w:r w:rsidRPr="00BD76AF">
              <w:rPr>
                <w:szCs w:val="24"/>
              </w:rPr>
              <w:tab/>
            </w:r>
            <w:r w:rsidRPr="00BD76AF">
              <w:rPr>
                <w:szCs w:val="24"/>
                <w:u w:val="single"/>
              </w:rPr>
              <w:t>Réception opérationnelle</w:t>
            </w:r>
          </w:p>
          <w:p w14:paraId="4BC61881" w14:textId="77777777" w:rsidR="00F332DA" w:rsidRPr="00BD76AF" w:rsidRDefault="00F332DA" w:rsidP="00DC426C">
            <w:pPr>
              <w:spacing w:afterLines="50" w:after="120"/>
              <w:ind w:left="1440" w:hanging="839"/>
              <w:rPr>
                <w:szCs w:val="24"/>
              </w:rPr>
            </w:pPr>
            <w:r w:rsidRPr="00BD76AF">
              <w:rPr>
                <w:szCs w:val="24"/>
              </w:rPr>
              <w:t>25.3.1</w:t>
            </w:r>
            <w:r w:rsidRPr="00BD76AF">
              <w:rPr>
                <w:szCs w:val="24"/>
              </w:rPr>
              <w:tab/>
              <w:t>Sous réserve des dispositions de l’Article 25.4 des CG, la Réception opérationnelle des Installations ou d’une de leurs Tranches interviendra lorsque :</w:t>
            </w:r>
          </w:p>
          <w:p w14:paraId="09A6EAC1" w14:textId="77777777" w:rsidR="00F332DA" w:rsidRPr="00BD76AF" w:rsidRDefault="00F332DA" w:rsidP="00C63558">
            <w:pPr>
              <w:spacing w:afterLines="50" w:after="120"/>
              <w:ind w:left="1865" w:hanging="425"/>
              <w:rPr>
                <w:szCs w:val="24"/>
              </w:rPr>
            </w:pPr>
            <w:r w:rsidRPr="00BD76AF">
              <w:rPr>
                <w:szCs w:val="24"/>
              </w:rPr>
              <w:t>a)</w:t>
            </w:r>
            <w:r w:rsidRPr="00BD76AF">
              <w:rPr>
                <w:szCs w:val="24"/>
              </w:rPr>
              <w:tab/>
              <w:t>l’Essai de garantie aura été réalisé avec succès et les Garanties opérationnelles auront été satisfaites ; ou</w:t>
            </w:r>
          </w:p>
          <w:p w14:paraId="63889214" w14:textId="77777777" w:rsidR="00F332DA" w:rsidRPr="00BD76AF" w:rsidRDefault="00F332DA" w:rsidP="00C63558">
            <w:pPr>
              <w:spacing w:afterLines="50" w:after="120"/>
              <w:ind w:left="1865" w:hanging="425"/>
              <w:rPr>
                <w:szCs w:val="24"/>
              </w:rPr>
            </w:pPr>
            <w:r w:rsidRPr="00BD76AF">
              <w:rPr>
                <w:szCs w:val="24"/>
              </w:rPr>
              <w:t>b)</w:t>
            </w:r>
            <w:r w:rsidRPr="00BD76AF">
              <w:rPr>
                <w:szCs w:val="24"/>
              </w:rPr>
              <w:tab/>
              <w:t>l’Essai de garantie n’aura pas été complété avec succès ou n’aura pas pu être réalisé pour des raisons non imputables à l’Entrepreneur, dans le délai suivant la date d’Achèvement conformément à l’Article 25.2.2 des CG ci-dessus ou dans tout autre délai convenu entre le Maître d’ouvrage et l’Entrepreneur ; ou</w:t>
            </w:r>
          </w:p>
          <w:p w14:paraId="0958EA4D" w14:textId="77777777" w:rsidR="00F332DA" w:rsidRPr="00BD76AF" w:rsidRDefault="00F332DA" w:rsidP="00C63558">
            <w:pPr>
              <w:spacing w:afterLines="50" w:after="120"/>
              <w:ind w:left="1865" w:hanging="425"/>
              <w:rPr>
                <w:szCs w:val="24"/>
              </w:rPr>
            </w:pPr>
            <w:r w:rsidRPr="00BD76AF">
              <w:rPr>
                <w:szCs w:val="24"/>
              </w:rPr>
              <w:t>c)</w:t>
            </w:r>
            <w:r w:rsidRPr="00BD76AF">
              <w:rPr>
                <w:szCs w:val="24"/>
              </w:rPr>
              <w:tab/>
              <w:t>l’Entrepreneur aura payé la pénalité indiquée à l’Article 28.3 des CG ; et</w:t>
            </w:r>
          </w:p>
          <w:p w14:paraId="33214811" w14:textId="77777777" w:rsidR="00F332DA" w:rsidRPr="00BD76AF" w:rsidRDefault="00F332DA" w:rsidP="00942801">
            <w:pPr>
              <w:spacing w:after="200"/>
              <w:ind w:left="1865" w:hanging="425"/>
              <w:rPr>
                <w:szCs w:val="24"/>
              </w:rPr>
            </w:pPr>
            <w:r w:rsidRPr="00BD76AF">
              <w:rPr>
                <w:szCs w:val="24"/>
              </w:rPr>
              <w:t>d)</w:t>
            </w:r>
            <w:r w:rsidRPr="00BD76AF">
              <w:rPr>
                <w:szCs w:val="24"/>
              </w:rPr>
              <w:tab/>
              <w:t>tous les travaux mineurs mentionnés à l’Article 24.7 des CG en relation avec les Installations ou la  Tranche concernée auront été achevés.</w:t>
            </w:r>
          </w:p>
          <w:p w14:paraId="1ED68194" w14:textId="77777777" w:rsidR="00F332DA" w:rsidRPr="00BD76AF" w:rsidRDefault="00F332DA" w:rsidP="00942801">
            <w:pPr>
              <w:spacing w:after="200"/>
              <w:ind w:left="1440" w:hanging="839"/>
              <w:rPr>
                <w:szCs w:val="24"/>
              </w:rPr>
            </w:pPr>
            <w:r w:rsidRPr="00BD76AF">
              <w:rPr>
                <w:szCs w:val="24"/>
              </w:rPr>
              <w:t>25.3.2</w:t>
            </w:r>
            <w:r w:rsidRPr="00BD76AF">
              <w:rPr>
                <w:szCs w:val="24"/>
              </w:rPr>
              <w:tab/>
              <w:t>Dès que les conditions pour la Réception opérationnelle indiquées à l’Article 25.3.1 des CG ont été satisfaites, l’Entrepreneur peut adresser une notification au Directeur de projet demandant la délivrance d’un certificat de Réception opérationnelle dans le format donné dans les Exigences du Maître d’ouvrage pour les Installations ou la Tranche spécifiées dans cette notification, à la date de cette notification.</w:t>
            </w:r>
          </w:p>
          <w:p w14:paraId="2635D698" w14:textId="77777777" w:rsidR="00F332DA" w:rsidRPr="00BD76AF" w:rsidRDefault="00F332DA" w:rsidP="00942801">
            <w:pPr>
              <w:spacing w:after="200"/>
              <w:ind w:left="1440" w:hanging="839"/>
              <w:rPr>
                <w:szCs w:val="24"/>
              </w:rPr>
            </w:pPr>
            <w:r w:rsidRPr="00BD76AF">
              <w:rPr>
                <w:szCs w:val="24"/>
              </w:rPr>
              <w:t>25.3.3</w:t>
            </w:r>
            <w:r w:rsidRPr="00BD76AF">
              <w:rPr>
                <w:szCs w:val="24"/>
              </w:rPr>
              <w:tab/>
              <w:t>Le Directeur de projet doit, après consultation avec le Maître d’ouvrage et dans un délai de sept (7) jours suivant la réception de cette notification de l’Entrepreneur, délivrer ce certificat de Réception opérationnelle.</w:t>
            </w:r>
          </w:p>
          <w:p w14:paraId="7A765829" w14:textId="77777777" w:rsidR="00F332DA" w:rsidRPr="00BD76AF" w:rsidRDefault="00F332DA" w:rsidP="00942801">
            <w:pPr>
              <w:spacing w:after="200"/>
              <w:ind w:left="1440" w:hanging="839"/>
              <w:rPr>
                <w:szCs w:val="24"/>
              </w:rPr>
            </w:pPr>
            <w:r w:rsidRPr="00BD76AF">
              <w:rPr>
                <w:szCs w:val="24"/>
              </w:rPr>
              <w:t>25.3.4</w:t>
            </w:r>
            <w:r w:rsidRPr="00BD76AF">
              <w:rPr>
                <w:szCs w:val="24"/>
              </w:rPr>
              <w:tab/>
              <w:t>Si, dans le délai de sept (7) jours suivant la réception de la notification de l’Entrepreneur, le Directeur de projet ne délivre pas le certificat de Réception opérationnelle ou n’informe pas l’Entrepreneur par écrit des motifs justifiables pour lesquels le Directeur de projet n’a pas établi le certificat de Réception opérationnelle, les Installations ou la partie concernée de celles-ci seront considérées comme ayant été acceptées à la date de cette notification de l’Entrepreneur.</w:t>
            </w:r>
          </w:p>
          <w:p w14:paraId="29212005" w14:textId="77777777" w:rsidR="00F332DA" w:rsidRPr="00BD76AF" w:rsidRDefault="00F332DA" w:rsidP="00884A36">
            <w:pPr>
              <w:spacing w:afterLines="50" w:after="120"/>
              <w:ind w:left="601" w:hanging="601"/>
              <w:rPr>
                <w:szCs w:val="24"/>
              </w:rPr>
            </w:pPr>
            <w:r w:rsidRPr="00BD76AF">
              <w:rPr>
                <w:szCs w:val="24"/>
              </w:rPr>
              <w:t>25.4</w:t>
            </w:r>
            <w:r w:rsidRPr="00BD76AF">
              <w:rPr>
                <w:szCs w:val="24"/>
              </w:rPr>
              <w:tab/>
            </w:r>
            <w:r w:rsidRPr="00BD76AF">
              <w:rPr>
                <w:szCs w:val="24"/>
                <w:u w:val="single"/>
              </w:rPr>
              <w:t>Réception partielle</w:t>
            </w:r>
          </w:p>
          <w:p w14:paraId="76D634DB" w14:textId="77777777" w:rsidR="00F332DA" w:rsidRPr="00BD76AF" w:rsidRDefault="00F332DA" w:rsidP="00942801">
            <w:pPr>
              <w:spacing w:after="200"/>
              <w:ind w:left="1440" w:hanging="839"/>
              <w:rPr>
                <w:szCs w:val="24"/>
              </w:rPr>
            </w:pPr>
            <w:r w:rsidRPr="00BD76AF">
              <w:rPr>
                <w:szCs w:val="24"/>
              </w:rPr>
              <w:t>25.4.1</w:t>
            </w:r>
            <w:r w:rsidRPr="00BD76AF">
              <w:rPr>
                <w:szCs w:val="24"/>
              </w:rPr>
              <w:tab/>
              <w:t>Si le Marché indique des Tranches des Installations, les dispositions concernant l’Achèvement et la Mise en service, y compris celles sur l’Essai de garantie, doivent s’appliquer individuellement à chacune de ces Tranches, et le certificat de Réception opérationnelle doit être délivré par conséquent pour chacune de ces Tranches.</w:t>
            </w:r>
          </w:p>
          <w:p w14:paraId="12B6BBFC" w14:textId="77777777" w:rsidR="00F332DA" w:rsidRPr="00BD76AF" w:rsidRDefault="00F332DA" w:rsidP="00942801">
            <w:pPr>
              <w:spacing w:after="200"/>
              <w:ind w:left="1440" w:hanging="839"/>
              <w:rPr>
                <w:szCs w:val="24"/>
              </w:rPr>
            </w:pPr>
            <w:r w:rsidRPr="00BD76AF">
              <w:rPr>
                <w:szCs w:val="24"/>
              </w:rPr>
              <w:t>25.4.2</w:t>
            </w:r>
            <w:r w:rsidRPr="00BD76AF">
              <w:rPr>
                <w:szCs w:val="24"/>
              </w:rPr>
              <w:tab/>
              <w:t>Dans le cas où une partie des Installations comprend des ouvrages tels que des bâtiments, pour lesquels aucune Mise en service ni aucun Essai de garantie n’est nécessaire, le Directeur de projet doit délivrer le certificat de Réception opérationnelle de cet ouvrage lorsqu’il sera achevé, étant entendu que l’Entrepreneur doit ensuite compléter tous les travaux mineurs restés en suspens, tels qu’ils seront énumérés dans le certificat de Réception opérationnelle.</w:t>
            </w:r>
          </w:p>
        </w:tc>
      </w:tr>
    </w:tbl>
    <w:p w14:paraId="17D14EA6" w14:textId="77777777" w:rsidR="00F332DA" w:rsidRPr="00BD76AF" w:rsidRDefault="00F332DA" w:rsidP="00AE25A4">
      <w:pPr>
        <w:pStyle w:val="S7Header1"/>
        <w:spacing w:before="240" w:afterLines="100" w:after="240"/>
        <w:rPr>
          <w:sz w:val="32"/>
          <w:szCs w:val="32"/>
        </w:rPr>
      </w:pPr>
      <w:bookmarkStart w:id="788" w:name="_Toc102050806"/>
      <w:r w:rsidRPr="00BD76AF">
        <w:rPr>
          <w:sz w:val="32"/>
          <w:szCs w:val="32"/>
        </w:rPr>
        <w:t>F.  Garanties et responsabilités</w:t>
      </w:r>
      <w:bookmarkEnd w:id="788"/>
    </w:p>
    <w:tbl>
      <w:tblPr>
        <w:tblW w:w="9288" w:type="dxa"/>
        <w:tblInd w:w="-74" w:type="dxa"/>
        <w:tblLayout w:type="fixed"/>
        <w:tblLook w:val="0000" w:firstRow="0" w:lastRow="0" w:firstColumn="0" w:lastColumn="0" w:noHBand="0" w:noVBand="0"/>
      </w:tblPr>
      <w:tblGrid>
        <w:gridCol w:w="2352"/>
        <w:gridCol w:w="6936"/>
      </w:tblGrid>
      <w:tr w:rsidR="00F332DA" w:rsidRPr="00BD76AF" w14:paraId="502E8CD9" w14:textId="77777777" w:rsidTr="00D02518">
        <w:tc>
          <w:tcPr>
            <w:tcW w:w="2352" w:type="dxa"/>
          </w:tcPr>
          <w:p w14:paraId="53C2F505" w14:textId="77777777" w:rsidR="00F332DA" w:rsidRPr="00BD76AF" w:rsidRDefault="00F332DA" w:rsidP="007C71D1">
            <w:pPr>
              <w:pStyle w:val="S7Header2"/>
              <w:rPr>
                <w:szCs w:val="24"/>
              </w:rPr>
            </w:pPr>
            <w:bookmarkStart w:id="789" w:name="_Toc102050807"/>
            <w:r w:rsidRPr="00BD76AF">
              <w:rPr>
                <w:szCs w:val="24"/>
              </w:rPr>
              <w:t>26.</w:t>
            </w:r>
            <w:r w:rsidRPr="00BD76AF">
              <w:rPr>
                <w:szCs w:val="24"/>
              </w:rPr>
              <w:tab/>
              <w:t>Garantie du Délai d’achèvement</w:t>
            </w:r>
            <w:bookmarkEnd w:id="789"/>
          </w:p>
        </w:tc>
        <w:tc>
          <w:tcPr>
            <w:tcW w:w="6936" w:type="dxa"/>
          </w:tcPr>
          <w:p w14:paraId="793E9BED" w14:textId="77777777" w:rsidR="00F332DA" w:rsidRPr="00BD76AF" w:rsidRDefault="00F332DA" w:rsidP="00281895">
            <w:pPr>
              <w:spacing w:after="200"/>
              <w:ind w:left="601" w:hanging="601"/>
              <w:rPr>
                <w:szCs w:val="24"/>
              </w:rPr>
            </w:pPr>
            <w:r w:rsidRPr="00BD76AF">
              <w:rPr>
                <w:szCs w:val="24"/>
              </w:rPr>
              <w:t>26.1</w:t>
            </w:r>
            <w:r w:rsidRPr="00BD76AF">
              <w:rPr>
                <w:szCs w:val="24"/>
              </w:rPr>
              <w:tab/>
              <w:t>L’Entrepreneur garantit qu’il parviendra à l’achèvement des Installations ou d’une de leurs Tranches dans le Délai d’achèvement conformément à l’Article 8.2 des CG, ou dans tel délai prolongé auquel l’Entrepreneur peut prétendre en vertu de l’Article 40 des CG.</w:t>
            </w:r>
          </w:p>
          <w:p w14:paraId="71F0CE80" w14:textId="77777777" w:rsidR="00F332DA" w:rsidRPr="00BD76AF" w:rsidRDefault="00F332DA" w:rsidP="00884A36">
            <w:pPr>
              <w:spacing w:afterLines="50" w:after="120"/>
              <w:ind w:left="601" w:hanging="601"/>
              <w:rPr>
                <w:szCs w:val="24"/>
              </w:rPr>
            </w:pPr>
            <w:r w:rsidRPr="00BD76AF">
              <w:rPr>
                <w:szCs w:val="24"/>
              </w:rPr>
              <w:t>26.2</w:t>
            </w:r>
            <w:r w:rsidRPr="00BD76AF">
              <w:rPr>
                <w:szCs w:val="24"/>
              </w:rPr>
              <w:tab/>
              <w:t xml:space="preserve">Si l’Entrepreneur ne parvient pas à l’achèvement des Installations ou d’une de leurs Tranches dans le Délai d’achèvement ou le délai prolongé en application de l’Article 40 des CG, l’Entrepreneur doit payer au Maître d’ouvrage une pénalité de retard du montant </w:t>
            </w:r>
            <w:r w:rsidRPr="00BD76AF">
              <w:rPr>
                <w:b/>
                <w:szCs w:val="24"/>
              </w:rPr>
              <w:t>indiqué dans les Données du Marché</w:t>
            </w:r>
            <w:r w:rsidRPr="00BD76AF">
              <w:rPr>
                <w:szCs w:val="24"/>
              </w:rPr>
              <w:t xml:space="preserve"> représentant un pourcentage du Montant du Marché ou de la partie concernée de celui-ci. Le montant total de cette pénalité de retard ne doit en aucun cas excéder le montant maximum </w:t>
            </w:r>
            <w:r w:rsidRPr="00BD76AF">
              <w:rPr>
                <w:b/>
                <w:szCs w:val="24"/>
              </w:rPr>
              <w:t>indiqué dans les Données du Marché</w:t>
            </w:r>
            <w:r w:rsidRPr="00BD76AF">
              <w:rPr>
                <w:szCs w:val="24"/>
              </w:rPr>
              <w:t>. Lorsque le montant maximum est atteint, le Maître d’ouvrage peut envisager de résilier le Marché, conformément à l’Article 42.2.2 des CG.</w:t>
            </w:r>
          </w:p>
          <w:p w14:paraId="3E2F0AFF" w14:textId="77777777" w:rsidR="00F332DA" w:rsidRPr="00BD76AF" w:rsidRDefault="00F332DA" w:rsidP="005745EC">
            <w:pPr>
              <w:spacing w:afterLines="50" w:after="120"/>
              <w:ind w:left="601"/>
              <w:rPr>
                <w:szCs w:val="24"/>
              </w:rPr>
            </w:pPr>
            <w:r w:rsidRPr="00BD76AF">
              <w:rPr>
                <w:szCs w:val="24"/>
              </w:rPr>
              <w:t>Ce paiement doit satisfaire totalement l’obligation de l’Entrepreneur de réaliser l’achèvement des Installations ou d’une de leurs Tranches dans le Délai d’achèvement ou le délai prolongé en application de l’Article 40 (</w:t>
            </w:r>
            <w:r w:rsidRPr="00BD76AF">
              <w:rPr>
                <w:i/>
                <w:szCs w:val="24"/>
              </w:rPr>
              <w:t>Prolongation du Délai d’achèvement</w:t>
            </w:r>
            <w:r w:rsidRPr="00BD76AF">
              <w:rPr>
                <w:szCs w:val="24"/>
              </w:rPr>
              <w:t>) des CG. L’Entrepreneur ne doit avoir aucune autre responsabilité quelle qu’elle soit envers le Maître d’ouvrage à ce titre.</w:t>
            </w:r>
          </w:p>
          <w:p w14:paraId="2DC5B447" w14:textId="77777777" w:rsidR="00F332DA" w:rsidRPr="00BD76AF" w:rsidRDefault="00F332DA" w:rsidP="005745EC">
            <w:pPr>
              <w:spacing w:afterLines="50" w:after="120"/>
              <w:ind w:left="601"/>
              <w:rPr>
                <w:szCs w:val="24"/>
              </w:rPr>
            </w:pPr>
            <w:r w:rsidRPr="00BD76AF">
              <w:rPr>
                <w:szCs w:val="24"/>
              </w:rPr>
              <w:t>Cependant, le paiement de cette pénalité de retard ne doit aucunement libérer l’Entrepreneur de ses obligations d’</w:t>
            </w:r>
            <w:r w:rsidRPr="00BD76AF">
              <w:t>achever</w:t>
            </w:r>
            <w:r w:rsidRPr="00BD76AF">
              <w:rPr>
                <w:szCs w:val="24"/>
              </w:rPr>
              <w:t xml:space="preserve"> les Installations ou une de leurs Tranches, ni de ses autres obligations et responsabilités en vertu du Marché.</w:t>
            </w:r>
          </w:p>
          <w:p w14:paraId="14A1C0E4" w14:textId="77777777" w:rsidR="00F332DA" w:rsidRPr="00BD76AF" w:rsidRDefault="00F332DA" w:rsidP="00281895">
            <w:pPr>
              <w:spacing w:after="200"/>
              <w:ind w:left="601"/>
            </w:pPr>
            <w:r w:rsidRPr="00BD76AF">
              <w:rPr>
                <w:szCs w:val="24"/>
              </w:rPr>
              <w:t xml:space="preserve">En dehors du paiement de la pénalité de retard </w:t>
            </w:r>
            <w:r w:rsidRPr="00BD76AF">
              <w:t>conformément</w:t>
            </w:r>
            <w:r w:rsidRPr="00BD76AF">
              <w:rPr>
                <w:szCs w:val="24"/>
              </w:rPr>
              <w:t xml:space="preserve"> à cet Article 26.2 des CG, que l’Entrepreneur n’atteigne pas une étape importante ou n’accomplisse pas une action, opération ou formalité pour la date indiquée dans l’Annexe 4 (</w:t>
            </w:r>
            <w:r w:rsidRPr="00BD76AF">
              <w:rPr>
                <w:i/>
                <w:szCs w:val="24"/>
              </w:rPr>
              <w:t>Calendrier d’exécution</w:t>
            </w:r>
            <w:r w:rsidRPr="00BD76AF">
              <w:rPr>
                <w:szCs w:val="24"/>
              </w:rPr>
              <w:t xml:space="preserve">) de l’Acte d’engagement, et/ou tout autre </w:t>
            </w:r>
            <w:r w:rsidRPr="00BD76AF">
              <w:t>programme</w:t>
            </w:r>
            <w:r w:rsidRPr="00BD76AF">
              <w:rPr>
                <w:szCs w:val="24"/>
              </w:rPr>
              <w:t xml:space="preserve"> de travail préparé conformément à l’Article 18.2 des CG</w:t>
            </w:r>
            <w:r w:rsidRPr="00BD76AF">
              <w:t>, ne doit en rien le rendre responsable de toute perte ou dommage subit de ce fait par le Maître d’ouvrage.</w:t>
            </w:r>
          </w:p>
          <w:p w14:paraId="1C71AE0B" w14:textId="77777777" w:rsidR="00F332DA" w:rsidRPr="00BD76AF" w:rsidRDefault="00F332DA" w:rsidP="00281895">
            <w:pPr>
              <w:spacing w:after="200"/>
              <w:ind w:left="601" w:hanging="601"/>
              <w:rPr>
                <w:szCs w:val="24"/>
              </w:rPr>
            </w:pPr>
            <w:r w:rsidRPr="00BD76AF">
              <w:t>26.3</w:t>
            </w:r>
            <w:r w:rsidRPr="00BD76AF">
              <w:tab/>
              <w:t xml:space="preserve">Lorsque l’Entrepreneur parvient à l’achèvement des Installations </w:t>
            </w:r>
            <w:r w:rsidRPr="00BD76AF">
              <w:rPr>
                <w:szCs w:val="24"/>
              </w:rPr>
              <w:t>ou</w:t>
            </w:r>
            <w:r w:rsidRPr="00BD76AF">
              <w:t xml:space="preserve"> d’une de leurs </w:t>
            </w:r>
            <w:r w:rsidRPr="00BD76AF">
              <w:rPr>
                <w:szCs w:val="24"/>
              </w:rPr>
              <w:t xml:space="preserve">Tranches avant la fin du Délai d’achèvement ou du délai prolongé en application de l’Article 40 des CG, le Maître d’ouvrage doit payer à l’Entrepreneur une prime d’un montant </w:t>
            </w:r>
            <w:r w:rsidRPr="00BD76AF">
              <w:rPr>
                <w:b/>
                <w:szCs w:val="24"/>
              </w:rPr>
              <w:t xml:space="preserve">indiqué dans les Données du Marché </w:t>
            </w:r>
            <w:r w:rsidRPr="00BD76AF">
              <w:rPr>
                <w:szCs w:val="24"/>
              </w:rPr>
              <w:t xml:space="preserve">(le cas échéant). Le montant total de cette prime ne doit en aucun cas excéder le montant maximum </w:t>
            </w:r>
            <w:r w:rsidRPr="00BD76AF">
              <w:rPr>
                <w:b/>
                <w:szCs w:val="24"/>
              </w:rPr>
              <w:t>spécifié dans les Données du Marché</w:t>
            </w:r>
            <w:r w:rsidRPr="00BD76AF">
              <w:rPr>
                <w:szCs w:val="24"/>
              </w:rPr>
              <w:t>.</w:t>
            </w:r>
          </w:p>
        </w:tc>
      </w:tr>
      <w:tr w:rsidR="00F332DA" w:rsidRPr="00BD76AF" w14:paraId="462639F0" w14:textId="77777777" w:rsidTr="00D02518">
        <w:tc>
          <w:tcPr>
            <w:tcW w:w="2352" w:type="dxa"/>
          </w:tcPr>
          <w:p w14:paraId="24DE4B28" w14:textId="77777777" w:rsidR="00F332DA" w:rsidRPr="00BD76AF" w:rsidRDefault="00F332DA" w:rsidP="007C71D1">
            <w:pPr>
              <w:pStyle w:val="S7Header2"/>
              <w:rPr>
                <w:szCs w:val="24"/>
              </w:rPr>
            </w:pPr>
            <w:bookmarkStart w:id="790" w:name="_Toc102050808"/>
            <w:r w:rsidRPr="00BD76AF">
              <w:rPr>
                <w:szCs w:val="24"/>
              </w:rPr>
              <w:t>27.</w:t>
            </w:r>
            <w:r w:rsidRPr="00BD76AF">
              <w:rPr>
                <w:szCs w:val="24"/>
              </w:rPr>
              <w:tab/>
              <w:t>Garantie</w:t>
            </w:r>
            <w:bookmarkEnd w:id="790"/>
          </w:p>
        </w:tc>
        <w:tc>
          <w:tcPr>
            <w:tcW w:w="6936" w:type="dxa"/>
            <w:shd w:val="clear" w:color="auto" w:fill="auto"/>
          </w:tcPr>
          <w:p w14:paraId="7EF60DB3" w14:textId="77777777" w:rsidR="00F332DA" w:rsidRPr="00BD76AF" w:rsidRDefault="00F332DA" w:rsidP="00281895">
            <w:pPr>
              <w:spacing w:after="200"/>
              <w:ind w:left="601" w:hanging="601"/>
              <w:rPr>
                <w:szCs w:val="24"/>
              </w:rPr>
            </w:pPr>
            <w:r w:rsidRPr="00BD76AF">
              <w:rPr>
                <w:szCs w:val="24"/>
              </w:rPr>
              <w:t>27.1</w:t>
            </w:r>
            <w:r w:rsidRPr="00BD76AF">
              <w:rPr>
                <w:szCs w:val="24"/>
              </w:rPr>
              <w:tab/>
              <w:t>L’Entrepreneur garantit que les Installations ou toute partie de celles-ci doivent être exemptes de défauts de conception, d’ingénierie, de matériaux et de construction, en ce qui concerne les Équipements fournis et les travaux exécutés.</w:t>
            </w:r>
          </w:p>
          <w:p w14:paraId="407899DE" w14:textId="77777777" w:rsidR="00F332DA" w:rsidRPr="00BD76AF" w:rsidRDefault="00F332DA" w:rsidP="00281895">
            <w:pPr>
              <w:spacing w:after="200"/>
              <w:ind w:left="601" w:hanging="601"/>
              <w:rPr>
                <w:szCs w:val="24"/>
              </w:rPr>
            </w:pPr>
            <w:r w:rsidRPr="00BD76AF">
              <w:rPr>
                <w:szCs w:val="24"/>
              </w:rPr>
              <w:t>27.2</w:t>
            </w:r>
            <w:r w:rsidRPr="00BD76AF">
              <w:rPr>
                <w:szCs w:val="24"/>
              </w:rPr>
              <w:tab/>
              <w:t>La Période de garantie des Installations (ou d’une de leurs Tranches, si la Réception opérationnelle progressive des Installations a lieu) doit commencer à la date de la Réception opérationnelle et prendre fin après 365 jours ou toute autre période</w:t>
            </w:r>
            <w:r w:rsidRPr="00BD76AF">
              <w:rPr>
                <w:rFonts w:hint="eastAsia"/>
                <w:szCs w:val="24"/>
              </w:rPr>
              <w:t xml:space="preserve"> </w:t>
            </w:r>
            <w:r w:rsidRPr="00BD76AF">
              <w:rPr>
                <w:b/>
                <w:szCs w:val="24"/>
              </w:rPr>
              <w:t>spécifiée dans les Données du Marché</w:t>
            </w:r>
            <w:r w:rsidRPr="00BD76AF">
              <w:rPr>
                <w:szCs w:val="24"/>
              </w:rPr>
              <w:t>.</w:t>
            </w:r>
          </w:p>
          <w:p w14:paraId="6DB3ADA4" w14:textId="77777777" w:rsidR="00F332DA" w:rsidRPr="00BD76AF" w:rsidRDefault="00F332DA" w:rsidP="00052E7C">
            <w:pPr>
              <w:spacing w:afterLines="50" w:after="120"/>
              <w:ind w:left="601"/>
              <w:rPr>
                <w:szCs w:val="24"/>
              </w:rPr>
            </w:pPr>
            <w:r w:rsidRPr="00BD76AF">
              <w:rPr>
                <w:szCs w:val="24"/>
              </w:rPr>
              <w:t>Si, durant la Période de garantie, un défaut est décelé dans la conception, l’ingénierie, les matériaux ou la construction des Équipements fournis ou le travail exécuté par l’</w:t>
            </w:r>
            <w:r w:rsidRPr="00BD76AF">
              <w:t>Entrepreneur</w:t>
            </w:r>
            <w:r w:rsidRPr="00BD76AF">
              <w:rPr>
                <w:szCs w:val="24"/>
              </w:rPr>
              <w:t>, l’Entrepreneur doit dans les meilleurs délais, après consultation et avec l’accord du Maître d’ouvrage concernant les réfections adaptées des défauts, réparer, remplacer ou autrement remettre en état, à ses frais, comme l’Entrepreneur le juge bon, ce défaut ainsi que tout dommage aux Installations causé par ce défaut. L’Entrepreneur ne doit pas avoir la responsabilité de réparer, remplacer ou remettre en état tout défaut ou dommage des Installations causé par ou résultant de l’une quelconque des causes suivantes :</w:t>
            </w:r>
          </w:p>
          <w:p w14:paraId="21195E2C" w14:textId="77777777" w:rsidR="00F332DA" w:rsidRPr="00BD76AF" w:rsidRDefault="00F332DA" w:rsidP="00C21879">
            <w:pPr>
              <w:pStyle w:val="SectionVII1"/>
              <w:rPr>
                <w:lang w:val="fr-FR"/>
              </w:rPr>
            </w:pPr>
            <w:r w:rsidRPr="00BD76AF">
              <w:rPr>
                <w:lang w:val="fr-FR"/>
              </w:rPr>
              <w:t>a)</w:t>
            </w:r>
            <w:r w:rsidRPr="00BD76AF">
              <w:rPr>
                <w:lang w:val="fr-FR"/>
              </w:rPr>
              <w:tab/>
              <w:t>l’exploitation ou la maintenance inappropriée des Installations par le Maître d’ouvrage ;</w:t>
            </w:r>
          </w:p>
          <w:p w14:paraId="653E7F8B" w14:textId="77777777" w:rsidR="00F332DA" w:rsidRPr="00BD76AF" w:rsidRDefault="00F332DA" w:rsidP="00C21879">
            <w:pPr>
              <w:pStyle w:val="SectionVII1"/>
              <w:rPr>
                <w:lang w:val="fr-FR"/>
              </w:rPr>
            </w:pPr>
            <w:r w:rsidRPr="00BD76AF">
              <w:rPr>
                <w:lang w:val="fr-FR"/>
              </w:rPr>
              <w:t>b)</w:t>
            </w:r>
            <w:r w:rsidRPr="00BD76AF">
              <w:rPr>
                <w:lang w:val="fr-FR"/>
              </w:rPr>
              <w:tab/>
              <w:t>l’exploitation des Installations dans le non-respect des spécifications du Marché ; ou</w:t>
            </w:r>
          </w:p>
          <w:p w14:paraId="29AFF53A" w14:textId="77777777" w:rsidR="00F332DA" w:rsidRPr="00BD76AF" w:rsidRDefault="00F332DA" w:rsidP="00C21879">
            <w:pPr>
              <w:pStyle w:val="SectionVII1"/>
              <w:rPr>
                <w:lang w:val="fr-FR"/>
              </w:rPr>
            </w:pPr>
            <w:r w:rsidRPr="00BD76AF">
              <w:rPr>
                <w:lang w:val="fr-FR"/>
              </w:rPr>
              <w:t>c)</w:t>
            </w:r>
            <w:r w:rsidRPr="00BD76AF">
              <w:rPr>
                <w:lang w:val="fr-FR"/>
              </w:rPr>
              <w:tab/>
              <w:t>l’usure normale.</w:t>
            </w:r>
          </w:p>
          <w:p w14:paraId="5E5F83F7" w14:textId="77777777" w:rsidR="00F332DA" w:rsidRPr="00BD76AF" w:rsidRDefault="00F332DA" w:rsidP="00884A36">
            <w:pPr>
              <w:spacing w:afterLines="50" w:after="120"/>
              <w:ind w:left="601" w:hanging="601"/>
              <w:rPr>
                <w:szCs w:val="24"/>
              </w:rPr>
            </w:pPr>
            <w:r w:rsidRPr="00BD76AF">
              <w:rPr>
                <w:szCs w:val="24"/>
              </w:rPr>
              <w:t>27.3</w:t>
            </w:r>
            <w:r w:rsidRPr="00BD76AF">
              <w:rPr>
                <w:szCs w:val="24"/>
              </w:rPr>
              <w:tab/>
              <w:t>Les obligations de l’Entrepreneur conformément à cet Article 27 des CG ne s’appliquent pas :</w:t>
            </w:r>
          </w:p>
          <w:p w14:paraId="11568907" w14:textId="77777777" w:rsidR="00F332DA" w:rsidRPr="00BD76AF" w:rsidRDefault="00F332DA" w:rsidP="00C21879">
            <w:pPr>
              <w:pStyle w:val="SectionVII1"/>
              <w:rPr>
                <w:lang w:val="fr-FR"/>
              </w:rPr>
            </w:pPr>
            <w:r w:rsidRPr="00BD76AF">
              <w:rPr>
                <w:lang w:val="fr-FR"/>
              </w:rPr>
              <w:t>a)</w:t>
            </w:r>
            <w:r w:rsidRPr="00BD76AF">
              <w:rPr>
                <w:lang w:val="fr-FR"/>
              </w:rPr>
              <w:tab/>
              <w:t>aux matériels fournis par le Maître d’ouvrage conformément à l’Article 21.2 (</w:t>
            </w:r>
            <w:r w:rsidRPr="00BD76AF">
              <w:rPr>
                <w:i/>
                <w:lang w:val="fr-FR"/>
              </w:rPr>
              <w:t>Équipements fournis par le Maître d’ouvrage</w:t>
            </w:r>
            <w:r w:rsidRPr="00BD76AF">
              <w:rPr>
                <w:lang w:val="fr-FR"/>
              </w:rPr>
              <w:t>) des CG, qui sont normalement utilisés dans le cadre de l’exploitation, ou qui ont une durée de vie inférieure à celle de la Période de garantie stipulée au Marché ;</w:t>
            </w:r>
          </w:p>
          <w:p w14:paraId="3FD39368" w14:textId="77777777" w:rsidR="00F332DA" w:rsidRPr="00BD76AF" w:rsidRDefault="00F332DA" w:rsidP="00C21879">
            <w:pPr>
              <w:pStyle w:val="SectionVII1"/>
              <w:rPr>
                <w:lang w:val="fr-FR"/>
              </w:rPr>
            </w:pPr>
            <w:r w:rsidRPr="00BD76AF">
              <w:rPr>
                <w:lang w:val="fr-FR"/>
              </w:rPr>
              <w:t>b)</w:t>
            </w:r>
            <w:r w:rsidRPr="00BD76AF">
              <w:rPr>
                <w:lang w:val="fr-FR"/>
              </w:rPr>
              <w:tab/>
              <w:t>aux études, spécifications ou autres données réalisées, fournies ou spécifiées par ou au nom du Maître d’ouvrage ou tout autre élément à l’égard duquel l’Entrepreneur a dégagé sa responsabilité ; ou</w:t>
            </w:r>
          </w:p>
          <w:p w14:paraId="32CAC9A9" w14:textId="77777777" w:rsidR="00F332DA" w:rsidRPr="00BD76AF" w:rsidRDefault="00F332DA" w:rsidP="00C21879">
            <w:pPr>
              <w:pStyle w:val="SectionVII1"/>
              <w:rPr>
                <w:lang w:val="fr-FR"/>
              </w:rPr>
            </w:pPr>
            <w:r w:rsidRPr="00BD76AF">
              <w:rPr>
                <w:lang w:val="fr-FR"/>
              </w:rPr>
              <w:t>c)</w:t>
            </w:r>
            <w:r w:rsidRPr="00BD76AF">
              <w:rPr>
                <w:lang w:val="fr-FR"/>
              </w:rPr>
              <w:tab/>
              <w:t>aux autres matériaux fournis, aux autres travaux exécutés par ou au nom du Maître d’ouvrage, sauf pour les travaux exécutés par le Maître d’ouvrage conformément à l’Article 27.7 des CG.</w:t>
            </w:r>
          </w:p>
          <w:p w14:paraId="28A719CF" w14:textId="77777777" w:rsidR="00F332DA" w:rsidRPr="00BD76AF" w:rsidRDefault="00F332DA" w:rsidP="00C74C60">
            <w:pPr>
              <w:spacing w:after="200"/>
              <w:ind w:left="601" w:hanging="601"/>
              <w:rPr>
                <w:szCs w:val="24"/>
              </w:rPr>
            </w:pPr>
            <w:r w:rsidRPr="00BD76AF">
              <w:rPr>
                <w:szCs w:val="24"/>
              </w:rPr>
              <w:t>27.4</w:t>
            </w:r>
            <w:r w:rsidRPr="00BD76AF">
              <w:rPr>
                <w:szCs w:val="24"/>
              </w:rPr>
              <w:tab/>
              <w:t>Le Maître d’ouvrage doit adresser à l’Entrepreneur une notification précisant la nature du défaut, accompagnée de toutes les preuves disponibles établissant son existence, dans les meilleurs délais suite à la découverte du défaut. Le Maître d’ouvrage doit donner à l’Entrepreneur toutes les opportunités raisonnables pour inspecter ce défaut.</w:t>
            </w:r>
          </w:p>
          <w:p w14:paraId="2D95E3A1" w14:textId="77777777" w:rsidR="00F332DA" w:rsidRPr="00BD76AF" w:rsidRDefault="00F332DA" w:rsidP="00884A36">
            <w:pPr>
              <w:spacing w:afterLines="50" w:after="120"/>
              <w:ind w:left="601" w:hanging="601"/>
              <w:rPr>
                <w:szCs w:val="24"/>
              </w:rPr>
            </w:pPr>
            <w:r w:rsidRPr="00BD76AF">
              <w:rPr>
                <w:szCs w:val="24"/>
              </w:rPr>
              <w:t>27.5</w:t>
            </w:r>
            <w:r w:rsidRPr="00BD76AF">
              <w:rPr>
                <w:szCs w:val="24"/>
              </w:rPr>
              <w:tab/>
              <w:t>Le Maître d’ouvrage doit donner à l’Entrepreneur l’accès nécessaire aux Installations et au Site pour lui permettre d’exécuter ses obligations conformément à l’Article 27 des CG.</w:t>
            </w:r>
          </w:p>
          <w:p w14:paraId="6A4A71A0" w14:textId="77777777" w:rsidR="00F332DA" w:rsidRPr="00BD76AF" w:rsidRDefault="00F332DA" w:rsidP="00C74C60">
            <w:pPr>
              <w:spacing w:after="200"/>
              <w:ind w:left="601"/>
              <w:rPr>
                <w:szCs w:val="24"/>
              </w:rPr>
            </w:pPr>
            <w:r w:rsidRPr="00BD76AF">
              <w:rPr>
                <w:szCs w:val="24"/>
              </w:rPr>
              <w:t>L’Entrepreneur peut, avec le consentement du Maître d’</w:t>
            </w:r>
            <w:r w:rsidRPr="00BD76AF">
              <w:t>ouvrage</w:t>
            </w:r>
            <w:r w:rsidRPr="00BD76AF">
              <w:rPr>
                <w:szCs w:val="24"/>
              </w:rPr>
              <w:t>, enlever du Site les Équipements défectueux ou toute partie défectueuse des Installations, si la nature du défaut et/ou du dommage causé par ce défaut aux Installations est telle que les réparations nécessaires ne peuvent pas être réalisées rapidement sur le Site.</w:t>
            </w:r>
          </w:p>
          <w:p w14:paraId="44F5F4AC" w14:textId="77777777" w:rsidR="00F332DA" w:rsidRPr="00BD76AF" w:rsidRDefault="00F332DA" w:rsidP="00884A36">
            <w:pPr>
              <w:spacing w:afterLines="50" w:after="120"/>
              <w:ind w:left="601" w:hanging="601"/>
              <w:rPr>
                <w:szCs w:val="24"/>
              </w:rPr>
            </w:pPr>
            <w:r w:rsidRPr="00BD76AF">
              <w:rPr>
                <w:szCs w:val="24"/>
              </w:rPr>
              <w:t>27.6</w:t>
            </w:r>
            <w:r w:rsidRPr="00BD76AF">
              <w:rPr>
                <w:szCs w:val="24"/>
              </w:rPr>
              <w:tab/>
              <w:t>Si la nature de la réparation, du remplacement ou de la remise en état est telle qu’elle peut affecter le rendement des Installations ou d’une partie de celles-ci, le Maître d’ouvrage peut adresser à l’Entrepreneur une notification exigeant qu’il réalise des essais sur les parties défectueuses des Installations, immédiatement après avoir achevé ces travaux correctifs ; à la suite de quoi l’Entrepreneur doit réaliser ces essais.</w:t>
            </w:r>
          </w:p>
          <w:p w14:paraId="2AB83364" w14:textId="77777777" w:rsidR="00F332DA" w:rsidRPr="00BD76AF" w:rsidRDefault="00F332DA" w:rsidP="00052E7C">
            <w:pPr>
              <w:spacing w:afterLines="50" w:after="120"/>
              <w:ind w:left="601"/>
              <w:rPr>
                <w:szCs w:val="24"/>
              </w:rPr>
            </w:pPr>
            <w:r w:rsidRPr="00BD76AF">
              <w:rPr>
                <w:szCs w:val="24"/>
              </w:rPr>
              <w:t xml:space="preserve">Dans le cas où la partie concernée des Installations ne </w:t>
            </w:r>
            <w:r w:rsidRPr="00BD76AF">
              <w:t>passerait</w:t>
            </w:r>
            <w:r w:rsidRPr="00BD76AF">
              <w:rPr>
                <w:szCs w:val="24"/>
              </w:rPr>
              <w:t xml:space="preserve"> pas ces essais avec succès, l’Entrepreneur doit procéder à des travaux supplémentaires de réparation, de remplacement ou de remise en état, selon le cas, jusqu’à ce que cette partie des Installations passe les essais avec succès. Les essais seront définis d’un commun accord entre le Maître d’ouvrage et l’Entrepreneur.</w:t>
            </w:r>
          </w:p>
          <w:p w14:paraId="7798530C" w14:textId="77777777" w:rsidR="00F332DA" w:rsidRPr="00BD76AF" w:rsidRDefault="00F332DA" w:rsidP="00C74C60">
            <w:pPr>
              <w:spacing w:after="200"/>
              <w:ind w:left="601" w:hanging="601"/>
              <w:rPr>
                <w:szCs w:val="24"/>
              </w:rPr>
            </w:pPr>
            <w:r w:rsidRPr="00BD76AF">
              <w:rPr>
                <w:szCs w:val="24"/>
              </w:rPr>
              <w:t>27.7</w:t>
            </w:r>
            <w:r w:rsidRPr="00BD76AF">
              <w:rPr>
                <w:szCs w:val="24"/>
              </w:rPr>
              <w:tab/>
              <w:t>Si l’Entrepreneur n’entreprend pas les travaux nécessaires afin de remédier à ce défaut ou à tout dommage que ce défaut aurait causé aux Installations dans un délai raisonnable (qui ne saurait en aucun cas être inférieur à quatorze (14) jours), le Maître d’ouvrage peut procéder lui-même à ces travaux, après avoir adressé une notification à l’Entrepreneur, et les coûts raisonnables engagés par le Maître d’ouvrage en relation avec ces travaux doivent lui être payés par l’Entrepreneur ou peuvent être déduits par le Maître d’ouvrage de toutes sommes dues à l’Entrepreneur ou réclamées en application de la garantie de bonne exécution.</w:t>
            </w:r>
          </w:p>
          <w:p w14:paraId="29B6FDC1" w14:textId="77777777" w:rsidR="00F332DA" w:rsidRPr="00BD76AF" w:rsidRDefault="00F332DA" w:rsidP="00C74C60">
            <w:pPr>
              <w:spacing w:after="200"/>
              <w:ind w:left="601" w:hanging="601"/>
              <w:rPr>
                <w:szCs w:val="24"/>
              </w:rPr>
            </w:pPr>
            <w:r w:rsidRPr="00BD76AF">
              <w:rPr>
                <w:szCs w:val="24"/>
              </w:rPr>
              <w:t>27.8</w:t>
            </w:r>
            <w:r w:rsidRPr="00BD76AF">
              <w:rPr>
                <w:szCs w:val="24"/>
              </w:rPr>
              <w:tab/>
              <w:t>Si un défaut est réparé conformément à cet Article 27 des CG, la Période de garantie pour l’élément qui a été mis en état doit être prorogée pour une période de douze (12) mois à partir de la remise en état. Cependant, la Période de garantie ne peut en aucun cas être prolongée au-delà de vingt-quatre (24) mois après la date de Réception opérationnelle des Installations ou de la partie concernée de celles-ci.</w:t>
            </w:r>
          </w:p>
          <w:p w14:paraId="6C319B78" w14:textId="77777777" w:rsidR="00F332DA" w:rsidRPr="00BD76AF" w:rsidRDefault="00F332DA" w:rsidP="00C74C60">
            <w:pPr>
              <w:spacing w:after="200"/>
              <w:ind w:left="601" w:hanging="601"/>
              <w:rPr>
                <w:szCs w:val="24"/>
              </w:rPr>
            </w:pPr>
            <w:r w:rsidRPr="00BD76AF">
              <w:rPr>
                <w:szCs w:val="24"/>
                <w:lang w:eastAsia="ja-JP"/>
              </w:rPr>
              <w:t>27.9</w:t>
            </w:r>
            <w:r w:rsidRPr="00BD76AF">
              <w:rPr>
                <w:szCs w:val="24"/>
                <w:lang w:eastAsia="ja-JP"/>
              </w:rPr>
              <w:tab/>
            </w:r>
            <w:r w:rsidRPr="00BD76AF">
              <w:rPr>
                <w:szCs w:val="24"/>
              </w:rPr>
              <w:t>Excepté dans les conditions de cet Article 27 et de l’Article 33 (</w:t>
            </w:r>
            <w:r w:rsidRPr="00BD76AF">
              <w:rPr>
                <w:i/>
                <w:szCs w:val="24"/>
              </w:rPr>
              <w:t>Pertes ou dommages matériels, accidents du travail, indemnisation</w:t>
            </w:r>
            <w:r w:rsidRPr="00BD76AF">
              <w:rPr>
                <w:szCs w:val="24"/>
              </w:rPr>
              <w:t>) des CG, l’Entrepreneur ne doit assumer aucune responsabilité quelle qu’elle soit et quelque soit la manière dont elle se manifeste, en vertu du Marché, au titre des défauts décelés dans les Installations ou une partie de celles-ci ou dans les É</w:t>
            </w:r>
            <w:r w:rsidRPr="00BD76AF">
              <w:t>quipements</w:t>
            </w:r>
            <w:r w:rsidRPr="00BD76AF">
              <w:rPr>
                <w:szCs w:val="24"/>
              </w:rPr>
              <w:t>, la conception, l’ingénierie ou les travaux exécutés qui apparaîtraient après l’achèvement des Installations ou d’une partie de celles-ci, à moins que ces défauts n’aient été causés par une négligence grave, une fraude, un acte criminel ou intentionnel de l’Entrepreneur.</w:t>
            </w:r>
          </w:p>
        </w:tc>
      </w:tr>
      <w:tr w:rsidR="00F332DA" w:rsidRPr="00BD76AF" w14:paraId="3CA70FDF" w14:textId="77777777" w:rsidTr="00D02518">
        <w:tc>
          <w:tcPr>
            <w:tcW w:w="2352" w:type="dxa"/>
          </w:tcPr>
          <w:p w14:paraId="43898308" w14:textId="77777777" w:rsidR="00F332DA" w:rsidRPr="00BD76AF" w:rsidRDefault="00F332DA" w:rsidP="007C71D1">
            <w:pPr>
              <w:pStyle w:val="S7Header2"/>
              <w:rPr>
                <w:szCs w:val="24"/>
              </w:rPr>
            </w:pPr>
            <w:bookmarkStart w:id="791" w:name="_Toc102050809"/>
            <w:r w:rsidRPr="00BD76AF">
              <w:rPr>
                <w:szCs w:val="24"/>
              </w:rPr>
              <w:t>28.</w:t>
            </w:r>
            <w:r w:rsidRPr="00BD76AF">
              <w:rPr>
                <w:szCs w:val="24"/>
              </w:rPr>
              <w:tab/>
              <w:t>Garanties opérationnelles</w:t>
            </w:r>
            <w:bookmarkEnd w:id="791"/>
          </w:p>
        </w:tc>
        <w:tc>
          <w:tcPr>
            <w:tcW w:w="6936" w:type="dxa"/>
          </w:tcPr>
          <w:p w14:paraId="0D749164" w14:textId="77777777" w:rsidR="00F332DA" w:rsidRPr="00BD76AF" w:rsidRDefault="00F332DA" w:rsidP="00FC3641">
            <w:pPr>
              <w:spacing w:after="200"/>
              <w:ind w:left="601" w:hanging="601"/>
              <w:rPr>
                <w:szCs w:val="24"/>
              </w:rPr>
            </w:pPr>
            <w:r w:rsidRPr="00BD76AF">
              <w:rPr>
                <w:szCs w:val="24"/>
              </w:rPr>
              <w:t>28.1</w:t>
            </w:r>
            <w:r w:rsidRPr="00BD76AF">
              <w:rPr>
                <w:szCs w:val="24"/>
              </w:rPr>
              <w:tab/>
              <w:t>L’Entrepreneur garantit que les Installations et toutes les parties de celles-ci doivent atteindre, lors de l’Essai de garantie, les Garanties opérationnelles spécifiées dans l’Annexe 8 (</w:t>
            </w:r>
            <w:r w:rsidRPr="00BD76AF">
              <w:rPr>
                <w:i/>
                <w:szCs w:val="24"/>
              </w:rPr>
              <w:t>Garanties opérationnelles</w:t>
            </w:r>
            <w:r w:rsidRPr="00BD76AF">
              <w:rPr>
                <w:szCs w:val="24"/>
              </w:rPr>
              <w:t>) de l’Acte d’engagement, sous réserve et dans les conditions du Marché.</w:t>
            </w:r>
          </w:p>
          <w:p w14:paraId="4BFA67BE" w14:textId="77777777" w:rsidR="00F332DA" w:rsidRPr="00BD76AF" w:rsidRDefault="00F332DA" w:rsidP="00FC3641">
            <w:pPr>
              <w:spacing w:after="200"/>
              <w:ind w:left="601" w:hanging="601"/>
              <w:rPr>
                <w:szCs w:val="24"/>
              </w:rPr>
            </w:pPr>
            <w:r w:rsidRPr="00BD76AF">
              <w:rPr>
                <w:szCs w:val="24"/>
              </w:rPr>
              <w:t>28.2</w:t>
            </w:r>
            <w:r w:rsidRPr="00BD76AF">
              <w:rPr>
                <w:szCs w:val="24"/>
              </w:rPr>
              <w:tab/>
              <w:t>Si, pour des raisons imputables à l’Entrepreneur, le niveau minimum des Garanties opérationnelles spécifié dans l’Annexe 8 (</w:t>
            </w:r>
            <w:r w:rsidRPr="00BD76AF">
              <w:rPr>
                <w:i/>
                <w:szCs w:val="24"/>
              </w:rPr>
              <w:t>Garanties opérationnelles</w:t>
            </w:r>
            <w:r w:rsidRPr="00BD76AF">
              <w:rPr>
                <w:szCs w:val="24"/>
              </w:rPr>
              <w:t>) de l’Acte d’engagement, n’est pas satisfait en totalité ou en partie, l’Entrepreneur doit, à ses frais, apporter aux Installations ou aux parties de celles-ci les changements, modifications et/ou adjonctions qui peuvent être nécessaires pour atteindre au moins le niveau minimum de ces Garanties opérationnelles. L’Entrepreneur doit notifier au Maître d’ouvrage l’achèvement des changements, modifications et/ou adjonctions nécessaires, et il doit demander au Maître d’ouvrage de procéder à un nouvel Essai de garantie, jusqu’à ce que le niveau minimum ait été atteint. Si l’Entrepreneur n’arrive pas à atteindre le niveau minimum de Garanties opérationnelles, le Maître d’ouvrage peut envisager de résilier le Marché, conformément à l’Article 42.2.2 des CG.</w:t>
            </w:r>
          </w:p>
          <w:p w14:paraId="606AC9A0" w14:textId="77777777" w:rsidR="00F332DA" w:rsidRPr="00BD76AF" w:rsidRDefault="00F332DA" w:rsidP="00884A36">
            <w:pPr>
              <w:spacing w:afterLines="50" w:after="120"/>
              <w:ind w:left="601" w:hanging="601"/>
              <w:rPr>
                <w:szCs w:val="24"/>
              </w:rPr>
            </w:pPr>
            <w:r w:rsidRPr="00BD76AF">
              <w:rPr>
                <w:szCs w:val="24"/>
              </w:rPr>
              <w:t>28.3</w:t>
            </w:r>
            <w:r w:rsidRPr="00BD76AF">
              <w:rPr>
                <w:szCs w:val="24"/>
              </w:rPr>
              <w:tab/>
              <w:t>Si, pour des raisons imputables à l’Entrepreneur, les Garanties opérationnelles spécifiées dans l’Annexe 8 (</w:t>
            </w:r>
            <w:r w:rsidRPr="00BD76AF">
              <w:rPr>
                <w:i/>
                <w:szCs w:val="24"/>
              </w:rPr>
              <w:t>Garanties opérationnelles</w:t>
            </w:r>
            <w:r w:rsidRPr="00BD76AF">
              <w:rPr>
                <w:szCs w:val="24"/>
              </w:rPr>
              <w:t>) de l’Acte d’engagement, ne sont pas atteintes, en totalité ou en partie, mais que le niveau minimum des Garanties opérationnelles spécifié dans cette annexe de l’Acte d’engagement est atteint, l’Entrepreneur doit, au choix de l’Entrepreneur, soit :</w:t>
            </w:r>
          </w:p>
          <w:p w14:paraId="7BC5E4A6" w14:textId="77777777" w:rsidR="00F332DA" w:rsidRPr="00BD76AF" w:rsidRDefault="00F332DA" w:rsidP="00C21879">
            <w:pPr>
              <w:pStyle w:val="SectionVII1"/>
              <w:rPr>
                <w:lang w:val="fr-FR"/>
              </w:rPr>
            </w:pPr>
            <w:r w:rsidRPr="00BD76AF">
              <w:rPr>
                <w:lang w:val="fr-FR"/>
              </w:rPr>
              <w:t>a)</w:t>
            </w:r>
            <w:r w:rsidRPr="00BD76AF">
              <w:rPr>
                <w:lang w:val="fr-FR"/>
              </w:rPr>
              <w:tab/>
              <w:t>apporter aux Installations ou à toute partie de celles-ci, à ses frais, les changements, modifications et/ou adjonctions qui sont nécessaires pour atteindre les Garanties opérationnelles, et demander au Maître d’ouvrage de répéter l’Essai de garantie ; ou</w:t>
            </w:r>
          </w:p>
          <w:p w14:paraId="71E1B93A" w14:textId="77777777" w:rsidR="00F332DA" w:rsidRPr="00BD76AF" w:rsidRDefault="00F332DA" w:rsidP="00C21879">
            <w:pPr>
              <w:pStyle w:val="SectionVII1"/>
              <w:rPr>
                <w:lang w:val="fr-FR"/>
              </w:rPr>
            </w:pPr>
            <w:r w:rsidRPr="00BD76AF">
              <w:rPr>
                <w:lang w:val="fr-FR"/>
              </w:rPr>
              <w:t>b)</w:t>
            </w:r>
            <w:r w:rsidRPr="00BD76AF">
              <w:rPr>
                <w:lang w:val="fr-FR"/>
              </w:rPr>
              <w:tab/>
              <w:t>payer au Maître d’ouvrage une pénalité pour non-respect des Garanties opérationnelles dont le montant est spécifié dans l’Annexe 8 (</w:t>
            </w:r>
            <w:r w:rsidRPr="00BD76AF">
              <w:rPr>
                <w:i/>
                <w:lang w:val="fr-FR"/>
              </w:rPr>
              <w:t>Garanties opérationnelles</w:t>
            </w:r>
            <w:r w:rsidRPr="00BD76AF">
              <w:rPr>
                <w:lang w:val="fr-FR"/>
              </w:rPr>
              <w:t xml:space="preserve">) de l’Acte d’engagement. Toutefois, le montant total de ces pénalités à payer en vertu de cet Article ne doit pas dépasser le montant maximum </w:t>
            </w:r>
            <w:r w:rsidRPr="00BD76AF">
              <w:rPr>
                <w:b/>
                <w:lang w:val="fr-FR"/>
              </w:rPr>
              <w:t>indiqué dans les Données du Marché</w:t>
            </w:r>
            <w:r w:rsidRPr="00BD76AF">
              <w:rPr>
                <w:lang w:val="fr-FR"/>
              </w:rPr>
              <w:t>.</w:t>
            </w:r>
          </w:p>
          <w:p w14:paraId="7B8BC8E6" w14:textId="77777777" w:rsidR="00F332DA" w:rsidRPr="00BD76AF" w:rsidRDefault="00F332DA" w:rsidP="00FC3641">
            <w:pPr>
              <w:spacing w:after="200"/>
              <w:ind w:left="601" w:hanging="601"/>
              <w:rPr>
                <w:szCs w:val="24"/>
              </w:rPr>
            </w:pPr>
            <w:r w:rsidRPr="00BD76AF">
              <w:rPr>
                <w:szCs w:val="24"/>
              </w:rPr>
              <w:t>28.4</w:t>
            </w:r>
            <w:r w:rsidRPr="00BD76AF">
              <w:rPr>
                <w:szCs w:val="24"/>
              </w:rPr>
              <w:tab/>
              <w:t>Le paiement de la pénalité mentionnée à l’Article 28.3 des CG jusqu’au</w:t>
            </w:r>
            <w:r w:rsidRPr="00BD76AF">
              <w:t xml:space="preserve"> montant maximum </w:t>
            </w:r>
            <w:r w:rsidRPr="00BD76AF">
              <w:rPr>
                <w:b/>
              </w:rPr>
              <w:t>indiqué dans les Données du Marché</w:t>
            </w:r>
            <w:r w:rsidRPr="00BD76AF">
              <w:rPr>
                <w:szCs w:val="24"/>
              </w:rPr>
              <w:t>, doit satisfaire intégralement les obligations de garantie de l’Entrepreneur, conformément à l’Article 28.3 des CG, et l’Entrepreneur ne doit avoir aucune autre responsabilité quelle qu’elle soit envers le Maître d’ouvrage à ce titre. Dès le paiement de cette pénalité par l’Entrepreneur, le Directeur de projet doit délivrer le certificat de Réception opérationnelle pour les Installations ou une de leurs Tranches ayant donné lieu au paiement de la pénalité.</w:t>
            </w:r>
          </w:p>
        </w:tc>
      </w:tr>
      <w:tr w:rsidR="00F332DA" w:rsidRPr="00BD76AF" w14:paraId="203C499F" w14:textId="77777777" w:rsidTr="00D02518">
        <w:tc>
          <w:tcPr>
            <w:tcW w:w="2352" w:type="dxa"/>
          </w:tcPr>
          <w:p w14:paraId="7018C2A3" w14:textId="77777777" w:rsidR="00F332DA" w:rsidRPr="00BD76AF" w:rsidRDefault="00F332DA" w:rsidP="007C71D1">
            <w:pPr>
              <w:pStyle w:val="S7Header2"/>
              <w:rPr>
                <w:szCs w:val="24"/>
              </w:rPr>
            </w:pPr>
            <w:bookmarkStart w:id="792" w:name="_Toc102050810"/>
            <w:r w:rsidRPr="00BD76AF">
              <w:rPr>
                <w:szCs w:val="24"/>
              </w:rPr>
              <w:t>29.</w:t>
            </w:r>
            <w:r w:rsidRPr="00BD76AF">
              <w:rPr>
                <w:szCs w:val="24"/>
              </w:rPr>
              <w:tab/>
              <w:t>Indemnisation des brevets</w:t>
            </w:r>
            <w:bookmarkEnd w:id="792"/>
          </w:p>
        </w:tc>
        <w:tc>
          <w:tcPr>
            <w:tcW w:w="6936" w:type="dxa"/>
          </w:tcPr>
          <w:p w14:paraId="00EFE540" w14:textId="77777777" w:rsidR="00F332DA" w:rsidRPr="00BD76AF" w:rsidRDefault="00F332DA" w:rsidP="00884A36">
            <w:pPr>
              <w:spacing w:afterLines="50" w:after="120"/>
              <w:ind w:left="601" w:hanging="601"/>
              <w:rPr>
                <w:szCs w:val="24"/>
              </w:rPr>
            </w:pPr>
            <w:r w:rsidRPr="00BD76AF">
              <w:rPr>
                <w:szCs w:val="24"/>
              </w:rPr>
              <w:t>29.1</w:t>
            </w:r>
            <w:r w:rsidRPr="00BD76AF">
              <w:rPr>
                <w:szCs w:val="24"/>
              </w:rPr>
              <w:tab/>
              <w:t>Sous réserve que le Maître d’ouvrage se conforme aux dispositions de l’Article 29.2 des CG, l’Entrepreneur doit indemniser et garantir le Maître d’ouvrage et ses employés et dirigeants de et contre toute poursuite, action judiciaire, procédure administrative, réclamation, demande, perte, dommages, frais et dépenses de quelle</w:t>
            </w:r>
            <w:r w:rsidRPr="00BD76AF">
              <w:rPr>
                <w:szCs w:val="24"/>
                <w:lang w:eastAsia="ja-JP"/>
              </w:rPr>
              <w:t xml:space="preserve"> que</w:t>
            </w:r>
            <w:r w:rsidRPr="00BD76AF">
              <w:rPr>
                <w:szCs w:val="24"/>
              </w:rPr>
              <w:t xml:space="preserve"> nature que ce soit, y compris les frais et honoraires d’avocat, que le Maître d’ouvrage peut subir en conséquence de toute contrefaçon réelle ou alléguée d’un brevet, d’un dessin ou modèle déposé, d’une marque, d’un droit d’auteur ou de tout autre droit de propriété intellectuelle enregistré ou existant autrement à la date du Marché, résultant : </w:t>
            </w:r>
          </w:p>
          <w:p w14:paraId="0E3A6972" w14:textId="77777777" w:rsidR="00F332DA" w:rsidRPr="00BD76AF" w:rsidRDefault="00F332DA" w:rsidP="00C21879">
            <w:pPr>
              <w:pStyle w:val="SectionVII1"/>
              <w:rPr>
                <w:lang w:val="fr-FR"/>
              </w:rPr>
            </w:pPr>
            <w:r w:rsidRPr="00BD76AF">
              <w:rPr>
                <w:lang w:val="fr-FR"/>
              </w:rPr>
              <w:t xml:space="preserve">a) </w:t>
            </w:r>
            <w:r w:rsidRPr="00BD76AF">
              <w:rPr>
                <w:lang w:val="fr-FR"/>
              </w:rPr>
              <w:tab/>
              <w:t xml:space="preserve">du montage des Installations par l’Entrepreneur ou de l’utilisation des Installations dans le pays où se trouve le Site ; et </w:t>
            </w:r>
          </w:p>
          <w:p w14:paraId="71EBFFCC" w14:textId="77777777" w:rsidR="00F332DA" w:rsidRPr="00BD76AF" w:rsidRDefault="00F332DA" w:rsidP="00C21879">
            <w:pPr>
              <w:pStyle w:val="SectionVII1"/>
              <w:rPr>
                <w:lang w:val="fr-FR"/>
              </w:rPr>
            </w:pPr>
            <w:r w:rsidRPr="00BD76AF">
              <w:rPr>
                <w:lang w:val="fr-FR"/>
              </w:rPr>
              <w:t xml:space="preserve">b) </w:t>
            </w:r>
            <w:r w:rsidRPr="00BD76AF">
              <w:rPr>
                <w:lang w:val="fr-FR"/>
              </w:rPr>
              <w:tab/>
              <w:t>de la vente, dans un pays quelconque, des produits fabriqués dans les Installations.</w:t>
            </w:r>
          </w:p>
          <w:p w14:paraId="05C12219" w14:textId="77777777" w:rsidR="00F332DA" w:rsidRPr="00BD76AF" w:rsidRDefault="00F332DA" w:rsidP="00FC3641">
            <w:pPr>
              <w:spacing w:after="200"/>
              <w:ind w:left="601"/>
              <w:rPr>
                <w:szCs w:val="24"/>
              </w:rPr>
            </w:pPr>
            <w:r w:rsidRPr="00BD76AF">
              <w:rPr>
                <w:szCs w:val="24"/>
              </w:rPr>
              <w:t xml:space="preserve">Cette indemnisation ne doit couvrir aucune utilisation des Installations </w:t>
            </w:r>
            <w:r w:rsidRPr="00BD76AF">
              <w:t>ou</w:t>
            </w:r>
            <w:r w:rsidRPr="00BD76AF">
              <w:rPr>
                <w:szCs w:val="24"/>
              </w:rPr>
              <w:t xml:space="preserve"> d’une partie de celles-ci à des fins autres que celles indiquées dans le Marché ou pouvant en être raisonnablement déduites, aucune contrefaçon provenant de l’utilisation des Installations ou d’une partie de celles-ci ou des produits fabriqués dans les Installations, en association ou en combinaison avec tout autre équipement, matériel ou matériau non fournis par l’Entrepreneur en vertu du Marché.</w:t>
            </w:r>
          </w:p>
          <w:p w14:paraId="5D45C104" w14:textId="77777777" w:rsidR="00F332DA" w:rsidRPr="00BD76AF" w:rsidRDefault="00F332DA" w:rsidP="00884A36">
            <w:pPr>
              <w:spacing w:afterLines="50" w:after="120"/>
              <w:ind w:left="601" w:hanging="601"/>
              <w:rPr>
                <w:szCs w:val="24"/>
              </w:rPr>
            </w:pPr>
            <w:r w:rsidRPr="00BD76AF">
              <w:rPr>
                <w:szCs w:val="24"/>
              </w:rPr>
              <w:t>29.2</w:t>
            </w:r>
            <w:r w:rsidRPr="00BD76AF">
              <w:rPr>
                <w:szCs w:val="24"/>
              </w:rPr>
              <w:tab/>
              <w:t>Dans le cas où une procédure serait intentée ou une réclamation dirigée contre le Maître d’ouvrage, dans le cadre de l’Article 29.1 des CG, le Maître d’ouvrage doit sans délai le notifier à l’Entrepreneur, et l’Entrepreneur peut, à ses propres frais et au nom du Maître d’ouvrage, mener cette procédure ou le règlement de cette réclamation, et toutes négociations afin de régler cette procédure ou cette réclamation.</w:t>
            </w:r>
          </w:p>
          <w:p w14:paraId="580AAF89" w14:textId="77777777" w:rsidR="00F332DA" w:rsidRPr="00BD76AF" w:rsidRDefault="00F332DA" w:rsidP="00052E7C">
            <w:pPr>
              <w:spacing w:afterLines="50" w:after="120"/>
              <w:ind w:left="601"/>
              <w:rPr>
                <w:szCs w:val="24"/>
              </w:rPr>
            </w:pPr>
            <w:r w:rsidRPr="00BD76AF">
              <w:rPr>
                <w:szCs w:val="24"/>
              </w:rPr>
              <w:t xml:space="preserve">Si l’Entrepreneur ne notifie pas au Maître d’ouvrage, dans un délai de vingt-huit (28) jours suivant la réception de cette </w:t>
            </w:r>
            <w:r w:rsidRPr="00BD76AF">
              <w:t>notification</w:t>
            </w:r>
            <w:r w:rsidRPr="00BD76AF">
              <w:rPr>
                <w:szCs w:val="24"/>
              </w:rPr>
              <w:t>, qu’il entend mener cette procédure ou le règlement de cette réclamation, le Maître d’ouvrage sera libre de conduire cette procédure en son propre nom. À moins que l’Entrepreneur n’ait pas ainsi notifié son intention au Maître d’ouvrage dans le délai de vingt-huit (28) jours, le Maître d’ouvrage ne doit faire aucune déclaration qui puisse être préjudiciable à la défense de cette procédure ou de cette réclamation.</w:t>
            </w:r>
          </w:p>
          <w:p w14:paraId="2CFD08FE" w14:textId="77777777" w:rsidR="00F332DA" w:rsidRPr="00BD76AF" w:rsidRDefault="00F332DA" w:rsidP="00FC3641">
            <w:pPr>
              <w:spacing w:after="200"/>
              <w:ind w:left="601"/>
              <w:rPr>
                <w:szCs w:val="24"/>
              </w:rPr>
            </w:pPr>
            <w:r w:rsidRPr="00BD76AF">
              <w:rPr>
                <w:szCs w:val="24"/>
              </w:rPr>
              <w:t>Le Maître d’ouvrage doit, à la demande de l’Entrepreneur, lui apporter toute l’assistance possible pour mener cette procédure ou le règlement de cette réclamation, et doit être remboursé par l’Entrepreneur de tous les frais raisonnables engagés pour ce faire.</w:t>
            </w:r>
          </w:p>
          <w:p w14:paraId="024EB32C" w14:textId="77777777" w:rsidR="00F332DA" w:rsidRPr="00BD76AF" w:rsidRDefault="00F332DA" w:rsidP="00FC3641">
            <w:pPr>
              <w:spacing w:after="200"/>
              <w:ind w:left="601" w:hanging="601"/>
              <w:rPr>
                <w:szCs w:val="24"/>
              </w:rPr>
            </w:pPr>
            <w:r w:rsidRPr="00BD76AF">
              <w:rPr>
                <w:szCs w:val="24"/>
              </w:rPr>
              <w:t>29.3</w:t>
            </w:r>
            <w:r w:rsidRPr="00BD76AF">
              <w:rPr>
                <w:szCs w:val="24"/>
              </w:rPr>
              <w:tab/>
              <w:t>Le Maître d’ouvrage doit indemniser et garantir l’Entrepreneur et ses employés, dirigeants et Sous-traitants de et contre toute poursuite, action judiciaire, procédure administrative, réclamation, demande, perte, dommage, frais et dépenses de quelque nature que ce soit, y compris les frais et honoraires d’avocat, que l’Entrepreneur peut subir en conséquence de toute contrefaçon réelle ou alléguée d’un brevet, d’un dessin ou modèle déposé, d’une marque, d’un droit d’auteur ou de tout autre droit de propriété intellectuelle enregistré ou existant autrement à la date du Marché, résultant de ou en relation avec des études, dessins, plans, spécifications ou autres documents ou matériels fournis ou conçus par ou pour le compte du Maître d’ouvrage.</w:t>
            </w:r>
          </w:p>
        </w:tc>
      </w:tr>
      <w:tr w:rsidR="00F332DA" w:rsidRPr="00BD76AF" w14:paraId="19584B8A" w14:textId="77777777" w:rsidTr="00D02518">
        <w:tc>
          <w:tcPr>
            <w:tcW w:w="2352" w:type="dxa"/>
          </w:tcPr>
          <w:p w14:paraId="43E119CD" w14:textId="77777777" w:rsidR="00F332DA" w:rsidRPr="00BD76AF" w:rsidRDefault="00F332DA" w:rsidP="007C71D1">
            <w:pPr>
              <w:pStyle w:val="S7Header2"/>
              <w:rPr>
                <w:szCs w:val="24"/>
              </w:rPr>
            </w:pPr>
            <w:bookmarkStart w:id="793" w:name="_Toc102050811"/>
            <w:r w:rsidRPr="00BD76AF">
              <w:rPr>
                <w:szCs w:val="24"/>
              </w:rPr>
              <w:t>30.</w:t>
            </w:r>
            <w:r w:rsidRPr="00BD76AF">
              <w:rPr>
                <w:szCs w:val="24"/>
              </w:rPr>
              <w:tab/>
              <w:t>Limite de responsabilité</w:t>
            </w:r>
            <w:bookmarkEnd w:id="793"/>
          </w:p>
        </w:tc>
        <w:tc>
          <w:tcPr>
            <w:tcW w:w="6936" w:type="dxa"/>
          </w:tcPr>
          <w:p w14:paraId="2DA7B16E" w14:textId="77777777" w:rsidR="00F332DA" w:rsidRPr="00BD76AF" w:rsidRDefault="00F332DA" w:rsidP="00884A36">
            <w:pPr>
              <w:spacing w:afterLines="50" w:after="120"/>
              <w:ind w:left="601" w:hanging="601"/>
              <w:rPr>
                <w:szCs w:val="24"/>
              </w:rPr>
            </w:pPr>
            <w:r w:rsidRPr="00BD76AF">
              <w:rPr>
                <w:szCs w:val="24"/>
              </w:rPr>
              <w:t>30.1</w:t>
            </w:r>
            <w:r w:rsidRPr="00BD76AF">
              <w:rPr>
                <w:szCs w:val="24"/>
              </w:rPr>
              <w:tab/>
              <w:t>Excepté en cas de négligence criminelle ou d’inconduite volontaire :</w:t>
            </w:r>
          </w:p>
          <w:p w14:paraId="154E8847" w14:textId="77777777" w:rsidR="00F332DA" w:rsidRPr="00BD76AF" w:rsidRDefault="00F332DA" w:rsidP="00C21879">
            <w:pPr>
              <w:pStyle w:val="SectionVII1"/>
              <w:rPr>
                <w:lang w:val="fr-FR"/>
              </w:rPr>
            </w:pPr>
            <w:r w:rsidRPr="00BD76AF">
              <w:rPr>
                <w:lang w:val="fr-FR"/>
              </w:rPr>
              <w:t>a)</w:t>
            </w:r>
            <w:r w:rsidRPr="00BD76AF">
              <w:rPr>
                <w:lang w:val="fr-FR"/>
              </w:rPr>
              <w:tab/>
              <w:t>aucune des Parties ne doit être responsable envers l’autre Partie, que ce soit de façon contractuelle, délictueuse ou autre, pour des pertes ou dommages directs ou indirects, pertes d’usage, pertes de production, pertes de profits ou d’intérêts financiers, qui peuvent être subis par l’autre Partie en vertu du Marché, autres que ceux spécifiquement mentionnés comme obligation de la Partie dans le Marché ; et</w:t>
            </w:r>
          </w:p>
          <w:p w14:paraId="00CED1EE" w14:textId="77777777" w:rsidR="00F332DA" w:rsidRPr="00BD76AF" w:rsidRDefault="00F332DA" w:rsidP="00C21879">
            <w:pPr>
              <w:pStyle w:val="SectionVII1"/>
              <w:rPr>
                <w:lang w:val="fr-FR"/>
              </w:rPr>
            </w:pPr>
            <w:r w:rsidRPr="00BD76AF">
              <w:rPr>
                <w:lang w:val="fr-FR"/>
              </w:rPr>
              <w:t>b)</w:t>
            </w:r>
            <w:r w:rsidRPr="00BD76AF">
              <w:rPr>
                <w:lang w:val="fr-FR"/>
              </w:rPr>
              <w:tab/>
              <w:t>la responsabilité totale de l’Entrepreneur envers le Maître d’ouvrage en vertu du Marché, d’un acte illicite ou pour toute autre cause, ne doit pas excéder le montant résultant de l’application du multiple</w:t>
            </w:r>
            <w:r w:rsidRPr="00BD76AF">
              <w:rPr>
                <w:b/>
                <w:lang w:val="fr-FR"/>
              </w:rPr>
              <w:t xml:space="preserve"> indiqué dans les Données du Marché</w:t>
            </w:r>
            <w:r w:rsidRPr="00BD76AF">
              <w:rPr>
                <w:lang w:val="fr-FR"/>
              </w:rPr>
              <w:t xml:space="preserve"> au Montant du Marché, ou la somme </w:t>
            </w:r>
            <w:r w:rsidRPr="00BD76AF">
              <w:rPr>
                <w:b/>
                <w:lang w:val="fr-FR"/>
              </w:rPr>
              <w:t>indiquée dans les Données du Marché,</w:t>
            </w:r>
            <w:r w:rsidRPr="00BD76AF">
              <w:rPr>
                <w:lang w:val="fr-FR"/>
              </w:rPr>
              <w:t xml:space="preserve"> </w:t>
            </w:r>
            <w:r w:rsidRPr="00BD76AF">
              <w:rPr>
                <w:rFonts w:hint="eastAsia"/>
                <w:lang w:val="fr-FR" w:eastAsia="ja-JP"/>
              </w:rPr>
              <w:t>o</w:t>
            </w:r>
            <w:r w:rsidRPr="00BD76AF">
              <w:rPr>
                <w:lang w:val="fr-FR" w:eastAsia="ja-JP"/>
              </w:rPr>
              <w:t xml:space="preserve">u, </w:t>
            </w:r>
            <w:r w:rsidRPr="00BD76AF">
              <w:rPr>
                <w:lang w:val="fr-FR"/>
              </w:rPr>
              <w:t>si aucun multiple ou somme n’est indiqué, le Montant du Marché, étant entendu que cette limitation de responsabilité ne doit pas s’appliquer aux frais de réparation ou de remplacement des équipements défectueux, ni à toute obligation de l’Entrepreneur d’indemniser le Maître d’ouvrage en cas de contrefaçon de brevet.</w:t>
            </w:r>
          </w:p>
        </w:tc>
      </w:tr>
    </w:tbl>
    <w:p w14:paraId="6B56A9D3" w14:textId="77777777" w:rsidR="00F332DA" w:rsidRPr="00BD76AF" w:rsidRDefault="00F332DA" w:rsidP="00A30605">
      <w:pPr>
        <w:pStyle w:val="S7Header1"/>
        <w:spacing w:before="240" w:afterLines="100" w:after="240"/>
        <w:rPr>
          <w:sz w:val="32"/>
          <w:szCs w:val="32"/>
        </w:rPr>
      </w:pPr>
      <w:bookmarkStart w:id="794" w:name="_Toc102050812"/>
      <w:r w:rsidRPr="00BD76AF">
        <w:rPr>
          <w:sz w:val="32"/>
          <w:szCs w:val="32"/>
        </w:rPr>
        <w:t>G.  Partage des risques</w:t>
      </w:r>
      <w:bookmarkEnd w:id="794"/>
    </w:p>
    <w:tbl>
      <w:tblPr>
        <w:tblW w:w="9288" w:type="dxa"/>
        <w:tblInd w:w="-74" w:type="dxa"/>
        <w:tblLayout w:type="fixed"/>
        <w:tblLook w:val="0000" w:firstRow="0" w:lastRow="0" w:firstColumn="0" w:lastColumn="0" w:noHBand="0" w:noVBand="0"/>
      </w:tblPr>
      <w:tblGrid>
        <w:gridCol w:w="2352"/>
        <w:gridCol w:w="6936"/>
      </w:tblGrid>
      <w:tr w:rsidR="00F332DA" w:rsidRPr="00BD76AF" w14:paraId="7DE5364D" w14:textId="77777777" w:rsidTr="00840452">
        <w:tc>
          <w:tcPr>
            <w:tcW w:w="2352" w:type="dxa"/>
          </w:tcPr>
          <w:p w14:paraId="76BDEDEF" w14:textId="77777777" w:rsidR="00F332DA" w:rsidRPr="00BD76AF" w:rsidRDefault="00F332DA" w:rsidP="007C71D1">
            <w:pPr>
              <w:pStyle w:val="S7Header2"/>
              <w:rPr>
                <w:szCs w:val="24"/>
              </w:rPr>
            </w:pPr>
            <w:bookmarkStart w:id="795" w:name="_Toc102050813"/>
            <w:r w:rsidRPr="00BD76AF">
              <w:rPr>
                <w:szCs w:val="24"/>
              </w:rPr>
              <w:t>31.</w:t>
            </w:r>
            <w:r w:rsidRPr="00BD76AF">
              <w:rPr>
                <w:szCs w:val="24"/>
              </w:rPr>
              <w:tab/>
              <w:t>Transfert de propriété</w:t>
            </w:r>
            <w:bookmarkEnd w:id="795"/>
          </w:p>
        </w:tc>
        <w:tc>
          <w:tcPr>
            <w:tcW w:w="6936" w:type="dxa"/>
          </w:tcPr>
          <w:p w14:paraId="6F5DF02B" w14:textId="77777777" w:rsidR="00F332DA" w:rsidRPr="00BD76AF" w:rsidRDefault="00F332DA" w:rsidP="00CF6594">
            <w:pPr>
              <w:spacing w:after="200"/>
              <w:ind w:left="601" w:hanging="601"/>
              <w:rPr>
                <w:szCs w:val="24"/>
              </w:rPr>
            </w:pPr>
            <w:r w:rsidRPr="00BD76AF">
              <w:rPr>
                <w:szCs w:val="24"/>
              </w:rPr>
              <w:t>31.1</w:t>
            </w:r>
            <w:r w:rsidRPr="00BD76AF">
              <w:rPr>
                <w:szCs w:val="24"/>
              </w:rPr>
              <w:tab/>
              <w:t>La propriété des Équipements (y compris des pièces de rechange) devant être importés dans le pays où se trouve le Site doit être transférée au Maître d’ouvrage au moment de leur chargement à bord du mode de transport choisi pour transporter les Équipements de leur pays d’origine dans ce pays.</w:t>
            </w:r>
          </w:p>
          <w:p w14:paraId="01D395B0" w14:textId="77777777" w:rsidR="00F332DA" w:rsidRPr="00BD76AF" w:rsidRDefault="00F332DA" w:rsidP="00CF6594">
            <w:pPr>
              <w:spacing w:after="200"/>
              <w:ind w:left="601" w:hanging="601"/>
              <w:rPr>
                <w:szCs w:val="24"/>
              </w:rPr>
            </w:pPr>
            <w:r w:rsidRPr="00BD76AF">
              <w:rPr>
                <w:szCs w:val="24"/>
              </w:rPr>
              <w:t>31.2</w:t>
            </w:r>
            <w:r w:rsidRPr="00BD76AF">
              <w:rPr>
                <w:szCs w:val="24"/>
              </w:rPr>
              <w:tab/>
              <w:t>La propriété des Équipements (y compris des pièces de rechange) achetés dans le pays où se trouve le Site doit être transférée au Maître d’ouvrage au moment où les Équipements sont livrés sur le Site.</w:t>
            </w:r>
          </w:p>
          <w:p w14:paraId="2D22425A" w14:textId="77777777" w:rsidR="00F332DA" w:rsidRPr="00BD76AF" w:rsidRDefault="00F332DA" w:rsidP="00CF6594">
            <w:pPr>
              <w:spacing w:after="200"/>
              <w:ind w:left="601" w:hanging="601"/>
              <w:rPr>
                <w:szCs w:val="24"/>
              </w:rPr>
            </w:pPr>
            <w:r w:rsidRPr="00BD76AF">
              <w:rPr>
                <w:szCs w:val="24"/>
              </w:rPr>
              <w:t>31.3</w:t>
            </w:r>
            <w:r w:rsidRPr="00BD76AF">
              <w:rPr>
                <w:szCs w:val="24"/>
              </w:rPr>
              <w:tab/>
              <w:t>La propriété des Équipements de l’Entrepreneur utilisés par l’Entrepreneur et ses Sous-traitants, en relation avec le Marché, doit demeurer celle de l’Entrepreneur ou de ses Sous-traitants.</w:t>
            </w:r>
          </w:p>
          <w:p w14:paraId="16584021" w14:textId="77777777" w:rsidR="00F332DA" w:rsidRPr="00BD76AF" w:rsidRDefault="00F332DA" w:rsidP="00CF6594">
            <w:pPr>
              <w:spacing w:after="200"/>
              <w:ind w:left="601" w:hanging="601"/>
              <w:rPr>
                <w:szCs w:val="24"/>
              </w:rPr>
            </w:pPr>
            <w:r w:rsidRPr="00BD76AF">
              <w:rPr>
                <w:szCs w:val="24"/>
              </w:rPr>
              <w:t>31.4</w:t>
            </w:r>
            <w:r w:rsidRPr="00BD76AF">
              <w:rPr>
                <w:szCs w:val="24"/>
              </w:rPr>
              <w:tab/>
              <w:t>La propriété des Équipements en excédent des exigences pour les Installations doit revenir à l’Entrepreneur à la Réception opérationnelle des Installations ou à toute date antérieure lorsque le Maître d’ouvrage et l’Entrepreneur conviennent que les Équipements en question ne sont plus nécessaires à la réalisation des Installations.</w:t>
            </w:r>
          </w:p>
          <w:p w14:paraId="52A0FCC4" w14:textId="77777777" w:rsidR="00F332DA" w:rsidRPr="00BD76AF" w:rsidRDefault="00F332DA" w:rsidP="00CF6594">
            <w:pPr>
              <w:spacing w:after="200"/>
              <w:ind w:left="601" w:hanging="601"/>
              <w:rPr>
                <w:szCs w:val="24"/>
              </w:rPr>
            </w:pPr>
            <w:r w:rsidRPr="00BD76AF">
              <w:rPr>
                <w:szCs w:val="24"/>
              </w:rPr>
              <w:t>31.5</w:t>
            </w:r>
            <w:r w:rsidRPr="00BD76AF">
              <w:rPr>
                <w:szCs w:val="24"/>
              </w:rPr>
              <w:tab/>
              <w:t>Nonobstant le transfert de propriété des Équipements, l’Entrepreneur doit conserver la responsabilité d’en assurer l’entretien et la garde, ainsi que le risque de dommages ou pertes, conformément à l’Article 32 (</w:t>
            </w:r>
            <w:r w:rsidRPr="00BD76AF">
              <w:rPr>
                <w:i/>
                <w:szCs w:val="24"/>
              </w:rPr>
              <w:t>Entretien des Installations</w:t>
            </w:r>
            <w:r w:rsidRPr="00BD76AF">
              <w:rPr>
                <w:szCs w:val="24"/>
              </w:rPr>
              <w:t>) des CG jusqu’à la Réception opérationnelle des Installations ou d’une de leurs Tranches à laquelle ces Équipements sont incorporés.</w:t>
            </w:r>
          </w:p>
          <w:p w14:paraId="050DCFB0" w14:textId="77777777" w:rsidR="00F332DA" w:rsidRPr="00BD76AF" w:rsidRDefault="00F332DA" w:rsidP="00CC5293">
            <w:pPr>
              <w:spacing w:after="200"/>
              <w:ind w:left="601" w:hanging="601"/>
              <w:rPr>
                <w:szCs w:val="24"/>
                <w:lang w:eastAsia="ja-JP"/>
              </w:rPr>
            </w:pPr>
            <w:r w:rsidRPr="00BD76AF">
              <w:rPr>
                <w:szCs w:val="24"/>
              </w:rPr>
              <w:t>31.6</w:t>
            </w:r>
            <w:r w:rsidRPr="00BD76AF">
              <w:rPr>
                <w:szCs w:val="24"/>
              </w:rPr>
              <w:tab/>
              <w:t xml:space="preserve">La Réception opérationnelle </w:t>
            </w:r>
            <w:r w:rsidRPr="00BD76AF">
              <w:rPr>
                <w:szCs w:val="24"/>
                <w:lang w:eastAsia="ja-JP"/>
              </w:rPr>
              <w:t>a pour effet de transférer au Maître d’ouvrage</w:t>
            </w:r>
            <w:r w:rsidRPr="00BD76AF">
              <w:rPr>
                <w:szCs w:val="24"/>
              </w:rPr>
              <w:t xml:space="preserve"> la responsabilité d’assurer l’entretien et la garde des Installations ou de la partie en question ; il a également pour effet de lui transférer le risque de dommages ou pertes des Installations ou de la partie en question. </w:t>
            </w:r>
            <w:r w:rsidRPr="00BD76AF">
              <w:rPr>
                <w:szCs w:val="24"/>
                <w:lang w:eastAsia="ja-JP"/>
              </w:rPr>
              <w:t>Le Maître d’ouvrage doit prendre possession des Installations ou la partie en question après la R</w:t>
            </w:r>
            <w:r w:rsidRPr="00BD76AF">
              <w:rPr>
                <w:szCs w:val="24"/>
              </w:rPr>
              <w:t>éception</w:t>
            </w:r>
            <w:r w:rsidRPr="00BD76AF">
              <w:rPr>
                <w:szCs w:val="24"/>
                <w:lang w:eastAsia="ja-JP"/>
              </w:rPr>
              <w:t xml:space="preserve"> opérationnelle.</w:t>
            </w:r>
          </w:p>
        </w:tc>
      </w:tr>
      <w:tr w:rsidR="00F332DA" w:rsidRPr="00BD76AF" w14:paraId="661C1ED6" w14:textId="77777777" w:rsidTr="00840452">
        <w:tc>
          <w:tcPr>
            <w:tcW w:w="2352" w:type="dxa"/>
          </w:tcPr>
          <w:p w14:paraId="5D611DFC" w14:textId="77777777" w:rsidR="00F332DA" w:rsidRPr="00BD76AF" w:rsidRDefault="00F332DA" w:rsidP="007C71D1">
            <w:pPr>
              <w:pStyle w:val="S7Header2"/>
              <w:rPr>
                <w:szCs w:val="24"/>
              </w:rPr>
            </w:pPr>
            <w:bookmarkStart w:id="796" w:name="_Toc102050814"/>
            <w:r w:rsidRPr="00BD76AF">
              <w:rPr>
                <w:szCs w:val="24"/>
              </w:rPr>
              <w:t>32.</w:t>
            </w:r>
            <w:r w:rsidRPr="00BD76AF">
              <w:rPr>
                <w:szCs w:val="24"/>
              </w:rPr>
              <w:tab/>
              <w:t>Entretien des Installations</w:t>
            </w:r>
            <w:bookmarkEnd w:id="796"/>
          </w:p>
        </w:tc>
        <w:tc>
          <w:tcPr>
            <w:tcW w:w="6936" w:type="dxa"/>
          </w:tcPr>
          <w:p w14:paraId="71C829AE" w14:textId="77777777" w:rsidR="00F332DA" w:rsidRPr="00BD76AF" w:rsidRDefault="00F332DA" w:rsidP="0082007A">
            <w:pPr>
              <w:spacing w:after="200"/>
              <w:ind w:left="601" w:hanging="601"/>
              <w:rPr>
                <w:szCs w:val="24"/>
              </w:rPr>
            </w:pPr>
            <w:r w:rsidRPr="00BD76AF">
              <w:rPr>
                <w:szCs w:val="24"/>
              </w:rPr>
              <w:t>32.1</w:t>
            </w:r>
            <w:r w:rsidRPr="00BD76AF">
              <w:rPr>
                <w:szCs w:val="24"/>
              </w:rPr>
              <w:tab/>
              <w:t>L’Entrepreneur doit avoir la responsabilité d’assurer l’entretien et la garde des Installations ou de toute partie de celles-ci, jusqu’à la date de la Réception opérationnelle des Installations ou la partie en question, conformément à l’Article 25 (</w:t>
            </w:r>
            <w:r w:rsidRPr="00BD76AF">
              <w:rPr>
                <w:i/>
                <w:szCs w:val="24"/>
              </w:rPr>
              <w:t>Mise en service et Réception opérationnelle</w:t>
            </w:r>
            <w:r w:rsidRPr="00BD76AF">
              <w:rPr>
                <w:szCs w:val="24"/>
              </w:rPr>
              <w:t>) des CG, et doit remédier à ses propres frais à toute perte ou à tout dommage qui peut être subi par des Installations ou la partie concernée de celles-ci pendant cette période, quelle qu’en soit la cause. L’Entrepreneur doit également être responsable de toute perte ou de tout dommage subi par les Installations causé par l’Entrepreneur ou ses Sous-traitants pendant l’exécution des travaux effectués conformément à l’Article 27 (</w:t>
            </w:r>
            <w:r w:rsidRPr="00BD76AF">
              <w:rPr>
                <w:i/>
                <w:szCs w:val="24"/>
              </w:rPr>
              <w:t>Garantie</w:t>
            </w:r>
            <w:r w:rsidRPr="00BD76AF">
              <w:rPr>
                <w:szCs w:val="24"/>
              </w:rPr>
              <w:t>) des CG. Nonobstant les dispositions qui précèdent, l’Entrepreneur ne doit être responsable d’aucune perte ni d’aucun dommage causé aux Installations ou à une partie de celles-ci, par l’un des événements ou circonstances énumérés ou mentionnés aux alinéas a), b) et c) de l’Article 32.2 et à l’Article 38 (</w:t>
            </w:r>
            <w:r w:rsidRPr="00BD76AF">
              <w:rPr>
                <w:i/>
                <w:szCs w:val="24"/>
              </w:rPr>
              <w:t>Risques de guerre</w:t>
            </w:r>
            <w:r w:rsidRPr="00BD76AF">
              <w:rPr>
                <w:szCs w:val="24"/>
              </w:rPr>
              <w:t>) des CG.</w:t>
            </w:r>
          </w:p>
          <w:p w14:paraId="26F3EFF3" w14:textId="77777777" w:rsidR="00F332DA" w:rsidRPr="00BD76AF" w:rsidRDefault="00F332DA" w:rsidP="00884A36">
            <w:pPr>
              <w:spacing w:afterLines="50" w:after="120"/>
              <w:ind w:left="601" w:hanging="601"/>
              <w:rPr>
                <w:szCs w:val="24"/>
              </w:rPr>
            </w:pPr>
            <w:r w:rsidRPr="00BD76AF">
              <w:rPr>
                <w:szCs w:val="24"/>
              </w:rPr>
              <w:t>32.2</w:t>
            </w:r>
            <w:r w:rsidRPr="00BD76AF">
              <w:rPr>
                <w:szCs w:val="24"/>
              </w:rPr>
              <w:tab/>
              <w:t>En cas de pertes ou dommages causés aux Installations, ou à une partie de celles-ci, ou aux ouvrages provisoires de l’Entrepreneur, en raison de ce qui suit :</w:t>
            </w:r>
          </w:p>
          <w:p w14:paraId="7748FAF1" w14:textId="77777777" w:rsidR="00F332DA" w:rsidRPr="00BD76AF" w:rsidRDefault="00F332DA" w:rsidP="00C21879">
            <w:pPr>
              <w:pStyle w:val="SectionVII1"/>
              <w:rPr>
                <w:lang w:val="fr-FR"/>
              </w:rPr>
            </w:pPr>
            <w:r w:rsidRPr="00BD76AF">
              <w:rPr>
                <w:lang w:val="fr-FR"/>
              </w:rPr>
              <w:t>a)</w:t>
            </w:r>
            <w:r w:rsidRPr="00BD76AF">
              <w:rPr>
                <w:lang w:val="fr-FR"/>
              </w:rPr>
              <w:tab/>
              <w:t>dans la mesure où ces événements ont touché le pays où se trouve le Site, réaction nucléaire, radiation nucléaire, contamination radioactive, onde de pression provoquée par un aéronef ou tout objet aérien, ou tout autre événement qu’un Entrepreneur expérimenté ne pouvait pas raisonnablement prévoir ou contre lequel, s’il était raisonnablement prévisible, il ne pouvait pas raisonnablement se prémunir ou s’assurer, dans la mesure où ces risques ne sont généralement pas assurables sur le marché de l’assurance et sont mentionnés dans les exclusions générales de la police d’assurance contractée conformément à l’Article 34 (</w:t>
            </w:r>
            <w:r w:rsidRPr="00BD76AF">
              <w:rPr>
                <w:i/>
                <w:lang w:val="fr-FR"/>
              </w:rPr>
              <w:t>Assurances</w:t>
            </w:r>
            <w:r w:rsidRPr="00BD76AF">
              <w:rPr>
                <w:lang w:val="fr-FR"/>
              </w:rPr>
              <w:t>) des CG, y compris les risques de guerre et risques politiques, ou</w:t>
            </w:r>
          </w:p>
          <w:p w14:paraId="45CFDC32" w14:textId="77777777" w:rsidR="00F332DA" w:rsidRPr="00BD76AF" w:rsidRDefault="00F332DA" w:rsidP="00C21879">
            <w:pPr>
              <w:pStyle w:val="SectionVII1"/>
              <w:rPr>
                <w:lang w:val="fr-FR"/>
              </w:rPr>
            </w:pPr>
            <w:r w:rsidRPr="00BD76AF">
              <w:rPr>
                <w:lang w:val="fr-FR"/>
              </w:rPr>
              <w:t>b)</w:t>
            </w:r>
            <w:r w:rsidRPr="00BD76AF">
              <w:rPr>
                <w:lang w:val="fr-FR"/>
              </w:rPr>
              <w:tab/>
              <w:t>toute utilisation ou occupation d’une partie des Installations par le Maître d’ouvrage ou un tiers, autre qu’un Sous-traitant, autorisé par le Maître d’ouvrage, ou</w:t>
            </w:r>
          </w:p>
          <w:p w14:paraId="523F52B0" w14:textId="77777777" w:rsidR="00F332DA" w:rsidRPr="00BD76AF" w:rsidRDefault="00F332DA" w:rsidP="00C21879">
            <w:pPr>
              <w:pStyle w:val="SectionVII1"/>
              <w:rPr>
                <w:lang w:val="fr-FR"/>
              </w:rPr>
            </w:pPr>
            <w:r w:rsidRPr="00BD76AF">
              <w:rPr>
                <w:lang w:val="fr-FR"/>
              </w:rPr>
              <w:t>c)</w:t>
            </w:r>
            <w:r w:rsidRPr="00BD76AF">
              <w:rPr>
                <w:lang w:val="fr-FR"/>
              </w:rPr>
              <w:tab/>
              <w:t>le fait d’avoir utilisé, ou de s’être fondé sur des études, données ou spécifications fournies ou désignées par ou au nom du Maître d’ouvrage, ou tout autre fait ou circonstance pour lequel l’Entrepreneur a décliné sa responsabilité en vertu du Marché,</w:t>
            </w:r>
          </w:p>
          <w:p w14:paraId="625412AF" w14:textId="77777777" w:rsidR="00F332DA" w:rsidRPr="00BD76AF" w:rsidRDefault="00F332DA" w:rsidP="0082007A">
            <w:pPr>
              <w:spacing w:after="200"/>
              <w:ind w:left="601"/>
              <w:rPr>
                <w:szCs w:val="24"/>
              </w:rPr>
            </w:pPr>
            <w:r w:rsidRPr="00BD76AF">
              <w:rPr>
                <w:szCs w:val="24"/>
              </w:rPr>
              <w:t xml:space="preserve">le Maître d’ouvrage doit payer à l’Entrepreneur toutes les sommes </w:t>
            </w:r>
            <w:r w:rsidRPr="00BD76AF">
              <w:t>payables</w:t>
            </w:r>
            <w:r w:rsidRPr="00BD76AF">
              <w:rPr>
                <w:szCs w:val="24"/>
              </w:rPr>
              <w:t xml:space="preserve"> au titre des Installations réalisées, nonobstant le fait que celles-ci aient été perdues, détruites ou endommagées, et il payera à l’Entrepreneur la valeur de remplacement de toutes les installations provisoires et des parties de celles-ci perdues, détruites ou endommagées. Si le Maître d’ouvrage demande par écrit à l’Entrepreneur de remédier aux pertes ou dommages ainsi causés aux Installations, l’Entrepreneur doit y remédier aux frais du Maître d’ouvrage, conformément à l’Article 39 (</w:t>
            </w:r>
            <w:r w:rsidRPr="00BD76AF">
              <w:rPr>
                <w:i/>
                <w:szCs w:val="24"/>
              </w:rPr>
              <w:t>Modification des Installations</w:t>
            </w:r>
            <w:r w:rsidRPr="00BD76AF">
              <w:rPr>
                <w:szCs w:val="24"/>
              </w:rPr>
              <w:t>) des CG. Si le Maître d’ouvrage ne demande pas par écrit à l’Entrepreneur de remédier aux pertes ou dommages ainsi causés aux Installations, le Maître d’ouvrage doit soit demander une modification conformément à l’Article 39 des CG excluant la partie des Installations ainsi perdue, détruite ou endommagée, soit, si la perte ou le dommage affecte une partie substantielle des Installations, résilier le Marché conformément à l’Article 42.1 (</w:t>
            </w:r>
            <w:r w:rsidRPr="00BD76AF">
              <w:rPr>
                <w:i/>
                <w:szCs w:val="24"/>
              </w:rPr>
              <w:t>Résiliation par le Maître d’ouvrage à la convenance du Maître d’ouvrage</w:t>
            </w:r>
            <w:r w:rsidRPr="00BD76AF">
              <w:rPr>
                <w:szCs w:val="24"/>
              </w:rPr>
              <w:t>) des CG.</w:t>
            </w:r>
          </w:p>
          <w:p w14:paraId="4E5DC13A" w14:textId="77777777" w:rsidR="00F332DA" w:rsidRPr="00BD76AF" w:rsidRDefault="00F332DA" w:rsidP="0082007A">
            <w:pPr>
              <w:spacing w:after="200"/>
              <w:ind w:left="601" w:hanging="601"/>
              <w:rPr>
                <w:szCs w:val="24"/>
              </w:rPr>
            </w:pPr>
            <w:r w:rsidRPr="00BD76AF">
              <w:rPr>
                <w:szCs w:val="24"/>
              </w:rPr>
              <w:t>32.3</w:t>
            </w:r>
            <w:r w:rsidRPr="00BD76AF">
              <w:rPr>
                <w:szCs w:val="24"/>
              </w:rPr>
              <w:tab/>
              <w:t>L’Entrepreneur doit être responsable de toute perte ou de tout dommage causé aux Équipements de l’Entrepreneur, ou à tout autre bien de l’Entrepreneur utilisé ou destiné à être utilisé pour les besoins des Installations, excepté i) dans les cas mentionnés à l’Article 32.2 des CG en ce qui concerne les installations provisoires de l’Entrepreneur, et ii) lorsque cette perte ou ce dommage a pour cause l’un des événements stipulés aux alinéas b) et c) de l’Article 32.2 et à l’Article 38.1 des CG.</w:t>
            </w:r>
          </w:p>
          <w:p w14:paraId="7DCABF5C" w14:textId="77777777" w:rsidR="00F332DA" w:rsidRPr="00BD76AF" w:rsidRDefault="00F332DA" w:rsidP="0082007A">
            <w:pPr>
              <w:spacing w:after="200"/>
              <w:ind w:left="601" w:hanging="601"/>
              <w:rPr>
                <w:szCs w:val="24"/>
              </w:rPr>
            </w:pPr>
            <w:r w:rsidRPr="00BD76AF">
              <w:rPr>
                <w:szCs w:val="24"/>
              </w:rPr>
              <w:t>32.4</w:t>
            </w:r>
            <w:r w:rsidRPr="00BD76AF">
              <w:rPr>
                <w:szCs w:val="24"/>
              </w:rPr>
              <w:tab/>
              <w:t>Les dispositions de l’Article 38.3 des CG doivent s’appliquer à toute perte ou à tout dommage causé aux Installations ou à une partie de celles-ci, ou aux Équipements de</w:t>
            </w:r>
            <w:r w:rsidRPr="00BD76AF">
              <w:rPr>
                <w:sz w:val="22"/>
                <w:szCs w:val="22"/>
              </w:rPr>
              <w:t xml:space="preserve"> </w:t>
            </w:r>
            <w:r w:rsidRPr="00BD76AF">
              <w:rPr>
                <w:szCs w:val="24"/>
              </w:rPr>
              <w:t>l’Entrepreneur, en raison de l’un des événements ou circonstances spécifiés à l’Article 38.1 des CG.</w:t>
            </w:r>
          </w:p>
        </w:tc>
      </w:tr>
      <w:tr w:rsidR="00F332DA" w:rsidRPr="00BD76AF" w14:paraId="1DF52EB1" w14:textId="77777777" w:rsidTr="00840452">
        <w:tc>
          <w:tcPr>
            <w:tcW w:w="2352" w:type="dxa"/>
          </w:tcPr>
          <w:p w14:paraId="5FD7DFAB" w14:textId="77777777" w:rsidR="00F332DA" w:rsidRPr="00BD76AF" w:rsidRDefault="00F332DA" w:rsidP="007C71D1">
            <w:pPr>
              <w:pStyle w:val="S7Header2"/>
              <w:rPr>
                <w:szCs w:val="24"/>
              </w:rPr>
            </w:pPr>
            <w:bookmarkStart w:id="797" w:name="_Toc102050815"/>
            <w:r w:rsidRPr="00BD76AF">
              <w:rPr>
                <w:szCs w:val="24"/>
              </w:rPr>
              <w:t>33.</w:t>
            </w:r>
            <w:r w:rsidRPr="00BD76AF">
              <w:rPr>
                <w:szCs w:val="24"/>
              </w:rPr>
              <w:tab/>
              <w:t>Pertes ou dommages matériels, accidents du travail, indemnisation</w:t>
            </w:r>
            <w:bookmarkEnd w:id="797"/>
          </w:p>
        </w:tc>
        <w:tc>
          <w:tcPr>
            <w:tcW w:w="6936" w:type="dxa"/>
          </w:tcPr>
          <w:p w14:paraId="77AC7A7C" w14:textId="77777777" w:rsidR="00F332DA" w:rsidRPr="00BD76AF" w:rsidRDefault="00F332DA" w:rsidP="002E4D5F">
            <w:pPr>
              <w:spacing w:after="200"/>
              <w:ind w:left="601" w:hanging="601"/>
              <w:rPr>
                <w:szCs w:val="24"/>
              </w:rPr>
            </w:pPr>
            <w:r w:rsidRPr="00BD76AF">
              <w:rPr>
                <w:szCs w:val="24"/>
              </w:rPr>
              <w:t>33.1</w:t>
            </w:r>
            <w:r w:rsidRPr="00BD76AF">
              <w:rPr>
                <w:szCs w:val="24"/>
              </w:rPr>
              <w:tab/>
              <w:t>Sous réserve des dispositions de l’Article 33.3 des CG, l’Entrepreneur doit indemniser et garantir le Maître d’ouvrage et ses employés et dirigeants de et contre toute poursuite, action judiciaire, procédure administrative, réclamation, demande, perte, dommage, frais et dépenses de quelque nature que ce soit, y compris les frais et honoraires d’avocat, résultant d’un décès ou de dommages corporels, de la perte ou de dommages à quelque propriété que ce soit autre que les Installations, qu’elles aient ou non été réceptionnées, provenant de la fourniture et du montage des Installations et pour cause de négligence de l’Entrepreneur, de ses Sous-traitants ou de leurs employés, dirigeants ou agents respectifs, à l’exception de décès, dommages corporels ou matériels causés par la négligence du Maître d’ouvrage, de ses entrepreneurs, employés, dirigeants ou agents.</w:t>
            </w:r>
          </w:p>
          <w:p w14:paraId="2EE3DF4F" w14:textId="77777777" w:rsidR="00F332DA" w:rsidRPr="00BD76AF" w:rsidRDefault="00F332DA" w:rsidP="00296DA2">
            <w:pPr>
              <w:spacing w:afterLines="50" w:after="120"/>
              <w:ind w:left="601" w:hanging="601"/>
              <w:rPr>
                <w:szCs w:val="24"/>
              </w:rPr>
            </w:pPr>
            <w:r w:rsidRPr="00BD76AF">
              <w:rPr>
                <w:szCs w:val="24"/>
              </w:rPr>
              <w:t>33.2</w:t>
            </w:r>
            <w:r w:rsidRPr="00BD76AF">
              <w:rPr>
                <w:szCs w:val="24"/>
              </w:rPr>
              <w:tab/>
              <w:t>Dans le cas de procédures intentées ou de réclamations dirigées contre le Maître d’ouvrage qui pourraient mettre en jeu la responsabilité de l’Entrepreneur conformément à l’Article 33.1 des CG, le Maître d’ouvrage doit le notifier à l’Entrepreneur sans délai et l’Entrepreneur peut, à ses propres frais et au nom du Maître d’ouvrage, mener cette procédure ou le règlement de cette réclamation, et de toutes négociations destinées à régler cette procédure ou cette réclamation.</w:t>
            </w:r>
          </w:p>
          <w:p w14:paraId="76FAA1B4" w14:textId="77777777" w:rsidR="00F332DA" w:rsidRPr="00BD76AF" w:rsidRDefault="00F332DA" w:rsidP="00052E7C">
            <w:pPr>
              <w:spacing w:afterLines="50" w:after="120"/>
              <w:ind w:left="601"/>
              <w:rPr>
                <w:szCs w:val="24"/>
              </w:rPr>
            </w:pPr>
            <w:r w:rsidRPr="00BD76AF">
              <w:rPr>
                <w:szCs w:val="24"/>
              </w:rPr>
              <w:t>Si l’Entrepreneur ne notifie pas au Maître d’ouvrage, dans un délai de vingt-huit (28) jours suivant la réception de cette notification, qu’il entend mener cette procédure ou le règlement de cette réclamation, le Maître d’ouvrage doit être libre de conduire cette procédure en son propre nom. À moins que l’Entrepreneur n’ait pas ainsi notifié son intention au Maître d’ouvrage dans ce délai de vingt-huit (28) jours, le Maître d’ouvrage ne doit faire aucune déclaration qui puisse être préjudiciable à la défense de cette procédure ou de cette réclamation.</w:t>
            </w:r>
          </w:p>
          <w:p w14:paraId="081A6597" w14:textId="77777777" w:rsidR="00F332DA" w:rsidRPr="00BD76AF" w:rsidRDefault="00F332DA" w:rsidP="002E4D5F">
            <w:pPr>
              <w:spacing w:after="200"/>
              <w:ind w:left="601"/>
              <w:rPr>
                <w:szCs w:val="24"/>
              </w:rPr>
            </w:pPr>
            <w:r w:rsidRPr="00BD76AF">
              <w:rPr>
                <w:szCs w:val="24"/>
              </w:rPr>
              <w:t>Le Maître d’ouvrage doit, à la demande de l’Entrepreneur, lui apporter toute l’assistance possible pour mener cette procédure ou le règlement de cette réclamation, et doit être remboursé par l’Entrepreneur de tous les frais raisonnables engagés pour ce faire.</w:t>
            </w:r>
          </w:p>
          <w:p w14:paraId="77B7F43F" w14:textId="77777777" w:rsidR="00F332DA" w:rsidRPr="00BD76AF" w:rsidRDefault="00F332DA" w:rsidP="002E4D5F">
            <w:pPr>
              <w:spacing w:after="200"/>
              <w:ind w:left="601" w:hanging="601"/>
              <w:rPr>
                <w:szCs w:val="24"/>
              </w:rPr>
            </w:pPr>
            <w:r w:rsidRPr="00BD76AF">
              <w:rPr>
                <w:szCs w:val="24"/>
              </w:rPr>
              <w:t>33.3</w:t>
            </w:r>
            <w:r w:rsidRPr="00BD76AF">
              <w:rPr>
                <w:szCs w:val="24"/>
              </w:rPr>
              <w:tab/>
              <w:t>Le Maître d’ouvrage doit indemniser et garantir l’Entrepreneur et ses employés, dirigeants et Sous-traitants de toute responsabilité pour perte ou dommage causé à des propriétés du Maître d’ouvrage, autres que les Installations non encore réceptionnées, du fait d’un incendie, d’une explosion ou de tout autre sinistre, pour les sommes excédant le montant recouvrable des assurances souscrites conformément à l’Article 34 (</w:t>
            </w:r>
            <w:r w:rsidRPr="00BD76AF">
              <w:rPr>
                <w:i/>
                <w:szCs w:val="24"/>
              </w:rPr>
              <w:t>Assurances</w:t>
            </w:r>
            <w:r w:rsidRPr="00BD76AF">
              <w:rPr>
                <w:szCs w:val="24"/>
              </w:rPr>
              <w:t>) des CG, sous réserve que cet incendie, cette explosion ou ces autres sinistres ne soient pas causés par un acte ou une défaillance de l’Entrepreneur.</w:t>
            </w:r>
          </w:p>
          <w:p w14:paraId="6721FD09" w14:textId="77777777" w:rsidR="00F332DA" w:rsidRPr="00BD76AF" w:rsidRDefault="00F332DA" w:rsidP="002E4D5F">
            <w:pPr>
              <w:spacing w:after="200"/>
              <w:ind w:left="601" w:hanging="601"/>
              <w:rPr>
                <w:szCs w:val="24"/>
              </w:rPr>
            </w:pPr>
            <w:r w:rsidRPr="00BD76AF">
              <w:rPr>
                <w:szCs w:val="24"/>
              </w:rPr>
              <w:t>33.4</w:t>
            </w:r>
            <w:r w:rsidRPr="00BD76AF">
              <w:rPr>
                <w:szCs w:val="24"/>
              </w:rPr>
              <w:tab/>
              <w:t>La Partie ayant droit au bénéfice d’une indemnité conformément à cet Article 33 des CG doit prendre toutes les mesures raisonnables pour atténuer l’ampleur de la perte ou du dommage survenu. Si cette Partie ne prend pas ces mesures, les responsabilités de l’autre Partie doivent être réduites en conséquence.</w:t>
            </w:r>
          </w:p>
        </w:tc>
      </w:tr>
      <w:tr w:rsidR="00F332DA" w:rsidRPr="00BD76AF" w14:paraId="3F839592" w14:textId="77777777" w:rsidTr="00840452">
        <w:tc>
          <w:tcPr>
            <w:tcW w:w="2352" w:type="dxa"/>
          </w:tcPr>
          <w:p w14:paraId="620D0FC5" w14:textId="77777777" w:rsidR="00F332DA" w:rsidRPr="00BD76AF" w:rsidRDefault="00F332DA" w:rsidP="007C71D1">
            <w:pPr>
              <w:pStyle w:val="S7Header2"/>
              <w:rPr>
                <w:szCs w:val="24"/>
              </w:rPr>
            </w:pPr>
            <w:bookmarkStart w:id="798" w:name="_Toc102050816"/>
            <w:r w:rsidRPr="00BD76AF">
              <w:rPr>
                <w:szCs w:val="24"/>
              </w:rPr>
              <w:t>34.</w:t>
            </w:r>
            <w:r w:rsidRPr="00BD76AF">
              <w:rPr>
                <w:szCs w:val="24"/>
              </w:rPr>
              <w:tab/>
              <w:t>Assurances</w:t>
            </w:r>
            <w:bookmarkEnd w:id="798"/>
          </w:p>
        </w:tc>
        <w:tc>
          <w:tcPr>
            <w:tcW w:w="6936" w:type="dxa"/>
          </w:tcPr>
          <w:p w14:paraId="2A22DFBF" w14:textId="77777777" w:rsidR="00F332DA" w:rsidRPr="00BD76AF" w:rsidRDefault="00F332DA" w:rsidP="00296DA2">
            <w:pPr>
              <w:spacing w:afterLines="50" w:after="120"/>
              <w:ind w:left="601" w:hanging="601"/>
              <w:rPr>
                <w:szCs w:val="24"/>
              </w:rPr>
            </w:pPr>
            <w:r w:rsidRPr="00BD76AF">
              <w:rPr>
                <w:szCs w:val="24"/>
              </w:rPr>
              <w:t>34.1</w:t>
            </w:r>
            <w:r w:rsidRPr="00BD76AF">
              <w:rPr>
                <w:szCs w:val="24"/>
              </w:rPr>
              <w:tab/>
              <w:t>L’Entrepreneur doit, à ses propres frais, contracter et maintenir en vigueur ou faire contracter et maintenir en vigueur, durant l’exécution du Marché, les assurances suivantes, pour les montants, avec les franchises et sous les autres conditions stipulées à l’Annexe 3 (</w:t>
            </w:r>
            <w:r w:rsidRPr="00BD76AF">
              <w:rPr>
                <w:i/>
                <w:szCs w:val="24"/>
              </w:rPr>
              <w:t>Assurances obligatoires</w:t>
            </w:r>
            <w:r w:rsidRPr="00BD76AF">
              <w:rPr>
                <w:szCs w:val="24"/>
              </w:rPr>
              <w:t xml:space="preserve">) </w:t>
            </w:r>
            <w:r w:rsidRPr="00BD76AF">
              <w:t>de l’Acte d’engagement :</w:t>
            </w:r>
            <w:r w:rsidRPr="00BD76AF">
              <w:rPr>
                <w:szCs w:val="24"/>
              </w:rPr>
              <w:t xml:space="preserve"> </w:t>
            </w:r>
          </w:p>
          <w:p w14:paraId="16EE5A70" w14:textId="77777777" w:rsidR="00F332DA" w:rsidRPr="00BD76AF" w:rsidRDefault="00F332DA" w:rsidP="00C21879">
            <w:pPr>
              <w:pStyle w:val="SectionVII1"/>
              <w:rPr>
                <w:lang w:val="fr-FR"/>
              </w:rPr>
            </w:pPr>
            <w:r w:rsidRPr="00BD76AF">
              <w:rPr>
                <w:lang w:val="fr-FR"/>
              </w:rPr>
              <w:t>a)</w:t>
            </w:r>
            <w:r w:rsidRPr="00BD76AF">
              <w:rPr>
                <w:lang w:val="fr-FR"/>
              </w:rPr>
              <w:tab/>
              <w:t>assurance du fret en cours de transport ;</w:t>
            </w:r>
          </w:p>
          <w:p w14:paraId="51102911" w14:textId="77777777" w:rsidR="00F332DA" w:rsidRPr="00BD76AF" w:rsidRDefault="00F332DA" w:rsidP="00C21879">
            <w:pPr>
              <w:pStyle w:val="SectionVII1"/>
              <w:rPr>
                <w:lang w:val="fr-FR"/>
              </w:rPr>
            </w:pPr>
            <w:r w:rsidRPr="00BD76AF">
              <w:rPr>
                <w:lang w:val="fr-FR"/>
              </w:rPr>
              <w:t>b)</w:t>
            </w:r>
            <w:r w:rsidRPr="00BD76AF">
              <w:rPr>
                <w:lang w:val="fr-FR"/>
              </w:rPr>
              <w:tab/>
              <w:t>assurance tous risques des travaux de montage ;</w:t>
            </w:r>
          </w:p>
          <w:p w14:paraId="74045BB9" w14:textId="77777777" w:rsidR="00F332DA" w:rsidRPr="00BD76AF" w:rsidRDefault="00F332DA" w:rsidP="00C21879">
            <w:pPr>
              <w:pStyle w:val="SectionVII1"/>
              <w:rPr>
                <w:lang w:val="fr-FR"/>
              </w:rPr>
            </w:pPr>
            <w:r w:rsidRPr="00BD76AF">
              <w:rPr>
                <w:lang w:val="fr-FR"/>
              </w:rPr>
              <w:t>c)</w:t>
            </w:r>
            <w:r w:rsidRPr="00BD76AF">
              <w:rPr>
                <w:lang w:val="fr-FR"/>
              </w:rPr>
              <w:tab/>
              <w:t>assurance de responsabilité civile vis-à-vis des tiers ;</w:t>
            </w:r>
          </w:p>
          <w:p w14:paraId="663FAD49" w14:textId="77777777" w:rsidR="00F332DA" w:rsidRPr="00BD76AF" w:rsidRDefault="00F332DA" w:rsidP="00C21879">
            <w:pPr>
              <w:pStyle w:val="SectionVII1"/>
              <w:rPr>
                <w:lang w:val="fr-FR"/>
              </w:rPr>
            </w:pPr>
            <w:r w:rsidRPr="00BD76AF">
              <w:rPr>
                <w:lang w:val="fr-FR"/>
              </w:rPr>
              <w:t>d)</w:t>
            </w:r>
            <w:r w:rsidRPr="00BD76AF">
              <w:rPr>
                <w:lang w:val="fr-FR"/>
              </w:rPr>
              <w:tab/>
              <w:t>assurance de responsabilité automobile ;</w:t>
            </w:r>
          </w:p>
          <w:p w14:paraId="33E7A4B5" w14:textId="77777777" w:rsidR="00F332DA" w:rsidRPr="00BD76AF" w:rsidRDefault="00F332DA" w:rsidP="00C21879">
            <w:pPr>
              <w:pStyle w:val="SectionVII1"/>
              <w:rPr>
                <w:lang w:val="fr-FR"/>
              </w:rPr>
            </w:pPr>
            <w:r w:rsidRPr="00BD76AF">
              <w:rPr>
                <w:lang w:val="fr-FR"/>
              </w:rPr>
              <w:t>e)</w:t>
            </w:r>
            <w:r w:rsidRPr="00BD76AF">
              <w:rPr>
                <w:lang w:val="fr-FR"/>
              </w:rPr>
              <w:tab/>
              <w:t>assurance contre les accidents du travail ;</w:t>
            </w:r>
          </w:p>
          <w:p w14:paraId="58A68FC4" w14:textId="77777777" w:rsidR="00F332DA" w:rsidRPr="00BD76AF" w:rsidRDefault="00F332DA" w:rsidP="00C21879">
            <w:pPr>
              <w:pStyle w:val="SectionVII1"/>
              <w:rPr>
                <w:lang w:val="fr-FR"/>
              </w:rPr>
            </w:pPr>
            <w:r w:rsidRPr="00BD76AF">
              <w:rPr>
                <w:lang w:val="fr-FR"/>
              </w:rPr>
              <w:t>f)</w:t>
            </w:r>
            <w:r w:rsidRPr="00BD76AF">
              <w:rPr>
                <w:lang w:val="fr-FR"/>
              </w:rPr>
              <w:tab/>
              <w:t>assurance de responsabilité civile du Maître d’ouvrage ;</w:t>
            </w:r>
          </w:p>
          <w:p w14:paraId="08E62E25" w14:textId="77777777" w:rsidR="00F332DA" w:rsidRPr="00BD76AF" w:rsidRDefault="00F332DA" w:rsidP="00C21879">
            <w:pPr>
              <w:pStyle w:val="SectionVII1"/>
              <w:rPr>
                <w:lang w:val="fr-FR"/>
              </w:rPr>
            </w:pPr>
            <w:r w:rsidRPr="00BD76AF">
              <w:rPr>
                <w:lang w:val="fr-FR"/>
              </w:rPr>
              <w:t>g)</w:t>
            </w:r>
            <w:r w:rsidRPr="00BD76AF">
              <w:rPr>
                <w:lang w:val="fr-FR"/>
              </w:rPr>
              <w:tab/>
              <w:t>autres assurances indiquées, le cas échéant, à l’Annexe 3  (</w:t>
            </w:r>
            <w:r w:rsidRPr="00BD76AF">
              <w:rPr>
                <w:i/>
                <w:lang w:val="fr-FR"/>
              </w:rPr>
              <w:t>Assurances obligatoires</w:t>
            </w:r>
            <w:r w:rsidRPr="00BD76AF">
              <w:rPr>
                <w:lang w:val="fr-FR"/>
              </w:rPr>
              <w:t>) de l’Acte d’engagement.</w:t>
            </w:r>
          </w:p>
          <w:p w14:paraId="0184F00D" w14:textId="77777777" w:rsidR="00F332DA" w:rsidRPr="00BD76AF" w:rsidRDefault="00F332DA" w:rsidP="00FD6CD5">
            <w:pPr>
              <w:spacing w:after="200"/>
              <w:ind w:left="601" w:hanging="601"/>
              <w:rPr>
                <w:szCs w:val="24"/>
              </w:rPr>
            </w:pPr>
            <w:r w:rsidRPr="00BD76AF">
              <w:rPr>
                <w:szCs w:val="24"/>
              </w:rPr>
              <w:t>34.2</w:t>
            </w:r>
            <w:r w:rsidRPr="00BD76AF">
              <w:rPr>
                <w:szCs w:val="24"/>
              </w:rPr>
              <w:tab/>
              <w:t xml:space="preserve">Le Maître d’ouvrage doit être désigné comme co-assuré au titre de toutes les polices d’assurance contractées par l’Entrepreneur conformément à l’Article 34.1 des CG, à l’exception de l’assurance </w:t>
            </w:r>
            <w:r w:rsidRPr="00BD76AF">
              <w:t>de responsabilité civile vis-à-vis des tiers</w:t>
            </w:r>
            <w:r w:rsidRPr="00BD76AF">
              <w:rPr>
                <w:szCs w:val="24"/>
              </w:rPr>
              <w:t>, de l’assurance contre les accidents du travail et de l’assurance de responsabilité civile du Maître d’ouvrage. En outre, les Sous-traitants de l’Entrepreneur doivent être désignés comme co-assurés au titre de toutes les polices d’assurance contractées par l’Entrepreneur conformément à l’Article 34.1 des CG, à l’exception de l’assurance du fret en cours de transport, de l’assurance contre les accidents du travail et de l’assurance de responsabilité civile du Maître d’ouvrage. Les assureurs doivent renoncer, aux termes de ces polices, à leurs droits de subrogation à l’encontre de ces co-assurés, pour les pertes ou réclamations résultant de l’exécution du Marché.</w:t>
            </w:r>
          </w:p>
          <w:p w14:paraId="63F9D572" w14:textId="77777777" w:rsidR="00F332DA" w:rsidRPr="00BD76AF" w:rsidRDefault="00F332DA" w:rsidP="00FD6CD5">
            <w:pPr>
              <w:spacing w:after="200"/>
              <w:ind w:left="601" w:hanging="601"/>
              <w:rPr>
                <w:szCs w:val="24"/>
              </w:rPr>
            </w:pPr>
            <w:r w:rsidRPr="00BD76AF">
              <w:rPr>
                <w:szCs w:val="24"/>
              </w:rPr>
              <w:t>34.3</w:t>
            </w:r>
            <w:r w:rsidRPr="00BD76AF">
              <w:rPr>
                <w:szCs w:val="24"/>
              </w:rPr>
              <w:tab/>
              <w:t xml:space="preserve">L’Entrepreneur doit, dans les délais </w:t>
            </w:r>
            <w:r w:rsidRPr="00BD76AF">
              <w:rPr>
                <w:b/>
                <w:szCs w:val="24"/>
              </w:rPr>
              <w:t>indiqués dans les Données du Marché</w:t>
            </w:r>
            <w:r w:rsidRPr="00BD76AF">
              <w:rPr>
                <w:szCs w:val="24"/>
              </w:rPr>
              <w:t xml:space="preserve"> (</w:t>
            </w:r>
            <w:r w:rsidRPr="00BD76AF">
              <w:t>pris en compte à</w:t>
            </w:r>
            <w:r w:rsidRPr="00BD76AF">
              <w:rPr>
                <w:szCs w:val="24"/>
              </w:rPr>
              <w:t xml:space="preserve"> partir de la Date d’entrée en vigueur), remettre au Maître d’ouvrage les certificats d’assurance ou des copies des polices d’assurance, prouvant que les polices exigées sont pleinement en vigueur et effectives. Les certificats doivent stipuler que les assureurs sont tenus de donner un préavis de vingt et un (21) jours au moins au Maître d’ouvrage, avant de pouvoir résilier une police ou de lui apporter une modification importante.</w:t>
            </w:r>
          </w:p>
          <w:p w14:paraId="027E757F" w14:textId="77777777" w:rsidR="00F332DA" w:rsidRPr="00BD76AF" w:rsidRDefault="00F332DA" w:rsidP="00FD6CD5">
            <w:pPr>
              <w:spacing w:after="200"/>
              <w:ind w:left="601" w:hanging="601"/>
              <w:rPr>
                <w:szCs w:val="24"/>
              </w:rPr>
            </w:pPr>
            <w:r w:rsidRPr="00BD76AF">
              <w:rPr>
                <w:szCs w:val="24"/>
              </w:rPr>
              <w:t>34.4</w:t>
            </w:r>
            <w:r w:rsidRPr="00BD76AF">
              <w:rPr>
                <w:szCs w:val="24"/>
              </w:rPr>
              <w:tab/>
              <w:t>L’Entrepreneur doit s’assurer, le cas échéant, que ses Sous-traitants ont souscrit et maintiennent en vigueur les polices d’assurance adéquates couvrant leur personnel, leurs véhicules et les travaux exécutés par eux en vertu du Marché, à moins que ces Sous-traitants ne soient couverts par les polices contractées par l’Entrepreneur.</w:t>
            </w:r>
          </w:p>
          <w:p w14:paraId="486E4A79" w14:textId="77777777" w:rsidR="00F332DA" w:rsidRPr="00BD76AF" w:rsidRDefault="00F332DA" w:rsidP="00CD7A4E">
            <w:pPr>
              <w:spacing w:after="200"/>
              <w:ind w:left="601" w:hanging="601"/>
              <w:rPr>
                <w:szCs w:val="24"/>
              </w:rPr>
            </w:pPr>
            <w:r w:rsidRPr="00BD76AF">
              <w:rPr>
                <w:szCs w:val="24"/>
              </w:rPr>
              <w:t>34.5</w:t>
            </w:r>
            <w:r w:rsidRPr="00BD76AF">
              <w:rPr>
                <w:szCs w:val="24"/>
              </w:rPr>
              <w:tab/>
              <w:t xml:space="preserve">Le Maître d’ouvrage doit contracter et maintenir en vigueur à ses propres frais, durant l’exécution du Marché, les assurances </w:t>
            </w:r>
            <w:r w:rsidRPr="00BD76AF">
              <w:rPr>
                <w:b/>
                <w:szCs w:val="24"/>
              </w:rPr>
              <w:t>spécifiées dans les Données du Marché</w:t>
            </w:r>
            <w:r w:rsidRPr="00BD76AF">
              <w:rPr>
                <w:szCs w:val="24"/>
              </w:rPr>
              <w:t xml:space="preserve"> et l’Annexe 3 (</w:t>
            </w:r>
            <w:r w:rsidRPr="00BD76AF">
              <w:rPr>
                <w:i/>
                <w:szCs w:val="24"/>
              </w:rPr>
              <w:t>Assurances obligatoires</w:t>
            </w:r>
            <w:r w:rsidRPr="00BD76AF">
              <w:rPr>
                <w:szCs w:val="24"/>
              </w:rPr>
              <w:t xml:space="preserve">) de l’Acte d’engagement, le cas échéant, pour les montants, avec les franchises et dans les autres conditions stipulées dans cette annexe. L’Entrepreneur et les Sous-traitants de l’Entrepreneur doivent être désignés comme co-assurés au titre de toutes ces polices. Les assureurs doivent renoncer, aux termes de ces polices, à tous leurs droits de subrogation à l’encontre de ces co-assurés, du fait de pertes ou réclamations résultant de l’exécution du Marché. Le Maître d’ouvrage doit, dans le délai </w:t>
            </w:r>
            <w:r w:rsidRPr="00BD76AF">
              <w:rPr>
                <w:b/>
                <w:szCs w:val="24"/>
              </w:rPr>
              <w:t>indiqué dans les Données du Marché</w:t>
            </w:r>
            <w:r w:rsidRPr="00BD76AF">
              <w:rPr>
                <w:szCs w:val="24"/>
              </w:rPr>
              <w:t xml:space="preserve"> (</w:t>
            </w:r>
            <w:r w:rsidRPr="00BD76AF">
              <w:t>pris en compte à</w:t>
            </w:r>
            <w:r w:rsidRPr="00BD76AF">
              <w:rPr>
                <w:szCs w:val="24"/>
              </w:rPr>
              <w:t xml:space="preserve"> partir de la Date d’entrée en vigueur), remettre à l’Entrepreneur les certificats d’assurance ou des copies des polices d’assurance, prouvant que les polices exigées sont pleinement en vigueur et effectives. Les polices doivent stipuler que tous les assureurs sont tenus de donner un préavis de vingt et un (21) jours au moins à l’Entrepreneur, avant de pouvoir résilier une police ou de lui apporter une modification importante. Si l’Entrepreneur le lui demande, le Maître d’ouvrage doit lui fournir des copies des polices souscrites par le Maître d’ouvrage conformément à cet Article 34.5 des CG.</w:t>
            </w:r>
          </w:p>
          <w:p w14:paraId="4A2BECC9" w14:textId="77777777" w:rsidR="00F332DA" w:rsidRPr="00BD76AF" w:rsidRDefault="00F332DA" w:rsidP="00296DA2">
            <w:pPr>
              <w:spacing w:afterLines="50" w:after="120"/>
              <w:ind w:left="601" w:hanging="601"/>
              <w:rPr>
                <w:szCs w:val="24"/>
              </w:rPr>
            </w:pPr>
            <w:r w:rsidRPr="00BD76AF">
              <w:rPr>
                <w:szCs w:val="24"/>
              </w:rPr>
              <w:t>34.6</w:t>
            </w:r>
            <w:r w:rsidRPr="00BD76AF">
              <w:rPr>
                <w:szCs w:val="24"/>
              </w:rPr>
              <w:tab/>
              <w:t>Si l’Entrepreneur ne contracte pas et/ou ne maintient pas en vigueur les assurances mentionnées à l’Article 34.1 des CG, le Maître d’ouvrage peut contracter ces assurances et les maintenir en vigueur, et déduire de temps à autre de toute somme due à l’Entrepreneur en vertu du Marché, toute prime que le Maître d’ouvrage aura payée à l’assureur, ou recouvrer autrement le montant de la prime ainsi payée, comme si c’était une dette due par l’Entrepreneur.</w:t>
            </w:r>
          </w:p>
          <w:p w14:paraId="1227A9EC" w14:textId="77777777" w:rsidR="00F332DA" w:rsidRPr="00BD76AF" w:rsidRDefault="00F332DA" w:rsidP="00CD7A4E">
            <w:pPr>
              <w:spacing w:after="200"/>
              <w:ind w:left="601"/>
              <w:rPr>
                <w:szCs w:val="24"/>
              </w:rPr>
            </w:pPr>
            <w:r w:rsidRPr="00BD76AF">
              <w:rPr>
                <w:szCs w:val="24"/>
              </w:rPr>
              <w:t xml:space="preserve">Si le Maître d’ouvrage ne contracte pas et/ou ne maintient pas en vigueur les assurances mentionnées à l’Article 34.5 des CG, l’Entrepreneur peut contracter ces assurances et les maintenir en vigueur, et déduire de temps à autre de toute somme due au Maître d’ouvrage en vertu du Marché, toute </w:t>
            </w:r>
            <w:r w:rsidRPr="00BD76AF">
              <w:t>prime</w:t>
            </w:r>
            <w:r w:rsidRPr="00BD76AF">
              <w:rPr>
                <w:szCs w:val="24"/>
              </w:rPr>
              <w:t xml:space="preserve"> que l’Entrepreneur aura payée à l’assureur, ou recouvrer autrement le montant de la prime ainsi payée, comme une dette due par le Maître d’ouvrage. Si l’Entrepreneur ne contracte pas et ne maintient pas en vigueur ces assurances ou est dans l’incapacité de le faire, il n’encourra cependant pas de responsabilité envers le Maître d’ouvrage, et l’Entrepreneur pourra exercer tous recours contre le Maître d’ouvrage, au titre des responsabilités du Maître d’ouvrage en vertu du Marché.</w:t>
            </w:r>
          </w:p>
          <w:p w14:paraId="16AE807A" w14:textId="77777777" w:rsidR="00F332DA" w:rsidRPr="00BD76AF" w:rsidRDefault="00F332DA" w:rsidP="00CD7A4E">
            <w:pPr>
              <w:spacing w:after="200"/>
              <w:ind w:left="601" w:hanging="601"/>
            </w:pPr>
            <w:r w:rsidRPr="00BD76AF">
              <w:t>34.7</w:t>
            </w:r>
            <w:r w:rsidRPr="00BD76AF">
              <w:tab/>
              <w:t xml:space="preserve">Sauf stipulation contraire du Marché, l’Entrepreneur doit préparer et mener toute réclamation présentée en vertu des polices d’assurance qu’il aura </w:t>
            </w:r>
            <w:r w:rsidRPr="00BD76AF">
              <w:rPr>
                <w:szCs w:val="24"/>
              </w:rPr>
              <w:t>contractées</w:t>
            </w:r>
            <w:r w:rsidRPr="00BD76AF">
              <w:t xml:space="preserve"> conformément à cet Article 34 des CG et toutes les sommes payables par des assureurs doivent être payées à l’Entrepreneur. Le Maître d’ouvrage doit fournir à l’Entrepreneur toute l’assistance raisonnable qui pourrait être exigée par l’Entrepreneur. Dans le cas de réclamations dans lesquelles les intérêts du Maître d’ouvrage sont en jeu, l’Entrepreneur ne doit donner aucune décharge ni conclure aucun compromis avec l’assureur, sans avoir obtenu le consentement préalable écrit du Maître d’ouvrage. Dans le cas de réclamations d’assurance dans lesquelles les intérêts de l’Entrepreneur sont en jeu, le Maître d’ouvrage ne doit donner aucune décharge ni conclure aucun compromis avec l’assureur, sans avoir obtenu le consentement préalable écrit de l’Entrepreneur.</w:t>
            </w:r>
          </w:p>
        </w:tc>
      </w:tr>
      <w:tr w:rsidR="00F332DA" w:rsidRPr="00BD76AF" w14:paraId="2BC609B7" w14:textId="77777777" w:rsidTr="00840452">
        <w:tc>
          <w:tcPr>
            <w:tcW w:w="2352" w:type="dxa"/>
          </w:tcPr>
          <w:p w14:paraId="360DE64B" w14:textId="77777777" w:rsidR="00F332DA" w:rsidRPr="00BD76AF" w:rsidRDefault="00F332DA" w:rsidP="007C71D1">
            <w:pPr>
              <w:pStyle w:val="S7Header2"/>
              <w:rPr>
                <w:szCs w:val="24"/>
              </w:rPr>
            </w:pPr>
            <w:bookmarkStart w:id="799" w:name="_Toc102050817"/>
            <w:r w:rsidRPr="00BD76AF">
              <w:rPr>
                <w:szCs w:val="24"/>
              </w:rPr>
              <w:t>35.</w:t>
            </w:r>
            <w:r w:rsidRPr="00BD76AF">
              <w:rPr>
                <w:szCs w:val="24"/>
              </w:rPr>
              <w:tab/>
              <w:t>Conditions imprévues</w:t>
            </w:r>
            <w:bookmarkEnd w:id="799"/>
          </w:p>
        </w:tc>
        <w:tc>
          <w:tcPr>
            <w:tcW w:w="6936" w:type="dxa"/>
          </w:tcPr>
          <w:p w14:paraId="4E48A66F" w14:textId="77777777" w:rsidR="00F332DA" w:rsidRPr="00BD76AF" w:rsidRDefault="00F332DA" w:rsidP="00296DA2">
            <w:pPr>
              <w:spacing w:afterLines="50" w:after="120"/>
              <w:ind w:left="601" w:hanging="601"/>
              <w:rPr>
                <w:szCs w:val="24"/>
              </w:rPr>
            </w:pPr>
            <w:r w:rsidRPr="00BD76AF">
              <w:rPr>
                <w:szCs w:val="24"/>
              </w:rPr>
              <w:t>35.1</w:t>
            </w:r>
            <w:r w:rsidRPr="00BD76AF">
              <w:rPr>
                <w:szCs w:val="24"/>
              </w:rPr>
              <w:tab/>
              <w:t>Si, pendant l’exécution du Marché, l’Entrepreneur rencontre sur le Site des conditions physiques, autres que climatiques, ou des obstacles artificiels qu’un entrepreneur expérimenté n’aurait pas pu raisonnablement prévoir avant la Date de référence, sur la base d’un examen raisonnable des données fournies par le Maître d’ouvrage concernant les Installations, y compris les données sur les sondages, et sur la base des informations qu’il aurait pu obtenir à la suite d’une inspection visuelle du Site, si son accès est disponible, ou sur la base d’autres données disponibles concernant les Installations, et si l’Entrepreneur détermine qu’en raison de ces conditions ou obstacles, il encourra des coûts et dépenses supplémentaires ou aura besoin d’un délai supplémentaire pour exécuter ses obligations en vertu du Marché, qui n’auraient pas été nécessaires s’il n’avait pas rencontrés ces conditions physiques ou obstacles artificiels, l’Entrepreneur doit sans délai, et avant d’exécuter des travaux supplémentaires sur les Installations ou d’utiliser des Équipements supplémentaires de l’Entrepreneur, notifier au Directeur de projet par écrit :</w:t>
            </w:r>
          </w:p>
          <w:p w14:paraId="5425CC56" w14:textId="77777777" w:rsidR="00F332DA" w:rsidRPr="00BD76AF" w:rsidRDefault="00F332DA" w:rsidP="00C21879">
            <w:pPr>
              <w:pStyle w:val="SectionVII1"/>
              <w:rPr>
                <w:lang w:val="fr-FR"/>
              </w:rPr>
            </w:pPr>
            <w:r w:rsidRPr="00BD76AF">
              <w:rPr>
                <w:lang w:val="fr-FR"/>
              </w:rPr>
              <w:t>a)</w:t>
            </w:r>
            <w:r w:rsidRPr="00BD76AF">
              <w:rPr>
                <w:lang w:val="fr-FR"/>
              </w:rPr>
              <w:tab/>
              <w:t>les conditions physiques ou les obstacles artificiels rencontrés sur le Site qui ne pouvaient raisonnablement être prévus ;</w:t>
            </w:r>
          </w:p>
          <w:p w14:paraId="491CDB2E" w14:textId="77777777" w:rsidR="00F332DA" w:rsidRPr="00BD76AF" w:rsidRDefault="00F332DA" w:rsidP="00C21879">
            <w:pPr>
              <w:pStyle w:val="SectionVII1"/>
              <w:rPr>
                <w:lang w:val="fr-FR"/>
              </w:rPr>
            </w:pPr>
            <w:r w:rsidRPr="00BD76AF">
              <w:rPr>
                <w:lang w:val="fr-FR"/>
              </w:rPr>
              <w:t>b)</w:t>
            </w:r>
            <w:r w:rsidRPr="00BD76AF">
              <w:rPr>
                <w:lang w:val="fr-FR"/>
              </w:rPr>
              <w:tab/>
              <w:t>les travaux supplémentaires sur les Installations et/ou les Équipements supplémentaires de l’Entrepreneur nécessaires, y compris les mesures que l’Entrepreneur prendra ou proposera de prendre, afin de surmonter ces conditions ou obstacles ;</w:t>
            </w:r>
          </w:p>
          <w:p w14:paraId="731148AD" w14:textId="77777777" w:rsidR="00F332DA" w:rsidRPr="00BD76AF" w:rsidRDefault="00F332DA" w:rsidP="00C21879">
            <w:pPr>
              <w:pStyle w:val="SectionVII1"/>
              <w:rPr>
                <w:lang w:val="fr-FR"/>
              </w:rPr>
            </w:pPr>
            <w:r w:rsidRPr="00BD76AF">
              <w:rPr>
                <w:lang w:val="fr-FR"/>
              </w:rPr>
              <w:t>c)</w:t>
            </w:r>
            <w:r w:rsidRPr="00BD76AF">
              <w:rPr>
                <w:lang w:val="fr-FR"/>
              </w:rPr>
              <w:tab/>
              <w:t>l’importance du retard prévu ; et</w:t>
            </w:r>
          </w:p>
          <w:p w14:paraId="791E144C" w14:textId="77777777" w:rsidR="00F332DA" w:rsidRPr="00BD76AF" w:rsidRDefault="00F332DA" w:rsidP="00C21879">
            <w:pPr>
              <w:pStyle w:val="SectionVII1"/>
              <w:rPr>
                <w:lang w:val="fr-FR"/>
              </w:rPr>
            </w:pPr>
            <w:r w:rsidRPr="00BD76AF">
              <w:rPr>
                <w:lang w:val="fr-FR"/>
              </w:rPr>
              <w:t>d)</w:t>
            </w:r>
            <w:r w:rsidRPr="00BD76AF">
              <w:rPr>
                <w:lang w:val="fr-FR"/>
              </w:rPr>
              <w:tab/>
              <w:t>les coûts et dépenses supplémentaires que l’Entrepreneur est susceptible de subir et d’engager.</w:t>
            </w:r>
          </w:p>
          <w:p w14:paraId="11FDA6C4" w14:textId="77777777" w:rsidR="00F332DA" w:rsidRPr="00BD76AF" w:rsidRDefault="00F332DA" w:rsidP="00E2630B">
            <w:pPr>
              <w:spacing w:after="200"/>
              <w:ind w:left="601"/>
              <w:rPr>
                <w:szCs w:val="24"/>
              </w:rPr>
            </w:pPr>
            <w:r w:rsidRPr="00BD76AF">
              <w:rPr>
                <w:rFonts w:eastAsia="游ゴシック"/>
                <w:szCs w:val="24"/>
                <w:shd w:val="clear" w:color="auto" w:fill="FAFBFC"/>
              </w:rPr>
              <w:t>À</w:t>
            </w:r>
            <w:r w:rsidRPr="00BD76AF">
              <w:rPr>
                <w:szCs w:val="24"/>
              </w:rPr>
              <w:t xml:space="preserve"> la réception de la notification donnée par l’Entrepreneur conformément à cet Article 35.1 des CG, le Directeur </w:t>
            </w:r>
            <w:r w:rsidRPr="00BD76AF">
              <w:t>de</w:t>
            </w:r>
            <w:r w:rsidRPr="00BD76AF">
              <w:rPr>
                <w:szCs w:val="24"/>
              </w:rPr>
              <w:t xml:space="preserve"> projet doit sans délai se concerter avec le Maître d’ouvrage et l’Entrepreneur afin de décider des mesures à prendre pour surmonter les conditions physiques ou les obstacles artificiels rencontrés. A la suite de ces consultations, le Directeur de projet doit donner à l’Entrepreneur des instructions sur les mesures à prendre, avec copie au Maître d’ouvrage.</w:t>
            </w:r>
          </w:p>
          <w:p w14:paraId="4AF36A1F" w14:textId="77777777" w:rsidR="00F332DA" w:rsidRPr="00BD76AF" w:rsidRDefault="00F332DA" w:rsidP="00296DA2">
            <w:pPr>
              <w:spacing w:afterLines="50" w:after="120"/>
              <w:ind w:left="601" w:hanging="601"/>
              <w:rPr>
                <w:szCs w:val="24"/>
              </w:rPr>
            </w:pPr>
            <w:r w:rsidRPr="00BD76AF">
              <w:rPr>
                <w:szCs w:val="24"/>
              </w:rPr>
              <w:t>35.2</w:t>
            </w:r>
            <w:r w:rsidRPr="00BD76AF">
              <w:rPr>
                <w:szCs w:val="24"/>
              </w:rPr>
              <w:tab/>
              <w:t>Le Maître d’ouvrage doit payer à l’Entrepreneur, en supplément du Montant du Marché, tous les frais et dépenses supplémentaires raisonnablement engagés par l’Entrepreneur pour se conformer aux instructions du Directeur de projet, afin de surmonter les conditions physiques ou les obstacles artificiels mentionnés à l’Article 35.1 des CG.</w:t>
            </w:r>
          </w:p>
          <w:p w14:paraId="773AF496" w14:textId="77777777" w:rsidR="00F332DA" w:rsidRPr="00BD76AF" w:rsidRDefault="00F332DA" w:rsidP="00E2630B">
            <w:pPr>
              <w:spacing w:after="200"/>
              <w:ind w:left="601"/>
              <w:rPr>
                <w:szCs w:val="24"/>
              </w:rPr>
            </w:pPr>
            <w:r w:rsidRPr="00BD76AF">
              <w:rPr>
                <w:szCs w:val="24"/>
              </w:rPr>
              <w:t>Si l’Entrepreneur est retardé ou empêché dans l’exécution du Marché en raison des conditions physiques ou des obstacles artificiels mentionnés à l’Article 35.1 des CG, le Délai d’achèvement doit être prolongé conformément à l’Article 40 des CG.</w:t>
            </w:r>
          </w:p>
        </w:tc>
      </w:tr>
      <w:tr w:rsidR="00F332DA" w:rsidRPr="00BD76AF" w14:paraId="708B9631" w14:textId="77777777" w:rsidTr="00840452">
        <w:tc>
          <w:tcPr>
            <w:tcW w:w="2352" w:type="dxa"/>
          </w:tcPr>
          <w:p w14:paraId="676F889F" w14:textId="77777777" w:rsidR="00F332DA" w:rsidRPr="00BD76AF" w:rsidRDefault="00F332DA" w:rsidP="007C71D1">
            <w:pPr>
              <w:pStyle w:val="S7Header2"/>
              <w:rPr>
                <w:szCs w:val="24"/>
              </w:rPr>
            </w:pPr>
            <w:bookmarkStart w:id="800" w:name="_Toc102050818"/>
            <w:r w:rsidRPr="00BD76AF">
              <w:rPr>
                <w:szCs w:val="24"/>
              </w:rPr>
              <w:t>36</w:t>
            </w:r>
            <w:r w:rsidRPr="00BD76AF">
              <w:rPr>
                <w:szCs w:val="24"/>
              </w:rPr>
              <w:tab/>
              <w:t>Modification des législations et réglementations</w:t>
            </w:r>
            <w:bookmarkEnd w:id="800"/>
          </w:p>
        </w:tc>
        <w:tc>
          <w:tcPr>
            <w:tcW w:w="6936" w:type="dxa"/>
          </w:tcPr>
          <w:p w14:paraId="3CD91F1E" w14:textId="77777777" w:rsidR="00F332DA" w:rsidRPr="00BD76AF" w:rsidRDefault="00F332DA" w:rsidP="00E2630B">
            <w:pPr>
              <w:spacing w:after="200"/>
              <w:ind w:left="601" w:hanging="601"/>
              <w:rPr>
                <w:szCs w:val="24"/>
              </w:rPr>
            </w:pPr>
            <w:r w:rsidRPr="00BD76AF">
              <w:rPr>
                <w:szCs w:val="24"/>
              </w:rPr>
              <w:t>36.1</w:t>
            </w:r>
            <w:r w:rsidRPr="00BD76AF">
              <w:rPr>
                <w:szCs w:val="24"/>
              </w:rPr>
              <w:tab/>
              <w:t>Si, après la Date de référence, toute loi, réglementation, ordonnance, ou tout décret ayant force de loi est, dans le pays où se trouve le Site, adopté, promulgué, abrogé ou modifié, y compris toute modification d’interprétation ou d’application par les autorités compétentes, et affecte par la suite les frais et dépenses de l’Entrepreneur et/ou le Délai d’achèvement, le Montant du Marché doit être augmenté ou réduit et/ou le Délai d’achèvement modifié en conséquence, dans la mesure où l’Entrepreneur a ainsi été affecté dans l’exécution de ses obligations en vertu du Marché. Nonobstant ce qui précède, l’augmentation ou la réduction des coûts ne doit pas être payée ou créditée séparément si elle a déjà été prévue dans les dispositions de révision des prix, le cas échéant, conformément à l’Annexe 2 (</w:t>
            </w:r>
            <w:r w:rsidRPr="00BD76AF">
              <w:rPr>
                <w:i/>
                <w:szCs w:val="24"/>
              </w:rPr>
              <w:t>Révision des prix</w:t>
            </w:r>
            <w:r w:rsidRPr="00BD76AF">
              <w:rPr>
                <w:szCs w:val="24"/>
              </w:rPr>
              <w:t xml:space="preserve">) de l’Acte d’engagement </w:t>
            </w:r>
            <w:r w:rsidRPr="00BD76AF">
              <w:rPr>
                <w:rFonts w:hint="eastAsia"/>
                <w:szCs w:val="24"/>
                <w:lang w:eastAsia="ja-JP"/>
              </w:rPr>
              <w:t>e</w:t>
            </w:r>
            <w:r w:rsidRPr="00BD76AF">
              <w:rPr>
                <w:szCs w:val="24"/>
                <w:lang w:eastAsia="ja-JP"/>
              </w:rPr>
              <w:t>t</w:t>
            </w:r>
            <w:r w:rsidRPr="00BD76AF">
              <w:rPr>
                <w:szCs w:val="24"/>
              </w:rPr>
              <w:t xml:space="preserve"> aux CP en application de l’Article 11.2 des CG.</w:t>
            </w:r>
          </w:p>
        </w:tc>
      </w:tr>
      <w:tr w:rsidR="00F332DA" w:rsidRPr="00BD76AF" w14:paraId="676AA367" w14:textId="77777777" w:rsidTr="00840452">
        <w:tc>
          <w:tcPr>
            <w:tcW w:w="2352" w:type="dxa"/>
          </w:tcPr>
          <w:p w14:paraId="360DBCE7" w14:textId="77777777" w:rsidR="00F332DA" w:rsidRPr="00BD76AF" w:rsidRDefault="00F332DA" w:rsidP="007C71D1">
            <w:pPr>
              <w:pStyle w:val="S7Header2"/>
              <w:rPr>
                <w:szCs w:val="24"/>
              </w:rPr>
            </w:pPr>
            <w:bookmarkStart w:id="801" w:name="_Toc102050819"/>
            <w:r w:rsidRPr="00BD76AF">
              <w:rPr>
                <w:szCs w:val="24"/>
              </w:rPr>
              <w:t>37.</w:t>
            </w:r>
            <w:r w:rsidRPr="00BD76AF">
              <w:rPr>
                <w:szCs w:val="24"/>
              </w:rPr>
              <w:tab/>
              <w:t>Force majeure</w:t>
            </w:r>
            <w:bookmarkEnd w:id="801"/>
          </w:p>
        </w:tc>
        <w:tc>
          <w:tcPr>
            <w:tcW w:w="6936" w:type="dxa"/>
          </w:tcPr>
          <w:p w14:paraId="4814C15C" w14:textId="77777777" w:rsidR="00F332DA" w:rsidRPr="00BD76AF" w:rsidRDefault="00F332DA" w:rsidP="00296DA2">
            <w:pPr>
              <w:spacing w:afterLines="50" w:after="120"/>
              <w:ind w:left="601" w:hanging="601"/>
              <w:rPr>
                <w:szCs w:val="24"/>
              </w:rPr>
            </w:pPr>
            <w:r w:rsidRPr="00BD76AF">
              <w:rPr>
                <w:szCs w:val="24"/>
              </w:rPr>
              <w:t>37.1</w:t>
            </w:r>
            <w:r w:rsidRPr="00BD76AF">
              <w:rPr>
                <w:szCs w:val="24"/>
              </w:rPr>
              <w:tab/>
              <w:t>« Force majeure » signifie tout événement qui est en dehors du contrôle raisonnable du Maître d’ouvrage ou de l’Entrepreneur, selon le cas, et qui est inévitable malgré les mesures nécessaires prises par la Partie affectée. Les cas de force majeure incluent, sans s’y limiter :</w:t>
            </w:r>
          </w:p>
          <w:p w14:paraId="5F4ABF49" w14:textId="77777777" w:rsidR="00F332DA" w:rsidRPr="00BD76AF" w:rsidRDefault="00F332DA" w:rsidP="00C21879">
            <w:pPr>
              <w:pStyle w:val="SectionVII1"/>
              <w:rPr>
                <w:lang w:val="fr-FR"/>
              </w:rPr>
            </w:pPr>
            <w:r w:rsidRPr="00BD76AF">
              <w:rPr>
                <w:lang w:val="fr-FR"/>
              </w:rPr>
              <w:t>a)</w:t>
            </w:r>
            <w:r w:rsidRPr="00BD76AF">
              <w:rPr>
                <w:lang w:val="fr-FR"/>
              </w:rPr>
              <w:tab/>
              <w:t>guerre, hostilités et opérations s’apparentant à des guerres, que l’état de guerre ait été ou non déclaré, invasion, acte d’ennemis étrangers et guerre civile ;</w:t>
            </w:r>
          </w:p>
          <w:p w14:paraId="51993DB1" w14:textId="77777777" w:rsidR="00F332DA" w:rsidRPr="00BD76AF" w:rsidRDefault="00F332DA" w:rsidP="00C21879">
            <w:pPr>
              <w:pStyle w:val="SectionVII1"/>
              <w:rPr>
                <w:lang w:val="fr-FR"/>
              </w:rPr>
            </w:pPr>
            <w:r w:rsidRPr="00BD76AF">
              <w:rPr>
                <w:lang w:val="fr-FR"/>
              </w:rPr>
              <w:t>b)</w:t>
            </w:r>
            <w:r w:rsidRPr="00BD76AF">
              <w:rPr>
                <w:lang w:val="fr-FR"/>
              </w:rPr>
              <w:tab/>
              <w:t>rébellion, révolution, insurrection, mutinerie, usurpation de gouvernements civils ou militaires, complot, émeutes, troubles civils et actes terroristes ;</w:t>
            </w:r>
          </w:p>
          <w:p w14:paraId="7EE097E6" w14:textId="77777777" w:rsidR="00F332DA" w:rsidRPr="00BD76AF" w:rsidRDefault="00F332DA" w:rsidP="00C21879">
            <w:pPr>
              <w:pStyle w:val="SectionVII1"/>
              <w:rPr>
                <w:lang w:val="fr-FR"/>
              </w:rPr>
            </w:pPr>
            <w:r w:rsidRPr="00BD76AF">
              <w:rPr>
                <w:lang w:val="fr-FR"/>
              </w:rPr>
              <w:t>c)</w:t>
            </w:r>
            <w:r w:rsidRPr="00BD76AF">
              <w:rPr>
                <w:lang w:val="fr-FR"/>
              </w:rPr>
              <w:tab/>
              <w:t>confiscation, nationalisation, mobilisation, réquisition par ou suivant les ordres d’un gouvernement ou d’une autorité ou d’un dirigeant de droit ou de fait, ou tout autre acte ou absence d’action d’une autorité administrative locale ou nationale ;</w:t>
            </w:r>
          </w:p>
          <w:p w14:paraId="09304247" w14:textId="77777777" w:rsidR="00F332DA" w:rsidRPr="00BD76AF" w:rsidRDefault="00F332DA" w:rsidP="00C21879">
            <w:pPr>
              <w:pStyle w:val="SectionVII1"/>
              <w:rPr>
                <w:lang w:val="fr-FR"/>
              </w:rPr>
            </w:pPr>
            <w:r w:rsidRPr="00BD76AF">
              <w:rPr>
                <w:lang w:val="fr-FR"/>
              </w:rPr>
              <w:t>d)</w:t>
            </w:r>
            <w:r w:rsidRPr="00BD76AF">
              <w:rPr>
                <w:lang w:val="fr-FR"/>
              </w:rPr>
              <w:tab/>
              <w:t>grève, sabotage, lock-out, embargo, restriction des importations, congestion portuaire, manque des moyens habituels de transport publics et de communication, dispute industrielle, naufrage, coupure ou restriction de l’alimentation électrique, épidémies, quarantaine et fléau ;</w:t>
            </w:r>
          </w:p>
          <w:p w14:paraId="1B6B4AAD" w14:textId="77777777" w:rsidR="00F332DA" w:rsidRPr="00BD76AF" w:rsidRDefault="00F332DA" w:rsidP="00C21879">
            <w:pPr>
              <w:pStyle w:val="SectionVII1"/>
              <w:rPr>
                <w:lang w:val="fr-FR"/>
              </w:rPr>
            </w:pPr>
            <w:r w:rsidRPr="00BD76AF">
              <w:rPr>
                <w:lang w:val="fr-FR"/>
              </w:rPr>
              <w:t>e)</w:t>
            </w:r>
            <w:r w:rsidRPr="00BD76AF">
              <w:rPr>
                <w:lang w:val="fr-FR"/>
              </w:rPr>
              <w:tab/>
              <w:t>tremblement de terre, glissement de terrain, activité volcanique, incendie, inondation, raz de marée, typhon ou cyclone, ouragan, tempête, foudre, ou autre circonstance climatique adverse, ondes de pression ou nucléaire ou autre désastre naturel ou physique ; et</w:t>
            </w:r>
          </w:p>
          <w:p w14:paraId="7E1CA11E" w14:textId="77777777" w:rsidR="00F332DA" w:rsidRPr="00BD76AF" w:rsidRDefault="00F332DA" w:rsidP="00C21879">
            <w:pPr>
              <w:pStyle w:val="SectionVII1"/>
              <w:rPr>
                <w:lang w:val="fr-FR"/>
              </w:rPr>
            </w:pPr>
            <w:r w:rsidRPr="00BD76AF">
              <w:rPr>
                <w:lang w:val="fr-FR"/>
              </w:rPr>
              <w:t>f)</w:t>
            </w:r>
            <w:r w:rsidRPr="00BD76AF">
              <w:rPr>
                <w:lang w:val="fr-FR"/>
              </w:rPr>
              <w:tab/>
              <w:t>pénurie de main-d’œuvre, matériaux, eaux ou électricité lorsqu’ils sont dus à des circonstances considérées elles-mêmes comme des cas de force majeure.</w:t>
            </w:r>
          </w:p>
          <w:p w14:paraId="2B5DE6AC" w14:textId="77777777" w:rsidR="00F332DA" w:rsidRPr="00BD76AF" w:rsidRDefault="00F332DA" w:rsidP="00E2630B">
            <w:pPr>
              <w:spacing w:after="200"/>
              <w:ind w:left="601" w:hanging="601"/>
              <w:rPr>
                <w:szCs w:val="24"/>
              </w:rPr>
            </w:pPr>
            <w:r w:rsidRPr="00BD76AF">
              <w:rPr>
                <w:szCs w:val="24"/>
              </w:rPr>
              <w:t>37.2</w:t>
            </w:r>
            <w:r w:rsidRPr="00BD76AF">
              <w:rPr>
                <w:szCs w:val="24"/>
              </w:rPr>
              <w:tab/>
              <w:t>Si l’une ou l’autre des Parties est empêchée, entravée ou retardée dans l’exécution de l’une de ses obligations en vertu du Marché par un cas de force majeure, elle doit notifier par écrit à l’autre Partie ce cas de force majeure et les circonstances de cet événement dans un délai de quatorze (14) jours après que la Partie a pris ou aurait dû prendre connaissance de l’apparition d’un tel événement.</w:t>
            </w:r>
          </w:p>
          <w:p w14:paraId="4C67282E" w14:textId="77777777" w:rsidR="00F332DA" w:rsidRPr="00BD76AF" w:rsidRDefault="00F332DA" w:rsidP="00E2630B">
            <w:pPr>
              <w:spacing w:after="200"/>
              <w:ind w:left="601" w:hanging="601"/>
              <w:rPr>
                <w:szCs w:val="24"/>
              </w:rPr>
            </w:pPr>
            <w:r w:rsidRPr="00BD76AF">
              <w:rPr>
                <w:szCs w:val="24"/>
              </w:rPr>
              <w:t>37.3</w:t>
            </w:r>
            <w:r w:rsidRPr="00BD76AF">
              <w:rPr>
                <w:szCs w:val="24"/>
              </w:rPr>
              <w:tab/>
              <w:t>La Partie ayant émis la notification doit être dispensée de l’exécution ou de l’exécution ponctuelle de ses obligations en vertu du Marché pendant toute la durée du cas de force majeure en question et dans la mesure où l’exécution de ses obligations est empêchée, entravée ou retardée. Le Délai d’achèvement doit être prolongé conformément à l’Article 40 (</w:t>
            </w:r>
            <w:r w:rsidRPr="00BD76AF">
              <w:rPr>
                <w:i/>
                <w:szCs w:val="24"/>
              </w:rPr>
              <w:t>Prolongation du Délai d’achèvement</w:t>
            </w:r>
            <w:r w:rsidRPr="00BD76AF">
              <w:rPr>
                <w:szCs w:val="24"/>
              </w:rPr>
              <w:t xml:space="preserve">) des CG, en tenant compte de cet empêchement, de cette entrave ou </w:t>
            </w:r>
            <w:r w:rsidRPr="00BD76AF">
              <w:rPr>
                <w:rFonts w:hint="eastAsia"/>
                <w:szCs w:val="24"/>
                <w:lang w:eastAsia="ja-JP"/>
              </w:rPr>
              <w:t>d</w:t>
            </w:r>
            <w:r w:rsidRPr="00BD76AF">
              <w:rPr>
                <w:szCs w:val="24"/>
                <w:lang w:eastAsia="ja-JP"/>
              </w:rPr>
              <w:t xml:space="preserve">e ce </w:t>
            </w:r>
            <w:r w:rsidRPr="00BD76AF">
              <w:rPr>
                <w:szCs w:val="24"/>
              </w:rPr>
              <w:t>retard, selon le cas.</w:t>
            </w:r>
          </w:p>
          <w:p w14:paraId="2C7D426E" w14:textId="77777777" w:rsidR="00F332DA" w:rsidRPr="00BD76AF" w:rsidRDefault="00F332DA" w:rsidP="00E2630B">
            <w:pPr>
              <w:spacing w:after="200"/>
              <w:ind w:left="601" w:hanging="601"/>
              <w:rPr>
                <w:szCs w:val="24"/>
              </w:rPr>
            </w:pPr>
            <w:r w:rsidRPr="00BD76AF">
              <w:rPr>
                <w:szCs w:val="24"/>
              </w:rPr>
              <w:t>37.4</w:t>
            </w:r>
            <w:r w:rsidRPr="00BD76AF">
              <w:rPr>
                <w:szCs w:val="24"/>
              </w:rPr>
              <w:tab/>
              <w:t>La Partie ou les Parties affectées par le cas de force majeure doivent faire leur possible pour atténuer les effets de ce cas de force majeure sur l’exécution du Marché et pour remplir leurs obligations en vertu du Marché, mais sans préjudice du droit de l’une ou l’autre des Parties de résilier le Marché conformément aux Articles 37.6 et 38.5 des CG.</w:t>
            </w:r>
          </w:p>
          <w:p w14:paraId="5C6A4802" w14:textId="77777777" w:rsidR="00F332DA" w:rsidRPr="00BD76AF" w:rsidRDefault="00F332DA" w:rsidP="00296DA2">
            <w:pPr>
              <w:spacing w:afterLines="50" w:after="120"/>
              <w:ind w:left="601" w:hanging="601"/>
              <w:rPr>
                <w:szCs w:val="24"/>
              </w:rPr>
            </w:pPr>
            <w:r w:rsidRPr="00BD76AF">
              <w:rPr>
                <w:szCs w:val="24"/>
              </w:rPr>
              <w:t>37.5</w:t>
            </w:r>
            <w:r w:rsidRPr="00BD76AF">
              <w:rPr>
                <w:szCs w:val="24"/>
              </w:rPr>
              <w:tab/>
              <w:t>Aucun retard ni aucun défaut d’exécution de l’une ou l’autre des Parties en raison d’un cas force majeure ne doit :</w:t>
            </w:r>
          </w:p>
          <w:p w14:paraId="74594A97" w14:textId="77777777" w:rsidR="00F332DA" w:rsidRPr="00BD76AF" w:rsidRDefault="00F332DA" w:rsidP="00C21879">
            <w:pPr>
              <w:pStyle w:val="SectionVII1"/>
              <w:rPr>
                <w:lang w:val="fr-FR"/>
              </w:rPr>
            </w:pPr>
            <w:r w:rsidRPr="00BD76AF">
              <w:rPr>
                <w:lang w:val="fr-FR"/>
              </w:rPr>
              <w:t>a)</w:t>
            </w:r>
            <w:r w:rsidRPr="00BD76AF">
              <w:rPr>
                <w:lang w:val="fr-FR"/>
              </w:rPr>
              <w:tab/>
              <w:t>constituer un manquement ou une rupture du Marché ; ou</w:t>
            </w:r>
          </w:p>
          <w:p w14:paraId="208F8934" w14:textId="77777777" w:rsidR="00F332DA" w:rsidRPr="00BD76AF" w:rsidRDefault="00F332DA" w:rsidP="00C21879">
            <w:pPr>
              <w:pStyle w:val="SectionVII1"/>
              <w:rPr>
                <w:lang w:val="fr-FR"/>
              </w:rPr>
            </w:pPr>
            <w:r w:rsidRPr="00BD76AF">
              <w:rPr>
                <w:lang w:val="fr-FR"/>
              </w:rPr>
              <w:t>b)</w:t>
            </w:r>
            <w:r w:rsidRPr="00BD76AF">
              <w:rPr>
                <w:lang w:val="fr-FR"/>
              </w:rPr>
              <w:tab/>
              <w:t>donner lieu à une action en dommages-intérêts ou à une demande de remboursement des coûts supplémentaires occasionnés par le cas de force majeure, sous réserve des Articles 32.2, 38.3 et 38.4 des CG,</w:t>
            </w:r>
          </w:p>
          <w:p w14:paraId="3D8F5D97" w14:textId="77777777" w:rsidR="00F332DA" w:rsidRPr="00BD76AF" w:rsidRDefault="00F332DA" w:rsidP="00E2630B">
            <w:pPr>
              <w:spacing w:after="200"/>
              <w:ind w:left="601" w:hanging="601"/>
              <w:rPr>
                <w:szCs w:val="24"/>
              </w:rPr>
            </w:pPr>
            <w:r w:rsidRPr="00BD76AF">
              <w:rPr>
                <w:szCs w:val="24"/>
              </w:rPr>
              <w:t>37.6</w:t>
            </w:r>
            <w:r w:rsidRPr="00BD76AF">
              <w:rPr>
                <w:szCs w:val="24"/>
              </w:rPr>
              <w:tab/>
              <w:t>Si l’exécution du Marché est substantiellement empêchée, entravée ou retardée pendant une période de plus de soixante (60) jours consécutifs ou une période globale de plus de cent vingt (120) jours par suite d’un ou de plusieurs cas de force majeure pendant la durée du Marché, les Parties tenteront de mettre en place une solution mutuellement satisfaisante, faute de quoi l’une ou l’autre des Parties peut résilier le Marché en avisant l’autre Partie, mais sans préjudice du droit de l’une ou l’autre des Parties de résilier le Marché conformément à l’Article 38.5 des CG.</w:t>
            </w:r>
          </w:p>
          <w:p w14:paraId="4006518E" w14:textId="77777777" w:rsidR="00F332DA" w:rsidRPr="00BD76AF" w:rsidRDefault="00F332DA" w:rsidP="00E2630B">
            <w:pPr>
              <w:spacing w:after="200"/>
              <w:ind w:left="601" w:hanging="601"/>
              <w:rPr>
                <w:szCs w:val="24"/>
              </w:rPr>
            </w:pPr>
            <w:r w:rsidRPr="00BD76AF">
              <w:rPr>
                <w:szCs w:val="24"/>
              </w:rPr>
              <w:t>37.7</w:t>
            </w:r>
            <w:r w:rsidRPr="00BD76AF">
              <w:rPr>
                <w:szCs w:val="24"/>
              </w:rPr>
              <w:tab/>
              <w:t>En cas de résiliation conformément à l’Article 37.6 des CG, les droits et obligations du Maître d’ouvrage et de l’Entrepreneur doivent être ceux spécifiés aux Articles 42.1.2 et 42.1.3 des CG.</w:t>
            </w:r>
          </w:p>
          <w:p w14:paraId="4D739D69" w14:textId="77777777" w:rsidR="00F332DA" w:rsidRPr="00BD76AF" w:rsidRDefault="00F332DA" w:rsidP="00E2630B">
            <w:pPr>
              <w:spacing w:after="200"/>
              <w:ind w:left="601" w:hanging="601"/>
              <w:rPr>
                <w:szCs w:val="24"/>
              </w:rPr>
            </w:pPr>
            <w:r w:rsidRPr="00BD76AF">
              <w:rPr>
                <w:szCs w:val="24"/>
              </w:rPr>
              <w:t>37.8</w:t>
            </w:r>
            <w:r w:rsidRPr="00BD76AF">
              <w:rPr>
                <w:szCs w:val="24"/>
              </w:rPr>
              <w:tab/>
              <w:t>Nonobstant l’Article 37.5 des CG, la force majeure ne pourra s’appliquer à aucune des obligations du Maître d’ouvrage de payer l’Entrepreneur en vertu du Marché.</w:t>
            </w:r>
          </w:p>
        </w:tc>
      </w:tr>
      <w:tr w:rsidR="00F332DA" w:rsidRPr="00BD76AF" w14:paraId="4E6F4A7D" w14:textId="77777777" w:rsidTr="00840452">
        <w:tc>
          <w:tcPr>
            <w:tcW w:w="2352" w:type="dxa"/>
          </w:tcPr>
          <w:p w14:paraId="010B9398" w14:textId="77777777" w:rsidR="00F332DA" w:rsidRPr="00BD76AF" w:rsidRDefault="00F332DA" w:rsidP="007C71D1">
            <w:pPr>
              <w:pStyle w:val="S7Header2"/>
              <w:rPr>
                <w:szCs w:val="24"/>
              </w:rPr>
            </w:pPr>
            <w:bookmarkStart w:id="802" w:name="_Toc102050820"/>
            <w:r w:rsidRPr="00BD76AF">
              <w:rPr>
                <w:szCs w:val="24"/>
              </w:rPr>
              <w:t>38.</w:t>
            </w:r>
            <w:r w:rsidRPr="00BD76AF">
              <w:rPr>
                <w:szCs w:val="24"/>
              </w:rPr>
              <w:tab/>
              <w:t>Risques de guerre</w:t>
            </w:r>
            <w:bookmarkEnd w:id="802"/>
          </w:p>
        </w:tc>
        <w:tc>
          <w:tcPr>
            <w:tcW w:w="6936" w:type="dxa"/>
          </w:tcPr>
          <w:p w14:paraId="3429D449" w14:textId="77777777" w:rsidR="00F332DA" w:rsidRPr="00BD76AF" w:rsidRDefault="00F332DA" w:rsidP="00945D6A">
            <w:pPr>
              <w:spacing w:after="200"/>
              <w:ind w:left="601" w:hanging="601"/>
              <w:rPr>
                <w:szCs w:val="24"/>
              </w:rPr>
            </w:pPr>
            <w:r w:rsidRPr="00BD76AF">
              <w:rPr>
                <w:szCs w:val="24"/>
              </w:rPr>
              <w:t>38.1</w:t>
            </w:r>
            <w:r w:rsidRPr="00BD76AF">
              <w:rPr>
                <w:szCs w:val="24"/>
              </w:rPr>
              <w:tab/>
              <w:t>Les « risques de guerre » signifient tout événement mentionné aux alinéas a) et b) de l’Article 37.1 des CG et toute explosion ou impact de mine, bombe, obus, grenade ou de tout autre projectile, missile, munition ou explosif de guerre, se produisant ou se trouvant dans ou à proximité du (des) pays où se trouve le Site.</w:t>
            </w:r>
          </w:p>
          <w:p w14:paraId="43C1B27D" w14:textId="77777777" w:rsidR="00F332DA" w:rsidRPr="00BD76AF" w:rsidRDefault="00F332DA" w:rsidP="00296DA2">
            <w:pPr>
              <w:spacing w:afterLines="50" w:after="120"/>
              <w:ind w:left="601" w:hanging="601"/>
              <w:rPr>
                <w:szCs w:val="24"/>
              </w:rPr>
            </w:pPr>
            <w:r w:rsidRPr="00BD76AF">
              <w:rPr>
                <w:szCs w:val="24"/>
              </w:rPr>
              <w:t>38.2</w:t>
            </w:r>
            <w:r w:rsidRPr="00BD76AF">
              <w:rPr>
                <w:szCs w:val="24"/>
              </w:rPr>
              <w:tab/>
              <w:t>Nonobstant toute autre disposition du présent Marché, l’Entrepreneur ne doit avoir aucune responsabilité quelle qu’elle soit pour et en ce qui concerne :</w:t>
            </w:r>
          </w:p>
          <w:p w14:paraId="78E92CB4" w14:textId="77777777" w:rsidR="00F332DA" w:rsidRPr="00BD76AF" w:rsidRDefault="00F332DA" w:rsidP="00C21879">
            <w:pPr>
              <w:pStyle w:val="SectionVII1"/>
              <w:rPr>
                <w:lang w:val="fr-FR"/>
              </w:rPr>
            </w:pPr>
            <w:r w:rsidRPr="00BD76AF">
              <w:rPr>
                <w:lang w:val="fr-FR"/>
              </w:rPr>
              <w:t>a)</w:t>
            </w:r>
            <w:r w:rsidRPr="00BD76AF">
              <w:rPr>
                <w:lang w:val="fr-FR"/>
              </w:rPr>
              <w:tab/>
              <w:t>la destruction ou l’endommagement des Installations, Équipements, ou d’une partie de ceux-ci ;</w:t>
            </w:r>
          </w:p>
          <w:p w14:paraId="2464DBE5" w14:textId="77777777" w:rsidR="00F332DA" w:rsidRPr="00BD76AF" w:rsidRDefault="00F332DA" w:rsidP="00C21879">
            <w:pPr>
              <w:pStyle w:val="SectionVII1"/>
              <w:rPr>
                <w:lang w:val="fr-FR"/>
              </w:rPr>
            </w:pPr>
            <w:r w:rsidRPr="00BD76AF">
              <w:rPr>
                <w:lang w:val="fr-FR"/>
              </w:rPr>
              <w:t>b)</w:t>
            </w:r>
            <w:r w:rsidRPr="00BD76AF">
              <w:rPr>
                <w:lang w:val="fr-FR"/>
              </w:rPr>
              <w:tab/>
              <w:t>la destruction ou l’endommagement des propriétés du Maître d’ouvrage ou de tiers ; ou</w:t>
            </w:r>
          </w:p>
          <w:p w14:paraId="4C54A640" w14:textId="77777777" w:rsidR="00F332DA" w:rsidRPr="00BD76AF" w:rsidRDefault="00F332DA" w:rsidP="00C21879">
            <w:pPr>
              <w:pStyle w:val="SectionVII1"/>
              <w:rPr>
                <w:lang w:val="fr-FR"/>
              </w:rPr>
            </w:pPr>
            <w:r w:rsidRPr="00BD76AF">
              <w:rPr>
                <w:lang w:val="fr-FR"/>
              </w:rPr>
              <w:t>c)</w:t>
            </w:r>
            <w:r w:rsidRPr="00BD76AF">
              <w:rPr>
                <w:lang w:val="fr-FR"/>
              </w:rPr>
              <w:tab/>
              <w:t>les blessures ou décès ;</w:t>
            </w:r>
          </w:p>
          <w:p w14:paraId="667AB8B8" w14:textId="77777777" w:rsidR="00F332DA" w:rsidRPr="00BD76AF" w:rsidRDefault="00F332DA" w:rsidP="00945D6A">
            <w:pPr>
              <w:spacing w:after="200"/>
              <w:ind w:left="601"/>
              <w:rPr>
                <w:szCs w:val="24"/>
              </w:rPr>
            </w:pPr>
            <w:r w:rsidRPr="00BD76AF">
              <w:rPr>
                <w:szCs w:val="24"/>
              </w:rPr>
              <w:t xml:space="preserve">si la destruction, le dommage, la blessure ou le décès est causé par un risque de guerre, et le Maître d’ouvrage doit indemniser et garantir l’Entrepreneur de et contre toute réclamation, responsabilité, action en justice, procès, </w:t>
            </w:r>
            <w:r w:rsidRPr="00BD76AF">
              <w:t>dommages</w:t>
            </w:r>
            <w:r w:rsidRPr="00BD76AF">
              <w:rPr>
                <w:szCs w:val="24"/>
              </w:rPr>
              <w:t>, coûts, frais ou dépenses survenant en conséquence de ou en relation avec l’événement.</w:t>
            </w:r>
          </w:p>
          <w:p w14:paraId="0D0D5206" w14:textId="77777777" w:rsidR="00F332DA" w:rsidRPr="00BD76AF" w:rsidRDefault="00F332DA" w:rsidP="00296DA2">
            <w:pPr>
              <w:spacing w:afterLines="50" w:after="120"/>
              <w:ind w:left="601" w:hanging="601"/>
              <w:rPr>
                <w:szCs w:val="24"/>
              </w:rPr>
            </w:pPr>
            <w:r w:rsidRPr="00BD76AF">
              <w:rPr>
                <w:szCs w:val="24"/>
              </w:rPr>
              <w:t>38.3</w:t>
            </w:r>
            <w:r w:rsidRPr="00BD76AF">
              <w:rPr>
                <w:szCs w:val="24"/>
              </w:rPr>
              <w:tab/>
              <w:t>Si les Installations, les Équipements ou les Équipements de l’Entrepreneur, ou toute autre propriété de l’Entrepreneur utilisée ou devant être utilisée aux fins des Installations sont détruits ou subissent un dommage en raison d’un risque de guerre, le Maître d’ouvrage doit payer l’Entrepreneur pour :</w:t>
            </w:r>
          </w:p>
          <w:p w14:paraId="5310683A" w14:textId="77777777" w:rsidR="00F332DA" w:rsidRPr="00BD76AF" w:rsidRDefault="00F332DA" w:rsidP="00C21879">
            <w:pPr>
              <w:pStyle w:val="SectionVII1"/>
              <w:rPr>
                <w:lang w:val="fr-FR"/>
              </w:rPr>
            </w:pPr>
            <w:r w:rsidRPr="00BD76AF">
              <w:rPr>
                <w:lang w:val="fr-FR"/>
              </w:rPr>
              <w:t>a)</w:t>
            </w:r>
            <w:r w:rsidRPr="00BD76AF">
              <w:rPr>
                <w:lang w:val="fr-FR"/>
              </w:rPr>
              <w:tab/>
              <w:t xml:space="preserve">toute partie des Installations ou des Équipements détruite ou endommagée, dans la mesure où la destruction ou le dommage n’est pas déjà payé par le Maître d’ouvrage ; </w:t>
            </w:r>
          </w:p>
          <w:p w14:paraId="377B4DD1" w14:textId="77777777" w:rsidR="00F332DA" w:rsidRPr="00BD76AF" w:rsidRDefault="00F332DA" w:rsidP="00C21879">
            <w:pPr>
              <w:pStyle w:val="SectionVII1"/>
              <w:rPr>
                <w:lang w:val="fr-FR"/>
              </w:rPr>
            </w:pPr>
            <w:r w:rsidRPr="00BD76AF">
              <w:rPr>
                <w:lang w:val="fr-FR"/>
              </w:rPr>
              <w:t>b)</w:t>
            </w:r>
            <w:r w:rsidRPr="00BD76AF">
              <w:rPr>
                <w:lang w:val="fr-FR"/>
              </w:rPr>
              <w:tab/>
              <w:t>le remplacement ou la remise en état de tout Équipement de l’Entrepreneur ou de toute autre propriété de l’Entrepreneur ainsi détruit ou endommagé ; ou</w:t>
            </w:r>
          </w:p>
          <w:p w14:paraId="10650F1D" w14:textId="77777777" w:rsidR="00F332DA" w:rsidRPr="00BD76AF" w:rsidRDefault="00F332DA" w:rsidP="00C21879">
            <w:pPr>
              <w:pStyle w:val="SectionVII1"/>
              <w:rPr>
                <w:lang w:val="fr-FR"/>
              </w:rPr>
            </w:pPr>
            <w:r w:rsidRPr="00BD76AF">
              <w:rPr>
                <w:lang w:val="fr-FR"/>
              </w:rPr>
              <w:t>c)</w:t>
            </w:r>
            <w:r w:rsidRPr="00BD76AF">
              <w:rPr>
                <w:lang w:val="fr-FR"/>
              </w:rPr>
              <w:tab/>
              <w:t xml:space="preserve">le remplacement ou la remise en état d’une destruction ou d’un dommage aux Installations ou Équipements ou à une de leurs parties, </w:t>
            </w:r>
          </w:p>
          <w:p w14:paraId="10018A41" w14:textId="77777777" w:rsidR="00F332DA" w:rsidRPr="00BD76AF" w:rsidRDefault="00F332DA" w:rsidP="00644752">
            <w:pPr>
              <w:spacing w:afterLines="50" w:after="120"/>
              <w:ind w:left="601"/>
              <w:rPr>
                <w:szCs w:val="24"/>
              </w:rPr>
            </w:pPr>
            <w:r w:rsidRPr="00BD76AF">
              <w:rPr>
                <w:szCs w:val="24"/>
              </w:rPr>
              <w:t>dans la mesure où le Maître d’ouvrage l’exige et où cela s’avère nécessaire pour l’achèvement des Installations.</w:t>
            </w:r>
          </w:p>
          <w:p w14:paraId="2621945D" w14:textId="77777777" w:rsidR="00F332DA" w:rsidRPr="00BD76AF" w:rsidRDefault="00F332DA" w:rsidP="00052E7C">
            <w:pPr>
              <w:spacing w:afterLines="50" w:after="120"/>
              <w:ind w:left="601"/>
              <w:rPr>
                <w:szCs w:val="24"/>
              </w:rPr>
            </w:pPr>
            <w:r w:rsidRPr="00BD76AF">
              <w:rPr>
                <w:szCs w:val="24"/>
              </w:rPr>
              <w:t>Si le Maître d’ouvrage n’exige pas de l’Entrepreneur le remplacement ou la remise en état des Installations détruites ou endommagées, le Maître d’ouvrage doit soit demander une modification conformément à l’Article 39 (</w:t>
            </w:r>
            <w:r w:rsidRPr="00BD76AF">
              <w:rPr>
                <w:i/>
                <w:szCs w:val="24"/>
              </w:rPr>
              <w:t>Modification des Installations</w:t>
            </w:r>
            <w:r w:rsidRPr="00BD76AF">
              <w:rPr>
                <w:szCs w:val="24"/>
              </w:rPr>
              <w:t>) des CG, excluant l’exécution de la partie des Installations détruites ou endommagées ou, lorsque la perte, la destruction ou le dommage affecte une partie importante des Installations, résilier le Marché conformément à l’Article 42.1 (</w:t>
            </w:r>
            <w:r w:rsidRPr="00BD76AF">
              <w:rPr>
                <w:i/>
                <w:szCs w:val="24"/>
              </w:rPr>
              <w:t>Résiliation par le Maître d’ouvrage à la convenance du Maître d’ouvrage</w:t>
            </w:r>
            <w:r w:rsidRPr="00BD76AF">
              <w:rPr>
                <w:szCs w:val="24"/>
              </w:rPr>
              <w:t>) des CG.</w:t>
            </w:r>
          </w:p>
          <w:p w14:paraId="714588D3" w14:textId="77777777" w:rsidR="00F332DA" w:rsidRPr="00BD76AF" w:rsidRDefault="00F332DA" w:rsidP="00945D6A">
            <w:pPr>
              <w:spacing w:after="200"/>
              <w:ind w:left="601"/>
              <w:rPr>
                <w:szCs w:val="24"/>
              </w:rPr>
            </w:pPr>
            <w:r w:rsidRPr="00BD76AF">
              <w:rPr>
                <w:szCs w:val="24"/>
              </w:rPr>
              <w:t xml:space="preserve">Si le Maître d’ouvrage exige de l’Entrepreneur le remplacement ou la remise en état des Installations </w:t>
            </w:r>
            <w:r w:rsidRPr="00BD76AF">
              <w:t>détruites</w:t>
            </w:r>
            <w:r w:rsidRPr="00BD76AF">
              <w:rPr>
                <w:szCs w:val="24"/>
              </w:rPr>
              <w:t xml:space="preserve"> ou endommagées, le Délai d’achèvement doit être prolongé conformément à l’Article 40 (</w:t>
            </w:r>
            <w:r w:rsidRPr="00BD76AF">
              <w:rPr>
                <w:i/>
                <w:szCs w:val="24"/>
              </w:rPr>
              <w:t>Prolongation du Délai d’achèvement</w:t>
            </w:r>
            <w:r w:rsidRPr="00BD76AF">
              <w:rPr>
                <w:szCs w:val="24"/>
              </w:rPr>
              <w:t>) des CG.</w:t>
            </w:r>
          </w:p>
          <w:p w14:paraId="139F0D14" w14:textId="77777777" w:rsidR="00F332DA" w:rsidRPr="00BD76AF" w:rsidRDefault="00F332DA" w:rsidP="005D46E4">
            <w:pPr>
              <w:spacing w:after="200"/>
              <w:ind w:left="601" w:hanging="601"/>
              <w:rPr>
                <w:szCs w:val="24"/>
              </w:rPr>
            </w:pPr>
            <w:r w:rsidRPr="00BD76AF">
              <w:rPr>
                <w:szCs w:val="24"/>
              </w:rPr>
              <w:t>38.4</w:t>
            </w:r>
            <w:r w:rsidRPr="00BD76AF">
              <w:rPr>
                <w:szCs w:val="24"/>
              </w:rPr>
              <w:tab/>
              <w:t>Nonobstant toute autre disposition contraire du Marché, le Maître d’ouvrage doit payer à l’Entrepreneur toute augmentation de coût ou des frais accessoires à l’exécution du Marché qui est, en tout état de cause, imputable à, consécutive à, résultant de ou associée, de quelque façon que ce soit, à un risque de guerre, à condition que l’Entrepreneur informe le Maître d’ouvrage dès que possible par écrit de cette augmentation de coût.</w:t>
            </w:r>
          </w:p>
          <w:p w14:paraId="57C566A5" w14:textId="77777777" w:rsidR="00F332DA" w:rsidRPr="00BD76AF" w:rsidRDefault="00F332DA" w:rsidP="005D46E4">
            <w:pPr>
              <w:spacing w:after="200"/>
              <w:ind w:left="601" w:hanging="601"/>
              <w:rPr>
                <w:szCs w:val="24"/>
              </w:rPr>
            </w:pPr>
            <w:r w:rsidRPr="00BD76AF">
              <w:rPr>
                <w:szCs w:val="24"/>
              </w:rPr>
              <w:t>38.5</w:t>
            </w:r>
            <w:r w:rsidRPr="00BD76AF">
              <w:rPr>
                <w:szCs w:val="24"/>
              </w:rPr>
              <w:tab/>
              <w:t>Si, au cours de l’exécution du Marché, un risque de guerre quelconque se produit et affecte financièrement ou matériellement l’exécution du Marché par l’Entrepreneur, l’Entrepreneur doit faire son possible pour exécuter le Marché en prenant dûment en considération la sécurité de son personnel et de celui de ses Sous-traitants travaillant sur les Installations, à la condition, toutefois, que si l’exécution des travaux sur les Installations devenait impossible ou était sérieusement empêchée pendant une période de plus de soixante (60) jours consécutifs ou une période globale de plus de cent vingt (120) jours par suite de risques de guerre, les Parties devront essayer de trouver une solution mutuellement satisfaisante, faute de quoi l’une ou l’autre des Parties peut résilier le Marché en avisant l’autre Partie.</w:t>
            </w:r>
          </w:p>
          <w:p w14:paraId="4AFFB27D" w14:textId="77777777" w:rsidR="00F332DA" w:rsidRPr="00BD76AF" w:rsidRDefault="00F332DA" w:rsidP="005D46E4">
            <w:pPr>
              <w:spacing w:after="200"/>
              <w:ind w:left="601" w:hanging="601"/>
              <w:rPr>
                <w:szCs w:val="24"/>
              </w:rPr>
            </w:pPr>
            <w:r w:rsidRPr="00BD76AF">
              <w:rPr>
                <w:szCs w:val="24"/>
              </w:rPr>
              <w:t>38.6</w:t>
            </w:r>
            <w:r w:rsidRPr="00BD76AF">
              <w:rPr>
                <w:szCs w:val="24"/>
              </w:rPr>
              <w:tab/>
              <w:t>Dans l’éventualité d’une résiliation conformément à l’Article 38.3 ou 38.5 des CG, les droits et obligations du Maître d’ouvrage et de l’Entrepreneur doivent être ceux spécifiés aux Articles 42.1.2 et 42.1.3 des CG.</w:t>
            </w:r>
          </w:p>
        </w:tc>
      </w:tr>
    </w:tbl>
    <w:p w14:paraId="1E897886" w14:textId="77777777" w:rsidR="00F332DA" w:rsidRPr="00BD76AF" w:rsidRDefault="00F332DA" w:rsidP="001C1BDA">
      <w:pPr>
        <w:pStyle w:val="S7Header1"/>
        <w:spacing w:before="240" w:afterLines="100" w:after="240"/>
        <w:rPr>
          <w:sz w:val="32"/>
          <w:szCs w:val="32"/>
        </w:rPr>
      </w:pPr>
      <w:bookmarkStart w:id="803" w:name="_Toc102050821"/>
      <w:r w:rsidRPr="00BD76AF">
        <w:rPr>
          <w:sz w:val="32"/>
          <w:szCs w:val="32"/>
        </w:rPr>
        <w:t>H.  Modification des éléments du Marché</w:t>
      </w:r>
      <w:bookmarkEnd w:id="803"/>
    </w:p>
    <w:tbl>
      <w:tblPr>
        <w:tblW w:w="9288" w:type="dxa"/>
        <w:tblInd w:w="-74" w:type="dxa"/>
        <w:tblLayout w:type="fixed"/>
        <w:tblLook w:val="0000" w:firstRow="0" w:lastRow="0" w:firstColumn="0" w:lastColumn="0" w:noHBand="0" w:noVBand="0"/>
      </w:tblPr>
      <w:tblGrid>
        <w:gridCol w:w="6"/>
        <w:gridCol w:w="2333"/>
        <w:gridCol w:w="6876"/>
        <w:gridCol w:w="73"/>
      </w:tblGrid>
      <w:tr w:rsidR="00F332DA" w:rsidRPr="00BD76AF" w14:paraId="249DE2A9" w14:textId="77777777" w:rsidTr="005116CE">
        <w:trPr>
          <w:gridAfter w:val="1"/>
          <w:wAfter w:w="74" w:type="dxa"/>
        </w:trPr>
        <w:tc>
          <w:tcPr>
            <w:tcW w:w="2352" w:type="dxa"/>
            <w:gridSpan w:val="2"/>
          </w:tcPr>
          <w:p w14:paraId="1AE181BA" w14:textId="77777777" w:rsidR="00F332DA" w:rsidRPr="00BD76AF" w:rsidRDefault="00F332DA" w:rsidP="007C71D1">
            <w:pPr>
              <w:pStyle w:val="S7Header2"/>
              <w:rPr>
                <w:szCs w:val="24"/>
              </w:rPr>
            </w:pPr>
            <w:bookmarkStart w:id="804" w:name="_Toc102050822"/>
            <w:r w:rsidRPr="00BD76AF">
              <w:rPr>
                <w:szCs w:val="24"/>
              </w:rPr>
              <w:t>39.</w:t>
            </w:r>
            <w:r w:rsidRPr="00BD76AF">
              <w:rPr>
                <w:szCs w:val="24"/>
              </w:rPr>
              <w:tab/>
              <w:t>Modification des Installations</w:t>
            </w:r>
            <w:bookmarkEnd w:id="804"/>
          </w:p>
        </w:tc>
        <w:tc>
          <w:tcPr>
            <w:tcW w:w="6936" w:type="dxa"/>
          </w:tcPr>
          <w:p w14:paraId="583A7644" w14:textId="77777777" w:rsidR="00F332DA" w:rsidRPr="00BD76AF" w:rsidRDefault="00F332DA" w:rsidP="0011300E">
            <w:pPr>
              <w:spacing w:afterLines="50" w:after="120"/>
              <w:ind w:left="601" w:hanging="601"/>
              <w:rPr>
                <w:szCs w:val="24"/>
              </w:rPr>
            </w:pPr>
            <w:r w:rsidRPr="00BD76AF">
              <w:rPr>
                <w:szCs w:val="24"/>
              </w:rPr>
              <w:t>39.1</w:t>
            </w:r>
            <w:r w:rsidRPr="00BD76AF">
              <w:rPr>
                <w:szCs w:val="24"/>
              </w:rPr>
              <w:tab/>
            </w:r>
            <w:r w:rsidRPr="00BD76AF">
              <w:rPr>
                <w:szCs w:val="24"/>
                <w:u w:val="single"/>
              </w:rPr>
              <w:t>Introduction des modifications</w:t>
            </w:r>
          </w:p>
          <w:p w14:paraId="55D7E34C" w14:textId="77777777" w:rsidR="00F332DA" w:rsidRPr="00BD76AF" w:rsidRDefault="00F332DA" w:rsidP="00957E24">
            <w:pPr>
              <w:spacing w:after="200"/>
              <w:ind w:left="1440" w:hanging="839"/>
              <w:rPr>
                <w:szCs w:val="24"/>
              </w:rPr>
            </w:pPr>
            <w:r w:rsidRPr="00BD76AF">
              <w:rPr>
                <w:szCs w:val="24"/>
              </w:rPr>
              <w:t>39.1.1</w:t>
            </w:r>
            <w:r w:rsidRPr="00BD76AF">
              <w:rPr>
                <w:szCs w:val="24"/>
              </w:rPr>
              <w:tab/>
              <w:t>Sous réserve des Articles 39.2.5 et 39.2.7 des CG, le Maître d’ouvrage doit avoir droit de proposer et, ultérieurement, de demander que le Directeur de projet donne à l’Entrepreneur, au cours de l’exécution du Marché, l’instruction de procéder à tout changement, modification, ajout, ou suppression aux Installations, ci-après désigné « modification », à condition que cette modification soit conforme à la description générale des Installations, ne constitue pas un travail sans rapport et soit techniquement possible, compte tenu à la fois de l’état d’avancement des Installations et de la compatibilité technique de la modification envisagée avec la nature des Installations telle que spécifiée en vertu du Marché.</w:t>
            </w:r>
          </w:p>
          <w:p w14:paraId="5637B738" w14:textId="77777777" w:rsidR="00F332DA" w:rsidRPr="00BD76AF" w:rsidRDefault="00F332DA" w:rsidP="00957E24">
            <w:pPr>
              <w:spacing w:after="200"/>
              <w:ind w:left="1440" w:hanging="839"/>
              <w:rPr>
                <w:szCs w:val="24"/>
              </w:rPr>
            </w:pPr>
            <w:r w:rsidRPr="00BD76AF">
              <w:rPr>
                <w:szCs w:val="24"/>
              </w:rPr>
              <w:t>39.1.2</w:t>
            </w:r>
            <w:r w:rsidRPr="00BD76AF">
              <w:rPr>
                <w:szCs w:val="24"/>
              </w:rPr>
              <w:tab/>
              <w:t>L’Entrepreneur peut, à différentes reprises au cours de l’exécution du Marché, proposer au Maître d’ouvrage, avec copie au Directeur de projet, toute modification que l’Entrepreneur estime nécessaire ou souhaitable pour améliorer la qualité, l’efficacité ou la sécurité des Installations, ou qui est nécessaire en raison de tout acte, manquement ou rupture de Marché du Maître d’ouvrage ou de ses entrepreneurs quels qu’ils soient.  Le Maître d’ouvrage peut, à sa discrétion, approuver ou rejeter toute modification proposée par l’Entrepreneur, à condition que le Maître d’ouvrage approuve les modifications rendues nécessaires en raison de tout acte, manquement ou rupture de Marché du Maître d’ouvrage ou de ses entrepreneurs quels qu'ils soient, ou proposées par l’Entrepreneur pour garantir la sécurité des Installations.</w:t>
            </w:r>
          </w:p>
          <w:p w14:paraId="327CCCAA" w14:textId="77777777" w:rsidR="00F332DA" w:rsidRPr="00BD76AF" w:rsidRDefault="00F332DA" w:rsidP="00957E24">
            <w:pPr>
              <w:spacing w:after="200"/>
              <w:ind w:left="1440" w:hanging="839"/>
              <w:rPr>
                <w:szCs w:val="24"/>
              </w:rPr>
            </w:pPr>
            <w:r w:rsidRPr="00BD76AF">
              <w:rPr>
                <w:szCs w:val="24"/>
              </w:rPr>
              <w:t>39.1.3</w:t>
            </w:r>
            <w:r w:rsidRPr="00BD76AF">
              <w:rPr>
                <w:szCs w:val="24"/>
              </w:rPr>
              <w:tab/>
              <w:t>Nonobstant les Articles 39.1.1 et 39.1.2 des CG, aucun changement rendu nécessaire en raison d’un manquement de l’Entrepreneur dans l’exécution de ses obligations en vertu du Marché ne doit être considéré comme une modification, et ce changement ne doit entraîner aucun ajustement du Montant du Marché ou du Délai d’achèvement.</w:t>
            </w:r>
          </w:p>
          <w:p w14:paraId="78C4701E" w14:textId="77777777" w:rsidR="00F332DA" w:rsidRPr="00BD76AF" w:rsidRDefault="00F332DA" w:rsidP="00957E24">
            <w:pPr>
              <w:spacing w:after="200"/>
              <w:ind w:left="1440" w:hanging="839"/>
              <w:rPr>
                <w:szCs w:val="24"/>
              </w:rPr>
            </w:pPr>
            <w:r w:rsidRPr="00BD76AF">
              <w:rPr>
                <w:szCs w:val="24"/>
              </w:rPr>
              <w:t>39.1.4</w:t>
            </w:r>
            <w:r w:rsidRPr="00BD76AF">
              <w:rPr>
                <w:szCs w:val="24"/>
              </w:rPr>
              <w:tab/>
              <w:t>La procédure à suivre pour mettre en œuvre les modifications est précisée dans les Articles 39.2 et 39.3 des CG, et de plus amples détails et modèles de document sont fournis dans les Exigences du Maître d’ouvrage (Formulaires et procédures).</w:t>
            </w:r>
          </w:p>
          <w:p w14:paraId="230E315A" w14:textId="77777777" w:rsidR="00F332DA" w:rsidRPr="00BD76AF" w:rsidRDefault="00F332DA" w:rsidP="0011300E">
            <w:pPr>
              <w:spacing w:afterLines="50" w:after="120"/>
              <w:ind w:left="601" w:hanging="601"/>
              <w:rPr>
                <w:szCs w:val="24"/>
              </w:rPr>
            </w:pPr>
            <w:r w:rsidRPr="00BD76AF">
              <w:rPr>
                <w:szCs w:val="24"/>
              </w:rPr>
              <w:t>39.2</w:t>
            </w:r>
            <w:r w:rsidRPr="00BD76AF">
              <w:rPr>
                <w:szCs w:val="24"/>
              </w:rPr>
              <w:tab/>
            </w:r>
            <w:r w:rsidRPr="00BD76AF">
              <w:rPr>
                <w:szCs w:val="24"/>
                <w:u w:val="single"/>
              </w:rPr>
              <w:t>Modification à l’initiative du Maître d’ouvrage</w:t>
            </w:r>
          </w:p>
          <w:p w14:paraId="7288064F" w14:textId="77777777" w:rsidR="00F332DA" w:rsidRPr="00BD76AF" w:rsidRDefault="00F332DA" w:rsidP="00DC426C">
            <w:pPr>
              <w:spacing w:afterLines="50" w:after="120"/>
              <w:ind w:left="1440" w:hanging="839"/>
              <w:rPr>
                <w:szCs w:val="24"/>
              </w:rPr>
            </w:pPr>
            <w:r w:rsidRPr="00BD76AF">
              <w:rPr>
                <w:szCs w:val="24"/>
              </w:rPr>
              <w:t>39.2.1</w:t>
            </w:r>
            <w:r w:rsidRPr="00BD76AF">
              <w:rPr>
                <w:szCs w:val="24"/>
              </w:rPr>
              <w:tab/>
              <w:t>Si le Maître d’ouvrage propose une modification conformément à l’Article 39.1.1 des CG, il doit adresser à l’Entrepreneur une « Demande de proposition de modification », demandant à l’Entrepreneur de préparer et fournir au Directeur de projet, dès que cela est raisonnablement possible, une « Proposition de modification » incluant les éléments suivants :</w:t>
            </w:r>
          </w:p>
          <w:p w14:paraId="676702E0" w14:textId="77777777" w:rsidR="00F332DA" w:rsidRPr="00BD76AF" w:rsidRDefault="00F332DA" w:rsidP="00847D47">
            <w:pPr>
              <w:spacing w:afterLines="50" w:after="120"/>
              <w:ind w:left="1865" w:hanging="425"/>
              <w:rPr>
                <w:szCs w:val="24"/>
              </w:rPr>
            </w:pPr>
            <w:r w:rsidRPr="00BD76AF">
              <w:rPr>
                <w:szCs w:val="24"/>
              </w:rPr>
              <w:t>a)</w:t>
            </w:r>
            <w:r w:rsidRPr="00BD76AF">
              <w:rPr>
                <w:szCs w:val="24"/>
              </w:rPr>
              <w:tab/>
              <w:t>une brève description de la modification ;</w:t>
            </w:r>
          </w:p>
          <w:p w14:paraId="75E64714" w14:textId="77777777" w:rsidR="00F332DA" w:rsidRPr="00BD76AF" w:rsidRDefault="00F332DA" w:rsidP="00847D47">
            <w:pPr>
              <w:spacing w:afterLines="50" w:after="120"/>
              <w:ind w:left="1865" w:hanging="425"/>
              <w:rPr>
                <w:szCs w:val="24"/>
              </w:rPr>
            </w:pPr>
            <w:r w:rsidRPr="00BD76AF">
              <w:rPr>
                <w:szCs w:val="24"/>
              </w:rPr>
              <w:t>b)</w:t>
            </w:r>
            <w:r w:rsidRPr="00BD76AF">
              <w:rPr>
                <w:szCs w:val="24"/>
              </w:rPr>
              <w:tab/>
              <w:t>les conséquences sur le Délai d’achèvement ;</w:t>
            </w:r>
          </w:p>
          <w:p w14:paraId="1E41C633" w14:textId="77777777" w:rsidR="00F332DA" w:rsidRPr="00BD76AF" w:rsidRDefault="00F332DA" w:rsidP="00847D47">
            <w:pPr>
              <w:spacing w:afterLines="50" w:after="120"/>
              <w:ind w:left="1865" w:hanging="425"/>
              <w:rPr>
                <w:szCs w:val="24"/>
              </w:rPr>
            </w:pPr>
            <w:r w:rsidRPr="00BD76AF">
              <w:rPr>
                <w:szCs w:val="24"/>
              </w:rPr>
              <w:t>c)</w:t>
            </w:r>
            <w:r w:rsidRPr="00BD76AF">
              <w:rPr>
                <w:szCs w:val="24"/>
              </w:rPr>
              <w:tab/>
              <w:t>le coût estimé de la modification ;</w:t>
            </w:r>
          </w:p>
          <w:p w14:paraId="5C5D56C9" w14:textId="77777777" w:rsidR="00F332DA" w:rsidRPr="00BD76AF" w:rsidRDefault="00F332DA" w:rsidP="00847D47">
            <w:pPr>
              <w:spacing w:afterLines="50" w:after="120"/>
              <w:ind w:left="1865" w:hanging="425"/>
              <w:rPr>
                <w:szCs w:val="24"/>
              </w:rPr>
            </w:pPr>
            <w:r w:rsidRPr="00BD76AF">
              <w:rPr>
                <w:szCs w:val="24"/>
              </w:rPr>
              <w:t>d)</w:t>
            </w:r>
            <w:r w:rsidRPr="00BD76AF">
              <w:rPr>
                <w:szCs w:val="24"/>
              </w:rPr>
              <w:tab/>
              <w:t>les conséquences sur les Garanties opérationnelles (le cas échéant) ;</w:t>
            </w:r>
          </w:p>
          <w:p w14:paraId="03D74912" w14:textId="77777777" w:rsidR="00F332DA" w:rsidRPr="00BD76AF" w:rsidRDefault="00F332DA" w:rsidP="00847D47">
            <w:pPr>
              <w:spacing w:afterLines="50" w:after="120"/>
              <w:ind w:left="1865" w:hanging="425"/>
              <w:rPr>
                <w:szCs w:val="24"/>
              </w:rPr>
            </w:pPr>
            <w:r w:rsidRPr="00BD76AF">
              <w:rPr>
                <w:szCs w:val="24"/>
              </w:rPr>
              <w:t>e)</w:t>
            </w:r>
            <w:r w:rsidRPr="00BD76AF">
              <w:rPr>
                <w:szCs w:val="24"/>
              </w:rPr>
              <w:tab/>
              <w:t>les conséquences sur les Installations ; et</w:t>
            </w:r>
          </w:p>
          <w:p w14:paraId="751AE82A" w14:textId="77777777" w:rsidR="00F332DA" w:rsidRPr="00BD76AF" w:rsidRDefault="00F332DA" w:rsidP="00957E24">
            <w:pPr>
              <w:spacing w:after="200"/>
              <w:ind w:left="1865" w:hanging="425"/>
              <w:rPr>
                <w:szCs w:val="24"/>
              </w:rPr>
            </w:pPr>
            <w:r w:rsidRPr="00BD76AF">
              <w:rPr>
                <w:szCs w:val="24"/>
              </w:rPr>
              <w:t>f)</w:t>
            </w:r>
            <w:r w:rsidRPr="00BD76AF">
              <w:rPr>
                <w:szCs w:val="24"/>
              </w:rPr>
              <w:tab/>
              <w:t>les conséquences sur toute autre disposition du Marché.</w:t>
            </w:r>
          </w:p>
          <w:p w14:paraId="24498F0B" w14:textId="77777777" w:rsidR="00F332DA" w:rsidRPr="00BD76AF" w:rsidRDefault="00F332DA" w:rsidP="00DC426C">
            <w:pPr>
              <w:spacing w:afterLines="50" w:after="120"/>
              <w:ind w:left="1440" w:hanging="839"/>
              <w:rPr>
                <w:szCs w:val="24"/>
                <w:lang w:eastAsia="ja-JP"/>
              </w:rPr>
            </w:pPr>
            <w:r w:rsidRPr="00BD76AF">
              <w:rPr>
                <w:szCs w:val="24"/>
              </w:rPr>
              <w:t>39.2.2</w:t>
            </w:r>
            <w:r w:rsidRPr="00BD76AF">
              <w:rPr>
                <w:szCs w:val="24"/>
              </w:rPr>
              <w:tab/>
              <w:t>Avant de préparer et de soumettre la « Proposition de modification », l’Entrepreneur doit soumettre au Directeur de projet une « Estimation de la proposition de modification », qui doit être une estimation du coût que représente la préparation et soumission de la Proposition de modification.</w:t>
            </w:r>
          </w:p>
          <w:p w14:paraId="35014F2C" w14:textId="77777777" w:rsidR="00F332DA" w:rsidRPr="00BD76AF" w:rsidRDefault="00F332DA" w:rsidP="00114580">
            <w:pPr>
              <w:spacing w:afterLines="50" w:after="120"/>
              <w:ind w:left="1440"/>
              <w:rPr>
                <w:szCs w:val="24"/>
              </w:rPr>
            </w:pPr>
            <w:r w:rsidRPr="00BD76AF">
              <w:rPr>
                <w:szCs w:val="24"/>
              </w:rPr>
              <w:t>Sur réception de l’Estimation de la proposition de modification de l’Entrepreneur, le Maître d’ouvrage doit soit :</w:t>
            </w:r>
          </w:p>
          <w:p w14:paraId="0E470AFA" w14:textId="77777777" w:rsidR="00F332DA" w:rsidRPr="00BD76AF" w:rsidRDefault="00F332DA" w:rsidP="00847D47">
            <w:pPr>
              <w:spacing w:afterLines="50" w:after="120"/>
              <w:ind w:left="1865" w:hanging="425"/>
              <w:rPr>
                <w:szCs w:val="24"/>
              </w:rPr>
            </w:pPr>
            <w:r w:rsidRPr="00BD76AF">
              <w:rPr>
                <w:szCs w:val="24"/>
              </w:rPr>
              <w:t>a)</w:t>
            </w:r>
            <w:r w:rsidRPr="00BD76AF">
              <w:rPr>
                <w:szCs w:val="24"/>
              </w:rPr>
              <w:tab/>
              <w:t>accepter l’estimation de l’Entrepreneur et informer l’Entrepreneur de commencer à préparer la Proposition de modification ;</w:t>
            </w:r>
          </w:p>
          <w:p w14:paraId="567CD0F1" w14:textId="77777777" w:rsidR="00F332DA" w:rsidRPr="00BD76AF" w:rsidRDefault="00F332DA" w:rsidP="00847D47">
            <w:pPr>
              <w:spacing w:afterLines="50" w:after="120"/>
              <w:ind w:left="1865" w:hanging="425"/>
              <w:rPr>
                <w:szCs w:val="24"/>
              </w:rPr>
            </w:pPr>
            <w:r w:rsidRPr="00BD76AF">
              <w:rPr>
                <w:szCs w:val="24"/>
              </w:rPr>
              <w:t>b)</w:t>
            </w:r>
            <w:r w:rsidRPr="00BD76AF">
              <w:rPr>
                <w:szCs w:val="24"/>
              </w:rPr>
              <w:tab/>
              <w:t>indiquer à l’Entrepreneur les parties de l’Estimation de la proposition de modification qu’il considère inacceptables, et lui demander de revoir son estimation ; ou</w:t>
            </w:r>
          </w:p>
          <w:p w14:paraId="0D688944" w14:textId="77777777" w:rsidR="00F332DA" w:rsidRPr="00BD76AF" w:rsidRDefault="00F332DA" w:rsidP="00957E24">
            <w:pPr>
              <w:spacing w:after="200"/>
              <w:ind w:left="1865" w:hanging="425"/>
              <w:rPr>
                <w:szCs w:val="24"/>
              </w:rPr>
            </w:pPr>
            <w:r w:rsidRPr="00BD76AF">
              <w:rPr>
                <w:szCs w:val="24"/>
              </w:rPr>
              <w:t>c)</w:t>
            </w:r>
            <w:r w:rsidRPr="00BD76AF">
              <w:rPr>
                <w:szCs w:val="24"/>
              </w:rPr>
              <w:tab/>
              <w:t>informer l’Entrepreneur que le Maître d’ouvrage n’a pas l’intention de procéder à cette modification.</w:t>
            </w:r>
          </w:p>
          <w:p w14:paraId="7E66B5C3" w14:textId="77777777" w:rsidR="00F332DA" w:rsidRPr="00BD76AF" w:rsidRDefault="00F332DA" w:rsidP="00957E24">
            <w:pPr>
              <w:spacing w:after="200"/>
              <w:ind w:left="1440" w:hanging="839"/>
              <w:rPr>
                <w:szCs w:val="24"/>
              </w:rPr>
            </w:pPr>
            <w:r w:rsidRPr="00BD76AF">
              <w:rPr>
                <w:szCs w:val="24"/>
              </w:rPr>
              <w:t>39.2.3</w:t>
            </w:r>
            <w:r w:rsidRPr="00BD76AF">
              <w:rPr>
                <w:szCs w:val="24"/>
              </w:rPr>
              <w:tab/>
              <w:t>Sur réception des instructions du Maître d’ouvrage de commencer à préparer la Proposition de modification, conformément à l’alinéa a) de l’Article 39.2.2 des CG, l’Entrepreneur doit, dans les meilleurs délais, commencer à préparer la Proposition de modification, conformément à l’Article 39.2.1 des CG.</w:t>
            </w:r>
          </w:p>
          <w:p w14:paraId="455805A8" w14:textId="77777777" w:rsidR="00F332DA" w:rsidRPr="00BD76AF" w:rsidRDefault="00F332DA" w:rsidP="00957E24">
            <w:pPr>
              <w:spacing w:after="200"/>
              <w:ind w:left="1440" w:hanging="839"/>
              <w:rPr>
                <w:szCs w:val="24"/>
              </w:rPr>
            </w:pPr>
            <w:r w:rsidRPr="00BD76AF">
              <w:rPr>
                <w:szCs w:val="24"/>
              </w:rPr>
              <w:t>39.2.4</w:t>
            </w:r>
            <w:r w:rsidRPr="00BD76AF">
              <w:rPr>
                <w:szCs w:val="24"/>
              </w:rPr>
              <w:tab/>
              <w:t>Le coût de la modification doit, dans la mesure du possible, être calculé conformément aux taux et aux prix inclus dans le Marché. Si ces taux et prix ne sont pas inapplicables, les Parties doivent se mettre d’accord sur des taux spécifiques pour établir l’estimation de la modification.</w:t>
            </w:r>
          </w:p>
          <w:p w14:paraId="5CDDD5C5" w14:textId="77777777" w:rsidR="00F332DA" w:rsidRPr="00BD76AF" w:rsidRDefault="00F332DA" w:rsidP="00DC426C">
            <w:pPr>
              <w:spacing w:afterLines="50" w:after="120"/>
              <w:ind w:left="1440" w:hanging="839"/>
              <w:rPr>
                <w:szCs w:val="24"/>
              </w:rPr>
            </w:pPr>
            <w:r w:rsidRPr="00BD76AF">
              <w:rPr>
                <w:szCs w:val="24"/>
              </w:rPr>
              <w:t>39.2.5</w:t>
            </w:r>
            <w:r w:rsidRPr="00BD76AF">
              <w:rPr>
                <w:szCs w:val="24"/>
              </w:rPr>
              <w:tab/>
              <w:t>Si préalablement à, ou au cours de la préparation de la Proposition de modification, il apparaît que l’effet combiné du respect de cette modification avec tous les autres Ordres de modification déjà devenus obligatoires pour l’Entrepreneur, conformément à cet Article 39 des CG entraîne d’augmenter ou de réduire de plus de quinze pour cent (15 %) le Montant du Marché tel que défini initialement à l’Article 2 (</w:t>
            </w:r>
            <w:r w:rsidRPr="00BD76AF">
              <w:rPr>
                <w:i/>
                <w:szCs w:val="24"/>
              </w:rPr>
              <w:t>Montant du Marché et conditions de paiement</w:t>
            </w:r>
            <w:r w:rsidRPr="00BD76AF">
              <w:rPr>
                <w:szCs w:val="24"/>
              </w:rPr>
              <w:t>) de l’Acte d’engagement, l’Entrepreneur peut, avant de soumettre la Proposition de modification, adresser une notification écrite objectant la modification. Si le Maître d’ouvrage accepte l’objection de l’Entrepreneur, le Maître d’ouvrage doit retirer la modification proposée et en aviser l’Entrepreneur par écrit.</w:t>
            </w:r>
          </w:p>
          <w:p w14:paraId="455EDB4E" w14:textId="77777777" w:rsidR="00F332DA" w:rsidRPr="00BD76AF" w:rsidRDefault="00F332DA" w:rsidP="00957E24">
            <w:pPr>
              <w:spacing w:after="200"/>
              <w:ind w:left="1440"/>
              <w:rPr>
                <w:szCs w:val="24"/>
              </w:rPr>
            </w:pPr>
            <w:r w:rsidRPr="00BD76AF">
              <w:rPr>
                <w:szCs w:val="24"/>
              </w:rPr>
              <w:t>Le défaut d’objection par l’Entrepreneur ne doit affecter ni son droit d’objecter à toute modification ou tout Ordre de modification requis ultérieurement, ni son droit de tenir compte, lors d’une éventuelle objection ultérieure, du pourcentage d’augmentation ou de réduction du Montant du Marché occasionné par toute modification à laquelle l’Entrepreneur ne s’est pas opposé.</w:t>
            </w:r>
          </w:p>
          <w:p w14:paraId="63101906" w14:textId="77777777" w:rsidR="00F332DA" w:rsidRPr="00BD76AF" w:rsidRDefault="00F332DA" w:rsidP="00DC426C">
            <w:pPr>
              <w:spacing w:afterLines="50" w:after="120"/>
              <w:ind w:left="1440" w:hanging="839"/>
              <w:rPr>
                <w:szCs w:val="24"/>
              </w:rPr>
            </w:pPr>
            <w:r w:rsidRPr="00BD76AF">
              <w:rPr>
                <w:szCs w:val="24"/>
              </w:rPr>
              <w:t>39.2.6</w:t>
            </w:r>
            <w:r w:rsidRPr="00BD76AF">
              <w:rPr>
                <w:szCs w:val="24"/>
              </w:rPr>
              <w:tab/>
              <w:t>Dès réception de la Proposition de modification, le Maître d’ouvrage et l’Entrepreneur doivent se mettre d’accord sur son contenu. Dans un délai de quatorze (14) jours après cet accord, le Maître d’ouvrage doit, s’il a l’intention d’effectuer cette modification, émettre un Ordre de modification à l’intention de l’Entrepreneur.</w:t>
            </w:r>
          </w:p>
          <w:p w14:paraId="7B9CE546" w14:textId="77777777" w:rsidR="00F332DA" w:rsidRPr="00BD76AF" w:rsidRDefault="00F332DA" w:rsidP="001C1049">
            <w:pPr>
              <w:spacing w:afterLines="50" w:after="120"/>
              <w:ind w:left="1440"/>
              <w:rPr>
                <w:szCs w:val="24"/>
              </w:rPr>
            </w:pPr>
            <w:r w:rsidRPr="00BD76AF">
              <w:rPr>
                <w:szCs w:val="24"/>
              </w:rPr>
              <w:t>Si le Maître d’ouvrage est dans l’impossibilité de prendre une décision dans le délai de quatorze (14) jours, il l’indiquera à l’Entrepreneur, en précisant quand l’Entrepreneur peut s’attendre à une décision.</w:t>
            </w:r>
          </w:p>
          <w:p w14:paraId="4D14B66D" w14:textId="77777777" w:rsidR="00F332DA" w:rsidRPr="00BD76AF" w:rsidRDefault="00F332DA" w:rsidP="00957E24">
            <w:pPr>
              <w:spacing w:after="200"/>
              <w:ind w:left="1440"/>
              <w:rPr>
                <w:szCs w:val="24"/>
              </w:rPr>
            </w:pPr>
            <w:r w:rsidRPr="00BD76AF">
              <w:rPr>
                <w:szCs w:val="24"/>
              </w:rPr>
              <w:t>Si le Maître d’ouvrage décide de ne pas donner suite à cette modification pour quelque raison que ce soit, il doit le notifier à l’Entrepreneur dans ce même délai de quatorze (14) jours. Dans ce cas, l’Entrepreneur doit avoir droit au remboursement de tous les frais qu’il aura raisonnablement engagés dans la préparation de la Proposition de modification, dans la mesure où ces frais ne dépassent pas la somme que l’Entrepreneur aura indiquée dans son Estimation de la proposition de modification soumise conformément à l’Article 39.2.2 des CG.</w:t>
            </w:r>
          </w:p>
          <w:p w14:paraId="2EA74126" w14:textId="77777777" w:rsidR="00F332DA" w:rsidRPr="00BD76AF" w:rsidRDefault="00F332DA" w:rsidP="00DC426C">
            <w:pPr>
              <w:spacing w:afterLines="50" w:after="120"/>
              <w:ind w:left="1440" w:hanging="839"/>
              <w:rPr>
                <w:szCs w:val="24"/>
              </w:rPr>
            </w:pPr>
            <w:r w:rsidRPr="00BD76AF">
              <w:rPr>
                <w:szCs w:val="24"/>
              </w:rPr>
              <w:t>39.2.7</w:t>
            </w:r>
            <w:r w:rsidRPr="00BD76AF">
              <w:rPr>
                <w:szCs w:val="24"/>
              </w:rPr>
              <w:tab/>
              <w:t>Si le Maître d’ouvrage et l’Entrepreneur ne peuvent se mettre d’accord sur le montant de la modification, un ajustement approprié de la Durée d’exécution ou sur tout autre sujet décrit dans la Proposition de modification, le Maître d’ouvrage peut néanmoins donner instruction à l’Entrepreneur d’effectuer la modification en émettant un « Ordre de modification en attente d’accord ».</w:t>
            </w:r>
          </w:p>
          <w:p w14:paraId="617B2891" w14:textId="77777777" w:rsidR="00F332DA" w:rsidRPr="00BD76AF" w:rsidRDefault="00F332DA" w:rsidP="00B1188C">
            <w:pPr>
              <w:spacing w:afterLines="50" w:after="120"/>
              <w:ind w:left="1440"/>
              <w:rPr>
                <w:szCs w:val="24"/>
              </w:rPr>
            </w:pPr>
            <w:r w:rsidRPr="00BD76AF">
              <w:rPr>
                <w:szCs w:val="24"/>
              </w:rPr>
              <w:t>Dès réception d’un Ordre de modification en attente d’accord, l’Entrepreneur doit immédiatement commencer à effectuer la modification faisant l’objet de cet Ordre. Les Parties doivent ensuite tenter de se mettre d’accord sur les points de désaccord de la Proposition de modification.</w:t>
            </w:r>
          </w:p>
          <w:p w14:paraId="4CD033BE" w14:textId="77777777" w:rsidR="00F332DA" w:rsidRPr="00BD76AF" w:rsidRDefault="00F332DA" w:rsidP="00957E24">
            <w:pPr>
              <w:spacing w:after="200"/>
              <w:ind w:left="1440"/>
              <w:rPr>
                <w:szCs w:val="24"/>
              </w:rPr>
            </w:pPr>
            <w:r w:rsidRPr="00BD76AF">
              <w:rPr>
                <w:szCs w:val="24"/>
              </w:rPr>
              <w:t xml:space="preserve">Si les Parties ne parviennent pas à un accord dans un délai de soixante (60) jours à partir de la date d’émission de l’Ordre de modification en attente d’accord, elles peuvent en référer au Comité </w:t>
            </w:r>
            <w:r w:rsidRPr="00BD76AF">
              <w:rPr>
                <w:szCs w:val="24"/>
                <w:lang w:eastAsia="ja-JP"/>
              </w:rPr>
              <w:t>de Règlement des Différends</w:t>
            </w:r>
            <w:r w:rsidRPr="00BD76AF">
              <w:rPr>
                <w:szCs w:val="24"/>
              </w:rPr>
              <w:t xml:space="preserve"> conformément à l’Article 45.3 des CG.</w:t>
            </w:r>
          </w:p>
          <w:p w14:paraId="6A5DDD88" w14:textId="77777777" w:rsidR="00F332DA" w:rsidRPr="00BD76AF" w:rsidRDefault="00F332DA" w:rsidP="0011300E">
            <w:pPr>
              <w:spacing w:afterLines="50" w:after="120"/>
              <w:ind w:left="601" w:hanging="601"/>
              <w:rPr>
                <w:szCs w:val="24"/>
              </w:rPr>
            </w:pPr>
            <w:r w:rsidRPr="00BD76AF">
              <w:rPr>
                <w:szCs w:val="24"/>
              </w:rPr>
              <w:t>39.3</w:t>
            </w:r>
            <w:r w:rsidRPr="00BD76AF">
              <w:rPr>
                <w:szCs w:val="24"/>
              </w:rPr>
              <w:tab/>
            </w:r>
            <w:r w:rsidRPr="00BD76AF">
              <w:rPr>
                <w:szCs w:val="24"/>
                <w:u w:val="single"/>
              </w:rPr>
              <w:t>Modification à l’initiative de l’Entrepreneur</w:t>
            </w:r>
          </w:p>
          <w:p w14:paraId="2E089E9F" w14:textId="77777777" w:rsidR="00F332DA" w:rsidRPr="00BD76AF" w:rsidRDefault="00F332DA" w:rsidP="00052E7C">
            <w:pPr>
              <w:spacing w:afterLines="50" w:after="120"/>
              <w:ind w:left="601"/>
              <w:rPr>
                <w:szCs w:val="24"/>
              </w:rPr>
            </w:pPr>
            <w:r w:rsidRPr="00BD76AF">
              <w:rPr>
                <w:szCs w:val="24"/>
              </w:rPr>
              <w:t>Si l’Entrepreneur propose une modification, conformément à l’Article 39.1.2 des CG, l’Entrepreneur doit remettre par écrit au Directeur de projet une « Offre de proposition de modification », donnant les raisons de la modification proposée, et incluant les informations indiquées à l’Article 39.2.1 des CG.</w:t>
            </w:r>
          </w:p>
          <w:p w14:paraId="1BBA090A" w14:textId="77777777" w:rsidR="00F332DA" w:rsidRPr="00BD76AF" w:rsidRDefault="00F332DA" w:rsidP="00957E24">
            <w:pPr>
              <w:spacing w:after="200"/>
              <w:ind w:left="601"/>
              <w:rPr>
                <w:szCs w:val="24"/>
              </w:rPr>
            </w:pPr>
            <w:r w:rsidRPr="00BD76AF">
              <w:rPr>
                <w:szCs w:val="24"/>
              </w:rPr>
              <w:t>Dès réception de l’Offre de proposition de modification, les Parties doivent suivre la procédure décrite aux Articles 39.2.6 et 39.2.7 des CG. Toutefois, si le Maître d’ouvrage décide de ne pas y donner suite, l’</w:t>
            </w:r>
            <w:r w:rsidRPr="00BD76AF">
              <w:t>Entrepreneur</w:t>
            </w:r>
            <w:r w:rsidRPr="00BD76AF">
              <w:rPr>
                <w:szCs w:val="24"/>
              </w:rPr>
              <w:t xml:space="preserve"> ne doit pas être en droit de recouvrer les frais de préparation de l’Offre de proposition de modification.</w:t>
            </w:r>
          </w:p>
          <w:p w14:paraId="4AF97EDA" w14:textId="77777777" w:rsidR="00F332DA" w:rsidRPr="00BD76AF" w:rsidRDefault="00F332DA" w:rsidP="0079334B">
            <w:pPr>
              <w:spacing w:afterLines="50" w:after="120"/>
              <w:ind w:left="601" w:hanging="601"/>
              <w:rPr>
                <w:szCs w:val="24"/>
              </w:rPr>
            </w:pPr>
            <w:r w:rsidRPr="00BD76AF">
              <w:rPr>
                <w:szCs w:val="24"/>
              </w:rPr>
              <w:t>39.4</w:t>
            </w:r>
            <w:r w:rsidRPr="00BD76AF">
              <w:rPr>
                <w:szCs w:val="24"/>
              </w:rPr>
              <w:tab/>
            </w:r>
            <w:r w:rsidRPr="00BD76AF">
              <w:rPr>
                <w:szCs w:val="24"/>
                <w:u w:val="single"/>
              </w:rPr>
              <w:t>Sommes provisionnelles</w:t>
            </w:r>
          </w:p>
          <w:p w14:paraId="60845034" w14:textId="77777777" w:rsidR="00F332DA" w:rsidRPr="00BD76AF" w:rsidRDefault="00F332DA" w:rsidP="0079334B">
            <w:pPr>
              <w:spacing w:afterLines="50" w:after="120"/>
              <w:ind w:left="601"/>
              <w:rPr>
                <w:szCs w:val="24"/>
              </w:rPr>
            </w:pPr>
            <w:r w:rsidRPr="00BD76AF">
              <w:rPr>
                <w:szCs w:val="24"/>
              </w:rPr>
              <w:t>Chacune des sommes provisionnelles ne doit être utilisée, en tout ou partie, que conformément aux instructions du Directeur de projet, et le Montant du Marché doit être ajusté en conséquence. La somme totale payée à l’Entrepreneur ne doit inclure que les montants pour les Équipements ou les Services de montage liés aux sommes provisionnelles, tels qu’ordonnés par le Directeur de projet. Pour chaque somme provisionnelle, le Directeur de projet peut ordonner :</w:t>
            </w:r>
          </w:p>
          <w:p w14:paraId="4F05C104" w14:textId="77777777" w:rsidR="00F332DA" w:rsidRPr="00BD76AF" w:rsidRDefault="00F332DA" w:rsidP="00C21879">
            <w:pPr>
              <w:pStyle w:val="SectionVII1"/>
              <w:rPr>
                <w:lang w:val="fr-FR"/>
              </w:rPr>
            </w:pPr>
            <w:r w:rsidRPr="00BD76AF">
              <w:rPr>
                <w:lang w:val="fr-FR"/>
              </w:rPr>
              <w:t>a)</w:t>
            </w:r>
            <w:r w:rsidRPr="00BD76AF">
              <w:rPr>
                <w:lang w:val="fr-FR"/>
              </w:rPr>
              <w:tab/>
              <w:t xml:space="preserve">le travail à exécuter (y compris les Équipements, les </w:t>
            </w:r>
            <w:r w:rsidRPr="00BD76AF">
              <w:rPr>
                <w:rFonts w:hint="eastAsia"/>
                <w:lang w:val="fr-FR" w:eastAsia="ja-JP"/>
              </w:rPr>
              <w:t>m</w:t>
            </w:r>
            <w:r w:rsidRPr="00BD76AF">
              <w:rPr>
                <w:lang w:val="fr-FR"/>
              </w:rPr>
              <w:t>atériaux ou les services à fournir) par l’Entrepreneur et valorisé selon les dispositions de l’Article 39 (</w:t>
            </w:r>
            <w:r w:rsidRPr="00BD76AF">
              <w:rPr>
                <w:i/>
                <w:lang w:val="fr-FR"/>
              </w:rPr>
              <w:t>Modification des Installations</w:t>
            </w:r>
            <w:r w:rsidRPr="00BD76AF">
              <w:rPr>
                <w:lang w:val="fr-FR"/>
              </w:rPr>
              <w:t>) des CG ; et/ou</w:t>
            </w:r>
          </w:p>
          <w:p w14:paraId="2ACAA666" w14:textId="77777777" w:rsidR="00F332DA" w:rsidRPr="00BD76AF" w:rsidRDefault="00F332DA" w:rsidP="00C21879">
            <w:pPr>
              <w:pStyle w:val="SectionVII1"/>
              <w:rPr>
                <w:lang w:val="fr-FR"/>
              </w:rPr>
            </w:pPr>
            <w:r w:rsidRPr="00BD76AF">
              <w:rPr>
                <w:lang w:val="fr-FR"/>
              </w:rPr>
              <w:t>b)</w:t>
            </w:r>
            <w:r w:rsidRPr="00BD76AF">
              <w:rPr>
                <w:lang w:val="fr-FR"/>
              </w:rPr>
              <w:tab/>
              <w:t>les Équipements, les matériaux ou les services à acheter par l’Entrepreneur et pour lesquels doivent être intégrés au Montant du Marché :</w:t>
            </w:r>
          </w:p>
          <w:p w14:paraId="3B5E58C4" w14:textId="77777777" w:rsidR="00F332DA" w:rsidRPr="00BD76AF" w:rsidRDefault="00F332DA" w:rsidP="0079334B">
            <w:pPr>
              <w:suppressAutoHyphens w:val="0"/>
              <w:overflowPunct/>
              <w:autoSpaceDE/>
              <w:autoSpaceDN/>
              <w:adjustRightInd/>
              <w:spacing w:after="200"/>
              <w:ind w:left="1418" w:hanging="397"/>
              <w:textAlignment w:val="auto"/>
              <w:rPr>
                <w:szCs w:val="24"/>
              </w:rPr>
            </w:pPr>
            <w:r w:rsidRPr="00BD76AF">
              <w:rPr>
                <w:szCs w:val="24"/>
              </w:rPr>
              <w:t>i)</w:t>
            </w:r>
            <w:r w:rsidRPr="00BD76AF">
              <w:tab/>
            </w:r>
            <w:r w:rsidRPr="00BD76AF">
              <w:rPr>
                <w:szCs w:val="24"/>
              </w:rPr>
              <w:t>les montants réels payés (ou à payer) par l’Entrepreneur, et</w:t>
            </w:r>
          </w:p>
          <w:p w14:paraId="2D803C82" w14:textId="77777777" w:rsidR="00F332DA" w:rsidRPr="00BD76AF" w:rsidRDefault="00F332DA" w:rsidP="0079334B">
            <w:pPr>
              <w:suppressAutoHyphens w:val="0"/>
              <w:overflowPunct/>
              <w:autoSpaceDE/>
              <w:autoSpaceDN/>
              <w:adjustRightInd/>
              <w:spacing w:after="200"/>
              <w:ind w:left="1418" w:hanging="397"/>
              <w:textAlignment w:val="auto"/>
              <w:rPr>
                <w:szCs w:val="24"/>
              </w:rPr>
            </w:pPr>
            <w:r w:rsidRPr="00BD76AF">
              <w:rPr>
                <w:szCs w:val="24"/>
              </w:rPr>
              <w:t>ii)</w:t>
            </w:r>
            <w:r w:rsidRPr="00BD76AF">
              <w:t xml:space="preserve"> </w:t>
            </w:r>
            <w:r w:rsidRPr="00BD76AF">
              <w:tab/>
            </w:r>
            <w:r w:rsidRPr="00BD76AF">
              <w:rPr>
                <w:lang w:eastAsia="en-US"/>
              </w:rPr>
              <w:t>une</w:t>
            </w:r>
            <w:r w:rsidRPr="00BD76AF">
              <w:rPr>
                <w:szCs w:val="24"/>
              </w:rPr>
              <w:t xml:space="preserve"> somme pour les frais généraux et le profit, calculée comme étant un pourcentage de ces montants réels en utilisant le pourcentage spécifié </w:t>
            </w:r>
            <w:r w:rsidRPr="00BD76AF">
              <w:rPr>
                <w:b/>
                <w:szCs w:val="24"/>
              </w:rPr>
              <w:t>dans les Données du Marché</w:t>
            </w:r>
            <w:r w:rsidRPr="00BD76AF">
              <w:rPr>
                <w:szCs w:val="24"/>
              </w:rPr>
              <w:t>.</w:t>
            </w:r>
          </w:p>
          <w:p w14:paraId="2B9E10E2" w14:textId="77777777" w:rsidR="00F332DA" w:rsidRPr="00BD76AF" w:rsidRDefault="00F332DA" w:rsidP="0079334B">
            <w:pPr>
              <w:spacing w:afterLines="50" w:after="120"/>
              <w:ind w:left="601"/>
              <w:rPr>
                <w:szCs w:val="24"/>
              </w:rPr>
            </w:pPr>
            <w:r w:rsidRPr="00BD76AF">
              <w:rPr>
                <w:szCs w:val="24"/>
              </w:rPr>
              <w:t>L’Entrepreneur doit, quand le Directeur de projet l’exige, présenter, à titre de justificatifs, devis, factures, quittances et relevés de comptes ou reçus.</w:t>
            </w:r>
          </w:p>
          <w:p w14:paraId="69FA76C8" w14:textId="77777777" w:rsidR="00F332DA" w:rsidRPr="00BD76AF" w:rsidRDefault="00F332DA" w:rsidP="0079334B">
            <w:pPr>
              <w:spacing w:afterLines="50" w:after="120"/>
              <w:ind w:left="601"/>
              <w:rPr>
                <w:iCs/>
                <w:szCs w:val="24"/>
                <w:lang w:eastAsia="ja-JP"/>
              </w:rPr>
            </w:pPr>
            <w:r w:rsidRPr="00BD76AF">
              <w:rPr>
                <w:rFonts w:eastAsia="游ゴシック"/>
                <w:szCs w:val="24"/>
                <w:shd w:val="clear" w:color="auto" w:fill="FAFBFC"/>
              </w:rPr>
              <w:t>À</w:t>
            </w:r>
            <w:r w:rsidRPr="00BD76AF">
              <w:rPr>
                <w:iCs/>
                <w:szCs w:val="24"/>
                <w:lang w:eastAsia="ja-JP"/>
              </w:rPr>
              <w:t xml:space="preserve"> titre d’exception, le montant de la somme provisionnelle affecté au Comité de Règlement des Différends doit être utilisé, conformément à l’Article 45.1 (</w:t>
            </w:r>
            <w:r w:rsidRPr="00BD76AF">
              <w:rPr>
                <w:i/>
                <w:iCs/>
                <w:szCs w:val="24"/>
                <w:lang w:eastAsia="ja-JP"/>
              </w:rPr>
              <w:t>Désignation du Comité de Règlement des Différends</w:t>
            </w:r>
            <w:r w:rsidRPr="00BD76AF">
              <w:rPr>
                <w:iCs/>
                <w:szCs w:val="24"/>
                <w:lang w:eastAsia="ja-JP"/>
              </w:rPr>
              <w:t>) des CG, pour payer à l’Entrepreneur les factures du Comité de Règlement des Différends relatives à ces Coûts réguliers et la moitié de ces Coûts non réguliers</w:t>
            </w:r>
            <w:r w:rsidRPr="00BD76AF">
              <w:rPr>
                <w:rFonts w:hint="eastAsia"/>
                <w:iCs/>
                <w:szCs w:val="24"/>
                <w:lang w:eastAsia="ja-JP"/>
              </w:rPr>
              <w:t xml:space="preserve">. </w:t>
            </w:r>
          </w:p>
          <w:p w14:paraId="48ABB7D7" w14:textId="77777777" w:rsidR="00F332DA" w:rsidRPr="00BD76AF" w:rsidRDefault="00F332DA" w:rsidP="0079334B">
            <w:pPr>
              <w:spacing w:afterLines="50" w:after="120"/>
              <w:ind w:left="601"/>
              <w:rPr>
                <w:iCs/>
                <w:szCs w:val="24"/>
                <w:lang w:eastAsia="ja-JP"/>
              </w:rPr>
            </w:pPr>
            <w:r w:rsidRPr="00BD76AF">
              <w:rPr>
                <w:iCs/>
                <w:szCs w:val="24"/>
                <w:lang w:eastAsia="ja-JP"/>
              </w:rPr>
              <w:t>Aucune instruction préalable du Directeur de projet n’est requise en ce qui concerne les travaux du Comité de Règlement des Différends.</w:t>
            </w:r>
          </w:p>
          <w:p w14:paraId="7EB87D22" w14:textId="77777777" w:rsidR="00F332DA" w:rsidRPr="00BD76AF" w:rsidRDefault="00F332DA" w:rsidP="0079334B">
            <w:pPr>
              <w:spacing w:afterLines="50" w:after="120"/>
              <w:ind w:left="601"/>
              <w:rPr>
                <w:iCs/>
                <w:szCs w:val="24"/>
                <w:lang w:eastAsia="ja-JP"/>
              </w:rPr>
            </w:pPr>
            <w:r w:rsidRPr="00BD76AF">
              <w:rPr>
                <w:iCs/>
                <w:szCs w:val="24"/>
                <w:lang w:eastAsia="ja-JP"/>
              </w:rPr>
              <w:t>Les dispositions suivantes s’appliquent aux paiements des coûts du Comité de Règlement des Différends réalisés avec la somme provisionnelle :</w:t>
            </w:r>
          </w:p>
          <w:p w14:paraId="06A56CE1" w14:textId="77777777" w:rsidR="00F332DA" w:rsidRPr="00BD76AF" w:rsidRDefault="00F332DA" w:rsidP="00C21879">
            <w:pPr>
              <w:pStyle w:val="SectionVII1"/>
              <w:rPr>
                <w:lang w:val="fr-FR"/>
              </w:rPr>
            </w:pPr>
            <w:r w:rsidRPr="00BD76AF">
              <w:rPr>
                <w:lang w:val="fr-FR"/>
              </w:rPr>
              <w:t>a)</w:t>
            </w:r>
            <w:r w:rsidRPr="00BD76AF">
              <w:rPr>
                <w:lang w:val="fr-FR"/>
              </w:rPr>
              <w:tab/>
              <w:t>Les demandes de paiements au titre de la somme provisionnelle doivent être présentés avec tous les justificatifs nécessaires, y compris :</w:t>
            </w:r>
          </w:p>
          <w:p w14:paraId="134E9A08" w14:textId="77777777" w:rsidR="00F332DA" w:rsidRPr="00BD76AF" w:rsidRDefault="00F332DA" w:rsidP="006960B2">
            <w:pPr>
              <w:suppressAutoHyphens w:val="0"/>
              <w:overflowPunct/>
              <w:autoSpaceDE/>
              <w:autoSpaceDN/>
              <w:adjustRightInd/>
              <w:spacing w:afterLines="50" w:after="120"/>
              <w:ind w:left="1418" w:hanging="397"/>
              <w:textAlignment w:val="auto"/>
              <w:rPr>
                <w:iCs/>
                <w:szCs w:val="24"/>
                <w:lang w:eastAsia="ja-JP"/>
              </w:rPr>
            </w:pPr>
            <w:r w:rsidRPr="00BD76AF">
              <w:rPr>
                <w:iCs/>
                <w:szCs w:val="24"/>
                <w:lang w:eastAsia="ja-JP"/>
              </w:rPr>
              <w:t>i)</w:t>
            </w:r>
            <w:r w:rsidRPr="00BD76AF">
              <w:rPr>
                <w:iCs/>
                <w:szCs w:val="24"/>
                <w:lang w:eastAsia="ja-JP"/>
              </w:rPr>
              <w:tab/>
              <w:t xml:space="preserve">les </w:t>
            </w:r>
            <w:r w:rsidRPr="00BD76AF">
              <w:rPr>
                <w:szCs w:val="24"/>
              </w:rPr>
              <w:t>factures</w:t>
            </w:r>
            <w:r w:rsidRPr="00BD76AF">
              <w:rPr>
                <w:iCs/>
                <w:szCs w:val="24"/>
                <w:lang w:eastAsia="ja-JP"/>
              </w:rPr>
              <w:t xml:space="preserve"> préparées par les membres du Comité de Règlement des Différends et remises à l’Entrepreneur pour le règlement/remboursement de leur honoraires et/ou dépenses ; et </w:t>
            </w:r>
          </w:p>
          <w:p w14:paraId="4977D16A" w14:textId="77777777" w:rsidR="00F332DA" w:rsidRPr="00BD76AF" w:rsidRDefault="00F332DA" w:rsidP="006960B2">
            <w:pPr>
              <w:suppressAutoHyphens w:val="0"/>
              <w:overflowPunct/>
              <w:autoSpaceDE/>
              <w:autoSpaceDN/>
              <w:adjustRightInd/>
              <w:spacing w:afterLines="50" w:after="120"/>
              <w:ind w:left="1418" w:hanging="397"/>
              <w:textAlignment w:val="auto"/>
              <w:rPr>
                <w:iCs/>
                <w:szCs w:val="24"/>
                <w:lang w:eastAsia="ja-JP"/>
              </w:rPr>
            </w:pPr>
            <w:r w:rsidRPr="00BD76AF">
              <w:rPr>
                <w:iCs/>
                <w:szCs w:val="24"/>
                <w:lang w:eastAsia="ja-JP"/>
              </w:rPr>
              <w:t>ii)</w:t>
            </w:r>
            <w:r w:rsidRPr="00BD76AF">
              <w:rPr>
                <w:iCs/>
                <w:szCs w:val="24"/>
                <w:lang w:eastAsia="ja-JP"/>
              </w:rPr>
              <w:tab/>
              <w:t xml:space="preserve">les </w:t>
            </w:r>
            <w:r w:rsidRPr="00BD76AF">
              <w:rPr>
                <w:szCs w:val="24"/>
              </w:rPr>
              <w:t>justificatifs</w:t>
            </w:r>
            <w:r w:rsidRPr="00BD76AF">
              <w:rPr>
                <w:iCs/>
                <w:szCs w:val="24"/>
                <w:lang w:eastAsia="ja-JP"/>
              </w:rPr>
              <w:t xml:space="preserve"> de paiement de la totalité de ces montants facturés.</w:t>
            </w:r>
          </w:p>
          <w:p w14:paraId="14A9A54E" w14:textId="77777777" w:rsidR="00F332DA" w:rsidRPr="00BD76AF" w:rsidRDefault="00F332DA" w:rsidP="00C21879">
            <w:pPr>
              <w:pStyle w:val="SectionVII1"/>
              <w:rPr>
                <w:iCs/>
                <w:lang w:val="fr-FR"/>
              </w:rPr>
            </w:pPr>
            <w:r w:rsidRPr="00BD76AF">
              <w:rPr>
                <w:lang w:val="fr-FR"/>
              </w:rPr>
              <w:t>b)</w:t>
            </w:r>
            <w:r w:rsidRPr="00BD76AF">
              <w:rPr>
                <w:lang w:val="fr-FR"/>
              </w:rPr>
              <w:tab/>
              <w:t>Les frais généraux, les bénéfices, etc. de l’Entrepreneur ne doivent pas être inclus dans la somme provisionnelle pour le coût du Comité de Règlement des Différends.</w:t>
            </w:r>
          </w:p>
          <w:p w14:paraId="4B3753FD" w14:textId="77777777" w:rsidR="00F332DA" w:rsidRPr="00BD76AF" w:rsidRDefault="00F332DA" w:rsidP="00C21879">
            <w:pPr>
              <w:pStyle w:val="SectionVII1"/>
              <w:rPr>
                <w:lang w:val="fr-FR"/>
              </w:rPr>
            </w:pPr>
            <w:r w:rsidRPr="00BD76AF">
              <w:rPr>
                <w:lang w:val="fr-FR"/>
              </w:rPr>
              <w:t>c)</w:t>
            </w:r>
            <w:r w:rsidRPr="00BD76AF">
              <w:rPr>
                <w:lang w:val="fr-FR"/>
              </w:rPr>
              <w:tab/>
              <w:t>L’approbation du Directeur de projet doit être fondée sur les factures du Comité de Règlement des Différends et les justificatifs de paiement par l’Entrepreneur de la totalité des montants facturés.</w:t>
            </w:r>
          </w:p>
        </w:tc>
      </w:tr>
      <w:tr w:rsidR="00F332DA" w:rsidRPr="00BD76AF" w14:paraId="6E92CA63" w14:textId="77777777" w:rsidTr="005116CE">
        <w:trPr>
          <w:gridAfter w:val="1"/>
          <w:wAfter w:w="74" w:type="dxa"/>
        </w:trPr>
        <w:tc>
          <w:tcPr>
            <w:tcW w:w="2352" w:type="dxa"/>
            <w:gridSpan w:val="2"/>
          </w:tcPr>
          <w:p w14:paraId="580D2763" w14:textId="77777777" w:rsidR="00F332DA" w:rsidRPr="00BD76AF" w:rsidRDefault="00F332DA" w:rsidP="0079334B">
            <w:pPr>
              <w:pStyle w:val="S7Header2"/>
              <w:rPr>
                <w:szCs w:val="24"/>
              </w:rPr>
            </w:pPr>
            <w:bookmarkStart w:id="805" w:name="_Toc102050823"/>
            <w:r w:rsidRPr="00BD76AF">
              <w:rPr>
                <w:szCs w:val="24"/>
              </w:rPr>
              <w:t>40.</w:t>
            </w:r>
            <w:r w:rsidRPr="00BD76AF">
              <w:rPr>
                <w:szCs w:val="24"/>
              </w:rPr>
              <w:tab/>
              <w:t>Prolongation du Délai d’achèvement</w:t>
            </w:r>
            <w:bookmarkEnd w:id="805"/>
          </w:p>
        </w:tc>
        <w:tc>
          <w:tcPr>
            <w:tcW w:w="6936" w:type="dxa"/>
          </w:tcPr>
          <w:p w14:paraId="0BACF170" w14:textId="77777777" w:rsidR="00F332DA" w:rsidRPr="00BD76AF" w:rsidRDefault="00F332DA" w:rsidP="0011300E">
            <w:pPr>
              <w:spacing w:afterLines="50" w:after="120"/>
              <w:ind w:left="601" w:hanging="601"/>
              <w:rPr>
                <w:szCs w:val="24"/>
              </w:rPr>
            </w:pPr>
            <w:r w:rsidRPr="00BD76AF">
              <w:rPr>
                <w:szCs w:val="24"/>
              </w:rPr>
              <w:t>40.1</w:t>
            </w:r>
            <w:r w:rsidRPr="00BD76AF">
              <w:rPr>
                <w:szCs w:val="24"/>
              </w:rPr>
              <w:tab/>
              <w:t>Le(s) Délai(s) d’exécution conformément à l’Article 8.2 des CG doit(doivent) être prolongé(s) si l’Entrepreneur est retardé ou empêché dans l’exécution de l’une de ses obligations en vertu du Marché pour l’un des motifs suivants :</w:t>
            </w:r>
          </w:p>
          <w:p w14:paraId="04B6FB75" w14:textId="77777777" w:rsidR="00F332DA" w:rsidRPr="00BD76AF" w:rsidRDefault="00F332DA" w:rsidP="00C21879">
            <w:pPr>
              <w:pStyle w:val="SectionVII1"/>
              <w:rPr>
                <w:lang w:val="fr-FR"/>
              </w:rPr>
            </w:pPr>
            <w:r w:rsidRPr="00BD76AF">
              <w:rPr>
                <w:lang w:val="fr-FR"/>
              </w:rPr>
              <w:t>a)</w:t>
            </w:r>
            <w:r w:rsidRPr="00BD76AF">
              <w:rPr>
                <w:lang w:val="fr-FR"/>
              </w:rPr>
              <w:tab/>
              <w:t>une modification des Installations conformément à l’Article 39 (</w:t>
            </w:r>
            <w:r w:rsidRPr="00BD76AF">
              <w:rPr>
                <w:i/>
                <w:lang w:val="fr-FR"/>
              </w:rPr>
              <w:t>Modification des Installations</w:t>
            </w:r>
            <w:r w:rsidRPr="00BD76AF">
              <w:rPr>
                <w:lang w:val="fr-FR"/>
              </w:rPr>
              <w:t>) des CG ;</w:t>
            </w:r>
          </w:p>
          <w:p w14:paraId="7AD95998" w14:textId="77777777" w:rsidR="00F332DA" w:rsidRPr="00BD76AF" w:rsidRDefault="00F332DA" w:rsidP="00C21879">
            <w:pPr>
              <w:pStyle w:val="SectionVII1"/>
              <w:rPr>
                <w:lang w:val="fr-FR"/>
              </w:rPr>
            </w:pPr>
            <w:r w:rsidRPr="00BD76AF">
              <w:rPr>
                <w:lang w:val="fr-FR"/>
              </w:rPr>
              <w:t>b)</w:t>
            </w:r>
            <w:r w:rsidRPr="00BD76AF">
              <w:rPr>
                <w:lang w:val="fr-FR"/>
              </w:rPr>
              <w:tab/>
              <w:t>un cas de force majeure tel que stipulé à l’Article 37 (</w:t>
            </w:r>
            <w:r w:rsidRPr="00BD76AF">
              <w:rPr>
                <w:i/>
                <w:lang w:val="fr-FR"/>
              </w:rPr>
              <w:t>Force majeure</w:t>
            </w:r>
            <w:r w:rsidRPr="00BD76AF">
              <w:rPr>
                <w:lang w:val="fr-FR"/>
              </w:rPr>
              <w:t>) des CG, une circonstance imprévue conformément à l’Article 35 (</w:t>
            </w:r>
            <w:r w:rsidRPr="00BD76AF">
              <w:rPr>
                <w:i/>
                <w:lang w:val="fr-FR"/>
              </w:rPr>
              <w:t>Conditions imprévues</w:t>
            </w:r>
            <w:r w:rsidRPr="00BD76AF">
              <w:rPr>
                <w:lang w:val="fr-FR"/>
              </w:rPr>
              <w:t>)</w:t>
            </w:r>
            <w:r w:rsidRPr="00BD76AF" w:rsidDel="00B07F07">
              <w:rPr>
                <w:lang w:val="fr-FR"/>
              </w:rPr>
              <w:t xml:space="preserve"> </w:t>
            </w:r>
            <w:r w:rsidRPr="00BD76AF">
              <w:rPr>
                <w:lang w:val="fr-FR"/>
              </w:rPr>
              <w:t>des CG, ou toute autre événement de l’un des points spécifiés ou auxquels il est fait référence aux alinéas a), b) et c) de l’Article 32.2 des CG ;</w:t>
            </w:r>
          </w:p>
          <w:p w14:paraId="7F4F0EDB" w14:textId="77777777" w:rsidR="00F332DA" w:rsidRPr="00BD76AF" w:rsidRDefault="00F332DA" w:rsidP="00C21879">
            <w:pPr>
              <w:pStyle w:val="SectionVII1"/>
              <w:rPr>
                <w:lang w:val="fr-FR"/>
              </w:rPr>
            </w:pPr>
            <w:r w:rsidRPr="00BD76AF">
              <w:rPr>
                <w:lang w:val="fr-FR"/>
              </w:rPr>
              <w:t>c)</w:t>
            </w:r>
            <w:r w:rsidRPr="00BD76AF">
              <w:rPr>
                <w:lang w:val="fr-FR"/>
              </w:rPr>
              <w:tab/>
              <w:t>un ordre de suspension donné par le Directeur de projet pour toute raison autre qu’un manquement ou une rupture de Marché de l’Entrepreneur conformément à l’Article 41.1 (</w:t>
            </w:r>
            <w:r w:rsidRPr="00BD76AF">
              <w:rPr>
                <w:i/>
                <w:lang w:val="fr-FR"/>
              </w:rPr>
              <w:t>Suspension par le Maître d’ouvrage</w:t>
            </w:r>
            <w:r w:rsidRPr="00BD76AF">
              <w:rPr>
                <w:lang w:val="fr-FR"/>
              </w:rPr>
              <w:t>) des CG, ou une réduction du rythme d’avancement conformément à l’Article 41.2 (</w:t>
            </w:r>
            <w:r w:rsidRPr="00BD76AF">
              <w:rPr>
                <w:i/>
                <w:lang w:val="fr-FR"/>
              </w:rPr>
              <w:t>Suspension par l’Entrepreneur</w:t>
            </w:r>
            <w:r w:rsidRPr="00BD76AF">
              <w:rPr>
                <w:lang w:val="fr-FR"/>
              </w:rPr>
              <w:t>) des CG ;</w:t>
            </w:r>
          </w:p>
          <w:p w14:paraId="16F9E478" w14:textId="77777777" w:rsidR="00F332DA" w:rsidRPr="00BD76AF" w:rsidRDefault="00F332DA" w:rsidP="00C21879">
            <w:pPr>
              <w:pStyle w:val="SectionVII1"/>
              <w:rPr>
                <w:lang w:val="fr-FR"/>
              </w:rPr>
            </w:pPr>
            <w:r w:rsidRPr="00BD76AF">
              <w:rPr>
                <w:lang w:val="fr-FR"/>
              </w:rPr>
              <w:t>d)</w:t>
            </w:r>
            <w:r w:rsidRPr="00BD76AF">
              <w:rPr>
                <w:lang w:val="fr-FR"/>
              </w:rPr>
              <w:tab/>
              <w:t>un changement dans la législation ou la réglementation conformément à l’Article 36 (</w:t>
            </w:r>
            <w:r w:rsidRPr="00BD76AF">
              <w:rPr>
                <w:i/>
                <w:lang w:val="fr-FR"/>
              </w:rPr>
              <w:t>Modification des législations et réglementations</w:t>
            </w:r>
            <w:r w:rsidRPr="00BD76AF">
              <w:rPr>
                <w:lang w:val="fr-FR"/>
              </w:rPr>
              <w:t>) des CG ;</w:t>
            </w:r>
          </w:p>
          <w:p w14:paraId="0BBE7B48" w14:textId="77777777" w:rsidR="00F332DA" w:rsidRPr="00BD76AF" w:rsidRDefault="00F332DA" w:rsidP="00C21879">
            <w:pPr>
              <w:pStyle w:val="SectionVII1"/>
              <w:rPr>
                <w:lang w:val="fr-FR"/>
              </w:rPr>
            </w:pPr>
            <w:r w:rsidRPr="00BD76AF">
              <w:rPr>
                <w:lang w:val="fr-FR"/>
              </w:rPr>
              <w:t>e)</w:t>
            </w:r>
            <w:r w:rsidRPr="00BD76AF">
              <w:rPr>
                <w:lang w:val="fr-FR"/>
              </w:rPr>
              <w:tab/>
              <w:t>un manquement ou une rupture de Marché par le Maître d’ouvrage ou toute activité, acte ou omission du Maître d’ouvrage ou du Directeur de projet ou d’autres entrepreneurs employés par le Maître d’ouvrage ;</w:t>
            </w:r>
          </w:p>
          <w:p w14:paraId="258C28AA" w14:textId="77777777" w:rsidR="00F332DA" w:rsidRPr="00BD76AF" w:rsidRDefault="00F332DA" w:rsidP="00C21879">
            <w:pPr>
              <w:pStyle w:val="SectionVII1"/>
              <w:rPr>
                <w:lang w:val="fr-FR"/>
              </w:rPr>
            </w:pPr>
            <w:r w:rsidRPr="00BD76AF">
              <w:rPr>
                <w:lang w:val="fr-FR"/>
              </w:rPr>
              <w:t>f)</w:t>
            </w:r>
            <w:r w:rsidRPr="00BD76AF">
              <w:rPr>
                <w:lang w:val="fr-FR"/>
              </w:rPr>
              <w:tab/>
              <w:t xml:space="preserve">le retard d’un Sous-traitant, à la condition que ce retard soit dû à une cause qui aurait donné droit à une prolongation de délai pour l’Entrepreneur lui-même, conformément à cet Article des CG ; </w:t>
            </w:r>
          </w:p>
          <w:p w14:paraId="0D00BB62" w14:textId="77777777" w:rsidR="00F332DA" w:rsidRPr="00BD76AF" w:rsidRDefault="00F332DA" w:rsidP="00C21879">
            <w:pPr>
              <w:pStyle w:val="SectionVII1"/>
              <w:rPr>
                <w:lang w:val="fr-FR"/>
              </w:rPr>
            </w:pPr>
            <w:r w:rsidRPr="00BD76AF">
              <w:rPr>
                <w:lang w:val="fr-FR"/>
              </w:rPr>
              <w:t>g)</w:t>
            </w:r>
            <w:r w:rsidRPr="00BD76AF">
              <w:rPr>
                <w:lang w:val="fr-FR"/>
              </w:rPr>
              <w:tab/>
              <w:t>tout retard attribuable au Maître d’ouvrage ou provoqué par les procédures douanières ; ou</w:t>
            </w:r>
          </w:p>
          <w:p w14:paraId="702145DD" w14:textId="77777777" w:rsidR="00F332DA" w:rsidRPr="00BD76AF" w:rsidRDefault="00F332DA" w:rsidP="00C21879">
            <w:pPr>
              <w:pStyle w:val="SectionVII1"/>
              <w:rPr>
                <w:lang w:val="fr-FR"/>
              </w:rPr>
            </w:pPr>
            <w:r w:rsidRPr="00BD76AF">
              <w:rPr>
                <w:lang w:val="fr-FR"/>
              </w:rPr>
              <w:t>h)</w:t>
            </w:r>
            <w:r w:rsidRPr="00BD76AF">
              <w:rPr>
                <w:lang w:val="fr-FR"/>
              </w:rPr>
              <w:tab/>
              <w:t>tout autre motif spécifiquement mentionné dans le Marché.</w:t>
            </w:r>
          </w:p>
          <w:p w14:paraId="47821004" w14:textId="77777777" w:rsidR="00F332DA" w:rsidRPr="00BD76AF" w:rsidRDefault="00F332DA" w:rsidP="00052E7C">
            <w:pPr>
              <w:spacing w:afterLines="50" w:after="120"/>
              <w:ind w:left="601"/>
              <w:rPr>
                <w:szCs w:val="24"/>
              </w:rPr>
            </w:pPr>
            <w:r w:rsidRPr="00BD76AF">
              <w:rPr>
                <w:szCs w:val="24"/>
              </w:rPr>
              <w:t>Cette prolongation doit être d’une durée équitable et raisonnable quelles que soient les circonstances et doit refléter équitablement le retard ou l’empêchement subi par l’Entrepreneur.</w:t>
            </w:r>
          </w:p>
          <w:p w14:paraId="63AD5679" w14:textId="77777777" w:rsidR="00F332DA" w:rsidRPr="00BD76AF" w:rsidRDefault="00F332DA" w:rsidP="00957E24">
            <w:pPr>
              <w:spacing w:after="200"/>
              <w:ind w:left="601"/>
              <w:rPr>
                <w:szCs w:val="24"/>
              </w:rPr>
            </w:pPr>
            <w:r w:rsidRPr="00BD76AF">
              <w:rPr>
                <w:szCs w:val="24"/>
              </w:rPr>
              <w:t>Le Délai d’achèvement doit être prolongé conformément à cet Article 40.1 des CG, quels que soient les retards imputables à l’Entrepreneur survenant ou étant survenus conjointement avec l’un quelconque des motifs indiqués aux alinéas a) à h) de cet Article.</w:t>
            </w:r>
          </w:p>
          <w:p w14:paraId="0BDB44D0" w14:textId="77777777" w:rsidR="00F332DA" w:rsidRPr="00BD76AF" w:rsidRDefault="00F332DA" w:rsidP="00957E24">
            <w:pPr>
              <w:spacing w:after="200"/>
              <w:ind w:left="601" w:hanging="601"/>
              <w:rPr>
                <w:szCs w:val="24"/>
              </w:rPr>
            </w:pPr>
            <w:r w:rsidRPr="00BD76AF">
              <w:rPr>
                <w:szCs w:val="24"/>
              </w:rPr>
              <w:t>40.2</w:t>
            </w:r>
            <w:r w:rsidRPr="00BD76AF">
              <w:rPr>
                <w:szCs w:val="24"/>
              </w:rPr>
              <w:tab/>
              <w:t>Sauf disposition spécifique contraire dans le Marché, l’Entrepreneur doit soumettre au Directeur de projet une notification de réclamation pour prolongation du Délai d’achèvement, accompagnée des justificatifs de l’événement ou de la circonstance motivant cette prolongation, dès que</w:t>
            </w:r>
            <w:r w:rsidRPr="00BD76AF">
              <w:t xml:space="preserve"> possible</w:t>
            </w:r>
            <w:r w:rsidRPr="00BD76AF">
              <w:rPr>
                <w:szCs w:val="24"/>
              </w:rPr>
              <w:t xml:space="preserve"> et au plus tard vingt-huit (28) jours après que l’Entrepreneur a eu connaissance ou aurait dû avoir connaissance de cet événement ou circonstance. Dès que</w:t>
            </w:r>
            <w:r w:rsidRPr="00BD76AF">
              <w:t xml:space="preserve"> cela est raisonnablement possible</w:t>
            </w:r>
            <w:r w:rsidRPr="00BD76AF">
              <w:rPr>
                <w:szCs w:val="24"/>
              </w:rPr>
              <w:t xml:space="preserve"> après réception de cette demande et des justificatifs de la demande, le Maître d’ouvrage et l’Entrepreneur doivent convenir de la durée de cette prolongation. Si l’Entrepreneur n’accepte pas la proposition de prolongation équitable et raisonnable du Maître d’ouvrage, il doit être en droit d’en référer au Comité de Règlement des Différends, conformément à l’Article 45.3 des CG.</w:t>
            </w:r>
          </w:p>
          <w:p w14:paraId="75EBA5C4" w14:textId="77777777" w:rsidR="00F332DA" w:rsidRPr="00BD76AF" w:rsidRDefault="00F332DA" w:rsidP="00957E24">
            <w:pPr>
              <w:spacing w:after="200"/>
              <w:ind w:left="601" w:hanging="601"/>
              <w:rPr>
                <w:szCs w:val="24"/>
              </w:rPr>
            </w:pPr>
            <w:r w:rsidRPr="00BD76AF">
              <w:rPr>
                <w:szCs w:val="24"/>
              </w:rPr>
              <w:t>40.3</w:t>
            </w:r>
            <w:r w:rsidRPr="00BD76AF">
              <w:rPr>
                <w:szCs w:val="24"/>
              </w:rPr>
              <w:tab/>
              <w:t>L’</w:t>
            </w:r>
            <w:r w:rsidRPr="00BD76AF">
              <w:t>Entrepreneur</w:t>
            </w:r>
            <w:r w:rsidRPr="00BD76AF">
              <w:rPr>
                <w:szCs w:val="24"/>
              </w:rPr>
              <w:t xml:space="preserve"> doit à tout moment faire son possible pour minimiser tout retard dans l’exécution de ses obligations en vertu du Marché.</w:t>
            </w:r>
          </w:p>
          <w:p w14:paraId="6C4357F9" w14:textId="77777777" w:rsidR="00F332DA" w:rsidRPr="00BD76AF" w:rsidRDefault="00F332DA" w:rsidP="00957E24">
            <w:pPr>
              <w:spacing w:after="200"/>
              <w:ind w:left="601" w:hanging="601"/>
              <w:rPr>
                <w:szCs w:val="24"/>
              </w:rPr>
            </w:pPr>
            <w:r w:rsidRPr="00BD76AF">
              <w:rPr>
                <w:szCs w:val="24"/>
              </w:rPr>
              <w:t>40.4</w:t>
            </w:r>
            <w:r w:rsidRPr="00BD76AF">
              <w:rPr>
                <w:szCs w:val="24"/>
              </w:rPr>
              <w:tab/>
              <w:t>Dans tous les cas où l’Entrepreneur a soumis au Directeur de Projet une notification de réclamation pour prolongation du Délai d’achèvement conformément à l’Article 40.2 des CG, l’</w:t>
            </w:r>
            <w:r w:rsidRPr="00BD76AF">
              <w:t>Entrepreneur</w:t>
            </w:r>
            <w:r w:rsidRPr="00BD76AF">
              <w:rPr>
                <w:szCs w:val="24"/>
              </w:rPr>
              <w:t xml:space="preserve"> doit consulter le Directeur de projet afin de déterminer les mesures (le cas échéant) qui peuvent être prises afin de surmonter ou réduire le retard réel ou anticipé. L’Entrepreneur doit ensuite se conformer à toutes instructions raisonnables que le Directeur de projet donnera afin de minimiser ce retard. Si le fait de se conformer à ces instructions entraîne des coûts supplémentaires pour l’Entrepreneur et que celui-ci a droit à une prolongation de délai conformément à l’Article 40.1 des CG, le montant de ces coûts supplémentaires doit être ajouté au Montant du Marché.</w:t>
            </w:r>
          </w:p>
        </w:tc>
      </w:tr>
      <w:tr w:rsidR="00F332DA" w:rsidRPr="00BD76AF" w14:paraId="622BD5A8" w14:textId="77777777" w:rsidTr="005116CE">
        <w:trPr>
          <w:gridAfter w:val="1"/>
          <w:wAfter w:w="74" w:type="dxa"/>
        </w:trPr>
        <w:tc>
          <w:tcPr>
            <w:tcW w:w="2352" w:type="dxa"/>
            <w:gridSpan w:val="2"/>
          </w:tcPr>
          <w:p w14:paraId="106B3D91" w14:textId="77777777" w:rsidR="00F332DA" w:rsidRPr="00BD76AF" w:rsidRDefault="00F332DA" w:rsidP="007C71D1">
            <w:pPr>
              <w:pStyle w:val="S7Header2"/>
              <w:rPr>
                <w:szCs w:val="24"/>
              </w:rPr>
            </w:pPr>
            <w:bookmarkStart w:id="806" w:name="_Toc102050824"/>
            <w:r w:rsidRPr="00BD76AF">
              <w:rPr>
                <w:szCs w:val="24"/>
              </w:rPr>
              <w:t>41.</w:t>
            </w:r>
            <w:r w:rsidRPr="00BD76AF">
              <w:rPr>
                <w:szCs w:val="24"/>
              </w:rPr>
              <w:tab/>
              <w:t>Suspension</w:t>
            </w:r>
            <w:bookmarkEnd w:id="806"/>
          </w:p>
        </w:tc>
        <w:tc>
          <w:tcPr>
            <w:tcW w:w="6936" w:type="dxa"/>
          </w:tcPr>
          <w:p w14:paraId="7D25920E" w14:textId="77777777" w:rsidR="00F332DA" w:rsidRPr="00BD76AF" w:rsidRDefault="00F332DA" w:rsidP="0011300E">
            <w:pPr>
              <w:spacing w:afterLines="50" w:after="120"/>
              <w:ind w:left="601" w:hanging="601"/>
              <w:rPr>
                <w:szCs w:val="24"/>
              </w:rPr>
            </w:pPr>
            <w:r w:rsidRPr="00BD76AF">
              <w:rPr>
                <w:szCs w:val="24"/>
              </w:rPr>
              <w:t>41.1</w:t>
            </w:r>
            <w:r w:rsidRPr="00BD76AF">
              <w:rPr>
                <w:szCs w:val="24"/>
              </w:rPr>
              <w:tab/>
            </w:r>
            <w:r w:rsidRPr="00BD76AF">
              <w:rPr>
                <w:szCs w:val="24"/>
                <w:u w:val="single"/>
              </w:rPr>
              <w:t>Suspension par le Maître d’ouvrage</w:t>
            </w:r>
          </w:p>
          <w:p w14:paraId="25610DA3" w14:textId="77777777" w:rsidR="00F332DA" w:rsidRPr="00BD76AF" w:rsidRDefault="00F332DA" w:rsidP="0079334B">
            <w:pPr>
              <w:spacing w:afterLines="50" w:after="120"/>
              <w:ind w:left="601"/>
              <w:rPr>
                <w:szCs w:val="24"/>
              </w:rPr>
            </w:pPr>
            <w:r w:rsidRPr="00BD76AF">
              <w:rPr>
                <w:szCs w:val="24"/>
              </w:rPr>
              <w:t>Le Maître d’ouvrage peut demander au Directeur de projet, par notification à l’Entrepreneur, d’ordonner à l’Entrepreneur de suspendre, totalement ou partiellement, l’exécution de ses obligations en vertu du Marché. Cette notification doit spécifier l’obligation dont l’exécution doit être suspendue, la date d’effet et les raisons de la suspension. L’Entrepreneur doit en conséquence suspendre l’exécution de cette obligation, à l’exception des obligations nécessaires à l’entretien, à la protection ou à la préservation des Installations, jusqu’à ce que le Directeur de projet lui ordonne par écrit d’en reprendre l’exécution.</w:t>
            </w:r>
          </w:p>
          <w:p w14:paraId="1754E515" w14:textId="77777777" w:rsidR="00F332DA" w:rsidRPr="00BD76AF" w:rsidRDefault="00F332DA" w:rsidP="00052E7C">
            <w:pPr>
              <w:spacing w:afterLines="50" w:after="120"/>
              <w:ind w:left="601"/>
              <w:rPr>
                <w:szCs w:val="24"/>
              </w:rPr>
            </w:pPr>
            <w:r w:rsidRPr="00BD76AF">
              <w:rPr>
                <w:szCs w:val="24"/>
              </w:rPr>
              <w:t>Si, en vertu d’un ordre de suspension donné par le Directeur de projet, pour toute raison autre qu’un manquement ou une rupture de Marché de l’Entrepreneur, l’exécution de l’une des obligations de l’Entrepreneur est suspendue pendant une période globale de plus de quatre-vingt-dix (90) jours, l’Entrepreneur peut, à tout moment suivant cette période et à condition que la suspension soit toujours effective à ce point, adresser une notification au Directeur de projet exigeant du Maître d’ouvrage, dans un délai de vingt-huit (28) jours suivant la réception de la notification, qu’il ordonne la reprise de l’exécution ou qu’il demande et, ultérieurement, ordonne, une modification conformément à l’Article 39 (</w:t>
            </w:r>
            <w:r w:rsidRPr="00BD76AF">
              <w:rPr>
                <w:i/>
                <w:szCs w:val="24"/>
              </w:rPr>
              <w:t>Modification des Installations</w:t>
            </w:r>
            <w:r w:rsidRPr="00BD76AF">
              <w:rPr>
                <w:szCs w:val="24"/>
              </w:rPr>
              <w:t>) des CG excluant du Marché l’exécution des obligations suspendues.</w:t>
            </w:r>
          </w:p>
          <w:p w14:paraId="2EE51951" w14:textId="77777777" w:rsidR="00F332DA" w:rsidRPr="00BD76AF" w:rsidRDefault="00F332DA" w:rsidP="008662B5">
            <w:pPr>
              <w:spacing w:after="200"/>
              <w:ind w:left="601"/>
              <w:rPr>
                <w:szCs w:val="24"/>
              </w:rPr>
            </w:pPr>
            <w:r w:rsidRPr="00BD76AF">
              <w:rPr>
                <w:szCs w:val="24"/>
              </w:rPr>
              <w:t xml:space="preserve">Si le Maître d’ouvrage n’agit pas dans le délai imparti, l’Entrepreneur peut, par l’envoi d’une nouvelle notification au Directeur de projet, choisir de considérer la suspension, si elle affecte uniquement une partie des Installations, comme une suppression de la partie des </w:t>
            </w:r>
            <w:r w:rsidRPr="00BD76AF">
              <w:t>Installations</w:t>
            </w:r>
            <w:r w:rsidRPr="00BD76AF">
              <w:rPr>
                <w:szCs w:val="24"/>
              </w:rPr>
              <w:t xml:space="preserve"> conformément à l’Article 39 des CG ou, si elle affecte la totalité des Installations, comme une résiliation du Marché conformément à l’Article 42.1 (</w:t>
            </w:r>
            <w:r w:rsidRPr="00BD76AF">
              <w:rPr>
                <w:i/>
                <w:szCs w:val="24"/>
              </w:rPr>
              <w:t>Résiliation par le Maître d’ouvrage à la convenance du Maître d’ouvrage</w:t>
            </w:r>
            <w:r w:rsidRPr="00BD76AF">
              <w:rPr>
                <w:szCs w:val="24"/>
              </w:rPr>
              <w:t>) des CG.</w:t>
            </w:r>
          </w:p>
          <w:p w14:paraId="2609053B" w14:textId="77777777" w:rsidR="00F332DA" w:rsidRPr="00BD76AF" w:rsidRDefault="00F332DA" w:rsidP="0011300E">
            <w:pPr>
              <w:spacing w:afterLines="50" w:after="120"/>
              <w:ind w:left="601" w:hanging="601"/>
              <w:rPr>
                <w:szCs w:val="24"/>
              </w:rPr>
            </w:pPr>
            <w:r w:rsidRPr="00BD76AF">
              <w:rPr>
                <w:szCs w:val="24"/>
              </w:rPr>
              <w:t>41.2</w:t>
            </w:r>
            <w:r w:rsidRPr="00BD76AF">
              <w:rPr>
                <w:szCs w:val="24"/>
              </w:rPr>
              <w:tab/>
            </w:r>
            <w:r w:rsidRPr="00BD76AF">
              <w:rPr>
                <w:szCs w:val="24"/>
                <w:u w:val="single"/>
              </w:rPr>
              <w:t>Suspension par l’Entrepreneur</w:t>
            </w:r>
          </w:p>
          <w:p w14:paraId="431A62E1" w14:textId="77777777" w:rsidR="00F332DA" w:rsidRPr="00BD76AF" w:rsidRDefault="00F332DA" w:rsidP="0079334B">
            <w:pPr>
              <w:spacing w:afterLines="50" w:after="120"/>
              <w:ind w:left="601"/>
              <w:rPr>
                <w:szCs w:val="24"/>
              </w:rPr>
            </w:pPr>
            <w:r w:rsidRPr="00BD76AF">
              <w:rPr>
                <w:szCs w:val="24"/>
              </w:rPr>
              <w:t>Si :</w:t>
            </w:r>
          </w:p>
          <w:p w14:paraId="66501F49" w14:textId="77777777" w:rsidR="00F332DA" w:rsidRPr="00BD76AF" w:rsidRDefault="00F332DA" w:rsidP="00C21879">
            <w:pPr>
              <w:pStyle w:val="SectionVII1"/>
              <w:rPr>
                <w:lang w:val="fr-FR"/>
              </w:rPr>
            </w:pPr>
            <w:r w:rsidRPr="00BD76AF">
              <w:rPr>
                <w:lang w:val="fr-FR"/>
              </w:rPr>
              <w:t>a)</w:t>
            </w:r>
            <w:r w:rsidRPr="00BD76AF">
              <w:rPr>
                <w:lang w:val="fr-FR"/>
              </w:rPr>
              <w:tab/>
              <w:t>le Maître d’ouvrage n’a pas payé à l’Entrepreneur une somme due en vertu du Marché dans le délai imparti, n’a pas approuvé une facture ou les pièces justificatives, sans motif raisonnable, conformément à l’Annexe 1 (</w:t>
            </w:r>
            <w:r w:rsidRPr="00BD76AF">
              <w:rPr>
                <w:i/>
                <w:lang w:val="fr-FR"/>
              </w:rPr>
              <w:t>Conditions et procédures de règlement</w:t>
            </w:r>
            <w:r w:rsidRPr="00BD76AF">
              <w:rPr>
                <w:lang w:val="fr-FR"/>
              </w:rPr>
              <w:t>) de l’Acte d’engagement, ou commet une importante rupture de Marché, l’Entrepreneur peut adresser au Maître d’ouvrage une notification exigeant le paiement de cette somme, et des intérêts de retard correspondants, conformément à l’Article 12.4 (</w:t>
            </w:r>
            <w:r w:rsidRPr="00BD76AF">
              <w:rPr>
                <w:i/>
                <w:lang w:val="fr-FR"/>
              </w:rPr>
              <w:t>Retard de paiement</w:t>
            </w:r>
            <w:r w:rsidRPr="00BD76AF">
              <w:rPr>
                <w:lang w:val="fr-FR"/>
              </w:rPr>
              <w:t>) des CG, exigeant l’approbation de la facture ou des pièces justificatives ou spécifiant la rupture et exigeant du Maître d’ouvrage qu’il y remédie, selon le cas. Si le Maître d’ouvrage ne règle pas la somme avec les intérêts, n’approuve pas la facture ou les pièces justificatives, ne communique pas les raisons de son refus, ou ne remédie pas au manquement à ses obligations contractuelles ou ne prend pas les mesures nécessaires pour remédier à cette rupture dans un délai de quatorze (14) jours après réception de la notification de l’Entrepreneur ; ou</w:t>
            </w:r>
          </w:p>
          <w:p w14:paraId="2ACD33A6" w14:textId="77777777" w:rsidR="00F332DA" w:rsidRPr="00BD76AF" w:rsidRDefault="00F332DA" w:rsidP="00C21879">
            <w:pPr>
              <w:pStyle w:val="SectionVII1"/>
              <w:rPr>
                <w:lang w:val="fr-FR"/>
              </w:rPr>
            </w:pPr>
            <w:r w:rsidRPr="00BD76AF">
              <w:rPr>
                <w:lang w:val="fr-FR"/>
              </w:rPr>
              <w:t>b)</w:t>
            </w:r>
            <w:r w:rsidRPr="00BD76AF">
              <w:rPr>
                <w:lang w:val="fr-FR"/>
              </w:rPr>
              <w:tab/>
              <w:t>l’Entrepreneur est dans l’incapacité d’exécuter l’une de ses obligations en vertu du Marché pour une raison attribuable au Maître d’ouvrage, incluant, sans s’y limiter, le fait que le Maître d’ouvrage ne donne pas possession ou accès au Site ou à d’autres zones conformément à l’Article 10.2 des CG, ou la non-obtention d’une autorisation gouvernementale nécessaire à l’exécution et/ou à l’achèvement des Installations,</w:t>
            </w:r>
          </w:p>
          <w:p w14:paraId="1D433203" w14:textId="77777777" w:rsidR="00F332DA" w:rsidRPr="00BD76AF" w:rsidRDefault="00F332DA" w:rsidP="00052E7C">
            <w:pPr>
              <w:spacing w:afterLines="50" w:after="120"/>
              <w:ind w:left="601"/>
              <w:rPr>
                <w:szCs w:val="24"/>
              </w:rPr>
            </w:pPr>
            <w:r w:rsidRPr="00BD76AF">
              <w:rPr>
                <w:szCs w:val="24"/>
              </w:rPr>
              <w:t xml:space="preserve">alors l’Entrepreneur peut, sur notification au Maître d’ouvrage, suspendre l’exécution de toutes ou d’une partie de ses obligations en vertu du Marché, ou réduire le rythme d’avancement des travaux. </w:t>
            </w:r>
          </w:p>
          <w:p w14:paraId="35E2543D" w14:textId="77777777" w:rsidR="00F332DA" w:rsidRPr="00BD76AF" w:rsidRDefault="00F332DA" w:rsidP="0079334B">
            <w:pPr>
              <w:spacing w:afterLines="50" w:after="120"/>
              <w:ind w:left="601"/>
              <w:rPr>
                <w:szCs w:val="24"/>
              </w:rPr>
            </w:pPr>
            <w:r w:rsidRPr="00BD76AF">
              <w:rPr>
                <w:szCs w:val="24"/>
              </w:rPr>
              <w:t>Nonobstant ce qui précède, si la JICA suspend ses décaissements en vertu du prêt ou du crédit à partir duquel les paiements à l’Entrepreneur sont effectués, en totalité ou en partie, pour l’exécution des travaux sur les Installations, et si aucune autre source de financement alternative n’est disponible, tel qu’il est prévu dans l’Article 10.5 des CG, l’Entrepreneur peut à tout moment notifier sa décision de suspendre les travaux ou de réduire la cadence des travaux, mais au plus tôt sept (7) jours après que l’Emprunteur a reçu de la JICA l’avis de suspension.</w:t>
            </w:r>
          </w:p>
          <w:p w14:paraId="46C67603" w14:textId="77777777" w:rsidR="00F332DA" w:rsidRPr="00BD76AF" w:rsidRDefault="00F332DA" w:rsidP="0079334B">
            <w:pPr>
              <w:spacing w:afterLines="50" w:after="120"/>
              <w:ind w:left="601"/>
              <w:rPr>
                <w:szCs w:val="24"/>
              </w:rPr>
            </w:pPr>
            <w:r w:rsidRPr="00BD76AF">
              <w:rPr>
                <w:szCs w:val="24"/>
              </w:rPr>
              <w:t>Un tel acte de l’Entrepreneur ne doit pas porter préjudice à ses droits à percevoir des intérêts de retard selon l’Article 12.4  des CG et à procéder à la résiliation du Marché selon l’Article 42.3 (</w:t>
            </w:r>
            <w:r w:rsidRPr="00BD76AF">
              <w:rPr>
                <w:i/>
                <w:szCs w:val="24"/>
              </w:rPr>
              <w:t>Résiliation par l’Entrepreneur</w:t>
            </w:r>
            <w:r w:rsidRPr="00BD76AF">
              <w:rPr>
                <w:szCs w:val="24"/>
              </w:rPr>
              <w:t>) des CG.</w:t>
            </w:r>
          </w:p>
          <w:p w14:paraId="46AA205D" w14:textId="77777777" w:rsidR="00F332DA" w:rsidRPr="00BD76AF" w:rsidRDefault="00F332DA" w:rsidP="008662B5">
            <w:pPr>
              <w:spacing w:after="200"/>
              <w:ind w:left="601"/>
              <w:rPr>
                <w:szCs w:val="24"/>
              </w:rPr>
            </w:pPr>
            <w:r w:rsidRPr="00BD76AF">
              <w:rPr>
                <w:szCs w:val="24"/>
              </w:rPr>
              <w:t>Si par la suite, et avant qu’il n’ait donné le préavis de résiliation, l’Entrepreneur reçoit une telle approbation du paiement, de tels justificatifs ou un tel paiement (selon ce qui est décrit dans l’Article correspondant et dans le préavis susmentionné), l’Entrepreneur doit reprendre normalement le travail aussitôt que cela est raisonnablement possible.</w:t>
            </w:r>
          </w:p>
          <w:p w14:paraId="07A8705F" w14:textId="77777777" w:rsidR="00F332DA" w:rsidRPr="00BD76AF" w:rsidRDefault="00F332DA" w:rsidP="008662B5">
            <w:pPr>
              <w:spacing w:after="200"/>
              <w:ind w:left="601" w:hanging="601"/>
              <w:rPr>
                <w:szCs w:val="24"/>
              </w:rPr>
            </w:pPr>
            <w:r w:rsidRPr="00BD76AF">
              <w:rPr>
                <w:szCs w:val="24"/>
              </w:rPr>
              <w:t>41.3</w:t>
            </w:r>
            <w:r w:rsidRPr="00BD76AF">
              <w:rPr>
                <w:szCs w:val="24"/>
              </w:rPr>
              <w:tab/>
              <w:t>Si l’exécution des obligations de l’Entrepreneur est suspendue ou si le rythme d’avancement des travaux est réduit conformément à ces Articles 41.1 et 41.2 des CG, le Délai d’achèvement doit être prolongé conformément à l’Article 40.1 des CG et tous les coûts et dépenses supplémentaires engagés par l’Entrepreneur en raison de cette suspension ou de ce ralentissement doivent être payés à l’Entrepreneur par le Maître d’ouvrage en plus du Montant du Marché, sauf dans le cas d’un ordre de suspension ou de réduction du rythme d’avancement en raison d’un manquement ou d’une rupture de Marché par l’Entrepreneur.</w:t>
            </w:r>
          </w:p>
          <w:p w14:paraId="63EBA528" w14:textId="77777777" w:rsidR="00F332DA" w:rsidRPr="00BD76AF" w:rsidRDefault="00F332DA" w:rsidP="008662B5">
            <w:pPr>
              <w:spacing w:after="200"/>
              <w:ind w:left="601" w:hanging="601"/>
              <w:rPr>
                <w:szCs w:val="24"/>
              </w:rPr>
            </w:pPr>
            <w:r w:rsidRPr="00BD76AF">
              <w:rPr>
                <w:szCs w:val="24"/>
              </w:rPr>
              <w:t>41.4</w:t>
            </w:r>
            <w:r w:rsidRPr="00BD76AF">
              <w:rPr>
                <w:szCs w:val="24"/>
              </w:rPr>
              <w:tab/>
              <w:t>Pendant la durée de la suspension, l’Entrepreneur ne peut retirer du Site aucun Équipement, aucune partie des Installations et aucun Équipement de l’Entrepreneur, sans avoir obtenu l’autorisation préalable écrite du Maître d’ouvrage.</w:t>
            </w:r>
          </w:p>
        </w:tc>
      </w:tr>
      <w:tr w:rsidR="00F332DA" w:rsidRPr="00BD76AF" w14:paraId="156FB888" w14:textId="77777777" w:rsidTr="005116CE">
        <w:trPr>
          <w:gridBefore w:val="1"/>
        </w:trPr>
        <w:tc>
          <w:tcPr>
            <w:tcW w:w="2352" w:type="dxa"/>
          </w:tcPr>
          <w:p w14:paraId="46B07DF9" w14:textId="77777777" w:rsidR="00F332DA" w:rsidRPr="00BD76AF" w:rsidRDefault="00F332DA" w:rsidP="007C71D1">
            <w:pPr>
              <w:pStyle w:val="S7Header2"/>
              <w:rPr>
                <w:szCs w:val="24"/>
              </w:rPr>
            </w:pPr>
            <w:bookmarkStart w:id="807" w:name="_Toc102050825"/>
            <w:r w:rsidRPr="00BD76AF">
              <w:rPr>
                <w:szCs w:val="24"/>
              </w:rPr>
              <w:t>42.</w:t>
            </w:r>
            <w:r w:rsidRPr="00BD76AF">
              <w:rPr>
                <w:szCs w:val="24"/>
              </w:rPr>
              <w:tab/>
              <w:t>Résiliation</w:t>
            </w:r>
            <w:bookmarkEnd w:id="807"/>
          </w:p>
        </w:tc>
        <w:tc>
          <w:tcPr>
            <w:tcW w:w="6936" w:type="dxa"/>
            <w:gridSpan w:val="2"/>
          </w:tcPr>
          <w:p w14:paraId="7BDDA187" w14:textId="77777777" w:rsidR="00F332DA" w:rsidRPr="00BD76AF" w:rsidRDefault="00F332DA" w:rsidP="0011300E">
            <w:pPr>
              <w:spacing w:afterLines="50" w:after="120"/>
              <w:ind w:left="601" w:hanging="601"/>
              <w:rPr>
                <w:szCs w:val="24"/>
              </w:rPr>
            </w:pPr>
            <w:r w:rsidRPr="00BD76AF">
              <w:rPr>
                <w:szCs w:val="24"/>
              </w:rPr>
              <w:t>42.1</w:t>
            </w:r>
            <w:r w:rsidRPr="00BD76AF">
              <w:rPr>
                <w:szCs w:val="24"/>
              </w:rPr>
              <w:tab/>
            </w:r>
            <w:r w:rsidRPr="00BD76AF">
              <w:rPr>
                <w:szCs w:val="24"/>
                <w:u w:val="single"/>
              </w:rPr>
              <w:t>Résiliation par le Maître d’ouvrage à la convenance du Maître d’ouvrage</w:t>
            </w:r>
          </w:p>
          <w:p w14:paraId="008AC3B7" w14:textId="77777777" w:rsidR="00F332DA" w:rsidRPr="00BD76AF" w:rsidRDefault="00F332DA" w:rsidP="008662B5">
            <w:pPr>
              <w:spacing w:after="200"/>
              <w:ind w:left="1440" w:hanging="839"/>
              <w:rPr>
                <w:szCs w:val="24"/>
              </w:rPr>
            </w:pPr>
            <w:r w:rsidRPr="00BD76AF">
              <w:rPr>
                <w:szCs w:val="24"/>
              </w:rPr>
              <w:t>42.1.1</w:t>
            </w:r>
            <w:r w:rsidRPr="00BD76AF">
              <w:rPr>
                <w:szCs w:val="24"/>
              </w:rPr>
              <w:tab/>
              <w:t>Le Maître d’ouvrage peut à tout moment résilier le Marché pour quelque raison que ce soit en adressant une notification de résiliation à l’Entrepreneur faisant référence à cet Article 42.1 (</w:t>
            </w:r>
            <w:r w:rsidRPr="00BD76AF">
              <w:rPr>
                <w:i/>
                <w:szCs w:val="24"/>
              </w:rPr>
              <w:t>Résiliation par le Maître d’ouvrage à la convenance du Maître d’ouvrage</w:t>
            </w:r>
            <w:r w:rsidRPr="00BD76AF">
              <w:rPr>
                <w:szCs w:val="24"/>
              </w:rPr>
              <w:t>) des CG.</w:t>
            </w:r>
          </w:p>
          <w:p w14:paraId="6682E6C5" w14:textId="77777777" w:rsidR="00F332DA" w:rsidRPr="00BD76AF" w:rsidRDefault="00F332DA" w:rsidP="00DC426C">
            <w:pPr>
              <w:spacing w:afterLines="50" w:after="120"/>
              <w:ind w:left="1440" w:hanging="839"/>
              <w:rPr>
                <w:szCs w:val="24"/>
              </w:rPr>
            </w:pPr>
            <w:r w:rsidRPr="00BD76AF">
              <w:rPr>
                <w:szCs w:val="24"/>
              </w:rPr>
              <w:t>42.1.2</w:t>
            </w:r>
            <w:r w:rsidRPr="00BD76AF">
              <w:rPr>
                <w:szCs w:val="24"/>
              </w:rPr>
              <w:tab/>
              <w:t>Dès réception de cette notification de résiliation conformément à l’Article 42.1.1 des CG, l’Entrepreneur doit, soit immédiatement, soit à la date spécifiée dans la notification de résiliation :</w:t>
            </w:r>
          </w:p>
          <w:p w14:paraId="46DC029C" w14:textId="77777777" w:rsidR="00F332DA" w:rsidRPr="00BD76AF" w:rsidRDefault="00F332DA" w:rsidP="00847D47">
            <w:pPr>
              <w:spacing w:afterLines="50" w:after="120"/>
              <w:ind w:left="1865" w:hanging="425"/>
              <w:rPr>
                <w:szCs w:val="24"/>
              </w:rPr>
            </w:pPr>
            <w:r w:rsidRPr="00BD76AF">
              <w:rPr>
                <w:szCs w:val="24"/>
              </w:rPr>
              <w:t>a)</w:t>
            </w:r>
            <w:r w:rsidRPr="00BD76AF">
              <w:rPr>
                <w:szCs w:val="24"/>
              </w:rPr>
              <w:tab/>
              <w:t xml:space="preserve">cesser tout travail, à l’exception des travaux que le Maître d’ouvrage peut spécifier dans la notification de résiliation dans le seul but de protéger la partie des Installations déjà exécutée ou de tout travail nécessaire pour que le Site soit laissé en ordre et dans un parfait état de propreté et de sécurité ; </w:t>
            </w:r>
          </w:p>
          <w:p w14:paraId="015D0752" w14:textId="77777777" w:rsidR="00F332DA" w:rsidRPr="00BD76AF" w:rsidRDefault="00F332DA" w:rsidP="00847D47">
            <w:pPr>
              <w:spacing w:afterLines="50" w:after="120"/>
              <w:ind w:left="1865" w:hanging="425"/>
              <w:rPr>
                <w:szCs w:val="24"/>
              </w:rPr>
            </w:pPr>
            <w:r w:rsidRPr="00BD76AF">
              <w:rPr>
                <w:szCs w:val="24"/>
              </w:rPr>
              <w:t>b)</w:t>
            </w:r>
            <w:r w:rsidRPr="00BD76AF">
              <w:rPr>
                <w:szCs w:val="24"/>
              </w:rPr>
              <w:tab/>
              <w:t xml:space="preserve">résilier tous les contrats de sous-traitance, à l’exception de ceux devant être cédés au Maître d’ouvrage conformément à l’alinéa d) ii) ci-dessous ; </w:t>
            </w:r>
          </w:p>
          <w:p w14:paraId="68EE96CC" w14:textId="77777777" w:rsidR="00F332DA" w:rsidRPr="00BD76AF" w:rsidRDefault="00F332DA" w:rsidP="00847D47">
            <w:pPr>
              <w:spacing w:afterLines="50" w:after="120"/>
              <w:ind w:left="1865" w:hanging="425"/>
              <w:rPr>
                <w:szCs w:val="24"/>
              </w:rPr>
            </w:pPr>
            <w:r w:rsidRPr="00BD76AF">
              <w:rPr>
                <w:szCs w:val="24"/>
              </w:rPr>
              <w:t>c)</w:t>
            </w:r>
            <w:r w:rsidRPr="00BD76AF">
              <w:rPr>
                <w:szCs w:val="24"/>
              </w:rPr>
              <w:tab/>
              <w:t xml:space="preserve">retirer du Site tous les Équipements de l’Entrepreneur et rapatrier le personnel de l’Entrepreneur et de ses Sous-traitants présent sur le Site, retirer du Site les décombres, ordures et débris de toute sorte et laisser l’ensemble du Site en ordre et dans un parfait état de propreté et de sécurité ; </w:t>
            </w:r>
          </w:p>
          <w:p w14:paraId="241C114A" w14:textId="77777777" w:rsidR="00F332DA" w:rsidRPr="00BD76AF" w:rsidRDefault="00F332DA" w:rsidP="00847D47">
            <w:pPr>
              <w:spacing w:afterLines="50" w:after="120"/>
              <w:ind w:left="1865" w:hanging="425"/>
              <w:rPr>
                <w:szCs w:val="24"/>
              </w:rPr>
            </w:pPr>
            <w:r w:rsidRPr="00BD76AF">
              <w:rPr>
                <w:szCs w:val="24"/>
              </w:rPr>
              <w:t>d)</w:t>
            </w:r>
            <w:r w:rsidRPr="00BD76AF">
              <w:rPr>
                <w:szCs w:val="24"/>
              </w:rPr>
              <w:tab/>
              <w:t>sous réserve du paiement spécifié à l’Article 42.1.3 des CG :</w:t>
            </w:r>
          </w:p>
          <w:p w14:paraId="63D00884" w14:textId="77777777" w:rsidR="00F332DA" w:rsidRPr="00BD76AF" w:rsidRDefault="00F332DA" w:rsidP="00847D47">
            <w:pPr>
              <w:spacing w:afterLines="50" w:after="120"/>
              <w:ind w:left="2290" w:hanging="425"/>
              <w:rPr>
                <w:szCs w:val="24"/>
              </w:rPr>
            </w:pPr>
            <w:r w:rsidRPr="00BD76AF">
              <w:rPr>
                <w:szCs w:val="24"/>
              </w:rPr>
              <w:t>i)</w:t>
            </w:r>
            <w:r w:rsidRPr="00BD76AF">
              <w:rPr>
                <w:szCs w:val="24"/>
              </w:rPr>
              <w:tab/>
              <w:t xml:space="preserve">livrer au Maître d’ouvrage les parties des Installations exécutées par l’Entrepreneur à la date de résiliation ; </w:t>
            </w:r>
          </w:p>
          <w:p w14:paraId="3EE3987A" w14:textId="77777777" w:rsidR="00F332DA" w:rsidRPr="00BD76AF" w:rsidRDefault="00F332DA" w:rsidP="00847D47">
            <w:pPr>
              <w:spacing w:afterLines="50" w:after="120"/>
              <w:ind w:left="2290" w:hanging="425"/>
              <w:rPr>
                <w:szCs w:val="24"/>
              </w:rPr>
            </w:pPr>
            <w:r w:rsidRPr="00BD76AF">
              <w:rPr>
                <w:szCs w:val="24"/>
              </w:rPr>
              <w:t>ii)</w:t>
            </w:r>
            <w:r w:rsidRPr="00BD76AF">
              <w:rPr>
                <w:szCs w:val="24"/>
              </w:rPr>
              <w:tab/>
              <w:t>dans la mesure où cela est juridiquement possible, céder au Maître d’ouvrage tout droit, titre et avantage de l’Entrepreneur sur les Installations et Équipements à la date de la résiliation et, si le Maître d’ouvrage l’exige, tout contrat de sous-traitance entre l’Entrepreneur et ses Sous-traitants ; et</w:t>
            </w:r>
          </w:p>
          <w:p w14:paraId="3C5D6912" w14:textId="77777777" w:rsidR="00F332DA" w:rsidRPr="00BD76AF" w:rsidRDefault="00F332DA" w:rsidP="008662B5">
            <w:pPr>
              <w:spacing w:after="200"/>
              <w:ind w:left="2290" w:hanging="425"/>
              <w:rPr>
                <w:szCs w:val="24"/>
              </w:rPr>
            </w:pPr>
            <w:r w:rsidRPr="00BD76AF">
              <w:rPr>
                <w:szCs w:val="24"/>
              </w:rPr>
              <w:t>iii)</w:t>
            </w:r>
            <w:r w:rsidRPr="00BD76AF">
              <w:rPr>
                <w:szCs w:val="24"/>
              </w:rPr>
              <w:tab/>
              <w:t>remettre au Maître d’ouvrage tous les plans, spécifications et autres documents dont les droits sont non exclusifs, concernant les Installations, préparés par l’Entrepreneur ou ses Sous-traitants jusqu’à la date de résiliation.</w:t>
            </w:r>
          </w:p>
          <w:p w14:paraId="6694AED4" w14:textId="77777777" w:rsidR="00F332DA" w:rsidRPr="00BD76AF" w:rsidRDefault="00F332DA" w:rsidP="00DC426C">
            <w:pPr>
              <w:spacing w:afterLines="50" w:after="120"/>
              <w:ind w:left="1440" w:hanging="839"/>
              <w:rPr>
                <w:szCs w:val="24"/>
              </w:rPr>
            </w:pPr>
            <w:r w:rsidRPr="00BD76AF">
              <w:rPr>
                <w:szCs w:val="24"/>
              </w:rPr>
              <w:t>42.1.3</w:t>
            </w:r>
            <w:r w:rsidRPr="00BD76AF">
              <w:rPr>
                <w:szCs w:val="24"/>
              </w:rPr>
              <w:tab/>
              <w:t>Dans le cas d’une résiliation du Marché conformément à l’Article 42.1.1 des CG, le Maître d’ouvrage doit payer à l’Entrepreneur les montants suivants :</w:t>
            </w:r>
          </w:p>
          <w:p w14:paraId="7103EC4E" w14:textId="77777777" w:rsidR="00F332DA" w:rsidRPr="00BD76AF" w:rsidRDefault="00F332DA" w:rsidP="00722458">
            <w:pPr>
              <w:spacing w:afterLines="50" w:after="120"/>
              <w:ind w:left="1865" w:hanging="425"/>
              <w:rPr>
                <w:szCs w:val="24"/>
              </w:rPr>
            </w:pPr>
            <w:r w:rsidRPr="00BD76AF">
              <w:rPr>
                <w:szCs w:val="24"/>
              </w:rPr>
              <w:t>a)</w:t>
            </w:r>
            <w:r w:rsidRPr="00BD76AF">
              <w:rPr>
                <w:szCs w:val="24"/>
              </w:rPr>
              <w:tab/>
              <w:t>le Montant du Marché correctement attribuable aux parties des Installations exécutées par l’Entrepreneur à la date de résiliation ;</w:t>
            </w:r>
          </w:p>
          <w:p w14:paraId="3E8D5EC0" w14:textId="77777777" w:rsidR="00F332DA" w:rsidRPr="00BD76AF" w:rsidRDefault="00F332DA" w:rsidP="00722458">
            <w:pPr>
              <w:spacing w:afterLines="50" w:after="120"/>
              <w:ind w:left="1865" w:hanging="425"/>
              <w:rPr>
                <w:szCs w:val="24"/>
              </w:rPr>
            </w:pPr>
            <w:r w:rsidRPr="00BD76AF">
              <w:rPr>
                <w:szCs w:val="24"/>
              </w:rPr>
              <w:t>b)</w:t>
            </w:r>
            <w:r w:rsidRPr="00BD76AF">
              <w:rPr>
                <w:szCs w:val="24"/>
              </w:rPr>
              <w:tab/>
              <w:t xml:space="preserve">les frais raisonnablement engagés par l’Entrepreneur pour enlever les Équipements de l’Entrepreneur du Site et rapatrier le personnel de l’Entrepreneur et de ses Sous-traitants ; </w:t>
            </w:r>
          </w:p>
          <w:p w14:paraId="5078D3AD" w14:textId="77777777" w:rsidR="00F332DA" w:rsidRPr="00BD76AF" w:rsidRDefault="00F332DA" w:rsidP="00722458">
            <w:pPr>
              <w:spacing w:afterLines="50" w:after="120"/>
              <w:ind w:left="1865" w:hanging="425"/>
              <w:rPr>
                <w:szCs w:val="24"/>
              </w:rPr>
            </w:pPr>
            <w:r w:rsidRPr="00BD76AF">
              <w:rPr>
                <w:szCs w:val="24"/>
              </w:rPr>
              <w:t>c)</w:t>
            </w:r>
            <w:r w:rsidRPr="00BD76AF">
              <w:rPr>
                <w:szCs w:val="24"/>
              </w:rPr>
              <w:tab/>
              <w:t xml:space="preserve">toutes les sommes devant être payées par l’Entrepreneur à ses Sous-traitants à la suite de la résiliation de tous les contrats de Sous-traitance, y compris les frais d’annulation ; </w:t>
            </w:r>
          </w:p>
          <w:p w14:paraId="465D6B37" w14:textId="77777777" w:rsidR="00F332DA" w:rsidRPr="00BD76AF" w:rsidRDefault="00F332DA" w:rsidP="00722458">
            <w:pPr>
              <w:spacing w:afterLines="50" w:after="120"/>
              <w:ind w:left="1865" w:hanging="425"/>
              <w:rPr>
                <w:szCs w:val="24"/>
              </w:rPr>
            </w:pPr>
            <w:r w:rsidRPr="00BD76AF">
              <w:rPr>
                <w:szCs w:val="24"/>
              </w:rPr>
              <w:t>d)</w:t>
            </w:r>
            <w:r w:rsidRPr="00BD76AF">
              <w:rPr>
                <w:szCs w:val="24"/>
              </w:rPr>
              <w:tab/>
              <w:t xml:space="preserve">les frais engagés par l’Entrepreneur pour assurer la protection des Installations et laisser le Site en ordre et dans un parfait état de propreté et de sécurité conformément à l’alinéa a) de l’Article 42.1.2 des CG ; </w:t>
            </w:r>
          </w:p>
          <w:p w14:paraId="08E6EEE1" w14:textId="77777777" w:rsidR="00F332DA" w:rsidRPr="00BD76AF" w:rsidRDefault="00F332DA" w:rsidP="008662B5">
            <w:pPr>
              <w:spacing w:after="200"/>
              <w:ind w:left="1865" w:hanging="425"/>
              <w:rPr>
                <w:szCs w:val="24"/>
              </w:rPr>
            </w:pPr>
            <w:r w:rsidRPr="00BD76AF">
              <w:rPr>
                <w:szCs w:val="24"/>
              </w:rPr>
              <w:t>e)</w:t>
            </w:r>
            <w:r w:rsidRPr="00BD76AF">
              <w:rPr>
                <w:szCs w:val="24"/>
              </w:rPr>
              <w:tab/>
              <w:t>le montant nécessaire pour remplir toutes les autres obligations et engagements contractés et les réclamations faites de bonne foi par l’Entrepreneur auprès de tiers, en relation avec le Marché et non couverts par les alinéas a) à d) ci-dessus.</w:t>
            </w:r>
          </w:p>
          <w:p w14:paraId="1E66F5AC" w14:textId="77777777" w:rsidR="00F332DA" w:rsidRPr="00BD76AF" w:rsidRDefault="00F332DA" w:rsidP="0011300E">
            <w:pPr>
              <w:spacing w:afterLines="50" w:after="120"/>
              <w:ind w:left="601" w:hanging="601"/>
              <w:rPr>
                <w:szCs w:val="24"/>
              </w:rPr>
            </w:pPr>
            <w:r w:rsidRPr="00BD76AF">
              <w:rPr>
                <w:szCs w:val="24"/>
              </w:rPr>
              <w:t>42.2</w:t>
            </w:r>
            <w:r w:rsidRPr="00BD76AF">
              <w:rPr>
                <w:szCs w:val="24"/>
              </w:rPr>
              <w:tab/>
            </w:r>
            <w:r w:rsidRPr="00BD76AF">
              <w:rPr>
                <w:szCs w:val="24"/>
                <w:u w:val="single"/>
              </w:rPr>
              <w:t>Résiliation par le Maître d’ouvrage pour manquement de l’Entrepreneur</w:t>
            </w:r>
          </w:p>
          <w:p w14:paraId="6EEB8958" w14:textId="77777777" w:rsidR="00F332DA" w:rsidRPr="00BD76AF" w:rsidRDefault="00F332DA" w:rsidP="00DC426C">
            <w:pPr>
              <w:spacing w:afterLines="50" w:after="120"/>
              <w:ind w:left="1440" w:hanging="839"/>
              <w:rPr>
                <w:szCs w:val="24"/>
              </w:rPr>
            </w:pPr>
            <w:r w:rsidRPr="00BD76AF">
              <w:rPr>
                <w:szCs w:val="24"/>
              </w:rPr>
              <w:t>42.2.1</w:t>
            </w:r>
            <w:r w:rsidRPr="00BD76AF">
              <w:rPr>
                <w:szCs w:val="24"/>
              </w:rPr>
              <w:tab/>
              <w:t>Le Maître d’ouvrage peut, sans préjudice de tout autre droit ou recours qu’il peut avoir, résilier le Marché sur le champ dans les circonstances suivantes en adressant une notification de résiliation à cet effet à l’Entrepreneur faisant référence à cet Article 42.2 des CG et mentionnant les motifs de résiliation :</w:t>
            </w:r>
          </w:p>
          <w:p w14:paraId="5D00E835" w14:textId="77777777" w:rsidR="00F332DA" w:rsidRPr="00BD76AF" w:rsidRDefault="00F332DA" w:rsidP="00722458">
            <w:pPr>
              <w:spacing w:afterLines="50" w:after="120"/>
              <w:ind w:left="1865" w:hanging="425"/>
              <w:rPr>
                <w:szCs w:val="24"/>
              </w:rPr>
            </w:pPr>
            <w:r w:rsidRPr="00BD76AF">
              <w:rPr>
                <w:szCs w:val="24"/>
              </w:rPr>
              <w:t>a)</w:t>
            </w:r>
            <w:r w:rsidRPr="00BD76AF">
              <w:rPr>
                <w:szCs w:val="24"/>
              </w:rPr>
              <w:tab/>
              <w:t xml:space="preserve">si l’Entrepreneur fait faillite ou devient insolvable, fait l’objet d’une ordonnance de mise sous séquestre, s’entend avec ses créanciers, ou, si l’Entrepreneur est une société, il est mis en liquidation judiciaire par résolution ou par ordonnance, autre qu’une liquidation volontaire pour cause de fusion ou de restructuration, ou si un administrateur judiciaire est nommé pour administrer une partie quelconque de son entreprise ou de ses actifs, ou si l’Entrepreneur fait l’objet de toute autre action en justice similaire pour cause de dette ; </w:t>
            </w:r>
          </w:p>
          <w:p w14:paraId="06D9212F" w14:textId="77777777" w:rsidR="00F332DA" w:rsidRPr="00BD76AF" w:rsidRDefault="00F332DA" w:rsidP="00722458">
            <w:pPr>
              <w:spacing w:afterLines="50" w:after="120"/>
              <w:ind w:left="1865" w:hanging="425"/>
              <w:rPr>
                <w:szCs w:val="24"/>
              </w:rPr>
            </w:pPr>
            <w:r w:rsidRPr="00BD76AF">
              <w:rPr>
                <w:szCs w:val="24"/>
              </w:rPr>
              <w:t>b)</w:t>
            </w:r>
            <w:r w:rsidRPr="00BD76AF">
              <w:rPr>
                <w:szCs w:val="24"/>
              </w:rPr>
              <w:tab/>
              <w:t>si l’Entrepreneur cède ou transfère le Marché ou tout droit ou intérêt y afférents en violation des dispositions de l’Article 43 (</w:t>
            </w:r>
            <w:r w:rsidRPr="00BD76AF">
              <w:rPr>
                <w:i/>
                <w:szCs w:val="24"/>
              </w:rPr>
              <w:t>Cession</w:t>
            </w:r>
            <w:r w:rsidRPr="00BD76AF">
              <w:rPr>
                <w:szCs w:val="24"/>
              </w:rPr>
              <w:t>) des CG ; ou</w:t>
            </w:r>
          </w:p>
          <w:p w14:paraId="52DAB914" w14:textId="77777777" w:rsidR="00F332DA" w:rsidRPr="00BD76AF" w:rsidRDefault="00F332DA" w:rsidP="008662B5">
            <w:pPr>
              <w:spacing w:after="200"/>
              <w:ind w:left="1865" w:hanging="425"/>
              <w:rPr>
                <w:szCs w:val="24"/>
              </w:rPr>
            </w:pPr>
            <w:r w:rsidRPr="00BD76AF">
              <w:rPr>
                <w:szCs w:val="24"/>
              </w:rPr>
              <w:t>c)</w:t>
            </w:r>
            <w:r w:rsidRPr="00BD76AF">
              <w:rPr>
                <w:szCs w:val="24"/>
              </w:rPr>
              <w:tab/>
              <w:t xml:space="preserve">si l’Entrepreneur, de l’avis du Maître d’ouvrage, s’est livré à </w:t>
            </w:r>
            <w:r w:rsidRPr="00BD76AF">
              <w:t>des pratiques corrompues ou frauduleuses</w:t>
            </w:r>
            <w:r w:rsidRPr="00BD76AF">
              <w:rPr>
                <w:szCs w:val="24"/>
              </w:rPr>
              <w:t xml:space="preserve"> telles que définies à l’Article 6 (</w:t>
            </w:r>
            <w:r w:rsidRPr="00BD76AF">
              <w:rPr>
                <w:i/>
                <w:szCs w:val="24"/>
              </w:rPr>
              <w:t>Pratiques corrompues et frauduleuses</w:t>
            </w:r>
            <w:r w:rsidRPr="00BD76AF">
              <w:rPr>
                <w:szCs w:val="24"/>
              </w:rPr>
              <w:t>) des CG, au cours de l’attribution ou de l’exécution du Marché.</w:t>
            </w:r>
          </w:p>
          <w:p w14:paraId="2BFB062A" w14:textId="77777777" w:rsidR="00F332DA" w:rsidRPr="00BD76AF" w:rsidRDefault="00F332DA" w:rsidP="00DC426C">
            <w:pPr>
              <w:spacing w:afterLines="50" w:after="120"/>
              <w:ind w:left="1440" w:hanging="839"/>
              <w:rPr>
                <w:szCs w:val="24"/>
              </w:rPr>
            </w:pPr>
            <w:r w:rsidRPr="00BD76AF">
              <w:rPr>
                <w:szCs w:val="24"/>
              </w:rPr>
              <w:t>42.2.2</w:t>
            </w:r>
            <w:r w:rsidRPr="00BD76AF">
              <w:rPr>
                <w:szCs w:val="24"/>
              </w:rPr>
              <w:tab/>
              <w:t>Si l’Entrepreneur :</w:t>
            </w:r>
          </w:p>
          <w:p w14:paraId="58284130" w14:textId="77777777" w:rsidR="00F332DA" w:rsidRPr="00BD76AF" w:rsidRDefault="00F332DA" w:rsidP="00722458">
            <w:pPr>
              <w:spacing w:afterLines="50" w:after="120"/>
              <w:ind w:left="1865" w:hanging="425"/>
              <w:rPr>
                <w:szCs w:val="24"/>
              </w:rPr>
            </w:pPr>
            <w:r w:rsidRPr="00BD76AF">
              <w:rPr>
                <w:szCs w:val="24"/>
              </w:rPr>
              <w:t>a)</w:t>
            </w:r>
            <w:r w:rsidRPr="00BD76AF">
              <w:rPr>
                <w:szCs w:val="24"/>
              </w:rPr>
              <w:tab/>
              <w:t xml:space="preserve">a abandonné ou répudié le Marché ; </w:t>
            </w:r>
          </w:p>
          <w:p w14:paraId="1B59B6AA" w14:textId="77777777" w:rsidR="00F332DA" w:rsidRPr="00BD76AF" w:rsidRDefault="00F332DA" w:rsidP="00722458">
            <w:pPr>
              <w:spacing w:afterLines="50" w:after="120"/>
              <w:ind w:left="1865" w:hanging="425"/>
              <w:rPr>
                <w:szCs w:val="24"/>
              </w:rPr>
            </w:pPr>
            <w:r w:rsidRPr="00BD76AF">
              <w:rPr>
                <w:szCs w:val="24"/>
              </w:rPr>
              <w:t>b)</w:t>
            </w:r>
            <w:r w:rsidRPr="00BD76AF">
              <w:rPr>
                <w:szCs w:val="24"/>
              </w:rPr>
              <w:tab/>
              <w:t>n’a pas commencé promptement les travaux sur les Installations ou a suspendu, dans des conditions autres que celles prévues à l’Article 41.2 (</w:t>
            </w:r>
            <w:r w:rsidRPr="00BD76AF">
              <w:rPr>
                <w:i/>
                <w:szCs w:val="24"/>
              </w:rPr>
              <w:t>Suspension par l’Entrepreneur</w:t>
            </w:r>
            <w:r w:rsidRPr="00BD76AF">
              <w:rPr>
                <w:szCs w:val="24"/>
              </w:rPr>
              <w:t xml:space="preserve">) des CG, l’avancement de l’exécution du Marché, sans motif valable, pendant plus de vingt-huit (28) jours après réception de l’ordre écrit du Maître d’ouvrage d’exécuter le Marché ; </w:t>
            </w:r>
          </w:p>
          <w:p w14:paraId="5BC164A2" w14:textId="77777777" w:rsidR="00F332DA" w:rsidRPr="00BD76AF" w:rsidRDefault="00F332DA" w:rsidP="00722458">
            <w:pPr>
              <w:spacing w:afterLines="50" w:after="120"/>
              <w:ind w:left="1865" w:hanging="425"/>
              <w:rPr>
                <w:szCs w:val="24"/>
              </w:rPr>
            </w:pPr>
            <w:r w:rsidRPr="00BD76AF">
              <w:rPr>
                <w:szCs w:val="24"/>
              </w:rPr>
              <w:t>c)</w:t>
            </w:r>
            <w:r w:rsidRPr="00BD76AF">
              <w:rPr>
                <w:szCs w:val="24"/>
              </w:rPr>
              <w:tab/>
              <w:t xml:space="preserve">manque, continuellement, d’exécuter le Marché conformément à celui-ci ou néglige, de façon persistante, de remplir ses obligations en vertu du Marché, sans raison valable ; </w:t>
            </w:r>
          </w:p>
          <w:p w14:paraId="253E82A1" w14:textId="77777777" w:rsidR="00F332DA" w:rsidRPr="00BD76AF" w:rsidRDefault="00F332DA" w:rsidP="00722458">
            <w:pPr>
              <w:spacing w:afterLines="50" w:after="120"/>
              <w:ind w:left="1865" w:hanging="425"/>
              <w:rPr>
                <w:szCs w:val="24"/>
              </w:rPr>
            </w:pPr>
            <w:r w:rsidRPr="00BD76AF">
              <w:rPr>
                <w:szCs w:val="24"/>
              </w:rPr>
              <w:t>d)</w:t>
            </w:r>
            <w:r w:rsidRPr="00BD76AF">
              <w:rPr>
                <w:szCs w:val="24"/>
              </w:rPr>
              <w:tab/>
              <w:t>refuse ou est dans l’incapacité de fournir les matériaux, les services ou la main-d’œuvre nécessaires à l’exécution et à l’achèvement des Installations ainsi qu’il est spécifié au programme fourni conformément à l’Article 18.2 (</w:t>
            </w:r>
            <w:r w:rsidRPr="00BD76AF">
              <w:rPr>
                <w:i/>
                <w:szCs w:val="24"/>
              </w:rPr>
              <w:t>Programme d’exécution</w:t>
            </w:r>
            <w:r w:rsidRPr="00BD76AF">
              <w:rPr>
                <w:szCs w:val="24"/>
              </w:rPr>
              <w:t>) des CG, à un rythme d’avancement offrant au Maître d’ouvrage l’assurance que l’Entrepreneur parviendra à l’achèvement des Installations à la fin du Délai d’achèvement comme prolongé,</w:t>
            </w:r>
          </w:p>
          <w:p w14:paraId="6A2623EA" w14:textId="77777777" w:rsidR="00F332DA" w:rsidRPr="00BD76AF" w:rsidRDefault="00F332DA" w:rsidP="006C17DF">
            <w:pPr>
              <w:spacing w:after="200"/>
              <w:ind w:left="1440"/>
              <w:rPr>
                <w:szCs w:val="24"/>
              </w:rPr>
            </w:pPr>
            <w:r w:rsidRPr="00BD76AF">
              <w:rPr>
                <w:szCs w:val="24"/>
              </w:rPr>
              <w:t>le Maître d’ouvrage peut, sans préjudice de tout autre droit qu’il peut avoir en vertu du Marché, notifier à l’Entrepreneur la nature de son manquement et exiger de celui-ci qu’il y remédie. Si l’Entrepreneur ne remédie pas à ce manquement ou ne prend pas les mesures nécessaires pour y remédier dans un délai de quatorze (14) jours suivant la réception de la notification, le Maître d’ouvrage peut résilier le Marché sur le champ en adressant à l’Entrepreneur une notification de résiliation faisant référence à cet Article 42.2 (</w:t>
            </w:r>
            <w:r w:rsidRPr="00BD76AF">
              <w:rPr>
                <w:i/>
                <w:szCs w:val="24"/>
              </w:rPr>
              <w:t xml:space="preserve">Résiliation </w:t>
            </w:r>
            <w:r w:rsidRPr="00BD76AF">
              <w:rPr>
                <w:rFonts w:hint="eastAsia"/>
                <w:i/>
                <w:szCs w:val="24"/>
                <w:lang w:eastAsia="ja-JP"/>
              </w:rPr>
              <w:t>p</w:t>
            </w:r>
            <w:r w:rsidRPr="00BD76AF">
              <w:rPr>
                <w:i/>
                <w:szCs w:val="24"/>
                <w:lang w:eastAsia="ja-JP"/>
              </w:rPr>
              <w:t>ar</w:t>
            </w:r>
            <w:r w:rsidRPr="00BD76AF">
              <w:rPr>
                <w:i/>
                <w:szCs w:val="24"/>
              </w:rPr>
              <w:t xml:space="preserve"> le Maître d’ouvrage</w:t>
            </w:r>
            <w:r w:rsidRPr="00BD76AF">
              <w:rPr>
                <w:i/>
                <w:szCs w:val="24"/>
                <w:lang w:eastAsia="ja-JP"/>
              </w:rPr>
              <w:t xml:space="preserve"> </w:t>
            </w:r>
            <w:r w:rsidRPr="00BD76AF">
              <w:rPr>
                <w:i/>
                <w:szCs w:val="24"/>
              </w:rPr>
              <w:t>pour manquement de l’Entrepreneur</w:t>
            </w:r>
            <w:r w:rsidRPr="00BD76AF">
              <w:rPr>
                <w:szCs w:val="24"/>
              </w:rPr>
              <w:t>) des CG.</w:t>
            </w:r>
          </w:p>
          <w:p w14:paraId="543CC882" w14:textId="77777777" w:rsidR="00F332DA" w:rsidRPr="00BD76AF" w:rsidRDefault="00F332DA" w:rsidP="00DC426C">
            <w:pPr>
              <w:spacing w:afterLines="50" w:after="120"/>
              <w:ind w:left="1440" w:hanging="839"/>
              <w:rPr>
                <w:szCs w:val="24"/>
              </w:rPr>
            </w:pPr>
            <w:r w:rsidRPr="00BD76AF">
              <w:rPr>
                <w:szCs w:val="24"/>
              </w:rPr>
              <w:t>42.2.3</w:t>
            </w:r>
            <w:r w:rsidRPr="00BD76AF">
              <w:rPr>
                <w:szCs w:val="24"/>
              </w:rPr>
              <w:tab/>
              <w:t>Dès réception de la notification de résiliation conformément aux Articles 42.2.1 ou 42.2.2 des CG, l’Entrepreneur doit, soit immédiatement, soit à la date notifiée dans la notification de résiliation :</w:t>
            </w:r>
          </w:p>
          <w:p w14:paraId="3AE510C6" w14:textId="77777777" w:rsidR="00F332DA" w:rsidRPr="00BD76AF" w:rsidRDefault="00F332DA" w:rsidP="00722458">
            <w:pPr>
              <w:spacing w:afterLines="50" w:after="120"/>
              <w:ind w:left="1865" w:hanging="425"/>
              <w:rPr>
                <w:szCs w:val="24"/>
              </w:rPr>
            </w:pPr>
            <w:r w:rsidRPr="00BD76AF">
              <w:rPr>
                <w:szCs w:val="24"/>
              </w:rPr>
              <w:t>a)</w:t>
            </w:r>
            <w:r w:rsidRPr="00BD76AF">
              <w:rPr>
                <w:szCs w:val="24"/>
              </w:rPr>
              <w:tab/>
              <w:t>cesser tout travail, à l’exception des travaux que le Maître d’ouvrage peut spécifier dans la notification de résiliation dans le seul but de protéger la partie des Installations déjà exécutée ou de tout travail nécessaire pour que le Site soit laissé en ordre et dans un parfait état de propreté et de sécurité ;</w:t>
            </w:r>
          </w:p>
          <w:p w14:paraId="00C144D7" w14:textId="77777777" w:rsidR="00F332DA" w:rsidRPr="00BD76AF" w:rsidRDefault="00F332DA" w:rsidP="00722458">
            <w:pPr>
              <w:spacing w:afterLines="50" w:after="120"/>
              <w:ind w:left="1865" w:hanging="425"/>
              <w:rPr>
                <w:szCs w:val="24"/>
              </w:rPr>
            </w:pPr>
            <w:r w:rsidRPr="00BD76AF">
              <w:rPr>
                <w:szCs w:val="24"/>
              </w:rPr>
              <w:t>b)</w:t>
            </w:r>
            <w:r w:rsidRPr="00BD76AF">
              <w:rPr>
                <w:szCs w:val="24"/>
              </w:rPr>
              <w:tab/>
              <w:t xml:space="preserve">résilier tous les contrats de sous-traitance, à l’exception de ceux devant être cédés au Maître d’ouvrage conformément à l’alinéa d) ci-dessous ; </w:t>
            </w:r>
          </w:p>
          <w:p w14:paraId="117A9578" w14:textId="77777777" w:rsidR="00F332DA" w:rsidRPr="00BD76AF" w:rsidRDefault="00F332DA" w:rsidP="00722458">
            <w:pPr>
              <w:spacing w:afterLines="50" w:after="120"/>
              <w:ind w:left="1865" w:hanging="425"/>
              <w:rPr>
                <w:szCs w:val="24"/>
              </w:rPr>
            </w:pPr>
            <w:r w:rsidRPr="00BD76AF">
              <w:rPr>
                <w:szCs w:val="24"/>
              </w:rPr>
              <w:t>c)</w:t>
            </w:r>
            <w:r w:rsidRPr="00BD76AF">
              <w:rPr>
                <w:szCs w:val="24"/>
              </w:rPr>
              <w:tab/>
              <w:t xml:space="preserve">livrer au Maître d’ouvrage les parties des Installations exécutées par l’Entrepreneur à la date de la résiliation ; </w:t>
            </w:r>
          </w:p>
          <w:p w14:paraId="26C4DA43" w14:textId="77777777" w:rsidR="00F332DA" w:rsidRPr="00BD76AF" w:rsidRDefault="00F332DA" w:rsidP="00722458">
            <w:pPr>
              <w:spacing w:afterLines="50" w:after="120"/>
              <w:ind w:left="1865" w:hanging="425"/>
              <w:rPr>
                <w:szCs w:val="24"/>
              </w:rPr>
            </w:pPr>
            <w:r w:rsidRPr="00BD76AF">
              <w:rPr>
                <w:szCs w:val="24"/>
              </w:rPr>
              <w:t>d)</w:t>
            </w:r>
            <w:r w:rsidRPr="00BD76AF">
              <w:rPr>
                <w:szCs w:val="24"/>
              </w:rPr>
              <w:tab/>
              <w:t>dans la mesure où cela est juridiquement possible, céder au Maître d’ouvrage tout droit, titre et avantage de l’Entrepreneur sur les Installations et Équipements à la date de la résiliation et, si le Maître d’ouvrage l’exige, tout contrat de sous-traitance entre l’Entrepreneur et ses Sous-traitants ; et</w:t>
            </w:r>
          </w:p>
          <w:p w14:paraId="68F60E1F" w14:textId="77777777" w:rsidR="00F332DA" w:rsidRPr="00BD76AF" w:rsidRDefault="00F332DA" w:rsidP="006C17DF">
            <w:pPr>
              <w:spacing w:after="200"/>
              <w:ind w:left="1865" w:hanging="425"/>
              <w:rPr>
                <w:szCs w:val="24"/>
              </w:rPr>
            </w:pPr>
            <w:r w:rsidRPr="00BD76AF">
              <w:rPr>
                <w:szCs w:val="24"/>
              </w:rPr>
              <w:t>e)</w:t>
            </w:r>
            <w:r w:rsidRPr="00BD76AF">
              <w:rPr>
                <w:szCs w:val="24"/>
              </w:rPr>
              <w:tab/>
              <w:t>remettre au Maître d’ouvrage tous les plans, spécifications et autres documents concernant les Installations, préparés par l’Entrepreneur et ses Sous-traitants jusqu’à la date de résiliation.</w:t>
            </w:r>
          </w:p>
          <w:p w14:paraId="4288B249" w14:textId="77777777" w:rsidR="00F332DA" w:rsidRPr="00BD76AF" w:rsidRDefault="00F332DA" w:rsidP="00DC426C">
            <w:pPr>
              <w:spacing w:afterLines="50" w:after="120"/>
              <w:ind w:left="1440" w:hanging="839"/>
              <w:rPr>
                <w:szCs w:val="24"/>
              </w:rPr>
            </w:pPr>
            <w:r w:rsidRPr="00BD76AF">
              <w:rPr>
                <w:szCs w:val="24"/>
              </w:rPr>
              <w:t>42.2.4</w:t>
            </w:r>
            <w:r w:rsidRPr="00BD76AF">
              <w:rPr>
                <w:szCs w:val="24"/>
              </w:rPr>
              <w:tab/>
              <w:t>Après la résiliation, en tout ou en partie, conformément à l’Article 42.2.3 ci-dessus, le Maître d’ouvrage peut achever les Installations lui-même ou en employant un tiers. Le Maître d’ouvrage peut, à l’exclusion de tout droit de l’Entrepreneur sur les équipements en question, reprendre et utiliser tout Équipement de l’Entrepreneur appartenant à l’Entrepreneur et se trouvant sur le Site pour la réalisation des Installations, pendant la durée que le Maître d’ouvrage jugera nécessaire pour l’achèvement des Installations, contre paiement d’un juste prix de location à l’Entrepreneur, les coûts de maintenance étant à la charge du Maître d’ouvrage, et avec indemnisation par le Maître d’ouvrage pour toute responsabilité, y compris les dommages ou accidents corporels découlant de l’utilisation de ces équipements par le Maître d’ouvrage.</w:t>
            </w:r>
          </w:p>
          <w:p w14:paraId="112C75C9" w14:textId="77777777" w:rsidR="00F332DA" w:rsidRPr="00BD76AF" w:rsidRDefault="00F332DA" w:rsidP="006C17DF">
            <w:pPr>
              <w:spacing w:after="200"/>
              <w:ind w:left="1440"/>
              <w:rPr>
                <w:szCs w:val="24"/>
              </w:rPr>
            </w:pPr>
            <w:r w:rsidRPr="00BD76AF">
              <w:rPr>
                <w:szCs w:val="24"/>
              </w:rPr>
              <w:t>À l’achèvement des Installations ou à toute autre date antérieure laissée à la discrétion du Maître d’ouvrage, ce dernier doit notifier à l’Entrepreneur sa décision de lui rendre les Équipements de l’Entrepreneur sur le Site ou à proximité du Site, et les lui rendre conformément à cette notification. L’Entrepreneur doit alors, sans délai et à ses frais, enlever ou faire enlever les équipements du Site.</w:t>
            </w:r>
          </w:p>
          <w:p w14:paraId="71AF5CA2" w14:textId="77777777" w:rsidR="00F332DA" w:rsidRPr="00BD76AF" w:rsidRDefault="00F332DA" w:rsidP="006C17DF">
            <w:pPr>
              <w:spacing w:after="200"/>
              <w:ind w:left="1440" w:hanging="839"/>
              <w:rPr>
                <w:szCs w:val="24"/>
              </w:rPr>
            </w:pPr>
            <w:r w:rsidRPr="00BD76AF">
              <w:rPr>
                <w:szCs w:val="24"/>
              </w:rPr>
              <w:t>42.2.5</w:t>
            </w:r>
            <w:r w:rsidRPr="00BD76AF">
              <w:rPr>
                <w:szCs w:val="24"/>
              </w:rPr>
              <w:tab/>
              <w:t>Sous réserve de l’Article 42.2.6 des CG, l’Entrepreneur doit être en droit de recevoir paiement du Montant du Marché imputable aux Installations exécutées à la date de la résiliation, de la valeur de tout Équipement inutilisé ou partiellement utilisé sur le Site et, le cas échéant, des frais engagés pour protéger les Installations et laisser le Site en ordre et dans un parfait état de propreté et de sécurité conformément à l’alinéa a) de l’Article 42.2.3 des CG. Toute somme due par l’Entrepreneur au Maître d’ouvrage à la date de résiliation doit être déduite du montant à payer à l’Entrepreneur en vertu du Marché.</w:t>
            </w:r>
          </w:p>
          <w:p w14:paraId="6F81B107" w14:textId="77777777" w:rsidR="00F332DA" w:rsidRPr="00BD76AF" w:rsidRDefault="00F332DA" w:rsidP="00DC426C">
            <w:pPr>
              <w:spacing w:afterLines="50" w:after="120"/>
              <w:ind w:left="1440" w:hanging="839"/>
              <w:rPr>
                <w:szCs w:val="24"/>
              </w:rPr>
            </w:pPr>
            <w:r w:rsidRPr="00BD76AF">
              <w:rPr>
                <w:szCs w:val="24"/>
              </w:rPr>
              <w:t>42.2.6</w:t>
            </w:r>
            <w:r w:rsidRPr="00BD76AF">
              <w:rPr>
                <w:szCs w:val="24"/>
              </w:rPr>
              <w:tab/>
              <w:t>Si le Maître d’ouvrage s’engage à achever les Installations, le coût de l’achèvement des Installations par le Maître d’ouvrage devra être déterminé.</w:t>
            </w:r>
          </w:p>
          <w:p w14:paraId="5D715540" w14:textId="77777777" w:rsidR="00F332DA" w:rsidRPr="00BD76AF" w:rsidRDefault="00F332DA" w:rsidP="00DA4FA8">
            <w:pPr>
              <w:spacing w:afterLines="50" w:after="120"/>
              <w:ind w:left="1440"/>
              <w:rPr>
                <w:szCs w:val="24"/>
              </w:rPr>
            </w:pPr>
            <w:r w:rsidRPr="00BD76AF">
              <w:rPr>
                <w:szCs w:val="24"/>
              </w:rPr>
              <w:t>Si la somme que l’Entrepreneur est en droit de recevoir conformément à l’Article 42.2.5 des CG, plus les frais raisonnables engagés par le Maître d’ouvrage pour achever les Installations, est supérieure au Montant du Marché, l’Entrepreneur doit prendre à sa charge ce dépassement.</w:t>
            </w:r>
          </w:p>
          <w:p w14:paraId="5FE04DE4" w14:textId="77777777" w:rsidR="00F332DA" w:rsidRPr="00BD76AF" w:rsidRDefault="00F332DA" w:rsidP="00DA4FA8">
            <w:pPr>
              <w:spacing w:afterLines="50" w:after="120"/>
              <w:ind w:left="1440"/>
              <w:rPr>
                <w:szCs w:val="24"/>
              </w:rPr>
            </w:pPr>
            <w:r w:rsidRPr="00BD76AF">
              <w:rPr>
                <w:szCs w:val="24"/>
              </w:rPr>
              <w:t>Si ce dépassement est supérieur aux sommes dues à l’Entrepreneur conformément à l’Article 42.2.5 des CG, l’Entrepreneur doit verser la différence au Maître d’ouvrage, et si ce dépassement est inférieur aux sommes dues à l’Entrepreneur conformément à l’Article 42.2.5 des CG, le Maître d’ouvrage doit verser la différence à l’Entrepreneur.</w:t>
            </w:r>
          </w:p>
          <w:p w14:paraId="3B191545" w14:textId="77777777" w:rsidR="00F332DA" w:rsidRPr="00BD76AF" w:rsidRDefault="00F332DA" w:rsidP="006C17DF">
            <w:pPr>
              <w:spacing w:after="200"/>
              <w:ind w:left="1440"/>
              <w:rPr>
                <w:szCs w:val="24"/>
              </w:rPr>
            </w:pPr>
            <w:r w:rsidRPr="00BD76AF">
              <w:rPr>
                <w:szCs w:val="24"/>
              </w:rPr>
              <w:t>Le Maître d’ouvrage et l’Entrepreneur doivent convenir par écrit du calcul mentionné ci-dessus et de la façon dont les sommes seront payées.</w:t>
            </w:r>
          </w:p>
          <w:p w14:paraId="4C51D20E" w14:textId="77777777" w:rsidR="00F332DA" w:rsidRPr="00BD76AF" w:rsidRDefault="00F332DA" w:rsidP="009449A5">
            <w:pPr>
              <w:spacing w:afterLines="50" w:after="120"/>
              <w:ind w:left="576" w:hanging="576"/>
              <w:rPr>
                <w:u w:val="single"/>
              </w:rPr>
            </w:pPr>
            <w:r w:rsidRPr="00BD76AF">
              <w:t>42.3</w:t>
            </w:r>
            <w:r w:rsidRPr="00BD76AF">
              <w:tab/>
            </w:r>
            <w:r w:rsidRPr="00BD76AF">
              <w:rPr>
                <w:szCs w:val="24"/>
                <w:u w:val="single"/>
              </w:rPr>
              <w:t>Résiliation par l’Entrepreneur</w:t>
            </w:r>
          </w:p>
          <w:p w14:paraId="79F442B1" w14:textId="77777777" w:rsidR="00F332DA" w:rsidRPr="00BD76AF" w:rsidRDefault="00F332DA" w:rsidP="009449A5">
            <w:pPr>
              <w:spacing w:afterLines="50" w:after="120"/>
              <w:ind w:leftChars="240" w:left="1392" w:hangingChars="340" w:hanging="816"/>
            </w:pPr>
            <w:r w:rsidRPr="00BD76AF">
              <w:t>42.3.1</w:t>
            </w:r>
            <w:r w:rsidRPr="00BD76AF">
              <w:tab/>
            </w:r>
            <w:r w:rsidRPr="00BD76AF">
              <w:rPr>
                <w:szCs w:val="24"/>
              </w:rPr>
              <w:t xml:space="preserve">Si </w:t>
            </w:r>
            <w:r w:rsidRPr="00BD76AF">
              <w:t>:</w:t>
            </w:r>
          </w:p>
          <w:p w14:paraId="2AAF77D0" w14:textId="77777777" w:rsidR="00F332DA" w:rsidRPr="00BD76AF" w:rsidRDefault="00F332DA" w:rsidP="003D46CF">
            <w:pPr>
              <w:pStyle w:val="aff7"/>
              <w:numPr>
                <w:ilvl w:val="0"/>
                <w:numId w:val="91"/>
              </w:numPr>
              <w:spacing w:afterLines="50" w:after="120" w:line="0" w:lineRule="atLeast"/>
              <w:ind w:leftChars="0" w:left="1979" w:right="34" w:hanging="539"/>
              <w:rPr>
                <w:rFonts w:ascii="Times New Roman" w:hAnsi="Times New Roman"/>
                <w:sz w:val="24"/>
                <w:szCs w:val="24"/>
                <w:lang w:val="fr-FR"/>
              </w:rPr>
            </w:pPr>
            <w:r w:rsidRPr="00BD76AF">
              <w:rPr>
                <w:rFonts w:ascii="Times New Roman" w:hAnsi="Times New Roman"/>
                <w:sz w:val="24"/>
                <w:szCs w:val="24"/>
                <w:lang w:val="fr-FR"/>
              </w:rPr>
              <w:t>l’Entrepreneur ne reçoit pas les instructions du Directeur de projet conformément à l’Article 8.1 des CG dans un délai de cent quatre-vingt (180) jours suite à la réception par l’Entrepreneur de la Lettre d’acceptation de l’offre ;</w:t>
            </w:r>
          </w:p>
          <w:p w14:paraId="2894359D" w14:textId="77777777" w:rsidR="00F332DA" w:rsidRPr="00BD76AF" w:rsidRDefault="00F332DA" w:rsidP="003D46CF">
            <w:pPr>
              <w:pStyle w:val="aff7"/>
              <w:numPr>
                <w:ilvl w:val="0"/>
                <w:numId w:val="91"/>
              </w:numPr>
              <w:spacing w:afterLines="50" w:after="120" w:line="0" w:lineRule="atLeast"/>
              <w:ind w:leftChars="0" w:left="1979" w:right="34" w:hanging="539"/>
              <w:rPr>
                <w:rFonts w:ascii="Times New Roman" w:hAnsi="Times New Roman"/>
                <w:sz w:val="24"/>
                <w:szCs w:val="24"/>
                <w:lang w:val="fr-FR"/>
              </w:rPr>
            </w:pPr>
            <w:r w:rsidRPr="00BD76AF">
              <w:rPr>
                <w:rFonts w:ascii="Times New Roman" w:hAnsi="Times New Roman"/>
                <w:sz w:val="24"/>
                <w:szCs w:val="24"/>
                <w:lang w:val="fr-FR"/>
              </w:rPr>
              <w:t>l’Entrepreneur est dans l’incapacité de remplir l’une de ses obligations en vertu du Marché pour une raison quelconque imputable au Maître d’ouvrage, y compris, mais sans s’y limiter, le fait que le Maître d’ouvrage ne lui donne pas possession du ou accès au Site ou d’autres lieux, ou ne peut pas obtenir une autorisation gouvernementale nécessaire à l’exécution et à l’achèvement des Installations ;</w:t>
            </w:r>
          </w:p>
          <w:p w14:paraId="58D993B6" w14:textId="77777777" w:rsidR="00F332DA" w:rsidRPr="00BD76AF" w:rsidRDefault="00F332DA" w:rsidP="003D46CF">
            <w:pPr>
              <w:pStyle w:val="aff7"/>
              <w:numPr>
                <w:ilvl w:val="0"/>
                <w:numId w:val="91"/>
              </w:numPr>
              <w:spacing w:afterLines="50" w:after="120" w:line="0" w:lineRule="atLeast"/>
              <w:ind w:leftChars="0" w:left="1979" w:right="34" w:hanging="539"/>
              <w:rPr>
                <w:rFonts w:ascii="Times New Roman" w:hAnsi="Times New Roman"/>
                <w:sz w:val="24"/>
                <w:szCs w:val="24"/>
                <w:lang w:val="fr-FR"/>
              </w:rPr>
            </w:pPr>
            <w:r w:rsidRPr="00BD76AF">
              <w:rPr>
                <w:rFonts w:ascii="Times New Roman" w:hAnsi="Times New Roman"/>
                <w:sz w:val="24"/>
                <w:szCs w:val="24"/>
                <w:lang w:val="fr-FR"/>
              </w:rPr>
              <w:t>le Maître d’ouvrage n’a pas réglé à l’Entrepreneur toute somme qui lui est due en vertu du Marché dans le délai indiqué, n’a pas approuvé une facture ou des pièces justificatives sans raison valable, conformément à l’Annexe 1 (</w:t>
            </w:r>
            <w:r w:rsidRPr="00BD76AF">
              <w:rPr>
                <w:rFonts w:ascii="Times New Roman" w:hAnsi="Times New Roman"/>
                <w:i/>
                <w:sz w:val="24"/>
                <w:szCs w:val="24"/>
                <w:lang w:val="fr-FR"/>
              </w:rPr>
              <w:t>Conditions et procédures de règlement</w:t>
            </w:r>
            <w:r w:rsidRPr="00BD76AF">
              <w:rPr>
                <w:rFonts w:ascii="Times New Roman" w:hAnsi="Times New Roman"/>
                <w:sz w:val="24"/>
                <w:szCs w:val="24"/>
                <w:lang w:val="fr-FR"/>
              </w:rPr>
              <w:t>) de l’Acte d’engagement, ou commet un manquement important au Marché, l’Entrepreneur peut adresser une notification au Maître d’ouvrage, requérant le paiement de cette somme et de ses intérêts de retard conformément à l’Article 12.4 (</w:t>
            </w:r>
            <w:r w:rsidRPr="00BD76AF">
              <w:rPr>
                <w:rFonts w:ascii="Times New Roman" w:hAnsi="Times New Roman"/>
                <w:i/>
                <w:sz w:val="24"/>
                <w:szCs w:val="24"/>
                <w:lang w:val="fr-FR"/>
              </w:rPr>
              <w:t>Retard de paiement</w:t>
            </w:r>
            <w:r w:rsidRPr="00BD76AF">
              <w:rPr>
                <w:rFonts w:ascii="Times New Roman" w:hAnsi="Times New Roman"/>
                <w:sz w:val="24"/>
                <w:szCs w:val="24"/>
                <w:lang w:val="fr-FR"/>
              </w:rPr>
              <w:t>) des CG ou requérant l’approbation de cette facture et des pièces justificatives, ou indiquant le manquement et demandant au Maître d’ouvrage d’y remédier, selon le cas. Si le Maître d’ouvrage ne règle pas cette somme et ses intérêts, n’approuve pas la facture ou les pièces justificatives et ne communique pas les raisons justifiant son refus d’approbation, ou ne remédie pas à ce manquement ou ne prend aucune mesure pour y remédier dans un délai de quatorze (14) jours suivant réception de la notification par l’Entrepreneur ; ou</w:t>
            </w:r>
          </w:p>
          <w:p w14:paraId="2E04987E" w14:textId="77777777" w:rsidR="00F332DA" w:rsidRPr="00BD76AF" w:rsidRDefault="00F332DA" w:rsidP="003D46CF">
            <w:pPr>
              <w:pStyle w:val="aff7"/>
              <w:numPr>
                <w:ilvl w:val="0"/>
                <w:numId w:val="91"/>
              </w:numPr>
              <w:spacing w:afterLines="50" w:after="120" w:line="0" w:lineRule="atLeast"/>
              <w:ind w:leftChars="0" w:left="1979" w:right="34" w:hanging="539"/>
              <w:rPr>
                <w:rFonts w:ascii="Times New Roman" w:hAnsi="Times New Roman"/>
                <w:sz w:val="24"/>
                <w:szCs w:val="24"/>
                <w:lang w:val="fr-FR"/>
              </w:rPr>
            </w:pPr>
            <w:r w:rsidRPr="00BD76AF">
              <w:rPr>
                <w:rFonts w:ascii="Times New Roman" w:hAnsi="Times New Roman"/>
                <w:sz w:val="24"/>
                <w:szCs w:val="24"/>
                <w:lang w:val="fr-FR"/>
              </w:rPr>
              <w:t>l’Entrepreneur ne reçoit pas de justificatifs raisonnables dans un délai de quarante-deux (42) jours après avoir délivré la notification selon l’Article 41.2 (</w:t>
            </w:r>
            <w:r w:rsidRPr="00BD76AF">
              <w:rPr>
                <w:rFonts w:ascii="Times New Roman" w:hAnsi="Times New Roman"/>
                <w:i/>
                <w:sz w:val="24"/>
                <w:szCs w:val="24"/>
                <w:lang w:val="fr-FR"/>
              </w:rPr>
              <w:t>Suspension par l´Entrepreneur</w:t>
            </w:r>
            <w:r w:rsidRPr="00BD76AF">
              <w:rPr>
                <w:rFonts w:ascii="Times New Roman" w:hAnsi="Times New Roman"/>
                <w:sz w:val="24"/>
                <w:szCs w:val="24"/>
                <w:lang w:val="fr-FR"/>
              </w:rPr>
              <w:t>) des CG concernant le non-respect de l’Article 10.5 des CG,</w:t>
            </w:r>
          </w:p>
          <w:p w14:paraId="015AD86B" w14:textId="77777777" w:rsidR="00F332DA" w:rsidRPr="00BD76AF" w:rsidRDefault="00F332DA" w:rsidP="000123A8">
            <w:pPr>
              <w:spacing w:afterLines="50" w:after="120"/>
              <w:ind w:left="1442" w:right="34"/>
              <w:rPr>
                <w:szCs w:val="24"/>
              </w:rPr>
            </w:pPr>
            <w:r w:rsidRPr="00BD76AF">
              <w:rPr>
                <w:szCs w:val="24"/>
              </w:rPr>
              <w:t>l’Entrepreneur peut en aviser le Maître d’ouvrage et, si le Maître d’ouvrage n’a pas payé la somme à régler ou n’a pas approuvé la facture ou les pièces justificatives ni fourni les motifs de son refus d’approbation ou n’a pas remédié au manquement de ses obligations contractuelles dans un délai de vingt-huit (28) jours suivant cette notification, ou si l’Entrepreneur est toujours dans l’incapacité de remplir l’une de ses obligations aux termes du Marché, pour une raison imputable au Maître d’ouvrage, dans un délai de vingt-huit (28) jours suivant la notification, l’Entrepreneur peut immédiatement résilier le Marché en adressant au Maître d’ouvrage une seconde notification faisant référence à cet Article 42.3.1 des CG.</w:t>
            </w:r>
          </w:p>
          <w:p w14:paraId="152D2EA8" w14:textId="77777777" w:rsidR="00F332DA" w:rsidRPr="00BD76AF" w:rsidRDefault="00F332DA" w:rsidP="0079334B">
            <w:pPr>
              <w:ind w:left="1440"/>
              <w:rPr>
                <w:szCs w:val="24"/>
              </w:rPr>
            </w:pPr>
            <w:r w:rsidRPr="00BD76AF">
              <w:rPr>
                <w:szCs w:val="24"/>
              </w:rPr>
              <w:t>Au cas où la JICA suspend le prêt ou le crédit à partir duquel une partie ou la totalité des paiements à l’Entrepreneur sont effectués, si l’Entrepreneur n’a pas reçu les sommes qui lui sont dues à l’expiration du délai de quatorze (14) jours visé à l’Article 12.2 (</w:t>
            </w:r>
            <w:r w:rsidRPr="00BD76AF">
              <w:rPr>
                <w:i/>
                <w:szCs w:val="24"/>
              </w:rPr>
              <w:t>Paiement</w:t>
            </w:r>
            <w:r w:rsidRPr="00BD76AF">
              <w:rPr>
                <w:szCs w:val="24"/>
              </w:rPr>
              <w:t>) des CG, l’Entrepreneur peut, sans porter préjudice à son droit à intérêts de retard conformément à l’Article 12.4 (</w:t>
            </w:r>
            <w:r w:rsidRPr="00BD76AF">
              <w:rPr>
                <w:i/>
                <w:szCs w:val="24"/>
              </w:rPr>
              <w:t>Retard de paiement</w:t>
            </w:r>
            <w:r w:rsidRPr="00BD76AF">
              <w:rPr>
                <w:szCs w:val="24"/>
              </w:rPr>
              <w:t>) des CG, prendre une des dispositions suivantes, à savoir :</w:t>
            </w:r>
          </w:p>
          <w:p w14:paraId="016395D7" w14:textId="77777777" w:rsidR="00F332DA" w:rsidRPr="00BD76AF" w:rsidRDefault="00F332DA" w:rsidP="003D46CF">
            <w:pPr>
              <w:pStyle w:val="aff7"/>
              <w:numPr>
                <w:ilvl w:val="0"/>
                <w:numId w:val="90"/>
              </w:numPr>
              <w:spacing w:afterLines="50" w:after="120" w:line="0" w:lineRule="atLeast"/>
              <w:ind w:leftChars="0"/>
              <w:rPr>
                <w:rFonts w:ascii="Times New Roman" w:hAnsi="Times New Roman"/>
                <w:sz w:val="24"/>
                <w:szCs w:val="24"/>
                <w:lang w:val="fr-FR" w:eastAsia="fr-FR"/>
              </w:rPr>
            </w:pPr>
            <w:r w:rsidRPr="00BD76AF">
              <w:rPr>
                <w:rFonts w:ascii="Times New Roman" w:hAnsi="Times New Roman"/>
                <w:sz w:val="24"/>
                <w:szCs w:val="24"/>
                <w:lang w:val="fr-FR" w:eastAsia="fr-FR"/>
              </w:rPr>
              <w:t>suspendre les travaux ou réduire la cadence des travaux selon l’Article 41.2 (</w:t>
            </w:r>
            <w:r w:rsidRPr="00BD76AF">
              <w:rPr>
                <w:rFonts w:ascii="Times New Roman" w:hAnsi="Times New Roman"/>
                <w:i/>
                <w:sz w:val="24"/>
                <w:szCs w:val="24"/>
                <w:lang w:val="fr-FR" w:eastAsia="fr-FR"/>
              </w:rPr>
              <w:t>Suspension par l’Entrepreneur</w:t>
            </w:r>
            <w:r w:rsidRPr="00BD76AF">
              <w:rPr>
                <w:rFonts w:ascii="Times New Roman" w:hAnsi="Times New Roman"/>
                <w:sz w:val="24"/>
                <w:szCs w:val="24"/>
                <w:lang w:val="fr-FR" w:eastAsia="fr-FR"/>
              </w:rPr>
              <w:t>) ci-dessus, ou</w:t>
            </w:r>
          </w:p>
          <w:p w14:paraId="6477F790" w14:textId="77777777" w:rsidR="00F332DA" w:rsidRPr="00BD76AF" w:rsidRDefault="00F332DA" w:rsidP="003D46CF">
            <w:pPr>
              <w:pStyle w:val="aff7"/>
              <w:numPr>
                <w:ilvl w:val="0"/>
                <w:numId w:val="90"/>
              </w:numPr>
              <w:spacing w:after="200" w:line="0" w:lineRule="atLeast"/>
              <w:ind w:leftChars="0"/>
              <w:rPr>
                <w:szCs w:val="24"/>
                <w:lang w:val="fr-FR"/>
              </w:rPr>
            </w:pPr>
            <w:r w:rsidRPr="00BD76AF">
              <w:rPr>
                <w:rFonts w:ascii="Times New Roman" w:hAnsi="Times New Roman"/>
                <w:sz w:val="24"/>
                <w:szCs w:val="24"/>
                <w:lang w:val="fr-FR" w:eastAsia="fr-FR"/>
              </w:rPr>
              <w:t>résilier le</w:t>
            </w:r>
            <w:r w:rsidRPr="00BD76AF">
              <w:rPr>
                <w:rFonts w:ascii="Times New Roman" w:hAnsi="Times New Roman" w:hint="eastAsia"/>
                <w:sz w:val="24"/>
                <w:szCs w:val="24"/>
                <w:lang w:val="fr-FR"/>
              </w:rPr>
              <w:t xml:space="preserve"> </w:t>
            </w:r>
            <w:r w:rsidRPr="00BD76AF">
              <w:rPr>
                <w:rFonts w:ascii="Times New Roman" w:hAnsi="Times New Roman"/>
                <w:sz w:val="24"/>
                <w:szCs w:val="24"/>
                <w:lang w:val="fr-FR" w:eastAsia="fr-FR"/>
              </w:rPr>
              <w:t>Marché en notifiant le Maître d’ouvrage, avec copie au Directeur de projet, ladite résiliation ne prenant effet que quatorze (14) jours après la communication de cette notification</w:t>
            </w:r>
            <w:r w:rsidRPr="00BD76AF">
              <w:rPr>
                <w:rFonts w:ascii="Times New Roman" w:hAnsi="Times New Roman"/>
                <w:sz w:val="24"/>
                <w:szCs w:val="24"/>
                <w:lang w:val="fr-FR"/>
              </w:rPr>
              <w:t>.</w:t>
            </w:r>
          </w:p>
          <w:p w14:paraId="69613613" w14:textId="77777777" w:rsidR="00F332DA" w:rsidRPr="00BD76AF" w:rsidRDefault="00F332DA" w:rsidP="00BB03ED">
            <w:pPr>
              <w:spacing w:after="200"/>
              <w:ind w:left="1440" w:hanging="839"/>
              <w:rPr>
                <w:szCs w:val="24"/>
              </w:rPr>
            </w:pPr>
            <w:r w:rsidRPr="00BD76AF">
              <w:rPr>
                <w:szCs w:val="24"/>
              </w:rPr>
              <w:t>42.3.2</w:t>
            </w:r>
            <w:r w:rsidRPr="00BD76AF">
              <w:rPr>
                <w:szCs w:val="24"/>
              </w:rPr>
              <w:tab/>
              <w:t>Si le Maître d’ouvrage fait faillite ou devient insolvable, fait l’objet d’une ordonnance de mise sous séquestre, s’entend avec ses créanciers, ou, si le Maître d’ouvrage est une société, il est mis en liquidation judiciaire par ordonnance (autre qu’une liquidation volontaire pour cause de fusion ou de restructuration), ou si un administrateur judiciaire est nommé pour administrer une partie quelconque de son entreprise ou de ses actifs, ou si le Maître d’ouvrage fait l’objet de toute autre action similaire ou prend des mesures analogues pour cause de dettes, l’Entrepreneur peut résilier le Marché en adressant au Maître d’ouvrage une notification à cet effet, faisant référence à cet Article 42.3.2 des CG.</w:t>
            </w:r>
          </w:p>
          <w:p w14:paraId="51647408" w14:textId="77777777" w:rsidR="00F332DA" w:rsidRPr="00BD76AF" w:rsidRDefault="00F332DA" w:rsidP="00DC426C">
            <w:pPr>
              <w:spacing w:afterLines="50" w:after="120"/>
              <w:ind w:left="1440" w:hanging="839"/>
              <w:rPr>
                <w:szCs w:val="24"/>
              </w:rPr>
            </w:pPr>
            <w:r w:rsidRPr="00BD76AF">
              <w:rPr>
                <w:szCs w:val="24"/>
              </w:rPr>
              <w:t>42.3.3</w:t>
            </w:r>
            <w:r w:rsidRPr="00BD76AF">
              <w:rPr>
                <w:szCs w:val="24"/>
              </w:rPr>
              <w:tab/>
              <w:t>Si le Marché est résilié conformément aux Articles 42.3.1 ou 42.3.2 des CG, l’Entrepreneur doit immédiatement :</w:t>
            </w:r>
          </w:p>
          <w:p w14:paraId="15C43DC9" w14:textId="77777777" w:rsidR="00F332DA" w:rsidRPr="00BD76AF" w:rsidRDefault="00F332DA" w:rsidP="00722458">
            <w:pPr>
              <w:spacing w:afterLines="50" w:after="120"/>
              <w:ind w:left="1865" w:hanging="425"/>
              <w:rPr>
                <w:szCs w:val="24"/>
              </w:rPr>
            </w:pPr>
            <w:r w:rsidRPr="00BD76AF">
              <w:rPr>
                <w:szCs w:val="24"/>
              </w:rPr>
              <w:t>a)</w:t>
            </w:r>
            <w:r w:rsidRPr="00BD76AF">
              <w:rPr>
                <w:szCs w:val="24"/>
              </w:rPr>
              <w:tab/>
              <w:t xml:space="preserve">cesser tout travail, à l’exception des travaux nécessaires pour protéger la partie des Installations déjà exécutée ou tout travail requis pour que le Site soit laissé en ordre et dans un parfait état de propreté et de sécurité ; </w:t>
            </w:r>
          </w:p>
          <w:p w14:paraId="24830A8F" w14:textId="77777777" w:rsidR="00F332DA" w:rsidRPr="00BD76AF" w:rsidRDefault="00F332DA" w:rsidP="00722458">
            <w:pPr>
              <w:spacing w:afterLines="50" w:after="120"/>
              <w:ind w:left="1865" w:hanging="425"/>
              <w:rPr>
                <w:szCs w:val="24"/>
              </w:rPr>
            </w:pPr>
            <w:r w:rsidRPr="00BD76AF">
              <w:rPr>
                <w:szCs w:val="24"/>
              </w:rPr>
              <w:t>b)</w:t>
            </w:r>
            <w:r w:rsidRPr="00BD76AF">
              <w:rPr>
                <w:szCs w:val="24"/>
              </w:rPr>
              <w:tab/>
              <w:t xml:space="preserve">résilier les contrats de sous-traitance, à l’exception de ceux devant être cédés au Maître d’ouvrage conformément à l’alinéa d) ii) ci-dessous ; </w:t>
            </w:r>
          </w:p>
          <w:p w14:paraId="5238CED0" w14:textId="77777777" w:rsidR="00F332DA" w:rsidRPr="00BD76AF" w:rsidRDefault="00F332DA" w:rsidP="00722458">
            <w:pPr>
              <w:spacing w:afterLines="50" w:after="120"/>
              <w:ind w:left="1865" w:hanging="425"/>
              <w:rPr>
                <w:szCs w:val="24"/>
              </w:rPr>
            </w:pPr>
            <w:r w:rsidRPr="00BD76AF">
              <w:rPr>
                <w:szCs w:val="24"/>
              </w:rPr>
              <w:t>c)</w:t>
            </w:r>
            <w:r w:rsidRPr="00BD76AF">
              <w:rPr>
                <w:szCs w:val="24"/>
              </w:rPr>
              <w:tab/>
              <w:t>retirer du Site tous les Équipements de l’Entrepreneur et rapatrier le personnel de l’Entrepreneur et des Sous-traitants présent sur le Site ; et</w:t>
            </w:r>
          </w:p>
          <w:p w14:paraId="6862EA9C" w14:textId="77777777" w:rsidR="00F332DA" w:rsidRPr="00BD76AF" w:rsidRDefault="00F332DA" w:rsidP="00722458">
            <w:pPr>
              <w:spacing w:afterLines="50" w:after="120"/>
              <w:ind w:left="1865" w:hanging="425"/>
              <w:rPr>
                <w:szCs w:val="24"/>
              </w:rPr>
            </w:pPr>
            <w:r w:rsidRPr="00BD76AF">
              <w:rPr>
                <w:szCs w:val="24"/>
              </w:rPr>
              <w:t>d)</w:t>
            </w:r>
            <w:r w:rsidRPr="00BD76AF">
              <w:rPr>
                <w:szCs w:val="24"/>
              </w:rPr>
              <w:tab/>
              <w:t>sous réserve du paiement spécifié à l’Article 42.3.4 des CG:</w:t>
            </w:r>
          </w:p>
          <w:p w14:paraId="35CF55D6" w14:textId="77777777" w:rsidR="00F332DA" w:rsidRPr="00BD76AF" w:rsidRDefault="00F332DA" w:rsidP="00722458">
            <w:pPr>
              <w:spacing w:afterLines="50" w:after="120"/>
              <w:ind w:left="2290" w:hanging="425"/>
              <w:rPr>
                <w:szCs w:val="24"/>
              </w:rPr>
            </w:pPr>
            <w:r w:rsidRPr="00BD76AF">
              <w:rPr>
                <w:szCs w:val="24"/>
              </w:rPr>
              <w:t>i)</w:t>
            </w:r>
            <w:r w:rsidRPr="00BD76AF">
              <w:rPr>
                <w:szCs w:val="24"/>
              </w:rPr>
              <w:tab/>
              <w:t xml:space="preserve">livrer au Maître d’ouvrage les parties des Installations exécutées par l’Entrepreneur à la date de résiliation ; </w:t>
            </w:r>
          </w:p>
          <w:p w14:paraId="6E1CD38C" w14:textId="77777777" w:rsidR="00F332DA" w:rsidRPr="00BD76AF" w:rsidRDefault="00F332DA" w:rsidP="00722458">
            <w:pPr>
              <w:spacing w:afterLines="50" w:after="120"/>
              <w:ind w:left="2290" w:hanging="425"/>
              <w:rPr>
                <w:szCs w:val="24"/>
              </w:rPr>
            </w:pPr>
            <w:r w:rsidRPr="00BD76AF">
              <w:rPr>
                <w:szCs w:val="24"/>
              </w:rPr>
              <w:t>ii)</w:t>
            </w:r>
            <w:r w:rsidRPr="00BD76AF">
              <w:rPr>
                <w:szCs w:val="24"/>
              </w:rPr>
              <w:tab/>
              <w:t>dans la mesure où cela est juridiquement possible, céder au Maître d’ouvrage tout droit, titre et avantage détenu par l’Entrepreneur sur les Installations et sur les Équipements à la date de résiliation et, si le Maître d’ouvrage l’exige, sur tous les contrats de sous-traitance entre l’Entrepreneur et ses Sous-traitants ; et</w:t>
            </w:r>
          </w:p>
          <w:p w14:paraId="62EC95C6" w14:textId="77777777" w:rsidR="00F332DA" w:rsidRPr="00BD76AF" w:rsidRDefault="00F332DA" w:rsidP="00643454">
            <w:pPr>
              <w:spacing w:after="200"/>
              <w:ind w:left="2290" w:hanging="425"/>
              <w:rPr>
                <w:szCs w:val="24"/>
              </w:rPr>
            </w:pPr>
            <w:r w:rsidRPr="00BD76AF">
              <w:rPr>
                <w:szCs w:val="24"/>
              </w:rPr>
              <w:t>iii)</w:t>
            </w:r>
            <w:r w:rsidRPr="00BD76AF">
              <w:rPr>
                <w:szCs w:val="24"/>
              </w:rPr>
              <w:tab/>
              <w:t>remettre au Maître d’ouvrage tous les plans, spécifications et autres documents concernant les Installations, préparés par l’Entrepreneur et ses Sous-traitants jusqu’à la date de résiliation.</w:t>
            </w:r>
          </w:p>
          <w:p w14:paraId="293AA6C5" w14:textId="77777777" w:rsidR="00F332DA" w:rsidRPr="00BD76AF" w:rsidRDefault="00F332DA" w:rsidP="00643454">
            <w:pPr>
              <w:spacing w:after="200"/>
              <w:ind w:left="1440" w:hanging="839"/>
              <w:rPr>
                <w:szCs w:val="24"/>
              </w:rPr>
            </w:pPr>
            <w:r w:rsidRPr="00BD76AF">
              <w:rPr>
                <w:szCs w:val="24"/>
              </w:rPr>
              <w:t>42.3.4</w:t>
            </w:r>
            <w:r w:rsidRPr="00BD76AF">
              <w:rPr>
                <w:szCs w:val="24"/>
              </w:rPr>
              <w:tab/>
              <w:t>Si le Marché est résilié conformément aux Articles 42.3.1 ou 42.3.2 des CG, le Maître d’ouvrage doit verser à l’Entrepreneur les montants spécifiés à l’Article 42.1.3 des CG, et une compensation raisonnable pour toute perte ou dommage, à l’exception des pertes de profit, ou dommages subis par l’Entrepreneur par suite de, en relation avec, ou en conséquence de cette résiliation.</w:t>
            </w:r>
          </w:p>
          <w:p w14:paraId="4A1CA53D" w14:textId="77777777" w:rsidR="00F332DA" w:rsidRPr="00BD76AF" w:rsidRDefault="00F332DA" w:rsidP="00643454">
            <w:pPr>
              <w:spacing w:after="200"/>
              <w:ind w:left="1440" w:hanging="839"/>
              <w:rPr>
                <w:szCs w:val="24"/>
              </w:rPr>
            </w:pPr>
            <w:r w:rsidRPr="00BD76AF">
              <w:rPr>
                <w:szCs w:val="24"/>
              </w:rPr>
              <w:t>42.3.5</w:t>
            </w:r>
            <w:r w:rsidRPr="00BD76AF">
              <w:rPr>
                <w:szCs w:val="24"/>
              </w:rPr>
              <w:tab/>
              <w:t>La résiliation par l’Entrepreneur conformément à cet Article 42.3 des CG est sans préjudice des autres droits et recours que l’Entrepreneur peut exercer à la place de ou en plus des droits conférés par cet Article 42.3 des CG.</w:t>
            </w:r>
          </w:p>
          <w:p w14:paraId="47FBEE8D" w14:textId="77777777" w:rsidR="00F332DA" w:rsidRPr="00BD76AF" w:rsidRDefault="00F332DA" w:rsidP="00643454">
            <w:pPr>
              <w:spacing w:after="200"/>
              <w:ind w:left="601" w:hanging="601"/>
              <w:rPr>
                <w:szCs w:val="24"/>
              </w:rPr>
            </w:pPr>
            <w:r w:rsidRPr="00BD76AF">
              <w:rPr>
                <w:szCs w:val="24"/>
              </w:rPr>
              <w:t>42.4</w:t>
            </w:r>
            <w:r w:rsidRPr="00BD76AF">
              <w:rPr>
                <w:szCs w:val="24"/>
              </w:rPr>
              <w:tab/>
              <w:t>Dans cet Article 42 des CG, l’expression « Installations exécutées » doit comprendre tous les travaux exécutés, les Services de montage fournis et l’ensemble des Équipements acquis, ou sujet à une obligation légale d’achat, par l’Entrepreneur et utilisés ou devant être utilisés pour les Installations, jusqu’à la date de résiliation incluse.</w:t>
            </w:r>
          </w:p>
          <w:p w14:paraId="26FB6573" w14:textId="77777777" w:rsidR="00F332DA" w:rsidRPr="00BD76AF" w:rsidRDefault="00F332DA" w:rsidP="00643454">
            <w:pPr>
              <w:spacing w:after="200"/>
              <w:ind w:left="601" w:hanging="601"/>
              <w:rPr>
                <w:szCs w:val="24"/>
              </w:rPr>
            </w:pPr>
            <w:r w:rsidRPr="00BD76AF">
              <w:rPr>
                <w:szCs w:val="24"/>
              </w:rPr>
              <w:t>42.5</w:t>
            </w:r>
            <w:r w:rsidRPr="00BD76AF">
              <w:rPr>
                <w:szCs w:val="24"/>
              </w:rPr>
              <w:tab/>
              <w:t>Dans cet Article 42 des CG, pour le calcul des sommes dues par le Maître d’ouvrage à l’Entrepreneur, toute somme précédemment payée par le Maître d’ouvrage à l’Entrepreneur en vertu du Marché doit être dûment comptabilisée, y compris toute avance versée conformément à l’Annexe 1 (</w:t>
            </w:r>
            <w:r w:rsidRPr="00BD76AF">
              <w:rPr>
                <w:i/>
                <w:szCs w:val="24"/>
              </w:rPr>
              <w:t>Conditions et procédures de règlement</w:t>
            </w:r>
            <w:r w:rsidRPr="00BD76AF">
              <w:rPr>
                <w:szCs w:val="24"/>
              </w:rPr>
              <w:t>) de l’Acte d’engagement.</w:t>
            </w:r>
          </w:p>
        </w:tc>
      </w:tr>
      <w:tr w:rsidR="00F332DA" w:rsidRPr="00BD76AF" w14:paraId="44B6A6A4" w14:textId="77777777" w:rsidTr="005116CE">
        <w:trPr>
          <w:gridBefore w:val="1"/>
        </w:trPr>
        <w:tc>
          <w:tcPr>
            <w:tcW w:w="2352" w:type="dxa"/>
          </w:tcPr>
          <w:p w14:paraId="7A070561" w14:textId="77777777" w:rsidR="00F332DA" w:rsidRPr="00BD76AF" w:rsidRDefault="00F332DA" w:rsidP="007C71D1">
            <w:pPr>
              <w:pStyle w:val="S7Header2"/>
              <w:rPr>
                <w:szCs w:val="24"/>
              </w:rPr>
            </w:pPr>
            <w:bookmarkStart w:id="808" w:name="_Toc102050826"/>
            <w:r w:rsidRPr="00BD76AF">
              <w:rPr>
                <w:szCs w:val="24"/>
              </w:rPr>
              <w:t>43.</w:t>
            </w:r>
            <w:r w:rsidRPr="00BD76AF">
              <w:rPr>
                <w:szCs w:val="24"/>
              </w:rPr>
              <w:tab/>
              <w:t>Cession</w:t>
            </w:r>
            <w:bookmarkEnd w:id="808"/>
          </w:p>
        </w:tc>
        <w:tc>
          <w:tcPr>
            <w:tcW w:w="6936" w:type="dxa"/>
            <w:gridSpan w:val="2"/>
          </w:tcPr>
          <w:p w14:paraId="7A66617B" w14:textId="77777777" w:rsidR="00F332DA" w:rsidRPr="00BD76AF" w:rsidRDefault="00F332DA" w:rsidP="00643454">
            <w:pPr>
              <w:spacing w:after="200"/>
              <w:ind w:left="601" w:hanging="601"/>
              <w:rPr>
                <w:szCs w:val="24"/>
              </w:rPr>
            </w:pPr>
            <w:r w:rsidRPr="00BD76AF">
              <w:rPr>
                <w:szCs w:val="24"/>
              </w:rPr>
              <w:t>43.1</w:t>
            </w:r>
            <w:r w:rsidRPr="00BD76AF">
              <w:rPr>
                <w:szCs w:val="24"/>
              </w:rPr>
              <w:tab/>
              <w:t>Ni le Maître d’ouvrage ni l’Entrepreneur ne doivent, sans le consentement écrit formel de l’autre Partie, qui ne pourra pas être refusé sans motif valable, céder à un tiers le Marché, ou une partie de celui-ci, ou tout droit, avantage, obligation ou intérêt inclus dans celui-ci, en dehors du droit de l’Entrepreneur à céder soit absolument soit par imputation toutes sommes qui lui sont dues ou susceptibles de lui être dues et payables en vertu du Marché.</w:t>
            </w:r>
          </w:p>
        </w:tc>
      </w:tr>
    </w:tbl>
    <w:p w14:paraId="2E23BE44" w14:textId="77777777" w:rsidR="00F332DA" w:rsidRPr="00BD76AF" w:rsidRDefault="00F332DA" w:rsidP="0079334B">
      <w:pPr>
        <w:pStyle w:val="S7Header1"/>
        <w:spacing w:before="240" w:afterLines="100" w:after="240"/>
        <w:rPr>
          <w:sz w:val="32"/>
          <w:szCs w:val="32"/>
        </w:rPr>
      </w:pPr>
      <w:bookmarkStart w:id="809" w:name="_Toc102050827"/>
      <w:r w:rsidRPr="00BD76AF">
        <w:rPr>
          <w:sz w:val="32"/>
          <w:szCs w:val="32"/>
        </w:rPr>
        <w:t xml:space="preserve">I. </w:t>
      </w:r>
      <w:r w:rsidRPr="00BD76AF">
        <w:rPr>
          <w:sz w:val="32"/>
          <w:szCs w:val="32"/>
          <w:lang w:eastAsia="ja-JP"/>
        </w:rPr>
        <w:t xml:space="preserve"> </w:t>
      </w:r>
      <w:r w:rsidRPr="00BD76AF">
        <w:rPr>
          <w:sz w:val="32"/>
          <w:szCs w:val="32"/>
        </w:rPr>
        <w:t>Réclamations, différends et arbitrage</w:t>
      </w:r>
      <w:bookmarkEnd w:id="809"/>
    </w:p>
    <w:tbl>
      <w:tblPr>
        <w:tblW w:w="9288" w:type="dxa"/>
        <w:tblInd w:w="-74" w:type="dxa"/>
        <w:tblLayout w:type="fixed"/>
        <w:tblLook w:val="0000" w:firstRow="0" w:lastRow="0" w:firstColumn="0" w:lastColumn="0" w:noHBand="0" w:noVBand="0"/>
      </w:tblPr>
      <w:tblGrid>
        <w:gridCol w:w="2352"/>
        <w:gridCol w:w="6936"/>
      </w:tblGrid>
      <w:tr w:rsidR="00F332DA" w:rsidRPr="00BD76AF" w14:paraId="52A85613" w14:textId="77777777" w:rsidTr="004D2330">
        <w:tc>
          <w:tcPr>
            <w:tcW w:w="2352" w:type="dxa"/>
          </w:tcPr>
          <w:p w14:paraId="2C4704A1" w14:textId="77777777" w:rsidR="00F332DA" w:rsidRPr="00BD76AF" w:rsidRDefault="00F332DA" w:rsidP="007C71D1">
            <w:pPr>
              <w:pStyle w:val="S7Header2"/>
              <w:rPr>
                <w:szCs w:val="24"/>
              </w:rPr>
            </w:pPr>
            <w:bookmarkStart w:id="810" w:name="_Toc102050828"/>
            <w:r w:rsidRPr="00BD76AF">
              <w:rPr>
                <w:szCs w:val="24"/>
              </w:rPr>
              <w:t>44.</w:t>
            </w:r>
            <w:r w:rsidRPr="00BD76AF">
              <w:rPr>
                <w:szCs w:val="24"/>
              </w:rPr>
              <w:tab/>
              <w:t>Réclamation de l’Entrepreneur</w:t>
            </w:r>
            <w:bookmarkEnd w:id="810"/>
          </w:p>
          <w:p w14:paraId="3B896ABB" w14:textId="77777777" w:rsidR="00F332DA" w:rsidRPr="00BD76AF" w:rsidRDefault="00F332DA" w:rsidP="007C71D1">
            <w:pPr>
              <w:pStyle w:val="S7Header2"/>
              <w:rPr>
                <w:szCs w:val="24"/>
              </w:rPr>
            </w:pPr>
          </w:p>
        </w:tc>
        <w:tc>
          <w:tcPr>
            <w:tcW w:w="6936" w:type="dxa"/>
          </w:tcPr>
          <w:p w14:paraId="21D06466" w14:textId="77777777" w:rsidR="00F332DA" w:rsidRPr="00BD76AF" w:rsidRDefault="00F332DA" w:rsidP="0079334B">
            <w:pPr>
              <w:spacing w:afterLines="50" w:after="120"/>
              <w:ind w:left="601" w:hanging="601"/>
              <w:rPr>
                <w:szCs w:val="24"/>
              </w:rPr>
            </w:pPr>
            <w:r w:rsidRPr="00BD76AF">
              <w:rPr>
                <w:szCs w:val="24"/>
              </w:rPr>
              <w:t>44.1</w:t>
            </w:r>
            <w:r w:rsidRPr="00BD76AF">
              <w:rPr>
                <w:szCs w:val="24"/>
                <w:lang w:eastAsia="ja-JP"/>
              </w:rPr>
              <w:tab/>
            </w:r>
            <w:r w:rsidRPr="00BD76AF">
              <w:rPr>
                <w:szCs w:val="24"/>
              </w:rPr>
              <w:t xml:space="preserve">Si l’Entrepreneur considère qu’il est en droit de bénéficier d’une prolongation du Délai d’achèvement et/ou de recevoir un paiement supplémentaire, conformément à l’un quelconque des Articles de ces Conditions </w:t>
            </w:r>
            <w:r w:rsidRPr="00BD76AF">
              <w:t>du Marché</w:t>
            </w:r>
            <w:r w:rsidRPr="00BD76AF">
              <w:rPr>
                <w:szCs w:val="24"/>
              </w:rPr>
              <w:t xml:space="preserve"> ou pour toute autre raison en relation avec le Marché, l’Entrepreneur doit adresser une notification au Directeur de projet, décrivant l’événement ou la circonstance donnant lieu à la réclamation. La notification doit être adressée dès que possible et au plus tard vingt-huit (28) jours après que l’Entrepreneur a eu connaissance ou aurait dû avoir connaissance de cet événement ou circonstance.</w:t>
            </w:r>
          </w:p>
        </w:tc>
      </w:tr>
      <w:tr w:rsidR="00F332DA" w:rsidRPr="00BD76AF" w14:paraId="26883D43" w14:textId="77777777" w:rsidTr="004D2330">
        <w:tc>
          <w:tcPr>
            <w:tcW w:w="2352" w:type="dxa"/>
          </w:tcPr>
          <w:p w14:paraId="1EFAF983" w14:textId="77777777" w:rsidR="00F332DA" w:rsidRPr="00BD76AF" w:rsidRDefault="00F332DA" w:rsidP="007C71D1">
            <w:pPr>
              <w:pStyle w:val="S7Header2"/>
              <w:rPr>
                <w:szCs w:val="24"/>
              </w:rPr>
            </w:pPr>
          </w:p>
        </w:tc>
        <w:tc>
          <w:tcPr>
            <w:tcW w:w="6936" w:type="dxa"/>
          </w:tcPr>
          <w:p w14:paraId="1D42CB91" w14:textId="77777777" w:rsidR="00F332DA" w:rsidRPr="00BD76AF" w:rsidRDefault="00F332DA" w:rsidP="00052E7C">
            <w:pPr>
              <w:spacing w:afterLines="50" w:after="120"/>
              <w:ind w:left="601"/>
              <w:rPr>
                <w:szCs w:val="24"/>
              </w:rPr>
            </w:pPr>
            <w:r w:rsidRPr="00BD76AF">
              <w:rPr>
                <w:szCs w:val="24"/>
              </w:rPr>
              <w:t xml:space="preserve">Si l’Entrepreneur n’adresse aucune notification dans ce délai de vingt-huit (28) jours, le Délai d’achèvement ne doit pas être prorogé, l’Entrepreneur n’est en droit de recevoir aucun </w:t>
            </w:r>
            <w:r w:rsidRPr="00BD76AF">
              <w:t>paiement</w:t>
            </w:r>
            <w:r w:rsidRPr="00BD76AF">
              <w:rPr>
                <w:szCs w:val="24"/>
              </w:rPr>
              <w:t xml:space="preserve"> supplémentaire et le Maître d’ouvrage doit être déchargé de toute responsabilité concernant la réclamation. Dans le cas contraire, les dispositions suivantes s’appliqueront.</w:t>
            </w:r>
          </w:p>
        </w:tc>
      </w:tr>
      <w:tr w:rsidR="00F332DA" w:rsidRPr="00BD76AF" w14:paraId="4A58F0F5" w14:textId="77777777" w:rsidTr="004D2330">
        <w:tc>
          <w:tcPr>
            <w:tcW w:w="2352" w:type="dxa"/>
          </w:tcPr>
          <w:p w14:paraId="53A30709" w14:textId="77777777" w:rsidR="00F332DA" w:rsidRPr="00BD76AF" w:rsidRDefault="00F332DA" w:rsidP="007C71D1">
            <w:pPr>
              <w:pStyle w:val="S7Header2"/>
              <w:rPr>
                <w:szCs w:val="24"/>
              </w:rPr>
            </w:pPr>
          </w:p>
        </w:tc>
        <w:tc>
          <w:tcPr>
            <w:tcW w:w="6936" w:type="dxa"/>
          </w:tcPr>
          <w:p w14:paraId="3051B9FD" w14:textId="77777777" w:rsidR="00F332DA" w:rsidRPr="00BD76AF" w:rsidRDefault="00F332DA" w:rsidP="00052E7C">
            <w:pPr>
              <w:spacing w:afterLines="50" w:after="120"/>
              <w:ind w:left="601"/>
              <w:rPr>
                <w:szCs w:val="24"/>
              </w:rPr>
            </w:pPr>
            <w:r w:rsidRPr="00BD76AF">
              <w:rPr>
                <w:szCs w:val="24"/>
              </w:rPr>
              <w:t xml:space="preserve">L’Entrepreneur doit également remettre toutes les autres </w:t>
            </w:r>
            <w:r w:rsidRPr="00BD76AF">
              <w:t>notifications</w:t>
            </w:r>
            <w:r w:rsidRPr="00BD76AF">
              <w:rPr>
                <w:szCs w:val="24"/>
              </w:rPr>
              <w:t xml:space="preserve"> demandées en vertu du Marché et les pièces justificatives de la réclamation, en relation avec l’événement ou la circonstance.</w:t>
            </w:r>
          </w:p>
        </w:tc>
      </w:tr>
      <w:tr w:rsidR="00F332DA" w:rsidRPr="00BD76AF" w14:paraId="7B7F8242" w14:textId="77777777" w:rsidTr="004D2330">
        <w:tc>
          <w:tcPr>
            <w:tcW w:w="2352" w:type="dxa"/>
          </w:tcPr>
          <w:p w14:paraId="5120BCDF" w14:textId="77777777" w:rsidR="00F332DA" w:rsidRPr="00BD76AF" w:rsidRDefault="00F332DA" w:rsidP="007C71D1">
            <w:pPr>
              <w:pStyle w:val="S7Header2"/>
              <w:rPr>
                <w:szCs w:val="24"/>
              </w:rPr>
            </w:pPr>
          </w:p>
        </w:tc>
        <w:tc>
          <w:tcPr>
            <w:tcW w:w="6936" w:type="dxa"/>
          </w:tcPr>
          <w:p w14:paraId="6FFA96FE" w14:textId="77777777" w:rsidR="00F332DA" w:rsidRPr="00BD76AF" w:rsidRDefault="00F332DA" w:rsidP="00052E7C">
            <w:pPr>
              <w:spacing w:afterLines="50" w:after="120"/>
              <w:ind w:left="601"/>
              <w:rPr>
                <w:szCs w:val="24"/>
              </w:rPr>
            </w:pPr>
            <w:r w:rsidRPr="00BD76AF">
              <w:rPr>
                <w:szCs w:val="24"/>
              </w:rPr>
              <w:t>L’Entrepreneur doit conserver les documents actuels qui peuvent être nécessaires pour étayer la réclamation, soit sur le Site, soit dans un autre lieu satisfaisant pour le Directeur de projet. Sans admettre la responsabilité du Maître d’</w:t>
            </w:r>
            <w:r w:rsidRPr="00BD76AF">
              <w:t>ouvrage</w:t>
            </w:r>
            <w:r w:rsidRPr="00BD76AF">
              <w:rPr>
                <w:szCs w:val="24"/>
              </w:rPr>
              <w:t>, le Directeur de projet peut, suite à la réception d’une notification conformément à cet Article, contrôler la conservation des documents et/ou instruire l’Entrepreneur de conserver plus de documents actuels. L’Entrepreneur doit autoriser le Directeur de projet à examiner l’ensemble de ces documents et doit (si demandé) remettre des copies au Directeur de projet.</w:t>
            </w:r>
          </w:p>
        </w:tc>
      </w:tr>
      <w:tr w:rsidR="00F332DA" w:rsidRPr="00BD76AF" w14:paraId="21674415" w14:textId="77777777" w:rsidTr="004D2330">
        <w:tc>
          <w:tcPr>
            <w:tcW w:w="2352" w:type="dxa"/>
          </w:tcPr>
          <w:p w14:paraId="65B52512" w14:textId="77777777" w:rsidR="00F332DA" w:rsidRPr="00BD76AF" w:rsidRDefault="00F332DA" w:rsidP="007C71D1">
            <w:pPr>
              <w:pStyle w:val="S7Header2"/>
              <w:rPr>
                <w:szCs w:val="24"/>
              </w:rPr>
            </w:pPr>
          </w:p>
        </w:tc>
        <w:tc>
          <w:tcPr>
            <w:tcW w:w="6936" w:type="dxa"/>
          </w:tcPr>
          <w:p w14:paraId="715C108F" w14:textId="77777777" w:rsidR="00F332DA" w:rsidRPr="00BD76AF" w:rsidRDefault="00F332DA" w:rsidP="00052E7C">
            <w:pPr>
              <w:spacing w:afterLines="50" w:after="120"/>
              <w:ind w:left="601"/>
              <w:rPr>
                <w:szCs w:val="24"/>
              </w:rPr>
            </w:pPr>
            <w:r w:rsidRPr="00BD76AF">
              <w:rPr>
                <w:szCs w:val="24"/>
              </w:rPr>
              <w:t>Dans un délai de quarante-deux (42) jours après que l’Entrepreneur a eu connaissance (ou aurait dû avoir connaissance) de l’événement ou de la circonstance donnant lieu à la réclamation, ou dans tout autre délai proposé par l’Entrepreneur et approuvé par le Directeur de projet, l’Entrepreneur doit adresser au Directeur de projet une réclamation très détaillée incluant toutes les pièces justificatives donnant les raisons de la réclamation et de la demande de prolongation du Délai d’achèvement et/ou du paiement supplémentaire. Si l’événement ou la circonstance donnant lieu à la réclamation persiste :</w:t>
            </w:r>
          </w:p>
          <w:p w14:paraId="73F422CD" w14:textId="77777777" w:rsidR="00F332DA" w:rsidRPr="00BD76AF" w:rsidRDefault="00F332DA" w:rsidP="00C21879">
            <w:pPr>
              <w:pStyle w:val="SectionVII1"/>
              <w:rPr>
                <w:lang w:val="fr-FR"/>
              </w:rPr>
            </w:pPr>
            <w:r w:rsidRPr="00BD76AF">
              <w:rPr>
                <w:rFonts w:eastAsia="ＭＳ 明朝"/>
                <w:lang w:val="fr-FR" w:eastAsia="ja-JP"/>
              </w:rPr>
              <w:t>a)</w:t>
            </w:r>
            <w:r w:rsidRPr="00BD76AF">
              <w:rPr>
                <w:rFonts w:eastAsia="ＭＳ 明朝"/>
                <w:lang w:val="fr-FR" w:eastAsia="ja-JP"/>
              </w:rPr>
              <w:tab/>
            </w:r>
            <w:r w:rsidRPr="00BD76AF">
              <w:rPr>
                <w:lang w:val="fr-FR"/>
              </w:rPr>
              <w:t>cette réclamation très détaillée doit être considérée comme provisoire ;</w:t>
            </w:r>
          </w:p>
          <w:p w14:paraId="77E7FF31" w14:textId="77777777" w:rsidR="00F332DA" w:rsidRPr="00BD76AF" w:rsidRDefault="00F332DA" w:rsidP="00C21879">
            <w:pPr>
              <w:pStyle w:val="SectionVII1"/>
              <w:rPr>
                <w:lang w:val="fr-FR"/>
              </w:rPr>
            </w:pPr>
            <w:r w:rsidRPr="00BD76AF">
              <w:rPr>
                <w:rFonts w:eastAsia="ＭＳ 明朝"/>
                <w:lang w:val="fr-FR" w:eastAsia="ja-JP"/>
              </w:rPr>
              <w:t>b)</w:t>
            </w:r>
            <w:r w:rsidRPr="00BD76AF">
              <w:rPr>
                <w:rFonts w:eastAsia="ＭＳ 明朝"/>
                <w:lang w:val="fr-FR" w:eastAsia="ja-JP"/>
              </w:rPr>
              <w:tab/>
            </w:r>
            <w:r w:rsidRPr="00BD76AF">
              <w:rPr>
                <w:lang w:val="fr-FR"/>
              </w:rPr>
              <w:t>l’Entrepreneur doit adresser des réclamations provisoires supplémentaires mensuellement, précisant le délai cumulé et/ou les montants demandés et apportant les pièces justificatives supplémentaires que le Directeur de projet peut raisonnablement demander ; et</w:t>
            </w:r>
          </w:p>
          <w:p w14:paraId="1A35EA39" w14:textId="77777777" w:rsidR="00F332DA" w:rsidRPr="00BD76AF" w:rsidRDefault="00F332DA" w:rsidP="00C21879">
            <w:pPr>
              <w:pStyle w:val="SectionVII1"/>
              <w:rPr>
                <w:lang w:val="fr-FR"/>
              </w:rPr>
            </w:pPr>
            <w:r w:rsidRPr="00BD76AF">
              <w:rPr>
                <w:rFonts w:eastAsia="ＭＳ 明朝"/>
                <w:lang w:val="fr-FR" w:eastAsia="ja-JP"/>
              </w:rPr>
              <w:t>c)</w:t>
            </w:r>
            <w:r w:rsidRPr="00BD76AF">
              <w:rPr>
                <w:rFonts w:eastAsia="ＭＳ 明朝"/>
                <w:lang w:val="fr-FR" w:eastAsia="ja-JP"/>
              </w:rPr>
              <w:tab/>
            </w:r>
            <w:r w:rsidRPr="00BD76AF">
              <w:rPr>
                <w:lang w:val="fr-FR"/>
              </w:rPr>
              <w:t>l’Entrepreneur doit adresser une réclamation finale dans un délai de vingt-huit (28) jours suivant la fin des conséquences de l’événement ou de la circonstance, ou dans tout autre délai proposé par l’Entrepreneur et approuvé par le Directeur de projet.</w:t>
            </w:r>
          </w:p>
        </w:tc>
      </w:tr>
      <w:tr w:rsidR="00F332DA" w:rsidRPr="00BD76AF" w14:paraId="6D937F0F" w14:textId="77777777" w:rsidTr="004D2330">
        <w:tc>
          <w:tcPr>
            <w:tcW w:w="2352" w:type="dxa"/>
          </w:tcPr>
          <w:p w14:paraId="11AB9606" w14:textId="77777777" w:rsidR="00F332DA" w:rsidRPr="00BD76AF" w:rsidRDefault="00F332DA" w:rsidP="007C71D1">
            <w:pPr>
              <w:pStyle w:val="S7Header2"/>
              <w:rPr>
                <w:szCs w:val="24"/>
              </w:rPr>
            </w:pPr>
          </w:p>
        </w:tc>
        <w:tc>
          <w:tcPr>
            <w:tcW w:w="6936" w:type="dxa"/>
          </w:tcPr>
          <w:p w14:paraId="7EA72716" w14:textId="77777777" w:rsidR="00F332DA" w:rsidRPr="00BD76AF" w:rsidRDefault="00F332DA" w:rsidP="008E01D9">
            <w:pPr>
              <w:spacing w:afterLines="50" w:after="120"/>
              <w:ind w:left="601"/>
              <w:rPr>
                <w:szCs w:val="24"/>
              </w:rPr>
            </w:pPr>
            <w:r w:rsidRPr="00BD76AF">
              <w:rPr>
                <w:szCs w:val="24"/>
              </w:rPr>
              <w:t xml:space="preserve">Dans un délai de quarante-deux (42) jours suivant la </w:t>
            </w:r>
            <w:r w:rsidRPr="00BD76AF">
              <w:t>réception</w:t>
            </w:r>
            <w:r w:rsidRPr="00BD76AF">
              <w:rPr>
                <w:szCs w:val="24"/>
              </w:rPr>
              <w:t xml:space="preserve"> d’une réclamation ou de pièces justificatives supplémentaires étayant une réclamation antérieure, ou dans tout autre délai proposé par le Directeur de projet et approuvé par l’Entrepreneur, le Directeur de projet doit, a</w:t>
            </w:r>
            <w:r w:rsidRPr="00BD76AF">
              <w:t>près avoir consulté chaque Partie pour s’efforcer d’aboutir à un accord conformément à l’Article 17.1 des CG,</w:t>
            </w:r>
            <w:r w:rsidRPr="00BD76AF">
              <w:rPr>
                <w:szCs w:val="24"/>
              </w:rPr>
              <w:t xml:space="preserve"> répondre en donnant son approbation ou sa désapprobation accompagnée de commentaires détaillés. Il peut également demander toute pièce justificative supplémentaire jugée nécessaire, mais doit néanmoins donner sa réponse sur le principe de la réclamation dans ce délai.</w:t>
            </w:r>
          </w:p>
        </w:tc>
      </w:tr>
      <w:tr w:rsidR="00F332DA" w:rsidRPr="00BD76AF" w14:paraId="1FB364BD" w14:textId="77777777" w:rsidTr="004D2330">
        <w:tc>
          <w:tcPr>
            <w:tcW w:w="2352" w:type="dxa"/>
          </w:tcPr>
          <w:p w14:paraId="4E7E5D42" w14:textId="77777777" w:rsidR="00F332DA" w:rsidRPr="00BD76AF" w:rsidRDefault="00F332DA" w:rsidP="007C71D1">
            <w:pPr>
              <w:pStyle w:val="S7Header2"/>
              <w:rPr>
                <w:szCs w:val="24"/>
              </w:rPr>
            </w:pPr>
          </w:p>
        </w:tc>
        <w:tc>
          <w:tcPr>
            <w:tcW w:w="6936" w:type="dxa"/>
          </w:tcPr>
          <w:p w14:paraId="60CC7BB9" w14:textId="77777777" w:rsidR="00F332DA" w:rsidRPr="00BD76AF" w:rsidRDefault="00F332DA" w:rsidP="00F3416B">
            <w:pPr>
              <w:spacing w:afterLines="50" w:after="120"/>
              <w:ind w:left="601"/>
              <w:rPr>
                <w:szCs w:val="24"/>
              </w:rPr>
            </w:pPr>
            <w:r w:rsidRPr="00BD76AF">
              <w:rPr>
                <w:szCs w:val="24"/>
              </w:rPr>
              <w:t>Dans le cas où l’Entrepreneur et le Maître d’ouvrage ne parviennent pas à un accord sur quelque sujet que ce soit concernant la réclamation dans le délai susmentionné de quarante-deux (42) jours, l’une ou l’autre des Parties peut soumettre la réclamation au Comité de Règlement des Différends, conformément à l’Article 45 (</w:t>
            </w:r>
            <w:r w:rsidRPr="00BD76AF">
              <w:rPr>
                <w:i/>
                <w:szCs w:val="24"/>
              </w:rPr>
              <w:t>Différends et arbitrage</w:t>
            </w:r>
            <w:r w:rsidRPr="00BD76AF">
              <w:rPr>
                <w:szCs w:val="24"/>
              </w:rPr>
              <w:t>) des CG.</w:t>
            </w:r>
          </w:p>
        </w:tc>
      </w:tr>
      <w:tr w:rsidR="00F332DA" w:rsidRPr="00BD76AF" w14:paraId="772FF3B6" w14:textId="77777777" w:rsidTr="004D2330">
        <w:tc>
          <w:tcPr>
            <w:tcW w:w="2352" w:type="dxa"/>
          </w:tcPr>
          <w:p w14:paraId="402C7C27" w14:textId="77777777" w:rsidR="00F332DA" w:rsidRPr="00BD76AF" w:rsidRDefault="00F332DA" w:rsidP="007C71D1">
            <w:pPr>
              <w:pStyle w:val="S7Header2"/>
              <w:rPr>
                <w:szCs w:val="24"/>
              </w:rPr>
            </w:pPr>
          </w:p>
        </w:tc>
        <w:tc>
          <w:tcPr>
            <w:tcW w:w="6936" w:type="dxa"/>
          </w:tcPr>
          <w:p w14:paraId="05A3C7AD" w14:textId="77777777" w:rsidR="00F332DA" w:rsidRPr="00BD76AF" w:rsidRDefault="00F332DA" w:rsidP="0079334B">
            <w:pPr>
              <w:spacing w:afterLines="50" w:after="120"/>
              <w:ind w:left="601"/>
              <w:rPr>
                <w:szCs w:val="24"/>
              </w:rPr>
            </w:pPr>
            <w:r w:rsidRPr="00BD76AF">
              <w:rPr>
                <w:szCs w:val="24"/>
              </w:rPr>
              <w:t xml:space="preserve">Chaque approbation du Directeur de projet pour le paiement doit comprendre les </w:t>
            </w:r>
            <w:r w:rsidRPr="00BD76AF">
              <w:t>montants</w:t>
            </w:r>
            <w:r w:rsidRPr="00BD76AF">
              <w:rPr>
                <w:szCs w:val="24"/>
              </w:rPr>
              <w:t xml:space="preserve"> des réclamations qui ont été suffisamment étayées comme demandé conformément aux dispositions concernées du Marché. Tant que les pièces justificatives fournies ne sont pas suffisantes pour étayer l’ensemble de la réclamation, l’Entrepreneur ne doit être en droit de recevoir de règlement que pour la partie de la réclamation qu’il a pu prouver.</w:t>
            </w:r>
          </w:p>
        </w:tc>
      </w:tr>
      <w:tr w:rsidR="00F332DA" w:rsidRPr="00BD76AF" w14:paraId="64C782AC" w14:textId="77777777" w:rsidTr="004D2330">
        <w:tc>
          <w:tcPr>
            <w:tcW w:w="2352" w:type="dxa"/>
          </w:tcPr>
          <w:p w14:paraId="05A59258" w14:textId="77777777" w:rsidR="00F332DA" w:rsidRPr="00BD76AF" w:rsidRDefault="00F332DA" w:rsidP="007C71D1">
            <w:pPr>
              <w:pStyle w:val="S7Header2"/>
              <w:rPr>
                <w:szCs w:val="24"/>
              </w:rPr>
            </w:pPr>
          </w:p>
        </w:tc>
        <w:tc>
          <w:tcPr>
            <w:tcW w:w="6936" w:type="dxa"/>
            <w:shd w:val="clear" w:color="auto" w:fill="auto"/>
          </w:tcPr>
          <w:p w14:paraId="3BEBEBF2" w14:textId="77777777" w:rsidR="00F332DA" w:rsidRPr="00BD76AF" w:rsidRDefault="00F332DA" w:rsidP="00643454">
            <w:pPr>
              <w:spacing w:after="200"/>
              <w:ind w:left="601"/>
              <w:rPr>
                <w:szCs w:val="24"/>
              </w:rPr>
            </w:pPr>
            <w:r w:rsidRPr="00BD76AF">
              <w:rPr>
                <w:szCs w:val="24"/>
              </w:rPr>
              <w:t xml:space="preserve">Les </w:t>
            </w:r>
            <w:r w:rsidRPr="00BD76AF">
              <w:t>exigences</w:t>
            </w:r>
            <w:r w:rsidRPr="00BD76AF">
              <w:rPr>
                <w:szCs w:val="24"/>
              </w:rPr>
              <w:t xml:space="preserve"> de cet Article s'ajoutent à celles de tout autre Article qui peut être applicable à une réclamation. Si l’Entrepreneur ne se conforme pas à cet Article ou à tout autre Article concernant une réclamation, la prolongation du Délai d’achèvement et/ou le paiement supplémentaire doivent prendre en compte la mesure (le cas échéant) dans laquelle le manquement de l'Entrepreneur a empêché ou compromis l’examen correct de la réclamation, à moins que cette réclamation ne soit irrecevable conformément au deuxième paragraphe de cet Article.</w:t>
            </w:r>
          </w:p>
        </w:tc>
      </w:tr>
      <w:tr w:rsidR="00F332DA" w:rsidRPr="00BD76AF" w14:paraId="51D91B87" w14:textId="77777777" w:rsidTr="004D2330">
        <w:tc>
          <w:tcPr>
            <w:tcW w:w="2352" w:type="dxa"/>
          </w:tcPr>
          <w:p w14:paraId="54ECDF91" w14:textId="77777777" w:rsidR="00F332DA" w:rsidRPr="00BD76AF" w:rsidRDefault="00F332DA" w:rsidP="007C71D1">
            <w:pPr>
              <w:pStyle w:val="S7Header2"/>
              <w:rPr>
                <w:szCs w:val="24"/>
              </w:rPr>
            </w:pPr>
            <w:bookmarkStart w:id="811" w:name="_Toc102050829"/>
            <w:r w:rsidRPr="00BD76AF">
              <w:rPr>
                <w:szCs w:val="24"/>
                <w:lang w:eastAsia="en-US"/>
              </w:rPr>
              <w:t>45.</w:t>
            </w:r>
            <w:r w:rsidRPr="00BD76AF">
              <w:rPr>
                <w:szCs w:val="24"/>
                <w:lang w:eastAsia="ja-JP"/>
              </w:rPr>
              <w:tab/>
            </w:r>
            <w:r w:rsidRPr="00BD76AF">
              <w:rPr>
                <w:szCs w:val="24"/>
                <w:lang w:eastAsia="en-US"/>
              </w:rPr>
              <w:t>Différends et arbitrage</w:t>
            </w:r>
            <w:bookmarkEnd w:id="811"/>
            <w:r w:rsidRPr="00BD76AF">
              <w:rPr>
                <w:szCs w:val="24"/>
                <w:lang w:eastAsia="en-US"/>
              </w:rPr>
              <w:t xml:space="preserve"> </w:t>
            </w:r>
          </w:p>
        </w:tc>
        <w:tc>
          <w:tcPr>
            <w:tcW w:w="6936" w:type="dxa"/>
          </w:tcPr>
          <w:p w14:paraId="1E49AAC6" w14:textId="77777777" w:rsidR="00F332DA" w:rsidRPr="00BD76AF" w:rsidRDefault="00F332DA" w:rsidP="0011300E">
            <w:pPr>
              <w:spacing w:afterLines="50" w:after="120"/>
              <w:ind w:left="601" w:hanging="601"/>
              <w:rPr>
                <w:szCs w:val="24"/>
              </w:rPr>
            </w:pPr>
            <w:r w:rsidRPr="00BD76AF">
              <w:rPr>
                <w:szCs w:val="24"/>
              </w:rPr>
              <w:t>45.1</w:t>
            </w:r>
            <w:r w:rsidRPr="00BD76AF">
              <w:rPr>
                <w:szCs w:val="24"/>
                <w:lang w:eastAsia="ja-JP"/>
              </w:rPr>
              <w:tab/>
            </w:r>
            <w:r w:rsidRPr="00BD76AF">
              <w:rPr>
                <w:szCs w:val="24"/>
                <w:u w:val="single"/>
              </w:rPr>
              <w:t xml:space="preserve">Nomination du </w:t>
            </w:r>
            <w:r w:rsidRPr="00BD76AF">
              <w:rPr>
                <w:u w:val="single"/>
              </w:rPr>
              <w:t>Comité de Règlement des Différends</w:t>
            </w:r>
          </w:p>
          <w:p w14:paraId="0B293364" w14:textId="77777777" w:rsidR="00F332DA" w:rsidRPr="00BD76AF" w:rsidRDefault="00F332DA" w:rsidP="00052E7C">
            <w:pPr>
              <w:spacing w:afterLines="50" w:after="120"/>
              <w:ind w:left="601"/>
              <w:rPr>
                <w:szCs w:val="24"/>
                <w:lang w:eastAsia="en-US"/>
              </w:rPr>
            </w:pPr>
            <w:r w:rsidRPr="00BD76AF">
              <w:t>Les différends seront tranchés par le Comité de Règlement des Différends conformément aux dispositions de l’Article 45.3 (</w:t>
            </w:r>
            <w:r w:rsidRPr="00BD76AF">
              <w:rPr>
                <w:i/>
              </w:rPr>
              <w:t>Obtention de la décision du Comité de Règlement des Différends</w:t>
            </w:r>
            <w:r w:rsidRPr="00BD76AF">
              <w:t xml:space="preserve">). Les Parties doivent nommer le Comité de Règlement des Différends au plus tard à la date </w:t>
            </w:r>
            <w:r w:rsidRPr="00BD76AF">
              <w:rPr>
                <w:b/>
              </w:rPr>
              <w:t>indiquée dans les Données du Marché</w:t>
            </w:r>
            <w:r w:rsidRPr="00BD76AF">
              <w:rPr>
                <w:szCs w:val="24"/>
                <w:lang w:eastAsia="en-US"/>
              </w:rPr>
              <w:t>.</w:t>
            </w:r>
          </w:p>
          <w:p w14:paraId="46A5456A" w14:textId="77777777" w:rsidR="00F332DA" w:rsidRPr="00BD76AF" w:rsidRDefault="00F332DA" w:rsidP="00052E7C">
            <w:pPr>
              <w:spacing w:afterLines="50" w:after="120"/>
              <w:ind w:left="601"/>
              <w:rPr>
                <w:szCs w:val="24"/>
                <w:lang w:eastAsia="en-US"/>
              </w:rPr>
            </w:pPr>
            <w:r w:rsidRPr="00BD76AF">
              <w:t xml:space="preserve">Le Comité de Règlement des Différends doit comprendre, comme </w:t>
            </w:r>
            <w:r w:rsidRPr="00BD76AF">
              <w:rPr>
                <w:b/>
              </w:rPr>
              <w:t>mentionné dans les Données du Marché</w:t>
            </w:r>
            <w:r w:rsidRPr="00BD76AF">
              <w:t>, une ou trois personnes possédant les qualifications appropriées («</w:t>
            </w:r>
            <w:r w:rsidRPr="00BD76AF">
              <w:rPr>
                <w:szCs w:val="24"/>
              </w:rPr>
              <w:t> </w:t>
            </w:r>
            <w:r w:rsidRPr="00BD76AF">
              <w:t>les membres</w:t>
            </w:r>
            <w:r w:rsidRPr="00BD76AF">
              <w:rPr>
                <w:szCs w:val="24"/>
              </w:rPr>
              <w:t> </w:t>
            </w:r>
            <w:r w:rsidRPr="00BD76AF">
              <w:t xml:space="preserve">»), chacun d’entre eux maîtrisant couramment la langue de communication définie dans le Marché et étant un professionnel expérimenté dans le domaine des </w:t>
            </w:r>
            <w:r w:rsidRPr="00BD76AF">
              <w:rPr>
                <w:rFonts w:hint="eastAsia"/>
              </w:rPr>
              <w:t>É</w:t>
            </w:r>
            <w:r w:rsidRPr="00BD76AF">
              <w:t>quipements ou des Services de montage réalisés en vertu du Marché et dans l’interprétation de documents contractuels. Si le nombre n’est pas mentionné et à moins que les Parties n’en conviennent autrement, le Comité de Règlement des Différends comprendra trois personnes dont l’une exercera les fonctions de président du comité.</w:t>
            </w:r>
          </w:p>
          <w:p w14:paraId="4D64D54A" w14:textId="77777777" w:rsidR="00F332DA" w:rsidRPr="00BD76AF" w:rsidRDefault="00F332DA" w:rsidP="00052E7C">
            <w:pPr>
              <w:spacing w:afterLines="50" w:after="120"/>
              <w:ind w:left="601"/>
              <w:rPr>
                <w:szCs w:val="24"/>
                <w:lang w:eastAsia="en-US"/>
              </w:rPr>
            </w:pPr>
            <w:r w:rsidRPr="00BD76AF">
              <w:rPr>
                <w:szCs w:val="24"/>
                <w:lang w:eastAsia="en-US"/>
              </w:rPr>
              <w:t xml:space="preserve">Si les Parties n’ont pas nommé d’un commun accord le Comité de Règlement des Différends dans un délai de vingt et un (21) jours avant la date </w:t>
            </w:r>
            <w:r w:rsidRPr="00BD76AF">
              <w:rPr>
                <w:b/>
                <w:szCs w:val="24"/>
                <w:lang w:eastAsia="en-US"/>
              </w:rPr>
              <w:t xml:space="preserve">spécifiée dans les Données du Marché </w:t>
            </w:r>
            <w:r w:rsidRPr="00BD76AF">
              <w:rPr>
                <w:szCs w:val="24"/>
                <w:lang w:eastAsia="en-US"/>
              </w:rPr>
              <w:t>et si le Comité de Règlement des Différends doit comprendre trois personnes, chaque Partie doit présenter un membre à l’approbation de l’autre Partie. Les deux premiers membres doivent recommander, et les Parties s’accorder, sur le troisième membre, qui endossera le rôle de président.</w:t>
            </w:r>
          </w:p>
          <w:p w14:paraId="3057534C" w14:textId="77777777" w:rsidR="00F332DA" w:rsidRPr="00BD76AF" w:rsidRDefault="00F332DA" w:rsidP="00052E7C">
            <w:pPr>
              <w:spacing w:afterLines="50" w:after="120"/>
              <w:ind w:left="601"/>
              <w:rPr>
                <w:szCs w:val="24"/>
                <w:lang w:eastAsia="en-US"/>
              </w:rPr>
            </w:pPr>
            <w:r w:rsidRPr="00BD76AF">
              <w:rPr>
                <w:szCs w:val="24"/>
                <w:lang w:eastAsia="en-US"/>
              </w:rPr>
              <w:t>Toutefois, si une liste de membres potentiels a été convenue par les Parties et est incluse au Marché, les membres doivent être choisis au sein de la liste, à l’exception des personnes qui ne peuvent ou ne veulent pas accepter la nomination au Comité de Règlement des Différends.</w:t>
            </w:r>
          </w:p>
          <w:p w14:paraId="2123552A" w14:textId="77777777" w:rsidR="00F332DA" w:rsidRPr="00BD76AF" w:rsidRDefault="00F332DA" w:rsidP="00052E7C">
            <w:pPr>
              <w:spacing w:afterLines="50" w:after="120"/>
              <w:ind w:left="601"/>
              <w:rPr>
                <w:szCs w:val="24"/>
                <w:lang w:eastAsia="en-US"/>
              </w:rPr>
            </w:pPr>
            <w:r w:rsidRPr="00BD76AF">
              <w:rPr>
                <w:szCs w:val="24"/>
                <w:lang w:eastAsia="en-US"/>
              </w:rPr>
              <w:t>L’accord entre d’une part les Parties et, d’autre part, l’unique membre ou, le cas échéant, chacun des trois membres, doit intégrer les Conditions générales de la Convention du Comité de Règlement des Différends, figurant en Appendice de ces Conditions générales, avec toutes modifications qui auront été convenues entre eux.</w:t>
            </w:r>
          </w:p>
          <w:p w14:paraId="6386FBD4" w14:textId="77777777" w:rsidR="00F332DA" w:rsidRPr="00BD76AF" w:rsidRDefault="00F332DA" w:rsidP="000534D0">
            <w:pPr>
              <w:pStyle w:val="ClauseSubPara1"/>
              <w:spacing w:before="0" w:after="200"/>
              <w:ind w:left="601"/>
              <w:jc w:val="both"/>
              <w:rPr>
                <w:szCs w:val="24"/>
                <w:lang w:val="fr-FR"/>
              </w:rPr>
            </w:pPr>
            <w:r w:rsidRPr="00BD76AF">
              <w:rPr>
                <w:sz w:val="24"/>
                <w:szCs w:val="24"/>
                <w:lang w:val="fr-FR"/>
              </w:rPr>
              <w:t>Les conditions de la rémunération du membre unique ou, le cas échéant, de chacun des trois membres, y compris la rémunération de tout expert consulté par le Comité de Règlement des Différends, doivent être mutuellement convenues entre les Parties au moment où elles conviennent des conditions de nomination des membres ou de l’expert (le cas échéant). Le Maître d’ouvrage est responsable du paiement des Coûts réguliers et la moitié des Coûts non réguliers, et l’Entrepreneur est responsable du paiement de la moitié des Coûts non réguliers. Aux fins de cet Article :</w:t>
            </w:r>
          </w:p>
          <w:p w14:paraId="4C77F079" w14:textId="77777777" w:rsidR="00F332DA" w:rsidRPr="00BD76AF" w:rsidRDefault="00F332DA" w:rsidP="00E522EB">
            <w:pPr>
              <w:spacing w:afterLines="50" w:after="120"/>
              <w:ind w:left="1026" w:hanging="425"/>
              <w:rPr>
                <w:szCs w:val="24"/>
                <w:lang w:eastAsia="en-US"/>
              </w:rPr>
            </w:pPr>
            <w:r w:rsidRPr="00BD76AF">
              <w:rPr>
                <w:szCs w:val="24"/>
                <w:lang w:eastAsia="en-US"/>
              </w:rPr>
              <w:t>a)</w:t>
            </w:r>
            <w:r w:rsidRPr="00BD76AF">
              <w:rPr>
                <w:bCs/>
                <w:lang w:eastAsia="ja-JP"/>
              </w:rPr>
              <w:tab/>
            </w:r>
            <w:r w:rsidRPr="00BD76AF">
              <w:rPr>
                <w:szCs w:val="24"/>
                <w:lang w:eastAsia="en-US"/>
              </w:rPr>
              <w:t>Les «</w:t>
            </w:r>
            <w:r w:rsidRPr="00BD76AF">
              <w:rPr>
                <w:szCs w:val="24"/>
              </w:rPr>
              <w:t> </w:t>
            </w:r>
            <w:r w:rsidRPr="00BD76AF">
              <w:rPr>
                <w:szCs w:val="24"/>
                <w:lang w:eastAsia="en-US"/>
              </w:rPr>
              <w:t>Coûts réguliers</w:t>
            </w:r>
            <w:r w:rsidRPr="00BD76AF">
              <w:rPr>
                <w:szCs w:val="24"/>
              </w:rPr>
              <w:t> </w:t>
            </w:r>
            <w:r w:rsidRPr="00BD76AF">
              <w:rPr>
                <w:szCs w:val="24"/>
                <w:lang w:eastAsia="en-US"/>
              </w:rPr>
              <w:t>» désignent les honoraires, les rémunérations journalières pour les visites régulières sur le Site et tous les frais afférents aux visites régulières du Site versés aux membres du Comité de Règlement des Différends.</w:t>
            </w:r>
          </w:p>
          <w:p w14:paraId="3051207C" w14:textId="77777777" w:rsidR="00F332DA" w:rsidRPr="00BD76AF" w:rsidRDefault="00F332DA" w:rsidP="00E522EB">
            <w:pPr>
              <w:spacing w:afterLines="50" w:after="120"/>
              <w:ind w:left="1026" w:hanging="425"/>
              <w:rPr>
                <w:szCs w:val="24"/>
                <w:lang w:eastAsia="en-US"/>
              </w:rPr>
            </w:pPr>
            <w:r w:rsidRPr="00BD76AF">
              <w:rPr>
                <w:szCs w:val="24"/>
                <w:lang w:eastAsia="en-US"/>
              </w:rPr>
              <w:t>b)</w:t>
            </w:r>
            <w:r w:rsidRPr="00BD76AF">
              <w:rPr>
                <w:bCs/>
                <w:lang w:eastAsia="ja-JP"/>
              </w:rPr>
              <w:tab/>
            </w:r>
            <w:r w:rsidRPr="00BD76AF">
              <w:rPr>
                <w:szCs w:val="24"/>
                <w:lang w:eastAsia="en-US"/>
              </w:rPr>
              <w:t>Les «</w:t>
            </w:r>
            <w:r w:rsidRPr="00BD76AF">
              <w:rPr>
                <w:szCs w:val="24"/>
              </w:rPr>
              <w:t> </w:t>
            </w:r>
            <w:r w:rsidRPr="00BD76AF">
              <w:rPr>
                <w:szCs w:val="24"/>
                <w:lang w:eastAsia="en-US"/>
              </w:rPr>
              <w:t>Coûts non réguliers</w:t>
            </w:r>
            <w:r w:rsidRPr="00BD76AF">
              <w:rPr>
                <w:szCs w:val="24"/>
              </w:rPr>
              <w:t> </w:t>
            </w:r>
            <w:r w:rsidRPr="00BD76AF">
              <w:rPr>
                <w:szCs w:val="24"/>
                <w:lang w:eastAsia="en-US"/>
              </w:rPr>
              <w:t>» désignent tous les frais et dépenses versés aux membres du Comité de Règlement des Différends autres que ceux inclus dans les Coûts réguliers.</w:t>
            </w:r>
          </w:p>
          <w:p w14:paraId="3357F64F" w14:textId="77777777" w:rsidR="00F332DA" w:rsidRPr="00BD76AF" w:rsidRDefault="00F332DA" w:rsidP="00052E7C">
            <w:pPr>
              <w:spacing w:afterLines="50" w:after="120"/>
              <w:ind w:left="601"/>
              <w:rPr>
                <w:szCs w:val="24"/>
                <w:lang w:eastAsia="en-US"/>
              </w:rPr>
            </w:pPr>
            <w:r w:rsidRPr="00BD76AF">
              <w:rPr>
                <w:rFonts w:eastAsia="ＭＳ Ｐゴシック"/>
                <w:szCs w:val="24"/>
                <w:lang w:eastAsia="en-US"/>
              </w:rPr>
              <w:t>À</w:t>
            </w:r>
            <w:r w:rsidRPr="00BD76AF">
              <w:rPr>
                <w:szCs w:val="24"/>
                <w:lang w:eastAsia="en-US"/>
              </w:rPr>
              <w:t xml:space="preserve"> tout moment, si les Parties en conviennent, elles peuvent conjointement saisir le Comité de Règlement des Différends pour qu’il donne son opinion sur un sujet déterminé. Aucune Partie ne peut toutefois consulter le Comité de Règlement des Différends sur un quelconque sujet sans l’accord de l’autre Partie.</w:t>
            </w:r>
          </w:p>
          <w:p w14:paraId="5091168E" w14:textId="77777777" w:rsidR="00F332DA" w:rsidRPr="00BD76AF" w:rsidRDefault="00F332DA" w:rsidP="00052E7C">
            <w:pPr>
              <w:spacing w:afterLines="50" w:after="120"/>
              <w:ind w:left="601"/>
              <w:rPr>
                <w:szCs w:val="24"/>
                <w:lang w:eastAsia="en-US"/>
              </w:rPr>
            </w:pPr>
            <w:r w:rsidRPr="00BD76AF">
              <w:rPr>
                <w:szCs w:val="24"/>
                <w:lang w:eastAsia="en-US"/>
              </w:rPr>
              <w:t>Si un membre refuse de</w:t>
            </w:r>
            <w:r w:rsidRPr="00BD76AF">
              <w:rPr>
                <w:iCs/>
                <w:szCs w:val="24"/>
              </w:rPr>
              <w:t xml:space="preserve"> siéger</w:t>
            </w:r>
            <w:r w:rsidRPr="00BD76AF">
              <w:rPr>
                <w:szCs w:val="24"/>
                <w:lang w:eastAsia="en-US"/>
              </w:rPr>
              <w:t xml:space="preserve"> ou est </w:t>
            </w:r>
            <w:r w:rsidRPr="00BD76AF">
              <w:rPr>
                <w:iCs/>
                <w:szCs w:val="24"/>
              </w:rPr>
              <w:t>dans l’impossibilité de siéger en raison d’</w:t>
            </w:r>
            <w:r w:rsidRPr="00BD76AF">
              <w:rPr>
                <w:szCs w:val="24"/>
                <w:lang w:eastAsia="en-US"/>
              </w:rPr>
              <w:t xml:space="preserve">un décès, d’une incapacité, d’une démission ou de la résiliation de son mandat, un remplaçant doit être nommé de la même manière que la personne remplacée avait été nommée et acceptée, </w:t>
            </w:r>
            <w:r w:rsidRPr="00BD76AF">
              <w:rPr>
                <w:iCs/>
                <w:szCs w:val="24"/>
              </w:rPr>
              <w:t>conformément aux dispositions du présent</w:t>
            </w:r>
            <w:r w:rsidRPr="00BD76AF">
              <w:rPr>
                <w:szCs w:val="24"/>
                <w:lang w:eastAsia="en-US"/>
              </w:rPr>
              <w:t xml:space="preserve"> Article. </w:t>
            </w:r>
          </w:p>
          <w:p w14:paraId="691B27F7" w14:textId="77777777" w:rsidR="00F332DA" w:rsidRPr="00BD76AF" w:rsidRDefault="00F332DA" w:rsidP="000315E3">
            <w:pPr>
              <w:spacing w:after="200"/>
              <w:ind w:left="601"/>
              <w:rPr>
                <w:szCs w:val="24"/>
                <w:lang w:eastAsia="en-US"/>
              </w:rPr>
            </w:pPr>
            <w:r w:rsidRPr="00BD76AF">
              <w:rPr>
                <w:szCs w:val="24"/>
                <w:lang w:eastAsia="en-US"/>
              </w:rPr>
              <w:t xml:space="preserve">Le mandat d’un membre peut être résilié par un accord mutuel des deux Parties, mais non </w:t>
            </w:r>
            <w:r w:rsidRPr="00BD76AF">
              <w:t>par</w:t>
            </w:r>
            <w:r w:rsidRPr="00BD76AF">
              <w:rPr>
                <w:szCs w:val="24"/>
                <w:lang w:eastAsia="en-US"/>
              </w:rPr>
              <w:t xml:space="preserve"> le Maître d’ouvrage ou</w:t>
            </w:r>
            <w:r w:rsidRPr="00BD76AF">
              <w:rPr>
                <w:szCs w:val="24"/>
              </w:rPr>
              <w:t xml:space="preserve"> l’Entrepreneur agissant seul</w:t>
            </w:r>
            <w:r w:rsidRPr="00BD76AF">
              <w:rPr>
                <w:szCs w:val="24"/>
                <w:lang w:eastAsia="en-US"/>
              </w:rPr>
              <w:t xml:space="preserve">. À moins que les deux Parties n’en conviennent autrement, le mandat du Comité de Règlement des Différends (et de chacun de ses membres) prendra fin au terme de la Période de garantie, conformément à l’Article 27 </w:t>
            </w:r>
            <w:r w:rsidRPr="00BD76AF">
              <w:rPr>
                <w:szCs w:val="24"/>
              </w:rPr>
              <w:t>(</w:t>
            </w:r>
            <w:r w:rsidRPr="00BD76AF">
              <w:rPr>
                <w:i/>
                <w:szCs w:val="24"/>
              </w:rPr>
              <w:t>Garantie</w:t>
            </w:r>
            <w:r w:rsidRPr="00BD76AF">
              <w:rPr>
                <w:szCs w:val="24"/>
              </w:rPr>
              <w:t>)</w:t>
            </w:r>
            <w:r w:rsidRPr="00BD76AF">
              <w:rPr>
                <w:szCs w:val="24"/>
                <w:lang w:eastAsia="en-US"/>
              </w:rPr>
              <w:t xml:space="preserve"> des CG.</w:t>
            </w:r>
          </w:p>
        </w:tc>
      </w:tr>
      <w:tr w:rsidR="00F332DA" w:rsidRPr="00BD76AF" w14:paraId="1CBCFBE6" w14:textId="77777777" w:rsidTr="004D2330">
        <w:tc>
          <w:tcPr>
            <w:tcW w:w="2352" w:type="dxa"/>
          </w:tcPr>
          <w:p w14:paraId="1101D9FF" w14:textId="77777777" w:rsidR="00F332DA" w:rsidRPr="00BD76AF" w:rsidRDefault="00F332DA" w:rsidP="000A75A5">
            <w:pPr>
              <w:pStyle w:val="S7Header2"/>
              <w:ind w:left="0" w:firstLine="0"/>
              <w:rPr>
                <w:szCs w:val="24"/>
              </w:rPr>
            </w:pPr>
          </w:p>
        </w:tc>
        <w:tc>
          <w:tcPr>
            <w:tcW w:w="6936" w:type="dxa"/>
          </w:tcPr>
          <w:p w14:paraId="0F14B7D9" w14:textId="77777777" w:rsidR="00F332DA" w:rsidRPr="00BD76AF" w:rsidRDefault="00F332DA" w:rsidP="0011300E">
            <w:pPr>
              <w:spacing w:afterLines="50" w:after="120"/>
              <w:ind w:left="601" w:hanging="601"/>
              <w:rPr>
                <w:szCs w:val="24"/>
                <w:u w:val="single"/>
                <w:lang w:eastAsia="en-US"/>
              </w:rPr>
            </w:pPr>
            <w:r w:rsidRPr="00BD76AF">
              <w:rPr>
                <w:szCs w:val="24"/>
              </w:rPr>
              <w:t>45.2</w:t>
            </w:r>
            <w:r w:rsidRPr="00BD76AF">
              <w:rPr>
                <w:szCs w:val="24"/>
                <w:lang w:eastAsia="ja-JP"/>
              </w:rPr>
              <w:tab/>
            </w:r>
            <w:r w:rsidRPr="00BD76AF">
              <w:rPr>
                <w:szCs w:val="24"/>
                <w:u w:val="single"/>
              </w:rPr>
              <w:t xml:space="preserve">Absence d’accord sur la composition du </w:t>
            </w:r>
            <w:r w:rsidRPr="00BD76AF">
              <w:rPr>
                <w:szCs w:val="24"/>
                <w:u w:val="single"/>
                <w:lang w:eastAsia="ja-JP"/>
              </w:rPr>
              <w:t>Comité de Règlement des Différends</w:t>
            </w:r>
          </w:p>
          <w:p w14:paraId="28DDB9C1" w14:textId="77777777" w:rsidR="00F332DA" w:rsidRPr="00BD76AF" w:rsidRDefault="00F332DA" w:rsidP="00052E7C">
            <w:pPr>
              <w:spacing w:afterLines="50" w:after="120"/>
              <w:ind w:left="601"/>
              <w:rPr>
                <w:szCs w:val="24"/>
                <w:lang w:eastAsia="en-US"/>
              </w:rPr>
            </w:pPr>
            <w:r w:rsidRPr="00BD76AF">
              <w:rPr>
                <w:szCs w:val="24"/>
                <w:lang w:eastAsia="en-US"/>
              </w:rPr>
              <w:t>Si une des conditions suivantes s’applique, à savoir :</w:t>
            </w:r>
          </w:p>
          <w:p w14:paraId="5D2BE43F" w14:textId="77777777" w:rsidR="00F332DA" w:rsidRPr="00BD76AF" w:rsidRDefault="00F332DA" w:rsidP="00C21879">
            <w:pPr>
              <w:pStyle w:val="SectionVII1"/>
              <w:rPr>
                <w:lang w:val="fr-FR"/>
              </w:rPr>
            </w:pPr>
            <w:r w:rsidRPr="00BD76AF">
              <w:rPr>
                <w:rFonts w:eastAsia="ＭＳ 明朝"/>
                <w:lang w:val="fr-FR" w:eastAsia="ja-JP"/>
              </w:rPr>
              <w:t>a)</w:t>
            </w:r>
            <w:r w:rsidRPr="00BD76AF">
              <w:rPr>
                <w:rFonts w:eastAsia="ＭＳ 明朝"/>
                <w:lang w:val="fr-FR" w:eastAsia="ja-JP"/>
              </w:rPr>
              <w:tab/>
            </w:r>
            <w:r w:rsidRPr="00BD76AF">
              <w:rPr>
                <w:lang w:val="fr-FR"/>
              </w:rPr>
              <w:t xml:space="preserve">les Parties ne parviennent pas à s’entendre sur la nomination du membre unique du </w:t>
            </w:r>
            <w:r w:rsidRPr="00BD76AF">
              <w:rPr>
                <w:lang w:val="fr-FR" w:eastAsia="ja-JP"/>
              </w:rPr>
              <w:t>Comité de Règlement des Différends</w:t>
            </w:r>
            <w:r w:rsidRPr="00BD76AF">
              <w:rPr>
                <w:lang w:val="fr-FR"/>
              </w:rPr>
              <w:t xml:space="preserve"> au plus tard à la date indiquée au premier alinéa de l’Article 45.1 (</w:t>
            </w:r>
            <w:r w:rsidRPr="00BD76AF">
              <w:rPr>
                <w:i/>
                <w:lang w:val="fr-FR"/>
              </w:rPr>
              <w:t xml:space="preserve">Nomination du </w:t>
            </w:r>
            <w:r w:rsidRPr="00BD76AF">
              <w:rPr>
                <w:i/>
                <w:lang w:val="fr-FR" w:eastAsia="ja-JP"/>
              </w:rPr>
              <w:t>Comité de Règlement des Différends</w:t>
            </w:r>
            <w:r w:rsidRPr="00BD76AF">
              <w:rPr>
                <w:lang w:val="fr-FR"/>
              </w:rPr>
              <w:t xml:space="preserve">) des CG ; </w:t>
            </w:r>
          </w:p>
          <w:p w14:paraId="77E03B7F" w14:textId="77777777" w:rsidR="00F332DA" w:rsidRPr="00BD76AF" w:rsidRDefault="00F332DA" w:rsidP="00C21879">
            <w:pPr>
              <w:pStyle w:val="SectionVII1"/>
              <w:rPr>
                <w:lang w:val="fr-FR"/>
              </w:rPr>
            </w:pPr>
            <w:r w:rsidRPr="00BD76AF">
              <w:rPr>
                <w:rFonts w:eastAsia="ＭＳ 明朝"/>
                <w:lang w:val="fr-FR" w:eastAsia="ja-JP"/>
              </w:rPr>
              <w:t>b)</w:t>
            </w:r>
            <w:r w:rsidRPr="00BD76AF">
              <w:rPr>
                <w:rFonts w:eastAsia="ＭＳ 明朝"/>
                <w:lang w:val="fr-FR" w:eastAsia="ja-JP"/>
              </w:rPr>
              <w:tab/>
            </w:r>
            <w:r w:rsidRPr="00BD76AF">
              <w:rPr>
                <w:lang w:val="fr-FR"/>
              </w:rPr>
              <w:t xml:space="preserve">l’une des Parties ne désigne pas un membre du </w:t>
            </w:r>
            <w:r w:rsidRPr="00BD76AF">
              <w:rPr>
                <w:lang w:val="fr-FR" w:eastAsia="ja-JP"/>
              </w:rPr>
              <w:t>Comité de Règlement des Différends</w:t>
            </w:r>
            <w:r w:rsidRPr="00BD76AF">
              <w:rPr>
                <w:lang w:val="fr-FR"/>
              </w:rPr>
              <w:t xml:space="preserve"> (soumis à l’approbation par l’autre Partie) composé de trois membres au plus tard à cette date ;  </w:t>
            </w:r>
          </w:p>
          <w:p w14:paraId="70576594" w14:textId="77777777" w:rsidR="00F332DA" w:rsidRPr="00BD76AF" w:rsidRDefault="00F332DA" w:rsidP="00C21879">
            <w:pPr>
              <w:pStyle w:val="SectionVII1"/>
              <w:rPr>
                <w:lang w:val="fr-FR"/>
              </w:rPr>
            </w:pPr>
            <w:r w:rsidRPr="00BD76AF">
              <w:rPr>
                <w:rFonts w:eastAsia="ＭＳ 明朝"/>
                <w:lang w:val="fr-FR" w:eastAsia="ja-JP"/>
              </w:rPr>
              <w:t>c)</w:t>
            </w:r>
            <w:r w:rsidRPr="00BD76AF">
              <w:rPr>
                <w:rFonts w:eastAsia="ＭＳ 明朝"/>
                <w:lang w:val="fr-FR" w:eastAsia="ja-JP"/>
              </w:rPr>
              <w:tab/>
            </w:r>
            <w:r w:rsidRPr="00BD76AF">
              <w:rPr>
                <w:lang w:val="fr-FR"/>
              </w:rPr>
              <w:t xml:space="preserve">les Parties ne parviennent pas à s’entendre sur la nomination du troisième membre du </w:t>
            </w:r>
            <w:r w:rsidRPr="00BD76AF">
              <w:rPr>
                <w:lang w:val="fr-FR" w:eastAsia="ja-JP"/>
              </w:rPr>
              <w:t>Comité de Règlement des Différends</w:t>
            </w:r>
            <w:r w:rsidRPr="00BD76AF">
              <w:rPr>
                <w:lang w:val="fr-FR"/>
              </w:rPr>
              <w:t xml:space="preserve"> (qui remplira les fonctions de président du comité) au plus tard à cette date ; ou</w:t>
            </w:r>
          </w:p>
          <w:p w14:paraId="63E0D513" w14:textId="77777777" w:rsidR="00F332DA" w:rsidRPr="00BD76AF" w:rsidRDefault="00F332DA" w:rsidP="00C21879">
            <w:pPr>
              <w:pStyle w:val="SectionVII1"/>
              <w:rPr>
                <w:lang w:val="fr-FR"/>
              </w:rPr>
            </w:pPr>
            <w:r w:rsidRPr="00BD76AF">
              <w:rPr>
                <w:rFonts w:eastAsia="ＭＳ 明朝"/>
                <w:lang w:val="fr-FR" w:eastAsia="ja-JP"/>
              </w:rPr>
              <w:t>d)</w:t>
            </w:r>
            <w:r w:rsidRPr="00BD76AF">
              <w:rPr>
                <w:rFonts w:eastAsia="ＭＳ 明朝"/>
                <w:lang w:val="fr-FR" w:eastAsia="ja-JP"/>
              </w:rPr>
              <w:tab/>
            </w:r>
            <w:r w:rsidRPr="00BD76AF">
              <w:rPr>
                <w:lang w:val="fr-FR"/>
              </w:rPr>
              <w:t xml:space="preserve">les Parties ne parviennent pas à s’entendre sur la nomination d’un substitut au membre unique ou à l’un des trois membres du Comité dans un délai de quarante-deux (42) jours suivant la date à laquelle le membre en question refuse de remplir ses fonctions ou se trouve dans l’impossibilité de le faire par suite de décès, incapacité, démission ou résiliation de sa nomination ; </w:t>
            </w:r>
          </w:p>
          <w:p w14:paraId="435B32E9" w14:textId="77777777" w:rsidR="00F332DA" w:rsidRPr="00BD76AF" w:rsidRDefault="00F332DA" w:rsidP="000315E3">
            <w:pPr>
              <w:spacing w:after="200"/>
              <w:ind w:left="601"/>
              <w:rPr>
                <w:szCs w:val="24"/>
                <w:lang w:eastAsia="en-US"/>
              </w:rPr>
            </w:pPr>
            <w:r w:rsidRPr="00BD76AF">
              <w:rPr>
                <w:szCs w:val="24"/>
                <w:lang w:eastAsia="en-US"/>
              </w:rPr>
              <w:t xml:space="preserve">l’autorité de nomination ou la personne </w:t>
            </w:r>
            <w:r w:rsidRPr="00BD76AF">
              <w:rPr>
                <w:b/>
                <w:szCs w:val="24"/>
                <w:lang w:eastAsia="en-US"/>
              </w:rPr>
              <w:t>désignée dans les Données du Marché</w:t>
            </w:r>
            <w:r w:rsidRPr="00BD76AF">
              <w:rPr>
                <w:szCs w:val="24"/>
                <w:lang w:eastAsia="en-US"/>
              </w:rPr>
              <w:t xml:space="preserve">, doit, à la demande de l’une ou des deux Parties et après que les Parties se soient dûment consultées,  </w:t>
            </w:r>
            <w:r w:rsidRPr="00BD76AF">
              <w:t>nommer</w:t>
            </w:r>
            <w:r w:rsidRPr="00BD76AF">
              <w:rPr>
                <w:szCs w:val="24"/>
                <w:lang w:eastAsia="en-US"/>
              </w:rPr>
              <w:t xml:space="preserve"> le nouveau membre du </w:t>
            </w:r>
            <w:r w:rsidRPr="00BD76AF">
              <w:rPr>
                <w:szCs w:val="24"/>
                <w:lang w:eastAsia="ja-JP"/>
              </w:rPr>
              <w:t>Comité de Règlement des Différends</w:t>
            </w:r>
            <w:r w:rsidRPr="00BD76AF">
              <w:rPr>
                <w:szCs w:val="24"/>
                <w:lang w:eastAsia="en-US"/>
              </w:rPr>
              <w:t>. Cette nomination doit être définitive et sans appel. Chaque Partie doit être responsable du règlement de la moitié de la rémunération de l’autorité de nomination ou de la personne désignée dans les Données du Marché.</w:t>
            </w:r>
          </w:p>
        </w:tc>
      </w:tr>
      <w:tr w:rsidR="00F332DA" w:rsidRPr="00BD76AF" w14:paraId="23080BCC" w14:textId="77777777" w:rsidTr="004D2330">
        <w:tc>
          <w:tcPr>
            <w:tcW w:w="2352" w:type="dxa"/>
          </w:tcPr>
          <w:p w14:paraId="19186592" w14:textId="77777777" w:rsidR="00F332DA" w:rsidRPr="00BD76AF" w:rsidRDefault="00F332DA" w:rsidP="00C363A0">
            <w:pPr>
              <w:pStyle w:val="S7Header2"/>
              <w:tabs>
                <w:tab w:val="clear" w:pos="360"/>
              </w:tabs>
              <w:rPr>
                <w:szCs w:val="24"/>
              </w:rPr>
            </w:pPr>
          </w:p>
        </w:tc>
        <w:tc>
          <w:tcPr>
            <w:tcW w:w="6936" w:type="dxa"/>
          </w:tcPr>
          <w:p w14:paraId="57FD62A9" w14:textId="77777777" w:rsidR="00F332DA" w:rsidRPr="00BD76AF" w:rsidRDefault="00F332DA" w:rsidP="0011300E">
            <w:pPr>
              <w:spacing w:afterLines="50" w:after="120"/>
              <w:ind w:left="601" w:hanging="601"/>
              <w:rPr>
                <w:szCs w:val="24"/>
                <w:lang w:eastAsia="en-US"/>
              </w:rPr>
            </w:pPr>
            <w:r w:rsidRPr="00BD76AF">
              <w:rPr>
                <w:szCs w:val="24"/>
              </w:rPr>
              <w:t>45.3</w:t>
            </w:r>
            <w:r w:rsidRPr="00BD76AF">
              <w:rPr>
                <w:szCs w:val="24"/>
                <w:lang w:eastAsia="ja-JP"/>
              </w:rPr>
              <w:tab/>
            </w:r>
            <w:r w:rsidRPr="00BD76AF">
              <w:rPr>
                <w:szCs w:val="24"/>
                <w:u w:val="single"/>
              </w:rPr>
              <w:t xml:space="preserve">Obtention de la décision du </w:t>
            </w:r>
            <w:r w:rsidRPr="00BD76AF">
              <w:rPr>
                <w:szCs w:val="24"/>
                <w:u w:val="single"/>
                <w:lang w:eastAsia="ja-JP"/>
              </w:rPr>
              <w:t>Comité de Règlement des Différends</w:t>
            </w:r>
          </w:p>
          <w:p w14:paraId="2EBED852" w14:textId="77777777" w:rsidR="00F332DA" w:rsidRPr="00BD76AF" w:rsidRDefault="00F332DA" w:rsidP="00052E7C">
            <w:pPr>
              <w:spacing w:afterLines="50" w:after="120"/>
              <w:ind w:left="601"/>
              <w:rPr>
                <w:szCs w:val="24"/>
                <w:lang w:eastAsia="en-US"/>
              </w:rPr>
            </w:pPr>
            <w:r w:rsidRPr="00BD76AF">
              <w:rPr>
                <w:szCs w:val="24"/>
                <w:lang w:eastAsia="en-US"/>
              </w:rPr>
              <w:t xml:space="preserve">Si </w:t>
            </w:r>
            <w:r w:rsidRPr="00BD76AF">
              <w:t>un</w:t>
            </w:r>
            <w:r w:rsidRPr="00BD76AF">
              <w:rPr>
                <w:szCs w:val="24"/>
                <w:lang w:eastAsia="en-US"/>
              </w:rPr>
              <w:t xml:space="preserve"> différend (de quelque type que ce soit) naît entre les Parties en lien avec le Marché ou l’exécution des travaux sur les Installations, y compris tout différend concernant les certificats, les déterminations, les instructions, les opinions ou les valorisations du Directeur de projet, </w:t>
            </w:r>
            <w:r w:rsidRPr="00BD76AF">
              <w:rPr>
                <w:szCs w:val="24"/>
                <w:lang w:eastAsia="ja-JP"/>
              </w:rPr>
              <w:t>alors</w:t>
            </w:r>
            <w:r w:rsidRPr="00BD76AF">
              <w:rPr>
                <w:szCs w:val="24"/>
                <w:lang w:eastAsia="en-US"/>
              </w:rPr>
              <w:t xml:space="preserve"> chacune des Parties peut saisir le </w:t>
            </w:r>
            <w:r w:rsidRPr="00BD76AF">
              <w:rPr>
                <w:szCs w:val="24"/>
                <w:lang w:eastAsia="ja-JP"/>
              </w:rPr>
              <w:t>Comité de Règlement des Différends,</w:t>
            </w:r>
            <w:r w:rsidRPr="00BD76AF">
              <w:rPr>
                <w:szCs w:val="24"/>
                <w:lang w:eastAsia="en-US"/>
              </w:rPr>
              <w:t xml:space="preserve"> par écrit avec copies à l’autre Partie et au Directeur de projet, afin qu’il rende une décision. Cette saisine doit mentionner qu’elle est effectuée conformément au présent Article.</w:t>
            </w:r>
          </w:p>
          <w:p w14:paraId="6A7D7CFB" w14:textId="77777777" w:rsidR="00F332DA" w:rsidRPr="00BD76AF" w:rsidRDefault="00F332DA" w:rsidP="00052E7C">
            <w:pPr>
              <w:spacing w:afterLines="50" w:after="120"/>
              <w:ind w:left="601"/>
              <w:rPr>
                <w:szCs w:val="24"/>
                <w:lang w:eastAsia="en-US"/>
              </w:rPr>
            </w:pPr>
            <w:r w:rsidRPr="00BD76AF">
              <w:rPr>
                <w:szCs w:val="24"/>
                <w:lang w:eastAsia="en-US"/>
              </w:rPr>
              <w:t xml:space="preserve">Lorsque le </w:t>
            </w:r>
            <w:r w:rsidRPr="00BD76AF">
              <w:rPr>
                <w:szCs w:val="24"/>
                <w:lang w:eastAsia="ja-JP"/>
              </w:rPr>
              <w:t>Comité de Règlement des Différends</w:t>
            </w:r>
            <w:r w:rsidRPr="00BD76AF">
              <w:rPr>
                <w:szCs w:val="24"/>
                <w:lang w:eastAsia="en-US"/>
              </w:rPr>
              <w:t xml:space="preserve"> est constitué de trois personnes, le </w:t>
            </w:r>
            <w:r w:rsidRPr="00BD76AF">
              <w:rPr>
                <w:szCs w:val="24"/>
                <w:lang w:eastAsia="ja-JP"/>
              </w:rPr>
              <w:t>Comité de Règlement des Différends</w:t>
            </w:r>
            <w:r w:rsidRPr="00BD76AF">
              <w:rPr>
                <w:szCs w:val="24"/>
                <w:lang w:eastAsia="en-US"/>
              </w:rPr>
              <w:t xml:space="preserve"> </w:t>
            </w:r>
            <w:r w:rsidRPr="00BD76AF">
              <w:t>est réputé</w:t>
            </w:r>
            <w:r w:rsidRPr="00BD76AF">
              <w:rPr>
                <w:szCs w:val="24"/>
                <w:lang w:eastAsia="en-US"/>
              </w:rPr>
              <w:t xml:space="preserve"> avoir reçu la saisine à la date à laquelle le président du Comité de Règlement des Différends l’a reçue.</w:t>
            </w:r>
          </w:p>
          <w:p w14:paraId="6B30960D" w14:textId="77777777" w:rsidR="00F332DA" w:rsidRPr="00BD76AF" w:rsidRDefault="00F332DA" w:rsidP="00052E7C">
            <w:pPr>
              <w:spacing w:afterLines="50" w:after="120"/>
              <w:ind w:left="601"/>
              <w:rPr>
                <w:szCs w:val="24"/>
                <w:lang w:eastAsia="en-US"/>
              </w:rPr>
            </w:pPr>
            <w:r w:rsidRPr="00BD76AF">
              <w:rPr>
                <w:szCs w:val="24"/>
                <w:lang w:eastAsia="en-US"/>
              </w:rPr>
              <w:t xml:space="preserve">Les deux Parties doivent sans délai mettre à la </w:t>
            </w:r>
            <w:r w:rsidRPr="00BD76AF">
              <w:t>disposition</w:t>
            </w:r>
            <w:r w:rsidRPr="00BD76AF">
              <w:rPr>
                <w:szCs w:val="24"/>
                <w:lang w:eastAsia="en-US"/>
              </w:rPr>
              <w:t xml:space="preserve"> du </w:t>
            </w:r>
            <w:r w:rsidRPr="00BD76AF">
              <w:rPr>
                <w:szCs w:val="24"/>
                <w:lang w:eastAsia="ja-JP"/>
              </w:rPr>
              <w:t>Comité de Règlement des Différends</w:t>
            </w:r>
            <w:r w:rsidRPr="00BD76AF">
              <w:rPr>
                <w:szCs w:val="24"/>
                <w:lang w:eastAsia="en-US"/>
              </w:rPr>
              <w:t xml:space="preserve"> toute information supplémentaire, permettre l’accès au Site, et mettre à disposition toutes les installations appropriées que le </w:t>
            </w:r>
            <w:r w:rsidRPr="00BD76AF">
              <w:rPr>
                <w:szCs w:val="24"/>
                <w:lang w:eastAsia="ja-JP"/>
              </w:rPr>
              <w:t>Comité de Règlement des Différends</w:t>
            </w:r>
            <w:r w:rsidRPr="00BD76AF">
              <w:rPr>
                <w:szCs w:val="24"/>
                <w:lang w:eastAsia="en-US"/>
              </w:rPr>
              <w:t xml:space="preserve"> peut exiger dans le but de prendre une décision concernant le différend en question. Le </w:t>
            </w:r>
            <w:r w:rsidRPr="00BD76AF">
              <w:rPr>
                <w:szCs w:val="24"/>
                <w:lang w:eastAsia="ja-JP"/>
              </w:rPr>
              <w:t>Comité de Règlement des Différends</w:t>
            </w:r>
            <w:r w:rsidRPr="00BD76AF">
              <w:rPr>
                <w:szCs w:val="24"/>
                <w:lang w:eastAsia="en-US"/>
              </w:rPr>
              <w:t xml:space="preserve"> est réputé ne pas agir en qualité d’arbitre(s).</w:t>
            </w:r>
          </w:p>
          <w:p w14:paraId="41F96E01" w14:textId="77777777" w:rsidR="00F332DA" w:rsidRPr="00BD76AF" w:rsidRDefault="00F332DA" w:rsidP="00052E7C">
            <w:pPr>
              <w:spacing w:afterLines="50" w:after="120"/>
              <w:ind w:left="601"/>
              <w:rPr>
                <w:szCs w:val="24"/>
                <w:lang w:eastAsia="en-US"/>
              </w:rPr>
            </w:pPr>
            <w:r w:rsidRPr="00BD76AF">
              <w:rPr>
                <w:szCs w:val="24"/>
                <w:lang w:eastAsia="en-US"/>
              </w:rPr>
              <w:t xml:space="preserve">Dans un délai de quatre-vingt-quatre (84) jours après avoir reçu la saisine ou dans tout autre délai qui aura été proposé par le </w:t>
            </w:r>
            <w:r w:rsidRPr="00BD76AF">
              <w:rPr>
                <w:szCs w:val="24"/>
                <w:lang w:eastAsia="ja-JP"/>
              </w:rPr>
              <w:t>Comité de Règlement des Différends</w:t>
            </w:r>
            <w:r w:rsidRPr="00BD76AF">
              <w:rPr>
                <w:szCs w:val="24"/>
                <w:lang w:eastAsia="en-US"/>
              </w:rPr>
              <w:t xml:space="preserve"> et approuvé par les deux Parties, le </w:t>
            </w:r>
            <w:r w:rsidRPr="00BD76AF">
              <w:rPr>
                <w:szCs w:val="24"/>
                <w:lang w:eastAsia="ja-JP"/>
              </w:rPr>
              <w:t>Comité de Règlement des Différends</w:t>
            </w:r>
            <w:r w:rsidRPr="00BD76AF">
              <w:rPr>
                <w:szCs w:val="24"/>
                <w:lang w:eastAsia="en-US"/>
              </w:rPr>
              <w:t xml:space="preserve"> doit rendre une décision, qui doit être motivée et mentionner qu’elle a été rendue conformément au présent Article. La décision a force obligatoire pour les deux Parties, qui doivent immédiatement l’appliquer, à moins que et jusqu’à ce qu’elle ait été révisée par un accord amiable ou par une décision arbitrale, comme décrit ci-dessous. À moins que le Marché n’ait déjà été interrompu, dénoncé ou résilié,</w:t>
            </w:r>
            <w:r w:rsidRPr="00BD76AF">
              <w:rPr>
                <w:szCs w:val="24"/>
              </w:rPr>
              <w:t xml:space="preserve"> l’Entrepreneur</w:t>
            </w:r>
            <w:r w:rsidRPr="00BD76AF">
              <w:rPr>
                <w:szCs w:val="24"/>
                <w:lang w:eastAsia="en-US"/>
              </w:rPr>
              <w:t xml:space="preserve"> doit poursuivre la mise en </w:t>
            </w:r>
            <w:r w:rsidRPr="00BD76AF">
              <w:rPr>
                <w:szCs w:val="24"/>
                <w:lang w:eastAsia="ja-JP"/>
              </w:rPr>
              <w:t>œuvre</w:t>
            </w:r>
            <w:r w:rsidRPr="00BD76AF">
              <w:rPr>
                <w:szCs w:val="24"/>
                <w:lang w:eastAsia="en-US"/>
              </w:rPr>
              <w:t xml:space="preserve"> des travaux conformément au Marché.</w:t>
            </w:r>
          </w:p>
          <w:p w14:paraId="18FDEAD1" w14:textId="77777777" w:rsidR="00F332DA" w:rsidRPr="00BD76AF" w:rsidRDefault="00F332DA" w:rsidP="00052E7C">
            <w:pPr>
              <w:spacing w:afterLines="50" w:after="120"/>
              <w:ind w:left="601"/>
              <w:rPr>
                <w:szCs w:val="24"/>
                <w:lang w:eastAsia="en-US"/>
              </w:rPr>
            </w:pPr>
            <w:r w:rsidRPr="00BD76AF">
              <w:rPr>
                <w:szCs w:val="24"/>
                <w:lang w:eastAsia="en-US"/>
              </w:rPr>
              <w:t xml:space="preserve">Si l’une des Partie est en désaccord avec la décision du </w:t>
            </w:r>
            <w:r w:rsidRPr="00BD76AF">
              <w:rPr>
                <w:szCs w:val="24"/>
                <w:lang w:eastAsia="ja-JP"/>
              </w:rPr>
              <w:t>Comité de Règlement des Différends</w:t>
            </w:r>
            <w:r w:rsidRPr="00BD76AF">
              <w:rPr>
                <w:szCs w:val="24"/>
                <w:lang w:eastAsia="en-US"/>
              </w:rPr>
              <w:t xml:space="preserve">, elle peut alors, dans un délai de vingt-huit (28) jours après réception de la décision, notifier à l’autre Partie son désaccord et son intention d’entamer une procédure d’arbitrage. Si le </w:t>
            </w:r>
            <w:r w:rsidRPr="00BD76AF">
              <w:rPr>
                <w:szCs w:val="24"/>
                <w:lang w:eastAsia="ja-JP"/>
              </w:rPr>
              <w:t>Comité de Règlement des Différends</w:t>
            </w:r>
            <w:r w:rsidRPr="00BD76AF">
              <w:rPr>
                <w:szCs w:val="24"/>
                <w:lang w:eastAsia="en-US"/>
              </w:rPr>
              <w:t xml:space="preserve"> ne rend pas sa décision dans ce délai de quatre-vingt-quatre (84) jours (ou dans tout délai autrement convenu) après la réception de la saisine, alors l’une des Parties peut, dans un délai de vingt-huit (28) jours après expiration de ce délai, notifier à l’autre Partie son désaccord et son intention d’entamer une procédure d’arbitrage.</w:t>
            </w:r>
          </w:p>
          <w:p w14:paraId="60260E38" w14:textId="77777777" w:rsidR="00F332DA" w:rsidRPr="00BD76AF" w:rsidRDefault="00F332DA" w:rsidP="00052E7C">
            <w:pPr>
              <w:spacing w:afterLines="50" w:after="120"/>
              <w:ind w:left="601"/>
              <w:rPr>
                <w:szCs w:val="24"/>
                <w:lang w:eastAsia="en-US"/>
              </w:rPr>
            </w:pPr>
            <w:r w:rsidRPr="00BD76AF">
              <w:rPr>
                <w:szCs w:val="24"/>
                <w:lang w:eastAsia="en-US"/>
              </w:rPr>
              <w:t>Dans chaque cas, cette notification de désaccord doit indiquer qu’elle a été rendue en référence au présent Article, et doit préciser le sujet du différend et la(les) raison(s) du désaccord. À l’exception des situations visées aux Articles 45.6 et 45.7 des CG, aucune Partie n’aura le droit d’entamer une procédure d’arbitrage du différend à moins qu’une notification de désaccord n’ait été remise conformément au présent Article.</w:t>
            </w:r>
          </w:p>
          <w:p w14:paraId="2EFC6053" w14:textId="77777777" w:rsidR="00F332DA" w:rsidRPr="00BD76AF" w:rsidRDefault="00F332DA" w:rsidP="003B4B10">
            <w:pPr>
              <w:spacing w:after="200"/>
              <w:ind w:left="601"/>
              <w:rPr>
                <w:szCs w:val="24"/>
                <w:lang w:eastAsia="en-US"/>
              </w:rPr>
            </w:pPr>
            <w:r w:rsidRPr="00BD76AF">
              <w:rPr>
                <w:szCs w:val="24"/>
                <w:lang w:eastAsia="en-US"/>
              </w:rPr>
              <w:t xml:space="preserve">Si le </w:t>
            </w:r>
            <w:r w:rsidRPr="00BD76AF">
              <w:rPr>
                <w:szCs w:val="24"/>
                <w:lang w:eastAsia="ja-JP"/>
              </w:rPr>
              <w:t>Comité de Règlement des Différends</w:t>
            </w:r>
            <w:r w:rsidRPr="00BD76AF">
              <w:rPr>
                <w:szCs w:val="24"/>
                <w:lang w:eastAsia="en-US"/>
              </w:rPr>
              <w:t xml:space="preserve"> a rendu sa décision quant à un sujet de différend entre les Parties, et qu’aucune notification de désaccord n’a été remise par les Parties dans un délai de vingt-huit (28) jours après la réception de la décision du </w:t>
            </w:r>
            <w:r w:rsidRPr="00BD76AF">
              <w:rPr>
                <w:szCs w:val="24"/>
                <w:lang w:eastAsia="ja-JP"/>
              </w:rPr>
              <w:t>Comité de Règlement des Différends</w:t>
            </w:r>
            <w:r w:rsidRPr="00BD76AF">
              <w:rPr>
                <w:szCs w:val="24"/>
                <w:lang w:eastAsia="en-US"/>
              </w:rPr>
              <w:t>, la décision deviendra alors définitive et aura force obligatoire pour les deux Parties.</w:t>
            </w:r>
          </w:p>
        </w:tc>
      </w:tr>
      <w:tr w:rsidR="00F332DA" w:rsidRPr="00BD76AF" w14:paraId="2270BF5D" w14:textId="77777777" w:rsidTr="004D2330">
        <w:tc>
          <w:tcPr>
            <w:tcW w:w="2352" w:type="dxa"/>
          </w:tcPr>
          <w:p w14:paraId="06B95B11" w14:textId="77777777" w:rsidR="00F332DA" w:rsidRPr="00BD76AF" w:rsidRDefault="00F332DA" w:rsidP="00E9139D"/>
        </w:tc>
        <w:tc>
          <w:tcPr>
            <w:tcW w:w="6936" w:type="dxa"/>
          </w:tcPr>
          <w:p w14:paraId="0FE7595F" w14:textId="77777777" w:rsidR="00F332DA" w:rsidRPr="00BD76AF" w:rsidRDefault="00F332DA" w:rsidP="0011300E">
            <w:pPr>
              <w:spacing w:afterLines="50" w:after="120"/>
              <w:ind w:left="601" w:hanging="601"/>
              <w:rPr>
                <w:szCs w:val="24"/>
                <w:lang w:eastAsia="ja-JP"/>
              </w:rPr>
            </w:pPr>
            <w:r w:rsidRPr="00BD76AF">
              <w:rPr>
                <w:szCs w:val="24"/>
                <w:lang w:eastAsia="en-US"/>
              </w:rPr>
              <w:t>45.4</w:t>
            </w:r>
            <w:r w:rsidRPr="00BD76AF">
              <w:rPr>
                <w:szCs w:val="24"/>
                <w:lang w:eastAsia="ja-JP"/>
              </w:rPr>
              <w:tab/>
            </w:r>
            <w:r w:rsidRPr="00BD76AF">
              <w:rPr>
                <w:szCs w:val="24"/>
                <w:u w:val="single"/>
              </w:rPr>
              <w:t>Règlement</w:t>
            </w:r>
            <w:r w:rsidRPr="00BD76AF">
              <w:rPr>
                <w:szCs w:val="24"/>
                <w:u w:val="single"/>
                <w:lang w:eastAsia="en-US"/>
              </w:rPr>
              <w:t xml:space="preserve"> amiable</w:t>
            </w:r>
          </w:p>
          <w:p w14:paraId="395C3BD9" w14:textId="77777777" w:rsidR="00F332DA" w:rsidRPr="00BD76AF" w:rsidRDefault="00F332DA" w:rsidP="003B4B10">
            <w:pPr>
              <w:spacing w:after="200"/>
              <w:ind w:left="601"/>
              <w:rPr>
                <w:szCs w:val="24"/>
              </w:rPr>
            </w:pPr>
            <w:r w:rsidRPr="00BD76AF">
              <w:rPr>
                <w:szCs w:val="24"/>
                <w:lang w:eastAsia="en-US"/>
              </w:rPr>
              <w:t xml:space="preserve">Lorsqu’un désaccord a été notifié par écrit conformément à l’Article 45.3 des CG ci-dessus, les deux Parties doivent s’efforcer de régler leur différend à l’amiable avant d’entamer la procédure d’arbitrage. Toutefois, à </w:t>
            </w:r>
            <w:r w:rsidRPr="00BD76AF">
              <w:t>moins</w:t>
            </w:r>
            <w:r w:rsidRPr="00BD76AF">
              <w:rPr>
                <w:szCs w:val="24"/>
                <w:lang w:eastAsia="en-US"/>
              </w:rPr>
              <w:t xml:space="preserve"> que les deux Parties n’en conviennent autrement, la procédure d’arbitrage peut commencer à partir du cinquante-sixième (56</w:t>
            </w:r>
            <w:r w:rsidRPr="00BD76AF">
              <w:rPr>
                <w:szCs w:val="24"/>
                <w:vertAlign w:val="superscript"/>
                <w:lang w:eastAsia="en-US"/>
              </w:rPr>
              <w:t>e</w:t>
            </w:r>
            <w:r w:rsidRPr="00BD76AF">
              <w:rPr>
                <w:szCs w:val="24"/>
                <w:lang w:eastAsia="en-US"/>
              </w:rPr>
              <w:t>) jour suivant la date à laquelle le désaccord et l’intention d’entamer la procédure arbitrale ont été notifiés, même si aucune tentative de règlement amiable n’a été effectuée.</w:t>
            </w:r>
          </w:p>
        </w:tc>
      </w:tr>
      <w:tr w:rsidR="00F332DA" w:rsidRPr="00BD76AF" w14:paraId="62F28249" w14:textId="77777777" w:rsidTr="004D2330">
        <w:tc>
          <w:tcPr>
            <w:tcW w:w="2352" w:type="dxa"/>
          </w:tcPr>
          <w:p w14:paraId="5A6A09DB" w14:textId="77777777" w:rsidR="00F332DA" w:rsidRPr="00BD76AF" w:rsidRDefault="00F332DA" w:rsidP="007012DC">
            <w:pPr>
              <w:pStyle w:val="S7Header2"/>
              <w:tabs>
                <w:tab w:val="clear" w:pos="360"/>
              </w:tabs>
              <w:rPr>
                <w:szCs w:val="24"/>
              </w:rPr>
            </w:pPr>
          </w:p>
        </w:tc>
        <w:tc>
          <w:tcPr>
            <w:tcW w:w="6936" w:type="dxa"/>
          </w:tcPr>
          <w:p w14:paraId="310903CE" w14:textId="77777777" w:rsidR="00F332DA" w:rsidRPr="00BD76AF" w:rsidRDefault="00F332DA" w:rsidP="0011300E">
            <w:pPr>
              <w:spacing w:afterLines="50" w:after="120"/>
              <w:ind w:left="601" w:hanging="601"/>
              <w:rPr>
                <w:szCs w:val="24"/>
              </w:rPr>
            </w:pPr>
            <w:r w:rsidRPr="00BD76AF">
              <w:rPr>
                <w:szCs w:val="24"/>
              </w:rPr>
              <w:t>45.5</w:t>
            </w:r>
            <w:r w:rsidRPr="00BD76AF">
              <w:rPr>
                <w:szCs w:val="24"/>
                <w:lang w:eastAsia="ja-JP"/>
              </w:rPr>
              <w:tab/>
            </w:r>
            <w:r w:rsidRPr="00BD76AF">
              <w:rPr>
                <w:szCs w:val="24"/>
                <w:u w:val="single"/>
              </w:rPr>
              <w:t>Arbitrage</w:t>
            </w:r>
          </w:p>
          <w:p w14:paraId="41E3C93B" w14:textId="77777777" w:rsidR="00F332DA" w:rsidRPr="00BD76AF" w:rsidRDefault="00F332DA" w:rsidP="00052E7C">
            <w:pPr>
              <w:spacing w:afterLines="50" w:after="120"/>
              <w:ind w:left="601"/>
            </w:pPr>
            <w:r w:rsidRPr="00BD76AF">
              <w:rPr>
                <w:szCs w:val="24"/>
                <w:lang w:eastAsia="ja-JP"/>
              </w:rPr>
              <w:t>Tout différend entre les Parties en lien avec ou découlant du Marché n’ayant pu être réglé à l’amiable conformément à l’Article 45.4 des CG ci-dessus et pour lequel la décision du Comité de Règlement des Différends (le cas échéant) n’est pas devenue définitive et obligatoire, doit être définitivement tranché par voie d’arbitrage selon la procédure décrite ci-après</w:t>
            </w:r>
            <w:r w:rsidRPr="00BD76AF">
              <w:t> :</w:t>
            </w:r>
          </w:p>
          <w:p w14:paraId="5AABBCA4" w14:textId="77777777" w:rsidR="00F332DA" w:rsidRPr="00BD76AF" w:rsidRDefault="00F332DA" w:rsidP="00C21879">
            <w:pPr>
              <w:pStyle w:val="SectionVII1"/>
              <w:rPr>
                <w:lang w:val="fr-FR"/>
              </w:rPr>
            </w:pPr>
            <w:r w:rsidRPr="00BD76AF">
              <w:rPr>
                <w:lang w:val="fr-FR"/>
              </w:rPr>
              <w:t>a)</w:t>
            </w:r>
            <w:r w:rsidRPr="00BD76AF">
              <w:rPr>
                <w:lang w:val="fr-FR"/>
              </w:rPr>
              <w:tab/>
              <w:t xml:space="preserve">Si le Marché est conclu avec un entrepreneur étranger (ou si le mandataire commun est un entrepreneur étranger, en cas d’entrepreneurs groupés), l’arbitrage international i) selon une procédure administrée par l’institution arbitrale </w:t>
            </w:r>
            <w:r w:rsidRPr="00BD76AF">
              <w:rPr>
                <w:b/>
                <w:lang w:val="fr-FR"/>
              </w:rPr>
              <w:t>désignée dans les Données du Marché</w:t>
            </w:r>
            <w:r w:rsidRPr="00BD76AF">
              <w:rPr>
                <w:lang w:val="fr-FR"/>
              </w:rPr>
              <w:t xml:space="preserve">, et conduite selon le règlement d’arbitrage de cette institution ; ou ii) si cela est </w:t>
            </w:r>
            <w:r w:rsidRPr="00BD76AF">
              <w:rPr>
                <w:b/>
                <w:lang w:val="fr-FR"/>
              </w:rPr>
              <w:t>spécifié dans les Données du Marché</w:t>
            </w:r>
            <w:r w:rsidRPr="00BD76AF">
              <w:rPr>
                <w:lang w:val="fr-FR"/>
              </w:rPr>
              <w:t>, selon une procédure administrée par la Japan Commercial Arbitration Association (JCAA) et conduite selon le règlement d’arbitrage de la JCAA ; ou iii) si aucune institution arbitrale ni aucun règlement d’arbitrage ne sont</w:t>
            </w:r>
            <w:r w:rsidRPr="00BD76AF">
              <w:rPr>
                <w:b/>
                <w:lang w:val="fr-FR"/>
              </w:rPr>
              <w:t xml:space="preserve"> spécifiés dans les Données du Marché</w:t>
            </w:r>
            <w:r w:rsidRPr="00BD76AF">
              <w:rPr>
                <w:lang w:val="fr-FR"/>
              </w:rPr>
              <w:t>, selon une procédure administrée par la Chambre de Commerce Internationale (CCI) et conduite selon le règlement d’arbitrage de la CCI, par un ou plusieurs arbitres nommés conformément audit règlement d’arbitrage.</w:t>
            </w:r>
          </w:p>
          <w:p w14:paraId="0970C21D" w14:textId="77777777" w:rsidR="00F332DA" w:rsidRPr="00BD76AF" w:rsidRDefault="00F332DA" w:rsidP="00C21879">
            <w:pPr>
              <w:pStyle w:val="SectionVII1"/>
              <w:rPr>
                <w:lang w:val="fr-FR"/>
              </w:rPr>
            </w:pPr>
            <w:r w:rsidRPr="00BD76AF">
              <w:rPr>
                <w:lang w:val="fr-FR"/>
              </w:rPr>
              <w:t>b)</w:t>
            </w:r>
            <w:r w:rsidRPr="00BD76AF">
              <w:rPr>
                <w:lang w:val="fr-FR"/>
              </w:rPr>
              <w:tab/>
              <w:t>Si le Marché est conclu avec un entrepreneur national (ou si le mandataire commun est un entrepreneur national, en cas d’entrepreneurs groupés), l’arbitrage avec une procédure conduite conformément aux lois du pays hôte.</w:t>
            </w:r>
          </w:p>
          <w:p w14:paraId="45D3808B" w14:textId="77777777" w:rsidR="00F332DA" w:rsidRPr="00BD76AF" w:rsidRDefault="00F332DA" w:rsidP="00052E7C">
            <w:pPr>
              <w:spacing w:afterLines="50" w:after="120"/>
              <w:ind w:left="601"/>
            </w:pPr>
            <w:r w:rsidRPr="00BD76AF">
              <w:rPr>
                <w:szCs w:val="24"/>
                <w:lang w:eastAsia="ja-JP"/>
              </w:rPr>
              <w:t xml:space="preserve">L’arbitrage se tiendra dans un lieu neutre choisi conformément au règlement d’arbitrage applicable et sera conduit dans la langue </w:t>
            </w:r>
            <w:r w:rsidRPr="00BD76AF">
              <w:rPr>
                <w:rFonts w:hint="eastAsia"/>
                <w:szCs w:val="24"/>
                <w:lang w:eastAsia="ja-JP"/>
              </w:rPr>
              <w:t>d</w:t>
            </w:r>
            <w:r w:rsidRPr="00BD76AF">
              <w:rPr>
                <w:szCs w:val="24"/>
                <w:lang w:eastAsia="ja-JP"/>
              </w:rPr>
              <w:t>e communication définie à l’Article 5.3 (</w:t>
            </w:r>
            <w:r w:rsidRPr="00BD76AF">
              <w:rPr>
                <w:i/>
                <w:szCs w:val="24"/>
                <w:lang w:eastAsia="ja-JP"/>
              </w:rPr>
              <w:t>Droit et Langue</w:t>
            </w:r>
            <w:r w:rsidRPr="00BD76AF">
              <w:rPr>
                <w:szCs w:val="24"/>
                <w:lang w:eastAsia="ja-JP"/>
              </w:rPr>
              <w:t>) des CG</w:t>
            </w:r>
            <w:r w:rsidRPr="00BD76AF">
              <w:t>.</w:t>
            </w:r>
          </w:p>
          <w:p w14:paraId="5DF71C33" w14:textId="77777777" w:rsidR="00F332DA" w:rsidRPr="00BD76AF" w:rsidRDefault="00F332DA" w:rsidP="00052E7C">
            <w:pPr>
              <w:spacing w:afterLines="50" w:after="120"/>
              <w:ind w:left="601"/>
            </w:pPr>
            <w:r w:rsidRPr="00BD76AF">
              <w:rPr>
                <w:szCs w:val="24"/>
                <w:lang w:eastAsia="ja-JP"/>
              </w:rPr>
              <w:t xml:space="preserve">Le ou les arbitres auront la pleine autorité pour rouvrir, réexaminer et réviser les certificats, déterminations, instructions, opinions ou valorisations du </w:t>
            </w:r>
            <w:r w:rsidRPr="00BD76AF">
              <w:rPr>
                <w:noProof/>
                <w:lang w:eastAsia="en-US"/>
              </w:rPr>
              <w:t>Directeur de projet</w:t>
            </w:r>
            <w:r w:rsidRPr="00BD76AF">
              <w:rPr>
                <w:szCs w:val="24"/>
                <w:lang w:eastAsia="ja-JP"/>
              </w:rPr>
              <w:t xml:space="preserve">, ainsi que toute décision du Comité de Règlement des Différends, relatifs au différend. Rien ne s’opposera à ce que les représentants des Parties et du </w:t>
            </w:r>
            <w:r w:rsidRPr="00BD76AF">
              <w:rPr>
                <w:noProof/>
                <w:lang w:eastAsia="en-US"/>
              </w:rPr>
              <w:t>Directeur de projet</w:t>
            </w:r>
            <w:r w:rsidRPr="00BD76AF">
              <w:rPr>
                <w:szCs w:val="24"/>
                <w:lang w:eastAsia="ja-JP"/>
              </w:rPr>
              <w:t xml:space="preserve"> puissent être appelés comme témoin et à ce qu’ils apportent des preuves devant le(s) arbitre(s) sur quelque matière que ce soit relative au différend</w:t>
            </w:r>
            <w:r w:rsidRPr="00BD76AF">
              <w:t>.</w:t>
            </w:r>
          </w:p>
          <w:p w14:paraId="6C01CA35" w14:textId="77777777" w:rsidR="00F332DA" w:rsidRPr="00BD76AF" w:rsidRDefault="00F332DA" w:rsidP="00052E7C">
            <w:pPr>
              <w:spacing w:afterLines="50" w:after="120"/>
              <w:ind w:left="601"/>
            </w:pPr>
            <w:r w:rsidRPr="00BD76AF">
              <w:rPr>
                <w:szCs w:val="24"/>
                <w:lang w:eastAsia="ja-JP"/>
              </w:rPr>
              <w:t>Dans le cadre de la procédure arbitrale, aucune des Parties ne sera limitée aux preuves ou arguments déjà avancés devant le Comité de Règlement des Différends pour obtenir sa décision, ou aux motifs de désaccord avancés dans la notification de désaccord. Toute décision du Comité de Règlement des Différends constituera une preuve recevable lors de la procédure d’arbitrage</w:t>
            </w:r>
            <w:r w:rsidRPr="00BD76AF">
              <w:t>.</w:t>
            </w:r>
          </w:p>
          <w:p w14:paraId="1BB752DC" w14:textId="77777777" w:rsidR="00F332DA" w:rsidRPr="00BD76AF" w:rsidRDefault="00F332DA" w:rsidP="003B4B10">
            <w:pPr>
              <w:spacing w:after="200"/>
              <w:ind w:left="601"/>
              <w:rPr>
                <w:szCs w:val="24"/>
              </w:rPr>
            </w:pPr>
            <w:r w:rsidRPr="00BD76AF">
              <w:rPr>
                <w:szCs w:val="24"/>
                <w:lang w:eastAsia="ja-JP"/>
              </w:rPr>
              <w:t xml:space="preserve">La procédure d’arbitrage peut être introduite avant ou après l’achèvement des Installations. Les obligations des Parties, du </w:t>
            </w:r>
            <w:r w:rsidRPr="00BD76AF">
              <w:rPr>
                <w:noProof/>
                <w:lang w:eastAsia="en-US"/>
              </w:rPr>
              <w:t>Directeur de projet</w:t>
            </w:r>
            <w:r w:rsidRPr="00BD76AF">
              <w:rPr>
                <w:szCs w:val="24"/>
                <w:lang w:eastAsia="ja-JP"/>
              </w:rPr>
              <w:t xml:space="preserve"> et du Comité de Règlement des Différends ne doivent pas être affectées par le fait que la procédure d’arbitrage est conduite pendant l’exécution des travaux sur les Installations</w:t>
            </w:r>
            <w:r w:rsidRPr="00BD76AF">
              <w:t>.</w:t>
            </w:r>
          </w:p>
        </w:tc>
      </w:tr>
      <w:tr w:rsidR="00F332DA" w:rsidRPr="00BD76AF" w14:paraId="5952E470" w14:textId="77777777" w:rsidTr="00705A0B">
        <w:trPr>
          <w:cantSplit/>
        </w:trPr>
        <w:tc>
          <w:tcPr>
            <w:tcW w:w="2352" w:type="dxa"/>
          </w:tcPr>
          <w:p w14:paraId="0C7D057C" w14:textId="77777777" w:rsidR="00F332DA" w:rsidRPr="00BD76AF" w:rsidRDefault="00F332DA" w:rsidP="007012DC">
            <w:pPr>
              <w:pStyle w:val="S7Header2"/>
              <w:tabs>
                <w:tab w:val="clear" w:pos="360"/>
              </w:tabs>
              <w:rPr>
                <w:szCs w:val="24"/>
              </w:rPr>
            </w:pPr>
          </w:p>
        </w:tc>
        <w:tc>
          <w:tcPr>
            <w:tcW w:w="6936" w:type="dxa"/>
          </w:tcPr>
          <w:p w14:paraId="33482D28" w14:textId="77777777" w:rsidR="00F332DA" w:rsidRPr="00BD76AF" w:rsidRDefault="00F332DA" w:rsidP="0011300E">
            <w:pPr>
              <w:spacing w:afterLines="50" w:after="120"/>
              <w:ind w:left="601" w:hanging="601"/>
              <w:rPr>
                <w:szCs w:val="24"/>
                <w:u w:val="single"/>
              </w:rPr>
            </w:pPr>
            <w:r w:rsidRPr="00BD76AF">
              <w:rPr>
                <w:szCs w:val="24"/>
              </w:rPr>
              <w:t>45.6</w:t>
            </w:r>
            <w:r w:rsidRPr="00BD76AF">
              <w:rPr>
                <w:szCs w:val="24"/>
                <w:lang w:eastAsia="ja-JP"/>
              </w:rPr>
              <w:tab/>
            </w:r>
            <w:r w:rsidRPr="00BD76AF">
              <w:rPr>
                <w:szCs w:val="24"/>
                <w:u w:val="single"/>
              </w:rPr>
              <w:t>Non-respect de la décision du Comité de Règlement des Différends</w:t>
            </w:r>
          </w:p>
          <w:p w14:paraId="72F91977" w14:textId="77777777" w:rsidR="00F332DA" w:rsidRPr="00BD76AF" w:rsidRDefault="00F332DA" w:rsidP="003B4B10">
            <w:pPr>
              <w:spacing w:after="200"/>
              <w:ind w:left="601"/>
              <w:rPr>
                <w:szCs w:val="24"/>
              </w:rPr>
            </w:pPr>
            <w:r w:rsidRPr="00BD76AF">
              <w:rPr>
                <w:szCs w:val="24"/>
                <w:lang w:eastAsia="ja-JP"/>
              </w:rPr>
              <w:t xml:space="preserve">Dans l’hypothèse où une Partie ne se conforme pas à la décision, qu’elle soit obligatoire ou définitive et obligatoire, du Comité de Règlement des Différends, alors l’autre Partie peut, sans préjudice des autres droits qu’elle peut avoir, soumettre ce manquement en tant que tel à l’arbitrage selon l’Article </w:t>
            </w:r>
            <w:r w:rsidRPr="00BD76AF">
              <w:t>45.5</w:t>
            </w:r>
            <w:r w:rsidRPr="00BD76AF">
              <w:rPr>
                <w:szCs w:val="24"/>
              </w:rPr>
              <w:t xml:space="preserve"> </w:t>
            </w:r>
            <w:r w:rsidRPr="00BD76AF">
              <w:t>(</w:t>
            </w:r>
            <w:r w:rsidRPr="00BD76AF">
              <w:rPr>
                <w:i/>
                <w:szCs w:val="24"/>
              </w:rPr>
              <w:t>Arbitrage</w:t>
            </w:r>
            <w:r w:rsidRPr="00BD76AF">
              <w:t>) des CG</w:t>
            </w:r>
            <w:r w:rsidRPr="00BD76AF">
              <w:rPr>
                <w:szCs w:val="24"/>
                <w:lang w:eastAsia="ja-JP"/>
              </w:rPr>
              <w:t>. Les Articles 45.3 (</w:t>
            </w:r>
            <w:r w:rsidRPr="00BD76AF">
              <w:rPr>
                <w:i/>
                <w:szCs w:val="24"/>
                <w:lang w:eastAsia="ja-JP"/>
              </w:rPr>
              <w:t>Obtention de la décision du Comité de Règlement des Différends</w:t>
            </w:r>
            <w:r w:rsidRPr="00BD76AF">
              <w:rPr>
                <w:szCs w:val="24"/>
                <w:lang w:eastAsia="ja-JP"/>
              </w:rPr>
              <w:t>) et 45.4 (</w:t>
            </w:r>
            <w:r w:rsidRPr="00BD76AF">
              <w:rPr>
                <w:i/>
                <w:szCs w:val="24"/>
                <w:lang w:eastAsia="ja-JP"/>
              </w:rPr>
              <w:t>Règlement amiable</w:t>
            </w:r>
            <w:r w:rsidRPr="00BD76AF">
              <w:rPr>
                <w:szCs w:val="24"/>
                <w:lang w:eastAsia="ja-JP"/>
              </w:rPr>
              <w:t xml:space="preserve">) des CG ne seront pas applicables en l’espèce. Le tribunal arbitral (constitué en vertu de l’Article </w:t>
            </w:r>
            <w:r w:rsidRPr="00BD76AF">
              <w:t>45.5 des CG)</w:t>
            </w:r>
            <w:r w:rsidRPr="00BD76AF">
              <w:rPr>
                <w:szCs w:val="24"/>
                <w:lang w:eastAsia="ja-JP"/>
              </w:rPr>
              <w:t xml:space="preserve"> aura l’autorité, par la voie d’une procédure d’urgence ou de toute autre procédure accélérée, d’ordonner, par adjudication partielle ou par une mesure ou une sentence provisoire (selon le droit applicable ou selon toute autre norme applicable), l’exécution de cette décision</w:t>
            </w:r>
            <w:r w:rsidRPr="00BD76AF">
              <w:rPr>
                <w:szCs w:val="24"/>
              </w:rPr>
              <w:t>.</w:t>
            </w:r>
          </w:p>
        </w:tc>
      </w:tr>
      <w:tr w:rsidR="00F332DA" w:rsidRPr="00BD76AF" w14:paraId="54FB53A2" w14:textId="77777777" w:rsidTr="004D2330">
        <w:tc>
          <w:tcPr>
            <w:tcW w:w="2352" w:type="dxa"/>
          </w:tcPr>
          <w:p w14:paraId="5C12806A" w14:textId="77777777" w:rsidR="00F332DA" w:rsidRPr="00BD76AF" w:rsidRDefault="00F332DA" w:rsidP="007012DC">
            <w:pPr>
              <w:pStyle w:val="S7Header2"/>
              <w:tabs>
                <w:tab w:val="clear" w:pos="360"/>
              </w:tabs>
              <w:rPr>
                <w:szCs w:val="24"/>
              </w:rPr>
            </w:pPr>
          </w:p>
        </w:tc>
        <w:tc>
          <w:tcPr>
            <w:tcW w:w="6936" w:type="dxa"/>
          </w:tcPr>
          <w:p w14:paraId="4CD559A5" w14:textId="77777777" w:rsidR="00F332DA" w:rsidRPr="00BD76AF" w:rsidRDefault="00F332DA" w:rsidP="0011300E">
            <w:pPr>
              <w:spacing w:afterLines="50" w:after="120"/>
              <w:ind w:left="601" w:hanging="601"/>
              <w:rPr>
                <w:szCs w:val="24"/>
                <w:u w:val="single"/>
              </w:rPr>
            </w:pPr>
            <w:r w:rsidRPr="00BD76AF">
              <w:rPr>
                <w:szCs w:val="24"/>
              </w:rPr>
              <w:t>45.7</w:t>
            </w:r>
            <w:r w:rsidRPr="00BD76AF">
              <w:rPr>
                <w:szCs w:val="24"/>
                <w:lang w:eastAsia="ja-JP"/>
              </w:rPr>
              <w:tab/>
            </w:r>
            <w:r w:rsidRPr="00BD76AF">
              <w:rPr>
                <w:szCs w:val="24"/>
                <w:u w:val="single"/>
              </w:rPr>
              <w:t>Pas de Comité de Règlement des Différends en place</w:t>
            </w:r>
          </w:p>
          <w:p w14:paraId="2FDCE170" w14:textId="77777777" w:rsidR="00F332DA" w:rsidRPr="00BD76AF" w:rsidRDefault="00F332DA" w:rsidP="00052E7C">
            <w:pPr>
              <w:spacing w:afterLines="50" w:after="120"/>
              <w:ind w:left="601"/>
              <w:rPr>
                <w:szCs w:val="24"/>
              </w:rPr>
            </w:pPr>
            <w:r w:rsidRPr="00BD76AF">
              <w:rPr>
                <w:szCs w:val="24"/>
              </w:rPr>
              <w:t>Si un différend naît entre les Parties en lien avec ou découlant du Marché ou de l’exécution des travaux sur les Installations, et qu’il n’y a pas de Comité de Règlement des Différends en place (ou aucun Comité de Règlement des Différends n’est constitué), en raison de l’expiration de son mandat ou pour toute autre raison :</w:t>
            </w:r>
          </w:p>
          <w:p w14:paraId="47C15F00" w14:textId="77777777" w:rsidR="00F332DA" w:rsidRPr="00BD76AF" w:rsidRDefault="00F332DA" w:rsidP="00C21879">
            <w:pPr>
              <w:pStyle w:val="SectionVII1"/>
              <w:rPr>
                <w:lang w:val="fr-FR"/>
              </w:rPr>
            </w:pPr>
            <w:r w:rsidRPr="00BD76AF">
              <w:rPr>
                <w:rFonts w:eastAsia="ＭＳ 明朝"/>
                <w:lang w:val="fr-FR" w:eastAsia="ja-JP"/>
              </w:rPr>
              <w:t>a)</w:t>
            </w:r>
            <w:r w:rsidRPr="00BD76AF">
              <w:rPr>
                <w:rFonts w:eastAsia="ＭＳ 明朝"/>
                <w:lang w:val="fr-FR" w:eastAsia="ja-JP"/>
              </w:rPr>
              <w:tab/>
            </w:r>
            <w:r w:rsidRPr="00BD76AF">
              <w:rPr>
                <w:lang w:val="fr-FR"/>
              </w:rPr>
              <w:t>il ne sera pas fait application des dispositions des Articles 45.3 (</w:t>
            </w:r>
            <w:r w:rsidRPr="00BD76AF">
              <w:rPr>
                <w:i/>
                <w:lang w:val="fr-FR"/>
              </w:rPr>
              <w:t>Obtention de la décision du Comité de Règlement des Différends</w:t>
            </w:r>
            <w:r w:rsidRPr="00BD76AF">
              <w:rPr>
                <w:lang w:val="fr-FR"/>
              </w:rPr>
              <w:t>) et 45.4 (</w:t>
            </w:r>
            <w:r w:rsidRPr="00BD76AF">
              <w:rPr>
                <w:i/>
                <w:lang w:val="fr-FR"/>
              </w:rPr>
              <w:t>Règlement amiable</w:t>
            </w:r>
            <w:r w:rsidRPr="00BD76AF">
              <w:rPr>
                <w:lang w:val="fr-FR"/>
              </w:rPr>
              <w:t>) des CG ; et</w:t>
            </w:r>
          </w:p>
          <w:p w14:paraId="6066709E" w14:textId="77777777" w:rsidR="00F332DA" w:rsidRPr="00BD76AF" w:rsidRDefault="00F332DA" w:rsidP="00C21879">
            <w:pPr>
              <w:pStyle w:val="SectionVII1"/>
              <w:rPr>
                <w:lang w:val="fr-FR"/>
              </w:rPr>
            </w:pPr>
            <w:r w:rsidRPr="00BD76AF">
              <w:rPr>
                <w:rFonts w:eastAsia="ＭＳ 明朝"/>
                <w:lang w:val="fr-FR" w:eastAsia="ja-JP"/>
              </w:rPr>
              <w:t>b)</w:t>
            </w:r>
            <w:r w:rsidRPr="00BD76AF">
              <w:rPr>
                <w:rFonts w:eastAsia="ＭＳ 明朝"/>
                <w:lang w:val="fr-FR" w:eastAsia="ja-JP"/>
              </w:rPr>
              <w:tab/>
            </w:r>
            <w:r w:rsidRPr="00BD76AF">
              <w:rPr>
                <w:lang w:val="fr-FR"/>
              </w:rPr>
              <w:t>le différend pourra être directement soumis à arbitrage par chacune des Parties conformément à l’Article 45.5 (</w:t>
            </w:r>
            <w:r w:rsidRPr="00BD76AF">
              <w:rPr>
                <w:i/>
                <w:lang w:val="fr-FR"/>
              </w:rPr>
              <w:t>Arbitrage</w:t>
            </w:r>
            <w:r w:rsidRPr="00BD76AF">
              <w:rPr>
                <w:lang w:val="fr-FR"/>
              </w:rPr>
              <w:t>) des CG sans préjudice des autres droits que la Partie pourrait avoir.</w:t>
            </w:r>
          </w:p>
        </w:tc>
      </w:tr>
      <w:tr w:rsidR="00F332DA" w:rsidRPr="00BD76AF" w14:paraId="077EB4A5" w14:textId="77777777" w:rsidTr="004D2330">
        <w:tc>
          <w:tcPr>
            <w:tcW w:w="2352" w:type="dxa"/>
          </w:tcPr>
          <w:p w14:paraId="48C45FD1" w14:textId="77777777" w:rsidR="00F332DA" w:rsidRPr="00BD76AF" w:rsidRDefault="00F332DA" w:rsidP="007012DC">
            <w:pPr>
              <w:pStyle w:val="S7Header2"/>
              <w:tabs>
                <w:tab w:val="clear" w:pos="360"/>
              </w:tabs>
              <w:rPr>
                <w:szCs w:val="24"/>
              </w:rPr>
            </w:pPr>
          </w:p>
        </w:tc>
        <w:tc>
          <w:tcPr>
            <w:tcW w:w="6936" w:type="dxa"/>
          </w:tcPr>
          <w:p w14:paraId="309CB955" w14:textId="77777777" w:rsidR="00F332DA" w:rsidRPr="00BD76AF" w:rsidRDefault="00F332DA" w:rsidP="00720BFD">
            <w:pPr>
              <w:pStyle w:val="ClauseSubPara1"/>
              <w:spacing w:before="0" w:after="200"/>
              <w:ind w:left="601" w:hanging="601"/>
              <w:jc w:val="both"/>
              <w:rPr>
                <w:lang w:val="fr-FR"/>
              </w:rPr>
            </w:pPr>
            <w:r w:rsidRPr="00BD76AF">
              <w:rPr>
                <w:rFonts w:hint="eastAsia"/>
                <w:sz w:val="24"/>
                <w:szCs w:val="20"/>
                <w:lang w:val="fr-FR"/>
              </w:rPr>
              <w:t>45.8</w:t>
            </w:r>
            <w:r w:rsidRPr="00BD76AF">
              <w:rPr>
                <w:szCs w:val="24"/>
                <w:lang w:val="fr-FR" w:eastAsia="ja-JP"/>
              </w:rPr>
              <w:tab/>
            </w:r>
            <w:r w:rsidRPr="00BD76AF">
              <w:rPr>
                <w:rFonts w:hint="eastAsia"/>
                <w:sz w:val="24"/>
                <w:szCs w:val="24"/>
                <w:lang w:val="fr-FR"/>
              </w:rPr>
              <w:t>N</w:t>
            </w:r>
            <w:r w:rsidRPr="00BD76AF">
              <w:rPr>
                <w:sz w:val="24"/>
                <w:szCs w:val="24"/>
                <w:lang w:val="fr-FR"/>
              </w:rPr>
              <w:t xml:space="preserve">onobstant toute référence au </w:t>
            </w:r>
            <w:r w:rsidRPr="00BD76AF">
              <w:rPr>
                <w:iCs/>
                <w:lang w:val="fr-FR"/>
              </w:rPr>
              <w:t xml:space="preserve">Comité de Règlement des Différends ou </w:t>
            </w:r>
            <w:r w:rsidRPr="00BD76AF">
              <w:rPr>
                <w:sz w:val="24"/>
                <w:szCs w:val="24"/>
                <w:lang w:val="fr-FR"/>
              </w:rPr>
              <w:t>à l’arbitrage, les Parties doivent poursuivre l’exécution de leurs obligations respectives en vertu du Marché, à moins qu’elles n’en conviennent autrement.</w:t>
            </w:r>
          </w:p>
        </w:tc>
      </w:tr>
    </w:tbl>
    <w:p w14:paraId="22E4CB5A" w14:textId="77777777" w:rsidR="00F332DA" w:rsidRPr="00BD76AF" w:rsidRDefault="00F332DA" w:rsidP="0079334B">
      <w:pPr>
        <w:jc w:val="center"/>
        <w:rPr>
          <w:b/>
          <w:szCs w:val="24"/>
          <w:lang w:eastAsia="en-US"/>
        </w:rPr>
      </w:pPr>
      <w:r w:rsidRPr="00BD76AF">
        <w:rPr>
          <w:b/>
          <w:szCs w:val="24"/>
          <w:lang w:eastAsia="en-US"/>
        </w:rPr>
        <w:br w:type="page"/>
      </w:r>
    </w:p>
    <w:p w14:paraId="3E59F205" w14:textId="77777777" w:rsidR="00F332DA" w:rsidRPr="00BD76AF" w:rsidRDefault="00F332DA" w:rsidP="00704394">
      <w:pPr>
        <w:jc w:val="center"/>
        <w:rPr>
          <w:b/>
          <w:szCs w:val="24"/>
          <w:lang w:eastAsia="en-US"/>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100"/>
        <w:gridCol w:w="25"/>
        <w:gridCol w:w="38"/>
        <w:gridCol w:w="25"/>
        <w:gridCol w:w="1951"/>
        <w:gridCol w:w="6451"/>
      </w:tblGrid>
      <w:tr w:rsidR="00F332DA" w:rsidRPr="00BD76AF" w14:paraId="7F612F29" w14:textId="77777777" w:rsidTr="0079334B">
        <w:tc>
          <w:tcPr>
            <w:tcW w:w="2552" w:type="dxa"/>
            <w:gridSpan w:val="6"/>
          </w:tcPr>
          <w:p w14:paraId="1BA677BF" w14:textId="77777777" w:rsidR="00F332DA" w:rsidRPr="00BD76AF" w:rsidRDefault="00F332DA" w:rsidP="0079334B">
            <w:pPr>
              <w:overflowPunct/>
              <w:autoSpaceDE/>
              <w:autoSpaceDN/>
              <w:adjustRightInd/>
              <w:textAlignment w:val="auto"/>
              <w:rPr>
                <w:lang w:eastAsia="en-US"/>
              </w:rPr>
            </w:pPr>
          </w:p>
        </w:tc>
        <w:tc>
          <w:tcPr>
            <w:tcW w:w="6451" w:type="dxa"/>
          </w:tcPr>
          <w:p w14:paraId="5C4C8A44" w14:textId="77777777" w:rsidR="00F332DA" w:rsidRPr="00BD76AF" w:rsidRDefault="00F332DA" w:rsidP="0079334B">
            <w:pPr>
              <w:overflowPunct/>
              <w:autoSpaceDE/>
              <w:autoSpaceDN/>
              <w:adjustRightInd/>
              <w:textAlignment w:val="auto"/>
              <w:rPr>
                <w:b/>
                <w:lang w:val="es-ES_tradnl" w:eastAsia="en-US"/>
              </w:rPr>
            </w:pPr>
            <w:r w:rsidRPr="00BD76AF">
              <w:rPr>
                <w:b/>
                <w:sz w:val="36"/>
                <w:szCs w:val="36"/>
                <w:lang w:val="es-ES_tradnl" w:eastAsia="en-US"/>
              </w:rPr>
              <w:t>Appendice</w:t>
            </w:r>
          </w:p>
        </w:tc>
      </w:tr>
      <w:tr w:rsidR="00F332DA" w:rsidRPr="00BD76AF" w14:paraId="6BE28948" w14:textId="77777777" w:rsidTr="0079334B">
        <w:tc>
          <w:tcPr>
            <w:tcW w:w="2552" w:type="dxa"/>
            <w:gridSpan w:val="6"/>
          </w:tcPr>
          <w:p w14:paraId="4E5B3DA4" w14:textId="77777777" w:rsidR="00F332DA" w:rsidRPr="00BD76AF" w:rsidRDefault="00F332DA" w:rsidP="0079334B">
            <w:pPr>
              <w:overflowPunct/>
              <w:autoSpaceDE/>
              <w:autoSpaceDN/>
              <w:adjustRightInd/>
              <w:textAlignment w:val="auto"/>
              <w:rPr>
                <w:lang w:val="es-ES_tradnl" w:eastAsia="en-US"/>
              </w:rPr>
            </w:pPr>
          </w:p>
        </w:tc>
        <w:tc>
          <w:tcPr>
            <w:tcW w:w="6451" w:type="dxa"/>
          </w:tcPr>
          <w:p w14:paraId="1D589F43" w14:textId="77777777" w:rsidR="00F332DA" w:rsidRPr="00BD76AF" w:rsidRDefault="00F332DA" w:rsidP="0079334B">
            <w:pPr>
              <w:overflowPunct/>
              <w:autoSpaceDE/>
              <w:autoSpaceDN/>
              <w:adjustRightInd/>
              <w:textAlignment w:val="auto"/>
              <w:rPr>
                <w:lang w:val="es-ES_tradnl" w:eastAsia="en-US"/>
              </w:rPr>
            </w:pPr>
          </w:p>
        </w:tc>
      </w:tr>
      <w:tr w:rsidR="00F332DA" w:rsidRPr="00BD76AF" w14:paraId="53324E8A" w14:textId="77777777" w:rsidTr="0079334B">
        <w:tc>
          <w:tcPr>
            <w:tcW w:w="2552" w:type="dxa"/>
            <w:gridSpan w:val="6"/>
          </w:tcPr>
          <w:p w14:paraId="6CB974FB" w14:textId="77777777" w:rsidR="00F332DA" w:rsidRPr="00BD76AF" w:rsidRDefault="00F332DA" w:rsidP="0079334B">
            <w:pPr>
              <w:overflowPunct/>
              <w:autoSpaceDE/>
              <w:autoSpaceDN/>
              <w:adjustRightInd/>
              <w:textAlignment w:val="auto"/>
              <w:rPr>
                <w:lang w:val="es-ES_tradnl" w:eastAsia="en-US"/>
              </w:rPr>
            </w:pPr>
          </w:p>
        </w:tc>
        <w:tc>
          <w:tcPr>
            <w:tcW w:w="6451" w:type="dxa"/>
          </w:tcPr>
          <w:p w14:paraId="21C9BBB2" w14:textId="77777777" w:rsidR="00F332DA" w:rsidRPr="00BD76AF" w:rsidRDefault="00F332DA" w:rsidP="0079334B">
            <w:pPr>
              <w:jc w:val="left"/>
              <w:rPr>
                <w:b/>
                <w:sz w:val="28"/>
                <w:szCs w:val="28"/>
                <w:lang w:eastAsia="en-US"/>
              </w:rPr>
            </w:pPr>
            <w:r w:rsidRPr="00BD76AF">
              <w:rPr>
                <w:b/>
                <w:iCs/>
                <w:sz w:val="28"/>
                <w:szCs w:val="28"/>
                <w:lang w:eastAsia="ja-JP"/>
              </w:rPr>
              <w:t>Conditions générales de la Convention de Comité de Règlement des Différends</w:t>
            </w:r>
          </w:p>
        </w:tc>
      </w:tr>
      <w:tr w:rsidR="00F332DA" w:rsidRPr="00BD76AF" w14:paraId="6BB7AC22" w14:textId="77777777" w:rsidTr="0079334B">
        <w:tc>
          <w:tcPr>
            <w:tcW w:w="576" w:type="dxa"/>
            <w:gridSpan w:val="4"/>
            <w:vMerge w:val="restart"/>
            <w:vAlign w:val="center"/>
          </w:tcPr>
          <w:p w14:paraId="4BFBEAC9" w14:textId="77777777" w:rsidR="00F332DA" w:rsidRPr="00BD76AF" w:rsidRDefault="00F332DA" w:rsidP="0079334B">
            <w:pPr>
              <w:overflowPunct/>
              <w:autoSpaceDE/>
              <w:autoSpaceDN/>
              <w:adjustRightInd/>
              <w:textAlignment w:val="auto"/>
              <w:rPr>
                <w:b/>
                <w:lang w:val="es-ES_tradnl" w:eastAsia="en-US"/>
              </w:rPr>
            </w:pPr>
            <w:r w:rsidRPr="00BD76AF">
              <w:rPr>
                <w:rFonts w:hint="eastAsia"/>
                <w:b/>
                <w:lang w:val="es-ES_tradnl" w:eastAsia="en-US"/>
              </w:rPr>
              <w:t>1</w:t>
            </w:r>
          </w:p>
        </w:tc>
        <w:tc>
          <w:tcPr>
            <w:tcW w:w="1976" w:type="dxa"/>
            <w:gridSpan w:val="2"/>
            <w:tcBorders>
              <w:bottom w:val="dashSmallGap" w:sz="4" w:space="0" w:color="auto"/>
            </w:tcBorders>
          </w:tcPr>
          <w:p w14:paraId="1A6AF504" w14:textId="77777777" w:rsidR="00F332DA" w:rsidRPr="00BD76AF" w:rsidRDefault="00F332DA" w:rsidP="0079334B">
            <w:pPr>
              <w:overflowPunct/>
              <w:autoSpaceDE/>
              <w:autoSpaceDN/>
              <w:adjustRightInd/>
              <w:textAlignment w:val="auto"/>
              <w:rPr>
                <w:lang w:val="es-ES_tradnl" w:eastAsia="en-US"/>
              </w:rPr>
            </w:pPr>
          </w:p>
        </w:tc>
        <w:tc>
          <w:tcPr>
            <w:tcW w:w="6451" w:type="dxa"/>
            <w:tcBorders>
              <w:bottom w:val="dashSmallGap" w:sz="4" w:space="0" w:color="auto"/>
            </w:tcBorders>
          </w:tcPr>
          <w:p w14:paraId="144665AF" w14:textId="77777777" w:rsidR="00F332DA" w:rsidRPr="00BD76AF" w:rsidDel="005373F0" w:rsidRDefault="00F332DA" w:rsidP="0079334B">
            <w:pPr>
              <w:overflowPunct/>
              <w:autoSpaceDE/>
              <w:autoSpaceDN/>
              <w:adjustRightInd/>
              <w:textAlignment w:val="auto"/>
              <w:rPr>
                <w:sz w:val="32"/>
                <w:szCs w:val="32"/>
                <w:lang w:val="es-ES_tradnl" w:eastAsia="en-US"/>
              </w:rPr>
            </w:pPr>
          </w:p>
        </w:tc>
      </w:tr>
      <w:tr w:rsidR="00F332DA" w:rsidRPr="00BD76AF" w14:paraId="2C9E9DDA" w14:textId="77777777" w:rsidTr="0079334B">
        <w:tc>
          <w:tcPr>
            <w:tcW w:w="576" w:type="dxa"/>
            <w:gridSpan w:val="4"/>
            <w:vMerge/>
          </w:tcPr>
          <w:p w14:paraId="00539216" w14:textId="77777777" w:rsidR="00F332DA" w:rsidRPr="00BD76AF" w:rsidRDefault="00F332DA" w:rsidP="0079334B">
            <w:pPr>
              <w:overflowPunct/>
              <w:autoSpaceDE/>
              <w:autoSpaceDN/>
              <w:adjustRightInd/>
              <w:textAlignment w:val="auto"/>
              <w:rPr>
                <w:lang w:val="es-ES_tradnl" w:eastAsia="en-US"/>
              </w:rPr>
            </w:pPr>
          </w:p>
        </w:tc>
        <w:tc>
          <w:tcPr>
            <w:tcW w:w="1976" w:type="dxa"/>
            <w:gridSpan w:val="2"/>
            <w:tcBorders>
              <w:top w:val="dashSmallGap" w:sz="4" w:space="0" w:color="auto"/>
            </w:tcBorders>
          </w:tcPr>
          <w:p w14:paraId="211801AD" w14:textId="77777777" w:rsidR="00F332DA" w:rsidRPr="00BD76AF" w:rsidRDefault="00F332DA" w:rsidP="0079334B">
            <w:pPr>
              <w:overflowPunct/>
              <w:autoSpaceDE/>
              <w:autoSpaceDN/>
              <w:adjustRightInd/>
              <w:textAlignment w:val="auto"/>
              <w:rPr>
                <w:lang w:val="es-ES_tradnl" w:eastAsia="en-US"/>
              </w:rPr>
            </w:pPr>
          </w:p>
        </w:tc>
        <w:tc>
          <w:tcPr>
            <w:tcW w:w="6451" w:type="dxa"/>
            <w:tcBorders>
              <w:top w:val="dashSmallGap" w:sz="4" w:space="0" w:color="auto"/>
            </w:tcBorders>
          </w:tcPr>
          <w:p w14:paraId="31051FB8" w14:textId="77777777" w:rsidR="00F332DA" w:rsidRPr="00BD76AF" w:rsidDel="005373F0" w:rsidRDefault="00F332DA" w:rsidP="0079334B">
            <w:pPr>
              <w:overflowPunct/>
              <w:autoSpaceDE/>
              <w:autoSpaceDN/>
              <w:adjustRightInd/>
              <w:textAlignment w:val="auto"/>
              <w:rPr>
                <w:sz w:val="32"/>
                <w:szCs w:val="32"/>
                <w:lang w:val="es-ES_tradnl" w:eastAsia="en-US"/>
              </w:rPr>
            </w:pPr>
          </w:p>
        </w:tc>
      </w:tr>
      <w:tr w:rsidR="00F332DA" w:rsidRPr="00BD76AF" w14:paraId="37BC1232" w14:textId="77777777" w:rsidTr="0079334B">
        <w:tc>
          <w:tcPr>
            <w:tcW w:w="2552" w:type="dxa"/>
            <w:gridSpan w:val="6"/>
          </w:tcPr>
          <w:p w14:paraId="5C1A7D06" w14:textId="77777777" w:rsidR="00F332DA" w:rsidRPr="00BD76AF" w:rsidRDefault="00F332DA" w:rsidP="0079334B">
            <w:pPr>
              <w:overflowPunct/>
              <w:autoSpaceDE/>
              <w:autoSpaceDN/>
              <w:adjustRightInd/>
              <w:textAlignment w:val="auto"/>
              <w:rPr>
                <w:b/>
                <w:lang w:val="es-ES_tradnl" w:eastAsia="en-US"/>
              </w:rPr>
            </w:pPr>
            <w:r w:rsidRPr="00BD76AF">
              <w:rPr>
                <w:b/>
                <w:szCs w:val="24"/>
              </w:rPr>
              <w:t>Définitions</w:t>
            </w:r>
          </w:p>
        </w:tc>
        <w:tc>
          <w:tcPr>
            <w:tcW w:w="6451" w:type="dxa"/>
          </w:tcPr>
          <w:p w14:paraId="7F3B3E4B" w14:textId="77777777" w:rsidR="00F332DA" w:rsidRPr="00BD76AF" w:rsidRDefault="00F332DA" w:rsidP="0079334B">
            <w:pPr>
              <w:rPr>
                <w:lang w:eastAsia="ja-JP"/>
              </w:rPr>
            </w:pPr>
            <w:r w:rsidRPr="00BD76AF">
              <w:rPr>
                <w:szCs w:val="24"/>
              </w:rPr>
              <w:t xml:space="preserve">Chaque « Convention de </w:t>
            </w:r>
            <w:r w:rsidRPr="00BD76AF">
              <w:rPr>
                <w:iCs/>
              </w:rPr>
              <w:t>Comité de Règlement des Différends</w:t>
            </w:r>
            <w:r w:rsidRPr="00BD76AF">
              <w:rPr>
                <w:szCs w:val="24"/>
              </w:rPr>
              <w:t> »</w:t>
            </w:r>
            <w:r w:rsidRPr="00BD76AF">
              <w:t>, ci-après appelée « Convention »</w:t>
            </w:r>
            <w:r w:rsidRPr="00BD76AF">
              <w:rPr>
                <w:rFonts w:hint="eastAsia"/>
                <w:lang w:eastAsia="ja-JP"/>
              </w:rPr>
              <w:t>,</w:t>
            </w:r>
            <w:r w:rsidRPr="00BD76AF">
              <w:t xml:space="preserve"> </w:t>
            </w:r>
            <w:r w:rsidRPr="00BD76AF">
              <w:rPr>
                <w:szCs w:val="24"/>
              </w:rPr>
              <w:t>est un accord tripartite passé entre :</w:t>
            </w:r>
            <w:r w:rsidRPr="00BD76AF">
              <w:rPr>
                <w:lang w:eastAsia="ja-JP"/>
              </w:rPr>
              <w:t xml:space="preserve"> </w:t>
            </w:r>
          </w:p>
          <w:p w14:paraId="1ED1D1C3" w14:textId="77777777" w:rsidR="00F332DA" w:rsidRPr="00BD76AF" w:rsidRDefault="00F332DA" w:rsidP="0079334B">
            <w:pPr>
              <w:suppressAutoHyphens w:val="0"/>
              <w:overflowPunct/>
              <w:spacing w:after="120"/>
              <w:ind w:left="454" w:hanging="454"/>
              <w:textAlignment w:val="auto"/>
              <w:rPr>
                <w:lang w:eastAsia="en-US"/>
              </w:rPr>
            </w:pPr>
            <w:r w:rsidRPr="00BD76AF">
              <w:rPr>
                <w:lang w:eastAsia="ja-JP"/>
              </w:rPr>
              <w:t>(a)</w:t>
            </w:r>
            <w:r w:rsidRPr="00BD76AF">
              <w:rPr>
                <w:lang w:eastAsia="ja-JP"/>
              </w:rPr>
              <w:tab/>
            </w:r>
            <w:r w:rsidRPr="00BD76AF">
              <w:rPr>
                <w:szCs w:val="24"/>
              </w:rPr>
              <w:t xml:space="preserve">le « Maître d’ouvrage » </w:t>
            </w:r>
            <w:r w:rsidRPr="00BD76AF">
              <w:rPr>
                <w:szCs w:val="24"/>
                <w:lang w:eastAsia="en-US"/>
              </w:rPr>
              <w:t>;</w:t>
            </w:r>
          </w:p>
          <w:p w14:paraId="7268EBE5" w14:textId="77777777" w:rsidR="00F332DA" w:rsidRPr="00BD76AF" w:rsidRDefault="00F332DA" w:rsidP="0079334B">
            <w:pPr>
              <w:suppressAutoHyphens w:val="0"/>
              <w:overflowPunct/>
              <w:spacing w:after="120"/>
              <w:ind w:left="454" w:hanging="454"/>
              <w:textAlignment w:val="auto"/>
              <w:rPr>
                <w:lang w:eastAsia="en-US"/>
              </w:rPr>
            </w:pPr>
            <w:r w:rsidRPr="00BD76AF">
              <w:rPr>
                <w:lang w:eastAsia="ja-JP"/>
              </w:rPr>
              <w:t>(b)</w:t>
            </w:r>
            <w:r w:rsidRPr="00BD76AF">
              <w:rPr>
                <w:lang w:eastAsia="ja-JP"/>
              </w:rPr>
              <w:tab/>
            </w:r>
            <w:r w:rsidRPr="00BD76AF">
              <w:rPr>
                <w:szCs w:val="24"/>
              </w:rPr>
              <w:t>l’ « Entrepreneur » ; et</w:t>
            </w:r>
            <w:r w:rsidRPr="00BD76AF">
              <w:rPr>
                <w:szCs w:val="24"/>
                <w:lang w:eastAsia="en-US"/>
              </w:rPr>
              <w:t xml:space="preserve"> </w:t>
            </w:r>
          </w:p>
          <w:p w14:paraId="3E2EAA06" w14:textId="77777777" w:rsidR="00F332DA" w:rsidRPr="00BD76AF" w:rsidRDefault="00F332DA" w:rsidP="0079334B">
            <w:pPr>
              <w:suppressAutoHyphens w:val="0"/>
              <w:overflowPunct/>
              <w:spacing w:after="120"/>
              <w:ind w:left="454" w:hanging="454"/>
              <w:textAlignment w:val="auto"/>
              <w:rPr>
                <w:lang w:eastAsia="en-US"/>
              </w:rPr>
            </w:pPr>
            <w:r w:rsidRPr="00BD76AF">
              <w:rPr>
                <w:lang w:eastAsia="ja-JP"/>
              </w:rPr>
              <w:t>(c)</w:t>
            </w:r>
            <w:r w:rsidRPr="00BD76AF">
              <w:rPr>
                <w:lang w:eastAsia="ja-JP"/>
              </w:rPr>
              <w:tab/>
            </w:r>
            <w:r w:rsidRPr="00BD76AF">
              <w:rPr>
                <w:szCs w:val="24"/>
              </w:rPr>
              <w:t>le « Membre » qui est défini dans la Convention comme étant :</w:t>
            </w:r>
          </w:p>
          <w:p w14:paraId="1F3D8F82" w14:textId="77777777" w:rsidR="00F332DA" w:rsidRPr="00BD76AF" w:rsidRDefault="00F332DA" w:rsidP="0079334B">
            <w:pPr>
              <w:tabs>
                <w:tab w:val="left" w:pos="1024"/>
              </w:tabs>
              <w:suppressAutoHyphens w:val="0"/>
              <w:overflowPunct/>
              <w:spacing w:after="120"/>
              <w:ind w:left="1024" w:hanging="562"/>
              <w:textAlignment w:val="auto"/>
              <w:rPr>
                <w:szCs w:val="24"/>
                <w:lang w:eastAsia="en-US"/>
              </w:rPr>
            </w:pPr>
            <w:r w:rsidRPr="00BD76AF">
              <w:rPr>
                <w:lang w:eastAsia="en-US"/>
              </w:rPr>
              <w:t>(i)</w:t>
            </w:r>
            <w:r w:rsidRPr="00BD76AF">
              <w:rPr>
                <w:lang w:eastAsia="en-US"/>
              </w:rPr>
              <w:tab/>
            </w:r>
            <w:r w:rsidRPr="00BD76AF">
              <w:rPr>
                <w:szCs w:val="24"/>
              </w:rPr>
              <w:t>le membre unique du « </w:t>
            </w:r>
            <w:r w:rsidRPr="00BD76AF">
              <w:rPr>
                <w:iCs/>
              </w:rPr>
              <w:t>Comité de Règlement des Différends</w:t>
            </w:r>
            <w:r w:rsidRPr="00BD76AF">
              <w:rPr>
                <w:szCs w:val="24"/>
              </w:rPr>
              <w:t> », auquel cas toutes les références aux « Autres Membres » ne sont pas applicables, ou</w:t>
            </w:r>
          </w:p>
          <w:p w14:paraId="17B73436" w14:textId="77777777" w:rsidR="00F332DA" w:rsidRPr="00BD76AF" w:rsidRDefault="00F332DA" w:rsidP="0079334B">
            <w:pPr>
              <w:tabs>
                <w:tab w:val="left" w:pos="1024"/>
              </w:tabs>
              <w:suppressAutoHyphens w:val="0"/>
              <w:overflowPunct/>
              <w:spacing w:after="120"/>
              <w:ind w:left="1024" w:hanging="562"/>
              <w:textAlignment w:val="auto"/>
              <w:rPr>
                <w:lang w:eastAsia="en-US"/>
              </w:rPr>
            </w:pPr>
            <w:r w:rsidRPr="00BD76AF">
              <w:rPr>
                <w:lang w:eastAsia="en-US"/>
              </w:rPr>
              <w:t>(ii)</w:t>
            </w:r>
            <w:r w:rsidRPr="00BD76AF">
              <w:rPr>
                <w:lang w:eastAsia="en-US"/>
              </w:rPr>
              <w:tab/>
              <w:t>une des trois personnes qui sont conjointement appelées le « </w:t>
            </w:r>
            <w:r w:rsidRPr="00BD76AF">
              <w:rPr>
                <w:iCs/>
              </w:rPr>
              <w:t>Comité de Règlement des Différends</w:t>
            </w:r>
            <w:r w:rsidRPr="00BD76AF">
              <w:rPr>
                <w:szCs w:val="24"/>
              </w:rPr>
              <w:t> »</w:t>
            </w:r>
            <w:r w:rsidRPr="00BD76AF">
              <w:rPr>
                <w:lang w:eastAsia="en-US"/>
              </w:rPr>
              <w:t>, auquel cas les deux autres personnes sont appelées les « Autres Membres ».</w:t>
            </w:r>
          </w:p>
          <w:p w14:paraId="6A5AC81E" w14:textId="77777777" w:rsidR="00F332DA" w:rsidRPr="00BD76AF" w:rsidDel="005373F0" w:rsidRDefault="00F332DA" w:rsidP="0079334B">
            <w:pPr>
              <w:suppressAutoHyphens w:val="0"/>
              <w:overflowPunct/>
              <w:spacing w:after="120"/>
              <w:textAlignment w:val="auto"/>
              <w:rPr>
                <w:lang w:eastAsia="en-US"/>
              </w:rPr>
            </w:pPr>
            <w:r w:rsidRPr="00BD76AF">
              <w:rPr>
                <w:szCs w:val="24"/>
                <w:lang w:eastAsia="en-US"/>
              </w:rPr>
              <w:t xml:space="preserve">Le </w:t>
            </w:r>
            <w:r w:rsidRPr="00BD76AF">
              <w:rPr>
                <w:szCs w:val="24"/>
              </w:rPr>
              <w:t>Maître d’ouvrage et l’Entrepreneur ont conclu (ou envisagent de conclure) un marché, lequel est appelé le « Marché » et est défini dans la Convention qui comprend cet Appendice. Dans la Convention, les mots et expressions qui ne sont pas autrement définis doivent avoir le sens qui leur est attribué dans le Marché</w:t>
            </w:r>
            <w:r w:rsidRPr="00BD76AF">
              <w:rPr>
                <w:szCs w:val="24"/>
                <w:lang w:eastAsia="en-US"/>
              </w:rPr>
              <w:t>.</w:t>
            </w:r>
          </w:p>
        </w:tc>
      </w:tr>
      <w:tr w:rsidR="00F332DA" w:rsidRPr="00BD76AF" w14:paraId="7BA0F8F9" w14:textId="77777777" w:rsidTr="0079334B">
        <w:tc>
          <w:tcPr>
            <w:tcW w:w="538" w:type="dxa"/>
            <w:gridSpan w:val="3"/>
            <w:vMerge w:val="restart"/>
            <w:vAlign w:val="center"/>
          </w:tcPr>
          <w:p w14:paraId="4512E633" w14:textId="77777777" w:rsidR="00F332DA" w:rsidRPr="00BD76AF" w:rsidRDefault="00F332DA" w:rsidP="0079334B">
            <w:pPr>
              <w:overflowPunct/>
              <w:autoSpaceDE/>
              <w:autoSpaceDN/>
              <w:adjustRightInd/>
              <w:textAlignment w:val="auto"/>
              <w:rPr>
                <w:b/>
                <w:lang w:val="es-ES_tradnl" w:eastAsia="en-US"/>
              </w:rPr>
            </w:pPr>
            <w:r w:rsidRPr="00BD76AF">
              <w:rPr>
                <w:rFonts w:hint="eastAsia"/>
                <w:b/>
                <w:lang w:val="es-ES_tradnl" w:eastAsia="en-US"/>
              </w:rPr>
              <w:t>2</w:t>
            </w:r>
          </w:p>
        </w:tc>
        <w:tc>
          <w:tcPr>
            <w:tcW w:w="2014" w:type="dxa"/>
            <w:gridSpan w:val="3"/>
            <w:tcBorders>
              <w:bottom w:val="dashSmallGap" w:sz="4" w:space="0" w:color="auto"/>
            </w:tcBorders>
          </w:tcPr>
          <w:p w14:paraId="01160ACC" w14:textId="77777777" w:rsidR="00F332DA" w:rsidRPr="00BD76AF" w:rsidRDefault="00F332DA" w:rsidP="0079334B">
            <w:pPr>
              <w:overflowPunct/>
              <w:autoSpaceDE/>
              <w:autoSpaceDN/>
              <w:adjustRightInd/>
              <w:textAlignment w:val="auto"/>
              <w:rPr>
                <w:lang w:val="es-ES_tradnl" w:eastAsia="en-US"/>
              </w:rPr>
            </w:pPr>
          </w:p>
        </w:tc>
        <w:tc>
          <w:tcPr>
            <w:tcW w:w="6451" w:type="dxa"/>
            <w:tcBorders>
              <w:bottom w:val="dashSmallGap" w:sz="4" w:space="0" w:color="auto"/>
            </w:tcBorders>
          </w:tcPr>
          <w:p w14:paraId="45A8E689" w14:textId="77777777" w:rsidR="00F332DA" w:rsidRPr="00BD76AF" w:rsidDel="005373F0" w:rsidRDefault="00F332DA" w:rsidP="0079334B">
            <w:pPr>
              <w:overflowPunct/>
              <w:autoSpaceDE/>
              <w:autoSpaceDN/>
              <w:adjustRightInd/>
              <w:textAlignment w:val="auto"/>
              <w:rPr>
                <w:sz w:val="32"/>
                <w:szCs w:val="32"/>
                <w:lang w:val="es-ES_tradnl" w:eastAsia="en-US"/>
              </w:rPr>
            </w:pPr>
          </w:p>
        </w:tc>
      </w:tr>
      <w:tr w:rsidR="00F332DA" w:rsidRPr="00BD76AF" w14:paraId="65C4C934" w14:textId="77777777" w:rsidTr="0079334B">
        <w:tc>
          <w:tcPr>
            <w:tcW w:w="538" w:type="dxa"/>
            <w:gridSpan w:val="3"/>
            <w:vMerge/>
          </w:tcPr>
          <w:p w14:paraId="697C60A4" w14:textId="77777777" w:rsidR="00F332DA" w:rsidRPr="00BD76AF" w:rsidRDefault="00F332DA" w:rsidP="0079334B">
            <w:pPr>
              <w:overflowPunct/>
              <w:autoSpaceDE/>
              <w:autoSpaceDN/>
              <w:adjustRightInd/>
              <w:textAlignment w:val="auto"/>
              <w:rPr>
                <w:lang w:val="es-ES_tradnl" w:eastAsia="en-US"/>
              </w:rPr>
            </w:pPr>
          </w:p>
        </w:tc>
        <w:tc>
          <w:tcPr>
            <w:tcW w:w="2014" w:type="dxa"/>
            <w:gridSpan w:val="3"/>
            <w:tcBorders>
              <w:top w:val="dashSmallGap" w:sz="4" w:space="0" w:color="auto"/>
            </w:tcBorders>
          </w:tcPr>
          <w:p w14:paraId="63945AE7" w14:textId="77777777" w:rsidR="00F332DA" w:rsidRPr="00BD76AF" w:rsidRDefault="00F332DA" w:rsidP="0079334B">
            <w:pPr>
              <w:overflowPunct/>
              <w:autoSpaceDE/>
              <w:autoSpaceDN/>
              <w:adjustRightInd/>
              <w:textAlignment w:val="auto"/>
              <w:rPr>
                <w:lang w:val="es-ES_tradnl" w:eastAsia="en-US"/>
              </w:rPr>
            </w:pPr>
          </w:p>
        </w:tc>
        <w:tc>
          <w:tcPr>
            <w:tcW w:w="6451" w:type="dxa"/>
            <w:tcBorders>
              <w:top w:val="dashSmallGap" w:sz="4" w:space="0" w:color="auto"/>
            </w:tcBorders>
          </w:tcPr>
          <w:p w14:paraId="4D703C44" w14:textId="77777777" w:rsidR="00F332DA" w:rsidRPr="00BD76AF" w:rsidDel="005373F0" w:rsidRDefault="00F332DA" w:rsidP="0079334B">
            <w:pPr>
              <w:overflowPunct/>
              <w:autoSpaceDE/>
              <w:autoSpaceDN/>
              <w:adjustRightInd/>
              <w:textAlignment w:val="auto"/>
              <w:rPr>
                <w:sz w:val="32"/>
                <w:szCs w:val="32"/>
                <w:lang w:val="es-ES_tradnl" w:eastAsia="en-US"/>
              </w:rPr>
            </w:pPr>
          </w:p>
        </w:tc>
      </w:tr>
      <w:tr w:rsidR="00F332DA" w:rsidRPr="00BD76AF" w14:paraId="48E46F7F" w14:textId="77777777" w:rsidTr="0079334B">
        <w:tc>
          <w:tcPr>
            <w:tcW w:w="2552" w:type="dxa"/>
            <w:gridSpan w:val="6"/>
          </w:tcPr>
          <w:p w14:paraId="4967BB30" w14:textId="77777777" w:rsidR="00F332DA" w:rsidRPr="00BD76AF" w:rsidRDefault="00F332DA" w:rsidP="0079334B">
            <w:pPr>
              <w:overflowPunct/>
              <w:autoSpaceDE/>
              <w:autoSpaceDN/>
              <w:adjustRightInd/>
              <w:textAlignment w:val="auto"/>
              <w:rPr>
                <w:b/>
                <w:lang w:val="es-ES_tradnl" w:eastAsia="en-US"/>
              </w:rPr>
            </w:pPr>
            <w:r w:rsidRPr="00BD76AF">
              <w:rPr>
                <w:b/>
                <w:szCs w:val="24"/>
              </w:rPr>
              <w:t>Dispositions générales</w:t>
            </w:r>
          </w:p>
        </w:tc>
        <w:tc>
          <w:tcPr>
            <w:tcW w:w="6451" w:type="dxa"/>
          </w:tcPr>
          <w:p w14:paraId="2B84FE79" w14:textId="77777777" w:rsidR="00F332DA" w:rsidRPr="00BD76AF" w:rsidRDefault="00F332DA" w:rsidP="0079334B">
            <w:pPr>
              <w:suppressAutoHyphens w:val="0"/>
              <w:overflowPunct/>
              <w:spacing w:after="120"/>
              <w:textAlignment w:val="auto"/>
              <w:rPr>
                <w:lang w:eastAsia="en-US"/>
              </w:rPr>
            </w:pPr>
            <w:r w:rsidRPr="00BD76AF">
              <w:rPr>
                <w:lang w:eastAsia="en-US"/>
              </w:rPr>
              <w:t xml:space="preserve">À </w:t>
            </w:r>
            <w:r w:rsidRPr="00BD76AF">
              <w:rPr>
                <w:szCs w:val="24"/>
              </w:rPr>
              <w:t>moins que la Convention n’en dispose autrement, elle prendra effet à la dernière des dates suivantes :</w:t>
            </w:r>
          </w:p>
          <w:p w14:paraId="28234039" w14:textId="77777777" w:rsidR="00F332DA" w:rsidRPr="00BD76AF" w:rsidRDefault="00F332DA" w:rsidP="0079334B">
            <w:pPr>
              <w:suppressAutoHyphens w:val="0"/>
              <w:overflowPunct/>
              <w:spacing w:after="120"/>
              <w:ind w:left="454" w:hanging="454"/>
              <w:textAlignment w:val="auto"/>
              <w:rPr>
                <w:szCs w:val="24"/>
                <w:lang w:eastAsia="en-US"/>
              </w:rPr>
            </w:pPr>
            <w:r w:rsidRPr="00BD76AF">
              <w:rPr>
                <w:lang w:eastAsia="en-US"/>
              </w:rPr>
              <w:t>(a)</w:t>
            </w:r>
            <w:r w:rsidRPr="00BD76AF">
              <w:rPr>
                <w:lang w:eastAsia="en-US"/>
              </w:rPr>
              <w:tab/>
            </w:r>
            <w:r w:rsidRPr="00BD76AF">
              <w:rPr>
                <w:szCs w:val="24"/>
                <w:lang w:eastAsia="en-US"/>
              </w:rPr>
              <w:t xml:space="preserve">la </w:t>
            </w:r>
            <w:r w:rsidRPr="00BD76AF">
              <w:rPr>
                <w:szCs w:val="24"/>
              </w:rPr>
              <w:t>Date d’entr</w:t>
            </w:r>
            <w:r w:rsidRPr="00BD76AF">
              <w:rPr>
                <w:rFonts w:eastAsia="游ゴシック"/>
                <w:kern w:val="2"/>
                <w:szCs w:val="24"/>
                <w:shd w:val="clear" w:color="auto" w:fill="FAFBFC"/>
                <w:lang w:eastAsia="ja-JP"/>
              </w:rPr>
              <w:t>é</w:t>
            </w:r>
            <w:r w:rsidRPr="00BD76AF">
              <w:rPr>
                <w:szCs w:val="24"/>
              </w:rPr>
              <w:t>e en vigueur telle qu’elle est définie dans le Marché ;</w:t>
            </w:r>
          </w:p>
          <w:p w14:paraId="6B63A37F" w14:textId="77777777" w:rsidR="00F332DA" w:rsidRPr="00BD76AF" w:rsidRDefault="00F332DA" w:rsidP="0079334B">
            <w:pPr>
              <w:tabs>
                <w:tab w:val="left" w:pos="1024"/>
              </w:tabs>
              <w:suppressAutoHyphens w:val="0"/>
              <w:overflowPunct/>
              <w:spacing w:after="120"/>
              <w:ind w:left="454" w:hanging="454"/>
              <w:textAlignment w:val="auto"/>
              <w:rPr>
                <w:szCs w:val="24"/>
                <w:lang w:eastAsia="en-US"/>
              </w:rPr>
            </w:pPr>
            <w:r w:rsidRPr="00BD76AF">
              <w:rPr>
                <w:szCs w:val="24"/>
                <w:lang w:eastAsia="en-US"/>
              </w:rPr>
              <w:t>(b)</w:t>
            </w:r>
            <w:r w:rsidRPr="00BD76AF">
              <w:rPr>
                <w:szCs w:val="24"/>
                <w:lang w:eastAsia="en-US"/>
              </w:rPr>
              <w:tab/>
            </w:r>
            <w:r w:rsidRPr="00BD76AF">
              <w:rPr>
                <w:szCs w:val="24"/>
              </w:rPr>
              <w:t>lorsque le Maître d’ouvrage, l’Entrepreneur et le Membre auront chacun signé la Convention ;</w:t>
            </w:r>
            <w:r w:rsidRPr="00BD76AF">
              <w:rPr>
                <w:szCs w:val="24"/>
                <w:lang w:eastAsia="en-US"/>
              </w:rPr>
              <w:t xml:space="preserve"> ou</w:t>
            </w:r>
          </w:p>
          <w:p w14:paraId="68842257" w14:textId="77777777" w:rsidR="00F332DA" w:rsidRPr="00BD76AF" w:rsidRDefault="00F332DA" w:rsidP="0079334B">
            <w:pPr>
              <w:tabs>
                <w:tab w:val="left" w:pos="1024"/>
              </w:tabs>
              <w:suppressAutoHyphens w:val="0"/>
              <w:overflowPunct/>
              <w:spacing w:after="120"/>
              <w:ind w:left="454" w:hanging="454"/>
              <w:textAlignment w:val="auto"/>
              <w:rPr>
                <w:lang w:eastAsia="en-US"/>
              </w:rPr>
            </w:pPr>
            <w:r w:rsidRPr="00BD76AF">
              <w:rPr>
                <w:szCs w:val="24"/>
                <w:lang w:eastAsia="en-US"/>
              </w:rPr>
              <w:t>(c)</w:t>
            </w:r>
            <w:r w:rsidRPr="00BD76AF">
              <w:rPr>
                <w:szCs w:val="24"/>
                <w:lang w:eastAsia="en-US"/>
              </w:rPr>
              <w:tab/>
              <w:t>l</w:t>
            </w:r>
            <w:r w:rsidRPr="00BD76AF">
              <w:rPr>
                <w:szCs w:val="24"/>
              </w:rPr>
              <w:t xml:space="preserve">orsque le Maître d’ouvrage, l’Entrepreneur et chacun des Autres Membres (le cas échéant) auront respectivement signé une convention de </w:t>
            </w:r>
            <w:r w:rsidRPr="00BD76AF">
              <w:rPr>
                <w:rFonts w:eastAsia="游ゴシック"/>
                <w:kern w:val="2"/>
                <w:szCs w:val="24"/>
                <w:shd w:val="clear" w:color="auto" w:fill="FAFBFC"/>
                <w:lang w:eastAsia="ja-JP"/>
              </w:rPr>
              <w:t>comité de règlement des différends</w:t>
            </w:r>
            <w:r w:rsidRPr="00BD76AF">
              <w:rPr>
                <w:szCs w:val="24"/>
                <w:lang w:eastAsia="en-US"/>
              </w:rPr>
              <w:t>.</w:t>
            </w:r>
          </w:p>
          <w:p w14:paraId="30265054" w14:textId="77777777" w:rsidR="00F332DA" w:rsidRPr="00BD76AF" w:rsidDel="005373F0" w:rsidRDefault="00F332DA" w:rsidP="00B7479C">
            <w:pPr>
              <w:suppressAutoHyphens w:val="0"/>
              <w:overflowPunct/>
              <w:spacing w:after="120"/>
              <w:textAlignment w:val="auto"/>
              <w:rPr>
                <w:lang w:eastAsia="en-US"/>
              </w:rPr>
            </w:pPr>
            <w:r w:rsidRPr="00BD76AF">
              <w:rPr>
                <w:szCs w:val="24"/>
              </w:rPr>
              <w:t>L’emploi du Membre est une nomination personnelle. Le Membre peut, à tout moment, aviser le Maître d’ouvrage et l’Entrepreneur de sa démission dans un délai minimum de soixante-dix (70) jours et la Convention sera résiliée à l’expiration de ce délai</w:t>
            </w:r>
            <w:r w:rsidRPr="00BD76AF">
              <w:rPr>
                <w:szCs w:val="24"/>
                <w:lang w:eastAsia="en-US"/>
              </w:rPr>
              <w:t>.</w:t>
            </w:r>
          </w:p>
        </w:tc>
      </w:tr>
      <w:tr w:rsidR="00F332DA" w:rsidRPr="00BD76AF" w14:paraId="00086BF9" w14:textId="77777777" w:rsidTr="0079334B">
        <w:tc>
          <w:tcPr>
            <w:tcW w:w="538" w:type="dxa"/>
            <w:gridSpan w:val="3"/>
            <w:vMerge w:val="restart"/>
            <w:vAlign w:val="center"/>
          </w:tcPr>
          <w:p w14:paraId="7E9631D3" w14:textId="77777777" w:rsidR="00F332DA" w:rsidRPr="00BD76AF" w:rsidRDefault="00F332DA" w:rsidP="0079334B">
            <w:pPr>
              <w:overflowPunct/>
              <w:autoSpaceDE/>
              <w:autoSpaceDN/>
              <w:adjustRightInd/>
              <w:textAlignment w:val="auto"/>
              <w:rPr>
                <w:b/>
                <w:lang w:val="es-ES_tradnl" w:eastAsia="en-US"/>
              </w:rPr>
            </w:pPr>
            <w:r w:rsidRPr="00BD76AF">
              <w:rPr>
                <w:rFonts w:hint="eastAsia"/>
                <w:b/>
                <w:lang w:val="es-ES_tradnl" w:eastAsia="en-US"/>
              </w:rPr>
              <w:t>3</w:t>
            </w:r>
          </w:p>
        </w:tc>
        <w:tc>
          <w:tcPr>
            <w:tcW w:w="2014" w:type="dxa"/>
            <w:gridSpan w:val="3"/>
            <w:tcBorders>
              <w:bottom w:val="dashSmallGap" w:sz="4" w:space="0" w:color="auto"/>
            </w:tcBorders>
          </w:tcPr>
          <w:p w14:paraId="630271EC" w14:textId="77777777" w:rsidR="00F332DA" w:rsidRPr="00BD76AF" w:rsidRDefault="00F332DA" w:rsidP="0079334B">
            <w:pPr>
              <w:overflowPunct/>
              <w:autoSpaceDE/>
              <w:autoSpaceDN/>
              <w:adjustRightInd/>
              <w:textAlignment w:val="auto"/>
              <w:rPr>
                <w:lang w:val="es-ES_tradnl" w:eastAsia="en-US"/>
              </w:rPr>
            </w:pPr>
          </w:p>
        </w:tc>
        <w:tc>
          <w:tcPr>
            <w:tcW w:w="6451" w:type="dxa"/>
            <w:tcBorders>
              <w:bottom w:val="dashSmallGap" w:sz="4" w:space="0" w:color="auto"/>
            </w:tcBorders>
          </w:tcPr>
          <w:p w14:paraId="6FD957C1" w14:textId="77777777" w:rsidR="00F332DA" w:rsidRPr="00BD76AF" w:rsidDel="005373F0" w:rsidRDefault="00F332DA" w:rsidP="0079334B">
            <w:pPr>
              <w:overflowPunct/>
              <w:autoSpaceDE/>
              <w:autoSpaceDN/>
              <w:adjustRightInd/>
              <w:textAlignment w:val="auto"/>
              <w:rPr>
                <w:sz w:val="32"/>
                <w:szCs w:val="32"/>
                <w:lang w:val="es-ES_tradnl" w:eastAsia="en-US"/>
              </w:rPr>
            </w:pPr>
          </w:p>
        </w:tc>
      </w:tr>
      <w:tr w:rsidR="00F332DA" w:rsidRPr="00BD76AF" w14:paraId="55AD1616" w14:textId="77777777" w:rsidTr="0079334B">
        <w:tc>
          <w:tcPr>
            <w:tcW w:w="538" w:type="dxa"/>
            <w:gridSpan w:val="3"/>
            <w:vMerge/>
          </w:tcPr>
          <w:p w14:paraId="5E22CF73" w14:textId="77777777" w:rsidR="00F332DA" w:rsidRPr="00BD76AF" w:rsidRDefault="00F332DA" w:rsidP="0079334B">
            <w:pPr>
              <w:overflowPunct/>
              <w:autoSpaceDE/>
              <w:autoSpaceDN/>
              <w:adjustRightInd/>
              <w:textAlignment w:val="auto"/>
              <w:rPr>
                <w:lang w:val="es-ES_tradnl" w:eastAsia="en-US"/>
              </w:rPr>
            </w:pPr>
          </w:p>
        </w:tc>
        <w:tc>
          <w:tcPr>
            <w:tcW w:w="2014" w:type="dxa"/>
            <w:gridSpan w:val="3"/>
            <w:tcBorders>
              <w:top w:val="dashSmallGap" w:sz="4" w:space="0" w:color="auto"/>
            </w:tcBorders>
          </w:tcPr>
          <w:p w14:paraId="787D5E1E" w14:textId="77777777" w:rsidR="00F332DA" w:rsidRPr="00BD76AF" w:rsidRDefault="00F332DA" w:rsidP="0079334B">
            <w:pPr>
              <w:overflowPunct/>
              <w:autoSpaceDE/>
              <w:autoSpaceDN/>
              <w:adjustRightInd/>
              <w:textAlignment w:val="auto"/>
              <w:rPr>
                <w:lang w:val="es-ES_tradnl" w:eastAsia="en-US"/>
              </w:rPr>
            </w:pPr>
          </w:p>
        </w:tc>
        <w:tc>
          <w:tcPr>
            <w:tcW w:w="6451" w:type="dxa"/>
            <w:tcBorders>
              <w:top w:val="dashSmallGap" w:sz="4" w:space="0" w:color="auto"/>
            </w:tcBorders>
          </w:tcPr>
          <w:p w14:paraId="7C90AF96" w14:textId="77777777" w:rsidR="00F332DA" w:rsidRPr="00BD76AF" w:rsidDel="005373F0" w:rsidRDefault="00F332DA" w:rsidP="0079334B">
            <w:pPr>
              <w:overflowPunct/>
              <w:autoSpaceDE/>
              <w:autoSpaceDN/>
              <w:adjustRightInd/>
              <w:textAlignment w:val="auto"/>
              <w:rPr>
                <w:sz w:val="32"/>
                <w:szCs w:val="32"/>
                <w:lang w:val="es-ES_tradnl" w:eastAsia="en-US"/>
              </w:rPr>
            </w:pPr>
          </w:p>
        </w:tc>
      </w:tr>
      <w:tr w:rsidR="00F332DA" w:rsidRPr="00BD76AF" w14:paraId="028E514B" w14:textId="77777777" w:rsidTr="0079334B">
        <w:tc>
          <w:tcPr>
            <w:tcW w:w="2552" w:type="dxa"/>
            <w:gridSpan w:val="6"/>
          </w:tcPr>
          <w:p w14:paraId="6C3528ED" w14:textId="77777777" w:rsidR="00F332DA" w:rsidRPr="00BD76AF" w:rsidRDefault="00F332DA" w:rsidP="0079334B">
            <w:pPr>
              <w:overflowPunct/>
              <w:autoSpaceDE/>
              <w:autoSpaceDN/>
              <w:adjustRightInd/>
              <w:textAlignment w:val="auto"/>
              <w:rPr>
                <w:b/>
                <w:lang w:val="es-ES_tradnl" w:eastAsia="en-US"/>
              </w:rPr>
            </w:pPr>
            <w:r w:rsidRPr="00BD76AF">
              <w:rPr>
                <w:b/>
                <w:lang w:val="es-ES_tradnl" w:eastAsia="en-US"/>
              </w:rPr>
              <w:t>G</w:t>
            </w:r>
            <w:r w:rsidRPr="00BD76AF">
              <w:rPr>
                <w:b/>
                <w:szCs w:val="24"/>
              </w:rPr>
              <w:t>aranties</w:t>
            </w:r>
          </w:p>
        </w:tc>
        <w:tc>
          <w:tcPr>
            <w:tcW w:w="6451" w:type="dxa"/>
          </w:tcPr>
          <w:p w14:paraId="4E6FEB42" w14:textId="77777777" w:rsidR="00F332DA" w:rsidRPr="00BD76AF" w:rsidRDefault="00F332DA" w:rsidP="0079334B">
            <w:pPr>
              <w:suppressAutoHyphens w:val="0"/>
              <w:overflowPunct/>
              <w:spacing w:after="120"/>
              <w:textAlignment w:val="auto"/>
              <w:rPr>
                <w:lang w:eastAsia="en-US"/>
              </w:rPr>
            </w:pPr>
            <w:r w:rsidRPr="00BD76AF">
              <w:rPr>
                <w:szCs w:val="24"/>
                <w:lang w:eastAsia="en-US"/>
              </w:rPr>
              <w:t xml:space="preserve">Le </w:t>
            </w:r>
            <w:r w:rsidRPr="00BD76AF">
              <w:rPr>
                <w:szCs w:val="24"/>
              </w:rPr>
              <w:t>Membre garantit et déclare qu’il/elle est et sera impartial(e) et indépendant(e) du Maître d’ouvrage, de l’Entrepreneur et du Directeur de projet. Le Membre doit divulguer immédiatement à chacun d’eux et aux Autres Membres (le cas échéant) tous les faits et circonstances qui pourraient sembler incompatibles avec la garantie et déclaration d’impartialité et d’indépendance</w:t>
            </w:r>
            <w:r w:rsidRPr="00BD76AF">
              <w:rPr>
                <w:szCs w:val="24"/>
                <w:lang w:eastAsia="en-US"/>
              </w:rPr>
              <w:t>.</w:t>
            </w:r>
          </w:p>
          <w:p w14:paraId="36A110D4" w14:textId="77777777" w:rsidR="00F332DA" w:rsidRPr="00BD76AF" w:rsidRDefault="00F332DA" w:rsidP="0079334B">
            <w:pPr>
              <w:suppressAutoHyphens w:val="0"/>
              <w:overflowPunct/>
              <w:spacing w:after="120"/>
              <w:textAlignment w:val="auto"/>
              <w:rPr>
                <w:lang w:eastAsia="en-US"/>
              </w:rPr>
            </w:pPr>
            <w:r w:rsidRPr="00BD76AF">
              <w:rPr>
                <w:szCs w:val="24"/>
              </w:rPr>
              <w:t>Lorsqu’ils désignent le Membre, le Maître d’ouvrage et l’Entrepreneur se remettent aux déclarations du Membre sur </w:t>
            </w:r>
            <w:r w:rsidRPr="00BD76AF">
              <w:rPr>
                <w:szCs w:val="24"/>
                <w:lang w:eastAsia="en-US"/>
              </w:rPr>
              <w:t>:</w:t>
            </w:r>
          </w:p>
          <w:p w14:paraId="5C0F644A" w14:textId="77777777" w:rsidR="00F332DA" w:rsidRPr="00BD76AF" w:rsidRDefault="00F332DA" w:rsidP="0079334B">
            <w:pPr>
              <w:tabs>
                <w:tab w:val="left" w:pos="1024"/>
              </w:tabs>
              <w:suppressAutoHyphens w:val="0"/>
              <w:overflowPunct/>
              <w:spacing w:after="120"/>
              <w:ind w:left="454" w:hanging="454"/>
              <w:textAlignment w:val="auto"/>
              <w:rPr>
                <w:szCs w:val="24"/>
                <w:lang w:eastAsia="en-US"/>
              </w:rPr>
            </w:pPr>
            <w:r w:rsidRPr="00BD76AF">
              <w:rPr>
                <w:lang w:eastAsia="en-US"/>
              </w:rPr>
              <w:t>(a)</w:t>
            </w:r>
            <w:r w:rsidRPr="00BD76AF">
              <w:rPr>
                <w:lang w:eastAsia="en-US"/>
              </w:rPr>
              <w:tab/>
              <w:t>a de l’</w:t>
            </w:r>
            <w:r w:rsidRPr="00BD76AF">
              <w:rPr>
                <w:szCs w:val="24"/>
              </w:rPr>
              <w:t>expérience dans les travaux que l’Entrepreneur doit exécuter en vertu du Marché </w:t>
            </w:r>
            <w:r w:rsidRPr="00BD76AF">
              <w:rPr>
                <w:szCs w:val="24"/>
                <w:lang w:eastAsia="en-US"/>
              </w:rPr>
              <w:t>;</w:t>
            </w:r>
          </w:p>
          <w:p w14:paraId="55874B77" w14:textId="77777777" w:rsidR="00F332DA" w:rsidRPr="00BD76AF" w:rsidRDefault="00F332DA" w:rsidP="0079334B">
            <w:pPr>
              <w:tabs>
                <w:tab w:val="left" w:pos="1024"/>
              </w:tabs>
              <w:suppressAutoHyphens w:val="0"/>
              <w:overflowPunct/>
              <w:spacing w:after="120"/>
              <w:ind w:left="454" w:hanging="454"/>
              <w:textAlignment w:val="auto"/>
              <w:rPr>
                <w:szCs w:val="24"/>
                <w:lang w:eastAsia="en-US"/>
              </w:rPr>
            </w:pPr>
            <w:r w:rsidRPr="00BD76AF">
              <w:rPr>
                <w:szCs w:val="24"/>
                <w:lang w:eastAsia="en-US"/>
              </w:rPr>
              <w:t>(b)</w:t>
            </w:r>
            <w:r w:rsidRPr="00BD76AF">
              <w:rPr>
                <w:szCs w:val="24"/>
                <w:lang w:eastAsia="en-US"/>
              </w:rPr>
              <w:tab/>
              <w:t>a de l’</w:t>
            </w:r>
            <w:r w:rsidRPr="00BD76AF">
              <w:rPr>
                <w:szCs w:val="24"/>
              </w:rPr>
              <w:t>expérience dans l’interprétation de documents contractuels ; et</w:t>
            </w:r>
          </w:p>
          <w:p w14:paraId="4266F33D" w14:textId="77777777" w:rsidR="00F332DA" w:rsidRPr="00BD76AF" w:rsidDel="005373F0" w:rsidRDefault="00F332DA" w:rsidP="0079334B">
            <w:pPr>
              <w:tabs>
                <w:tab w:val="left" w:pos="1024"/>
              </w:tabs>
              <w:suppressAutoHyphens w:val="0"/>
              <w:overflowPunct/>
              <w:spacing w:after="120"/>
              <w:ind w:left="454" w:hanging="454"/>
              <w:textAlignment w:val="auto"/>
              <w:rPr>
                <w:lang w:eastAsia="en-US"/>
              </w:rPr>
            </w:pPr>
            <w:r w:rsidRPr="00BD76AF">
              <w:rPr>
                <w:szCs w:val="24"/>
                <w:lang w:eastAsia="en-US"/>
              </w:rPr>
              <w:t>(c)</w:t>
            </w:r>
            <w:r w:rsidRPr="00BD76AF">
              <w:rPr>
                <w:szCs w:val="24"/>
                <w:lang w:eastAsia="en-US"/>
              </w:rPr>
              <w:tab/>
            </w:r>
            <w:r w:rsidRPr="00BD76AF">
              <w:rPr>
                <w:szCs w:val="24"/>
              </w:rPr>
              <w:t>parle couramment la langue de communication définie dans le Marché</w:t>
            </w:r>
            <w:r w:rsidRPr="00BD76AF">
              <w:rPr>
                <w:szCs w:val="24"/>
                <w:lang w:eastAsia="en-US"/>
              </w:rPr>
              <w:t>.</w:t>
            </w:r>
          </w:p>
        </w:tc>
      </w:tr>
      <w:tr w:rsidR="00F332DA" w:rsidRPr="00BD76AF" w14:paraId="56BA1483" w14:textId="77777777" w:rsidTr="0079334B">
        <w:tc>
          <w:tcPr>
            <w:tcW w:w="576" w:type="dxa"/>
            <w:gridSpan w:val="4"/>
            <w:vMerge w:val="restart"/>
            <w:vAlign w:val="center"/>
          </w:tcPr>
          <w:p w14:paraId="28D14D77" w14:textId="77777777" w:rsidR="00F332DA" w:rsidRPr="00BD76AF" w:rsidRDefault="00F332DA" w:rsidP="0079334B">
            <w:pPr>
              <w:overflowPunct/>
              <w:autoSpaceDE/>
              <w:autoSpaceDN/>
              <w:adjustRightInd/>
              <w:textAlignment w:val="auto"/>
              <w:rPr>
                <w:b/>
                <w:lang w:val="es-ES_tradnl" w:eastAsia="en-US"/>
              </w:rPr>
            </w:pPr>
            <w:r w:rsidRPr="00BD76AF">
              <w:rPr>
                <w:rFonts w:hint="eastAsia"/>
                <w:b/>
                <w:lang w:val="es-ES_tradnl" w:eastAsia="en-US"/>
              </w:rPr>
              <w:t>4</w:t>
            </w:r>
          </w:p>
        </w:tc>
        <w:tc>
          <w:tcPr>
            <w:tcW w:w="1976" w:type="dxa"/>
            <w:gridSpan w:val="2"/>
            <w:tcBorders>
              <w:bottom w:val="dashSmallGap" w:sz="4" w:space="0" w:color="auto"/>
            </w:tcBorders>
          </w:tcPr>
          <w:p w14:paraId="00958FF3" w14:textId="77777777" w:rsidR="00F332DA" w:rsidRPr="00BD76AF" w:rsidRDefault="00F332DA" w:rsidP="0079334B">
            <w:pPr>
              <w:overflowPunct/>
              <w:autoSpaceDE/>
              <w:autoSpaceDN/>
              <w:adjustRightInd/>
              <w:textAlignment w:val="auto"/>
              <w:rPr>
                <w:lang w:val="es-ES_tradnl" w:eastAsia="en-US"/>
              </w:rPr>
            </w:pPr>
          </w:p>
        </w:tc>
        <w:tc>
          <w:tcPr>
            <w:tcW w:w="6451" w:type="dxa"/>
            <w:tcBorders>
              <w:bottom w:val="dashSmallGap" w:sz="4" w:space="0" w:color="auto"/>
            </w:tcBorders>
          </w:tcPr>
          <w:p w14:paraId="04C00CDC" w14:textId="77777777" w:rsidR="00F332DA" w:rsidRPr="00BD76AF" w:rsidDel="005373F0" w:rsidRDefault="00F332DA" w:rsidP="0079334B">
            <w:pPr>
              <w:overflowPunct/>
              <w:autoSpaceDE/>
              <w:autoSpaceDN/>
              <w:adjustRightInd/>
              <w:textAlignment w:val="auto"/>
              <w:rPr>
                <w:sz w:val="32"/>
                <w:szCs w:val="32"/>
                <w:lang w:val="es-ES_tradnl" w:eastAsia="en-US"/>
              </w:rPr>
            </w:pPr>
          </w:p>
        </w:tc>
      </w:tr>
      <w:tr w:rsidR="00F332DA" w:rsidRPr="00BD76AF" w14:paraId="7364EFBF" w14:textId="77777777" w:rsidTr="0079334B">
        <w:tc>
          <w:tcPr>
            <w:tcW w:w="576" w:type="dxa"/>
            <w:gridSpan w:val="4"/>
            <w:vMerge/>
          </w:tcPr>
          <w:p w14:paraId="3BB1BA98" w14:textId="77777777" w:rsidR="00F332DA" w:rsidRPr="00BD76AF" w:rsidRDefault="00F332DA" w:rsidP="0079334B">
            <w:pPr>
              <w:overflowPunct/>
              <w:autoSpaceDE/>
              <w:autoSpaceDN/>
              <w:adjustRightInd/>
              <w:textAlignment w:val="auto"/>
              <w:rPr>
                <w:lang w:val="es-ES_tradnl" w:eastAsia="en-US"/>
              </w:rPr>
            </w:pPr>
          </w:p>
        </w:tc>
        <w:tc>
          <w:tcPr>
            <w:tcW w:w="1976" w:type="dxa"/>
            <w:gridSpan w:val="2"/>
            <w:tcBorders>
              <w:top w:val="dashSmallGap" w:sz="4" w:space="0" w:color="auto"/>
            </w:tcBorders>
          </w:tcPr>
          <w:p w14:paraId="2C501B02" w14:textId="77777777" w:rsidR="00F332DA" w:rsidRPr="00BD76AF" w:rsidRDefault="00F332DA" w:rsidP="0079334B">
            <w:pPr>
              <w:overflowPunct/>
              <w:autoSpaceDE/>
              <w:autoSpaceDN/>
              <w:adjustRightInd/>
              <w:textAlignment w:val="auto"/>
              <w:rPr>
                <w:lang w:val="es-ES_tradnl" w:eastAsia="en-US"/>
              </w:rPr>
            </w:pPr>
          </w:p>
        </w:tc>
        <w:tc>
          <w:tcPr>
            <w:tcW w:w="6451" w:type="dxa"/>
            <w:tcBorders>
              <w:top w:val="dashSmallGap" w:sz="4" w:space="0" w:color="auto"/>
            </w:tcBorders>
          </w:tcPr>
          <w:p w14:paraId="1828E1A3" w14:textId="77777777" w:rsidR="00F332DA" w:rsidRPr="00BD76AF" w:rsidDel="005373F0" w:rsidRDefault="00F332DA" w:rsidP="0079334B">
            <w:pPr>
              <w:overflowPunct/>
              <w:autoSpaceDE/>
              <w:autoSpaceDN/>
              <w:adjustRightInd/>
              <w:textAlignment w:val="auto"/>
              <w:rPr>
                <w:sz w:val="32"/>
                <w:szCs w:val="32"/>
                <w:lang w:val="es-ES_tradnl" w:eastAsia="en-US"/>
              </w:rPr>
            </w:pPr>
          </w:p>
        </w:tc>
      </w:tr>
      <w:tr w:rsidR="00F332DA" w:rsidRPr="00BD76AF" w14:paraId="7E0BD314" w14:textId="77777777" w:rsidTr="0079334B">
        <w:tc>
          <w:tcPr>
            <w:tcW w:w="2552" w:type="dxa"/>
            <w:gridSpan w:val="6"/>
          </w:tcPr>
          <w:p w14:paraId="024E61CF" w14:textId="77777777" w:rsidR="00F332DA" w:rsidRPr="00BD76AF" w:rsidRDefault="00F332DA" w:rsidP="0079334B">
            <w:pPr>
              <w:overflowPunct/>
              <w:autoSpaceDE/>
              <w:autoSpaceDN/>
              <w:adjustRightInd/>
              <w:jc w:val="left"/>
              <w:textAlignment w:val="auto"/>
              <w:rPr>
                <w:b/>
                <w:lang w:val="es-ES_tradnl" w:eastAsia="en-US"/>
              </w:rPr>
            </w:pPr>
            <w:r w:rsidRPr="00BD76AF">
              <w:rPr>
                <w:b/>
                <w:szCs w:val="24"/>
              </w:rPr>
              <w:t>Obligations générales du Membre</w:t>
            </w:r>
          </w:p>
        </w:tc>
        <w:tc>
          <w:tcPr>
            <w:tcW w:w="6451" w:type="dxa"/>
          </w:tcPr>
          <w:p w14:paraId="140AF993" w14:textId="77777777" w:rsidR="00F332DA" w:rsidRPr="00BD76AF" w:rsidRDefault="00F332DA" w:rsidP="0079334B">
            <w:pPr>
              <w:tabs>
                <w:tab w:val="left" w:pos="1024"/>
              </w:tabs>
              <w:suppressAutoHyphens w:val="0"/>
              <w:overflowPunct/>
              <w:spacing w:after="120"/>
              <w:ind w:left="742" w:hanging="742"/>
              <w:textAlignment w:val="auto"/>
              <w:rPr>
                <w:szCs w:val="24"/>
                <w:lang w:eastAsia="en-US"/>
              </w:rPr>
            </w:pPr>
            <w:r w:rsidRPr="00BD76AF">
              <w:rPr>
                <w:szCs w:val="24"/>
              </w:rPr>
              <w:t xml:space="preserve">Le Membre </w:t>
            </w:r>
            <w:r w:rsidRPr="00BD76AF">
              <w:rPr>
                <w:szCs w:val="24"/>
                <w:lang w:eastAsia="en-US"/>
              </w:rPr>
              <w:t>:</w:t>
            </w:r>
          </w:p>
          <w:p w14:paraId="041538CD" w14:textId="77777777" w:rsidR="00F332DA" w:rsidRPr="00BD76AF" w:rsidRDefault="00F332DA" w:rsidP="0079334B">
            <w:pPr>
              <w:tabs>
                <w:tab w:val="left" w:pos="1024"/>
              </w:tabs>
              <w:suppressAutoHyphens w:val="0"/>
              <w:overflowPunct/>
              <w:spacing w:after="120"/>
              <w:ind w:left="454" w:hanging="454"/>
              <w:textAlignment w:val="auto"/>
              <w:rPr>
                <w:szCs w:val="24"/>
                <w:lang w:eastAsia="en-US"/>
              </w:rPr>
            </w:pPr>
            <w:r w:rsidRPr="00BD76AF">
              <w:rPr>
                <w:szCs w:val="24"/>
                <w:lang w:eastAsia="en-US"/>
              </w:rPr>
              <w:t>(a)</w:t>
            </w:r>
            <w:r w:rsidRPr="00BD76AF">
              <w:rPr>
                <w:szCs w:val="24"/>
                <w:lang w:eastAsia="en-US"/>
              </w:rPr>
              <w:tab/>
            </w:r>
            <w:r w:rsidRPr="00BD76AF">
              <w:rPr>
                <w:szCs w:val="24"/>
              </w:rPr>
              <w:t>ne doit avoir aucun intérêt financier ou autre auprès du Maître d’ouvrage, de l’Entrepreneur ou du Directeur de projet, ni dans le Marché, si ce n’est sa rémunération en vertu de la Convention </w:t>
            </w:r>
            <w:r w:rsidRPr="00BD76AF">
              <w:rPr>
                <w:szCs w:val="24"/>
                <w:lang w:eastAsia="en-US"/>
              </w:rPr>
              <w:t>;</w:t>
            </w:r>
          </w:p>
          <w:p w14:paraId="3D30C406" w14:textId="77777777" w:rsidR="00F332DA" w:rsidRPr="00BD76AF" w:rsidRDefault="00F332DA" w:rsidP="0079334B">
            <w:pPr>
              <w:tabs>
                <w:tab w:val="left" w:pos="1024"/>
              </w:tabs>
              <w:suppressAutoHyphens w:val="0"/>
              <w:overflowPunct/>
              <w:spacing w:after="120"/>
              <w:ind w:left="454" w:hanging="454"/>
              <w:textAlignment w:val="auto"/>
              <w:rPr>
                <w:szCs w:val="24"/>
                <w:lang w:eastAsia="en-US"/>
              </w:rPr>
            </w:pPr>
            <w:r w:rsidRPr="00BD76AF">
              <w:rPr>
                <w:szCs w:val="24"/>
                <w:lang w:eastAsia="en-US"/>
              </w:rPr>
              <w:t>(b)</w:t>
            </w:r>
            <w:r w:rsidRPr="00BD76AF">
              <w:rPr>
                <w:szCs w:val="24"/>
                <w:lang w:eastAsia="en-US"/>
              </w:rPr>
              <w:tab/>
              <w:t>n</w:t>
            </w:r>
            <w:r w:rsidRPr="00BD76AF">
              <w:rPr>
                <w:szCs w:val="24"/>
              </w:rPr>
              <w:t xml:space="preserve">e doit avoir été préalablement employé en tant que consultant ou à tout autre titre par le Maître d’ouvrage, l’Entrepreneur ou le Directeur de projet, si ce n’est dans les circonstances divulguées par écrit au Maître d’ouvrage et à l’Entrepreneur avant qu’ils ne signent la Convention </w:t>
            </w:r>
            <w:r w:rsidRPr="00BD76AF">
              <w:rPr>
                <w:szCs w:val="24"/>
                <w:lang w:eastAsia="en-US"/>
              </w:rPr>
              <w:t>;</w:t>
            </w:r>
          </w:p>
          <w:p w14:paraId="12DCF2D3" w14:textId="77777777" w:rsidR="00F332DA" w:rsidRPr="00BD76AF" w:rsidRDefault="00F332DA" w:rsidP="0079334B">
            <w:pPr>
              <w:tabs>
                <w:tab w:val="left" w:pos="1024"/>
              </w:tabs>
              <w:suppressAutoHyphens w:val="0"/>
              <w:overflowPunct/>
              <w:spacing w:after="120"/>
              <w:ind w:left="454" w:hanging="454"/>
              <w:textAlignment w:val="auto"/>
              <w:rPr>
                <w:szCs w:val="24"/>
                <w:lang w:eastAsia="en-US"/>
              </w:rPr>
            </w:pPr>
            <w:r w:rsidRPr="00BD76AF">
              <w:rPr>
                <w:szCs w:val="24"/>
                <w:lang w:eastAsia="en-US"/>
              </w:rPr>
              <w:t>(c)</w:t>
            </w:r>
            <w:r w:rsidRPr="00BD76AF">
              <w:rPr>
                <w:szCs w:val="24"/>
                <w:lang w:eastAsia="en-US"/>
              </w:rPr>
              <w:tab/>
            </w:r>
            <w:r w:rsidRPr="00BD76AF">
              <w:rPr>
                <w:szCs w:val="24"/>
              </w:rPr>
              <w:t xml:space="preserve">doit avoir divulgué par écrit au Maître d’ouvrage, à l’Entrepreneur et aux Autres Membres (le cas échéant), avant de conclure la Convention, </w:t>
            </w:r>
            <w:r w:rsidRPr="00BD76AF">
              <w:t xml:space="preserve">au tant qu’il/elle </w:t>
            </w:r>
            <w:r w:rsidRPr="00BD76AF">
              <w:rPr>
                <w:szCs w:val="24"/>
              </w:rPr>
              <w:t>le</w:t>
            </w:r>
            <w:r w:rsidRPr="00BD76AF">
              <w:t xml:space="preserve"> sache et s’en souvienne, toute relation personnelle ou professionnelle avec tout administrateur, dirigeant ou employé du </w:t>
            </w:r>
            <w:r w:rsidRPr="00BD76AF">
              <w:rPr>
                <w:szCs w:val="24"/>
              </w:rPr>
              <w:t xml:space="preserve">Maître d’ouvrage, de l’Entrepreneur ou du Directeur de projet et toute participation antérieure dans le projet global dont le Marché fait partie </w:t>
            </w:r>
            <w:r w:rsidRPr="00BD76AF">
              <w:rPr>
                <w:szCs w:val="24"/>
                <w:lang w:eastAsia="en-US"/>
              </w:rPr>
              <w:t>;</w:t>
            </w:r>
          </w:p>
          <w:p w14:paraId="415C378F" w14:textId="77777777" w:rsidR="00F332DA" w:rsidRPr="00BD76AF" w:rsidRDefault="00F332DA" w:rsidP="0079334B">
            <w:pPr>
              <w:tabs>
                <w:tab w:val="left" w:pos="1024"/>
              </w:tabs>
              <w:suppressAutoHyphens w:val="0"/>
              <w:overflowPunct/>
              <w:spacing w:after="120"/>
              <w:ind w:left="454" w:hanging="454"/>
              <w:textAlignment w:val="auto"/>
              <w:rPr>
                <w:szCs w:val="24"/>
                <w:lang w:eastAsia="en-US"/>
              </w:rPr>
            </w:pPr>
            <w:r w:rsidRPr="00BD76AF">
              <w:rPr>
                <w:szCs w:val="24"/>
                <w:lang w:eastAsia="en-US"/>
              </w:rPr>
              <w:t>(d)</w:t>
            </w:r>
            <w:r w:rsidRPr="00BD76AF">
              <w:rPr>
                <w:szCs w:val="24"/>
                <w:lang w:eastAsia="en-US"/>
              </w:rPr>
              <w:tab/>
            </w:r>
            <w:r w:rsidRPr="00BD76AF">
              <w:rPr>
                <w:szCs w:val="24"/>
              </w:rPr>
              <w:t>ne doit pas être employé pour toute la durée de la Convention comme consultant ou à tout autre titre par le Maître d’ouvrage, l’Entrepreneur ou le Directeur de projet à moins qu’il en ait été convenu autrement par écrit avec le Maître d’ouvrage, l’Entrepreneur et les Autres Membres (le cas échéant) </w:t>
            </w:r>
            <w:r w:rsidRPr="00BD76AF">
              <w:rPr>
                <w:szCs w:val="24"/>
                <w:lang w:eastAsia="en-US"/>
              </w:rPr>
              <w:t>;</w:t>
            </w:r>
          </w:p>
          <w:p w14:paraId="09CC378D" w14:textId="77777777" w:rsidR="00F332DA" w:rsidRPr="00BD76AF" w:rsidRDefault="00F332DA" w:rsidP="0079334B">
            <w:pPr>
              <w:tabs>
                <w:tab w:val="left" w:pos="1024"/>
              </w:tabs>
              <w:suppressAutoHyphens w:val="0"/>
              <w:overflowPunct/>
              <w:spacing w:after="120"/>
              <w:ind w:left="454" w:hanging="454"/>
              <w:textAlignment w:val="auto"/>
              <w:rPr>
                <w:szCs w:val="24"/>
                <w:lang w:eastAsia="en-US"/>
              </w:rPr>
            </w:pPr>
            <w:r w:rsidRPr="00BD76AF">
              <w:rPr>
                <w:szCs w:val="24"/>
                <w:lang w:eastAsia="en-US"/>
              </w:rPr>
              <w:t>(e)</w:t>
            </w:r>
            <w:r w:rsidRPr="00BD76AF">
              <w:rPr>
                <w:szCs w:val="24"/>
                <w:lang w:eastAsia="en-US"/>
              </w:rPr>
              <w:tab/>
            </w:r>
            <w:r w:rsidRPr="00BD76AF">
              <w:rPr>
                <w:szCs w:val="24"/>
              </w:rPr>
              <w:t xml:space="preserve">doit se conformer aux règles procédurales jointes et aux dispositions de l’Article 45.3 des CG </w:t>
            </w:r>
            <w:r w:rsidRPr="00BD76AF">
              <w:rPr>
                <w:szCs w:val="24"/>
                <w:lang w:eastAsia="en-US"/>
              </w:rPr>
              <w:t>;</w:t>
            </w:r>
          </w:p>
          <w:p w14:paraId="7A7BE473" w14:textId="77777777" w:rsidR="00F332DA" w:rsidRPr="00BD76AF" w:rsidRDefault="00F332DA" w:rsidP="0079334B">
            <w:pPr>
              <w:tabs>
                <w:tab w:val="left" w:pos="1024"/>
              </w:tabs>
              <w:suppressAutoHyphens w:val="0"/>
              <w:overflowPunct/>
              <w:spacing w:after="120"/>
              <w:ind w:left="454" w:hanging="454"/>
              <w:textAlignment w:val="auto"/>
              <w:rPr>
                <w:szCs w:val="24"/>
                <w:lang w:eastAsia="en-US"/>
              </w:rPr>
            </w:pPr>
            <w:r w:rsidRPr="00BD76AF">
              <w:rPr>
                <w:szCs w:val="24"/>
                <w:lang w:eastAsia="en-US"/>
              </w:rPr>
              <w:t>(f)</w:t>
            </w:r>
            <w:r w:rsidRPr="00BD76AF">
              <w:rPr>
                <w:szCs w:val="24"/>
                <w:lang w:eastAsia="en-US"/>
              </w:rPr>
              <w:tab/>
            </w:r>
            <w:r w:rsidRPr="00BD76AF">
              <w:rPr>
                <w:szCs w:val="24"/>
              </w:rPr>
              <w:t xml:space="preserve">ne doit donner de conseil ni au Maître d’ouvrage, ni à l’Entrepreneur, ni au personnel du Maître d’ouvrage ou de l’Entrepreneur en ce qui concerne l’exécution du Marché, si ce n’est conformément aux règles procédurales ci-jointes </w:t>
            </w:r>
            <w:r w:rsidRPr="00BD76AF">
              <w:rPr>
                <w:szCs w:val="24"/>
                <w:lang w:eastAsia="en-US"/>
              </w:rPr>
              <w:t>;</w:t>
            </w:r>
          </w:p>
          <w:p w14:paraId="7DF813DF" w14:textId="77777777" w:rsidR="00F332DA" w:rsidRPr="00BD76AF" w:rsidRDefault="00F332DA" w:rsidP="0079334B">
            <w:pPr>
              <w:tabs>
                <w:tab w:val="left" w:pos="1024"/>
              </w:tabs>
              <w:suppressAutoHyphens w:val="0"/>
              <w:overflowPunct/>
              <w:spacing w:after="120"/>
              <w:ind w:left="454" w:hanging="454"/>
              <w:textAlignment w:val="auto"/>
              <w:rPr>
                <w:szCs w:val="24"/>
                <w:lang w:eastAsia="en-US"/>
              </w:rPr>
            </w:pPr>
            <w:r w:rsidRPr="00BD76AF">
              <w:rPr>
                <w:szCs w:val="24"/>
                <w:lang w:eastAsia="en-US"/>
              </w:rPr>
              <w:t>(g)</w:t>
            </w:r>
            <w:r w:rsidRPr="00BD76AF">
              <w:rPr>
                <w:szCs w:val="24"/>
                <w:lang w:eastAsia="en-US"/>
              </w:rPr>
              <w:tab/>
            </w:r>
            <w:r w:rsidRPr="00BD76AF">
              <w:rPr>
                <w:szCs w:val="24"/>
              </w:rPr>
              <w:t xml:space="preserve">ne doit pas, tant qu’il remplit les fonctions de Membre, conduire des négociations ou conclure des accords avec le Maître d’ouvrage, l’Entrepreneur ou le Directeur de projet, en ce qui concerne son engagement par l’un d’entre eux, que ce soit en tant que consultant ou à tout autre titre, après avoir cessé ses fonctions en vertu de la Convention </w:t>
            </w:r>
            <w:r w:rsidRPr="00BD76AF">
              <w:rPr>
                <w:szCs w:val="24"/>
                <w:lang w:eastAsia="en-US"/>
              </w:rPr>
              <w:t>;</w:t>
            </w:r>
          </w:p>
          <w:p w14:paraId="311F5B35" w14:textId="77777777" w:rsidR="00F332DA" w:rsidRPr="00BD76AF" w:rsidRDefault="00F332DA" w:rsidP="0079334B">
            <w:pPr>
              <w:tabs>
                <w:tab w:val="left" w:pos="1024"/>
              </w:tabs>
              <w:suppressAutoHyphens w:val="0"/>
              <w:overflowPunct/>
              <w:spacing w:after="120"/>
              <w:ind w:left="454" w:hanging="454"/>
              <w:textAlignment w:val="auto"/>
              <w:rPr>
                <w:szCs w:val="24"/>
                <w:lang w:eastAsia="en-US"/>
              </w:rPr>
            </w:pPr>
            <w:r w:rsidRPr="00BD76AF">
              <w:rPr>
                <w:szCs w:val="24"/>
                <w:lang w:eastAsia="en-US"/>
              </w:rPr>
              <w:t>(h)</w:t>
            </w:r>
            <w:r w:rsidRPr="00BD76AF">
              <w:rPr>
                <w:szCs w:val="24"/>
                <w:lang w:eastAsia="en-US"/>
              </w:rPr>
              <w:tab/>
            </w:r>
            <w:r w:rsidRPr="00BD76AF">
              <w:rPr>
                <w:iCs/>
                <w:lang w:eastAsia="ja-JP"/>
              </w:rPr>
              <w:t>doit assurer sa disponibilité pour effectuer toutes les visites du site et audiences nécessaires</w:t>
            </w:r>
            <w:r w:rsidRPr="00BD76AF">
              <w:rPr>
                <w:szCs w:val="24"/>
              </w:rPr>
              <w:t> </w:t>
            </w:r>
            <w:r w:rsidRPr="00BD76AF">
              <w:rPr>
                <w:szCs w:val="24"/>
                <w:lang w:eastAsia="en-US"/>
              </w:rPr>
              <w:t>;</w:t>
            </w:r>
          </w:p>
          <w:p w14:paraId="1AFACA36" w14:textId="77777777" w:rsidR="00F332DA" w:rsidRPr="00BD76AF" w:rsidRDefault="00F332DA" w:rsidP="0079334B">
            <w:pPr>
              <w:tabs>
                <w:tab w:val="left" w:pos="1024"/>
              </w:tabs>
              <w:suppressAutoHyphens w:val="0"/>
              <w:overflowPunct/>
              <w:spacing w:after="120"/>
              <w:ind w:left="454" w:hanging="454"/>
              <w:textAlignment w:val="auto"/>
              <w:rPr>
                <w:szCs w:val="24"/>
                <w:lang w:eastAsia="en-US"/>
              </w:rPr>
            </w:pPr>
            <w:r w:rsidRPr="00BD76AF">
              <w:rPr>
                <w:szCs w:val="24"/>
                <w:lang w:eastAsia="en-US"/>
              </w:rPr>
              <w:t>(i)</w:t>
            </w:r>
            <w:r w:rsidRPr="00BD76AF">
              <w:rPr>
                <w:szCs w:val="24"/>
                <w:lang w:eastAsia="en-US"/>
              </w:rPr>
              <w:tab/>
            </w:r>
            <w:r w:rsidRPr="00BD76AF">
              <w:rPr>
                <w:szCs w:val="24"/>
              </w:rPr>
              <w:t xml:space="preserve">doit avoir connaissance du contenu du Marché et de l’avancement des travaux sur les Installations (et de toute autre partie du projet dont le Marché fait partie) en étudiant tous les documents reçus qui doivent être conservés dans un fichier de travail en cours </w:t>
            </w:r>
            <w:r w:rsidRPr="00BD76AF">
              <w:rPr>
                <w:szCs w:val="24"/>
                <w:lang w:eastAsia="en-US"/>
              </w:rPr>
              <w:t>;</w:t>
            </w:r>
          </w:p>
          <w:p w14:paraId="222C37CF" w14:textId="77777777" w:rsidR="00F332DA" w:rsidRPr="00BD76AF" w:rsidRDefault="00F332DA" w:rsidP="0079334B">
            <w:pPr>
              <w:tabs>
                <w:tab w:val="left" w:pos="1024"/>
              </w:tabs>
              <w:suppressAutoHyphens w:val="0"/>
              <w:overflowPunct/>
              <w:spacing w:after="120"/>
              <w:ind w:left="454" w:hanging="454"/>
              <w:textAlignment w:val="auto"/>
              <w:rPr>
                <w:szCs w:val="24"/>
                <w:lang w:eastAsia="en-US"/>
              </w:rPr>
            </w:pPr>
            <w:r w:rsidRPr="00BD76AF">
              <w:rPr>
                <w:szCs w:val="24"/>
                <w:lang w:eastAsia="en-US"/>
              </w:rPr>
              <w:t>(j)</w:t>
            </w:r>
            <w:r w:rsidRPr="00BD76AF">
              <w:rPr>
                <w:szCs w:val="24"/>
                <w:lang w:eastAsia="en-US"/>
              </w:rPr>
              <w:tab/>
            </w:r>
            <w:r w:rsidRPr="00BD76AF">
              <w:rPr>
                <w:szCs w:val="24"/>
              </w:rPr>
              <w:t xml:space="preserve">doit traiter les détails du Marché et de toutes les activités et audiences du </w:t>
            </w:r>
            <w:r w:rsidRPr="00BD76AF">
              <w:rPr>
                <w:iCs/>
              </w:rPr>
              <w:t xml:space="preserve">Comité de Règlement des Différends </w:t>
            </w:r>
            <w:r w:rsidRPr="00BD76AF">
              <w:rPr>
                <w:szCs w:val="24"/>
              </w:rPr>
              <w:t xml:space="preserve">comme privés et confidentiels, et ne doit pas les publier ou les divulguer sans l’approbation préalable écrite du Maître d’ouvrage, de l’Entrepreneur et des Autres Membres (le cas échéant) </w:t>
            </w:r>
            <w:r w:rsidRPr="00BD76AF">
              <w:rPr>
                <w:szCs w:val="24"/>
                <w:lang w:eastAsia="en-US"/>
              </w:rPr>
              <w:t>; et</w:t>
            </w:r>
          </w:p>
          <w:p w14:paraId="1565D0E6" w14:textId="77777777" w:rsidR="00F332DA" w:rsidRPr="00BD76AF" w:rsidDel="005373F0" w:rsidRDefault="00F332DA" w:rsidP="0079334B">
            <w:pPr>
              <w:tabs>
                <w:tab w:val="left" w:pos="1024"/>
              </w:tabs>
              <w:suppressAutoHyphens w:val="0"/>
              <w:overflowPunct/>
              <w:spacing w:after="120"/>
              <w:ind w:left="454" w:hanging="454"/>
              <w:textAlignment w:val="auto"/>
              <w:rPr>
                <w:szCs w:val="24"/>
                <w:lang w:eastAsia="en-US"/>
              </w:rPr>
            </w:pPr>
            <w:r w:rsidRPr="00BD76AF">
              <w:rPr>
                <w:szCs w:val="24"/>
                <w:lang w:eastAsia="en-US"/>
              </w:rPr>
              <w:t>(k)</w:t>
            </w:r>
            <w:r w:rsidRPr="00BD76AF">
              <w:rPr>
                <w:szCs w:val="24"/>
                <w:lang w:eastAsia="en-US"/>
              </w:rPr>
              <w:tab/>
            </w:r>
            <w:r w:rsidRPr="00BD76AF">
              <w:rPr>
                <w:szCs w:val="24"/>
              </w:rPr>
              <w:t>doit être disponible pour donner des conseils et avis sur toute question concernant le Marché, lorsque le Maître d’ouvrage et l’Entrepreneur, tous les deux, le demandent, sous réserve de l’approbation des Autres Membres (le cas échéant)</w:t>
            </w:r>
            <w:r w:rsidRPr="00BD76AF">
              <w:rPr>
                <w:szCs w:val="24"/>
                <w:lang w:eastAsia="en-US"/>
              </w:rPr>
              <w:t>.</w:t>
            </w:r>
          </w:p>
        </w:tc>
      </w:tr>
      <w:tr w:rsidR="00F332DA" w:rsidRPr="00BD76AF" w14:paraId="231CAFB8" w14:textId="77777777" w:rsidTr="0079334B">
        <w:tc>
          <w:tcPr>
            <w:tcW w:w="538" w:type="dxa"/>
            <w:gridSpan w:val="3"/>
            <w:vMerge w:val="restart"/>
            <w:vAlign w:val="center"/>
          </w:tcPr>
          <w:p w14:paraId="26ADAA11" w14:textId="77777777" w:rsidR="00F332DA" w:rsidRPr="00BD76AF" w:rsidRDefault="00F332DA" w:rsidP="0079334B">
            <w:pPr>
              <w:overflowPunct/>
              <w:autoSpaceDE/>
              <w:autoSpaceDN/>
              <w:adjustRightInd/>
              <w:textAlignment w:val="auto"/>
              <w:rPr>
                <w:b/>
                <w:lang w:val="es-ES_tradnl" w:eastAsia="en-US"/>
              </w:rPr>
            </w:pPr>
            <w:r w:rsidRPr="00BD76AF">
              <w:rPr>
                <w:rFonts w:hint="eastAsia"/>
                <w:b/>
                <w:lang w:val="es-ES_tradnl" w:eastAsia="en-US"/>
              </w:rPr>
              <w:t>5</w:t>
            </w:r>
          </w:p>
        </w:tc>
        <w:tc>
          <w:tcPr>
            <w:tcW w:w="2014" w:type="dxa"/>
            <w:gridSpan w:val="3"/>
            <w:tcBorders>
              <w:bottom w:val="dashSmallGap" w:sz="4" w:space="0" w:color="auto"/>
            </w:tcBorders>
          </w:tcPr>
          <w:p w14:paraId="6F621521" w14:textId="77777777" w:rsidR="00F332DA" w:rsidRPr="00BD76AF" w:rsidRDefault="00F332DA" w:rsidP="0079334B">
            <w:pPr>
              <w:overflowPunct/>
              <w:autoSpaceDE/>
              <w:autoSpaceDN/>
              <w:adjustRightInd/>
              <w:textAlignment w:val="auto"/>
              <w:rPr>
                <w:lang w:val="es-ES_tradnl" w:eastAsia="en-US"/>
              </w:rPr>
            </w:pPr>
          </w:p>
        </w:tc>
        <w:tc>
          <w:tcPr>
            <w:tcW w:w="6451" w:type="dxa"/>
            <w:tcBorders>
              <w:bottom w:val="dashSmallGap" w:sz="4" w:space="0" w:color="auto"/>
            </w:tcBorders>
          </w:tcPr>
          <w:p w14:paraId="20D193B8" w14:textId="77777777" w:rsidR="00F332DA" w:rsidRPr="00BD76AF" w:rsidDel="005373F0" w:rsidRDefault="00F332DA" w:rsidP="0079334B">
            <w:pPr>
              <w:overflowPunct/>
              <w:autoSpaceDE/>
              <w:autoSpaceDN/>
              <w:adjustRightInd/>
              <w:textAlignment w:val="auto"/>
              <w:rPr>
                <w:sz w:val="32"/>
                <w:szCs w:val="32"/>
                <w:lang w:val="es-ES_tradnl" w:eastAsia="en-US"/>
              </w:rPr>
            </w:pPr>
          </w:p>
        </w:tc>
      </w:tr>
      <w:tr w:rsidR="00F332DA" w:rsidRPr="00BD76AF" w14:paraId="2BD4B874" w14:textId="77777777" w:rsidTr="0079334B">
        <w:tc>
          <w:tcPr>
            <w:tcW w:w="538" w:type="dxa"/>
            <w:gridSpan w:val="3"/>
            <w:vMerge/>
          </w:tcPr>
          <w:p w14:paraId="1E8DF053" w14:textId="77777777" w:rsidR="00F332DA" w:rsidRPr="00BD76AF" w:rsidRDefault="00F332DA" w:rsidP="0079334B">
            <w:pPr>
              <w:overflowPunct/>
              <w:autoSpaceDE/>
              <w:autoSpaceDN/>
              <w:adjustRightInd/>
              <w:textAlignment w:val="auto"/>
              <w:rPr>
                <w:lang w:val="es-ES_tradnl" w:eastAsia="en-US"/>
              </w:rPr>
            </w:pPr>
          </w:p>
        </w:tc>
        <w:tc>
          <w:tcPr>
            <w:tcW w:w="2014" w:type="dxa"/>
            <w:gridSpan w:val="3"/>
            <w:tcBorders>
              <w:top w:val="dashSmallGap" w:sz="4" w:space="0" w:color="auto"/>
            </w:tcBorders>
          </w:tcPr>
          <w:p w14:paraId="464968C2" w14:textId="77777777" w:rsidR="00F332DA" w:rsidRPr="00BD76AF" w:rsidRDefault="00F332DA" w:rsidP="0079334B">
            <w:pPr>
              <w:overflowPunct/>
              <w:autoSpaceDE/>
              <w:autoSpaceDN/>
              <w:adjustRightInd/>
              <w:textAlignment w:val="auto"/>
              <w:rPr>
                <w:lang w:val="es-ES_tradnl" w:eastAsia="en-US"/>
              </w:rPr>
            </w:pPr>
          </w:p>
        </w:tc>
        <w:tc>
          <w:tcPr>
            <w:tcW w:w="6451" w:type="dxa"/>
            <w:tcBorders>
              <w:top w:val="dashSmallGap" w:sz="4" w:space="0" w:color="auto"/>
            </w:tcBorders>
          </w:tcPr>
          <w:p w14:paraId="0944B4B2" w14:textId="77777777" w:rsidR="00F332DA" w:rsidRPr="00BD76AF" w:rsidDel="005373F0" w:rsidRDefault="00F332DA" w:rsidP="0079334B">
            <w:pPr>
              <w:overflowPunct/>
              <w:autoSpaceDE/>
              <w:autoSpaceDN/>
              <w:adjustRightInd/>
              <w:textAlignment w:val="auto"/>
              <w:rPr>
                <w:sz w:val="32"/>
                <w:szCs w:val="32"/>
                <w:lang w:val="es-ES_tradnl" w:eastAsia="en-US"/>
              </w:rPr>
            </w:pPr>
          </w:p>
        </w:tc>
      </w:tr>
      <w:tr w:rsidR="00F332DA" w:rsidRPr="00BD76AF" w14:paraId="22AB807F" w14:textId="77777777" w:rsidTr="0079334B">
        <w:tc>
          <w:tcPr>
            <w:tcW w:w="2552" w:type="dxa"/>
            <w:gridSpan w:val="6"/>
          </w:tcPr>
          <w:p w14:paraId="1AB4FEED" w14:textId="77777777" w:rsidR="00F332DA" w:rsidRPr="00BD76AF" w:rsidRDefault="00F332DA" w:rsidP="0079334B">
            <w:pPr>
              <w:overflowPunct/>
              <w:autoSpaceDE/>
              <w:autoSpaceDN/>
              <w:adjustRightInd/>
              <w:jc w:val="left"/>
              <w:textAlignment w:val="auto"/>
              <w:rPr>
                <w:b/>
                <w:lang w:eastAsia="en-US"/>
              </w:rPr>
            </w:pPr>
            <w:r w:rsidRPr="00BD76AF">
              <w:rPr>
                <w:b/>
                <w:szCs w:val="24"/>
              </w:rPr>
              <w:t>Obligations générales du Maître d’ouvrage et de l’Entrepreneur</w:t>
            </w:r>
          </w:p>
        </w:tc>
        <w:tc>
          <w:tcPr>
            <w:tcW w:w="6451" w:type="dxa"/>
          </w:tcPr>
          <w:p w14:paraId="2CA49A33" w14:textId="77777777" w:rsidR="00F332DA" w:rsidRPr="00BD76AF" w:rsidRDefault="00F332DA" w:rsidP="0079334B">
            <w:pPr>
              <w:suppressAutoHyphens w:val="0"/>
              <w:overflowPunct/>
              <w:spacing w:after="120"/>
              <w:textAlignment w:val="auto"/>
              <w:rPr>
                <w:szCs w:val="24"/>
                <w:lang w:eastAsia="en-US"/>
              </w:rPr>
            </w:pPr>
            <w:r w:rsidRPr="00BD76AF">
              <w:rPr>
                <w:szCs w:val="24"/>
              </w:rPr>
              <w:t xml:space="preserve">Le Maître d’ouvrage, l’Entrepreneur ainsi que leur personnel ne doivent pas demander conseil ou audience avec le Membre au sujet du Marché, en dehors du cadre normal des activités du </w:t>
            </w:r>
            <w:r w:rsidRPr="00BD76AF">
              <w:rPr>
                <w:iCs/>
              </w:rPr>
              <w:t>Comité de Règlement des Différends</w:t>
            </w:r>
            <w:r w:rsidRPr="00BD76AF">
              <w:rPr>
                <w:szCs w:val="24"/>
              </w:rPr>
              <w:t xml:space="preserve"> en vertu du Marché et de la Convention. Le Maître d’ouvrage et l’Entrepreneur sont responsables du respect de cette disposition par leur personnel respectif</w:t>
            </w:r>
            <w:r w:rsidRPr="00BD76AF">
              <w:rPr>
                <w:szCs w:val="24"/>
                <w:lang w:eastAsia="en-US"/>
              </w:rPr>
              <w:t>.</w:t>
            </w:r>
          </w:p>
          <w:p w14:paraId="41BC50AC" w14:textId="77777777" w:rsidR="00F332DA" w:rsidRPr="00BD76AF" w:rsidRDefault="00F332DA" w:rsidP="0079334B">
            <w:pPr>
              <w:suppressAutoHyphens w:val="0"/>
              <w:overflowPunct/>
              <w:spacing w:after="120"/>
              <w:textAlignment w:val="auto"/>
              <w:rPr>
                <w:szCs w:val="24"/>
                <w:lang w:eastAsia="en-US"/>
              </w:rPr>
            </w:pPr>
            <w:r w:rsidRPr="00BD76AF">
              <w:rPr>
                <w:szCs w:val="24"/>
              </w:rPr>
              <w:t>Le Maître d’ouvrage et l’Entrepreneur s’engagent l’un envers l’autre et envers le Membre que le Membre ne doit pas, à moins que le Maître d’ouvrage, l’Entrepreneur, le Membre et les Autres Membres (le cas échéant) n’en conviennent autrement par écrit </w:t>
            </w:r>
            <w:r w:rsidRPr="00BD76AF">
              <w:rPr>
                <w:szCs w:val="24"/>
                <w:lang w:eastAsia="en-US"/>
              </w:rPr>
              <w:t>:</w:t>
            </w:r>
          </w:p>
          <w:p w14:paraId="706FAE86" w14:textId="77777777" w:rsidR="00F332DA" w:rsidRPr="00BD76AF" w:rsidRDefault="00F332DA" w:rsidP="0079334B">
            <w:pPr>
              <w:tabs>
                <w:tab w:val="left" w:pos="1024"/>
              </w:tabs>
              <w:suppressAutoHyphens w:val="0"/>
              <w:overflowPunct/>
              <w:spacing w:after="120"/>
              <w:ind w:left="454" w:hanging="454"/>
              <w:textAlignment w:val="auto"/>
              <w:rPr>
                <w:szCs w:val="24"/>
                <w:lang w:eastAsia="en-US"/>
              </w:rPr>
            </w:pPr>
            <w:r w:rsidRPr="00BD76AF">
              <w:rPr>
                <w:szCs w:val="24"/>
                <w:lang w:eastAsia="en-US"/>
              </w:rPr>
              <w:t>(a)</w:t>
            </w:r>
            <w:r w:rsidRPr="00BD76AF">
              <w:rPr>
                <w:szCs w:val="24"/>
                <w:lang w:eastAsia="en-US"/>
              </w:rPr>
              <w:tab/>
            </w:r>
            <w:r w:rsidRPr="00BD76AF">
              <w:rPr>
                <w:szCs w:val="24"/>
              </w:rPr>
              <w:t xml:space="preserve">être désigné comme arbitre dans toutes les procédures arbitrales en vertu du Marché </w:t>
            </w:r>
            <w:r w:rsidRPr="00BD76AF">
              <w:rPr>
                <w:szCs w:val="24"/>
                <w:lang w:eastAsia="en-US"/>
              </w:rPr>
              <w:t>;</w:t>
            </w:r>
          </w:p>
          <w:p w14:paraId="078734EF" w14:textId="77777777" w:rsidR="00F332DA" w:rsidRPr="00BD76AF" w:rsidRDefault="00F332DA" w:rsidP="0079334B">
            <w:pPr>
              <w:tabs>
                <w:tab w:val="left" w:pos="1024"/>
              </w:tabs>
              <w:suppressAutoHyphens w:val="0"/>
              <w:overflowPunct/>
              <w:spacing w:after="120"/>
              <w:ind w:left="454" w:hanging="454"/>
              <w:textAlignment w:val="auto"/>
              <w:rPr>
                <w:szCs w:val="24"/>
                <w:lang w:eastAsia="en-US"/>
              </w:rPr>
            </w:pPr>
            <w:r w:rsidRPr="00BD76AF">
              <w:rPr>
                <w:szCs w:val="24"/>
                <w:lang w:eastAsia="en-US"/>
              </w:rPr>
              <w:t>(b)</w:t>
            </w:r>
            <w:r w:rsidRPr="00BD76AF">
              <w:rPr>
                <w:szCs w:val="24"/>
                <w:lang w:eastAsia="en-US"/>
              </w:rPr>
              <w:tab/>
            </w:r>
            <w:r w:rsidRPr="00BD76AF">
              <w:rPr>
                <w:szCs w:val="24"/>
              </w:rPr>
              <w:t xml:space="preserve">être appelé comme témoin pour apporter des preuves concernant tout </w:t>
            </w:r>
            <w:r w:rsidRPr="00BD76AF">
              <w:t>différend</w:t>
            </w:r>
            <w:r w:rsidRPr="00BD76AF">
              <w:rPr>
                <w:szCs w:val="24"/>
              </w:rPr>
              <w:t xml:space="preserve"> devant le(s) arbitre(s) désigné(s) par la procédure arbitrale en vertu du Marché ;</w:t>
            </w:r>
            <w:r w:rsidRPr="00BD76AF">
              <w:rPr>
                <w:szCs w:val="24"/>
                <w:lang w:eastAsia="en-US"/>
              </w:rPr>
              <w:t xml:space="preserve"> ou</w:t>
            </w:r>
          </w:p>
          <w:p w14:paraId="690657D0" w14:textId="77777777" w:rsidR="00F332DA" w:rsidRPr="00BD76AF" w:rsidRDefault="00F332DA" w:rsidP="0079334B">
            <w:pPr>
              <w:tabs>
                <w:tab w:val="left" w:pos="1024"/>
              </w:tabs>
              <w:suppressAutoHyphens w:val="0"/>
              <w:overflowPunct/>
              <w:spacing w:after="120"/>
              <w:ind w:left="454" w:hanging="454"/>
              <w:textAlignment w:val="auto"/>
              <w:rPr>
                <w:szCs w:val="24"/>
                <w:lang w:eastAsia="en-US"/>
              </w:rPr>
            </w:pPr>
            <w:r w:rsidRPr="00BD76AF">
              <w:rPr>
                <w:szCs w:val="24"/>
                <w:lang w:eastAsia="en-US"/>
              </w:rPr>
              <w:t>(c)</w:t>
            </w:r>
            <w:r w:rsidRPr="00BD76AF">
              <w:rPr>
                <w:szCs w:val="24"/>
                <w:lang w:eastAsia="en-US"/>
              </w:rPr>
              <w:tab/>
            </w:r>
            <w:r w:rsidRPr="00BD76AF">
              <w:rPr>
                <w:szCs w:val="24"/>
              </w:rPr>
              <w:t>être tenu responsable de réclamations sur toute action ou omission lors de l’exercice ou du prétendu exercice par le Membre de ses fonctions, à moins qu’il ne soit démontré que cette action ou omission a été commise de mauvaise foi</w:t>
            </w:r>
            <w:r w:rsidRPr="00BD76AF">
              <w:rPr>
                <w:szCs w:val="24"/>
                <w:lang w:eastAsia="en-US"/>
              </w:rPr>
              <w:t>.</w:t>
            </w:r>
          </w:p>
          <w:p w14:paraId="3363C019" w14:textId="77777777" w:rsidR="00F332DA" w:rsidRPr="00BD76AF" w:rsidRDefault="00F332DA" w:rsidP="0079334B">
            <w:pPr>
              <w:suppressAutoHyphens w:val="0"/>
              <w:overflowPunct/>
              <w:spacing w:after="120"/>
              <w:textAlignment w:val="auto"/>
              <w:rPr>
                <w:szCs w:val="24"/>
                <w:lang w:eastAsia="en-US"/>
              </w:rPr>
            </w:pPr>
            <w:r w:rsidRPr="00BD76AF">
              <w:rPr>
                <w:szCs w:val="24"/>
              </w:rPr>
              <w:t xml:space="preserve">Le Maître d’ouvrage et l’Entrepreneur indemnisent </w:t>
            </w:r>
            <w:r w:rsidRPr="00BD76AF">
              <w:t>solidairement et</w:t>
            </w:r>
            <w:r w:rsidRPr="00BD76AF">
              <w:rPr>
                <w:szCs w:val="24"/>
              </w:rPr>
              <w:t xml:space="preserve"> dédommagent le Membre contre et de toutes les réclamations pour lesquelles il a été déchargé de sa responsabilité en vertu du paragraphe précédent</w:t>
            </w:r>
            <w:r w:rsidRPr="00BD76AF">
              <w:rPr>
                <w:szCs w:val="24"/>
                <w:lang w:eastAsia="en-US"/>
              </w:rPr>
              <w:t>.</w:t>
            </w:r>
          </w:p>
          <w:p w14:paraId="14CD4A63" w14:textId="77777777" w:rsidR="00F332DA" w:rsidRPr="00BD76AF" w:rsidDel="005373F0" w:rsidRDefault="00F332DA" w:rsidP="00A83941">
            <w:pPr>
              <w:suppressAutoHyphens w:val="0"/>
              <w:overflowPunct/>
              <w:spacing w:after="120"/>
              <w:textAlignment w:val="auto"/>
              <w:rPr>
                <w:szCs w:val="24"/>
                <w:lang w:eastAsia="en-US"/>
              </w:rPr>
            </w:pPr>
            <w:r w:rsidRPr="00BD76AF">
              <w:rPr>
                <w:szCs w:val="24"/>
              </w:rPr>
              <w:t xml:space="preserve">Lorsque le Maître d’ouvrage ou l’Entrepreneur présentent un différend au </w:t>
            </w:r>
            <w:r w:rsidRPr="00BD76AF">
              <w:rPr>
                <w:iCs/>
              </w:rPr>
              <w:t>Comité de Règlement des Différends,</w:t>
            </w:r>
            <w:r w:rsidRPr="00BD76AF">
              <w:rPr>
                <w:szCs w:val="24"/>
              </w:rPr>
              <w:t xml:space="preserve"> conformément à l’Article 45.3 des CG qui oblige le Membre à effectuer une visite du site et à conduire une audience, le Maître d’ouvrage ou l’Entrepreneur doivent fournir une garantie adéquate d’un montant équivalent aux dépenses raisonnables encourues par le Membre. Ce montant ne peut être attribué aux autres paiements dus ou payés au Membre</w:t>
            </w:r>
            <w:r w:rsidRPr="00BD76AF">
              <w:rPr>
                <w:szCs w:val="24"/>
                <w:lang w:eastAsia="en-US"/>
              </w:rPr>
              <w:t>.</w:t>
            </w:r>
          </w:p>
        </w:tc>
      </w:tr>
      <w:tr w:rsidR="00F332DA" w:rsidRPr="00BD76AF" w14:paraId="6BADE3A3" w14:textId="77777777" w:rsidTr="0079334B">
        <w:tc>
          <w:tcPr>
            <w:tcW w:w="576" w:type="dxa"/>
            <w:gridSpan w:val="4"/>
            <w:vMerge w:val="restart"/>
            <w:vAlign w:val="center"/>
          </w:tcPr>
          <w:p w14:paraId="286D5B62" w14:textId="77777777" w:rsidR="00F332DA" w:rsidRPr="00BD76AF" w:rsidRDefault="00F332DA" w:rsidP="0079334B">
            <w:pPr>
              <w:overflowPunct/>
              <w:autoSpaceDE/>
              <w:autoSpaceDN/>
              <w:adjustRightInd/>
              <w:textAlignment w:val="auto"/>
              <w:rPr>
                <w:b/>
                <w:lang w:val="es-ES_tradnl" w:eastAsia="en-US"/>
              </w:rPr>
            </w:pPr>
            <w:r w:rsidRPr="00BD76AF">
              <w:rPr>
                <w:rFonts w:hint="eastAsia"/>
                <w:b/>
                <w:lang w:val="es-ES_tradnl" w:eastAsia="en-US"/>
              </w:rPr>
              <w:t>6</w:t>
            </w:r>
          </w:p>
        </w:tc>
        <w:tc>
          <w:tcPr>
            <w:tcW w:w="1976" w:type="dxa"/>
            <w:gridSpan w:val="2"/>
            <w:tcBorders>
              <w:bottom w:val="dashSmallGap" w:sz="4" w:space="0" w:color="auto"/>
            </w:tcBorders>
          </w:tcPr>
          <w:p w14:paraId="065790E0" w14:textId="77777777" w:rsidR="00F332DA" w:rsidRPr="00BD76AF" w:rsidRDefault="00F332DA" w:rsidP="0079334B">
            <w:pPr>
              <w:overflowPunct/>
              <w:autoSpaceDE/>
              <w:autoSpaceDN/>
              <w:adjustRightInd/>
              <w:textAlignment w:val="auto"/>
              <w:rPr>
                <w:lang w:val="es-ES_tradnl" w:eastAsia="en-US"/>
              </w:rPr>
            </w:pPr>
          </w:p>
        </w:tc>
        <w:tc>
          <w:tcPr>
            <w:tcW w:w="6451" w:type="dxa"/>
            <w:tcBorders>
              <w:bottom w:val="dashSmallGap" w:sz="4" w:space="0" w:color="auto"/>
            </w:tcBorders>
          </w:tcPr>
          <w:p w14:paraId="685DA5C8" w14:textId="77777777" w:rsidR="00F332DA" w:rsidRPr="00BD76AF" w:rsidDel="005373F0" w:rsidRDefault="00F332DA" w:rsidP="0079334B">
            <w:pPr>
              <w:overflowPunct/>
              <w:autoSpaceDE/>
              <w:autoSpaceDN/>
              <w:adjustRightInd/>
              <w:textAlignment w:val="auto"/>
              <w:rPr>
                <w:sz w:val="32"/>
                <w:szCs w:val="32"/>
                <w:lang w:val="es-ES_tradnl" w:eastAsia="en-US"/>
              </w:rPr>
            </w:pPr>
          </w:p>
        </w:tc>
      </w:tr>
      <w:tr w:rsidR="00F332DA" w:rsidRPr="00BD76AF" w14:paraId="14085593" w14:textId="77777777" w:rsidTr="0079334B">
        <w:tc>
          <w:tcPr>
            <w:tcW w:w="576" w:type="dxa"/>
            <w:gridSpan w:val="4"/>
            <w:vMerge/>
          </w:tcPr>
          <w:p w14:paraId="0902D955" w14:textId="77777777" w:rsidR="00F332DA" w:rsidRPr="00BD76AF" w:rsidRDefault="00F332DA" w:rsidP="0079334B">
            <w:pPr>
              <w:overflowPunct/>
              <w:autoSpaceDE/>
              <w:autoSpaceDN/>
              <w:adjustRightInd/>
              <w:textAlignment w:val="auto"/>
              <w:rPr>
                <w:lang w:val="es-ES_tradnl" w:eastAsia="en-US"/>
              </w:rPr>
            </w:pPr>
          </w:p>
        </w:tc>
        <w:tc>
          <w:tcPr>
            <w:tcW w:w="1976" w:type="dxa"/>
            <w:gridSpan w:val="2"/>
            <w:tcBorders>
              <w:top w:val="dashSmallGap" w:sz="4" w:space="0" w:color="auto"/>
            </w:tcBorders>
          </w:tcPr>
          <w:p w14:paraId="4D5841C2" w14:textId="77777777" w:rsidR="00F332DA" w:rsidRPr="00BD76AF" w:rsidRDefault="00F332DA" w:rsidP="0079334B">
            <w:pPr>
              <w:overflowPunct/>
              <w:autoSpaceDE/>
              <w:autoSpaceDN/>
              <w:adjustRightInd/>
              <w:textAlignment w:val="auto"/>
              <w:rPr>
                <w:lang w:val="es-ES_tradnl" w:eastAsia="en-US"/>
              </w:rPr>
            </w:pPr>
          </w:p>
        </w:tc>
        <w:tc>
          <w:tcPr>
            <w:tcW w:w="6451" w:type="dxa"/>
            <w:tcBorders>
              <w:top w:val="dashSmallGap" w:sz="4" w:space="0" w:color="auto"/>
            </w:tcBorders>
          </w:tcPr>
          <w:p w14:paraId="4DDF8BF0" w14:textId="77777777" w:rsidR="00F332DA" w:rsidRPr="00BD76AF" w:rsidDel="005373F0" w:rsidRDefault="00F332DA" w:rsidP="0079334B">
            <w:pPr>
              <w:overflowPunct/>
              <w:autoSpaceDE/>
              <w:autoSpaceDN/>
              <w:adjustRightInd/>
              <w:textAlignment w:val="auto"/>
              <w:rPr>
                <w:sz w:val="32"/>
                <w:szCs w:val="32"/>
                <w:lang w:val="es-ES_tradnl" w:eastAsia="en-US"/>
              </w:rPr>
            </w:pPr>
          </w:p>
        </w:tc>
      </w:tr>
      <w:tr w:rsidR="00F332DA" w:rsidRPr="00BD76AF" w14:paraId="4B47021F" w14:textId="77777777" w:rsidTr="0079334B">
        <w:tc>
          <w:tcPr>
            <w:tcW w:w="2552" w:type="dxa"/>
            <w:gridSpan w:val="6"/>
          </w:tcPr>
          <w:p w14:paraId="1EC7A4A6" w14:textId="77777777" w:rsidR="00F332DA" w:rsidRPr="00BD76AF" w:rsidRDefault="00F332DA" w:rsidP="0079334B">
            <w:pPr>
              <w:overflowPunct/>
              <w:autoSpaceDE/>
              <w:autoSpaceDN/>
              <w:adjustRightInd/>
              <w:textAlignment w:val="auto"/>
              <w:rPr>
                <w:b/>
                <w:lang w:val="es-ES_tradnl" w:eastAsia="en-US"/>
              </w:rPr>
            </w:pPr>
            <w:r w:rsidRPr="00BD76AF">
              <w:rPr>
                <w:b/>
                <w:szCs w:val="24"/>
              </w:rPr>
              <w:t>Règlement</w:t>
            </w:r>
          </w:p>
        </w:tc>
        <w:tc>
          <w:tcPr>
            <w:tcW w:w="6451" w:type="dxa"/>
          </w:tcPr>
          <w:p w14:paraId="6C042947" w14:textId="77777777" w:rsidR="00F332DA" w:rsidRPr="00BD76AF" w:rsidRDefault="00F332DA" w:rsidP="0079334B">
            <w:pPr>
              <w:suppressAutoHyphens w:val="0"/>
              <w:overflowPunct/>
              <w:spacing w:after="120"/>
              <w:textAlignment w:val="auto"/>
              <w:rPr>
                <w:lang w:eastAsia="en-US"/>
              </w:rPr>
            </w:pPr>
            <w:r w:rsidRPr="00BD76AF">
              <w:rPr>
                <w:szCs w:val="24"/>
              </w:rPr>
              <w:t xml:space="preserve">Le Membre </w:t>
            </w:r>
            <w:r w:rsidRPr="00BD76AF">
              <w:t>doit être rémunéré comme suit</w:t>
            </w:r>
            <w:r w:rsidRPr="00BD76AF">
              <w:rPr>
                <w:iCs/>
              </w:rPr>
              <w:t>,</w:t>
            </w:r>
            <w:r w:rsidRPr="00BD76AF">
              <w:rPr>
                <w:szCs w:val="24"/>
              </w:rPr>
              <w:t xml:space="preserve"> dans la monnaie désignée dans la Convention </w:t>
            </w:r>
            <w:r w:rsidRPr="00BD76AF">
              <w:rPr>
                <w:szCs w:val="24"/>
                <w:lang w:eastAsia="en-US"/>
              </w:rPr>
              <w:t>:</w:t>
            </w:r>
          </w:p>
          <w:p w14:paraId="76B072BD" w14:textId="77777777" w:rsidR="00F332DA" w:rsidRPr="00BD76AF" w:rsidRDefault="00F332DA" w:rsidP="0079334B">
            <w:pPr>
              <w:tabs>
                <w:tab w:val="left" w:pos="1024"/>
              </w:tabs>
              <w:suppressAutoHyphens w:val="0"/>
              <w:overflowPunct/>
              <w:spacing w:after="120"/>
              <w:ind w:left="454" w:hanging="454"/>
              <w:textAlignment w:val="auto"/>
              <w:rPr>
                <w:lang w:eastAsia="en-US"/>
              </w:rPr>
            </w:pPr>
            <w:r w:rsidRPr="00BD76AF">
              <w:rPr>
                <w:lang w:eastAsia="en-US"/>
              </w:rPr>
              <w:t>(a)</w:t>
            </w:r>
            <w:r w:rsidRPr="00BD76AF">
              <w:rPr>
                <w:lang w:eastAsia="en-US"/>
              </w:rPr>
              <w:tab/>
            </w:r>
            <w:r w:rsidRPr="00BD76AF">
              <w:t>une rémunération mensuelle considérée couvrir intégralement ce qui suit</w:t>
            </w:r>
            <w:r w:rsidRPr="00BD76AF">
              <w:rPr>
                <w:szCs w:val="24"/>
              </w:rPr>
              <w:t xml:space="preserve"> </w:t>
            </w:r>
            <w:r w:rsidRPr="00BD76AF">
              <w:rPr>
                <w:szCs w:val="24"/>
                <w:lang w:eastAsia="en-US"/>
              </w:rPr>
              <w:t>:</w:t>
            </w:r>
          </w:p>
          <w:p w14:paraId="6A2EB6DE" w14:textId="77777777" w:rsidR="00F332DA" w:rsidRPr="00BD76AF" w:rsidRDefault="00F332DA" w:rsidP="0079334B">
            <w:pPr>
              <w:tabs>
                <w:tab w:val="left" w:pos="1024"/>
              </w:tabs>
              <w:suppressAutoHyphens w:val="0"/>
              <w:overflowPunct/>
              <w:spacing w:after="120"/>
              <w:ind w:left="1024" w:hanging="562"/>
              <w:textAlignment w:val="auto"/>
              <w:rPr>
                <w:szCs w:val="24"/>
                <w:lang w:eastAsia="en-US"/>
              </w:rPr>
            </w:pPr>
            <w:r w:rsidRPr="00BD76AF">
              <w:rPr>
                <w:lang w:eastAsia="en-US"/>
              </w:rPr>
              <w:t>(i)</w:t>
            </w:r>
            <w:r w:rsidRPr="00BD76AF">
              <w:rPr>
                <w:lang w:eastAsia="en-US"/>
              </w:rPr>
              <w:tab/>
            </w:r>
            <w:r w:rsidRPr="00BD76AF">
              <w:rPr>
                <w:szCs w:val="24"/>
              </w:rPr>
              <w:t xml:space="preserve">sa disponibilité pour toute visite du Site et toute audience, sur préavis de vingt-huit (28) jours </w:t>
            </w:r>
            <w:r w:rsidRPr="00BD76AF">
              <w:rPr>
                <w:szCs w:val="24"/>
                <w:lang w:eastAsia="en-US"/>
              </w:rPr>
              <w:t>;</w:t>
            </w:r>
          </w:p>
          <w:p w14:paraId="1D2A4661" w14:textId="77777777" w:rsidR="00F332DA" w:rsidRPr="00BD76AF" w:rsidRDefault="00F332DA" w:rsidP="0079334B">
            <w:pPr>
              <w:tabs>
                <w:tab w:val="left" w:pos="1024"/>
              </w:tabs>
              <w:suppressAutoHyphens w:val="0"/>
              <w:overflowPunct/>
              <w:spacing w:after="120"/>
              <w:ind w:left="1024" w:hanging="562"/>
              <w:textAlignment w:val="auto"/>
              <w:rPr>
                <w:szCs w:val="24"/>
                <w:lang w:eastAsia="en-US"/>
              </w:rPr>
            </w:pPr>
            <w:r w:rsidRPr="00BD76AF">
              <w:rPr>
                <w:szCs w:val="24"/>
                <w:lang w:eastAsia="en-US"/>
              </w:rPr>
              <w:t>(ii)</w:t>
            </w:r>
            <w:r w:rsidRPr="00BD76AF">
              <w:rPr>
                <w:szCs w:val="24"/>
                <w:lang w:eastAsia="en-US"/>
              </w:rPr>
              <w:tab/>
            </w:r>
            <w:r w:rsidRPr="00BD76AF">
              <w:rPr>
                <w:szCs w:val="24"/>
              </w:rPr>
              <w:t>la prise et le maintien de connaissance de tous les développements du projet et la conservation des dossiers pertinents</w:t>
            </w:r>
            <w:r w:rsidRPr="00BD76AF">
              <w:rPr>
                <w:rFonts w:hint="eastAsia"/>
                <w:szCs w:val="24"/>
                <w:lang w:eastAsia="ja-JP"/>
              </w:rPr>
              <w:t xml:space="preserve"> </w:t>
            </w:r>
            <w:r w:rsidRPr="00BD76AF">
              <w:rPr>
                <w:szCs w:val="24"/>
                <w:lang w:eastAsia="en-US"/>
              </w:rPr>
              <w:t>;</w:t>
            </w:r>
          </w:p>
          <w:p w14:paraId="79DAC802" w14:textId="77777777" w:rsidR="00F332DA" w:rsidRPr="00BD76AF" w:rsidRDefault="00F332DA" w:rsidP="0079334B">
            <w:pPr>
              <w:tabs>
                <w:tab w:val="left" w:pos="1024"/>
              </w:tabs>
              <w:suppressAutoHyphens w:val="0"/>
              <w:overflowPunct/>
              <w:spacing w:after="120"/>
              <w:ind w:left="1024" w:hanging="562"/>
              <w:textAlignment w:val="auto"/>
              <w:rPr>
                <w:szCs w:val="24"/>
                <w:lang w:eastAsia="en-US"/>
              </w:rPr>
            </w:pPr>
            <w:r w:rsidRPr="00BD76AF">
              <w:rPr>
                <w:szCs w:val="24"/>
                <w:lang w:eastAsia="en-US"/>
              </w:rPr>
              <w:t>(iii)</w:t>
            </w:r>
            <w:r w:rsidRPr="00BD76AF">
              <w:rPr>
                <w:szCs w:val="24"/>
                <w:lang w:eastAsia="en-US"/>
              </w:rPr>
              <w:tab/>
            </w:r>
            <w:r w:rsidRPr="00BD76AF">
              <w:rPr>
                <w:szCs w:val="24"/>
              </w:rPr>
              <w:t xml:space="preserve">toutes les dépenses de bureau et frais généraux, y compris les services de secrétariat, de photocopie et les fournitures de bureau, encourus dans l’exercice de ses obligations </w:t>
            </w:r>
            <w:r w:rsidRPr="00BD76AF">
              <w:rPr>
                <w:szCs w:val="24"/>
                <w:lang w:eastAsia="en-US"/>
              </w:rPr>
              <w:t>; et</w:t>
            </w:r>
          </w:p>
          <w:p w14:paraId="5937ED96" w14:textId="77777777" w:rsidR="00F332DA" w:rsidRPr="00BD76AF" w:rsidRDefault="00F332DA" w:rsidP="0079334B">
            <w:pPr>
              <w:tabs>
                <w:tab w:val="left" w:pos="1024"/>
              </w:tabs>
              <w:suppressAutoHyphens w:val="0"/>
              <w:overflowPunct/>
              <w:spacing w:after="120"/>
              <w:ind w:left="1024" w:hanging="562"/>
              <w:textAlignment w:val="auto"/>
              <w:rPr>
                <w:lang w:eastAsia="en-US"/>
              </w:rPr>
            </w:pPr>
            <w:r w:rsidRPr="00BD76AF">
              <w:rPr>
                <w:szCs w:val="24"/>
                <w:lang w:eastAsia="en-US"/>
              </w:rPr>
              <w:t>(iv)</w:t>
            </w:r>
            <w:r w:rsidRPr="00BD76AF">
              <w:rPr>
                <w:szCs w:val="24"/>
                <w:lang w:eastAsia="en-US"/>
              </w:rPr>
              <w:tab/>
            </w:r>
            <w:r w:rsidRPr="00BD76AF">
              <w:rPr>
                <w:szCs w:val="24"/>
              </w:rPr>
              <w:t>tous les services réalisés ci-dessous, à l’exception de ceux mentionnés aux points (b) et (c) de cet Article</w:t>
            </w:r>
            <w:r w:rsidRPr="00BD76AF">
              <w:rPr>
                <w:szCs w:val="24"/>
                <w:lang w:eastAsia="en-US"/>
              </w:rPr>
              <w:t>.</w:t>
            </w:r>
          </w:p>
          <w:p w14:paraId="51A26CE2" w14:textId="77777777" w:rsidR="00F332DA" w:rsidRPr="00BD76AF" w:rsidRDefault="00F332DA" w:rsidP="0079334B">
            <w:pPr>
              <w:suppressAutoHyphens w:val="0"/>
              <w:overflowPunct/>
              <w:spacing w:after="120"/>
              <w:textAlignment w:val="auto"/>
              <w:rPr>
                <w:szCs w:val="24"/>
                <w:lang w:eastAsia="en-US"/>
              </w:rPr>
            </w:pPr>
            <w:r w:rsidRPr="00BD76AF">
              <w:rPr>
                <w:szCs w:val="24"/>
              </w:rPr>
              <w:t>La rémunération doit être versée avec effet à partir du dernier jour du mois calendaire où la Convention est entrée en vigueur jusqu’au dernier jour du mois calendaire où le certificat de Réception opérationnelle est délivré pour l’ensemble des Installations</w:t>
            </w:r>
            <w:r w:rsidRPr="00BD76AF">
              <w:rPr>
                <w:szCs w:val="24"/>
                <w:lang w:eastAsia="en-US"/>
              </w:rPr>
              <w:t>.</w:t>
            </w:r>
          </w:p>
          <w:p w14:paraId="5F37E853" w14:textId="77777777" w:rsidR="00F332DA" w:rsidRPr="00BD76AF" w:rsidRDefault="00F332DA" w:rsidP="0079334B">
            <w:pPr>
              <w:suppressAutoHyphens w:val="0"/>
              <w:overflowPunct/>
              <w:spacing w:after="120"/>
              <w:textAlignment w:val="auto"/>
              <w:rPr>
                <w:lang w:eastAsia="en-US"/>
              </w:rPr>
            </w:pPr>
            <w:r w:rsidRPr="00BD76AF">
              <w:rPr>
                <w:szCs w:val="24"/>
              </w:rPr>
              <w:t>À compter du premier jour du mois calendaire suivant le mois durant lequel le certificat de Réception opérationnelle a été délivré pour l’ensemble des Installations, la rémunération sera réduite d’un tiers. Cette rémunération réduite sera versée jusqu’au premier jour du mois calendaire où le Membre démissionne ou la Convention est autrement résiliée</w:t>
            </w:r>
            <w:r w:rsidRPr="00BD76AF">
              <w:rPr>
                <w:lang w:eastAsia="en-US"/>
              </w:rPr>
              <w:t>.</w:t>
            </w:r>
          </w:p>
          <w:p w14:paraId="7ED8AA44" w14:textId="77777777" w:rsidR="00F332DA" w:rsidRPr="00BD76AF" w:rsidRDefault="00F332DA" w:rsidP="0079334B">
            <w:pPr>
              <w:tabs>
                <w:tab w:val="left" w:pos="1024"/>
              </w:tabs>
              <w:suppressAutoHyphens w:val="0"/>
              <w:overflowPunct/>
              <w:spacing w:after="120"/>
              <w:ind w:left="454" w:hanging="454"/>
              <w:textAlignment w:val="auto"/>
              <w:rPr>
                <w:lang w:eastAsia="en-US"/>
              </w:rPr>
            </w:pPr>
            <w:r w:rsidRPr="00BD76AF">
              <w:rPr>
                <w:lang w:eastAsia="en-US"/>
              </w:rPr>
              <w:t>(b)</w:t>
            </w:r>
            <w:r w:rsidRPr="00BD76AF">
              <w:rPr>
                <w:lang w:eastAsia="en-US"/>
              </w:rPr>
              <w:tab/>
            </w:r>
            <w:r w:rsidRPr="00BD76AF">
              <w:rPr>
                <w:szCs w:val="24"/>
              </w:rPr>
              <w:t xml:space="preserve">des </w:t>
            </w:r>
            <w:r w:rsidRPr="00BD76AF">
              <w:rPr>
                <w:iCs/>
              </w:rPr>
              <w:t>honoraires journaliers considérés comme paiement intégral de</w:t>
            </w:r>
            <w:r w:rsidRPr="00BD76AF">
              <w:rPr>
                <w:szCs w:val="24"/>
              </w:rPr>
              <w:t> </w:t>
            </w:r>
            <w:r w:rsidRPr="00BD76AF">
              <w:rPr>
                <w:szCs w:val="24"/>
                <w:lang w:eastAsia="en-US"/>
              </w:rPr>
              <w:t>:</w:t>
            </w:r>
          </w:p>
          <w:p w14:paraId="5908E50B" w14:textId="77777777" w:rsidR="00F332DA" w:rsidRPr="00BD76AF" w:rsidRDefault="00F332DA" w:rsidP="0079334B">
            <w:pPr>
              <w:tabs>
                <w:tab w:val="left" w:pos="1024"/>
              </w:tabs>
              <w:suppressAutoHyphens w:val="0"/>
              <w:overflowPunct/>
              <w:spacing w:after="120"/>
              <w:ind w:left="1024" w:hanging="562"/>
              <w:textAlignment w:val="auto"/>
              <w:rPr>
                <w:lang w:eastAsia="en-US"/>
              </w:rPr>
            </w:pPr>
            <w:r w:rsidRPr="00BD76AF">
              <w:rPr>
                <w:lang w:eastAsia="en-US"/>
              </w:rPr>
              <w:t>(i)</w:t>
            </w:r>
            <w:r w:rsidRPr="00BD76AF">
              <w:rPr>
                <w:lang w:eastAsia="en-US"/>
              </w:rPr>
              <w:tab/>
            </w:r>
            <w:r w:rsidRPr="00BD76AF">
              <w:rPr>
                <w:iCs/>
              </w:rPr>
              <w:t xml:space="preserve">chaque jour, entier ou entamé, jusqu’à deux (2) jours  maximum de temps de déplacement dans chaque direction pour le trajet entre le domicile du Membre et le Site, ou tout autre lieu de réunion avec les Autres Membres (le cas </w:t>
            </w:r>
            <w:r w:rsidRPr="00BD76AF">
              <w:rPr>
                <w:rFonts w:hint="eastAsia"/>
                <w:iCs/>
              </w:rPr>
              <w:t>é</w:t>
            </w:r>
            <w:r w:rsidRPr="00BD76AF">
              <w:rPr>
                <w:iCs/>
              </w:rPr>
              <w:t>chéant)</w:t>
            </w:r>
            <w:r w:rsidRPr="00BD76AF">
              <w:rPr>
                <w:szCs w:val="24"/>
              </w:rPr>
              <w:t xml:space="preserve"> </w:t>
            </w:r>
            <w:r w:rsidRPr="00BD76AF">
              <w:rPr>
                <w:szCs w:val="24"/>
                <w:lang w:eastAsia="en-US"/>
              </w:rPr>
              <w:t>;</w:t>
            </w:r>
          </w:p>
          <w:p w14:paraId="4547B807" w14:textId="77777777" w:rsidR="00F332DA" w:rsidRPr="00BD76AF" w:rsidRDefault="00F332DA" w:rsidP="0079334B">
            <w:pPr>
              <w:tabs>
                <w:tab w:val="left" w:pos="1024"/>
              </w:tabs>
              <w:suppressAutoHyphens w:val="0"/>
              <w:overflowPunct/>
              <w:spacing w:after="120"/>
              <w:ind w:left="1024" w:hanging="562"/>
              <w:textAlignment w:val="auto"/>
              <w:rPr>
                <w:lang w:eastAsia="en-US"/>
              </w:rPr>
            </w:pPr>
            <w:r w:rsidRPr="00BD76AF">
              <w:rPr>
                <w:lang w:eastAsia="en-US"/>
              </w:rPr>
              <w:t>(ii)</w:t>
            </w:r>
            <w:r w:rsidRPr="00BD76AF">
              <w:rPr>
                <w:lang w:eastAsia="en-US"/>
              </w:rPr>
              <w:tab/>
            </w:r>
            <w:r w:rsidRPr="00BD76AF">
              <w:rPr>
                <w:iCs/>
              </w:rPr>
              <w:t>chaque jour de travail consacré à des visites du Site, des audiences ou à la préparation de décisions</w:t>
            </w:r>
            <w:r w:rsidRPr="00BD76AF">
              <w:rPr>
                <w:szCs w:val="24"/>
              </w:rPr>
              <w:t> ; et</w:t>
            </w:r>
          </w:p>
          <w:p w14:paraId="6B6BC6FF" w14:textId="77777777" w:rsidR="00F332DA" w:rsidRPr="00BD76AF" w:rsidRDefault="00F332DA" w:rsidP="0079334B">
            <w:pPr>
              <w:tabs>
                <w:tab w:val="left" w:pos="1024"/>
              </w:tabs>
              <w:suppressAutoHyphens w:val="0"/>
              <w:overflowPunct/>
              <w:spacing w:after="120"/>
              <w:ind w:left="1024" w:hanging="562"/>
              <w:textAlignment w:val="auto"/>
              <w:rPr>
                <w:lang w:eastAsia="en-US"/>
              </w:rPr>
            </w:pPr>
            <w:r w:rsidRPr="00BD76AF">
              <w:rPr>
                <w:lang w:eastAsia="en-US"/>
              </w:rPr>
              <w:t>(iii)</w:t>
            </w:r>
            <w:r w:rsidRPr="00BD76AF">
              <w:rPr>
                <w:lang w:eastAsia="en-US"/>
              </w:rPr>
              <w:tab/>
            </w:r>
            <w:r w:rsidRPr="00BD76AF">
              <w:rPr>
                <w:szCs w:val="24"/>
              </w:rPr>
              <w:t xml:space="preserve">chaque jour passé </w:t>
            </w:r>
            <w:r w:rsidRPr="00BD76AF">
              <w:rPr>
                <w:rFonts w:hint="eastAsia"/>
                <w:szCs w:val="24"/>
              </w:rPr>
              <w:t>à</w:t>
            </w:r>
            <w:r w:rsidRPr="00BD76AF">
              <w:rPr>
                <w:szCs w:val="24"/>
              </w:rPr>
              <w:t xml:space="preserve"> lire des rapports</w:t>
            </w:r>
            <w:r w:rsidRPr="00BD76AF">
              <w:rPr>
                <w:iCs/>
              </w:rPr>
              <w:t xml:space="preserve"> pour la préparation des audiences</w:t>
            </w:r>
            <w:r w:rsidRPr="00BD76AF">
              <w:rPr>
                <w:szCs w:val="24"/>
                <w:lang w:eastAsia="en-US"/>
              </w:rPr>
              <w:t>.</w:t>
            </w:r>
          </w:p>
          <w:p w14:paraId="20BE1867" w14:textId="77777777" w:rsidR="00F332DA" w:rsidRPr="00BD76AF" w:rsidRDefault="00F332DA" w:rsidP="0079334B">
            <w:pPr>
              <w:tabs>
                <w:tab w:val="left" w:pos="1024"/>
              </w:tabs>
              <w:suppressAutoHyphens w:val="0"/>
              <w:overflowPunct/>
              <w:spacing w:after="120"/>
              <w:ind w:left="454" w:hanging="454"/>
              <w:textAlignment w:val="auto"/>
              <w:rPr>
                <w:lang w:eastAsia="en-US"/>
              </w:rPr>
            </w:pPr>
            <w:r w:rsidRPr="00BD76AF">
              <w:rPr>
                <w:lang w:eastAsia="en-US"/>
              </w:rPr>
              <w:t>(c)</w:t>
            </w:r>
            <w:r w:rsidRPr="00BD76AF">
              <w:rPr>
                <w:lang w:eastAsia="en-US"/>
              </w:rPr>
              <w:tab/>
            </w:r>
            <w:r w:rsidRPr="00BD76AF">
              <w:t xml:space="preserve">tous les frais raisonnables y compris des frais de voyage nécessaires (frais de billet d’avion dans une catégorie autre que la première classe, frais d’hébergement et indemnités journalières et tout autre frais directement lié au voyage) encourus en relation avec les obligations du Membre, ainsi que le coût des appels téléphoniques, des frais de courrier, de télécopie et de télex. Un reçu sera demandé pour toute dépense supérieure à cinq pour cent (5 %) des honoraires journaliers mentionnés au point (b) </w:t>
            </w:r>
            <w:r w:rsidRPr="00BD76AF">
              <w:rPr>
                <w:szCs w:val="24"/>
              </w:rPr>
              <w:t>de cet Article</w:t>
            </w:r>
            <w:r w:rsidRPr="00BD76AF" w:rsidDel="00C16B81">
              <w:rPr>
                <w:szCs w:val="24"/>
              </w:rPr>
              <w:t xml:space="preserve"> </w:t>
            </w:r>
            <w:r w:rsidRPr="00BD76AF">
              <w:rPr>
                <w:szCs w:val="24"/>
              </w:rPr>
              <w:t xml:space="preserve">; </w:t>
            </w:r>
          </w:p>
          <w:p w14:paraId="37BAF352" w14:textId="77777777" w:rsidR="00F332DA" w:rsidRPr="00BD76AF" w:rsidRDefault="00F332DA" w:rsidP="0079334B">
            <w:pPr>
              <w:tabs>
                <w:tab w:val="left" w:pos="1024"/>
              </w:tabs>
              <w:suppressAutoHyphens w:val="0"/>
              <w:overflowPunct/>
              <w:spacing w:after="120"/>
              <w:ind w:left="454" w:hanging="454"/>
              <w:textAlignment w:val="auto"/>
              <w:rPr>
                <w:lang w:eastAsia="en-US"/>
              </w:rPr>
            </w:pPr>
            <w:r w:rsidRPr="00BD76AF">
              <w:rPr>
                <w:lang w:eastAsia="en-US"/>
              </w:rPr>
              <w:t>(d)</w:t>
            </w:r>
            <w:r w:rsidRPr="00BD76AF">
              <w:rPr>
                <w:lang w:eastAsia="en-US"/>
              </w:rPr>
              <w:tab/>
            </w:r>
            <w:r w:rsidRPr="00BD76AF">
              <w:t xml:space="preserve">toutes les taxes effectivement prélevées dans le pays où se trouve le Site sur les règlements effectués au Membre (à moins qu’il ne soit un ressortissant national ou un résident permanent du pays), conformément à </w:t>
            </w:r>
            <w:r w:rsidRPr="00BD76AF">
              <w:rPr>
                <w:szCs w:val="24"/>
              </w:rPr>
              <w:t>cet Article</w:t>
            </w:r>
            <w:r w:rsidRPr="00BD76AF">
              <w:t xml:space="preserve"> 6</w:t>
            </w:r>
            <w:r w:rsidRPr="00BD76AF">
              <w:rPr>
                <w:szCs w:val="24"/>
                <w:lang w:eastAsia="en-US"/>
              </w:rPr>
              <w:t>.</w:t>
            </w:r>
          </w:p>
          <w:p w14:paraId="1A156AB5" w14:textId="77777777" w:rsidR="00F332DA" w:rsidRPr="00BD76AF" w:rsidRDefault="00F332DA" w:rsidP="0079334B">
            <w:pPr>
              <w:suppressAutoHyphens w:val="0"/>
              <w:overflowPunct/>
              <w:spacing w:after="120"/>
              <w:textAlignment w:val="auto"/>
              <w:rPr>
                <w:szCs w:val="24"/>
                <w:lang w:eastAsia="en-US"/>
              </w:rPr>
            </w:pPr>
            <w:r w:rsidRPr="00BD76AF">
              <w:rPr>
                <w:szCs w:val="24"/>
              </w:rPr>
              <w:t>La rémunération et les honoraires journaliers doivent correspondre à ceux spécifiés dans la Convention. À moins qu’elle n’en dispose autrement, la rémunération et les honoraires journaliers doivent rester fixes pour les vingt-quatre (24) premiers mois calendaires et seront ensuite ajustés par accord entre le Maître d’ouvrage, l’Entrepreneur et le Membre, à chaque anniversaire de la date à laquelle la Convention avait pris effet</w:t>
            </w:r>
            <w:r w:rsidRPr="00BD76AF">
              <w:rPr>
                <w:szCs w:val="24"/>
                <w:lang w:eastAsia="en-US"/>
              </w:rPr>
              <w:t>.</w:t>
            </w:r>
          </w:p>
          <w:p w14:paraId="42AB5408" w14:textId="77777777" w:rsidR="00F332DA" w:rsidRPr="00BD76AF" w:rsidRDefault="00F332DA" w:rsidP="0079334B">
            <w:pPr>
              <w:suppressAutoHyphens w:val="0"/>
              <w:overflowPunct/>
              <w:spacing w:after="120"/>
              <w:textAlignment w:val="auto"/>
              <w:rPr>
                <w:szCs w:val="24"/>
                <w:lang w:eastAsia="en-US"/>
              </w:rPr>
            </w:pPr>
            <w:r w:rsidRPr="00BD76AF">
              <w:rPr>
                <w:szCs w:val="24"/>
                <w:lang w:eastAsia="en-US"/>
              </w:rPr>
              <w:t>S</w:t>
            </w:r>
            <w:r w:rsidRPr="00BD76AF">
              <w:rPr>
                <w:szCs w:val="24"/>
              </w:rPr>
              <w:t>i les Parties ne s’accordent pas sur la rémunération ou les honoraires journaliers, l’autorité ou la personne désignée dans les CP</w:t>
            </w:r>
            <w:r w:rsidRPr="00BD76AF" w:rsidDel="00C16B81">
              <w:rPr>
                <w:szCs w:val="24"/>
              </w:rPr>
              <w:t xml:space="preserve"> </w:t>
            </w:r>
            <w:r w:rsidRPr="00BD76AF">
              <w:rPr>
                <w:szCs w:val="24"/>
              </w:rPr>
              <w:t>déterminera leurs montants</w:t>
            </w:r>
            <w:r w:rsidRPr="00BD76AF">
              <w:rPr>
                <w:szCs w:val="24"/>
                <w:lang w:eastAsia="en-US"/>
              </w:rPr>
              <w:t>.</w:t>
            </w:r>
          </w:p>
          <w:p w14:paraId="41C38C2D" w14:textId="77777777" w:rsidR="00F332DA" w:rsidRPr="00BD76AF" w:rsidRDefault="00F332DA" w:rsidP="0079334B">
            <w:pPr>
              <w:suppressAutoHyphens w:val="0"/>
              <w:overflowPunct/>
              <w:spacing w:after="120"/>
              <w:textAlignment w:val="auto"/>
              <w:rPr>
                <w:lang w:eastAsia="en-US"/>
              </w:rPr>
            </w:pPr>
            <w:r w:rsidRPr="00BD76AF">
              <w:rPr>
                <w:szCs w:val="24"/>
              </w:rPr>
              <w:t>Le Membre doit présenter ses factures d’honoraires pour la rémunération et les frais d’avion tous les trimestres en avance. Les factures d’honoraires concernant les autres dépenses et les honoraires journaliers seront remises à la suite de la conclusion d’une visite ou d’une audience. Toutes les factures d’honoraires doivent être accompagnées d’une brève description des activités réalisées durant la période concernée et doivent être adressées à l’Entrepreneur</w:t>
            </w:r>
            <w:r w:rsidRPr="00BD76AF">
              <w:rPr>
                <w:szCs w:val="24"/>
                <w:lang w:eastAsia="en-US"/>
              </w:rPr>
              <w:t>.</w:t>
            </w:r>
          </w:p>
          <w:p w14:paraId="05E568F4" w14:textId="77777777" w:rsidR="00F332DA" w:rsidRPr="00BD76AF" w:rsidRDefault="00F332DA" w:rsidP="0079334B">
            <w:pPr>
              <w:suppressAutoHyphens w:val="0"/>
              <w:overflowPunct/>
              <w:spacing w:after="120"/>
              <w:textAlignment w:val="auto"/>
              <w:rPr>
                <w:lang w:eastAsia="en-US"/>
              </w:rPr>
            </w:pPr>
            <w:r w:rsidRPr="00BD76AF">
              <w:rPr>
                <w:iCs/>
              </w:rPr>
              <w:t>L’Entrepreneur doit payer intégralement chacune des factures d’honoraires du Membre dans les cinquante-six (56) jours calendaires suivant la réception de ces factures et doit demander au Maître d’ouvrage (dans le décompte conformément au Marché) le remboursement du montant dont le Maître d’ouvrage est responsable pour ces factures (les Coûts réguliers et la moitié des Coûts non réguliers). Le Maître d’ouvrage doit ensuite régler l’Entrepreneur conformément aux dispositions du Marché</w:t>
            </w:r>
            <w:r w:rsidRPr="00BD76AF">
              <w:rPr>
                <w:szCs w:val="24"/>
                <w:lang w:eastAsia="en-US"/>
              </w:rPr>
              <w:t>.</w:t>
            </w:r>
          </w:p>
          <w:p w14:paraId="4CF7FA82" w14:textId="77777777" w:rsidR="00F332DA" w:rsidRPr="00BD76AF" w:rsidRDefault="00F332DA" w:rsidP="0079334B">
            <w:pPr>
              <w:suppressAutoHyphens w:val="0"/>
              <w:overflowPunct/>
              <w:spacing w:after="120"/>
              <w:textAlignment w:val="auto"/>
              <w:rPr>
                <w:lang w:eastAsia="en-US"/>
              </w:rPr>
            </w:pPr>
            <w:r w:rsidRPr="00BD76AF">
              <w:rPr>
                <w:iCs/>
              </w:rPr>
              <w:t xml:space="preserve">Si l’Entrepreneur n’effectue pas au Membre le versement des montants auxquels il/elle a droit en vertu de la </w:t>
            </w:r>
            <w:r w:rsidRPr="00BD76AF">
              <w:rPr>
                <w:szCs w:val="24"/>
              </w:rPr>
              <w:t>Convention</w:t>
            </w:r>
            <w:r w:rsidRPr="00BD76AF">
              <w:rPr>
                <w:iCs/>
              </w:rPr>
              <w:t xml:space="preserve">, le Maître d’ouvrage doit régler les montants dus au Membre et tout autre montant nécessaire au fonctionnement du Comité </w:t>
            </w:r>
            <w:r w:rsidRPr="00BD76AF">
              <w:rPr>
                <w:szCs w:val="24"/>
              </w:rPr>
              <w:t xml:space="preserve">de </w:t>
            </w:r>
            <w:r w:rsidRPr="00BD76AF">
              <w:rPr>
                <w:iCs/>
              </w:rPr>
              <w:t xml:space="preserve">Règlement des Différends, sans préjudice des droits et recours du Maître d’ouvrage. En dehors de tous les autres droits résultant de cette défaillance, le Maître d’ouvrage sera en droit d’être remboursé du montant dont l’Entrepreneur est responsable, ainsi que de toutes sommes payées en excédant de ces paiements, y compris tous les frais de recouvrement de ces sommes et les intérêts moratoires au taux spécifié </w:t>
            </w:r>
            <w:r w:rsidRPr="00BD76AF">
              <w:rPr>
                <w:szCs w:val="24"/>
              </w:rPr>
              <w:t>à l’Article 12.4 des CG</w:t>
            </w:r>
            <w:r w:rsidRPr="00BD76AF">
              <w:rPr>
                <w:szCs w:val="24"/>
                <w:lang w:eastAsia="en-US"/>
              </w:rPr>
              <w:t>.</w:t>
            </w:r>
          </w:p>
          <w:p w14:paraId="60522AF6" w14:textId="77777777" w:rsidR="00F332DA" w:rsidRPr="00BD76AF" w:rsidDel="005373F0" w:rsidRDefault="00F332DA" w:rsidP="008103D3">
            <w:pPr>
              <w:suppressAutoHyphens w:val="0"/>
              <w:overflowPunct/>
              <w:spacing w:after="120"/>
              <w:textAlignment w:val="auto"/>
              <w:rPr>
                <w:lang w:eastAsia="en-US"/>
              </w:rPr>
            </w:pPr>
            <w:r w:rsidRPr="00BD76AF">
              <w:t xml:space="preserve">Si le Membre ne reçoit pas le versement des montants dus dans un délai de </w:t>
            </w:r>
            <w:r w:rsidRPr="00BD76AF">
              <w:rPr>
                <w:szCs w:val="24"/>
              </w:rPr>
              <w:t>soixante-dix</w:t>
            </w:r>
            <w:r w:rsidRPr="00BD76AF">
              <w:t xml:space="preserve"> (70) jours après la remise d’une facture d’honoraires en bonne et due forme, le Membre peut (i) suspendre ses services (sans préavis) jusqu’à ce que le paiement soit effectué, </w:t>
            </w:r>
            <w:r w:rsidRPr="00BD76AF">
              <w:rPr>
                <w:iCs/>
              </w:rPr>
              <w:t xml:space="preserve">et/ou </w:t>
            </w:r>
            <w:r w:rsidRPr="00BD76AF">
              <w:t>(ii) démissionner de ses fonctions en donnant notification conformément à l’</w:t>
            </w:r>
            <w:r w:rsidRPr="00BD76AF">
              <w:rPr>
                <w:szCs w:val="24"/>
              </w:rPr>
              <w:t xml:space="preserve">Article </w:t>
            </w:r>
            <w:r w:rsidRPr="00BD76AF">
              <w:t>7</w:t>
            </w:r>
            <w:r w:rsidRPr="00BD76AF">
              <w:rPr>
                <w:szCs w:val="24"/>
                <w:lang w:eastAsia="en-US"/>
              </w:rPr>
              <w:t>.</w:t>
            </w:r>
          </w:p>
        </w:tc>
      </w:tr>
      <w:tr w:rsidR="00F332DA" w:rsidRPr="00BD76AF" w14:paraId="716E32E0" w14:textId="77777777" w:rsidTr="0079334B">
        <w:tc>
          <w:tcPr>
            <w:tcW w:w="601" w:type="dxa"/>
            <w:gridSpan w:val="5"/>
            <w:vMerge w:val="restart"/>
            <w:vAlign w:val="center"/>
          </w:tcPr>
          <w:p w14:paraId="7E294888" w14:textId="77777777" w:rsidR="00F332DA" w:rsidRPr="00BD76AF" w:rsidRDefault="00F332DA" w:rsidP="0079334B">
            <w:pPr>
              <w:overflowPunct/>
              <w:autoSpaceDE/>
              <w:autoSpaceDN/>
              <w:adjustRightInd/>
              <w:textAlignment w:val="auto"/>
              <w:rPr>
                <w:b/>
                <w:lang w:val="es-ES_tradnl" w:eastAsia="en-US"/>
              </w:rPr>
            </w:pPr>
            <w:r w:rsidRPr="00BD76AF">
              <w:rPr>
                <w:rFonts w:hint="eastAsia"/>
                <w:b/>
                <w:lang w:val="es-ES_tradnl" w:eastAsia="en-US"/>
              </w:rPr>
              <w:t>7</w:t>
            </w:r>
          </w:p>
        </w:tc>
        <w:tc>
          <w:tcPr>
            <w:tcW w:w="1951" w:type="dxa"/>
            <w:tcBorders>
              <w:bottom w:val="dashSmallGap" w:sz="4" w:space="0" w:color="auto"/>
            </w:tcBorders>
          </w:tcPr>
          <w:p w14:paraId="10D0917B" w14:textId="77777777" w:rsidR="00F332DA" w:rsidRPr="00BD76AF" w:rsidRDefault="00F332DA" w:rsidP="0079334B">
            <w:pPr>
              <w:overflowPunct/>
              <w:autoSpaceDE/>
              <w:autoSpaceDN/>
              <w:adjustRightInd/>
              <w:textAlignment w:val="auto"/>
              <w:rPr>
                <w:lang w:val="es-ES_tradnl" w:eastAsia="en-US"/>
              </w:rPr>
            </w:pPr>
          </w:p>
        </w:tc>
        <w:tc>
          <w:tcPr>
            <w:tcW w:w="6451" w:type="dxa"/>
            <w:tcBorders>
              <w:bottom w:val="dashSmallGap" w:sz="4" w:space="0" w:color="auto"/>
            </w:tcBorders>
          </w:tcPr>
          <w:p w14:paraId="2C69C9C4" w14:textId="77777777" w:rsidR="00F332DA" w:rsidRPr="00BD76AF" w:rsidDel="005373F0" w:rsidRDefault="00F332DA" w:rsidP="0079334B">
            <w:pPr>
              <w:overflowPunct/>
              <w:autoSpaceDE/>
              <w:autoSpaceDN/>
              <w:adjustRightInd/>
              <w:textAlignment w:val="auto"/>
              <w:rPr>
                <w:sz w:val="32"/>
                <w:szCs w:val="32"/>
                <w:lang w:val="es-ES_tradnl" w:eastAsia="en-US"/>
              </w:rPr>
            </w:pPr>
          </w:p>
        </w:tc>
      </w:tr>
      <w:tr w:rsidR="00F332DA" w:rsidRPr="00BD76AF" w14:paraId="77D47296" w14:textId="77777777" w:rsidTr="0079334B">
        <w:tc>
          <w:tcPr>
            <w:tcW w:w="601" w:type="dxa"/>
            <w:gridSpan w:val="5"/>
            <w:vMerge/>
          </w:tcPr>
          <w:p w14:paraId="2BA2B0F0" w14:textId="77777777" w:rsidR="00F332DA" w:rsidRPr="00BD76AF" w:rsidRDefault="00F332DA" w:rsidP="0079334B">
            <w:pPr>
              <w:overflowPunct/>
              <w:autoSpaceDE/>
              <w:autoSpaceDN/>
              <w:adjustRightInd/>
              <w:textAlignment w:val="auto"/>
              <w:rPr>
                <w:lang w:val="es-ES_tradnl" w:eastAsia="en-US"/>
              </w:rPr>
            </w:pPr>
          </w:p>
        </w:tc>
        <w:tc>
          <w:tcPr>
            <w:tcW w:w="1951" w:type="dxa"/>
            <w:tcBorders>
              <w:top w:val="dashSmallGap" w:sz="4" w:space="0" w:color="auto"/>
            </w:tcBorders>
          </w:tcPr>
          <w:p w14:paraId="1B6AC0E1" w14:textId="77777777" w:rsidR="00F332DA" w:rsidRPr="00BD76AF" w:rsidRDefault="00F332DA" w:rsidP="0079334B">
            <w:pPr>
              <w:overflowPunct/>
              <w:autoSpaceDE/>
              <w:autoSpaceDN/>
              <w:adjustRightInd/>
              <w:textAlignment w:val="auto"/>
              <w:rPr>
                <w:lang w:val="es-ES_tradnl" w:eastAsia="en-US"/>
              </w:rPr>
            </w:pPr>
          </w:p>
        </w:tc>
        <w:tc>
          <w:tcPr>
            <w:tcW w:w="6451" w:type="dxa"/>
            <w:tcBorders>
              <w:top w:val="dashSmallGap" w:sz="4" w:space="0" w:color="auto"/>
            </w:tcBorders>
          </w:tcPr>
          <w:p w14:paraId="69763B79" w14:textId="77777777" w:rsidR="00F332DA" w:rsidRPr="00BD76AF" w:rsidDel="005373F0" w:rsidRDefault="00F332DA" w:rsidP="0079334B">
            <w:pPr>
              <w:overflowPunct/>
              <w:autoSpaceDE/>
              <w:autoSpaceDN/>
              <w:adjustRightInd/>
              <w:textAlignment w:val="auto"/>
              <w:rPr>
                <w:sz w:val="32"/>
                <w:szCs w:val="32"/>
                <w:lang w:val="es-ES_tradnl" w:eastAsia="en-US"/>
              </w:rPr>
            </w:pPr>
          </w:p>
        </w:tc>
      </w:tr>
      <w:tr w:rsidR="00F332DA" w:rsidRPr="00BD76AF" w14:paraId="1002F4F9" w14:textId="77777777" w:rsidTr="0079334B">
        <w:trPr>
          <w:trHeight w:val="20"/>
        </w:trPr>
        <w:tc>
          <w:tcPr>
            <w:tcW w:w="2552" w:type="dxa"/>
            <w:gridSpan w:val="6"/>
          </w:tcPr>
          <w:p w14:paraId="2C3CD855" w14:textId="77777777" w:rsidR="00F332DA" w:rsidRPr="00BD76AF" w:rsidRDefault="00F332DA" w:rsidP="0079334B">
            <w:pPr>
              <w:overflowPunct/>
              <w:autoSpaceDE/>
              <w:autoSpaceDN/>
              <w:adjustRightInd/>
              <w:textAlignment w:val="auto"/>
              <w:rPr>
                <w:b/>
                <w:lang w:val="es-ES_tradnl" w:eastAsia="en-US"/>
              </w:rPr>
            </w:pPr>
            <w:r w:rsidRPr="00BD76AF">
              <w:rPr>
                <w:b/>
                <w:szCs w:val="24"/>
              </w:rPr>
              <w:t>Résiliation</w:t>
            </w:r>
          </w:p>
        </w:tc>
        <w:tc>
          <w:tcPr>
            <w:tcW w:w="6451" w:type="dxa"/>
          </w:tcPr>
          <w:p w14:paraId="354407D3" w14:textId="77777777" w:rsidR="00F332DA" w:rsidRPr="00BD76AF" w:rsidRDefault="00F332DA" w:rsidP="0079334B">
            <w:pPr>
              <w:suppressAutoHyphens w:val="0"/>
              <w:overflowPunct/>
              <w:spacing w:after="120"/>
              <w:textAlignment w:val="auto"/>
              <w:rPr>
                <w:szCs w:val="24"/>
              </w:rPr>
            </w:pPr>
            <w:r w:rsidRPr="00BD76AF">
              <w:rPr>
                <w:rFonts w:eastAsia="游ゴシック" w:hint="eastAsia"/>
                <w:kern w:val="2"/>
                <w:szCs w:val="24"/>
                <w:shd w:val="clear" w:color="auto" w:fill="FAFBFC"/>
                <w:lang w:eastAsia="ja-JP"/>
              </w:rPr>
              <w:t>À</w:t>
            </w:r>
            <w:r w:rsidRPr="00BD76AF">
              <w:rPr>
                <w:iCs/>
                <w:lang w:eastAsia="ja-JP"/>
              </w:rPr>
              <w:t xml:space="preserve"> tout moment : (i) </w:t>
            </w:r>
            <w:r w:rsidRPr="00BD76AF">
              <w:rPr>
                <w:szCs w:val="24"/>
              </w:rPr>
              <w:t>le Maître d’ouvrage et l’Entrepreneur peuvent résilier conjointement la Convention en informant le Membre quarante-deux (42) jours au préalable</w:t>
            </w:r>
            <w:r w:rsidRPr="00BD76AF">
              <w:rPr>
                <w:iCs/>
                <w:szCs w:val="24"/>
                <w:lang w:eastAsia="ja-JP"/>
              </w:rPr>
              <w:t xml:space="preserve"> </w:t>
            </w:r>
            <w:r w:rsidRPr="00BD76AF">
              <w:rPr>
                <w:iCs/>
                <w:lang w:eastAsia="ja-JP"/>
              </w:rPr>
              <w:t xml:space="preserve">; ou (ii) </w:t>
            </w:r>
            <w:r w:rsidRPr="00BD76AF">
              <w:rPr>
                <w:szCs w:val="24"/>
              </w:rPr>
              <w:t>le Membre peut démissionner de ses fonctions, conformément à l’Article 2.</w:t>
            </w:r>
          </w:p>
          <w:p w14:paraId="0DED066B" w14:textId="77777777" w:rsidR="00F332DA" w:rsidRPr="00BD76AF" w:rsidRDefault="00F332DA" w:rsidP="0079334B">
            <w:pPr>
              <w:suppressAutoHyphens w:val="0"/>
              <w:overflowPunct/>
              <w:spacing w:after="120"/>
              <w:textAlignment w:val="auto"/>
              <w:rPr>
                <w:iCs/>
                <w:lang w:eastAsia="ja-JP"/>
              </w:rPr>
            </w:pPr>
            <w:r w:rsidRPr="00BD76AF">
              <w:rPr>
                <w:iCs/>
                <w:lang w:eastAsia="ja-JP"/>
              </w:rPr>
              <w:t xml:space="preserve">Si le Membre ne respecte pas la </w:t>
            </w:r>
            <w:r w:rsidRPr="00BD76AF">
              <w:rPr>
                <w:szCs w:val="24"/>
              </w:rPr>
              <w:t>Convention</w:t>
            </w:r>
            <w:r w:rsidRPr="00BD76AF">
              <w:rPr>
                <w:iCs/>
                <w:lang w:eastAsia="ja-JP"/>
              </w:rPr>
              <w:t>,</w:t>
            </w:r>
            <w:r w:rsidRPr="00BD76AF">
              <w:t xml:space="preserve"> le Maître d’ouvrage et l’Entrepreneur peuvent, sans préjudice de leurs autres droits, la résilier en notifiant le Membre. Cette notification doit prendre effet dès sa réception par le Membre.</w:t>
            </w:r>
          </w:p>
          <w:p w14:paraId="591BE566" w14:textId="77777777" w:rsidR="00F332DA" w:rsidRPr="00BD76AF" w:rsidRDefault="00F332DA" w:rsidP="0079334B">
            <w:pPr>
              <w:suppressAutoHyphens w:val="0"/>
              <w:overflowPunct/>
              <w:spacing w:after="120"/>
              <w:textAlignment w:val="auto"/>
            </w:pPr>
            <w:r w:rsidRPr="00BD76AF">
              <w:t xml:space="preserve">Si le Maître d’ouvrage ou l’Entrepreneur ne respectent pas la </w:t>
            </w:r>
            <w:r w:rsidRPr="00BD76AF">
              <w:rPr>
                <w:szCs w:val="24"/>
              </w:rPr>
              <w:t>Convention</w:t>
            </w:r>
            <w:r w:rsidRPr="00BD76AF">
              <w:t>, le Membre peut, sans préjudice de ses autres droits, la résilier en notifiant le Maître d’ouvrage et l’Entrepreneur. Cette notification doit prendre effet dès sa réception par les deux Parties.</w:t>
            </w:r>
          </w:p>
          <w:p w14:paraId="1E3C728B" w14:textId="77777777" w:rsidR="00F332DA" w:rsidRPr="00BD76AF" w:rsidDel="005373F0" w:rsidRDefault="00F332DA" w:rsidP="002441A9">
            <w:pPr>
              <w:suppressAutoHyphens w:val="0"/>
              <w:overflowPunct/>
              <w:spacing w:after="120"/>
              <w:textAlignment w:val="auto"/>
              <w:rPr>
                <w:szCs w:val="24"/>
                <w:lang w:eastAsia="en-US"/>
              </w:rPr>
            </w:pPr>
            <w:r w:rsidRPr="00BD76AF">
              <w:t>Une telle notification, une telle démission ou résiliation doivent être définitives et à caractère obligatoire pour le Maître d’ouvrage, l’Entrepreneur et le Membre. Toutefois, une notification du Maître d’ouvrage ou de l’Entrepreneur, sans être des deux, sera sans effet</w:t>
            </w:r>
            <w:r w:rsidRPr="00BD76AF">
              <w:rPr>
                <w:iCs/>
                <w:lang w:eastAsia="ja-JP"/>
              </w:rPr>
              <w:t>.</w:t>
            </w:r>
          </w:p>
        </w:tc>
      </w:tr>
      <w:tr w:rsidR="00F332DA" w:rsidRPr="00BD76AF" w14:paraId="7ED8B0BD" w14:textId="77777777" w:rsidTr="0079334B">
        <w:trPr>
          <w:trHeight w:val="20"/>
        </w:trPr>
        <w:tc>
          <w:tcPr>
            <w:tcW w:w="513" w:type="dxa"/>
            <w:gridSpan w:val="2"/>
            <w:vMerge w:val="restart"/>
            <w:vAlign w:val="center"/>
          </w:tcPr>
          <w:p w14:paraId="5C7CA9F4" w14:textId="77777777" w:rsidR="00F332DA" w:rsidRPr="00BD76AF" w:rsidRDefault="00F332DA" w:rsidP="0079334B">
            <w:pPr>
              <w:overflowPunct/>
              <w:autoSpaceDE/>
              <w:autoSpaceDN/>
              <w:adjustRightInd/>
              <w:textAlignment w:val="auto"/>
              <w:rPr>
                <w:b/>
                <w:lang w:val="es-ES_tradnl" w:eastAsia="en-US"/>
              </w:rPr>
            </w:pPr>
            <w:r w:rsidRPr="00BD76AF">
              <w:rPr>
                <w:rFonts w:hint="eastAsia"/>
                <w:b/>
                <w:lang w:val="es-ES_tradnl" w:eastAsia="en-US"/>
              </w:rPr>
              <w:t>8</w:t>
            </w:r>
          </w:p>
        </w:tc>
        <w:tc>
          <w:tcPr>
            <w:tcW w:w="2039" w:type="dxa"/>
            <w:gridSpan w:val="4"/>
            <w:tcBorders>
              <w:bottom w:val="dashSmallGap" w:sz="4" w:space="0" w:color="auto"/>
            </w:tcBorders>
          </w:tcPr>
          <w:p w14:paraId="3590EA01" w14:textId="77777777" w:rsidR="00F332DA" w:rsidRPr="00BD76AF" w:rsidRDefault="00F332DA" w:rsidP="0079334B">
            <w:pPr>
              <w:overflowPunct/>
              <w:autoSpaceDE/>
              <w:autoSpaceDN/>
              <w:adjustRightInd/>
              <w:textAlignment w:val="auto"/>
              <w:rPr>
                <w:lang w:val="es-ES_tradnl" w:eastAsia="en-US"/>
              </w:rPr>
            </w:pPr>
          </w:p>
        </w:tc>
        <w:tc>
          <w:tcPr>
            <w:tcW w:w="6451" w:type="dxa"/>
            <w:tcBorders>
              <w:bottom w:val="dashSmallGap" w:sz="4" w:space="0" w:color="auto"/>
            </w:tcBorders>
          </w:tcPr>
          <w:p w14:paraId="136E0594" w14:textId="77777777" w:rsidR="00F332DA" w:rsidRPr="00BD76AF" w:rsidDel="005373F0" w:rsidRDefault="00F332DA" w:rsidP="0079334B">
            <w:pPr>
              <w:overflowPunct/>
              <w:autoSpaceDE/>
              <w:autoSpaceDN/>
              <w:adjustRightInd/>
              <w:textAlignment w:val="auto"/>
              <w:rPr>
                <w:sz w:val="32"/>
                <w:szCs w:val="32"/>
                <w:lang w:val="es-ES_tradnl" w:eastAsia="en-US"/>
              </w:rPr>
            </w:pPr>
          </w:p>
        </w:tc>
      </w:tr>
      <w:tr w:rsidR="00F332DA" w:rsidRPr="00BD76AF" w14:paraId="6DB0C5DD" w14:textId="77777777" w:rsidTr="0079334B">
        <w:trPr>
          <w:trHeight w:val="20"/>
        </w:trPr>
        <w:tc>
          <w:tcPr>
            <w:tcW w:w="513" w:type="dxa"/>
            <w:gridSpan w:val="2"/>
            <w:vMerge/>
          </w:tcPr>
          <w:p w14:paraId="5A0148C8" w14:textId="77777777" w:rsidR="00F332DA" w:rsidRPr="00BD76AF" w:rsidRDefault="00F332DA" w:rsidP="0079334B">
            <w:pPr>
              <w:overflowPunct/>
              <w:autoSpaceDE/>
              <w:autoSpaceDN/>
              <w:adjustRightInd/>
              <w:textAlignment w:val="auto"/>
              <w:rPr>
                <w:lang w:val="es-ES_tradnl" w:eastAsia="en-US"/>
              </w:rPr>
            </w:pPr>
          </w:p>
        </w:tc>
        <w:tc>
          <w:tcPr>
            <w:tcW w:w="2039" w:type="dxa"/>
            <w:gridSpan w:val="4"/>
            <w:tcBorders>
              <w:top w:val="dashSmallGap" w:sz="4" w:space="0" w:color="auto"/>
            </w:tcBorders>
          </w:tcPr>
          <w:p w14:paraId="7E51FFE3" w14:textId="77777777" w:rsidR="00F332DA" w:rsidRPr="00BD76AF" w:rsidRDefault="00F332DA" w:rsidP="0079334B">
            <w:pPr>
              <w:overflowPunct/>
              <w:autoSpaceDE/>
              <w:autoSpaceDN/>
              <w:adjustRightInd/>
              <w:textAlignment w:val="auto"/>
              <w:rPr>
                <w:lang w:val="es-ES_tradnl" w:eastAsia="en-US"/>
              </w:rPr>
            </w:pPr>
          </w:p>
        </w:tc>
        <w:tc>
          <w:tcPr>
            <w:tcW w:w="6451" w:type="dxa"/>
            <w:tcBorders>
              <w:top w:val="dashSmallGap" w:sz="4" w:space="0" w:color="auto"/>
            </w:tcBorders>
          </w:tcPr>
          <w:p w14:paraId="2AD2A280" w14:textId="77777777" w:rsidR="00F332DA" w:rsidRPr="00BD76AF" w:rsidDel="005373F0" w:rsidRDefault="00F332DA" w:rsidP="0079334B">
            <w:pPr>
              <w:overflowPunct/>
              <w:autoSpaceDE/>
              <w:autoSpaceDN/>
              <w:adjustRightInd/>
              <w:textAlignment w:val="auto"/>
              <w:rPr>
                <w:sz w:val="32"/>
                <w:szCs w:val="32"/>
                <w:lang w:val="es-ES_tradnl" w:eastAsia="en-US"/>
              </w:rPr>
            </w:pPr>
          </w:p>
        </w:tc>
      </w:tr>
      <w:tr w:rsidR="00F332DA" w:rsidRPr="00BD76AF" w14:paraId="7CFB3C6F" w14:textId="77777777" w:rsidTr="0079334B">
        <w:trPr>
          <w:trHeight w:val="20"/>
        </w:trPr>
        <w:tc>
          <w:tcPr>
            <w:tcW w:w="2552" w:type="dxa"/>
            <w:gridSpan w:val="6"/>
          </w:tcPr>
          <w:p w14:paraId="31A3A66C" w14:textId="77777777" w:rsidR="00F332DA" w:rsidRPr="00BD76AF" w:rsidRDefault="00F332DA" w:rsidP="00563B7C">
            <w:pPr>
              <w:overflowPunct/>
              <w:autoSpaceDE/>
              <w:autoSpaceDN/>
              <w:adjustRightInd/>
              <w:jc w:val="left"/>
              <w:textAlignment w:val="auto"/>
              <w:rPr>
                <w:b/>
                <w:lang w:eastAsia="en-US"/>
              </w:rPr>
            </w:pPr>
            <w:r w:rsidRPr="00BD76AF">
              <w:rPr>
                <w:b/>
                <w:lang w:eastAsia="ja-JP"/>
              </w:rPr>
              <w:t>Manquement du Membre</w:t>
            </w:r>
          </w:p>
        </w:tc>
        <w:tc>
          <w:tcPr>
            <w:tcW w:w="6451" w:type="dxa"/>
          </w:tcPr>
          <w:p w14:paraId="6E344FE1" w14:textId="77777777" w:rsidR="00F332DA" w:rsidRPr="00BD76AF" w:rsidRDefault="00F332DA" w:rsidP="0079334B">
            <w:pPr>
              <w:suppressAutoHyphens w:val="0"/>
              <w:overflowPunct/>
              <w:spacing w:after="120"/>
              <w:textAlignment w:val="auto"/>
              <w:rPr>
                <w:szCs w:val="24"/>
              </w:rPr>
            </w:pPr>
            <w:r w:rsidRPr="00BD76AF">
              <w:t>Si le Membre ne respecte pas ses obligations conformément aux dispositions des alinéas (a) à (d) de l’Article 4 ci-dessus, il/elle ne doit avoir droit à aucun versement d’honoraires ou règlement de dépenses, et doit, sans préjudice de leurs autres droits, rembourser au Maître d’ouvrage et à l’Entrepreneur tous les honoraires reçus par ou toutes les dépenses réglées au Membre ou aux Autres Membres (le cas échéant) pour les délibérations ou décisions (le cas échéant) du Comité de Règlement des Différends qui sont rendues nulles et non avenues en raison d’un tel manquement à ses obligations.</w:t>
            </w:r>
          </w:p>
          <w:p w14:paraId="67E951FD" w14:textId="77777777" w:rsidR="00F332DA" w:rsidRPr="00BD76AF" w:rsidDel="005373F0" w:rsidRDefault="00F332DA" w:rsidP="00415694">
            <w:pPr>
              <w:suppressAutoHyphens w:val="0"/>
              <w:overflowPunct/>
              <w:spacing w:after="120"/>
              <w:textAlignment w:val="auto"/>
              <w:rPr>
                <w:szCs w:val="24"/>
              </w:rPr>
            </w:pPr>
            <w:r w:rsidRPr="00BD76AF">
              <w:t>Si le Membre ne respecte pas ses obligations conformément aux dispositions des alinéas (e) à (k) de l’Article 4 ci-dessus, il/elle ne doit avoir droit à aucun versement d’honoraires ou règlement de dépenses à partir de la date de ce manquement et dans la mesure de celui-ci, et doit, sans préjudice de leurs autres droits, rembourser au Maître d’ouvrage et à l’Entrepreneur tous les honoraires reçus par ou toutes les dépenses déjà réglées au Membre pour les délibérations ou décisions (le cas échéant) du Comité de Règlement des Différends qui sont rendues nulles et non avenues en raison d’un tel manquement à ses obligations.</w:t>
            </w:r>
          </w:p>
        </w:tc>
      </w:tr>
      <w:tr w:rsidR="00F332DA" w:rsidRPr="00BD76AF" w14:paraId="18946CCC" w14:textId="77777777" w:rsidTr="0079334B">
        <w:tc>
          <w:tcPr>
            <w:tcW w:w="413" w:type="dxa"/>
            <w:vMerge w:val="restart"/>
            <w:vAlign w:val="center"/>
          </w:tcPr>
          <w:p w14:paraId="4D4A733F" w14:textId="77777777" w:rsidR="00F332DA" w:rsidRPr="00BD76AF" w:rsidRDefault="00F332DA" w:rsidP="0079334B">
            <w:pPr>
              <w:overflowPunct/>
              <w:autoSpaceDE/>
              <w:autoSpaceDN/>
              <w:adjustRightInd/>
              <w:textAlignment w:val="auto"/>
              <w:rPr>
                <w:b/>
                <w:lang w:val="es-ES_tradnl" w:eastAsia="en-US"/>
              </w:rPr>
            </w:pPr>
            <w:r w:rsidRPr="00BD76AF">
              <w:rPr>
                <w:rFonts w:hint="eastAsia"/>
                <w:b/>
                <w:lang w:val="es-ES_tradnl" w:eastAsia="en-US"/>
              </w:rPr>
              <w:t>9</w:t>
            </w:r>
          </w:p>
        </w:tc>
        <w:tc>
          <w:tcPr>
            <w:tcW w:w="2139" w:type="dxa"/>
            <w:gridSpan w:val="5"/>
            <w:tcBorders>
              <w:bottom w:val="dashSmallGap" w:sz="4" w:space="0" w:color="auto"/>
            </w:tcBorders>
          </w:tcPr>
          <w:p w14:paraId="3C341AB8" w14:textId="77777777" w:rsidR="00F332DA" w:rsidRPr="00BD76AF" w:rsidRDefault="00F332DA" w:rsidP="0079334B">
            <w:pPr>
              <w:overflowPunct/>
              <w:autoSpaceDE/>
              <w:autoSpaceDN/>
              <w:adjustRightInd/>
              <w:textAlignment w:val="auto"/>
              <w:rPr>
                <w:lang w:val="es-ES_tradnl" w:eastAsia="en-US"/>
              </w:rPr>
            </w:pPr>
          </w:p>
        </w:tc>
        <w:tc>
          <w:tcPr>
            <w:tcW w:w="6451" w:type="dxa"/>
            <w:tcBorders>
              <w:bottom w:val="dashSmallGap" w:sz="4" w:space="0" w:color="auto"/>
            </w:tcBorders>
          </w:tcPr>
          <w:p w14:paraId="35F1CEB9" w14:textId="77777777" w:rsidR="00F332DA" w:rsidRPr="00BD76AF" w:rsidDel="005373F0" w:rsidRDefault="00F332DA" w:rsidP="0079334B">
            <w:pPr>
              <w:overflowPunct/>
              <w:autoSpaceDE/>
              <w:autoSpaceDN/>
              <w:adjustRightInd/>
              <w:textAlignment w:val="auto"/>
              <w:rPr>
                <w:sz w:val="32"/>
                <w:szCs w:val="32"/>
                <w:lang w:val="es-ES_tradnl" w:eastAsia="en-US"/>
              </w:rPr>
            </w:pPr>
          </w:p>
        </w:tc>
      </w:tr>
      <w:tr w:rsidR="00F332DA" w:rsidRPr="00BD76AF" w14:paraId="7AABF5F1" w14:textId="77777777" w:rsidTr="0079334B">
        <w:tc>
          <w:tcPr>
            <w:tcW w:w="413" w:type="dxa"/>
            <w:vMerge/>
          </w:tcPr>
          <w:p w14:paraId="111E7C91" w14:textId="77777777" w:rsidR="00F332DA" w:rsidRPr="00BD76AF" w:rsidRDefault="00F332DA" w:rsidP="0079334B">
            <w:pPr>
              <w:overflowPunct/>
              <w:autoSpaceDE/>
              <w:autoSpaceDN/>
              <w:adjustRightInd/>
              <w:textAlignment w:val="auto"/>
              <w:rPr>
                <w:lang w:val="es-ES_tradnl" w:eastAsia="en-US"/>
              </w:rPr>
            </w:pPr>
          </w:p>
        </w:tc>
        <w:tc>
          <w:tcPr>
            <w:tcW w:w="2139" w:type="dxa"/>
            <w:gridSpan w:val="5"/>
            <w:tcBorders>
              <w:top w:val="dashSmallGap" w:sz="4" w:space="0" w:color="auto"/>
            </w:tcBorders>
          </w:tcPr>
          <w:p w14:paraId="599D91D4" w14:textId="77777777" w:rsidR="00F332DA" w:rsidRPr="00BD76AF" w:rsidRDefault="00F332DA" w:rsidP="0079334B">
            <w:pPr>
              <w:overflowPunct/>
              <w:autoSpaceDE/>
              <w:autoSpaceDN/>
              <w:adjustRightInd/>
              <w:textAlignment w:val="auto"/>
              <w:rPr>
                <w:lang w:val="es-ES_tradnl" w:eastAsia="en-US"/>
              </w:rPr>
            </w:pPr>
          </w:p>
        </w:tc>
        <w:tc>
          <w:tcPr>
            <w:tcW w:w="6451" w:type="dxa"/>
            <w:tcBorders>
              <w:top w:val="dashSmallGap" w:sz="4" w:space="0" w:color="auto"/>
            </w:tcBorders>
          </w:tcPr>
          <w:p w14:paraId="0CF052FA" w14:textId="77777777" w:rsidR="00F332DA" w:rsidRPr="00BD76AF" w:rsidDel="005373F0" w:rsidRDefault="00F332DA" w:rsidP="0079334B">
            <w:pPr>
              <w:overflowPunct/>
              <w:autoSpaceDE/>
              <w:autoSpaceDN/>
              <w:adjustRightInd/>
              <w:textAlignment w:val="auto"/>
              <w:rPr>
                <w:sz w:val="32"/>
                <w:szCs w:val="32"/>
                <w:lang w:val="es-ES_tradnl" w:eastAsia="en-US"/>
              </w:rPr>
            </w:pPr>
          </w:p>
        </w:tc>
      </w:tr>
      <w:tr w:rsidR="00F332DA" w:rsidRPr="00BD76AF" w14:paraId="4597458C" w14:textId="77777777" w:rsidTr="0079334B">
        <w:tc>
          <w:tcPr>
            <w:tcW w:w="2552" w:type="dxa"/>
            <w:gridSpan w:val="6"/>
          </w:tcPr>
          <w:p w14:paraId="32071670" w14:textId="77777777" w:rsidR="00F332DA" w:rsidRPr="00BD76AF" w:rsidRDefault="00F332DA" w:rsidP="008103D3">
            <w:pPr>
              <w:overflowPunct/>
              <w:autoSpaceDE/>
              <w:autoSpaceDN/>
              <w:adjustRightInd/>
              <w:textAlignment w:val="auto"/>
              <w:rPr>
                <w:b/>
                <w:lang w:val="es-ES_tradnl" w:eastAsia="en-US"/>
              </w:rPr>
            </w:pPr>
            <w:r w:rsidRPr="00BD76AF">
              <w:rPr>
                <w:b/>
                <w:bCs/>
                <w:lang w:eastAsia="ja-JP"/>
              </w:rPr>
              <w:t>Différends</w:t>
            </w:r>
          </w:p>
        </w:tc>
        <w:tc>
          <w:tcPr>
            <w:tcW w:w="6451" w:type="dxa"/>
          </w:tcPr>
          <w:p w14:paraId="54F49224" w14:textId="77777777" w:rsidR="00F332DA" w:rsidRPr="00BD76AF" w:rsidDel="005373F0" w:rsidRDefault="00F332DA" w:rsidP="001D3248">
            <w:pPr>
              <w:suppressAutoHyphens w:val="0"/>
              <w:overflowPunct/>
              <w:spacing w:after="120"/>
              <w:textAlignment w:val="auto"/>
              <w:rPr>
                <w:iCs/>
                <w:lang w:eastAsia="ja-JP"/>
              </w:rPr>
            </w:pPr>
            <w:r w:rsidRPr="00BD76AF">
              <w:t xml:space="preserve">Tout différend ou réclamation survenant de ou en relation avec la </w:t>
            </w:r>
            <w:r w:rsidRPr="00BD76AF">
              <w:rPr>
                <w:szCs w:val="24"/>
              </w:rPr>
              <w:t>Convention</w:t>
            </w:r>
            <w:r w:rsidRPr="00BD76AF">
              <w:t>, ou la violation, la résiliation ou l’invalidité de celle-ci, doit être finalement résolu par voie d’arbitrage administré par une institution arbitrale. Si aucune autre institution arbitrale n’est convenue, l’arbitrage sera conduit conformément au règlement d’arbitrage de la Chambre de Commerce Internationale par un arbitre nommé conformément à ce règlement d’arbitrage</w:t>
            </w:r>
            <w:r w:rsidRPr="00BD76AF">
              <w:rPr>
                <w:rFonts w:hint="eastAsia"/>
                <w:iCs/>
                <w:lang w:eastAsia="ja-JP"/>
              </w:rPr>
              <w:t>.</w:t>
            </w:r>
            <w:r w:rsidRPr="00BD76AF">
              <w:rPr>
                <w:szCs w:val="24"/>
                <w:lang w:eastAsia="en-US"/>
              </w:rPr>
              <w:t xml:space="preserve"> </w:t>
            </w:r>
          </w:p>
        </w:tc>
      </w:tr>
    </w:tbl>
    <w:p w14:paraId="5753D6DD" w14:textId="77777777" w:rsidR="00F332DA" w:rsidRPr="00BD76AF" w:rsidRDefault="00F332DA" w:rsidP="0079334B">
      <w:pPr>
        <w:jc w:val="left"/>
        <w:rPr>
          <w:b/>
          <w:szCs w:val="24"/>
          <w:lang w:eastAsia="en-US"/>
        </w:rPr>
      </w:pPr>
    </w:p>
    <w:p w14:paraId="4666AF4E" w14:textId="77777777" w:rsidR="00F332DA" w:rsidRPr="00BD76AF" w:rsidRDefault="00F332DA" w:rsidP="00E8294F">
      <w:pPr>
        <w:jc w:val="center"/>
        <w:rPr>
          <w:b/>
          <w:sz w:val="32"/>
          <w:szCs w:val="32"/>
        </w:rPr>
      </w:pPr>
      <w:r w:rsidRPr="00BD76AF">
        <w:rPr>
          <w:szCs w:val="24"/>
        </w:rPr>
        <w:br w:type="page"/>
      </w:r>
      <w:r w:rsidRPr="00BD76AF">
        <w:rPr>
          <w:b/>
          <w:sz w:val="32"/>
          <w:szCs w:val="32"/>
        </w:rPr>
        <w:t>Annexe</w:t>
      </w:r>
    </w:p>
    <w:p w14:paraId="6C602710" w14:textId="77777777" w:rsidR="00F332DA" w:rsidRPr="00BD76AF" w:rsidRDefault="00F332DA" w:rsidP="00E8294F">
      <w:pPr>
        <w:jc w:val="center"/>
        <w:rPr>
          <w:b/>
          <w:sz w:val="32"/>
          <w:szCs w:val="32"/>
        </w:rPr>
      </w:pPr>
    </w:p>
    <w:p w14:paraId="3FC787F3" w14:textId="77777777" w:rsidR="00F332DA" w:rsidRPr="00BD76AF" w:rsidRDefault="00F332DA" w:rsidP="00E8294F">
      <w:pPr>
        <w:jc w:val="center"/>
        <w:rPr>
          <w:b/>
          <w:sz w:val="36"/>
          <w:szCs w:val="36"/>
        </w:rPr>
      </w:pPr>
      <w:r w:rsidRPr="00BD76AF">
        <w:rPr>
          <w:b/>
          <w:sz w:val="36"/>
          <w:szCs w:val="36"/>
        </w:rPr>
        <w:t>Règles procédurales</w:t>
      </w:r>
    </w:p>
    <w:p w14:paraId="64B747EC" w14:textId="77777777" w:rsidR="00F332DA" w:rsidRPr="00BD76AF" w:rsidRDefault="00F332DA" w:rsidP="00C9725E">
      <w:pPr>
        <w:rPr>
          <w:b/>
          <w:szCs w:val="24"/>
        </w:rPr>
      </w:pPr>
    </w:p>
    <w:p w14:paraId="664F0FFC" w14:textId="77777777" w:rsidR="00F332DA" w:rsidRPr="00BD76AF" w:rsidRDefault="00F332DA" w:rsidP="00C9725E">
      <w:pPr>
        <w:rPr>
          <w:b/>
          <w:szCs w:val="24"/>
        </w:rPr>
      </w:pPr>
    </w:p>
    <w:p w14:paraId="02251BEE" w14:textId="77777777" w:rsidR="00F332DA" w:rsidRPr="00BD76AF" w:rsidRDefault="00F332DA" w:rsidP="003D46CF">
      <w:pPr>
        <w:numPr>
          <w:ilvl w:val="0"/>
          <w:numId w:val="88"/>
        </w:numPr>
        <w:spacing w:afterLines="100" w:after="240"/>
        <w:ind w:left="357" w:hanging="357"/>
        <w:rPr>
          <w:szCs w:val="24"/>
        </w:rPr>
      </w:pPr>
      <w:r w:rsidRPr="00BD76AF">
        <w:rPr>
          <w:rFonts w:eastAsia="ＭＳ Ｐゴシック"/>
          <w:szCs w:val="24"/>
        </w:rPr>
        <w:t>À</w:t>
      </w:r>
      <w:r w:rsidRPr="00BD76AF">
        <w:rPr>
          <w:szCs w:val="24"/>
        </w:rPr>
        <w:t xml:space="preserve"> moins que le Maître d’ouvrage et l’Entrepreneur n’en conviennent autrement, le </w:t>
      </w:r>
      <w:r w:rsidRPr="00BD76AF">
        <w:rPr>
          <w:rFonts w:eastAsia="游ゴシック"/>
          <w:kern w:val="2"/>
          <w:szCs w:val="24"/>
          <w:shd w:val="clear" w:color="auto" w:fill="FAFBFC"/>
          <w:lang w:eastAsia="ja-JP"/>
        </w:rPr>
        <w:t>Comité de Règlement des Différends</w:t>
      </w:r>
      <w:r w:rsidRPr="00BD76AF" w:rsidDel="00BF548F">
        <w:rPr>
          <w:szCs w:val="24"/>
        </w:rPr>
        <w:t xml:space="preserve"> </w:t>
      </w:r>
      <w:r w:rsidRPr="00BD76AF">
        <w:rPr>
          <w:szCs w:val="24"/>
        </w:rPr>
        <w:t xml:space="preserve">doit visiter le site à intervalle régulier ne dépassant pas cent quarante (140) jours, y compris durant les phases critiques de construction, à la demande du Maître d’ouvrage ou de l’Entrepreneur. </w:t>
      </w:r>
      <w:r w:rsidRPr="00BD76AF">
        <w:rPr>
          <w:rFonts w:eastAsia="游ゴシック" w:hint="eastAsia"/>
          <w:kern w:val="2"/>
          <w:szCs w:val="24"/>
          <w:shd w:val="clear" w:color="auto" w:fill="FAFBFC"/>
          <w:lang w:eastAsia="ja-JP"/>
        </w:rPr>
        <w:t>À</w:t>
      </w:r>
      <w:r w:rsidRPr="00BD76AF">
        <w:rPr>
          <w:szCs w:val="24"/>
        </w:rPr>
        <w:t xml:space="preserve"> moins que le Maître d’ouvrage, l’Entrepreneur ou le </w:t>
      </w:r>
      <w:r w:rsidRPr="00BD76AF">
        <w:rPr>
          <w:rFonts w:eastAsia="游ゴシック"/>
          <w:kern w:val="2"/>
          <w:szCs w:val="24"/>
          <w:shd w:val="clear" w:color="auto" w:fill="FAFBFC"/>
          <w:lang w:eastAsia="ja-JP"/>
        </w:rPr>
        <w:t>Comité de Règlement des Différends</w:t>
      </w:r>
      <w:r w:rsidRPr="00BD76AF" w:rsidDel="00BF548F">
        <w:rPr>
          <w:szCs w:val="24"/>
        </w:rPr>
        <w:t xml:space="preserve"> </w:t>
      </w:r>
      <w:r w:rsidRPr="00BD76AF">
        <w:rPr>
          <w:szCs w:val="24"/>
        </w:rPr>
        <w:t>n’en conviennent autrement, la période entre des visites consécutives ne doit pas être inférieure à soixante-dix (70) jours, sauf si nécessaire pour conduire une audience telle que décrite ci-dessous.</w:t>
      </w:r>
    </w:p>
    <w:p w14:paraId="64AD23B8" w14:textId="77777777" w:rsidR="00F332DA" w:rsidRPr="00BD76AF" w:rsidRDefault="00F332DA" w:rsidP="003D46CF">
      <w:pPr>
        <w:numPr>
          <w:ilvl w:val="0"/>
          <w:numId w:val="88"/>
        </w:numPr>
        <w:spacing w:afterLines="100" w:after="240"/>
        <w:ind w:left="357" w:hanging="357"/>
        <w:rPr>
          <w:szCs w:val="24"/>
        </w:rPr>
      </w:pPr>
      <w:r w:rsidRPr="00BD76AF">
        <w:rPr>
          <w:szCs w:val="24"/>
        </w:rPr>
        <w:t xml:space="preserve">La date et le programme de chaque visite du site doivent être convenus conjointement par le </w:t>
      </w:r>
      <w:r w:rsidRPr="00BD76AF">
        <w:rPr>
          <w:rFonts w:eastAsia="游ゴシック"/>
          <w:kern w:val="2"/>
          <w:szCs w:val="24"/>
          <w:shd w:val="clear" w:color="auto" w:fill="FAFBFC"/>
          <w:lang w:eastAsia="ja-JP"/>
        </w:rPr>
        <w:t>Comité de Règlement des Différends</w:t>
      </w:r>
      <w:r w:rsidRPr="00BD76AF">
        <w:rPr>
          <w:szCs w:val="24"/>
        </w:rPr>
        <w:t xml:space="preserve">, le Maître d’ouvrage et l’Entrepreneur, ou en l’absence d’un accord, doivent être décidés par le </w:t>
      </w:r>
      <w:r w:rsidRPr="00BD76AF">
        <w:rPr>
          <w:rFonts w:eastAsia="游ゴシック"/>
          <w:kern w:val="2"/>
          <w:szCs w:val="24"/>
          <w:shd w:val="clear" w:color="auto" w:fill="FAFBFC"/>
          <w:lang w:eastAsia="ja-JP"/>
        </w:rPr>
        <w:t>Comité de Règlement des Différends</w:t>
      </w:r>
      <w:r w:rsidRPr="00BD76AF">
        <w:rPr>
          <w:szCs w:val="24"/>
        </w:rPr>
        <w:t xml:space="preserve">. L’objectif des visites du site est de permettre au </w:t>
      </w:r>
      <w:r w:rsidRPr="00BD76AF">
        <w:rPr>
          <w:rFonts w:eastAsia="游ゴシック"/>
          <w:kern w:val="2"/>
          <w:szCs w:val="24"/>
          <w:shd w:val="clear" w:color="auto" w:fill="FAFBFC"/>
          <w:lang w:eastAsia="ja-JP"/>
        </w:rPr>
        <w:t>Comité de Règlement des Différends</w:t>
      </w:r>
      <w:r w:rsidRPr="00BD76AF" w:rsidDel="00BF548F">
        <w:rPr>
          <w:szCs w:val="24"/>
        </w:rPr>
        <w:t xml:space="preserve"> </w:t>
      </w:r>
      <w:r w:rsidRPr="00BD76AF">
        <w:rPr>
          <w:szCs w:val="24"/>
        </w:rPr>
        <w:t xml:space="preserve">d’être et de rester au fait de l’avancement du Marché et des problèmes ou réclamations réels ou potentiels, et, dans la mesure du raisonnable, de tenter de prévenir que des problèmes ou réclamations potentiels ne deviennent des </w:t>
      </w:r>
      <w:r w:rsidRPr="00BD76AF">
        <w:t>différends</w:t>
      </w:r>
      <w:r w:rsidRPr="00BD76AF">
        <w:rPr>
          <w:szCs w:val="24"/>
        </w:rPr>
        <w:t>.</w:t>
      </w:r>
    </w:p>
    <w:p w14:paraId="614034C4" w14:textId="77777777" w:rsidR="00F332DA" w:rsidRPr="00BD76AF" w:rsidRDefault="00F332DA" w:rsidP="003D46CF">
      <w:pPr>
        <w:numPr>
          <w:ilvl w:val="0"/>
          <w:numId w:val="88"/>
        </w:numPr>
        <w:spacing w:afterLines="100" w:after="240"/>
        <w:ind w:left="357" w:hanging="357"/>
        <w:rPr>
          <w:szCs w:val="24"/>
        </w:rPr>
      </w:pPr>
      <w:r w:rsidRPr="00BD76AF">
        <w:rPr>
          <w:szCs w:val="24"/>
        </w:rPr>
        <w:t xml:space="preserve">Le Maître d’ouvrage, l’Entrepreneur et le Directeur de projet doivent assister aux visites du site qui doivent être coordonnées par le Maître d’ouvrage en coopération avec l’Entrepreneur. Le Maître d’ouvrage doit assurer la fourniture d’installations de conférence adaptées et d’un service de secrétariat et de photocopies. </w:t>
      </w:r>
      <w:r w:rsidRPr="00BD76AF">
        <w:rPr>
          <w:rFonts w:eastAsia="游ゴシック" w:hint="eastAsia"/>
          <w:kern w:val="2"/>
          <w:szCs w:val="24"/>
          <w:shd w:val="clear" w:color="auto" w:fill="FAFBFC"/>
          <w:lang w:eastAsia="ja-JP"/>
        </w:rPr>
        <w:t>À</w:t>
      </w:r>
      <w:r w:rsidRPr="00BD76AF" w:rsidDel="00611677">
        <w:rPr>
          <w:szCs w:val="24"/>
        </w:rPr>
        <w:t xml:space="preserve"> </w:t>
      </w:r>
      <w:r w:rsidRPr="00BD76AF">
        <w:rPr>
          <w:szCs w:val="24"/>
        </w:rPr>
        <w:t xml:space="preserve">l’issue de chaque visite du site et avant de le quitter, le </w:t>
      </w:r>
      <w:r w:rsidRPr="00BD76AF">
        <w:rPr>
          <w:rFonts w:eastAsia="游ゴシック"/>
          <w:kern w:val="2"/>
          <w:szCs w:val="24"/>
          <w:shd w:val="clear" w:color="auto" w:fill="FAFBFC"/>
          <w:lang w:eastAsia="ja-JP"/>
        </w:rPr>
        <w:t>Comité de Règlement des Différends</w:t>
      </w:r>
      <w:r w:rsidRPr="00BD76AF" w:rsidDel="00BF548F">
        <w:rPr>
          <w:szCs w:val="24"/>
        </w:rPr>
        <w:t xml:space="preserve"> </w:t>
      </w:r>
      <w:r w:rsidRPr="00BD76AF">
        <w:rPr>
          <w:szCs w:val="24"/>
        </w:rPr>
        <w:t>doit préparer un rapport sur ses activités durant la visite et en envoyer des copies au Maître d’ouvrage et à l’Entrepreneur.</w:t>
      </w:r>
    </w:p>
    <w:p w14:paraId="77353BC2" w14:textId="77777777" w:rsidR="00F332DA" w:rsidRPr="00BD76AF" w:rsidRDefault="00F332DA" w:rsidP="003D46CF">
      <w:pPr>
        <w:numPr>
          <w:ilvl w:val="0"/>
          <w:numId w:val="88"/>
        </w:numPr>
        <w:spacing w:afterLines="100" w:after="240"/>
        <w:ind w:left="357" w:hanging="357"/>
        <w:rPr>
          <w:szCs w:val="24"/>
        </w:rPr>
      </w:pPr>
      <w:r w:rsidRPr="00BD76AF">
        <w:rPr>
          <w:szCs w:val="24"/>
        </w:rPr>
        <w:t xml:space="preserve">Le Maître d’ouvrage et l’Entrepreneur doivent fournir au </w:t>
      </w:r>
      <w:r w:rsidRPr="00BD76AF">
        <w:rPr>
          <w:rFonts w:eastAsia="游ゴシック"/>
          <w:kern w:val="2"/>
          <w:szCs w:val="24"/>
          <w:shd w:val="clear" w:color="auto" w:fill="FAFBFC"/>
          <w:lang w:eastAsia="ja-JP"/>
        </w:rPr>
        <w:t>Comité de Règlement des Différends</w:t>
      </w:r>
      <w:r w:rsidRPr="00BD76AF" w:rsidDel="00BF548F">
        <w:rPr>
          <w:szCs w:val="24"/>
        </w:rPr>
        <w:t xml:space="preserve"> </w:t>
      </w:r>
      <w:r w:rsidRPr="00BD76AF">
        <w:rPr>
          <w:szCs w:val="24"/>
        </w:rPr>
        <w:t xml:space="preserve">une copie de tous les documents que le </w:t>
      </w:r>
      <w:r w:rsidRPr="00BD76AF">
        <w:rPr>
          <w:rFonts w:eastAsia="游ゴシック"/>
          <w:kern w:val="2"/>
          <w:szCs w:val="24"/>
          <w:shd w:val="clear" w:color="auto" w:fill="FAFBFC"/>
          <w:lang w:eastAsia="ja-JP"/>
        </w:rPr>
        <w:t>Comité de Règlement des Différends</w:t>
      </w:r>
      <w:r w:rsidRPr="00BD76AF" w:rsidDel="00BF548F">
        <w:rPr>
          <w:szCs w:val="24"/>
        </w:rPr>
        <w:t xml:space="preserve"> </w:t>
      </w:r>
      <w:r w:rsidRPr="00BD76AF">
        <w:rPr>
          <w:szCs w:val="24"/>
        </w:rPr>
        <w:t xml:space="preserve">est en droit de demander, y compris les documents contractuels, les rapports d’avancement, les instructions de modification, les certificats, ainsi que tout autre document concernant l’exécution du Marché. Une copie de toutes les communications entre le </w:t>
      </w:r>
      <w:r w:rsidRPr="00BD76AF">
        <w:rPr>
          <w:rFonts w:eastAsia="游ゴシック"/>
          <w:kern w:val="2"/>
          <w:szCs w:val="24"/>
          <w:shd w:val="clear" w:color="auto" w:fill="FAFBFC"/>
          <w:lang w:eastAsia="ja-JP"/>
        </w:rPr>
        <w:t>Comité de Règlement des Différends</w:t>
      </w:r>
      <w:r w:rsidRPr="00BD76AF" w:rsidDel="00BF548F">
        <w:rPr>
          <w:szCs w:val="24"/>
        </w:rPr>
        <w:t xml:space="preserve"> </w:t>
      </w:r>
      <w:r w:rsidRPr="00BD76AF">
        <w:rPr>
          <w:szCs w:val="24"/>
        </w:rPr>
        <w:t xml:space="preserve">et le Maître d’ouvrage ou l’Entrepreneur doit être remise à l’autre Partie. Si le </w:t>
      </w:r>
      <w:r w:rsidRPr="00BD76AF">
        <w:rPr>
          <w:rFonts w:eastAsia="游ゴシック"/>
          <w:kern w:val="2"/>
          <w:szCs w:val="24"/>
          <w:shd w:val="clear" w:color="auto" w:fill="FAFBFC"/>
          <w:lang w:eastAsia="ja-JP"/>
        </w:rPr>
        <w:t>Comité de Règlement des Différends</w:t>
      </w:r>
      <w:r w:rsidRPr="00BD76AF" w:rsidDel="004B0B34">
        <w:rPr>
          <w:szCs w:val="24"/>
        </w:rPr>
        <w:t xml:space="preserve"> </w:t>
      </w:r>
      <w:r w:rsidRPr="00BD76AF">
        <w:rPr>
          <w:szCs w:val="24"/>
        </w:rPr>
        <w:t>comprend trois personnes, le Maître d’ouvrage et l’Entrepreneur doivent transmettre des copies des documents requis et des communications à chacune de ces personnes.</w:t>
      </w:r>
    </w:p>
    <w:p w14:paraId="50428BA5" w14:textId="77777777" w:rsidR="00F332DA" w:rsidRPr="00BD76AF" w:rsidRDefault="00F332DA" w:rsidP="003D46CF">
      <w:pPr>
        <w:numPr>
          <w:ilvl w:val="0"/>
          <w:numId w:val="88"/>
        </w:numPr>
        <w:spacing w:afterLines="100" w:after="240"/>
        <w:ind w:left="357" w:hanging="357"/>
        <w:rPr>
          <w:szCs w:val="24"/>
        </w:rPr>
      </w:pPr>
      <w:r w:rsidRPr="00BD76AF">
        <w:rPr>
          <w:szCs w:val="24"/>
        </w:rPr>
        <w:t xml:space="preserve">Si un </w:t>
      </w:r>
      <w:r w:rsidRPr="00BD76AF">
        <w:t>différend</w:t>
      </w:r>
      <w:r w:rsidRPr="00BD76AF">
        <w:rPr>
          <w:szCs w:val="24"/>
        </w:rPr>
        <w:t xml:space="preserve"> est soumis au </w:t>
      </w:r>
      <w:r w:rsidRPr="00BD76AF">
        <w:rPr>
          <w:rFonts w:eastAsia="游ゴシック"/>
          <w:kern w:val="2"/>
          <w:szCs w:val="24"/>
          <w:shd w:val="clear" w:color="auto" w:fill="FAFBFC"/>
          <w:lang w:eastAsia="ja-JP"/>
        </w:rPr>
        <w:t>Comité de Règlement des Différends</w:t>
      </w:r>
      <w:r w:rsidRPr="00BD76AF" w:rsidDel="004B0B34">
        <w:rPr>
          <w:szCs w:val="24"/>
        </w:rPr>
        <w:t xml:space="preserve"> </w:t>
      </w:r>
      <w:r w:rsidRPr="00BD76AF">
        <w:rPr>
          <w:szCs w:val="24"/>
        </w:rPr>
        <w:t xml:space="preserve">conformément à l’Article 45.3 des CG, le </w:t>
      </w:r>
      <w:r w:rsidRPr="00BD76AF">
        <w:rPr>
          <w:rFonts w:eastAsia="游ゴシック"/>
          <w:kern w:val="2"/>
          <w:szCs w:val="24"/>
          <w:shd w:val="clear" w:color="auto" w:fill="FAFBFC"/>
          <w:lang w:eastAsia="ja-JP"/>
        </w:rPr>
        <w:t>Comité de Règlement des Différends</w:t>
      </w:r>
      <w:r w:rsidRPr="00BD76AF">
        <w:rPr>
          <w:szCs w:val="24"/>
        </w:rPr>
        <w:t xml:space="preserve"> doit procéder conformément à cet Article et aux présentes règles. En fonction du temps accordé pour prendre une décision et d’autres facteurs en jeu, le </w:t>
      </w:r>
      <w:r w:rsidRPr="00BD76AF">
        <w:rPr>
          <w:rFonts w:eastAsia="游ゴシック"/>
          <w:kern w:val="2"/>
          <w:szCs w:val="24"/>
          <w:shd w:val="clear" w:color="auto" w:fill="FAFBFC"/>
          <w:lang w:eastAsia="ja-JP"/>
        </w:rPr>
        <w:t>Comité de Règlement des Différends</w:t>
      </w:r>
      <w:r w:rsidRPr="00BD76AF">
        <w:rPr>
          <w:szCs w:val="24"/>
        </w:rPr>
        <w:t xml:space="preserve"> doit :</w:t>
      </w:r>
    </w:p>
    <w:p w14:paraId="23F410AF" w14:textId="77777777" w:rsidR="00F332DA" w:rsidRPr="00BD76AF" w:rsidRDefault="00F332DA" w:rsidP="003D46CF">
      <w:pPr>
        <w:numPr>
          <w:ilvl w:val="1"/>
          <w:numId w:val="88"/>
        </w:numPr>
        <w:tabs>
          <w:tab w:val="clear" w:pos="795"/>
          <w:tab w:val="left" w:pos="784"/>
        </w:tabs>
        <w:spacing w:afterLines="50" w:after="120"/>
        <w:ind w:left="782" w:hanging="425"/>
        <w:rPr>
          <w:szCs w:val="24"/>
        </w:rPr>
      </w:pPr>
      <w:r w:rsidRPr="00BD76AF">
        <w:rPr>
          <w:szCs w:val="24"/>
        </w:rPr>
        <w:t>agir de manière juste et impartiale envers le Maître d’ouvrage et l’Entrepreneur, en donnant à chacun d’eux l’opportunité de présenter ses arguments et de répondre aux arguments de l’autre Partie, et</w:t>
      </w:r>
    </w:p>
    <w:p w14:paraId="6530D7F3" w14:textId="77777777" w:rsidR="00F332DA" w:rsidRPr="00BD76AF" w:rsidRDefault="00F332DA" w:rsidP="003D46CF">
      <w:pPr>
        <w:numPr>
          <w:ilvl w:val="1"/>
          <w:numId w:val="88"/>
        </w:numPr>
        <w:tabs>
          <w:tab w:val="clear" w:pos="795"/>
          <w:tab w:val="left" w:pos="784"/>
        </w:tabs>
        <w:spacing w:afterLines="100" w:after="240"/>
        <w:ind w:left="782" w:hanging="425"/>
        <w:rPr>
          <w:szCs w:val="24"/>
        </w:rPr>
      </w:pPr>
      <w:r w:rsidRPr="00BD76AF">
        <w:rPr>
          <w:szCs w:val="24"/>
        </w:rPr>
        <w:t xml:space="preserve">adopter une procédure adaptée au </w:t>
      </w:r>
      <w:r w:rsidRPr="00BD76AF">
        <w:t>différend</w:t>
      </w:r>
      <w:r w:rsidRPr="00BD76AF">
        <w:rPr>
          <w:szCs w:val="24"/>
        </w:rPr>
        <w:t>, en évitant les retards ou coûts inutiles.</w:t>
      </w:r>
    </w:p>
    <w:p w14:paraId="1DD95EF8" w14:textId="77777777" w:rsidR="00F332DA" w:rsidRPr="00BD76AF" w:rsidRDefault="00F332DA" w:rsidP="003D46CF">
      <w:pPr>
        <w:numPr>
          <w:ilvl w:val="0"/>
          <w:numId w:val="88"/>
        </w:numPr>
        <w:spacing w:afterLines="100" w:after="240"/>
        <w:ind w:left="357" w:hanging="357"/>
        <w:rPr>
          <w:szCs w:val="24"/>
        </w:rPr>
      </w:pPr>
      <w:r w:rsidRPr="00BD76AF">
        <w:rPr>
          <w:szCs w:val="24"/>
        </w:rPr>
        <w:t xml:space="preserve">Le </w:t>
      </w:r>
      <w:r w:rsidRPr="00BD76AF">
        <w:rPr>
          <w:rFonts w:eastAsia="游ゴシック"/>
          <w:kern w:val="2"/>
          <w:szCs w:val="24"/>
          <w:shd w:val="clear" w:color="auto" w:fill="FAFBFC"/>
          <w:lang w:eastAsia="ja-JP"/>
        </w:rPr>
        <w:t>Comité de Règlement des Différends</w:t>
      </w:r>
      <w:r w:rsidRPr="00BD76AF" w:rsidDel="004B0B34">
        <w:rPr>
          <w:szCs w:val="24"/>
        </w:rPr>
        <w:t xml:space="preserve"> </w:t>
      </w:r>
      <w:r w:rsidRPr="00BD76AF">
        <w:rPr>
          <w:szCs w:val="24"/>
        </w:rPr>
        <w:t xml:space="preserve">peut conduire une audience sur le </w:t>
      </w:r>
      <w:r w:rsidRPr="00BD76AF">
        <w:t>différend</w:t>
      </w:r>
      <w:r w:rsidRPr="00BD76AF">
        <w:rPr>
          <w:szCs w:val="24"/>
        </w:rPr>
        <w:t> ; dans ce cas, il décidera de la date et du lieu de l’audience et peut demander que la documentation et les arguments du Maître d’ouvrage et de l’Entrepreneur lui soient présentés par écrit au préalable ou lors de l’audience.</w:t>
      </w:r>
    </w:p>
    <w:p w14:paraId="371D13D4" w14:textId="77777777" w:rsidR="00F332DA" w:rsidRPr="00BD76AF" w:rsidRDefault="00F332DA" w:rsidP="003D46CF">
      <w:pPr>
        <w:numPr>
          <w:ilvl w:val="0"/>
          <w:numId w:val="88"/>
        </w:numPr>
        <w:spacing w:afterLines="100" w:after="240"/>
        <w:ind w:left="357" w:hanging="357"/>
        <w:rPr>
          <w:szCs w:val="24"/>
        </w:rPr>
      </w:pPr>
      <w:r w:rsidRPr="00BD76AF">
        <w:rPr>
          <w:rFonts w:eastAsia="游ゴシック" w:hint="eastAsia"/>
          <w:kern w:val="2"/>
          <w:szCs w:val="24"/>
          <w:shd w:val="clear" w:color="auto" w:fill="FAFBFC"/>
          <w:lang w:eastAsia="ja-JP"/>
        </w:rPr>
        <w:t>À</w:t>
      </w:r>
      <w:r w:rsidRPr="00BD76AF">
        <w:rPr>
          <w:szCs w:val="24"/>
        </w:rPr>
        <w:t xml:space="preserve"> moins que le Maître d’ouvrage et l’Entrepreneur n’en conviennent autrement par écrit, le </w:t>
      </w:r>
      <w:r w:rsidRPr="00BD76AF">
        <w:rPr>
          <w:rFonts w:eastAsia="游ゴシック"/>
          <w:kern w:val="2"/>
          <w:szCs w:val="24"/>
          <w:shd w:val="clear" w:color="auto" w:fill="FAFBFC"/>
          <w:lang w:eastAsia="ja-JP"/>
        </w:rPr>
        <w:t>Comité de Règlement des Différends</w:t>
      </w:r>
      <w:r w:rsidRPr="00BD76AF" w:rsidDel="004B0B34">
        <w:rPr>
          <w:szCs w:val="24"/>
        </w:rPr>
        <w:t xml:space="preserve"> </w:t>
      </w:r>
      <w:r w:rsidRPr="00BD76AF">
        <w:rPr>
          <w:szCs w:val="24"/>
        </w:rPr>
        <w:t xml:space="preserve">doit avoir le pouvoir d’adopter une procédure inquisitoire, de refuser l’admission ou la présence aux audiences de toute personne autre que les représentants du Maître d’ouvrage, de l’Entrepreneur et du Directeur de projet, et de procéder en l’absence de toute Partie que le </w:t>
      </w:r>
      <w:r w:rsidRPr="00BD76AF">
        <w:rPr>
          <w:rFonts w:eastAsia="游ゴシック"/>
          <w:kern w:val="2"/>
          <w:szCs w:val="24"/>
          <w:shd w:val="clear" w:color="auto" w:fill="FAFBFC"/>
          <w:lang w:eastAsia="ja-JP"/>
        </w:rPr>
        <w:t>Comité de Règlement des Différends</w:t>
      </w:r>
      <w:r w:rsidRPr="00BD76AF">
        <w:rPr>
          <w:szCs w:val="24"/>
        </w:rPr>
        <w:t xml:space="preserve"> a dûment convoquée ; mais le </w:t>
      </w:r>
      <w:r w:rsidRPr="00BD76AF">
        <w:rPr>
          <w:rFonts w:eastAsia="游ゴシック"/>
          <w:kern w:val="2"/>
          <w:szCs w:val="24"/>
          <w:shd w:val="clear" w:color="auto" w:fill="FAFBFC"/>
          <w:lang w:eastAsia="ja-JP"/>
        </w:rPr>
        <w:t>Comité de Règlement des Différends</w:t>
      </w:r>
      <w:r w:rsidRPr="00BD76AF">
        <w:rPr>
          <w:szCs w:val="24"/>
        </w:rPr>
        <w:t xml:space="preserve"> doit pouvoir décider à sa discrétion si et dans quelle mesure il exerce ce pouvoir.</w:t>
      </w:r>
    </w:p>
    <w:p w14:paraId="718E8DA5" w14:textId="77777777" w:rsidR="00F332DA" w:rsidRPr="00BD76AF" w:rsidRDefault="00F332DA" w:rsidP="003D46CF">
      <w:pPr>
        <w:numPr>
          <w:ilvl w:val="0"/>
          <w:numId w:val="88"/>
        </w:numPr>
        <w:spacing w:afterLines="100" w:after="240"/>
        <w:ind w:left="357" w:hanging="357"/>
        <w:rPr>
          <w:szCs w:val="24"/>
        </w:rPr>
      </w:pPr>
      <w:r w:rsidRPr="00BD76AF">
        <w:rPr>
          <w:szCs w:val="24"/>
        </w:rPr>
        <w:t xml:space="preserve">Le Maître d’ouvrage et l’Entrepreneur habilitent le </w:t>
      </w:r>
      <w:r w:rsidRPr="00BD76AF">
        <w:rPr>
          <w:rFonts w:eastAsia="游ゴシック"/>
          <w:kern w:val="2"/>
          <w:szCs w:val="24"/>
          <w:shd w:val="clear" w:color="auto" w:fill="FAFBFC"/>
          <w:lang w:eastAsia="ja-JP"/>
        </w:rPr>
        <w:t>Comité de Règlement des Différends</w:t>
      </w:r>
      <w:r w:rsidRPr="00BD76AF">
        <w:rPr>
          <w:szCs w:val="24"/>
        </w:rPr>
        <w:t>, entre autres, à :</w:t>
      </w:r>
    </w:p>
    <w:p w14:paraId="04DCE6C9" w14:textId="77777777" w:rsidR="00F332DA" w:rsidRPr="00BD76AF" w:rsidRDefault="00F332DA" w:rsidP="003D46CF">
      <w:pPr>
        <w:numPr>
          <w:ilvl w:val="1"/>
          <w:numId w:val="88"/>
        </w:numPr>
        <w:tabs>
          <w:tab w:val="clear" w:pos="795"/>
          <w:tab w:val="left" w:pos="784"/>
        </w:tabs>
        <w:spacing w:afterLines="50" w:after="120"/>
        <w:ind w:left="782" w:hanging="425"/>
        <w:rPr>
          <w:szCs w:val="24"/>
        </w:rPr>
      </w:pPr>
      <w:r w:rsidRPr="00BD76AF">
        <w:rPr>
          <w:szCs w:val="24"/>
        </w:rPr>
        <w:t xml:space="preserve">établir la procédure applicable à la résolution du </w:t>
      </w:r>
      <w:r w:rsidRPr="00BD76AF">
        <w:rPr>
          <w:rFonts w:eastAsia="游ゴシック"/>
          <w:kern w:val="2"/>
          <w:szCs w:val="24"/>
          <w:shd w:val="clear" w:color="auto" w:fill="FAFBFC"/>
          <w:lang w:eastAsia="ja-JP"/>
        </w:rPr>
        <w:t>différend</w:t>
      </w:r>
      <w:r w:rsidRPr="00BD76AF">
        <w:rPr>
          <w:szCs w:val="24"/>
        </w:rPr>
        <w:t> ;</w:t>
      </w:r>
    </w:p>
    <w:p w14:paraId="298E599B" w14:textId="77777777" w:rsidR="00F332DA" w:rsidRPr="00BD76AF" w:rsidRDefault="00F332DA" w:rsidP="003D46CF">
      <w:pPr>
        <w:numPr>
          <w:ilvl w:val="1"/>
          <w:numId w:val="88"/>
        </w:numPr>
        <w:tabs>
          <w:tab w:val="clear" w:pos="795"/>
          <w:tab w:val="left" w:pos="784"/>
        </w:tabs>
        <w:spacing w:afterLines="50" w:after="120"/>
        <w:ind w:left="782" w:hanging="425"/>
        <w:rPr>
          <w:szCs w:val="24"/>
        </w:rPr>
      </w:pPr>
      <w:r w:rsidRPr="00BD76AF">
        <w:rPr>
          <w:szCs w:val="24"/>
        </w:rPr>
        <w:t xml:space="preserve">décider du domaine de compétence propre au </w:t>
      </w:r>
      <w:r w:rsidRPr="00BD76AF">
        <w:rPr>
          <w:rFonts w:eastAsia="游ゴシック"/>
          <w:kern w:val="2"/>
          <w:szCs w:val="24"/>
          <w:shd w:val="clear" w:color="auto" w:fill="FAFBFC"/>
          <w:lang w:eastAsia="ja-JP"/>
        </w:rPr>
        <w:t>Comité de Règlement des Différends</w:t>
      </w:r>
      <w:r w:rsidRPr="00BD76AF">
        <w:rPr>
          <w:szCs w:val="24"/>
        </w:rPr>
        <w:t xml:space="preserve"> et de l’ampleur de tou</w:t>
      </w:r>
      <w:r w:rsidRPr="00BD76AF">
        <w:rPr>
          <w:rFonts w:hint="eastAsia"/>
          <w:szCs w:val="24"/>
          <w:lang w:eastAsia="ja-JP"/>
        </w:rPr>
        <w:t>t</w:t>
      </w:r>
      <w:r w:rsidRPr="00BD76AF">
        <w:rPr>
          <w:szCs w:val="24"/>
        </w:rPr>
        <w:t xml:space="preserve"> </w:t>
      </w:r>
      <w:r w:rsidRPr="00BD76AF">
        <w:rPr>
          <w:rFonts w:eastAsia="游ゴシック"/>
          <w:kern w:val="2"/>
          <w:szCs w:val="24"/>
          <w:shd w:val="clear" w:color="auto" w:fill="FAFBFC"/>
          <w:lang w:eastAsia="ja-JP"/>
        </w:rPr>
        <w:t xml:space="preserve">différend </w:t>
      </w:r>
      <w:r w:rsidRPr="00BD76AF">
        <w:rPr>
          <w:szCs w:val="24"/>
        </w:rPr>
        <w:t>qui lui sera soumis ;</w:t>
      </w:r>
    </w:p>
    <w:p w14:paraId="551045B5" w14:textId="77777777" w:rsidR="00F332DA" w:rsidRPr="00BD76AF" w:rsidRDefault="00F332DA" w:rsidP="003D46CF">
      <w:pPr>
        <w:numPr>
          <w:ilvl w:val="1"/>
          <w:numId w:val="88"/>
        </w:numPr>
        <w:tabs>
          <w:tab w:val="clear" w:pos="795"/>
          <w:tab w:val="left" w:pos="784"/>
        </w:tabs>
        <w:spacing w:afterLines="50" w:after="120"/>
        <w:ind w:left="782" w:hanging="425"/>
        <w:rPr>
          <w:szCs w:val="24"/>
        </w:rPr>
      </w:pPr>
      <w:r w:rsidRPr="00BD76AF">
        <w:rPr>
          <w:szCs w:val="24"/>
        </w:rPr>
        <w:t>conduire toute audience de la manière qui lui semble appropriée, sans être lié par aucune règle ou procédure autre que celles comprises dans le Marché et dans les présentes règles ;</w:t>
      </w:r>
    </w:p>
    <w:p w14:paraId="6C4F05A5" w14:textId="77777777" w:rsidR="00F332DA" w:rsidRPr="00BD76AF" w:rsidRDefault="00F332DA" w:rsidP="003D46CF">
      <w:pPr>
        <w:numPr>
          <w:ilvl w:val="1"/>
          <w:numId w:val="88"/>
        </w:numPr>
        <w:tabs>
          <w:tab w:val="clear" w:pos="795"/>
          <w:tab w:val="left" w:pos="784"/>
        </w:tabs>
        <w:spacing w:afterLines="50" w:after="120"/>
        <w:ind w:left="782" w:hanging="425"/>
        <w:rPr>
          <w:szCs w:val="24"/>
        </w:rPr>
      </w:pPr>
      <w:r w:rsidRPr="00BD76AF">
        <w:rPr>
          <w:szCs w:val="24"/>
        </w:rPr>
        <w:t>prendre l’initiative de vérifier les faits et sujets nécessaires à la prise d’une décision ;</w:t>
      </w:r>
    </w:p>
    <w:p w14:paraId="2E98836D" w14:textId="77777777" w:rsidR="00F332DA" w:rsidRPr="00BD76AF" w:rsidRDefault="00F332DA" w:rsidP="003D46CF">
      <w:pPr>
        <w:numPr>
          <w:ilvl w:val="1"/>
          <w:numId w:val="88"/>
        </w:numPr>
        <w:tabs>
          <w:tab w:val="clear" w:pos="795"/>
          <w:tab w:val="left" w:pos="784"/>
        </w:tabs>
        <w:spacing w:afterLines="50" w:after="120"/>
        <w:ind w:left="782" w:hanging="425"/>
        <w:rPr>
          <w:szCs w:val="24"/>
        </w:rPr>
      </w:pPr>
      <w:r w:rsidRPr="00BD76AF">
        <w:rPr>
          <w:szCs w:val="24"/>
        </w:rPr>
        <w:t>utiliser ses propres connaissances spécialisées, le cas échéant ;</w:t>
      </w:r>
    </w:p>
    <w:p w14:paraId="2BF6C96F" w14:textId="77777777" w:rsidR="00F332DA" w:rsidRPr="00BD76AF" w:rsidRDefault="00F332DA" w:rsidP="003D46CF">
      <w:pPr>
        <w:numPr>
          <w:ilvl w:val="1"/>
          <w:numId w:val="88"/>
        </w:numPr>
        <w:tabs>
          <w:tab w:val="clear" w:pos="795"/>
          <w:tab w:val="left" w:pos="784"/>
        </w:tabs>
        <w:spacing w:afterLines="50" w:after="120"/>
        <w:ind w:left="782" w:hanging="425"/>
        <w:rPr>
          <w:szCs w:val="24"/>
        </w:rPr>
      </w:pPr>
      <w:r w:rsidRPr="00BD76AF">
        <w:rPr>
          <w:szCs w:val="24"/>
        </w:rPr>
        <w:t>décider du paiement d’intérêts, conformément au Marché ;</w:t>
      </w:r>
    </w:p>
    <w:p w14:paraId="359A8330" w14:textId="77777777" w:rsidR="00F332DA" w:rsidRPr="00BD76AF" w:rsidRDefault="00F332DA" w:rsidP="003D46CF">
      <w:pPr>
        <w:numPr>
          <w:ilvl w:val="1"/>
          <w:numId w:val="88"/>
        </w:numPr>
        <w:tabs>
          <w:tab w:val="clear" w:pos="795"/>
          <w:tab w:val="left" w:pos="784"/>
        </w:tabs>
        <w:spacing w:afterLines="50" w:after="120"/>
        <w:ind w:left="782" w:hanging="425"/>
        <w:rPr>
          <w:szCs w:val="24"/>
        </w:rPr>
      </w:pPr>
      <w:r w:rsidRPr="00BD76AF">
        <w:rPr>
          <w:szCs w:val="24"/>
        </w:rPr>
        <w:t>décider d’une solution temporaire telle que de mesures provisionnelles ou conservatoires ;</w:t>
      </w:r>
    </w:p>
    <w:p w14:paraId="03A79671" w14:textId="77777777" w:rsidR="00F332DA" w:rsidRPr="00BD76AF" w:rsidRDefault="00F332DA" w:rsidP="003D46CF">
      <w:pPr>
        <w:numPr>
          <w:ilvl w:val="1"/>
          <w:numId w:val="88"/>
        </w:numPr>
        <w:tabs>
          <w:tab w:val="clear" w:pos="795"/>
          <w:tab w:val="left" w:pos="784"/>
        </w:tabs>
        <w:spacing w:afterLines="50" w:after="120"/>
        <w:ind w:left="782" w:hanging="425"/>
        <w:rPr>
          <w:szCs w:val="24"/>
        </w:rPr>
      </w:pPr>
      <w:r w:rsidRPr="00BD76AF">
        <w:rPr>
          <w:szCs w:val="24"/>
        </w:rPr>
        <w:t xml:space="preserve">ouvrir, vérifier et réviser tout certificat, décision, détermination, instruction, avis ou constatation du Directeur de projet en rapport avec le </w:t>
      </w:r>
      <w:r w:rsidRPr="00BD76AF">
        <w:rPr>
          <w:rFonts w:eastAsia="游ゴシック"/>
          <w:kern w:val="2"/>
          <w:szCs w:val="24"/>
          <w:shd w:val="clear" w:color="auto" w:fill="FAFBFC"/>
          <w:lang w:eastAsia="ja-JP"/>
        </w:rPr>
        <w:t>différend</w:t>
      </w:r>
      <w:r w:rsidRPr="00BD76AF">
        <w:rPr>
          <w:szCs w:val="24"/>
        </w:rPr>
        <w:t> ; et</w:t>
      </w:r>
    </w:p>
    <w:p w14:paraId="4F4323E6" w14:textId="77777777" w:rsidR="00F332DA" w:rsidRPr="00BD76AF" w:rsidRDefault="00F332DA" w:rsidP="003D46CF">
      <w:pPr>
        <w:numPr>
          <w:ilvl w:val="1"/>
          <w:numId w:val="88"/>
        </w:numPr>
        <w:tabs>
          <w:tab w:val="clear" w:pos="795"/>
          <w:tab w:val="left" w:pos="784"/>
        </w:tabs>
        <w:spacing w:afterLines="50" w:after="120"/>
        <w:ind w:left="782" w:hanging="425"/>
        <w:rPr>
          <w:szCs w:val="24"/>
        </w:rPr>
      </w:pPr>
      <w:r w:rsidRPr="00BD76AF">
        <w:rPr>
          <w:szCs w:val="24"/>
        </w:rPr>
        <w:t xml:space="preserve">désigner, si le </w:t>
      </w:r>
      <w:r w:rsidRPr="00BD76AF">
        <w:rPr>
          <w:rFonts w:eastAsia="游ゴシック"/>
          <w:kern w:val="2"/>
          <w:szCs w:val="24"/>
          <w:shd w:val="clear" w:color="auto" w:fill="FAFBFC"/>
          <w:lang w:eastAsia="ja-JP"/>
        </w:rPr>
        <w:t>Comité de Règlement des Différends</w:t>
      </w:r>
      <w:r w:rsidRPr="00BD76AF">
        <w:rPr>
          <w:szCs w:val="24"/>
        </w:rPr>
        <w:t xml:space="preserve"> le juge nécessaire avec approbation des Parties, un expert qualifié à la charge des Parties afin de fournir des conseils sur un sujet particulier concernant le </w:t>
      </w:r>
      <w:r w:rsidRPr="00BD76AF">
        <w:rPr>
          <w:rFonts w:eastAsia="游ゴシック"/>
          <w:kern w:val="2"/>
          <w:szCs w:val="24"/>
          <w:shd w:val="clear" w:color="auto" w:fill="FAFBFC"/>
          <w:lang w:eastAsia="ja-JP"/>
        </w:rPr>
        <w:t>différend</w:t>
      </w:r>
      <w:r w:rsidRPr="00BD76AF">
        <w:rPr>
          <w:szCs w:val="24"/>
        </w:rPr>
        <w:t>.</w:t>
      </w:r>
    </w:p>
    <w:p w14:paraId="5DC506E5" w14:textId="77777777" w:rsidR="00F332DA" w:rsidRPr="00BD76AF" w:rsidRDefault="00F332DA" w:rsidP="00704BC4">
      <w:pPr>
        <w:rPr>
          <w:szCs w:val="24"/>
        </w:rPr>
      </w:pPr>
    </w:p>
    <w:p w14:paraId="6AA65EF3" w14:textId="77777777" w:rsidR="00F332DA" w:rsidRPr="00BD76AF" w:rsidRDefault="00F332DA" w:rsidP="003D46CF">
      <w:pPr>
        <w:numPr>
          <w:ilvl w:val="0"/>
          <w:numId w:val="88"/>
        </w:numPr>
        <w:spacing w:afterLines="100" w:after="240"/>
        <w:ind w:left="357" w:hanging="357"/>
        <w:rPr>
          <w:szCs w:val="24"/>
        </w:rPr>
      </w:pPr>
      <w:r w:rsidRPr="00BD76AF">
        <w:rPr>
          <w:szCs w:val="24"/>
        </w:rPr>
        <w:t xml:space="preserve">Le </w:t>
      </w:r>
      <w:r w:rsidRPr="00BD76AF">
        <w:rPr>
          <w:rFonts w:eastAsia="游ゴシック"/>
          <w:kern w:val="2"/>
          <w:szCs w:val="24"/>
          <w:shd w:val="clear" w:color="auto" w:fill="FAFBFC"/>
          <w:lang w:eastAsia="ja-JP"/>
        </w:rPr>
        <w:t>Comité de Règlement des Différends</w:t>
      </w:r>
      <w:r w:rsidRPr="00BD76AF">
        <w:rPr>
          <w:szCs w:val="24"/>
        </w:rPr>
        <w:t xml:space="preserve"> ne doit exprimer aucune opinion au cours d’une audience sur le bien-fondé de tout argument présenté par les Parties. Par la suite, le </w:t>
      </w:r>
      <w:r w:rsidRPr="00BD76AF">
        <w:rPr>
          <w:rFonts w:eastAsia="游ゴシック"/>
          <w:kern w:val="2"/>
          <w:szCs w:val="24"/>
          <w:shd w:val="clear" w:color="auto" w:fill="FAFBFC"/>
          <w:lang w:eastAsia="ja-JP"/>
        </w:rPr>
        <w:t>Comité de Règlement des Différends</w:t>
      </w:r>
      <w:r w:rsidRPr="00BD76AF">
        <w:rPr>
          <w:szCs w:val="24"/>
        </w:rPr>
        <w:t xml:space="preserve"> doit prendre et rendre sa décision conformément à l’Article 45.3 des CG, ou comme décidé autrement par écrit par le Maître d’ouvrage et l’Entrepreneur. Si le </w:t>
      </w:r>
      <w:r w:rsidRPr="00BD76AF">
        <w:rPr>
          <w:rFonts w:eastAsia="游ゴシック"/>
          <w:kern w:val="2"/>
          <w:szCs w:val="24"/>
          <w:shd w:val="clear" w:color="auto" w:fill="FAFBFC"/>
          <w:lang w:eastAsia="ja-JP"/>
        </w:rPr>
        <w:t>Comité de Règlement des Différends</w:t>
      </w:r>
      <w:r w:rsidRPr="00BD76AF" w:rsidDel="004B0B34">
        <w:rPr>
          <w:szCs w:val="24"/>
        </w:rPr>
        <w:t xml:space="preserve"> </w:t>
      </w:r>
      <w:r w:rsidRPr="00BD76AF">
        <w:rPr>
          <w:szCs w:val="24"/>
        </w:rPr>
        <w:t>est composé de trois membres :</w:t>
      </w:r>
    </w:p>
    <w:p w14:paraId="0B956F5D" w14:textId="77777777" w:rsidR="00F332DA" w:rsidRPr="00BD76AF" w:rsidRDefault="00F332DA" w:rsidP="003D46CF">
      <w:pPr>
        <w:numPr>
          <w:ilvl w:val="1"/>
          <w:numId w:val="88"/>
        </w:numPr>
        <w:tabs>
          <w:tab w:val="clear" w:pos="795"/>
          <w:tab w:val="left" w:pos="784"/>
        </w:tabs>
        <w:spacing w:afterLines="50" w:after="120"/>
        <w:ind w:left="782" w:hanging="425"/>
        <w:rPr>
          <w:szCs w:val="24"/>
        </w:rPr>
      </w:pPr>
      <w:r w:rsidRPr="00BD76AF">
        <w:rPr>
          <w:szCs w:val="24"/>
        </w:rPr>
        <w:t>il doit se réunir en privé après une audience pour délibérer et préparer sa décision ;</w:t>
      </w:r>
    </w:p>
    <w:p w14:paraId="7EDE0984" w14:textId="77777777" w:rsidR="00F332DA" w:rsidRPr="00BD76AF" w:rsidRDefault="00F332DA" w:rsidP="003D46CF">
      <w:pPr>
        <w:numPr>
          <w:ilvl w:val="1"/>
          <w:numId w:val="88"/>
        </w:numPr>
        <w:tabs>
          <w:tab w:val="clear" w:pos="795"/>
          <w:tab w:val="left" w:pos="784"/>
        </w:tabs>
        <w:spacing w:afterLines="50" w:after="120"/>
        <w:ind w:left="782" w:hanging="425"/>
        <w:rPr>
          <w:szCs w:val="24"/>
        </w:rPr>
      </w:pPr>
      <w:r w:rsidRPr="00BD76AF">
        <w:rPr>
          <w:szCs w:val="24"/>
        </w:rPr>
        <w:t>il doit tenter d’obtenir une décision unanime : si cela s’avère impossible, la décision applicable doit être prise à la majorité des Membres, qui peuvent demander au Membre minoritaire de préparer un rapport écrit à remettre au Maître d’ouvrage et à l’Entrepreneur ; et</w:t>
      </w:r>
    </w:p>
    <w:p w14:paraId="271FF8C7" w14:textId="77777777" w:rsidR="00F332DA" w:rsidRPr="00BD76AF" w:rsidRDefault="00F332DA" w:rsidP="003D46CF">
      <w:pPr>
        <w:numPr>
          <w:ilvl w:val="1"/>
          <w:numId w:val="88"/>
        </w:numPr>
        <w:tabs>
          <w:tab w:val="clear" w:pos="795"/>
          <w:tab w:val="left" w:pos="784"/>
        </w:tabs>
        <w:spacing w:afterLines="50" w:after="120"/>
        <w:ind w:left="782" w:hanging="425"/>
        <w:rPr>
          <w:szCs w:val="24"/>
          <w:shd w:val="clear" w:color="auto" w:fill="FFFF99"/>
        </w:rPr>
      </w:pPr>
      <w:r w:rsidRPr="00BD76AF">
        <w:rPr>
          <w:szCs w:val="24"/>
        </w:rPr>
        <w:t>si un Membre ne participe pas à une réunion ou à une audience, ou ne remplit pas une quelconque des fonctions dont il a la charge, les autres Membres peuvent néanmoins poursuivre afin de prendre une décision, à moins que :</w:t>
      </w:r>
    </w:p>
    <w:p w14:paraId="1097AC75" w14:textId="77777777" w:rsidR="00F332DA" w:rsidRPr="00BD76AF" w:rsidRDefault="00F332DA" w:rsidP="003D46CF">
      <w:pPr>
        <w:numPr>
          <w:ilvl w:val="2"/>
          <w:numId w:val="88"/>
        </w:numPr>
        <w:tabs>
          <w:tab w:val="clear" w:pos="1560"/>
        </w:tabs>
        <w:spacing w:afterLines="50" w:after="120"/>
        <w:ind w:left="1208" w:hanging="425"/>
        <w:rPr>
          <w:szCs w:val="24"/>
        </w:rPr>
      </w:pPr>
      <w:r w:rsidRPr="00BD76AF">
        <w:rPr>
          <w:szCs w:val="24"/>
        </w:rPr>
        <w:t>le Maître d’ouvrage ou l’Entrepreneur ne soit pas d’accord pour qu’ils poursuivent la procédure, ou</w:t>
      </w:r>
    </w:p>
    <w:p w14:paraId="25BFC6E4" w14:textId="77777777" w:rsidR="00F332DA" w:rsidRPr="00BD76AF" w:rsidRDefault="00F332DA" w:rsidP="003D46CF">
      <w:pPr>
        <w:numPr>
          <w:ilvl w:val="2"/>
          <w:numId w:val="88"/>
        </w:numPr>
        <w:tabs>
          <w:tab w:val="clear" w:pos="1560"/>
        </w:tabs>
        <w:ind w:left="1208" w:hanging="425"/>
        <w:rPr>
          <w:szCs w:val="24"/>
          <w:shd w:val="clear" w:color="auto" w:fill="FFFF99"/>
        </w:rPr>
      </w:pPr>
      <w:r w:rsidRPr="00BD76AF">
        <w:rPr>
          <w:szCs w:val="24"/>
        </w:rPr>
        <w:t xml:space="preserve">le Membre absent soit le président du </w:t>
      </w:r>
      <w:r w:rsidRPr="00BD76AF">
        <w:rPr>
          <w:rFonts w:hint="eastAsia"/>
          <w:szCs w:val="24"/>
          <w:lang w:eastAsia="ja-JP"/>
        </w:rPr>
        <w:t>c</w:t>
      </w:r>
      <w:r w:rsidRPr="00BD76AF">
        <w:rPr>
          <w:szCs w:val="24"/>
        </w:rPr>
        <w:t>omité et qu’il/elle donne des instructions afin que les autres Membres ne prennent pas de décision.</w:t>
      </w:r>
    </w:p>
    <w:p w14:paraId="493DF01F" w14:textId="77777777" w:rsidR="00F332DA" w:rsidRPr="00BD76AF" w:rsidRDefault="00F332DA" w:rsidP="00387791">
      <w:pPr>
        <w:rPr>
          <w:szCs w:val="24"/>
          <w:shd w:val="clear" w:color="auto" w:fill="FFFF99"/>
        </w:rPr>
      </w:pPr>
    </w:p>
    <w:p w14:paraId="6831A030" w14:textId="77777777" w:rsidR="00F332DA" w:rsidRPr="00BD76AF" w:rsidRDefault="00F332DA" w:rsidP="00387791">
      <w:pPr>
        <w:rPr>
          <w:szCs w:val="24"/>
          <w:shd w:val="clear" w:color="auto" w:fill="FFFF99"/>
        </w:rPr>
      </w:pPr>
    </w:p>
    <w:p w14:paraId="52DB43DA" w14:textId="77777777" w:rsidR="00F332DA" w:rsidRPr="00BD76AF" w:rsidRDefault="00F332DA" w:rsidP="00DB59B9">
      <w:pPr>
        <w:spacing w:afterLines="100" w:after="240"/>
        <w:rPr>
          <w:szCs w:val="24"/>
        </w:rPr>
        <w:sectPr w:rsidR="00F332DA" w:rsidRPr="00BD76AF" w:rsidSect="00FB7055">
          <w:headerReference w:type="even" r:id="rId90"/>
          <w:headerReference w:type="default" r:id="rId91"/>
          <w:endnotePr>
            <w:numFmt w:val="decimal"/>
          </w:endnotePr>
          <w:type w:val="nextColumn"/>
          <w:pgSz w:w="12240" w:h="15840" w:code="1"/>
          <w:pgMar w:top="1440" w:right="1440" w:bottom="1440" w:left="1797" w:header="720" w:footer="720" w:gutter="0"/>
          <w:pgNumType w:start="1"/>
          <w:cols w:space="720"/>
        </w:sectPr>
      </w:pPr>
    </w:p>
    <w:p w14:paraId="40C6EA0C" w14:textId="77777777" w:rsidR="00F332DA" w:rsidRPr="00BD76AF" w:rsidRDefault="00F332DA" w:rsidP="00387791">
      <w:pPr>
        <w:pStyle w:val="17"/>
        <w:rPr>
          <w:lang w:val="fr-FR"/>
        </w:rPr>
      </w:pPr>
      <w:bookmarkStart w:id="812" w:name="_Toc156372856"/>
      <w:bookmarkStart w:id="813" w:name="_Toc326657870"/>
      <w:bookmarkStart w:id="814" w:name="_Toc349055433"/>
      <w:bookmarkStart w:id="815" w:name="_Toc354567709"/>
      <w:r w:rsidRPr="00BD76AF">
        <w:rPr>
          <w:lang w:val="fr-FR"/>
        </w:rPr>
        <w:t>Section VIII. Conditions Particulières</w:t>
      </w:r>
      <w:bookmarkEnd w:id="812"/>
      <w:bookmarkEnd w:id="813"/>
      <w:bookmarkEnd w:id="814"/>
      <w:bookmarkEnd w:id="815"/>
      <w:r w:rsidRPr="00BD76AF">
        <w:rPr>
          <w:lang w:val="fr-FR"/>
        </w:rPr>
        <w:t xml:space="preserve"> (CP)</w:t>
      </w:r>
    </w:p>
    <w:p w14:paraId="2A0D9EC2" w14:textId="77777777" w:rsidR="00F332DA" w:rsidRPr="00BD76AF" w:rsidRDefault="00F332DA" w:rsidP="00387791"/>
    <w:p w14:paraId="67904E7E" w14:textId="77777777" w:rsidR="00F332DA" w:rsidRPr="00BD76AF" w:rsidRDefault="00F332DA" w:rsidP="00387791">
      <w:pPr>
        <w:pStyle w:val="Subtitle21"/>
        <w:jc w:val="both"/>
        <w:outlineLvl w:val="9"/>
        <w:rPr>
          <w:lang w:val="fr-F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3"/>
      </w:tblGrid>
      <w:tr w:rsidR="00F332DA" w:rsidRPr="00BD76AF" w14:paraId="53760D1D" w14:textId="77777777" w:rsidTr="003B1ACC">
        <w:trPr>
          <w:trHeight w:val="1030"/>
        </w:trPr>
        <w:tc>
          <w:tcPr>
            <w:tcW w:w="9108" w:type="dxa"/>
            <w:shd w:val="clear" w:color="auto" w:fill="auto"/>
          </w:tcPr>
          <w:p w14:paraId="262025B2" w14:textId="77777777" w:rsidR="00F332DA" w:rsidRPr="00BD76AF" w:rsidRDefault="00F332DA" w:rsidP="003B1ACC">
            <w:pPr>
              <w:jc w:val="center"/>
              <w:rPr>
                <w:lang w:eastAsia="ja-JP"/>
              </w:rPr>
            </w:pPr>
          </w:p>
          <w:p w14:paraId="3A52E30C" w14:textId="77777777" w:rsidR="00F332DA" w:rsidRPr="00BD76AF" w:rsidRDefault="00F332DA" w:rsidP="003B1ACC">
            <w:pPr>
              <w:jc w:val="center"/>
              <w:rPr>
                <w:b/>
                <w:bCs/>
                <w:sz w:val="28"/>
                <w:szCs w:val="28"/>
                <w:lang w:eastAsia="ja-JP"/>
              </w:rPr>
            </w:pPr>
            <w:r w:rsidRPr="00BD76AF">
              <w:rPr>
                <w:b/>
                <w:bCs/>
                <w:sz w:val="28"/>
                <w:szCs w:val="28"/>
              </w:rPr>
              <w:t xml:space="preserve">Notes </w:t>
            </w:r>
            <w:r w:rsidRPr="00BD76AF">
              <w:rPr>
                <w:rFonts w:hint="eastAsia"/>
                <w:b/>
                <w:bCs/>
                <w:sz w:val="28"/>
                <w:szCs w:val="28"/>
                <w:lang w:eastAsia="ja-JP"/>
              </w:rPr>
              <w:t>à</w:t>
            </w:r>
            <w:r w:rsidRPr="00BD76AF">
              <w:rPr>
                <w:b/>
                <w:bCs/>
                <w:sz w:val="28"/>
                <w:szCs w:val="28"/>
                <w:lang w:eastAsia="ja-JP"/>
              </w:rPr>
              <w:t xml:space="preserve"> l’intention du Maître d’ouvrage</w:t>
            </w:r>
          </w:p>
          <w:p w14:paraId="18DD24D8" w14:textId="77777777" w:rsidR="00F332DA" w:rsidRPr="00BD76AF" w:rsidRDefault="00F332DA" w:rsidP="003B1ACC">
            <w:pPr>
              <w:spacing w:afterLines="150" w:after="360"/>
              <w:jc w:val="center"/>
              <w:rPr>
                <w:b/>
                <w:sz w:val="28"/>
                <w:szCs w:val="28"/>
              </w:rPr>
            </w:pPr>
          </w:p>
          <w:p w14:paraId="76DB3201" w14:textId="77777777" w:rsidR="00F332DA" w:rsidRPr="00BD76AF" w:rsidRDefault="00F332DA" w:rsidP="003B1ACC">
            <w:r w:rsidRPr="00BD76AF">
              <w:t>Cette section est constituée de la Partie A, Données du Marché, qui contient les données spécifiques à chaque marché, et la Partie B, Dispositions spécifiques, qui contient les articles spécifiques à chaque marché. Le contenu de cette section complète les CG.</w:t>
            </w:r>
          </w:p>
          <w:p w14:paraId="521A51C3" w14:textId="77777777" w:rsidR="00F332DA" w:rsidRPr="00BD76AF" w:rsidRDefault="00F332DA" w:rsidP="003B1ACC"/>
          <w:p w14:paraId="56BF9A5A" w14:textId="77777777" w:rsidR="00F332DA" w:rsidRPr="00BD76AF" w:rsidRDefault="00F332DA" w:rsidP="003B1ACC">
            <w:r w:rsidRPr="00BD76AF">
              <w:t xml:space="preserve">Les dispositions spécifiques </w:t>
            </w:r>
            <w:r w:rsidRPr="00BD76AF">
              <w:rPr>
                <w:rFonts w:hint="eastAsia"/>
                <w:lang w:eastAsia="ja-JP"/>
              </w:rPr>
              <w:t>d</w:t>
            </w:r>
            <w:r w:rsidRPr="00BD76AF">
              <w:rPr>
                <w:lang w:eastAsia="ja-JP"/>
              </w:rPr>
              <w:t>e</w:t>
            </w:r>
            <w:r w:rsidRPr="00BD76AF">
              <w:t xml:space="preserve"> la Partie B doivent être préparées/complétées par le Maître d’ouvrage conformément aux exigences et circonstances spécifiques du Projet et/ou pays.</w:t>
            </w:r>
          </w:p>
          <w:p w14:paraId="0F9159D9" w14:textId="77777777" w:rsidR="00F332DA" w:rsidRPr="00BD76AF" w:rsidRDefault="00F332DA" w:rsidP="003B1ACC"/>
          <w:p w14:paraId="56308391" w14:textId="77777777" w:rsidR="00F332DA" w:rsidRPr="00BD76AF" w:rsidRDefault="00F332DA" w:rsidP="003B1ACC">
            <w:r w:rsidRPr="00BD76AF">
              <w:t>Les «</w:t>
            </w:r>
            <w:r w:rsidRPr="00BD76AF">
              <w:rPr>
                <w:bCs/>
                <w:szCs w:val="24"/>
                <w:lang w:eastAsia="ja-JP"/>
              </w:rPr>
              <w:t> </w:t>
            </w:r>
            <w:r w:rsidRPr="00BD76AF">
              <w:rPr>
                <w:i/>
              </w:rPr>
              <w:t>Notes à l’intention du Maître d’ouvrage</w:t>
            </w:r>
            <w:r w:rsidRPr="00BD76AF">
              <w:rPr>
                <w:bCs/>
                <w:szCs w:val="24"/>
                <w:lang w:eastAsia="ja-JP"/>
              </w:rPr>
              <w:t> </w:t>
            </w:r>
            <w:r w:rsidRPr="00BD76AF">
              <w:t>», «</w:t>
            </w:r>
            <w:r w:rsidRPr="00BD76AF">
              <w:rPr>
                <w:bCs/>
                <w:szCs w:val="24"/>
                <w:lang w:eastAsia="ja-JP"/>
              </w:rPr>
              <w:t> </w:t>
            </w:r>
            <w:r w:rsidRPr="00BD76AF">
              <w:t>en encadré</w:t>
            </w:r>
            <w:r w:rsidRPr="00BD76AF">
              <w:rPr>
                <w:bCs/>
                <w:szCs w:val="24"/>
                <w:lang w:eastAsia="ja-JP"/>
              </w:rPr>
              <w:t> </w:t>
            </w:r>
            <w:r w:rsidRPr="00BD76AF">
              <w:t xml:space="preserve">» et celles en italique ne font pas partie des CP, mais contiennent des indications et des instructions à l’intention du Maître d’ouvrage. Elles doivent être retirées du Dossier d’appel d’offres qui sera remis aux Soumissionnaires, à l’exception de celles pour les Articles </w:t>
            </w:r>
            <w:r w:rsidRPr="00BD76AF">
              <w:rPr>
                <w:iCs/>
              </w:rPr>
              <w:t>1.1 &amp; 4.1</w:t>
            </w:r>
            <w:r w:rsidRPr="00BD76AF">
              <w:t xml:space="preserve"> (</w:t>
            </w:r>
            <w:r w:rsidRPr="00BD76AF">
              <w:rPr>
                <w:i/>
              </w:rPr>
              <w:t>nom et adresse de l’Entrepreneur</w:t>
            </w:r>
            <w:r w:rsidRPr="00BD76AF">
              <w:t>) et 1.1 (</w:t>
            </w:r>
            <w:r w:rsidRPr="00BD76AF">
              <w:rPr>
                <w:i/>
                <w:szCs w:val="24"/>
                <w:lang w:eastAsia="ja-JP"/>
              </w:rPr>
              <w:t>nom du</w:t>
            </w:r>
            <w:r w:rsidRPr="00BD76AF">
              <w:rPr>
                <w:i/>
              </w:rPr>
              <w:t xml:space="preserve"> Représentant de l’Entrepreneur</w:t>
            </w:r>
            <w:r w:rsidRPr="00BD76AF">
              <w:t>) des Données du Marché, qui devront être complétées avant la signature du Marché.</w:t>
            </w:r>
          </w:p>
          <w:p w14:paraId="1E343230" w14:textId="77777777" w:rsidR="00F332DA" w:rsidRPr="00BD76AF" w:rsidRDefault="00F332DA" w:rsidP="003B1ACC">
            <w:pPr>
              <w:rPr>
                <w:lang w:eastAsia="ja-JP"/>
              </w:rPr>
            </w:pPr>
          </w:p>
        </w:tc>
      </w:tr>
    </w:tbl>
    <w:p w14:paraId="72E1FBC8" w14:textId="77777777" w:rsidR="00F332DA" w:rsidRPr="00BD76AF" w:rsidRDefault="00F332DA" w:rsidP="00DB59B9">
      <w:pPr>
        <w:spacing w:afterLines="100" w:after="240"/>
        <w:rPr>
          <w:szCs w:val="24"/>
        </w:rPr>
        <w:sectPr w:rsidR="00F332DA" w:rsidRPr="00BD76AF" w:rsidSect="00387791">
          <w:headerReference w:type="default" r:id="rId92"/>
          <w:endnotePr>
            <w:numFmt w:val="decimal"/>
          </w:endnotePr>
          <w:type w:val="oddPage"/>
          <w:pgSz w:w="12240" w:h="15840" w:code="1"/>
          <w:pgMar w:top="1440" w:right="1440" w:bottom="1440" w:left="1797" w:header="720" w:footer="720" w:gutter="0"/>
          <w:pgNumType w:start="1"/>
          <w:cols w:space="720"/>
        </w:sectPr>
      </w:pPr>
    </w:p>
    <w:p w14:paraId="62851739" w14:textId="77777777" w:rsidR="00F332DA" w:rsidRPr="00BD76AF" w:rsidRDefault="00F332DA" w:rsidP="002B3380">
      <w:pPr>
        <w:pStyle w:val="2"/>
        <w:tabs>
          <w:tab w:val="left" w:pos="619"/>
        </w:tabs>
        <w:suppressAutoHyphens w:val="0"/>
        <w:spacing w:after="200"/>
        <w:rPr>
          <w:sz w:val="36"/>
          <w:szCs w:val="36"/>
          <w:lang w:val="fr-FR"/>
        </w:rPr>
      </w:pPr>
      <w:r w:rsidRPr="00BD76AF">
        <w:rPr>
          <w:sz w:val="36"/>
          <w:szCs w:val="36"/>
          <w:lang w:val="fr-FR"/>
        </w:rPr>
        <w:t>Conditions Particulières (CP)</w:t>
      </w:r>
    </w:p>
    <w:p w14:paraId="26D8D161" w14:textId="77777777" w:rsidR="00F332DA" w:rsidRPr="00BD76AF" w:rsidRDefault="00F332DA" w:rsidP="0079334B">
      <w:pPr>
        <w:rPr>
          <w:lang w:eastAsia="ja-JP"/>
        </w:rPr>
      </w:pPr>
      <w:bookmarkStart w:id="816" w:name="_Hlk519619349"/>
      <w:r w:rsidRPr="00BD76AF">
        <w:t>Les Conditions Particulières qui suivent complètent les CG. Dans tous les cas où les dispositions se contredisent, les dispositions ci-après prévaudront sur celles des CG.</w:t>
      </w:r>
    </w:p>
    <w:bookmarkEnd w:id="816"/>
    <w:p w14:paraId="66E550C0" w14:textId="77777777" w:rsidR="00F332DA" w:rsidRPr="00BD76AF" w:rsidRDefault="00F332DA" w:rsidP="0079334B">
      <w:pPr>
        <w:pStyle w:val="af5"/>
        <w:spacing w:afterLines="100" w:after="240"/>
        <w:jc w:val="left"/>
        <w:rPr>
          <w:b w:val="0"/>
          <w:sz w:val="24"/>
          <w:szCs w:val="24"/>
          <w:lang w:val="fr-FR" w:eastAsia="ja-JP"/>
        </w:rPr>
      </w:pPr>
    </w:p>
    <w:p w14:paraId="0657BFC7" w14:textId="77777777" w:rsidR="00F332DA" w:rsidRPr="00BD76AF" w:rsidRDefault="00F332DA" w:rsidP="0079334B">
      <w:pPr>
        <w:pStyle w:val="explanatorynotes"/>
        <w:jc w:val="center"/>
        <w:outlineLvl w:val="1"/>
        <w:rPr>
          <w:rFonts w:ascii="Times New Roman" w:hAnsi="Times New Roman"/>
          <w:b/>
          <w:bCs/>
          <w:sz w:val="28"/>
          <w:lang w:val="fr-FR"/>
        </w:rPr>
      </w:pPr>
      <w:bookmarkStart w:id="817" w:name="_Toc89380419"/>
      <w:bookmarkStart w:id="818" w:name="_Toc89383082"/>
      <w:bookmarkStart w:id="819" w:name="_Toc89383160"/>
      <w:bookmarkStart w:id="820" w:name="_Toc89384665"/>
      <w:bookmarkStart w:id="821" w:name="_Toc89421239"/>
      <w:bookmarkStart w:id="822" w:name="_Toc89423513"/>
      <w:r w:rsidRPr="00BD76AF">
        <w:rPr>
          <w:rFonts w:ascii="Times New Roman" w:hAnsi="Times New Roman"/>
          <w:b/>
          <w:bCs/>
          <w:sz w:val="28"/>
          <w:lang w:val="fr-FR"/>
        </w:rPr>
        <w:t>Partie A - Données du Marché (DM)</w:t>
      </w:r>
      <w:bookmarkEnd w:id="817"/>
      <w:bookmarkEnd w:id="818"/>
      <w:bookmarkEnd w:id="819"/>
      <w:bookmarkEnd w:id="820"/>
      <w:bookmarkEnd w:id="821"/>
      <w:bookmarkEnd w:id="822"/>
    </w:p>
    <w:p w14:paraId="6F64E997" w14:textId="77777777" w:rsidR="00F332DA" w:rsidRPr="00BD76AF" w:rsidRDefault="00F332DA" w:rsidP="0079334B">
      <w:pPr>
        <w:pStyle w:val="aff6"/>
        <w:ind w:left="0" w:right="0"/>
        <w:jc w:val="both"/>
        <w:rPr>
          <w:i w:val="0"/>
          <w:iCs/>
          <w:lang w:val="fr-FR"/>
        </w:rPr>
      </w:pPr>
      <w:r w:rsidRPr="00BD76AF">
        <w:rPr>
          <w:i w:val="0"/>
          <w:iCs/>
          <w:lang w:val="fr-FR"/>
        </w:rPr>
        <w:t>[</w:t>
      </w:r>
      <w:r w:rsidRPr="00BD76AF">
        <w:rPr>
          <w:iCs/>
          <w:lang w:val="fr-FR"/>
        </w:rPr>
        <w:t xml:space="preserve">Le Maître d’ouvrage doit insérer les données pertinentes préalablement à la diffusion des Dossiers d’appel d’offres, à l’exception des données requises pour les Articles 1.1 </w:t>
      </w:r>
      <w:r w:rsidRPr="00BD76AF">
        <w:rPr>
          <w:szCs w:val="24"/>
          <w:lang w:val="fr-FR" w:eastAsia="ja-JP"/>
        </w:rPr>
        <w:t>&amp;</w:t>
      </w:r>
      <w:r w:rsidRPr="00BD76AF">
        <w:rPr>
          <w:iCs/>
          <w:lang w:val="fr-FR"/>
        </w:rPr>
        <w:t xml:space="preserve"> 4.1 (nom et adresse de l’Entrepreneur) et 1.1 (nom du Directeur de projet) des Données du Marché, qui seront complétées avant la signature du Marché dès qu’elles seront disponibles. Lorsqu’un nombre de jour sera inséré, il est souhaitable que le nombre soit un multiple de sept, conformément aux Conditions du Marché.</w:t>
      </w:r>
      <w:r w:rsidRPr="00BD76AF">
        <w:rPr>
          <w:i w:val="0"/>
          <w:iCs/>
          <w:lang w:val="fr-FR"/>
        </w:rPr>
        <w:t>]</w:t>
      </w:r>
    </w:p>
    <w:p w14:paraId="0D623DD2" w14:textId="77777777" w:rsidR="00F332DA" w:rsidRPr="00BD76AF" w:rsidRDefault="00F332DA" w:rsidP="005E59D5">
      <w:pPr>
        <w:pStyle w:val="af5"/>
        <w:jc w:val="left"/>
        <w:rPr>
          <w:b w:val="0"/>
          <w:sz w:val="24"/>
          <w:szCs w:val="24"/>
          <w:lang w:val="fr-FR" w:eastAsia="ja-JP"/>
        </w:rPr>
      </w:pPr>
    </w:p>
    <w:tbl>
      <w:tblPr>
        <w:tblW w:w="9049" w:type="dxa"/>
        <w:tblLayout w:type="fixed"/>
        <w:tblLook w:val="0000" w:firstRow="0" w:lastRow="0" w:firstColumn="0" w:lastColumn="0" w:noHBand="0" w:noVBand="0"/>
      </w:tblPr>
      <w:tblGrid>
        <w:gridCol w:w="3348"/>
        <w:gridCol w:w="1440"/>
        <w:gridCol w:w="4261"/>
      </w:tblGrid>
      <w:tr w:rsidR="00F332DA" w:rsidRPr="00BD76AF" w14:paraId="734F4F8E" w14:textId="77777777" w:rsidTr="008A3C2D">
        <w:trPr>
          <w:tblHeader/>
        </w:trPr>
        <w:tc>
          <w:tcPr>
            <w:tcW w:w="3348" w:type="dxa"/>
            <w:tcBorders>
              <w:top w:val="single" w:sz="18" w:space="0" w:color="auto"/>
              <w:left w:val="single" w:sz="18" w:space="0" w:color="auto"/>
              <w:bottom w:val="single" w:sz="18" w:space="0" w:color="auto"/>
              <w:right w:val="single" w:sz="18" w:space="0" w:color="auto"/>
            </w:tcBorders>
          </w:tcPr>
          <w:p w14:paraId="0CEA4D6D" w14:textId="77777777" w:rsidR="00F332DA" w:rsidRPr="00BD76AF" w:rsidRDefault="00F332DA" w:rsidP="0079334B">
            <w:pPr>
              <w:spacing w:before="60" w:after="60"/>
              <w:jc w:val="center"/>
              <w:rPr>
                <w:b/>
                <w:szCs w:val="24"/>
                <w:lang w:val="en-GB"/>
              </w:rPr>
            </w:pPr>
            <w:r w:rsidRPr="00BD76AF">
              <w:rPr>
                <w:b/>
                <w:szCs w:val="24"/>
                <w:lang w:val="en-GB"/>
              </w:rPr>
              <w:t>Conditions</w:t>
            </w:r>
          </w:p>
        </w:tc>
        <w:tc>
          <w:tcPr>
            <w:tcW w:w="1440" w:type="dxa"/>
            <w:tcBorders>
              <w:top w:val="single" w:sz="18" w:space="0" w:color="auto"/>
              <w:left w:val="single" w:sz="18" w:space="0" w:color="auto"/>
              <w:bottom w:val="single" w:sz="18" w:space="0" w:color="auto"/>
              <w:right w:val="single" w:sz="18" w:space="0" w:color="auto"/>
            </w:tcBorders>
          </w:tcPr>
          <w:p w14:paraId="13A9018D" w14:textId="77777777" w:rsidR="00F332DA" w:rsidRPr="00BD76AF" w:rsidRDefault="00F332DA" w:rsidP="0079334B">
            <w:pPr>
              <w:spacing w:before="60" w:after="60"/>
              <w:jc w:val="center"/>
              <w:rPr>
                <w:b/>
                <w:szCs w:val="24"/>
                <w:lang w:val="en-GB"/>
              </w:rPr>
            </w:pPr>
            <w:r w:rsidRPr="00BD76AF">
              <w:rPr>
                <w:b/>
                <w:szCs w:val="24"/>
                <w:lang w:val="en-GB"/>
              </w:rPr>
              <w:t>Article</w:t>
            </w:r>
          </w:p>
        </w:tc>
        <w:tc>
          <w:tcPr>
            <w:tcW w:w="4261" w:type="dxa"/>
            <w:tcBorders>
              <w:top w:val="single" w:sz="18" w:space="0" w:color="auto"/>
              <w:left w:val="single" w:sz="18" w:space="0" w:color="auto"/>
              <w:bottom w:val="single" w:sz="18" w:space="0" w:color="auto"/>
              <w:right w:val="single" w:sz="18" w:space="0" w:color="auto"/>
            </w:tcBorders>
          </w:tcPr>
          <w:p w14:paraId="55AD457A" w14:textId="77777777" w:rsidR="00F332DA" w:rsidRPr="00BD76AF" w:rsidRDefault="00F332DA" w:rsidP="0079334B">
            <w:pPr>
              <w:tabs>
                <w:tab w:val="left" w:pos="5285"/>
              </w:tabs>
              <w:spacing w:before="60" w:after="60"/>
              <w:ind w:right="-94"/>
              <w:jc w:val="center"/>
              <w:rPr>
                <w:b/>
                <w:szCs w:val="24"/>
                <w:lang w:val="en-GB"/>
              </w:rPr>
            </w:pPr>
            <w:r w:rsidRPr="00BD76AF">
              <w:rPr>
                <w:b/>
                <w:szCs w:val="24"/>
                <w:lang w:val="en-GB"/>
              </w:rPr>
              <w:t>Données</w:t>
            </w:r>
          </w:p>
        </w:tc>
      </w:tr>
      <w:tr w:rsidR="00F332DA" w:rsidRPr="00BD76AF" w14:paraId="3197D4E9" w14:textId="77777777" w:rsidTr="008A3C2D">
        <w:tc>
          <w:tcPr>
            <w:tcW w:w="3348" w:type="dxa"/>
            <w:tcBorders>
              <w:top w:val="single" w:sz="2" w:space="0" w:color="auto"/>
              <w:left w:val="single" w:sz="2" w:space="0" w:color="auto"/>
              <w:bottom w:val="single" w:sz="2" w:space="0" w:color="auto"/>
              <w:right w:val="single" w:sz="2" w:space="0" w:color="auto"/>
            </w:tcBorders>
          </w:tcPr>
          <w:p w14:paraId="44ABEC8D" w14:textId="77777777" w:rsidR="00F332DA" w:rsidRPr="00BD76AF" w:rsidRDefault="00F332DA" w:rsidP="0079334B">
            <w:pPr>
              <w:spacing w:before="60" w:after="60"/>
              <w:jc w:val="left"/>
              <w:rPr>
                <w:b/>
                <w:bCs/>
                <w:szCs w:val="24"/>
                <w:lang w:val="en-GB"/>
              </w:rPr>
            </w:pPr>
            <w:r w:rsidRPr="00BD76AF">
              <w:rPr>
                <w:b/>
                <w:bCs/>
                <w:szCs w:val="24"/>
                <w:lang w:val="en-GB"/>
              </w:rPr>
              <w:t>Nom de l’Emprunteur</w:t>
            </w:r>
          </w:p>
        </w:tc>
        <w:tc>
          <w:tcPr>
            <w:tcW w:w="1440" w:type="dxa"/>
            <w:tcBorders>
              <w:top w:val="single" w:sz="2" w:space="0" w:color="auto"/>
              <w:left w:val="single" w:sz="2" w:space="0" w:color="auto"/>
              <w:bottom w:val="single" w:sz="2" w:space="0" w:color="auto"/>
              <w:right w:val="single" w:sz="2" w:space="0" w:color="auto"/>
            </w:tcBorders>
          </w:tcPr>
          <w:p w14:paraId="129EC1B4" w14:textId="77777777" w:rsidR="00F332DA" w:rsidRPr="00BD76AF" w:rsidRDefault="00F332DA" w:rsidP="0079334B">
            <w:pPr>
              <w:spacing w:before="60" w:after="60"/>
              <w:jc w:val="left"/>
              <w:rPr>
                <w:szCs w:val="24"/>
                <w:lang w:val="en-GB"/>
              </w:rPr>
            </w:pPr>
            <w:r w:rsidRPr="00BD76AF">
              <w:rPr>
                <w:szCs w:val="24"/>
                <w:lang w:val="en-GB"/>
              </w:rPr>
              <w:t>1.1</w:t>
            </w:r>
          </w:p>
        </w:tc>
        <w:tc>
          <w:tcPr>
            <w:tcW w:w="4261" w:type="dxa"/>
            <w:tcBorders>
              <w:top w:val="single" w:sz="2" w:space="0" w:color="auto"/>
              <w:left w:val="single" w:sz="2" w:space="0" w:color="auto"/>
              <w:bottom w:val="single" w:sz="2" w:space="0" w:color="auto"/>
              <w:right w:val="single" w:sz="2" w:space="0" w:color="auto"/>
            </w:tcBorders>
          </w:tcPr>
          <w:p w14:paraId="6F79E01E" w14:textId="77777777" w:rsidR="00F332DA" w:rsidRPr="00BD76AF" w:rsidRDefault="00F332DA" w:rsidP="0079334B">
            <w:pPr>
              <w:tabs>
                <w:tab w:val="left" w:pos="5400"/>
              </w:tabs>
              <w:spacing w:before="60" w:after="60"/>
              <w:ind w:right="72"/>
              <w:rPr>
                <w:iCs/>
                <w:szCs w:val="24"/>
                <w:lang w:eastAsia="ja-JP"/>
              </w:rPr>
            </w:pPr>
            <w:r w:rsidRPr="00BD76AF">
              <w:rPr>
                <w:szCs w:val="24"/>
              </w:rPr>
              <w:t>[</w:t>
            </w:r>
            <w:r w:rsidRPr="00BD76AF">
              <w:rPr>
                <w:i/>
                <w:szCs w:val="24"/>
              </w:rPr>
              <w:t>indiquer</w:t>
            </w:r>
            <w:r w:rsidRPr="00BD76AF">
              <w:rPr>
                <w:i/>
                <w:szCs w:val="24"/>
                <w:lang w:eastAsia="ja-JP"/>
              </w:rPr>
              <w:t xml:space="preserve"> le nom de l’Emprunteur</w:t>
            </w:r>
            <w:r w:rsidRPr="00BD76AF">
              <w:rPr>
                <w:szCs w:val="24"/>
              </w:rPr>
              <w:t>]</w:t>
            </w:r>
          </w:p>
        </w:tc>
      </w:tr>
      <w:tr w:rsidR="00F332DA" w:rsidRPr="00BD76AF" w14:paraId="162ECEF2" w14:textId="77777777" w:rsidTr="008A3C2D">
        <w:tc>
          <w:tcPr>
            <w:tcW w:w="3348" w:type="dxa"/>
            <w:tcBorders>
              <w:top w:val="single" w:sz="2" w:space="0" w:color="auto"/>
              <w:left w:val="single" w:sz="2" w:space="0" w:color="auto"/>
              <w:bottom w:val="single" w:sz="2" w:space="0" w:color="auto"/>
              <w:right w:val="single" w:sz="2" w:space="0" w:color="auto"/>
            </w:tcBorders>
          </w:tcPr>
          <w:p w14:paraId="28CFCBC8" w14:textId="77777777" w:rsidR="00F332DA" w:rsidRPr="00BD76AF" w:rsidRDefault="00F332DA" w:rsidP="0079334B">
            <w:pPr>
              <w:spacing w:before="60" w:after="60"/>
              <w:jc w:val="left"/>
              <w:rPr>
                <w:b/>
                <w:bCs/>
                <w:szCs w:val="24"/>
              </w:rPr>
            </w:pPr>
            <w:r w:rsidRPr="00BD76AF">
              <w:rPr>
                <w:b/>
                <w:bCs/>
                <w:szCs w:val="24"/>
              </w:rPr>
              <w:t>Nom et adresse de l’Entrepreneur</w:t>
            </w:r>
          </w:p>
        </w:tc>
        <w:tc>
          <w:tcPr>
            <w:tcW w:w="1440" w:type="dxa"/>
            <w:tcBorders>
              <w:top w:val="single" w:sz="2" w:space="0" w:color="auto"/>
              <w:left w:val="single" w:sz="2" w:space="0" w:color="auto"/>
              <w:bottom w:val="single" w:sz="2" w:space="0" w:color="auto"/>
              <w:right w:val="single" w:sz="2" w:space="0" w:color="auto"/>
            </w:tcBorders>
          </w:tcPr>
          <w:p w14:paraId="46C98907" w14:textId="77777777" w:rsidR="00F332DA" w:rsidRPr="00BD76AF" w:rsidRDefault="00F332DA" w:rsidP="0079334B">
            <w:pPr>
              <w:spacing w:before="60" w:after="60"/>
              <w:jc w:val="left"/>
              <w:rPr>
                <w:szCs w:val="24"/>
                <w:lang w:val="en-GB"/>
              </w:rPr>
            </w:pPr>
            <w:r w:rsidRPr="00BD76AF">
              <w:rPr>
                <w:szCs w:val="24"/>
                <w:lang w:val="en-GB"/>
              </w:rPr>
              <w:t>1.1 &amp; 4.1</w:t>
            </w:r>
          </w:p>
        </w:tc>
        <w:tc>
          <w:tcPr>
            <w:tcW w:w="4261" w:type="dxa"/>
            <w:tcBorders>
              <w:top w:val="single" w:sz="2" w:space="0" w:color="auto"/>
              <w:left w:val="single" w:sz="2" w:space="0" w:color="auto"/>
              <w:bottom w:val="single" w:sz="2" w:space="0" w:color="auto"/>
              <w:right w:val="single" w:sz="2" w:space="0" w:color="auto"/>
            </w:tcBorders>
          </w:tcPr>
          <w:p w14:paraId="3C9AB56C" w14:textId="77777777" w:rsidR="00F332DA" w:rsidRPr="00BD76AF" w:rsidRDefault="00F332DA" w:rsidP="0079334B">
            <w:pPr>
              <w:tabs>
                <w:tab w:val="left" w:pos="5285"/>
              </w:tabs>
              <w:spacing w:before="60" w:after="60"/>
              <w:rPr>
                <w:i/>
                <w:iCs/>
                <w:szCs w:val="24"/>
                <w:lang w:eastAsia="ja-JP"/>
              </w:rPr>
            </w:pPr>
            <w:r w:rsidRPr="00BD76AF">
              <w:rPr>
                <w:iCs/>
                <w:szCs w:val="24"/>
                <w:lang w:eastAsia="ja-JP"/>
              </w:rPr>
              <w:t>[</w:t>
            </w:r>
            <w:r w:rsidRPr="00BD76AF">
              <w:rPr>
                <w:rFonts w:hint="eastAsia"/>
                <w:i/>
                <w:iCs/>
                <w:szCs w:val="24"/>
                <w:lang w:eastAsia="ja-JP"/>
              </w:rPr>
              <w:t>i</w:t>
            </w:r>
            <w:r w:rsidRPr="00BD76AF">
              <w:rPr>
                <w:i/>
                <w:iCs/>
                <w:szCs w:val="24"/>
              </w:rPr>
              <w:t>ndiquer le nom et l’adress</w:t>
            </w:r>
            <w:r w:rsidRPr="00BD76AF">
              <w:rPr>
                <w:rFonts w:hint="eastAsia"/>
                <w:i/>
                <w:iCs/>
                <w:szCs w:val="24"/>
                <w:lang w:eastAsia="ja-JP"/>
              </w:rPr>
              <w:t>e</w:t>
            </w:r>
            <w:r w:rsidRPr="00BD76AF">
              <w:rPr>
                <w:i/>
                <w:iCs/>
                <w:szCs w:val="24"/>
              </w:rPr>
              <w:t xml:space="preserve"> de l’Entrepreneur</w:t>
            </w:r>
            <w:r w:rsidRPr="00BD76AF">
              <w:rPr>
                <w:iCs/>
                <w:szCs w:val="24"/>
                <w:lang w:eastAsia="ja-JP"/>
              </w:rPr>
              <w:t>]</w:t>
            </w:r>
          </w:p>
        </w:tc>
      </w:tr>
      <w:tr w:rsidR="00F332DA" w:rsidRPr="00BD76AF" w14:paraId="528B9C45" w14:textId="77777777" w:rsidTr="008A3C2D">
        <w:tc>
          <w:tcPr>
            <w:tcW w:w="3348" w:type="dxa"/>
            <w:tcBorders>
              <w:top w:val="single" w:sz="2" w:space="0" w:color="auto"/>
              <w:left w:val="single" w:sz="2" w:space="0" w:color="auto"/>
              <w:bottom w:val="single" w:sz="2" w:space="0" w:color="auto"/>
              <w:right w:val="single" w:sz="2" w:space="0" w:color="auto"/>
            </w:tcBorders>
          </w:tcPr>
          <w:p w14:paraId="1CC5E42C" w14:textId="77777777" w:rsidR="00F332DA" w:rsidRPr="00BD76AF" w:rsidRDefault="00F332DA" w:rsidP="0079334B">
            <w:pPr>
              <w:spacing w:before="60" w:after="60"/>
              <w:jc w:val="left"/>
              <w:rPr>
                <w:b/>
                <w:bCs/>
                <w:szCs w:val="24"/>
              </w:rPr>
            </w:pPr>
            <w:r w:rsidRPr="00BD76AF">
              <w:rPr>
                <w:b/>
                <w:bCs/>
                <w:szCs w:val="24"/>
              </w:rPr>
              <w:t>Nom du Représentant de l’Entrepreneur</w:t>
            </w:r>
          </w:p>
        </w:tc>
        <w:tc>
          <w:tcPr>
            <w:tcW w:w="1440" w:type="dxa"/>
            <w:tcBorders>
              <w:top w:val="single" w:sz="2" w:space="0" w:color="auto"/>
              <w:left w:val="single" w:sz="2" w:space="0" w:color="auto"/>
              <w:bottom w:val="single" w:sz="2" w:space="0" w:color="auto"/>
              <w:right w:val="single" w:sz="2" w:space="0" w:color="auto"/>
            </w:tcBorders>
          </w:tcPr>
          <w:p w14:paraId="6ECF1FAF" w14:textId="77777777" w:rsidR="00F332DA" w:rsidRPr="00BD76AF" w:rsidRDefault="00F332DA" w:rsidP="0079334B">
            <w:pPr>
              <w:spacing w:before="60" w:after="60"/>
              <w:rPr>
                <w:szCs w:val="24"/>
                <w:lang w:val="en-GB"/>
              </w:rPr>
            </w:pPr>
            <w:r w:rsidRPr="00BD76AF">
              <w:rPr>
                <w:szCs w:val="24"/>
                <w:lang w:val="en-GB"/>
              </w:rPr>
              <w:t xml:space="preserve">1.1 </w:t>
            </w:r>
          </w:p>
        </w:tc>
        <w:tc>
          <w:tcPr>
            <w:tcW w:w="4261" w:type="dxa"/>
            <w:tcBorders>
              <w:top w:val="single" w:sz="2" w:space="0" w:color="auto"/>
              <w:left w:val="single" w:sz="2" w:space="0" w:color="auto"/>
              <w:bottom w:val="single" w:sz="2" w:space="0" w:color="auto"/>
              <w:right w:val="single" w:sz="2" w:space="0" w:color="auto"/>
            </w:tcBorders>
          </w:tcPr>
          <w:p w14:paraId="1AFF6327" w14:textId="77777777" w:rsidR="00F332DA" w:rsidRPr="00BD76AF" w:rsidRDefault="00F332DA" w:rsidP="0079334B">
            <w:pPr>
              <w:tabs>
                <w:tab w:val="left" w:pos="5400"/>
              </w:tabs>
              <w:spacing w:before="60" w:after="60"/>
              <w:ind w:right="72"/>
              <w:rPr>
                <w:szCs w:val="24"/>
              </w:rPr>
            </w:pPr>
            <w:r w:rsidRPr="00BD76AF">
              <w:rPr>
                <w:szCs w:val="24"/>
              </w:rPr>
              <w:t>[</w:t>
            </w:r>
            <w:r w:rsidRPr="00BD76AF">
              <w:rPr>
                <w:i/>
                <w:szCs w:val="24"/>
              </w:rPr>
              <w:t>indiquer le nom du Représentant de l’Entrepreneur</w:t>
            </w:r>
            <w:r w:rsidRPr="00BD76AF">
              <w:rPr>
                <w:szCs w:val="24"/>
              </w:rPr>
              <w:t>]</w:t>
            </w:r>
          </w:p>
        </w:tc>
      </w:tr>
      <w:tr w:rsidR="00F332DA" w:rsidRPr="00BD76AF" w14:paraId="1FCA129B" w14:textId="77777777" w:rsidTr="008A3C2D">
        <w:tc>
          <w:tcPr>
            <w:tcW w:w="3348" w:type="dxa"/>
            <w:tcBorders>
              <w:top w:val="single" w:sz="2" w:space="0" w:color="auto"/>
              <w:left w:val="single" w:sz="2" w:space="0" w:color="auto"/>
              <w:bottom w:val="single" w:sz="2" w:space="0" w:color="auto"/>
              <w:right w:val="single" w:sz="2" w:space="0" w:color="auto"/>
            </w:tcBorders>
          </w:tcPr>
          <w:p w14:paraId="50F6D962" w14:textId="77777777" w:rsidR="00F332DA" w:rsidRPr="00BD76AF" w:rsidRDefault="00F332DA" w:rsidP="0079334B">
            <w:pPr>
              <w:spacing w:before="60" w:after="60"/>
              <w:jc w:val="left"/>
              <w:rPr>
                <w:b/>
                <w:bCs/>
                <w:szCs w:val="24"/>
              </w:rPr>
            </w:pPr>
            <w:r w:rsidRPr="00BD76AF">
              <w:rPr>
                <w:rFonts w:hint="eastAsia"/>
                <w:b/>
                <w:bCs/>
                <w:szCs w:val="24"/>
              </w:rPr>
              <w:t xml:space="preserve">Nom et </w:t>
            </w:r>
            <w:r w:rsidRPr="00BD76AF">
              <w:rPr>
                <w:b/>
                <w:bCs/>
                <w:szCs w:val="24"/>
              </w:rPr>
              <w:t>adresse</w:t>
            </w:r>
            <w:r w:rsidRPr="00BD76AF">
              <w:rPr>
                <w:rFonts w:hint="eastAsia"/>
                <w:b/>
                <w:bCs/>
                <w:szCs w:val="24"/>
              </w:rPr>
              <w:t xml:space="preserve"> </w:t>
            </w:r>
            <w:r w:rsidRPr="00BD76AF">
              <w:rPr>
                <w:b/>
                <w:bCs/>
                <w:szCs w:val="24"/>
              </w:rPr>
              <w:t>du Maître d’ouvrage</w:t>
            </w:r>
          </w:p>
        </w:tc>
        <w:tc>
          <w:tcPr>
            <w:tcW w:w="1440" w:type="dxa"/>
            <w:tcBorders>
              <w:top w:val="single" w:sz="2" w:space="0" w:color="auto"/>
              <w:left w:val="single" w:sz="2" w:space="0" w:color="auto"/>
              <w:bottom w:val="single" w:sz="2" w:space="0" w:color="auto"/>
              <w:right w:val="single" w:sz="2" w:space="0" w:color="auto"/>
            </w:tcBorders>
          </w:tcPr>
          <w:p w14:paraId="28FE6808" w14:textId="77777777" w:rsidR="00F332DA" w:rsidRPr="00BD76AF" w:rsidRDefault="00F332DA" w:rsidP="0079334B">
            <w:pPr>
              <w:spacing w:before="60" w:after="60"/>
              <w:rPr>
                <w:szCs w:val="24"/>
                <w:lang w:val="en-GB"/>
              </w:rPr>
            </w:pPr>
            <w:r w:rsidRPr="00BD76AF">
              <w:rPr>
                <w:szCs w:val="24"/>
                <w:lang w:val="en-GB"/>
              </w:rPr>
              <w:t>1.1 &amp; 4.1</w:t>
            </w:r>
          </w:p>
        </w:tc>
        <w:tc>
          <w:tcPr>
            <w:tcW w:w="4261" w:type="dxa"/>
            <w:tcBorders>
              <w:top w:val="single" w:sz="2" w:space="0" w:color="auto"/>
              <w:left w:val="single" w:sz="2" w:space="0" w:color="auto"/>
              <w:bottom w:val="single" w:sz="2" w:space="0" w:color="auto"/>
              <w:right w:val="single" w:sz="2" w:space="0" w:color="auto"/>
            </w:tcBorders>
          </w:tcPr>
          <w:p w14:paraId="42E9D62B" w14:textId="77777777" w:rsidR="00F332DA" w:rsidRPr="00BD76AF" w:rsidRDefault="00F332DA" w:rsidP="0079334B">
            <w:pPr>
              <w:tabs>
                <w:tab w:val="left" w:pos="5400"/>
              </w:tabs>
              <w:spacing w:before="60" w:after="60"/>
              <w:ind w:right="72"/>
              <w:rPr>
                <w:szCs w:val="24"/>
              </w:rPr>
            </w:pPr>
            <w:r w:rsidRPr="00BD76AF">
              <w:rPr>
                <w:iCs/>
                <w:szCs w:val="24"/>
                <w:lang w:eastAsia="ja-JP"/>
              </w:rPr>
              <w:t>[</w:t>
            </w:r>
            <w:r w:rsidRPr="00BD76AF">
              <w:rPr>
                <w:rFonts w:hint="eastAsia"/>
                <w:i/>
                <w:iCs/>
                <w:szCs w:val="24"/>
                <w:lang w:eastAsia="ja-JP"/>
              </w:rPr>
              <w:t>i</w:t>
            </w:r>
            <w:r w:rsidRPr="00BD76AF">
              <w:rPr>
                <w:i/>
                <w:iCs/>
                <w:szCs w:val="24"/>
              </w:rPr>
              <w:t>ndiquer le nom et l’adresse du Maître d’ouvrage</w:t>
            </w:r>
            <w:r w:rsidRPr="00BD76AF">
              <w:rPr>
                <w:iCs/>
                <w:szCs w:val="24"/>
                <w:lang w:eastAsia="ja-JP"/>
              </w:rPr>
              <w:t>]</w:t>
            </w:r>
          </w:p>
        </w:tc>
      </w:tr>
      <w:tr w:rsidR="00F332DA" w:rsidRPr="00BD76AF" w14:paraId="007B250E" w14:textId="77777777" w:rsidTr="008A3C2D">
        <w:tc>
          <w:tcPr>
            <w:tcW w:w="3348" w:type="dxa"/>
            <w:tcBorders>
              <w:top w:val="single" w:sz="2" w:space="0" w:color="auto"/>
              <w:left w:val="single" w:sz="2" w:space="0" w:color="auto"/>
              <w:bottom w:val="single" w:sz="2" w:space="0" w:color="auto"/>
              <w:right w:val="single" w:sz="2" w:space="0" w:color="auto"/>
            </w:tcBorders>
          </w:tcPr>
          <w:p w14:paraId="263875C3" w14:textId="77777777" w:rsidR="00F332DA" w:rsidRPr="00BD76AF" w:rsidRDefault="00F332DA" w:rsidP="0079334B">
            <w:pPr>
              <w:spacing w:before="60" w:after="60"/>
              <w:jc w:val="left"/>
              <w:rPr>
                <w:b/>
                <w:bCs/>
                <w:szCs w:val="24"/>
                <w:lang w:eastAsia="ja-JP"/>
              </w:rPr>
            </w:pPr>
            <w:r w:rsidRPr="00BD76AF">
              <w:rPr>
                <w:rFonts w:hint="eastAsia"/>
                <w:b/>
                <w:bCs/>
                <w:szCs w:val="24"/>
                <w:lang w:eastAsia="ja-JP"/>
              </w:rPr>
              <w:t>N</w:t>
            </w:r>
            <w:r w:rsidRPr="00BD76AF">
              <w:rPr>
                <w:b/>
                <w:bCs/>
                <w:szCs w:val="24"/>
                <w:lang w:eastAsia="ja-JP"/>
              </w:rPr>
              <w:t>om et adresse du Directeur de projet</w:t>
            </w:r>
          </w:p>
        </w:tc>
        <w:tc>
          <w:tcPr>
            <w:tcW w:w="1440" w:type="dxa"/>
            <w:tcBorders>
              <w:top w:val="single" w:sz="2" w:space="0" w:color="auto"/>
              <w:left w:val="single" w:sz="2" w:space="0" w:color="auto"/>
              <w:bottom w:val="single" w:sz="2" w:space="0" w:color="auto"/>
              <w:right w:val="single" w:sz="2" w:space="0" w:color="auto"/>
            </w:tcBorders>
          </w:tcPr>
          <w:p w14:paraId="5F0A8F2E" w14:textId="77777777" w:rsidR="00F332DA" w:rsidRPr="00BD76AF" w:rsidRDefault="00F332DA" w:rsidP="0079334B">
            <w:pPr>
              <w:spacing w:before="60" w:after="60"/>
              <w:rPr>
                <w:szCs w:val="24"/>
                <w:lang w:val="en-GB"/>
              </w:rPr>
            </w:pPr>
            <w:r w:rsidRPr="00BD76AF">
              <w:rPr>
                <w:szCs w:val="24"/>
                <w:lang w:val="en-US" w:eastAsia="ja-JP"/>
              </w:rPr>
              <w:t>1.1 &amp; 4.1</w:t>
            </w:r>
          </w:p>
        </w:tc>
        <w:tc>
          <w:tcPr>
            <w:tcW w:w="4261" w:type="dxa"/>
            <w:tcBorders>
              <w:top w:val="single" w:sz="2" w:space="0" w:color="auto"/>
              <w:left w:val="single" w:sz="2" w:space="0" w:color="auto"/>
              <w:bottom w:val="single" w:sz="2" w:space="0" w:color="auto"/>
              <w:right w:val="single" w:sz="2" w:space="0" w:color="auto"/>
            </w:tcBorders>
          </w:tcPr>
          <w:p w14:paraId="3323D3A5" w14:textId="77777777" w:rsidR="00F332DA" w:rsidRPr="00BD76AF" w:rsidRDefault="00F332DA" w:rsidP="0079334B">
            <w:pPr>
              <w:tabs>
                <w:tab w:val="left" w:pos="5400"/>
              </w:tabs>
              <w:spacing w:before="60" w:after="60"/>
              <w:ind w:right="72"/>
              <w:rPr>
                <w:szCs w:val="24"/>
              </w:rPr>
            </w:pPr>
            <w:r w:rsidRPr="00BD76AF">
              <w:rPr>
                <w:iCs/>
                <w:szCs w:val="24"/>
                <w:lang w:eastAsia="ja-JP"/>
              </w:rPr>
              <w:t>[</w:t>
            </w:r>
            <w:r w:rsidRPr="00BD76AF">
              <w:rPr>
                <w:rFonts w:hint="eastAsia"/>
                <w:i/>
                <w:iCs/>
                <w:szCs w:val="24"/>
                <w:lang w:eastAsia="ja-JP"/>
              </w:rPr>
              <w:t>i</w:t>
            </w:r>
            <w:r w:rsidRPr="00BD76AF">
              <w:rPr>
                <w:i/>
                <w:iCs/>
                <w:szCs w:val="24"/>
              </w:rPr>
              <w:t>ndiquer le nom et l’adresse du Directeur de projet</w:t>
            </w:r>
            <w:r w:rsidRPr="00BD76AF">
              <w:rPr>
                <w:iCs/>
                <w:szCs w:val="24"/>
                <w:lang w:eastAsia="ja-JP"/>
              </w:rPr>
              <w:t>]</w:t>
            </w:r>
          </w:p>
        </w:tc>
      </w:tr>
      <w:tr w:rsidR="00F332DA" w:rsidRPr="00BD76AF" w14:paraId="161B071F" w14:textId="77777777" w:rsidTr="008A3C2D">
        <w:tc>
          <w:tcPr>
            <w:tcW w:w="3348" w:type="dxa"/>
            <w:tcBorders>
              <w:top w:val="single" w:sz="2" w:space="0" w:color="auto"/>
              <w:left w:val="single" w:sz="2" w:space="0" w:color="auto"/>
              <w:bottom w:val="single" w:sz="2" w:space="0" w:color="auto"/>
              <w:right w:val="single" w:sz="2" w:space="0" w:color="auto"/>
            </w:tcBorders>
          </w:tcPr>
          <w:p w14:paraId="0F4941D6" w14:textId="77777777" w:rsidR="00F332DA" w:rsidRPr="00BD76AF" w:rsidRDefault="00F332DA" w:rsidP="0079334B">
            <w:pPr>
              <w:spacing w:before="60" w:after="60"/>
              <w:jc w:val="left"/>
              <w:rPr>
                <w:b/>
                <w:bCs/>
                <w:szCs w:val="24"/>
                <w:lang w:val="en-GB" w:eastAsia="ja-JP"/>
              </w:rPr>
            </w:pPr>
            <w:r w:rsidRPr="00BD76AF">
              <w:rPr>
                <w:rFonts w:hint="eastAsia"/>
                <w:b/>
                <w:bCs/>
                <w:szCs w:val="24"/>
                <w:lang w:val="en-GB" w:eastAsia="ja-JP"/>
              </w:rPr>
              <w:t>Tran</w:t>
            </w:r>
            <w:r w:rsidRPr="00BD76AF">
              <w:rPr>
                <w:b/>
                <w:bCs/>
                <w:szCs w:val="24"/>
                <w:lang w:val="en-GB" w:eastAsia="ja-JP"/>
              </w:rPr>
              <w:t>ches des Installations</w:t>
            </w:r>
          </w:p>
        </w:tc>
        <w:tc>
          <w:tcPr>
            <w:tcW w:w="1440" w:type="dxa"/>
            <w:tcBorders>
              <w:top w:val="single" w:sz="2" w:space="0" w:color="auto"/>
              <w:left w:val="single" w:sz="2" w:space="0" w:color="auto"/>
              <w:bottom w:val="single" w:sz="2" w:space="0" w:color="auto"/>
              <w:right w:val="single" w:sz="2" w:space="0" w:color="auto"/>
            </w:tcBorders>
          </w:tcPr>
          <w:p w14:paraId="086F679E" w14:textId="77777777" w:rsidR="00F332DA" w:rsidRPr="00BD76AF" w:rsidRDefault="00F332DA" w:rsidP="0079334B">
            <w:pPr>
              <w:spacing w:before="60" w:after="60"/>
              <w:rPr>
                <w:szCs w:val="24"/>
                <w:lang w:val="en-US" w:eastAsia="ja-JP"/>
              </w:rPr>
            </w:pPr>
            <w:r w:rsidRPr="00BD76AF">
              <w:rPr>
                <w:szCs w:val="24"/>
                <w:lang w:val="en-GB"/>
              </w:rPr>
              <w:t>1.1</w:t>
            </w:r>
          </w:p>
        </w:tc>
        <w:tc>
          <w:tcPr>
            <w:tcW w:w="4261" w:type="dxa"/>
            <w:tcBorders>
              <w:top w:val="single" w:sz="2" w:space="0" w:color="auto"/>
              <w:left w:val="single" w:sz="2" w:space="0" w:color="auto"/>
              <w:bottom w:val="single" w:sz="2" w:space="0" w:color="auto"/>
              <w:right w:val="single" w:sz="2" w:space="0" w:color="auto"/>
            </w:tcBorders>
          </w:tcPr>
          <w:p w14:paraId="34E6D235" w14:textId="77777777" w:rsidR="00F332DA" w:rsidRPr="00BD76AF" w:rsidRDefault="00F332DA" w:rsidP="0079334B">
            <w:pPr>
              <w:tabs>
                <w:tab w:val="left" w:pos="5400"/>
              </w:tabs>
              <w:spacing w:before="60" w:after="60"/>
              <w:ind w:right="72"/>
              <w:rPr>
                <w:i/>
                <w:iCs/>
                <w:szCs w:val="24"/>
                <w:lang w:eastAsia="ja-JP"/>
              </w:rPr>
            </w:pPr>
            <w:r w:rsidRPr="00BD76AF">
              <w:rPr>
                <w:rFonts w:hint="eastAsia"/>
                <w:iCs/>
                <w:szCs w:val="24"/>
                <w:lang w:eastAsia="ja-JP"/>
              </w:rPr>
              <w:t>[</w:t>
            </w:r>
            <w:r w:rsidRPr="00BD76AF">
              <w:rPr>
                <w:i/>
                <w:iCs/>
                <w:szCs w:val="24"/>
              </w:rPr>
              <w:t xml:space="preserve">Si les ouvrages sont scindés en Tranches, </w:t>
            </w:r>
            <w:r w:rsidRPr="00BD76AF">
              <w:rPr>
                <w:i/>
                <w:iCs/>
                <w:szCs w:val="24"/>
                <w:lang w:eastAsia="ja-JP"/>
              </w:rPr>
              <w:t>indiquer « Se référer au Tableau 1</w:t>
            </w:r>
            <w:r w:rsidRPr="00BD76AF">
              <w:rPr>
                <w:i/>
                <w:iCs/>
                <w:sz w:val="28"/>
                <w:szCs w:val="24"/>
                <w:lang w:eastAsia="ja-JP"/>
              </w:rPr>
              <w:t> </w:t>
            </w:r>
            <w:r w:rsidRPr="00BD76AF">
              <w:rPr>
                <w:i/>
                <w:iCs/>
                <w:szCs w:val="24"/>
                <w:lang w:eastAsia="ja-JP"/>
              </w:rPr>
              <w:t>: Résumé des Tranches ». Sinon, supprimer entièrement cet Article 1.1 des DM</w:t>
            </w:r>
            <w:r w:rsidRPr="00BD76AF">
              <w:rPr>
                <w:iCs/>
                <w:szCs w:val="24"/>
                <w:lang w:val="en-GB" w:eastAsia="ja-JP"/>
              </w:rPr>
              <w:t>.]</w:t>
            </w:r>
          </w:p>
        </w:tc>
      </w:tr>
      <w:tr w:rsidR="00F332DA" w:rsidRPr="00BD76AF" w14:paraId="2CC048FA" w14:textId="77777777" w:rsidTr="008A3C2D">
        <w:tc>
          <w:tcPr>
            <w:tcW w:w="3348" w:type="dxa"/>
            <w:tcBorders>
              <w:top w:val="single" w:sz="2" w:space="0" w:color="auto"/>
              <w:left w:val="single" w:sz="2" w:space="0" w:color="auto"/>
              <w:bottom w:val="single" w:sz="2" w:space="0" w:color="auto"/>
              <w:right w:val="single" w:sz="2" w:space="0" w:color="auto"/>
            </w:tcBorders>
          </w:tcPr>
          <w:p w14:paraId="25ECF383" w14:textId="77777777" w:rsidR="00F332DA" w:rsidRPr="00BD76AF" w:rsidRDefault="00F332DA" w:rsidP="0079334B">
            <w:pPr>
              <w:spacing w:before="60" w:after="60"/>
              <w:jc w:val="left"/>
              <w:rPr>
                <w:b/>
                <w:bCs/>
                <w:szCs w:val="24"/>
                <w:lang w:eastAsia="ja-JP"/>
              </w:rPr>
            </w:pPr>
            <w:r w:rsidRPr="00BD76AF">
              <w:rPr>
                <w:rFonts w:hint="eastAsia"/>
                <w:b/>
                <w:bCs/>
                <w:szCs w:val="24"/>
                <w:lang w:eastAsia="ja-JP"/>
              </w:rPr>
              <w:t xml:space="preserve">Droit </w:t>
            </w:r>
            <w:r w:rsidRPr="00BD76AF">
              <w:rPr>
                <w:b/>
                <w:bCs/>
                <w:szCs w:val="24"/>
                <w:lang w:eastAsia="ja-JP"/>
              </w:rPr>
              <w:t>applicable au Marché et utilisé pour son interprétation</w:t>
            </w:r>
          </w:p>
        </w:tc>
        <w:tc>
          <w:tcPr>
            <w:tcW w:w="1440" w:type="dxa"/>
            <w:tcBorders>
              <w:top w:val="single" w:sz="2" w:space="0" w:color="auto"/>
              <w:left w:val="single" w:sz="2" w:space="0" w:color="auto"/>
              <w:bottom w:val="single" w:sz="2" w:space="0" w:color="auto"/>
              <w:right w:val="single" w:sz="2" w:space="0" w:color="auto"/>
            </w:tcBorders>
          </w:tcPr>
          <w:p w14:paraId="0E46B01D" w14:textId="77777777" w:rsidR="00F332DA" w:rsidRPr="00BD76AF" w:rsidRDefault="00F332DA" w:rsidP="0079334B">
            <w:pPr>
              <w:spacing w:before="60" w:after="60"/>
              <w:rPr>
                <w:szCs w:val="24"/>
                <w:lang w:val="en-US" w:eastAsia="ja-JP"/>
              </w:rPr>
            </w:pPr>
            <w:r w:rsidRPr="00BD76AF">
              <w:rPr>
                <w:szCs w:val="24"/>
                <w:lang w:val="en-GB"/>
              </w:rPr>
              <w:t>5.1</w:t>
            </w:r>
          </w:p>
        </w:tc>
        <w:tc>
          <w:tcPr>
            <w:tcW w:w="4261" w:type="dxa"/>
            <w:tcBorders>
              <w:top w:val="single" w:sz="2" w:space="0" w:color="auto"/>
              <w:left w:val="single" w:sz="2" w:space="0" w:color="auto"/>
              <w:bottom w:val="single" w:sz="2" w:space="0" w:color="auto"/>
              <w:right w:val="single" w:sz="2" w:space="0" w:color="auto"/>
            </w:tcBorders>
          </w:tcPr>
          <w:p w14:paraId="48DEF741" w14:textId="77777777" w:rsidR="00F332DA" w:rsidRPr="00BD76AF" w:rsidRDefault="00F332DA" w:rsidP="00F00F8E">
            <w:pPr>
              <w:tabs>
                <w:tab w:val="left" w:pos="5400"/>
              </w:tabs>
              <w:spacing w:before="60" w:after="60"/>
              <w:ind w:right="72"/>
              <w:rPr>
                <w:iCs/>
                <w:szCs w:val="24"/>
                <w:lang w:eastAsia="ja-JP"/>
              </w:rPr>
            </w:pPr>
            <w:r w:rsidRPr="00BD76AF">
              <w:rPr>
                <w:rFonts w:hint="eastAsia"/>
                <w:iCs/>
                <w:szCs w:val="24"/>
                <w:lang w:eastAsia="ja-JP"/>
              </w:rPr>
              <w:t>Droit</w:t>
            </w:r>
            <w:r w:rsidRPr="00BD76AF">
              <w:rPr>
                <w:iCs/>
                <w:szCs w:val="24"/>
                <w:lang w:eastAsia="ja-JP"/>
              </w:rPr>
              <w:t xml:space="preserve"> [</w:t>
            </w:r>
            <w:r w:rsidRPr="00BD76AF">
              <w:rPr>
                <w:rFonts w:hint="eastAsia"/>
                <w:i/>
                <w:iCs/>
                <w:szCs w:val="24"/>
                <w:lang w:eastAsia="ja-JP"/>
              </w:rPr>
              <w:t>i</w:t>
            </w:r>
            <w:r w:rsidRPr="00BD76AF">
              <w:rPr>
                <w:i/>
                <w:iCs/>
                <w:szCs w:val="24"/>
              </w:rPr>
              <w:t>ndiquer le pays</w:t>
            </w:r>
            <w:r w:rsidRPr="00BD76AF">
              <w:rPr>
                <w:iCs/>
                <w:szCs w:val="24"/>
                <w:lang w:eastAsia="ja-JP"/>
              </w:rPr>
              <w:t>]</w:t>
            </w:r>
          </w:p>
        </w:tc>
      </w:tr>
      <w:tr w:rsidR="00F332DA" w:rsidRPr="00BD76AF" w14:paraId="6E300752" w14:textId="77777777" w:rsidTr="008A3C2D">
        <w:tc>
          <w:tcPr>
            <w:tcW w:w="3348" w:type="dxa"/>
            <w:tcBorders>
              <w:top w:val="single" w:sz="2" w:space="0" w:color="auto"/>
              <w:left w:val="single" w:sz="2" w:space="0" w:color="auto"/>
              <w:bottom w:val="single" w:sz="2" w:space="0" w:color="auto"/>
              <w:right w:val="single" w:sz="2" w:space="0" w:color="auto"/>
            </w:tcBorders>
          </w:tcPr>
          <w:p w14:paraId="67BC5E35" w14:textId="77777777" w:rsidR="00F332DA" w:rsidRPr="00BD76AF" w:rsidRDefault="00F332DA" w:rsidP="0079334B">
            <w:pPr>
              <w:spacing w:before="60" w:after="60"/>
              <w:jc w:val="left"/>
              <w:rPr>
                <w:b/>
                <w:bCs/>
                <w:szCs w:val="24"/>
                <w:lang w:val="en-GB" w:eastAsia="ja-JP"/>
              </w:rPr>
            </w:pPr>
            <w:r w:rsidRPr="00BD76AF">
              <w:rPr>
                <w:b/>
                <w:bCs/>
                <w:szCs w:val="24"/>
                <w:lang w:val="en-GB" w:eastAsia="ja-JP"/>
              </w:rPr>
              <w:t>Langue faisant foi</w:t>
            </w:r>
          </w:p>
        </w:tc>
        <w:tc>
          <w:tcPr>
            <w:tcW w:w="1440" w:type="dxa"/>
            <w:tcBorders>
              <w:top w:val="single" w:sz="2" w:space="0" w:color="auto"/>
              <w:left w:val="single" w:sz="2" w:space="0" w:color="auto"/>
              <w:bottom w:val="single" w:sz="2" w:space="0" w:color="auto"/>
              <w:right w:val="single" w:sz="2" w:space="0" w:color="auto"/>
            </w:tcBorders>
          </w:tcPr>
          <w:p w14:paraId="40770AB8" w14:textId="77777777" w:rsidR="00F332DA" w:rsidRPr="00BD76AF" w:rsidRDefault="00F332DA" w:rsidP="0079334B">
            <w:pPr>
              <w:spacing w:before="60" w:after="60"/>
              <w:rPr>
                <w:szCs w:val="24"/>
                <w:lang w:val="en-US" w:eastAsia="ja-JP"/>
              </w:rPr>
            </w:pPr>
            <w:r w:rsidRPr="00BD76AF">
              <w:rPr>
                <w:szCs w:val="24"/>
                <w:lang w:val="en-GB"/>
              </w:rPr>
              <w:t>5.2</w:t>
            </w:r>
          </w:p>
        </w:tc>
        <w:tc>
          <w:tcPr>
            <w:tcW w:w="4261" w:type="dxa"/>
            <w:tcBorders>
              <w:top w:val="single" w:sz="2" w:space="0" w:color="auto"/>
              <w:left w:val="single" w:sz="2" w:space="0" w:color="auto"/>
              <w:bottom w:val="single" w:sz="2" w:space="0" w:color="auto"/>
              <w:right w:val="single" w:sz="2" w:space="0" w:color="auto"/>
            </w:tcBorders>
          </w:tcPr>
          <w:p w14:paraId="31E30B2A" w14:textId="77777777" w:rsidR="00F332DA" w:rsidRPr="00BD76AF" w:rsidRDefault="00F332DA" w:rsidP="0079334B">
            <w:pPr>
              <w:tabs>
                <w:tab w:val="left" w:pos="5400"/>
              </w:tabs>
              <w:spacing w:before="60" w:after="60"/>
              <w:ind w:right="72"/>
              <w:rPr>
                <w:iCs/>
                <w:szCs w:val="24"/>
                <w:lang w:eastAsia="ja-JP"/>
              </w:rPr>
            </w:pPr>
            <w:r w:rsidRPr="00BD76AF">
              <w:rPr>
                <w:iCs/>
                <w:szCs w:val="24"/>
                <w:lang w:eastAsia="ja-JP"/>
              </w:rPr>
              <w:t>[</w:t>
            </w:r>
            <w:r w:rsidRPr="00BD76AF">
              <w:rPr>
                <w:i/>
                <w:iCs/>
                <w:szCs w:val="24"/>
                <w:lang w:eastAsia="ja-JP"/>
              </w:rPr>
              <w:t>indiquer le nom de la langue faisant foi</w:t>
            </w:r>
            <w:r w:rsidRPr="00BD76AF">
              <w:rPr>
                <w:iCs/>
                <w:szCs w:val="24"/>
                <w:lang w:eastAsia="ja-JP"/>
              </w:rPr>
              <w:t>]</w:t>
            </w:r>
          </w:p>
        </w:tc>
      </w:tr>
      <w:tr w:rsidR="00F332DA" w:rsidRPr="00BD76AF" w14:paraId="47119C32" w14:textId="77777777" w:rsidTr="008A3C2D">
        <w:tc>
          <w:tcPr>
            <w:tcW w:w="3348" w:type="dxa"/>
            <w:tcBorders>
              <w:top w:val="single" w:sz="2" w:space="0" w:color="auto"/>
              <w:left w:val="single" w:sz="2" w:space="0" w:color="auto"/>
              <w:bottom w:val="single" w:sz="2" w:space="0" w:color="auto"/>
              <w:right w:val="single" w:sz="2" w:space="0" w:color="auto"/>
            </w:tcBorders>
          </w:tcPr>
          <w:p w14:paraId="4395D66A" w14:textId="77777777" w:rsidR="00F332DA" w:rsidRPr="00BD76AF" w:rsidRDefault="00F332DA" w:rsidP="0079334B">
            <w:pPr>
              <w:spacing w:before="60" w:after="60"/>
              <w:jc w:val="left"/>
              <w:rPr>
                <w:b/>
                <w:bCs/>
                <w:szCs w:val="24"/>
                <w:lang w:val="en-GB" w:eastAsia="ja-JP"/>
              </w:rPr>
            </w:pPr>
            <w:r w:rsidRPr="00BD76AF">
              <w:rPr>
                <w:b/>
                <w:bCs/>
                <w:szCs w:val="24"/>
                <w:lang w:val="en-GB" w:eastAsia="ja-JP"/>
              </w:rPr>
              <w:t>Langue de communication</w:t>
            </w:r>
          </w:p>
        </w:tc>
        <w:tc>
          <w:tcPr>
            <w:tcW w:w="1440" w:type="dxa"/>
            <w:tcBorders>
              <w:top w:val="single" w:sz="2" w:space="0" w:color="auto"/>
              <w:left w:val="single" w:sz="2" w:space="0" w:color="auto"/>
              <w:bottom w:val="single" w:sz="2" w:space="0" w:color="auto"/>
              <w:right w:val="single" w:sz="2" w:space="0" w:color="auto"/>
            </w:tcBorders>
          </w:tcPr>
          <w:p w14:paraId="664F83A3" w14:textId="77777777" w:rsidR="00F332DA" w:rsidRPr="00BD76AF" w:rsidRDefault="00F332DA" w:rsidP="0079334B">
            <w:pPr>
              <w:spacing w:before="60" w:after="60"/>
              <w:rPr>
                <w:szCs w:val="24"/>
                <w:lang w:val="en-US" w:eastAsia="ja-JP"/>
              </w:rPr>
            </w:pPr>
            <w:r w:rsidRPr="00BD76AF">
              <w:rPr>
                <w:szCs w:val="24"/>
                <w:lang w:val="en-GB"/>
              </w:rPr>
              <w:t>5.3</w:t>
            </w:r>
          </w:p>
        </w:tc>
        <w:tc>
          <w:tcPr>
            <w:tcW w:w="4261" w:type="dxa"/>
            <w:tcBorders>
              <w:top w:val="single" w:sz="2" w:space="0" w:color="auto"/>
              <w:left w:val="single" w:sz="2" w:space="0" w:color="auto"/>
              <w:bottom w:val="single" w:sz="2" w:space="0" w:color="auto"/>
              <w:right w:val="single" w:sz="2" w:space="0" w:color="auto"/>
            </w:tcBorders>
          </w:tcPr>
          <w:p w14:paraId="1379E9F8" w14:textId="77777777" w:rsidR="00F332DA" w:rsidRPr="00BD76AF" w:rsidRDefault="00F332DA" w:rsidP="0079334B">
            <w:pPr>
              <w:tabs>
                <w:tab w:val="left" w:pos="5400"/>
              </w:tabs>
              <w:spacing w:before="60" w:after="60"/>
              <w:ind w:right="72"/>
              <w:rPr>
                <w:iCs/>
                <w:szCs w:val="24"/>
                <w:lang w:val="en-GB" w:eastAsia="ja-JP"/>
              </w:rPr>
            </w:pPr>
            <w:r w:rsidRPr="00BD76AF">
              <w:rPr>
                <w:iCs/>
              </w:rPr>
              <w:t>[</w:t>
            </w:r>
            <w:r w:rsidRPr="00BD76AF">
              <w:rPr>
                <w:i/>
                <w:iCs/>
              </w:rPr>
              <w:t>Indiquer le nom de la langue si elle est différente de la langue faisant foi.</w:t>
            </w:r>
            <w:r w:rsidRPr="00BD76AF">
              <w:t xml:space="preserve"> </w:t>
            </w:r>
            <w:r w:rsidRPr="00BD76AF">
              <w:rPr>
                <w:i/>
                <w:iCs/>
              </w:rPr>
              <w:t>Sinon, supprimer entièrement cet Article 5.3 des DM.</w:t>
            </w:r>
            <w:r w:rsidRPr="00BD76AF">
              <w:rPr>
                <w:iCs/>
              </w:rPr>
              <w:t>]</w:t>
            </w:r>
          </w:p>
        </w:tc>
      </w:tr>
      <w:tr w:rsidR="00F332DA" w:rsidRPr="00BD76AF" w14:paraId="57485E17" w14:textId="77777777" w:rsidTr="008A3C2D">
        <w:tc>
          <w:tcPr>
            <w:tcW w:w="3348" w:type="dxa"/>
            <w:tcBorders>
              <w:top w:val="single" w:sz="2" w:space="0" w:color="auto"/>
              <w:left w:val="single" w:sz="2" w:space="0" w:color="auto"/>
              <w:bottom w:val="single" w:sz="2" w:space="0" w:color="auto"/>
              <w:right w:val="single" w:sz="2" w:space="0" w:color="auto"/>
            </w:tcBorders>
          </w:tcPr>
          <w:p w14:paraId="09A2007C" w14:textId="77777777" w:rsidR="00F332DA" w:rsidRPr="00BD76AF" w:rsidRDefault="00F332DA" w:rsidP="0079334B">
            <w:pPr>
              <w:spacing w:before="60" w:after="60"/>
              <w:jc w:val="left"/>
              <w:rPr>
                <w:b/>
                <w:bCs/>
                <w:szCs w:val="24"/>
                <w:lang w:eastAsia="ja-JP"/>
              </w:rPr>
            </w:pPr>
            <w:r w:rsidRPr="00BD76AF">
              <w:rPr>
                <w:b/>
                <w:bCs/>
                <w:szCs w:val="24"/>
                <w:lang w:eastAsia="ja-JP"/>
              </w:rPr>
              <w:t>Période de fourniture des pièces de rechange (pièces de rechange obligatoires et pièces de rechange recommandées)</w:t>
            </w:r>
          </w:p>
        </w:tc>
        <w:tc>
          <w:tcPr>
            <w:tcW w:w="1440" w:type="dxa"/>
            <w:tcBorders>
              <w:top w:val="single" w:sz="2" w:space="0" w:color="auto"/>
              <w:left w:val="single" w:sz="2" w:space="0" w:color="auto"/>
              <w:bottom w:val="single" w:sz="2" w:space="0" w:color="auto"/>
              <w:right w:val="single" w:sz="2" w:space="0" w:color="auto"/>
            </w:tcBorders>
          </w:tcPr>
          <w:p w14:paraId="26F9521E" w14:textId="77777777" w:rsidR="00F332DA" w:rsidRPr="00BD76AF" w:rsidRDefault="00F332DA" w:rsidP="0079334B">
            <w:pPr>
              <w:spacing w:before="60" w:after="60"/>
              <w:rPr>
                <w:szCs w:val="24"/>
                <w:lang w:val="en-US" w:eastAsia="ja-JP"/>
              </w:rPr>
            </w:pPr>
            <w:r w:rsidRPr="00BD76AF">
              <w:rPr>
                <w:rFonts w:hint="eastAsia"/>
                <w:szCs w:val="24"/>
                <w:lang w:val="en-GB" w:eastAsia="ja-JP"/>
              </w:rPr>
              <w:t>7.3</w:t>
            </w:r>
            <w:r w:rsidRPr="00BD76AF">
              <w:rPr>
                <w:szCs w:val="24"/>
                <w:lang w:val="en-GB" w:eastAsia="ja-JP"/>
              </w:rPr>
              <w:t xml:space="preserve"> a) et b)</w:t>
            </w:r>
          </w:p>
        </w:tc>
        <w:tc>
          <w:tcPr>
            <w:tcW w:w="4261" w:type="dxa"/>
            <w:tcBorders>
              <w:top w:val="single" w:sz="2" w:space="0" w:color="auto"/>
              <w:left w:val="single" w:sz="2" w:space="0" w:color="auto"/>
              <w:bottom w:val="single" w:sz="2" w:space="0" w:color="auto"/>
              <w:right w:val="single" w:sz="2" w:space="0" w:color="auto"/>
            </w:tcBorders>
          </w:tcPr>
          <w:p w14:paraId="45CFFDCC" w14:textId="77777777" w:rsidR="00F332DA" w:rsidRPr="00BD76AF" w:rsidRDefault="00F332DA" w:rsidP="0079334B">
            <w:pPr>
              <w:tabs>
                <w:tab w:val="left" w:pos="5400"/>
              </w:tabs>
              <w:spacing w:before="60" w:after="60"/>
              <w:ind w:right="72"/>
              <w:rPr>
                <w:iCs/>
                <w:szCs w:val="24"/>
                <w:lang w:eastAsia="ja-JP"/>
              </w:rPr>
            </w:pPr>
            <w:r w:rsidRPr="00BD76AF">
              <w:t>[</w:t>
            </w:r>
            <w:r w:rsidRPr="00BD76AF">
              <w:rPr>
                <w:i/>
              </w:rPr>
              <w:t>Indiquer le nombre d’années après la Réception opérationnelle, pendant lequel l’Entrepreneur doit mettre à disposition toutes les pièces de rechange, les outils spéciaux, etc. Le nombre d’années doit être cohérent avec IS 16.2(b) dans le cas d’une procédure à une étape-deux enveloppes et IS 14.2(b) dans le cas d’une procédure à deux étapes-une enveloppe.</w:t>
            </w:r>
            <w:r w:rsidRPr="00BD76AF">
              <w:rPr>
                <w:rFonts w:hint="eastAsia"/>
                <w:lang w:eastAsia="ja-JP"/>
              </w:rPr>
              <w:t>]</w:t>
            </w:r>
          </w:p>
        </w:tc>
      </w:tr>
      <w:tr w:rsidR="00F332DA" w:rsidRPr="00BD76AF" w14:paraId="05A72B5E" w14:textId="77777777" w:rsidTr="008A3C2D">
        <w:tc>
          <w:tcPr>
            <w:tcW w:w="3348" w:type="dxa"/>
            <w:tcBorders>
              <w:top w:val="single" w:sz="2" w:space="0" w:color="auto"/>
              <w:left w:val="single" w:sz="2" w:space="0" w:color="auto"/>
              <w:bottom w:val="single" w:sz="2" w:space="0" w:color="auto"/>
              <w:right w:val="single" w:sz="2" w:space="0" w:color="auto"/>
            </w:tcBorders>
          </w:tcPr>
          <w:p w14:paraId="0E4E702D" w14:textId="77777777" w:rsidR="00F332DA" w:rsidRPr="00BD76AF" w:rsidRDefault="00F332DA" w:rsidP="0079334B">
            <w:pPr>
              <w:spacing w:before="60" w:after="60"/>
              <w:jc w:val="left"/>
              <w:rPr>
                <w:b/>
                <w:bCs/>
                <w:szCs w:val="24"/>
                <w:lang w:val="en-GB" w:eastAsia="ja-JP"/>
              </w:rPr>
            </w:pPr>
            <w:r w:rsidRPr="00BD76AF">
              <w:rPr>
                <w:rFonts w:hint="eastAsia"/>
                <w:b/>
                <w:bCs/>
                <w:szCs w:val="24"/>
                <w:lang w:val="en-GB" w:eastAsia="ja-JP"/>
              </w:rPr>
              <w:t>Commencement</w:t>
            </w:r>
          </w:p>
        </w:tc>
        <w:tc>
          <w:tcPr>
            <w:tcW w:w="1440" w:type="dxa"/>
            <w:tcBorders>
              <w:top w:val="single" w:sz="2" w:space="0" w:color="auto"/>
              <w:left w:val="single" w:sz="2" w:space="0" w:color="auto"/>
              <w:bottom w:val="single" w:sz="2" w:space="0" w:color="auto"/>
              <w:right w:val="single" w:sz="2" w:space="0" w:color="auto"/>
            </w:tcBorders>
          </w:tcPr>
          <w:p w14:paraId="72321D53" w14:textId="77777777" w:rsidR="00F332DA" w:rsidRPr="00BD76AF" w:rsidRDefault="00F332DA" w:rsidP="0079334B">
            <w:pPr>
              <w:spacing w:before="60" w:after="60"/>
              <w:rPr>
                <w:szCs w:val="24"/>
                <w:lang w:val="en-US" w:eastAsia="ja-JP"/>
              </w:rPr>
            </w:pPr>
            <w:r w:rsidRPr="00BD76AF">
              <w:rPr>
                <w:szCs w:val="24"/>
                <w:lang w:val="en-GB"/>
              </w:rPr>
              <w:t>8.1 c)</w:t>
            </w:r>
          </w:p>
        </w:tc>
        <w:tc>
          <w:tcPr>
            <w:tcW w:w="4261" w:type="dxa"/>
            <w:tcBorders>
              <w:top w:val="single" w:sz="2" w:space="0" w:color="auto"/>
              <w:left w:val="single" w:sz="2" w:space="0" w:color="auto"/>
              <w:bottom w:val="single" w:sz="2" w:space="0" w:color="auto"/>
              <w:right w:val="single" w:sz="2" w:space="0" w:color="auto"/>
            </w:tcBorders>
          </w:tcPr>
          <w:p w14:paraId="079BF516" w14:textId="77777777" w:rsidR="00F332DA" w:rsidRPr="00BD76AF" w:rsidRDefault="00F332DA" w:rsidP="005E59D5">
            <w:pPr>
              <w:tabs>
                <w:tab w:val="left" w:pos="5283"/>
              </w:tabs>
              <w:spacing w:before="60" w:after="120"/>
              <w:rPr>
                <w:i/>
                <w:iCs/>
                <w:szCs w:val="24"/>
                <w:lang w:eastAsia="ja-JP"/>
              </w:rPr>
            </w:pPr>
            <w:r w:rsidRPr="00BD76AF">
              <w:rPr>
                <w:iCs/>
                <w:szCs w:val="24"/>
                <w:lang w:eastAsia="ja-JP"/>
              </w:rPr>
              <w:t>[</w:t>
            </w:r>
            <w:r w:rsidRPr="00BD76AF">
              <w:rPr>
                <w:i/>
                <w:iCs/>
                <w:szCs w:val="24"/>
                <w:lang w:eastAsia="ja-JP"/>
              </w:rPr>
              <w:t>Lorsque l’accès à et la prise de possession de l’ensemble du Site pourront être donnés au plus tard à la Date d’entrée en vigueur, supprimer entièrement cet Article 8.1 c) des DM.</w:t>
            </w:r>
          </w:p>
          <w:p w14:paraId="05161141" w14:textId="77777777" w:rsidR="00F332DA" w:rsidRPr="00BD76AF" w:rsidRDefault="00F332DA" w:rsidP="005E59D5">
            <w:pPr>
              <w:tabs>
                <w:tab w:val="left" w:pos="5283"/>
              </w:tabs>
              <w:spacing w:before="60" w:after="120"/>
              <w:rPr>
                <w:i/>
                <w:szCs w:val="24"/>
              </w:rPr>
            </w:pPr>
            <w:r w:rsidRPr="00BD76AF">
              <w:rPr>
                <w:i/>
                <w:szCs w:val="24"/>
              </w:rPr>
              <w:t xml:space="preserve">Lorsque l’accès à et la prise de possession d’une (des) partie(s) quelconque(s) du Site ne pourront pas être donnés avant la Date </w:t>
            </w:r>
            <w:r w:rsidRPr="00BD76AF">
              <w:rPr>
                <w:i/>
                <w:iCs/>
                <w:szCs w:val="24"/>
                <w:lang w:eastAsia="ja-JP"/>
              </w:rPr>
              <w:t>d’entrée en vigueur</w:t>
            </w:r>
            <w:r w:rsidRPr="00BD76AF">
              <w:rPr>
                <w:i/>
                <w:szCs w:val="24"/>
              </w:rPr>
              <w:t>, insérer ce qui suit, conformément à l’Article 10.2 des DM :</w:t>
            </w:r>
          </w:p>
          <w:p w14:paraId="3AA0B04C" w14:textId="77777777" w:rsidR="00F332DA" w:rsidRPr="00BD76AF" w:rsidRDefault="00F332DA" w:rsidP="0079334B">
            <w:pPr>
              <w:tabs>
                <w:tab w:val="left" w:pos="5283"/>
              </w:tabs>
              <w:spacing w:before="60" w:after="60"/>
              <w:rPr>
                <w:i/>
                <w:szCs w:val="24"/>
              </w:rPr>
            </w:pPr>
            <w:r w:rsidRPr="00BD76AF">
              <w:rPr>
                <w:rFonts w:hint="eastAsia"/>
                <w:i/>
                <w:szCs w:val="24"/>
              </w:rPr>
              <w:t>«</w:t>
            </w:r>
            <w:r w:rsidRPr="00BD76AF">
              <w:rPr>
                <w:bCs/>
                <w:szCs w:val="24"/>
                <w:lang w:eastAsia="ja-JP"/>
              </w:rPr>
              <w:t> </w:t>
            </w:r>
            <w:r w:rsidRPr="00BD76AF">
              <w:rPr>
                <w:szCs w:val="24"/>
              </w:rPr>
              <w:t>[</w:t>
            </w:r>
            <w:r w:rsidRPr="00BD76AF">
              <w:rPr>
                <w:i/>
                <w:szCs w:val="24"/>
              </w:rPr>
              <w:t>indiquer le nombre</w:t>
            </w:r>
            <w:r w:rsidRPr="00BD76AF">
              <w:rPr>
                <w:szCs w:val="24"/>
              </w:rPr>
              <w:t>]</w:t>
            </w:r>
            <w:r w:rsidRPr="00BD76AF">
              <w:rPr>
                <w:i/>
                <w:szCs w:val="24"/>
              </w:rPr>
              <w:t xml:space="preserve"> ...... jours suivant la Date d’entrée en vigueur</w:t>
            </w:r>
            <w:r w:rsidRPr="00BD76AF">
              <w:rPr>
                <w:bCs/>
                <w:szCs w:val="24"/>
                <w:lang w:eastAsia="ja-JP"/>
              </w:rPr>
              <w:t> </w:t>
            </w:r>
            <w:r w:rsidRPr="00BD76AF">
              <w:rPr>
                <w:i/>
                <w:szCs w:val="24"/>
              </w:rPr>
              <w:t>» ou</w:t>
            </w:r>
          </w:p>
          <w:p w14:paraId="41982A9A" w14:textId="77777777" w:rsidR="00F332DA" w:rsidRPr="00BD76AF" w:rsidRDefault="00F332DA" w:rsidP="00041E86">
            <w:pPr>
              <w:tabs>
                <w:tab w:val="left" w:pos="5400"/>
              </w:tabs>
              <w:spacing w:before="60" w:after="60"/>
              <w:ind w:right="72"/>
              <w:rPr>
                <w:iCs/>
                <w:szCs w:val="24"/>
                <w:lang w:eastAsia="ja-JP"/>
              </w:rPr>
            </w:pPr>
            <w:r w:rsidRPr="00BD76AF">
              <w:rPr>
                <w:rFonts w:hint="eastAsia"/>
                <w:i/>
                <w:szCs w:val="24"/>
              </w:rPr>
              <w:t>«</w:t>
            </w:r>
            <w:r w:rsidRPr="00BD76AF">
              <w:rPr>
                <w:bCs/>
                <w:szCs w:val="24"/>
                <w:lang w:eastAsia="ja-JP"/>
              </w:rPr>
              <w:t> </w:t>
            </w:r>
            <w:r w:rsidRPr="00BD76AF">
              <w:rPr>
                <w:i/>
                <w:szCs w:val="24"/>
              </w:rPr>
              <w:t>Se référer au Tableau 2</w:t>
            </w:r>
            <w:r w:rsidRPr="00BD76AF">
              <w:rPr>
                <w:bCs/>
                <w:szCs w:val="24"/>
                <w:lang w:eastAsia="ja-JP"/>
              </w:rPr>
              <w:t> </w:t>
            </w:r>
            <w:r w:rsidRPr="00BD76AF">
              <w:rPr>
                <w:i/>
                <w:szCs w:val="24"/>
              </w:rPr>
              <w:t>: Accès aux et prise de possession des parties du Site, ci-dessous ».</w:t>
            </w:r>
            <w:r w:rsidRPr="00BD76AF">
              <w:rPr>
                <w:iCs/>
                <w:szCs w:val="24"/>
                <w:lang w:eastAsia="ja-JP"/>
              </w:rPr>
              <w:t>]</w:t>
            </w:r>
          </w:p>
        </w:tc>
      </w:tr>
      <w:tr w:rsidR="00F332DA" w:rsidRPr="00BD76AF" w14:paraId="30A04DC4" w14:textId="77777777" w:rsidTr="008A3C2D">
        <w:tc>
          <w:tcPr>
            <w:tcW w:w="3348" w:type="dxa"/>
            <w:tcBorders>
              <w:top w:val="single" w:sz="2" w:space="0" w:color="auto"/>
              <w:left w:val="single" w:sz="2" w:space="0" w:color="auto"/>
              <w:bottom w:val="single" w:sz="2" w:space="0" w:color="auto"/>
              <w:right w:val="single" w:sz="2" w:space="0" w:color="auto"/>
            </w:tcBorders>
          </w:tcPr>
          <w:p w14:paraId="79376B52" w14:textId="77777777" w:rsidR="00F332DA" w:rsidRPr="00BD76AF" w:rsidRDefault="00F332DA" w:rsidP="0079334B">
            <w:pPr>
              <w:spacing w:before="60" w:after="60"/>
              <w:jc w:val="left"/>
              <w:rPr>
                <w:b/>
                <w:bCs/>
                <w:szCs w:val="24"/>
                <w:lang w:val="en-GB" w:eastAsia="ja-JP"/>
              </w:rPr>
            </w:pPr>
            <w:r w:rsidRPr="00BD76AF">
              <w:rPr>
                <w:b/>
                <w:bCs/>
                <w:szCs w:val="24"/>
                <w:lang w:val="en-GB" w:eastAsia="ja-JP"/>
              </w:rPr>
              <w:t>Délai d’achèvement</w:t>
            </w:r>
          </w:p>
        </w:tc>
        <w:tc>
          <w:tcPr>
            <w:tcW w:w="1440" w:type="dxa"/>
            <w:tcBorders>
              <w:top w:val="single" w:sz="2" w:space="0" w:color="auto"/>
              <w:left w:val="single" w:sz="2" w:space="0" w:color="auto"/>
              <w:bottom w:val="single" w:sz="2" w:space="0" w:color="auto"/>
              <w:right w:val="single" w:sz="2" w:space="0" w:color="auto"/>
            </w:tcBorders>
          </w:tcPr>
          <w:p w14:paraId="5E1D0F24" w14:textId="77777777" w:rsidR="00F332DA" w:rsidRPr="00BD76AF" w:rsidRDefault="00F332DA" w:rsidP="0079334B">
            <w:pPr>
              <w:spacing w:before="60" w:after="60"/>
              <w:rPr>
                <w:szCs w:val="24"/>
                <w:lang w:val="en-GB" w:eastAsia="ja-JP"/>
              </w:rPr>
            </w:pPr>
            <w:r w:rsidRPr="00BD76AF">
              <w:rPr>
                <w:rFonts w:hint="eastAsia"/>
                <w:szCs w:val="24"/>
                <w:lang w:val="en-GB" w:eastAsia="ja-JP"/>
              </w:rPr>
              <w:t>8</w:t>
            </w:r>
            <w:r w:rsidRPr="00BD76AF">
              <w:rPr>
                <w:szCs w:val="24"/>
                <w:lang w:val="en-GB" w:eastAsia="ja-JP"/>
              </w:rPr>
              <w:t>.2</w:t>
            </w:r>
          </w:p>
        </w:tc>
        <w:tc>
          <w:tcPr>
            <w:tcW w:w="4261" w:type="dxa"/>
            <w:tcBorders>
              <w:top w:val="single" w:sz="2" w:space="0" w:color="auto"/>
              <w:left w:val="single" w:sz="2" w:space="0" w:color="auto"/>
              <w:bottom w:val="single" w:sz="2" w:space="0" w:color="auto"/>
              <w:right w:val="single" w:sz="2" w:space="0" w:color="auto"/>
            </w:tcBorders>
          </w:tcPr>
          <w:p w14:paraId="1BDAB6B7" w14:textId="77777777" w:rsidR="00F332DA" w:rsidRPr="00BD76AF" w:rsidRDefault="00F332DA" w:rsidP="0079334B">
            <w:pPr>
              <w:tabs>
                <w:tab w:val="left" w:pos="5283"/>
              </w:tabs>
              <w:spacing w:before="60" w:after="60"/>
              <w:rPr>
                <w:iCs/>
                <w:szCs w:val="24"/>
                <w:lang w:eastAsia="ja-JP"/>
              </w:rPr>
            </w:pPr>
            <w:r w:rsidRPr="00BD76AF">
              <w:rPr>
                <w:iCs/>
                <w:szCs w:val="24"/>
                <w:lang w:eastAsia="ja-JP"/>
              </w:rPr>
              <w:t>[</w:t>
            </w:r>
            <w:r w:rsidRPr="00BD76AF">
              <w:rPr>
                <w:i/>
              </w:rPr>
              <w:t>Indiquer le Délai d’achèvement</w:t>
            </w:r>
            <w:r w:rsidRPr="00BD76AF">
              <w:t xml:space="preserve"> </w:t>
            </w:r>
            <w:r w:rsidRPr="00BD76AF">
              <w:rPr>
                <w:i/>
              </w:rPr>
              <w:t>pour l’ensemble des Installations</w:t>
            </w:r>
            <w:r w:rsidRPr="00BD76AF">
              <w:rPr>
                <w:i/>
                <w:szCs w:val="24"/>
              </w:rPr>
              <w:t>.</w:t>
            </w:r>
            <w:r w:rsidRPr="00BD76AF">
              <w:rPr>
                <w:iCs/>
                <w:szCs w:val="24"/>
                <w:lang w:eastAsia="ja-JP"/>
              </w:rPr>
              <w:t>]</w:t>
            </w:r>
          </w:p>
        </w:tc>
      </w:tr>
      <w:tr w:rsidR="00F332DA" w:rsidRPr="00BD76AF" w14:paraId="2B977724" w14:textId="77777777" w:rsidTr="008A3C2D">
        <w:tc>
          <w:tcPr>
            <w:tcW w:w="3348" w:type="dxa"/>
            <w:tcBorders>
              <w:top w:val="single" w:sz="2" w:space="0" w:color="auto"/>
              <w:left w:val="single" w:sz="2" w:space="0" w:color="auto"/>
              <w:bottom w:val="single" w:sz="2" w:space="0" w:color="auto"/>
              <w:right w:val="single" w:sz="2" w:space="0" w:color="auto"/>
            </w:tcBorders>
          </w:tcPr>
          <w:p w14:paraId="10D43664" w14:textId="77777777" w:rsidR="00F332DA" w:rsidRPr="00BD76AF" w:rsidRDefault="00F332DA" w:rsidP="0079334B">
            <w:pPr>
              <w:spacing w:before="60" w:after="60"/>
              <w:jc w:val="left"/>
              <w:rPr>
                <w:b/>
                <w:bCs/>
                <w:szCs w:val="24"/>
                <w:lang w:eastAsia="ja-JP"/>
              </w:rPr>
            </w:pPr>
            <w:r w:rsidRPr="00BD76AF">
              <w:rPr>
                <w:b/>
                <w:bCs/>
                <w:szCs w:val="24"/>
                <w:lang w:eastAsia="ja-JP"/>
              </w:rPr>
              <w:t>Responsabilités du Maître d’ouvrage :</w:t>
            </w:r>
          </w:p>
          <w:p w14:paraId="38375A2B" w14:textId="77777777" w:rsidR="00F332DA" w:rsidRPr="00BD76AF" w:rsidRDefault="00F332DA" w:rsidP="00041E86">
            <w:pPr>
              <w:spacing w:before="60" w:after="60"/>
              <w:jc w:val="left"/>
              <w:rPr>
                <w:b/>
                <w:bCs/>
                <w:szCs w:val="24"/>
                <w:lang w:eastAsia="ja-JP"/>
              </w:rPr>
            </w:pPr>
            <w:r w:rsidRPr="00BD76AF">
              <w:rPr>
                <w:b/>
                <w:bCs/>
                <w:szCs w:val="24"/>
                <w:lang w:eastAsia="ja-JP"/>
              </w:rPr>
              <w:t>Nombre de jours pour l’accès au et la prise de possession du Site</w:t>
            </w:r>
          </w:p>
        </w:tc>
        <w:tc>
          <w:tcPr>
            <w:tcW w:w="1440" w:type="dxa"/>
            <w:tcBorders>
              <w:top w:val="single" w:sz="2" w:space="0" w:color="auto"/>
              <w:left w:val="single" w:sz="2" w:space="0" w:color="auto"/>
              <w:bottom w:val="single" w:sz="2" w:space="0" w:color="auto"/>
              <w:right w:val="single" w:sz="2" w:space="0" w:color="auto"/>
            </w:tcBorders>
          </w:tcPr>
          <w:p w14:paraId="3E8AF42B" w14:textId="77777777" w:rsidR="00F332DA" w:rsidRPr="00BD76AF" w:rsidRDefault="00F332DA" w:rsidP="0079334B">
            <w:pPr>
              <w:spacing w:before="60" w:after="60"/>
              <w:rPr>
                <w:szCs w:val="24"/>
                <w:lang w:val="en-GB" w:eastAsia="ja-JP"/>
              </w:rPr>
            </w:pPr>
            <w:r w:rsidRPr="00BD76AF">
              <w:rPr>
                <w:rFonts w:hint="eastAsia"/>
                <w:szCs w:val="24"/>
                <w:lang w:val="en-GB" w:eastAsia="ja-JP"/>
              </w:rPr>
              <w:t>1</w:t>
            </w:r>
            <w:r w:rsidRPr="00BD76AF">
              <w:rPr>
                <w:szCs w:val="24"/>
                <w:lang w:val="en-GB" w:eastAsia="ja-JP"/>
              </w:rPr>
              <w:t>0.2</w:t>
            </w:r>
          </w:p>
        </w:tc>
        <w:tc>
          <w:tcPr>
            <w:tcW w:w="4261" w:type="dxa"/>
            <w:tcBorders>
              <w:top w:val="single" w:sz="2" w:space="0" w:color="auto"/>
              <w:left w:val="single" w:sz="2" w:space="0" w:color="auto"/>
              <w:bottom w:val="single" w:sz="2" w:space="0" w:color="auto"/>
              <w:right w:val="single" w:sz="2" w:space="0" w:color="auto"/>
            </w:tcBorders>
          </w:tcPr>
          <w:p w14:paraId="73C5F993" w14:textId="77777777" w:rsidR="00F332DA" w:rsidRPr="00BD76AF" w:rsidRDefault="00F332DA" w:rsidP="0079334B">
            <w:pPr>
              <w:tabs>
                <w:tab w:val="left" w:pos="5283"/>
              </w:tabs>
              <w:spacing w:before="60" w:after="60"/>
              <w:rPr>
                <w:i/>
                <w:iCs/>
                <w:szCs w:val="24"/>
                <w:lang w:eastAsia="ja-JP"/>
              </w:rPr>
            </w:pPr>
            <w:r w:rsidRPr="00BD76AF">
              <w:rPr>
                <w:iCs/>
                <w:szCs w:val="24"/>
                <w:lang w:eastAsia="ja-JP"/>
              </w:rPr>
              <w:t>[</w:t>
            </w:r>
            <w:r w:rsidRPr="00BD76AF">
              <w:rPr>
                <w:i/>
                <w:iCs/>
                <w:szCs w:val="24"/>
                <w:lang w:eastAsia="ja-JP"/>
              </w:rPr>
              <w:t>Lorsque l’accès à et la prise de possession de l’ensemble du Site pourront être donnés au plus tard à la Date d’entrée en vigueur, insérer ce qui suit.</w:t>
            </w:r>
          </w:p>
          <w:p w14:paraId="0D046215" w14:textId="77777777" w:rsidR="00F332DA" w:rsidRPr="00BD76AF" w:rsidRDefault="00F332DA" w:rsidP="0079334B">
            <w:pPr>
              <w:tabs>
                <w:tab w:val="left" w:pos="5283"/>
              </w:tabs>
              <w:spacing w:before="60" w:after="60"/>
              <w:rPr>
                <w:i/>
                <w:iCs/>
                <w:szCs w:val="24"/>
                <w:lang w:eastAsia="ja-JP"/>
              </w:rPr>
            </w:pPr>
            <w:r w:rsidRPr="00BD76AF">
              <w:rPr>
                <w:rFonts w:hint="eastAsia"/>
                <w:i/>
                <w:iCs/>
                <w:szCs w:val="24"/>
                <w:lang w:eastAsia="ja-JP"/>
              </w:rPr>
              <w:t>«</w:t>
            </w:r>
            <w:r w:rsidRPr="00BD76AF">
              <w:rPr>
                <w:bCs/>
                <w:szCs w:val="24"/>
                <w:lang w:eastAsia="ja-JP"/>
              </w:rPr>
              <w:t> </w:t>
            </w:r>
            <w:r w:rsidRPr="00BD76AF">
              <w:rPr>
                <w:i/>
                <w:iCs/>
                <w:szCs w:val="24"/>
                <w:lang w:eastAsia="ja-JP"/>
              </w:rPr>
              <w:t>Au plus tard à la Date d’entrée en vigueur.</w:t>
            </w:r>
            <w:r w:rsidRPr="00BD76AF">
              <w:rPr>
                <w:bCs/>
                <w:szCs w:val="24"/>
                <w:lang w:eastAsia="ja-JP"/>
              </w:rPr>
              <w:t> </w:t>
            </w:r>
            <w:r w:rsidRPr="00BD76AF">
              <w:rPr>
                <w:i/>
                <w:iCs/>
                <w:szCs w:val="24"/>
                <w:lang w:eastAsia="ja-JP"/>
              </w:rPr>
              <w:t>»</w:t>
            </w:r>
          </w:p>
          <w:p w14:paraId="7C3385D5" w14:textId="77777777" w:rsidR="00F332DA" w:rsidRPr="00BD76AF" w:rsidRDefault="00F332DA" w:rsidP="001D624E">
            <w:pPr>
              <w:tabs>
                <w:tab w:val="left" w:pos="5283"/>
              </w:tabs>
              <w:rPr>
                <w:iCs/>
                <w:szCs w:val="24"/>
                <w:lang w:eastAsia="ja-JP"/>
              </w:rPr>
            </w:pPr>
          </w:p>
          <w:p w14:paraId="5FA24426" w14:textId="77777777" w:rsidR="00F332DA" w:rsidRPr="00BD76AF" w:rsidRDefault="00F332DA" w:rsidP="0079334B">
            <w:pPr>
              <w:tabs>
                <w:tab w:val="left" w:pos="5283"/>
              </w:tabs>
              <w:spacing w:before="60" w:after="60"/>
              <w:rPr>
                <w:i/>
                <w:iCs/>
                <w:szCs w:val="24"/>
                <w:lang w:eastAsia="ja-JP"/>
              </w:rPr>
            </w:pPr>
            <w:r w:rsidRPr="00BD76AF">
              <w:rPr>
                <w:i/>
                <w:iCs/>
                <w:szCs w:val="24"/>
                <w:lang w:eastAsia="ja-JP"/>
              </w:rPr>
              <w:t>Lorsque l’accès à et la prise de possession d’une(des) partie(s) quelconque(s) du Site ne pourront pas être donnés avant la Date d’entrée en vigueur, insérer ce qui suit :</w:t>
            </w:r>
          </w:p>
          <w:p w14:paraId="6F1D44BC" w14:textId="77777777" w:rsidR="00F332DA" w:rsidRPr="00BD76AF" w:rsidRDefault="00F332DA" w:rsidP="001D624E">
            <w:pPr>
              <w:tabs>
                <w:tab w:val="left" w:pos="5283"/>
              </w:tabs>
              <w:rPr>
                <w:iCs/>
                <w:szCs w:val="24"/>
                <w:lang w:eastAsia="ja-JP"/>
              </w:rPr>
            </w:pPr>
          </w:p>
          <w:p w14:paraId="50E2E5D2" w14:textId="77777777" w:rsidR="00F332DA" w:rsidRPr="00BD76AF" w:rsidRDefault="00F332DA" w:rsidP="00041E86">
            <w:pPr>
              <w:tabs>
                <w:tab w:val="left" w:pos="5283"/>
              </w:tabs>
              <w:spacing w:before="60" w:after="60"/>
              <w:rPr>
                <w:iCs/>
                <w:szCs w:val="24"/>
                <w:lang w:eastAsia="ja-JP"/>
              </w:rPr>
            </w:pPr>
            <w:r w:rsidRPr="00BD76AF">
              <w:rPr>
                <w:rFonts w:hint="eastAsia"/>
                <w:i/>
                <w:iCs/>
                <w:szCs w:val="24"/>
                <w:lang w:eastAsia="ja-JP"/>
              </w:rPr>
              <w:t>«</w:t>
            </w:r>
            <w:r w:rsidRPr="00BD76AF">
              <w:rPr>
                <w:bCs/>
                <w:szCs w:val="24"/>
                <w:lang w:eastAsia="ja-JP"/>
              </w:rPr>
              <w:t> </w:t>
            </w:r>
            <w:r w:rsidRPr="00BD76AF">
              <w:rPr>
                <w:iCs/>
                <w:szCs w:val="24"/>
                <w:lang w:eastAsia="ja-JP"/>
              </w:rPr>
              <w:t>[</w:t>
            </w:r>
            <w:r w:rsidRPr="00BD76AF">
              <w:rPr>
                <w:i/>
                <w:iCs/>
                <w:szCs w:val="24"/>
                <w:lang w:eastAsia="ja-JP"/>
              </w:rPr>
              <w:t>indiquer le nombre</w:t>
            </w:r>
            <w:r w:rsidRPr="00BD76AF">
              <w:rPr>
                <w:iCs/>
                <w:szCs w:val="24"/>
                <w:lang w:eastAsia="ja-JP"/>
              </w:rPr>
              <w:t>] ...... jours suivant la Date d’entrée en vigueur</w:t>
            </w:r>
            <w:r w:rsidRPr="00BD76AF">
              <w:rPr>
                <w:bCs/>
                <w:szCs w:val="24"/>
                <w:lang w:eastAsia="ja-JP"/>
              </w:rPr>
              <w:t> </w:t>
            </w:r>
            <w:r w:rsidRPr="00BD76AF">
              <w:rPr>
                <w:i/>
                <w:iCs/>
                <w:szCs w:val="24"/>
                <w:lang w:eastAsia="ja-JP"/>
              </w:rPr>
              <w:t>» ou «</w:t>
            </w:r>
            <w:r w:rsidRPr="00BD76AF">
              <w:rPr>
                <w:bCs/>
                <w:szCs w:val="24"/>
                <w:lang w:eastAsia="ja-JP"/>
              </w:rPr>
              <w:t> </w:t>
            </w:r>
            <w:r w:rsidRPr="00BD76AF">
              <w:rPr>
                <w:i/>
                <w:iCs/>
                <w:szCs w:val="24"/>
                <w:lang w:eastAsia="ja-JP"/>
              </w:rPr>
              <w:t>Se référer au Tableau 2 : Accès aux et prise de possession des parties du Site, ci-dessous</w:t>
            </w:r>
            <w:r w:rsidRPr="00BD76AF">
              <w:rPr>
                <w:bCs/>
                <w:szCs w:val="24"/>
                <w:lang w:eastAsia="ja-JP"/>
              </w:rPr>
              <w:t> </w:t>
            </w:r>
            <w:r w:rsidRPr="00BD76AF">
              <w:rPr>
                <w:i/>
                <w:iCs/>
                <w:szCs w:val="24"/>
                <w:lang w:eastAsia="ja-JP"/>
              </w:rPr>
              <w:t>».</w:t>
            </w:r>
            <w:r w:rsidRPr="00BD76AF">
              <w:rPr>
                <w:iCs/>
                <w:szCs w:val="24"/>
                <w:lang w:eastAsia="ja-JP"/>
              </w:rPr>
              <w:t>]</w:t>
            </w:r>
          </w:p>
        </w:tc>
      </w:tr>
      <w:tr w:rsidR="00F332DA" w:rsidRPr="00BD76AF" w14:paraId="287631FD" w14:textId="77777777" w:rsidTr="008A3C2D">
        <w:tc>
          <w:tcPr>
            <w:tcW w:w="3348" w:type="dxa"/>
            <w:tcBorders>
              <w:top w:val="single" w:sz="2" w:space="0" w:color="auto"/>
              <w:left w:val="single" w:sz="2" w:space="0" w:color="auto"/>
              <w:bottom w:val="single" w:sz="2" w:space="0" w:color="auto"/>
              <w:right w:val="single" w:sz="2" w:space="0" w:color="auto"/>
            </w:tcBorders>
          </w:tcPr>
          <w:p w14:paraId="6CC26F5A" w14:textId="77777777" w:rsidR="00F332DA" w:rsidRPr="00BD76AF" w:rsidRDefault="00F332DA" w:rsidP="0079334B">
            <w:pPr>
              <w:spacing w:before="60" w:after="60"/>
              <w:jc w:val="left"/>
              <w:rPr>
                <w:b/>
                <w:bCs/>
                <w:szCs w:val="24"/>
                <w:lang w:val="en-GB" w:eastAsia="ja-JP"/>
              </w:rPr>
            </w:pPr>
            <w:r w:rsidRPr="00BD76AF">
              <w:rPr>
                <w:b/>
                <w:bCs/>
                <w:szCs w:val="24"/>
                <w:lang w:val="en-GB" w:eastAsia="ja-JP"/>
              </w:rPr>
              <w:t>Montant du Marché</w:t>
            </w:r>
          </w:p>
        </w:tc>
        <w:tc>
          <w:tcPr>
            <w:tcW w:w="1440" w:type="dxa"/>
            <w:tcBorders>
              <w:top w:val="single" w:sz="2" w:space="0" w:color="auto"/>
              <w:left w:val="single" w:sz="2" w:space="0" w:color="auto"/>
              <w:bottom w:val="single" w:sz="2" w:space="0" w:color="auto"/>
              <w:right w:val="single" w:sz="2" w:space="0" w:color="auto"/>
            </w:tcBorders>
          </w:tcPr>
          <w:p w14:paraId="7A36B046" w14:textId="77777777" w:rsidR="00F332DA" w:rsidRPr="00BD76AF" w:rsidRDefault="00F332DA" w:rsidP="0079334B">
            <w:pPr>
              <w:spacing w:before="60" w:after="60"/>
              <w:rPr>
                <w:szCs w:val="24"/>
                <w:lang w:val="en-GB" w:eastAsia="ja-JP"/>
              </w:rPr>
            </w:pPr>
            <w:r w:rsidRPr="00BD76AF">
              <w:rPr>
                <w:rFonts w:hint="eastAsia"/>
                <w:szCs w:val="24"/>
                <w:lang w:val="en-GB" w:eastAsia="ja-JP"/>
              </w:rPr>
              <w:t>11.2</w:t>
            </w:r>
          </w:p>
        </w:tc>
        <w:tc>
          <w:tcPr>
            <w:tcW w:w="4261" w:type="dxa"/>
            <w:tcBorders>
              <w:top w:val="single" w:sz="2" w:space="0" w:color="auto"/>
              <w:left w:val="single" w:sz="2" w:space="0" w:color="auto"/>
              <w:bottom w:val="single" w:sz="2" w:space="0" w:color="auto"/>
              <w:right w:val="single" w:sz="2" w:space="0" w:color="auto"/>
            </w:tcBorders>
          </w:tcPr>
          <w:p w14:paraId="1F1572E1" w14:textId="77777777" w:rsidR="00F332DA" w:rsidRPr="00BD76AF" w:rsidRDefault="00F332DA" w:rsidP="0079334B">
            <w:pPr>
              <w:tabs>
                <w:tab w:val="left" w:pos="5283"/>
              </w:tabs>
              <w:spacing w:before="60" w:after="60"/>
              <w:rPr>
                <w:iCs/>
              </w:rPr>
            </w:pPr>
            <w:r w:rsidRPr="00BD76AF">
              <w:rPr>
                <w:iCs/>
                <w:szCs w:val="24"/>
                <w:lang w:eastAsia="ja-JP"/>
              </w:rPr>
              <w:t>[</w:t>
            </w:r>
            <w:r w:rsidRPr="00BD76AF">
              <w:rPr>
                <w:rFonts w:hint="eastAsia"/>
                <w:i/>
                <w:iCs/>
                <w:szCs w:val="24"/>
                <w:lang w:eastAsia="ja-JP"/>
              </w:rPr>
              <w:t>S</w:t>
            </w:r>
            <w:r w:rsidRPr="00BD76AF">
              <w:rPr>
                <w:i/>
                <w:iCs/>
                <w:szCs w:val="24"/>
                <w:lang w:eastAsia="ja-JP"/>
              </w:rPr>
              <w:t>i le Montant du Marché est révisable durant l’exécution du Marché, insérer ce qui suit.</w:t>
            </w:r>
            <w:r w:rsidRPr="00BD76AF">
              <w:rPr>
                <w:i/>
                <w:iCs/>
              </w:rPr>
              <w:t xml:space="preserve"> Sinon, supprimer entièrement cet Article 11.2 des DM.</w:t>
            </w:r>
            <w:r w:rsidRPr="00BD76AF">
              <w:rPr>
                <w:iCs/>
              </w:rPr>
              <w:t>]</w:t>
            </w:r>
          </w:p>
          <w:p w14:paraId="14E4E88C" w14:textId="77777777" w:rsidR="00F332DA" w:rsidRPr="00BD76AF" w:rsidRDefault="00F332DA" w:rsidP="0079334B">
            <w:pPr>
              <w:tabs>
                <w:tab w:val="left" w:pos="5283"/>
              </w:tabs>
              <w:spacing w:before="60" w:after="60"/>
              <w:rPr>
                <w:iCs/>
              </w:rPr>
            </w:pPr>
          </w:p>
          <w:p w14:paraId="2CBA0F4A" w14:textId="77777777" w:rsidR="00F332DA" w:rsidRPr="00BD76AF" w:rsidRDefault="00F332DA" w:rsidP="0079334B">
            <w:pPr>
              <w:tabs>
                <w:tab w:val="left" w:pos="5283"/>
              </w:tabs>
              <w:spacing w:before="60" w:after="60"/>
              <w:rPr>
                <w:iCs/>
                <w:szCs w:val="24"/>
                <w:lang w:eastAsia="ja-JP"/>
              </w:rPr>
            </w:pPr>
            <w:r w:rsidRPr="00BD76AF">
              <w:rPr>
                <w:iCs/>
                <w:szCs w:val="24"/>
                <w:lang w:eastAsia="ja-JP"/>
              </w:rPr>
              <w:t>Le Montant du Marché doit être révisé conformément aux dispositions de l’Annexe 2 (</w:t>
            </w:r>
            <w:r w:rsidRPr="00BD76AF">
              <w:rPr>
                <w:i/>
                <w:iCs/>
                <w:szCs w:val="24"/>
                <w:lang w:eastAsia="ja-JP"/>
              </w:rPr>
              <w:t>Révision des prix</w:t>
            </w:r>
            <w:r w:rsidRPr="00BD76AF">
              <w:rPr>
                <w:iCs/>
                <w:szCs w:val="24"/>
                <w:lang w:eastAsia="ja-JP"/>
              </w:rPr>
              <w:t>) de l’Acte d’engagement.</w:t>
            </w:r>
          </w:p>
          <w:p w14:paraId="78E947D8" w14:textId="77777777" w:rsidR="00F332DA" w:rsidRPr="00BD76AF" w:rsidRDefault="00F332DA" w:rsidP="008A3C2D">
            <w:pPr>
              <w:tabs>
                <w:tab w:val="left" w:pos="5283"/>
              </w:tabs>
              <w:rPr>
                <w:iCs/>
                <w:szCs w:val="24"/>
                <w:lang w:eastAsia="ja-JP"/>
              </w:rPr>
            </w:pPr>
          </w:p>
        </w:tc>
      </w:tr>
      <w:tr w:rsidR="00F332DA" w:rsidRPr="00BD76AF" w14:paraId="4F1C9170" w14:textId="77777777" w:rsidTr="008A3C2D">
        <w:tc>
          <w:tcPr>
            <w:tcW w:w="3348" w:type="dxa"/>
            <w:tcBorders>
              <w:top w:val="single" w:sz="2" w:space="0" w:color="auto"/>
              <w:left w:val="single" w:sz="2" w:space="0" w:color="auto"/>
              <w:bottom w:val="single" w:sz="2" w:space="0" w:color="auto"/>
              <w:right w:val="single" w:sz="2" w:space="0" w:color="auto"/>
            </w:tcBorders>
          </w:tcPr>
          <w:p w14:paraId="59688EF3" w14:textId="77777777" w:rsidR="00F332DA" w:rsidRPr="00BD76AF" w:rsidRDefault="00F332DA" w:rsidP="0079334B">
            <w:pPr>
              <w:spacing w:before="60" w:after="60"/>
              <w:jc w:val="left"/>
              <w:rPr>
                <w:b/>
                <w:bCs/>
                <w:szCs w:val="24"/>
                <w:lang w:eastAsia="ja-JP"/>
              </w:rPr>
            </w:pPr>
            <w:r w:rsidRPr="00BD76AF">
              <w:rPr>
                <w:b/>
                <w:bCs/>
                <w:szCs w:val="24"/>
                <w:lang w:eastAsia="ja-JP"/>
              </w:rPr>
              <w:t>Procédures de décaissement</w:t>
            </w:r>
          </w:p>
          <w:p w14:paraId="1B40EA87" w14:textId="77777777" w:rsidR="00F332DA" w:rsidRPr="00BD76AF" w:rsidRDefault="00F332DA" w:rsidP="0079334B">
            <w:pPr>
              <w:tabs>
                <w:tab w:val="left" w:pos="426"/>
              </w:tabs>
              <w:suppressAutoHyphens w:val="0"/>
              <w:overflowPunct/>
              <w:autoSpaceDE/>
              <w:autoSpaceDN/>
              <w:adjustRightInd/>
              <w:spacing w:before="60" w:after="60"/>
              <w:ind w:left="426" w:hanging="284"/>
              <w:jc w:val="left"/>
              <w:textAlignment w:val="auto"/>
              <w:rPr>
                <w:bCs/>
                <w:szCs w:val="24"/>
                <w:lang w:eastAsia="en-US"/>
              </w:rPr>
            </w:pPr>
            <w:r w:rsidRPr="00BD76AF">
              <w:rPr>
                <w:szCs w:val="24"/>
              </w:rPr>
              <w:t xml:space="preserve">a) </w:t>
            </w:r>
            <w:r w:rsidRPr="00BD76AF">
              <w:rPr>
                <w:bCs/>
                <w:szCs w:val="24"/>
                <w:lang w:eastAsia="en-US"/>
              </w:rPr>
              <w:t>monnaie nationale</w:t>
            </w:r>
          </w:p>
          <w:p w14:paraId="24720640" w14:textId="77777777" w:rsidR="00F332DA" w:rsidRPr="00BD76AF" w:rsidRDefault="00F332DA" w:rsidP="0079334B">
            <w:pPr>
              <w:tabs>
                <w:tab w:val="left" w:pos="426"/>
              </w:tabs>
              <w:suppressAutoHyphens w:val="0"/>
              <w:overflowPunct/>
              <w:autoSpaceDE/>
              <w:autoSpaceDN/>
              <w:adjustRightInd/>
              <w:spacing w:before="60" w:after="60"/>
              <w:ind w:left="426" w:hanging="284"/>
              <w:jc w:val="left"/>
              <w:textAlignment w:val="auto"/>
              <w:rPr>
                <w:bCs/>
                <w:szCs w:val="24"/>
                <w:lang w:eastAsia="en-US"/>
              </w:rPr>
            </w:pPr>
            <w:r w:rsidRPr="00BD76AF">
              <w:rPr>
                <w:bCs/>
                <w:szCs w:val="24"/>
                <w:lang w:eastAsia="en-US"/>
              </w:rPr>
              <w:t>b) monnaie étrangère</w:t>
            </w:r>
          </w:p>
          <w:p w14:paraId="45668A7C" w14:textId="77777777" w:rsidR="00F332DA" w:rsidRPr="00BD76AF" w:rsidRDefault="00F332DA" w:rsidP="0079334B">
            <w:pPr>
              <w:spacing w:before="60" w:after="60"/>
              <w:jc w:val="left"/>
              <w:rPr>
                <w:b/>
                <w:bCs/>
                <w:szCs w:val="24"/>
                <w:lang w:eastAsia="ja-JP"/>
              </w:rPr>
            </w:pPr>
          </w:p>
        </w:tc>
        <w:tc>
          <w:tcPr>
            <w:tcW w:w="1440" w:type="dxa"/>
            <w:tcBorders>
              <w:top w:val="single" w:sz="2" w:space="0" w:color="auto"/>
              <w:left w:val="single" w:sz="2" w:space="0" w:color="auto"/>
              <w:bottom w:val="single" w:sz="2" w:space="0" w:color="auto"/>
              <w:right w:val="single" w:sz="2" w:space="0" w:color="auto"/>
            </w:tcBorders>
          </w:tcPr>
          <w:p w14:paraId="09DB8A98" w14:textId="77777777" w:rsidR="00F332DA" w:rsidRPr="00BD76AF" w:rsidRDefault="00F332DA" w:rsidP="0079334B">
            <w:pPr>
              <w:spacing w:before="60" w:after="60"/>
              <w:jc w:val="left"/>
              <w:rPr>
                <w:szCs w:val="24"/>
                <w:lang w:val="en-GB"/>
              </w:rPr>
            </w:pPr>
            <w:r w:rsidRPr="00BD76AF">
              <w:rPr>
                <w:szCs w:val="24"/>
                <w:lang w:val="en-GB"/>
              </w:rPr>
              <w:t>12.</w:t>
            </w:r>
            <w:r w:rsidRPr="00BD76AF" w:rsidDel="00DF7B08">
              <w:rPr>
                <w:szCs w:val="24"/>
                <w:lang w:val="en-GB"/>
              </w:rPr>
              <w:t>3</w:t>
            </w:r>
            <w:r w:rsidRPr="00BD76AF">
              <w:rPr>
                <w:szCs w:val="24"/>
                <w:lang w:val="en-GB"/>
              </w:rPr>
              <w:t xml:space="preserve"> </w:t>
            </w:r>
            <w:r w:rsidRPr="00BD76AF" w:rsidDel="00DF7B08">
              <w:rPr>
                <w:szCs w:val="24"/>
                <w:lang w:val="en-GB"/>
              </w:rPr>
              <w:t>a)</w:t>
            </w:r>
          </w:p>
          <w:p w14:paraId="4660B100" w14:textId="77777777" w:rsidR="00F332DA" w:rsidRPr="00BD76AF" w:rsidRDefault="00F332DA" w:rsidP="0079334B">
            <w:pPr>
              <w:spacing w:before="60" w:after="60"/>
              <w:rPr>
                <w:szCs w:val="24"/>
                <w:lang w:val="en-GB" w:eastAsia="ja-JP"/>
              </w:rPr>
            </w:pPr>
            <w:r w:rsidRPr="00BD76AF" w:rsidDel="00DF7B08">
              <w:rPr>
                <w:szCs w:val="24"/>
                <w:lang w:val="en-GB"/>
              </w:rPr>
              <w:t>12.3</w:t>
            </w:r>
            <w:r w:rsidRPr="00BD76AF">
              <w:rPr>
                <w:szCs w:val="24"/>
                <w:lang w:val="en-GB"/>
              </w:rPr>
              <w:t xml:space="preserve"> </w:t>
            </w:r>
            <w:r w:rsidRPr="00BD76AF" w:rsidDel="00DF7B08">
              <w:rPr>
                <w:szCs w:val="24"/>
                <w:lang w:val="en-GB"/>
              </w:rPr>
              <w:t>b)</w:t>
            </w:r>
          </w:p>
        </w:tc>
        <w:tc>
          <w:tcPr>
            <w:tcW w:w="4261" w:type="dxa"/>
            <w:tcBorders>
              <w:top w:val="single" w:sz="2" w:space="0" w:color="auto"/>
              <w:left w:val="single" w:sz="2" w:space="0" w:color="auto"/>
              <w:bottom w:val="single" w:sz="2" w:space="0" w:color="auto"/>
              <w:right w:val="single" w:sz="2" w:space="0" w:color="auto"/>
            </w:tcBorders>
          </w:tcPr>
          <w:p w14:paraId="0673274B" w14:textId="77777777" w:rsidR="00F332DA" w:rsidRPr="00BD76AF" w:rsidRDefault="00F332DA" w:rsidP="00C14772">
            <w:pPr>
              <w:tabs>
                <w:tab w:val="left" w:pos="426"/>
              </w:tabs>
              <w:suppressAutoHyphens w:val="0"/>
              <w:overflowPunct/>
              <w:autoSpaceDE/>
              <w:autoSpaceDN/>
              <w:adjustRightInd/>
              <w:spacing w:before="60" w:after="60"/>
              <w:textAlignment w:val="auto"/>
              <w:rPr>
                <w:iCs/>
                <w:szCs w:val="24"/>
                <w:lang w:eastAsia="ja-JP"/>
              </w:rPr>
            </w:pPr>
            <w:r w:rsidRPr="00BD76AF">
              <w:rPr>
                <w:szCs w:val="24"/>
              </w:rPr>
              <w:t xml:space="preserve">a) </w:t>
            </w:r>
            <w:r w:rsidRPr="00BD76AF">
              <w:rPr>
                <w:bCs/>
                <w:szCs w:val="24"/>
                <w:lang w:eastAsia="en-US"/>
              </w:rPr>
              <w:t>monnaie nationale </w:t>
            </w:r>
            <w:r w:rsidRPr="00BD76AF">
              <w:rPr>
                <w:rFonts w:hint="eastAsia"/>
                <w:bCs/>
                <w:szCs w:val="24"/>
                <w:lang w:eastAsia="ja-JP"/>
              </w:rPr>
              <w:t>:</w:t>
            </w:r>
            <w:r w:rsidRPr="00BD76AF">
              <w:rPr>
                <w:bCs/>
                <w:szCs w:val="24"/>
                <w:lang w:eastAsia="ja-JP"/>
              </w:rPr>
              <w:t xml:space="preserve"> </w:t>
            </w:r>
            <w:r w:rsidRPr="00BD76AF">
              <w:rPr>
                <w:szCs w:val="24"/>
              </w:rPr>
              <w:t>[</w:t>
            </w:r>
            <w:r w:rsidRPr="00BD76AF">
              <w:rPr>
                <w:i/>
                <w:szCs w:val="24"/>
              </w:rPr>
              <w:t>Insérer la procédure</w:t>
            </w:r>
            <w:r w:rsidRPr="00BD76AF">
              <w:rPr>
                <w:szCs w:val="24"/>
              </w:rPr>
              <w:t xml:space="preserve"> </w:t>
            </w:r>
            <w:r w:rsidRPr="00BD76AF">
              <w:rPr>
                <w:i/>
                <w:szCs w:val="24"/>
              </w:rPr>
              <w:t>de décaissement appropriée telle qu’elle est décrite dans l’accord de prêt conclu avec la Banque</w:t>
            </w:r>
            <w:r w:rsidRPr="00BD76AF">
              <w:rPr>
                <w:szCs w:val="24"/>
              </w:rPr>
              <w:t>.</w:t>
            </w:r>
            <w:r w:rsidRPr="00BD76AF">
              <w:rPr>
                <w:iCs/>
                <w:szCs w:val="24"/>
                <w:lang w:eastAsia="ja-JP"/>
              </w:rPr>
              <w:t>]</w:t>
            </w:r>
          </w:p>
          <w:p w14:paraId="0AB71701" w14:textId="77777777" w:rsidR="00F332DA" w:rsidRPr="00BD76AF" w:rsidRDefault="00F332DA" w:rsidP="00C14772">
            <w:pPr>
              <w:tabs>
                <w:tab w:val="left" w:pos="426"/>
              </w:tabs>
              <w:suppressAutoHyphens w:val="0"/>
              <w:overflowPunct/>
              <w:autoSpaceDE/>
              <w:autoSpaceDN/>
              <w:adjustRightInd/>
              <w:spacing w:before="60" w:after="60"/>
              <w:textAlignment w:val="auto"/>
              <w:rPr>
                <w:iCs/>
                <w:szCs w:val="24"/>
                <w:lang w:eastAsia="ja-JP"/>
              </w:rPr>
            </w:pPr>
            <w:r w:rsidRPr="00BD76AF">
              <w:rPr>
                <w:bCs/>
                <w:szCs w:val="24"/>
                <w:lang w:eastAsia="ja-JP"/>
              </w:rPr>
              <w:t xml:space="preserve">b) </w:t>
            </w:r>
            <w:r w:rsidRPr="00BD76AF">
              <w:rPr>
                <w:bCs/>
                <w:szCs w:val="24"/>
                <w:lang w:eastAsia="en-US"/>
              </w:rPr>
              <w:t>monnaie étrangère :</w:t>
            </w:r>
            <w:r w:rsidRPr="00BD76AF">
              <w:rPr>
                <w:szCs w:val="24"/>
              </w:rPr>
              <w:t xml:space="preserve"> [</w:t>
            </w:r>
            <w:r w:rsidRPr="00BD76AF">
              <w:rPr>
                <w:i/>
                <w:szCs w:val="24"/>
              </w:rPr>
              <w:t>Insérer la procédure de décaissement appropriée telle qu’elle est décrite dans l’accord de prêt conclu avec la Banque.</w:t>
            </w:r>
            <w:r w:rsidRPr="00BD76AF">
              <w:rPr>
                <w:iCs/>
                <w:szCs w:val="24"/>
                <w:lang w:eastAsia="ja-JP"/>
              </w:rPr>
              <w:t>]</w:t>
            </w:r>
          </w:p>
          <w:p w14:paraId="2CFA4207" w14:textId="77777777" w:rsidR="00F332DA" w:rsidRPr="00BD76AF" w:rsidRDefault="00F332DA" w:rsidP="0079334B">
            <w:pPr>
              <w:spacing w:before="60" w:after="60"/>
              <w:rPr>
                <w:iCs/>
                <w:szCs w:val="24"/>
                <w:lang w:eastAsia="ja-JP"/>
              </w:rPr>
            </w:pPr>
            <w:r w:rsidRPr="00BD76AF">
              <w:rPr>
                <w:iCs/>
                <w:szCs w:val="24"/>
                <w:lang w:eastAsia="ja-JP"/>
              </w:rPr>
              <w:t xml:space="preserve">Les brochures décrivant les procédures de décaissement de la JICA sont disponibles à l’adresse suivante : </w:t>
            </w:r>
          </w:p>
          <w:p w14:paraId="17C3D705" w14:textId="77777777" w:rsidR="00F332DA" w:rsidRPr="00BD76AF" w:rsidRDefault="00F332DA" w:rsidP="0079334B">
            <w:pPr>
              <w:tabs>
                <w:tab w:val="left" w:pos="426"/>
              </w:tabs>
              <w:suppressAutoHyphens w:val="0"/>
              <w:overflowPunct/>
              <w:autoSpaceDE/>
              <w:autoSpaceDN/>
              <w:adjustRightInd/>
              <w:spacing w:before="60" w:after="60"/>
              <w:jc w:val="left"/>
              <w:textAlignment w:val="auto"/>
              <w:rPr>
                <w:iCs/>
                <w:lang w:eastAsia="ja-JP"/>
              </w:rPr>
            </w:pPr>
            <w:r w:rsidRPr="00BD76AF">
              <w:rPr>
                <w:iCs/>
                <w:lang w:eastAsia="ja-JP"/>
              </w:rPr>
              <w:t>[</w:t>
            </w:r>
            <w:hyperlink r:id="rId93" w:history="1">
              <w:r w:rsidRPr="00BD76AF">
                <w:rPr>
                  <w:i/>
                  <w:iCs/>
                </w:rPr>
                <w:t>https://www.jica.go.jp/english/our_work/types_of_assistance/</w:t>
              </w:r>
            </w:hyperlink>
            <w:r w:rsidRPr="00BD76AF">
              <w:rPr>
                <w:i/>
                <w:iCs/>
                <w:lang w:eastAsia="ja-JP"/>
              </w:rPr>
              <w:t>oda_loans/oda_op_info/procedure</w:t>
            </w:r>
            <w:r w:rsidRPr="00BD76AF">
              <w:rPr>
                <w:iCs/>
                <w:lang w:eastAsia="ja-JP"/>
              </w:rPr>
              <w:t>]</w:t>
            </w:r>
          </w:p>
        </w:tc>
      </w:tr>
      <w:tr w:rsidR="00F332DA" w:rsidRPr="00BD76AF" w14:paraId="4127FC6D" w14:textId="77777777" w:rsidTr="008A3C2D">
        <w:tc>
          <w:tcPr>
            <w:tcW w:w="3348" w:type="dxa"/>
            <w:tcBorders>
              <w:top w:val="single" w:sz="2" w:space="0" w:color="auto"/>
              <w:left w:val="single" w:sz="2" w:space="0" w:color="auto"/>
              <w:bottom w:val="single" w:sz="2" w:space="0" w:color="auto"/>
              <w:right w:val="single" w:sz="2" w:space="0" w:color="auto"/>
            </w:tcBorders>
          </w:tcPr>
          <w:p w14:paraId="16045F7D" w14:textId="77777777" w:rsidR="00F332DA" w:rsidRPr="00BD76AF" w:rsidRDefault="00F332DA" w:rsidP="0079334B">
            <w:pPr>
              <w:spacing w:before="60" w:after="60"/>
              <w:jc w:val="left"/>
              <w:rPr>
                <w:b/>
                <w:bCs/>
                <w:szCs w:val="24"/>
                <w:lang w:val="en-GB" w:eastAsia="ja-JP"/>
              </w:rPr>
            </w:pPr>
            <w:r w:rsidRPr="00BD76AF">
              <w:rPr>
                <w:b/>
                <w:bCs/>
                <w:szCs w:val="24"/>
                <w:lang w:val="en-GB"/>
              </w:rPr>
              <w:t>Avance de paiement</w:t>
            </w:r>
          </w:p>
        </w:tc>
        <w:tc>
          <w:tcPr>
            <w:tcW w:w="1440" w:type="dxa"/>
            <w:tcBorders>
              <w:top w:val="single" w:sz="2" w:space="0" w:color="auto"/>
              <w:left w:val="single" w:sz="2" w:space="0" w:color="auto"/>
              <w:bottom w:val="single" w:sz="2" w:space="0" w:color="auto"/>
              <w:right w:val="single" w:sz="2" w:space="0" w:color="auto"/>
            </w:tcBorders>
          </w:tcPr>
          <w:p w14:paraId="40D0042B" w14:textId="77777777" w:rsidR="00F332DA" w:rsidRPr="00BD76AF" w:rsidRDefault="00F332DA" w:rsidP="0079334B">
            <w:pPr>
              <w:spacing w:before="60" w:after="60"/>
              <w:rPr>
                <w:szCs w:val="24"/>
                <w:lang w:val="en-GB" w:eastAsia="ja-JP"/>
              </w:rPr>
            </w:pPr>
            <w:r w:rsidRPr="00BD76AF">
              <w:rPr>
                <w:szCs w:val="24"/>
                <w:lang w:val="en-GB"/>
              </w:rPr>
              <w:t>13.2.1</w:t>
            </w:r>
          </w:p>
        </w:tc>
        <w:tc>
          <w:tcPr>
            <w:tcW w:w="4261" w:type="dxa"/>
            <w:tcBorders>
              <w:top w:val="single" w:sz="2" w:space="0" w:color="auto"/>
              <w:left w:val="single" w:sz="2" w:space="0" w:color="auto"/>
              <w:bottom w:val="single" w:sz="2" w:space="0" w:color="auto"/>
              <w:right w:val="single" w:sz="2" w:space="0" w:color="auto"/>
            </w:tcBorders>
          </w:tcPr>
          <w:p w14:paraId="073CC396" w14:textId="77777777" w:rsidR="00F332DA" w:rsidRPr="00BD76AF" w:rsidRDefault="00F332DA" w:rsidP="0079334B">
            <w:pPr>
              <w:tabs>
                <w:tab w:val="left" w:pos="5283"/>
              </w:tabs>
              <w:spacing w:before="60" w:after="60"/>
              <w:rPr>
                <w:i/>
                <w:szCs w:val="24"/>
              </w:rPr>
            </w:pPr>
            <w:r w:rsidRPr="00BD76AF">
              <w:rPr>
                <w:iCs/>
                <w:szCs w:val="24"/>
                <w:lang w:eastAsia="ja-JP"/>
              </w:rPr>
              <w:t>[</w:t>
            </w:r>
            <w:r w:rsidRPr="00BD76AF">
              <w:rPr>
                <w:i/>
              </w:rPr>
              <w:t>Indiquer</w:t>
            </w:r>
            <w:r w:rsidRPr="00BD76AF">
              <w:rPr>
                <w:i/>
                <w:iCs/>
                <w:szCs w:val="24"/>
              </w:rPr>
              <w:t xml:space="preserve"> le </w:t>
            </w:r>
            <w:r w:rsidRPr="00BD76AF">
              <w:rPr>
                <w:i/>
                <w:iCs/>
                <w:szCs w:val="24"/>
                <w:lang w:eastAsia="ja-JP"/>
              </w:rPr>
              <w:t>pourcentage comme indiqué dans l’Annexe 1 (Conditions et procédures de règlement)</w:t>
            </w:r>
            <w:r w:rsidRPr="00BD76AF">
              <w:rPr>
                <w:iCs/>
                <w:szCs w:val="24"/>
              </w:rPr>
              <w:t>]</w:t>
            </w:r>
            <w:r w:rsidRPr="00BD76AF">
              <w:rPr>
                <w:szCs w:val="24"/>
              </w:rPr>
              <w:t xml:space="preserve"> % du Montant du Marché pour l’ensemble des Installations ou chacune des parties de celles-ci </w:t>
            </w:r>
            <w:r w:rsidRPr="00BD76AF">
              <w:rPr>
                <w:iCs/>
                <w:szCs w:val="24"/>
                <w:lang w:eastAsia="ja-JP"/>
              </w:rPr>
              <w:t>comme indiqué dans l’Annexe 1 (Conditions et procédures de règlement) et</w:t>
            </w:r>
            <w:r w:rsidRPr="00BD76AF">
              <w:rPr>
                <w:szCs w:val="24"/>
              </w:rPr>
              <w:t xml:space="preserve"> dans la(les) même(s) monnaie(s) du Montant du Marché ou de ladite partie de celui-ci.</w:t>
            </w:r>
          </w:p>
        </w:tc>
      </w:tr>
      <w:tr w:rsidR="00F332DA" w:rsidRPr="00BD76AF" w14:paraId="53603D40" w14:textId="77777777" w:rsidTr="008A3C2D">
        <w:tc>
          <w:tcPr>
            <w:tcW w:w="3348" w:type="dxa"/>
            <w:tcBorders>
              <w:top w:val="single" w:sz="2" w:space="0" w:color="auto"/>
              <w:left w:val="single" w:sz="2" w:space="0" w:color="auto"/>
              <w:bottom w:val="single" w:sz="2" w:space="0" w:color="auto"/>
              <w:right w:val="single" w:sz="2" w:space="0" w:color="auto"/>
            </w:tcBorders>
          </w:tcPr>
          <w:p w14:paraId="360BBE82" w14:textId="77777777" w:rsidR="00F332DA" w:rsidRPr="00BD76AF" w:rsidRDefault="00F332DA" w:rsidP="0079334B">
            <w:pPr>
              <w:spacing w:before="60" w:after="60"/>
              <w:jc w:val="left"/>
              <w:rPr>
                <w:b/>
                <w:bCs/>
                <w:szCs w:val="24"/>
                <w:lang w:val="en-GB" w:eastAsia="ja-JP"/>
              </w:rPr>
            </w:pPr>
            <w:r w:rsidRPr="00BD76AF">
              <w:rPr>
                <w:b/>
                <w:bCs/>
                <w:szCs w:val="24"/>
                <w:lang w:val="en-GB"/>
              </w:rPr>
              <w:t>Garantie de bonne exécution</w:t>
            </w:r>
          </w:p>
        </w:tc>
        <w:tc>
          <w:tcPr>
            <w:tcW w:w="1440" w:type="dxa"/>
            <w:tcBorders>
              <w:top w:val="single" w:sz="2" w:space="0" w:color="auto"/>
              <w:left w:val="single" w:sz="2" w:space="0" w:color="auto"/>
              <w:bottom w:val="single" w:sz="2" w:space="0" w:color="auto"/>
              <w:right w:val="single" w:sz="2" w:space="0" w:color="auto"/>
            </w:tcBorders>
          </w:tcPr>
          <w:p w14:paraId="7B98640E" w14:textId="77777777" w:rsidR="00F332DA" w:rsidRPr="00BD76AF" w:rsidRDefault="00F332DA" w:rsidP="004652AD">
            <w:pPr>
              <w:spacing w:before="60" w:after="60"/>
              <w:jc w:val="left"/>
              <w:rPr>
                <w:szCs w:val="24"/>
                <w:lang w:val="en-GB" w:eastAsia="ja-JP"/>
              </w:rPr>
            </w:pPr>
            <w:r w:rsidRPr="00BD76AF">
              <w:rPr>
                <w:szCs w:val="24"/>
                <w:lang w:val="en-GB"/>
              </w:rPr>
              <w:t>13.3.1 &amp; 13.3.2</w:t>
            </w:r>
          </w:p>
        </w:tc>
        <w:tc>
          <w:tcPr>
            <w:tcW w:w="4261" w:type="dxa"/>
            <w:tcBorders>
              <w:top w:val="single" w:sz="2" w:space="0" w:color="auto"/>
              <w:left w:val="single" w:sz="2" w:space="0" w:color="auto"/>
              <w:bottom w:val="single" w:sz="2" w:space="0" w:color="auto"/>
              <w:right w:val="single" w:sz="2" w:space="0" w:color="auto"/>
            </w:tcBorders>
          </w:tcPr>
          <w:p w14:paraId="20435D55" w14:textId="77777777" w:rsidR="00F332DA" w:rsidRPr="00BD76AF" w:rsidRDefault="00F332DA" w:rsidP="0079334B">
            <w:pPr>
              <w:tabs>
                <w:tab w:val="left" w:pos="5283"/>
              </w:tabs>
              <w:spacing w:before="60" w:after="60"/>
              <w:rPr>
                <w:iCs/>
                <w:szCs w:val="24"/>
                <w:lang w:eastAsia="ja-JP"/>
              </w:rPr>
            </w:pPr>
            <w:r w:rsidRPr="00BD76AF">
              <w:rPr>
                <w:szCs w:val="24"/>
              </w:rPr>
              <w:t>La garantie de bonne exécution doit être sous la forme de [</w:t>
            </w:r>
            <w:r w:rsidRPr="00BD76AF">
              <w:rPr>
                <w:i/>
                <w:szCs w:val="24"/>
              </w:rPr>
              <w:t>insérer soit «</w:t>
            </w:r>
            <w:r w:rsidRPr="00BD76AF">
              <w:rPr>
                <w:bCs/>
                <w:szCs w:val="24"/>
                <w:lang w:eastAsia="ja-JP"/>
              </w:rPr>
              <w:t> </w:t>
            </w:r>
            <w:r w:rsidRPr="00BD76AF">
              <w:rPr>
                <w:i/>
                <w:szCs w:val="24"/>
              </w:rPr>
              <w:t>une garantie bancaire sur demande</w:t>
            </w:r>
            <w:r w:rsidRPr="00BD76AF">
              <w:rPr>
                <w:bCs/>
                <w:szCs w:val="24"/>
                <w:lang w:eastAsia="ja-JP"/>
              </w:rPr>
              <w:t> </w:t>
            </w:r>
            <w:r w:rsidRPr="00BD76AF">
              <w:rPr>
                <w:i/>
                <w:szCs w:val="24"/>
              </w:rPr>
              <w:t>» ou «</w:t>
            </w:r>
            <w:r w:rsidRPr="00BD76AF">
              <w:rPr>
                <w:bCs/>
                <w:szCs w:val="24"/>
                <w:lang w:eastAsia="ja-JP"/>
              </w:rPr>
              <w:t> </w:t>
            </w:r>
            <w:r w:rsidRPr="00BD76AF">
              <w:rPr>
                <w:i/>
                <w:szCs w:val="24"/>
              </w:rPr>
              <w:t>un cautionnement</w:t>
            </w:r>
            <w:r w:rsidRPr="00BD76AF">
              <w:rPr>
                <w:bCs/>
                <w:szCs w:val="24"/>
                <w:lang w:eastAsia="ja-JP"/>
              </w:rPr>
              <w:t> </w:t>
            </w:r>
            <w:r w:rsidRPr="00BD76AF">
              <w:rPr>
                <w:i/>
                <w:szCs w:val="24"/>
              </w:rPr>
              <w:t>»</w:t>
            </w:r>
            <w:r w:rsidRPr="00BD76AF">
              <w:rPr>
                <w:szCs w:val="24"/>
              </w:rPr>
              <w:t>] pour le(s) montant(s) correspondant à [</w:t>
            </w:r>
            <w:r w:rsidRPr="00BD76AF">
              <w:rPr>
                <w:i/>
                <w:szCs w:val="24"/>
              </w:rPr>
              <w:t>indiquer le pourcentage</w:t>
            </w:r>
            <w:r w:rsidRPr="00BD76AF">
              <w:rPr>
                <w:szCs w:val="24"/>
              </w:rPr>
              <w:t>] % du Montant du Marché et dans la(les) même(s) monnaie(s) que le Montant du Marché.</w:t>
            </w:r>
          </w:p>
        </w:tc>
      </w:tr>
      <w:tr w:rsidR="00F332DA" w:rsidRPr="00BD76AF" w14:paraId="032F7964" w14:textId="77777777" w:rsidTr="008A3C2D">
        <w:tc>
          <w:tcPr>
            <w:tcW w:w="3348" w:type="dxa"/>
            <w:tcBorders>
              <w:top w:val="single" w:sz="2" w:space="0" w:color="auto"/>
              <w:left w:val="single" w:sz="2" w:space="0" w:color="auto"/>
              <w:right w:val="single" w:sz="2" w:space="0" w:color="auto"/>
            </w:tcBorders>
          </w:tcPr>
          <w:p w14:paraId="2E1AA302" w14:textId="77777777" w:rsidR="00F332DA" w:rsidRPr="00BD76AF" w:rsidRDefault="00F332DA" w:rsidP="0079334B">
            <w:pPr>
              <w:spacing w:before="60" w:after="60"/>
              <w:jc w:val="left"/>
              <w:rPr>
                <w:b/>
                <w:bCs/>
                <w:szCs w:val="24"/>
                <w:lang w:eastAsia="ja-JP"/>
              </w:rPr>
            </w:pPr>
            <w:r w:rsidRPr="00BD76AF">
              <w:rPr>
                <w:b/>
                <w:bCs/>
                <w:szCs w:val="24"/>
                <w:lang w:eastAsia="ja-JP"/>
              </w:rPr>
              <w:t>Obligations de l’Entrepreneur vis-à-vis des impôts et taxes appliqués sur les paiements :</w:t>
            </w:r>
          </w:p>
        </w:tc>
        <w:tc>
          <w:tcPr>
            <w:tcW w:w="1440" w:type="dxa"/>
            <w:tcBorders>
              <w:top w:val="single" w:sz="2" w:space="0" w:color="auto"/>
              <w:left w:val="single" w:sz="2" w:space="0" w:color="auto"/>
              <w:right w:val="single" w:sz="2" w:space="0" w:color="auto"/>
            </w:tcBorders>
          </w:tcPr>
          <w:p w14:paraId="4EEC46A3" w14:textId="77777777" w:rsidR="00F332DA" w:rsidRPr="00BD76AF" w:rsidRDefault="00F332DA" w:rsidP="00073CB1">
            <w:pPr>
              <w:spacing w:before="60" w:after="60"/>
              <w:rPr>
                <w:szCs w:val="24"/>
                <w:lang w:val="en-GB" w:eastAsia="ja-JP"/>
              </w:rPr>
            </w:pPr>
            <w:r w:rsidRPr="00BD76AF">
              <w:rPr>
                <w:szCs w:val="24"/>
              </w:rPr>
              <w:t>14.1 a)</w:t>
            </w:r>
          </w:p>
        </w:tc>
        <w:tc>
          <w:tcPr>
            <w:tcW w:w="4261" w:type="dxa"/>
            <w:tcBorders>
              <w:top w:val="single" w:sz="2" w:space="0" w:color="auto"/>
              <w:left w:val="single" w:sz="2" w:space="0" w:color="auto"/>
              <w:right w:val="single" w:sz="2" w:space="0" w:color="auto"/>
            </w:tcBorders>
          </w:tcPr>
          <w:p w14:paraId="595EBCEC" w14:textId="77777777" w:rsidR="00F332DA" w:rsidRPr="00BD76AF" w:rsidRDefault="00F332DA" w:rsidP="0079334B">
            <w:pPr>
              <w:tabs>
                <w:tab w:val="left" w:pos="5283"/>
              </w:tabs>
              <w:spacing w:before="60" w:after="60"/>
              <w:rPr>
                <w:i/>
                <w:iCs/>
                <w:szCs w:val="24"/>
                <w:lang w:eastAsia="ja-JP" w:bidi="ta-IN"/>
              </w:rPr>
            </w:pPr>
            <w:r w:rsidRPr="00BD76AF">
              <w:rPr>
                <w:iCs/>
                <w:szCs w:val="24"/>
                <w:lang w:eastAsia="ja-JP" w:bidi="ta-IN"/>
              </w:rPr>
              <w:t>[</w:t>
            </w:r>
            <w:r w:rsidRPr="00BD76AF">
              <w:rPr>
                <w:i/>
                <w:iCs/>
                <w:szCs w:val="24"/>
                <w:lang w:eastAsia="ja-JP" w:bidi="ta-IN"/>
              </w:rPr>
              <w:t>Cet Article doit être conforme à IS 14.9 dans le cas d’une procédure à une étape-deux enveloppes et à IS 30.9 dans le cas d’une procédure à deux étapes-une enveloppe.</w:t>
            </w:r>
            <w:r w:rsidRPr="00BD76AF">
              <w:rPr>
                <w:rFonts w:hint="eastAsia"/>
                <w:i/>
                <w:iCs/>
                <w:szCs w:val="24"/>
                <w:lang w:eastAsia="ja-JP" w:bidi="ta-IN"/>
              </w:rPr>
              <w:t xml:space="preserve"> </w:t>
            </w:r>
            <w:r w:rsidRPr="00BD76AF">
              <w:rPr>
                <w:i/>
                <w:iCs/>
                <w:szCs w:val="24"/>
                <w:lang w:eastAsia="ja-JP" w:bidi="ta-IN"/>
              </w:rPr>
              <w:t xml:space="preserve">Le Maître d’ouvrage spécifiera les listes visées aux a) et/ou b) ci-dessous, le cas échéant et de façon complète, en indiquant clairement les droits, taxes et prélèvements exemptés et les catégories d’exemptions correspondantes, conformément à l’Échange de notes entre les gouvernements du Pays Hôte et du Japon et en vertu de la législation du Pays Hôte. </w:t>
            </w:r>
          </w:p>
          <w:p w14:paraId="22827E2E" w14:textId="77777777" w:rsidR="00F332DA" w:rsidRPr="00BD76AF" w:rsidRDefault="00F332DA" w:rsidP="004E4C9E">
            <w:pPr>
              <w:tabs>
                <w:tab w:val="left" w:pos="5283"/>
              </w:tabs>
              <w:spacing w:before="60" w:after="120"/>
              <w:rPr>
                <w:iCs/>
                <w:szCs w:val="24"/>
                <w:lang w:eastAsia="ja-JP"/>
              </w:rPr>
            </w:pPr>
            <w:r w:rsidRPr="00BD76AF">
              <w:rPr>
                <w:i/>
                <w:iCs/>
                <w:szCs w:val="24"/>
                <w:lang w:eastAsia="ja-JP" w:bidi="ta-IN"/>
              </w:rPr>
              <w:t>Sinon, supprimer entièrement cet Article 14.1 des DM.</w:t>
            </w:r>
            <w:r w:rsidRPr="00BD76AF">
              <w:rPr>
                <w:iCs/>
                <w:szCs w:val="24"/>
                <w:lang w:eastAsia="ja-JP" w:bidi="ta-IN"/>
              </w:rPr>
              <w:t>]</w:t>
            </w:r>
          </w:p>
        </w:tc>
      </w:tr>
      <w:tr w:rsidR="00F332DA" w:rsidRPr="00BD76AF" w14:paraId="38CEFA67" w14:textId="77777777" w:rsidTr="00E51E3C">
        <w:trPr>
          <w:trHeight w:val="5242"/>
        </w:trPr>
        <w:tc>
          <w:tcPr>
            <w:tcW w:w="3348" w:type="dxa"/>
            <w:tcBorders>
              <w:left w:val="single" w:sz="2" w:space="0" w:color="auto"/>
              <w:right w:val="single" w:sz="2" w:space="0" w:color="auto"/>
            </w:tcBorders>
          </w:tcPr>
          <w:p w14:paraId="4F509A2A" w14:textId="77777777" w:rsidR="00F332DA" w:rsidRPr="00BD76AF" w:rsidRDefault="00F332DA" w:rsidP="0079334B">
            <w:pPr>
              <w:spacing w:before="60" w:after="60"/>
              <w:jc w:val="left"/>
              <w:rPr>
                <w:b/>
                <w:bCs/>
                <w:szCs w:val="24"/>
                <w:lang w:eastAsia="ja-JP"/>
              </w:rPr>
            </w:pPr>
          </w:p>
        </w:tc>
        <w:tc>
          <w:tcPr>
            <w:tcW w:w="1440" w:type="dxa"/>
            <w:tcBorders>
              <w:left w:val="single" w:sz="2" w:space="0" w:color="auto"/>
              <w:right w:val="single" w:sz="2" w:space="0" w:color="auto"/>
            </w:tcBorders>
          </w:tcPr>
          <w:p w14:paraId="623716DF" w14:textId="77777777" w:rsidR="00F332DA" w:rsidRPr="00BD76AF" w:rsidRDefault="00F332DA" w:rsidP="0079334B">
            <w:pPr>
              <w:spacing w:before="60" w:after="60"/>
              <w:rPr>
                <w:szCs w:val="24"/>
              </w:rPr>
            </w:pPr>
          </w:p>
        </w:tc>
        <w:tc>
          <w:tcPr>
            <w:tcW w:w="4261" w:type="dxa"/>
            <w:tcBorders>
              <w:left w:val="single" w:sz="2" w:space="0" w:color="auto"/>
              <w:right w:val="single" w:sz="2" w:space="0" w:color="auto"/>
            </w:tcBorders>
          </w:tcPr>
          <w:p w14:paraId="76756324" w14:textId="77777777" w:rsidR="00F332DA" w:rsidRPr="00BD76AF" w:rsidRDefault="00F332DA" w:rsidP="0079334B"/>
          <w:tbl>
            <w:tblPr>
              <w:tblW w:w="39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29"/>
              <w:gridCol w:w="2268"/>
            </w:tblGrid>
            <w:tr w:rsidR="00F332DA" w:rsidRPr="00BD76AF" w14:paraId="21DDC120" w14:textId="77777777" w:rsidTr="0079334B">
              <w:tc>
                <w:tcPr>
                  <w:tcW w:w="1729" w:type="dxa"/>
                  <w:tcBorders>
                    <w:top w:val="double" w:sz="4" w:space="0" w:color="auto"/>
                    <w:bottom w:val="double" w:sz="4" w:space="0" w:color="auto"/>
                  </w:tcBorders>
                  <w:shd w:val="clear" w:color="auto" w:fill="auto"/>
                </w:tcPr>
                <w:p w14:paraId="10695F22" w14:textId="77777777" w:rsidR="00F332DA" w:rsidRPr="00BD76AF" w:rsidRDefault="00F332DA" w:rsidP="0079334B">
                  <w:pPr>
                    <w:spacing w:after="120"/>
                    <w:jc w:val="left"/>
                    <w:rPr>
                      <w:iCs/>
                      <w:szCs w:val="24"/>
                      <w:lang w:bidi="ta-IN"/>
                    </w:rPr>
                  </w:pPr>
                  <w:r w:rsidRPr="00BD76AF">
                    <w:rPr>
                      <w:iCs/>
                      <w:szCs w:val="24"/>
                      <w:lang w:bidi="ta-IN"/>
                    </w:rPr>
                    <w:t>Droits, taxes, et prélèvements</w:t>
                  </w:r>
                </w:p>
              </w:tc>
              <w:tc>
                <w:tcPr>
                  <w:tcW w:w="2268" w:type="dxa"/>
                  <w:tcBorders>
                    <w:top w:val="double" w:sz="4" w:space="0" w:color="auto"/>
                    <w:bottom w:val="double" w:sz="4" w:space="0" w:color="auto"/>
                  </w:tcBorders>
                  <w:shd w:val="clear" w:color="auto" w:fill="auto"/>
                </w:tcPr>
                <w:p w14:paraId="357342FD" w14:textId="77777777" w:rsidR="00F332DA" w:rsidRPr="00BD76AF" w:rsidRDefault="00F332DA" w:rsidP="0079334B">
                  <w:pPr>
                    <w:spacing w:after="120"/>
                    <w:jc w:val="left"/>
                    <w:rPr>
                      <w:szCs w:val="24"/>
                      <w:lang w:bidi="ta-IN"/>
                    </w:rPr>
                  </w:pPr>
                  <w:r w:rsidRPr="00BD76AF">
                    <w:rPr>
                      <w:szCs w:val="24"/>
                      <w:lang w:bidi="ta-IN"/>
                    </w:rPr>
                    <w:t>Catégories d’exemptions</w:t>
                  </w:r>
                </w:p>
              </w:tc>
            </w:tr>
            <w:tr w:rsidR="00F332DA" w:rsidRPr="00BD76AF" w14:paraId="356A097A" w14:textId="77777777" w:rsidTr="0079334B">
              <w:tc>
                <w:tcPr>
                  <w:tcW w:w="1729" w:type="dxa"/>
                  <w:tcBorders>
                    <w:top w:val="double" w:sz="4" w:space="0" w:color="auto"/>
                  </w:tcBorders>
                  <w:shd w:val="clear" w:color="auto" w:fill="auto"/>
                </w:tcPr>
                <w:p w14:paraId="53469A9A" w14:textId="77777777" w:rsidR="00F332DA" w:rsidRPr="00BD76AF" w:rsidRDefault="00F332DA" w:rsidP="0079334B">
                  <w:pPr>
                    <w:spacing w:after="120"/>
                    <w:jc w:val="left"/>
                    <w:rPr>
                      <w:szCs w:val="24"/>
                      <w:lang w:bidi="ta-IN"/>
                    </w:rPr>
                  </w:pPr>
                  <w:r w:rsidRPr="00BD76AF">
                    <w:rPr>
                      <w:szCs w:val="24"/>
                      <w:lang w:bidi="ta-IN"/>
                    </w:rPr>
                    <w:t>[</w:t>
                  </w:r>
                  <w:r w:rsidRPr="00BD76AF">
                    <w:rPr>
                      <w:i/>
                      <w:szCs w:val="24"/>
                      <w:lang w:bidi="ta-IN"/>
                    </w:rPr>
                    <w:t>indiquer les droits, taxes et prélèvements</w:t>
                  </w:r>
                  <w:r w:rsidRPr="00BD76AF">
                    <w:rPr>
                      <w:iCs/>
                      <w:szCs w:val="24"/>
                      <w:lang w:bidi="ta-IN"/>
                    </w:rPr>
                    <w:t>]</w:t>
                  </w:r>
                </w:p>
              </w:tc>
              <w:tc>
                <w:tcPr>
                  <w:tcW w:w="2268" w:type="dxa"/>
                  <w:tcBorders>
                    <w:top w:val="double" w:sz="4" w:space="0" w:color="auto"/>
                  </w:tcBorders>
                  <w:shd w:val="clear" w:color="auto" w:fill="auto"/>
                </w:tcPr>
                <w:p w14:paraId="56A5E5B4" w14:textId="77777777" w:rsidR="00F332DA" w:rsidRPr="00BD76AF" w:rsidRDefault="00F332DA" w:rsidP="0079334B">
                  <w:pPr>
                    <w:spacing w:after="120"/>
                    <w:jc w:val="left"/>
                    <w:rPr>
                      <w:szCs w:val="24"/>
                      <w:lang w:bidi="ta-IN"/>
                    </w:rPr>
                  </w:pPr>
                  <w:r w:rsidRPr="00BD76AF">
                    <w:rPr>
                      <w:szCs w:val="24"/>
                      <w:lang w:bidi="ta-IN"/>
                    </w:rPr>
                    <w:t>[</w:t>
                  </w:r>
                  <w:r w:rsidRPr="00BD76AF">
                    <w:rPr>
                      <w:i/>
                      <w:szCs w:val="24"/>
                      <w:lang w:bidi="ta-IN"/>
                    </w:rPr>
                    <w:t>indiquer « Sans paiement » ou « Avec paiement &amp; remboursement »</w:t>
                  </w:r>
                  <w:r w:rsidRPr="00BD76AF">
                    <w:rPr>
                      <w:szCs w:val="24"/>
                      <w:lang w:bidi="ta-IN"/>
                    </w:rPr>
                    <w:t>]</w:t>
                  </w:r>
                </w:p>
              </w:tc>
            </w:tr>
            <w:tr w:rsidR="00F332DA" w:rsidRPr="00BD76AF" w14:paraId="5C0C56F2" w14:textId="77777777" w:rsidTr="001E211D">
              <w:tc>
                <w:tcPr>
                  <w:tcW w:w="1729" w:type="dxa"/>
                  <w:tcBorders>
                    <w:bottom w:val="single" w:sz="4" w:space="0" w:color="auto"/>
                  </w:tcBorders>
                  <w:shd w:val="clear" w:color="auto" w:fill="auto"/>
                </w:tcPr>
                <w:p w14:paraId="3FFA540E" w14:textId="77777777" w:rsidR="00F332DA" w:rsidRPr="00BD76AF" w:rsidRDefault="00F332DA" w:rsidP="0079334B">
                  <w:pPr>
                    <w:spacing w:after="120"/>
                    <w:jc w:val="left"/>
                    <w:rPr>
                      <w:szCs w:val="24"/>
                      <w:lang w:bidi="ta-IN"/>
                    </w:rPr>
                  </w:pPr>
                  <w:r w:rsidRPr="00BD76AF">
                    <w:rPr>
                      <w:szCs w:val="24"/>
                      <w:lang w:bidi="ta-IN"/>
                    </w:rPr>
                    <w:t>[</w:t>
                  </w:r>
                  <w:r w:rsidRPr="00BD76AF">
                    <w:rPr>
                      <w:i/>
                      <w:szCs w:val="24"/>
                      <w:lang w:bidi="ta-IN"/>
                    </w:rPr>
                    <w:t>indiquer les droits, taxes et prélèvements</w:t>
                  </w:r>
                  <w:r w:rsidRPr="00BD76AF">
                    <w:rPr>
                      <w:iCs/>
                      <w:szCs w:val="24"/>
                      <w:lang w:bidi="ta-IN"/>
                    </w:rPr>
                    <w:t>]</w:t>
                  </w:r>
                </w:p>
              </w:tc>
              <w:tc>
                <w:tcPr>
                  <w:tcW w:w="2268" w:type="dxa"/>
                  <w:tcBorders>
                    <w:bottom w:val="single" w:sz="4" w:space="0" w:color="auto"/>
                  </w:tcBorders>
                  <w:shd w:val="clear" w:color="auto" w:fill="auto"/>
                </w:tcPr>
                <w:p w14:paraId="0177628C" w14:textId="77777777" w:rsidR="00F332DA" w:rsidRPr="00BD76AF" w:rsidRDefault="00F332DA" w:rsidP="0079334B">
                  <w:pPr>
                    <w:spacing w:after="120"/>
                    <w:jc w:val="left"/>
                    <w:rPr>
                      <w:szCs w:val="24"/>
                      <w:lang w:bidi="ta-IN"/>
                    </w:rPr>
                  </w:pPr>
                  <w:r w:rsidRPr="00BD76AF">
                    <w:rPr>
                      <w:szCs w:val="24"/>
                      <w:lang w:bidi="ta-IN"/>
                    </w:rPr>
                    <w:t>[</w:t>
                  </w:r>
                  <w:r w:rsidRPr="00BD76AF">
                    <w:rPr>
                      <w:i/>
                      <w:szCs w:val="24"/>
                      <w:lang w:bidi="ta-IN"/>
                    </w:rPr>
                    <w:t>indiquer « Sans paiement » ou « Avec paiement &amp; remboursement »</w:t>
                  </w:r>
                  <w:r w:rsidRPr="00BD76AF">
                    <w:rPr>
                      <w:szCs w:val="24"/>
                      <w:lang w:bidi="ta-IN"/>
                    </w:rPr>
                    <w:t>]</w:t>
                  </w:r>
                </w:p>
              </w:tc>
            </w:tr>
            <w:tr w:rsidR="00F332DA" w:rsidRPr="00BD76AF" w14:paraId="66A8B908" w14:textId="77777777" w:rsidTr="001E211D">
              <w:tc>
                <w:tcPr>
                  <w:tcW w:w="1729" w:type="dxa"/>
                  <w:tcBorders>
                    <w:top w:val="single" w:sz="4" w:space="0" w:color="auto"/>
                    <w:bottom w:val="double" w:sz="4" w:space="0" w:color="auto"/>
                  </w:tcBorders>
                  <w:shd w:val="clear" w:color="auto" w:fill="auto"/>
                </w:tcPr>
                <w:p w14:paraId="607063B2" w14:textId="77777777" w:rsidR="00F332DA" w:rsidRPr="00BD76AF" w:rsidRDefault="00F332DA" w:rsidP="0079334B">
                  <w:pPr>
                    <w:spacing w:after="120"/>
                    <w:jc w:val="left"/>
                    <w:rPr>
                      <w:szCs w:val="24"/>
                      <w:lang w:bidi="ta-IN"/>
                    </w:rPr>
                  </w:pPr>
                  <w:r w:rsidRPr="00BD76AF">
                    <w:rPr>
                      <w:szCs w:val="24"/>
                      <w:lang w:bidi="ta-IN"/>
                    </w:rPr>
                    <w:t>[</w:t>
                  </w:r>
                  <w:r w:rsidRPr="00BD76AF">
                    <w:rPr>
                      <w:i/>
                      <w:szCs w:val="24"/>
                      <w:lang w:bidi="ta-IN"/>
                    </w:rPr>
                    <w:t>indiquer les droits, taxes et prélèvements</w:t>
                  </w:r>
                  <w:r w:rsidRPr="00BD76AF">
                    <w:rPr>
                      <w:iCs/>
                      <w:szCs w:val="24"/>
                      <w:lang w:bidi="ta-IN"/>
                    </w:rPr>
                    <w:t>]</w:t>
                  </w:r>
                </w:p>
              </w:tc>
              <w:tc>
                <w:tcPr>
                  <w:tcW w:w="2268" w:type="dxa"/>
                  <w:tcBorders>
                    <w:top w:val="single" w:sz="4" w:space="0" w:color="auto"/>
                    <w:bottom w:val="double" w:sz="4" w:space="0" w:color="auto"/>
                  </w:tcBorders>
                  <w:shd w:val="clear" w:color="auto" w:fill="auto"/>
                </w:tcPr>
                <w:p w14:paraId="52AD8A8A" w14:textId="77777777" w:rsidR="00F332DA" w:rsidRPr="00BD76AF" w:rsidRDefault="00F332DA" w:rsidP="0079334B">
                  <w:pPr>
                    <w:spacing w:after="120"/>
                    <w:jc w:val="left"/>
                    <w:rPr>
                      <w:szCs w:val="24"/>
                      <w:lang w:bidi="ta-IN"/>
                    </w:rPr>
                  </w:pPr>
                  <w:r w:rsidRPr="00BD76AF">
                    <w:rPr>
                      <w:szCs w:val="24"/>
                      <w:lang w:bidi="ta-IN"/>
                    </w:rPr>
                    <w:t>[</w:t>
                  </w:r>
                  <w:r w:rsidRPr="00BD76AF">
                    <w:rPr>
                      <w:i/>
                      <w:szCs w:val="24"/>
                      <w:lang w:bidi="ta-IN"/>
                    </w:rPr>
                    <w:t>indiquer « Sans paiement » ou « Avec paiement &amp; remboursement »</w:t>
                  </w:r>
                  <w:r w:rsidRPr="00BD76AF">
                    <w:rPr>
                      <w:szCs w:val="24"/>
                      <w:lang w:bidi="ta-IN"/>
                    </w:rPr>
                    <w:t>]</w:t>
                  </w:r>
                </w:p>
              </w:tc>
            </w:tr>
          </w:tbl>
          <w:p w14:paraId="71CF4D22" w14:textId="77777777" w:rsidR="00F332DA" w:rsidRPr="00BD76AF" w:rsidRDefault="00F332DA" w:rsidP="0079334B">
            <w:pPr>
              <w:tabs>
                <w:tab w:val="left" w:pos="5283"/>
              </w:tabs>
              <w:spacing w:before="60" w:after="60"/>
              <w:rPr>
                <w:iCs/>
                <w:szCs w:val="24"/>
                <w:lang w:eastAsia="ja-JP" w:bidi="ta-IN"/>
              </w:rPr>
            </w:pPr>
          </w:p>
        </w:tc>
      </w:tr>
      <w:tr w:rsidR="00F332DA" w:rsidRPr="00BD76AF" w14:paraId="20AC30C2" w14:textId="77777777" w:rsidTr="008A3C2D">
        <w:tc>
          <w:tcPr>
            <w:tcW w:w="3348" w:type="dxa"/>
            <w:tcBorders>
              <w:left w:val="single" w:sz="2" w:space="0" w:color="auto"/>
              <w:bottom w:val="single" w:sz="2" w:space="0" w:color="auto"/>
              <w:right w:val="single" w:sz="2" w:space="0" w:color="auto"/>
            </w:tcBorders>
          </w:tcPr>
          <w:p w14:paraId="77690E5E" w14:textId="77777777" w:rsidR="00F332DA" w:rsidRPr="00BD76AF" w:rsidRDefault="00F332DA" w:rsidP="0079334B">
            <w:pPr>
              <w:spacing w:before="60" w:after="60"/>
              <w:jc w:val="left"/>
              <w:rPr>
                <w:b/>
                <w:bCs/>
                <w:szCs w:val="24"/>
                <w:lang w:eastAsia="ja-JP"/>
              </w:rPr>
            </w:pPr>
          </w:p>
        </w:tc>
        <w:tc>
          <w:tcPr>
            <w:tcW w:w="1440" w:type="dxa"/>
            <w:tcBorders>
              <w:left w:val="single" w:sz="2" w:space="0" w:color="auto"/>
              <w:bottom w:val="single" w:sz="2" w:space="0" w:color="auto"/>
              <w:right w:val="single" w:sz="2" w:space="0" w:color="auto"/>
            </w:tcBorders>
          </w:tcPr>
          <w:p w14:paraId="14591AE5" w14:textId="77777777" w:rsidR="00F332DA" w:rsidRPr="00BD76AF" w:rsidRDefault="00F332DA" w:rsidP="00073CB1">
            <w:pPr>
              <w:spacing w:before="60" w:after="60"/>
              <w:rPr>
                <w:szCs w:val="24"/>
              </w:rPr>
            </w:pPr>
            <w:r w:rsidRPr="00BD76AF">
              <w:rPr>
                <w:szCs w:val="24"/>
              </w:rPr>
              <w:t>14.1 b)</w:t>
            </w:r>
          </w:p>
        </w:tc>
        <w:tc>
          <w:tcPr>
            <w:tcW w:w="4261" w:type="dxa"/>
            <w:tcBorders>
              <w:left w:val="single" w:sz="2" w:space="0" w:color="auto"/>
              <w:bottom w:val="single" w:sz="2" w:space="0" w:color="auto"/>
              <w:right w:val="single" w:sz="2" w:space="0" w:color="auto"/>
            </w:tcBorders>
          </w:tcPr>
          <w:p w14:paraId="396988A7" w14:textId="77777777" w:rsidR="00F332DA" w:rsidRPr="00BD76AF" w:rsidRDefault="00F332DA" w:rsidP="00E51E3C">
            <w:pPr>
              <w:tabs>
                <w:tab w:val="left" w:pos="5283"/>
              </w:tabs>
              <w:spacing w:before="60" w:after="120"/>
              <w:rPr>
                <w:iCs/>
                <w:szCs w:val="24"/>
                <w:lang w:eastAsia="ja-JP" w:bidi="ta-IN"/>
              </w:rPr>
            </w:pPr>
            <w:r w:rsidRPr="00BD76AF">
              <w:rPr>
                <w:iCs/>
                <w:szCs w:val="24"/>
                <w:lang w:eastAsia="ja-JP" w:bidi="ta-IN"/>
              </w:rPr>
              <w:t>[</w:t>
            </w:r>
            <w:r w:rsidRPr="00BD76AF">
              <w:rPr>
                <w:i/>
                <w:iCs/>
                <w:szCs w:val="24"/>
                <w:lang w:eastAsia="ja-JP" w:bidi="ta-IN"/>
              </w:rPr>
              <w:t>Indiquer les droits, taxes et prélèvements qui doivent être payés par le Maître d’ouvrage pour le compte de l’Entrepreneur.</w:t>
            </w:r>
            <w:r w:rsidRPr="00BD76AF">
              <w:rPr>
                <w:iCs/>
                <w:szCs w:val="24"/>
                <w:lang w:eastAsia="ja-JP" w:bidi="ta-IN"/>
              </w:rPr>
              <w:t>]</w:t>
            </w:r>
          </w:p>
        </w:tc>
      </w:tr>
      <w:tr w:rsidR="00F332DA" w:rsidRPr="00BD76AF" w14:paraId="6A3D1EDB" w14:textId="77777777" w:rsidTr="008A3C2D">
        <w:tc>
          <w:tcPr>
            <w:tcW w:w="3348" w:type="dxa"/>
            <w:tcBorders>
              <w:top w:val="single" w:sz="2" w:space="0" w:color="auto"/>
              <w:left w:val="single" w:sz="2" w:space="0" w:color="auto"/>
              <w:bottom w:val="single" w:sz="2" w:space="0" w:color="auto"/>
              <w:right w:val="single" w:sz="2" w:space="0" w:color="auto"/>
            </w:tcBorders>
          </w:tcPr>
          <w:p w14:paraId="08D73DE6" w14:textId="77777777" w:rsidR="00F332DA" w:rsidRPr="00BD76AF" w:rsidRDefault="00F332DA" w:rsidP="0079334B">
            <w:pPr>
              <w:spacing w:before="60" w:after="60"/>
              <w:rPr>
                <w:b/>
                <w:bCs/>
                <w:szCs w:val="24"/>
                <w:lang w:eastAsia="ja-JP"/>
              </w:rPr>
            </w:pPr>
            <w:r w:rsidRPr="00BD76AF">
              <w:rPr>
                <w:b/>
                <w:bCs/>
                <w:szCs w:val="24"/>
                <w:lang w:eastAsia="ja-JP"/>
              </w:rPr>
              <w:t>Délai d’approbation/examen des documents techniques par le Directeur de projet</w:t>
            </w:r>
          </w:p>
        </w:tc>
        <w:tc>
          <w:tcPr>
            <w:tcW w:w="1440" w:type="dxa"/>
            <w:tcBorders>
              <w:top w:val="single" w:sz="2" w:space="0" w:color="auto"/>
              <w:left w:val="single" w:sz="2" w:space="0" w:color="auto"/>
              <w:bottom w:val="single" w:sz="2" w:space="0" w:color="auto"/>
              <w:right w:val="single" w:sz="2" w:space="0" w:color="auto"/>
            </w:tcBorders>
          </w:tcPr>
          <w:p w14:paraId="446E559B" w14:textId="77777777" w:rsidR="00F332DA" w:rsidRPr="00BD76AF" w:rsidRDefault="00F332DA" w:rsidP="0079334B">
            <w:pPr>
              <w:spacing w:before="60" w:after="60"/>
              <w:rPr>
                <w:szCs w:val="24"/>
              </w:rPr>
            </w:pPr>
            <w:r w:rsidRPr="00BD76AF">
              <w:rPr>
                <w:szCs w:val="24"/>
                <w:lang w:val="en-GB"/>
              </w:rPr>
              <w:t>20.3.2</w:t>
            </w:r>
          </w:p>
        </w:tc>
        <w:tc>
          <w:tcPr>
            <w:tcW w:w="4261" w:type="dxa"/>
            <w:tcBorders>
              <w:top w:val="single" w:sz="2" w:space="0" w:color="auto"/>
              <w:left w:val="single" w:sz="2" w:space="0" w:color="auto"/>
              <w:bottom w:val="single" w:sz="2" w:space="0" w:color="auto"/>
              <w:right w:val="single" w:sz="2" w:space="0" w:color="auto"/>
            </w:tcBorders>
          </w:tcPr>
          <w:p w14:paraId="57D6E5DC" w14:textId="77777777" w:rsidR="00F332DA" w:rsidRPr="00BD76AF" w:rsidRDefault="00F332DA" w:rsidP="00E51E3C">
            <w:pPr>
              <w:tabs>
                <w:tab w:val="left" w:pos="5283"/>
              </w:tabs>
              <w:spacing w:before="60" w:after="120"/>
              <w:rPr>
                <w:iCs/>
                <w:szCs w:val="24"/>
                <w:lang w:eastAsia="ja-JP" w:bidi="ta-IN"/>
              </w:rPr>
            </w:pPr>
            <w:r w:rsidRPr="00BD76AF">
              <w:rPr>
                <w:iCs/>
                <w:szCs w:val="24"/>
                <w:lang w:eastAsia="ja-JP" w:bidi="ta-IN"/>
              </w:rPr>
              <w:t>[</w:t>
            </w:r>
            <w:r w:rsidRPr="00BD76AF">
              <w:rPr>
                <w:i/>
                <w:iCs/>
                <w:szCs w:val="24"/>
                <w:lang w:eastAsia="ja-JP" w:bidi="ta-IN"/>
              </w:rPr>
              <w:t>Indiquer le délai requis, normalement 14 jours ou plus, pour l’approbation/examen des documents techniques par le Directeur de projet.</w:t>
            </w:r>
            <w:r w:rsidRPr="00BD76AF">
              <w:rPr>
                <w:iCs/>
                <w:szCs w:val="24"/>
                <w:lang w:eastAsia="ja-JP" w:bidi="ta-IN"/>
              </w:rPr>
              <w:t>]</w:t>
            </w:r>
          </w:p>
        </w:tc>
      </w:tr>
      <w:tr w:rsidR="00F332DA" w:rsidRPr="00BD76AF" w14:paraId="7734B972" w14:textId="77777777" w:rsidTr="008A3C2D">
        <w:tc>
          <w:tcPr>
            <w:tcW w:w="3348" w:type="dxa"/>
            <w:tcBorders>
              <w:top w:val="single" w:sz="2" w:space="0" w:color="auto"/>
              <w:left w:val="single" w:sz="2" w:space="0" w:color="auto"/>
              <w:bottom w:val="single" w:sz="2" w:space="0" w:color="auto"/>
              <w:right w:val="single" w:sz="2" w:space="0" w:color="auto"/>
            </w:tcBorders>
          </w:tcPr>
          <w:p w14:paraId="45D5B404" w14:textId="77777777" w:rsidR="00F332DA" w:rsidRPr="00BD76AF" w:rsidRDefault="00F332DA" w:rsidP="0079334B">
            <w:pPr>
              <w:spacing w:before="60" w:after="60"/>
              <w:jc w:val="left"/>
              <w:rPr>
                <w:b/>
                <w:bCs/>
                <w:szCs w:val="24"/>
                <w:lang w:eastAsia="ja-JP"/>
              </w:rPr>
            </w:pPr>
            <w:r w:rsidRPr="00BD76AF">
              <w:rPr>
                <w:b/>
                <w:bCs/>
                <w:szCs w:val="24"/>
                <w:lang w:eastAsia="ja-JP"/>
              </w:rPr>
              <w:t>Heures normales de travail</w:t>
            </w:r>
          </w:p>
        </w:tc>
        <w:tc>
          <w:tcPr>
            <w:tcW w:w="1440" w:type="dxa"/>
            <w:tcBorders>
              <w:top w:val="single" w:sz="2" w:space="0" w:color="auto"/>
              <w:left w:val="single" w:sz="2" w:space="0" w:color="auto"/>
              <w:bottom w:val="single" w:sz="2" w:space="0" w:color="auto"/>
              <w:right w:val="single" w:sz="2" w:space="0" w:color="auto"/>
            </w:tcBorders>
          </w:tcPr>
          <w:p w14:paraId="3267CBFB" w14:textId="77777777" w:rsidR="00F332DA" w:rsidRPr="00BD76AF" w:rsidRDefault="00F332DA" w:rsidP="0079334B">
            <w:pPr>
              <w:spacing w:before="60" w:after="60"/>
              <w:rPr>
                <w:szCs w:val="24"/>
              </w:rPr>
            </w:pPr>
            <w:r w:rsidRPr="00BD76AF">
              <w:rPr>
                <w:szCs w:val="24"/>
                <w:lang w:val="en-GB"/>
              </w:rPr>
              <w:t>22.4.5</w:t>
            </w:r>
          </w:p>
        </w:tc>
        <w:tc>
          <w:tcPr>
            <w:tcW w:w="4261" w:type="dxa"/>
            <w:tcBorders>
              <w:top w:val="single" w:sz="2" w:space="0" w:color="auto"/>
              <w:left w:val="single" w:sz="2" w:space="0" w:color="auto"/>
              <w:bottom w:val="single" w:sz="2" w:space="0" w:color="auto"/>
              <w:right w:val="single" w:sz="2" w:space="0" w:color="auto"/>
            </w:tcBorders>
          </w:tcPr>
          <w:p w14:paraId="53091D72" w14:textId="77777777" w:rsidR="00F332DA" w:rsidRPr="00BD76AF" w:rsidRDefault="00F332DA" w:rsidP="0079334B">
            <w:pPr>
              <w:tabs>
                <w:tab w:val="left" w:pos="5283"/>
              </w:tabs>
              <w:spacing w:before="60" w:after="60"/>
              <w:rPr>
                <w:iCs/>
                <w:szCs w:val="24"/>
                <w:lang w:eastAsia="ja-JP"/>
              </w:rPr>
            </w:pPr>
            <w:r w:rsidRPr="00BD76AF">
              <w:rPr>
                <w:iCs/>
                <w:szCs w:val="24"/>
                <w:lang w:eastAsia="ja-JP" w:bidi="ta-IN"/>
              </w:rPr>
              <w:t>[</w:t>
            </w:r>
            <w:r w:rsidRPr="00BD76AF">
              <w:rPr>
                <w:i/>
                <w:iCs/>
                <w:szCs w:val="24"/>
                <w:lang w:eastAsia="ja-JP" w:bidi="ta-IN"/>
              </w:rPr>
              <w:t>indiquer les heures normales de travail</w:t>
            </w:r>
            <w:r w:rsidRPr="00BD76AF">
              <w:rPr>
                <w:iCs/>
                <w:szCs w:val="24"/>
                <w:lang w:eastAsia="ja-JP" w:bidi="ta-IN"/>
              </w:rPr>
              <w:t>]</w:t>
            </w:r>
          </w:p>
          <w:p w14:paraId="1FBB8046" w14:textId="77777777" w:rsidR="00F332DA" w:rsidRPr="00BD76AF" w:rsidRDefault="00F332DA" w:rsidP="0079334B">
            <w:pPr>
              <w:tabs>
                <w:tab w:val="left" w:pos="5283"/>
              </w:tabs>
              <w:spacing w:before="60" w:after="60"/>
              <w:rPr>
                <w:iCs/>
                <w:szCs w:val="24"/>
                <w:lang w:eastAsia="ja-JP" w:bidi="ta-IN"/>
              </w:rPr>
            </w:pPr>
          </w:p>
        </w:tc>
      </w:tr>
      <w:tr w:rsidR="00F332DA" w:rsidRPr="00BD76AF" w14:paraId="4E4DA6F0" w14:textId="77777777" w:rsidTr="008A3C2D">
        <w:tc>
          <w:tcPr>
            <w:tcW w:w="3348" w:type="dxa"/>
            <w:tcBorders>
              <w:top w:val="single" w:sz="2" w:space="0" w:color="auto"/>
              <w:left w:val="single" w:sz="2" w:space="0" w:color="auto"/>
              <w:bottom w:val="single" w:sz="2" w:space="0" w:color="auto"/>
              <w:right w:val="single" w:sz="2" w:space="0" w:color="auto"/>
            </w:tcBorders>
          </w:tcPr>
          <w:p w14:paraId="3CBB3736" w14:textId="77777777" w:rsidR="00F332DA" w:rsidRPr="00BD76AF" w:rsidRDefault="00F332DA" w:rsidP="009A16C3">
            <w:pPr>
              <w:spacing w:before="60" w:after="60"/>
              <w:jc w:val="left"/>
              <w:rPr>
                <w:b/>
                <w:bCs/>
                <w:szCs w:val="24"/>
                <w:lang w:eastAsia="ja-JP"/>
              </w:rPr>
            </w:pPr>
            <w:r w:rsidRPr="00BD76AF">
              <w:rPr>
                <w:b/>
                <w:bCs/>
                <w:szCs w:val="24"/>
                <w:lang w:eastAsia="ja-JP"/>
              </w:rPr>
              <w:t>Délai pour compléter l’Essai de garantie</w:t>
            </w:r>
          </w:p>
        </w:tc>
        <w:tc>
          <w:tcPr>
            <w:tcW w:w="1440" w:type="dxa"/>
            <w:tcBorders>
              <w:top w:val="single" w:sz="2" w:space="0" w:color="auto"/>
              <w:left w:val="single" w:sz="2" w:space="0" w:color="auto"/>
              <w:bottom w:val="single" w:sz="2" w:space="0" w:color="auto"/>
              <w:right w:val="single" w:sz="2" w:space="0" w:color="auto"/>
            </w:tcBorders>
          </w:tcPr>
          <w:p w14:paraId="7541E290" w14:textId="77777777" w:rsidR="00F332DA" w:rsidRPr="00BD76AF" w:rsidRDefault="00F332DA" w:rsidP="0079334B">
            <w:pPr>
              <w:spacing w:before="60" w:after="60"/>
              <w:rPr>
                <w:szCs w:val="24"/>
              </w:rPr>
            </w:pPr>
            <w:r w:rsidRPr="00BD76AF">
              <w:rPr>
                <w:szCs w:val="24"/>
                <w:lang w:val="en-GB"/>
              </w:rPr>
              <w:t>25.2.2</w:t>
            </w:r>
          </w:p>
        </w:tc>
        <w:tc>
          <w:tcPr>
            <w:tcW w:w="4261" w:type="dxa"/>
            <w:tcBorders>
              <w:top w:val="single" w:sz="2" w:space="0" w:color="auto"/>
              <w:left w:val="single" w:sz="2" w:space="0" w:color="auto"/>
              <w:bottom w:val="single" w:sz="2" w:space="0" w:color="auto"/>
              <w:right w:val="single" w:sz="2" w:space="0" w:color="auto"/>
            </w:tcBorders>
          </w:tcPr>
          <w:p w14:paraId="7B9DA73E" w14:textId="77777777" w:rsidR="00F332DA" w:rsidRPr="00BD76AF" w:rsidRDefault="00F332DA" w:rsidP="0079334B">
            <w:pPr>
              <w:tabs>
                <w:tab w:val="left" w:pos="5283"/>
              </w:tabs>
              <w:spacing w:before="60" w:after="60"/>
              <w:rPr>
                <w:iCs/>
                <w:szCs w:val="24"/>
                <w:lang w:eastAsia="ja-JP" w:bidi="ta-IN"/>
              </w:rPr>
            </w:pPr>
            <w:r w:rsidRPr="00BD76AF">
              <w:rPr>
                <w:iCs/>
                <w:szCs w:val="24"/>
                <w:lang w:eastAsia="ja-JP" w:bidi="ta-IN"/>
              </w:rPr>
              <w:t>[</w:t>
            </w:r>
            <w:r w:rsidRPr="00BD76AF">
              <w:rPr>
                <w:i/>
                <w:iCs/>
                <w:szCs w:val="24"/>
                <w:lang w:eastAsia="ja-JP" w:bidi="ta-IN"/>
              </w:rPr>
              <w:t>indiquer le nombre de jours</w:t>
            </w:r>
            <w:r w:rsidRPr="00BD76AF">
              <w:rPr>
                <w:iCs/>
                <w:szCs w:val="24"/>
                <w:lang w:eastAsia="ja-JP" w:bidi="ta-IN"/>
              </w:rPr>
              <w:t>] suivant la date d’Achèvement</w:t>
            </w:r>
          </w:p>
          <w:p w14:paraId="6A25FC51" w14:textId="77777777" w:rsidR="00F332DA" w:rsidRPr="00BD76AF" w:rsidRDefault="00F332DA" w:rsidP="0079334B">
            <w:pPr>
              <w:tabs>
                <w:tab w:val="left" w:pos="5283"/>
              </w:tabs>
              <w:spacing w:before="60" w:after="60"/>
              <w:rPr>
                <w:iCs/>
                <w:szCs w:val="24"/>
                <w:lang w:eastAsia="ja-JP"/>
              </w:rPr>
            </w:pPr>
            <w:r w:rsidRPr="00BD76AF">
              <w:rPr>
                <w:rFonts w:hint="eastAsia"/>
                <w:iCs/>
                <w:szCs w:val="24"/>
                <w:lang w:eastAsia="ja-JP"/>
              </w:rPr>
              <w:t>[</w:t>
            </w:r>
            <w:r w:rsidRPr="00BD76AF">
              <w:rPr>
                <w:i/>
                <w:iCs/>
                <w:szCs w:val="24"/>
              </w:rPr>
              <w:t>Si les ouvrages sont scindés en Tranches</w:t>
            </w:r>
            <w:r w:rsidRPr="00BD76AF">
              <w:rPr>
                <w:i/>
                <w:iCs/>
                <w:szCs w:val="24"/>
                <w:lang w:eastAsia="ja-JP"/>
              </w:rPr>
              <w:t>, indiquer « Se référer au Tableau 1</w:t>
            </w:r>
            <w:r w:rsidRPr="00BD76AF">
              <w:rPr>
                <w:i/>
                <w:iCs/>
                <w:sz w:val="28"/>
                <w:szCs w:val="24"/>
                <w:lang w:eastAsia="ja-JP"/>
              </w:rPr>
              <w:t> </w:t>
            </w:r>
            <w:r w:rsidRPr="00BD76AF">
              <w:rPr>
                <w:i/>
                <w:iCs/>
                <w:szCs w:val="24"/>
                <w:lang w:eastAsia="ja-JP"/>
              </w:rPr>
              <w:t>: Résumé des Tranches »</w:t>
            </w:r>
            <w:r w:rsidRPr="00BD76AF">
              <w:rPr>
                <w:iCs/>
                <w:szCs w:val="24"/>
                <w:lang w:eastAsia="ja-JP"/>
              </w:rPr>
              <w:t>.]</w:t>
            </w:r>
          </w:p>
        </w:tc>
      </w:tr>
      <w:tr w:rsidR="00F332DA" w:rsidRPr="00BD76AF" w14:paraId="2B28E156" w14:textId="77777777" w:rsidTr="008A3C2D">
        <w:tc>
          <w:tcPr>
            <w:tcW w:w="3348" w:type="dxa"/>
            <w:tcBorders>
              <w:top w:val="single" w:sz="2" w:space="0" w:color="auto"/>
              <w:left w:val="single" w:sz="2" w:space="0" w:color="auto"/>
              <w:right w:val="single" w:sz="2" w:space="0" w:color="auto"/>
            </w:tcBorders>
          </w:tcPr>
          <w:p w14:paraId="140A142A" w14:textId="77777777" w:rsidR="00F332DA" w:rsidRPr="00BD76AF" w:rsidRDefault="00F332DA" w:rsidP="0079334B">
            <w:pPr>
              <w:spacing w:before="60" w:after="60"/>
              <w:jc w:val="left"/>
              <w:rPr>
                <w:b/>
                <w:bCs/>
                <w:szCs w:val="24"/>
                <w:lang w:eastAsia="ja-JP"/>
              </w:rPr>
            </w:pPr>
            <w:r w:rsidRPr="00BD76AF">
              <w:rPr>
                <w:rFonts w:hint="eastAsia"/>
                <w:b/>
                <w:bCs/>
                <w:szCs w:val="24"/>
                <w:lang w:eastAsia="ja-JP"/>
              </w:rPr>
              <w:t>Pénalité</w:t>
            </w:r>
            <w:r w:rsidRPr="00BD76AF">
              <w:rPr>
                <w:b/>
                <w:bCs/>
                <w:szCs w:val="24"/>
                <w:lang w:eastAsia="ja-JP"/>
              </w:rPr>
              <w:t xml:space="preserve">s de retard </w:t>
            </w:r>
            <w:r w:rsidRPr="00BD76AF">
              <w:rPr>
                <w:b/>
              </w:rPr>
              <w:t>e</w:t>
            </w:r>
            <w:r w:rsidRPr="00BD76AF">
              <w:rPr>
                <w:b/>
                <w:bCs/>
                <w:szCs w:val="24"/>
                <w:lang w:eastAsia="ja-JP"/>
              </w:rPr>
              <w:t>n cas de non-respect de la garantie du Délai d’achèvement</w:t>
            </w:r>
          </w:p>
        </w:tc>
        <w:tc>
          <w:tcPr>
            <w:tcW w:w="1440" w:type="dxa"/>
            <w:tcBorders>
              <w:top w:val="single" w:sz="2" w:space="0" w:color="auto"/>
              <w:left w:val="single" w:sz="2" w:space="0" w:color="auto"/>
              <w:right w:val="single" w:sz="2" w:space="0" w:color="auto"/>
            </w:tcBorders>
          </w:tcPr>
          <w:p w14:paraId="61B453F7" w14:textId="77777777" w:rsidR="00F332DA" w:rsidRPr="00BD76AF" w:rsidRDefault="00F332DA" w:rsidP="0079334B">
            <w:pPr>
              <w:spacing w:before="60" w:after="60"/>
              <w:rPr>
                <w:szCs w:val="24"/>
              </w:rPr>
            </w:pPr>
            <w:r w:rsidRPr="00BD76AF">
              <w:rPr>
                <w:szCs w:val="24"/>
                <w:lang w:val="en-GB"/>
              </w:rPr>
              <w:t>26.2</w:t>
            </w:r>
          </w:p>
        </w:tc>
        <w:tc>
          <w:tcPr>
            <w:tcW w:w="4261" w:type="dxa"/>
            <w:tcBorders>
              <w:top w:val="single" w:sz="2" w:space="0" w:color="auto"/>
              <w:left w:val="single" w:sz="2" w:space="0" w:color="auto"/>
              <w:right w:val="single" w:sz="2" w:space="0" w:color="auto"/>
            </w:tcBorders>
          </w:tcPr>
          <w:p w14:paraId="5E061A39" w14:textId="77777777" w:rsidR="00F332DA" w:rsidRPr="00BD76AF" w:rsidRDefault="00F332DA" w:rsidP="0079334B">
            <w:pPr>
              <w:tabs>
                <w:tab w:val="left" w:pos="5283"/>
              </w:tabs>
              <w:spacing w:before="60" w:after="60"/>
              <w:rPr>
                <w:iCs/>
                <w:szCs w:val="24"/>
                <w:lang w:eastAsia="ja-JP" w:bidi="ta-IN"/>
              </w:rPr>
            </w:pPr>
          </w:p>
        </w:tc>
      </w:tr>
      <w:tr w:rsidR="00F332DA" w:rsidRPr="00BD76AF" w14:paraId="3CF6F021" w14:textId="77777777" w:rsidTr="008A3C2D">
        <w:tc>
          <w:tcPr>
            <w:tcW w:w="3348" w:type="dxa"/>
            <w:tcBorders>
              <w:left w:val="single" w:sz="2" w:space="0" w:color="auto"/>
              <w:right w:val="single" w:sz="2" w:space="0" w:color="auto"/>
            </w:tcBorders>
          </w:tcPr>
          <w:p w14:paraId="5A5977E8" w14:textId="77777777" w:rsidR="00F332DA" w:rsidRPr="00BD76AF" w:rsidRDefault="00F332DA" w:rsidP="0079334B">
            <w:pPr>
              <w:tabs>
                <w:tab w:val="left" w:pos="426"/>
              </w:tabs>
              <w:suppressAutoHyphens w:val="0"/>
              <w:overflowPunct/>
              <w:autoSpaceDE/>
              <w:autoSpaceDN/>
              <w:adjustRightInd/>
              <w:spacing w:before="60" w:after="60"/>
              <w:ind w:left="426" w:hanging="284"/>
              <w:jc w:val="left"/>
              <w:textAlignment w:val="auto"/>
              <w:rPr>
                <w:b/>
                <w:bCs/>
                <w:szCs w:val="24"/>
                <w:lang w:eastAsia="ja-JP"/>
              </w:rPr>
            </w:pPr>
            <w:r w:rsidRPr="00BD76AF">
              <w:rPr>
                <w:szCs w:val="24"/>
              </w:rPr>
              <w:t>a.</w:t>
            </w:r>
            <w:r w:rsidRPr="00BD76AF">
              <w:rPr>
                <w:szCs w:val="24"/>
              </w:rPr>
              <w:tab/>
              <w:t>Montant/taux de la pénalité de retard</w:t>
            </w:r>
          </w:p>
        </w:tc>
        <w:tc>
          <w:tcPr>
            <w:tcW w:w="1440" w:type="dxa"/>
            <w:tcBorders>
              <w:left w:val="single" w:sz="2" w:space="0" w:color="auto"/>
              <w:right w:val="single" w:sz="2" w:space="0" w:color="auto"/>
            </w:tcBorders>
          </w:tcPr>
          <w:p w14:paraId="3559ED0D" w14:textId="77777777" w:rsidR="00F332DA" w:rsidRPr="00BD76AF" w:rsidRDefault="00F332DA" w:rsidP="0079334B">
            <w:pPr>
              <w:spacing w:before="60" w:after="60"/>
              <w:rPr>
                <w:szCs w:val="24"/>
              </w:rPr>
            </w:pPr>
          </w:p>
        </w:tc>
        <w:tc>
          <w:tcPr>
            <w:tcW w:w="4261" w:type="dxa"/>
            <w:tcBorders>
              <w:left w:val="single" w:sz="2" w:space="0" w:color="auto"/>
              <w:right w:val="single" w:sz="2" w:space="0" w:color="auto"/>
            </w:tcBorders>
          </w:tcPr>
          <w:p w14:paraId="55E7E988" w14:textId="77777777" w:rsidR="00F332DA" w:rsidRPr="00BD76AF" w:rsidRDefault="00F332DA" w:rsidP="009A16C3">
            <w:pPr>
              <w:tabs>
                <w:tab w:val="left" w:pos="5283"/>
              </w:tabs>
              <w:spacing w:before="60" w:after="60"/>
              <w:rPr>
                <w:iCs/>
                <w:szCs w:val="24"/>
                <w:lang w:eastAsia="ja-JP" w:bidi="ta-IN"/>
              </w:rPr>
            </w:pPr>
            <w:r w:rsidRPr="00BD76AF">
              <w:rPr>
                <w:iCs/>
                <w:szCs w:val="24"/>
                <w:lang w:eastAsia="ja-JP"/>
              </w:rPr>
              <w:t>[</w:t>
            </w:r>
            <w:r w:rsidRPr="00BD76AF">
              <w:rPr>
                <w:rFonts w:hint="eastAsia"/>
                <w:i/>
                <w:iCs/>
                <w:szCs w:val="24"/>
                <w:lang w:eastAsia="ja-JP"/>
              </w:rPr>
              <w:t>i</w:t>
            </w:r>
            <w:r w:rsidRPr="00BD76AF">
              <w:rPr>
                <w:i/>
                <w:iCs/>
                <w:szCs w:val="24"/>
              </w:rPr>
              <w:t>ndiquer le pourcentage</w:t>
            </w:r>
            <w:r w:rsidRPr="00BD76AF">
              <w:rPr>
                <w:iCs/>
                <w:szCs w:val="24"/>
                <w:lang w:eastAsia="ja-JP"/>
              </w:rPr>
              <w:t xml:space="preserve">] </w:t>
            </w:r>
            <w:r w:rsidRPr="00BD76AF">
              <w:rPr>
                <w:szCs w:val="24"/>
              </w:rPr>
              <w:t>% du Montant du Marché ou Tranche de celui-ci par jour</w:t>
            </w:r>
          </w:p>
        </w:tc>
      </w:tr>
      <w:tr w:rsidR="00F332DA" w:rsidRPr="00BD76AF" w14:paraId="46AD155C" w14:textId="77777777" w:rsidTr="008A3C2D">
        <w:tc>
          <w:tcPr>
            <w:tcW w:w="3348" w:type="dxa"/>
            <w:tcBorders>
              <w:left w:val="single" w:sz="2" w:space="0" w:color="auto"/>
              <w:bottom w:val="single" w:sz="2" w:space="0" w:color="auto"/>
              <w:right w:val="single" w:sz="2" w:space="0" w:color="auto"/>
            </w:tcBorders>
          </w:tcPr>
          <w:p w14:paraId="68670724" w14:textId="77777777" w:rsidR="00F332DA" w:rsidRPr="00BD76AF" w:rsidRDefault="00F332DA" w:rsidP="0079334B">
            <w:pPr>
              <w:tabs>
                <w:tab w:val="left" w:pos="426"/>
              </w:tabs>
              <w:suppressAutoHyphens w:val="0"/>
              <w:overflowPunct/>
              <w:autoSpaceDE/>
              <w:autoSpaceDN/>
              <w:adjustRightInd/>
              <w:spacing w:before="60" w:after="60"/>
              <w:ind w:left="426" w:hanging="284"/>
              <w:jc w:val="left"/>
              <w:textAlignment w:val="auto"/>
              <w:rPr>
                <w:b/>
                <w:bCs/>
                <w:szCs w:val="24"/>
                <w:lang w:eastAsia="ja-JP"/>
              </w:rPr>
            </w:pPr>
            <w:r w:rsidRPr="00BD76AF">
              <w:rPr>
                <w:szCs w:val="24"/>
              </w:rPr>
              <w:t>b.</w:t>
            </w:r>
            <w:r w:rsidRPr="00BD76AF">
              <w:rPr>
                <w:szCs w:val="24"/>
              </w:rPr>
              <w:tab/>
              <w:t>Montant maximum des pénalités de retard</w:t>
            </w:r>
          </w:p>
        </w:tc>
        <w:tc>
          <w:tcPr>
            <w:tcW w:w="1440" w:type="dxa"/>
            <w:tcBorders>
              <w:left w:val="single" w:sz="2" w:space="0" w:color="auto"/>
              <w:bottom w:val="single" w:sz="2" w:space="0" w:color="auto"/>
              <w:right w:val="single" w:sz="2" w:space="0" w:color="auto"/>
            </w:tcBorders>
          </w:tcPr>
          <w:p w14:paraId="5389D229" w14:textId="77777777" w:rsidR="00F332DA" w:rsidRPr="00BD76AF" w:rsidRDefault="00F332DA" w:rsidP="00704496">
            <w:pPr>
              <w:spacing w:before="60" w:after="60"/>
              <w:rPr>
                <w:szCs w:val="24"/>
              </w:rPr>
            </w:pPr>
          </w:p>
        </w:tc>
        <w:tc>
          <w:tcPr>
            <w:tcW w:w="4261" w:type="dxa"/>
            <w:tcBorders>
              <w:left w:val="single" w:sz="2" w:space="0" w:color="auto"/>
              <w:bottom w:val="single" w:sz="2" w:space="0" w:color="auto"/>
              <w:right w:val="single" w:sz="2" w:space="0" w:color="auto"/>
            </w:tcBorders>
          </w:tcPr>
          <w:p w14:paraId="69503FD1" w14:textId="77777777" w:rsidR="00F332DA" w:rsidRPr="00BD76AF" w:rsidRDefault="00F332DA" w:rsidP="0079334B">
            <w:pPr>
              <w:tabs>
                <w:tab w:val="left" w:pos="5283"/>
              </w:tabs>
              <w:spacing w:before="60" w:after="60"/>
              <w:rPr>
                <w:iCs/>
                <w:szCs w:val="24"/>
                <w:lang w:eastAsia="ja-JP" w:bidi="ta-IN"/>
              </w:rPr>
            </w:pPr>
            <w:r w:rsidRPr="00BD76AF">
              <w:rPr>
                <w:iCs/>
                <w:szCs w:val="24"/>
                <w:lang w:eastAsia="ja-JP"/>
              </w:rPr>
              <w:t>[</w:t>
            </w:r>
            <w:r w:rsidRPr="00BD76AF">
              <w:rPr>
                <w:i/>
                <w:iCs/>
                <w:szCs w:val="24"/>
                <w:lang w:eastAsia="ja-JP"/>
              </w:rPr>
              <w:t>indiquer un pourcentage ne dépassant pas 10</w:t>
            </w:r>
            <w:r w:rsidRPr="00BD76AF">
              <w:rPr>
                <w:iCs/>
                <w:szCs w:val="24"/>
                <w:lang w:eastAsia="ja-JP"/>
              </w:rPr>
              <w:t>] % du Montant du Marché</w:t>
            </w:r>
          </w:p>
        </w:tc>
      </w:tr>
      <w:tr w:rsidR="00F332DA" w:rsidRPr="00BD76AF" w14:paraId="565B210E" w14:textId="77777777" w:rsidTr="008A3C2D">
        <w:tc>
          <w:tcPr>
            <w:tcW w:w="3348" w:type="dxa"/>
            <w:tcBorders>
              <w:top w:val="single" w:sz="2" w:space="0" w:color="auto"/>
              <w:left w:val="single" w:sz="2" w:space="0" w:color="auto"/>
              <w:right w:val="single" w:sz="2" w:space="0" w:color="auto"/>
            </w:tcBorders>
          </w:tcPr>
          <w:p w14:paraId="79193B7E" w14:textId="77777777" w:rsidR="00F332DA" w:rsidRPr="00BD76AF" w:rsidRDefault="00F332DA" w:rsidP="0079334B">
            <w:pPr>
              <w:spacing w:before="60" w:after="60"/>
              <w:jc w:val="left"/>
              <w:rPr>
                <w:b/>
                <w:bCs/>
                <w:szCs w:val="24"/>
                <w:lang w:eastAsia="ja-JP"/>
              </w:rPr>
            </w:pPr>
            <w:r w:rsidRPr="00BD76AF">
              <w:rPr>
                <w:rFonts w:hint="eastAsia"/>
                <w:b/>
                <w:bCs/>
                <w:szCs w:val="24"/>
                <w:lang w:eastAsia="ja-JP"/>
              </w:rPr>
              <w:t xml:space="preserve">Prime </w:t>
            </w:r>
            <w:r w:rsidRPr="00BD76AF">
              <w:rPr>
                <w:b/>
                <w:bCs/>
                <w:szCs w:val="24"/>
                <w:lang w:eastAsia="ja-JP"/>
              </w:rPr>
              <w:t>d’achèvement anticipé</w:t>
            </w:r>
            <w:r w:rsidRPr="00BD76AF">
              <w:rPr>
                <w:rFonts w:hint="eastAsia"/>
                <w:b/>
                <w:bCs/>
                <w:szCs w:val="24"/>
                <w:lang w:eastAsia="ja-JP"/>
              </w:rPr>
              <w:t xml:space="preserve"> </w:t>
            </w:r>
          </w:p>
        </w:tc>
        <w:tc>
          <w:tcPr>
            <w:tcW w:w="1440" w:type="dxa"/>
            <w:tcBorders>
              <w:top w:val="single" w:sz="2" w:space="0" w:color="auto"/>
              <w:left w:val="single" w:sz="2" w:space="0" w:color="auto"/>
              <w:right w:val="single" w:sz="2" w:space="0" w:color="auto"/>
            </w:tcBorders>
          </w:tcPr>
          <w:p w14:paraId="580C3F24" w14:textId="77777777" w:rsidR="00F332DA" w:rsidRPr="00BD76AF" w:rsidRDefault="00F332DA" w:rsidP="0079334B">
            <w:pPr>
              <w:spacing w:before="60" w:after="60"/>
              <w:rPr>
                <w:szCs w:val="24"/>
                <w:lang w:val="en-GB"/>
              </w:rPr>
            </w:pPr>
            <w:r w:rsidRPr="00BD76AF">
              <w:rPr>
                <w:szCs w:val="24"/>
                <w:lang w:val="en-GB"/>
              </w:rPr>
              <w:t>26.3</w:t>
            </w:r>
          </w:p>
        </w:tc>
        <w:tc>
          <w:tcPr>
            <w:tcW w:w="4261" w:type="dxa"/>
            <w:tcBorders>
              <w:top w:val="single" w:sz="2" w:space="0" w:color="auto"/>
              <w:left w:val="single" w:sz="2" w:space="0" w:color="auto"/>
              <w:right w:val="single" w:sz="2" w:space="0" w:color="auto"/>
            </w:tcBorders>
          </w:tcPr>
          <w:p w14:paraId="68DF3758" w14:textId="77777777" w:rsidR="00F332DA" w:rsidRPr="00BD76AF" w:rsidRDefault="00F332DA" w:rsidP="009A16C3">
            <w:pPr>
              <w:tabs>
                <w:tab w:val="left" w:pos="5283"/>
              </w:tabs>
              <w:spacing w:before="60" w:after="60"/>
              <w:rPr>
                <w:iCs/>
                <w:szCs w:val="24"/>
                <w:lang w:eastAsia="ja-JP" w:bidi="ta-IN"/>
              </w:rPr>
            </w:pPr>
            <w:r w:rsidRPr="00BD76AF">
              <w:rPr>
                <w:iCs/>
                <w:szCs w:val="24"/>
                <w:lang w:eastAsia="ja-JP"/>
              </w:rPr>
              <w:t>[</w:t>
            </w:r>
            <w:r w:rsidRPr="00BD76AF">
              <w:rPr>
                <w:rFonts w:hint="eastAsia"/>
                <w:i/>
                <w:iCs/>
                <w:szCs w:val="24"/>
                <w:lang w:eastAsia="ja-JP"/>
              </w:rPr>
              <w:t>I</w:t>
            </w:r>
            <w:r w:rsidRPr="00BD76AF">
              <w:rPr>
                <w:i/>
                <w:iCs/>
                <w:szCs w:val="24"/>
              </w:rPr>
              <w:t>ndiquer les données ci-dessous, si une prime est applicable</w:t>
            </w:r>
            <w:r w:rsidRPr="00BD76AF">
              <w:rPr>
                <w:i/>
                <w:iCs/>
                <w:szCs w:val="24"/>
                <w:lang w:eastAsia="ja-JP"/>
              </w:rPr>
              <w:t>.</w:t>
            </w:r>
            <w:r w:rsidRPr="00BD76AF">
              <w:rPr>
                <w:i/>
                <w:iCs/>
              </w:rPr>
              <w:t xml:space="preserve"> Sinon, supprimer entièrement les données ci-dessous, et indiquer « Cet Article 26.3 des DM est sans objet. »</w:t>
            </w:r>
            <w:r w:rsidRPr="00BD76AF">
              <w:rPr>
                <w:iCs/>
                <w:szCs w:val="24"/>
                <w:lang w:eastAsia="ja-JP"/>
              </w:rPr>
              <w:t>]</w:t>
            </w:r>
          </w:p>
        </w:tc>
      </w:tr>
      <w:tr w:rsidR="00F332DA" w:rsidRPr="00BD76AF" w14:paraId="6BCFBA44" w14:textId="77777777" w:rsidTr="008A3C2D">
        <w:tc>
          <w:tcPr>
            <w:tcW w:w="3348" w:type="dxa"/>
            <w:tcBorders>
              <w:left w:val="single" w:sz="2" w:space="0" w:color="auto"/>
              <w:right w:val="single" w:sz="2" w:space="0" w:color="auto"/>
            </w:tcBorders>
          </w:tcPr>
          <w:p w14:paraId="010FFA1F" w14:textId="77777777" w:rsidR="00F332DA" w:rsidRPr="00BD76AF" w:rsidRDefault="00F332DA" w:rsidP="0079334B">
            <w:pPr>
              <w:tabs>
                <w:tab w:val="left" w:pos="426"/>
              </w:tabs>
              <w:suppressAutoHyphens w:val="0"/>
              <w:overflowPunct/>
              <w:autoSpaceDE/>
              <w:autoSpaceDN/>
              <w:adjustRightInd/>
              <w:spacing w:before="60" w:after="60"/>
              <w:ind w:left="426" w:hanging="284"/>
              <w:jc w:val="left"/>
              <w:textAlignment w:val="auto"/>
              <w:rPr>
                <w:b/>
                <w:bCs/>
                <w:szCs w:val="24"/>
                <w:lang w:eastAsia="ja-JP"/>
              </w:rPr>
            </w:pPr>
            <w:r w:rsidRPr="00BD76AF">
              <w:rPr>
                <w:szCs w:val="24"/>
              </w:rPr>
              <w:t>a.</w:t>
            </w:r>
            <w:r w:rsidRPr="00BD76AF">
              <w:rPr>
                <w:szCs w:val="24"/>
              </w:rPr>
              <w:tab/>
              <w:t>Montant/Taux de la prime</w:t>
            </w:r>
          </w:p>
        </w:tc>
        <w:tc>
          <w:tcPr>
            <w:tcW w:w="1440" w:type="dxa"/>
            <w:tcBorders>
              <w:left w:val="single" w:sz="2" w:space="0" w:color="auto"/>
              <w:right w:val="single" w:sz="2" w:space="0" w:color="auto"/>
            </w:tcBorders>
          </w:tcPr>
          <w:p w14:paraId="5CFB172E" w14:textId="77777777" w:rsidR="00F332DA" w:rsidRPr="00BD76AF" w:rsidRDefault="00F332DA" w:rsidP="0079334B">
            <w:pPr>
              <w:spacing w:before="60" w:after="60"/>
              <w:rPr>
                <w:szCs w:val="24"/>
              </w:rPr>
            </w:pPr>
          </w:p>
        </w:tc>
        <w:tc>
          <w:tcPr>
            <w:tcW w:w="4261" w:type="dxa"/>
            <w:tcBorders>
              <w:left w:val="single" w:sz="2" w:space="0" w:color="auto"/>
              <w:right w:val="single" w:sz="2" w:space="0" w:color="auto"/>
            </w:tcBorders>
          </w:tcPr>
          <w:p w14:paraId="27B52817" w14:textId="77777777" w:rsidR="00F332DA" w:rsidRPr="00BD76AF" w:rsidRDefault="00F332DA" w:rsidP="0079334B">
            <w:pPr>
              <w:tabs>
                <w:tab w:val="left" w:pos="5283"/>
              </w:tabs>
              <w:spacing w:before="60" w:after="60"/>
              <w:rPr>
                <w:iCs/>
                <w:szCs w:val="24"/>
                <w:lang w:eastAsia="ja-JP" w:bidi="ta-IN"/>
              </w:rPr>
            </w:pPr>
            <w:r w:rsidRPr="00BD76AF">
              <w:rPr>
                <w:iCs/>
                <w:szCs w:val="24"/>
                <w:lang w:eastAsia="ja-JP"/>
              </w:rPr>
              <w:t>[</w:t>
            </w:r>
            <w:r w:rsidRPr="00BD76AF">
              <w:rPr>
                <w:rFonts w:hint="eastAsia"/>
                <w:i/>
                <w:iCs/>
                <w:szCs w:val="24"/>
                <w:lang w:eastAsia="ja-JP"/>
              </w:rPr>
              <w:t>i</w:t>
            </w:r>
            <w:r w:rsidRPr="00BD76AF">
              <w:rPr>
                <w:i/>
                <w:iCs/>
                <w:szCs w:val="24"/>
              </w:rPr>
              <w:t>ndiquer le pourcentage</w:t>
            </w:r>
            <w:r w:rsidRPr="00BD76AF">
              <w:rPr>
                <w:iCs/>
                <w:szCs w:val="24"/>
                <w:lang w:eastAsia="ja-JP"/>
              </w:rPr>
              <w:t xml:space="preserve">] </w:t>
            </w:r>
            <w:r w:rsidRPr="00BD76AF">
              <w:rPr>
                <w:szCs w:val="24"/>
              </w:rPr>
              <w:t>% du Montant du Marché par jour</w:t>
            </w:r>
          </w:p>
        </w:tc>
      </w:tr>
      <w:tr w:rsidR="00F332DA" w:rsidRPr="00BD76AF" w14:paraId="1D3D93D9" w14:textId="77777777" w:rsidTr="008A3C2D">
        <w:tc>
          <w:tcPr>
            <w:tcW w:w="3348" w:type="dxa"/>
            <w:tcBorders>
              <w:left w:val="single" w:sz="2" w:space="0" w:color="auto"/>
              <w:bottom w:val="single" w:sz="2" w:space="0" w:color="auto"/>
              <w:right w:val="single" w:sz="2" w:space="0" w:color="auto"/>
            </w:tcBorders>
          </w:tcPr>
          <w:p w14:paraId="1B29C096" w14:textId="77777777" w:rsidR="00F332DA" w:rsidRPr="00BD76AF" w:rsidRDefault="00F332DA" w:rsidP="0079334B">
            <w:pPr>
              <w:tabs>
                <w:tab w:val="left" w:pos="426"/>
              </w:tabs>
              <w:suppressAutoHyphens w:val="0"/>
              <w:overflowPunct/>
              <w:autoSpaceDE/>
              <w:autoSpaceDN/>
              <w:adjustRightInd/>
              <w:spacing w:before="60" w:after="60"/>
              <w:ind w:left="426" w:hanging="284"/>
              <w:jc w:val="left"/>
              <w:textAlignment w:val="auto"/>
              <w:rPr>
                <w:b/>
                <w:bCs/>
                <w:szCs w:val="24"/>
                <w:lang w:eastAsia="ja-JP"/>
              </w:rPr>
            </w:pPr>
            <w:r w:rsidRPr="00BD76AF">
              <w:rPr>
                <w:szCs w:val="24"/>
              </w:rPr>
              <w:t>b.</w:t>
            </w:r>
            <w:r w:rsidRPr="00BD76AF">
              <w:rPr>
                <w:szCs w:val="24"/>
              </w:rPr>
              <w:tab/>
              <w:t>Montant maximum de la prime</w:t>
            </w:r>
          </w:p>
        </w:tc>
        <w:tc>
          <w:tcPr>
            <w:tcW w:w="1440" w:type="dxa"/>
            <w:tcBorders>
              <w:left w:val="single" w:sz="2" w:space="0" w:color="auto"/>
              <w:bottom w:val="single" w:sz="2" w:space="0" w:color="auto"/>
              <w:right w:val="single" w:sz="2" w:space="0" w:color="auto"/>
            </w:tcBorders>
          </w:tcPr>
          <w:p w14:paraId="2BCDF3F7" w14:textId="77777777" w:rsidR="00F332DA" w:rsidRPr="00BD76AF" w:rsidRDefault="00F332DA" w:rsidP="0079334B">
            <w:pPr>
              <w:spacing w:before="60" w:after="60"/>
              <w:rPr>
                <w:szCs w:val="24"/>
              </w:rPr>
            </w:pPr>
          </w:p>
        </w:tc>
        <w:tc>
          <w:tcPr>
            <w:tcW w:w="4261" w:type="dxa"/>
            <w:tcBorders>
              <w:left w:val="single" w:sz="2" w:space="0" w:color="auto"/>
              <w:bottom w:val="single" w:sz="2" w:space="0" w:color="auto"/>
              <w:right w:val="single" w:sz="2" w:space="0" w:color="auto"/>
            </w:tcBorders>
          </w:tcPr>
          <w:p w14:paraId="17150A6C" w14:textId="77777777" w:rsidR="00F332DA" w:rsidRPr="00BD76AF" w:rsidRDefault="00F332DA" w:rsidP="0079334B">
            <w:pPr>
              <w:tabs>
                <w:tab w:val="left" w:pos="5283"/>
              </w:tabs>
              <w:spacing w:before="60" w:after="60"/>
              <w:rPr>
                <w:iCs/>
                <w:szCs w:val="24"/>
                <w:lang w:eastAsia="ja-JP" w:bidi="ta-IN"/>
              </w:rPr>
            </w:pPr>
            <w:r w:rsidRPr="00BD76AF">
              <w:rPr>
                <w:iCs/>
                <w:szCs w:val="24"/>
                <w:lang w:eastAsia="ja-JP"/>
              </w:rPr>
              <w:t>[</w:t>
            </w:r>
            <w:r w:rsidRPr="00BD76AF">
              <w:rPr>
                <w:rFonts w:hint="eastAsia"/>
                <w:i/>
                <w:iCs/>
                <w:szCs w:val="24"/>
                <w:lang w:eastAsia="ja-JP"/>
              </w:rPr>
              <w:t>i</w:t>
            </w:r>
            <w:r w:rsidRPr="00BD76AF">
              <w:rPr>
                <w:i/>
                <w:iCs/>
                <w:szCs w:val="24"/>
              </w:rPr>
              <w:t>ndiquer le pourcentage ne dépassant pas 10</w:t>
            </w:r>
            <w:r w:rsidRPr="00BD76AF">
              <w:rPr>
                <w:iCs/>
                <w:szCs w:val="24"/>
                <w:lang w:eastAsia="ja-JP"/>
              </w:rPr>
              <w:t xml:space="preserve">] </w:t>
            </w:r>
            <w:r w:rsidRPr="00BD76AF">
              <w:rPr>
                <w:szCs w:val="24"/>
              </w:rPr>
              <w:t>% du Montant du Marché</w:t>
            </w:r>
          </w:p>
        </w:tc>
      </w:tr>
      <w:tr w:rsidR="00F332DA" w:rsidRPr="00BD76AF" w14:paraId="7C9CD1D1" w14:textId="77777777" w:rsidTr="008A3C2D">
        <w:tc>
          <w:tcPr>
            <w:tcW w:w="3348" w:type="dxa"/>
            <w:tcBorders>
              <w:top w:val="single" w:sz="2" w:space="0" w:color="auto"/>
              <w:left w:val="single" w:sz="2" w:space="0" w:color="auto"/>
              <w:bottom w:val="single" w:sz="2" w:space="0" w:color="auto"/>
              <w:right w:val="single" w:sz="2" w:space="0" w:color="auto"/>
            </w:tcBorders>
          </w:tcPr>
          <w:p w14:paraId="5E5DB1AA" w14:textId="77777777" w:rsidR="00F332DA" w:rsidRPr="00BD76AF" w:rsidRDefault="00F332DA" w:rsidP="0079334B">
            <w:pPr>
              <w:spacing w:before="60" w:after="60"/>
              <w:jc w:val="left"/>
              <w:rPr>
                <w:b/>
                <w:szCs w:val="24"/>
                <w:lang w:val="en-GB"/>
              </w:rPr>
            </w:pPr>
            <w:r w:rsidRPr="00BD76AF">
              <w:rPr>
                <w:rFonts w:hint="eastAsia"/>
                <w:b/>
                <w:bCs/>
                <w:szCs w:val="24"/>
                <w:lang w:eastAsia="ja-JP"/>
              </w:rPr>
              <w:t>Périod</w:t>
            </w:r>
            <w:r w:rsidRPr="00BD76AF">
              <w:rPr>
                <w:b/>
                <w:bCs/>
                <w:szCs w:val="24"/>
                <w:lang w:eastAsia="ja-JP"/>
              </w:rPr>
              <w:t>e</w:t>
            </w:r>
            <w:r w:rsidRPr="00BD76AF">
              <w:rPr>
                <w:rFonts w:hint="eastAsia"/>
                <w:b/>
                <w:szCs w:val="24"/>
                <w:lang w:val="en-GB"/>
              </w:rPr>
              <w:t xml:space="preserve"> de garantie</w:t>
            </w:r>
          </w:p>
        </w:tc>
        <w:tc>
          <w:tcPr>
            <w:tcW w:w="1440" w:type="dxa"/>
            <w:tcBorders>
              <w:top w:val="single" w:sz="2" w:space="0" w:color="auto"/>
              <w:left w:val="single" w:sz="2" w:space="0" w:color="auto"/>
              <w:bottom w:val="single" w:sz="2" w:space="0" w:color="auto"/>
              <w:right w:val="single" w:sz="2" w:space="0" w:color="auto"/>
            </w:tcBorders>
          </w:tcPr>
          <w:p w14:paraId="4B75ABB0" w14:textId="77777777" w:rsidR="00F332DA" w:rsidRPr="00BD76AF" w:rsidRDefault="00F332DA" w:rsidP="0079334B">
            <w:pPr>
              <w:spacing w:before="60" w:after="60"/>
              <w:rPr>
                <w:szCs w:val="24"/>
              </w:rPr>
            </w:pPr>
            <w:r w:rsidRPr="00BD76AF">
              <w:rPr>
                <w:rFonts w:hint="eastAsia"/>
                <w:szCs w:val="24"/>
                <w:lang w:val="en-GB" w:eastAsia="ja-JP"/>
              </w:rPr>
              <w:t>27.2</w:t>
            </w:r>
          </w:p>
        </w:tc>
        <w:tc>
          <w:tcPr>
            <w:tcW w:w="4261" w:type="dxa"/>
            <w:tcBorders>
              <w:top w:val="single" w:sz="2" w:space="0" w:color="auto"/>
              <w:left w:val="single" w:sz="2" w:space="0" w:color="auto"/>
              <w:bottom w:val="single" w:sz="2" w:space="0" w:color="auto"/>
              <w:right w:val="single" w:sz="2" w:space="0" w:color="auto"/>
            </w:tcBorders>
          </w:tcPr>
          <w:p w14:paraId="7C484C1C" w14:textId="77777777" w:rsidR="00F332DA" w:rsidRPr="00BD76AF" w:rsidRDefault="00F332DA" w:rsidP="0079334B">
            <w:pPr>
              <w:tabs>
                <w:tab w:val="left" w:pos="5283"/>
              </w:tabs>
              <w:spacing w:before="60" w:after="60"/>
              <w:rPr>
                <w:iCs/>
                <w:szCs w:val="24"/>
                <w:lang w:val="en-GB" w:eastAsia="ja-JP"/>
              </w:rPr>
            </w:pPr>
            <w:r w:rsidRPr="00BD76AF">
              <w:rPr>
                <w:rFonts w:hint="eastAsia"/>
                <w:iCs/>
                <w:szCs w:val="24"/>
                <w:lang w:val="en-GB" w:eastAsia="ja-JP"/>
              </w:rPr>
              <w:t>365 jours</w:t>
            </w:r>
          </w:p>
        </w:tc>
      </w:tr>
      <w:tr w:rsidR="00F332DA" w:rsidRPr="00BD76AF" w14:paraId="11DAD825" w14:textId="77777777" w:rsidTr="008A3C2D">
        <w:tc>
          <w:tcPr>
            <w:tcW w:w="3348" w:type="dxa"/>
            <w:tcBorders>
              <w:top w:val="single" w:sz="2" w:space="0" w:color="auto"/>
              <w:left w:val="single" w:sz="2" w:space="0" w:color="auto"/>
              <w:bottom w:val="single" w:sz="2" w:space="0" w:color="auto"/>
              <w:right w:val="single" w:sz="2" w:space="0" w:color="auto"/>
            </w:tcBorders>
          </w:tcPr>
          <w:p w14:paraId="272A44AD" w14:textId="77777777" w:rsidR="00F332DA" w:rsidRPr="00BD76AF" w:rsidRDefault="00F332DA" w:rsidP="0079334B">
            <w:pPr>
              <w:spacing w:before="60" w:after="60"/>
              <w:jc w:val="left"/>
              <w:rPr>
                <w:b/>
                <w:bCs/>
                <w:szCs w:val="24"/>
                <w:lang w:eastAsia="ja-JP"/>
              </w:rPr>
            </w:pPr>
            <w:r w:rsidRPr="00BD76AF">
              <w:rPr>
                <w:b/>
                <w:bCs/>
                <w:szCs w:val="24"/>
                <w:lang w:eastAsia="ja-JP"/>
              </w:rPr>
              <w:t>Montant maximum des pénalités de retard</w:t>
            </w:r>
            <w:r w:rsidRPr="00BD76AF">
              <w:rPr>
                <w:b/>
              </w:rPr>
              <w:t xml:space="preserve"> e</w:t>
            </w:r>
            <w:r w:rsidRPr="00BD76AF">
              <w:rPr>
                <w:b/>
                <w:bCs/>
                <w:szCs w:val="24"/>
                <w:lang w:eastAsia="ja-JP"/>
              </w:rPr>
              <w:t>n cas de non-respect des Garanties opérationnelles</w:t>
            </w:r>
          </w:p>
        </w:tc>
        <w:tc>
          <w:tcPr>
            <w:tcW w:w="1440" w:type="dxa"/>
            <w:tcBorders>
              <w:top w:val="single" w:sz="2" w:space="0" w:color="auto"/>
              <w:left w:val="single" w:sz="2" w:space="0" w:color="auto"/>
              <w:bottom w:val="single" w:sz="2" w:space="0" w:color="auto"/>
              <w:right w:val="single" w:sz="2" w:space="0" w:color="auto"/>
            </w:tcBorders>
          </w:tcPr>
          <w:p w14:paraId="1B995D2B" w14:textId="77777777" w:rsidR="00F332DA" w:rsidRPr="00BD76AF" w:rsidRDefault="00F332DA" w:rsidP="004652AD">
            <w:pPr>
              <w:spacing w:before="60" w:after="60"/>
              <w:jc w:val="left"/>
              <w:rPr>
                <w:szCs w:val="24"/>
                <w:lang w:val="en-GB" w:eastAsia="ja-JP"/>
              </w:rPr>
            </w:pPr>
            <w:r w:rsidRPr="00BD76AF">
              <w:rPr>
                <w:szCs w:val="24"/>
                <w:lang w:eastAsia="ja-JP"/>
              </w:rPr>
              <w:t>28.3 b) &amp; 28.4</w:t>
            </w:r>
          </w:p>
        </w:tc>
        <w:tc>
          <w:tcPr>
            <w:tcW w:w="4261" w:type="dxa"/>
            <w:tcBorders>
              <w:top w:val="single" w:sz="2" w:space="0" w:color="auto"/>
              <w:left w:val="single" w:sz="2" w:space="0" w:color="auto"/>
              <w:bottom w:val="single" w:sz="2" w:space="0" w:color="auto"/>
              <w:right w:val="single" w:sz="2" w:space="0" w:color="auto"/>
            </w:tcBorders>
          </w:tcPr>
          <w:p w14:paraId="6597F690" w14:textId="77777777" w:rsidR="00F332DA" w:rsidRPr="00BD76AF" w:rsidRDefault="00F332DA" w:rsidP="0079334B">
            <w:pPr>
              <w:tabs>
                <w:tab w:val="left" w:pos="5283"/>
              </w:tabs>
              <w:spacing w:before="60" w:after="60"/>
              <w:rPr>
                <w:iCs/>
                <w:szCs w:val="24"/>
                <w:lang w:eastAsia="ja-JP"/>
              </w:rPr>
            </w:pPr>
            <w:r w:rsidRPr="00BD76AF">
              <w:rPr>
                <w:iCs/>
                <w:szCs w:val="24"/>
                <w:lang w:eastAsia="ja-JP"/>
              </w:rPr>
              <w:t>[</w:t>
            </w:r>
            <w:r w:rsidRPr="00BD76AF">
              <w:rPr>
                <w:i/>
                <w:iCs/>
                <w:szCs w:val="24"/>
                <w:lang w:eastAsia="ja-JP"/>
              </w:rPr>
              <w:t>indiquer le pourcentage ne dépassant pas 10</w:t>
            </w:r>
            <w:r w:rsidRPr="00BD76AF">
              <w:rPr>
                <w:iCs/>
                <w:szCs w:val="24"/>
                <w:lang w:eastAsia="ja-JP"/>
              </w:rPr>
              <w:t>] % du Montant du Marché</w:t>
            </w:r>
          </w:p>
        </w:tc>
      </w:tr>
      <w:tr w:rsidR="00F332DA" w:rsidRPr="00BD76AF" w14:paraId="122F0961" w14:textId="77777777" w:rsidTr="008A3C2D">
        <w:tc>
          <w:tcPr>
            <w:tcW w:w="3348" w:type="dxa"/>
            <w:tcBorders>
              <w:top w:val="single" w:sz="2" w:space="0" w:color="auto"/>
              <w:left w:val="single" w:sz="2" w:space="0" w:color="auto"/>
              <w:bottom w:val="single" w:sz="2" w:space="0" w:color="auto"/>
              <w:right w:val="single" w:sz="2" w:space="0" w:color="auto"/>
            </w:tcBorders>
          </w:tcPr>
          <w:p w14:paraId="13A2B127" w14:textId="77777777" w:rsidR="00F332DA" w:rsidRPr="00BD76AF" w:rsidRDefault="00F332DA" w:rsidP="0079334B">
            <w:pPr>
              <w:spacing w:before="60" w:after="60"/>
              <w:jc w:val="left"/>
              <w:rPr>
                <w:b/>
                <w:szCs w:val="24"/>
                <w:lang w:val="en-GB"/>
              </w:rPr>
            </w:pPr>
            <w:r w:rsidRPr="00BD76AF">
              <w:rPr>
                <w:b/>
                <w:bCs/>
                <w:szCs w:val="24"/>
                <w:lang w:eastAsia="ja-JP"/>
              </w:rPr>
              <w:t>Limite</w:t>
            </w:r>
            <w:r w:rsidRPr="00BD76AF">
              <w:rPr>
                <w:b/>
                <w:szCs w:val="24"/>
                <w:lang w:val="en-GB"/>
              </w:rPr>
              <w:t xml:space="preserve"> de responsabilité</w:t>
            </w:r>
          </w:p>
        </w:tc>
        <w:tc>
          <w:tcPr>
            <w:tcW w:w="1440" w:type="dxa"/>
            <w:tcBorders>
              <w:top w:val="single" w:sz="2" w:space="0" w:color="auto"/>
              <w:left w:val="single" w:sz="2" w:space="0" w:color="auto"/>
              <w:bottom w:val="single" w:sz="2" w:space="0" w:color="auto"/>
              <w:right w:val="single" w:sz="2" w:space="0" w:color="auto"/>
            </w:tcBorders>
          </w:tcPr>
          <w:p w14:paraId="6372D100" w14:textId="77777777" w:rsidR="00F332DA" w:rsidRPr="00BD76AF" w:rsidRDefault="00F332DA" w:rsidP="00073CB1">
            <w:pPr>
              <w:spacing w:before="60" w:after="60"/>
              <w:rPr>
                <w:szCs w:val="24"/>
              </w:rPr>
            </w:pPr>
            <w:r w:rsidRPr="00BD76AF">
              <w:rPr>
                <w:szCs w:val="24"/>
                <w:lang w:val="en-GB"/>
              </w:rPr>
              <w:t>30.1 b)</w:t>
            </w:r>
          </w:p>
        </w:tc>
        <w:tc>
          <w:tcPr>
            <w:tcW w:w="4261" w:type="dxa"/>
            <w:tcBorders>
              <w:top w:val="single" w:sz="2" w:space="0" w:color="auto"/>
              <w:left w:val="single" w:sz="2" w:space="0" w:color="auto"/>
              <w:bottom w:val="single" w:sz="2" w:space="0" w:color="auto"/>
              <w:right w:val="single" w:sz="2" w:space="0" w:color="auto"/>
            </w:tcBorders>
          </w:tcPr>
          <w:p w14:paraId="46C8D0CE" w14:textId="77777777" w:rsidR="00F332DA" w:rsidRPr="00BD76AF" w:rsidRDefault="00F332DA" w:rsidP="0079334B">
            <w:pPr>
              <w:tabs>
                <w:tab w:val="left" w:pos="5283"/>
              </w:tabs>
              <w:spacing w:before="60" w:after="60"/>
              <w:rPr>
                <w:iCs/>
                <w:szCs w:val="24"/>
                <w:lang w:eastAsia="ja-JP"/>
              </w:rPr>
            </w:pPr>
            <w:r w:rsidRPr="00BD76AF">
              <w:rPr>
                <w:iCs/>
                <w:szCs w:val="24"/>
                <w:lang w:eastAsia="ja-JP"/>
              </w:rPr>
              <w:t>[</w:t>
            </w:r>
            <w:r w:rsidRPr="00BD76AF">
              <w:rPr>
                <w:i/>
                <w:iCs/>
                <w:szCs w:val="24"/>
                <w:lang w:eastAsia="ja-JP"/>
              </w:rPr>
              <w:t xml:space="preserve">Si le montant total de la responsabilité est </w:t>
            </w:r>
            <w:r w:rsidRPr="00BD76AF">
              <w:rPr>
                <w:i/>
                <w:szCs w:val="24"/>
              </w:rPr>
              <w:t>équivalent au</w:t>
            </w:r>
            <w:r w:rsidRPr="00BD76AF" w:rsidDel="00A86077">
              <w:rPr>
                <w:i/>
                <w:iCs/>
                <w:szCs w:val="24"/>
                <w:lang w:eastAsia="ja-JP"/>
              </w:rPr>
              <w:t xml:space="preserve"> </w:t>
            </w:r>
            <w:r w:rsidRPr="00BD76AF">
              <w:rPr>
                <w:i/>
                <w:iCs/>
                <w:szCs w:val="24"/>
                <w:lang w:eastAsia="ja-JP"/>
              </w:rPr>
              <w:t xml:space="preserve">Montant du Marché, supprimer entièrement le texte </w:t>
            </w:r>
            <w:r w:rsidRPr="00BD76AF">
              <w:rPr>
                <w:i/>
                <w:iCs/>
                <w:szCs w:val="24"/>
              </w:rPr>
              <w:t>ci-dessous</w:t>
            </w:r>
            <w:r w:rsidRPr="00BD76AF">
              <w:rPr>
                <w:i/>
                <w:iCs/>
              </w:rPr>
              <w:t>, et indiquer « Cet Article 30.1 b) des DM est sans objet. » Sinon, sélectionner une des deux options ci-dessous, selon le cas, et supprimer l’autre.</w:t>
            </w:r>
            <w:r w:rsidRPr="00BD76AF">
              <w:rPr>
                <w:iCs/>
                <w:szCs w:val="24"/>
                <w:lang w:eastAsia="ja-JP"/>
              </w:rPr>
              <w:t>]</w:t>
            </w:r>
          </w:p>
          <w:p w14:paraId="20FF4694" w14:textId="77777777" w:rsidR="00F332DA" w:rsidRPr="00BD76AF" w:rsidRDefault="00F332DA" w:rsidP="0079334B">
            <w:pPr>
              <w:tabs>
                <w:tab w:val="left" w:pos="5283"/>
              </w:tabs>
              <w:spacing w:before="60" w:after="60"/>
            </w:pPr>
            <w:r w:rsidRPr="00BD76AF">
              <w:t xml:space="preserve">Le multiple du Montant du Marché </w:t>
            </w:r>
            <w:r w:rsidRPr="00BD76AF">
              <w:rPr>
                <w:rFonts w:hint="eastAsia"/>
                <w:lang w:eastAsia="ja-JP"/>
              </w:rPr>
              <w:t>d</w:t>
            </w:r>
            <w:r w:rsidRPr="00BD76AF">
              <w:rPr>
                <w:lang w:eastAsia="ja-JP"/>
              </w:rPr>
              <w:t xml:space="preserve">oit </w:t>
            </w:r>
            <w:r w:rsidRPr="00BD76AF">
              <w:rPr>
                <w:iCs/>
                <w:szCs w:val="24"/>
                <w:lang w:eastAsia="ja-JP"/>
              </w:rPr>
              <w:t>être</w:t>
            </w:r>
            <w:r w:rsidRPr="00BD76AF">
              <w:rPr>
                <w:rFonts w:ascii="Microsoft Yi Baiti" w:eastAsia="Microsoft Yi Baiti" w:hAnsi="Microsoft Yi Baiti"/>
                <w:iCs/>
                <w:szCs w:val="24"/>
                <w:lang w:eastAsia="ja-JP"/>
              </w:rPr>
              <w:t> </w:t>
            </w:r>
            <w:r w:rsidRPr="00BD76AF">
              <w:t>: [</w:t>
            </w:r>
            <w:r w:rsidRPr="00BD76AF">
              <w:rPr>
                <w:i/>
              </w:rPr>
              <w:t>indiquer le multiple</w:t>
            </w:r>
            <w:r w:rsidRPr="00BD76AF">
              <w:t>]</w:t>
            </w:r>
          </w:p>
          <w:p w14:paraId="7C436A23" w14:textId="77777777" w:rsidR="00F332DA" w:rsidRPr="00BD76AF" w:rsidRDefault="00F332DA" w:rsidP="0079334B">
            <w:pPr>
              <w:tabs>
                <w:tab w:val="left" w:pos="5283"/>
              </w:tabs>
              <w:spacing w:before="60" w:after="60"/>
            </w:pPr>
            <w:r w:rsidRPr="00BD76AF">
              <w:t>[</w:t>
            </w:r>
            <w:r w:rsidRPr="00BD76AF">
              <w:rPr>
                <w:i/>
              </w:rPr>
              <w:t>ou</w:t>
            </w:r>
            <w:r w:rsidRPr="00BD76AF">
              <w:t>]</w:t>
            </w:r>
          </w:p>
          <w:p w14:paraId="414BC0C4" w14:textId="77777777" w:rsidR="00F332DA" w:rsidRPr="00BD76AF" w:rsidRDefault="00F332DA" w:rsidP="00367D59">
            <w:pPr>
              <w:tabs>
                <w:tab w:val="left" w:pos="5283"/>
              </w:tabs>
              <w:spacing w:before="60" w:after="120"/>
              <w:rPr>
                <w:iCs/>
                <w:szCs w:val="24"/>
                <w:lang w:eastAsia="ja-JP"/>
              </w:rPr>
            </w:pPr>
            <w:r w:rsidRPr="00BD76AF">
              <w:rPr>
                <w:iCs/>
                <w:szCs w:val="24"/>
                <w:lang w:eastAsia="ja-JP"/>
              </w:rPr>
              <w:t>Le montant total de la responsabilité de l’Entrepreneur doit être de</w:t>
            </w:r>
            <w:r w:rsidRPr="00BD76AF">
              <w:rPr>
                <w:rFonts w:ascii="Microsoft Yi Baiti" w:eastAsia="Microsoft Yi Baiti" w:hAnsi="Microsoft Yi Baiti"/>
                <w:iCs/>
                <w:szCs w:val="24"/>
                <w:lang w:eastAsia="ja-JP"/>
              </w:rPr>
              <w:t> </w:t>
            </w:r>
            <w:r w:rsidRPr="00BD76AF">
              <w:rPr>
                <w:iCs/>
                <w:szCs w:val="24"/>
                <w:lang w:eastAsia="ja-JP"/>
              </w:rPr>
              <w:t>: [</w:t>
            </w:r>
            <w:r w:rsidRPr="00BD76AF">
              <w:rPr>
                <w:rFonts w:hint="eastAsia"/>
                <w:i/>
                <w:iCs/>
                <w:szCs w:val="24"/>
                <w:lang w:eastAsia="ja-JP"/>
              </w:rPr>
              <w:t>i</w:t>
            </w:r>
            <w:r w:rsidRPr="00BD76AF">
              <w:rPr>
                <w:i/>
                <w:iCs/>
                <w:szCs w:val="24"/>
              </w:rPr>
              <w:t xml:space="preserve">ndiquer le </w:t>
            </w:r>
            <w:r w:rsidRPr="00BD76AF">
              <w:rPr>
                <w:i/>
                <w:iCs/>
                <w:szCs w:val="24"/>
                <w:lang w:eastAsia="ja-JP"/>
              </w:rPr>
              <w:t>montant total de la responsabilité</w:t>
            </w:r>
            <w:r w:rsidRPr="00BD76AF">
              <w:rPr>
                <w:iCs/>
                <w:szCs w:val="24"/>
                <w:lang w:eastAsia="ja-JP"/>
              </w:rPr>
              <w:t>]</w:t>
            </w:r>
          </w:p>
        </w:tc>
      </w:tr>
      <w:tr w:rsidR="00F332DA" w:rsidRPr="00BD76AF" w14:paraId="32B8741F" w14:textId="77777777" w:rsidTr="008A3C2D">
        <w:tc>
          <w:tcPr>
            <w:tcW w:w="3348" w:type="dxa"/>
            <w:tcBorders>
              <w:top w:val="single" w:sz="2" w:space="0" w:color="auto"/>
              <w:left w:val="single" w:sz="2" w:space="0" w:color="auto"/>
              <w:right w:val="single" w:sz="2" w:space="0" w:color="auto"/>
            </w:tcBorders>
          </w:tcPr>
          <w:p w14:paraId="3187907A" w14:textId="77777777" w:rsidR="00F332DA" w:rsidRPr="00BD76AF" w:rsidRDefault="00F332DA" w:rsidP="0079334B">
            <w:pPr>
              <w:spacing w:before="60" w:after="60"/>
              <w:rPr>
                <w:b/>
                <w:szCs w:val="24"/>
              </w:rPr>
            </w:pPr>
            <w:r w:rsidRPr="00BD76AF">
              <w:rPr>
                <w:b/>
                <w:bCs/>
                <w:szCs w:val="24"/>
                <w:lang w:eastAsia="ja-JP"/>
              </w:rPr>
              <w:t>Délais</w:t>
            </w:r>
            <w:r w:rsidRPr="00BD76AF">
              <w:rPr>
                <w:b/>
                <w:szCs w:val="24"/>
              </w:rPr>
              <w:t xml:space="preserve"> de présentation des </w:t>
            </w:r>
            <w:r w:rsidRPr="00BD76AF">
              <w:rPr>
                <w:b/>
                <w:bCs/>
                <w:szCs w:val="24"/>
                <w:lang w:eastAsia="ja-JP"/>
              </w:rPr>
              <w:t>attestations</w:t>
            </w:r>
            <w:r w:rsidRPr="00BD76AF">
              <w:rPr>
                <w:b/>
                <w:szCs w:val="24"/>
              </w:rPr>
              <w:t xml:space="preserve"> d’assurance</w:t>
            </w:r>
          </w:p>
        </w:tc>
        <w:tc>
          <w:tcPr>
            <w:tcW w:w="1440" w:type="dxa"/>
            <w:tcBorders>
              <w:top w:val="single" w:sz="2" w:space="0" w:color="auto"/>
              <w:left w:val="single" w:sz="2" w:space="0" w:color="auto"/>
              <w:right w:val="single" w:sz="2" w:space="0" w:color="auto"/>
            </w:tcBorders>
          </w:tcPr>
          <w:p w14:paraId="38BE61AD" w14:textId="77777777" w:rsidR="00F332DA" w:rsidRPr="00BD76AF" w:rsidRDefault="00F332DA" w:rsidP="0079334B">
            <w:pPr>
              <w:spacing w:before="60" w:after="60"/>
              <w:rPr>
                <w:szCs w:val="24"/>
              </w:rPr>
            </w:pPr>
          </w:p>
        </w:tc>
        <w:tc>
          <w:tcPr>
            <w:tcW w:w="4261" w:type="dxa"/>
            <w:tcBorders>
              <w:top w:val="single" w:sz="2" w:space="0" w:color="auto"/>
              <w:left w:val="single" w:sz="2" w:space="0" w:color="auto"/>
              <w:right w:val="single" w:sz="2" w:space="0" w:color="auto"/>
            </w:tcBorders>
          </w:tcPr>
          <w:p w14:paraId="7AB5FD04" w14:textId="77777777" w:rsidR="00F332DA" w:rsidRPr="00BD76AF" w:rsidRDefault="00F332DA" w:rsidP="00367D59">
            <w:pPr>
              <w:tabs>
                <w:tab w:val="left" w:pos="5283"/>
              </w:tabs>
              <w:spacing w:before="60" w:after="120"/>
              <w:rPr>
                <w:iCs/>
                <w:szCs w:val="24"/>
                <w:lang w:val="en-GB" w:eastAsia="ja-JP"/>
              </w:rPr>
            </w:pPr>
            <w:r w:rsidRPr="00BD76AF">
              <w:rPr>
                <w:iCs/>
                <w:szCs w:val="24"/>
                <w:lang w:eastAsia="ja-JP"/>
              </w:rPr>
              <w:t>[</w:t>
            </w:r>
            <w:r w:rsidRPr="00BD76AF">
              <w:rPr>
                <w:i/>
                <w:iCs/>
                <w:szCs w:val="24"/>
                <w:lang w:eastAsia="ja-JP"/>
              </w:rPr>
              <w:t xml:space="preserve">Indiquer les délais pour la présentation des attestations d’assurance. </w:t>
            </w:r>
            <w:r w:rsidRPr="00BD76AF">
              <w:rPr>
                <w:i/>
                <w:iCs/>
                <w:szCs w:val="24"/>
                <w:lang w:val="en-GB" w:eastAsia="ja-JP"/>
              </w:rPr>
              <w:t>Ce délai peut être de 14 à 28 jours.</w:t>
            </w:r>
            <w:r w:rsidRPr="00BD76AF">
              <w:rPr>
                <w:iCs/>
                <w:szCs w:val="24"/>
                <w:lang w:val="en-GB" w:eastAsia="ja-JP"/>
              </w:rPr>
              <w:t>]</w:t>
            </w:r>
          </w:p>
        </w:tc>
      </w:tr>
      <w:tr w:rsidR="00F332DA" w:rsidRPr="00BD76AF" w14:paraId="2BF1AC79" w14:textId="77777777" w:rsidTr="008A3C2D">
        <w:tc>
          <w:tcPr>
            <w:tcW w:w="3348" w:type="dxa"/>
            <w:tcBorders>
              <w:left w:val="single" w:sz="2" w:space="0" w:color="auto"/>
              <w:right w:val="single" w:sz="2" w:space="0" w:color="auto"/>
            </w:tcBorders>
          </w:tcPr>
          <w:p w14:paraId="694B91DD" w14:textId="77777777" w:rsidR="00F332DA" w:rsidRPr="00BD76AF" w:rsidRDefault="00F332DA" w:rsidP="003C1A07">
            <w:pPr>
              <w:tabs>
                <w:tab w:val="left" w:pos="426"/>
              </w:tabs>
              <w:suppressAutoHyphens w:val="0"/>
              <w:overflowPunct/>
              <w:autoSpaceDE/>
              <w:autoSpaceDN/>
              <w:adjustRightInd/>
              <w:spacing w:before="60" w:after="60"/>
              <w:ind w:left="426" w:hanging="284"/>
              <w:jc w:val="left"/>
              <w:textAlignment w:val="auto"/>
              <w:rPr>
                <w:szCs w:val="24"/>
              </w:rPr>
            </w:pPr>
            <w:r w:rsidRPr="00BD76AF">
              <w:rPr>
                <w:szCs w:val="24"/>
              </w:rPr>
              <w:t>a.</w:t>
            </w:r>
            <w:r w:rsidRPr="00BD76AF">
              <w:rPr>
                <w:szCs w:val="24"/>
              </w:rPr>
              <w:tab/>
              <w:t>Par l’Entrepreneur</w:t>
            </w:r>
          </w:p>
        </w:tc>
        <w:tc>
          <w:tcPr>
            <w:tcW w:w="1440" w:type="dxa"/>
            <w:tcBorders>
              <w:left w:val="single" w:sz="2" w:space="0" w:color="auto"/>
              <w:right w:val="single" w:sz="2" w:space="0" w:color="auto"/>
            </w:tcBorders>
          </w:tcPr>
          <w:p w14:paraId="1327CBDD" w14:textId="77777777" w:rsidR="00F332DA" w:rsidRPr="00BD76AF" w:rsidRDefault="00F332DA" w:rsidP="0079334B">
            <w:pPr>
              <w:spacing w:before="60" w:after="60"/>
              <w:rPr>
                <w:szCs w:val="24"/>
              </w:rPr>
            </w:pPr>
            <w:r w:rsidRPr="00BD76AF">
              <w:rPr>
                <w:szCs w:val="24"/>
              </w:rPr>
              <w:t>34.3</w:t>
            </w:r>
          </w:p>
        </w:tc>
        <w:tc>
          <w:tcPr>
            <w:tcW w:w="4261" w:type="dxa"/>
            <w:tcBorders>
              <w:left w:val="single" w:sz="2" w:space="0" w:color="auto"/>
              <w:right w:val="single" w:sz="2" w:space="0" w:color="auto"/>
            </w:tcBorders>
          </w:tcPr>
          <w:p w14:paraId="78C4AB6F" w14:textId="77777777" w:rsidR="00F332DA" w:rsidRPr="00BD76AF" w:rsidRDefault="00F332DA" w:rsidP="0079334B">
            <w:pPr>
              <w:tabs>
                <w:tab w:val="left" w:pos="5283"/>
              </w:tabs>
              <w:spacing w:before="60" w:after="60"/>
              <w:rPr>
                <w:iCs/>
                <w:szCs w:val="24"/>
                <w:lang w:eastAsia="ja-JP"/>
              </w:rPr>
            </w:pPr>
            <w:r w:rsidRPr="00BD76AF">
              <w:rPr>
                <w:szCs w:val="24"/>
              </w:rPr>
              <w:t>_____jours</w:t>
            </w:r>
          </w:p>
        </w:tc>
      </w:tr>
      <w:tr w:rsidR="00F332DA" w:rsidRPr="00BD76AF" w14:paraId="589C54CB" w14:textId="77777777" w:rsidTr="008A3C2D">
        <w:tc>
          <w:tcPr>
            <w:tcW w:w="3348" w:type="dxa"/>
            <w:tcBorders>
              <w:left w:val="single" w:sz="2" w:space="0" w:color="auto"/>
              <w:bottom w:val="single" w:sz="2" w:space="0" w:color="auto"/>
              <w:right w:val="single" w:sz="2" w:space="0" w:color="auto"/>
            </w:tcBorders>
          </w:tcPr>
          <w:p w14:paraId="71726E34" w14:textId="77777777" w:rsidR="00F332DA" w:rsidRPr="00BD76AF" w:rsidRDefault="00F332DA" w:rsidP="003C1A07">
            <w:pPr>
              <w:tabs>
                <w:tab w:val="left" w:pos="426"/>
              </w:tabs>
              <w:suppressAutoHyphens w:val="0"/>
              <w:overflowPunct/>
              <w:autoSpaceDE/>
              <w:autoSpaceDN/>
              <w:adjustRightInd/>
              <w:spacing w:before="60" w:after="60"/>
              <w:ind w:left="426" w:hanging="284"/>
              <w:jc w:val="left"/>
              <w:textAlignment w:val="auto"/>
              <w:rPr>
                <w:szCs w:val="24"/>
              </w:rPr>
            </w:pPr>
            <w:r w:rsidRPr="00BD76AF">
              <w:rPr>
                <w:szCs w:val="24"/>
              </w:rPr>
              <w:t>b.</w:t>
            </w:r>
            <w:r w:rsidRPr="00BD76AF">
              <w:rPr>
                <w:szCs w:val="24"/>
              </w:rPr>
              <w:tab/>
              <w:t>Par le Maître d’ouvrage</w:t>
            </w:r>
          </w:p>
        </w:tc>
        <w:tc>
          <w:tcPr>
            <w:tcW w:w="1440" w:type="dxa"/>
            <w:tcBorders>
              <w:left w:val="single" w:sz="2" w:space="0" w:color="auto"/>
              <w:bottom w:val="single" w:sz="2" w:space="0" w:color="auto"/>
              <w:right w:val="single" w:sz="2" w:space="0" w:color="auto"/>
            </w:tcBorders>
          </w:tcPr>
          <w:p w14:paraId="4DFAAF56" w14:textId="77777777" w:rsidR="00F332DA" w:rsidRPr="00BD76AF" w:rsidRDefault="00F332DA" w:rsidP="0079334B">
            <w:pPr>
              <w:spacing w:before="60" w:after="60"/>
              <w:rPr>
                <w:szCs w:val="24"/>
              </w:rPr>
            </w:pPr>
            <w:r w:rsidRPr="00BD76AF">
              <w:rPr>
                <w:szCs w:val="24"/>
              </w:rPr>
              <w:t>34.5</w:t>
            </w:r>
          </w:p>
        </w:tc>
        <w:tc>
          <w:tcPr>
            <w:tcW w:w="4261" w:type="dxa"/>
            <w:tcBorders>
              <w:left w:val="single" w:sz="2" w:space="0" w:color="auto"/>
              <w:bottom w:val="single" w:sz="2" w:space="0" w:color="auto"/>
              <w:right w:val="single" w:sz="2" w:space="0" w:color="auto"/>
            </w:tcBorders>
          </w:tcPr>
          <w:p w14:paraId="25254631" w14:textId="77777777" w:rsidR="00F332DA" w:rsidRPr="00BD76AF" w:rsidRDefault="00F332DA" w:rsidP="0079334B">
            <w:pPr>
              <w:tabs>
                <w:tab w:val="left" w:pos="5283"/>
              </w:tabs>
              <w:spacing w:before="60" w:after="60"/>
              <w:rPr>
                <w:iCs/>
                <w:szCs w:val="24"/>
                <w:lang w:eastAsia="ja-JP"/>
              </w:rPr>
            </w:pPr>
            <w:r w:rsidRPr="00BD76AF">
              <w:rPr>
                <w:iCs/>
                <w:szCs w:val="24"/>
                <w:lang w:eastAsia="ja-JP"/>
              </w:rPr>
              <w:t>[</w:t>
            </w:r>
            <w:r w:rsidRPr="00BD76AF">
              <w:rPr>
                <w:i/>
                <w:iCs/>
                <w:szCs w:val="24"/>
                <w:lang w:eastAsia="ja-JP"/>
              </w:rPr>
              <w:t xml:space="preserve">Si des attestations d'assurance ont été présentées ou fournies aux Soumissionnaires lors de l’appel d’offres, supprimer entièrement le texte </w:t>
            </w:r>
            <w:r w:rsidRPr="00BD76AF">
              <w:rPr>
                <w:i/>
                <w:iCs/>
                <w:szCs w:val="24"/>
              </w:rPr>
              <w:t>ci-dessous</w:t>
            </w:r>
            <w:r w:rsidRPr="00BD76AF">
              <w:rPr>
                <w:i/>
                <w:iCs/>
              </w:rPr>
              <w:t>, et indiquer « Cet Article 34.5 des DM est sans objet. » Sinon, indiquer le nombre de jours.</w:t>
            </w:r>
            <w:r w:rsidRPr="00BD76AF">
              <w:rPr>
                <w:iCs/>
                <w:szCs w:val="24"/>
                <w:lang w:eastAsia="ja-JP"/>
              </w:rPr>
              <w:t>]</w:t>
            </w:r>
          </w:p>
          <w:p w14:paraId="22029860" w14:textId="77777777" w:rsidR="00F332DA" w:rsidRPr="00BD76AF" w:rsidRDefault="00F332DA" w:rsidP="00367D59">
            <w:pPr>
              <w:tabs>
                <w:tab w:val="left" w:pos="5283"/>
              </w:tabs>
              <w:spacing w:before="60" w:after="120"/>
              <w:rPr>
                <w:iCs/>
                <w:szCs w:val="24"/>
                <w:lang w:eastAsia="ja-JP"/>
              </w:rPr>
            </w:pPr>
            <w:r w:rsidRPr="00BD76AF">
              <w:rPr>
                <w:szCs w:val="24"/>
              </w:rPr>
              <w:t>_____jours</w:t>
            </w:r>
          </w:p>
        </w:tc>
      </w:tr>
      <w:tr w:rsidR="00F332DA" w:rsidRPr="00BD76AF" w14:paraId="7DBEE168" w14:textId="77777777" w:rsidTr="008A3C2D">
        <w:tc>
          <w:tcPr>
            <w:tcW w:w="3348" w:type="dxa"/>
            <w:tcBorders>
              <w:top w:val="single" w:sz="2" w:space="0" w:color="auto"/>
              <w:left w:val="single" w:sz="2" w:space="0" w:color="auto"/>
              <w:bottom w:val="single" w:sz="2" w:space="0" w:color="auto"/>
              <w:right w:val="single" w:sz="2" w:space="0" w:color="auto"/>
            </w:tcBorders>
          </w:tcPr>
          <w:p w14:paraId="006DD940" w14:textId="77777777" w:rsidR="00F332DA" w:rsidRPr="00BD76AF" w:rsidRDefault="00F332DA" w:rsidP="0079334B">
            <w:pPr>
              <w:tabs>
                <w:tab w:val="left" w:pos="426"/>
              </w:tabs>
              <w:suppressAutoHyphens w:val="0"/>
              <w:overflowPunct/>
              <w:autoSpaceDE/>
              <w:autoSpaceDN/>
              <w:adjustRightInd/>
              <w:spacing w:before="60" w:after="60"/>
              <w:jc w:val="left"/>
              <w:textAlignment w:val="auto"/>
              <w:rPr>
                <w:b/>
                <w:szCs w:val="24"/>
              </w:rPr>
            </w:pPr>
            <w:r w:rsidRPr="00BD76AF">
              <w:rPr>
                <w:b/>
                <w:szCs w:val="24"/>
              </w:rPr>
              <w:t xml:space="preserve">Assurances contractées et maintenues en vigueur par le Maître d’ouvrage </w:t>
            </w:r>
          </w:p>
        </w:tc>
        <w:tc>
          <w:tcPr>
            <w:tcW w:w="1440" w:type="dxa"/>
            <w:tcBorders>
              <w:top w:val="single" w:sz="2" w:space="0" w:color="auto"/>
              <w:left w:val="single" w:sz="2" w:space="0" w:color="auto"/>
              <w:bottom w:val="single" w:sz="2" w:space="0" w:color="auto"/>
              <w:right w:val="single" w:sz="2" w:space="0" w:color="auto"/>
            </w:tcBorders>
          </w:tcPr>
          <w:p w14:paraId="11341623" w14:textId="77777777" w:rsidR="00F332DA" w:rsidRPr="00BD76AF" w:rsidRDefault="00F332DA" w:rsidP="0079334B">
            <w:pPr>
              <w:spacing w:before="60" w:after="60"/>
              <w:rPr>
                <w:szCs w:val="24"/>
                <w:lang w:val="en-GB"/>
              </w:rPr>
            </w:pPr>
            <w:r w:rsidRPr="00BD76AF">
              <w:rPr>
                <w:szCs w:val="24"/>
                <w:lang w:val="en-GB"/>
              </w:rPr>
              <w:t xml:space="preserve">34.5 </w:t>
            </w:r>
          </w:p>
        </w:tc>
        <w:tc>
          <w:tcPr>
            <w:tcW w:w="4261" w:type="dxa"/>
            <w:tcBorders>
              <w:top w:val="single" w:sz="2" w:space="0" w:color="auto"/>
              <w:left w:val="single" w:sz="2" w:space="0" w:color="auto"/>
              <w:bottom w:val="single" w:sz="2" w:space="0" w:color="auto"/>
              <w:right w:val="single" w:sz="2" w:space="0" w:color="auto"/>
            </w:tcBorders>
          </w:tcPr>
          <w:p w14:paraId="164204CD" w14:textId="77777777" w:rsidR="00F332DA" w:rsidRPr="00BD76AF" w:rsidRDefault="00F332DA" w:rsidP="00247711">
            <w:pPr>
              <w:tabs>
                <w:tab w:val="left" w:pos="5283"/>
              </w:tabs>
              <w:spacing w:before="60" w:after="120"/>
              <w:rPr>
                <w:iCs/>
                <w:szCs w:val="24"/>
                <w:lang w:eastAsia="ja-JP"/>
              </w:rPr>
            </w:pPr>
            <w:r w:rsidRPr="00BD76AF">
              <w:rPr>
                <w:iCs/>
                <w:szCs w:val="24"/>
                <w:lang w:eastAsia="ja-JP"/>
              </w:rPr>
              <w:t>[</w:t>
            </w:r>
            <w:r w:rsidRPr="00BD76AF">
              <w:rPr>
                <w:i/>
                <w:iCs/>
                <w:szCs w:val="24"/>
                <w:lang w:eastAsia="ja-JP"/>
              </w:rPr>
              <w:t>Si le Maître d’ouvrage doit à ses propres frais contracter et maintenir en vigueur les assurances, spécifier les assurances en conformité de celles de l’Annexe 3</w:t>
            </w:r>
            <w:r w:rsidRPr="00BD76AF">
              <w:rPr>
                <w:rFonts w:eastAsia="Microsoft Yi Baiti"/>
                <w:i/>
                <w:iCs/>
                <w:szCs w:val="24"/>
                <w:lang w:eastAsia="ja-JP"/>
              </w:rPr>
              <w:t xml:space="preserve"> (</w:t>
            </w:r>
            <w:r w:rsidRPr="00BD76AF">
              <w:rPr>
                <w:i/>
                <w:iCs/>
                <w:szCs w:val="24"/>
                <w:lang w:eastAsia="ja-JP"/>
              </w:rPr>
              <w:t xml:space="preserve">Assurances obligatoires) de l’Acte d’engagement. Sinon, supprimer entièrement </w:t>
            </w:r>
            <w:r w:rsidRPr="00BD76AF">
              <w:rPr>
                <w:i/>
                <w:iCs/>
              </w:rPr>
              <w:t>cet Article 34.5 des DM</w:t>
            </w:r>
            <w:r w:rsidRPr="00BD76AF">
              <w:rPr>
                <w:i/>
                <w:iCs/>
                <w:szCs w:val="24"/>
                <w:lang w:eastAsia="ja-JP"/>
              </w:rPr>
              <w:t>.</w:t>
            </w:r>
            <w:r w:rsidRPr="00BD76AF">
              <w:rPr>
                <w:iCs/>
                <w:szCs w:val="24"/>
                <w:lang w:eastAsia="ja-JP"/>
              </w:rPr>
              <w:t>]</w:t>
            </w:r>
          </w:p>
        </w:tc>
      </w:tr>
      <w:tr w:rsidR="00F332DA" w:rsidRPr="00BD76AF" w14:paraId="2321FDC0" w14:textId="77777777" w:rsidTr="008A3C2D">
        <w:tc>
          <w:tcPr>
            <w:tcW w:w="3348" w:type="dxa"/>
            <w:tcBorders>
              <w:top w:val="single" w:sz="2" w:space="0" w:color="auto"/>
              <w:left w:val="single" w:sz="2" w:space="0" w:color="auto"/>
              <w:bottom w:val="single" w:sz="2" w:space="0" w:color="auto"/>
              <w:right w:val="single" w:sz="2" w:space="0" w:color="auto"/>
            </w:tcBorders>
          </w:tcPr>
          <w:p w14:paraId="1EDA4C6E" w14:textId="77777777" w:rsidR="00F332DA" w:rsidRPr="00BD76AF" w:rsidRDefault="00F332DA" w:rsidP="0079334B">
            <w:pPr>
              <w:tabs>
                <w:tab w:val="left" w:pos="426"/>
              </w:tabs>
              <w:suppressAutoHyphens w:val="0"/>
              <w:overflowPunct/>
              <w:autoSpaceDE/>
              <w:autoSpaceDN/>
              <w:adjustRightInd/>
              <w:spacing w:before="60" w:after="60"/>
              <w:jc w:val="left"/>
              <w:textAlignment w:val="auto"/>
              <w:rPr>
                <w:b/>
                <w:szCs w:val="24"/>
                <w:lang w:val="en-GB"/>
              </w:rPr>
            </w:pPr>
            <w:r w:rsidRPr="00BD76AF">
              <w:rPr>
                <w:b/>
                <w:szCs w:val="24"/>
                <w:lang w:val="en-GB"/>
              </w:rPr>
              <w:t>Sommes provisionnelles</w:t>
            </w:r>
          </w:p>
        </w:tc>
        <w:tc>
          <w:tcPr>
            <w:tcW w:w="1440" w:type="dxa"/>
            <w:tcBorders>
              <w:top w:val="single" w:sz="2" w:space="0" w:color="auto"/>
              <w:left w:val="single" w:sz="2" w:space="0" w:color="auto"/>
              <w:bottom w:val="single" w:sz="2" w:space="0" w:color="auto"/>
              <w:right w:val="single" w:sz="2" w:space="0" w:color="auto"/>
            </w:tcBorders>
          </w:tcPr>
          <w:p w14:paraId="37B2DA93" w14:textId="77777777" w:rsidR="00F332DA" w:rsidRPr="00BD76AF" w:rsidRDefault="00F332DA" w:rsidP="00073CB1">
            <w:pPr>
              <w:spacing w:before="60" w:after="60"/>
              <w:rPr>
                <w:szCs w:val="24"/>
                <w:lang w:val="en-GB"/>
              </w:rPr>
            </w:pPr>
            <w:r w:rsidRPr="00BD76AF">
              <w:rPr>
                <w:szCs w:val="24"/>
                <w:lang w:val="en-GB"/>
              </w:rPr>
              <w:t>39.4 b)</w:t>
            </w:r>
          </w:p>
        </w:tc>
        <w:tc>
          <w:tcPr>
            <w:tcW w:w="4261" w:type="dxa"/>
            <w:tcBorders>
              <w:top w:val="single" w:sz="2" w:space="0" w:color="auto"/>
              <w:left w:val="single" w:sz="2" w:space="0" w:color="auto"/>
              <w:bottom w:val="single" w:sz="2" w:space="0" w:color="auto"/>
              <w:right w:val="single" w:sz="2" w:space="0" w:color="auto"/>
            </w:tcBorders>
          </w:tcPr>
          <w:p w14:paraId="6377FF3C" w14:textId="77777777" w:rsidR="00F332DA" w:rsidRPr="00BD76AF" w:rsidRDefault="00F332DA" w:rsidP="0079334B">
            <w:pPr>
              <w:tabs>
                <w:tab w:val="left" w:pos="5283"/>
              </w:tabs>
              <w:spacing w:before="60" w:after="60"/>
              <w:rPr>
                <w:iCs/>
                <w:szCs w:val="24"/>
                <w:lang w:eastAsia="ja-JP"/>
              </w:rPr>
            </w:pPr>
            <w:r w:rsidRPr="00BD76AF">
              <w:rPr>
                <w:iCs/>
                <w:szCs w:val="24"/>
                <w:lang w:eastAsia="ja-JP"/>
              </w:rPr>
              <w:t>[</w:t>
            </w:r>
            <w:r w:rsidRPr="00BD76AF">
              <w:rPr>
                <w:i/>
                <w:iCs/>
                <w:szCs w:val="24"/>
              </w:rPr>
              <w:t>indiquer le pourcentage</w:t>
            </w:r>
            <w:r w:rsidRPr="00BD76AF">
              <w:rPr>
                <w:iCs/>
                <w:szCs w:val="24"/>
                <w:lang w:eastAsia="ja-JP"/>
              </w:rPr>
              <w:t>] %</w:t>
            </w:r>
          </w:p>
          <w:p w14:paraId="0D8785BB" w14:textId="77777777" w:rsidR="00F332DA" w:rsidRPr="00BD76AF" w:rsidRDefault="00F332DA" w:rsidP="005F0569">
            <w:pPr>
              <w:tabs>
                <w:tab w:val="left" w:pos="5283"/>
              </w:tabs>
              <w:spacing w:before="60" w:after="120"/>
              <w:rPr>
                <w:iCs/>
                <w:szCs w:val="24"/>
                <w:lang w:eastAsia="ja-JP"/>
              </w:rPr>
            </w:pPr>
            <w:r w:rsidRPr="00BD76AF">
              <w:rPr>
                <w:iCs/>
                <w:szCs w:val="24"/>
                <w:lang w:eastAsia="ja-JP"/>
              </w:rPr>
              <w:t>[</w:t>
            </w:r>
            <w:r w:rsidRPr="00BD76AF">
              <w:rPr>
                <w:i/>
                <w:iCs/>
                <w:szCs w:val="24"/>
                <w:lang w:eastAsia="ja-JP"/>
              </w:rPr>
              <w:t>S’il y a des sommes provisionnelles, insérer un pourcentage, qui ne sera en aucun cas inférieur à 15 %, pour l’ajustement des sommes provisionnelles.</w:t>
            </w:r>
            <w:r w:rsidRPr="00BD76AF">
              <w:rPr>
                <w:i/>
                <w:iCs/>
              </w:rPr>
              <w:t xml:space="preserve"> Sinon, supprimer le texte ci-dessus, et indiquer « Cet Article 39.4 b) des DM est sans objet. »</w:t>
            </w:r>
            <w:r w:rsidRPr="00BD76AF">
              <w:rPr>
                <w:iCs/>
                <w:szCs w:val="24"/>
                <w:lang w:eastAsia="ja-JP"/>
              </w:rPr>
              <w:t>]</w:t>
            </w:r>
          </w:p>
        </w:tc>
      </w:tr>
      <w:tr w:rsidR="00F332DA" w:rsidRPr="00BD76AF" w14:paraId="7AC0E00F" w14:textId="77777777" w:rsidTr="008A3C2D">
        <w:tc>
          <w:tcPr>
            <w:tcW w:w="3348" w:type="dxa"/>
            <w:tcBorders>
              <w:top w:val="single" w:sz="2" w:space="0" w:color="auto"/>
              <w:left w:val="single" w:sz="2" w:space="0" w:color="auto"/>
              <w:bottom w:val="single" w:sz="2" w:space="0" w:color="auto"/>
              <w:right w:val="single" w:sz="2" w:space="0" w:color="auto"/>
            </w:tcBorders>
          </w:tcPr>
          <w:p w14:paraId="6A1065AC" w14:textId="77777777" w:rsidR="00F332DA" w:rsidRPr="00BD76AF" w:rsidRDefault="00F332DA" w:rsidP="005F0569">
            <w:pPr>
              <w:tabs>
                <w:tab w:val="left" w:pos="426"/>
              </w:tabs>
              <w:suppressAutoHyphens w:val="0"/>
              <w:overflowPunct/>
              <w:autoSpaceDE/>
              <w:autoSpaceDN/>
              <w:adjustRightInd/>
              <w:spacing w:before="60" w:after="60"/>
              <w:jc w:val="left"/>
              <w:textAlignment w:val="auto"/>
              <w:rPr>
                <w:b/>
                <w:szCs w:val="24"/>
              </w:rPr>
            </w:pPr>
            <w:r w:rsidRPr="00BD76AF">
              <w:rPr>
                <w:b/>
                <w:szCs w:val="24"/>
              </w:rPr>
              <w:t>Date au plus tard à laquelle le Comité de Règlement des Différends doit être nommé</w:t>
            </w:r>
          </w:p>
        </w:tc>
        <w:tc>
          <w:tcPr>
            <w:tcW w:w="1440" w:type="dxa"/>
            <w:tcBorders>
              <w:top w:val="single" w:sz="2" w:space="0" w:color="auto"/>
              <w:left w:val="single" w:sz="2" w:space="0" w:color="auto"/>
              <w:bottom w:val="single" w:sz="2" w:space="0" w:color="auto"/>
              <w:right w:val="single" w:sz="2" w:space="0" w:color="auto"/>
            </w:tcBorders>
          </w:tcPr>
          <w:p w14:paraId="121956CC" w14:textId="77777777" w:rsidR="00F332DA" w:rsidRPr="00BD76AF" w:rsidRDefault="00F332DA" w:rsidP="0079334B">
            <w:pPr>
              <w:spacing w:before="60" w:after="60"/>
              <w:rPr>
                <w:szCs w:val="24"/>
                <w:lang w:val="en-GB"/>
              </w:rPr>
            </w:pPr>
            <w:r w:rsidRPr="00BD76AF">
              <w:rPr>
                <w:rFonts w:hint="eastAsia"/>
                <w:szCs w:val="24"/>
                <w:lang w:val="en-GB"/>
              </w:rPr>
              <w:t>45.1</w:t>
            </w:r>
          </w:p>
        </w:tc>
        <w:tc>
          <w:tcPr>
            <w:tcW w:w="4261" w:type="dxa"/>
            <w:tcBorders>
              <w:top w:val="single" w:sz="2" w:space="0" w:color="auto"/>
              <w:left w:val="single" w:sz="2" w:space="0" w:color="auto"/>
              <w:bottom w:val="single" w:sz="2" w:space="0" w:color="auto"/>
              <w:right w:val="single" w:sz="2" w:space="0" w:color="auto"/>
            </w:tcBorders>
          </w:tcPr>
          <w:p w14:paraId="71238561" w14:textId="77777777" w:rsidR="00F332DA" w:rsidRPr="00BD76AF" w:rsidRDefault="00F332DA" w:rsidP="0079334B">
            <w:pPr>
              <w:tabs>
                <w:tab w:val="left" w:pos="5283"/>
              </w:tabs>
              <w:spacing w:before="60" w:after="60"/>
              <w:rPr>
                <w:iCs/>
                <w:szCs w:val="24"/>
                <w:lang w:eastAsia="ja-JP"/>
              </w:rPr>
            </w:pPr>
            <w:r w:rsidRPr="00BD76AF">
              <w:rPr>
                <w:szCs w:val="24"/>
              </w:rPr>
              <w:t>[</w:t>
            </w:r>
            <w:r w:rsidRPr="00BD76AF">
              <w:rPr>
                <w:i/>
                <w:szCs w:val="24"/>
              </w:rPr>
              <w:t>indiquer : «</w:t>
            </w:r>
            <w:r w:rsidRPr="00BD76AF">
              <w:rPr>
                <w:bCs/>
                <w:szCs w:val="24"/>
                <w:lang w:eastAsia="ja-JP"/>
              </w:rPr>
              <w:t> </w:t>
            </w:r>
            <w:r w:rsidRPr="00BD76AF">
              <w:rPr>
                <w:i/>
                <w:szCs w:val="24"/>
              </w:rPr>
              <w:t>28 jours après la Date d’</w:t>
            </w:r>
            <w:r w:rsidRPr="00BD76AF">
              <w:rPr>
                <w:i/>
                <w:iCs/>
                <w:szCs w:val="24"/>
                <w:lang w:eastAsia="ja-JP"/>
              </w:rPr>
              <w:t>entrée en vigueur</w:t>
            </w:r>
            <w:r w:rsidRPr="00BD76AF">
              <w:rPr>
                <w:bCs/>
                <w:szCs w:val="24"/>
                <w:lang w:eastAsia="ja-JP"/>
              </w:rPr>
              <w:t> </w:t>
            </w:r>
            <w:r w:rsidRPr="00BD76AF">
              <w:rPr>
                <w:i/>
                <w:szCs w:val="24"/>
              </w:rPr>
              <w:t>»</w:t>
            </w:r>
            <w:r w:rsidRPr="00BD76AF">
              <w:rPr>
                <w:szCs w:val="24"/>
              </w:rPr>
              <w:t>]</w:t>
            </w:r>
          </w:p>
        </w:tc>
      </w:tr>
      <w:tr w:rsidR="00F332DA" w:rsidRPr="00BD76AF" w14:paraId="74483EEB" w14:textId="77777777" w:rsidTr="008A3C2D">
        <w:tc>
          <w:tcPr>
            <w:tcW w:w="3348" w:type="dxa"/>
            <w:tcBorders>
              <w:top w:val="single" w:sz="2" w:space="0" w:color="auto"/>
              <w:left w:val="single" w:sz="2" w:space="0" w:color="auto"/>
              <w:bottom w:val="single" w:sz="2" w:space="0" w:color="auto"/>
              <w:right w:val="single" w:sz="2" w:space="0" w:color="auto"/>
            </w:tcBorders>
          </w:tcPr>
          <w:p w14:paraId="5460892C" w14:textId="77777777" w:rsidR="00F332DA" w:rsidRPr="00BD76AF" w:rsidRDefault="00F332DA" w:rsidP="0079334B">
            <w:pPr>
              <w:tabs>
                <w:tab w:val="left" w:pos="426"/>
              </w:tabs>
              <w:suppressAutoHyphens w:val="0"/>
              <w:overflowPunct/>
              <w:autoSpaceDE/>
              <w:autoSpaceDN/>
              <w:adjustRightInd/>
              <w:spacing w:before="60" w:after="60"/>
              <w:jc w:val="left"/>
              <w:textAlignment w:val="auto"/>
              <w:rPr>
                <w:b/>
                <w:szCs w:val="24"/>
              </w:rPr>
            </w:pPr>
            <w:r w:rsidRPr="00BD76AF">
              <w:rPr>
                <w:b/>
                <w:bCs/>
                <w:szCs w:val="24"/>
              </w:rPr>
              <w:t>Le Comité de Règlement des Différends doit comprendre</w:t>
            </w:r>
          </w:p>
        </w:tc>
        <w:tc>
          <w:tcPr>
            <w:tcW w:w="1440" w:type="dxa"/>
            <w:tcBorders>
              <w:top w:val="single" w:sz="2" w:space="0" w:color="auto"/>
              <w:left w:val="single" w:sz="2" w:space="0" w:color="auto"/>
              <w:bottom w:val="single" w:sz="2" w:space="0" w:color="auto"/>
              <w:right w:val="single" w:sz="2" w:space="0" w:color="auto"/>
            </w:tcBorders>
          </w:tcPr>
          <w:p w14:paraId="167B4237" w14:textId="77777777" w:rsidR="00F332DA" w:rsidRPr="00BD76AF" w:rsidRDefault="00F332DA" w:rsidP="0079334B">
            <w:pPr>
              <w:spacing w:before="60" w:after="60"/>
              <w:rPr>
                <w:szCs w:val="24"/>
                <w:lang w:val="en-GB"/>
              </w:rPr>
            </w:pPr>
            <w:r w:rsidRPr="00BD76AF">
              <w:rPr>
                <w:rFonts w:hint="eastAsia"/>
                <w:szCs w:val="24"/>
                <w:lang w:val="en-GB"/>
              </w:rPr>
              <w:t>45.1</w:t>
            </w:r>
          </w:p>
        </w:tc>
        <w:tc>
          <w:tcPr>
            <w:tcW w:w="4261" w:type="dxa"/>
            <w:tcBorders>
              <w:top w:val="single" w:sz="2" w:space="0" w:color="auto"/>
              <w:left w:val="single" w:sz="2" w:space="0" w:color="auto"/>
              <w:bottom w:val="single" w:sz="2" w:space="0" w:color="auto"/>
              <w:right w:val="single" w:sz="2" w:space="0" w:color="auto"/>
            </w:tcBorders>
          </w:tcPr>
          <w:p w14:paraId="11A7FAAB" w14:textId="77777777" w:rsidR="00F332DA" w:rsidRPr="00BD76AF" w:rsidRDefault="00F332DA" w:rsidP="00367D59">
            <w:pPr>
              <w:tabs>
                <w:tab w:val="left" w:pos="5283"/>
              </w:tabs>
              <w:spacing w:before="60" w:after="120"/>
              <w:rPr>
                <w:iCs/>
                <w:szCs w:val="24"/>
                <w:lang w:eastAsia="ja-JP"/>
              </w:rPr>
            </w:pPr>
            <w:r w:rsidRPr="00BD76AF">
              <w:rPr>
                <w:iCs/>
                <w:szCs w:val="24"/>
                <w:lang w:eastAsia="ja-JP"/>
              </w:rPr>
              <w:t>[</w:t>
            </w:r>
            <w:r w:rsidRPr="00BD76AF">
              <w:rPr>
                <w:i/>
                <w:iCs/>
                <w:szCs w:val="24"/>
                <w:lang w:eastAsia="ja-JP"/>
              </w:rPr>
              <w:t>indiquer, soit «</w:t>
            </w:r>
            <w:r w:rsidRPr="00BD76AF">
              <w:rPr>
                <w:bCs/>
                <w:szCs w:val="24"/>
                <w:lang w:eastAsia="ja-JP"/>
              </w:rPr>
              <w:t> </w:t>
            </w:r>
            <w:r w:rsidRPr="00BD76AF">
              <w:rPr>
                <w:i/>
                <w:iCs/>
                <w:szCs w:val="24"/>
                <w:lang w:eastAsia="ja-JP"/>
              </w:rPr>
              <w:t>Un membre unique</w:t>
            </w:r>
            <w:r w:rsidRPr="00BD76AF">
              <w:rPr>
                <w:bCs/>
                <w:szCs w:val="24"/>
                <w:lang w:eastAsia="ja-JP"/>
              </w:rPr>
              <w:t> </w:t>
            </w:r>
            <w:r w:rsidRPr="00BD76AF">
              <w:rPr>
                <w:i/>
                <w:iCs/>
                <w:szCs w:val="24"/>
                <w:lang w:eastAsia="ja-JP"/>
              </w:rPr>
              <w:t>», soit «</w:t>
            </w:r>
            <w:r w:rsidRPr="00BD76AF">
              <w:rPr>
                <w:bCs/>
                <w:szCs w:val="24"/>
                <w:lang w:eastAsia="ja-JP"/>
              </w:rPr>
              <w:t> </w:t>
            </w:r>
            <w:r w:rsidRPr="00BD76AF">
              <w:rPr>
                <w:i/>
                <w:iCs/>
                <w:szCs w:val="24"/>
                <w:lang w:eastAsia="ja-JP"/>
              </w:rPr>
              <w:t>Trois membres</w:t>
            </w:r>
            <w:r w:rsidRPr="00BD76AF">
              <w:rPr>
                <w:bCs/>
                <w:szCs w:val="24"/>
                <w:lang w:eastAsia="ja-JP"/>
              </w:rPr>
              <w:t> </w:t>
            </w:r>
            <w:r w:rsidRPr="00BD76AF">
              <w:rPr>
                <w:i/>
                <w:iCs/>
                <w:szCs w:val="24"/>
                <w:lang w:eastAsia="ja-JP"/>
              </w:rPr>
              <w:t>», selon le cas</w:t>
            </w:r>
            <w:r w:rsidRPr="00BD76AF">
              <w:rPr>
                <w:iCs/>
                <w:szCs w:val="24"/>
                <w:lang w:eastAsia="ja-JP"/>
              </w:rPr>
              <w:t>]</w:t>
            </w:r>
          </w:p>
        </w:tc>
      </w:tr>
      <w:tr w:rsidR="00F332DA" w:rsidRPr="00BD76AF" w14:paraId="2E57EA54" w14:textId="77777777" w:rsidTr="004652AD">
        <w:tc>
          <w:tcPr>
            <w:tcW w:w="3348" w:type="dxa"/>
            <w:tcBorders>
              <w:top w:val="single" w:sz="2" w:space="0" w:color="auto"/>
              <w:left w:val="single" w:sz="2" w:space="0" w:color="auto"/>
              <w:bottom w:val="single" w:sz="2" w:space="0" w:color="auto"/>
              <w:right w:val="single" w:sz="2" w:space="0" w:color="auto"/>
            </w:tcBorders>
          </w:tcPr>
          <w:p w14:paraId="12A2C48B" w14:textId="77777777" w:rsidR="00F332DA" w:rsidRPr="00BD76AF" w:rsidRDefault="00F332DA" w:rsidP="0079334B">
            <w:pPr>
              <w:tabs>
                <w:tab w:val="left" w:pos="426"/>
              </w:tabs>
              <w:suppressAutoHyphens w:val="0"/>
              <w:overflowPunct/>
              <w:autoSpaceDE/>
              <w:autoSpaceDN/>
              <w:adjustRightInd/>
              <w:spacing w:before="60" w:after="60"/>
              <w:jc w:val="left"/>
              <w:textAlignment w:val="auto"/>
              <w:rPr>
                <w:b/>
                <w:szCs w:val="24"/>
              </w:rPr>
            </w:pPr>
            <w:r w:rsidRPr="00BD76AF">
              <w:rPr>
                <w:b/>
                <w:bCs/>
                <w:szCs w:val="24"/>
              </w:rPr>
              <w:t>La nomination (à défaut d’accord) doit être faite par</w:t>
            </w:r>
          </w:p>
        </w:tc>
        <w:tc>
          <w:tcPr>
            <w:tcW w:w="1440" w:type="dxa"/>
            <w:tcBorders>
              <w:top w:val="single" w:sz="2" w:space="0" w:color="auto"/>
              <w:left w:val="single" w:sz="2" w:space="0" w:color="auto"/>
              <w:bottom w:val="single" w:sz="2" w:space="0" w:color="auto"/>
              <w:right w:val="single" w:sz="2" w:space="0" w:color="auto"/>
            </w:tcBorders>
          </w:tcPr>
          <w:p w14:paraId="095AD60D" w14:textId="77777777" w:rsidR="00F332DA" w:rsidRPr="00BD76AF" w:rsidRDefault="00F332DA" w:rsidP="0079334B">
            <w:pPr>
              <w:spacing w:before="60" w:after="60"/>
              <w:rPr>
                <w:szCs w:val="24"/>
                <w:lang w:val="en-GB"/>
              </w:rPr>
            </w:pPr>
            <w:r w:rsidRPr="00BD76AF">
              <w:rPr>
                <w:rFonts w:hint="eastAsia"/>
                <w:szCs w:val="24"/>
                <w:lang w:val="en-GB"/>
              </w:rPr>
              <w:t>45.2</w:t>
            </w:r>
          </w:p>
        </w:tc>
        <w:tc>
          <w:tcPr>
            <w:tcW w:w="4261" w:type="dxa"/>
            <w:tcBorders>
              <w:top w:val="single" w:sz="2" w:space="0" w:color="auto"/>
              <w:left w:val="single" w:sz="2" w:space="0" w:color="auto"/>
              <w:bottom w:val="single" w:sz="2" w:space="0" w:color="auto"/>
              <w:right w:val="single" w:sz="2" w:space="0" w:color="auto"/>
            </w:tcBorders>
          </w:tcPr>
          <w:p w14:paraId="7CD2641F" w14:textId="77777777" w:rsidR="00F332DA" w:rsidRPr="00BD76AF" w:rsidRDefault="00F332DA" w:rsidP="00367D59">
            <w:pPr>
              <w:tabs>
                <w:tab w:val="left" w:pos="5283"/>
              </w:tabs>
              <w:spacing w:before="60" w:after="120"/>
              <w:rPr>
                <w:iCs/>
                <w:szCs w:val="24"/>
                <w:lang w:eastAsia="ja-JP"/>
              </w:rPr>
            </w:pPr>
            <w:r w:rsidRPr="00BD76AF">
              <w:rPr>
                <w:szCs w:val="24"/>
              </w:rPr>
              <w:t>[</w:t>
            </w:r>
            <w:r w:rsidRPr="00BD76AF">
              <w:rPr>
                <w:i/>
                <w:szCs w:val="24"/>
              </w:rPr>
              <w:t>Indiquer «</w:t>
            </w:r>
            <w:r w:rsidRPr="00BD76AF">
              <w:rPr>
                <w:bCs/>
                <w:szCs w:val="24"/>
                <w:lang w:eastAsia="ja-JP"/>
              </w:rPr>
              <w:t> </w:t>
            </w:r>
            <w:r w:rsidRPr="00BD76AF">
              <w:rPr>
                <w:i/>
                <w:szCs w:val="24"/>
              </w:rPr>
              <w:t>La Chambre de Commerce Internationale</w:t>
            </w:r>
            <w:r w:rsidRPr="00BD76AF">
              <w:rPr>
                <w:bCs/>
                <w:szCs w:val="24"/>
                <w:lang w:eastAsia="ja-JP"/>
              </w:rPr>
              <w:t> </w:t>
            </w:r>
            <w:r w:rsidRPr="00BD76AF">
              <w:rPr>
                <w:i/>
                <w:szCs w:val="24"/>
              </w:rPr>
              <w:t>»</w:t>
            </w:r>
            <w:r w:rsidRPr="00BD76AF">
              <w:rPr>
                <w:szCs w:val="24"/>
              </w:rPr>
              <w:t>]</w:t>
            </w:r>
          </w:p>
        </w:tc>
      </w:tr>
      <w:tr w:rsidR="00F332DA" w:rsidRPr="00BD76AF" w14:paraId="0BD35898" w14:textId="77777777" w:rsidTr="004652AD">
        <w:tc>
          <w:tcPr>
            <w:tcW w:w="3348" w:type="dxa"/>
            <w:tcBorders>
              <w:top w:val="single" w:sz="2" w:space="0" w:color="auto"/>
              <w:left w:val="single" w:sz="2" w:space="0" w:color="auto"/>
              <w:bottom w:val="single" w:sz="2" w:space="0" w:color="auto"/>
              <w:right w:val="single" w:sz="2" w:space="0" w:color="auto"/>
            </w:tcBorders>
          </w:tcPr>
          <w:p w14:paraId="7DC57619" w14:textId="77777777" w:rsidR="00F332DA" w:rsidRPr="00BD76AF" w:rsidRDefault="00F332DA" w:rsidP="0079334B">
            <w:pPr>
              <w:tabs>
                <w:tab w:val="left" w:pos="426"/>
              </w:tabs>
              <w:suppressAutoHyphens w:val="0"/>
              <w:overflowPunct/>
              <w:autoSpaceDE/>
              <w:autoSpaceDN/>
              <w:adjustRightInd/>
              <w:spacing w:before="60" w:after="60"/>
              <w:jc w:val="left"/>
              <w:textAlignment w:val="auto"/>
              <w:rPr>
                <w:b/>
                <w:szCs w:val="24"/>
                <w:lang w:val="en-GB"/>
              </w:rPr>
            </w:pPr>
            <w:r w:rsidRPr="00BD76AF">
              <w:rPr>
                <w:b/>
                <w:bCs/>
                <w:szCs w:val="24"/>
              </w:rPr>
              <w:t>Arbitrage :</w:t>
            </w:r>
          </w:p>
        </w:tc>
        <w:tc>
          <w:tcPr>
            <w:tcW w:w="1440" w:type="dxa"/>
            <w:tcBorders>
              <w:top w:val="single" w:sz="2" w:space="0" w:color="auto"/>
              <w:left w:val="single" w:sz="2" w:space="0" w:color="auto"/>
              <w:bottom w:val="single" w:sz="2" w:space="0" w:color="auto"/>
              <w:right w:val="single" w:sz="2" w:space="0" w:color="auto"/>
            </w:tcBorders>
          </w:tcPr>
          <w:p w14:paraId="1B509844" w14:textId="77777777" w:rsidR="00F332DA" w:rsidRPr="00BD76AF" w:rsidRDefault="00F332DA" w:rsidP="00073CB1">
            <w:pPr>
              <w:spacing w:before="60" w:after="60"/>
              <w:rPr>
                <w:szCs w:val="24"/>
                <w:lang w:val="en-GB"/>
              </w:rPr>
            </w:pPr>
            <w:r w:rsidRPr="00BD76AF">
              <w:rPr>
                <w:szCs w:val="24"/>
                <w:lang w:val="en-GB"/>
              </w:rPr>
              <w:t>45.5 a)</w:t>
            </w:r>
          </w:p>
        </w:tc>
        <w:tc>
          <w:tcPr>
            <w:tcW w:w="4261" w:type="dxa"/>
            <w:tcBorders>
              <w:top w:val="single" w:sz="2" w:space="0" w:color="auto"/>
              <w:left w:val="single" w:sz="2" w:space="0" w:color="auto"/>
              <w:bottom w:val="single" w:sz="2" w:space="0" w:color="auto"/>
              <w:right w:val="single" w:sz="2" w:space="0" w:color="auto"/>
            </w:tcBorders>
          </w:tcPr>
          <w:p w14:paraId="7DEE33DA" w14:textId="77777777" w:rsidR="00F332DA" w:rsidRPr="00BD76AF" w:rsidRDefault="00F332DA" w:rsidP="003D46CF">
            <w:pPr>
              <w:numPr>
                <w:ilvl w:val="0"/>
                <w:numId w:val="92"/>
              </w:numPr>
              <w:suppressAutoHyphens w:val="0"/>
              <w:overflowPunct/>
              <w:autoSpaceDE/>
              <w:autoSpaceDN/>
              <w:adjustRightInd/>
              <w:spacing w:before="60" w:after="60"/>
              <w:ind w:left="567" w:hanging="567"/>
              <w:textAlignment w:val="auto"/>
              <w:rPr>
                <w:color w:val="000000"/>
                <w:lang w:eastAsia="ja-JP"/>
              </w:rPr>
            </w:pPr>
            <w:r w:rsidRPr="00BD76AF">
              <w:rPr>
                <w:color w:val="000000"/>
                <w:lang w:eastAsia="ja-JP"/>
              </w:rPr>
              <w:t>Procédure administrée par :</w:t>
            </w:r>
          </w:p>
          <w:p w14:paraId="36483984" w14:textId="77777777" w:rsidR="00F332DA" w:rsidRPr="00BD76AF" w:rsidRDefault="00F332DA" w:rsidP="00073CB1">
            <w:pPr>
              <w:suppressAutoHyphens w:val="0"/>
              <w:overflowPunct/>
              <w:autoSpaceDE/>
              <w:autoSpaceDN/>
              <w:adjustRightInd/>
              <w:spacing w:before="60" w:after="60"/>
              <w:textAlignment w:val="auto"/>
              <w:rPr>
                <w:iCs/>
                <w:szCs w:val="24"/>
                <w:lang w:eastAsia="ja-JP"/>
              </w:rPr>
            </w:pPr>
            <w:r w:rsidRPr="00BD76AF">
              <w:rPr>
                <w:color w:val="000000"/>
              </w:rPr>
              <w:t>[</w:t>
            </w:r>
            <w:r w:rsidRPr="00BD76AF">
              <w:rPr>
                <w:i/>
                <w:color w:val="000000"/>
              </w:rPr>
              <w:t>Indiquer le nom de l’institution arbitrale. Sinon, supprimer entièrement cet Article 45.5 a)</w:t>
            </w:r>
            <w:r w:rsidRPr="00BD76AF" w:rsidDel="00073CB1">
              <w:rPr>
                <w:i/>
                <w:color w:val="000000"/>
              </w:rPr>
              <w:t xml:space="preserve"> </w:t>
            </w:r>
            <w:r w:rsidRPr="00BD76AF">
              <w:rPr>
                <w:i/>
                <w:color w:val="000000"/>
              </w:rPr>
              <w:t>i) des DM.</w:t>
            </w:r>
            <w:r w:rsidRPr="00BD76AF">
              <w:rPr>
                <w:color w:val="000000"/>
              </w:rPr>
              <w:t>]</w:t>
            </w:r>
          </w:p>
        </w:tc>
      </w:tr>
      <w:tr w:rsidR="00F332DA" w:rsidRPr="00BD76AF" w14:paraId="5650A8B1" w14:textId="77777777" w:rsidTr="004652AD">
        <w:tc>
          <w:tcPr>
            <w:tcW w:w="3348" w:type="dxa"/>
            <w:tcBorders>
              <w:top w:val="single" w:sz="2" w:space="0" w:color="auto"/>
              <w:left w:val="single" w:sz="2" w:space="0" w:color="auto"/>
              <w:bottom w:val="single" w:sz="2" w:space="0" w:color="auto"/>
              <w:right w:val="single" w:sz="2" w:space="0" w:color="auto"/>
            </w:tcBorders>
          </w:tcPr>
          <w:p w14:paraId="45FA7850" w14:textId="77777777" w:rsidR="00F332DA" w:rsidRPr="00BD76AF" w:rsidRDefault="00F332DA" w:rsidP="0079334B">
            <w:pPr>
              <w:tabs>
                <w:tab w:val="left" w:pos="426"/>
              </w:tabs>
              <w:suppressAutoHyphens w:val="0"/>
              <w:overflowPunct/>
              <w:autoSpaceDE/>
              <w:autoSpaceDN/>
              <w:adjustRightInd/>
              <w:spacing w:before="60" w:after="60"/>
              <w:ind w:left="426" w:hanging="284"/>
              <w:jc w:val="left"/>
              <w:textAlignment w:val="auto"/>
              <w:rPr>
                <w:szCs w:val="24"/>
              </w:rPr>
            </w:pPr>
          </w:p>
        </w:tc>
        <w:tc>
          <w:tcPr>
            <w:tcW w:w="1440" w:type="dxa"/>
            <w:tcBorders>
              <w:top w:val="single" w:sz="2" w:space="0" w:color="auto"/>
              <w:left w:val="single" w:sz="2" w:space="0" w:color="auto"/>
              <w:bottom w:val="single" w:sz="2" w:space="0" w:color="auto"/>
              <w:right w:val="single" w:sz="2" w:space="0" w:color="auto"/>
            </w:tcBorders>
          </w:tcPr>
          <w:p w14:paraId="34E67EA3" w14:textId="77777777" w:rsidR="00F332DA" w:rsidRPr="00BD76AF" w:rsidRDefault="00F332DA" w:rsidP="0079334B">
            <w:pPr>
              <w:spacing w:before="60" w:after="60"/>
              <w:rPr>
                <w:szCs w:val="24"/>
              </w:rPr>
            </w:pPr>
          </w:p>
        </w:tc>
        <w:tc>
          <w:tcPr>
            <w:tcW w:w="4261" w:type="dxa"/>
            <w:tcBorders>
              <w:top w:val="single" w:sz="2" w:space="0" w:color="auto"/>
              <w:left w:val="single" w:sz="2" w:space="0" w:color="auto"/>
              <w:bottom w:val="single" w:sz="2" w:space="0" w:color="auto"/>
              <w:right w:val="single" w:sz="2" w:space="0" w:color="auto"/>
            </w:tcBorders>
          </w:tcPr>
          <w:p w14:paraId="09950A6F" w14:textId="77777777" w:rsidR="00F332DA" w:rsidRPr="00BD76AF" w:rsidRDefault="00F332DA" w:rsidP="003D46CF">
            <w:pPr>
              <w:numPr>
                <w:ilvl w:val="0"/>
                <w:numId w:val="92"/>
              </w:numPr>
              <w:suppressAutoHyphens w:val="0"/>
              <w:overflowPunct/>
              <w:autoSpaceDE/>
              <w:autoSpaceDN/>
              <w:adjustRightInd/>
              <w:spacing w:before="60" w:after="60"/>
              <w:ind w:left="567" w:hanging="567"/>
              <w:textAlignment w:val="auto"/>
              <w:rPr>
                <w:color w:val="000000"/>
                <w:lang w:eastAsia="ja-JP"/>
              </w:rPr>
            </w:pPr>
            <w:r w:rsidRPr="00BD76AF">
              <w:rPr>
                <w:bCs/>
                <w:szCs w:val="24"/>
                <w:lang w:eastAsia="ja-JP"/>
              </w:rPr>
              <w:t>Procédure conduite selon :</w:t>
            </w:r>
          </w:p>
          <w:p w14:paraId="35BE0849" w14:textId="77777777" w:rsidR="00F332DA" w:rsidRPr="00BD76AF" w:rsidRDefault="00F332DA" w:rsidP="00073CB1">
            <w:pPr>
              <w:suppressAutoHyphens w:val="0"/>
              <w:overflowPunct/>
              <w:autoSpaceDE/>
              <w:autoSpaceDN/>
              <w:adjustRightInd/>
              <w:spacing w:before="60" w:after="60"/>
              <w:textAlignment w:val="auto"/>
              <w:rPr>
                <w:iCs/>
                <w:szCs w:val="24"/>
                <w:lang w:eastAsia="ja-JP"/>
              </w:rPr>
            </w:pPr>
            <w:r w:rsidRPr="00BD76AF">
              <w:rPr>
                <w:rFonts w:hint="eastAsia"/>
                <w:color w:val="000000"/>
                <w:lang w:eastAsia="ja-JP"/>
              </w:rPr>
              <w:t>[</w:t>
            </w:r>
            <w:r w:rsidRPr="00BD76AF">
              <w:rPr>
                <w:i/>
                <w:color w:val="000000"/>
                <w:lang w:eastAsia="ja-JP"/>
              </w:rPr>
              <w:t>Indiquer le nom des règles d’arbitrage. Sinon, supprimer entièrement cet Article 45.5 a)</w:t>
            </w:r>
            <w:r w:rsidRPr="00BD76AF" w:rsidDel="00073CB1">
              <w:rPr>
                <w:i/>
                <w:color w:val="000000"/>
                <w:lang w:eastAsia="ja-JP"/>
              </w:rPr>
              <w:t xml:space="preserve"> </w:t>
            </w:r>
            <w:r w:rsidRPr="00BD76AF">
              <w:rPr>
                <w:i/>
                <w:color w:val="000000"/>
                <w:lang w:eastAsia="ja-JP"/>
              </w:rPr>
              <w:t>ii) des DM</w:t>
            </w:r>
            <w:r w:rsidRPr="00BD76AF">
              <w:rPr>
                <w:i/>
                <w:color w:val="000000"/>
              </w:rPr>
              <w:t>.</w:t>
            </w:r>
            <w:r w:rsidRPr="00BD76AF">
              <w:rPr>
                <w:color w:val="000000"/>
              </w:rPr>
              <w:t>]</w:t>
            </w:r>
          </w:p>
        </w:tc>
      </w:tr>
    </w:tbl>
    <w:p w14:paraId="6F6475C6" w14:textId="77777777" w:rsidR="00F332DA" w:rsidRPr="00BD76AF" w:rsidRDefault="00F332DA" w:rsidP="0079334B">
      <w:pPr>
        <w:pStyle w:val="af5"/>
        <w:spacing w:afterLines="100" w:after="240"/>
        <w:jc w:val="left"/>
        <w:rPr>
          <w:b w:val="0"/>
          <w:sz w:val="24"/>
          <w:szCs w:val="24"/>
          <w:lang w:val="fr-FR" w:eastAsia="ja-JP"/>
        </w:rPr>
      </w:pPr>
    </w:p>
    <w:p w14:paraId="7C072736" w14:textId="77777777" w:rsidR="00F332DA" w:rsidRPr="00BD76AF" w:rsidRDefault="00F332DA" w:rsidP="00365CCA">
      <w:pPr>
        <w:spacing w:after="200"/>
        <w:rPr>
          <w:lang w:eastAsia="ja-JP"/>
        </w:rPr>
      </w:pPr>
    </w:p>
    <w:p w14:paraId="39782D3E" w14:textId="77777777" w:rsidR="00F332DA" w:rsidRPr="00BD76AF" w:rsidRDefault="00F332DA" w:rsidP="0079334B">
      <w:pPr>
        <w:rPr>
          <w:sz w:val="22"/>
          <w:u w:val="single"/>
        </w:rPr>
      </w:pPr>
      <w:r w:rsidRPr="00BD76AF">
        <w:rPr>
          <w:b/>
        </w:rPr>
        <w:t>Tableau 1 : Résumé des Tranches</w:t>
      </w:r>
    </w:p>
    <w:tbl>
      <w:tblPr>
        <w:tblW w:w="9083" w:type="dxa"/>
        <w:tblInd w:w="108" w:type="dxa"/>
        <w:tblLayout w:type="fixed"/>
        <w:tblLook w:val="0000" w:firstRow="0" w:lastRow="0" w:firstColumn="0" w:lastColumn="0" w:noHBand="0" w:noVBand="0"/>
      </w:tblPr>
      <w:tblGrid>
        <w:gridCol w:w="1985"/>
        <w:gridCol w:w="1984"/>
        <w:gridCol w:w="2551"/>
        <w:gridCol w:w="2563"/>
      </w:tblGrid>
      <w:tr w:rsidR="00F332DA" w:rsidRPr="00BD76AF" w14:paraId="4EFF123E" w14:textId="77777777" w:rsidTr="008A3C2D">
        <w:trPr>
          <w:cantSplit/>
          <w:trHeight w:val="420"/>
        </w:trPr>
        <w:tc>
          <w:tcPr>
            <w:tcW w:w="1985" w:type="dxa"/>
            <w:tcBorders>
              <w:top w:val="single" w:sz="18" w:space="0" w:color="auto"/>
              <w:left w:val="single" w:sz="18" w:space="0" w:color="auto"/>
              <w:bottom w:val="single" w:sz="18" w:space="0" w:color="auto"/>
              <w:right w:val="single" w:sz="18" w:space="0" w:color="auto"/>
            </w:tcBorders>
          </w:tcPr>
          <w:p w14:paraId="526C6948" w14:textId="77777777" w:rsidR="00F332DA" w:rsidRPr="00BD76AF" w:rsidRDefault="00F332DA" w:rsidP="0079334B">
            <w:pPr>
              <w:jc w:val="center"/>
              <w:rPr>
                <w:b/>
                <w:bCs/>
                <w:szCs w:val="24"/>
              </w:rPr>
            </w:pPr>
            <w:r w:rsidRPr="00BD76AF">
              <w:rPr>
                <w:b/>
                <w:bCs/>
                <w:szCs w:val="24"/>
              </w:rPr>
              <w:t>Nom et description de la Tranche</w:t>
            </w:r>
          </w:p>
          <w:p w14:paraId="240FCD1E" w14:textId="77777777" w:rsidR="00F332DA" w:rsidRPr="00BD76AF" w:rsidRDefault="00F332DA" w:rsidP="0079334B">
            <w:pPr>
              <w:jc w:val="center"/>
              <w:rPr>
                <w:b/>
                <w:bCs/>
                <w:szCs w:val="24"/>
                <w:lang w:val="en-GB"/>
              </w:rPr>
            </w:pPr>
            <w:r w:rsidRPr="00BD76AF">
              <w:rPr>
                <w:b/>
                <w:bCs/>
                <w:szCs w:val="24"/>
              </w:rPr>
              <w:t>(Article</w:t>
            </w:r>
            <w:r w:rsidRPr="00BD76AF">
              <w:rPr>
                <w:b/>
                <w:bCs/>
                <w:szCs w:val="24"/>
                <w:lang w:val="en-GB"/>
              </w:rPr>
              <w:t xml:space="preserve"> 1.1)</w:t>
            </w:r>
          </w:p>
        </w:tc>
        <w:tc>
          <w:tcPr>
            <w:tcW w:w="1984" w:type="dxa"/>
            <w:tcBorders>
              <w:top w:val="single" w:sz="18" w:space="0" w:color="auto"/>
              <w:left w:val="single" w:sz="18" w:space="0" w:color="auto"/>
              <w:bottom w:val="single" w:sz="18" w:space="0" w:color="auto"/>
              <w:right w:val="single" w:sz="18" w:space="0" w:color="auto"/>
            </w:tcBorders>
          </w:tcPr>
          <w:p w14:paraId="0D3CC933" w14:textId="77777777" w:rsidR="00F332DA" w:rsidRPr="00BD76AF" w:rsidRDefault="00F332DA" w:rsidP="0079334B">
            <w:pPr>
              <w:jc w:val="center"/>
              <w:rPr>
                <w:b/>
                <w:bCs/>
                <w:szCs w:val="24"/>
              </w:rPr>
            </w:pPr>
            <w:r w:rsidRPr="00BD76AF">
              <w:rPr>
                <w:b/>
                <w:bCs/>
                <w:szCs w:val="24"/>
              </w:rPr>
              <w:t>Délai d’achèvement</w:t>
            </w:r>
          </w:p>
          <w:p w14:paraId="6FFF6013" w14:textId="77777777" w:rsidR="00F332DA" w:rsidRPr="00BD76AF" w:rsidRDefault="00F332DA" w:rsidP="0079334B">
            <w:pPr>
              <w:jc w:val="center"/>
              <w:rPr>
                <w:b/>
                <w:bCs/>
                <w:szCs w:val="24"/>
                <w:lang w:val="en-GB"/>
              </w:rPr>
            </w:pPr>
            <w:r w:rsidRPr="00BD76AF">
              <w:rPr>
                <w:b/>
                <w:bCs/>
                <w:szCs w:val="24"/>
              </w:rPr>
              <w:t>(Article</w:t>
            </w:r>
            <w:r w:rsidRPr="00BD76AF">
              <w:rPr>
                <w:b/>
                <w:bCs/>
                <w:szCs w:val="24"/>
                <w:lang w:val="en-GB"/>
              </w:rPr>
              <w:t xml:space="preserve"> 8.2)</w:t>
            </w:r>
          </w:p>
        </w:tc>
        <w:tc>
          <w:tcPr>
            <w:tcW w:w="2551" w:type="dxa"/>
            <w:tcBorders>
              <w:top w:val="single" w:sz="18" w:space="0" w:color="auto"/>
              <w:left w:val="single" w:sz="18" w:space="0" w:color="auto"/>
              <w:bottom w:val="single" w:sz="18" w:space="0" w:color="auto"/>
              <w:right w:val="single" w:sz="18" w:space="0" w:color="auto"/>
            </w:tcBorders>
          </w:tcPr>
          <w:p w14:paraId="33159BBC" w14:textId="77777777" w:rsidR="00F332DA" w:rsidRPr="00BD76AF" w:rsidRDefault="00F332DA" w:rsidP="0079334B">
            <w:pPr>
              <w:ind w:right="-94"/>
              <w:jc w:val="center"/>
              <w:rPr>
                <w:b/>
                <w:bCs/>
                <w:szCs w:val="24"/>
                <w:u w:val="single"/>
              </w:rPr>
            </w:pPr>
            <w:r w:rsidRPr="00BD76AF">
              <w:rPr>
                <w:b/>
                <w:bCs/>
                <w:szCs w:val="24"/>
              </w:rPr>
              <w:t>Pénalités de retard</w:t>
            </w:r>
          </w:p>
          <w:p w14:paraId="5F044540" w14:textId="77777777" w:rsidR="00F332DA" w:rsidRPr="00BD76AF" w:rsidRDefault="00F332DA" w:rsidP="0079334B">
            <w:pPr>
              <w:ind w:right="30"/>
              <w:jc w:val="center"/>
              <w:rPr>
                <w:b/>
                <w:bCs/>
                <w:szCs w:val="24"/>
              </w:rPr>
            </w:pPr>
            <w:r w:rsidRPr="00BD76AF">
              <w:rPr>
                <w:b/>
                <w:bCs/>
                <w:szCs w:val="24"/>
              </w:rPr>
              <w:t>en cas de non-respect de la garantie du Délai d’achèvement</w:t>
            </w:r>
          </w:p>
          <w:p w14:paraId="41E18CCE" w14:textId="77777777" w:rsidR="00F332DA" w:rsidRPr="00BD76AF" w:rsidRDefault="00F332DA" w:rsidP="0079334B">
            <w:pPr>
              <w:ind w:right="30"/>
              <w:jc w:val="center"/>
              <w:rPr>
                <w:b/>
                <w:bCs/>
                <w:szCs w:val="24"/>
                <w:u w:val="single"/>
                <w:lang w:val="en-GB"/>
              </w:rPr>
            </w:pPr>
            <w:r w:rsidRPr="00BD76AF">
              <w:rPr>
                <w:b/>
                <w:bCs/>
                <w:szCs w:val="24"/>
                <w:lang w:val="en-GB"/>
              </w:rPr>
              <w:t>(Article 26.2)</w:t>
            </w:r>
          </w:p>
        </w:tc>
        <w:tc>
          <w:tcPr>
            <w:tcW w:w="2563" w:type="dxa"/>
            <w:tcBorders>
              <w:top w:val="single" w:sz="18" w:space="0" w:color="auto"/>
              <w:left w:val="single" w:sz="18" w:space="0" w:color="auto"/>
              <w:bottom w:val="single" w:sz="18" w:space="0" w:color="auto"/>
              <w:right w:val="single" w:sz="18" w:space="0" w:color="auto"/>
            </w:tcBorders>
          </w:tcPr>
          <w:p w14:paraId="04E38B8A" w14:textId="77777777" w:rsidR="00F332DA" w:rsidRPr="00BD76AF" w:rsidRDefault="00F332DA" w:rsidP="0079334B">
            <w:pPr>
              <w:jc w:val="center"/>
              <w:rPr>
                <w:b/>
                <w:bCs/>
                <w:szCs w:val="24"/>
              </w:rPr>
            </w:pPr>
            <w:r w:rsidRPr="00BD76AF">
              <w:rPr>
                <w:b/>
                <w:bCs/>
                <w:szCs w:val="24"/>
              </w:rPr>
              <w:t>Nombre de jours à achever l’Essai de garantie</w:t>
            </w:r>
          </w:p>
          <w:p w14:paraId="286CD24D" w14:textId="77777777" w:rsidR="00F332DA" w:rsidRPr="00BD76AF" w:rsidRDefault="00F332DA" w:rsidP="0079334B">
            <w:pPr>
              <w:ind w:right="34"/>
              <w:jc w:val="center"/>
              <w:rPr>
                <w:b/>
                <w:bCs/>
                <w:szCs w:val="24"/>
              </w:rPr>
            </w:pPr>
            <w:r w:rsidRPr="00BD76AF">
              <w:rPr>
                <w:b/>
                <w:bCs/>
                <w:szCs w:val="24"/>
              </w:rPr>
              <w:t>(à compter de la date d’achèvement)</w:t>
            </w:r>
          </w:p>
          <w:p w14:paraId="71CC8B0B" w14:textId="77777777" w:rsidR="00F332DA" w:rsidRPr="00BD76AF" w:rsidRDefault="00F332DA" w:rsidP="0079334B">
            <w:pPr>
              <w:ind w:right="34"/>
              <w:jc w:val="center"/>
              <w:rPr>
                <w:b/>
                <w:bCs/>
                <w:szCs w:val="24"/>
                <w:lang w:val="en-GB"/>
              </w:rPr>
            </w:pPr>
            <w:r w:rsidRPr="00BD76AF">
              <w:rPr>
                <w:b/>
                <w:bCs/>
                <w:szCs w:val="24"/>
                <w:lang w:val="en-GB"/>
              </w:rPr>
              <w:t>(Article 25.2.2)</w:t>
            </w:r>
          </w:p>
        </w:tc>
      </w:tr>
      <w:tr w:rsidR="00F332DA" w:rsidRPr="00BD76AF" w14:paraId="1AC14880" w14:textId="77777777" w:rsidTr="008A3C2D">
        <w:tc>
          <w:tcPr>
            <w:tcW w:w="1985" w:type="dxa"/>
            <w:tcBorders>
              <w:top w:val="single" w:sz="18" w:space="0" w:color="auto"/>
              <w:left w:val="single" w:sz="4" w:space="0" w:color="auto"/>
              <w:bottom w:val="single" w:sz="4" w:space="0" w:color="auto"/>
              <w:right w:val="single" w:sz="4" w:space="0" w:color="auto"/>
            </w:tcBorders>
          </w:tcPr>
          <w:p w14:paraId="2A6BA812" w14:textId="77777777" w:rsidR="00F332DA" w:rsidRPr="00BD76AF" w:rsidRDefault="00F332DA" w:rsidP="0079334B">
            <w:pPr>
              <w:rPr>
                <w:sz w:val="22"/>
                <w:lang w:val="en-GB"/>
              </w:rPr>
            </w:pPr>
          </w:p>
        </w:tc>
        <w:tc>
          <w:tcPr>
            <w:tcW w:w="1984" w:type="dxa"/>
            <w:tcBorders>
              <w:top w:val="single" w:sz="18" w:space="0" w:color="auto"/>
              <w:left w:val="single" w:sz="4" w:space="0" w:color="auto"/>
              <w:bottom w:val="single" w:sz="4" w:space="0" w:color="auto"/>
              <w:right w:val="single" w:sz="4" w:space="0" w:color="auto"/>
            </w:tcBorders>
          </w:tcPr>
          <w:p w14:paraId="7F1B8251" w14:textId="77777777" w:rsidR="00F332DA" w:rsidRPr="00BD76AF" w:rsidRDefault="00F332DA" w:rsidP="0079334B">
            <w:pPr>
              <w:rPr>
                <w:sz w:val="22"/>
                <w:lang w:val="en-GB"/>
              </w:rPr>
            </w:pPr>
          </w:p>
        </w:tc>
        <w:tc>
          <w:tcPr>
            <w:tcW w:w="2551" w:type="dxa"/>
            <w:tcBorders>
              <w:top w:val="single" w:sz="18" w:space="0" w:color="auto"/>
              <w:left w:val="single" w:sz="4" w:space="0" w:color="auto"/>
              <w:bottom w:val="single" w:sz="4" w:space="0" w:color="auto"/>
              <w:right w:val="single" w:sz="4" w:space="0" w:color="auto"/>
            </w:tcBorders>
          </w:tcPr>
          <w:p w14:paraId="5D635E14" w14:textId="77777777" w:rsidR="00F332DA" w:rsidRPr="00BD76AF" w:rsidRDefault="00F332DA" w:rsidP="0079334B">
            <w:pPr>
              <w:ind w:right="-94"/>
              <w:rPr>
                <w:sz w:val="22"/>
                <w:u w:val="single"/>
                <w:lang w:val="en-GB"/>
              </w:rPr>
            </w:pPr>
          </w:p>
        </w:tc>
        <w:tc>
          <w:tcPr>
            <w:tcW w:w="2563" w:type="dxa"/>
            <w:tcBorders>
              <w:top w:val="single" w:sz="18" w:space="0" w:color="auto"/>
              <w:left w:val="single" w:sz="4" w:space="0" w:color="auto"/>
              <w:bottom w:val="single" w:sz="4" w:space="0" w:color="auto"/>
              <w:right w:val="single" w:sz="4" w:space="0" w:color="auto"/>
            </w:tcBorders>
          </w:tcPr>
          <w:p w14:paraId="481CFA75" w14:textId="77777777" w:rsidR="00F332DA" w:rsidRPr="00BD76AF" w:rsidRDefault="00F332DA" w:rsidP="0079334B">
            <w:pPr>
              <w:ind w:right="-94"/>
              <w:rPr>
                <w:sz w:val="22"/>
                <w:u w:val="single"/>
                <w:lang w:val="en-GB"/>
              </w:rPr>
            </w:pPr>
          </w:p>
        </w:tc>
      </w:tr>
      <w:tr w:rsidR="00F332DA" w:rsidRPr="00BD76AF" w14:paraId="03EE584F" w14:textId="77777777" w:rsidTr="008A3C2D">
        <w:tc>
          <w:tcPr>
            <w:tcW w:w="1985" w:type="dxa"/>
            <w:tcBorders>
              <w:top w:val="single" w:sz="4" w:space="0" w:color="auto"/>
              <w:left w:val="single" w:sz="4" w:space="0" w:color="auto"/>
              <w:bottom w:val="single" w:sz="4" w:space="0" w:color="auto"/>
              <w:right w:val="single" w:sz="4" w:space="0" w:color="auto"/>
            </w:tcBorders>
          </w:tcPr>
          <w:p w14:paraId="040722DB" w14:textId="77777777" w:rsidR="00F332DA" w:rsidRPr="00BD76AF" w:rsidRDefault="00F332DA" w:rsidP="0079334B">
            <w:pPr>
              <w:rPr>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20D0E28F" w14:textId="77777777" w:rsidR="00F332DA" w:rsidRPr="00BD76AF" w:rsidRDefault="00F332DA" w:rsidP="0079334B">
            <w:pPr>
              <w:rPr>
                <w:sz w:val="22"/>
                <w:lang w:val="en-GB"/>
              </w:rPr>
            </w:pPr>
          </w:p>
        </w:tc>
        <w:tc>
          <w:tcPr>
            <w:tcW w:w="2551" w:type="dxa"/>
            <w:tcBorders>
              <w:top w:val="single" w:sz="4" w:space="0" w:color="auto"/>
              <w:left w:val="single" w:sz="4" w:space="0" w:color="auto"/>
              <w:bottom w:val="single" w:sz="4" w:space="0" w:color="auto"/>
              <w:right w:val="single" w:sz="4" w:space="0" w:color="auto"/>
            </w:tcBorders>
          </w:tcPr>
          <w:p w14:paraId="089047DE" w14:textId="77777777" w:rsidR="00F332DA" w:rsidRPr="00BD76AF" w:rsidRDefault="00F332DA" w:rsidP="0079334B">
            <w:pPr>
              <w:ind w:right="-94"/>
              <w:rPr>
                <w:sz w:val="22"/>
                <w:u w:val="single"/>
                <w:lang w:val="en-GB"/>
              </w:rPr>
            </w:pPr>
          </w:p>
        </w:tc>
        <w:tc>
          <w:tcPr>
            <w:tcW w:w="2563" w:type="dxa"/>
            <w:tcBorders>
              <w:top w:val="single" w:sz="4" w:space="0" w:color="auto"/>
              <w:left w:val="single" w:sz="4" w:space="0" w:color="auto"/>
              <w:bottom w:val="single" w:sz="4" w:space="0" w:color="auto"/>
              <w:right w:val="single" w:sz="4" w:space="0" w:color="auto"/>
            </w:tcBorders>
          </w:tcPr>
          <w:p w14:paraId="2221C0CE" w14:textId="77777777" w:rsidR="00F332DA" w:rsidRPr="00BD76AF" w:rsidRDefault="00F332DA" w:rsidP="0079334B">
            <w:pPr>
              <w:ind w:right="-94"/>
              <w:rPr>
                <w:sz w:val="22"/>
                <w:u w:val="single"/>
                <w:lang w:val="en-GB"/>
              </w:rPr>
            </w:pPr>
          </w:p>
        </w:tc>
      </w:tr>
      <w:tr w:rsidR="00F332DA" w:rsidRPr="00BD76AF" w14:paraId="67C5D195" w14:textId="77777777" w:rsidTr="008A3C2D">
        <w:tc>
          <w:tcPr>
            <w:tcW w:w="1985" w:type="dxa"/>
            <w:tcBorders>
              <w:top w:val="single" w:sz="4" w:space="0" w:color="auto"/>
              <w:left w:val="single" w:sz="4" w:space="0" w:color="auto"/>
              <w:bottom w:val="single" w:sz="4" w:space="0" w:color="auto"/>
              <w:right w:val="single" w:sz="4" w:space="0" w:color="auto"/>
            </w:tcBorders>
          </w:tcPr>
          <w:p w14:paraId="69BE8E63" w14:textId="77777777" w:rsidR="00F332DA" w:rsidRPr="00BD76AF" w:rsidRDefault="00F332DA" w:rsidP="0079334B">
            <w:pPr>
              <w:rPr>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4E6954F0" w14:textId="77777777" w:rsidR="00F332DA" w:rsidRPr="00BD76AF" w:rsidRDefault="00F332DA" w:rsidP="0079334B">
            <w:pPr>
              <w:rPr>
                <w:sz w:val="22"/>
                <w:lang w:val="en-GB"/>
              </w:rPr>
            </w:pPr>
          </w:p>
        </w:tc>
        <w:tc>
          <w:tcPr>
            <w:tcW w:w="2551" w:type="dxa"/>
            <w:tcBorders>
              <w:top w:val="single" w:sz="4" w:space="0" w:color="auto"/>
              <w:left w:val="single" w:sz="4" w:space="0" w:color="auto"/>
              <w:bottom w:val="single" w:sz="4" w:space="0" w:color="auto"/>
              <w:right w:val="single" w:sz="4" w:space="0" w:color="auto"/>
            </w:tcBorders>
          </w:tcPr>
          <w:p w14:paraId="39EC6762" w14:textId="77777777" w:rsidR="00F332DA" w:rsidRPr="00BD76AF" w:rsidRDefault="00F332DA" w:rsidP="0079334B">
            <w:pPr>
              <w:ind w:right="-94"/>
              <w:rPr>
                <w:sz w:val="22"/>
                <w:u w:val="single"/>
                <w:lang w:val="en-GB"/>
              </w:rPr>
            </w:pPr>
          </w:p>
        </w:tc>
        <w:tc>
          <w:tcPr>
            <w:tcW w:w="2563" w:type="dxa"/>
            <w:tcBorders>
              <w:top w:val="single" w:sz="4" w:space="0" w:color="auto"/>
              <w:left w:val="single" w:sz="4" w:space="0" w:color="auto"/>
              <w:bottom w:val="single" w:sz="4" w:space="0" w:color="auto"/>
              <w:right w:val="single" w:sz="4" w:space="0" w:color="auto"/>
            </w:tcBorders>
          </w:tcPr>
          <w:p w14:paraId="3D46FF88" w14:textId="77777777" w:rsidR="00F332DA" w:rsidRPr="00BD76AF" w:rsidRDefault="00F332DA" w:rsidP="0079334B">
            <w:pPr>
              <w:ind w:right="-94"/>
              <w:rPr>
                <w:sz w:val="22"/>
                <w:u w:val="single"/>
                <w:lang w:val="en-GB"/>
              </w:rPr>
            </w:pPr>
          </w:p>
        </w:tc>
      </w:tr>
      <w:tr w:rsidR="00F332DA" w:rsidRPr="00BD76AF" w14:paraId="0110CE25" w14:textId="77777777" w:rsidTr="008A3C2D">
        <w:tc>
          <w:tcPr>
            <w:tcW w:w="1985" w:type="dxa"/>
            <w:tcBorders>
              <w:top w:val="single" w:sz="4" w:space="0" w:color="auto"/>
              <w:left w:val="single" w:sz="4" w:space="0" w:color="auto"/>
              <w:bottom w:val="single" w:sz="4" w:space="0" w:color="auto"/>
              <w:right w:val="single" w:sz="4" w:space="0" w:color="auto"/>
            </w:tcBorders>
          </w:tcPr>
          <w:p w14:paraId="2B061E6B" w14:textId="77777777" w:rsidR="00F332DA" w:rsidRPr="00BD76AF" w:rsidRDefault="00F332DA" w:rsidP="0079334B">
            <w:pPr>
              <w:rPr>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24C9A7D2" w14:textId="77777777" w:rsidR="00F332DA" w:rsidRPr="00BD76AF" w:rsidRDefault="00F332DA" w:rsidP="0079334B">
            <w:pPr>
              <w:rPr>
                <w:sz w:val="22"/>
                <w:lang w:val="en-GB"/>
              </w:rPr>
            </w:pPr>
          </w:p>
        </w:tc>
        <w:tc>
          <w:tcPr>
            <w:tcW w:w="2551" w:type="dxa"/>
            <w:tcBorders>
              <w:top w:val="single" w:sz="4" w:space="0" w:color="auto"/>
              <w:left w:val="single" w:sz="4" w:space="0" w:color="auto"/>
              <w:bottom w:val="single" w:sz="4" w:space="0" w:color="auto"/>
              <w:right w:val="single" w:sz="4" w:space="0" w:color="auto"/>
            </w:tcBorders>
          </w:tcPr>
          <w:p w14:paraId="6737D890" w14:textId="77777777" w:rsidR="00F332DA" w:rsidRPr="00BD76AF" w:rsidRDefault="00F332DA" w:rsidP="0079334B">
            <w:pPr>
              <w:ind w:right="-94"/>
              <w:rPr>
                <w:sz w:val="22"/>
                <w:u w:val="single"/>
                <w:lang w:val="en-GB"/>
              </w:rPr>
            </w:pPr>
          </w:p>
        </w:tc>
        <w:tc>
          <w:tcPr>
            <w:tcW w:w="2563" w:type="dxa"/>
            <w:tcBorders>
              <w:top w:val="single" w:sz="4" w:space="0" w:color="auto"/>
              <w:left w:val="single" w:sz="4" w:space="0" w:color="auto"/>
              <w:bottom w:val="single" w:sz="4" w:space="0" w:color="auto"/>
              <w:right w:val="single" w:sz="4" w:space="0" w:color="auto"/>
            </w:tcBorders>
          </w:tcPr>
          <w:p w14:paraId="647BEBC5" w14:textId="77777777" w:rsidR="00F332DA" w:rsidRPr="00BD76AF" w:rsidRDefault="00F332DA" w:rsidP="0079334B">
            <w:pPr>
              <w:ind w:right="-94"/>
              <w:rPr>
                <w:sz w:val="22"/>
                <w:u w:val="single"/>
                <w:lang w:val="en-GB"/>
              </w:rPr>
            </w:pPr>
          </w:p>
        </w:tc>
      </w:tr>
      <w:tr w:rsidR="00F332DA" w:rsidRPr="00BD76AF" w14:paraId="20E59AB2" w14:textId="77777777" w:rsidTr="008A3C2D">
        <w:tc>
          <w:tcPr>
            <w:tcW w:w="1985" w:type="dxa"/>
            <w:tcBorders>
              <w:top w:val="single" w:sz="4" w:space="0" w:color="auto"/>
              <w:left w:val="single" w:sz="4" w:space="0" w:color="auto"/>
              <w:bottom w:val="single" w:sz="4" w:space="0" w:color="auto"/>
              <w:right w:val="single" w:sz="4" w:space="0" w:color="auto"/>
            </w:tcBorders>
          </w:tcPr>
          <w:p w14:paraId="7CC1124B" w14:textId="77777777" w:rsidR="00F332DA" w:rsidRPr="00BD76AF" w:rsidRDefault="00F332DA" w:rsidP="0079334B">
            <w:pPr>
              <w:rPr>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15E7B193" w14:textId="77777777" w:rsidR="00F332DA" w:rsidRPr="00BD76AF" w:rsidRDefault="00F332DA" w:rsidP="0079334B">
            <w:pPr>
              <w:rPr>
                <w:sz w:val="22"/>
                <w:lang w:val="en-GB"/>
              </w:rPr>
            </w:pPr>
          </w:p>
        </w:tc>
        <w:tc>
          <w:tcPr>
            <w:tcW w:w="2551" w:type="dxa"/>
            <w:tcBorders>
              <w:top w:val="single" w:sz="4" w:space="0" w:color="auto"/>
              <w:left w:val="single" w:sz="4" w:space="0" w:color="auto"/>
              <w:bottom w:val="single" w:sz="4" w:space="0" w:color="auto"/>
              <w:right w:val="single" w:sz="4" w:space="0" w:color="auto"/>
            </w:tcBorders>
          </w:tcPr>
          <w:p w14:paraId="749409D3" w14:textId="77777777" w:rsidR="00F332DA" w:rsidRPr="00BD76AF" w:rsidRDefault="00F332DA" w:rsidP="0079334B">
            <w:pPr>
              <w:ind w:right="-94"/>
              <w:rPr>
                <w:sz w:val="22"/>
                <w:u w:val="single"/>
                <w:lang w:val="en-GB"/>
              </w:rPr>
            </w:pPr>
          </w:p>
        </w:tc>
        <w:tc>
          <w:tcPr>
            <w:tcW w:w="2563" w:type="dxa"/>
            <w:tcBorders>
              <w:top w:val="single" w:sz="4" w:space="0" w:color="auto"/>
              <w:left w:val="single" w:sz="4" w:space="0" w:color="auto"/>
              <w:bottom w:val="single" w:sz="4" w:space="0" w:color="auto"/>
              <w:right w:val="single" w:sz="4" w:space="0" w:color="auto"/>
            </w:tcBorders>
          </w:tcPr>
          <w:p w14:paraId="6E49D10C" w14:textId="77777777" w:rsidR="00F332DA" w:rsidRPr="00BD76AF" w:rsidRDefault="00F332DA" w:rsidP="0079334B">
            <w:pPr>
              <w:ind w:right="-94"/>
              <w:rPr>
                <w:sz w:val="22"/>
                <w:u w:val="single"/>
                <w:lang w:val="en-GB"/>
              </w:rPr>
            </w:pPr>
          </w:p>
        </w:tc>
      </w:tr>
    </w:tbl>
    <w:p w14:paraId="236C5058" w14:textId="77777777" w:rsidR="00F332DA" w:rsidRPr="00BD76AF" w:rsidRDefault="00F332DA" w:rsidP="00365CCA">
      <w:pPr>
        <w:spacing w:after="200"/>
        <w:rPr>
          <w:lang w:eastAsia="ja-JP"/>
        </w:rPr>
      </w:pPr>
    </w:p>
    <w:p w14:paraId="0D5303DB" w14:textId="77777777" w:rsidR="00F332DA" w:rsidRPr="00BD76AF" w:rsidRDefault="00F332DA" w:rsidP="0079334B">
      <w:pPr>
        <w:rPr>
          <w:sz w:val="22"/>
          <w:u w:val="single"/>
        </w:rPr>
      </w:pPr>
      <w:r w:rsidRPr="00BD76AF">
        <w:rPr>
          <w:b/>
        </w:rPr>
        <w:t>Tableau 2: Accès aux et prise de possession des parties du Site</w:t>
      </w:r>
    </w:p>
    <w:tbl>
      <w:tblPr>
        <w:tblW w:w="9191" w:type="dxa"/>
        <w:tblLayout w:type="fixed"/>
        <w:tblLook w:val="0000" w:firstRow="0" w:lastRow="0" w:firstColumn="0" w:lastColumn="0" w:noHBand="0" w:noVBand="0"/>
      </w:tblPr>
      <w:tblGrid>
        <w:gridCol w:w="2160"/>
        <w:gridCol w:w="3913"/>
        <w:gridCol w:w="3118"/>
      </w:tblGrid>
      <w:tr w:rsidR="00F332DA" w:rsidRPr="00BD76AF" w14:paraId="7BB3D033" w14:textId="77777777" w:rsidTr="008A3C2D">
        <w:trPr>
          <w:cantSplit/>
          <w:trHeight w:val="420"/>
        </w:trPr>
        <w:tc>
          <w:tcPr>
            <w:tcW w:w="2160" w:type="dxa"/>
            <w:tcBorders>
              <w:top w:val="single" w:sz="18" w:space="0" w:color="auto"/>
              <w:left w:val="single" w:sz="18" w:space="0" w:color="auto"/>
              <w:bottom w:val="single" w:sz="18" w:space="0" w:color="auto"/>
              <w:right w:val="single" w:sz="18" w:space="0" w:color="auto"/>
            </w:tcBorders>
          </w:tcPr>
          <w:p w14:paraId="44C7B1C3" w14:textId="77777777" w:rsidR="00F332DA" w:rsidRPr="00BD76AF" w:rsidRDefault="00F332DA" w:rsidP="0079334B">
            <w:pPr>
              <w:jc w:val="center"/>
              <w:rPr>
                <w:b/>
                <w:bCs/>
                <w:szCs w:val="24"/>
                <w:lang w:val="en-GB"/>
              </w:rPr>
            </w:pPr>
            <w:r w:rsidRPr="00BD76AF">
              <w:rPr>
                <w:b/>
                <w:bCs/>
                <w:szCs w:val="24"/>
                <w:lang w:val="en-GB"/>
              </w:rPr>
              <w:t>Parties</w:t>
            </w:r>
          </w:p>
        </w:tc>
        <w:tc>
          <w:tcPr>
            <w:tcW w:w="3913" w:type="dxa"/>
            <w:tcBorders>
              <w:top w:val="single" w:sz="18" w:space="0" w:color="auto"/>
              <w:left w:val="single" w:sz="18" w:space="0" w:color="auto"/>
              <w:bottom w:val="single" w:sz="18" w:space="0" w:color="auto"/>
              <w:right w:val="single" w:sz="18" w:space="0" w:color="auto"/>
            </w:tcBorders>
          </w:tcPr>
          <w:p w14:paraId="3BFB7170" w14:textId="77777777" w:rsidR="00F332DA" w:rsidRPr="00BD76AF" w:rsidRDefault="00F332DA" w:rsidP="0079334B">
            <w:pPr>
              <w:jc w:val="center"/>
              <w:rPr>
                <w:b/>
                <w:bCs/>
                <w:szCs w:val="24"/>
                <w:lang w:val="en-GB"/>
              </w:rPr>
            </w:pPr>
            <w:r w:rsidRPr="00BD76AF">
              <w:rPr>
                <w:b/>
                <w:bCs/>
                <w:szCs w:val="24"/>
              </w:rPr>
              <w:t>Description détaillée</w:t>
            </w:r>
          </w:p>
        </w:tc>
        <w:tc>
          <w:tcPr>
            <w:tcW w:w="3118" w:type="dxa"/>
            <w:tcBorders>
              <w:top w:val="single" w:sz="18" w:space="0" w:color="auto"/>
              <w:left w:val="single" w:sz="18" w:space="0" w:color="auto"/>
              <w:bottom w:val="single" w:sz="18" w:space="0" w:color="auto"/>
              <w:right w:val="single" w:sz="18" w:space="0" w:color="auto"/>
            </w:tcBorders>
          </w:tcPr>
          <w:p w14:paraId="383BA93C" w14:textId="77777777" w:rsidR="00F332DA" w:rsidRPr="00BD76AF" w:rsidRDefault="00F332DA" w:rsidP="0079334B">
            <w:pPr>
              <w:ind w:right="-94"/>
              <w:jc w:val="center"/>
              <w:rPr>
                <w:b/>
                <w:bCs/>
                <w:szCs w:val="24"/>
              </w:rPr>
            </w:pPr>
            <w:r w:rsidRPr="00BD76AF">
              <w:rPr>
                <w:b/>
                <w:bCs/>
                <w:szCs w:val="24"/>
              </w:rPr>
              <w:t>Nombre de jours pour l’accès au et la prise de possession du Site</w:t>
            </w:r>
          </w:p>
          <w:p w14:paraId="63D82A94" w14:textId="77777777" w:rsidR="00F332DA" w:rsidRPr="00BD76AF" w:rsidRDefault="00F332DA" w:rsidP="0079334B">
            <w:pPr>
              <w:ind w:right="-94"/>
              <w:jc w:val="center"/>
              <w:rPr>
                <w:b/>
                <w:bCs/>
                <w:szCs w:val="24"/>
              </w:rPr>
            </w:pPr>
            <w:r w:rsidRPr="00BD76AF">
              <w:rPr>
                <w:b/>
                <w:bCs/>
                <w:szCs w:val="24"/>
              </w:rPr>
              <w:t>(à compter de la Date d’entrée en vigueur)</w:t>
            </w:r>
          </w:p>
          <w:p w14:paraId="76E64A0D" w14:textId="77777777" w:rsidR="00F332DA" w:rsidRPr="00BD76AF" w:rsidRDefault="00F332DA" w:rsidP="0079334B">
            <w:pPr>
              <w:ind w:right="-94"/>
              <w:jc w:val="center"/>
              <w:rPr>
                <w:b/>
                <w:bCs/>
                <w:szCs w:val="24"/>
                <w:lang w:val="en-GB"/>
              </w:rPr>
            </w:pPr>
            <w:r w:rsidRPr="00BD76AF">
              <w:rPr>
                <w:b/>
                <w:bCs/>
                <w:szCs w:val="24"/>
                <w:lang w:val="en-GB"/>
              </w:rPr>
              <w:t>(Article 10.2)</w:t>
            </w:r>
          </w:p>
        </w:tc>
      </w:tr>
      <w:tr w:rsidR="00F332DA" w:rsidRPr="00BD76AF" w14:paraId="11A1E8D5" w14:textId="77777777" w:rsidTr="008A3C2D">
        <w:tc>
          <w:tcPr>
            <w:tcW w:w="2160" w:type="dxa"/>
            <w:tcBorders>
              <w:top w:val="single" w:sz="18" w:space="0" w:color="auto"/>
              <w:left w:val="single" w:sz="4" w:space="0" w:color="auto"/>
              <w:bottom w:val="single" w:sz="4" w:space="0" w:color="auto"/>
              <w:right w:val="single" w:sz="4" w:space="0" w:color="auto"/>
            </w:tcBorders>
          </w:tcPr>
          <w:p w14:paraId="3C4741EB" w14:textId="77777777" w:rsidR="00F332DA" w:rsidRPr="00BD76AF" w:rsidRDefault="00F332DA" w:rsidP="0079334B">
            <w:pPr>
              <w:rPr>
                <w:sz w:val="22"/>
                <w:lang w:val="en-GB"/>
              </w:rPr>
            </w:pPr>
          </w:p>
        </w:tc>
        <w:tc>
          <w:tcPr>
            <w:tcW w:w="3913" w:type="dxa"/>
            <w:tcBorders>
              <w:top w:val="single" w:sz="18" w:space="0" w:color="auto"/>
              <w:left w:val="single" w:sz="4" w:space="0" w:color="auto"/>
              <w:bottom w:val="single" w:sz="4" w:space="0" w:color="auto"/>
              <w:right w:val="single" w:sz="4" w:space="0" w:color="auto"/>
            </w:tcBorders>
          </w:tcPr>
          <w:p w14:paraId="14B8A4EC" w14:textId="77777777" w:rsidR="00F332DA" w:rsidRPr="00BD76AF" w:rsidRDefault="00F332DA" w:rsidP="0079334B">
            <w:pPr>
              <w:rPr>
                <w:sz w:val="22"/>
                <w:lang w:val="en-GB"/>
              </w:rPr>
            </w:pPr>
          </w:p>
        </w:tc>
        <w:tc>
          <w:tcPr>
            <w:tcW w:w="3118" w:type="dxa"/>
            <w:tcBorders>
              <w:top w:val="single" w:sz="18" w:space="0" w:color="auto"/>
              <w:left w:val="single" w:sz="4" w:space="0" w:color="auto"/>
              <w:bottom w:val="single" w:sz="4" w:space="0" w:color="auto"/>
              <w:right w:val="single" w:sz="4" w:space="0" w:color="auto"/>
            </w:tcBorders>
          </w:tcPr>
          <w:p w14:paraId="0A9BAF54" w14:textId="77777777" w:rsidR="00F332DA" w:rsidRPr="00BD76AF" w:rsidRDefault="00F332DA" w:rsidP="0079334B">
            <w:pPr>
              <w:ind w:right="-94"/>
              <w:rPr>
                <w:sz w:val="22"/>
                <w:u w:val="single"/>
                <w:lang w:val="en-GB"/>
              </w:rPr>
            </w:pPr>
          </w:p>
        </w:tc>
      </w:tr>
      <w:tr w:rsidR="00F332DA" w:rsidRPr="00BD76AF" w14:paraId="2B68D85E" w14:textId="77777777" w:rsidTr="008A3C2D">
        <w:tc>
          <w:tcPr>
            <w:tcW w:w="2160" w:type="dxa"/>
            <w:tcBorders>
              <w:top w:val="single" w:sz="4" w:space="0" w:color="auto"/>
              <w:left w:val="single" w:sz="4" w:space="0" w:color="auto"/>
              <w:bottom w:val="single" w:sz="4" w:space="0" w:color="auto"/>
              <w:right w:val="single" w:sz="4" w:space="0" w:color="auto"/>
            </w:tcBorders>
          </w:tcPr>
          <w:p w14:paraId="0B6DF984" w14:textId="77777777" w:rsidR="00F332DA" w:rsidRPr="00BD76AF" w:rsidRDefault="00F332DA" w:rsidP="0079334B">
            <w:pPr>
              <w:rPr>
                <w:sz w:val="22"/>
                <w:lang w:val="en-GB"/>
              </w:rPr>
            </w:pPr>
          </w:p>
        </w:tc>
        <w:tc>
          <w:tcPr>
            <w:tcW w:w="3913" w:type="dxa"/>
            <w:tcBorders>
              <w:top w:val="single" w:sz="4" w:space="0" w:color="auto"/>
              <w:left w:val="single" w:sz="4" w:space="0" w:color="auto"/>
              <w:bottom w:val="single" w:sz="4" w:space="0" w:color="auto"/>
              <w:right w:val="single" w:sz="4" w:space="0" w:color="auto"/>
            </w:tcBorders>
          </w:tcPr>
          <w:p w14:paraId="1509F108" w14:textId="77777777" w:rsidR="00F332DA" w:rsidRPr="00BD76AF" w:rsidRDefault="00F332DA" w:rsidP="0079334B">
            <w:pPr>
              <w:rPr>
                <w:sz w:val="22"/>
                <w:lang w:val="en-GB"/>
              </w:rPr>
            </w:pPr>
          </w:p>
        </w:tc>
        <w:tc>
          <w:tcPr>
            <w:tcW w:w="3118" w:type="dxa"/>
            <w:tcBorders>
              <w:top w:val="single" w:sz="4" w:space="0" w:color="auto"/>
              <w:left w:val="single" w:sz="4" w:space="0" w:color="auto"/>
              <w:bottom w:val="single" w:sz="4" w:space="0" w:color="auto"/>
              <w:right w:val="single" w:sz="4" w:space="0" w:color="auto"/>
            </w:tcBorders>
          </w:tcPr>
          <w:p w14:paraId="39707C99" w14:textId="77777777" w:rsidR="00F332DA" w:rsidRPr="00BD76AF" w:rsidRDefault="00F332DA" w:rsidP="0079334B">
            <w:pPr>
              <w:ind w:right="-94"/>
              <w:rPr>
                <w:sz w:val="22"/>
                <w:u w:val="single"/>
                <w:lang w:val="en-GB"/>
              </w:rPr>
            </w:pPr>
          </w:p>
        </w:tc>
      </w:tr>
      <w:tr w:rsidR="00F332DA" w:rsidRPr="00BD76AF" w14:paraId="36F3C418" w14:textId="77777777" w:rsidTr="008A3C2D">
        <w:tc>
          <w:tcPr>
            <w:tcW w:w="2160" w:type="dxa"/>
            <w:tcBorders>
              <w:top w:val="single" w:sz="4" w:space="0" w:color="auto"/>
              <w:left w:val="single" w:sz="4" w:space="0" w:color="auto"/>
              <w:bottom w:val="single" w:sz="4" w:space="0" w:color="auto"/>
              <w:right w:val="single" w:sz="4" w:space="0" w:color="auto"/>
            </w:tcBorders>
          </w:tcPr>
          <w:p w14:paraId="70415F5E" w14:textId="77777777" w:rsidR="00F332DA" w:rsidRPr="00BD76AF" w:rsidRDefault="00F332DA" w:rsidP="0079334B">
            <w:pPr>
              <w:rPr>
                <w:sz w:val="22"/>
                <w:lang w:val="en-GB"/>
              </w:rPr>
            </w:pPr>
          </w:p>
        </w:tc>
        <w:tc>
          <w:tcPr>
            <w:tcW w:w="3913" w:type="dxa"/>
            <w:tcBorders>
              <w:top w:val="single" w:sz="4" w:space="0" w:color="auto"/>
              <w:left w:val="single" w:sz="4" w:space="0" w:color="auto"/>
              <w:bottom w:val="single" w:sz="4" w:space="0" w:color="auto"/>
              <w:right w:val="single" w:sz="4" w:space="0" w:color="auto"/>
            </w:tcBorders>
          </w:tcPr>
          <w:p w14:paraId="16F49575" w14:textId="77777777" w:rsidR="00F332DA" w:rsidRPr="00BD76AF" w:rsidRDefault="00F332DA" w:rsidP="0079334B">
            <w:pPr>
              <w:rPr>
                <w:sz w:val="22"/>
                <w:lang w:val="en-GB"/>
              </w:rPr>
            </w:pPr>
          </w:p>
        </w:tc>
        <w:tc>
          <w:tcPr>
            <w:tcW w:w="3118" w:type="dxa"/>
            <w:tcBorders>
              <w:top w:val="single" w:sz="4" w:space="0" w:color="auto"/>
              <w:left w:val="single" w:sz="4" w:space="0" w:color="auto"/>
              <w:bottom w:val="single" w:sz="4" w:space="0" w:color="auto"/>
              <w:right w:val="single" w:sz="4" w:space="0" w:color="auto"/>
            </w:tcBorders>
          </w:tcPr>
          <w:p w14:paraId="40166A2B" w14:textId="77777777" w:rsidR="00F332DA" w:rsidRPr="00BD76AF" w:rsidRDefault="00F332DA" w:rsidP="0079334B">
            <w:pPr>
              <w:ind w:right="-94"/>
              <w:rPr>
                <w:sz w:val="22"/>
                <w:u w:val="single"/>
                <w:lang w:val="en-GB"/>
              </w:rPr>
            </w:pPr>
          </w:p>
        </w:tc>
      </w:tr>
      <w:tr w:rsidR="00F332DA" w:rsidRPr="00BD76AF" w14:paraId="52405CE9" w14:textId="77777777" w:rsidTr="008A3C2D">
        <w:tc>
          <w:tcPr>
            <w:tcW w:w="2160" w:type="dxa"/>
            <w:tcBorders>
              <w:top w:val="single" w:sz="4" w:space="0" w:color="auto"/>
              <w:left w:val="single" w:sz="4" w:space="0" w:color="auto"/>
              <w:bottom w:val="single" w:sz="4" w:space="0" w:color="auto"/>
              <w:right w:val="single" w:sz="4" w:space="0" w:color="auto"/>
            </w:tcBorders>
          </w:tcPr>
          <w:p w14:paraId="40B6A9B4" w14:textId="77777777" w:rsidR="00F332DA" w:rsidRPr="00BD76AF" w:rsidRDefault="00F332DA" w:rsidP="0079334B">
            <w:pPr>
              <w:rPr>
                <w:sz w:val="22"/>
                <w:lang w:val="en-GB"/>
              </w:rPr>
            </w:pPr>
          </w:p>
        </w:tc>
        <w:tc>
          <w:tcPr>
            <w:tcW w:w="3913" w:type="dxa"/>
            <w:tcBorders>
              <w:top w:val="single" w:sz="4" w:space="0" w:color="auto"/>
              <w:left w:val="single" w:sz="4" w:space="0" w:color="auto"/>
              <w:bottom w:val="single" w:sz="4" w:space="0" w:color="auto"/>
              <w:right w:val="single" w:sz="4" w:space="0" w:color="auto"/>
            </w:tcBorders>
          </w:tcPr>
          <w:p w14:paraId="3A994831" w14:textId="77777777" w:rsidR="00F332DA" w:rsidRPr="00BD76AF" w:rsidRDefault="00F332DA" w:rsidP="0079334B">
            <w:pPr>
              <w:rPr>
                <w:sz w:val="22"/>
                <w:lang w:val="en-GB"/>
              </w:rPr>
            </w:pPr>
          </w:p>
        </w:tc>
        <w:tc>
          <w:tcPr>
            <w:tcW w:w="3118" w:type="dxa"/>
            <w:tcBorders>
              <w:top w:val="single" w:sz="4" w:space="0" w:color="auto"/>
              <w:left w:val="single" w:sz="4" w:space="0" w:color="auto"/>
              <w:bottom w:val="single" w:sz="4" w:space="0" w:color="auto"/>
              <w:right w:val="single" w:sz="4" w:space="0" w:color="auto"/>
            </w:tcBorders>
          </w:tcPr>
          <w:p w14:paraId="25734590" w14:textId="77777777" w:rsidR="00F332DA" w:rsidRPr="00BD76AF" w:rsidRDefault="00F332DA" w:rsidP="0079334B">
            <w:pPr>
              <w:ind w:right="-94"/>
              <w:rPr>
                <w:sz w:val="22"/>
                <w:u w:val="single"/>
                <w:lang w:val="en-GB"/>
              </w:rPr>
            </w:pPr>
          </w:p>
        </w:tc>
      </w:tr>
      <w:tr w:rsidR="00F332DA" w:rsidRPr="00BD76AF" w14:paraId="056456E9" w14:textId="77777777" w:rsidTr="008A3C2D">
        <w:tc>
          <w:tcPr>
            <w:tcW w:w="2160" w:type="dxa"/>
            <w:tcBorders>
              <w:top w:val="single" w:sz="4" w:space="0" w:color="auto"/>
              <w:left w:val="single" w:sz="4" w:space="0" w:color="auto"/>
              <w:bottom w:val="single" w:sz="4" w:space="0" w:color="auto"/>
              <w:right w:val="single" w:sz="4" w:space="0" w:color="auto"/>
            </w:tcBorders>
          </w:tcPr>
          <w:p w14:paraId="0A3927F2" w14:textId="77777777" w:rsidR="00F332DA" w:rsidRPr="00BD76AF" w:rsidRDefault="00F332DA" w:rsidP="0079334B">
            <w:pPr>
              <w:rPr>
                <w:sz w:val="22"/>
                <w:lang w:val="en-GB"/>
              </w:rPr>
            </w:pPr>
          </w:p>
        </w:tc>
        <w:tc>
          <w:tcPr>
            <w:tcW w:w="3913" w:type="dxa"/>
            <w:tcBorders>
              <w:top w:val="single" w:sz="4" w:space="0" w:color="auto"/>
              <w:left w:val="single" w:sz="4" w:space="0" w:color="auto"/>
              <w:bottom w:val="single" w:sz="4" w:space="0" w:color="auto"/>
              <w:right w:val="single" w:sz="4" w:space="0" w:color="auto"/>
            </w:tcBorders>
          </w:tcPr>
          <w:p w14:paraId="4DBE2576" w14:textId="77777777" w:rsidR="00F332DA" w:rsidRPr="00BD76AF" w:rsidRDefault="00F332DA" w:rsidP="0079334B">
            <w:pPr>
              <w:rPr>
                <w:sz w:val="22"/>
                <w:lang w:val="en-GB"/>
              </w:rPr>
            </w:pPr>
          </w:p>
        </w:tc>
        <w:tc>
          <w:tcPr>
            <w:tcW w:w="3118" w:type="dxa"/>
            <w:tcBorders>
              <w:top w:val="single" w:sz="4" w:space="0" w:color="auto"/>
              <w:left w:val="single" w:sz="4" w:space="0" w:color="auto"/>
              <w:bottom w:val="single" w:sz="4" w:space="0" w:color="auto"/>
              <w:right w:val="single" w:sz="4" w:space="0" w:color="auto"/>
            </w:tcBorders>
          </w:tcPr>
          <w:p w14:paraId="12B002B3" w14:textId="77777777" w:rsidR="00F332DA" w:rsidRPr="00BD76AF" w:rsidRDefault="00F332DA" w:rsidP="0079334B">
            <w:pPr>
              <w:ind w:right="-94"/>
              <w:rPr>
                <w:sz w:val="22"/>
                <w:u w:val="single"/>
                <w:lang w:val="en-GB"/>
              </w:rPr>
            </w:pPr>
          </w:p>
        </w:tc>
      </w:tr>
    </w:tbl>
    <w:p w14:paraId="7566DFDD" w14:textId="77777777" w:rsidR="00F332DA" w:rsidRPr="00BD76AF" w:rsidRDefault="00F332DA" w:rsidP="00367D59">
      <w:pPr>
        <w:pStyle w:val="explanatorynotes"/>
        <w:suppressAutoHyphens w:val="0"/>
        <w:overflowPunct/>
        <w:autoSpaceDE/>
        <w:autoSpaceDN/>
        <w:adjustRightInd/>
        <w:spacing w:after="0" w:line="240" w:lineRule="auto"/>
        <w:jc w:val="center"/>
        <w:textAlignment w:val="auto"/>
        <w:outlineLvl w:val="1"/>
        <w:rPr>
          <w:rFonts w:ascii="Times New Roman" w:hAnsi="Times New Roman"/>
          <w:b/>
          <w:bCs/>
          <w:sz w:val="28"/>
          <w:lang w:val="fr-FR"/>
        </w:rPr>
        <w:sectPr w:rsidR="00F332DA" w:rsidRPr="00BD76AF" w:rsidSect="00367D59">
          <w:headerReference w:type="even" r:id="rId94"/>
          <w:headerReference w:type="default" r:id="rId95"/>
          <w:footnotePr>
            <w:numRestart w:val="eachPage"/>
          </w:footnotePr>
          <w:type w:val="oddPage"/>
          <w:pgSz w:w="12240" w:h="15840"/>
          <w:pgMar w:top="1440" w:right="1440" w:bottom="1440" w:left="1797" w:header="720" w:footer="720" w:gutter="0"/>
          <w:pgNumType w:start="1"/>
          <w:cols w:space="720"/>
        </w:sectPr>
      </w:pPr>
    </w:p>
    <w:p w14:paraId="06A71C79" w14:textId="77777777" w:rsidR="00F332DA" w:rsidRPr="00BD76AF" w:rsidRDefault="00F332DA" w:rsidP="00367D59">
      <w:pPr>
        <w:pStyle w:val="explanatorynotes"/>
        <w:suppressAutoHyphens w:val="0"/>
        <w:overflowPunct/>
        <w:autoSpaceDE/>
        <w:autoSpaceDN/>
        <w:adjustRightInd/>
        <w:spacing w:after="0" w:line="240" w:lineRule="auto"/>
        <w:jc w:val="center"/>
        <w:textAlignment w:val="auto"/>
        <w:outlineLvl w:val="1"/>
        <w:rPr>
          <w:rFonts w:ascii="Times New Roman" w:hAnsi="Times New Roman"/>
          <w:b/>
          <w:bCs/>
          <w:sz w:val="28"/>
          <w:lang w:val="fr-FR"/>
        </w:rPr>
      </w:pPr>
      <w:r w:rsidRPr="00BD76AF">
        <w:rPr>
          <w:rFonts w:ascii="Times New Roman" w:hAnsi="Times New Roman"/>
          <w:b/>
          <w:bCs/>
          <w:sz w:val="28"/>
          <w:lang w:val="fr-FR"/>
        </w:rPr>
        <w:t>Partie B - Dispositions spécifiques (DS)</w:t>
      </w:r>
    </w:p>
    <w:p w14:paraId="53FBF2BF" w14:textId="77777777" w:rsidR="00F332DA" w:rsidRPr="00BD76AF" w:rsidRDefault="00F332DA" w:rsidP="00367D59">
      <w:pPr>
        <w:pStyle w:val="explanatorynotes"/>
        <w:suppressAutoHyphens w:val="0"/>
        <w:spacing w:after="0" w:line="240" w:lineRule="auto"/>
        <w:jc w:val="center"/>
        <w:rPr>
          <w:rFonts w:ascii="Times New Roman" w:hAnsi="Times New Roman"/>
          <w:b/>
          <w:bCs/>
          <w:sz w:val="28"/>
          <w:lang w:val="fr-FR" w:eastAsia="ja-JP"/>
        </w:rPr>
      </w:pPr>
    </w:p>
    <w:p w14:paraId="039C6A59" w14:textId="77777777" w:rsidR="00F332DA" w:rsidRPr="00BD76AF" w:rsidRDefault="00F332DA" w:rsidP="00367D59">
      <w:pPr>
        <w:pStyle w:val="explanatorynotes"/>
        <w:suppressAutoHyphens w:val="0"/>
        <w:spacing w:after="0" w:line="240" w:lineRule="auto"/>
        <w:jc w:val="center"/>
        <w:rPr>
          <w:rFonts w:ascii="Times New Roman" w:hAnsi="Times New Roman"/>
          <w:b/>
          <w:bCs/>
          <w:sz w:val="28"/>
          <w:lang w:val="fr-FR" w:eastAsia="ja-JP"/>
        </w:rPr>
      </w:pPr>
      <w:r w:rsidRPr="00BD76AF">
        <w:rPr>
          <w:rFonts w:ascii="Times New Roman" w:hAnsi="Times New Roman"/>
          <w:b/>
          <w:bCs/>
          <w:sz w:val="28"/>
          <w:lang w:val="fr-FR"/>
        </w:rPr>
        <w:t>Directives pour la préparation des dispositions spécifiques</w:t>
      </w:r>
    </w:p>
    <w:p w14:paraId="22A88D75" w14:textId="77777777" w:rsidR="00F332DA" w:rsidRPr="00BD76AF" w:rsidRDefault="00F332DA" w:rsidP="00367D59">
      <w:pPr>
        <w:pStyle w:val="explanatorynotes"/>
        <w:suppressAutoHyphens w:val="0"/>
        <w:overflowPunct/>
        <w:autoSpaceDE/>
        <w:autoSpaceDN/>
        <w:adjustRightInd/>
        <w:spacing w:after="0" w:line="240" w:lineRule="auto"/>
        <w:jc w:val="left"/>
        <w:textAlignment w:val="auto"/>
        <w:rPr>
          <w:rFonts w:ascii="Times New Roman" w:hAnsi="Times New Roman"/>
          <w:b/>
          <w:bCs/>
          <w:sz w:val="28"/>
          <w:lang w:val="fr-FR" w:eastAsia="ja-JP"/>
        </w:rPr>
      </w:pPr>
    </w:p>
    <w:tbl>
      <w:tblPr>
        <w:tblStyle w:val="afb"/>
        <w:tblW w:w="0" w:type="auto"/>
        <w:tblLook w:val="04A0" w:firstRow="1" w:lastRow="0" w:firstColumn="1" w:lastColumn="0" w:noHBand="0" w:noVBand="1"/>
      </w:tblPr>
      <w:tblGrid>
        <w:gridCol w:w="8993"/>
      </w:tblGrid>
      <w:tr w:rsidR="00F332DA" w:rsidRPr="00BD76AF" w14:paraId="55920AE3" w14:textId="77777777" w:rsidTr="00EC55DA">
        <w:tc>
          <w:tcPr>
            <w:tcW w:w="8993" w:type="dxa"/>
          </w:tcPr>
          <w:p w14:paraId="37479307" w14:textId="77777777" w:rsidR="00F332DA" w:rsidRPr="00BD76AF" w:rsidRDefault="00F332DA" w:rsidP="00EC55DA">
            <w:pPr>
              <w:spacing w:after="120"/>
              <w:jc w:val="center"/>
              <w:rPr>
                <w:b/>
                <w:szCs w:val="24"/>
                <w:lang w:eastAsia="ja-JP"/>
              </w:rPr>
            </w:pPr>
            <w:r w:rsidRPr="00BD76AF">
              <w:rPr>
                <w:b/>
                <w:szCs w:val="24"/>
                <w:lang w:eastAsia="ja-JP"/>
              </w:rPr>
              <w:t xml:space="preserve">Notes </w:t>
            </w:r>
            <w:r w:rsidRPr="00BD76AF">
              <w:rPr>
                <w:rFonts w:hint="eastAsia"/>
                <w:b/>
                <w:szCs w:val="24"/>
                <w:lang w:eastAsia="ja-JP"/>
              </w:rPr>
              <w:t>à</w:t>
            </w:r>
            <w:r w:rsidRPr="00BD76AF">
              <w:rPr>
                <w:b/>
                <w:szCs w:val="24"/>
                <w:lang w:eastAsia="ja-JP"/>
              </w:rPr>
              <w:t xml:space="preserve"> l’intention du Maître d’ouvrage</w:t>
            </w:r>
          </w:p>
          <w:p w14:paraId="4FE03EFF" w14:textId="77777777" w:rsidR="00F332DA" w:rsidRPr="00BD76AF" w:rsidRDefault="00F332DA" w:rsidP="00EC55DA">
            <w:pPr>
              <w:jc w:val="center"/>
              <w:rPr>
                <w:b/>
                <w:szCs w:val="24"/>
                <w:lang w:eastAsia="ja-JP"/>
              </w:rPr>
            </w:pPr>
          </w:p>
          <w:p w14:paraId="68DD931A" w14:textId="77777777" w:rsidR="00F332DA" w:rsidRPr="00BD76AF" w:rsidRDefault="00F332DA" w:rsidP="00EC55DA">
            <w:pPr>
              <w:pStyle w:val="aff6"/>
              <w:ind w:left="0" w:right="0"/>
              <w:jc w:val="both"/>
              <w:rPr>
                <w:i w:val="0"/>
                <w:lang w:val="fr-FR"/>
              </w:rPr>
            </w:pPr>
            <w:r w:rsidRPr="00BD76AF">
              <w:rPr>
                <w:i w:val="0"/>
                <w:lang w:val="fr-FR"/>
              </w:rPr>
              <w:t>Les dispositions spécifiques des CP sont destinées à répondre aux exigences propres au pays, au projet et au Marché qui ne sont pas couvertes par les CG. La personne responsable de la rédaction des dispositions spécifiques devra bien connaître les dispositions des CG et les exigences spécifiques au Marché. Il est recommandé de demander des conseils juridiques pour réviser des dispositions ou en rédiger de nouvelles.</w:t>
            </w:r>
          </w:p>
          <w:p w14:paraId="17613DD1" w14:textId="77777777" w:rsidR="00F332DA" w:rsidRPr="00BD76AF" w:rsidRDefault="00F332DA" w:rsidP="00EC55DA">
            <w:pPr>
              <w:pStyle w:val="aff6"/>
              <w:ind w:left="0" w:right="-74"/>
              <w:jc w:val="both"/>
              <w:rPr>
                <w:i w:val="0"/>
                <w:lang w:val="fr-FR"/>
              </w:rPr>
            </w:pPr>
          </w:p>
          <w:p w14:paraId="088D2796" w14:textId="77777777" w:rsidR="00F332DA" w:rsidRPr="00BD76AF" w:rsidRDefault="00F332DA" w:rsidP="00EC55DA">
            <w:pPr>
              <w:pStyle w:val="aff6"/>
              <w:ind w:left="0" w:right="0"/>
              <w:jc w:val="both"/>
              <w:rPr>
                <w:i w:val="0"/>
                <w:lang w:val="fr-FR"/>
              </w:rPr>
            </w:pPr>
            <w:r w:rsidRPr="00BD76AF">
              <w:rPr>
                <w:i w:val="0"/>
                <w:iCs/>
                <w:lang w:val="fr-FR"/>
              </w:rPr>
              <w:t>Le Comité de Règlement des Différends indiqué dans l’Article 45 des Conditions Générales est un Comité de Règlement permanent qui est nommé aussitôt après avoir commencé les travaux et qui conserve son poste pour la durée du Marché. En général, un Comité de Règlement permanent visite régulièrement le site. Lors d’une visite du site ou à tout autre moment, le Comité de Règlement permanent devra également être disponible pour aider les Parties en donnant des conseils pour éviter tout différend. En raison de cette fonction de prévention des différends, la JICA recommande fortement l’utilisation de Comités de Règlement permanents dans tous les projets financés par la JICA</w:t>
            </w:r>
            <w:r w:rsidRPr="00BD76AF">
              <w:rPr>
                <w:i w:val="0"/>
                <w:lang w:val="fr-FR"/>
              </w:rPr>
              <w:t>.</w:t>
            </w:r>
          </w:p>
          <w:p w14:paraId="2A3462DC" w14:textId="77777777" w:rsidR="00F332DA" w:rsidRPr="00BD76AF" w:rsidRDefault="00F332DA" w:rsidP="00EC55DA">
            <w:pPr>
              <w:pStyle w:val="aff6"/>
              <w:ind w:left="0" w:right="-74"/>
              <w:jc w:val="both"/>
              <w:rPr>
                <w:i w:val="0"/>
                <w:lang w:val="fr-FR"/>
              </w:rPr>
            </w:pPr>
          </w:p>
          <w:p w14:paraId="36C162B2" w14:textId="77777777" w:rsidR="00F332DA" w:rsidRPr="00BD76AF" w:rsidRDefault="00F332DA" w:rsidP="00EC55DA">
            <w:pPr>
              <w:pStyle w:val="aff6"/>
              <w:ind w:left="0" w:right="0"/>
              <w:jc w:val="both"/>
              <w:rPr>
                <w:i w:val="0"/>
                <w:lang w:val="fr-FR"/>
              </w:rPr>
            </w:pPr>
            <w:r w:rsidRPr="00BD76AF">
              <w:rPr>
                <w:i w:val="0"/>
                <w:lang w:val="fr-FR"/>
              </w:rPr>
              <w:t xml:space="preserve">Cependant, uniquement s’il existe des raisons particulières qui le justifient, le Comité de Règlement des Différends peut également être nommé lorsqu’un différend survient. Ce type de </w:t>
            </w:r>
            <w:r w:rsidRPr="00BD76AF">
              <w:rPr>
                <w:i w:val="0"/>
                <w:iCs/>
                <w:lang w:val="fr-FR"/>
              </w:rPr>
              <w:t>Comité de Règlement</w:t>
            </w:r>
            <w:r w:rsidRPr="00BD76AF">
              <w:rPr>
                <w:i w:val="0"/>
                <w:lang w:val="fr-FR"/>
              </w:rPr>
              <w:t xml:space="preserve"> est appelé </w:t>
            </w:r>
            <w:r w:rsidRPr="00BD76AF">
              <w:rPr>
                <w:i w:val="0"/>
                <w:iCs/>
                <w:lang w:val="fr-FR"/>
              </w:rPr>
              <w:t>Comité de Règlement</w:t>
            </w:r>
            <w:r w:rsidRPr="00BD76AF">
              <w:rPr>
                <w:i w:val="0"/>
                <w:lang w:val="fr-FR"/>
              </w:rPr>
              <w:t xml:space="preserve"> ad hoc. Contrairement au </w:t>
            </w:r>
            <w:r w:rsidRPr="00BD76AF">
              <w:rPr>
                <w:i w:val="0"/>
                <w:iCs/>
                <w:lang w:val="fr-FR"/>
              </w:rPr>
              <w:t>Comité de Règlement</w:t>
            </w:r>
            <w:r w:rsidRPr="00BD76AF">
              <w:rPr>
                <w:i w:val="0"/>
                <w:lang w:val="fr-FR"/>
              </w:rPr>
              <w:t xml:space="preserve"> permanent, le </w:t>
            </w:r>
            <w:r w:rsidRPr="00BD76AF">
              <w:rPr>
                <w:i w:val="0"/>
                <w:iCs/>
                <w:lang w:val="fr-FR"/>
              </w:rPr>
              <w:t>Comité de Règlement</w:t>
            </w:r>
            <w:r w:rsidRPr="00BD76AF">
              <w:rPr>
                <w:i w:val="0"/>
                <w:lang w:val="fr-FR"/>
              </w:rPr>
              <w:t xml:space="preserve"> ad hoc ne possède, de par sa nature même, aucune fonction de prévention des différends, car il ne peut être nommé qu’après que le différend devant être soumis au </w:t>
            </w:r>
            <w:r w:rsidRPr="00BD76AF">
              <w:rPr>
                <w:i w:val="0"/>
                <w:iCs/>
                <w:lang w:val="fr-FR"/>
              </w:rPr>
              <w:t>Comité de Règlement</w:t>
            </w:r>
            <w:r w:rsidRPr="00BD76AF">
              <w:rPr>
                <w:i w:val="0"/>
                <w:lang w:val="fr-FR"/>
              </w:rPr>
              <w:t xml:space="preserve"> est survenu. </w:t>
            </w:r>
          </w:p>
          <w:p w14:paraId="33F41929" w14:textId="77777777" w:rsidR="00F332DA" w:rsidRPr="00BD76AF" w:rsidRDefault="00F332DA" w:rsidP="00EC55DA">
            <w:pPr>
              <w:pStyle w:val="aff6"/>
              <w:ind w:left="0" w:right="-74"/>
              <w:jc w:val="both"/>
              <w:rPr>
                <w:i w:val="0"/>
                <w:lang w:val="fr-FR"/>
              </w:rPr>
            </w:pPr>
          </w:p>
          <w:p w14:paraId="36761336" w14:textId="77777777" w:rsidR="00F332DA" w:rsidRPr="00BD76AF" w:rsidRDefault="00F332DA" w:rsidP="00EC55DA">
            <w:pPr>
              <w:pStyle w:val="aff6"/>
              <w:ind w:left="0" w:right="0"/>
              <w:jc w:val="both"/>
              <w:rPr>
                <w:i w:val="0"/>
                <w:lang w:val="fr-FR"/>
              </w:rPr>
            </w:pPr>
            <w:r w:rsidRPr="00BD76AF">
              <w:rPr>
                <w:i w:val="0"/>
                <w:lang w:val="fr-FR"/>
              </w:rPr>
              <w:t>Le Maître d’ouvrage, en consultation avec la JICA, décidera du type de Comité de Règlement des Différends approprié en tenant compte de toutes les circonstances pertinentes du projet. Selon le projet, les choix possibles sont les suivants :</w:t>
            </w:r>
          </w:p>
          <w:p w14:paraId="6ACBC5DF" w14:textId="77777777" w:rsidR="00F332DA" w:rsidRPr="00BD76AF" w:rsidRDefault="00F332DA" w:rsidP="00EC55DA">
            <w:pPr>
              <w:pStyle w:val="aff6"/>
              <w:tabs>
                <w:tab w:val="left" w:pos="426"/>
              </w:tabs>
              <w:ind w:left="397" w:right="57" w:hanging="397"/>
              <w:jc w:val="both"/>
              <w:rPr>
                <w:i w:val="0"/>
                <w:lang w:val="fr-FR"/>
              </w:rPr>
            </w:pPr>
            <w:r w:rsidRPr="00BD76AF">
              <w:rPr>
                <w:i w:val="0"/>
                <w:lang w:val="fr-FR"/>
              </w:rPr>
              <w:t>(a)</w:t>
            </w:r>
            <w:r w:rsidRPr="00BD76AF">
              <w:rPr>
                <w:i w:val="0"/>
                <w:lang w:val="fr-FR"/>
              </w:rPr>
              <w:tab/>
              <w:t xml:space="preserve">la nomination d’un </w:t>
            </w:r>
            <w:r w:rsidRPr="00BD76AF">
              <w:rPr>
                <w:i w:val="0"/>
                <w:iCs/>
                <w:lang w:val="fr-FR"/>
              </w:rPr>
              <w:t>Comité de Règlement</w:t>
            </w:r>
            <w:r w:rsidRPr="00BD76AF">
              <w:rPr>
                <w:i w:val="0"/>
                <w:lang w:val="fr-FR"/>
              </w:rPr>
              <w:t xml:space="preserve"> permanent (fortement recommandé par la JICA) ;</w:t>
            </w:r>
          </w:p>
          <w:p w14:paraId="2672F240" w14:textId="77777777" w:rsidR="00F332DA" w:rsidRPr="00BD76AF" w:rsidRDefault="00F332DA" w:rsidP="00EC55DA">
            <w:pPr>
              <w:pStyle w:val="aff6"/>
              <w:tabs>
                <w:tab w:val="left" w:pos="426"/>
              </w:tabs>
              <w:ind w:left="0" w:right="57"/>
              <w:jc w:val="both"/>
              <w:rPr>
                <w:i w:val="0"/>
                <w:lang w:val="fr-FR"/>
              </w:rPr>
            </w:pPr>
            <w:r w:rsidRPr="00BD76AF">
              <w:rPr>
                <w:i w:val="0"/>
                <w:lang w:val="fr-FR"/>
              </w:rPr>
              <w:t>(b)</w:t>
            </w:r>
            <w:r w:rsidRPr="00BD76AF">
              <w:rPr>
                <w:i w:val="0"/>
                <w:lang w:val="fr-FR"/>
              </w:rPr>
              <w:tab/>
              <w:t xml:space="preserve">la nomination d’un </w:t>
            </w:r>
            <w:r w:rsidRPr="00BD76AF">
              <w:rPr>
                <w:i w:val="0"/>
                <w:iCs/>
                <w:lang w:val="fr-FR"/>
              </w:rPr>
              <w:t>Comité de Règlement</w:t>
            </w:r>
            <w:r w:rsidRPr="00BD76AF">
              <w:rPr>
                <w:i w:val="0"/>
                <w:lang w:val="fr-FR"/>
              </w:rPr>
              <w:t xml:space="preserve"> ad hoc ; ou</w:t>
            </w:r>
          </w:p>
          <w:p w14:paraId="22C44D01" w14:textId="77777777" w:rsidR="00F332DA" w:rsidRPr="00BD76AF" w:rsidRDefault="00F332DA" w:rsidP="00EC55DA">
            <w:pPr>
              <w:pStyle w:val="aff6"/>
              <w:ind w:left="0" w:right="57"/>
              <w:jc w:val="both"/>
              <w:rPr>
                <w:i w:val="0"/>
                <w:lang w:val="fr-FR"/>
              </w:rPr>
            </w:pPr>
            <w:r w:rsidRPr="00BD76AF">
              <w:rPr>
                <w:i w:val="0"/>
                <w:lang w:val="fr-FR"/>
              </w:rPr>
              <w:t>(c)</w:t>
            </w:r>
            <w:r w:rsidRPr="00BD76AF">
              <w:rPr>
                <w:i w:val="0"/>
                <w:lang w:val="fr-FR"/>
              </w:rPr>
              <w:tab/>
              <w:t xml:space="preserve">pas d’utilisation de </w:t>
            </w:r>
            <w:r w:rsidRPr="00BD76AF">
              <w:rPr>
                <w:i w:val="0"/>
                <w:iCs/>
                <w:lang w:val="fr-FR"/>
              </w:rPr>
              <w:t>Comité de Règlement des Différends</w:t>
            </w:r>
            <w:r w:rsidRPr="00BD76AF">
              <w:rPr>
                <w:i w:val="0"/>
                <w:lang w:val="fr-FR"/>
              </w:rPr>
              <w:t>.</w:t>
            </w:r>
          </w:p>
          <w:p w14:paraId="5FCAEB57" w14:textId="77777777" w:rsidR="00F332DA" w:rsidRPr="00BD76AF" w:rsidRDefault="00F332DA" w:rsidP="00EC55DA">
            <w:pPr>
              <w:pStyle w:val="aff6"/>
              <w:ind w:left="0" w:right="-74"/>
              <w:jc w:val="both"/>
              <w:rPr>
                <w:i w:val="0"/>
                <w:lang w:val="fr-FR"/>
              </w:rPr>
            </w:pPr>
          </w:p>
          <w:p w14:paraId="06B3497E" w14:textId="77777777" w:rsidR="00F332DA" w:rsidRPr="00BD76AF" w:rsidRDefault="00F332DA" w:rsidP="00EC55DA">
            <w:pPr>
              <w:tabs>
                <w:tab w:val="left" w:pos="387"/>
                <w:tab w:val="left" w:pos="1107"/>
              </w:tabs>
              <w:overflowPunct/>
              <w:autoSpaceDE/>
              <w:autoSpaceDN/>
              <w:adjustRightInd/>
              <w:textAlignment w:val="auto"/>
            </w:pPr>
            <w:r w:rsidRPr="00BD76AF">
              <w:rPr>
                <w:lang w:eastAsia="en-US"/>
              </w:rPr>
              <w:t xml:space="preserve">Après l’accord de la JICA sur le mécanisme choisi pour le </w:t>
            </w:r>
            <w:r w:rsidRPr="00BD76AF">
              <w:rPr>
                <w:iCs/>
                <w:lang w:eastAsia="en-US"/>
              </w:rPr>
              <w:t>Comité de Règlement</w:t>
            </w:r>
            <w:r w:rsidRPr="00BD76AF">
              <w:rPr>
                <w:lang w:eastAsia="en-US"/>
              </w:rPr>
              <w:t xml:space="preserve">, le Maître d’ouvrage procédera à son incorporation dans le Marché en révisant les dispositions spécifiques relative au </w:t>
            </w:r>
            <w:r w:rsidRPr="00BD76AF">
              <w:rPr>
                <w:iCs/>
                <w:lang w:eastAsia="en-US"/>
              </w:rPr>
              <w:t>Comité de Règlement</w:t>
            </w:r>
            <w:r w:rsidRPr="00BD76AF">
              <w:rPr>
                <w:lang w:eastAsia="en-US"/>
              </w:rPr>
              <w:t xml:space="preserve"> indiquées ci-dessous. Les directives nécessaires sont données ci-après pour (b) la nomination d’un </w:t>
            </w:r>
            <w:r w:rsidRPr="00BD76AF">
              <w:rPr>
                <w:iCs/>
                <w:lang w:eastAsia="en-US"/>
              </w:rPr>
              <w:t>Comité de Règlement</w:t>
            </w:r>
            <w:r w:rsidRPr="00BD76AF">
              <w:rPr>
                <w:lang w:eastAsia="en-US"/>
              </w:rPr>
              <w:t xml:space="preserve"> ad hoc et (c) pas d’utilisation de </w:t>
            </w:r>
            <w:r w:rsidRPr="00BD76AF">
              <w:rPr>
                <w:iCs/>
                <w:lang w:eastAsia="en-US"/>
              </w:rPr>
              <w:t>Comité de Règlement</w:t>
            </w:r>
            <w:r w:rsidRPr="00BD76AF">
              <w:rPr>
                <w:iCs/>
              </w:rPr>
              <w:t xml:space="preserve"> des Différends</w:t>
            </w:r>
            <w:r w:rsidRPr="00BD76AF">
              <w:rPr>
                <w:lang w:eastAsia="en-US"/>
              </w:rPr>
              <w:t>.</w:t>
            </w:r>
          </w:p>
          <w:p w14:paraId="271714EE" w14:textId="77777777" w:rsidR="00F332DA" w:rsidRPr="00BD76AF" w:rsidRDefault="00F332DA" w:rsidP="00EC55DA"/>
          <w:p w14:paraId="3B8AC41B" w14:textId="77777777" w:rsidR="00F332DA" w:rsidRPr="00BD76AF" w:rsidRDefault="00F332DA" w:rsidP="006D5A41">
            <w:pPr>
              <w:spacing w:afterLines="100" w:after="240"/>
            </w:pPr>
            <w:r w:rsidRPr="00BD76AF">
              <w:rPr>
                <w:szCs w:val="24"/>
                <w:lang w:eastAsia="ja-JP"/>
              </w:rPr>
              <w:t>Les « Directives pour la préparation des dispositions spécifiques » doivent être retirées du Dossier d’appel d’offres qui sera remis aux Soumissionnaires.</w:t>
            </w:r>
          </w:p>
        </w:tc>
      </w:tr>
    </w:tbl>
    <w:tbl>
      <w:tblPr>
        <w:tblW w:w="8964" w:type="dxa"/>
        <w:tblInd w:w="108" w:type="dxa"/>
        <w:tblLayout w:type="fixed"/>
        <w:tblLook w:val="0000" w:firstRow="0" w:lastRow="0" w:firstColumn="0" w:lastColumn="0" w:noHBand="0" w:noVBand="0"/>
      </w:tblPr>
      <w:tblGrid>
        <w:gridCol w:w="2694"/>
        <w:gridCol w:w="6270"/>
      </w:tblGrid>
      <w:tr w:rsidR="00F332DA" w:rsidRPr="00BD76AF" w14:paraId="6724C1BF" w14:textId="77777777" w:rsidTr="00EC55DA">
        <w:tc>
          <w:tcPr>
            <w:tcW w:w="8964" w:type="dxa"/>
            <w:gridSpan w:val="2"/>
            <w:shd w:val="clear" w:color="auto" w:fill="C9C9C9"/>
          </w:tcPr>
          <w:p w14:paraId="5EB88074" w14:textId="77777777" w:rsidR="00F332DA" w:rsidRPr="00BD76AF" w:rsidRDefault="00F332DA" w:rsidP="00EC55DA">
            <w:pPr>
              <w:pStyle w:val="S8Header1"/>
              <w:tabs>
                <w:tab w:val="left" w:pos="825"/>
              </w:tabs>
              <w:spacing w:after="120"/>
              <w:rPr>
                <w:lang w:val="fr-FR" w:eastAsia="ja-JP"/>
              </w:rPr>
            </w:pPr>
            <w:r w:rsidRPr="00BD76AF">
              <w:rPr>
                <w:lang w:val="fr-FR"/>
              </w:rPr>
              <w:br w:type="page"/>
            </w:r>
            <w:r w:rsidRPr="00BD76AF">
              <w:rPr>
                <w:bCs/>
                <w:szCs w:val="24"/>
                <w:lang w:val="fr-FR"/>
              </w:rPr>
              <w:t>Dispositions spécifiques relatives au Comité de Règlement des Différends</w:t>
            </w:r>
          </w:p>
        </w:tc>
      </w:tr>
      <w:tr w:rsidR="00F332DA" w:rsidRPr="00BD76AF" w14:paraId="6F8909FC" w14:textId="77777777" w:rsidTr="00EC55DA">
        <w:tc>
          <w:tcPr>
            <w:tcW w:w="8964" w:type="dxa"/>
            <w:gridSpan w:val="2"/>
          </w:tcPr>
          <w:p w14:paraId="0829B3E7" w14:textId="77777777" w:rsidR="00F332DA" w:rsidRPr="00BD76AF" w:rsidRDefault="00F332DA" w:rsidP="00EC55DA">
            <w:pPr>
              <w:pStyle w:val="aff6"/>
              <w:ind w:left="0" w:right="-74"/>
              <w:rPr>
                <w:i w:val="0"/>
                <w:lang w:val="fr-FR"/>
              </w:rPr>
            </w:pPr>
          </w:p>
          <w:p w14:paraId="42E74D87" w14:textId="77777777" w:rsidR="00F332DA" w:rsidRPr="00BD76AF" w:rsidRDefault="00F332DA" w:rsidP="00EC55DA">
            <w:pPr>
              <w:pStyle w:val="aff6"/>
              <w:ind w:left="0" w:right="-74"/>
              <w:rPr>
                <w:bdr w:val="single" w:sz="4" w:space="0" w:color="auto"/>
                <w:lang w:val="fr-FR"/>
              </w:rPr>
            </w:pPr>
            <w:r w:rsidRPr="00BD76AF">
              <w:rPr>
                <w:b/>
                <w:bdr w:val="single" w:sz="4" w:space="0" w:color="auto"/>
                <w:lang w:val="fr-FR"/>
              </w:rPr>
              <w:t>Nomination d’un Comité de Règlement des Différends ad hoc</w:t>
            </w:r>
          </w:p>
          <w:p w14:paraId="3E961F1E" w14:textId="77777777" w:rsidR="00F332DA" w:rsidRPr="00BD76AF" w:rsidRDefault="00F332DA" w:rsidP="009C302E">
            <w:pPr>
              <w:pStyle w:val="aff6"/>
              <w:ind w:left="0" w:right="0"/>
              <w:jc w:val="both"/>
              <w:rPr>
                <w:lang w:val="fr-FR"/>
              </w:rPr>
            </w:pPr>
            <w:r w:rsidRPr="00BD76AF">
              <w:rPr>
                <w:lang w:val="fr-FR"/>
              </w:rPr>
              <w:t xml:space="preserve">Lorsque </w:t>
            </w:r>
            <w:r w:rsidRPr="00BD76AF">
              <w:rPr>
                <w:b/>
                <w:lang w:val="fr-FR"/>
              </w:rPr>
              <w:t xml:space="preserve">« (b) la nomination d’un Comité de Règlement des Différends ad hoc » </w:t>
            </w:r>
            <w:r w:rsidRPr="00BD76AF">
              <w:rPr>
                <w:lang w:val="fr-FR"/>
              </w:rPr>
              <w:t>est sélectionné, la disposition suivante des DM devra être indiquée</w:t>
            </w:r>
            <w:r w:rsidRPr="00BD76AF">
              <w:rPr>
                <w:lang w:val="fr-FR" w:eastAsia="ja-JP"/>
              </w:rPr>
              <w:t> :</w:t>
            </w:r>
          </w:p>
          <w:tbl>
            <w:tblPr>
              <w:tblW w:w="8692" w:type="dxa"/>
              <w:tblLayout w:type="fixed"/>
              <w:tblLook w:val="0000" w:firstRow="0" w:lastRow="0" w:firstColumn="0" w:lastColumn="0" w:noHBand="0" w:noVBand="0"/>
            </w:tblPr>
            <w:tblGrid>
              <w:gridCol w:w="3348"/>
              <w:gridCol w:w="1440"/>
              <w:gridCol w:w="3904"/>
            </w:tblGrid>
            <w:tr w:rsidR="00F332DA" w:rsidRPr="00BD76AF" w14:paraId="6A2D1113" w14:textId="77777777" w:rsidTr="00EC55DA">
              <w:trPr>
                <w:tblHeader/>
              </w:trPr>
              <w:tc>
                <w:tcPr>
                  <w:tcW w:w="3348" w:type="dxa"/>
                  <w:tcBorders>
                    <w:top w:val="single" w:sz="18" w:space="0" w:color="auto"/>
                    <w:left w:val="single" w:sz="18" w:space="0" w:color="auto"/>
                    <w:bottom w:val="single" w:sz="18" w:space="0" w:color="auto"/>
                    <w:right w:val="single" w:sz="18" w:space="0" w:color="auto"/>
                  </w:tcBorders>
                </w:tcPr>
                <w:p w14:paraId="20348B08" w14:textId="77777777" w:rsidR="00F332DA" w:rsidRPr="00BD76AF" w:rsidRDefault="00F332DA" w:rsidP="00EC55DA">
                  <w:pPr>
                    <w:spacing w:before="60" w:after="60"/>
                    <w:jc w:val="center"/>
                    <w:rPr>
                      <w:b/>
                      <w:szCs w:val="24"/>
                    </w:rPr>
                  </w:pPr>
                  <w:r w:rsidRPr="00BD76AF">
                    <w:rPr>
                      <w:b/>
                      <w:szCs w:val="24"/>
                    </w:rPr>
                    <w:t>Conditions</w:t>
                  </w:r>
                </w:p>
              </w:tc>
              <w:tc>
                <w:tcPr>
                  <w:tcW w:w="1440" w:type="dxa"/>
                  <w:tcBorders>
                    <w:top w:val="single" w:sz="18" w:space="0" w:color="auto"/>
                    <w:left w:val="single" w:sz="18" w:space="0" w:color="auto"/>
                    <w:bottom w:val="single" w:sz="18" w:space="0" w:color="auto"/>
                    <w:right w:val="single" w:sz="18" w:space="0" w:color="auto"/>
                  </w:tcBorders>
                </w:tcPr>
                <w:p w14:paraId="1AC6702D" w14:textId="77777777" w:rsidR="00F332DA" w:rsidRPr="00BD76AF" w:rsidRDefault="00F332DA" w:rsidP="00EC55DA">
                  <w:pPr>
                    <w:spacing w:before="60" w:after="60"/>
                    <w:jc w:val="center"/>
                    <w:rPr>
                      <w:b/>
                      <w:szCs w:val="24"/>
                    </w:rPr>
                  </w:pPr>
                  <w:r w:rsidRPr="00BD76AF">
                    <w:rPr>
                      <w:b/>
                      <w:szCs w:val="24"/>
                    </w:rPr>
                    <w:t>Article</w:t>
                  </w:r>
                </w:p>
              </w:tc>
              <w:tc>
                <w:tcPr>
                  <w:tcW w:w="3904" w:type="dxa"/>
                  <w:tcBorders>
                    <w:top w:val="single" w:sz="18" w:space="0" w:color="auto"/>
                    <w:left w:val="single" w:sz="18" w:space="0" w:color="auto"/>
                    <w:bottom w:val="single" w:sz="18" w:space="0" w:color="auto"/>
                    <w:right w:val="single" w:sz="18" w:space="0" w:color="auto"/>
                  </w:tcBorders>
                </w:tcPr>
                <w:p w14:paraId="49CA1FA6" w14:textId="77777777" w:rsidR="00F332DA" w:rsidRPr="00BD76AF" w:rsidRDefault="00F332DA" w:rsidP="00EC55DA">
                  <w:pPr>
                    <w:tabs>
                      <w:tab w:val="left" w:pos="5285"/>
                    </w:tabs>
                    <w:spacing w:before="60" w:after="60"/>
                    <w:ind w:right="-94"/>
                    <w:jc w:val="center"/>
                    <w:rPr>
                      <w:b/>
                      <w:szCs w:val="24"/>
                    </w:rPr>
                  </w:pPr>
                  <w:r w:rsidRPr="00BD76AF">
                    <w:rPr>
                      <w:b/>
                      <w:szCs w:val="24"/>
                    </w:rPr>
                    <w:t>Données</w:t>
                  </w:r>
                </w:p>
              </w:tc>
            </w:tr>
            <w:tr w:rsidR="00F332DA" w:rsidRPr="00BD76AF" w14:paraId="7B28A50E" w14:textId="77777777" w:rsidTr="00EC55DA">
              <w:trPr>
                <w:cantSplit/>
                <w:trHeight w:val="809"/>
              </w:trPr>
              <w:tc>
                <w:tcPr>
                  <w:tcW w:w="3348" w:type="dxa"/>
                  <w:tcBorders>
                    <w:top w:val="single" w:sz="2" w:space="0" w:color="auto"/>
                    <w:left w:val="single" w:sz="2" w:space="0" w:color="auto"/>
                    <w:bottom w:val="single" w:sz="2" w:space="0" w:color="auto"/>
                    <w:right w:val="single" w:sz="2" w:space="0" w:color="auto"/>
                  </w:tcBorders>
                </w:tcPr>
                <w:p w14:paraId="5DF4E3B6" w14:textId="77777777" w:rsidR="00F332DA" w:rsidRPr="00BD76AF" w:rsidRDefault="00F332DA" w:rsidP="006D5A41">
                  <w:pPr>
                    <w:spacing w:before="60" w:after="60"/>
                    <w:jc w:val="left"/>
                    <w:rPr>
                      <w:b/>
                      <w:bCs/>
                      <w:szCs w:val="24"/>
                    </w:rPr>
                  </w:pPr>
                  <w:r w:rsidRPr="00BD76AF">
                    <w:rPr>
                      <w:b/>
                      <w:bCs/>
                      <w:szCs w:val="24"/>
                    </w:rPr>
                    <w:t>Date au plus tard à laquelle le Comité de Règlement des Différends doit être nommé</w:t>
                  </w:r>
                </w:p>
              </w:tc>
              <w:tc>
                <w:tcPr>
                  <w:tcW w:w="1440" w:type="dxa"/>
                  <w:tcBorders>
                    <w:top w:val="single" w:sz="2" w:space="0" w:color="auto"/>
                    <w:left w:val="single" w:sz="2" w:space="0" w:color="auto"/>
                    <w:bottom w:val="single" w:sz="2" w:space="0" w:color="auto"/>
                    <w:right w:val="single" w:sz="2" w:space="0" w:color="auto"/>
                  </w:tcBorders>
                </w:tcPr>
                <w:p w14:paraId="16D0A6D8" w14:textId="77777777" w:rsidR="00F332DA" w:rsidRPr="00BD76AF" w:rsidRDefault="00F332DA" w:rsidP="00EC55DA">
                  <w:pPr>
                    <w:spacing w:before="60" w:after="60"/>
                    <w:jc w:val="left"/>
                    <w:rPr>
                      <w:szCs w:val="24"/>
                    </w:rPr>
                  </w:pPr>
                  <w:r w:rsidRPr="00BD76AF">
                    <w:rPr>
                      <w:szCs w:val="24"/>
                    </w:rPr>
                    <w:t>45.1</w:t>
                  </w:r>
                </w:p>
              </w:tc>
              <w:tc>
                <w:tcPr>
                  <w:tcW w:w="3904" w:type="dxa"/>
                  <w:tcBorders>
                    <w:top w:val="single" w:sz="2" w:space="0" w:color="auto"/>
                    <w:left w:val="single" w:sz="2" w:space="0" w:color="auto"/>
                    <w:bottom w:val="single" w:sz="2" w:space="0" w:color="auto"/>
                    <w:right w:val="single" w:sz="2" w:space="0" w:color="auto"/>
                  </w:tcBorders>
                </w:tcPr>
                <w:p w14:paraId="5D9D6B42" w14:textId="77777777" w:rsidR="00F332DA" w:rsidRPr="00BD76AF" w:rsidRDefault="00F332DA" w:rsidP="006D5A41">
                  <w:pPr>
                    <w:spacing w:before="60" w:after="120"/>
                    <w:rPr>
                      <w:i/>
                      <w:iCs/>
                      <w:szCs w:val="24"/>
                      <w:lang w:eastAsia="ja-JP"/>
                    </w:rPr>
                  </w:pPr>
                  <w:r w:rsidRPr="00BD76AF">
                    <w:rPr>
                      <w:szCs w:val="24"/>
                    </w:rPr>
                    <w:t>[</w:t>
                  </w:r>
                  <w:r w:rsidRPr="00BD76AF">
                    <w:rPr>
                      <w:i/>
                      <w:szCs w:val="24"/>
                    </w:rPr>
                    <w:t>indiquer : « Cet Article 45.1 des DM est sans objet. »</w:t>
                  </w:r>
                  <w:r w:rsidRPr="00BD76AF">
                    <w:rPr>
                      <w:szCs w:val="24"/>
                    </w:rPr>
                    <w:t>]</w:t>
                  </w:r>
                </w:p>
              </w:tc>
            </w:tr>
          </w:tbl>
          <w:p w14:paraId="6151015F" w14:textId="77777777" w:rsidR="00F332DA" w:rsidRPr="00BD76AF" w:rsidRDefault="00F332DA" w:rsidP="00EC55DA">
            <w:pPr>
              <w:pStyle w:val="aff6"/>
              <w:ind w:left="0" w:right="-74"/>
              <w:rPr>
                <w:i w:val="0"/>
                <w:iCs/>
                <w:lang w:val="fr-FR"/>
              </w:rPr>
            </w:pPr>
          </w:p>
          <w:p w14:paraId="7BAE79F1" w14:textId="77777777" w:rsidR="00F332DA" w:rsidRPr="00BD76AF" w:rsidRDefault="00F332DA" w:rsidP="00EC55DA">
            <w:pPr>
              <w:pStyle w:val="aff6"/>
              <w:ind w:left="0" w:right="-74"/>
              <w:rPr>
                <w:i w:val="0"/>
                <w:iCs/>
                <w:lang w:val="fr-FR" w:eastAsia="ja-JP"/>
              </w:rPr>
            </w:pPr>
            <w:r w:rsidRPr="00BD76AF">
              <w:rPr>
                <w:iCs/>
                <w:lang w:val="fr-FR" w:eastAsia="ja-JP"/>
              </w:rPr>
              <w:t>Il est également nécessaire de réviser comme suit les DS :</w:t>
            </w:r>
          </w:p>
        </w:tc>
      </w:tr>
      <w:tr w:rsidR="00F332DA" w:rsidRPr="00BD76AF" w14:paraId="7DF093D0" w14:textId="77777777" w:rsidTr="00EC55DA">
        <w:tc>
          <w:tcPr>
            <w:tcW w:w="2694" w:type="dxa"/>
          </w:tcPr>
          <w:p w14:paraId="7750F710" w14:textId="77777777" w:rsidR="00F332DA" w:rsidRPr="00BD76AF" w:rsidRDefault="00F332DA" w:rsidP="00EC55DA">
            <w:pPr>
              <w:pStyle w:val="Header1-Clauses"/>
              <w:spacing w:after="200"/>
              <w:rPr>
                <w:szCs w:val="24"/>
                <w:lang w:val="en-GB" w:eastAsia="ja-JP"/>
              </w:rPr>
            </w:pPr>
            <w:r w:rsidRPr="00BD76AF">
              <w:rPr>
                <w:szCs w:val="24"/>
                <w:lang w:val="en-GB" w:eastAsia="ja-JP"/>
              </w:rPr>
              <w:t xml:space="preserve">Article 39.4 </w:t>
            </w:r>
          </w:p>
          <w:p w14:paraId="78231E04" w14:textId="77777777" w:rsidR="00F332DA" w:rsidRPr="00BD76AF" w:rsidRDefault="00F332DA" w:rsidP="00EC55DA">
            <w:pPr>
              <w:pStyle w:val="Header1-Clauses"/>
              <w:spacing w:after="200"/>
              <w:rPr>
                <w:szCs w:val="24"/>
                <w:lang w:val="en-GB" w:eastAsia="ja-JP"/>
              </w:rPr>
            </w:pPr>
            <w:r w:rsidRPr="00BD76AF">
              <w:rPr>
                <w:szCs w:val="24"/>
              </w:rPr>
              <w:t>Sommes provisionnelles</w:t>
            </w:r>
          </w:p>
        </w:tc>
        <w:tc>
          <w:tcPr>
            <w:tcW w:w="6270" w:type="dxa"/>
          </w:tcPr>
          <w:p w14:paraId="76436D5F" w14:textId="77777777" w:rsidR="00F332DA" w:rsidRPr="00BD76AF" w:rsidRDefault="00F332DA" w:rsidP="00EC55DA">
            <w:pPr>
              <w:pStyle w:val="aff7"/>
              <w:adjustRightInd/>
              <w:spacing w:after="240" w:line="240" w:lineRule="auto"/>
              <w:ind w:leftChars="0" w:left="0"/>
              <w:rPr>
                <w:rFonts w:ascii="Times New Roman" w:hAnsi="Times New Roman"/>
                <w:i/>
                <w:sz w:val="24"/>
                <w:szCs w:val="24"/>
                <w:lang w:val="fr-FR"/>
              </w:rPr>
            </w:pPr>
            <w:r w:rsidRPr="00BD76AF">
              <w:rPr>
                <w:rFonts w:ascii="Times New Roman" w:hAnsi="Times New Roman"/>
                <w:sz w:val="24"/>
                <w:szCs w:val="24"/>
                <w:lang w:val="fr-FR"/>
              </w:rPr>
              <w:t>[</w:t>
            </w:r>
            <w:r w:rsidRPr="00BD76AF">
              <w:rPr>
                <w:rFonts w:ascii="Times New Roman" w:hAnsi="Times New Roman"/>
                <w:i/>
                <w:sz w:val="24"/>
                <w:szCs w:val="24"/>
                <w:lang w:val="fr-FR"/>
              </w:rPr>
              <w:t>Indiquer les dispositions suivantes dans la Partie B – Dispositions spécifiques (DS).</w:t>
            </w:r>
            <w:r w:rsidRPr="00BD76AF">
              <w:rPr>
                <w:rFonts w:ascii="Times New Roman" w:hAnsi="Times New Roman"/>
                <w:sz w:val="24"/>
                <w:szCs w:val="24"/>
                <w:lang w:val="fr-FR"/>
              </w:rPr>
              <w:t>]</w:t>
            </w:r>
          </w:p>
          <w:p w14:paraId="13C7C156"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sz w:val="24"/>
                <w:szCs w:val="24"/>
                <w:lang w:val="fr-FR"/>
              </w:rPr>
              <w:t xml:space="preserve">Supprimer </w:t>
            </w:r>
            <w:r w:rsidRPr="00BD76AF">
              <w:rPr>
                <w:rFonts w:ascii="Times New Roman" w:hAnsi="Times New Roman" w:hint="eastAsia"/>
                <w:sz w:val="24"/>
                <w:szCs w:val="24"/>
                <w:lang w:val="fr-FR"/>
              </w:rPr>
              <w:t>à</w:t>
            </w:r>
            <w:r w:rsidRPr="00BD76AF">
              <w:rPr>
                <w:rFonts w:ascii="Times New Roman" w:hAnsi="Times New Roman"/>
                <w:sz w:val="24"/>
                <w:szCs w:val="24"/>
                <w:lang w:val="fr-FR"/>
              </w:rPr>
              <w:t xml:space="preserve"> partir du septième alinéa et remplacer par : </w:t>
            </w:r>
          </w:p>
          <w:p w14:paraId="7150C267" w14:textId="77777777" w:rsidR="00F332DA" w:rsidRPr="00BD76AF" w:rsidRDefault="00F332DA" w:rsidP="00EC55DA">
            <w:pPr>
              <w:rPr>
                <w:rFonts w:eastAsia="游ゴシック"/>
                <w:kern w:val="2"/>
                <w:szCs w:val="24"/>
                <w:shd w:val="clear" w:color="auto" w:fill="FAFBFC"/>
                <w:lang w:eastAsia="ja-JP"/>
              </w:rPr>
            </w:pPr>
            <w:r w:rsidRPr="00BD76AF">
              <w:rPr>
                <w:rFonts w:hint="eastAsia"/>
                <w:iCs/>
                <w:szCs w:val="24"/>
                <w:lang w:eastAsia="ja-JP"/>
              </w:rPr>
              <w:t>«</w:t>
            </w:r>
            <w:r w:rsidRPr="00BD76AF">
              <w:rPr>
                <w:iCs/>
                <w:szCs w:val="24"/>
                <w:lang w:eastAsia="ja-JP"/>
              </w:rPr>
              <w:t> À titre d’exception, le montant de la somme provisionnelle affecté au Comité de Règlement des Différends doit être utilisé, conformément à l’Article 45.1 (</w:t>
            </w:r>
            <w:r w:rsidRPr="00BD76AF">
              <w:rPr>
                <w:i/>
                <w:iCs/>
                <w:szCs w:val="24"/>
                <w:lang w:eastAsia="ja-JP"/>
              </w:rPr>
              <w:t>Nomination du Comité de Règlement des Différends</w:t>
            </w:r>
            <w:r w:rsidRPr="00BD76AF">
              <w:rPr>
                <w:iCs/>
                <w:szCs w:val="24"/>
                <w:lang w:eastAsia="ja-JP"/>
              </w:rPr>
              <w:t>) des CG, pour payer à l’Entrepreneur la part du Maître d’ouvrage (la moitié) des factures relatives aux honoraires et dépenses du Comité de Règlement des Différends</w:t>
            </w:r>
            <w:r w:rsidRPr="00BD76AF">
              <w:rPr>
                <w:rFonts w:hint="eastAsia"/>
                <w:iCs/>
                <w:szCs w:val="24"/>
                <w:lang w:eastAsia="ja-JP"/>
              </w:rPr>
              <w:t xml:space="preserve">. </w:t>
            </w:r>
          </w:p>
          <w:p w14:paraId="423ED22B" w14:textId="77777777" w:rsidR="00F332DA" w:rsidRPr="00BD76AF" w:rsidRDefault="00F332DA" w:rsidP="00EC55DA">
            <w:pPr>
              <w:pStyle w:val="ClauseSubPara1"/>
              <w:spacing w:after="200"/>
              <w:ind w:leftChars="-15" w:left="-36"/>
              <w:jc w:val="both"/>
              <w:rPr>
                <w:iCs/>
                <w:sz w:val="24"/>
                <w:szCs w:val="24"/>
                <w:lang w:val="fr-FR" w:eastAsia="ja-JP"/>
              </w:rPr>
            </w:pPr>
            <w:r w:rsidRPr="00BD76AF">
              <w:rPr>
                <w:iCs/>
                <w:sz w:val="24"/>
                <w:szCs w:val="24"/>
                <w:lang w:val="fr-FR" w:eastAsia="ja-JP"/>
              </w:rPr>
              <w:t>Aucune instruction préalable du Directeur de projet n’est requise en ce qui concerne les travaux du Comité de Règlement des Différends</w:t>
            </w:r>
            <w:r w:rsidRPr="00BD76AF">
              <w:rPr>
                <w:rFonts w:hint="eastAsia"/>
                <w:iCs/>
                <w:sz w:val="24"/>
                <w:szCs w:val="24"/>
                <w:lang w:val="fr-FR" w:eastAsia="ja-JP"/>
              </w:rPr>
              <w:t xml:space="preserve">. </w:t>
            </w:r>
          </w:p>
          <w:p w14:paraId="7F11930F" w14:textId="77777777" w:rsidR="00F332DA" w:rsidRPr="00BD76AF" w:rsidRDefault="00F332DA" w:rsidP="00EC55DA">
            <w:pPr>
              <w:rPr>
                <w:iCs/>
                <w:szCs w:val="24"/>
                <w:lang w:eastAsia="ja-JP"/>
              </w:rPr>
            </w:pPr>
            <w:r w:rsidRPr="00BD76AF">
              <w:rPr>
                <w:iCs/>
                <w:szCs w:val="24"/>
                <w:lang w:eastAsia="ja-JP"/>
              </w:rPr>
              <w:t>Les dispositions suivantes s’appliquent aux paiements des coûts du Comité de Règlement des Différends réalisés avec la somme provisionnelle :</w:t>
            </w:r>
          </w:p>
          <w:p w14:paraId="6043A5AD" w14:textId="77777777" w:rsidR="00F332DA" w:rsidRPr="00BD76AF" w:rsidRDefault="00F332DA" w:rsidP="00EC55DA">
            <w:pPr>
              <w:rPr>
                <w:iCs/>
                <w:szCs w:val="24"/>
                <w:lang w:eastAsia="ja-JP"/>
              </w:rPr>
            </w:pPr>
          </w:p>
          <w:p w14:paraId="1E37C82C" w14:textId="77777777" w:rsidR="00F332DA" w:rsidRPr="00BD76AF" w:rsidRDefault="00F332DA" w:rsidP="00EC55DA">
            <w:pPr>
              <w:pStyle w:val="ClauseSubPara1"/>
              <w:spacing w:before="0" w:after="0"/>
              <w:ind w:left="374" w:hanging="374"/>
              <w:jc w:val="both"/>
              <w:rPr>
                <w:iCs/>
                <w:sz w:val="24"/>
                <w:szCs w:val="24"/>
                <w:lang w:val="fr-FR" w:eastAsia="ja-JP"/>
              </w:rPr>
            </w:pPr>
            <w:r w:rsidRPr="00BD76AF">
              <w:rPr>
                <w:iCs/>
                <w:sz w:val="24"/>
                <w:szCs w:val="24"/>
                <w:lang w:val="fr-FR" w:eastAsia="ja-JP"/>
              </w:rPr>
              <w:t>a)</w:t>
            </w:r>
            <w:r w:rsidRPr="00BD76AF">
              <w:rPr>
                <w:iCs/>
                <w:sz w:val="24"/>
                <w:szCs w:val="24"/>
                <w:lang w:val="fr-FR" w:eastAsia="ja-JP"/>
              </w:rPr>
              <w:tab/>
              <w:t>Les demandes de paiements au titre de la somme provisionnelle doivent être présentées avec tous les justificatifs nécessaires, y compris :</w:t>
            </w:r>
          </w:p>
          <w:p w14:paraId="5D071028" w14:textId="77777777" w:rsidR="00F332DA" w:rsidRPr="00BD76AF" w:rsidRDefault="00F332DA" w:rsidP="00EC55DA">
            <w:pPr>
              <w:pStyle w:val="a6"/>
              <w:tabs>
                <w:tab w:val="left" w:pos="397"/>
                <w:tab w:val="right" w:pos="7848"/>
              </w:tabs>
              <w:spacing w:before="60" w:after="60"/>
              <w:ind w:left="794" w:hanging="397"/>
              <w:rPr>
                <w:iCs/>
                <w:szCs w:val="24"/>
                <w:lang w:eastAsia="ja-JP"/>
              </w:rPr>
            </w:pPr>
            <w:r w:rsidRPr="00BD76AF">
              <w:rPr>
                <w:iCs/>
                <w:szCs w:val="24"/>
                <w:lang w:eastAsia="ja-JP"/>
              </w:rPr>
              <w:t>i)</w:t>
            </w:r>
            <w:r w:rsidRPr="00BD76AF">
              <w:rPr>
                <w:iCs/>
                <w:szCs w:val="24"/>
                <w:lang w:eastAsia="ja-JP"/>
              </w:rPr>
              <w:tab/>
              <w:t xml:space="preserve">les factures préparées par les membres du Comité de Règlement des Différends et remises à l’Entrepreneur pour le règlement/remboursement de leur honoraires et/ou dépenses ; et </w:t>
            </w:r>
          </w:p>
          <w:p w14:paraId="7303B601" w14:textId="77777777" w:rsidR="00F332DA" w:rsidRPr="00BD76AF" w:rsidRDefault="00F332DA" w:rsidP="00EC55DA">
            <w:pPr>
              <w:pStyle w:val="a6"/>
              <w:tabs>
                <w:tab w:val="left" w:pos="397"/>
                <w:tab w:val="right" w:pos="7848"/>
              </w:tabs>
              <w:spacing w:before="60" w:after="60"/>
              <w:ind w:left="794" w:hanging="397"/>
              <w:rPr>
                <w:iCs/>
                <w:szCs w:val="24"/>
                <w:lang w:eastAsia="ja-JP"/>
              </w:rPr>
            </w:pPr>
            <w:r w:rsidRPr="00BD76AF">
              <w:rPr>
                <w:iCs/>
                <w:szCs w:val="24"/>
                <w:lang w:eastAsia="ja-JP"/>
              </w:rPr>
              <w:t>ii)</w:t>
            </w:r>
            <w:r w:rsidRPr="00BD76AF">
              <w:rPr>
                <w:iCs/>
                <w:szCs w:val="24"/>
                <w:lang w:eastAsia="ja-JP"/>
              </w:rPr>
              <w:tab/>
              <w:t>les justificatifs de paiement de la totalité de ces montants facturés.</w:t>
            </w:r>
          </w:p>
          <w:p w14:paraId="706A3EA5" w14:textId="77777777" w:rsidR="00F332DA" w:rsidRPr="00BD76AF" w:rsidRDefault="00F332DA" w:rsidP="00EC55DA">
            <w:pPr>
              <w:spacing w:after="60"/>
              <w:rPr>
                <w:szCs w:val="24"/>
                <w:lang w:eastAsia="ja-JP"/>
              </w:rPr>
            </w:pPr>
          </w:p>
          <w:p w14:paraId="36F22A91" w14:textId="77777777" w:rsidR="00F332DA" w:rsidRPr="00BD76AF" w:rsidRDefault="00F332DA" w:rsidP="00EC55DA">
            <w:pPr>
              <w:pStyle w:val="ClauseSubPara1"/>
              <w:spacing w:before="0" w:after="0"/>
              <w:ind w:left="374" w:hanging="374"/>
              <w:jc w:val="both"/>
              <w:rPr>
                <w:iCs/>
                <w:sz w:val="24"/>
                <w:szCs w:val="24"/>
                <w:lang w:val="fr-FR" w:eastAsia="ja-JP"/>
              </w:rPr>
            </w:pPr>
            <w:r w:rsidRPr="00BD76AF">
              <w:rPr>
                <w:sz w:val="24"/>
                <w:szCs w:val="24"/>
                <w:lang w:val="fr-FR" w:eastAsia="ja-JP"/>
              </w:rPr>
              <w:t>b)</w:t>
            </w:r>
            <w:r w:rsidRPr="00BD76AF">
              <w:rPr>
                <w:sz w:val="24"/>
                <w:szCs w:val="24"/>
                <w:lang w:val="fr-FR" w:eastAsia="ja-JP"/>
              </w:rPr>
              <w:tab/>
              <w:t>Les frais généraux, les bénéfices, etc. de l’Entrepreneur ne doivent pas être inclus dans la somme provisionnelle pour le coût du Comité de Règlement des Différends.</w:t>
            </w:r>
          </w:p>
          <w:p w14:paraId="0357C270" w14:textId="77777777" w:rsidR="00F332DA" w:rsidRPr="00BD76AF" w:rsidRDefault="00F332DA" w:rsidP="00EC55DA">
            <w:pPr>
              <w:rPr>
                <w:iCs/>
                <w:szCs w:val="24"/>
                <w:lang w:eastAsia="ja-JP"/>
              </w:rPr>
            </w:pPr>
          </w:p>
          <w:p w14:paraId="58CAFA48" w14:textId="77777777" w:rsidR="00F332DA" w:rsidRPr="00BD76AF" w:rsidRDefault="00F332DA" w:rsidP="00EC55DA">
            <w:pPr>
              <w:pStyle w:val="ClauseSubPara1"/>
              <w:spacing w:before="0" w:after="200"/>
              <w:ind w:left="374" w:hanging="374"/>
              <w:jc w:val="both"/>
              <w:rPr>
                <w:iCs/>
                <w:sz w:val="24"/>
                <w:lang w:val="fr-FR" w:eastAsia="ja-JP"/>
              </w:rPr>
            </w:pPr>
            <w:r w:rsidRPr="00BD76AF">
              <w:rPr>
                <w:iCs/>
                <w:szCs w:val="24"/>
                <w:lang w:val="fr-FR" w:eastAsia="ja-JP"/>
              </w:rPr>
              <w:t>c</w:t>
            </w:r>
            <w:r w:rsidRPr="00BD76AF">
              <w:rPr>
                <w:iCs/>
                <w:sz w:val="24"/>
                <w:szCs w:val="24"/>
                <w:lang w:val="fr-FR" w:eastAsia="ja-JP"/>
              </w:rPr>
              <w:t>)</w:t>
            </w:r>
            <w:r w:rsidRPr="00BD76AF">
              <w:rPr>
                <w:iCs/>
                <w:sz w:val="24"/>
                <w:szCs w:val="24"/>
                <w:lang w:val="fr-FR" w:eastAsia="ja-JP"/>
              </w:rPr>
              <w:tab/>
              <w:t>L’approbation du Directeur de projet doit être fondée sur les factures du Comité de Règlement des Différends et les justificatifs de paiement par l’Entrepreneur de la totalité des montants facturés. »</w:t>
            </w:r>
          </w:p>
        </w:tc>
      </w:tr>
      <w:tr w:rsidR="00F332DA" w:rsidRPr="00BD76AF" w14:paraId="268D11BE" w14:textId="77777777" w:rsidTr="00EC55DA">
        <w:tc>
          <w:tcPr>
            <w:tcW w:w="2694" w:type="dxa"/>
          </w:tcPr>
          <w:p w14:paraId="116395D7" w14:textId="77777777" w:rsidR="00F332DA" w:rsidRPr="00BD76AF" w:rsidRDefault="00F332DA" w:rsidP="00EC55DA">
            <w:pPr>
              <w:pStyle w:val="Header1-Clauses"/>
              <w:spacing w:after="200"/>
              <w:jc w:val="both"/>
              <w:rPr>
                <w:b w:val="0"/>
                <w:szCs w:val="24"/>
                <w:lang w:val="fr-FR" w:eastAsia="ja-JP"/>
              </w:rPr>
            </w:pPr>
          </w:p>
        </w:tc>
        <w:tc>
          <w:tcPr>
            <w:tcW w:w="6270" w:type="dxa"/>
          </w:tcPr>
          <w:p w14:paraId="34781593" w14:textId="77777777" w:rsidR="00F332DA" w:rsidRPr="00BD76AF" w:rsidRDefault="00F332DA" w:rsidP="00EC55DA">
            <w:pPr>
              <w:pStyle w:val="ClauseSubPara1"/>
              <w:spacing w:after="200"/>
              <w:ind w:leftChars="-15" w:left="-36"/>
              <w:jc w:val="both"/>
              <w:rPr>
                <w:rFonts w:eastAsia="游明朝"/>
                <w:sz w:val="24"/>
                <w:szCs w:val="24"/>
                <w:lang w:val="fr-FR" w:eastAsia="ja-JP"/>
              </w:rPr>
            </w:pPr>
            <w:r w:rsidRPr="00BD76AF">
              <w:rPr>
                <w:rFonts w:eastAsia="游明朝"/>
                <w:sz w:val="24"/>
                <w:szCs w:val="24"/>
                <w:lang w:val="fr-FR" w:eastAsia="ja-JP"/>
              </w:rPr>
              <w:t>[</w:t>
            </w:r>
            <w:r w:rsidRPr="00BD76AF">
              <w:rPr>
                <w:rFonts w:eastAsia="游明朝"/>
                <w:i/>
                <w:sz w:val="24"/>
                <w:szCs w:val="24"/>
                <w:lang w:val="fr-FR" w:eastAsia="ja-JP"/>
              </w:rPr>
              <w:t>Si aucun</w:t>
            </w:r>
            <w:r w:rsidRPr="00BD76AF">
              <w:rPr>
                <w:lang w:val="fr-FR"/>
              </w:rPr>
              <w:t xml:space="preserve"> </w:t>
            </w:r>
            <w:r w:rsidRPr="00BD76AF">
              <w:rPr>
                <w:iCs/>
                <w:lang w:val="fr-FR"/>
              </w:rPr>
              <w:t>Comité de Règlement</w:t>
            </w:r>
            <w:r w:rsidRPr="00BD76AF">
              <w:rPr>
                <w:lang w:val="fr-FR"/>
              </w:rPr>
              <w:t xml:space="preserve"> </w:t>
            </w:r>
            <w:r w:rsidRPr="00BD76AF">
              <w:rPr>
                <w:i/>
                <w:sz w:val="24"/>
                <w:szCs w:val="24"/>
                <w:lang w:val="fr-FR"/>
              </w:rPr>
              <w:t>permanent</w:t>
            </w:r>
            <w:r w:rsidRPr="00BD76AF">
              <w:rPr>
                <w:rFonts w:eastAsia="游明朝"/>
                <w:i/>
                <w:sz w:val="24"/>
                <w:szCs w:val="24"/>
                <w:lang w:val="fr-FR" w:eastAsia="ja-JP"/>
              </w:rPr>
              <w:t xml:space="preserve"> ni aucun Comité de Règlement ad hoc n’est prévu, indiquer le texte suivant.</w:t>
            </w:r>
            <w:r w:rsidRPr="00BD76AF">
              <w:rPr>
                <w:rFonts w:eastAsia="游明朝"/>
                <w:sz w:val="24"/>
                <w:szCs w:val="24"/>
                <w:lang w:val="fr-FR" w:eastAsia="ja-JP"/>
              </w:rPr>
              <w:t>]</w:t>
            </w:r>
          </w:p>
          <w:p w14:paraId="7DE07247" w14:textId="77777777" w:rsidR="00F332DA" w:rsidRPr="00BD76AF" w:rsidRDefault="00F332DA" w:rsidP="00D574E9">
            <w:pPr>
              <w:spacing w:after="200"/>
              <w:rPr>
                <w:rFonts w:eastAsia="游ゴシック"/>
                <w:color w:val="333333"/>
                <w:kern w:val="2"/>
                <w:szCs w:val="24"/>
                <w:shd w:val="clear" w:color="auto" w:fill="FAFBFC"/>
                <w:lang w:eastAsia="ja-JP"/>
              </w:rPr>
            </w:pPr>
            <w:r w:rsidRPr="00BD76AF">
              <w:rPr>
                <w:iCs/>
                <w:szCs w:val="24"/>
                <w:lang w:eastAsia="ja-JP"/>
              </w:rPr>
              <w:t xml:space="preserve">Supprimer entièrement les alinéas à partir des mots </w:t>
            </w:r>
            <w:r w:rsidRPr="00BD76AF">
              <w:rPr>
                <w:rFonts w:hint="eastAsia"/>
                <w:iCs/>
                <w:szCs w:val="24"/>
                <w:lang w:eastAsia="ja-JP"/>
              </w:rPr>
              <w:t>«</w:t>
            </w:r>
            <w:r w:rsidRPr="00BD76AF">
              <w:rPr>
                <w:iCs/>
                <w:szCs w:val="24"/>
                <w:lang w:eastAsia="ja-JP"/>
              </w:rPr>
              <w:t> À titre d’exception, ».</w:t>
            </w:r>
          </w:p>
        </w:tc>
      </w:tr>
      <w:tr w:rsidR="00F332DA" w:rsidRPr="00BD76AF" w14:paraId="71CBA4AD" w14:textId="77777777" w:rsidTr="00EC55DA">
        <w:tc>
          <w:tcPr>
            <w:tcW w:w="2694" w:type="dxa"/>
          </w:tcPr>
          <w:p w14:paraId="0CEE7AEC" w14:textId="77777777" w:rsidR="00F332DA" w:rsidRPr="00BD76AF" w:rsidRDefault="00F332DA" w:rsidP="00EC55DA">
            <w:pPr>
              <w:pStyle w:val="Header1-Clauses"/>
              <w:rPr>
                <w:szCs w:val="24"/>
                <w:lang w:val="fr-FR" w:eastAsia="ja-JP"/>
              </w:rPr>
            </w:pPr>
            <w:r w:rsidRPr="00BD76AF">
              <w:rPr>
                <w:szCs w:val="24"/>
                <w:lang w:val="fr-FR" w:eastAsia="ja-JP"/>
              </w:rPr>
              <w:t>Article 45.1</w:t>
            </w:r>
          </w:p>
          <w:p w14:paraId="33EE5B7E" w14:textId="77777777" w:rsidR="00F332DA" w:rsidRPr="00BD76AF" w:rsidRDefault="00F332DA" w:rsidP="00EC55DA">
            <w:pPr>
              <w:pStyle w:val="Header1-Clauses"/>
              <w:spacing w:after="200"/>
              <w:ind w:left="0" w:firstLine="0"/>
              <w:rPr>
                <w:b w:val="0"/>
                <w:szCs w:val="24"/>
                <w:lang w:val="fr-FR" w:eastAsia="ja-JP"/>
              </w:rPr>
            </w:pPr>
            <w:r w:rsidRPr="00BD76AF">
              <w:rPr>
                <w:bCs/>
                <w:lang w:val="fr-FR" w:eastAsia="ja-JP"/>
              </w:rPr>
              <w:t>Nomination du Comité de Règlement des Différends</w:t>
            </w:r>
          </w:p>
        </w:tc>
        <w:tc>
          <w:tcPr>
            <w:tcW w:w="6270" w:type="dxa"/>
          </w:tcPr>
          <w:p w14:paraId="5A38CD9C" w14:textId="77777777" w:rsidR="00F332DA" w:rsidRPr="00BD76AF" w:rsidRDefault="00F332DA" w:rsidP="00EC55DA">
            <w:pPr>
              <w:pStyle w:val="aff7"/>
              <w:adjustRightInd/>
              <w:spacing w:after="240" w:line="240" w:lineRule="auto"/>
              <w:ind w:leftChars="0" w:left="0"/>
              <w:rPr>
                <w:i/>
                <w:sz w:val="24"/>
                <w:szCs w:val="24"/>
                <w:lang w:val="fr-FR"/>
              </w:rPr>
            </w:pPr>
            <w:r w:rsidRPr="00BD76AF">
              <w:rPr>
                <w:rFonts w:ascii="Times New Roman" w:hAnsi="Times New Roman" w:hint="eastAsia"/>
                <w:sz w:val="24"/>
                <w:szCs w:val="24"/>
                <w:lang w:val="fr-FR"/>
              </w:rPr>
              <w:t>[</w:t>
            </w:r>
            <w:r w:rsidRPr="00BD76AF">
              <w:rPr>
                <w:rFonts w:ascii="Times New Roman" w:hAnsi="Times New Roman"/>
                <w:i/>
                <w:sz w:val="24"/>
                <w:szCs w:val="24"/>
                <w:lang w:val="fr-FR"/>
              </w:rPr>
              <w:t>Indiquer les dispositions suivantes dans la Partie B (DS).</w:t>
            </w:r>
            <w:r w:rsidRPr="00BD76AF">
              <w:rPr>
                <w:rFonts w:ascii="Times New Roman" w:hAnsi="Times New Roman"/>
                <w:sz w:val="24"/>
                <w:szCs w:val="24"/>
                <w:lang w:val="fr-FR"/>
              </w:rPr>
              <w:t>]</w:t>
            </w:r>
          </w:p>
          <w:p w14:paraId="5034B589" w14:textId="77777777" w:rsidR="00F332DA" w:rsidRPr="00BD76AF" w:rsidRDefault="00F332DA" w:rsidP="00EC55DA">
            <w:pPr>
              <w:pStyle w:val="af7"/>
              <w:spacing w:before="60" w:after="200"/>
              <w:rPr>
                <w:iCs/>
                <w:lang w:val="fr-FR" w:eastAsia="ja-JP"/>
              </w:rPr>
            </w:pPr>
            <w:r w:rsidRPr="00BD76AF">
              <w:rPr>
                <w:iCs/>
                <w:lang w:val="fr-FR" w:eastAsia="ja-JP"/>
              </w:rPr>
              <w:t>Supprimer l’Article 45.1 des CG et remplacer par :</w:t>
            </w:r>
          </w:p>
          <w:p w14:paraId="112516C6" w14:textId="77777777" w:rsidR="00F332DA" w:rsidRPr="00BD76AF" w:rsidRDefault="00F332DA" w:rsidP="00EC55DA">
            <w:pPr>
              <w:pStyle w:val="ClauseSubPara1"/>
              <w:spacing w:after="200"/>
              <w:ind w:left="0"/>
              <w:jc w:val="both"/>
              <w:rPr>
                <w:iCs/>
                <w:sz w:val="24"/>
                <w:lang w:val="fr-FR" w:eastAsia="ja-JP"/>
              </w:rPr>
            </w:pPr>
            <w:r w:rsidRPr="00BD76AF">
              <w:rPr>
                <w:rFonts w:hint="eastAsia"/>
                <w:iCs/>
                <w:sz w:val="24"/>
                <w:lang w:val="fr-FR" w:eastAsia="ja-JP"/>
              </w:rPr>
              <w:t>«</w:t>
            </w:r>
            <w:r w:rsidRPr="00BD76AF">
              <w:rPr>
                <w:iCs/>
                <w:sz w:val="24"/>
                <w:lang w:val="fr-FR" w:eastAsia="ja-JP"/>
              </w:rPr>
              <w:t xml:space="preserve"> Les différends seront tranchés par le Comité de Règlement des Différends conformément aux dispositions de l’Article 45.3 (</w:t>
            </w:r>
            <w:r w:rsidRPr="00BD76AF">
              <w:rPr>
                <w:i/>
                <w:iCs/>
                <w:sz w:val="24"/>
                <w:lang w:val="fr-FR" w:eastAsia="ja-JP"/>
              </w:rPr>
              <w:t>Obtention de la décision du Comité de Règlement des Différends</w:t>
            </w:r>
            <w:r w:rsidRPr="00BD76AF">
              <w:rPr>
                <w:iCs/>
                <w:sz w:val="24"/>
                <w:lang w:val="fr-FR" w:eastAsia="ja-JP"/>
              </w:rPr>
              <w:t>)</w:t>
            </w:r>
            <w:r w:rsidRPr="00BD76AF">
              <w:rPr>
                <w:iCs/>
                <w:sz w:val="24"/>
                <w:szCs w:val="24"/>
                <w:lang w:val="fr-FR" w:eastAsia="ja-JP"/>
              </w:rPr>
              <w:t xml:space="preserve"> des CG</w:t>
            </w:r>
            <w:r w:rsidRPr="00BD76AF">
              <w:rPr>
                <w:iCs/>
                <w:sz w:val="24"/>
                <w:lang w:val="fr-FR" w:eastAsia="ja-JP"/>
              </w:rPr>
              <w:t xml:space="preserve">. Les Parties doivent conjointement nommer le Comité de Règlement des Différends dans un délai de vingt-huit (28) jours après qu’une Parties a notifié à l’autre son intention de porter le différend devant le Comité de Règlement des Différends conformément à l’Article 45.3 </w:t>
            </w:r>
            <w:r w:rsidRPr="00BD76AF">
              <w:rPr>
                <w:iCs/>
                <w:lang w:val="fr-FR" w:eastAsia="ja-JP"/>
              </w:rPr>
              <w:t>des CG</w:t>
            </w:r>
            <w:r w:rsidRPr="00BD76AF">
              <w:rPr>
                <w:iCs/>
                <w:sz w:val="24"/>
                <w:lang w:val="fr-FR" w:eastAsia="ja-JP"/>
              </w:rPr>
              <w:t>.</w:t>
            </w:r>
          </w:p>
          <w:p w14:paraId="56E760C7" w14:textId="77777777" w:rsidR="00F332DA" w:rsidRPr="00BD76AF" w:rsidRDefault="00F332DA" w:rsidP="00EC55DA">
            <w:pPr>
              <w:pStyle w:val="ClauseSubPara1"/>
              <w:spacing w:after="200"/>
              <w:ind w:left="0"/>
              <w:jc w:val="both"/>
              <w:rPr>
                <w:iCs/>
                <w:sz w:val="24"/>
                <w:lang w:val="fr-FR" w:eastAsia="ja-JP"/>
              </w:rPr>
            </w:pPr>
            <w:r w:rsidRPr="00BD76AF">
              <w:rPr>
                <w:iCs/>
                <w:sz w:val="24"/>
                <w:lang w:val="fr-FR" w:eastAsia="ja-JP"/>
              </w:rPr>
              <w:t>Le Comité de Règlement des Différends doit comprendre, comme mentionné dans les Données du Marché, une ou trois personnes possédant les qualifications appropriées («</w:t>
            </w:r>
            <w:r w:rsidRPr="00BD76AF">
              <w:rPr>
                <w:iCs/>
                <w:lang w:val="fr-FR" w:eastAsia="ja-JP"/>
              </w:rPr>
              <w:t> </w:t>
            </w:r>
            <w:r w:rsidRPr="00BD76AF">
              <w:rPr>
                <w:iCs/>
                <w:sz w:val="24"/>
                <w:lang w:val="fr-FR" w:eastAsia="ja-JP"/>
              </w:rPr>
              <w:t>les membres</w:t>
            </w:r>
            <w:r w:rsidRPr="00BD76AF">
              <w:rPr>
                <w:iCs/>
                <w:lang w:val="fr-FR" w:eastAsia="ja-JP"/>
              </w:rPr>
              <w:t> </w:t>
            </w:r>
            <w:r w:rsidRPr="00BD76AF">
              <w:rPr>
                <w:iCs/>
                <w:sz w:val="24"/>
                <w:lang w:val="fr-FR" w:eastAsia="ja-JP"/>
              </w:rPr>
              <w:t>»). Si le nombre n’est pas mentionné, et à moins que les Parties n’en conviennent autrement, le Comité de Règlement des Différends comprendra trois personnes.</w:t>
            </w:r>
          </w:p>
          <w:p w14:paraId="05788AA3" w14:textId="77777777" w:rsidR="00F332DA" w:rsidRPr="00BD76AF" w:rsidRDefault="00F332DA" w:rsidP="00EC55DA">
            <w:pPr>
              <w:pStyle w:val="ClauseSubPara1"/>
              <w:spacing w:after="200"/>
              <w:ind w:left="0"/>
              <w:jc w:val="both"/>
              <w:rPr>
                <w:iCs/>
                <w:sz w:val="24"/>
                <w:lang w:val="fr-FR" w:eastAsia="ja-JP"/>
              </w:rPr>
            </w:pPr>
            <w:r w:rsidRPr="00BD76AF">
              <w:rPr>
                <w:iCs/>
                <w:sz w:val="24"/>
                <w:lang w:val="fr-FR" w:eastAsia="ja-JP"/>
              </w:rPr>
              <w:t>Si le Comité de Règlement des Différends doit comprendre trois personnes, chaque Partie doit présenter un membre à l’approbation de l’autre Partie. Les deux Parties doivent consulter ces membres et doivent s’accorder sur le troisième membre, qui endossera le rôle de président.</w:t>
            </w:r>
          </w:p>
          <w:p w14:paraId="7C6B489B" w14:textId="77777777" w:rsidR="00F332DA" w:rsidRPr="00BD76AF" w:rsidRDefault="00F332DA" w:rsidP="00EC55DA">
            <w:pPr>
              <w:pStyle w:val="ClauseSubPara1"/>
              <w:spacing w:after="200"/>
              <w:ind w:left="0"/>
              <w:jc w:val="both"/>
              <w:rPr>
                <w:iCs/>
                <w:sz w:val="24"/>
                <w:lang w:val="fr-FR" w:eastAsia="ja-JP"/>
              </w:rPr>
            </w:pPr>
            <w:r w:rsidRPr="00BD76AF">
              <w:rPr>
                <w:iCs/>
                <w:sz w:val="24"/>
                <w:lang w:val="fr-FR" w:eastAsia="ja-JP"/>
              </w:rPr>
              <w:t>Toutefois, si le Marché comprend une liste de membres potentiels, les membres doivent être choisis au sein de la liste, à l’exception des personnes qui ne peuvent ou ne veulent pas accepter la nomination au Comité de Règlement des Différends.</w:t>
            </w:r>
          </w:p>
          <w:p w14:paraId="3ACD67C2" w14:textId="77777777" w:rsidR="00F332DA" w:rsidRPr="00BD76AF" w:rsidRDefault="00F332DA" w:rsidP="00EC55DA">
            <w:pPr>
              <w:pStyle w:val="ClauseSubPara1"/>
              <w:spacing w:after="200"/>
              <w:ind w:left="0"/>
              <w:jc w:val="both"/>
              <w:rPr>
                <w:iCs/>
                <w:sz w:val="24"/>
                <w:lang w:val="fr-FR" w:eastAsia="ja-JP"/>
              </w:rPr>
            </w:pPr>
            <w:r w:rsidRPr="00BD76AF">
              <w:rPr>
                <w:iCs/>
                <w:sz w:val="24"/>
                <w:lang w:val="fr-FR" w:eastAsia="ja-JP"/>
              </w:rPr>
              <w:t>L’accord entre d’une part les Parties et, d’autre part, l’unique membre (« le conciliateur ») ou, le cas échéant, chacun des trois membres, doit intégrer les Conditions Générales de la Convention de Comité de Règlement des Différends, figurant en Appendice de ces Conditions Générales, avec toutes modifications qui auront été convenues entre eux.</w:t>
            </w:r>
          </w:p>
          <w:p w14:paraId="75124448" w14:textId="77777777" w:rsidR="00F332DA" w:rsidRPr="00BD76AF" w:rsidRDefault="00F332DA" w:rsidP="00EC55DA">
            <w:pPr>
              <w:pStyle w:val="ClauseSubPara1"/>
              <w:spacing w:after="200"/>
              <w:ind w:left="0"/>
              <w:jc w:val="both"/>
              <w:rPr>
                <w:iCs/>
                <w:sz w:val="24"/>
                <w:lang w:val="fr-FR" w:eastAsia="ja-JP"/>
              </w:rPr>
            </w:pPr>
            <w:r w:rsidRPr="00BD76AF">
              <w:rPr>
                <w:iCs/>
                <w:sz w:val="24"/>
                <w:lang w:val="fr-FR" w:eastAsia="ja-JP"/>
              </w:rPr>
              <w:t>Les conditions de la rémunération du membre unique ou, le cas échéant, de chacun des trois membres doivent être mutuellement convenues entre les Parties au moment où elles conviennent des conditions de nomination. Chaque Partie est responsable du paiement de la moitié de cette rémunération.</w:t>
            </w:r>
          </w:p>
          <w:p w14:paraId="58D270F2" w14:textId="77777777" w:rsidR="00F332DA" w:rsidRPr="00BD76AF" w:rsidRDefault="00F332DA" w:rsidP="00EC55DA">
            <w:pPr>
              <w:widowControl w:val="0"/>
              <w:suppressAutoHyphens w:val="0"/>
              <w:overflowPunct/>
              <w:autoSpaceDE/>
              <w:autoSpaceDN/>
              <w:adjustRightInd/>
              <w:spacing w:after="200"/>
              <w:textAlignment w:val="auto"/>
              <w:rPr>
                <w:rFonts w:eastAsia="游ゴシック"/>
                <w:color w:val="333333"/>
                <w:kern w:val="2"/>
                <w:szCs w:val="24"/>
                <w:shd w:val="clear" w:color="auto" w:fill="FAFBFC"/>
                <w:lang w:eastAsia="ja-JP"/>
              </w:rPr>
            </w:pPr>
            <w:r w:rsidRPr="00BD76AF">
              <w:rPr>
                <w:rFonts w:eastAsia="ＭＳ Ｐゴシック"/>
                <w:iCs/>
                <w:lang w:eastAsia="ja-JP"/>
              </w:rPr>
              <w:t xml:space="preserve">À </w:t>
            </w:r>
            <w:r w:rsidRPr="00BD76AF">
              <w:rPr>
                <w:iCs/>
                <w:lang w:eastAsia="ja-JP"/>
              </w:rPr>
              <w:t xml:space="preserve">tout moment, si les Parties en conviennent, elles peuvent nommer une ou des personnes convenablement qualifiées pour remplacer un ou plusieurs membres du Comité de Règlement des Différends. </w:t>
            </w:r>
            <w:r w:rsidRPr="00BD76AF">
              <w:rPr>
                <w:rFonts w:eastAsia="ＭＳ Ｐゴシック"/>
                <w:iCs/>
                <w:lang w:eastAsia="ja-JP"/>
              </w:rPr>
              <w:t>À</w:t>
            </w:r>
            <w:r w:rsidRPr="00BD76AF">
              <w:rPr>
                <w:iCs/>
                <w:lang w:eastAsia="ja-JP"/>
              </w:rPr>
              <w:t xml:space="preserve"> moins que les Parties n’en conviennent autrement, la nomination prendra effet si un membre refuse d’agir ou est incapable d’agir suite à un décès, à une incapacité, à une démission ou à la résiliation de sa nomination. Le remplaçant doit être nommé de la même façon que la personne remplacée avait été nommée et acceptée, conformément aux dispositions du présent Article.</w:t>
            </w:r>
          </w:p>
          <w:p w14:paraId="1C43D83F" w14:textId="77777777" w:rsidR="00F332DA" w:rsidRPr="00BD76AF" w:rsidRDefault="00F332DA" w:rsidP="000820D9">
            <w:pPr>
              <w:pStyle w:val="ClauseSubPara1"/>
              <w:spacing w:after="200"/>
              <w:ind w:left="0"/>
              <w:jc w:val="both"/>
              <w:rPr>
                <w:rFonts w:eastAsia="游明朝"/>
                <w:sz w:val="24"/>
                <w:szCs w:val="24"/>
                <w:lang w:val="fr-FR" w:eastAsia="ja-JP"/>
              </w:rPr>
            </w:pPr>
            <w:r w:rsidRPr="00BD76AF">
              <w:rPr>
                <w:iCs/>
                <w:sz w:val="24"/>
                <w:lang w:val="fr-FR" w:eastAsia="ja-JP"/>
              </w:rPr>
              <w:t>Le mandat d’un membre peut être résilié par un accord mutuel des deux Parties, mais non par le Maître d’ouvrage ou l’Entrepreneur agissant seul. A moins que les deux Parties n’en conviennent autrement, le mandat du Comité de Règlement des Différends (et de chacun de ses membres) prendra fin lorsque le Comité de Règlement des Différends aura donné sa décision concernant le différend qui a été porté devant lui conformément à l’Article 45.3 (</w:t>
            </w:r>
            <w:r w:rsidRPr="00BD76AF">
              <w:rPr>
                <w:i/>
                <w:iCs/>
                <w:sz w:val="24"/>
                <w:lang w:val="fr-FR" w:eastAsia="ja-JP"/>
              </w:rPr>
              <w:t>Obtention de la décision du Comité de Règlement des Différends</w:t>
            </w:r>
            <w:r w:rsidRPr="00BD76AF">
              <w:rPr>
                <w:iCs/>
                <w:sz w:val="24"/>
                <w:lang w:val="fr-FR" w:eastAsia="ja-JP"/>
              </w:rPr>
              <w:t>) des CG, à moins que d’autres différends n’aient été soumis au Comité de Règlement des Différends d’ici là selon l’Article 45.3 des CG, auquel cas la date pertinente sera celle où le Comité de Règlement des Différends aura également donné ses décisions concernant ces différends.</w:t>
            </w:r>
            <w:r w:rsidRPr="00BD76AF">
              <w:rPr>
                <w:sz w:val="24"/>
                <w:szCs w:val="24"/>
                <w:lang w:val="fr-FR"/>
              </w:rPr>
              <w:t> </w:t>
            </w:r>
            <w:r w:rsidRPr="00BD76AF">
              <w:rPr>
                <w:iCs/>
                <w:sz w:val="24"/>
                <w:lang w:val="fr-FR" w:eastAsia="ja-JP"/>
              </w:rPr>
              <w:t>»</w:t>
            </w:r>
          </w:p>
        </w:tc>
      </w:tr>
      <w:tr w:rsidR="00F332DA" w:rsidRPr="00BD76AF" w14:paraId="6CDCF214" w14:textId="77777777" w:rsidTr="00EC55DA">
        <w:tc>
          <w:tcPr>
            <w:tcW w:w="2694" w:type="dxa"/>
          </w:tcPr>
          <w:p w14:paraId="2C797F1A" w14:textId="77777777" w:rsidR="00F332DA" w:rsidRPr="00BD76AF" w:rsidRDefault="00F332DA" w:rsidP="00EC55DA">
            <w:pPr>
              <w:spacing w:before="60" w:line="240" w:lineRule="atLeast"/>
              <w:jc w:val="left"/>
              <w:rPr>
                <w:b/>
                <w:bCs/>
                <w:lang w:eastAsia="ja-JP"/>
              </w:rPr>
            </w:pPr>
            <w:r w:rsidRPr="00BD76AF">
              <w:rPr>
                <w:b/>
                <w:szCs w:val="24"/>
              </w:rPr>
              <w:t>Article</w:t>
            </w:r>
            <w:r w:rsidRPr="00BD76AF">
              <w:rPr>
                <w:b/>
                <w:bCs/>
                <w:lang w:eastAsia="ja-JP"/>
              </w:rPr>
              <w:t xml:space="preserve"> 45.3</w:t>
            </w:r>
          </w:p>
          <w:p w14:paraId="4C0DE4D5" w14:textId="77777777" w:rsidR="00F332DA" w:rsidRPr="00BD76AF" w:rsidRDefault="00F332DA" w:rsidP="00EC55DA">
            <w:pPr>
              <w:spacing w:before="60" w:line="240" w:lineRule="atLeast"/>
              <w:jc w:val="left"/>
              <w:rPr>
                <w:szCs w:val="24"/>
                <w:lang w:eastAsia="ja-JP"/>
              </w:rPr>
            </w:pPr>
            <w:r w:rsidRPr="00BD76AF">
              <w:rPr>
                <w:b/>
                <w:bCs/>
                <w:lang w:eastAsia="ja-JP"/>
              </w:rPr>
              <w:t>Obtention de la décision du Comité de Règlement des Différends</w:t>
            </w:r>
          </w:p>
        </w:tc>
        <w:tc>
          <w:tcPr>
            <w:tcW w:w="6270" w:type="dxa"/>
          </w:tcPr>
          <w:p w14:paraId="4C1097CB" w14:textId="77777777" w:rsidR="00F332DA" w:rsidRPr="00BD76AF" w:rsidRDefault="00F332DA" w:rsidP="00EC55DA">
            <w:pPr>
              <w:pStyle w:val="aff7"/>
              <w:adjustRightInd/>
              <w:spacing w:after="240" w:line="240" w:lineRule="auto"/>
              <w:ind w:leftChars="0" w:left="0"/>
              <w:rPr>
                <w:rFonts w:ascii="Times New Roman" w:hAnsi="Times New Roman"/>
                <w:i/>
                <w:sz w:val="24"/>
                <w:szCs w:val="24"/>
                <w:lang w:val="fr-FR"/>
              </w:rPr>
            </w:pPr>
            <w:r w:rsidRPr="00BD76AF">
              <w:rPr>
                <w:rFonts w:ascii="Times New Roman" w:hAnsi="Times New Roman"/>
                <w:sz w:val="24"/>
                <w:szCs w:val="24"/>
                <w:lang w:val="fr-FR"/>
              </w:rPr>
              <w:t>[</w:t>
            </w:r>
            <w:r w:rsidRPr="00BD76AF">
              <w:rPr>
                <w:rFonts w:ascii="Times New Roman" w:hAnsi="Times New Roman"/>
                <w:i/>
                <w:sz w:val="24"/>
                <w:szCs w:val="24"/>
                <w:lang w:val="fr-FR"/>
              </w:rPr>
              <w:t>Insérer les dispositions suivantes dans la Partie B (DS).</w:t>
            </w:r>
            <w:r w:rsidRPr="00BD76AF">
              <w:rPr>
                <w:rFonts w:ascii="Times New Roman" w:hAnsi="Times New Roman"/>
                <w:sz w:val="24"/>
                <w:szCs w:val="24"/>
                <w:lang w:val="fr-FR"/>
              </w:rPr>
              <w:t>]</w:t>
            </w:r>
          </w:p>
          <w:p w14:paraId="339C2D79"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sz w:val="24"/>
                <w:szCs w:val="24"/>
                <w:lang w:val="fr-FR"/>
              </w:rPr>
              <w:t>Supprimer entièrement l’Article 45.3 des CG et remplacer par :</w:t>
            </w:r>
          </w:p>
          <w:p w14:paraId="098955EC"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hint="eastAsia"/>
                <w:sz w:val="24"/>
                <w:szCs w:val="24"/>
                <w:lang w:val="fr-FR"/>
              </w:rPr>
              <w:t>«</w:t>
            </w:r>
            <w:r w:rsidRPr="00BD76AF">
              <w:rPr>
                <w:rFonts w:ascii="Times New Roman" w:hAnsi="Times New Roman"/>
                <w:sz w:val="24"/>
                <w:szCs w:val="24"/>
                <w:lang w:val="fr-FR"/>
              </w:rPr>
              <w:t xml:space="preserve"> Si un différend (de quelque type que ce soit) naît entre les Parties en lien avec ou découlant du Marché ou de l’exécution des travaux sur les Installations, y compris tout différend concernant les certificats, les déterminations, les instructions, les opinions ou les valorisations du </w:t>
            </w:r>
            <w:r w:rsidRPr="00BD76AF">
              <w:rPr>
                <w:rFonts w:ascii="Times New Roman" w:hAnsi="Times New Roman"/>
                <w:iCs/>
                <w:sz w:val="24"/>
                <w:szCs w:val="24"/>
                <w:lang w:val="fr-FR"/>
              </w:rPr>
              <w:t>Directeur de projet</w:t>
            </w:r>
            <w:r w:rsidRPr="00BD76AF">
              <w:rPr>
                <w:rFonts w:ascii="Times New Roman" w:hAnsi="Times New Roman"/>
                <w:sz w:val="24"/>
                <w:szCs w:val="24"/>
                <w:lang w:val="fr-FR"/>
              </w:rPr>
              <w:t>, alors, après la nomination du Comité de Règlement des Différends selon les Articles 45.1 (</w:t>
            </w:r>
            <w:r w:rsidRPr="00BD76AF">
              <w:rPr>
                <w:rFonts w:ascii="Times New Roman" w:hAnsi="Times New Roman"/>
                <w:i/>
                <w:sz w:val="24"/>
                <w:szCs w:val="24"/>
                <w:lang w:val="fr-FR"/>
              </w:rPr>
              <w:t>Nomination du Comité de Règlement des Différends</w:t>
            </w:r>
            <w:r w:rsidRPr="00BD76AF">
              <w:rPr>
                <w:rFonts w:ascii="Times New Roman" w:hAnsi="Times New Roman"/>
                <w:sz w:val="24"/>
                <w:szCs w:val="24"/>
                <w:lang w:val="fr-FR"/>
              </w:rPr>
              <w:t>) et 45.2 (</w:t>
            </w:r>
            <w:r w:rsidRPr="00BD76AF">
              <w:rPr>
                <w:rFonts w:ascii="Times New Roman" w:hAnsi="Times New Roman"/>
                <w:i/>
                <w:sz w:val="24"/>
                <w:szCs w:val="24"/>
                <w:lang w:val="fr-FR"/>
              </w:rPr>
              <w:t>Absence d’accord sur la Composition du Comité de Règlement des Différends</w:t>
            </w:r>
            <w:r w:rsidRPr="00BD76AF">
              <w:rPr>
                <w:rFonts w:ascii="Times New Roman" w:hAnsi="Times New Roman"/>
                <w:sz w:val="24"/>
                <w:szCs w:val="24"/>
                <w:lang w:val="fr-FR"/>
              </w:rPr>
              <w:t xml:space="preserve">) des CG, chacune des Parties peut saisir le Comité de Règlement des Différends, par écrit avec copies à l’autre Partie et au </w:t>
            </w:r>
            <w:r w:rsidRPr="00BD76AF">
              <w:rPr>
                <w:rFonts w:ascii="Times New Roman" w:hAnsi="Times New Roman"/>
                <w:iCs/>
                <w:sz w:val="24"/>
                <w:szCs w:val="24"/>
                <w:lang w:val="fr-FR"/>
              </w:rPr>
              <w:t>Directeur de projet</w:t>
            </w:r>
            <w:r w:rsidRPr="00BD76AF">
              <w:rPr>
                <w:rFonts w:ascii="Times New Roman" w:hAnsi="Times New Roman"/>
                <w:sz w:val="24"/>
                <w:szCs w:val="24"/>
                <w:lang w:val="fr-FR"/>
              </w:rPr>
              <w:t>, afin qu’il rende une décision. Cette saisine doit mentionner qu’elle est effectuée conformément au présent Article.</w:t>
            </w:r>
          </w:p>
          <w:p w14:paraId="74B205D7"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sz w:val="24"/>
                <w:szCs w:val="24"/>
                <w:lang w:val="fr-FR"/>
              </w:rPr>
              <w:t>Lorsque le Comité de Règlement des Différends est constitué de trois personnes, le Comité de Règlement des Différends est réputé avoir reçu la saisine à la date à laquelle le président du Comité de Règlement des Différends l’a reçue.</w:t>
            </w:r>
          </w:p>
          <w:p w14:paraId="6C96F167"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sz w:val="24"/>
                <w:szCs w:val="24"/>
                <w:lang w:val="fr-FR"/>
              </w:rPr>
              <w:t>Les deux Parties doivent sans délai mettre à la disposition du Comité de Règlement des Différends toute information, permettre l’accès au Site, et mettre à disposition toutes installations appropriées que le Comité de Règlement des Différends peut exiger dans le but de prendre une décision concernant le différend en question. Le Comité de Règlement des Différends est réputé ne pas agir en qualité d’arbitre(s).</w:t>
            </w:r>
          </w:p>
          <w:p w14:paraId="75B7F6A0"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sz w:val="24"/>
                <w:szCs w:val="24"/>
                <w:lang w:val="fr-FR"/>
              </w:rPr>
              <w:t>Dans un délai de quatre-vingt-quatre (84) jours après avoir reçu la saisine ou le paiement de l’avance mentionnée à l’Article 6 de l’A</w:t>
            </w:r>
            <w:r w:rsidRPr="00BD76AF">
              <w:rPr>
                <w:rFonts w:ascii="Times New Roman" w:hAnsi="Times New Roman" w:hint="eastAsia"/>
                <w:sz w:val="24"/>
                <w:szCs w:val="24"/>
                <w:lang w:val="fr-FR"/>
              </w:rPr>
              <w:t>p</w:t>
            </w:r>
            <w:r w:rsidRPr="00BD76AF">
              <w:rPr>
                <w:rFonts w:ascii="Times New Roman" w:hAnsi="Times New Roman"/>
                <w:sz w:val="24"/>
                <w:szCs w:val="24"/>
                <w:lang w:val="fr-FR"/>
              </w:rPr>
              <w:t>pendice - Conditions générales de la Convention de Comité de Règlement des Différends, la date la plus tardive étant retenue, ou dans tout autre délai qui aura été proposé par le Comité de Règlement des Différends et approuvé par les deux Parties, le Comité de Règlement des Différends doit rendre une décision, qui doit être motivée et mentionner qu’elle a été rendue conformément au présent Article. Toutefois, si aucune des Parties n’a payé entièrement les factures présentées par chaque membre conformément à l’Article 6 de l’A</w:t>
            </w:r>
            <w:r w:rsidRPr="00BD76AF">
              <w:rPr>
                <w:rFonts w:ascii="Times New Roman" w:hAnsi="Times New Roman" w:hint="eastAsia"/>
                <w:sz w:val="24"/>
                <w:szCs w:val="24"/>
                <w:lang w:val="fr-FR"/>
              </w:rPr>
              <w:t>p</w:t>
            </w:r>
            <w:r w:rsidRPr="00BD76AF">
              <w:rPr>
                <w:rFonts w:ascii="Times New Roman" w:hAnsi="Times New Roman"/>
                <w:sz w:val="24"/>
                <w:szCs w:val="24"/>
                <w:lang w:val="fr-FR"/>
              </w:rPr>
              <w:t>pendice, le Comité de Règlement des Différends ne sera pas tenu de rendre sa décision avant le paiement de la totalité de ces factures. La décision a force obligatoire pour les deux Parties, qui doivent immédiatement l’appliquer, à moins que et jusqu’à ce qu’elle ait été révisée par un accord amiable ou par une décision arbitrale, comme décrit ci-dessous. A moins que le Marché n’ait déjà été interrompu, dénoncé ou résilié, l’Entrepreneur doit poursuivre la mise en œuvre des travaux conformément au Marché.</w:t>
            </w:r>
          </w:p>
          <w:p w14:paraId="2D7D3BDB"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sz w:val="24"/>
                <w:szCs w:val="24"/>
                <w:lang w:val="fr-FR"/>
              </w:rPr>
              <w:t>Si l´une des Parties est en désaccord avec la décision du Comité de Règlement des Différends, elle peut alors, dans un délai de vingt-huit (28) jours après réception de la décision, notifier à l’autre Partie son désaccord. Si le Comité de Règlement des Différends ne rend pas sa décision dans ce délai de quatre-vingt-quatre (84) jours (ou dans tout délai autrement convenu) après la réception de la saisine ou du paiement, alors l’une des Parties peut, dans un délai de vingt-huit (28) jours après expiration de ce délai, notifier à l’autre Partie son désaccord.</w:t>
            </w:r>
          </w:p>
          <w:p w14:paraId="386E1168"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sz w:val="24"/>
                <w:szCs w:val="24"/>
                <w:lang w:val="fr-FR"/>
              </w:rPr>
              <w:t>Dans chaque cas, cette notification de désaccord doit indiquer qu’elle a été rendue en référence au présent Article, et doit préciser le sujet du différend et la(les) raison(s) du désaccord. A l’exception des situations visées aux Articles 45.6 (</w:t>
            </w:r>
            <w:r w:rsidRPr="00BD76AF">
              <w:rPr>
                <w:rFonts w:ascii="Times New Roman" w:hAnsi="Times New Roman"/>
                <w:i/>
                <w:sz w:val="24"/>
                <w:szCs w:val="24"/>
                <w:lang w:val="fr-FR"/>
              </w:rPr>
              <w:t>Non-respect de la décision du Comité de Règlement des Différends</w:t>
            </w:r>
            <w:r w:rsidRPr="00BD76AF">
              <w:rPr>
                <w:rFonts w:ascii="Times New Roman" w:hAnsi="Times New Roman"/>
                <w:sz w:val="24"/>
                <w:szCs w:val="24"/>
                <w:lang w:val="fr-FR"/>
              </w:rPr>
              <w:t>) et 45.7 (</w:t>
            </w:r>
            <w:r w:rsidRPr="00BD76AF">
              <w:rPr>
                <w:rFonts w:ascii="Times New Roman" w:hAnsi="Times New Roman"/>
                <w:i/>
                <w:sz w:val="24"/>
                <w:szCs w:val="24"/>
                <w:lang w:val="fr-FR"/>
              </w:rPr>
              <w:t>Pas de Comité de Règlement des Différends en place</w:t>
            </w:r>
            <w:r w:rsidRPr="00BD76AF">
              <w:rPr>
                <w:rFonts w:ascii="Times New Roman" w:hAnsi="Times New Roman"/>
                <w:sz w:val="24"/>
                <w:szCs w:val="24"/>
                <w:lang w:val="fr-FR"/>
              </w:rPr>
              <w:t xml:space="preserve">) des CG, aucune Partie n’aura le droit d’entamer une procédure d’arbitrage du différend à moins qu’une notification de désaccord n’ait été </w:t>
            </w:r>
            <w:r w:rsidRPr="00BD76AF">
              <w:rPr>
                <w:rFonts w:ascii="Times New Roman" w:hAnsi="Times New Roman" w:hint="eastAsia"/>
                <w:sz w:val="24"/>
                <w:szCs w:val="24"/>
                <w:lang w:val="fr-FR"/>
              </w:rPr>
              <w:t>r</w:t>
            </w:r>
            <w:r w:rsidRPr="00BD76AF">
              <w:rPr>
                <w:rFonts w:ascii="Times New Roman" w:hAnsi="Times New Roman"/>
                <w:sz w:val="24"/>
                <w:szCs w:val="24"/>
                <w:lang w:val="fr-FR"/>
              </w:rPr>
              <w:t>emise conformément au présent Article.</w:t>
            </w:r>
          </w:p>
          <w:p w14:paraId="719E9C3E"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sz w:val="24"/>
                <w:szCs w:val="24"/>
                <w:lang w:val="fr-FR"/>
              </w:rPr>
              <w:t xml:space="preserve">Si le Comité de Règlement des Différends a rendu sa décision quant à un sujet de différend entre les Parties, et qu’aucune notification de désaccord n’a été </w:t>
            </w:r>
            <w:r w:rsidRPr="00BD76AF">
              <w:rPr>
                <w:rFonts w:ascii="Times New Roman" w:hAnsi="Times New Roman" w:hint="eastAsia"/>
                <w:sz w:val="24"/>
                <w:szCs w:val="24"/>
                <w:lang w:val="fr-FR"/>
              </w:rPr>
              <w:t>r</w:t>
            </w:r>
            <w:r w:rsidRPr="00BD76AF">
              <w:rPr>
                <w:rFonts w:ascii="Times New Roman" w:hAnsi="Times New Roman"/>
                <w:sz w:val="24"/>
                <w:szCs w:val="24"/>
                <w:lang w:val="fr-FR"/>
              </w:rPr>
              <w:t>emise par les Parties dans un délai de vingt-huit (28) jours après la réception de la décision du Comité de Règlement des Différends, la décision deviendra alors définitive et aura force obligatoire pour les deux Parties. »</w:t>
            </w:r>
          </w:p>
        </w:tc>
      </w:tr>
      <w:tr w:rsidR="00F332DA" w:rsidRPr="00BD76AF" w14:paraId="4C5B3A7F" w14:textId="77777777" w:rsidTr="00EC55DA">
        <w:tc>
          <w:tcPr>
            <w:tcW w:w="8964" w:type="dxa"/>
            <w:gridSpan w:val="2"/>
          </w:tcPr>
          <w:p w14:paraId="733FD755" w14:textId="77777777" w:rsidR="00F332DA" w:rsidRPr="00BD76AF" w:rsidRDefault="00F332DA" w:rsidP="00EC55DA">
            <w:pPr>
              <w:spacing w:before="60" w:line="240" w:lineRule="atLeast"/>
              <w:jc w:val="left"/>
              <w:rPr>
                <w:b/>
                <w:sz w:val="22"/>
                <w:szCs w:val="22"/>
                <w:lang w:eastAsia="ja-JP"/>
              </w:rPr>
            </w:pPr>
            <w:r w:rsidRPr="00BD76AF">
              <w:rPr>
                <w:b/>
                <w:bCs/>
                <w:lang w:eastAsia="ja-JP"/>
              </w:rPr>
              <w:t>A</w:t>
            </w:r>
            <w:r w:rsidRPr="00BD76AF">
              <w:rPr>
                <w:b/>
                <w:sz w:val="22"/>
                <w:szCs w:val="22"/>
                <w:lang w:eastAsia="ja-JP"/>
              </w:rPr>
              <w:t>ppendice</w:t>
            </w:r>
          </w:p>
          <w:p w14:paraId="7334D1A2"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b/>
                <w:sz w:val="22"/>
                <w:szCs w:val="22"/>
                <w:lang w:val="fr-FR"/>
              </w:rPr>
              <w:t>Conditions générales de la Convention de Comité de Règlement des Différends</w:t>
            </w:r>
          </w:p>
        </w:tc>
      </w:tr>
      <w:tr w:rsidR="00F332DA" w:rsidRPr="00BD76AF" w14:paraId="2C7530C4" w14:textId="77777777" w:rsidTr="00EC55DA">
        <w:tc>
          <w:tcPr>
            <w:tcW w:w="2694" w:type="dxa"/>
          </w:tcPr>
          <w:p w14:paraId="62E003B5" w14:textId="77777777" w:rsidR="00F332DA" w:rsidRPr="00BD76AF" w:rsidRDefault="00F332DA" w:rsidP="00EC55DA">
            <w:pPr>
              <w:pStyle w:val="aff7"/>
              <w:adjustRightInd/>
              <w:spacing w:after="240" w:line="240" w:lineRule="auto"/>
              <w:ind w:leftChars="0" w:left="0"/>
              <w:jc w:val="left"/>
              <w:rPr>
                <w:rFonts w:ascii="Times New Roman" w:hAnsi="Times New Roman"/>
                <w:b/>
                <w:sz w:val="22"/>
                <w:szCs w:val="22"/>
              </w:rPr>
            </w:pPr>
            <w:r w:rsidRPr="00BD76AF">
              <w:rPr>
                <w:rFonts w:ascii="Times New Roman" w:hAnsi="Times New Roman"/>
                <w:b/>
                <w:sz w:val="22"/>
                <w:szCs w:val="22"/>
              </w:rPr>
              <w:t xml:space="preserve">Article 2 </w:t>
            </w:r>
          </w:p>
          <w:p w14:paraId="46FB3455" w14:textId="77777777" w:rsidR="00F332DA" w:rsidRPr="00BD76AF" w:rsidRDefault="00F332DA" w:rsidP="00EC55DA">
            <w:pPr>
              <w:spacing w:before="60" w:line="240" w:lineRule="atLeast"/>
              <w:jc w:val="left"/>
              <w:rPr>
                <w:b/>
                <w:bCs/>
                <w:lang w:eastAsia="ja-JP"/>
              </w:rPr>
            </w:pPr>
            <w:r w:rsidRPr="00BD76AF">
              <w:rPr>
                <w:b/>
                <w:sz w:val="22"/>
                <w:szCs w:val="22"/>
              </w:rPr>
              <w:t>Dispositions générales</w:t>
            </w:r>
          </w:p>
        </w:tc>
        <w:tc>
          <w:tcPr>
            <w:tcW w:w="6270" w:type="dxa"/>
          </w:tcPr>
          <w:p w14:paraId="2E138B34" w14:textId="77777777" w:rsidR="00F332DA" w:rsidRPr="00BD76AF" w:rsidRDefault="00F332DA" w:rsidP="00EC55DA">
            <w:pPr>
              <w:pStyle w:val="aff7"/>
              <w:adjustRightInd/>
              <w:spacing w:after="240" w:line="240" w:lineRule="auto"/>
              <w:ind w:leftChars="0" w:left="0"/>
              <w:rPr>
                <w:rFonts w:ascii="Times New Roman" w:hAnsi="Times New Roman"/>
                <w:i/>
                <w:sz w:val="24"/>
                <w:szCs w:val="24"/>
                <w:lang w:val="fr-FR"/>
              </w:rPr>
            </w:pPr>
            <w:r w:rsidRPr="00BD76AF">
              <w:rPr>
                <w:rFonts w:ascii="Times New Roman" w:hAnsi="Times New Roman"/>
                <w:sz w:val="24"/>
                <w:szCs w:val="24"/>
                <w:lang w:val="fr-FR"/>
              </w:rPr>
              <w:t>[</w:t>
            </w:r>
            <w:r w:rsidRPr="00BD76AF">
              <w:rPr>
                <w:rFonts w:ascii="Times New Roman" w:hAnsi="Times New Roman"/>
                <w:i/>
                <w:sz w:val="24"/>
                <w:szCs w:val="24"/>
                <w:lang w:val="fr-FR"/>
              </w:rPr>
              <w:t>Insérer les dispositions suivantes dans la Partie B (DS).</w:t>
            </w:r>
            <w:r w:rsidRPr="00BD76AF">
              <w:rPr>
                <w:rFonts w:ascii="Times New Roman" w:hAnsi="Times New Roman"/>
                <w:sz w:val="24"/>
                <w:szCs w:val="24"/>
                <w:lang w:val="fr-FR"/>
              </w:rPr>
              <w:t>]</w:t>
            </w:r>
          </w:p>
          <w:p w14:paraId="3ED01A10"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sz w:val="24"/>
                <w:szCs w:val="24"/>
                <w:lang w:val="fr-FR"/>
              </w:rPr>
              <w:t xml:space="preserve">Supprimer l’Article dans son intégralité et remplacer par </w:t>
            </w:r>
            <w:r w:rsidRPr="00BD76AF">
              <w:rPr>
                <w:rFonts w:ascii="Times New Roman" w:hAnsi="Times New Roman" w:hint="eastAsia"/>
                <w:sz w:val="24"/>
                <w:szCs w:val="24"/>
                <w:lang w:val="fr-FR"/>
              </w:rPr>
              <w:t>:</w:t>
            </w:r>
          </w:p>
          <w:p w14:paraId="5084BF4A"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hint="eastAsia"/>
                <w:sz w:val="24"/>
                <w:szCs w:val="24"/>
                <w:lang w:val="fr-FR"/>
              </w:rPr>
              <w:t>«</w:t>
            </w:r>
            <w:r w:rsidRPr="00BD76AF">
              <w:rPr>
                <w:rFonts w:ascii="Times New Roman" w:hAnsi="Times New Roman"/>
                <w:sz w:val="24"/>
                <w:szCs w:val="24"/>
                <w:lang w:val="fr-FR"/>
              </w:rPr>
              <w:t> La Convention prendra effet lorsque le Maître d’ouvrage, l’Entrepreneur et chacun des Membres (ou le Membre) ont respectivement signé une convention de comité de règlement des différends.</w:t>
            </w:r>
          </w:p>
          <w:p w14:paraId="0FAB4DCE" w14:textId="77777777" w:rsidR="00F332DA" w:rsidRPr="00BD76AF" w:rsidRDefault="00F332DA" w:rsidP="00EC55DA">
            <w:pPr>
              <w:spacing w:after="240"/>
              <w:rPr>
                <w:szCs w:val="24"/>
              </w:rPr>
            </w:pPr>
            <w:r w:rsidRPr="00BD76AF">
              <w:rPr>
                <w:szCs w:val="24"/>
              </w:rPr>
              <w:t>Dès que la Convention aura pris effet, le Maître d’ouvrage et l’Entrepreneur en aviseront tous deux le Membre. Si le Membre ne reçoit aucun avis dans un délai de six mois après la conclusion de la Convention, elle sera nulle et sans effet.</w:t>
            </w:r>
          </w:p>
          <w:p w14:paraId="39D49C19" w14:textId="77777777" w:rsidR="00F332DA" w:rsidRPr="00BD76AF" w:rsidRDefault="00F332DA" w:rsidP="00EC55DA">
            <w:pPr>
              <w:pStyle w:val="aff7"/>
              <w:adjustRightInd/>
              <w:spacing w:after="240" w:line="240" w:lineRule="auto"/>
              <w:ind w:leftChars="0" w:left="0"/>
              <w:rPr>
                <w:szCs w:val="24"/>
                <w:lang w:val="fr-FR"/>
              </w:rPr>
            </w:pPr>
            <w:r w:rsidRPr="00BD76AF">
              <w:rPr>
                <w:rFonts w:ascii="Times New Roman" w:hAnsi="Times New Roman"/>
                <w:sz w:val="24"/>
                <w:szCs w:val="24"/>
                <w:lang w:val="fr-FR"/>
              </w:rPr>
              <w:t>L’emploi du Membre est une nomination personnelle. Aucune cession ou sous-traitance de la Convention n’est permise sans l’autorisation écrite préalable de toutes les parties à cette Convention et des Autres Membres (le cas échéant). »</w:t>
            </w:r>
          </w:p>
        </w:tc>
      </w:tr>
      <w:tr w:rsidR="00F332DA" w:rsidRPr="00BD76AF" w14:paraId="5580A587" w14:textId="77777777" w:rsidTr="00EC55DA">
        <w:tc>
          <w:tcPr>
            <w:tcW w:w="2694" w:type="dxa"/>
          </w:tcPr>
          <w:p w14:paraId="26DCA632" w14:textId="77777777" w:rsidR="00F332DA" w:rsidRPr="00BD76AF" w:rsidRDefault="00F332DA" w:rsidP="00EC55DA">
            <w:pPr>
              <w:pStyle w:val="aff7"/>
              <w:adjustRightInd/>
              <w:spacing w:after="240" w:line="240" w:lineRule="auto"/>
              <w:ind w:leftChars="0" w:left="0"/>
              <w:jc w:val="left"/>
              <w:rPr>
                <w:rFonts w:ascii="Times New Roman" w:hAnsi="Times New Roman"/>
                <w:b/>
                <w:sz w:val="22"/>
                <w:szCs w:val="22"/>
                <w:lang w:val="fr-FR"/>
              </w:rPr>
            </w:pPr>
            <w:r w:rsidRPr="00BD76AF">
              <w:rPr>
                <w:rFonts w:ascii="Times New Roman" w:hAnsi="Times New Roman"/>
                <w:b/>
                <w:sz w:val="22"/>
                <w:szCs w:val="22"/>
                <w:lang w:val="fr-FR"/>
              </w:rPr>
              <w:t xml:space="preserve">Article 4 </w:t>
            </w:r>
          </w:p>
          <w:p w14:paraId="79E0A194" w14:textId="77777777" w:rsidR="00F332DA" w:rsidRPr="00BD76AF" w:rsidRDefault="00F332DA" w:rsidP="00EC55DA">
            <w:pPr>
              <w:pStyle w:val="aff7"/>
              <w:adjustRightInd/>
              <w:spacing w:after="240" w:line="240" w:lineRule="auto"/>
              <w:ind w:leftChars="0" w:left="0"/>
              <w:jc w:val="left"/>
              <w:rPr>
                <w:rFonts w:ascii="Times New Roman" w:hAnsi="Times New Roman"/>
                <w:b/>
                <w:sz w:val="22"/>
                <w:szCs w:val="22"/>
                <w:lang w:val="fr-FR"/>
              </w:rPr>
            </w:pPr>
            <w:r w:rsidRPr="00BD76AF">
              <w:rPr>
                <w:rFonts w:ascii="Times New Roman" w:hAnsi="Times New Roman"/>
                <w:b/>
                <w:sz w:val="22"/>
                <w:szCs w:val="22"/>
                <w:lang w:val="fr-FR"/>
              </w:rPr>
              <w:t>Obligations générales du Membre</w:t>
            </w:r>
          </w:p>
        </w:tc>
        <w:tc>
          <w:tcPr>
            <w:tcW w:w="6270" w:type="dxa"/>
          </w:tcPr>
          <w:p w14:paraId="39A3ADAB" w14:textId="77777777" w:rsidR="00F332DA" w:rsidRPr="00BD76AF" w:rsidRDefault="00F332DA" w:rsidP="00EC55DA">
            <w:pPr>
              <w:pStyle w:val="aff7"/>
              <w:adjustRightInd/>
              <w:spacing w:after="240" w:line="240" w:lineRule="auto"/>
              <w:ind w:leftChars="0" w:left="0"/>
              <w:rPr>
                <w:rFonts w:ascii="Times New Roman" w:hAnsi="Times New Roman"/>
                <w:i/>
                <w:sz w:val="24"/>
                <w:szCs w:val="24"/>
                <w:lang w:val="fr-FR"/>
              </w:rPr>
            </w:pPr>
            <w:r w:rsidRPr="00BD76AF">
              <w:rPr>
                <w:rFonts w:ascii="Times New Roman" w:hAnsi="Times New Roman"/>
                <w:sz w:val="24"/>
                <w:szCs w:val="24"/>
                <w:lang w:val="fr-FR"/>
              </w:rPr>
              <w:t>[</w:t>
            </w:r>
            <w:r w:rsidRPr="00BD76AF">
              <w:rPr>
                <w:rFonts w:ascii="Times New Roman" w:hAnsi="Times New Roman"/>
                <w:i/>
                <w:sz w:val="24"/>
                <w:szCs w:val="24"/>
                <w:lang w:val="fr-FR"/>
              </w:rPr>
              <w:t>Insérer les dispositions suivantes dans la Partie B (DS).</w:t>
            </w:r>
            <w:r w:rsidRPr="00BD76AF">
              <w:rPr>
                <w:rFonts w:ascii="Times New Roman" w:hAnsi="Times New Roman"/>
                <w:sz w:val="24"/>
                <w:szCs w:val="24"/>
                <w:lang w:val="fr-FR"/>
              </w:rPr>
              <w:t>]</w:t>
            </w:r>
          </w:p>
          <w:p w14:paraId="574A392F"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sz w:val="24"/>
                <w:szCs w:val="24"/>
                <w:lang w:val="fr-FR"/>
              </w:rPr>
              <w:t>Supprimer les points (i) et (k) de l’Article 4 et renuméroter le point (j) de l’Article 4 en point (i) de l’Article 4.</w:t>
            </w:r>
          </w:p>
        </w:tc>
      </w:tr>
      <w:tr w:rsidR="00F332DA" w:rsidRPr="00BD76AF" w14:paraId="76928809" w14:textId="77777777" w:rsidTr="00EC55DA">
        <w:tc>
          <w:tcPr>
            <w:tcW w:w="2694" w:type="dxa"/>
          </w:tcPr>
          <w:p w14:paraId="435B03A2" w14:textId="77777777" w:rsidR="00F332DA" w:rsidRPr="00BD76AF" w:rsidRDefault="00F332DA" w:rsidP="00EC55DA">
            <w:pPr>
              <w:spacing w:after="200"/>
              <w:jc w:val="left"/>
              <w:rPr>
                <w:b/>
                <w:sz w:val="22"/>
                <w:szCs w:val="22"/>
                <w:lang w:eastAsia="ja-JP"/>
              </w:rPr>
            </w:pPr>
            <w:r w:rsidRPr="00BD76AF">
              <w:rPr>
                <w:b/>
                <w:sz w:val="22"/>
                <w:szCs w:val="22"/>
                <w:lang w:eastAsia="ja-JP"/>
              </w:rPr>
              <w:t>Article</w:t>
            </w:r>
            <w:r w:rsidRPr="00BD76AF">
              <w:rPr>
                <w:rFonts w:hint="eastAsia"/>
                <w:b/>
                <w:sz w:val="22"/>
                <w:szCs w:val="22"/>
                <w:lang w:eastAsia="ja-JP"/>
              </w:rPr>
              <w:t xml:space="preserve"> 5</w:t>
            </w:r>
          </w:p>
          <w:p w14:paraId="15A744A8" w14:textId="77777777" w:rsidR="00F332DA" w:rsidRPr="00BD76AF" w:rsidRDefault="00F332DA" w:rsidP="00EC55DA">
            <w:pPr>
              <w:pStyle w:val="aff7"/>
              <w:adjustRightInd/>
              <w:spacing w:after="240" w:line="240" w:lineRule="auto"/>
              <w:ind w:leftChars="0" w:left="0"/>
              <w:jc w:val="left"/>
              <w:rPr>
                <w:rFonts w:ascii="Times New Roman" w:hAnsi="Times New Roman"/>
                <w:b/>
                <w:sz w:val="22"/>
                <w:szCs w:val="22"/>
                <w:lang w:val="fr-FR"/>
              </w:rPr>
            </w:pPr>
            <w:r w:rsidRPr="00BD76AF">
              <w:rPr>
                <w:rFonts w:ascii="Times New Roman" w:hAnsi="Times New Roman"/>
                <w:b/>
                <w:sz w:val="22"/>
                <w:szCs w:val="22"/>
                <w:lang w:val="fr-FR"/>
              </w:rPr>
              <w:t>Obligations générales du Maître d’ouvrage et de l’Entrepreneur</w:t>
            </w:r>
          </w:p>
        </w:tc>
        <w:tc>
          <w:tcPr>
            <w:tcW w:w="6270" w:type="dxa"/>
          </w:tcPr>
          <w:p w14:paraId="4D019C99" w14:textId="77777777" w:rsidR="00F332DA" w:rsidRPr="00BD76AF" w:rsidRDefault="00F332DA" w:rsidP="00EC55DA">
            <w:pPr>
              <w:pStyle w:val="aff7"/>
              <w:adjustRightInd/>
              <w:spacing w:after="240" w:line="240" w:lineRule="auto"/>
              <w:ind w:leftChars="0" w:left="0"/>
              <w:rPr>
                <w:rFonts w:ascii="Times New Roman" w:hAnsi="Times New Roman"/>
                <w:i/>
                <w:sz w:val="24"/>
                <w:szCs w:val="24"/>
                <w:lang w:val="fr-FR"/>
              </w:rPr>
            </w:pPr>
            <w:r w:rsidRPr="00BD76AF">
              <w:rPr>
                <w:rFonts w:ascii="Times New Roman" w:hAnsi="Times New Roman"/>
                <w:sz w:val="24"/>
                <w:szCs w:val="24"/>
                <w:lang w:val="fr-FR"/>
              </w:rPr>
              <w:t>[</w:t>
            </w:r>
            <w:r w:rsidRPr="00BD76AF">
              <w:rPr>
                <w:rFonts w:ascii="Times New Roman" w:hAnsi="Times New Roman"/>
                <w:i/>
                <w:sz w:val="24"/>
                <w:szCs w:val="24"/>
                <w:lang w:val="fr-FR"/>
              </w:rPr>
              <w:t>Insérer l</w:t>
            </w:r>
            <w:r w:rsidRPr="00BD76AF">
              <w:rPr>
                <w:rFonts w:ascii="Times New Roman" w:hAnsi="Times New Roman" w:hint="eastAsia"/>
                <w:i/>
                <w:sz w:val="24"/>
                <w:szCs w:val="24"/>
                <w:lang w:val="fr-FR"/>
              </w:rPr>
              <w:t>a</w:t>
            </w:r>
            <w:r w:rsidRPr="00BD76AF">
              <w:rPr>
                <w:rFonts w:ascii="Times New Roman" w:hAnsi="Times New Roman"/>
                <w:i/>
                <w:sz w:val="24"/>
                <w:szCs w:val="24"/>
                <w:lang w:val="fr-FR"/>
              </w:rPr>
              <w:t xml:space="preserve"> disposition suivante dans la Partie B (DS).</w:t>
            </w:r>
            <w:r w:rsidRPr="00BD76AF">
              <w:rPr>
                <w:rFonts w:ascii="Times New Roman" w:hAnsi="Times New Roman"/>
                <w:sz w:val="24"/>
                <w:szCs w:val="24"/>
                <w:lang w:val="fr-FR"/>
              </w:rPr>
              <w:t>]</w:t>
            </w:r>
          </w:p>
          <w:p w14:paraId="51E182EE"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sz w:val="24"/>
                <w:szCs w:val="24"/>
                <w:lang w:val="fr-FR"/>
              </w:rPr>
              <w:t>Supprimer entièrement le dernier alinéa</w:t>
            </w:r>
            <w:r w:rsidRPr="00BD76AF">
              <w:rPr>
                <w:rFonts w:ascii="Times New Roman" w:hAnsi="Times New Roman" w:hint="eastAsia"/>
                <w:sz w:val="24"/>
                <w:szCs w:val="24"/>
                <w:lang w:val="fr-FR"/>
              </w:rPr>
              <w:t>.</w:t>
            </w:r>
          </w:p>
          <w:p w14:paraId="5368CD23"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p>
        </w:tc>
      </w:tr>
      <w:tr w:rsidR="00F332DA" w:rsidRPr="00BD76AF" w14:paraId="2680FE08" w14:textId="77777777" w:rsidTr="00EC55DA">
        <w:tc>
          <w:tcPr>
            <w:tcW w:w="2694" w:type="dxa"/>
          </w:tcPr>
          <w:p w14:paraId="6E79B6AE" w14:textId="77777777" w:rsidR="00F332DA" w:rsidRPr="00BD76AF" w:rsidRDefault="00F332DA" w:rsidP="00EC55DA">
            <w:pPr>
              <w:pStyle w:val="aff7"/>
              <w:adjustRightInd/>
              <w:spacing w:after="240" w:line="240" w:lineRule="auto"/>
              <w:ind w:leftChars="0" w:left="0"/>
              <w:jc w:val="left"/>
              <w:rPr>
                <w:rFonts w:ascii="Times New Roman" w:hAnsi="Times New Roman"/>
                <w:b/>
                <w:sz w:val="24"/>
                <w:szCs w:val="24"/>
              </w:rPr>
            </w:pPr>
            <w:r w:rsidRPr="00BD76AF">
              <w:rPr>
                <w:rFonts w:ascii="Times New Roman" w:hAnsi="Times New Roman"/>
                <w:b/>
                <w:sz w:val="24"/>
                <w:szCs w:val="24"/>
              </w:rPr>
              <w:t xml:space="preserve">Article 6 </w:t>
            </w:r>
          </w:p>
          <w:p w14:paraId="4E622354" w14:textId="77777777" w:rsidR="00F332DA" w:rsidRPr="00BD76AF" w:rsidRDefault="00F332DA" w:rsidP="00EC55DA">
            <w:pPr>
              <w:spacing w:after="200"/>
              <w:jc w:val="left"/>
              <w:rPr>
                <w:b/>
                <w:szCs w:val="24"/>
                <w:lang w:eastAsia="ja-JP"/>
              </w:rPr>
            </w:pPr>
            <w:r w:rsidRPr="00BD76AF">
              <w:rPr>
                <w:b/>
                <w:szCs w:val="24"/>
              </w:rPr>
              <w:t>Règlement</w:t>
            </w:r>
          </w:p>
        </w:tc>
        <w:tc>
          <w:tcPr>
            <w:tcW w:w="6270" w:type="dxa"/>
          </w:tcPr>
          <w:p w14:paraId="25F21992" w14:textId="77777777" w:rsidR="00F332DA" w:rsidRPr="00BD76AF" w:rsidRDefault="00F332DA" w:rsidP="00EC55DA">
            <w:pPr>
              <w:pStyle w:val="ClauseSubPara1"/>
              <w:spacing w:after="200"/>
              <w:ind w:left="0"/>
              <w:jc w:val="both"/>
              <w:rPr>
                <w:iCs/>
                <w:sz w:val="24"/>
                <w:szCs w:val="24"/>
                <w:lang w:val="fr-FR" w:eastAsia="ja-JP"/>
              </w:rPr>
            </w:pPr>
            <w:r w:rsidRPr="00BD76AF">
              <w:rPr>
                <w:iCs/>
                <w:sz w:val="24"/>
                <w:szCs w:val="24"/>
                <w:lang w:val="fr-FR" w:eastAsia="ja-JP"/>
              </w:rPr>
              <w:t>[</w:t>
            </w:r>
            <w:r w:rsidRPr="00BD76AF">
              <w:rPr>
                <w:i/>
                <w:iCs/>
                <w:sz w:val="24"/>
                <w:szCs w:val="24"/>
                <w:lang w:val="fr-FR" w:eastAsia="ja-JP"/>
              </w:rPr>
              <w:t>Indiquer les dispositions suivantes dans la Partie B (DS).</w:t>
            </w:r>
            <w:r w:rsidRPr="00BD76AF">
              <w:rPr>
                <w:iCs/>
                <w:sz w:val="24"/>
                <w:szCs w:val="24"/>
                <w:lang w:val="fr-FR" w:eastAsia="ja-JP"/>
              </w:rPr>
              <w:t>]</w:t>
            </w:r>
          </w:p>
          <w:p w14:paraId="53CBB787"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sz w:val="24"/>
                <w:szCs w:val="24"/>
                <w:lang w:val="fr-FR"/>
              </w:rPr>
              <w:t>Supprimer l’Article dans son intégralité et remplacer par :</w:t>
            </w:r>
          </w:p>
          <w:p w14:paraId="494C8671"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sz w:val="24"/>
                <w:szCs w:val="24"/>
                <w:lang w:val="fr-FR"/>
              </w:rPr>
              <w:t>« Le Membre doit être rémunéré comme suit, dans la monnaie désignée dans la Convention :</w:t>
            </w:r>
          </w:p>
          <w:p w14:paraId="17CE7312" w14:textId="77777777" w:rsidR="00F332DA" w:rsidRPr="00BD76AF" w:rsidRDefault="00F332DA" w:rsidP="003D46CF">
            <w:pPr>
              <w:pStyle w:val="aff7"/>
              <w:numPr>
                <w:ilvl w:val="0"/>
                <w:numId w:val="93"/>
              </w:numPr>
              <w:adjustRightInd/>
              <w:spacing w:after="240" w:line="240" w:lineRule="auto"/>
              <w:ind w:leftChars="0"/>
              <w:rPr>
                <w:rFonts w:ascii="Times New Roman" w:hAnsi="Times New Roman"/>
                <w:sz w:val="24"/>
                <w:szCs w:val="24"/>
                <w:lang w:val="fr-FR"/>
              </w:rPr>
            </w:pPr>
            <w:r w:rsidRPr="00BD76AF">
              <w:rPr>
                <w:rFonts w:ascii="Times New Roman" w:hAnsi="Times New Roman"/>
                <w:sz w:val="24"/>
                <w:szCs w:val="24"/>
                <w:lang w:val="fr-FR"/>
              </w:rPr>
              <w:t>des honoraires journaliers considérés comme paiement intégral de :</w:t>
            </w:r>
          </w:p>
          <w:p w14:paraId="66214118" w14:textId="77777777" w:rsidR="00F332DA" w:rsidRPr="00BD76AF" w:rsidRDefault="00F332DA" w:rsidP="003D46CF">
            <w:pPr>
              <w:pStyle w:val="aff7"/>
              <w:numPr>
                <w:ilvl w:val="1"/>
                <w:numId w:val="93"/>
              </w:numPr>
              <w:adjustRightInd/>
              <w:spacing w:after="240" w:line="240" w:lineRule="auto"/>
              <w:ind w:leftChars="0"/>
              <w:rPr>
                <w:rFonts w:ascii="Times New Roman" w:hAnsi="Times New Roman"/>
                <w:sz w:val="24"/>
                <w:szCs w:val="24"/>
                <w:lang w:val="fr-FR"/>
              </w:rPr>
            </w:pPr>
            <w:r w:rsidRPr="00BD76AF">
              <w:rPr>
                <w:rFonts w:ascii="Times New Roman" w:hAnsi="Times New Roman"/>
                <w:sz w:val="24"/>
                <w:szCs w:val="24"/>
                <w:lang w:val="fr-FR"/>
              </w:rPr>
              <w:t>chaque jour de travail consacré à lire des rapports, à assister aux audiences (le cas échéant), à préparer des décisions ou à faire des visites du Site (le cas échéant) ; et</w:t>
            </w:r>
          </w:p>
          <w:p w14:paraId="24CB2178" w14:textId="77777777" w:rsidR="00F332DA" w:rsidRPr="00BD76AF" w:rsidRDefault="00F332DA" w:rsidP="003D46CF">
            <w:pPr>
              <w:pStyle w:val="aff7"/>
              <w:numPr>
                <w:ilvl w:val="1"/>
                <w:numId w:val="93"/>
              </w:numPr>
              <w:adjustRightInd/>
              <w:spacing w:after="240" w:line="240" w:lineRule="auto"/>
              <w:ind w:leftChars="0"/>
              <w:rPr>
                <w:rFonts w:ascii="Times New Roman" w:hAnsi="Times New Roman"/>
                <w:sz w:val="24"/>
                <w:szCs w:val="24"/>
                <w:lang w:val="fr-FR"/>
              </w:rPr>
            </w:pPr>
            <w:r w:rsidRPr="00BD76AF">
              <w:rPr>
                <w:rFonts w:ascii="Times New Roman" w:hAnsi="Times New Roman"/>
                <w:sz w:val="24"/>
                <w:szCs w:val="24"/>
                <w:lang w:val="fr-FR"/>
              </w:rPr>
              <w:t>chaque jour, entier ou entamé, jusqu’à deux (2) jours maximum de temps de déplacement dans chaque direction pour le trajet (le cas échéant) entre le domicile du Membre et le Site ou tout autre lieu de réunion avec les Autres Membres (le cas échéant) et/ou le Maître d’ouvrage et l’Entrepreneur ;</w:t>
            </w:r>
          </w:p>
          <w:p w14:paraId="1FCFB3B7" w14:textId="77777777" w:rsidR="00F332DA" w:rsidRPr="00BD76AF" w:rsidRDefault="00F332DA" w:rsidP="003D46CF">
            <w:pPr>
              <w:pStyle w:val="aff7"/>
              <w:numPr>
                <w:ilvl w:val="0"/>
                <w:numId w:val="93"/>
              </w:numPr>
              <w:adjustRightInd/>
              <w:spacing w:after="240" w:line="240" w:lineRule="auto"/>
              <w:ind w:leftChars="0"/>
              <w:rPr>
                <w:rFonts w:ascii="Times New Roman" w:hAnsi="Times New Roman"/>
                <w:sz w:val="24"/>
                <w:szCs w:val="24"/>
                <w:lang w:val="fr-FR"/>
              </w:rPr>
            </w:pPr>
            <w:r w:rsidRPr="00BD76AF">
              <w:rPr>
                <w:rFonts w:ascii="Times New Roman" w:hAnsi="Times New Roman"/>
                <w:sz w:val="24"/>
                <w:szCs w:val="24"/>
                <w:lang w:val="fr-FR"/>
              </w:rPr>
              <w:t>toutes les dépenses raisonnables occasionnées du fait de ses fonctions de Membre, y compris le coût des services de secrétariat, des appels téléphoniques, des frais de courrier, de fax et de télex, des frais de déplacement, d’hôtel et des frais de subsistance. Un reçu sera demandé pour toute dépense supérieure à cinq pour cent (5 %) des honoraires journaliers mentionnés au point (a) de cet Article ; et</w:t>
            </w:r>
          </w:p>
          <w:p w14:paraId="7E2E3304" w14:textId="77777777" w:rsidR="00F332DA" w:rsidRPr="00BD76AF" w:rsidRDefault="00F332DA" w:rsidP="003D46CF">
            <w:pPr>
              <w:pStyle w:val="aff7"/>
              <w:numPr>
                <w:ilvl w:val="0"/>
                <w:numId w:val="93"/>
              </w:numPr>
              <w:adjustRightInd/>
              <w:spacing w:after="240" w:line="240" w:lineRule="auto"/>
              <w:ind w:leftChars="0"/>
              <w:rPr>
                <w:rFonts w:ascii="Times New Roman" w:hAnsi="Times New Roman"/>
                <w:sz w:val="24"/>
                <w:szCs w:val="24"/>
                <w:lang w:val="fr-FR"/>
              </w:rPr>
            </w:pPr>
            <w:r w:rsidRPr="00BD76AF">
              <w:rPr>
                <w:rFonts w:ascii="Times New Roman" w:hAnsi="Times New Roman"/>
                <w:sz w:val="24"/>
                <w:szCs w:val="24"/>
                <w:lang w:val="fr-FR"/>
              </w:rPr>
              <w:t>toutes taxes effectivement prélevées dans le pays où se trouve le Site sur les règlements effectués au Membre (à moins qu’il ne soit un ressortissant national ou un résident permanent du pays), conformément à cet Article 6.</w:t>
            </w:r>
          </w:p>
          <w:p w14:paraId="4D6821DB"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sz w:val="24"/>
                <w:szCs w:val="24"/>
                <w:lang w:val="fr-FR"/>
              </w:rPr>
              <w:t>Les honoraires journaliers doivent correspondre à ceux spécifiés dans la Convention.</w:t>
            </w:r>
          </w:p>
          <w:p w14:paraId="2EE79CB6" w14:textId="77777777" w:rsidR="00F332DA" w:rsidRPr="00BD76AF" w:rsidRDefault="00F332DA" w:rsidP="00EC55DA">
            <w:pPr>
              <w:spacing w:after="240"/>
              <w:rPr>
                <w:szCs w:val="24"/>
              </w:rPr>
            </w:pPr>
            <w:r w:rsidRPr="00BD76AF">
              <w:rPr>
                <w:szCs w:val="24"/>
              </w:rPr>
              <w:t>Immédiatement après la prise d’effet de la Convention, le Membre doit, avant de se livrer à une quelconque activité conformément à la Convention, présenter à l’Entrepreneur avec une copie pour le Maître d’ouvrage, une facture pour (a) une avance de vingt-cinq (25) pour cent du montant total estimé des honoraires journaliers auxquels il/elle aura droit et (b) une avance égale aux dépenses totales estimées qu’il/elle engage du fait de ses fonctions. Le paiement de ces factures d’honoraires doit être effectué par l’Entrepreneur sur réception de la facture. Le Membre ne doit pas être obligé de se livrer aux activités selon la Convention avant que chacun des Membres n’ait été intégralement payé pour les factures présentées conformément à cet alinéa.</w:t>
            </w:r>
          </w:p>
          <w:p w14:paraId="0673B6E8"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sz w:val="24"/>
                <w:szCs w:val="24"/>
                <w:lang w:val="fr-FR"/>
              </w:rPr>
              <w:t>Par la suite le Membre doit présenter à l’Entrepreneur avec une copie pour le Maître d’ouvrage des factures pour le bilan de ses honoraires journaliers et dépenses, moins les montants avancés. Le Comité de Règlement des Différends ne doit pas être obligé de rendre une décision avant que les factures relatives aux honoraires journaliers et aux dépenses de chaque Membre en vue d’une décision n’aient été intégralement payées.</w:t>
            </w:r>
          </w:p>
          <w:p w14:paraId="203C8C05"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sz w:val="24"/>
                <w:szCs w:val="24"/>
                <w:lang w:val="fr-FR"/>
              </w:rPr>
              <w:t>Sauf paiement anticipé conformément à ce qui précède, l’Entrepreneur doit payer intégralement les factures de chacun des Membres dans un délai de vingt-huit (28) jours calendaires après réception de chacune des factures et doit demander au Maître d’ouvrage (dans le décompte conformément au Marché) le remboursement de la moitié des montants de ces factures. Le Maître d’ouvrage doit ensuite régler l’Entrepreneur, conformément aux dispositions du Marché.</w:t>
            </w:r>
          </w:p>
          <w:p w14:paraId="4DD455F6"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sz w:val="24"/>
                <w:szCs w:val="24"/>
                <w:lang w:val="fr-FR"/>
              </w:rPr>
              <w:t>Si l’Entrepreneur n’effectue pas au Membre le versement des montants auxquels il/elle a droit en vertu de la Convention, le Maître d’ouvrage doit régler les montants dus au Membre et tout autre montant nécessaire au fonctionnement du Comité de Règlement des Différends, sans préjudice des droits et recours du Maître d’ouvrage. En dehors de tous les autres droits résultant de cette défaillance, le Maître d’ouvrage sera en droit d’être remboursé de toutes les sommes payées excédant la moitié de ces paiements, y compris tous les frais de recouvrement de ces sommes et les intérêts moratoires au taux spécifié à l’Article 12.4 des Conditions du Marché.</w:t>
            </w:r>
          </w:p>
          <w:p w14:paraId="65F29668" w14:textId="77777777" w:rsidR="00F332DA" w:rsidRPr="00BD76AF" w:rsidRDefault="00F332DA" w:rsidP="006B65AB">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sz w:val="24"/>
                <w:szCs w:val="24"/>
                <w:lang w:val="fr-FR"/>
              </w:rPr>
              <w:t>Si le Membre ne reçoit pas le versement des montants dus dans un délai de vingt-huit (28) jours après la remise d’une facture d’honoraires en bonne et due forme, le Membre peut (i) suspendre ses services (sans préavis) jusqu’à ce que le paiement soit effectué, et/ou (ii) démissionner de ses fonctions en notifiant le Maître d’ouvrage et l’Entrepreneur. La notification de démission prend effet dès sa réception par le Maître d’ouvrage et l’Entrepreneur. Cette notification doit être définitive et obligatoire vis-à-vis du Maître d’ouvrage, de l’Entrepreneur et du Membre. »</w:t>
            </w:r>
          </w:p>
        </w:tc>
      </w:tr>
      <w:tr w:rsidR="00F332DA" w:rsidRPr="00BD76AF" w14:paraId="3A5364B4" w14:textId="77777777" w:rsidTr="00EC55DA">
        <w:tc>
          <w:tcPr>
            <w:tcW w:w="2694" w:type="dxa"/>
          </w:tcPr>
          <w:p w14:paraId="3D9E421D" w14:textId="77777777" w:rsidR="00F332DA" w:rsidRPr="00BD76AF" w:rsidRDefault="00F332DA" w:rsidP="00EC55DA">
            <w:pPr>
              <w:spacing w:after="200"/>
              <w:jc w:val="left"/>
              <w:rPr>
                <w:b/>
                <w:sz w:val="22"/>
                <w:szCs w:val="22"/>
                <w:lang w:eastAsia="ja-JP"/>
              </w:rPr>
            </w:pPr>
            <w:r w:rsidRPr="00BD76AF">
              <w:rPr>
                <w:b/>
                <w:sz w:val="22"/>
                <w:szCs w:val="22"/>
                <w:lang w:eastAsia="ja-JP"/>
              </w:rPr>
              <w:t xml:space="preserve">Article 7 </w:t>
            </w:r>
          </w:p>
          <w:p w14:paraId="7B5B17C4" w14:textId="77777777" w:rsidR="00F332DA" w:rsidRPr="00BD76AF" w:rsidRDefault="00F332DA" w:rsidP="00EC55DA">
            <w:pPr>
              <w:pStyle w:val="aff7"/>
              <w:adjustRightInd/>
              <w:spacing w:after="240" w:line="240" w:lineRule="auto"/>
              <w:ind w:leftChars="0" w:left="0"/>
              <w:jc w:val="left"/>
              <w:rPr>
                <w:rFonts w:ascii="Times New Roman" w:hAnsi="Times New Roman"/>
                <w:b/>
                <w:sz w:val="22"/>
                <w:szCs w:val="22"/>
              </w:rPr>
            </w:pPr>
            <w:r w:rsidRPr="00BD76AF">
              <w:rPr>
                <w:rFonts w:ascii="Times New Roman" w:hAnsi="Times New Roman"/>
                <w:b/>
                <w:sz w:val="22"/>
                <w:szCs w:val="22"/>
              </w:rPr>
              <w:t>Manquement du Membre</w:t>
            </w:r>
          </w:p>
        </w:tc>
        <w:tc>
          <w:tcPr>
            <w:tcW w:w="6270" w:type="dxa"/>
          </w:tcPr>
          <w:p w14:paraId="70ABB41C" w14:textId="77777777" w:rsidR="00F332DA" w:rsidRPr="00BD76AF" w:rsidRDefault="00F332DA" w:rsidP="00EC55DA">
            <w:pPr>
              <w:pStyle w:val="aff7"/>
              <w:adjustRightInd/>
              <w:spacing w:after="240" w:line="240" w:lineRule="auto"/>
              <w:ind w:leftChars="0" w:left="0"/>
              <w:rPr>
                <w:rFonts w:ascii="Times New Roman" w:hAnsi="Times New Roman"/>
                <w:i/>
                <w:sz w:val="24"/>
                <w:szCs w:val="24"/>
                <w:lang w:val="fr-FR"/>
              </w:rPr>
            </w:pPr>
            <w:r w:rsidRPr="00BD76AF">
              <w:rPr>
                <w:rFonts w:ascii="Times New Roman" w:hAnsi="Times New Roman"/>
                <w:sz w:val="24"/>
                <w:szCs w:val="24"/>
                <w:lang w:val="fr-FR"/>
              </w:rPr>
              <w:t>[</w:t>
            </w:r>
            <w:r w:rsidRPr="00BD76AF">
              <w:rPr>
                <w:rFonts w:ascii="Times New Roman" w:hAnsi="Times New Roman"/>
                <w:i/>
                <w:sz w:val="24"/>
                <w:szCs w:val="24"/>
                <w:lang w:val="fr-FR"/>
              </w:rPr>
              <w:t>Insérer les dispositions suivantes dans la Partie B (DS).</w:t>
            </w:r>
            <w:r w:rsidRPr="00BD76AF">
              <w:rPr>
                <w:rFonts w:ascii="Times New Roman" w:hAnsi="Times New Roman"/>
                <w:sz w:val="24"/>
                <w:szCs w:val="24"/>
                <w:lang w:val="fr-FR"/>
              </w:rPr>
              <w:t>]</w:t>
            </w:r>
          </w:p>
          <w:p w14:paraId="06298465" w14:textId="77777777" w:rsidR="00F332DA" w:rsidRPr="00BD76AF" w:rsidRDefault="00F332DA" w:rsidP="00EC55DA">
            <w:pPr>
              <w:spacing w:after="200"/>
              <w:rPr>
                <w:iCs/>
                <w:szCs w:val="24"/>
                <w:lang w:eastAsia="ja-JP"/>
              </w:rPr>
            </w:pPr>
            <w:r w:rsidRPr="00BD76AF">
              <w:rPr>
                <w:iCs/>
                <w:szCs w:val="24"/>
                <w:lang w:eastAsia="ja-JP"/>
              </w:rPr>
              <w:t>Le titre de l’Article est remplacé par «</w:t>
            </w:r>
            <w:r w:rsidRPr="00BD76AF">
              <w:rPr>
                <w:szCs w:val="24"/>
                <w:lang w:eastAsia="ja-JP"/>
              </w:rPr>
              <w:t> </w:t>
            </w:r>
            <w:r w:rsidRPr="00BD76AF">
              <w:rPr>
                <w:iCs/>
                <w:szCs w:val="24"/>
                <w:lang w:eastAsia="ja-JP"/>
              </w:rPr>
              <w:t>Manquement du Membre</w:t>
            </w:r>
            <w:r w:rsidRPr="00BD76AF">
              <w:rPr>
                <w:szCs w:val="24"/>
                <w:lang w:eastAsia="ja-JP"/>
              </w:rPr>
              <w:t> </w:t>
            </w:r>
            <w:r w:rsidRPr="00BD76AF">
              <w:rPr>
                <w:iCs/>
                <w:szCs w:val="24"/>
                <w:lang w:eastAsia="ja-JP"/>
              </w:rPr>
              <w:t xml:space="preserve">». </w:t>
            </w:r>
          </w:p>
          <w:p w14:paraId="01C8D1AA" w14:textId="77777777" w:rsidR="00F332DA" w:rsidRPr="00BD76AF" w:rsidRDefault="00F332DA" w:rsidP="00EC55DA">
            <w:pPr>
              <w:spacing w:after="200"/>
              <w:jc w:val="left"/>
              <w:rPr>
                <w:szCs w:val="24"/>
                <w:lang w:eastAsia="ja-JP"/>
              </w:rPr>
            </w:pPr>
            <w:r w:rsidRPr="00BD76AF">
              <w:rPr>
                <w:szCs w:val="24"/>
                <w:lang w:eastAsia="ja-JP"/>
              </w:rPr>
              <w:t>Supprimer l’Article dans son intégralité et remplacer par :</w:t>
            </w:r>
          </w:p>
          <w:p w14:paraId="1020185D" w14:textId="77777777" w:rsidR="00F332DA" w:rsidRPr="00BD76AF" w:rsidRDefault="00F332DA" w:rsidP="006D26D5">
            <w:pPr>
              <w:pStyle w:val="ClauseSubPara1"/>
              <w:spacing w:after="200"/>
              <w:ind w:left="0"/>
              <w:jc w:val="both"/>
              <w:rPr>
                <w:iCs/>
                <w:sz w:val="24"/>
                <w:lang w:val="fr-FR" w:eastAsia="ja-JP"/>
              </w:rPr>
            </w:pPr>
            <w:r w:rsidRPr="00BD76AF">
              <w:rPr>
                <w:rFonts w:hint="eastAsia"/>
                <w:sz w:val="24"/>
                <w:szCs w:val="24"/>
                <w:lang w:val="fr-FR" w:eastAsia="ja-JP"/>
              </w:rPr>
              <w:t>«</w:t>
            </w:r>
            <w:r w:rsidRPr="00BD76AF">
              <w:rPr>
                <w:sz w:val="24"/>
                <w:szCs w:val="24"/>
                <w:lang w:val="fr-FR" w:eastAsia="ja-JP"/>
              </w:rPr>
              <w:t> Si le Membre ne respecte pas ses obligations conformément aux dispositions de l’Article 4, il/elle ne doit avoir droit à</w:t>
            </w:r>
            <w:r w:rsidRPr="00BD76AF" w:rsidDel="006B65AB">
              <w:rPr>
                <w:sz w:val="24"/>
                <w:szCs w:val="24"/>
                <w:lang w:val="fr-FR" w:eastAsia="ja-JP"/>
              </w:rPr>
              <w:t xml:space="preserve"> </w:t>
            </w:r>
            <w:r w:rsidRPr="00BD76AF">
              <w:rPr>
                <w:sz w:val="24"/>
                <w:szCs w:val="24"/>
                <w:lang w:val="fr-FR" w:eastAsia="ja-JP"/>
              </w:rPr>
              <w:t>aucun versement d’honoraires ou règlement de dépenses, et doit, sans préjudice de leurs autres droits, rembourser au Maître d’ouvrage et à l’Entrepreneur tous les honoraires reçus par ou toutes les dépenses réglées au Membre ou aux Autres Membres (le cas échéant) pour les délibérations au titre des actions ou décisions (le cas échéant) du Comité de Règlement des Différends qui sont rendues nulles et non avenues. »</w:t>
            </w:r>
          </w:p>
        </w:tc>
      </w:tr>
      <w:tr w:rsidR="00F332DA" w:rsidRPr="00BD76AF" w14:paraId="4409E2A2" w14:textId="77777777" w:rsidTr="00EC55DA">
        <w:tc>
          <w:tcPr>
            <w:tcW w:w="2694" w:type="dxa"/>
          </w:tcPr>
          <w:p w14:paraId="2C4B31B9" w14:textId="77777777" w:rsidR="00F332DA" w:rsidRPr="00BD76AF" w:rsidRDefault="00F332DA" w:rsidP="00EC55DA">
            <w:pPr>
              <w:spacing w:after="200"/>
              <w:jc w:val="left"/>
              <w:rPr>
                <w:b/>
                <w:sz w:val="22"/>
                <w:szCs w:val="22"/>
                <w:lang w:eastAsia="ja-JP"/>
              </w:rPr>
            </w:pPr>
            <w:r w:rsidRPr="00BD76AF">
              <w:rPr>
                <w:b/>
                <w:sz w:val="22"/>
                <w:szCs w:val="22"/>
                <w:lang w:eastAsia="ja-JP"/>
              </w:rPr>
              <w:t>Article 8</w:t>
            </w:r>
          </w:p>
          <w:p w14:paraId="5BBF4200" w14:textId="77777777" w:rsidR="00F332DA" w:rsidRPr="00BD76AF" w:rsidRDefault="00F332DA" w:rsidP="00EC55DA">
            <w:pPr>
              <w:pStyle w:val="aff7"/>
              <w:adjustRightInd/>
              <w:spacing w:after="240" w:line="240" w:lineRule="auto"/>
              <w:ind w:leftChars="0" w:left="0"/>
              <w:jc w:val="left"/>
              <w:rPr>
                <w:rFonts w:ascii="Times New Roman" w:hAnsi="Times New Roman"/>
                <w:b/>
                <w:sz w:val="22"/>
                <w:szCs w:val="22"/>
              </w:rPr>
            </w:pPr>
            <w:r w:rsidRPr="00BD76AF">
              <w:rPr>
                <w:rFonts w:ascii="Times New Roman" w:hAnsi="Times New Roman"/>
                <w:b/>
                <w:sz w:val="22"/>
                <w:szCs w:val="22"/>
              </w:rPr>
              <w:t>Différends</w:t>
            </w:r>
          </w:p>
        </w:tc>
        <w:tc>
          <w:tcPr>
            <w:tcW w:w="6270" w:type="dxa"/>
          </w:tcPr>
          <w:p w14:paraId="5353D1E4" w14:textId="77777777" w:rsidR="00F332DA" w:rsidRPr="00BD76AF" w:rsidRDefault="00F332DA" w:rsidP="00EC55DA">
            <w:pPr>
              <w:pStyle w:val="aff7"/>
              <w:adjustRightInd/>
              <w:spacing w:after="240" w:line="240" w:lineRule="auto"/>
              <w:ind w:leftChars="0" w:left="0"/>
              <w:rPr>
                <w:rFonts w:ascii="Times New Roman" w:hAnsi="Times New Roman"/>
                <w:i/>
                <w:sz w:val="24"/>
                <w:szCs w:val="24"/>
                <w:lang w:val="fr-FR"/>
              </w:rPr>
            </w:pPr>
            <w:r w:rsidRPr="00BD76AF">
              <w:rPr>
                <w:rFonts w:ascii="Times New Roman" w:hAnsi="Times New Roman"/>
                <w:sz w:val="24"/>
                <w:szCs w:val="24"/>
                <w:lang w:val="fr-FR"/>
              </w:rPr>
              <w:t>[</w:t>
            </w:r>
            <w:r w:rsidRPr="00BD76AF">
              <w:rPr>
                <w:rFonts w:ascii="Times New Roman" w:hAnsi="Times New Roman"/>
                <w:i/>
                <w:sz w:val="24"/>
                <w:szCs w:val="24"/>
                <w:lang w:val="fr-FR"/>
              </w:rPr>
              <w:t>Insérer les dispositions suivantes dans la Partie B (DS).</w:t>
            </w:r>
            <w:r w:rsidRPr="00BD76AF">
              <w:rPr>
                <w:rFonts w:ascii="Times New Roman" w:hAnsi="Times New Roman"/>
                <w:sz w:val="24"/>
                <w:szCs w:val="24"/>
                <w:lang w:val="fr-FR"/>
              </w:rPr>
              <w:t>]</w:t>
            </w:r>
          </w:p>
          <w:p w14:paraId="51A7F424" w14:textId="77777777" w:rsidR="00F332DA" w:rsidRPr="00BD76AF" w:rsidRDefault="00F332DA" w:rsidP="00EC55DA">
            <w:pPr>
              <w:spacing w:after="200"/>
              <w:rPr>
                <w:iCs/>
                <w:lang w:eastAsia="ja-JP"/>
              </w:rPr>
            </w:pPr>
            <w:r w:rsidRPr="00BD76AF">
              <w:rPr>
                <w:iCs/>
                <w:lang w:eastAsia="ja-JP"/>
              </w:rPr>
              <w:t xml:space="preserve">Le titre de l’Article est remplacé par « </w:t>
            </w:r>
            <w:r w:rsidRPr="00BD76AF">
              <w:rPr>
                <w:i/>
                <w:iCs/>
                <w:lang w:eastAsia="ja-JP"/>
              </w:rPr>
              <w:t>Différends</w:t>
            </w:r>
            <w:r w:rsidRPr="00BD76AF">
              <w:rPr>
                <w:iCs/>
                <w:lang w:eastAsia="ja-JP"/>
              </w:rPr>
              <w:t xml:space="preserve"> ».</w:t>
            </w:r>
          </w:p>
          <w:p w14:paraId="334DDA87" w14:textId="77777777" w:rsidR="00F332DA" w:rsidRPr="00BD76AF" w:rsidRDefault="00F332DA" w:rsidP="00EC55DA">
            <w:pPr>
              <w:spacing w:after="200"/>
              <w:rPr>
                <w:iCs/>
                <w:szCs w:val="24"/>
                <w:lang w:eastAsia="ja-JP"/>
              </w:rPr>
            </w:pPr>
            <w:r w:rsidRPr="00BD76AF">
              <w:rPr>
                <w:iCs/>
                <w:lang w:eastAsia="ja-JP"/>
              </w:rPr>
              <w:t xml:space="preserve">Supprimer l’Article dans </w:t>
            </w:r>
            <w:r w:rsidRPr="00BD76AF">
              <w:rPr>
                <w:iCs/>
                <w:szCs w:val="24"/>
                <w:lang w:eastAsia="ja-JP"/>
              </w:rPr>
              <w:t xml:space="preserve">son intégralité et remplacer par : </w:t>
            </w:r>
          </w:p>
          <w:p w14:paraId="4CC53187" w14:textId="77777777" w:rsidR="00F332DA" w:rsidRPr="00BD76AF" w:rsidRDefault="00F332DA" w:rsidP="006D26D5">
            <w:pPr>
              <w:pStyle w:val="aff7"/>
              <w:adjustRightInd/>
              <w:spacing w:after="240" w:line="240" w:lineRule="auto"/>
              <w:ind w:leftChars="0" w:left="0"/>
              <w:rPr>
                <w:iCs/>
                <w:lang w:val="fr-FR"/>
              </w:rPr>
            </w:pPr>
            <w:r w:rsidRPr="00BD76AF">
              <w:rPr>
                <w:rFonts w:ascii="Times New Roman" w:hAnsi="Times New Roman"/>
                <w:iCs/>
                <w:sz w:val="24"/>
                <w:szCs w:val="24"/>
                <w:lang w:val="fr-FR"/>
              </w:rPr>
              <w:t>« Tout différend ou réclamation survenant de ou en relation avec la Convention, ou la violation, la résiliation ou l’invalidité de celle-ci, doit être finalement résolu conformément aux règlements d’arbitrage de la Chambre de Commerce Internationale par un arbitre nommé conformément à ces règlements d’arbitrage. »</w:t>
            </w:r>
          </w:p>
        </w:tc>
      </w:tr>
      <w:tr w:rsidR="00F332DA" w:rsidRPr="00BD76AF" w14:paraId="45D00FE5" w14:textId="77777777" w:rsidTr="00EC55DA">
        <w:tc>
          <w:tcPr>
            <w:tcW w:w="2694" w:type="dxa"/>
          </w:tcPr>
          <w:p w14:paraId="4A482B7B" w14:textId="77777777" w:rsidR="00F332DA" w:rsidRPr="00BD76AF" w:rsidRDefault="00F332DA" w:rsidP="00EC55DA">
            <w:pPr>
              <w:spacing w:after="200"/>
              <w:jc w:val="left"/>
              <w:rPr>
                <w:b/>
                <w:szCs w:val="24"/>
                <w:lang w:eastAsia="ja-JP"/>
              </w:rPr>
            </w:pPr>
            <w:r w:rsidRPr="00BD76AF">
              <w:rPr>
                <w:b/>
                <w:szCs w:val="24"/>
                <w:lang w:eastAsia="ja-JP"/>
              </w:rPr>
              <w:t>Article 9</w:t>
            </w:r>
          </w:p>
        </w:tc>
        <w:tc>
          <w:tcPr>
            <w:tcW w:w="6270" w:type="dxa"/>
          </w:tcPr>
          <w:p w14:paraId="4DB8E43A" w14:textId="77777777" w:rsidR="00F332DA" w:rsidRPr="00BD76AF" w:rsidRDefault="00F332DA" w:rsidP="00EC55DA">
            <w:pPr>
              <w:pStyle w:val="aff7"/>
              <w:adjustRightInd/>
              <w:spacing w:after="240" w:line="240" w:lineRule="auto"/>
              <w:ind w:leftChars="0" w:left="0"/>
              <w:rPr>
                <w:rFonts w:ascii="Times New Roman" w:hAnsi="Times New Roman"/>
                <w:sz w:val="24"/>
                <w:szCs w:val="24"/>
                <w:lang w:val="fr-FR"/>
              </w:rPr>
            </w:pPr>
            <w:r w:rsidRPr="00BD76AF">
              <w:rPr>
                <w:rFonts w:ascii="Times New Roman" w:hAnsi="Times New Roman"/>
                <w:sz w:val="24"/>
                <w:szCs w:val="24"/>
                <w:lang w:val="fr-FR"/>
              </w:rPr>
              <w:t>[</w:t>
            </w:r>
            <w:r w:rsidRPr="00BD76AF">
              <w:rPr>
                <w:rFonts w:ascii="Times New Roman" w:hAnsi="Times New Roman"/>
                <w:i/>
                <w:sz w:val="24"/>
                <w:szCs w:val="24"/>
                <w:lang w:val="fr-FR"/>
              </w:rPr>
              <w:t>Insérer la disposition suivante dans la Partie B (DS).</w:t>
            </w:r>
            <w:r w:rsidRPr="00BD76AF">
              <w:rPr>
                <w:rFonts w:ascii="Times New Roman" w:hAnsi="Times New Roman"/>
                <w:sz w:val="24"/>
                <w:szCs w:val="24"/>
                <w:lang w:val="fr-FR"/>
              </w:rPr>
              <w:t>]</w:t>
            </w:r>
          </w:p>
          <w:p w14:paraId="4918570B" w14:textId="77777777" w:rsidR="00F332DA" w:rsidRPr="00BD76AF" w:rsidRDefault="00F332DA" w:rsidP="00EC55DA">
            <w:pPr>
              <w:pStyle w:val="ClauseSubPara1"/>
              <w:spacing w:after="200"/>
              <w:ind w:left="0"/>
              <w:jc w:val="both"/>
              <w:rPr>
                <w:iCs/>
                <w:sz w:val="24"/>
                <w:szCs w:val="24"/>
                <w:lang w:val="fr-FR" w:eastAsia="ja-JP"/>
              </w:rPr>
            </w:pPr>
            <w:r w:rsidRPr="00BD76AF">
              <w:rPr>
                <w:iCs/>
                <w:sz w:val="24"/>
                <w:szCs w:val="24"/>
                <w:lang w:val="fr-FR"/>
              </w:rPr>
              <w:t>Supprimer l’Article dans son intégralité.</w:t>
            </w:r>
          </w:p>
        </w:tc>
      </w:tr>
      <w:tr w:rsidR="00F332DA" w:rsidRPr="00BD76AF" w14:paraId="69A1DD44" w14:textId="77777777" w:rsidTr="00EC55DA">
        <w:tc>
          <w:tcPr>
            <w:tcW w:w="2694" w:type="dxa"/>
          </w:tcPr>
          <w:p w14:paraId="59FEA84B" w14:textId="77777777" w:rsidR="00F332DA" w:rsidRPr="00BD76AF" w:rsidRDefault="00F332DA" w:rsidP="00EC55DA">
            <w:pPr>
              <w:spacing w:after="40" w:line="240" w:lineRule="atLeast"/>
              <w:ind w:left="206" w:hanging="206"/>
              <w:jc w:val="left"/>
              <w:rPr>
                <w:b/>
                <w:iCs/>
              </w:rPr>
            </w:pPr>
            <w:r w:rsidRPr="00BD76AF">
              <w:rPr>
                <w:b/>
                <w:iCs/>
              </w:rPr>
              <w:t>Annex</w:t>
            </w:r>
            <w:r w:rsidRPr="00BD76AF">
              <w:rPr>
                <w:rFonts w:hint="eastAsia"/>
                <w:b/>
                <w:iCs/>
                <w:lang w:eastAsia="ja-JP"/>
              </w:rPr>
              <w:t>e</w:t>
            </w:r>
            <w:r w:rsidRPr="00BD76AF">
              <w:rPr>
                <w:b/>
                <w:iCs/>
              </w:rPr>
              <w:t xml:space="preserve"> </w:t>
            </w:r>
          </w:p>
          <w:p w14:paraId="198B38DD" w14:textId="77777777" w:rsidR="00F332DA" w:rsidRPr="00BD76AF" w:rsidRDefault="00F332DA" w:rsidP="00A839D1">
            <w:pPr>
              <w:spacing w:after="200"/>
              <w:jc w:val="left"/>
              <w:rPr>
                <w:b/>
                <w:sz w:val="22"/>
                <w:szCs w:val="22"/>
                <w:lang w:eastAsia="ja-JP"/>
              </w:rPr>
            </w:pPr>
            <w:r w:rsidRPr="00BD76AF">
              <w:rPr>
                <w:b/>
                <w:iCs/>
              </w:rPr>
              <w:t>Règles procédurales</w:t>
            </w:r>
          </w:p>
        </w:tc>
        <w:tc>
          <w:tcPr>
            <w:tcW w:w="6270" w:type="dxa"/>
          </w:tcPr>
          <w:p w14:paraId="0D11342E" w14:textId="77777777" w:rsidR="00F332DA" w:rsidRPr="00BD76AF" w:rsidRDefault="00F332DA" w:rsidP="00EC55DA">
            <w:pPr>
              <w:spacing w:after="200"/>
              <w:rPr>
                <w:i/>
                <w:iCs/>
                <w:lang w:eastAsia="ja-JP"/>
              </w:rPr>
            </w:pPr>
            <w:r w:rsidRPr="00BD76AF">
              <w:rPr>
                <w:iCs/>
                <w:lang w:eastAsia="ja-JP"/>
              </w:rPr>
              <w:t>[</w:t>
            </w:r>
            <w:r w:rsidRPr="00BD76AF">
              <w:rPr>
                <w:i/>
                <w:iCs/>
                <w:lang w:eastAsia="ja-JP"/>
              </w:rPr>
              <w:t>Insérer les dispositions suivantes dans la Partie B (DS)</w:t>
            </w:r>
            <w:r w:rsidRPr="00BD76AF">
              <w:rPr>
                <w:iCs/>
                <w:lang w:eastAsia="ja-JP"/>
              </w:rPr>
              <w:t>.]</w:t>
            </w:r>
          </w:p>
          <w:p w14:paraId="680B7D89" w14:textId="77777777" w:rsidR="00F332DA" w:rsidRPr="00BD76AF" w:rsidRDefault="00F332DA" w:rsidP="00EC55DA">
            <w:pPr>
              <w:spacing w:after="200"/>
              <w:rPr>
                <w:iCs/>
                <w:lang w:eastAsia="ja-JP"/>
              </w:rPr>
            </w:pPr>
            <w:r w:rsidRPr="00BD76AF">
              <w:rPr>
                <w:iCs/>
                <w:lang w:eastAsia="ja-JP"/>
              </w:rPr>
              <w:t>Supprimer la totalité des règles et remplacer par :</w:t>
            </w:r>
          </w:p>
          <w:p w14:paraId="1BDBCCC9" w14:textId="77777777" w:rsidR="00F332DA" w:rsidRPr="00BD76AF" w:rsidRDefault="00F332DA" w:rsidP="00EC55DA">
            <w:pPr>
              <w:spacing w:after="200"/>
              <w:rPr>
                <w:iCs/>
                <w:lang w:eastAsia="ja-JP"/>
              </w:rPr>
            </w:pPr>
            <w:r w:rsidRPr="00BD76AF">
              <w:rPr>
                <w:rFonts w:hint="eastAsia"/>
                <w:iCs/>
                <w:lang w:eastAsia="ja-JP"/>
              </w:rPr>
              <w:t>«</w:t>
            </w:r>
            <w:r w:rsidRPr="00BD76AF">
              <w:rPr>
                <w:iCs/>
                <w:lang w:eastAsia="ja-JP"/>
              </w:rPr>
              <w:t> 1. Le Maître d’ouvrage et l’Entrepreneur doivent fournir au Comité de Règlement des Différends une copie de tous les documents que le Comité de Règlement des Différends est en droit de demander requérir, y compris les documents contractuels, les rapports d’avancement, les instructions de modifications, les certificats, ainsi que tout autre document pertinent pour le différend. Une copie de toutes les communications entre le Comité de Règlement des Différends et le Maître d’ouvrage ou l’Entrepreneur doit être remise à l’autre Partie. Si le Comité de Règlement des Différends comprend trois personnes, le Maître d’ouvrage et l’Entrepreneur doivent transmettre des copies des documents requis et des communications à chacune de ces personnes.</w:t>
            </w:r>
          </w:p>
          <w:p w14:paraId="5A4BF098" w14:textId="77777777" w:rsidR="00F332DA" w:rsidRPr="00BD76AF" w:rsidRDefault="00F332DA" w:rsidP="00EC55DA">
            <w:pPr>
              <w:spacing w:after="200"/>
              <w:rPr>
                <w:iCs/>
                <w:szCs w:val="24"/>
                <w:lang w:eastAsia="ja-JP"/>
              </w:rPr>
            </w:pPr>
            <w:r w:rsidRPr="00BD76AF">
              <w:rPr>
                <w:iCs/>
                <w:lang w:eastAsia="ja-JP"/>
              </w:rPr>
              <w:t>2. Le Comité de Règlement des Différends doit procéder conformément à l’Article 45.3 des CG et aux présentes règles. En fonction du temps accordé pour prendre une décision et d‘autres facteurs en jeu, le Comité de Règlement des Différends doit :</w:t>
            </w:r>
          </w:p>
          <w:p w14:paraId="2E59CC30" w14:textId="77777777" w:rsidR="00F332DA" w:rsidRPr="00BD76AF" w:rsidRDefault="00F332DA" w:rsidP="003D46CF">
            <w:pPr>
              <w:pStyle w:val="aff7"/>
              <w:numPr>
                <w:ilvl w:val="0"/>
                <w:numId w:val="95"/>
              </w:numPr>
              <w:adjustRightInd/>
              <w:spacing w:after="200" w:line="240" w:lineRule="auto"/>
              <w:ind w:leftChars="0"/>
              <w:rPr>
                <w:rFonts w:ascii="Times New Roman" w:hAnsi="Times New Roman"/>
                <w:iCs/>
                <w:sz w:val="24"/>
                <w:szCs w:val="24"/>
                <w:lang w:val="fr-FR"/>
              </w:rPr>
            </w:pPr>
            <w:r w:rsidRPr="00BD76AF">
              <w:rPr>
                <w:rFonts w:ascii="Times New Roman" w:hAnsi="Times New Roman"/>
                <w:iCs/>
                <w:sz w:val="24"/>
                <w:szCs w:val="24"/>
                <w:lang w:val="fr-FR"/>
              </w:rPr>
              <w:t>agir de manière juste et impartiale envers le Maître d’ouvrage et l’Entrepreneur, en donnant à chacun d’eux l’opportunité raisonnable de présenter ses arguments et de répondre aux arguments de l’autre Partie, et</w:t>
            </w:r>
          </w:p>
          <w:p w14:paraId="45FB2687" w14:textId="77777777" w:rsidR="00F332DA" w:rsidRPr="00BD76AF" w:rsidRDefault="00F332DA" w:rsidP="003D46CF">
            <w:pPr>
              <w:pStyle w:val="aff7"/>
              <w:numPr>
                <w:ilvl w:val="0"/>
                <w:numId w:val="95"/>
              </w:numPr>
              <w:adjustRightInd/>
              <w:spacing w:after="240" w:line="240" w:lineRule="auto"/>
              <w:ind w:leftChars="0"/>
              <w:rPr>
                <w:rFonts w:ascii="Times New Roman" w:hAnsi="Times New Roman"/>
                <w:iCs/>
                <w:sz w:val="24"/>
                <w:szCs w:val="24"/>
                <w:lang w:val="fr-FR"/>
              </w:rPr>
            </w:pPr>
            <w:r w:rsidRPr="00BD76AF">
              <w:rPr>
                <w:rFonts w:ascii="Times New Roman" w:hAnsi="Times New Roman"/>
                <w:iCs/>
                <w:sz w:val="24"/>
                <w:szCs w:val="24"/>
                <w:lang w:val="fr-FR"/>
              </w:rPr>
              <w:t>adopter une procédure adaptée au différend, en évitant les retards ou coûts inutiles.</w:t>
            </w:r>
          </w:p>
          <w:p w14:paraId="4F01E1C2" w14:textId="77777777" w:rsidR="00F332DA" w:rsidRPr="00BD76AF" w:rsidRDefault="00F332DA" w:rsidP="00EC55DA">
            <w:pPr>
              <w:spacing w:after="200"/>
              <w:rPr>
                <w:iCs/>
                <w:lang w:eastAsia="ja-JP"/>
              </w:rPr>
            </w:pPr>
            <w:r w:rsidRPr="00BD76AF">
              <w:rPr>
                <w:iCs/>
                <w:lang w:eastAsia="ja-JP"/>
              </w:rPr>
              <w:t>3. Le Comité de Règlement des Différends peut conduire une audience sur le différend ; dans ce cas, il décidera de la date et du lieu de l’audience et peut demander que la documentation et les arguments du Maître d’ouvrage et de l’Entrepreneur lui soient présentés par écrit au préalable ou lors de l’audience.</w:t>
            </w:r>
          </w:p>
          <w:p w14:paraId="163EABB7" w14:textId="77777777" w:rsidR="00F332DA" w:rsidRPr="00BD76AF" w:rsidRDefault="00F332DA" w:rsidP="00EC55DA">
            <w:pPr>
              <w:spacing w:after="200"/>
              <w:rPr>
                <w:rFonts w:eastAsia="游ゴシック"/>
                <w:color w:val="333333"/>
                <w:kern w:val="2"/>
                <w:szCs w:val="24"/>
                <w:shd w:val="clear" w:color="auto" w:fill="FAFBFC"/>
                <w:lang w:eastAsia="ja-JP"/>
              </w:rPr>
            </w:pPr>
            <w:r w:rsidRPr="00BD76AF">
              <w:rPr>
                <w:iCs/>
                <w:lang w:eastAsia="ja-JP"/>
              </w:rPr>
              <w:t>4. À</w:t>
            </w:r>
            <w:r w:rsidRPr="00BD76AF">
              <w:rPr>
                <w:rFonts w:hint="eastAsia"/>
                <w:iCs/>
                <w:lang w:eastAsia="ja-JP"/>
              </w:rPr>
              <w:t xml:space="preserve"> </w:t>
            </w:r>
            <w:r w:rsidRPr="00BD76AF">
              <w:rPr>
                <w:iCs/>
                <w:lang w:eastAsia="ja-JP"/>
              </w:rPr>
              <w:t xml:space="preserve">moins que le Maître d’ouvrage et l’Entrepreneur n’en conviennent autrement par écrit, le Comité de Règlement des Différends doit avoir le pouvoir d’adopter une procédure inquisitoire, de refuser l’accès aux audiences ou refuser d’entendre toute personne autre que les représentants du Maître d’ouvrage, de l’Entrepreneur, et du Directeur de projet, et de procéder en l’absence de toute Partie que le Comité de Règlement des Différends a dûment convoquée ; mais le Comité de Règlement des Différends doit pouvoir décider à sa discrétion si et dans quelle mesure il exerce ce pouvoir. </w:t>
            </w:r>
          </w:p>
          <w:p w14:paraId="7D4E55F5" w14:textId="77777777" w:rsidR="00F332DA" w:rsidRPr="00BD76AF" w:rsidRDefault="00F332DA" w:rsidP="00EC55DA">
            <w:pPr>
              <w:spacing w:after="200"/>
              <w:rPr>
                <w:iCs/>
                <w:szCs w:val="24"/>
                <w:lang w:eastAsia="ja-JP"/>
              </w:rPr>
            </w:pPr>
            <w:r w:rsidRPr="00BD76AF">
              <w:rPr>
                <w:iCs/>
                <w:lang w:eastAsia="ja-JP"/>
              </w:rPr>
              <w:t>5. Le Maître d’ouvrage et l’Entrepreneur habilitent le Comité de Règlement des Différends, entre autres, à :</w:t>
            </w:r>
          </w:p>
          <w:p w14:paraId="414486F9" w14:textId="77777777" w:rsidR="00F332DA" w:rsidRPr="00BD76AF" w:rsidRDefault="00F332DA" w:rsidP="003D46CF">
            <w:pPr>
              <w:pStyle w:val="aff7"/>
              <w:numPr>
                <w:ilvl w:val="0"/>
                <w:numId w:val="96"/>
              </w:numPr>
              <w:adjustRightInd/>
              <w:spacing w:after="200" w:line="240" w:lineRule="auto"/>
              <w:ind w:leftChars="0"/>
              <w:rPr>
                <w:rFonts w:ascii="Times New Roman" w:hAnsi="Times New Roman"/>
                <w:iCs/>
                <w:sz w:val="24"/>
                <w:szCs w:val="24"/>
                <w:lang w:val="fr-FR"/>
              </w:rPr>
            </w:pPr>
            <w:r w:rsidRPr="00BD76AF">
              <w:rPr>
                <w:rFonts w:ascii="Times New Roman" w:hAnsi="Times New Roman"/>
                <w:iCs/>
                <w:sz w:val="24"/>
                <w:szCs w:val="24"/>
                <w:lang w:val="fr-FR"/>
              </w:rPr>
              <w:t>établir la procédure applicable à la résolution du différend ;</w:t>
            </w:r>
          </w:p>
          <w:p w14:paraId="7CFAD8BE" w14:textId="77777777" w:rsidR="00F332DA" w:rsidRPr="00BD76AF" w:rsidRDefault="00F332DA" w:rsidP="003D46CF">
            <w:pPr>
              <w:pStyle w:val="aff7"/>
              <w:numPr>
                <w:ilvl w:val="0"/>
                <w:numId w:val="96"/>
              </w:numPr>
              <w:adjustRightInd/>
              <w:spacing w:after="200" w:line="240" w:lineRule="auto"/>
              <w:ind w:leftChars="0"/>
              <w:rPr>
                <w:rFonts w:ascii="Times New Roman" w:hAnsi="Times New Roman"/>
                <w:iCs/>
                <w:sz w:val="24"/>
                <w:szCs w:val="24"/>
                <w:lang w:val="fr-FR"/>
              </w:rPr>
            </w:pPr>
            <w:r w:rsidRPr="00BD76AF">
              <w:rPr>
                <w:rFonts w:ascii="Times New Roman" w:hAnsi="Times New Roman"/>
                <w:iCs/>
                <w:sz w:val="24"/>
                <w:szCs w:val="24"/>
                <w:lang w:val="fr-FR"/>
              </w:rPr>
              <w:t>décider du domaine de compétence propre au Comité de Règlement des Différends, et de l’ampleur de tout différend qui lui sera soumis ;</w:t>
            </w:r>
          </w:p>
          <w:p w14:paraId="3E59EC81" w14:textId="77777777" w:rsidR="00F332DA" w:rsidRPr="00BD76AF" w:rsidRDefault="00F332DA" w:rsidP="003D46CF">
            <w:pPr>
              <w:pStyle w:val="aff7"/>
              <w:numPr>
                <w:ilvl w:val="0"/>
                <w:numId w:val="96"/>
              </w:numPr>
              <w:adjustRightInd/>
              <w:spacing w:after="200" w:line="240" w:lineRule="auto"/>
              <w:ind w:leftChars="0"/>
              <w:rPr>
                <w:rFonts w:ascii="Times New Roman" w:hAnsi="Times New Roman"/>
                <w:iCs/>
                <w:sz w:val="24"/>
                <w:szCs w:val="24"/>
                <w:lang w:val="fr-FR"/>
              </w:rPr>
            </w:pPr>
            <w:r w:rsidRPr="00BD76AF">
              <w:rPr>
                <w:rFonts w:ascii="Times New Roman" w:hAnsi="Times New Roman"/>
                <w:iCs/>
                <w:sz w:val="24"/>
                <w:szCs w:val="24"/>
                <w:lang w:val="fr-FR"/>
              </w:rPr>
              <w:t>conduire toute audience de la manière qui lui semble appropriée, sans être lié par aucune règle ou procédure autre que celles comprises dans le Marché et dans les présentes règles ;</w:t>
            </w:r>
          </w:p>
          <w:p w14:paraId="1AD2F7E4" w14:textId="77777777" w:rsidR="00F332DA" w:rsidRPr="00BD76AF" w:rsidRDefault="00F332DA" w:rsidP="003D46CF">
            <w:pPr>
              <w:pStyle w:val="aff7"/>
              <w:numPr>
                <w:ilvl w:val="0"/>
                <w:numId w:val="96"/>
              </w:numPr>
              <w:adjustRightInd/>
              <w:spacing w:after="200" w:line="240" w:lineRule="auto"/>
              <w:ind w:leftChars="0"/>
              <w:rPr>
                <w:rFonts w:ascii="Times New Roman" w:hAnsi="Times New Roman"/>
                <w:iCs/>
                <w:sz w:val="24"/>
                <w:szCs w:val="24"/>
                <w:lang w:val="fr-FR"/>
              </w:rPr>
            </w:pPr>
            <w:r w:rsidRPr="00BD76AF">
              <w:rPr>
                <w:rFonts w:ascii="Times New Roman" w:hAnsi="Times New Roman"/>
                <w:iCs/>
                <w:sz w:val="24"/>
                <w:szCs w:val="24"/>
                <w:lang w:val="fr-FR"/>
              </w:rPr>
              <w:t>prendre l’initiative de vérifier les faits et autres sujets nécessaires à la prise d’une décision ;</w:t>
            </w:r>
          </w:p>
          <w:p w14:paraId="2A7CB64E" w14:textId="77777777" w:rsidR="00F332DA" w:rsidRPr="00BD76AF" w:rsidRDefault="00F332DA" w:rsidP="003D46CF">
            <w:pPr>
              <w:pStyle w:val="aff7"/>
              <w:numPr>
                <w:ilvl w:val="0"/>
                <w:numId w:val="96"/>
              </w:numPr>
              <w:adjustRightInd/>
              <w:spacing w:after="200" w:line="240" w:lineRule="auto"/>
              <w:ind w:leftChars="0"/>
              <w:rPr>
                <w:rFonts w:ascii="Times New Roman" w:hAnsi="Times New Roman"/>
                <w:iCs/>
                <w:sz w:val="24"/>
                <w:szCs w:val="24"/>
                <w:lang w:val="fr-FR"/>
              </w:rPr>
            </w:pPr>
            <w:r w:rsidRPr="00BD76AF">
              <w:rPr>
                <w:rFonts w:ascii="Times New Roman" w:hAnsi="Times New Roman"/>
                <w:iCs/>
                <w:sz w:val="24"/>
                <w:szCs w:val="24"/>
                <w:lang w:val="fr-FR"/>
              </w:rPr>
              <w:t>utiliser ses propres connaissances spécialisées, le cas échéant ;</w:t>
            </w:r>
          </w:p>
          <w:p w14:paraId="0D6A84F6" w14:textId="77777777" w:rsidR="00F332DA" w:rsidRPr="00BD76AF" w:rsidRDefault="00F332DA" w:rsidP="003D46CF">
            <w:pPr>
              <w:pStyle w:val="aff7"/>
              <w:numPr>
                <w:ilvl w:val="0"/>
                <w:numId w:val="96"/>
              </w:numPr>
              <w:adjustRightInd/>
              <w:spacing w:after="200" w:line="240" w:lineRule="auto"/>
              <w:ind w:leftChars="0"/>
              <w:rPr>
                <w:rFonts w:ascii="Times New Roman" w:hAnsi="Times New Roman"/>
                <w:iCs/>
                <w:sz w:val="24"/>
                <w:szCs w:val="24"/>
                <w:lang w:val="fr-FR"/>
              </w:rPr>
            </w:pPr>
            <w:r w:rsidRPr="00BD76AF">
              <w:rPr>
                <w:rFonts w:ascii="Times New Roman" w:hAnsi="Times New Roman"/>
                <w:iCs/>
                <w:sz w:val="24"/>
                <w:szCs w:val="24"/>
                <w:lang w:val="fr-FR"/>
              </w:rPr>
              <w:t>décider du paiement d’intérêts, conformément au Marché ;</w:t>
            </w:r>
          </w:p>
          <w:p w14:paraId="4A7B94CD" w14:textId="77777777" w:rsidR="00F332DA" w:rsidRPr="00BD76AF" w:rsidRDefault="00F332DA" w:rsidP="003D46CF">
            <w:pPr>
              <w:pStyle w:val="aff7"/>
              <w:numPr>
                <w:ilvl w:val="0"/>
                <w:numId w:val="96"/>
              </w:numPr>
              <w:adjustRightInd/>
              <w:spacing w:after="200" w:line="240" w:lineRule="auto"/>
              <w:ind w:leftChars="0"/>
              <w:rPr>
                <w:rFonts w:ascii="Times New Roman" w:hAnsi="Times New Roman"/>
                <w:iCs/>
                <w:sz w:val="24"/>
                <w:szCs w:val="24"/>
                <w:lang w:val="fr-FR"/>
              </w:rPr>
            </w:pPr>
            <w:r w:rsidRPr="00BD76AF">
              <w:rPr>
                <w:rFonts w:ascii="Times New Roman" w:hAnsi="Times New Roman"/>
                <w:iCs/>
                <w:sz w:val="24"/>
                <w:szCs w:val="24"/>
                <w:lang w:val="fr-FR"/>
              </w:rPr>
              <w:t>décider d’une solution temporaire telle que de mesures provisionnelles provisoire ou conservatoire ; et</w:t>
            </w:r>
          </w:p>
          <w:p w14:paraId="02086899" w14:textId="77777777" w:rsidR="00F332DA" w:rsidRPr="00BD76AF" w:rsidRDefault="00F332DA" w:rsidP="003D46CF">
            <w:pPr>
              <w:pStyle w:val="aff7"/>
              <w:numPr>
                <w:ilvl w:val="0"/>
                <w:numId w:val="96"/>
              </w:numPr>
              <w:adjustRightInd/>
              <w:spacing w:after="200" w:line="240" w:lineRule="auto"/>
              <w:ind w:leftChars="0"/>
              <w:rPr>
                <w:rFonts w:ascii="Times New Roman" w:hAnsi="Times New Roman"/>
                <w:iCs/>
                <w:sz w:val="24"/>
                <w:szCs w:val="24"/>
                <w:lang w:val="fr-FR"/>
              </w:rPr>
            </w:pPr>
            <w:r w:rsidRPr="00BD76AF">
              <w:rPr>
                <w:rFonts w:ascii="Times New Roman" w:hAnsi="Times New Roman"/>
                <w:iCs/>
                <w:sz w:val="24"/>
                <w:szCs w:val="24"/>
                <w:lang w:val="fr-FR"/>
              </w:rPr>
              <w:t>ouvrir, vérifier et réviser tout certificat, décision, détermination, instruction, avis ou constatation du Directeur de projet en rapport avec le différend.</w:t>
            </w:r>
          </w:p>
          <w:p w14:paraId="17A16D2E" w14:textId="77777777" w:rsidR="00F332DA" w:rsidRPr="00BD76AF" w:rsidRDefault="00F332DA" w:rsidP="00EC55DA">
            <w:pPr>
              <w:spacing w:after="200"/>
              <w:rPr>
                <w:iCs/>
                <w:lang w:eastAsia="ja-JP"/>
              </w:rPr>
            </w:pPr>
            <w:r w:rsidRPr="00BD76AF">
              <w:rPr>
                <w:iCs/>
                <w:lang w:eastAsia="ja-JP"/>
              </w:rPr>
              <w:t>6. Le Comité de Règlement des Différends ne doit exprimer aucune opinion au cours d’une audience sur le bien-fondé de tout argument présenté par les Parties. Par la suite, le Comité de Règlement des Différends doit prendre et rendre sa décision conformément à l’Article 45.3 des CG, ou comme décidé autrement par écrit par le Maître d’ouvrage et l’Entrepreneur. Si le Comité de Règlement des Différends est composé de trois membres :</w:t>
            </w:r>
          </w:p>
          <w:p w14:paraId="26E64F03" w14:textId="77777777" w:rsidR="00F332DA" w:rsidRPr="00BD76AF" w:rsidRDefault="00F332DA" w:rsidP="003D46CF">
            <w:pPr>
              <w:pStyle w:val="aff7"/>
              <w:numPr>
                <w:ilvl w:val="0"/>
                <w:numId w:val="97"/>
              </w:numPr>
              <w:adjustRightInd/>
              <w:spacing w:after="200" w:line="240" w:lineRule="auto"/>
              <w:ind w:leftChars="0"/>
              <w:rPr>
                <w:rFonts w:ascii="Times New Roman" w:hAnsi="Times New Roman"/>
                <w:iCs/>
                <w:sz w:val="24"/>
                <w:szCs w:val="24"/>
                <w:lang w:val="fr-FR"/>
              </w:rPr>
            </w:pPr>
            <w:r w:rsidRPr="00BD76AF">
              <w:rPr>
                <w:iCs/>
                <w:lang w:val="fr-FR"/>
              </w:rPr>
              <w:t>i</w:t>
            </w:r>
            <w:r w:rsidRPr="00BD76AF">
              <w:rPr>
                <w:rFonts w:ascii="Times New Roman" w:hAnsi="Times New Roman"/>
                <w:iCs/>
                <w:sz w:val="24"/>
                <w:szCs w:val="24"/>
                <w:lang w:val="fr-FR"/>
              </w:rPr>
              <w:t>l doit se réunir en privé après une audience, le cas échéant, pour délibérer et préparer sa décision ;</w:t>
            </w:r>
          </w:p>
          <w:p w14:paraId="6C71F3A3" w14:textId="77777777" w:rsidR="00F332DA" w:rsidRPr="00BD76AF" w:rsidRDefault="00F332DA" w:rsidP="003D46CF">
            <w:pPr>
              <w:pStyle w:val="aff7"/>
              <w:numPr>
                <w:ilvl w:val="0"/>
                <w:numId w:val="97"/>
              </w:numPr>
              <w:adjustRightInd/>
              <w:spacing w:after="200" w:line="240" w:lineRule="auto"/>
              <w:ind w:leftChars="0"/>
              <w:rPr>
                <w:rFonts w:ascii="Times New Roman" w:hAnsi="Times New Roman"/>
                <w:iCs/>
                <w:sz w:val="24"/>
                <w:szCs w:val="24"/>
                <w:lang w:val="fr-FR"/>
              </w:rPr>
            </w:pPr>
            <w:r w:rsidRPr="00BD76AF">
              <w:rPr>
                <w:rFonts w:ascii="Times New Roman" w:hAnsi="Times New Roman"/>
                <w:iCs/>
                <w:sz w:val="24"/>
                <w:szCs w:val="24"/>
                <w:lang w:val="fr-FR"/>
              </w:rPr>
              <w:t xml:space="preserve">il doit tenter d’obtenir une décision unanime : si cela s’avère impossible, la décision applicable doit être prise à la majorité des Membres, qui peuvent demander au Membre minoritaire de préparer un rapport écrit à remettre au Maître d’ouvrage et à l’Entrepreneur ; et </w:t>
            </w:r>
          </w:p>
          <w:p w14:paraId="6A9CB457" w14:textId="77777777" w:rsidR="00F332DA" w:rsidRPr="00BD76AF" w:rsidRDefault="00F332DA" w:rsidP="003D46CF">
            <w:pPr>
              <w:pStyle w:val="aff7"/>
              <w:numPr>
                <w:ilvl w:val="0"/>
                <w:numId w:val="97"/>
              </w:numPr>
              <w:adjustRightInd/>
              <w:spacing w:after="200" w:line="240" w:lineRule="auto"/>
              <w:ind w:leftChars="0"/>
              <w:rPr>
                <w:rFonts w:ascii="Times New Roman" w:hAnsi="Times New Roman"/>
                <w:iCs/>
                <w:sz w:val="24"/>
                <w:szCs w:val="24"/>
                <w:lang w:val="fr-FR"/>
              </w:rPr>
            </w:pPr>
            <w:r w:rsidRPr="00BD76AF">
              <w:rPr>
                <w:rFonts w:ascii="Times New Roman" w:hAnsi="Times New Roman"/>
                <w:iCs/>
                <w:sz w:val="24"/>
                <w:szCs w:val="24"/>
                <w:lang w:val="fr-FR"/>
              </w:rPr>
              <w:t>si un Membre ne participe pas à une réunion ou à une audience, ou ne remplit pas une quelconque des fonctions dont il a la charge, les autres Membres peuvent néanmoins poursuivre afin de prendre une décision, à moins que :</w:t>
            </w:r>
          </w:p>
          <w:p w14:paraId="18BF5ED3" w14:textId="77777777" w:rsidR="00F332DA" w:rsidRPr="00BD76AF" w:rsidRDefault="00F332DA" w:rsidP="003D46CF">
            <w:pPr>
              <w:pStyle w:val="aff7"/>
              <w:numPr>
                <w:ilvl w:val="1"/>
                <w:numId w:val="93"/>
              </w:numPr>
              <w:adjustRightInd/>
              <w:spacing w:after="200" w:line="240" w:lineRule="auto"/>
              <w:ind w:leftChars="0"/>
              <w:rPr>
                <w:rFonts w:ascii="Times New Roman" w:hAnsi="Times New Roman"/>
                <w:iCs/>
                <w:sz w:val="24"/>
                <w:szCs w:val="24"/>
                <w:lang w:val="fr-FR"/>
              </w:rPr>
            </w:pPr>
            <w:r w:rsidRPr="00BD76AF">
              <w:rPr>
                <w:rFonts w:ascii="Times New Roman" w:hAnsi="Times New Roman"/>
                <w:iCs/>
                <w:sz w:val="24"/>
                <w:szCs w:val="24"/>
                <w:lang w:val="fr-FR"/>
              </w:rPr>
              <w:t>le Maître d’ouvrage ou l’Entrepreneur ne soit pas d’accord pour qu’ils poursuivent la procédure, ou</w:t>
            </w:r>
          </w:p>
          <w:p w14:paraId="00A589BE" w14:textId="77777777" w:rsidR="00F332DA" w:rsidRPr="00BD76AF" w:rsidRDefault="00F332DA" w:rsidP="003D46CF">
            <w:pPr>
              <w:pStyle w:val="aff7"/>
              <w:numPr>
                <w:ilvl w:val="1"/>
                <w:numId w:val="93"/>
              </w:numPr>
              <w:adjustRightInd/>
              <w:spacing w:after="240" w:line="240" w:lineRule="auto"/>
              <w:ind w:leftChars="0"/>
              <w:rPr>
                <w:iCs/>
                <w:lang w:val="fr-FR"/>
              </w:rPr>
            </w:pPr>
            <w:r w:rsidRPr="00BD76AF">
              <w:rPr>
                <w:rFonts w:ascii="Times New Roman" w:hAnsi="Times New Roman"/>
                <w:iCs/>
                <w:sz w:val="24"/>
                <w:szCs w:val="24"/>
                <w:lang w:val="fr-FR"/>
              </w:rPr>
              <w:t>le Membre absent soit le président du comité, et qu’il/elle donne des instructions afin que les autres Membres ne prennent pas de décision. »</w:t>
            </w:r>
          </w:p>
        </w:tc>
      </w:tr>
    </w:tbl>
    <w:p w14:paraId="01B27018" w14:textId="77777777" w:rsidR="00F332DA" w:rsidRPr="00BD76AF" w:rsidRDefault="00F332DA" w:rsidP="00367D59"/>
    <w:p w14:paraId="3583075C" w14:textId="77777777" w:rsidR="00F332DA" w:rsidRPr="00BD76AF" w:rsidRDefault="00F332DA" w:rsidP="00367D59">
      <w:pPr>
        <w:suppressAutoHyphens w:val="0"/>
        <w:overflowPunct/>
        <w:autoSpaceDE/>
        <w:autoSpaceDN/>
        <w:adjustRightInd/>
        <w:jc w:val="left"/>
        <w:textAlignment w:val="auto"/>
      </w:pPr>
      <w:r w:rsidRPr="00BD76AF">
        <w:br w:type="page"/>
      </w:r>
    </w:p>
    <w:tbl>
      <w:tblPr>
        <w:tblW w:w="9072" w:type="dxa"/>
        <w:tblLayout w:type="fixed"/>
        <w:tblLook w:val="0000" w:firstRow="0" w:lastRow="0" w:firstColumn="0" w:lastColumn="0" w:noHBand="0" w:noVBand="0"/>
      </w:tblPr>
      <w:tblGrid>
        <w:gridCol w:w="9072"/>
      </w:tblGrid>
      <w:tr w:rsidR="00F332DA" w:rsidRPr="00BD76AF" w14:paraId="6366E785" w14:textId="77777777" w:rsidTr="004652AD">
        <w:tc>
          <w:tcPr>
            <w:tcW w:w="9072" w:type="dxa"/>
          </w:tcPr>
          <w:p w14:paraId="7EBE2891" w14:textId="77777777" w:rsidR="00F332DA" w:rsidRPr="00BD76AF" w:rsidRDefault="00F332DA" w:rsidP="00EC55DA">
            <w:pPr>
              <w:pStyle w:val="aff6"/>
              <w:ind w:left="0" w:right="-74"/>
              <w:rPr>
                <w:b/>
                <w:bdr w:val="single" w:sz="4" w:space="0" w:color="auto"/>
                <w:lang w:val="fr-FR" w:eastAsia="ja-JP"/>
              </w:rPr>
            </w:pPr>
          </w:p>
          <w:p w14:paraId="602732D8" w14:textId="77777777" w:rsidR="00F332DA" w:rsidRPr="00BD76AF" w:rsidRDefault="00F332DA" w:rsidP="00EC55DA">
            <w:pPr>
              <w:pStyle w:val="aff6"/>
              <w:ind w:left="0" w:right="-74"/>
              <w:rPr>
                <w:b/>
                <w:bdr w:val="single" w:sz="4" w:space="0" w:color="auto"/>
                <w:lang w:val="fr-FR"/>
              </w:rPr>
            </w:pPr>
            <w:r w:rsidRPr="00BD76AF">
              <w:rPr>
                <w:b/>
                <w:bdr w:val="single" w:sz="4" w:space="0" w:color="auto"/>
                <w:lang w:val="fr-FR"/>
              </w:rPr>
              <w:t>Pas d’utilisation de Comité de Règlement des Différends</w:t>
            </w:r>
          </w:p>
          <w:p w14:paraId="5AD65F29" w14:textId="77777777" w:rsidR="00F332DA" w:rsidRPr="00BD76AF" w:rsidRDefault="00F332DA" w:rsidP="00D45B7D">
            <w:pPr>
              <w:pStyle w:val="aff6"/>
              <w:spacing w:after="80"/>
              <w:ind w:left="0" w:right="0"/>
              <w:rPr>
                <w:i w:val="0"/>
                <w:lang w:val="fr-FR"/>
              </w:rPr>
            </w:pPr>
            <w:r w:rsidRPr="00BD76AF">
              <w:rPr>
                <w:i w:val="0"/>
                <w:lang w:val="fr-FR"/>
              </w:rPr>
              <w:t>[</w:t>
            </w:r>
            <w:r w:rsidRPr="00BD76AF">
              <w:rPr>
                <w:lang w:val="fr-FR"/>
              </w:rPr>
              <w:t xml:space="preserve">Lorsque </w:t>
            </w:r>
            <w:r w:rsidRPr="00BD76AF">
              <w:rPr>
                <w:b/>
                <w:lang w:val="fr-FR"/>
              </w:rPr>
              <w:t>« (c) pas d’utilisation de Comité de Règlement des Différends »</w:t>
            </w:r>
            <w:r w:rsidRPr="00BD76AF">
              <w:rPr>
                <w:lang w:val="fr-FR"/>
              </w:rPr>
              <w:t xml:space="preserve"> est sélectionné, la disposition suivante des DM devra être fournie :</w:t>
            </w:r>
            <w:r w:rsidRPr="00BD76AF">
              <w:rPr>
                <w:i w:val="0"/>
                <w:lang w:val="fr-FR"/>
              </w:rPr>
              <w:t>]</w:t>
            </w:r>
          </w:p>
          <w:tbl>
            <w:tblPr>
              <w:tblW w:w="8692" w:type="dxa"/>
              <w:tblLayout w:type="fixed"/>
              <w:tblLook w:val="0000" w:firstRow="0" w:lastRow="0" w:firstColumn="0" w:lastColumn="0" w:noHBand="0" w:noVBand="0"/>
            </w:tblPr>
            <w:tblGrid>
              <w:gridCol w:w="3348"/>
              <w:gridCol w:w="1440"/>
              <w:gridCol w:w="3904"/>
            </w:tblGrid>
            <w:tr w:rsidR="00F332DA" w:rsidRPr="00BD76AF" w14:paraId="4DE7E491" w14:textId="77777777" w:rsidTr="00EC55DA">
              <w:trPr>
                <w:tblHeader/>
              </w:trPr>
              <w:tc>
                <w:tcPr>
                  <w:tcW w:w="3348" w:type="dxa"/>
                  <w:tcBorders>
                    <w:top w:val="single" w:sz="18" w:space="0" w:color="auto"/>
                    <w:left w:val="single" w:sz="18" w:space="0" w:color="auto"/>
                    <w:bottom w:val="single" w:sz="18" w:space="0" w:color="auto"/>
                    <w:right w:val="single" w:sz="18" w:space="0" w:color="auto"/>
                  </w:tcBorders>
                </w:tcPr>
                <w:p w14:paraId="6D0D87CD" w14:textId="77777777" w:rsidR="00F332DA" w:rsidRPr="00BD76AF" w:rsidRDefault="00F332DA" w:rsidP="00EC55DA">
                  <w:pPr>
                    <w:spacing w:before="60" w:after="60"/>
                    <w:jc w:val="center"/>
                    <w:rPr>
                      <w:b/>
                      <w:szCs w:val="24"/>
                    </w:rPr>
                  </w:pPr>
                  <w:r w:rsidRPr="00BD76AF">
                    <w:rPr>
                      <w:b/>
                      <w:szCs w:val="24"/>
                    </w:rPr>
                    <w:t>Conditions</w:t>
                  </w:r>
                </w:p>
              </w:tc>
              <w:tc>
                <w:tcPr>
                  <w:tcW w:w="1440" w:type="dxa"/>
                  <w:tcBorders>
                    <w:top w:val="single" w:sz="18" w:space="0" w:color="auto"/>
                    <w:left w:val="single" w:sz="18" w:space="0" w:color="auto"/>
                    <w:bottom w:val="single" w:sz="18" w:space="0" w:color="auto"/>
                    <w:right w:val="single" w:sz="18" w:space="0" w:color="auto"/>
                  </w:tcBorders>
                </w:tcPr>
                <w:p w14:paraId="3B1FB07E" w14:textId="77777777" w:rsidR="00F332DA" w:rsidRPr="00BD76AF" w:rsidRDefault="00F332DA" w:rsidP="00EC55DA">
                  <w:pPr>
                    <w:spacing w:before="60" w:after="60"/>
                    <w:jc w:val="center"/>
                    <w:rPr>
                      <w:b/>
                      <w:szCs w:val="24"/>
                    </w:rPr>
                  </w:pPr>
                  <w:r w:rsidRPr="00BD76AF">
                    <w:rPr>
                      <w:b/>
                      <w:szCs w:val="24"/>
                    </w:rPr>
                    <w:t>Article</w:t>
                  </w:r>
                </w:p>
              </w:tc>
              <w:tc>
                <w:tcPr>
                  <w:tcW w:w="3904" w:type="dxa"/>
                  <w:tcBorders>
                    <w:top w:val="single" w:sz="18" w:space="0" w:color="auto"/>
                    <w:left w:val="single" w:sz="18" w:space="0" w:color="auto"/>
                    <w:bottom w:val="single" w:sz="18" w:space="0" w:color="auto"/>
                    <w:right w:val="single" w:sz="18" w:space="0" w:color="auto"/>
                  </w:tcBorders>
                </w:tcPr>
                <w:p w14:paraId="49C2B6B4" w14:textId="77777777" w:rsidR="00F332DA" w:rsidRPr="00BD76AF" w:rsidRDefault="00F332DA" w:rsidP="00EC55DA">
                  <w:pPr>
                    <w:tabs>
                      <w:tab w:val="left" w:pos="5285"/>
                    </w:tabs>
                    <w:spacing w:before="60" w:after="60"/>
                    <w:ind w:right="-94"/>
                    <w:jc w:val="center"/>
                    <w:rPr>
                      <w:b/>
                      <w:szCs w:val="24"/>
                    </w:rPr>
                  </w:pPr>
                  <w:r w:rsidRPr="00BD76AF">
                    <w:rPr>
                      <w:b/>
                      <w:szCs w:val="24"/>
                    </w:rPr>
                    <w:t>Données</w:t>
                  </w:r>
                </w:p>
              </w:tc>
            </w:tr>
            <w:tr w:rsidR="00F332DA" w:rsidRPr="00BD76AF" w14:paraId="7970CF81" w14:textId="77777777" w:rsidTr="00EC55DA">
              <w:trPr>
                <w:cantSplit/>
                <w:trHeight w:val="1149"/>
              </w:trPr>
              <w:tc>
                <w:tcPr>
                  <w:tcW w:w="3348" w:type="dxa"/>
                  <w:tcBorders>
                    <w:top w:val="single" w:sz="2" w:space="0" w:color="auto"/>
                    <w:left w:val="single" w:sz="2" w:space="0" w:color="auto"/>
                    <w:right w:val="single" w:sz="2" w:space="0" w:color="auto"/>
                  </w:tcBorders>
                </w:tcPr>
                <w:p w14:paraId="54386BF6" w14:textId="77777777" w:rsidR="00F332DA" w:rsidRPr="00BD76AF" w:rsidRDefault="00F332DA" w:rsidP="00EC55DA">
                  <w:pPr>
                    <w:spacing w:before="60" w:after="60"/>
                    <w:rPr>
                      <w:b/>
                      <w:bCs/>
                      <w:szCs w:val="24"/>
                    </w:rPr>
                  </w:pPr>
                  <w:r w:rsidRPr="00BD76AF">
                    <w:rPr>
                      <w:b/>
                      <w:bCs/>
                      <w:szCs w:val="24"/>
                    </w:rPr>
                    <w:t>Date au plus tard à laquelle le Comité de Règlement des Différends doit être nommé</w:t>
                  </w:r>
                </w:p>
              </w:tc>
              <w:tc>
                <w:tcPr>
                  <w:tcW w:w="1440" w:type="dxa"/>
                  <w:tcBorders>
                    <w:top w:val="single" w:sz="2" w:space="0" w:color="auto"/>
                    <w:left w:val="single" w:sz="2" w:space="0" w:color="auto"/>
                    <w:right w:val="single" w:sz="2" w:space="0" w:color="auto"/>
                  </w:tcBorders>
                </w:tcPr>
                <w:p w14:paraId="13929BAE" w14:textId="77777777" w:rsidR="00F332DA" w:rsidRPr="00BD76AF" w:rsidRDefault="00F332DA" w:rsidP="00EC55DA">
                  <w:pPr>
                    <w:spacing w:before="60" w:after="60"/>
                    <w:jc w:val="left"/>
                    <w:rPr>
                      <w:szCs w:val="24"/>
                    </w:rPr>
                  </w:pPr>
                  <w:r w:rsidRPr="00BD76AF">
                    <w:rPr>
                      <w:szCs w:val="24"/>
                    </w:rPr>
                    <w:t>45.1</w:t>
                  </w:r>
                </w:p>
              </w:tc>
              <w:tc>
                <w:tcPr>
                  <w:tcW w:w="3904" w:type="dxa"/>
                  <w:tcBorders>
                    <w:top w:val="single" w:sz="18" w:space="0" w:color="auto"/>
                    <w:left w:val="single" w:sz="2" w:space="0" w:color="auto"/>
                    <w:right w:val="single" w:sz="2" w:space="0" w:color="auto"/>
                  </w:tcBorders>
                </w:tcPr>
                <w:p w14:paraId="7A6B177B" w14:textId="77777777" w:rsidR="00F332DA" w:rsidRPr="00BD76AF" w:rsidRDefault="00F332DA" w:rsidP="00EC55DA">
                  <w:pPr>
                    <w:spacing w:before="60" w:after="120"/>
                    <w:rPr>
                      <w:i/>
                      <w:szCs w:val="24"/>
                    </w:rPr>
                  </w:pPr>
                  <w:r w:rsidRPr="00BD76AF">
                    <w:rPr>
                      <w:szCs w:val="24"/>
                    </w:rPr>
                    <w:t>[</w:t>
                  </w:r>
                  <w:r w:rsidRPr="00BD76AF">
                    <w:rPr>
                      <w:i/>
                      <w:szCs w:val="24"/>
                    </w:rPr>
                    <w:t>indiquer « Cet Article 45.1 des DM est sans objet. »</w:t>
                  </w:r>
                  <w:r w:rsidRPr="00BD76AF">
                    <w:rPr>
                      <w:szCs w:val="24"/>
                    </w:rPr>
                    <w:t>]</w:t>
                  </w:r>
                </w:p>
              </w:tc>
            </w:tr>
            <w:tr w:rsidR="00F332DA" w:rsidRPr="00BD76AF" w14:paraId="028478DE" w14:textId="77777777" w:rsidTr="00EC55DA">
              <w:trPr>
                <w:cantSplit/>
                <w:trHeight w:val="955"/>
              </w:trPr>
              <w:tc>
                <w:tcPr>
                  <w:tcW w:w="3348" w:type="dxa"/>
                  <w:tcBorders>
                    <w:top w:val="single" w:sz="2" w:space="0" w:color="auto"/>
                    <w:left w:val="single" w:sz="2" w:space="0" w:color="auto"/>
                    <w:bottom w:val="single" w:sz="2" w:space="0" w:color="auto"/>
                    <w:right w:val="single" w:sz="2" w:space="0" w:color="auto"/>
                  </w:tcBorders>
                </w:tcPr>
                <w:p w14:paraId="77D57196" w14:textId="77777777" w:rsidR="00F332DA" w:rsidRPr="00BD76AF" w:rsidRDefault="00F332DA" w:rsidP="00EC55DA">
                  <w:pPr>
                    <w:spacing w:before="60" w:after="60"/>
                    <w:rPr>
                      <w:b/>
                      <w:bCs/>
                      <w:szCs w:val="24"/>
                    </w:rPr>
                  </w:pPr>
                  <w:r w:rsidRPr="00BD76AF">
                    <w:rPr>
                      <w:b/>
                      <w:bCs/>
                      <w:szCs w:val="24"/>
                    </w:rPr>
                    <w:t>Le Comité de Règlement des Différends doit comprendre</w:t>
                  </w:r>
                </w:p>
              </w:tc>
              <w:tc>
                <w:tcPr>
                  <w:tcW w:w="1440" w:type="dxa"/>
                  <w:tcBorders>
                    <w:top w:val="single" w:sz="2" w:space="0" w:color="auto"/>
                    <w:left w:val="single" w:sz="2" w:space="0" w:color="auto"/>
                    <w:bottom w:val="single" w:sz="2" w:space="0" w:color="auto"/>
                    <w:right w:val="single" w:sz="2" w:space="0" w:color="auto"/>
                  </w:tcBorders>
                </w:tcPr>
                <w:p w14:paraId="52736CB8" w14:textId="77777777" w:rsidR="00F332DA" w:rsidRPr="00BD76AF" w:rsidRDefault="00F332DA" w:rsidP="00EC55DA">
                  <w:pPr>
                    <w:spacing w:before="60" w:after="60"/>
                    <w:jc w:val="left"/>
                    <w:rPr>
                      <w:szCs w:val="24"/>
                    </w:rPr>
                  </w:pPr>
                  <w:r w:rsidRPr="00BD76AF">
                    <w:rPr>
                      <w:szCs w:val="24"/>
                    </w:rPr>
                    <w:t>45.1</w:t>
                  </w:r>
                </w:p>
              </w:tc>
              <w:tc>
                <w:tcPr>
                  <w:tcW w:w="3904" w:type="dxa"/>
                  <w:tcBorders>
                    <w:top w:val="single" w:sz="2" w:space="0" w:color="auto"/>
                    <w:left w:val="single" w:sz="2" w:space="0" w:color="auto"/>
                    <w:bottom w:val="single" w:sz="2" w:space="0" w:color="auto"/>
                    <w:right w:val="single" w:sz="2" w:space="0" w:color="auto"/>
                  </w:tcBorders>
                </w:tcPr>
                <w:p w14:paraId="311EB7F8" w14:textId="77777777" w:rsidR="00F332DA" w:rsidRPr="00BD76AF" w:rsidRDefault="00F332DA" w:rsidP="00EC55DA">
                  <w:pPr>
                    <w:spacing w:before="60" w:after="120"/>
                    <w:rPr>
                      <w:i/>
                      <w:iCs/>
                      <w:szCs w:val="24"/>
                      <w:lang w:eastAsia="ja-JP"/>
                    </w:rPr>
                  </w:pPr>
                  <w:r w:rsidRPr="00BD76AF">
                    <w:rPr>
                      <w:szCs w:val="24"/>
                    </w:rPr>
                    <w:t>[</w:t>
                  </w:r>
                  <w:r w:rsidRPr="00BD76AF">
                    <w:rPr>
                      <w:i/>
                      <w:szCs w:val="24"/>
                    </w:rPr>
                    <w:t>indiquer « Cet Article 45.1 des DM est sans objet. »</w:t>
                  </w:r>
                  <w:r w:rsidRPr="00BD76AF">
                    <w:rPr>
                      <w:iCs/>
                      <w:szCs w:val="24"/>
                      <w:lang w:eastAsia="ja-JP"/>
                    </w:rPr>
                    <w:t>]</w:t>
                  </w:r>
                </w:p>
              </w:tc>
            </w:tr>
            <w:tr w:rsidR="00F332DA" w:rsidRPr="00BD76AF" w14:paraId="25806C3B" w14:textId="77777777" w:rsidTr="00EC55DA">
              <w:trPr>
                <w:cantSplit/>
                <w:trHeight w:val="955"/>
              </w:trPr>
              <w:tc>
                <w:tcPr>
                  <w:tcW w:w="3348" w:type="dxa"/>
                  <w:tcBorders>
                    <w:top w:val="single" w:sz="2" w:space="0" w:color="auto"/>
                    <w:left w:val="single" w:sz="2" w:space="0" w:color="auto"/>
                    <w:bottom w:val="single" w:sz="2" w:space="0" w:color="auto"/>
                    <w:right w:val="single" w:sz="2" w:space="0" w:color="auto"/>
                  </w:tcBorders>
                </w:tcPr>
                <w:p w14:paraId="2F1D92F9" w14:textId="77777777" w:rsidR="00F332DA" w:rsidRPr="00BD76AF" w:rsidRDefault="00F332DA" w:rsidP="00EC55DA">
                  <w:pPr>
                    <w:spacing w:before="60" w:after="60"/>
                    <w:rPr>
                      <w:b/>
                      <w:bCs/>
                      <w:szCs w:val="24"/>
                    </w:rPr>
                  </w:pPr>
                  <w:r w:rsidRPr="00BD76AF">
                    <w:rPr>
                      <w:b/>
                      <w:bCs/>
                      <w:szCs w:val="24"/>
                    </w:rPr>
                    <w:t>La nomination (à défaut d’accord) doit être faite par</w:t>
                  </w:r>
                </w:p>
              </w:tc>
              <w:tc>
                <w:tcPr>
                  <w:tcW w:w="1440" w:type="dxa"/>
                  <w:tcBorders>
                    <w:top w:val="single" w:sz="2" w:space="0" w:color="auto"/>
                    <w:left w:val="single" w:sz="2" w:space="0" w:color="auto"/>
                    <w:bottom w:val="single" w:sz="2" w:space="0" w:color="auto"/>
                    <w:right w:val="single" w:sz="2" w:space="0" w:color="auto"/>
                  </w:tcBorders>
                </w:tcPr>
                <w:p w14:paraId="1C9C2863" w14:textId="77777777" w:rsidR="00F332DA" w:rsidRPr="00BD76AF" w:rsidRDefault="00F332DA" w:rsidP="00EC55DA">
                  <w:pPr>
                    <w:spacing w:before="60" w:after="60"/>
                    <w:jc w:val="left"/>
                    <w:rPr>
                      <w:szCs w:val="24"/>
                    </w:rPr>
                  </w:pPr>
                  <w:r w:rsidRPr="00BD76AF">
                    <w:rPr>
                      <w:szCs w:val="24"/>
                    </w:rPr>
                    <w:t>45.2</w:t>
                  </w:r>
                </w:p>
              </w:tc>
              <w:tc>
                <w:tcPr>
                  <w:tcW w:w="3904" w:type="dxa"/>
                  <w:tcBorders>
                    <w:top w:val="single" w:sz="2" w:space="0" w:color="auto"/>
                    <w:left w:val="single" w:sz="2" w:space="0" w:color="auto"/>
                    <w:bottom w:val="single" w:sz="2" w:space="0" w:color="auto"/>
                    <w:right w:val="single" w:sz="2" w:space="0" w:color="auto"/>
                  </w:tcBorders>
                </w:tcPr>
                <w:p w14:paraId="2DC624D9" w14:textId="77777777" w:rsidR="00F332DA" w:rsidRPr="00BD76AF" w:rsidRDefault="00F332DA" w:rsidP="00EC55DA">
                  <w:pPr>
                    <w:spacing w:before="60" w:after="120"/>
                    <w:rPr>
                      <w:i/>
                      <w:szCs w:val="24"/>
                    </w:rPr>
                  </w:pPr>
                  <w:r w:rsidRPr="00BD76AF">
                    <w:rPr>
                      <w:szCs w:val="24"/>
                    </w:rPr>
                    <w:t>[</w:t>
                  </w:r>
                  <w:r w:rsidRPr="00BD76AF">
                    <w:rPr>
                      <w:i/>
                      <w:szCs w:val="24"/>
                    </w:rPr>
                    <w:t>indiquer « Cet Article 45.2 des DM est sans objet. »</w:t>
                  </w:r>
                  <w:r w:rsidRPr="00BD76AF">
                    <w:rPr>
                      <w:szCs w:val="24"/>
                    </w:rPr>
                    <w:t>]</w:t>
                  </w:r>
                </w:p>
              </w:tc>
            </w:tr>
          </w:tbl>
          <w:p w14:paraId="4AC4CD47" w14:textId="77777777" w:rsidR="00F332DA" w:rsidRPr="00BD76AF" w:rsidRDefault="00F332DA" w:rsidP="00EC55DA">
            <w:pPr>
              <w:tabs>
                <w:tab w:val="left" w:pos="3479"/>
                <w:tab w:val="left" w:pos="4919"/>
              </w:tabs>
              <w:spacing w:before="60" w:after="120"/>
              <w:ind w:left="131"/>
              <w:jc w:val="left"/>
              <w:rPr>
                <w:szCs w:val="24"/>
              </w:rPr>
            </w:pPr>
          </w:p>
          <w:p w14:paraId="7B03FF52" w14:textId="77777777" w:rsidR="00F332DA" w:rsidRPr="00BD76AF" w:rsidRDefault="00F332DA" w:rsidP="00EC55DA">
            <w:pPr>
              <w:spacing w:after="200"/>
              <w:rPr>
                <w:iCs/>
                <w:lang w:eastAsia="ja-JP"/>
              </w:rPr>
            </w:pPr>
          </w:p>
        </w:tc>
      </w:tr>
    </w:tbl>
    <w:p w14:paraId="7DCCC788" w14:textId="77777777" w:rsidR="00F332DA" w:rsidRPr="00BD76AF" w:rsidRDefault="00F332DA" w:rsidP="00674705">
      <w:pPr>
        <w:sectPr w:rsidR="00F332DA" w:rsidRPr="00BD76AF" w:rsidSect="00367D59">
          <w:headerReference w:type="even" r:id="rId96"/>
          <w:headerReference w:type="default" r:id="rId97"/>
          <w:footnotePr>
            <w:numRestart w:val="eachPage"/>
          </w:footnotePr>
          <w:pgSz w:w="12240" w:h="15840"/>
          <w:pgMar w:top="1440" w:right="1440" w:bottom="1440" w:left="1797" w:header="720" w:footer="720" w:gutter="0"/>
          <w:cols w:space="720"/>
        </w:sectPr>
      </w:pPr>
    </w:p>
    <w:p w14:paraId="340FB407" w14:textId="77777777" w:rsidR="00F332DA" w:rsidRPr="00BD76AF" w:rsidRDefault="00F332DA" w:rsidP="00674705"/>
    <w:tbl>
      <w:tblPr>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14"/>
      </w:tblGrid>
      <w:tr w:rsidR="00F332DA" w:rsidRPr="00BD76AF" w14:paraId="4236F247" w14:textId="77777777" w:rsidTr="00674705">
        <w:trPr>
          <w:trHeight w:val="713"/>
        </w:trPr>
        <w:tc>
          <w:tcPr>
            <w:tcW w:w="9014" w:type="dxa"/>
            <w:tcBorders>
              <w:top w:val="nil"/>
              <w:left w:val="nil"/>
              <w:bottom w:val="nil"/>
              <w:right w:val="nil"/>
            </w:tcBorders>
          </w:tcPr>
          <w:p w14:paraId="597A41B0" w14:textId="77777777" w:rsidR="00F332DA" w:rsidRPr="00BD76AF" w:rsidRDefault="00F332DA" w:rsidP="00674705">
            <w:pPr>
              <w:pStyle w:val="17"/>
              <w:spacing w:after="200"/>
              <w:rPr>
                <w:lang w:val="fr-FR"/>
              </w:rPr>
            </w:pPr>
            <w:bookmarkStart w:id="823" w:name="_Toc156027998"/>
            <w:bookmarkStart w:id="824" w:name="_Toc156372857"/>
            <w:bookmarkStart w:id="825" w:name="_Toc326657871"/>
            <w:bookmarkStart w:id="826" w:name="_Toc349055434"/>
            <w:bookmarkStart w:id="827" w:name="_Toc354567710"/>
            <w:r w:rsidRPr="00BD76AF">
              <w:rPr>
                <w:lang w:val="fr-FR"/>
              </w:rPr>
              <w:t>Section IX. Formulaires du Marché</w:t>
            </w:r>
            <w:bookmarkEnd w:id="823"/>
            <w:bookmarkEnd w:id="824"/>
            <w:bookmarkEnd w:id="825"/>
            <w:bookmarkEnd w:id="826"/>
            <w:bookmarkEnd w:id="827"/>
          </w:p>
        </w:tc>
      </w:tr>
    </w:tbl>
    <w:p w14:paraId="50F95280" w14:textId="77777777" w:rsidR="00F332DA" w:rsidRPr="00BD76AF" w:rsidRDefault="00F332DA" w:rsidP="00674705"/>
    <w:p w14:paraId="07DEE7FF" w14:textId="77777777" w:rsidR="00F332DA" w:rsidRPr="00BD76AF" w:rsidRDefault="00F332DA" w:rsidP="00674705">
      <w:pPr>
        <w:pStyle w:val="Subtitle21"/>
        <w:jc w:val="both"/>
        <w:outlineLvl w:val="9"/>
        <w:rPr>
          <w:lang w:val="fr-F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3"/>
      </w:tblGrid>
      <w:tr w:rsidR="00F332DA" w:rsidRPr="00BD76AF" w14:paraId="0AAB8E4E" w14:textId="77777777" w:rsidTr="003B1ACC">
        <w:trPr>
          <w:trHeight w:val="1030"/>
        </w:trPr>
        <w:tc>
          <w:tcPr>
            <w:tcW w:w="9108" w:type="dxa"/>
            <w:shd w:val="clear" w:color="auto" w:fill="auto"/>
          </w:tcPr>
          <w:p w14:paraId="0D76DFE8" w14:textId="77777777" w:rsidR="00F332DA" w:rsidRPr="00BD76AF" w:rsidRDefault="00F332DA" w:rsidP="003B1ACC">
            <w:pPr>
              <w:jc w:val="center"/>
              <w:rPr>
                <w:lang w:eastAsia="ja-JP"/>
              </w:rPr>
            </w:pPr>
          </w:p>
          <w:p w14:paraId="24787896" w14:textId="77777777" w:rsidR="00F332DA" w:rsidRPr="00BD76AF" w:rsidRDefault="00F332DA" w:rsidP="003B1ACC">
            <w:pPr>
              <w:spacing w:afterLines="150" w:after="360"/>
              <w:jc w:val="center"/>
              <w:rPr>
                <w:b/>
                <w:sz w:val="28"/>
                <w:szCs w:val="28"/>
              </w:rPr>
            </w:pPr>
            <w:r w:rsidRPr="00BD76AF">
              <w:rPr>
                <w:b/>
                <w:bCs/>
                <w:sz w:val="28"/>
                <w:szCs w:val="28"/>
              </w:rPr>
              <w:t xml:space="preserve">Notes </w:t>
            </w:r>
            <w:r w:rsidRPr="00BD76AF">
              <w:rPr>
                <w:rFonts w:hint="eastAsia"/>
                <w:b/>
                <w:bCs/>
                <w:sz w:val="28"/>
                <w:szCs w:val="28"/>
                <w:lang w:eastAsia="ja-JP"/>
              </w:rPr>
              <w:t>à</w:t>
            </w:r>
            <w:r w:rsidRPr="00BD76AF">
              <w:rPr>
                <w:b/>
                <w:bCs/>
                <w:sz w:val="28"/>
                <w:szCs w:val="28"/>
                <w:lang w:eastAsia="ja-JP"/>
              </w:rPr>
              <w:t xml:space="preserve"> l’intention du Maître d’ouvrage</w:t>
            </w:r>
          </w:p>
          <w:p w14:paraId="3CB6D9E6" w14:textId="77777777" w:rsidR="00F332DA" w:rsidRPr="00BD76AF" w:rsidRDefault="00F332DA" w:rsidP="003B1ACC">
            <w:pPr>
              <w:spacing w:afterLines="100" w:after="240"/>
            </w:pPr>
            <w:r w:rsidRPr="00BD76AF">
              <w:t xml:space="preserve">Cette section comprend le modèle de la Lettre d’acceptation de l’offre, de l’Acte d’engagement et de ces annexes, qui, une fois complétées, feront partie du Marché. </w:t>
            </w:r>
          </w:p>
          <w:p w14:paraId="4DD22A5D" w14:textId="77777777" w:rsidR="00F332DA" w:rsidRPr="00BD76AF" w:rsidRDefault="00F332DA" w:rsidP="003B1ACC">
            <w:pPr>
              <w:spacing w:afterLines="100" w:after="240"/>
            </w:pPr>
            <w:r w:rsidRPr="00BD76AF">
              <w:rPr>
                <w:rFonts w:hint="eastAsia"/>
              </w:rPr>
              <w:t xml:space="preserve">La structure et le contenu de </w:t>
            </w:r>
            <w:r w:rsidRPr="00BD76AF">
              <w:t>l’Acte d’engagement ne doivent pas être modifiés car ils sont liés aux CG.</w:t>
            </w:r>
          </w:p>
          <w:p w14:paraId="12B01B83" w14:textId="77777777" w:rsidR="00F332DA" w:rsidRPr="00BD76AF" w:rsidRDefault="00F332DA" w:rsidP="003B1ACC">
            <w:pPr>
              <w:spacing w:after="120"/>
            </w:pPr>
            <w:r w:rsidRPr="00BD76AF">
              <w:t>Le Maître d’ouvrage doit sélectionner l’un des deux formulaires de garantie de bonne exécution compris dans cette section et retirer l’autre du Dossier d’appel d’offres qui sera effectivement remis aux Soumissionnaires.</w:t>
            </w:r>
          </w:p>
          <w:p w14:paraId="091C2F62" w14:textId="77777777" w:rsidR="00F332DA" w:rsidRPr="00BD76AF" w:rsidRDefault="00F332DA" w:rsidP="003B1ACC">
            <w:pPr>
              <w:spacing w:after="120"/>
            </w:pPr>
            <w:r w:rsidRPr="00BD76AF">
              <w:t>Les formulaires standard suivants doivent être complétés par le Maître d’ouvrage durant la procédure de l’appel d’offres, conformément aux instructions et aux directives données dans chaque formulaire.</w:t>
            </w:r>
          </w:p>
          <w:p w14:paraId="19527E52" w14:textId="77777777" w:rsidR="00F332DA" w:rsidRPr="00BD76AF" w:rsidRDefault="00F332DA" w:rsidP="003B1ACC">
            <w:pPr>
              <w:tabs>
                <w:tab w:val="left" w:pos="426"/>
              </w:tabs>
            </w:pPr>
            <w:r w:rsidRPr="00BD76AF">
              <w:t>a)</w:t>
            </w:r>
            <w:r w:rsidRPr="00BD76AF">
              <w:tab/>
              <w:t>Annexe 1. Conditions et procédures de règlement ;</w:t>
            </w:r>
          </w:p>
          <w:p w14:paraId="0CC4E0B7" w14:textId="77777777" w:rsidR="00F332DA" w:rsidRPr="00BD76AF" w:rsidRDefault="00F332DA" w:rsidP="003B1ACC">
            <w:pPr>
              <w:tabs>
                <w:tab w:val="left" w:pos="426"/>
              </w:tabs>
            </w:pPr>
            <w:r w:rsidRPr="00BD76AF">
              <w:t>b)</w:t>
            </w:r>
            <w:r w:rsidRPr="00BD76AF">
              <w:tab/>
              <w:t>Annexe 3. Assurances obligatoires ;</w:t>
            </w:r>
          </w:p>
          <w:p w14:paraId="77ED868C" w14:textId="77777777" w:rsidR="00F332DA" w:rsidRPr="00BD76AF" w:rsidRDefault="00F332DA" w:rsidP="003B1ACC">
            <w:pPr>
              <w:tabs>
                <w:tab w:val="left" w:pos="426"/>
              </w:tabs>
            </w:pPr>
            <w:r w:rsidRPr="00BD76AF">
              <w:t>c)</w:t>
            </w:r>
            <w:r w:rsidRPr="00BD76AF">
              <w:tab/>
              <w:t>Annexe 4. Calendrier d’exécution ;</w:t>
            </w:r>
          </w:p>
          <w:p w14:paraId="6E4FA04B" w14:textId="77777777" w:rsidR="00F332DA" w:rsidRPr="00BD76AF" w:rsidRDefault="00F332DA" w:rsidP="003B1ACC">
            <w:pPr>
              <w:tabs>
                <w:tab w:val="left" w:pos="426"/>
              </w:tabs>
            </w:pPr>
            <w:r w:rsidRPr="00BD76AF">
              <w:t>d)</w:t>
            </w:r>
            <w:r w:rsidRPr="00BD76AF">
              <w:tab/>
              <w:t>Annexe 6. Pays d’origine éligibles des Prêts APD du Japon ;</w:t>
            </w:r>
          </w:p>
          <w:p w14:paraId="7FC54BC3" w14:textId="77777777" w:rsidR="00F332DA" w:rsidRPr="00BD76AF" w:rsidRDefault="00F332DA" w:rsidP="003B1ACC">
            <w:pPr>
              <w:tabs>
                <w:tab w:val="left" w:pos="426"/>
              </w:tabs>
            </w:pPr>
            <w:r w:rsidRPr="00BD76AF">
              <w:t>e)</w:t>
            </w:r>
            <w:r w:rsidRPr="00BD76AF">
              <w:tab/>
              <w:t xml:space="preserve">Annexe 7. Liste </w:t>
            </w:r>
            <w:r w:rsidRPr="00BD76AF">
              <w:rPr>
                <w:szCs w:val="24"/>
              </w:rPr>
              <w:t>des documents soumis à approbation ou examen ;</w:t>
            </w:r>
          </w:p>
          <w:p w14:paraId="4EF8750B" w14:textId="77777777" w:rsidR="00F332DA" w:rsidRPr="00BD76AF" w:rsidRDefault="00F332DA" w:rsidP="003B1ACC">
            <w:pPr>
              <w:tabs>
                <w:tab w:val="left" w:pos="426"/>
              </w:tabs>
            </w:pPr>
            <w:r w:rsidRPr="00BD76AF">
              <w:t>f)</w:t>
            </w:r>
            <w:r w:rsidRPr="00BD76AF">
              <w:tab/>
              <w:t xml:space="preserve">Annexe 8. </w:t>
            </w:r>
            <w:r w:rsidRPr="00BD76AF">
              <w:rPr>
                <w:szCs w:val="24"/>
              </w:rPr>
              <w:t>Garanties opérationnelles.</w:t>
            </w:r>
          </w:p>
          <w:p w14:paraId="2CAF14EB" w14:textId="77777777" w:rsidR="00F332DA" w:rsidRPr="00BD76AF" w:rsidRDefault="00F332DA" w:rsidP="003B1ACC"/>
          <w:p w14:paraId="53C240C1" w14:textId="77777777" w:rsidR="00F332DA" w:rsidRPr="00BD76AF" w:rsidRDefault="00F332DA" w:rsidP="003B1ACC">
            <w:pPr>
              <w:spacing w:after="200"/>
              <w:rPr>
                <w:lang w:eastAsia="ja-JP"/>
              </w:rPr>
            </w:pPr>
            <w:r w:rsidRPr="00BD76AF">
              <w:rPr>
                <w:lang w:eastAsia="ja-JP"/>
              </w:rPr>
              <w:t>Les autres formulaires standard ne doivent être complétés et adressés au Soumissionnaire retenu</w:t>
            </w:r>
            <w:r w:rsidRPr="00BD76AF">
              <w:t xml:space="preserve"> </w:t>
            </w:r>
            <w:r w:rsidRPr="00BD76AF">
              <w:rPr>
                <w:lang w:eastAsia="ja-JP"/>
              </w:rPr>
              <w:t>qu’une fois l’évaluation des offres terminée et avant la signature du Marché.</w:t>
            </w:r>
          </w:p>
          <w:p w14:paraId="5E3B0D98" w14:textId="77777777" w:rsidR="00F332DA" w:rsidRPr="00BD76AF" w:rsidRDefault="00F332DA" w:rsidP="003B1ACC">
            <w:pPr>
              <w:spacing w:afterLines="100" w:after="240"/>
              <w:rPr>
                <w:lang w:eastAsia="ja-JP"/>
              </w:rPr>
            </w:pPr>
            <w:r w:rsidRPr="00BD76AF">
              <w:rPr>
                <w:lang w:eastAsia="ja-JP"/>
              </w:rPr>
              <w:t>Le formulaire de la garantie de restitution d’avance doit être complété et remis par l’Entrepreneur (le Soumissionnaire retenu) après la signature du Marché.</w:t>
            </w:r>
          </w:p>
          <w:p w14:paraId="1A856620" w14:textId="77777777" w:rsidR="00F332DA" w:rsidRPr="00BD76AF" w:rsidRDefault="00F332DA" w:rsidP="003B1ACC">
            <w:pPr>
              <w:spacing w:afterLines="100" w:after="240"/>
            </w:pPr>
            <w:r w:rsidRPr="00BD76AF">
              <w:t xml:space="preserve">La Lettre d’acceptation de l’offre sera la base de la conclusion du Marché conformément à IS 39.3 (dans le cas d’un </w:t>
            </w:r>
            <w:r w:rsidRPr="00BD76AF">
              <w:rPr>
                <w:iCs/>
                <w:spacing w:val="2"/>
                <w:szCs w:val="24"/>
              </w:rPr>
              <w:t>appel d’offres à une étape-deux enveloppes) ou IS 52.3 (dans le cas d’un appel d’offres à deux étapes-une enveloppe), qui prévoit que la Lettre d’acceptation de l’offre aura valeur d’un engagement réciproque, jusqu’à ce que le Marché soit formellement signé</w:t>
            </w:r>
            <w:r w:rsidRPr="00BD76AF">
              <w:t xml:space="preserve">. </w:t>
            </w:r>
          </w:p>
        </w:tc>
      </w:tr>
    </w:tbl>
    <w:p w14:paraId="727EEE0C" w14:textId="77777777" w:rsidR="00F332DA" w:rsidRPr="00BD76AF" w:rsidRDefault="00F332DA" w:rsidP="00367D59">
      <w:pPr>
        <w:pStyle w:val="S9Header"/>
        <w:jc w:val="both"/>
        <w:rPr>
          <w:b w:val="0"/>
          <w:sz w:val="24"/>
          <w:szCs w:val="24"/>
          <w:lang w:eastAsia="ja-JP"/>
        </w:rPr>
      </w:pPr>
    </w:p>
    <w:p w14:paraId="0A7F268B" w14:textId="77777777" w:rsidR="00F332DA" w:rsidRPr="00BD76AF" w:rsidRDefault="00F332DA" w:rsidP="00367D59">
      <w:pPr>
        <w:pStyle w:val="S9Header"/>
        <w:jc w:val="both"/>
        <w:rPr>
          <w:lang w:eastAsia="ja-JP"/>
        </w:rPr>
        <w:sectPr w:rsidR="00F332DA" w:rsidRPr="00BD76AF" w:rsidSect="00674705">
          <w:headerReference w:type="default" r:id="rId98"/>
          <w:footnotePr>
            <w:numRestart w:val="eachPage"/>
          </w:footnotePr>
          <w:type w:val="oddPage"/>
          <w:pgSz w:w="12240" w:h="15840"/>
          <w:pgMar w:top="1440" w:right="1440" w:bottom="1440" w:left="1797" w:header="720" w:footer="720" w:gutter="0"/>
          <w:cols w:space="720"/>
        </w:sectPr>
      </w:pPr>
    </w:p>
    <w:p w14:paraId="4AF6506D" w14:textId="77777777" w:rsidR="00F332DA" w:rsidRPr="00BD76AF" w:rsidRDefault="00F332DA" w:rsidP="001F7B8F">
      <w:pPr>
        <w:rPr>
          <w:lang w:eastAsia="ja-JP"/>
        </w:rPr>
      </w:pPr>
    </w:p>
    <w:p w14:paraId="66784CB2" w14:textId="77777777" w:rsidR="00F332DA" w:rsidRPr="00BD76AF" w:rsidRDefault="00F332DA" w:rsidP="001F7B8F">
      <w:pPr>
        <w:rPr>
          <w:lang w:eastAsia="ja-JP"/>
        </w:rPr>
      </w:pPr>
    </w:p>
    <w:p w14:paraId="30234678" w14:textId="77777777" w:rsidR="00F332DA" w:rsidRPr="00BD76AF" w:rsidRDefault="00F332DA" w:rsidP="003626CE">
      <w:pPr>
        <w:pStyle w:val="3"/>
        <w:ind w:left="432"/>
        <w:jc w:val="center"/>
        <w:rPr>
          <w:b/>
          <w:sz w:val="44"/>
        </w:rPr>
      </w:pPr>
      <w:bookmarkStart w:id="828" w:name="_Toc494778794"/>
      <w:r w:rsidRPr="00BD76AF">
        <w:rPr>
          <w:b/>
          <w:sz w:val="44"/>
        </w:rPr>
        <w:t>Liste des formulaires</w:t>
      </w:r>
      <w:bookmarkEnd w:id="828"/>
    </w:p>
    <w:p w14:paraId="54534275" w14:textId="77777777" w:rsidR="00F332DA" w:rsidRPr="00BD76AF" w:rsidRDefault="00F332DA" w:rsidP="001F7B8F">
      <w:pPr>
        <w:rPr>
          <w:lang w:eastAsia="ja-JP"/>
        </w:rPr>
      </w:pPr>
    </w:p>
    <w:p w14:paraId="19296CAE" w14:textId="77777777" w:rsidR="00F332DA" w:rsidRPr="00BD76AF" w:rsidRDefault="00F332DA" w:rsidP="001F7B8F">
      <w:pPr>
        <w:rPr>
          <w:lang w:eastAsia="ja-JP"/>
        </w:rPr>
      </w:pPr>
    </w:p>
    <w:p w14:paraId="653B1172" w14:textId="64F8A924" w:rsidR="00F332DA" w:rsidRPr="00BD76AF" w:rsidRDefault="00F332DA">
      <w:pPr>
        <w:pStyle w:val="12"/>
        <w:rPr>
          <w:rFonts w:asciiTheme="minorHAnsi" w:eastAsiaTheme="minorEastAsia" w:hAnsiTheme="minorHAnsi" w:cstheme="minorBidi"/>
          <w:b w:val="0"/>
          <w:noProof/>
          <w:kern w:val="2"/>
          <w:sz w:val="21"/>
          <w:szCs w:val="22"/>
          <w:lang w:eastAsia="ja-JP"/>
        </w:rPr>
      </w:pPr>
      <w:r w:rsidRPr="00BD76AF">
        <w:rPr>
          <w:color w:val="FF0000"/>
          <w:sz w:val="28"/>
          <w:u w:val="single"/>
          <w:lang w:val="fr-FR"/>
        </w:rPr>
        <w:fldChar w:fldCharType="begin"/>
      </w:r>
      <w:r w:rsidRPr="00BD76AF">
        <w:rPr>
          <w:color w:val="FF0000"/>
          <w:sz w:val="28"/>
          <w:u w:val="single"/>
          <w:lang w:val="fr-FR"/>
        </w:rPr>
        <w:instrText xml:space="preserve"> TOC \h \z \t "S9 Header,1,S9 - appx,2,S9 - </w:instrText>
      </w:r>
      <w:r w:rsidRPr="00BD76AF">
        <w:rPr>
          <w:color w:val="FF0000"/>
          <w:sz w:val="28"/>
          <w:u w:val="single"/>
          <w:lang w:val="fr-FR" w:eastAsia="ja-JP"/>
        </w:rPr>
        <w:instrText>note</w:instrText>
      </w:r>
      <w:r w:rsidRPr="00BD76AF">
        <w:rPr>
          <w:color w:val="FF0000"/>
          <w:sz w:val="28"/>
          <w:u w:val="single"/>
          <w:lang w:val="fr-FR"/>
        </w:rPr>
        <w:instrText>,</w:instrText>
      </w:r>
      <w:r w:rsidRPr="00BD76AF">
        <w:rPr>
          <w:color w:val="FF0000"/>
          <w:sz w:val="28"/>
          <w:u w:val="single"/>
          <w:lang w:val="fr-FR" w:eastAsia="ja-JP"/>
        </w:rPr>
        <w:instrText>5,</w:instrText>
      </w:r>
      <w:r w:rsidRPr="00BD76AF">
        <w:rPr>
          <w:color w:val="FF0000"/>
          <w:sz w:val="28"/>
          <w:u w:val="single"/>
          <w:lang w:val="fr-FR"/>
        </w:rPr>
        <w:instrText xml:space="preserve"> S9 Header CC,</w:instrText>
      </w:r>
      <w:r w:rsidRPr="00BD76AF">
        <w:rPr>
          <w:color w:val="FF0000"/>
          <w:sz w:val="28"/>
          <w:u w:val="single"/>
          <w:lang w:val="fr-FR" w:eastAsia="ja-JP"/>
        </w:rPr>
        <w:instrText>7</w:instrText>
      </w:r>
      <w:r w:rsidRPr="00BD76AF">
        <w:rPr>
          <w:color w:val="FF0000"/>
          <w:sz w:val="28"/>
          <w:u w:val="single"/>
          <w:lang w:val="fr-FR"/>
        </w:rPr>
        <w:instrText xml:space="preserve">" </w:instrText>
      </w:r>
      <w:r w:rsidRPr="00BD76AF">
        <w:rPr>
          <w:color w:val="FF0000"/>
          <w:sz w:val="28"/>
          <w:u w:val="single"/>
          <w:lang w:val="fr-FR" w:eastAsia="ja-JP"/>
        </w:rPr>
        <w:instrText>\n</w:instrText>
      </w:r>
      <w:r w:rsidRPr="00BD76AF">
        <w:rPr>
          <w:color w:val="FF0000"/>
          <w:sz w:val="28"/>
          <w:u w:val="single"/>
          <w:lang w:val="fr-FR"/>
        </w:rPr>
        <w:instrText xml:space="preserve"> </w:instrText>
      </w:r>
      <w:r w:rsidRPr="00BD76AF">
        <w:rPr>
          <w:color w:val="FF0000"/>
          <w:sz w:val="28"/>
          <w:u w:val="single"/>
          <w:lang w:val="fr-FR" w:eastAsia="ja-JP"/>
        </w:rPr>
        <w:instrText>5-5</w:instrText>
      </w:r>
      <w:r w:rsidRPr="00BD76AF">
        <w:rPr>
          <w:color w:val="FF0000"/>
          <w:sz w:val="28"/>
          <w:u w:val="single"/>
          <w:lang w:val="fr-FR"/>
        </w:rPr>
        <w:fldChar w:fldCharType="separate"/>
      </w:r>
      <w:hyperlink w:anchor="_Toc104152933" w:history="1">
        <w:r w:rsidRPr="00BD76AF">
          <w:rPr>
            <w:rStyle w:val="af1"/>
            <w:noProof/>
            <w:lang w:val="en-GB"/>
          </w:rPr>
          <w:t>Lettre</w:t>
        </w:r>
        <w:r w:rsidRPr="00BD76AF">
          <w:rPr>
            <w:rStyle w:val="af1"/>
            <w:noProof/>
          </w:rPr>
          <w:t xml:space="preserve"> d’acceptation de l’offre</w:t>
        </w:r>
        <w:r w:rsidRPr="00BD76AF">
          <w:rPr>
            <w:noProof/>
            <w:webHidden/>
          </w:rPr>
          <w:tab/>
        </w:r>
        <w:r w:rsidRPr="00BD76AF">
          <w:rPr>
            <w:noProof/>
            <w:webHidden/>
          </w:rPr>
          <w:fldChar w:fldCharType="begin"/>
        </w:r>
        <w:r w:rsidRPr="00BD76AF">
          <w:rPr>
            <w:noProof/>
            <w:webHidden/>
          </w:rPr>
          <w:instrText xml:space="preserve"> PAGEREF _Toc104152933 \h </w:instrText>
        </w:r>
        <w:r w:rsidRPr="00BD76AF">
          <w:rPr>
            <w:noProof/>
            <w:webHidden/>
          </w:rPr>
        </w:r>
        <w:r w:rsidRPr="00BD76AF">
          <w:rPr>
            <w:noProof/>
            <w:webHidden/>
          </w:rPr>
          <w:fldChar w:fldCharType="separate"/>
        </w:r>
        <w:r w:rsidR="0048496E">
          <w:rPr>
            <w:noProof/>
            <w:webHidden/>
          </w:rPr>
          <w:t>2</w:t>
        </w:r>
        <w:r w:rsidRPr="00BD76AF">
          <w:rPr>
            <w:noProof/>
            <w:webHidden/>
          </w:rPr>
          <w:fldChar w:fldCharType="end"/>
        </w:r>
      </w:hyperlink>
    </w:p>
    <w:p w14:paraId="26193222" w14:textId="77777777" w:rsidR="00F332DA" w:rsidRPr="00BD76AF" w:rsidRDefault="00000000" w:rsidP="003A5EF5">
      <w:pPr>
        <w:pStyle w:val="12"/>
        <w:spacing w:after="0"/>
        <w:outlineLvl w:val="9"/>
        <w:rPr>
          <w:rStyle w:val="af1"/>
          <w:b w:val="0"/>
          <w:noProof/>
        </w:rPr>
      </w:pPr>
      <w:hyperlink w:anchor="_Toc99490401" w:history="1">
        <w:r w:rsidR="00F332DA" w:rsidRPr="00BD76AF">
          <w:rPr>
            <w:rStyle w:val="af1"/>
            <w:b w:val="0"/>
            <w:noProof/>
            <w:lang w:val="fr-FR"/>
          </w:rPr>
          <w:t>[Option A : appel d’offres à une étape-deux enveloppes]</w:t>
        </w:r>
      </w:hyperlink>
    </w:p>
    <w:p w14:paraId="2FA51586" w14:textId="1B4AE5EC" w:rsidR="00F332DA" w:rsidRPr="00BD76AF" w:rsidRDefault="00000000" w:rsidP="003626CE">
      <w:pPr>
        <w:pStyle w:val="12"/>
        <w:spacing w:before="120"/>
        <w:rPr>
          <w:rFonts w:asciiTheme="minorHAnsi" w:eastAsiaTheme="minorEastAsia" w:hAnsiTheme="minorHAnsi" w:cstheme="minorBidi"/>
          <w:b w:val="0"/>
          <w:noProof/>
          <w:kern w:val="2"/>
          <w:sz w:val="21"/>
          <w:szCs w:val="22"/>
          <w:lang w:eastAsia="ja-JP"/>
        </w:rPr>
      </w:pPr>
      <w:hyperlink w:anchor="_Toc104152934" w:history="1">
        <w:r w:rsidR="00F332DA" w:rsidRPr="00BD76AF">
          <w:rPr>
            <w:rStyle w:val="af1"/>
            <w:noProof/>
          </w:rPr>
          <w:t>Acte d’</w:t>
        </w:r>
        <w:r w:rsidR="00F332DA" w:rsidRPr="00BD76AF">
          <w:rPr>
            <w:rStyle w:val="af1"/>
            <w:noProof/>
            <w:lang w:val="en-GB"/>
          </w:rPr>
          <w:t>engagement</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_Toc104152934 \h </w:instrText>
        </w:r>
        <w:r w:rsidR="00F332DA" w:rsidRPr="00BD76AF">
          <w:rPr>
            <w:noProof/>
            <w:webHidden/>
          </w:rPr>
        </w:r>
        <w:r w:rsidR="00F332DA" w:rsidRPr="00BD76AF">
          <w:rPr>
            <w:noProof/>
            <w:webHidden/>
          </w:rPr>
          <w:fldChar w:fldCharType="separate"/>
        </w:r>
        <w:r w:rsidR="0048496E">
          <w:rPr>
            <w:noProof/>
            <w:webHidden/>
          </w:rPr>
          <w:t>3</w:t>
        </w:r>
        <w:r w:rsidR="00F332DA" w:rsidRPr="00BD76AF">
          <w:rPr>
            <w:noProof/>
            <w:webHidden/>
          </w:rPr>
          <w:fldChar w:fldCharType="end"/>
        </w:r>
      </w:hyperlink>
    </w:p>
    <w:p w14:paraId="6B3780FB" w14:textId="77777777" w:rsidR="00F332DA" w:rsidRPr="00BD76AF" w:rsidRDefault="00000000" w:rsidP="00456BCA">
      <w:pPr>
        <w:pStyle w:val="61"/>
        <w:ind w:left="480"/>
        <w:rPr>
          <w:rFonts w:asciiTheme="minorHAnsi" w:eastAsiaTheme="minorEastAsia" w:hAnsiTheme="minorHAnsi" w:cstheme="minorBidi"/>
          <w:noProof/>
          <w:kern w:val="2"/>
          <w:sz w:val="21"/>
          <w:szCs w:val="22"/>
          <w:lang w:eastAsia="ja-JP"/>
        </w:rPr>
      </w:pPr>
      <w:hyperlink w:anchor="_Toc99490403" w:history="1">
        <w:r w:rsidR="00F332DA" w:rsidRPr="00BD76AF">
          <w:rPr>
            <w:rStyle w:val="af1"/>
            <w:noProof/>
            <w:lang w:val="fr-FR"/>
          </w:rPr>
          <w:t>[Option B : appel d’offres à deux étapes-une enveloppe]</w:t>
        </w:r>
      </w:hyperlink>
    </w:p>
    <w:p w14:paraId="4B5C0C14" w14:textId="33995026" w:rsidR="00F332DA" w:rsidRPr="00BD76AF" w:rsidRDefault="00000000" w:rsidP="00456BCA">
      <w:pPr>
        <w:pStyle w:val="12"/>
        <w:spacing w:before="120"/>
        <w:rPr>
          <w:rFonts w:asciiTheme="minorHAnsi" w:eastAsiaTheme="minorEastAsia" w:hAnsiTheme="minorHAnsi" w:cstheme="minorBidi"/>
          <w:b w:val="0"/>
          <w:noProof/>
          <w:kern w:val="2"/>
          <w:sz w:val="21"/>
          <w:szCs w:val="22"/>
          <w:lang w:eastAsia="ja-JP"/>
        </w:rPr>
      </w:pPr>
      <w:hyperlink w:anchor="_Toc104152935" w:history="1">
        <w:r w:rsidR="00F332DA" w:rsidRPr="00BD76AF">
          <w:rPr>
            <w:rStyle w:val="af1"/>
            <w:noProof/>
          </w:rPr>
          <w:t>Acte d’</w:t>
        </w:r>
        <w:r w:rsidR="00F332DA" w:rsidRPr="00BD76AF">
          <w:rPr>
            <w:rStyle w:val="af1"/>
            <w:noProof/>
            <w:lang w:val="en-GB"/>
          </w:rPr>
          <w:t>engagement</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_Toc104152935 \h </w:instrText>
        </w:r>
        <w:r w:rsidR="00F332DA" w:rsidRPr="00BD76AF">
          <w:rPr>
            <w:noProof/>
            <w:webHidden/>
          </w:rPr>
        </w:r>
        <w:r w:rsidR="00F332DA" w:rsidRPr="00BD76AF">
          <w:rPr>
            <w:noProof/>
            <w:webHidden/>
          </w:rPr>
          <w:fldChar w:fldCharType="separate"/>
        </w:r>
        <w:r w:rsidR="0048496E">
          <w:rPr>
            <w:noProof/>
            <w:webHidden/>
          </w:rPr>
          <w:t>6</w:t>
        </w:r>
        <w:r w:rsidR="00F332DA" w:rsidRPr="00BD76AF">
          <w:rPr>
            <w:noProof/>
            <w:webHidden/>
          </w:rPr>
          <w:fldChar w:fldCharType="end"/>
        </w:r>
      </w:hyperlink>
    </w:p>
    <w:p w14:paraId="25482E83" w14:textId="157814AB" w:rsidR="00F332DA" w:rsidRPr="00BD76AF" w:rsidRDefault="00000000">
      <w:pPr>
        <w:pStyle w:val="21"/>
        <w:ind w:left="934"/>
        <w:rPr>
          <w:rFonts w:asciiTheme="minorHAnsi" w:eastAsiaTheme="minorEastAsia" w:hAnsiTheme="minorHAnsi" w:cstheme="minorBidi"/>
          <w:kern w:val="2"/>
          <w:sz w:val="21"/>
          <w:szCs w:val="22"/>
          <w:lang w:eastAsia="ja-JP"/>
        </w:rPr>
      </w:pPr>
      <w:hyperlink w:anchor="_Toc104152937" w:history="1">
        <w:r w:rsidR="00F332DA" w:rsidRPr="00BD76AF">
          <w:rPr>
            <w:rStyle w:val="af1"/>
            <w:lang w:val="en-GB"/>
          </w:rPr>
          <w:t>Annexe</w:t>
        </w:r>
        <w:r w:rsidR="00F332DA" w:rsidRPr="00BD76AF">
          <w:rPr>
            <w:rStyle w:val="af1"/>
            <w:lang w:val="fr-FR"/>
          </w:rPr>
          <w:t xml:space="preserve"> 1.  Conditions et procédures de règlement</w:t>
        </w:r>
        <w:r w:rsidR="00F332DA" w:rsidRPr="00BD76AF">
          <w:rPr>
            <w:webHidden/>
          </w:rPr>
          <w:tab/>
        </w:r>
        <w:r w:rsidR="00F332DA" w:rsidRPr="00BD76AF">
          <w:rPr>
            <w:webHidden/>
          </w:rPr>
          <w:fldChar w:fldCharType="begin"/>
        </w:r>
        <w:r w:rsidR="00F332DA" w:rsidRPr="00BD76AF">
          <w:rPr>
            <w:webHidden/>
          </w:rPr>
          <w:instrText xml:space="preserve"> PAGEREF _Toc104152937 \h </w:instrText>
        </w:r>
        <w:r w:rsidR="00F332DA" w:rsidRPr="00BD76AF">
          <w:rPr>
            <w:webHidden/>
          </w:rPr>
        </w:r>
        <w:r w:rsidR="00F332DA" w:rsidRPr="00BD76AF">
          <w:rPr>
            <w:webHidden/>
          </w:rPr>
          <w:fldChar w:fldCharType="separate"/>
        </w:r>
        <w:r w:rsidR="0048496E">
          <w:rPr>
            <w:webHidden/>
          </w:rPr>
          <w:t>9</w:t>
        </w:r>
        <w:r w:rsidR="00F332DA" w:rsidRPr="00BD76AF">
          <w:rPr>
            <w:webHidden/>
          </w:rPr>
          <w:fldChar w:fldCharType="end"/>
        </w:r>
      </w:hyperlink>
    </w:p>
    <w:p w14:paraId="5D2D29DC" w14:textId="16B29727" w:rsidR="00F332DA" w:rsidRPr="00BD76AF" w:rsidRDefault="00000000">
      <w:pPr>
        <w:pStyle w:val="21"/>
        <w:ind w:left="934"/>
        <w:rPr>
          <w:rFonts w:asciiTheme="minorHAnsi" w:eastAsiaTheme="minorEastAsia" w:hAnsiTheme="minorHAnsi" w:cstheme="minorBidi"/>
          <w:kern w:val="2"/>
          <w:sz w:val="21"/>
          <w:szCs w:val="22"/>
          <w:lang w:eastAsia="ja-JP"/>
        </w:rPr>
      </w:pPr>
      <w:hyperlink w:anchor="_Toc104152939" w:history="1">
        <w:r w:rsidR="00F332DA" w:rsidRPr="00BD76AF">
          <w:rPr>
            <w:rStyle w:val="af1"/>
            <w:lang w:val="en-GB"/>
          </w:rPr>
          <w:t>Annexe</w:t>
        </w:r>
        <w:r w:rsidR="00F332DA" w:rsidRPr="00BD76AF">
          <w:rPr>
            <w:rStyle w:val="af1"/>
            <w:lang w:val="fr-FR"/>
          </w:rPr>
          <w:t xml:space="preserve"> 2.  Révision des prix</w:t>
        </w:r>
        <w:r w:rsidR="00F332DA" w:rsidRPr="00BD76AF">
          <w:rPr>
            <w:webHidden/>
          </w:rPr>
          <w:tab/>
        </w:r>
        <w:r w:rsidR="00F332DA" w:rsidRPr="00BD76AF">
          <w:rPr>
            <w:webHidden/>
          </w:rPr>
          <w:fldChar w:fldCharType="begin"/>
        </w:r>
        <w:r w:rsidR="00F332DA" w:rsidRPr="00BD76AF">
          <w:rPr>
            <w:webHidden/>
          </w:rPr>
          <w:instrText xml:space="preserve"> PAGEREF _Toc104152939 \h </w:instrText>
        </w:r>
        <w:r w:rsidR="00F332DA" w:rsidRPr="00BD76AF">
          <w:rPr>
            <w:webHidden/>
          </w:rPr>
        </w:r>
        <w:r w:rsidR="00F332DA" w:rsidRPr="00BD76AF">
          <w:rPr>
            <w:webHidden/>
          </w:rPr>
          <w:fldChar w:fldCharType="separate"/>
        </w:r>
        <w:r w:rsidR="0048496E">
          <w:rPr>
            <w:webHidden/>
          </w:rPr>
          <w:t>12</w:t>
        </w:r>
        <w:r w:rsidR="00F332DA" w:rsidRPr="00BD76AF">
          <w:rPr>
            <w:webHidden/>
          </w:rPr>
          <w:fldChar w:fldCharType="end"/>
        </w:r>
      </w:hyperlink>
    </w:p>
    <w:p w14:paraId="28ABC7B2" w14:textId="08933E75" w:rsidR="00F332DA" w:rsidRPr="00BD76AF" w:rsidRDefault="00000000">
      <w:pPr>
        <w:pStyle w:val="21"/>
        <w:ind w:left="934"/>
        <w:rPr>
          <w:rFonts w:asciiTheme="minorHAnsi" w:eastAsiaTheme="minorEastAsia" w:hAnsiTheme="minorHAnsi" w:cstheme="minorBidi"/>
          <w:kern w:val="2"/>
          <w:sz w:val="21"/>
          <w:szCs w:val="22"/>
          <w:lang w:eastAsia="ja-JP"/>
        </w:rPr>
      </w:pPr>
      <w:hyperlink w:anchor="_Toc104152941" w:history="1">
        <w:r w:rsidR="00F332DA" w:rsidRPr="00BD76AF">
          <w:rPr>
            <w:rStyle w:val="af1"/>
            <w:lang w:val="fr-FR"/>
          </w:rPr>
          <w:t>Annexe 3.  Assurances obligatoires</w:t>
        </w:r>
        <w:r w:rsidR="00F332DA" w:rsidRPr="00BD76AF">
          <w:rPr>
            <w:webHidden/>
          </w:rPr>
          <w:tab/>
        </w:r>
        <w:r w:rsidR="00F332DA" w:rsidRPr="00BD76AF">
          <w:rPr>
            <w:webHidden/>
          </w:rPr>
          <w:fldChar w:fldCharType="begin"/>
        </w:r>
        <w:r w:rsidR="00F332DA" w:rsidRPr="00BD76AF">
          <w:rPr>
            <w:webHidden/>
          </w:rPr>
          <w:instrText xml:space="preserve"> PAGEREF _Toc104152941 \h </w:instrText>
        </w:r>
        <w:r w:rsidR="00F332DA" w:rsidRPr="00BD76AF">
          <w:rPr>
            <w:webHidden/>
          </w:rPr>
        </w:r>
        <w:r w:rsidR="00F332DA" w:rsidRPr="00BD76AF">
          <w:rPr>
            <w:webHidden/>
          </w:rPr>
          <w:fldChar w:fldCharType="separate"/>
        </w:r>
        <w:r w:rsidR="0048496E">
          <w:rPr>
            <w:webHidden/>
          </w:rPr>
          <w:t>16</w:t>
        </w:r>
        <w:r w:rsidR="00F332DA" w:rsidRPr="00BD76AF">
          <w:rPr>
            <w:webHidden/>
          </w:rPr>
          <w:fldChar w:fldCharType="end"/>
        </w:r>
      </w:hyperlink>
    </w:p>
    <w:p w14:paraId="6118CB48" w14:textId="26C9EF68" w:rsidR="00F332DA" w:rsidRPr="00BD76AF" w:rsidRDefault="00000000">
      <w:pPr>
        <w:pStyle w:val="21"/>
        <w:ind w:left="934"/>
        <w:rPr>
          <w:rFonts w:asciiTheme="minorHAnsi" w:eastAsiaTheme="minorEastAsia" w:hAnsiTheme="minorHAnsi" w:cstheme="minorBidi"/>
          <w:kern w:val="2"/>
          <w:sz w:val="21"/>
          <w:szCs w:val="22"/>
          <w:lang w:eastAsia="ja-JP"/>
        </w:rPr>
      </w:pPr>
      <w:hyperlink w:anchor="_Toc104152943" w:history="1">
        <w:r w:rsidR="00F332DA" w:rsidRPr="00BD76AF">
          <w:rPr>
            <w:rStyle w:val="af1"/>
            <w:lang w:val="en-GB"/>
          </w:rPr>
          <w:t>Annexe</w:t>
        </w:r>
        <w:r w:rsidR="00F332DA" w:rsidRPr="00BD76AF">
          <w:rPr>
            <w:rStyle w:val="af1"/>
            <w:lang w:val="fr-FR"/>
          </w:rPr>
          <w:t xml:space="preserve"> 4.  Calendrier d’exécution</w:t>
        </w:r>
        <w:r w:rsidR="00F332DA" w:rsidRPr="00BD76AF">
          <w:rPr>
            <w:webHidden/>
          </w:rPr>
          <w:tab/>
        </w:r>
        <w:r w:rsidR="00F332DA" w:rsidRPr="00BD76AF">
          <w:rPr>
            <w:webHidden/>
          </w:rPr>
          <w:fldChar w:fldCharType="begin"/>
        </w:r>
        <w:r w:rsidR="00F332DA" w:rsidRPr="00BD76AF">
          <w:rPr>
            <w:webHidden/>
          </w:rPr>
          <w:instrText xml:space="preserve"> PAGEREF _Toc104152943 \h </w:instrText>
        </w:r>
        <w:r w:rsidR="00F332DA" w:rsidRPr="00BD76AF">
          <w:rPr>
            <w:webHidden/>
          </w:rPr>
        </w:r>
        <w:r w:rsidR="00F332DA" w:rsidRPr="00BD76AF">
          <w:rPr>
            <w:webHidden/>
          </w:rPr>
          <w:fldChar w:fldCharType="separate"/>
        </w:r>
        <w:r w:rsidR="0048496E">
          <w:rPr>
            <w:webHidden/>
          </w:rPr>
          <w:t>19</w:t>
        </w:r>
        <w:r w:rsidR="00F332DA" w:rsidRPr="00BD76AF">
          <w:rPr>
            <w:webHidden/>
          </w:rPr>
          <w:fldChar w:fldCharType="end"/>
        </w:r>
      </w:hyperlink>
    </w:p>
    <w:p w14:paraId="0F3B7E46" w14:textId="043E0A1D" w:rsidR="00F332DA" w:rsidRPr="00BD76AF" w:rsidRDefault="00000000">
      <w:pPr>
        <w:pStyle w:val="21"/>
        <w:ind w:left="934"/>
        <w:rPr>
          <w:rFonts w:asciiTheme="minorHAnsi" w:eastAsiaTheme="minorEastAsia" w:hAnsiTheme="minorHAnsi" w:cstheme="minorBidi"/>
          <w:kern w:val="2"/>
          <w:sz w:val="21"/>
          <w:szCs w:val="22"/>
          <w:lang w:eastAsia="ja-JP"/>
        </w:rPr>
      </w:pPr>
      <w:hyperlink w:anchor="_Toc104152945" w:history="1">
        <w:r w:rsidR="00F332DA" w:rsidRPr="00BD76AF">
          <w:rPr>
            <w:rStyle w:val="af1"/>
            <w:lang w:val="en-GB"/>
          </w:rPr>
          <w:t>Annexe</w:t>
        </w:r>
        <w:r w:rsidR="00F332DA" w:rsidRPr="00BD76AF">
          <w:rPr>
            <w:rStyle w:val="af1"/>
            <w:lang w:val="fr-FR"/>
          </w:rPr>
          <w:t xml:space="preserve"> 5.  Liste des Sous-traitants agréés</w:t>
        </w:r>
        <w:r w:rsidR="00F332DA" w:rsidRPr="00BD76AF">
          <w:rPr>
            <w:webHidden/>
          </w:rPr>
          <w:tab/>
        </w:r>
        <w:r w:rsidR="00F332DA" w:rsidRPr="00BD76AF">
          <w:rPr>
            <w:webHidden/>
          </w:rPr>
          <w:fldChar w:fldCharType="begin"/>
        </w:r>
        <w:r w:rsidR="00F332DA" w:rsidRPr="00BD76AF">
          <w:rPr>
            <w:webHidden/>
          </w:rPr>
          <w:instrText xml:space="preserve"> PAGEREF _Toc104152945 \h </w:instrText>
        </w:r>
        <w:r w:rsidR="00F332DA" w:rsidRPr="00BD76AF">
          <w:rPr>
            <w:webHidden/>
          </w:rPr>
        </w:r>
        <w:r w:rsidR="00F332DA" w:rsidRPr="00BD76AF">
          <w:rPr>
            <w:webHidden/>
          </w:rPr>
          <w:fldChar w:fldCharType="separate"/>
        </w:r>
        <w:r w:rsidR="0048496E">
          <w:rPr>
            <w:webHidden/>
          </w:rPr>
          <w:t>20</w:t>
        </w:r>
        <w:r w:rsidR="00F332DA" w:rsidRPr="00BD76AF">
          <w:rPr>
            <w:webHidden/>
          </w:rPr>
          <w:fldChar w:fldCharType="end"/>
        </w:r>
      </w:hyperlink>
    </w:p>
    <w:p w14:paraId="7867F33B" w14:textId="12A25DCC" w:rsidR="00F332DA" w:rsidRPr="00BD76AF" w:rsidRDefault="00000000">
      <w:pPr>
        <w:pStyle w:val="21"/>
        <w:ind w:left="934"/>
        <w:rPr>
          <w:rFonts w:asciiTheme="minorHAnsi" w:eastAsiaTheme="minorEastAsia" w:hAnsiTheme="minorHAnsi" w:cstheme="minorBidi"/>
          <w:kern w:val="2"/>
          <w:sz w:val="21"/>
          <w:szCs w:val="22"/>
          <w:lang w:eastAsia="ja-JP"/>
        </w:rPr>
      </w:pPr>
      <w:hyperlink w:anchor="_Toc104152947" w:history="1">
        <w:r w:rsidR="00F332DA" w:rsidRPr="00BD76AF">
          <w:rPr>
            <w:rStyle w:val="af1"/>
            <w:lang w:val="en-GB"/>
          </w:rPr>
          <w:t>Annexe</w:t>
        </w:r>
        <w:r w:rsidR="00F332DA" w:rsidRPr="00BD76AF">
          <w:rPr>
            <w:rStyle w:val="af1"/>
            <w:lang w:val="fr-FR"/>
          </w:rPr>
          <w:t xml:space="preserve"> 6.  </w:t>
        </w:r>
        <w:r w:rsidR="00F332DA" w:rsidRPr="00BD76AF">
          <w:rPr>
            <w:rStyle w:val="af1"/>
          </w:rPr>
          <w:t>Pays d’origine éligibles des Prêts APD du Japon</w:t>
        </w:r>
        <w:r w:rsidR="00F332DA" w:rsidRPr="00BD76AF">
          <w:rPr>
            <w:webHidden/>
          </w:rPr>
          <w:tab/>
        </w:r>
        <w:r w:rsidR="00F332DA" w:rsidRPr="00BD76AF">
          <w:rPr>
            <w:webHidden/>
          </w:rPr>
          <w:fldChar w:fldCharType="begin"/>
        </w:r>
        <w:r w:rsidR="00F332DA" w:rsidRPr="00BD76AF">
          <w:rPr>
            <w:webHidden/>
          </w:rPr>
          <w:instrText xml:space="preserve"> PAGEREF _Toc104152947 \h </w:instrText>
        </w:r>
        <w:r w:rsidR="00F332DA" w:rsidRPr="00BD76AF">
          <w:rPr>
            <w:webHidden/>
          </w:rPr>
        </w:r>
        <w:r w:rsidR="00F332DA" w:rsidRPr="00BD76AF">
          <w:rPr>
            <w:webHidden/>
          </w:rPr>
          <w:fldChar w:fldCharType="separate"/>
        </w:r>
        <w:r w:rsidR="0048496E">
          <w:rPr>
            <w:webHidden/>
          </w:rPr>
          <w:t>21</w:t>
        </w:r>
        <w:r w:rsidR="00F332DA" w:rsidRPr="00BD76AF">
          <w:rPr>
            <w:webHidden/>
          </w:rPr>
          <w:fldChar w:fldCharType="end"/>
        </w:r>
      </w:hyperlink>
    </w:p>
    <w:p w14:paraId="46EB1A4A" w14:textId="48D02714" w:rsidR="00F332DA" w:rsidRPr="00BD76AF" w:rsidRDefault="00000000">
      <w:pPr>
        <w:pStyle w:val="21"/>
        <w:ind w:left="934"/>
        <w:rPr>
          <w:rFonts w:asciiTheme="minorHAnsi" w:eastAsiaTheme="minorEastAsia" w:hAnsiTheme="minorHAnsi" w:cstheme="minorBidi"/>
          <w:kern w:val="2"/>
          <w:sz w:val="21"/>
          <w:szCs w:val="22"/>
          <w:lang w:eastAsia="ja-JP"/>
        </w:rPr>
      </w:pPr>
      <w:hyperlink w:anchor="_Toc104152949" w:history="1">
        <w:r w:rsidR="00F332DA" w:rsidRPr="00BD76AF">
          <w:rPr>
            <w:rStyle w:val="af1"/>
            <w:lang w:val="en-GB"/>
          </w:rPr>
          <w:t>Annexe</w:t>
        </w:r>
        <w:r w:rsidR="00F332DA" w:rsidRPr="00BD76AF">
          <w:rPr>
            <w:rStyle w:val="af1"/>
            <w:lang w:val="fr-FR"/>
          </w:rPr>
          <w:t xml:space="preserve"> 7.  Liste des documents soumis à approbation ou examen</w:t>
        </w:r>
        <w:r w:rsidR="00F332DA" w:rsidRPr="00BD76AF">
          <w:rPr>
            <w:webHidden/>
          </w:rPr>
          <w:tab/>
        </w:r>
        <w:r w:rsidR="00F332DA" w:rsidRPr="00BD76AF">
          <w:rPr>
            <w:webHidden/>
          </w:rPr>
          <w:fldChar w:fldCharType="begin"/>
        </w:r>
        <w:r w:rsidR="00F332DA" w:rsidRPr="00BD76AF">
          <w:rPr>
            <w:webHidden/>
          </w:rPr>
          <w:instrText xml:space="preserve"> PAGEREF _Toc104152949 \h </w:instrText>
        </w:r>
        <w:r w:rsidR="00F332DA" w:rsidRPr="00BD76AF">
          <w:rPr>
            <w:webHidden/>
          </w:rPr>
        </w:r>
        <w:r w:rsidR="00F332DA" w:rsidRPr="00BD76AF">
          <w:rPr>
            <w:webHidden/>
          </w:rPr>
          <w:fldChar w:fldCharType="separate"/>
        </w:r>
        <w:r w:rsidR="0048496E">
          <w:rPr>
            <w:webHidden/>
          </w:rPr>
          <w:t>22</w:t>
        </w:r>
        <w:r w:rsidR="00F332DA" w:rsidRPr="00BD76AF">
          <w:rPr>
            <w:webHidden/>
          </w:rPr>
          <w:fldChar w:fldCharType="end"/>
        </w:r>
      </w:hyperlink>
    </w:p>
    <w:p w14:paraId="445C6C76" w14:textId="3BA9CCD3" w:rsidR="00F332DA" w:rsidRPr="00BD76AF" w:rsidRDefault="00000000">
      <w:pPr>
        <w:pStyle w:val="21"/>
        <w:ind w:left="934"/>
        <w:rPr>
          <w:rFonts w:asciiTheme="minorHAnsi" w:eastAsiaTheme="minorEastAsia" w:hAnsiTheme="minorHAnsi" w:cstheme="minorBidi"/>
          <w:kern w:val="2"/>
          <w:sz w:val="21"/>
          <w:szCs w:val="22"/>
          <w:lang w:eastAsia="ja-JP"/>
        </w:rPr>
      </w:pPr>
      <w:hyperlink w:anchor="_Toc104152951" w:history="1">
        <w:r w:rsidR="00F332DA" w:rsidRPr="00BD76AF">
          <w:rPr>
            <w:rStyle w:val="af1"/>
            <w:lang w:val="en-GB"/>
          </w:rPr>
          <w:t>Annexe</w:t>
        </w:r>
        <w:r w:rsidR="00F332DA" w:rsidRPr="00BD76AF">
          <w:rPr>
            <w:rStyle w:val="af1"/>
            <w:lang w:val="fr-FR"/>
          </w:rPr>
          <w:t xml:space="preserve"> 8.  Garanties opérationnelles</w:t>
        </w:r>
        <w:r w:rsidR="00F332DA" w:rsidRPr="00BD76AF">
          <w:rPr>
            <w:webHidden/>
          </w:rPr>
          <w:tab/>
        </w:r>
        <w:r w:rsidR="00F332DA" w:rsidRPr="00BD76AF">
          <w:rPr>
            <w:webHidden/>
          </w:rPr>
          <w:fldChar w:fldCharType="begin"/>
        </w:r>
        <w:r w:rsidR="00F332DA" w:rsidRPr="00BD76AF">
          <w:rPr>
            <w:webHidden/>
          </w:rPr>
          <w:instrText xml:space="preserve"> PAGEREF _Toc104152951 \h </w:instrText>
        </w:r>
        <w:r w:rsidR="00F332DA" w:rsidRPr="00BD76AF">
          <w:rPr>
            <w:webHidden/>
          </w:rPr>
        </w:r>
        <w:r w:rsidR="00F332DA" w:rsidRPr="00BD76AF">
          <w:rPr>
            <w:webHidden/>
          </w:rPr>
          <w:fldChar w:fldCharType="separate"/>
        </w:r>
        <w:r w:rsidR="0048496E">
          <w:rPr>
            <w:webHidden/>
          </w:rPr>
          <w:t>23</w:t>
        </w:r>
        <w:r w:rsidR="00F332DA" w:rsidRPr="00BD76AF">
          <w:rPr>
            <w:webHidden/>
          </w:rPr>
          <w:fldChar w:fldCharType="end"/>
        </w:r>
      </w:hyperlink>
    </w:p>
    <w:p w14:paraId="28B9D411" w14:textId="7CBC6F2A" w:rsidR="00F332DA" w:rsidRPr="00BD76AF" w:rsidRDefault="00000000">
      <w:pPr>
        <w:pStyle w:val="12"/>
        <w:rPr>
          <w:rFonts w:asciiTheme="minorHAnsi" w:eastAsiaTheme="minorEastAsia" w:hAnsiTheme="minorHAnsi" w:cstheme="minorBidi"/>
          <w:b w:val="0"/>
          <w:noProof/>
          <w:kern w:val="2"/>
          <w:sz w:val="21"/>
          <w:szCs w:val="22"/>
          <w:lang w:eastAsia="ja-JP"/>
        </w:rPr>
      </w:pPr>
      <w:hyperlink w:anchor="_Toc104152952" w:history="1">
        <w:r w:rsidR="00F332DA" w:rsidRPr="00BD76AF">
          <w:rPr>
            <w:rStyle w:val="af1"/>
            <w:noProof/>
            <w:lang w:val="en-GB"/>
          </w:rPr>
          <w:t>Garantie de bonne exécution</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_Toc104152952 \h </w:instrText>
        </w:r>
        <w:r w:rsidR="00F332DA" w:rsidRPr="00BD76AF">
          <w:rPr>
            <w:noProof/>
            <w:webHidden/>
          </w:rPr>
        </w:r>
        <w:r w:rsidR="00F332DA" w:rsidRPr="00BD76AF">
          <w:rPr>
            <w:noProof/>
            <w:webHidden/>
          </w:rPr>
          <w:fldChar w:fldCharType="separate"/>
        </w:r>
        <w:r w:rsidR="0048496E">
          <w:rPr>
            <w:noProof/>
            <w:webHidden/>
          </w:rPr>
          <w:t>26</w:t>
        </w:r>
        <w:r w:rsidR="00F332DA" w:rsidRPr="00BD76AF">
          <w:rPr>
            <w:noProof/>
            <w:webHidden/>
          </w:rPr>
          <w:fldChar w:fldCharType="end"/>
        </w:r>
      </w:hyperlink>
    </w:p>
    <w:p w14:paraId="7C096AE9" w14:textId="2DD55EDB" w:rsidR="00F332DA" w:rsidRPr="00BD76AF" w:rsidRDefault="00000000">
      <w:pPr>
        <w:pStyle w:val="12"/>
        <w:rPr>
          <w:rFonts w:asciiTheme="minorHAnsi" w:eastAsiaTheme="minorEastAsia" w:hAnsiTheme="minorHAnsi" w:cstheme="minorBidi"/>
          <w:b w:val="0"/>
          <w:noProof/>
          <w:kern w:val="2"/>
          <w:sz w:val="21"/>
          <w:szCs w:val="22"/>
          <w:lang w:eastAsia="ja-JP"/>
        </w:rPr>
      </w:pPr>
      <w:hyperlink w:anchor="_Toc104152954" w:history="1">
        <w:r w:rsidR="00F332DA" w:rsidRPr="00BD76AF">
          <w:rPr>
            <w:rStyle w:val="af1"/>
            <w:noProof/>
            <w:lang w:val="en-GB"/>
          </w:rPr>
          <w:t>Garantie de restitution d’avance</w:t>
        </w:r>
        <w:r w:rsidR="00F332DA" w:rsidRPr="00BD76AF">
          <w:rPr>
            <w:noProof/>
            <w:webHidden/>
          </w:rPr>
          <w:tab/>
        </w:r>
        <w:r w:rsidR="00F332DA" w:rsidRPr="00BD76AF">
          <w:rPr>
            <w:noProof/>
            <w:webHidden/>
          </w:rPr>
          <w:fldChar w:fldCharType="begin"/>
        </w:r>
        <w:r w:rsidR="00F332DA" w:rsidRPr="00BD76AF">
          <w:rPr>
            <w:noProof/>
            <w:webHidden/>
          </w:rPr>
          <w:instrText xml:space="preserve"> PAGEREF _Toc104152954 \h </w:instrText>
        </w:r>
        <w:r w:rsidR="00F332DA" w:rsidRPr="00BD76AF">
          <w:rPr>
            <w:noProof/>
            <w:webHidden/>
          </w:rPr>
        </w:r>
        <w:r w:rsidR="00F332DA" w:rsidRPr="00BD76AF">
          <w:rPr>
            <w:noProof/>
            <w:webHidden/>
          </w:rPr>
          <w:fldChar w:fldCharType="separate"/>
        </w:r>
        <w:r w:rsidR="0048496E">
          <w:rPr>
            <w:noProof/>
            <w:webHidden/>
          </w:rPr>
          <w:t>30</w:t>
        </w:r>
        <w:r w:rsidR="00F332DA" w:rsidRPr="00BD76AF">
          <w:rPr>
            <w:noProof/>
            <w:webHidden/>
          </w:rPr>
          <w:fldChar w:fldCharType="end"/>
        </w:r>
      </w:hyperlink>
    </w:p>
    <w:p w14:paraId="10576B94" w14:textId="77777777" w:rsidR="00F332DA" w:rsidRPr="00BD76AF" w:rsidRDefault="00F332DA" w:rsidP="00FA5D3C">
      <w:pPr>
        <w:jc w:val="left"/>
        <w:rPr>
          <w:color w:val="FF0000"/>
          <w:sz w:val="28"/>
          <w:u w:val="single"/>
          <w:lang w:eastAsia="ja-JP"/>
        </w:rPr>
      </w:pPr>
      <w:r w:rsidRPr="00BD76AF">
        <w:rPr>
          <w:color w:val="FF0000"/>
          <w:sz w:val="28"/>
          <w:u w:val="single"/>
        </w:rPr>
        <w:fldChar w:fldCharType="end"/>
      </w:r>
    </w:p>
    <w:p w14:paraId="04C6B4DB" w14:textId="77777777" w:rsidR="00F332DA" w:rsidRPr="00BD76AF" w:rsidRDefault="00F332DA" w:rsidP="001F7B8F">
      <w:pPr>
        <w:rPr>
          <w:sz w:val="20"/>
          <w:lang w:eastAsia="ja-JP"/>
        </w:rPr>
      </w:pPr>
    </w:p>
    <w:p w14:paraId="5614EFDA" w14:textId="77777777" w:rsidR="00F332DA" w:rsidRPr="00BD76AF" w:rsidRDefault="00F332DA" w:rsidP="0079334B">
      <w:pPr>
        <w:pStyle w:val="S9Header"/>
        <w:suppressAutoHyphens w:val="0"/>
        <w:overflowPunct/>
        <w:autoSpaceDE/>
        <w:autoSpaceDN/>
        <w:adjustRightInd/>
        <w:spacing w:before="120"/>
        <w:textAlignment w:val="auto"/>
      </w:pPr>
      <w:r w:rsidRPr="00BD76AF">
        <w:rPr>
          <w:sz w:val="20"/>
        </w:rPr>
        <w:br w:type="page"/>
      </w:r>
      <w:bookmarkStart w:id="829" w:name="_Toc354482057"/>
      <w:bookmarkStart w:id="830" w:name="_Toc104152933"/>
      <w:r w:rsidRPr="00BD76AF">
        <w:rPr>
          <w:sz w:val="36"/>
          <w:lang w:eastAsia="en-US"/>
        </w:rPr>
        <w:t>Lettre</w:t>
      </w:r>
      <w:r w:rsidRPr="00BD76AF">
        <w:t xml:space="preserve"> d’acceptation de l’offre</w:t>
      </w:r>
      <w:bookmarkEnd w:id="829"/>
      <w:bookmarkEnd w:id="830"/>
    </w:p>
    <w:p w14:paraId="7C42642B" w14:textId="77777777" w:rsidR="00F332DA" w:rsidRPr="00BD76AF" w:rsidRDefault="00F332DA" w:rsidP="001F7B8F"/>
    <w:p w14:paraId="1A09CDFE" w14:textId="77777777" w:rsidR="00F332DA" w:rsidRPr="00BD76AF" w:rsidRDefault="00F332DA" w:rsidP="001F7B8F">
      <w:pPr>
        <w:jc w:val="center"/>
        <w:rPr>
          <w:i/>
          <w:szCs w:val="24"/>
        </w:rPr>
      </w:pPr>
      <w:r w:rsidRPr="00BD76AF">
        <w:rPr>
          <w:szCs w:val="24"/>
        </w:rPr>
        <w:t>[</w:t>
      </w:r>
      <w:r w:rsidRPr="00BD76AF">
        <w:rPr>
          <w:i/>
          <w:szCs w:val="24"/>
        </w:rPr>
        <w:t>papier à en-tête du Maître d’ouvrage</w:t>
      </w:r>
      <w:r w:rsidRPr="00BD76AF">
        <w:rPr>
          <w:szCs w:val="24"/>
        </w:rPr>
        <w:t>]</w:t>
      </w:r>
    </w:p>
    <w:p w14:paraId="0530533B" w14:textId="77777777" w:rsidR="00F332DA" w:rsidRPr="00BD76AF" w:rsidRDefault="00F332DA" w:rsidP="001F7B8F"/>
    <w:p w14:paraId="29F5BCA0" w14:textId="77777777" w:rsidR="00F332DA" w:rsidRPr="00BD76AF" w:rsidRDefault="00F332DA" w:rsidP="001F7B8F">
      <w:pPr>
        <w:ind w:left="6480"/>
        <w:rPr>
          <w:szCs w:val="24"/>
        </w:rPr>
      </w:pPr>
      <w:r w:rsidRPr="00BD76AF">
        <w:t>Date :</w:t>
      </w:r>
      <w:r w:rsidRPr="00BD76AF">
        <w:rPr>
          <w:szCs w:val="24"/>
        </w:rPr>
        <w:t xml:space="preserve"> [</w:t>
      </w:r>
      <w:r w:rsidRPr="00BD76AF">
        <w:rPr>
          <w:i/>
          <w:szCs w:val="24"/>
        </w:rPr>
        <w:t>indiquer la</w:t>
      </w:r>
      <w:r w:rsidRPr="00BD76AF">
        <w:rPr>
          <w:szCs w:val="24"/>
        </w:rPr>
        <w:t xml:space="preserve"> </w:t>
      </w:r>
      <w:r w:rsidRPr="00BD76AF">
        <w:rPr>
          <w:i/>
          <w:szCs w:val="24"/>
        </w:rPr>
        <w:t>date</w:t>
      </w:r>
      <w:r w:rsidRPr="00BD76AF">
        <w:rPr>
          <w:szCs w:val="24"/>
        </w:rPr>
        <w:t>]</w:t>
      </w:r>
    </w:p>
    <w:p w14:paraId="535216D2" w14:textId="77777777" w:rsidR="00F332DA" w:rsidRPr="00BD76AF" w:rsidRDefault="00F332DA" w:rsidP="001F7B8F"/>
    <w:p w14:paraId="0F42682F" w14:textId="77777777" w:rsidR="00F332DA" w:rsidRPr="00BD76AF" w:rsidRDefault="00F332DA" w:rsidP="0079334B">
      <w:pPr>
        <w:widowControl w:val="0"/>
        <w:suppressAutoHyphens w:val="0"/>
        <w:overflowPunct/>
        <w:autoSpaceDE/>
        <w:autoSpaceDN/>
        <w:adjustRightInd/>
        <w:textAlignment w:val="auto"/>
        <w:rPr>
          <w:rFonts w:eastAsia="游ゴシック"/>
          <w:color w:val="333333"/>
          <w:kern w:val="2"/>
          <w:szCs w:val="24"/>
          <w:shd w:val="clear" w:color="auto" w:fill="FAFBFC"/>
          <w:lang w:eastAsia="ja-JP"/>
        </w:rPr>
      </w:pPr>
      <w:r w:rsidRPr="00BD76AF">
        <w:t>À :</w:t>
      </w:r>
      <w:r w:rsidRPr="00BD76AF">
        <w:rPr>
          <w:szCs w:val="24"/>
        </w:rPr>
        <w:t xml:space="preserve"> [</w:t>
      </w:r>
      <w:r w:rsidRPr="00BD76AF">
        <w:rPr>
          <w:i/>
          <w:szCs w:val="24"/>
        </w:rPr>
        <w:t>nom et adresse du Soumissionnaire retenu</w:t>
      </w:r>
      <w:r w:rsidRPr="00BD76AF">
        <w:rPr>
          <w:szCs w:val="24"/>
        </w:rPr>
        <w:t>]</w:t>
      </w:r>
    </w:p>
    <w:p w14:paraId="01A38A27" w14:textId="77777777" w:rsidR="00F332DA" w:rsidRPr="00BD76AF" w:rsidRDefault="00F332DA" w:rsidP="001F7B8F"/>
    <w:p w14:paraId="79F79AAF" w14:textId="77777777" w:rsidR="00F332DA" w:rsidRPr="00BD76AF" w:rsidRDefault="00F332DA" w:rsidP="001F7B8F">
      <w:pPr>
        <w:rPr>
          <w:i/>
        </w:rPr>
      </w:pPr>
      <w:r w:rsidRPr="00BD76AF">
        <w:t xml:space="preserve">Objet : </w:t>
      </w:r>
      <w:r w:rsidRPr="00BD76AF">
        <w:rPr>
          <w:szCs w:val="24"/>
        </w:rPr>
        <w:t>[</w:t>
      </w:r>
      <w:r w:rsidRPr="00BD76AF">
        <w:rPr>
          <w:i/>
        </w:rPr>
        <w:t>Notification d’attribution du Marché n°____</w:t>
      </w:r>
      <w:r w:rsidRPr="00BD76AF">
        <w:rPr>
          <w:szCs w:val="24"/>
        </w:rPr>
        <w:t>]</w:t>
      </w:r>
    </w:p>
    <w:p w14:paraId="2AF62556" w14:textId="77777777" w:rsidR="00F332DA" w:rsidRPr="00BD76AF" w:rsidRDefault="00F332DA" w:rsidP="001F7B8F">
      <w:pPr>
        <w:rPr>
          <w:i/>
        </w:rPr>
      </w:pPr>
    </w:p>
    <w:p w14:paraId="400319B3" w14:textId="77777777" w:rsidR="00F332DA" w:rsidRPr="00BD76AF" w:rsidRDefault="00F332DA" w:rsidP="001F7B8F">
      <w:pPr>
        <w:rPr>
          <w:i/>
        </w:rPr>
      </w:pPr>
    </w:p>
    <w:p w14:paraId="51FDD07A" w14:textId="77777777" w:rsidR="00F332DA" w:rsidRPr="00BD76AF" w:rsidRDefault="00F332DA" w:rsidP="001F7B8F">
      <w:r w:rsidRPr="00BD76AF">
        <w:t>Messieurs,</w:t>
      </w:r>
    </w:p>
    <w:p w14:paraId="1133BA1B" w14:textId="77777777" w:rsidR="00F332DA" w:rsidRPr="00BD76AF" w:rsidRDefault="00F332DA" w:rsidP="001F7B8F"/>
    <w:p w14:paraId="087752DD" w14:textId="77777777" w:rsidR="00F332DA" w:rsidRPr="00BD76AF" w:rsidRDefault="00F332DA" w:rsidP="001F7B8F">
      <w:pPr>
        <w:rPr>
          <w:szCs w:val="24"/>
        </w:rPr>
      </w:pPr>
      <w:r w:rsidRPr="00BD76AF">
        <w:t xml:space="preserve">La présente a pour but de vous notifier que votre offre en date du </w:t>
      </w:r>
      <w:r w:rsidRPr="00BD76AF">
        <w:rPr>
          <w:szCs w:val="24"/>
        </w:rPr>
        <w:t>[</w:t>
      </w:r>
      <w:r w:rsidRPr="00BD76AF">
        <w:rPr>
          <w:i/>
          <w:szCs w:val="24"/>
        </w:rPr>
        <w:t>indiquer la date</w:t>
      </w:r>
      <w:r w:rsidRPr="00BD76AF">
        <w:rPr>
          <w:szCs w:val="24"/>
        </w:rPr>
        <w:t>] p</w:t>
      </w:r>
      <w:r w:rsidRPr="00BD76AF">
        <w:t xml:space="preserve">our l’exécution </w:t>
      </w:r>
      <w:r w:rsidRPr="00BD76AF">
        <w:rPr>
          <w:szCs w:val="24"/>
        </w:rPr>
        <w:t>de [</w:t>
      </w:r>
      <w:r w:rsidRPr="00BD76AF">
        <w:rPr>
          <w:i/>
          <w:szCs w:val="24"/>
        </w:rPr>
        <w:t xml:space="preserve">indiquer l’intitulé du Marché et le numéro </w:t>
      </w:r>
      <w:r w:rsidRPr="00BD76AF">
        <w:rPr>
          <w:rFonts w:hint="eastAsia"/>
          <w:i/>
          <w:szCs w:val="24"/>
          <w:lang w:eastAsia="ja-JP"/>
        </w:rPr>
        <w:t>d</w:t>
      </w:r>
      <w:r w:rsidRPr="00BD76AF">
        <w:rPr>
          <w:i/>
          <w:szCs w:val="24"/>
          <w:lang w:eastAsia="ja-JP"/>
        </w:rPr>
        <w:t xml:space="preserve">u lot </w:t>
      </w:r>
      <w:r w:rsidRPr="00BD76AF">
        <w:rPr>
          <w:i/>
        </w:rPr>
        <w:t>tels qu’indiqués dans les DP</w:t>
      </w:r>
      <w:r w:rsidRPr="00BD76AF" w:rsidDel="00B42224">
        <w:rPr>
          <w:i/>
          <w:szCs w:val="24"/>
        </w:rPr>
        <w:t xml:space="preserve"> </w:t>
      </w:r>
      <w:r w:rsidRPr="00BD76AF">
        <w:rPr>
          <w:szCs w:val="24"/>
        </w:rPr>
        <w:t>] pour le Montant du Marché équivalent à [</w:t>
      </w:r>
      <w:r w:rsidRPr="00BD76AF">
        <w:rPr>
          <w:i/>
          <w:szCs w:val="24"/>
        </w:rPr>
        <w:t>indiquer le(s) montant(s) en lettres et en chiffres</w:t>
      </w:r>
      <w:r w:rsidRPr="00BD76AF">
        <w:rPr>
          <w:rFonts w:hint="eastAsia"/>
          <w:szCs w:val="24"/>
          <w:lang w:eastAsia="ja-JP"/>
        </w:rPr>
        <w:t>]</w:t>
      </w:r>
      <w:r w:rsidRPr="00BD76AF">
        <w:rPr>
          <w:i/>
          <w:szCs w:val="24"/>
          <w:lang w:eastAsia="ja-JP"/>
        </w:rPr>
        <w:t xml:space="preserve"> </w:t>
      </w:r>
      <w:r w:rsidRPr="00BD76AF">
        <w:rPr>
          <w:szCs w:val="24"/>
          <w:lang w:eastAsia="ja-JP"/>
        </w:rPr>
        <w:t>[</w:t>
      </w:r>
      <w:r w:rsidRPr="00BD76AF">
        <w:rPr>
          <w:i/>
          <w:szCs w:val="24"/>
          <w:lang w:eastAsia="ja-JP"/>
        </w:rPr>
        <w:t>indiquer</w:t>
      </w:r>
      <w:r w:rsidRPr="00BD76AF">
        <w:rPr>
          <w:i/>
          <w:szCs w:val="24"/>
        </w:rPr>
        <w:t xml:space="preserve"> la(les) monnaie(s)</w:t>
      </w:r>
      <w:r w:rsidRPr="00BD76AF">
        <w:rPr>
          <w:szCs w:val="24"/>
        </w:rPr>
        <w:t xml:space="preserve">], rectifié et modifié conformément aux Instructions aux soumissionnaires, est acceptée par </w:t>
      </w:r>
      <w:r w:rsidRPr="00BD76AF">
        <w:t>[</w:t>
      </w:r>
      <w:r w:rsidRPr="00BD76AF">
        <w:rPr>
          <w:i/>
        </w:rPr>
        <w:t>indiquer le nom du Maître d’ouvrage</w:t>
      </w:r>
      <w:r w:rsidRPr="00BD76AF">
        <w:t>]</w:t>
      </w:r>
      <w:r w:rsidRPr="00BD76AF">
        <w:rPr>
          <w:szCs w:val="24"/>
        </w:rPr>
        <w:t>.</w:t>
      </w:r>
    </w:p>
    <w:p w14:paraId="64B28C79" w14:textId="77777777" w:rsidR="00F332DA" w:rsidRPr="00BD76AF" w:rsidRDefault="00F332DA" w:rsidP="001F7B8F"/>
    <w:p w14:paraId="30C3F3E5" w14:textId="77777777" w:rsidR="00F332DA" w:rsidRPr="00BD76AF" w:rsidRDefault="00F332DA" w:rsidP="001F7B8F">
      <w:r w:rsidRPr="00BD76AF">
        <w:t>Il vous est demandé de fournir la garantie de bonne exécution dans un délai de vingt-huit (28) jours, conformément aux Conditions du Marché, en utilisant le formulaire de garantie de bonne exécution de la Section IX du Dossier d’appel d’offres, Formulaires du Marché.</w:t>
      </w:r>
    </w:p>
    <w:p w14:paraId="68706E48" w14:textId="77777777" w:rsidR="00F332DA" w:rsidRPr="00BD76AF" w:rsidRDefault="00F332DA" w:rsidP="001F7B8F"/>
    <w:p w14:paraId="3C43B50C" w14:textId="77777777" w:rsidR="00F332DA" w:rsidRPr="00BD76AF" w:rsidRDefault="00F332DA" w:rsidP="001F7B8F">
      <w:r w:rsidRPr="00BD76AF">
        <w:t>Veuillez agréer, Messieurs, l’expression de notre considération distinguée.</w:t>
      </w:r>
    </w:p>
    <w:p w14:paraId="0C854EA0" w14:textId="77777777" w:rsidR="00F332DA" w:rsidRPr="00BD76AF" w:rsidRDefault="00F332DA" w:rsidP="001F7B8F"/>
    <w:p w14:paraId="71260B9E" w14:textId="77777777" w:rsidR="00F332DA" w:rsidRPr="00BD76AF" w:rsidRDefault="00F332DA" w:rsidP="00674705">
      <w:pPr>
        <w:spacing w:after="120"/>
        <w:rPr>
          <w:szCs w:val="24"/>
        </w:rPr>
      </w:pPr>
      <w:r w:rsidRPr="00BD76AF">
        <w:rPr>
          <w:szCs w:val="24"/>
        </w:rPr>
        <w:t>Signature : __________________</w:t>
      </w:r>
    </w:p>
    <w:p w14:paraId="5B988EC7" w14:textId="77777777" w:rsidR="00F332DA" w:rsidRPr="00BD76AF" w:rsidRDefault="00F332DA" w:rsidP="00674705">
      <w:pPr>
        <w:spacing w:after="120"/>
        <w:rPr>
          <w:szCs w:val="24"/>
        </w:rPr>
      </w:pPr>
      <w:r w:rsidRPr="00BD76AF">
        <w:rPr>
          <w:szCs w:val="24"/>
        </w:rPr>
        <w:t>Nom et titre du signataire habilité : ___________________</w:t>
      </w:r>
    </w:p>
    <w:p w14:paraId="06AA552B" w14:textId="77777777" w:rsidR="00F332DA" w:rsidRPr="00BD76AF" w:rsidRDefault="00F332DA" w:rsidP="001F7B8F">
      <w:pPr>
        <w:rPr>
          <w:szCs w:val="24"/>
        </w:rPr>
      </w:pPr>
      <w:r w:rsidRPr="00BD76AF">
        <w:rPr>
          <w:szCs w:val="24"/>
        </w:rPr>
        <w:t>Nom du Maître d’ouvrage : _______________________</w:t>
      </w:r>
    </w:p>
    <w:p w14:paraId="4F92032D" w14:textId="77777777" w:rsidR="00F332DA" w:rsidRPr="00BD76AF" w:rsidRDefault="00F332DA" w:rsidP="001F7B8F">
      <w:pPr>
        <w:rPr>
          <w:sz w:val="21"/>
        </w:rPr>
      </w:pPr>
    </w:p>
    <w:p w14:paraId="2F90A3CD" w14:textId="77777777" w:rsidR="00F332DA" w:rsidRPr="00BD76AF" w:rsidRDefault="00F332DA" w:rsidP="001F7B8F">
      <w:pPr>
        <w:rPr>
          <w:b/>
          <w:bCs/>
          <w:szCs w:val="24"/>
        </w:rPr>
      </w:pPr>
      <w:r w:rsidRPr="00BD76AF">
        <w:rPr>
          <w:bCs/>
          <w:szCs w:val="24"/>
        </w:rPr>
        <w:t xml:space="preserve">Pièce jointe : </w:t>
      </w:r>
      <w:r w:rsidRPr="00BD76AF">
        <w:rPr>
          <w:bCs/>
        </w:rPr>
        <w:t>[</w:t>
      </w:r>
      <w:r w:rsidRPr="00BD76AF">
        <w:rPr>
          <w:bCs/>
          <w:i/>
        </w:rPr>
        <w:t>Indiquer la liste des memoranda annexés (le cas échéant) conformément à l’Article 1.1 des CG (définition de la Lettre d’acceptation de l’offre).</w:t>
      </w:r>
      <w:r w:rsidRPr="00BD76AF">
        <w:rPr>
          <w:bCs/>
        </w:rPr>
        <w:t>]</w:t>
      </w:r>
      <w:r w:rsidRPr="00BD76AF" w:rsidDel="00456BCA">
        <w:rPr>
          <w:i/>
        </w:rPr>
        <w:t xml:space="preserve"> </w:t>
      </w:r>
    </w:p>
    <w:p w14:paraId="5AE8A9C4" w14:textId="77777777" w:rsidR="00F332DA" w:rsidRPr="00BD76AF" w:rsidRDefault="00F332DA" w:rsidP="00DD2B53">
      <w:pPr>
        <w:spacing w:afterLines="100" w:after="240"/>
        <w:jc w:val="left"/>
        <w:rPr>
          <w:szCs w:val="24"/>
        </w:rPr>
      </w:pPr>
      <w:r w:rsidRPr="00BD76AF">
        <w:rPr>
          <w:sz w:val="21"/>
        </w:rPr>
        <w:br w:type="page"/>
      </w:r>
      <w:bookmarkStart w:id="831" w:name="_Toc99490401"/>
      <w:bookmarkStart w:id="832" w:name="_Toc348233312"/>
      <w:r w:rsidRPr="00BD76AF">
        <w:t>[</w:t>
      </w:r>
      <w:r w:rsidRPr="00BD76AF">
        <w:rPr>
          <w:i/>
        </w:rPr>
        <w:t xml:space="preserve">Option A : </w:t>
      </w:r>
      <w:r w:rsidRPr="00BD76AF">
        <w:rPr>
          <w:i/>
          <w:noProof/>
        </w:rPr>
        <w:t>appel d’offres</w:t>
      </w:r>
      <w:r w:rsidRPr="00BD76AF">
        <w:rPr>
          <w:i/>
        </w:rPr>
        <w:t xml:space="preserve"> à </w:t>
      </w:r>
      <w:r w:rsidRPr="00BD76AF">
        <w:rPr>
          <w:i/>
          <w:noProof/>
        </w:rPr>
        <w:t>une étape-deux enveloppes</w:t>
      </w:r>
      <w:r w:rsidRPr="00BD76AF">
        <w:t>]</w:t>
      </w:r>
      <w:bookmarkEnd w:id="831"/>
      <w:r w:rsidRPr="00BD76AF">
        <w:rPr>
          <w:szCs w:val="24"/>
        </w:rPr>
        <w:t xml:space="preserve"> </w:t>
      </w:r>
    </w:p>
    <w:p w14:paraId="2AC5AA2F" w14:textId="77777777" w:rsidR="00F332DA" w:rsidRPr="00BD76AF" w:rsidRDefault="00F332DA" w:rsidP="0079334B">
      <w:pPr>
        <w:pStyle w:val="S9Header"/>
        <w:suppressAutoHyphens w:val="0"/>
        <w:overflowPunct/>
        <w:autoSpaceDE/>
        <w:autoSpaceDN/>
        <w:adjustRightInd/>
        <w:spacing w:before="120" w:after="480"/>
        <w:textAlignment w:val="auto"/>
        <w:rPr>
          <w:strike/>
          <w:sz w:val="36"/>
          <w:szCs w:val="36"/>
        </w:rPr>
      </w:pPr>
      <w:bookmarkStart w:id="833" w:name="_Toc354482058"/>
      <w:bookmarkStart w:id="834" w:name="_Toc104152934"/>
      <w:r w:rsidRPr="00BD76AF">
        <w:rPr>
          <w:sz w:val="36"/>
          <w:szCs w:val="36"/>
        </w:rPr>
        <w:t>Acte d’</w:t>
      </w:r>
      <w:r w:rsidRPr="00BD76AF">
        <w:rPr>
          <w:sz w:val="36"/>
          <w:szCs w:val="36"/>
          <w:lang w:eastAsia="en-US"/>
        </w:rPr>
        <w:t>engagement</w:t>
      </w:r>
      <w:bookmarkEnd w:id="832"/>
      <w:bookmarkEnd w:id="833"/>
      <w:bookmarkEnd w:id="834"/>
    </w:p>
    <w:p w14:paraId="7C1E88B7" w14:textId="77777777" w:rsidR="00F332DA" w:rsidRPr="00BD76AF" w:rsidRDefault="00F332DA" w:rsidP="0079334B">
      <w:pPr>
        <w:tabs>
          <w:tab w:val="left" w:pos="2640"/>
          <w:tab w:val="left" w:pos="5400"/>
          <w:tab w:val="left" w:pos="6480"/>
        </w:tabs>
        <w:spacing w:afterLines="50" w:after="120"/>
        <w:ind w:right="45"/>
        <w:rPr>
          <w:szCs w:val="24"/>
        </w:rPr>
      </w:pPr>
      <w:r w:rsidRPr="00BD76AF">
        <w:rPr>
          <w:szCs w:val="24"/>
        </w:rPr>
        <w:t xml:space="preserve">MARCHÉ conclu le </w:t>
      </w:r>
      <w:r w:rsidRPr="00BD76AF">
        <w:rPr>
          <w:szCs w:val="24"/>
          <w:u w:val="single"/>
        </w:rPr>
        <w:tab/>
      </w:r>
      <w:r w:rsidRPr="00BD76AF">
        <w:rPr>
          <w:szCs w:val="24"/>
        </w:rPr>
        <w:t xml:space="preserve"> jour du </w:t>
      </w:r>
      <w:r w:rsidRPr="00BD76AF">
        <w:rPr>
          <w:szCs w:val="24"/>
          <w:u w:val="single"/>
        </w:rPr>
        <w:tab/>
      </w:r>
      <w:r w:rsidRPr="00BD76AF">
        <w:rPr>
          <w:szCs w:val="24"/>
        </w:rPr>
        <w:t xml:space="preserve"> 20</w:t>
      </w:r>
      <w:r w:rsidRPr="00BD76AF">
        <w:rPr>
          <w:szCs w:val="24"/>
          <w:u w:val="single"/>
        </w:rPr>
        <w:tab/>
      </w:r>
      <w:r w:rsidRPr="00BD76AF">
        <w:rPr>
          <w:szCs w:val="24"/>
        </w:rPr>
        <w:t>.</w:t>
      </w:r>
    </w:p>
    <w:p w14:paraId="3A6FC4CC" w14:textId="77777777" w:rsidR="00F332DA" w:rsidRPr="00BD76AF" w:rsidRDefault="00F332DA" w:rsidP="00315733">
      <w:pPr>
        <w:spacing w:afterLines="50" w:after="120"/>
        <w:ind w:right="45"/>
        <w:rPr>
          <w:szCs w:val="24"/>
        </w:rPr>
      </w:pPr>
      <w:r w:rsidRPr="00BD76AF">
        <w:rPr>
          <w:szCs w:val="24"/>
        </w:rPr>
        <w:t>ENTRE</w:t>
      </w:r>
    </w:p>
    <w:p w14:paraId="6CDDAABC" w14:textId="77777777" w:rsidR="00F332DA" w:rsidRPr="00BD76AF" w:rsidRDefault="00F332DA" w:rsidP="00315733">
      <w:pPr>
        <w:spacing w:afterLines="50" w:after="120"/>
        <w:rPr>
          <w:szCs w:val="24"/>
        </w:rPr>
      </w:pPr>
      <w:r w:rsidRPr="00BD76AF">
        <w:rPr>
          <w:szCs w:val="24"/>
        </w:rPr>
        <w:t>1) [</w:t>
      </w:r>
      <w:r w:rsidRPr="00BD76AF">
        <w:rPr>
          <w:i/>
          <w:szCs w:val="24"/>
        </w:rPr>
        <w:t>indiquer le nom du Maître d’ouvrage</w:t>
      </w:r>
      <w:r w:rsidRPr="00BD76AF">
        <w:rPr>
          <w:szCs w:val="24"/>
        </w:rPr>
        <w:t>], société constituée selon les lois de [</w:t>
      </w:r>
      <w:r w:rsidRPr="00BD76AF">
        <w:rPr>
          <w:i/>
          <w:szCs w:val="24"/>
        </w:rPr>
        <w:t>indiquer le nom du pays du Maître d’ouvrage</w:t>
      </w:r>
      <w:r w:rsidRPr="00BD76AF">
        <w:rPr>
          <w:szCs w:val="24"/>
        </w:rPr>
        <w:t>], ayant son siège social à [</w:t>
      </w:r>
      <w:r w:rsidRPr="00BD76AF">
        <w:rPr>
          <w:i/>
          <w:szCs w:val="24"/>
        </w:rPr>
        <w:t>indiquer l’adresse du Maître d’ouvrage</w:t>
      </w:r>
      <w:r w:rsidRPr="00BD76AF">
        <w:rPr>
          <w:szCs w:val="24"/>
        </w:rPr>
        <w:t xml:space="preserve">] (ci-après dénommée « Le Maître d’ouvrage »), et </w:t>
      </w:r>
    </w:p>
    <w:p w14:paraId="0EEBEC54" w14:textId="77777777" w:rsidR="00F332DA" w:rsidRPr="00BD76AF" w:rsidRDefault="00F332DA" w:rsidP="00315733">
      <w:pPr>
        <w:spacing w:afterLines="50" w:after="120"/>
        <w:rPr>
          <w:szCs w:val="24"/>
        </w:rPr>
      </w:pPr>
      <w:r w:rsidRPr="00BD76AF">
        <w:rPr>
          <w:szCs w:val="24"/>
        </w:rPr>
        <w:t>2) [</w:t>
      </w:r>
      <w:r w:rsidRPr="00BD76AF">
        <w:rPr>
          <w:i/>
          <w:szCs w:val="24"/>
        </w:rPr>
        <w:t>indiquer le nom de l’Entrepreneur</w:t>
      </w:r>
      <w:r w:rsidRPr="00BD76AF">
        <w:rPr>
          <w:szCs w:val="24"/>
        </w:rPr>
        <w:t>], société constituée selon les lois de [</w:t>
      </w:r>
      <w:r w:rsidRPr="00BD76AF">
        <w:rPr>
          <w:i/>
          <w:szCs w:val="24"/>
        </w:rPr>
        <w:t>indiquer le nom du pays de l’Entrepreneur</w:t>
      </w:r>
      <w:r w:rsidRPr="00BD76AF">
        <w:rPr>
          <w:szCs w:val="24"/>
        </w:rPr>
        <w:t>], ayant son siège social à [</w:t>
      </w:r>
      <w:r w:rsidRPr="00BD76AF">
        <w:rPr>
          <w:i/>
          <w:szCs w:val="24"/>
        </w:rPr>
        <w:t>indiquer l’adresse de l’Entrepreneur</w:t>
      </w:r>
      <w:r w:rsidRPr="00BD76AF">
        <w:rPr>
          <w:szCs w:val="24"/>
        </w:rPr>
        <w:t>] (ci-après dénommée « l’Entrepreneur »).</w:t>
      </w:r>
    </w:p>
    <w:p w14:paraId="0BD61A13" w14:textId="77777777" w:rsidR="00F332DA" w:rsidRPr="00BD76AF" w:rsidRDefault="00F332DA" w:rsidP="00315733">
      <w:pPr>
        <w:spacing w:afterLines="50" w:after="120"/>
        <w:rPr>
          <w:szCs w:val="24"/>
        </w:rPr>
      </w:pPr>
      <w:r w:rsidRPr="00BD76AF">
        <w:rPr>
          <w:szCs w:val="24"/>
        </w:rPr>
        <w:t>ATTENDU QUE le Maître d’ouvrage souhaite confier à l’Entrepreneur la conception, la fabrication, les tests, la livraison, le montage et la mise en service de certaines installations, à savoir [</w:t>
      </w:r>
      <w:r w:rsidRPr="00BD76AF">
        <w:rPr>
          <w:i/>
          <w:szCs w:val="24"/>
        </w:rPr>
        <w:t>donner une brève description des Installations</w:t>
      </w:r>
      <w:r w:rsidRPr="00BD76AF">
        <w:rPr>
          <w:szCs w:val="24"/>
        </w:rPr>
        <w:t>]</w:t>
      </w:r>
      <w:r w:rsidRPr="00BD76AF">
        <w:rPr>
          <w:i/>
          <w:szCs w:val="24"/>
        </w:rPr>
        <w:t xml:space="preserve"> </w:t>
      </w:r>
      <w:r w:rsidRPr="00BD76AF">
        <w:rPr>
          <w:szCs w:val="24"/>
        </w:rPr>
        <w:t>(ci-après dénommées « les Installations »), et que l’Entrepreneur a accepté de le faire dans les termes et conditions ci-après précisés,</w:t>
      </w:r>
    </w:p>
    <w:p w14:paraId="2FB3104A" w14:textId="77777777" w:rsidR="00F332DA" w:rsidRPr="00BD76AF" w:rsidRDefault="00F332DA" w:rsidP="0079334B">
      <w:pPr>
        <w:spacing w:after="200"/>
        <w:rPr>
          <w:szCs w:val="24"/>
        </w:rPr>
      </w:pPr>
      <w:r w:rsidRPr="00BD76AF">
        <w:rPr>
          <w:szCs w:val="24"/>
        </w:rPr>
        <w:t>Il a été convenu ce qui suit :</w:t>
      </w:r>
    </w:p>
    <w:tbl>
      <w:tblPr>
        <w:tblW w:w="9071" w:type="dxa"/>
        <w:tblLayout w:type="fixed"/>
        <w:tblLook w:val="0000" w:firstRow="0" w:lastRow="0" w:firstColumn="0" w:lastColumn="0" w:noHBand="0" w:noVBand="0"/>
      </w:tblPr>
      <w:tblGrid>
        <w:gridCol w:w="1809"/>
        <w:gridCol w:w="7262"/>
      </w:tblGrid>
      <w:tr w:rsidR="00F332DA" w:rsidRPr="00BD76AF" w14:paraId="0D6B74F9" w14:textId="77777777" w:rsidTr="00CD2F69">
        <w:tc>
          <w:tcPr>
            <w:tcW w:w="1809" w:type="dxa"/>
            <w:tcMar>
              <w:left w:w="57" w:type="dxa"/>
              <w:right w:w="57" w:type="dxa"/>
            </w:tcMar>
          </w:tcPr>
          <w:p w14:paraId="0384A201" w14:textId="77777777" w:rsidR="00F332DA" w:rsidRPr="00BD76AF" w:rsidRDefault="00F332DA" w:rsidP="0067332C">
            <w:pPr>
              <w:tabs>
                <w:tab w:val="center" w:pos="1701"/>
              </w:tabs>
              <w:ind w:right="-108"/>
              <w:rPr>
                <w:b/>
                <w:szCs w:val="24"/>
              </w:rPr>
            </w:pPr>
            <w:r w:rsidRPr="00BD76AF">
              <w:rPr>
                <w:b/>
                <w:szCs w:val="24"/>
              </w:rPr>
              <w:t>Article 1.</w:t>
            </w:r>
          </w:p>
          <w:p w14:paraId="1247BFE8" w14:textId="77777777" w:rsidR="00F332DA" w:rsidRPr="00BD76AF" w:rsidRDefault="00F332DA" w:rsidP="008C33E8">
            <w:pPr>
              <w:tabs>
                <w:tab w:val="center" w:pos="1701"/>
              </w:tabs>
              <w:ind w:left="170"/>
              <w:jc w:val="left"/>
              <w:rPr>
                <w:b/>
                <w:szCs w:val="24"/>
              </w:rPr>
            </w:pPr>
            <w:r w:rsidRPr="00BD76AF">
              <w:rPr>
                <w:b/>
                <w:szCs w:val="24"/>
              </w:rPr>
              <w:t>Documents contractuels</w:t>
            </w:r>
          </w:p>
        </w:tc>
        <w:tc>
          <w:tcPr>
            <w:tcW w:w="7262" w:type="dxa"/>
            <w:tcMar>
              <w:left w:w="57" w:type="dxa"/>
              <w:right w:w="57" w:type="dxa"/>
            </w:tcMar>
          </w:tcPr>
          <w:p w14:paraId="6599DBF4" w14:textId="77777777" w:rsidR="00F332DA" w:rsidRPr="00BD76AF" w:rsidRDefault="00F332DA" w:rsidP="0088297E">
            <w:pPr>
              <w:spacing w:afterLines="50" w:after="120"/>
              <w:ind w:left="369" w:hanging="369"/>
              <w:rPr>
                <w:szCs w:val="24"/>
              </w:rPr>
            </w:pPr>
            <w:r w:rsidRPr="00BD76AF">
              <w:rPr>
                <w:szCs w:val="24"/>
              </w:rPr>
              <w:t>1.1</w:t>
            </w:r>
            <w:r w:rsidRPr="00BD76AF">
              <w:rPr>
                <w:szCs w:val="24"/>
                <w:lang w:eastAsia="ja-JP"/>
              </w:rPr>
              <w:tab/>
            </w:r>
            <w:r w:rsidRPr="00BD76AF">
              <w:rPr>
                <w:szCs w:val="24"/>
                <w:u w:val="single"/>
              </w:rPr>
              <w:t>Documents contractuels</w:t>
            </w:r>
            <w:r w:rsidRPr="00BD76AF">
              <w:rPr>
                <w:szCs w:val="24"/>
              </w:rPr>
              <w:t xml:space="preserve"> (Référence Article 2 des Conditions Générales (CG))</w:t>
            </w:r>
          </w:p>
          <w:p w14:paraId="5A981414" w14:textId="77777777" w:rsidR="00F332DA" w:rsidRPr="00BD76AF" w:rsidRDefault="00F332DA" w:rsidP="00A160CC">
            <w:pPr>
              <w:spacing w:afterLines="50" w:after="120"/>
              <w:ind w:left="369"/>
              <w:rPr>
                <w:szCs w:val="24"/>
              </w:rPr>
            </w:pPr>
            <w:r w:rsidRPr="00BD76AF">
              <w:rPr>
                <w:szCs w:val="24"/>
              </w:rPr>
              <w:t>Les documents suivants constitueront le Marché passé entre le Maître d’ouvrage et l’Entrepreneur, et chacun de ces documents doit être lu et interprété comme faisant partie intégrante du Marché :</w:t>
            </w:r>
          </w:p>
          <w:p w14:paraId="17472773" w14:textId="77777777" w:rsidR="00F332DA" w:rsidRPr="00BD76AF" w:rsidRDefault="00F332DA" w:rsidP="00A02BFC">
            <w:pPr>
              <w:ind w:left="794" w:hanging="425"/>
              <w:rPr>
                <w:szCs w:val="24"/>
              </w:rPr>
            </w:pPr>
            <w:r w:rsidRPr="00BD76AF">
              <w:rPr>
                <w:szCs w:val="24"/>
              </w:rPr>
              <w:t>a)</w:t>
            </w:r>
            <w:r w:rsidRPr="00BD76AF">
              <w:rPr>
                <w:szCs w:val="24"/>
              </w:rPr>
              <w:tab/>
              <w:t>le présent Acte d’engagement et ses annexes ; </w:t>
            </w:r>
          </w:p>
          <w:p w14:paraId="1FC114A3" w14:textId="77777777" w:rsidR="00F332DA" w:rsidRPr="00BD76AF" w:rsidRDefault="00F332DA" w:rsidP="0079334B">
            <w:pPr>
              <w:ind w:left="794" w:hanging="425"/>
              <w:rPr>
                <w:szCs w:val="24"/>
              </w:rPr>
            </w:pPr>
            <w:r w:rsidRPr="00BD76AF">
              <w:rPr>
                <w:szCs w:val="24"/>
              </w:rPr>
              <w:t>b)</w:t>
            </w:r>
            <w:r w:rsidRPr="00BD76AF">
              <w:rPr>
                <w:szCs w:val="24"/>
              </w:rPr>
              <w:tab/>
              <w:t>la Lettre d’acceptation de l’offre ;</w:t>
            </w:r>
          </w:p>
          <w:p w14:paraId="4D416AFC" w14:textId="77777777" w:rsidR="00F332DA" w:rsidRPr="00BD76AF" w:rsidRDefault="00F332DA" w:rsidP="00A02BFC">
            <w:pPr>
              <w:ind w:left="794" w:hanging="425"/>
              <w:rPr>
                <w:szCs w:val="24"/>
              </w:rPr>
            </w:pPr>
            <w:r w:rsidRPr="00BD76AF">
              <w:rPr>
                <w:szCs w:val="24"/>
              </w:rPr>
              <w:t>c)</w:t>
            </w:r>
            <w:r w:rsidRPr="00BD76AF">
              <w:rPr>
                <w:szCs w:val="24"/>
              </w:rPr>
              <w:tab/>
              <w:t>la Lettre de soumission de l’Offre Technique ; </w:t>
            </w:r>
          </w:p>
          <w:p w14:paraId="61B2211C" w14:textId="77777777" w:rsidR="00F332DA" w:rsidRPr="00BD76AF" w:rsidRDefault="00F332DA" w:rsidP="00A02BFC">
            <w:pPr>
              <w:ind w:left="794" w:hanging="425"/>
              <w:rPr>
                <w:szCs w:val="24"/>
              </w:rPr>
            </w:pPr>
            <w:r w:rsidRPr="00BD76AF">
              <w:rPr>
                <w:szCs w:val="24"/>
              </w:rPr>
              <w:t>d)</w:t>
            </w:r>
            <w:r w:rsidRPr="00BD76AF">
              <w:rPr>
                <w:szCs w:val="24"/>
                <w:lang w:eastAsia="ja-JP"/>
              </w:rPr>
              <w:tab/>
              <w:t>l</w:t>
            </w:r>
            <w:r w:rsidRPr="00BD76AF">
              <w:rPr>
                <w:szCs w:val="24"/>
              </w:rPr>
              <w:t>a Lettre de soumission de l’Offre Financière ; </w:t>
            </w:r>
          </w:p>
          <w:p w14:paraId="09AD07AA" w14:textId="77777777" w:rsidR="00F332DA" w:rsidRPr="00BD76AF" w:rsidRDefault="00F332DA" w:rsidP="0079334B">
            <w:pPr>
              <w:ind w:left="794" w:hanging="425"/>
              <w:rPr>
                <w:szCs w:val="24"/>
              </w:rPr>
            </w:pPr>
            <w:r w:rsidRPr="00BD76AF">
              <w:rPr>
                <w:szCs w:val="24"/>
              </w:rPr>
              <w:t>e)</w:t>
            </w:r>
            <w:r w:rsidRPr="00BD76AF">
              <w:rPr>
                <w:szCs w:val="24"/>
              </w:rPr>
              <w:tab/>
              <w:t>les avenants, le cas échéant ;</w:t>
            </w:r>
          </w:p>
          <w:p w14:paraId="4E0BCC17" w14:textId="77777777" w:rsidR="00F332DA" w:rsidRPr="00BD76AF" w:rsidRDefault="00F332DA" w:rsidP="00A02BFC">
            <w:pPr>
              <w:ind w:left="794" w:hanging="425"/>
              <w:rPr>
                <w:szCs w:val="24"/>
              </w:rPr>
            </w:pPr>
            <w:r w:rsidRPr="00BD76AF">
              <w:rPr>
                <w:szCs w:val="24"/>
              </w:rPr>
              <w:t>f)</w:t>
            </w:r>
            <w:r w:rsidRPr="00BD76AF">
              <w:rPr>
                <w:szCs w:val="24"/>
              </w:rPr>
              <w:tab/>
              <w:t>les Conditions Particulières ;</w:t>
            </w:r>
          </w:p>
          <w:p w14:paraId="35A16533" w14:textId="77777777" w:rsidR="00F332DA" w:rsidRPr="00BD76AF" w:rsidRDefault="00F332DA" w:rsidP="00A02BFC">
            <w:pPr>
              <w:ind w:left="794" w:hanging="425"/>
              <w:rPr>
                <w:szCs w:val="24"/>
              </w:rPr>
            </w:pPr>
            <w:r w:rsidRPr="00BD76AF">
              <w:rPr>
                <w:szCs w:val="24"/>
              </w:rPr>
              <w:t>g)</w:t>
            </w:r>
            <w:r w:rsidRPr="00BD76AF">
              <w:rPr>
                <w:szCs w:val="24"/>
              </w:rPr>
              <w:tab/>
              <w:t>les Conditions Générales ;</w:t>
            </w:r>
          </w:p>
          <w:p w14:paraId="0BB41D03" w14:textId="77777777" w:rsidR="00F332DA" w:rsidRPr="00BD76AF" w:rsidRDefault="00F332DA" w:rsidP="00A02BFC">
            <w:pPr>
              <w:ind w:left="794" w:hanging="425"/>
              <w:rPr>
                <w:szCs w:val="24"/>
              </w:rPr>
            </w:pPr>
            <w:r w:rsidRPr="00BD76AF">
              <w:rPr>
                <w:szCs w:val="24"/>
              </w:rPr>
              <w:t>h)</w:t>
            </w:r>
            <w:r w:rsidRPr="00BD76AF">
              <w:rPr>
                <w:szCs w:val="24"/>
              </w:rPr>
              <w:tab/>
              <w:t>les Exigences du Maître d’ouvrage ;</w:t>
            </w:r>
          </w:p>
          <w:p w14:paraId="17C9BA82" w14:textId="77777777" w:rsidR="00F332DA" w:rsidRPr="00BD76AF" w:rsidRDefault="00F332DA" w:rsidP="00A02BFC">
            <w:pPr>
              <w:ind w:left="794" w:hanging="425"/>
              <w:rPr>
                <w:szCs w:val="24"/>
              </w:rPr>
            </w:pPr>
            <w:r w:rsidRPr="00BD76AF">
              <w:rPr>
                <w:szCs w:val="24"/>
              </w:rPr>
              <w:t>i)</w:t>
            </w:r>
            <w:r w:rsidRPr="00BD76AF">
              <w:rPr>
                <w:szCs w:val="24"/>
              </w:rPr>
              <w:tab/>
              <w:t xml:space="preserve">les autres formulaires de soumission complétés remis avec l’offre ; </w:t>
            </w:r>
          </w:p>
          <w:p w14:paraId="3104CC78" w14:textId="77777777" w:rsidR="00F332DA" w:rsidRPr="00BD76AF" w:rsidRDefault="00F332DA" w:rsidP="00A02BFC">
            <w:pPr>
              <w:ind w:left="794" w:hanging="425"/>
              <w:rPr>
                <w:szCs w:val="24"/>
                <w:lang w:eastAsia="ja-JP"/>
              </w:rPr>
            </w:pPr>
            <w:r w:rsidRPr="00BD76AF">
              <w:rPr>
                <w:szCs w:val="24"/>
              </w:rPr>
              <w:t>j)</w:t>
            </w:r>
            <w:r w:rsidRPr="00BD76AF">
              <w:rPr>
                <w:szCs w:val="24"/>
              </w:rPr>
              <w:tab/>
              <w:t xml:space="preserve">la Reconnaissance </w:t>
            </w:r>
            <w:r w:rsidRPr="00BD76AF">
              <w:t>du respect des Directives pour les passations de marchés sous financement par Prêts APD du Japon.</w:t>
            </w:r>
          </w:p>
          <w:p w14:paraId="2024D6C3" w14:textId="77777777" w:rsidR="00F332DA" w:rsidRPr="00BD76AF" w:rsidRDefault="00F332DA" w:rsidP="00A02BFC">
            <w:pPr>
              <w:ind w:left="794" w:hanging="425"/>
              <w:rPr>
                <w:i/>
                <w:szCs w:val="24"/>
              </w:rPr>
            </w:pPr>
            <w:r w:rsidRPr="00BD76AF">
              <w:rPr>
                <w:szCs w:val="24"/>
              </w:rPr>
              <w:t>k)</w:t>
            </w:r>
            <w:r w:rsidRPr="00BD76AF">
              <w:rPr>
                <w:szCs w:val="24"/>
              </w:rPr>
              <w:tab/>
              <w:t>[</w:t>
            </w:r>
            <w:r w:rsidRPr="00BD76AF">
              <w:rPr>
                <w:i/>
                <w:szCs w:val="24"/>
              </w:rPr>
              <w:t>Tout autre document éventuel sera indiqué ici.</w:t>
            </w:r>
            <w:r w:rsidRPr="00BD76AF">
              <w:rPr>
                <w:szCs w:val="24"/>
              </w:rPr>
              <w:t>]</w:t>
            </w:r>
          </w:p>
          <w:p w14:paraId="404FAF09" w14:textId="77777777" w:rsidR="00F332DA" w:rsidRPr="00BD76AF" w:rsidRDefault="00F332DA" w:rsidP="00CD2F69">
            <w:pPr>
              <w:ind w:left="1440"/>
              <w:rPr>
                <w:szCs w:val="24"/>
              </w:rPr>
            </w:pPr>
          </w:p>
          <w:p w14:paraId="4BFACEF3" w14:textId="77777777" w:rsidR="00F332DA" w:rsidRPr="00BD76AF" w:rsidRDefault="00F332DA" w:rsidP="00B16D10">
            <w:pPr>
              <w:spacing w:afterLines="50" w:after="120"/>
              <w:ind w:left="369" w:hanging="369"/>
              <w:rPr>
                <w:szCs w:val="24"/>
              </w:rPr>
            </w:pPr>
            <w:r w:rsidRPr="00BD76AF">
              <w:rPr>
                <w:szCs w:val="24"/>
              </w:rPr>
              <w:t>1.2</w:t>
            </w:r>
            <w:r w:rsidRPr="00BD76AF">
              <w:rPr>
                <w:szCs w:val="24"/>
                <w:lang w:eastAsia="ja-JP"/>
              </w:rPr>
              <w:tab/>
            </w:r>
            <w:r w:rsidRPr="00BD76AF">
              <w:rPr>
                <w:szCs w:val="24"/>
                <w:u w:val="single"/>
              </w:rPr>
              <w:t>Ordre de priorité</w:t>
            </w:r>
            <w:r w:rsidRPr="00BD76AF">
              <w:rPr>
                <w:szCs w:val="24"/>
              </w:rPr>
              <w:t xml:space="preserve"> (Référence Article 2 des CG)</w:t>
            </w:r>
          </w:p>
          <w:p w14:paraId="6FE22295" w14:textId="77777777" w:rsidR="00F332DA" w:rsidRPr="00BD76AF" w:rsidRDefault="00F332DA" w:rsidP="00A160CC">
            <w:pPr>
              <w:spacing w:afterLines="50" w:after="120"/>
              <w:ind w:left="369"/>
              <w:rPr>
                <w:szCs w:val="24"/>
              </w:rPr>
            </w:pPr>
            <w:r w:rsidRPr="00BD76AF">
              <w:rPr>
                <w:szCs w:val="24"/>
              </w:rPr>
              <w:t>En cas d’ambiguïté ou de confit entre les documents contractuels dont la liste figure ci-dessus, l’ordre de priorité doit être celui dans lequel ils sont indiqués à l’Article 1.1 (</w:t>
            </w:r>
            <w:r w:rsidRPr="00BD76AF">
              <w:rPr>
                <w:i/>
                <w:szCs w:val="24"/>
              </w:rPr>
              <w:t>Documents contractuels</w:t>
            </w:r>
            <w:r w:rsidRPr="00BD76AF">
              <w:rPr>
                <w:szCs w:val="24"/>
              </w:rPr>
              <w:t>) ci-dessus.</w:t>
            </w:r>
          </w:p>
          <w:p w14:paraId="515593F5" w14:textId="77777777" w:rsidR="00F332DA" w:rsidRPr="00BD76AF" w:rsidRDefault="00F332DA" w:rsidP="00055012">
            <w:pPr>
              <w:spacing w:afterLines="50" w:after="120"/>
              <w:ind w:left="369" w:hanging="369"/>
              <w:rPr>
                <w:szCs w:val="24"/>
              </w:rPr>
            </w:pPr>
            <w:r w:rsidRPr="00BD76AF">
              <w:rPr>
                <w:szCs w:val="24"/>
              </w:rPr>
              <w:t>1.3</w:t>
            </w:r>
            <w:r w:rsidRPr="00BD76AF">
              <w:rPr>
                <w:szCs w:val="24"/>
                <w:lang w:eastAsia="ja-JP"/>
              </w:rPr>
              <w:tab/>
            </w:r>
            <w:r w:rsidRPr="00BD76AF">
              <w:rPr>
                <w:szCs w:val="24"/>
                <w:u w:val="single"/>
              </w:rPr>
              <w:t>Définitions</w:t>
            </w:r>
            <w:r w:rsidRPr="00BD76AF">
              <w:rPr>
                <w:szCs w:val="24"/>
              </w:rPr>
              <w:t xml:space="preserve"> (Référence Article 1 des CG)</w:t>
            </w:r>
          </w:p>
          <w:p w14:paraId="5B19F226" w14:textId="77777777" w:rsidR="00F332DA" w:rsidRPr="00BD76AF" w:rsidRDefault="00F332DA" w:rsidP="0079334B">
            <w:pPr>
              <w:spacing w:afterLines="50" w:after="120"/>
              <w:ind w:left="369"/>
              <w:rPr>
                <w:szCs w:val="24"/>
                <w:lang w:eastAsia="ja-JP"/>
              </w:rPr>
            </w:pPr>
            <w:r w:rsidRPr="00BD76AF">
              <w:rPr>
                <w:szCs w:val="24"/>
              </w:rPr>
              <w:t>Les mots et expressions commençant par une lettre majuscule doivent avoir la même signification que celle qui leur est donnée dans les Conditions Générales.</w:t>
            </w:r>
          </w:p>
        </w:tc>
      </w:tr>
      <w:tr w:rsidR="00F332DA" w:rsidRPr="00BD76AF" w14:paraId="3901AAA2" w14:textId="77777777" w:rsidTr="00CD2F69">
        <w:tc>
          <w:tcPr>
            <w:tcW w:w="1809" w:type="dxa"/>
            <w:tcMar>
              <w:left w:w="57" w:type="dxa"/>
              <w:right w:w="57" w:type="dxa"/>
            </w:tcMar>
          </w:tcPr>
          <w:p w14:paraId="6E732DC6" w14:textId="77777777" w:rsidR="00F332DA" w:rsidRPr="00BD76AF" w:rsidRDefault="00F332DA" w:rsidP="00315F0E">
            <w:pPr>
              <w:tabs>
                <w:tab w:val="center" w:pos="1701"/>
              </w:tabs>
              <w:ind w:right="-108"/>
              <w:jc w:val="left"/>
              <w:rPr>
                <w:b/>
                <w:szCs w:val="24"/>
              </w:rPr>
            </w:pPr>
            <w:r w:rsidRPr="00BD76AF">
              <w:rPr>
                <w:b/>
                <w:szCs w:val="24"/>
              </w:rPr>
              <w:t>Article 2.</w:t>
            </w:r>
          </w:p>
          <w:p w14:paraId="53B00368" w14:textId="77777777" w:rsidR="00F332DA" w:rsidRPr="00BD76AF" w:rsidRDefault="00F332DA" w:rsidP="008C33E8">
            <w:pPr>
              <w:tabs>
                <w:tab w:val="center" w:pos="1701"/>
              </w:tabs>
              <w:ind w:left="170"/>
              <w:jc w:val="left"/>
              <w:rPr>
                <w:b/>
                <w:szCs w:val="24"/>
              </w:rPr>
            </w:pPr>
            <w:r w:rsidRPr="00BD76AF">
              <w:rPr>
                <w:b/>
                <w:szCs w:val="24"/>
              </w:rPr>
              <w:t xml:space="preserve">Montant du Marché et conditions de paiement </w:t>
            </w:r>
          </w:p>
        </w:tc>
        <w:tc>
          <w:tcPr>
            <w:tcW w:w="7262" w:type="dxa"/>
            <w:tcMar>
              <w:left w:w="57" w:type="dxa"/>
              <w:right w:w="57" w:type="dxa"/>
            </w:tcMar>
          </w:tcPr>
          <w:p w14:paraId="227F9E00" w14:textId="77777777" w:rsidR="00F332DA" w:rsidRPr="00BD76AF" w:rsidRDefault="00F332DA" w:rsidP="0066155A">
            <w:pPr>
              <w:spacing w:afterLines="50" w:after="120"/>
              <w:ind w:left="369" w:hanging="369"/>
              <w:rPr>
                <w:szCs w:val="24"/>
              </w:rPr>
            </w:pPr>
            <w:r w:rsidRPr="00BD76AF">
              <w:rPr>
                <w:szCs w:val="24"/>
              </w:rPr>
              <w:t>2.1</w:t>
            </w:r>
            <w:r w:rsidRPr="00BD76AF">
              <w:rPr>
                <w:szCs w:val="24"/>
                <w:lang w:eastAsia="ja-JP"/>
              </w:rPr>
              <w:tab/>
            </w:r>
            <w:r w:rsidRPr="00BD76AF">
              <w:rPr>
                <w:szCs w:val="24"/>
                <w:u w:val="single"/>
              </w:rPr>
              <w:t>Montant du Marché</w:t>
            </w:r>
            <w:r w:rsidRPr="00BD76AF">
              <w:rPr>
                <w:szCs w:val="24"/>
              </w:rPr>
              <w:t xml:space="preserve"> (Référence Article 11 des CG)</w:t>
            </w:r>
          </w:p>
          <w:p w14:paraId="14DD2B16" w14:textId="77777777" w:rsidR="00F332DA" w:rsidRPr="00BD76AF" w:rsidRDefault="00F332DA" w:rsidP="00A160CC">
            <w:pPr>
              <w:spacing w:afterLines="50" w:after="120"/>
              <w:ind w:left="369"/>
              <w:rPr>
                <w:szCs w:val="24"/>
              </w:rPr>
            </w:pPr>
            <w:r w:rsidRPr="00BD76AF">
              <w:rPr>
                <w:szCs w:val="24"/>
              </w:rPr>
              <w:t>Le Maître d’ouvrage s’engage par les présentes à payer à l’Entrepreneur le Montant du Marché en contrepartie de l’exécution par l’Entrepreneur de ses obligations en vertu du Marché. Le Montant du Marché doit être le total de : [</w:t>
            </w:r>
            <w:r w:rsidRPr="00BD76AF">
              <w:rPr>
                <w:i/>
                <w:szCs w:val="24"/>
              </w:rPr>
              <w:t>indiquer le(s) montant(s) en monnaie(s) étrangère(s) en lettres et en chiffres</w:t>
            </w:r>
            <w:r w:rsidRPr="00BD76AF">
              <w:rPr>
                <w:szCs w:val="24"/>
              </w:rPr>
              <w:t>] et [</w:t>
            </w:r>
            <w:r w:rsidRPr="00BD76AF">
              <w:rPr>
                <w:i/>
                <w:szCs w:val="24"/>
              </w:rPr>
              <w:t>indiquer le montant en monnaie nationale en lettres et en chiffres</w:t>
            </w:r>
            <w:r w:rsidRPr="00BD76AF">
              <w:rPr>
                <w:szCs w:val="24"/>
              </w:rPr>
              <w:t>] comme indiqué dans le tableau récapitulatif</w:t>
            </w:r>
            <w:r w:rsidRPr="00BD76AF">
              <w:t xml:space="preserve"> </w:t>
            </w:r>
            <w:r w:rsidRPr="00BD76AF">
              <w:rPr>
                <w:szCs w:val="24"/>
              </w:rPr>
              <w:t>des Bordereaux des prix, ou toute autre somme déterminée en conformité avec les termes et conditions du Marché.</w:t>
            </w:r>
          </w:p>
          <w:p w14:paraId="03CAB09B" w14:textId="77777777" w:rsidR="00F332DA" w:rsidRPr="00BD76AF" w:rsidRDefault="00F332DA" w:rsidP="00B8260C">
            <w:pPr>
              <w:spacing w:afterLines="50" w:after="120"/>
              <w:ind w:left="369" w:hanging="369"/>
              <w:rPr>
                <w:szCs w:val="24"/>
              </w:rPr>
            </w:pPr>
            <w:r w:rsidRPr="00BD76AF">
              <w:rPr>
                <w:szCs w:val="24"/>
              </w:rPr>
              <w:t>2.2</w:t>
            </w:r>
            <w:r w:rsidRPr="00BD76AF">
              <w:rPr>
                <w:szCs w:val="24"/>
                <w:lang w:eastAsia="ja-JP"/>
              </w:rPr>
              <w:tab/>
            </w:r>
            <w:r w:rsidRPr="00BD76AF">
              <w:rPr>
                <w:szCs w:val="24"/>
                <w:u w:val="single"/>
              </w:rPr>
              <w:t>Conditions de paiement</w:t>
            </w:r>
            <w:r w:rsidRPr="00BD76AF">
              <w:rPr>
                <w:szCs w:val="24"/>
              </w:rPr>
              <w:t xml:space="preserve"> (Référence Article 12 des CG)</w:t>
            </w:r>
          </w:p>
          <w:p w14:paraId="11E5D3F9" w14:textId="77777777" w:rsidR="00F332DA" w:rsidRPr="00BD76AF" w:rsidRDefault="00F332DA" w:rsidP="00811FFD">
            <w:pPr>
              <w:spacing w:afterLines="50" w:after="120"/>
              <w:ind w:left="369"/>
              <w:rPr>
                <w:szCs w:val="24"/>
              </w:rPr>
            </w:pPr>
            <w:r w:rsidRPr="00BD76AF">
              <w:rPr>
                <w:szCs w:val="24"/>
              </w:rPr>
              <w:t>Le Montant du Marché doit être payé par le Maître d’ouvrage à l’Entrepreneur selon l’échéancier, de la façon et conformément à l’Article 12 des CG et aux dispositions de l’Annexe 1 (</w:t>
            </w:r>
            <w:r w:rsidRPr="00BD76AF">
              <w:rPr>
                <w:i/>
                <w:szCs w:val="24"/>
              </w:rPr>
              <w:t>Conditions et procédures de règlement</w:t>
            </w:r>
            <w:r w:rsidRPr="00BD76AF">
              <w:rPr>
                <w:szCs w:val="24"/>
              </w:rPr>
              <w:t>) de l’Acte d’engagement.</w:t>
            </w:r>
          </w:p>
        </w:tc>
      </w:tr>
      <w:tr w:rsidR="00F332DA" w:rsidRPr="00BD76AF" w14:paraId="1947ACA5" w14:textId="77777777" w:rsidTr="00CD2F69">
        <w:tc>
          <w:tcPr>
            <w:tcW w:w="1809" w:type="dxa"/>
            <w:tcMar>
              <w:left w:w="57" w:type="dxa"/>
              <w:right w:w="57" w:type="dxa"/>
            </w:tcMar>
          </w:tcPr>
          <w:p w14:paraId="0FFBE504" w14:textId="77777777" w:rsidR="00F332DA" w:rsidRPr="00BD76AF" w:rsidRDefault="00F332DA" w:rsidP="0067332C">
            <w:pPr>
              <w:tabs>
                <w:tab w:val="center" w:pos="1701"/>
              </w:tabs>
              <w:ind w:right="-108"/>
              <w:rPr>
                <w:b/>
                <w:szCs w:val="24"/>
              </w:rPr>
            </w:pPr>
            <w:r w:rsidRPr="00BD76AF">
              <w:rPr>
                <w:b/>
                <w:szCs w:val="24"/>
              </w:rPr>
              <w:t xml:space="preserve">Article </w:t>
            </w:r>
            <w:r w:rsidRPr="00BD76AF">
              <w:rPr>
                <w:rFonts w:hint="eastAsia"/>
                <w:b/>
                <w:szCs w:val="24"/>
                <w:lang w:eastAsia="ja-JP"/>
              </w:rPr>
              <w:t>3</w:t>
            </w:r>
            <w:r w:rsidRPr="00BD76AF">
              <w:rPr>
                <w:b/>
                <w:szCs w:val="24"/>
              </w:rPr>
              <w:t>.</w:t>
            </w:r>
          </w:p>
          <w:p w14:paraId="4D8D8DF7" w14:textId="77777777" w:rsidR="00F332DA" w:rsidRPr="00BD76AF" w:rsidRDefault="00F332DA" w:rsidP="008C33E8">
            <w:pPr>
              <w:tabs>
                <w:tab w:val="center" w:pos="1701"/>
              </w:tabs>
              <w:ind w:left="170"/>
              <w:jc w:val="left"/>
              <w:rPr>
                <w:b/>
                <w:szCs w:val="24"/>
              </w:rPr>
            </w:pPr>
            <w:r w:rsidRPr="00BD76AF">
              <w:rPr>
                <w:b/>
                <w:szCs w:val="24"/>
              </w:rPr>
              <w:t>Annexes</w:t>
            </w:r>
          </w:p>
        </w:tc>
        <w:tc>
          <w:tcPr>
            <w:tcW w:w="7262" w:type="dxa"/>
            <w:tcMar>
              <w:left w:w="57" w:type="dxa"/>
              <w:right w:w="57" w:type="dxa"/>
            </w:tcMar>
          </w:tcPr>
          <w:p w14:paraId="4A8C0975" w14:textId="77777777" w:rsidR="00F332DA" w:rsidRPr="00BD76AF" w:rsidRDefault="00F332DA" w:rsidP="00531BF2">
            <w:pPr>
              <w:spacing w:afterLines="50" w:after="120"/>
              <w:ind w:left="369" w:hanging="369"/>
              <w:rPr>
                <w:szCs w:val="24"/>
              </w:rPr>
            </w:pPr>
            <w:r w:rsidRPr="00BD76AF">
              <w:rPr>
                <w:szCs w:val="24"/>
              </w:rPr>
              <w:t>3.1</w:t>
            </w:r>
            <w:r w:rsidRPr="00BD76AF">
              <w:rPr>
                <w:szCs w:val="24"/>
                <w:lang w:eastAsia="ja-JP"/>
              </w:rPr>
              <w:tab/>
            </w:r>
            <w:r w:rsidRPr="00BD76AF">
              <w:rPr>
                <w:szCs w:val="24"/>
              </w:rPr>
              <w:t>Les annexes énumérées dans la liste des annexes ci-jointe seront réputées faire partie intégrante de cet Acte d’engagement.</w:t>
            </w:r>
          </w:p>
          <w:p w14:paraId="7953A757" w14:textId="77777777" w:rsidR="00F332DA" w:rsidRPr="00BD76AF" w:rsidRDefault="00F332DA" w:rsidP="0079334B">
            <w:pPr>
              <w:spacing w:afterLines="50" w:after="120"/>
              <w:ind w:left="369" w:hanging="369"/>
              <w:rPr>
                <w:szCs w:val="24"/>
              </w:rPr>
            </w:pPr>
            <w:r w:rsidRPr="00BD76AF">
              <w:rPr>
                <w:szCs w:val="24"/>
              </w:rPr>
              <w:t>3.2</w:t>
            </w:r>
            <w:r w:rsidRPr="00BD76AF">
              <w:rPr>
                <w:szCs w:val="24"/>
                <w:lang w:eastAsia="ja-JP"/>
              </w:rPr>
              <w:tab/>
            </w:r>
            <w:r w:rsidRPr="00BD76AF">
              <w:rPr>
                <w:szCs w:val="24"/>
              </w:rPr>
              <w:t>Toute référence dans le Marché à une annexe concernera l’une des annexes jointes, et le Marché devra être lu et interprété en conséquence.</w:t>
            </w:r>
          </w:p>
        </w:tc>
      </w:tr>
    </w:tbl>
    <w:p w14:paraId="6DB6E91D" w14:textId="77777777" w:rsidR="00F332DA" w:rsidRPr="00BD76AF" w:rsidRDefault="00F332DA" w:rsidP="001C0F71">
      <w:pPr>
        <w:rPr>
          <w:lang w:eastAsia="ja-JP"/>
        </w:rPr>
      </w:pPr>
    </w:p>
    <w:p w14:paraId="1D1A0010" w14:textId="77777777" w:rsidR="00F332DA" w:rsidRPr="00BD76AF" w:rsidRDefault="00F332DA" w:rsidP="001C0F71">
      <w:pPr>
        <w:rPr>
          <w:szCs w:val="24"/>
        </w:rPr>
      </w:pPr>
      <w:r w:rsidRPr="00BD76AF">
        <w:rPr>
          <w:rFonts w:eastAsia="Times New Roman"/>
        </w:rPr>
        <w:t>EN FOI DE QUOI,</w:t>
      </w:r>
      <w:r w:rsidRPr="00BD76AF">
        <w:rPr>
          <w:szCs w:val="24"/>
        </w:rPr>
        <w:t xml:space="preserve"> le Maître d’ouvrage et l’Entrepreneur ont </w:t>
      </w:r>
      <w:r w:rsidRPr="00BD76AF">
        <w:t>fait signer le présent Marché</w:t>
      </w:r>
      <w:r w:rsidRPr="00BD76AF">
        <w:rPr>
          <w:szCs w:val="24"/>
        </w:rPr>
        <w:t xml:space="preserve"> </w:t>
      </w:r>
      <w:r w:rsidRPr="00BD76AF">
        <w:t>les jour et an indiqués ci-dessus.</w:t>
      </w:r>
    </w:p>
    <w:p w14:paraId="0981297A" w14:textId="77777777" w:rsidR="00F332DA" w:rsidRPr="00BD76AF" w:rsidRDefault="00F332DA" w:rsidP="001C0F71">
      <w:pPr>
        <w:rPr>
          <w:szCs w:val="24"/>
        </w:rPr>
      </w:pPr>
    </w:p>
    <w:p w14:paraId="3B20E19F" w14:textId="77777777" w:rsidR="00F332DA" w:rsidRPr="00BD76AF" w:rsidRDefault="00F332DA" w:rsidP="0079334B">
      <w:pPr>
        <w:rPr>
          <w:szCs w:val="24"/>
        </w:rPr>
      </w:pPr>
      <w:r w:rsidRPr="00BD76AF">
        <w:rPr>
          <w:szCs w:val="24"/>
        </w:rPr>
        <w:t>Signature :</w:t>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szCs w:val="24"/>
        </w:rPr>
        <w:tab/>
        <w:t>Signature :</w:t>
      </w:r>
    </w:p>
    <w:p w14:paraId="777C625B" w14:textId="77777777" w:rsidR="00F332DA" w:rsidRPr="00BD76AF" w:rsidRDefault="00F332DA" w:rsidP="0079334B">
      <w:pPr>
        <w:rPr>
          <w:szCs w:val="24"/>
        </w:rPr>
      </w:pPr>
      <w:r w:rsidRPr="00BD76AF">
        <w:rPr>
          <w:szCs w:val="24"/>
        </w:rPr>
        <w:t>Titre :</w:t>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szCs w:val="24"/>
        </w:rPr>
        <w:tab/>
        <w:t xml:space="preserve">      Titre :</w:t>
      </w:r>
    </w:p>
    <w:p w14:paraId="79D635D7" w14:textId="77777777" w:rsidR="00F332DA" w:rsidRPr="00BD76AF" w:rsidRDefault="00F332DA" w:rsidP="0079334B">
      <w:pPr>
        <w:rPr>
          <w:szCs w:val="24"/>
        </w:rPr>
      </w:pPr>
    </w:p>
    <w:p w14:paraId="29DC71D1" w14:textId="77777777" w:rsidR="00F332DA" w:rsidRPr="00BD76AF" w:rsidRDefault="00F332DA" w:rsidP="0079334B">
      <w:pPr>
        <w:rPr>
          <w:rFonts w:eastAsia="Times New Roman"/>
        </w:rPr>
      </w:pPr>
      <w:r w:rsidRPr="00BD76AF">
        <w:rPr>
          <w:rFonts w:eastAsia="Times New Roman"/>
        </w:rPr>
        <w:t>Pour et au nom du Maître d’ouvrage</w:t>
      </w:r>
      <w:r w:rsidRPr="00BD76AF">
        <w:rPr>
          <w:rFonts w:eastAsia="Times New Roman"/>
        </w:rPr>
        <w:tab/>
      </w:r>
      <w:r w:rsidRPr="00BD76AF">
        <w:rPr>
          <w:rFonts w:eastAsia="Times New Roman"/>
        </w:rPr>
        <w:tab/>
      </w:r>
      <w:r w:rsidRPr="00BD76AF">
        <w:rPr>
          <w:rFonts w:eastAsia="Times New Roman"/>
        </w:rPr>
        <w:tab/>
        <w:t>Pour et au nom de l’Entrepreneur</w:t>
      </w:r>
    </w:p>
    <w:p w14:paraId="09072A62" w14:textId="77777777" w:rsidR="00F332DA" w:rsidRPr="00BD76AF" w:rsidRDefault="00F332DA" w:rsidP="0079334B">
      <w:pPr>
        <w:rPr>
          <w:rFonts w:eastAsia="Times New Roman"/>
        </w:rPr>
      </w:pPr>
      <w:r w:rsidRPr="00BD76AF">
        <w:rPr>
          <w:rFonts w:eastAsia="Times New Roman"/>
        </w:rPr>
        <w:t>En présence de :</w:t>
      </w:r>
      <w:r w:rsidRPr="00BD76AF">
        <w:rPr>
          <w:rFonts w:eastAsia="Times New Roman"/>
        </w:rPr>
        <w:tab/>
      </w:r>
      <w:r w:rsidRPr="00BD76AF">
        <w:rPr>
          <w:rFonts w:eastAsia="Times New Roman"/>
        </w:rPr>
        <w:tab/>
      </w:r>
      <w:r w:rsidRPr="00BD76AF">
        <w:rPr>
          <w:rFonts w:eastAsia="Times New Roman"/>
        </w:rPr>
        <w:tab/>
      </w:r>
      <w:r w:rsidRPr="00BD76AF">
        <w:rPr>
          <w:rFonts w:eastAsia="Times New Roman"/>
        </w:rPr>
        <w:tab/>
      </w:r>
      <w:r w:rsidRPr="00BD76AF">
        <w:rPr>
          <w:rFonts w:eastAsia="Times New Roman"/>
        </w:rPr>
        <w:tab/>
        <w:t>En présence de :</w:t>
      </w:r>
    </w:p>
    <w:p w14:paraId="72F1A1B4" w14:textId="77777777" w:rsidR="00F332DA" w:rsidRPr="00BD76AF" w:rsidRDefault="00F332DA" w:rsidP="0079334B">
      <w:pPr>
        <w:rPr>
          <w:rFonts w:eastAsia="Times New Roman"/>
        </w:rPr>
      </w:pPr>
    </w:p>
    <w:p w14:paraId="3AD567C2" w14:textId="77777777" w:rsidR="00F332DA" w:rsidRPr="00BD76AF" w:rsidRDefault="00F332DA" w:rsidP="0079334B">
      <w:pPr>
        <w:rPr>
          <w:rFonts w:eastAsia="Times New Roman"/>
        </w:rPr>
      </w:pPr>
    </w:p>
    <w:p w14:paraId="27FA5093" w14:textId="77777777" w:rsidR="00F332DA" w:rsidRPr="00BD76AF" w:rsidRDefault="00F332DA" w:rsidP="00811FFD">
      <w:pPr>
        <w:spacing w:afterLines="50" w:after="120"/>
        <w:rPr>
          <w:rFonts w:eastAsia="Times New Roman"/>
        </w:rPr>
      </w:pPr>
      <w:r w:rsidRPr="00BD76AF">
        <w:rPr>
          <w:rFonts w:eastAsia="Times New Roman"/>
        </w:rPr>
        <w:t xml:space="preserve">Témoin </w:t>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rFonts w:eastAsia="Times New Roman"/>
        </w:rPr>
        <w:t>Témoin</w:t>
      </w:r>
    </w:p>
    <w:p w14:paraId="48F1DBBD" w14:textId="77777777" w:rsidR="00F332DA" w:rsidRPr="00BD76AF" w:rsidRDefault="00F332DA" w:rsidP="00811FFD">
      <w:pPr>
        <w:spacing w:afterLines="50" w:after="120"/>
        <w:rPr>
          <w:rFonts w:eastAsia="Times New Roman"/>
        </w:rPr>
      </w:pPr>
      <w:r w:rsidRPr="00BD76AF">
        <w:rPr>
          <w:rFonts w:eastAsia="Times New Roman"/>
        </w:rPr>
        <w:t>Nom</w:t>
      </w:r>
      <w:r w:rsidRPr="00BD76AF">
        <w:rPr>
          <w:szCs w:val="24"/>
        </w:rPr>
        <w:t> :</w:t>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rFonts w:eastAsia="Times New Roman"/>
        </w:rPr>
        <w:t>Nom</w:t>
      </w:r>
      <w:r w:rsidRPr="00BD76AF">
        <w:rPr>
          <w:szCs w:val="24"/>
        </w:rPr>
        <w:t> :</w:t>
      </w:r>
    </w:p>
    <w:p w14:paraId="0187AE51" w14:textId="77777777" w:rsidR="00F332DA" w:rsidRPr="00BD76AF" w:rsidRDefault="00F332DA" w:rsidP="00811FFD">
      <w:pPr>
        <w:spacing w:afterLines="50" w:after="120"/>
        <w:rPr>
          <w:rFonts w:eastAsia="Times New Roman"/>
        </w:rPr>
      </w:pPr>
      <w:r w:rsidRPr="00BD76AF">
        <w:rPr>
          <w:rFonts w:eastAsia="Times New Roman"/>
        </w:rPr>
        <w:t>Signature</w:t>
      </w:r>
      <w:r w:rsidRPr="00BD76AF">
        <w:rPr>
          <w:szCs w:val="24"/>
        </w:rPr>
        <w:t> :</w:t>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rFonts w:eastAsia="Times New Roman"/>
        </w:rPr>
        <w:t>Signature</w:t>
      </w:r>
      <w:r w:rsidRPr="00BD76AF">
        <w:rPr>
          <w:szCs w:val="24"/>
        </w:rPr>
        <w:t> :</w:t>
      </w:r>
    </w:p>
    <w:p w14:paraId="4D3705EF" w14:textId="77777777" w:rsidR="00F332DA" w:rsidRPr="00BD76AF" w:rsidRDefault="00F332DA" w:rsidP="00811FFD">
      <w:pPr>
        <w:spacing w:afterLines="50" w:after="120"/>
        <w:rPr>
          <w:rFonts w:eastAsia="Times New Roman"/>
        </w:rPr>
      </w:pPr>
      <w:r w:rsidRPr="00BD76AF">
        <w:rPr>
          <w:rFonts w:eastAsia="Times New Roman"/>
        </w:rPr>
        <w:t>Adresse</w:t>
      </w:r>
      <w:r w:rsidRPr="00BD76AF">
        <w:rPr>
          <w:szCs w:val="24"/>
        </w:rPr>
        <w:t> :</w:t>
      </w:r>
      <w:r w:rsidRPr="00BD76AF">
        <w:rPr>
          <w:rFonts w:eastAsia="Times New Roman"/>
        </w:rPr>
        <w:t xml:space="preserve"> </w:t>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rFonts w:eastAsia="Times New Roman"/>
        </w:rPr>
        <w:t>Adresse</w:t>
      </w:r>
      <w:r w:rsidRPr="00BD76AF">
        <w:rPr>
          <w:szCs w:val="24"/>
        </w:rPr>
        <w:t> :</w:t>
      </w:r>
    </w:p>
    <w:p w14:paraId="52EB779E" w14:textId="77777777" w:rsidR="00F332DA" w:rsidRPr="00BD76AF" w:rsidRDefault="00F332DA" w:rsidP="001F7B8F">
      <w:pPr>
        <w:rPr>
          <w:lang w:eastAsia="ja-JP"/>
        </w:rPr>
      </w:pPr>
    </w:p>
    <w:p w14:paraId="2E58CCE1" w14:textId="77777777" w:rsidR="00F332DA" w:rsidRPr="00BD76AF" w:rsidRDefault="00F332DA" w:rsidP="001F7B8F">
      <w:pPr>
        <w:rPr>
          <w:lang w:eastAsia="ja-JP"/>
        </w:rPr>
      </w:pPr>
    </w:p>
    <w:p w14:paraId="1FB89D78" w14:textId="77777777" w:rsidR="00F332DA" w:rsidRDefault="00F332DA" w:rsidP="001F7B8F">
      <w:pPr>
        <w:rPr>
          <w:lang w:eastAsia="ja-JP"/>
        </w:rPr>
      </w:pPr>
    </w:p>
    <w:p w14:paraId="087DD43F" w14:textId="77777777" w:rsidR="00F332DA" w:rsidRPr="00BD76AF" w:rsidRDefault="00F332DA" w:rsidP="001F7B8F">
      <w:pPr>
        <w:rPr>
          <w:lang w:eastAsia="ja-JP"/>
        </w:rPr>
      </w:pPr>
    </w:p>
    <w:p w14:paraId="5E442B95" w14:textId="77777777" w:rsidR="00F332DA" w:rsidRPr="00BD76AF" w:rsidRDefault="00F332DA" w:rsidP="00315733">
      <w:pPr>
        <w:rPr>
          <w:szCs w:val="24"/>
        </w:rPr>
      </w:pPr>
      <w:r w:rsidRPr="00BD76AF">
        <w:rPr>
          <w:szCs w:val="24"/>
        </w:rPr>
        <w:t>ANNEXES</w:t>
      </w:r>
    </w:p>
    <w:p w14:paraId="7848E3E5" w14:textId="77777777" w:rsidR="00F332DA" w:rsidRPr="00BD76AF" w:rsidRDefault="00F332DA" w:rsidP="00315733">
      <w:pPr>
        <w:tabs>
          <w:tab w:val="left" w:pos="1560"/>
        </w:tabs>
        <w:ind w:left="1560" w:hangingChars="650" w:hanging="1560"/>
        <w:rPr>
          <w:szCs w:val="24"/>
        </w:rPr>
      </w:pPr>
      <w:r w:rsidRPr="00BD76AF">
        <w:rPr>
          <w:szCs w:val="24"/>
        </w:rPr>
        <w:t>Annexe 1 :</w:t>
      </w:r>
      <w:r w:rsidRPr="00BD76AF">
        <w:rPr>
          <w:szCs w:val="24"/>
        </w:rPr>
        <w:tab/>
        <w:t>Conditions et procédures de règlement</w:t>
      </w:r>
    </w:p>
    <w:p w14:paraId="1F5BB032" w14:textId="77777777" w:rsidR="00F332DA" w:rsidRPr="00BD76AF" w:rsidRDefault="00F332DA" w:rsidP="00315733">
      <w:pPr>
        <w:tabs>
          <w:tab w:val="left" w:pos="1560"/>
        </w:tabs>
        <w:ind w:left="1560" w:hangingChars="650" w:hanging="1560"/>
        <w:rPr>
          <w:szCs w:val="24"/>
        </w:rPr>
      </w:pPr>
      <w:r w:rsidRPr="00BD76AF">
        <w:rPr>
          <w:szCs w:val="24"/>
        </w:rPr>
        <w:t>Annexe 2 :</w:t>
      </w:r>
      <w:r w:rsidRPr="00BD76AF">
        <w:rPr>
          <w:szCs w:val="24"/>
        </w:rPr>
        <w:tab/>
        <w:t>Révision des prix</w:t>
      </w:r>
    </w:p>
    <w:p w14:paraId="1B832623" w14:textId="77777777" w:rsidR="00F332DA" w:rsidRPr="00BD76AF" w:rsidRDefault="00F332DA" w:rsidP="00315733">
      <w:pPr>
        <w:tabs>
          <w:tab w:val="left" w:pos="1560"/>
        </w:tabs>
        <w:ind w:left="1560" w:hangingChars="650" w:hanging="1560"/>
        <w:rPr>
          <w:szCs w:val="24"/>
        </w:rPr>
      </w:pPr>
      <w:r w:rsidRPr="00BD76AF">
        <w:rPr>
          <w:szCs w:val="24"/>
        </w:rPr>
        <w:t>Annexe 3 :</w:t>
      </w:r>
      <w:r w:rsidRPr="00BD76AF">
        <w:rPr>
          <w:szCs w:val="24"/>
        </w:rPr>
        <w:tab/>
        <w:t>Assurances obligatoires</w:t>
      </w:r>
    </w:p>
    <w:p w14:paraId="115ADA7E" w14:textId="77777777" w:rsidR="00F332DA" w:rsidRPr="00BD76AF" w:rsidRDefault="00F332DA" w:rsidP="00315733">
      <w:pPr>
        <w:tabs>
          <w:tab w:val="left" w:pos="1560"/>
        </w:tabs>
        <w:ind w:left="1560" w:hangingChars="650" w:hanging="1560"/>
        <w:rPr>
          <w:szCs w:val="24"/>
        </w:rPr>
      </w:pPr>
      <w:r w:rsidRPr="00BD76AF">
        <w:rPr>
          <w:szCs w:val="24"/>
        </w:rPr>
        <w:t>Annexe 4 :</w:t>
      </w:r>
      <w:r w:rsidRPr="00BD76AF">
        <w:rPr>
          <w:szCs w:val="24"/>
        </w:rPr>
        <w:tab/>
        <w:t>Calendrier d’exécution</w:t>
      </w:r>
    </w:p>
    <w:p w14:paraId="657CDC14" w14:textId="77777777" w:rsidR="00F332DA" w:rsidRPr="00BD76AF" w:rsidRDefault="00F332DA" w:rsidP="00315733">
      <w:pPr>
        <w:tabs>
          <w:tab w:val="left" w:pos="1560"/>
        </w:tabs>
        <w:ind w:left="1560" w:hangingChars="650" w:hanging="1560"/>
        <w:rPr>
          <w:szCs w:val="24"/>
        </w:rPr>
      </w:pPr>
      <w:r w:rsidRPr="00BD76AF">
        <w:rPr>
          <w:szCs w:val="24"/>
        </w:rPr>
        <w:t>Annexe 5 :</w:t>
      </w:r>
      <w:r w:rsidRPr="00BD76AF">
        <w:rPr>
          <w:szCs w:val="24"/>
        </w:rPr>
        <w:tab/>
        <w:t>Liste des Sous-traitants agréés</w:t>
      </w:r>
    </w:p>
    <w:p w14:paraId="0213CFF9" w14:textId="77777777" w:rsidR="00F332DA" w:rsidRPr="00BD76AF" w:rsidRDefault="00F332DA" w:rsidP="00315733">
      <w:pPr>
        <w:tabs>
          <w:tab w:val="left" w:pos="1560"/>
        </w:tabs>
        <w:ind w:left="1560" w:hangingChars="650" w:hanging="1560"/>
        <w:rPr>
          <w:szCs w:val="24"/>
        </w:rPr>
      </w:pPr>
      <w:r w:rsidRPr="00BD76AF">
        <w:rPr>
          <w:szCs w:val="24"/>
        </w:rPr>
        <w:t>Annexe 6 :</w:t>
      </w:r>
      <w:r w:rsidRPr="00BD76AF">
        <w:rPr>
          <w:szCs w:val="24"/>
        </w:rPr>
        <w:tab/>
      </w:r>
      <w:r w:rsidRPr="00BD76AF">
        <w:t>Pays d’origine éligibles des Prêts APD du Japon</w:t>
      </w:r>
      <w:r w:rsidRPr="00BD76AF">
        <w:rPr>
          <w:szCs w:val="24"/>
        </w:rPr>
        <w:t xml:space="preserve"> </w:t>
      </w:r>
    </w:p>
    <w:p w14:paraId="4D1E3BBA" w14:textId="77777777" w:rsidR="00F332DA" w:rsidRPr="00BD76AF" w:rsidRDefault="00F332DA" w:rsidP="00315733">
      <w:pPr>
        <w:tabs>
          <w:tab w:val="left" w:pos="1560"/>
        </w:tabs>
        <w:ind w:left="1560" w:hangingChars="650" w:hanging="1560"/>
        <w:rPr>
          <w:szCs w:val="24"/>
        </w:rPr>
      </w:pPr>
      <w:r w:rsidRPr="00BD76AF">
        <w:rPr>
          <w:szCs w:val="24"/>
        </w:rPr>
        <w:t>Annexe 7 :</w:t>
      </w:r>
      <w:r w:rsidRPr="00BD76AF">
        <w:rPr>
          <w:szCs w:val="24"/>
        </w:rPr>
        <w:tab/>
        <w:t>Liste des documents soumis à approbation ou examen</w:t>
      </w:r>
    </w:p>
    <w:p w14:paraId="1BE63839" w14:textId="77777777" w:rsidR="00F332DA" w:rsidRPr="00BD76AF" w:rsidRDefault="00F332DA" w:rsidP="00315733">
      <w:pPr>
        <w:tabs>
          <w:tab w:val="left" w:pos="1560"/>
        </w:tabs>
        <w:ind w:left="1560" w:hangingChars="650" w:hanging="1560"/>
        <w:rPr>
          <w:szCs w:val="24"/>
        </w:rPr>
      </w:pPr>
      <w:r w:rsidRPr="00BD76AF">
        <w:rPr>
          <w:szCs w:val="24"/>
        </w:rPr>
        <w:t>Annexe 8 :</w:t>
      </w:r>
      <w:r w:rsidRPr="00BD76AF">
        <w:rPr>
          <w:szCs w:val="24"/>
        </w:rPr>
        <w:tab/>
        <w:t>Garanties opérationnelles</w:t>
      </w:r>
    </w:p>
    <w:p w14:paraId="6A07B188" w14:textId="77777777" w:rsidR="00F332DA" w:rsidRPr="00BD76AF" w:rsidRDefault="00F332DA" w:rsidP="00DD2B53">
      <w:pPr>
        <w:pStyle w:val="S9Header"/>
        <w:spacing w:before="480" w:after="360"/>
        <w:jc w:val="left"/>
        <w:rPr>
          <w:b w:val="0"/>
          <w:sz w:val="24"/>
          <w:szCs w:val="24"/>
        </w:rPr>
      </w:pPr>
      <w:r w:rsidRPr="00BD76AF">
        <w:rPr>
          <w:szCs w:val="24"/>
        </w:rPr>
        <w:br w:type="page"/>
      </w:r>
      <w:bookmarkStart w:id="835" w:name="_Toc99490403"/>
      <w:r w:rsidRPr="00BD76AF">
        <w:rPr>
          <w:b w:val="0"/>
          <w:sz w:val="24"/>
          <w:szCs w:val="24"/>
        </w:rPr>
        <w:t>[</w:t>
      </w:r>
      <w:r w:rsidRPr="00BD76AF">
        <w:rPr>
          <w:b w:val="0"/>
          <w:i/>
          <w:sz w:val="24"/>
          <w:szCs w:val="36"/>
        </w:rPr>
        <w:t>Option</w:t>
      </w:r>
      <w:r w:rsidRPr="00BD76AF">
        <w:rPr>
          <w:b w:val="0"/>
          <w:i/>
          <w:sz w:val="24"/>
          <w:szCs w:val="24"/>
        </w:rPr>
        <w:t xml:space="preserve"> B : </w:t>
      </w:r>
      <w:r w:rsidRPr="00BD76AF">
        <w:rPr>
          <w:b w:val="0"/>
          <w:i/>
          <w:noProof/>
          <w:sz w:val="24"/>
          <w:szCs w:val="24"/>
        </w:rPr>
        <w:t>appel d’offres</w:t>
      </w:r>
      <w:r w:rsidRPr="00BD76AF">
        <w:rPr>
          <w:b w:val="0"/>
          <w:i/>
          <w:sz w:val="24"/>
          <w:szCs w:val="24"/>
        </w:rPr>
        <w:t xml:space="preserve"> à </w:t>
      </w:r>
      <w:r w:rsidRPr="00BD76AF">
        <w:rPr>
          <w:b w:val="0"/>
          <w:i/>
          <w:noProof/>
          <w:sz w:val="24"/>
          <w:szCs w:val="24"/>
        </w:rPr>
        <w:t>deux étapes-une enveloppe</w:t>
      </w:r>
      <w:r w:rsidRPr="00BD76AF">
        <w:rPr>
          <w:b w:val="0"/>
          <w:sz w:val="24"/>
          <w:szCs w:val="24"/>
        </w:rPr>
        <w:t>]</w:t>
      </w:r>
      <w:bookmarkEnd w:id="835"/>
      <w:r w:rsidRPr="00BD76AF">
        <w:rPr>
          <w:b w:val="0"/>
          <w:sz w:val="24"/>
          <w:szCs w:val="24"/>
        </w:rPr>
        <w:t xml:space="preserve"> </w:t>
      </w:r>
    </w:p>
    <w:p w14:paraId="44328B8B" w14:textId="77777777" w:rsidR="00F332DA" w:rsidRPr="00BD76AF" w:rsidRDefault="00F332DA" w:rsidP="00160A8F">
      <w:pPr>
        <w:pStyle w:val="S9Header"/>
        <w:spacing w:before="480" w:after="360"/>
        <w:rPr>
          <w:strike/>
        </w:rPr>
      </w:pPr>
      <w:bookmarkStart w:id="836" w:name="_Toc354482059"/>
      <w:bookmarkStart w:id="837" w:name="_Toc104152935"/>
      <w:r w:rsidRPr="00BD76AF">
        <w:rPr>
          <w:sz w:val="36"/>
          <w:szCs w:val="36"/>
        </w:rPr>
        <w:t>Acte d’</w:t>
      </w:r>
      <w:r w:rsidRPr="00BD76AF">
        <w:rPr>
          <w:sz w:val="36"/>
          <w:szCs w:val="36"/>
          <w:lang w:eastAsia="en-US"/>
        </w:rPr>
        <w:t>eng</w:t>
      </w:r>
      <w:r w:rsidRPr="00BD76AF">
        <w:rPr>
          <w:sz w:val="36"/>
          <w:lang w:eastAsia="en-US"/>
        </w:rPr>
        <w:t>agement</w:t>
      </w:r>
      <w:bookmarkEnd w:id="836"/>
      <w:bookmarkEnd w:id="837"/>
    </w:p>
    <w:p w14:paraId="622024DE" w14:textId="77777777" w:rsidR="00F332DA" w:rsidRPr="00BD76AF" w:rsidRDefault="00F332DA" w:rsidP="00C81406">
      <w:pPr>
        <w:tabs>
          <w:tab w:val="left" w:pos="2880"/>
          <w:tab w:val="left" w:pos="5400"/>
          <w:tab w:val="left" w:pos="6480"/>
        </w:tabs>
        <w:spacing w:afterLines="50" w:after="120"/>
        <w:rPr>
          <w:szCs w:val="24"/>
        </w:rPr>
      </w:pPr>
      <w:r w:rsidRPr="00BD76AF">
        <w:rPr>
          <w:szCs w:val="24"/>
        </w:rPr>
        <w:t xml:space="preserve">MARCHÉ conclu le </w:t>
      </w:r>
      <w:r w:rsidRPr="00BD76AF">
        <w:rPr>
          <w:szCs w:val="24"/>
          <w:u w:val="single"/>
        </w:rPr>
        <w:tab/>
      </w:r>
      <w:r w:rsidRPr="00BD76AF">
        <w:rPr>
          <w:szCs w:val="24"/>
        </w:rPr>
        <w:t xml:space="preserve"> jour du </w:t>
      </w:r>
      <w:r w:rsidRPr="00BD76AF">
        <w:rPr>
          <w:szCs w:val="24"/>
          <w:u w:val="single"/>
        </w:rPr>
        <w:tab/>
      </w:r>
      <w:r w:rsidRPr="00BD76AF">
        <w:rPr>
          <w:szCs w:val="24"/>
        </w:rPr>
        <w:t xml:space="preserve"> 20</w:t>
      </w:r>
      <w:r w:rsidRPr="00BD76AF">
        <w:rPr>
          <w:szCs w:val="24"/>
          <w:u w:val="single"/>
        </w:rPr>
        <w:tab/>
      </w:r>
      <w:r w:rsidRPr="00BD76AF">
        <w:rPr>
          <w:szCs w:val="24"/>
        </w:rPr>
        <w:t>.</w:t>
      </w:r>
    </w:p>
    <w:p w14:paraId="06333C88" w14:textId="77777777" w:rsidR="00F332DA" w:rsidRPr="00BD76AF" w:rsidRDefault="00F332DA" w:rsidP="00C81406">
      <w:pPr>
        <w:spacing w:afterLines="50" w:after="120"/>
        <w:rPr>
          <w:szCs w:val="24"/>
        </w:rPr>
      </w:pPr>
      <w:r w:rsidRPr="00BD76AF">
        <w:rPr>
          <w:szCs w:val="24"/>
        </w:rPr>
        <w:t>ENTRE</w:t>
      </w:r>
    </w:p>
    <w:p w14:paraId="76A5E5C0" w14:textId="77777777" w:rsidR="00F332DA" w:rsidRPr="00BD76AF" w:rsidRDefault="00F332DA" w:rsidP="00C81406">
      <w:pPr>
        <w:spacing w:afterLines="50" w:after="120"/>
        <w:rPr>
          <w:szCs w:val="24"/>
        </w:rPr>
      </w:pPr>
      <w:r w:rsidRPr="00BD76AF">
        <w:rPr>
          <w:szCs w:val="24"/>
        </w:rPr>
        <w:t>1) [</w:t>
      </w:r>
      <w:r w:rsidRPr="00BD76AF">
        <w:rPr>
          <w:i/>
          <w:szCs w:val="24"/>
        </w:rPr>
        <w:t>indiquer le nom du Maître d’ouvrage</w:t>
      </w:r>
      <w:r w:rsidRPr="00BD76AF">
        <w:rPr>
          <w:szCs w:val="24"/>
        </w:rPr>
        <w:t>], société constituée selon les lois de [</w:t>
      </w:r>
      <w:r w:rsidRPr="00BD76AF">
        <w:rPr>
          <w:i/>
          <w:szCs w:val="24"/>
        </w:rPr>
        <w:t>indiquer le nom du pays du Maître d’ouvrage</w:t>
      </w:r>
      <w:r w:rsidRPr="00BD76AF">
        <w:rPr>
          <w:szCs w:val="24"/>
        </w:rPr>
        <w:t>], ayant son siège social à [</w:t>
      </w:r>
      <w:r w:rsidRPr="00BD76AF">
        <w:rPr>
          <w:i/>
          <w:szCs w:val="24"/>
        </w:rPr>
        <w:t>indiquer l’adresse du Maître d’ouvrage</w:t>
      </w:r>
      <w:r w:rsidRPr="00BD76AF">
        <w:rPr>
          <w:szCs w:val="24"/>
        </w:rPr>
        <w:t>] (ci-après dénommé</w:t>
      </w:r>
      <w:r w:rsidRPr="00BD76AF">
        <w:rPr>
          <w:rFonts w:hint="eastAsia"/>
          <w:szCs w:val="24"/>
          <w:lang w:eastAsia="ja-JP"/>
        </w:rPr>
        <w:t>e</w:t>
      </w:r>
      <w:r w:rsidRPr="00BD76AF">
        <w:rPr>
          <w:szCs w:val="24"/>
        </w:rPr>
        <w:t xml:space="preserve"> « Le Maître d’ouvrage »), et </w:t>
      </w:r>
    </w:p>
    <w:p w14:paraId="556BE75E" w14:textId="77777777" w:rsidR="00F332DA" w:rsidRPr="00BD76AF" w:rsidRDefault="00F332DA" w:rsidP="00C81406">
      <w:pPr>
        <w:spacing w:afterLines="50" w:after="120"/>
        <w:rPr>
          <w:szCs w:val="24"/>
        </w:rPr>
      </w:pPr>
      <w:r w:rsidRPr="00BD76AF">
        <w:rPr>
          <w:szCs w:val="24"/>
        </w:rPr>
        <w:t>2) [</w:t>
      </w:r>
      <w:r w:rsidRPr="00BD76AF">
        <w:rPr>
          <w:i/>
          <w:szCs w:val="24"/>
        </w:rPr>
        <w:t>indiquer le nom de l’Entrepreneur</w:t>
      </w:r>
      <w:r w:rsidRPr="00BD76AF">
        <w:rPr>
          <w:szCs w:val="24"/>
        </w:rPr>
        <w:t>], société constituée selon les lois de [</w:t>
      </w:r>
      <w:r w:rsidRPr="00BD76AF">
        <w:rPr>
          <w:i/>
          <w:szCs w:val="24"/>
        </w:rPr>
        <w:t>indiquer le nom du pays de l’Entrepreneur</w:t>
      </w:r>
      <w:r w:rsidRPr="00BD76AF">
        <w:rPr>
          <w:szCs w:val="24"/>
        </w:rPr>
        <w:t>], ayant son siège social à [</w:t>
      </w:r>
      <w:r w:rsidRPr="00BD76AF">
        <w:rPr>
          <w:i/>
          <w:szCs w:val="24"/>
        </w:rPr>
        <w:t>indiquer l’adresse de l’Entrepreneur</w:t>
      </w:r>
      <w:r w:rsidRPr="00BD76AF">
        <w:rPr>
          <w:szCs w:val="24"/>
        </w:rPr>
        <w:t>] (ci-après dénommée « l’Entrepreneur »).</w:t>
      </w:r>
    </w:p>
    <w:p w14:paraId="2797DB4A" w14:textId="77777777" w:rsidR="00F332DA" w:rsidRPr="00BD76AF" w:rsidRDefault="00F332DA" w:rsidP="00C81406">
      <w:pPr>
        <w:spacing w:afterLines="50" w:after="120"/>
        <w:rPr>
          <w:szCs w:val="24"/>
        </w:rPr>
      </w:pPr>
      <w:r w:rsidRPr="00BD76AF">
        <w:rPr>
          <w:szCs w:val="24"/>
        </w:rPr>
        <w:t>ATTENDU QUE le Maître d’ouvrage souhaite confier à l’Entrepreneur la conception, la fabrication, les tests, la livraison, le montage et la mise en service de certaines installations, à savoir [</w:t>
      </w:r>
      <w:r w:rsidRPr="00BD76AF">
        <w:rPr>
          <w:i/>
          <w:szCs w:val="24"/>
        </w:rPr>
        <w:t>donner une brève description des Installations</w:t>
      </w:r>
      <w:r w:rsidRPr="00BD76AF">
        <w:rPr>
          <w:szCs w:val="24"/>
        </w:rPr>
        <w:t>]</w:t>
      </w:r>
      <w:r w:rsidRPr="00BD76AF">
        <w:rPr>
          <w:i/>
          <w:szCs w:val="24"/>
        </w:rPr>
        <w:t xml:space="preserve"> </w:t>
      </w:r>
      <w:r w:rsidRPr="00BD76AF">
        <w:rPr>
          <w:szCs w:val="24"/>
        </w:rPr>
        <w:t>(ci-après dénommées « les Installations »), et que l’Entrepreneur a accepté de le faire dans les termes et conditions ci-après précisés,</w:t>
      </w:r>
    </w:p>
    <w:p w14:paraId="07C46D12" w14:textId="77777777" w:rsidR="00F332DA" w:rsidRPr="00BD76AF" w:rsidRDefault="00F332DA" w:rsidP="00C81406">
      <w:pPr>
        <w:spacing w:afterLines="50" w:after="120"/>
        <w:rPr>
          <w:szCs w:val="24"/>
          <w:lang w:eastAsia="ja-JP"/>
        </w:rPr>
      </w:pPr>
      <w:r w:rsidRPr="00BD76AF">
        <w:rPr>
          <w:szCs w:val="24"/>
        </w:rPr>
        <w:t>Il a été convenu ce qui suit :</w:t>
      </w:r>
    </w:p>
    <w:tbl>
      <w:tblPr>
        <w:tblW w:w="9071" w:type="dxa"/>
        <w:tblLayout w:type="fixed"/>
        <w:tblLook w:val="0000" w:firstRow="0" w:lastRow="0" w:firstColumn="0" w:lastColumn="0" w:noHBand="0" w:noVBand="0"/>
      </w:tblPr>
      <w:tblGrid>
        <w:gridCol w:w="1809"/>
        <w:gridCol w:w="7262"/>
      </w:tblGrid>
      <w:tr w:rsidR="00F332DA" w:rsidRPr="00BD76AF" w14:paraId="116510AD" w14:textId="77777777" w:rsidTr="00CD2F69">
        <w:tc>
          <w:tcPr>
            <w:tcW w:w="1809" w:type="dxa"/>
            <w:tcMar>
              <w:left w:w="57" w:type="dxa"/>
              <w:right w:w="57" w:type="dxa"/>
            </w:tcMar>
          </w:tcPr>
          <w:p w14:paraId="1598EE15" w14:textId="77777777" w:rsidR="00F332DA" w:rsidRPr="00BD76AF" w:rsidRDefault="00F332DA" w:rsidP="008D2B6F">
            <w:pPr>
              <w:tabs>
                <w:tab w:val="center" w:pos="1701"/>
              </w:tabs>
              <w:ind w:right="-108"/>
              <w:rPr>
                <w:b/>
                <w:szCs w:val="24"/>
              </w:rPr>
            </w:pPr>
            <w:r w:rsidRPr="00BD76AF">
              <w:rPr>
                <w:b/>
                <w:szCs w:val="24"/>
              </w:rPr>
              <w:t>Article 1.</w:t>
            </w:r>
          </w:p>
          <w:p w14:paraId="26F26B5B" w14:textId="77777777" w:rsidR="00F332DA" w:rsidRPr="00BD76AF" w:rsidRDefault="00F332DA" w:rsidP="008C33E8">
            <w:pPr>
              <w:tabs>
                <w:tab w:val="center" w:pos="1701"/>
              </w:tabs>
              <w:ind w:left="170"/>
              <w:jc w:val="left"/>
              <w:rPr>
                <w:b/>
                <w:szCs w:val="24"/>
              </w:rPr>
            </w:pPr>
            <w:r w:rsidRPr="00BD76AF">
              <w:rPr>
                <w:b/>
                <w:szCs w:val="24"/>
              </w:rPr>
              <w:t>Documents contractuels</w:t>
            </w:r>
          </w:p>
        </w:tc>
        <w:tc>
          <w:tcPr>
            <w:tcW w:w="7262" w:type="dxa"/>
            <w:tcMar>
              <w:left w:w="57" w:type="dxa"/>
              <w:right w:w="57" w:type="dxa"/>
            </w:tcMar>
          </w:tcPr>
          <w:p w14:paraId="3D0D3FBA" w14:textId="77777777" w:rsidR="00F332DA" w:rsidRPr="00BD76AF" w:rsidRDefault="00F332DA" w:rsidP="000F503B">
            <w:pPr>
              <w:spacing w:afterLines="50" w:after="120"/>
              <w:ind w:left="369" w:hanging="369"/>
              <w:rPr>
                <w:szCs w:val="24"/>
              </w:rPr>
            </w:pPr>
            <w:r w:rsidRPr="00BD76AF">
              <w:rPr>
                <w:szCs w:val="24"/>
              </w:rPr>
              <w:t>1.1</w:t>
            </w:r>
            <w:r w:rsidRPr="00BD76AF">
              <w:rPr>
                <w:szCs w:val="24"/>
                <w:lang w:eastAsia="ja-JP"/>
              </w:rPr>
              <w:tab/>
            </w:r>
            <w:r w:rsidRPr="00BD76AF">
              <w:rPr>
                <w:szCs w:val="24"/>
                <w:u w:val="single"/>
              </w:rPr>
              <w:t>Documents contractuels</w:t>
            </w:r>
            <w:r w:rsidRPr="00BD76AF">
              <w:rPr>
                <w:szCs w:val="24"/>
              </w:rPr>
              <w:t xml:space="preserve"> (Référence Article 2 des Conditions Générales (CG))</w:t>
            </w:r>
          </w:p>
          <w:p w14:paraId="405288DA" w14:textId="77777777" w:rsidR="00F332DA" w:rsidRPr="00BD76AF" w:rsidRDefault="00F332DA" w:rsidP="00181606">
            <w:pPr>
              <w:spacing w:afterLines="50" w:after="120"/>
              <w:ind w:left="369"/>
              <w:rPr>
                <w:szCs w:val="24"/>
              </w:rPr>
            </w:pPr>
            <w:r w:rsidRPr="00BD76AF">
              <w:rPr>
                <w:szCs w:val="24"/>
              </w:rPr>
              <w:t>Les documents suivants constitueront le Marché passé entre le Maître d’ouvrage et l’Entrepreneur, et chacun de ces documents doit être lu et interprété comme faisant partie intégrante du Marché :</w:t>
            </w:r>
          </w:p>
          <w:p w14:paraId="3958FB92" w14:textId="77777777" w:rsidR="00F332DA" w:rsidRPr="00BD76AF" w:rsidRDefault="00F332DA" w:rsidP="00B94F41">
            <w:pPr>
              <w:ind w:left="794" w:hanging="425"/>
              <w:rPr>
                <w:szCs w:val="24"/>
              </w:rPr>
            </w:pPr>
            <w:r w:rsidRPr="00BD76AF">
              <w:rPr>
                <w:szCs w:val="24"/>
              </w:rPr>
              <w:t>a)</w:t>
            </w:r>
            <w:r w:rsidRPr="00BD76AF">
              <w:rPr>
                <w:szCs w:val="24"/>
              </w:rPr>
              <w:tab/>
              <w:t>le présent Acte d’engagement et ses annexes ; </w:t>
            </w:r>
          </w:p>
          <w:p w14:paraId="25B7EADB" w14:textId="77777777" w:rsidR="00F332DA" w:rsidRPr="00BD76AF" w:rsidRDefault="00F332DA" w:rsidP="0079334B">
            <w:pPr>
              <w:ind w:left="794" w:hanging="425"/>
              <w:rPr>
                <w:szCs w:val="24"/>
              </w:rPr>
            </w:pPr>
            <w:r w:rsidRPr="00BD76AF">
              <w:rPr>
                <w:szCs w:val="24"/>
              </w:rPr>
              <w:t>b)</w:t>
            </w:r>
            <w:r w:rsidRPr="00BD76AF">
              <w:rPr>
                <w:szCs w:val="24"/>
              </w:rPr>
              <w:tab/>
              <w:t>la Lettre d’acceptation de l’offre ;</w:t>
            </w:r>
          </w:p>
          <w:p w14:paraId="1BB98CBB" w14:textId="77777777" w:rsidR="00F332DA" w:rsidRPr="00BD76AF" w:rsidRDefault="00F332DA" w:rsidP="00B94F41">
            <w:pPr>
              <w:ind w:left="794" w:hanging="425"/>
              <w:rPr>
                <w:szCs w:val="24"/>
              </w:rPr>
            </w:pPr>
            <w:r w:rsidRPr="00BD76AF">
              <w:rPr>
                <w:szCs w:val="24"/>
              </w:rPr>
              <w:t>c)</w:t>
            </w:r>
            <w:r w:rsidRPr="00BD76AF">
              <w:rPr>
                <w:szCs w:val="24"/>
              </w:rPr>
              <w:tab/>
              <w:t>la Lettre de soumission de l’offre de la deuxième étape ;</w:t>
            </w:r>
          </w:p>
          <w:p w14:paraId="3858AC1D" w14:textId="77777777" w:rsidR="00F332DA" w:rsidRPr="00BD76AF" w:rsidRDefault="00F332DA" w:rsidP="0079334B">
            <w:pPr>
              <w:ind w:left="794" w:hanging="425"/>
              <w:rPr>
                <w:szCs w:val="24"/>
              </w:rPr>
            </w:pPr>
            <w:r w:rsidRPr="00BD76AF">
              <w:rPr>
                <w:szCs w:val="24"/>
              </w:rPr>
              <w:t>d)</w:t>
            </w:r>
            <w:r w:rsidRPr="00BD76AF">
              <w:rPr>
                <w:szCs w:val="24"/>
              </w:rPr>
              <w:tab/>
              <w:t>les avenants, le cas échéant ;  </w:t>
            </w:r>
          </w:p>
          <w:p w14:paraId="3CCFA7A2" w14:textId="77777777" w:rsidR="00F332DA" w:rsidRPr="00BD76AF" w:rsidRDefault="00F332DA" w:rsidP="00B94F41">
            <w:pPr>
              <w:ind w:left="794" w:hanging="425"/>
              <w:rPr>
                <w:szCs w:val="24"/>
              </w:rPr>
            </w:pPr>
            <w:r w:rsidRPr="00BD76AF">
              <w:rPr>
                <w:szCs w:val="24"/>
              </w:rPr>
              <w:t>e)</w:t>
            </w:r>
            <w:r w:rsidRPr="00BD76AF">
              <w:rPr>
                <w:szCs w:val="24"/>
              </w:rPr>
              <w:tab/>
              <w:t>les Conditions Particulières ;</w:t>
            </w:r>
          </w:p>
          <w:p w14:paraId="055EB631" w14:textId="77777777" w:rsidR="00F332DA" w:rsidRPr="00BD76AF" w:rsidRDefault="00F332DA" w:rsidP="00B94F41">
            <w:pPr>
              <w:ind w:left="794" w:hanging="425"/>
              <w:rPr>
                <w:szCs w:val="24"/>
              </w:rPr>
            </w:pPr>
            <w:r w:rsidRPr="00BD76AF">
              <w:rPr>
                <w:szCs w:val="24"/>
              </w:rPr>
              <w:t>f)</w:t>
            </w:r>
            <w:r w:rsidRPr="00BD76AF">
              <w:rPr>
                <w:szCs w:val="24"/>
              </w:rPr>
              <w:tab/>
              <w:t>les Conditions Générales ;</w:t>
            </w:r>
          </w:p>
          <w:p w14:paraId="1D801C17" w14:textId="77777777" w:rsidR="00F332DA" w:rsidRPr="00BD76AF" w:rsidRDefault="00F332DA" w:rsidP="00B94F41">
            <w:pPr>
              <w:ind w:left="794" w:hanging="425"/>
              <w:rPr>
                <w:szCs w:val="24"/>
              </w:rPr>
            </w:pPr>
            <w:r w:rsidRPr="00BD76AF">
              <w:rPr>
                <w:szCs w:val="24"/>
              </w:rPr>
              <w:t>g)</w:t>
            </w:r>
            <w:r w:rsidRPr="00BD76AF">
              <w:rPr>
                <w:szCs w:val="24"/>
              </w:rPr>
              <w:tab/>
              <w:t>les Exigences du Maître d’ouvrage ;</w:t>
            </w:r>
          </w:p>
          <w:p w14:paraId="56C2713A" w14:textId="77777777" w:rsidR="00F332DA" w:rsidRPr="00BD76AF" w:rsidRDefault="00F332DA" w:rsidP="00B94F41">
            <w:pPr>
              <w:ind w:left="794" w:hanging="425"/>
              <w:rPr>
                <w:szCs w:val="24"/>
              </w:rPr>
            </w:pPr>
            <w:r w:rsidRPr="00BD76AF">
              <w:rPr>
                <w:szCs w:val="24"/>
              </w:rPr>
              <w:t>h)</w:t>
            </w:r>
            <w:r w:rsidRPr="00BD76AF">
              <w:rPr>
                <w:szCs w:val="24"/>
              </w:rPr>
              <w:tab/>
              <w:t>les autres formulaires de soumission complétés remis avec l’offre ;</w:t>
            </w:r>
          </w:p>
          <w:p w14:paraId="7C7E93DC" w14:textId="77777777" w:rsidR="00F332DA" w:rsidRPr="00BD76AF" w:rsidRDefault="00F332DA" w:rsidP="00B94F41">
            <w:pPr>
              <w:ind w:left="794" w:hanging="425"/>
              <w:rPr>
                <w:szCs w:val="24"/>
              </w:rPr>
            </w:pPr>
            <w:r w:rsidRPr="00BD76AF">
              <w:rPr>
                <w:szCs w:val="24"/>
              </w:rPr>
              <w:t>i)</w:t>
            </w:r>
            <w:r w:rsidRPr="00BD76AF">
              <w:rPr>
                <w:szCs w:val="24"/>
              </w:rPr>
              <w:tab/>
              <w:t>la Reconnaissance du respect des Directives pour les passations de marchés sous financement par Prêts APD du Japon. </w:t>
            </w:r>
          </w:p>
          <w:p w14:paraId="1EFB5E4D" w14:textId="77777777" w:rsidR="00F332DA" w:rsidRPr="00BD76AF" w:rsidRDefault="00F332DA" w:rsidP="00B94F41">
            <w:pPr>
              <w:ind w:left="794" w:hanging="425"/>
              <w:rPr>
                <w:szCs w:val="24"/>
              </w:rPr>
            </w:pPr>
            <w:r w:rsidRPr="00BD76AF">
              <w:rPr>
                <w:szCs w:val="24"/>
              </w:rPr>
              <w:t>j)</w:t>
            </w:r>
            <w:r w:rsidRPr="00BD76AF">
              <w:rPr>
                <w:szCs w:val="24"/>
              </w:rPr>
              <w:tab/>
              <w:t>[</w:t>
            </w:r>
            <w:r w:rsidRPr="00BD76AF">
              <w:rPr>
                <w:i/>
                <w:szCs w:val="24"/>
              </w:rPr>
              <w:t>Tout autre document éventuel sera indiqué ici.</w:t>
            </w:r>
            <w:r w:rsidRPr="00BD76AF">
              <w:rPr>
                <w:szCs w:val="24"/>
              </w:rPr>
              <w:t>]</w:t>
            </w:r>
          </w:p>
          <w:p w14:paraId="2C5D81B9" w14:textId="77777777" w:rsidR="00F332DA" w:rsidRPr="00BD76AF" w:rsidRDefault="00F332DA" w:rsidP="00E02160">
            <w:pPr>
              <w:rPr>
                <w:szCs w:val="24"/>
                <w:lang w:eastAsia="ja-JP"/>
              </w:rPr>
            </w:pPr>
          </w:p>
          <w:p w14:paraId="1A465034" w14:textId="77777777" w:rsidR="00F332DA" w:rsidRPr="00BD76AF" w:rsidRDefault="00F332DA" w:rsidP="000F503B">
            <w:pPr>
              <w:spacing w:afterLines="50" w:after="120"/>
              <w:ind w:left="369" w:hanging="369"/>
              <w:rPr>
                <w:szCs w:val="24"/>
              </w:rPr>
            </w:pPr>
            <w:r w:rsidRPr="00BD76AF">
              <w:rPr>
                <w:szCs w:val="24"/>
              </w:rPr>
              <w:t>1.2</w:t>
            </w:r>
            <w:r w:rsidRPr="00BD76AF">
              <w:rPr>
                <w:szCs w:val="24"/>
                <w:lang w:eastAsia="ja-JP"/>
              </w:rPr>
              <w:tab/>
            </w:r>
            <w:r w:rsidRPr="00BD76AF">
              <w:rPr>
                <w:szCs w:val="24"/>
                <w:u w:val="single"/>
              </w:rPr>
              <w:t>Ordre de priorité</w:t>
            </w:r>
            <w:r w:rsidRPr="00BD76AF">
              <w:rPr>
                <w:szCs w:val="24"/>
              </w:rPr>
              <w:t xml:space="preserve"> (Référence Article 2 des CG)</w:t>
            </w:r>
          </w:p>
          <w:p w14:paraId="167FA4FF" w14:textId="77777777" w:rsidR="00F332DA" w:rsidRPr="00BD76AF" w:rsidRDefault="00F332DA" w:rsidP="00181606">
            <w:pPr>
              <w:spacing w:afterLines="50" w:after="120"/>
              <w:ind w:left="369"/>
              <w:rPr>
                <w:szCs w:val="24"/>
              </w:rPr>
            </w:pPr>
            <w:r w:rsidRPr="00BD76AF">
              <w:rPr>
                <w:szCs w:val="24"/>
              </w:rPr>
              <w:t>En cas d’ambiguïté ou de confit entre les documents contractuels dont la liste figure ci-dessus, l’ordre de priorité doit être celui dans lequel ils sont indiqués à l’Article 1.1 (</w:t>
            </w:r>
            <w:r w:rsidRPr="00BD76AF">
              <w:rPr>
                <w:i/>
                <w:szCs w:val="24"/>
              </w:rPr>
              <w:t>Documents contractuels</w:t>
            </w:r>
            <w:r w:rsidRPr="00BD76AF">
              <w:rPr>
                <w:szCs w:val="24"/>
              </w:rPr>
              <w:t>) ci-dessus.</w:t>
            </w:r>
          </w:p>
          <w:p w14:paraId="39E996C4" w14:textId="77777777" w:rsidR="00F332DA" w:rsidRPr="00BD76AF" w:rsidRDefault="00F332DA" w:rsidP="000F503B">
            <w:pPr>
              <w:spacing w:afterLines="50" w:after="120"/>
              <w:ind w:left="369" w:hanging="369"/>
              <w:rPr>
                <w:szCs w:val="24"/>
              </w:rPr>
            </w:pPr>
            <w:r w:rsidRPr="00BD76AF">
              <w:rPr>
                <w:szCs w:val="24"/>
              </w:rPr>
              <w:t>1.3</w:t>
            </w:r>
            <w:r w:rsidRPr="00BD76AF">
              <w:rPr>
                <w:szCs w:val="24"/>
                <w:lang w:eastAsia="ja-JP"/>
              </w:rPr>
              <w:tab/>
            </w:r>
            <w:r w:rsidRPr="00BD76AF">
              <w:rPr>
                <w:szCs w:val="24"/>
                <w:u w:val="single"/>
              </w:rPr>
              <w:t>Définitions</w:t>
            </w:r>
            <w:r w:rsidRPr="00BD76AF">
              <w:rPr>
                <w:szCs w:val="24"/>
              </w:rPr>
              <w:t xml:space="preserve"> (Référence Article 1 des CG)</w:t>
            </w:r>
          </w:p>
          <w:p w14:paraId="5149A5A8" w14:textId="77777777" w:rsidR="00F332DA" w:rsidRPr="00BD76AF" w:rsidRDefault="00F332DA" w:rsidP="0079334B">
            <w:pPr>
              <w:spacing w:afterLines="50" w:after="120"/>
              <w:ind w:left="369"/>
              <w:rPr>
                <w:szCs w:val="24"/>
                <w:lang w:eastAsia="ja-JP"/>
              </w:rPr>
            </w:pPr>
            <w:r w:rsidRPr="00BD76AF">
              <w:rPr>
                <w:szCs w:val="24"/>
              </w:rPr>
              <w:t>Les mots et expressions commençant par une lettre majuscule doivent avoir la même signification que celle qui leur est donnée dans les Conditions Générales.</w:t>
            </w:r>
          </w:p>
        </w:tc>
      </w:tr>
      <w:tr w:rsidR="00F332DA" w:rsidRPr="00BD76AF" w14:paraId="237AE940" w14:textId="77777777" w:rsidTr="00CD2F69">
        <w:tc>
          <w:tcPr>
            <w:tcW w:w="1809" w:type="dxa"/>
            <w:tcMar>
              <w:left w:w="57" w:type="dxa"/>
              <w:right w:w="57" w:type="dxa"/>
            </w:tcMar>
          </w:tcPr>
          <w:p w14:paraId="6D3D6CE0" w14:textId="77777777" w:rsidR="00F332DA" w:rsidRPr="00BD76AF" w:rsidRDefault="00F332DA" w:rsidP="008D2B6F">
            <w:pPr>
              <w:tabs>
                <w:tab w:val="center" w:pos="1701"/>
              </w:tabs>
              <w:ind w:right="-108"/>
              <w:jc w:val="left"/>
              <w:rPr>
                <w:b/>
                <w:szCs w:val="24"/>
              </w:rPr>
            </w:pPr>
            <w:r w:rsidRPr="00BD76AF">
              <w:rPr>
                <w:b/>
                <w:szCs w:val="24"/>
              </w:rPr>
              <w:t>Article 2.</w:t>
            </w:r>
          </w:p>
          <w:p w14:paraId="6886B7C5" w14:textId="77777777" w:rsidR="00F332DA" w:rsidRPr="00BD76AF" w:rsidRDefault="00F332DA" w:rsidP="008C33E8">
            <w:pPr>
              <w:tabs>
                <w:tab w:val="center" w:pos="1701"/>
              </w:tabs>
              <w:ind w:left="170"/>
              <w:jc w:val="left"/>
              <w:rPr>
                <w:b/>
                <w:szCs w:val="24"/>
              </w:rPr>
            </w:pPr>
            <w:r w:rsidRPr="00BD76AF">
              <w:rPr>
                <w:b/>
                <w:szCs w:val="24"/>
              </w:rPr>
              <w:t xml:space="preserve">Montant du Marché et conditions de paiement </w:t>
            </w:r>
          </w:p>
        </w:tc>
        <w:tc>
          <w:tcPr>
            <w:tcW w:w="7262" w:type="dxa"/>
            <w:tcMar>
              <w:left w:w="57" w:type="dxa"/>
              <w:right w:w="57" w:type="dxa"/>
            </w:tcMar>
          </w:tcPr>
          <w:p w14:paraId="1344FE13" w14:textId="77777777" w:rsidR="00F332DA" w:rsidRPr="00BD76AF" w:rsidRDefault="00F332DA" w:rsidP="000F503B">
            <w:pPr>
              <w:spacing w:afterLines="50" w:after="120"/>
              <w:ind w:left="369" w:hanging="369"/>
              <w:rPr>
                <w:szCs w:val="24"/>
              </w:rPr>
            </w:pPr>
            <w:r w:rsidRPr="00BD76AF">
              <w:rPr>
                <w:szCs w:val="24"/>
              </w:rPr>
              <w:t>2.1</w:t>
            </w:r>
            <w:r w:rsidRPr="00BD76AF">
              <w:rPr>
                <w:szCs w:val="24"/>
                <w:lang w:eastAsia="ja-JP"/>
              </w:rPr>
              <w:tab/>
            </w:r>
            <w:r w:rsidRPr="00BD76AF">
              <w:rPr>
                <w:szCs w:val="24"/>
                <w:u w:val="single"/>
              </w:rPr>
              <w:t>Montant du Marché</w:t>
            </w:r>
            <w:r w:rsidRPr="00BD76AF">
              <w:rPr>
                <w:szCs w:val="24"/>
              </w:rPr>
              <w:t xml:space="preserve"> (Référence Article 11 des CG)</w:t>
            </w:r>
          </w:p>
          <w:p w14:paraId="58D3DBE5" w14:textId="77777777" w:rsidR="00F332DA" w:rsidRPr="00BD76AF" w:rsidRDefault="00F332DA" w:rsidP="00A1312F">
            <w:pPr>
              <w:spacing w:afterLines="50" w:after="120"/>
              <w:ind w:left="369"/>
              <w:rPr>
                <w:szCs w:val="24"/>
                <w:lang w:eastAsia="ja-JP"/>
              </w:rPr>
            </w:pPr>
            <w:r w:rsidRPr="00BD76AF">
              <w:rPr>
                <w:szCs w:val="24"/>
              </w:rPr>
              <w:t>Le Maître d’ouvrage s’engage par les présentes à payer à l’Entrepreneur le Montant du Marché en contrepartie de l’exécution par l’Entrepreneur de ses obligations en vertu du Marché. Le Montant du Marché doit être le total de :</w:t>
            </w:r>
            <w:r w:rsidRPr="00BD76AF">
              <w:rPr>
                <w:b/>
                <w:szCs w:val="24"/>
              </w:rPr>
              <w:t xml:space="preserve"> </w:t>
            </w:r>
            <w:r w:rsidRPr="00BD76AF">
              <w:rPr>
                <w:szCs w:val="24"/>
              </w:rPr>
              <w:t>[</w:t>
            </w:r>
            <w:r w:rsidRPr="00BD76AF">
              <w:rPr>
                <w:i/>
                <w:szCs w:val="24"/>
              </w:rPr>
              <w:t>indiquer le(s) montant(s) en monnaie(s) étrangère(s) en lettres et en chiffres</w:t>
            </w:r>
            <w:r w:rsidRPr="00BD76AF">
              <w:rPr>
                <w:szCs w:val="24"/>
              </w:rPr>
              <w:t>] et [</w:t>
            </w:r>
            <w:r w:rsidRPr="00BD76AF">
              <w:rPr>
                <w:i/>
                <w:szCs w:val="24"/>
              </w:rPr>
              <w:t>indiquer le montant en monnaie nationale en lettres et en chiffres</w:t>
            </w:r>
            <w:r w:rsidRPr="00BD76AF">
              <w:rPr>
                <w:szCs w:val="24"/>
              </w:rPr>
              <w:t>]</w:t>
            </w:r>
            <w:r w:rsidRPr="00BD76AF">
              <w:rPr>
                <w:b/>
                <w:szCs w:val="24"/>
              </w:rPr>
              <w:t xml:space="preserve"> </w:t>
            </w:r>
            <w:r w:rsidRPr="00BD76AF">
              <w:rPr>
                <w:szCs w:val="24"/>
              </w:rPr>
              <w:t>comme indiqué dans le tableau récapitulatif des Bordereaux des prix, ou toute autre somme déterminée en conformité avec les termes et conditions du Marché.</w:t>
            </w:r>
          </w:p>
          <w:p w14:paraId="52A7B47C" w14:textId="77777777" w:rsidR="00F332DA" w:rsidRPr="00BD76AF" w:rsidRDefault="00F332DA" w:rsidP="000F503B">
            <w:pPr>
              <w:spacing w:afterLines="50" w:after="120"/>
              <w:ind w:left="369" w:hanging="369"/>
              <w:rPr>
                <w:szCs w:val="24"/>
              </w:rPr>
            </w:pPr>
            <w:r w:rsidRPr="00BD76AF">
              <w:rPr>
                <w:szCs w:val="24"/>
              </w:rPr>
              <w:t>2.2</w:t>
            </w:r>
            <w:r w:rsidRPr="00BD76AF">
              <w:rPr>
                <w:szCs w:val="24"/>
                <w:lang w:eastAsia="ja-JP"/>
              </w:rPr>
              <w:tab/>
            </w:r>
            <w:r w:rsidRPr="00BD76AF">
              <w:rPr>
                <w:szCs w:val="24"/>
                <w:u w:val="single"/>
              </w:rPr>
              <w:t>Conditions de paiement</w:t>
            </w:r>
            <w:r w:rsidRPr="00BD76AF">
              <w:rPr>
                <w:szCs w:val="24"/>
              </w:rPr>
              <w:t xml:space="preserve"> (Référence Article 12 des CG)</w:t>
            </w:r>
          </w:p>
          <w:p w14:paraId="06C3E027" w14:textId="77777777" w:rsidR="00F332DA" w:rsidRPr="00BD76AF" w:rsidRDefault="00F332DA" w:rsidP="0079334B">
            <w:pPr>
              <w:spacing w:afterLines="50" w:after="120"/>
              <w:ind w:left="369"/>
              <w:rPr>
                <w:szCs w:val="24"/>
              </w:rPr>
            </w:pPr>
            <w:r w:rsidRPr="00BD76AF">
              <w:rPr>
                <w:szCs w:val="24"/>
              </w:rPr>
              <w:t>Le Montant du Marché doit être payé par le Maître d’ouvrage à l’Entrepreneur selon l’échéancier, de la façon et conformément à l’Article 12 des CG et aux dispositions de l’Annexe 1 (</w:t>
            </w:r>
            <w:r w:rsidRPr="00BD76AF">
              <w:rPr>
                <w:i/>
                <w:szCs w:val="24"/>
              </w:rPr>
              <w:t>Conditions et procédures de règlement</w:t>
            </w:r>
            <w:r w:rsidRPr="00BD76AF">
              <w:rPr>
                <w:szCs w:val="24"/>
              </w:rPr>
              <w:t>) de l’Acte d’engagement.</w:t>
            </w:r>
          </w:p>
        </w:tc>
      </w:tr>
      <w:tr w:rsidR="00F332DA" w:rsidRPr="00BD76AF" w14:paraId="7D92EBC0" w14:textId="77777777" w:rsidTr="00CD2F69">
        <w:tc>
          <w:tcPr>
            <w:tcW w:w="1809" w:type="dxa"/>
            <w:tcMar>
              <w:left w:w="57" w:type="dxa"/>
              <w:right w:w="57" w:type="dxa"/>
            </w:tcMar>
          </w:tcPr>
          <w:p w14:paraId="3D52EEC1" w14:textId="77777777" w:rsidR="00F332DA" w:rsidRPr="00BD76AF" w:rsidRDefault="00F332DA" w:rsidP="008D2B6F">
            <w:pPr>
              <w:tabs>
                <w:tab w:val="center" w:pos="1701"/>
              </w:tabs>
              <w:ind w:right="-108"/>
              <w:rPr>
                <w:b/>
                <w:szCs w:val="24"/>
              </w:rPr>
            </w:pPr>
            <w:r w:rsidRPr="00BD76AF">
              <w:rPr>
                <w:b/>
                <w:szCs w:val="24"/>
              </w:rPr>
              <w:t>Article 3.</w:t>
            </w:r>
          </w:p>
          <w:p w14:paraId="319E25ED" w14:textId="77777777" w:rsidR="00F332DA" w:rsidRPr="00BD76AF" w:rsidRDefault="00F332DA" w:rsidP="008C33E8">
            <w:pPr>
              <w:tabs>
                <w:tab w:val="center" w:pos="1701"/>
              </w:tabs>
              <w:ind w:left="170"/>
              <w:jc w:val="left"/>
              <w:rPr>
                <w:b/>
                <w:szCs w:val="24"/>
              </w:rPr>
            </w:pPr>
            <w:r w:rsidRPr="00BD76AF">
              <w:rPr>
                <w:b/>
                <w:szCs w:val="24"/>
              </w:rPr>
              <w:t>Annexes</w:t>
            </w:r>
          </w:p>
        </w:tc>
        <w:tc>
          <w:tcPr>
            <w:tcW w:w="7262" w:type="dxa"/>
            <w:tcMar>
              <w:left w:w="57" w:type="dxa"/>
              <w:right w:w="57" w:type="dxa"/>
            </w:tcMar>
          </w:tcPr>
          <w:p w14:paraId="1B21B756" w14:textId="77777777" w:rsidR="00F332DA" w:rsidRPr="00BD76AF" w:rsidRDefault="00F332DA" w:rsidP="000F503B">
            <w:pPr>
              <w:spacing w:afterLines="50" w:after="120"/>
              <w:ind w:left="369" w:hanging="369"/>
              <w:rPr>
                <w:szCs w:val="24"/>
              </w:rPr>
            </w:pPr>
            <w:r w:rsidRPr="00BD76AF">
              <w:rPr>
                <w:szCs w:val="24"/>
              </w:rPr>
              <w:t>3.1</w:t>
            </w:r>
            <w:r w:rsidRPr="00BD76AF">
              <w:rPr>
                <w:szCs w:val="24"/>
                <w:lang w:eastAsia="ja-JP"/>
              </w:rPr>
              <w:tab/>
            </w:r>
            <w:r w:rsidRPr="00BD76AF">
              <w:rPr>
                <w:szCs w:val="24"/>
              </w:rPr>
              <w:t>Les annexes énumérées dans la liste des annexes ci-jointe seront réputées faire partie intégrante de cet Acte d’engagement.</w:t>
            </w:r>
          </w:p>
          <w:p w14:paraId="77832798" w14:textId="77777777" w:rsidR="00F332DA" w:rsidRPr="00BD76AF" w:rsidRDefault="00F332DA" w:rsidP="0079334B">
            <w:pPr>
              <w:spacing w:afterLines="50" w:after="120"/>
              <w:ind w:left="369" w:hanging="369"/>
              <w:rPr>
                <w:szCs w:val="24"/>
              </w:rPr>
            </w:pPr>
            <w:r w:rsidRPr="00BD76AF">
              <w:rPr>
                <w:szCs w:val="24"/>
              </w:rPr>
              <w:t>3.2</w:t>
            </w:r>
            <w:r w:rsidRPr="00BD76AF">
              <w:rPr>
                <w:szCs w:val="24"/>
                <w:lang w:eastAsia="ja-JP"/>
              </w:rPr>
              <w:tab/>
            </w:r>
            <w:r w:rsidRPr="00BD76AF">
              <w:rPr>
                <w:szCs w:val="24"/>
              </w:rPr>
              <w:t>Toute référence dans le Marché à une annexe concernera l’une des annexes jointes, et le Marché devra être lu et interprété en conséquence.</w:t>
            </w:r>
          </w:p>
        </w:tc>
      </w:tr>
    </w:tbl>
    <w:p w14:paraId="086B1692" w14:textId="77777777" w:rsidR="00F332DA" w:rsidRPr="00BD76AF" w:rsidRDefault="00F332DA" w:rsidP="008D2B6F">
      <w:pPr>
        <w:ind w:right="43"/>
        <w:rPr>
          <w:szCs w:val="24"/>
        </w:rPr>
      </w:pPr>
    </w:p>
    <w:p w14:paraId="0F4D8F39" w14:textId="77777777" w:rsidR="00F332DA" w:rsidRPr="00BD76AF" w:rsidRDefault="00F332DA" w:rsidP="001C0F71">
      <w:r w:rsidRPr="00BD76AF">
        <w:rPr>
          <w:rFonts w:eastAsia="Times New Roman"/>
        </w:rPr>
        <w:t>EN FOI DE QUOI,</w:t>
      </w:r>
      <w:r w:rsidRPr="00BD76AF">
        <w:rPr>
          <w:szCs w:val="24"/>
        </w:rPr>
        <w:t xml:space="preserve"> le Maître d’ouvrage et l’Entrepreneur ont </w:t>
      </w:r>
      <w:r w:rsidRPr="00BD76AF">
        <w:t>fait signer le présent Marché</w:t>
      </w:r>
      <w:r w:rsidRPr="00BD76AF" w:rsidDel="00D50A0F">
        <w:rPr>
          <w:szCs w:val="24"/>
        </w:rPr>
        <w:t xml:space="preserve"> </w:t>
      </w:r>
      <w:r w:rsidRPr="00BD76AF">
        <w:t>les jour et an indiqués ci-dessus.</w:t>
      </w:r>
    </w:p>
    <w:p w14:paraId="2D7C2951" w14:textId="77777777" w:rsidR="00F332DA" w:rsidRPr="00BD76AF" w:rsidRDefault="00F332DA" w:rsidP="001C0F71"/>
    <w:p w14:paraId="0F49D754" w14:textId="77777777" w:rsidR="00F332DA" w:rsidRPr="00BD76AF" w:rsidRDefault="00F332DA" w:rsidP="0079334B">
      <w:pPr>
        <w:rPr>
          <w:szCs w:val="24"/>
        </w:rPr>
      </w:pPr>
      <w:r w:rsidRPr="00BD76AF">
        <w:rPr>
          <w:szCs w:val="24"/>
        </w:rPr>
        <w:t>Signature :</w:t>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szCs w:val="24"/>
        </w:rPr>
        <w:tab/>
        <w:t>Signature :</w:t>
      </w:r>
    </w:p>
    <w:p w14:paraId="1ED66F42" w14:textId="77777777" w:rsidR="00F332DA" w:rsidRPr="00BD76AF" w:rsidRDefault="00F332DA" w:rsidP="0079334B">
      <w:pPr>
        <w:rPr>
          <w:szCs w:val="24"/>
        </w:rPr>
      </w:pPr>
      <w:r w:rsidRPr="00BD76AF">
        <w:rPr>
          <w:szCs w:val="24"/>
        </w:rPr>
        <w:t>Titre :</w:t>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szCs w:val="24"/>
        </w:rPr>
        <w:tab/>
        <w:t xml:space="preserve">      Titre :</w:t>
      </w:r>
    </w:p>
    <w:p w14:paraId="2377043B" w14:textId="77777777" w:rsidR="00F332DA" w:rsidRPr="00BD76AF" w:rsidRDefault="00F332DA" w:rsidP="0079334B">
      <w:pPr>
        <w:rPr>
          <w:szCs w:val="24"/>
        </w:rPr>
      </w:pPr>
    </w:p>
    <w:p w14:paraId="27EA0953" w14:textId="77777777" w:rsidR="00F332DA" w:rsidRPr="00BD76AF" w:rsidRDefault="00F332DA" w:rsidP="0079334B">
      <w:pPr>
        <w:rPr>
          <w:rFonts w:eastAsia="Times New Roman"/>
        </w:rPr>
      </w:pPr>
      <w:r w:rsidRPr="00BD76AF">
        <w:rPr>
          <w:rFonts w:eastAsia="Times New Roman"/>
        </w:rPr>
        <w:t>Pour et au nom du Maître d’ouvrage</w:t>
      </w:r>
      <w:r w:rsidRPr="00BD76AF">
        <w:rPr>
          <w:rFonts w:eastAsia="Times New Roman"/>
        </w:rPr>
        <w:tab/>
      </w:r>
      <w:r w:rsidRPr="00BD76AF">
        <w:rPr>
          <w:rFonts w:eastAsia="Times New Roman"/>
        </w:rPr>
        <w:tab/>
      </w:r>
      <w:r w:rsidRPr="00BD76AF">
        <w:rPr>
          <w:rFonts w:eastAsia="Times New Roman"/>
        </w:rPr>
        <w:tab/>
        <w:t>Pour et au nom de l’Entrepreneur</w:t>
      </w:r>
    </w:p>
    <w:p w14:paraId="58749057" w14:textId="77777777" w:rsidR="00F332DA" w:rsidRPr="00BD76AF" w:rsidRDefault="00F332DA" w:rsidP="0079334B">
      <w:pPr>
        <w:rPr>
          <w:rFonts w:eastAsia="Times New Roman"/>
        </w:rPr>
      </w:pPr>
      <w:r w:rsidRPr="00BD76AF">
        <w:rPr>
          <w:rFonts w:eastAsia="Times New Roman"/>
        </w:rPr>
        <w:t>En présence de :</w:t>
      </w:r>
      <w:r w:rsidRPr="00BD76AF">
        <w:rPr>
          <w:rFonts w:eastAsia="Times New Roman"/>
        </w:rPr>
        <w:tab/>
      </w:r>
      <w:r w:rsidRPr="00BD76AF">
        <w:rPr>
          <w:rFonts w:eastAsia="Times New Roman"/>
        </w:rPr>
        <w:tab/>
      </w:r>
      <w:r w:rsidRPr="00BD76AF">
        <w:rPr>
          <w:rFonts w:eastAsia="Times New Roman"/>
        </w:rPr>
        <w:tab/>
      </w:r>
      <w:r w:rsidRPr="00BD76AF">
        <w:rPr>
          <w:rFonts w:eastAsia="Times New Roman"/>
        </w:rPr>
        <w:tab/>
      </w:r>
      <w:r w:rsidRPr="00BD76AF">
        <w:rPr>
          <w:rFonts w:eastAsia="Times New Roman"/>
        </w:rPr>
        <w:tab/>
        <w:t>En présence de :</w:t>
      </w:r>
    </w:p>
    <w:p w14:paraId="0AD2359F" w14:textId="77777777" w:rsidR="00F332DA" w:rsidRPr="00BD76AF" w:rsidRDefault="00F332DA" w:rsidP="0079334B">
      <w:pPr>
        <w:rPr>
          <w:rFonts w:eastAsia="Times New Roman"/>
        </w:rPr>
      </w:pPr>
    </w:p>
    <w:p w14:paraId="3D5FCA56" w14:textId="77777777" w:rsidR="00F332DA" w:rsidRPr="00BD76AF" w:rsidRDefault="00F332DA" w:rsidP="0079334B">
      <w:pPr>
        <w:rPr>
          <w:rFonts w:eastAsia="Times New Roman"/>
        </w:rPr>
      </w:pPr>
    </w:p>
    <w:p w14:paraId="1EE21A37" w14:textId="77777777" w:rsidR="00F332DA" w:rsidRPr="00BD76AF" w:rsidRDefault="00F332DA" w:rsidP="00811FFD">
      <w:pPr>
        <w:spacing w:afterLines="50" w:after="120"/>
        <w:rPr>
          <w:rFonts w:eastAsia="Times New Roman"/>
        </w:rPr>
      </w:pPr>
      <w:r w:rsidRPr="00BD76AF">
        <w:rPr>
          <w:rFonts w:eastAsia="Times New Roman"/>
        </w:rPr>
        <w:t xml:space="preserve">Témoin </w:t>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rFonts w:eastAsia="Times New Roman"/>
        </w:rPr>
        <w:t>Témoin</w:t>
      </w:r>
    </w:p>
    <w:p w14:paraId="631462B5" w14:textId="77777777" w:rsidR="00F332DA" w:rsidRPr="00BD76AF" w:rsidRDefault="00F332DA" w:rsidP="00811FFD">
      <w:pPr>
        <w:spacing w:afterLines="50" w:after="120"/>
        <w:rPr>
          <w:rFonts w:eastAsia="Times New Roman"/>
        </w:rPr>
      </w:pPr>
      <w:r w:rsidRPr="00BD76AF">
        <w:rPr>
          <w:rFonts w:eastAsia="Times New Roman"/>
        </w:rPr>
        <w:t>Nom</w:t>
      </w:r>
      <w:r w:rsidRPr="00BD76AF">
        <w:rPr>
          <w:szCs w:val="24"/>
        </w:rPr>
        <w:t> :</w:t>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rFonts w:eastAsia="Times New Roman"/>
        </w:rPr>
        <w:t>Nom</w:t>
      </w:r>
      <w:r w:rsidRPr="00BD76AF">
        <w:rPr>
          <w:szCs w:val="24"/>
        </w:rPr>
        <w:t> :</w:t>
      </w:r>
    </w:p>
    <w:p w14:paraId="201B9279" w14:textId="77777777" w:rsidR="00F332DA" w:rsidRPr="00BD76AF" w:rsidRDefault="00F332DA" w:rsidP="00811FFD">
      <w:pPr>
        <w:spacing w:afterLines="50" w:after="120"/>
        <w:rPr>
          <w:rFonts w:eastAsia="Times New Roman"/>
        </w:rPr>
      </w:pPr>
      <w:r w:rsidRPr="00BD76AF">
        <w:rPr>
          <w:rFonts w:eastAsia="Times New Roman"/>
        </w:rPr>
        <w:t>Signature</w:t>
      </w:r>
      <w:r w:rsidRPr="00BD76AF">
        <w:rPr>
          <w:szCs w:val="24"/>
        </w:rPr>
        <w:t> :</w:t>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rFonts w:eastAsia="Times New Roman"/>
        </w:rPr>
        <w:t>Signature</w:t>
      </w:r>
      <w:r w:rsidRPr="00BD76AF">
        <w:rPr>
          <w:szCs w:val="24"/>
        </w:rPr>
        <w:t> :</w:t>
      </w:r>
    </w:p>
    <w:p w14:paraId="5CCEE1D4" w14:textId="77777777" w:rsidR="00F332DA" w:rsidRPr="00BD76AF" w:rsidRDefault="00F332DA" w:rsidP="00730469">
      <w:pPr>
        <w:spacing w:afterLines="50" w:after="120"/>
        <w:rPr>
          <w:rFonts w:eastAsia="Times New Roman"/>
        </w:rPr>
      </w:pPr>
      <w:r w:rsidRPr="00BD76AF">
        <w:rPr>
          <w:rFonts w:eastAsia="Times New Roman"/>
        </w:rPr>
        <w:t>Adresse</w:t>
      </w:r>
      <w:r w:rsidRPr="00BD76AF">
        <w:rPr>
          <w:szCs w:val="24"/>
        </w:rPr>
        <w:t> :</w:t>
      </w:r>
      <w:r w:rsidRPr="00BD76AF">
        <w:rPr>
          <w:rFonts w:eastAsia="Times New Roman"/>
        </w:rPr>
        <w:t xml:space="preserve"> </w:t>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szCs w:val="24"/>
        </w:rPr>
        <w:tab/>
      </w:r>
      <w:r w:rsidRPr="00BD76AF">
        <w:rPr>
          <w:rFonts w:eastAsia="Times New Roman"/>
        </w:rPr>
        <w:t>Adresse</w:t>
      </w:r>
      <w:r w:rsidRPr="00BD76AF">
        <w:rPr>
          <w:szCs w:val="24"/>
        </w:rPr>
        <w:t> :</w:t>
      </w:r>
    </w:p>
    <w:p w14:paraId="07BA72DD" w14:textId="77777777" w:rsidR="00F332DA" w:rsidRPr="00BD76AF" w:rsidRDefault="00F332DA" w:rsidP="001C0F71">
      <w:pPr>
        <w:rPr>
          <w:szCs w:val="24"/>
        </w:rPr>
      </w:pPr>
    </w:p>
    <w:p w14:paraId="16D52A88" w14:textId="77777777" w:rsidR="00F332DA" w:rsidRPr="00BD76AF" w:rsidRDefault="00F332DA" w:rsidP="001C0F71">
      <w:pPr>
        <w:rPr>
          <w:szCs w:val="24"/>
          <w:lang w:eastAsia="ja-JP"/>
        </w:rPr>
      </w:pPr>
    </w:p>
    <w:p w14:paraId="0ACD5743" w14:textId="77777777" w:rsidR="00F332DA" w:rsidRPr="00BD76AF" w:rsidRDefault="00F332DA" w:rsidP="001C0F71">
      <w:pPr>
        <w:rPr>
          <w:szCs w:val="24"/>
          <w:lang w:eastAsia="ja-JP"/>
        </w:rPr>
      </w:pPr>
    </w:p>
    <w:p w14:paraId="02994D21" w14:textId="77777777" w:rsidR="00F332DA" w:rsidRPr="00BD76AF" w:rsidRDefault="00F332DA" w:rsidP="001C0F71">
      <w:pPr>
        <w:rPr>
          <w:rFonts w:eastAsia="Times New Roman"/>
        </w:rPr>
      </w:pPr>
    </w:p>
    <w:p w14:paraId="4E30AFC6" w14:textId="77777777" w:rsidR="00F332DA" w:rsidRPr="00BD76AF" w:rsidRDefault="00F332DA" w:rsidP="001C0F71">
      <w:pPr>
        <w:rPr>
          <w:szCs w:val="24"/>
        </w:rPr>
      </w:pPr>
      <w:r w:rsidRPr="00BD76AF">
        <w:rPr>
          <w:szCs w:val="24"/>
        </w:rPr>
        <w:t>ANNEXES</w:t>
      </w:r>
    </w:p>
    <w:p w14:paraId="3CD40F08" w14:textId="77777777" w:rsidR="00F332DA" w:rsidRPr="00BD76AF" w:rsidRDefault="00F332DA" w:rsidP="001C0F71">
      <w:pPr>
        <w:rPr>
          <w:szCs w:val="24"/>
        </w:rPr>
      </w:pPr>
      <w:r w:rsidRPr="00BD76AF">
        <w:rPr>
          <w:szCs w:val="24"/>
        </w:rPr>
        <w:t>Annexe 1 :</w:t>
      </w:r>
      <w:r w:rsidRPr="00BD76AF">
        <w:rPr>
          <w:szCs w:val="24"/>
        </w:rPr>
        <w:tab/>
        <w:t>Conditions et procédures de règlement</w:t>
      </w:r>
    </w:p>
    <w:p w14:paraId="2E51770E" w14:textId="77777777" w:rsidR="00F332DA" w:rsidRPr="00BD76AF" w:rsidRDefault="00F332DA" w:rsidP="001C0F71">
      <w:pPr>
        <w:rPr>
          <w:szCs w:val="24"/>
        </w:rPr>
      </w:pPr>
      <w:r w:rsidRPr="00BD76AF">
        <w:rPr>
          <w:szCs w:val="24"/>
        </w:rPr>
        <w:t>Annexe 2 :</w:t>
      </w:r>
      <w:r w:rsidRPr="00BD76AF">
        <w:rPr>
          <w:szCs w:val="24"/>
        </w:rPr>
        <w:tab/>
        <w:t>Révision des prix</w:t>
      </w:r>
    </w:p>
    <w:p w14:paraId="06512310" w14:textId="77777777" w:rsidR="00F332DA" w:rsidRPr="00BD76AF" w:rsidRDefault="00F332DA" w:rsidP="001C0F71">
      <w:pPr>
        <w:rPr>
          <w:szCs w:val="24"/>
        </w:rPr>
      </w:pPr>
      <w:r w:rsidRPr="00BD76AF">
        <w:rPr>
          <w:szCs w:val="24"/>
        </w:rPr>
        <w:t>Annexe 3 :</w:t>
      </w:r>
      <w:r w:rsidRPr="00BD76AF">
        <w:rPr>
          <w:szCs w:val="24"/>
        </w:rPr>
        <w:tab/>
        <w:t>Assurances obligatoires</w:t>
      </w:r>
    </w:p>
    <w:p w14:paraId="71BAE185" w14:textId="77777777" w:rsidR="00F332DA" w:rsidRPr="00BD76AF" w:rsidRDefault="00F332DA" w:rsidP="001C0F71">
      <w:pPr>
        <w:rPr>
          <w:szCs w:val="24"/>
        </w:rPr>
      </w:pPr>
      <w:r w:rsidRPr="00BD76AF">
        <w:rPr>
          <w:szCs w:val="24"/>
        </w:rPr>
        <w:t>Annexe 4 :</w:t>
      </w:r>
      <w:r w:rsidRPr="00BD76AF">
        <w:rPr>
          <w:szCs w:val="24"/>
        </w:rPr>
        <w:tab/>
        <w:t>Calendrier d’exécution</w:t>
      </w:r>
    </w:p>
    <w:p w14:paraId="296A9AD0" w14:textId="77777777" w:rsidR="00F332DA" w:rsidRPr="00BD76AF" w:rsidRDefault="00F332DA" w:rsidP="008D2B6F">
      <w:pPr>
        <w:ind w:left="1440" w:right="43" w:hangingChars="600" w:hanging="1440"/>
        <w:rPr>
          <w:szCs w:val="24"/>
        </w:rPr>
      </w:pPr>
      <w:r w:rsidRPr="00BD76AF">
        <w:rPr>
          <w:szCs w:val="24"/>
        </w:rPr>
        <w:t>Annexe 5 :</w:t>
      </w:r>
      <w:r w:rsidRPr="00BD76AF">
        <w:rPr>
          <w:szCs w:val="24"/>
        </w:rPr>
        <w:tab/>
        <w:t>Liste des Sous-traitants agréés</w:t>
      </w:r>
    </w:p>
    <w:p w14:paraId="79C1DBD3" w14:textId="77777777" w:rsidR="00F332DA" w:rsidRPr="00BD76AF" w:rsidRDefault="00F332DA" w:rsidP="008D2B6F">
      <w:pPr>
        <w:ind w:right="43"/>
        <w:rPr>
          <w:szCs w:val="24"/>
        </w:rPr>
      </w:pPr>
      <w:r w:rsidRPr="00BD76AF">
        <w:rPr>
          <w:szCs w:val="24"/>
        </w:rPr>
        <w:t>Annexe 6 :</w:t>
      </w:r>
      <w:r w:rsidRPr="00BD76AF">
        <w:rPr>
          <w:szCs w:val="24"/>
        </w:rPr>
        <w:tab/>
      </w:r>
      <w:r w:rsidRPr="00BD76AF">
        <w:t>Pays d’origine éligibles des Prêts APD du Japon</w:t>
      </w:r>
      <w:r w:rsidRPr="00BD76AF">
        <w:rPr>
          <w:szCs w:val="24"/>
        </w:rPr>
        <w:t xml:space="preserve"> </w:t>
      </w:r>
    </w:p>
    <w:p w14:paraId="1D1B2BAF" w14:textId="77777777" w:rsidR="00F332DA" w:rsidRPr="00BD76AF" w:rsidRDefault="00F332DA" w:rsidP="008D2B6F">
      <w:pPr>
        <w:ind w:right="43"/>
        <w:rPr>
          <w:szCs w:val="24"/>
        </w:rPr>
      </w:pPr>
      <w:r w:rsidRPr="00BD76AF">
        <w:rPr>
          <w:szCs w:val="24"/>
        </w:rPr>
        <w:t>Annexe 7 :</w:t>
      </w:r>
      <w:r w:rsidRPr="00BD76AF">
        <w:rPr>
          <w:szCs w:val="24"/>
        </w:rPr>
        <w:tab/>
        <w:t>Liste des documents soumis à approbation ou examen</w:t>
      </w:r>
    </w:p>
    <w:p w14:paraId="3667A022" w14:textId="77777777" w:rsidR="00F332DA" w:rsidRPr="00BD76AF" w:rsidRDefault="00F332DA" w:rsidP="008D2B6F">
      <w:pPr>
        <w:ind w:right="43"/>
        <w:rPr>
          <w:szCs w:val="24"/>
        </w:rPr>
      </w:pPr>
      <w:r w:rsidRPr="00BD76AF">
        <w:rPr>
          <w:szCs w:val="24"/>
        </w:rPr>
        <w:t>Annexe 8 :</w:t>
      </w:r>
      <w:r w:rsidRPr="00BD76AF">
        <w:rPr>
          <w:szCs w:val="24"/>
        </w:rPr>
        <w:tab/>
        <w:t>Garanties opérationnelles</w:t>
      </w:r>
    </w:p>
    <w:p w14:paraId="4076FDBC" w14:textId="77777777" w:rsidR="00F332DA" w:rsidRPr="00BD76AF" w:rsidRDefault="00F332DA" w:rsidP="0063431F">
      <w:pPr>
        <w:pStyle w:val="S9-appx"/>
        <w:rPr>
          <w:szCs w:val="24"/>
          <w:lang w:val="fr-FR"/>
        </w:rPr>
      </w:pPr>
      <w:r w:rsidRPr="00BD76AF">
        <w:rPr>
          <w:szCs w:val="24"/>
          <w:lang w:val="fr-FR"/>
        </w:rPr>
        <w:br w:type="page"/>
      </w:r>
    </w:p>
    <w:p w14:paraId="2FF0F6C8" w14:textId="77777777" w:rsidR="00F332DA" w:rsidRPr="00BD76AF" w:rsidRDefault="00F332DA" w:rsidP="0079334B">
      <w:pPr>
        <w:pStyle w:val="S9-appx"/>
        <w:jc w:val="both"/>
        <w:rPr>
          <w:b w:val="0"/>
          <w:i/>
          <w:sz w:val="24"/>
          <w:szCs w:val="24"/>
          <w:lang w:val="fr-FR"/>
        </w:rPr>
      </w:pPr>
      <w:bookmarkStart w:id="838" w:name="_Toc104152936"/>
      <w:r w:rsidRPr="00BD76AF">
        <w:rPr>
          <w:b w:val="0"/>
          <w:sz w:val="24"/>
          <w:szCs w:val="24"/>
          <w:lang w:val="fr-FR"/>
        </w:rPr>
        <w:t>[</w:t>
      </w:r>
      <w:r w:rsidRPr="00BD76AF">
        <w:rPr>
          <w:b w:val="0"/>
          <w:i/>
          <w:sz w:val="24"/>
          <w:szCs w:val="24"/>
          <w:lang w:val="fr-FR"/>
        </w:rPr>
        <w:t>Formulaire commun à l’option A : appel d’offres à une étape-deux enveloppes et l’option B : appel d’offres à deux étapes-une enveloppe</w:t>
      </w:r>
      <w:r w:rsidRPr="00BD76AF">
        <w:rPr>
          <w:b w:val="0"/>
          <w:sz w:val="24"/>
          <w:szCs w:val="24"/>
          <w:lang w:val="fr-FR"/>
        </w:rPr>
        <w:t>]</w:t>
      </w:r>
      <w:bookmarkEnd w:id="838"/>
    </w:p>
    <w:p w14:paraId="4A381632" w14:textId="77777777" w:rsidR="00F332DA" w:rsidRPr="00BD76AF" w:rsidRDefault="00F332DA" w:rsidP="0063431F">
      <w:pPr>
        <w:pStyle w:val="S9-appx"/>
        <w:rPr>
          <w:lang w:val="fr-FR"/>
        </w:rPr>
      </w:pPr>
      <w:bookmarkStart w:id="839" w:name="_Toc104152937"/>
      <w:r w:rsidRPr="00BD76AF">
        <w:rPr>
          <w:lang w:val="fr-FR"/>
        </w:rPr>
        <w:t>Annexe 1.  Conditions et procédures de règlement</w:t>
      </w:r>
      <w:bookmarkEnd w:id="8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F332DA" w:rsidRPr="00BD76AF" w14:paraId="481A626B" w14:textId="77777777" w:rsidTr="0079334B">
        <w:tc>
          <w:tcPr>
            <w:tcW w:w="9219" w:type="dxa"/>
            <w:shd w:val="clear" w:color="auto" w:fill="auto"/>
          </w:tcPr>
          <w:p w14:paraId="64B85733" w14:textId="77777777" w:rsidR="00F332DA" w:rsidRPr="00BD76AF" w:rsidRDefault="00F332DA" w:rsidP="0079334B">
            <w:pPr>
              <w:pStyle w:val="af7"/>
              <w:spacing w:beforeLines="100" w:before="240" w:afterLines="50" w:after="120"/>
              <w:jc w:val="center"/>
              <w:rPr>
                <w:b/>
                <w:szCs w:val="24"/>
                <w:lang w:val="fr-FR"/>
              </w:rPr>
            </w:pPr>
            <w:r w:rsidRPr="00BD76AF">
              <w:rPr>
                <w:b/>
                <w:szCs w:val="24"/>
                <w:lang w:val="fr-FR"/>
              </w:rPr>
              <w:t>Notes à l’intention du Maître d’ouvrage</w:t>
            </w:r>
          </w:p>
          <w:p w14:paraId="0EF633F8" w14:textId="77777777" w:rsidR="00F332DA" w:rsidRPr="00BD76AF" w:rsidRDefault="00F332DA" w:rsidP="0079334B">
            <w:pPr>
              <w:spacing w:after="120"/>
              <w:rPr>
                <w:szCs w:val="24"/>
              </w:rPr>
            </w:pPr>
            <w:r w:rsidRPr="00BD76AF">
              <w:t>Les conditions et procédures de règlement qui suivent sont données en tant que modèle adapté aux marchés de fourniture et montage d’Installations. Si des Bordereaux des prix supplémentaires sont introduits, des conditions de paiement correspondant à ces Bordereaux supplémentaires doivent être ajoutées</w:t>
            </w:r>
            <w:r w:rsidRPr="00BD76AF">
              <w:rPr>
                <w:szCs w:val="24"/>
              </w:rPr>
              <w:t>.</w:t>
            </w:r>
          </w:p>
          <w:p w14:paraId="16346EEA" w14:textId="77777777" w:rsidR="00F332DA" w:rsidRPr="00BD76AF" w:rsidRDefault="00F332DA" w:rsidP="0079334B">
            <w:pPr>
              <w:rPr>
                <w:lang w:eastAsia="ja-JP"/>
              </w:rPr>
            </w:pPr>
            <w:r w:rsidRPr="00BD76AF">
              <w:rPr>
                <w:lang w:eastAsia="ja-JP"/>
              </w:rPr>
              <w:t>Dans le cadre de l’Article 12 (</w:t>
            </w:r>
            <w:r w:rsidRPr="00BD76AF">
              <w:rPr>
                <w:i/>
              </w:rPr>
              <w:t>Conditions de paiement</w:t>
            </w:r>
            <w:r w:rsidRPr="00BD76AF">
              <w:rPr>
                <w:lang w:eastAsia="ja-JP"/>
              </w:rPr>
              <w:t xml:space="preserve">) des CG, si un </w:t>
            </w:r>
            <w:r w:rsidRPr="00BD76AF">
              <w:rPr>
                <w:rFonts w:hint="eastAsia"/>
                <w:lang w:eastAsia="ja-JP"/>
              </w:rPr>
              <w:t>é</w:t>
            </w:r>
            <w:r w:rsidRPr="00BD76AF">
              <w:rPr>
                <w:lang w:eastAsia="ja-JP"/>
              </w:rPr>
              <w:t xml:space="preserve">lément des </w:t>
            </w:r>
            <w:r w:rsidRPr="00BD76AF">
              <w:rPr>
                <w:szCs w:val="24"/>
              </w:rPr>
              <w:t>é</w:t>
            </w:r>
            <w:r w:rsidRPr="00BD76AF">
              <w:t>quipements et services de montage</w:t>
            </w:r>
            <w:r w:rsidRPr="00BD76AF">
              <w:rPr>
                <w:lang w:eastAsia="ja-JP"/>
              </w:rPr>
              <w:t xml:space="preserve"> doit être payé selon une quantit</w:t>
            </w:r>
            <w:r w:rsidRPr="00BD76AF">
              <w:t>é</w:t>
            </w:r>
            <w:r w:rsidRPr="00BD76AF">
              <w:rPr>
                <w:lang w:eastAsia="ja-JP"/>
              </w:rPr>
              <w:t xml:space="preserve"> fournie ou</w:t>
            </w:r>
            <w:r w:rsidRPr="00BD76AF">
              <w:t xml:space="preserve"> un travail effectué</w:t>
            </w:r>
            <w:r w:rsidRPr="00BD76AF">
              <w:rPr>
                <w:lang w:eastAsia="ja-JP"/>
              </w:rPr>
              <w:t>, les dispositions pour le métré et l’évaluation seront précisées dans le Bordereau correspondant ci-dessous.</w:t>
            </w:r>
          </w:p>
          <w:p w14:paraId="748FB4DC" w14:textId="77777777" w:rsidR="00F332DA" w:rsidRPr="00BD76AF" w:rsidRDefault="00F332DA" w:rsidP="0079334B"/>
        </w:tc>
      </w:tr>
    </w:tbl>
    <w:p w14:paraId="373E7E82" w14:textId="77777777" w:rsidR="00F332DA" w:rsidRPr="00BD76AF" w:rsidRDefault="00F332DA" w:rsidP="003225BF"/>
    <w:p w14:paraId="738820AF" w14:textId="77777777" w:rsidR="00F332DA" w:rsidRPr="00BD76AF" w:rsidRDefault="00F332DA" w:rsidP="00823A68">
      <w:pPr>
        <w:spacing w:afterLines="150" w:after="360"/>
      </w:pPr>
      <w:r w:rsidRPr="00BD76AF">
        <w:t>En conformité avec les dispositions de l’Article 12 (</w:t>
      </w:r>
      <w:r w:rsidRPr="00BD76AF">
        <w:rPr>
          <w:i/>
        </w:rPr>
        <w:t>Conditions de paiement</w:t>
      </w:r>
      <w:r w:rsidRPr="00BD76AF">
        <w:t>) des CG, le Maître d’ouvrage doit régler l’Entrepreneur de la manière suivante et dans les délais précisés à l’Article 12.2 des CG, en appliquant la ventilation des prix indiquée dans les Bordereaux des prix. Les règlements seront effectués dans les monnaies stipulées par le Soumissionnaire. Les demandes de règlement correspondant à des livraisons partielles peuvent être formulées par l’Entrepreneur au fur et à mesure de l’avancement des travaux.</w:t>
      </w:r>
    </w:p>
    <w:p w14:paraId="485AC326" w14:textId="77777777" w:rsidR="00F332DA" w:rsidRPr="00BD76AF" w:rsidRDefault="00F332DA" w:rsidP="009D7E2D">
      <w:pPr>
        <w:spacing w:afterLines="100" w:after="240"/>
        <w:rPr>
          <w:b/>
        </w:rPr>
      </w:pPr>
      <w:r w:rsidRPr="00BD76AF">
        <w:rPr>
          <w:b/>
        </w:rPr>
        <w:t>CONDITIONS DE PAIEMENT</w:t>
      </w:r>
    </w:p>
    <w:p w14:paraId="5CFD6018" w14:textId="77777777" w:rsidR="00F332DA" w:rsidRPr="00BD76AF" w:rsidRDefault="00F332DA" w:rsidP="00B0392E">
      <w:pPr>
        <w:spacing w:afterLines="100" w:after="240"/>
        <w:rPr>
          <w:u w:val="single"/>
        </w:rPr>
      </w:pPr>
      <w:r w:rsidRPr="00BD76AF">
        <w:rPr>
          <w:u w:val="single"/>
        </w:rPr>
        <w:t>Bordereau n</w:t>
      </w:r>
      <w:r w:rsidRPr="00BD76AF">
        <w:rPr>
          <w:u w:val="single"/>
          <w:vertAlign w:val="superscript"/>
        </w:rPr>
        <w:t>o</w:t>
      </w:r>
      <w:r w:rsidRPr="00BD76AF">
        <w:rPr>
          <w:u w:val="single"/>
        </w:rPr>
        <w:t xml:space="preserve">1 : </w:t>
      </w:r>
      <w:r w:rsidRPr="00BD76AF">
        <w:rPr>
          <w:szCs w:val="24"/>
          <w:u w:val="single"/>
        </w:rPr>
        <w:t>É</w:t>
      </w:r>
      <w:r w:rsidRPr="00BD76AF">
        <w:rPr>
          <w:szCs w:val="24"/>
          <w:u w:val="single"/>
          <w:lang w:eastAsia="en-US"/>
        </w:rPr>
        <w:t>quipements d’origine étrangère (en dehors du pays du Maître d’ouvrage)</w:t>
      </w:r>
      <w:r w:rsidRPr="00BD76AF">
        <w:rPr>
          <w:szCs w:val="24"/>
          <w:lang w:eastAsia="en-US"/>
        </w:rPr>
        <w:t xml:space="preserve"> </w:t>
      </w:r>
    </w:p>
    <w:p w14:paraId="7F5C6A02" w14:textId="77777777" w:rsidR="00F332DA" w:rsidRPr="00BD76AF" w:rsidRDefault="00F332DA" w:rsidP="0079334B">
      <w:pPr>
        <w:spacing w:afterLines="50" w:after="120"/>
      </w:pPr>
      <w:r w:rsidRPr="00BD76AF">
        <w:t>En ce qui concerne les Équipements d’origine étrangère, les paiements suivants seront effectués :</w:t>
      </w:r>
    </w:p>
    <w:p w14:paraId="175BC125" w14:textId="77777777" w:rsidR="00F332DA" w:rsidRPr="00BD76AF" w:rsidRDefault="00F332DA" w:rsidP="003D46CF">
      <w:pPr>
        <w:numPr>
          <w:ilvl w:val="0"/>
          <w:numId w:val="98"/>
        </w:numPr>
        <w:spacing w:afterLines="50" w:after="120"/>
        <w:ind w:left="284" w:hanging="284"/>
      </w:pPr>
      <w:r w:rsidRPr="00BD76AF">
        <w:t>Dix pour cent (10 %) du montant total CIP seront réglés en tant qu’avance dans le délai précisé à l’Article 12.2 des CG après réception d’une facture et d’une garantie de restitution d’avance préparée conform</w:t>
      </w:r>
      <w:r w:rsidRPr="00BD76AF">
        <w:rPr>
          <w:lang w:eastAsia="ja-JP"/>
        </w:rPr>
        <w:t>é</w:t>
      </w:r>
      <w:r w:rsidRPr="00BD76AF">
        <w:t xml:space="preserve">ment à l’Article 13.2 des CG.  </w:t>
      </w:r>
    </w:p>
    <w:p w14:paraId="360D6A01" w14:textId="77777777" w:rsidR="00F332DA" w:rsidRPr="00BD76AF" w:rsidRDefault="00F332DA" w:rsidP="003D46CF">
      <w:pPr>
        <w:numPr>
          <w:ilvl w:val="0"/>
          <w:numId w:val="98"/>
        </w:numPr>
        <w:spacing w:afterLines="50" w:after="120"/>
        <w:ind w:left="284" w:hanging="284"/>
      </w:pPr>
      <w:r w:rsidRPr="00BD76AF">
        <w:t xml:space="preserve">Quatre-vingts pour cent (80 %) du montant total ou prorata CIP selon l’Incoterm « CIP » seront réglés suite à la livraison au transporteur, dans le délai précisé à l’Article 12.2 des CG après réception de la facture et des documents suivants : </w:t>
      </w:r>
    </w:p>
    <w:p w14:paraId="3BA87FBB" w14:textId="77777777" w:rsidR="00F332DA" w:rsidRPr="00BD76AF" w:rsidRDefault="00F332DA" w:rsidP="0079334B">
      <w:pPr>
        <w:spacing w:afterLines="50" w:after="120"/>
        <w:ind w:left="284"/>
      </w:pPr>
      <w:r w:rsidRPr="00BD76AF">
        <w:rPr>
          <w:szCs w:val="24"/>
        </w:rPr>
        <w:t>[</w:t>
      </w:r>
      <w:r w:rsidRPr="00BD76AF">
        <w:rPr>
          <w:i/>
        </w:rPr>
        <w:t>Le Maître d’ouvrage doit indiquer les documents requis, tels qu’un connaissement négociable, un bordereau d’expédition maritime non négociable, un bordereau d’expédition aérien, un document de transport ferroviaire ou routier, un certificat d’assurance, etc.</w:t>
      </w:r>
      <w:r w:rsidRPr="00BD76AF">
        <w:rPr>
          <w:szCs w:val="24"/>
        </w:rPr>
        <w:t>]</w:t>
      </w:r>
    </w:p>
    <w:p w14:paraId="4A38FAD4" w14:textId="77777777" w:rsidR="00F332DA" w:rsidRPr="00BD76AF" w:rsidRDefault="00F332DA" w:rsidP="003D46CF">
      <w:pPr>
        <w:numPr>
          <w:ilvl w:val="0"/>
          <w:numId w:val="98"/>
        </w:numPr>
        <w:spacing w:afterLines="50" w:after="120"/>
        <w:ind w:left="284" w:hanging="284"/>
      </w:pPr>
      <w:r w:rsidRPr="00BD76AF">
        <w:t>Cinq pour cent (5 %) du montant total ou prorata CIP seront réglés suite à la délivrance du certificat d’Achèvement, dans le délai précisé à l’Article 12.2 des CG après réception de la facture correspondante.</w:t>
      </w:r>
    </w:p>
    <w:p w14:paraId="06FB8550" w14:textId="77777777" w:rsidR="00F332DA" w:rsidRPr="00BD76AF" w:rsidRDefault="00F332DA" w:rsidP="003D46CF">
      <w:pPr>
        <w:numPr>
          <w:ilvl w:val="0"/>
          <w:numId w:val="98"/>
        </w:numPr>
        <w:spacing w:afterLines="50" w:after="120"/>
        <w:ind w:left="284" w:hanging="284"/>
        <w:rPr>
          <w:u w:val="single"/>
        </w:rPr>
      </w:pPr>
      <w:r w:rsidRPr="00BD76AF">
        <w:t>Cinq pour cent (5 %) du montant total ou prorata CIP seront réglés suite à la délivrance du certificat de Réception opérationnelle dans le délai précisé à l’Article 12.2 des CG après réception de la facture correspondante.</w:t>
      </w:r>
    </w:p>
    <w:p w14:paraId="7A360FEC" w14:textId="77777777" w:rsidR="00F332DA" w:rsidRPr="00BD76AF" w:rsidRDefault="00F332DA" w:rsidP="0079334B">
      <w:pPr>
        <w:spacing w:beforeLines="100" w:before="240" w:afterLines="100" w:after="240"/>
        <w:rPr>
          <w:u w:val="single"/>
        </w:rPr>
      </w:pPr>
      <w:r w:rsidRPr="00BD76AF">
        <w:rPr>
          <w:u w:val="single"/>
        </w:rPr>
        <w:t>Bordereau n</w:t>
      </w:r>
      <w:r w:rsidRPr="00BD76AF">
        <w:rPr>
          <w:u w:val="single"/>
          <w:vertAlign w:val="superscript"/>
        </w:rPr>
        <w:t>o</w:t>
      </w:r>
      <w:r w:rsidRPr="00BD76AF">
        <w:rPr>
          <w:u w:val="single"/>
        </w:rPr>
        <w:t xml:space="preserve"> 2 : Équipements d’origine locale</w:t>
      </w:r>
    </w:p>
    <w:p w14:paraId="070DC3FA" w14:textId="77777777" w:rsidR="00F332DA" w:rsidRPr="00BD76AF" w:rsidRDefault="00F332DA" w:rsidP="0079334B">
      <w:pPr>
        <w:pStyle w:val="afc"/>
        <w:spacing w:afterLines="50" w:after="120"/>
        <w:ind w:left="0"/>
        <w:rPr>
          <w:szCs w:val="24"/>
          <w:lang w:val="fr-FR"/>
        </w:rPr>
      </w:pPr>
      <w:r w:rsidRPr="00BD76AF">
        <w:rPr>
          <w:szCs w:val="24"/>
          <w:lang w:val="fr-FR"/>
        </w:rPr>
        <w:t>En ce qui concerne les Équipements d’origine locale, les paiements suivants seront effectués:</w:t>
      </w:r>
    </w:p>
    <w:p w14:paraId="36240F62" w14:textId="77777777" w:rsidR="00F332DA" w:rsidRPr="00BD76AF" w:rsidRDefault="00F332DA" w:rsidP="003D46CF">
      <w:pPr>
        <w:numPr>
          <w:ilvl w:val="0"/>
          <w:numId w:val="100"/>
        </w:numPr>
        <w:spacing w:afterLines="50" w:after="120"/>
        <w:ind w:left="284" w:hanging="284"/>
      </w:pPr>
      <w:r w:rsidRPr="00BD76AF">
        <w:t>Dix pour cent (10 %) du montant total EXW seront réglés en tant qu’avance dans le délai précisé à l’Article 12.2 des CG après réception d’une facture et d’une garantie de restitution d’avance préparée conformément à l’Article 13.2 des CG.</w:t>
      </w:r>
    </w:p>
    <w:p w14:paraId="206EF9F8" w14:textId="77777777" w:rsidR="00F332DA" w:rsidRPr="00BD76AF" w:rsidRDefault="00F332DA" w:rsidP="003D46CF">
      <w:pPr>
        <w:numPr>
          <w:ilvl w:val="0"/>
          <w:numId w:val="100"/>
        </w:numPr>
        <w:spacing w:afterLines="50" w:after="120"/>
        <w:ind w:left="284" w:hanging="284"/>
      </w:pPr>
      <w:r w:rsidRPr="00BD76AF">
        <w:t>Quatre-vingts pour cent (80 %) du montant total ou prorata EXW selon l’Incoterm « Ex-Works », seront réglés suite à la livraison au transporteur, dans le délai précisé à l’Article 12.2 des CG après réception de la facture et des documents suivants :</w:t>
      </w:r>
    </w:p>
    <w:p w14:paraId="5C7870FD" w14:textId="77777777" w:rsidR="00F332DA" w:rsidRPr="00BD76AF" w:rsidRDefault="00F332DA" w:rsidP="0079334B">
      <w:pPr>
        <w:spacing w:afterLines="50" w:after="120"/>
        <w:ind w:left="284"/>
      </w:pPr>
      <w:r w:rsidRPr="00BD76AF">
        <w:rPr>
          <w:szCs w:val="24"/>
        </w:rPr>
        <w:t>[</w:t>
      </w:r>
      <w:r w:rsidRPr="00BD76AF">
        <w:rPr>
          <w:i/>
        </w:rPr>
        <w:t>Le Maître d’ouvrage doit indiquer les documents requis, tels qu’un document de transport ferroviaire ou routier, un certificat d’assurance, etc.</w:t>
      </w:r>
      <w:r w:rsidRPr="00BD76AF">
        <w:rPr>
          <w:szCs w:val="24"/>
        </w:rPr>
        <w:t>]</w:t>
      </w:r>
    </w:p>
    <w:p w14:paraId="13938835" w14:textId="77777777" w:rsidR="00F332DA" w:rsidRPr="00BD76AF" w:rsidRDefault="00F332DA" w:rsidP="003D46CF">
      <w:pPr>
        <w:numPr>
          <w:ilvl w:val="0"/>
          <w:numId w:val="100"/>
        </w:numPr>
        <w:spacing w:afterLines="50" w:after="120"/>
        <w:ind w:left="284" w:hanging="284"/>
      </w:pPr>
      <w:r w:rsidRPr="00BD76AF">
        <w:t>Cinq pour cent (5 %) du montant total ou prorata EXW seront réglés suite à la délivrance du certificat d’Achèvement, dans le délai précisé à l’Article 12.2 des CG après réception de la facture correspondante.</w:t>
      </w:r>
    </w:p>
    <w:p w14:paraId="1DDD1B1E" w14:textId="77777777" w:rsidR="00F332DA" w:rsidRPr="00BD76AF" w:rsidRDefault="00F332DA" w:rsidP="003D46CF">
      <w:pPr>
        <w:numPr>
          <w:ilvl w:val="0"/>
          <w:numId w:val="100"/>
        </w:numPr>
        <w:spacing w:afterLines="50" w:after="120"/>
        <w:ind w:left="284" w:hanging="284"/>
      </w:pPr>
      <w:r w:rsidRPr="00BD76AF">
        <w:t>Cinq pour cent (5 %) du montant total ou prorata EXW seront réglés suite à la délivrance du certificat de Réception opérationnelle, dans le délai précisé à l’Article 12.2 des CG après réception de la facture correspondante.</w:t>
      </w:r>
    </w:p>
    <w:p w14:paraId="46661AC6" w14:textId="77777777" w:rsidR="00F332DA" w:rsidRPr="00BD76AF" w:rsidRDefault="00F332DA" w:rsidP="001609E2">
      <w:pPr>
        <w:spacing w:afterLines="100" w:after="240"/>
        <w:rPr>
          <w:u w:val="single"/>
        </w:rPr>
      </w:pPr>
      <w:r w:rsidRPr="00BD76AF">
        <w:rPr>
          <w:u w:val="single"/>
        </w:rPr>
        <w:t>Bordereau n</w:t>
      </w:r>
      <w:r w:rsidRPr="00BD76AF">
        <w:rPr>
          <w:u w:val="single"/>
          <w:vertAlign w:val="superscript"/>
        </w:rPr>
        <w:t>o</w:t>
      </w:r>
      <w:r w:rsidRPr="00BD76AF">
        <w:rPr>
          <w:u w:val="single"/>
        </w:rPr>
        <w:t xml:space="preserve"> 3 : Service de conception</w:t>
      </w:r>
    </w:p>
    <w:p w14:paraId="561E05B4" w14:textId="77777777" w:rsidR="00F332DA" w:rsidRPr="00BD76AF" w:rsidRDefault="00F332DA" w:rsidP="0079334B">
      <w:pPr>
        <w:spacing w:afterLines="50" w:after="120"/>
      </w:pPr>
      <w:r w:rsidRPr="00BD76AF">
        <w:t>En ce qui concerne les services de conception tant en monnaie locale qu’en monnaie étrangère, les paiements suivants seront effectués :</w:t>
      </w:r>
    </w:p>
    <w:p w14:paraId="58CDBA2F" w14:textId="77777777" w:rsidR="00F332DA" w:rsidRPr="00BD76AF" w:rsidRDefault="00F332DA" w:rsidP="003D46CF">
      <w:pPr>
        <w:numPr>
          <w:ilvl w:val="0"/>
          <w:numId w:val="101"/>
        </w:numPr>
        <w:spacing w:afterLines="50" w:after="120"/>
        <w:ind w:left="284" w:hanging="284"/>
      </w:pPr>
      <w:r w:rsidRPr="00BD76AF">
        <w:t xml:space="preserve">Dix pour cent (10 %) du montant total des services de conception seront réglés en tant qu’avance dans le délai précisé à l’Article 12.2 des CG après réception d’une facture et d’une garantie de restitution d’avance préparée conformément à l’Article 13.2 des CG. </w:t>
      </w:r>
    </w:p>
    <w:p w14:paraId="676C7736" w14:textId="77777777" w:rsidR="00F332DA" w:rsidRPr="00BD76AF" w:rsidRDefault="00F332DA" w:rsidP="003D46CF">
      <w:pPr>
        <w:numPr>
          <w:ilvl w:val="0"/>
          <w:numId w:val="101"/>
        </w:numPr>
        <w:spacing w:afterLines="50" w:after="120"/>
        <w:ind w:left="284" w:hanging="284"/>
      </w:pPr>
      <w:r w:rsidRPr="00BD76AF">
        <w:t>Quatre-vingt-dix pour cent (90 %) du montant total ou prorata des services de conception seront réglés après l’approbation</w:t>
      </w:r>
      <w:r w:rsidRPr="00BD76AF" w:rsidDel="00CF0C7E">
        <w:t xml:space="preserve"> </w:t>
      </w:r>
      <w:r w:rsidRPr="00BD76AF">
        <w:t>du Directeur du Projet, des études de conception, en conformité avec l’Article 20 des CG, dans le délai précisé à l’Article 12.2 des CG, après réception de la facture correspondante.</w:t>
      </w:r>
    </w:p>
    <w:p w14:paraId="4726402A" w14:textId="77777777" w:rsidR="00F332DA" w:rsidRPr="00BD76AF" w:rsidRDefault="00F332DA" w:rsidP="00755497">
      <w:pPr>
        <w:spacing w:afterLines="100" w:after="240"/>
        <w:rPr>
          <w:u w:val="single"/>
        </w:rPr>
      </w:pPr>
      <w:r w:rsidRPr="00BD76AF">
        <w:rPr>
          <w:u w:val="single"/>
        </w:rPr>
        <w:t>Bordereau n</w:t>
      </w:r>
      <w:r w:rsidRPr="00BD76AF">
        <w:rPr>
          <w:u w:val="single"/>
          <w:vertAlign w:val="superscript"/>
        </w:rPr>
        <w:t>o</w:t>
      </w:r>
      <w:r w:rsidRPr="00BD76AF">
        <w:rPr>
          <w:u w:val="single"/>
        </w:rPr>
        <w:t xml:space="preserve"> 4 : Service de montage et autres services</w:t>
      </w:r>
    </w:p>
    <w:p w14:paraId="2178542A" w14:textId="77777777" w:rsidR="00F332DA" w:rsidRPr="00BD76AF" w:rsidRDefault="00F332DA" w:rsidP="0079334B">
      <w:pPr>
        <w:spacing w:afterLines="50" w:after="120"/>
      </w:pPr>
      <w:r w:rsidRPr="00BD76AF">
        <w:t>En ce qui concerne les Services de montage tant en monnaie locale qu’en monnaie étrangère, les paiements suivants seront effectués :</w:t>
      </w:r>
    </w:p>
    <w:p w14:paraId="20419EFC" w14:textId="77777777" w:rsidR="00F332DA" w:rsidRPr="00BD76AF" w:rsidRDefault="00F332DA" w:rsidP="003D46CF">
      <w:pPr>
        <w:numPr>
          <w:ilvl w:val="0"/>
          <w:numId w:val="99"/>
        </w:numPr>
        <w:spacing w:afterLines="50" w:after="120"/>
        <w:ind w:left="284" w:hanging="284"/>
      </w:pPr>
      <w:r w:rsidRPr="00BD76AF">
        <w:t>Dix pour cent (10 %) du montant total des services de montage seront réglés en tant qu’avance dans le délai précisé à l’Article 12.2 des CG après réception d’une facture et d’une garantie de restitution d’avance préparée conformément à l’Article 13.2 des CG.</w:t>
      </w:r>
    </w:p>
    <w:p w14:paraId="107CE737" w14:textId="77777777" w:rsidR="00F332DA" w:rsidRPr="00BD76AF" w:rsidRDefault="00F332DA" w:rsidP="003D46CF">
      <w:pPr>
        <w:numPr>
          <w:ilvl w:val="0"/>
          <w:numId w:val="99"/>
        </w:numPr>
        <w:spacing w:afterLines="50" w:after="120"/>
        <w:ind w:left="284" w:hanging="284"/>
      </w:pPr>
      <w:r w:rsidRPr="00BD76AF">
        <w:t>Quatre-vingts pour cent (80 %) de la valeur mesurée des travaux, tels que décrits dans le programme d’exécution, réalisés par l’Entrepreneur au cours du mois précédent et tels qu’attestés par l’approbation du Directeur de projet de la demande de paiement de l’Entrepreneur, seront réglés mensuellement dans le délai précisé à l’Article 12.2 des CG après réception de la facture correspondante.</w:t>
      </w:r>
    </w:p>
    <w:p w14:paraId="22BEEF44" w14:textId="77777777" w:rsidR="00F332DA" w:rsidRPr="00BD76AF" w:rsidRDefault="00F332DA" w:rsidP="003D46CF">
      <w:pPr>
        <w:numPr>
          <w:ilvl w:val="0"/>
          <w:numId w:val="99"/>
        </w:numPr>
        <w:spacing w:afterLines="50" w:after="120"/>
        <w:ind w:left="284" w:hanging="284"/>
      </w:pPr>
      <w:r w:rsidRPr="00BD76AF">
        <w:t>Cinq pour cent (5 %) de la valeur totale ou prorata des services de montage effectués par l’Entrepreneur, tels qu’attestés par l’approbation du Directeur de projet des demandes mensuelles de paiement de l’Entrepreneur, seront réglés suite à la délivrance du certificat d’Achèvement, dans le délai précisé à l’Article 12.2 des CG après réception de la facture correspondante.</w:t>
      </w:r>
    </w:p>
    <w:p w14:paraId="11EDC5B8" w14:textId="77777777" w:rsidR="00F332DA" w:rsidRPr="00BD76AF" w:rsidRDefault="00F332DA" w:rsidP="003D46CF">
      <w:pPr>
        <w:numPr>
          <w:ilvl w:val="0"/>
          <w:numId w:val="99"/>
        </w:numPr>
        <w:spacing w:afterLines="50" w:after="120"/>
        <w:ind w:left="284" w:hanging="284"/>
      </w:pPr>
      <w:r w:rsidRPr="00BD76AF">
        <w:t>Cinq pour cent (5 %) de la valeur totale ou prorata des Services de montage effectués par l’Entrepreneur, tels qu’attestés par l’approbation du Directeur de projet des demandes mensuelles de paiement de l’Entrepreneur, seront réglés suite à la délivrance du certificat de Réception opérationnelle, dans le délai précisé à l’Article 12.2 des CG après réception de la facture correspondante.</w:t>
      </w:r>
    </w:p>
    <w:p w14:paraId="69C6D84B" w14:textId="77777777" w:rsidR="00F332DA" w:rsidRPr="00BD76AF" w:rsidRDefault="00F332DA" w:rsidP="003225BF">
      <w:pPr>
        <w:ind w:left="720"/>
      </w:pPr>
    </w:p>
    <w:p w14:paraId="0C6494C8" w14:textId="77777777" w:rsidR="00F332DA" w:rsidRPr="00BD76AF" w:rsidRDefault="00F332DA" w:rsidP="0079334B">
      <w:pPr>
        <w:spacing w:afterLines="100" w:after="240"/>
        <w:rPr>
          <w:u w:val="single"/>
        </w:rPr>
      </w:pPr>
      <w:r w:rsidRPr="00BD76AF">
        <w:rPr>
          <w:u w:val="single"/>
        </w:rPr>
        <w:t>Bordereau n</w:t>
      </w:r>
      <w:r w:rsidRPr="00BD76AF">
        <w:rPr>
          <w:u w:val="single"/>
          <w:vertAlign w:val="superscript"/>
        </w:rPr>
        <w:t>o</w:t>
      </w:r>
      <w:r w:rsidRPr="00BD76AF">
        <w:rPr>
          <w:u w:val="single"/>
        </w:rPr>
        <w:t xml:space="preserve"> 5 : Pièces de rechange obligatoires</w:t>
      </w:r>
    </w:p>
    <w:p w14:paraId="09AC86D7" w14:textId="77777777" w:rsidR="00F332DA" w:rsidRPr="00BD76AF" w:rsidRDefault="00F332DA" w:rsidP="0079334B">
      <w:pPr>
        <w:spacing w:afterLines="50" w:after="120"/>
      </w:pPr>
      <w:r w:rsidRPr="00BD76AF">
        <w:t>Le paiement de tout élément inclus dans le Bordereau n</w:t>
      </w:r>
      <w:r w:rsidRPr="00BD76AF">
        <w:rPr>
          <w:vertAlign w:val="superscript"/>
        </w:rPr>
        <w:t>o</w:t>
      </w:r>
      <w:r w:rsidRPr="00BD76AF">
        <w:t xml:space="preserve"> 5 sera effectué</w:t>
      </w:r>
      <w:r w:rsidRPr="00BD76AF">
        <w:rPr>
          <w:lang w:eastAsia="ja-JP"/>
        </w:rPr>
        <w:t xml:space="preserve"> en fonction de la quantit</w:t>
      </w:r>
      <w:r w:rsidRPr="00BD76AF">
        <w:t>é</w:t>
      </w:r>
      <w:r w:rsidRPr="00BD76AF">
        <w:rPr>
          <w:lang w:eastAsia="ja-JP"/>
        </w:rPr>
        <w:t xml:space="preserve"> effectivement fournie et délivr</w:t>
      </w:r>
      <w:r w:rsidRPr="00BD76AF">
        <w:t xml:space="preserve">ée sur le Site par l’Entrepreneur et approuvée par le </w:t>
      </w:r>
      <w:r w:rsidRPr="00BD76AF">
        <w:rPr>
          <w:noProof/>
          <w:lang w:eastAsia="en-US"/>
        </w:rPr>
        <w:t>Directeur de projet.</w:t>
      </w:r>
    </w:p>
    <w:p w14:paraId="3ABD92D7" w14:textId="77777777" w:rsidR="00F332DA" w:rsidRPr="00BD76AF" w:rsidRDefault="00F332DA" w:rsidP="0079334B">
      <w:pPr>
        <w:tabs>
          <w:tab w:val="left" w:pos="1270"/>
        </w:tabs>
        <w:ind w:left="720"/>
      </w:pPr>
    </w:p>
    <w:p w14:paraId="15B70671" w14:textId="77777777" w:rsidR="00F332DA" w:rsidRPr="00BD76AF" w:rsidRDefault="00F332DA" w:rsidP="0079334B">
      <w:pPr>
        <w:spacing w:afterLines="100" w:after="240"/>
        <w:rPr>
          <w:u w:val="single"/>
        </w:rPr>
      </w:pPr>
      <w:r w:rsidRPr="00BD76AF">
        <w:rPr>
          <w:u w:val="single"/>
        </w:rPr>
        <w:t>Bordereau n</w:t>
      </w:r>
      <w:r w:rsidRPr="00BD76AF">
        <w:rPr>
          <w:u w:val="single"/>
          <w:vertAlign w:val="superscript"/>
        </w:rPr>
        <w:t>o</w:t>
      </w:r>
      <w:r w:rsidRPr="00BD76AF">
        <w:rPr>
          <w:u w:val="single"/>
        </w:rPr>
        <w:t xml:space="preserve"> 6 : Pièces de rechange recommandées</w:t>
      </w:r>
    </w:p>
    <w:p w14:paraId="297EE9B4" w14:textId="77777777" w:rsidR="00F332DA" w:rsidRPr="00BD76AF" w:rsidRDefault="00F332DA" w:rsidP="0079334B">
      <w:pPr>
        <w:spacing w:afterLines="50" w:after="120"/>
      </w:pPr>
      <w:r w:rsidRPr="00BD76AF">
        <w:t>Le paiement de tout élément inclus dans le Bordereau n</w:t>
      </w:r>
      <w:r w:rsidRPr="00BD76AF">
        <w:rPr>
          <w:vertAlign w:val="superscript"/>
        </w:rPr>
        <w:t>o</w:t>
      </w:r>
      <w:r w:rsidRPr="00BD76AF">
        <w:t xml:space="preserve"> 6 sera effectué</w:t>
      </w:r>
      <w:r w:rsidRPr="00BD76AF">
        <w:rPr>
          <w:lang w:eastAsia="ja-JP"/>
        </w:rPr>
        <w:t xml:space="preserve"> en fonction de la quantit</w:t>
      </w:r>
      <w:r w:rsidRPr="00BD76AF">
        <w:t>é</w:t>
      </w:r>
      <w:r w:rsidRPr="00BD76AF">
        <w:rPr>
          <w:lang w:eastAsia="ja-JP"/>
        </w:rPr>
        <w:t xml:space="preserve"> effectivement fournie et délivr</w:t>
      </w:r>
      <w:r w:rsidRPr="00BD76AF">
        <w:t xml:space="preserve">ée sur le Site par l’Entrepreneur et approuvée par le </w:t>
      </w:r>
      <w:r w:rsidRPr="00BD76AF">
        <w:rPr>
          <w:noProof/>
          <w:lang w:eastAsia="en-US"/>
        </w:rPr>
        <w:t>Directeur projet.</w:t>
      </w:r>
    </w:p>
    <w:p w14:paraId="04D87144" w14:textId="77777777" w:rsidR="00F332DA" w:rsidRPr="00BD76AF" w:rsidRDefault="00F332DA" w:rsidP="003225BF">
      <w:pPr>
        <w:ind w:left="720"/>
      </w:pPr>
    </w:p>
    <w:p w14:paraId="7E7DED21" w14:textId="77777777" w:rsidR="00F332DA" w:rsidRPr="00BD76AF" w:rsidRDefault="00F332DA" w:rsidP="003225BF">
      <w:pPr>
        <w:ind w:left="720"/>
      </w:pPr>
    </w:p>
    <w:p w14:paraId="3FFF0A5E" w14:textId="77777777" w:rsidR="00F332DA" w:rsidRPr="00BD76AF" w:rsidRDefault="00F332DA" w:rsidP="0079334B">
      <w:pPr>
        <w:rPr>
          <w:szCs w:val="24"/>
          <w:lang w:eastAsia="ja-JP"/>
        </w:rPr>
      </w:pPr>
      <w:r w:rsidRPr="00BD76AF">
        <w:rPr>
          <w:szCs w:val="24"/>
          <w:lang w:eastAsia="ja-JP"/>
        </w:rPr>
        <w:t>Pièces jointes</w:t>
      </w:r>
    </w:p>
    <w:p w14:paraId="363D89E5" w14:textId="77777777" w:rsidR="00F332DA" w:rsidRPr="00BD76AF" w:rsidRDefault="00F332DA" w:rsidP="0079334B">
      <w:pPr>
        <w:rPr>
          <w:smallCaps/>
          <w:lang w:eastAsia="ja-JP"/>
        </w:rPr>
      </w:pPr>
    </w:p>
    <w:p w14:paraId="71DFF68C" w14:textId="77777777" w:rsidR="00F332DA" w:rsidRPr="00BD76AF" w:rsidRDefault="00F332DA" w:rsidP="0079334B">
      <w:pPr>
        <w:tabs>
          <w:tab w:val="left" w:pos="348"/>
        </w:tabs>
      </w:pPr>
      <w:r w:rsidRPr="00BD76AF">
        <w:t>[</w:t>
      </w:r>
      <w:r w:rsidRPr="00BD76AF">
        <w:rPr>
          <w:i/>
        </w:rPr>
        <w:t>Insérer les formulaires et certificats qui sont nécessaires dans les procédures de demande et/ou d’approbation de paiement.</w:t>
      </w:r>
      <w:r w:rsidRPr="00BD76AF">
        <w:t>]</w:t>
      </w:r>
    </w:p>
    <w:p w14:paraId="38024954" w14:textId="77777777" w:rsidR="00F332DA" w:rsidRPr="00BD76AF" w:rsidRDefault="00F332DA" w:rsidP="008C143A"/>
    <w:p w14:paraId="4AC3E7B8" w14:textId="77777777" w:rsidR="00F332DA" w:rsidRPr="00BD76AF" w:rsidRDefault="00F332DA" w:rsidP="00074B51">
      <w:pPr>
        <w:pStyle w:val="S9-appx"/>
        <w:rPr>
          <w:lang w:val="fr-FR"/>
        </w:rPr>
      </w:pPr>
      <w:r w:rsidRPr="00BD76AF">
        <w:rPr>
          <w:lang w:val="fr-FR"/>
        </w:rPr>
        <w:br w:type="page"/>
      </w:r>
    </w:p>
    <w:p w14:paraId="589D4D44" w14:textId="77777777" w:rsidR="00F332DA" w:rsidRPr="00BD76AF" w:rsidRDefault="00F332DA" w:rsidP="0079334B">
      <w:pPr>
        <w:pStyle w:val="S9-appx"/>
        <w:jc w:val="left"/>
        <w:rPr>
          <w:b w:val="0"/>
          <w:i/>
          <w:sz w:val="24"/>
          <w:szCs w:val="24"/>
          <w:lang w:val="fr-FR"/>
        </w:rPr>
      </w:pPr>
      <w:bookmarkStart w:id="840" w:name="_Toc104152938"/>
      <w:r w:rsidRPr="00BD76AF">
        <w:rPr>
          <w:b w:val="0"/>
          <w:sz w:val="24"/>
          <w:szCs w:val="24"/>
          <w:lang w:val="fr-FR"/>
        </w:rPr>
        <w:t>[</w:t>
      </w:r>
      <w:r w:rsidRPr="00BD76AF">
        <w:rPr>
          <w:b w:val="0"/>
          <w:i/>
          <w:sz w:val="24"/>
          <w:szCs w:val="24"/>
          <w:lang w:val="fr-FR"/>
        </w:rPr>
        <w:t>Formulaire commun à l’option A : appel d’offres à une étape-deux enveloppes et l’option B : appel d’offres à deux étapes-une enveloppe</w:t>
      </w:r>
      <w:r w:rsidRPr="00BD76AF">
        <w:rPr>
          <w:b w:val="0"/>
          <w:sz w:val="24"/>
          <w:szCs w:val="24"/>
          <w:lang w:val="fr-FR"/>
        </w:rPr>
        <w:t>]</w:t>
      </w:r>
      <w:bookmarkEnd w:id="840"/>
    </w:p>
    <w:p w14:paraId="25AA1839" w14:textId="77777777" w:rsidR="00F332DA" w:rsidRPr="00BD76AF" w:rsidRDefault="00F332DA" w:rsidP="0079334B">
      <w:pPr>
        <w:pStyle w:val="S9-appx"/>
        <w:spacing w:after="360"/>
        <w:rPr>
          <w:sz w:val="32"/>
          <w:szCs w:val="32"/>
          <w:lang w:val="fr-FR"/>
        </w:rPr>
      </w:pPr>
      <w:bookmarkStart w:id="841" w:name="_Toc104152939"/>
      <w:r w:rsidRPr="00BD76AF">
        <w:rPr>
          <w:lang w:val="en-GB"/>
        </w:rPr>
        <w:t>Annexe</w:t>
      </w:r>
      <w:r w:rsidRPr="00BD76AF">
        <w:rPr>
          <w:szCs w:val="28"/>
          <w:lang w:val="fr-FR"/>
        </w:rPr>
        <w:t xml:space="preserve"> 2.</w:t>
      </w:r>
      <w:r w:rsidRPr="00BD76AF">
        <w:rPr>
          <w:sz w:val="32"/>
          <w:szCs w:val="32"/>
          <w:lang w:val="fr-FR"/>
        </w:rPr>
        <w:t xml:space="preserve">  </w:t>
      </w:r>
      <w:r w:rsidRPr="00BD76AF">
        <w:rPr>
          <w:szCs w:val="28"/>
          <w:lang w:val="fr-FR"/>
        </w:rPr>
        <w:t>Révision des prix</w:t>
      </w:r>
      <w:bookmarkEnd w:id="841"/>
    </w:p>
    <w:tbl>
      <w:tblPr>
        <w:tblW w:w="9123" w:type="dxa"/>
        <w:tblInd w:w="-8" w:type="dxa"/>
        <w:tblLayout w:type="fixed"/>
        <w:tblLook w:val="0000" w:firstRow="0" w:lastRow="0" w:firstColumn="0" w:lastColumn="0" w:noHBand="0" w:noVBand="0"/>
      </w:tblPr>
      <w:tblGrid>
        <w:gridCol w:w="9123"/>
      </w:tblGrid>
      <w:tr w:rsidR="00F332DA" w:rsidRPr="00BD76AF" w14:paraId="581572DD" w14:textId="77777777" w:rsidTr="00811FFD">
        <w:tc>
          <w:tcPr>
            <w:tcW w:w="9123" w:type="dxa"/>
            <w:tcBorders>
              <w:top w:val="single" w:sz="6" w:space="0" w:color="auto"/>
              <w:left w:val="single" w:sz="6" w:space="0" w:color="auto"/>
              <w:bottom w:val="single" w:sz="6" w:space="0" w:color="auto"/>
              <w:right w:val="single" w:sz="6" w:space="0" w:color="auto"/>
            </w:tcBorders>
          </w:tcPr>
          <w:p w14:paraId="0970197A" w14:textId="77777777" w:rsidR="00F332DA" w:rsidRPr="00BD76AF" w:rsidRDefault="00F332DA" w:rsidP="0079334B">
            <w:pPr>
              <w:pStyle w:val="af7"/>
              <w:spacing w:beforeLines="100" w:before="240" w:afterLines="50" w:after="120"/>
              <w:jc w:val="center"/>
              <w:rPr>
                <w:b/>
                <w:szCs w:val="24"/>
                <w:lang w:val="fr-FR"/>
              </w:rPr>
            </w:pPr>
            <w:r w:rsidRPr="00BD76AF">
              <w:rPr>
                <w:b/>
                <w:szCs w:val="24"/>
                <w:lang w:val="fr-FR"/>
              </w:rPr>
              <w:t>Notes à l’intention du Maître d’ouvrage</w:t>
            </w:r>
          </w:p>
          <w:p w14:paraId="2C8E1DD6" w14:textId="77777777" w:rsidR="00F332DA" w:rsidRPr="00BD76AF" w:rsidRDefault="00F332DA" w:rsidP="0079334B">
            <w:pPr>
              <w:pStyle w:val="af7"/>
              <w:spacing w:beforeLines="100" w:before="240" w:afterLines="50" w:after="120"/>
              <w:rPr>
                <w:szCs w:val="24"/>
                <w:lang w:val="fr-FR"/>
              </w:rPr>
            </w:pPr>
            <w:r w:rsidRPr="00BD76AF">
              <w:rPr>
                <w:szCs w:val="24"/>
                <w:lang w:val="fr-FR"/>
              </w:rPr>
              <w:t xml:space="preserve">Quand la durée du Marché (non comprise la Période de garantie) excède dix-huit (18) mois, ou </w:t>
            </w:r>
            <w:r w:rsidRPr="00BD76AF">
              <w:rPr>
                <w:lang w:val="fr-FR"/>
              </w:rPr>
              <w:t>lorsque l’inflation locale ou internationale est prévue d’être importante</w:t>
            </w:r>
            <w:r w:rsidRPr="00BD76AF">
              <w:rPr>
                <w:szCs w:val="24"/>
                <w:lang w:val="fr-FR"/>
              </w:rPr>
              <w:t xml:space="preserve">, la procédure normale requiert que les prix payables à l’Entrepreneur fassent l’objet de révision pendant l’exécution du Marché, pour tenir compte des changements dans le coût de la main-d’œuvre et des composants matériels. </w:t>
            </w:r>
          </w:p>
          <w:p w14:paraId="631B5D47" w14:textId="77777777" w:rsidR="00F332DA" w:rsidRPr="00BD76AF" w:rsidRDefault="00F332DA" w:rsidP="00A341C2">
            <w:pPr>
              <w:spacing w:afterLines="50" w:after="120"/>
              <w:rPr>
                <w:szCs w:val="24"/>
              </w:rPr>
            </w:pPr>
            <w:r w:rsidRPr="00BD76AF">
              <w:rPr>
                <w:szCs w:val="24"/>
                <w:lang w:eastAsia="ja-JP"/>
              </w:rPr>
              <w:t xml:space="preserve">Si </w:t>
            </w:r>
            <w:r w:rsidRPr="00BD76AF">
              <w:rPr>
                <w:szCs w:val="24"/>
              </w:rPr>
              <w:t>les prix sont fermes et définitifs pour la durée du Marché, le Maître d’ouvrage ne doit pas inclure les dispositions suivantes et les tableaux des données de révision des prix. Il doit indiquer à la place</w:t>
            </w:r>
            <w:r w:rsidRPr="00BD76AF">
              <w:rPr>
                <w:rFonts w:hint="eastAsia"/>
                <w:szCs w:val="24"/>
              </w:rPr>
              <w:t xml:space="preserve"> </w:t>
            </w:r>
            <w:r w:rsidRPr="00BD76AF">
              <w:rPr>
                <w:szCs w:val="24"/>
              </w:rPr>
              <w:t xml:space="preserve">dans cette Annexe 2 : </w:t>
            </w:r>
            <w:r w:rsidRPr="00BD76AF">
              <w:rPr>
                <w:rFonts w:hint="eastAsia"/>
                <w:szCs w:val="24"/>
              </w:rPr>
              <w:t>«</w:t>
            </w:r>
            <w:r w:rsidRPr="00BD76AF">
              <w:rPr>
                <w:i/>
                <w:szCs w:val="24"/>
              </w:rPr>
              <w:t xml:space="preserve"> Les prix sont fermes et définitifs pour la durée du Marché</w:t>
            </w:r>
            <w:r w:rsidRPr="00BD76AF">
              <w:rPr>
                <w:szCs w:val="24"/>
              </w:rPr>
              <w:t>. »</w:t>
            </w:r>
          </w:p>
          <w:p w14:paraId="2BD65206" w14:textId="77777777" w:rsidR="00F332DA" w:rsidRPr="00BD76AF" w:rsidRDefault="00F332DA" w:rsidP="00BF220B">
            <w:pPr>
              <w:spacing w:afterLines="50" w:after="120"/>
              <w:rPr>
                <w:szCs w:val="24"/>
              </w:rPr>
            </w:pPr>
            <w:r w:rsidRPr="00BD76AF">
              <w:t xml:space="preserve">Sur la base du Bordereau </w:t>
            </w:r>
            <w:r w:rsidRPr="00BD76AF">
              <w:rPr>
                <w:lang w:eastAsia="ja-JP"/>
              </w:rPr>
              <w:t>« </w:t>
            </w:r>
            <w:r w:rsidRPr="00BD76AF">
              <w:t>Donnée</w:t>
            </w:r>
            <w:r w:rsidRPr="00BD76AF">
              <w:rPr>
                <w:rFonts w:hint="eastAsia"/>
                <w:lang w:eastAsia="ja-JP"/>
              </w:rPr>
              <w:t>s de</w:t>
            </w:r>
            <w:r w:rsidRPr="00BD76AF">
              <w:t xml:space="preserve"> révision des prix » propos</w:t>
            </w:r>
            <w:r w:rsidRPr="00BD76AF">
              <w:rPr>
                <w:szCs w:val="24"/>
              </w:rPr>
              <w:t>é</w:t>
            </w:r>
            <w:r w:rsidRPr="00BD76AF">
              <w:t xml:space="preserve"> par le Soumissionnaire </w:t>
            </w:r>
            <w:r w:rsidRPr="00BD76AF">
              <w:rPr>
                <w:szCs w:val="24"/>
              </w:rPr>
              <w:t>retenu</w:t>
            </w:r>
            <w:r w:rsidRPr="00BD76AF">
              <w:t xml:space="preserve">, </w:t>
            </w:r>
            <w:r w:rsidRPr="00BD76AF">
              <w:rPr>
                <w:szCs w:val="24"/>
              </w:rPr>
              <w:t xml:space="preserve">le Maître d’ouvrage et l’Entrepreneur retenu conviendront des formules, </w:t>
            </w:r>
            <w:r w:rsidRPr="00BD76AF">
              <w:t>des indices et des coefficients,</w:t>
            </w:r>
            <w:r w:rsidRPr="00BD76AF">
              <w:rPr>
                <w:szCs w:val="24"/>
              </w:rPr>
              <w:t xml:space="preserve"> lors des négociations du Marché.</w:t>
            </w:r>
          </w:p>
        </w:tc>
      </w:tr>
    </w:tbl>
    <w:p w14:paraId="49E47B73" w14:textId="77777777" w:rsidR="00F332DA" w:rsidRPr="00BD76AF" w:rsidRDefault="00F332DA" w:rsidP="002E5CBE"/>
    <w:p w14:paraId="5D60CB95" w14:textId="77777777" w:rsidR="00F332DA" w:rsidRPr="00BD76AF" w:rsidRDefault="00F332DA" w:rsidP="0092202D">
      <w:pPr>
        <w:spacing w:afterLines="50" w:after="120"/>
        <w:rPr>
          <w:b/>
        </w:rPr>
      </w:pPr>
      <w:r w:rsidRPr="00BD76AF">
        <w:t>Si</w:t>
      </w:r>
      <w:r w:rsidRPr="00BD76AF">
        <w:rPr>
          <w:rFonts w:hint="eastAsia"/>
          <w:lang w:eastAsia="ja-JP"/>
        </w:rPr>
        <w:t xml:space="preserve"> </w:t>
      </w:r>
      <w:r w:rsidRPr="00BD76AF">
        <w:t xml:space="preserve">l’Article 11.2 des Données du Marché le prévoit, les montants payables à l’Entrepreneur doivent être révisés du fait des hausses ou baisses du coût de la main-d’œuvre, des équipements et autres apports relatifs aux travaux sur les Installations, par l’addition ou la déduction des montants déterminés par les formules prescrites dans cette </w:t>
      </w:r>
      <w:r w:rsidRPr="00BD76AF">
        <w:rPr>
          <w:szCs w:val="24"/>
        </w:rPr>
        <w:t>annexe</w:t>
      </w:r>
      <w:r w:rsidRPr="00BD76AF">
        <w:t xml:space="preserve">. Dans la mesure où une compensation pleine et entière pour la hausse ou la baisse des coûts n’est pas assurée par l’application des stipulations de cette </w:t>
      </w:r>
      <w:r w:rsidRPr="00BD76AF">
        <w:rPr>
          <w:szCs w:val="24"/>
        </w:rPr>
        <w:t>annexe</w:t>
      </w:r>
      <w:r w:rsidRPr="00BD76AF">
        <w:t xml:space="preserve"> ou d’un autre Article, le Montant du Marché sera réputé avoir inclus les sommes nécessaires pour faire face à toutes autres hausses et baisses des coûts.</w:t>
      </w:r>
    </w:p>
    <w:p w14:paraId="656F070A" w14:textId="77777777" w:rsidR="00F332DA" w:rsidRPr="00BD76AF" w:rsidRDefault="00F332DA" w:rsidP="0079334B">
      <w:pPr>
        <w:spacing w:afterLines="150" w:after="360"/>
        <w:rPr>
          <w:b/>
        </w:rPr>
      </w:pPr>
      <w:r w:rsidRPr="00BD76AF">
        <w:t>La révision à appliquer au montant autrement payable à l’Entrepreneur, comme valorisé conformément à l’Annexe 1 (</w:t>
      </w:r>
      <w:r w:rsidRPr="00BD76AF">
        <w:rPr>
          <w:i/>
        </w:rPr>
        <w:t>Conditions et procédures de règlement</w:t>
      </w:r>
      <w:r w:rsidRPr="00BD76AF">
        <w:t xml:space="preserve">) de l’Acte d’engagement et approuvé par le </w:t>
      </w:r>
      <w:r w:rsidRPr="00BD76AF">
        <w:rPr>
          <w:noProof/>
          <w:lang w:eastAsia="en-US"/>
        </w:rPr>
        <w:t>Directeur de projet</w:t>
      </w:r>
      <w:r w:rsidRPr="00BD76AF">
        <w:t>, doit être déterminée à partir des formules pour chacune des monnaies dans lesquelles le Montant du Marché est payable. Aucune révision ne doit être appliquée aux travaux valorisés sur la base des coûts ou des prix courants.</w:t>
      </w:r>
    </w:p>
    <w:p w14:paraId="6F6E0AC2" w14:textId="77777777" w:rsidR="00F332DA" w:rsidRPr="00BD76AF" w:rsidRDefault="00F332DA" w:rsidP="0092202D">
      <w:pPr>
        <w:spacing w:afterLines="50" w:after="120"/>
        <w:rPr>
          <w:b/>
          <w:smallCaps/>
        </w:rPr>
      </w:pPr>
      <w:r w:rsidRPr="00BD76AF">
        <w:rPr>
          <w:b/>
          <w:smallCaps/>
        </w:rPr>
        <w:t>TABLEAU DES DONNÉS DE RÉVISION DES PRIX</w:t>
      </w:r>
    </w:p>
    <w:p w14:paraId="6B9FA58B" w14:textId="77777777" w:rsidR="00F332DA" w:rsidRPr="00BD76AF" w:rsidRDefault="00F332DA" w:rsidP="0079334B">
      <w:pPr>
        <w:spacing w:afterLines="50" w:after="120"/>
        <w:rPr>
          <w:b/>
          <w:lang w:eastAsia="ja-JP"/>
        </w:rPr>
      </w:pPr>
      <w:r w:rsidRPr="00BD76AF">
        <w:t xml:space="preserve">Dans cette </w:t>
      </w:r>
      <w:r w:rsidRPr="00BD76AF">
        <w:rPr>
          <w:szCs w:val="24"/>
        </w:rPr>
        <w:t>annexe</w:t>
      </w:r>
      <w:r w:rsidRPr="00BD76AF">
        <w:t xml:space="preserve">, « tableau des données de révision des prix » signifie le tableau </w:t>
      </w:r>
      <w:r w:rsidRPr="00BD76AF">
        <w:rPr>
          <w:u w:val="single"/>
        </w:rPr>
        <w:t>complété</w:t>
      </w:r>
      <w:r w:rsidRPr="00BD76AF">
        <w:t xml:space="preserve"> des données de révision des prix correspondant aux monnaies nationale et étrangères inclus ci-dessous. Si aucun tableau de ce type n’y figure, cette </w:t>
      </w:r>
      <w:r w:rsidRPr="00BD76AF">
        <w:rPr>
          <w:szCs w:val="24"/>
        </w:rPr>
        <w:t>annexe</w:t>
      </w:r>
      <w:r w:rsidRPr="00BD76AF">
        <w:t xml:space="preserve"> ne sera pas applicable.</w:t>
      </w:r>
      <w:r w:rsidRPr="00BD76AF">
        <w:rPr>
          <w:b/>
          <w:lang w:eastAsia="ja-JP"/>
        </w:rPr>
        <w:tab/>
      </w:r>
    </w:p>
    <w:p w14:paraId="669EA314" w14:textId="77777777" w:rsidR="00F332DA" w:rsidRPr="00BD76AF" w:rsidRDefault="00F332DA" w:rsidP="0079334B">
      <w:pPr>
        <w:widowControl w:val="0"/>
        <w:suppressAutoHyphens w:val="0"/>
        <w:overflowPunct/>
        <w:autoSpaceDE/>
        <w:autoSpaceDN/>
        <w:adjustRightInd/>
        <w:textAlignment w:val="auto"/>
      </w:pPr>
      <w:r w:rsidRPr="00BD76AF">
        <w:t>Aux fins de la présente annexe, les indices de coût ou prix de référence mentionnés dans le tableau des données de révision des prix doivent être utilisés. Si leur origine est contestée, elle doit être déterminée par le</w:t>
      </w:r>
      <w:r w:rsidRPr="00BD76AF">
        <w:rPr>
          <w:noProof/>
          <w:lang w:eastAsia="en-US"/>
        </w:rPr>
        <w:t xml:space="preserve"> Directeur de projet</w:t>
      </w:r>
      <w:r w:rsidRPr="00BD76AF">
        <w:t>. A cette fin, référence doit être faite aux valeurs des indices à des dates déterminées afin d’en clarifier l’origine ; bien que ces dates (et donc ces valeurs) puissent ne pas correspondre aux indices de coût de base.</w:t>
      </w:r>
    </w:p>
    <w:p w14:paraId="6EE33185" w14:textId="77777777" w:rsidR="00F332DA" w:rsidRPr="00BD76AF" w:rsidRDefault="00F332DA" w:rsidP="0079334B">
      <w:pPr>
        <w:widowControl w:val="0"/>
        <w:suppressAutoHyphens w:val="0"/>
        <w:overflowPunct/>
        <w:autoSpaceDE/>
        <w:autoSpaceDN/>
        <w:adjustRightInd/>
        <w:textAlignment w:val="auto"/>
      </w:pPr>
    </w:p>
    <w:p w14:paraId="1CEFB3CE" w14:textId="77777777" w:rsidR="00F332DA" w:rsidRPr="00BD76AF" w:rsidRDefault="00F332DA" w:rsidP="0079334B">
      <w:pPr>
        <w:widowControl w:val="0"/>
        <w:suppressAutoHyphens w:val="0"/>
        <w:overflowPunct/>
        <w:autoSpaceDE/>
        <w:autoSpaceDN/>
        <w:adjustRightInd/>
        <w:textAlignment w:val="auto"/>
      </w:pPr>
      <w:r w:rsidRPr="00BD76AF">
        <w:t>Dans les cas où la « monnaie de l’indice » n’est pas la monnaie de paiement applicable, chaque valeur d’indice sera convertie dans la monnaie de paiement applicable sur la base du cours vendeur établi par la banque centrale du pays</w:t>
      </w:r>
      <w:r w:rsidRPr="00BD76AF">
        <w:rPr>
          <w:rFonts w:hint="eastAsia"/>
          <w:lang w:eastAsia="ja-JP"/>
        </w:rPr>
        <w:t xml:space="preserve"> </w:t>
      </w:r>
      <w:r w:rsidRPr="00BD76AF">
        <w:rPr>
          <w:szCs w:val="24"/>
          <w:lang w:eastAsia="ja-JP"/>
        </w:rPr>
        <w:t>où se trouve le Site</w:t>
      </w:r>
      <w:r w:rsidRPr="00BD76AF">
        <w:t>, à la date susmentionnée à laquelle l’indice doit être applicable.</w:t>
      </w:r>
    </w:p>
    <w:p w14:paraId="32D19C4F" w14:textId="77777777" w:rsidR="00F332DA" w:rsidRPr="00BD76AF" w:rsidRDefault="00F332DA" w:rsidP="0079334B">
      <w:pPr>
        <w:widowControl w:val="0"/>
        <w:suppressAutoHyphens w:val="0"/>
        <w:overflowPunct/>
        <w:autoSpaceDE/>
        <w:autoSpaceDN/>
        <w:adjustRightInd/>
        <w:textAlignment w:val="auto"/>
        <w:rPr>
          <w:b/>
          <w:lang w:eastAsia="ja-JP"/>
        </w:rPr>
      </w:pPr>
    </w:p>
    <w:p w14:paraId="2E665E90" w14:textId="77777777" w:rsidR="00F332DA" w:rsidRPr="00BD76AF" w:rsidRDefault="00F332DA" w:rsidP="0079334B">
      <w:pPr>
        <w:widowControl w:val="0"/>
        <w:suppressAutoHyphens w:val="0"/>
        <w:overflowPunct/>
        <w:autoSpaceDE/>
        <w:autoSpaceDN/>
        <w:adjustRightInd/>
        <w:textAlignment w:val="auto"/>
      </w:pPr>
      <w:r w:rsidRPr="00BD76AF">
        <w:t xml:space="preserve">Jusqu’à ce que la valeur actualisée de chaque indice de coût soit disponible, le </w:t>
      </w:r>
      <w:r w:rsidRPr="00BD76AF">
        <w:rPr>
          <w:noProof/>
          <w:lang w:eastAsia="en-US"/>
        </w:rPr>
        <w:t>Directeur de projet</w:t>
      </w:r>
      <w:r w:rsidRPr="00BD76AF">
        <w:t xml:space="preserve"> doit déterminer une valeur provisoire d’indice pour la délivrance des approbations de paiement. Dès qu’une valeur actualisée d’indice de coût est disponible, la révision doit être recalculée en conséquence.</w:t>
      </w:r>
    </w:p>
    <w:p w14:paraId="28468851" w14:textId="77777777" w:rsidR="00F332DA" w:rsidRPr="00BD76AF" w:rsidRDefault="00F332DA" w:rsidP="0079334B">
      <w:pPr>
        <w:widowControl w:val="0"/>
        <w:suppressAutoHyphens w:val="0"/>
        <w:overflowPunct/>
        <w:autoSpaceDE/>
        <w:autoSpaceDN/>
        <w:adjustRightInd/>
        <w:textAlignment w:val="auto"/>
        <w:rPr>
          <w:b/>
          <w:lang w:eastAsia="ja-JP"/>
        </w:rPr>
      </w:pPr>
    </w:p>
    <w:p w14:paraId="34E84246" w14:textId="77777777" w:rsidR="00F332DA" w:rsidRPr="00BD76AF" w:rsidRDefault="00F332DA" w:rsidP="0079334B">
      <w:pPr>
        <w:widowControl w:val="0"/>
        <w:suppressAutoHyphens w:val="0"/>
        <w:overflowPunct/>
        <w:autoSpaceDE/>
        <w:autoSpaceDN/>
        <w:adjustRightInd/>
        <w:textAlignment w:val="auto"/>
      </w:pPr>
      <w:r w:rsidRPr="00BD76AF">
        <w:t xml:space="preserve">Si l’Entrepreneur manque à achever les Installations dans le Délai d’achèvement et toute extension </w:t>
      </w:r>
      <w:r w:rsidRPr="00BD76AF">
        <w:rPr>
          <w:rFonts w:hint="eastAsia"/>
        </w:rPr>
        <w:t>a</w:t>
      </w:r>
      <w:r w:rsidRPr="00BD76AF">
        <w:t>ccordée en vertu du Marché, la révision des prix sera par la suite faite en utilisant soit (i) chaque indice ou prix applicable quarante-neuf (49) jours avant l’expiration du Délai d’achèvement et de l’extension, ou (ii) l’indice ou le prix actualisé, selon ce qui est le plus favorable pour le Maître d’ouvrage.</w:t>
      </w:r>
    </w:p>
    <w:p w14:paraId="4D434FC5" w14:textId="77777777" w:rsidR="00F332DA" w:rsidRPr="00BD76AF" w:rsidRDefault="00F332DA" w:rsidP="0079334B">
      <w:pPr>
        <w:widowControl w:val="0"/>
        <w:suppressAutoHyphens w:val="0"/>
        <w:overflowPunct/>
        <w:autoSpaceDE/>
        <w:autoSpaceDN/>
        <w:adjustRightInd/>
        <w:textAlignment w:val="auto"/>
      </w:pPr>
    </w:p>
    <w:p w14:paraId="2A581854" w14:textId="77777777" w:rsidR="00F332DA" w:rsidRPr="00BD76AF" w:rsidRDefault="00F332DA" w:rsidP="0079334B">
      <w:pPr>
        <w:widowControl w:val="0"/>
        <w:suppressAutoHyphens w:val="0"/>
        <w:overflowPunct/>
        <w:autoSpaceDE/>
        <w:autoSpaceDN/>
        <w:adjustRightInd/>
        <w:textAlignment w:val="auto"/>
      </w:pPr>
      <w:r w:rsidRPr="00BD76AF">
        <w:t>Les pondérations (coefficients) pour chacun des facteurs de coût mentionnés dans le(s) tableau(x) des données de révision des prix ne doivent être ajustées que si elles ont été rendues déraisonnables, déséquilibrées ou inapplicables, à la suite de modifications en vertu de l’Article 39 des CG.</w:t>
      </w:r>
    </w:p>
    <w:p w14:paraId="10AA073D" w14:textId="77777777" w:rsidR="00F332DA" w:rsidRPr="00BD76AF" w:rsidRDefault="00F332DA" w:rsidP="0079334B">
      <w:pPr>
        <w:widowControl w:val="0"/>
        <w:suppressAutoHyphens w:val="0"/>
        <w:overflowPunct/>
        <w:autoSpaceDE/>
        <w:autoSpaceDN/>
        <w:adjustRightInd/>
        <w:textAlignment w:val="auto"/>
      </w:pPr>
    </w:p>
    <w:p w14:paraId="65E475E4" w14:textId="77777777" w:rsidR="00F332DA" w:rsidRPr="00BD76AF" w:rsidRDefault="00F332DA" w:rsidP="0079334B">
      <w:pPr>
        <w:adjustRightInd/>
        <w:spacing w:beforeLines="50" w:before="120" w:afterLines="50" w:after="120"/>
        <w:jc w:val="left"/>
        <w:textAlignment w:val="auto"/>
        <w:rPr>
          <w:szCs w:val="24"/>
        </w:rPr>
      </w:pPr>
      <w:r w:rsidRPr="00BD76AF">
        <w:rPr>
          <w:rFonts w:eastAsia="Arial Unicode MS"/>
          <w:szCs w:val="24"/>
          <w:lang w:eastAsia="en-US"/>
        </w:rPr>
        <w:t>(I) Tableau A : Monnaie nationale</w:t>
      </w:r>
    </w:p>
    <w:p w14:paraId="088B97A7" w14:textId="77777777" w:rsidR="00F332DA" w:rsidRPr="00BD76AF" w:rsidRDefault="00F332DA" w:rsidP="0092202D">
      <w:pPr>
        <w:spacing w:afterLines="50" w:after="120"/>
        <w:rPr>
          <w:szCs w:val="24"/>
        </w:rPr>
      </w:pPr>
      <w:r w:rsidRPr="00BD76AF">
        <w:rPr>
          <w:szCs w:val="24"/>
        </w:rPr>
        <w:t>[</w:t>
      </w:r>
      <w:r w:rsidRPr="00BD76AF">
        <w:rPr>
          <w:i/>
          <w:szCs w:val="24"/>
        </w:rPr>
        <w:t xml:space="preserve">Le Maître d’ouvrage doit insérer </w:t>
      </w:r>
      <w:r w:rsidRPr="00BD76AF">
        <w:rPr>
          <w:i/>
        </w:rPr>
        <w:t>ci-dessous</w:t>
      </w:r>
      <w:r w:rsidRPr="00BD76AF">
        <w:rPr>
          <w:i/>
          <w:szCs w:val="24"/>
        </w:rPr>
        <w:t xml:space="preserve"> le « Tableau A : Monnaie nationale » complété du Bordereau « Données de révision des prix », avant la signature du Marché une fois le Tableau ci-dessous complété.</w:t>
      </w:r>
      <w:r w:rsidRPr="00BD76AF">
        <w:rPr>
          <w:szCs w:val="24"/>
        </w:rPr>
        <w:t>]</w:t>
      </w:r>
    </w:p>
    <w:tbl>
      <w:tblPr>
        <w:tblW w:w="9261" w:type="dxa"/>
        <w:tblInd w:w="72" w:type="dxa"/>
        <w:tblLayout w:type="fixed"/>
        <w:tblCellMar>
          <w:left w:w="72" w:type="dxa"/>
          <w:right w:w="72" w:type="dxa"/>
        </w:tblCellMar>
        <w:tblLook w:val="0000" w:firstRow="0" w:lastRow="0" w:firstColumn="0" w:lastColumn="0" w:noHBand="0" w:noVBand="0"/>
      </w:tblPr>
      <w:tblGrid>
        <w:gridCol w:w="1080"/>
        <w:gridCol w:w="1660"/>
        <w:gridCol w:w="1229"/>
        <w:gridCol w:w="851"/>
        <w:gridCol w:w="755"/>
        <w:gridCol w:w="1843"/>
        <w:gridCol w:w="1843"/>
      </w:tblGrid>
      <w:tr w:rsidR="00F332DA" w:rsidRPr="00BD76AF" w14:paraId="218A279F" w14:textId="77777777" w:rsidTr="0079334B">
        <w:trPr>
          <w:cantSplit/>
        </w:trPr>
        <w:tc>
          <w:tcPr>
            <w:tcW w:w="1080" w:type="dxa"/>
            <w:tcBorders>
              <w:top w:val="single" w:sz="18" w:space="0" w:color="auto"/>
              <w:left w:val="single" w:sz="18" w:space="0" w:color="auto"/>
              <w:bottom w:val="single" w:sz="18" w:space="0" w:color="auto"/>
              <w:right w:val="single" w:sz="18" w:space="0" w:color="auto"/>
            </w:tcBorders>
          </w:tcPr>
          <w:p w14:paraId="6E45A3C1" w14:textId="77777777" w:rsidR="00F332DA" w:rsidRPr="00BD76AF" w:rsidRDefault="00F332DA" w:rsidP="0079334B">
            <w:pPr>
              <w:overflowPunct/>
              <w:autoSpaceDE/>
              <w:autoSpaceDN/>
              <w:adjustRightInd/>
              <w:spacing w:before="60" w:after="60"/>
              <w:jc w:val="center"/>
              <w:textAlignment w:val="auto"/>
              <w:rPr>
                <w:bCs/>
                <w:iCs/>
                <w:lang w:val="en-GB" w:eastAsia="ja-JP"/>
              </w:rPr>
            </w:pPr>
            <w:r w:rsidRPr="00BD76AF">
              <w:t>(i)</w:t>
            </w:r>
          </w:p>
        </w:tc>
        <w:tc>
          <w:tcPr>
            <w:tcW w:w="1660" w:type="dxa"/>
            <w:tcBorders>
              <w:top w:val="single" w:sz="18" w:space="0" w:color="auto"/>
              <w:left w:val="single" w:sz="18" w:space="0" w:color="auto"/>
              <w:bottom w:val="single" w:sz="18" w:space="0" w:color="auto"/>
              <w:right w:val="single" w:sz="18" w:space="0" w:color="auto"/>
            </w:tcBorders>
          </w:tcPr>
          <w:p w14:paraId="00A804E6" w14:textId="77777777" w:rsidR="00F332DA" w:rsidRPr="00BD76AF" w:rsidRDefault="00F332DA" w:rsidP="0079334B">
            <w:pPr>
              <w:overflowPunct/>
              <w:autoSpaceDE/>
              <w:autoSpaceDN/>
              <w:adjustRightInd/>
              <w:spacing w:before="60" w:after="60"/>
              <w:jc w:val="center"/>
              <w:textAlignment w:val="auto"/>
              <w:rPr>
                <w:bCs/>
                <w:iCs/>
                <w:lang w:val="en-GB" w:eastAsia="ja-JP"/>
              </w:rPr>
            </w:pPr>
            <w:r w:rsidRPr="00BD76AF">
              <w:t>(ii)</w:t>
            </w:r>
          </w:p>
        </w:tc>
        <w:tc>
          <w:tcPr>
            <w:tcW w:w="1229" w:type="dxa"/>
            <w:tcBorders>
              <w:top w:val="single" w:sz="18" w:space="0" w:color="auto"/>
              <w:left w:val="single" w:sz="18" w:space="0" w:color="auto"/>
              <w:bottom w:val="single" w:sz="18" w:space="0" w:color="auto"/>
              <w:right w:val="single" w:sz="18" w:space="0" w:color="auto"/>
            </w:tcBorders>
          </w:tcPr>
          <w:p w14:paraId="48D0A0AE" w14:textId="77777777" w:rsidR="00F332DA" w:rsidRPr="00BD76AF" w:rsidRDefault="00F332DA" w:rsidP="0079334B">
            <w:pPr>
              <w:overflowPunct/>
              <w:autoSpaceDE/>
              <w:autoSpaceDN/>
              <w:adjustRightInd/>
              <w:spacing w:before="60" w:after="60"/>
              <w:jc w:val="center"/>
              <w:textAlignment w:val="auto"/>
              <w:rPr>
                <w:bCs/>
                <w:iCs/>
                <w:lang w:val="en-GB" w:eastAsia="ja-JP"/>
              </w:rPr>
            </w:pPr>
            <w:r w:rsidRPr="00BD76AF">
              <w:t>(iii)</w:t>
            </w:r>
          </w:p>
        </w:tc>
        <w:tc>
          <w:tcPr>
            <w:tcW w:w="1606" w:type="dxa"/>
            <w:gridSpan w:val="2"/>
            <w:tcBorders>
              <w:top w:val="single" w:sz="18" w:space="0" w:color="auto"/>
              <w:left w:val="single" w:sz="18" w:space="0" w:color="auto"/>
              <w:bottom w:val="single" w:sz="18" w:space="0" w:color="auto"/>
              <w:right w:val="single" w:sz="18" w:space="0" w:color="auto"/>
            </w:tcBorders>
          </w:tcPr>
          <w:p w14:paraId="06B104BD" w14:textId="77777777" w:rsidR="00F332DA" w:rsidRPr="00BD76AF" w:rsidRDefault="00F332DA" w:rsidP="0079334B">
            <w:pPr>
              <w:overflowPunct/>
              <w:autoSpaceDE/>
              <w:autoSpaceDN/>
              <w:adjustRightInd/>
              <w:spacing w:before="60" w:after="60"/>
              <w:jc w:val="center"/>
              <w:textAlignment w:val="auto"/>
              <w:rPr>
                <w:bCs/>
                <w:iCs/>
                <w:lang w:val="en-GB" w:eastAsia="ja-JP"/>
              </w:rPr>
            </w:pPr>
            <w:r w:rsidRPr="00BD76AF">
              <w:t>(iv)</w:t>
            </w:r>
          </w:p>
        </w:tc>
        <w:tc>
          <w:tcPr>
            <w:tcW w:w="1843" w:type="dxa"/>
            <w:tcBorders>
              <w:top w:val="single" w:sz="18" w:space="0" w:color="auto"/>
              <w:left w:val="single" w:sz="18" w:space="0" w:color="auto"/>
              <w:bottom w:val="single" w:sz="18" w:space="0" w:color="auto"/>
              <w:right w:val="single" w:sz="18" w:space="0" w:color="auto"/>
            </w:tcBorders>
          </w:tcPr>
          <w:p w14:paraId="500F7737" w14:textId="77777777" w:rsidR="00F332DA" w:rsidRPr="00BD76AF" w:rsidRDefault="00F332DA" w:rsidP="0079334B">
            <w:pPr>
              <w:overflowPunct/>
              <w:autoSpaceDE/>
              <w:autoSpaceDN/>
              <w:adjustRightInd/>
              <w:spacing w:before="60" w:after="60"/>
              <w:jc w:val="center"/>
              <w:textAlignment w:val="auto"/>
              <w:rPr>
                <w:bCs/>
                <w:iCs/>
                <w:lang w:val="en-GB" w:eastAsia="ja-JP"/>
              </w:rPr>
            </w:pPr>
            <w:r w:rsidRPr="00BD76AF">
              <w:t>(v)</w:t>
            </w:r>
          </w:p>
        </w:tc>
        <w:tc>
          <w:tcPr>
            <w:tcW w:w="1843" w:type="dxa"/>
            <w:tcBorders>
              <w:top w:val="single" w:sz="18" w:space="0" w:color="auto"/>
              <w:left w:val="single" w:sz="18" w:space="0" w:color="auto"/>
              <w:bottom w:val="single" w:sz="18" w:space="0" w:color="auto"/>
              <w:right w:val="single" w:sz="18" w:space="0" w:color="auto"/>
            </w:tcBorders>
          </w:tcPr>
          <w:p w14:paraId="7C5D476D" w14:textId="77777777" w:rsidR="00F332DA" w:rsidRPr="00BD76AF" w:rsidRDefault="00F332DA" w:rsidP="0079334B">
            <w:pPr>
              <w:overflowPunct/>
              <w:autoSpaceDE/>
              <w:autoSpaceDN/>
              <w:adjustRightInd/>
              <w:spacing w:before="60" w:after="60"/>
              <w:jc w:val="center"/>
              <w:textAlignment w:val="auto"/>
              <w:rPr>
                <w:bCs/>
                <w:iCs/>
                <w:lang w:val="en-GB" w:eastAsia="ja-JP"/>
              </w:rPr>
            </w:pPr>
            <w:r w:rsidRPr="00BD76AF">
              <w:t>(vi)</w:t>
            </w:r>
          </w:p>
        </w:tc>
      </w:tr>
      <w:tr w:rsidR="00F332DA" w:rsidRPr="00BD76AF" w14:paraId="0B06268B" w14:textId="77777777" w:rsidTr="0079334B">
        <w:trPr>
          <w:cantSplit/>
          <w:trHeight w:val="602"/>
        </w:trPr>
        <w:tc>
          <w:tcPr>
            <w:tcW w:w="1080" w:type="dxa"/>
            <w:vMerge w:val="restart"/>
            <w:tcBorders>
              <w:top w:val="single" w:sz="18" w:space="0" w:color="auto"/>
              <w:left w:val="single" w:sz="18" w:space="0" w:color="auto"/>
              <w:bottom w:val="single" w:sz="18" w:space="0" w:color="auto"/>
              <w:right w:val="single" w:sz="18" w:space="0" w:color="auto"/>
            </w:tcBorders>
          </w:tcPr>
          <w:p w14:paraId="4C1EBE86" w14:textId="77777777" w:rsidR="00F332DA" w:rsidRPr="00BD76AF" w:rsidRDefault="00F332DA" w:rsidP="0079334B">
            <w:pPr>
              <w:overflowPunct/>
              <w:autoSpaceDE/>
              <w:autoSpaceDN/>
              <w:adjustRightInd/>
              <w:jc w:val="center"/>
              <w:textAlignment w:val="auto"/>
              <w:rPr>
                <w:bCs/>
                <w:iCs/>
                <w:lang w:val="en-GB" w:eastAsia="en-US"/>
              </w:rPr>
            </w:pPr>
            <w:r w:rsidRPr="00BD76AF">
              <w:t xml:space="preserve">Code de l’indice </w:t>
            </w:r>
          </w:p>
        </w:tc>
        <w:tc>
          <w:tcPr>
            <w:tcW w:w="1660" w:type="dxa"/>
            <w:vMerge w:val="restart"/>
            <w:tcBorders>
              <w:top w:val="single" w:sz="18" w:space="0" w:color="auto"/>
              <w:left w:val="single" w:sz="18" w:space="0" w:color="auto"/>
              <w:bottom w:val="single" w:sz="18" w:space="0" w:color="auto"/>
              <w:right w:val="single" w:sz="18" w:space="0" w:color="auto"/>
            </w:tcBorders>
          </w:tcPr>
          <w:p w14:paraId="52800A9F" w14:textId="77777777" w:rsidR="00F332DA" w:rsidRPr="00BD76AF" w:rsidRDefault="00F332DA" w:rsidP="0079334B">
            <w:pPr>
              <w:overflowPunct/>
              <w:autoSpaceDE/>
              <w:autoSpaceDN/>
              <w:adjustRightInd/>
              <w:jc w:val="center"/>
              <w:textAlignment w:val="auto"/>
              <w:rPr>
                <w:bCs/>
                <w:iCs/>
                <w:lang w:val="en-GB" w:eastAsia="en-US"/>
              </w:rPr>
            </w:pPr>
            <w:r w:rsidRPr="00BD76AF">
              <w:t>Description de l’indice</w:t>
            </w:r>
          </w:p>
        </w:tc>
        <w:tc>
          <w:tcPr>
            <w:tcW w:w="1229" w:type="dxa"/>
            <w:vMerge w:val="restart"/>
            <w:tcBorders>
              <w:top w:val="single" w:sz="18" w:space="0" w:color="auto"/>
              <w:left w:val="single" w:sz="18" w:space="0" w:color="auto"/>
              <w:bottom w:val="single" w:sz="18" w:space="0" w:color="auto"/>
              <w:right w:val="single" w:sz="18" w:space="0" w:color="auto"/>
            </w:tcBorders>
          </w:tcPr>
          <w:p w14:paraId="15245DD7" w14:textId="77777777" w:rsidR="00F332DA" w:rsidRPr="00BD76AF" w:rsidRDefault="00F332DA" w:rsidP="0079334B">
            <w:pPr>
              <w:overflowPunct/>
              <w:autoSpaceDE/>
              <w:autoSpaceDN/>
              <w:adjustRightInd/>
              <w:jc w:val="center"/>
              <w:textAlignment w:val="auto"/>
              <w:rPr>
                <w:bCs/>
                <w:iCs/>
                <w:lang w:eastAsia="en-US"/>
              </w:rPr>
            </w:pPr>
            <w:r w:rsidRPr="00BD76AF">
              <w:t>Source de publication de l’indice</w:t>
            </w:r>
          </w:p>
        </w:tc>
        <w:tc>
          <w:tcPr>
            <w:tcW w:w="1606" w:type="dxa"/>
            <w:gridSpan w:val="2"/>
            <w:tcBorders>
              <w:top w:val="single" w:sz="18" w:space="0" w:color="auto"/>
              <w:left w:val="single" w:sz="18" w:space="0" w:color="auto"/>
              <w:bottom w:val="single" w:sz="2" w:space="0" w:color="auto"/>
              <w:right w:val="single" w:sz="18" w:space="0" w:color="auto"/>
            </w:tcBorders>
          </w:tcPr>
          <w:p w14:paraId="2F30C00C" w14:textId="77777777" w:rsidR="00F332DA" w:rsidRPr="00BD76AF" w:rsidRDefault="00F332DA" w:rsidP="0079334B">
            <w:pPr>
              <w:overflowPunct/>
              <w:autoSpaceDE/>
              <w:autoSpaceDN/>
              <w:adjustRightInd/>
              <w:jc w:val="center"/>
              <w:textAlignment w:val="auto"/>
              <w:rPr>
                <w:bCs/>
                <w:iCs/>
                <w:lang w:eastAsia="en-US"/>
              </w:rPr>
            </w:pPr>
            <w:r w:rsidRPr="00BD76AF">
              <w:rPr>
                <w:bCs/>
                <w:iCs/>
                <w:lang w:eastAsia="en-US"/>
              </w:rPr>
              <w:t>Indice des coûts de référence</w:t>
            </w:r>
          </w:p>
        </w:tc>
        <w:tc>
          <w:tcPr>
            <w:tcW w:w="1843" w:type="dxa"/>
            <w:vMerge w:val="restart"/>
            <w:tcBorders>
              <w:top w:val="single" w:sz="18" w:space="0" w:color="auto"/>
              <w:left w:val="single" w:sz="18" w:space="0" w:color="auto"/>
              <w:bottom w:val="single" w:sz="18" w:space="0" w:color="auto"/>
              <w:right w:val="single" w:sz="18" w:space="0" w:color="auto"/>
            </w:tcBorders>
          </w:tcPr>
          <w:p w14:paraId="7C445603" w14:textId="77777777" w:rsidR="00F332DA" w:rsidRPr="00BD76AF" w:rsidRDefault="00F332DA" w:rsidP="0079334B">
            <w:pPr>
              <w:overflowPunct/>
              <w:autoSpaceDE/>
              <w:autoSpaceDN/>
              <w:adjustRightInd/>
              <w:jc w:val="center"/>
              <w:textAlignment w:val="auto"/>
              <w:rPr>
                <w:vertAlign w:val="superscript"/>
              </w:rPr>
            </w:pPr>
            <w:r w:rsidRPr="00BD76AF">
              <w:t>Montant total</w:t>
            </w:r>
          </w:p>
          <w:p w14:paraId="64A4A022" w14:textId="77777777" w:rsidR="00F332DA" w:rsidRPr="00BD76AF" w:rsidRDefault="00F332DA" w:rsidP="0079334B">
            <w:pPr>
              <w:overflowPunct/>
              <w:autoSpaceDE/>
              <w:autoSpaceDN/>
              <w:adjustRightInd/>
              <w:jc w:val="center"/>
              <w:textAlignment w:val="auto"/>
              <w:rPr>
                <w:bCs/>
                <w:iCs/>
                <w:lang w:eastAsia="en-US"/>
              </w:rPr>
            </w:pPr>
            <w:r w:rsidRPr="00BD76AF">
              <w:rPr>
                <w:vertAlign w:val="superscript"/>
              </w:rPr>
              <w:t xml:space="preserve"> </w:t>
            </w:r>
            <w:r w:rsidRPr="00BD76AF">
              <w:t>(de chacun des indices)</w:t>
            </w:r>
          </w:p>
        </w:tc>
        <w:tc>
          <w:tcPr>
            <w:tcW w:w="1843" w:type="dxa"/>
            <w:vMerge w:val="restart"/>
            <w:tcBorders>
              <w:top w:val="single" w:sz="18" w:space="0" w:color="auto"/>
              <w:left w:val="single" w:sz="18" w:space="0" w:color="auto"/>
              <w:bottom w:val="single" w:sz="18" w:space="0" w:color="auto"/>
              <w:right w:val="single" w:sz="18" w:space="0" w:color="auto"/>
            </w:tcBorders>
          </w:tcPr>
          <w:p w14:paraId="1AA019B0" w14:textId="77777777" w:rsidR="00F332DA" w:rsidRPr="00BD76AF" w:rsidRDefault="00F332DA" w:rsidP="0079334B">
            <w:pPr>
              <w:overflowPunct/>
              <w:autoSpaceDE/>
              <w:autoSpaceDN/>
              <w:adjustRightInd/>
              <w:jc w:val="center"/>
              <w:textAlignment w:val="auto"/>
              <w:rPr>
                <w:bCs/>
                <w:iCs/>
                <w:vertAlign w:val="superscript"/>
                <w:lang w:eastAsia="en-US"/>
              </w:rPr>
            </w:pPr>
            <w:r w:rsidRPr="00BD76AF">
              <w:t>Pondération proposée par le Soumissionnaire</w:t>
            </w:r>
          </w:p>
        </w:tc>
      </w:tr>
      <w:tr w:rsidR="00F332DA" w:rsidRPr="00BD76AF" w14:paraId="176C0584" w14:textId="77777777" w:rsidTr="0079334B">
        <w:trPr>
          <w:cantSplit/>
        </w:trPr>
        <w:tc>
          <w:tcPr>
            <w:tcW w:w="1080" w:type="dxa"/>
            <w:vMerge/>
            <w:tcBorders>
              <w:left w:val="single" w:sz="18" w:space="0" w:color="auto"/>
              <w:bottom w:val="single" w:sz="18" w:space="0" w:color="auto"/>
              <w:right w:val="single" w:sz="18" w:space="0" w:color="auto"/>
            </w:tcBorders>
          </w:tcPr>
          <w:p w14:paraId="06015F6B" w14:textId="77777777" w:rsidR="00F332DA" w:rsidRPr="00BD76AF" w:rsidRDefault="00F332DA" w:rsidP="0079334B">
            <w:pPr>
              <w:overflowPunct/>
              <w:autoSpaceDE/>
              <w:autoSpaceDN/>
              <w:adjustRightInd/>
              <w:jc w:val="center"/>
              <w:textAlignment w:val="auto"/>
              <w:rPr>
                <w:b/>
                <w:bCs/>
                <w:iCs/>
                <w:lang w:eastAsia="en-US"/>
              </w:rPr>
            </w:pPr>
          </w:p>
        </w:tc>
        <w:tc>
          <w:tcPr>
            <w:tcW w:w="1660" w:type="dxa"/>
            <w:vMerge/>
            <w:tcBorders>
              <w:left w:val="single" w:sz="18" w:space="0" w:color="auto"/>
              <w:bottom w:val="single" w:sz="18" w:space="0" w:color="auto"/>
              <w:right w:val="single" w:sz="18" w:space="0" w:color="auto"/>
            </w:tcBorders>
          </w:tcPr>
          <w:p w14:paraId="7DB632D5" w14:textId="77777777" w:rsidR="00F332DA" w:rsidRPr="00BD76AF" w:rsidRDefault="00F332DA" w:rsidP="0079334B">
            <w:pPr>
              <w:overflowPunct/>
              <w:autoSpaceDE/>
              <w:autoSpaceDN/>
              <w:adjustRightInd/>
              <w:jc w:val="center"/>
              <w:textAlignment w:val="auto"/>
              <w:rPr>
                <w:b/>
                <w:bCs/>
                <w:iCs/>
                <w:lang w:eastAsia="en-US"/>
              </w:rPr>
            </w:pPr>
          </w:p>
        </w:tc>
        <w:tc>
          <w:tcPr>
            <w:tcW w:w="1229" w:type="dxa"/>
            <w:vMerge/>
            <w:tcBorders>
              <w:left w:val="single" w:sz="18" w:space="0" w:color="auto"/>
              <w:bottom w:val="single" w:sz="18" w:space="0" w:color="auto"/>
              <w:right w:val="single" w:sz="18" w:space="0" w:color="auto"/>
            </w:tcBorders>
          </w:tcPr>
          <w:p w14:paraId="51C9009A" w14:textId="77777777" w:rsidR="00F332DA" w:rsidRPr="00BD76AF" w:rsidRDefault="00F332DA" w:rsidP="0079334B">
            <w:pPr>
              <w:overflowPunct/>
              <w:autoSpaceDE/>
              <w:autoSpaceDN/>
              <w:adjustRightInd/>
              <w:jc w:val="center"/>
              <w:textAlignment w:val="auto"/>
              <w:rPr>
                <w:b/>
                <w:bCs/>
                <w:iCs/>
                <w:lang w:eastAsia="en-US"/>
              </w:rPr>
            </w:pPr>
          </w:p>
        </w:tc>
        <w:tc>
          <w:tcPr>
            <w:tcW w:w="851" w:type="dxa"/>
            <w:tcBorders>
              <w:top w:val="single" w:sz="2" w:space="0" w:color="auto"/>
              <w:left w:val="single" w:sz="18" w:space="0" w:color="auto"/>
              <w:bottom w:val="single" w:sz="18" w:space="0" w:color="auto"/>
              <w:right w:val="single" w:sz="2" w:space="0" w:color="auto"/>
            </w:tcBorders>
          </w:tcPr>
          <w:p w14:paraId="2728EB17" w14:textId="77777777" w:rsidR="00F332DA" w:rsidRPr="00BD76AF" w:rsidRDefault="00F332DA" w:rsidP="0079334B">
            <w:pPr>
              <w:overflowPunct/>
              <w:autoSpaceDE/>
              <w:autoSpaceDN/>
              <w:adjustRightInd/>
              <w:jc w:val="center"/>
              <w:textAlignment w:val="auto"/>
              <w:rPr>
                <w:bCs/>
                <w:iCs/>
                <w:sz w:val="20"/>
                <w:lang w:val="en-GB" w:eastAsia="en-US"/>
              </w:rPr>
            </w:pPr>
            <w:r w:rsidRPr="00BD76AF">
              <w:rPr>
                <w:bCs/>
                <w:iCs/>
                <w:sz w:val="20"/>
                <w:lang w:val="en-GB" w:eastAsia="en-US"/>
              </w:rPr>
              <w:t>Valeur</w:t>
            </w:r>
          </w:p>
        </w:tc>
        <w:tc>
          <w:tcPr>
            <w:tcW w:w="755" w:type="dxa"/>
            <w:tcBorders>
              <w:top w:val="single" w:sz="2" w:space="0" w:color="auto"/>
              <w:left w:val="single" w:sz="2" w:space="0" w:color="auto"/>
              <w:bottom w:val="single" w:sz="18" w:space="0" w:color="auto"/>
              <w:right w:val="single" w:sz="18" w:space="0" w:color="auto"/>
            </w:tcBorders>
          </w:tcPr>
          <w:p w14:paraId="67CF8E58" w14:textId="77777777" w:rsidR="00F332DA" w:rsidRPr="00BD76AF" w:rsidRDefault="00F332DA" w:rsidP="0079334B">
            <w:pPr>
              <w:overflowPunct/>
              <w:autoSpaceDE/>
              <w:autoSpaceDN/>
              <w:adjustRightInd/>
              <w:jc w:val="center"/>
              <w:textAlignment w:val="auto"/>
              <w:rPr>
                <w:bCs/>
                <w:iCs/>
                <w:sz w:val="20"/>
                <w:lang w:val="en-GB" w:eastAsia="en-US"/>
              </w:rPr>
            </w:pPr>
            <w:r w:rsidRPr="00BD76AF">
              <w:rPr>
                <w:bCs/>
                <w:iCs/>
                <w:sz w:val="20"/>
                <w:lang w:val="en-GB" w:eastAsia="en-US"/>
              </w:rPr>
              <w:t>Date</w:t>
            </w:r>
          </w:p>
        </w:tc>
        <w:tc>
          <w:tcPr>
            <w:tcW w:w="1843" w:type="dxa"/>
            <w:vMerge/>
            <w:tcBorders>
              <w:left w:val="single" w:sz="18" w:space="0" w:color="auto"/>
              <w:bottom w:val="single" w:sz="18" w:space="0" w:color="auto"/>
              <w:right w:val="single" w:sz="18" w:space="0" w:color="auto"/>
            </w:tcBorders>
          </w:tcPr>
          <w:p w14:paraId="2094C0A1" w14:textId="77777777" w:rsidR="00F332DA" w:rsidRPr="00BD76AF" w:rsidRDefault="00F332DA" w:rsidP="0079334B">
            <w:pPr>
              <w:overflowPunct/>
              <w:autoSpaceDE/>
              <w:autoSpaceDN/>
              <w:adjustRightInd/>
              <w:jc w:val="center"/>
              <w:textAlignment w:val="auto"/>
              <w:rPr>
                <w:b/>
                <w:bCs/>
                <w:iCs/>
                <w:lang w:val="en-GB" w:eastAsia="en-US"/>
              </w:rPr>
            </w:pPr>
          </w:p>
        </w:tc>
        <w:tc>
          <w:tcPr>
            <w:tcW w:w="1843" w:type="dxa"/>
            <w:vMerge/>
            <w:tcBorders>
              <w:left w:val="single" w:sz="18" w:space="0" w:color="auto"/>
              <w:bottom w:val="single" w:sz="18" w:space="0" w:color="auto"/>
              <w:right w:val="single" w:sz="18" w:space="0" w:color="auto"/>
            </w:tcBorders>
          </w:tcPr>
          <w:p w14:paraId="05AEA13B" w14:textId="77777777" w:rsidR="00F332DA" w:rsidRPr="00BD76AF" w:rsidRDefault="00F332DA" w:rsidP="0079334B">
            <w:pPr>
              <w:tabs>
                <w:tab w:val="left" w:pos="1055"/>
              </w:tabs>
              <w:overflowPunct/>
              <w:autoSpaceDE/>
              <w:autoSpaceDN/>
              <w:adjustRightInd/>
              <w:spacing w:before="60" w:after="60"/>
              <w:textAlignment w:val="auto"/>
              <w:rPr>
                <w:lang w:val="en-GB" w:eastAsia="en-US"/>
              </w:rPr>
            </w:pPr>
          </w:p>
        </w:tc>
      </w:tr>
      <w:tr w:rsidR="00F332DA" w:rsidRPr="00BD76AF" w14:paraId="3B0C9C6E" w14:textId="77777777" w:rsidTr="0079334B">
        <w:trPr>
          <w:cantSplit/>
        </w:trPr>
        <w:tc>
          <w:tcPr>
            <w:tcW w:w="1080" w:type="dxa"/>
            <w:tcBorders>
              <w:top w:val="single" w:sz="18" w:space="0" w:color="auto"/>
              <w:left w:val="single" w:sz="2" w:space="0" w:color="auto"/>
              <w:bottom w:val="single" w:sz="4" w:space="0" w:color="auto"/>
              <w:right w:val="single" w:sz="2" w:space="0" w:color="auto"/>
            </w:tcBorders>
          </w:tcPr>
          <w:p w14:paraId="261C4B75" w14:textId="77777777" w:rsidR="00F332DA" w:rsidRPr="00BD76AF" w:rsidRDefault="00F332DA" w:rsidP="0079334B">
            <w:pPr>
              <w:overflowPunct/>
              <w:autoSpaceDE/>
              <w:autoSpaceDN/>
              <w:adjustRightInd/>
              <w:jc w:val="center"/>
              <w:textAlignment w:val="auto"/>
              <w:rPr>
                <w:b/>
                <w:bCs/>
                <w:iCs/>
                <w:lang w:val="en-GB" w:eastAsia="en-US"/>
              </w:rPr>
            </w:pPr>
          </w:p>
        </w:tc>
        <w:tc>
          <w:tcPr>
            <w:tcW w:w="1660" w:type="dxa"/>
            <w:tcBorders>
              <w:top w:val="single" w:sz="18" w:space="0" w:color="auto"/>
              <w:left w:val="single" w:sz="2" w:space="0" w:color="auto"/>
              <w:bottom w:val="single" w:sz="4" w:space="0" w:color="auto"/>
              <w:right w:val="single" w:sz="2" w:space="0" w:color="auto"/>
            </w:tcBorders>
            <w:vAlign w:val="center"/>
          </w:tcPr>
          <w:p w14:paraId="26878B51" w14:textId="77777777" w:rsidR="00F332DA" w:rsidRPr="00BD76AF" w:rsidRDefault="00F332DA" w:rsidP="0079334B">
            <w:pPr>
              <w:overflowPunct/>
              <w:autoSpaceDE/>
              <w:autoSpaceDN/>
              <w:adjustRightInd/>
              <w:jc w:val="left"/>
              <w:textAlignment w:val="auto"/>
              <w:rPr>
                <w:b/>
                <w:bCs/>
                <w:iCs/>
                <w:szCs w:val="24"/>
                <w:lang w:val="en-GB" w:eastAsia="en-US"/>
              </w:rPr>
            </w:pPr>
            <w:r w:rsidRPr="00BD76AF">
              <w:rPr>
                <w:szCs w:val="24"/>
                <w:lang w:val="en-GB" w:eastAsia="en-US"/>
              </w:rPr>
              <w:t>Non ajustable</w:t>
            </w:r>
          </w:p>
        </w:tc>
        <w:tc>
          <w:tcPr>
            <w:tcW w:w="1229" w:type="dxa"/>
            <w:tcBorders>
              <w:top w:val="single" w:sz="18" w:space="0" w:color="auto"/>
              <w:left w:val="single" w:sz="2" w:space="0" w:color="auto"/>
              <w:bottom w:val="single" w:sz="4" w:space="0" w:color="auto"/>
              <w:right w:val="single" w:sz="2" w:space="0" w:color="auto"/>
            </w:tcBorders>
          </w:tcPr>
          <w:p w14:paraId="38F864AA" w14:textId="77777777" w:rsidR="00F332DA" w:rsidRPr="00BD76AF" w:rsidRDefault="00F332DA" w:rsidP="0079334B">
            <w:pPr>
              <w:overflowPunct/>
              <w:autoSpaceDE/>
              <w:autoSpaceDN/>
              <w:adjustRightInd/>
              <w:jc w:val="center"/>
              <w:textAlignment w:val="auto"/>
              <w:rPr>
                <w:b/>
                <w:bCs/>
                <w:iCs/>
                <w:lang w:val="en-GB" w:eastAsia="ja-JP"/>
              </w:rPr>
            </w:pPr>
            <w:r w:rsidRPr="00BD76AF">
              <w:rPr>
                <w:rFonts w:hint="eastAsia"/>
                <w:b/>
                <w:bCs/>
                <w:iCs/>
                <w:lang w:val="en-GB" w:eastAsia="ja-JP"/>
              </w:rPr>
              <w:t>-</w:t>
            </w:r>
          </w:p>
        </w:tc>
        <w:tc>
          <w:tcPr>
            <w:tcW w:w="851" w:type="dxa"/>
            <w:tcBorders>
              <w:top w:val="single" w:sz="18" w:space="0" w:color="auto"/>
              <w:left w:val="single" w:sz="2" w:space="0" w:color="auto"/>
              <w:bottom w:val="single" w:sz="4" w:space="0" w:color="auto"/>
              <w:right w:val="single" w:sz="2" w:space="0" w:color="auto"/>
            </w:tcBorders>
          </w:tcPr>
          <w:p w14:paraId="2C3A971D" w14:textId="77777777" w:rsidR="00F332DA" w:rsidRPr="00BD76AF" w:rsidRDefault="00F332DA" w:rsidP="0079334B">
            <w:pPr>
              <w:overflowPunct/>
              <w:autoSpaceDE/>
              <w:autoSpaceDN/>
              <w:adjustRightInd/>
              <w:jc w:val="center"/>
              <w:textAlignment w:val="auto"/>
              <w:rPr>
                <w:b/>
                <w:bCs/>
                <w:iCs/>
                <w:lang w:val="en-GB" w:eastAsia="ja-JP"/>
              </w:rPr>
            </w:pPr>
            <w:r w:rsidRPr="00BD76AF">
              <w:rPr>
                <w:rFonts w:hint="eastAsia"/>
                <w:b/>
                <w:bCs/>
                <w:iCs/>
                <w:lang w:val="en-GB" w:eastAsia="ja-JP"/>
              </w:rPr>
              <w:t>-</w:t>
            </w:r>
          </w:p>
        </w:tc>
        <w:tc>
          <w:tcPr>
            <w:tcW w:w="755" w:type="dxa"/>
            <w:tcBorders>
              <w:top w:val="single" w:sz="18" w:space="0" w:color="auto"/>
              <w:left w:val="single" w:sz="2" w:space="0" w:color="auto"/>
              <w:bottom w:val="single" w:sz="4" w:space="0" w:color="auto"/>
              <w:right w:val="single" w:sz="2" w:space="0" w:color="auto"/>
            </w:tcBorders>
          </w:tcPr>
          <w:p w14:paraId="5EC406B4" w14:textId="77777777" w:rsidR="00F332DA" w:rsidRPr="00BD76AF" w:rsidRDefault="00F332DA" w:rsidP="0079334B">
            <w:pPr>
              <w:overflowPunct/>
              <w:autoSpaceDE/>
              <w:autoSpaceDN/>
              <w:adjustRightInd/>
              <w:jc w:val="center"/>
              <w:textAlignment w:val="auto"/>
              <w:rPr>
                <w:b/>
                <w:bCs/>
                <w:iCs/>
                <w:lang w:val="en-GB" w:eastAsia="ja-JP"/>
              </w:rPr>
            </w:pPr>
            <w:r w:rsidRPr="00BD76AF">
              <w:rPr>
                <w:rFonts w:hint="eastAsia"/>
                <w:b/>
                <w:bCs/>
                <w:iCs/>
                <w:lang w:val="en-GB" w:eastAsia="ja-JP"/>
              </w:rPr>
              <w:t>-</w:t>
            </w:r>
          </w:p>
        </w:tc>
        <w:tc>
          <w:tcPr>
            <w:tcW w:w="1843" w:type="dxa"/>
            <w:tcBorders>
              <w:top w:val="single" w:sz="18" w:space="0" w:color="auto"/>
              <w:left w:val="single" w:sz="2" w:space="0" w:color="auto"/>
              <w:bottom w:val="single" w:sz="4" w:space="0" w:color="auto"/>
              <w:right w:val="single" w:sz="2" w:space="0" w:color="auto"/>
            </w:tcBorders>
          </w:tcPr>
          <w:p w14:paraId="2142190F" w14:textId="77777777" w:rsidR="00F332DA" w:rsidRPr="00BD76AF" w:rsidRDefault="00F332DA" w:rsidP="0079334B">
            <w:pPr>
              <w:overflowPunct/>
              <w:autoSpaceDE/>
              <w:autoSpaceDN/>
              <w:adjustRightInd/>
              <w:jc w:val="center"/>
              <w:textAlignment w:val="auto"/>
              <w:rPr>
                <w:b/>
                <w:bCs/>
                <w:iCs/>
                <w:lang w:val="en-GB" w:eastAsia="ja-JP"/>
              </w:rPr>
            </w:pPr>
          </w:p>
        </w:tc>
        <w:tc>
          <w:tcPr>
            <w:tcW w:w="1843" w:type="dxa"/>
            <w:tcBorders>
              <w:top w:val="single" w:sz="18" w:space="0" w:color="auto"/>
              <w:left w:val="single" w:sz="6" w:space="0" w:color="auto"/>
              <w:bottom w:val="single" w:sz="4" w:space="0" w:color="auto"/>
              <w:right w:val="single" w:sz="6" w:space="0" w:color="auto"/>
            </w:tcBorders>
          </w:tcPr>
          <w:p w14:paraId="7FC81CFA" w14:textId="77777777" w:rsidR="00F332DA" w:rsidRPr="00BD76AF" w:rsidRDefault="00F332DA" w:rsidP="0079334B">
            <w:pPr>
              <w:tabs>
                <w:tab w:val="left" w:pos="1295"/>
              </w:tabs>
              <w:overflowPunct/>
              <w:autoSpaceDE/>
              <w:autoSpaceDN/>
              <w:adjustRightInd/>
              <w:spacing w:before="60" w:after="60"/>
              <w:textAlignment w:val="auto"/>
              <w:rPr>
                <w:lang w:val="en-GB" w:eastAsia="en-US"/>
              </w:rPr>
            </w:pPr>
            <w:r w:rsidRPr="00BD76AF">
              <w:t xml:space="preserve">a : </w:t>
            </w:r>
            <w:r w:rsidRPr="00BD76AF">
              <w:rPr>
                <w:u w:val="single"/>
              </w:rPr>
              <w:tab/>
            </w:r>
          </w:p>
        </w:tc>
      </w:tr>
      <w:tr w:rsidR="00F332DA" w:rsidRPr="00BD76AF" w14:paraId="1D8D8FBA" w14:textId="77777777" w:rsidTr="0079334B">
        <w:trPr>
          <w:cantSplit/>
        </w:trPr>
        <w:tc>
          <w:tcPr>
            <w:tcW w:w="1080" w:type="dxa"/>
            <w:tcBorders>
              <w:top w:val="single" w:sz="4" w:space="0" w:color="auto"/>
              <w:left w:val="single" w:sz="2" w:space="0" w:color="auto"/>
              <w:bottom w:val="single" w:sz="4" w:space="0" w:color="auto"/>
              <w:right w:val="single" w:sz="2" w:space="0" w:color="auto"/>
            </w:tcBorders>
          </w:tcPr>
          <w:p w14:paraId="6DD9FA4E" w14:textId="77777777" w:rsidR="00F332DA" w:rsidRPr="00BD76AF" w:rsidRDefault="00F332DA" w:rsidP="0079334B">
            <w:pPr>
              <w:overflowPunct/>
              <w:autoSpaceDE/>
              <w:autoSpaceDN/>
              <w:adjustRightInd/>
              <w:jc w:val="center"/>
              <w:textAlignment w:val="auto"/>
              <w:rPr>
                <w:b/>
                <w:bCs/>
                <w:iCs/>
                <w:lang w:val="en-GB" w:eastAsia="en-US"/>
              </w:rPr>
            </w:pPr>
          </w:p>
        </w:tc>
        <w:tc>
          <w:tcPr>
            <w:tcW w:w="1660" w:type="dxa"/>
            <w:tcBorders>
              <w:top w:val="single" w:sz="4" w:space="0" w:color="auto"/>
              <w:left w:val="single" w:sz="2" w:space="0" w:color="auto"/>
              <w:bottom w:val="single" w:sz="4" w:space="0" w:color="auto"/>
              <w:right w:val="single" w:sz="2" w:space="0" w:color="auto"/>
            </w:tcBorders>
          </w:tcPr>
          <w:p w14:paraId="5E647413" w14:textId="77777777" w:rsidR="00F332DA" w:rsidRPr="00BD76AF" w:rsidRDefault="00F332DA" w:rsidP="0079334B">
            <w:pPr>
              <w:overflowPunct/>
              <w:autoSpaceDE/>
              <w:autoSpaceDN/>
              <w:adjustRightInd/>
              <w:jc w:val="center"/>
              <w:textAlignment w:val="auto"/>
              <w:rPr>
                <w:b/>
                <w:bCs/>
                <w:iCs/>
                <w:lang w:val="en-GB" w:eastAsia="en-US"/>
              </w:rPr>
            </w:pPr>
          </w:p>
        </w:tc>
        <w:tc>
          <w:tcPr>
            <w:tcW w:w="1229" w:type="dxa"/>
            <w:tcBorders>
              <w:top w:val="single" w:sz="4" w:space="0" w:color="auto"/>
              <w:left w:val="single" w:sz="2" w:space="0" w:color="auto"/>
              <w:bottom w:val="single" w:sz="4" w:space="0" w:color="auto"/>
              <w:right w:val="single" w:sz="2" w:space="0" w:color="auto"/>
            </w:tcBorders>
          </w:tcPr>
          <w:p w14:paraId="4EC5F2EA" w14:textId="77777777" w:rsidR="00F332DA" w:rsidRPr="00BD76AF" w:rsidRDefault="00F332DA" w:rsidP="0079334B">
            <w:pPr>
              <w:overflowPunct/>
              <w:autoSpaceDE/>
              <w:autoSpaceDN/>
              <w:adjustRightInd/>
              <w:jc w:val="center"/>
              <w:textAlignment w:val="auto"/>
              <w:rPr>
                <w:b/>
                <w:bCs/>
                <w:iCs/>
                <w:lang w:val="en-GB" w:eastAsia="en-US"/>
              </w:rPr>
            </w:pPr>
          </w:p>
        </w:tc>
        <w:tc>
          <w:tcPr>
            <w:tcW w:w="851" w:type="dxa"/>
            <w:tcBorders>
              <w:top w:val="single" w:sz="4" w:space="0" w:color="auto"/>
              <w:left w:val="single" w:sz="2" w:space="0" w:color="auto"/>
              <w:bottom w:val="single" w:sz="4" w:space="0" w:color="auto"/>
              <w:right w:val="single" w:sz="2" w:space="0" w:color="auto"/>
            </w:tcBorders>
          </w:tcPr>
          <w:p w14:paraId="1B04D812" w14:textId="77777777" w:rsidR="00F332DA" w:rsidRPr="00BD76AF" w:rsidRDefault="00F332DA" w:rsidP="0079334B">
            <w:pPr>
              <w:overflowPunct/>
              <w:autoSpaceDE/>
              <w:autoSpaceDN/>
              <w:adjustRightInd/>
              <w:jc w:val="center"/>
              <w:textAlignment w:val="auto"/>
              <w:rPr>
                <w:b/>
                <w:bCs/>
                <w:iCs/>
                <w:lang w:val="en-GB" w:eastAsia="en-US"/>
              </w:rPr>
            </w:pPr>
          </w:p>
        </w:tc>
        <w:tc>
          <w:tcPr>
            <w:tcW w:w="755" w:type="dxa"/>
            <w:tcBorders>
              <w:top w:val="single" w:sz="4" w:space="0" w:color="auto"/>
              <w:left w:val="single" w:sz="2" w:space="0" w:color="auto"/>
              <w:bottom w:val="single" w:sz="4" w:space="0" w:color="auto"/>
              <w:right w:val="single" w:sz="2" w:space="0" w:color="auto"/>
            </w:tcBorders>
          </w:tcPr>
          <w:p w14:paraId="23E1F4F2" w14:textId="77777777" w:rsidR="00F332DA" w:rsidRPr="00BD76AF" w:rsidRDefault="00F332DA" w:rsidP="0079334B">
            <w:pPr>
              <w:overflowPunct/>
              <w:autoSpaceDE/>
              <w:autoSpaceDN/>
              <w:adjustRightInd/>
              <w:jc w:val="center"/>
              <w:textAlignment w:val="auto"/>
              <w:rPr>
                <w:b/>
                <w:bCs/>
                <w:iCs/>
                <w:lang w:val="en-GB" w:eastAsia="en-US"/>
              </w:rPr>
            </w:pPr>
          </w:p>
        </w:tc>
        <w:tc>
          <w:tcPr>
            <w:tcW w:w="1843" w:type="dxa"/>
            <w:tcBorders>
              <w:top w:val="single" w:sz="4" w:space="0" w:color="auto"/>
              <w:left w:val="single" w:sz="2" w:space="0" w:color="auto"/>
              <w:bottom w:val="single" w:sz="4" w:space="0" w:color="auto"/>
              <w:right w:val="single" w:sz="2" w:space="0" w:color="auto"/>
            </w:tcBorders>
          </w:tcPr>
          <w:p w14:paraId="2E7EA98D" w14:textId="77777777" w:rsidR="00F332DA" w:rsidRPr="00BD76AF" w:rsidRDefault="00F332DA" w:rsidP="0079334B">
            <w:pPr>
              <w:overflowPunct/>
              <w:autoSpaceDE/>
              <w:autoSpaceDN/>
              <w:adjustRightInd/>
              <w:jc w:val="center"/>
              <w:textAlignment w:val="auto"/>
              <w:rPr>
                <w:b/>
                <w:bCs/>
                <w:iCs/>
                <w:lang w:val="en-GB" w:eastAsia="en-US"/>
              </w:rPr>
            </w:pPr>
          </w:p>
        </w:tc>
        <w:tc>
          <w:tcPr>
            <w:tcW w:w="1843" w:type="dxa"/>
            <w:tcBorders>
              <w:top w:val="single" w:sz="4" w:space="0" w:color="auto"/>
              <w:left w:val="single" w:sz="6" w:space="0" w:color="auto"/>
              <w:bottom w:val="single" w:sz="4" w:space="0" w:color="auto"/>
              <w:right w:val="single" w:sz="6" w:space="0" w:color="auto"/>
            </w:tcBorders>
          </w:tcPr>
          <w:p w14:paraId="4C3B648F" w14:textId="77777777" w:rsidR="00F332DA" w:rsidRPr="00BD76AF" w:rsidRDefault="00F332DA" w:rsidP="0079334B">
            <w:pPr>
              <w:tabs>
                <w:tab w:val="left" w:pos="1295"/>
              </w:tabs>
              <w:overflowPunct/>
              <w:autoSpaceDE/>
              <w:autoSpaceDN/>
              <w:adjustRightInd/>
              <w:spacing w:before="60" w:after="60"/>
              <w:textAlignment w:val="auto"/>
              <w:rPr>
                <w:lang w:val="en-GB" w:eastAsia="en-US"/>
              </w:rPr>
            </w:pPr>
            <w:r w:rsidRPr="00BD76AF">
              <w:t xml:space="preserve">b : </w:t>
            </w:r>
            <w:r w:rsidRPr="00BD76AF">
              <w:rPr>
                <w:u w:val="single"/>
              </w:rPr>
              <w:tab/>
            </w:r>
          </w:p>
        </w:tc>
      </w:tr>
      <w:tr w:rsidR="00F332DA" w:rsidRPr="00BD76AF" w14:paraId="4C59A903" w14:textId="77777777" w:rsidTr="0079334B">
        <w:trPr>
          <w:cantSplit/>
        </w:trPr>
        <w:tc>
          <w:tcPr>
            <w:tcW w:w="1080" w:type="dxa"/>
            <w:tcBorders>
              <w:top w:val="single" w:sz="4" w:space="0" w:color="auto"/>
              <w:left w:val="single" w:sz="2" w:space="0" w:color="auto"/>
              <w:bottom w:val="single" w:sz="4" w:space="0" w:color="auto"/>
              <w:right w:val="single" w:sz="2" w:space="0" w:color="auto"/>
            </w:tcBorders>
          </w:tcPr>
          <w:p w14:paraId="5ACF9AE0" w14:textId="77777777" w:rsidR="00F332DA" w:rsidRPr="00BD76AF" w:rsidRDefault="00F332DA" w:rsidP="0079334B">
            <w:pPr>
              <w:overflowPunct/>
              <w:autoSpaceDE/>
              <w:autoSpaceDN/>
              <w:adjustRightInd/>
              <w:jc w:val="center"/>
              <w:textAlignment w:val="auto"/>
              <w:rPr>
                <w:b/>
                <w:bCs/>
                <w:iCs/>
                <w:lang w:val="en-GB" w:eastAsia="en-US"/>
              </w:rPr>
            </w:pPr>
          </w:p>
        </w:tc>
        <w:tc>
          <w:tcPr>
            <w:tcW w:w="1660" w:type="dxa"/>
            <w:tcBorders>
              <w:top w:val="single" w:sz="4" w:space="0" w:color="auto"/>
              <w:left w:val="single" w:sz="2" w:space="0" w:color="auto"/>
              <w:bottom w:val="single" w:sz="4" w:space="0" w:color="auto"/>
              <w:right w:val="single" w:sz="2" w:space="0" w:color="auto"/>
            </w:tcBorders>
          </w:tcPr>
          <w:p w14:paraId="69756814" w14:textId="77777777" w:rsidR="00F332DA" w:rsidRPr="00BD76AF" w:rsidRDefault="00F332DA" w:rsidP="0079334B">
            <w:pPr>
              <w:overflowPunct/>
              <w:autoSpaceDE/>
              <w:autoSpaceDN/>
              <w:adjustRightInd/>
              <w:jc w:val="center"/>
              <w:textAlignment w:val="auto"/>
              <w:rPr>
                <w:b/>
                <w:bCs/>
                <w:iCs/>
                <w:lang w:val="en-GB" w:eastAsia="en-US"/>
              </w:rPr>
            </w:pPr>
          </w:p>
        </w:tc>
        <w:tc>
          <w:tcPr>
            <w:tcW w:w="1229" w:type="dxa"/>
            <w:tcBorders>
              <w:top w:val="single" w:sz="4" w:space="0" w:color="auto"/>
              <w:left w:val="single" w:sz="2" w:space="0" w:color="auto"/>
              <w:bottom w:val="single" w:sz="4" w:space="0" w:color="auto"/>
              <w:right w:val="single" w:sz="2" w:space="0" w:color="auto"/>
            </w:tcBorders>
          </w:tcPr>
          <w:p w14:paraId="5826A5E6" w14:textId="77777777" w:rsidR="00F332DA" w:rsidRPr="00BD76AF" w:rsidRDefault="00F332DA" w:rsidP="0079334B">
            <w:pPr>
              <w:overflowPunct/>
              <w:autoSpaceDE/>
              <w:autoSpaceDN/>
              <w:adjustRightInd/>
              <w:jc w:val="center"/>
              <w:textAlignment w:val="auto"/>
              <w:rPr>
                <w:b/>
                <w:bCs/>
                <w:iCs/>
                <w:lang w:val="en-GB" w:eastAsia="en-US"/>
              </w:rPr>
            </w:pPr>
          </w:p>
        </w:tc>
        <w:tc>
          <w:tcPr>
            <w:tcW w:w="851" w:type="dxa"/>
            <w:tcBorders>
              <w:top w:val="single" w:sz="4" w:space="0" w:color="auto"/>
              <w:left w:val="single" w:sz="2" w:space="0" w:color="auto"/>
              <w:bottom w:val="single" w:sz="4" w:space="0" w:color="auto"/>
              <w:right w:val="single" w:sz="2" w:space="0" w:color="auto"/>
            </w:tcBorders>
          </w:tcPr>
          <w:p w14:paraId="5DB75234" w14:textId="77777777" w:rsidR="00F332DA" w:rsidRPr="00BD76AF" w:rsidRDefault="00F332DA" w:rsidP="0079334B">
            <w:pPr>
              <w:overflowPunct/>
              <w:autoSpaceDE/>
              <w:autoSpaceDN/>
              <w:adjustRightInd/>
              <w:jc w:val="center"/>
              <w:textAlignment w:val="auto"/>
              <w:rPr>
                <w:b/>
                <w:bCs/>
                <w:iCs/>
                <w:lang w:val="en-GB" w:eastAsia="en-US"/>
              </w:rPr>
            </w:pPr>
          </w:p>
        </w:tc>
        <w:tc>
          <w:tcPr>
            <w:tcW w:w="755" w:type="dxa"/>
            <w:tcBorders>
              <w:top w:val="single" w:sz="4" w:space="0" w:color="auto"/>
              <w:left w:val="single" w:sz="2" w:space="0" w:color="auto"/>
              <w:bottom w:val="single" w:sz="4" w:space="0" w:color="auto"/>
              <w:right w:val="single" w:sz="2" w:space="0" w:color="auto"/>
            </w:tcBorders>
          </w:tcPr>
          <w:p w14:paraId="5CD97313" w14:textId="77777777" w:rsidR="00F332DA" w:rsidRPr="00BD76AF" w:rsidRDefault="00F332DA" w:rsidP="0079334B">
            <w:pPr>
              <w:overflowPunct/>
              <w:autoSpaceDE/>
              <w:autoSpaceDN/>
              <w:adjustRightInd/>
              <w:jc w:val="center"/>
              <w:textAlignment w:val="auto"/>
              <w:rPr>
                <w:b/>
                <w:bCs/>
                <w:iCs/>
                <w:lang w:val="en-GB" w:eastAsia="en-US"/>
              </w:rPr>
            </w:pPr>
          </w:p>
        </w:tc>
        <w:tc>
          <w:tcPr>
            <w:tcW w:w="1843" w:type="dxa"/>
            <w:tcBorders>
              <w:top w:val="single" w:sz="4" w:space="0" w:color="auto"/>
              <w:left w:val="single" w:sz="2" w:space="0" w:color="auto"/>
              <w:bottom w:val="single" w:sz="4" w:space="0" w:color="auto"/>
              <w:right w:val="single" w:sz="2" w:space="0" w:color="auto"/>
            </w:tcBorders>
          </w:tcPr>
          <w:p w14:paraId="1D20861B" w14:textId="77777777" w:rsidR="00F332DA" w:rsidRPr="00BD76AF" w:rsidRDefault="00F332DA" w:rsidP="0079334B">
            <w:pPr>
              <w:overflowPunct/>
              <w:autoSpaceDE/>
              <w:autoSpaceDN/>
              <w:adjustRightInd/>
              <w:jc w:val="center"/>
              <w:textAlignment w:val="auto"/>
              <w:rPr>
                <w:b/>
                <w:bCs/>
                <w:iCs/>
                <w:lang w:val="en-GB" w:eastAsia="en-US"/>
              </w:rPr>
            </w:pPr>
          </w:p>
        </w:tc>
        <w:tc>
          <w:tcPr>
            <w:tcW w:w="1843" w:type="dxa"/>
            <w:tcBorders>
              <w:top w:val="single" w:sz="4" w:space="0" w:color="auto"/>
              <w:left w:val="single" w:sz="6" w:space="0" w:color="auto"/>
              <w:bottom w:val="single" w:sz="4" w:space="0" w:color="auto"/>
              <w:right w:val="single" w:sz="6" w:space="0" w:color="auto"/>
            </w:tcBorders>
          </w:tcPr>
          <w:p w14:paraId="03C58A5C" w14:textId="77777777" w:rsidR="00F332DA" w:rsidRPr="00BD76AF" w:rsidRDefault="00F332DA" w:rsidP="0079334B">
            <w:pPr>
              <w:tabs>
                <w:tab w:val="left" w:pos="1295"/>
              </w:tabs>
              <w:overflowPunct/>
              <w:autoSpaceDE/>
              <w:autoSpaceDN/>
              <w:adjustRightInd/>
              <w:spacing w:before="60" w:after="60"/>
              <w:textAlignment w:val="auto"/>
              <w:rPr>
                <w:lang w:val="en-GB" w:eastAsia="en-US"/>
              </w:rPr>
            </w:pPr>
            <w:r w:rsidRPr="00BD76AF">
              <w:t xml:space="preserve">c : </w:t>
            </w:r>
            <w:r w:rsidRPr="00BD76AF">
              <w:rPr>
                <w:u w:val="single"/>
              </w:rPr>
              <w:tab/>
            </w:r>
          </w:p>
        </w:tc>
      </w:tr>
      <w:tr w:rsidR="00F332DA" w:rsidRPr="00BD76AF" w14:paraId="016CF1C9" w14:textId="77777777" w:rsidTr="0079334B">
        <w:trPr>
          <w:cantSplit/>
        </w:trPr>
        <w:tc>
          <w:tcPr>
            <w:tcW w:w="1080" w:type="dxa"/>
            <w:tcBorders>
              <w:top w:val="single" w:sz="4" w:space="0" w:color="auto"/>
              <w:left w:val="single" w:sz="2" w:space="0" w:color="auto"/>
              <w:bottom w:val="single" w:sz="4" w:space="0" w:color="auto"/>
              <w:right w:val="single" w:sz="2" w:space="0" w:color="auto"/>
            </w:tcBorders>
          </w:tcPr>
          <w:p w14:paraId="26B5BDC5" w14:textId="77777777" w:rsidR="00F332DA" w:rsidRPr="00BD76AF" w:rsidRDefault="00F332DA" w:rsidP="0079334B">
            <w:pPr>
              <w:overflowPunct/>
              <w:autoSpaceDE/>
              <w:autoSpaceDN/>
              <w:adjustRightInd/>
              <w:jc w:val="center"/>
              <w:textAlignment w:val="auto"/>
              <w:rPr>
                <w:b/>
                <w:bCs/>
                <w:iCs/>
                <w:lang w:val="en-GB" w:eastAsia="en-US"/>
              </w:rPr>
            </w:pPr>
          </w:p>
        </w:tc>
        <w:tc>
          <w:tcPr>
            <w:tcW w:w="1660" w:type="dxa"/>
            <w:tcBorders>
              <w:top w:val="single" w:sz="4" w:space="0" w:color="auto"/>
              <w:left w:val="single" w:sz="2" w:space="0" w:color="auto"/>
              <w:bottom w:val="single" w:sz="4" w:space="0" w:color="auto"/>
              <w:right w:val="single" w:sz="2" w:space="0" w:color="auto"/>
            </w:tcBorders>
          </w:tcPr>
          <w:p w14:paraId="253DF4B4" w14:textId="77777777" w:rsidR="00F332DA" w:rsidRPr="00BD76AF" w:rsidRDefault="00F332DA" w:rsidP="0079334B">
            <w:pPr>
              <w:overflowPunct/>
              <w:autoSpaceDE/>
              <w:autoSpaceDN/>
              <w:adjustRightInd/>
              <w:jc w:val="center"/>
              <w:textAlignment w:val="auto"/>
              <w:rPr>
                <w:b/>
                <w:bCs/>
                <w:iCs/>
                <w:lang w:val="en-GB" w:eastAsia="en-US"/>
              </w:rPr>
            </w:pPr>
          </w:p>
        </w:tc>
        <w:tc>
          <w:tcPr>
            <w:tcW w:w="1229" w:type="dxa"/>
            <w:tcBorders>
              <w:top w:val="single" w:sz="4" w:space="0" w:color="auto"/>
              <w:left w:val="single" w:sz="2" w:space="0" w:color="auto"/>
              <w:bottom w:val="single" w:sz="4" w:space="0" w:color="auto"/>
              <w:right w:val="single" w:sz="2" w:space="0" w:color="auto"/>
            </w:tcBorders>
          </w:tcPr>
          <w:p w14:paraId="54E15177" w14:textId="77777777" w:rsidR="00F332DA" w:rsidRPr="00BD76AF" w:rsidRDefault="00F332DA" w:rsidP="0079334B">
            <w:pPr>
              <w:overflowPunct/>
              <w:autoSpaceDE/>
              <w:autoSpaceDN/>
              <w:adjustRightInd/>
              <w:jc w:val="center"/>
              <w:textAlignment w:val="auto"/>
              <w:rPr>
                <w:b/>
                <w:bCs/>
                <w:iCs/>
                <w:lang w:val="en-GB" w:eastAsia="en-US"/>
              </w:rPr>
            </w:pPr>
          </w:p>
        </w:tc>
        <w:tc>
          <w:tcPr>
            <w:tcW w:w="851" w:type="dxa"/>
            <w:tcBorders>
              <w:top w:val="single" w:sz="4" w:space="0" w:color="auto"/>
              <w:left w:val="single" w:sz="2" w:space="0" w:color="auto"/>
              <w:bottom w:val="single" w:sz="4" w:space="0" w:color="auto"/>
              <w:right w:val="single" w:sz="2" w:space="0" w:color="auto"/>
            </w:tcBorders>
          </w:tcPr>
          <w:p w14:paraId="62FF2549" w14:textId="77777777" w:rsidR="00F332DA" w:rsidRPr="00BD76AF" w:rsidRDefault="00F332DA" w:rsidP="0079334B">
            <w:pPr>
              <w:overflowPunct/>
              <w:autoSpaceDE/>
              <w:autoSpaceDN/>
              <w:adjustRightInd/>
              <w:jc w:val="center"/>
              <w:textAlignment w:val="auto"/>
              <w:rPr>
                <w:b/>
                <w:bCs/>
                <w:iCs/>
                <w:lang w:val="en-GB" w:eastAsia="en-US"/>
              </w:rPr>
            </w:pPr>
          </w:p>
        </w:tc>
        <w:tc>
          <w:tcPr>
            <w:tcW w:w="755" w:type="dxa"/>
            <w:tcBorders>
              <w:top w:val="single" w:sz="4" w:space="0" w:color="auto"/>
              <w:left w:val="single" w:sz="2" w:space="0" w:color="auto"/>
              <w:bottom w:val="single" w:sz="4" w:space="0" w:color="auto"/>
              <w:right w:val="single" w:sz="2" w:space="0" w:color="auto"/>
            </w:tcBorders>
          </w:tcPr>
          <w:p w14:paraId="7146404D" w14:textId="77777777" w:rsidR="00F332DA" w:rsidRPr="00BD76AF" w:rsidRDefault="00F332DA" w:rsidP="0079334B">
            <w:pPr>
              <w:overflowPunct/>
              <w:autoSpaceDE/>
              <w:autoSpaceDN/>
              <w:adjustRightInd/>
              <w:jc w:val="center"/>
              <w:textAlignment w:val="auto"/>
              <w:rPr>
                <w:b/>
                <w:bCs/>
                <w:iCs/>
                <w:lang w:val="en-GB" w:eastAsia="en-US"/>
              </w:rPr>
            </w:pPr>
          </w:p>
        </w:tc>
        <w:tc>
          <w:tcPr>
            <w:tcW w:w="1843" w:type="dxa"/>
            <w:tcBorders>
              <w:top w:val="single" w:sz="4" w:space="0" w:color="auto"/>
              <w:left w:val="single" w:sz="2" w:space="0" w:color="auto"/>
              <w:bottom w:val="single" w:sz="4" w:space="0" w:color="auto"/>
              <w:right w:val="single" w:sz="2" w:space="0" w:color="auto"/>
            </w:tcBorders>
          </w:tcPr>
          <w:p w14:paraId="2F1DC18F" w14:textId="77777777" w:rsidR="00F332DA" w:rsidRPr="00BD76AF" w:rsidRDefault="00F332DA" w:rsidP="0079334B">
            <w:pPr>
              <w:overflowPunct/>
              <w:autoSpaceDE/>
              <w:autoSpaceDN/>
              <w:adjustRightInd/>
              <w:jc w:val="center"/>
              <w:textAlignment w:val="auto"/>
              <w:rPr>
                <w:b/>
                <w:bCs/>
                <w:iCs/>
                <w:lang w:val="en-GB" w:eastAsia="en-US"/>
              </w:rPr>
            </w:pPr>
          </w:p>
        </w:tc>
        <w:tc>
          <w:tcPr>
            <w:tcW w:w="1843" w:type="dxa"/>
            <w:tcBorders>
              <w:top w:val="single" w:sz="4" w:space="0" w:color="auto"/>
              <w:left w:val="single" w:sz="6" w:space="0" w:color="auto"/>
              <w:bottom w:val="single" w:sz="4" w:space="0" w:color="auto"/>
              <w:right w:val="single" w:sz="6" w:space="0" w:color="auto"/>
            </w:tcBorders>
          </w:tcPr>
          <w:p w14:paraId="239760E5" w14:textId="77777777" w:rsidR="00F332DA" w:rsidRPr="00BD76AF" w:rsidRDefault="00F332DA" w:rsidP="0079334B">
            <w:pPr>
              <w:tabs>
                <w:tab w:val="left" w:pos="1295"/>
              </w:tabs>
              <w:overflowPunct/>
              <w:autoSpaceDE/>
              <w:autoSpaceDN/>
              <w:adjustRightInd/>
              <w:spacing w:before="60" w:after="60"/>
              <w:textAlignment w:val="auto"/>
              <w:rPr>
                <w:u w:val="single"/>
                <w:lang w:val="en-GB" w:eastAsia="en-US"/>
              </w:rPr>
            </w:pPr>
            <w:r w:rsidRPr="00BD76AF">
              <w:t xml:space="preserve">d : </w:t>
            </w:r>
            <w:r w:rsidRPr="00BD76AF">
              <w:rPr>
                <w:u w:val="single"/>
              </w:rPr>
              <w:tab/>
            </w:r>
          </w:p>
        </w:tc>
      </w:tr>
      <w:tr w:rsidR="00F332DA" w:rsidRPr="00BD76AF" w14:paraId="5588EF46" w14:textId="77777777" w:rsidTr="0079334B">
        <w:trPr>
          <w:cantSplit/>
        </w:trPr>
        <w:tc>
          <w:tcPr>
            <w:tcW w:w="1080" w:type="dxa"/>
            <w:tcBorders>
              <w:top w:val="single" w:sz="4" w:space="0" w:color="auto"/>
              <w:left w:val="single" w:sz="2" w:space="0" w:color="auto"/>
              <w:bottom w:val="single" w:sz="2" w:space="0" w:color="auto"/>
              <w:right w:val="single" w:sz="2" w:space="0" w:color="auto"/>
            </w:tcBorders>
          </w:tcPr>
          <w:p w14:paraId="4B844F29" w14:textId="77777777" w:rsidR="00F332DA" w:rsidRPr="00BD76AF" w:rsidRDefault="00F332DA" w:rsidP="0079334B">
            <w:pPr>
              <w:overflowPunct/>
              <w:autoSpaceDE/>
              <w:autoSpaceDN/>
              <w:adjustRightInd/>
              <w:jc w:val="center"/>
              <w:textAlignment w:val="auto"/>
              <w:rPr>
                <w:b/>
                <w:bCs/>
                <w:iCs/>
                <w:lang w:val="en-GB" w:eastAsia="en-US"/>
              </w:rPr>
            </w:pPr>
          </w:p>
        </w:tc>
        <w:tc>
          <w:tcPr>
            <w:tcW w:w="1660" w:type="dxa"/>
            <w:tcBorders>
              <w:top w:val="single" w:sz="4" w:space="0" w:color="auto"/>
              <w:left w:val="single" w:sz="2" w:space="0" w:color="auto"/>
              <w:bottom w:val="single" w:sz="2" w:space="0" w:color="auto"/>
              <w:right w:val="single" w:sz="2" w:space="0" w:color="auto"/>
            </w:tcBorders>
          </w:tcPr>
          <w:p w14:paraId="2DDDB901" w14:textId="77777777" w:rsidR="00F332DA" w:rsidRPr="00BD76AF" w:rsidRDefault="00F332DA" w:rsidP="0079334B">
            <w:pPr>
              <w:overflowPunct/>
              <w:autoSpaceDE/>
              <w:autoSpaceDN/>
              <w:adjustRightInd/>
              <w:jc w:val="center"/>
              <w:textAlignment w:val="auto"/>
              <w:rPr>
                <w:b/>
                <w:bCs/>
                <w:iCs/>
                <w:lang w:val="en-GB" w:eastAsia="en-US"/>
              </w:rPr>
            </w:pPr>
          </w:p>
        </w:tc>
        <w:tc>
          <w:tcPr>
            <w:tcW w:w="1229" w:type="dxa"/>
            <w:tcBorders>
              <w:top w:val="single" w:sz="4" w:space="0" w:color="auto"/>
              <w:left w:val="single" w:sz="2" w:space="0" w:color="auto"/>
              <w:bottom w:val="single" w:sz="8" w:space="0" w:color="auto"/>
              <w:right w:val="single" w:sz="2" w:space="0" w:color="auto"/>
            </w:tcBorders>
          </w:tcPr>
          <w:p w14:paraId="2E0F29E4" w14:textId="77777777" w:rsidR="00F332DA" w:rsidRPr="00BD76AF" w:rsidRDefault="00F332DA" w:rsidP="0079334B">
            <w:pPr>
              <w:overflowPunct/>
              <w:autoSpaceDE/>
              <w:autoSpaceDN/>
              <w:adjustRightInd/>
              <w:jc w:val="center"/>
              <w:textAlignment w:val="auto"/>
              <w:rPr>
                <w:b/>
                <w:bCs/>
                <w:iCs/>
                <w:lang w:val="en-GB" w:eastAsia="en-US"/>
              </w:rPr>
            </w:pPr>
          </w:p>
        </w:tc>
        <w:tc>
          <w:tcPr>
            <w:tcW w:w="851" w:type="dxa"/>
            <w:tcBorders>
              <w:top w:val="single" w:sz="4" w:space="0" w:color="auto"/>
              <w:left w:val="single" w:sz="2" w:space="0" w:color="auto"/>
              <w:bottom w:val="single" w:sz="8" w:space="0" w:color="auto"/>
              <w:right w:val="single" w:sz="2" w:space="0" w:color="auto"/>
            </w:tcBorders>
          </w:tcPr>
          <w:p w14:paraId="16C6D118" w14:textId="77777777" w:rsidR="00F332DA" w:rsidRPr="00BD76AF" w:rsidRDefault="00F332DA" w:rsidP="0079334B">
            <w:pPr>
              <w:overflowPunct/>
              <w:autoSpaceDE/>
              <w:autoSpaceDN/>
              <w:adjustRightInd/>
              <w:jc w:val="center"/>
              <w:textAlignment w:val="auto"/>
              <w:rPr>
                <w:b/>
                <w:bCs/>
                <w:iCs/>
                <w:lang w:val="en-GB" w:eastAsia="en-US"/>
              </w:rPr>
            </w:pPr>
          </w:p>
        </w:tc>
        <w:tc>
          <w:tcPr>
            <w:tcW w:w="755" w:type="dxa"/>
            <w:tcBorders>
              <w:top w:val="single" w:sz="4" w:space="0" w:color="auto"/>
              <w:left w:val="single" w:sz="2" w:space="0" w:color="auto"/>
              <w:bottom w:val="single" w:sz="8" w:space="0" w:color="auto"/>
              <w:right w:val="single" w:sz="2" w:space="0" w:color="auto"/>
            </w:tcBorders>
          </w:tcPr>
          <w:p w14:paraId="64504136" w14:textId="77777777" w:rsidR="00F332DA" w:rsidRPr="00BD76AF" w:rsidRDefault="00F332DA" w:rsidP="0079334B">
            <w:pPr>
              <w:overflowPunct/>
              <w:autoSpaceDE/>
              <w:autoSpaceDN/>
              <w:adjustRightInd/>
              <w:jc w:val="center"/>
              <w:textAlignment w:val="auto"/>
              <w:rPr>
                <w:b/>
                <w:bCs/>
                <w:iCs/>
                <w:lang w:val="en-GB" w:eastAsia="en-US"/>
              </w:rPr>
            </w:pPr>
          </w:p>
        </w:tc>
        <w:tc>
          <w:tcPr>
            <w:tcW w:w="1843" w:type="dxa"/>
            <w:tcBorders>
              <w:top w:val="single" w:sz="4" w:space="0" w:color="auto"/>
              <w:left w:val="single" w:sz="2" w:space="0" w:color="auto"/>
              <w:bottom w:val="single" w:sz="8" w:space="0" w:color="auto"/>
              <w:right w:val="single" w:sz="2" w:space="0" w:color="auto"/>
            </w:tcBorders>
          </w:tcPr>
          <w:p w14:paraId="75E296FF" w14:textId="77777777" w:rsidR="00F332DA" w:rsidRPr="00BD76AF" w:rsidRDefault="00F332DA" w:rsidP="0079334B">
            <w:pPr>
              <w:overflowPunct/>
              <w:autoSpaceDE/>
              <w:autoSpaceDN/>
              <w:adjustRightInd/>
              <w:jc w:val="center"/>
              <w:textAlignment w:val="auto"/>
              <w:rPr>
                <w:b/>
                <w:bCs/>
                <w:iCs/>
                <w:lang w:val="en-GB" w:eastAsia="en-US"/>
              </w:rPr>
            </w:pPr>
          </w:p>
        </w:tc>
        <w:tc>
          <w:tcPr>
            <w:tcW w:w="1843" w:type="dxa"/>
            <w:tcBorders>
              <w:top w:val="single" w:sz="4" w:space="0" w:color="auto"/>
              <w:left w:val="single" w:sz="6" w:space="0" w:color="auto"/>
              <w:bottom w:val="single" w:sz="18" w:space="0" w:color="auto"/>
              <w:right w:val="single" w:sz="6" w:space="0" w:color="auto"/>
            </w:tcBorders>
          </w:tcPr>
          <w:p w14:paraId="10C7A170" w14:textId="77777777" w:rsidR="00F332DA" w:rsidRPr="00BD76AF" w:rsidRDefault="00F332DA" w:rsidP="0079334B">
            <w:pPr>
              <w:tabs>
                <w:tab w:val="left" w:pos="1295"/>
              </w:tabs>
              <w:overflowPunct/>
              <w:autoSpaceDE/>
              <w:autoSpaceDN/>
              <w:adjustRightInd/>
              <w:spacing w:before="60" w:after="60"/>
              <w:textAlignment w:val="auto"/>
              <w:rPr>
                <w:b/>
                <w:bCs/>
                <w:iCs/>
                <w:lang w:val="en-GB" w:eastAsia="en-US"/>
              </w:rPr>
            </w:pPr>
            <w:r w:rsidRPr="00BD76AF">
              <w:t xml:space="preserve">e : </w:t>
            </w:r>
            <w:r w:rsidRPr="00BD76AF">
              <w:rPr>
                <w:u w:val="single"/>
              </w:rPr>
              <w:tab/>
            </w:r>
          </w:p>
        </w:tc>
      </w:tr>
      <w:tr w:rsidR="00F332DA" w:rsidRPr="00BD76AF" w14:paraId="1B201C20" w14:textId="77777777" w:rsidTr="0079334B">
        <w:trPr>
          <w:cantSplit/>
        </w:trPr>
        <w:tc>
          <w:tcPr>
            <w:tcW w:w="1080" w:type="dxa"/>
            <w:tcBorders>
              <w:top w:val="single" w:sz="2" w:space="0" w:color="auto"/>
            </w:tcBorders>
          </w:tcPr>
          <w:p w14:paraId="01502301" w14:textId="77777777" w:rsidR="00F332DA" w:rsidRPr="00BD76AF" w:rsidRDefault="00F332DA" w:rsidP="0079334B">
            <w:pPr>
              <w:overflowPunct/>
              <w:autoSpaceDE/>
              <w:autoSpaceDN/>
              <w:adjustRightInd/>
              <w:textAlignment w:val="auto"/>
              <w:rPr>
                <w:b/>
                <w:bCs/>
                <w:sz w:val="20"/>
                <w:lang w:val="en-GB" w:eastAsia="en-US"/>
              </w:rPr>
            </w:pPr>
          </w:p>
        </w:tc>
        <w:tc>
          <w:tcPr>
            <w:tcW w:w="1660" w:type="dxa"/>
            <w:tcBorders>
              <w:top w:val="single" w:sz="2" w:space="0" w:color="auto"/>
              <w:right w:val="single" w:sz="8" w:space="0" w:color="auto"/>
            </w:tcBorders>
          </w:tcPr>
          <w:p w14:paraId="7A5B9748" w14:textId="77777777" w:rsidR="00F332DA" w:rsidRPr="00BD76AF" w:rsidRDefault="00F332DA" w:rsidP="0079334B">
            <w:pPr>
              <w:overflowPunct/>
              <w:autoSpaceDE/>
              <w:autoSpaceDN/>
              <w:adjustRightInd/>
              <w:textAlignment w:val="auto"/>
              <w:rPr>
                <w:b/>
                <w:bCs/>
                <w:sz w:val="20"/>
                <w:lang w:val="en-GB" w:eastAsia="en-US"/>
              </w:rPr>
            </w:pPr>
          </w:p>
        </w:tc>
        <w:tc>
          <w:tcPr>
            <w:tcW w:w="2835" w:type="dxa"/>
            <w:gridSpan w:val="3"/>
            <w:tcBorders>
              <w:top w:val="single" w:sz="8" w:space="0" w:color="auto"/>
              <w:left w:val="single" w:sz="8" w:space="0" w:color="auto"/>
              <w:bottom w:val="single" w:sz="8" w:space="0" w:color="auto"/>
            </w:tcBorders>
          </w:tcPr>
          <w:p w14:paraId="26C78EA9" w14:textId="77777777" w:rsidR="00F332DA" w:rsidRPr="00BD76AF" w:rsidRDefault="00F332DA" w:rsidP="0079334B">
            <w:pPr>
              <w:overflowPunct/>
              <w:autoSpaceDE/>
              <w:autoSpaceDN/>
              <w:adjustRightInd/>
              <w:jc w:val="center"/>
              <w:textAlignment w:val="auto"/>
              <w:rPr>
                <w:b/>
                <w:bCs/>
                <w:sz w:val="22"/>
                <w:szCs w:val="22"/>
                <w:lang w:val="en-GB" w:eastAsia="en-US"/>
              </w:rPr>
            </w:pPr>
            <w:r w:rsidRPr="00BD76AF">
              <w:rPr>
                <w:b/>
                <w:bCs/>
                <w:sz w:val="22"/>
                <w:szCs w:val="22"/>
                <w:lang w:val="en-GB" w:eastAsia="en-US"/>
              </w:rPr>
              <w:t>Total</w:t>
            </w:r>
          </w:p>
        </w:tc>
        <w:tc>
          <w:tcPr>
            <w:tcW w:w="1843" w:type="dxa"/>
            <w:tcBorders>
              <w:top w:val="single" w:sz="8" w:space="0" w:color="auto"/>
              <w:bottom w:val="single" w:sz="8" w:space="0" w:color="auto"/>
              <w:right w:val="single" w:sz="18" w:space="0" w:color="auto"/>
            </w:tcBorders>
          </w:tcPr>
          <w:p w14:paraId="50B89ED1" w14:textId="77777777" w:rsidR="00F332DA" w:rsidRPr="00BD76AF" w:rsidRDefault="00F332DA" w:rsidP="0079334B">
            <w:pPr>
              <w:overflowPunct/>
              <w:autoSpaceDE/>
              <w:autoSpaceDN/>
              <w:adjustRightInd/>
              <w:textAlignment w:val="auto"/>
              <w:rPr>
                <w:b/>
                <w:bCs/>
                <w:sz w:val="22"/>
                <w:szCs w:val="22"/>
                <w:lang w:val="en-GB" w:eastAsia="en-US"/>
              </w:rPr>
            </w:pPr>
          </w:p>
        </w:tc>
        <w:tc>
          <w:tcPr>
            <w:tcW w:w="1843" w:type="dxa"/>
            <w:tcBorders>
              <w:top w:val="single" w:sz="18" w:space="0" w:color="auto"/>
              <w:left w:val="single" w:sz="18" w:space="0" w:color="auto"/>
              <w:bottom w:val="single" w:sz="18" w:space="0" w:color="auto"/>
              <w:right w:val="single" w:sz="18" w:space="0" w:color="auto"/>
            </w:tcBorders>
          </w:tcPr>
          <w:p w14:paraId="55B1A552" w14:textId="77777777" w:rsidR="00F332DA" w:rsidRPr="00BD76AF" w:rsidRDefault="00F332DA" w:rsidP="0079334B">
            <w:pPr>
              <w:tabs>
                <w:tab w:val="decimal" w:pos="695"/>
              </w:tabs>
              <w:overflowPunct/>
              <w:autoSpaceDE/>
              <w:autoSpaceDN/>
              <w:adjustRightInd/>
              <w:textAlignment w:val="auto"/>
              <w:rPr>
                <w:b/>
                <w:bCs/>
                <w:sz w:val="22"/>
                <w:szCs w:val="22"/>
                <w:lang w:val="en-GB" w:eastAsia="en-US"/>
              </w:rPr>
            </w:pPr>
            <w:r w:rsidRPr="00BD76AF">
              <w:rPr>
                <w:b/>
                <w:bCs/>
                <w:sz w:val="22"/>
                <w:szCs w:val="22"/>
                <w:lang w:val="en-GB" w:eastAsia="en-US"/>
              </w:rPr>
              <w:t>1,00</w:t>
            </w:r>
          </w:p>
        </w:tc>
      </w:tr>
    </w:tbl>
    <w:p w14:paraId="39E3A93A" w14:textId="77777777" w:rsidR="00F332DA" w:rsidRPr="00BD76AF" w:rsidRDefault="00F332DA" w:rsidP="0092202D">
      <w:pPr>
        <w:spacing w:afterLines="50" w:after="120"/>
        <w:rPr>
          <w:b/>
          <w:lang w:eastAsia="ja-JP"/>
        </w:rPr>
      </w:pPr>
    </w:p>
    <w:p w14:paraId="6DDFF959" w14:textId="77777777" w:rsidR="00F332DA" w:rsidRPr="00BD76AF" w:rsidRDefault="00F332DA" w:rsidP="0092202D">
      <w:pPr>
        <w:spacing w:afterLines="50" w:after="120"/>
        <w:rPr>
          <w:b/>
          <w:lang w:eastAsia="ja-JP"/>
        </w:rPr>
      </w:pPr>
    </w:p>
    <w:p w14:paraId="446DBF05" w14:textId="77777777" w:rsidR="00F332DA" w:rsidRPr="00BD76AF" w:rsidRDefault="00F332DA" w:rsidP="0092202D">
      <w:pPr>
        <w:spacing w:afterLines="50" w:after="120"/>
        <w:rPr>
          <w:b/>
          <w:lang w:eastAsia="ja-JP"/>
        </w:rPr>
      </w:pPr>
    </w:p>
    <w:p w14:paraId="41460E0A" w14:textId="77777777" w:rsidR="00F332DA" w:rsidRPr="00BD76AF" w:rsidRDefault="00F332DA" w:rsidP="0092202D">
      <w:pPr>
        <w:spacing w:afterLines="50" w:after="120"/>
        <w:rPr>
          <w:rFonts w:eastAsia="Arial Unicode MS"/>
          <w:szCs w:val="24"/>
          <w:lang w:eastAsia="en-US"/>
        </w:rPr>
      </w:pPr>
      <w:r w:rsidRPr="00BD76AF">
        <w:rPr>
          <w:rFonts w:eastAsia="Arial Unicode MS"/>
          <w:szCs w:val="24"/>
          <w:lang w:eastAsia="en-US"/>
        </w:rPr>
        <w:t>(II) Tableau B : Monnaie étrangère</w:t>
      </w:r>
    </w:p>
    <w:p w14:paraId="37956CB3" w14:textId="77777777" w:rsidR="00F332DA" w:rsidRPr="00BD76AF" w:rsidRDefault="00F332DA" w:rsidP="0079334B">
      <w:pPr>
        <w:spacing w:afterLines="50" w:after="120"/>
      </w:pPr>
      <w:r w:rsidRPr="00BD76AF">
        <w:t>[</w:t>
      </w:r>
      <w:r w:rsidRPr="00BD76AF">
        <w:rPr>
          <w:i/>
        </w:rPr>
        <w:t xml:space="preserve">Le Maître d’ouvrage doit insérer ci-dessous le « Tableau B : Monnaie étrangère » complété du Bordereau </w:t>
      </w:r>
      <w:r w:rsidRPr="00BD76AF">
        <w:rPr>
          <w:i/>
          <w:szCs w:val="24"/>
          <w:lang w:eastAsia="ja-JP"/>
        </w:rPr>
        <w:t>« D</w:t>
      </w:r>
      <w:r w:rsidRPr="00BD76AF">
        <w:rPr>
          <w:i/>
          <w:szCs w:val="24"/>
        </w:rPr>
        <w:t>onnées de révision des prix »</w:t>
      </w:r>
      <w:r w:rsidRPr="00BD76AF">
        <w:rPr>
          <w:i/>
        </w:rPr>
        <w:t>, avant la signature du Marché une fois le Tableau ci-dessous complété.</w:t>
      </w:r>
      <w:r w:rsidRPr="00BD76AF">
        <w:t>]</w:t>
      </w:r>
    </w:p>
    <w:p w14:paraId="7A77EB69" w14:textId="77777777" w:rsidR="00F332DA" w:rsidRPr="00BD76AF" w:rsidRDefault="00F332DA" w:rsidP="0092202D">
      <w:pPr>
        <w:spacing w:afterLines="50" w:after="120"/>
        <w:rPr>
          <w:b/>
          <w:lang w:eastAsia="ja-JP"/>
        </w:rPr>
      </w:pPr>
    </w:p>
    <w:p w14:paraId="658F19EC" w14:textId="77777777" w:rsidR="00F332DA" w:rsidRPr="00BD76AF" w:rsidRDefault="00F332DA" w:rsidP="0079334B">
      <w:pPr>
        <w:tabs>
          <w:tab w:val="left" w:pos="7200"/>
        </w:tabs>
        <w:overflowPunct/>
        <w:autoSpaceDE/>
        <w:autoSpaceDN/>
        <w:adjustRightInd/>
        <w:spacing w:after="120"/>
        <w:textAlignment w:val="auto"/>
        <w:rPr>
          <w:i/>
          <w:lang w:eastAsia="ja-JP"/>
        </w:rPr>
      </w:pPr>
      <w:r w:rsidRPr="00BD76AF">
        <w:rPr>
          <w:b/>
        </w:rPr>
        <w:t xml:space="preserve">Monnaie de paiement : _____ </w:t>
      </w:r>
    </w:p>
    <w:p w14:paraId="3DE25976" w14:textId="77777777" w:rsidR="00F332DA" w:rsidRPr="00BD76AF" w:rsidRDefault="00F332DA" w:rsidP="0079334B">
      <w:pPr>
        <w:tabs>
          <w:tab w:val="left" w:pos="2160"/>
          <w:tab w:val="left" w:pos="3600"/>
          <w:tab w:val="left" w:pos="9144"/>
        </w:tabs>
        <w:overflowPunct/>
        <w:autoSpaceDE/>
        <w:autoSpaceDN/>
        <w:adjustRightInd/>
        <w:ind w:right="-72"/>
        <w:textAlignment w:val="auto"/>
        <w:rPr>
          <w:lang w:eastAsia="ja-JP"/>
        </w:rPr>
      </w:pPr>
    </w:p>
    <w:tbl>
      <w:tblPr>
        <w:tblW w:w="9119" w:type="dxa"/>
        <w:tblInd w:w="72" w:type="dxa"/>
        <w:tblLayout w:type="fixed"/>
        <w:tblCellMar>
          <w:left w:w="72" w:type="dxa"/>
          <w:right w:w="72" w:type="dxa"/>
        </w:tblCellMar>
        <w:tblLook w:val="0000" w:firstRow="0" w:lastRow="0" w:firstColumn="0" w:lastColumn="0" w:noHBand="0" w:noVBand="0"/>
      </w:tblPr>
      <w:tblGrid>
        <w:gridCol w:w="898"/>
        <w:gridCol w:w="1275"/>
        <w:gridCol w:w="1218"/>
        <w:gridCol w:w="625"/>
        <w:gridCol w:w="567"/>
        <w:gridCol w:w="851"/>
        <w:gridCol w:w="708"/>
        <w:gridCol w:w="804"/>
        <w:gridCol w:w="756"/>
        <w:gridCol w:w="1417"/>
      </w:tblGrid>
      <w:tr w:rsidR="00F332DA" w:rsidRPr="00BD76AF" w14:paraId="147E5A1A" w14:textId="77777777" w:rsidTr="0079334B">
        <w:trPr>
          <w:tblHeader/>
        </w:trPr>
        <w:tc>
          <w:tcPr>
            <w:tcW w:w="898" w:type="dxa"/>
            <w:tcBorders>
              <w:top w:val="single" w:sz="18" w:space="0" w:color="auto"/>
              <w:left w:val="single" w:sz="18" w:space="0" w:color="auto"/>
              <w:bottom w:val="single" w:sz="18" w:space="0" w:color="auto"/>
              <w:right w:val="single" w:sz="18" w:space="0" w:color="auto"/>
            </w:tcBorders>
          </w:tcPr>
          <w:p w14:paraId="2F8EDED5" w14:textId="77777777" w:rsidR="00F332DA" w:rsidRPr="00BD76AF" w:rsidRDefault="00F332DA" w:rsidP="0079334B">
            <w:pPr>
              <w:overflowPunct/>
              <w:autoSpaceDE/>
              <w:autoSpaceDN/>
              <w:adjustRightInd/>
              <w:jc w:val="center"/>
              <w:textAlignment w:val="auto"/>
              <w:rPr>
                <w:bCs/>
                <w:iCs/>
                <w:szCs w:val="24"/>
                <w:lang w:val="en-GB" w:eastAsia="ja-JP"/>
              </w:rPr>
            </w:pPr>
            <w:r w:rsidRPr="00BD76AF">
              <w:t>(i)</w:t>
            </w:r>
          </w:p>
        </w:tc>
        <w:tc>
          <w:tcPr>
            <w:tcW w:w="1275" w:type="dxa"/>
            <w:tcBorders>
              <w:top w:val="single" w:sz="18" w:space="0" w:color="auto"/>
              <w:left w:val="single" w:sz="18" w:space="0" w:color="auto"/>
              <w:bottom w:val="single" w:sz="18" w:space="0" w:color="auto"/>
              <w:right w:val="single" w:sz="18" w:space="0" w:color="auto"/>
            </w:tcBorders>
          </w:tcPr>
          <w:p w14:paraId="1707587D" w14:textId="77777777" w:rsidR="00F332DA" w:rsidRPr="00BD76AF" w:rsidRDefault="00F332DA" w:rsidP="0079334B">
            <w:pPr>
              <w:overflowPunct/>
              <w:autoSpaceDE/>
              <w:autoSpaceDN/>
              <w:adjustRightInd/>
              <w:jc w:val="center"/>
              <w:textAlignment w:val="auto"/>
              <w:rPr>
                <w:bCs/>
                <w:iCs/>
                <w:szCs w:val="24"/>
                <w:lang w:val="en-GB" w:eastAsia="ja-JP"/>
              </w:rPr>
            </w:pPr>
            <w:r w:rsidRPr="00BD76AF">
              <w:t>(ii)</w:t>
            </w:r>
          </w:p>
        </w:tc>
        <w:tc>
          <w:tcPr>
            <w:tcW w:w="1218" w:type="dxa"/>
            <w:tcBorders>
              <w:top w:val="single" w:sz="18" w:space="0" w:color="auto"/>
              <w:left w:val="single" w:sz="18" w:space="0" w:color="auto"/>
              <w:bottom w:val="single" w:sz="18" w:space="0" w:color="auto"/>
              <w:right w:val="single" w:sz="18" w:space="0" w:color="auto"/>
            </w:tcBorders>
          </w:tcPr>
          <w:p w14:paraId="0FDA755A" w14:textId="77777777" w:rsidR="00F332DA" w:rsidRPr="00BD76AF" w:rsidRDefault="00F332DA" w:rsidP="0079334B">
            <w:pPr>
              <w:overflowPunct/>
              <w:autoSpaceDE/>
              <w:autoSpaceDN/>
              <w:adjustRightInd/>
              <w:jc w:val="center"/>
              <w:textAlignment w:val="auto"/>
              <w:rPr>
                <w:bCs/>
                <w:iCs/>
                <w:szCs w:val="24"/>
                <w:lang w:val="en-GB" w:eastAsia="ja-JP"/>
              </w:rPr>
            </w:pPr>
            <w:r w:rsidRPr="00BD76AF">
              <w:t>(iii)</w:t>
            </w:r>
          </w:p>
        </w:tc>
        <w:tc>
          <w:tcPr>
            <w:tcW w:w="1192" w:type="dxa"/>
            <w:gridSpan w:val="2"/>
            <w:tcBorders>
              <w:top w:val="single" w:sz="18" w:space="0" w:color="auto"/>
              <w:left w:val="single" w:sz="18" w:space="0" w:color="auto"/>
              <w:bottom w:val="single" w:sz="18" w:space="0" w:color="auto"/>
              <w:right w:val="single" w:sz="18" w:space="0" w:color="auto"/>
            </w:tcBorders>
            <w:shd w:val="clear" w:color="auto" w:fill="auto"/>
          </w:tcPr>
          <w:p w14:paraId="4AD4AB2D" w14:textId="77777777" w:rsidR="00F332DA" w:rsidRPr="00BD76AF" w:rsidRDefault="00F332DA" w:rsidP="0079334B">
            <w:pPr>
              <w:overflowPunct/>
              <w:autoSpaceDE/>
              <w:autoSpaceDN/>
              <w:adjustRightInd/>
              <w:jc w:val="center"/>
              <w:textAlignment w:val="auto"/>
              <w:rPr>
                <w:bCs/>
                <w:iCs/>
                <w:szCs w:val="24"/>
                <w:lang w:val="en-GB" w:eastAsia="ja-JP"/>
              </w:rPr>
            </w:pPr>
            <w:r w:rsidRPr="00BD76AF">
              <w:t>(iv)</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tcPr>
          <w:p w14:paraId="5BB7C100" w14:textId="77777777" w:rsidR="00F332DA" w:rsidRPr="00BD76AF" w:rsidRDefault="00F332DA" w:rsidP="0079334B">
            <w:pPr>
              <w:overflowPunct/>
              <w:autoSpaceDE/>
              <w:autoSpaceDN/>
              <w:adjustRightInd/>
              <w:jc w:val="center"/>
              <w:textAlignment w:val="auto"/>
              <w:rPr>
                <w:bCs/>
                <w:iCs/>
                <w:szCs w:val="24"/>
                <w:lang w:val="en-GB" w:eastAsia="ja-JP"/>
              </w:rPr>
            </w:pPr>
            <w:r w:rsidRPr="00BD76AF">
              <w:t>(v)</w:t>
            </w:r>
          </w:p>
        </w:tc>
        <w:tc>
          <w:tcPr>
            <w:tcW w:w="1560" w:type="dxa"/>
            <w:gridSpan w:val="2"/>
            <w:tcBorders>
              <w:top w:val="single" w:sz="18" w:space="0" w:color="auto"/>
              <w:left w:val="single" w:sz="18" w:space="0" w:color="auto"/>
              <w:bottom w:val="single" w:sz="18" w:space="0" w:color="auto"/>
              <w:right w:val="single" w:sz="18" w:space="0" w:color="auto"/>
            </w:tcBorders>
          </w:tcPr>
          <w:p w14:paraId="33740D2B" w14:textId="77777777" w:rsidR="00F332DA" w:rsidRPr="00BD76AF" w:rsidRDefault="00F332DA" w:rsidP="0079334B">
            <w:pPr>
              <w:overflowPunct/>
              <w:autoSpaceDE/>
              <w:autoSpaceDN/>
              <w:adjustRightInd/>
              <w:jc w:val="center"/>
              <w:textAlignment w:val="auto"/>
              <w:rPr>
                <w:bCs/>
                <w:iCs/>
                <w:szCs w:val="24"/>
                <w:lang w:val="en-GB" w:eastAsia="ja-JP"/>
              </w:rPr>
            </w:pPr>
            <w:r w:rsidRPr="00BD76AF">
              <w:t>(vi)</w:t>
            </w:r>
            <w:r w:rsidRPr="00BD76AF" w:rsidDel="00BA55D2">
              <w:t xml:space="preserve"> </w:t>
            </w:r>
          </w:p>
        </w:tc>
        <w:tc>
          <w:tcPr>
            <w:tcW w:w="1417" w:type="dxa"/>
            <w:tcBorders>
              <w:top w:val="single" w:sz="18" w:space="0" w:color="auto"/>
              <w:left w:val="single" w:sz="18" w:space="0" w:color="auto"/>
              <w:bottom w:val="single" w:sz="18" w:space="0" w:color="auto"/>
              <w:right w:val="single" w:sz="18" w:space="0" w:color="auto"/>
            </w:tcBorders>
          </w:tcPr>
          <w:p w14:paraId="062A013E" w14:textId="77777777" w:rsidR="00F332DA" w:rsidRPr="00BD76AF" w:rsidRDefault="00F332DA" w:rsidP="0079334B">
            <w:pPr>
              <w:overflowPunct/>
              <w:autoSpaceDE/>
              <w:autoSpaceDN/>
              <w:adjustRightInd/>
              <w:jc w:val="center"/>
              <w:textAlignment w:val="auto"/>
              <w:rPr>
                <w:bCs/>
                <w:iCs/>
                <w:szCs w:val="24"/>
                <w:lang w:val="en-GB" w:eastAsia="ja-JP"/>
              </w:rPr>
            </w:pPr>
            <w:r w:rsidRPr="00BD76AF">
              <w:t>(vii)</w:t>
            </w:r>
          </w:p>
        </w:tc>
      </w:tr>
      <w:tr w:rsidR="00F332DA" w:rsidRPr="00BD76AF" w14:paraId="6CEF39D9" w14:textId="77777777" w:rsidTr="0079334B">
        <w:trPr>
          <w:trHeight w:val="556"/>
          <w:tblHeader/>
        </w:trPr>
        <w:tc>
          <w:tcPr>
            <w:tcW w:w="898" w:type="dxa"/>
            <w:vMerge w:val="restart"/>
            <w:tcBorders>
              <w:top w:val="single" w:sz="18" w:space="0" w:color="auto"/>
              <w:left w:val="single" w:sz="18" w:space="0" w:color="auto"/>
              <w:bottom w:val="single" w:sz="18" w:space="0" w:color="auto"/>
              <w:right w:val="single" w:sz="18" w:space="0" w:color="auto"/>
            </w:tcBorders>
          </w:tcPr>
          <w:p w14:paraId="4E536239" w14:textId="77777777" w:rsidR="00F332DA" w:rsidRPr="00BD76AF" w:rsidRDefault="00F332DA" w:rsidP="0079334B">
            <w:pPr>
              <w:overflowPunct/>
              <w:autoSpaceDE/>
              <w:autoSpaceDN/>
              <w:adjustRightInd/>
              <w:jc w:val="center"/>
              <w:textAlignment w:val="auto"/>
              <w:rPr>
                <w:bCs/>
                <w:iCs/>
                <w:sz w:val="22"/>
                <w:szCs w:val="24"/>
                <w:lang w:val="en-GB" w:eastAsia="en-US"/>
              </w:rPr>
            </w:pPr>
            <w:r w:rsidRPr="00BD76AF">
              <w:rPr>
                <w:sz w:val="22"/>
              </w:rPr>
              <w:t xml:space="preserve">Code de l’indice </w:t>
            </w:r>
          </w:p>
        </w:tc>
        <w:tc>
          <w:tcPr>
            <w:tcW w:w="1275" w:type="dxa"/>
            <w:vMerge w:val="restart"/>
            <w:tcBorders>
              <w:top w:val="single" w:sz="18" w:space="0" w:color="auto"/>
              <w:left w:val="single" w:sz="18" w:space="0" w:color="auto"/>
              <w:bottom w:val="single" w:sz="18" w:space="0" w:color="auto"/>
              <w:right w:val="single" w:sz="18" w:space="0" w:color="auto"/>
            </w:tcBorders>
          </w:tcPr>
          <w:p w14:paraId="6FEC092F" w14:textId="77777777" w:rsidR="00F332DA" w:rsidRPr="00BD76AF" w:rsidRDefault="00F332DA" w:rsidP="0079334B">
            <w:pPr>
              <w:overflowPunct/>
              <w:autoSpaceDE/>
              <w:autoSpaceDN/>
              <w:adjustRightInd/>
              <w:jc w:val="center"/>
              <w:textAlignment w:val="auto"/>
              <w:rPr>
                <w:bCs/>
                <w:iCs/>
                <w:sz w:val="22"/>
                <w:szCs w:val="24"/>
                <w:lang w:val="en-GB" w:eastAsia="en-US"/>
              </w:rPr>
            </w:pPr>
            <w:r w:rsidRPr="00BD76AF">
              <w:rPr>
                <w:sz w:val="22"/>
              </w:rPr>
              <w:t>Description de l’indice</w:t>
            </w:r>
          </w:p>
        </w:tc>
        <w:tc>
          <w:tcPr>
            <w:tcW w:w="1218" w:type="dxa"/>
            <w:vMerge w:val="restart"/>
            <w:tcBorders>
              <w:top w:val="single" w:sz="18" w:space="0" w:color="auto"/>
              <w:left w:val="single" w:sz="18" w:space="0" w:color="auto"/>
              <w:bottom w:val="single" w:sz="18" w:space="0" w:color="auto"/>
              <w:right w:val="single" w:sz="18" w:space="0" w:color="auto"/>
            </w:tcBorders>
          </w:tcPr>
          <w:p w14:paraId="4D29402B" w14:textId="77777777" w:rsidR="00F332DA" w:rsidRPr="00BD76AF" w:rsidRDefault="00F332DA" w:rsidP="0079334B">
            <w:pPr>
              <w:overflowPunct/>
              <w:autoSpaceDE/>
              <w:autoSpaceDN/>
              <w:adjustRightInd/>
              <w:jc w:val="center"/>
              <w:textAlignment w:val="auto"/>
              <w:rPr>
                <w:bCs/>
                <w:iCs/>
                <w:sz w:val="22"/>
                <w:vertAlign w:val="superscript"/>
                <w:lang w:eastAsia="en-US"/>
              </w:rPr>
            </w:pPr>
            <w:r w:rsidRPr="00BD76AF">
              <w:rPr>
                <w:sz w:val="22"/>
              </w:rPr>
              <w:t>Source de publication de l’indice</w:t>
            </w:r>
          </w:p>
        </w:tc>
        <w:tc>
          <w:tcPr>
            <w:tcW w:w="1192" w:type="dxa"/>
            <w:gridSpan w:val="2"/>
            <w:tcBorders>
              <w:top w:val="single" w:sz="18" w:space="0" w:color="auto"/>
              <w:left w:val="single" w:sz="18" w:space="0" w:color="auto"/>
              <w:bottom w:val="single" w:sz="18" w:space="0" w:color="auto"/>
              <w:right w:val="single" w:sz="18" w:space="0" w:color="auto"/>
            </w:tcBorders>
            <w:shd w:val="clear" w:color="auto" w:fill="auto"/>
          </w:tcPr>
          <w:p w14:paraId="428F8145" w14:textId="77777777" w:rsidR="00F332DA" w:rsidRPr="00BD76AF" w:rsidRDefault="00F332DA" w:rsidP="0079334B">
            <w:pPr>
              <w:overflowPunct/>
              <w:autoSpaceDE/>
              <w:autoSpaceDN/>
              <w:adjustRightInd/>
              <w:jc w:val="center"/>
              <w:textAlignment w:val="auto"/>
              <w:rPr>
                <w:bCs/>
                <w:iCs/>
                <w:sz w:val="22"/>
                <w:szCs w:val="24"/>
                <w:vertAlign w:val="superscript"/>
                <w:lang w:eastAsia="en-US"/>
              </w:rPr>
            </w:pPr>
            <w:r w:rsidRPr="00BD76AF">
              <w:rPr>
                <w:sz w:val="22"/>
              </w:rPr>
              <w:t>Indice des coûts de référence</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tcPr>
          <w:p w14:paraId="165F1121" w14:textId="77777777" w:rsidR="00F332DA" w:rsidRPr="00BD76AF" w:rsidRDefault="00F332DA" w:rsidP="0079334B">
            <w:pPr>
              <w:overflowPunct/>
              <w:autoSpaceDE/>
              <w:autoSpaceDN/>
              <w:adjustRightInd/>
              <w:jc w:val="center"/>
              <w:textAlignment w:val="auto"/>
              <w:rPr>
                <w:bCs/>
                <w:iCs/>
                <w:sz w:val="22"/>
                <w:lang w:eastAsia="en-US"/>
              </w:rPr>
            </w:pPr>
            <w:r w:rsidRPr="00BD76AF">
              <w:rPr>
                <w:sz w:val="22"/>
                <w:szCs w:val="24"/>
              </w:rPr>
              <w:t xml:space="preserve">Montant </w:t>
            </w:r>
            <w:r w:rsidRPr="00BD76AF">
              <w:rPr>
                <w:sz w:val="22"/>
              </w:rPr>
              <w:t>total</w:t>
            </w:r>
            <w:r w:rsidRPr="00BD76AF">
              <w:rPr>
                <w:sz w:val="22"/>
                <w:szCs w:val="24"/>
              </w:rPr>
              <w:t xml:space="preserve"> en monnaie d’origine </w:t>
            </w:r>
          </w:p>
        </w:tc>
        <w:tc>
          <w:tcPr>
            <w:tcW w:w="1560" w:type="dxa"/>
            <w:gridSpan w:val="2"/>
            <w:tcBorders>
              <w:top w:val="single" w:sz="18" w:space="0" w:color="auto"/>
              <w:left w:val="single" w:sz="18" w:space="0" w:color="auto"/>
              <w:bottom w:val="single" w:sz="18" w:space="0" w:color="auto"/>
              <w:right w:val="single" w:sz="18" w:space="0" w:color="auto"/>
            </w:tcBorders>
          </w:tcPr>
          <w:p w14:paraId="5820E964" w14:textId="77777777" w:rsidR="00F332DA" w:rsidRPr="00BD76AF" w:rsidRDefault="00F332DA" w:rsidP="0079334B">
            <w:pPr>
              <w:overflowPunct/>
              <w:autoSpaceDE/>
              <w:autoSpaceDN/>
              <w:adjustRightInd/>
              <w:jc w:val="center"/>
              <w:textAlignment w:val="auto"/>
              <w:rPr>
                <w:bCs/>
                <w:iCs/>
                <w:sz w:val="22"/>
                <w:vertAlign w:val="superscript"/>
                <w:lang w:eastAsia="ja-JP"/>
              </w:rPr>
            </w:pPr>
            <w:r w:rsidRPr="00BD76AF">
              <w:rPr>
                <w:sz w:val="22"/>
              </w:rPr>
              <w:t>Montant total en monnaie de paiement</w:t>
            </w:r>
          </w:p>
        </w:tc>
        <w:tc>
          <w:tcPr>
            <w:tcW w:w="1417" w:type="dxa"/>
            <w:vMerge w:val="restart"/>
            <w:tcBorders>
              <w:top w:val="single" w:sz="18" w:space="0" w:color="auto"/>
              <w:left w:val="single" w:sz="18" w:space="0" w:color="auto"/>
              <w:bottom w:val="single" w:sz="18" w:space="0" w:color="auto"/>
              <w:right w:val="single" w:sz="18" w:space="0" w:color="auto"/>
            </w:tcBorders>
          </w:tcPr>
          <w:p w14:paraId="01A68955" w14:textId="77777777" w:rsidR="00F332DA" w:rsidRPr="00BD76AF" w:rsidRDefault="00F332DA" w:rsidP="0079334B">
            <w:pPr>
              <w:overflowPunct/>
              <w:autoSpaceDE/>
              <w:autoSpaceDN/>
              <w:adjustRightInd/>
              <w:jc w:val="center"/>
              <w:textAlignment w:val="auto"/>
              <w:rPr>
                <w:bCs/>
                <w:iCs/>
                <w:sz w:val="22"/>
                <w:szCs w:val="24"/>
                <w:vertAlign w:val="superscript"/>
                <w:lang w:eastAsia="en-US"/>
              </w:rPr>
            </w:pPr>
            <w:r w:rsidRPr="00BD76AF">
              <w:rPr>
                <w:sz w:val="22"/>
              </w:rPr>
              <w:t>Pondération proposée par le Soumission-naire</w:t>
            </w:r>
          </w:p>
        </w:tc>
      </w:tr>
      <w:tr w:rsidR="00F332DA" w:rsidRPr="00BD76AF" w14:paraId="3ED3E6E7" w14:textId="77777777" w:rsidTr="0079334B">
        <w:trPr>
          <w:tblHeader/>
        </w:trPr>
        <w:tc>
          <w:tcPr>
            <w:tcW w:w="898" w:type="dxa"/>
            <w:vMerge/>
            <w:tcBorders>
              <w:left w:val="single" w:sz="18" w:space="0" w:color="auto"/>
              <w:bottom w:val="single" w:sz="18" w:space="0" w:color="auto"/>
              <w:right w:val="single" w:sz="18" w:space="0" w:color="auto"/>
            </w:tcBorders>
          </w:tcPr>
          <w:p w14:paraId="308B2DF9" w14:textId="77777777" w:rsidR="00F332DA" w:rsidRPr="00BD76AF" w:rsidRDefault="00F332DA" w:rsidP="0079334B">
            <w:pPr>
              <w:overflowPunct/>
              <w:autoSpaceDE/>
              <w:autoSpaceDN/>
              <w:adjustRightInd/>
              <w:jc w:val="center"/>
              <w:textAlignment w:val="auto"/>
              <w:rPr>
                <w:bCs/>
                <w:iCs/>
                <w:sz w:val="20"/>
                <w:lang w:eastAsia="en-US"/>
              </w:rPr>
            </w:pPr>
          </w:p>
        </w:tc>
        <w:tc>
          <w:tcPr>
            <w:tcW w:w="1275" w:type="dxa"/>
            <w:vMerge/>
            <w:tcBorders>
              <w:left w:val="single" w:sz="18" w:space="0" w:color="auto"/>
              <w:bottom w:val="single" w:sz="18" w:space="0" w:color="auto"/>
              <w:right w:val="single" w:sz="18" w:space="0" w:color="auto"/>
            </w:tcBorders>
          </w:tcPr>
          <w:p w14:paraId="666F7D4D" w14:textId="77777777" w:rsidR="00F332DA" w:rsidRPr="00BD76AF" w:rsidRDefault="00F332DA" w:rsidP="0079334B">
            <w:pPr>
              <w:overflowPunct/>
              <w:autoSpaceDE/>
              <w:autoSpaceDN/>
              <w:adjustRightInd/>
              <w:jc w:val="center"/>
              <w:textAlignment w:val="auto"/>
              <w:rPr>
                <w:bCs/>
                <w:iCs/>
                <w:sz w:val="20"/>
                <w:lang w:eastAsia="en-US"/>
              </w:rPr>
            </w:pPr>
          </w:p>
        </w:tc>
        <w:tc>
          <w:tcPr>
            <w:tcW w:w="1218" w:type="dxa"/>
            <w:vMerge/>
            <w:tcBorders>
              <w:left w:val="single" w:sz="18" w:space="0" w:color="auto"/>
              <w:bottom w:val="single" w:sz="18" w:space="0" w:color="auto"/>
              <w:right w:val="single" w:sz="18" w:space="0" w:color="auto"/>
            </w:tcBorders>
          </w:tcPr>
          <w:p w14:paraId="5E26D6A0" w14:textId="77777777" w:rsidR="00F332DA" w:rsidRPr="00BD76AF" w:rsidRDefault="00F332DA" w:rsidP="0079334B">
            <w:pPr>
              <w:overflowPunct/>
              <w:autoSpaceDE/>
              <w:autoSpaceDN/>
              <w:adjustRightInd/>
              <w:jc w:val="center"/>
              <w:textAlignment w:val="auto"/>
              <w:rPr>
                <w:bCs/>
                <w:iCs/>
                <w:sz w:val="20"/>
                <w:lang w:eastAsia="en-US"/>
              </w:rPr>
            </w:pPr>
          </w:p>
        </w:tc>
        <w:tc>
          <w:tcPr>
            <w:tcW w:w="625" w:type="dxa"/>
            <w:tcBorders>
              <w:top w:val="single" w:sz="2" w:space="0" w:color="auto"/>
              <w:left w:val="single" w:sz="18" w:space="0" w:color="auto"/>
              <w:bottom w:val="single" w:sz="18" w:space="0" w:color="auto"/>
              <w:right w:val="single" w:sz="2" w:space="0" w:color="auto"/>
            </w:tcBorders>
          </w:tcPr>
          <w:p w14:paraId="1304A84C" w14:textId="77777777" w:rsidR="00F332DA" w:rsidRPr="00BD76AF" w:rsidRDefault="00F332DA" w:rsidP="0079334B">
            <w:pPr>
              <w:overflowPunct/>
              <w:autoSpaceDE/>
              <w:autoSpaceDN/>
              <w:adjustRightInd/>
              <w:spacing w:before="60" w:after="60" w:line="240" w:lineRule="exact"/>
              <w:jc w:val="center"/>
              <w:textAlignment w:val="auto"/>
              <w:rPr>
                <w:bCs/>
                <w:iCs/>
                <w:sz w:val="16"/>
                <w:lang w:val="en-GB" w:eastAsia="en-US"/>
              </w:rPr>
            </w:pPr>
            <w:r w:rsidRPr="00BD76AF">
              <w:rPr>
                <w:bCs/>
                <w:iCs/>
                <w:sz w:val="16"/>
                <w:lang w:eastAsia="en-US"/>
              </w:rPr>
              <w:t>Valeur</w:t>
            </w:r>
          </w:p>
        </w:tc>
        <w:tc>
          <w:tcPr>
            <w:tcW w:w="567" w:type="dxa"/>
            <w:tcBorders>
              <w:top w:val="single" w:sz="2" w:space="0" w:color="auto"/>
              <w:left w:val="single" w:sz="2" w:space="0" w:color="auto"/>
              <w:bottom w:val="single" w:sz="18" w:space="0" w:color="auto"/>
              <w:right w:val="single" w:sz="18" w:space="0" w:color="auto"/>
            </w:tcBorders>
          </w:tcPr>
          <w:p w14:paraId="34B91BDD" w14:textId="77777777" w:rsidR="00F332DA" w:rsidRPr="00BD76AF" w:rsidRDefault="00F332DA" w:rsidP="0079334B">
            <w:pPr>
              <w:overflowPunct/>
              <w:autoSpaceDE/>
              <w:autoSpaceDN/>
              <w:adjustRightInd/>
              <w:spacing w:before="60" w:after="60" w:line="240" w:lineRule="exact"/>
              <w:jc w:val="center"/>
              <w:textAlignment w:val="auto"/>
              <w:rPr>
                <w:bCs/>
                <w:iCs/>
                <w:sz w:val="16"/>
                <w:lang w:val="en-GB" w:eastAsia="en-US"/>
              </w:rPr>
            </w:pPr>
            <w:r w:rsidRPr="00BD76AF">
              <w:rPr>
                <w:bCs/>
                <w:iCs/>
                <w:sz w:val="16"/>
                <w:lang w:val="en-GB" w:eastAsia="en-US"/>
              </w:rPr>
              <w:t>Date</w:t>
            </w:r>
          </w:p>
        </w:tc>
        <w:tc>
          <w:tcPr>
            <w:tcW w:w="851" w:type="dxa"/>
            <w:tcBorders>
              <w:top w:val="single" w:sz="2" w:space="0" w:color="auto"/>
              <w:left w:val="single" w:sz="18" w:space="0" w:color="auto"/>
              <w:bottom w:val="single" w:sz="18" w:space="0" w:color="auto"/>
              <w:right w:val="single" w:sz="2" w:space="0" w:color="auto"/>
            </w:tcBorders>
          </w:tcPr>
          <w:p w14:paraId="3C6EC63A" w14:textId="77777777" w:rsidR="00F332DA" w:rsidRPr="00BD76AF" w:rsidRDefault="00F332DA" w:rsidP="0079334B">
            <w:pPr>
              <w:overflowPunct/>
              <w:autoSpaceDE/>
              <w:autoSpaceDN/>
              <w:adjustRightInd/>
              <w:spacing w:before="60" w:after="60" w:line="240" w:lineRule="exact"/>
              <w:jc w:val="center"/>
              <w:textAlignment w:val="auto"/>
              <w:rPr>
                <w:bCs/>
                <w:iCs/>
                <w:sz w:val="16"/>
                <w:szCs w:val="16"/>
                <w:lang w:val="en-GB" w:eastAsia="en-US"/>
              </w:rPr>
            </w:pPr>
            <w:r w:rsidRPr="00BD76AF">
              <w:rPr>
                <w:bCs/>
                <w:iCs/>
                <w:sz w:val="16"/>
                <w:szCs w:val="16"/>
                <w:lang w:eastAsia="en-US"/>
              </w:rPr>
              <w:t>Type de monnaie</w:t>
            </w:r>
          </w:p>
        </w:tc>
        <w:tc>
          <w:tcPr>
            <w:tcW w:w="708" w:type="dxa"/>
            <w:tcBorders>
              <w:top w:val="single" w:sz="2" w:space="0" w:color="auto"/>
              <w:left w:val="single" w:sz="2" w:space="0" w:color="auto"/>
              <w:bottom w:val="single" w:sz="18" w:space="0" w:color="auto"/>
              <w:right w:val="single" w:sz="18" w:space="0" w:color="auto"/>
            </w:tcBorders>
          </w:tcPr>
          <w:p w14:paraId="00B769DA" w14:textId="77777777" w:rsidR="00F332DA" w:rsidRPr="00BD76AF" w:rsidRDefault="00F332DA" w:rsidP="0079334B">
            <w:pPr>
              <w:overflowPunct/>
              <w:autoSpaceDE/>
              <w:autoSpaceDN/>
              <w:adjustRightInd/>
              <w:spacing w:before="60" w:after="60" w:line="240" w:lineRule="exact"/>
              <w:jc w:val="center"/>
              <w:textAlignment w:val="auto"/>
              <w:rPr>
                <w:bCs/>
                <w:iCs/>
                <w:sz w:val="16"/>
                <w:szCs w:val="16"/>
                <w:lang w:val="en-GB" w:eastAsia="en-US"/>
              </w:rPr>
            </w:pPr>
            <w:r w:rsidRPr="00BD76AF">
              <w:rPr>
                <w:bCs/>
                <w:iCs/>
                <w:sz w:val="16"/>
                <w:szCs w:val="16"/>
                <w:lang w:val="en-GB" w:eastAsia="en-US"/>
              </w:rPr>
              <w:t>Montant</w:t>
            </w:r>
          </w:p>
        </w:tc>
        <w:tc>
          <w:tcPr>
            <w:tcW w:w="804" w:type="dxa"/>
            <w:tcBorders>
              <w:top w:val="single" w:sz="4" w:space="0" w:color="auto"/>
              <w:left w:val="single" w:sz="18" w:space="0" w:color="auto"/>
              <w:bottom w:val="single" w:sz="18" w:space="0" w:color="auto"/>
              <w:right w:val="single" w:sz="4" w:space="0" w:color="auto"/>
            </w:tcBorders>
          </w:tcPr>
          <w:p w14:paraId="17648E50" w14:textId="77777777" w:rsidR="00F332DA" w:rsidRPr="00BD76AF" w:rsidRDefault="00F332DA" w:rsidP="0079334B">
            <w:pPr>
              <w:overflowPunct/>
              <w:autoSpaceDE/>
              <w:autoSpaceDN/>
              <w:adjustRightInd/>
              <w:spacing w:before="60" w:after="60" w:line="240" w:lineRule="exact"/>
              <w:jc w:val="center"/>
              <w:textAlignment w:val="auto"/>
              <w:rPr>
                <w:bCs/>
                <w:iCs/>
                <w:sz w:val="16"/>
                <w:lang w:val="en-GB" w:eastAsia="en-US"/>
              </w:rPr>
            </w:pPr>
            <w:r w:rsidRPr="00BD76AF">
              <w:rPr>
                <w:bCs/>
                <w:iCs/>
                <w:sz w:val="16"/>
                <w:lang w:val="en-GB" w:eastAsia="en-US"/>
              </w:rPr>
              <w:t>Taux de change</w:t>
            </w:r>
          </w:p>
        </w:tc>
        <w:tc>
          <w:tcPr>
            <w:tcW w:w="756" w:type="dxa"/>
            <w:tcBorders>
              <w:top w:val="single" w:sz="4" w:space="0" w:color="auto"/>
              <w:left w:val="single" w:sz="4" w:space="0" w:color="auto"/>
              <w:bottom w:val="single" w:sz="18" w:space="0" w:color="auto"/>
              <w:right w:val="single" w:sz="18" w:space="0" w:color="auto"/>
            </w:tcBorders>
          </w:tcPr>
          <w:p w14:paraId="07B45CCC" w14:textId="77777777" w:rsidR="00F332DA" w:rsidRPr="00BD76AF" w:rsidRDefault="00F332DA" w:rsidP="0079334B">
            <w:pPr>
              <w:overflowPunct/>
              <w:autoSpaceDE/>
              <w:autoSpaceDN/>
              <w:adjustRightInd/>
              <w:spacing w:before="60" w:after="60" w:line="240" w:lineRule="exact"/>
              <w:jc w:val="center"/>
              <w:textAlignment w:val="auto"/>
              <w:rPr>
                <w:bCs/>
                <w:iCs/>
                <w:sz w:val="16"/>
                <w:lang w:val="en-GB" w:eastAsia="en-US"/>
              </w:rPr>
            </w:pPr>
            <w:r w:rsidRPr="00BD76AF">
              <w:rPr>
                <w:bCs/>
                <w:iCs/>
                <w:sz w:val="16"/>
                <w:lang w:val="en-GB" w:eastAsia="en-US"/>
              </w:rPr>
              <w:t>Montant</w:t>
            </w:r>
          </w:p>
        </w:tc>
        <w:tc>
          <w:tcPr>
            <w:tcW w:w="1417" w:type="dxa"/>
            <w:vMerge/>
            <w:tcBorders>
              <w:left w:val="single" w:sz="18" w:space="0" w:color="auto"/>
              <w:bottom w:val="single" w:sz="18" w:space="0" w:color="auto"/>
              <w:right w:val="single" w:sz="18" w:space="0" w:color="auto"/>
            </w:tcBorders>
          </w:tcPr>
          <w:p w14:paraId="2D58B2E6" w14:textId="77777777" w:rsidR="00F332DA" w:rsidRPr="00BD76AF" w:rsidRDefault="00F332DA" w:rsidP="0079334B">
            <w:pPr>
              <w:overflowPunct/>
              <w:autoSpaceDE/>
              <w:autoSpaceDN/>
              <w:adjustRightInd/>
              <w:jc w:val="center"/>
              <w:textAlignment w:val="auto"/>
              <w:rPr>
                <w:bCs/>
                <w:iCs/>
                <w:sz w:val="20"/>
                <w:lang w:val="en-GB" w:eastAsia="en-US"/>
              </w:rPr>
            </w:pPr>
          </w:p>
        </w:tc>
      </w:tr>
      <w:tr w:rsidR="00F332DA" w:rsidRPr="00BD76AF" w14:paraId="2C2E2AB6" w14:textId="77777777" w:rsidTr="0079334B">
        <w:trPr>
          <w:tblHeader/>
        </w:trPr>
        <w:tc>
          <w:tcPr>
            <w:tcW w:w="898" w:type="dxa"/>
            <w:tcBorders>
              <w:top w:val="single" w:sz="18" w:space="0" w:color="auto"/>
              <w:left w:val="single" w:sz="8" w:space="0" w:color="auto"/>
              <w:bottom w:val="single" w:sz="4" w:space="0" w:color="auto"/>
              <w:right w:val="single" w:sz="8" w:space="0" w:color="auto"/>
            </w:tcBorders>
          </w:tcPr>
          <w:p w14:paraId="624DF6BB"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1275" w:type="dxa"/>
            <w:tcBorders>
              <w:top w:val="single" w:sz="18" w:space="0" w:color="auto"/>
              <w:left w:val="single" w:sz="8" w:space="0" w:color="auto"/>
              <w:bottom w:val="single" w:sz="4" w:space="0" w:color="auto"/>
              <w:right w:val="single" w:sz="8" w:space="0" w:color="auto"/>
            </w:tcBorders>
          </w:tcPr>
          <w:p w14:paraId="63FF5F1D" w14:textId="77777777" w:rsidR="00F332DA" w:rsidRPr="00BD76AF" w:rsidRDefault="00F332DA" w:rsidP="0079334B">
            <w:pPr>
              <w:overflowPunct/>
              <w:autoSpaceDE/>
              <w:autoSpaceDN/>
              <w:adjustRightInd/>
              <w:textAlignment w:val="auto"/>
              <w:rPr>
                <w:b/>
                <w:bCs/>
                <w:iCs/>
                <w:sz w:val="20"/>
                <w:lang w:val="en-GB" w:eastAsia="en-US"/>
              </w:rPr>
            </w:pPr>
            <w:r w:rsidRPr="00BD76AF">
              <w:rPr>
                <w:sz w:val="22"/>
              </w:rPr>
              <w:t>Non ajustable</w:t>
            </w:r>
          </w:p>
        </w:tc>
        <w:tc>
          <w:tcPr>
            <w:tcW w:w="1218" w:type="dxa"/>
            <w:tcBorders>
              <w:top w:val="single" w:sz="18" w:space="0" w:color="auto"/>
              <w:left w:val="single" w:sz="8" w:space="0" w:color="auto"/>
              <w:bottom w:val="single" w:sz="4" w:space="0" w:color="auto"/>
              <w:right w:val="single" w:sz="8" w:space="0" w:color="auto"/>
            </w:tcBorders>
          </w:tcPr>
          <w:p w14:paraId="56F0CD0D" w14:textId="77777777" w:rsidR="00F332DA" w:rsidRPr="00BD76AF" w:rsidRDefault="00F332DA" w:rsidP="0079334B">
            <w:pPr>
              <w:overflowPunct/>
              <w:autoSpaceDE/>
              <w:autoSpaceDN/>
              <w:adjustRightInd/>
              <w:jc w:val="center"/>
              <w:textAlignment w:val="auto"/>
              <w:rPr>
                <w:b/>
                <w:bCs/>
                <w:iCs/>
                <w:sz w:val="20"/>
                <w:lang w:val="en-GB" w:eastAsia="en-US"/>
              </w:rPr>
            </w:pPr>
            <w:r w:rsidRPr="00BD76AF">
              <w:rPr>
                <w:rFonts w:hint="eastAsia"/>
                <w:b/>
                <w:bCs/>
                <w:iCs/>
                <w:lang w:val="en-GB" w:eastAsia="ja-JP"/>
              </w:rPr>
              <w:t>-</w:t>
            </w:r>
          </w:p>
        </w:tc>
        <w:tc>
          <w:tcPr>
            <w:tcW w:w="625" w:type="dxa"/>
            <w:tcBorders>
              <w:top w:val="single" w:sz="18" w:space="0" w:color="auto"/>
              <w:left w:val="single" w:sz="8" w:space="0" w:color="auto"/>
              <w:bottom w:val="single" w:sz="4" w:space="0" w:color="auto"/>
              <w:right w:val="single" w:sz="8" w:space="0" w:color="auto"/>
            </w:tcBorders>
          </w:tcPr>
          <w:p w14:paraId="6EF74CAD" w14:textId="77777777" w:rsidR="00F332DA" w:rsidRPr="00BD76AF" w:rsidRDefault="00F332DA" w:rsidP="0079334B">
            <w:pPr>
              <w:overflowPunct/>
              <w:autoSpaceDE/>
              <w:autoSpaceDN/>
              <w:adjustRightInd/>
              <w:jc w:val="center"/>
              <w:textAlignment w:val="auto"/>
              <w:rPr>
                <w:b/>
                <w:bCs/>
                <w:iCs/>
                <w:sz w:val="20"/>
                <w:lang w:val="en-GB" w:eastAsia="en-US"/>
              </w:rPr>
            </w:pPr>
            <w:r w:rsidRPr="00BD76AF">
              <w:rPr>
                <w:rFonts w:hint="eastAsia"/>
                <w:b/>
                <w:bCs/>
                <w:iCs/>
                <w:lang w:val="en-GB" w:eastAsia="ja-JP"/>
              </w:rPr>
              <w:t>-</w:t>
            </w:r>
          </w:p>
        </w:tc>
        <w:tc>
          <w:tcPr>
            <w:tcW w:w="567" w:type="dxa"/>
            <w:tcBorders>
              <w:top w:val="single" w:sz="18" w:space="0" w:color="auto"/>
              <w:left w:val="single" w:sz="8" w:space="0" w:color="auto"/>
              <w:bottom w:val="single" w:sz="4" w:space="0" w:color="auto"/>
              <w:right w:val="single" w:sz="8" w:space="0" w:color="auto"/>
            </w:tcBorders>
          </w:tcPr>
          <w:p w14:paraId="20458AB3" w14:textId="77777777" w:rsidR="00F332DA" w:rsidRPr="00BD76AF" w:rsidRDefault="00F332DA" w:rsidP="0079334B">
            <w:pPr>
              <w:overflowPunct/>
              <w:autoSpaceDE/>
              <w:autoSpaceDN/>
              <w:adjustRightInd/>
              <w:jc w:val="center"/>
              <w:textAlignment w:val="auto"/>
              <w:rPr>
                <w:b/>
                <w:bCs/>
                <w:iCs/>
                <w:sz w:val="20"/>
                <w:lang w:val="en-GB" w:eastAsia="en-US"/>
              </w:rPr>
            </w:pPr>
            <w:r w:rsidRPr="00BD76AF">
              <w:rPr>
                <w:rFonts w:hint="eastAsia"/>
                <w:b/>
                <w:bCs/>
                <w:iCs/>
                <w:lang w:val="en-GB" w:eastAsia="ja-JP"/>
              </w:rPr>
              <w:t>-</w:t>
            </w:r>
          </w:p>
        </w:tc>
        <w:tc>
          <w:tcPr>
            <w:tcW w:w="851" w:type="dxa"/>
            <w:tcBorders>
              <w:top w:val="single" w:sz="18" w:space="0" w:color="auto"/>
              <w:left w:val="single" w:sz="8" w:space="0" w:color="auto"/>
              <w:bottom w:val="single" w:sz="4" w:space="0" w:color="auto"/>
              <w:right w:val="single" w:sz="8" w:space="0" w:color="auto"/>
            </w:tcBorders>
          </w:tcPr>
          <w:p w14:paraId="26E6C6A0" w14:textId="77777777" w:rsidR="00F332DA" w:rsidRPr="00BD76AF" w:rsidRDefault="00F332DA" w:rsidP="0079334B">
            <w:pPr>
              <w:overflowPunct/>
              <w:autoSpaceDE/>
              <w:autoSpaceDN/>
              <w:adjustRightInd/>
              <w:jc w:val="center"/>
              <w:textAlignment w:val="auto"/>
              <w:rPr>
                <w:b/>
                <w:bCs/>
                <w:iCs/>
                <w:sz w:val="20"/>
                <w:lang w:val="en-GB" w:eastAsia="en-US"/>
              </w:rPr>
            </w:pPr>
            <w:r w:rsidRPr="00BD76AF">
              <w:rPr>
                <w:rFonts w:hint="eastAsia"/>
                <w:b/>
                <w:bCs/>
                <w:iCs/>
                <w:lang w:val="en-GB" w:eastAsia="ja-JP"/>
              </w:rPr>
              <w:t>-</w:t>
            </w:r>
          </w:p>
        </w:tc>
        <w:tc>
          <w:tcPr>
            <w:tcW w:w="708" w:type="dxa"/>
            <w:tcBorders>
              <w:top w:val="single" w:sz="18" w:space="0" w:color="auto"/>
              <w:left w:val="single" w:sz="8" w:space="0" w:color="auto"/>
              <w:bottom w:val="single" w:sz="4" w:space="0" w:color="auto"/>
              <w:right w:val="single" w:sz="8" w:space="0" w:color="auto"/>
            </w:tcBorders>
          </w:tcPr>
          <w:p w14:paraId="7E5EBA8B" w14:textId="77777777" w:rsidR="00F332DA" w:rsidRPr="00BD76AF" w:rsidRDefault="00F332DA" w:rsidP="0079334B">
            <w:pPr>
              <w:overflowPunct/>
              <w:autoSpaceDE/>
              <w:autoSpaceDN/>
              <w:adjustRightInd/>
              <w:jc w:val="center"/>
              <w:textAlignment w:val="auto"/>
              <w:rPr>
                <w:b/>
                <w:bCs/>
                <w:iCs/>
                <w:sz w:val="20"/>
                <w:lang w:val="en-GB" w:eastAsia="en-US"/>
              </w:rPr>
            </w:pPr>
            <w:r w:rsidRPr="00BD76AF">
              <w:rPr>
                <w:rFonts w:hint="eastAsia"/>
                <w:b/>
                <w:bCs/>
                <w:iCs/>
                <w:lang w:val="en-GB" w:eastAsia="ja-JP"/>
              </w:rPr>
              <w:t>-</w:t>
            </w:r>
          </w:p>
        </w:tc>
        <w:tc>
          <w:tcPr>
            <w:tcW w:w="804" w:type="dxa"/>
            <w:tcBorders>
              <w:top w:val="single" w:sz="18" w:space="0" w:color="auto"/>
              <w:left w:val="single" w:sz="8" w:space="0" w:color="auto"/>
              <w:bottom w:val="single" w:sz="4" w:space="0" w:color="auto"/>
              <w:right w:val="single" w:sz="8" w:space="0" w:color="auto"/>
            </w:tcBorders>
          </w:tcPr>
          <w:p w14:paraId="13275F35"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756" w:type="dxa"/>
            <w:tcBorders>
              <w:top w:val="single" w:sz="18" w:space="0" w:color="auto"/>
              <w:left w:val="single" w:sz="8" w:space="0" w:color="auto"/>
              <w:bottom w:val="single" w:sz="4" w:space="0" w:color="auto"/>
              <w:right w:val="single" w:sz="8" w:space="0" w:color="auto"/>
            </w:tcBorders>
          </w:tcPr>
          <w:p w14:paraId="687C3FB4"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1417" w:type="dxa"/>
            <w:tcBorders>
              <w:top w:val="single" w:sz="18" w:space="0" w:color="auto"/>
              <w:left w:val="single" w:sz="8" w:space="0" w:color="auto"/>
              <w:bottom w:val="single" w:sz="4" w:space="0" w:color="auto"/>
              <w:right w:val="single" w:sz="6" w:space="0" w:color="auto"/>
            </w:tcBorders>
          </w:tcPr>
          <w:p w14:paraId="01A4D93A" w14:textId="77777777" w:rsidR="00F332DA" w:rsidRPr="00BD76AF" w:rsidRDefault="00F332DA" w:rsidP="0079334B">
            <w:pPr>
              <w:tabs>
                <w:tab w:val="left" w:pos="1055"/>
              </w:tabs>
              <w:overflowPunct/>
              <w:autoSpaceDE/>
              <w:autoSpaceDN/>
              <w:adjustRightInd/>
              <w:spacing w:before="60" w:after="60"/>
              <w:textAlignment w:val="auto"/>
              <w:rPr>
                <w:sz w:val="20"/>
                <w:lang w:val="en-GB" w:eastAsia="en-US"/>
              </w:rPr>
            </w:pPr>
            <w:r w:rsidRPr="00BD76AF">
              <w:t xml:space="preserve">a : </w:t>
            </w:r>
            <w:r w:rsidRPr="00BD76AF">
              <w:rPr>
                <w:u w:val="single"/>
              </w:rPr>
              <w:tab/>
            </w:r>
          </w:p>
        </w:tc>
      </w:tr>
      <w:tr w:rsidR="00F332DA" w:rsidRPr="00BD76AF" w14:paraId="707A3AA1" w14:textId="77777777" w:rsidTr="0079334B">
        <w:trPr>
          <w:tblHeader/>
        </w:trPr>
        <w:tc>
          <w:tcPr>
            <w:tcW w:w="898" w:type="dxa"/>
            <w:tcBorders>
              <w:top w:val="single" w:sz="4" w:space="0" w:color="auto"/>
              <w:left w:val="single" w:sz="8" w:space="0" w:color="auto"/>
              <w:bottom w:val="single" w:sz="4" w:space="0" w:color="auto"/>
              <w:right w:val="single" w:sz="8" w:space="0" w:color="auto"/>
            </w:tcBorders>
          </w:tcPr>
          <w:p w14:paraId="02295B25"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1275" w:type="dxa"/>
            <w:tcBorders>
              <w:top w:val="single" w:sz="4" w:space="0" w:color="auto"/>
              <w:left w:val="single" w:sz="8" w:space="0" w:color="auto"/>
              <w:bottom w:val="single" w:sz="4" w:space="0" w:color="auto"/>
              <w:right w:val="single" w:sz="8" w:space="0" w:color="auto"/>
            </w:tcBorders>
          </w:tcPr>
          <w:p w14:paraId="079A3CF3"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1218" w:type="dxa"/>
            <w:tcBorders>
              <w:top w:val="single" w:sz="4" w:space="0" w:color="auto"/>
              <w:left w:val="single" w:sz="8" w:space="0" w:color="auto"/>
              <w:bottom w:val="single" w:sz="4" w:space="0" w:color="auto"/>
              <w:right w:val="single" w:sz="8" w:space="0" w:color="auto"/>
            </w:tcBorders>
          </w:tcPr>
          <w:p w14:paraId="4320EF56"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625" w:type="dxa"/>
            <w:tcBorders>
              <w:top w:val="single" w:sz="4" w:space="0" w:color="auto"/>
              <w:left w:val="single" w:sz="8" w:space="0" w:color="auto"/>
              <w:bottom w:val="single" w:sz="4" w:space="0" w:color="auto"/>
              <w:right w:val="single" w:sz="8" w:space="0" w:color="auto"/>
            </w:tcBorders>
          </w:tcPr>
          <w:p w14:paraId="618AA024"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567" w:type="dxa"/>
            <w:tcBorders>
              <w:top w:val="single" w:sz="4" w:space="0" w:color="auto"/>
              <w:left w:val="single" w:sz="8" w:space="0" w:color="auto"/>
              <w:bottom w:val="single" w:sz="4" w:space="0" w:color="auto"/>
              <w:right w:val="single" w:sz="8" w:space="0" w:color="auto"/>
            </w:tcBorders>
          </w:tcPr>
          <w:p w14:paraId="1E2E7F97"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851" w:type="dxa"/>
            <w:tcBorders>
              <w:top w:val="single" w:sz="4" w:space="0" w:color="auto"/>
              <w:left w:val="single" w:sz="8" w:space="0" w:color="auto"/>
              <w:bottom w:val="single" w:sz="4" w:space="0" w:color="auto"/>
              <w:right w:val="single" w:sz="8" w:space="0" w:color="auto"/>
            </w:tcBorders>
          </w:tcPr>
          <w:p w14:paraId="78E176A7"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708" w:type="dxa"/>
            <w:tcBorders>
              <w:top w:val="single" w:sz="4" w:space="0" w:color="auto"/>
              <w:left w:val="single" w:sz="8" w:space="0" w:color="auto"/>
              <w:bottom w:val="single" w:sz="4" w:space="0" w:color="auto"/>
              <w:right w:val="single" w:sz="8" w:space="0" w:color="auto"/>
            </w:tcBorders>
          </w:tcPr>
          <w:p w14:paraId="7C91EAB6"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804" w:type="dxa"/>
            <w:tcBorders>
              <w:top w:val="single" w:sz="4" w:space="0" w:color="auto"/>
              <w:left w:val="single" w:sz="8" w:space="0" w:color="auto"/>
              <w:bottom w:val="single" w:sz="4" w:space="0" w:color="auto"/>
              <w:right w:val="single" w:sz="8" w:space="0" w:color="auto"/>
            </w:tcBorders>
          </w:tcPr>
          <w:p w14:paraId="04E646AD"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756" w:type="dxa"/>
            <w:tcBorders>
              <w:top w:val="single" w:sz="4" w:space="0" w:color="auto"/>
              <w:left w:val="single" w:sz="8" w:space="0" w:color="auto"/>
              <w:bottom w:val="single" w:sz="4" w:space="0" w:color="auto"/>
              <w:right w:val="single" w:sz="8" w:space="0" w:color="auto"/>
            </w:tcBorders>
          </w:tcPr>
          <w:p w14:paraId="11320662"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1417" w:type="dxa"/>
            <w:tcBorders>
              <w:top w:val="single" w:sz="4" w:space="0" w:color="auto"/>
              <w:left w:val="single" w:sz="8" w:space="0" w:color="auto"/>
              <w:bottom w:val="single" w:sz="4" w:space="0" w:color="auto"/>
              <w:right w:val="single" w:sz="6" w:space="0" w:color="auto"/>
            </w:tcBorders>
          </w:tcPr>
          <w:p w14:paraId="472BA588" w14:textId="77777777" w:rsidR="00F332DA" w:rsidRPr="00BD76AF" w:rsidRDefault="00F332DA" w:rsidP="0079334B">
            <w:pPr>
              <w:tabs>
                <w:tab w:val="left" w:pos="1055"/>
              </w:tabs>
              <w:overflowPunct/>
              <w:autoSpaceDE/>
              <w:autoSpaceDN/>
              <w:adjustRightInd/>
              <w:spacing w:before="60" w:after="60"/>
              <w:textAlignment w:val="auto"/>
              <w:rPr>
                <w:sz w:val="20"/>
                <w:lang w:val="en-GB" w:eastAsia="en-US"/>
              </w:rPr>
            </w:pPr>
            <w:r w:rsidRPr="00BD76AF">
              <w:t xml:space="preserve">b : </w:t>
            </w:r>
            <w:r w:rsidRPr="00BD76AF">
              <w:rPr>
                <w:u w:val="single"/>
              </w:rPr>
              <w:tab/>
            </w:r>
          </w:p>
        </w:tc>
      </w:tr>
      <w:tr w:rsidR="00F332DA" w:rsidRPr="00BD76AF" w14:paraId="3671E208" w14:textId="77777777" w:rsidTr="0079334B">
        <w:trPr>
          <w:tblHeader/>
        </w:trPr>
        <w:tc>
          <w:tcPr>
            <w:tcW w:w="898" w:type="dxa"/>
            <w:tcBorders>
              <w:top w:val="single" w:sz="4" w:space="0" w:color="auto"/>
              <w:left w:val="single" w:sz="8" w:space="0" w:color="auto"/>
              <w:bottom w:val="single" w:sz="4" w:space="0" w:color="auto"/>
              <w:right w:val="single" w:sz="8" w:space="0" w:color="auto"/>
            </w:tcBorders>
          </w:tcPr>
          <w:p w14:paraId="1C2825BB"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1275" w:type="dxa"/>
            <w:tcBorders>
              <w:top w:val="single" w:sz="4" w:space="0" w:color="auto"/>
              <w:left w:val="single" w:sz="8" w:space="0" w:color="auto"/>
              <w:bottom w:val="single" w:sz="4" w:space="0" w:color="auto"/>
              <w:right w:val="single" w:sz="8" w:space="0" w:color="auto"/>
            </w:tcBorders>
          </w:tcPr>
          <w:p w14:paraId="4B3C387F"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1218" w:type="dxa"/>
            <w:tcBorders>
              <w:top w:val="single" w:sz="4" w:space="0" w:color="auto"/>
              <w:left w:val="single" w:sz="8" w:space="0" w:color="auto"/>
              <w:bottom w:val="single" w:sz="4" w:space="0" w:color="auto"/>
              <w:right w:val="single" w:sz="8" w:space="0" w:color="auto"/>
            </w:tcBorders>
          </w:tcPr>
          <w:p w14:paraId="60503780"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625" w:type="dxa"/>
            <w:tcBorders>
              <w:top w:val="single" w:sz="4" w:space="0" w:color="auto"/>
              <w:left w:val="single" w:sz="8" w:space="0" w:color="auto"/>
              <w:bottom w:val="single" w:sz="4" w:space="0" w:color="auto"/>
              <w:right w:val="single" w:sz="8" w:space="0" w:color="auto"/>
            </w:tcBorders>
          </w:tcPr>
          <w:p w14:paraId="006E21C4"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567" w:type="dxa"/>
            <w:tcBorders>
              <w:top w:val="single" w:sz="4" w:space="0" w:color="auto"/>
              <w:left w:val="single" w:sz="8" w:space="0" w:color="auto"/>
              <w:bottom w:val="single" w:sz="4" w:space="0" w:color="auto"/>
              <w:right w:val="single" w:sz="8" w:space="0" w:color="auto"/>
            </w:tcBorders>
          </w:tcPr>
          <w:p w14:paraId="1C11FDC6"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851" w:type="dxa"/>
            <w:tcBorders>
              <w:top w:val="single" w:sz="4" w:space="0" w:color="auto"/>
              <w:left w:val="single" w:sz="8" w:space="0" w:color="auto"/>
              <w:bottom w:val="single" w:sz="4" w:space="0" w:color="auto"/>
              <w:right w:val="single" w:sz="8" w:space="0" w:color="auto"/>
            </w:tcBorders>
          </w:tcPr>
          <w:p w14:paraId="794156CA"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708" w:type="dxa"/>
            <w:tcBorders>
              <w:top w:val="single" w:sz="4" w:space="0" w:color="auto"/>
              <w:left w:val="single" w:sz="8" w:space="0" w:color="auto"/>
              <w:bottom w:val="single" w:sz="4" w:space="0" w:color="auto"/>
              <w:right w:val="single" w:sz="8" w:space="0" w:color="auto"/>
            </w:tcBorders>
          </w:tcPr>
          <w:p w14:paraId="5AAB821F"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804" w:type="dxa"/>
            <w:tcBorders>
              <w:top w:val="single" w:sz="4" w:space="0" w:color="auto"/>
              <w:left w:val="single" w:sz="8" w:space="0" w:color="auto"/>
              <w:bottom w:val="single" w:sz="4" w:space="0" w:color="auto"/>
              <w:right w:val="single" w:sz="8" w:space="0" w:color="auto"/>
            </w:tcBorders>
          </w:tcPr>
          <w:p w14:paraId="00ABD5BA"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756" w:type="dxa"/>
            <w:tcBorders>
              <w:top w:val="single" w:sz="4" w:space="0" w:color="auto"/>
              <w:left w:val="single" w:sz="8" w:space="0" w:color="auto"/>
              <w:bottom w:val="single" w:sz="4" w:space="0" w:color="auto"/>
              <w:right w:val="single" w:sz="8" w:space="0" w:color="auto"/>
            </w:tcBorders>
          </w:tcPr>
          <w:p w14:paraId="5B32FAB7"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1417" w:type="dxa"/>
            <w:tcBorders>
              <w:top w:val="single" w:sz="4" w:space="0" w:color="auto"/>
              <w:left w:val="single" w:sz="8" w:space="0" w:color="auto"/>
              <w:bottom w:val="single" w:sz="4" w:space="0" w:color="auto"/>
              <w:right w:val="single" w:sz="6" w:space="0" w:color="auto"/>
            </w:tcBorders>
          </w:tcPr>
          <w:p w14:paraId="4DC91686" w14:textId="77777777" w:rsidR="00F332DA" w:rsidRPr="00BD76AF" w:rsidRDefault="00F332DA" w:rsidP="0079334B">
            <w:pPr>
              <w:tabs>
                <w:tab w:val="left" w:pos="1055"/>
              </w:tabs>
              <w:overflowPunct/>
              <w:autoSpaceDE/>
              <w:autoSpaceDN/>
              <w:adjustRightInd/>
              <w:spacing w:before="60" w:after="60"/>
              <w:textAlignment w:val="auto"/>
              <w:rPr>
                <w:sz w:val="20"/>
                <w:lang w:val="en-GB" w:eastAsia="en-US"/>
              </w:rPr>
            </w:pPr>
            <w:r w:rsidRPr="00BD76AF">
              <w:t xml:space="preserve">c : </w:t>
            </w:r>
            <w:r w:rsidRPr="00BD76AF">
              <w:rPr>
                <w:u w:val="single"/>
              </w:rPr>
              <w:tab/>
            </w:r>
          </w:p>
        </w:tc>
      </w:tr>
      <w:tr w:rsidR="00F332DA" w:rsidRPr="00BD76AF" w14:paraId="4B4C8332" w14:textId="77777777" w:rsidTr="0079334B">
        <w:trPr>
          <w:tblHeader/>
        </w:trPr>
        <w:tc>
          <w:tcPr>
            <w:tcW w:w="898" w:type="dxa"/>
            <w:tcBorders>
              <w:top w:val="single" w:sz="4" w:space="0" w:color="auto"/>
              <w:left w:val="single" w:sz="8" w:space="0" w:color="auto"/>
              <w:bottom w:val="single" w:sz="4" w:space="0" w:color="auto"/>
              <w:right w:val="single" w:sz="8" w:space="0" w:color="auto"/>
            </w:tcBorders>
          </w:tcPr>
          <w:p w14:paraId="49F90E18"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1275" w:type="dxa"/>
            <w:tcBorders>
              <w:top w:val="single" w:sz="4" w:space="0" w:color="auto"/>
              <w:left w:val="single" w:sz="8" w:space="0" w:color="auto"/>
              <w:bottom w:val="single" w:sz="4" w:space="0" w:color="auto"/>
              <w:right w:val="single" w:sz="8" w:space="0" w:color="auto"/>
            </w:tcBorders>
          </w:tcPr>
          <w:p w14:paraId="729E899B"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1218" w:type="dxa"/>
            <w:tcBorders>
              <w:top w:val="single" w:sz="4" w:space="0" w:color="auto"/>
              <w:left w:val="single" w:sz="8" w:space="0" w:color="auto"/>
              <w:bottom w:val="single" w:sz="4" w:space="0" w:color="auto"/>
              <w:right w:val="single" w:sz="8" w:space="0" w:color="auto"/>
            </w:tcBorders>
          </w:tcPr>
          <w:p w14:paraId="4711E5CF"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625" w:type="dxa"/>
            <w:tcBorders>
              <w:top w:val="single" w:sz="4" w:space="0" w:color="auto"/>
              <w:left w:val="single" w:sz="8" w:space="0" w:color="auto"/>
              <w:bottom w:val="single" w:sz="4" w:space="0" w:color="auto"/>
              <w:right w:val="single" w:sz="8" w:space="0" w:color="auto"/>
            </w:tcBorders>
          </w:tcPr>
          <w:p w14:paraId="14AA22A0"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567" w:type="dxa"/>
            <w:tcBorders>
              <w:top w:val="single" w:sz="4" w:space="0" w:color="auto"/>
              <w:left w:val="single" w:sz="8" w:space="0" w:color="auto"/>
              <w:bottom w:val="single" w:sz="4" w:space="0" w:color="auto"/>
              <w:right w:val="single" w:sz="8" w:space="0" w:color="auto"/>
            </w:tcBorders>
          </w:tcPr>
          <w:p w14:paraId="5DFF013B"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851" w:type="dxa"/>
            <w:tcBorders>
              <w:top w:val="single" w:sz="4" w:space="0" w:color="auto"/>
              <w:left w:val="single" w:sz="8" w:space="0" w:color="auto"/>
              <w:bottom w:val="single" w:sz="4" w:space="0" w:color="auto"/>
              <w:right w:val="single" w:sz="8" w:space="0" w:color="auto"/>
            </w:tcBorders>
          </w:tcPr>
          <w:p w14:paraId="1ADF1B9D"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708" w:type="dxa"/>
            <w:tcBorders>
              <w:top w:val="single" w:sz="4" w:space="0" w:color="auto"/>
              <w:left w:val="single" w:sz="8" w:space="0" w:color="auto"/>
              <w:bottom w:val="single" w:sz="4" w:space="0" w:color="auto"/>
              <w:right w:val="single" w:sz="8" w:space="0" w:color="auto"/>
            </w:tcBorders>
          </w:tcPr>
          <w:p w14:paraId="7C330E14"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804" w:type="dxa"/>
            <w:tcBorders>
              <w:top w:val="single" w:sz="4" w:space="0" w:color="auto"/>
              <w:left w:val="single" w:sz="8" w:space="0" w:color="auto"/>
              <w:bottom w:val="single" w:sz="4" w:space="0" w:color="auto"/>
              <w:right w:val="single" w:sz="8" w:space="0" w:color="auto"/>
            </w:tcBorders>
          </w:tcPr>
          <w:p w14:paraId="4DB0105F"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756" w:type="dxa"/>
            <w:tcBorders>
              <w:top w:val="single" w:sz="4" w:space="0" w:color="auto"/>
              <w:left w:val="single" w:sz="8" w:space="0" w:color="auto"/>
              <w:bottom w:val="single" w:sz="4" w:space="0" w:color="auto"/>
              <w:right w:val="single" w:sz="8" w:space="0" w:color="auto"/>
            </w:tcBorders>
          </w:tcPr>
          <w:p w14:paraId="7670F722"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1417" w:type="dxa"/>
            <w:tcBorders>
              <w:top w:val="single" w:sz="4" w:space="0" w:color="auto"/>
              <w:left w:val="single" w:sz="8" w:space="0" w:color="auto"/>
              <w:bottom w:val="single" w:sz="4" w:space="0" w:color="auto"/>
              <w:right w:val="single" w:sz="6" w:space="0" w:color="auto"/>
            </w:tcBorders>
          </w:tcPr>
          <w:p w14:paraId="66C5BF65" w14:textId="77777777" w:rsidR="00F332DA" w:rsidRPr="00BD76AF" w:rsidRDefault="00F332DA" w:rsidP="0079334B">
            <w:pPr>
              <w:tabs>
                <w:tab w:val="left" w:pos="1055"/>
              </w:tabs>
              <w:overflowPunct/>
              <w:autoSpaceDE/>
              <w:autoSpaceDN/>
              <w:adjustRightInd/>
              <w:spacing w:before="60" w:after="60"/>
              <w:textAlignment w:val="auto"/>
              <w:rPr>
                <w:sz w:val="20"/>
                <w:lang w:val="en-GB" w:eastAsia="en-US"/>
              </w:rPr>
            </w:pPr>
            <w:r w:rsidRPr="00BD76AF">
              <w:t xml:space="preserve">d : </w:t>
            </w:r>
            <w:r w:rsidRPr="00BD76AF">
              <w:rPr>
                <w:u w:val="single"/>
              </w:rPr>
              <w:tab/>
            </w:r>
          </w:p>
        </w:tc>
      </w:tr>
      <w:tr w:rsidR="00F332DA" w:rsidRPr="00BD76AF" w14:paraId="0F2D6D08" w14:textId="77777777" w:rsidTr="0079334B">
        <w:trPr>
          <w:tblHeader/>
        </w:trPr>
        <w:tc>
          <w:tcPr>
            <w:tcW w:w="898" w:type="dxa"/>
            <w:tcBorders>
              <w:top w:val="single" w:sz="4" w:space="0" w:color="auto"/>
              <w:left w:val="single" w:sz="8" w:space="0" w:color="auto"/>
              <w:bottom w:val="single" w:sz="8" w:space="0" w:color="auto"/>
              <w:right w:val="single" w:sz="8" w:space="0" w:color="auto"/>
            </w:tcBorders>
          </w:tcPr>
          <w:p w14:paraId="5151F885"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1275" w:type="dxa"/>
            <w:tcBorders>
              <w:top w:val="single" w:sz="4" w:space="0" w:color="auto"/>
              <w:left w:val="single" w:sz="8" w:space="0" w:color="auto"/>
              <w:bottom w:val="single" w:sz="8" w:space="0" w:color="auto"/>
              <w:right w:val="single" w:sz="8" w:space="0" w:color="auto"/>
            </w:tcBorders>
          </w:tcPr>
          <w:p w14:paraId="50B7DA9C"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1218" w:type="dxa"/>
            <w:tcBorders>
              <w:top w:val="single" w:sz="4" w:space="0" w:color="auto"/>
              <w:left w:val="single" w:sz="8" w:space="0" w:color="auto"/>
              <w:bottom w:val="single" w:sz="8" w:space="0" w:color="auto"/>
              <w:right w:val="single" w:sz="8" w:space="0" w:color="auto"/>
            </w:tcBorders>
          </w:tcPr>
          <w:p w14:paraId="384A79C6"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625" w:type="dxa"/>
            <w:tcBorders>
              <w:top w:val="single" w:sz="4" w:space="0" w:color="auto"/>
              <w:left w:val="single" w:sz="8" w:space="0" w:color="auto"/>
              <w:bottom w:val="single" w:sz="8" w:space="0" w:color="auto"/>
              <w:right w:val="single" w:sz="8" w:space="0" w:color="auto"/>
            </w:tcBorders>
          </w:tcPr>
          <w:p w14:paraId="1C2E7860"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567" w:type="dxa"/>
            <w:tcBorders>
              <w:top w:val="single" w:sz="4" w:space="0" w:color="auto"/>
              <w:left w:val="single" w:sz="8" w:space="0" w:color="auto"/>
              <w:bottom w:val="single" w:sz="8" w:space="0" w:color="auto"/>
              <w:right w:val="single" w:sz="8" w:space="0" w:color="auto"/>
            </w:tcBorders>
          </w:tcPr>
          <w:p w14:paraId="3DCCAD61"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851" w:type="dxa"/>
            <w:tcBorders>
              <w:top w:val="single" w:sz="4" w:space="0" w:color="auto"/>
              <w:left w:val="single" w:sz="8" w:space="0" w:color="auto"/>
              <w:bottom w:val="single" w:sz="8" w:space="0" w:color="auto"/>
              <w:right w:val="single" w:sz="8" w:space="0" w:color="auto"/>
            </w:tcBorders>
          </w:tcPr>
          <w:p w14:paraId="7024260C"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708" w:type="dxa"/>
            <w:tcBorders>
              <w:top w:val="single" w:sz="4" w:space="0" w:color="auto"/>
              <w:left w:val="single" w:sz="8" w:space="0" w:color="auto"/>
              <w:bottom w:val="single" w:sz="8" w:space="0" w:color="auto"/>
              <w:right w:val="single" w:sz="8" w:space="0" w:color="auto"/>
            </w:tcBorders>
          </w:tcPr>
          <w:p w14:paraId="35D482F6"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804" w:type="dxa"/>
            <w:tcBorders>
              <w:top w:val="single" w:sz="4" w:space="0" w:color="auto"/>
              <w:left w:val="single" w:sz="8" w:space="0" w:color="auto"/>
              <w:bottom w:val="single" w:sz="8" w:space="0" w:color="auto"/>
              <w:right w:val="single" w:sz="8" w:space="0" w:color="auto"/>
            </w:tcBorders>
          </w:tcPr>
          <w:p w14:paraId="34B0E0B9"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756" w:type="dxa"/>
            <w:tcBorders>
              <w:top w:val="single" w:sz="4" w:space="0" w:color="auto"/>
              <w:left w:val="single" w:sz="8" w:space="0" w:color="auto"/>
              <w:bottom w:val="single" w:sz="8" w:space="0" w:color="auto"/>
              <w:right w:val="single" w:sz="8" w:space="0" w:color="auto"/>
            </w:tcBorders>
          </w:tcPr>
          <w:p w14:paraId="00A9EC62" w14:textId="77777777" w:rsidR="00F332DA" w:rsidRPr="00BD76AF" w:rsidRDefault="00F332DA" w:rsidP="0079334B">
            <w:pPr>
              <w:overflowPunct/>
              <w:autoSpaceDE/>
              <w:autoSpaceDN/>
              <w:adjustRightInd/>
              <w:jc w:val="center"/>
              <w:textAlignment w:val="auto"/>
              <w:rPr>
                <w:b/>
                <w:bCs/>
                <w:iCs/>
                <w:sz w:val="20"/>
                <w:lang w:val="en-GB" w:eastAsia="en-US"/>
              </w:rPr>
            </w:pPr>
          </w:p>
        </w:tc>
        <w:tc>
          <w:tcPr>
            <w:tcW w:w="1417" w:type="dxa"/>
            <w:tcBorders>
              <w:top w:val="single" w:sz="4" w:space="0" w:color="auto"/>
              <w:left w:val="single" w:sz="8" w:space="0" w:color="auto"/>
              <w:bottom w:val="single" w:sz="18" w:space="0" w:color="auto"/>
              <w:right w:val="single" w:sz="6" w:space="0" w:color="auto"/>
            </w:tcBorders>
          </w:tcPr>
          <w:p w14:paraId="11DE108B" w14:textId="77777777" w:rsidR="00F332DA" w:rsidRPr="00BD76AF" w:rsidRDefault="00F332DA" w:rsidP="0079334B">
            <w:pPr>
              <w:tabs>
                <w:tab w:val="left" w:pos="1055"/>
              </w:tabs>
              <w:overflowPunct/>
              <w:autoSpaceDE/>
              <w:autoSpaceDN/>
              <w:adjustRightInd/>
              <w:spacing w:before="60" w:after="60"/>
              <w:textAlignment w:val="auto"/>
              <w:rPr>
                <w:b/>
                <w:bCs/>
                <w:iCs/>
                <w:sz w:val="20"/>
                <w:lang w:val="en-GB" w:eastAsia="en-US"/>
              </w:rPr>
            </w:pPr>
            <w:r w:rsidRPr="00BD76AF">
              <w:t xml:space="preserve">e : </w:t>
            </w:r>
            <w:r w:rsidRPr="00BD76AF">
              <w:rPr>
                <w:u w:val="single"/>
              </w:rPr>
              <w:tab/>
            </w:r>
          </w:p>
        </w:tc>
      </w:tr>
      <w:tr w:rsidR="00F332DA" w:rsidRPr="00BD76AF" w14:paraId="106A4124" w14:textId="77777777" w:rsidTr="0079334B">
        <w:trPr>
          <w:tblHeader/>
        </w:trPr>
        <w:tc>
          <w:tcPr>
            <w:tcW w:w="898" w:type="dxa"/>
            <w:tcBorders>
              <w:top w:val="single" w:sz="2" w:space="0" w:color="auto"/>
            </w:tcBorders>
          </w:tcPr>
          <w:p w14:paraId="5CBC844A" w14:textId="77777777" w:rsidR="00F332DA" w:rsidRPr="00BD76AF" w:rsidRDefault="00F332DA" w:rsidP="0079334B">
            <w:pPr>
              <w:overflowPunct/>
              <w:autoSpaceDE/>
              <w:autoSpaceDN/>
              <w:adjustRightInd/>
              <w:textAlignment w:val="auto"/>
              <w:rPr>
                <w:b/>
                <w:bCs/>
                <w:sz w:val="18"/>
                <w:lang w:val="en-GB" w:eastAsia="en-US"/>
              </w:rPr>
            </w:pPr>
          </w:p>
        </w:tc>
        <w:tc>
          <w:tcPr>
            <w:tcW w:w="1275" w:type="dxa"/>
            <w:tcBorders>
              <w:top w:val="single" w:sz="2" w:space="0" w:color="auto"/>
            </w:tcBorders>
          </w:tcPr>
          <w:p w14:paraId="472BEBCD" w14:textId="77777777" w:rsidR="00F332DA" w:rsidRPr="00BD76AF" w:rsidRDefault="00F332DA" w:rsidP="0079334B">
            <w:pPr>
              <w:overflowPunct/>
              <w:autoSpaceDE/>
              <w:autoSpaceDN/>
              <w:adjustRightInd/>
              <w:textAlignment w:val="auto"/>
              <w:rPr>
                <w:b/>
                <w:bCs/>
                <w:sz w:val="18"/>
                <w:lang w:val="en-GB" w:eastAsia="en-US"/>
              </w:rPr>
            </w:pPr>
          </w:p>
        </w:tc>
        <w:tc>
          <w:tcPr>
            <w:tcW w:w="1218" w:type="dxa"/>
            <w:tcBorders>
              <w:top w:val="single" w:sz="2" w:space="0" w:color="auto"/>
              <w:right w:val="single" w:sz="8" w:space="0" w:color="auto"/>
            </w:tcBorders>
          </w:tcPr>
          <w:p w14:paraId="7B02029E" w14:textId="77777777" w:rsidR="00F332DA" w:rsidRPr="00BD76AF" w:rsidRDefault="00F332DA" w:rsidP="0079334B">
            <w:pPr>
              <w:overflowPunct/>
              <w:autoSpaceDE/>
              <w:autoSpaceDN/>
              <w:adjustRightInd/>
              <w:textAlignment w:val="auto"/>
              <w:rPr>
                <w:b/>
                <w:bCs/>
                <w:sz w:val="18"/>
                <w:lang w:val="en-GB" w:eastAsia="en-US"/>
              </w:rPr>
            </w:pPr>
          </w:p>
        </w:tc>
        <w:tc>
          <w:tcPr>
            <w:tcW w:w="2751" w:type="dxa"/>
            <w:gridSpan w:val="4"/>
            <w:tcBorders>
              <w:top w:val="single" w:sz="8" w:space="0" w:color="auto"/>
              <w:left w:val="single" w:sz="8" w:space="0" w:color="auto"/>
              <w:bottom w:val="single" w:sz="8" w:space="0" w:color="auto"/>
            </w:tcBorders>
          </w:tcPr>
          <w:p w14:paraId="172B5DDD" w14:textId="77777777" w:rsidR="00F332DA" w:rsidRPr="00BD76AF" w:rsidRDefault="00F332DA" w:rsidP="0079334B">
            <w:pPr>
              <w:overflowPunct/>
              <w:autoSpaceDE/>
              <w:autoSpaceDN/>
              <w:adjustRightInd/>
              <w:jc w:val="center"/>
              <w:textAlignment w:val="auto"/>
              <w:rPr>
                <w:b/>
                <w:bCs/>
                <w:sz w:val="22"/>
                <w:szCs w:val="22"/>
                <w:lang w:val="en-GB" w:eastAsia="en-US"/>
              </w:rPr>
            </w:pPr>
            <w:r w:rsidRPr="00BD76AF">
              <w:rPr>
                <w:b/>
                <w:bCs/>
                <w:sz w:val="22"/>
                <w:szCs w:val="22"/>
                <w:lang w:val="en-GB" w:eastAsia="en-US"/>
              </w:rPr>
              <w:t>Total</w:t>
            </w:r>
          </w:p>
        </w:tc>
        <w:tc>
          <w:tcPr>
            <w:tcW w:w="1560" w:type="dxa"/>
            <w:gridSpan w:val="2"/>
            <w:tcBorders>
              <w:top w:val="single" w:sz="8" w:space="0" w:color="auto"/>
              <w:bottom w:val="single" w:sz="8" w:space="0" w:color="auto"/>
              <w:right w:val="single" w:sz="18" w:space="0" w:color="auto"/>
            </w:tcBorders>
          </w:tcPr>
          <w:p w14:paraId="75BCA180" w14:textId="77777777" w:rsidR="00F332DA" w:rsidRPr="00BD76AF" w:rsidRDefault="00F332DA" w:rsidP="0079334B">
            <w:pPr>
              <w:overflowPunct/>
              <w:autoSpaceDE/>
              <w:autoSpaceDN/>
              <w:adjustRightInd/>
              <w:textAlignment w:val="auto"/>
              <w:rPr>
                <w:b/>
                <w:bCs/>
                <w:sz w:val="22"/>
                <w:szCs w:val="22"/>
                <w:lang w:val="en-GB" w:eastAsia="en-US"/>
              </w:rPr>
            </w:pPr>
          </w:p>
        </w:tc>
        <w:tc>
          <w:tcPr>
            <w:tcW w:w="1417" w:type="dxa"/>
            <w:tcBorders>
              <w:top w:val="single" w:sz="18" w:space="0" w:color="auto"/>
              <w:left w:val="single" w:sz="18" w:space="0" w:color="auto"/>
              <w:bottom w:val="single" w:sz="18" w:space="0" w:color="auto"/>
              <w:right w:val="single" w:sz="18" w:space="0" w:color="auto"/>
            </w:tcBorders>
          </w:tcPr>
          <w:p w14:paraId="608CB0DF" w14:textId="77777777" w:rsidR="00F332DA" w:rsidRPr="00BD76AF" w:rsidRDefault="00F332DA" w:rsidP="0079334B">
            <w:pPr>
              <w:tabs>
                <w:tab w:val="decimal" w:pos="695"/>
              </w:tabs>
              <w:overflowPunct/>
              <w:autoSpaceDE/>
              <w:autoSpaceDN/>
              <w:adjustRightInd/>
              <w:textAlignment w:val="auto"/>
              <w:rPr>
                <w:bCs/>
                <w:sz w:val="22"/>
                <w:szCs w:val="22"/>
                <w:lang w:val="en-GB" w:eastAsia="en-US"/>
              </w:rPr>
            </w:pPr>
            <w:r w:rsidRPr="00BD76AF">
              <w:rPr>
                <w:bCs/>
                <w:sz w:val="22"/>
                <w:szCs w:val="22"/>
                <w:lang w:val="en-GB" w:eastAsia="en-US"/>
              </w:rPr>
              <w:t>1,00</w:t>
            </w:r>
          </w:p>
        </w:tc>
      </w:tr>
    </w:tbl>
    <w:p w14:paraId="5751CBA8" w14:textId="77777777" w:rsidR="00F332DA" w:rsidRPr="00BD76AF" w:rsidRDefault="00F332DA" w:rsidP="0079334B">
      <w:pPr>
        <w:spacing w:afterLines="50" w:after="120"/>
        <w:rPr>
          <w:b/>
          <w:lang w:eastAsia="ja-JP"/>
        </w:rPr>
      </w:pPr>
    </w:p>
    <w:p w14:paraId="77FED41B" w14:textId="77777777" w:rsidR="00F332DA" w:rsidRPr="00BD76AF" w:rsidRDefault="00F332DA" w:rsidP="0092202D">
      <w:pPr>
        <w:spacing w:afterLines="50" w:after="120"/>
        <w:rPr>
          <w:smallCaps/>
        </w:rPr>
      </w:pPr>
      <w:r w:rsidRPr="00BD76AF">
        <w:rPr>
          <w:b/>
          <w:smallCaps/>
        </w:rPr>
        <w:t>FORMULES DE RÉVISION DES PRIX</w:t>
      </w:r>
    </w:p>
    <w:p w14:paraId="061BF51E" w14:textId="77777777" w:rsidR="00F332DA" w:rsidRPr="00BD76AF" w:rsidRDefault="00F332DA" w:rsidP="0092202D">
      <w:pPr>
        <w:spacing w:afterLines="50" w:after="120"/>
      </w:pPr>
      <w:r w:rsidRPr="00BD76AF">
        <w:t>Les formules doivent être du format suivant :</w:t>
      </w:r>
    </w:p>
    <w:p w14:paraId="79972330" w14:textId="77777777" w:rsidR="00F332DA" w:rsidRPr="00BD76AF" w:rsidRDefault="00F332DA" w:rsidP="0079334B">
      <w:pPr>
        <w:spacing w:afterLines="50" w:after="120"/>
        <w:rPr>
          <w:lang w:val="en-GB" w:eastAsia="ja-JP"/>
        </w:rPr>
      </w:pPr>
      <m:oMathPara>
        <m:oMathParaPr>
          <m:jc m:val="left"/>
        </m:oMathParaPr>
        <m:oMath>
          <m:r>
            <w:rPr>
              <w:rFonts w:ascii="Cambria Math" w:hAnsi="Cambria Math"/>
            </w:rPr>
            <m:t>Pn=a+b</m:t>
          </m:r>
          <m:f>
            <m:fPr>
              <m:ctrlPr>
                <w:rPr>
                  <w:rFonts w:ascii="Cambria Math" w:eastAsia="游明朝" w:hAnsi="Cambria Math"/>
                  <w:i/>
                  <w:sz w:val="22"/>
                  <w:szCs w:val="22"/>
                  <w:lang w:eastAsia="ja-JP"/>
                </w:rPr>
              </m:ctrlPr>
            </m:fPr>
            <m:num>
              <m:r>
                <w:rPr>
                  <w:rFonts w:ascii="Cambria Math" w:hAnsi="Cambria Math"/>
                </w:rPr>
                <m:t>Ln</m:t>
              </m:r>
            </m:num>
            <m:den>
              <m:r>
                <w:rPr>
                  <w:rFonts w:ascii="Cambria Math" w:hAnsi="Cambria Math"/>
                </w:rPr>
                <m:t>Lo</m:t>
              </m:r>
            </m:den>
          </m:f>
          <m:r>
            <w:rPr>
              <w:rFonts w:ascii="Cambria Math" w:hAnsi="Cambria Math"/>
            </w:rPr>
            <m:t>+c</m:t>
          </m:r>
          <m:f>
            <m:fPr>
              <m:ctrlPr>
                <w:rPr>
                  <w:rFonts w:ascii="Cambria Math" w:eastAsia="游明朝" w:hAnsi="Cambria Math"/>
                  <w:i/>
                  <w:sz w:val="22"/>
                  <w:szCs w:val="22"/>
                  <w:lang w:eastAsia="ja-JP"/>
                </w:rPr>
              </m:ctrlPr>
            </m:fPr>
            <m:num>
              <m:r>
                <w:rPr>
                  <w:rFonts w:ascii="Cambria Math" w:hAnsi="Cambria Math"/>
                </w:rPr>
                <m:t>En</m:t>
              </m:r>
            </m:num>
            <m:den>
              <m:r>
                <w:rPr>
                  <w:rFonts w:ascii="Cambria Math" w:hAnsi="Cambria Math"/>
                </w:rPr>
                <m:t>Eo</m:t>
              </m:r>
            </m:den>
          </m:f>
          <m:r>
            <w:rPr>
              <w:rFonts w:ascii="Cambria Math" w:hAnsi="Cambria Math"/>
            </w:rPr>
            <m:t>+ d</m:t>
          </m:r>
          <m:f>
            <m:fPr>
              <m:ctrlPr>
                <w:rPr>
                  <w:rFonts w:ascii="Cambria Math" w:eastAsia="游明朝" w:hAnsi="Cambria Math"/>
                  <w:i/>
                  <w:sz w:val="22"/>
                  <w:szCs w:val="22"/>
                  <w:lang w:eastAsia="ja-JP"/>
                </w:rPr>
              </m:ctrlPr>
            </m:fPr>
            <m:num>
              <m:r>
                <w:rPr>
                  <w:rFonts w:ascii="Cambria Math" w:hAnsi="Cambria Math"/>
                </w:rPr>
                <m:t>Mn</m:t>
              </m:r>
            </m:num>
            <m:den>
              <m:r>
                <w:rPr>
                  <w:rFonts w:ascii="Cambria Math" w:hAnsi="Cambria Math"/>
                </w:rPr>
                <m:t>Mo</m:t>
              </m:r>
            </m:den>
          </m:f>
          <m:r>
            <w:rPr>
              <w:rFonts w:ascii="Cambria Math" w:hAnsi="Cambria Math"/>
            </w:rPr>
            <m:t>+…</m:t>
          </m:r>
        </m:oMath>
      </m:oMathPara>
    </w:p>
    <w:p w14:paraId="362DD77B" w14:textId="77777777" w:rsidR="00F332DA" w:rsidRPr="00BD76AF" w:rsidRDefault="00F332DA" w:rsidP="0079334B">
      <w:pPr>
        <w:ind w:left="568"/>
        <w:jc w:val="left"/>
        <w:rPr>
          <w:b/>
          <w:lang w:val="en-GB"/>
        </w:rPr>
      </w:pPr>
      <w:r w:rsidRPr="00BD76AF">
        <w:rPr>
          <w:b/>
          <w:lang w:val="en-GB"/>
        </w:rPr>
        <w:tab/>
      </w:r>
    </w:p>
    <w:p w14:paraId="17B06B05" w14:textId="77777777" w:rsidR="00F332DA" w:rsidRPr="00BD76AF" w:rsidRDefault="00F332DA" w:rsidP="0079334B">
      <w:pPr>
        <w:widowControl w:val="0"/>
        <w:suppressAutoHyphens w:val="0"/>
        <w:overflowPunct/>
        <w:autoSpaceDE/>
        <w:autoSpaceDN/>
        <w:adjustRightInd/>
        <w:textAlignment w:val="auto"/>
      </w:pPr>
      <w:r w:rsidRPr="00BD76AF">
        <w:t>où :</w:t>
      </w:r>
    </w:p>
    <w:p w14:paraId="6606506B" w14:textId="77777777" w:rsidR="00F332DA" w:rsidRPr="00BD76AF" w:rsidRDefault="00F332DA" w:rsidP="00FF16BE">
      <w:pPr>
        <w:tabs>
          <w:tab w:val="left" w:pos="1418"/>
        </w:tabs>
        <w:suppressAutoHyphens w:val="0"/>
        <w:overflowPunct/>
        <w:autoSpaceDE/>
        <w:autoSpaceDN/>
        <w:adjustRightInd/>
        <w:ind w:left="1418" w:hanging="566"/>
        <w:textAlignment w:val="auto"/>
      </w:pPr>
      <w:r w:rsidRPr="00BD76AF">
        <w:rPr>
          <w:rFonts w:hint="eastAsia"/>
        </w:rPr>
        <w:t>«</w:t>
      </w:r>
      <w:r w:rsidRPr="00BD76AF">
        <w:t xml:space="preserve"> Pn » est le coefficient de révision à appliquer au montant des paiements effectués conformément à l’Annexe 1 (</w:t>
      </w:r>
      <w:r w:rsidRPr="00BD76AF">
        <w:rPr>
          <w:i/>
        </w:rPr>
        <w:t>Conditions et procédures de règlement</w:t>
      </w:r>
      <w:r w:rsidRPr="00BD76AF">
        <w:t>) de l’Acte d’engagement pendant la période « n », cette période étant d’un mois sauf si le</w:t>
      </w:r>
      <w:r w:rsidRPr="00BD76AF">
        <w:rPr>
          <w:color w:val="FF0000"/>
        </w:rPr>
        <w:t xml:space="preserve"> </w:t>
      </w:r>
      <w:r w:rsidRPr="00BD76AF">
        <w:t>Marché</w:t>
      </w:r>
      <w:r w:rsidRPr="00BD76AF">
        <w:rPr>
          <w:color w:val="FF0000"/>
        </w:rPr>
        <w:t xml:space="preserve"> </w:t>
      </w:r>
      <w:r w:rsidRPr="00BD76AF">
        <w:t>en dispose autrement ;</w:t>
      </w:r>
    </w:p>
    <w:p w14:paraId="1B47FC27" w14:textId="77777777" w:rsidR="00F332DA" w:rsidRPr="00BD76AF" w:rsidRDefault="00F332DA" w:rsidP="0079334B">
      <w:pPr>
        <w:widowControl w:val="0"/>
        <w:suppressAutoHyphens w:val="0"/>
        <w:overflowPunct/>
        <w:autoSpaceDE/>
        <w:autoSpaceDN/>
        <w:adjustRightInd/>
        <w:ind w:left="851"/>
        <w:textAlignment w:val="auto"/>
      </w:pPr>
    </w:p>
    <w:p w14:paraId="33A1317F" w14:textId="77777777" w:rsidR="00F332DA" w:rsidRPr="00BD76AF" w:rsidRDefault="00F332DA" w:rsidP="0079334B">
      <w:pPr>
        <w:widowControl w:val="0"/>
        <w:suppressAutoHyphens w:val="0"/>
        <w:overflowPunct/>
        <w:autoSpaceDE/>
        <w:autoSpaceDN/>
        <w:adjustRightInd/>
        <w:ind w:left="851"/>
        <w:textAlignment w:val="auto"/>
      </w:pPr>
      <w:r w:rsidRPr="00BD76AF">
        <w:rPr>
          <w:rFonts w:hint="eastAsia"/>
        </w:rPr>
        <w:t>«</w:t>
      </w:r>
      <w:r w:rsidRPr="00BD76AF">
        <w:t xml:space="preserve"> a » est un coefficient fixe, mentionné dans le tableau applicable des données de révision, représentant la part non révisable des paiements contractuels ;</w:t>
      </w:r>
    </w:p>
    <w:p w14:paraId="49F499FF" w14:textId="77777777" w:rsidR="00F332DA" w:rsidRPr="00BD76AF" w:rsidRDefault="00F332DA" w:rsidP="0079334B">
      <w:pPr>
        <w:widowControl w:val="0"/>
        <w:suppressAutoHyphens w:val="0"/>
        <w:overflowPunct/>
        <w:autoSpaceDE/>
        <w:autoSpaceDN/>
        <w:adjustRightInd/>
        <w:ind w:left="851"/>
        <w:textAlignment w:val="auto"/>
      </w:pPr>
    </w:p>
    <w:p w14:paraId="47C4A2B4" w14:textId="77777777" w:rsidR="00F332DA" w:rsidRPr="00BD76AF" w:rsidRDefault="00F332DA" w:rsidP="0079334B">
      <w:pPr>
        <w:widowControl w:val="0"/>
        <w:suppressAutoHyphens w:val="0"/>
        <w:overflowPunct/>
        <w:autoSpaceDE/>
        <w:autoSpaceDN/>
        <w:adjustRightInd/>
        <w:ind w:left="851"/>
        <w:textAlignment w:val="auto"/>
      </w:pPr>
      <w:r w:rsidRPr="00BD76AF">
        <w:rPr>
          <w:rFonts w:hint="eastAsia"/>
        </w:rPr>
        <w:t>«</w:t>
      </w:r>
      <w:r w:rsidRPr="00BD76AF">
        <w:t xml:space="preserve"> b », « c », « d », … sont des coefficients représentant la proportion estimée de chaque élément de coût relatif à l’exécution des </w:t>
      </w:r>
      <w:r w:rsidRPr="00BD76AF">
        <w:rPr>
          <w:szCs w:val="24"/>
        </w:rPr>
        <w:t>É</w:t>
      </w:r>
      <w:r w:rsidRPr="00BD76AF">
        <w:t>quipements et Services de montage, tels que mentionnés dans le tableau applicable des données de révision des prix; les éléments de coût listés peuvent correspondre à des ressources telles que la main-d’œuvre, les équipements et les matériaux ;</w:t>
      </w:r>
    </w:p>
    <w:p w14:paraId="5DA2AFC7" w14:textId="77777777" w:rsidR="00F332DA" w:rsidRPr="00BD76AF" w:rsidRDefault="00F332DA" w:rsidP="0079334B">
      <w:pPr>
        <w:widowControl w:val="0"/>
        <w:suppressAutoHyphens w:val="0"/>
        <w:overflowPunct/>
        <w:autoSpaceDE/>
        <w:autoSpaceDN/>
        <w:adjustRightInd/>
        <w:ind w:left="851"/>
        <w:textAlignment w:val="auto"/>
      </w:pPr>
    </w:p>
    <w:p w14:paraId="453E3DB5" w14:textId="77777777" w:rsidR="00F332DA" w:rsidRPr="00BD76AF" w:rsidRDefault="00F332DA" w:rsidP="0079334B">
      <w:pPr>
        <w:widowControl w:val="0"/>
        <w:suppressAutoHyphens w:val="0"/>
        <w:overflowPunct/>
        <w:autoSpaceDE/>
        <w:autoSpaceDN/>
        <w:adjustRightInd/>
        <w:ind w:left="851"/>
        <w:textAlignment w:val="auto"/>
      </w:pPr>
      <w:r w:rsidRPr="00BD76AF">
        <w:rPr>
          <w:rFonts w:hint="eastAsia"/>
        </w:rPr>
        <w:t>«</w:t>
      </w:r>
      <w:r w:rsidRPr="00BD76AF">
        <w:t xml:space="preserve"> Ln », « En », « Mn », … sont les indices de coût actualisés ou prix de référence pour la période « n », exprimés dans la monnaie de paiement concernée, dont chacun d’eux est applicable à l’élément de coût auquel il se rapporte dans le tableau à la date de quarante-neuf (49) jours avant le dernier jour de la période « n » ; et</w:t>
      </w:r>
    </w:p>
    <w:p w14:paraId="7FD22F7A" w14:textId="77777777" w:rsidR="00F332DA" w:rsidRPr="00BD76AF" w:rsidRDefault="00F332DA" w:rsidP="0079334B">
      <w:pPr>
        <w:widowControl w:val="0"/>
        <w:suppressAutoHyphens w:val="0"/>
        <w:overflowPunct/>
        <w:autoSpaceDE/>
        <w:autoSpaceDN/>
        <w:adjustRightInd/>
        <w:ind w:left="851"/>
        <w:textAlignment w:val="auto"/>
      </w:pPr>
    </w:p>
    <w:p w14:paraId="3D745CA6" w14:textId="77777777" w:rsidR="00F332DA" w:rsidRPr="00BD76AF" w:rsidRDefault="00F332DA" w:rsidP="0079334B">
      <w:pPr>
        <w:widowControl w:val="0"/>
        <w:suppressAutoHyphens w:val="0"/>
        <w:overflowPunct/>
        <w:autoSpaceDE/>
        <w:autoSpaceDN/>
        <w:adjustRightInd/>
        <w:ind w:left="851"/>
        <w:textAlignment w:val="auto"/>
      </w:pPr>
      <w:r w:rsidRPr="00BD76AF">
        <w:rPr>
          <w:rFonts w:hint="eastAsia"/>
        </w:rPr>
        <w:t>«</w:t>
      </w:r>
      <w:r w:rsidRPr="00BD76AF">
        <w:t xml:space="preserve"> Lo », « Eo », « Mo », … sont les indices de coût de base ou prix de référence, exprimés dans la monnaie de paiement concernée, dont chacun d’eux est applicable à l’élément de coût auquel il se rapporte dans le tableau à la Date de référence.</w:t>
      </w:r>
    </w:p>
    <w:p w14:paraId="34131390" w14:textId="77777777" w:rsidR="00F332DA" w:rsidRPr="00BD76AF" w:rsidRDefault="00F332DA" w:rsidP="0092202D">
      <w:pPr>
        <w:spacing w:afterLines="50" w:after="120"/>
        <w:rPr>
          <w:b/>
          <w:lang w:eastAsia="ja-JP"/>
        </w:rPr>
      </w:pPr>
    </w:p>
    <w:p w14:paraId="5AE24B2F" w14:textId="77777777" w:rsidR="00F332DA" w:rsidRPr="00BD76AF" w:rsidRDefault="00F332DA" w:rsidP="0092202D">
      <w:pPr>
        <w:spacing w:afterLines="50" w:after="120"/>
        <w:rPr>
          <w:b/>
          <w:lang w:eastAsia="ja-JP"/>
        </w:rPr>
      </w:pPr>
    </w:p>
    <w:p w14:paraId="366B3C0B" w14:textId="77777777" w:rsidR="00F332DA" w:rsidRPr="00BD76AF" w:rsidRDefault="00F332DA" w:rsidP="0079334B">
      <w:pPr>
        <w:pStyle w:val="S9-appx"/>
        <w:rPr>
          <w:rFonts w:ascii="Arial" w:hAnsi="Arial" w:cs="Arial"/>
          <w:lang w:val="fr-FR" w:eastAsia="ja-JP"/>
        </w:rPr>
      </w:pPr>
      <w:r w:rsidRPr="00BD76AF">
        <w:rPr>
          <w:lang w:val="fr-FR"/>
        </w:rPr>
        <w:br w:type="page"/>
      </w:r>
    </w:p>
    <w:p w14:paraId="4AEB3009" w14:textId="77777777" w:rsidR="00F332DA" w:rsidRPr="00BD76AF" w:rsidRDefault="00F332DA" w:rsidP="0079334B">
      <w:pPr>
        <w:pStyle w:val="S9-appx"/>
        <w:jc w:val="left"/>
        <w:rPr>
          <w:sz w:val="24"/>
          <w:szCs w:val="24"/>
          <w:lang w:val="fr-FR" w:eastAsia="ja-JP"/>
        </w:rPr>
      </w:pPr>
      <w:bookmarkStart w:id="842" w:name="_Toc104152940"/>
      <w:r w:rsidRPr="00BD76AF">
        <w:rPr>
          <w:rFonts w:hint="eastAsia"/>
          <w:b w:val="0"/>
          <w:sz w:val="24"/>
          <w:szCs w:val="24"/>
          <w:lang w:val="fr-FR" w:eastAsia="ja-JP"/>
        </w:rPr>
        <w:t>[</w:t>
      </w:r>
      <w:r w:rsidRPr="00BD76AF">
        <w:rPr>
          <w:b w:val="0"/>
          <w:i/>
          <w:noProof/>
          <w:sz w:val="24"/>
          <w:szCs w:val="24"/>
          <w:lang w:val="fr-FR"/>
        </w:rPr>
        <w:t>Formulaire commun à l’option A : appel d’offres à une étape-deux enveloppes et l’option B : appel d’offres à deux étapes-une enveloppe</w:t>
      </w:r>
      <w:r w:rsidRPr="00BD76AF">
        <w:rPr>
          <w:b w:val="0"/>
          <w:sz w:val="24"/>
          <w:szCs w:val="24"/>
          <w:lang w:val="fr-FR" w:eastAsia="ja-JP"/>
        </w:rPr>
        <w:t>]</w:t>
      </w:r>
      <w:bookmarkEnd w:id="842"/>
    </w:p>
    <w:p w14:paraId="3B9EB265" w14:textId="77777777" w:rsidR="00F332DA" w:rsidRPr="00BD76AF" w:rsidRDefault="00F332DA" w:rsidP="0063431F">
      <w:pPr>
        <w:pStyle w:val="S9-appx"/>
        <w:rPr>
          <w:szCs w:val="28"/>
          <w:lang w:val="fr-FR"/>
        </w:rPr>
      </w:pPr>
      <w:bookmarkStart w:id="843" w:name="_Toc104152941"/>
      <w:r w:rsidRPr="00BD76AF">
        <w:rPr>
          <w:szCs w:val="28"/>
          <w:lang w:val="fr-FR"/>
        </w:rPr>
        <w:t>Annexe 3.  Assurances obligatoires</w:t>
      </w:r>
      <w:bookmarkEnd w:id="843"/>
    </w:p>
    <w:tbl>
      <w:tblPr>
        <w:tblW w:w="0" w:type="auto"/>
        <w:tblInd w:w="115" w:type="dxa"/>
        <w:tblLayout w:type="fixed"/>
        <w:tblLook w:val="0000" w:firstRow="0" w:lastRow="0" w:firstColumn="0" w:lastColumn="0" w:noHBand="0" w:noVBand="0"/>
      </w:tblPr>
      <w:tblGrid>
        <w:gridCol w:w="9000"/>
      </w:tblGrid>
      <w:tr w:rsidR="00F332DA" w:rsidRPr="00BD76AF" w14:paraId="7A235BD4" w14:textId="77777777" w:rsidTr="0079334B">
        <w:trPr>
          <w:trHeight w:val="1994"/>
        </w:trPr>
        <w:tc>
          <w:tcPr>
            <w:tcW w:w="9000" w:type="dxa"/>
            <w:tcBorders>
              <w:top w:val="single" w:sz="6" w:space="0" w:color="auto"/>
              <w:left w:val="single" w:sz="6" w:space="0" w:color="auto"/>
              <w:bottom w:val="single" w:sz="6" w:space="0" w:color="auto"/>
              <w:right w:val="single" w:sz="6" w:space="0" w:color="auto"/>
            </w:tcBorders>
          </w:tcPr>
          <w:p w14:paraId="522EA076" w14:textId="77777777" w:rsidR="00F332DA" w:rsidRPr="00BD76AF" w:rsidRDefault="00F332DA" w:rsidP="0079334B">
            <w:pPr>
              <w:jc w:val="center"/>
              <w:rPr>
                <w:b/>
                <w:sz w:val="28"/>
                <w:szCs w:val="28"/>
              </w:rPr>
            </w:pPr>
            <w:r w:rsidRPr="00BD76AF">
              <w:rPr>
                <w:b/>
                <w:sz w:val="28"/>
                <w:szCs w:val="28"/>
              </w:rPr>
              <w:t>Notes à l’intention du Maître d’ouvrage</w:t>
            </w:r>
          </w:p>
          <w:p w14:paraId="61CEAB8D" w14:textId="77777777" w:rsidR="00F332DA" w:rsidRPr="00BD76AF" w:rsidRDefault="00F332DA" w:rsidP="0079334B">
            <w:pPr>
              <w:jc w:val="center"/>
              <w:rPr>
                <w:b/>
                <w:sz w:val="28"/>
                <w:szCs w:val="28"/>
              </w:rPr>
            </w:pPr>
          </w:p>
          <w:p w14:paraId="50983483" w14:textId="77777777" w:rsidR="00F332DA" w:rsidRPr="00BD76AF" w:rsidRDefault="00F332DA" w:rsidP="000349F2">
            <w:pPr>
              <w:spacing w:afterLines="50" w:after="120"/>
              <w:rPr>
                <w:lang w:eastAsia="ja-JP"/>
              </w:rPr>
            </w:pPr>
            <w:r w:rsidRPr="00BD76AF">
              <w:rPr>
                <w:lang w:eastAsia="ja-JP"/>
              </w:rPr>
              <w:t>Le Maître d’ouvrage doit compléter les tableaux de cette annexe en indiquant les détails des assurances. De plus, le Maître d’ouvrage doit préciser les assurances qu’il propose de fournir au titre du Marché. L’annexe complétée doit être incluse dans le Dossier d’appel d’offres et dans les documents contractuels.</w:t>
            </w:r>
          </w:p>
        </w:tc>
      </w:tr>
    </w:tbl>
    <w:p w14:paraId="3986D6D7" w14:textId="77777777" w:rsidR="00F332DA" w:rsidRPr="00BD76AF" w:rsidRDefault="00F332DA" w:rsidP="0063431F">
      <w:pPr>
        <w:pStyle w:val="S9-appx"/>
        <w:rPr>
          <w:lang w:val="fr-FR"/>
        </w:rPr>
      </w:pPr>
    </w:p>
    <w:p w14:paraId="04ECD5A5" w14:textId="77777777" w:rsidR="00F332DA" w:rsidRPr="00BD76AF" w:rsidRDefault="00F332DA" w:rsidP="00B452A6">
      <w:pPr>
        <w:spacing w:afterLines="100" w:after="240"/>
        <w:rPr>
          <w:b/>
        </w:rPr>
      </w:pPr>
      <w:r w:rsidRPr="00BD76AF">
        <w:rPr>
          <w:b/>
        </w:rPr>
        <w:t>Assurances devant être souscrites par l’Entrepreneur</w:t>
      </w:r>
    </w:p>
    <w:p w14:paraId="0CCCBEC3" w14:textId="77777777" w:rsidR="00F332DA" w:rsidRPr="00BD76AF" w:rsidRDefault="00F332DA" w:rsidP="00D565FD">
      <w:pPr>
        <w:spacing w:afterLines="150" w:after="360"/>
      </w:pPr>
      <w:r w:rsidRPr="00BD76AF">
        <w:t>En conformité avec les dispositions de l’Article 34 des CG, l’Entrepreneur doit à ses propres frais, contracter et maintenir en vigueur, ou faire contracter et maintenir en vigueur les assurances énumérées ci-dessous pour les montants, avec les franchises et dans les autres conditions spécifiées, pendant toute la durée d’exécution du Marché. L’identité des assureurs ainsi que la forme des polices seront soumis à l’approbation du Maître d’ouvrage, étant entendu que cette approbation ne pourra être refusée sans motif légitime.</w:t>
      </w:r>
    </w:p>
    <w:p w14:paraId="25BEEB93" w14:textId="77777777" w:rsidR="00F332DA" w:rsidRPr="00BD76AF" w:rsidRDefault="00F332DA" w:rsidP="00B14195">
      <w:pPr>
        <w:spacing w:afterLines="50" w:after="120"/>
        <w:ind w:left="369" w:hanging="369"/>
      </w:pPr>
      <w:r w:rsidRPr="00BD76AF">
        <w:t>a)</w:t>
      </w:r>
      <w:r w:rsidRPr="00BD76AF">
        <w:tab/>
      </w:r>
      <w:r w:rsidRPr="00BD76AF">
        <w:rPr>
          <w:u w:val="single"/>
        </w:rPr>
        <w:t>Assurance du fret en cours de transport</w:t>
      </w:r>
    </w:p>
    <w:p w14:paraId="28602ABD" w14:textId="77777777" w:rsidR="00F332DA" w:rsidRPr="00BD76AF" w:rsidRDefault="00F332DA" w:rsidP="00B14195">
      <w:pPr>
        <w:pStyle w:val="afc"/>
        <w:tabs>
          <w:tab w:val="left" w:pos="2160"/>
          <w:tab w:val="left" w:pos="3600"/>
          <w:tab w:val="left" w:pos="6120"/>
          <w:tab w:val="left" w:pos="7560"/>
        </w:tabs>
        <w:spacing w:afterLines="100" w:after="240"/>
        <w:ind w:left="369"/>
        <w:rPr>
          <w:lang w:val="fr-FR"/>
        </w:rPr>
      </w:pPr>
      <w:r w:rsidRPr="00BD76AF">
        <w:rPr>
          <w:lang w:val="fr-FR"/>
        </w:rPr>
        <w:t>Couvrant les pertes ou les dommages causés aux Équipements (y compris les pièces de rechange) et équipements de montage devant être fournis par l’Entrepreneur ou ses Sous-traitants, survenant en cours de transport entre les usines ou dépôts des fournisseurs ou fabricants jusqu’à leur arrivée sur le Site.</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1701"/>
        <w:gridCol w:w="1701"/>
      </w:tblGrid>
      <w:tr w:rsidR="00F332DA" w:rsidRPr="00BD76AF" w14:paraId="38DAEC42" w14:textId="77777777" w:rsidTr="00DC0647">
        <w:tc>
          <w:tcPr>
            <w:tcW w:w="1701" w:type="dxa"/>
            <w:shd w:val="clear" w:color="auto" w:fill="auto"/>
          </w:tcPr>
          <w:p w14:paraId="0C546151" w14:textId="77777777" w:rsidR="00F332DA" w:rsidRPr="00BD76AF" w:rsidRDefault="00F332DA" w:rsidP="00DC0647">
            <w:pPr>
              <w:tabs>
                <w:tab w:val="left" w:pos="2160"/>
                <w:tab w:val="left" w:pos="3600"/>
                <w:tab w:val="left" w:pos="6120"/>
                <w:tab w:val="left" w:pos="7560"/>
              </w:tabs>
              <w:jc w:val="center"/>
              <w:rPr>
                <w:b/>
              </w:rPr>
            </w:pPr>
            <w:r w:rsidRPr="00BD76AF">
              <w:rPr>
                <w:b/>
              </w:rPr>
              <w:t>Montant</w:t>
            </w:r>
          </w:p>
          <w:p w14:paraId="1C260CF0" w14:textId="77777777" w:rsidR="00F332DA" w:rsidRPr="00BD76AF" w:rsidRDefault="00F332DA" w:rsidP="00DC0647">
            <w:pPr>
              <w:tabs>
                <w:tab w:val="left" w:pos="2160"/>
                <w:tab w:val="left" w:pos="3600"/>
                <w:tab w:val="left" w:pos="6120"/>
                <w:tab w:val="left" w:pos="7560"/>
              </w:tabs>
              <w:jc w:val="center"/>
              <w:rPr>
                <w:sz w:val="22"/>
                <w:szCs w:val="22"/>
              </w:rPr>
            </w:pPr>
            <w:r w:rsidRPr="00BD76AF">
              <w:rPr>
                <w:sz w:val="22"/>
                <w:szCs w:val="22"/>
              </w:rPr>
              <w:t>[</w:t>
            </w:r>
            <w:r w:rsidRPr="00BD76AF">
              <w:rPr>
                <w:i/>
                <w:sz w:val="22"/>
                <w:szCs w:val="22"/>
              </w:rPr>
              <w:t>monnaie(s)</w:t>
            </w:r>
            <w:r w:rsidRPr="00BD76AF">
              <w:rPr>
                <w:sz w:val="22"/>
                <w:szCs w:val="22"/>
              </w:rPr>
              <w:t>]</w:t>
            </w:r>
          </w:p>
        </w:tc>
        <w:tc>
          <w:tcPr>
            <w:tcW w:w="1701" w:type="dxa"/>
            <w:shd w:val="clear" w:color="auto" w:fill="auto"/>
          </w:tcPr>
          <w:p w14:paraId="7ACB029D" w14:textId="77777777" w:rsidR="00F332DA" w:rsidRPr="00BD76AF" w:rsidRDefault="00F332DA" w:rsidP="00DC0647">
            <w:pPr>
              <w:tabs>
                <w:tab w:val="left" w:pos="2160"/>
                <w:tab w:val="left" w:pos="3600"/>
                <w:tab w:val="left" w:pos="6120"/>
                <w:tab w:val="left" w:pos="7560"/>
              </w:tabs>
              <w:jc w:val="center"/>
              <w:rPr>
                <w:b/>
              </w:rPr>
            </w:pPr>
            <w:r w:rsidRPr="00BD76AF">
              <w:rPr>
                <w:b/>
              </w:rPr>
              <w:t>Franchises</w:t>
            </w:r>
          </w:p>
          <w:p w14:paraId="59304069" w14:textId="77777777" w:rsidR="00F332DA" w:rsidRPr="00BD76AF" w:rsidRDefault="00F332DA" w:rsidP="00DC0647">
            <w:pPr>
              <w:tabs>
                <w:tab w:val="left" w:pos="2160"/>
                <w:tab w:val="left" w:pos="3600"/>
                <w:tab w:val="left" w:pos="6120"/>
                <w:tab w:val="left" w:pos="7560"/>
              </w:tabs>
              <w:jc w:val="center"/>
            </w:pPr>
            <w:r w:rsidRPr="00BD76AF">
              <w:rPr>
                <w:sz w:val="22"/>
                <w:szCs w:val="22"/>
              </w:rPr>
              <w:t>[</w:t>
            </w:r>
            <w:r w:rsidRPr="00BD76AF">
              <w:rPr>
                <w:i/>
                <w:sz w:val="22"/>
                <w:szCs w:val="22"/>
              </w:rPr>
              <w:t>monnaie(s)</w:t>
            </w:r>
            <w:r w:rsidRPr="00BD76AF">
              <w:rPr>
                <w:sz w:val="22"/>
                <w:szCs w:val="22"/>
              </w:rPr>
              <w:t>]</w:t>
            </w:r>
          </w:p>
        </w:tc>
        <w:tc>
          <w:tcPr>
            <w:tcW w:w="1701" w:type="dxa"/>
            <w:shd w:val="clear" w:color="auto" w:fill="auto"/>
          </w:tcPr>
          <w:p w14:paraId="2B23F442" w14:textId="77777777" w:rsidR="00F332DA" w:rsidRPr="00BD76AF" w:rsidRDefault="00F332DA" w:rsidP="00DC0647">
            <w:pPr>
              <w:tabs>
                <w:tab w:val="left" w:pos="2160"/>
                <w:tab w:val="left" w:pos="3600"/>
                <w:tab w:val="left" w:pos="6120"/>
                <w:tab w:val="left" w:pos="7560"/>
              </w:tabs>
              <w:jc w:val="center"/>
              <w:rPr>
                <w:b/>
              </w:rPr>
            </w:pPr>
            <w:r w:rsidRPr="00BD76AF">
              <w:rPr>
                <w:b/>
              </w:rPr>
              <w:t>Parties assurées</w:t>
            </w:r>
          </w:p>
          <w:p w14:paraId="1D5E41F9" w14:textId="77777777" w:rsidR="00F332DA" w:rsidRPr="00BD76AF" w:rsidRDefault="00F332DA" w:rsidP="00DC0647">
            <w:pPr>
              <w:tabs>
                <w:tab w:val="left" w:pos="2160"/>
                <w:tab w:val="left" w:pos="3600"/>
                <w:tab w:val="left" w:pos="6120"/>
                <w:tab w:val="left" w:pos="7560"/>
              </w:tabs>
              <w:jc w:val="center"/>
            </w:pPr>
            <w:r w:rsidRPr="00BD76AF">
              <w:rPr>
                <w:sz w:val="22"/>
                <w:szCs w:val="22"/>
              </w:rPr>
              <w:t>[</w:t>
            </w:r>
            <w:r w:rsidRPr="00BD76AF">
              <w:rPr>
                <w:i/>
                <w:sz w:val="22"/>
                <w:szCs w:val="22"/>
              </w:rPr>
              <w:t>noms</w:t>
            </w:r>
            <w:r w:rsidRPr="00BD76AF">
              <w:rPr>
                <w:sz w:val="22"/>
                <w:szCs w:val="22"/>
              </w:rPr>
              <w:t>]</w:t>
            </w:r>
          </w:p>
        </w:tc>
        <w:tc>
          <w:tcPr>
            <w:tcW w:w="1701" w:type="dxa"/>
            <w:shd w:val="clear" w:color="auto" w:fill="auto"/>
          </w:tcPr>
          <w:p w14:paraId="4415B790" w14:textId="77777777" w:rsidR="00F332DA" w:rsidRPr="00BD76AF" w:rsidRDefault="00F332DA" w:rsidP="00DC0647">
            <w:pPr>
              <w:tabs>
                <w:tab w:val="left" w:pos="2160"/>
                <w:tab w:val="left" w:pos="3600"/>
                <w:tab w:val="left" w:pos="6120"/>
                <w:tab w:val="left" w:pos="7560"/>
              </w:tabs>
              <w:jc w:val="center"/>
              <w:rPr>
                <w:b/>
              </w:rPr>
            </w:pPr>
            <w:r w:rsidRPr="00BD76AF">
              <w:rPr>
                <w:b/>
              </w:rPr>
              <w:t>De</w:t>
            </w:r>
          </w:p>
          <w:p w14:paraId="102FDB71" w14:textId="77777777" w:rsidR="00F332DA" w:rsidRPr="00BD76AF" w:rsidRDefault="00F332DA" w:rsidP="00DC0647">
            <w:pPr>
              <w:tabs>
                <w:tab w:val="left" w:pos="2160"/>
                <w:tab w:val="left" w:pos="3600"/>
                <w:tab w:val="left" w:pos="6120"/>
                <w:tab w:val="left" w:pos="7560"/>
              </w:tabs>
              <w:jc w:val="center"/>
            </w:pPr>
            <w:r w:rsidRPr="00BD76AF">
              <w:rPr>
                <w:sz w:val="22"/>
                <w:szCs w:val="22"/>
              </w:rPr>
              <w:t>[</w:t>
            </w:r>
            <w:r w:rsidRPr="00BD76AF">
              <w:rPr>
                <w:i/>
                <w:sz w:val="22"/>
                <w:szCs w:val="22"/>
              </w:rPr>
              <w:t>lieu</w:t>
            </w:r>
            <w:r w:rsidRPr="00BD76AF">
              <w:rPr>
                <w:sz w:val="22"/>
                <w:szCs w:val="22"/>
              </w:rPr>
              <w:t>]</w:t>
            </w:r>
          </w:p>
        </w:tc>
        <w:tc>
          <w:tcPr>
            <w:tcW w:w="1701" w:type="dxa"/>
            <w:shd w:val="clear" w:color="auto" w:fill="auto"/>
          </w:tcPr>
          <w:p w14:paraId="17024682" w14:textId="77777777" w:rsidR="00F332DA" w:rsidRPr="00BD76AF" w:rsidRDefault="00F332DA" w:rsidP="00DC0647">
            <w:pPr>
              <w:tabs>
                <w:tab w:val="left" w:pos="2160"/>
                <w:tab w:val="left" w:pos="3600"/>
                <w:tab w:val="left" w:pos="6120"/>
                <w:tab w:val="left" w:pos="7560"/>
              </w:tabs>
              <w:jc w:val="center"/>
              <w:rPr>
                <w:b/>
              </w:rPr>
            </w:pPr>
            <w:r w:rsidRPr="00BD76AF">
              <w:rPr>
                <w:b/>
              </w:rPr>
              <w:t>Jusqu’à</w:t>
            </w:r>
          </w:p>
          <w:p w14:paraId="4D57B581" w14:textId="77777777" w:rsidR="00F332DA" w:rsidRPr="00BD76AF" w:rsidRDefault="00F332DA" w:rsidP="00DC0647">
            <w:pPr>
              <w:tabs>
                <w:tab w:val="left" w:pos="2160"/>
                <w:tab w:val="left" w:pos="3600"/>
                <w:tab w:val="left" w:pos="6120"/>
                <w:tab w:val="left" w:pos="7560"/>
              </w:tabs>
              <w:jc w:val="center"/>
            </w:pPr>
            <w:r w:rsidRPr="00BD76AF">
              <w:rPr>
                <w:sz w:val="22"/>
                <w:szCs w:val="22"/>
              </w:rPr>
              <w:t>[</w:t>
            </w:r>
            <w:r w:rsidRPr="00BD76AF">
              <w:rPr>
                <w:i/>
                <w:sz w:val="22"/>
                <w:szCs w:val="22"/>
              </w:rPr>
              <w:t>lieu</w:t>
            </w:r>
            <w:r w:rsidRPr="00BD76AF">
              <w:rPr>
                <w:sz w:val="22"/>
                <w:szCs w:val="22"/>
              </w:rPr>
              <w:t>]</w:t>
            </w:r>
          </w:p>
        </w:tc>
      </w:tr>
      <w:tr w:rsidR="00F332DA" w:rsidRPr="00BD76AF" w14:paraId="76C029B7" w14:textId="77777777" w:rsidTr="00DC0647">
        <w:tc>
          <w:tcPr>
            <w:tcW w:w="1701" w:type="dxa"/>
            <w:shd w:val="clear" w:color="auto" w:fill="auto"/>
          </w:tcPr>
          <w:p w14:paraId="41A66403" w14:textId="77777777" w:rsidR="00F332DA" w:rsidRPr="00BD76AF" w:rsidRDefault="00F332DA" w:rsidP="00DC0647">
            <w:pPr>
              <w:tabs>
                <w:tab w:val="left" w:pos="2160"/>
                <w:tab w:val="left" w:pos="3600"/>
                <w:tab w:val="left" w:pos="6120"/>
                <w:tab w:val="left" w:pos="7560"/>
              </w:tabs>
            </w:pPr>
          </w:p>
        </w:tc>
        <w:tc>
          <w:tcPr>
            <w:tcW w:w="1701" w:type="dxa"/>
            <w:shd w:val="clear" w:color="auto" w:fill="auto"/>
          </w:tcPr>
          <w:p w14:paraId="27579E3C" w14:textId="77777777" w:rsidR="00F332DA" w:rsidRPr="00BD76AF" w:rsidRDefault="00F332DA" w:rsidP="00DC0647">
            <w:pPr>
              <w:tabs>
                <w:tab w:val="left" w:pos="2160"/>
                <w:tab w:val="left" w:pos="3600"/>
                <w:tab w:val="left" w:pos="6120"/>
                <w:tab w:val="left" w:pos="7560"/>
              </w:tabs>
            </w:pPr>
          </w:p>
        </w:tc>
        <w:tc>
          <w:tcPr>
            <w:tcW w:w="1701" w:type="dxa"/>
            <w:shd w:val="clear" w:color="auto" w:fill="auto"/>
          </w:tcPr>
          <w:p w14:paraId="675E20C9" w14:textId="77777777" w:rsidR="00F332DA" w:rsidRPr="00BD76AF" w:rsidRDefault="00F332DA" w:rsidP="00DC0647">
            <w:pPr>
              <w:tabs>
                <w:tab w:val="left" w:pos="2160"/>
                <w:tab w:val="left" w:pos="3600"/>
                <w:tab w:val="left" w:pos="6120"/>
                <w:tab w:val="left" w:pos="7560"/>
              </w:tabs>
            </w:pPr>
          </w:p>
        </w:tc>
        <w:tc>
          <w:tcPr>
            <w:tcW w:w="1701" w:type="dxa"/>
            <w:shd w:val="clear" w:color="auto" w:fill="auto"/>
          </w:tcPr>
          <w:p w14:paraId="211CB9AE" w14:textId="77777777" w:rsidR="00F332DA" w:rsidRPr="00BD76AF" w:rsidRDefault="00F332DA" w:rsidP="00DC0647">
            <w:pPr>
              <w:tabs>
                <w:tab w:val="left" w:pos="2160"/>
                <w:tab w:val="left" w:pos="3600"/>
                <w:tab w:val="left" w:pos="6120"/>
                <w:tab w:val="left" w:pos="7560"/>
              </w:tabs>
            </w:pPr>
          </w:p>
        </w:tc>
        <w:tc>
          <w:tcPr>
            <w:tcW w:w="1701" w:type="dxa"/>
            <w:shd w:val="clear" w:color="auto" w:fill="auto"/>
          </w:tcPr>
          <w:p w14:paraId="660C08F2" w14:textId="77777777" w:rsidR="00F332DA" w:rsidRPr="00BD76AF" w:rsidRDefault="00F332DA" w:rsidP="00DC0647">
            <w:pPr>
              <w:tabs>
                <w:tab w:val="left" w:pos="2160"/>
                <w:tab w:val="left" w:pos="3600"/>
                <w:tab w:val="left" w:pos="6120"/>
                <w:tab w:val="left" w:pos="7560"/>
              </w:tabs>
            </w:pPr>
          </w:p>
        </w:tc>
      </w:tr>
      <w:tr w:rsidR="00F332DA" w:rsidRPr="00BD76AF" w14:paraId="66AF60F8" w14:textId="77777777" w:rsidTr="00DC0647">
        <w:tc>
          <w:tcPr>
            <w:tcW w:w="1701" w:type="dxa"/>
            <w:shd w:val="clear" w:color="auto" w:fill="auto"/>
          </w:tcPr>
          <w:p w14:paraId="450D50B5" w14:textId="77777777" w:rsidR="00F332DA" w:rsidRPr="00BD76AF" w:rsidRDefault="00F332DA" w:rsidP="00DC0647">
            <w:pPr>
              <w:tabs>
                <w:tab w:val="left" w:pos="2160"/>
                <w:tab w:val="left" w:pos="3600"/>
                <w:tab w:val="left" w:pos="6120"/>
                <w:tab w:val="left" w:pos="7560"/>
              </w:tabs>
            </w:pPr>
          </w:p>
        </w:tc>
        <w:tc>
          <w:tcPr>
            <w:tcW w:w="1701" w:type="dxa"/>
            <w:shd w:val="clear" w:color="auto" w:fill="auto"/>
          </w:tcPr>
          <w:p w14:paraId="2ADE1A14" w14:textId="77777777" w:rsidR="00F332DA" w:rsidRPr="00BD76AF" w:rsidRDefault="00F332DA" w:rsidP="00DC0647">
            <w:pPr>
              <w:tabs>
                <w:tab w:val="left" w:pos="2160"/>
                <w:tab w:val="left" w:pos="3600"/>
                <w:tab w:val="left" w:pos="6120"/>
                <w:tab w:val="left" w:pos="7560"/>
              </w:tabs>
            </w:pPr>
          </w:p>
        </w:tc>
        <w:tc>
          <w:tcPr>
            <w:tcW w:w="1701" w:type="dxa"/>
            <w:shd w:val="clear" w:color="auto" w:fill="auto"/>
          </w:tcPr>
          <w:p w14:paraId="259B4171" w14:textId="77777777" w:rsidR="00F332DA" w:rsidRPr="00BD76AF" w:rsidRDefault="00F332DA" w:rsidP="00DC0647">
            <w:pPr>
              <w:tabs>
                <w:tab w:val="left" w:pos="2160"/>
                <w:tab w:val="left" w:pos="3600"/>
                <w:tab w:val="left" w:pos="6120"/>
                <w:tab w:val="left" w:pos="7560"/>
              </w:tabs>
            </w:pPr>
          </w:p>
        </w:tc>
        <w:tc>
          <w:tcPr>
            <w:tcW w:w="1701" w:type="dxa"/>
            <w:shd w:val="clear" w:color="auto" w:fill="auto"/>
          </w:tcPr>
          <w:p w14:paraId="502A4D2A" w14:textId="77777777" w:rsidR="00F332DA" w:rsidRPr="00BD76AF" w:rsidRDefault="00F332DA" w:rsidP="00DC0647">
            <w:pPr>
              <w:tabs>
                <w:tab w:val="left" w:pos="2160"/>
                <w:tab w:val="left" w:pos="3600"/>
                <w:tab w:val="left" w:pos="6120"/>
                <w:tab w:val="left" w:pos="7560"/>
              </w:tabs>
            </w:pPr>
          </w:p>
        </w:tc>
        <w:tc>
          <w:tcPr>
            <w:tcW w:w="1701" w:type="dxa"/>
            <w:shd w:val="clear" w:color="auto" w:fill="auto"/>
          </w:tcPr>
          <w:p w14:paraId="01DF182E" w14:textId="77777777" w:rsidR="00F332DA" w:rsidRPr="00BD76AF" w:rsidRDefault="00F332DA" w:rsidP="00DC0647">
            <w:pPr>
              <w:tabs>
                <w:tab w:val="left" w:pos="2160"/>
                <w:tab w:val="left" w:pos="3600"/>
                <w:tab w:val="left" w:pos="6120"/>
                <w:tab w:val="left" w:pos="7560"/>
              </w:tabs>
            </w:pPr>
          </w:p>
        </w:tc>
      </w:tr>
    </w:tbl>
    <w:p w14:paraId="7127F624" w14:textId="77777777" w:rsidR="00F332DA" w:rsidRPr="00BD76AF" w:rsidRDefault="00F332DA" w:rsidP="00CF52FD">
      <w:pPr>
        <w:tabs>
          <w:tab w:val="left" w:pos="2160"/>
          <w:tab w:val="left" w:pos="3600"/>
          <w:tab w:val="left" w:pos="6120"/>
          <w:tab w:val="left" w:pos="7560"/>
        </w:tabs>
      </w:pPr>
    </w:p>
    <w:p w14:paraId="251AB113" w14:textId="77777777" w:rsidR="00F332DA" w:rsidRPr="00BD76AF" w:rsidRDefault="00F332DA" w:rsidP="00B14195">
      <w:pPr>
        <w:spacing w:afterLines="50" w:after="120"/>
        <w:ind w:left="369" w:hanging="369"/>
      </w:pPr>
      <w:r w:rsidRPr="00BD76AF">
        <w:t>b)</w:t>
      </w:r>
      <w:r w:rsidRPr="00BD76AF">
        <w:tab/>
      </w:r>
      <w:r w:rsidRPr="00BD76AF">
        <w:rPr>
          <w:u w:val="single"/>
        </w:rPr>
        <w:t>Assurance tous risques des travaux de montage</w:t>
      </w:r>
    </w:p>
    <w:p w14:paraId="0C07F242" w14:textId="77777777" w:rsidR="00F332DA" w:rsidRPr="00BD76AF" w:rsidRDefault="00F332DA" w:rsidP="00B14195">
      <w:pPr>
        <w:pStyle w:val="afc"/>
        <w:tabs>
          <w:tab w:val="left" w:pos="2160"/>
          <w:tab w:val="left" w:pos="3600"/>
          <w:tab w:val="left" w:pos="6120"/>
          <w:tab w:val="left" w:pos="7560"/>
        </w:tabs>
        <w:spacing w:afterLines="100" w:after="240"/>
        <w:ind w:left="369"/>
        <w:rPr>
          <w:lang w:val="fr-FR"/>
        </w:rPr>
      </w:pPr>
      <w:r w:rsidRPr="00BD76AF">
        <w:rPr>
          <w:lang w:val="fr-FR"/>
        </w:rPr>
        <w:t>Couvrant les pertes ou les dommages physiques causés aux Installations sur le Site, survenant avant le Réception opérationnelle des Installations, avec une extension de garantie couvrant la responsabilité de l’Entrepreneur au titre des pertes ou dommages survenus pendant la Période de garantie tant que l’Entrepreneur demeure sur le Site pour exécuter ses obligations pendant la Période de garantie.</w:t>
      </w:r>
    </w:p>
    <w:tbl>
      <w:tblPr>
        <w:tblW w:w="51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tblGrid>
      <w:tr w:rsidR="00F332DA" w:rsidRPr="00BD76AF" w14:paraId="547E33D5" w14:textId="77777777" w:rsidTr="00DC0647">
        <w:tc>
          <w:tcPr>
            <w:tcW w:w="1701" w:type="dxa"/>
            <w:shd w:val="clear" w:color="auto" w:fill="auto"/>
          </w:tcPr>
          <w:p w14:paraId="27E584FA" w14:textId="77777777" w:rsidR="00F332DA" w:rsidRPr="00BD76AF" w:rsidRDefault="00F332DA" w:rsidP="00DC0647">
            <w:pPr>
              <w:tabs>
                <w:tab w:val="left" w:pos="2160"/>
                <w:tab w:val="left" w:pos="3600"/>
                <w:tab w:val="left" w:pos="6120"/>
                <w:tab w:val="left" w:pos="7560"/>
              </w:tabs>
              <w:jc w:val="center"/>
              <w:rPr>
                <w:b/>
              </w:rPr>
            </w:pPr>
            <w:r w:rsidRPr="00BD76AF">
              <w:rPr>
                <w:b/>
              </w:rPr>
              <w:t>Montant</w:t>
            </w:r>
          </w:p>
          <w:p w14:paraId="2B2B2ABC" w14:textId="77777777" w:rsidR="00F332DA" w:rsidRPr="00BD76AF" w:rsidRDefault="00F332DA" w:rsidP="00DC0647">
            <w:pPr>
              <w:tabs>
                <w:tab w:val="left" w:pos="2160"/>
                <w:tab w:val="left" w:pos="3600"/>
                <w:tab w:val="left" w:pos="6120"/>
                <w:tab w:val="left" w:pos="7560"/>
              </w:tabs>
              <w:jc w:val="center"/>
              <w:rPr>
                <w:sz w:val="22"/>
                <w:szCs w:val="22"/>
              </w:rPr>
            </w:pPr>
            <w:r w:rsidRPr="00BD76AF">
              <w:rPr>
                <w:sz w:val="22"/>
                <w:szCs w:val="22"/>
              </w:rPr>
              <w:t>[</w:t>
            </w:r>
            <w:r w:rsidRPr="00BD76AF">
              <w:rPr>
                <w:i/>
                <w:sz w:val="22"/>
                <w:szCs w:val="22"/>
              </w:rPr>
              <w:t>monnaie(s)</w:t>
            </w:r>
            <w:r w:rsidRPr="00BD76AF">
              <w:rPr>
                <w:sz w:val="22"/>
                <w:szCs w:val="22"/>
              </w:rPr>
              <w:t>]</w:t>
            </w:r>
          </w:p>
        </w:tc>
        <w:tc>
          <w:tcPr>
            <w:tcW w:w="1701" w:type="dxa"/>
            <w:shd w:val="clear" w:color="auto" w:fill="auto"/>
          </w:tcPr>
          <w:p w14:paraId="321345D0" w14:textId="77777777" w:rsidR="00F332DA" w:rsidRPr="00BD76AF" w:rsidRDefault="00F332DA" w:rsidP="00DC0647">
            <w:pPr>
              <w:tabs>
                <w:tab w:val="left" w:pos="2160"/>
                <w:tab w:val="left" w:pos="3600"/>
                <w:tab w:val="left" w:pos="6120"/>
                <w:tab w:val="left" w:pos="7560"/>
              </w:tabs>
              <w:jc w:val="center"/>
              <w:rPr>
                <w:b/>
              </w:rPr>
            </w:pPr>
            <w:r w:rsidRPr="00BD76AF">
              <w:rPr>
                <w:b/>
              </w:rPr>
              <w:t>Franchises</w:t>
            </w:r>
          </w:p>
          <w:p w14:paraId="286A1C66" w14:textId="77777777" w:rsidR="00F332DA" w:rsidRPr="00BD76AF" w:rsidRDefault="00F332DA" w:rsidP="00DC0647">
            <w:pPr>
              <w:tabs>
                <w:tab w:val="left" w:pos="2160"/>
                <w:tab w:val="left" w:pos="3600"/>
                <w:tab w:val="left" w:pos="6120"/>
                <w:tab w:val="left" w:pos="7560"/>
              </w:tabs>
              <w:jc w:val="center"/>
            </w:pPr>
            <w:r w:rsidRPr="00BD76AF">
              <w:rPr>
                <w:sz w:val="22"/>
                <w:szCs w:val="22"/>
              </w:rPr>
              <w:t>[</w:t>
            </w:r>
            <w:r w:rsidRPr="00BD76AF">
              <w:rPr>
                <w:i/>
                <w:sz w:val="22"/>
                <w:szCs w:val="22"/>
              </w:rPr>
              <w:t>monnaie(s)</w:t>
            </w:r>
            <w:r w:rsidRPr="00BD76AF">
              <w:rPr>
                <w:sz w:val="22"/>
                <w:szCs w:val="22"/>
              </w:rPr>
              <w:t>]</w:t>
            </w:r>
          </w:p>
        </w:tc>
        <w:tc>
          <w:tcPr>
            <w:tcW w:w="1701" w:type="dxa"/>
            <w:shd w:val="clear" w:color="auto" w:fill="auto"/>
          </w:tcPr>
          <w:p w14:paraId="09D034BF" w14:textId="77777777" w:rsidR="00F332DA" w:rsidRPr="00BD76AF" w:rsidRDefault="00F332DA" w:rsidP="00DC0647">
            <w:pPr>
              <w:tabs>
                <w:tab w:val="left" w:pos="2160"/>
                <w:tab w:val="left" w:pos="3600"/>
                <w:tab w:val="left" w:pos="6120"/>
                <w:tab w:val="left" w:pos="7560"/>
              </w:tabs>
              <w:jc w:val="center"/>
              <w:rPr>
                <w:b/>
              </w:rPr>
            </w:pPr>
            <w:r w:rsidRPr="00BD76AF">
              <w:rPr>
                <w:b/>
              </w:rPr>
              <w:t>Parties assurées</w:t>
            </w:r>
          </w:p>
          <w:p w14:paraId="13844600" w14:textId="77777777" w:rsidR="00F332DA" w:rsidRPr="00BD76AF" w:rsidRDefault="00F332DA" w:rsidP="00DC0647">
            <w:pPr>
              <w:tabs>
                <w:tab w:val="left" w:pos="2160"/>
                <w:tab w:val="left" w:pos="3600"/>
                <w:tab w:val="left" w:pos="6120"/>
                <w:tab w:val="left" w:pos="7560"/>
              </w:tabs>
              <w:jc w:val="center"/>
            </w:pPr>
            <w:r w:rsidRPr="00BD76AF">
              <w:rPr>
                <w:sz w:val="22"/>
                <w:szCs w:val="22"/>
              </w:rPr>
              <w:t>[</w:t>
            </w:r>
            <w:r w:rsidRPr="00BD76AF">
              <w:rPr>
                <w:i/>
                <w:sz w:val="22"/>
                <w:szCs w:val="22"/>
              </w:rPr>
              <w:t>noms</w:t>
            </w:r>
            <w:r w:rsidRPr="00BD76AF">
              <w:rPr>
                <w:sz w:val="22"/>
                <w:szCs w:val="22"/>
              </w:rPr>
              <w:t>]</w:t>
            </w:r>
          </w:p>
        </w:tc>
      </w:tr>
      <w:tr w:rsidR="00F332DA" w:rsidRPr="00BD76AF" w14:paraId="0EF3D6B5" w14:textId="77777777" w:rsidTr="00DC0647">
        <w:tc>
          <w:tcPr>
            <w:tcW w:w="1701" w:type="dxa"/>
            <w:shd w:val="clear" w:color="auto" w:fill="auto"/>
          </w:tcPr>
          <w:p w14:paraId="08975750" w14:textId="77777777" w:rsidR="00F332DA" w:rsidRPr="00BD76AF" w:rsidRDefault="00F332DA" w:rsidP="00DC0647">
            <w:pPr>
              <w:tabs>
                <w:tab w:val="left" w:pos="2160"/>
                <w:tab w:val="left" w:pos="3600"/>
                <w:tab w:val="left" w:pos="6120"/>
                <w:tab w:val="left" w:pos="7560"/>
              </w:tabs>
            </w:pPr>
          </w:p>
        </w:tc>
        <w:tc>
          <w:tcPr>
            <w:tcW w:w="1701" w:type="dxa"/>
            <w:shd w:val="clear" w:color="auto" w:fill="auto"/>
          </w:tcPr>
          <w:p w14:paraId="30FD3EE0" w14:textId="77777777" w:rsidR="00F332DA" w:rsidRPr="00BD76AF" w:rsidRDefault="00F332DA" w:rsidP="00DC0647">
            <w:pPr>
              <w:tabs>
                <w:tab w:val="left" w:pos="2160"/>
                <w:tab w:val="left" w:pos="3600"/>
                <w:tab w:val="left" w:pos="6120"/>
                <w:tab w:val="left" w:pos="7560"/>
              </w:tabs>
            </w:pPr>
          </w:p>
        </w:tc>
        <w:tc>
          <w:tcPr>
            <w:tcW w:w="1701" w:type="dxa"/>
            <w:shd w:val="clear" w:color="auto" w:fill="auto"/>
          </w:tcPr>
          <w:p w14:paraId="7E61F4A8" w14:textId="77777777" w:rsidR="00F332DA" w:rsidRPr="00BD76AF" w:rsidRDefault="00F332DA" w:rsidP="00DC0647">
            <w:pPr>
              <w:tabs>
                <w:tab w:val="left" w:pos="2160"/>
                <w:tab w:val="left" w:pos="3600"/>
                <w:tab w:val="left" w:pos="6120"/>
                <w:tab w:val="left" w:pos="7560"/>
              </w:tabs>
            </w:pPr>
          </w:p>
        </w:tc>
      </w:tr>
      <w:tr w:rsidR="00F332DA" w:rsidRPr="00BD76AF" w14:paraId="37EEAE9F" w14:textId="77777777" w:rsidTr="00DC0647">
        <w:tc>
          <w:tcPr>
            <w:tcW w:w="1701" w:type="dxa"/>
            <w:shd w:val="clear" w:color="auto" w:fill="auto"/>
          </w:tcPr>
          <w:p w14:paraId="3B809307" w14:textId="77777777" w:rsidR="00F332DA" w:rsidRPr="00BD76AF" w:rsidRDefault="00F332DA" w:rsidP="00DC0647">
            <w:pPr>
              <w:tabs>
                <w:tab w:val="left" w:pos="2160"/>
                <w:tab w:val="left" w:pos="3600"/>
                <w:tab w:val="left" w:pos="6120"/>
                <w:tab w:val="left" w:pos="7560"/>
              </w:tabs>
            </w:pPr>
          </w:p>
        </w:tc>
        <w:tc>
          <w:tcPr>
            <w:tcW w:w="1701" w:type="dxa"/>
            <w:shd w:val="clear" w:color="auto" w:fill="auto"/>
          </w:tcPr>
          <w:p w14:paraId="4E955300" w14:textId="77777777" w:rsidR="00F332DA" w:rsidRPr="00BD76AF" w:rsidRDefault="00F332DA" w:rsidP="00DC0647">
            <w:pPr>
              <w:tabs>
                <w:tab w:val="left" w:pos="2160"/>
                <w:tab w:val="left" w:pos="3600"/>
                <w:tab w:val="left" w:pos="6120"/>
                <w:tab w:val="left" w:pos="7560"/>
              </w:tabs>
            </w:pPr>
          </w:p>
        </w:tc>
        <w:tc>
          <w:tcPr>
            <w:tcW w:w="1701" w:type="dxa"/>
            <w:shd w:val="clear" w:color="auto" w:fill="auto"/>
          </w:tcPr>
          <w:p w14:paraId="519E1093" w14:textId="77777777" w:rsidR="00F332DA" w:rsidRPr="00BD76AF" w:rsidRDefault="00F332DA" w:rsidP="00DC0647">
            <w:pPr>
              <w:tabs>
                <w:tab w:val="left" w:pos="2160"/>
                <w:tab w:val="left" w:pos="3600"/>
                <w:tab w:val="left" w:pos="6120"/>
                <w:tab w:val="left" w:pos="7560"/>
              </w:tabs>
            </w:pPr>
          </w:p>
        </w:tc>
      </w:tr>
    </w:tbl>
    <w:p w14:paraId="5AADCDB8" w14:textId="77777777" w:rsidR="00F332DA" w:rsidRPr="00BD76AF" w:rsidRDefault="00F332DA" w:rsidP="0010545F"/>
    <w:p w14:paraId="58BA0261" w14:textId="77777777" w:rsidR="00F332DA" w:rsidRPr="00BD76AF" w:rsidRDefault="00F332DA" w:rsidP="00B14195">
      <w:pPr>
        <w:spacing w:afterLines="50" w:after="120"/>
        <w:ind w:left="369" w:hanging="369"/>
      </w:pPr>
      <w:r w:rsidRPr="00BD76AF">
        <w:t>c)</w:t>
      </w:r>
      <w:r w:rsidRPr="00BD76AF">
        <w:tab/>
      </w:r>
      <w:r w:rsidRPr="00BD76AF">
        <w:rPr>
          <w:u w:val="single"/>
        </w:rPr>
        <w:t>Assurance de responsabilité civile vis-à-vis des tiers</w:t>
      </w:r>
    </w:p>
    <w:p w14:paraId="72FA2AB6" w14:textId="77777777" w:rsidR="00F332DA" w:rsidRPr="00BD76AF" w:rsidRDefault="00F332DA" w:rsidP="00B14195">
      <w:pPr>
        <w:pStyle w:val="afc"/>
        <w:tabs>
          <w:tab w:val="left" w:pos="2160"/>
          <w:tab w:val="left" w:pos="3600"/>
          <w:tab w:val="left" w:pos="6120"/>
          <w:tab w:val="left" w:pos="7560"/>
        </w:tabs>
        <w:spacing w:afterLines="100" w:after="240"/>
        <w:ind w:left="369"/>
        <w:rPr>
          <w:lang w:val="fr-FR" w:eastAsia="ja-JP"/>
        </w:rPr>
      </w:pPr>
      <w:r w:rsidRPr="00BD76AF">
        <w:rPr>
          <w:lang w:val="fr-FR"/>
        </w:rPr>
        <w:t>Couvrant les dommages corporels et le décès de tiers (y compris le personnel du Maître d’ouvrage) et les pertes ou dommages causés à des biens (y compris les biens du Maître d’ouvrage et toute partie des Installations qui a fait l’objet d’une réception par le Maître d’ouvrage), survenant en relation avec la fourniture et le montage des Installations.</w:t>
      </w:r>
    </w:p>
    <w:tbl>
      <w:tblPr>
        <w:tblW w:w="51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tblGrid>
      <w:tr w:rsidR="00F332DA" w:rsidRPr="00BD76AF" w14:paraId="0716DA4E" w14:textId="77777777" w:rsidTr="0079334B">
        <w:tc>
          <w:tcPr>
            <w:tcW w:w="1701" w:type="dxa"/>
            <w:shd w:val="clear" w:color="auto" w:fill="auto"/>
          </w:tcPr>
          <w:p w14:paraId="02458267" w14:textId="77777777" w:rsidR="00F332DA" w:rsidRPr="00BD76AF" w:rsidRDefault="00F332DA" w:rsidP="00DC0647">
            <w:pPr>
              <w:tabs>
                <w:tab w:val="left" w:pos="2160"/>
                <w:tab w:val="left" w:pos="3600"/>
                <w:tab w:val="left" w:pos="6120"/>
                <w:tab w:val="left" w:pos="7560"/>
              </w:tabs>
              <w:jc w:val="center"/>
              <w:rPr>
                <w:b/>
              </w:rPr>
            </w:pPr>
            <w:r w:rsidRPr="00BD76AF">
              <w:rPr>
                <w:b/>
              </w:rPr>
              <w:t>Montant</w:t>
            </w:r>
          </w:p>
          <w:p w14:paraId="3FA86DAE" w14:textId="77777777" w:rsidR="00F332DA" w:rsidRPr="00BD76AF" w:rsidRDefault="00F332DA" w:rsidP="00DC0647">
            <w:pPr>
              <w:tabs>
                <w:tab w:val="left" w:pos="2160"/>
                <w:tab w:val="left" w:pos="3600"/>
                <w:tab w:val="left" w:pos="6120"/>
                <w:tab w:val="left" w:pos="7560"/>
              </w:tabs>
              <w:jc w:val="center"/>
              <w:rPr>
                <w:sz w:val="22"/>
                <w:szCs w:val="22"/>
              </w:rPr>
            </w:pPr>
            <w:r w:rsidRPr="00BD76AF">
              <w:rPr>
                <w:sz w:val="22"/>
                <w:szCs w:val="22"/>
              </w:rPr>
              <w:t>[</w:t>
            </w:r>
            <w:r w:rsidRPr="00BD76AF">
              <w:rPr>
                <w:i/>
                <w:sz w:val="22"/>
                <w:szCs w:val="22"/>
              </w:rPr>
              <w:t>monnaie(s)</w:t>
            </w:r>
            <w:r w:rsidRPr="00BD76AF">
              <w:rPr>
                <w:sz w:val="22"/>
                <w:szCs w:val="22"/>
              </w:rPr>
              <w:t>]</w:t>
            </w:r>
          </w:p>
        </w:tc>
        <w:tc>
          <w:tcPr>
            <w:tcW w:w="1701" w:type="dxa"/>
            <w:shd w:val="clear" w:color="auto" w:fill="auto"/>
          </w:tcPr>
          <w:p w14:paraId="3B8471E6" w14:textId="77777777" w:rsidR="00F332DA" w:rsidRPr="00BD76AF" w:rsidRDefault="00F332DA" w:rsidP="00DC0647">
            <w:pPr>
              <w:tabs>
                <w:tab w:val="left" w:pos="2160"/>
                <w:tab w:val="left" w:pos="3600"/>
                <w:tab w:val="left" w:pos="6120"/>
                <w:tab w:val="left" w:pos="7560"/>
              </w:tabs>
              <w:jc w:val="center"/>
              <w:rPr>
                <w:b/>
              </w:rPr>
            </w:pPr>
            <w:r w:rsidRPr="00BD76AF">
              <w:rPr>
                <w:b/>
              </w:rPr>
              <w:t>Franchises</w:t>
            </w:r>
          </w:p>
          <w:p w14:paraId="63124C2F" w14:textId="77777777" w:rsidR="00F332DA" w:rsidRPr="00BD76AF" w:rsidRDefault="00F332DA" w:rsidP="00DC0647">
            <w:pPr>
              <w:tabs>
                <w:tab w:val="left" w:pos="2160"/>
                <w:tab w:val="left" w:pos="3600"/>
                <w:tab w:val="left" w:pos="6120"/>
                <w:tab w:val="left" w:pos="7560"/>
              </w:tabs>
              <w:jc w:val="center"/>
            </w:pPr>
            <w:r w:rsidRPr="00BD76AF">
              <w:rPr>
                <w:sz w:val="22"/>
                <w:szCs w:val="22"/>
              </w:rPr>
              <w:t>[</w:t>
            </w:r>
            <w:r w:rsidRPr="00BD76AF">
              <w:rPr>
                <w:i/>
                <w:sz w:val="22"/>
                <w:szCs w:val="22"/>
              </w:rPr>
              <w:t>monnaie(s)</w:t>
            </w:r>
            <w:r w:rsidRPr="00BD76AF">
              <w:rPr>
                <w:sz w:val="22"/>
                <w:szCs w:val="22"/>
              </w:rPr>
              <w:t>]</w:t>
            </w:r>
          </w:p>
        </w:tc>
        <w:tc>
          <w:tcPr>
            <w:tcW w:w="1701" w:type="dxa"/>
            <w:shd w:val="clear" w:color="auto" w:fill="auto"/>
          </w:tcPr>
          <w:p w14:paraId="500199CA" w14:textId="77777777" w:rsidR="00F332DA" w:rsidRPr="00BD76AF" w:rsidRDefault="00F332DA" w:rsidP="00DC0647">
            <w:pPr>
              <w:tabs>
                <w:tab w:val="left" w:pos="2160"/>
                <w:tab w:val="left" w:pos="3600"/>
                <w:tab w:val="left" w:pos="6120"/>
                <w:tab w:val="left" w:pos="7560"/>
              </w:tabs>
              <w:jc w:val="center"/>
              <w:rPr>
                <w:b/>
              </w:rPr>
            </w:pPr>
            <w:r w:rsidRPr="00BD76AF">
              <w:rPr>
                <w:b/>
              </w:rPr>
              <w:t>Parties assurées</w:t>
            </w:r>
          </w:p>
          <w:p w14:paraId="6875B7BE" w14:textId="77777777" w:rsidR="00F332DA" w:rsidRPr="00BD76AF" w:rsidRDefault="00F332DA" w:rsidP="00DC0647">
            <w:pPr>
              <w:tabs>
                <w:tab w:val="left" w:pos="2160"/>
                <w:tab w:val="left" w:pos="3600"/>
                <w:tab w:val="left" w:pos="6120"/>
                <w:tab w:val="left" w:pos="7560"/>
              </w:tabs>
              <w:jc w:val="center"/>
            </w:pPr>
            <w:r w:rsidRPr="00BD76AF">
              <w:rPr>
                <w:sz w:val="22"/>
                <w:szCs w:val="22"/>
              </w:rPr>
              <w:t>[</w:t>
            </w:r>
            <w:r w:rsidRPr="00BD76AF">
              <w:rPr>
                <w:i/>
                <w:sz w:val="22"/>
                <w:szCs w:val="22"/>
              </w:rPr>
              <w:t>noms</w:t>
            </w:r>
            <w:r w:rsidRPr="00BD76AF">
              <w:rPr>
                <w:sz w:val="22"/>
                <w:szCs w:val="22"/>
              </w:rPr>
              <w:t>]</w:t>
            </w:r>
          </w:p>
        </w:tc>
      </w:tr>
      <w:tr w:rsidR="00F332DA" w:rsidRPr="00BD76AF" w14:paraId="4531F260" w14:textId="77777777" w:rsidTr="0079334B">
        <w:tc>
          <w:tcPr>
            <w:tcW w:w="1701" w:type="dxa"/>
            <w:shd w:val="clear" w:color="auto" w:fill="auto"/>
          </w:tcPr>
          <w:p w14:paraId="12C1937E" w14:textId="77777777" w:rsidR="00F332DA" w:rsidRPr="00BD76AF" w:rsidRDefault="00F332DA" w:rsidP="00DC0647">
            <w:pPr>
              <w:tabs>
                <w:tab w:val="left" w:pos="2160"/>
                <w:tab w:val="left" w:pos="3600"/>
                <w:tab w:val="left" w:pos="6120"/>
                <w:tab w:val="left" w:pos="7560"/>
              </w:tabs>
            </w:pPr>
          </w:p>
        </w:tc>
        <w:tc>
          <w:tcPr>
            <w:tcW w:w="1701" w:type="dxa"/>
            <w:shd w:val="clear" w:color="auto" w:fill="auto"/>
          </w:tcPr>
          <w:p w14:paraId="2744023F" w14:textId="77777777" w:rsidR="00F332DA" w:rsidRPr="00BD76AF" w:rsidRDefault="00F332DA" w:rsidP="00DC0647">
            <w:pPr>
              <w:tabs>
                <w:tab w:val="left" w:pos="2160"/>
                <w:tab w:val="left" w:pos="3600"/>
                <w:tab w:val="left" w:pos="6120"/>
                <w:tab w:val="left" w:pos="7560"/>
              </w:tabs>
            </w:pPr>
          </w:p>
        </w:tc>
        <w:tc>
          <w:tcPr>
            <w:tcW w:w="1701" w:type="dxa"/>
            <w:shd w:val="clear" w:color="auto" w:fill="auto"/>
          </w:tcPr>
          <w:p w14:paraId="7716EA93" w14:textId="77777777" w:rsidR="00F332DA" w:rsidRPr="00BD76AF" w:rsidRDefault="00F332DA" w:rsidP="00DC0647">
            <w:pPr>
              <w:tabs>
                <w:tab w:val="left" w:pos="2160"/>
                <w:tab w:val="left" w:pos="3600"/>
                <w:tab w:val="left" w:pos="6120"/>
                <w:tab w:val="left" w:pos="7560"/>
              </w:tabs>
            </w:pPr>
          </w:p>
        </w:tc>
      </w:tr>
      <w:tr w:rsidR="00F332DA" w:rsidRPr="00BD76AF" w14:paraId="4573070E" w14:textId="77777777" w:rsidTr="0079334B">
        <w:tc>
          <w:tcPr>
            <w:tcW w:w="1701" w:type="dxa"/>
            <w:shd w:val="clear" w:color="auto" w:fill="auto"/>
          </w:tcPr>
          <w:p w14:paraId="282C3926" w14:textId="77777777" w:rsidR="00F332DA" w:rsidRPr="00BD76AF" w:rsidRDefault="00F332DA" w:rsidP="00DC0647">
            <w:pPr>
              <w:tabs>
                <w:tab w:val="left" w:pos="2160"/>
                <w:tab w:val="left" w:pos="3600"/>
                <w:tab w:val="left" w:pos="6120"/>
                <w:tab w:val="left" w:pos="7560"/>
              </w:tabs>
            </w:pPr>
          </w:p>
        </w:tc>
        <w:tc>
          <w:tcPr>
            <w:tcW w:w="1701" w:type="dxa"/>
            <w:shd w:val="clear" w:color="auto" w:fill="auto"/>
          </w:tcPr>
          <w:p w14:paraId="43992C57" w14:textId="77777777" w:rsidR="00F332DA" w:rsidRPr="00BD76AF" w:rsidRDefault="00F332DA" w:rsidP="00DC0647">
            <w:pPr>
              <w:tabs>
                <w:tab w:val="left" w:pos="2160"/>
                <w:tab w:val="left" w:pos="3600"/>
                <w:tab w:val="left" w:pos="6120"/>
                <w:tab w:val="left" w:pos="7560"/>
              </w:tabs>
            </w:pPr>
          </w:p>
        </w:tc>
        <w:tc>
          <w:tcPr>
            <w:tcW w:w="1701" w:type="dxa"/>
            <w:shd w:val="clear" w:color="auto" w:fill="auto"/>
          </w:tcPr>
          <w:p w14:paraId="6646CEA9" w14:textId="77777777" w:rsidR="00F332DA" w:rsidRPr="00BD76AF" w:rsidRDefault="00F332DA" w:rsidP="00DC0647">
            <w:pPr>
              <w:tabs>
                <w:tab w:val="left" w:pos="2160"/>
                <w:tab w:val="left" w:pos="3600"/>
                <w:tab w:val="left" w:pos="6120"/>
                <w:tab w:val="left" w:pos="7560"/>
              </w:tabs>
            </w:pPr>
          </w:p>
        </w:tc>
      </w:tr>
    </w:tbl>
    <w:p w14:paraId="68E27FDF" w14:textId="77777777" w:rsidR="00F332DA" w:rsidRPr="00BD76AF" w:rsidRDefault="00F332DA" w:rsidP="00B14195">
      <w:pPr>
        <w:spacing w:afterLines="50" w:after="120"/>
        <w:ind w:left="369" w:hanging="369"/>
        <w:rPr>
          <w:lang w:eastAsia="ja-JP"/>
        </w:rPr>
      </w:pPr>
    </w:p>
    <w:p w14:paraId="54507B68" w14:textId="77777777" w:rsidR="00F332DA" w:rsidRPr="00BD76AF" w:rsidRDefault="00F332DA" w:rsidP="00B14195">
      <w:pPr>
        <w:spacing w:afterLines="50" w:after="120"/>
        <w:ind w:left="369" w:hanging="369"/>
      </w:pPr>
      <w:r w:rsidRPr="00BD76AF">
        <w:t>d)</w:t>
      </w:r>
      <w:r w:rsidRPr="00BD76AF">
        <w:tab/>
      </w:r>
      <w:r w:rsidRPr="00BD76AF">
        <w:rPr>
          <w:u w:val="single"/>
        </w:rPr>
        <w:t>Assurance de responsabilité automobile</w:t>
      </w:r>
    </w:p>
    <w:p w14:paraId="2E9B261D" w14:textId="77777777" w:rsidR="00F332DA" w:rsidRPr="00BD76AF" w:rsidRDefault="00F332DA" w:rsidP="00B14195">
      <w:pPr>
        <w:pStyle w:val="afc"/>
        <w:tabs>
          <w:tab w:val="left" w:pos="2160"/>
          <w:tab w:val="left" w:pos="3600"/>
          <w:tab w:val="left" w:pos="6120"/>
          <w:tab w:val="left" w:pos="7560"/>
        </w:tabs>
        <w:spacing w:afterLines="100" w:after="240"/>
        <w:ind w:left="369"/>
        <w:rPr>
          <w:lang w:val="fr-FR"/>
        </w:rPr>
      </w:pPr>
      <w:r w:rsidRPr="00BD76AF">
        <w:rPr>
          <w:lang w:val="fr-FR"/>
        </w:rPr>
        <w:t>Couvrant l’usage de tous les véhicules utilisés par l’Entrepreneur ou ses Sous-traitants (qu’ils en soient ou non propriétaires), en relation avec l’exécution du Marché. Le montant de la couverture sera conforme à la réglementation en vigueur.</w:t>
      </w:r>
    </w:p>
    <w:p w14:paraId="1111FE81" w14:textId="77777777" w:rsidR="00F332DA" w:rsidRPr="00BD76AF" w:rsidRDefault="00F332DA" w:rsidP="00B14195">
      <w:pPr>
        <w:spacing w:afterLines="50" w:after="120"/>
        <w:ind w:left="369" w:hanging="369"/>
      </w:pPr>
      <w:r w:rsidRPr="00BD76AF">
        <w:t>e)</w:t>
      </w:r>
      <w:r w:rsidRPr="00BD76AF">
        <w:tab/>
      </w:r>
      <w:r w:rsidRPr="00BD76AF">
        <w:rPr>
          <w:u w:val="single"/>
        </w:rPr>
        <w:t>Assurance contre les accidents du travail</w:t>
      </w:r>
    </w:p>
    <w:p w14:paraId="7A5D57C7" w14:textId="77777777" w:rsidR="00F332DA" w:rsidRPr="00BD76AF" w:rsidRDefault="00F332DA" w:rsidP="00B14195">
      <w:pPr>
        <w:pStyle w:val="afc"/>
        <w:tabs>
          <w:tab w:val="left" w:pos="2160"/>
          <w:tab w:val="left" w:pos="3600"/>
          <w:tab w:val="left" w:pos="6120"/>
          <w:tab w:val="left" w:pos="7560"/>
        </w:tabs>
        <w:spacing w:afterLines="100" w:after="240"/>
        <w:ind w:left="369"/>
        <w:rPr>
          <w:lang w:val="fr-FR"/>
        </w:rPr>
      </w:pPr>
      <w:r w:rsidRPr="00BD76AF">
        <w:rPr>
          <w:lang w:val="fr-FR"/>
        </w:rPr>
        <w:t>Conformément à la réglementation en vigueur dans tout pays où les Installations ou une partie de celles-ci doivent être exécutées.</w:t>
      </w:r>
    </w:p>
    <w:p w14:paraId="69FD60FB" w14:textId="77777777" w:rsidR="00F332DA" w:rsidRPr="00BD76AF" w:rsidRDefault="00F332DA" w:rsidP="00B14195">
      <w:pPr>
        <w:spacing w:afterLines="50" w:after="120"/>
        <w:ind w:left="369" w:hanging="369"/>
      </w:pPr>
      <w:r w:rsidRPr="00BD76AF">
        <w:t>f)</w:t>
      </w:r>
      <w:r w:rsidRPr="00BD76AF">
        <w:tab/>
      </w:r>
      <w:r w:rsidRPr="00BD76AF">
        <w:rPr>
          <w:u w:val="single"/>
        </w:rPr>
        <w:t>Assurance de responsabilité civile du Maître d’ouvrage</w:t>
      </w:r>
    </w:p>
    <w:p w14:paraId="387E6868" w14:textId="77777777" w:rsidR="00F332DA" w:rsidRPr="00BD76AF" w:rsidRDefault="00F332DA" w:rsidP="00B14195">
      <w:pPr>
        <w:pStyle w:val="afc"/>
        <w:tabs>
          <w:tab w:val="left" w:pos="2160"/>
          <w:tab w:val="left" w:pos="3600"/>
          <w:tab w:val="left" w:pos="6120"/>
          <w:tab w:val="left" w:pos="7560"/>
        </w:tabs>
        <w:spacing w:afterLines="100" w:after="240"/>
        <w:ind w:left="369"/>
        <w:rPr>
          <w:lang w:val="fr-FR"/>
        </w:rPr>
      </w:pPr>
      <w:r w:rsidRPr="00BD76AF">
        <w:rPr>
          <w:lang w:val="fr-FR"/>
        </w:rPr>
        <w:t>Conformément à la réglementation en vigueur dans tout pays où les Installations ou une partie de celles-ci doivent être exécutées.</w:t>
      </w:r>
    </w:p>
    <w:p w14:paraId="647834D9" w14:textId="77777777" w:rsidR="00F332DA" w:rsidRPr="00BD76AF" w:rsidRDefault="00F332DA" w:rsidP="00B14195">
      <w:pPr>
        <w:spacing w:afterLines="50" w:after="120"/>
        <w:ind w:left="369" w:hanging="369"/>
      </w:pPr>
      <w:r w:rsidRPr="00BD76AF">
        <w:t>g)</w:t>
      </w:r>
      <w:r w:rsidRPr="00BD76AF">
        <w:tab/>
      </w:r>
      <w:r w:rsidRPr="00BD76AF">
        <w:rPr>
          <w:u w:val="single"/>
        </w:rPr>
        <w:t>Autres assurances</w:t>
      </w:r>
    </w:p>
    <w:p w14:paraId="72904537" w14:textId="77777777" w:rsidR="00F332DA" w:rsidRPr="00BD76AF" w:rsidRDefault="00F332DA" w:rsidP="00B14195">
      <w:pPr>
        <w:pStyle w:val="afc"/>
        <w:tabs>
          <w:tab w:val="left" w:pos="2160"/>
          <w:tab w:val="left" w:pos="3600"/>
          <w:tab w:val="left" w:pos="6120"/>
          <w:tab w:val="left" w:pos="7560"/>
        </w:tabs>
        <w:spacing w:afterLines="100" w:after="240"/>
        <w:ind w:left="369"/>
        <w:rPr>
          <w:lang w:val="fr-FR"/>
        </w:rPr>
      </w:pPr>
      <w:r w:rsidRPr="00BD76AF">
        <w:rPr>
          <w:lang w:val="fr-FR"/>
        </w:rPr>
        <w:t>L’Entrepreneur a également l’obligation de contracter et maintenir en vigueur à ses propres frais les assurances suivantes :</w:t>
      </w:r>
    </w:p>
    <w:p w14:paraId="23BC4DC3" w14:textId="77777777" w:rsidR="00F332DA" w:rsidRPr="00BD76AF" w:rsidRDefault="00F332DA" w:rsidP="0079334B">
      <w:pPr>
        <w:ind w:leftChars="177" w:left="425"/>
      </w:pPr>
      <w:r w:rsidRPr="00BD76AF">
        <w:t>[</w:t>
      </w:r>
      <w:r w:rsidRPr="00BD76AF">
        <w:rPr>
          <w:i/>
        </w:rPr>
        <w:t>Le Maître d’ouvrage</w:t>
      </w:r>
      <w:r w:rsidRPr="00BD76AF">
        <w:rPr>
          <w:i/>
          <w:lang w:eastAsia="ja-JP"/>
        </w:rPr>
        <w:t xml:space="preserve"> doit fournir ici les détails de toute assurance autre que celles énumérées ci-dessus, si l’Entrepreneur les lui demande au titre du Marché.</w:t>
      </w:r>
      <w:r w:rsidRPr="00BD76AF">
        <w:t>]</w:t>
      </w:r>
    </w:p>
    <w:p w14:paraId="09FFF235" w14:textId="77777777" w:rsidR="00F332DA" w:rsidRPr="00BD76AF" w:rsidRDefault="00F332DA" w:rsidP="00B14195">
      <w:pPr>
        <w:pStyle w:val="afc"/>
        <w:tabs>
          <w:tab w:val="left" w:pos="2160"/>
          <w:tab w:val="left" w:pos="3600"/>
          <w:tab w:val="left" w:pos="6120"/>
          <w:tab w:val="left" w:pos="7560"/>
        </w:tabs>
        <w:spacing w:afterLines="100" w:after="240"/>
        <w:ind w:left="369"/>
        <w:rPr>
          <w:lang w:val="fr-FR"/>
        </w:rPr>
      </w:pPr>
    </w:p>
    <w:p w14:paraId="3AFB8FDB" w14:textId="77777777" w:rsidR="00F332DA" w:rsidRPr="00BD76AF" w:rsidRDefault="00F332DA" w:rsidP="00253305">
      <w:pPr>
        <w:pStyle w:val="afc"/>
        <w:tabs>
          <w:tab w:val="left" w:pos="2160"/>
          <w:tab w:val="left" w:pos="3600"/>
          <w:tab w:val="left" w:pos="6120"/>
          <w:tab w:val="left" w:pos="7560"/>
        </w:tabs>
        <w:spacing w:afterLines="100" w:after="240"/>
        <w:ind w:left="369"/>
        <w:rPr>
          <w:lang w:val="fr-FR"/>
        </w:rPr>
      </w:pPr>
      <w:r w:rsidRPr="00BD76AF">
        <w:rPr>
          <w:u w:val="single"/>
          <w:lang w:val="fr-FR"/>
        </w:rPr>
        <w:t>Détails</w:t>
      </w:r>
      <w:r w:rsidRPr="00BD76AF">
        <w:rPr>
          <w:lang w:val="fr-FR"/>
        </w:rPr>
        <w:t> :</w:t>
      </w:r>
    </w:p>
    <w:tbl>
      <w:tblPr>
        <w:tblW w:w="510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tblGrid>
      <w:tr w:rsidR="00F332DA" w:rsidRPr="00BD76AF" w14:paraId="0B5609E0" w14:textId="77777777" w:rsidTr="0079334B">
        <w:tc>
          <w:tcPr>
            <w:tcW w:w="1701" w:type="dxa"/>
            <w:shd w:val="clear" w:color="auto" w:fill="auto"/>
          </w:tcPr>
          <w:p w14:paraId="5FCA8BAA" w14:textId="77777777" w:rsidR="00F332DA" w:rsidRPr="00BD76AF" w:rsidRDefault="00F332DA" w:rsidP="00DC0647">
            <w:pPr>
              <w:tabs>
                <w:tab w:val="left" w:pos="2160"/>
                <w:tab w:val="left" w:pos="3600"/>
                <w:tab w:val="left" w:pos="6120"/>
                <w:tab w:val="left" w:pos="7560"/>
              </w:tabs>
              <w:jc w:val="center"/>
              <w:rPr>
                <w:b/>
              </w:rPr>
            </w:pPr>
            <w:r w:rsidRPr="00BD76AF">
              <w:rPr>
                <w:b/>
              </w:rPr>
              <w:t>Montant</w:t>
            </w:r>
          </w:p>
          <w:p w14:paraId="785CE10E" w14:textId="77777777" w:rsidR="00F332DA" w:rsidRPr="00BD76AF" w:rsidRDefault="00F332DA" w:rsidP="00DC0647">
            <w:pPr>
              <w:tabs>
                <w:tab w:val="left" w:pos="2160"/>
                <w:tab w:val="left" w:pos="3600"/>
                <w:tab w:val="left" w:pos="6120"/>
                <w:tab w:val="left" w:pos="7560"/>
              </w:tabs>
              <w:jc w:val="center"/>
              <w:rPr>
                <w:sz w:val="22"/>
                <w:szCs w:val="22"/>
              </w:rPr>
            </w:pPr>
            <w:r w:rsidRPr="00BD76AF">
              <w:rPr>
                <w:sz w:val="22"/>
                <w:szCs w:val="22"/>
              </w:rPr>
              <w:t>[</w:t>
            </w:r>
            <w:r w:rsidRPr="00BD76AF">
              <w:rPr>
                <w:i/>
                <w:sz w:val="22"/>
                <w:szCs w:val="22"/>
              </w:rPr>
              <w:t>monnaie(s)</w:t>
            </w:r>
            <w:r w:rsidRPr="00BD76AF">
              <w:rPr>
                <w:sz w:val="22"/>
                <w:szCs w:val="22"/>
              </w:rPr>
              <w:t>]</w:t>
            </w:r>
          </w:p>
        </w:tc>
        <w:tc>
          <w:tcPr>
            <w:tcW w:w="1701" w:type="dxa"/>
            <w:shd w:val="clear" w:color="auto" w:fill="auto"/>
          </w:tcPr>
          <w:p w14:paraId="1E32D04C" w14:textId="77777777" w:rsidR="00F332DA" w:rsidRPr="00BD76AF" w:rsidRDefault="00F332DA" w:rsidP="00DC0647">
            <w:pPr>
              <w:tabs>
                <w:tab w:val="left" w:pos="2160"/>
                <w:tab w:val="left" w:pos="3600"/>
                <w:tab w:val="left" w:pos="6120"/>
                <w:tab w:val="left" w:pos="7560"/>
              </w:tabs>
              <w:jc w:val="center"/>
              <w:rPr>
                <w:b/>
              </w:rPr>
            </w:pPr>
            <w:r w:rsidRPr="00BD76AF">
              <w:rPr>
                <w:b/>
              </w:rPr>
              <w:t>Franchises</w:t>
            </w:r>
          </w:p>
          <w:p w14:paraId="1E6DB0FA" w14:textId="77777777" w:rsidR="00F332DA" w:rsidRPr="00BD76AF" w:rsidRDefault="00F332DA" w:rsidP="00DC0647">
            <w:pPr>
              <w:tabs>
                <w:tab w:val="left" w:pos="2160"/>
                <w:tab w:val="left" w:pos="3600"/>
                <w:tab w:val="left" w:pos="6120"/>
                <w:tab w:val="left" w:pos="7560"/>
              </w:tabs>
              <w:jc w:val="center"/>
            </w:pPr>
            <w:r w:rsidRPr="00BD76AF">
              <w:rPr>
                <w:sz w:val="22"/>
                <w:szCs w:val="22"/>
              </w:rPr>
              <w:t>[</w:t>
            </w:r>
            <w:r w:rsidRPr="00BD76AF">
              <w:rPr>
                <w:i/>
                <w:sz w:val="22"/>
                <w:szCs w:val="22"/>
              </w:rPr>
              <w:t>monnaie(s)</w:t>
            </w:r>
            <w:r w:rsidRPr="00BD76AF">
              <w:rPr>
                <w:sz w:val="22"/>
                <w:szCs w:val="22"/>
              </w:rPr>
              <w:t>]</w:t>
            </w:r>
          </w:p>
        </w:tc>
        <w:tc>
          <w:tcPr>
            <w:tcW w:w="1701" w:type="dxa"/>
            <w:shd w:val="clear" w:color="auto" w:fill="auto"/>
          </w:tcPr>
          <w:p w14:paraId="712B3797" w14:textId="77777777" w:rsidR="00F332DA" w:rsidRPr="00BD76AF" w:rsidRDefault="00F332DA" w:rsidP="00DC0647">
            <w:pPr>
              <w:tabs>
                <w:tab w:val="left" w:pos="2160"/>
                <w:tab w:val="left" w:pos="3600"/>
                <w:tab w:val="left" w:pos="6120"/>
                <w:tab w:val="left" w:pos="7560"/>
              </w:tabs>
              <w:jc w:val="center"/>
              <w:rPr>
                <w:b/>
              </w:rPr>
            </w:pPr>
            <w:r w:rsidRPr="00BD76AF">
              <w:rPr>
                <w:b/>
              </w:rPr>
              <w:t>Parties assurées</w:t>
            </w:r>
          </w:p>
          <w:p w14:paraId="220094B8" w14:textId="77777777" w:rsidR="00F332DA" w:rsidRPr="00BD76AF" w:rsidRDefault="00F332DA" w:rsidP="00DC0647">
            <w:pPr>
              <w:tabs>
                <w:tab w:val="left" w:pos="2160"/>
                <w:tab w:val="left" w:pos="3600"/>
                <w:tab w:val="left" w:pos="6120"/>
                <w:tab w:val="left" w:pos="7560"/>
              </w:tabs>
              <w:jc w:val="center"/>
            </w:pPr>
            <w:r w:rsidRPr="00BD76AF">
              <w:rPr>
                <w:sz w:val="22"/>
                <w:szCs w:val="22"/>
              </w:rPr>
              <w:t>[</w:t>
            </w:r>
            <w:r w:rsidRPr="00BD76AF">
              <w:rPr>
                <w:i/>
                <w:sz w:val="22"/>
                <w:szCs w:val="22"/>
              </w:rPr>
              <w:t>noms</w:t>
            </w:r>
            <w:r w:rsidRPr="00BD76AF">
              <w:rPr>
                <w:sz w:val="22"/>
                <w:szCs w:val="22"/>
              </w:rPr>
              <w:t>]</w:t>
            </w:r>
          </w:p>
        </w:tc>
      </w:tr>
      <w:tr w:rsidR="00F332DA" w:rsidRPr="00BD76AF" w14:paraId="7B378D5F" w14:textId="77777777" w:rsidTr="0079334B">
        <w:tc>
          <w:tcPr>
            <w:tcW w:w="1701" w:type="dxa"/>
            <w:shd w:val="clear" w:color="auto" w:fill="auto"/>
          </w:tcPr>
          <w:p w14:paraId="7EC57E3C" w14:textId="77777777" w:rsidR="00F332DA" w:rsidRPr="00BD76AF" w:rsidRDefault="00F332DA" w:rsidP="00DC0647">
            <w:pPr>
              <w:tabs>
                <w:tab w:val="left" w:pos="2160"/>
                <w:tab w:val="left" w:pos="3600"/>
                <w:tab w:val="left" w:pos="6120"/>
                <w:tab w:val="left" w:pos="7560"/>
              </w:tabs>
            </w:pPr>
          </w:p>
        </w:tc>
        <w:tc>
          <w:tcPr>
            <w:tcW w:w="1701" w:type="dxa"/>
            <w:shd w:val="clear" w:color="auto" w:fill="auto"/>
          </w:tcPr>
          <w:p w14:paraId="7988B5E9" w14:textId="77777777" w:rsidR="00F332DA" w:rsidRPr="00BD76AF" w:rsidRDefault="00F332DA" w:rsidP="00DC0647">
            <w:pPr>
              <w:tabs>
                <w:tab w:val="left" w:pos="2160"/>
                <w:tab w:val="left" w:pos="3600"/>
                <w:tab w:val="left" w:pos="6120"/>
                <w:tab w:val="left" w:pos="7560"/>
              </w:tabs>
            </w:pPr>
          </w:p>
        </w:tc>
        <w:tc>
          <w:tcPr>
            <w:tcW w:w="1701" w:type="dxa"/>
            <w:shd w:val="clear" w:color="auto" w:fill="auto"/>
          </w:tcPr>
          <w:p w14:paraId="0CB79E10" w14:textId="77777777" w:rsidR="00F332DA" w:rsidRPr="00BD76AF" w:rsidRDefault="00F332DA" w:rsidP="00DC0647">
            <w:pPr>
              <w:tabs>
                <w:tab w:val="left" w:pos="2160"/>
                <w:tab w:val="left" w:pos="3600"/>
                <w:tab w:val="left" w:pos="6120"/>
                <w:tab w:val="left" w:pos="7560"/>
              </w:tabs>
            </w:pPr>
          </w:p>
        </w:tc>
      </w:tr>
      <w:tr w:rsidR="00F332DA" w:rsidRPr="00BD76AF" w14:paraId="45C4FD6A" w14:textId="77777777" w:rsidTr="0079334B">
        <w:tc>
          <w:tcPr>
            <w:tcW w:w="1701" w:type="dxa"/>
            <w:shd w:val="clear" w:color="auto" w:fill="auto"/>
          </w:tcPr>
          <w:p w14:paraId="1D37733E" w14:textId="77777777" w:rsidR="00F332DA" w:rsidRPr="00BD76AF" w:rsidRDefault="00F332DA" w:rsidP="00DC0647">
            <w:pPr>
              <w:tabs>
                <w:tab w:val="left" w:pos="2160"/>
                <w:tab w:val="left" w:pos="3600"/>
                <w:tab w:val="left" w:pos="6120"/>
                <w:tab w:val="left" w:pos="7560"/>
              </w:tabs>
            </w:pPr>
          </w:p>
        </w:tc>
        <w:tc>
          <w:tcPr>
            <w:tcW w:w="1701" w:type="dxa"/>
            <w:shd w:val="clear" w:color="auto" w:fill="auto"/>
          </w:tcPr>
          <w:p w14:paraId="734CE391" w14:textId="77777777" w:rsidR="00F332DA" w:rsidRPr="00BD76AF" w:rsidRDefault="00F332DA" w:rsidP="00DC0647">
            <w:pPr>
              <w:tabs>
                <w:tab w:val="left" w:pos="2160"/>
                <w:tab w:val="left" w:pos="3600"/>
                <w:tab w:val="left" w:pos="6120"/>
                <w:tab w:val="left" w:pos="7560"/>
              </w:tabs>
            </w:pPr>
          </w:p>
        </w:tc>
        <w:tc>
          <w:tcPr>
            <w:tcW w:w="1701" w:type="dxa"/>
            <w:shd w:val="clear" w:color="auto" w:fill="auto"/>
          </w:tcPr>
          <w:p w14:paraId="67C32DE8" w14:textId="77777777" w:rsidR="00F332DA" w:rsidRPr="00BD76AF" w:rsidRDefault="00F332DA" w:rsidP="00DC0647">
            <w:pPr>
              <w:tabs>
                <w:tab w:val="left" w:pos="2160"/>
                <w:tab w:val="left" w:pos="3600"/>
                <w:tab w:val="left" w:pos="6120"/>
                <w:tab w:val="left" w:pos="7560"/>
              </w:tabs>
            </w:pPr>
          </w:p>
        </w:tc>
      </w:tr>
    </w:tbl>
    <w:p w14:paraId="313AA712" w14:textId="77777777" w:rsidR="00F332DA" w:rsidRPr="00BD76AF" w:rsidRDefault="00F332DA" w:rsidP="0070010E">
      <w:pPr>
        <w:ind w:left="720"/>
      </w:pPr>
    </w:p>
    <w:p w14:paraId="32283608" w14:textId="77777777" w:rsidR="00F332DA" w:rsidRPr="00BD76AF" w:rsidRDefault="00F332DA" w:rsidP="00CD5851">
      <w:pPr>
        <w:spacing w:after="360"/>
        <w:jc w:val="center"/>
      </w:pPr>
    </w:p>
    <w:p w14:paraId="4BAD983D" w14:textId="77777777" w:rsidR="00F332DA" w:rsidRPr="00BD76AF" w:rsidRDefault="00F332DA" w:rsidP="0079334B">
      <w:pPr>
        <w:spacing w:after="360"/>
        <w:rPr>
          <w:b/>
          <w:szCs w:val="24"/>
        </w:rPr>
      </w:pPr>
      <w:r w:rsidRPr="00BD76AF">
        <w:rPr>
          <w:b/>
          <w:szCs w:val="24"/>
        </w:rPr>
        <w:t>Assurances devant être souscrites par le Maître d’ouvrage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F332DA" w:rsidRPr="00BD76AF" w14:paraId="28AEBDF1" w14:textId="77777777" w:rsidTr="0079334B">
        <w:tc>
          <w:tcPr>
            <w:tcW w:w="9219" w:type="dxa"/>
            <w:shd w:val="clear" w:color="auto" w:fill="auto"/>
          </w:tcPr>
          <w:p w14:paraId="5DB63300" w14:textId="77777777" w:rsidR="00F332DA" w:rsidRPr="00BD76AF" w:rsidRDefault="00F332DA" w:rsidP="0079334B">
            <w:pPr>
              <w:jc w:val="center"/>
              <w:rPr>
                <w:b/>
                <w:iCs/>
              </w:rPr>
            </w:pPr>
            <w:r w:rsidRPr="00BD76AF">
              <w:rPr>
                <w:b/>
                <w:iCs/>
              </w:rPr>
              <w:t>Notes à l’intention du Maître d’ouvrage</w:t>
            </w:r>
          </w:p>
          <w:p w14:paraId="31CF74D9" w14:textId="77777777" w:rsidR="00F332DA" w:rsidRPr="00BD76AF" w:rsidRDefault="00F332DA" w:rsidP="0079334B">
            <w:pPr>
              <w:rPr>
                <w:iCs/>
              </w:rPr>
            </w:pPr>
          </w:p>
          <w:p w14:paraId="7EC2673E" w14:textId="77777777" w:rsidR="00F332DA" w:rsidRPr="00BD76AF" w:rsidRDefault="00F332DA" w:rsidP="0079334B">
            <w:pPr>
              <w:rPr>
                <w:iCs/>
              </w:rPr>
            </w:pPr>
            <w:r w:rsidRPr="00BD76AF">
              <w:t>Si le Maître d’ouvrage propose de souscrire et maintenir l’une quelconque ou toutes les assurances ci-dessus par lui-même, ou toute autre assurance pour les Installations, soit en son nom propre, soit conjointement en son nom et celui de l’Entrepreneur, il en indiquera les détails ci-dessous préalablement à la diffusion du Dossier d’appel d’offres. Conformément à l’Article 34.5 des CG, l’Entrepreneur et ses Sous-traitants doivent être désignés comme co-assurés au titre de toutes ces polices.</w:t>
            </w:r>
          </w:p>
          <w:p w14:paraId="02FFC17E" w14:textId="77777777" w:rsidR="00F332DA" w:rsidRPr="00BD76AF" w:rsidRDefault="00F332DA" w:rsidP="0079334B"/>
        </w:tc>
      </w:tr>
    </w:tbl>
    <w:p w14:paraId="52B97EC0" w14:textId="77777777" w:rsidR="00F332DA" w:rsidRPr="00BD76AF" w:rsidRDefault="00F332DA" w:rsidP="00CD5851">
      <w:pPr>
        <w:spacing w:afterLines="150" w:after="360"/>
        <w:rPr>
          <w:b/>
        </w:rPr>
      </w:pPr>
    </w:p>
    <w:p w14:paraId="31405F12" w14:textId="77777777" w:rsidR="00F332DA" w:rsidRPr="00BD76AF" w:rsidRDefault="00F332DA" w:rsidP="0079334B">
      <w:pPr>
        <w:spacing w:afterLines="150" w:after="360"/>
      </w:pPr>
      <w:r w:rsidRPr="00BD76AF">
        <w:t>Le Maître d’ouvrage doit souscrire à ses frais et maintenir durant l’exécution du Marché les assurances suivantes :</w:t>
      </w:r>
    </w:p>
    <w:p w14:paraId="0D8C0EC8" w14:textId="77777777" w:rsidR="00F332DA" w:rsidRPr="00BD76AF" w:rsidRDefault="00F332DA" w:rsidP="00CD5851"/>
    <w:p w14:paraId="511FCEF2" w14:textId="77777777" w:rsidR="00F332DA" w:rsidRPr="00BD76AF" w:rsidRDefault="00F332DA" w:rsidP="00CD5851">
      <w:r w:rsidRPr="00BD76AF">
        <w:rPr>
          <w:u w:val="single"/>
        </w:rPr>
        <w:t>Détails</w:t>
      </w:r>
      <w:r w:rsidRPr="00BD76AF">
        <w:t> :</w:t>
      </w:r>
    </w:p>
    <w:p w14:paraId="4C52EDE9" w14:textId="77777777" w:rsidR="00F332DA" w:rsidRPr="00BD76AF" w:rsidRDefault="00F332DA" w:rsidP="00CD5851"/>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820"/>
        <w:gridCol w:w="1778"/>
      </w:tblGrid>
      <w:tr w:rsidR="00F332DA" w:rsidRPr="00BD76AF" w14:paraId="20B00B3D" w14:textId="77777777" w:rsidTr="0079334B">
        <w:tc>
          <w:tcPr>
            <w:tcW w:w="1820" w:type="dxa"/>
            <w:shd w:val="clear" w:color="auto" w:fill="auto"/>
          </w:tcPr>
          <w:p w14:paraId="247DCEE0" w14:textId="77777777" w:rsidR="00F332DA" w:rsidRPr="00BD76AF" w:rsidRDefault="00F332DA" w:rsidP="00DC0647">
            <w:pPr>
              <w:tabs>
                <w:tab w:val="left" w:pos="2160"/>
                <w:tab w:val="left" w:pos="3600"/>
                <w:tab w:val="left" w:pos="6120"/>
                <w:tab w:val="left" w:pos="7560"/>
              </w:tabs>
              <w:jc w:val="center"/>
              <w:rPr>
                <w:b/>
              </w:rPr>
            </w:pPr>
            <w:r w:rsidRPr="00BD76AF">
              <w:rPr>
                <w:b/>
              </w:rPr>
              <w:t>Montant</w:t>
            </w:r>
          </w:p>
          <w:p w14:paraId="097628F1" w14:textId="77777777" w:rsidR="00F332DA" w:rsidRPr="00BD76AF" w:rsidRDefault="00F332DA" w:rsidP="00DC0647">
            <w:pPr>
              <w:tabs>
                <w:tab w:val="left" w:pos="2160"/>
                <w:tab w:val="left" w:pos="3600"/>
                <w:tab w:val="left" w:pos="6120"/>
                <w:tab w:val="left" w:pos="7560"/>
              </w:tabs>
              <w:jc w:val="center"/>
              <w:rPr>
                <w:sz w:val="22"/>
                <w:szCs w:val="22"/>
              </w:rPr>
            </w:pPr>
            <w:r w:rsidRPr="00BD76AF">
              <w:rPr>
                <w:sz w:val="22"/>
                <w:szCs w:val="22"/>
              </w:rPr>
              <w:t>[</w:t>
            </w:r>
            <w:r w:rsidRPr="00BD76AF">
              <w:rPr>
                <w:i/>
                <w:sz w:val="22"/>
                <w:szCs w:val="22"/>
              </w:rPr>
              <w:t>monnaie(s)</w:t>
            </w:r>
            <w:r w:rsidRPr="00BD76AF">
              <w:rPr>
                <w:sz w:val="22"/>
                <w:szCs w:val="22"/>
              </w:rPr>
              <w:t>]</w:t>
            </w:r>
          </w:p>
        </w:tc>
        <w:tc>
          <w:tcPr>
            <w:tcW w:w="1820" w:type="dxa"/>
            <w:shd w:val="clear" w:color="auto" w:fill="auto"/>
          </w:tcPr>
          <w:p w14:paraId="150D568F" w14:textId="77777777" w:rsidR="00F332DA" w:rsidRPr="00BD76AF" w:rsidRDefault="00F332DA" w:rsidP="00DC0647">
            <w:pPr>
              <w:tabs>
                <w:tab w:val="left" w:pos="2160"/>
                <w:tab w:val="left" w:pos="3600"/>
                <w:tab w:val="left" w:pos="6120"/>
                <w:tab w:val="left" w:pos="7560"/>
              </w:tabs>
              <w:jc w:val="center"/>
              <w:rPr>
                <w:b/>
              </w:rPr>
            </w:pPr>
            <w:r w:rsidRPr="00BD76AF">
              <w:rPr>
                <w:b/>
              </w:rPr>
              <w:t>Franchises</w:t>
            </w:r>
          </w:p>
          <w:p w14:paraId="3BBE577C" w14:textId="77777777" w:rsidR="00F332DA" w:rsidRPr="00BD76AF" w:rsidRDefault="00F332DA" w:rsidP="00DC0647">
            <w:pPr>
              <w:tabs>
                <w:tab w:val="left" w:pos="2160"/>
                <w:tab w:val="left" w:pos="3600"/>
                <w:tab w:val="left" w:pos="6120"/>
                <w:tab w:val="left" w:pos="7560"/>
              </w:tabs>
              <w:jc w:val="center"/>
            </w:pPr>
            <w:r w:rsidRPr="00BD76AF">
              <w:rPr>
                <w:sz w:val="22"/>
                <w:szCs w:val="22"/>
              </w:rPr>
              <w:t>[</w:t>
            </w:r>
            <w:r w:rsidRPr="00BD76AF">
              <w:rPr>
                <w:i/>
                <w:sz w:val="22"/>
                <w:szCs w:val="22"/>
              </w:rPr>
              <w:t>monnaie(s)</w:t>
            </w:r>
            <w:r w:rsidRPr="00BD76AF">
              <w:rPr>
                <w:sz w:val="22"/>
                <w:szCs w:val="22"/>
              </w:rPr>
              <w:t>]</w:t>
            </w:r>
          </w:p>
        </w:tc>
        <w:tc>
          <w:tcPr>
            <w:tcW w:w="1778" w:type="dxa"/>
            <w:shd w:val="clear" w:color="auto" w:fill="auto"/>
          </w:tcPr>
          <w:p w14:paraId="102EF7FB" w14:textId="77777777" w:rsidR="00F332DA" w:rsidRPr="00BD76AF" w:rsidRDefault="00F332DA" w:rsidP="00DC0647">
            <w:pPr>
              <w:tabs>
                <w:tab w:val="left" w:pos="2160"/>
                <w:tab w:val="left" w:pos="3600"/>
                <w:tab w:val="left" w:pos="6120"/>
                <w:tab w:val="left" w:pos="7560"/>
              </w:tabs>
              <w:jc w:val="center"/>
              <w:rPr>
                <w:b/>
              </w:rPr>
            </w:pPr>
            <w:r w:rsidRPr="00BD76AF">
              <w:rPr>
                <w:b/>
              </w:rPr>
              <w:t>Parties assurées</w:t>
            </w:r>
          </w:p>
          <w:p w14:paraId="74EC1A0B" w14:textId="77777777" w:rsidR="00F332DA" w:rsidRPr="00BD76AF" w:rsidRDefault="00F332DA" w:rsidP="00DC0647">
            <w:pPr>
              <w:tabs>
                <w:tab w:val="left" w:pos="2160"/>
                <w:tab w:val="left" w:pos="3600"/>
                <w:tab w:val="left" w:pos="6120"/>
                <w:tab w:val="left" w:pos="7560"/>
              </w:tabs>
              <w:jc w:val="center"/>
            </w:pPr>
            <w:r w:rsidRPr="00BD76AF">
              <w:rPr>
                <w:sz w:val="22"/>
                <w:szCs w:val="22"/>
              </w:rPr>
              <w:t>[</w:t>
            </w:r>
            <w:r w:rsidRPr="00BD76AF">
              <w:rPr>
                <w:i/>
                <w:sz w:val="22"/>
                <w:szCs w:val="22"/>
              </w:rPr>
              <w:t>noms</w:t>
            </w:r>
            <w:r w:rsidRPr="00BD76AF">
              <w:rPr>
                <w:sz w:val="22"/>
                <w:szCs w:val="22"/>
              </w:rPr>
              <w:t>]</w:t>
            </w:r>
          </w:p>
        </w:tc>
      </w:tr>
      <w:tr w:rsidR="00F332DA" w:rsidRPr="00BD76AF" w14:paraId="1D9BAAE8" w14:textId="77777777" w:rsidTr="0079334B">
        <w:tc>
          <w:tcPr>
            <w:tcW w:w="1820" w:type="dxa"/>
            <w:shd w:val="clear" w:color="auto" w:fill="auto"/>
          </w:tcPr>
          <w:p w14:paraId="1CABE4BA" w14:textId="77777777" w:rsidR="00F332DA" w:rsidRPr="00BD76AF" w:rsidRDefault="00F332DA" w:rsidP="00DC0647">
            <w:pPr>
              <w:tabs>
                <w:tab w:val="left" w:pos="2160"/>
                <w:tab w:val="left" w:pos="3600"/>
                <w:tab w:val="left" w:pos="6120"/>
                <w:tab w:val="left" w:pos="7560"/>
              </w:tabs>
            </w:pPr>
          </w:p>
        </w:tc>
        <w:tc>
          <w:tcPr>
            <w:tcW w:w="1820" w:type="dxa"/>
            <w:shd w:val="clear" w:color="auto" w:fill="auto"/>
          </w:tcPr>
          <w:p w14:paraId="09726494" w14:textId="77777777" w:rsidR="00F332DA" w:rsidRPr="00BD76AF" w:rsidRDefault="00F332DA" w:rsidP="00DC0647">
            <w:pPr>
              <w:tabs>
                <w:tab w:val="left" w:pos="2160"/>
                <w:tab w:val="left" w:pos="3600"/>
                <w:tab w:val="left" w:pos="6120"/>
                <w:tab w:val="left" w:pos="7560"/>
              </w:tabs>
            </w:pPr>
          </w:p>
        </w:tc>
        <w:tc>
          <w:tcPr>
            <w:tcW w:w="1778" w:type="dxa"/>
            <w:shd w:val="clear" w:color="auto" w:fill="auto"/>
          </w:tcPr>
          <w:p w14:paraId="04892D4E" w14:textId="77777777" w:rsidR="00F332DA" w:rsidRPr="00BD76AF" w:rsidRDefault="00F332DA" w:rsidP="00DC0647">
            <w:pPr>
              <w:tabs>
                <w:tab w:val="left" w:pos="2160"/>
                <w:tab w:val="left" w:pos="3600"/>
                <w:tab w:val="left" w:pos="6120"/>
                <w:tab w:val="left" w:pos="7560"/>
              </w:tabs>
            </w:pPr>
          </w:p>
        </w:tc>
      </w:tr>
      <w:tr w:rsidR="00F332DA" w:rsidRPr="00BD76AF" w14:paraId="474DD310" w14:textId="77777777" w:rsidTr="0079334B">
        <w:tc>
          <w:tcPr>
            <w:tcW w:w="1820" w:type="dxa"/>
            <w:shd w:val="clear" w:color="auto" w:fill="auto"/>
          </w:tcPr>
          <w:p w14:paraId="77F84824" w14:textId="77777777" w:rsidR="00F332DA" w:rsidRPr="00BD76AF" w:rsidRDefault="00F332DA" w:rsidP="00DC0647">
            <w:pPr>
              <w:tabs>
                <w:tab w:val="left" w:pos="2160"/>
                <w:tab w:val="left" w:pos="3600"/>
                <w:tab w:val="left" w:pos="6120"/>
                <w:tab w:val="left" w:pos="7560"/>
              </w:tabs>
            </w:pPr>
          </w:p>
        </w:tc>
        <w:tc>
          <w:tcPr>
            <w:tcW w:w="1820" w:type="dxa"/>
            <w:shd w:val="clear" w:color="auto" w:fill="auto"/>
          </w:tcPr>
          <w:p w14:paraId="0AF48052" w14:textId="77777777" w:rsidR="00F332DA" w:rsidRPr="00BD76AF" w:rsidRDefault="00F332DA" w:rsidP="00DC0647">
            <w:pPr>
              <w:tabs>
                <w:tab w:val="left" w:pos="2160"/>
                <w:tab w:val="left" w:pos="3600"/>
                <w:tab w:val="left" w:pos="6120"/>
                <w:tab w:val="left" w:pos="7560"/>
              </w:tabs>
            </w:pPr>
          </w:p>
        </w:tc>
        <w:tc>
          <w:tcPr>
            <w:tcW w:w="1778" w:type="dxa"/>
            <w:shd w:val="clear" w:color="auto" w:fill="auto"/>
          </w:tcPr>
          <w:p w14:paraId="60EB8B5A" w14:textId="77777777" w:rsidR="00F332DA" w:rsidRPr="00BD76AF" w:rsidRDefault="00F332DA" w:rsidP="00DC0647">
            <w:pPr>
              <w:tabs>
                <w:tab w:val="left" w:pos="2160"/>
                <w:tab w:val="left" w:pos="3600"/>
                <w:tab w:val="left" w:pos="6120"/>
                <w:tab w:val="left" w:pos="7560"/>
              </w:tabs>
            </w:pPr>
          </w:p>
        </w:tc>
      </w:tr>
    </w:tbl>
    <w:p w14:paraId="0FA6DEB6" w14:textId="77777777" w:rsidR="00F332DA" w:rsidRPr="00BD76AF" w:rsidRDefault="00F332DA" w:rsidP="00CD5851"/>
    <w:p w14:paraId="0FBAB40D" w14:textId="77777777" w:rsidR="00F332DA" w:rsidRPr="00BD76AF" w:rsidRDefault="00F332DA" w:rsidP="0063431F">
      <w:pPr>
        <w:pStyle w:val="S9-appx"/>
        <w:rPr>
          <w:lang w:val="fr-FR"/>
        </w:rPr>
      </w:pPr>
      <w:r w:rsidRPr="00BD76AF">
        <w:rPr>
          <w:lang w:val="fr-FR"/>
        </w:rPr>
        <w:br w:type="page"/>
      </w:r>
    </w:p>
    <w:p w14:paraId="089A1897" w14:textId="77777777" w:rsidR="00F332DA" w:rsidRPr="00BD76AF" w:rsidRDefault="00F332DA" w:rsidP="0079334B">
      <w:pPr>
        <w:pStyle w:val="S9-appx"/>
        <w:jc w:val="left"/>
        <w:rPr>
          <w:b w:val="0"/>
          <w:sz w:val="24"/>
          <w:szCs w:val="24"/>
          <w:lang w:val="fr-FR" w:eastAsia="ja-JP"/>
        </w:rPr>
      </w:pPr>
      <w:bookmarkStart w:id="844" w:name="_Toc104152942"/>
      <w:r w:rsidRPr="00BD76AF">
        <w:rPr>
          <w:rFonts w:hint="eastAsia"/>
          <w:b w:val="0"/>
          <w:sz w:val="24"/>
          <w:szCs w:val="24"/>
          <w:lang w:val="fr-FR" w:eastAsia="ja-JP"/>
        </w:rPr>
        <w:t>[</w:t>
      </w:r>
      <w:r w:rsidRPr="00BD76AF">
        <w:rPr>
          <w:b w:val="0"/>
          <w:i/>
          <w:noProof/>
          <w:sz w:val="24"/>
          <w:szCs w:val="24"/>
          <w:lang w:val="fr-FR"/>
        </w:rPr>
        <w:t>Formulaire commun à l’option A : appel d’offres à une étape-deux enveloppes et l’option B : appel d’offres à deux étapes-une enveloppe</w:t>
      </w:r>
      <w:r w:rsidRPr="00BD76AF">
        <w:rPr>
          <w:b w:val="0"/>
          <w:sz w:val="24"/>
          <w:szCs w:val="24"/>
          <w:lang w:val="fr-FR" w:eastAsia="ja-JP"/>
        </w:rPr>
        <w:t>]</w:t>
      </w:r>
      <w:bookmarkEnd w:id="844"/>
    </w:p>
    <w:p w14:paraId="1AADFF5F" w14:textId="77777777" w:rsidR="00F332DA" w:rsidRPr="00BD76AF" w:rsidRDefault="00F332DA" w:rsidP="0063431F">
      <w:pPr>
        <w:pStyle w:val="S9-appx"/>
        <w:rPr>
          <w:szCs w:val="28"/>
          <w:lang w:val="fr-FR"/>
        </w:rPr>
      </w:pPr>
      <w:bookmarkStart w:id="845" w:name="_Toc104152943"/>
      <w:r w:rsidRPr="00BD76AF">
        <w:rPr>
          <w:lang w:val="en-GB"/>
        </w:rPr>
        <w:t>Annexe</w:t>
      </w:r>
      <w:r w:rsidRPr="00BD76AF">
        <w:rPr>
          <w:szCs w:val="28"/>
          <w:lang w:val="fr-FR"/>
        </w:rPr>
        <w:t xml:space="preserve"> 4.  </w:t>
      </w:r>
      <w:r w:rsidRPr="00BD76AF">
        <w:rPr>
          <w:lang w:val="fr-FR"/>
        </w:rPr>
        <w:t>Calendrier</w:t>
      </w:r>
      <w:r w:rsidRPr="00BD76AF">
        <w:rPr>
          <w:szCs w:val="28"/>
          <w:lang w:val="fr-FR"/>
        </w:rPr>
        <w:t xml:space="preserve"> d’exécution</w:t>
      </w:r>
      <w:bookmarkEnd w:id="8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F332DA" w:rsidRPr="00BD76AF" w14:paraId="27FA71D4" w14:textId="77777777" w:rsidTr="0079334B">
        <w:tc>
          <w:tcPr>
            <w:tcW w:w="9219" w:type="dxa"/>
            <w:shd w:val="clear" w:color="auto" w:fill="auto"/>
          </w:tcPr>
          <w:p w14:paraId="202AA0ED" w14:textId="77777777" w:rsidR="00F332DA" w:rsidRPr="00BD76AF" w:rsidRDefault="00F332DA" w:rsidP="00395B10">
            <w:pPr>
              <w:jc w:val="center"/>
              <w:rPr>
                <w:b/>
                <w:iCs/>
              </w:rPr>
            </w:pPr>
            <w:bookmarkStart w:id="846" w:name="_Hlk526434290"/>
            <w:r w:rsidRPr="00BD76AF">
              <w:rPr>
                <w:b/>
                <w:iCs/>
              </w:rPr>
              <w:t>Notes à l’intention du Maître d’ouvrage</w:t>
            </w:r>
          </w:p>
          <w:p w14:paraId="1E6C6D88" w14:textId="77777777" w:rsidR="00F332DA" w:rsidRPr="00BD76AF" w:rsidRDefault="00F332DA" w:rsidP="0079334B">
            <w:pPr>
              <w:rPr>
                <w:szCs w:val="24"/>
              </w:rPr>
            </w:pPr>
          </w:p>
          <w:p w14:paraId="40B2AE2F" w14:textId="77777777" w:rsidR="00F332DA" w:rsidRPr="00BD76AF" w:rsidRDefault="00F332DA" w:rsidP="0079334B">
            <w:pPr>
              <w:spacing w:afterLines="50" w:after="120"/>
            </w:pPr>
            <w:r w:rsidRPr="00BD76AF">
              <w:t>Le Maître d’ouvrage devra normalement fournir dans le Dossier d’appel d’offres, en tant que cette annexe, un calendrier d’exécution qui sera suivi par l’Entrepreneur durant l’exécution du Marché. Ce calendrier doit être préparé conformément aux informations concernant le(s) Délai(s) d’achèvement indiqué(s) dans les Données particulières de la Section II et les Données du Marché de la Section VIII, Conditions Particulières, Partie A, et devra indiquer des durées (par exemple, semaines ou mois), et non des dates calendaires. Toutes les durées devront être indiquées à partir de la Date d’entrée en vigueur du Marché.</w:t>
            </w:r>
          </w:p>
          <w:p w14:paraId="21D10842" w14:textId="77777777" w:rsidR="00F332DA" w:rsidRPr="00BD76AF" w:rsidRDefault="00F332DA" w:rsidP="0079334B">
            <w:pPr>
              <w:spacing w:afterLines="50" w:after="120"/>
            </w:pPr>
            <w:r w:rsidRPr="00BD76AF">
              <w:t>Le calendrier d’exécution doit être modifié, le cas échéant, sur la base de celui remis par le Soumissionnaire retenu, et être inclus au titre de l’Annexe 4 de l’Acte d’engagement en remplacement de cette annexe, avant la signature du Marché.</w:t>
            </w:r>
          </w:p>
          <w:p w14:paraId="6B3694E1" w14:textId="77777777" w:rsidR="00F332DA" w:rsidRPr="00BD76AF" w:rsidRDefault="00F332DA" w:rsidP="0079334B"/>
        </w:tc>
      </w:tr>
      <w:bookmarkEnd w:id="846"/>
    </w:tbl>
    <w:p w14:paraId="4DED8FAE" w14:textId="77777777" w:rsidR="00F332DA" w:rsidRPr="00BD76AF" w:rsidRDefault="00F332DA" w:rsidP="0063431F">
      <w:pPr>
        <w:pStyle w:val="S9-appx"/>
        <w:rPr>
          <w:lang w:val="fr-FR"/>
        </w:rPr>
      </w:pPr>
    </w:p>
    <w:p w14:paraId="2DADF2DC" w14:textId="77777777" w:rsidR="00F332DA" w:rsidRPr="00BD76AF" w:rsidRDefault="00F332DA" w:rsidP="00524D39">
      <w:pPr>
        <w:spacing w:afterLines="150" w:after="360"/>
        <w:rPr>
          <w:b/>
        </w:rPr>
      </w:pPr>
    </w:p>
    <w:p w14:paraId="054AA3F0" w14:textId="77777777" w:rsidR="00F332DA" w:rsidRPr="00BD76AF" w:rsidRDefault="00F332DA" w:rsidP="0079334B">
      <w:pPr>
        <w:pStyle w:val="S9-appx"/>
        <w:jc w:val="left"/>
        <w:rPr>
          <w:b w:val="0"/>
          <w:sz w:val="24"/>
          <w:szCs w:val="24"/>
          <w:lang w:val="fr-FR" w:eastAsia="ja-JP"/>
        </w:rPr>
      </w:pPr>
      <w:r w:rsidRPr="00BD76AF">
        <w:rPr>
          <w:lang w:val="fr-FR"/>
        </w:rPr>
        <w:br w:type="page"/>
      </w:r>
      <w:bookmarkStart w:id="847" w:name="_Toc104152944"/>
      <w:r w:rsidRPr="00BD76AF">
        <w:rPr>
          <w:rFonts w:hint="eastAsia"/>
          <w:b w:val="0"/>
          <w:sz w:val="24"/>
          <w:szCs w:val="24"/>
          <w:lang w:val="fr-FR" w:eastAsia="ja-JP"/>
        </w:rPr>
        <w:t>[</w:t>
      </w:r>
      <w:r w:rsidRPr="00BD76AF">
        <w:rPr>
          <w:b w:val="0"/>
          <w:i/>
          <w:noProof/>
          <w:sz w:val="24"/>
          <w:szCs w:val="24"/>
          <w:lang w:val="fr-FR"/>
        </w:rPr>
        <w:t>Formulaire commun à l’option A : appel d’offres à une étape-deux enveloppes et l’option B : appel d’offres à deux étapes-une enveloppe</w:t>
      </w:r>
      <w:r w:rsidRPr="00BD76AF">
        <w:rPr>
          <w:b w:val="0"/>
          <w:sz w:val="24"/>
          <w:szCs w:val="24"/>
          <w:lang w:val="fr-FR" w:eastAsia="ja-JP"/>
        </w:rPr>
        <w:t>]</w:t>
      </w:r>
      <w:bookmarkEnd w:id="847"/>
    </w:p>
    <w:p w14:paraId="1B7FE2A4" w14:textId="77777777" w:rsidR="00F332DA" w:rsidRPr="00BD76AF" w:rsidRDefault="00F332DA" w:rsidP="0063431F">
      <w:pPr>
        <w:pStyle w:val="S9-appx"/>
        <w:rPr>
          <w:szCs w:val="28"/>
          <w:lang w:val="fr-FR"/>
        </w:rPr>
      </w:pPr>
      <w:bookmarkStart w:id="848" w:name="_Toc104152945"/>
      <w:r w:rsidRPr="00BD76AF">
        <w:rPr>
          <w:lang w:val="fr-FR"/>
        </w:rPr>
        <w:t>Annexe</w:t>
      </w:r>
      <w:r w:rsidRPr="00BD76AF">
        <w:rPr>
          <w:szCs w:val="28"/>
          <w:lang w:val="fr-FR"/>
        </w:rPr>
        <w:t xml:space="preserve"> 5.  Liste des Sous-traitants agréés</w:t>
      </w:r>
      <w:bookmarkEnd w:id="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F332DA" w:rsidRPr="00BD76AF" w14:paraId="75361D2B" w14:textId="77777777" w:rsidTr="0079334B">
        <w:tc>
          <w:tcPr>
            <w:tcW w:w="9219" w:type="dxa"/>
            <w:shd w:val="clear" w:color="auto" w:fill="auto"/>
          </w:tcPr>
          <w:p w14:paraId="142666C0" w14:textId="77777777" w:rsidR="00F332DA" w:rsidRPr="00BD76AF" w:rsidRDefault="00F332DA" w:rsidP="0079334B">
            <w:pPr>
              <w:jc w:val="center"/>
              <w:rPr>
                <w:b/>
                <w:iCs/>
              </w:rPr>
            </w:pPr>
            <w:r w:rsidRPr="00BD76AF">
              <w:rPr>
                <w:b/>
                <w:iCs/>
              </w:rPr>
              <w:t>Notes à l’intention du Maître d’ouvrage</w:t>
            </w:r>
          </w:p>
          <w:p w14:paraId="20409DEE" w14:textId="77777777" w:rsidR="00F332DA" w:rsidRPr="00BD76AF" w:rsidRDefault="00F332DA" w:rsidP="0079334B">
            <w:pPr>
              <w:rPr>
                <w:iCs/>
              </w:rPr>
            </w:pPr>
          </w:p>
          <w:p w14:paraId="69F7868E" w14:textId="77777777" w:rsidR="00F332DA" w:rsidRPr="00BD76AF" w:rsidRDefault="00F332DA" w:rsidP="0079334B">
            <w:pPr>
              <w:rPr>
                <w:lang w:eastAsia="ja-JP"/>
              </w:rPr>
            </w:pPr>
            <w:r w:rsidRPr="00BD76AF">
              <w:t>La liste des Sous-traitants agréés de la Section IV, Formulaires de soumission</w:t>
            </w:r>
            <w:r w:rsidRPr="00BD76AF">
              <w:rPr>
                <w:rFonts w:hint="eastAsia"/>
                <w:lang w:eastAsia="ja-JP"/>
              </w:rPr>
              <w:t xml:space="preserve"> </w:t>
            </w:r>
            <w:r w:rsidRPr="00BD76AF">
              <w:rPr>
                <w:lang w:eastAsia="ja-JP"/>
              </w:rPr>
              <w:t xml:space="preserve">telle que remise par le Soumissionnaire retenu et modifiée, le cas échéant, préalablement à l’attribution du Marché, doit être incluse au titre de l’Annexe 5, </w:t>
            </w:r>
            <w:r w:rsidRPr="00BD76AF">
              <w:t>avant la signature du Marché.</w:t>
            </w:r>
            <w:r w:rsidRPr="00BD76AF">
              <w:rPr>
                <w:lang w:eastAsia="ja-JP"/>
              </w:rPr>
              <w:t xml:space="preserve"> </w:t>
            </w:r>
          </w:p>
          <w:p w14:paraId="57F1E048" w14:textId="77777777" w:rsidR="00F332DA" w:rsidRPr="00BD76AF" w:rsidRDefault="00F332DA" w:rsidP="0079334B">
            <w:pPr>
              <w:rPr>
                <w:lang w:eastAsia="ja-JP"/>
              </w:rPr>
            </w:pPr>
          </w:p>
        </w:tc>
      </w:tr>
    </w:tbl>
    <w:p w14:paraId="3809F3DB" w14:textId="77777777" w:rsidR="00F332DA" w:rsidRPr="00BD76AF" w:rsidRDefault="00F332DA" w:rsidP="0079334B">
      <w:pPr>
        <w:pStyle w:val="S9-appx"/>
        <w:jc w:val="left"/>
        <w:rPr>
          <w:b w:val="0"/>
          <w:lang w:val="fr-FR" w:eastAsia="ja-JP"/>
        </w:rPr>
      </w:pPr>
      <w:r w:rsidRPr="00BD76AF">
        <w:rPr>
          <w:b w:val="0"/>
          <w:lang w:val="fr-FR" w:eastAsia="ja-JP"/>
        </w:rPr>
        <w:br w:type="page"/>
      </w:r>
    </w:p>
    <w:p w14:paraId="70DCEE80" w14:textId="77777777" w:rsidR="00F332DA" w:rsidRPr="00BD76AF" w:rsidRDefault="00F332DA" w:rsidP="0079334B">
      <w:pPr>
        <w:pStyle w:val="S9-appx"/>
        <w:jc w:val="left"/>
        <w:rPr>
          <w:b w:val="0"/>
          <w:sz w:val="24"/>
          <w:szCs w:val="24"/>
          <w:lang w:val="fr-FR" w:eastAsia="ja-JP"/>
        </w:rPr>
      </w:pPr>
      <w:bookmarkStart w:id="849" w:name="_Toc104152946"/>
      <w:r w:rsidRPr="00BD76AF">
        <w:rPr>
          <w:rFonts w:hint="eastAsia"/>
          <w:b w:val="0"/>
          <w:sz w:val="24"/>
          <w:szCs w:val="24"/>
          <w:lang w:val="fr-FR" w:eastAsia="ja-JP"/>
        </w:rPr>
        <w:t>[</w:t>
      </w:r>
      <w:r w:rsidRPr="00BD76AF">
        <w:rPr>
          <w:b w:val="0"/>
          <w:i/>
          <w:noProof/>
          <w:sz w:val="24"/>
          <w:szCs w:val="24"/>
          <w:lang w:val="fr-FR"/>
        </w:rPr>
        <w:t>Formulaire commun à l’option A : appel d’offres à une étape-deux enveloppes et l’option B : appel d’offres à deux étapes-une enveloppe</w:t>
      </w:r>
      <w:r w:rsidRPr="00BD76AF">
        <w:rPr>
          <w:b w:val="0"/>
          <w:sz w:val="24"/>
          <w:szCs w:val="24"/>
          <w:lang w:val="fr-FR" w:eastAsia="ja-JP"/>
        </w:rPr>
        <w:t>]</w:t>
      </w:r>
      <w:bookmarkEnd w:id="849"/>
    </w:p>
    <w:p w14:paraId="66B68B73" w14:textId="77777777" w:rsidR="00F332DA" w:rsidRPr="00BD76AF" w:rsidRDefault="00F332DA" w:rsidP="0063431F">
      <w:pPr>
        <w:pStyle w:val="S9-appx"/>
        <w:rPr>
          <w:lang w:val="fr-FR"/>
        </w:rPr>
      </w:pPr>
      <w:bookmarkStart w:id="850" w:name="_Toc104152947"/>
      <w:r w:rsidRPr="00BD76AF">
        <w:rPr>
          <w:lang w:val="fr-FR"/>
        </w:rPr>
        <w:t>Annexe</w:t>
      </w:r>
      <w:r w:rsidRPr="00BD76AF">
        <w:rPr>
          <w:szCs w:val="28"/>
          <w:lang w:val="fr-FR"/>
        </w:rPr>
        <w:t xml:space="preserve"> 6.  </w:t>
      </w:r>
      <w:r w:rsidRPr="00BD76AF">
        <w:rPr>
          <w:lang w:val="fr-FR"/>
        </w:rPr>
        <w:t>Pays d’origine éligibles des Prêts APD du Japon</w:t>
      </w:r>
      <w:bookmarkEnd w:id="8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F332DA" w:rsidRPr="00BD76AF" w14:paraId="7A623AE9" w14:textId="77777777" w:rsidTr="0079334B">
        <w:tc>
          <w:tcPr>
            <w:tcW w:w="9219" w:type="dxa"/>
            <w:shd w:val="clear" w:color="auto" w:fill="auto"/>
          </w:tcPr>
          <w:p w14:paraId="0410AACD" w14:textId="77777777" w:rsidR="00F332DA" w:rsidRPr="00BD76AF" w:rsidRDefault="00F332DA" w:rsidP="0079334B">
            <w:pPr>
              <w:jc w:val="center"/>
              <w:rPr>
                <w:b/>
                <w:iCs/>
              </w:rPr>
            </w:pPr>
            <w:r w:rsidRPr="00BD76AF">
              <w:rPr>
                <w:b/>
                <w:iCs/>
              </w:rPr>
              <w:t>Notes à l’intention du Maître d’ouvrage</w:t>
            </w:r>
          </w:p>
          <w:p w14:paraId="0E751CCB" w14:textId="77777777" w:rsidR="00F332DA" w:rsidRPr="00BD76AF" w:rsidRDefault="00F332DA" w:rsidP="0079334B">
            <w:pPr>
              <w:rPr>
                <w:iCs/>
              </w:rPr>
            </w:pPr>
          </w:p>
          <w:p w14:paraId="3DDE5291" w14:textId="77777777" w:rsidR="00F332DA" w:rsidRPr="00BD76AF" w:rsidRDefault="00F332DA" w:rsidP="0079334B">
            <w:pPr>
              <w:rPr>
                <w:lang w:eastAsia="ja-JP"/>
              </w:rPr>
            </w:pPr>
            <w:r w:rsidRPr="00BD76AF">
              <w:rPr>
                <w:lang w:eastAsia="ja-JP"/>
              </w:rPr>
              <w:t>Le Maître d’ouvrage doit indiquer ici les mêmes informations et dispositions relatives aux pays d’origine éligibles applicables à l’Entrepreneur, et aux biens et services faisant l’objet du présent Marché, que celles qui figurent dans la Section V. Cette section devra être préparée de manière à citer toutes les informations et les dispositions qui figurent dans l’Accord de Prêt.</w:t>
            </w:r>
          </w:p>
          <w:p w14:paraId="15124EB5" w14:textId="77777777" w:rsidR="00F332DA" w:rsidRPr="00BD76AF" w:rsidRDefault="00F332DA" w:rsidP="0079334B">
            <w:pPr>
              <w:rPr>
                <w:lang w:eastAsia="ja-JP"/>
              </w:rPr>
            </w:pPr>
          </w:p>
        </w:tc>
      </w:tr>
    </w:tbl>
    <w:p w14:paraId="257AEF96" w14:textId="77777777" w:rsidR="00F332DA" w:rsidRPr="00BD76AF" w:rsidRDefault="00F332DA" w:rsidP="00245B8B">
      <w:r w:rsidRPr="00BD76AF">
        <w:br w:type="page"/>
      </w:r>
    </w:p>
    <w:p w14:paraId="7846198B" w14:textId="77777777" w:rsidR="00F332DA" w:rsidRPr="00BD76AF" w:rsidRDefault="00F332DA" w:rsidP="0059387C">
      <w:pPr>
        <w:pStyle w:val="S9-appx"/>
        <w:jc w:val="left"/>
        <w:rPr>
          <w:b w:val="0"/>
          <w:sz w:val="24"/>
          <w:szCs w:val="24"/>
          <w:lang w:val="fr-FR" w:eastAsia="ja-JP"/>
        </w:rPr>
      </w:pPr>
      <w:bookmarkStart w:id="851" w:name="_Toc104152948"/>
      <w:r w:rsidRPr="00BD76AF">
        <w:rPr>
          <w:rFonts w:hint="eastAsia"/>
          <w:b w:val="0"/>
          <w:sz w:val="24"/>
          <w:szCs w:val="24"/>
          <w:lang w:val="fr-FR" w:eastAsia="ja-JP"/>
        </w:rPr>
        <w:t>[</w:t>
      </w:r>
      <w:r w:rsidRPr="00BD76AF">
        <w:rPr>
          <w:b w:val="0"/>
          <w:i/>
          <w:noProof/>
          <w:sz w:val="24"/>
          <w:szCs w:val="24"/>
          <w:lang w:val="fr-FR"/>
        </w:rPr>
        <w:t>Formulaire commun à l’option A : appel d’offres à une étape-deux enveloppes et l’option B : appel d’offres à deux étapes-une enveloppe</w:t>
      </w:r>
      <w:r w:rsidRPr="00BD76AF">
        <w:rPr>
          <w:b w:val="0"/>
          <w:sz w:val="24"/>
          <w:szCs w:val="24"/>
          <w:lang w:val="fr-FR" w:eastAsia="ja-JP"/>
        </w:rPr>
        <w:t>]</w:t>
      </w:r>
      <w:bookmarkEnd w:id="851"/>
    </w:p>
    <w:p w14:paraId="344ED159" w14:textId="77777777" w:rsidR="00F332DA" w:rsidRPr="00BD76AF" w:rsidRDefault="00F332DA" w:rsidP="0063431F">
      <w:pPr>
        <w:pStyle w:val="S9-appx"/>
        <w:rPr>
          <w:lang w:val="fr-FR"/>
        </w:rPr>
      </w:pPr>
      <w:bookmarkStart w:id="852" w:name="_Toc104152949"/>
      <w:r w:rsidRPr="00BD76AF">
        <w:rPr>
          <w:lang w:val="fr-FR"/>
        </w:rPr>
        <w:t>Annexe</w:t>
      </w:r>
      <w:r w:rsidRPr="00BD76AF">
        <w:rPr>
          <w:szCs w:val="28"/>
          <w:lang w:val="fr-FR"/>
        </w:rPr>
        <w:t xml:space="preserve"> 7.  Liste des documents soumis à approbation ou examen</w:t>
      </w:r>
      <w:bookmarkEnd w:id="8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F332DA" w:rsidRPr="00BD76AF" w14:paraId="2C2281DE" w14:textId="77777777" w:rsidTr="0079334B">
        <w:tc>
          <w:tcPr>
            <w:tcW w:w="9219" w:type="dxa"/>
            <w:shd w:val="clear" w:color="auto" w:fill="auto"/>
          </w:tcPr>
          <w:p w14:paraId="4EC213E1" w14:textId="77777777" w:rsidR="00F332DA" w:rsidRPr="00BD76AF" w:rsidRDefault="00F332DA" w:rsidP="0079334B">
            <w:pPr>
              <w:jc w:val="center"/>
              <w:rPr>
                <w:b/>
                <w:iCs/>
              </w:rPr>
            </w:pPr>
            <w:r w:rsidRPr="00BD76AF">
              <w:rPr>
                <w:b/>
                <w:iCs/>
              </w:rPr>
              <w:t>Notes à l’intention du Maître d’ouvrage</w:t>
            </w:r>
          </w:p>
          <w:p w14:paraId="068182B2" w14:textId="77777777" w:rsidR="00F332DA" w:rsidRPr="00BD76AF" w:rsidRDefault="00F332DA" w:rsidP="0079334B">
            <w:pPr>
              <w:rPr>
                <w:iCs/>
              </w:rPr>
            </w:pPr>
          </w:p>
          <w:p w14:paraId="317FA5FB" w14:textId="77777777" w:rsidR="00F332DA" w:rsidRPr="00BD76AF" w:rsidRDefault="00F332DA" w:rsidP="0079334B">
            <w:pPr>
              <w:rPr>
                <w:lang w:eastAsia="ja-JP"/>
              </w:rPr>
            </w:pPr>
            <w:r w:rsidRPr="00BD76AF">
              <w:rPr>
                <w:lang w:eastAsia="ja-JP"/>
              </w:rPr>
              <w:t>Le Maître d’ouvrage doit clairement identifier les documents soumis à approbation et les documents soumis à examen au titre du Marché, et les indiquer séparément ici. Si des modifications ont été apportées à la liste lors des négociations du Marché, ces modifications doivent également être reflétées dans cette Annexe 7, avant la signature du Marché.</w:t>
            </w:r>
          </w:p>
          <w:p w14:paraId="090F5452" w14:textId="77777777" w:rsidR="00F332DA" w:rsidRPr="00BD76AF" w:rsidRDefault="00F332DA" w:rsidP="0079334B">
            <w:pPr>
              <w:rPr>
                <w:lang w:eastAsia="ja-JP"/>
              </w:rPr>
            </w:pPr>
            <w:r w:rsidRPr="00BD76AF">
              <w:rPr>
                <w:lang w:eastAsia="ja-JP"/>
              </w:rPr>
              <w:t xml:space="preserve"> </w:t>
            </w:r>
          </w:p>
        </w:tc>
      </w:tr>
    </w:tbl>
    <w:p w14:paraId="42DCDE57" w14:textId="77777777" w:rsidR="00F332DA" w:rsidRPr="00BD76AF" w:rsidRDefault="00F332DA" w:rsidP="0030236D"/>
    <w:p w14:paraId="2E4A8E64" w14:textId="77777777" w:rsidR="00F332DA" w:rsidRPr="00BD76AF" w:rsidRDefault="00F332DA" w:rsidP="0030236D">
      <w:r w:rsidRPr="00BD76AF">
        <w:t>Conformément à l’Article 20.3.1 des CG, l’Entrepreneur doit préparer ou faire préparer par un Sous-traitant, et présenter au Directeur de projet selon les exigences de l’Article 18.2 (</w:t>
      </w:r>
      <w:r w:rsidRPr="00BD76AF">
        <w:rPr>
          <w:i/>
        </w:rPr>
        <w:t>Programme d’exécution</w:t>
      </w:r>
      <w:r w:rsidRPr="00BD76AF">
        <w:t>) des CG les documents suivants pour :</w:t>
      </w:r>
    </w:p>
    <w:p w14:paraId="7D45638C" w14:textId="77777777" w:rsidR="00F332DA" w:rsidRPr="00BD76AF" w:rsidRDefault="00F332DA" w:rsidP="0030236D"/>
    <w:p w14:paraId="6A08EE2A" w14:textId="77777777" w:rsidR="00F332DA" w:rsidRPr="00BD76AF" w:rsidRDefault="00F332DA" w:rsidP="0030236D"/>
    <w:p w14:paraId="73A5A848" w14:textId="77777777" w:rsidR="00F332DA" w:rsidRPr="00BD76AF" w:rsidRDefault="00F332DA" w:rsidP="0030236D">
      <w:r w:rsidRPr="00BD76AF">
        <w:t>A.</w:t>
      </w:r>
      <w:r w:rsidRPr="00BD76AF">
        <w:tab/>
      </w:r>
      <w:r w:rsidRPr="00BD76AF">
        <w:rPr>
          <w:u w:val="single"/>
        </w:rPr>
        <w:t>Approbation</w:t>
      </w:r>
    </w:p>
    <w:p w14:paraId="3535C8FE" w14:textId="77777777" w:rsidR="00F332DA" w:rsidRPr="00BD76AF" w:rsidRDefault="00F332DA" w:rsidP="0030236D">
      <w:pPr>
        <w:ind w:left="720"/>
      </w:pPr>
    </w:p>
    <w:p w14:paraId="6B6C9568" w14:textId="77777777" w:rsidR="00F332DA" w:rsidRPr="00BD76AF" w:rsidRDefault="00F332DA" w:rsidP="0030236D">
      <w:pPr>
        <w:ind w:left="720"/>
      </w:pPr>
      <w:r w:rsidRPr="00BD76AF">
        <w:t>1.</w:t>
      </w:r>
    </w:p>
    <w:p w14:paraId="3FACAE84" w14:textId="77777777" w:rsidR="00F332DA" w:rsidRPr="00BD76AF" w:rsidRDefault="00F332DA" w:rsidP="0030236D">
      <w:pPr>
        <w:ind w:left="720"/>
      </w:pPr>
    </w:p>
    <w:p w14:paraId="5EAFE1FB" w14:textId="77777777" w:rsidR="00F332DA" w:rsidRPr="00BD76AF" w:rsidRDefault="00F332DA" w:rsidP="0030236D">
      <w:pPr>
        <w:ind w:left="720"/>
      </w:pPr>
      <w:r w:rsidRPr="00BD76AF">
        <w:t>2.</w:t>
      </w:r>
    </w:p>
    <w:p w14:paraId="1C7D46D5" w14:textId="77777777" w:rsidR="00F332DA" w:rsidRPr="00BD76AF" w:rsidRDefault="00F332DA" w:rsidP="0030236D">
      <w:pPr>
        <w:ind w:left="720"/>
      </w:pPr>
    </w:p>
    <w:p w14:paraId="0D131B65" w14:textId="77777777" w:rsidR="00F332DA" w:rsidRPr="00BD76AF" w:rsidRDefault="00F332DA" w:rsidP="0030236D">
      <w:pPr>
        <w:ind w:left="720"/>
      </w:pPr>
      <w:r w:rsidRPr="00BD76AF">
        <w:t>3.</w:t>
      </w:r>
    </w:p>
    <w:p w14:paraId="310EA624" w14:textId="77777777" w:rsidR="00F332DA" w:rsidRPr="00BD76AF" w:rsidRDefault="00F332DA" w:rsidP="0030236D"/>
    <w:p w14:paraId="1A08929D" w14:textId="77777777" w:rsidR="00F332DA" w:rsidRPr="00BD76AF" w:rsidRDefault="00F332DA" w:rsidP="0030236D"/>
    <w:p w14:paraId="55ED5B37" w14:textId="77777777" w:rsidR="00F332DA" w:rsidRPr="00BD76AF" w:rsidRDefault="00F332DA" w:rsidP="0030236D">
      <w:r w:rsidRPr="00BD76AF">
        <w:t>B.</w:t>
      </w:r>
      <w:r w:rsidRPr="00BD76AF">
        <w:tab/>
      </w:r>
      <w:r w:rsidRPr="00BD76AF">
        <w:rPr>
          <w:u w:val="single"/>
        </w:rPr>
        <w:t>Examen</w:t>
      </w:r>
    </w:p>
    <w:p w14:paraId="0DD12014" w14:textId="77777777" w:rsidR="00F332DA" w:rsidRPr="00BD76AF" w:rsidRDefault="00F332DA" w:rsidP="0030236D">
      <w:pPr>
        <w:ind w:left="720"/>
      </w:pPr>
    </w:p>
    <w:p w14:paraId="2AC8639A" w14:textId="77777777" w:rsidR="00F332DA" w:rsidRPr="00BD76AF" w:rsidRDefault="00F332DA" w:rsidP="0030236D">
      <w:pPr>
        <w:ind w:left="720"/>
      </w:pPr>
      <w:r w:rsidRPr="00BD76AF">
        <w:t>1.</w:t>
      </w:r>
    </w:p>
    <w:p w14:paraId="64A1D798" w14:textId="77777777" w:rsidR="00F332DA" w:rsidRPr="00BD76AF" w:rsidRDefault="00F332DA" w:rsidP="0030236D">
      <w:pPr>
        <w:ind w:left="720"/>
      </w:pPr>
    </w:p>
    <w:p w14:paraId="2FD8DB74" w14:textId="77777777" w:rsidR="00F332DA" w:rsidRPr="00BD76AF" w:rsidRDefault="00F332DA" w:rsidP="0030236D">
      <w:pPr>
        <w:ind w:left="720"/>
      </w:pPr>
      <w:r w:rsidRPr="00BD76AF">
        <w:t>2.</w:t>
      </w:r>
    </w:p>
    <w:p w14:paraId="2D67C6EF" w14:textId="77777777" w:rsidR="00F332DA" w:rsidRPr="00BD76AF" w:rsidRDefault="00F332DA" w:rsidP="0030236D">
      <w:pPr>
        <w:ind w:left="720"/>
      </w:pPr>
    </w:p>
    <w:p w14:paraId="014797D8" w14:textId="77777777" w:rsidR="00F332DA" w:rsidRPr="00BD76AF" w:rsidRDefault="00F332DA" w:rsidP="0030236D">
      <w:pPr>
        <w:ind w:left="720"/>
      </w:pPr>
      <w:r w:rsidRPr="00BD76AF">
        <w:t>3.</w:t>
      </w:r>
    </w:p>
    <w:p w14:paraId="3298E4DA" w14:textId="77777777" w:rsidR="00F332DA" w:rsidRPr="00BD76AF" w:rsidRDefault="00F332DA" w:rsidP="0030236D"/>
    <w:p w14:paraId="2E905F8E" w14:textId="77777777" w:rsidR="00F332DA" w:rsidRPr="00BD76AF" w:rsidRDefault="00F332DA" w:rsidP="0079334B">
      <w:pPr>
        <w:pStyle w:val="S9-appx"/>
        <w:jc w:val="left"/>
        <w:rPr>
          <w:b w:val="0"/>
          <w:sz w:val="24"/>
          <w:szCs w:val="24"/>
          <w:lang w:val="fr-FR" w:eastAsia="ja-JP"/>
        </w:rPr>
      </w:pPr>
      <w:r w:rsidRPr="00BD76AF">
        <w:rPr>
          <w:lang w:val="fr-FR"/>
        </w:rPr>
        <w:br w:type="page"/>
      </w:r>
      <w:bookmarkStart w:id="853" w:name="_Toc104152950"/>
      <w:r w:rsidRPr="00BD76AF">
        <w:rPr>
          <w:rFonts w:hint="eastAsia"/>
          <w:b w:val="0"/>
          <w:sz w:val="24"/>
          <w:szCs w:val="24"/>
          <w:lang w:val="fr-FR" w:eastAsia="ja-JP"/>
        </w:rPr>
        <w:t>[</w:t>
      </w:r>
      <w:r w:rsidRPr="00BD76AF">
        <w:rPr>
          <w:b w:val="0"/>
          <w:i/>
          <w:noProof/>
          <w:sz w:val="24"/>
          <w:szCs w:val="24"/>
          <w:lang w:val="fr-FR"/>
        </w:rPr>
        <w:t>Formulaire commun à l’option A : appel d’offres à une étape-deux enveloppes et l’option B : appel d’offres à deux étapes-une enveloppe</w:t>
      </w:r>
      <w:r w:rsidRPr="00BD76AF">
        <w:rPr>
          <w:b w:val="0"/>
          <w:sz w:val="24"/>
          <w:szCs w:val="24"/>
          <w:lang w:val="fr-FR" w:eastAsia="ja-JP"/>
        </w:rPr>
        <w:t>]</w:t>
      </w:r>
      <w:bookmarkEnd w:id="853"/>
    </w:p>
    <w:p w14:paraId="73AEA030" w14:textId="77777777" w:rsidR="00F332DA" w:rsidRPr="00BD76AF" w:rsidRDefault="00F332DA" w:rsidP="0063431F">
      <w:pPr>
        <w:pStyle w:val="S9-appx"/>
        <w:rPr>
          <w:szCs w:val="28"/>
          <w:lang w:val="fr-FR"/>
        </w:rPr>
      </w:pPr>
      <w:bookmarkStart w:id="854" w:name="_Toc104152951"/>
      <w:r w:rsidRPr="00BD76AF">
        <w:rPr>
          <w:lang w:val="en-GB"/>
        </w:rPr>
        <w:t>Annexe</w:t>
      </w:r>
      <w:r w:rsidRPr="00BD76AF">
        <w:rPr>
          <w:szCs w:val="28"/>
          <w:lang w:val="fr-FR"/>
        </w:rPr>
        <w:t xml:space="preserve"> 8.  Garanties opérationnelles</w:t>
      </w:r>
      <w:bookmarkEnd w:id="8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F332DA" w:rsidRPr="00BD76AF" w14:paraId="3ABEC4B9" w14:textId="77777777" w:rsidTr="0079334B">
        <w:tc>
          <w:tcPr>
            <w:tcW w:w="9219" w:type="dxa"/>
            <w:shd w:val="clear" w:color="auto" w:fill="auto"/>
          </w:tcPr>
          <w:p w14:paraId="0D445294" w14:textId="77777777" w:rsidR="00F332DA" w:rsidRPr="00BD76AF" w:rsidRDefault="00F332DA" w:rsidP="0079334B">
            <w:pPr>
              <w:jc w:val="center"/>
              <w:rPr>
                <w:b/>
                <w:iCs/>
              </w:rPr>
            </w:pPr>
            <w:r w:rsidRPr="00BD76AF">
              <w:rPr>
                <w:b/>
                <w:iCs/>
              </w:rPr>
              <w:t>Notes à l’intention du Maître d’ouvrage</w:t>
            </w:r>
          </w:p>
          <w:p w14:paraId="1120C0AD" w14:textId="77777777" w:rsidR="00F332DA" w:rsidRPr="00BD76AF" w:rsidRDefault="00F332DA" w:rsidP="0079334B">
            <w:pPr>
              <w:rPr>
                <w:iCs/>
              </w:rPr>
            </w:pPr>
          </w:p>
          <w:p w14:paraId="308C5636" w14:textId="77777777" w:rsidR="00F332DA" w:rsidRPr="00BD76AF" w:rsidRDefault="00F332DA" w:rsidP="0079334B">
            <w:pPr>
              <w:rPr>
                <w:lang w:eastAsia="ja-JP"/>
              </w:rPr>
            </w:pPr>
            <w:r w:rsidRPr="00BD76AF">
              <w:rPr>
                <w:rFonts w:hint="eastAsia"/>
                <w:lang w:eastAsia="ja-JP"/>
              </w:rPr>
              <w:t>Le Ma</w:t>
            </w:r>
            <w:r w:rsidRPr="00BD76AF">
              <w:rPr>
                <w:lang w:eastAsia="ja-JP"/>
              </w:rPr>
              <w:t xml:space="preserve">ître d’ouvrage doit préparer et inclure cette annexe dans le Dossier d’appel d’offres. </w:t>
            </w:r>
          </w:p>
          <w:p w14:paraId="12D41349" w14:textId="77777777" w:rsidR="00F332DA" w:rsidRPr="00BD76AF" w:rsidRDefault="00F332DA" w:rsidP="0079334B">
            <w:pPr>
              <w:rPr>
                <w:lang w:eastAsia="ja-JP"/>
              </w:rPr>
            </w:pPr>
          </w:p>
          <w:p w14:paraId="6CF49DCD" w14:textId="77777777" w:rsidR="00F332DA" w:rsidRPr="00BD76AF" w:rsidRDefault="00F332DA" w:rsidP="0079334B">
            <w:pPr>
              <w:rPr>
                <w:lang w:eastAsia="ja-JP"/>
              </w:rPr>
            </w:pPr>
            <w:r w:rsidRPr="00BD76AF">
              <w:rPr>
                <w:lang w:eastAsia="ja-JP"/>
              </w:rPr>
              <w:t>Le Maître d’ouvrage doit également s’assurer que celle-ci est conforme aux autres parties du Dossier d’appel d’offres, en particulier la Section III - Critères d’évaluation et de qualification, la Section IV - Formulaires de soumission, la Section VI - Exigences du Maître d’ouvrage et la Section VIII - Conditions Particulières du Marché. Le document suivant est donné à titre de modèle pour aider le rédacteur dans la préparation de cette annexe.</w:t>
            </w:r>
          </w:p>
          <w:p w14:paraId="7F56A9D8" w14:textId="77777777" w:rsidR="00F332DA" w:rsidRPr="00BD76AF" w:rsidRDefault="00F332DA" w:rsidP="0079334B">
            <w:pPr>
              <w:rPr>
                <w:lang w:eastAsia="ja-JP"/>
              </w:rPr>
            </w:pPr>
          </w:p>
        </w:tc>
      </w:tr>
    </w:tbl>
    <w:p w14:paraId="438DAD6C" w14:textId="77777777" w:rsidR="00F332DA" w:rsidRPr="00BD76AF" w:rsidRDefault="00F332DA" w:rsidP="000843DD">
      <w:pPr>
        <w:spacing w:afterLines="50" w:after="120"/>
        <w:ind w:left="369" w:hanging="369"/>
      </w:pPr>
    </w:p>
    <w:p w14:paraId="2D42D543" w14:textId="77777777" w:rsidR="00F332DA" w:rsidRPr="00BD76AF" w:rsidRDefault="00F332DA" w:rsidP="000843DD">
      <w:pPr>
        <w:spacing w:afterLines="50" w:after="120"/>
        <w:ind w:left="369" w:hanging="369"/>
      </w:pPr>
      <w:r w:rsidRPr="00BD76AF">
        <w:t>1.</w:t>
      </w:r>
      <w:r w:rsidRPr="00BD76AF">
        <w:tab/>
      </w:r>
      <w:r w:rsidRPr="00BD76AF">
        <w:rPr>
          <w:u w:val="single"/>
        </w:rPr>
        <w:t>Généralités</w:t>
      </w:r>
    </w:p>
    <w:p w14:paraId="77FC3AB0" w14:textId="77777777" w:rsidR="00F332DA" w:rsidRPr="00BD76AF" w:rsidRDefault="00F332DA" w:rsidP="000843DD">
      <w:pPr>
        <w:spacing w:afterLines="50" w:after="120"/>
        <w:ind w:left="369"/>
      </w:pPr>
      <w:r w:rsidRPr="00BD76AF">
        <w:t>Cette annexe précise :</w:t>
      </w:r>
    </w:p>
    <w:p w14:paraId="2264597E" w14:textId="77777777" w:rsidR="00F332DA" w:rsidRPr="00BD76AF" w:rsidRDefault="00F332DA" w:rsidP="000843DD">
      <w:pPr>
        <w:spacing w:afterLines="50" w:after="120"/>
        <w:ind w:left="738" w:hanging="369"/>
      </w:pPr>
      <w:r w:rsidRPr="00BD76AF">
        <w:t>a)</w:t>
      </w:r>
      <w:r w:rsidRPr="00BD76AF">
        <w:tab/>
        <w:t>les Garanties opérationnelles mentionnées à l’Article 28 (</w:t>
      </w:r>
      <w:r w:rsidRPr="00BD76AF">
        <w:rPr>
          <w:i/>
        </w:rPr>
        <w:t>Garanties opérationnelles</w:t>
      </w:r>
      <w:r w:rsidRPr="00BD76AF">
        <w:t>) des CG ;</w:t>
      </w:r>
    </w:p>
    <w:p w14:paraId="7EC9EB72" w14:textId="77777777" w:rsidR="00F332DA" w:rsidRPr="00BD76AF" w:rsidRDefault="00F332DA" w:rsidP="000843DD">
      <w:pPr>
        <w:spacing w:afterLines="50" w:after="120"/>
        <w:ind w:left="738" w:hanging="369"/>
      </w:pPr>
      <w:r w:rsidRPr="00BD76AF">
        <w:t>b)</w:t>
      </w:r>
      <w:r w:rsidRPr="00BD76AF">
        <w:tab/>
        <w:t>les conditions préalables à la validité des Garanties opérationnelles, soit pour la production ou la consommation, indiquées ci</w:t>
      </w:r>
      <w:r w:rsidRPr="00BD76AF">
        <w:noBreakHyphen/>
        <w:t>dessous ;</w:t>
      </w:r>
    </w:p>
    <w:p w14:paraId="235A68DB" w14:textId="77777777" w:rsidR="00F332DA" w:rsidRPr="00BD76AF" w:rsidRDefault="00F332DA" w:rsidP="000843DD">
      <w:pPr>
        <w:spacing w:afterLines="50" w:after="120"/>
        <w:ind w:left="738" w:hanging="369"/>
      </w:pPr>
      <w:r w:rsidRPr="00BD76AF">
        <w:t>c)</w:t>
      </w:r>
      <w:r w:rsidRPr="00BD76AF">
        <w:tab/>
        <w:t>le niveau minimum des Garanties opérationnelles ; et</w:t>
      </w:r>
    </w:p>
    <w:p w14:paraId="5E755786" w14:textId="77777777" w:rsidR="00F332DA" w:rsidRPr="00BD76AF" w:rsidRDefault="00F332DA" w:rsidP="000843DD">
      <w:pPr>
        <w:spacing w:afterLines="50" w:after="120"/>
        <w:ind w:left="738" w:hanging="369"/>
      </w:pPr>
      <w:r w:rsidRPr="00BD76AF">
        <w:t>d)</w:t>
      </w:r>
      <w:r w:rsidRPr="00BD76AF">
        <w:tab/>
        <w:t>la formule pour calculer les pénalités en cas de non-respect des Garanties opérationnelles.</w:t>
      </w:r>
    </w:p>
    <w:p w14:paraId="56AB91D6" w14:textId="77777777" w:rsidR="00F332DA" w:rsidRPr="00BD76AF" w:rsidRDefault="00F332DA" w:rsidP="000843DD">
      <w:pPr>
        <w:spacing w:afterLines="50" w:after="120"/>
        <w:ind w:left="369" w:hanging="369"/>
        <w:rPr>
          <w:u w:val="single"/>
        </w:rPr>
      </w:pPr>
      <w:r w:rsidRPr="00BD76AF">
        <w:t>2.</w:t>
      </w:r>
      <w:r w:rsidRPr="00BD76AF">
        <w:tab/>
      </w:r>
      <w:r w:rsidRPr="00BD76AF">
        <w:rPr>
          <w:u w:val="single"/>
        </w:rPr>
        <w:t>Conditions préalables</w:t>
      </w:r>
    </w:p>
    <w:p w14:paraId="0F0696A3" w14:textId="77777777" w:rsidR="00F332DA" w:rsidRPr="00BD76AF" w:rsidRDefault="00F332DA" w:rsidP="000843DD">
      <w:pPr>
        <w:spacing w:afterLines="50" w:after="120"/>
        <w:ind w:left="369"/>
      </w:pPr>
      <w:r w:rsidRPr="00BD76AF">
        <w:t>L’Entrepreneur donne les Garanties opérationnelles (précisées dans cette annexe) pour les Installations, sous réserve que les conditions préalables suivantes soient pleinement satisfaites :</w:t>
      </w:r>
    </w:p>
    <w:p w14:paraId="0ACDA12B" w14:textId="77777777" w:rsidR="00F332DA" w:rsidRPr="00BD76AF" w:rsidRDefault="00F332DA" w:rsidP="00623746">
      <w:pPr>
        <w:spacing w:afterLines="50" w:after="120"/>
        <w:ind w:left="369"/>
        <w:rPr>
          <w:i/>
        </w:rPr>
      </w:pPr>
      <w:r w:rsidRPr="00BD76AF">
        <w:t>[</w:t>
      </w:r>
      <w:r w:rsidRPr="00BD76AF">
        <w:rPr>
          <w:i/>
        </w:rPr>
        <w:t>Indiquer les conditions pour procéder aux Essais de garantie conformément à l’Article 25.2 des CG.</w:t>
      </w:r>
      <w:r w:rsidRPr="00BD76AF">
        <w:t>]</w:t>
      </w:r>
    </w:p>
    <w:p w14:paraId="0DAC99B5" w14:textId="77777777" w:rsidR="00F332DA" w:rsidRPr="00BD76AF" w:rsidRDefault="00F332DA" w:rsidP="00623746">
      <w:pPr>
        <w:spacing w:afterLines="50" w:after="120"/>
        <w:ind w:left="369" w:hanging="369"/>
        <w:rPr>
          <w:u w:val="single"/>
        </w:rPr>
      </w:pPr>
      <w:r w:rsidRPr="00BD76AF">
        <w:t>3.</w:t>
      </w:r>
      <w:r w:rsidRPr="00BD76AF">
        <w:tab/>
      </w:r>
      <w:r w:rsidRPr="00BD76AF">
        <w:rPr>
          <w:u w:val="single"/>
        </w:rPr>
        <w:t>Garanties opérationnelles</w:t>
      </w:r>
    </w:p>
    <w:p w14:paraId="3191793D" w14:textId="77777777" w:rsidR="00F332DA" w:rsidRPr="00BD76AF" w:rsidRDefault="00F332DA" w:rsidP="00623746">
      <w:pPr>
        <w:spacing w:afterLines="50" w:after="120"/>
        <w:ind w:left="369"/>
      </w:pPr>
      <w:r w:rsidRPr="00BD76AF">
        <w:t>Sous réserve du respect des conditions préalables, les garanties de l’Entrepreneur sont les suivantes :</w:t>
      </w:r>
    </w:p>
    <w:p w14:paraId="34E4F3C0" w14:textId="77777777" w:rsidR="00F332DA" w:rsidRPr="00BD76AF" w:rsidRDefault="00F332DA" w:rsidP="00471A72">
      <w:pPr>
        <w:spacing w:after="50"/>
        <w:ind w:left="823" w:hanging="454"/>
      </w:pPr>
      <w:r w:rsidRPr="00BD76AF">
        <w:t>3.1</w:t>
      </w:r>
      <w:r w:rsidRPr="00BD76AF">
        <w:tab/>
        <w:t>Capacité de production</w:t>
      </w:r>
    </w:p>
    <w:p w14:paraId="4E67D761" w14:textId="77777777" w:rsidR="00F332DA" w:rsidRPr="00BD76AF" w:rsidRDefault="00F332DA" w:rsidP="00471A72">
      <w:pPr>
        <w:spacing w:afterLines="50" w:after="120"/>
        <w:ind w:left="822"/>
        <w:rPr>
          <w:i/>
        </w:rPr>
      </w:pPr>
      <w:r w:rsidRPr="00BD76AF">
        <w:t>[</w:t>
      </w:r>
      <w:r w:rsidRPr="00BD76AF">
        <w:rPr>
          <w:i/>
        </w:rPr>
        <w:t>Indiquer ici la capacité de production que l’Entrepreneur doit garantir, en s’assurant que les chiffres proposés par l’Entrepreneur dans son offre, en tant que Garanties opérationnelles, sont repris</w:t>
      </w:r>
      <w:r w:rsidRPr="00BD76AF">
        <w:t>.]</w:t>
      </w:r>
    </w:p>
    <w:p w14:paraId="00BE7AC9" w14:textId="77777777" w:rsidR="00F332DA" w:rsidRPr="00BD76AF" w:rsidRDefault="00F332DA" w:rsidP="00471A72">
      <w:pPr>
        <w:spacing w:after="50"/>
        <w:ind w:left="823" w:hanging="454"/>
        <w:rPr>
          <w:b/>
        </w:rPr>
      </w:pPr>
      <w:r w:rsidRPr="00BD76AF">
        <w:rPr>
          <w:b/>
        </w:rPr>
        <w:t>et/ou</w:t>
      </w:r>
    </w:p>
    <w:p w14:paraId="26791CA1" w14:textId="77777777" w:rsidR="00F332DA" w:rsidRPr="00BD76AF" w:rsidRDefault="00F332DA" w:rsidP="00471A72">
      <w:pPr>
        <w:spacing w:after="50"/>
        <w:ind w:left="823" w:hanging="454"/>
      </w:pPr>
      <w:r w:rsidRPr="00BD76AF">
        <w:t>3.2</w:t>
      </w:r>
      <w:r w:rsidRPr="00BD76AF">
        <w:tab/>
        <w:t>Consommation de matières premières et produits énergétiques</w:t>
      </w:r>
    </w:p>
    <w:p w14:paraId="0F4C1B64" w14:textId="77777777" w:rsidR="00F332DA" w:rsidRPr="00BD76AF" w:rsidRDefault="00F332DA" w:rsidP="00471A72">
      <w:pPr>
        <w:spacing w:afterLines="50" w:after="120"/>
        <w:ind w:left="822"/>
        <w:rPr>
          <w:i/>
        </w:rPr>
      </w:pPr>
      <w:r w:rsidRPr="00BD76AF">
        <w:t>[</w:t>
      </w:r>
      <w:r w:rsidRPr="00BD76AF">
        <w:rPr>
          <w:i/>
        </w:rPr>
        <w:t>Indiquer ici les consommations garanties par l’Entrepreneur par unité de production (ex : kg, tonnes, kcal, kwh, etc.) en s’assurant que les chiffres proposés par l’Entrepreneur dans son offre, en tant que Garanties opérationnelles, sont repris.</w:t>
      </w:r>
      <w:r w:rsidRPr="00BD76AF">
        <w:t>]</w:t>
      </w:r>
    </w:p>
    <w:p w14:paraId="75C39491" w14:textId="77777777" w:rsidR="00F332DA" w:rsidRPr="00BD76AF" w:rsidRDefault="00F332DA" w:rsidP="00623746">
      <w:pPr>
        <w:spacing w:afterLines="50" w:after="120"/>
        <w:ind w:left="369" w:hanging="369"/>
        <w:rPr>
          <w:u w:val="single"/>
        </w:rPr>
      </w:pPr>
      <w:r w:rsidRPr="00BD76AF">
        <w:t>4.</w:t>
      </w:r>
      <w:r w:rsidRPr="00BD76AF">
        <w:tab/>
      </w:r>
      <w:r w:rsidRPr="00BD76AF">
        <w:rPr>
          <w:u w:val="single"/>
        </w:rPr>
        <w:t>Non-respect des Garanties opérationnelles et pénalités</w:t>
      </w:r>
    </w:p>
    <w:p w14:paraId="6B2780F0" w14:textId="77777777" w:rsidR="00F332DA" w:rsidRPr="00BD76AF" w:rsidRDefault="00F332DA" w:rsidP="00471A72">
      <w:pPr>
        <w:spacing w:after="50"/>
        <w:ind w:left="823" w:hanging="454"/>
      </w:pPr>
      <w:r w:rsidRPr="00BD76AF">
        <w:t>4.1</w:t>
      </w:r>
      <w:r w:rsidRPr="00BD76AF">
        <w:tab/>
        <w:t>Non-respect des Garanties opérationnelles de capacité de production</w:t>
      </w:r>
    </w:p>
    <w:p w14:paraId="658A5BF7" w14:textId="77777777" w:rsidR="00F332DA" w:rsidRPr="00BD76AF" w:rsidRDefault="00F332DA" w:rsidP="00471A72">
      <w:pPr>
        <w:spacing w:afterLines="50" w:after="120"/>
        <w:ind w:left="822"/>
      </w:pPr>
      <w:r w:rsidRPr="00BD76AF">
        <w:t>Si la capacité de production des Installations, obtenue lors des Essais de garantie, conformément à l’Article 25.2 des CG, est inférieure au chiffre garanti figurant au paragraphe 3.1 ci-dessus, mais que la capacité de production effective atteinte lors des Essais de garantie n’est pas inférieure au niveau minimum précisé au paragraphe 4.3 ci-dessous, et que l’Entrepreneur choisit de payer des pénalités au Maître d’ouvrage au lieu de procéder à des changements, modifications et/ou additions aux Installations, conformément à l’Article 28.3 des CG, alors l’Entrepreneur devra payer ces pénalités au taux suivant :</w:t>
      </w:r>
    </w:p>
    <w:p w14:paraId="07F6F869" w14:textId="77777777" w:rsidR="00F332DA" w:rsidRPr="00BD76AF" w:rsidRDefault="00F332DA" w:rsidP="00471A72">
      <w:pPr>
        <w:spacing w:afterLines="50" w:after="120"/>
        <w:ind w:left="822"/>
      </w:pPr>
      <w:r w:rsidRPr="00BD76AF">
        <w:t>[</w:t>
      </w:r>
      <w:r w:rsidRPr="00BD76AF">
        <w:rPr>
          <w:i/>
        </w:rPr>
        <w:t>indiquer un montant dans la(les) même(s) monnaie(s) que le Montant du Marché</w:t>
      </w:r>
      <w:r w:rsidRPr="00BD76AF">
        <w:t>] pour chaque point de pourcentage (1 %) en dessous de la capacité de production des Installations, et au prorata pour les fractions de point de pourcentage.</w:t>
      </w:r>
    </w:p>
    <w:p w14:paraId="28A49A47" w14:textId="77777777" w:rsidR="00F332DA" w:rsidRPr="00BD76AF" w:rsidRDefault="00F332DA" w:rsidP="00471A72">
      <w:pPr>
        <w:spacing w:after="50"/>
        <w:ind w:left="823" w:hanging="454"/>
      </w:pPr>
      <w:r w:rsidRPr="00BD76AF">
        <w:t>4.2</w:t>
      </w:r>
      <w:r w:rsidRPr="00BD76AF">
        <w:tab/>
        <w:t>Consommation de matières premières et de produits énergétiques en excès par rapport aux niveaux garantis.</w:t>
      </w:r>
    </w:p>
    <w:p w14:paraId="4DBF703B" w14:textId="77777777" w:rsidR="00F332DA" w:rsidRPr="00BD76AF" w:rsidRDefault="00F332DA" w:rsidP="00471A72">
      <w:pPr>
        <w:spacing w:afterLines="50" w:after="120"/>
        <w:ind w:left="822"/>
        <w:rPr>
          <w:i/>
        </w:rPr>
      </w:pPr>
      <w:r w:rsidRPr="00BD76AF">
        <w:t>[</w:t>
      </w:r>
      <w:r w:rsidRPr="00BD76AF">
        <w:rPr>
          <w:i/>
        </w:rPr>
        <w:t>A préciser dans les termes correspondant au type d’Installations concerné s’il y a des niveaux garantis de consommation.</w:t>
      </w:r>
      <w:r w:rsidRPr="00BD76AF">
        <w:t>]</w:t>
      </w:r>
    </w:p>
    <w:p w14:paraId="44416A7D" w14:textId="77777777" w:rsidR="00F332DA" w:rsidRPr="00BD76AF" w:rsidRDefault="00F332DA" w:rsidP="00471A72">
      <w:pPr>
        <w:spacing w:afterLines="50" w:after="120"/>
        <w:ind w:left="822"/>
      </w:pPr>
      <w:r w:rsidRPr="00BD76AF">
        <w:t xml:space="preserve">Si le chiffre mesuré de consommation de matières premières et de produits énergétiques spécifiés par unité (ou le coût moyen total de ces consommations) dépasse la valeur garantie au paragraphe 3.2 ci-dessus (ou le coût moyen total spécifié de ces consommations), mais que la consommation obtenue lors des Essais de garantie, conformément à l’Article 25.2 des CG, ne dépasse pas le niveau maximum figurant au paragraphe 4.3 ci-dessous, et que l’Entrepreneur choisit de payer des pénalités au Maître d’ouvrage au lieu de procéder à des changements, modifications et/ou additions aux Installations, conformément à l’Article 28.3 des CG, alors l’Entrepreneur devra payer ces pénalités au taux suivant : </w:t>
      </w:r>
    </w:p>
    <w:p w14:paraId="1C9F1C32" w14:textId="77777777" w:rsidR="00F332DA" w:rsidRPr="00BD76AF" w:rsidRDefault="00F332DA" w:rsidP="00471A72">
      <w:pPr>
        <w:spacing w:afterLines="50" w:after="120"/>
        <w:ind w:left="822"/>
      </w:pPr>
      <w:r w:rsidRPr="00BD76AF">
        <w:t>[</w:t>
      </w:r>
      <w:r w:rsidRPr="00BD76AF">
        <w:rPr>
          <w:i/>
        </w:rPr>
        <w:t>indiquer un montant dans la(les) même(s)monnaie(s) que le Montant du Marché</w:t>
      </w:r>
      <w:r w:rsidRPr="00BD76AF">
        <w:t>] pour chaque point de pourcentage (1%) de consommation en excès, et au prorata pour les fractions de point de pourcentage.</w:t>
      </w:r>
    </w:p>
    <w:p w14:paraId="1F097B63" w14:textId="77777777" w:rsidR="00F332DA" w:rsidRPr="00BD76AF" w:rsidRDefault="00F332DA" w:rsidP="00471A72">
      <w:pPr>
        <w:spacing w:afterLines="50" w:after="120"/>
        <w:ind w:left="822"/>
        <w:rPr>
          <w:i/>
          <w:lang w:eastAsia="ja-JP"/>
        </w:rPr>
      </w:pPr>
      <w:r w:rsidRPr="00BD76AF">
        <w:t>[</w:t>
      </w:r>
      <w:r w:rsidRPr="00BD76AF">
        <w:rPr>
          <w:i/>
        </w:rPr>
        <w:t>Le taux des pénalités indiqué aux paragraphes 4.1 et 4.2 ci-dessus sera au moins équivalent au taux indiqué dans la Section III, Critères d’évaluation et de qualification, pour comparer les Garanties opérationnelles offertes par les Soumissionnaires.</w:t>
      </w:r>
      <w:r w:rsidRPr="00BD76AF">
        <w:t>]</w:t>
      </w:r>
    </w:p>
    <w:p w14:paraId="49CF5AE8" w14:textId="77777777" w:rsidR="00F332DA" w:rsidRPr="00BD76AF" w:rsidRDefault="00F332DA" w:rsidP="00471A72">
      <w:pPr>
        <w:spacing w:after="50"/>
        <w:ind w:left="823" w:hanging="454"/>
      </w:pPr>
      <w:r w:rsidRPr="00BD76AF">
        <w:t>4.3</w:t>
      </w:r>
      <w:r w:rsidRPr="00BD76AF">
        <w:tab/>
        <w:t>Niveaux minimums</w:t>
      </w:r>
    </w:p>
    <w:p w14:paraId="32DF5D3C" w14:textId="77777777" w:rsidR="00F332DA" w:rsidRPr="00BD76AF" w:rsidRDefault="00F332DA" w:rsidP="00471A72">
      <w:pPr>
        <w:spacing w:afterLines="50" w:after="120"/>
        <w:ind w:left="822"/>
      </w:pPr>
      <w:r w:rsidRPr="00BD76AF">
        <w:t>Nonobstant les dispositions de ce paragraphe, si suite aux résultats d’un Essai de garantie, les niveaux minimums suivants de Garantie opérationnelle (et de garantie de consommation) ne sont pas atteints par l’Entrepreneur, l’Entrepreneur devra remédier, à ses frais, aux insuffisances jusqu’à ce que les Installations atteignent les niveaux de performance suivants, conformément à l’Article 28.2 des CG :</w:t>
      </w:r>
    </w:p>
    <w:p w14:paraId="3E08904D" w14:textId="77777777" w:rsidR="00F332DA" w:rsidRPr="00BD76AF" w:rsidRDefault="00F332DA" w:rsidP="00471A72">
      <w:pPr>
        <w:spacing w:afterLines="50" w:after="120"/>
        <w:ind w:left="1191" w:hanging="369"/>
      </w:pPr>
      <w:r w:rsidRPr="00BD76AF">
        <w:t>a)</w:t>
      </w:r>
      <w:r w:rsidRPr="00BD76AF">
        <w:tab/>
        <w:t>capacité de production des Installations atteinte lors des Essais de garantie : quatre-vingt-quinze pour cent (95 %) de la capacité de production garantie (les valeurs proposées par l’Entrepreneur dans son offre pour les Garanties opérationnelles représentent 100 %) ;</w:t>
      </w:r>
    </w:p>
    <w:p w14:paraId="6994BB14" w14:textId="77777777" w:rsidR="00F332DA" w:rsidRPr="00BD76AF" w:rsidRDefault="00F332DA" w:rsidP="00471A72">
      <w:pPr>
        <w:spacing w:afterLines="50" w:after="120"/>
        <w:ind w:left="822"/>
        <w:rPr>
          <w:b/>
        </w:rPr>
      </w:pPr>
      <w:r w:rsidRPr="00BD76AF">
        <w:rPr>
          <w:b/>
        </w:rPr>
        <w:t>et/ou</w:t>
      </w:r>
    </w:p>
    <w:p w14:paraId="09D9D7B2" w14:textId="77777777" w:rsidR="00F332DA" w:rsidRPr="00BD76AF" w:rsidRDefault="00F332DA" w:rsidP="00471A72">
      <w:pPr>
        <w:spacing w:afterLines="50" w:after="120"/>
        <w:ind w:left="1191" w:hanging="369"/>
      </w:pPr>
      <w:r w:rsidRPr="00BD76AF">
        <w:t>b)</w:t>
      </w:r>
      <w:r w:rsidRPr="00BD76AF">
        <w:tab/>
        <w:t>coût total moyen de consommation de l’ensemble des matières premières et produits énergétiques des Installations : cent cinq pour cent (105 %) des valeurs garanties (les chiffres proposés par l’Entrepreneur dans son offre pour les Garanties opérationnelles représentent 100 %).</w:t>
      </w:r>
    </w:p>
    <w:p w14:paraId="05346A96" w14:textId="77777777" w:rsidR="00F332DA" w:rsidRPr="00BD76AF" w:rsidRDefault="00F332DA" w:rsidP="0079334B">
      <w:pPr>
        <w:suppressAutoHyphens w:val="0"/>
        <w:overflowPunct/>
        <w:autoSpaceDE/>
        <w:autoSpaceDN/>
        <w:adjustRightInd/>
        <w:spacing w:before="120" w:afterLines="50" w:after="120"/>
        <w:ind w:left="822"/>
        <w:textAlignment w:val="auto"/>
        <w:rPr>
          <w:lang w:eastAsia="en-US"/>
        </w:rPr>
      </w:pPr>
    </w:p>
    <w:p w14:paraId="46E9A255" w14:textId="77777777" w:rsidR="00F332DA" w:rsidRPr="00BD76AF" w:rsidRDefault="00F332DA" w:rsidP="0079334B">
      <w:pPr>
        <w:suppressAutoHyphens w:val="0"/>
        <w:overflowPunct/>
        <w:autoSpaceDE/>
        <w:autoSpaceDN/>
        <w:adjustRightInd/>
        <w:spacing w:before="120" w:afterLines="50" w:after="120"/>
        <w:ind w:left="822"/>
        <w:textAlignment w:val="auto"/>
        <w:rPr>
          <w:lang w:eastAsia="en-US"/>
        </w:rPr>
      </w:pPr>
    </w:p>
    <w:p w14:paraId="0C05664E" w14:textId="77777777" w:rsidR="00F332DA" w:rsidRPr="00BD76AF" w:rsidRDefault="00F332DA" w:rsidP="0079334B">
      <w:pPr>
        <w:suppressAutoHyphens w:val="0"/>
        <w:overflowPunct/>
        <w:autoSpaceDE/>
        <w:autoSpaceDN/>
        <w:adjustRightInd/>
        <w:spacing w:before="120"/>
        <w:ind w:right="43"/>
        <w:textAlignment w:val="auto"/>
        <w:rPr>
          <w:sz w:val="36"/>
          <w:lang w:eastAsia="en-US"/>
        </w:rPr>
        <w:sectPr w:rsidR="00F332DA" w:rsidRPr="00BD76AF" w:rsidSect="0045564B">
          <w:headerReference w:type="even" r:id="rId99"/>
          <w:headerReference w:type="default" r:id="rId100"/>
          <w:headerReference w:type="first" r:id="rId101"/>
          <w:footnotePr>
            <w:numRestart w:val="eachPage"/>
          </w:footnotePr>
          <w:type w:val="nextColumn"/>
          <w:pgSz w:w="12240" w:h="15840"/>
          <w:pgMar w:top="1440" w:right="1440" w:bottom="1440" w:left="1797" w:header="720" w:footer="720" w:gutter="0"/>
          <w:pgNumType w:start="1"/>
          <w:cols w:space="720"/>
        </w:sectPr>
      </w:pPr>
    </w:p>
    <w:p w14:paraId="4632867E" w14:textId="77777777" w:rsidR="00F332DA" w:rsidRPr="00BD76AF" w:rsidRDefault="00F332DA" w:rsidP="0079334B">
      <w:pPr>
        <w:pStyle w:val="S9Header"/>
        <w:suppressAutoHyphens w:val="0"/>
        <w:overflowPunct/>
        <w:autoSpaceDE/>
        <w:autoSpaceDN/>
        <w:adjustRightInd/>
        <w:spacing w:before="120"/>
        <w:textAlignment w:val="auto"/>
      </w:pPr>
      <w:bookmarkStart w:id="855" w:name="_Toc104152952"/>
      <w:bookmarkStart w:id="856" w:name="_Toc156372184"/>
      <w:bookmarkStart w:id="857" w:name="_Toc354482060"/>
      <w:r w:rsidRPr="00BD76AF">
        <w:rPr>
          <w:sz w:val="36"/>
          <w:lang w:eastAsia="en-US"/>
        </w:rPr>
        <w:t>Garantie de bonne exécution</w:t>
      </w:r>
      <w:bookmarkEnd w:id="855"/>
      <w:bookmarkEnd w:id="856"/>
      <w:bookmarkEnd w:id="857"/>
    </w:p>
    <w:p w14:paraId="1B5E668B" w14:textId="77777777" w:rsidR="00F332DA" w:rsidRPr="00BD76AF" w:rsidRDefault="00F332DA" w:rsidP="001F7B8F">
      <w:pPr>
        <w:pStyle w:val="S9Header"/>
        <w:rPr>
          <w:sz w:val="28"/>
          <w:szCs w:val="28"/>
        </w:rPr>
      </w:pPr>
      <w:bookmarkStart w:id="858" w:name="_Toc104152953"/>
      <w:r w:rsidRPr="00BD76AF">
        <w:rPr>
          <w:sz w:val="28"/>
          <w:szCs w:val="28"/>
        </w:rPr>
        <w:t>Option 1 : Garantie bancaire sur demande</w:t>
      </w:r>
      <w:bookmarkEnd w:id="8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332DA" w:rsidRPr="00BD76AF" w14:paraId="16A85032" w14:textId="77777777" w:rsidTr="00346F6A">
        <w:tc>
          <w:tcPr>
            <w:tcW w:w="9351" w:type="dxa"/>
            <w:shd w:val="clear" w:color="auto" w:fill="auto"/>
          </w:tcPr>
          <w:p w14:paraId="0F90A303" w14:textId="77777777" w:rsidR="00F332DA" w:rsidRPr="00BD76AF" w:rsidRDefault="00F332DA" w:rsidP="0079334B">
            <w:pPr>
              <w:jc w:val="center"/>
              <w:rPr>
                <w:b/>
                <w:iCs/>
              </w:rPr>
            </w:pPr>
            <w:r w:rsidRPr="00BD76AF">
              <w:rPr>
                <w:b/>
                <w:iCs/>
              </w:rPr>
              <w:t>Notes à l’intention du Maître d’ouvrage</w:t>
            </w:r>
          </w:p>
          <w:p w14:paraId="3ACA6CA0" w14:textId="77777777" w:rsidR="00F332DA" w:rsidRPr="00BD76AF" w:rsidRDefault="00F332DA" w:rsidP="0079334B">
            <w:pPr>
              <w:rPr>
                <w:iCs/>
              </w:rPr>
            </w:pPr>
          </w:p>
          <w:p w14:paraId="02B61B5B" w14:textId="77777777" w:rsidR="00F332DA" w:rsidRPr="00BD76AF" w:rsidRDefault="00F332DA" w:rsidP="0079334B">
            <w:pPr>
              <w:rPr>
                <w:lang w:eastAsia="ja-JP"/>
              </w:rPr>
            </w:pPr>
            <w:r w:rsidRPr="00BD76AF">
              <w:rPr>
                <w:lang w:eastAsia="ja-JP"/>
              </w:rPr>
              <w:t>Le Maître d’ouvrage doit prendre en compte le fait que, dans le cas d’une prorogation du Délai d’achèvement du Marché, il devra demander au Garant de prolonger la durée de la présente garantie. Une telle demande doit être faite par écrit avant la date d’expiration mentionnée dans la garantie.</w:t>
            </w:r>
          </w:p>
          <w:p w14:paraId="1F4434BF" w14:textId="77777777" w:rsidR="00F332DA" w:rsidRPr="00BD76AF" w:rsidRDefault="00F332DA" w:rsidP="0079334B">
            <w:pPr>
              <w:rPr>
                <w:lang w:eastAsia="ja-JP"/>
              </w:rPr>
            </w:pPr>
          </w:p>
        </w:tc>
      </w:tr>
    </w:tbl>
    <w:p w14:paraId="5219393F" w14:textId="77777777" w:rsidR="00F332DA" w:rsidRPr="00BD76AF" w:rsidRDefault="00F332DA" w:rsidP="0079334B">
      <w:pPr>
        <w:pStyle w:val="Web"/>
        <w:spacing w:before="0" w:beforeAutospacing="0" w:after="0" w:afterAutospacing="0"/>
      </w:pPr>
    </w:p>
    <w:p w14:paraId="2CB610BC" w14:textId="77777777" w:rsidR="00F332DA" w:rsidRPr="00BD76AF" w:rsidRDefault="00F332DA" w:rsidP="0079334B">
      <w:pPr>
        <w:jc w:val="left"/>
        <w:rPr>
          <w:i/>
          <w:szCs w:val="24"/>
        </w:rPr>
      </w:pPr>
      <w:r w:rsidRPr="00BD76AF">
        <w:rPr>
          <w:szCs w:val="24"/>
        </w:rPr>
        <w:t>[</w:t>
      </w:r>
      <w:r w:rsidRPr="00BD76AF">
        <w:rPr>
          <w:i/>
          <w:szCs w:val="24"/>
        </w:rPr>
        <w:t>papier à en-tête du Garant ou code Swift</w:t>
      </w:r>
      <w:r w:rsidRPr="00BD76AF">
        <w:rPr>
          <w:szCs w:val="24"/>
        </w:rPr>
        <w:t>]</w:t>
      </w:r>
    </w:p>
    <w:p w14:paraId="5FACD6E2" w14:textId="77777777" w:rsidR="00F332DA" w:rsidRPr="00BD76AF" w:rsidRDefault="00F332DA" w:rsidP="001F7B8F">
      <w:pPr>
        <w:rPr>
          <w:szCs w:val="24"/>
        </w:rPr>
      </w:pPr>
    </w:p>
    <w:p w14:paraId="04BC8D19" w14:textId="77777777" w:rsidR="00F332DA" w:rsidRPr="00BD76AF" w:rsidRDefault="00F332DA" w:rsidP="001F7B8F">
      <w:pPr>
        <w:rPr>
          <w:szCs w:val="24"/>
        </w:rPr>
      </w:pPr>
      <w:r w:rsidRPr="00BD76AF">
        <w:rPr>
          <w:b/>
          <w:szCs w:val="24"/>
        </w:rPr>
        <w:t>Bénéficiaire</w:t>
      </w:r>
      <w:r w:rsidRPr="00BD76AF">
        <w:rPr>
          <w:szCs w:val="24"/>
        </w:rPr>
        <w:t> : _________ [</w:t>
      </w:r>
      <w:r w:rsidRPr="00BD76AF">
        <w:rPr>
          <w:i/>
          <w:szCs w:val="24"/>
        </w:rPr>
        <w:t>nom et adresse du Maître d’ouvrage</w:t>
      </w:r>
      <w:r w:rsidRPr="00BD76AF">
        <w:rPr>
          <w:szCs w:val="24"/>
        </w:rPr>
        <w:t xml:space="preserve">] </w:t>
      </w:r>
    </w:p>
    <w:p w14:paraId="507DA843" w14:textId="77777777" w:rsidR="00F332DA" w:rsidRPr="00BD76AF" w:rsidRDefault="00F332DA" w:rsidP="001F7B8F">
      <w:pPr>
        <w:rPr>
          <w:szCs w:val="24"/>
        </w:rPr>
      </w:pPr>
    </w:p>
    <w:p w14:paraId="7FACE44F" w14:textId="77777777" w:rsidR="00F332DA" w:rsidRPr="00BD76AF" w:rsidRDefault="00F332DA" w:rsidP="001F7B8F">
      <w:pPr>
        <w:rPr>
          <w:szCs w:val="24"/>
        </w:rPr>
      </w:pPr>
      <w:r w:rsidRPr="00BD76AF">
        <w:rPr>
          <w:b/>
          <w:szCs w:val="24"/>
        </w:rPr>
        <w:t>Date</w:t>
      </w:r>
      <w:r w:rsidRPr="00BD76AF">
        <w:rPr>
          <w:szCs w:val="24"/>
        </w:rPr>
        <w:t> : _______________ [</w:t>
      </w:r>
      <w:r w:rsidRPr="00BD76AF">
        <w:rPr>
          <w:i/>
          <w:szCs w:val="24"/>
        </w:rPr>
        <w:t>date</w:t>
      </w:r>
      <w:r w:rsidRPr="00BD76AF">
        <w:rPr>
          <w:szCs w:val="24"/>
        </w:rPr>
        <w:t>]</w:t>
      </w:r>
    </w:p>
    <w:p w14:paraId="26BF9FF7" w14:textId="77777777" w:rsidR="00F332DA" w:rsidRPr="00BD76AF" w:rsidRDefault="00F332DA" w:rsidP="001F7B8F">
      <w:pPr>
        <w:rPr>
          <w:szCs w:val="24"/>
        </w:rPr>
      </w:pPr>
    </w:p>
    <w:p w14:paraId="2068848C" w14:textId="77777777" w:rsidR="00F332DA" w:rsidRPr="00BD76AF" w:rsidRDefault="00F332DA" w:rsidP="001F7B8F">
      <w:pPr>
        <w:rPr>
          <w:szCs w:val="24"/>
        </w:rPr>
      </w:pPr>
      <w:r w:rsidRPr="00BD76AF">
        <w:rPr>
          <w:b/>
          <w:szCs w:val="24"/>
        </w:rPr>
        <w:t>Garantie de bonne exécution n°</w:t>
      </w:r>
      <w:r w:rsidRPr="00BD76AF">
        <w:rPr>
          <w:szCs w:val="24"/>
        </w:rPr>
        <w:t> : ___________ [</w:t>
      </w:r>
      <w:r w:rsidRPr="00BD76AF">
        <w:rPr>
          <w:i/>
          <w:szCs w:val="24"/>
        </w:rPr>
        <w:t>indiquer le numéro de référence de la garantie</w:t>
      </w:r>
      <w:r w:rsidRPr="00BD76AF">
        <w:rPr>
          <w:szCs w:val="24"/>
        </w:rPr>
        <w:t>]</w:t>
      </w:r>
    </w:p>
    <w:p w14:paraId="64B1C314" w14:textId="77777777" w:rsidR="00F332DA" w:rsidRPr="00BD76AF" w:rsidRDefault="00F332DA" w:rsidP="001F7B8F">
      <w:pPr>
        <w:rPr>
          <w:szCs w:val="24"/>
        </w:rPr>
      </w:pPr>
    </w:p>
    <w:p w14:paraId="1295B667" w14:textId="77777777" w:rsidR="00F332DA" w:rsidRPr="00BD76AF" w:rsidRDefault="00F332DA" w:rsidP="001F7B8F">
      <w:pPr>
        <w:rPr>
          <w:szCs w:val="24"/>
        </w:rPr>
      </w:pPr>
      <w:r w:rsidRPr="00BD76AF">
        <w:rPr>
          <w:b/>
          <w:szCs w:val="24"/>
        </w:rPr>
        <w:t>Garant</w:t>
      </w:r>
      <w:r w:rsidRPr="00BD76AF">
        <w:rPr>
          <w:szCs w:val="24"/>
        </w:rPr>
        <w:t> : ______ [</w:t>
      </w:r>
      <w:r w:rsidRPr="00BD76AF">
        <w:rPr>
          <w:i/>
          <w:szCs w:val="24"/>
        </w:rPr>
        <w:t>nom et adresse de la banque émettrice, sauf si indiqués sur le papier à en-tête</w:t>
      </w:r>
      <w:r w:rsidRPr="00BD76AF">
        <w:rPr>
          <w:szCs w:val="24"/>
        </w:rPr>
        <w:t>]</w:t>
      </w:r>
    </w:p>
    <w:p w14:paraId="1483429F" w14:textId="77777777" w:rsidR="00F332DA" w:rsidRPr="00BD76AF" w:rsidRDefault="00F332DA" w:rsidP="001F7B8F">
      <w:pPr>
        <w:rPr>
          <w:szCs w:val="24"/>
        </w:rPr>
      </w:pPr>
    </w:p>
    <w:p w14:paraId="0A9F7FE4" w14:textId="77777777" w:rsidR="00F332DA" w:rsidRPr="00BD76AF" w:rsidRDefault="00F332DA" w:rsidP="001F7B8F">
      <w:pPr>
        <w:rPr>
          <w:szCs w:val="24"/>
        </w:rPr>
      </w:pPr>
      <w:r w:rsidRPr="00BD76AF">
        <w:rPr>
          <w:szCs w:val="24"/>
        </w:rPr>
        <w:t>Nous avons été informés que ___________ [</w:t>
      </w:r>
      <w:r w:rsidRPr="00BD76AF">
        <w:rPr>
          <w:i/>
          <w:szCs w:val="24"/>
        </w:rPr>
        <w:t>nom de l’Entrepreneur, en cas de Groupement, nom du Groupement</w:t>
      </w:r>
      <w:r w:rsidRPr="00BD76AF">
        <w:rPr>
          <w:szCs w:val="24"/>
        </w:rPr>
        <w:t>] (ci-après dénommé « le Donneur d’ordre ») a conclu avec le Bénéficiaire le Marché n° ____ [</w:t>
      </w:r>
      <w:r w:rsidRPr="00BD76AF">
        <w:rPr>
          <w:i/>
          <w:szCs w:val="24"/>
        </w:rPr>
        <w:t>numéro du Marché</w:t>
      </w:r>
      <w:r w:rsidRPr="00BD76AF">
        <w:rPr>
          <w:szCs w:val="24"/>
        </w:rPr>
        <w:t>] en date du ___ [</w:t>
      </w:r>
      <w:r w:rsidRPr="00BD76AF">
        <w:rPr>
          <w:i/>
          <w:szCs w:val="24"/>
        </w:rPr>
        <w:t>date</w:t>
      </w:r>
      <w:r w:rsidRPr="00BD76AF">
        <w:rPr>
          <w:szCs w:val="24"/>
        </w:rPr>
        <w:t>] pour l’exécution de _________________ [</w:t>
      </w:r>
      <w:r w:rsidRPr="00BD76AF">
        <w:rPr>
          <w:i/>
          <w:szCs w:val="24"/>
        </w:rPr>
        <w:t>intitulé du Marché et brève description des Installations</w:t>
      </w:r>
      <w:r w:rsidRPr="00BD76AF">
        <w:rPr>
          <w:szCs w:val="24"/>
        </w:rPr>
        <w:t>] (ci-après dénommé « le Marché »).</w:t>
      </w:r>
    </w:p>
    <w:p w14:paraId="23FA1529" w14:textId="77777777" w:rsidR="00F332DA" w:rsidRPr="00BD76AF" w:rsidRDefault="00F332DA" w:rsidP="001F7B8F">
      <w:pPr>
        <w:rPr>
          <w:szCs w:val="24"/>
        </w:rPr>
      </w:pPr>
    </w:p>
    <w:p w14:paraId="4C0A9CBC" w14:textId="77777777" w:rsidR="00F332DA" w:rsidRPr="00BD76AF" w:rsidRDefault="00F332DA" w:rsidP="001F7B8F">
      <w:pPr>
        <w:rPr>
          <w:szCs w:val="24"/>
        </w:rPr>
      </w:pPr>
      <w:r w:rsidRPr="00BD76AF">
        <w:rPr>
          <w:szCs w:val="24"/>
        </w:rPr>
        <w:t>De plus, nous comprenons qu’une Garantie de bonne exécution est exigée en vertu des conditions du Marché.</w:t>
      </w:r>
    </w:p>
    <w:p w14:paraId="4E2BC624" w14:textId="77777777" w:rsidR="00F332DA" w:rsidRPr="00BD76AF" w:rsidRDefault="00F332DA" w:rsidP="001F7B8F">
      <w:pPr>
        <w:rPr>
          <w:szCs w:val="24"/>
        </w:rPr>
      </w:pPr>
    </w:p>
    <w:p w14:paraId="005D37DC" w14:textId="77777777" w:rsidR="00F332DA" w:rsidRPr="00BD76AF" w:rsidRDefault="00F332DA" w:rsidP="0079334B">
      <w:pPr>
        <w:widowControl w:val="0"/>
        <w:suppressAutoHyphens w:val="0"/>
        <w:overflowPunct/>
        <w:autoSpaceDE/>
        <w:autoSpaceDN/>
        <w:adjustRightInd/>
        <w:textAlignment w:val="auto"/>
        <w:rPr>
          <w:rFonts w:eastAsia="游ゴシック"/>
          <w:color w:val="333333"/>
          <w:kern w:val="2"/>
          <w:szCs w:val="24"/>
          <w:shd w:val="clear" w:color="auto" w:fill="FAFBFC"/>
          <w:lang w:eastAsia="ja-JP"/>
        </w:rPr>
      </w:pPr>
      <w:r w:rsidRPr="00BD76AF">
        <w:rPr>
          <w:szCs w:val="24"/>
        </w:rPr>
        <w:t>À</w:t>
      </w:r>
      <w:r w:rsidRPr="00BD76AF">
        <w:rPr>
          <w:rFonts w:hint="eastAsia"/>
          <w:szCs w:val="24"/>
          <w:lang w:eastAsia="ja-JP"/>
        </w:rPr>
        <w:t xml:space="preserve"> </w:t>
      </w:r>
      <w:r w:rsidRPr="00BD76AF">
        <w:rPr>
          <w:szCs w:val="24"/>
        </w:rPr>
        <w:t>la demande du Donneur d’ordre, nous prenons, en tant que Garant, l’engagement irrévocable de payer au Bénéficiaire toute somme dans la limite du montant de la garantie qui s’élève à _____________ (___) [</w:t>
      </w:r>
      <w:r w:rsidRPr="00BD76AF">
        <w:rPr>
          <w:i/>
          <w:szCs w:val="24"/>
        </w:rPr>
        <w:t>insérer la somme en chiffres et en lettres, et indiquer la monnaie</w:t>
      </w:r>
      <w:r w:rsidRPr="00BD76AF">
        <w:rPr>
          <w:szCs w:val="24"/>
        </w:rPr>
        <w:t>]</w:t>
      </w:r>
      <w:r w:rsidRPr="00BD76AF">
        <w:rPr>
          <w:rStyle w:val="a9"/>
          <w:szCs w:val="24"/>
        </w:rPr>
        <w:footnoteReference w:id="3"/>
      </w:r>
      <w:r w:rsidRPr="00BD76AF">
        <w:rPr>
          <w:szCs w:val="24"/>
        </w:rPr>
        <w:t xml:space="preserve">. Cette somme sera réglée dans les monnaies et dans les proportions de celles-ci dans lesquelles le Montant du Marché sera payé, sur réception de notre part d’une demande en bonne et due forme du Bénéficiaire, étayée d’une déclaration du Bénéficiaire directement incluse dans la demande, ou dans un document séparé signé joint à la demande, </w:t>
      </w:r>
      <w:r w:rsidRPr="00BD76AF">
        <w:rPr>
          <w:szCs w:val="24"/>
          <w:lang w:eastAsia="ja-JP"/>
        </w:rPr>
        <w:t>ou l’identifiant et indiquant</w:t>
      </w:r>
      <w:r w:rsidRPr="00BD76AF">
        <w:rPr>
          <w:szCs w:val="24"/>
        </w:rPr>
        <w:t xml:space="preserve"> que le Donneur d’ordre a manqué à ses obligations au titre du Marché, sans que le Bénéficiaire n’ait à donner les raisons ou à démontrer les motifs de sa demande ou le montant qui y figure. </w:t>
      </w:r>
    </w:p>
    <w:p w14:paraId="1334B22A" w14:textId="77777777" w:rsidR="00F332DA" w:rsidRPr="00BD76AF" w:rsidRDefault="00F332DA" w:rsidP="001F7B8F">
      <w:pPr>
        <w:rPr>
          <w:szCs w:val="24"/>
        </w:rPr>
      </w:pPr>
    </w:p>
    <w:p w14:paraId="67A3B46C" w14:textId="77777777" w:rsidR="00F332DA" w:rsidRPr="00BD76AF" w:rsidRDefault="00F332DA" w:rsidP="0068050F">
      <w:pPr>
        <w:ind w:right="43"/>
        <w:rPr>
          <w:szCs w:val="24"/>
        </w:rPr>
      </w:pPr>
    </w:p>
    <w:p w14:paraId="0E4D802A" w14:textId="77777777" w:rsidR="00F332DA" w:rsidRPr="00BD76AF" w:rsidRDefault="00F332DA" w:rsidP="001F7B8F">
      <w:pPr>
        <w:rPr>
          <w:szCs w:val="24"/>
        </w:rPr>
      </w:pPr>
      <w:r w:rsidRPr="00BD76AF">
        <w:rPr>
          <w:szCs w:val="24"/>
        </w:rPr>
        <w:t>La présente garantie expire et doit nous être renvoyée au plus tard le [</w:t>
      </w:r>
      <w:r w:rsidRPr="00BD76AF">
        <w:rPr>
          <w:i/>
          <w:szCs w:val="24"/>
        </w:rPr>
        <w:t>indiquer la date en jour/mois/année</w:t>
      </w:r>
      <w:r w:rsidRPr="00BD76AF">
        <w:rPr>
          <w:szCs w:val="24"/>
        </w:rPr>
        <w:t>]</w:t>
      </w:r>
      <w:r w:rsidRPr="00BD76AF">
        <w:rPr>
          <w:rStyle w:val="a9"/>
          <w:szCs w:val="24"/>
        </w:rPr>
        <w:footnoteReference w:customMarkFollows="1" w:id="4"/>
        <w:t>2</w:t>
      </w:r>
      <w:r w:rsidRPr="00BD76AF">
        <w:rPr>
          <w:szCs w:val="24"/>
        </w:rPr>
        <w:t xml:space="preserve">, et toute demande de paiement doit être reçue à cette date au plus tard, à l’adresse figurant ci-dessus. </w:t>
      </w:r>
    </w:p>
    <w:p w14:paraId="4E3A8AA6" w14:textId="77777777" w:rsidR="00F332DA" w:rsidRPr="00BD76AF" w:rsidRDefault="00F332DA" w:rsidP="001F7B8F">
      <w:pPr>
        <w:rPr>
          <w:szCs w:val="24"/>
        </w:rPr>
      </w:pPr>
    </w:p>
    <w:p w14:paraId="36E5CF68" w14:textId="77777777" w:rsidR="00F332DA" w:rsidRPr="00BD76AF" w:rsidRDefault="00F332DA" w:rsidP="001F7B8F">
      <w:pPr>
        <w:rPr>
          <w:szCs w:val="24"/>
        </w:rPr>
      </w:pPr>
    </w:p>
    <w:p w14:paraId="29529F1A" w14:textId="77777777" w:rsidR="00F332DA" w:rsidRPr="00BD76AF" w:rsidRDefault="00F332DA" w:rsidP="001F7B8F">
      <w:pPr>
        <w:rPr>
          <w:szCs w:val="24"/>
        </w:rPr>
      </w:pPr>
      <w:r w:rsidRPr="00BD76AF">
        <w:rPr>
          <w:szCs w:val="24"/>
        </w:rPr>
        <w:t>La présente garantie est régie par les Règles Uniformes de la CCI relatives aux Garanties sur Demande (RUGD), révisées en 2010, Publication CCI n° 758, à l’exception de l’article 15(a) dont l’application est écartée.</w:t>
      </w:r>
    </w:p>
    <w:p w14:paraId="61AE6583" w14:textId="77777777" w:rsidR="00F332DA" w:rsidRPr="00BD76AF" w:rsidRDefault="00F332DA" w:rsidP="001F7B8F">
      <w:pPr>
        <w:rPr>
          <w:szCs w:val="24"/>
        </w:rPr>
      </w:pPr>
    </w:p>
    <w:p w14:paraId="7A792DD9" w14:textId="77777777" w:rsidR="00F332DA" w:rsidRPr="00BD76AF" w:rsidRDefault="00F332DA" w:rsidP="001F7B8F">
      <w:pPr>
        <w:rPr>
          <w:szCs w:val="24"/>
        </w:rPr>
      </w:pPr>
      <w:r w:rsidRPr="00BD76AF">
        <w:rPr>
          <w:szCs w:val="24"/>
        </w:rPr>
        <w:t>_____________________</w:t>
      </w:r>
    </w:p>
    <w:p w14:paraId="15E0E72E" w14:textId="77777777" w:rsidR="00F332DA" w:rsidRPr="00BD76AF" w:rsidRDefault="00F332DA" w:rsidP="001F7B8F">
      <w:pPr>
        <w:rPr>
          <w:szCs w:val="24"/>
        </w:rPr>
      </w:pPr>
      <w:r w:rsidRPr="00BD76AF">
        <w:rPr>
          <w:szCs w:val="24"/>
        </w:rPr>
        <w:t>[</w:t>
      </w:r>
      <w:r w:rsidRPr="00BD76AF">
        <w:rPr>
          <w:i/>
          <w:szCs w:val="24"/>
        </w:rPr>
        <w:t>Signature</w:t>
      </w:r>
      <w:r w:rsidRPr="00BD76AF">
        <w:rPr>
          <w:szCs w:val="24"/>
        </w:rPr>
        <w:t>]</w:t>
      </w:r>
    </w:p>
    <w:p w14:paraId="7011813C" w14:textId="77777777" w:rsidR="00F332DA" w:rsidRPr="00BD76AF" w:rsidRDefault="00F332DA" w:rsidP="001F7B8F">
      <w:pPr>
        <w:rPr>
          <w:szCs w:val="24"/>
        </w:rPr>
      </w:pPr>
    </w:p>
    <w:p w14:paraId="6A97DD78" w14:textId="77777777" w:rsidR="00F332DA" w:rsidRPr="00BD76AF" w:rsidRDefault="00F332DA" w:rsidP="001F7B8F">
      <w:pPr>
        <w:rPr>
          <w:i/>
          <w:szCs w:val="24"/>
        </w:rPr>
      </w:pPr>
      <w:r w:rsidRPr="00BD76AF">
        <w:rPr>
          <w:szCs w:val="24"/>
        </w:rPr>
        <w:t>[</w:t>
      </w:r>
      <w:r w:rsidRPr="00BD76AF">
        <w:rPr>
          <w:i/>
          <w:szCs w:val="24"/>
        </w:rPr>
        <w:t>Note : Le texte en italiques (y compris les notes de bas de page) doit être retiré du document final ; il est fourni à titre indicatif en vue de faciliter la préparation du document.</w:t>
      </w:r>
      <w:r w:rsidRPr="00BD76AF">
        <w:rPr>
          <w:szCs w:val="24"/>
        </w:rPr>
        <w:t>]</w:t>
      </w:r>
    </w:p>
    <w:p w14:paraId="5F183C67" w14:textId="77777777" w:rsidR="00F332DA" w:rsidRPr="00BD76AF" w:rsidRDefault="00F332DA" w:rsidP="001F7B8F">
      <w:pPr>
        <w:rPr>
          <w:b/>
          <w:szCs w:val="24"/>
        </w:rPr>
      </w:pPr>
    </w:p>
    <w:p w14:paraId="3FD22644" w14:textId="77777777" w:rsidR="00F332DA" w:rsidRPr="00BD76AF" w:rsidRDefault="00F332DA" w:rsidP="001F7B8F">
      <w:pPr>
        <w:rPr>
          <w:b/>
          <w:szCs w:val="24"/>
        </w:rPr>
      </w:pPr>
    </w:p>
    <w:p w14:paraId="7C12D94A" w14:textId="77777777" w:rsidR="00F332DA" w:rsidRPr="00BD76AF" w:rsidRDefault="00F332DA" w:rsidP="0079334B">
      <w:pPr>
        <w:jc w:val="center"/>
        <w:rPr>
          <w:i/>
        </w:rPr>
        <w:sectPr w:rsidR="00F332DA" w:rsidRPr="00BD76AF" w:rsidSect="00154601">
          <w:headerReference w:type="first" r:id="rId102"/>
          <w:footnotePr>
            <w:numRestart w:val="eachPage"/>
          </w:footnotePr>
          <w:endnotePr>
            <w:numFmt w:val="decimal"/>
          </w:endnotePr>
          <w:pgSz w:w="12240" w:h="15840" w:code="1"/>
          <w:pgMar w:top="1412" w:right="1440" w:bottom="1412" w:left="1412" w:header="720" w:footer="720" w:gutter="0"/>
          <w:cols w:space="720"/>
          <w:noEndnote/>
        </w:sectPr>
      </w:pPr>
    </w:p>
    <w:p w14:paraId="7A26DCDF" w14:textId="77777777" w:rsidR="00F332DA" w:rsidRPr="00BD76AF" w:rsidRDefault="00F332DA" w:rsidP="0079334B">
      <w:pPr>
        <w:jc w:val="center"/>
        <w:rPr>
          <w:b/>
          <w:iCs/>
          <w:sz w:val="28"/>
          <w:szCs w:val="28"/>
          <w:lang w:eastAsia="en-US"/>
        </w:rPr>
      </w:pPr>
      <w:r w:rsidRPr="00BD76AF">
        <w:rPr>
          <w:b/>
          <w:bCs/>
          <w:iCs/>
          <w:sz w:val="28"/>
          <w:szCs w:val="28"/>
          <w:lang w:eastAsia="en-US"/>
        </w:rPr>
        <w:t>Option 2 :</w:t>
      </w:r>
      <w:r w:rsidRPr="00BD76AF">
        <w:rPr>
          <w:b/>
          <w:iCs/>
          <w:sz w:val="28"/>
          <w:szCs w:val="28"/>
          <w:lang w:eastAsia="en-US"/>
        </w:rPr>
        <w:t xml:space="preserve"> Garantie de bonne exécution (Cautionnement)</w:t>
      </w:r>
    </w:p>
    <w:p w14:paraId="3FF453EB" w14:textId="77777777" w:rsidR="00F332DA" w:rsidRPr="00BD76AF" w:rsidRDefault="00F332DA" w:rsidP="0079334B">
      <w:pPr>
        <w:jc w:val="center"/>
        <w:rPr>
          <w:b/>
          <w:iCs/>
          <w:sz w:val="28"/>
          <w:szCs w:val="28"/>
          <w:lang w:eastAsia="en-US"/>
        </w:rPr>
      </w:pPr>
    </w:p>
    <w:p w14:paraId="1B44306C"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r w:rsidRPr="00BD76AF">
        <w:rPr>
          <w:spacing w:val="-3"/>
        </w:rPr>
        <w:t>Par la présente Caution de bonne exécution (Bond), [</w:t>
      </w:r>
      <w:r w:rsidRPr="00BD76AF">
        <w:rPr>
          <w:i/>
          <w:spacing w:val="-3"/>
        </w:rPr>
        <w:t>nom et adresse de l’Entrepreneur</w:t>
      </w:r>
      <w:r w:rsidRPr="00BD76AF">
        <w:rPr>
          <w:spacing w:val="-3"/>
        </w:rPr>
        <w:t>] en tant que Donneur d’ordre (ci-après dénommé « Donneur d’ordre ») et [</w:t>
      </w:r>
      <w:r w:rsidRPr="00BD76AF">
        <w:rPr>
          <w:i/>
          <w:spacing w:val="-3"/>
        </w:rPr>
        <w:t>nom, titre juridique et adresse du garant, de la société de cautionnement ou de la compagnie d’assurances</w:t>
      </w:r>
      <w:r w:rsidRPr="00BD76AF">
        <w:rPr>
          <w:spacing w:val="-3"/>
        </w:rPr>
        <w:t>] en tant que Garant (ci-après dénommé « Garant ») sont tenus et obligés vis-à-vis de [</w:t>
      </w:r>
      <w:r w:rsidRPr="00BD76AF">
        <w:rPr>
          <w:i/>
          <w:spacing w:val="-3"/>
        </w:rPr>
        <w:t xml:space="preserve">nom et adresse du Maître d’ouvrage </w:t>
      </w:r>
      <w:r w:rsidRPr="00BD76AF">
        <w:rPr>
          <w:spacing w:val="-3"/>
        </w:rPr>
        <w:t>] en tant que Bénéficiaire (ci-après dénommé « Bénéficiaire ») pour un montant</w:t>
      </w:r>
      <w:r w:rsidRPr="00BD76AF">
        <w:rPr>
          <w:spacing w:val="-3"/>
          <w:vertAlign w:val="superscript"/>
        </w:rPr>
        <w:footnoteReference w:id="5"/>
      </w:r>
      <w:r w:rsidRPr="00BD76AF">
        <w:rPr>
          <w:spacing w:val="-3"/>
        </w:rPr>
        <w:t xml:space="preserve"> de [</w:t>
      </w:r>
      <w:r w:rsidRPr="00BD76AF">
        <w:rPr>
          <w:i/>
          <w:spacing w:val="-3"/>
        </w:rPr>
        <w:t>indiquer le montant en lettres et en chiffres</w:t>
      </w:r>
      <w:r w:rsidRPr="00BD76AF">
        <w:rPr>
          <w:spacing w:val="-3"/>
        </w:rPr>
        <w:t>], ledit montant étant payable dans les types et pourcentages de monnaies dans lesquelles le Montant du Marché est payable, le Donneur d’ordre et le Garant s’engagent solidairement par la présente, et engagent leurs héritiers, signataires, administrateurs, successeurs et assignataires.</w:t>
      </w:r>
    </w:p>
    <w:p w14:paraId="22024EBE"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p>
    <w:p w14:paraId="4D9388A5"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r w:rsidRPr="00BD76AF">
        <w:rPr>
          <w:spacing w:val="-3"/>
        </w:rPr>
        <w:t>ATTENDU QUE le Donneur d’ordre a conclu un Marché écrit avec le Bénéficiaire en date du [</w:t>
      </w:r>
      <w:r w:rsidRPr="00BD76AF">
        <w:rPr>
          <w:i/>
          <w:spacing w:val="-3"/>
        </w:rPr>
        <w:t>indiquer la date en jour/mois/année</w:t>
      </w:r>
      <w:r w:rsidRPr="00BD76AF">
        <w:rPr>
          <w:spacing w:val="-3"/>
        </w:rPr>
        <w:t>] pour [</w:t>
      </w:r>
      <w:r w:rsidRPr="00BD76AF">
        <w:rPr>
          <w:i/>
          <w:spacing w:val="-3"/>
        </w:rPr>
        <w:t>indiquer le nom du Marché et donner une brève description des Équipements et Services de montage</w:t>
      </w:r>
      <w:r w:rsidRPr="00BD76AF">
        <w:rPr>
          <w:spacing w:val="-3"/>
        </w:rPr>
        <w:t>] conformément aux documents, plans, spécifications et avenants afférents qui, dans la mesure prévue par les présentes, font, par référence, partie intégrante dudit Marché et sont ci-après dénommés le Marché.</w:t>
      </w:r>
    </w:p>
    <w:p w14:paraId="2FEDEF92"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p>
    <w:p w14:paraId="560C6E68"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r w:rsidRPr="00BD76AF">
        <w:rPr>
          <w:spacing w:val="-3"/>
        </w:rPr>
        <w:t>PAR CONSEQUENT, la Condition de cette Obligation est telle que, si le Donneur d’ordre exécute dans les meilleurs délais et loyalement ledit Marché (y compris toute modification qui y est apportée), cette Obligation sera nulle et non avenue ; dans le cas inverse, elle restera valide. Dans tous les cas où le Donneur d’ordre aura manqué à ses obligations au titre du Marché et où le Bénéficiaire aura reconnu cette situation, le Bénéficiaire ayant lui-même rempli ses propres obligations au titre du Marché, le Garant corrigera dans les meilleurs délais cette défaillance ou dans les plus brefs délais :</w:t>
      </w:r>
    </w:p>
    <w:p w14:paraId="35F478BA"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p>
    <w:p w14:paraId="7EC85574"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spacing w:val="-3"/>
        </w:rPr>
      </w:pPr>
      <w:r w:rsidRPr="00BD76AF">
        <w:rPr>
          <w:spacing w:val="-3"/>
        </w:rPr>
        <w:tab/>
        <w:t>1)</w:t>
      </w:r>
      <w:r w:rsidRPr="00BD76AF">
        <w:rPr>
          <w:spacing w:val="-3"/>
        </w:rPr>
        <w:tab/>
        <w:t>achèvera le Marché conformément à ses modalités et à ses conditions ; ou</w:t>
      </w:r>
    </w:p>
    <w:p w14:paraId="668333D5"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p>
    <w:p w14:paraId="52685369"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spacing w:val="-3"/>
        </w:rPr>
      </w:pPr>
      <w:r w:rsidRPr="00BD76AF">
        <w:rPr>
          <w:spacing w:val="-3"/>
        </w:rPr>
        <w:tab/>
        <w:t>2)</w:t>
      </w:r>
      <w:r w:rsidRPr="00BD76AF">
        <w:rPr>
          <w:spacing w:val="-3"/>
        </w:rPr>
        <w:tab/>
        <w:t>obtiendra une ou plusieurs offres auprès de soumissionnaires qualifiés pour l’achèvement du Marché conformément à ses termes et conditions, déterminera avec le Bénéficiaire le soumissionnaire dont l’offre est la moins-disante et répond pour l’essentiel aux dispositions du Dossier d’appel d’offres et établira un marché entre ledit soumissionnaire et le Bénéficiaire et mettra à disposition, au fur et à mesure de l’avancement des travaux (même s’il devait y avoir une défaillance ou une succession de défaillances, au titre du Marché ou des Marchés, d’achèvement organisés dans le cadre de ce paragraphe), les fonds nécessaires pour payer le coût de l’achèvement des travaux, déduction faite du Solde du Montant du Marché, mais ne dépassant pas, y compris d’autres coûts et dommages pour lesquels le Garant peut être responsable au titre dudit Marché, le montant stipulé dans le premier paragraphe de la présente. L’expression « Solde du Montant du Marché », telle qu’elle est utilisée dans le présent paragraphe, désigne le montant total payable par le Bénéficiaire au Donneur d’ordre au titre du Marché, déduction faite du montant réglé par le Bénéficiaire au Donneur d’ordre ; ou</w:t>
      </w:r>
    </w:p>
    <w:p w14:paraId="0754C59B"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p>
    <w:p w14:paraId="5A2D7258"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spacing w:val="-3"/>
        </w:rPr>
      </w:pPr>
      <w:r w:rsidRPr="00BD76AF">
        <w:rPr>
          <w:spacing w:val="-3"/>
        </w:rPr>
        <w:tab/>
        <w:t>3)</w:t>
      </w:r>
      <w:r w:rsidRPr="00BD76AF">
        <w:rPr>
          <w:spacing w:val="-3"/>
        </w:rPr>
        <w:tab/>
        <w:t>paiera au Bénéficiaire le montant exigé par le Bénéficiaire pour achever le Marché conformément à ses termes et conditions, à concurrence d’un montant total ne dépassant pas le montant de cette Caution.</w:t>
      </w:r>
    </w:p>
    <w:p w14:paraId="1C888C29"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p>
    <w:p w14:paraId="3D75D3D7"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r w:rsidRPr="00BD76AF">
        <w:rPr>
          <w:spacing w:val="-3"/>
        </w:rPr>
        <w:t>Le Garant ne sera pas responsable d’un montant supérieur à celui de la présente Caution.</w:t>
      </w:r>
    </w:p>
    <w:p w14:paraId="6C4CBBDD"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p>
    <w:p w14:paraId="56D0088B"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r w:rsidRPr="00BD76AF">
        <w:rPr>
          <w:spacing w:val="-3"/>
        </w:rPr>
        <w:t>Toute poursuite au titre de la présente Caution doit être engagée au plus tard une année après la Réception opérationnelle.</w:t>
      </w:r>
    </w:p>
    <w:p w14:paraId="05E48EB2"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p>
    <w:p w14:paraId="2C43001B"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r w:rsidRPr="00BD76AF">
        <w:rPr>
          <w:spacing w:val="-3"/>
        </w:rPr>
        <w:t>Aucun droit de poursuite en justice n’est acquis, du fait de la présente Caution, en faveur de quelque personne physique ou morale que ce soit, autre que le Bénéficiaire nommé dans la présente ou ses héritiers, ses exécuteurs, ses administrateurs, ses successeurs ou assignataires.</w:t>
      </w:r>
    </w:p>
    <w:p w14:paraId="2167E38D"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p>
    <w:p w14:paraId="29916699"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szCs w:val="24"/>
        </w:rPr>
      </w:pPr>
      <w:r w:rsidRPr="00BD76AF">
        <w:rPr>
          <w:spacing w:val="-3"/>
        </w:rPr>
        <w:t>En foi de quoi, le Donneur d’ordre a apposé ci-dessous sa signature et son sceau et le Garant a fai</w:t>
      </w:r>
      <w:r w:rsidRPr="00BD76AF">
        <w:rPr>
          <w:spacing w:val="-3"/>
          <w:szCs w:val="24"/>
        </w:rPr>
        <w:t xml:space="preserve">t </w:t>
      </w:r>
      <w:r w:rsidRPr="00BD76AF">
        <w:rPr>
          <w:color w:val="0C0C0C"/>
          <w:szCs w:val="24"/>
        </w:rPr>
        <w:t>a</w:t>
      </w:r>
      <w:r w:rsidRPr="00BD76AF">
        <w:rPr>
          <w:color w:val="181818"/>
          <w:szCs w:val="24"/>
        </w:rPr>
        <w:t>ppo</w:t>
      </w:r>
      <w:r w:rsidRPr="00BD76AF">
        <w:rPr>
          <w:color w:val="242424"/>
          <w:szCs w:val="24"/>
        </w:rPr>
        <w:t>s</w:t>
      </w:r>
      <w:r w:rsidRPr="00BD76AF">
        <w:rPr>
          <w:color w:val="181818"/>
          <w:szCs w:val="24"/>
        </w:rPr>
        <w:t xml:space="preserve">er </w:t>
      </w:r>
      <w:r w:rsidRPr="00BD76AF">
        <w:rPr>
          <w:color w:val="0C0C0C"/>
          <w:szCs w:val="24"/>
        </w:rPr>
        <w:t>à la</w:t>
      </w:r>
      <w:r w:rsidRPr="00BD76AF">
        <w:rPr>
          <w:color w:val="000000"/>
          <w:szCs w:val="24"/>
        </w:rPr>
        <w:t xml:space="preserve"> présente </w:t>
      </w:r>
      <w:r w:rsidRPr="00BD76AF">
        <w:rPr>
          <w:color w:val="0C0C0C"/>
          <w:szCs w:val="24"/>
        </w:rPr>
        <w:t>son</w:t>
      </w:r>
      <w:r w:rsidRPr="00BD76AF">
        <w:rPr>
          <w:color w:val="181818"/>
          <w:szCs w:val="24"/>
        </w:rPr>
        <w:t xml:space="preserve"> sc</w:t>
      </w:r>
      <w:r w:rsidRPr="00BD76AF">
        <w:rPr>
          <w:color w:val="242424"/>
          <w:szCs w:val="24"/>
        </w:rPr>
        <w:t xml:space="preserve">eau </w:t>
      </w:r>
      <w:r w:rsidRPr="00BD76AF">
        <w:rPr>
          <w:color w:val="303030"/>
          <w:szCs w:val="24"/>
        </w:rPr>
        <w:t>so</w:t>
      </w:r>
      <w:r w:rsidRPr="00BD76AF">
        <w:rPr>
          <w:szCs w:val="24"/>
        </w:rPr>
        <w:t xml:space="preserve">cial dûment attesté par la signature de son représentant légal, ce </w:t>
      </w:r>
      <w:r w:rsidRPr="00BD76AF">
        <w:rPr>
          <w:spacing w:val="-3"/>
        </w:rPr>
        <w:t>[</w:t>
      </w:r>
      <w:r w:rsidRPr="00BD76AF">
        <w:rPr>
          <w:i/>
          <w:spacing w:val="-3"/>
        </w:rPr>
        <w:t>indiquer les jour et mois</w:t>
      </w:r>
      <w:r w:rsidRPr="00BD76AF">
        <w:rPr>
          <w:spacing w:val="-3"/>
        </w:rPr>
        <w:t>] 20 [</w:t>
      </w:r>
      <w:r w:rsidRPr="00BD76AF">
        <w:rPr>
          <w:i/>
          <w:spacing w:val="-3"/>
        </w:rPr>
        <w:t>indiquer l’année</w:t>
      </w:r>
      <w:r w:rsidRPr="00BD76AF">
        <w:rPr>
          <w:spacing w:val="-3"/>
        </w:rPr>
        <w:t>]</w:t>
      </w:r>
      <w:r w:rsidRPr="00BD76AF">
        <w:rPr>
          <w:szCs w:val="24"/>
        </w:rPr>
        <w:t>.</w:t>
      </w:r>
    </w:p>
    <w:p w14:paraId="4A19D545"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p>
    <w:p w14:paraId="5C17A22A"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p>
    <w:p w14:paraId="11B506E4"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r w:rsidRPr="00BD76AF">
        <w:rPr>
          <w:spacing w:val="-3"/>
        </w:rPr>
        <w:t xml:space="preserve">SIGNÉ LE </w:t>
      </w:r>
      <w:r w:rsidRPr="00BD76AF">
        <w:rPr>
          <w:spacing w:val="-3"/>
          <w:u w:val="single"/>
        </w:rPr>
        <w:tab/>
      </w:r>
      <w:r w:rsidRPr="00BD76AF">
        <w:rPr>
          <w:spacing w:val="-3"/>
          <w:u w:val="single"/>
        </w:rPr>
        <w:tab/>
      </w:r>
      <w:r w:rsidRPr="00BD76AF">
        <w:rPr>
          <w:spacing w:val="-3"/>
          <w:u w:val="single"/>
        </w:rPr>
        <w:tab/>
      </w:r>
      <w:r w:rsidRPr="00BD76AF">
        <w:rPr>
          <w:spacing w:val="-3"/>
          <w:u w:val="single"/>
        </w:rPr>
        <w:tab/>
      </w:r>
      <w:r w:rsidRPr="00BD76AF">
        <w:rPr>
          <w:spacing w:val="-3"/>
        </w:rPr>
        <w:tab/>
      </w:r>
      <w:r w:rsidRPr="00BD76AF">
        <w:rPr>
          <w:spacing w:val="-3"/>
        </w:rPr>
        <w:tab/>
        <w:t xml:space="preserve">SIGNÉ LE </w:t>
      </w:r>
      <w:r w:rsidRPr="00BD76AF">
        <w:rPr>
          <w:spacing w:val="-3"/>
          <w:u w:val="single"/>
        </w:rPr>
        <w:tab/>
      </w:r>
      <w:r w:rsidRPr="00BD76AF">
        <w:rPr>
          <w:spacing w:val="-3"/>
          <w:u w:val="single"/>
        </w:rPr>
        <w:tab/>
      </w:r>
      <w:r w:rsidRPr="00BD76AF">
        <w:rPr>
          <w:spacing w:val="-3"/>
          <w:u w:val="single"/>
        </w:rPr>
        <w:tab/>
      </w:r>
      <w:r w:rsidRPr="00BD76AF">
        <w:rPr>
          <w:spacing w:val="-3"/>
          <w:u w:val="single"/>
        </w:rPr>
        <w:tab/>
      </w:r>
      <w:r w:rsidRPr="00BD76AF">
        <w:rPr>
          <w:spacing w:val="-3"/>
          <w:u w:val="single"/>
        </w:rPr>
        <w:tab/>
      </w:r>
      <w:r w:rsidRPr="00BD76AF">
        <w:rPr>
          <w:spacing w:val="-3"/>
          <w:u w:val="single"/>
        </w:rPr>
        <w:tab/>
      </w:r>
      <w:r w:rsidRPr="00BD76AF">
        <w:rPr>
          <w:spacing w:val="-3"/>
        </w:rPr>
        <w:t xml:space="preserve"> </w:t>
      </w:r>
    </w:p>
    <w:p w14:paraId="68D6264D"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p>
    <w:p w14:paraId="7A885121"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r w:rsidRPr="00BD76AF">
        <w:rPr>
          <w:spacing w:val="-3"/>
        </w:rPr>
        <w:t xml:space="preserve">Au nom de </w:t>
      </w:r>
      <w:r w:rsidRPr="00BD76AF">
        <w:rPr>
          <w:spacing w:val="-3"/>
          <w:u w:val="single"/>
        </w:rPr>
        <w:tab/>
      </w:r>
      <w:r w:rsidRPr="00BD76AF">
        <w:rPr>
          <w:spacing w:val="-3"/>
          <w:u w:val="single"/>
        </w:rPr>
        <w:tab/>
      </w:r>
      <w:r w:rsidRPr="00BD76AF">
        <w:rPr>
          <w:spacing w:val="-3"/>
          <w:u w:val="single"/>
        </w:rPr>
        <w:tab/>
      </w:r>
      <w:r w:rsidRPr="00BD76AF">
        <w:rPr>
          <w:spacing w:val="-3"/>
          <w:u w:val="single"/>
        </w:rPr>
        <w:tab/>
      </w:r>
      <w:r w:rsidRPr="00BD76AF">
        <w:rPr>
          <w:spacing w:val="-3"/>
        </w:rPr>
        <w:tab/>
      </w:r>
      <w:r w:rsidRPr="00BD76AF">
        <w:rPr>
          <w:spacing w:val="-3"/>
        </w:rPr>
        <w:tab/>
        <w:t xml:space="preserve">Au nom de </w:t>
      </w:r>
      <w:r w:rsidRPr="00BD76AF">
        <w:rPr>
          <w:spacing w:val="-3"/>
          <w:u w:val="single"/>
        </w:rPr>
        <w:tab/>
      </w:r>
      <w:r w:rsidRPr="00BD76AF">
        <w:rPr>
          <w:spacing w:val="-3"/>
          <w:u w:val="single"/>
        </w:rPr>
        <w:tab/>
      </w:r>
      <w:r w:rsidRPr="00BD76AF">
        <w:rPr>
          <w:spacing w:val="-3"/>
          <w:u w:val="single"/>
        </w:rPr>
        <w:tab/>
      </w:r>
      <w:r w:rsidRPr="00BD76AF">
        <w:rPr>
          <w:spacing w:val="-3"/>
          <w:u w:val="single"/>
        </w:rPr>
        <w:tab/>
      </w:r>
      <w:r w:rsidRPr="00BD76AF">
        <w:rPr>
          <w:spacing w:val="-3"/>
          <w:u w:val="single"/>
        </w:rPr>
        <w:tab/>
      </w:r>
      <w:r w:rsidRPr="00BD76AF">
        <w:rPr>
          <w:spacing w:val="-3"/>
          <w:u w:val="single"/>
        </w:rPr>
        <w:tab/>
      </w:r>
    </w:p>
    <w:p w14:paraId="5A9D542D"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p>
    <w:p w14:paraId="60B31F7B"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r w:rsidRPr="00BD76AF">
        <w:rPr>
          <w:spacing w:val="-3"/>
        </w:rPr>
        <w:t>Par</w:t>
      </w:r>
      <w:r w:rsidRPr="00BD76AF">
        <w:rPr>
          <w:spacing w:val="-3"/>
        </w:rPr>
        <w:tab/>
      </w:r>
      <w:r w:rsidRPr="00BD76AF">
        <w:rPr>
          <w:spacing w:val="-3"/>
          <w:u w:val="single"/>
        </w:rPr>
        <w:tab/>
      </w:r>
      <w:r w:rsidRPr="00BD76AF">
        <w:rPr>
          <w:spacing w:val="-3"/>
          <w:u w:val="single"/>
        </w:rPr>
        <w:tab/>
      </w:r>
      <w:r w:rsidRPr="00BD76AF">
        <w:rPr>
          <w:spacing w:val="-3"/>
          <w:u w:val="single"/>
        </w:rPr>
        <w:tab/>
      </w:r>
      <w:r w:rsidRPr="00BD76AF">
        <w:rPr>
          <w:spacing w:val="-3"/>
          <w:u w:val="single"/>
        </w:rPr>
        <w:tab/>
      </w:r>
      <w:r w:rsidRPr="00BD76AF">
        <w:rPr>
          <w:spacing w:val="-3"/>
          <w:u w:val="single"/>
        </w:rPr>
        <w:tab/>
      </w:r>
      <w:r w:rsidRPr="00BD76AF">
        <w:rPr>
          <w:spacing w:val="-3"/>
        </w:rPr>
        <w:tab/>
        <w:t xml:space="preserve">Par </w:t>
      </w:r>
      <w:r w:rsidRPr="00BD76AF">
        <w:rPr>
          <w:spacing w:val="-3"/>
          <w:u w:val="single"/>
        </w:rPr>
        <w:tab/>
      </w:r>
      <w:r w:rsidRPr="00BD76AF">
        <w:rPr>
          <w:spacing w:val="-3"/>
          <w:u w:val="single"/>
        </w:rPr>
        <w:tab/>
      </w:r>
      <w:r w:rsidRPr="00BD76AF">
        <w:rPr>
          <w:spacing w:val="-3"/>
          <w:u w:val="single"/>
        </w:rPr>
        <w:tab/>
      </w:r>
      <w:r w:rsidRPr="00BD76AF">
        <w:rPr>
          <w:spacing w:val="-3"/>
          <w:u w:val="single"/>
        </w:rPr>
        <w:tab/>
      </w:r>
      <w:r w:rsidRPr="00BD76AF">
        <w:rPr>
          <w:spacing w:val="-3"/>
          <w:u w:val="single"/>
        </w:rPr>
        <w:tab/>
      </w:r>
      <w:r w:rsidRPr="00BD76AF">
        <w:rPr>
          <w:spacing w:val="-3"/>
          <w:u w:val="single"/>
        </w:rPr>
        <w:tab/>
      </w:r>
      <w:r w:rsidRPr="00BD76AF">
        <w:rPr>
          <w:spacing w:val="-3"/>
          <w:u w:val="single"/>
        </w:rPr>
        <w:tab/>
      </w:r>
    </w:p>
    <w:p w14:paraId="52CBA96B"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p>
    <w:p w14:paraId="6A2F51C0"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r w:rsidRPr="00BD76AF">
        <w:rPr>
          <w:spacing w:val="-3"/>
        </w:rPr>
        <w:t xml:space="preserve">En capacité de </w:t>
      </w:r>
      <w:r w:rsidRPr="00BD76AF">
        <w:rPr>
          <w:spacing w:val="-3"/>
          <w:u w:val="single"/>
        </w:rPr>
        <w:tab/>
      </w:r>
      <w:r w:rsidRPr="00BD76AF">
        <w:rPr>
          <w:spacing w:val="-3"/>
          <w:u w:val="single"/>
        </w:rPr>
        <w:tab/>
      </w:r>
      <w:r w:rsidRPr="00BD76AF">
        <w:rPr>
          <w:spacing w:val="-3"/>
          <w:u w:val="single"/>
        </w:rPr>
        <w:tab/>
      </w:r>
      <w:r w:rsidRPr="00BD76AF">
        <w:rPr>
          <w:spacing w:val="-3"/>
          <w:u w:val="single"/>
        </w:rPr>
        <w:tab/>
      </w:r>
      <w:r w:rsidRPr="00BD76AF">
        <w:rPr>
          <w:spacing w:val="-3"/>
        </w:rPr>
        <w:tab/>
        <w:t xml:space="preserve">En capacité de </w:t>
      </w:r>
      <w:r w:rsidRPr="00BD76AF">
        <w:rPr>
          <w:spacing w:val="-3"/>
          <w:u w:val="single"/>
        </w:rPr>
        <w:tab/>
      </w:r>
      <w:r w:rsidRPr="00BD76AF">
        <w:rPr>
          <w:spacing w:val="-3"/>
          <w:u w:val="single"/>
        </w:rPr>
        <w:tab/>
      </w:r>
      <w:r w:rsidRPr="00BD76AF">
        <w:rPr>
          <w:spacing w:val="-3"/>
          <w:u w:val="single"/>
        </w:rPr>
        <w:tab/>
      </w:r>
      <w:r w:rsidRPr="00BD76AF">
        <w:rPr>
          <w:spacing w:val="-3"/>
          <w:u w:val="single"/>
        </w:rPr>
        <w:tab/>
      </w:r>
      <w:r w:rsidRPr="00BD76AF">
        <w:rPr>
          <w:spacing w:val="-3"/>
          <w:u w:val="single"/>
        </w:rPr>
        <w:tab/>
      </w:r>
    </w:p>
    <w:p w14:paraId="34601176"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rPr>
      </w:pPr>
    </w:p>
    <w:p w14:paraId="648AA61F"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u w:val="single"/>
        </w:rPr>
      </w:pPr>
      <w:r w:rsidRPr="00BD76AF">
        <w:rPr>
          <w:spacing w:val="-3"/>
        </w:rPr>
        <w:t>En présence de</w:t>
      </w:r>
      <w:r w:rsidRPr="00BD76AF">
        <w:rPr>
          <w:spacing w:val="-3"/>
          <w:u w:val="single"/>
        </w:rPr>
        <w:tab/>
      </w:r>
      <w:r w:rsidRPr="00BD76AF">
        <w:rPr>
          <w:spacing w:val="-3"/>
          <w:u w:val="single"/>
        </w:rPr>
        <w:tab/>
      </w:r>
      <w:r w:rsidRPr="00BD76AF">
        <w:rPr>
          <w:spacing w:val="-3"/>
          <w:u w:val="single"/>
        </w:rPr>
        <w:tab/>
      </w:r>
      <w:r w:rsidRPr="00BD76AF">
        <w:rPr>
          <w:spacing w:val="-3"/>
          <w:u w:val="single"/>
        </w:rPr>
        <w:tab/>
      </w:r>
      <w:r w:rsidRPr="00BD76AF">
        <w:rPr>
          <w:spacing w:val="-3"/>
        </w:rPr>
        <w:tab/>
        <w:t xml:space="preserve">En présence de </w:t>
      </w:r>
      <w:r w:rsidRPr="00BD76AF">
        <w:rPr>
          <w:spacing w:val="-3"/>
          <w:u w:val="single"/>
        </w:rPr>
        <w:tab/>
      </w:r>
      <w:r w:rsidRPr="00BD76AF">
        <w:rPr>
          <w:spacing w:val="-3"/>
          <w:u w:val="single"/>
        </w:rPr>
        <w:tab/>
      </w:r>
      <w:r w:rsidRPr="00BD76AF">
        <w:rPr>
          <w:spacing w:val="-3"/>
          <w:u w:val="single"/>
        </w:rPr>
        <w:tab/>
      </w:r>
      <w:r w:rsidRPr="00BD76AF">
        <w:rPr>
          <w:spacing w:val="-3"/>
          <w:u w:val="single"/>
        </w:rPr>
        <w:tab/>
      </w:r>
      <w:r w:rsidRPr="00BD76AF">
        <w:rPr>
          <w:spacing w:val="-3"/>
          <w:u w:val="single"/>
        </w:rPr>
        <w:tab/>
      </w:r>
    </w:p>
    <w:p w14:paraId="3613CD54"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u w:val="single"/>
        </w:rPr>
      </w:pPr>
    </w:p>
    <w:p w14:paraId="30B8CFBB"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u w:val="single"/>
        </w:rPr>
      </w:pPr>
    </w:p>
    <w:p w14:paraId="3D0605F6"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spacing w:val="-3"/>
          <w:u w:val="single"/>
        </w:rPr>
      </w:pPr>
    </w:p>
    <w:p w14:paraId="2B1F7DB8" w14:textId="77777777" w:rsidR="00F332DA" w:rsidRPr="00BD76AF" w:rsidRDefault="00F332DA" w:rsidP="0079334B">
      <w:pPr>
        <w:rPr>
          <w:i/>
          <w:szCs w:val="24"/>
        </w:rPr>
      </w:pPr>
      <w:r w:rsidRPr="00BD76AF">
        <w:rPr>
          <w:szCs w:val="24"/>
        </w:rPr>
        <w:t>[</w:t>
      </w:r>
      <w:r w:rsidRPr="00BD76AF">
        <w:rPr>
          <w:i/>
          <w:szCs w:val="24"/>
        </w:rPr>
        <w:t>Note : Le texte en italiques (y compris les notes de bas de page) doit être retiré du document final ; il est fourni à titre indicatif en vue de faciliter la préparation du document.</w:t>
      </w:r>
      <w:r w:rsidRPr="00BD76AF">
        <w:rPr>
          <w:szCs w:val="24"/>
        </w:rPr>
        <w:t>]</w:t>
      </w:r>
    </w:p>
    <w:p w14:paraId="7226BD07" w14:textId="77777777" w:rsidR="00F332DA" w:rsidRPr="00BD76AF" w:rsidRDefault="00F332DA" w:rsidP="0079334B">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532EB6CB" w14:textId="77777777" w:rsidR="00F332DA" w:rsidRPr="00BD76AF" w:rsidRDefault="00F332DA" w:rsidP="0079334B">
      <w:pPr>
        <w:spacing w:before="240" w:after="240"/>
        <w:rPr>
          <w:b/>
          <w:sz w:val="32"/>
        </w:rPr>
        <w:sectPr w:rsidR="00F332DA" w:rsidRPr="00BD76AF" w:rsidSect="00154601">
          <w:footnotePr>
            <w:numRestart w:val="eachPage"/>
          </w:footnotePr>
          <w:endnotePr>
            <w:numFmt w:val="decimal"/>
          </w:endnotePr>
          <w:pgSz w:w="12240" w:h="15840" w:code="1"/>
          <w:pgMar w:top="1412" w:right="1440" w:bottom="1412" w:left="1412" w:header="720" w:footer="720" w:gutter="0"/>
          <w:cols w:space="720"/>
          <w:noEndnote/>
        </w:sectPr>
      </w:pPr>
    </w:p>
    <w:p w14:paraId="42277053" w14:textId="77777777" w:rsidR="00F332DA" w:rsidRPr="00BD76AF" w:rsidRDefault="00F332DA" w:rsidP="0079334B">
      <w:pPr>
        <w:pStyle w:val="S9Header"/>
        <w:suppressAutoHyphens w:val="0"/>
        <w:overflowPunct/>
        <w:autoSpaceDE/>
        <w:autoSpaceDN/>
        <w:adjustRightInd/>
        <w:spacing w:before="120"/>
        <w:textAlignment w:val="auto"/>
        <w:rPr>
          <w:sz w:val="36"/>
          <w:lang w:eastAsia="en-US"/>
        </w:rPr>
      </w:pPr>
      <w:bookmarkStart w:id="859" w:name="_Toc104152954"/>
      <w:bookmarkStart w:id="860" w:name="_Toc156372185"/>
      <w:r w:rsidRPr="00BD76AF">
        <w:rPr>
          <w:sz w:val="36"/>
          <w:lang w:eastAsia="en-US"/>
        </w:rPr>
        <w:t>Garantie de restitution d’avance</w:t>
      </w:r>
      <w:bookmarkEnd w:id="859"/>
    </w:p>
    <w:bookmarkEnd w:id="860"/>
    <w:p w14:paraId="7E0CED2D" w14:textId="77777777" w:rsidR="00F332DA" w:rsidRPr="00BD76AF" w:rsidRDefault="00F332DA" w:rsidP="000A350A">
      <w:pPr>
        <w:spacing w:before="60" w:after="60"/>
        <w:jc w:val="center"/>
        <w:rPr>
          <w:szCs w:val="24"/>
        </w:rPr>
      </w:pPr>
      <w:r w:rsidRPr="00BD76AF">
        <w:rPr>
          <w:b/>
          <w:szCs w:val="24"/>
        </w:rPr>
        <w:t>(garantie bancaire sur demande)</w:t>
      </w:r>
    </w:p>
    <w:p w14:paraId="50F3CD0F" w14:textId="77777777" w:rsidR="00F332DA" w:rsidRPr="00BD76AF" w:rsidRDefault="00F332DA" w:rsidP="000A350A">
      <w:pPr>
        <w:spacing w:before="60" w:after="60"/>
        <w:jc w:val="center"/>
        <w:rPr>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F332DA" w:rsidRPr="00BD76AF" w14:paraId="511826DB" w14:textId="77777777" w:rsidTr="00346F6A">
        <w:tc>
          <w:tcPr>
            <w:tcW w:w="9067" w:type="dxa"/>
            <w:shd w:val="clear" w:color="auto" w:fill="auto"/>
          </w:tcPr>
          <w:p w14:paraId="340EA013" w14:textId="77777777" w:rsidR="00F332DA" w:rsidRPr="00BD76AF" w:rsidRDefault="00F332DA" w:rsidP="0079334B">
            <w:pPr>
              <w:spacing w:before="60" w:after="60"/>
              <w:jc w:val="center"/>
              <w:rPr>
                <w:b/>
                <w:szCs w:val="24"/>
              </w:rPr>
            </w:pPr>
            <w:r w:rsidRPr="00BD76AF">
              <w:rPr>
                <w:b/>
                <w:szCs w:val="24"/>
              </w:rPr>
              <w:t>Notes à l’intention du Maître d’ouvrage</w:t>
            </w:r>
          </w:p>
          <w:p w14:paraId="301FDAC3" w14:textId="77777777" w:rsidR="00F332DA" w:rsidRPr="00BD76AF" w:rsidRDefault="00F332DA" w:rsidP="0079334B">
            <w:pPr>
              <w:spacing w:before="60" w:after="60"/>
              <w:rPr>
                <w:szCs w:val="24"/>
              </w:rPr>
            </w:pPr>
            <w:r w:rsidRPr="00BD76AF">
              <w:rPr>
                <w:szCs w:val="24"/>
              </w:rPr>
              <w:t>Le Maître d’ouvrage doit prendre en compte le fait que, dans le cas d’une prorogation du Délai d’achèvement du Marché, il pourra considérer la nécessité de demander au Garant de prolonger la durée de la présente garantie. Une telle demande doit être faite par écrit avant la date d’expiration mentionnée dans la garantie.</w:t>
            </w:r>
          </w:p>
        </w:tc>
      </w:tr>
    </w:tbl>
    <w:p w14:paraId="26978C5B" w14:textId="77777777" w:rsidR="00F332DA" w:rsidRPr="00BD76AF" w:rsidRDefault="00F332DA" w:rsidP="0079334B">
      <w:pPr>
        <w:rPr>
          <w:sz w:val="32"/>
          <w:szCs w:val="32"/>
        </w:rPr>
      </w:pPr>
    </w:p>
    <w:p w14:paraId="1EF04F02" w14:textId="77777777" w:rsidR="00F332DA" w:rsidRPr="00BD76AF" w:rsidRDefault="00F332DA" w:rsidP="0079334B">
      <w:pPr>
        <w:rPr>
          <w:szCs w:val="24"/>
        </w:rPr>
      </w:pPr>
      <w:r w:rsidRPr="00BD76AF">
        <w:rPr>
          <w:szCs w:val="24"/>
        </w:rPr>
        <w:t>[</w:t>
      </w:r>
      <w:r w:rsidRPr="00BD76AF">
        <w:rPr>
          <w:i/>
          <w:szCs w:val="24"/>
        </w:rPr>
        <w:t>papier à en-tête du Garant ou code Swift</w:t>
      </w:r>
      <w:r w:rsidRPr="00BD76AF">
        <w:rPr>
          <w:szCs w:val="24"/>
        </w:rPr>
        <w:t>]</w:t>
      </w:r>
    </w:p>
    <w:p w14:paraId="0413D24D" w14:textId="77777777" w:rsidR="00F332DA" w:rsidRPr="00BD76AF" w:rsidRDefault="00F332DA" w:rsidP="001F7B8F">
      <w:pPr>
        <w:rPr>
          <w:szCs w:val="24"/>
        </w:rPr>
      </w:pPr>
    </w:p>
    <w:p w14:paraId="07778DE5" w14:textId="77777777" w:rsidR="00F332DA" w:rsidRPr="00BD76AF" w:rsidRDefault="00F332DA" w:rsidP="001F7B8F">
      <w:pPr>
        <w:rPr>
          <w:szCs w:val="24"/>
        </w:rPr>
      </w:pPr>
      <w:r w:rsidRPr="00BD76AF">
        <w:rPr>
          <w:b/>
          <w:szCs w:val="24"/>
        </w:rPr>
        <w:t>Bénéficiaire :</w:t>
      </w:r>
      <w:r w:rsidRPr="00BD76AF">
        <w:rPr>
          <w:szCs w:val="24"/>
        </w:rPr>
        <w:t xml:space="preserve"> ____________ [</w:t>
      </w:r>
      <w:r w:rsidRPr="00BD76AF">
        <w:rPr>
          <w:i/>
          <w:szCs w:val="24"/>
        </w:rPr>
        <w:t>nom et adresse du Maître d’ouvrage</w:t>
      </w:r>
      <w:r w:rsidRPr="00BD76AF">
        <w:rPr>
          <w:szCs w:val="24"/>
        </w:rPr>
        <w:t xml:space="preserve">] </w:t>
      </w:r>
    </w:p>
    <w:p w14:paraId="108B4D55" w14:textId="77777777" w:rsidR="00F332DA" w:rsidRPr="00BD76AF" w:rsidRDefault="00F332DA" w:rsidP="001F7B8F">
      <w:pPr>
        <w:rPr>
          <w:szCs w:val="24"/>
        </w:rPr>
      </w:pPr>
    </w:p>
    <w:p w14:paraId="4B225FC3" w14:textId="77777777" w:rsidR="00F332DA" w:rsidRPr="00BD76AF" w:rsidRDefault="00F332DA" w:rsidP="001F7B8F">
      <w:pPr>
        <w:rPr>
          <w:szCs w:val="24"/>
        </w:rPr>
      </w:pPr>
      <w:r w:rsidRPr="00BD76AF">
        <w:rPr>
          <w:b/>
          <w:szCs w:val="24"/>
        </w:rPr>
        <w:t>Date :</w:t>
      </w:r>
      <w:r w:rsidRPr="00BD76AF">
        <w:rPr>
          <w:szCs w:val="24"/>
        </w:rPr>
        <w:t xml:space="preserve"> __________________ [</w:t>
      </w:r>
      <w:r w:rsidRPr="00BD76AF">
        <w:rPr>
          <w:i/>
          <w:szCs w:val="24"/>
        </w:rPr>
        <w:t>date</w:t>
      </w:r>
      <w:r w:rsidRPr="00BD76AF">
        <w:rPr>
          <w:szCs w:val="24"/>
        </w:rPr>
        <w:t>]</w:t>
      </w:r>
    </w:p>
    <w:p w14:paraId="00C0AA4A" w14:textId="77777777" w:rsidR="00F332DA" w:rsidRPr="00BD76AF" w:rsidRDefault="00F332DA" w:rsidP="001F7B8F">
      <w:pPr>
        <w:rPr>
          <w:szCs w:val="24"/>
        </w:rPr>
      </w:pPr>
    </w:p>
    <w:p w14:paraId="7A518251" w14:textId="77777777" w:rsidR="00F332DA" w:rsidRPr="00BD76AF" w:rsidRDefault="00F332DA" w:rsidP="001F7B8F">
      <w:pPr>
        <w:rPr>
          <w:szCs w:val="24"/>
        </w:rPr>
      </w:pPr>
      <w:r w:rsidRPr="00BD76AF">
        <w:rPr>
          <w:b/>
          <w:szCs w:val="24"/>
        </w:rPr>
        <w:t>Garantie de restitution d’avance n° :</w:t>
      </w:r>
      <w:r w:rsidRPr="00BD76AF">
        <w:rPr>
          <w:szCs w:val="24"/>
        </w:rPr>
        <w:t xml:space="preserve"> ________ [</w:t>
      </w:r>
      <w:r w:rsidRPr="00BD76AF">
        <w:rPr>
          <w:i/>
          <w:szCs w:val="24"/>
        </w:rPr>
        <w:t>indiquer le numéro de référence de la garantie</w:t>
      </w:r>
      <w:r w:rsidRPr="00BD76AF">
        <w:rPr>
          <w:szCs w:val="24"/>
        </w:rPr>
        <w:t>]</w:t>
      </w:r>
    </w:p>
    <w:p w14:paraId="2401486D" w14:textId="77777777" w:rsidR="00F332DA" w:rsidRPr="00BD76AF" w:rsidRDefault="00F332DA" w:rsidP="001F7B8F">
      <w:pPr>
        <w:rPr>
          <w:szCs w:val="24"/>
        </w:rPr>
      </w:pPr>
    </w:p>
    <w:p w14:paraId="60444B4C" w14:textId="77777777" w:rsidR="00F332DA" w:rsidRPr="00BD76AF" w:rsidRDefault="00F332DA" w:rsidP="001F7B8F">
      <w:pPr>
        <w:rPr>
          <w:szCs w:val="24"/>
        </w:rPr>
      </w:pPr>
      <w:r w:rsidRPr="00BD76AF">
        <w:rPr>
          <w:b/>
          <w:szCs w:val="24"/>
        </w:rPr>
        <w:t>Garant :</w:t>
      </w:r>
      <w:r w:rsidRPr="00BD76AF">
        <w:rPr>
          <w:szCs w:val="24"/>
        </w:rPr>
        <w:t xml:space="preserve"> ______ [</w:t>
      </w:r>
      <w:r w:rsidRPr="00BD76AF">
        <w:rPr>
          <w:i/>
          <w:szCs w:val="24"/>
        </w:rPr>
        <w:t>nom et adresse de la banque émettrice, sauf si indiqués sur le papier à en-tête</w:t>
      </w:r>
      <w:r w:rsidRPr="00BD76AF">
        <w:rPr>
          <w:szCs w:val="24"/>
        </w:rPr>
        <w:t>]</w:t>
      </w:r>
    </w:p>
    <w:p w14:paraId="37098A50" w14:textId="77777777" w:rsidR="00F332DA" w:rsidRPr="00BD76AF" w:rsidRDefault="00F332DA" w:rsidP="001F7B8F">
      <w:pPr>
        <w:spacing w:after="200"/>
        <w:rPr>
          <w:szCs w:val="24"/>
        </w:rPr>
      </w:pPr>
    </w:p>
    <w:p w14:paraId="040BE187" w14:textId="77777777" w:rsidR="00F332DA" w:rsidRPr="00BD76AF" w:rsidRDefault="00F332DA" w:rsidP="001F7B8F">
      <w:pPr>
        <w:spacing w:after="200"/>
        <w:rPr>
          <w:szCs w:val="24"/>
        </w:rPr>
      </w:pPr>
      <w:r w:rsidRPr="00BD76AF">
        <w:rPr>
          <w:szCs w:val="24"/>
        </w:rPr>
        <w:t>Nous avons été informés que ___________ [</w:t>
      </w:r>
      <w:r w:rsidRPr="00BD76AF">
        <w:rPr>
          <w:i/>
          <w:szCs w:val="24"/>
        </w:rPr>
        <w:t>nom de l’Entrepreneur, en cas de Groupement, nom du Groupement</w:t>
      </w:r>
      <w:r w:rsidRPr="00BD76AF">
        <w:rPr>
          <w:szCs w:val="24"/>
        </w:rPr>
        <w:t>] (ci-après dénommé « le Donneur d’ordre ») a conclu avec le Bénéficiaire le Marché n° ____ [</w:t>
      </w:r>
      <w:r w:rsidRPr="00BD76AF">
        <w:rPr>
          <w:i/>
          <w:szCs w:val="24"/>
        </w:rPr>
        <w:t>numéro du Marché</w:t>
      </w:r>
      <w:r w:rsidRPr="00BD76AF">
        <w:rPr>
          <w:szCs w:val="24"/>
        </w:rPr>
        <w:t>] en date du ____ [</w:t>
      </w:r>
      <w:r w:rsidRPr="00BD76AF">
        <w:rPr>
          <w:i/>
          <w:szCs w:val="24"/>
        </w:rPr>
        <w:t>la date</w:t>
      </w:r>
      <w:r w:rsidRPr="00BD76AF">
        <w:rPr>
          <w:szCs w:val="24"/>
        </w:rPr>
        <w:t>] pour l’exécution de ________________ [</w:t>
      </w:r>
      <w:r w:rsidRPr="00BD76AF">
        <w:rPr>
          <w:i/>
          <w:szCs w:val="24"/>
        </w:rPr>
        <w:t>intitulé du Marché et brève description des Installations</w:t>
      </w:r>
      <w:r w:rsidRPr="00BD76AF">
        <w:rPr>
          <w:szCs w:val="24"/>
        </w:rPr>
        <w:t>] (ci-après dénommé « le Marché »).</w:t>
      </w:r>
    </w:p>
    <w:p w14:paraId="56D7AFF0" w14:textId="77777777" w:rsidR="00F332DA" w:rsidRPr="00BD76AF" w:rsidRDefault="00F332DA" w:rsidP="001F7B8F">
      <w:pPr>
        <w:suppressAutoHyphens w:val="0"/>
        <w:overflowPunct/>
        <w:autoSpaceDE/>
        <w:autoSpaceDN/>
        <w:adjustRightInd/>
        <w:spacing w:before="100" w:beforeAutospacing="1" w:after="100" w:afterAutospacing="1"/>
        <w:textAlignment w:val="auto"/>
        <w:rPr>
          <w:szCs w:val="24"/>
        </w:rPr>
      </w:pPr>
      <w:r w:rsidRPr="00BD76AF">
        <w:rPr>
          <w:szCs w:val="24"/>
        </w:rPr>
        <w:t>De plus nous comprenons qu’en vertu des conditions du Marché, une avance d’un montant de __________ (___) [</w:t>
      </w:r>
      <w:r w:rsidRPr="00BD76AF">
        <w:rPr>
          <w:i/>
          <w:szCs w:val="24"/>
        </w:rPr>
        <w:t>insérer la somme en chiffres et en lettres, et indiquer la monnaie</w:t>
      </w:r>
      <w:r w:rsidRPr="00BD76AF">
        <w:rPr>
          <w:szCs w:val="24"/>
        </w:rPr>
        <w:t>] est versée contre une garantie de restitution d’avance.</w:t>
      </w:r>
    </w:p>
    <w:p w14:paraId="2B85775C" w14:textId="77777777" w:rsidR="00F332DA" w:rsidRPr="00BD76AF" w:rsidRDefault="00F332DA" w:rsidP="0079334B">
      <w:pPr>
        <w:widowControl w:val="0"/>
        <w:suppressAutoHyphens w:val="0"/>
        <w:overflowPunct/>
        <w:autoSpaceDE/>
        <w:autoSpaceDN/>
        <w:adjustRightInd/>
        <w:textAlignment w:val="auto"/>
        <w:rPr>
          <w:szCs w:val="24"/>
        </w:rPr>
      </w:pPr>
      <w:r w:rsidRPr="00BD76AF">
        <w:rPr>
          <w:szCs w:val="24"/>
        </w:rPr>
        <w:t>À la demande du Donneur d’ordre, nous prenons, en tant que Garant, l’engagement irrévocable de payer au Bénéficiaire toute somme dans la limite du montant de la garantie qui s’élève à ______ (___) [</w:t>
      </w:r>
      <w:r w:rsidRPr="00BD76AF">
        <w:rPr>
          <w:i/>
          <w:szCs w:val="24"/>
        </w:rPr>
        <w:t>insérer la somme en chiffres et en lettres, et indiquer la monnaie</w:t>
      </w:r>
      <w:r w:rsidRPr="00BD76AF">
        <w:rPr>
          <w:szCs w:val="24"/>
        </w:rPr>
        <w:t>]</w:t>
      </w:r>
      <w:r w:rsidRPr="00BD76AF">
        <w:rPr>
          <w:rStyle w:val="a9"/>
          <w:szCs w:val="24"/>
        </w:rPr>
        <w:footnoteReference w:id="6"/>
      </w:r>
      <w:r w:rsidRPr="00BD76AF">
        <w:rPr>
          <w:szCs w:val="24"/>
        </w:rPr>
        <w:t xml:space="preserve"> sur réception de notre part d’une demande en bonne et due forme du Bénéficiaire, étayée d’une déclaration du Bénéficiaire directement incluse dans la demande, ou dans un document séparé signé joint à la demande, </w:t>
      </w:r>
      <w:r w:rsidRPr="00BD76AF">
        <w:rPr>
          <w:szCs w:val="24"/>
          <w:lang w:eastAsia="ja-JP"/>
        </w:rPr>
        <w:t>ou l’identifiant et indiquant</w:t>
      </w:r>
      <w:r w:rsidRPr="00BD76AF">
        <w:rPr>
          <w:szCs w:val="24"/>
        </w:rPr>
        <w:t xml:space="preserve"> que le Donneur d’ordre a utilisé l’avance à des fins autres que l’exécution des travaux sur les Installations.</w:t>
      </w:r>
    </w:p>
    <w:p w14:paraId="3A40D0D9" w14:textId="77777777" w:rsidR="00F332DA" w:rsidRPr="00BD76AF" w:rsidRDefault="00F332DA" w:rsidP="0079334B">
      <w:pPr>
        <w:widowControl w:val="0"/>
        <w:suppressAutoHyphens w:val="0"/>
        <w:overflowPunct/>
        <w:autoSpaceDE/>
        <w:autoSpaceDN/>
        <w:adjustRightInd/>
        <w:textAlignment w:val="auto"/>
        <w:rPr>
          <w:rFonts w:eastAsia="游ゴシック"/>
          <w:color w:val="333333"/>
          <w:kern w:val="2"/>
          <w:szCs w:val="24"/>
          <w:shd w:val="clear" w:color="auto" w:fill="FAFBFC"/>
          <w:lang w:eastAsia="ja-JP"/>
        </w:rPr>
      </w:pPr>
    </w:p>
    <w:p w14:paraId="6398F929" w14:textId="77777777" w:rsidR="00F332DA" w:rsidRPr="00BD76AF" w:rsidRDefault="00F332DA" w:rsidP="001F7B8F">
      <w:pPr>
        <w:spacing w:after="200"/>
        <w:rPr>
          <w:szCs w:val="24"/>
        </w:rPr>
      </w:pPr>
      <w:r w:rsidRPr="00BD76AF">
        <w:rPr>
          <w:szCs w:val="24"/>
        </w:rPr>
        <w:t>Toute demande au titre de la présente garantie doit être accompagnée par une attestation de la banque du Bénéficiaire indiquant que l’avance mentionnée ci-dessus a été créditée au compte bancaire n° [</w:t>
      </w:r>
      <w:r w:rsidRPr="00BD76AF">
        <w:rPr>
          <w:i/>
          <w:szCs w:val="24"/>
        </w:rPr>
        <w:t>indiquer le</w:t>
      </w:r>
      <w:r w:rsidRPr="00BD76AF">
        <w:rPr>
          <w:szCs w:val="24"/>
        </w:rPr>
        <w:t xml:space="preserve"> </w:t>
      </w:r>
      <w:r w:rsidRPr="00BD76AF">
        <w:rPr>
          <w:i/>
          <w:szCs w:val="24"/>
        </w:rPr>
        <w:t>numéro du compte</w:t>
      </w:r>
      <w:r w:rsidRPr="00BD76AF">
        <w:rPr>
          <w:szCs w:val="24"/>
        </w:rPr>
        <w:t>] du Donneur d’ordre domicilié à [</w:t>
      </w:r>
      <w:r w:rsidRPr="00BD76AF">
        <w:rPr>
          <w:i/>
          <w:szCs w:val="24"/>
        </w:rPr>
        <w:t>nom et adresse de la banque du Donneur d’ordre</w:t>
      </w:r>
      <w:r w:rsidRPr="00BD76AF">
        <w:rPr>
          <w:szCs w:val="24"/>
        </w:rPr>
        <w:t>].</w:t>
      </w:r>
    </w:p>
    <w:p w14:paraId="7E9B7C0C" w14:textId="77777777" w:rsidR="00F332DA" w:rsidRPr="00BD76AF" w:rsidRDefault="00F332DA" w:rsidP="007146CB">
      <w:pPr>
        <w:ind w:right="43"/>
        <w:rPr>
          <w:szCs w:val="24"/>
        </w:rPr>
      </w:pPr>
      <w:r w:rsidRPr="00BD76AF">
        <w:rPr>
          <w:szCs w:val="24"/>
        </w:rPr>
        <w:t>Le montant maximum de la présente garantie doit être réduit au fur et à mesure au prorata de la valeur des travaux sur les Installations exécutés par l’Entrepreneur, comme indiqué dans les copies des demandes de paiement approuvées qui devront nous être présentées. La présente garantie expire et doit nous être renvoyée au plus tard à la première des dates suivantes : à la réception des documents indiquant que le Montant initial du Marché (à l’exclusion des sommes provisionnelles) a été approuvé pour paiement, ou le [</w:t>
      </w:r>
      <w:r w:rsidRPr="00BD76AF">
        <w:rPr>
          <w:i/>
          <w:szCs w:val="24"/>
        </w:rPr>
        <w:t>indiquer la date en jour/mois/année</w:t>
      </w:r>
      <w:r w:rsidRPr="00BD76AF">
        <w:rPr>
          <w:szCs w:val="24"/>
        </w:rPr>
        <w:t>]</w:t>
      </w:r>
      <w:r w:rsidRPr="00BD76AF">
        <w:rPr>
          <w:rStyle w:val="a9"/>
          <w:szCs w:val="24"/>
        </w:rPr>
        <w:footnoteReference w:customMarkFollows="1" w:id="7"/>
        <w:t>2</w:t>
      </w:r>
      <w:r w:rsidRPr="00BD76AF">
        <w:rPr>
          <w:szCs w:val="24"/>
        </w:rPr>
        <w:t>. En conséquence, toute demande de paiement au titre de cette garantie doit être reçue par le Garant à cette date au plus tard, à l’adresse figurant ci-dessus.</w:t>
      </w:r>
    </w:p>
    <w:p w14:paraId="2DF2D69D" w14:textId="77777777" w:rsidR="00F332DA" w:rsidRPr="00BD76AF" w:rsidRDefault="00F332DA" w:rsidP="007146CB">
      <w:pPr>
        <w:ind w:right="43"/>
        <w:rPr>
          <w:szCs w:val="24"/>
        </w:rPr>
      </w:pPr>
    </w:p>
    <w:p w14:paraId="5820216C" w14:textId="77777777" w:rsidR="00F332DA" w:rsidRPr="00BD76AF" w:rsidRDefault="00F332DA" w:rsidP="00B84655">
      <w:pPr>
        <w:rPr>
          <w:szCs w:val="24"/>
          <w:lang w:eastAsia="ja-JP"/>
        </w:rPr>
      </w:pPr>
      <w:r w:rsidRPr="00BD76AF">
        <w:rPr>
          <w:szCs w:val="24"/>
        </w:rPr>
        <w:t>La présente garantie est régie par les Règles Uniformes de la CCI relatives aux Garanties sur Demande (RUGD), révisées en 2010, Publication CCI n° 758, à l’exception de l’article 15(a) dont l’application est écartée.</w:t>
      </w:r>
    </w:p>
    <w:p w14:paraId="63AF04A6" w14:textId="77777777" w:rsidR="00F332DA" w:rsidRPr="00BD76AF" w:rsidRDefault="00F332DA" w:rsidP="001F7B8F">
      <w:pPr>
        <w:rPr>
          <w:szCs w:val="24"/>
        </w:rPr>
      </w:pPr>
    </w:p>
    <w:p w14:paraId="4C523B08" w14:textId="77777777" w:rsidR="00F332DA" w:rsidRPr="00BD76AF" w:rsidRDefault="00F332DA" w:rsidP="001F7B8F">
      <w:pPr>
        <w:rPr>
          <w:szCs w:val="24"/>
        </w:rPr>
      </w:pPr>
    </w:p>
    <w:p w14:paraId="09AF7CDF" w14:textId="77777777" w:rsidR="00F332DA" w:rsidRPr="00BD76AF" w:rsidRDefault="00F332DA" w:rsidP="001F7B8F">
      <w:pPr>
        <w:rPr>
          <w:szCs w:val="24"/>
        </w:rPr>
      </w:pPr>
      <w:r w:rsidRPr="00BD76AF">
        <w:rPr>
          <w:szCs w:val="24"/>
        </w:rPr>
        <w:t>__________</w:t>
      </w:r>
    </w:p>
    <w:p w14:paraId="2C563E1F" w14:textId="77777777" w:rsidR="00F332DA" w:rsidRPr="00BD76AF" w:rsidRDefault="00F332DA" w:rsidP="001F7B8F">
      <w:pPr>
        <w:rPr>
          <w:b/>
          <w:szCs w:val="24"/>
        </w:rPr>
      </w:pPr>
      <w:r w:rsidRPr="00BD76AF">
        <w:rPr>
          <w:szCs w:val="24"/>
        </w:rPr>
        <w:t>[</w:t>
      </w:r>
      <w:r w:rsidRPr="00BD76AF">
        <w:rPr>
          <w:i/>
          <w:szCs w:val="24"/>
        </w:rPr>
        <w:t>Signature</w:t>
      </w:r>
      <w:r w:rsidRPr="00BD76AF">
        <w:rPr>
          <w:szCs w:val="24"/>
        </w:rPr>
        <w:t>]</w:t>
      </w:r>
    </w:p>
    <w:p w14:paraId="0399ED34" w14:textId="77777777" w:rsidR="00F332DA" w:rsidRPr="00BD76AF" w:rsidRDefault="00F332DA" w:rsidP="001F7B8F">
      <w:pPr>
        <w:tabs>
          <w:tab w:val="right" w:pos="9000"/>
        </w:tabs>
        <w:rPr>
          <w:b/>
          <w:i/>
          <w:szCs w:val="24"/>
        </w:rPr>
      </w:pPr>
    </w:p>
    <w:p w14:paraId="432D915F" w14:textId="77777777" w:rsidR="00F332DA" w:rsidRPr="00BD76AF" w:rsidRDefault="00F332DA" w:rsidP="001F7B8F">
      <w:pPr>
        <w:tabs>
          <w:tab w:val="right" w:pos="9000"/>
        </w:tabs>
        <w:rPr>
          <w:b/>
          <w:szCs w:val="24"/>
          <w:lang w:eastAsia="ja-JP"/>
        </w:rPr>
      </w:pPr>
    </w:p>
    <w:p w14:paraId="462ECD2B" w14:textId="77777777" w:rsidR="00F332DA" w:rsidRPr="00BD76AF" w:rsidRDefault="00F332DA" w:rsidP="001F7B8F">
      <w:pPr>
        <w:tabs>
          <w:tab w:val="right" w:pos="9000"/>
        </w:tabs>
        <w:rPr>
          <w:szCs w:val="24"/>
        </w:rPr>
      </w:pPr>
      <w:r w:rsidRPr="00BD76AF">
        <w:rPr>
          <w:szCs w:val="24"/>
        </w:rPr>
        <w:t>[</w:t>
      </w:r>
      <w:r w:rsidRPr="00BD76AF">
        <w:rPr>
          <w:i/>
          <w:szCs w:val="24"/>
        </w:rPr>
        <w:t>Note : Le texte en italiques (y compris les notes de bas de page) doit être retiré du document final ; il est fourni à titre indicatif en vue de faciliter la préparation du document.</w:t>
      </w:r>
      <w:r w:rsidRPr="00BD76AF">
        <w:rPr>
          <w:szCs w:val="24"/>
        </w:rPr>
        <w:t>]</w:t>
      </w:r>
    </w:p>
    <w:p w14:paraId="0C81B46E" w14:textId="77777777" w:rsidR="00F332DA" w:rsidRPr="00BD76AF" w:rsidRDefault="00F332DA" w:rsidP="001F7B8F">
      <w:pPr>
        <w:tabs>
          <w:tab w:val="right" w:pos="9000"/>
        </w:tabs>
        <w:rPr>
          <w:szCs w:val="24"/>
        </w:rPr>
      </w:pPr>
    </w:p>
    <w:p w14:paraId="66F39036" w14:textId="77777777" w:rsidR="00F332DA" w:rsidRPr="00BD76AF" w:rsidRDefault="00F332DA" w:rsidP="001F7B8F">
      <w:pPr>
        <w:tabs>
          <w:tab w:val="right" w:pos="9000"/>
        </w:tabs>
        <w:rPr>
          <w:szCs w:val="24"/>
        </w:rPr>
        <w:sectPr w:rsidR="00F332DA" w:rsidRPr="00BD76AF" w:rsidSect="00F332DA">
          <w:footerReference w:type="default" r:id="rId103"/>
          <w:footnotePr>
            <w:numRestart w:val="eachPage"/>
          </w:footnotePr>
          <w:type w:val="nextColumn"/>
          <w:pgSz w:w="12240" w:h="15840" w:code="1"/>
          <w:pgMar w:top="1440" w:right="1440" w:bottom="1440" w:left="1797" w:header="720" w:footer="720" w:gutter="0"/>
          <w:cols w:space="720"/>
        </w:sectPr>
      </w:pPr>
    </w:p>
    <w:p w14:paraId="28F066EC" w14:textId="77777777" w:rsidR="00F332DA" w:rsidRPr="00BD76AF" w:rsidRDefault="00F332DA" w:rsidP="001B1072">
      <w:pPr>
        <w:rPr>
          <w:lang w:eastAsia="ja-JP"/>
        </w:rPr>
      </w:pPr>
    </w:p>
    <w:p w14:paraId="29A93684" w14:textId="77777777" w:rsidR="00F332DA" w:rsidRPr="00BD76AF" w:rsidRDefault="00F332DA" w:rsidP="001B1072">
      <w:pPr>
        <w:pStyle w:val="S9Header"/>
        <w:jc w:val="both"/>
        <w:rPr>
          <w:lang w:eastAsia="ja-JP"/>
        </w:rPr>
      </w:pPr>
    </w:p>
    <w:p w14:paraId="5B9D2411" w14:textId="77777777" w:rsidR="00F332DA" w:rsidRPr="00F332DA" w:rsidRDefault="00F332DA" w:rsidP="001B1072">
      <w:pPr>
        <w:pStyle w:val="S9Header"/>
        <w:jc w:val="both"/>
        <w:rPr>
          <w:lang w:eastAsia="ja-JP"/>
        </w:rPr>
      </w:pPr>
    </w:p>
    <w:p w14:paraId="367D9045" w14:textId="77777777" w:rsidR="00F332DA" w:rsidRPr="00BD76AF" w:rsidRDefault="00F332DA" w:rsidP="001B1072">
      <w:pPr>
        <w:pStyle w:val="S9Header"/>
        <w:jc w:val="both"/>
        <w:rPr>
          <w:lang w:eastAsia="ja-JP"/>
        </w:rPr>
      </w:pPr>
    </w:p>
    <w:p w14:paraId="0A1476B8" w14:textId="77777777" w:rsidR="00F332DA" w:rsidRPr="00BD76AF" w:rsidRDefault="00F332DA" w:rsidP="001B1072">
      <w:pPr>
        <w:pStyle w:val="S9Header"/>
        <w:jc w:val="both"/>
        <w:rPr>
          <w:lang w:eastAsia="ja-JP"/>
        </w:rPr>
      </w:pPr>
    </w:p>
    <w:p w14:paraId="4E1B278A" w14:textId="77777777" w:rsidR="00F332DA" w:rsidRPr="00BD76AF" w:rsidRDefault="00F332DA" w:rsidP="001B1072">
      <w:pPr>
        <w:pStyle w:val="S9Header"/>
        <w:jc w:val="both"/>
        <w:rPr>
          <w:lang w:eastAsia="ja-JP"/>
        </w:rPr>
      </w:pPr>
    </w:p>
    <w:p w14:paraId="02C8C9E7" w14:textId="77777777" w:rsidR="00F332DA" w:rsidRPr="00BD76AF" w:rsidRDefault="00F332DA" w:rsidP="001B1072">
      <w:pPr>
        <w:pStyle w:val="S9Header"/>
        <w:jc w:val="both"/>
        <w:rPr>
          <w:lang w:eastAsia="ja-JP"/>
        </w:rPr>
      </w:pPr>
    </w:p>
    <w:p w14:paraId="6BF6648E" w14:textId="77777777" w:rsidR="00F332DA" w:rsidRPr="00BD76AF" w:rsidRDefault="00F332DA" w:rsidP="001B1072">
      <w:pPr>
        <w:pStyle w:val="S9Header"/>
        <w:jc w:val="both"/>
        <w:rPr>
          <w:lang w:eastAsia="ja-JP"/>
        </w:rPr>
      </w:pPr>
    </w:p>
    <w:p w14:paraId="667C79EC" w14:textId="77777777" w:rsidR="00F332DA" w:rsidRPr="00BD76AF" w:rsidRDefault="00F332DA" w:rsidP="001B1072">
      <w:pPr>
        <w:pStyle w:val="S9Header"/>
        <w:jc w:val="both"/>
        <w:rPr>
          <w:lang w:eastAsia="ja-JP"/>
        </w:rPr>
      </w:pPr>
    </w:p>
    <w:p w14:paraId="505E3783" w14:textId="77777777" w:rsidR="00F332DA" w:rsidRPr="00BD76AF" w:rsidRDefault="00F332DA" w:rsidP="001B1072">
      <w:pPr>
        <w:pStyle w:val="S9Header"/>
        <w:jc w:val="both"/>
        <w:rPr>
          <w:lang w:eastAsia="ja-JP"/>
        </w:rPr>
      </w:pPr>
    </w:p>
    <w:p w14:paraId="49848231" w14:textId="77777777" w:rsidR="00F332DA" w:rsidRPr="00BD76AF" w:rsidRDefault="00F332DA" w:rsidP="001B1072">
      <w:pPr>
        <w:pStyle w:val="S9Header"/>
        <w:jc w:val="both"/>
        <w:rPr>
          <w:lang w:eastAsia="ja-JP"/>
        </w:rPr>
      </w:pPr>
    </w:p>
    <w:p w14:paraId="7B837753" w14:textId="77777777" w:rsidR="00F332DA" w:rsidRPr="00BD76AF" w:rsidRDefault="00F332DA" w:rsidP="001B1072">
      <w:pPr>
        <w:pStyle w:val="S9Header"/>
        <w:jc w:val="both"/>
        <w:rPr>
          <w:lang w:eastAsia="ja-JP"/>
        </w:rPr>
      </w:pPr>
    </w:p>
    <w:p w14:paraId="7D85B012" w14:textId="77777777" w:rsidR="00F332DA" w:rsidRPr="00BD76AF" w:rsidRDefault="00F332DA" w:rsidP="001B1072">
      <w:pPr>
        <w:pStyle w:val="S9Header"/>
        <w:jc w:val="both"/>
        <w:rPr>
          <w:lang w:eastAsia="ja-JP"/>
        </w:rPr>
      </w:pPr>
    </w:p>
    <w:p w14:paraId="0CC0ABBC" w14:textId="77777777" w:rsidR="00F332DA" w:rsidRPr="00BD76AF" w:rsidRDefault="00F332DA" w:rsidP="001B1072">
      <w:pPr>
        <w:pStyle w:val="S9Header"/>
        <w:jc w:val="both"/>
        <w:rPr>
          <w:lang w:eastAsia="ja-JP"/>
        </w:rPr>
      </w:pPr>
    </w:p>
    <w:p w14:paraId="56891540" w14:textId="77777777" w:rsidR="00F332DA" w:rsidRPr="00BD76AF" w:rsidRDefault="00F332DA" w:rsidP="001B1072">
      <w:pPr>
        <w:pStyle w:val="S9Header"/>
        <w:jc w:val="both"/>
        <w:rPr>
          <w:lang w:eastAsia="ja-JP"/>
        </w:rPr>
      </w:pPr>
    </w:p>
    <w:p w14:paraId="64011CCD" w14:textId="77777777" w:rsidR="00F332DA" w:rsidRPr="00BD76AF" w:rsidRDefault="00F332DA" w:rsidP="001B1072">
      <w:pPr>
        <w:pStyle w:val="S9Header"/>
        <w:jc w:val="both"/>
        <w:rPr>
          <w:lang w:eastAsia="ja-JP"/>
        </w:rPr>
      </w:pPr>
    </w:p>
    <w:p w14:paraId="19BADB89" w14:textId="77777777" w:rsidR="00F332DA" w:rsidRPr="00BD76AF" w:rsidRDefault="00F332DA" w:rsidP="001B10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eastAsia="ja-JP"/>
        </w:rPr>
      </w:pPr>
    </w:p>
    <w:p w14:paraId="3084E24C" w14:textId="77777777" w:rsidR="00F332DA" w:rsidRPr="00BD76AF" w:rsidRDefault="00F332DA" w:rsidP="001B1072">
      <w:pPr>
        <w:jc w:val="center"/>
      </w:pPr>
      <w:r w:rsidRPr="00BD76AF">
        <w:rPr>
          <w:noProof/>
          <w:lang w:val="en-US" w:eastAsia="ja-JP"/>
        </w:rPr>
        <w:drawing>
          <wp:inline distT="0" distB="0" distL="0" distR="0" wp14:anchorId="31A7B8A1" wp14:editId="0A62C90A">
            <wp:extent cx="3329940" cy="48768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329940" cy="487680"/>
                    </a:xfrm>
                    <a:prstGeom prst="rect">
                      <a:avLst/>
                    </a:prstGeom>
                    <a:noFill/>
                    <a:ln>
                      <a:noFill/>
                    </a:ln>
                  </pic:spPr>
                </pic:pic>
              </a:graphicData>
            </a:graphic>
          </wp:inline>
        </w:drawing>
      </w:r>
    </w:p>
    <w:p w14:paraId="74EA5B0B" w14:textId="77777777" w:rsidR="00F332DA" w:rsidRPr="00BD76AF" w:rsidRDefault="00F332DA" w:rsidP="001B1072">
      <w:pPr>
        <w:jc w:val="center"/>
        <w:rPr>
          <w:rFonts w:ascii="Arial" w:eastAsia="ＭＳ Ｐゴシック" w:hAnsi="Arial" w:cs="Arial"/>
        </w:rPr>
      </w:pPr>
      <w:r w:rsidRPr="00BD76AF">
        <w:rPr>
          <w:rFonts w:ascii="Arial" w:eastAsia="ＭＳ Ｐゴシック" w:hAnsi="Arial" w:cs="Arial"/>
        </w:rPr>
        <w:t>URL:https://www.jica.go.jp</w:t>
      </w:r>
    </w:p>
    <w:p w14:paraId="5DB3A23D" w14:textId="77777777" w:rsidR="00F332DA" w:rsidRPr="001D62E0" w:rsidRDefault="00F332DA" w:rsidP="001B1072">
      <w:pPr>
        <w:tabs>
          <w:tab w:val="left" w:pos="2985"/>
        </w:tabs>
        <w:jc w:val="center"/>
        <w:rPr>
          <w:rFonts w:ascii="Arial" w:hAnsi="Arial" w:cs="Arial"/>
          <w:lang w:val="pt-PT" w:eastAsia="ja-JP"/>
        </w:rPr>
      </w:pPr>
      <w:r w:rsidRPr="001D62E0">
        <w:rPr>
          <w:rFonts w:ascii="Arial" w:eastAsia="ＭＳ Ｐゴシック" w:hAnsi="Arial" w:cs="Arial"/>
          <w:lang w:val="pt-PT"/>
        </w:rPr>
        <w:t>E-mail</w:t>
      </w:r>
      <w:r w:rsidRPr="001D62E0">
        <w:rPr>
          <w:rFonts w:ascii="Arial" w:eastAsia="ＭＳ Ｐゴシック" w:hAnsi="Arial" w:cs="Arial"/>
          <w:lang w:val="pt-PT" w:eastAsia="ja-JP"/>
        </w:rPr>
        <w:t xml:space="preserve">: </w:t>
      </w:r>
      <w:r w:rsidRPr="001D62E0">
        <w:rPr>
          <w:rFonts w:ascii="Arial" w:eastAsia="ＭＳ Ｐゴシック" w:hAnsi="Arial" w:cs="Arial"/>
          <w:lang w:val="pt-PT"/>
        </w:rPr>
        <w:t>lppsd@jica.go.jp</w:t>
      </w:r>
    </w:p>
    <w:p w14:paraId="4F63F811" w14:textId="77777777" w:rsidR="00F332DA" w:rsidRPr="001D62E0" w:rsidRDefault="00F332DA" w:rsidP="001B1072">
      <w:pPr>
        <w:rPr>
          <w:lang w:val="pt-PT"/>
        </w:rPr>
      </w:pPr>
    </w:p>
    <w:p w14:paraId="49309252" w14:textId="77777777" w:rsidR="00F332DA" w:rsidRPr="001D62E0" w:rsidRDefault="00F332DA" w:rsidP="001B1072">
      <w:pPr>
        <w:spacing w:before="60" w:after="60"/>
        <w:rPr>
          <w:lang w:val="pt-PT"/>
        </w:rPr>
      </w:pPr>
    </w:p>
    <w:p w14:paraId="0BDD25A2" w14:textId="77777777" w:rsidR="00F332DA" w:rsidRPr="001D62E0" w:rsidRDefault="00F332DA" w:rsidP="001B1072">
      <w:pPr>
        <w:spacing w:before="60" w:after="60"/>
        <w:rPr>
          <w:lang w:val="pt-PT"/>
        </w:rPr>
      </w:pPr>
    </w:p>
    <w:sectPr w:rsidR="00F332DA" w:rsidRPr="001D62E0" w:rsidSect="00F332DA">
      <w:headerReference w:type="even" r:id="rId105"/>
      <w:headerReference w:type="default" r:id="rId106"/>
      <w:footnotePr>
        <w:numRestart w:val="eachPage"/>
      </w:footnotePr>
      <w:type w:val="evenPage"/>
      <w:pgSz w:w="12240" w:h="15840"/>
      <w:pgMar w:top="1440" w:right="1440"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CCF0" w14:textId="77777777" w:rsidR="00FD08CC" w:rsidRDefault="00FD08CC">
      <w:pPr>
        <w:spacing w:line="20" w:lineRule="exact"/>
      </w:pPr>
    </w:p>
  </w:endnote>
  <w:endnote w:type="continuationSeparator" w:id="0">
    <w:p w14:paraId="376DA330" w14:textId="77777777" w:rsidR="00FD08CC" w:rsidRDefault="00FD08CC">
      <w:r>
        <w:t xml:space="preserve"> </w:t>
      </w:r>
    </w:p>
  </w:endnote>
  <w:endnote w:type="continuationNotice" w:id="1">
    <w:p w14:paraId="7B9ECFCB" w14:textId="77777777" w:rsidR="00FD08CC" w:rsidRDefault="00FD08C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ＭＳ ゴシック"/>
    <w:panose1 w:val="020B0604020202020204"/>
    <w:charset w:val="80"/>
    <w:family w:val="modern"/>
    <w:pitch w:val="variable"/>
    <w:sig w:usb0="00000000"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HBKMBP+TimesNewRoman">
    <w:altName w:val="ＭＳ 明朝"/>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MT Extra">
    <w:panose1 w:val="05050102010205020202"/>
    <w:charset w:val="02"/>
    <w:family w:val="roman"/>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2636" w14:textId="77777777" w:rsidR="001D62E0" w:rsidRDefault="001D62E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332E" w14:textId="77777777" w:rsidR="001D62E0" w:rsidRDefault="001D62E0">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538B" w14:textId="77777777" w:rsidR="001D62E0" w:rsidRDefault="001D62E0">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6BE1" w14:textId="77777777" w:rsidR="00F332DA" w:rsidRDefault="00F332D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6822" w14:textId="77777777" w:rsidR="00FD08CC" w:rsidRDefault="00FD08CC">
      <w:r>
        <w:separator/>
      </w:r>
    </w:p>
  </w:footnote>
  <w:footnote w:type="continuationSeparator" w:id="0">
    <w:p w14:paraId="5D6ACD1E" w14:textId="77777777" w:rsidR="00FD08CC" w:rsidRDefault="00FD08CC">
      <w:r>
        <w:continuationSeparator/>
      </w:r>
    </w:p>
  </w:footnote>
  <w:footnote w:id="1">
    <w:p w14:paraId="0AC7423A" w14:textId="77777777" w:rsidR="00F332DA" w:rsidRDefault="00F332DA" w:rsidP="00BC31F1">
      <w:pPr>
        <w:pStyle w:val="af"/>
        <w:ind w:left="454" w:hanging="454"/>
      </w:pPr>
      <w:r>
        <w:rPr>
          <w:rStyle w:val="a9"/>
        </w:rPr>
        <w:footnoteRef/>
      </w:r>
      <w:r>
        <w:t xml:space="preserve"> </w:t>
      </w:r>
      <w:r>
        <w:tab/>
        <w:t xml:space="preserve">Les coûts doivent être exprimés dans les monnaies du Marché. </w:t>
      </w:r>
    </w:p>
  </w:footnote>
  <w:footnote w:id="2">
    <w:p w14:paraId="19446A63" w14:textId="77777777" w:rsidR="00F332DA" w:rsidRDefault="00F332DA" w:rsidP="006D65AC">
      <w:pPr>
        <w:pStyle w:val="af"/>
        <w:ind w:left="400" w:hangingChars="200" w:hanging="400"/>
      </w:pPr>
      <w:r>
        <w:rPr>
          <w:rStyle w:val="a9"/>
        </w:rPr>
        <w:footnoteRef/>
      </w:r>
      <w:r>
        <w:tab/>
        <w:t>L’augmentation ou la diminution du Montant du Marché doit être exprimée dans les monnaies du Marché.</w:t>
      </w:r>
    </w:p>
  </w:footnote>
  <w:footnote w:id="3">
    <w:p w14:paraId="70B21E18" w14:textId="77777777" w:rsidR="00F332DA" w:rsidRPr="00EE4FEF" w:rsidRDefault="00F332DA" w:rsidP="00CE3AC2">
      <w:pPr>
        <w:pStyle w:val="af"/>
        <w:ind w:left="227" w:hanging="227"/>
      </w:pPr>
      <w:r>
        <w:rPr>
          <w:rStyle w:val="a9"/>
        </w:rPr>
        <w:footnoteRef/>
      </w:r>
      <w:r>
        <w:rPr>
          <w:rFonts w:hint="eastAsia"/>
          <w:lang w:eastAsia="ja-JP"/>
        </w:rPr>
        <w:tab/>
      </w:r>
      <w:r w:rsidRPr="00EE5771">
        <w:rPr>
          <w:i/>
        </w:rPr>
        <w:t>Le Garant doit insérer un montant représentant un pourcentage d</w:t>
      </w:r>
      <w:r w:rsidRPr="002F139E">
        <w:rPr>
          <w:i/>
        </w:rPr>
        <w:t>u Montant du Marché</w:t>
      </w:r>
      <w:r w:rsidRPr="00EE5771">
        <w:rPr>
          <w:i/>
        </w:rPr>
        <w:t xml:space="preserve"> indiqué dans la Lettre d’acceptation de l’offre </w:t>
      </w:r>
      <w:r w:rsidRPr="00EE5771">
        <w:rPr>
          <w:i/>
          <w:lang w:eastAsia="ja-JP"/>
        </w:rPr>
        <w:t>(à l’exclusion des sommes provisionnelles, le cas échéant)</w:t>
      </w:r>
      <w:r w:rsidRPr="00EE5771">
        <w:rPr>
          <w:i/>
        </w:rPr>
        <w:t xml:space="preserve"> dans la (ou les) monnaie(s) </w:t>
      </w:r>
      <w:r>
        <w:rPr>
          <w:i/>
        </w:rPr>
        <w:t xml:space="preserve">mentionnée(s) au </w:t>
      </w:r>
      <w:r w:rsidRPr="00EE5771">
        <w:rPr>
          <w:i/>
        </w:rPr>
        <w:t xml:space="preserve">Marché, ou dans </w:t>
      </w:r>
      <w:r>
        <w:rPr>
          <w:i/>
        </w:rPr>
        <w:t xml:space="preserve">toute autre </w:t>
      </w:r>
      <w:r w:rsidRPr="00EE5771">
        <w:rPr>
          <w:i/>
        </w:rPr>
        <w:t xml:space="preserve">monnaie librement convertible acceptable </w:t>
      </w:r>
      <w:r w:rsidRPr="0089442C">
        <w:rPr>
          <w:i/>
        </w:rPr>
        <w:t>par</w:t>
      </w:r>
      <w:r w:rsidRPr="00EE5771">
        <w:rPr>
          <w:i/>
        </w:rPr>
        <w:t xml:space="preserve"> le Bénéficiaire.</w:t>
      </w:r>
    </w:p>
  </w:footnote>
  <w:footnote w:id="4">
    <w:p w14:paraId="7C397F84" w14:textId="77777777" w:rsidR="00F332DA" w:rsidRDefault="00F332DA" w:rsidP="00CE3AC2">
      <w:pPr>
        <w:pStyle w:val="af"/>
        <w:ind w:left="227" w:hanging="227"/>
        <w:rPr>
          <w:lang w:eastAsia="ja-JP"/>
        </w:rPr>
      </w:pPr>
      <w:r>
        <w:rPr>
          <w:rStyle w:val="a9"/>
        </w:rPr>
        <w:t>2</w:t>
      </w:r>
      <w:r>
        <w:rPr>
          <w:rFonts w:hint="eastAsia"/>
          <w:lang w:eastAsia="ja-JP"/>
        </w:rPr>
        <w:tab/>
      </w:r>
      <w:r w:rsidRPr="003D6371">
        <w:rPr>
          <w:i/>
        </w:rPr>
        <w:t xml:space="preserve">Indiquer la date représentant vingt-huit (28) jours </w:t>
      </w:r>
      <w:r w:rsidRPr="0089442C">
        <w:rPr>
          <w:i/>
        </w:rPr>
        <w:t>suivant</w:t>
      </w:r>
      <w:r w:rsidRPr="003D6371">
        <w:rPr>
          <w:i/>
        </w:rPr>
        <w:t xml:space="preserve"> la date estimée d’expiration de la Période de garantie.</w:t>
      </w:r>
    </w:p>
  </w:footnote>
  <w:footnote w:id="5">
    <w:p w14:paraId="44DDF472" w14:textId="77777777" w:rsidR="00F332DA" w:rsidRPr="00D7511A" w:rsidRDefault="00F332DA" w:rsidP="00CE3AC2">
      <w:pPr>
        <w:pStyle w:val="af"/>
        <w:ind w:left="227" w:hanging="227"/>
        <w:rPr>
          <w:lang w:eastAsia="ja-JP"/>
        </w:rPr>
      </w:pPr>
      <w:r>
        <w:rPr>
          <w:rStyle w:val="a9"/>
        </w:rPr>
        <w:footnoteRef/>
      </w:r>
      <w:r w:rsidRPr="00D7511A">
        <w:rPr>
          <w:rFonts w:ascii="CG Times" w:hAnsi="CG Times"/>
        </w:rPr>
        <w:tab/>
      </w:r>
      <w:r w:rsidRPr="00D7511A">
        <w:rPr>
          <w:i/>
        </w:rPr>
        <w:t>Un montant doit être inséré par le Garant représentant le pourcentage du Montant du Marché indiqué dans la Lettre d’acceptation de l’offre et libellé dans la (les) monnaie(s) du Marché ou dans une monnaie librement convertible jugée acceptable par le Bénéficiaire.</w:t>
      </w:r>
    </w:p>
  </w:footnote>
  <w:footnote w:id="6">
    <w:p w14:paraId="11F79F3F" w14:textId="77777777" w:rsidR="00F332DA" w:rsidRPr="00995C40" w:rsidRDefault="00F332DA" w:rsidP="00CE3AC2">
      <w:pPr>
        <w:pStyle w:val="af"/>
        <w:ind w:left="227" w:hanging="227"/>
      </w:pPr>
      <w:r w:rsidRPr="00995C40">
        <w:rPr>
          <w:rStyle w:val="a9"/>
        </w:rPr>
        <w:footnoteRef/>
      </w:r>
      <w:r w:rsidRPr="00995C40">
        <w:rPr>
          <w:rFonts w:hint="eastAsia"/>
          <w:lang w:eastAsia="ja-JP"/>
        </w:rPr>
        <w:tab/>
      </w:r>
      <w:r w:rsidRPr="000C658D">
        <w:rPr>
          <w:i/>
        </w:rPr>
        <w:t xml:space="preserve">Le Garant doit insérer un montant représentant le montant de l’avance soit dans la (ou les) monnaie(s) mentionnée(s) au Marché pour le paiement de l’avance, soit dans toute autre monnaie librement convertible acceptable </w:t>
      </w:r>
      <w:r>
        <w:rPr>
          <w:i/>
        </w:rPr>
        <w:t>par</w:t>
      </w:r>
      <w:r w:rsidRPr="000C658D">
        <w:rPr>
          <w:i/>
        </w:rPr>
        <w:t xml:space="preserve"> le Bénéficiaire.</w:t>
      </w:r>
    </w:p>
  </w:footnote>
  <w:footnote w:id="7">
    <w:p w14:paraId="63A4E197" w14:textId="77777777" w:rsidR="00F332DA" w:rsidRDefault="00F332DA" w:rsidP="00A33EDE">
      <w:pPr>
        <w:pStyle w:val="af"/>
        <w:tabs>
          <w:tab w:val="left" w:pos="360"/>
        </w:tabs>
        <w:ind w:left="227" w:hanging="227"/>
        <w:rPr>
          <w:lang w:eastAsia="ja-JP"/>
        </w:rPr>
      </w:pPr>
      <w:r>
        <w:rPr>
          <w:rStyle w:val="a9"/>
        </w:rPr>
        <w:t>2</w:t>
      </w:r>
      <w:r w:rsidRPr="006F3A0D">
        <w:tab/>
      </w:r>
      <w:r w:rsidRPr="00695B7C">
        <w:rPr>
          <w:i/>
        </w:rPr>
        <w:t>Insérer la date d’expiration prévue du Délai d’</w:t>
      </w:r>
      <w:r>
        <w:rPr>
          <w:i/>
        </w:rPr>
        <w:t>achèvement</w:t>
      </w:r>
      <w:r w:rsidRPr="00695B7C">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25FC" w14:textId="77777777" w:rsidR="0037332F" w:rsidRDefault="0037332F" w:rsidP="00A206F8">
    <w:pPr>
      <w:pStyle w:val="aa"/>
      <w:pBdr>
        <w:bottom w:val="single" w:sz="4" w:space="1" w:color="auto"/>
      </w:pBdr>
      <w:rPr>
        <w:lang w:eastAsia="ja-JP"/>
      </w:rPr>
    </w:pPr>
    <w:r>
      <w:rPr>
        <w:rStyle w:val="ae"/>
      </w:rPr>
      <w:fldChar w:fldCharType="begin"/>
    </w:r>
    <w:r>
      <w:rPr>
        <w:rStyle w:val="ae"/>
      </w:rPr>
      <w:instrText xml:space="preserve"> PAGE </w:instrText>
    </w:r>
    <w:r>
      <w:rPr>
        <w:rStyle w:val="ae"/>
      </w:rPr>
      <w:fldChar w:fldCharType="separate"/>
    </w:r>
    <w:r>
      <w:rPr>
        <w:rStyle w:val="ae"/>
        <w:noProof/>
      </w:rPr>
      <w:t>i</w:t>
    </w:r>
    <w:r>
      <w:rPr>
        <w:rStyle w:val="ae"/>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F51C" w14:textId="77777777" w:rsidR="0037332F" w:rsidRDefault="0037332F" w:rsidP="00A206F8">
    <w:pPr>
      <w:pStyle w:val="aa"/>
      <w:pBdr>
        <w:bottom w:val="single" w:sz="4" w:space="1" w:color="auto"/>
      </w:pBdr>
      <w:rPr>
        <w:lang w:eastAsia="ja-JP"/>
      </w:rPr>
    </w:pPr>
    <w:r>
      <w:rPr>
        <w:rStyle w:val="ae"/>
      </w:rPr>
      <w:fldChar w:fldCharType="begin"/>
    </w:r>
    <w:r>
      <w:rPr>
        <w:rStyle w:val="ae"/>
      </w:rPr>
      <w:instrText xml:space="preserve"> PAGE </w:instrText>
    </w:r>
    <w:r>
      <w:rPr>
        <w:rStyle w:val="ae"/>
      </w:rPr>
      <w:fldChar w:fldCharType="separate"/>
    </w:r>
    <w:r w:rsidR="00F332DA">
      <w:rPr>
        <w:rStyle w:val="ae"/>
        <w:noProof/>
      </w:rPr>
      <w:t>x</w:t>
    </w:r>
    <w:r>
      <w:rPr>
        <w:rStyle w:val="ae"/>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7C1A" w14:textId="77777777" w:rsidR="0037332F" w:rsidRPr="00A403B3" w:rsidRDefault="0037332F" w:rsidP="00C247BD">
    <w:pPr>
      <w:pStyle w:val="aa"/>
      <w:pBdr>
        <w:bottom w:val="single" w:sz="4" w:space="1" w:color="auto"/>
      </w:pBdr>
      <w:tabs>
        <w:tab w:val="right" w:pos="9000"/>
      </w:tabs>
      <w:jc w:val="right"/>
    </w:pPr>
    <w:r>
      <w:rPr>
        <w:rStyle w:val="ae"/>
      </w:rPr>
      <w:fldChar w:fldCharType="begin"/>
    </w:r>
    <w:r>
      <w:rPr>
        <w:rStyle w:val="ae"/>
      </w:rPr>
      <w:instrText xml:space="preserve"> PAGE </w:instrText>
    </w:r>
    <w:r>
      <w:rPr>
        <w:rStyle w:val="ae"/>
      </w:rPr>
      <w:fldChar w:fldCharType="separate"/>
    </w:r>
    <w:r w:rsidR="00F332DA">
      <w:rPr>
        <w:rStyle w:val="ae"/>
        <w:noProof/>
      </w:rPr>
      <w:t>ix</w:t>
    </w:r>
    <w:r>
      <w:rPr>
        <w:rStyle w:val="ae"/>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D2ED" w14:textId="77777777" w:rsidR="0037332F" w:rsidRPr="001B17AC" w:rsidRDefault="0037332F"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iii</w:t>
    </w:r>
    <w:r w:rsidRPr="001B17AC">
      <w:rPr>
        <w:rStyle w:val="ae"/>
      </w:rPr>
      <w:fldChar w:fldCharType="end"/>
    </w:r>
    <w:r>
      <w:rPr>
        <w:rStyle w:val="ae"/>
      </w:rPr>
      <w:tab/>
    </w:r>
  </w:p>
  <w:p w14:paraId="173BBA4A" w14:textId="77777777" w:rsidR="0037332F" w:rsidRPr="0089713F" w:rsidRDefault="0037332F" w:rsidP="0089713F">
    <w:pPr>
      <w:pStyle w:val="a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1480" w14:textId="77777777" w:rsidR="0037332F" w:rsidRDefault="0037332F" w:rsidP="00E57468">
    <w:pPr>
      <w:pStyle w:val="aa"/>
      <w:pBdr>
        <w:bottom w:val="single" w:sz="4" w:space="1" w:color="auto"/>
      </w:pBdr>
      <w:tabs>
        <w:tab w:val="right" w:pos="9720"/>
      </w:tabs>
      <w:ind w:right="-72"/>
      <w:jc w:val="both"/>
      <w:rPr>
        <w:lang w:eastAsia="ja-JP"/>
      </w:rPr>
    </w:pPr>
    <w:r>
      <w:rPr>
        <w:rFonts w:hint="eastAsia"/>
        <w:lang w:eastAsia="ja-JP"/>
      </w:rPr>
      <w:t>AAO-</w:t>
    </w: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A921" w14:textId="77777777" w:rsidR="0037332F" w:rsidRDefault="0037332F" w:rsidP="00324880">
    <w:pPr>
      <w:pStyle w:val="aa"/>
      <w:pBdr>
        <w:bottom w:val="single" w:sz="4" w:space="1" w:color="auto"/>
      </w:pBdr>
      <w:rPr>
        <w:lang w:eastAsia="ja-JP"/>
      </w:rPr>
    </w:pPr>
    <w:r>
      <w:t>Avis d’appel d’offres : après préqualification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9180" w14:textId="5F07B831" w:rsidR="0037332F" w:rsidRDefault="0037332F" w:rsidP="00324880">
    <w:pPr>
      <w:pStyle w:val="aa"/>
      <w:pBdr>
        <w:bottom w:val="single" w:sz="4" w:space="1" w:color="auto"/>
      </w:pBdr>
      <w:tabs>
        <w:tab w:val="right" w:pos="9000"/>
      </w:tabs>
      <w:jc w:val="both"/>
      <w:rPr>
        <w:lang w:eastAsia="ja-JP"/>
      </w:rPr>
    </w:pPr>
    <w:r>
      <w:rPr>
        <w:rFonts w:hint="eastAsia"/>
        <w:lang w:eastAsia="ja-JP"/>
      </w:rPr>
      <w:t>AAO</w:t>
    </w:r>
    <w:r>
      <w:rPr>
        <w:lang w:eastAsia="ja-JP"/>
      </w:rPr>
      <w:t>(i)</w:t>
    </w:r>
    <w:r>
      <w:rPr>
        <w:rFonts w:hint="eastAsia"/>
        <w:lang w:eastAsia="ja-JP"/>
      </w:rPr>
      <w:t>-</w:t>
    </w:r>
    <w:r>
      <w:rPr>
        <w:rStyle w:val="ae"/>
      </w:rPr>
      <w:fldChar w:fldCharType="begin"/>
    </w:r>
    <w:r>
      <w:rPr>
        <w:rStyle w:val="ae"/>
      </w:rPr>
      <w:instrText xml:space="preserve"> PAGE </w:instrText>
    </w:r>
    <w:r>
      <w:rPr>
        <w:rStyle w:val="ae"/>
      </w:rPr>
      <w:fldChar w:fldCharType="separate"/>
    </w:r>
    <w:r w:rsidR="00F332DA">
      <w:rPr>
        <w:rStyle w:val="ae"/>
        <w:noProof/>
      </w:rPr>
      <w:t>2</w:t>
    </w:r>
    <w:r>
      <w:rPr>
        <w:rStyle w:val="ae"/>
      </w:rPr>
      <w:fldChar w:fldCharType="end"/>
    </w:r>
    <w:r>
      <w:rPr>
        <w:rStyle w:val="ae"/>
        <w:rFonts w:hint="eastAsia"/>
        <w:lang w:eastAsia="ja-JP"/>
      </w:rPr>
      <w:tab/>
    </w:r>
    <w:r>
      <w:t>Avis d’appel d’offres : après préqualification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94EC" w14:textId="390B4755" w:rsidR="0037332F" w:rsidRDefault="0037332F" w:rsidP="00D65452">
    <w:pPr>
      <w:pStyle w:val="aa"/>
      <w:pBdr>
        <w:bottom w:val="single" w:sz="4" w:space="1" w:color="auto"/>
      </w:pBdr>
      <w:tabs>
        <w:tab w:val="right" w:pos="9000"/>
      </w:tabs>
      <w:rPr>
        <w:lang w:eastAsia="ja-JP"/>
      </w:rPr>
    </w:pPr>
    <w:r>
      <w:t>Avis d’appel d’offres : après préqualification</w:t>
    </w:r>
    <w:r>
      <w:rPr>
        <w:rFonts w:hint="eastAsia"/>
        <w:lang w:eastAsia="ja-JP"/>
      </w:rPr>
      <w:tab/>
      <w:t>AAO</w:t>
    </w:r>
    <w:r>
      <w:rPr>
        <w:lang w:eastAsia="ja-JP"/>
      </w:rPr>
      <w:t>(i)</w:t>
    </w:r>
    <w:r>
      <w:rPr>
        <w:rFonts w:hint="eastAsia"/>
        <w:lang w:eastAsia="ja-JP"/>
      </w:rPr>
      <w:t>-</w:t>
    </w:r>
    <w:r>
      <w:rPr>
        <w:rStyle w:val="ae"/>
      </w:rPr>
      <w:fldChar w:fldCharType="begin"/>
    </w:r>
    <w:r>
      <w:rPr>
        <w:rStyle w:val="ae"/>
      </w:rPr>
      <w:instrText xml:space="preserve"> PAGE </w:instrText>
    </w:r>
    <w:r>
      <w:rPr>
        <w:rStyle w:val="ae"/>
      </w:rPr>
      <w:fldChar w:fldCharType="separate"/>
    </w:r>
    <w:r w:rsidR="00F332DA">
      <w:rPr>
        <w:rStyle w:val="ae"/>
        <w:noProof/>
      </w:rPr>
      <w:t>1</w:t>
    </w:r>
    <w:r>
      <w:rPr>
        <w:rStyle w:val="ae"/>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51B4" w14:textId="77777777" w:rsidR="0037332F" w:rsidRPr="00A00312" w:rsidRDefault="0037332F" w:rsidP="00324880">
    <w:pPr>
      <w:pStyle w:val="aa"/>
      <w:pBdr>
        <w:bottom w:val="single" w:sz="4" w:space="1" w:color="auto"/>
      </w:pBdr>
    </w:pPr>
    <w:r>
      <w:t xml:space="preserve">Avis d’appel d’offres : </w:t>
    </w:r>
    <w:r w:rsidRPr="00A00312">
      <w:t>sans préqualification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308D" w14:textId="4D8DB05C" w:rsidR="0037332F" w:rsidRDefault="0037332F" w:rsidP="00D65452">
    <w:pPr>
      <w:pStyle w:val="aa"/>
      <w:pBdr>
        <w:bottom w:val="single" w:sz="4" w:space="1" w:color="auto"/>
      </w:pBdr>
      <w:tabs>
        <w:tab w:val="right" w:pos="9000"/>
      </w:tabs>
      <w:rPr>
        <w:lang w:eastAsia="ja-JP"/>
      </w:rPr>
    </w:pPr>
    <w:r>
      <w:rPr>
        <w:rFonts w:hint="eastAsia"/>
        <w:lang w:eastAsia="ja-JP"/>
      </w:rPr>
      <w:t>AAO</w:t>
    </w:r>
    <w:r>
      <w:rPr>
        <w:lang w:eastAsia="ja-JP"/>
      </w:rPr>
      <w:t>(ii)</w:t>
    </w:r>
    <w:r>
      <w:rPr>
        <w:rFonts w:hint="eastAsia"/>
        <w:lang w:eastAsia="ja-JP"/>
      </w:rPr>
      <w:t>-</w:t>
    </w:r>
    <w:r>
      <w:rPr>
        <w:rStyle w:val="ae"/>
      </w:rPr>
      <w:fldChar w:fldCharType="begin"/>
    </w:r>
    <w:r>
      <w:rPr>
        <w:rStyle w:val="ae"/>
      </w:rPr>
      <w:instrText xml:space="preserve"> PAGE </w:instrText>
    </w:r>
    <w:r>
      <w:rPr>
        <w:rStyle w:val="ae"/>
      </w:rPr>
      <w:fldChar w:fldCharType="separate"/>
    </w:r>
    <w:r w:rsidR="00F332DA">
      <w:rPr>
        <w:rStyle w:val="ae"/>
        <w:noProof/>
      </w:rPr>
      <w:t>2</w:t>
    </w:r>
    <w:r>
      <w:rPr>
        <w:rStyle w:val="ae"/>
      </w:rPr>
      <w:fldChar w:fldCharType="end"/>
    </w:r>
    <w:r>
      <w:rPr>
        <w:rStyle w:val="ae"/>
        <w:rFonts w:hint="eastAsia"/>
        <w:lang w:eastAsia="ja-JP"/>
      </w:rPr>
      <w:tab/>
    </w:r>
    <w:r>
      <w:t xml:space="preserve">Avis d’appel d’offres : </w:t>
    </w:r>
    <w:r w:rsidRPr="00A00312">
      <w:t>sans préqualification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06E9" w14:textId="136D976B" w:rsidR="0037332F" w:rsidRDefault="0037332F" w:rsidP="00D65452">
    <w:pPr>
      <w:pStyle w:val="aa"/>
      <w:pBdr>
        <w:bottom w:val="single" w:sz="4" w:space="1" w:color="auto"/>
      </w:pBdr>
      <w:tabs>
        <w:tab w:val="right" w:pos="9000"/>
      </w:tabs>
      <w:rPr>
        <w:lang w:eastAsia="ja-JP"/>
      </w:rPr>
    </w:pPr>
    <w:r>
      <w:t xml:space="preserve">Avis d’appel d’offres : </w:t>
    </w:r>
    <w:r w:rsidRPr="00A00312">
      <w:t>sans préqualification</w:t>
    </w:r>
    <w:r>
      <w:rPr>
        <w:rFonts w:hint="eastAsia"/>
        <w:lang w:eastAsia="ja-JP"/>
      </w:rPr>
      <w:tab/>
      <w:t>AAO</w:t>
    </w:r>
    <w:r>
      <w:rPr>
        <w:lang w:eastAsia="ja-JP"/>
      </w:rPr>
      <w:t>(ii)</w:t>
    </w:r>
    <w:r>
      <w:rPr>
        <w:rFonts w:hint="eastAsia"/>
        <w:lang w:eastAsia="ja-JP"/>
      </w:rPr>
      <w:t>-</w:t>
    </w:r>
    <w:r>
      <w:rPr>
        <w:rStyle w:val="ae"/>
      </w:rPr>
      <w:fldChar w:fldCharType="begin"/>
    </w:r>
    <w:r>
      <w:rPr>
        <w:rStyle w:val="ae"/>
      </w:rPr>
      <w:instrText xml:space="preserve"> PAGE </w:instrText>
    </w:r>
    <w:r>
      <w:rPr>
        <w:rStyle w:val="ae"/>
      </w:rPr>
      <w:fldChar w:fldCharType="separate"/>
    </w:r>
    <w:r w:rsidR="00F332DA">
      <w:rPr>
        <w:rStyle w:val="ae"/>
        <w:noProof/>
      </w:rPr>
      <w:t>1</w:t>
    </w:r>
    <w:r>
      <w:rPr>
        <w:rStyle w:val="a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7D45" w14:textId="77777777" w:rsidR="0037332F" w:rsidRPr="00A403B3" w:rsidRDefault="0037332F" w:rsidP="00A206F8">
    <w:pPr>
      <w:pStyle w:val="aa"/>
      <w:pBdr>
        <w:bottom w:val="single" w:sz="4" w:space="1" w:color="auto"/>
      </w:pBdr>
      <w:tabs>
        <w:tab w:val="right" w:pos="9360"/>
      </w:tabs>
      <w:jc w:val="right"/>
    </w:pPr>
    <w:r>
      <w:rPr>
        <w:rStyle w:val="ae"/>
      </w:rPr>
      <w:fldChar w:fldCharType="begin"/>
    </w:r>
    <w:r>
      <w:rPr>
        <w:rStyle w:val="ae"/>
      </w:rPr>
      <w:instrText xml:space="preserve"> PAGE </w:instrText>
    </w:r>
    <w:r>
      <w:rPr>
        <w:rStyle w:val="ae"/>
      </w:rPr>
      <w:fldChar w:fldCharType="separate"/>
    </w:r>
    <w:r>
      <w:rPr>
        <w:rStyle w:val="ae"/>
        <w:noProof/>
      </w:rPr>
      <w:t>iii</w:t>
    </w:r>
    <w:r>
      <w:rPr>
        <w:rStyle w:val="ae"/>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1975" w14:textId="1C46134A" w:rsidR="0037332F" w:rsidRDefault="0037332F" w:rsidP="00FF1662">
    <w:pPr>
      <w:pStyle w:val="aa"/>
      <w:pBdr>
        <w:bottom w:val="single" w:sz="4" w:space="1" w:color="auto"/>
      </w:pBdr>
      <w:tabs>
        <w:tab w:val="right" w:pos="900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0069" w14:textId="3E5CA77C" w:rsidR="0037332F" w:rsidRDefault="0037332F" w:rsidP="00D65452">
    <w:pPr>
      <w:pStyle w:val="aa"/>
      <w:pBdr>
        <w:bottom w:val="single" w:sz="4" w:space="1" w:color="auto"/>
      </w:pBdr>
      <w:tabs>
        <w:tab w:val="right" w:pos="9000"/>
      </w:tabs>
      <w:rPr>
        <w:lang w:eastAsia="ja-JP"/>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E5CF" w14:textId="77777777" w:rsidR="0037332F" w:rsidRPr="0089713F" w:rsidRDefault="0037332F" w:rsidP="001668C2">
    <w:pPr>
      <w:pStyle w:val="aa"/>
      <w:pBdr>
        <w:bottom w:val="single" w:sz="4" w:space="1" w:color="auto"/>
      </w:pBdr>
    </w:pPr>
    <w:r>
      <w:t>Invitation à soumissionner pour la deuxième étape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7EA6" w14:textId="77777777" w:rsidR="0037332F" w:rsidRPr="00620820" w:rsidRDefault="0037332F" w:rsidP="00620820">
    <w:pPr>
      <w:pStyle w:val="aa"/>
      <w:pBdr>
        <w:bottom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17A8" w14:textId="1DD7332A" w:rsidR="0037332F" w:rsidRPr="00C9415E" w:rsidRDefault="0037332F" w:rsidP="00D65452">
    <w:pPr>
      <w:pStyle w:val="aa"/>
      <w:pBdr>
        <w:bottom w:val="single" w:sz="4" w:space="1" w:color="000000"/>
      </w:pBdr>
      <w:tabs>
        <w:tab w:val="right" w:pos="9000"/>
      </w:tabs>
      <w:suppressAutoHyphens w:val="0"/>
      <w:overflowPunct/>
      <w:autoSpaceDE/>
      <w:autoSpaceDN/>
      <w:adjustRightInd/>
      <w:textAlignment w:val="auto"/>
    </w:pPr>
    <w:r>
      <w:rPr>
        <w:rStyle w:val="ae"/>
        <w:rFonts w:hint="eastAsia"/>
        <w:lang w:eastAsia="ja-JP"/>
      </w:rPr>
      <w:t>O</w:t>
    </w:r>
    <w:r>
      <w:rPr>
        <w:rStyle w:val="ae"/>
        <w:lang w:eastAsia="ja-JP"/>
      </w:rPr>
      <w:t>ptio</w:t>
    </w:r>
    <w:r w:rsidRPr="00861BE0">
      <w:rPr>
        <w:rStyle w:val="ae"/>
        <w:lang w:eastAsia="ja-JP"/>
      </w:rPr>
      <w:t>n</w:t>
    </w:r>
    <w:r w:rsidRPr="00861BE0">
      <w:rPr>
        <w:rStyle w:val="ae"/>
        <w:rFonts w:hint="eastAsia"/>
        <w:lang w:eastAsia="ja-JP"/>
      </w:rPr>
      <w:t xml:space="preserve"> A</w:t>
    </w:r>
    <w:r>
      <w:rPr>
        <w:rStyle w:val="ae"/>
        <w:lang w:eastAsia="ja-JP"/>
      </w:rPr>
      <w:t xml:space="preserve"> </w:t>
    </w:r>
    <w:r w:rsidRPr="00861BE0">
      <w:rPr>
        <w:rStyle w:val="ae"/>
        <w:rFonts w:hint="eastAsia"/>
        <w:lang w:eastAsia="ja-JP"/>
      </w:rPr>
      <w:t xml:space="preserve">: </w:t>
    </w:r>
    <w:smartTag w:uri="urn:schemas-microsoft-com:office:smarttags" w:element="place">
      <w:smartTag w:uri="urn:schemas:contacts" w:element="Sn">
        <w:r>
          <w:t>Section</w:t>
        </w:r>
      </w:smartTag>
      <w:r>
        <w:t xml:space="preserve"> </w:t>
      </w:r>
      <w:smartTag w:uri="urn:schemas:contacts" w:element="Sn">
        <w:r>
          <w:t>I.</w:t>
        </w:r>
      </w:smartTag>
    </w:smartTag>
    <w:r>
      <w:t xml:space="preserve"> </w:t>
    </w:r>
    <w:r w:rsidRPr="004F2871">
      <w:t>Instructions aux soumissionnaires</w:t>
    </w:r>
    <w:r>
      <w:tab/>
    </w:r>
  </w:p>
  <w:p w14:paraId="1B5E66AB" w14:textId="5A40D9D4" w:rsidR="0037332F" w:rsidRPr="00B32C24" w:rsidRDefault="0037332F" w:rsidP="004C0CC5">
    <w:pPr>
      <w:pStyle w:val="aa"/>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9F92" w14:textId="78A88306" w:rsidR="0037332F" w:rsidRPr="00C9415E" w:rsidRDefault="0037332F" w:rsidP="00E01210">
    <w:pPr>
      <w:pStyle w:val="aa"/>
      <w:pBdr>
        <w:bottom w:val="single" w:sz="4" w:space="1" w:color="000000"/>
      </w:pBdr>
      <w:tabs>
        <w:tab w:val="right" w:pos="9000"/>
      </w:tabs>
      <w:suppressAutoHyphens w:val="0"/>
      <w:overflowPunct/>
      <w:autoSpaceDE/>
      <w:autoSpaceDN/>
      <w:adjustRightInd/>
      <w:textAlignment w:val="auto"/>
    </w:pPr>
    <w:r>
      <w:t>IS(A)-</w:t>
    </w:r>
    <w:r>
      <w:fldChar w:fldCharType="begin"/>
    </w:r>
    <w:r>
      <w:instrText>PAGE   \* MERGEFORMAT</w:instrText>
    </w:r>
    <w:r>
      <w:fldChar w:fldCharType="separate"/>
    </w:r>
    <w:r w:rsidR="00F332DA">
      <w:rPr>
        <w:noProof/>
        <w:lang w:eastAsia="ja-JP"/>
      </w:rPr>
      <w:t>36</w:t>
    </w:r>
    <w:r>
      <w:fldChar w:fldCharType="end"/>
    </w:r>
    <w:r>
      <w:tab/>
    </w:r>
    <w:r>
      <w:rPr>
        <w:rStyle w:val="ae"/>
        <w:rFonts w:hint="eastAsia"/>
        <w:lang w:eastAsia="ja-JP"/>
      </w:rPr>
      <w:t>O</w:t>
    </w:r>
    <w:r>
      <w:rPr>
        <w:rStyle w:val="ae"/>
        <w:lang w:eastAsia="ja-JP"/>
      </w:rPr>
      <w:t>ptio</w:t>
    </w:r>
    <w:r w:rsidRPr="00861BE0">
      <w:rPr>
        <w:rStyle w:val="ae"/>
        <w:lang w:eastAsia="ja-JP"/>
      </w:rPr>
      <w:t>n</w:t>
    </w:r>
    <w:r w:rsidRPr="00861BE0">
      <w:rPr>
        <w:rStyle w:val="ae"/>
        <w:rFonts w:hint="eastAsia"/>
        <w:lang w:eastAsia="ja-JP"/>
      </w:rPr>
      <w:t xml:space="preserve"> A</w:t>
    </w:r>
    <w:r>
      <w:rPr>
        <w:rStyle w:val="ae"/>
        <w:lang w:eastAsia="ja-JP"/>
      </w:rPr>
      <w:t xml:space="preserve"> </w:t>
    </w:r>
    <w:r w:rsidRPr="00861BE0">
      <w:rPr>
        <w:rStyle w:val="ae"/>
        <w:rFonts w:hint="eastAsia"/>
        <w:lang w:eastAsia="ja-JP"/>
      </w:rPr>
      <w:t xml:space="preserve">: </w:t>
    </w:r>
    <w:smartTag w:uri="urn:schemas-microsoft-com:office:smarttags" w:element="place">
      <w:smartTag w:uri="urn:schemas:contacts" w:element="Sn">
        <w:r>
          <w:t>Section</w:t>
        </w:r>
      </w:smartTag>
      <w:r>
        <w:t xml:space="preserve"> </w:t>
      </w:r>
      <w:smartTag w:uri="urn:schemas:contacts" w:element="Sn">
        <w:r>
          <w:t>I.</w:t>
        </w:r>
      </w:smartTag>
    </w:smartTag>
    <w:r>
      <w:t xml:space="preserve"> </w:t>
    </w:r>
    <w:r w:rsidRPr="004F2871">
      <w:t>Instructions aux soumissionnaires</w:t>
    </w:r>
  </w:p>
  <w:p w14:paraId="6087592A" w14:textId="28DBF8FC" w:rsidR="0037332F" w:rsidRPr="00C9415E" w:rsidRDefault="0037332F" w:rsidP="004C0CC5">
    <w:pPr>
      <w:pStyle w:val="aa"/>
      <w:tabs>
        <w:tab w:val="right" w:pos="9039"/>
      </w:tabs>
      <w:ind w:right="-36"/>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763D" w14:textId="3B13FA96" w:rsidR="0037332F" w:rsidRPr="00C9415E" w:rsidRDefault="0037332F" w:rsidP="00D65452">
    <w:pPr>
      <w:pStyle w:val="aa"/>
      <w:pBdr>
        <w:bottom w:val="single" w:sz="4" w:space="1" w:color="000000"/>
      </w:pBdr>
      <w:tabs>
        <w:tab w:val="right" w:pos="9000"/>
      </w:tabs>
      <w:suppressAutoHyphens w:val="0"/>
      <w:overflowPunct/>
      <w:autoSpaceDE/>
      <w:autoSpaceDN/>
      <w:adjustRightInd/>
      <w:textAlignment w:val="auto"/>
    </w:pPr>
    <w:r>
      <w:rPr>
        <w:rStyle w:val="ae"/>
        <w:rFonts w:hint="eastAsia"/>
        <w:lang w:eastAsia="ja-JP"/>
      </w:rPr>
      <w:t>O</w:t>
    </w:r>
    <w:r>
      <w:rPr>
        <w:rStyle w:val="ae"/>
        <w:lang w:eastAsia="ja-JP"/>
      </w:rPr>
      <w:t>ptio</w:t>
    </w:r>
    <w:r w:rsidRPr="00861BE0">
      <w:rPr>
        <w:rStyle w:val="ae"/>
        <w:lang w:eastAsia="ja-JP"/>
      </w:rPr>
      <w:t>n</w:t>
    </w:r>
    <w:r w:rsidRPr="00861BE0">
      <w:rPr>
        <w:rStyle w:val="ae"/>
        <w:rFonts w:hint="eastAsia"/>
        <w:lang w:eastAsia="ja-JP"/>
      </w:rPr>
      <w:t xml:space="preserve"> A</w:t>
    </w:r>
    <w:r>
      <w:rPr>
        <w:rStyle w:val="ae"/>
        <w:lang w:eastAsia="ja-JP"/>
      </w:rPr>
      <w:t xml:space="preserve"> </w:t>
    </w:r>
    <w:r w:rsidRPr="00861BE0">
      <w:rPr>
        <w:rStyle w:val="ae"/>
        <w:rFonts w:hint="eastAsia"/>
        <w:lang w:eastAsia="ja-JP"/>
      </w:rPr>
      <w:t xml:space="preserve">: </w:t>
    </w:r>
    <w:smartTag w:uri="urn:schemas-microsoft-com:office:smarttags" w:element="place">
      <w:smartTag w:uri="urn:schemas:contacts" w:element="Sn">
        <w:r>
          <w:t>Section</w:t>
        </w:r>
      </w:smartTag>
      <w:r>
        <w:t xml:space="preserve"> </w:t>
      </w:r>
      <w:smartTag w:uri="urn:schemas:contacts" w:element="Sn">
        <w:r>
          <w:t>I.</w:t>
        </w:r>
      </w:smartTag>
    </w:smartTag>
    <w:r>
      <w:t xml:space="preserve"> </w:t>
    </w:r>
    <w:r w:rsidRPr="004F2871">
      <w:t>Instructions aux soumissionnaires</w:t>
    </w:r>
    <w:r>
      <w:tab/>
      <w:t>IS(A)-</w:t>
    </w:r>
    <w:r>
      <w:fldChar w:fldCharType="begin"/>
    </w:r>
    <w:r>
      <w:instrText>PAGE   \* MERGEFORMAT</w:instrText>
    </w:r>
    <w:r>
      <w:fldChar w:fldCharType="separate"/>
    </w:r>
    <w:r w:rsidR="00F332DA">
      <w:rPr>
        <w:noProof/>
        <w:lang w:eastAsia="ja-JP"/>
      </w:rPr>
      <w:t>35</w:t>
    </w:r>
    <w:r>
      <w:fldChar w:fldCharType="end"/>
    </w:r>
  </w:p>
  <w:p w14:paraId="57481BCD" w14:textId="6B436EDC" w:rsidR="0037332F" w:rsidRDefault="0037332F" w:rsidP="004C0CC5">
    <w:pPr>
      <w:pStyle w:val="aa"/>
      <w:tabs>
        <w:tab w:val="right" w:pos="8931"/>
      </w:tabs>
      <w:ind w:right="57"/>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DB95" w14:textId="2C6C18FC" w:rsidR="0037332F" w:rsidRPr="00C9415E" w:rsidRDefault="0037332F" w:rsidP="00BE2F1F">
    <w:pPr>
      <w:pStyle w:val="aa"/>
      <w:pBdr>
        <w:bottom w:val="single" w:sz="4" w:space="1" w:color="000000"/>
      </w:pBdr>
      <w:tabs>
        <w:tab w:val="right" w:pos="9000"/>
      </w:tabs>
      <w:suppressAutoHyphens w:val="0"/>
      <w:overflowPunct/>
      <w:autoSpaceDE/>
      <w:autoSpaceDN/>
      <w:adjustRightInd/>
      <w:textAlignment w:val="auto"/>
    </w:pPr>
    <w:r>
      <w:rPr>
        <w:rStyle w:val="ae"/>
        <w:rFonts w:hint="eastAsia"/>
        <w:lang w:eastAsia="ja-JP"/>
      </w:rPr>
      <w:t>O</w:t>
    </w:r>
    <w:r>
      <w:rPr>
        <w:rStyle w:val="ae"/>
        <w:lang w:eastAsia="ja-JP"/>
      </w:rPr>
      <w:t>ptio</w:t>
    </w:r>
    <w:r w:rsidRPr="00861BE0">
      <w:rPr>
        <w:rStyle w:val="ae"/>
        <w:lang w:eastAsia="ja-JP"/>
      </w:rPr>
      <w:t>n</w:t>
    </w:r>
    <w:r w:rsidRPr="00861BE0">
      <w:rPr>
        <w:rStyle w:val="ae"/>
        <w:rFonts w:hint="eastAsia"/>
        <w:lang w:eastAsia="ja-JP"/>
      </w:rPr>
      <w:t xml:space="preserve"> A</w:t>
    </w:r>
    <w:r>
      <w:rPr>
        <w:rStyle w:val="ae"/>
        <w:lang w:eastAsia="ja-JP"/>
      </w:rPr>
      <w:t xml:space="preserve"> </w:t>
    </w:r>
    <w:r w:rsidRPr="00861BE0">
      <w:rPr>
        <w:rStyle w:val="ae"/>
        <w:rFonts w:hint="eastAsia"/>
        <w:lang w:eastAsia="ja-JP"/>
      </w:rPr>
      <w:t xml:space="preserve">: </w:t>
    </w:r>
    <w:smartTag w:uri="urn:schemas:contacts" w:element="Sn">
      <w:r>
        <w:t>Section</w:t>
      </w:r>
    </w:smartTag>
    <w:r>
      <w:t xml:space="preserve"> II. </w:t>
    </w:r>
    <w:r w:rsidRPr="00582708">
      <w:t>Données particulières</w:t>
    </w:r>
    <w:r>
      <w:tab/>
    </w:r>
  </w:p>
  <w:p w14:paraId="7A352226" w14:textId="7C4CAA55" w:rsidR="0037332F" w:rsidRDefault="0037332F" w:rsidP="00CB088A">
    <w:pPr>
      <w:pStyle w:val="aa"/>
      <w:tabs>
        <w:tab w:val="left" w:pos="4536"/>
        <w:tab w:val="left" w:pos="8222"/>
      </w:tabs>
      <w:ind w:right="54"/>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741D" w14:textId="5D94B6B2" w:rsidR="0037332F" w:rsidRDefault="0037332F" w:rsidP="008F5F4B">
    <w:pPr>
      <w:pStyle w:val="aa"/>
      <w:pBdr>
        <w:bottom w:val="single" w:sz="4" w:space="1" w:color="auto"/>
      </w:pBdr>
      <w:tabs>
        <w:tab w:val="right" w:pos="9360"/>
      </w:tabs>
    </w:pPr>
    <w:r w:rsidRPr="00DC0CD5">
      <w:rPr>
        <w:rStyle w:val="ae"/>
      </w:rPr>
      <w:t>DP(A)-</w:t>
    </w:r>
    <w:r>
      <w:rPr>
        <w:rStyle w:val="ae"/>
      </w:rPr>
      <w:fldChar w:fldCharType="begin"/>
    </w:r>
    <w:r w:rsidRPr="00DC0CD5">
      <w:rPr>
        <w:rStyle w:val="ae"/>
      </w:rPr>
      <w:instrText xml:space="preserve"> PAGE </w:instrText>
    </w:r>
    <w:r>
      <w:rPr>
        <w:rStyle w:val="ae"/>
      </w:rPr>
      <w:fldChar w:fldCharType="separate"/>
    </w:r>
    <w:r w:rsidR="00F332DA">
      <w:rPr>
        <w:rStyle w:val="ae"/>
        <w:noProof/>
      </w:rPr>
      <w:t>8</w:t>
    </w:r>
    <w:r>
      <w:rPr>
        <w:rStyle w:val="ae"/>
      </w:rPr>
      <w:fldChar w:fldCharType="end"/>
    </w:r>
    <w:r w:rsidRPr="00DC0CD5">
      <w:tab/>
    </w:r>
    <w:r>
      <w:t xml:space="preserve">Option </w:t>
    </w:r>
    <w:r w:rsidRPr="00861BE0">
      <w:rPr>
        <w:rStyle w:val="ae"/>
        <w:rFonts w:hint="eastAsia"/>
        <w:lang w:eastAsia="ja-JP"/>
      </w:rPr>
      <w:t>A</w:t>
    </w:r>
    <w:r>
      <w:rPr>
        <w:rStyle w:val="ae"/>
        <w:lang w:eastAsia="ja-JP"/>
      </w:rPr>
      <w:t xml:space="preserve"> </w:t>
    </w:r>
    <w:r w:rsidRPr="00861BE0">
      <w:rPr>
        <w:rStyle w:val="ae"/>
        <w:rFonts w:hint="eastAsia"/>
        <w:lang w:eastAsia="ja-JP"/>
      </w:rPr>
      <w:t xml:space="preserve">: </w:t>
    </w:r>
    <w:smartTag w:uri="urn:schemas:contacts" w:element="Sn">
      <w:r>
        <w:t>Section</w:t>
      </w:r>
    </w:smartTag>
    <w:r>
      <w:t xml:space="preserve"> II. </w:t>
    </w:r>
    <w:r w:rsidRPr="00582708">
      <w:t>Données particulières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2095" w14:textId="576CE454" w:rsidR="0037332F" w:rsidRDefault="0037332F" w:rsidP="00212272">
    <w:pPr>
      <w:pStyle w:val="aa"/>
      <w:pBdr>
        <w:bottom w:val="single" w:sz="4" w:space="0" w:color="auto"/>
      </w:pBdr>
      <w:tabs>
        <w:tab w:val="left" w:pos="567"/>
        <w:tab w:val="right" w:pos="9000"/>
      </w:tabs>
    </w:pPr>
    <w:r>
      <w:t xml:space="preserve">Option </w:t>
    </w:r>
    <w:r w:rsidRPr="00861BE0">
      <w:rPr>
        <w:rStyle w:val="ae"/>
        <w:rFonts w:hint="eastAsia"/>
        <w:lang w:eastAsia="ja-JP"/>
      </w:rPr>
      <w:t>A</w:t>
    </w:r>
    <w:r>
      <w:rPr>
        <w:rStyle w:val="ae"/>
        <w:lang w:eastAsia="ja-JP"/>
      </w:rPr>
      <w:t xml:space="preserve"> </w:t>
    </w:r>
    <w:r w:rsidRPr="00861BE0">
      <w:rPr>
        <w:rStyle w:val="ae"/>
        <w:rFonts w:hint="eastAsia"/>
        <w:lang w:eastAsia="ja-JP"/>
      </w:rPr>
      <w:t xml:space="preserve">: </w:t>
    </w:r>
    <w:smartTag w:uri="urn:schemas:contacts" w:element="Sn">
      <w:r>
        <w:t>Section</w:t>
      </w:r>
    </w:smartTag>
    <w:r>
      <w:t xml:space="preserve"> II. </w:t>
    </w:r>
    <w:r w:rsidRPr="00582708">
      <w:t>Données particulières</w:t>
    </w:r>
    <w:r w:rsidDel="002C59E4">
      <w:t xml:space="preserve"> </w:t>
    </w:r>
    <w:r>
      <w:tab/>
    </w:r>
    <w:r w:rsidRPr="00DC0CD5">
      <w:rPr>
        <w:rStyle w:val="ae"/>
      </w:rPr>
      <w:t>DP(A)</w:t>
    </w:r>
    <w:r>
      <w:t>-</w:t>
    </w:r>
    <w:r>
      <w:rPr>
        <w:rStyle w:val="ae"/>
      </w:rPr>
      <w:fldChar w:fldCharType="begin"/>
    </w:r>
    <w:r>
      <w:rPr>
        <w:rStyle w:val="ae"/>
      </w:rPr>
      <w:instrText xml:space="preserve"> PAGE </w:instrText>
    </w:r>
    <w:r>
      <w:rPr>
        <w:rStyle w:val="ae"/>
      </w:rPr>
      <w:fldChar w:fldCharType="separate"/>
    </w:r>
    <w:r w:rsidR="00F332DA">
      <w:rPr>
        <w:rStyle w:val="ae"/>
        <w:noProof/>
      </w:rPr>
      <w:t>7</w:t>
    </w:r>
    <w:r>
      <w:rPr>
        <w:rStyle w:val="a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0A0C" w14:textId="77777777" w:rsidR="001D62E0" w:rsidRDefault="001D62E0">
    <w:pPr>
      <w:pStyle w:val="a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635E" w14:textId="2C63FCEF" w:rsidR="0037332F" w:rsidRPr="001B17AC" w:rsidRDefault="0037332F" w:rsidP="00B7683E">
    <w:pPr>
      <w:pStyle w:val="aa"/>
      <w:pBdr>
        <w:bottom w:val="single" w:sz="4" w:space="0" w:color="auto"/>
      </w:pBdr>
      <w:tabs>
        <w:tab w:val="left" w:pos="567"/>
      </w:tabs>
      <w:ind w:right="-18"/>
      <w:rPr>
        <w:lang w:eastAsia="ja-JP"/>
      </w:rPr>
    </w:pPr>
    <w:r>
      <w:rPr>
        <w:rFonts w:hint="eastAsia"/>
        <w:lang w:eastAsia="ja-JP"/>
      </w:rPr>
      <w:t>Option A</w:t>
    </w:r>
    <w:r>
      <w:rPr>
        <w:lang w:eastAsia="ja-JP"/>
      </w:rPr>
      <w:t> :</w:t>
    </w:r>
    <w:r>
      <w:rPr>
        <w:rFonts w:hint="eastAsia"/>
        <w:lang w:eastAsia="ja-JP"/>
      </w:rPr>
      <w:t xml:space="preserve"> </w:t>
    </w:r>
    <w:r>
      <w:t xml:space="preserve">Section III. Critères d’évaluation et de qualification </w:t>
    </w:r>
    <w:r>
      <w:rPr>
        <w:lang w:eastAsia="ja-JP"/>
      </w:rPr>
      <w:t>(</w:t>
    </w:r>
    <w:r>
      <w:t>après préqualification)</w:t>
    </w:r>
  </w:p>
  <w:p w14:paraId="42C5D3A8" w14:textId="77777777" w:rsidR="0037332F" w:rsidRPr="0089713F" w:rsidRDefault="0037332F" w:rsidP="0089713F">
    <w:pPr>
      <w:pStyle w:val="aa"/>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4549" w14:textId="24128A7F" w:rsidR="0037332F" w:rsidRDefault="0037332F" w:rsidP="00DF2484">
    <w:pPr>
      <w:pStyle w:val="aa"/>
      <w:pBdr>
        <w:bottom w:val="single" w:sz="4" w:space="0" w:color="auto"/>
      </w:pBdr>
      <w:tabs>
        <w:tab w:val="left" w:pos="567"/>
        <w:tab w:val="right" w:pos="9360"/>
      </w:tabs>
    </w:pPr>
    <w:r>
      <w:t xml:space="preserve">Option </w:t>
    </w:r>
    <w:r w:rsidRPr="00861BE0">
      <w:rPr>
        <w:rStyle w:val="ae"/>
        <w:rFonts w:hint="eastAsia"/>
        <w:lang w:eastAsia="ja-JP"/>
      </w:rPr>
      <w:t>A</w:t>
    </w:r>
    <w:r>
      <w:rPr>
        <w:lang w:eastAsia="ja-JP"/>
      </w:rPr>
      <w:t xml:space="preserve"> : </w:t>
    </w:r>
    <w:r w:rsidRPr="00B04EE1">
      <w:rPr>
        <w:rFonts w:hint="eastAsia"/>
        <w:lang w:eastAsia="ja-JP"/>
      </w:rPr>
      <w:t xml:space="preserve">Section III. </w:t>
    </w:r>
    <w:r w:rsidRPr="0058258D">
      <w:t>Critères d’évaluation et de qualific</w:t>
    </w:r>
    <w:r>
      <w:t>ation (après pré</w:t>
    </w:r>
    <w:r w:rsidRPr="0058258D">
      <w:t>qualification</w:t>
    </w:r>
    <w:r>
      <w: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4528" w14:textId="4444B5B8" w:rsidR="0037332F" w:rsidRDefault="0037332F" w:rsidP="00DF2484">
    <w:pPr>
      <w:pStyle w:val="aa"/>
      <w:pBdr>
        <w:bottom w:val="single" w:sz="4" w:space="1" w:color="auto"/>
      </w:pBdr>
      <w:tabs>
        <w:tab w:val="right" w:pos="9360"/>
      </w:tabs>
    </w:pPr>
    <w:r w:rsidRPr="00121972">
      <w:rPr>
        <w:rStyle w:val="ae"/>
        <w:lang w:val="en-US"/>
      </w:rPr>
      <w:t>CEQ(A)(I)-</w:t>
    </w:r>
    <w:r>
      <w:rPr>
        <w:rStyle w:val="ae"/>
      </w:rPr>
      <w:fldChar w:fldCharType="begin"/>
    </w:r>
    <w:r w:rsidRPr="00121972">
      <w:rPr>
        <w:rStyle w:val="ae"/>
        <w:lang w:val="en-US"/>
      </w:rPr>
      <w:instrText xml:space="preserve"> PAGE </w:instrText>
    </w:r>
    <w:r>
      <w:rPr>
        <w:rStyle w:val="ae"/>
      </w:rPr>
      <w:fldChar w:fldCharType="separate"/>
    </w:r>
    <w:r w:rsidR="00F332DA">
      <w:rPr>
        <w:rStyle w:val="ae"/>
        <w:noProof/>
        <w:lang w:val="en-US"/>
      </w:rPr>
      <w:t>6</w:t>
    </w:r>
    <w:r>
      <w:rPr>
        <w:rStyle w:val="ae"/>
      </w:rPr>
      <w:fldChar w:fldCharType="end"/>
    </w:r>
    <w:r w:rsidRPr="00121972">
      <w:rPr>
        <w:lang w:val="en-US"/>
      </w:rPr>
      <w:tab/>
      <w:t xml:space="preserve">Option A : Section III. </w:t>
    </w:r>
    <w:r>
      <w:t>Critères d’évaluation et de qualification (après pré-qualification)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FABB" w14:textId="49E536BA" w:rsidR="0037332F" w:rsidRPr="0058258D" w:rsidRDefault="0037332F" w:rsidP="00D45EAD">
    <w:pPr>
      <w:pStyle w:val="aa"/>
      <w:pBdr>
        <w:bottom w:val="single" w:sz="4" w:space="1" w:color="auto"/>
      </w:pBdr>
      <w:tabs>
        <w:tab w:val="right" w:pos="9356"/>
        <w:tab w:val="right" w:pos="12960"/>
      </w:tabs>
      <w:rPr>
        <w:lang w:eastAsia="ja-JP"/>
      </w:rPr>
    </w:pPr>
    <w:r>
      <w:rPr>
        <w:lang w:eastAsia="ja-JP"/>
      </w:rPr>
      <w:t xml:space="preserve">Option A : </w:t>
    </w:r>
    <w:r w:rsidRPr="00B04EE1">
      <w:rPr>
        <w:rFonts w:hint="eastAsia"/>
        <w:lang w:eastAsia="ja-JP"/>
      </w:rPr>
      <w:t xml:space="preserve">Section III. </w:t>
    </w:r>
    <w:r w:rsidRPr="0058258D">
      <w:t>Critères d’évaluation et de qualific</w:t>
    </w:r>
    <w:r>
      <w:t>ation (après pré</w:t>
    </w:r>
    <w:r w:rsidRPr="0058258D">
      <w:t>qualification</w:t>
    </w:r>
    <w:r>
      <w:t>)</w:t>
    </w:r>
    <w:r w:rsidRPr="0058258D">
      <w:rPr>
        <w:rStyle w:val="ae"/>
        <w:rFonts w:hint="eastAsia"/>
        <w:lang w:eastAsia="ja-JP"/>
      </w:rPr>
      <w:tab/>
    </w:r>
    <w:r w:rsidRPr="0058258D">
      <w:rPr>
        <w:rFonts w:hint="eastAsia"/>
        <w:lang w:eastAsia="ja-JP"/>
      </w:rPr>
      <w:t>C</w:t>
    </w:r>
    <w:r w:rsidRPr="0058258D">
      <w:rPr>
        <w:lang w:eastAsia="ja-JP"/>
      </w:rPr>
      <w:t>EQ</w:t>
    </w:r>
    <w:r>
      <w:rPr>
        <w:lang w:eastAsia="ja-JP"/>
      </w:rPr>
      <w:t>(A)(I)</w:t>
    </w:r>
    <w:r w:rsidRPr="0058258D">
      <w:rPr>
        <w:rFonts w:hint="eastAsia"/>
        <w:lang w:eastAsia="ja-JP"/>
      </w:rPr>
      <w:t>-</w:t>
    </w:r>
    <w:r>
      <w:rPr>
        <w:rStyle w:val="ae"/>
      </w:rPr>
      <w:fldChar w:fldCharType="begin"/>
    </w:r>
    <w:r w:rsidRPr="0058258D">
      <w:rPr>
        <w:rStyle w:val="ae"/>
      </w:rPr>
      <w:instrText xml:space="preserve"> PAGE </w:instrText>
    </w:r>
    <w:r>
      <w:rPr>
        <w:rStyle w:val="ae"/>
      </w:rPr>
      <w:fldChar w:fldCharType="separate"/>
    </w:r>
    <w:r w:rsidR="00F332DA">
      <w:rPr>
        <w:rStyle w:val="ae"/>
        <w:noProof/>
      </w:rPr>
      <w:t>7</w:t>
    </w:r>
    <w:r>
      <w:rPr>
        <w:rStyle w:val="ae"/>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A10D" w14:textId="77777777" w:rsidR="0037332F" w:rsidRPr="00121972" w:rsidRDefault="0037332F" w:rsidP="00D45EAD">
    <w:pPr>
      <w:pStyle w:val="aa"/>
      <w:pBdr>
        <w:bottom w:val="single" w:sz="4" w:space="1" w:color="auto"/>
      </w:pBdr>
      <w:tabs>
        <w:tab w:val="right" w:pos="9000"/>
      </w:tabs>
      <w:rPr>
        <w:lang w:val="en-US" w:eastAsia="ja-JP"/>
      </w:rPr>
    </w:pPr>
    <w:r w:rsidRPr="00121972">
      <w:rPr>
        <w:rFonts w:hint="eastAsia"/>
        <w:lang w:val="en-US" w:eastAsia="ja-JP"/>
      </w:rPr>
      <w:t>Section III. Evaluation and Qualification Criteria (without prequalification)</w:t>
    </w:r>
    <w:r w:rsidRPr="00121972">
      <w:rPr>
        <w:rFonts w:hint="eastAsia"/>
        <w:lang w:val="en-US" w:eastAsia="ja-JP"/>
      </w:rPr>
      <w:tab/>
    </w:r>
    <w:r>
      <w:rPr>
        <w:rStyle w:val="ae"/>
      </w:rPr>
      <w:fldChar w:fldCharType="begin"/>
    </w:r>
    <w:r w:rsidRPr="00121972">
      <w:rPr>
        <w:rStyle w:val="ae"/>
        <w:lang w:val="en-US"/>
      </w:rPr>
      <w:instrText xml:space="preserve"> PAGE </w:instrText>
    </w:r>
    <w:r>
      <w:rPr>
        <w:rStyle w:val="ae"/>
      </w:rPr>
      <w:fldChar w:fldCharType="separate"/>
    </w:r>
    <w:r w:rsidRPr="00121972">
      <w:rPr>
        <w:rStyle w:val="ae"/>
        <w:noProof/>
        <w:lang w:val="en-US"/>
      </w:rPr>
      <w:t>83</w:t>
    </w:r>
    <w:r>
      <w:rPr>
        <w:rStyle w:val="ae"/>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B176" w14:textId="77777777" w:rsidR="0037332F" w:rsidRDefault="0037332F" w:rsidP="002C2FB9">
    <w:pPr>
      <w:pStyle w:val="aa"/>
      <w:pBdr>
        <w:bottom w:val="single" w:sz="4" w:space="1" w:color="auto"/>
      </w:pBdr>
      <w:tabs>
        <w:tab w:val="right" w:pos="9360"/>
      </w:tabs>
      <w:ind w:right="-18"/>
      <w:jc w:val="right"/>
    </w:pP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r>
      <w:tab/>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6A48" w14:textId="56BF5889" w:rsidR="0037332F" w:rsidRDefault="0037332F" w:rsidP="00DF2484">
    <w:pPr>
      <w:pStyle w:val="aa"/>
      <w:pBdr>
        <w:bottom w:val="single" w:sz="4" w:space="0" w:color="auto"/>
      </w:pBdr>
      <w:tabs>
        <w:tab w:val="left" w:pos="567"/>
      </w:tabs>
      <w:rPr>
        <w:lang w:eastAsia="ja-JP"/>
      </w:rPr>
    </w:pPr>
    <w:r>
      <w:rPr>
        <w:rFonts w:hint="eastAsia"/>
        <w:lang w:eastAsia="ja-JP"/>
      </w:rPr>
      <w:t>Option A</w:t>
    </w:r>
    <w:r>
      <w:rPr>
        <w:lang w:eastAsia="ja-JP"/>
      </w:rPr>
      <w:t> :</w:t>
    </w:r>
    <w:r>
      <w:rPr>
        <w:rFonts w:hint="eastAsia"/>
        <w:lang w:eastAsia="ja-JP"/>
      </w:rPr>
      <w:t xml:space="preserve"> </w:t>
    </w:r>
    <w:r>
      <w:t xml:space="preserve">Section III. Critères d’évaluation et de qualification </w:t>
    </w:r>
    <w:r>
      <w:rPr>
        <w:lang w:eastAsia="ja-JP"/>
      </w:rPr>
      <w:t>(</w:t>
    </w:r>
    <w:r>
      <w:rPr>
        <w:rFonts w:hint="eastAsia"/>
        <w:lang w:eastAsia="ja-JP"/>
      </w:rPr>
      <w:t>san</w:t>
    </w:r>
    <w:r>
      <w:t>s préqualification)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6CC8" w14:textId="77777777" w:rsidR="0037332F" w:rsidRPr="001B17AC" w:rsidRDefault="0037332F"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1</w:t>
    </w:r>
    <w:r w:rsidRPr="001B17AC">
      <w:rPr>
        <w:rStyle w:val="ae"/>
      </w:rPr>
      <w:fldChar w:fldCharType="end"/>
    </w:r>
    <w:r>
      <w:rPr>
        <w:rStyle w:val="ae"/>
      </w:rPr>
      <w:tab/>
    </w:r>
    <w:r>
      <w:t>Sommaire</w:t>
    </w:r>
  </w:p>
  <w:p w14:paraId="647B049A" w14:textId="77777777" w:rsidR="0037332F" w:rsidRPr="0089713F" w:rsidRDefault="0037332F" w:rsidP="0089713F">
    <w:pPr>
      <w:pStyle w:val="aa"/>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1806" w14:textId="749C134C" w:rsidR="0037332F" w:rsidRDefault="0037332F" w:rsidP="00D55C66">
    <w:pPr>
      <w:pStyle w:val="aa"/>
      <w:pBdr>
        <w:bottom w:val="single" w:sz="4" w:space="0" w:color="auto"/>
      </w:pBdr>
      <w:tabs>
        <w:tab w:val="right" w:pos="9356"/>
      </w:tabs>
    </w:pPr>
    <w:r>
      <w:rPr>
        <w:rStyle w:val="ae"/>
        <w:rFonts w:hint="eastAsia"/>
        <w:lang w:eastAsia="ja-JP"/>
      </w:rPr>
      <w:t>CEQ</w:t>
    </w:r>
    <w:r>
      <w:rPr>
        <w:rStyle w:val="ae"/>
        <w:lang w:eastAsia="ja-JP"/>
      </w:rPr>
      <w:t>(A)(II)</w:t>
    </w:r>
    <w:r>
      <w:rPr>
        <w:rStyle w:val="ae"/>
        <w:rFonts w:hint="eastAsia"/>
        <w:lang w:eastAsia="ja-JP"/>
      </w:rPr>
      <w:t>-</w:t>
    </w:r>
    <w:r>
      <w:rPr>
        <w:rStyle w:val="ae"/>
      </w:rPr>
      <w:fldChar w:fldCharType="begin"/>
    </w:r>
    <w:r>
      <w:rPr>
        <w:rStyle w:val="ae"/>
      </w:rPr>
      <w:instrText xml:space="preserve"> PAGE </w:instrText>
    </w:r>
    <w:r>
      <w:rPr>
        <w:rStyle w:val="ae"/>
      </w:rPr>
      <w:fldChar w:fldCharType="separate"/>
    </w:r>
    <w:r w:rsidR="00F332DA">
      <w:rPr>
        <w:rStyle w:val="ae"/>
        <w:noProof/>
      </w:rPr>
      <w:t>6</w:t>
    </w:r>
    <w:r>
      <w:rPr>
        <w:rStyle w:val="ae"/>
      </w:rPr>
      <w:fldChar w:fldCharType="end"/>
    </w:r>
    <w:r>
      <w:tab/>
    </w:r>
    <w:r>
      <w:rPr>
        <w:rFonts w:hint="eastAsia"/>
        <w:lang w:eastAsia="ja-JP"/>
      </w:rPr>
      <w:t>Option A</w:t>
    </w:r>
    <w:r>
      <w:rPr>
        <w:lang w:eastAsia="ja-JP"/>
      </w:rPr>
      <w:t> :</w:t>
    </w:r>
    <w:r>
      <w:rPr>
        <w:rFonts w:hint="eastAsia"/>
        <w:lang w:eastAsia="ja-JP"/>
      </w:rPr>
      <w:t xml:space="preserve"> </w:t>
    </w:r>
    <w:r>
      <w:t xml:space="preserve">Section III. Critères d’évaluation et de qualification </w:t>
    </w:r>
    <w:r>
      <w:rPr>
        <w:lang w:eastAsia="ja-JP"/>
      </w:rPr>
      <w:t>(</w:t>
    </w:r>
    <w:r>
      <w:rPr>
        <w:rFonts w:hint="eastAsia"/>
        <w:lang w:eastAsia="ja-JP"/>
      </w:rPr>
      <w:t>san</w:t>
    </w:r>
    <w:r>
      <w:t>s préqualification)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30AD" w14:textId="037D6B14" w:rsidR="0037332F" w:rsidRDefault="0037332F" w:rsidP="00D55C66">
    <w:pPr>
      <w:pStyle w:val="aa"/>
      <w:pBdr>
        <w:bottom w:val="single" w:sz="4" w:space="0" w:color="auto"/>
      </w:pBdr>
      <w:tabs>
        <w:tab w:val="left" w:pos="567"/>
        <w:tab w:val="right" w:pos="9356"/>
      </w:tabs>
      <w:rPr>
        <w:lang w:eastAsia="ja-JP"/>
      </w:rPr>
    </w:pPr>
    <w:r>
      <w:rPr>
        <w:rFonts w:hint="eastAsia"/>
        <w:lang w:eastAsia="ja-JP"/>
      </w:rPr>
      <w:t>Option A</w:t>
    </w:r>
    <w:r>
      <w:rPr>
        <w:lang w:eastAsia="ja-JP"/>
      </w:rPr>
      <w:t> :</w:t>
    </w:r>
    <w:r>
      <w:rPr>
        <w:rFonts w:hint="eastAsia"/>
        <w:lang w:eastAsia="ja-JP"/>
      </w:rPr>
      <w:t xml:space="preserve"> </w:t>
    </w:r>
    <w:r>
      <w:t xml:space="preserve">Section III. Critères d’évaluation et de qualification </w:t>
    </w:r>
    <w:r>
      <w:rPr>
        <w:lang w:eastAsia="ja-JP"/>
      </w:rPr>
      <w:t>(</w:t>
    </w:r>
    <w:r>
      <w:rPr>
        <w:rFonts w:hint="eastAsia"/>
        <w:lang w:eastAsia="ja-JP"/>
      </w:rPr>
      <w:t>san</w:t>
    </w:r>
    <w:r>
      <w:t>s préqualification)</w:t>
    </w:r>
    <w:r>
      <w:tab/>
    </w:r>
    <w:r>
      <w:rPr>
        <w:rFonts w:hint="eastAsia"/>
        <w:lang w:eastAsia="ja-JP"/>
      </w:rPr>
      <w:t>CEQ</w:t>
    </w:r>
    <w:r>
      <w:rPr>
        <w:lang w:eastAsia="ja-JP"/>
      </w:rPr>
      <w:t>(A)(II)</w:t>
    </w:r>
    <w:r>
      <w:rPr>
        <w:rFonts w:hint="eastAsia"/>
        <w:lang w:eastAsia="ja-JP"/>
      </w:rPr>
      <w:t>-</w:t>
    </w:r>
    <w:r>
      <w:rPr>
        <w:rStyle w:val="ae"/>
      </w:rPr>
      <w:fldChar w:fldCharType="begin"/>
    </w:r>
    <w:r>
      <w:rPr>
        <w:rStyle w:val="ae"/>
      </w:rPr>
      <w:instrText xml:space="preserve"> PAGE </w:instrText>
    </w:r>
    <w:r>
      <w:rPr>
        <w:rStyle w:val="ae"/>
      </w:rPr>
      <w:fldChar w:fldCharType="separate"/>
    </w:r>
    <w:r w:rsidR="00F332DA">
      <w:rPr>
        <w:rStyle w:val="ae"/>
        <w:noProof/>
      </w:rPr>
      <w:t>7</w:t>
    </w:r>
    <w:r>
      <w:rPr>
        <w:rStyle w:val="a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B7C5" w14:textId="77777777" w:rsidR="0037332F" w:rsidRDefault="0037332F" w:rsidP="00A206F8">
    <w:pPr>
      <w:pStyle w:val="aa"/>
      <w:pBdr>
        <w:bottom w:val="single" w:sz="4" w:space="1" w:color="auto"/>
      </w:pBdr>
      <w:rPr>
        <w:lang w:eastAsia="ja-JP"/>
      </w:rPr>
    </w:pPr>
    <w:r>
      <w:rPr>
        <w:rStyle w:val="ae"/>
      </w:rPr>
      <w:fldChar w:fldCharType="begin"/>
    </w:r>
    <w:r>
      <w:rPr>
        <w:rStyle w:val="ae"/>
      </w:rPr>
      <w:instrText xml:space="preserve"> PAGE </w:instrText>
    </w:r>
    <w:r>
      <w:rPr>
        <w:rStyle w:val="ae"/>
      </w:rPr>
      <w:fldChar w:fldCharType="separate"/>
    </w:r>
    <w:r w:rsidR="00F332DA">
      <w:rPr>
        <w:rStyle w:val="ae"/>
        <w:noProof/>
      </w:rPr>
      <w:t>ii</w:t>
    </w:r>
    <w:r>
      <w:rPr>
        <w:rStyle w:val="ae"/>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8E43" w14:textId="7113FCEC" w:rsidR="0037332F" w:rsidRDefault="0037332F" w:rsidP="009C3E53">
    <w:pPr>
      <w:pStyle w:val="aa"/>
      <w:pBdr>
        <w:bottom w:val="single" w:sz="4" w:space="0" w:color="auto"/>
      </w:pBdr>
      <w:tabs>
        <w:tab w:val="right" w:pos="12960"/>
      </w:tabs>
    </w:pPr>
    <w:r>
      <w:rPr>
        <w:rStyle w:val="ae"/>
        <w:rFonts w:hint="eastAsia"/>
        <w:lang w:eastAsia="ja-JP"/>
      </w:rPr>
      <w:t>CEQ</w:t>
    </w:r>
    <w:r>
      <w:rPr>
        <w:rStyle w:val="ae"/>
        <w:lang w:eastAsia="ja-JP"/>
      </w:rPr>
      <w:t>(A)(II)</w:t>
    </w:r>
    <w:r>
      <w:rPr>
        <w:rStyle w:val="ae"/>
        <w:rFonts w:hint="eastAsia"/>
        <w:lang w:eastAsia="ja-JP"/>
      </w:rPr>
      <w:t>-</w:t>
    </w:r>
    <w:r>
      <w:rPr>
        <w:rStyle w:val="ae"/>
      </w:rPr>
      <w:fldChar w:fldCharType="begin"/>
    </w:r>
    <w:r>
      <w:rPr>
        <w:rStyle w:val="ae"/>
      </w:rPr>
      <w:instrText xml:space="preserve"> PAGE </w:instrText>
    </w:r>
    <w:r>
      <w:rPr>
        <w:rStyle w:val="ae"/>
      </w:rPr>
      <w:fldChar w:fldCharType="separate"/>
    </w:r>
    <w:r w:rsidR="00F332DA">
      <w:rPr>
        <w:rStyle w:val="ae"/>
        <w:noProof/>
      </w:rPr>
      <w:t>16</w:t>
    </w:r>
    <w:r>
      <w:rPr>
        <w:rStyle w:val="ae"/>
      </w:rPr>
      <w:fldChar w:fldCharType="end"/>
    </w:r>
    <w:r>
      <w:tab/>
    </w:r>
    <w:r>
      <w:rPr>
        <w:rFonts w:hint="eastAsia"/>
        <w:lang w:eastAsia="ja-JP"/>
      </w:rPr>
      <w:t>Option A</w:t>
    </w:r>
    <w:r>
      <w:rPr>
        <w:lang w:eastAsia="ja-JP"/>
      </w:rPr>
      <w:t> :</w:t>
    </w:r>
    <w:r>
      <w:rPr>
        <w:rFonts w:hint="eastAsia"/>
        <w:lang w:eastAsia="ja-JP"/>
      </w:rPr>
      <w:t xml:space="preserve"> </w:t>
    </w:r>
    <w:r>
      <w:t xml:space="preserve">Section III. Critères d’évaluation et de qualification </w:t>
    </w:r>
    <w:r>
      <w:rPr>
        <w:lang w:eastAsia="ja-JP"/>
      </w:rPr>
      <w:t>(</w:t>
    </w:r>
    <w:r>
      <w:rPr>
        <w:rFonts w:hint="eastAsia"/>
        <w:lang w:eastAsia="ja-JP"/>
      </w:rPr>
      <w:t>san</w:t>
    </w:r>
    <w:r>
      <w:t>s préqualification)</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8CFB" w14:textId="35E33E3B" w:rsidR="0037332F" w:rsidRDefault="0037332F" w:rsidP="009C3E53">
    <w:pPr>
      <w:pStyle w:val="aa"/>
      <w:pBdr>
        <w:bottom w:val="single" w:sz="4" w:space="0" w:color="auto"/>
      </w:pBdr>
      <w:tabs>
        <w:tab w:val="right" w:pos="12960"/>
      </w:tabs>
    </w:pPr>
    <w:r>
      <w:rPr>
        <w:rFonts w:hint="eastAsia"/>
        <w:lang w:eastAsia="ja-JP"/>
      </w:rPr>
      <w:t>Option A</w:t>
    </w:r>
    <w:r>
      <w:rPr>
        <w:lang w:eastAsia="ja-JP"/>
      </w:rPr>
      <w:t> :</w:t>
    </w:r>
    <w:r>
      <w:rPr>
        <w:rFonts w:hint="eastAsia"/>
        <w:lang w:eastAsia="ja-JP"/>
      </w:rPr>
      <w:t xml:space="preserve"> </w:t>
    </w:r>
    <w:r>
      <w:t xml:space="preserve">Section III. Critères d’évaluation et de qualification </w:t>
    </w:r>
    <w:r>
      <w:rPr>
        <w:lang w:eastAsia="ja-JP"/>
      </w:rPr>
      <w:t>(</w:t>
    </w:r>
    <w:r>
      <w:rPr>
        <w:rFonts w:hint="eastAsia"/>
        <w:lang w:eastAsia="ja-JP"/>
      </w:rPr>
      <w:t>san</w:t>
    </w:r>
    <w:r>
      <w:t>s préqualification)</w:t>
    </w:r>
    <w:r>
      <w:tab/>
    </w:r>
    <w:r>
      <w:rPr>
        <w:rFonts w:hint="eastAsia"/>
        <w:lang w:eastAsia="ja-JP"/>
      </w:rPr>
      <w:t>CEQ</w:t>
    </w:r>
    <w:r>
      <w:rPr>
        <w:lang w:eastAsia="ja-JP"/>
      </w:rPr>
      <w:t>(A)(II)</w:t>
    </w:r>
    <w:r>
      <w:rPr>
        <w:rFonts w:hint="eastAsia"/>
        <w:lang w:eastAsia="ja-JP"/>
      </w:rPr>
      <w:t>-</w:t>
    </w:r>
    <w:r>
      <w:rPr>
        <w:rStyle w:val="ae"/>
      </w:rPr>
      <w:fldChar w:fldCharType="begin"/>
    </w:r>
    <w:r>
      <w:rPr>
        <w:rStyle w:val="ae"/>
      </w:rPr>
      <w:instrText xml:space="preserve"> PAGE </w:instrText>
    </w:r>
    <w:r>
      <w:rPr>
        <w:rStyle w:val="ae"/>
      </w:rPr>
      <w:fldChar w:fldCharType="separate"/>
    </w:r>
    <w:r w:rsidR="00F332DA">
      <w:rPr>
        <w:rStyle w:val="ae"/>
        <w:noProof/>
      </w:rPr>
      <w:t>17</w:t>
    </w:r>
    <w:r>
      <w:rPr>
        <w:rStyle w:val="ae"/>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C4FD" w14:textId="77777777" w:rsidR="0037332F" w:rsidRPr="001B17AC" w:rsidRDefault="0037332F" w:rsidP="0089713F">
    <w:pPr>
      <w:pStyle w:val="aa"/>
      <w:pBdr>
        <w:bottom w:val="single" w:sz="4" w:space="1" w:color="auto"/>
      </w:pBdr>
      <w:tabs>
        <w:tab w:val="right" w:pos="9360"/>
      </w:tabs>
    </w:pPr>
    <w:r>
      <w:rPr>
        <w:rStyle w:val="ae"/>
        <w:rFonts w:hint="eastAsia"/>
        <w:lang w:eastAsia="ja-JP"/>
      </w:rPr>
      <w:t>CEQ-</w:t>
    </w: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5</w:t>
    </w:r>
    <w:r w:rsidRPr="001B17AC">
      <w:rPr>
        <w:rStyle w:val="ae"/>
      </w:rPr>
      <w:fldChar w:fldCharType="end"/>
    </w:r>
    <w:r>
      <w:rPr>
        <w:rStyle w:val="ae"/>
      </w:rPr>
      <w:tab/>
    </w:r>
    <w:r>
      <w:t>Sommaire</w:t>
    </w:r>
  </w:p>
  <w:p w14:paraId="30C4E4B8" w14:textId="77777777" w:rsidR="0037332F" w:rsidRPr="0089713F" w:rsidRDefault="0037332F" w:rsidP="0089713F">
    <w:pPr>
      <w:pStyle w:val="aa"/>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B126" w14:textId="69D72BF5" w:rsidR="0037332F" w:rsidRPr="00D41711" w:rsidRDefault="0037332F" w:rsidP="00032887">
    <w:pPr>
      <w:pStyle w:val="aa"/>
      <w:pBdr>
        <w:bottom w:val="single" w:sz="4" w:space="1" w:color="auto"/>
      </w:pBdr>
      <w:jc w:val="both"/>
    </w:pPr>
    <w:r>
      <w:rPr>
        <w:rFonts w:hint="eastAsia"/>
        <w:lang w:eastAsia="ja-JP"/>
      </w:rPr>
      <w:t>Option B</w:t>
    </w:r>
    <w:r>
      <w:rPr>
        <w:lang w:eastAsia="ja-JP"/>
      </w:rPr>
      <w:t> :</w:t>
    </w:r>
    <w:r>
      <w:rPr>
        <w:rFonts w:hint="eastAsia"/>
        <w:lang w:eastAsia="ja-JP"/>
      </w:rPr>
      <w:t xml:space="preserve"> </w:t>
    </w:r>
    <w:r w:rsidRPr="00D41711">
      <w:t>Section I. Instructions aux soumissionnaires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E9B2" w14:textId="5FC2F943" w:rsidR="0037332F" w:rsidRPr="001727C2" w:rsidRDefault="0037332F" w:rsidP="001A2DF2">
    <w:pPr>
      <w:pStyle w:val="aa"/>
      <w:pBdr>
        <w:bottom w:val="single" w:sz="4" w:space="1" w:color="auto"/>
      </w:pBd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A54B" w14:textId="77777777" w:rsidR="0037332F" w:rsidRPr="0089713F" w:rsidRDefault="0037332F" w:rsidP="001727C2">
    <w:pPr>
      <w:pStyle w:val="aa"/>
      <w:pBdr>
        <w:bottom w:val="single" w:sz="4" w:space="1" w:color="auto"/>
      </w:pBd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7B83" w14:textId="7E6CFDF6" w:rsidR="0037332F" w:rsidRPr="001727C2" w:rsidRDefault="0037332F" w:rsidP="00F02EEB">
    <w:pPr>
      <w:pStyle w:val="aa"/>
      <w:pBdr>
        <w:bottom w:val="single" w:sz="4" w:space="1" w:color="auto"/>
      </w:pBdr>
      <w:jc w:val="both"/>
    </w:pPr>
    <w:r>
      <w:rPr>
        <w:rFonts w:hint="eastAsia"/>
        <w:lang w:eastAsia="ja-JP"/>
      </w:rPr>
      <w:t>Option B</w:t>
    </w:r>
    <w:r>
      <w:rPr>
        <w:lang w:eastAsia="ja-JP"/>
      </w:rPr>
      <w:t> :</w:t>
    </w:r>
    <w:r>
      <w:rPr>
        <w:rFonts w:hint="eastAsia"/>
        <w:lang w:eastAsia="ja-JP"/>
      </w:rPr>
      <w:t xml:space="preserve"> </w:t>
    </w:r>
    <w:r w:rsidRPr="00D41711">
      <w:t>Section I. Instructions aux soumissionnaires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830D" w14:textId="075B8A61" w:rsidR="0037332F" w:rsidRPr="00612B08" w:rsidRDefault="0037332F" w:rsidP="00B14B71">
    <w:pPr>
      <w:pStyle w:val="aa"/>
      <w:pBdr>
        <w:bottom w:val="single" w:sz="4" w:space="1" w:color="auto"/>
      </w:pBdr>
      <w:tabs>
        <w:tab w:val="right" w:pos="9000"/>
      </w:tabs>
      <w:rPr>
        <w:lang w:eastAsia="ja-JP"/>
      </w:rPr>
    </w:pPr>
    <w:r>
      <w:t>IS(B)</w:t>
    </w:r>
    <w:r w:rsidRPr="00F55EE4">
      <w:t>-</w:t>
    </w:r>
    <w:r>
      <w:rPr>
        <w:rStyle w:val="ae"/>
      </w:rPr>
      <w:fldChar w:fldCharType="begin"/>
    </w:r>
    <w:r w:rsidRPr="00F55EE4">
      <w:rPr>
        <w:rStyle w:val="ae"/>
      </w:rPr>
      <w:instrText xml:space="preserve"> PAGE </w:instrText>
    </w:r>
    <w:r>
      <w:rPr>
        <w:rStyle w:val="ae"/>
      </w:rPr>
      <w:fldChar w:fldCharType="separate"/>
    </w:r>
    <w:r w:rsidR="00F332DA">
      <w:rPr>
        <w:rStyle w:val="ae"/>
        <w:noProof/>
      </w:rPr>
      <w:t>40</w:t>
    </w:r>
    <w:r>
      <w:rPr>
        <w:rStyle w:val="ae"/>
      </w:rPr>
      <w:fldChar w:fldCharType="end"/>
    </w:r>
    <w:r>
      <w:rPr>
        <w:rStyle w:val="ae"/>
      </w:rPr>
      <w:tab/>
    </w:r>
    <w:r>
      <w:rPr>
        <w:rFonts w:hint="eastAsia"/>
        <w:lang w:eastAsia="ja-JP"/>
      </w:rPr>
      <w:t>Option B</w:t>
    </w:r>
    <w:r>
      <w:rPr>
        <w:lang w:eastAsia="ja-JP"/>
      </w:rPr>
      <w:t> :</w:t>
    </w:r>
    <w:r w:rsidRPr="00861BE0">
      <w:rPr>
        <w:rStyle w:val="ae"/>
        <w:rFonts w:hint="eastAsia"/>
        <w:lang w:eastAsia="ja-JP"/>
      </w:rPr>
      <w:t xml:space="preserve"> </w:t>
    </w:r>
    <w:r>
      <w:t xml:space="preserve">Section </w:t>
    </w:r>
    <w:smartTag w:uri="urn:schemas:contacts" w:element="Sn">
      <w:r>
        <w:t>I.</w:t>
      </w:r>
    </w:smartTag>
    <w:r>
      <w:t xml:space="preserve"> </w:t>
    </w:r>
    <w:r w:rsidRPr="004F2871">
      <w:t>Instructions aux soumissionnaires</w:t>
    </w:r>
  </w:p>
  <w:p w14:paraId="30942D81" w14:textId="2E67C00D" w:rsidR="0037332F" w:rsidRPr="00B14B71" w:rsidRDefault="0037332F" w:rsidP="00B14B71">
    <w:pPr>
      <w:pStyle w:val="aa"/>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9B21" w14:textId="6F3EB17F" w:rsidR="0037332F" w:rsidRPr="00612B08" w:rsidRDefault="0037332F" w:rsidP="00612B08">
    <w:pPr>
      <w:pStyle w:val="aa"/>
      <w:pBdr>
        <w:bottom w:val="single" w:sz="4" w:space="1" w:color="auto"/>
      </w:pBdr>
      <w:tabs>
        <w:tab w:val="right" w:pos="9000"/>
      </w:tabs>
      <w:rPr>
        <w:lang w:eastAsia="ja-JP"/>
      </w:rPr>
    </w:pPr>
    <w:r>
      <w:rPr>
        <w:rFonts w:hint="eastAsia"/>
        <w:lang w:eastAsia="ja-JP"/>
      </w:rPr>
      <w:t>Option B</w:t>
    </w:r>
    <w:r>
      <w:rPr>
        <w:lang w:eastAsia="ja-JP"/>
      </w:rPr>
      <w:t> :</w:t>
    </w:r>
    <w:r w:rsidRPr="00861BE0">
      <w:rPr>
        <w:rStyle w:val="ae"/>
        <w:rFonts w:hint="eastAsia"/>
        <w:lang w:eastAsia="ja-JP"/>
      </w:rPr>
      <w:t xml:space="preserve"> </w:t>
    </w:r>
    <w:r>
      <w:t xml:space="preserve">Section </w:t>
    </w:r>
    <w:smartTag w:uri="urn:schemas:contacts" w:element="Sn">
      <w:r>
        <w:t>I.</w:t>
      </w:r>
    </w:smartTag>
    <w:r>
      <w:t xml:space="preserve"> </w:t>
    </w:r>
    <w:r w:rsidRPr="004F2871">
      <w:t>Instructions aux soumissionnaires</w:t>
    </w:r>
    <w:r>
      <w:tab/>
      <w:t>IS(B)</w:t>
    </w:r>
    <w:r w:rsidRPr="00F55EE4">
      <w:t>-</w:t>
    </w:r>
    <w:r>
      <w:rPr>
        <w:rStyle w:val="ae"/>
      </w:rPr>
      <w:fldChar w:fldCharType="begin"/>
    </w:r>
    <w:r w:rsidRPr="00F55EE4">
      <w:rPr>
        <w:rStyle w:val="ae"/>
      </w:rPr>
      <w:instrText xml:space="preserve"> PAGE </w:instrText>
    </w:r>
    <w:r>
      <w:rPr>
        <w:rStyle w:val="ae"/>
      </w:rPr>
      <w:fldChar w:fldCharType="separate"/>
    </w:r>
    <w:r w:rsidR="00F332DA">
      <w:rPr>
        <w:rStyle w:val="ae"/>
        <w:noProof/>
      </w:rPr>
      <w:t>41</w:t>
    </w:r>
    <w:r>
      <w:rPr>
        <w:rStyle w:val="ae"/>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398F" w14:textId="4B7F56E8" w:rsidR="0037332F" w:rsidRPr="00612B08" w:rsidRDefault="0037332F" w:rsidP="00612B08">
    <w:pPr>
      <w:pStyle w:val="aa"/>
      <w:pBdr>
        <w:bottom w:val="single" w:sz="4" w:space="1" w:color="auto"/>
      </w:pBdr>
      <w:tabs>
        <w:tab w:val="right" w:pos="9000"/>
      </w:tabs>
      <w:rPr>
        <w:lang w:eastAsia="ja-JP"/>
      </w:rPr>
    </w:pPr>
    <w:r>
      <w:rPr>
        <w:rFonts w:hint="eastAsia"/>
        <w:lang w:eastAsia="ja-JP"/>
      </w:rPr>
      <w:t>Option B</w:t>
    </w:r>
    <w:r>
      <w:rPr>
        <w:lang w:eastAsia="ja-JP"/>
      </w:rPr>
      <w:t> :</w:t>
    </w:r>
    <w:r w:rsidRPr="00861BE0">
      <w:rPr>
        <w:rStyle w:val="ae"/>
        <w:rFonts w:hint="eastAsia"/>
        <w:lang w:eastAsia="ja-JP"/>
      </w:rPr>
      <w:t xml:space="preserve"> </w:t>
    </w:r>
    <w:r>
      <w:t xml:space="preserve">Section II. </w:t>
    </w:r>
    <w:r w:rsidRPr="00582708">
      <w:t>Données particulières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64C4" w14:textId="77777777" w:rsidR="0037332F" w:rsidRDefault="0037332F" w:rsidP="00C247BD">
    <w:pPr>
      <w:pStyle w:val="aa"/>
      <w:pBdr>
        <w:bottom w:val="single" w:sz="4" w:space="1" w:color="auto"/>
      </w:pBdr>
      <w:tabs>
        <w:tab w:val="right" w:pos="9000"/>
      </w:tabs>
      <w:jc w:val="right"/>
      <w:rPr>
        <w:lang w:eastAsia="ja-JP"/>
      </w:rPr>
    </w:pPr>
    <w:r>
      <w:rPr>
        <w:rStyle w:val="ae"/>
      </w:rPr>
      <w:fldChar w:fldCharType="begin"/>
    </w:r>
    <w:r>
      <w:rPr>
        <w:rStyle w:val="ae"/>
      </w:rPr>
      <w:instrText xml:space="preserve"> PAGE </w:instrText>
    </w:r>
    <w:r>
      <w:rPr>
        <w:rStyle w:val="ae"/>
      </w:rPr>
      <w:fldChar w:fldCharType="separate"/>
    </w:r>
    <w:r w:rsidR="00F332DA">
      <w:rPr>
        <w:rStyle w:val="ae"/>
        <w:noProof/>
      </w:rPr>
      <w:t>i</w:t>
    </w:r>
    <w:r>
      <w:rPr>
        <w:rStyle w:val="ae"/>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EEA9" w14:textId="44942223" w:rsidR="0037332F" w:rsidRDefault="0037332F" w:rsidP="006A6CFE">
    <w:pPr>
      <w:pStyle w:val="aa"/>
      <w:pBdr>
        <w:bottom w:val="single" w:sz="4" w:space="1" w:color="auto"/>
      </w:pBdr>
      <w:tabs>
        <w:tab w:val="right" w:pos="9360"/>
      </w:tabs>
    </w:pPr>
    <w:r w:rsidRPr="00DC0CD5">
      <w:rPr>
        <w:rStyle w:val="ae"/>
      </w:rPr>
      <w:t>DP(B)</w:t>
    </w:r>
    <w:r>
      <w:rPr>
        <w:rStyle w:val="ae"/>
      </w:rPr>
      <w:t>-</w:t>
    </w:r>
    <w:r>
      <w:rPr>
        <w:rStyle w:val="ae"/>
      </w:rPr>
      <w:fldChar w:fldCharType="begin"/>
    </w:r>
    <w:r>
      <w:rPr>
        <w:rStyle w:val="ae"/>
      </w:rPr>
      <w:instrText xml:space="preserve"> PAGE </w:instrText>
    </w:r>
    <w:r>
      <w:rPr>
        <w:rStyle w:val="ae"/>
      </w:rPr>
      <w:fldChar w:fldCharType="separate"/>
    </w:r>
    <w:r w:rsidR="00F332DA">
      <w:rPr>
        <w:rStyle w:val="ae"/>
        <w:noProof/>
      </w:rPr>
      <w:t>8</w:t>
    </w:r>
    <w:r>
      <w:rPr>
        <w:rStyle w:val="ae"/>
      </w:rPr>
      <w:fldChar w:fldCharType="end"/>
    </w:r>
    <w:r>
      <w:tab/>
      <w:t xml:space="preserve">Option </w:t>
    </w:r>
    <w:r>
      <w:rPr>
        <w:rStyle w:val="ae"/>
        <w:lang w:eastAsia="ja-JP"/>
      </w:rPr>
      <w:t xml:space="preserve">B </w:t>
    </w:r>
    <w:r w:rsidRPr="00861BE0">
      <w:rPr>
        <w:rStyle w:val="ae"/>
        <w:rFonts w:hint="eastAsia"/>
        <w:lang w:eastAsia="ja-JP"/>
      </w:rPr>
      <w:t xml:space="preserve">: </w:t>
    </w:r>
    <w:smartTag w:uri="urn:schemas:contacts" w:element="Sn">
      <w:r>
        <w:t>Section</w:t>
      </w:r>
    </w:smartTag>
    <w:r>
      <w:t xml:space="preserve"> II. </w:t>
    </w:r>
    <w:r w:rsidRPr="00582708">
      <w:t>Données particulières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FF4C" w14:textId="7EF73231" w:rsidR="0037332F" w:rsidRDefault="0037332F" w:rsidP="006A6CFE">
    <w:pPr>
      <w:pStyle w:val="aa"/>
      <w:pBdr>
        <w:bottom w:val="single" w:sz="4" w:space="0" w:color="auto"/>
      </w:pBdr>
      <w:tabs>
        <w:tab w:val="left" w:pos="567"/>
        <w:tab w:val="right" w:pos="9360"/>
      </w:tabs>
    </w:pPr>
    <w:r>
      <w:t xml:space="preserve">Option </w:t>
    </w:r>
    <w:r>
      <w:rPr>
        <w:rStyle w:val="ae"/>
        <w:lang w:eastAsia="ja-JP"/>
      </w:rPr>
      <w:t xml:space="preserve">B </w:t>
    </w:r>
    <w:r w:rsidRPr="00861BE0">
      <w:rPr>
        <w:rStyle w:val="ae"/>
        <w:rFonts w:hint="eastAsia"/>
        <w:lang w:eastAsia="ja-JP"/>
      </w:rPr>
      <w:t xml:space="preserve">: </w:t>
    </w:r>
    <w:smartTag w:uri="urn:schemas:contacts" w:element="Sn">
      <w:r>
        <w:t>Section</w:t>
      </w:r>
    </w:smartTag>
    <w:r>
      <w:t xml:space="preserve"> II. </w:t>
    </w:r>
    <w:r w:rsidRPr="00582708">
      <w:t>Données particulières</w:t>
    </w:r>
    <w:r w:rsidDel="002C59E4">
      <w:t xml:space="preserve"> </w:t>
    </w:r>
    <w:r>
      <w:tab/>
    </w:r>
    <w:r w:rsidRPr="00DC0CD5">
      <w:rPr>
        <w:rStyle w:val="ae"/>
      </w:rPr>
      <w:t>DP(B)</w:t>
    </w:r>
    <w:r>
      <w:t>-</w:t>
    </w:r>
    <w:r>
      <w:rPr>
        <w:rStyle w:val="ae"/>
      </w:rPr>
      <w:fldChar w:fldCharType="begin"/>
    </w:r>
    <w:r>
      <w:rPr>
        <w:rStyle w:val="ae"/>
      </w:rPr>
      <w:instrText xml:space="preserve"> PAGE </w:instrText>
    </w:r>
    <w:r>
      <w:rPr>
        <w:rStyle w:val="ae"/>
      </w:rPr>
      <w:fldChar w:fldCharType="separate"/>
    </w:r>
    <w:r w:rsidR="00F332DA">
      <w:rPr>
        <w:rStyle w:val="ae"/>
        <w:noProof/>
      </w:rPr>
      <w:t>7</w:t>
    </w:r>
    <w:r>
      <w:rPr>
        <w:rStyle w:val="ae"/>
      </w:rPr>
      <w:fldChar w:fldCharType="end"/>
    </w:r>
  </w:p>
  <w:p w14:paraId="7DE47125" w14:textId="22E424EB" w:rsidR="0037332F" w:rsidRPr="00E165EC" w:rsidRDefault="0037332F" w:rsidP="00E165EC">
    <w:pPr>
      <w:pStyle w:val="aa"/>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E8EE" w14:textId="77777777" w:rsidR="0037332F" w:rsidRPr="001B17AC" w:rsidRDefault="0037332F" w:rsidP="00FF7AA0">
    <w:pPr>
      <w:pStyle w:val="aa"/>
      <w:pBdr>
        <w:bottom w:val="single" w:sz="4" w:space="0" w:color="auto"/>
      </w:pBdr>
      <w:tabs>
        <w:tab w:val="right" w:pos="9000"/>
      </w:tabs>
      <w:ind w:right="-18"/>
      <w:rPr>
        <w:lang w:eastAsia="ja-JP"/>
      </w:rPr>
    </w:pPr>
    <w:r>
      <w:rPr>
        <w:rFonts w:hint="eastAsia"/>
        <w:lang w:eastAsia="ja-JP"/>
      </w:rPr>
      <w:t xml:space="preserve">Option B - </w:t>
    </w:r>
    <w:r>
      <w:t xml:space="preserve">Section III. Critères d’évaluation et de qualification </w:t>
    </w:r>
    <w:r>
      <w:rPr>
        <w:rFonts w:hint="eastAsia"/>
        <w:lang w:eastAsia="ja-JP"/>
      </w:rPr>
      <w:t xml:space="preserve">- </w:t>
    </w:r>
    <w:r>
      <w:t>après préqualification</w:t>
    </w:r>
  </w:p>
  <w:p w14:paraId="3321F6C9" w14:textId="77777777" w:rsidR="0037332F" w:rsidRPr="0089713F" w:rsidRDefault="0037332F" w:rsidP="0089713F">
    <w:pPr>
      <w:pStyle w:val="aa"/>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6170" w14:textId="6C4D751D" w:rsidR="0037332F" w:rsidRDefault="0037332F" w:rsidP="005936FA">
    <w:pPr>
      <w:pStyle w:val="aa"/>
      <w:pBdr>
        <w:bottom w:val="single" w:sz="4" w:space="0" w:color="auto"/>
      </w:pBdr>
      <w:tabs>
        <w:tab w:val="left" w:pos="567"/>
        <w:tab w:val="right" w:pos="9360"/>
      </w:tabs>
    </w:pPr>
    <w:r>
      <w:rPr>
        <w:rFonts w:hint="eastAsia"/>
        <w:lang w:eastAsia="ja-JP"/>
      </w:rPr>
      <w:t>Option B</w:t>
    </w:r>
    <w:r>
      <w:rPr>
        <w:lang w:eastAsia="ja-JP"/>
      </w:rPr>
      <w:t> :</w:t>
    </w:r>
    <w:r>
      <w:rPr>
        <w:rFonts w:hint="eastAsia"/>
        <w:lang w:eastAsia="ja-JP"/>
      </w:rPr>
      <w:t xml:space="preserve"> </w:t>
    </w:r>
    <w:r>
      <w:t>Section III. Critères d’évaluation et de qualification (après préqualification)</w:t>
    </w:r>
    <w:r>
      <w:tab/>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1615" w14:textId="03C7539B" w:rsidR="0037332F" w:rsidRDefault="0037332F" w:rsidP="00DF1D87">
    <w:pPr>
      <w:pStyle w:val="aa"/>
      <w:pBdr>
        <w:bottom w:val="single" w:sz="4" w:space="1" w:color="auto"/>
      </w:pBdr>
      <w:tabs>
        <w:tab w:val="right" w:pos="9356"/>
      </w:tabs>
    </w:pPr>
    <w:r w:rsidRPr="00DC0CD5">
      <w:rPr>
        <w:rStyle w:val="ae"/>
        <w:rFonts w:hint="eastAsia"/>
        <w:lang w:val="en-US" w:eastAsia="ja-JP"/>
      </w:rPr>
      <w:t>CEQ</w:t>
    </w:r>
    <w:r w:rsidRPr="00DC0CD5">
      <w:rPr>
        <w:rStyle w:val="ae"/>
        <w:lang w:val="en-US" w:eastAsia="ja-JP"/>
      </w:rPr>
      <w:t>(B)(I)</w:t>
    </w:r>
    <w:r w:rsidRPr="00DC0CD5">
      <w:rPr>
        <w:rStyle w:val="ae"/>
        <w:rFonts w:hint="eastAsia"/>
        <w:lang w:val="en-US" w:eastAsia="ja-JP"/>
      </w:rPr>
      <w:t>-</w:t>
    </w:r>
    <w:r>
      <w:rPr>
        <w:rStyle w:val="ae"/>
      </w:rPr>
      <w:fldChar w:fldCharType="begin"/>
    </w:r>
    <w:r w:rsidRPr="00DC0CD5">
      <w:rPr>
        <w:rStyle w:val="ae"/>
        <w:lang w:val="en-US"/>
      </w:rPr>
      <w:instrText xml:space="preserve"> PAGE </w:instrText>
    </w:r>
    <w:r>
      <w:rPr>
        <w:rStyle w:val="ae"/>
      </w:rPr>
      <w:fldChar w:fldCharType="separate"/>
    </w:r>
    <w:r w:rsidR="00F332DA">
      <w:rPr>
        <w:rStyle w:val="ae"/>
        <w:noProof/>
        <w:lang w:val="en-US"/>
      </w:rPr>
      <w:t>8</w:t>
    </w:r>
    <w:r>
      <w:rPr>
        <w:rStyle w:val="ae"/>
      </w:rPr>
      <w:fldChar w:fldCharType="end"/>
    </w:r>
    <w:r w:rsidRPr="00DC0CD5">
      <w:rPr>
        <w:lang w:val="en-US"/>
      </w:rPr>
      <w:tab/>
    </w:r>
    <w:r w:rsidRPr="00DC0CD5">
      <w:rPr>
        <w:rFonts w:hint="eastAsia"/>
        <w:lang w:val="en-US" w:eastAsia="ja-JP"/>
      </w:rPr>
      <w:t>Option B</w:t>
    </w:r>
    <w:r w:rsidRPr="00DC0CD5">
      <w:rPr>
        <w:lang w:val="en-US" w:eastAsia="ja-JP"/>
      </w:rPr>
      <w:t xml:space="preserve"> : </w:t>
    </w:r>
    <w:r w:rsidRPr="00DC0CD5">
      <w:rPr>
        <w:lang w:val="en-US"/>
      </w:rPr>
      <w:t xml:space="preserve">Section III. </w:t>
    </w:r>
    <w:r>
      <w:t>Critères d’évaluation et de qualification (après préqualification)</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B731" w14:textId="5203D0C7" w:rsidR="0037332F" w:rsidRDefault="0037332F" w:rsidP="00DF1D87">
    <w:pPr>
      <w:pStyle w:val="aa"/>
      <w:pBdr>
        <w:bottom w:val="single" w:sz="4" w:space="0" w:color="auto"/>
      </w:pBdr>
      <w:tabs>
        <w:tab w:val="right" w:pos="9356"/>
      </w:tabs>
      <w:rPr>
        <w:lang w:eastAsia="ja-JP"/>
      </w:rPr>
    </w:pPr>
    <w:r>
      <w:rPr>
        <w:rFonts w:hint="eastAsia"/>
        <w:lang w:eastAsia="ja-JP"/>
      </w:rPr>
      <w:t>Option B</w:t>
    </w:r>
    <w:r>
      <w:rPr>
        <w:lang w:eastAsia="ja-JP"/>
      </w:rPr>
      <w:t> :</w:t>
    </w:r>
    <w:r>
      <w:rPr>
        <w:rFonts w:hint="eastAsia"/>
        <w:lang w:eastAsia="ja-JP"/>
      </w:rPr>
      <w:t xml:space="preserve"> </w:t>
    </w:r>
    <w:r>
      <w:t>Section III. Critères d’évaluation et de qualification (après préqualification)</w:t>
    </w:r>
    <w:r>
      <w:rPr>
        <w:rFonts w:hint="eastAsia"/>
        <w:lang w:eastAsia="ja-JP"/>
      </w:rPr>
      <w:tab/>
      <w:t>CEQ</w:t>
    </w:r>
    <w:r>
      <w:rPr>
        <w:lang w:eastAsia="ja-JP"/>
      </w:rPr>
      <w:t>(B)(I)</w:t>
    </w:r>
    <w:r>
      <w:rPr>
        <w:rFonts w:hint="eastAsia"/>
        <w:lang w:eastAsia="ja-JP"/>
      </w:rPr>
      <w:t>-</w:t>
    </w:r>
    <w:r>
      <w:rPr>
        <w:rStyle w:val="ae"/>
      </w:rPr>
      <w:fldChar w:fldCharType="begin"/>
    </w:r>
    <w:r>
      <w:rPr>
        <w:rStyle w:val="ae"/>
      </w:rPr>
      <w:instrText xml:space="preserve"> PAGE </w:instrText>
    </w:r>
    <w:r>
      <w:rPr>
        <w:rStyle w:val="ae"/>
      </w:rPr>
      <w:fldChar w:fldCharType="separate"/>
    </w:r>
    <w:r w:rsidR="00F332DA">
      <w:rPr>
        <w:rStyle w:val="ae"/>
        <w:noProof/>
      </w:rPr>
      <w:t>9</w:t>
    </w:r>
    <w:r>
      <w:rPr>
        <w:rStyle w:val="ae"/>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928" w14:textId="77777777" w:rsidR="0037332F" w:rsidRDefault="0037332F" w:rsidP="002C2FB9">
    <w:pPr>
      <w:pStyle w:val="aa"/>
      <w:pBdr>
        <w:bottom w:val="single" w:sz="4" w:space="1" w:color="auto"/>
      </w:pBdr>
      <w:tabs>
        <w:tab w:val="right" w:pos="9360"/>
      </w:tabs>
      <w:ind w:right="-18"/>
      <w:jc w:val="right"/>
    </w:pP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r>
      <w:tab/>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8A12" w14:textId="041D176A" w:rsidR="0037332F" w:rsidRDefault="0037332F" w:rsidP="0075268B">
    <w:pPr>
      <w:pStyle w:val="aa"/>
      <w:pBdr>
        <w:bottom w:val="single" w:sz="4" w:space="0" w:color="auto"/>
      </w:pBdr>
    </w:pPr>
    <w:r>
      <w:rPr>
        <w:rFonts w:hint="eastAsia"/>
        <w:lang w:eastAsia="ja-JP"/>
      </w:rPr>
      <w:t>Option B</w:t>
    </w:r>
    <w:r>
      <w:rPr>
        <w:lang w:eastAsia="ja-JP"/>
      </w:rPr>
      <w:t> :</w:t>
    </w:r>
    <w:r>
      <w:rPr>
        <w:rFonts w:hint="eastAsia"/>
        <w:lang w:eastAsia="ja-JP"/>
      </w:rPr>
      <w:t xml:space="preserve"> </w:t>
    </w:r>
    <w:r>
      <w:t xml:space="preserve">Section III. Critères d’évaluation et de qualification </w:t>
    </w:r>
    <w:r>
      <w:rPr>
        <w:lang w:eastAsia="ja-JP"/>
      </w:rPr>
      <w:t>(</w:t>
    </w:r>
    <w:r>
      <w:t>sans préqualification)</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E8DA" w14:textId="77777777" w:rsidR="0037332F" w:rsidRPr="001B17AC" w:rsidRDefault="0037332F" w:rsidP="0089713F">
    <w:pPr>
      <w:pStyle w:val="aa"/>
      <w:pBdr>
        <w:bottom w:val="single" w:sz="4" w:space="1" w:color="auto"/>
      </w:pBdr>
      <w:tabs>
        <w:tab w:val="right" w:pos="9360"/>
      </w:tabs>
    </w:pP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1</w:t>
    </w:r>
    <w:r w:rsidRPr="001B17AC">
      <w:rPr>
        <w:rStyle w:val="ae"/>
      </w:rPr>
      <w:fldChar w:fldCharType="end"/>
    </w:r>
    <w:r>
      <w:rPr>
        <w:rStyle w:val="ae"/>
      </w:rPr>
      <w:tab/>
    </w:r>
    <w:r>
      <w:t>Sommaire</w:t>
    </w:r>
  </w:p>
  <w:p w14:paraId="016FDCC6" w14:textId="77777777" w:rsidR="0037332F" w:rsidRPr="0089713F" w:rsidRDefault="0037332F" w:rsidP="0089713F">
    <w:pPr>
      <w:pStyle w:val="aa"/>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0AFC" w14:textId="110EBF04" w:rsidR="0037332F" w:rsidRDefault="0037332F" w:rsidP="00FD43F6">
    <w:pPr>
      <w:pStyle w:val="aa"/>
      <w:pBdr>
        <w:bottom w:val="single" w:sz="4" w:space="1" w:color="auto"/>
      </w:pBdr>
      <w:tabs>
        <w:tab w:val="right" w:pos="9356"/>
      </w:tabs>
      <w:jc w:val="right"/>
    </w:pPr>
    <w:r>
      <w:rPr>
        <w:rStyle w:val="ae"/>
        <w:rFonts w:hint="eastAsia"/>
        <w:lang w:eastAsia="ja-JP"/>
      </w:rPr>
      <w:t>CEQ</w:t>
    </w:r>
    <w:r>
      <w:rPr>
        <w:rStyle w:val="ae"/>
        <w:lang w:eastAsia="ja-JP"/>
      </w:rPr>
      <w:t>(B)(II)</w:t>
    </w:r>
    <w:r>
      <w:rPr>
        <w:rStyle w:val="ae"/>
        <w:rFonts w:hint="eastAsia"/>
        <w:lang w:eastAsia="ja-JP"/>
      </w:rPr>
      <w:t>-</w:t>
    </w:r>
    <w:r>
      <w:rPr>
        <w:rStyle w:val="ae"/>
      </w:rPr>
      <w:fldChar w:fldCharType="begin"/>
    </w:r>
    <w:r>
      <w:rPr>
        <w:rStyle w:val="ae"/>
      </w:rPr>
      <w:instrText xml:space="preserve"> PAGE </w:instrText>
    </w:r>
    <w:r>
      <w:rPr>
        <w:rStyle w:val="ae"/>
      </w:rPr>
      <w:fldChar w:fldCharType="separate"/>
    </w:r>
    <w:r w:rsidR="00F332DA">
      <w:rPr>
        <w:rStyle w:val="ae"/>
        <w:noProof/>
      </w:rPr>
      <w:t>4</w:t>
    </w:r>
    <w:r>
      <w:rPr>
        <w:rStyle w:val="ae"/>
      </w:rPr>
      <w:fldChar w:fldCharType="end"/>
    </w:r>
    <w:r>
      <w:tab/>
    </w:r>
    <w:r>
      <w:rPr>
        <w:rFonts w:hint="eastAsia"/>
        <w:lang w:eastAsia="ja-JP"/>
      </w:rPr>
      <w:t>Option B</w:t>
    </w:r>
    <w:r>
      <w:rPr>
        <w:lang w:eastAsia="ja-JP"/>
      </w:rPr>
      <w:t> :</w:t>
    </w:r>
    <w:r>
      <w:rPr>
        <w:rFonts w:hint="eastAsia"/>
        <w:lang w:eastAsia="ja-JP"/>
      </w:rPr>
      <w:t xml:space="preserve"> </w:t>
    </w:r>
    <w:r>
      <w:t>Section III. Critères d’évaluation et de qualification (sans préqualification)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FC40" w14:textId="77777777" w:rsidR="0037332F" w:rsidRDefault="0037332F" w:rsidP="009D4724">
    <w:pPr>
      <w:pStyle w:val="aa"/>
      <w:pBdr>
        <w:bottom w:val="single" w:sz="4" w:space="1" w:color="auto"/>
      </w:pBdr>
      <w:jc w:val="right"/>
    </w:pPr>
    <w:r>
      <w:fldChar w:fldCharType="begin"/>
    </w:r>
    <w:r>
      <w:instrText xml:space="preserve"> PAGE   \* MERGEFORMAT </w:instrText>
    </w:r>
    <w:r>
      <w:fldChar w:fldCharType="separate"/>
    </w:r>
    <w:r>
      <w:rPr>
        <w:noProof/>
      </w:rPr>
      <w:t>vii</w:t>
    </w:r>
    <w:r>
      <w:fldChar w:fldCharType="end"/>
    </w:r>
  </w:p>
  <w:p w14:paraId="6D94045B" w14:textId="77777777" w:rsidR="0037332F" w:rsidRPr="009D4724" w:rsidRDefault="0037332F" w:rsidP="009D4724">
    <w:pPr>
      <w:pStyle w:val="aa"/>
      <w:rPr>
        <w:szCs w:val="16"/>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C9C0" w14:textId="090AA614" w:rsidR="0037332F" w:rsidRDefault="0037332F" w:rsidP="00FD43F6">
    <w:pPr>
      <w:pStyle w:val="aa"/>
      <w:pBdr>
        <w:bottom w:val="single" w:sz="4" w:space="0" w:color="auto"/>
      </w:pBdr>
      <w:tabs>
        <w:tab w:val="right" w:pos="9356"/>
      </w:tabs>
      <w:rPr>
        <w:lang w:eastAsia="ja-JP"/>
      </w:rPr>
    </w:pPr>
    <w:r>
      <w:rPr>
        <w:rFonts w:hint="eastAsia"/>
        <w:lang w:eastAsia="ja-JP"/>
      </w:rPr>
      <w:t>Option B</w:t>
    </w:r>
    <w:r>
      <w:rPr>
        <w:lang w:eastAsia="ja-JP"/>
      </w:rPr>
      <w:t> :</w:t>
    </w:r>
    <w:r>
      <w:rPr>
        <w:rFonts w:hint="eastAsia"/>
        <w:lang w:eastAsia="ja-JP"/>
      </w:rPr>
      <w:t xml:space="preserve"> </w:t>
    </w:r>
    <w:r>
      <w:t xml:space="preserve">Section III. Critères d’évaluation et de qualification </w:t>
    </w:r>
    <w:r>
      <w:rPr>
        <w:lang w:eastAsia="ja-JP"/>
      </w:rPr>
      <w:t>(</w:t>
    </w:r>
    <w:r>
      <w:t>sans préqualification)</w:t>
    </w:r>
    <w:r>
      <w:tab/>
    </w:r>
    <w:r>
      <w:rPr>
        <w:rFonts w:hint="eastAsia"/>
        <w:lang w:eastAsia="ja-JP"/>
      </w:rPr>
      <w:t>CEQ</w:t>
    </w:r>
    <w:r>
      <w:rPr>
        <w:lang w:eastAsia="ja-JP"/>
      </w:rPr>
      <w:t>(B)(II)</w:t>
    </w:r>
    <w:r>
      <w:rPr>
        <w:rFonts w:hint="eastAsia"/>
        <w:lang w:eastAsia="ja-JP"/>
      </w:rPr>
      <w:t>-</w:t>
    </w:r>
    <w:r>
      <w:rPr>
        <w:rStyle w:val="ae"/>
      </w:rPr>
      <w:fldChar w:fldCharType="begin"/>
    </w:r>
    <w:r>
      <w:rPr>
        <w:rStyle w:val="ae"/>
      </w:rPr>
      <w:instrText xml:space="preserve"> PAGE </w:instrText>
    </w:r>
    <w:r>
      <w:rPr>
        <w:rStyle w:val="ae"/>
      </w:rPr>
      <w:fldChar w:fldCharType="separate"/>
    </w:r>
    <w:r w:rsidR="00F332DA">
      <w:rPr>
        <w:rStyle w:val="ae"/>
        <w:noProof/>
      </w:rPr>
      <w:t>5</w:t>
    </w:r>
    <w:r>
      <w:rPr>
        <w:rStyle w:val="ae"/>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ED95" w14:textId="1594DACB" w:rsidR="0037332F" w:rsidRDefault="0037332F" w:rsidP="00C6128E">
    <w:pPr>
      <w:pStyle w:val="aa"/>
      <w:pBdr>
        <w:bottom w:val="single" w:sz="4" w:space="1" w:color="auto"/>
      </w:pBdr>
      <w:tabs>
        <w:tab w:val="right" w:pos="12960"/>
      </w:tabs>
      <w:jc w:val="both"/>
    </w:pPr>
    <w:r>
      <w:rPr>
        <w:rStyle w:val="ae"/>
        <w:rFonts w:hint="eastAsia"/>
        <w:lang w:eastAsia="ja-JP"/>
      </w:rPr>
      <w:t>CEQ</w:t>
    </w:r>
    <w:r>
      <w:rPr>
        <w:rStyle w:val="ae"/>
        <w:lang w:eastAsia="ja-JP"/>
      </w:rPr>
      <w:t>(B)(II)-</w:t>
    </w:r>
    <w:r>
      <w:rPr>
        <w:rStyle w:val="ae"/>
      </w:rPr>
      <w:fldChar w:fldCharType="begin"/>
    </w:r>
    <w:r>
      <w:rPr>
        <w:rStyle w:val="ae"/>
      </w:rPr>
      <w:instrText xml:space="preserve"> PAGE </w:instrText>
    </w:r>
    <w:r>
      <w:rPr>
        <w:rStyle w:val="ae"/>
      </w:rPr>
      <w:fldChar w:fldCharType="separate"/>
    </w:r>
    <w:r w:rsidR="00F332DA">
      <w:rPr>
        <w:rStyle w:val="ae"/>
        <w:noProof/>
      </w:rPr>
      <w:t>20</w:t>
    </w:r>
    <w:r>
      <w:rPr>
        <w:rStyle w:val="ae"/>
      </w:rPr>
      <w:fldChar w:fldCharType="end"/>
    </w:r>
    <w:r>
      <w:tab/>
    </w:r>
    <w:r>
      <w:rPr>
        <w:rFonts w:hint="eastAsia"/>
        <w:lang w:eastAsia="ja-JP"/>
      </w:rPr>
      <w:t>Option B</w:t>
    </w:r>
    <w:r>
      <w:rPr>
        <w:lang w:eastAsia="ja-JP"/>
      </w:rPr>
      <w:t> :</w:t>
    </w:r>
    <w:r>
      <w:rPr>
        <w:rFonts w:hint="eastAsia"/>
        <w:lang w:eastAsia="ja-JP"/>
      </w:rPr>
      <w:t xml:space="preserve"> </w:t>
    </w:r>
    <w:r>
      <w:t>Section III. Critères d’évaluation et de qualification (sans préqualification)</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CD50" w14:textId="32214018" w:rsidR="0037332F" w:rsidRDefault="0037332F" w:rsidP="00C6128E">
    <w:pPr>
      <w:pStyle w:val="aa"/>
      <w:pBdr>
        <w:bottom w:val="single" w:sz="4" w:space="0" w:color="auto"/>
      </w:pBdr>
      <w:tabs>
        <w:tab w:val="right" w:pos="12960"/>
      </w:tabs>
    </w:pPr>
    <w:r>
      <w:rPr>
        <w:rFonts w:hint="eastAsia"/>
        <w:lang w:eastAsia="ja-JP"/>
      </w:rPr>
      <w:t>Option B</w:t>
    </w:r>
    <w:r>
      <w:rPr>
        <w:lang w:eastAsia="ja-JP"/>
      </w:rPr>
      <w:t> :</w:t>
    </w:r>
    <w:r>
      <w:rPr>
        <w:rFonts w:hint="eastAsia"/>
        <w:lang w:eastAsia="ja-JP"/>
      </w:rPr>
      <w:t xml:space="preserve"> </w:t>
    </w:r>
    <w:r>
      <w:t xml:space="preserve">Section III. Critères d’évaluation et de qualification </w:t>
    </w:r>
    <w:r>
      <w:rPr>
        <w:lang w:eastAsia="ja-JP"/>
      </w:rPr>
      <w:t>(</w:t>
    </w:r>
    <w:r>
      <w:t>sans préqualification)</w:t>
    </w:r>
    <w:r>
      <w:tab/>
    </w:r>
    <w:r>
      <w:rPr>
        <w:rFonts w:hint="eastAsia"/>
        <w:lang w:eastAsia="ja-JP"/>
      </w:rPr>
      <w:t>CEQ</w:t>
    </w:r>
    <w:r>
      <w:rPr>
        <w:rStyle w:val="ae"/>
        <w:lang w:eastAsia="ja-JP"/>
      </w:rPr>
      <w:t>(B)(II)</w:t>
    </w:r>
    <w:r>
      <w:rPr>
        <w:rFonts w:hint="eastAsia"/>
        <w:lang w:eastAsia="ja-JP"/>
      </w:rPr>
      <w:t>-</w:t>
    </w:r>
    <w:r>
      <w:rPr>
        <w:rStyle w:val="ae"/>
      </w:rPr>
      <w:fldChar w:fldCharType="begin"/>
    </w:r>
    <w:r>
      <w:rPr>
        <w:rStyle w:val="ae"/>
      </w:rPr>
      <w:instrText xml:space="preserve"> PAGE </w:instrText>
    </w:r>
    <w:r>
      <w:rPr>
        <w:rStyle w:val="ae"/>
      </w:rPr>
      <w:fldChar w:fldCharType="separate"/>
    </w:r>
    <w:r w:rsidR="00F332DA">
      <w:rPr>
        <w:rStyle w:val="ae"/>
        <w:noProof/>
      </w:rPr>
      <w:t>19</w:t>
    </w:r>
    <w:r>
      <w:rPr>
        <w:rStyle w:val="ae"/>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0ACB" w14:textId="77777777" w:rsidR="0037332F" w:rsidRPr="001B17AC" w:rsidRDefault="0037332F" w:rsidP="0089713F">
    <w:pPr>
      <w:pStyle w:val="aa"/>
      <w:pBdr>
        <w:bottom w:val="single" w:sz="4" w:space="1" w:color="auto"/>
      </w:pBdr>
      <w:tabs>
        <w:tab w:val="right" w:pos="9360"/>
      </w:tabs>
    </w:pPr>
    <w:r>
      <w:rPr>
        <w:rStyle w:val="ae"/>
        <w:rFonts w:hint="eastAsia"/>
        <w:lang w:eastAsia="ja-JP"/>
      </w:rPr>
      <w:t>CEQ-</w:t>
    </w:r>
    <w:r w:rsidRPr="001B17AC">
      <w:rPr>
        <w:rStyle w:val="ae"/>
      </w:rPr>
      <w:fldChar w:fldCharType="begin"/>
    </w:r>
    <w:r w:rsidRPr="001B17AC">
      <w:rPr>
        <w:rStyle w:val="ae"/>
      </w:rPr>
      <w:instrText xml:space="preserve"> PAGE </w:instrText>
    </w:r>
    <w:r w:rsidRPr="001B17AC">
      <w:rPr>
        <w:rStyle w:val="ae"/>
      </w:rPr>
      <w:fldChar w:fldCharType="separate"/>
    </w:r>
    <w:r>
      <w:rPr>
        <w:rStyle w:val="ae"/>
        <w:noProof/>
      </w:rPr>
      <w:t>27</w:t>
    </w:r>
    <w:r w:rsidRPr="001B17AC">
      <w:rPr>
        <w:rStyle w:val="ae"/>
      </w:rPr>
      <w:fldChar w:fldCharType="end"/>
    </w:r>
    <w:r>
      <w:rPr>
        <w:rStyle w:val="ae"/>
      </w:rPr>
      <w:tab/>
    </w:r>
    <w:r>
      <w:t>Sommaire</w:t>
    </w:r>
  </w:p>
  <w:p w14:paraId="441FF021" w14:textId="77777777" w:rsidR="0037332F" w:rsidRPr="0089713F" w:rsidRDefault="0037332F" w:rsidP="0089713F">
    <w:pPr>
      <w:pStyle w:val="aa"/>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6AF5" w14:textId="77777777" w:rsidR="008F1DFA" w:rsidRPr="003801DB" w:rsidRDefault="008F1DFA" w:rsidP="001B17AC">
    <w:pPr>
      <w:pStyle w:val="aa"/>
      <w:pBdr>
        <w:bottom w:val="single" w:sz="4" w:space="1" w:color="auto"/>
      </w:pBdr>
      <w:tabs>
        <w:tab w:val="right" w:pos="9360"/>
      </w:tabs>
      <w:rPr>
        <w:sz w:val="16"/>
        <w:szCs w:val="16"/>
      </w:rPr>
    </w:pPr>
    <w:r>
      <w:rPr>
        <w:rStyle w:val="ae"/>
      </w:rPr>
      <w:tab/>
    </w: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0342" w14:textId="77777777" w:rsidR="008F1DFA" w:rsidRDefault="008F1DFA" w:rsidP="008F1DFA">
    <w:pPr>
      <w:pStyle w:val="aa"/>
      <w:pBdr>
        <w:bottom w:val="single" w:sz="4" w:space="0" w:color="auto"/>
      </w:pBdr>
      <w:tabs>
        <w:tab w:val="right" w:pos="9000"/>
      </w:tabs>
    </w:pPr>
    <w:r>
      <w:t>Section IV. Formulaires de soumission</w:t>
    </w:r>
    <w:r>
      <w:tab/>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5F28" w14:textId="77777777" w:rsidR="0037332F" w:rsidRDefault="0037332F" w:rsidP="00FD7695">
    <w:pPr>
      <w:pStyle w:val="aa"/>
      <w:pBdr>
        <w:bottom w:val="single" w:sz="4" w:space="1" w:color="auto"/>
      </w:pBdr>
      <w:tabs>
        <w:tab w:val="right" w:pos="9000"/>
      </w:tabs>
      <w:jc w:val="both"/>
    </w:pPr>
    <w:r>
      <w:rPr>
        <w:rFonts w:hint="eastAsia"/>
        <w:lang w:eastAsia="ja-JP"/>
      </w:rPr>
      <w:t>FS-</w:t>
    </w:r>
    <w:r>
      <w:rPr>
        <w:rStyle w:val="ae"/>
      </w:rPr>
      <w:fldChar w:fldCharType="begin"/>
    </w:r>
    <w:r>
      <w:rPr>
        <w:rStyle w:val="ae"/>
      </w:rPr>
      <w:instrText xml:space="preserve"> PAGE </w:instrText>
    </w:r>
    <w:r>
      <w:rPr>
        <w:rStyle w:val="ae"/>
      </w:rPr>
      <w:fldChar w:fldCharType="separate"/>
    </w:r>
    <w:r w:rsidR="00F332DA">
      <w:rPr>
        <w:rStyle w:val="ae"/>
        <w:noProof/>
      </w:rPr>
      <w:t>76</w:t>
    </w:r>
    <w:r>
      <w:rPr>
        <w:rStyle w:val="ae"/>
      </w:rPr>
      <w:fldChar w:fldCharType="end"/>
    </w:r>
    <w:r>
      <w:rPr>
        <w:rStyle w:val="ae"/>
        <w:rFonts w:hint="eastAsia"/>
        <w:lang w:eastAsia="ja-JP"/>
      </w:rPr>
      <w:tab/>
    </w:r>
    <w:r w:rsidRPr="00C067E3">
      <w:t xml:space="preserve">Section </w:t>
    </w:r>
    <w:r>
      <w:t>IV. Formulaires de soumission</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581A" w14:textId="0CF5DB3C" w:rsidR="0037332F" w:rsidRDefault="0037332F" w:rsidP="00DE743B">
    <w:pPr>
      <w:pStyle w:val="aa"/>
      <w:pBdr>
        <w:bottom w:val="single" w:sz="4" w:space="0" w:color="auto"/>
      </w:pBdr>
      <w:tabs>
        <w:tab w:val="right" w:pos="9000"/>
      </w:tabs>
    </w:pPr>
    <w:r>
      <w:t>Section IV. Formulaires de soumission</w:t>
    </w:r>
    <w:r>
      <w:tab/>
      <w:t>FS-</w:t>
    </w:r>
    <w:r>
      <w:fldChar w:fldCharType="begin"/>
    </w:r>
    <w:r>
      <w:instrText>PAGE   \* MERGEFORMAT</w:instrText>
    </w:r>
    <w:r>
      <w:fldChar w:fldCharType="separate"/>
    </w:r>
    <w:r w:rsidR="00F332DA">
      <w:rPr>
        <w:noProof/>
        <w:lang w:eastAsia="ja-JP"/>
      </w:rPr>
      <w:t>75</w:t>
    </w:r>
    <w: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94BA" w14:textId="77777777" w:rsidR="0037332F" w:rsidRDefault="0037332F" w:rsidP="00762E49">
    <w:pPr>
      <w:pStyle w:val="aa"/>
      <w:pBdr>
        <w:bottom w:val="single" w:sz="4" w:space="0" w:color="auto"/>
      </w:pBdr>
      <w:tabs>
        <w:tab w:val="right" w:pos="9000"/>
      </w:tabs>
    </w:pPr>
    <w:r w:rsidRPr="00E21797">
      <w:t>Section V.</w:t>
    </w:r>
    <w:r>
      <w:rPr>
        <w:rFonts w:hint="eastAsia"/>
        <w:lang w:eastAsia="ja-JP"/>
      </w:rPr>
      <w:t xml:space="preserve"> </w:t>
    </w:r>
    <w:r w:rsidRPr="00E21797">
      <w:t xml:space="preserve">Pays </w:t>
    </w:r>
    <w:r>
      <w:t xml:space="preserve">d’origine </w:t>
    </w:r>
    <w:r w:rsidRPr="00E21797">
      <w:t>éligibles</w:t>
    </w:r>
    <w:r>
      <w:t xml:space="preserve"> des Prêts APD du Japon</w:t>
    </w:r>
    <w:r>
      <w:tab/>
    </w:r>
    <w:r>
      <w:rPr>
        <w:rFonts w:hint="eastAsia"/>
        <w:lang w:eastAsia="ja-JP"/>
      </w:rPr>
      <w:t>PE-</w:t>
    </w:r>
    <w:r>
      <w:rPr>
        <w:rStyle w:val="ae"/>
      </w:rPr>
      <w:fldChar w:fldCharType="begin"/>
    </w:r>
    <w:r>
      <w:rPr>
        <w:rStyle w:val="ae"/>
      </w:rPr>
      <w:instrText xml:space="preserve"> PAGE </w:instrText>
    </w:r>
    <w:r>
      <w:rPr>
        <w:rStyle w:val="ae"/>
      </w:rPr>
      <w:fldChar w:fldCharType="separate"/>
    </w:r>
    <w:r w:rsidR="00F332DA">
      <w:rPr>
        <w:rStyle w:val="ae"/>
        <w:noProof/>
      </w:rPr>
      <w:t>1</w:t>
    </w:r>
    <w:r>
      <w:rPr>
        <w:rStyle w:val="ae"/>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2041" w14:textId="77777777" w:rsidR="0037332F" w:rsidRPr="00B159B7" w:rsidRDefault="0037332F" w:rsidP="00B159B7">
    <w:pPr>
      <w:pStyle w:val="aa"/>
      <w:pBdr>
        <w:bottom w:val="single" w:sz="4" w:space="1" w:color="auto"/>
      </w:pBdr>
      <w:rPr>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94E1" w14:textId="77777777" w:rsidR="0037332F" w:rsidRDefault="0037332F" w:rsidP="00411563">
    <w:pPr>
      <w:pStyle w:val="aa"/>
      <w:pBdr>
        <w:bottom w:val="single" w:sz="4" w:space="1" w:color="auto"/>
      </w:pBdr>
      <w:rPr>
        <w:lang w:eastAsia="ja-JP"/>
      </w:rPr>
    </w:pPr>
    <w:r>
      <w:rPr>
        <w:rStyle w:val="ae"/>
      </w:rPr>
      <w:fldChar w:fldCharType="begin"/>
    </w:r>
    <w:r>
      <w:rPr>
        <w:rStyle w:val="ae"/>
      </w:rPr>
      <w:instrText xml:space="preserve"> PAGE </w:instrText>
    </w:r>
    <w:r>
      <w:rPr>
        <w:rStyle w:val="ae"/>
      </w:rPr>
      <w:fldChar w:fldCharType="separate"/>
    </w:r>
    <w:r w:rsidR="00F332DA">
      <w:rPr>
        <w:rStyle w:val="ae"/>
        <w:noProof/>
      </w:rPr>
      <w:t>viii</w:t>
    </w:r>
    <w:r>
      <w:rPr>
        <w:rStyle w:val="ae"/>
      </w:rPr>
      <w:fldChar w:fldCharType="end"/>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566A" w14:textId="77777777" w:rsidR="00F332DA" w:rsidRPr="00B159B7" w:rsidRDefault="00F332DA" w:rsidP="00B159B7">
    <w:pPr>
      <w:pStyle w:val="aa"/>
      <w:pBdr>
        <w:bottom w:val="single" w:sz="4" w:space="1" w:color="auto"/>
      </w:pBdr>
      <w:rPr>
        <w:szCs w:val="16"/>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48CE" w14:textId="77777777" w:rsidR="00F332DA" w:rsidRDefault="00F332DA" w:rsidP="0000527F">
    <w:pPr>
      <w:pStyle w:val="aa"/>
      <w:pBdr>
        <w:bottom w:val="single" w:sz="4" w:space="1" w:color="auto"/>
      </w:pBdr>
      <w:tabs>
        <w:tab w:val="right" w:pos="9000"/>
      </w:tabs>
      <w:rPr>
        <w:lang w:eastAsia="ja-JP"/>
      </w:rPr>
    </w:pPr>
    <w:r>
      <w:rPr>
        <w:lang w:eastAsia="ja-JP"/>
      </w:rPr>
      <w:t>EMO</w:t>
    </w:r>
    <w:r w:rsidRPr="00422753">
      <w:rPr>
        <w:rStyle w:val="ae"/>
        <w:rFonts w:hint="eastAsia"/>
        <w:lang w:eastAsia="ja-JP"/>
      </w:rPr>
      <w:t>-</w:t>
    </w:r>
    <w:r>
      <w:rPr>
        <w:rStyle w:val="ae"/>
      </w:rPr>
      <w:fldChar w:fldCharType="begin"/>
    </w:r>
    <w:r w:rsidRPr="00422753">
      <w:rPr>
        <w:rStyle w:val="ae"/>
      </w:rPr>
      <w:instrText xml:space="preserve"> PAGE </w:instrText>
    </w:r>
    <w:r>
      <w:rPr>
        <w:rStyle w:val="ae"/>
      </w:rPr>
      <w:fldChar w:fldCharType="separate"/>
    </w:r>
    <w:r>
      <w:rPr>
        <w:rStyle w:val="ae"/>
        <w:noProof/>
      </w:rPr>
      <w:t>30</w:t>
    </w:r>
    <w:r>
      <w:rPr>
        <w:rStyle w:val="ae"/>
      </w:rPr>
      <w:fldChar w:fldCharType="end"/>
    </w:r>
    <w:r w:rsidRPr="00422753">
      <w:rPr>
        <w:rFonts w:hint="eastAsia"/>
        <w:lang w:eastAsia="ja-JP"/>
      </w:rPr>
      <w:tab/>
      <w:t>Section V</w:t>
    </w:r>
    <w:r>
      <w:rPr>
        <w:lang w:eastAsia="ja-JP"/>
      </w:rPr>
      <w:t>I</w:t>
    </w:r>
    <w:r w:rsidRPr="00422753">
      <w:rPr>
        <w:rFonts w:hint="eastAsia"/>
        <w:lang w:eastAsia="ja-JP"/>
      </w:rPr>
      <w:t>.</w:t>
    </w:r>
    <w:r w:rsidRPr="00495237">
      <w:rPr>
        <w:lang w:eastAsia="ja-JP"/>
      </w:rPr>
      <w:t xml:space="preserve"> </w:t>
    </w:r>
    <w:r w:rsidRPr="00AF66C8">
      <w:t>E</w:t>
    </w:r>
    <w:r w:rsidRPr="00AF66C8">
      <w:rPr>
        <w:szCs w:val="24"/>
      </w:rPr>
      <w:t>xigences du Maître d’ouvrage</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524E" w14:textId="77777777" w:rsidR="00F332DA" w:rsidRPr="00107912" w:rsidRDefault="00F332DA" w:rsidP="0000527F">
    <w:pPr>
      <w:pStyle w:val="aa"/>
      <w:pBdr>
        <w:bottom w:val="single" w:sz="4" w:space="1" w:color="auto"/>
      </w:pBdr>
      <w:tabs>
        <w:tab w:val="right" w:pos="9000"/>
      </w:tabs>
      <w:rPr>
        <w:lang w:eastAsia="ja-JP"/>
      </w:rPr>
    </w:pPr>
    <w:r w:rsidRPr="00422753">
      <w:rPr>
        <w:rFonts w:hint="eastAsia"/>
        <w:lang w:eastAsia="ja-JP"/>
      </w:rPr>
      <w:t xml:space="preserve">Section VI. </w:t>
    </w:r>
    <w:r w:rsidRPr="00AF66C8">
      <w:t>E</w:t>
    </w:r>
    <w:r w:rsidRPr="00AF66C8">
      <w:rPr>
        <w:szCs w:val="24"/>
      </w:rPr>
      <w:t>xigences du Maître d’ouvrage</w:t>
    </w:r>
    <w:r w:rsidRPr="00422753">
      <w:rPr>
        <w:rFonts w:hint="eastAsia"/>
        <w:lang w:eastAsia="ja-JP"/>
      </w:rPr>
      <w:tab/>
    </w:r>
    <w:r w:rsidRPr="00422753">
      <w:rPr>
        <w:lang w:eastAsia="ja-JP"/>
      </w:rPr>
      <w:t>EMO</w:t>
    </w:r>
    <w:r w:rsidRPr="00422753">
      <w:rPr>
        <w:rFonts w:hint="eastAsia"/>
        <w:lang w:eastAsia="ja-JP"/>
      </w:rPr>
      <w:t>-</w:t>
    </w:r>
    <w:r>
      <w:rPr>
        <w:rStyle w:val="ae"/>
      </w:rPr>
      <w:fldChar w:fldCharType="begin"/>
    </w:r>
    <w:r w:rsidRPr="00422753">
      <w:rPr>
        <w:rStyle w:val="ae"/>
      </w:rPr>
      <w:instrText xml:space="preserve"> PAGE </w:instrText>
    </w:r>
    <w:r>
      <w:rPr>
        <w:rStyle w:val="ae"/>
      </w:rPr>
      <w:fldChar w:fldCharType="separate"/>
    </w:r>
    <w:r>
      <w:rPr>
        <w:rStyle w:val="ae"/>
        <w:noProof/>
      </w:rPr>
      <w:t>29</w:t>
    </w:r>
    <w:r>
      <w:rPr>
        <w:rStyle w:val="ae"/>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D7F4" w14:textId="77777777" w:rsidR="00F332DA" w:rsidRPr="003801DB" w:rsidRDefault="00F332DA" w:rsidP="001B17AC">
    <w:pPr>
      <w:pStyle w:val="aa"/>
      <w:pBdr>
        <w:bottom w:val="single" w:sz="4" w:space="1" w:color="auto"/>
      </w:pBdr>
      <w:tabs>
        <w:tab w:val="right" w:pos="9360"/>
      </w:tabs>
      <w:rPr>
        <w:sz w:val="16"/>
        <w:szCs w:val="16"/>
      </w:rPr>
    </w:pPr>
    <w:r>
      <w:rPr>
        <w:rStyle w:val="ae"/>
      </w:rPr>
      <w:tab/>
    </w:r>
    <w:r>
      <w:rPr>
        <w:rStyle w:val="ae"/>
      </w:rPr>
      <w:fldChar w:fldCharType="begin"/>
    </w:r>
    <w:r>
      <w:rPr>
        <w:rStyle w:val="ae"/>
      </w:rPr>
      <w:instrText xml:space="preserve"> PAGE </w:instrText>
    </w:r>
    <w:r>
      <w:rPr>
        <w:rStyle w:val="ae"/>
      </w:rPr>
      <w:fldChar w:fldCharType="separate"/>
    </w:r>
    <w:r>
      <w:rPr>
        <w:rStyle w:val="ae"/>
        <w:noProof/>
      </w:rPr>
      <w:t>9</w:t>
    </w:r>
    <w:r>
      <w:rPr>
        <w:rStyle w:val="ae"/>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047B" w14:textId="77777777" w:rsidR="00F332DA" w:rsidRPr="001F6A27" w:rsidRDefault="00F332DA" w:rsidP="0000527F">
    <w:pPr>
      <w:pStyle w:val="aa"/>
    </w:pPr>
    <w:r>
      <w:t xml:space="preserve">Section VI. </w:t>
    </w:r>
    <w:r w:rsidRPr="00143317">
      <w:rPr>
        <w:iCs/>
      </w:rPr>
      <w:t>Employer</w:t>
    </w:r>
    <w:r w:rsidRPr="00143317">
      <w:t>’s</w:t>
    </w:r>
    <w:r>
      <w:t xml:space="preserve"> Requirements</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A55D" w14:textId="77777777" w:rsidR="00F332DA" w:rsidRPr="00107912" w:rsidRDefault="00F332DA" w:rsidP="0000527F">
    <w:pPr>
      <w:pStyle w:val="aa"/>
      <w:pBdr>
        <w:bottom w:val="single" w:sz="4" w:space="1" w:color="auto"/>
      </w:pBdr>
      <w:tabs>
        <w:tab w:val="right" w:pos="9000"/>
      </w:tabs>
      <w:rPr>
        <w:lang w:eastAsia="ja-JP"/>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8C69" w14:textId="77777777" w:rsidR="00F332DA" w:rsidRPr="002A7777" w:rsidRDefault="00F332DA" w:rsidP="002A7777">
    <w:pPr>
      <w:pBdr>
        <w:bottom w:val="single" w:sz="4" w:space="1" w:color="auto"/>
      </w:pBdr>
      <w:suppressAutoHyphens w:val="0"/>
      <w:overflowPunct/>
      <w:autoSpaceDE/>
      <w:autoSpaceDN/>
      <w:adjustRightInd/>
      <w:jc w:val="right"/>
      <w:textAlignment w:val="auto"/>
      <w:rPr>
        <w:sz w:val="20"/>
      </w:rPr>
    </w:pPr>
    <w:r w:rsidRPr="002A7777">
      <w:rPr>
        <w:sz w:val="20"/>
      </w:rPr>
      <w:t>Section VII. C</w:t>
    </w:r>
    <w:r>
      <w:rPr>
        <w:sz w:val="20"/>
      </w:rPr>
      <w:t>ondition</w:t>
    </w:r>
    <w:r w:rsidRPr="002A7777">
      <w:rPr>
        <w:sz w:val="20"/>
      </w:rPr>
      <w:t xml:space="preserve">s </w:t>
    </w:r>
    <w:r>
      <w:rPr>
        <w:sz w:val="20"/>
      </w:rPr>
      <w:t>G</w:t>
    </w:r>
    <w:r w:rsidRPr="002A7777">
      <w:rPr>
        <w:sz w:val="20"/>
      </w:rPr>
      <w:t>énérales</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8547" w14:textId="77777777" w:rsidR="00F332DA" w:rsidRPr="005403EE" w:rsidRDefault="00F332DA" w:rsidP="005403EE">
    <w:pPr>
      <w:pBdr>
        <w:bottom w:val="single" w:sz="4" w:space="1" w:color="auto"/>
      </w:pBdr>
      <w:suppressAutoHyphens w:val="0"/>
      <w:overflowPunct/>
      <w:autoSpaceDE/>
      <w:autoSpaceDN/>
      <w:adjustRightInd/>
      <w:textAlignment w:val="auto"/>
      <w:rPr>
        <w:sz w:val="20"/>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FBFA" w14:textId="77777777" w:rsidR="00F332DA" w:rsidRPr="003801DB" w:rsidRDefault="00F332DA" w:rsidP="001B17AC">
    <w:pPr>
      <w:pStyle w:val="aa"/>
      <w:pBdr>
        <w:bottom w:val="single" w:sz="4" w:space="1" w:color="auto"/>
      </w:pBdr>
      <w:tabs>
        <w:tab w:val="right" w:pos="9360"/>
      </w:tabs>
      <w:rPr>
        <w:sz w:val="16"/>
        <w:szCs w:val="16"/>
      </w:rPr>
    </w:pPr>
    <w:r>
      <w:rPr>
        <w:rStyle w:val="ae"/>
      </w:rPr>
      <w:tab/>
    </w: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3FAE" w14:textId="77777777" w:rsidR="00F332DA" w:rsidRDefault="00F332DA" w:rsidP="00C962EE">
    <w:pPr>
      <w:pStyle w:val="aa"/>
      <w:pBdr>
        <w:bottom w:val="single" w:sz="4" w:space="1" w:color="auto"/>
      </w:pBdr>
      <w:tabs>
        <w:tab w:val="right" w:pos="9000"/>
      </w:tabs>
      <w:jc w:val="both"/>
      <w:rPr>
        <w:lang w:eastAsia="ja-JP"/>
      </w:rPr>
    </w:pPr>
    <w:r>
      <w:rPr>
        <w:rFonts w:hint="eastAsia"/>
        <w:lang w:eastAsia="ja-JP"/>
      </w:rPr>
      <w:t>CG-</w:t>
    </w:r>
    <w:r>
      <w:rPr>
        <w:rStyle w:val="ae"/>
      </w:rPr>
      <w:fldChar w:fldCharType="begin"/>
    </w:r>
    <w:r>
      <w:rPr>
        <w:rStyle w:val="ae"/>
      </w:rPr>
      <w:instrText xml:space="preserve"> PAGE </w:instrText>
    </w:r>
    <w:r>
      <w:rPr>
        <w:rStyle w:val="ae"/>
      </w:rPr>
      <w:fldChar w:fldCharType="separate"/>
    </w:r>
    <w:r>
      <w:rPr>
        <w:rStyle w:val="ae"/>
        <w:noProof/>
      </w:rPr>
      <w:t>84</w:t>
    </w:r>
    <w:r>
      <w:rPr>
        <w:rStyle w:val="ae"/>
      </w:rPr>
      <w:fldChar w:fldCharType="end"/>
    </w:r>
    <w:r>
      <w:rPr>
        <w:rStyle w:val="ae"/>
        <w:rFonts w:hint="eastAsia"/>
        <w:lang w:eastAsia="ja-JP"/>
      </w:rPr>
      <w:tab/>
    </w:r>
    <w:r w:rsidRPr="006D33FF">
      <w:t>Section VII. C</w:t>
    </w:r>
    <w:r>
      <w:t>onditions</w:t>
    </w:r>
    <w:r w:rsidRPr="006D33FF">
      <w:t xml:space="preserve"> </w:t>
    </w:r>
    <w:r>
      <w:t>G</w:t>
    </w:r>
    <w:r w:rsidRPr="006D33FF">
      <w:t>énérales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A680" w14:textId="77777777" w:rsidR="0037332F" w:rsidRDefault="0037332F" w:rsidP="00411563">
    <w:pPr>
      <w:pStyle w:val="aa"/>
      <w:pBdr>
        <w:bottom w:val="single" w:sz="6" w:space="1" w:color="auto"/>
      </w:pBdr>
      <w:tabs>
        <w:tab w:val="right" w:pos="9000"/>
      </w:tabs>
    </w:pPr>
    <w:r>
      <w:tab/>
    </w:r>
    <w:r>
      <w:rPr>
        <w:rStyle w:val="ae"/>
      </w:rPr>
      <w:fldChar w:fldCharType="begin"/>
    </w:r>
    <w:r>
      <w:rPr>
        <w:rStyle w:val="ae"/>
      </w:rPr>
      <w:instrText xml:space="preserve"> PAGE </w:instrText>
    </w:r>
    <w:r>
      <w:rPr>
        <w:rStyle w:val="ae"/>
      </w:rPr>
      <w:fldChar w:fldCharType="separate"/>
    </w:r>
    <w:r w:rsidR="00F332DA">
      <w:rPr>
        <w:rStyle w:val="ae"/>
        <w:noProof/>
      </w:rPr>
      <w:t>vii</w:t>
    </w:r>
    <w:r>
      <w:rPr>
        <w:rStyle w:val="ae"/>
      </w:rPr>
      <w:fldChar w:fldCharType="end"/>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0AB7" w14:textId="77777777" w:rsidR="00F332DA" w:rsidRPr="00107912" w:rsidRDefault="00F332DA" w:rsidP="00C962EE">
    <w:pPr>
      <w:pStyle w:val="aa"/>
      <w:pBdr>
        <w:bottom w:val="single" w:sz="4" w:space="1" w:color="auto"/>
      </w:pBdr>
      <w:tabs>
        <w:tab w:val="right" w:pos="9000"/>
      </w:tabs>
    </w:pPr>
    <w:r w:rsidRPr="006D33FF">
      <w:t>Section VII. C</w:t>
    </w:r>
    <w:r>
      <w:t>onditions</w:t>
    </w:r>
    <w:r w:rsidRPr="006D33FF">
      <w:t xml:space="preserve"> </w:t>
    </w:r>
    <w:r>
      <w:t>G</w:t>
    </w:r>
    <w:r w:rsidRPr="006D33FF">
      <w:t>énérales</w:t>
    </w:r>
    <w:r>
      <w:tab/>
    </w:r>
    <w:r>
      <w:rPr>
        <w:rFonts w:hint="eastAsia"/>
        <w:lang w:eastAsia="ja-JP"/>
      </w:rPr>
      <w:t>CG-</w:t>
    </w:r>
    <w:r>
      <w:rPr>
        <w:rStyle w:val="ae"/>
      </w:rPr>
      <w:fldChar w:fldCharType="begin"/>
    </w:r>
    <w:r>
      <w:rPr>
        <w:rStyle w:val="ae"/>
      </w:rPr>
      <w:instrText xml:space="preserve"> PAGE </w:instrText>
    </w:r>
    <w:r>
      <w:rPr>
        <w:rStyle w:val="ae"/>
      </w:rPr>
      <w:fldChar w:fldCharType="separate"/>
    </w:r>
    <w:r>
      <w:rPr>
        <w:rStyle w:val="ae"/>
        <w:noProof/>
      </w:rPr>
      <w:t>85</w:t>
    </w:r>
    <w:r>
      <w:rPr>
        <w:rStyle w:val="ae"/>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DEB2" w14:textId="77777777" w:rsidR="00F332DA" w:rsidRPr="00107912" w:rsidRDefault="00F332DA" w:rsidP="00C962EE">
    <w:pPr>
      <w:pStyle w:val="aa"/>
      <w:pBdr>
        <w:bottom w:val="single" w:sz="4" w:space="1" w:color="auto"/>
      </w:pBdr>
      <w:tabs>
        <w:tab w:val="right" w:pos="9000"/>
      </w:tabs>
    </w:pPr>
    <w:r w:rsidRPr="00AF66C8">
      <w:rPr>
        <w:lang w:eastAsia="ja-JP"/>
      </w:rPr>
      <w:t>Section VIII. Conditions Particulières</w:t>
    </w:r>
    <w:r>
      <w:tab/>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5856" w14:textId="77777777" w:rsidR="00F332DA" w:rsidRPr="00EA2CC7" w:rsidRDefault="00F332DA" w:rsidP="0079334B">
    <w:pPr>
      <w:pStyle w:val="aa"/>
      <w:pBdr>
        <w:bottom w:val="single" w:sz="4" w:space="1" w:color="auto"/>
      </w:pBdr>
      <w:tabs>
        <w:tab w:val="right" w:pos="9356"/>
      </w:tabs>
      <w:rPr>
        <w:lang w:eastAsia="ja-JP"/>
      </w:rPr>
    </w:pPr>
    <w:r w:rsidRPr="00AF66C8">
      <w:rPr>
        <w:lang w:eastAsia="ja-JP"/>
      </w:rPr>
      <w:t>CP-</w:t>
    </w:r>
    <w:r w:rsidRPr="009318DD">
      <w:rPr>
        <w:rStyle w:val="ae"/>
        <w:lang w:val="en-GB"/>
      </w:rPr>
      <w:fldChar w:fldCharType="begin"/>
    </w:r>
    <w:r w:rsidRPr="00AF66C8">
      <w:rPr>
        <w:rStyle w:val="ae"/>
      </w:rPr>
      <w:instrText xml:space="preserve"> PAGE </w:instrText>
    </w:r>
    <w:r w:rsidRPr="009318DD">
      <w:rPr>
        <w:rStyle w:val="ae"/>
        <w:lang w:val="en-GB"/>
      </w:rPr>
      <w:fldChar w:fldCharType="separate"/>
    </w:r>
    <w:r>
      <w:rPr>
        <w:rStyle w:val="ae"/>
        <w:noProof/>
      </w:rPr>
      <w:t>6</w:t>
    </w:r>
    <w:r w:rsidRPr="009318DD">
      <w:rPr>
        <w:rStyle w:val="ae"/>
        <w:lang w:val="en-GB"/>
      </w:rPr>
      <w:fldChar w:fldCharType="end"/>
    </w:r>
    <w:r w:rsidRPr="00D85D68">
      <w:rPr>
        <w:rStyle w:val="ae"/>
      </w:rPr>
      <w:tab/>
    </w:r>
    <w:r>
      <w:rPr>
        <w:rFonts w:hint="eastAsia"/>
        <w:lang w:eastAsia="ja-JP"/>
      </w:rPr>
      <w:t>Section VIII.</w:t>
    </w:r>
    <w:r w:rsidRPr="00AF66C8">
      <w:rPr>
        <w:lang w:eastAsia="ja-JP"/>
      </w:rPr>
      <w:t xml:space="preserve"> Conditions Particulières</w:t>
    </w:r>
    <w:r>
      <w:rPr>
        <w:lang w:eastAsia="ja-JP"/>
      </w:rPr>
      <w:t xml:space="preserve"> </w:t>
    </w:r>
    <w:r w:rsidRPr="00AF66C8">
      <w:rPr>
        <w:lang w:eastAsia="ja-JP"/>
      </w:rPr>
      <w:t xml:space="preserve">(Partie </w:t>
    </w:r>
    <w:r>
      <w:rPr>
        <w:lang w:eastAsia="ja-JP"/>
      </w:rPr>
      <w:t xml:space="preserve">A </w:t>
    </w:r>
    <w:r w:rsidRPr="00AF66C8">
      <w:rPr>
        <w:lang w:eastAsia="ja-JP"/>
      </w:rPr>
      <w:t xml:space="preserve">: </w:t>
    </w:r>
    <w:r w:rsidRPr="00367D59">
      <w:rPr>
        <w:lang w:eastAsia="ja-JP"/>
      </w:rPr>
      <w:t>Données du Marché</w:t>
    </w:r>
    <w:r w:rsidRPr="00AF66C8">
      <w:rPr>
        <w:lang w:eastAsia="ja-JP"/>
      </w:rPr>
      <w:t>)</w:t>
    </w:r>
  </w:p>
  <w:p w14:paraId="719DA8CA" w14:textId="77777777" w:rsidR="00F332DA" w:rsidRPr="00B32C24" w:rsidRDefault="00F332DA" w:rsidP="00B32C24">
    <w:pPr>
      <w:pStyle w:val="aa"/>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6571" w14:textId="77777777" w:rsidR="00F332DA" w:rsidRPr="00AF66C8" w:rsidRDefault="00F332DA" w:rsidP="0079334B">
    <w:pPr>
      <w:pStyle w:val="aa"/>
      <w:pBdr>
        <w:bottom w:val="single" w:sz="4" w:space="1" w:color="auto"/>
      </w:pBdr>
      <w:tabs>
        <w:tab w:val="right" w:pos="9356"/>
      </w:tabs>
      <w:rPr>
        <w:rStyle w:val="ae"/>
      </w:rPr>
    </w:pPr>
    <w:r w:rsidRPr="00AF66C8">
      <w:rPr>
        <w:lang w:eastAsia="ja-JP"/>
      </w:rPr>
      <w:t xml:space="preserve">Section VIII. Conditions Particulières (Partie </w:t>
    </w:r>
    <w:r>
      <w:rPr>
        <w:lang w:eastAsia="ja-JP"/>
      </w:rPr>
      <w:t xml:space="preserve">A </w:t>
    </w:r>
    <w:r w:rsidRPr="00AF66C8">
      <w:rPr>
        <w:lang w:eastAsia="ja-JP"/>
      </w:rPr>
      <w:t xml:space="preserve">: </w:t>
    </w:r>
    <w:r w:rsidRPr="00367D59">
      <w:rPr>
        <w:lang w:eastAsia="ja-JP"/>
      </w:rPr>
      <w:t>Données du Marché</w:t>
    </w:r>
    <w:r w:rsidRPr="00AF66C8">
      <w:rPr>
        <w:lang w:eastAsia="ja-JP"/>
      </w:rPr>
      <w:t>)</w:t>
    </w:r>
    <w:r w:rsidRPr="00AF66C8">
      <w:rPr>
        <w:lang w:eastAsia="ja-JP"/>
      </w:rPr>
      <w:tab/>
      <w:t>CP-</w:t>
    </w:r>
    <w:r w:rsidRPr="009318DD">
      <w:rPr>
        <w:rStyle w:val="ae"/>
        <w:lang w:val="en-GB"/>
      </w:rPr>
      <w:fldChar w:fldCharType="begin"/>
    </w:r>
    <w:r w:rsidRPr="00AF66C8">
      <w:rPr>
        <w:rStyle w:val="ae"/>
      </w:rPr>
      <w:instrText xml:space="preserve"> PAGE </w:instrText>
    </w:r>
    <w:r w:rsidRPr="009318DD">
      <w:rPr>
        <w:rStyle w:val="ae"/>
        <w:lang w:val="en-GB"/>
      </w:rPr>
      <w:fldChar w:fldCharType="separate"/>
    </w:r>
    <w:r>
      <w:rPr>
        <w:rStyle w:val="ae"/>
        <w:noProof/>
      </w:rPr>
      <w:t>1</w:t>
    </w:r>
    <w:r w:rsidRPr="009318DD">
      <w:rPr>
        <w:rStyle w:val="ae"/>
        <w:lang w:val="en-GB"/>
      </w:rPr>
      <w:fldChar w:fldCharType="end"/>
    </w:r>
  </w:p>
  <w:p w14:paraId="632B8B7F" w14:textId="77777777" w:rsidR="00F332DA" w:rsidRPr="00B32C24" w:rsidRDefault="00F332DA" w:rsidP="00B32C24">
    <w:pPr>
      <w:pStyle w:val="aa"/>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C931" w14:textId="77777777" w:rsidR="00F332DA" w:rsidRPr="00EA2CC7" w:rsidRDefault="00F332DA" w:rsidP="0079334B">
    <w:pPr>
      <w:pStyle w:val="aa"/>
      <w:pBdr>
        <w:bottom w:val="single" w:sz="4" w:space="1" w:color="auto"/>
      </w:pBdr>
      <w:tabs>
        <w:tab w:val="right" w:pos="9356"/>
      </w:tabs>
      <w:rPr>
        <w:lang w:eastAsia="ja-JP"/>
      </w:rPr>
    </w:pPr>
    <w:r w:rsidRPr="00AF66C8">
      <w:rPr>
        <w:lang w:eastAsia="ja-JP"/>
      </w:rPr>
      <w:t>CP-</w:t>
    </w:r>
    <w:r w:rsidRPr="009318DD">
      <w:rPr>
        <w:rStyle w:val="ae"/>
        <w:lang w:val="en-GB"/>
      </w:rPr>
      <w:fldChar w:fldCharType="begin"/>
    </w:r>
    <w:r w:rsidRPr="00AF66C8">
      <w:rPr>
        <w:rStyle w:val="ae"/>
      </w:rPr>
      <w:instrText xml:space="preserve"> PAGE </w:instrText>
    </w:r>
    <w:r w:rsidRPr="009318DD">
      <w:rPr>
        <w:rStyle w:val="ae"/>
        <w:lang w:val="en-GB"/>
      </w:rPr>
      <w:fldChar w:fldCharType="separate"/>
    </w:r>
    <w:r>
      <w:rPr>
        <w:rStyle w:val="ae"/>
        <w:noProof/>
      </w:rPr>
      <w:t>20</w:t>
    </w:r>
    <w:r w:rsidRPr="009318DD">
      <w:rPr>
        <w:rStyle w:val="ae"/>
        <w:lang w:val="en-GB"/>
      </w:rPr>
      <w:fldChar w:fldCharType="end"/>
    </w:r>
    <w:r w:rsidRPr="0045564B">
      <w:rPr>
        <w:rStyle w:val="ae"/>
      </w:rPr>
      <w:tab/>
    </w:r>
    <w:r>
      <w:rPr>
        <w:rFonts w:hint="eastAsia"/>
        <w:lang w:eastAsia="ja-JP"/>
      </w:rPr>
      <w:t>Section VIII.</w:t>
    </w:r>
    <w:r w:rsidRPr="00AF66C8">
      <w:rPr>
        <w:lang w:eastAsia="ja-JP"/>
      </w:rPr>
      <w:t xml:space="preserve"> Conditions Particulières</w:t>
    </w:r>
    <w:r>
      <w:rPr>
        <w:lang w:eastAsia="ja-JP"/>
      </w:rPr>
      <w:t xml:space="preserve"> </w:t>
    </w:r>
    <w:r w:rsidRPr="00AF66C8">
      <w:rPr>
        <w:lang w:eastAsia="ja-JP"/>
      </w:rPr>
      <w:t xml:space="preserve">(Partie </w:t>
    </w:r>
    <w:r>
      <w:rPr>
        <w:lang w:eastAsia="ja-JP"/>
      </w:rPr>
      <w:t xml:space="preserve">B </w:t>
    </w:r>
    <w:r w:rsidRPr="00AF66C8">
      <w:rPr>
        <w:lang w:eastAsia="ja-JP"/>
      </w:rPr>
      <w:t xml:space="preserve">: </w:t>
    </w:r>
    <w:r w:rsidRPr="0045564B">
      <w:rPr>
        <w:lang w:eastAsia="ja-JP"/>
      </w:rPr>
      <w:t>Dispositions spécifiques</w:t>
    </w:r>
    <w:r w:rsidRPr="00AF66C8">
      <w:rPr>
        <w:lang w:eastAsia="ja-JP"/>
      </w:rPr>
      <w:t>)</w:t>
    </w:r>
  </w:p>
  <w:p w14:paraId="6B3A5CB3" w14:textId="77777777" w:rsidR="00F332DA" w:rsidRPr="00B32C24" w:rsidRDefault="00F332DA" w:rsidP="00B32C24">
    <w:pPr>
      <w:pStyle w:val="aa"/>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880B" w14:textId="77777777" w:rsidR="00F332DA" w:rsidRPr="00AF66C8" w:rsidRDefault="00F332DA" w:rsidP="0079334B">
    <w:pPr>
      <w:pStyle w:val="aa"/>
      <w:pBdr>
        <w:bottom w:val="single" w:sz="4" w:space="1" w:color="auto"/>
      </w:pBdr>
      <w:tabs>
        <w:tab w:val="right" w:pos="9356"/>
      </w:tabs>
      <w:rPr>
        <w:rStyle w:val="ae"/>
      </w:rPr>
    </w:pPr>
    <w:r w:rsidRPr="00AF66C8">
      <w:rPr>
        <w:lang w:eastAsia="ja-JP"/>
      </w:rPr>
      <w:t>Section VIII. Conditions Particulières (Partie B</w:t>
    </w:r>
    <w:r>
      <w:rPr>
        <w:lang w:eastAsia="ja-JP"/>
      </w:rPr>
      <w:t xml:space="preserve"> </w:t>
    </w:r>
    <w:r w:rsidRPr="00AF66C8">
      <w:rPr>
        <w:lang w:eastAsia="ja-JP"/>
      </w:rPr>
      <w:t>: Dispositions spécifiques)</w:t>
    </w:r>
    <w:r w:rsidRPr="00AF66C8">
      <w:rPr>
        <w:lang w:eastAsia="ja-JP"/>
      </w:rPr>
      <w:tab/>
      <w:t>CP-</w:t>
    </w:r>
    <w:r w:rsidRPr="009318DD">
      <w:rPr>
        <w:rStyle w:val="ae"/>
        <w:lang w:val="en-GB"/>
      </w:rPr>
      <w:fldChar w:fldCharType="begin"/>
    </w:r>
    <w:r w:rsidRPr="00AF66C8">
      <w:rPr>
        <w:rStyle w:val="ae"/>
      </w:rPr>
      <w:instrText xml:space="preserve"> PAGE </w:instrText>
    </w:r>
    <w:r w:rsidRPr="009318DD">
      <w:rPr>
        <w:rStyle w:val="ae"/>
        <w:lang w:val="en-GB"/>
      </w:rPr>
      <w:fldChar w:fldCharType="separate"/>
    </w:r>
    <w:r>
      <w:rPr>
        <w:rStyle w:val="ae"/>
        <w:noProof/>
      </w:rPr>
      <w:t>19</w:t>
    </w:r>
    <w:r w:rsidRPr="009318DD">
      <w:rPr>
        <w:rStyle w:val="ae"/>
        <w:lang w:val="en-GB"/>
      </w:rPr>
      <w:fldChar w:fldCharType="end"/>
    </w:r>
  </w:p>
  <w:p w14:paraId="1BE4DD93" w14:textId="77777777" w:rsidR="00F332DA" w:rsidRPr="00B32C24" w:rsidRDefault="00F332DA" w:rsidP="00B32C24">
    <w:pPr>
      <w:pStyle w:val="aa"/>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E6E0" w14:textId="77777777" w:rsidR="00F332DA" w:rsidRPr="00AF66C8" w:rsidRDefault="00F332DA" w:rsidP="0079334B">
    <w:pPr>
      <w:pStyle w:val="aa"/>
      <w:pBdr>
        <w:bottom w:val="single" w:sz="4" w:space="1" w:color="auto"/>
      </w:pBdr>
      <w:tabs>
        <w:tab w:val="right" w:pos="9356"/>
      </w:tabs>
      <w:rPr>
        <w:rStyle w:val="ae"/>
      </w:rPr>
    </w:pPr>
    <w:r>
      <w:t xml:space="preserve">Section </w:t>
    </w:r>
    <w:r>
      <w:rPr>
        <w:rFonts w:hint="eastAsia"/>
        <w:lang w:eastAsia="ja-JP"/>
      </w:rPr>
      <w:t>I</w:t>
    </w:r>
    <w:r>
      <w:t>X. Formulaires du Marché</w:t>
    </w:r>
    <w:r w:rsidRPr="00AF66C8">
      <w:rPr>
        <w:lang w:eastAsia="ja-JP"/>
      </w:rPr>
      <w:tab/>
    </w:r>
  </w:p>
  <w:p w14:paraId="10500701" w14:textId="77777777" w:rsidR="00F332DA" w:rsidRPr="00B32C24" w:rsidRDefault="00F332DA" w:rsidP="00B32C24">
    <w:pPr>
      <w:pStyle w:val="aa"/>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EFF0" w14:textId="77777777" w:rsidR="00F332DA" w:rsidRPr="00B724A6" w:rsidRDefault="00F332DA" w:rsidP="00154601">
    <w:pPr>
      <w:pStyle w:val="aa"/>
      <w:pBdr>
        <w:bottom w:val="single" w:sz="4" w:space="1" w:color="auto"/>
      </w:pBdr>
      <w:tabs>
        <w:tab w:val="right" w:pos="9356"/>
      </w:tabs>
      <w:jc w:val="both"/>
    </w:pPr>
    <w:r>
      <w:rPr>
        <w:rFonts w:hint="eastAsia"/>
        <w:lang w:eastAsia="ja-JP"/>
      </w:rPr>
      <w:t>FM-</w:t>
    </w:r>
    <w:r>
      <w:rPr>
        <w:rStyle w:val="ae"/>
      </w:rPr>
      <w:fldChar w:fldCharType="begin"/>
    </w:r>
    <w:r>
      <w:rPr>
        <w:rStyle w:val="ae"/>
      </w:rPr>
      <w:instrText xml:space="preserve"> PAGE </w:instrText>
    </w:r>
    <w:r>
      <w:rPr>
        <w:rStyle w:val="ae"/>
      </w:rPr>
      <w:fldChar w:fldCharType="separate"/>
    </w:r>
    <w:r>
      <w:rPr>
        <w:rStyle w:val="ae"/>
        <w:noProof/>
      </w:rPr>
      <w:t>30</w:t>
    </w:r>
    <w:r>
      <w:rPr>
        <w:rStyle w:val="ae"/>
      </w:rPr>
      <w:fldChar w:fldCharType="end"/>
    </w:r>
    <w:r>
      <w:tab/>
    </w:r>
    <w:r w:rsidRPr="00F15442">
      <w:t xml:space="preserve">Section </w:t>
    </w:r>
    <w:r>
      <w:t>I</w:t>
    </w:r>
    <w:r w:rsidRPr="00F15442">
      <w:t>X. Formulaires du Marché</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B17F" w14:textId="77777777" w:rsidR="00F332DA" w:rsidRPr="004F08AB" w:rsidRDefault="00F332DA" w:rsidP="00154601">
    <w:pPr>
      <w:pStyle w:val="aa"/>
      <w:pBdr>
        <w:bottom w:val="single" w:sz="4" w:space="1" w:color="auto"/>
      </w:pBdr>
      <w:tabs>
        <w:tab w:val="right" w:pos="9356"/>
      </w:tabs>
    </w:pPr>
    <w:r>
      <w:t xml:space="preserve">Section </w:t>
    </w:r>
    <w:r>
      <w:rPr>
        <w:rFonts w:hint="eastAsia"/>
        <w:lang w:eastAsia="ja-JP"/>
      </w:rPr>
      <w:t>I</w:t>
    </w:r>
    <w:r>
      <w:t>X. Formulaires du Marché</w:t>
    </w:r>
    <w:r>
      <w:tab/>
    </w:r>
    <w:r>
      <w:rPr>
        <w:rFonts w:hint="eastAsia"/>
        <w:lang w:eastAsia="ja-JP"/>
      </w:rPr>
      <w:t>FM-</w:t>
    </w:r>
    <w:r>
      <w:rPr>
        <w:rStyle w:val="ae"/>
      </w:rPr>
      <w:fldChar w:fldCharType="begin"/>
    </w:r>
    <w:r>
      <w:rPr>
        <w:rStyle w:val="ae"/>
      </w:rPr>
      <w:instrText xml:space="preserve"> PAGE </w:instrText>
    </w:r>
    <w:r>
      <w:rPr>
        <w:rStyle w:val="ae"/>
      </w:rPr>
      <w:fldChar w:fldCharType="separate"/>
    </w:r>
    <w:r>
      <w:rPr>
        <w:rStyle w:val="ae"/>
        <w:noProof/>
      </w:rPr>
      <w:t>31</w:t>
    </w:r>
    <w:r>
      <w:rPr>
        <w:rStyle w:val="ae"/>
      </w:rPr>
      <w:fldChar w:fldCharType="end"/>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0AE9" w14:textId="77777777" w:rsidR="00F332DA" w:rsidRDefault="00F332DA" w:rsidP="006F02A7">
    <w:pPr>
      <w:pStyle w:val="aa"/>
      <w:pBdr>
        <w:bottom w:val="single" w:sz="4" w:space="1" w:color="auto"/>
      </w:pBdr>
      <w:jc w:val="both"/>
    </w:pPr>
    <w:r w:rsidRPr="00F15442">
      <w:t xml:space="preserve">Section </w:t>
    </w:r>
    <w:r>
      <w:t>I</w:t>
    </w:r>
    <w:r w:rsidRPr="00F15442">
      <w:t>X. Formulaires du Marché</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E255" w14:textId="77777777" w:rsidR="0037332F" w:rsidRPr="00D3556C" w:rsidRDefault="0037332F" w:rsidP="008E1A65">
    <w:pPr>
      <w:pStyle w:val="aa"/>
      <w:pBdr>
        <w:bottom w:val="single" w:sz="6" w:space="1" w:color="auto"/>
      </w:pBdr>
      <w:tabs>
        <w:tab w:val="center" w:pos="4320"/>
      </w:tabs>
      <w:ind w:firstLineChars="2200" w:firstLine="4400"/>
      <w:rPr>
        <w:rStyle w:val="ae"/>
      </w:rPr>
    </w:pPr>
    <w:r w:rsidRPr="00D3556C">
      <w:tab/>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6304" w14:textId="77777777" w:rsidR="00F332DA" w:rsidRDefault="00F332DA">
    <w:pPr>
      <w:pStyle w:val="aa"/>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0205" w14:textId="629A5E5E" w:rsidR="00F332DA" w:rsidRPr="00F332DA" w:rsidRDefault="00F332DA" w:rsidP="00F332DA">
    <w:pPr>
      <w:pStyle w:val="aa"/>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9C1B" w14:textId="23DFF9A6" w:rsidR="0037332F" w:rsidRDefault="0037332F" w:rsidP="00201F66">
    <w:pPr>
      <w:pStyle w:val="aa"/>
      <w:pBdr>
        <w:bottom w:val="single" w:sz="4" w:space="0" w:color="auto"/>
      </w:pBdr>
      <w:tabs>
        <w:tab w:val="right" w:pos="9000"/>
      </w:tabs>
      <w:ind w:right="-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88281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6"/>
      <w:lvlText w:val=".%6"/>
      <w:legacy w:legacy="1" w:legacySpace="120" w:legacyIndent="1152"/>
      <w:lvlJc w:val="left"/>
      <w:pPr>
        <w:ind w:left="1152" w:hanging="1152"/>
      </w:pPr>
      <w:rPr>
        <w:rFonts w:cs="Times New Roman"/>
      </w:rPr>
    </w:lvl>
    <w:lvl w:ilvl="6">
      <w:start w:val="1"/>
      <w:numFmt w:val="decimal"/>
      <w:pStyle w:val="7"/>
      <w:lvlText w:val=".%6.%7"/>
      <w:legacy w:legacy="1" w:legacySpace="120" w:legacyIndent="1296"/>
      <w:lvlJc w:val="left"/>
      <w:pPr>
        <w:ind w:left="1296" w:hanging="1296"/>
      </w:pPr>
      <w:rPr>
        <w:rFonts w:cs="Times New Roman"/>
      </w:rPr>
    </w:lvl>
    <w:lvl w:ilvl="7">
      <w:start w:val="1"/>
      <w:numFmt w:val="decimal"/>
      <w:pStyle w:val="8"/>
      <w:lvlText w:val=".%6.%7.%8"/>
      <w:legacy w:legacy="1" w:legacySpace="120" w:legacyIndent="1440"/>
      <w:lvlJc w:val="left"/>
      <w:pPr>
        <w:ind w:left="1440" w:hanging="1440"/>
      </w:pPr>
      <w:rPr>
        <w:rFonts w:cs="Times New Roman"/>
      </w:rPr>
    </w:lvl>
    <w:lvl w:ilvl="8">
      <w:start w:val="1"/>
      <w:numFmt w:val="decimal"/>
      <w:pStyle w:val="9"/>
      <w:lvlText w:val=".%6.%7.%8.%9"/>
      <w:legacy w:legacy="1" w:legacySpace="120" w:legacyIndent="1584"/>
      <w:lvlJc w:val="left"/>
      <w:pPr>
        <w:ind w:left="1584" w:hanging="1584"/>
      </w:pPr>
      <w:rPr>
        <w:rFonts w:cs="Times New Roman"/>
      </w:rPr>
    </w:lvl>
  </w:abstractNum>
  <w:abstractNum w:abstractNumId="2" w15:restartNumberingAfterBreak="0">
    <w:nsid w:val="00000002"/>
    <w:multiLevelType w:val="multilevel"/>
    <w:tmpl w:val="B7A250E6"/>
    <w:name w:val="WW8Num5"/>
    <w:lvl w:ilvl="0">
      <w:start w:val="1"/>
      <w:numFmt w:val="upperLetter"/>
      <w:lvlText w:val="%1"/>
      <w:lvlJc w:val="left"/>
      <w:pPr>
        <w:tabs>
          <w:tab w:val="num" w:pos="360"/>
        </w:tabs>
        <w:ind w:left="360" w:hanging="360"/>
      </w:pPr>
    </w:lvl>
    <w:lvl w:ilvl="1">
      <w:start w:val="1"/>
      <w:numFmt w:val="decimal"/>
      <w:lvlText w:val="(%2)"/>
      <w:lvlJc w:val="left"/>
      <w:pPr>
        <w:tabs>
          <w:tab w:val="num" w:pos="840"/>
        </w:tabs>
        <w:ind w:left="840" w:hanging="420"/>
      </w:pPr>
    </w:lvl>
    <w:lvl w:ilvl="2">
      <w:start w:val="1"/>
      <w:numFmt w:val="lowerRoman"/>
      <w:lvlText w:val="(%3)"/>
      <w:lvlJc w:val="left"/>
      <w:pPr>
        <w:tabs>
          <w:tab w:val="num" w:pos="1080"/>
        </w:tabs>
        <w:ind w:left="1080" w:hanging="720"/>
      </w:pPr>
      <w:rPr>
        <w:color w:val="auto"/>
      </w:r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3" w15:restartNumberingAfterBreak="0">
    <w:nsid w:val="00000005"/>
    <w:multiLevelType w:val="singleLevel"/>
    <w:tmpl w:val="7F1AAE44"/>
    <w:name w:val="WW8Num43"/>
    <w:lvl w:ilvl="0">
      <w:start w:val="3"/>
      <w:numFmt w:val="upperLetter"/>
      <w:lvlText w:val="%1)"/>
      <w:lvlJc w:val="left"/>
      <w:pPr>
        <w:tabs>
          <w:tab w:val="num" w:pos="420"/>
        </w:tabs>
        <w:ind w:left="420" w:hanging="420"/>
      </w:pPr>
      <w:rPr>
        <w:rFonts w:ascii="Times New Roman" w:hAnsi="Times New Roman" w:cs="Times New Roman" w:hint="default"/>
        <w:szCs w:val="21"/>
      </w:rPr>
    </w:lvl>
  </w:abstractNum>
  <w:abstractNum w:abstractNumId="4" w15:restartNumberingAfterBreak="0">
    <w:nsid w:val="01D14F51"/>
    <w:multiLevelType w:val="hybridMultilevel"/>
    <w:tmpl w:val="562C55C2"/>
    <w:lvl w:ilvl="0" w:tplc="115E9892">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4205E13"/>
    <w:multiLevelType w:val="hybridMultilevel"/>
    <w:tmpl w:val="2F8C7306"/>
    <w:lvl w:ilvl="0" w:tplc="3B941E1A">
      <w:start w:val="1"/>
      <w:numFmt w:val="lowerLetter"/>
      <w:lvlText w:val="(%1)"/>
      <w:lvlJc w:val="left"/>
      <w:pPr>
        <w:ind w:left="420" w:hanging="42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4486EF3"/>
    <w:multiLevelType w:val="hybridMultilevel"/>
    <w:tmpl w:val="55B2F87C"/>
    <w:lvl w:ilvl="0" w:tplc="4DD40CCA">
      <w:start w:val="1"/>
      <w:numFmt w:val="decimal"/>
      <w:lvlText w:val="%1."/>
      <w:lvlJc w:val="left"/>
      <w:pPr>
        <w:ind w:left="420" w:hanging="420"/>
      </w:pPr>
      <w:rPr>
        <w:i w:val="0"/>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497E34"/>
    <w:multiLevelType w:val="hybridMultilevel"/>
    <w:tmpl w:val="8794D680"/>
    <w:lvl w:ilvl="0" w:tplc="5B06545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89B6216"/>
    <w:multiLevelType w:val="hybridMultilevel"/>
    <w:tmpl w:val="75C43ECE"/>
    <w:lvl w:ilvl="0" w:tplc="B4A6E338">
      <w:start w:val="1"/>
      <w:numFmt w:val="lowerLetter"/>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0A08044D"/>
    <w:multiLevelType w:val="hybridMultilevel"/>
    <w:tmpl w:val="6B702F8A"/>
    <w:lvl w:ilvl="0" w:tplc="DD7EDD9C">
      <w:start w:val="1"/>
      <w:numFmt w:val="lowerLetter"/>
      <w:lvlText w:val="(%1)"/>
      <w:lvlJc w:val="left"/>
      <w:pPr>
        <w:ind w:left="1080" w:hanging="360"/>
      </w:pPr>
      <w:rPr>
        <w:rFonts w:ascii="Times New Roman" w:hAnsi="Times New Roman" w:hint="default"/>
        <w:sz w:val="24"/>
      </w:rPr>
    </w:lvl>
    <w:lvl w:ilvl="1" w:tplc="24007D2E">
      <w:start w:val="1"/>
      <w:numFmt w:val="decimal"/>
      <w:lvlText w:val="%2."/>
      <w:lvlJc w:val="left"/>
      <w:pPr>
        <w:ind w:left="144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0ACB3E61"/>
    <w:multiLevelType w:val="singleLevel"/>
    <w:tmpl w:val="549EBD76"/>
    <w:lvl w:ilvl="0">
      <w:start w:val="1"/>
      <w:numFmt w:val="none"/>
      <w:lvlText w:val=""/>
      <w:legacy w:legacy="1" w:legacySpace="120" w:legacyIndent="360"/>
      <w:lvlJc w:val="left"/>
      <w:pPr>
        <w:ind w:left="1602" w:hanging="360"/>
      </w:pPr>
      <w:rPr>
        <w:rFonts w:ascii="Symbol" w:hAnsi="Symbol" w:cs="Times New Roman" w:hint="default"/>
        <w:sz w:val="24"/>
        <w:szCs w:val="24"/>
      </w:rPr>
    </w:lvl>
  </w:abstractNum>
  <w:abstractNum w:abstractNumId="11" w15:restartNumberingAfterBreak="0">
    <w:nsid w:val="0BE74A09"/>
    <w:multiLevelType w:val="hybridMultilevel"/>
    <w:tmpl w:val="2F2ABAD8"/>
    <w:lvl w:ilvl="0" w:tplc="012A0E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 w15:restartNumberingAfterBreak="0">
    <w:nsid w:val="0D45499D"/>
    <w:multiLevelType w:val="hybridMultilevel"/>
    <w:tmpl w:val="8794D680"/>
    <w:lvl w:ilvl="0" w:tplc="5B06545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942845"/>
    <w:multiLevelType w:val="hybridMultilevel"/>
    <w:tmpl w:val="2F961692"/>
    <w:lvl w:ilvl="0" w:tplc="52D2B8C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DDF5164"/>
    <w:multiLevelType w:val="hybridMultilevel"/>
    <w:tmpl w:val="2DDA80BA"/>
    <w:lvl w:ilvl="0" w:tplc="FFA88F7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E9515D8"/>
    <w:multiLevelType w:val="hybridMultilevel"/>
    <w:tmpl w:val="2F961692"/>
    <w:lvl w:ilvl="0" w:tplc="52D2B8C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1285459"/>
    <w:multiLevelType w:val="hybridMultilevel"/>
    <w:tmpl w:val="464C2FB4"/>
    <w:lvl w:ilvl="0" w:tplc="72A6E5EA">
      <w:start w:val="3"/>
      <w:numFmt w:val="bullet"/>
      <w:lvlText w:val="-"/>
      <w:lvlJc w:val="left"/>
      <w:pPr>
        <w:ind w:left="420" w:hanging="420"/>
      </w:pPr>
      <w:rPr>
        <w:rFonts w:ascii="Times New Roman" w:eastAsia="ＭＳ 明朝" w:hAnsi="Times New Roman"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4012E74"/>
    <w:multiLevelType w:val="multilevel"/>
    <w:tmpl w:val="D6C85DA0"/>
    <w:styleLink w:val="1"/>
    <w:lvl w:ilvl="0">
      <w:start w:val="1"/>
      <w:numFmt w:val="lowerLetter"/>
      <w:lvlText w:val="(%1)"/>
      <w:lvlJc w:val="left"/>
      <w:pPr>
        <w:ind w:left="360" w:hanging="360"/>
      </w:pPr>
      <w:rPr>
        <w:rFonts w:hint="default"/>
      </w:rPr>
    </w:lvl>
    <w:lvl w:ilvl="1">
      <w:start w:val="1"/>
      <w:numFmt w:val="lowerRoman"/>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9" w15:restartNumberingAfterBreak="0">
    <w:nsid w:val="16916E91"/>
    <w:multiLevelType w:val="hybridMultilevel"/>
    <w:tmpl w:val="F7BA6124"/>
    <w:lvl w:ilvl="0" w:tplc="27809C36">
      <w:start w:val="3"/>
      <w:numFmt w:val="lowerLetter"/>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15:restartNumberingAfterBreak="0">
    <w:nsid w:val="16F73A1A"/>
    <w:multiLevelType w:val="hybridMultilevel"/>
    <w:tmpl w:val="6772FD3E"/>
    <w:lvl w:ilvl="0" w:tplc="115E9892">
      <w:start w:val="1"/>
      <w:numFmt w:val="bullet"/>
      <w:lvlText w:val=""/>
      <w:lvlJc w:val="left"/>
      <w:pPr>
        <w:tabs>
          <w:tab w:val="num" w:pos="1140"/>
        </w:tabs>
        <w:ind w:left="1140" w:hanging="420"/>
      </w:pPr>
      <w:rPr>
        <w:rFonts w:ascii="Symbol" w:hAnsi="Symbol" w:hint="default"/>
        <w:color w:val="auto"/>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1" w15:restartNumberingAfterBreak="0">
    <w:nsid w:val="178E5F60"/>
    <w:multiLevelType w:val="hybridMultilevel"/>
    <w:tmpl w:val="6A3C00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7DD30D7"/>
    <w:multiLevelType w:val="multilevel"/>
    <w:tmpl w:val="53F440C0"/>
    <w:lvl w:ilvl="0">
      <w:start w:val="2"/>
      <w:numFmt w:val="decimal"/>
      <w:lvlText w:val="%1"/>
      <w:lvlJc w:val="left"/>
      <w:pPr>
        <w:tabs>
          <w:tab w:val="num" w:pos="720"/>
        </w:tabs>
        <w:ind w:left="720" w:hanging="720"/>
      </w:pPr>
      <w:rPr>
        <w:rFonts w:hint="eastAsia"/>
      </w:rPr>
    </w:lvl>
    <w:lvl w:ilvl="1">
      <w:start w:val="1"/>
      <w:numFmt w:val="decimal"/>
      <w:isLgl/>
      <w:lvlText w:val="%1.%2"/>
      <w:lvlJc w:val="left"/>
      <w:pPr>
        <w:tabs>
          <w:tab w:val="num" w:pos="842"/>
        </w:tabs>
        <w:ind w:left="842" w:hanging="360"/>
      </w:pPr>
      <w:rPr>
        <w:rFonts w:hint="default"/>
      </w:rPr>
    </w:lvl>
    <w:lvl w:ilvl="2">
      <w:start w:val="1"/>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166"/>
        </w:tabs>
        <w:ind w:left="2166" w:hanging="720"/>
      </w:pPr>
      <w:rPr>
        <w:rFonts w:hint="default"/>
      </w:rPr>
    </w:lvl>
    <w:lvl w:ilvl="4">
      <w:start w:val="1"/>
      <w:numFmt w:val="decimal"/>
      <w:isLgl/>
      <w:lvlText w:val="%1.%2.%3.%4.%5"/>
      <w:lvlJc w:val="left"/>
      <w:pPr>
        <w:tabs>
          <w:tab w:val="num" w:pos="3008"/>
        </w:tabs>
        <w:ind w:left="3008" w:hanging="1080"/>
      </w:pPr>
      <w:rPr>
        <w:rFonts w:hint="default"/>
      </w:rPr>
    </w:lvl>
    <w:lvl w:ilvl="5">
      <w:start w:val="1"/>
      <w:numFmt w:val="decimal"/>
      <w:isLgl/>
      <w:lvlText w:val="%1.%2.%3.%4.%5.%6"/>
      <w:lvlJc w:val="left"/>
      <w:pPr>
        <w:tabs>
          <w:tab w:val="num" w:pos="3490"/>
        </w:tabs>
        <w:ind w:left="3490" w:hanging="1080"/>
      </w:pPr>
      <w:rPr>
        <w:rFonts w:hint="default"/>
      </w:rPr>
    </w:lvl>
    <w:lvl w:ilvl="6">
      <w:start w:val="1"/>
      <w:numFmt w:val="decimal"/>
      <w:isLgl/>
      <w:lvlText w:val="%1.%2.%3.%4.%5.%6.%7"/>
      <w:lvlJc w:val="left"/>
      <w:pPr>
        <w:tabs>
          <w:tab w:val="num" w:pos="4332"/>
        </w:tabs>
        <w:ind w:left="4332" w:hanging="1440"/>
      </w:pPr>
      <w:rPr>
        <w:rFonts w:hint="default"/>
      </w:rPr>
    </w:lvl>
    <w:lvl w:ilvl="7">
      <w:start w:val="1"/>
      <w:numFmt w:val="decimal"/>
      <w:isLgl/>
      <w:lvlText w:val="%1.%2.%3.%4.%5.%6.%7.%8"/>
      <w:lvlJc w:val="left"/>
      <w:pPr>
        <w:tabs>
          <w:tab w:val="num" w:pos="4814"/>
        </w:tabs>
        <w:ind w:left="4814" w:hanging="1440"/>
      </w:pPr>
      <w:rPr>
        <w:rFonts w:hint="default"/>
      </w:rPr>
    </w:lvl>
    <w:lvl w:ilvl="8">
      <w:start w:val="1"/>
      <w:numFmt w:val="decimal"/>
      <w:isLgl/>
      <w:lvlText w:val="%1.%2.%3.%4.%5.%6.%7.%8.%9"/>
      <w:lvlJc w:val="left"/>
      <w:pPr>
        <w:tabs>
          <w:tab w:val="num" w:pos="5656"/>
        </w:tabs>
        <w:ind w:left="5656" w:hanging="1800"/>
      </w:pPr>
      <w:rPr>
        <w:rFonts w:hint="default"/>
      </w:rPr>
    </w:lvl>
  </w:abstractNum>
  <w:abstractNum w:abstractNumId="23" w15:restartNumberingAfterBreak="0">
    <w:nsid w:val="19E8179B"/>
    <w:multiLevelType w:val="hybridMultilevel"/>
    <w:tmpl w:val="56486DF2"/>
    <w:lvl w:ilvl="0" w:tplc="15AA6A5A">
      <w:start w:val="1"/>
      <w:numFmt w:val="lowerLetter"/>
      <w:lvlText w:val="(%1)"/>
      <w:lvlJc w:val="left"/>
      <w:pPr>
        <w:tabs>
          <w:tab w:val="num" w:pos="360"/>
        </w:tabs>
        <w:ind w:left="360" w:hanging="360"/>
      </w:pPr>
      <w:rPr>
        <w:rFonts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5" w15:restartNumberingAfterBreak="0">
    <w:nsid w:val="1B11244A"/>
    <w:multiLevelType w:val="singleLevel"/>
    <w:tmpl w:val="674AE6C6"/>
    <w:lvl w:ilvl="0">
      <w:start w:val="1"/>
      <w:numFmt w:val="lowerRoman"/>
      <w:lvlText w:val="(%1)"/>
      <w:lvlJc w:val="left"/>
      <w:pPr>
        <w:ind w:left="1500" w:hanging="420"/>
      </w:pPr>
      <w:rPr>
        <w:rFonts w:hint="eastAsia"/>
      </w:rPr>
    </w:lvl>
  </w:abstractNum>
  <w:abstractNum w:abstractNumId="26" w15:restartNumberingAfterBreak="0">
    <w:nsid w:val="1D840439"/>
    <w:multiLevelType w:val="hybridMultilevel"/>
    <w:tmpl w:val="6BA4F44A"/>
    <w:lvl w:ilvl="0" w:tplc="84E6D4BE">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DAB5E39"/>
    <w:multiLevelType w:val="hybridMultilevel"/>
    <w:tmpl w:val="CA442EFE"/>
    <w:lvl w:ilvl="0" w:tplc="2E34F80E">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0668E8"/>
    <w:multiLevelType w:val="hybridMultilevel"/>
    <w:tmpl w:val="E24E6A1C"/>
    <w:lvl w:ilvl="0" w:tplc="65CA7648">
      <w:start w:val="1"/>
      <w:numFmt w:val="lowerRoman"/>
      <w:lvlText w:val="(%1)"/>
      <w:lvlJc w:val="left"/>
      <w:pPr>
        <w:ind w:left="420" w:hanging="420"/>
      </w:pPr>
      <w:rPr>
        <w:rFonts w:ascii="Times New Roman" w:hAnsi="Times New Roman" w:cs="Times New Roman" w:hint="default"/>
        <w:b w:val="0"/>
        <w:i w:val="0"/>
        <w:color w:val="auto"/>
        <w:sz w:val="22"/>
        <w:szCs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FC92A4C"/>
    <w:multiLevelType w:val="multilevel"/>
    <w:tmpl w:val="F61AD97E"/>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sz w:val="26"/>
      </w:rPr>
    </w:lvl>
    <w:lvl w:ilvl="2">
      <w:start w:val="3"/>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22F71D96"/>
    <w:multiLevelType w:val="multilevel"/>
    <w:tmpl w:val="D6C85DA0"/>
    <w:lvl w:ilvl="0">
      <w:start w:val="1"/>
      <w:numFmt w:val="lowerLetter"/>
      <w:lvlText w:val="(%1)"/>
      <w:lvlJc w:val="left"/>
      <w:pPr>
        <w:ind w:left="360" w:hanging="360"/>
      </w:pPr>
      <w:rPr>
        <w:rFonts w:hint="default"/>
      </w:rPr>
    </w:lvl>
    <w:lvl w:ilvl="1">
      <w:start w:val="1"/>
      <w:numFmt w:val="lowerRoman"/>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1" w15:restartNumberingAfterBreak="0">
    <w:nsid w:val="23B470E4"/>
    <w:multiLevelType w:val="hybridMultilevel"/>
    <w:tmpl w:val="3752CB20"/>
    <w:lvl w:ilvl="0" w:tplc="6CA4350C">
      <w:start w:val="1"/>
      <w:numFmt w:val="decimal"/>
      <w:lvlText w:val="7.%1"/>
      <w:lvlJc w:val="left"/>
      <w:pPr>
        <w:tabs>
          <w:tab w:val="num" w:pos="0"/>
        </w:tabs>
        <w:ind w:left="576" w:hanging="576"/>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23E3723B"/>
    <w:multiLevelType w:val="multilevel"/>
    <w:tmpl w:val="D6C85DA0"/>
    <w:lvl w:ilvl="0">
      <w:start w:val="1"/>
      <w:numFmt w:val="lowerLetter"/>
      <w:lvlText w:val="(%1)"/>
      <w:lvlJc w:val="left"/>
      <w:pPr>
        <w:ind w:left="360" w:hanging="360"/>
      </w:pPr>
      <w:rPr>
        <w:rFonts w:hint="default"/>
      </w:rPr>
    </w:lvl>
    <w:lvl w:ilvl="1">
      <w:start w:val="1"/>
      <w:numFmt w:val="lowerRoman"/>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3" w15:restartNumberingAfterBreak="0">
    <w:nsid w:val="24A22050"/>
    <w:multiLevelType w:val="hybridMultilevel"/>
    <w:tmpl w:val="6BA4F44A"/>
    <w:lvl w:ilvl="0" w:tplc="84E6D4BE">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6484D58"/>
    <w:multiLevelType w:val="hybridMultilevel"/>
    <w:tmpl w:val="A202C884"/>
    <w:lvl w:ilvl="0" w:tplc="45AC6D0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6A71683"/>
    <w:multiLevelType w:val="hybridMultilevel"/>
    <w:tmpl w:val="B74A0C86"/>
    <w:lvl w:ilvl="0" w:tplc="66ECE390">
      <w:start w:val="1"/>
      <w:numFmt w:val="lowerLetter"/>
      <w:lvlText w:val="%1)"/>
      <w:legacy w:legacy="1" w:legacySpace="120" w:legacyIndent="360"/>
      <w:lvlJc w:val="left"/>
      <w:pPr>
        <w:ind w:left="360" w:hanging="360"/>
      </w:pPr>
      <w:rPr>
        <w:rFonts w:cs="Times New Roman"/>
        <w:b w:val="0"/>
        <w:i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27453EFD"/>
    <w:multiLevelType w:val="multilevel"/>
    <w:tmpl w:val="DB749B1E"/>
    <w:lvl w:ilvl="0">
      <w:start w:val="1"/>
      <w:numFmt w:val="decimal"/>
      <w:lvlText w:val="%1."/>
      <w:lvlJc w:val="left"/>
      <w:pPr>
        <w:tabs>
          <w:tab w:val="num" w:pos="840"/>
        </w:tabs>
        <w:ind w:left="840" w:hanging="840"/>
      </w:pPr>
      <w:rPr>
        <w:rFonts w:hint="default"/>
      </w:rPr>
    </w:lvl>
    <w:lvl w:ilvl="1">
      <w:start w:val="2"/>
      <w:numFmt w:val="decimal"/>
      <w:isLgl/>
      <w:lvlText w:val="%1.%2"/>
      <w:lvlJc w:val="left"/>
      <w:pPr>
        <w:tabs>
          <w:tab w:val="num" w:pos="420"/>
        </w:tabs>
        <w:ind w:left="420" w:hanging="420"/>
      </w:pPr>
      <w:rPr>
        <w:rFonts w:hint="default"/>
        <w:b/>
        <w:sz w:val="28"/>
        <w:szCs w:val="28"/>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8" w15:restartNumberingAfterBreak="0">
    <w:nsid w:val="2B3F3E04"/>
    <w:multiLevelType w:val="hybridMultilevel"/>
    <w:tmpl w:val="24D2D650"/>
    <w:lvl w:ilvl="0" w:tplc="7780DEF0">
      <w:start w:val="8"/>
      <w:numFmt w:val="lowerLetter"/>
      <w:lvlText w:val="%1)"/>
      <w:lvlJc w:val="left"/>
      <w:pPr>
        <w:ind w:left="357" w:hanging="357"/>
      </w:pPr>
      <w:rPr>
        <w:rFonts w:ascii="Times New Roman" w:hAnsi="Times New Roman"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EF64E6A"/>
    <w:multiLevelType w:val="hybridMultilevel"/>
    <w:tmpl w:val="D09C6A9A"/>
    <w:lvl w:ilvl="0" w:tplc="52D2B8C2">
      <w:start w:val="1"/>
      <w:numFmt w:val="lowerLetter"/>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0" w15:restartNumberingAfterBreak="0">
    <w:nsid w:val="30E91F72"/>
    <w:multiLevelType w:val="hybridMultilevel"/>
    <w:tmpl w:val="29E0C306"/>
    <w:lvl w:ilvl="0" w:tplc="52D2B8C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11373AA"/>
    <w:multiLevelType w:val="multilevel"/>
    <w:tmpl w:val="D6C85DA0"/>
    <w:numStyleLink w:val="1"/>
  </w:abstractNum>
  <w:abstractNum w:abstractNumId="42"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43" w15:restartNumberingAfterBreak="0">
    <w:nsid w:val="32DF6022"/>
    <w:multiLevelType w:val="multilevel"/>
    <w:tmpl w:val="86C0F18C"/>
    <w:lvl w:ilvl="0">
      <w:start w:val="1"/>
      <w:numFmt w:val="decimal"/>
      <w:lvlText w:val="%1."/>
      <w:lvlJc w:val="left"/>
      <w:pPr>
        <w:tabs>
          <w:tab w:val="num" w:pos="840"/>
        </w:tabs>
        <w:ind w:left="840" w:hanging="840"/>
      </w:pPr>
      <w:rPr>
        <w:rFonts w:hint="default"/>
      </w:rPr>
    </w:lvl>
    <w:lvl w:ilvl="1">
      <w:start w:val="3"/>
      <w:numFmt w:val="decimal"/>
      <w:isLgl/>
      <w:lvlText w:val="%1.%2"/>
      <w:lvlJc w:val="left"/>
      <w:pPr>
        <w:tabs>
          <w:tab w:val="num" w:pos="420"/>
        </w:tabs>
        <w:ind w:left="420" w:hanging="420"/>
      </w:pPr>
      <w:rPr>
        <w:rFonts w:hint="default"/>
        <w:b/>
        <w:i w:val="0"/>
        <w:sz w:val="28"/>
        <w:szCs w:val="28"/>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4" w15:restartNumberingAfterBreak="0">
    <w:nsid w:val="33E75475"/>
    <w:multiLevelType w:val="multilevel"/>
    <w:tmpl w:val="93D2693C"/>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i w:val="0"/>
        <w:sz w:val="28"/>
        <w:szCs w:val="28"/>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5" w15:restartNumberingAfterBreak="0">
    <w:nsid w:val="356F3228"/>
    <w:multiLevelType w:val="hybridMultilevel"/>
    <w:tmpl w:val="8D72B22A"/>
    <w:lvl w:ilvl="0" w:tplc="5BDC8B88">
      <w:start w:val="1"/>
      <w:numFmt w:val="decimal"/>
      <w:pStyle w:val="StyleHeader2-SubClausesBold"/>
      <w:lvlText w:val="%1."/>
      <w:lvlJc w:val="left"/>
      <w:pPr>
        <w:tabs>
          <w:tab w:val="num" w:pos="1620"/>
        </w:tabs>
        <w:ind w:left="1620" w:hanging="360"/>
      </w:pPr>
      <w:rPr>
        <w:rFonts w:ascii="Times New Roman" w:hAnsi="Times New Roman" w:hint="default"/>
        <w:b/>
        <w:i w:val="0"/>
      </w:rPr>
    </w:lvl>
    <w:lvl w:ilvl="1" w:tplc="61C4F0DA">
      <w:start w:val="1"/>
      <w:numFmt w:val="lowerLetter"/>
      <w:lvlText w:val="(%2)"/>
      <w:lvlJc w:val="left"/>
      <w:pPr>
        <w:tabs>
          <w:tab w:val="num" w:pos="-158"/>
        </w:tabs>
        <w:ind w:left="562" w:hanging="363"/>
      </w:pPr>
      <w:rPr>
        <w:rFonts w:ascii="Times New Roman" w:hAnsi="Times New Roman" w:cs="Times New Roman" w:hint="default"/>
        <w:b w:val="0"/>
        <w:i w:val="0"/>
      </w:rPr>
    </w:lvl>
    <w:lvl w:ilvl="2" w:tplc="04090011" w:tentative="1">
      <w:start w:val="1"/>
      <w:numFmt w:val="decimalEnclosedCircle"/>
      <w:lvlText w:val="%3"/>
      <w:lvlJc w:val="left"/>
      <w:pPr>
        <w:tabs>
          <w:tab w:val="num" w:pos="1039"/>
        </w:tabs>
        <w:ind w:left="1039" w:hanging="420"/>
      </w:pPr>
    </w:lvl>
    <w:lvl w:ilvl="3" w:tplc="0409000F" w:tentative="1">
      <w:start w:val="1"/>
      <w:numFmt w:val="decimal"/>
      <w:lvlText w:val="%4."/>
      <w:lvlJc w:val="left"/>
      <w:pPr>
        <w:tabs>
          <w:tab w:val="num" w:pos="1459"/>
        </w:tabs>
        <w:ind w:left="1459" w:hanging="420"/>
      </w:pPr>
    </w:lvl>
    <w:lvl w:ilvl="4" w:tplc="04090017" w:tentative="1">
      <w:start w:val="1"/>
      <w:numFmt w:val="aiueoFullWidth"/>
      <w:lvlText w:val="(%5)"/>
      <w:lvlJc w:val="left"/>
      <w:pPr>
        <w:tabs>
          <w:tab w:val="num" w:pos="1879"/>
        </w:tabs>
        <w:ind w:left="1879" w:hanging="420"/>
      </w:pPr>
    </w:lvl>
    <w:lvl w:ilvl="5" w:tplc="04090011" w:tentative="1">
      <w:start w:val="1"/>
      <w:numFmt w:val="decimalEnclosedCircle"/>
      <w:lvlText w:val="%6"/>
      <w:lvlJc w:val="left"/>
      <w:pPr>
        <w:tabs>
          <w:tab w:val="num" w:pos="2299"/>
        </w:tabs>
        <w:ind w:left="2299" w:hanging="420"/>
      </w:pPr>
    </w:lvl>
    <w:lvl w:ilvl="6" w:tplc="0409000F" w:tentative="1">
      <w:start w:val="1"/>
      <w:numFmt w:val="decimal"/>
      <w:lvlText w:val="%7."/>
      <w:lvlJc w:val="left"/>
      <w:pPr>
        <w:tabs>
          <w:tab w:val="num" w:pos="2719"/>
        </w:tabs>
        <w:ind w:left="2719" w:hanging="420"/>
      </w:pPr>
    </w:lvl>
    <w:lvl w:ilvl="7" w:tplc="04090017" w:tentative="1">
      <w:start w:val="1"/>
      <w:numFmt w:val="aiueoFullWidth"/>
      <w:lvlText w:val="(%8)"/>
      <w:lvlJc w:val="left"/>
      <w:pPr>
        <w:tabs>
          <w:tab w:val="num" w:pos="3139"/>
        </w:tabs>
        <w:ind w:left="3139" w:hanging="420"/>
      </w:pPr>
    </w:lvl>
    <w:lvl w:ilvl="8" w:tplc="04090011" w:tentative="1">
      <w:start w:val="1"/>
      <w:numFmt w:val="decimalEnclosedCircle"/>
      <w:lvlText w:val="%9"/>
      <w:lvlJc w:val="left"/>
      <w:pPr>
        <w:tabs>
          <w:tab w:val="num" w:pos="3559"/>
        </w:tabs>
        <w:ind w:left="3559" w:hanging="420"/>
      </w:pPr>
    </w:lvl>
  </w:abstractNum>
  <w:abstractNum w:abstractNumId="46" w15:restartNumberingAfterBreak="0">
    <w:nsid w:val="37BC6F27"/>
    <w:multiLevelType w:val="singleLevel"/>
    <w:tmpl w:val="3A24F572"/>
    <w:lvl w:ilvl="0">
      <w:start w:val="1"/>
      <w:numFmt w:val="none"/>
      <w:lvlText w:val=""/>
      <w:legacy w:legacy="1" w:legacySpace="120" w:legacyIndent="360"/>
      <w:lvlJc w:val="left"/>
      <w:pPr>
        <w:ind w:left="1440" w:hanging="360"/>
      </w:pPr>
      <w:rPr>
        <w:rFonts w:ascii="Symbol" w:hAnsi="Symbol" w:cs="Times New Roman" w:hint="default"/>
      </w:rPr>
    </w:lvl>
  </w:abstractNum>
  <w:abstractNum w:abstractNumId="47" w15:restartNumberingAfterBreak="0">
    <w:nsid w:val="38A55F0C"/>
    <w:multiLevelType w:val="hybridMultilevel"/>
    <w:tmpl w:val="37C84532"/>
    <w:lvl w:ilvl="0" w:tplc="115E9892">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3B33628B"/>
    <w:multiLevelType w:val="hybridMultilevel"/>
    <w:tmpl w:val="FEC0CA52"/>
    <w:lvl w:ilvl="0" w:tplc="74E4F140">
      <w:start w:val="1"/>
      <w:numFmt w:val="lowerRoman"/>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0" w15:restartNumberingAfterBreak="0">
    <w:nsid w:val="3C781939"/>
    <w:multiLevelType w:val="multilevel"/>
    <w:tmpl w:val="3300E2E8"/>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i w:val="0"/>
        <w:sz w:val="28"/>
        <w:szCs w:val="28"/>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1" w15:restartNumberingAfterBreak="0">
    <w:nsid w:val="3DB044EC"/>
    <w:multiLevelType w:val="multilevel"/>
    <w:tmpl w:val="53F440C0"/>
    <w:lvl w:ilvl="0">
      <w:start w:val="2"/>
      <w:numFmt w:val="decimal"/>
      <w:lvlText w:val="%1"/>
      <w:lvlJc w:val="left"/>
      <w:pPr>
        <w:tabs>
          <w:tab w:val="num" w:pos="720"/>
        </w:tabs>
        <w:ind w:left="720" w:hanging="720"/>
      </w:pPr>
      <w:rPr>
        <w:rFonts w:hint="eastAsia"/>
      </w:rPr>
    </w:lvl>
    <w:lvl w:ilvl="1">
      <w:start w:val="1"/>
      <w:numFmt w:val="decimal"/>
      <w:isLgl/>
      <w:lvlText w:val="%1.%2"/>
      <w:lvlJc w:val="left"/>
      <w:pPr>
        <w:tabs>
          <w:tab w:val="num" w:pos="842"/>
        </w:tabs>
        <w:ind w:left="842" w:hanging="360"/>
      </w:pPr>
      <w:rPr>
        <w:rFonts w:hint="default"/>
      </w:rPr>
    </w:lvl>
    <w:lvl w:ilvl="2">
      <w:start w:val="1"/>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166"/>
        </w:tabs>
        <w:ind w:left="2166" w:hanging="720"/>
      </w:pPr>
      <w:rPr>
        <w:rFonts w:hint="default"/>
      </w:rPr>
    </w:lvl>
    <w:lvl w:ilvl="4">
      <w:start w:val="1"/>
      <w:numFmt w:val="decimal"/>
      <w:isLgl/>
      <w:lvlText w:val="%1.%2.%3.%4.%5"/>
      <w:lvlJc w:val="left"/>
      <w:pPr>
        <w:tabs>
          <w:tab w:val="num" w:pos="3008"/>
        </w:tabs>
        <w:ind w:left="3008" w:hanging="1080"/>
      </w:pPr>
      <w:rPr>
        <w:rFonts w:hint="default"/>
      </w:rPr>
    </w:lvl>
    <w:lvl w:ilvl="5">
      <w:start w:val="1"/>
      <w:numFmt w:val="decimal"/>
      <w:isLgl/>
      <w:lvlText w:val="%1.%2.%3.%4.%5.%6"/>
      <w:lvlJc w:val="left"/>
      <w:pPr>
        <w:tabs>
          <w:tab w:val="num" w:pos="3490"/>
        </w:tabs>
        <w:ind w:left="3490" w:hanging="1080"/>
      </w:pPr>
      <w:rPr>
        <w:rFonts w:hint="default"/>
      </w:rPr>
    </w:lvl>
    <w:lvl w:ilvl="6">
      <w:start w:val="1"/>
      <w:numFmt w:val="decimal"/>
      <w:isLgl/>
      <w:lvlText w:val="%1.%2.%3.%4.%5.%6.%7"/>
      <w:lvlJc w:val="left"/>
      <w:pPr>
        <w:tabs>
          <w:tab w:val="num" w:pos="4332"/>
        </w:tabs>
        <w:ind w:left="4332" w:hanging="1440"/>
      </w:pPr>
      <w:rPr>
        <w:rFonts w:hint="default"/>
      </w:rPr>
    </w:lvl>
    <w:lvl w:ilvl="7">
      <w:start w:val="1"/>
      <w:numFmt w:val="decimal"/>
      <w:isLgl/>
      <w:lvlText w:val="%1.%2.%3.%4.%5.%6.%7.%8"/>
      <w:lvlJc w:val="left"/>
      <w:pPr>
        <w:tabs>
          <w:tab w:val="num" w:pos="4814"/>
        </w:tabs>
        <w:ind w:left="4814" w:hanging="1440"/>
      </w:pPr>
      <w:rPr>
        <w:rFonts w:hint="default"/>
      </w:rPr>
    </w:lvl>
    <w:lvl w:ilvl="8">
      <w:start w:val="1"/>
      <w:numFmt w:val="decimal"/>
      <w:isLgl/>
      <w:lvlText w:val="%1.%2.%3.%4.%5.%6.%7.%8.%9"/>
      <w:lvlJc w:val="left"/>
      <w:pPr>
        <w:tabs>
          <w:tab w:val="num" w:pos="5656"/>
        </w:tabs>
        <w:ind w:left="5656" w:hanging="1800"/>
      </w:pPr>
      <w:rPr>
        <w:rFonts w:hint="default"/>
      </w:rPr>
    </w:lvl>
  </w:abstractNum>
  <w:abstractNum w:abstractNumId="52" w15:restartNumberingAfterBreak="0">
    <w:nsid w:val="3F4C14AD"/>
    <w:multiLevelType w:val="hybridMultilevel"/>
    <w:tmpl w:val="A95498C4"/>
    <w:lvl w:ilvl="0" w:tplc="61F6A068">
      <w:start w:val="1"/>
      <w:numFmt w:val="bullet"/>
      <w:lvlText w:val=""/>
      <w:lvlJc w:val="left"/>
      <w:pPr>
        <w:tabs>
          <w:tab w:val="num" w:pos="420"/>
        </w:tabs>
        <w:ind w:left="420" w:hanging="420"/>
      </w:pPr>
      <w:rPr>
        <w:rFonts w:ascii="Symbol" w:hAnsi="Symbol" w:hint="default"/>
        <w:color w:val="auto"/>
      </w:rPr>
    </w:lvl>
    <w:lvl w:ilvl="1" w:tplc="672A227A" w:tentative="1">
      <w:start w:val="1"/>
      <w:numFmt w:val="bullet"/>
      <w:lvlText w:val=""/>
      <w:lvlJc w:val="left"/>
      <w:pPr>
        <w:tabs>
          <w:tab w:val="num" w:pos="840"/>
        </w:tabs>
        <w:ind w:left="840" w:hanging="420"/>
      </w:pPr>
      <w:rPr>
        <w:rFonts w:ascii="Wingdings" w:hAnsi="Wingdings" w:hint="default"/>
      </w:rPr>
    </w:lvl>
    <w:lvl w:ilvl="2" w:tplc="2A126884" w:tentative="1">
      <w:start w:val="1"/>
      <w:numFmt w:val="bullet"/>
      <w:lvlText w:val=""/>
      <w:lvlJc w:val="left"/>
      <w:pPr>
        <w:tabs>
          <w:tab w:val="num" w:pos="1260"/>
        </w:tabs>
        <w:ind w:left="1260" w:hanging="420"/>
      </w:pPr>
      <w:rPr>
        <w:rFonts w:ascii="Wingdings" w:hAnsi="Wingdings" w:hint="default"/>
      </w:rPr>
    </w:lvl>
    <w:lvl w:ilvl="3" w:tplc="EA0451BE" w:tentative="1">
      <w:start w:val="1"/>
      <w:numFmt w:val="bullet"/>
      <w:lvlText w:val=""/>
      <w:lvlJc w:val="left"/>
      <w:pPr>
        <w:tabs>
          <w:tab w:val="num" w:pos="1680"/>
        </w:tabs>
        <w:ind w:left="1680" w:hanging="420"/>
      </w:pPr>
      <w:rPr>
        <w:rFonts w:ascii="Wingdings" w:hAnsi="Wingdings" w:hint="default"/>
      </w:rPr>
    </w:lvl>
    <w:lvl w:ilvl="4" w:tplc="36CED038" w:tentative="1">
      <w:start w:val="1"/>
      <w:numFmt w:val="bullet"/>
      <w:lvlText w:val=""/>
      <w:lvlJc w:val="left"/>
      <w:pPr>
        <w:tabs>
          <w:tab w:val="num" w:pos="2100"/>
        </w:tabs>
        <w:ind w:left="2100" w:hanging="420"/>
      </w:pPr>
      <w:rPr>
        <w:rFonts w:ascii="Wingdings" w:hAnsi="Wingdings" w:hint="default"/>
      </w:rPr>
    </w:lvl>
    <w:lvl w:ilvl="5" w:tplc="AB544FF8" w:tentative="1">
      <w:start w:val="1"/>
      <w:numFmt w:val="bullet"/>
      <w:lvlText w:val=""/>
      <w:lvlJc w:val="left"/>
      <w:pPr>
        <w:tabs>
          <w:tab w:val="num" w:pos="2520"/>
        </w:tabs>
        <w:ind w:left="2520" w:hanging="420"/>
      </w:pPr>
      <w:rPr>
        <w:rFonts w:ascii="Wingdings" w:hAnsi="Wingdings" w:hint="default"/>
      </w:rPr>
    </w:lvl>
    <w:lvl w:ilvl="6" w:tplc="2EDC2D56" w:tentative="1">
      <w:start w:val="1"/>
      <w:numFmt w:val="bullet"/>
      <w:lvlText w:val=""/>
      <w:lvlJc w:val="left"/>
      <w:pPr>
        <w:tabs>
          <w:tab w:val="num" w:pos="2940"/>
        </w:tabs>
        <w:ind w:left="2940" w:hanging="420"/>
      </w:pPr>
      <w:rPr>
        <w:rFonts w:ascii="Wingdings" w:hAnsi="Wingdings" w:hint="default"/>
      </w:rPr>
    </w:lvl>
    <w:lvl w:ilvl="7" w:tplc="A922EE28" w:tentative="1">
      <w:start w:val="1"/>
      <w:numFmt w:val="bullet"/>
      <w:lvlText w:val=""/>
      <w:lvlJc w:val="left"/>
      <w:pPr>
        <w:tabs>
          <w:tab w:val="num" w:pos="3360"/>
        </w:tabs>
        <w:ind w:left="3360" w:hanging="420"/>
      </w:pPr>
      <w:rPr>
        <w:rFonts w:ascii="Wingdings" w:hAnsi="Wingdings" w:hint="default"/>
      </w:rPr>
    </w:lvl>
    <w:lvl w:ilvl="8" w:tplc="01DEF62C" w:tentative="1">
      <w:start w:val="1"/>
      <w:numFmt w:val="bullet"/>
      <w:lvlText w:val=""/>
      <w:lvlJc w:val="left"/>
      <w:pPr>
        <w:tabs>
          <w:tab w:val="num" w:pos="3780"/>
        </w:tabs>
        <w:ind w:left="3780" w:hanging="420"/>
      </w:pPr>
      <w:rPr>
        <w:rFonts w:ascii="Wingdings" w:hAnsi="Wingdings" w:hint="default"/>
      </w:rPr>
    </w:lvl>
  </w:abstractNum>
  <w:abstractNum w:abstractNumId="53" w15:restartNumberingAfterBreak="0">
    <w:nsid w:val="404C75B4"/>
    <w:multiLevelType w:val="multilevel"/>
    <w:tmpl w:val="FCA2957E"/>
    <w:lvl w:ilvl="0">
      <w:start w:val="1"/>
      <w:numFmt w:val="decimal"/>
      <w:lvlText w:val="%1."/>
      <w:lvlJc w:val="left"/>
      <w:pPr>
        <w:tabs>
          <w:tab w:val="num" w:pos="840"/>
        </w:tabs>
        <w:ind w:left="840" w:hanging="840"/>
      </w:pPr>
      <w:rPr>
        <w:rFonts w:hint="default"/>
      </w:rPr>
    </w:lvl>
    <w:lvl w:ilvl="1">
      <w:start w:val="3"/>
      <w:numFmt w:val="decimal"/>
      <w:isLgl/>
      <w:lvlText w:val="%1.%2"/>
      <w:lvlJc w:val="left"/>
      <w:pPr>
        <w:tabs>
          <w:tab w:val="num" w:pos="562"/>
        </w:tabs>
        <w:ind w:left="562" w:hanging="420"/>
      </w:pPr>
      <w:rPr>
        <w:rFonts w:hint="default"/>
        <w:b/>
        <w:i w:val="0"/>
        <w:sz w:val="28"/>
        <w:szCs w:val="28"/>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4" w15:restartNumberingAfterBreak="0">
    <w:nsid w:val="40D44A6D"/>
    <w:multiLevelType w:val="hybridMultilevel"/>
    <w:tmpl w:val="3884ACFE"/>
    <w:lvl w:ilvl="0" w:tplc="FD1A52D4">
      <w:start w:val="1"/>
      <w:numFmt w:val="lowerLetter"/>
      <w:lvlText w:val="%1)"/>
      <w:legacy w:legacy="1" w:legacySpace="120" w:legacyIndent="360"/>
      <w:lvlJc w:val="left"/>
      <w:pPr>
        <w:ind w:left="360" w:hanging="360"/>
      </w:pPr>
      <w:rPr>
        <w:rFonts w:cs="Times New Roman"/>
        <w:b w:val="0"/>
        <w:i w:val="0"/>
      </w:rPr>
    </w:lvl>
    <w:lvl w:ilvl="1" w:tplc="2336367A" w:tentative="1">
      <w:start w:val="1"/>
      <w:numFmt w:val="aiueoFullWidth"/>
      <w:lvlText w:val="(%2)"/>
      <w:lvlJc w:val="left"/>
      <w:pPr>
        <w:tabs>
          <w:tab w:val="num" w:pos="840"/>
        </w:tabs>
        <w:ind w:left="840" w:hanging="420"/>
      </w:pPr>
    </w:lvl>
    <w:lvl w:ilvl="2" w:tplc="71427120" w:tentative="1">
      <w:start w:val="1"/>
      <w:numFmt w:val="decimalEnclosedCircle"/>
      <w:lvlText w:val="%3"/>
      <w:lvlJc w:val="left"/>
      <w:pPr>
        <w:tabs>
          <w:tab w:val="num" w:pos="1260"/>
        </w:tabs>
        <w:ind w:left="1260" w:hanging="420"/>
      </w:pPr>
    </w:lvl>
    <w:lvl w:ilvl="3" w:tplc="3DD4463A" w:tentative="1">
      <w:start w:val="1"/>
      <w:numFmt w:val="decimal"/>
      <w:lvlText w:val="%4."/>
      <w:lvlJc w:val="left"/>
      <w:pPr>
        <w:tabs>
          <w:tab w:val="num" w:pos="1680"/>
        </w:tabs>
        <w:ind w:left="1680" w:hanging="420"/>
      </w:pPr>
    </w:lvl>
    <w:lvl w:ilvl="4" w:tplc="940E69B2" w:tentative="1">
      <w:start w:val="1"/>
      <w:numFmt w:val="aiueoFullWidth"/>
      <w:lvlText w:val="(%5)"/>
      <w:lvlJc w:val="left"/>
      <w:pPr>
        <w:tabs>
          <w:tab w:val="num" w:pos="2100"/>
        </w:tabs>
        <w:ind w:left="2100" w:hanging="420"/>
      </w:pPr>
    </w:lvl>
    <w:lvl w:ilvl="5" w:tplc="4B509A38" w:tentative="1">
      <w:start w:val="1"/>
      <w:numFmt w:val="decimalEnclosedCircle"/>
      <w:lvlText w:val="%6"/>
      <w:lvlJc w:val="left"/>
      <w:pPr>
        <w:tabs>
          <w:tab w:val="num" w:pos="2520"/>
        </w:tabs>
        <w:ind w:left="2520" w:hanging="420"/>
      </w:pPr>
    </w:lvl>
    <w:lvl w:ilvl="6" w:tplc="ECD08872" w:tentative="1">
      <w:start w:val="1"/>
      <w:numFmt w:val="decimal"/>
      <w:lvlText w:val="%7."/>
      <w:lvlJc w:val="left"/>
      <w:pPr>
        <w:tabs>
          <w:tab w:val="num" w:pos="2940"/>
        </w:tabs>
        <w:ind w:left="2940" w:hanging="420"/>
      </w:pPr>
    </w:lvl>
    <w:lvl w:ilvl="7" w:tplc="17E621A4" w:tentative="1">
      <w:start w:val="1"/>
      <w:numFmt w:val="aiueoFullWidth"/>
      <w:lvlText w:val="(%8)"/>
      <w:lvlJc w:val="left"/>
      <w:pPr>
        <w:tabs>
          <w:tab w:val="num" w:pos="3360"/>
        </w:tabs>
        <w:ind w:left="3360" w:hanging="420"/>
      </w:pPr>
    </w:lvl>
    <w:lvl w:ilvl="8" w:tplc="FF364F50" w:tentative="1">
      <w:start w:val="1"/>
      <w:numFmt w:val="decimalEnclosedCircle"/>
      <w:lvlText w:val="%9"/>
      <w:lvlJc w:val="left"/>
      <w:pPr>
        <w:tabs>
          <w:tab w:val="num" w:pos="3780"/>
        </w:tabs>
        <w:ind w:left="3780" w:hanging="420"/>
      </w:pPr>
    </w:lvl>
  </w:abstractNum>
  <w:abstractNum w:abstractNumId="55" w15:restartNumberingAfterBreak="0">
    <w:nsid w:val="41E4069B"/>
    <w:multiLevelType w:val="hybridMultilevel"/>
    <w:tmpl w:val="28743E96"/>
    <w:lvl w:ilvl="0" w:tplc="72767540">
      <w:start w:val="1"/>
      <w:numFmt w:val="lowerRoman"/>
      <w:lvlText w:val="(%1)"/>
      <w:lvlJc w:val="left"/>
      <w:pPr>
        <w:tabs>
          <w:tab w:val="num" w:pos="720"/>
        </w:tabs>
        <w:ind w:left="720" w:hanging="720"/>
      </w:pPr>
      <w:rPr>
        <w:rFonts w:hint="default"/>
      </w:rPr>
    </w:lvl>
    <w:lvl w:ilvl="1" w:tplc="922ACB6E" w:tentative="1">
      <w:start w:val="1"/>
      <w:numFmt w:val="aiueoFullWidth"/>
      <w:lvlText w:val="(%2)"/>
      <w:lvlJc w:val="left"/>
      <w:pPr>
        <w:tabs>
          <w:tab w:val="num" w:pos="840"/>
        </w:tabs>
        <w:ind w:left="840" w:hanging="420"/>
      </w:pPr>
    </w:lvl>
    <w:lvl w:ilvl="2" w:tplc="F9C6CC00" w:tentative="1">
      <w:start w:val="1"/>
      <w:numFmt w:val="decimalEnclosedCircle"/>
      <w:lvlText w:val="%3"/>
      <w:lvlJc w:val="left"/>
      <w:pPr>
        <w:tabs>
          <w:tab w:val="num" w:pos="1260"/>
        </w:tabs>
        <w:ind w:left="1260" w:hanging="420"/>
      </w:pPr>
    </w:lvl>
    <w:lvl w:ilvl="3" w:tplc="DB609EC4" w:tentative="1">
      <w:start w:val="1"/>
      <w:numFmt w:val="decimal"/>
      <w:lvlText w:val="%4."/>
      <w:lvlJc w:val="left"/>
      <w:pPr>
        <w:tabs>
          <w:tab w:val="num" w:pos="1680"/>
        </w:tabs>
        <w:ind w:left="1680" w:hanging="420"/>
      </w:pPr>
    </w:lvl>
    <w:lvl w:ilvl="4" w:tplc="464051E2" w:tentative="1">
      <w:start w:val="1"/>
      <w:numFmt w:val="aiueoFullWidth"/>
      <w:lvlText w:val="(%5)"/>
      <w:lvlJc w:val="left"/>
      <w:pPr>
        <w:tabs>
          <w:tab w:val="num" w:pos="2100"/>
        </w:tabs>
        <w:ind w:left="2100" w:hanging="420"/>
      </w:pPr>
    </w:lvl>
    <w:lvl w:ilvl="5" w:tplc="B1C0B258" w:tentative="1">
      <w:start w:val="1"/>
      <w:numFmt w:val="decimalEnclosedCircle"/>
      <w:lvlText w:val="%6"/>
      <w:lvlJc w:val="left"/>
      <w:pPr>
        <w:tabs>
          <w:tab w:val="num" w:pos="2520"/>
        </w:tabs>
        <w:ind w:left="2520" w:hanging="420"/>
      </w:pPr>
    </w:lvl>
    <w:lvl w:ilvl="6" w:tplc="8F04109A" w:tentative="1">
      <w:start w:val="1"/>
      <w:numFmt w:val="decimal"/>
      <w:lvlText w:val="%7."/>
      <w:lvlJc w:val="left"/>
      <w:pPr>
        <w:tabs>
          <w:tab w:val="num" w:pos="2940"/>
        </w:tabs>
        <w:ind w:left="2940" w:hanging="420"/>
      </w:pPr>
    </w:lvl>
    <w:lvl w:ilvl="7" w:tplc="4C9EC514" w:tentative="1">
      <w:start w:val="1"/>
      <w:numFmt w:val="aiueoFullWidth"/>
      <w:lvlText w:val="(%8)"/>
      <w:lvlJc w:val="left"/>
      <w:pPr>
        <w:tabs>
          <w:tab w:val="num" w:pos="3360"/>
        </w:tabs>
        <w:ind w:left="3360" w:hanging="420"/>
      </w:pPr>
    </w:lvl>
    <w:lvl w:ilvl="8" w:tplc="0DB64228" w:tentative="1">
      <w:start w:val="1"/>
      <w:numFmt w:val="decimalEnclosedCircle"/>
      <w:lvlText w:val="%9"/>
      <w:lvlJc w:val="left"/>
      <w:pPr>
        <w:tabs>
          <w:tab w:val="num" w:pos="3780"/>
        </w:tabs>
        <w:ind w:left="3780" w:hanging="420"/>
      </w:pPr>
    </w:lvl>
  </w:abstractNum>
  <w:abstractNum w:abstractNumId="56" w15:restartNumberingAfterBreak="0">
    <w:nsid w:val="447E6006"/>
    <w:multiLevelType w:val="hybridMultilevel"/>
    <w:tmpl w:val="2F961692"/>
    <w:lvl w:ilvl="0" w:tplc="52D2B8C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49374BA"/>
    <w:multiLevelType w:val="hybridMultilevel"/>
    <w:tmpl w:val="75C43ECE"/>
    <w:lvl w:ilvl="0" w:tplc="B4A6E338">
      <w:start w:val="1"/>
      <w:numFmt w:val="lowerLetter"/>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8" w15:restartNumberingAfterBreak="0">
    <w:nsid w:val="47BA7DCE"/>
    <w:multiLevelType w:val="hybridMultilevel"/>
    <w:tmpl w:val="B39CD8FC"/>
    <w:lvl w:ilvl="0" w:tplc="EF289788">
      <w:start w:val="1"/>
      <w:numFmt w:val="lowerLetter"/>
      <w:pStyle w:val="SimpleLista"/>
      <w:lvlText w:val="(%1)"/>
      <w:lvlJc w:val="left"/>
      <w:pPr>
        <w:tabs>
          <w:tab w:val="num" w:pos="1080"/>
        </w:tabs>
        <w:ind w:left="1080" w:hanging="360"/>
      </w:pPr>
      <w:rPr>
        <w:rFonts w:hint="default"/>
      </w:rPr>
    </w:lvl>
    <w:lvl w:ilvl="1" w:tplc="E87C7136">
      <w:start w:val="1"/>
      <w:numFmt w:val="lowerLetter"/>
      <w:lvlText w:val="%2."/>
      <w:lvlJc w:val="left"/>
      <w:pPr>
        <w:tabs>
          <w:tab w:val="num" w:pos="1440"/>
        </w:tabs>
        <w:ind w:left="1440" w:hanging="360"/>
      </w:pPr>
    </w:lvl>
    <w:lvl w:ilvl="2" w:tplc="939A2236" w:tentative="1">
      <w:start w:val="1"/>
      <w:numFmt w:val="lowerRoman"/>
      <w:lvlText w:val="%3."/>
      <w:lvlJc w:val="right"/>
      <w:pPr>
        <w:tabs>
          <w:tab w:val="num" w:pos="2160"/>
        </w:tabs>
        <w:ind w:left="2160" w:hanging="180"/>
      </w:pPr>
    </w:lvl>
    <w:lvl w:ilvl="3" w:tplc="FBBCF58E" w:tentative="1">
      <w:start w:val="1"/>
      <w:numFmt w:val="decimal"/>
      <w:lvlText w:val="%4."/>
      <w:lvlJc w:val="left"/>
      <w:pPr>
        <w:tabs>
          <w:tab w:val="num" w:pos="2880"/>
        </w:tabs>
        <w:ind w:left="2880" w:hanging="360"/>
      </w:pPr>
    </w:lvl>
    <w:lvl w:ilvl="4" w:tplc="0568D260" w:tentative="1">
      <w:start w:val="1"/>
      <w:numFmt w:val="lowerLetter"/>
      <w:lvlText w:val="%5."/>
      <w:lvlJc w:val="left"/>
      <w:pPr>
        <w:tabs>
          <w:tab w:val="num" w:pos="3600"/>
        </w:tabs>
        <w:ind w:left="3600" w:hanging="360"/>
      </w:pPr>
    </w:lvl>
    <w:lvl w:ilvl="5" w:tplc="23EC5EEE" w:tentative="1">
      <w:start w:val="1"/>
      <w:numFmt w:val="lowerRoman"/>
      <w:lvlText w:val="%6."/>
      <w:lvlJc w:val="right"/>
      <w:pPr>
        <w:tabs>
          <w:tab w:val="num" w:pos="4320"/>
        </w:tabs>
        <w:ind w:left="4320" w:hanging="180"/>
      </w:pPr>
    </w:lvl>
    <w:lvl w:ilvl="6" w:tplc="3A786EAC" w:tentative="1">
      <w:start w:val="1"/>
      <w:numFmt w:val="decimal"/>
      <w:lvlText w:val="%7."/>
      <w:lvlJc w:val="left"/>
      <w:pPr>
        <w:tabs>
          <w:tab w:val="num" w:pos="5040"/>
        </w:tabs>
        <w:ind w:left="5040" w:hanging="360"/>
      </w:pPr>
    </w:lvl>
    <w:lvl w:ilvl="7" w:tplc="23283420" w:tentative="1">
      <w:start w:val="1"/>
      <w:numFmt w:val="lowerLetter"/>
      <w:lvlText w:val="%8."/>
      <w:lvlJc w:val="left"/>
      <w:pPr>
        <w:tabs>
          <w:tab w:val="num" w:pos="5760"/>
        </w:tabs>
        <w:ind w:left="5760" w:hanging="360"/>
      </w:pPr>
    </w:lvl>
    <w:lvl w:ilvl="8" w:tplc="1CE61222" w:tentative="1">
      <w:start w:val="1"/>
      <w:numFmt w:val="lowerRoman"/>
      <w:lvlText w:val="%9."/>
      <w:lvlJc w:val="right"/>
      <w:pPr>
        <w:tabs>
          <w:tab w:val="num" w:pos="6480"/>
        </w:tabs>
        <w:ind w:left="6480" w:hanging="180"/>
      </w:pPr>
    </w:lvl>
  </w:abstractNum>
  <w:abstractNum w:abstractNumId="59" w15:restartNumberingAfterBreak="0">
    <w:nsid w:val="49003D3B"/>
    <w:multiLevelType w:val="multilevel"/>
    <w:tmpl w:val="8818A8A6"/>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sz w:val="26"/>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0" w15:restartNumberingAfterBreak="0">
    <w:nsid w:val="49C548ED"/>
    <w:multiLevelType w:val="hybridMultilevel"/>
    <w:tmpl w:val="A232C3F2"/>
    <w:lvl w:ilvl="0" w:tplc="52D2B8C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9D94758"/>
    <w:multiLevelType w:val="hybridMultilevel"/>
    <w:tmpl w:val="5F6AE162"/>
    <w:lvl w:ilvl="0" w:tplc="F1A044DE">
      <w:start w:val="1"/>
      <w:numFmt w:val="decimal"/>
      <w:lvlText w:val="%1."/>
      <w:lvlJc w:val="left"/>
      <w:pPr>
        <w:ind w:left="420" w:hanging="42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AED3BE0"/>
    <w:multiLevelType w:val="hybridMultilevel"/>
    <w:tmpl w:val="42E4A046"/>
    <w:lvl w:ilvl="0" w:tplc="CC1E1C4E">
      <w:start w:val="1"/>
      <w:numFmt w:val="lowerRoman"/>
      <w:lvlText w:val="(%1)"/>
      <w:lvlJc w:val="left"/>
      <w:pPr>
        <w:ind w:left="777" w:hanging="420"/>
      </w:pPr>
      <w:rPr>
        <w:rFonts w:hint="eastAsia"/>
        <w:b w:val="0"/>
        <w:i/>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63" w15:restartNumberingAfterBreak="0">
    <w:nsid w:val="4B6A6F7F"/>
    <w:multiLevelType w:val="hybridMultilevel"/>
    <w:tmpl w:val="439E63F6"/>
    <w:lvl w:ilvl="0" w:tplc="81C0402A">
      <w:start w:val="1"/>
      <w:numFmt w:val="decimal"/>
      <w:lvlText w:val="%1."/>
      <w:lvlJc w:val="left"/>
      <w:pPr>
        <w:tabs>
          <w:tab w:val="num" w:pos="360"/>
        </w:tabs>
        <w:ind w:left="360" w:hanging="360"/>
      </w:pPr>
      <w:rPr>
        <w:rFonts w:hint="default"/>
      </w:rPr>
    </w:lvl>
    <w:lvl w:ilvl="1" w:tplc="0284F81C">
      <w:start w:val="1"/>
      <w:numFmt w:val="lowerLetter"/>
      <w:lvlText w:val="(%2)"/>
      <w:lvlJc w:val="left"/>
      <w:pPr>
        <w:tabs>
          <w:tab w:val="num" w:pos="795"/>
        </w:tabs>
        <w:ind w:left="795" w:hanging="375"/>
      </w:pPr>
      <w:rPr>
        <w:rFonts w:hint="default"/>
      </w:rPr>
    </w:lvl>
    <w:lvl w:ilvl="2" w:tplc="DFDA3318">
      <w:start w:val="1"/>
      <w:numFmt w:val="lowerRoman"/>
      <w:lvlText w:val="(%3)"/>
      <w:lvlJc w:val="left"/>
      <w:pPr>
        <w:tabs>
          <w:tab w:val="num" w:pos="1560"/>
        </w:tabs>
        <w:ind w:left="1560" w:hanging="720"/>
      </w:pPr>
      <w:rPr>
        <w:rFonts w:hint="default"/>
      </w:rPr>
    </w:lvl>
    <w:lvl w:ilvl="3" w:tplc="8A44B294" w:tentative="1">
      <w:start w:val="1"/>
      <w:numFmt w:val="decimal"/>
      <w:lvlText w:val="%4."/>
      <w:lvlJc w:val="left"/>
      <w:pPr>
        <w:tabs>
          <w:tab w:val="num" w:pos="1680"/>
        </w:tabs>
        <w:ind w:left="1680" w:hanging="420"/>
      </w:pPr>
    </w:lvl>
    <w:lvl w:ilvl="4" w:tplc="5FB03F6A" w:tentative="1">
      <w:start w:val="1"/>
      <w:numFmt w:val="aiueoFullWidth"/>
      <w:lvlText w:val="(%5)"/>
      <w:lvlJc w:val="left"/>
      <w:pPr>
        <w:tabs>
          <w:tab w:val="num" w:pos="2100"/>
        </w:tabs>
        <w:ind w:left="2100" w:hanging="420"/>
      </w:pPr>
    </w:lvl>
    <w:lvl w:ilvl="5" w:tplc="53E0348A" w:tentative="1">
      <w:start w:val="1"/>
      <w:numFmt w:val="decimalEnclosedCircle"/>
      <w:lvlText w:val="%6"/>
      <w:lvlJc w:val="left"/>
      <w:pPr>
        <w:tabs>
          <w:tab w:val="num" w:pos="2520"/>
        </w:tabs>
        <w:ind w:left="2520" w:hanging="420"/>
      </w:pPr>
    </w:lvl>
    <w:lvl w:ilvl="6" w:tplc="DAC441A8" w:tentative="1">
      <w:start w:val="1"/>
      <w:numFmt w:val="decimal"/>
      <w:lvlText w:val="%7."/>
      <w:lvlJc w:val="left"/>
      <w:pPr>
        <w:tabs>
          <w:tab w:val="num" w:pos="2940"/>
        </w:tabs>
        <w:ind w:left="2940" w:hanging="420"/>
      </w:pPr>
    </w:lvl>
    <w:lvl w:ilvl="7" w:tplc="50A668AE" w:tentative="1">
      <w:start w:val="1"/>
      <w:numFmt w:val="aiueoFullWidth"/>
      <w:lvlText w:val="(%8)"/>
      <w:lvlJc w:val="left"/>
      <w:pPr>
        <w:tabs>
          <w:tab w:val="num" w:pos="3360"/>
        </w:tabs>
        <w:ind w:left="3360" w:hanging="420"/>
      </w:pPr>
    </w:lvl>
    <w:lvl w:ilvl="8" w:tplc="5F1E7AB0" w:tentative="1">
      <w:start w:val="1"/>
      <w:numFmt w:val="decimalEnclosedCircle"/>
      <w:lvlText w:val="%9"/>
      <w:lvlJc w:val="left"/>
      <w:pPr>
        <w:tabs>
          <w:tab w:val="num" w:pos="3780"/>
        </w:tabs>
        <w:ind w:left="3780" w:hanging="420"/>
      </w:pPr>
    </w:lvl>
  </w:abstractNum>
  <w:abstractNum w:abstractNumId="64" w15:restartNumberingAfterBreak="0">
    <w:nsid w:val="4B6C42FA"/>
    <w:multiLevelType w:val="singleLevel"/>
    <w:tmpl w:val="66ECE390"/>
    <w:lvl w:ilvl="0">
      <w:start w:val="1"/>
      <w:numFmt w:val="lowerLetter"/>
      <w:lvlText w:val="%1)"/>
      <w:legacy w:legacy="1" w:legacySpace="120" w:legacyIndent="360"/>
      <w:lvlJc w:val="left"/>
      <w:pPr>
        <w:ind w:left="360" w:hanging="360"/>
      </w:pPr>
      <w:rPr>
        <w:rFonts w:cs="Times New Roman"/>
        <w:b w:val="0"/>
        <w:i w:val="0"/>
      </w:rPr>
    </w:lvl>
  </w:abstractNum>
  <w:abstractNum w:abstractNumId="65"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6" w15:restartNumberingAfterBreak="0">
    <w:nsid w:val="4D212173"/>
    <w:multiLevelType w:val="hybridMultilevel"/>
    <w:tmpl w:val="D7FECFB2"/>
    <w:lvl w:ilvl="0" w:tplc="84E6D4BE">
      <w:start w:val="1"/>
      <w:numFmt w:val="lowerLetter"/>
      <w:lvlText w:val="%1)"/>
      <w:lvlJc w:val="left"/>
      <w:pPr>
        <w:ind w:left="1812" w:hanging="420"/>
      </w:pPr>
      <w:rPr>
        <w:rFonts w:hint="default"/>
      </w:rPr>
    </w:lvl>
    <w:lvl w:ilvl="1" w:tplc="04090017" w:tentative="1">
      <w:start w:val="1"/>
      <w:numFmt w:val="aiueoFullWidth"/>
      <w:lvlText w:val="(%2)"/>
      <w:lvlJc w:val="left"/>
      <w:pPr>
        <w:ind w:left="2232" w:hanging="420"/>
      </w:pPr>
    </w:lvl>
    <w:lvl w:ilvl="2" w:tplc="04090011" w:tentative="1">
      <w:start w:val="1"/>
      <w:numFmt w:val="decimalEnclosedCircle"/>
      <w:lvlText w:val="%3"/>
      <w:lvlJc w:val="left"/>
      <w:pPr>
        <w:ind w:left="2652" w:hanging="420"/>
      </w:pPr>
    </w:lvl>
    <w:lvl w:ilvl="3" w:tplc="0409000F" w:tentative="1">
      <w:start w:val="1"/>
      <w:numFmt w:val="decimal"/>
      <w:lvlText w:val="%4."/>
      <w:lvlJc w:val="left"/>
      <w:pPr>
        <w:ind w:left="3072" w:hanging="420"/>
      </w:pPr>
    </w:lvl>
    <w:lvl w:ilvl="4" w:tplc="04090017" w:tentative="1">
      <w:start w:val="1"/>
      <w:numFmt w:val="aiueoFullWidth"/>
      <w:lvlText w:val="(%5)"/>
      <w:lvlJc w:val="left"/>
      <w:pPr>
        <w:ind w:left="3492" w:hanging="420"/>
      </w:pPr>
    </w:lvl>
    <w:lvl w:ilvl="5" w:tplc="04090011" w:tentative="1">
      <w:start w:val="1"/>
      <w:numFmt w:val="decimalEnclosedCircle"/>
      <w:lvlText w:val="%6"/>
      <w:lvlJc w:val="left"/>
      <w:pPr>
        <w:ind w:left="3912" w:hanging="420"/>
      </w:pPr>
    </w:lvl>
    <w:lvl w:ilvl="6" w:tplc="0409000F" w:tentative="1">
      <w:start w:val="1"/>
      <w:numFmt w:val="decimal"/>
      <w:lvlText w:val="%7."/>
      <w:lvlJc w:val="left"/>
      <w:pPr>
        <w:ind w:left="4332" w:hanging="420"/>
      </w:pPr>
    </w:lvl>
    <w:lvl w:ilvl="7" w:tplc="04090017" w:tentative="1">
      <w:start w:val="1"/>
      <w:numFmt w:val="aiueoFullWidth"/>
      <w:lvlText w:val="(%8)"/>
      <w:lvlJc w:val="left"/>
      <w:pPr>
        <w:ind w:left="4752" w:hanging="420"/>
      </w:pPr>
    </w:lvl>
    <w:lvl w:ilvl="8" w:tplc="04090011" w:tentative="1">
      <w:start w:val="1"/>
      <w:numFmt w:val="decimalEnclosedCircle"/>
      <w:lvlText w:val="%9"/>
      <w:lvlJc w:val="left"/>
      <w:pPr>
        <w:ind w:left="5172" w:hanging="420"/>
      </w:pPr>
    </w:lvl>
  </w:abstractNum>
  <w:abstractNum w:abstractNumId="67" w15:restartNumberingAfterBreak="0">
    <w:nsid w:val="4EB07AD0"/>
    <w:multiLevelType w:val="hybridMultilevel"/>
    <w:tmpl w:val="BB80BEA6"/>
    <w:lvl w:ilvl="0" w:tplc="89E224F8">
      <w:start w:val="1"/>
      <w:numFmt w:val="decimal"/>
      <w:lvlText w:val="%1."/>
      <w:lvlJc w:val="left"/>
      <w:pPr>
        <w:ind w:left="1380" w:hanging="420"/>
      </w:pPr>
      <w:rPr>
        <w:rFonts w:ascii="Times New Roman" w:hAnsi="Times New Roman" w:hint="default"/>
        <w:sz w:val="24"/>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8" w15:restartNumberingAfterBreak="0">
    <w:nsid w:val="4EBD6A4D"/>
    <w:multiLevelType w:val="multilevel"/>
    <w:tmpl w:val="8A02F4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53147D9C"/>
    <w:multiLevelType w:val="multilevel"/>
    <w:tmpl w:val="03D69268"/>
    <w:lvl w:ilvl="0">
      <w:start w:val="1"/>
      <w:numFmt w:val="decimal"/>
      <w:pStyle w:val="S1-subpara"/>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37F71D0"/>
    <w:multiLevelType w:val="hybridMultilevel"/>
    <w:tmpl w:val="EC9CC1FC"/>
    <w:lvl w:ilvl="0" w:tplc="6838C12C">
      <w:start w:val="1"/>
      <w:numFmt w:val="lowerRoman"/>
      <w:lvlText w:val="(%1)"/>
      <w:lvlJc w:val="left"/>
      <w:pPr>
        <w:ind w:left="420" w:hanging="420"/>
      </w:pPr>
      <w:rPr>
        <w:rFonts w:ascii="Times New Roman" w:hAnsi="Times New Roman" w:cs="Times New Roman" w:hint="default"/>
        <w:b w:val="0"/>
        <w:i w:val="0"/>
        <w:color w:val="auto"/>
        <w:sz w:val="24"/>
        <w:szCs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72" w15:restartNumberingAfterBreak="0">
    <w:nsid w:val="5B6F734B"/>
    <w:multiLevelType w:val="hybridMultilevel"/>
    <w:tmpl w:val="CFCC7842"/>
    <w:lvl w:ilvl="0" w:tplc="AAF28E4E">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5E5E035D"/>
    <w:multiLevelType w:val="hybridMultilevel"/>
    <w:tmpl w:val="6BA4F44A"/>
    <w:lvl w:ilvl="0" w:tplc="84E6D4BE">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5FD423F7"/>
    <w:multiLevelType w:val="hybridMultilevel"/>
    <w:tmpl w:val="70B2CCFA"/>
    <w:lvl w:ilvl="0" w:tplc="6492B822">
      <w:start w:val="1"/>
      <w:numFmt w:val="lowerLetter"/>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1095B88"/>
    <w:multiLevelType w:val="hybridMultilevel"/>
    <w:tmpl w:val="B5F63C62"/>
    <w:lvl w:ilvl="0" w:tplc="F8A810A4">
      <w:start w:val="5"/>
      <w:numFmt w:val="lowerLetter"/>
      <w:lvlText w:val="%1)"/>
      <w:lvlJc w:val="left"/>
      <w:pPr>
        <w:ind w:left="420" w:hanging="420"/>
      </w:pPr>
      <w:rPr>
        <w:rFonts w:ascii="Times New Roman" w:hAnsi="Times New Roman"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619E26BE"/>
    <w:multiLevelType w:val="hybridMultilevel"/>
    <w:tmpl w:val="C1A6973C"/>
    <w:lvl w:ilvl="0" w:tplc="6B96FB7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647808DD"/>
    <w:multiLevelType w:val="hybridMultilevel"/>
    <w:tmpl w:val="B6FC86C4"/>
    <w:lvl w:ilvl="0" w:tplc="E416C140">
      <w:start w:val="3"/>
      <w:numFmt w:val="lowerLetter"/>
      <w:lvlText w:val="%1)"/>
      <w:lvlJc w:val="left"/>
      <w:pPr>
        <w:tabs>
          <w:tab w:val="num" w:pos="1440"/>
        </w:tabs>
        <w:ind w:left="1440" w:hanging="720"/>
      </w:pPr>
      <w:rPr>
        <w:rFonts w:hint="default"/>
      </w:rPr>
    </w:lvl>
    <w:lvl w:ilvl="1" w:tplc="6F2A0434" w:tentative="1">
      <w:start w:val="1"/>
      <w:numFmt w:val="aiueoFullWidth"/>
      <w:lvlText w:val="(%2)"/>
      <w:lvlJc w:val="left"/>
      <w:pPr>
        <w:tabs>
          <w:tab w:val="num" w:pos="1560"/>
        </w:tabs>
        <w:ind w:left="1560" w:hanging="420"/>
      </w:pPr>
    </w:lvl>
    <w:lvl w:ilvl="2" w:tplc="B770C654" w:tentative="1">
      <w:start w:val="1"/>
      <w:numFmt w:val="decimalEnclosedCircle"/>
      <w:lvlText w:val="%3"/>
      <w:lvlJc w:val="left"/>
      <w:pPr>
        <w:tabs>
          <w:tab w:val="num" w:pos="1980"/>
        </w:tabs>
        <w:ind w:left="1980" w:hanging="420"/>
      </w:pPr>
    </w:lvl>
    <w:lvl w:ilvl="3" w:tplc="1E6A257A" w:tentative="1">
      <w:start w:val="1"/>
      <w:numFmt w:val="decimal"/>
      <w:lvlText w:val="%4."/>
      <w:lvlJc w:val="left"/>
      <w:pPr>
        <w:tabs>
          <w:tab w:val="num" w:pos="2400"/>
        </w:tabs>
        <w:ind w:left="2400" w:hanging="420"/>
      </w:pPr>
    </w:lvl>
    <w:lvl w:ilvl="4" w:tplc="028C2C9E" w:tentative="1">
      <w:start w:val="1"/>
      <w:numFmt w:val="aiueoFullWidth"/>
      <w:lvlText w:val="(%5)"/>
      <w:lvlJc w:val="left"/>
      <w:pPr>
        <w:tabs>
          <w:tab w:val="num" w:pos="2820"/>
        </w:tabs>
        <w:ind w:left="2820" w:hanging="420"/>
      </w:pPr>
    </w:lvl>
    <w:lvl w:ilvl="5" w:tplc="2E142B14" w:tentative="1">
      <w:start w:val="1"/>
      <w:numFmt w:val="decimalEnclosedCircle"/>
      <w:lvlText w:val="%6"/>
      <w:lvlJc w:val="left"/>
      <w:pPr>
        <w:tabs>
          <w:tab w:val="num" w:pos="3240"/>
        </w:tabs>
        <w:ind w:left="3240" w:hanging="420"/>
      </w:pPr>
    </w:lvl>
    <w:lvl w:ilvl="6" w:tplc="240C47A4" w:tentative="1">
      <w:start w:val="1"/>
      <w:numFmt w:val="decimal"/>
      <w:lvlText w:val="%7."/>
      <w:lvlJc w:val="left"/>
      <w:pPr>
        <w:tabs>
          <w:tab w:val="num" w:pos="3660"/>
        </w:tabs>
        <w:ind w:left="3660" w:hanging="420"/>
      </w:pPr>
    </w:lvl>
    <w:lvl w:ilvl="7" w:tplc="CF92CD52" w:tentative="1">
      <w:start w:val="1"/>
      <w:numFmt w:val="aiueoFullWidth"/>
      <w:lvlText w:val="(%8)"/>
      <w:lvlJc w:val="left"/>
      <w:pPr>
        <w:tabs>
          <w:tab w:val="num" w:pos="4080"/>
        </w:tabs>
        <w:ind w:left="4080" w:hanging="420"/>
      </w:pPr>
    </w:lvl>
    <w:lvl w:ilvl="8" w:tplc="49300DAA" w:tentative="1">
      <w:start w:val="1"/>
      <w:numFmt w:val="decimalEnclosedCircle"/>
      <w:lvlText w:val="%9"/>
      <w:lvlJc w:val="left"/>
      <w:pPr>
        <w:tabs>
          <w:tab w:val="num" w:pos="4500"/>
        </w:tabs>
        <w:ind w:left="4500" w:hanging="420"/>
      </w:pPr>
    </w:lvl>
  </w:abstractNum>
  <w:abstractNum w:abstractNumId="78" w15:restartNumberingAfterBreak="0">
    <w:nsid w:val="652D3574"/>
    <w:multiLevelType w:val="hybridMultilevel"/>
    <w:tmpl w:val="C7C6A5EC"/>
    <w:lvl w:ilvl="0" w:tplc="0409000F">
      <w:start w:val="1"/>
      <w:numFmt w:val="decimal"/>
      <w:lvlText w:val="%1."/>
      <w:lvlJc w:val="left"/>
      <w:pPr>
        <w:tabs>
          <w:tab w:val="num" w:pos="698"/>
        </w:tabs>
        <w:ind w:left="1058" w:hanging="446"/>
      </w:pPr>
      <w:rPr>
        <w:rFonts w:hint="default"/>
        <w:b w:val="0"/>
        <w:i w:val="0"/>
        <w:color w:val="auto"/>
        <w:sz w:val="24"/>
        <w:szCs w:val="24"/>
        <w:u w:val="none"/>
      </w:rPr>
    </w:lvl>
    <w:lvl w:ilvl="1" w:tplc="C8B2C814">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57F7F89"/>
    <w:multiLevelType w:val="hybridMultilevel"/>
    <w:tmpl w:val="2EBAF594"/>
    <w:lvl w:ilvl="0" w:tplc="B2B42FA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5A77261"/>
    <w:multiLevelType w:val="hybridMultilevel"/>
    <w:tmpl w:val="F2266596"/>
    <w:lvl w:ilvl="0" w:tplc="F3826752">
      <w:start w:val="1"/>
      <w:numFmt w:val="lowerLetter"/>
      <w:lvlText w:val="%1)"/>
      <w:lvlJc w:val="left"/>
      <w:pPr>
        <w:ind w:left="720" w:hanging="360"/>
      </w:pPr>
      <w:rPr>
        <w:rFonts w:hint="default"/>
      </w:rPr>
    </w:lvl>
    <w:lvl w:ilvl="1" w:tplc="1DF21622" w:tentative="1">
      <w:start w:val="1"/>
      <w:numFmt w:val="lowerLetter"/>
      <w:lvlText w:val="%2."/>
      <w:lvlJc w:val="left"/>
      <w:pPr>
        <w:ind w:left="1440" w:hanging="360"/>
      </w:pPr>
    </w:lvl>
    <w:lvl w:ilvl="2" w:tplc="63BA42A8" w:tentative="1">
      <w:start w:val="1"/>
      <w:numFmt w:val="lowerRoman"/>
      <w:lvlText w:val="%3."/>
      <w:lvlJc w:val="right"/>
      <w:pPr>
        <w:ind w:left="2160" w:hanging="180"/>
      </w:pPr>
    </w:lvl>
    <w:lvl w:ilvl="3" w:tplc="A2D09ED4" w:tentative="1">
      <w:start w:val="1"/>
      <w:numFmt w:val="decimal"/>
      <w:lvlText w:val="%4."/>
      <w:lvlJc w:val="left"/>
      <w:pPr>
        <w:ind w:left="2880" w:hanging="360"/>
      </w:pPr>
    </w:lvl>
    <w:lvl w:ilvl="4" w:tplc="BF76990C" w:tentative="1">
      <w:start w:val="1"/>
      <w:numFmt w:val="lowerLetter"/>
      <w:lvlText w:val="%5."/>
      <w:lvlJc w:val="left"/>
      <w:pPr>
        <w:ind w:left="3600" w:hanging="360"/>
      </w:pPr>
    </w:lvl>
    <w:lvl w:ilvl="5" w:tplc="045C7FB2" w:tentative="1">
      <w:start w:val="1"/>
      <w:numFmt w:val="lowerRoman"/>
      <w:lvlText w:val="%6."/>
      <w:lvlJc w:val="right"/>
      <w:pPr>
        <w:ind w:left="4320" w:hanging="180"/>
      </w:pPr>
    </w:lvl>
    <w:lvl w:ilvl="6" w:tplc="61149F16" w:tentative="1">
      <w:start w:val="1"/>
      <w:numFmt w:val="decimal"/>
      <w:lvlText w:val="%7."/>
      <w:lvlJc w:val="left"/>
      <w:pPr>
        <w:ind w:left="5040" w:hanging="360"/>
      </w:pPr>
    </w:lvl>
    <w:lvl w:ilvl="7" w:tplc="B9322E9A" w:tentative="1">
      <w:start w:val="1"/>
      <w:numFmt w:val="lowerLetter"/>
      <w:lvlText w:val="%8."/>
      <w:lvlJc w:val="left"/>
      <w:pPr>
        <w:ind w:left="5760" w:hanging="360"/>
      </w:pPr>
    </w:lvl>
    <w:lvl w:ilvl="8" w:tplc="592A0832" w:tentative="1">
      <w:start w:val="1"/>
      <w:numFmt w:val="lowerRoman"/>
      <w:lvlText w:val="%9."/>
      <w:lvlJc w:val="right"/>
      <w:pPr>
        <w:ind w:left="6480" w:hanging="180"/>
      </w:pPr>
    </w:lvl>
  </w:abstractNum>
  <w:abstractNum w:abstractNumId="81" w15:restartNumberingAfterBreak="0">
    <w:nsid w:val="671C6104"/>
    <w:multiLevelType w:val="multilevel"/>
    <w:tmpl w:val="D6C85DA0"/>
    <w:lvl w:ilvl="0">
      <w:start w:val="1"/>
      <w:numFmt w:val="lowerLetter"/>
      <w:lvlText w:val="(%1)"/>
      <w:lvlJc w:val="left"/>
      <w:pPr>
        <w:ind w:left="360" w:hanging="360"/>
      </w:pPr>
      <w:rPr>
        <w:rFonts w:hint="default"/>
      </w:rPr>
    </w:lvl>
    <w:lvl w:ilvl="1">
      <w:start w:val="1"/>
      <w:numFmt w:val="lowerRoman"/>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2" w15:restartNumberingAfterBreak="0">
    <w:nsid w:val="68170848"/>
    <w:multiLevelType w:val="hybridMultilevel"/>
    <w:tmpl w:val="A232C3F2"/>
    <w:lvl w:ilvl="0" w:tplc="52D2B8C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8CB0575"/>
    <w:multiLevelType w:val="multilevel"/>
    <w:tmpl w:val="1422BC7C"/>
    <w:lvl w:ilvl="0">
      <w:start w:val="1"/>
      <w:numFmt w:val="decimal"/>
      <w:lvlText w:val="%1"/>
      <w:lvlJc w:val="left"/>
      <w:pPr>
        <w:ind w:left="425" w:hanging="425"/>
      </w:pPr>
    </w:lvl>
    <w:lvl w:ilvl="1">
      <w:start w:val="1"/>
      <w:numFmt w:val="decimal"/>
      <w:lvlText w:val="%1.%2"/>
      <w:lvlJc w:val="left"/>
      <w:pPr>
        <w:ind w:left="992" w:hanging="567"/>
      </w:pPr>
      <w:rPr>
        <w:sz w:val="28"/>
        <w:szCs w:val="28"/>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4" w15:restartNumberingAfterBreak="0">
    <w:nsid w:val="68F421BA"/>
    <w:multiLevelType w:val="hybridMultilevel"/>
    <w:tmpl w:val="3B162E9C"/>
    <w:lvl w:ilvl="0" w:tplc="8E302DB4">
      <w:start w:val="1"/>
      <w:numFmt w:val="decimal"/>
      <w:lvlText w:val="%1."/>
      <w:lvlJc w:val="left"/>
      <w:pPr>
        <w:ind w:left="360" w:hanging="360"/>
      </w:pPr>
      <w:rPr>
        <w:rFonts w:ascii="Times New Roman" w:hAnsi="Times New Roman"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9F51E3F"/>
    <w:multiLevelType w:val="hybridMultilevel"/>
    <w:tmpl w:val="42E4A046"/>
    <w:lvl w:ilvl="0" w:tplc="CC1E1C4E">
      <w:start w:val="1"/>
      <w:numFmt w:val="lowerRoman"/>
      <w:lvlText w:val="(%1)"/>
      <w:lvlJc w:val="left"/>
      <w:pPr>
        <w:ind w:left="777" w:hanging="420"/>
      </w:pPr>
      <w:rPr>
        <w:rFonts w:hint="eastAsia"/>
        <w:b w:val="0"/>
        <w:i/>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86" w15:restartNumberingAfterBreak="0">
    <w:nsid w:val="6B697505"/>
    <w:multiLevelType w:val="hybridMultilevel"/>
    <w:tmpl w:val="75C43ECE"/>
    <w:lvl w:ilvl="0" w:tplc="B4A6E338">
      <w:start w:val="1"/>
      <w:numFmt w:val="lowerLetter"/>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7" w15:restartNumberingAfterBreak="0">
    <w:nsid w:val="6CAC5FF8"/>
    <w:multiLevelType w:val="multilevel"/>
    <w:tmpl w:val="5532C9AC"/>
    <w:lvl w:ilvl="0">
      <w:start w:val="1"/>
      <w:numFmt w:val="upperRoman"/>
      <w:lvlText w:val="(%1)"/>
      <w:lvlJc w:val="left"/>
      <w:pPr>
        <w:tabs>
          <w:tab w:val="num" w:pos="720"/>
        </w:tabs>
        <w:ind w:left="720" w:hanging="720"/>
      </w:pPr>
      <w:rPr>
        <w:rFonts w:hint="eastAsia"/>
        <w:b/>
      </w:rPr>
    </w:lvl>
    <w:lvl w:ilvl="1">
      <w:start w:val="1"/>
      <w:numFmt w:val="decimal"/>
      <w:isLgl/>
      <w:lvlText w:val="%1.%2"/>
      <w:lvlJc w:val="left"/>
      <w:pPr>
        <w:tabs>
          <w:tab w:val="num" w:pos="842"/>
        </w:tabs>
        <w:ind w:left="842" w:hanging="360"/>
      </w:pPr>
      <w:rPr>
        <w:rFonts w:hint="default"/>
      </w:rPr>
    </w:lvl>
    <w:lvl w:ilvl="2">
      <w:start w:val="1"/>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166"/>
        </w:tabs>
        <w:ind w:left="2166" w:hanging="720"/>
      </w:pPr>
      <w:rPr>
        <w:rFonts w:hint="default"/>
      </w:rPr>
    </w:lvl>
    <w:lvl w:ilvl="4">
      <w:start w:val="1"/>
      <w:numFmt w:val="decimal"/>
      <w:isLgl/>
      <w:lvlText w:val="%1.%2.%3.%4.%5"/>
      <w:lvlJc w:val="left"/>
      <w:pPr>
        <w:tabs>
          <w:tab w:val="num" w:pos="3008"/>
        </w:tabs>
        <w:ind w:left="3008" w:hanging="1080"/>
      </w:pPr>
      <w:rPr>
        <w:rFonts w:hint="default"/>
      </w:rPr>
    </w:lvl>
    <w:lvl w:ilvl="5">
      <w:start w:val="1"/>
      <w:numFmt w:val="decimal"/>
      <w:isLgl/>
      <w:lvlText w:val="%1.%2.%3.%4.%5.%6"/>
      <w:lvlJc w:val="left"/>
      <w:pPr>
        <w:tabs>
          <w:tab w:val="num" w:pos="3490"/>
        </w:tabs>
        <w:ind w:left="3490" w:hanging="1080"/>
      </w:pPr>
      <w:rPr>
        <w:rFonts w:hint="default"/>
      </w:rPr>
    </w:lvl>
    <w:lvl w:ilvl="6">
      <w:start w:val="1"/>
      <w:numFmt w:val="decimal"/>
      <w:isLgl/>
      <w:lvlText w:val="%1.%2.%3.%4.%5.%6.%7"/>
      <w:lvlJc w:val="left"/>
      <w:pPr>
        <w:tabs>
          <w:tab w:val="num" w:pos="4332"/>
        </w:tabs>
        <w:ind w:left="4332" w:hanging="1440"/>
      </w:pPr>
      <w:rPr>
        <w:rFonts w:hint="default"/>
      </w:rPr>
    </w:lvl>
    <w:lvl w:ilvl="7">
      <w:start w:val="1"/>
      <w:numFmt w:val="decimal"/>
      <w:isLgl/>
      <w:lvlText w:val="%1.%2.%3.%4.%5.%6.%7.%8"/>
      <w:lvlJc w:val="left"/>
      <w:pPr>
        <w:tabs>
          <w:tab w:val="num" w:pos="4814"/>
        </w:tabs>
        <w:ind w:left="4814" w:hanging="1440"/>
      </w:pPr>
      <w:rPr>
        <w:rFonts w:hint="default"/>
      </w:rPr>
    </w:lvl>
    <w:lvl w:ilvl="8">
      <w:start w:val="1"/>
      <w:numFmt w:val="decimal"/>
      <w:isLgl/>
      <w:lvlText w:val="%1.%2.%3.%4.%5.%6.%7.%8.%9"/>
      <w:lvlJc w:val="left"/>
      <w:pPr>
        <w:tabs>
          <w:tab w:val="num" w:pos="5656"/>
        </w:tabs>
        <w:ind w:left="5656" w:hanging="1800"/>
      </w:pPr>
      <w:rPr>
        <w:rFonts w:hint="default"/>
      </w:rPr>
    </w:lvl>
  </w:abstractNum>
  <w:abstractNum w:abstractNumId="88" w15:restartNumberingAfterBreak="0">
    <w:nsid w:val="6E85463F"/>
    <w:multiLevelType w:val="multilevel"/>
    <w:tmpl w:val="A434D180"/>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9" w15:restartNumberingAfterBreak="0">
    <w:nsid w:val="7048507A"/>
    <w:multiLevelType w:val="multilevel"/>
    <w:tmpl w:val="566A82C4"/>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sz w:val="26"/>
      </w:rPr>
    </w:lvl>
    <w:lvl w:ilvl="2">
      <w:start w:val="3"/>
      <w:numFmt w:val="decimal"/>
      <w:isLgl/>
      <w:lvlText w:val="%1.%2.%3"/>
      <w:lvlJc w:val="left"/>
      <w:pPr>
        <w:tabs>
          <w:tab w:val="num" w:pos="1004"/>
        </w:tabs>
        <w:ind w:left="1004"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0" w15:restartNumberingAfterBreak="0">
    <w:nsid w:val="70A36448"/>
    <w:multiLevelType w:val="hybridMultilevel"/>
    <w:tmpl w:val="2DBC0F4A"/>
    <w:lvl w:ilvl="0" w:tplc="F8A4444A">
      <w:start w:val="1"/>
      <w:numFmt w:val="lowerRoman"/>
      <w:lvlText w:val="%1)"/>
      <w:lvlJc w:val="left"/>
      <w:pPr>
        <w:ind w:left="1860" w:hanging="420"/>
      </w:pPr>
      <w:rPr>
        <w:rFonts w:ascii="Times New Roman" w:hAnsi="Times New Roman" w:cs="Times New Roman" w:hint="default"/>
        <w:sz w:val="24"/>
        <w:szCs w:val="24"/>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1" w15:restartNumberingAfterBreak="0">
    <w:nsid w:val="7126051A"/>
    <w:multiLevelType w:val="hybridMultilevel"/>
    <w:tmpl w:val="EBE8E5F8"/>
    <w:lvl w:ilvl="0" w:tplc="DC96E036">
      <w:start w:val="1"/>
      <w:numFmt w:val="bullet"/>
      <w:lvlText w:val=""/>
      <w:lvlJc w:val="left"/>
      <w:pPr>
        <w:tabs>
          <w:tab w:val="num" w:pos="420"/>
        </w:tabs>
        <w:ind w:left="420" w:hanging="420"/>
      </w:pPr>
      <w:rPr>
        <w:rFonts w:ascii="Symbol" w:hAnsi="Symbol" w:hint="default"/>
        <w:color w:val="auto"/>
        <w:sz w:val="21"/>
        <w:szCs w:val="21"/>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92" w15:restartNumberingAfterBreak="0">
    <w:nsid w:val="71F5229F"/>
    <w:multiLevelType w:val="hybridMultilevel"/>
    <w:tmpl w:val="6A3C00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72643C7B"/>
    <w:multiLevelType w:val="multilevel"/>
    <w:tmpl w:val="A434D180"/>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4" w15:restartNumberingAfterBreak="0">
    <w:nsid w:val="745F2844"/>
    <w:multiLevelType w:val="hybridMultilevel"/>
    <w:tmpl w:val="07D61172"/>
    <w:lvl w:ilvl="0" w:tplc="E68055AC">
      <w:start w:val="1"/>
      <w:numFmt w:val="lowerLetter"/>
      <w:lvlText w:val="%1)"/>
      <w:lvlJc w:val="left"/>
      <w:pPr>
        <w:ind w:left="360" w:hanging="360"/>
      </w:pPr>
      <w:rPr>
        <w:rFonts w:cs="Times New Roman" w:hint="eastAsia"/>
        <w:b w:val="0"/>
        <w:i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5" w15:restartNumberingAfterBreak="0">
    <w:nsid w:val="74E533C4"/>
    <w:multiLevelType w:val="hybridMultilevel"/>
    <w:tmpl w:val="C1A6973C"/>
    <w:lvl w:ilvl="0" w:tplc="6B96FB7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76D23A54"/>
    <w:multiLevelType w:val="multilevel"/>
    <w:tmpl w:val="6B865F96"/>
    <w:lvl w:ilvl="0">
      <w:start w:val="1"/>
      <w:numFmt w:val="decimal"/>
      <w:lvlText w:val="%1."/>
      <w:lvlJc w:val="left"/>
      <w:pPr>
        <w:tabs>
          <w:tab w:val="num" w:pos="840"/>
        </w:tabs>
        <w:ind w:left="840" w:hanging="840"/>
      </w:pPr>
      <w:rPr>
        <w:rFonts w:hint="default"/>
      </w:rPr>
    </w:lvl>
    <w:lvl w:ilvl="1">
      <w:start w:val="2"/>
      <w:numFmt w:val="decimal"/>
      <w:isLgl/>
      <w:lvlText w:val="%1.%2"/>
      <w:lvlJc w:val="left"/>
      <w:pPr>
        <w:tabs>
          <w:tab w:val="num" w:pos="420"/>
        </w:tabs>
        <w:ind w:left="420" w:hanging="420"/>
      </w:pPr>
      <w:rPr>
        <w:rFonts w:hint="default"/>
        <w:b/>
        <w:sz w:val="26"/>
        <w:szCs w:val="26"/>
      </w:rPr>
    </w:lvl>
    <w:lvl w:ilvl="2">
      <w:start w:val="1"/>
      <w:numFmt w:val="decimal"/>
      <w:isLgl/>
      <w:lvlText w:val="%1.%2.%3"/>
      <w:lvlJc w:val="left"/>
      <w:pPr>
        <w:tabs>
          <w:tab w:val="num" w:pos="1260"/>
        </w:tabs>
        <w:ind w:left="1260" w:hanging="720"/>
      </w:pPr>
      <w:rPr>
        <w:rFonts w:hint="default"/>
        <w:b/>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7" w15:restartNumberingAfterBreak="0">
    <w:nsid w:val="78540DE2"/>
    <w:multiLevelType w:val="hybridMultilevel"/>
    <w:tmpl w:val="D09C6A9A"/>
    <w:lvl w:ilvl="0" w:tplc="52D2B8C2">
      <w:start w:val="1"/>
      <w:numFmt w:val="lowerLetter"/>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8"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99"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100" w15:restartNumberingAfterBreak="0">
    <w:nsid w:val="7AAF4F5D"/>
    <w:multiLevelType w:val="hybridMultilevel"/>
    <w:tmpl w:val="118C833C"/>
    <w:lvl w:ilvl="0" w:tplc="15AA6A5A">
      <w:start w:val="1"/>
      <w:numFmt w:val="lowerLetter"/>
      <w:lvlText w:val="(%1)"/>
      <w:lvlJc w:val="left"/>
      <w:pPr>
        <w:tabs>
          <w:tab w:val="num" w:pos="360"/>
        </w:tabs>
        <w:ind w:left="360" w:hanging="360"/>
      </w:pPr>
      <w:rPr>
        <w:rFonts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1" w15:restartNumberingAfterBreak="0">
    <w:nsid w:val="7D4A4257"/>
    <w:multiLevelType w:val="hybridMultilevel"/>
    <w:tmpl w:val="7D34B3AA"/>
    <w:lvl w:ilvl="0" w:tplc="9340ACA0">
      <w:start w:val="1"/>
      <w:numFmt w:val="lowerLetter"/>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16cid:durableId="1686663613">
    <w:abstractNumId w:val="1"/>
  </w:num>
  <w:num w:numId="2" w16cid:durableId="1631092401">
    <w:abstractNumId w:val="42"/>
  </w:num>
  <w:num w:numId="3" w16cid:durableId="860625561">
    <w:abstractNumId w:val="71"/>
  </w:num>
  <w:num w:numId="4" w16cid:durableId="3017781">
    <w:abstractNumId w:val="49"/>
  </w:num>
  <w:num w:numId="5" w16cid:durableId="1246648894">
    <w:abstractNumId w:val="24"/>
  </w:num>
  <w:num w:numId="6" w16cid:durableId="1973056831">
    <w:abstractNumId w:val="65"/>
  </w:num>
  <w:num w:numId="7" w16cid:durableId="1971284948">
    <w:abstractNumId w:val="10"/>
  </w:num>
  <w:num w:numId="8" w16cid:durableId="680858266">
    <w:abstractNumId w:val="46"/>
  </w:num>
  <w:num w:numId="9" w16cid:durableId="646125936">
    <w:abstractNumId w:val="98"/>
  </w:num>
  <w:num w:numId="10" w16cid:durableId="60519079">
    <w:abstractNumId w:val="37"/>
  </w:num>
  <w:num w:numId="11" w16cid:durableId="1909925328">
    <w:abstractNumId w:val="99"/>
  </w:num>
  <w:num w:numId="12" w16cid:durableId="1903952376">
    <w:abstractNumId w:val="25"/>
  </w:num>
  <w:num w:numId="13" w16cid:durableId="394813530">
    <w:abstractNumId w:val="55"/>
  </w:num>
  <w:num w:numId="14" w16cid:durableId="1925916720">
    <w:abstractNumId w:val="0"/>
  </w:num>
  <w:num w:numId="15" w16cid:durableId="2121685675">
    <w:abstractNumId w:val="20"/>
  </w:num>
  <w:num w:numId="16" w16cid:durableId="563221408">
    <w:abstractNumId w:val="69"/>
  </w:num>
  <w:num w:numId="17" w16cid:durableId="199710262">
    <w:abstractNumId w:val="58"/>
  </w:num>
  <w:num w:numId="18" w16cid:durableId="449008583">
    <w:abstractNumId w:val="27"/>
  </w:num>
  <w:num w:numId="19" w16cid:durableId="752316477">
    <w:abstractNumId w:val="56"/>
  </w:num>
  <w:num w:numId="20" w16cid:durableId="1511678129">
    <w:abstractNumId w:val="21"/>
  </w:num>
  <w:num w:numId="21" w16cid:durableId="1757553478">
    <w:abstractNumId w:val="14"/>
  </w:num>
  <w:num w:numId="22" w16cid:durableId="1959605642">
    <w:abstractNumId w:val="16"/>
  </w:num>
  <w:num w:numId="23" w16cid:durableId="821312777">
    <w:abstractNumId w:val="92"/>
  </w:num>
  <w:num w:numId="24" w16cid:durableId="278076347">
    <w:abstractNumId w:val="8"/>
  </w:num>
  <w:num w:numId="25" w16cid:durableId="1638411332">
    <w:abstractNumId w:val="86"/>
  </w:num>
  <w:num w:numId="26" w16cid:durableId="642123669">
    <w:abstractNumId w:val="57"/>
  </w:num>
  <w:num w:numId="27" w16cid:durableId="1387534146">
    <w:abstractNumId w:val="97"/>
  </w:num>
  <w:num w:numId="28" w16cid:durableId="35811611">
    <w:abstractNumId w:val="74"/>
  </w:num>
  <w:num w:numId="29" w16cid:durableId="874149348">
    <w:abstractNumId w:val="50"/>
  </w:num>
  <w:num w:numId="30" w16cid:durableId="122889791">
    <w:abstractNumId w:val="89"/>
  </w:num>
  <w:num w:numId="31" w16cid:durableId="298998862">
    <w:abstractNumId w:val="96"/>
  </w:num>
  <w:num w:numId="32" w16cid:durableId="344865462">
    <w:abstractNumId w:val="43"/>
  </w:num>
  <w:num w:numId="33" w16cid:durableId="400182328">
    <w:abstractNumId w:val="87"/>
  </w:num>
  <w:num w:numId="34" w16cid:durableId="1581796713">
    <w:abstractNumId w:val="29"/>
  </w:num>
  <w:num w:numId="35" w16cid:durableId="1608923713">
    <w:abstractNumId w:val="36"/>
  </w:num>
  <w:num w:numId="36" w16cid:durableId="1345861607">
    <w:abstractNumId w:val="53"/>
  </w:num>
  <w:num w:numId="37" w16cid:durableId="1718578872">
    <w:abstractNumId w:val="51"/>
  </w:num>
  <w:num w:numId="38" w16cid:durableId="2105959586">
    <w:abstractNumId w:val="22"/>
  </w:num>
  <w:num w:numId="39" w16cid:durableId="1729574227">
    <w:abstractNumId w:val="82"/>
  </w:num>
  <w:num w:numId="40" w16cid:durableId="1915309397">
    <w:abstractNumId w:val="40"/>
  </w:num>
  <w:num w:numId="41" w16cid:durableId="426851062">
    <w:abstractNumId w:val="64"/>
  </w:num>
  <w:num w:numId="42" w16cid:durableId="1210875166">
    <w:abstractNumId w:val="68"/>
  </w:num>
  <w:num w:numId="43" w16cid:durableId="1520926266">
    <w:abstractNumId w:val="12"/>
  </w:num>
  <w:num w:numId="44" w16cid:durableId="1731150644">
    <w:abstractNumId w:val="35"/>
  </w:num>
  <w:num w:numId="45" w16cid:durableId="514080367">
    <w:abstractNumId w:val="54"/>
  </w:num>
  <w:num w:numId="46" w16cid:durableId="578751052">
    <w:abstractNumId w:val="31"/>
  </w:num>
  <w:num w:numId="47" w16cid:durableId="836767911">
    <w:abstractNumId w:val="47"/>
  </w:num>
  <w:num w:numId="48" w16cid:durableId="102845311">
    <w:abstractNumId w:val="4"/>
  </w:num>
  <w:num w:numId="49" w16cid:durableId="264962544">
    <w:abstractNumId w:val="91"/>
  </w:num>
  <w:num w:numId="50" w16cid:durableId="958992387">
    <w:abstractNumId w:val="52"/>
  </w:num>
  <w:num w:numId="51" w16cid:durableId="828860677">
    <w:abstractNumId w:val="3"/>
  </w:num>
  <w:num w:numId="52" w16cid:durableId="1559053139">
    <w:abstractNumId w:val="101"/>
  </w:num>
  <w:num w:numId="53" w16cid:durableId="448743122">
    <w:abstractNumId w:val="19"/>
  </w:num>
  <w:num w:numId="54" w16cid:durableId="1386756869">
    <w:abstractNumId w:val="45"/>
  </w:num>
  <w:num w:numId="55" w16cid:durableId="1708293639">
    <w:abstractNumId w:val="44"/>
  </w:num>
  <w:num w:numId="56" w16cid:durableId="887423241">
    <w:abstractNumId w:val="93"/>
  </w:num>
  <w:num w:numId="57" w16cid:durableId="422803603">
    <w:abstractNumId w:val="5"/>
  </w:num>
  <w:num w:numId="58" w16cid:durableId="2126734242">
    <w:abstractNumId w:val="59"/>
  </w:num>
  <w:num w:numId="59" w16cid:durableId="1196776221">
    <w:abstractNumId w:val="88"/>
  </w:num>
  <w:num w:numId="60" w16cid:durableId="922572970">
    <w:abstractNumId w:val="83"/>
  </w:num>
  <w:num w:numId="61" w16cid:durableId="1909802044">
    <w:abstractNumId w:val="15"/>
  </w:num>
  <w:num w:numId="62" w16cid:durableId="630942250">
    <w:abstractNumId w:val="100"/>
  </w:num>
  <w:num w:numId="63" w16cid:durableId="689139122">
    <w:abstractNumId w:val="23"/>
  </w:num>
  <w:num w:numId="64" w16cid:durableId="800654115">
    <w:abstractNumId w:val="34"/>
  </w:num>
  <w:num w:numId="65" w16cid:durableId="1243564261">
    <w:abstractNumId w:val="11"/>
  </w:num>
  <w:num w:numId="66" w16cid:durableId="1151095055">
    <w:abstractNumId w:val="13"/>
  </w:num>
  <w:num w:numId="67" w16cid:durableId="173225443">
    <w:abstractNumId w:val="85"/>
  </w:num>
  <w:num w:numId="68" w16cid:durableId="2008704659">
    <w:abstractNumId w:val="75"/>
  </w:num>
  <w:num w:numId="69" w16cid:durableId="1551844041">
    <w:abstractNumId w:val="67"/>
  </w:num>
  <w:num w:numId="70" w16cid:durableId="1535575867">
    <w:abstractNumId w:val="84"/>
  </w:num>
  <w:num w:numId="71" w16cid:durableId="624235757">
    <w:abstractNumId w:val="62"/>
  </w:num>
  <w:num w:numId="72" w16cid:durableId="1940526158">
    <w:abstractNumId w:val="94"/>
  </w:num>
  <w:num w:numId="73" w16cid:durableId="915943255">
    <w:abstractNumId w:val="7"/>
  </w:num>
  <w:num w:numId="74" w16cid:durableId="1692994458">
    <w:abstractNumId w:val="38"/>
  </w:num>
  <w:num w:numId="75" w16cid:durableId="1929076130">
    <w:abstractNumId w:val="78"/>
  </w:num>
  <w:num w:numId="76" w16cid:durableId="326830226">
    <w:abstractNumId w:val="61"/>
  </w:num>
  <w:num w:numId="77" w16cid:durableId="1827358214">
    <w:abstractNumId w:val="9"/>
  </w:num>
  <w:num w:numId="78" w16cid:durableId="433330110">
    <w:abstractNumId w:val="95"/>
  </w:num>
  <w:num w:numId="79" w16cid:durableId="2122455341">
    <w:abstractNumId w:val="6"/>
  </w:num>
  <w:num w:numId="80" w16cid:durableId="1936747974">
    <w:abstractNumId w:val="28"/>
  </w:num>
  <w:num w:numId="81" w16cid:durableId="73162689">
    <w:abstractNumId w:val="76"/>
  </w:num>
  <w:num w:numId="82" w16cid:durableId="1401295698">
    <w:abstractNumId w:val="70"/>
  </w:num>
  <w:num w:numId="83" w16cid:durableId="1323966204">
    <w:abstractNumId w:val="39"/>
  </w:num>
  <w:num w:numId="84" w16cid:durableId="1593589249">
    <w:abstractNumId w:val="60"/>
  </w:num>
  <w:num w:numId="85" w16cid:durableId="1650595869">
    <w:abstractNumId w:val="77"/>
  </w:num>
  <w:num w:numId="86" w16cid:durableId="804809156">
    <w:abstractNumId w:val="17"/>
  </w:num>
  <w:num w:numId="87" w16cid:durableId="843283461">
    <w:abstractNumId w:val="79"/>
  </w:num>
  <w:num w:numId="88" w16cid:durableId="575167891">
    <w:abstractNumId w:val="63"/>
  </w:num>
  <w:num w:numId="89" w16cid:durableId="719717448">
    <w:abstractNumId w:val="80"/>
  </w:num>
  <w:num w:numId="90" w16cid:durableId="882907418">
    <w:abstractNumId w:val="90"/>
  </w:num>
  <w:num w:numId="91" w16cid:durableId="124351645">
    <w:abstractNumId w:val="66"/>
  </w:num>
  <w:num w:numId="92" w16cid:durableId="1717856498">
    <w:abstractNumId w:val="48"/>
  </w:num>
  <w:num w:numId="93" w16cid:durableId="2128813601">
    <w:abstractNumId w:val="41"/>
  </w:num>
  <w:num w:numId="94" w16cid:durableId="252322125">
    <w:abstractNumId w:val="18"/>
  </w:num>
  <w:num w:numId="95" w16cid:durableId="614021217">
    <w:abstractNumId w:val="81"/>
  </w:num>
  <w:num w:numId="96" w16cid:durableId="1897666554">
    <w:abstractNumId w:val="32"/>
  </w:num>
  <w:num w:numId="97" w16cid:durableId="1397052100">
    <w:abstractNumId w:val="30"/>
  </w:num>
  <w:num w:numId="98" w16cid:durableId="1933052593">
    <w:abstractNumId w:val="73"/>
  </w:num>
  <w:num w:numId="99" w16cid:durableId="166749962">
    <w:abstractNumId w:val="72"/>
  </w:num>
  <w:num w:numId="100" w16cid:durableId="2146769943">
    <w:abstractNumId w:val="26"/>
  </w:num>
  <w:num w:numId="101" w16cid:durableId="1441993048">
    <w:abstractNumId w:val="3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hyphenationZone w:val="907"/>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 w:id="1"/>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008F"/>
    <w:rsid w:val="000005C3"/>
    <w:rsid w:val="000007C8"/>
    <w:rsid w:val="00000962"/>
    <w:rsid w:val="00001289"/>
    <w:rsid w:val="00001B6D"/>
    <w:rsid w:val="00002062"/>
    <w:rsid w:val="000025CF"/>
    <w:rsid w:val="0000264F"/>
    <w:rsid w:val="000026A0"/>
    <w:rsid w:val="00002790"/>
    <w:rsid w:val="0000292E"/>
    <w:rsid w:val="0000296E"/>
    <w:rsid w:val="00003634"/>
    <w:rsid w:val="000040D7"/>
    <w:rsid w:val="00004387"/>
    <w:rsid w:val="00004406"/>
    <w:rsid w:val="000044C2"/>
    <w:rsid w:val="000048D3"/>
    <w:rsid w:val="00004A97"/>
    <w:rsid w:val="00004CF6"/>
    <w:rsid w:val="00005C87"/>
    <w:rsid w:val="00006E9A"/>
    <w:rsid w:val="00007D9B"/>
    <w:rsid w:val="00010464"/>
    <w:rsid w:val="00010921"/>
    <w:rsid w:val="0001136A"/>
    <w:rsid w:val="00011521"/>
    <w:rsid w:val="000116BB"/>
    <w:rsid w:val="00011DC3"/>
    <w:rsid w:val="000120E1"/>
    <w:rsid w:val="00013B8C"/>
    <w:rsid w:val="00013DB4"/>
    <w:rsid w:val="00014DE5"/>
    <w:rsid w:val="000150C3"/>
    <w:rsid w:val="00015103"/>
    <w:rsid w:val="0001526C"/>
    <w:rsid w:val="000153F5"/>
    <w:rsid w:val="00016BCA"/>
    <w:rsid w:val="00016C58"/>
    <w:rsid w:val="0001780E"/>
    <w:rsid w:val="00017A66"/>
    <w:rsid w:val="00017C42"/>
    <w:rsid w:val="00020489"/>
    <w:rsid w:val="00020942"/>
    <w:rsid w:val="00020975"/>
    <w:rsid w:val="00020B0D"/>
    <w:rsid w:val="00020D51"/>
    <w:rsid w:val="00020EBB"/>
    <w:rsid w:val="00021C1C"/>
    <w:rsid w:val="000223FD"/>
    <w:rsid w:val="000241A3"/>
    <w:rsid w:val="00024823"/>
    <w:rsid w:val="00024D42"/>
    <w:rsid w:val="00024EA3"/>
    <w:rsid w:val="00025AD6"/>
    <w:rsid w:val="00025BE1"/>
    <w:rsid w:val="00026044"/>
    <w:rsid w:val="00026A87"/>
    <w:rsid w:val="00026E0D"/>
    <w:rsid w:val="00027693"/>
    <w:rsid w:val="000279F9"/>
    <w:rsid w:val="00027F40"/>
    <w:rsid w:val="000301E4"/>
    <w:rsid w:val="000302D0"/>
    <w:rsid w:val="000304F0"/>
    <w:rsid w:val="00030E67"/>
    <w:rsid w:val="0003191E"/>
    <w:rsid w:val="00031C5B"/>
    <w:rsid w:val="000320B9"/>
    <w:rsid w:val="00032305"/>
    <w:rsid w:val="00032685"/>
    <w:rsid w:val="00032887"/>
    <w:rsid w:val="0003289E"/>
    <w:rsid w:val="0003317C"/>
    <w:rsid w:val="000334BB"/>
    <w:rsid w:val="00033512"/>
    <w:rsid w:val="00033924"/>
    <w:rsid w:val="00033B57"/>
    <w:rsid w:val="00033C53"/>
    <w:rsid w:val="00033F8D"/>
    <w:rsid w:val="0003463C"/>
    <w:rsid w:val="000349B5"/>
    <w:rsid w:val="00034C7E"/>
    <w:rsid w:val="00035545"/>
    <w:rsid w:val="00035A5D"/>
    <w:rsid w:val="00035A96"/>
    <w:rsid w:val="00036090"/>
    <w:rsid w:val="00036BB5"/>
    <w:rsid w:val="00036DDA"/>
    <w:rsid w:val="00037036"/>
    <w:rsid w:val="00037168"/>
    <w:rsid w:val="000371B1"/>
    <w:rsid w:val="000373BD"/>
    <w:rsid w:val="00037573"/>
    <w:rsid w:val="00037E51"/>
    <w:rsid w:val="00040172"/>
    <w:rsid w:val="0004043D"/>
    <w:rsid w:val="0004086E"/>
    <w:rsid w:val="00040A91"/>
    <w:rsid w:val="00040C74"/>
    <w:rsid w:val="00040CCF"/>
    <w:rsid w:val="0004145B"/>
    <w:rsid w:val="00041573"/>
    <w:rsid w:val="00042707"/>
    <w:rsid w:val="000434D1"/>
    <w:rsid w:val="000434D4"/>
    <w:rsid w:val="00043889"/>
    <w:rsid w:val="00043A84"/>
    <w:rsid w:val="00043E49"/>
    <w:rsid w:val="0004416A"/>
    <w:rsid w:val="0004424A"/>
    <w:rsid w:val="00044D82"/>
    <w:rsid w:val="00044EE2"/>
    <w:rsid w:val="00045076"/>
    <w:rsid w:val="00045C93"/>
    <w:rsid w:val="00045E55"/>
    <w:rsid w:val="000466FB"/>
    <w:rsid w:val="00046718"/>
    <w:rsid w:val="00046755"/>
    <w:rsid w:val="00046B75"/>
    <w:rsid w:val="00046D63"/>
    <w:rsid w:val="00047342"/>
    <w:rsid w:val="00047BC3"/>
    <w:rsid w:val="00047C48"/>
    <w:rsid w:val="000502FA"/>
    <w:rsid w:val="00050351"/>
    <w:rsid w:val="00051391"/>
    <w:rsid w:val="000514B0"/>
    <w:rsid w:val="000516E7"/>
    <w:rsid w:val="00051807"/>
    <w:rsid w:val="00051BD1"/>
    <w:rsid w:val="00051C54"/>
    <w:rsid w:val="00052C31"/>
    <w:rsid w:val="00052DD2"/>
    <w:rsid w:val="00052E7C"/>
    <w:rsid w:val="0005392B"/>
    <w:rsid w:val="000539B6"/>
    <w:rsid w:val="00053A1F"/>
    <w:rsid w:val="00053A6E"/>
    <w:rsid w:val="00053D40"/>
    <w:rsid w:val="00054028"/>
    <w:rsid w:val="0005456E"/>
    <w:rsid w:val="00054ED1"/>
    <w:rsid w:val="00055012"/>
    <w:rsid w:val="0005518E"/>
    <w:rsid w:val="0005568F"/>
    <w:rsid w:val="00055876"/>
    <w:rsid w:val="0005602B"/>
    <w:rsid w:val="0005607C"/>
    <w:rsid w:val="0005653D"/>
    <w:rsid w:val="00056853"/>
    <w:rsid w:val="00056BDE"/>
    <w:rsid w:val="00056CDD"/>
    <w:rsid w:val="00056E1D"/>
    <w:rsid w:val="000577E1"/>
    <w:rsid w:val="00057EC9"/>
    <w:rsid w:val="00057F18"/>
    <w:rsid w:val="0006041E"/>
    <w:rsid w:val="0006060D"/>
    <w:rsid w:val="000614AE"/>
    <w:rsid w:val="00061807"/>
    <w:rsid w:val="00061941"/>
    <w:rsid w:val="00062437"/>
    <w:rsid w:val="00062761"/>
    <w:rsid w:val="0006277A"/>
    <w:rsid w:val="00062C2E"/>
    <w:rsid w:val="000630A6"/>
    <w:rsid w:val="00063DD9"/>
    <w:rsid w:val="00064160"/>
    <w:rsid w:val="0006426B"/>
    <w:rsid w:val="000642C7"/>
    <w:rsid w:val="00064542"/>
    <w:rsid w:val="000646CB"/>
    <w:rsid w:val="0006470B"/>
    <w:rsid w:val="00064755"/>
    <w:rsid w:val="000647A1"/>
    <w:rsid w:val="00064A84"/>
    <w:rsid w:val="00064C58"/>
    <w:rsid w:val="00064D22"/>
    <w:rsid w:val="00065514"/>
    <w:rsid w:val="00065741"/>
    <w:rsid w:val="000662E5"/>
    <w:rsid w:val="000663DB"/>
    <w:rsid w:val="000665C1"/>
    <w:rsid w:val="0006673E"/>
    <w:rsid w:val="00066B69"/>
    <w:rsid w:val="0006709F"/>
    <w:rsid w:val="000670F9"/>
    <w:rsid w:val="00067435"/>
    <w:rsid w:val="00067A8E"/>
    <w:rsid w:val="0007123A"/>
    <w:rsid w:val="00071876"/>
    <w:rsid w:val="00071BA6"/>
    <w:rsid w:val="00071E91"/>
    <w:rsid w:val="0007277B"/>
    <w:rsid w:val="0007290D"/>
    <w:rsid w:val="00072CA4"/>
    <w:rsid w:val="00072EEC"/>
    <w:rsid w:val="00072F1E"/>
    <w:rsid w:val="0007376D"/>
    <w:rsid w:val="00073834"/>
    <w:rsid w:val="00073D6C"/>
    <w:rsid w:val="00073DF8"/>
    <w:rsid w:val="00073FCE"/>
    <w:rsid w:val="00074081"/>
    <w:rsid w:val="000745D4"/>
    <w:rsid w:val="0007486A"/>
    <w:rsid w:val="00074978"/>
    <w:rsid w:val="000749F7"/>
    <w:rsid w:val="00074B51"/>
    <w:rsid w:val="00074FAA"/>
    <w:rsid w:val="00075313"/>
    <w:rsid w:val="00075629"/>
    <w:rsid w:val="0007568F"/>
    <w:rsid w:val="0007575E"/>
    <w:rsid w:val="000757D9"/>
    <w:rsid w:val="00075CDE"/>
    <w:rsid w:val="0007639B"/>
    <w:rsid w:val="00076D9E"/>
    <w:rsid w:val="00076F8A"/>
    <w:rsid w:val="000777EA"/>
    <w:rsid w:val="000779B7"/>
    <w:rsid w:val="00077E16"/>
    <w:rsid w:val="00077E7E"/>
    <w:rsid w:val="00077EEC"/>
    <w:rsid w:val="00077FFA"/>
    <w:rsid w:val="0008020A"/>
    <w:rsid w:val="0008053E"/>
    <w:rsid w:val="00080B61"/>
    <w:rsid w:val="00081ED0"/>
    <w:rsid w:val="00081F0E"/>
    <w:rsid w:val="0008205F"/>
    <w:rsid w:val="0008234E"/>
    <w:rsid w:val="00082481"/>
    <w:rsid w:val="00082562"/>
    <w:rsid w:val="00082957"/>
    <w:rsid w:val="00082CA9"/>
    <w:rsid w:val="00082D0F"/>
    <w:rsid w:val="00083955"/>
    <w:rsid w:val="00084197"/>
    <w:rsid w:val="00084204"/>
    <w:rsid w:val="00084254"/>
    <w:rsid w:val="000843DD"/>
    <w:rsid w:val="00084778"/>
    <w:rsid w:val="00084B3D"/>
    <w:rsid w:val="00085017"/>
    <w:rsid w:val="00085318"/>
    <w:rsid w:val="0008560F"/>
    <w:rsid w:val="00085765"/>
    <w:rsid w:val="000857A2"/>
    <w:rsid w:val="00085895"/>
    <w:rsid w:val="000859FA"/>
    <w:rsid w:val="00085C3F"/>
    <w:rsid w:val="0008623C"/>
    <w:rsid w:val="00087249"/>
    <w:rsid w:val="0008760C"/>
    <w:rsid w:val="00091255"/>
    <w:rsid w:val="000917B9"/>
    <w:rsid w:val="000918A4"/>
    <w:rsid w:val="000919CF"/>
    <w:rsid w:val="00091AAF"/>
    <w:rsid w:val="00091B7B"/>
    <w:rsid w:val="00092054"/>
    <w:rsid w:val="000923E0"/>
    <w:rsid w:val="0009257E"/>
    <w:rsid w:val="00092A8C"/>
    <w:rsid w:val="00092B94"/>
    <w:rsid w:val="000932DC"/>
    <w:rsid w:val="000939CF"/>
    <w:rsid w:val="000939FA"/>
    <w:rsid w:val="00093C65"/>
    <w:rsid w:val="00094B23"/>
    <w:rsid w:val="00094B65"/>
    <w:rsid w:val="00094F94"/>
    <w:rsid w:val="00095685"/>
    <w:rsid w:val="00095F3D"/>
    <w:rsid w:val="0009647F"/>
    <w:rsid w:val="000966AB"/>
    <w:rsid w:val="00096B55"/>
    <w:rsid w:val="00096DD6"/>
    <w:rsid w:val="0009738A"/>
    <w:rsid w:val="000A01B2"/>
    <w:rsid w:val="000A0C23"/>
    <w:rsid w:val="000A0CCB"/>
    <w:rsid w:val="000A0E0D"/>
    <w:rsid w:val="000A1585"/>
    <w:rsid w:val="000A15D8"/>
    <w:rsid w:val="000A1682"/>
    <w:rsid w:val="000A1720"/>
    <w:rsid w:val="000A1A80"/>
    <w:rsid w:val="000A226C"/>
    <w:rsid w:val="000A2BA9"/>
    <w:rsid w:val="000A3368"/>
    <w:rsid w:val="000A350A"/>
    <w:rsid w:val="000A365D"/>
    <w:rsid w:val="000A3948"/>
    <w:rsid w:val="000A3C94"/>
    <w:rsid w:val="000A3D5D"/>
    <w:rsid w:val="000A408C"/>
    <w:rsid w:val="000A429F"/>
    <w:rsid w:val="000A4316"/>
    <w:rsid w:val="000A450A"/>
    <w:rsid w:val="000A460F"/>
    <w:rsid w:val="000A46E7"/>
    <w:rsid w:val="000A50B7"/>
    <w:rsid w:val="000A5586"/>
    <w:rsid w:val="000A5DEB"/>
    <w:rsid w:val="000A69BE"/>
    <w:rsid w:val="000A732E"/>
    <w:rsid w:val="000A75A5"/>
    <w:rsid w:val="000B0887"/>
    <w:rsid w:val="000B0B87"/>
    <w:rsid w:val="000B0D51"/>
    <w:rsid w:val="000B0DCD"/>
    <w:rsid w:val="000B0FD7"/>
    <w:rsid w:val="000B1397"/>
    <w:rsid w:val="000B143A"/>
    <w:rsid w:val="000B1680"/>
    <w:rsid w:val="000B1F44"/>
    <w:rsid w:val="000B24B6"/>
    <w:rsid w:val="000B289E"/>
    <w:rsid w:val="000B2F39"/>
    <w:rsid w:val="000B32F7"/>
    <w:rsid w:val="000B3646"/>
    <w:rsid w:val="000B4127"/>
    <w:rsid w:val="000B4638"/>
    <w:rsid w:val="000B4849"/>
    <w:rsid w:val="000B5386"/>
    <w:rsid w:val="000B5B05"/>
    <w:rsid w:val="000B5FE1"/>
    <w:rsid w:val="000B60B5"/>
    <w:rsid w:val="000B628C"/>
    <w:rsid w:val="000B65C9"/>
    <w:rsid w:val="000B6758"/>
    <w:rsid w:val="000B69A1"/>
    <w:rsid w:val="000B6C74"/>
    <w:rsid w:val="000B6E3D"/>
    <w:rsid w:val="000B6ED8"/>
    <w:rsid w:val="000B78FC"/>
    <w:rsid w:val="000B7AF6"/>
    <w:rsid w:val="000C00CD"/>
    <w:rsid w:val="000C00EF"/>
    <w:rsid w:val="000C0615"/>
    <w:rsid w:val="000C06C0"/>
    <w:rsid w:val="000C11B3"/>
    <w:rsid w:val="000C1228"/>
    <w:rsid w:val="000C130F"/>
    <w:rsid w:val="000C1798"/>
    <w:rsid w:val="000C1CE4"/>
    <w:rsid w:val="000C1D29"/>
    <w:rsid w:val="000C215E"/>
    <w:rsid w:val="000C2331"/>
    <w:rsid w:val="000C282F"/>
    <w:rsid w:val="000C28C6"/>
    <w:rsid w:val="000C2F21"/>
    <w:rsid w:val="000C321F"/>
    <w:rsid w:val="000C3514"/>
    <w:rsid w:val="000C3D0F"/>
    <w:rsid w:val="000C41BF"/>
    <w:rsid w:val="000C42CA"/>
    <w:rsid w:val="000C4438"/>
    <w:rsid w:val="000C4481"/>
    <w:rsid w:val="000C5116"/>
    <w:rsid w:val="000C5488"/>
    <w:rsid w:val="000C58A8"/>
    <w:rsid w:val="000C5CDA"/>
    <w:rsid w:val="000C6257"/>
    <w:rsid w:val="000C65E9"/>
    <w:rsid w:val="000C6752"/>
    <w:rsid w:val="000C69F4"/>
    <w:rsid w:val="000C6F24"/>
    <w:rsid w:val="000C751B"/>
    <w:rsid w:val="000C781B"/>
    <w:rsid w:val="000D004A"/>
    <w:rsid w:val="000D0123"/>
    <w:rsid w:val="000D03DB"/>
    <w:rsid w:val="000D08E5"/>
    <w:rsid w:val="000D0AB0"/>
    <w:rsid w:val="000D0F90"/>
    <w:rsid w:val="000D11B9"/>
    <w:rsid w:val="000D193F"/>
    <w:rsid w:val="000D19A6"/>
    <w:rsid w:val="000D1A51"/>
    <w:rsid w:val="000D1C36"/>
    <w:rsid w:val="000D31F2"/>
    <w:rsid w:val="000D390A"/>
    <w:rsid w:val="000D3927"/>
    <w:rsid w:val="000D3E9A"/>
    <w:rsid w:val="000D47D1"/>
    <w:rsid w:val="000D4E0D"/>
    <w:rsid w:val="000D51DF"/>
    <w:rsid w:val="000D53AC"/>
    <w:rsid w:val="000D5563"/>
    <w:rsid w:val="000D6EAF"/>
    <w:rsid w:val="000D6F23"/>
    <w:rsid w:val="000D6F6A"/>
    <w:rsid w:val="000D709B"/>
    <w:rsid w:val="000D7105"/>
    <w:rsid w:val="000D7437"/>
    <w:rsid w:val="000D7B37"/>
    <w:rsid w:val="000E031E"/>
    <w:rsid w:val="000E1283"/>
    <w:rsid w:val="000E137E"/>
    <w:rsid w:val="000E2059"/>
    <w:rsid w:val="000E2198"/>
    <w:rsid w:val="000E22A2"/>
    <w:rsid w:val="000E22AA"/>
    <w:rsid w:val="000E2425"/>
    <w:rsid w:val="000E2BA7"/>
    <w:rsid w:val="000E329E"/>
    <w:rsid w:val="000E3451"/>
    <w:rsid w:val="000E3BBD"/>
    <w:rsid w:val="000E3BF0"/>
    <w:rsid w:val="000E46C2"/>
    <w:rsid w:val="000E46C4"/>
    <w:rsid w:val="000E47A0"/>
    <w:rsid w:val="000E48E5"/>
    <w:rsid w:val="000E4AAE"/>
    <w:rsid w:val="000E4DB9"/>
    <w:rsid w:val="000E5473"/>
    <w:rsid w:val="000E55D8"/>
    <w:rsid w:val="000E59C6"/>
    <w:rsid w:val="000E63D2"/>
    <w:rsid w:val="000E690B"/>
    <w:rsid w:val="000E6ADA"/>
    <w:rsid w:val="000E75B4"/>
    <w:rsid w:val="000E78D0"/>
    <w:rsid w:val="000E794C"/>
    <w:rsid w:val="000E7CE5"/>
    <w:rsid w:val="000F0031"/>
    <w:rsid w:val="000F02D3"/>
    <w:rsid w:val="000F0869"/>
    <w:rsid w:val="000F0942"/>
    <w:rsid w:val="000F0AA9"/>
    <w:rsid w:val="000F0B54"/>
    <w:rsid w:val="000F0BB0"/>
    <w:rsid w:val="000F1112"/>
    <w:rsid w:val="000F114C"/>
    <w:rsid w:val="000F157F"/>
    <w:rsid w:val="000F17AB"/>
    <w:rsid w:val="000F1879"/>
    <w:rsid w:val="000F1882"/>
    <w:rsid w:val="000F1957"/>
    <w:rsid w:val="000F2868"/>
    <w:rsid w:val="000F2B7A"/>
    <w:rsid w:val="000F2F90"/>
    <w:rsid w:val="000F399E"/>
    <w:rsid w:val="000F3C97"/>
    <w:rsid w:val="000F4080"/>
    <w:rsid w:val="000F45A3"/>
    <w:rsid w:val="000F4EED"/>
    <w:rsid w:val="000F503B"/>
    <w:rsid w:val="000F50F7"/>
    <w:rsid w:val="000F50F9"/>
    <w:rsid w:val="000F58FE"/>
    <w:rsid w:val="000F64E4"/>
    <w:rsid w:val="000F7B03"/>
    <w:rsid w:val="000F7EC0"/>
    <w:rsid w:val="0010025C"/>
    <w:rsid w:val="00100466"/>
    <w:rsid w:val="001005EE"/>
    <w:rsid w:val="00100BD1"/>
    <w:rsid w:val="00100CA7"/>
    <w:rsid w:val="00100E7E"/>
    <w:rsid w:val="00100EF4"/>
    <w:rsid w:val="001011BC"/>
    <w:rsid w:val="00101455"/>
    <w:rsid w:val="0010152C"/>
    <w:rsid w:val="00101FCB"/>
    <w:rsid w:val="001028EA"/>
    <w:rsid w:val="00102A50"/>
    <w:rsid w:val="00102E09"/>
    <w:rsid w:val="0010302A"/>
    <w:rsid w:val="00103535"/>
    <w:rsid w:val="00104747"/>
    <w:rsid w:val="00104866"/>
    <w:rsid w:val="00104F78"/>
    <w:rsid w:val="00105286"/>
    <w:rsid w:val="0010545F"/>
    <w:rsid w:val="00105592"/>
    <w:rsid w:val="0010565B"/>
    <w:rsid w:val="00105866"/>
    <w:rsid w:val="001060B8"/>
    <w:rsid w:val="00106638"/>
    <w:rsid w:val="00106871"/>
    <w:rsid w:val="001069E5"/>
    <w:rsid w:val="00106B52"/>
    <w:rsid w:val="00107358"/>
    <w:rsid w:val="00107912"/>
    <w:rsid w:val="001103EB"/>
    <w:rsid w:val="001108F3"/>
    <w:rsid w:val="00110963"/>
    <w:rsid w:val="00110E6A"/>
    <w:rsid w:val="00111544"/>
    <w:rsid w:val="001116C4"/>
    <w:rsid w:val="00111856"/>
    <w:rsid w:val="00111E72"/>
    <w:rsid w:val="00112502"/>
    <w:rsid w:val="00112689"/>
    <w:rsid w:val="001129A9"/>
    <w:rsid w:val="0011300E"/>
    <w:rsid w:val="001130C3"/>
    <w:rsid w:val="001131D1"/>
    <w:rsid w:val="0011322C"/>
    <w:rsid w:val="001132D7"/>
    <w:rsid w:val="001136D2"/>
    <w:rsid w:val="00113AB2"/>
    <w:rsid w:val="00113CEC"/>
    <w:rsid w:val="00113E94"/>
    <w:rsid w:val="0011417E"/>
    <w:rsid w:val="00114580"/>
    <w:rsid w:val="001147B8"/>
    <w:rsid w:val="00114B52"/>
    <w:rsid w:val="00115435"/>
    <w:rsid w:val="0011543C"/>
    <w:rsid w:val="00115C37"/>
    <w:rsid w:val="00116111"/>
    <w:rsid w:val="001168E5"/>
    <w:rsid w:val="00116D56"/>
    <w:rsid w:val="00116DC8"/>
    <w:rsid w:val="00117010"/>
    <w:rsid w:val="00117129"/>
    <w:rsid w:val="001175B7"/>
    <w:rsid w:val="00117BE8"/>
    <w:rsid w:val="00117CBA"/>
    <w:rsid w:val="00120070"/>
    <w:rsid w:val="001202E0"/>
    <w:rsid w:val="0012030D"/>
    <w:rsid w:val="00120CDA"/>
    <w:rsid w:val="001210BE"/>
    <w:rsid w:val="0012136F"/>
    <w:rsid w:val="001213FF"/>
    <w:rsid w:val="0012158A"/>
    <w:rsid w:val="001217A9"/>
    <w:rsid w:val="0012226B"/>
    <w:rsid w:val="00122D67"/>
    <w:rsid w:val="00122E9C"/>
    <w:rsid w:val="00123A32"/>
    <w:rsid w:val="00123CEA"/>
    <w:rsid w:val="00123D98"/>
    <w:rsid w:val="00123ECC"/>
    <w:rsid w:val="00124136"/>
    <w:rsid w:val="0012462B"/>
    <w:rsid w:val="00124663"/>
    <w:rsid w:val="00125079"/>
    <w:rsid w:val="0012512D"/>
    <w:rsid w:val="001257DB"/>
    <w:rsid w:val="0012597A"/>
    <w:rsid w:val="00126025"/>
    <w:rsid w:val="001267AE"/>
    <w:rsid w:val="00126979"/>
    <w:rsid w:val="00126B8C"/>
    <w:rsid w:val="00126F0D"/>
    <w:rsid w:val="00127232"/>
    <w:rsid w:val="00127345"/>
    <w:rsid w:val="00127A8F"/>
    <w:rsid w:val="00127C1D"/>
    <w:rsid w:val="0013003A"/>
    <w:rsid w:val="001300D4"/>
    <w:rsid w:val="001301BC"/>
    <w:rsid w:val="0013165E"/>
    <w:rsid w:val="00131C30"/>
    <w:rsid w:val="001323D9"/>
    <w:rsid w:val="0013284D"/>
    <w:rsid w:val="00132A6D"/>
    <w:rsid w:val="00132ADF"/>
    <w:rsid w:val="00132D7B"/>
    <w:rsid w:val="00132FA7"/>
    <w:rsid w:val="0013352C"/>
    <w:rsid w:val="0013382B"/>
    <w:rsid w:val="00133E73"/>
    <w:rsid w:val="00134E5A"/>
    <w:rsid w:val="0013518C"/>
    <w:rsid w:val="00135D9F"/>
    <w:rsid w:val="00135E17"/>
    <w:rsid w:val="0013610D"/>
    <w:rsid w:val="001361F5"/>
    <w:rsid w:val="001367A3"/>
    <w:rsid w:val="001376DF"/>
    <w:rsid w:val="00137A6B"/>
    <w:rsid w:val="00137A8F"/>
    <w:rsid w:val="001401CC"/>
    <w:rsid w:val="00140561"/>
    <w:rsid w:val="00140A17"/>
    <w:rsid w:val="00140D69"/>
    <w:rsid w:val="001412C2"/>
    <w:rsid w:val="001418AB"/>
    <w:rsid w:val="001418C3"/>
    <w:rsid w:val="00142379"/>
    <w:rsid w:val="001423E9"/>
    <w:rsid w:val="001427DD"/>
    <w:rsid w:val="00142C55"/>
    <w:rsid w:val="00142CB3"/>
    <w:rsid w:val="00143698"/>
    <w:rsid w:val="00143F14"/>
    <w:rsid w:val="001447F9"/>
    <w:rsid w:val="00144A92"/>
    <w:rsid w:val="00144CE2"/>
    <w:rsid w:val="00145185"/>
    <w:rsid w:val="001454CF"/>
    <w:rsid w:val="00145637"/>
    <w:rsid w:val="0014576E"/>
    <w:rsid w:val="001459D0"/>
    <w:rsid w:val="00145D5C"/>
    <w:rsid w:val="00145DDB"/>
    <w:rsid w:val="00145DDE"/>
    <w:rsid w:val="00145E35"/>
    <w:rsid w:val="0014652D"/>
    <w:rsid w:val="0014669A"/>
    <w:rsid w:val="001468B7"/>
    <w:rsid w:val="001476B7"/>
    <w:rsid w:val="001478EA"/>
    <w:rsid w:val="00147ABB"/>
    <w:rsid w:val="00147AC2"/>
    <w:rsid w:val="00150179"/>
    <w:rsid w:val="00150250"/>
    <w:rsid w:val="001503F8"/>
    <w:rsid w:val="00150403"/>
    <w:rsid w:val="00150509"/>
    <w:rsid w:val="00150638"/>
    <w:rsid w:val="0015068A"/>
    <w:rsid w:val="00150C3D"/>
    <w:rsid w:val="00150DD0"/>
    <w:rsid w:val="00150F18"/>
    <w:rsid w:val="00151073"/>
    <w:rsid w:val="00152327"/>
    <w:rsid w:val="0015280F"/>
    <w:rsid w:val="00152A91"/>
    <w:rsid w:val="001531C3"/>
    <w:rsid w:val="001531F3"/>
    <w:rsid w:val="001533DB"/>
    <w:rsid w:val="00153774"/>
    <w:rsid w:val="00153B0C"/>
    <w:rsid w:val="00153CC4"/>
    <w:rsid w:val="00153CD4"/>
    <w:rsid w:val="00153EF1"/>
    <w:rsid w:val="00153F01"/>
    <w:rsid w:val="001547BB"/>
    <w:rsid w:val="00154963"/>
    <w:rsid w:val="00154B3C"/>
    <w:rsid w:val="00155378"/>
    <w:rsid w:val="0015572B"/>
    <w:rsid w:val="001558FB"/>
    <w:rsid w:val="0015591B"/>
    <w:rsid w:val="0015615E"/>
    <w:rsid w:val="00156752"/>
    <w:rsid w:val="0015690B"/>
    <w:rsid w:val="00156E8A"/>
    <w:rsid w:val="00156E9B"/>
    <w:rsid w:val="00157663"/>
    <w:rsid w:val="00157C23"/>
    <w:rsid w:val="00160015"/>
    <w:rsid w:val="00160288"/>
    <w:rsid w:val="001602C0"/>
    <w:rsid w:val="001607C0"/>
    <w:rsid w:val="001609E2"/>
    <w:rsid w:val="00160A8F"/>
    <w:rsid w:val="00161256"/>
    <w:rsid w:val="00161C7C"/>
    <w:rsid w:val="001621CC"/>
    <w:rsid w:val="001624B9"/>
    <w:rsid w:val="00163042"/>
    <w:rsid w:val="001638A6"/>
    <w:rsid w:val="00163D51"/>
    <w:rsid w:val="00163E8A"/>
    <w:rsid w:val="00163F86"/>
    <w:rsid w:val="0016434A"/>
    <w:rsid w:val="0016451A"/>
    <w:rsid w:val="001647EE"/>
    <w:rsid w:val="00164E90"/>
    <w:rsid w:val="00164FE1"/>
    <w:rsid w:val="0016502C"/>
    <w:rsid w:val="001651F7"/>
    <w:rsid w:val="001652FE"/>
    <w:rsid w:val="001657EE"/>
    <w:rsid w:val="00165806"/>
    <w:rsid w:val="00165996"/>
    <w:rsid w:val="001668C2"/>
    <w:rsid w:val="00167344"/>
    <w:rsid w:val="001677F8"/>
    <w:rsid w:val="00167E55"/>
    <w:rsid w:val="00167F30"/>
    <w:rsid w:val="00170158"/>
    <w:rsid w:val="0017150A"/>
    <w:rsid w:val="00171731"/>
    <w:rsid w:val="00171B15"/>
    <w:rsid w:val="001727C2"/>
    <w:rsid w:val="00172CA2"/>
    <w:rsid w:val="00173237"/>
    <w:rsid w:val="00173890"/>
    <w:rsid w:val="00173A0E"/>
    <w:rsid w:val="00173D20"/>
    <w:rsid w:val="0017405D"/>
    <w:rsid w:val="001744B6"/>
    <w:rsid w:val="00175292"/>
    <w:rsid w:val="00175643"/>
    <w:rsid w:val="001756C6"/>
    <w:rsid w:val="00175853"/>
    <w:rsid w:val="00175F77"/>
    <w:rsid w:val="00176FF2"/>
    <w:rsid w:val="001772D6"/>
    <w:rsid w:val="00177422"/>
    <w:rsid w:val="00177933"/>
    <w:rsid w:val="00177BA9"/>
    <w:rsid w:val="00177C69"/>
    <w:rsid w:val="00180636"/>
    <w:rsid w:val="00181447"/>
    <w:rsid w:val="001814C7"/>
    <w:rsid w:val="00181606"/>
    <w:rsid w:val="00181A38"/>
    <w:rsid w:val="0018206C"/>
    <w:rsid w:val="0018286A"/>
    <w:rsid w:val="00183A62"/>
    <w:rsid w:val="00183B77"/>
    <w:rsid w:val="00183D33"/>
    <w:rsid w:val="00183D9B"/>
    <w:rsid w:val="00183F18"/>
    <w:rsid w:val="00184AA5"/>
    <w:rsid w:val="00184BF3"/>
    <w:rsid w:val="00184C20"/>
    <w:rsid w:val="00185346"/>
    <w:rsid w:val="00185B8D"/>
    <w:rsid w:val="00185C60"/>
    <w:rsid w:val="00185CDA"/>
    <w:rsid w:val="00185DD7"/>
    <w:rsid w:val="00185EB4"/>
    <w:rsid w:val="001864B9"/>
    <w:rsid w:val="0018661A"/>
    <w:rsid w:val="001868EE"/>
    <w:rsid w:val="00186915"/>
    <w:rsid w:val="00186AF7"/>
    <w:rsid w:val="001870BD"/>
    <w:rsid w:val="001871D5"/>
    <w:rsid w:val="00187398"/>
    <w:rsid w:val="00187645"/>
    <w:rsid w:val="00187D01"/>
    <w:rsid w:val="00187EB0"/>
    <w:rsid w:val="0019057B"/>
    <w:rsid w:val="00190650"/>
    <w:rsid w:val="00190D6E"/>
    <w:rsid w:val="0019173F"/>
    <w:rsid w:val="00191C87"/>
    <w:rsid w:val="00191F8F"/>
    <w:rsid w:val="00192556"/>
    <w:rsid w:val="00192888"/>
    <w:rsid w:val="00192E0B"/>
    <w:rsid w:val="00193A03"/>
    <w:rsid w:val="00194138"/>
    <w:rsid w:val="0019481E"/>
    <w:rsid w:val="00194E34"/>
    <w:rsid w:val="001950E7"/>
    <w:rsid w:val="00195193"/>
    <w:rsid w:val="0019525B"/>
    <w:rsid w:val="00195340"/>
    <w:rsid w:val="0019534C"/>
    <w:rsid w:val="00195AE7"/>
    <w:rsid w:val="00195E28"/>
    <w:rsid w:val="00196048"/>
    <w:rsid w:val="001960ED"/>
    <w:rsid w:val="00196DE5"/>
    <w:rsid w:val="001971DE"/>
    <w:rsid w:val="00197A5A"/>
    <w:rsid w:val="00197E57"/>
    <w:rsid w:val="001A00D2"/>
    <w:rsid w:val="001A02A9"/>
    <w:rsid w:val="001A03CD"/>
    <w:rsid w:val="001A1994"/>
    <w:rsid w:val="001A1BE3"/>
    <w:rsid w:val="001A206C"/>
    <w:rsid w:val="001A2B06"/>
    <w:rsid w:val="001A2D6C"/>
    <w:rsid w:val="001A2DF2"/>
    <w:rsid w:val="001A3223"/>
    <w:rsid w:val="001A32A4"/>
    <w:rsid w:val="001A332B"/>
    <w:rsid w:val="001A3365"/>
    <w:rsid w:val="001A3A0E"/>
    <w:rsid w:val="001A3AED"/>
    <w:rsid w:val="001A3B1D"/>
    <w:rsid w:val="001A46BF"/>
    <w:rsid w:val="001A4DE8"/>
    <w:rsid w:val="001A505E"/>
    <w:rsid w:val="001A50B6"/>
    <w:rsid w:val="001A54B6"/>
    <w:rsid w:val="001A5650"/>
    <w:rsid w:val="001A617B"/>
    <w:rsid w:val="001A6507"/>
    <w:rsid w:val="001A6872"/>
    <w:rsid w:val="001A69B5"/>
    <w:rsid w:val="001A6BB1"/>
    <w:rsid w:val="001A716D"/>
    <w:rsid w:val="001A718B"/>
    <w:rsid w:val="001A7275"/>
    <w:rsid w:val="001A74D6"/>
    <w:rsid w:val="001A7719"/>
    <w:rsid w:val="001A7722"/>
    <w:rsid w:val="001B0237"/>
    <w:rsid w:val="001B0632"/>
    <w:rsid w:val="001B07E9"/>
    <w:rsid w:val="001B17AC"/>
    <w:rsid w:val="001B19A1"/>
    <w:rsid w:val="001B2180"/>
    <w:rsid w:val="001B2E4C"/>
    <w:rsid w:val="001B3600"/>
    <w:rsid w:val="001B370A"/>
    <w:rsid w:val="001B37A2"/>
    <w:rsid w:val="001B3A20"/>
    <w:rsid w:val="001B3A2F"/>
    <w:rsid w:val="001B40C4"/>
    <w:rsid w:val="001B46DB"/>
    <w:rsid w:val="001B46F8"/>
    <w:rsid w:val="001B476E"/>
    <w:rsid w:val="001B493A"/>
    <w:rsid w:val="001B4D21"/>
    <w:rsid w:val="001B5539"/>
    <w:rsid w:val="001B6085"/>
    <w:rsid w:val="001B6BBD"/>
    <w:rsid w:val="001B6F18"/>
    <w:rsid w:val="001B715C"/>
    <w:rsid w:val="001B7997"/>
    <w:rsid w:val="001B7A9C"/>
    <w:rsid w:val="001B7D3C"/>
    <w:rsid w:val="001B7E7F"/>
    <w:rsid w:val="001C018A"/>
    <w:rsid w:val="001C0369"/>
    <w:rsid w:val="001C0A31"/>
    <w:rsid w:val="001C0F71"/>
    <w:rsid w:val="001C1049"/>
    <w:rsid w:val="001C10B1"/>
    <w:rsid w:val="001C1209"/>
    <w:rsid w:val="001C1491"/>
    <w:rsid w:val="001C1BDA"/>
    <w:rsid w:val="001C1C91"/>
    <w:rsid w:val="001C22E6"/>
    <w:rsid w:val="001C285D"/>
    <w:rsid w:val="001C2936"/>
    <w:rsid w:val="001C2D8C"/>
    <w:rsid w:val="001C30BA"/>
    <w:rsid w:val="001C3B2E"/>
    <w:rsid w:val="001C3CFC"/>
    <w:rsid w:val="001C415A"/>
    <w:rsid w:val="001C4277"/>
    <w:rsid w:val="001C4587"/>
    <w:rsid w:val="001C496D"/>
    <w:rsid w:val="001C4B40"/>
    <w:rsid w:val="001C5835"/>
    <w:rsid w:val="001C5A1D"/>
    <w:rsid w:val="001C5B01"/>
    <w:rsid w:val="001C5B29"/>
    <w:rsid w:val="001C63C0"/>
    <w:rsid w:val="001C72F7"/>
    <w:rsid w:val="001C74AC"/>
    <w:rsid w:val="001C7AF0"/>
    <w:rsid w:val="001C7DDF"/>
    <w:rsid w:val="001D01D1"/>
    <w:rsid w:val="001D0BA6"/>
    <w:rsid w:val="001D0DC8"/>
    <w:rsid w:val="001D14BF"/>
    <w:rsid w:val="001D170E"/>
    <w:rsid w:val="001D1B6D"/>
    <w:rsid w:val="001D244F"/>
    <w:rsid w:val="001D2724"/>
    <w:rsid w:val="001D28BF"/>
    <w:rsid w:val="001D2EBB"/>
    <w:rsid w:val="001D2FF4"/>
    <w:rsid w:val="001D3338"/>
    <w:rsid w:val="001D35A6"/>
    <w:rsid w:val="001D3C14"/>
    <w:rsid w:val="001D3FC4"/>
    <w:rsid w:val="001D468B"/>
    <w:rsid w:val="001D474A"/>
    <w:rsid w:val="001D4CA1"/>
    <w:rsid w:val="001D5415"/>
    <w:rsid w:val="001D569B"/>
    <w:rsid w:val="001D56CC"/>
    <w:rsid w:val="001D574B"/>
    <w:rsid w:val="001D5886"/>
    <w:rsid w:val="001D5A3C"/>
    <w:rsid w:val="001D5A5A"/>
    <w:rsid w:val="001D5FCE"/>
    <w:rsid w:val="001D62E0"/>
    <w:rsid w:val="001D645F"/>
    <w:rsid w:val="001D66B2"/>
    <w:rsid w:val="001D67F3"/>
    <w:rsid w:val="001D736C"/>
    <w:rsid w:val="001D7994"/>
    <w:rsid w:val="001D7B7D"/>
    <w:rsid w:val="001E045F"/>
    <w:rsid w:val="001E0808"/>
    <w:rsid w:val="001E1853"/>
    <w:rsid w:val="001E1D3D"/>
    <w:rsid w:val="001E204F"/>
    <w:rsid w:val="001E22AE"/>
    <w:rsid w:val="001E22CE"/>
    <w:rsid w:val="001E2D8F"/>
    <w:rsid w:val="001E31D4"/>
    <w:rsid w:val="001E39E1"/>
    <w:rsid w:val="001E3C76"/>
    <w:rsid w:val="001E3CC1"/>
    <w:rsid w:val="001E43CE"/>
    <w:rsid w:val="001E4836"/>
    <w:rsid w:val="001E4E2B"/>
    <w:rsid w:val="001E50B8"/>
    <w:rsid w:val="001E5147"/>
    <w:rsid w:val="001E53DC"/>
    <w:rsid w:val="001E54EB"/>
    <w:rsid w:val="001E6587"/>
    <w:rsid w:val="001E69D2"/>
    <w:rsid w:val="001E6D0A"/>
    <w:rsid w:val="001E6F55"/>
    <w:rsid w:val="001E70F9"/>
    <w:rsid w:val="001E72D2"/>
    <w:rsid w:val="001E755D"/>
    <w:rsid w:val="001E7E90"/>
    <w:rsid w:val="001F0075"/>
    <w:rsid w:val="001F01E6"/>
    <w:rsid w:val="001F0376"/>
    <w:rsid w:val="001F041B"/>
    <w:rsid w:val="001F0C46"/>
    <w:rsid w:val="001F0C5B"/>
    <w:rsid w:val="001F0E9B"/>
    <w:rsid w:val="001F12DF"/>
    <w:rsid w:val="001F16A2"/>
    <w:rsid w:val="001F1965"/>
    <w:rsid w:val="001F1A1C"/>
    <w:rsid w:val="001F2740"/>
    <w:rsid w:val="001F2F20"/>
    <w:rsid w:val="001F34C4"/>
    <w:rsid w:val="001F34FE"/>
    <w:rsid w:val="001F39F3"/>
    <w:rsid w:val="001F3D02"/>
    <w:rsid w:val="001F45B3"/>
    <w:rsid w:val="001F4853"/>
    <w:rsid w:val="001F52A1"/>
    <w:rsid w:val="001F5603"/>
    <w:rsid w:val="001F5639"/>
    <w:rsid w:val="001F5AD6"/>
    <w:rsid w:val="001F6B41"/>
    <w:rsid w:val="001F6C8B"/>
    <w:rsid w:val="001F6EB6"/>
    <w:rsid w:val="001F7A44"/>
    <w:rsid w:val="001F7B8F"/>
    <w:rsid w:val="001F7EB9"/>
    <w:rsid w:val="001F7FFC"/>
    <w:rsid w:val="002009A2"/>
    <w:rsid w:val="00200B3C"/>
    <w:rsid w:val="00200D65"/>
    <w:rsid w:val="00201455"/>
    <w:rsid w:val="002016E8"/>
    <w:rsid w:val="00201A7D"/>
    <w:rsid w:val="00201F66"/>
    <w:rsid w:val="0020266E"/>
    <w:rsid w:val="002029E8"/>
    <w:rsid w:val="00202B81"/>
    <w:rsid w:val="00202F73"/>
    <w:rsid w:val="00203157"/>
    <w:rsid w:val="002040C3"/>
    <w:rsid w:val="00204432"/>
    <w:rsid w:val="00204557"/>
    <w:rsid w:val="002045BA"/>
    <w:rsid w:val="00204F13"/>
    <w:rsid w:val="002050BA"/>
    <w:rsid w:val="00205652"/>
    <w:rsid w:val="002064F2"/>
    <w:rsid w:val="00207189"/>
    <w:rsid w:val="002071F2"/>
    <w:rsid w:val="00207201"/>
    <w:rsid w:val="00207B7F"/>
    <w:rsid w:val="00210350"/>
    <w:rsid w:val="00210D88"/>
    <w:rsid w:val="00210DF9"/>
    <w:rsid w:val="00210E27"/>
    <w:rsid w:val="002116FB"/>
    <w:rsid w:val="00211DA4"/>
    <w:rsid w:val="00211F0B"/>
    <w:rsid w:val="00212058"/>
    <w:rsid w:val="00212272"/>
    <w:rsid w:val="00212EEC"/>
    <w:rsid w:val="00213AC3"/>
    <w:rsid w:val="00213B24"/>
    <w:rsid w:val="0021403B"/>
    <w:rsid w:val="0021404E"/>
    <w:rsid w:val="002141C2"/>
    <w:rsid w:val="002142E7"/>
    <w:rsid w:val="00214E22"/>
    <w:rsid w:val="002156C6"/>
    <w:rsid w:val="0021575B"/>
    <w:rsid w:val="0021591A"/>
    <w:rsid w:val="00215F4D"/>
    <w:rsid w:val="00215F75"/>
    <w:rsid w:val="002162A8"/>
    <w:rsid w:val="00216429"/>
    <w:rsid w:val="0021645F"/>
    <w:rsid w:val="002167F7"/>
    <w:rsid w:val="00216CEF"/>
    <w:rsid w:val="00216D94"/>
    <w:rsid w:val="00217183"/>
    <w:rsid w:val="00217346"/>
    <w:rsid w:val="002175B5"/>
    <w:rsid w:val="00217712"/>
    <w:rsid w:val="002179A6"/>
    <w:rsid w:val="00220702"/>
    <w:rsid w:val="00220B03"/>
    <w:rsid w:val="0022140F"/>
    <w:rsid w:val="002217F2"/>
    <w:rsid w:val="00222305"/>
    <w:rsid w:val="0022287A"/>
    <w:rsid w:val="00222E40"/>
    <w:rsid w:val="002231EB"/>
    <w:rsid w:val="00223802"/>
    <w:rsid w:val="00224006"/>
    <w:rsid w:val="002244C1"/>
    <w:rsid w:val="002245F0"/>
    <w:rsid w:val="00224FA8"/>
    <w:rsid w:val="00225BF0"/>
    <w:rsid w:val="00225DC2"/>
    <w:rsid w:val="0022602F"/>
    <w:rsid w:val="00226D0D"/>
    <w:rsid w:val="00227344"/>
    <w:rsid w:val="00227505"/>
    <w:rsid w:val="00227933"/>
    <w:rsid w:val="00227ADD"/>
    <w:rsid w:val="00230BF0"/>
    <w:rsid w:val="00230CB2"/>
    <w:rsid w:val="00230F71"/>
    <w:rsid w:val="002315EB"/>
    <w:rsid w:val="002315F1"/>
    <w:rsid w:val="002319BA"/>
    <w:rsid w:val="00231FBD"/>
    <w:rsid w:val="0023237A"/>
    <w:rsid w:val="0023243C"/>
    <w:rsid w:val="00232727"/>
    <w:rsid w:val="00232B0F"/>
    <w:rsid w:val="00232B94"/>
    <w:rsid w:val="00232C48"/>
    <w:rsid w:val="00232CBB"/>
    <w:rsid w:val="002332C4"/>
    <w:rsid w:val="00233311"/>
    <w:rsid w:val="00233408"/>
    <w:rsid w:val="00234241"/>
    <w:rsid w:val="00234A21"/>
    <w:rsid w:val="0023517C"/>
    <w:rsid w:val="00235540"/>
    <w:rsid w:val="002358D4"/>
    <w:rsid w:val="002362A6"/>
    <w:rsid w:val="002363D3"/>
    <w:rsid w:val="00236400"/>
    <w:rsid w:val="002367CF"/>
    <w:rsid w:val="002368E7"/>
    <w:rsid w:val="00236AAD"/>
    <w:rsid w:val="00236BDE"/>
    <w:rsid w:val="002374C7"/>
    <w:rsid w:val="00237D9A"/>
    <w:rsid w:val="00240DDE"/>
    <w:rsid w:val="0024115D"/>
    <w:rsid w:val="002414CF"/>
    <w:rsid w:val="002415F4"/>
    <w:rsid w:val="00241939"/>
    <w:rsid w:val="00241F26"/>
    <w:rsid w:val="002425A3"/>
    <w:rsid w:val="00242D89"/>
    <w:rsid w:val="00242DE8"/>
    <w:rsid w:val="002440F3"/>
    <w:rsid w:val="0024431D"/>
    <w:rsid w:val="002449AC"/>
    <w:rsid w:val="00245A22"/>
    <w:rsid w:val="00245B8B"/>
    <w:rsid w:val="0024623A"/>
    <w:rsid w:val="002463FF"/>
    <w:rsid w:val="002466C9"/>
    <w:rsid w:val="00246854"/>
    <w:rsid w:val="00246B84"/>
    <w:rsid w:val="00246C13"/>
    <w:rsid w:val="00246E80"/>
    <w:rsid w:val="00246F10"/>
    <w:rsid w:val="002474AC"/>
    <w:rsid w:val="002476D3"/>
    <w:rsid w:val="00247B8C"/>
    <w:rsid w:val="00247CBE"/>
    <w:rsid w:val="00247F9E"/>
    <w:rsid w:val="0025022E"/>
    <w:rsid w:val="00250454"/>
    <w:rsid w:val="00250654"/>
    <w:rsid w:val="00250AE4"/>
    <w:rsid w:val="0025144B"/>
    <w:rsid w:val="002516FD"/>
    <w:rsid w:val="00251800"/>
    <w:rsid w:val="00251AE5"/>
    <w:rsid w:val="00251E00"/>
    <w:rsid w:val="0025252C"/>
    <w:rsid w:val="00253305"/>
    <w:rsid w:val="00253560"/>
    <w:rsid w:val="00253602"/>
    <w:rsid w:val="00253892"/>
    <w:rsid w:val="00253CE6"/>
    <w:rsid w:val="00254135"/>
    <w:rsid w:val="00254299"/>
    <w:rsid w:val="002542AC"/>
    <w:rsid w:val="0025440E"/>
    <w:rsid w:val="0025479C"/>
    <w:rsid w:val="002553A5"/>
    <w:rsid w:val="0025589A"/>
    <w:rsid w:val="00255A5A"/>
    <w:rsid w:val="0025600C"/>
    <w:rsid w:val="0025621D"/>
    <w:rsid w:val="002563C9"/>
    <w:rsid w:val="00256728"/>
    <w:rsid w:val="0025673B"/>
    <w:rsid w:val="00257102"/>
    <w:rsid w:val="002575BE"/>
    <w:rsid w:val="0025766D"/>
    <w:rsid w:val="002576A7"/>
    <w:rsid w:val="002576B7"/>
    <w:rsid w:val="002579E7"/>
    <w:rsid w:val="002602B8"/>
    <w:rsid w:val="002607D2"/>
    <w:rsid w:val="00260CE8"/>
    <w:rsid w:val="002615C9"/>
    <w:rsid w:val="00261A01"/>
    <w:rsid w:val="00261C2B"/>
    <w:rsid w:val="00261FDC"/>
    <w:rsid w:val="0026203C"/>
    <w:rsid w:val="002620F1"/>
    <w:rsid w:val="0026260C"/>
    <w:rsid w:val="00262724"/>
    <w:rsid w:val="00262851"/>
    <w:rsid w:val="00262A45"/>
    <w:rsid w:val="00263AC6"/>
    <w:rsid w:val="00263C77"/>
    <w:rsid w:val="002645F2"/>
    <w:rsid w:val="00264773"/>
    <w:rsid w:val="00264852"/>
    <w:rsid w:val="00264A3A"/>
    <w:rsid w:val="00264FCE"/>
    <w:rsid w:val="00265019"/>
    <w:rsid w:val="00265F99"/>
    <w:rsid w:val="0026622A"/>
    <w:rsid w:val="002671F2"/>
    <w:rsid w:val="00267373"/>
    <w:rsid w:val="00267750"/>
    <w:rsid w:val="0026795B"/>
    <w:rsid w:val="0027066A"/>
    <w:rsid w:val="002708D5"/>
    <w:rsid w:val="002709C0"/>
    <w:rsid w:val="002710AA"/>
    <w:rsid w:val="00271660"/>
    <w:rsid w:val="00271A9D"/>
    <w:rsid w:val="00271D15"/>
    <w:rsid w:val="00271D5A"/>
    <w:rsid w:val="0027227D"/>
    <w:rsid w:val="00273031"/>
    <w:rsid w:val="0027416F"/>
    <w:rsid w:val="00274821"/>
    <w:rsid w:val="00274A17"/>
    <w:rsid w:val="0027510E"/>
    <w:rsid w:val="0027530B"/>
    <w:rsid w:val="0027531D"/>
    <w:rsid w:val="00275935"/>
    <w:rsid w:val="00275A83"/>
    <w:rsid w:val="00275BE9"/>
    <w:rsid w:val="00275DF6"/>
    <w:rsid w:val="00275FF8"/>
    <w:rsid w:val="00276A4B"/>
    <w:rsid w:val="00276B6B"/>
    <w:rsid w:val="00276E6C"/>
    <w:rsid w:val="002771C2"/>
    <w:rsid w:val="0027730E"/>
    <w:rsid w:val="00277459"/>
    <w:rsid w:val="002775C0"/>
    <w:rsid w:val="002775D6"/>
    <w:rsid w:val="00277A7A"/>
    <w:rsid w:val="0028000B"/>
    <w:rsid w:val="00280024"/>
    <w:rsid w:val="002828AB"/>
    <w:rsid w:val="00282A67"/>
    <w:rsid w:val="00282FBF"/>
    <w:rsid w:val="00283C9F"/>
    <w:rsid w:val="00283E8F"/>
    <w:rsid w:val="00283F03"/>
    <w:rsid w:val="00284376"/>
    <w:rsid w:val="002848CA"/>
    <w:rsid w:val="00285730"/>
    <w:rsid w:val="00285DA2"/>
    <w:rsid w:val="002861A2"/>
    <w:rsid w:val="002863E7"/>
    <w:rsid w:val="0028666B"/>
    <w:rsid w:val="002866F0"/>
    <w:rsid w:val="0028674A"/>
    <w:rsid w:val="0028682F"/>
    <w:rsid w:val="0028687F"/>
    <w:rsid w:val="00286BA1"/>
    <w:rsid w:val="00286E0F"/>
    <w:rsid w:val="002872AA"/>
    <w:rsid w:val="00287342"/>
    <w:rsid w:val="002875C9"/>
    <w:rsid w:val="002877A3"/>
    <w:rsid w:val="002878DA"/>
    <w:rsid w:val="002879D8"/>
    <w:rsid w:val="00287E8C"/>
    <w:rsid w:val="002902E3"/>
    <w:rsid w:val="0029035F"/>
    <w:rsid w:val="0029079D"/>
    <w:rsid w:val="00290804"/>
    <w:rsid w:val="00290E2A"/>
    <w:rsid w:val="00291A25"/>
    <w:rsid w:val="00291FAA"/>
    <w:rsid w:val="00292254"/>
    <w:rsid w:val="00292363"/>
    <w:rsid w:val="0029263A"/>
    <w:rsid w:val="0029275F"/>
    <w:rsid w:val="00292862"/>
    <w:rsid w:val="00292A26"/>
    <w:rsid w:val="00292A71"/>
    <w:rsid w:val="00293096"/>
    <w:rsid w:val="00293A13"/>
    <w:rsid w:val="00293AAC"/>
    <w:rsid w:val="00293F9B"/>
    <w:rsid w:val="00294096"/>
    <w:rsid w:val="0029419D"/>
    <w:rsid w:val="002942C1"/>
    <w:rsid w:val="0029437D"/>
    <w:rsid w:val="00294560"/>
    <w:rsid w:val="00294878"/>
    <w:rsid w:val="002949DB"/>
    <w:rsid w:val="00294BAD"/>
    <w:rsid w:val="00294CB9"/>
    <w:rsid w:val="00294E9E"/>
    <w:rsid w:val="002955FD"/>
    <w:rsid w:val="00295714"/>
    <w:rsid w:val="0029595F"/>
    <w:rsid w:val="002959A1"/>
    <w:rsid w:val="0029690C"/>
    <w:rsid w:val="00296DA2"/>
    <w:rsid w:val="00296E6B"/>
    <w:rsid w:val="00296E7E"/>
    <w:rsid w:val="00296F61"/>
    <w:rsid w:val="002973C0"/>
    <w:rsid w:val="00297426"/>
    <w:rsid w:val="0029743C"/>
    <w:rsid w:val="0029764D"/>
    <w:rsid w:val="002979E6"/>
    <w:rsid w:val="00297AF9"/>
    <w:rsid w:val="00297BE3"/>
    <w:rsid w:val="00297E9F"/>
    <w:rsid w:val="002A1811"/>
    <w:rsid w:val="002A1A71"/>
    <w:rsid w:val="002A1E7E"/>
    <w:rsid w:val="002A1FEA"/>
    <w:rsid w:val="002A207F"/>
    <w:rsid w:val="002A21BF"/>
    <w:rsid w:val="002A27A8"/>
    <w:rsid w:val="002A2B9E"/>
    <w:rsid w:val="002A2D18"/>
    <w:rsid w:val="002A31D6"/>
    <w:rsid w:val="002A32A0"/>
    <w:rsid w:val="002A3324"/>
    <w:rsid w:val="002A3B46"/>
    <w:rsid w:val="002A3D04"/>
    <w:rsid w:val="002A437E"/>
    <w:rsid w:val="002A4831"/>
    <w:rsid w:val="002A4A67"/>
    <w:rsid w:val="002A5236"/>
    <w:rsid w:val="002A5B08"/>
    <w:rsid w:val="002A5F20"/>
    <w:rsid w:val="002A629F"/>
    <w:rsid w:val="002A692E"/>
    <w:rsid w:val="002A6B62"/>
    <w:rsid w:val="002A6BE3"/>
    <w:rsid w:val="002A7777"/>
    <w:rsid w:val="002A77E8"/>
    <w:rsid w:val="002A7C47"/>
    <w:rsid w:val="002B0203"/>
    <w:rsid w:val="002B026D"/>
    <w:rsid w:val="002B0384"/>
    <w:rsid w:val="002B0964"/>
    <w:rsid w:val="002B0B09"/>
    <w:rsid w:val="002B0D03"/>
    <w:rsid w:val="002B0EB7"/>
    <w:rsid w:val="002B152A"/>
    <w:rsid w:val="002B1A0F"/>
    <w:rsid w:val="002B1CA9"/>
    <w:rsid w:val="002B2D74"/>
    <w:rsid w:val="002B3724"/>
    <w:rsid w:val="002B3AD9"/>
    <w:rsid w:val="002B3B35"/>
    <w:rsid w:val="002B3B61"/>
    <w:rsid w:val="002B3D1B"/>
    <w:rsid w:val="002B4120"/>
    <w:rsid w:val="002B492F"/>
    <w:rsid w:val="002B4A27"/>
    <w:rsid w:val="002B4C44"/>
    <w:rsid w:val="002B4CF7"/>
    <w:rsid w:val="002B5367"/>
    <w:rsid w:val="002B57DC"/>
    <w:rsid w:val="002B6705"/>
    <w:rsid w:val="002B6F5C"/>
    <w:rsid w:val="002B7688"/>
    <w:rsid w:val="002B77FA"/>
    <w:rsid w:val="002C0984"/>
    <w:rsid w:val="002C1545"/>
    <w:rsid w:val="002C200A"/>
    <w:rsid w:val="002C26D0"/>
    <w:rsid w:val="002C2BE7"/>
    <w:rsid w:val="002C2FB9"/>
    <w:rsid w:val="002C3100"/>
    <w:rsid w:val="002C324D"/>
    <w:rsid w:val="002C3283"/>
    <w:rsid w:val="002C39FC"/>
    <w:rsid w:val="002C3F5C"/>
    <w:rsid w:val="002C40BF"/>
    <w:rsid w:val="002C41D0"/>
    <w:rsid w:val="002C4251"/>
    <w:rsid w:val="002C4367"/>
    <w:rsid w:val="002C48E3"/>
    <w:rsid w:val="002C4C52"/>
    <w:rsid w:val="002C4D6C"/>
    <w:rsid w:val="002C523B"/>
    <w:rsid w:val="002C56C6"/>
    <w:rsid w:val="002C59E4"/>
    <w:rsid w:val="002C5DAD"/>
    <w:rsid w:val="002C5E68"/>
    <w:rsid w:val="002C67C1"/>
    <w:rsid w:val="002C6827"/>
    <w:rsid w:val="002C7698"/>
    <w:rsid w:val="002C7E8E"/>
    <w:rsid w:val="002D0182"/>
    <w:rsid w:val="002D06FB"/>
    <w:rsid w:val="002D08CD"/>
    <w:rsid w:val="002D0906"/>
    <w:rsid w:val="002D0ADE"/>
    <w:rsid w:val="002D0BC7"/>
    <w:rsid w:val="002D10EE"/>
    <w:rsid w:val="002D1D90"/>
    <w:rsid w:val="002D2422"/>
    <w:rsid w:val="002D2C16"/>
    <w:rsid w:val="002D2C2F"/>
    <w:rsid w:val="002D2D66"/>
    <w:rsid w:val="002D2FAC"/>
    <w:rsid w:val="002D33C1"/>
    <w:rsid w:val="002D369D"/>
    <w:rsid w:val="002D3FC8"/>
    <w:rsid w:val="002D428A"/>
    <w:rsid w:val="002D43F8"/>
    <w:rsid w:val="002D4556"/>
    <w:rsid w:val="002D49E1"/>
    <w:rsid w:val="002D4A85"/>
    <w:rsid w:val="002D4BC5"/>
    <w:rsid w:val="002D4D3C"/>
    <w:rsid w:val="002D4F93"/>
    <w:rsid w:val="002D5B19"/>
    <w:rsid w:val="002D5B9C"/>
    <w:rsid w:val="002D5C77"/>
    <w:rsid w:val="002D65E9"/>
    <w:rsid w:val="002D6973"/>
    <w:rsid w:val="002D6DB2"/>
    <w:rsid w:val="002D7380"/>
    <w:rsid w:val="002D75AD"/>
    <w:rsid w:val="002E0349"/>
    <w:rsid w:val="002E0599"/>
    <w:rsid w:val="002E0B1C"/>
    <w:rsid w:val="002E0DC5"/>
    <w:rsid w:val="002E0E05"/>
    <w:rsid w:val="002E1335"/>
    <w:rsid w:val="002E13BA"/>
    <w:rsid w:val="002E1656"/>
    <w:rsid w:val="002E1840"/>
    <w:rsid w:val="002E1D3D"/>
    <w:rsid w:val="002E1D74"/>
    <w:rsid w:val="002E2AE8"/>
    <w:rsid w:val="002E2F5E"/>
    <w:rsid w:val="002E3305"/>
    <w:rsid w:val="002E384C"/>
    <w:rsid w:val="002E39CE"/>
    <w:rsid w:val="002E3B14"/>
    <w:rsid w:val="002E3CC6"/>
    <w:rsid w:val="002E43F0"/>
    <w:rsid w:val="002E4B7C"/>
    <w:rsid w:val="002E4BE6"/>
    <w:rsid w:val="002E50C0"/>
    <w:rsid w:val="002E5307"/>
    <w:rsid w:val="002E5851"/>
    <w:rsid w:val="002E5CBE"/>
    <w:rsid w:val="002E64DA"/>
    <w:rsid w:val="002E6781"/>
    <w:rsid w:val="002E6AA8"/>
    <w:rsid w:val="002E703F"/>
    <w:rsid w:val="002E7297"/>
    <w:rsid w:val="002E748C"/>
    <w:rsid w:val="002E74DB"/>
    <w:rsid w:val="002E7642"/>
    <w:rsid w:val="002E7FBE"/>
    <w:rsid w:val="002F08CE"/>
    <w:rsid w:val="002F1207"/>
    <w:rsid w:val="002F1452"/>
    <w:rsid w:val="002F14DB"/>
    <w:rsid w:val="002F18C0"/>
    <w:rsid w:val="002F1A3B"/>
    <w:rsid w:val="002F1BCB"/>
    <w:rsid w:val="002F22B9"/>
    <w:rsid w:val="002F2454"/>
    <w:rsid w:val="002F2CBE"/>
    <w:rsid w:val="002F3666"/>
    <w:rsid w:val="002F45F1"/>
    <w:rsid w:val="002F46CE"/>
    <w:rsid w:val="002F4830"/>
    <w:rsid w:val="002F498A"/>
    <w:rsid w:val="002F4BA3"/>
    <w:rsid w:val="002F4D0E"/>
    <w:rsid w:val="002F53D7"/>
    <w:rsid w:val="002F54F9"/>
    <w:rsid w:val="002F64E3"/>
    <w:rsid w:val="002F6513"/>
    <w:rsid w:val="002F6577"/>
    <w:rsid w:val="002F68ED"/>
    <w:rsid w:val="002F6928"/>
    <w:rsid w:val="002F6B4B"/>
    <w:rsid w:val="002F71EF"/>
    <w:rsid w:val="002F7247"/>
    <w:rsid w:val="002F7372"/>
    <w:rsid w:val="002F75D8"/>
    <w:rsid w:val="002F7A03"/>
    <w:rsid w:val="002F7FC7"/>
    <w:rsid w:val="003001B7"/>
    <w:rsid w:val="00300623"/>
    <w:rsid w:val="003007A5"/>
    <w:rsid w:val="00300A4E"/>
    <w:rsid w:val="0030112F"/>
    <w:rsid w:val="0030118F"/>
    <w:rsid w:val="0030146E"/>
    <w:rsid w:val="00301948"/>
    <w:rsid w:val="00301D6B"/>
    <w:rsid w:val="00301F25"/>
    <w:rsid w:val="0030236D"/>
    <w:rsid w:val="00303681"/>
    <w:rsid w:val="003037F7"/>
    <w:rsid w:val="00303FA8"/>
    <w:rsid w:val="00304479"/>
    <w:rsid w:val="00304BBA"/>
    <w:rsid w:val="00304C67"/>
    <w:rsid w:val="00304CA7"/>
    <w:rsid w:val="00304F7C"/>
    <w:rsid w:val="00305A61"/>
    <w:rsid w:val="00305F8F"/>
    <w:rsid w:val="003061BE"/>
    <w:rsid w:val="00306600"/>
    <w:rsid w:val="00306BBA"/>
    <w:rsid w:val="00306FDF"/>
    <w:rsid w:val="003073B5"/>
    <w:rsid w:val="00307C03"/>
    <w:rsid w:val="0031048E"/>
    <w:rsid w:val="003108DC"/>
    <w:rsid w:val="00310A08"/>
    <w:rsid w:val="00310A64"/>
    <w:rsid w:val="00311141"/>
    <w:rsid w:val="003117CC"/>
    <w:rsid w:val="00311867"/>
    <w:rsid w:val="00311904"/>
    <w:rsid w:val="00312557"/>
    <w:rsid w:val="003129C1"/>
    <w:rsid w:val="003130F0"/>
    <w:rsid w:val="0031361F"/>
    <w:rsid w:val="0031367F"/>
    <w:rsid w:val="00313725"/>
    <w:rsid w:val="00313AE4"/>
    <w:rsid w:val="00313C78"/>
    <w:rsid w:val="00313E42"/>
    <w:rsid w:val="00314101"/>
    <w:rsid w:val="0031431D"/>
    <w:rsid w:val="003144F4"/>
    <w:rsid w:val="00314D5C"/>
    <w:rsid w:val="00314ECE"/>
    <w:rsid w:val="00315172"/>
    <w:rsid w:val="00315733"/>
    <w:rsid w:val="00315928"/>
    <w:rsid w:val="00315BAA"/>
    <w:rsid w:val="00315BD7"/>
    <w:rsid w:val="00315C42"/>
    <w:rsid w:val="00315F0E"/>
    <w:rsid w:val="003161F7"/>
    <w:rsid w:val="00316255"/>
    <w:rsid w:val="00317066"/>
    <w:rsid w:val="00317889"/>
    <w:rsid w:val="00317982"/>
    <w:rsid w:val="003179B8"/>
    <w:rsid w:val="00317DC2"/>
    <w:rsid w:val="003203A0"/>
    <w:rsid w:val="00320791"/>
    <w:rsid w:val="00321070"/>
    <w:rsid w:val="0032196A"/>
    <w:rsid w:val="00321CE2"/>
    <w:rsid w:val="00322497"/>
    <w:rsid w:val="003224CD"/>
    <w:rsid w:val="0032250F"/>
    <w:rsid w:val="003225BF"/>
    <w:rsid w:val="00322D39"/>
    <w:rsid w:val="00323283"/>
    <w:rsid w:val="00323FCA"/>
    <w:rsid w:val="0032435D"/>
    <w:rsid w:val="003244CD"/>
    <w:rsid w:val="00324880"/>
    <w:rsid w:val="00324979"/>
    <w:rsid w:val="003251DF"/>
    <w:rsid w:val="00325C5D"/>
    <w:rsid w:val="00325C78"/>
    <w:rsid w:val="00325CDB"/>
    <w:rsid w:val="00326039"/>
    <w:rsid w:val="00326FFE"/>
    <w:rsid w:val="003277BC"/>
    <w:rsid w:val="00330295"/>
    <w:rsid w:val="00330CF1"/>
    <w:rsid w:val="00330FAB"/>
    <w:rsid w:val="00331363"/>
    <w:rsid w:val="00331420"/>
    <w:rsid w:val="00331E5D"/>
    <w:rsid w:val="003320F1"/>
    <w:rsid w:val="0033244E"/>
    <w:rsid w:val="0033257B"/>
    <w:rsid w:val="00332963"/>
    <w:rsid w:val="00332C09"/>
    <w:rsid w:val="00332C16"/>
    <w:rsid w:val="003337FC"/>
    <w:rsid w:val="00333893"/>
    <w:rsid w:val="00333BC0"/>
    <w:rsid w:val="00333D21"/>
    <w:rsid w:val="00334070"/>
    <w:rsid w:val="00334317"/>
    <w:rsid w:val="003349F2"/>
    <w:rsid w:val="00334BDF"/>
    <w:rsid w:val="0033524B"/>
    <w:rsid w:val="00335864"/>
    <w:rsid w:val="00335D60"/>
    <w:rsid w:val="003360CC"/>
    <w:rsid w:val="003369C2"/>
    <w:rsid w:val="00336B6F"/>
    <w:rsid w:val="00336D45"/>
    <w:rsid w:val="00337031"/>
    <w:rsid w:val="00337164"/>
    <w:rsid w:val="003376D2"/>
    <w:rsid w:val="00337B20"/>
    <w:rsid w:val="00337B88"/>
    <w:rsid w:val="00337F07"/>
    <w:rsid w:val="00340195"/>
    <w:rsid w:val="00340436"/>
    <w:rsid w:val="00340792"/>
    <w:rsid w:val="00340946"/>
    <w:rsid w:val="00340FD4"/>
    <w:rsid w:val="00341284"/>
    <w:rsid w:val="003412A8"/>
    <w:rsid w:val="0034130B"/>
    <w:rsid w:val="00341D5D"/>
    <w:rsid w:val="0034241D"/>
    <w:rsid w:val="003429C4"/>
    <w:rsid w:val="003431C4"/>
    <w:rsid w:val="0034356B"/>
    <w:rsid w:val="003435D9"/>
    <w:rsid w:val="003435DC"/>
    <w:rsid w:val="00343B09"/>
    <w:rsid w:val="00343DEE"/>
    <w:rsid w:val="00343FA0"/>
    <w:rsid w:val="003444E7"/>
    <w:rsid w:val="00344C93"/>
    <w:rsid w:val="00344CF7"/>
    <w:rsid w:val="00344D82"/>
    <w:rsid w:val="00345169"/>
    <w:rsid w:val="0034582A"/>
    <w:rsid w:val="0034584C"/>
    <w:rsid w:val="003459C5"/>
    <w:rsid w:val="00346250"/>
    <w:rsid w:val="003462EB"/>
    <w:rsid w:val="003465DB"/>
    <w:rsid w:val="003469E7"/>
    <w:rsid w:val="00346A4D"/>
    <w:rsid w:val="00346DD5"/>
    <w:rsid w:val="00347200"/>
    <w:rsid w:val="00347606"/>
    <w:rsid w:val="00347B54"/>
    <w:rsid w:val="00347DA9"/>
    <w:rsid w:val="00350158"/>
    <w:rsid w:val="00350A14"/>
    <w:rsid w:val="003514BC"/>
    <w:rsid w:val="003519B3"/>
    <w:rsid w:val="00351B7D"/>
    <w:rsid w:val="0035216A"/>
    <w:rsid w:val="00352B70"/>
    <w:rsid w:val="00353141"/>
    <w:rsid w:val="00353405"/>
    <w:rsid w:val="0035374E"/>
    <w:rsid w:val="0035381A"/>
    <w:rsid w:val="00353835"/>
    <w:rsid w:val="00353E02"/>
    <w:rsid w:val="00353FCA"/>
    <w:rsid w:val="0035434A"/>
    <w:rsid w:val="003552C3"/>
    <w:rsid w:val="00355DC9"/>
    <w:rsid w:val="00356325"/>
    <w:rsid w:val="00356354"/>
    <w:rsid w:val="00356722"/>
    <w:rsid w:val="00356BF9"/>
    <w:rsid w:val="0035753E"/>
    <w:rsid w:val="00357662"/>
    <w:rsid w:val="00357757"/>
    <w:rsid w:val="00357B6B"/>
    <w:rsid w:val="00357E08"/>
    <w:rsid w:val="0036015B"/>
    <w:rsid w:val="003605E8"/>
    <w:rsid w:val="0036092A"/>
    <w:rsid w:val="00361239"/>
    <w:rsid w:val="003613F3"/>
    <w:rsid w:val="00361DA8"/>
    <w:rsid w:val="003626D0"/>
    <w:rsid w:val="003629DA"/>
    <w:rsid w:val="00362A23"/>
    <w:rsid w:val="00362A53"/>
    <w:rsid w:val="00363613"/>
    <w:rsid w:val="00363B4B"/>
    <w:rsid w:val="00363F54"/>
    <w:rsid w:val="00364144"/>
    <w:rsid w:val="003642BF"/>
    <w:rsid w:val="003651A5"/>
    <w:rsid w:val="003657C6"/>
    <w:rsid w:val="00365C32"/>
    <w:rsid w:val="00365CCA"/>
    <w:rsid w:val="0036615E"/>
    <w:rsid w:val="0036618E"/>
    <w:rsid w:val="00366670"/>
    <w:rsid w:val="003667B3"/>
    <w:rsid w:val="003669D5"/>
    <w:rsid w:val="00366BED"/>
    <w:rsid w:val="00366E6A"/>
    <w:rsid w:val="00366EC9"/>
    <w:rsid w:val="00367914"/>
    <w:rsid w:val="00367AC6"/>
    <w:rsid w:val="00367CD5"/>
    <w:rsid w:val="00367FE3"/>
    <w:rsid w:val="00370490"/>
    <w:rsid w:val="0037056E"/>
    <w:rsid w:val="0037080E"/>
    <w:rsid w:val="003709C7"/>
    <w:rsid w:val="00370B6E"/>
    <w:rsid w:val="00370E04"/>
    <w:rsid w:val="00371189"/>
    <w:rsid w:val="003715AB"/>
    <w:rsid w:val="00371A00"/>
    <w:rsid w:val="00371FC0"/>
    <w:rsid w:val="003726D0"/>
    <w:rsid w:val="003726D5"/>
    <w:rsid w:val="003726EF"/>
    <w:rsid w:val="00372B1C"/>
    <w:rsid w:val="00373149"/>
    <w:rsid w:val="0037332F"/>
    <w:rsid w:val="00373D8C"/>
    <w:rsid w:val="0037420A"/>
    <w:rsid w:val="003744A5"/>
    <w:rsid w:val="00374B9A"/>
    <w:rsid w:val="00374E6B"/>
    <w:rsid w:val="00375724"/>
    <w:rsid w:val="00375867"/>
    <w:rsid w:val="00375BB4"/>
    <w:rsid w:val="0037619A"/>
    <w:rsid w:val="003761D9"/>
    <w:rsid w:val="0037680B"/>
    <w:rsid w:val="00376C2E"/>
    <w:rsid w:val="00376F20"/>
    <w:rsid w:val="003776F4"/>
    <w:rsid w:val="00377705"/>
    <w:rsid w:val="00377BCA"/>
    <w:rsid w:val="00377F1D"/>
    <w:rsid w:val="00377F33"/>
    <w:rsid w:val="003801DB"/>
    <w:rsid w:val="00380411"/>
    <w:rsid w:val="00380F16"/>
    <w:rsid w:val="00381D1D"/>
    <w:rsid w:val="003820C2"/>
    <w:rsid w:val="003821C4"/>
    <w:rsid w:val="0038250D"/>
    <w:rsid w:val="003825E0"/>
    <w:rsid w:val="00382A5D"/>
    <w:rsid w:val="00382CD9"/>
    <w:rsid w:val="003834A0"/>
    <w:rsid w:val="00383A8B"/>
    <w:rsid w:val="00383AA2"/>
    <w:rsid w:val="00383DF4"/>
    <w:rsid w:val="00383F61"/>
    <w:rsid w:val="00384051"/>
    <w:rsid w:val="003844B5"/>
    <w:rsid w:val="00385271"/>
    <w:rsid w:val="003855AE"/>
    <w:rsid w:val="00385950"/>
    <w:rsid w:val="00385A08"/>
    <w:rsid w:val="00385AD9"/>
    <w:rsid w:val="00385EA7"/>
    <w:rsid w:val="00385FAE"/>
    <w:rsid w:val="0038679F"/>
    <w:rsid w:val="0038684D"/>
    <w:rsid w:val="00386958"/>
    <w:rsid w:val="00386C04"/>
    <w:rsid w:val="00387540"/>
    <w:rsid w:val="00390014"/>
    <w:rsid w:val="00390207"/>
    <w:rsid w:val="0039068A"/>
    <w:rsid w:val="00390C21"/>
    <w:rsid w:val="00390F8B"/>
    <w:rsid w:val="003921AC"/>
    <w:rsid w:val="00392840"/>
    <w:rsid w:val="00392867"/>
    <w:rsid w:val="00392A29"/>
    <w:rsid w:val="0039372B"/>
    <w:rsid w:val="00393F02"/>
    <w:rsid w:val="00393FC6"/>
    <w:rsid w:val="00394038"/>
    <w:rsid w:val="003943C7"/>
    <w:rsid w:val="003948A6"/>
    <w:rsid w:val="003950C9"/>
    <w:rsid w:val="003960A0"/>
    <w:rsid w:val="00396692"/>
    <w:rsid w:val="00397587"/>
    <w:rsid w:val="00397643"/>
    <w:rsid w:val="003A0549"/>
    <w:rsid w:val="003A05A9"/>
    <w:rsid w:val="003A0733"/>
    <w:rsid w:val="003A0E00"/>
    <w:rsid w:val="003A126B"/>
    <w:rsid w:val="003A1807"/>
    <w:rsid w:val="003A19A6"/>
    <w:rsid w:val="003A1BAD"/>
    <w:rsid w:val="003A1CB3"/>
    <w:rsid w:val="003A22F4"/>
    <w:rsid w:val="003A25BD"/>
    <w:rsid w:val="003A27C6"/>
    <w:rsid w:val="003A30BB"/>
    <w:rsid w:val="003A36B3"/>
    <w:rsid w:val="003A4268"/>
    <w:rsid w:val="003A46D0"/>
    <w:rsid w:val="003A47C5"/>
    <w:rsid w:val="003A4987"/>
    <w:rsid w:val="003A4DBB"/>
    <w:rsid w:val="003A54B6"/>
    <w:rsid w:val="003A5C41"/>
    <w:rsid w:val="003A6259"/>
    <w:rsid w:val="003A6BF8"/>
    <w:rsid w:val="003A749A"/>
    <w:rsid w:val="003A79AB"/>
    <w:rsid w:val="003B0C6D"/>
    <w:rsid w:val="003B1222"/>
    <w:rsid w:val="003B189B"/>
    <w:rsid w:val="003B1EBE"/>
    <w:rsid w:val="003B2081"/>
    <w:rsid w:val="003B24CB"/>
    <w:rsid w:val="003B3ACC"/>
    <w:rsid w:val="003B41B1"/>
    <w:rsid w:val="003B4782"/>
    <w:rsid w:val="003B6416"/>
    <w:rsid w:val="003B6D86"/>
    <w:rsid w:val="003B74A9"/>
    <w:rsid w:val="003B74B2"/>
    <w:rsid w:val="003B7548"/>
    <w:rsid w:val="003B7684"/>
    <w:rsid w:val="003B7B06"/>
    <w:rsid w:val="003B7E9B"/>
    <w:rsid w:val="003C00FA"/>
    <w:rsid w:val="003C037D"/>
    <w:rsid w:val="003C0B30"/>
    <w:rsid w:val="003C1017"/>
    <w:rsid w:val="003C1766"/>
    <w:rsid w:val="003C1C3F"/>
    <w:rsid w:val="003C2128"/>
    <w:rsid w:val="003C262F"/>
    <w:rsid w:val="003C2BC1"/>
    <w:rsid w:val="003C35B6"/>
    <w:rsid w:val="003C37E1"/>
    <w:rsid w:val="003C38E8"/>
    <w:rsid w:val="003C4076"/>
    <w:rsid w:val="003C4912"/>
    <w:rsid w:val="003C4BF4"/>
    <w:rsid w:val="003C4C77"/>
    <w:rsid w:val="003C4CA5"/>
    <w:rsid w:val="003C5A99"/>
    <w:rsid w:val="003C6746"/>
    <w:rsid w:val="003C6CC1"/>
    <w:rsid w:val="003C731E"/>
    <w:rsid w:val="003C78CE"/>
    <w:rsid w:val="003C7B94"/>
    <w:rsid w:val="003C7CFC"/>
    <w:rsid w:val="003C7FAF"/>
    <w:rsid w:val="003D0DB0"/>
    <w:rsid w:val="003D14A0"/>
    <w:rsid w:val="003D1652"/>
    <w:rsid w:val="003D1B01"/>
    <w:rsid w:val="003D1D01"/>
    <w:rsid w:val="003D1F2D"/>
    <w:rsid w:val="003D2D82"/>
    <w:rsid w:val="003D399E"/>
    <w:rsid w:val="003D434F"/>
    <w:rsid w:val="003D46CF"/>
    <w:rsid w:val="003D539F"/>
    <w:rsid w:val="003D6108"/>
    <w:rsid w:val="003D66DF"/>
    <w:rsid w:val="003D6837"/>
    <w:rsid w:val="003D7468"/>
    <w:rsid w:val="003D79AF"/>
    <w:rsid w:val="003E022E"/>
    <w:rsid w:val="003E07FC"/>
    <w:rsid w:val="003E113B"/>
    <w:rsid w:val="003E13C5"/>
    <w:rsid w:val="003E14BB"/>
    <w:rsid w:val="003E15D5"/>
    <w:rsid w:val="003E28DC"/>
    <w:rsid w:val="003E2EEB"/>
    <w:rsid w:val="003E3409"/>
    <w:rsid w:val="003E38FA"/>
    <w:rsid w:val="003E475F"/>
    <w:rsid w:val="003E4925"/>
    <w:rsid w:val="003E4EFD"/>
    <w:rsid w:val="003E5C28"/>
    <w:rsid w:val="003E5CE0"/>
    <w:rsid w:val="003E6132"/>
    <w:rsid w:val="003E7731"/>
    <w:rsid w:val="003E7C74"/>
    <w:rsid w:val="003E7CE8"/>
    <w:rsid w:val="003E7E22"/>
    <w:rsid w:val="003F0B9E"/>
    <w:rsid w:val="003F105D"/>
    <w:rsid w:val="003F18BE"/>
    <w:rsid w:val="003F2623"/>
    <w:rsid w:val="003F27FF"/>
    <w:rsid w:val="003F2B91"/>
    <w:rsid w:val="003F33AD"/>
    <w:rsid w:val="003F3408"/>
    <w:rsid w:val="003F3681"/>
    <w:rsid w:val="003F3A46"/>
    <w:rsid w:val="003F3D17"/>
    <w:rsid w:val="003F3FC3"/>
    <w:rsid w:val="003F495D"/>
    <w:rsid w:val="003F4BA5"/>
    <w:rsid w:val="003F4DAA"/>
    <w:rsid w:val="003F55B6"/>
    <w:rsid w:val="003F5795"/>
    <w:rsid w:val="003F660A"/>
    <w:rsid w:val="003F66AB"/>
    <w:rsid w:val="003F6A67"/>
    <w:rsid w:val="003F6D42"/>
    <w:rsid w:val="003F7B1E"/>
    <w:rsid w:val="003F7C7E"/>
    <w:rsid w:val="004008B3"/>
    <w:rsid w:val="00400975"/>
    <w:rsid w:val="00400EAD"/>
    <w:rsid w:val="00400F64"/>
    <w:rsid w:val="00401649"/>
    <w:rsid w:val="004018DF"/>
    <w:rsid w:val="00401A75"/>
    <w:rsid w:val="00401BBB"/>
    <w:rsid w:val="00401CCE"/>
    <w:rsid w:val="00401E5E"/>
    <w:rsid w:val="00402016"/>
    <w:rsid w:val="0040204F"/>
    <w:rsid w:val="0040247B"/>
    <w:rsid w:val="00402C15"/>
    <w:rsid w:val="00402ED2"/>
    <w:rsid w:val="004031ED"/>
    <w:rsid w:val="00403241"/>
    <w:rsid w:val="00403440"/>
    <w:rsid w:val="0040381C"/>
    <w:rsid w:val="00403911"/>
    <w:rsid w:val="00403C44"/>
    <w:rsid w:val="00404314"/>
    <w:rsid w:val="00404843"/>
    <w:rsid w:val="004060CD"/>
    <w:rsid w:val="004062A5"/>
    <w:rsid w:val="00406337"/>
    <w:rsid w:val="00406885"/>
    <w:rsid w:val="00406AD5"/>
    <w:rsid w:val="00407080"/>
    <w:rsid w:val="004072EF"/>
    <w:rsid w:val="00407438"/>
    <w:rsid w:val="004074C7"/>
    <w:rsid w:val="004078C6"/>
    <w:rsid w:val="0041070C"/>
    <w:rsid w:val="0041092C"/>
    <w:rsid w:val="00410B3C"/>
    <w:rsid w:val="0041111D"/>
    <w:rsid w:val="004114A5"/>
    <w:rsid w:val="00411563"/>
    <w:rsid w:val="00411EAC"/>
    <w:rsid w:val="00411F22"/>
    <w:rsid w:val="00412177"/>
    <w:rsid w:val="00412BB8"/>
    <w:rsid w:val="004135B8"/>
    <w:rsid w:val="00413E17"/>
    <w:rsid w:val="00413F74"/>
    <w:rsid w:val="004144EE"/>
    <w:rsid w:val="00414791"/>
    <w:rsid w:val="00414806"/>
    <w:rsid w:val="0041599F"/>
    <w:rsid w:val="00415A21"/>
    <w:rsid w:val="00416F94"/>
    <w:rsid w:val="00417068"/>
    <w:rsid w:val="00417470"/>
    <w:rsid w:val="004178F2"/>
    <w:rsid w:val="00417D58"/>
    <w:rsid w:val="004205FC"/>
    <w:rsid w:val="004210A7"/>
    <w:rsid w:val="0042152F"/>
    <w:rsid w:val="00421B7B"/>
    <w:rsid w:val="00421CD7"/>
    <w:rsid w:val="004222D4"/>
    <w:rsid w:val="0042232F"/>
    <w:rsid w:val="00422D9E"/>
    <w:rsid w:val="00423159"/>
    <w:rsid w:val="00423A9C"/>
    <w:rsid w:val="00423AC6"/>
    <w:rsid w:val="004240D8"/>
    <w:rsid w:val="004241E0"/>
    <w:rsid w:val="004243BC"/>
    <w:rsid w:val="00424A02"/>
    <w:rsid w:val="00424B4A"/>
    <w:rsid w:val="00424C9F"/>
    <w:rsid w:val="00424E3F"/>
    <w:rsid w:val="00425075"/>
    <w:rsid w:val="004250E8"/>
    <w:rsid w:val="00425173"/>
    <w:rsid w:val="00425618"/>
    <w:rsid w:val="00425B03"/>
    <w:rsid w:val="00425F16"/>
    <w:rsid w:val="00426019"/>
    <w:rsid w:val="00426505"/>
    <w:rsid w:val="004265FF"/>
    <w:rsid w:val="00426AA1"/>
    <w:rsid w:val="00427307"/>
    <w:rsid w:val="0042732F"/>
    <w:rsid w:val="004273A1"/>
    <w:rsid w:val="00427A54"/>
    <w:rsid w:val="00427DCA"/>
    <w:rsid w:val="004303A4"/>
    <w:rsid w:val="00430987"/>
    <w:rsid w:val="00430B22"/>
    <w:rsid w:val="0043147C"/>
    <w:rsid w:val="0043181B"/>
    <w:rsid w:val="00432349"/>
    <w:rsid w:val="00432428"/>
    <w:rsid w:val="00432B0A"/>
    <w:rsid w:val="00432C92"/>
    <w:rsid w:val="004331E6"/>
    <w:rsid w:val="0043389C"/>
    <w:rsid w:val="004338C1"/>
    <w:rsid w:val="00433F90"/>
    <w:rsid w:val="00434226"/>
    <w:rsid w:val="00434783"/>
    <w:rsid w:val="004348D3"/>
    <w:rsid w:val="00434E02"/>
    <w:rsid w:val="00434E14"/>
    <w:rsid w:val="004355C9"/>
    <w:rsid w:val="004356A7"/>
    <w:rsid w:val="00435833"/>
    <w:rsid w:val="004360E7"/>
    <w:rsid w:val="0043683B"/>
    <w:rsid w:val="00437117"/>
    <w:rsid w:val="004372DF"/>
    <w:rsid w:val="00437509"/>
    <w:rsid w:val="00437B38"/>
    <w:rsid w:val="0044007C"/>
    <w:rsid w:val="00440106"/>
    <w:rsid w:val="00440640"/>
    <w:rsid w:val="00440692"/>
    <w:rsid w:val="00440AEA"/>
    <w:rsid w:val="0044129B"/>
    <w:rsid w:val="004412DE"/>
    <w:rsid w:val="00441938"/>
    <w:rsid w:val="00441AB3"/>
    <w:rsid w:val="00441F6E"/>
    <w:rsid w:val="00442005"/>
    <w:rsid w:val="004423D7"/>
    <w:rsid w:val="00442586"/>
    <w:rsid w:val="00442E6F"/>
    <w:rsid w:val="004434A5"/>
    <w:rsid w:val="0044386A"/>
    <w:rsid w:val="0044398D"/>
    <w:rsid w:val="0044407F"/>
    <w:rsid w:val="0044452A"/>
    <w:rsid w:val="004446C6"/>
    <w:rsid w:val="0044496C"/>
    <w:rsid w:val="00444A2B"/>
    <w:rsid w:val="00444BDD"/>
    <w:rsid w:val="0044638D"/>
    <w:rsid w:val="00446BF8"/>
    <w:rsid w:val="00446ECF"/>
    <w:rsid w:val="00447232"/>
    <w:rsid w:val="00447374"/>
    <w:rsid w:val="00447411"/>
    <w:rsid w:val="004474D5"/>
    <w:rsid w:val="00447611"/>
    <w:rsid w:val="00447C0E"/>
    <w:rsid w:val="004507E0"/>
    <w:rsid w:val="004517B2"/>
    <w:rsid w:val="00451981"/>
    <w:rsid w:val="00451EAE"/>
    <w:rsid w:val="00451F43"/>
    <w:rsid w:val="0045200C"/>
    <w:rsid w:val="0045246C"/>
    <w:rsid w:val="00452503"/>
    <w:rsid w:val="0045265E"/>
    <w:rsid w:val="004526FB"/>
    <w:rsid w:val="00452E91"/>
    <w:rsid w:val="00452FEA"/>
    <w:rsid w:val="004538B8"/>
    <w:rsid w:val="004544BC"/>
    <w:rsid w:val="00454DA5"/>
    <w:rsid w:val="0045508B"/>
    <w:rsid w:val="00455276"/>
    <w:rsid w:val="00455335"/>
    <w:rsid w:val="004554B9"/>
    <w:rsid w:val="004558C7"/>
    <w:rsid w:val="00455BFE"/>
    <w:rsid w:val="00455C2A"/>
    <w:rsid w:val="00455C9B"/>
    <w:rsid w:val="00455FF9"/>
    <w:rsid w:val="00456837"/>
    <w:rsid w:val="00456C43"/>
    <w:rsid w:val="00457555"/>
    <w:rsid w:val="0045789F"/>
    <w:rsid w:val="00457C0B"/>
    <w:rsid w:val="00457F78"/>
    <w:rsid w:val="00460162"/>
    <w:rsid w:val="00460386"/>
    <w:rsid w:val="0046065C"/>
    <w:rsid w:val="00460B0A"/>
    <w:rsid w:val="00460C51"/>
    <w:rsid w:val="00461080"/>
    <w:rsid w:val="0046193E"/>
    <w:rsid w:val="0046195D"/>
    <w:rsid w:val="00461B2D"/>
    <w:rsid w:val="00461EFD"/>
    <w:rsid w:val="00462284"/>
    <w:rsid w:val="004626FA"/>
    <w:rsid w:val="004627A7"/>
    <w:rsid w:val="0046313B"/>
    <w:rsid w:val="00463309"/>
    <w:rsid w:val="004633B5"/>
    <w:rsid w:val="0046390F"/>
    <w:rsid w:val="00463F47"/>
    <w:rsid w:val="0046423E"/>
    <w:rsid w:val="0046434F"/>
    <w:rsid w:val="00464CD4"/>
    <w:rsid w:val="004651FB"/>
    <w:rsid w:val="004656A7"/>
    <w:rsid w:val="00465D10"/>
    <w:rsid w:val="00465E4A"/>
    <w:rsid w:val="004668D1"/>
    <w:rsid w:val="0046734A"/>
    <w:rsid w:val="00467A8E"/>
    <w:rsid w:val="00467F2D"/>
    <w:rsid w:val="004701D1"/>
    <w:rsid w:val="00470206"/>
    <w:rsid w:val="00470618"/>
    <w:rsid w:val="00470786"/>
    <w:rsid w:val="00470F14"/>
    <w:rsid w:val="00471444"/>
    <w:rsid w:val="00471A72"/>
    <w:rsid w:val="00471DCA"/>
    <w:rsid w:val="004727EE"/>
    <w:rsid w:val="004730EE"/>
    <w:rsid w:val="00473A2F"/>
    <w:rsid w:val="00473D74"/>
    <w:rsid w:val="00473DB3"/>
    <w:rsid w:val="00473F1C"/>
    <w:rsid w:val="00473FA6"/>
    <w:rsid w:val="00474838"/>
    <w:rsid w:val="00474A2C"/>
    <w:rsid w:val="00474B4F"/>
    <w:rsid w:val="004753E0"/>
    <w:rsid w:val="004755A9"/>
    <w:rsid w:val="00475764"/>
    <w:rsid w:val="00475899"/>
    <w:rsid w:val="00475A3A"/>
    <w:rsid w:val="0047629C"/>
    <w:rsid w:val="004762CA"/>
    <w:rsid w:val="0047632C"/>
    <w:rsid w:val="00476352"/>
    <w:rsid w:val="0047664D"/>
    <w:rsid w:val="004767BC"/>
    <w:rsid w:val="004767F1"/>
    <w:rsid w:val="00476813"/>
    <w:rsid w:val="00477410"/>
    <w:rsid w:val="0047777C"/>
    <w:rsid w:val="0048033F"/>
    <w:rsid w:val="0048034F"/>
    <w:rsid w:val="00480C4A"/>
    <w:rsid w:val="00480F0F"/>
    <w:rsid w:val="00481109"/>
    <w:rsid w:val="00481315"/>
    <w:rsid w:val="004813C8"/>
    <w:rsid w:val="0048185E"/>
    <w:rsid w:val="004818A1"/>
    <w:rsid w:val="004818E1"/>
    <w:rsid w:val="004821C9"/>
    <w:rsid w:val="004827D0"/>
    <w:rsid w:val="00482A86"/>
    <w:rsid w:val="00482C19"/>
    <w:rsid w:val="0048368A"/>
    <w:rsid w:val="00483A31"/>
    <w:rsid w:val="00483F4E"/>
    <w:rsid w:val="0048496E"/>
    <w:rsid w:val="00484AD9"/>
    <w:rsid w:val="004853E6"/>
    <w:rsid w:val="00486400"/>
    <w:rsid w:val="0048755C"/>
    <w:rsid w:val="00487FDD"/>
    <w:rsid w:val="0049015C"/>
    <w:rsid w:val="004908FB"/>
    <w:rsid w:val="00491CB1"/>
    <w:rsid w:val="0049232C"/>
    <w:rsid w:val="004924C9"/>
    <w:rsid w:val="004926DD"/>
    <w:rsid w:val="004927FD"/>
    <w:rsid w:val="0049298B"/>
    <w:rsid w:val="00493C59"/>
    <w:rsid w:val="00494291"/>
    <w:rsid w:val="00494B03"/>
    <w:rsid w:val="004958B0"/>
    <w:rsid w:val="00495C79"/>
    <w:rsid w:val="00495EF8"/>
    <w:rsid w:val="00495F4C"/>
    <w:rsid w:val="004966C3"/>
    <w:rsid w:val="00497341"/>
    <w:rsid w:val="00497A62"/>
    <w:rsid w:val="00497F4F"/>
    <w:rsid w:val="00497FCE"/>
    <w:rsid w:val="004A018C"/>
    <w:rsid w:val="004A0315"/>
    <w:rsid w:val="004A0D61"/>
    <w:rsid w:val="004A1094"/>
    <w:rsid w:val="004A12AF"/>
    <w:rsid w:val="004A197A"/>
    <w:rsid w:val="004A1EE1"/>
    <w:rsid w:val="004A26C8"/>
    <w:rsid w:val="004A2E9B"/>
    <w:rsid w:val="004A311E"/>
    <w:rsid w:val="004A3232"/>
    <w:rsid w:val="004A372B"/>
    <w:rsid w:val="004A3A02"/>
    <w:rsid w:val="004A3B74"/>
    <w:rsid w:val="004A41C5"/>
    <w:rsid w:val="004A45D0"/>
    <w:rsid w:val="004A4FB9"/>
    <w:rsid w:val="004A58CB"/>
    <w:rsid w:val="004A5A8C"/>
    <w:rsid w:val="004A5AD6"/>
    <w:rsid w:val="004A63C7"/>
    <w:rsid w:val="004A6442"/>
    <w:rsid w:val="004A6769"/>
    <w:rsid w:val="004A67FE"/>
    <w:rsid w:val="004A6CF1"/>
    <w:rsid w:val="004B0155"/>
    <w:rsid w:val="004B03F5"/>
    <w:rsid w:val="004B0518"/>
    <w:rsid w:val="004B089C"/>
    <w:rsid w:val="004B0D3E"/>
    <w:rsid w:val="004B211A"/>
    <w:rsid w:val="004B211B"/>
    <w:rsid w:val="004B21E5"/>
    <w:rsid w:val="004B232F"/>
    <w:rsid w:val="004B2433"/>
    <w:rsid w:val="004B24ED"/>
    <w:rsid w:val="004B276D"/>
    <w:rsid w:val="004B287A"/>
    <w:rsid w:val="004B29C0"/>
    <w:rsid w:val="004B3275"/>
    <w:rsid w:val="004B35F8"/>
    <w:rsid w:val="004B3726"/>
    <w:rsid w:val="004B39C5"/>
    <w:rsid w:val="004B39FA"/>
    <w:rsid w:val="004B3B25"/>
    <w:rsid w:val="004B3E07"/>
    <w:rsid w:val="004B46DD"/>
    <w:rsid w:val="004B4ECF"/>
    <w:rsid w:val="004B4F7C"/>
    <w:rsid w:val="004B54EC"/>
    <w:rsid w:val="004B56DB"/>
    <w:rsid w:val="004B5AF1"/>
    <w:rsid w:val="004B622B"/>
    <w:rsid w:val="004B6C0E"/>
    <w:rsid w:val="004B6C37"/>
    <w:rsid w:val="004B6D2A"/>
    <w:rsid w:val="004B7123"/>
    <w:rsid w:val="004B727A"/>
    <w:rsid w:val="004B75F2"/>
    <w:rsid w:val="004B7C6F"/>
    <w:rsid w:val="004C08CD"/>
    <w:rsid w:val="004C0CC5"/>
    <w:rsid w:val="004C0F58"/>
    <w:rsid w:val="004C16A8"/>
    <w:rsid w:val="004C18C8"/>
    <w:rsid w:val="004C1929"/>
    <w:rsid w:val="004C1D04"/>
    <w:rsid w:val="004C2D42"/>
    <w:rsid w:val="004C2EEF"/>
    <w:rsid w:val="004C37AA"/>
    <w:rsid w:val="004C3817"/>
    <w:rsid w:val="004C38B3"/>
    <w:rsid w:val="004C3973"/>
    <w:rsid w:val="004C4C4C"/>
    <w:rsid w:val="004C506F"/>
    <w:rsid w:val="004C5445"/>
    <w:rsid w:val="004C581E"/>
    <w:rsid w:val="004C78C0"/>
    <w:rsid w:val="004D0134"/>
    <w:rsid w:val="004D058F"/>
    <w:rsid w:val="004D0796"/>
    <w:rsid w:val="004D0BD1"/>
    <w:rsid w:val="004D0EE5"/>
    <w:rsid w:val="004D145D"/>
    <w:rsid w:val="004D17C6"/>
    <w:rsid w:val="004D1BBB"/>
    <w:rsid w:val="004D219E"/>
    <w:rsid w:val="004D2330"/>
    <w:rsid w:val="004D2C4D"/>
    <w:rsid w:val="004D377E"/>
    <w:rsid w:val="004D3BA3"/>
    <w:rsid w:val="004D4447"/>
    <w:rsid w:val="004D4584"/>
    <w:rsid w:val="004D482F"/>
    <w:rsid w:val="004D4C4D"/>
    <w:rsid w:val="004D4D48"/>
    <w:rsid w:val="004D5525"/>
    <w:rsid w:val="004D5654"/>
    <w:rsid w:val="004D5734"/>
    <w:rsid w:val="004D5F87"/>
    <w:rsid w:val="004D6094"/>
    <w:rsid w:val="004D62C3"/>
    <w:rsid w:val="004D6368"/>
    <w:rsid w:val="004D6C25"/>
    <w:rsid w:val="004D7505"/>
    <w:rsid w:val="004D75C8"/>
    <w:rsid w:val="004D7A14"/>
    <w:rsid w:val="004E0156"/>
    <w:rsid w:val="004E0251"/>
    <w:rsid w:val="004E1234"/>
    <w:rsid w:val="004E15DB"/>
    <w:rsid w:val="004E15F4"/>
    <w:rsid w:val="004E1851"/>
    <w:rsid w:val="004E23F2"/>
    <w:rsid w:val="004E2577"/>
    <w:rsid w:val="004E29A4"/>
    <w:rsid w:val="004E2F61"/>
    <w:rsid w:val="004E30FC"/>
    <w:rsid w:val="004E325B"/>
    <w:rsid w:val="004E3587"/>
    <w:rsid w:val="004E388C"/>
    <w:rsid w:val="004E38AA"/>
    <w:rsid w:val="004E3C0A"/>
    <w:rsid w:val="004E3C61"/>
    <w:rsid w:val="004E3F9B"/>
    <w:rsid w:val="004E4188"/>
    <w:rsid w:val="004E4C1D"/>
    <w:rsid w:val="004E522A"/>
    <w:rsid w:val="004E52B5"/>
    <w:rsid w:val="004E5AD2"/>
    <w:rsid w:val="004E5B3D"/>
    <w:rsid w:val="004E5D60"/>
    <w:rsid w:val="004E5ECE"/>
    <w:rsid w:val="004E5FEC"/>
    <w:rsid w:val="004E634C"/>
    <w:rsid w:val="004E6643"/>
    <w:rsid w:val="004E6989"/>
    <w:rsid w:val="004E699C"/>
    <w:rsid w:val="004E6D6E"/>
    <w:rsid w:val="004E7317"/>
    <w:rsid w:val="004E73E2"/>
    <w:rsid w:val="004E79C9"/>
    <w:rsid w:val="004E7DC6"/>
    <w:rsid w:val="004F0196"/>
    <w:rsid w:val="004F023B"/>
    <w:rsid w:val="004F02F9"/>
    <w:rsid w:val="004F0784"/>
    <w:rsid w:val="004F080E"/>
    <w:rsid w:val="004F08AB"/>
    <w:rsid w:val="004F08E5"/>
    <w:rsid w:val="004F098E"/>
    <w:rsid w:val="004F0EA8"/>
    <w:rsid w:val="004F0FA4"/>
    <w:rsid w:val="004F19AE"/>
    <w:rsid w:val="004F1D6D"/>
    <w:rsid w:val="004F258B"/>
    <w:rsid w:val="004F2871"/>
    <w:rsid w:val="004F288B"/>
    <w:rsid w:val="004F3183"/>
    <w:rsid w:val="004F31D7"/>
    <w:rsid w:val="004F3C9A"/>
    <w:rsid w:val="004F3FBF"/>
    <w:rsid w:val="004F40E0"/>
    <w:rsid w:val="004F4156"/>
    <w:rsid w:val="004F42E8"/>
    <w:rsid w:val="004F4959"/>
    <w:rsid w:val="004F49D8"/>
    <w:rsid w:val="004F4B2C"/>
    <w:rsid w:val="004F5456"/>
    <w:rsid w:val="004F55B1"/>
    <w:rsid w:val="004F57D5"/>
    <w:rsid w:val="004F6272"/>
    <w:rsid w:val="004F6348"/>
    <w:rsid w:val="004F6651"/>
    <w:rsid w:val="004F67E3"/>
    <w:rsid w:val="004F7630"/>
    <w:rsid w:val="004F7A44"/>
    <w:rsid w:val="004F7B7D"/>
    <w:rsid w:val="004F7E2A"/>
    <w:rsid w:val="00500106"/>
    <w:rsid w:val="005001E0"/>
    <w:rsid w:val="0050020F"/>
    <w:rsid w:val="005015D2"/>
    <w:rsid w:val="00501688"/>
    <w:rsid w:val="00501773"/>
    <w:rsid w:val="005019A1"/>
    <w:rsid w:val="00501A57"/>
    <w:rsid w:val="00501C1D"/>
    <w:rsid w:val="005024EA"/>
    <w:rsid w:val="005025FF"/>
    <w:rsid w:val="00502F56"/>
    <w:rsid w:val="00503B11"/>
    <w:rsid w:val="00503E7D"/>
    <w:rsid w:val="00503E97"/>
    <w:rsid w:val="0050433D"/>
    <w:rsid w:val="005047EB"/>
    <w:rsid w:val="005049ED"/>
    <w:rsid w:val="0050553B"/>
    <w:rsid w:val="00505573"/>
    <w:rsid w:val="00505811"/>
    <w:rsid w:val="00506088"/>
    <w:rsid w:val="005060CB"/>
    <w:rsid w:val="00506407"/>
    <w:rsid w:val="0050665A"/>
    <w:rsid w:val="00506850"/>
    <w:rsid w:val="00506C4F"/>
    <w:rsid w:val="00506F87"/>
    <w:rsid w:val="00507074"/>
    <w:rsid w:val="00507C23"/>
    <w:rsid w:val="00507F28"/>
    <w:rsid w:val="00510D0A"/>
    <w:rsid w:val="00511158"/>
    <w:rsid w:val="00511232"/>
    <w:rsid w:val="005116CE"/>
    <w:rsid w:val="00511972"/>
    <w:rsid w:val="00511F13"/>
    <w:rsid w:val="00512028"/>
    <w:rsid w:val="005121E4"/>
    <w:rsid w:val="005129CF"/>
    <w:rsid w:val="00512F3C"/>
    <w:rsid w:val="00512F63"/>
    <w:rsid w:val="005130EB"/>
    <w:rsid w:val="00513273"/>
    <w:rsid w:val="005132A5"/>
    <w:rsid w:val="00513451"/>
    <w:rsid w:val="00513738"/>
    <w:rsid w:val="005138DE"/>
    <w:rsid w:val="00513909"/>
    <w:rsid w:val="00513B6A"/>
    <w:rsid w:val="00514C32"/>
    <w:rsid w:val="00515253"/>
    <w:rsid w:val="00515771"/>
    <w:rsid w:val="005157A4"/>
    <w:rsid w:val="00515861"/>
    <w:rsid w:val="005160B0"/>
    <w:rsid w:val="00516429"/>
    <w:rsid w:val="00516FD7"/>
    <w:rsid w:val="005176C7"/>
    <w:rsid w:val="00517803"/>
    <w:rsid w:val="00520128"/>
    <w:rsid w:val="005204CC"/>
    <w:rsid w:val="005207F3"/>
    <w:rsid w:val="005209B1"/>
    <w:rsid w:val="00520B8C"/>
    <w:rsid w:val="00521333"/>
    <w:rsid w:val="005218AF"/>
    <w:rsid w:val="00521EC7"/>
    <w:rsid w:val="005223A6"/>
    <w:rsid w:val="00522D33"/>
    <w:rsid w:val="00523710"/>
    <w:rsid w:val="005237AA"/>
    <w:rsid w:val="00523962"/>
    <w:rsid w:val="00523A3D"/>
    <w:rsid w:val="00523BAA"/>
    <w:rsid w:val="00524131"/>
    <w:rsid w:val="00524537"/>
    <w:rsid w:val="00524A24"/>
    <w:rsid w:val="00524D39"/>
    <w:rsid w:val="00525132"/>
    <w:rsid w:val="005258D3"/>
    <w:rsid w:val="00525BBF"/>
    <w:rsid w:val="00525D33"/>
    <w:rsid w:val="00525F07"/>
    <w:rsid w:val="00525FD3"/>
    <w:rsid w:val="00526749"/>
    <w:rsid w:val="00526E08"/>
    <w:rsid w:val="00526E3E"/>
    <w:rsid w:val="00527093"/>
    <w:rsid w:val="00527526"/>
    <w:rsid w:val="00527C50"/>
    <w:rsid w:val="00527D59"/>
    <w:rsid w:val="00527E37"/>
    <w:rsid w:val="0053011C"/>
    <w:rsid w:val="005307B7"/>
    <w:rsid w:val="00530970"/>
    <w:rsid w:val="00530C84"/>
    <w:rsid w:val="00530D64"/>
    <w:rsid w:val="00530DBE"/>
    <w:rsid w:val="00530DF1"/>
    <w:rsid w:val="005312B3"/>
    <w:rsid w:val="00531337"/>
    <w:rsid w:val="005313B4"/>
    <w:rsid w:val="00531BF2"/>
    <w:rsid w:val="00532649"/>
    <w:rsid w:val="00533241"/>
    <w:rsid w:val="005332F6"/>
    <w:rsid w:val="00533652"/>
    <w:rsid w:val="005337D4"/>
    <w:rsid w:val="00533CC7"/>
    <w:rsid w:val="0053403B"/>
    <w:rsid w:val="00534809"/>
    <w:rsid w:val="005348CF"/>
    <w:rsid w:val="005348DF"/>
    <w:rsid w:val="005358C9"/>
    <w:rsid w:val="0053620E"/>
    <w:rsid w:val="00536217"/>
    <w:rsid w:val="005367A8"/>
    <w:rsid w:val="00536969"/>
    <w:rsid w:val="005373E7"/>
    <w:rsid w:val="00537436"/>
    <w:rsid w:val="0053780B"/>
    <w:rsid w:val="005379D3"/>
    <w:rsid w:val="00537B00"/>
    <w:rsid w:val="005403C5"/>
    <w:rsid w:val="005403EE"/>
    <w:rsid w:val="00540E9E"/>
    <w:rsid w:val="00540F7E"/>
    <w:rsid w:val="005412DA"/>
    <w:rsid w:val="00541532"/>
    <w:rsid w:val="005416B5"/>
    <w:rsid w:val="005419FB"/>
    <w:rsid w:val="00541CEC"/>
    <w:rsid w:val="00541EB4"/>
    <w:rsid w:val="005420A0"/>
    <w:rsid w:val="00542918"/>
    <w:rsid w:val="00542939"/>
    <w:rsid w:val="00542B81"/>
    <w:rsid w:val="00542C70"/>
    <w:rsid w:val="00542D8E"/>
    <w:rsid w:val="00542DC5"/>
    <w:rsid w:val="00543A66"/>
    <w:rsid w:val="00543ED0"/>
    <w:rsid w:val="00544850"/>
    <w:rsid w:val="00544FA4"/>
    <w:rsid w:val="00545402"/>
    <w:rsid w:val="0054551A"/>
    <w:rsid w:val="005459EC"/>
    <w:rsid w:val="00546145"/>
    <w:rsid w:val="00546A6C"/>
    <w:rsid w:val="00546ABA"/>
    <w:rsid w:val="00546BF5"/>
    <w:rsid w:val="00547663"/>
    <w:rsid w:val="00547C10"/>
    <w:rsid w:val="00547DAF"/>
    <w:rsid w:val="0055022A"/>
    <w:rsid w:val="00550B9A"/>
    <w:rsid w:val="00550CB7"/>
    <w:rsid w:val="00550FAA"/>
    <w:rsid w:val="0055181A"/>
    <w:rsid w:val="005520B0"/>
    <w:rsid w:val="005523E6"/>
    <w:rsid w:val="00552CB2"/>
    <w:rsid w:val="00552D70"/>
    <w:rsid w:val="00552F3A"/>
    <w:rsid w:val="005532F8"/>
    <w:rsid w:val="005535DE"/>
    <w:rsid w:val="005536D2"/>
    <w:rsid w:val="00553D71"/>
    <w:rsid w:val="00553FC4"/>
    <w:rsid w:val="005540F2"/>
    <w:rsid w:val="005546E4"/>
    <w:rsid w:val="00554B98"/>
    <w:rsid w:val="00554C27"/>
    <w:rsid w:val="00554F4C"/>
    <w:rsid w:val="005550B2"/>
    <w:rsid w:val="0055528E"/>
    <w:rsid w:val="00555312"/>
    <w:rsid w:val="005558B9"/>
    <w:rsid w:val="00555902"/>
    <w:rsid w:val="00555E4A"/>
    <w:rsid w:val="0055671E"/>
    <w:rsid w:val="00556D19"/>
    <w:rsid w:val="00556F07"/>
    <w:rsid w:val="005570F5"/>
    <w:rsid w:val="00557527"/>
    <w:rsid w:val="005579DF"/>
    <w:rsid w:val="00557DDD"/>
    <w:rsid w:val="00557E0D"/>
    <w:rsid w:val="00557FE1"/>
    <w:rsid w:val="00560172"/>
    <w:rsid w:val="00560848"/>
    <w:rsid w:val="00560917"/>
    <w:rsid w:val="00560A79"/>
    <w:rsid w:val="00561315"/>
    <w:rsid w:val="005619E2"/>
    <w:rsid w:val="00562EED"/>
    <w:rsid w:val="00562F1F"/>
    <w:rsid w:val="0056347F"/>
    <w:rsid w:val="00563F7A"/>
    <w:rsid w:val="00564315"/>
    <w:rsid w:val="00564335"/>
    <w:rsid w:val="0056434C"/>
    <w:rsid w:val="005645F9"/>
    <w:rsid w:val="0056487E"/>
    <w:rsid w:val="00564D71"/>
    <w:rsid w:val="00565AF6"/>
    <w:rsid w:val="00566147"/>
    <w:rsid w:val="0056659C"/>
    <w:rsid w:val="00566AC3"/>
    <w:rsid w:val="00566B27"/>
    <w:rsid w:val="00566B51"/>
    <w:rsid w:val="00566DA9"/>
    <w:rsid w:val="00567218"/>
    <w:rsid w:val="00567290"/>
    <w:rsid w:val="00567795"/>
    <w:rsid w:val="00567C19"/>
    <w:rsid w:val="0057075F"/>
    <w:rsid w:val="00571181"/>
    <w:rsid w:val="00571697"/>
    <w:rsid w:val="00571CC7"/>
    <w:rsid w:val="005723F6"/>
    <w:rsid w:val="005725AC"/>
    <w:rsid w:val="00572A50"/>
    <w:rsid w:val="00572BA9"/>
    <w:rsid w:val="00572F7C"/>
    <w:rsid w:val="005730A3"/>
    <w:rsid w:val="005731FD"/>
    <w:rsid w:val="00573A46"/>
    <w:rsid w:val="005745EC"/>
    <w:rsid w:val="00574B9A"/>
    <w:rsid w:val="00574CF8"/>
    <w:rsid w:val="00574D0B"/>
    <w:rsid w:val="00575298"/>
    <w:rsid w:val="005755A6"/>
    <w:rsid w:val="0057589D"/>
    <w:rsid w:val="00576767"/>
    <w:rsid w:val="00577367"/>
    <w:rsid w:val="005776C7"/>
    <w:rsid w:val="00577A04"/>
    <w:rsid w:val="005802E0"/>
    <w:rsid w:val="00581A4F"/>
    <w:rsid w:val="00581C0C"/>
    <w:rsid w:val="005822EC"/>
    <w:rsid w:val="005825D2"/>
    <w:rsid w:val="00582708"/>
    <w:rsid w:val="00582B47"/>
    <w:rsid w:val="00582D5B"/>
    <w:rsid w:val="00582ED0"/>
    <w:rsid w:val="00582F00"/>
    <w:rsid w:val="0058317B"/>
    <w:rsid w:val="00583323"/>
    <w:rsid w:val="00583412"/>
    <w:rsid w:val="005835EB"/>
    <w:rsid w:val="00583812"/>
    <w:rsid w:val="005848E6"/>
    <w:rsid w:val="0058543C"/>
    <w:rsid w:val="00585504"/>
    <w:rsid w:val="00585E1E"/>
    <w:rsid w:val="00586253"/>
    <w:rsid w:val="0058626A"/>
    <w:rsid w:val="005862A2"/>
    <w:rsid w:val="00586AC7"/>
    <w:rsid w:val="00586B37"/>
    <w:rsid w:val="00586EA8"/>
    <w:rsid w:val="00586F73"/>
    <w:rsid w:val="005870DD"/>
    <w:rsid w:val="005872EE"/>
    <w:rsid w:val="00587634"/>
    <w:rsid w:val="005909B1"/>
    <w:rsid w:val="005909DD"/>
    <w:rsid w:val="00590B21"/>
    <w:rsid w:val="00590C25"/>
    <w:rsid w:val="00590C35"/>
    <w:rsid w:val="00591654"/>
    <w:rsid w:val="005916AF"/>
    <w:rsid w:val="005918D0"/>
    <w:rsid w:val="00591E32"/>
    <w:rsid w:val="00592092"/>
    <w:rsid w:val="00592B61"/>
    <w:rsid w:val="00592DD2"/>
    <w:rsid w:val="00592F0A"/>
    <w:rsid w:val="00593502"/>
    <w:rsid w:val="005936FA"/>
    <w:rsid w:val="0059397A"/>
    <w:rsid w:val="005940C2"/>
    <w:rsid w:val="005944CB"/>
    <w:rsid w:val="00594521"/>
    <w:rsid w:val="00594AEB"/>
    <w:rsid w:val="00594F07"/>
    <w:rsid w:val="005955A3"/>
    <w:rsid w:val="005955F3"/>
    <w:rsid w:val="00595B07"/>
    <w:rsid w:val="005964DB"/>
    <w:rsid w:val="00596816"/>
    <w:rsid w:val="00596A8F"/>
    <w:rsid w:val="00597584"/>
    <w:rsid w:val="00597DEB"/>
    <w:rsid w:val="005A04C6"/>
    <w:rsid w:val="005A06B0"/>
    <w:rsid w:val="005A0AAD"/>
    <w:rsid w:val="005A0C64"/>
    <w:rsid w:val="005A14CD"/>
    <w:rsid w:val="005A14FC"/>
    <w:rsid w:val="005A16A8"/>
    <w:rsid w:val="005A176D"/>
    <w:rsid w:val="005A1989"/>
    <w:rsid w:val="005A1B6D"/>
    <w:rsid w:val="005A1CA5"/>
    <w:rsid w:val="005A2051"/>
    <w:rsid w:val="005A20B2"/>
    <w:rsid w:val="005A28AA"/>
    <w:rsid w:val="005A2A51"/>
    <w:rsid w:val="005A2CA6"/>
    <w:rsid w:val="005A2F7B"/>
    <w:rsid w:val="005A3931"/>
    <w:rsid w:val="005A3A37"/>
    <w:rsid w:val="005A3EF8"/>
    <w:rsid w:val="005A4682"/>
    <w:rsid w:val="005A4CD1"/>
    <w:rsid w:val="005A5596"/>
    <w:rsid w:val="005A590E"/>
    <w:rsid w:val="005A59A4"/>
    <w:rsid w:val="005A5E32"/>
    <w:rsid w:val="005A6CC1"/>
    <w:rsid w:val="005A75D2"/>
    <w:rsid w:val="005A7FDB"/>
    <w:rsid w:val="005B0414"/>
    <w:rsid w:val="005B057D"/>
    <w:rsid w:val="005B09FB"/>
    <w:rsid w:val="005B0A3D"/>
    <w:rsid w:val="005B0D5F"/>
    <w:rsid w:val="005B100C"/>
    <w:rsid w:val="005B1186"/>
    <w:rsid w:val="005B14BA"/>
    <w:rsid w:val="005B17A9"/>
    <w:rsid w:val="005B1DC6"/>
    <w:rsid w:val="005B1F3D"/>
    <w:rsid w:val="005B257C"/>
    <w:rsid w:val="005B3108"/>
    <w:rsid w:val="005B31BF"/>
    <w:rsid w:val="005B3A06"/>
    <w:rsid w:val="005B3CD0"/>
    <w:rsid w:val="005B4077"/>
    <w:rsid w:val="005B4102"/>
    <w:rsid w:val="005B4202"/>
    <w:rsid w:val="005B4250"/>
    <w:rsid w:val="005B4484"/>
    <w:rsid w:val="005B4740"/>
    <w:rsid w:val="005B4960"/>
    <w:rsid w:val="005B4D96"/>
    <w:rsid w:val="005B4E8D"/>
    <w:rsid w:val="005B510C"/>
    <w:rsid w:val="005B551B"/>
    <w:rsid w:val="005B6573"/>
    <w:rsid w:val="005B7074"/>
    <w:rsid w:val="005B716D"/>
    <w:rsid w:val="005B7DB6"/>
    <w:rsid w:val="005C0874"/>
    <w:rsid w:val="005C0C5F"/>
    <w:rsid w:val="005C1195"/>
    <w:rsid w:val="005C1B7B"/>
    <w:rsid w:val="005C1C25"/>
    <w:rsid w:val="005C2269"/>
    <w:rsid w:val="005C26AB"/>
    <w:rsid w:val="005C27C0"/>
    <w:rsid w:val="005C2AB4"/>
    <w:rsid w:val="005C2B69"/>
    <w:rsid w:val="005C2D2E"/>
    <w:rsid w:val="005C34E2"/>
    <w:rsid w:val="005C3633"/>
    <w:rsid w:val="005C3A71"/>
    <w:rsid w:val="005C3B02"/>
    <w:rsid w:val="005C4919"/>
    <w:rsid w:val="005C4A65"/>
    <w:rsid w:val="005C4D7F"/>
    <w:rsid w:val="005C579C"/>
    <w:rsid w:val="005C6DA6"/>
    <w:rsid w:val="005C6E46"/>
    <w:rsid w:val="005C7475"/>
    <w:rsid w:val="005C76B4"/>
    <w:rsid w:val="005C774A"/>
    <w:rsid w:val="005C7E71"/>
    <w:rsid w:val="005C7EE1"/>
    <w:rsid w:val="005D0115"/>
    <w:rsid w:val="005D0585"/>
    <w:rsid w:val="005D07ED"/>
    <w:rsid w:val="005D0BFA"/>
    <w:rsid w:val="005D1F0A"/>
    <w:rsid w:val="005D1F1F"/>
    <w:rsid w:val="005D26B2"/>
    <w:rsid w:val="005D3339"/>
    <w:rsid w:val="005D33F0"/>
    <w:rsid w:val="005D361D"/>
    <w:rsid w:val="005D39BD"/>
    <w:rsid w:val="005D3D13"/>
    <w:rsid w:val="005D3F06"/>
    <w:rsid w:val="005D3F9C"/>
    <w:rsid w:val="005D4106"/>
    <w:rsid w:val="005D4546"/>
    <w:rsid w:val="005D4758"/>
    <w:rsid w:val="005D55BE"/>
    <w:rsid w:val="005D57BD"/>
    <w:rsid w:val="005D5A70"/>
    <w:rsid w:val="005D5DA5"/>
    <w:rsid w:val="005D66AB"/>
    <w:rsid w:val="005D67B6"/>
    <w:rsid w:val="005D68BB"/>
    <w:rsid w:val="005D6D9F"/>
    <w:rsid w:val="005D71BA"/>
    <w:rsid w:val="005D790A"/>
    <w:rsid w:val="005D7AD6"/>
    <w:rsid w:val="005D7FE6"/>
    <w:rsid w:val="005E0344"/>
    <w:rsid w:val="005E04FD"/>
    <w:rsid w:val="005E0621"/>
    <w:rsid w:val="005E110A"/>
    <w:rsid w:val="005E115E"/>
    <w:rsid w:val="005E173C"/>
    <w:rsid w:val="005E1782"/>
    <w:rsid w:val="005E21E2"/>
    <w:rsid w:val="005E36A1"/>
    <w:rsid w:val="005E3867"/>
    <w:rsid w:val="005E3AD1"/>
    <w:rsid w:val="005E3BEC"/>
    <w:rsid w:val="005E3C45"/>
    <w:rsid w:val="005E3EFB"/>
    <w:rsid w:val="005E4234"/>
    <w:rsid w:val="005E44A8"/>
    <w:rsid w:val="005E4832"/>
    <w:rsid w:val="005E4AF4"/>
    <w:rsid w:val="005E4F56"/>
    <w:rsid w:val="005E5004"/>
    <w:rsid w:val="005E54FE"/>
    <w:rsid w:val="005E580E"/>
    <w:rsid w:val="005E6AAC"/>
    <w:rsid w:val="005E723B"/>
    <w:rsid w:val="005E7569"/>
    <w:rsid w:val="005E7D68"/>
    <w:rsid w:val="005F0C8D"/>
    <w:rsid w:val="005F0DE3"/>
    <w:rsid w:val="005F104F"/>
    <w:rsid w:val="005F1320"/>
    <w:rsid w:val="005F1686"/>
    <w:rsid w:val="005F207F"/>
    <w:rsid w:val="005F21BE"/>
    <w:rsid w:val="005F253F"/>
    <w:rsid w:val="005F263D"/>
    <w:rsid w:val="005F26E9"/>
    <w:rsid w:val="005F28D0"/>
    <w:rsid w:val="005F3313"/>
    <w:rsid w:val="005F3375"/>
    <w:rsid w:val="005F3927"/>
    <w:rsid w:val="005F3CFE"/>
    <w:rsid w:val="005F3D5E"/>
    <w:rsid w:val="005F4035"/>
    <w:rsid w:val="005F4350"/>
    <w:rsid w:val="005F460F"/>
    <w:rsid w:val="005F464E"/>
    <w:rsid w:val="005F4BDA"/>
    <w:rsid w:val="005F4D29"/>
    <w:rsid w:val="005F5362"/>
    <w:rsid w:val="005F58AD"/>
    <w:rsid w:val="005F58B5"/>
    <w:rsid w:val="005F6274"/>
    <w:rsid w:val="005F6610"/>
    <w:rsid w:val="005F6646"/>
    <w:rsid w:val="005F670D"/>
    <w:rsid w:val="005F67D6"/>
    <w:rsid w:val="005F6DA6"/>
    <w:rsid w:val="005F76DB"/>
    <w:rsid w:val="005F7909"/>
    <w:rsid w:val="005F7B15"/>
    <w:rsid w:val="005F7D46"/>
    <w:rsid w:val="005F7E72"/>
    <w:rsid w:val="00600FFB"/>
    <w:rsid w:val="006012DF"/>
    <w:rsid w:val="006016C0"/>
    <w:rsid w:val="0060188E"/>
    <w:rsid w:val="00601F6D"/>
    <w:rsid w:val="0060208B"/>
    <w:rsid w:val="006021D6"/>
    <w:rsid w:val="006024E4"/>
    <w:rsid w:val="006026E3"/>
    <w:rsid w:val="006026FC"/>
    <w:rsid w:val="0060377A"/>
    <w:rsid w:val="006037CD"/>
    <w:rsid w:val="00603B72"/>
    <w:rsid w:val="00603BA2"/>
    <w:rsid w:val="00603D0D"/>
    <w:rsid w:val="00603D7A"/>
    <w:rsid w:val="00604197"/>
    <w:rsid w:val="006044AC"/>
    <w:rsid w:val="006047D9"/>
    <w:rsid w:val="006049B5"/>
    <w:rsid w:val="00604BC5"/>
    <w:rsid w:val="00604C05"/>
    <w:rsid w:val="00604F68"/>
    <w:rsid w:val="006050FA"/>
    <w:rsid w:val="0060531A"/>
    <w:rsid w:val="00605C79"/>
    <w:rsid w:val="006062F5"/>
    <w:rsid w:val="00606572"/>
    <w:rsid w:val="006075BF"/>
    <w:rsid w:val="00607B7F"/>
    <w:rsid w:val="00607FE6"/>
    <w:rsid w:val="006108C2"/>
    <w:rsid w:val="00610994"/>
    <w:rsid w:val="00610DEE"/>
    <w:rsid w:val="00610FB5"/>
    <w:rsid w:val="00611089"/>
    <w:rsid w:val="006129CE"/>
    <w:rsid w:val="00612B08"/>
    <w:rsid w:val="00612DB1"/>
    <w:rsid w:val="00613313"/>
    <w:rsid w:val="00613B09"/>
    <w:rsid w:val="00613CE0"/>
    <w:rsid w:val="0061406B"/>
    <w:rsid w:val="006144CE"/>
    <w:rsid w:val="006147BA"/>
    <w:rsid w:val="00614EDE"/>
    <w:rsid w:val="00614FD1"/>
    <w:rsid w:val="006152F5"/>
    <w:rsid w:val="00615490"/>
    <w:rsid w:val="0061619E"/>
    <w:rsid w:val="006163C0"/>
    <w:rsid w:val="00616843"/>
    <w:rsid w:val="00616A1D"/>
    <w:rsid w:val="00616AD3"/>
    <w:rsid w:val="00616F94"/>
    <w:rsid w:val="00617107"/>
    <w:rsid w:val="00617705"/>
    <w:rsid w:val="00617998"/>
    <w:rsid w:val="00620245"/>
    <w:rsid w:val="006202B9"/>
    <w:rsid w:val="0062050D"/>
    <w:rsid w:val="00620820"/>
    <w:rsid w:val="00620D94"/>
    <w:rsid w:val="006216AC"/>
    <w:rsid w:val="00622165"/>
    <w:rsid w:val="006221AE"/>
    <w:rsid w:val="00622367"/>
    <w:rsid w:val="00622DD9"/>
    <w:rsid w:val="00623746"/>
    <w:rsid w:val="0062466C"/>
    <w:rsid w:val="00624DD7"/>
    <w:rsid w:val="00625059"/>
    <w:rsid w:val="00625F25"/>
    <w:rsid w:val="00625F51"/>
    <w:rsid w:val="0062613A"/>
    <w:rsid w:val="0062679E"/>
    <w:rsid w:val="00626DAC"/>
    <w:rsid w:val="00626DCA"/>
    <w:rsid w:val="006271EE"/>
    <w:rsid w:val="00627375"/>
    <w:rsid w:val="00627C11"/>
    <w:rsid w:val="00630314"/>
    <w:rsid w:val="0063044A"/>
    <w:rsid w:val="00630948"/>
    <w:rsid w:val="00630C77"/>
    <w:rsid w:val="00631260"/>
    <w:rsid w:val="00631DA8"/>
    <w:rsid w:val="0063216E"/>
    <w:rsid w:val="006324EE"/>
    <w:rsid w:val="00632894"/>
    <w:rsid w:val="006328A8"/>
    <w:rsid w:val="006328AE"/>
    <w:rsid w:val="00632DEB"/>
    <w:rsid w:val="00632F43"/>
    <w:rsid w:val="00633399"/>
    <w:rsid w:val="006336EC"/>
    <w:rsid w:val="0063387A"/>
    <w:rsid w:val="00633C54"/>
    <w:rsid w:val="00633F7C"/>
    <w:rsid w:val="00633FA0"/>
    <w:rsid w:val="0063431F"/>
    <w:rsid w:val="00634729"/>
    <w:rsid w:val="00635DDE"/>
    <w:rsid w:val="00635E45"/>
    <w:rsid w:val="006364D7"/>
    <w:rsid w:val="00636529"/>
    <w:rsid w:val="00636B4F"/>
    <w:rsid w:val="00636BEF"/>
    <w:rsid w:val="00636F35"/>
    <w:rsid w:val="00637BCB"/>
    <w:rsid w:val="00637C9C"/>
    <w:rsid w:val="006404B7"/>
    <w:rsid w:val="0064058A"/>
    <w:rsid w:val="00640626"/>
    <w:rsid w:val="0064071E"/>
    <w:rsid w:val="00640F95"/>
    <w:rsid w:val="00641A0F"/>
    <w:rsid w:val="00642446"/>
    <w:rsid w:val="006424C9"/>
    <w:rsid w:val="00642596"/>
    <w:rsid w:val="00642938"/>
    <w:rsid w:val="00643A60"/>
    <w:rsid w:val="00643B37"/>
    <w:rsid w:val="00644174"/>
    <w:rsid w:val="00644242"/>
    <w:rsid w:val="00644319"/>
    <w:rsid w:val="0064442A"/>
    <w:rsid w:val="00644752"/>
    <w:rsid w:val="00645FED"/>
    <w:rsid w:val="0064652E"/>
    <w:rsid w:val="00646555"/>
    <w:rsid w:val="0064693C"/>
    <w:rsid w:val="00646975"/>
    <w:rsid w:val="00646ACE"/>
    <w:rsid w:val="00646D13"/>
    <w:rsid w:val="006472D6"/>
    <w:rsid w:val="006479AA"/>
    <w:rsid w:val="00647CA6"/>
    <w:rsid w:val="00647CD8"/>
    <w:rsid w:val="0065027A"/>
    <w:rsid w:val="00650AFF"/>
    <w:rsid w:val="00651CE7"/>
    <w:rsid w:val="00651E90"/>
    <w:rsid w:val="0065218E"/>
    <w:rsid w:val="006522D8"/>
    <w:rsid w:val="0065266E"/>
    <w:rsid w:val="00652811"/>
    <w:rsid w:val="00652826"/>
    <w:rsid w:val="00652C3C"/>
    <w:rsid w:val="00653031"/>
    <w:rsid w:val="006532E5"/>
    <w:rsid w:val="00653326"/>
    <w:rsid w:val="006535CE"/>
    <w:rsid w:val="00653603"/>
    <w:rsid w:val="0065372A"/>
    <w:rsid w:val="00653965"/>
    <w:rsid w:val="0065397B"/>
    <w:rsid w:val="00653A8A"/>
    <w:rsid w:val="0065428A"/>
    <w:rsid w:val="00654457"/>
    <w:rsid w:val="00654868"/>
    <w:rsid w:val="00654BDC"/>
    <w:rsid w:val="0065586B"/>
    <w:rsid w:val="00655A9E"/>
    <w:rsid w:val="00655BA2"/>
    <w:rsid w:val="00655EAA"/>
    <w:rsid w:val="006564C7"/>
    <w:rsid w:val="00656C8F"/>
    <w:rsid w:val="00656F2D"/>
    <w:rsid w:val="006573B5"/>
    <w:rsid w:val="00657A74"/>
    <w:rsid w:val="00657EE1"/>
    <w:rsid w:val="0066015F"/>
    <w:rsid w:val="0066025D"/>
    <w:rsid w:val="006604FE"/>
    <w:rsid w:val="0066155A"/>
    <w:rsid w:val="00661992"/>
    <w:rsid w:val="00661A7B"/>
    <w:rsid w:val="00661B30"/>
    <w:rsid w:val="00661F25"/>
    <w:rsid w:val="00662389"/>
    <w:rsid w:val="006625C2"/>
    <w:rsid w:val="00662DCE"/>
    <w:rsid w:val="00662E47"/>
    <w:rsid w:val="00662E65"/>
    <w:rsid w:val="00662F2D"/>
    <w:rsid w:val="00663220"/>
    <w:rsid w:val="00663384"/>
    <w:rsid w:val="00663709"/>
    <w:rsid w:val="00663999"/>
    <w:rsid w:val="00663E72"/>
    <w:rsid w:val="00663ED0"/>
    <w:rsid w:val="006643CD"/>
    <w:rsid w:val="006649FD"/>
    <w:rsid w:val="00664EA5"/>
    <w:rsid w:val="00664F08"/>
    <w:rsid w:val="006659C3"/>
    <w:rsid w:val="00665DE8"/>
    <w:rsid w:val="00666198"/>
    <w:rsid w:val="00666B4C"/>
    <w:rsid w:val="006671F1"/>
    <w:rsid w:val="00667289"/>
    <w:rsid w:val="00667437"/>
    <w:rsid w:val="006676D9"/>
    <w:rsid w:val="006679E8"/>
    <w:rsid w:val="00667F37"/>
    <w:rsid w:val="00670286"/>
    <w:rsid w:val="006706D0"/>
    <w:rsid w:val="00670DC5"/>
    <w:rsid w:val="00670EEF"/>
    <w:rsid w:val="0067145B"/>
    <w:rsid w:val="00671565"/>
    <w:rsid w:val="006718F9"/>
    <w:rsid w:val="00672270"/>
    <w:rsid w:val="00672379"/>
    <w:rsid w:val="0067261C"/>
    <w:rsid w:val="00672903"/>
    <w:rsid w:val="0067298D"/>
    <w:rsid w:val="00672C43"/>
    <w:rsid w:val="00672C4A"/>
    <w:rsid w:val="0067332C"/>
    <w:rsid w:val="00673434"/>
    <w:rsid w:val="0067381A"/>
    <w:rsid w:val="00673BF6"/>
    <w:rsid w:val="0067427C"/>
    <w:rsid w:val="006742D0"/>
    <w:rsid w:val="0067474C"/>
    <w:rsid w:val="00674781"/>
    <w:rsid w:val="00674A7F"/>
    <w:rsid w:val="00675131"/>
    <w:rsid w:val="00675285"/>
    <w:rsid w:val="00675E8C"/>
    <w:rsid w:val="00676851"/>
    <w:rsid w:val="00676A1D"/>
    <w:rsid w:val="00676BDC"/>
    <w:rsid w:val="006778EA"/>
    <w:rsid w:val="00677BA0"/>
    <w:rsid w:val="00677F2E"/>
    <w:rsid w:val="0068050F"/>
    <w:rsid w:val="006805A7"/>
    <w:rsid w:val="00680789"/>
    <w:rsid w:val="00680931"/>
    <w:rsid w:val="006809A6"/>
    <w:rsid w:val="00680F0A"/>
    <w:rsid w:val="00680F6B"/>
    <w:rsid w:val="00680FAE"/>
    <w:rsid w:val="00681162"/>
    <w:rsid w:val="0068124C"/>
    <w:rsid w:val="0068153C"/>
    <w:rsid w:val="00682008"/>
    <w:rsid w:val="006825F2"/>
    <w:rsid w:val="00682701"/>
    <w:rsid w:val="0068362F"/>
    <w:rsid w:val="00683AF2"/>
    <w:rsid w:val="00683D26"/>
    <w:rsid w:val="00683D9E"/>
    <w:rsid w:val="00684806"/>
    <w:rsid w:val="006848B2"/>
    <w:rsid w:val="00684C32"/>
    <w:rsid w:val="00684D7F"/>
    <w:rsid w:val="006853AB"/>
    <w:rsid w:val="0068540A"/>
    <w:rsid w:val="00685696"/>
    <w:rsid w:val="006857B2"/>
    <w:rsid w:val="006858F0"/>
    <w:rsid w:val="006858F1"/>
    <w:rsid w:val="0068644D"/>
    <w:rsid w:val="00686469"/>
    <w:rsid w:val="006865E6"/>
    <w:rsid w:val="0068687F"/>
    <w:rsid w:val="00686A37"/>
    <w:rsid w:val="00686B7F"/>
    <w:rsid w:val="00686F3D"/>
    <w:rsid w:val="00686F73"/>
    <w:rsid w:val="006878C6"/>
    <w:rsid w:val="00687CB2"/>
    <w:rsid w:val="006900C5"/>
    <w:rsid w:val="00690168"/>
    <w:rsid w:val="00690271"/>
    <w:rsid w:val="0069046E"/>
    <w:rsid w:val="00690681"/>
    <w:rsid w:val="0069082D"/>
    <w:rsid w:val="00690920"/>
    <w:rsid w:val="006909BF"/>
    <w:rsid w:val="00690BC2"/>
    <w:rsid w:val="00690C71"/>
    <w:rsid w:val="006917F5"/>
    <w:rsid w:val="00691D11"/>
    <w:rsid w:val="00691D47"/>
    <w:rsid w:val="006923CD"/>
    <w:rsid w:val="00692474"/>
    <w:rsid w:val="0069267F"/>
    <w:rsid w:val="00692DD4"/>
    <w:rsid w:val="00693605"/>
    <w:rsid w:val="00693961"/>
    <w:rsid w:val="0069398F"/>
    <w:rsid w:val="00693993"/>
    <w:rsid w:val="00694B96"/>
    <w:rsid w:val="0069504B"/>
    <w:rsid w:val="00695264"/>
    <w:rsid w:val="0069545D"/>
    <w:rsid w:val="006956B7"/>
    <w:rsid w:val="00695923"/>
    <w:rsid w:val="00695930"/>
    <w:rsid w:val="00695D9B"/>
    <w:rsid w:val="00695FDB"/>
    <w:rsid w:val="006960D6"/>
    <w:rsid w:val="0069647C"/>
    <w:rsid w:val="00696CBC"/>
    <w:rsid w:val="00696FCB"/>
    <w:rsid w:val="006970C9"/>
    <w:rsid w:val="006971A7"/>
    <w:rsid w:val="006973E6"/>
    <w:rsid w:val="00697498"/>
    <w:rsid w:val="00697AD3"/>
    <w:rsid w:val="00697B06"/>
    <w:rsid w:val="00697CD5"/>
    <w:rsid w:val="006A02E8"/>
    <w:rsid w:val="006A0A77"/>
    <w:rsid w:val="006A0CD3"/>
    <w:rsid w:val="006A0ECB"/>
    <w:rsid w:val="006A10BB"/>
    <w:rsid w:val="006A1724"/>
    <w:rsid w:val="006A191A"/>
    <w:rsid w:val="006A1C02"/>
    <w:rsid w:val="006A1D32"/>
    <w:rsid w:val="006A1E34"/>
    <w:rsid w:val="006A2027"/>
    <w:rsid w:val="006A226E"/>
    <w:rsid w:val="006A26E0"/>
    <w:rsid w:val="006A2B77"/>
    <w:rsid w:val="006A2E05"/>
    <w:rsid w:val="006A3C0F"/>
    <w:rsid w:val="006A3C1A"/>
    <w:rsid w:val="006A434B"/>
    <w:rsid w:val="006A4939"/>
    <w:rsid w:val="006A517C"/>
    <w:rsid w:val="006A55FA"/>
    <w:rsid w:val="006A57C3"/>
    <w:rsid w:val="006A5BF0"/>
    <w:rsid w:val="006A60EF"/>
    <w:rsid w:val="006A624D"/>
    <w:rsid w:val="006A6CFE"/>
    <w:rsid w:val="006A7296"/>
    <w:rsid w:val="006A7AF3"/>
    <w:rsid w:val="006B07EA"/>
    <w:rsid w:val="006B0A91"/>
    <w:rsid w:val="006B2067"/>
    <w:rsid w:val="006B2A45"/>
    <w:rsid w:val="006B2F06"/>
    <w:rsid w:val="006B317A"/>
    <w:rsid w:val="006B3A45"/>
    <w:rsid w:val="006B3A68"/>
    <w:rsid w:val="006B3DF6"/>
    <w:rsid w:val="006B3E96"/>
    <w:rsid w:val="006B40B6"/>
    <w:rsid w:val="006B437C"/>
    <w:rsid w:val="006B4A6C"/>
    <w:rsid w:val="006B5093"/>
    <w:rsid w:val="006B5893"/>
    <w:rsid w:val="006B5B2C"/>
    <w:rsid w:val="006B5D37"/>
    <w:rsid w:val="006B6066"/>
    <w:rsid w:val="006B686D"/>
    <w:rsid w:val="006B6D74"/>
    <w:rsid w:val="006B6D99"/>
    <w:rsid w:val="006B7AAC"/>
    <w:rsid w:val="006B7B95"/>
    <w:rsid w:val="006B7F87"/>
    <w:rsid w:val="006C04B1"/>
    <w:rsid w:val="006C087D"/>
    <w:rsid w:val="006C0D0E"/>
    <w:rsid w:val="006C106C"/>
    <w:rsid w:val="006C1D0A"/>
    <w:rsid w:val="006C28F7"/>
    <w:rsid w:val="006C29BC"/>
    <w:rsid w:val="006C32DC"/>
    <w:rsid w:val="006C3604"/>
    <w:rsid w:val="006C36BE"/>
    <w:rsid w:val="006C3B7A"/>
    <w:rsid w:val="006C40EE"/>
    <w:rsid w:val="006C41B5"/>
    <w:rsid w:val="006C41D1"/>
    <w:rsid w:val="006C41F4"/>
    <w:rsid w:val="006C4316"/>
    <w:rsid w:val="006C46BC"/>
    <w:rsid w:val="006C4774"/>
    <w:rsid w:val="006C4933"/>
    <w:rsid w:val="006C4D8D"/>
    <w:rsid w:val="006C51BB"/>
    <w:rsid w:val="006C52FF"/>
    <w:rsid w:val="006C55A8"/>
    <w:rsid w:val="006C57B1"/>
    <w:rsid w:val="006C6267"/>
    <w:rsid w:val="006C64BA"/>
    <w:rsid w:val="006C66BC"/>
    <w:rsid w:val="006C6D8C"/>
    <w:rsid w:val="006C6EF4"/>
    <w:rsid w:val="006D00EA"/>
    <w:rsid w:val="006D0220"/>
    <w:rsid w:val="006D04B2"/>
    <w:rsid w:val="006D1D10"/>
    <w:rsid w:val="006D1E1C"/>
    <w:rsid w:val="006D1E27"/>
    <w:rsid w:val="006D2443"/>
    <w:rsid w:val="006D2A38"/>
    <w:rsid w:val="006D2D53"/>
    <w:rsid w:val="006D2DAF"/>
    <w:rsid w:val="006D2E2D"/>
    <w:rsid w:val="006D3096"/>
    <w:rsid w:val="006D333C"/>
    <w:rsid w:val="006D3340"/>
    <w:rsid w:val="006D33C5"/>
    <w:rsid w:val="006D33FF"/>
    <w:rsid w:val="006D4676"/>
    <w:rsid w:val="006D4697"/>
    <w:rsid w:val="006D4950"/>
    <w:rsid w:val="006D5453"/>
    <w:rsid w:val="006D5993"/>
    <w:rsid w:val="006D6103"/>
    <w:rsid w:val="006D65AC"/>
    <w:rsid w:val="006D7048"/>
    <w:rsid w:val="006D732A"/>
    <w:rsid w:val="006D7379"/>
    <w:rsid w:val="006E06B5"/>
    <w:rsid w:val="006E0ABA"/>
    <w:rsid w:val="006E1252"/>
    <w:rsid w:val="006E1D89"/>
    <w:rsid w:val="006E1D8C"/>
    <w:rsid w:val="006E2515"/>
    <w:rsid w:val="006E2592"/>
    <w:rsid w:val="006E26E5"/>
    <w:rsid w:val="006E2CE7"/>
    <w:rsid w:val="006E2E36"/>
    <w:rsid w:val="006E311B"/>
    <w:rsid w:val="006E3643"/>
    <w:rsid w:val="006E366D"/>
    <w:rsid w:val="006E3D34"/>
    <w:rsid w:val="006E4483"/>
    <w:rsid w:val="006E47DB"/>
    <w:rsid w:val="006E4B4A"/>
    <w:rsid w:val="006E6496"/>
    <w:rsid w:val="006E657F"/>
    <w:rsid w:val="006E6A21"/>
    <w:rsid w:val="006E6F09"/>
    <w:rsid w:val="006E7155"/>
    <w:rsid w:val="006E7180"/>
    <w:rsid w:val="006E7482"/>
    <w:rsid w:val="006E77D1"/>
    <w:rsid w:val="006E7A55"/>
    <w:rsid w:val="006E7DCF"/>
    <w:rsid w:val="006F02A7"/>
    <w:rsid w:val="006F02DE"/>
    <w:rsid w:val="006F0B3D"/>
    <w:rsid w:val="006F129D"/>
    <w:rsid w:val="006F1A39"/>
    <w:rsid w:val="006F1B18"/>
    <w:rsid w:val="006F210D"/>
    <w:rsid w:val="006F228E"/>
    <w:rsid w:val="006F2423"/>
    <w:rsid w:val="006F2B50"/>
    <w:rsid w:val="006F311C"/>
    <w:rsid w:val="006F3A0D"/>
    <w:rsid w:val="006F3F18"/>
    <w:rsid w:val="006F4924"/>
    <w:rsid w:val="006F52C5"/>
    <w:rsid w:val="006F535C"/>
    <w:rsid w:val="006F678C"/>
    <w:rsid w:val="006F6D30"/>
    <w:rsid w:val="006F6EA9"/>
    <w:rsid w:val="006F6F50"/>
    <w:rsid w:val="006F74F3"/>
    <w:rsid w:val="006F79A5"/>
    <w:rsid w:val="006F79CF"/>
    <w:rsid w:val="006F7C88"/>
    <w:rsid w:val="006F7EBC"/>
    <w:rsid w:val="0070010E"/>
    <w:rsid w:val="00700663"/>
    <w:rsid w:val="00700B9B"/>
    <w:rsid w:val="007012DC"/>
    <w:rsid w:val="007015B2"/>
    <w:rsid w:val="00701743"/>
    <w:rsid w:val="007017FF"/>
    <w:rsid w:val="007019B9"/>
    <w:rsid w:val="0070213A"/>
    <w:rsid w:val="007022FC"/>
    <w:rsid w:val="00702974"/>
    <w:rsid w:val="00703408"/>
    <w:rsid w:val="00703DB4"/>
    <w:rsid w:val="00703F26"/>
    <w:rsid w:val="00703F9E"/>
    <w:rsid w:val="007042C8"/>
    <w:rsid w:val="00704394"/>
    <w:rsid w:val="00704607"/>
    <w:rsid w:val="007049A5"/>
    <w:rsid w:val="00704BC4"/>
    <w:rsid w:val="00704DD1"/>
    <w:rsid w:val="00705A0B"/>
    <w:rsid w:val="00705E55"/>
    <w:rsid w:val="00705EB8"/>
    <w:rsid w:val="0070621A"/>
    <w:rsid w:val="00706A9D"/>
    <w:rsid w:val="00706D2B"/>
    <w:rsid w:val="00706F6D"/>
    <w:rsid w:val="00707146"/>
    <w:rsid w:val="00707268"/>
    <w:rsid w:val="00707741"/>
    <w:rsid w:val="00707A05"/>
    <w:rsid w:val="007106EE"/>
    <w:rsid w:val="00710B06"/>
    <w:rsid w:val="00710FCE"/>
    <w:rsid w:val="00711473"/>
    <w:rsid w:val="00711892"/>
    <w:rsid w:val="007118B8"/>
    <w:rsid w:val="00711AFE"/>
    <w:rsid w:val="00711B93"/>
    <w:rsid w:val="00711D53"/>
    <w:rsid w:val="0071202A"/>
    <w:rsid w:val="00712219"/>
    <w:rsid w:val="007122B5"/>
    <w:rsid w:val="0071235F"/>
    <w:rsid w:val="00712C37"/>
    <w:rsid w:val="00713033"/>
    <w:rsid w:val="00713064"/>
    <w:rsid w:val="00713089"/>
    <w:rsid w:val="00713AAE"/>
    <w:rsid w:val="00713B76"/>
    <w:rsid w:val="00713BF0"/>
    <w:rsid w:val="00713D7B"/>
    <w:rsid w:val="00713E70"/>
    <w:rsid w:val="007140E5"/>
    <w:rsid w:val="0071443C"/>
    <w:rsid w:val="007146CB"/>
    <w:rsid w:val="00714BE5"/>
    <w:rsid w:val="00714E26"/>
    <w:rsid w:val="00715153"/>
    <w:rsid w:val="00715AC7"/>
    <w:rsid w:val="00715ECC"/>
    <w:rsid w:val="007161ED"/>
    <w:rsid w:val="00716361"/>
    <w:rsid w:val="00716718"/>
    <w:rsid w:val="00716A0E"/>
    <w:rsid w:val="00717211"/>
    <w:rsid w:val="00717332"/>
    <w:rsid w:val="00717545"/>
    <w:rsid w:val="00720091"/>
    <w:rsid w:val="007203CC"/>
    <w:rsid w:val="007204E4"/>
    <w:rsid w:val="0072085D"/>
    <w:rsid w:val="00720E07"/>
    <w:rsid w:val="0072160A"/>
    <w:rsid w:val="00722458"/>
    <w:rsid w:val="0072334B"/>
    <w:rsid w:val="00723460"/>
    <w:rsid w:val="00723B35"/>
    <w:rsid w:val="007242DC"/>
    <w:rsid w:val="0072430E"/>
    <w:rsid w:val="00724BEE"/>
    <w:rsid w:val="00724D55"/>
    <w:rsid w:val="00725659"/>
    <w:rsid w:val="00725A05"/>
    <w:rsid w:val="00725ACC"/>
    <w:rsid w:val="00725FEE"/>
    <w:rsid w:val="00726F28"/>
    <w:rsid w:val="0072728B"/>
    <w:rsid w:val="007278B4"/>
    <w:rsid w:val="00730524"/>
    <w:rsid w:val="007307A0"/>
    <w:rsid w:val="007307CB"/>
    <w:rsid w:val="00730C15"/>
    <w:rsid w:val="00730EB7"/>
    <w:rsid w:val="00730F13"/>
    <w:rsid w:val="0073105F"/>
    <w:rsid w:val="00731137"/>
    <w:rsid w:val="00731736"/>
    <w:rsid w:val="0073209A"/>
    <w:rsid w:val="00732AF7"/>
    <w:rsid w:val="007331AB"/>
    <w:rsid w:val="00733B8F"/>
    <w:rsid w:val="00734555"/>
    <w:rsid w:val="00734687"/>
    <w:rsid w:val="00734D50"/>
    <w:rsid w:val="00735688"/>
    <w:rsid w:val="007357AC"/>
    <w:rsid w:val="00735B0D"/>
    <w:rsid w:val="00735E19"/>
    <w:rsid w:val="0073615B"/>
    <w:rsid w:val="007363EF"/>
    <w:rsid w:val="007364F2"/>
    <w:rsid w:val="00736ADE"/>
    <w:rsid w:val="007370C3"/>
    <w:rsid w:val="0073769F"/>
    <w:rsid w:val="00737704"/>
    <w:rsid w:val="00737BB2"/>
    <w:rsid w:val="00740620"/>
    <w:rsid w:val="00740879"/>
    <w:rsid w:val="007409AB"/>
    <w:rsid w:val="00740A92"/>
    <w:rsid w:val="00740EE9"/>
    <w:rsid w:val="00741237"/>
    <w:rsid w:val="007417C5"/>
    <w:rsid w:val="007419B6"/>
    <w:rsid w:val="007419FB"/>
    <w:rsid w:val="00741BC2"/>
    <w:rsid w:val="00741C05"/>
    <w:rsid w:val="00742169"/>
    <w:rsid w:val="007425C3"/>
    <w:rsid w:val="00742725"/>
    <w:rsid w:val="00742B4E"/>
    <w:rsid w:val="0074304F"/>
    <w:rsid w:val="00743764"/>
    <w:rsid w:val="0074387F"/>
    <w:rsid w:val="007439EF"/>
    <w:rsid w:val="00743B85"/>
    <w:rsid w:val="00744432"/>
    <w:rsid w:val="00744D94"/>
    <w:rsid w:val="00744FC0"/>
    <w:rsid w:val="007456F7"/>
    <w:rsid w:val="0074586E"/>
    <w:rsid w:val="00745FD7"/>
    <w:rsid w:val="00746122"/>
    <w:rsid w:val="007465E7"/>
    <w:rsid w:val="0074660E"/>
    <w:rsid w:val="007469F4"/>
    <w:rsid w:val="00747006"/>
    <w:rsid w:val="0074703E"/>
    <w:rsid w:val="00747562"/>
    <w:rsid w:val="007477EC"/>
    <w:rsid w:val="00747C79"/>
    <w:rsid w:val="0075056C"/>
    <w:rsid w:val="00750A52"/>
    <w:rsid w:val="00751755"/>
    <w:rsid w:val="00751DD2"/>
    <w:rsid w:val="0075268B"/>
    <w:rsid w:val="00752707"/>
    <w:rsid w:val="00753C91"/>
    <w:rsid w:val="0075451D"/>
    <w:rsid w:val="007545D5"/>
    <w:rsid w:val="0075477F"/>
    <w:rsid w:val="00754A55"/>
    <w:rsid w:val="00754ABD"/>
    <w:rsid w:val="00754ACD"/>
    <w:rsid w:val="00754D72"/>
    <w:rsid w:val="00755064"/>
    <w:rsid w:val="00755497"/>
    <w:rsid w:val="00755961"/>
    <w:rsid w:val="00755CEA"/>
    <w:rsid w:val="007563DB"/>
    <w:rsid w:val="0075645E"/>
    <w:rsid w:val="007565E7"/>
    <w:rsid w:val="007566EF"/>
    <w:rsid w:val="00757532"/>
    <w:rsid w:val="00757776"/>
    <w:rsid w:val="00757963"/>
    <w:rsid w:val="0076008C"/>
    <w:rsid w:val="00760092"/>
    <w:rsid w:val="00760160"/>
    <w:rsid w:val="007604BA"/>
    <w:rsid w:val="007604C3"/>
    <w:rsid w:val="007605AA"/>
    <w:rsid w:val="0076099F"/>
    <w:rsid w:val="00760B5D"/>
    <w:rsid w:val="00761633"/>
    <w:rsid w:val="00762CF1"/>
    <w:rsid w:val="00762E49"/>
    <w:rsid w:val="00763189"/>
    <w:rsid w:val="00763D94"/>
    <w:rsid w:val="00764245"/>
    <w:rsid w:val="007643B6"/>
    <w:rsid w:val="0076518F"/>
    <w:rsid w:val="0076568C"/>
    <w:rsid w:val="00765A27"/>
    <w:rsid w:val="00765C49"/>
    <w:rsid w:val="00765E17"/>
    <w:rsid w:val="00766197"/>
    <w:rsid w:val="00766411"/>
    <w:rsid w:val="007664CA"/>
    <w:rsid w:val="007669F2"/>
    <w:rsid w:val="0076753D"/>
    <w:rsid w:val="0076771B"/>
    <w:rsid w:val="00767BE1"/>
    <w:rsid w:val="00770DA9"/>
    <w:rsid w:val="00771920"/>
    <w:rsid w:val="00772991"/>
    <w:rsid w:val="00772A5B"/>
    <w:rsid w:val="00773479"/>
    <w:rsid w:val="00773861"/>
    <w:rsid w:val="00773A72"/>
    <w:rsid w:val="00774371"/>
    <w:rsid w:val="00774D1C"/>
    <w:rsid w:val="00775381"/>
    <w:rsid w:val="0077563C"/>
    <w:rsid w:val="0077641C"/>
    <w:rsid w:val="00776AED"/>
    <w:rsid w:val="007779E9"/>
    <w:rsid w:val="00780A3C"/>
    <w:rsid w:val="00781857"/>
    <w:rsid w:val="00781955"/>
    <w:rsid w:val="00781D4A"/>
    <w:rsid w:val="00781D6C"/>
    <w:rsid w:val="00782572"/>
    <w:rsid w:val="00782856"/>
    <w:rsid w:val="00782D53"/>
    <w:rsid w:val="007831C9"/>
    <w:rsid w:val="0078334D"/>
    <w:rsid w:val="00783412"/>
    <w:rsid w:val="00783E41"/>
    <w:rsid w:val="00784056"/>
    <w:rsid w:val="007841D3"/>
    <w:rsid w:val="007843EB"/>
    <w:rsid w:val="007847C0"/>
    <w:rsid w:val="00784B08"/>
    <w:rsid w:val="007852DA"/>
    <w:rsid w:val="007855B2"/>
    <w:rsid w:val="007856F6"/>
    <w:rsid w:val="00785F31"/>
    <w:rsid w:val="007863D4"/>
    <w:rsid w:val="007871BB"/>
    <w:rsid w:val="007872EB"/>
    <w:rsid w:val="00787752"/>
    <w:rsid w:val="00787B1A"/>
    <w:rsid w:val="00787C06"/>
    <w:rsid w:val="0079054E"/>
    <w:rsid w:val="007910BD"/>
    <w:rsid w:val="00791BB6"/>
    <w:rsid w:val="0079205F"/>
    <w:rsid w:val="00792633"/>
    <w:rsid w:val="00793380"/>
    <w:rsid w:val="007936B7"/>
    <w:rsid w:val="00793ACE"/>
    <w:rsid w:val="00793D0D"/>
    <w:rsid w:val="00793D26"/>
    <w:rsid w:val="00793E31"/>
    <w:rsid w:val="00794152"/>
    <w:rsid w:val="0079453F"/>
    <w:rsid w:val="00794652"/>
    <w:rsid w:val="00794B63"/>
    <w:rsid w:val="00794D45"/>
    <w:rsid w:val="00794FE9"/>
    <w:rsid w:val="0079504D"/>
    <w:rsid w:val="00795E3D"/>
    <w:rsid w:val="0079607E"/>
    <w:rsid w:val="007961A0"/>
    <w:rsid w:val="0079697E"/>
    <w:rsid w:val="00796B5D"/>
    <w:rsid w:val="00797780"/>
    <w:rsid w:val="00797A49"/>
    <w:rsid w:val="00797C31"/>
    <w:rsid w:val="00797DB9"/>
    <w:rsid w:val="007A06D6"/>
    <w:rsid w:val="007A0FDC"/>
    <w:rsid w:val="007A16D8"/>
    <w:rsid w:val="007A24DA"/>
    <w:rsid w:val="007A3458"/>
    <w:rsid w:val="007A37BD"/>
    <w:rsid w:val="007A4421"/>
    <w:rsid w:val="007A47E2"/>
    <w:rsid w:val="007A4872"/>
    <w:rsid w:val="007A4919"/>
    <w:rsid w:val="007A5557"/>
    <w:rsid w:val="007A5661"/>
    <w:rsid w:val="007A604C"/>
    <w:rsid w:val="007A6BFC"/>
    <w:rsid w:val="007A6C30"/>
    <w:rsid w:val="007A6F95"/>
    <w:rsid w:val="007A7344"/>
    <w:rsid w:val="007A76D6"/>
    <w:rsid w:val="007A79FA"/>
    <w:rsid w:val="007B048A"/>
    <w:rsid w:val="007B06A2"/>
    <w:rsid w:val="007B08CF"/>
    <w:rsid w:val="007B0B65"/>
    <w:rsid w:val="007B0BC6"/>
    <w:rsid w:val="007B0D2B"/>
    <w:rsid w:val="007B0D53"/>
    <w:rsid w:val="007B105C"/>
    <w:rsid w:val="007B1B1A"/>
    <w:rsid w:val="007B1B8C"/>
    <w:rsid w:val="007B202F"/>
    <w:rsid w:val="007B20AF"/>
    <w:rsid w:val="007B220A"/>
    <w:rsid w:val="007B2432"/>
    <w:rsid w:val="007B2C03"/>
    <w:rsid w:val="007B2EDE"/>
    <w:rsid w:val="007B3214"/>
    <w:rsid w:val="007B417D"/>
    <w:rsid w:val="007B42B5"/>
    <w:rsid w:val="007B4C85"/>
    <w:rsid w:val="007B50DD"/>
    <w:rsid w:val="007B5220"/>
    <w:rsid w:val="007B5B03"/>
    <w:rsid w:val="007B5D0B"/>
    <w:rsid w:val="007B612D"/>
    <w:rsid w:val="007B6478"/>
    <w:rsid w:val="007B66DB"/>
    <w:rsid w:val="007B72A8"/>
    <w:rsid w:val="007B730D"/>
    <w:rsid w:val="007B7365"/>
    <w:rsid w:val="007B74CA"/>
    <w:rsid w:val="007B7906"/>
    <w:rsid w:val="007C02B5"/>
    <w:rsid w:val="007C0ECF"/>
    <w:rsid w:val="007C10BA"/>
    <w:rsid w:val="007C10F8"/>
    <w:rsid w:val="007C1914"/>
    <w:rsid w:val="007C1A52"/>
    <w:rsid w:val="007C1AE6"/>
    <w:rsid w:val="007C20B9"/>
    <w:rsid w:val="007C27D4"/>
    <w:rsid w:val="007C285D"/>
    <w:rsid w:val="007C2B5B"/>
    <w:rsid w:val="007C2F8D"/>
    <w:rsid w:val="007C354D"/>
    <w:rsid w:val="007C3709"/>
    <w:rsid w:val="007C3B41"/>
    <w:rsid w:val="007C3F62"/>
    <w:rsid w:val="007C3F82"/>
    <w:rsid w:val="007C41B1"/>
    <w:rsid w:val="007C436B"/>
    <w:rsid w:val="007C4D1C"/>
    <w:rsid w:val="007C4EFE"/>
    <w:rsid w:val="007C5051"/>
    <w:rsid w:val="007C5260"/>
    <w:rsid w:val="007C58E9"/>
    <w:rsid w:val="007C651D"/>
    <w:rsid w:val="007C6A13"/>
    <w:rsid w:val="007C6D27"/>
    <w:rsid w:val="007C6EDA"/>
    <w:rsid w:val="007C71D1"/>
    <w:rsid w:val="007C7EB9"/>
    <w:rsid w:val="007D1340"/>
    <w:rsid w:val="007D15E3"/>
    <w:rsid w:val="007D189C"/>
    <w:rsid w:val="007D1CCE"/>
    <w:rsid w:val="007D222A"/>
    <w:rsid w:val="007D29E6"/>
    <w:rsid w:val="007D29F3"/>
    <w:rsid w:val="007D2D15"/>
    <w:rsid w:val="007D2E47"/>
    <w:rsid w:val="007D2E8E"/>
    <w:rsid w:val="007D2EB9"/>
    <w:rsid w:val="007D30C2"/>
    <w:rsid w:val="007D33AC"/>
    <w:rsid w:val="007D411D"/>
    <w:rsid w:val="007D41E4"/>
    <w:rsid w:val="007D4E66"/>
    <w:rsid w:val="007D524B"/>
    <w:rsid w:val="007D5883"/>
    <w:rsid w:val="007D5AA2"/>
    <w:rsid w:val="007D5CE4"/>
    <w:rsid w:val="007D6172"/>
    <w:rsid w:val="007D635B"/>
    <w:rsid w:val="007D64D1"/>
    <w:rsid w:val="007D76B7"/>
    <w:rsid w:val="007E0122"/>
    <w:rsid w:val="007E01D4"/>
    <w:rsid w:val="007E0229"/>
    <w:rsid w:val="007E02AA"/>
    <w:rsid w:val="007E02E1"/>
    <w:rsid w:val="007E03C7"/>
    <w:rsid w:val="007E04C9"/>
    <w:rsid w:val="007E0A14"/>
    <w:rsid w:val="007E0A90"/>
    <w:rsid w:val="007E0DA5"/>
    <w:rsid w:val="007E1518"/>
    <w:rsid w:val="007E2353"/>
    <w:rsid w:val="007E2BE6"/>
    <w:rsid w:val="007E2F15"/>
    <w:rsid w:val="007E31D0"/>
    <w:rsid w:val="007E320B"/>
    <w:rsid w:val="007E37E5"/>
    <w:rsid w:val="007E3884"/>
    <w:rsid w:val="007E3A3B"/>
    <w:rsid w:val="007E4136"/>
    <w:rsid w:val="007E43F5"/>
    <w:rsid w:val="007E4827"/>
    <w:rsid w:val="007E4F9A"/>
    <w:rsid w:val="007E50BF"/>
    <w:rsid w:val="007E5409"/>
    <w:rsid w:val="007E562C"/>
    <w:rsid w:val="007E5A4E"/>
    <w:rsid w:val="007E5BA2"/>
    <w:rsid w:val="007E6418"/>
    <w:rsid w:val="007E6492"/>
    <w:rsid w:val="007E6895"/>
    <w:rsid w:val="007E6AD8"/>
    <w:rsid w:val="007E7772"/>
    <w:rsid w:val="007E79BC"/>
    <w:rsid w:val="007E7CF4"/>
    <w:rsid w:val="007F091B"/>
    <w:rsid w:val="007F0AA4"/>
    <w:rsid w:val="007F1115"/>
    <w:rsid w:val="007F13D2"/>
    <w:rsid w:val="007F19E5"/>
    <w:rsid w:val="007F1C94"/>
    <w:rsid w:val="007F1D78"/>
    <w:rsid w:val="007F20D4"/>
    <w:rsid w:val="007F279F"/>
    <w:rsid w:val="007F2A1F"/>
    <w:rsid w:val="007F2E02"/>
    <w:rsid w:val="007F31C3"/>
    <w:rsid w:val="007F3542"/>
    <w:rsid w:val="007F3621"/>
    <w:rsid w:val="007F42A1"/>
    <w:rsid w:val="007F47A0"/>
    <w:rsid w:val="007F4A7C"/>
    <w:rsid w:val="007F4A95"/>
    <w:rsid w:val="007F4DE1"/>
    <w:rsid w:val="007F502C"/>
    <w:rsid w:val="007F5356"/>
    <w:rsid w:val="007F5617"/>
    <w:rsid w:val="007F5A5D"/>
    <w:rsid w:val="007F5B9B"/>
    <w:rsid w:val="007F64D4"/>
    <w:rsid w:val="007F6558"/>
    <w:rsid w:val="007F701C"/>
    <w:rsid w:val="007F72DC"/>
    <w:rsid w:val="007F74EE"/>
    <w:rsid w:val="007F76E6"/>
    <w:rsid w:val="007F773D"/>
    <w:rsid w:val="007F7BDE"/>
    <w:rsid w:val="007F7FC1"/>
    <w:rsid w:val="00800059"/>
    <w:rsid w:val="00800172"/>
    <w:rsid w:val="008003C3"/>
    <w:rsid w:val="008007E2"/>
    <w:rsid w:val="00800831"/>
    <w:rsid w:val="008008EB"/>
    <w:rsid w:val="0080117F"/>
    <w:rsid w:val="00801BD7"/>
    <w:rsid w:val="00802A4F"/>
    <w:rsid w:val="00802A51"/>
    <w:rsid w:val="00802E8D"/>
    <w:rsid w:val="008031FC"/>
    <w:rsid w:val="00803276"/>
    <w:rsid w:val="00803AE1"/>
    <w:rsid w:val="00804032"/>
    <w:rsid w:val="00804348"/>
    <w:rsid w:val="0080443B"/>
    <w:rsid w:val="008051F2"/>
    <w:rsid w:val="008052A4"/>
    <w:rsid w:val="00805F0E"/>
    <w:rsid w:val="0080657B"/>
    <w:rsid w:val="0080697C"/>
    <w:rsid w:val="008069A4"/>
    <w:rsid w:val="008070F4"/>
    <w:rsid w:val="00807561"/>
    <w:rsid w:val="008078D3"/>
    <w:rsid w:val="00807AFD"/>
    <w:rsid w:val="00810172"/>
    <w:rsid w:val="008108BB"/>
    <w:rsid w:val="008108BE"/>
    <w:rsid w:val="008108F3"/>
    <w:rsid w:val="00810C0C"/>
    <w:rsid w:val="00810CEF"/>
    <w:rsid w:val="00810D60"/>
    <w:rsid w:val="0081152A"/>
    <w:rsid w:val="00811782"/>
    <w:rsid w:val="00811905"/>
    <w:rsid w:val="00811C9A"/>
    <w:rsid w:val="00812560"/>
    <w:rsid w:val="00812947"/>
    <w:rsid w:val="0081341C"/>
    <w:rsid w:val="008136D7"/>
    <w:rsid w:val="00814724"/>
    <w:rsid w:val="00814AB3"/>
    <w:rsid w:val="00814CF8"/>
    <w:rsid w:val="008152C0"/>
    <w:rsid w:val="0081569F"/>
    <w:rsid w:val="00815A70"/>
    <w:rsid w:val="00815DAF"/>
    <w:rsid w:val="0081660A"/>
    <w:rsid w:val="00817B6F"/>
    <w:rsid w:val="00817B8A"/>
    <w:rsid w:val="00817E3E"/>
    <w:rsid w:val="008203B4"/>
    <w:rsid w:val="0082065D"/>
    <w:rsid w:val="00820C44"/>
    <w:rsid w:val="00820FF2"/>
    <w:rsid w:val="00821590"/>
    <w:rsid w:val="00821D03"/>
    <w:rsid w:val="008220B9"/>
    <w:rsid w:val="008226BA"/>
    <w:rsid w:val="0082297B"/>
    <w:rsid w:val="00822C6C"/>
    <w:rsid w:val="00823061"/>
    <w:rsid w:val="008230FE"/>
    <w:rsid w:val="0082360F"/>
    <w:rsid w:val="008236B6"/>
    <w:rsid w:val="008236DA"/>
    <w:rsid w:val="00823A68"/>
    <w:rsid w:val="00823CA3"/>
    <w:rsid w:val="00823D6B"/>
    <w:rsid w:val="00823D97"/>
    <w:rsid w:val="00824A00"/>
    <w:rsid w:val="00824CB8"/>
    <w:rsid w:val="00825E0F"/>
    <w:rsid w:val="008264ED"/>
    <w:rsid w:val="008266F3"/>
    <w:rsid w:val="008268EA"/>
    <w:rsid w:val="008269C5"/>
    <w:rsid w:val="00826A1B"/>
    <w:rsid w:val="00827B59"/>
    <w:rsid w:val="0083015C"/>
    <w:rsid w:val="008305D2"/>
    <w:rsid w:val="00830BC8"/>
    <w:rsid w:val="00830F7D"/>
    <w:rsid w:val="00831040"/>
    <w:rsid w:val="008314C8"/>
    <w:rsid w:val="0083159F"/>
    <w:rsid w:val="00831746"/>
    <w:rsid w:val="008319E9"/>
    <w:rsid w:val="00831DA9"/>
    <w:rsid w:val="008321CB"/>
    <w:rsid w:val="0083221A"/>
    <w:rsid w:val="00833DD6"/>
    <w:rsid w:val="0083470E"/>
    <w:rsid w:val="00834C64"/>
    <w:rsid w:val="00834E9A"/>
    <w:rsid w:val="00835347"/>
    <w:rsid w:val="00835D49"/>
    <w:rsid w:val="00835DF3"/>
    <w:rsid w:val="00836C4D"/>
    <w:rsid w:val="008372CC"/>
    <w:rsid w:val="00837497"/>
    <w:rsid w:val="00837BC6"/>
    <w:rsid w:val="00837C96"/>
    <w:rsid w:val="00837EA9"/>
    <w:rsid w:val="00840452"/>
    <w:rsid w:val="00840673"/>
    <w:rsid w:val="0084072D"/>
    <w:rsid w:val="00840804"/>
    <w:rsid w:val="00840C55"/>
    <w:rsid w:val="00841B1E"/>
    <w:rsid w:val="00841CD3"/>
    <w:rsid w:val="00842359"/>
    <w:rsid w:val="0084294F"/>
    <w:rsid w:val="00842B03"/>
    <w:rsid w:val="00843019"/>
    <w:rsid w:val="0084307D"/>
    <w:rsid w:val="0084343E"/>
    <w:rsid w:val="008439D5"/>
    <w:rsid w:val="00843BB8"/>
    <w:rsid w:val="008442B7"/>
    <w:rsid w:val="00845526"/>
    <w:rsid w:val="008459EF"/>
    <w:rsid w:val="00845A24"/>
    <w:rsid w:val="00845E94"/>
    <w:rsid w:val="008462A2"/>
    <w:rsid w:val="008464E0"/>
    <w:rsid w:val="00846529"/>
    <w:rsid w:val="008471B2"/>
    <w:rsid w:val="00847468"/>
    <w:rsid w:val="00847AE8"/>
    <w:rsid w:val="00847C85"/>
    <w:rsid w:val="00847D47"/>
    <w:rsid w:val="0085061E"/>
    <w:rsid w:val="008508EF"/>
    <w:rsid w:val="0085098A"/>
    <w:rsid w:val="00850C17"/>
    <w:rsid w:val="00850D4D"/>
    <w:rsid w:val="0085143B"/>
    <w:rsid w:val="00851716"/>
    <w:rsid w:val="00852DE2"/>
    <w:rsid w:val="0085337C"/>
    <w:rsid w:val="00853389"/>
    <w:rsid w:val="008534B0"/>
    <w:rsid w:val="00853E8E"/>
    <w:rsid w:val="00853F1C"/>
    <w:rsid w:val="00854192"/>
    <w:rsid w:val="008545DA"/>
    <w:rsid w:val="00854797"/>
    <w:rsid w:val="00854ABC"/>
    <w:rsid w:val="00854B90"/>
    <w:rsid w:val="00854C5D"/>
    <w:rsid w:val="0085632F"/>
    <w:rsid w:val="008567F7"/>
    <w:rsid w:val="00856F70"/>
    <w:rsid w:val="00857429"/>
    <w:rsid w:val="0085755D"/>
    <w:rsid w:val="008575CB"/>
    <w:rsid w:val="0085786B"/>
    <w:rsid w:val="008579BF"/>
    <w:rsid w:val="00857B8F"/>
    <w:rsid w:val="00857D94"/>
    <w:rsid w:val="00857F39"/>
    <w:rsid w:val="008604C2"/>
    <w:rsid w:val="008604E4"/>
    <w:rsid w:val="00860DB6"/>
    <w:rsid w:val="00860E0C"/>
    <w:rsid w:val="00861C05"/>
    <w:rsid w:val="00861F86"/>
    <w:rsid w:val="008623E7"/>
    <w:rsid w:val="00862FCC"/>
    <w:rsid w:val="008633BB"/>
    <w:rsid w:val="00863401"/>
    <w:rsid w:val="0086340E"/>
    <w:rsid w:val="00863CD5"/>
    <w:rsid w:val="00864419"/>
    <w:rsid w:val="00864E07"/>
    <w:rsid w:val="0086502B"/>
    <w:rsid w:val="008652B2"/>
    <w:rsid w:val="008655AD"/>
    <w:rsid w:val="00865A43"/>
    <w:rsid w:val="00865A67"/>
    <w:rsid w:val="00865EF1"/>
    <w:rsid w:val="00865F02"/>
    <w:rsid w:val="00866299"/>
    <w:rsid w:val="00866441"/>
    <w:rsid w:val="0086674B"/>
    <w:rsid w:val="00866B3B"/>
    <w:rsid w:val="00866C43"/>
    <w:rsid w:val="00866CA4"/>
    <w:rsid w:val="00866E97"/>
    <w:rsid w:val="008674C3"/>
    <w:rsid w:val="00867CC4"/>
    <w:rsid w:val="00867EA6"/>
    <w:rsid w:val="00867ED5"/>
    <w:rsid w:val="00870022"/>
    <w:rsid w:val="00870273"/>
    <w:rsid w:val="0087045F"/>
    <w:rsid w:val="0087070D"/>
    <w:rsid w:val="008712E0"/>
    <w:rsid w:val="0087156B"/>
    <w:rsid w:val="00871814"/>
    <w:rsid w:val="008719B5"/>
    <w:rsid w:val="00871B4A"/>
    <w:rsid w:val="00871B9B"/>
    <w:rsid w:val="00871F58"/>
    <w:rsid w:val="008729D9"/>
    <w:rsid w:val="00872C39"/>
    <w:rsid w:val="008730AD"/>
    <w:rsid w:val="008731BE"/>
    <w:rsid w:val="008732F3"/>
    <w:rsid w:val="008733FA"/>
    <w:rsid w:val="008739FD"/>
    <w:rsid w:val="00873FE2"/>
    <w:rsid w:val="0087400F"/>
    <w:rsid w:val="00874263"/>
    <w:rsid w:val="00874373"/>
    <w:rsid w:val="008747AE"/>
    <w:rsid w:val="008749E2"/>
    <w:rsid w:val="0087544F"/>
    <w:rsid w:val="00875731"/>
    <w:rsid w:val="0087631D"/>
    <w:rsid w:val="00876FE6"/>
    <w:rsid w:val="0087717B"/>
    <w:rsid w:val="00877757"/>
    <w:rsid w:val="00877789"/>
    <w:rsid w:val="00877E1B"/>
    <w:rsid w:val="008801E6"/>
    <w:rsid w:val="00880416"/>
    <w:rsid w:val="00880B01"/>
    <w:rsid w:val="00880C8E"/>
    <w:rsid w:val="0088108C"/>
    <w:rsid w:val="008811A4"/>
    <w:rsid w:val="0088186D"/>
    <w:rsid w:val="00881A19"/>
    <w:rsid w:val="00881DC1"/>
    <w:rsid w:val="008824B0"/>
    <w:rsid w:val="008824EF"/>
    <w:rsid w:val="0088257C"/>
    <w:rsid w:val="0088276A"/>
    <w:rsid w:val="008827E9"/>
    <w:rsid w:val="0088297E"/>
    <w:rsid w:val="00882C6C"/>
    <w:rsid w:val="00882FA8"/>
    <w:rsid w:val="008832FF"/>
    <w:rsid w:val="008833D4"/>
    <w:rsid w:val="0088367A"/>
    <w:rsid w:val="008837ED"/>
    <w:rsid w:val="0088391C"/>
    <w:rsid w:val="0088414F"/>
    <w:rsid w:val="0088435F"/>
    <w:rsid w:val="008846FB"/>
    <w:rsid w:val="0088484D"/>
    <w:rsid w:val="00884A19"/>
    <w:rsid w:val="00884A36"/>
    <w:rsid w:val="00884AAA"/>
    <w:rsid w:val="00884AC7"/>
    <w:rsid w:val="008852EC"/>
    <w:rsid w:val="00885668"/>
    <w:rsid w:val="00885CA4"/>
    <w:rsid w:val="00885D98"/>
    <w:rsid w:val="00886008"/>
    <w:rsid w:val="0088613D"/>
    <w:rsid w:val="00886249"/>
    <w:rsid w:val="00886B38"/>
    <w:rsid w:val="00886C46"/>
    <w:rsid w:val="00886CA4"/>
    <w:rsid w:val="008872E5"/>
    <w:rsid w:val="0089003E"/>
    <w:rsid w:val="008905D9"/>
    <w:rsid w:val="008908A9"/>
    <w:rsid w:val="00890EDD"/>
    <w:rsid w:val="0089103D"/>
    <w:rsid w:val="008911CE"/>
    <w:rsid w:val="008912CD"/>
    <w:rsid w:val="008917C2"/>
    <w:rsid w:val="00891AED"/>
    <w:rsid w:val="00891EC2"/>
    <w:rsid w:val="00892D67"/>
    <w:rsid w:val="00892DB8"/>
    <w:rsid w:val="008931A6"/>
    <w:rsid w:val="00893521"/>
    <w:rsid w:val="00893605"/>
    <w:rsid w:val="0089396B"/>
    <w:rsid w:val="00893BB1"/>
    <w:rsid w:val="00894099"/>
    <w:rsid w:val="008940EB"/>
    <w:rsid w:val="0089496D"/>
    <w:rsid w:val="00894D9F"/>
    <w:rsid w:val="00894FF3"/>
    <w:rsid w:val="008951B3"/>
    <w:rsid w:val="0089539B"/>
    <w:rsid w:val="0089542F"/>
    <w:rsid w:val="0089558C"/>
    <w:rsid w:val="0089567D"/>
    <w:rsid w:val="00895EFB"/>
    <w:rsid w:val="008963F5"/>
    <w:rsid w:val="008967E6"/>
    <w:rsid w:val="00896C3C"/>
    <w:rsid w:val="00897002"/>
    <w:rsid w:val="0089704D"/>
    <w:rsid w:val="0089713F"/>
    <w:rsid w:val="008971D7"/>
    <w:rsid w:val="008972FF"/>
    <w:rsid w:val="008974E7"/>
    <w:rsid w:val="00897708"/>
    <w:rsid w:val="008A002F"/>
    <w:rsid w:val="008A050C"/>
    <w:rsid w:val="008A09A6"/>
    <w:rsid w:val="008A135D"/>
    <w:rsid w:val="008A1A0A"/>
    <w:rsid w:val="008A1E65"/>
    <w:rsid w:val="008A249F"/>
    <w:rsid w:val="008A28CD"/>
    <w:rsid w:val="008A2DCB"/>
    <w:rsid w:val="008A3297"/>
    <w:rsid w:val="008A3564"/>
    <w:rsid w:val="008A3747"/>
    <w:rsid w:val="008A3D16"/>
    <w:rsid w:val="008A3FCB"/>
    <w:rsid w:val="008A4A53"/>
    <w:rsid w:val="008A4E82"/>
    <w:rsid w:val="008A54CF"/>
    <w:rsid w:val="008A55F1"/>
    <w:rsid w:val="008A5806"/>
    <w:rsid w:val="008A587C"/>
    <w:rsid w:val="008A5D51"/>
    <w:rsid w:val="008A6285"/>
    <w:rsid w:val="008A69F5"/>
    <w:rsid w:val="008A6D12"/>
    <w:rsid w:val="008A6D6D"/>
    <w:rsid w:val="008A7082"/>
    <w:rsid w:val="008A7213"/>
    <w:rsid w:val="008A7224"/>
    <w:rsid w:val="008A744A"/>
    <w:rsid w:val="008A7502"/>
    <w:rsid w:val="008A7BFF"/>
    <w:rsid w:val="008B01D4"/>
    <w:rsid w:val="008B08F2"/>
    <w:rsid w:val="008B10DB"/>
    <w:rsid w:val="008B1159"/>
    <w:rsid w:val="008B1870"/>
    <w:rsid w:val="008B18F3"/>
    <w:rsid w:val="008B1B10"/>
    <w:rsid w:val="008B2DFE"/>
    <w:rsid w:val="008B2E58"/>
    <w:rsid w:val="008B331C"/>
    <w:rsid w:val="008B3392"/>
    <w:rsid w:val="008B33D6"/>
    <w:rsid w:val="008B35E7"/>
    <w:rsid w:val="008B3781"/>
    <w:rsid w:val="008B3E2F"/>
    <w:rsid w:val="008B3FE6"/>
    <w:rsid w:val="008B4836"/>
    <w:rsid w:val="008B4ED1"/>
    <w:rsid w:val="008B4FAE"/>
    <w:rsid w:val="008B5148"/>
    <w:rsid w:val="008B5255"/>
    <w:rsid w:val="008B5CC3"/>
    <w:rsid w:val="008B6245"/>
    <w:rsid w:val="008B6383"/>
    <w:rsid w:val="008B6797"/>
    <w:rsid w:val="008B7D22"/>
    <w:rsid w:val="008C018E"/>
    <w:rsid w:val="008C01DC"/>
    <w:rsid w:val="008C06C6"/>
    <w:rsid w:val="008C101A"/>
    <w:rsid w:val="008C143A"/>
    <w:rsid w:val="008C1A92"/>
    <w:rsid w:val="008C1D4B"/>
    <w:rsid w:val="008C216F"/>
    <w:rsid w:val="008C2278"/>
    <w:rsid w:val="008C260D"/>
    <w:rsid w:val="008C295F"/>
    <w:rsid w:val="008C2C29"/>
    <w:rsid w:val="008C33E8"/>
    <w:rsid w:val="008C4232"/>
    <w:rsid w:val="008C4D61"/>
    <w:rsid w:val="008C5122"/>
    <w:rsid w:val="008C5405"/>
    <w:rsid w:val="008C54C1"/>
    <w:rsid w:val="008C556F"/>
    <w:rsid w:val="008C562D"/>
    <w:rsid w:val="008C59F8"/>
    <w:rsid w:val="008C603D"/>
    <w:rsid w:val="008C682C"/>
    <w:rsid w:val="008C7059"/>
    <w:rsid w:val="008C7E97"/>
    <w:rsid w:val="008C7EE0"/>
    <w:rsid w:val="008C7F77"/>
    <w:rsid w:val="008D0033"/>
    <w:rsid w:val="008D0653"/>
    <w:rsid w:val="008D0884"/>
    <w:rsid w:val="008D0FF9"/>
    <w:rsid w:val="008D10F1"/>
    <w:rsid w:val="008D172D"/>
    <w:rsid w:val="008D17DB"/>
    <w:rsid w:val="008D1A81"/>
    <w:rsid w:val="008D24AD"/>
    <w:rsid w:val="008D28D7"/>
    <w:rsid w:val="008D29D3"/>
    <w:rsid w:val="008D2B6F"/>
    <w:rsid w:val="008D2EAE"/>
    <w:rsid w:val="008D2FEC"/>
    <w:rsid w:val="008D35D0"/>
    <w:rsid w:val="008D3809"/>
    <w:rsid w:val="008D3D74"/>
    <w:rsid w:val="008D4A44"/>
    <w:rsid w:val="008D4B84"/>
    <w:rsid w:val="008D55A2"/>
    <w:rsid w:val="008D55E9"/>
    <w:rsid w:val="008D55FD"/>
    <w:rsid w:val="008D5934"/>
    <w:rsid w:val="008D5B17"/>
    <w:rsid w:val="008D629B"/>
    <w:rsid w:val="008D63C2"/>
    <w:rsid w:val="008D663F"/>
    <w:rsid w:val="008D687F"/>
    <w:rsid w:val="008D6FBB"/>
    <w:rsid w:val="008D711E"/>
    <w:rsid w:val="008D71AA"/>
    <w:rsid w:val="008D733A"/>
    <w:rsid w:val="008D778A"/>
    <w:rsid w:val="008D7830"/>
    <w:rsid w:val="008D7D79"/>
    <w:rsid w:val="008E01CB"/>
    <w:rsid w:val="008E0228"/>
    <w:rsid w:val="008E04A0"/>
    <w:rsid w:val="008E136B"/>
    <w:rsid w:val="008E19F4"/>
    <w:rsid w:val="008E1A65"/>
    <w:rsid w:val="008E1D05"/>
    <w:rsid w:val="008E1EFE"/>
    <w:rsid w:val="008E27EA"/>
    <w:rsid w:val="008E2A01"/>
    <w:rsid w:val="008E2F59"/>
    <w:rsid w:val="008E36DD"/>
    <w:rsid w:val="008E3909"/>
    <w:rsid w:val="008E396F"/>
    <w:rsid w:val="008E3EE7"/>
    <w:rsid w:val="008E4D65"/>
    <w:rsid w:val="008E58CC"/>
    <w:rsid w:val="008E5923"/>
    <w:rsid w:val="008E66A8"/>
    <w:rsid w:val="008E6964"/>
    <w:rsid w:val="008E6B1C"/>
    <w:rsid w:val="008E6E66"/>
    <w:rsid w:val="008E75A7"/>
    <w:rsid w:val="008E79E3"/>
    <w:rsid w:val="008E7C0F"/>
    <w:rsid w:val="008F0AB0"/>
    <w:rsid w:val="008F0C91"/>
    <w:rsid w:val="008F1086"/>
    <w:rsid w:val="008F1308"/>
    <w:rsid w:val="008F14BF"/>
    <w:rsid w:val="008F1ABB"/>
    <w:rsid w:val="008F1DFA"/>
    <w:rsid w:val="008F1E0B"/>
    <w:rsid w:val="008F33A4"/>
    <w:rsid w:val="008F34E5"/>
    <w:rsid w:val="008F3578"/>
    <w:rsid w:val="008F3625"/>
    <w:rsid w:val="008F3BEE"/>
    <w:rsid w:val="008F4F37"/>
    <w:rsid w:val="008F55F3"/>
    <w:rsid w:val="008F5892"/>
    <w:rsid w:val="008F59C7"/>
    <w:rsid w:val="008F5C0F"/>
    <w:rsid w:val="008F5CDB"/>
    <w:rsid w:val="008F5EB9"/>
    <w:rsid w:val="008F5EF1"/>
    <w:rsid w:val="008F5F4B"/>
    <w:rsid w:val="008F6517"/>
    <w:rsid w:val="008F6AF0"/>
    <w:rsid w:val="008F6BDF"/>
    <w:rsid w:val="008F6F9F"/>
    <w:rsid w:val="008F7565"/>
    <w:rsid w:val="00900336"/>
    <w:rsid w:val="00900395"/>
    <w:rsid w:val="00900C88"/>
    <w:rsid w:val="00900D13"/>
    <w:rsid w:val="00900FCA"/>
    <w:rsid w:val="0090113D"/>
    <w:rsid w:val="0090113E"/>
    <w:rsid w:val="00901975"/>
    <w:rsid w:val="0090257A"/>
    <w:rsid w:val="0090268E"/>
    <w:rsid w:val="00902E8D"/>
    <w:rsid w:val="00903016"/>
    <w:rsid w:val="00903672"/>
    <w:rsid w:val="00903E1B"/>
    <w:rsid w:val="00904485"/>
    <w:rsid w:val="009049D8"/>
    <w:rsid w:val="00905247"/>
    <w:rsid w:val="009052DA"/>
    <w:rsid w:val="00905A47"/>
    <w:rsid w:val="00905C50"/>
    <w:rsid w:val="00905D89"/>
    <w:rsid w:val="00906775"/>
    <w:rsid w:val="00906A40"/>
    <w:rsid w:val="00906D95"/>
    <w:rsid w:val="00906E7F"/>
    <w:rsid w:val="009070AC"/>
    <w:rsid w:val="00907361"/>
    <w:rsid w:val="00907AF4"/>
    <w:rsid w:val="00910EB7"/>
    <w:rsid w:val="0091106B"/>
    <w:rsid w:val="00911875"/>
    <w:rsid w:val="00911B35"/>
    <w:rsid w:val="00912286"/>
    <w:rsid w:val="009123ED"/>
    <w:rsid w:val="009126BD"/>
    <w:rsid w:val="009126F0"/>
    <w:rsid w:val="009128BE"/>
    <w:rsid w:val="00912AF7"/>
    <w:rsid w:val="0091348A"/>
    <w:rsid w:val="00913A45"/>
    <w:rsid w:val="00913EB1"/>
    <w:rsid w:val="009147DB"/>
    <w:rsid w:val="0091492C"/>
    <w:rsid w:val="00914FCF"/>
    <w:rsid w:val="00915521"/>
    <w:rsid w:val="00915562"/>
    <w:rsid w:val="00915F43"/>
    <w:rsid w:val="00915F5A"/>
    <w:rsid w:val="009165C0"/>
    <w:rsid w:val="00916CE9"/>
    <w:rsid w:val="00916F94"/>
    <w:rsid w:val="00917020"/>
    <w:rsid w:val="009171AE"/>
    <w:rsid w:val="0091721F"/>
    <w:rsid w:val="00917CFB"/>
    <w:rsid w:val="00917DBD"/>
    <w:rsid w:val="00920783"/>
    <w:rsid w:val="009208A8"/>
    <w:rsid w:val="00920B35"/>
    <w:rsid w:val="00920C92"/>
    <w:rsid w:val="00920E1D"/>
    <w:rsid w:val="00921681"/>
    <w:rsid w:val="00921855"/>
    <w:rsid w:val="00921A2A"/>
    <w:rsid w:val="0092202D"/>
    <w:rsid w:val="0092219F"/>
    <w:rsid w:val="00922504"/>
    <w:rsid w:val="00922BAB"/>
    <w:rsid w:val="009230E1"/>
    <w:rsid w:val="009232D5"/>
    <w:rsid w:val="00923C1B"/>
    <w:rsid w:val="00923D9F"/>
    <w:rsid w:val="00923E64"/>
    <w:rsid w:val="00924128"/>
    <w:rsid w:val="009241E0"/>
    <w:rsid w:val="0092508F"/>
    <w:rsid w:val="009251A2"/>
    <w:rsid w:val="00925445"/>
    <w:rsid w:val="00925596"/>
    <w:rsid w:val="009257E5"/>
    <w:rsid w:val="0092588D"/>
    <w:rsid w:val="00925B34"/>
    <w:rsid w:val="00925BF3"/>
    <w:rsid w:val="009270BB"/>
    <w:rsid w:val="0092765E"/>
    <w:rsid w:val="009278E5"/>
    <w:rsid w:val="00927930"/>
    <w:rsid w:val="00930504"/>
    <w:rsid w:val="00930840"/>
    <w:rsid w:val="009308DD"/>
    <w:rsid w:val="00930BE9"/>
    <w:rsid w:val="00930CB8"/>
    <w:rsid w:val="00930E50"/>
    <w:rsid w:val="00931095"/>
    <w:rsid w:val="00931445"/>
    <w:rsid w:val="0093152B"/>
    <w:rsid w:val="00931A2F"/>
    <w:rsid w:val="00932642"/>
    <w:rsid w:val="00932C8B"/>
    <w:rsid w:val="00932E84"/>
    <w:rsid w:val="00932F00"/>
    <w:rsid w:val="009333AB"/>
    <w:rsid w:val="00933487"/>
    <w:rsid w:val="009336E1"/>
    <w:rsid w:val="00933976"/>
    <w:rsid w:val="0093401F"/>
    <w:rsid w:val="00934079"/>
    <w:rsid w:val="00934B83"/>
    <w:rsid w:val="0093568B"/>
    <w:rsid w:val="00935A0B"/>
    <w:rsid w:val="009360FD"/>
    <w:rsid w:val="00936BAF"/>
    <w:rsid w:val="00936CF5"/>
    <w:rsid w:val="00936D82"/>
    <w:rsid w:val="00937368"/>
    <w:rsid w:val="00937423"/>
    <w:rsid w:val="009377AE"/>
    <w:rsid w:val="00937F86"/>
    <w:rsid w:val="00940AD2"/>
    <w:rsid w:val="00940E7F"/>
    <w:rsid w:val="00940EF8"/>
    <w:rsid w:val="009411D3"/>
    <w:rsid w:val="0094158B"/>
    <w:rsid w:val="0094198B"/>
    <w:rsid w:val="0094199B"/>
    <w:rsid w:val="00941A9F"/>
    <w:rsid w:val="00942590"/>
    <w:rsid w:val="00942852"/>
    <w:rsid w:val="00942E0B"/>
    <w:rsid w:val="00943377"/>
    <w:rsid w:val="0094366C"/>
    <w:rsid w:val="009436BB"/>
    <w:rsid w:val="009437E5"/>
    <w:rsid w:val="00943A92"/>
    <w:rsid w:val="00943D01"/>
    <w:rsid w:val="00943E82"/>
    <w:rsid w:val="0094571D"/>
    <w:rsid w:val="00945CE4"/>
    <w:rsid w:val="00946185"/>
    <w:rsid w:val="009464ED"/>
    <w:rsid w:val="00946D23"/>
    <w:rsid w:val="00946F14"/>
    <w:rsid w:val="00947105"/>
    <w:rsid w:val="009471E8"/>
    <w:rsid w:val="00947372"/>
    <w:rsid w:val="00947460"/>
    <w:rsid w:val="00947D2C"/>
    <w:rsid w:val="00950204"/>
    <w:rsid w:val="0095052C"/>
    <w:rsid w:val="009506D4"/>
    <w:rsid w:val="00950A47"/>
    <w:rsid w:val="00950A87"/>
    <w:rsid w:val="00951CDE"/>
    <w:rsid w:val="00952CD9"/>
    <w:rsid w:val="00953005"/>
    <w:rsid w:val="0095388C"/>
    <w:rsid w:val="00954463"/>
    <w:rsid w:val="009544F1"/>
    <w:rsid w:val="00954792"/>
    <w:rsid w:val="00954905"/>
    <w:rsid w:val="00954B7A"/>
    <w:rsid w:val="00954F17"/>
    <w:rsid w:val="00955BA2"/>
    <w:rsid w:val="00955BCC"/>
    <w:rsid w:val="00955DAB"/>
    <w:rsid w:val="0095607B"/>
    <w:rsid w:val="009562CE"/>
    <w:rsid w:val="00956352"/>
    <w:rsid w:val="00956F2A"/>
    <w:rsid w:val="00957821"/>
    <w:rsid w:val="0095794B"/>
    <w:rsid w:val="00957E93"/>
    <w:rsid w:val="00957F9D"/>
    <w:rsid w:val="009606BD"/>
    <w:rsid w:val="009606DB"/>
    <w:rsid w:val="009608CA"/>
    <w:rsid w:val="00961428"/>
    <w:rsid w:val="00961837"/>
    <w:rsid w:val="00961D92"/>
    <w:rsid w:val="00962637"/>
    <w:rsid w:val="00962889"/>
    <w:rsid w:val="00962BF1"/>
    <w:rsid w:val="00962EDC"/>
    <w:rsid w:val="00963428"/>
    <w:rsid w:val="00963701"/>
    <w:rsid w:val="00963A97"/>
    <w:rsid w:val="00963BAD"/>
    <w:rsid w:val="00963E94"/>
    <w:rsid w:val="00964ACC"/>
    <w:rsid w:val="00965A73"/>
    <w:rsid w:val="00965C1C"/>
    <w:rsid w:val="00965F70"/>
    <w:rsid w:val="00966457"/>
    <w:rsid w:val="009670DD"/>
    <w:rsid w:val="00967773"/>
    <w:rsid w:val="00967FE7"/>
    <w:rsid w:val="0097008C"/>
    <w:rsid w:val="009700F5"/>
    <w:rsid w:val="00970900"/>
    <w:rsid w:val="00970945"/>
    <w:rsid w:val="0097097E"/>
    <w:rsid w:val="009710CA"/>
    <w:rsid w:val="00971210"/>
    <w:rsid w:val="0097137A"/>
    <w:rsid w:val="00971477"/>
    <w:rsid w:val="00971498"/>
    <w:rsid w:val="009716F6"/>
    <w:rsid w:val="00971A5B"/>
    <w:rsid w:val="00971DC3"/>
    <w:rsid w:val="00972310"/>
    <w:rsid w:val="00972FB9"/>
    <w:rsid w:val="00973299"/>
    <w:rsid w:val="009732C5"/>
    <w:rsid w:val="009734EB"/>
    <w:rsid w:val="00973AF7"/>
    <w:rsid w:val="00974733"/>
    <w:rsid w:val="00974E10"/>
    <w:rsid w:val="00974ED8"/>
    <w:rsid w:val="0097539C"/>
    <w:rsid w:val="009753F1"/>
    <w:rsid w:val="009759DB"/>
    <w:rsid w:val="00975AA1"/>
    <w:rsid w:val="009762E4"/>
    <w:rsid w:val="0097697E"/>
    <w:rsid w:val="00976E5A"/>
    <w:rsid w:val="0097715F"/>
    <w:rsid w:val="0097749F"/>
    <w:rsid w:val="00980DDA"/>
    <w:rsid w:val="009814CD"/>
    <w:rsid w:val="00981737"/>
    <w:rsid w:val="00981835"/>
    <w:rsid w:val="009823CA"/>
    <w:rsid w:val="009826C8"/>
    <w:rsid w:val="0098296B"/>
    <w:rsid w:val="00983016"/>
    <w:rsid w:val="0098396B"/>
    <w:rsid w:val="009839AF"/>
    <w:rsid w:val="00984554"/>
    <w:rsid w:val="009849F8"/>
    <w:rsid w:val="00984D0B"/>
    <w:rsid w:val="009854AF"/>
    <w:rsid w:val="009856BF"/>
    <w:rsid w:val="00985A31"/>
    <w:rsid w:val="0098623F"/>
    <w:rsid w:val="00986E71"/>
    <w:rsid w:val="0098734B"/>
    <w:rsid w:val="009875AA"/>
    <w:rsid w:val="009876B1"/>
    <w:rsid w:val="0098785D"/>
    <w:rsid w:val="0098788B"/>
    <w:rsid w:val="00987912"/>
    <w:rsid w:val="00990D05"/>
    <w:rsid w:val="0099121D"/>
    <w:rsid w:val="009918CA"/>
    <w:rsid w:val="0099192C"/>
    <w:rsid w:val="00991AF7"/>
    <w:rsid w:val="00991F68"/>
    <w:rsid w:val="0099285B"/>
    <w:rsid w:val="0099345D"/>
    <w:rsid w:val="00994056"/>
    <w:rsid w:val="00994177"/>
    <w:rsid w:val="00994394"/>
    <w:rsid w:val="009943F3"/>
    <w:rsid w:val="00994F19"/>
    <w:rsid w:val="0099505F"/>
    <w:rsid w:val="009951C5"/>
    <w:rsid w:val="00995234"/>
    <w:rsid w:val="00995278"/>
    <w:rsid w:val="009952F4"/>
    <w:rsid w:val="00995404"/>
    <w:rsid w:val="00995638"/>
    <w:rsid w:val="00995688"/>
    <w:rsid w:val="00995C17"/>
    <w:rsid w:val="00995C40"/>
    <w:rsid w:val="00995D85"/>
    <w:rsid w:val="00995F15"/>
    <w:rsid w:val="00996546"/>
    <w:rsid w:val="009965C1"/>
    <w:rsid w:val="009965E2"/>
    <w:rsid w:val="00996D04"/>
    <w:rsid w:val="00996D8C"/>
    <w:rsid w:val="00996E75"/>
    <w:rsid w:val="0099722F"/>
    <w:rsid w:val="00997E7C"/>
    <w:rsid w:val="009A0931"/>
    <w:rsid w:val="009A0FA0"/>
    <w:rsid w:val="009A160D"/>
    <w:rsid w:val="009A1A05"/>
    <w:rsid w:val="009A1AC4"/>
    <w:rsid w:val="009A1C55"/>
    <w:rsid w:val="009A2180"/>
    <w:rsid w:val="009A27F5"/>
    <w:rsid w:val="009A2C90"/>
    <w:rsid w:val="009A2F28"/>
    <w:rsid w:val="009A31C4"/>
    <w:rsid w:val="009A35BB"/>
    <w:rsid w:val="009A37E8"/>
    <w:rsid w:val="009A399A"/>
    <w:rsid w:val="009A476A"/>
    <w:rsid w:val="009A4FB4"/>
    <w:rsid w:val="009A53E7"/>
    <w:rsid w:val="009A614F"/>
    <w:rsid w:val="009A6423"/>
    <w:rsid w:val="009A64E4"/>
    <w:rsid w:val="009A6508"/>
    <w:rsid w:val="009A6697"/>
    <w:rsid w:val="009A6929"/>
    <w:rsid w:val="009A6F0B"/>
    <w:rsid w:val="009A6FCE"/>
    <w:rsid w:val="009A7018"/>
    <w:rsid w:val="009A71E5"/>
    <w:rsid w:val="009B091F"/>
    <w:rsid w:val="009B1280"/>
    <w:rsid w:val="009B1601"/>
    <w:rsid w:val="009B168D"/>
    <w:rsid w:val="009B2539"/>
    <w:rsid w:val="009B25D6"/>
    <w:rsid w:val="009B27EB"/>
    <w:rsid w:val="009B29CA"/>
    <w:rsid w:val="009B2A0C"/>
    <w:rsid w:val="009B2C80"/>
    <w:rsid w:val="009B2D42"/>
    <w:rsid w:val="009B33AA"/>
    <w:rsid w:val="009B3BE1"/>
    <w:rsid w:val="009B3DCF"/>
    <w:rsid w:val="009B41DB"/>
    <w:rsid w:val="009B44FE"/>
    <w:rsid w:val="009B4783"/>
    <w:rsid w:val="009B4D94"/>
    <w:rsid w:val="009B57B5"/>
    <w:rsid w:val="009B65FC"/>
    <w:rsid w:val="009B66B7"/>
    <w:rsid w:val="009B71DC"/>
    <w:rsid w:val="009B783E"/>
    <w:rsid w:val="009B7B7A"/>
    <w:rsid w:val="009B7DA2"/>
    <w:rsid w:val="009B7F3F"/>
    <w:rsid w:val="009C068C"/>
    <w:rsid w:val="009C0A20"/>
    <w:rsid w:val="009C10D0"/>
    <w:rsid w:val="009C1F8B"/>
    <w:rsid w:val="009C2019"/>
    <w:rsid w:val="009C2391"/>
    <w:rsid w:val="009C23B8"/>
    <w:rsid w:val="009C2679"/>
    <w:rsid w:val="009C2960"/>
    <w:rsid w:val="009C3494"/>
    <w:rsid w:val="009C3D66"/>
    <w:rsid w:val="009C3E53"/>
    <w:rsid w:val="009C3FF5"/>
    <w:rsid w:val="009C4B11"/>
    <w:rsid w:val="009C4CCB"/>
    <w:rsid w:val="009C50D6"/>
    <w:rsid w:val="009C56CB"/>
    <w:rsid w:val="009C59E4"/>
    <w:rsid w:val="009C6147"/>
    <w:rsid w:val="009C62BE"/>
    <w:rsid w:val="009C691E"/>
    <w:rsid w:val="009C6A56"/>
    <w:rsid w:val="009C6D42"/>
    <w:rsid w:val="009C7143"/>
    <w:rsid w:val="009C79F0"/>
    <w:rsid w:val="009C7B88"/>
    <w:rsid w:val="009C7C3E"/>
    <w:rsid w:val="009C7DEF"/>
    <w:rsid w:val="009D0096"/>
    <w:rsid w:val="009D0367"/>
    <w:rsid w:val="009D03BB"/>
    <w:rsid w:val="009D0B6F"/>
    <w:rsid w:val="009D2127"/>
    <w:rsid w:val="009D2799"/>
    <w:rsid w:val="009D29F1"/>
    <w:rsid w:val="009D2A43"/>
    <w:rsid w:val="009D2BB7"/>
    <w:rsid w:val="009D2D49"/>
    <w:rsid w:val="009D2E8A"/>
    <w:rsid w:val="009D33A5"/>
    <w:rsid w:val="009D3B75"/>
    <w:rsid w:val="009D3C77"/>
    <w:rsid w:val="009D3E86"/>
    <w:rsid w:val="009D42A9"/>
    <w:rsid w:val="009D44D8"/>
    <w:rsid w:val="009D4724"/>
    <w:rsid w:val="009D4BED"/>
    <w:rsid w:val="009D4C1A"/>
    <w:rsid w:val="009D523A"/>
    <w:rsid w:val="009D53FD"/>
    <w:rsid w:val="009D5A35"/>
    <w:rsid w:val="009D5A9A"/>
    <w:rsid w:val="009D5D0B"/>
    <w:rsid w:val="009D5D38"/>
    <w:rsid w:val="009D5F9E"/>
    <w:rsid w:val="009D6105"/>
    <w:rsid w:val="009D6414"/>
    <w:rsid w:val="009D6CBB"/>
    <w:rsid w:val="009D6F83"/>
    <w:rsid w:val="009D7628"/>
    <w:rsid w:val="009D7746"/>
    <w:rsid w:val="009D7965"/>
    <w:rsid w:val="009D7DFD"/>
    <w:rsid w:val="009D7E2D"/>
    <w:rsid w:val="009E00A4"/>
    <w:rsid w:val="009E02DC"/>
    <w:rsid w:val="009E0587"/>
    <w:rsid w:val="009E0643"/>
    <w:rsid w:val="009E0CDD"/>
    <w:rsid w:val="009E0F8C"/>
    <w:rsid w:val="009E14C6"/>
    <w:rsid w:val="009E1912"/>
    <w:rsid w:val="009E1F87"/>
    <w:rsid w:val="009E25D1"/>
    <w:rsid w:val="009E2DB1"/>
    <w:rsid w:val="009E2DFC"/>
    <w:rsid w:val="009E303F"/>
    <w:rsid w:val="009E33F4"/>
    <w:rsid w:val="009E3813"/>
    <w:rsid w:val="009E3A0D"/>
    <w:rsid w:val="009E444D"/>
    <w:rsid w:val="009E45C7"/>
    <w:rsid w:val="009E48B3"/>
    <w:rsid w:val="009E493B"/>
    <w:rsid w:val="009E508E"/>
    <w:rsid w:val="009E553B"/>
    <w:rsid w:val="009E5D94"/>
    <w:rsid w:val="009E5DC6"/>
    <w:rsid w:val="009E6559"/>
    <w:rsid w:val="009E65EF"/>
    <w:rsid w:val="009E67F7"/>
    <w:rsid w:val="009E69F8"/>
    <w:rsid w:val="009E6F82"/>
    <w:rsid w:val="009E7274"/>
    <w:rsid w:val="009E78D7"/>
    <w:rsid w:val="009E7FD3"/>
    <w:rsid w:val="009F0056"/>
    <w:rsid w:val="009F0841"/>
    <w:rsid w:val="009F1240"/>
    <w:rsid w:val="009F1592"/>
    <w:rsid w:val="009F15A0"/>
    <w:rsid w:val="009F1EB1"/>
    <w:rsid w:val="009F1EB7"/>
    <w:rsid w:val="009F209F"/>
    <w:rsid w:val="009F20D8"/>
    <w:rsid w:val="009F21A0"/>
    <w:rsid w:val="009F2D69"/>
    <w:rsid w:val="009F2E46"/>
    <w:rsid w:val="009F3645"/>
    <w:rsid w:val="009F3804"/>
    <w:rsid w:val="009F4181"/>
    <w:rsid w:val="009F452F"/>
    <w:rsid w:val="009F45DD"/>
    <w:rsid w:val="009F4B55"/>
    <w:rsid w:val="009F4F00"/>
    <w:rsid w:val="009F58FA"/>
    <w:rsid w:val="009F59B5"/>
    <w:rsid w:val="009F63B3"/>
    <w:rsid w:val="009F64F6"/>
    <w:rsid w:val="009F6666"/>
    <w:rsid w:val="009F6B66"/>
    <w:rsid w:val="009F6F1F"/>
    <w:rsid w:val="009F74E6"/>
    <w:rsid w:val="009F7788"/>
    <w:rsid w:val="009F7AAC"/>
    <w:rsid w:val="00A00312"/>
    <w:rsid w:val="00A00B01"/>
    <w:rsid w:val="00A00C03"/>
    <w:rsid w:val="00A01A31"/>
    <w:rsid w:val="00A01ECF"/>
    <w:rsid w:val="00A024D9"/>
    <w:rsid w:val="00A025BF"/>
    <w:rsid w:val="00A02BFC"/>
    <w:rsid w:val="00A03BDF"/>
    <w:rsid w:val="00A03C97"/>
    <w:rsid w:val="00A03E74"/>
    <w:rsid w:val="00A04056"/>
    <w:rsid w:val="00A04072"/>
    <w:rsid w:val="00A04111"/>
    <w:rsid w:val="00A04375"/>
    <w:rsid w:val="00A044DE"/>
    <w:rsid w:val="00A04706"/>
    <w:rsid w:val="00A04D33"/>
    <w:rsid w:val="00A04E82"/>
    <w:rsid w:val="00A0567D"/>
    <w:rsid w:val="00A05E3B"/>
    <w:rsid w:val="00A06FA6"/>
    <w:rsid w:val="00A07445"/>
    <w:rsid w:val="00A079E0"/>
    <w:rsid w:val="00A07F59"/>
    <w:rsid w:val="00A07FE8"/>
    <w:rsid w:val="00A1007A"/>
    <w:rsid w:val="00A10290"/>
    <w:rsid w:val="00A10380"/>
    <w:rsid w:val="00A10662"/>
    <w:rsid w:val="00A118B6"/>
    <w:rsid w:val="00A11B52"/>
    <w:rsid w:val="00A11C07"/>
    <w:rsid w:val="00A11F0A"/>
    <w:rsid w:val="00A124F5"/>
    <w:rsid w:val="00A127CF"/>
    <w:rsid w:val="00A127DF"/>
    <w:rsid w:val="00A127E4"/>
    <w:rsid w:val="00A1293E"/>
    <w:rsid w:val="00A12C38"/>
    <w:rsid w:val="00A12DA7"/>
    <w:rsid w:val="00A12EA8"/>
    <w:rsid w:val="00A1312F"/>
    <w:rsid w:val="00A137F4"/>
    <w:rsid w:val="00A138B7"/>
    <w:rsid w:val="00A13B08"/>
    <w:rsid w:val="00A13BAF"/>
    <w:rsid w:val="00A13C0F"/>
    <w:rsid w:val="00A145B6"/>
    <w:rsid w:val="00A14B9B"/>
    <w:rsid w:val="00A14BCE"/>
    <w:rsid w:val="00A14F4D"/>
    <w:rsid w:val="00A151B6"/>
    <w:rsid w:val="00A15597"/>
    <w:rsid w:val="00A160CC"/>
    <w:rsid w:val="00A16452"/>
    <w:rsid w:val="00A16957"/>
    <w:rsid w:val="00A16D18"/>
    <w:rsid w:val="00A171BA"/>
    <w:rsid w:val="00A17344"/>
    <w:rsid w:val="00A173E6"/>
    <w:rsid w:val="00A17425"/>
    <w:rsid w:val="00A175BB"/>
    <w:rsid w:val="00A177B7"/>
    <w:rsid w:val="00A17C5E"/>
    <w:rsid w:val="00A17D46"/>
    <w:rsid w:val="00A20594"/>
    <w:rsid w:val="00A205D0"/>
    <w:rsid w:val="00A206F8"/>
    <w:rsid w:val="00A21182"/>
    <w:rsid w:val="00A211FC"/>
    <w:rsid w:val="00A21205"/>
    <w:rsid w:val="00A219F6"/>
    <w:rsid w:val="00A21CD8"/>
    <w:rsid w:val="00A222D7"/>
    <w:rsid w:val="00A22F90"/>
    <w:rsid w:val="00A23243"/>
    <w:rsid w:val="00A234DC"/>
    <w:rsid w:val="00A2380C"/>
    <w:rsid w:val="00A238EE"/>
    <w:rsid w:val="00A23CEB"/>
    <w:rsid w:val="00A23E6B"/>
    <w:rsid w:val="00A24148"/>
    <w:rsid w:val="00A242E5"/>
    <w:rsid w:val="00A2441D"/>
    <w:rsid w:val="00A2475E"/>
    <w:rsid w:val="00A24AFA"/>
    <w:rsid w:val="00A24D8E"/>
    <w:rsid w:val="00A24F10"/>
    <w:rsid w:val="00A25380"/>
    <w:rsid w:val="00A256A1"/>
    <w:rsid w:val="00A25887"/>
    <w:rsid w:val="00A25A07"/>
    <w:rsid w:val="00A25DB1"/>
    <w:rsid w:val="00A2626D"/>
    <w:rsid w:val="00A26466"/>
    <w:rsid w:val="00A264AD"/>
    <w:rsid w:val="00A26A34"/>
    <w:rsid w:val="00A27041"/>
    <w:rsid w:val="00A27360"/>
    <w:rsid w:val="00A2761B"/>
    <w:rsid w:val="00A2775D"/>
    <w:rsid w:val="00A27803"/>
    <w:rsid w:val="00A3028F"/>
    <w:rsid w:val="00A30605"/>
    <w:rsid w:val="00A30DD2"/>
    <w:rsid w:val="00A315C9"/>
    <w:rsid w:val="00A31B1F"/>
    <w:rsid w:val="00A31FE9"/>
    <w:rsid w:val="00A321F3"/>
    <w:rsid w:val="00A3233C"/>
    <w:rsid w:val="00A323E4"/>
    <w:rsid w:val="00A324F6"/>
    <w:rsid w:val="00A32921"/>
    <w:rsid w:val="00A32AA5"/>
    <w:rsid w:val="00A32F18"/>
    <w:rsid w:val="00A32F5D"/>
    <w:rsid w:val="00A32F73"/>
    <w:rsid w:val="00A33238"/>
    <w:rsid w:val="00A332EF"/>
    <w:rsid w:val="00A33491"/>
    <w:rsid w:val="00A33C52"/>
    <w:rsid w:val="00A33D3E"/>
    <w:rsid w:val="00A33E54"/>
    <w:rsid w:val="00A33F91"/>
    <w:rsid w:val="00A341C2"/>
    <w:rsid w:val="00A342D5"/>
    <w:rsid w:val="00A34ABA"/>
    <w:rsid w:val="00A34E22"/>
    <w:rsid w:val="00A34EAF"/>
    <w:rsid w:val="00A34F7E"/>
    <w:rsid w:val="00A359A9"/>
    <w:rsid w:val="00A36015"/>
    <w:rsid w:val="00A36087"/>
    <w:rsid w:val="00A3629F"/>
    <w:rsid w:val="00A3663C"/>
    <w:rsid w:val="00A36707"/>
    <w:rsid w:val="00A368A3"/>
    <w:rsid w:val="00A36C9A"/>
    <w:rsid w:val="00A36F3A"/>
    <w:rsid w:val="00A37055"/>
    <w:rsid w:val="00A37195"/>
    <w:rsid w:val="00A373CC"/>
    <w:rsid w:val="00A37BB6"/>
    <w:rsid w:val="00A37D6F"/>
    <w:rsid w:val="00A403B3"/>
    <w:rsid w:val="00A4052F"/>
    <w:rsid w:val="00A40663"/>
    <w:rsid w:val="00A40D69"/>
    <w:rsid w:val="00A4155E"/>
    <w:rsid w:val="00A41978"/>
    <w:rsid w:val="00A41FF6"/>
    <w:rsid w:val="00A4228D"/>
    <w:rsid w:val="00A42335"/>
    <w:rsid w:val="00A428B8"/>
    <w:rsid w:val="00A42D65"/>
    <w:rsid w:val="00A430F1"/>
    <w:rsid w:val="00A43193"/>
    <w:rsid w:val="00A43196"/>
    <w:rsid w:val="00A43D82"/>
    <w:rsid w:val="00A4434C"/>
    <w:rsid w:val="00A443FF"/>
    <w:rsid w:val="00A44593"/>
    <w:rsid w:val="00A445D5"/>
    <w:rsid w:val="00A445E0"/>
    <w:rsid w:val="00A44D14"/>
    <w:rsid w:val="00A44EAD"/>
    <w:rsid w:val="00A45196"/>
    <w:rsid w:val="00A45221"/>
    <w:rsid w:val="00A45285"/>
    <w:rsid w:val="00A46543"/>
    <w:rsid w:val="00A46DFB"/>
    <w:rsid w:val="00A47353"/>
    <w:rsid w:val="00A473D8"/>
    <w:rsid w:val="00A47CD4"/>
    <w:rsid w:val="00A50453"/>
    <w:rsid w:val="00A506A2"/>
    <w:rsid w:val="00A507FC"/>
    <w:rsid w:val="00A50916"/>
    <w:rsid w:val="00A51203"/>
    <w:rsid w:val="00A513D4"/>
    <w:rsid w:val="00A5180E"/>
    <w:rsid w:val="00A51F2C"/>
    <w:rsid w:val="00A52540"/>
    <w:rsid w:val="00A52E3B"/>
    <w:rsid w:val="00A537C0"/>
    <w:rsid w:val="00A53A49"/>
    <w:rsid w:val="00A53E22"/>
    <w:rsid w:val="00A54174"/>
    <w:rsid w:val="00A5429D"/>
    <w:rsid w:val="00A54DEA"/>
    <w:rsid w:val="00A551F5"/>
    <w:rsid w:val="00A55D35"/>
    <w:rsid w:val="00A55F06"/>
    <w:rsid w:val="00A560EF"/>
    <w:rsid w:val="00A56378"/>
    <w:rsid w:val="00A567A7"/>
    <w:rsid w:val="00A56B32"/>
    <w:rsid w:val="00A56BD7"/>
    <w:rsid w:val="00A570DB"/>
    <w:rsid w:val="00A5739F"/>
    <w:rsid w:val="00A5752F"/>
    <w:rsid w:val="00A57581"/>
    <w:rsid w:val="00A575A8"/>
    <w:rsid w:val="00A5761E"/>
    <w:rsid w:val="00A576CA"/>
    <w:rsid w:val="00A57DCC"/>
    <w:rsid w:val="00A6049E"/>
    <w:rsid w:val="00A60700"/>
    <w:rsid w:val="00A60E7D"/>
    <w:rsid w:val="00A616A4"/>
    <w:rsid w:val="00A61AF6"/>
    <w:rsid w:val="00A62660"/>
    <w:rsid w:val="00A63355"/>
    <w:rsid w:val="00A6368C"/>
    <w:rsid w:val="00A63A37"/>
    <w:rsid w:val="00A64A04"/>
    <w:rsid w:val="00A64BA8"/>
    <w:rsid w:val="00A64C25"/>
    <w:rsid w:val="00A64CF1"/>
    <w:rsid w:val="00A65494"/>
    <w:rsid w:val="00A65501"/>
    <w:rsid w:val="00A66CD8"/>
    <w:rsid w:val="00A67362"/>
    <w:rsid w:val="00A67573"/>
    <w:rsid w:val="00A67B6C"/>
    <w:rsid w:val="00A70034"/>
    <w:rsid w:val="00A7071A"/>
    <w:rsid w:val="00A7077B"/>
    <w:rsid w:val="00A71131"/>
    <w:rsid w:val="00A711D0"/>
    <w:rsid w:val="00A716B4"/>
    <w:rsid w:val="00A718E2"/>
    <w:rsid w:val="00A71A41"/>
    <w:rsid w:val="00A71CD7"/>
    <w:rsid w:val="00A71F34"/>
    <w:rsid w:val="00A72001"/>
    <w:rsid w:val="00A72055"/>
    <w:rsid w:val="00A72461"/>
    <w:rsid w:val="00A733CC"/>
    <w:rsid w:val="00A73407"/>
    <w:rsid w:val="00A73C74"/>
    <w:rsid w:val="00A743FE"/>
    <w:rsid w:val="00A745B5"/>
    <w:rsid w:val="00A74887"/>
    <w:rsid w:val="00A7493D"/>
    <w:rsid w:val="00A74C04"/>
    <w:rsid w:val="00A74E16"/>
    <w:rsid w:val="00A75010"/>
    <w:rsid w:val="00A754EF"/>
    <w:rsid w:val="00A75E62"/>
    <w:rsid w:val="00A75FB3"/>
    <w:rsid w:val="00A7602B"/>
    <w:rsid w:val="00A7612B"/>
    <w:rsid w:val="00A76325"/>
    <w:rsid w:val="00A7636C"/>
    <w:rsid w:val="00A76A6C"/>
    <w:rsid w:val="00A76CB4"/>
    <w:rsid w:val="00A76ED8"/>
    <w:rsid w:val="00A80132"/>
    <w:rsid w:val="00A804D0"/>
    <w:rsid w:val="00A80560"/>
    <w:rsid w:val="00A81565"/>
    <w:rsid w:val="00A815EB"/>
    <w:rsid w:val="00A81826"/>
    <w:rsid w:val="00A81956"/>
    <w:rsid w:val="00A81BC4"/>
    <w:rsid w:val="00A81F28"/>
    <w:rsid w:val="00A825B0"/>
    <w:rsid w:val="00A82637"/>
    <w:rsid w:val="00A82C80"/>
    <w:rsid w:val="00A835F9"/>
    <w:rsid w:val="00A83A09"/>
    <w:rsid w:val="00A83A47"/>
    <w:rsid w:val="00A83B12"/>
    <w:rsid w:val="00A83C67"/>
    <w:rsid w:val="00A841AE"/>
    <w:rsid w:val="00A84EFA"/>
    <w:rsid w:val="00A85B96"/>
    <w:rsid w:val="00A862E7"/>
    <w:rsid w:val="00A864B7"/>
    <w:rsid w:val="00A86878"/>
    <w:rsid w:val="00A86DA1"/>
    <w:rsid w:val="00A86E96"/>
    <w:rsid w:val="00A86F2B"/>
    <w:rsid w:val="00A8706F"/>
    <w:rsid w:val="00A87CC3"/>
    <w:rsid w:val="00A904FB"/>
    <w:rsid w:val="00A906DB"/>
    <w:rsid w:val="00A90891"/>
    <w:rsid w:val="00A90D70"/>
    <w:rsid w:val="00A90F73"/>
    <w:rsid w:val="00A9183D"/>
    <w:rsid w:val="00A91C8F"/>
    <w:rsid w:val="00A9211D"/>
    <w:rsid w:val="00A922CE"/>
    <w:rsid w:val="00A922D2"/>
    <w:rsid w:val="00A923E0"/>
    <w:rsid w:val="00A924BC"/>
    <w:rsid w:val="00A92674"/>
    <w:rsid w:val="00A926B5"/>
    <w:rsid w:val="00A9290A"/>
    <w:rsid w:val="00A92BF9"/>
    <w:rsid w:val="00A92D34"/>
    <w:rsid w:val="00A939B2"/>
    <w:rsid w:val="00A93B9D"/>
    <w:rsid w:val="00A93BFC"/>
    <w:rsid w:val="00A93E6A"/>
    <w:rsid w:val="00A93FAB"/>
    <w:rsid w:val="00A94374"/>
    <w:rsid w:val="00A94552"/>
    <w:rsid w:val="00A945E2"/>
    <w:rsid w:val="00A94AFA"/>
    <w:rsid w:val="00A94B81"/>
    <w:rsid w:val="00A95426"/>
    <w:rsid w:val="00A95563"/>
    <w:rsid w:val="00A956E9"/>
    <w:rsid w:val="00A95B1B"/>
    <w:rsid w:val="00A95E91"/>
    <w:rsid w:val="00A96134"/>
    <w:rsid w:val="00A961F1"/>
    <w:rsid w:val="00A96228"/>
    <w:rsid w:val="00A962FD"/>
    <w:rsid w:val="00A96B9C"/>
    <w:rsid w:val="00A97356"/>
    <w:rsid w:val="00A97469"/>
    <w:rsid w:val="00A977A7"/>
    <w:rsid w:val="00AA00AE"/>
    <w:rsid w:val="00AA00F0"/>
    <w:rsid w:val="00AA0274"/>
    <w:rsid w:val="00AA086D"/>
    <w:rsid w:val="00AA0CC5"/>
    <w:rsid w:val="00AA0F21"/>
    <w:rsid w:val="00AA11C2"/>
    <w:rsid w:val="00AA149B"/>
    <w:rsid w:val="00AA1D6F"/>
    <w:rsid w:val="00AA1E9C"/>
    <w:rsid w:val="00AA2264"/>
    <w:rsid w:val="00AA2348"/>
    <w:rsid w:val="00AA2455"/>
    <w:rsid w:val="00AA293F"/>
    <w:rsid w:val="00AA2E56"/>
    <w:rsid w:val="00AA3E8C"/>
    <w:rsid w:val="00AA4643"/>
    <w:rsid w:val="00AA4CFE"/>
    <w:rsid w:val="00AA4D5E"/>
    <w:rsid w:val="00AA4E85"/>
    <w:rsid w:val="00AA5052"/>
    <w:rsid w:val="00AA50BC"/>
    <w:rsid w:val="00AA5A8A"/>
    <w:rsid w:val="00AA5D0B"/>
    <w:rsid w:val="00AA610F"/>
    <w:rsid w:val="00AA6554"/>
    <w:rsid w:val="00AA696A"/>
    <w:rsid w:val="00AA7004"/>
    <w:rsid w:val="00AA7290"/>
    <w:rsid w:val="00AB11CA"/>
    <w:rsid w:val="00AB1256"/>
    <w:rsid w:val="00AB162F"/>
    <w:rsid w:val="00AB1873"/>
    <w:rsid w:val="00AB19E6"/>
    <w:rsid w:val="00AB1B6F"/>
    <w:rsid w:val="00AB1BC3"/>
    <w:rsid w:val="00AB2367"/>
    <w:rsid w:val="00AB2AE1"/>
    <w:rsid w:val="00AB2BE9"/>
    <w:rsid w:val="00AB2CD3"/>
    <w:rsid w:val="00AB3108"/>
    <w:rsid w:val="00AB395F"/>
    <w:rsid w:val="00AB40BF"/>
    <w:rsid w:val="00AB40E4"/>
    <w:rsid w:val="00AB4349"/>
    <w:rsid w:val="00AB43F3"/>
    <w:rsid w:val="00AB44EC"/>
    <w:rsid w:val="00AB5776"/>
    <w:rsid w:val="00AB609D"/>
    <w:rsid w:val="00AB64CF"/>
    <w:rsid w:val="00AB69F4"/>
    <w:rsid w:val="00AB6AEF"/>
    <w:rsid w:val="00AB6FE1"/>
    <w:rsid w:val="00AB72E2"/>
    <w:rsid w:val="00AB7314"/>
    <w:rsid w:val="00AB735F"/>
    <w:rsid w:val="00AB7468"/>
    <w:rsid w:val="00AB79C2"/>
    <w:rsid w:val="00AB7D94"/>
    <w:rsid w:val="00AC003D"/>
    <w:rsid w:val="00AC020C"/>
    <w:rsid w:val="00AC070F"/>
    <w:rsid w:val="00AC0B05"/>
    <w:rsid w:val="00AC0DDC"/>
    <w:rsid w:val="00AC0DF5"/>
    <w:rsid w:val="00AC10DF"/>
    <w:rsid w:val="00AC1988"/>
    <w:rsid w:val="00AC1C4C"/>
    <w:rsid w:val="00AC1F1E"/>
    <w:rsid w:val="00AC239B"/>
    <w:rsid w:val="00AC33CD"/>
    <w:rsid w:val="00AC3E90"/>
    <w:rsid w:val="00AC4017"/>
    <w:rsid w:val="00AC43F7"/>
    <w:rsid w:val="00AC4DBE"/>
    <w:rsid w:val="00AC4F2A"/>
    <w:rsid w:val="00AC509F"/>
    <w:rsid w:val="00AC52FB"/>
    <w:rsid w:val="00AC58C6"/>
    <w:rsid w:val="00AC5CFC"/>
    <w:rsid w:val="00AC602E"/>
    <w:rsid w:val="00AC66FB"/>
    <w:rsid w:val="00AC69A3"/>
    <w:rsid w:val="00AC6AB4"/>
    <w:rsid w:val="00AC6B35"/>
    <w:rsid w:val="00AC6C64"/>
    <w:rsid w:val="00AC7568"/>
    <w:rsid w:val="00AD016E"/>
    <w:rsid w:val="00AD0C62"/>
    <w:rsid w:val="00AD18DF"/>
    <w:rsid w:val="00AD243F"/>
    <w:rsid w:val="00AD2441"/>
    <w:rsid w:val="00AD24A5"/>
    <w:rsid w:val="00AD2A2B"/>
    <w:rsid w:val="00AD2D72"/>
    <w:rsid w:val="00AD31A4"/>
    <w:rsid w:val="00AD34A3"/>
    <w:rsid w:val="00AD41E9"/>
    <w:rsid w:val="00AD450D"/>
    <w:rsid w:val="00AD4B71"/>
    <w:rsid w:val="00AD4DA7"/>
    <w:rsid w:val="00AD4E5F"/>
    <w:rsid w:val="00AD5207"/>
    <w:rsid w:val="00AD5D35"/>
    <w:rsid w:val="00AD64CA"/>
    <w:rsid w:val="00AD6C6D"/>
    <w:rsid w:val="00AD6CB4"/>
    <w:rsid w:val="00AD6F75"/>
    <w:rsid w:val="00AD712F"/>
    <w:rsid w:val="00AD7340"/>
    <w:rsid w:val="00AD73FD"/>
    <w:rsid w:val="00AD79FD"/>
    <w:rsid w:val="00AD7BE7"/>
    <w:rsid w:val="00AE0147"/>
    <w:rsid w:val="00AE0290"/>
    <w:rsid w:val="00AE0689"/>
    <w:rsid w:val="00AE143E"/>
    <w:rsid w:val="00AE17C0"/>
    <w:rsid w:val="00AE1923"/>
    <w:rsid w:val="00AE1D46"/>
    <w:rsid w:val="00AE25A4"/>
    <w:rsid w:val="00AE2659"/>
    <w:rsid w:val="00AE3131"/>
    <w:rsid w:val="00AE3CFD"/>
    <w:rsid w:val="00AE3F35"/>
    <w:rsid w:val="00AE423A"/>
    <w:rsid w:val="00AE4828"/>
    <w:rsid w:val="00AE4C4E"/>
    <w:rsid w:val="00AE4EED"/>
    <w:rsid w:val="00AE51C9"/>
    <w:rsid w:val="00AE534B"/>
    <w:rsid w:val="00AE58F1"/>
    <w:rsid w:val="00AE6068"/>
    <w:rsid w:val="00AE6422"/>
    <w:rsid w:val="00AE75BE"/>
    <w:rsid w:val="00AE77C5"/>
    <w:rsid w:val="00AE7FE4"/>
    <w:rsid w:val="00AF0058"/>
    <w:rsid w:val="00AF036B"/>
    <w:rsid w:val="00AF0652"/>
    <w:rsid w:val="00AF0F84"/>
    <w:rsid w:val="00AF103B"/>
    <w:rsid w:val="00AF177A"/>
    <w:rsid w:val="00AF1A56"/>
    <w:rsid w:val="00AF2129"/>
    <w:rsid w:val="00AF270A"/>
    <w:rsid w:val="00AF28FB"/>
    <w:rsid w:val="00AF2F18"/>
    <w:rsid w:val="00AF3755"/>
    <w:rsid w:val="00AF383D"/>
    <w:rsid w:val="00AF3922"/>
    <w:rsid w:val="00AF3B49"/>
    <w:rsid w:val="00AF43D6"/>
    <w:rsid w:val="00AF501D"/>
    <w:rsid w:val="00AF5A2F"/>
    <w:rsid w:val="00AF5C7E"/>
    <w:rsid w:val="00AF5E3D"/>
    <w:rsid w:val="00AF60E9"/>
    <w:rsid w:val="00AF627E"/>
    <w:rsid w:val="00AF636F"/>
    <w:rsid w:val="00AF6C8A"/>
    <w:rsid w:val="00AF74F7"/>
    <w:rsid w:val="00AF7982"/>
    <w:rsid w:val="00B002FF"/>
    <w:rsid w:val="00B0106E"/>
    <w:rsid w:val="00B011F8"/>
    <w:rsid w:val="00B0132A"/>
    <w:rsid w:val="00B015A8"/>
    <w:rsid w:val="00B019EC"/>
    <w:rsid w:val="00B01CE4"/>
    <w:rsid w:val="00B01DA0"/>
    <w:rsid w:val="00B0222D"/>
    <w:rsid w:val="00B02374"/>
    <w:rsid w:val="00B02456"/>
    <w:rsid w:val="00B025D8"/>
    <w:rsid w:val="00B02884"/>
    <w:rsid w:val="00B02B63"/>
    <w:rsid w:val="00B02C85"/>
    <w:rsid w:val="00B02F05"/>
    <w:rsid w:val="00B0392E"/>
    <w:rsid w:val="00B03C6C"/>
    <w:rsid w:val="00B03DDA"/>
    <w:rsid w:val="00B04111"/>
    <w:rsid w:val="00B0601F"/>
    <w:rsid w:val="00B06B6E"/>
    <w:rsid w:val="00B06C65"/>
    <w:rsid w:val="00B07561"/>
    <w:rsid w:val="00B07660"/>
    <w:rsid w:val="00B1001C"/>
    <w:rsid w:val="00B10D73"/>
    <w:rsid w:val="00B10D94"/>
    <w:rsid w:val="00B10F5C"/>
    <w:rsid w:val="00B114B4"/>
    <w:rsid w:val="00B1188C"/>
    <w:rsid w:val="00B11BD7"/>
    <w:rsid w:val="00B1235A"/>
    <w:rsid w:val="00B125FF"/>
    <w:rsid w:val="00B12B20"/>
    <w:rsid w:val="00B12DDE"/>
    <w:rsid w:val="00B12DFC"/>
    <w:rsid w:val="00B1335B"/>
    <w:rsid w:val="00B1362C"/>
    <w:rsid w:val="00B13A15"/>
    <w:rsid w:val="00B14195"/>
    <w:rsid w:val="00B141C6"/>
    <w:rsid w:val="00B14608"/>
    <w:rsid w:val="00B149B8"/>
    <w:rsid w:val="00B14B71"/>
    <w:rsid w:val="00B14E19"/>
    <w:rsid w:val="00B151F1"/>
    <w:rsid w:val="00B159B7"/>
    <w:rsid w:val="00B15B5C"/>
    <w:rsid w:val="00B15D95"/>
    <w:rsid w:val="00B164D0"/>
    <w:rsid w:val="00B16D10"/>
    <w:rsid w:val="00B1741C"/>
    <w:rsid w:val="00B17D13"/>
    <w:rsid w:val="00B202C6"/>
    <w:rsid w:val="00B209B6"/>
    <w:rsid w:val="00B20B99"/>
    <w:rsid w:val="00B217EB"/>
    <w:rsid w:val="00B2194F"/>
    <w:rsid w:val="00B21DDE"/>
    <w:rsid w:val="00B21FE7"/>
    <w:rsid w:val="00B22137"/>
    <w:rsid w:val="00B22398"/>
    <w:rsid w:val="00B226B1"/>
    <w:rsid w:val="00B227AF"/>
    <w:rsid w:val="00B2288E"/>
    <w:rsid w:val="00B228E3"/>
    <w:rsid w:val="00B22E74"/>
    <w:rsid w:val="00B22F16"/>
    <w:rsid w:val="00B23F0A"/>
    <w:rsid w:val="00B23F61"/>
    <w:rsid w:val="00B23F91"/>
    <w:rsid w:val="00B24750"/>
    <w:rsid w:val="00B2489D"/>
    <w:rsid w:val="00B24B9F"/>
    <w:rsid w:val="00B261CE"/>
    <w:rsid w:val="00B26B6C"/>
    <w:rsid w:val="00B26DA0"/>
    <w:rsid w:val="00B273A7"/>
    <w:rsid w:val="00B27412"/>
    <w:rsid w:val="00B27D71"/>
    <w:rsid w:val="00B27ED1"/>
    <w:rsid w:val="00B27FDB"/>
    <w:rsid w:val="00B30651"/>
    <w:rsid w:val="00B30E23"/>
    <w:rsid w:val="00B30F63"/>
    <w:rsid w:val="00B31353"/>
    <w:rsid w:val="00B31DA7"/>
    <w:rsid w:val="00B31E15"/>
    <w:rsid w:val="00B31FD9"/>
    <w:rsid w:val="00B322ED"/>
    <w:rsid w:val="00B328E1"/>
    <w:rsid w:val="00B329BB"/>
    <w:rsid w:val="00B32C24"/>
    <w:rsid w:val="00B32D3B"/>
    <w:rsid w:val="00B32E43"/>
    <w:rsid w:val="00B330AB"/>
    <w:rsid w:val="00B33328"/>
    <w:rsid w:val="00B3347D"/>
    <w:rsid w:val="00B3397D"/>
    <w:rsid w:val="00B339D1"/>
    <w:rsid w:val="00B34122"/>
    <w:rsid w:val="00B3418A"/>
    <w:rsid w:val="00B344AE"/>
    <w:rsid w:val="00B34919"/>
    <w:rsid w:val="00B34950"/>
    <w:rsid w:val="00B3581F"/>
    <w:rsid w:val="00B35BEC"/>
    <w:rsid w:val="00B35C58"/>
    <w:rsid w:val="00B35F55"/>
    <w:rsid w:val="00B36444"/>
    <w:rsid w:val="00B36535"/>
    <w:rsid w:val="00B36CDE"/>
    <w:rsid w:val="00B36F54"/>
    <w:rsid w:val="00B36F73"/>
    <w:rsid w:val="00B37629"/>
    <w:rsid w:val="00B40CBA"/>
    <w:rsid w:val="00B41214"/>
    <w:rsid w:val="00B417C2"/>
    <w:rsid w:val="00B41D08"/>
    <w:rsid w:val="00B423E2"/>
    <w:rsid w:val="00B42602"/>
    <w:rsid w:val="00B42BD7"/>
    <w:rsid w:val="00B4319E"/>
    <w:rsid w:val="00B43C53"/>
    <w:rsid w:val="00B4437C"/>
    <w:rsid w:val="00B44825"/>
    <w:rsid w:val="00B44A42"/>
    <w:rsid w:val="00B44ABD"/>
    <w:rsid w:val="00B45004"/>
    <w:rsid w:val="00B450F0"/>
    <w:rsid w:val="00B452A6"/>
    <w:rsid w:val="00B4565C"/>
    <w:rsid w:val="00B45857"/>
    <w:rsid w:val="00B45912"/>
    <w:rsid w:val="00B464DB"/>
    <w:rsid w:val="00B466C3"/>
    <w:rsid w:val="00B467E2"/>
    <w:rsid w:val="00B46F9B"/>
    <w:rsid w:val="00B47598"/>
    <w:rsid w:val="00B476B3"/>
    <w:rsid w:val="00B503A0"/>
    <w:rsid w:val="00B503A1"/>
    <w:rsid w:val="00B5044B"/>
    <w:rsid w:val="00B51179"/>
    <w:rsid w:val="00B512FF"/>
    <w:rsid w:val="00B51D3C"/>
    <w:rsid w:val="00B5228D"/>
    <w:rsid w:val="00B52655"/>
    <w:rsid w:val="00B52681"/>
    <w:rsid w:val="00B52A75"/>
    <w:rsid w:val="00B52E41"/>
    <w:rsid w:val="00B52FD2"/>
    <w:rsid w:val="00B53206"/>
    <w:rsid w:val="00B53CEF"/>
    <w:rsid w:val="00B53DD0"/>
    <w:rsid w:val="00B5416C"/>
    <w:rsid w:val="00B54361"/>
    <w:rsid w:val="00B543C9"/>
    <w:rsid w:val="00B546A6"/>
    <w:rsid w:val="00B54751"/>
    <w:rsid w:val="00B5489B"/>
    <w:rsid w:val="00B54BF1"/>
    <w:rsid w:val="00B54CAE"/>
    <w:rsid w:val="00B54CEC"/>
    <w:rsid w:val="00B5500C"/>
    <w:rsid w:val="00B5523D"/>
    <w:rsid w:val="00B553A8"/>
    <w:rsid w:val="00B5575C"/>
    <w:rsid w:val="00B55A8C"/>
    <w:rsid w:val="00B55ADD"/>
    <w:rsid w:val="00B55C3C"/>
    <w:rsid w:val="00B562F9"/>
    <w:rsid w:val="00B56AFB"/>
    <w:rsid w:val="00B56B47"/>
    <w:rsid w:val="00B57190"/>
    <w:rsid w:val="00B57197"/>
    <w:rsid w:val="00B5723D"/>
    <w:rsid w:val="00B57394"/>
    <w:rsid w:val="00B57C97"/>
    <w:rsid w:val="00B6072F"/>
    <w:rsid w:val="00B6074F"/>
    <w:rsid w:val="00B60B01"/>
    <w:rsid w:val="00B60DD9"/>
    <w:rsid w:val="00B6131F"/>
    <w:rsid w:val="00B61B55"/>
    <w:rsid w:val="00B61C05"/>
    <w:rsid w:val="00B61D40"/>
    <w:rsid w:val="00B61F81"/>
    <w:rsid w:val="00B6241F"/>
    <w:rsid w:val="00B6272D"/>
    <w:rsid w:val="00B62766"/>
    <w:rsid w:val="00B6318D"/>
    <w:rsid w:val="00B6418B"/>
    <w:rsid w:val="00B6428A"/>
    <w:rsid w:val="00B64A7D"/>
    <w:rsid w:val="00B6511C"/>
    <w:rsid w:val="00B65B27"/>
    <w:rsid w:val="00B665E6"/>
    <w:rsid w:val="00B668B2"/>
    <w:rsid w:val="00B66EB9"/>
    <w:rsid w:val="00B67927"/>
    <w:rsid w:val="00B67D68"/>
    <w:rsid w:val="00B67F80"/>
    <w:rsid w:val="00B70120"/>
    <w:rsid w:val="00B70D0B"/>
    <w:rsid w:val="00B717F0"/>
    <w:rsid w:val="00B71AC2"/>
    <w:rsid w:val="00B71BC8"/>
    <w:rsid w:val="00B71BF4"/>
    <w:rsid w:val="00B71BFB"/>
    <w:rsid w:val="00B7206B"/>
    <w:rsid w:val="00B7227C"/>
    <w:rsid w:val="00B724A6"/>
    <w:rsid w:val="00B7253F"/>
    <w:rsid w:val="00B72B3E"/>
    <w:rsid w:val="00B73172"/>
    <w:rsid w:val="00B735E4"/>
    <w:rsid w:val="00B74A30"/>
    <w:rsid w:val="00B74DDD"/>
    <w:rsid w:val="00B75DBC"/>
    <w:rsid w:val="00B76674"/>
    <w:rsid w:val="00B7683E"/>
    <w:rsid w:val="00B76DF1"/>
    <w:rsid w:val="00B77069"/>
    <w:rsid w:val="00B770CD"/>
    <w:rsid w:val="00B7725C"/>
    <w:rsid w:val="00B7782B"/>
    <w:rsid w:val="00B77B61"/>
    <w:rsid w:val="00B77BCF"/>
    <w:rsid w:val="00B80485"/>
    <w:rsid w:val="00B8077C"/>
    <w:rsid w:val="00B8091D"/>
    <w:rsid w:val="00B80D93"/>
    <w:rsid w:val="00B80F7F"/>
    <w:rsid w:val="00B81174"/>
    <w:rsid w:val="00B81327"/>
    <w:rsid w:val="00B8159B"/>
    <w:rsid w:val="00B81B9C"/>
    <w:rsid w:val="00B81C58"/>
    <w:rsid w:val="00B81D10"/>
    <w:rsid w:val="00B81F61"/>
    <w:rsid w:val="00B8260C"/>
    <w:rsid w:val="00B82994"/>
    <w:rsid w:val="00B82F6D"/>
    <w:rsid w:val="00B84387"/>
    <w:rsid w:val="00B844F1"/>
    <w:rsid w:val="00B84655"/>
    <w:rsid w:val="00B84F9B"/>
    <w:rsid w:val="00B85010"/>
    <w:rsid w:val="00B85305"/>
    <w:rsid w:val="00B8548E"/>
    <w:rsid w:val="00B85909"/>
    <w:rsid w:val="00B859BA"/>
    <w:rsid w:val="00B85C2B"/>
    <w:rsid w:val="00B85C6E"/>
    <w:rsid w:val="00B85D22"/>
    <w:rsid w:val="00B85E53"/>
    <w:rsid w:val="00B86235"/>
    <w:rsid w:val="00B86289"/>
    <w:rsid w:val="00B8654C"/>
    <w:rsid w:val="00B875D1"/>
    <w:rsid w:val="00B90251"/>
    <w:rsid w:val="00B903FC"/>
    <w:rsid w:val="00B90A42"/>
    <w:rsid w:val="00B90C41"/>
    <w:rsid w:val="00B910AB"/>
    <w:rsid w:val="00B91535"/>
    <w:rsid w:val="00B917E7"/>
    <w:rsid w:val="00B91AE7"/>
    <w:rsid w:val="00B923FF"/>
    <w:rsid w:val="00B93117"/>
    <w:rsid w:val="00B9359B"/>
    <w:rsid w:val="00B935BA"/>
    <w:rsid w:val="00B935FA"/>
    <w:rsid w:val="00B936DC"/>
    <w:rsid w:val="00B93703"/>
    <w:rsid w:val="00B93D7B"/>
    <w:rsid w:val="00B93FFE"/>
    <w:rsid w:val="00B9410A"/>
    <w:rsid w:val="00B94775"/>
    <w:rsid w:val="00B94F41"/>
    <w:rsid w:val="00B95074"/>
    <w:rsid w:val="00B95D18"/>
    <w:rsid w:val="00B95F2B"/>
    <w:rsid w:val="00B96501"/>
    <w:rsid w:val="00B9659D"/>
    <w:rsid w:val="00B973DE"/>
    <w:rsid w:val="00B97401"/>
    <w:rsid w:val="00B9743A"/>
    <w:rsid w:val="00B975CB"/>
    <w:rsid w:val="00B97990"/>
    <w:rsid w:val="00B97BA4"/>
    <w:rsid w:val="00BA0265"/>
    <w:rsid w:val="00BA2015"/>
    <w:rsid w:val="00BA21D0"/>
    <w:rsid w:val="00BA244C"/>
    <w:rsid w:val="00BA2935"/>
    <w:rsid w:val="00BA2973"/>
    <w:rsid w:val="00BA3E94"/>
    <w:rsid w:val="00BA4627"/>
    <w:rsid w:val="00BA4EDC"/>
    <w:rsid w:val="00BA4F42"/>
    <w:rsid w:val="00BA5111"/>
    <w:rsid w:val="00BA571F"/>
    <w:rsid w:val="00BA59E7"/>
    <w:rsid w:val="00BA6C41"/>
    <w:rsid w:val="00BA6DD3"/>
    <w:rsid w:val="00BA75DF"/>
    <w:rsid w:val="00BA77AE"/>
    <w:rsid w:val="00BA789E"/>
    <w:rsid w:val="00BA7A40"/>
    <w:rsid w:val="00BA7A53"/>
    <w:rsid w:val="00BA7BEB"/>
    <w:rsid w:val="00BA7C38"/>
    <w:rsid w:val="00BA7F64"/>
    <w:rsid w:val="00BB067E"/>
    <w:rsid w:val="00BB081B"/>
    <w:rsid w:val="00BB0848"/>
    <w:rsid w:val="00BB0D0D"/>
    <w:rsid w:val="00BB1023"/>
    <w:rsid w:val="00BB117C"/>
    <w:rsid w:val="00BB11FF"/>
    <w:rsid w:val="00BB1814"/>
    <w:rsid w:val="00BB1DC7"/>
    <w:rsid w:val="00BB1ECB"/>
    <w:rsid w:val="00BB2C09"/>
    <w:rsid w:val="00BB2D12"/>
    <w:rsid w:val="00BB3483"/>
    <w:rsid w:val="00BB3E64"/>
    <w:rsid w:val="00BB44B0"/>
    <w:rsid w:val="00BB47EF"/>
    <w:rsid w:val="00BB4C6F"/>
    <w:rsid w:val="00BB4FFE"/>
    <w:rsid w:val="00BB522A"/>
    <w:rsid w:val="00BB573A"/>
    <w:rsid w:val="00BB5BF3"/>
    <w:rsid w:val="00BB5D9A"/>
    <w:rsid w:val="00BB5F04"/>
    <w:rsid w:val="00BB632D"/>
    <w:rsid w:val="00BB6403"/>
    <w:rsid w:val="00BB6583"/>
    <w:rsid w:val="00BB6969"/>
    <w:rsid w:val="00BB6BA7"/>
    <w:rsid w:val="00BB6DDB"/>
    <w:rsid w:val="00BB7505"/>
    <w:rsid w:val="00BB78FC"/>
    <w:rsid w:val="00BB798C"/>
    <w:rsid w:val="00BB7B3B"/>
    <w:rsid w:val="00BC0190"/>
    <w:rsid w:val="00BC0A0F"/>
    <w:rsid w:val="00BC0A4A"/>
    <w:rsid w:val="00BC0BC0"/>
    <w:rsid w:val="00BC0D9C"/>
    <w:rsid w:val="00BC12B8"/>
    <w:rsid w:val="00BC12D7"/>
    <w:rsid w:val="00BC13F3"/>
    <w:rsid w:val="00BC15EB"/>
    <w:rsid w:val="00BC15F7"/>
    <w:rsid w:val="00BC1B1F"/>
    <w:rsid w:val="00BC1B40"/>
    <w:rsid w:val="00BC1D83"/>
    <w:rsid w:val="00BC1FE2"/>
    <w:rsid w:val="00BC2390"/>
    <w:rsid w:val="00BC24C7"/>
    <w:rsid w:val="00BC2D1D"/>
    <w:rsid w:val="00BC3B2F"/>
    <w:rsid w:val="00BC3CDF"/>
    <w:rsid w:val="00BC3EC1"/>
    <w:rsid w:val="00BC3F09"/>
    <w:rsid w:val="00BC461D"/>
    <w:rsid w:val="00BC4D73"/>
    <w:rsid w:val="00BC512E"/>
    <w:rsid w:val="00BC5157"/>
    <w:rsid w:val="00BC541B"/>
    <w:rsid w:val="00BC587D"/>
    <w:rsid w:val="00BC5BAD"/>
    <w:rsid w:val="00BC5C82"/>
    <w:rsid w:val="00BC5D5C"/>
    <w:rsid w:val="00BC68F0"/>
    <w:rsid w:val="00BC693B"/>
    <w:rsid w:val="00BC6F0C"/>
    <w:rsid w:val="00BC6FEE"/>
    <w:rsid w:val="00BC740A"/>
    <w:rsid w:val="00BC755A"/>
    <w:rsid w:val="00BC7577"/>
    <w:rsid w:val="00BC7E98"/>
    <w:rsid w:val="00BD174B"/>
    <w:rsid w:val="00BD1E01"/>
    <w:rsid w:val="00BD2862"/>
    <w:rsid w:val="00BD2863"/>
    <w:rsid w:val="00BD2AC3"/>
    <w:rsid w:val="00BD32D8"/>
    <w:rsid w:val="00BD357F"/>
    <w:rsid w:val="00BD3DAA"/>
    <w:rsid w:val="00BD43DF"/>
    <w:rsid w:val="00BD486B"/>
    <w:rsid w:val="00BD4B19"/>
    <w:rsid w:val="00BD54DC"/>
    <w:rsid w:val="00BD5927"/>
    <w:rsid w:val="00BD5E0B"/>
    <w:rsid w:val="00BD60C3"/>
    <w:rsid w:val="00BD6525"/>
    <w:rsid w:val="00BD69C6"/>
    <w:rsid w:val="00BD6A24"/>
    <w:rsid w:val="00BD6AD4"/>
    <w:rsid w:val="00BD6D38"/>
    <w:rsid w:val="00BD7260"/>
    <w:rsid w:val="00BD7789"/>
    <w:rsid w:val="00BE04A2"/>
    <w:rsid w:val="00BE0813"/>
    <w:rsid w:val="00BE15C4"/>
    <w:rsid w:val="00BE1756"/>
    <w:rsid w:val="00BE19F8"/>
    <w:rsid w:val="00BE1A41"/>
    <w:rsid w:val="00BE21D0"/>
    <w:rsid w:val="00BE26A2"/>
    <w:rsid w:val="00BE2F1F"/>
    <w:rsid w:val="00BE3042"/>
    <w:rsid w:val="00BE3078"/>
    <w:rsid w:val="00BE338E"/>
    <w:rsid w:val="00BE38CC"/>
    <w:rsid w:val="00BE3924"/>
    <w:rsid w:val="00BE3AC0"/>
    <w:rsid w:val="00BE3D7D"/>
    <w:rsid w:val="00BE3F47"/>
    <w:rsid w:val="00BE44D0"/>
    <w:rsid w:val="00BE4591"/>
    <w:rsid w:val="00BE45AE"/>
    <w:rsid w:val="00BE483F"/>
    <w:rsid w:val="00BE497B"/>
    <w:rsid w:val="00BE5C98"/>
    <w:rsid w:val="00BE5FDF"/>
    <w:rsid w:val="00BE61E1"/>
    <w:rsid w:val="00BE655C"/>
    <w:rsid w:val="00BE6728"/>
    <w:rsid w:val="00BE6B88"/>
    <w:rsid w:val="00BE6FA4"/>
    <w:rsid w:val="00BE740B"/>
    <w:rsid w:val="00BE7464"/>
    <w:rsid w:val="00BE7691"/>
    <w:rsid w:val="00BE777F"/>
    <w:rsid w:val="00BE7ECA"/>
    <w:rsid w:val="00BF05AE"/>
    <w:rsid w:val="00BF092E"/>
    <w:rsid w:val="00BF104E"/>
    <w:rsid w:val="00BF133C"/>
    <w:rsid w:val="00BF19AB"/>
    <w:rsid w:val="00BF19C6"/>
    <w:rsid w:val="00BF19CF"/>
    <w:rsid w:val="00BF1F8F"/>
    <w:rsid w:val="00BF1FD2"/>
    <w:rsid w:val="00BF2E15"/>
    <w:rsid w:val="00BF3274"/>
    <w:rsid w:val="00BF3450"/>
    <w:rsid w:val="00BF353C"/>
    <w:rsid w:val="00BF37A4"/>
    <w:rsid w:val="00BF38B3"/>
    <w:rsid w:val="00BF3A72"/>
    <w:rsid w:val="00BF4900"/>
    <w:rsid w:val="00BF49DA"/>
    <w:rsid w:val="00BF53A8"/>
    <w:rsid w:val="00BF545B"/>
    <w:rsid w:val="00BF5816"/>
    <w:rsid w:val="00BF5D62"/>
    <w:rsid w:val="00BF5F91"/>
    <w:rsid w:val="00BF6635"/>
    <w:rsid w:val="00BF6F93"/>
    <w:rsid w:val="00BF72A7"/>
    <w:rsid w:val="00BF7A6C"/>
    <w:rsid w:val="00C009C0"/>
    <w:rsid w:val="00C00D70"/>
    <w:rsid w:val="00C00EBD"/>
    <w:rsid w:val="00C0125E"/>
    <w:rsid w:val="00C01404"/>
    <w:rsid w:val="00C01629"/>
    <w:rsid w:val="00C01936"/>
    <w:rsid w:val="00C01ABA"/>
    <w:rsid w:val="00C01CD1"/>
    <w:rsid w:val="00C0222F"/>
    <w:rsid w:val="00C02350"/>
    <w:rsid w:val="00C02466"/>
    <w:rsid w:val="00C024EB"/>
    <w:rsid w:val="00C02A21"/>
    <w:rsid w:val="00C02C2B"/>
    <w:rsid w:val="00C02D02"/>
    <w:rsid w:val="00C031C4"/>
    <w:rsid w:val="00C03B1C"/>
    <w:rsid w:val="00C03DC2"/>
    <w:rsid w:val="00C0434E"/>
    <w:rsid w:val="00C043B6"/>
    <w:rsid w:val="00C0479C"/>
    <w:rsid w:val="00C04C39"/>
    <w:rsid w:val="00C04FCC"/>
    <w:rsid w:val="00C0601B"/>
    <w:rsid w:val="00C06306"/>
    <w:rsid w:val="00C067E3"/>
    <w:rsid w:val="00C073A2"/>
    <w:rsid w:val="00C0798E"/>
    <w:rsid w:val="00C07F03"/>
    <w:rsid w:val="00C1054E"/>
    <w:rsid w:val="00C10CE6"/>
    <w:rsid w:val="00C110E3"/>
    <w:rsid w:val="00C11137"/>
    <w:rsid w:val="00C1137F"/>
    <w:rsid w:val="00C116C2"/>
    <w:rsid w:val="00C121D7"/>
    <w:rsid w:val="00C126AC"/>
    <w:rsid w:val="00C12798"/>
    <w:rsid w:val="00C1290F"/>
    <w:rsid w:val="00C13237"/>
    <w:rsid w:val="00C13332"/>
    <w:rsid w:val="00C134DB"/>
    <w:rsid w:val="00C13588"/>
    <w:rsid w:val="00C1381E"/>
    <w:rsid w:val="00C147BA"/>
    <w:rsid w:val="00C14D00"/>
    <w:rsid w:val="00C15208"/>
    <w:rsid w:val="00C15512"/>
    <w:rsid w:val="00C15A16"/>
    <w:rsid w:val="00C15C0D"/>
    <w:rsid w:val="00C162B5"/>
    <w:rsid w:val="00C16915"/>
    <w:rsid w:val="00C16B8A"/>
    <w:rsid w:val="00C17084"/>
    <w:rsid w:val="00C17470"/>
    <w:rsid w:val="00C17AA0"/>
    <w:rsid w:val="00C20B12"/>
    <w:rsid w:val="00C215D9"/>
    <w:rsid w:val="00C21661"/>
    <w:rsid w:val="00C217F7"/>
    <w:rsid w:val="00C21A5C"/>
    <w:rsid w:val="00C21AD7"/>
    <w:rsid w:val="00C21E25"/>
    <w:rsid w:val="00C21EF4"/>
    <w:rsid w:val="00C231B6"/>
    <w:rsid w:val="00C235CF"/>
    <w:rsid w:val="00C239C6"/>
    <w:rsid w:val="00C23D98"/>
    <w:rsid w:val="00C240AC"/>
    <w:rsid w:val="00C242BB"/>
    <w:rsid w:val="00C2477F"/>
    <w:rsid w:val="00C247BD"/>
    <w:rsid w:val="00C24A19"/>
    <w:rsid w:val="00C25D67"/>
    <w:rsid w:val="00C25DA4"/>
    <w:rsid w:val="00C25F66"/>
    <w:rsid w:val="00C26441"/>
    <w:rsid w:val="00C27F8E"/>
    <w:rsid w:val="00C30551"/>
    <w:rsid w:val="00C309D2"/>
    <w:rsid w:val="00C312A0"/>
    <w:rsid w:val="00C317CD"/>
    <w:rsid w:val="00C3185E"/>
    <w:rsid w:val="00C31F1C"/>
    <w:rsid w:val="00C323D9"/>
    <w:rsid w:val="00C325D8"/>
    <w:rsid w:val="00C3311A"/>
    <w:rsid w:val="00C3324C"/>
    <w:rsid w:val="00C33EFD"/>
    <w:rsid w:val="00C34247"/>
    <w:rsid w:val="00C344BD"/>
    <w:rsid w:val="00C34EE3"/>
    <w:rsid w:val="00C350E4"/>
    <w:rsid w:val="00C35154"/>
    <w:rsid w:val="00C351C9"/>
    <w:rsid w:val="00C35304"/>
    <w:rsid w:val="00C35834"/>
    <w:rsid w:val="00C3593C"/>
    <w:rsid w:val="00C3597B"/>
    <w:rsid w:val="00C35BBA"/>
    <w:rsid w:val="00C35DE7"/>
    <w:rsid w:val="00C360CA"/>
    <w:rsid w:val="00C36177"/>
    <w:rsid w:val="00C361EB"/>
    <w:rsid w:val="00C363A0"/>
    <w:rsid w:val="00C36476"/>
    <w:rsid w:val="00C366C1"/>
    <w:rsid w:val="00C367E2"/>
    <w:rsid w:val="00C36848"/>
    <w:rsid w:val="00C36BD0"/>
    <w:rsid w:val="00C3707C"/>
    <w:rsid w:val="00C372D8"/>
    <w:rsid w:val="00C37545"/>
    <w:rsid w:val="00C377DC"/>
    <w:rsid w:val="00C4016D"/>
    <w:rsid w:val="00C40236"/>
    <w:rsid w:val="00C404EA"/>
    <w:rsid w:val="00C40508"/>
    <w:rsid w:val="00C40C1C"/>
    <w:rsid w:val="00C40D1A"/>
    <w:rsid w:val="00C40DC5"/>
    <w:rsid w:val="00C40E92"/>
    <w:rsid w:val="00C414AF"/>
    <w:rsid w:val="00C4150D"/>
    <w:rsid w:val="00C4233F"/>
    <w:rsid w:val="00C425DC"/>
    <w:rsid w:val="00C42763"/>
    <w:rsid w:val="00C42BAE"/>
    <w:rsid w:val="00C43132"/>
    <w:rsid w:val="00C43D34"/>
    <w:rsid w:val="00C43FAD"/>
    <w:rsid w:val="00C445A3"/>
    <w:rsid w:val="00C44E82"/>
    <w:rsid w:val="00C44FE1"/>
    <w:rsid w:val="00C4691F"/>
    <w:rsid w:val="00C46AAE"/>
    <w:rsid w:val="00C46B80"/>
    <w:rsid w:val="00C46C40"/>
    <w:rsid w:val="00C46C9F"/>
    <w:rsid w:val="00C46CC6"/>
    <w:rsid w:val="00C47131"/>
    <w:rsid w:val="00C47247"/>
    <w:rsid w:val="00C47BEE"/>
    <w:rsid w:val="00C47C86"/>
    <w:rsid w:val="00C47E52"/>
    <w:rsid w:val="00C50188"/>
    <w:rsid w:val="00C50420"/>
    <w:rsid w:val="00C50E2B"/>
    <w:rsid w:val="00C51AC8"/>
    <w:rsid w:val="00C51E47"/>
    <w:rsid w:val="00C525D0"/>
    <w:rsid w:val="00C52DEC"/>
    <w:rsid w:val="00C53114"/>
    <w:rsid w:val="00C53262"/>
    <w:rsid w:val="00C534F7"/>
    <w:rsid w:val="00C538A2"/>
    <w:rsid w:val="00C53D37"/>
    <w:rsid w:val="00C54545"/>
    <w:rsid w:val="00C54A1F"/>
    <w:rsid w:val="00C54A94"/>
    <w:rsid w:val="00C54E6C"/>
    <w:rsid w:val="00C54EDE"/>
    <w:rsid w:val="00C55256"/>
    <w:rsid w:val="00C552C5"/>
    <w:rsid w:val="00C554FB"/>
    <w:rsid w:val="00C558BB"/>
    <w:rsid w:val="00C558EB"/>
    <w:rsid w:val="00C559A3"/>
    <w:rsid w:val="00C55E33"/>
    <w:rsid w:val="00C55ED6"/>
    <w:rsid w:val="00C561B9"/>
    <w:rsid w:val="00C561D0"/>
    <w:rsid w:val="00C5635D"/>
    <w:rsid w:val="00C563B1"/>
    <w:rsid w:val="00C56427"/>
    <w:rsid w:val="00C5762B"/>
    <w:rsid w:val="00C57E05"/>
    <w:rsid w:val="00C600A5"/>
    <w:rsid w:val="00C60326"/>
    <w:rsid w:val="00C60558"/>
    <w:rsid w:val="00C6058E"/>
    <w:rsid w:val="00C6066E"/>
    <w:rsid w:val="00C60DA1"/>
    <w:rsid w:val="00C6128E"/>
    <w:rsid w:val="00C61963"/>
    <w:rsid w:val="00C61F67"/>
    <w:rsid w:val="00C62080"/>
    <w:rsid w:val="00C62441"/>
    <w:rsid w:val="00C626B0"/>
    <w:rsid w:val="00C628BE"/>
    <w:rsid w:val="00C62A62"/>
    <w:rsid w:val="00C62CF1"/>
    <w:rsid w:val="00C63558"/>
    <w:rsid w:val="00C63587"/>
    <w:rsid w:val="00C63838"/>
    <w:rsid w:val="00C63A63"/>
    <w:rsid w:val="00C64CFF"/>
    <w:rsid w:val="00C6500F"/>
    <w:rsid w:val="00C65526"/>
    <w:rsid w:val="00C6592A"/>
    <w:rsid w:val="00C65D7C"/>
    <w:rsid w:val="00C66A03"/>
    <w:rsid w:val="00C66C3D"/>
    <w:rsid w:val="00C670A1"/>
    <w:rsid w:val="00C67238"/>
    <w:rsid w:val="00C6729A"/>
    <w:rsid w:val="00C674A0"/>
    <w:rsid w:val="00C704C9"/>
    <w:rsid w:val="00C70C43"/>
    <w:rsid w:val="00C70E67"/>
    <w:rsid w:val="00C7125C"/>
    <w:rsid w:val="00C712E0"/>
    <w:rsid w:val="00C715B6"/>
    <w:rsid w:val="00C71E48"/>
    <w:rsid w:val="00C71F35"/>
    <w:rsid w:val="00C72490"/>
    <w:rsid w:val="00C724CD"/>
    <w:rsid w:val="00C7289D"/>
    <w:rsid w:val="00C72C98"/>
    <w:rsid w:val="00C72E05"/>
    <w:rsid w:val="00C72ED7"/>
    <w:rsid w:val="00C72F9E"/>
    <w:rsid w:val="00C736A2"/>
    <w:rsid w:val="00C739F0"/>
    <w:rsid w:val="00C73BFE"/>
    <w:rsid w:val="00C73F1E"/>
    <w:rsid w:val="00C742FC"/>
    <w:rsid w:val="00C74469"/>
    <w:rsid w:val="00C74BCC"/>
    <w:rsid w:val="00C74CBD"/>
    <w:rsid w:val="00C74F8E"/>
    <w:rsid w:val="00C75301"/>
    <w:rsid w:val="00C753BD"/>
    <w:rsid w:val="00C76562"/>
    <w:rsid w:val="00C7690B"/>
    <w:rsid w:val="00C76B9F"/>
    <w:rsid w:val="00C80ED9"/>
    <w:rsid w:val="00C81406"/>
    <w:rsid w:val="00C82963"/>
    <w:rsid w:val="00C82A2F"/>
    <w:rsid w:val="00C82D05"/>
    <w:rsid w:val="00C83285"/>
    <w:rsid w:val="00C83801"/>
    <w:rsid w:val="00C83C5E"/>
    <w:rsid w:val="00C83D8B"/>
    <w:rsid w:val="00C84126"/>
    <w:rsid w:val="00C84371"/>
    <w:rsid w:val="00C8482C"/>
    <w:rsid w:val="00C84ED9"/>
    <w:rsid w:val="00C853E8"/>
    <w:rsid w:val="00C856EC"/>
    <w:rsid w:val="00C85C60"/>
    <w:rsid w:val="00C85C74"/>
    <w:rsid w:val="00C86267"/>
    <w:rsid w:val="00C866D0"/>
    <w:rsid w:val="00C866F3"/>
    <w:rsid w:val="00C87109"/>
    <w:rsid w:val="00C8713F"/>
    <w:rsid w:val="00C878EC"/>
    <w:rsid w:val="00C879E2"/>
    <w:rsid w:val="00C90587"/>
    <w:rsid w:val="00C90B87"/>
    <w:rsid w:val="00C911CD"/>
    <w:rsid w:val="00C9148E"/>
    <w:rsid w:val="00C9166A"/>
    <w:rsid w:val="00C919F7"/>
    <w:rsid w:val="00C91AFF"/>
    <w:rsid w:val="00C931B7"/>
    <w:rsid w:val="00C937EF"/>
    <w:rsid w:val="00C93C5D"/>
    <w:rsid w:val="00C93CEB"/>
    <w:rsid w:val="00C94037"/>
    <w:rsid w:val="00C94060"/>
    <w:rsid w:val="00C942F8"/>
    <w:rsid w:val="00C9432A"/>
    <w:rsid w:val="00C94799"/>
    <w:rsid w:val="00C94873"/>
    <w:rsid w:val="00C94A0C"/>
    <w:rsid w:val="00C94AD8"/>
    <w:rsid w:val="00C94D0E"/>
    <w:rsid w:val="00C95529"/>
    <w:rsid w:val="00C95FE8"/>
    <w:rsid w:val="00C962EE"/>
    <w:rsid w:val="00C9668D"/>
    <w:rsid w:val="00C96A18"/>
    <w:rsid w:val="00C96C0E"/>
    <w:rsid w:val="00C96C7C"/>
    <w:rsid w:val="00C96D62"/>
    <w:rsid w:val="00C971AF"/>
    <w:rsid w:val="00C9725E"/>
    <w:rsid w:val="00C973AB"/>
    <w:rsid w:val="00C97421"/>
    <w:rsid w:val="00C97498"/>
    <w:rsid w:val="00C97825"/>
    <w:rsid w:val="00C9784E"/>
    <w:rsid w:val="00C97DFB"/>
    <w:rsid w:val="00C97FDB"/>
    <w:rsid w:val="00CA00ED"/>
    <w:rsid w:val="00CA09E3"/>
    <w:rsid w:val="00CA153B"/>
    <w:rsid w:val="00CA1747"/>
    <w:rsid w:val="00CA1B01"/>
    <w:rsid w:val="00CA1D30"/>
    <w:rsid w:val="00CA1F8D"/>
    <w:rsid w:val="00CA25BB"/>
    <w:rsid w:val="00CA2A31"/>
    <w:rsid w:val="00CA2FAE"/>
    <w:rsid w:val="00CA3635"/>
    <w:rsid w:val="00CA3C78"/>
    <w:rsid w:val="00CA3CF9"/>
    <w:rsid w:val="00CA4214"/>
    <w:rsid w:val="00CA436D"/>
    <w:rsid w:val="00CA454B"/>
    <w:rsid w:val="00CA4842"/>
    <w:rsid w:val="00CA4B9D"/>
    <w:rsid w:val="00CA4CED"/>
    <w:rsid w:val="00CA4DCC"/>
    <w:rsid w:val="00CA5018"/>
    <w:rsid w:val="00CA551F"/>
    <w:rsid w:val="00CA6ABB"/>
    <w:rsid w:val="00CA75DC"/>
    <w:rsid w:val="00CA7963"/>
    <w:rsid w:val="00CA7CD8"/>
    <w:rsid w:val="00CA7DD7"/>
    <w:rsid w:val="00CA7F18"/>
    <w:rsid w:val="00CB01BA"/>
    <w:rsid w:val="00CB074D"/>
    <w:rsid w:val="00CB083C"/>
    <w:rsid w:val="00CB088A"/>
    <w:rsid w:val="00CB0C17"/>
    <w:rsid w:val="00CB0E8E"/>
    <w:rsid w:val="00CB1A7E"/>
    <w:rsid w:val="00CB1E73"/>
    <w:rsid w:val="00CB292F"/>
    <w:rsid w:val="00CB2D66"/>
    <w:rsid w:val="00CB38CA"/>
    <w:rsid w:val="00CB3984"/>
    <w:rsid w:val="00CB3CC2"/>
    <w:rsid w:val="00CB46CC"/>
    <w:rsid w:val="00CB484C"/>
    <w:rsid w:val="00CB4931"/>
    <w:rsid w:val="00CB49C3"/>
    <w:rsid w:val="00CB4A13"/>
    <w:rsid w:val="00CB4A7B"/>
    <w:rsid w:val="00CB4DC2"/>
    <w:rsid w:val="00CB50EC"/>
    <w:rsid w:val="00CB55AC"/>
    <w:rsid w:val="00CB5A3C"/>
    <w:rsid w:val="00CB5CBA"/>
    <w:rsid w:val="00CB5EA7"/>
    <w:rsid w:val="00CB5F74"/>
    <w:rsid w:val="00CB5F85"/>
    <w:rsid w:val="00CB6950"/>
    <w:rsid w:val="00CB6A48"/>
    <w:rsid w:val="00CB6B02"/>
    <w:rsid w:val="00CB6EB6"/>
    <w:rsid w:val="00CB6F3C"/>
    <w:rsid w:val="00CB76DB"/>
    <w:rsid w:val="00CB7D97"/>
    <w:rsid w:val="00CC0EF4"/>
    <w:rsid w:val="00CC1210"/>
    <w:rsid w:val="00CC13EE"/>
    <w:rsid w:val="00CC174A"/>
    <w:rsid w:val="00CC1A34"/>
    <w:rsid w:val="00CC1A3E"/>
    <w:rsid w:val="00CC1E8C"/>
    <w:rsid w:val="00CC1F46"/>
    <w:rsid w:val="00CC25E4"/>
    <w:rsid w:val="00CC27F8"/>
    <w:rsid w:val="00CC2B7C"/>
    <w:rsid w:val="00CC2D0D"/>
    <w:rsid w:val="00CC2FFE"/>
    <w:rsid w:val="00CC33F0"/>
    <w:rsid w:val="00CC347B"/>
    <w:rsid w:val="00CC3713"/>
    <w:rsid w:val="00CC382E"/>
    <w:rsid w:val="00CC40EA"/>
    <w:rsid w:val="00CC45AE"/>
    <w:rsid w:val="00CC4866"/>
    <w:rsid w:val="00CC49E5"/>
    <w:rsid w:val="00CC4B14"/>
    <w:rsid w:val="00CC502B"/>
    <w:rsid w:val="00CC5167"/>
    <w:rsid w:val="00CC57D9"/>
    <w:rsid w:val="00CC5C02"/>
    <w:rsid w:val="00CC5D21"/>
    <w:rsid w:val="00CC6244"/>
    <w:rsid w:val="00CC64EC"/>
    <w:rsid w:val="00CC65C2"/>
    <w:rsid w:val="00CC6B14"/>
    <w:rsid w:val="00CC6B37"/>
    <w:rsid w:val="00CC6ED0"/>
    <w:rsid w:val="00CC71A9"/>
    <w:rsid w:val="00CC73F1"/>
    <w:rsid w:val="00CC779A"/>
    <w:rsid w:val="00CC7F43"/>
    <w:rsid w:val="00CC7F52"/>
    <w:rsid w:val="00CD0244"/>
    <w:rsid w:val="00CD070F"/>
    <w:rsid w:val="00CD0E14"/>
    <w:rsid w:val="00CD105F"/>
    <w:rsid w:val="00CD1165"/>
    <w:rsid w:val="00CD14A9"/>
    <w:rsid w:val="00CD178C"/>
    <w:rsid w:val="00CD26C7"/>
    <w:rsid w:val="00CD2833"/>
    <w:rsid w:val="00CD2DFB"/>
    <w:rsid w:val="00CD2F69"/>
    <w:rsid w:val="00CD2FD0"/>
    <w:rsid w:val="00CD3146"/>
    <w:rsid w:val="00CD31EA"/>
    <w:rsid w:val="00CD396D"/>
    <w:rsid w:val="00CD39E2"/>
    <w:rsid w:val="00CD3FC4"/>
    <w:rsid w:val="00CD4323"/>
    <w:rsid w:val="00CD4475"/>
    <w:rsid w:val="00CD4BC1"/>
    <w:rsid w:val="00CD4D81"/>
    <w:rsid w:val="00CD4FB4"/>
    <w:rsid w:val="00CD5685"/>
    <w:rsid w:val="00CD56D0"/>
    <w:rsid w:val="00CD5851"/>
    <w:rsid w:val="00CD5D6C"/>
    <w:rsid w:val="00CD5FF7"/>
    <w:rsid w:val="00CD6345"/>
    <w:rsid w:val="00CD6539"/>
    <w:rsid w:val="00CD67BE"/>
    <w:rsid w:val="00CD6AAB"/>
    <w:rsid w:val="00CD6BE7"/>
    <w:rsid w:val="00CD7A7F"/>
    <w:rsid w:val="00CE0948"/>
    <w:rsid w:val="00CE0C3F"/>
    <w:rsid w:val="00CE1883"/>
    <w:rsid w:val="00CE20F5"/>
    <w:rsid w:val="00CE22CC"/>
    <w:rsid w:val="00CE28A9"/>
    <w:rsid w:val="00CE2E08"/>
    <w:rsid w:val="00CE3EBB"/>
    <w:rsid w:val="00CE42E7"/>
    <w:rsid w:val="00CE491C"/>
    <w:rsid w:val="00CE52B8"/>
    <w:rsid w:val="00CE5AD8"/>
    <w:rsid w:val="00CE6291"/>
    <w:rsid w:val="00CE62BE"/>
    <w:rsid w:val="00CE6327"/>
    <w:rsid w:val="00CE63FF"/>
    <w:rsid w:val="00CE6A72"/>
    <w:rsid w:val="00CE6B42"/>
    <w:rsid w:val="00CE6BFE"/>
    <w:rsid w:val="00CE6DA3"/>
    <w:rsid w:val="00CE79BD"/>
    <w:rsid w:val="00CF01AD"/>
    <w:rsid w:val="00CF08D8"/>
    <w:rsid w:val="00CF0A09"/>
    <w:rsid w:val="00CF0F09"/>
    <w:rsid w:val="00CF134A"/>
    <w:rsid w:val="00CF1364"/>
    <w:rsid w:val="00CF188F"/>
    <w:rsid w:val="00CF1968"/>
    <w:rsid w:val="00CF1E33"/>
    <w:rsid w:val="00CF2036"/>
    <w:rsid w:val="00CF207A"/>
    <w:rsid w:val="00CF229E"/>
    <w:rsid w:val="00CF240A"/>
    <w:rsid w:val="00CF2BC2"/>
    <w:rsid w:val="00CF30BA"/>
    <w:rsid w:val="00CF318F"/>
    <w:rsid w:val="00CF39E2"/>
    <w:rsid w:val="00CF3FAD"/>
    <w:rsid w:val="00CF45D1"/>
    <w:rsid w:val="00CF4FFA"/>
    <w:rsid w:val="00CF52FD"/>
    <w:rsid w:val="00CF5752"/>
    <w:rsid w:val="00CF5CD2"/>
    <w:rsid w:val="00CF5F39"/>
    <w:rsid w:val="00CF64C8"/>
    <w:rsid w:val="00CF64DB"/>
    <w:rsid w:val="00CF6E6F"/>
    <w:rsid w:val="00CF6F26"/>
    <w:rsid w:val="00CF7155"/>
    <w:rsid w:val="00CF76B2"/>
    <w:rsid w:val="00CF7F66"/>
    <w:rsid w:val="00D01244"/>
    <w:rsid w:val="00D01270"/>
    <w:rsid w:val="00D0130A"/>
    <w:rsid w:val="00D01476"/>
    <w:rsid w:val="00D018EF"/>
    <w:rsid w:val="00D01916"/>
    <w:rsid w:val="00D01D5A"/>
    <w:rsid w:val="00D0208C"/>
    <w:rsid w:val="00D02222"/>
    <w:rsid w:val="00D02318"/>
    <w:rsid w:val="00D02518"/>
    <w:rsid w:val="00D02762"/>
    <w:rsid w:val="00D0279B"/>
    <w:rsid w:val="00D02908"/>
    <w:rsid w:val="00D0292C"/>
    <w:rsid w:val="00D02AAE"/>
    <w:rsid w:val="00D02DAD"/>
    <w:rsid w:val="00D02DF0"/>
    <w:rsid w:val="00D02F68"/>
    <w:rsid w:val="00D031D7"/>
    <w:rsid w:val="00D0325B"/>
    <w:rsid w:val="00D0345B"/>
    <w:rsid w:val="00D03AD6"/>
    <w:rsid w:val="00D03AE1"/>
    <w:rsid w:val="00D04396"/>
    <w:rsid w:val="00D044B9"/>
    <w:rsid w:val="00D04A4F"/>
    <w:rsid w:val="00D04DED"/>
    <w:rsid w:val="00D04E08"/>
    <w:rsid w:val="00D067CD"/>
    <w:rsid w:val="00D0680B"/>
    <w:rsid w:val="00D06C3A"/>
    <w:rsid w:val="00D06CD6"/>
    <w:rsid w:val="00D06EBD"/>
    <w:rsid w:val="00D06FD4"/>
    <w:rsid w:val="00D0723B"/>
    <w:rsid w:val="00D07A15"/>
    <w:rsid w:val="00D10421"/>
    <w:rsid w:val="00D1078A"/>
    <w:rsid w:val="00D10930"/>
    <w:rsid w:val="00D10C6B"/>
    <w:rsid w:val="00D11767"/>
    <w:rsid w:val="00D11C28"/>
    <w:rsid w:val="00D11E4A"/>
    <w:rsid w:val="00D120A7"/>
    <w:rsid w:val="00D12153"/>
    <w:rsid w:val="00D132D3"/>
    <w:rsid w:val="00D13A95"/>
    <w:rsid w:val="00D13AC4"/>
    <w:rsid w:val="00D13B37"/>
    <w:rsid w:val="00D14996"/>
    <w:rsid w:val="00D15892"/>
    <w:rsid w:val="00D1636A"/>
    <w:rsid w:val="00D166A5"/>
    <w:rsid w:val="00D169AF"/>
    <w:rsid w:val="00D16AA2"/>
    <w:rsid w:val="00D16E86"/>
    <w:rsid w:val="00D17225"/>
    <w:rsid w:val="00D17389"/>
    <w:rsid w:val="00D17BC3"/>
    <w:rsid w:val="00D17C41"/>
    <w:rsid w:val="00D17CE4"/>
    <w:rsid w:val="00D2033B"/>
    <w:rsid w:val="00D2047B"/>
    <w:rsid w:val="00D204E2"/>
    <w:rsid w:val="00D2069D"/>
    <w:rsid w:val="00D20BD1"/>
    <w:rsid w:val="00D20C94"/>
    <w:rsid w:val="00D2106E"/>
    <w:rsid w:val="00D21405"/>
    <w:rsid w:val="00D21467"/>
    <w:rsid w:val="00D214F9"/>
    <w:rsid w:val="00D21525"/>
    <w:rsid w:val="00D21A23"/>
    <w:rsid w:val="00D2209C"/>
    <w:rsid w:val="00D22898"/>
    <w:rsid w:val="00D22FA7"/>
    <w:rsid w:val="00D2322A"/>
    <w:rsid w:val="00D2335D"/>
    <w:rsid w:val="00D233E1"/>
    <w:rsid w:val="00D23431"/>
    <w:rsid w:val="00D23CA0"/>
    <w:rsid w:val="00D240F8"/>
    <w:rsid w:val="00D249E1"/>
    <w:rsid w:val="00D24A23"/>
    <w:rsid w:val="00D24B09"/>
    <w:rsid w:val="00D24F28"/>
    <w:rsid w:val="00D24F59"/>
    <w:rsid w:val="00D25284"/>
    <w:rsid w:val="00D253F1"/>
    <w:rsid w:val="00D25CE3"/>
    <w:rsid w:val="00D269DB"/>
    <w:rsid w:val="00D26F62"/>
    <w:rsid w:val="00D27065"/>
    <w:rsid w:val="00D27512"/>
    <w:rsid w:val="00D30699"/>
    <w:rsid w:val="00D30DD9"/>
    <w:rsid w:val="00D3158A"/>
    <w:rsid w:val="00D31883"/>
    <w:rsid w:val="00D319DB"/>
    <w:rsid w:val="00D32348"/>
    <w:rsid w:val="00D32394"/>
    <w:rsid w:val="00D32AD0"/>
    <w:rsid w:val="00D32C89"/>
    <w:rsid w:val="00D3337B"/>
    <w:rsid w:val="00D33D16"/>
    <w:rsid w:val="00D33D5B"/>
    <w:rsid w:val="00D345FB"/>
    <w:rsid w:val="00D34796"/>
    <w:rsid w:val="00D3481D"/>
    <w:rsid w:val="00D349F4"/>
    <w:rsid w:val="00D34FC7"/>
    <w:rsid w:val="00D35A03"/>
    <w:rsid w:val="00D35BB4"/>
    <w:rsid w:val="00D35E75"/>
    <w:rsid w:val="00D3639A"/>
    <w:rsid w:val="00D367B1"/>
    <w:rsid w:val="00D3685E"/>
    <w:rsid w:val="00D369AE"/>
    <w:rsid w:val="00D369D4"/>
    <w:rsid w:val="00D36B2A"/>
    <w:rsid w:val="00D36B7F"/>
    <w:rsid w:val="00D36F84"/>
    <w:rsid w:val="00D36FAB"/>
    <w:rsid w:val="00D37C70"/>
    <w:rsid w:val="00D400F9"/>
    <w:rsid w:val="00D4085C"/>
    <w:rsid w:val="00D40BF0"/>
    <w:rsid w:val="00D40D53"/>
    <w:rsid w:val="00D40DE6"/>
    <w:rsid w:val="00D41649"/>
    <w:rsid w:val="00D41711"/>
    <w:rsid w:val="00D417A5"/>
    <w:rsid w:val="00D41A66"/>
    <w:rsid w:val="00D41D68"/>
    <w:rsid w:val="00D420C8"/>
    <w:rsid w:val="00D42679"/>
    <w:rsid w:val="00D42732"/>
    <w:rsid w:val="00D433A5"/>
    <w:rsid w:val="00D439FB"/>
    <w:rsid w:val="00D44572"/>
    <w:rsid w:val="00D44A1C"/>
    <w:rsid w:val="00D453B5"/>
    <w:rsid w:val="00D453D8"/>
    <w:rsid w:val="00D45786"/>
    <w:rsid w:val="00D45DD3"/>
    <w:rsid w:val="00D45EAD"/>
    <w:rsid w:val="00D46094"/>
    <w:rsid w:val="00D46269"/>
    <w:rsid w:val="00D46856"/>
    <w:rsid w:val="00D46B72"/>
    <w:rsid w:val="00D46D27"/>
    <w:rsid w:val="00D47151"/>
    <w:rsid w:val="00D47168"/>
    <w:rsid w:val="00D473FF"/>
    <w:rsid w:val="00D47F53"/>
    <w:rsid w:val="00D501DC"/>
    <w:rsid w:val="00D50868"/>
    <w:rsid w:val="00D50B05"/>
    <w:rsid w:val="00D50FB2"/>
    <w:rsid w:val="00D5130F"/>
    <w:rsid w:val="00D51501"/>
    <w:rsid w:val="00D51683"/>
    <w:rsid w:val="00D51924"/>
    <w:rsid w:val="00D51A77"/>
    <w:rsid w:val="00D51ACF"/>
    <w:rsid w:val="00D51EC8"/>
    <w:rsid w:val="00D524C0"/>
    <w:rsid w:val="00D52800"/>
    <w:rsid w:val="00D52A91"/>
    <w:rsid w:val="00D52BE8"/>
    <w:rsid w:val="00D53866"/>
    <w:rsid w:val="00D53C0F"/>
    <w:rsid w:val="00D5470E"/>
    <w:rsid w:val="00D547DF"/>
    <w:rsid w:val="00D548F5"/>
    <w:rsid w:val="00D549F9"/>
    <w:rsid w:val="00D551BE"/>
    <w:rsid w:val="00D5527E"/>
    <w:rsid w:val="00D55762"/>
    <w:rsid w:val="00D55904"/>
    <w:rsid w:val="00D55B4D"/>
    <w:rsid w:val="00D55C55"/>
    <w:rsid w:val="00D55C66"/>
    <w:rsid w:val="00D5629B"/>
    <w:rsid w:val="00D562C0"/>
    <w:rsid w:val="00D56453"/>
    <w:rsid w:val="00D565FD"/>
    <w:rsid w:val="00D5675F"/>
    <w:rsid w:val="00D5693B"/>
    <w:rsid w:val="00D56F30"/>
    <w:rsid w:val="00D5726D"/>
    <w:rsid w:val="00D57B67"/>
    <w:rsid w:val="00D57D99"/>
    <w:rsid w:val="00D57E65"/>
    <w:rsid w:val="00D57F04"/>
    <w:rsid w:val="00D60777"/>
    <w:rsid w:val="00D60A37"/>
    <w:rsid w:val="00D60B2C"/>
    <w:rsid w:val="00D60DA8"/>
    <w:rsid w:val="00D60E14"/>
    <w:rsid w:val="00D611C3"/>
    <w:rsid w:val="00D61337"/>
    <w:rsid w:val="00D618FC"/>
    <w:rsid w:val="00D61C4D"/>
    <w:rsid w:val="00D622A0"/>
    <w:rsid w:val="00D625D3"/>
    <w:rsid w:val="00D634CD"/>
    <w:rsid w:val="00D639D4"/>
    <w:rsid w:val="00D63B0C"/>
    <w:rsid w:val="00D64AA1"/>
    <w:rsid w:val="00D64CCA"/>
    <w:rsid w:val="00D65227"/>
    <w:rsid w:val="00D65452"/>
    <w:rsid w:val="00D65771"/>
    <w:rsid w:val="00D65CAD"/>
    <w:rsid w:val="00D660D5"/>
    <w:rsid w:val="00D6632A"/>
    <w:rsid w:val="00D66BE0"/>
    <w:rsid w:val="00D66ED7"/>
    <w:rsid w:val="00D66EF5"/>
    <w:rsid w:val="00D66F52"/>
    <w:rsid w:val="00D67234"/>
    <w:rsid w:val="00D676E2"/>
    <w:rsid w:val="00D679AC"/>
    <w:rsid w:val="00D7003A"/>
    <w:rsid w:val="00D70359"/>
    <w:rsid w:val="00D70817"/>
    <w:rsid w:val="00D70825"/>
    <w:rsid w:val="00D70BEC"/>
    <w:rsid w:val="00D70C0E"/>
    <w:rsid w:val="00D70C19"/>
    <w:rsid w:val="00D70FA4"/>
    <w:rsid w:val="00D71295"/>
    <w:rsid w:val="00D714A9"/>
    <w:rsid w:val="00D719E0"/>
    <w:rsid w:val="00D723D5"/>
    <w:rsid w:val="00D72B06"/>
    <w:rsid w:val="00D72FE2"/>
    <w:rsid w:val="00D730B6"/>
    <w:rsid w:val="00D732B7"/>
    <w:rsid w:val="00D73546"/>
    <w:rsid w:val="00D74E7C"/>
    <w:rsid w:val="00D75624"/>
    <w:rsid w:val="00D756E5"/>
    <w:rsid w:val="00D757EB"/>
    <w:rsid w:val="00D7606C"/>
    <w:rsid w:val="00D76106"/>
    <w:rsid w:val="00D76B04"/>
    <w:rsid w:val="00D76DDF"/>
    <w:rsid w:val="00D76EDB"/>
    <w:rsid w:val="00D76FE8"/>
    <w:rsid w:val="00D7705E"/>
    <w:rsid w:val="00D772C8"/>
    <w:rsid w:val="00D779FE"/>
    <w:rsid w:val="00D77A0E"/>
    <w:rsid w:val="00D77A29"/>
    <w:rsid w:val="00D77B2D"/>
    <w:rsid w:val="00D77D64"/>
    <w:rsid w:val="00D77E7A"/>
    <w:rsid w:val="00D80C5C"/>
    <w:rsid w:val="00D80EC2"/>
    <w:rsid w:val="00D8123C"/>
    <w:rsid w:val="00D814E7"/>
    <w:rsid w:val="00D8171B"/>
    <w:rsid w:val="00D81738"/>
    <w:rsid w:val="00D81F42"/>
    <w:rsid w:val="00D82314"/>
    <w:rsid w:val="00D826C8"/>
    <w:rsid w:val="00D82E47"/>
    <w:rsid w:val="00D8399C"/>
    <w:rsid w:val="00D83C38"/>
    <w:rsid w:val="00D83D11"/>
    <w:rsid w:val="00D83F2D"/>
    <w:rsid w:val="00D841E1"/>
    <w:rsid w:val="00D84239"/>
    <w:rsid w:val="00D84822"/>
    <w:rsid w:val="00D84AB7"/>
    <w:rsid w:val="00D84E4D"/>
    <w:rsid w:val="00D85279"/>
    <w:rsid w:val="00D85574"/>
    <w:rsid w:val="00D85FBE"/>
    <w:rsid w:val="00D8684B"/>
    <w:rsid w:val="00D86B85"/>
    <w:rsid w:val="00D86EDA"/>
    <w:rsid w:val="00D87024"/>
    <w:rsid w:val="00D87764"/>
    <w:rsid w:val="00D87EC1"/>
    <w:rsid w:val="00D90195"/>
    <w:rsid w:val="00D901CE"/>
    <w:rsid w:val="00D90269"/>
    <w:rsid w:val="00D90510"/>
    <w:rsid w:val="00D90A1E"/>
    <w:rsid w:val="00D90DCF"/>
    <w:rsid w:val="00D9120F"/>
    <w:rsid w:val="00D9127A"/>
    <w:rsid w:val="00D916E3"/>
    <w:rsid w:val="00D918BD"/>
    <w:rsid w:val="00D91B09"/>
    <w:rsid w:val="00D91B71"/>
    <w:rsid w:val="00D91CA1"/>
    <w:rsid w:val="00D925DD"/>
    <w:rsid w:val="00D92608"/>
    <w:rsid w:val="00D927D1"/>
    <w:rsid w:val="00D928E4"/>
    <w:rsid w:val="00D9298D"/>
    <w:rsid w:val="00D929A1"/>
    <w:rsid w:val="00D933DA"/>
    <w:rsid w:val="00D9360E"/>
    <w:rsid w:val="00D9378F"/>
    <w:rsid w:val="00D93916"/>
    <w:rsid w:val="00D93D10"/>
    <w:rsid w:val="00D94114"/>
    <w:rsid w:val="00D9436F"/>
    <w:rsid w:val="00D944C0"/>
    <w:rsid w:val="00D94A96"/>
    <w:rsid w:val="00D954B5"/>
    <w:rsid w:val="00D95654"/>
    <w:rsid w:val="00D957E9"/>
    <w:rsid w:val="00D95CED"/>
    <w:rsid w:val="00D95D0B"/>
    <w:rsid w:val="00D96458"/>
    <w:rsid w:val="00D96474"/>
    <w:rsid w:val="00D97256"/>
    <w:rsid w:val="00D97734"/>
    <w:rsid w:val="00D977BB"/>
    <w:rsid w:val="00D97936"/>
    <w:rsid w:val="00DA0B11"/>
    <w:rsid w:val="00DA141A"/>
    <w:rsid w:val="00DA1771"/>
    <w:rsid w:val="00DA19EE"/>
    <w:rsid w:val="00DA1BCB"/>
    <w:rsid w:val="00DA1F60"/>
    <w:rsid w:val="00DA280D"/>
    <w:rsid w:val="00DA2ADF"/>
    <w:rsid w:val="00DA2DF7"/>
    <w:rsid w:val="00DA3021"/>
    <w:rsid w:val="00DA33EA"/>
    <w:rsid w:val="00DA344A"/>
    <w:rsid w:val="00DA34CA"/>
    <w:rsid w:val="00DA3B06"/>
    <w:rsid w:val="00DA3CEA"/>
    <w:rsid w:val="00DA3F1E"/>
    <w:rsid w:val="00DA4005"/>
    <w:rsid w:val="00DA402C"/>
    <w:rsid w:val="00DA4772"/>
    <w:rsid w:val="00DA4CE8"/>
    <w:rsid w:val="00DA4E59"/>
    <w:rsid w:val="00DA4FA8"/>
    <w:rsid w:val="00DA514A"/>
    <w:rsid w:val="00DA5A5D"/>
    <w:rsid w:val="00DA5CA4"/>
    <w:rsid w:val="00DA6240"/>
    <w:rsid w:val="00DA651C"/>
    <w:rsid w:val="00DA670B"/>
    <w:rsid w:val="00DA6914"/>
    <w:rsid w:val="00DA6A3D"/>
    <w:rsid w:val="00DA7E4C"/>
    <w:rsid w:val="00DB01C8"/>
    <w:rsid w:val="00DB04B2"/>
    <w:rsid w:val="00DB0C27"/>
    <w:rsid w:val="00DB1691"/>
    <w:rsid w:val="00DB2695"/>
    <w:rsid w:val="00DB2E30"/>
    <w:rsid w:val="00DB3570"/>
    <w:rsid w:val="00DB3F3C"/>
    <w:rsid w:val="00DB44A9"/>
    <w:rsid w:val="00DB499C"/>
    <w:rsid w:val="00DB4BF0"/>
    <w:rsid w:val="00DB4BF5"/>
    <w:rsid w:val="00DB4C27"/>
    <w:rsid w:val="00DB4EF5"/>
    <w:rsid w:val="00DB513A"/>
    <w:rsid w:val="00DB5970"/>
    <w:rsid w:val="00DB59B9"/>
    <w:rsid w:val="00DB5D28"/>
    <w:rsid w:val="00DB60A3"/>
    <w:rsid w:val="00DB642D"/>
    <w:rsid w:val="00DB6B2A"/>
    <w:rsid w:val="00DB6D02"/>
    <w:rsid w:val="00DB7808"/>
    <w:rsid w:val="00DB7A0A"/>
    <w:rsid w:val="00DB7A3A"/>
    <w:rsid w:val="00DC023F"/>
    <w:rsid w:val="00DC0647"/>
    <w:rsid w:val="00DC0CD5"/>
    <w:rsid w:val="00DC1083"/>
    <w:rsid w:val="00DC13D9"/>
    <w:rsid w:val="00DC1769"/>
    <w:rsid w:val="00DC1BC1"/>
    <w:rsid w:val="00DC1BE5"/>
    <w:rsid w:val="00DC1DB5"/>
    <w:rsid w:val="00DC2033"/>
    <w:rsid w:val="00DC2FB7"/>
    <w:rsid w:val="00DC310F"/>
    <w:rsid w:val="00DC323D"/>
    <w:rsid w:val="00DC3B09"/>
    <w:rsid w:val="00DC426C"/>
    <w:rsid w:val="00DC48ED"/>
    <w:rsid w:val="00DC4C5F"/>
    <w:rsid w:val="00DC4E86"/>
    <w:rsid w:val="00DC4EDC"/>
    <w:rsid w:val="00DC5165"/>
    <w:rsid w:val="00DC5377"/>
    <w:rsid w:val="00DC6182"/>
    <w:rsid w:val="00DC6D70"/>
    <w:rsid w:val="00DC703E"/>
    <w:rsid w:val="00DC71AE"/>
    <w:rsid w:val="00DC727B"/>
    <w:rsid w:val="00DC72C9"/>
    <w:rsid w:val="00DC7982"/>
    <w:rsid w:val="00DC7E14"/>
    <w:rsid w:val="00DC7F6A"/>
    <w:rsid w:val="00DD016F"/>
    <w:rsid w:val="00DD0520"/>
    <w:rsid w:val="00DD0591"/>
    <w:rsid w:val="00DD0A4C"/>
    <w:rsid w:val="00DD1154"/>
    <w:rsid w:val="00DD13B8"/>
    <w:rsid w:val="00DD1C82"/>
    <w:rsid w:val="00DD209D"/>
    <w:rsid w:val="00DD21B3"/>
    <w:rsid w:val="00DD2473"/>
    <w:rsid w:val="00DD2DA6"/>
    <w:rsid w:val="00DD3128"/>
    <w:rsid w:val="00DD3152"/>
    <w:rsid w:val="00DD316E"/>
    <w:rsid w:val="00DD34E0"/>
    <w:rsid w:val="00DD3649"/>
    <w:rsid w:val="00DD3709"/>
    <w:rsid w:val="00DD4576"/>
    <w:rsid w:val="00DD4E1F"/>
    <w:rsid w:val="00DD4EA4"/>
    <w:rsid w:val="00DD515F"/>
    <w:rsid w:val="00DD56EF"/>
    <w:rsid w:val="00DD5C53"/>
    <w:rsid w:val="00DD616F"/>
    <w:rsid w:val="00DD6474"/>
    <w:rsid w:val="00DD662C"/>
    <w:rsid w:val="00DD66FF"/>
    <w:rsid w:val="00DD6C86"/>
    <w:rsid w:val="00DD6F80"/>
    <w:rsid w:val="00DD77D2"/>
    <w:rsid w:val="00DD7EB9"/>
    <w:rsid w:val="00DE039D"/>
    <w:rsid w:val="00DE0C79"/>
    <w:rsid w:val="00DE123D"/>
    <w:rsid w:val="00DE16AA"/>
    <w:rsid w:val="00DE2021"/>
    <w:rsid w:val="00DE2391"/>
    <w:rsid w:val="00DE2B0A"/>
    <w:rsid w:val="00DE2D3D"/>
    <w:rsid w:val="00DE309F"/>
    <w:rsid w:val="00DE339C"/>
    <w:rsid w:val="00DE35E7"/>
    <w:rsid w:val="00DE35EE"/>
    <w:rsid w:val="00DE3D0C"/>
    <w:rsid w:val="00DE3D20"/>
    <w:rsid w:val="00DE4113"/>
    <w:rsid w:val="00DE4156"/>
    <w:rsid w:val="00DE4893"/>
    <w:rsid w:val="00DE4B50"/>
    <w:rsid w:val="00DE4CCD"/>
    <w:rsid w:val="00DE4E68"/>
    <w:rsid w:val="00DE4F03"/>
    <w:rsid w:val="00DE5025"/>
    <w:rsid w:val="00DE566B"/>
    <w:rsid w:val="00DE583E"/>
    <w:rsid w:val="00DE64E8"/>
    <w:rsid w:val="00DE66F9"/>
    <w:rsid w:val="00DE6879"/>
    <w:rsid w:val="00DE6D3B"/>
    <w:rsid w:val="00DE734F"/>
    <w:rsid w:val="00DE743B"/>
    <w:rsid w:val="00DE7B46"/>
    <w:rsid w:val="00DF0496"/>
    <w:rsid w:val="00DF0B66"/>
    <w:rsid w:val="00DF0EE4"/>
    <w:rsid w:val="00DF141E"/>
    <w:rsid w:val="00DF14EE"/>
    <w:rsid w:val="00DF1AD5"/>
    <w:rsid w:val="00DF1D87"/>
    <w:rsid w:val="00DF1D88"/>
    <w:rsid w:val="00DF2132"/>
    <w:rsid w:val="00DF2237"/>
    <w:rsid w:val="00DF235E"/>
    <w:rsid w:val="00DF2377"/>
    <w:rsid w:val="00DF2484"/>
    <w:rsid w:val="00DF32DB"/>
    <w:rsid w:val="00DF40F6"/>
    <w:rsid w:val="00DF4334"/>
    <w:rsid w:val="00DF4924"/>
    <w:rsid w:val="00DF4B4E"/>
    <w:rsid w:val="00DF4FF1"/>
    <w:rsid w:val="00DF511B"/>
    <w:rsid w:val="00DF56F1"/>
    <w:rsid w:val="00DF57D4"/>
    <w:rsid w:val="00DF5DC7"/>
    <w:rsid w:val="00DF5F1B"/>
    <w:rsid w:val="00DF61DC"/>
    <w:rsid w:val="00DF61F2"/>
    <w:rsid w:val="00DF667A"/>
    <w:rsid w:val="00DF67D6"/>
    <w:rsid w:val="00DF6B8E"/>
    <w:rsid w:val="00DF7445"/>
    <w:rsid w:val="00DF7BF8"/>
    <w:rsid w:val="00DF7F14"/>
    <w:rsid w:val="00E00414"/>
    <w:rsid w:val="00E0047F"/>
    <w:rsid w:val="00E01210"/>
    <w:rsid w:val="00E012DF"/>
    <w:rsid w:val="00E0136A"/>
    <w:rsid w:val="00E015BE"/>
    <w:rsid w:val="00E0193C"/>
    <w:rsid w:val="00E01AD7"/>
    <w:rsid w:val="00E01C9E"/>
    <w:rsid w:val="00E02160"/>
    <w:rsid w:val="00E0242B"/>
    <w:rsid w:val="00E02440"/>
    <w:rsid w:val="00E02574"/>
    <w:rsid w:val="00E0367D"/>
    <w:rsid w:val="00E03866"/>
    <w:rsid w:val="00E03C52"/>
    <w:rsid w:val="00E046A6"/>
    <w:rsid w:val="00E04A5B"/>
    <w:rsid w:val="00E04AE0"/>
    <w:rsid w:val="00E04CCE"/>
    <w:rsid w:val="00E04CE9"/>
    <w:rsid w:val="00E051F1"/>
    <w:rsid w:val="00E052B7"/>
    <w:rsid w:val="00E05669"/>
    <w:rsid w:val="00E057A9"/>
    <w:rsid w:val="00E05BEE"/>
    <w:rsid w:val="00E05D09"/>
    <w:rsid w:val="00E0646C"/>
    <w:rsid w:val="00E06489"/>
    <w:rsid w:val="00E067F1"/>
    <w:rsid w:val="00E071C6"/>
    <w:rsid w:val="00E0737B"/>
    <w:rsid w:val="00E1069D"/>
    <w:rsid w:val="00E10B10"/>
    <w:rsid w:val="00E1147D"/>
    <w:rsid w:val="00E11C52"/>
    <w:rsid w:val="00E11C76"/>
    <w:rsid w:val="00E1240D"/>
    <w:rsid w:val="00E1248D"/>
    <w:rsid w:val="00E12986"/>
    <w:rsid w:val="00E13BFF"/>
    <w:rsid w:val="00E13D97"/>
    <w:rsid w:val="00E145CC"/>
    <w:rsid w:val="00E14A97"/>
    <w:rsid w:val="00E14C94"/>
    <w:rsid w:val="00E153C4"/>
    <w:rsid w:val="00E163D5"/>
    <w:rsid w:val="00E16564"/>
    <w:rsid w:val="00E165EC"/>
    <w:rsid w:val="00E1666A"/>
    <w:rsid w:val="00E167E5"/>
    <w:rsid w:val="00E16ADC"/>
    <w:rsid w:val="00E170D6"/>
    <w:rsid w:val="00E171C1"/>
    <w:rsid w:val="00E171ED"/>
    <w:rsid w:val="00E17628"/>
    <w:rsid w:val="00E17F73"/>
    <w:rsid w:val="00E2019E"/>
    <w:rsid w:val="00E20709"/>
    <w:rsid w:val="00E215FF"/>
    <w:rsid w:val="00E21797"/>
    <w:rsid w:val="00E217CD"/>
    <w:rsid w:val="00E21FA7"/>
    <w:rsid w:val="00E2211A"/>
    <w:rsid w:val="00E222AC"/>
    <w:rsid w:val="00E22464"/>
    <w:rsid w:val="00E22856"/>
    <w:rsid w:val="00E230E7"/>
    <w:rsid w:val="00E233A4"/>
    <w:rsid w:val="00E23C6F"/>
    <w:rsid w:val="00E23FEC"/>
    <w:rsid w:val="00E24573"/>
    <w:rsid w:val="00E24EC0"/>
    <w:rsid w:val="00E2505C"/>
    <w:rsid w:val="00E25635"/>
    <w:rsid w:val="00E25879"/>
    <w:rsid w:val="00E25C68"/>
    <w:rsid w:val="00E2601E"/>
    <w:rsid w:val="00E26853"/>
    <w:rsid w:val="00E270A0"/>
    <w:rsid w:val="00E303B3"/>
    <w:rsid w:val="00E304E5"/>
    <w:rsid w:val="00E3058E"/>
    <w:rsid w:val="00E30A84"/>
    <w:rsid w:val="00E310E3"/>
    <w:rsid w:val="00E3115F"/>
    <w:rsid w:val="00E31805"/>
    <w:rsid w:val="00E31AC2"/>
    <w:rsid w:val="00E32960"/>
    <w:rsid w:val="00E32CCC"/>
    <w:rsid w:val="00E32CEC"/>
    <w:rsid w:val="00E32FEF"/>
    <w:rsid w:val="00E334FA"/>
    <w:rsid w:val="00E33E8B"/>
    <w:rsid w:val="00E34011"/>
    <w:rsid w:val="00E34251"/>
    <w:rsid w:val="00E342E6"/>
    <w:rsid w:val="00E347B7"/>
    <w:rsid w:val="00E34DF3"/>
    <w:rsid w:val="00E354C4"/>
    <w:rsid w:val="00E35989"/>
    <w:rsid w:val="00E35DE1"/>
    <w:rsid w:val="00E35FEC"/>
    <w:rsid w:val="00E3627A"/>
    <w:rsid w:val="00E362FF"/>
    <w:rsid w:val="00E368A2"/>
    <w:rsid w:val="00E3697E"/>
    <w:rsid w:val="00E36D9F"/>
    <w:rsid w:val="00E370E6"/>
    <w:rsid w:val="00E370E9"/>
    <w:rsid w:val="00E37545"/>
    <w:rsid w:val="00E3791F"/>
    <w:rsid w:val="00E37ADA"/>
    <w:rsid w:val="00E404D1"/>
    <w:rsid w:val="00E41989"/>
    <w:rsid w:val="00E41BC0"/>
    <w:rsid w:val="00E41DC9"/>
    <w:rsid w:val="00E42705"/>
    <w:rsid w:val="00E43122"/>
    <w:rsid w:val="00E4359F"/>
    <w:rsid w:val="00E43A81"/>
    <w:rsid w:val="00E4411B"/>
    <w:rsid w:val="00E441E2"/>
    <w:rsid w:val="00E44302"/>
    <w:rsid w:val="00E44361"/>
    <w:rsid w:val="00E44597"/>
    <w:rsid w:val="00E449DD"/>
    <w:rsid w:val="00E451D9"/>
    <w:rsid w:val="00E45440"/>
    <w:rsid w:val="00E45634"/>
    <w:rsid w:val="00E463C8"/>
    <w:rsid w:val="00E46790"/>
    <w:rsid w:val="00E46F32"/>
    <w:rsid w:val="00E472BF"/>
    <w:rsid w:val="00E4742E"/>
    <w:rsid w:val="00E47C10"/>
    <w:rsid w:val="00E50081"/>
    <w:rsid w:val="00E50551"/>
    <w:rsid w:val="00E50589"/>
    <w:rsid w:val="00E50FE4"/>
    <w:rsid w:val="00E519FA"/>
    <w:rsid w:val="00E51B73"/>
    <w:rsid w:val="00E51FEE"/>
    <w:rsid w:val="00E52390"/>
    <w:rsid w:val="00E52C0A"/>
    <w:rsid w:val="00E52F66"/>
    <w:rsid w:val="00E539E9"/>
    <w:rsid w:val="00E53DD0"/>
    <w:rsid w:val="00E54162"/>
    <w:rsid w:val="00E5416B"/>
    <w:rsid w:val="00E5429E"/>
    <w:rsid w:val="00E5433D"/>
    <w:rsid w:val="00E543E5"/>
    <w:rsid w:val="00E54507"/>
    <w:rsid w:val="00E54E38"/>
    <w:rsid w:val="00E54E92"/>
    <w:rsid w:val="00E54FB0"/>
    <w:rsid w:val="00E54FDF"/>
    <w:rsid w:val="00E550A0"/>
    <w:rsid w:val="00E55119"/>
    <w:rsid w:val="00E5663C"/>
    <w:rsid w:val="00E56798"/>
    <w:rsid w:val="00E56915"/>
    <w:rsid w:val="00E57468"/>
    <w:rsid w:val="00E575CD"/>
    <w:rsid w:val="00E57A4D"/>
    <w:rsid w:val="00E60445"/>
    <w:rsid w:val="00E61551"/>
    <w:rsid w:val="00E61AFF"/>
    <w:rsid w:val="00E61FC1"/>
    <w:rsid w:val="00E6265E"/>
    <w:rsid w:val="00E63251"/>
    <w:rsid w:val="00E634AE"/>
    <w:rsid w:val="00E635D5"/>
    <w:rsid w:val="00E63AD2"/>
    <w:rsid w:val="00E63B8A"/>
    <w:rsid w:val="00E6420D"/>
    <w:rsid w:val="00E64486"/>
    <w:rsid w:val="00E65690"/>
    <w:rsid w:val="00E65706"/>
    <w:rsid w:val="00E6572D"/>
    <w:rsid w:val="00E6580E"/>
    <w:rsid w:val="00E65E87"/>
    <w:rsid w:val="00E66C8F"/>
    <w:rsid w:val="00E6749B"/>
    <w:rsid w:val="00E676B5"/>
    <w:rsid w:val="00E6774D"/>
    <w:rsid w:val="00E67DAA"/>
    <w:rsid w:val="00E67F16"/>
    <w:rsid w:val="00E7000C"/>
    <w:rsid w:val="00E70810"/>
    <w:rsid w:val="00E70AC9"/>
    <w:rsid w:val="00E70C99"/>
    <w:rsid w:val="00E71018"/>
    <w:rsid w:val="00E713DD"/>
    <w:rsid w:val="00E714EE"/>
    <w:rsid w:val="00E7186C"/>
    <w:rsid w:val="00E71A98"/>
    <w:rsid w:val="00E71F18"/>
    <w:rsid w:val="00E72218"/>
    <w:rsid w:val="00E7267C"/>
    <w:rsid w:val="00E729B9"/>
    <w:rsid w:val="00E72B84"/>
    <w:rsid w:val="00E72C4E"/>
    <w:rsid w:val="00E72D45"/>
    <w:rsid w:val="00E72F73"/>
    <w:rsid w:val="00E730A2"/>
    <w:rsid w:val="00E731CB"/>
    <w:rsid w:val="00E732A4"/>
    <w:rsid w:val="00E73549"/>
    <w:rsid w:val="00E73CB3"/>
    <w:rsid w:val="00E741B3"/>
    <w:rsid w:val="00E7442A"/>
    <w:rsid w:val="00E7484B"/>
    <w:rsid w:val="00E74880"/>
    <w:rsid w:val="00E74960"/>
    <w:rsid w:val="00E74B4F"/>
    <w:rsid w:val="00E75118"/>
    <w:rsid w:val="00E75B2D"/>
    <w:rsid w:val="00E761FF"/>
    <w:rsid w:val="00E76574"/>
    <w:rsid w:val="00E767DA"/>
    <w:rsid w:val="00E7695B"/>
    <w:rsid w:val="00E76ABB"/>
    <w:rsid w:val="00E76EDA"/>
    <w:rsid w:val="00E76F6B"/>
    <w:rsid w:val="00E77309"/>
    <w:rsid w:val="00E77576"/>
    <w:rsid w:val="00E776D1"/>
    <w:rsid w:val="00E77910"/>
    <w:rsid w:val="00E77967"/>
    <w:rsid w:val="00E77C86"/>
    <w:rsid w:val="00E804D0"/>
    <w:rsid w:val="00E80B0D"/>
    <w:rsid w:val="00E810BA"/>
    <w:rsid w:val="00E816A5"/>
    <w:rsid w:val="00E819E4"/>
    <w:rsid w:val="00E81AAB"/>
    <w:rsid w:val="00E81BD3"/>
    <w:rsid w:val="00E821FB"/>
    <w:rsid w:val="00E823E0"/>
    <w:rsid w:val="00E8294F"/>
    <w:rsid w:val="00E8297A"/>
    <w:rsid w:val="00E82B21"/>
    <w:rsid w:val="00E831AC"/>
    <w:rsid w:val="00E834DA"/>
    <w:rsid w:val="00E83613"/>
    <w:rsid w:val="00E83DA3"/>
    <w:rsid w:val="00E83EFE"/>
    <w:rsid w:val="00E84102"/>
    <w:rsid w:val="00E84947"/>
    <w:rsid w:val="00E849A0"/>
    <w:rsid w:val="00E85021"/>
    <w:rsid w:val="00E8524B"/>
    <w:rsid w:val="00E8559F"/>
    <w:rsid w:val="00E857C8"/>
    <w:rsid w:val="00E86099"/>
    <w:rsid w:val="00E86BA3"/>
    <w:rsid w:val="00E86DFC"/>
    <w:rsid w:val="00E86F41"/>
    <w:rsid w:val="00E87043"/>
    <w:rsid w:val="00E878E7"/>
    <w:rsid w:val="00E87BE7"/>
    <w:rsid w:val="00E90169"/>
    <w:rsid w:val="00E902DB"/>
    <w:rsid w:val="00E90378"/>
    <w:rsid w:val="00E90552"/>
    <w:rsid w:val="00E90557"/>
    <w:rsid w:val="00E9084B"/>
    <w:rsid w:val="00E909A0"/>
    <w:rsid w:val="00E90BFC"/>
    <w:rsid w:val="00E9139D"/>
    <w:rsid w:val="00E91A54"/>
    <w:rsid w:val="00E91A7A"/>
    <w:rsid w:val="00E91BEA"/>
    <w:rsid w:val="00E91CD6"/>
    <w:rsid w:val="00E9282C"/>
    <w:rsid w:val="00E933BA"/>
    <w:rsid w:val="00E93710"/>
    <w:rsid w:val="00E93FA0"/>
    <w:rsid w:val="00E9410F"/>
    <w:rsid w:val="00E9433C"/>
    <w:rsid w:val="00E947F8"/>
    <w:rsid w:val="00E94AF2"/>
    <w:rsid w:val="00E94DC1"/>
    <w:rsid w:val="00E9584B"/>
    <w:rsid w:val="00E95C59"/>
    <w:rsid w:val="00E96009"/>
    <w:rsid w:val="00E96C5C"/>
    <w:rsid w:val="00E96D1D"/>
    <w:rsid w:val="00E970B8"/>
    <w:rsid w:val="00E97720"/>
    <w:rsid w:val="00EA0415"/>
    <w:rsid w:val="00EA048E"/>
    <w:rsid w:val="00EA0A40"/>
    <w:rsid w:val="00EA0ED4"/>
    <w:rsid w:val="00EA0FBE"/>
    <w:rsid w:val="00EA1A03"/>
    <w:rsid w:val="00EA1BBB"/>
    <w:rsid w:val="00EA28E4"/>
    <w:rsid w:val="00EA2A43"/>
    <w:rsid w:val="00EA3318"/>
    <w:rsid w:val="00EA3554"/>
    <w:rsid w:val="00EA4226"/>
    <w:rsid w:val="00EA46BF"/>
    <w:rsid w:val="00EA4F55"/>
    <w:rsid w:val="00EA503E"/>
    <w:rsid w:val="00EA5499"/>
    <w:rsid w:val="00EA5B7C"/>
    <w:rsid w:val="00EA688A"/>
    <w:rsid w:val="00EA698E"/>
    <w:rsid w:val="00EA69B6"/>
    <w:rsid w:val="00EA6A94"/>
    <w:rsid w:val="00EA6AA8"/>
    <w:rsid w:val="00EA7481"/>
    <w:rsid w:val="00EA76A9"/>
    <w:rsid w:val="00EA77D6"/>
    <w:rsid w:val="00EB0025"/>
    <w:rsid w:val="00EB0A18"/>
    <w:rsid w:val="00EB0B09"/>
    <w:rsid w:val="00EB0C01"/>
    <w:rsid w:val="00EB148D"/>
    <w:rsid w:val="00EB1618"/>
    <w:rsid w:val="00EB17E2"/>
    <w:rsid w:val="00EB1B5A"/>
    <w:rsid w:val="00EB1D19"/>
    <w:rsid w:val="00EB1DF6"/>
    <w:rsid w:val="00EB2748"/>
    <w:rsid w:val="00EB3A65"/>
    <w:rsid w:val="00EB40F0"/>
    <w:rsid w:val="00EB4187"/>
    <w:rsid w:val="00EB42D8"/>
    <w:rsid w:val="00EB4344"/>
    <w:rsid w:val="00EB464C"/>
    <w:rsid w:val="00EB4BB0"/>
    <w:rsid w:val="00EB51C9"/>
    <w:rsid w:val="00EB5202"/>
    <w:rsid w:val="00EB5348"/>
    <w:rsid w:val="00EB537F"/>
    <w:rsid w:val="00EB5808"/>
    <w:rsid w:val="00EB5CD2"/>
    <w:rsid w:val="00EB5E82"/>
    <w:rsid w:val="00EB6135"/>
    <w:rsid w:val="00EB61F3"/>
    <w:rsid w:val="00EB6DB1"/>
    <w:rsid w:val="00EB770D"/>
    <w:rsid w:val="00EB7748"/>
    <w:rsid w:val="00EB7826"/>
    <w:rsid w:val="00EB7AD9"/>
    <w:rsid w:val="00EC06D0"/>
    <w:rsid w:val="00EC0A93"/>
    <w:rsid w:val="00EC1F9B"/>
    <w:rsid w:val="00EC29D8"/>
    <w:rsid w:val="00EC3062"/>
    <w:rsid w:val="00EC3420"/>
    <w:rsid w:val="00EC3AD2"/>
    <w:rsid w:val="00EC3E6F"/>
    <w:rsid w:val="00EC5A2E"/>
    <w:rsid w:val="00EC5AFB"/>
    <w:rsid w:val="00EC5B66"/>
    <w:rsid w:val="00EC5EFB"/>
    <w:rsid w:val="00EC6055"/>
    <w:rsid w:val="00EC6682"/>
    <w:rsid w:val="00EC6908"/>
    <w:rsid w:val="00EC6F66"/>
    <w:rsid w:val="00EC6F6B"/>
    <w:rsid w:val="00EC70AE"/>
    <w:rsid w:val="00EC71C2"/>
    <w:rsid w:val="00EC76D8"/>
    <w:rsid w:val="00EC7730"/>
    <w:rsid w:val="00EC7976"/>
    <w:rsid w:val="00ED0902"/>
    <w:rsid w:val="00ED0A9C"/>
    <w:rsid w:val="00ED0FB2"/>
    <w:rsid w:val="00ED1895"/>
    <w:rsid w:val="00ED1E5B"/>
    <w:rsid w:val="00ED2329"/>
    <w:rsid w:val="00ED2CD6"/>
    <w:rsid w:val="00ED31A8"/>
    <w:rsid w:val="00ED373B"/>
    <w:rsid w:val="00ED3B5B"/>
    <w:rsid w:val="00ED483D"/>
    <w:rsid w:val="00ED4B0B"/>
    <w:rsid w:val="00ED4BBA"/>
    <w:rsid w:val="00ED4EAD"/>
    <w:rsid w:val="00ED622A"/>
    <w:rsid w:val="00ED6C8E"/>
    <w:rsid w:val="00ED72F9"/>
    <w:rsid w:val="00ED7726"/>
    <w:rsid w:val="00ED78DB"/>
    <w:rsid w:val="00ED7F62"/>
    <w:rsid w:val="00EE0136"/>
    <w:rsid w:val="00EE02DB"/>
    <w:rsid w:val="00EE05B8"/>
    <w:rsid w:val="00EE08D8"/>
    <w:rsid w:val="00EE0ACC"/>
    <w:rsid w:val="00EE0FEE"/>
    <w:rsid w:val="00EE10C5"/>
    <w:rsid w:val="00EE36D4"/>
    <w:rsid w:val="00EE389F"/>
    <w:rsid w:val="00EE3C28"/>
    <w:rsid w:val="00EE3C3E"/>
    <w:rsid w:val="00EE4B4D"/>
    <w:rsid w:val="00EE4D89"/>
    <w:rsid w:val="00EE4FEF"/>
    <w:rsid w:val="00EE51EF"/>
    <w:rsid w:val="00EE534E"/>
    <w:rsid w:val="00EE556A"/>
    <w:rsid w:val="00EE5601"/>
    <w:rsid w:val="00EE6132"/>
    <w:rsid w:val="00EE62D2"/>
    <w:rsid w:val="00EE6612"/>
    <w:rsid w:val="00EE69A8"/>
    <w:rsid w:val="00EE6C5D"/>
    <w:rsid w:val="00EE7279"/>
    <w:rsid w:val="00EE7449"/>
    <w:rsid w:val="00EE76FD"/>
    <w:rsid w:val="00EE7EF9"/>
    <w:rsid w:val="00EF00B1"/>
    <w:rsid w:val="00EF0319"/>
    <w:rsid w:val="00EF0EB6"/>
    <w:rsid w:val="00EF10B8"/>
    <w:rsid w:val="00EF12A9"/>
    <w:rsid w:val="00EF175C"/>
    <w:rsid w:val="00EF198C"/>
    <w:rsid w:val="00EF2A68"/>
    <w:rsid w:val="00EF2AFB"/>
    <w:rsid w:val="00EF2EB4"/>
    <w:rsid w:val="00EF3263"/>
    <w:rsid w:val="00EF40DA"/>
    <w:rsid w:val="00EF426D"/>
    <w:rsid w:val="00EF43A0"/>
    <w:rsid w:val="00EF44DD"/>
    <w:rsid w:val="00EF458A"/>
    <w:rsid w:val="00EF4593"/>
    <w:rsid w:val="00EF4A37"/>
    <w:rsid w:val="00EF4C98"/>
    <w:rsid w:val="00EF502D"/>
    <w:rsid w:val="00EF59D9"/>
    <w:rsid w:val="00EF5AF6"/>
    <w:rsid w:val="00EF634B"/>
    <w:rsid w:val="00EF66AA"/>
    <w:rsid w:val="00EF6BDF"/>
    <w:rsid w:val="00EF7147"/>
    <w:rsid w:val="00EF7A2A"/>
    <w:rsid w:val="00F00185"/>
    <w:rsid w:val="00F00235"/>
    <w:rsid w:val="00F002BD"/>
    <w:rsid w:val="00F0048E"/>
    <w:rsid w:val="00F004F9"/>
    <w:rsid w:val="00F005EB"/>
    <w:rsid w:val="00F00C50"/>
    <w:rsid w:val="00F00E3C"/>
    <w:rsid w:val="00F00F6C"/>
    <w:rsid w:val="00F01538"/>
    <w:rsid w:val="00F01AB4"/>
    <w:rsid w:val="00F01BC8"/>
    <w:rsid w:val="00F024B6"/>
    <w:rsid w:val="00F02C95"/>
    <w:rsid w:val="00F02EEB"/>
    <w:rsid w:val="00F02FCF"/>
    <w:rsid w:val="00F0335E"/>
    <w:rsid w:val="00F0370E"/>
    <w:rsid w:val="00F047D6"/>
    <w:rsid w:val="00F04805"/>
    <w:rsid w:val="00F04809"/>
    <w:rsid w:val="00F050C5"/>
    <w:rsid w:val="00F051BE"/>
    <w:rsid w:val="00F05328"/>
    <w:rsid w:val="00F05746"/>
    <w:rsid w:val="00F05A71"/>
    <w:rsid w:val="00F05E6B"/>
    <w:rsid w:val="00F06098"/>
    <w:rsid w:val="00F07610"/>
    <w:rsid w:val="00F0777B"/>
    <w:rsid w:val="00F079C5"/>
    <w:rsid w:val="00F07B70"/>
    <w:rsid w:val="00F10065"/>
    <w:rsid w:val="00F101FD"/>
    <w:rsid w:val="00F107B3"/>
    <w:rsid w:val="00F107E0"/>
    <w:rsid w:val="00F10F55"/>
    <w:rsid w:val="00F10FE3"/>
    <w:rsid w:val="00F11115"/>
    <w:rsid w:val="00F11150"/>
    <w:rsid w:val="00F116A7"/>
    <w:rsid w:val="00F1182A"/>
    <w:rsid w:val="00F11D29"/>
    <w:rsid w:val="00F12702"/>
    <w:rsid w:val="00F12BB8"/>
    <w:rsid w:val="00F1304E"/>
    <w:rsid w:val="00F1312B"/>
    <w:rsid w:val="00F13F5E"/>
    <w:rsid w:val="00F14380"/>
    <w:rsid w:val="00F149EB"/>
    <w:rsid w:val="00F14B74"/>
    <w:rsid w:val="00F1569D"/>
    <w:rsid w:val="00F15F48"/>
    <w:rsid w:val="00F161C4"/>
    <w:rsid w:val="00F172B3"/>
    <w:rsid w:val="00F172E6"/>
    <w:rsid w:val="00F173C3"/>
    <w:rsid w:val="00F17634"/>
    <w:rsid w:val="00F17651"/>
    <w:rsid w:val="00F17ED3"/>
    <w:rsid w:val="00F20433"/>
    <w:rsid w:val="00F2077E"/>
    <w:rsid w:val="00F20FD2"/>
    <w:rsid w:val="00F21635"/>
    <w:rsid w:val="00F21638"/>
    <w:rsid w:val="00F2238B"/>
    <w:rsid w:val="00F226AF"/>
    <w:rsid w:val="00F227DD"/>
    <w:rsid w:val="00F22CB7"/>
    <w:rsid w:val="00F23A51"/>
    <w:rsid w:val="00F23AF6"/>
    <w:rsid w:val="00F23C18"/>
    <w:rsid w:val="00F23F60"/>
    <w:rsid w:val="00F23F95"/>
    <w:rsid w:val="00F24CB3"/>
    <w:rsid w:val="00F24CFC"/>
    <w:rsid w:val="00F2548A"/>
    <w:rsid w:val="00F254A0"/>
    <w:rsid w:val="00F25906"/>
    <w:rsid w:val="00F2600A"/>
    <w:rsid w:val="00F2637E"/>
    <w:rsid w:val="00F266E6"/>
    <w:rsid w:val="00F26C5E"/>
    <w:rsid w:val="00F26CDD"/>
    <w:rsid w:val="00F26DC2"/>
    <w:rsid w:val="00F26F2A"/>
    <w:rsid w:val="00F27118"/>
    <w:rsid w:val="00F2742A"/>
    <w:rsid w:val="00F27501"/>
    <w:rsid w:val="00F27908"/>
    <w:rsid w:val="00F30060"/>
    <w:rsid w:val="00F30544"/>
    <w:rsid w:val="00F30A25"/>
    <w:rsid w:val="00F30E3B"/>
    <w:rsid w:val="00F3107B"/>
    <w:rsid w:val="00F3155A"/>
    <w:rsid w:val="00F31A87"/>
    <w:rsid w:val="00F31C39"/>
    <w:rsid w:val="00F320EC"/>
    <w:rsid w:val="00F32765"/>
    <w:rsid w:val="00F327D7"/>
    <w:rsid w:val="00F32892"/>
    <w:rsid w:val="00F328A2"/>
    <w:rsid w:val="00F3299F"/>
    <w:rsid w:val="00F32A93"/>
    <w:rsid w:val="00F32AF7"/>
    <w:rsid w:val="00F32F1F"/>
    <w:rsid w:val="00F32FD5"/>
    <w:rsid w:val="00F332DA"/>
    <w:rsid w:val="00F332FB"/>
    <w:rsid w:val="00F33406"/>
    <w:rsid w:val="00F33739"/>
    <w:rsid w:val="00F33856"/>
    <w:rsid w:val="00F33953"/>
    <w:rsid w:val="00F3414B"/>
    <w:rsid w:val="00F344F5"/>
    <w:rsid w:val="00F346CB"/>
    <w:rsid w:val="00F35717"/>
    <w:rsid w:val="00F35A7A"/>
    <w:rsid w:val="00F35DEA"/>
    <w:rsid w:val="00F361B1"/>
    <w:rsid w:val="00F36C58"/>
    <w:rsid w:val="00F36DE2"/>
    <w:rsid w:val="00F36F2B"/>
    <w:rsid w:val="00F370BF"/>
    <w:rsid w:val="00F3746A"/>
    <w:rsid w:val="00F37FF4"/>
    <w:rsid w:val="00F40AE9"/>
    <w:rsid w:val="00F40B5B"/>
    <w:rsid w:val="00F40D61"/>
    <w:rsid w:val="00F419DD"/>
    <w:rsid w:val="00F42B8F"/>
    <w:rsid w:val="00F42D19"/>
    <w:rsid w:val="00F4365A"/>
    <w:rsid w:val="00F4401B"/>
    <w:rsid w:val="00F44290"/>
    <w:rsid w:val="00F44438"/>
    <w:rsid w:val="00F44A62"/>
    <w:rsid w:val="00F44F5D"/>
    <w:rsid w:val="00F453EF"/>
    <w:rsid w:val="00F45607"/>
    <w:rsid w:val="00F45873"/>
    <w:rsid w:val="00F45FF3"/>
    <w:rsid w:val="00F462DA"/>
    <w:rsid w:val="00F469FE"/>
    <w:rsid w:val="00F46C2C"/>
    <w:rsid w:val="00F46DB6"/>
    <w:rsid w:val="00F473E1"/>
    <w:rsid w:val="00F4770E"/>
    <w:rsid w:val="00F47863"/>
    <w:rsid w:val="00F47BF5"/>
    <w:rsid w:val="00F47C8C"/>
    <w:rsid w:val="00F50388"/>
    <w:rsid w:val="00F51745"/>
    <w:rsid w:val="00F51955"/>
    <w:rsid w:val="00F51FA7"/>
    <w:rsid w:val="00F520D2"/>
    <w:rsid w:val="00F52709"/>
    <w:rsid w:val="00F52D22"/>
    <w:rsid w:val="00F52D2E"/>
    <w:rsid w:val="00F53413"/>
    <w:rsid w:val="00F53FB8"/>
    <w:rsid w:val="00F54255"/>
    <w:rsid w:val="00F5427B"/>
    <w:rsid w:val="00F54912"/>
    <w:rsid w:val="00F54A8A"/>
    <w:rsid w:val="00F54CD6"/>
    <w:rsid w:val="00F54E41"/>
    <w:rsid w:val="00F54EFB"/>
    <w:rsid w:val="00F54FD9"/>
    <w:rsid w:val="00F5533A"/>
    <w:rsid w:val="00F5540F"/>
    <w:rsid w:val="00F55841"/>
    <w:rsid w:val="00F55AAF"/>
    <w:rsid w:val="00F56145"/>
    <w:rsid w:val="00F56479"/>
    <w:rsid w:val="00F56698"/>
    <w:rsid w:val="00F56714"/>
    <w:rsid w:val="00F56B06"/>
    <w:rsid w:val="00F56EDC"/>
    <w:rsid w:val="00F573E7"/>
    <w:rsid w:val="00F57406"/>
    <w:rsid w:val="00F57552"/>
    <w:rsid w:val="00F57712"/>
    <w:rsid w:val="00F57862"/>
    <w:rsid w:val="00F6021D"/>
    <w:rsid w:val="00F60951"/>
    <w:rsid w:val="00F60977"/>
    <w:rsid w:val="00F60C2D"/>
    <w:rsid w:val="00F60FB0"/>
    <w:rsid w:val="00F61078"/>
    <w:rsid w:val="00F61442"/>
    <w:rsid w:val="00F61683"/>
    <w:rsid w:val="00F62709"/>
    <w:rsid w:val="00F62928"/>
    <w:rsid w:val="00F62C00"/>
    <w:rsid w:val="00F62CBF"/>
    <w:rsid w:val="00F638C3"/>
    <w:rsid w:val="00F6473D"/>
    <w:rsid w:val="00F65753"/>
    <w:rsid w:val="00F658B2"/>
    <w:rsid w:val="00F65E94"/>
    <w:rsid w:val="00F65EEB"/>
    <w:rsid w:val="00F65FCB"/>
    <w:rsid w:val="00F66175"/>
    <w:rsid w:val="00F66C33"/>
    <w:rsid w:val="00F66F6C"/>
    <w:rsid w:val="00F673BE"/>
    <w:rsid w:val="00F674A1"/>
    <w:rsid w:val="00F67967"/>
    <w:rsid w:val="00F67A95"/>
    <w:rsid w:val="00F7056C"/>
    <w:rsid w:val="00F707F4"/>
    <w:rsid w:val="00F70C90"/>
    <w:rsid w:val="00F70D08"/>
    <w:rsid w:val="00F70D48"/>
    <w:rsid w:val="00F717E9"/>
    <w:rsid w:val="00F71F2F"/>
    <w:rsid w:val="00F720C8"/>
    <w:rsid w:val="00F726DB"/>
    <w:rsid w:val="00F736C3"/>
    <w:rsid w:val="00F737D9"/>
    <w:rsid w:val="00F73E6C"/>
    <w:rsid w:val="00F7500C"/>
    <w:rsid w:val="00F753DC"/>
    <w:rsid w:val="00F759FE"/>
    <w:rsid w:val="00F75C10"/>
    <w:rsid w:val="00F761C9"/>
    <w:rsid w:val="00F76C75"/>
    <w:rsid w:val="00F771BF"/>
    <w:rsid w:val="00F77437"/>
    <w:rsid w:val="00F776B5"/>
    <w:rsid w:val="00F77BD0"/>
    <w:rsid w:val="00F77E20"/>
    <w:rsid w:val="00F8039C"/>
    <w:rsid w:val="00F80A30"/>
    <w:rsid w:val="00F80B1F"/>
    <w:rsid w:val="00F811FA"/>
    <w:rsid w:val="00F8165A"/>
    <w:rsid w:val="00F819C1"/>
    <w:rsid w:val="00F81D1A"/>
    <w:rsid w:val="00F81E16"/>
    <w:rsid w:val="00F81F40"/>
    <w:rsid w:val="00F8205F"/>
    <w:rsid w:val="00F82592"/>
    <w:rsid w:val="00F826CF"/>
    <w:rsid w:val="00F82C3F"/>
    <w:rsid w:val="00F83445"/>
    <w:rsid w:val="00F83864"/>
    <w:rsid w:val="00F83B93"/>
    <w:rsid w:val="00F843F3"/>
    <w:rsid w:val="00F848ED"/>
    <w:rsid w:val="00F84A97"/>
    <w:rsid w:val="00F84C2F"/>
    <w:rsid w:val="00F84F3F"/>
    <w:rsid w:val="00F84F62"/>
    <w:rsid w:val="00F8558F"/>
    <w:rsid w:val="00F856B6"/>
    <w:rsid w:val="00F85CEC"/>
    <w:rsid w:val="00F85E62"/>
    <w:rsid w:val="00F85EF9"/>
    <w:rsid w:val="00F862E6"/>
    <w:rsid w:val="00F8697F"/>
    <w:rsid w:val="00F86DC3"/>
    <w:rsid w:val="00F87AC4"/>
    <w:rsid w:val="00F87BA8"/>
    <w:rsid w:val="00F907AC"/>
    <w:rsid w:val="00F908BA"/>
    <w:rsid w:val="00F909AB"/>
    <w:rsid w:val="00F90AA0"/>
    <w:rsid w:val="00F90AE7"/>
    <w:rsid w:val="00F90BEC"/>
    <w:rsid w:val="00F90CB9"/>
    <w:rsid w:val="00F90D16"/>
    <w:rsid w:val="00F90EEC"/>
    <w:rsid w:val="00F915D1"/>
    <w:rsid w:val="00F91FFB"/>
    <w:rsid w:val="00F920FE"/>
    <w:rsid w:val="00F924EC"/>
    <w:rsid w:val="00F9268A"/>
    <w:rsid w:val="00F9293E"/>
    <w:rsid w:val="00F92E2D"/>
    <w:rsid w:val="00F93328"/>
    <w:rsid w:val="00F93733"/>
    <w:rsid w:val="00F9389A"/>
    <w:rsid w:val="00F939D9"/>
    <w:rsid w:val="00F93D2F"/>
    <w:rsid w:val="00F93FB7"/>
    <w:rsid w:val="00F945BC"/>
    <w:rsid w:val="00F9476E"/>
    <w:rsid w:val="00F94D10"/>
    <w:rsid w:val="00F94ED3"/>
    <w:rsid w:val="00F95267"/>
    <w:rsid w:val="00F956DB"/>
    <w:rsid w:val="00F96751"/>
    <w:rsid w:val="00F96BE4"/>
    <w:rsid w:val="00F973EE"/>
    <w:rsid w:val="00F974D4"/>
    <w:rsid w:val="00F97D7C"/>
    <w:rsid w:val="00F97E98"/>
    <w:rsid w:val="00FA0353"/>
    <w:rsid w:val="00FA0364"/>
    <w:rsid w:val="00FA043E"/>
    <w:rsid w:val="00FA0EA6"/>
    <w:rsid w:val="00FA25B0"/>
    <w:rsid w:val="00FA2ADE"/>
    <w:rsid w:val="00FA398B"/>
    <w:rsid w:val="00FA3AC1"/>
    <w:rsid w:val="00FA3B67"/>
    <w:rsid w:val="00FA3C9C"/>
    <w:rsid w:val="00FA521A"/>
    <w:rsid w:val="00FA5813"/>
    <w:rsid w:val="00FA596A"/>
    <w:rsid w:val="00FA5AC9"/>
    <w:rsid w:val="00FA5D3C"/>
    <w:rsid w:val="00FA5DAB"/>
    <w:rsid w:val="00FA68A6"/>
    <w:rsid w:val="00FA75BE"/>
    <w:rsid w:val="00FA78A4"/>
    <w:rsid w:val="00FA7AFC"/>
    <w:rsid w:val="00FA7CF7"/>
    <w:rsid w:val="00FB0142"/>
    <w:rsid w:val="00FB01BA"/>
    <w:rsid w:val="00FB0474"/>
    <w:rsid w:val="00FB0629"/>
    <w:rsid w:val="00FB06CD"/>
    <w:rsid w:val="00FB0818"/>
    <w:rsid w:val="00FB12E1"/>
    <w:rsid w:val="00FB15E4"/>
    <w:rsid w:val="00FB1B2E"/>
    <w:rsid w:val="00FB1E47"/>
    <w:rsid w:val="00FB1EA5"/>
    <w:rsid w:val="00FB2161"/>
    <w:rsid w:val="00FB2D55"/>
    <w:rsid w:val="00FB2D8F"/>
    <w:rsid w:val="00FB3297"/>
    <w:rsid w:val="00FB3598"/>
    <w:rsid w:val="00FB380F"/>
    <w:rsid w:val="00FB3CFD"/>
    <w:rsid w:val="00FB4046"/>
    <w:rsid w:val="00FB40E8"/>
    <w:rsid w:val="00FB48FA"/>
    <w:rsid w:val="00FB502C"/>
    <w:rsid w:val="00FB543E"/>
    <w:rsid w:val="00FB579A"/>
    <w:rsid w:val="00FB58B6"/>
    <w:rsid w:val="00FB598D"/>
    <w:rsid w:val="00FB5A31"/>
    <w:rsid w:val="00FB6223"/>
    <w:rsid w:val="00FB6444"/>
    <w:rsid w:val="00FB6952"/>
    <w:rsid w:val="00FB6B2E"/>
    <w:rsid w:val="00FB6F4F"/>
    <w:rsid w:val="00FB7055"/>
    <w:rsid w:val="00FB7D5D"/>
    <w:rsid w:val="00FC05D4"/>
    <w:rsid w:val="00FC1093"/>
    <w:rsid w:val="00FC16B5"/>
    <w:rsid w:val="00FC17C3"/>
    <w:rsid w:val="00FC1EB0"/>
    <w:rsid w:val="00FC22D2"/>
    <w:rsid w:val="00FC23E1"/>
    <w:rsid w:val="00FC265C"/>
    <w:rsid w:val="00FC2A71"/>
    <w:rsid w:val="00FC2CAD"/>
    <w:rsid w:val="00FC3193"/>
    <w:rsid w:val="00FC3271"/>
    <w:rsid w:val="00FC38E5"/>
    <w:rsid w:val="00FC3A00"/>
    <w:rsid w:val="00FC406D"/>
    <w:rsid w:val="00FC42E9"/>
    <w:rsid w:val="00FC4B20"/>
    <w:rsid w:val="00FC4D7F"/>
    <w:rsid w:val="00FC51DE"/>
    <w:rsid w:val="00FC56FE"/>
    <w:rsid w:val="00FC5B95"/>
    <w:rsid w:val="00FC5C80"/>
    <w:rsid w:val="00FC5F32"/>
    <w:rsid w:val="00FC5FA1"/>
    <w:rsid w:val="00FC6792"/>
    <w:rsid w:val="00FC69AB"/>
    <w:rsid w:val="00FC6B3D"/>
    <w:rsid w:val="00FC7041"/>
    <w:rsid w:val="00FC71E7"/>
    <w:rsid w:val="00FC73EF"/>
    <w:rsid w:val="00FC74AE"/>
    <w:rsid w:val="00FC7730"/>
    <w:rsid w:val="00FC7E62"/>
    <w:rsid w:val="00FD04AC"/>
    <w:rsid w:val="00FD054E"/>
    <w:rsid w:val="00FD07E3"/>
    <w:rsid w:val="00FD0864"/>
    <w:rsid w:val="00FD08CC"/>
    <w:rsid w:val="00FD10A8"/>
    <w:rsid w:val="00FD1589"/>
    <w:rsid w:val="00FD1B9B"/>
    <w:rsid w:val="00FD23C7"/>
    <w:rsid w:val="00FD2434"/>
    <w:rsid w:val="00FD25D8"/>
    <w:rsid w:val="00FD2830"/>
    <w:rsid w:val="00FD2C3E"/>
    <w:rsid w:val="00FD3809"/>
    <w:rsid w:val="00FD43F6"/>
    <w:rsid w:val="00FD4AF3"/>
    <w:rsid w:val="00FD4C14"/>
    <w:rsid w:val="00FD4D43"/>
    <w:rsid w:val="00FD4EC2"/>
    <w:rsid w:val="00FD4F45"/>
    <w:rsid w:val="00FD51E2"/>
    <w:rsid w:val="00FD5421"/>
    <w:rsid w:val="00FD5819"/>
    <w:rsid w:val="00FD5A1E"/>
    <w:rsid w:val="00FD5BFE"/>
    <w:rsid w:val="00FD6675"/>
    <w:rsid w:val="00FD6784"/>
    <w:rsid w:val="00FD6AE9"/>
    <w:rsid w:val="00FD7695"/>
    <w:rsid w:val="00FD7915"/>
    <w:rsid w:val="00FD7BE7"/>
    <w:rsid w:val="00FD7F97"/>
    <w:rsid w:val="00FE01E9"/>
    <w:rsid w:val="00FE0562"/>
    <w:rsid w:val="00FE074A"/>
    <w:rsid w:val="00FE0BE0"/>
    <w:rsid w:val="00FE1F70"/>
    <w:rsid w:val="00FE2248"/>
    <w:rsid w:val="00FE2690"/>
    <w:rsid w:val="00FE273F"/>
    <w:rsid w:val="00FE2952"/>
    <w:rsid w:val="00FE2CF4"/>
    <w:rsid w:val="00FE3115"/>
    <w:rsid w:val="00FE3403"/>
    <w:rsid w:val="00FE3B8E"/>
    <w:rsid w:val="00FE3D0E"/>
    <w:rsid w:val="00FE4374"/>
    <w:rsid w:val="00FE45F1"/>
    <w:rsid w:val="00FE4C12"/>
    <w:rsid w:val="00FE4E5E"/>
    <w:rsid w:val="00FE5802"/>
    <w:rsid w:val="00FE58E3"/>
    <w:rsid w:val="00FE5AA5"/>
    <w:rsid w:val="00FE5C18"/>
    <w:rsid w:val="00FE5CDB"/>
    <w:rsid w:val="00FE60FB"/>
    <w:rsid w:val="00FE6452"/>
    <w:rsid w:val="00FE6946"/>
    <w:rsid w:val="00FE6DA9"/>
    <w:rsid w:val="00FE70C3"/>
    <w:rsid w:val="00FE73FF"/>
    <w:rsid w:val="00FE79C6"/>
    <w:rsid w:val="00FF049C"/>
    <w:rsid w:val="00FF0EB0"/>
    <w:rsid w:val="00FF13CA"/>
    <w:rsid w:val="00FF1662"/>
    <w:rsid w:val="00FF2A68"/>
    <w:rsid w:val="00FF2AB0"/>
    <w:rsid w:val="00FF30BE"/>
    <w:rsid w:val="00FF338B"/>
    <w:rsid w:val="00FF3771"/>
    <w:rsid w:val="00FF3A78"/>
    <w:rsid w:val="00FF44D0"/>
    <w:rsid w:val="00FF4D91"/>
    <w:rsid w:val="00FF5577"/>
    <w:rsid w:val="00FF5A7F"/>
    <w:rsid w:val="00FF5E79"/>
    <w:rsid w:val="00FF6364"/>
    <w:rsid w:val="00FF6875"/>
    <w:rsid w:val="00FF6CBE"/>
    <w:rsid w:val="00FF6D89"/>
    <w:rsid w:val="00FF71FF"/>
    <w:rsid w:val="00FF7490"/>
    <w:rsid w:val="00FF76A5"/>
    <w:rsid w:val="00FF7AA0"/>
    <w:rsid w:val="00FF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
  <w:smartTagType w:namespaceuri="urn:schemas:contacts" w:name="Sn"/>
  <w:shapeDefaults>
    <o:shapedefaults v:ext="edit" spidmax="2050">
      <v:textbox inset="5.85pt,.7pt,5.85pt,.7pt"/>
    </o:shapedefaults>
    <o:shapelayout v:ext="edit">
      <o:idmap v:ext="edit" data="2"/>
    </o:shapelayout>
  </w:shapeDefaults>
  <w:decimalSymbol w:val="."/>
  <w:listSeparator w:val=","/>
  <w14:docId w14:val="6D0DF5D5"/>
  <w15:chartTrackingRefBased/>
  <w15:docId w15:val="{1DDCB6DE-8352-4B6C-BA51-DEA72A46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lsdException w:name="toc 4" w:locked="1" w:uiPriority="39"/>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16FD7"/>
    <w:pPr>
      <w:suppressAutoHyphens/>
      <w:overflowPunct w:val="0"/>
      <w:autoSpaceDE w:val="0"/>
      <w:autoSpaceDN w:val="0"/>
      <w:adjustRightInd w:val="0"/>
      <w:jc w:val="both"/>
      <w:textAlignment w:val="baseline"/>
    </w:pPr>
    <w:rPr>
      <w:sz w:val="24"/>
      <w:lang w:val="fr-FR" w:eastAsia="fr-FR"/>
    </w:rPr>
  </w:style>
  <w:style w:type="paragraph" w:styleId="10">
    <w:name w:val="heading 1"/>
    <w:aliases w:val="Document Header1"/>
    <w:basedOn w:val="a0"/>
    <w:next w:val="a0"/>
    <w:link w:val="11"/>
    <w:qFormat/>
    <w:rsid w:val="00573A46"/>
    <w:pPr>
      <w:jc w:val="center"/>
      <w:outlineLvl w:val="0"/>
    </w:pPr>
    <w:rPr>
      <w:b/>
      <w:sz w:val="36"/>
    </w:rPr>
  </w:style>
  <w:style w:type="paragraph" w:styleId="2">
    <w:name w:val="heading 2"/>
    <w:aliases w:val="Title Header2,Clause_No&amp;Name"/>
    <w:basedOn w:val="a0"/>
    <w:next w:val="a0"/>
    <w:link w:val="20"/>
    <w:qFormat/>
    <w:rsid w:val="00C47C86"/>
    <w:pPr>
      <w:overflowPunct/>
      <w:autoSpaceDE/>
      <w:autoSpaceDN/>
      <w:adjustRightInd/>
      <w:spacing w:after="240"/>
      <w:jc w:val="center"/>
      <w:textAlignment w:val="auto"/>
      <w:outlineLvl w:val="1"/>
    </w:pPr>
    <w:rPr>
      <w:rFonts w:ascii="Times New Roman Bold" w:hAnsi="Times New Roman Bold"/>
      <w:b/>
      <w:sz w:val="56"/>
      <w:szCs w:val="56"/>
      <w:lang w:val="en-GB" w:eastAsia="en-US"/>
    </w:rPr>
  </w:style>
  <w:style w:type="paragraph" w:styleId="3">
    <w:name w:val="heading 3"/>
    <w:aliases w:val="Section Header3,Section Header31,ClauseSub_No&amp;Name,Heading 3 Char,Section Header3 Char Char Char Char Char,Section Header3 Char Char Char,Section Header3 Char Char"/>
    <w:basedOn w:val="a0"/>
    <w:next w:val="a0"/>
    <w:link w:val="30"/>
    <w:qFormat/>
    <w:rsid w:val="00573A46"/>
    <w:pPr>
      <w:tabs>
        <w:tab w:val="left" w:pos="864"/>
      </w:tabs>
      <w:suppressAutoHyphens w:val="0"/>
      <w:spacing w:after="200"/>
      <w:ind w:left="864" w:hanging="432"/>
      <w:outlineLvl w:val="2"/>
    </w:pPr>
    <w:rPr>
      <w:lang w:val="en-US"/>
    </w:rPr>
  </w:style>
  <w:style w:type="paragraph" w:styleId="4">
    <w:name w:val="heading 4"/>
    <w:aliases w:val="Sub-Clause Sub-paragraph,ClauseSubSub_No&amp;Name, Sub-Clause Sub-paragraph"/>
    <w:basedOn w:val="a0"/>
    <w:next w:val="a0"/>
    <w:link w:val="40"/>
    <w:qFormat/>
    <w:rsid w:val="00573A46"/>
    <w:pPr>
      <w:numPr>
        <w:ilvl w:val="3"/>
        <w:numId w:val="1"/>
      </w:numPr>
      <w:tabs>
        <w:tab w:val="left" w:pos="1512"/>
      </w:tabs>
      <w:suppressAutoHyphens w:val="0"/>
      <w:spacing w:after="200"/>
      <w:outlineLvl w:val="3"/>
    </w:pPr>
    <w:rPr>
      <w:lang w:val="en-US"/>
    </w:rPr>
  </w:style>
  <w:style w:type="paragraph" w:styleId="5">
    <w:name w:val="heading 5"/>
    <w:basedOn w:val="a0"/>
    <w:next w:val="a0"/>
    <w:link w:val="50"/>
    <w:qFormat/>
    <w:rsid w:val="00573A46"/>
    <w:pPr>
      <w:suppressAutoHyphens w:val="0"/>
      <w:spacing w:before="240" w:after="60"/>
      <w:jc w:val="center"/>
      <w:outlineLvl w:val="4"/>
    </w:pPr>
    <w:rPr>
      <w:b/>
      <w:sz w:val="28"/>
      <w:lang w:val="es-ES_tradnl"/>
    </w:rPr>
  </w:style>
  <w:style w:type="paragraph" w:styleId="6">
    <w:name w:val="heading 6"/>
    <w:basedOn w:val="a0"/>
    <w:next w:val="a0"/>
    <w:link w:val="60"/>
    <w:qFormat/>
    <w:rsid w:val="00573A46"/>
    <w:pPr>
      <w:numPr>
        <w:ilvl w:val="5"/>
        <w:numId w:val="1"/>
      </w:numPr>
      <w:tabs>
        <w:tab w:val="left" w:pos="1152"/>
      </w:tabs>
      <w:suppressAutoHyphens w:val="0"/>
      <w:spacing w:before="240" w:after="60"/>
      <w:outlineLvl w:val="5"/>
    </w:pPr>
    <w:rPr>
      <w:i/>
      <w:sz w:val="22"/>
      <w:lang w:val="es-ES_tradnl"/>
    </w:rPr>
  </w:style>
  <w:style w:type="paragraph" w:styleId="7">
    <w:name w:val="heading 7"/>
    <w:basedOn w:val="a0"/>
    <w:next w:val="a0"/>
    <w:link w:val="70"/>
    <w:qFormat/>
    <w:rsid w:val="00573A46"/>
    <w:pPr>
      <w:numPr>
        <w:ilvl w:val="6"/>
        <w:numId w:val="1"/>
      </w:numPr>
      <w:tabs>
        <w:tab w:val="left" w:pos="1296"/>
      </w:tabs>
      <w:suppressAutoHyphens w:val="0"/>
      <w:spacing w:before="240" w:after="60"/>
      <w:outlineLvl w:val="6"/>
    </w:pPr>
    <w:rPr>
      <w:rFonts w:ascii="Arial" w:hAnsi="Arial"/>
      <w:sz w:val="20"/>
      <w:lang w:val="es-ES_tradnl"/>
    </w:rPr>
  </w:style>
  <w:style w:type="paragraph" w:styleId="8">
    <w:name w:val="heading 8"/>
    <w:basedOn w:val="a0"/>
    <w:next w:val="a0"/>
    <w:link w:val="80"/>
    <w:qFormat/>
    <w:rsid w:val="00573A46"/>
    <w:pPr>
      <w:numPr>
        <w:ilvl w:val="7"/>
        <w:numId w:val="1"/>
      </w:numPr>
      <w:tabs>
        <w:tab w:val="left" w:pos="1440"/>
      </w:tabs>
      <w:suppressAutoHyphens w:val="0"/>
      <w:spacing w:before="240" w:after="60"/>
      <w:outlineLvl w:val="7"/>
    </w:pPr>
    <w:rPr>
      <w:rFonts w:ascii="Arial" w:hAnsi="Arial"/>
      <w:i/>
      <w:sz w:val="20"/>
      <w:lang w:val="es-ES_tradnl"/>
    </w:rPr>
  </w:style>
  <w:style w:type="paragraph" w:styleId="9">
    <w:name w:val="heading 9"/>
    <w:basedOn w:val="a0"/>
    <w:next w:val="a0"/>
    <w:link w:val="90"/>
    <w:qFormat/>
    <w:rsid w:val="00573A46"/>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aliases w:val="Document Header1 (文字)"/>
    <w:link w:val="10"/>
    <w:locked/>
    <w:rsid w:val="00242DE8"/>
    <w:rPr>
      <w:rFonts w:ascii="Cambria" w:hAnsi="Cambria" w:cs="Times New Roman"/>
      <w:b/>
      <w:bCs/>
      <w:kern w:val="32"/>
      <w:sz w:val="32"/>
      <w:szCs w:val="32"/>
    </w:rPr>
  </w:style>
  <w:style w:type="character" w:customStyle="1" w:styleId="20">
    <w:name w:val="見出し 2 (文字)"/>
    <w:aliases w:val="Title Header2 (文字),Clause_No&amp;Name (文字)"/>
    <w:link w:val="2"/>
    <w:locked/>
    <w:rsid w:val="00C47C86"/>
    <w:rPr>
      <w:rFonts w:ascii="Times New Roman Bold" w:eastAsia="ＭＳ 明朝" w:hAnsi="Times New Roman Bold"/>
      <w:b/>
      <w:sz w:val="56"/>
      <w:szCs w:val="56"/>
      <w:lang w:val="en-GB" w:eastAsia="en-US" w:bidi="ar-SA"/>
    </w:rPr>
  </w:style>
  <w:style w:type="character" w:customStyle="1" w:styleId="30">
    <w:name w:val="見出し 3 (文字)"/>
    <w:aliases w:val="Section Header3 (文字),Section Header31 (文字),ClauseSub_No&amp;Name (文字)1,Heading 3 Char (文字)1,Section Header3 Char Char Char Char Char (文字)1,Section Header3 Char Char Char (文字)1,Section Header3 Char Char (文字)1"/>
    <w:link w:val="3"/>
    <w:semiHidden/>
    <w:locked/>
    <w:rsid w:val="00242DE8"/>
    <w:rPr>
      <w:rFonts w:ascii="Cambria" w:hAnsi="Cambria" w:cs="Times New Roman"/>
      <w:b/>
      <w:bCs/>
      <w:sz w:val="26"/>
      <w:szCs w:val="26"/>
    </w:rPr>
  </w:style>
  <w:style w:type="character" w:customStyle="1" w:styleId="40">
    <w:name w:val="見出し 4 (文字)"/>
    <w:aliases w:val="Sub-Clause Sub-paragraph (文字),ClauseSubSub_No&amp;Name (文字), Sub-Clause Sub-paragraph (文字)"/>
    <w:link w:val="4"/>
    <w:locked/>
    <w:rsid w:val="00242DE8"/>
    <w:rPr>
      <w:sz w:val="24"/>
      <w:lang w:eastAsia="fr-FR"/>
    </w:rPr>
  </w:style>
  <w:style w:type="character" w:customStyle="1" w:styleId="50">
    <w:name w:val="見出し 5 (文字)"/>
    <w:link w:val="5"/>
    <w:semiHidden/>
    <w:locked/>
    <w:rsid w:val="00242DE8"/>
    <w:rPr>
      <w:rFonts w:ascii="Calibri" w:hAnsi="Calibri" w:cs="Times New Roman"/>
      <w:b/>
      <w:bCs/>
      <w:i/>
      <w:iCs/>
      <w:sz w:val="26"/>
      <w:szCs w:val="26"/>
    </w:rPr>
  </w:style>
  <w:style w:type="character" w:customStyle="1" w:styleId="60">
    <w:name w:val="見出し 6 (文字)"/>
    <w:link w:val="6"/>
    <w:locked/>
    <w:rsid w:val="00242DE8"/>
    <w:rPr>
      <w:i/>
      <w:sz w:val="22"/>
      <w:lang w:val="es-ES_tradnl" w:eastAsia="fr-FR"/>
    </w:rPr>
  </w:style>
  <w:style w:type="character" w:customStyle="1" w:styleId="70">
    <w:name w:val="見出し 7 (文字)"/>
    <w:link w:val="7"/>
    <w:locked/>
    <w:rsid w:val="00242DE8"/>
    <w:rPr>
      <w:rFonts w:ascii="Arial" w:hAnsi="Arial"/>
      <w:lang w:val="es-ES_tradnl" w:eastAsia="fr-FR"/>
    </w:rPr>
  </w:style>
  <w:style w:type="character" w:customStyle="1" w:styleId="80">
    <w:name w:val="見出し 8 (文字)"/>
    <w:link w:val="8"/>
    <w:locked/>
    <w:rsid w:val="00242DE8"/>
    <w:rPr>
      <w:rFonts w:ascii="Arial" w:hAnsi="Arial"/>
      <w:i/>
      <w:lang w:val="es-ES_tradnl" w:eastAsia="fr-FR"/>
    </w:rPr>
  </w:style>
  <w:style w:type="character" w:customStyle="1" w:styleId="90">
    <w:name w:val="見出し 9 (文字)"/>
    <w:link w:val="9"/>
    <w:locked/>
    <w:rsid w:val="00242DE8"/>
    <w:rPr>
      <w:rFonts w:ascii="Arial" w:hAnsi="Arial"/>
      <w:b/>
      <w:i/>
      <w:sz w:val="18"/>
      <w:lang w:val="es-ES_tradnl" w:eastAsia="fr-FR"/>
    </w:rPr>
  </w:style>
  <w:style w:type="paragraph" w:styleId="a4">
    <w:name w:val="Balloon Text"/>
    <w:basedOn w:val="a0"/>
    <w:link w:val="a5"/>
    <w:rsid w:val="00573A46"/>
    <w:pPr>
      <w:suppressAutoHyphens w:val="0"/>
      <w:jc w:val="left"/>
    </w:pPr>
    <w:rPr>
      <w:rFonts w:ascii="Tahoma" w:hAnsi="Tahoma"/>
      <w:sz w:val="16"/>
    </w:rPr>
  </w:style>
  <w:style w:type="character" w:customStyle="1" w:styleId="a5">
    <w:name w:val="吹き出し (文字)"/>
    <w:link w:val="a4"/>
    <w:semiHidden/>
    <w:locked/>
    <w:rsid w:val="00242DE8"/>
    <w:rPr>
      <w:rFonts w:cs="Times New Roman"/>
      <w:sz w:val="2"/>
    </w:rPr>
  </w:style>
  <w:style w:type="character" w:customStyle="1" w:styleId="a10">
    <w:name w:val="a1"/>
    <w:rsid w:val="00573A46"/>
    <w:rPr>
      <w:rFonts w:ascii="Courier" w:hAnsi="Courier" w:cs="Times New Roman"/>
      <w:sz w:val="20"/>
      <w:lang w:val="en-US" w:eastAsia="x-none"/>
    </w:rPr>
  </w:style>
  <w:style w:type="paragraph" w:styleId="12">
    <w:name w:val="toc 1"/>
    <w:basedOn w:val="a0"/>
    <w:next w:val="a0"/>
    <w:uiPriority w:val="39"/>
    <w:rsid w:val="00FC5C80"/>
    <w:pPr>
      <w:tabs>
        <w:tab w:val="right" w:leader="dot" w:pos="9000"/>
      </w:tabs>
      <w:suppressAutoHyphens w:val="0"/>
      <w:overflowPunct/>
      <w:autoSpaceDE/>
      <w:autoSpaceDN/>
      <w:adjustRightInd/>
      <w:spacing w:before="240" w:after="120"/>
      <w:jc w:val="left"/>
      <w:textAlignment w:val="auto"/>
      <w:outlineLvl w:val="0"/>
    </w:pPr>
    <w:rPr>
      <w:b/>
      <w:lang w:val="en-US" w:eastAsia="en-US"/>
    </w:rPr>
  </w:style>
  <w:style w:type="paragraph" w:styleId="21">
    <w:name w:val="toc 2"/>
    <w:basedOn w:val="a0"/>
    <w:next w:val="a0"/>
    <w:uiPriority w:val="39"/>
    <w:rsid w:val="00FC5C80"/>
    <w:pPr>
      <w:tabs>
        <w:tab w:val="right" w:leader="dot" w:pos="9000"/>
      </w:tabs>
      <w:suppressAutoHyphens w:val="0"/>
      <w:overflowPunct/>
      <w:autoSpaceDE/>
      <w:autoSpaceDN/>
      <w:adjustRightInd/>
      <w:spacing w:after="80"/>
      <w:ind w:leftChars="200" w:left="654" w:hanging="454"/>
      <w:jc w:val="left"/>
      <w:textAlignment w:val="auto"/>
      <w:outlineLvl w:val="1"/>
    </w:pPr>
    <w:rPr>
      <w:noProof/>
      <w:lang w:val="en-US" w:eastAsia="en-US"/>
    </w:rPr>
  </w:style>
  <w:style w:type="paragraph" w:styleId="31">
    <w:name w:val="toc 3"/>
    <w:basedOn w:val="a0"/>
    <w:next w:val="a0"/>
    <w:autoRedefine/>
    <w:rsid w:val="00C704C9"/>
    <w:pPr>
      <w:tabs>
        <w:tab w:val="right" w:leader="dot" w:pos="8993"/>
      </w:tabs>
      <w:suppressAutoHyphens w:val="0"/>
      <w:overflowPunct/>
      <w:autoSpaceDE/>
      <w:autoSpaceDN/>
      <w:adjustRightInd/>
      <w:spacing w:before="120" w:after="120"/>
      <w:ind w:leftChars="100" w:left="240"/>
      <w:jc w:val="left"/>
      <w:textAlignment w:val="auto"/>
    </w:pPr>
    <w:rPr>
      <w:lang w:val="en-US" w:eastAsia="en-US"/>
    </w:rPr>
  </w:style>
  <w:style w:type="paragraph" w:styleId="41">
    <w:name w:val="toc 4"/>
    <w:basedOn w:val="a0"/>
    <w:next w:val="a0"/>
    <w:autoRedefine/>
    <w:uiPriority w:val="39"/>
    <w:rsid w:val="00FC5C80"/>
    <w:pPr>
      <w:tabs>
        <w:tab w:val="right" w:leader="dot" w:pos="8993"/>
      </w:tabs>
      <w:suppressAutoHyphens w:val="0"/>
      <w:overflowPunct/>
      <w:autoSpaceDE/>
      <w:autoSpaceDN/>
      <w:adjustRightInd/>
      <w:ind w:left="1021"/>
      <w:jc w:val="left"/>
      <w:textAlignment w:val="auto"/>
    </w:pPr>
    <w:rPr>
      <w:lang w:val="en-US" w:eastAsia="en-US"/>
    </w:rPr>
  </w:style>
  <w:style w:type="paragraph" w:styleId="81">
    <w:name w:val="toc 8"/>
    <w:basedOn w:val="a0"/>
    <w:next w:val="a0"/>
    <w:autoRedefine/>
    <w:semiHidden/>
    <w:rsid w:val="00FC5C80"/>
    <w:pPr>
      <w:suppressAutoHyphens w:val="0"/>
      <w:overflowPunct/>
      <w:autoSpaceDE/>
      <w:autoSpaceDN/>
      <w:adjustRightInd/>
      <w:ind w:left="1680"/>
      <w:jc w:val="left"/>
      <w:textAlignment w:val="auto"/>
    </w:pPr>
    <w:rPr>
      <w:sz w:val="20"/>
      <w:lang w:val="en-US" w:eastAsia="en-US"/>
    </w:rPr>
  </w:style>
  <w:style w:type="paragraph" w:styleId="51">
    <w:name w:val="toc 5"/>
    <w:basedOn w:val="a0"/>
    <w:next w:val="a0"/>
    <w:autoRedefine/>
    <w:rsid w:val="006D5453"/>
    <w:pPr>
      <w:tabs>
        <w:tab w:val="left" w:pos="1080"/>
        <w:tab w:val="right" w:leader="dot" w:pos="8993"/>
      </w:tabs>
      <w:suppressAutoHyphens w:val="0"/>
      <w:overflowPunct/>
      <w:autoSpaceDE/>
      <w:autoSpaceDN/>
      <w:adjustRightInd/>
      <w:spacing w:beforeLines="50" w:before="120"/>
      <w:jc w:val="left"/>
      <w:textAlignment w:val="auto"/>
    </w:pPr>
    <w:rPr>
      <w:lang w:val="en-US" w:eastAsia="en-US"/>
    </w:rPr>
  </w:style>
  <w:style w:type="paragraph" w:styleId="61">
    <w:name w:val="toc 6"/>
    <w:basedOn w:val="a0"/>
    <w:next w:val="a0"/>
    <w:autoRedefine/>
    <w:rsid w:val="00D36B2A"/>
    <w:pPr>
      <w:tabs>
        <w:tab w:val="right" w:leader="dot" w:pos="8990"/>
      </w:tabs>
      <w:suppressAutoHyphens w:val="0"/>
      <w:overflowPunct/>
      <w:autoSpaceDE/>
      <w:autoSpaceDN/>
      <w:adjustRightInd/>
      <w:spacing w:before="240" w:after="80"/>
      <w:ind w:leftChars="200" w:left="200"/>
      <w:jc w:val="left"/>
      <w:textAlignment w:val="auto"/>
    </w:pPr>
    <w:rPr>
      <w:lang w:val="en-US" w:eastAsia="en-US"/>
    </w:rPr>
  </w:style>
  <w:style w:type="paragraph" w:styleId="71">
    <w:name w:val="toc 7"/>
    <w:basedOn w:val="a0"/>
    <w:next w:val="a0"/>
    <w:autoRedefine/>
    <w:rsid w:val="00FC5C80"/>
    <w:pPr>
      <w:suppressAutoHyphens w:val="0"/>
      <w:overflowPunct/>
      <w:autoSpaceDE/>
      <w:autoSpaceDN/>
      <w:adjustRightInd/>
      <w:ind w:left="1440"/>
      <w:jc w:val="left"/>
      <w:textAlignment w:val="auto"/>
    </w:pPr>
    <w:rPr>
      <w:sz w:val="20"/>
      <w:lang w:val="en-US" w:eastAsia="en-US"/>
    </w:rPr>
  </w:style>
  <w:style w:type="paragraph" w:styleId="91">
    <w:name w:val="toc 9"/>
    <w:basedOn w:val="a0"/>
    <w:next w:val="a0"/>
    <w:autoRedefine/>
    <w:semiHidden/>
    <w:rsid w:val="00FC5C80"/>
    <w:pPr>
      <w:suppressAutoHyphens w:val="0"/>
      <w:overflowPunct/>
      <w:autoSpaceDE/>
      <w:autoSpaceDN/>
      <w:adjustRightInd/>
      <w:spacing w:before="120" w:after="120"/>
      <w:jc w:val="left"/>
      <w:textAlignment w:val="auto"/>
    </w:pPr>
    <w:rPr>
      <w:b/>
      <w:sz w:val="32"/>
      <w:lang w:val="en-US" w:eastAsia="en-US"/>
    </w:rPr>
  </w:style>
  <w:style w:type="paragraph" w:styleId="13">
    <w:name w:val="index 1"/>
    <w:basedOn w:val="a0"/>
    <w:next w:val="a0"/>
    <w:semiHidden/>
    <w:rsid w:val="00573A46"/>
    <w:pPr>
      <w:tabs>
        <w:tab w:val="left" w:leader="dot" w:pos="9000"/>
        <w:tab w:val="right" w:pos="9360"/>
      </w:tabs>
      <w:ind w:left="1440" w:right="720" w:hanging="1440"/>
    </w:pPr>
  </w:style>
  <w:style w:type="paragraph" w:styleId="22">
    <w:name w:val="index 2"/>
    <w:basedOn w:val="a0"/>
    <w:next w:val="a0"/>
    <w:semiHidden/>
    <w:rsid w:val="00573A46"/>
    <w:pPr>
      <w:tabs>
        <w:tab w:val="left" w:leader="dot" w:pos="9000"/>
        <w:tab w:val="right" w:pos="9360"/>
      </w:tabs>
      <w:ind w:left="1440" w:right="720" w:hanging="720"/>
    </w:pPr>
  </w:style>
  <w:style w:type="paragraph" w:styleId="a6">
    <w:name w:val="toa heading"/>
    <w:basedOn w:val="a0"/>
    <w:next w:val="a0"/>
    <w:rsid w:val="00573A46"/>
    <w:pPr>
      <w:tabs>
        <w:tab w:val="left" w:pos="9000"/>
        <w:tab w:val="right" w:pos="9360"/>
      </w:tabs>
    </w:pPr>
  </w:style>
  <w:style w:type="paragraph" w:styleId="a7">
    <w:name w:val="caption"/>
    <w:basedOn w:val="a0"/>
    <w:next w:val="a0"/>
    <w:qFormat/>
    <w:rsid w:val="00573A46"/>
  </w:style>
  <w:style w:type="character" w:customStyle="1" w:styleId="EquationCaption">
    <w:name w:val="_Equation Caption"/>
    <w:rsid w:val="00573A46"/>
  </w:style>
  <w:style w:type="character" w:styleId="a8">
    <w:name w:val="endnote reference"/>
    <w:semiHidden/>
    <w:rsid w:val="00573A46"/>
    <w:rPr>
      <w:rFonts w:cs="Times New Roman"/>
      <w:vertAlign w:val="superscript"/>
    </w:rPr>
  </w:style>
  <w:style w:type="character" w:styleId="a9">
    <w:name w:val="footnote reference"/>
    <w:semiHidden/>
    <w:rsid w:val="00573A46"/>
    <w:rPr>
      <w:rFonts w:cs="Times New Roman"/>
      <w:vertAlign w:val="superscript"/>
    </w:rPr>
  </w:style>
  <w:style w:type="paragraph" w:styleId="aa">
    <w:name w:val="header"/>
    <w:basedOn w:val="a0"/>
    <w:link w:val="ab"/>
    <w:rsid w:val="00573A46"/>
    <w:pPr>
      <w:jc w:val="left"/>
    </w:pPr>
    <w:rPr>
      <w:sz w:val="20"/>
    </w:rPr>
  </w:style>
  <w:style w:type="character" w:customStyle="1" w:styleId="ab">
    <w:name w:val="ヘッダー (文字)"/>
    <w:link w:val="aa"/>
    <w:locked/>
    <w:rsid w:val="00242DE8"/>
    <w:rPr>
      <w:rFonts w:cs="Times New Roman"/>
      <w:sz w:val="24"/>
    </w:rPr>
  </w:style>
  <w:style w:type="paragraph" w:styleId="ac">
    <w:name w:val="footer"/>
    <w:basedOn w:val="a0"/>
    <w:link w:val="ad"/>
    <w:rsid w:val="00573A46"/>
    <w:pPr>
      <w:jc w:val="left"/>
    </w:pPr>
    <w:rPr>
      <w:sz w:val="20"/>
    </w:rPr>
  </w:style>
  <w:style w:type="character" w:customStyle="1" w:styleId="ad">
    <w:name w:val="フッター (文字)"/>
    <w:link w:val="ac"/>
    <w:locked/>
    <w:rsid w:val="00242DE8"/>
    <w:rPr>
      <w:rFonts w:cs="Times New Roman"/>
      <w:sz w:val="24"/>
    </w:rPr>
  </w:style>
  <w:style w:type="character" w:styleId="ae">
    <w:name w:val="page number"/>
    <w:rsid w:val="00573A46"/>
    <w:rPr>
      <w:rFonts w:cs="Times New Roman"/>
    </w:rPr>
  </w:style>
  <w:style w:type="paragraph" w:styleId="af">
    <w:name w:val="footnote text"/>
    <w:basedOn w:val="a0"/>
    <w:link w:val="af0"/>
    <w:semiHidden/>
    <w:rsid w:val="00573A46"/>
    <w:rPr>
      <w:sz w:val="20"/>
    </w:rPr>
  </w:style>
  <w:style w:type="character" w:customStyle="1" w:styleId="af0">
    <w:name w:val="脚注文字列 (文字)"/>
    <w:link w:val="af"/>
    <w:semiHidden/>
    <w:locked/>
    <w:rsid w:val="00D84E4D"/>
    <w:rPr>
      <w:rFonts w:cs="Times New Roman"/>
      <w:lang w:val="fr-FR" w:eastAsia="fr-FR"/>
    </w:rPr>
  </w:style>
  <w:style w:type="paragraph" w:customStyle="1" w:styleId="Head21">
    <w:name w:val="Head 2.1"/>
    <w:basedOn w:val="a0"/>
    <w:rsid w:val="00573A46"/>
    <w:pPr>
      <w:jc w:val="center"/>
    </w:pPr>
    <w:rPr>
      <w:b/>
      <w:sz w:val="28"/>
    </w:rPr>
  </w:style>
  <w:style w:type="paragraph" w:customStyle="1" w:styleId="Head22">
    <w:name w:val="Head 2.2"/>
    <w:basedOn w:val="a0"/>
    <w:rsid w:val="00573A46"/>
    <w:pPr>
      <w:tabs>
        <w:tab w:val="left" w:pos="360"/>
      </w:tabs>
      <w:ind w:left="360" w:hanging="360"/>
      <w:jc w:val="left"/>
    </w:pPr>
    <w:rPr>
      <w:b/>
    </w:rPr>
  </w:style>
  <w:style w:type="paragraph" w:customStyle="1" w:styleId="Head32">
    <w:name w:val="Head 3.2"/>
    <w:basedOn w:val="a0"/>
    <w:rsid w:val="00573A46"/>
    <w:pPr>
      <w:tabs>
        <w:tab w:val="left" w:pos="360"/>
      </w:tabs>
      <w:ind w:left="360" w:hanging="360"/>
      <w:jc w:val="left"/>
    </w:pPr>
    <w:rPr>
      <w:b/>
    </w:rPr>
  </w:style>
  <w:style w:type="paragraph" w:customStyle="1" w:styleId="Head31">
    <w:name w:val="Head 3.1"/>
    <w:basedOn w:val="a0"/>
    <w:rsid w:val="00573A46"/>
    <w:pPr>
      <w:jc w:val="center"/>
    </w:pPr>
    <w:rPr>
      <w:b/>
      <w:sz w:val="28"/>
    </w:rPr>
  </w:style>
  <w:style w:type="paragraph" w:customStyle="1" w:styleId="Head81">
    <w:name w:val="Head 8.1"/>
    <w:basedOn w:val="a0"/>
    <w:rsid w:val="00573A46"/>
    <w:pPr>
      <w:jc w:val="center"/>
    </w:pPr>
    <w:rPr>
      <w:b/>
      <w:sz w:val="28"/>
    </w:rPr>
  </w:style>
  <w:style w:type="paragraph" w:customStyle="1" w:styleId="S7Header1">
    <w:name w:val="S7 Header 1"/>
    <w:basedOn w:val="a0"/>
    <w:rsid w:val="00573A46"/>
    <w:pPr>
      <w:jc w:val="center"/>
    </w:pPr>
    <w:rPr>
      <w:b/>
      <w:sz w:val="28"/>
    </w:rPr>
  </w:style>
  <w:style w:type="paragraph" w:customStyle="1" w:styleId="S7Header2">
    <w:name w:val="S7 Header 2"/>
    <w:basedOn w:val="a0"/>
    <w:rsid w:val="00573A46"/>
    <w:pPr>
      <w:tabs>
        <w:tab w:val="left" w:pos="360"/>
      </w:tabs>
      <w:ind w:left="360" w:hanging="360"/>
      <w:jc w:val="left"/>
    </w:pPr>
    <w:rPr>
      <w:b/>
    </w:rPr>
  </w:style>
  <w:style w:type="paragraph" w:customStyle="1" w:styleId="i">
    <w:name w:val="(i)"/>
    <w:basedOn w:val="a0"/>
    <w:rsid w:val="00573A46"/>
    <w:rPr>
      <w:rFonts w:ascii="Tms Rmn" w:hAnsi="Tms Rmn"/>
      <w:lang w:val="en-US"/>
    </w:rPr>
  </w:style>
  <w:style w:type="paragraph" w:customStyle="1" w:styleId="explanatoryclause">
    <w:name w:val="explanatory_clause"/>
    <w:basedOn w:val="a0"/>
    <w:rsid w:val="00573A46"/>
    <w:pPr>
      <w:spacing w:after="240"/>
      <w:ind w:left="738" w:right="-14" w:hanging="738"/>
      <w:jc w:val="left"/>
    </w:pPr>
    <w:rPr>
      <w:rFonts w:ascii="Arial" w:hAnsi="Arial"/>
      <w:sz w:val="22"/>
      <w:lang w:val="en-US"/>
    </w:rPr>
  </w:style>
  <w:style w:type="character" w:styleId="af1">
    <w:name w:val="Hyperlink"/>
    <w:uiPriority w:val="99"/>
    <w:rsid w:val="00573A46"/>
    <w:rPr>
      <w:rFonts w:cs="Times New Roman"/>
      <w:color w:val="0000FF"/>
      <w:u w:val="single"/>
    </w:rPr>
  </w:style>
  <w:style w:type="paragraph" w:customStyle="1" w:styleId="Outline">
    <w:name w:val="Outline"/>
    <w:basedOn w:val="a0"/>
    <w:rsid w:val="00573A46"/>
    <w:pPr>
      <w:suppressAutoHyphens w:val="0"/>
      <w:spacing w:before="240"/>
      <w:jc w:val="left"/>
    </w:pPr>
    <w:rPr>
      <w:kern w:val="28"/>
    </w:rPr>
  </w:style>
  <w:style w:type="paragraph" w:styleId="af2">
    <w:name w:val="Title"/>
    <w:basedOn w:val="a0"/>
    <w:link w:val="af3"/>
    <w:qFormat/>
    <w:rsid w:val="00FC5C80"/>
    <w:pPr>
      <w:suppressAutoHyphens w:val="0"/>
      <w:overflowPunct/>
      <w:autoSpaceDE/>
      <w:autoSpaceDN/>
      <w:adjustRightInd/>
      <w:jc w:val="center"/>
      <w:textAlignment w:val="auto"/>
    </w:pPr>
    <w:rPr>
      <w:b/>
      <w:sz w:val="48"/>
      <w:lang w:val="en-US" w:eastAsia="en-US"/>
    </w:rPr>
  </w:style>
  <w:style w:type="character" w:customStyle="1" w:styleId="af3">
    <w:name w:val="表題 (文字)"/>
    <w:link w:val="af2"/>
    <w:locked/>
    <w:rsid w:val="00242DE8"/>
    <w:rPr>
      <w:rFonts w:eastAsia="ＭＳ 明朝"/>
      <w:b/>
      <w:sz w:val="48"/>
      <w:lang w:val="en-US" w:eastAsia="en-US" w:bidi="ar-SA"/>
    </w:rPr>
  </w:style>
  <w:style w:type="paragraph" w:customStyle="1" w:styleId="Subtitle2">
    <w:name w:val="Subtitle 2"/>
    <w:basedOn w:val="ac"/>
    <w:autoRedefine/>
    <w:rsid w:val="008F1DFA"/>
    <w:pPr>
      <w:tabs>
        <w:tab w:val="right" w:leader="underscore" w:pos="9504"/>
      </w:tabs>
      <w:suppressAutoHyphens w:val="0"/>
      <w:overflowPunct/>
      <w:autoSpaceDE/>
      <w:autoSpaceDN/>
      <w:adjustRightInd/>
      <w:spacing w:before="120"/>
      <w:jc w:val="center"/>
      <w:textAlignment w:val="auto"/>
      <w:outlineLvl w:val="1"/>
    </w:pPr>
    <w:rPr>
      <w:b/>
      <w:sz w:val="44"/>
      <w:szCs w:val="44"/>
      <w:lang w:val="en-US" w:eastAsia="ja-JP"/>
    </w:rPr>
  </w:style>
  <w:style w:type="paragraph" w:styleId="af4">
    <w:name w:val="List"/>
    <w:aliases w:val="1. List"/>
    <w:basedOn w:val="a0"/>
    <w:rsid w:val="00573A46"/>
    <w:pPr>
      <w:suppressAutoHyphens w:val="0"/>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a0"/>
    <w:rsid w:val="00573A46"/>
    <w:pPr>
      <w:tabs>
        <w:tab w:val="left" w:pos="864"/>
      </w:tabs>
      <w:suppressAutoHyphens w:val="0"/>
      <w:spacing w:before="240"/>
      <w:ind w:left="864" w:hanging="504"/>
      <w:jc w:val="left"/>
    </w:pPr>
    <w:rPr>
      <w:kern w:val="28"/>
    </w:rPr>
  </w:style>
  <w:style w:type="paragraph" w:customStyle="1" w:styleId="Outline3">
    <w:name w:val="Outline3"/>
    <w:basedOn w:val="a0"/>
    <w:rsid w:val="00573A46"/>
    <w:pPr>
      <w:tabs>
        <w:tab w:val="left" w:pos="1368"/>
      </w:tabs>
      <w:suppressAutoHyphens w:val="0"/>
      <w:spacing w:before="240"/>
      <w:ind w:left="1368" w:hanging="504"/>
      <w:jc w:val="left"/>
    </w:pPr>
    <w:rPr>
      <w:kern w:val="28"/>
    </w:rPr>
  </w:style>
  <w:style w:type="paragraph" w:customStyle="1" w:styleId="Outline4">
    <w:name w:val="Outline4"/>
    <w:basedOn w:val="a0"/>
    <w:rsid w:val="00573A46"/>
    <w:pPr>
      <w:tabs>
        <w:tab w:val="left" w:pos="1872"/>
      </w:tabs>
      <w:suppressAutoHyphens w:val="0"/>
      <w:spacing w:before="240"/>
      <w:ind w:left="1872" w:hanging="504"/>
      <w:jc w:val="left"/>
    </w:pPr>
    <w:rPr>
      <w:kern w:val="28"/>
    </w:rPr>
  </w:style>
  <w:style w:type="paragraph" w:customStyle="1" w:styleId="outlinebullet">
    <w:name w:val="outlinebullet"/>
    <w:basedOn w:val="a0"/>
    <w:rsid w:val="00573A46"/>
    <w:pPr>
      <w:tabs>
        <w:tab w:val="left" w:pos="1440"/>
      </w:tabs>
      <w:suppressAutoHyphens w:val="0"/>
      <w:spacing w:before="120"/>
      <w:ind w:left="1440" w:hanging="450"/>
      <w:jc w:val="left"/>
    </w:pPr>
  </w:style>
  <w:style w:type="paragraph" w:customStyle="1" w:styleId="BodyText21">
    <w:name w:val="Body Text 21"/>
    <w:basedOn w:val="a0"/>
    <w:rsid w:val="00573A46"/>
    <w:pPr>
      <w:suppressAutoHyphens w:val="0"/>
      <w:spacing w:before="120" w:after="120"/>
      <w:jc w:val="center"/>
    </w:pPr>
    <w:rPr>
      <w:b/>
      <w:sz w:val="28"/>
      <w:lang w:val="es-ES_tradnl"/>
    </w:rPr>
  </w:style>
  <w:style w:type="paragraph" w:customStyle="1" w:styleId="SectionVIIHeader2">
    <w:name w:val="Section VII Header2"/>
    <w:basedOn w:val="10"/>
    <w:rsid w:val="00573A46"/>
    <w:pPr>
      <w:tabs>
        <w:tab w:val="left" w:pos="360"/>
      </w:tabs>
      <w:suppressAutoHyphens w:val="0"/>
      <w:spacing w:after="200"/>
      <w:ind w:left="360" w:hanging="360"/>
      <w:outlineLvl w:val="9"/>
    </w:pPr>
    <w:rPr>
      <w:kern w:val="28"/>
      <w:sz w:val="32"/>
    </w:rPr>
  </w:style>
  <w:style w:type="paragraph" w:customStyle="1" w:styleId="2AutoList1">
    <w:name w:val="2AutoList1"/>
    <w:basedOn w:val="a0"/>
    <w:rsid w:val="00573A46"/>
    <w:pPr>
      <w:tabs>
        <w:tab w:val="left" w:pos="504"/>
      </w:tabs>
      <w:suppressAutoHyphens w:val="0"/>
      <w:ind w:left="504" w:hanging="504"/>
    </w:pPr>
    <w:rPr>
      <w:lang w:val="es-ES_tradnl"/>
    </w:rPr>
  </w:style>
  <w:style w:type="paragraph" w:customStyle="1" w:styleId="Header3-Paragraph">
    <w:name w:val="Header 3 - Paragraph"/>
    <w:basedOn w:val="a0"/>
    <w:rsid w:val="00573A46"/>
    <w:pPr>
      <w:tabs>
        <w:tab w:val="left" w:pos="504"/>
      </w:tabs>
      <w:suppressAutoHyphens w:val="0"/>
      <w:spacing w:after="200"/>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a0"/>
    <w:link w:val="Header1-ClausesCar"/>
    <w:rsid w:val="004E0251"/>
    <w:pPr>
      <w:tabs>
        <w:tab w:val="left" w:pos="432"/>
      </w:tabs>
      <w:suppressAutoHyphens w:val="0"/>
      <w:ind w:left="432" w:hanging="432"/>
      <w:jc w:val="left"/>
    </w:pPr>
    <w:rPr>
      <w:b/>
      <w:lang w:val="es-ES_tradnl"/>
    </w:rPr>
  </w:style>
  <w:style w:type="character" w:customStyle="1" w:styleId="Header1-ClausesCar">
    <w:name w:val="Header 1 - Clauses Car"/>
    <w:link w:val="Header1-Clauses"/>
    <w:rsid w:val="007C71D1"/>
    <w:rPr>
      <w:rFonts w:eastAsia="ＭＳ 明朝"/>
      <w:b/>
      <w:sz w:val="24"/>
      <w:lang w:val="es-ES_tradnl" w:eastAsia="fr-FR" w:bidi="ar-SA"/>
    </w:rPr>
  </w:style>
  <w:style w:type="paragraph" w:customStyle="1" w:styleId="SectionXHeader3">
    <w:name w:val="Section X Header 3"/>
    <w:basedOn w:val="10"/>
    <w:link w:val="SectionXHeader3Car"/>
    <w:rsid w:val="00573A46"/>
    <w:pPr>
      <w:suppressAutoHyphens w:val="0"/>
      <w:outlineLvl w:val="9"/>
    </w:pPr>
    <w:rPr>
      <w:sz w:val="40"/>
    </w:rPr>
  </w:style>
  <w:style w:type="character" w:customStyle="1" w:styleId="SectionXHeader3Car">
    <w:name w:val="Section X Header 3 Car"/>
    <w:link w:val="SectionXHeader3"/>
    <w:rsid w:val="007C71D1"/>
    <w:rPr>
      <w:rFonts w:eastAsia="ＭＳ 明朝"/>
      <w:b/>
      <w:sz w:val="40"/>
      <w:lang w:val="fr-FR" w:eastAsia="fr-FR" w:bidi="ar-SA"/>
    </w:rPr>
  </w:style>
  <w:style w:type="paragraph" w:styleId="af5">
    <w:name w:val="Subtitle"/>
    <w:basedOn w:val="a0"/>
    <w:link w:val="af6"/>
    <w:qFormat/>
    <w:rsid w:val="00FC5C80"/>
    <w:pPr>
      <w:suppressAutoHyphens w:val="0"/>
      <w:overflowPunct/>
      <w:autoSpaceDE/>
      <w:autoSpaceDN/>
      <w:adjustRightInd/>
      <w:jc w:val="center"/>
      <w:textAlignment w:val="auto"/>
    </w:pPr>
    <w:rPr>
      <w:b/>
      <w:sz w:val="44"/>
      <w:lang w:val="en-US" w:eastAsia="en-US"/>
    </w:rPr>
  </w:style>
  <w:style w:type="character" w:customStyle="1" w:styleId="af6">
    <w:name w:val="副題 (文字)"/>
    <w:link w:val="af5"/>
    <w:locked/>
    <w:rsid w:val="00242DE8"/>
    <w:rPr>
      <w:rFonts w:eastAsia="ＭＳ 明朝"/>
      <w:b/>
      <w:sz w:val="44"/>
      <w:lang w:val="en-US" w:eastAsia="en-US" w:bidi="ar-SA"/>
    </w:rPr>
  </w:style>
  <w:style w:type="paragraph" w:customStyle="1" w:styleId="Header2-SubClauses">
    <w:name w:val="Header 2 - SubClauses"/>
    <w:basedOn w:val="a0"/>
    <w:rsid w:val="00573A46"/>
    <w:pPr>
      <w:tabs>
        <w:tab w:val="left" w:pos="619"/>
      </w:tabs>
      <w:suppressAutoHyphens w:val="0"/>
      <w:spacing w:after="200"/>
    </w:pPr>
    <w:rPr>
      <w:lang w:val="es-ES_tradnl"/>
    </w:rPr>
  </w:style>
  <w:style w:type="paragraph" w:styleId="32">
    <w:name w:val="Body Text Indent 3"/>
    <w:basedOn w:val="a0"/>
    <w:link w:val="33"/>
    <w:rsid w:val="00573A46"/>
    <w:pPr>
      <w:suppressAutoHyphens w:val="0"/>
      <w:spacing w:before="240"/>
      <w:ind w:left="576"/>
    </w:pPr>
    <w:rPr>
      <w:lang w:val="en-US"/>
    </w:rPr>
  </w:style>
  <w:style w:type="character" w:customStyle="1" w:styleId="33">
    <w:name w:val="本文インデント 3 (文字)"/>
    <w:link w:val="32"/>
    <w:semiHidden/>
    <w:locked/>
    <w:rsid w:val="00242DE8"/>
    <w:rPr>
      <w:rFonts w:cs="Times New Roman"/>
      <w:sz w:val="16"/>
      <w:szCs w:val="16"/>
    </w:rPr>
  </w:style>
  <w:style w:type="paragraph" w:styleId="23">
    <w:name w:val="Body Text Indent 2"/>
    <w:basedOn w:val="a0"/>
    <w:link w:val="24"/>
    <w:rsid w:val="00573A46"/>
    <w:pPr>
      <w:suppressAutoHyphens w:val="0"/>
      <w:ind w:left="360" w:firstLine="360"/>
    </w:pPr>
    <w:rPr>
      <w:lang w:val="es-ES_tradnl"/>
    </w:rPr>
  </w:style>
  <w:style w:type="character" w:customStyle="1" w:styleId="24">
    <w:name w:val="本文インデント 2 (文字)"/>
    <w:link w:val="23"/>
    <w:semiHidden/>
    <w:locked/>
    <w:rsid w:val="00242DE8"/>
    <w:rPr>
      <w:rFonts w:cs="Times New Roman"/>
      <w:sz w:val="24"/>
    </w:rPr>
  </w:style>
  <w:style w:type="paragraph" w:styleId="25">
    <w:name w:val="Body Text 2"/>
    <w:basedOn w:val="a0"/>
    <w:link w:val="26"/>
    <w:rsid w:val="00573A46"/>
    <w:pPr>
      <w:suppressAutoHyphens w:val="0"/>
      <w:ind w:left="720"/>
    </w:pPr>
    <w:rPr>
      <w:lang w:val="es-ES_tradnl"/>
    </w:rPr>
  </w:style>
  <w:style w:type="character" w:customStyle="1" w:styleId="26">
    <w:name w:val="本文 2 (文字)"/>
    <w:link w:val="25"/>
    <w:semiHidden/>
    <w:locked/>
    <w:rsid w:val="00242DE8"/>
    <w:rPr>
      <w:rFonts w:cs="Times New Roman"/>
      <w:sz w:val="24"/>
    </w:rPr>
  </w:style>
  <w:style w:type="paragraph" w:customStyle="1" w:styleId="SectionVHeader">
    <w:name w:val="Section V. Header"/>
    <w:basedOn w:val="a0"/>
    <w:link w:val="SectionVHeaderChar"/>
    <w:rsid w:val="00573A46"/>
    <w:pPr>
      <w:suppressAutoHyphens w:val="0"/>
      <w:jc w:val="center"/>
    </w:pPr>
    <w:rPr>
      <w:b/>
      <w:sz w:val="36"/>
      <w:lang w:val="es-ES_tradnl"/>
    </w:rPr>
  </w:style>
  <w:style w:type="paragraph" w:customStyle="1" w:styleId="BankNormal">
    <w:name w:val="BankNormal"/>
    <w:basedOn w:val="a0"/>
    <w:rsid w:val="00573A46"/>
    <w:pPr>
      <w:suppressAutoHyphens w:val="0"/>
      <w:spacing w:after="240"/>
      <w:jc w:val="left"/>
    </w:pPr>
    <w:rPr>
      <w:lang w:val="en-US"/>
    </w:rPr>
  </w:style>
  <w:style w:type="paragraph" w:styleId="af7">
    <w:name w:val="Body Text"/>
    <w:basedOn w:val="a0"/>
    <w:link w:val="af8"/>
    <w:rsid w:val="00573A46"/>
    <w:pPr>
      <w:suppressAutoHyphens w:val="0"/>
    </w:pPr>
    <w:rPr>
      <w:lang w:val="es-ES_tradnl"/>
    </w:rPr>
  </w:style>
  <w:style w:type="character" w:customStyle="1" w:styleId="af8">
    <w:name w:val="本文 (文字)"/>
    <w:link w:val="af7"/>
    <w:semiHidden/>
    <w:locked/>
    <w:rsid w:val="00242DE8"/>
    <w:rPr>
      <w:rFonts w:cs="Times New Roman"/>
      <w:sz w:val="24"/>
    </w:rPr>
  </w:style>
  <w:style w:type="paragraph" w:customStyle="1" w:styleId="TOCNumber1">
    <w:name w:val="TOC Number1"/>
    <w:basedOn w:val="4"/>
    <w:rsid w:val="00573A46"/>
    <w:pPr>
      <w:numPr>
        <w:ilvl w:val="0"/>
        <w:numId w:val="0"/>
      </w:numPr>
      <w:tabs>
        <w:tab w:val="clear" w:pos="1512"/>
      </w:tabs>
      <w:spacing w:after="0"/>
      <w:jc w:val="left"/>
      <w:outlineLvl w:val="9"/>
    </w:pPr>
    <w:rPr>
      <w:b/>
      <w:lang w:val="fr-FR"/>
    </w:rPr>
  </w:style>
  <w:style w:type="paragraph" w:styleId="34">
    <w:name w:val="Body Text 3"/>
    <w:basedOn w:val="a0"/>
    <w:link w:val="35"/>
    <w:rsid w:val="00573A46"/>
    <w:pPr>
      <w:suppressAutoHyphens w:val="0"/>
      <w:jc w:val="center"/>
    </w:pPr>
    <w:rPr>
      <w:rFonts w:ascii="Times New Roman Bold" w:hAnsi="Times New Roman Bold"/>
      <w:spacing w:val="80"/>
      <w:sz w:val="40"/>
    </w:rPr>
  </w:style>
  <w:style w:type="character" w:customStyle="1" w:styleId="35">
    <w:name w:val="本文 3 (文字)"/>
    <w:link w:val="34"/>
    <w:semiHidden/>
    <w:locked/>
    <w:rsid w:val="00242DE8"/>
    <w:rPr>
      <w:rFonts w:cs="Times New Roman"/>
      <w:sz w:val="16"/>
      <w:szCs w:val="16"/>
    </w:rPr>
  </w:style>
  <w:style w:type="paragraph" w:styleId="af9">
    <w:name w:val="Document Map"/>
    <w:basedOn w:val="a0"/>
    <w:link w:val="afa"/>
    <w:rsid w:val="00573A46"/>
    <w:pPr>
      <w:shd w:val="clear" w:color="auto" w:fill="000080"/>
      <w:suppressAutoHyphens w:val="0"/>
      <w:jc w:val="left"/>
    </w:pPr>
    <w:rPr>
      <w:rFonts w:ascii="Tahoma" w:hAnsi="Tahoma"/>
    </w:rPr>
  </w:style>
  <w:style w:type="character" w:customStyle="1" w:styleId="afa">
    <w:name w:val="見出しマップ (文字)"/>
    <w:link w:val="af9"/>
    <w:semiHidden/>
    <w:locked/>
    <w:rsid w:val="00242DE8"/>
    <w:rPr>
      <w:rFonts w:cs="Times New Roman"/>
      <w:sz w:val="2"/>
    </w:rPr>
  </w:style>
  <w:style w:type="paragraph" w:customStyle="1" w:styleId="explanatorynotes">
    <w:name w:val="explanatory_notes"/>
    <w:basedOn w:val="a0"/>
    <w:rsid w:val="00573A46"/>
    <w:pPr>
      <w:spacing w:after="120" w:line="360" w:lineRule="exact"/>
    </w:pPr>
    <w:rPr>
      <w:rFonts w:ascii="Arial" w:hAnsi="Arial"/>
      <w:sz w:val="22"/>
      <w:lang w:val="en-US"/>
    </w:rPr>
  </w:style>
  <w:style w:type="paragraph" w:customStyle="1" w:styleId="Sub-ClauseText">
    <w:name w:val="Sub-Clause Text"/>
    <w:basedOn w:val="a0"/>
    <w:rsid w:val="00573A46"/>
    <w:pPr>
      <w:suppressAutoHyphens w:val="0"/>
      <w:spacing w:before="120" w:after="120"/>
    </w:pPr>
    <w:rPr>
      <w:spacing w:val="-4"/>
      <w:lang w:val="en-US"/>
    </w:rPr>
  </w:style>
  <w:style w:type="paragraph" w:customStyle="1" w:styleId="SecVI-Header1">
    <w:name w:val="Sec VI - Header 1"/>
    <w:basedOn w:val="SectionVHeader"/>
    <w:rsid w:val="00573A46"/>
    <w:rPr>
      <w:lang w:val="en-US"/>
    </w:rPr>
  </w:style>
  <w:style w:type="character" w:customStyle="1" w:styleId="Table">
    <w:name w:val="Table"/>
    <w:rsid w:val="00573A46"/>
    <w:rPr>
      <w:rFonts w:ascii="Arial" w:hAnsi="Arial" w:cs="Times New Roman"/>
      <w:sz w:val="20"/>
    </w:rPr>
  </w:style>
  <w:style w:type="paragraph" w:customStyle="1" w:styleId="Head2">
    <w:name w:val="Head 2"/>
    <w:basedOn w:val="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sid w:val="00573A46"/>
    <w:rPr>
      <w:rFonts w:cs="Times New Roman"/>
      <w:sz w:val="20"/>
    </w:rPr>
  </w:style>
  <w:style w:type="paragraph" w:customStyle="1" w:styleId="sectionIIIheader">
    <w:name w:val="section III header"/>
    <w:basedOn w:val="a0"/>
    <w:rsid w:val="00573A46"/>
    <w:pPr>
      <w:suppressAutoHyphens w:val="0"/>
      <w:spacing w:before="240"/>
      <w:jc w:val="left"/>
    </w:pPr>
    <w:rPr>
      <w:rFonts w:ascii="Arial Black" w:hAnsi="Arial Black"/>
      <w:lang w:val="en-US"/>
    </w:rPr>
  </w:style>
  <w:style w:type="paragraph" w:customStyle="1" w:styleId="titulo">
    <w:name w:val="titulo"/>
    <w:basedOn w:val="5"/>
    <w:rsid w:val="00573A46"/>
    <w:pPr>
      <w:spacing w:before="0" w:after="240"/>
      <w:outlineLvl w:val="9"/>
    </w:pPr>
    <w:rPr>
      <w:rFonts w:ascii="Times New Roman Bold" w:hAnsi="Times New Roman Bold"/>
      <w:sz w:val="24"/>
      <w:lang w:val="en-US"/>
    </w:rPr>
  </w:style>
  <w:style w:type="paragraph" w:customStyle="1" w:styleId="Part">
    <w:name w:val="Part"/>
    <w:basedOn w:val="a0"/>
    <w:next w:val="a0"/>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4-header1">
    <w:name w:val="S4-header1"/>
    <w:basedOn w:val="a0"/>
    <w:rsid w:val="00EA0FBE"/>
    <w:pPr>
      <w:suppressAutoHyphens w:val="0"/>
      <w:overflowPunct/>
      <w:autoSpaceDE/>
      <w:autoSpaceDN/>
      <w:adjustRightInd/>
      <w:spacing w:before="120" w:after="240"/>
      <w:jc w:val="center"/>
      <w:textAlignment w:val="auto"/>
    </w:pPr>
    <w:rPr>
      <w:b/>
      <w:sz w:val="40"/>
      <w:szCs w:val="40"/>
      <w:lang w:val="en-US" w:eastAsia="en-US"/>
    </w:rPr>
  </w:style>
  <w:style w:type="paragraph" w:customStyle="1" w:styleId="S4Header">
    <w:name w:val="S4 Header"/>
    <w:basedOn w:val="a0"/>
    <w:next w:val="a0"/>
    <w:rsid w:val="00EA0FBE"/>
    <w:pPr>
      <w:suppressAutoHyphens w:val="0"/>
      <w:overflowPunct/>
      <w:autoSpaceDE/>
      <w:autoSpaceDN/>
      <w:adjustRightInd/>
      <w:spacing w:before="120" w:after="240"/>
      <w:jc w:val="center"/>
      <w:textAlignment w:val="auto"/>
    </w:pPr>
    <w:rPr>
      <w:b/>
      <w:sz w:val="36"/>
      <w:szCs w:val="36"/>
      <w:lang w:val="en-US" w:eastAsia="en-US"/>
    </w:rPr>
  </w:style>
  <w:style w:type="paragraph" w:customStyle="1" w:styleId="StyleSectionIVHeader-2Centered">
    <w:name w:val="Style Section IV Header - 2 + Centered"/>
    <w:basedOn w:val="a0"/>
    <w:rsid w:val="00EA0FBE"/>
    <w:pPr>
      <w:jc w:val="center"/>
    </w:pPr>
    <w:rPr>
      <w:b/>
      <w:bCs/>
      <w:sz w:val="28"/>
    </w:rPr>
  </w:style>
  <w:style w:type="table" w:styleId="afb">
    <w:name w:val="Table Grid"/>
    <w:basedOn w:val="a2"/>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Header">
    <w:name w:val="S9 Header"/>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afc">
    <w:name w:val="Body Text Indent"/>
    <w:basedOn w:val="a0"/>
    <w:link w:val="afd"/>
    <w:rsid w:val="00663ED0"/>
    <w:pPr>
      <w:suppressAutoHyphens w:val="0"/>
      <w:overflowPunct/>
      <w:autoSpaceDE/>
      <w:autoSpaceDN/>
      <w:adjustRightInd/>
      <w:ind w:left="720"/>
      <w:textAlignment w:val="auto"/>
    </w:pPr>
    <w:rPr>
      <w:lang w:val="es-ES_tradnl"/>
    </w:rPr>
  </w:style>
  <w:style w:type="character" w:customStyle="1" w:styleId="afd">
    <w:name w:val="本文インデント (文字)"/>
    <w:link w:val="afc"/>
    <w:semiHidden/>
    <w:locked/>
    <w:rsid w:val="00242DE8"/>
    <w:rPr>
      <w:rFonts w:cs="Times New Roman"/>
      <w:sz w:val="24"/>
    </w:rPr>
  </w:style>
  <w:style w:type="paragraph" w:styleId="Web">
    <w:name w:val="Normal (Web)"/>
    <w:basedOn w:val="a0"/>
    <w:rsid w:val="00663ED0"/>
    <w:pPr>
      <w:suppressAutoHyphens w:val="0"/>
      <w:overflowPunct/>
      <w:autoSpaceDE/>
      <w:autoSpaceDN/>
      <w:adjustRightInd/>
      <w:spacing w:before="100" w:beforeAutospacing="1" w:after="100" w:afterAutospacing="1"/>
      <w:jc w:val="left"/>
      <w:textAlignment w:val="auto"/>
    </w:pPr>
    <w:rPr>
      <w:szCs w:val="24"/>
    </w:rPr>
  </w:style>
  <w:style w:type="character" w:styleId="afe">
    <w:name w:val="annotation reference"/>
    <w:rsid w:val="008F33A4"/>
    <w:rPr>
      <w:rFonts w:cs="Times New Roman"/>
      <w:sz w:val="16"/>
      <w:szCs w:val="16"/>
    </w:rPr>
  </w:style>
  <w:style w:type="paragraph" w:styleId="aff">
    <w:name w:val="annotation text"/>
    <w:basedOn w:val="a0"/>
    <w:link w:val="aff0"/>
    <w:rsid w:val="008F33A4"/>
    <w:rPr>
      <w:sz w:val="20"/>
    </w:rPr>
  </w:style>
  <w:style w:type="character" w:customStyle="1" w:styleId="aff0">
    <w:name w:val="コメント文字列 (文字)"/>
    <w:link w:val="aff"/>
    <w:locked/>
    <w:rsid w:val="006E7180"/>
    <w:rPr>
      <w:rFonts w:cs="Times New Roman"/>
      <w:lang w:val="fr-FR" w:eastAsia="fr-FR"/>
    </w:rPr>
  </w:style>
  <w:style w:type="paragraph" w:styleId="aff1">
    <w:name w:val="annotation subject"/>
    <w:basedOn w:val="aff"/>
    <w:next w:val="aff"/>
    <w:link w:val="aff2"/>
    <w:semiHidden/>
    <w:rsid w:val="008F33A4"/>
    <w:rPr>
      <w:b/>
      <w:bCs/>
    </w:rPr>
  </w:style>
  <w:style w:type="character" w:customStyle="1" w:styleId="aff2">
    <w:name w:val="コメント内容 (文字)"/>
    <w:link w:val="aff1"/>
    <w:semiHidden/>
    <w:locked/>
    <w:rsid w:val="00242DE8"/>
    <w:rPr>
      <w:rFonts w:cs="Times New Roman"/>
      <w:b/>
      <w:bCs/>
      <w:lang w:val="fr-FR" w:eastAsia="fr-FR"/>
    </w:rPr>
  </w:style>
  <w:style w:type="paragraph" w:styleId="aff3">
    <w:name w:val="index heading"/>
    <w:basedOn w:val="a0"/>
    <w:next w:val="13"/>
    <w:semiHidden/>
    <w:rsid w:val="00447232"/>
    <w:pPr>
      <w:suppressAutoHyphens w:val="0"/>
      <w:overflowPunct/>
      <w:autoSpaceDE/>
      <w:autoSpaceDN/>
      <w:adjustRightInd/>
      <w:jc w:val="left"/>
      <w:textAlignment w:val="auto"/>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eastAsia="en-US"/>
    </w:rPr>
  </w:style>
  <w:style w:type="paragraph" w:styleId="HTML">
    <w:name w:val="HTML Preformatted"/>
    <w:basedOn w:val="a0"/>
    <w:link w:val="HTML0"/>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cs="Courier New"/>
      <w:sz w:val="20"/>
      <w:lang w:val="en-US" w:eastAsia="en-US"/>
    </w:rPr>
  </w:style>
  <w:style w:type="character" w:customStyle="1" w:styleId="HTML0">
    <w:name w:val="HTML 書式付き (文字)"/>
    <w:link w:val="HTML"/>
    <w:semiHidden/>
    <w:locked/>
    <w:rsid w:val="00242DE8"/>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overflowPunct/>
      <w:autoSpaceDE/>
      <w:autoSpaceDN/>
      <w:adjustRightInd/>
      <w:spacing w:before="120" w:after="200"/>
      <w:textAlignment w:val="auto"/>
    </w:pPr>
    <w:rPr>
      <w:sz w:val="28"/>
      <w:lang w:eastAsia="en-US"/>
    </w:rPr>
  </w:style>
  <w:style w:type="paragraph" w:customStyle="1" w:styleId="Rvision1">
    <w:name w:val="Révision1"/>
    <w:hidden/>
    <w:semiHidden/>
    <w:rsid w:val="00120CDA"/>
    <w:rPr>
      <w:sz w:val="24"/>
      <w:lang w:val="fr-FR" w:eastAsia="fr-FR"/>
    </w:rPr>
  </w:style>
  <w:style w:type="paragraph" w:customStyle="1" w:styleId="En-ttedetabledesmatires1">
    <w:name w:val="En-tête de table des matières1"/>
    <w:basedOn w:val="10"/>
    <w:next w:val="a0"/>
    <w:semiHidden/>
    <w:rsid w:val="00642596"/>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lang w:val="en-US" w:eastAsia="en-US"/>
    </w:rPr>
  </w:style>
  <w:style w:type="paragraph" w:customStyle="1" w:styleId="14">
    <w:name w:val="リスト段落1"/>
    <w:basedOn w:val="a0"/>
    <w:rsid w:val="00884AAA"/>
    <w:pPr>
      <w:ind w:left="720"/>
      <w:contextualSpacing/>
    </w:pPr>
  </w:style>
  <w:style w:type="paragraph" w:customStyle="1" w:styleId="15">
    <w:name w:val="変更箇所1"/>
    <w:hidden/>
    <w:semiHidden/>
    <w:rsid w:val="00432428"/>
    <w:rPr>
      <w:sz w:val="24"/>
      <w:lang w:val="fr-FR" w:eastAsia="fr-FR"/>
    </w:rPr>
  </w:style>
  <w:style w:type="paragraph" w:styleId="aff4">
    <w:name w:val="endnote text"/>
    <w:basedOn w:val="a0"/>
    <w:link w:val="aff5"/>
    <w:semiHidden/>
    <w:rsid w:val="00DB4EF5"/>
    <w:rPr>
      <w:sz w:val="20"/>
    </w:rPr>
  </w:style>
  <w:style w:type="character" w:customStyle="1" w:styleId="aff5">
    <w:name w:val="文末脚注文字列 (文字)"/>
    <w:link w:val="aff4"/>
    <w:semiHidden/>
    <w:locked/>
    <w:rsid w:val="00DB4EF5"/>
    <w:rPr>
      <w:rFonts w:cs="Times New Roman"/>
    </w:rPr>
  </w:style>
  <w:style w:type="paragraph" w:customStyle="1" w:styleId="UG-Title">
    <w:name w:val="UG-Title"/>
    <w:basedOn w:val="af5"/>
    <w:rsid w:val="00CC1A34"/>
  </w:style>
  <w:style w:type="paragraph" w:customStyle="1" w:styleId="UG-SectionIVHeader">
    <w:name w:val="UG-Section IV Header"/>
    <w:basedOn w:val="a0"/>
    <w:rsid w:val="00EA0FBE"/>
    <w:pPr>
      <w:suppressAutoHyphens w:val="0"/>
      <w:jc w:val="center"/>
    </w:pPr>
    <w:rPr>
      <w:b/>
      <w:sz w:val="36"/>
    </w:rPr>
  </w:style>
  <w:style w:type="paragraph" w:customStyle="1" w:styleId="UG-SectionIVHeader-2">
    <w:name w:val="UG-Section IV Header - 2"/>
    <w:basedOn w:val="a0"/>
    <w:rsid w:val="00EA0FBE"/>
    <w:pPr>
      <w:jc w:val="center"/>
    </w:pPr>
    <w:rPr>
      <w:b/>
      <w:sz w:val="28"/>
    </w:rPr>
  </w:style>
  <w:style w:type="character" w:customStyle="1" w:styleId="36">
    <w:name w:val="(文字) (文字)3"/>
    <w:rsid w:val="00A206F8"/>
    <w:rPr>
      <w:lang w:val="fr-FR" w:eastAsia="fr-FR"/>
    </w:rPr>
  </w:style>
  <w:style w:type="paragraph" w:customStyle="1" w:styleId="MainHeading">
    <w:name w:val="Main Heading"/>
    <w:rsid w:val="00A206F8"/>
    <w:pPr>
      <w:adjustRightInd w:val="0"/>
      <w:jc w:val="center"/>
      <w:textAlignment w:val="baseline"/>
    </w:pPr>
    <w:rPr>
      <w:rFonts w:ascii="Optima" w:hAnsi="Optima"/>
      <w:b/>
      <w:caps/>
      <w:sz w:val="32"/>
    </w:rPr>
  </w:style>
  <w:style w:type="character" w:customStyle="1" w:styleId="16">
    <w:name w:val="(文字) (文字)1"/>
    <w:rsid w:val="00E831AC"/>
    <w:rPr>
      <w:lang w:val="fr-FR" w:eastAsia="fr-FR"/>
    </w:rPr>
  </w:style>
  <w:style w:type="paragraph" w:customStyle="1" w:styleId="Style11">
    <w:name w:val="Style 11"/>
    <w:basedOn w:val="a0"/>
    <w:rsid w:val="00E34DF3"/>
    <w:pPr>
      <w:widowControl w:val="0"/>
      <w:suppressAutoHyphens w:val="0"/>
      <w:overflowPunct/>
      <w:adjustRightInd/>
      <w:spacing w:line="384" w:lineRule="atLeast"/>
      <w:jc w:val="left"/>
      <w:textAlignment w:val="auto"/>
    </w:pPr>
    <w:rPr>
      <w:szCs w:val="24"/>
      <w:lang w:val="en-US" w:eastAsia="en-US"/>
    </w:rPr>
  </w:style>
  <w:style w:type="paragraph" w:customStyle="1" w:styleId="Style27">
    <w:name w:val="Style 27"/>
    <w:basedOn w:val="a0"/>
    <w:rsid w:val="00E34DF3"/>
    <w:pPr>
      <w:widowControl w:val="0"/>
      <w:suppressAutoHyphens w:val="0"/>
      <w:overflowPunct/>
      <w:adjustRightInd/>
      <w:spacing w:before="180"/>
      <w:jc w:val="center"/>
      <w:textAlignment w:val="auto"/>
    </w:pPr>
    <w:rPr>
      <w:szCs w:val="24"/>
      <w:lang w:val="en-US" w:eastAsia="en-US"/>
    </w:rPr>
  </w:style>
  <w:style w:type="character" w:customStyle="1" w:styleId="52">
    <w:name w:val="(文字) (文字)5"/>
    <w:locked/>
    <w:rsid w:val="00376C2E"/>
    <w:rPr>
      <w:rFonts w:ascii="Arial" w:eastAsia="ＭＳ ゴシック" w:hAnsi="Arial" w:cs="Times New Roman"/>
      <w:kern w:val="0"/>
      <w:sz w:val="24"/>
      <w:szCs w:val="24"/>
      <w:lang w:val="x-none" w:eastAsia="en-US"/>
    </w:rPr>
  </w:style>
  <w:style w:type="character" w:customStyle="1" w:styleId="27">
    <w:name w:val="(文字) (文字)2"/>
    <w:rsid w:val="00CF6E6F"/>
    <w:rPr>
      <w:lang w:val="fr-FR" w:eastAsia="fr-FR" w:bidi="ar-SA"/>
    </w:rPr>
  </w:style>
  <w:style w:type="paragraph" w:customStyle="1" w:styleId="StyleStyleHeader1-ClausesAfter0ptLeft0Hanging">
    <w:name w:val="Style Style Header 1 - Clauses + After:  0 pt + Left:  0&quot; Hanging:..."/>
    <w:basedOn w:val="a0"/>
    <w:rsid w:val="006B40B6"/>
    <w:pPr>
      <w:tabs>
        <w:tab w:val="left" w:pos="576"/>
      </w:tabs>
      <w:suppressAutoHyphens w:val="0"/>
      <w:overflowPunct/>
      <w:autoSpaceDE/>
      <w:autoSpaceDN/>
      <w:adjustRightInd/>
      <w:spacing w:after="200"/>
      <w:ind w:left="576" w:hanging="576"/>
      <w:textAlignment w:val="auto"/>
    </w:pPr>
    <w:rPr>
      <w:lang w:val="es-ES_tradnl" w:eastAsia="en-US"/>
    </w:rPr>
  </w:style>
  <w:style w:type="paragraph" w:styleId="aff6">
    <w:name w:val="Block Text"/>
    <w:basedOn w:val="a0"/>
    <w:locked/>
    <w:rsid w:val="00337F07"/>
    <w:pPr>
      <w:tabs>
        <w:tab w:val="left" w:pos="387"/>
        <w:tab w:val="left" w:pos="1107"/>
      </w:tabs>
      <w:overflowPunct/>
      <w:autoSpaceDE/>
      <w:autoSpaceDN/>
      <w:adjustRightInd/>
      <w:ind w:left="720" w:right="-72"/>
      <w:jc w:val="left"/>
      <w:textAlignment w:val="auto"/>
    </w:pPr>
    <w:rPr>
      <w:i/>
      <w:lang w:val="en-US" w:eastAsia="en-US"/>
    </w:rPr>
  </w:style>
  <w:style w:type="paragraph" w:customStyle="1" w:styleId="StyleHeader1-ClausesAfter0pt">
    <w:name w:val="Style Header 1 - Clauses + After:  0 pt"/>
    <w:basedOn w:val="Header1-Clauses"/>
    <w:rsid w:val="004D6C25"/>
    <w:pPr>
      <w:tabs>
        <w:tab w:val="clear" w:pos="432"/>
      </w:tabs>
      <w:overflowPunct/>
      <w:autoSpaceDE/>
      <w:autoSpaceDN/>
      <w:adjustRightInd/>
      <w:spacing w:after="200"/>
      <w:ind w:left="0" w:firstLine="0"/>
      <w:jc w:val="both"/>
      <w:textAlignment w:val="auto"/>
    </w:pPr>
    <w:rPr>
      <w:b w:val="0"/>
      <w:bCs/>
      <w:lang w:eastAsia="en-US"/>
    </w:rPr>
  </w:style>
  <w:style w:type="character" w:customStyle="1" w:styleId="140">
    <w:name w:val="(文字) (文字)14"/>
    <w:locked/>
    <w:rsid w:val="00127C1D"/>
    <w:rPr>
      <w:rFonts w:cs="Times New Roman"/>
    </w:rPr>
  </w:style>
  <w:style w:type="paragraph" w:customStyle="1" w:styleId="Sec3header">
    <w:name w:val="Sec3 header"/>
    <w:basedOn w:val="Style11"/>
    <w:rsid w:val="003A5C41"/>
    <w:pPr>
      <w:tabs>
        <w:tab w:val="left" w:leader="dot" w:pos="8424"/>
      </w:tabs>
      <w:spacing w:before="80" w:line="240" w:lineRule="auto"/>
    </w:pPr>
    <w:rPr>
      <w:rFonts w:ascii="Arial" w:hAnsi="Arial" w:cs="Arial"/>
      <w:b/>
      <w:sz w:val="32"/>
      <w:szCs w:val="20"/>
    </w:rPr>
  </w:style>
  <w:style w:type="paragraph" w:customStyle="1" w:styleId="Section4heading">
    <w:name w:val="Section 4 heading"/>
    <w:basedOn w:val="a0"/>
    <w:next w:val="a0"/>
    <w:rsid w:val="00A92674"/>
    <w:pPr>
      <w:widowControl w:val="0"/>
      <w:tabs>
        <w:tab w:val="left" w:leader="dot" w:pos="8748"/>
      </w:tabs>
      <w:suppressAutoHyphens w:val="0"/>
      <w:overflowPunct/>
      <w:adjustRightInd/>
      <w:spacing w:after="240"/>
      <w:jc w:val="center"/>
      <w:textAlignment w:val="auto"/>
    </w:pPr>
    <w:rPr>
      <w:b/>
      <w:sz w:val="36"/>
      <w:szCs w:val="24"/>
      <w:lang w:val="en-US" w:eastAsia="en-US"/>
    </w:rPr>
  </w:style>
  <w:style w:type="character" w:customStyle="1" w:styleId="310">
    <w:name w:val="(文字) (文字)31"/>
    <w:rsid w:val="00D45DD3"/>
    <w:rPr>
      <w:lang w:val="fr-FR" w:eastAsia="fr-FR" w:bidi="ar-SA"/>
    </w:rPr>
  </w:style>
  <w:style w:type="paragraph" w:styleId="aff7">
    <w:name w:val="List Paragraph"/>
    <w:aliases w:val="Citation List,본문(내용),List Paragraph (numbered (a)),Citation List1,본문(내용)1,List Paragraph (numbered (a))1"/>
    <w:basedOn w:val="a0"/>
    <w:link w:val="aff8"/>
    <w:qFormat/>
    <w:rsid w:val="00734D50"/>
    <w:pPr>
      <w:widowControl w:val="0"/>
      <w:suppressAutoHyphens w:val="0"/>
      <w:overflowPunct/>
      <w:autoSpaceDE/>
      <w:autoSpaceDN/>
      <w:spacing w:line="360" w:lineRule="atLeast"/>
      <w:ind w:leftChars="400" w:left="840"/>
    </w:pPr>
    <w:rPr>
      <w:rFonts w:ascii="Century" w:hAnsi="Century"/>
      <w:sz w:val="21"/>
      <w:lang w:val="en-US" w:eastAsia="ja-JP"/>
    </w:rPr>
  </w:style>
  <w:style w:type="character" w:customStyle="1" w:styleId="DocumentHeader1">
    <w:name w:val="Document Header1 (文字) (文字)"/>
    <w:locked/>
    <w:rsid w:val="001F7B8F"/>
    <w:rPr>
      <w:rFonts w:ascii="Cambria" w:hAnsi="Cambria" w:cs="Times New Roman"/>
      <w:b/>
      <w:bCs/>
      <w:kern w:val="32"/>
      <w:sz w:val="32"/>
      <w:szCs w:val="32"/>
    </w:rPr>
  </w:style>
  <w:style w:type="character" w:customStyle="1" w:styleId="150">
    <w:name w:val="(文字) (文字)15"/>
    <w:locked/>
    <w:rsid w:val="001F7B8F"/>
    <w:rPr>
      <w:rFonts w:cs="Times New Roman"/>
      <w:sz w:val="24"/>
    </w:rPr>
  </w:style>
  <w:style w:type="character" w:customStyle="1" w:styleId="120">
    <w:name w:val="(文字) (文字)12"/>
    <w:locked/>
    <w:rsid w:val="001F7B8F"/>
    <w:rPr>
      <w:rFonts w:ascii="Cambria" w:hAnsi="Cambria" w:cs="Times New Roman"/>
      <w:b/>
      <w:bCs/>
      <w:kern w:val="28"/>
      <w:sz w:val="32"/>
      <w:szCs w:val="32"/>
    </w:rPr>
  </w:style>
  <w:style w:type="character" w:customStyle="1" w:styleId="110">
    <w:name w:val="(文字) (文字)11"/>
    <w:locked/>
    <w:rsid w:val="001F7B8F"/>
    <w:rPr>
      <w:rFonts w:ascii="Cambria" w:hAnsi="Cambria" w:cs="Times New Roman"/>
      <w:sz w:val="24"/>
      <w:szCs w:val="24"/>
    </w:rPr>
  </w:style>
  <w:style w:type="character" w:customStyle="1" w:styleId="42">
    <w:name w:val="(文字) (文字)4"/>
    <w:rsid w:val="001F7B8F"/>
    <w:rPr>
      <w:lang w:val="fr-FR" w:eastAsia="fr-FR"/>
    </w:rPr>
  </w:style>
  <w:style w:type="paragraph" w:customStyle="1" w:styleId="FIDICClauseSubSubName">
    <w:name w:val="FIDIC_ClauseSubSubName"/>
    <w:basedOn w:val="a0"/>
    <w:next w:val="a0"/>
    <w:rsid w:val="001F7B8F"/>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paragraph" w:styleId="a">
    <w:name w:val="List Bullet"/>
    <w:basedOn w:val="a0"/>
    <w:locked/>
    <w:rsid w:val="00D15892"/>
    <w:pPr>
      <w:numPr>
        <w:numId w:val="14"/>
      </w:numPr>
    </w:pPr>
  </w:style>
  <w:style w:type="paragraph" w:customStyle="1" w:styleId="Parts">
    <w:name w:val="Parts"/>
    <w:basedOn w:val="10"/>
    <w:rsid w:val="00E575CD"/>
    <w:pPr>
      <w:overflowPunct/>
      <w:autoSpaceDE/>
      <w:autoSpaceDN/>
      <w:adjustRightInd/>
      <w:spacing w:before="480" w:after="240"/>
      <w:textAlignment w:val="auto"/>
    </w:pPr>
    <w:rPr>
      <w:rFonts w:ascii="Times New Roman Bold" w:hAnsi="Times New Roman Bold"/>
      <w:smallCaps/>
      <w:sz w:val="56"/>
      <w:lang w:val="en-GB" w:eastAsia="en-US"/>
    </w:rPr>
  </w:style>
  <w:style w:type="paragraph" w:customStyle="1" w:styleId="28">
    <w:name w:val="副題2"/>
    <w:basedOn w:val="af5"/>
    <w:rsid w:val="008917C2"/>
  </w:style>
  <w:style w:type="character" w:styleId="aff9">
    <w:name w:val="FollowedHyperlink"/>
    <w:locked/>
    <w:rsid w:val="003948A6"/>
    <w:rPr>
      <w:color w:val="606420"/>
      <w:u w:val="single"/>
    </w:rPr>
  </w:style>
  <w:style w:type="paragraph" w:customStyle="1" w:styleId="SectionIXoption">
    <w:name w:val="Section IX option"/>
    <w:basedOn w:val="a0"/>
    <w:rsid w:val="00EA0FBE"/>
    <w:pPr>
      <w:suppressAutoHyphens w:val="0"/>
      <w:overflowPunct/>
      <w:autoSpaceDE/>
      <w:autoSpaceDN/>
      <w:adjustRightInd/>
      <w:spacing w:afterLines="50" w:after="120"/>
      <w:textAlignment w:val="auto"/>
    </w:pPr>
    <w:rPr>
      <w:i/>
      <w:lang w:val="en-GB" w:eastAsia="ja-JP"/>
    </w:rPr>
  </w:style>
  <w:style w:type="paragraph" w:customStyle="1" w:styleId="Style6">
    <w:name w:val="Style6"/>
    <w:basedOn w:val="a0"/>
    <w:link w:val="Style6Car"/>
    <w:qFormat/>
    <w:rsid w:val="00DD4576"/>
    <w:pPr>
      <w:suppressAutoHyphens w:val="0"/>
      <w:overflowPunct/>
      <w:autoSpaceDE/>
      <w:autoSpaceDN/>
      <w:adjustRightInd/>
      <w:jc w:val="left"/>
      <w:textAlignment w:val="auto"/>
    </w:pPr>
    <w:rPr>
      <w:b/>
    </w:rPr>
  </w:style>
  <w:style w:type="character" w:customStyle="1" w:styleId="Style6Car">
    <w:name w:val="Style6 Car"/>
    <w:link w:val="Style6"/>
    <w:rsid w:val="00DD4576"/>
    <w:rPr>
      <w:rFonts w:eastAsia="ＭＳ 明朝"/>
      <w:b/>
      <w:sz w:val="24"/>
      <w:lang w:val="fr-FR" w:eastAsia="fr-FR" w:bidi="ar-SA"/>
    </w:rPr>
  </w:style>
  <w:style w:type="paragraph" w:customStyle="1" w:styleId="Style5">
    <w:name w:val="Style5"/>
    <w:basedOn w:val="a0"/>
    <w:link w:val="Style5Car"/>
    <w:qFormat/>
    <w:rsid w:val="00D42679"/>
    <w:pPr>
      <w:suppressAutoHyphens w:val="0"/>
      <w:overflowPunct/>
      <w:autoSpaceDE/>
      <w:autoSpaceDN/>
      <w:adjustRightInd/>
      <w:spacing w:before="120" w:after="120"/>
      <w:jc w:val="center"/>
      <w:textAlignment w:val="auto"/>
    </w:pPr>
    <w:rPr>
      <w:b/>
      <w:sz w:val="28"/>
    </w:rPr>
  </w:style>
  <w:style w:type="character" w:customStyle="1" w:styleId="Style5Car">
    <w:name w:val="Style5 Car"/>
    <w:link w:val="Style5"/>
    <w:rsid w:val="00D42679"/>
    <w:rPr>
      <w:rFonts w:eastAsia="ＭＳ 明朝"/>
      <w:b/>
      <w:sz w:val="28"/>
      <w:lang w:val="fr-FR" w:eastAsia="fr-FR" w:bidi="ar-SA"/>
    </w:rPr>
  </w:style>
  <w:style w:type="character" w:customStyle="1" w:styleId="62">
    <w:name w:val="(文字) (文字)6"/>
    <w:rsid w:val="00B45912"/>
    <w:rPr>
      <w:sz w:val="24"/>
      <w:lang w:val="es-ES_tradnl" w:eastAsia="fr-FR" w:bidi="ar-SA"/>
    </w:rPr>
  </w:style>
  <w:style w:type="paragraph" w:customStyle="1" w:styleId="SecVI-Header2">
    <w:name w:val="Sec VI - Header 2"/>
    <w:basedOn w:val="3"/>
    <w:rsid w:val="00425B03"/>
    <w:pPr>
      <w:tabs>
        <w:tab w:val="num" w:pos="864"/>
      </w:tabs>
      <w:overflowPunct/>
      <w:autoSpaceDE/>
      <w:autoSpaceDN/>
      <w:adjustRightInd/>
      <w:spacing w:beforeLines="50" w:before="120"/>
      <w:ind w:left="0" w:firstLine="0"/>
      <w:jc w:val="center"/>
      <w:textAlignment w:val="auto"/>
    </w:pPr>
    <w:rPr>
      <w:b/>
      <w:sz w:val="32"/>
      <w:szCs w:val="32"/>
      <w:lang w:eastAsia="en-US"/>
    </w:rPr>
  </w:style>
  <w:style w:type="paragraph" w:customStyle="1" w:styleId="Style1">
    <w:name w:val="Style1"/>
    <w:basedOn w:val="10"/>
    <w:link w:val="Style1Car"/>
    <w:qFormat/>
    <w:rsid w:val="00797C31"/>
    <w:pPr>
      <w:keepNext/>
      <w:suppressAutoHyphens w:val="0"/>
      <w:overflowPunct/>
      <w:autoSpaceDE/>
      <w:autoSpaceDN/>
      <w:adjustRightInd/>
      <w:spacing w:after="200"/>
      <w:textAlignment w:val="auto"/>
    </w:pPr>
    <w:rPr>
      <w:kern w:val="28"/>
      <w:sz w:val="52"/>
    </w:rPr>
  </w:style>
  <w:style w:type="character" w:customStyle="1" w:styleId="Style1Car">
    <w:name w:val="Style1 Car"/>
    <w:link w:val="Style1"/>
    <w:rsid w:val="00797C31"/>
    <w:rPr>
      <w:rFonts w:ascii="Cambria" w:eastAsia="ＭＳ 明朝" w:hAnsi="Cambria" w:cs="Times New Roman"/>
      <w:b/>
      <w:bCs/>
      <w:kern w:val="28"/>
      <w:sz w:val="52"/>
      <w:szCs w:val="32"/>
      <w:lang w:val="fr-FR" w:eastAsia="fr-FR" w:bidi="ar-SA"/>
    </w:rPr>
  </w:style>
  <w:style w:type="paragraph" w:customStyle="1" w:styleId="Head71">
    <w:name w:val="Head 7.1"/>
    <w:basedOn w:val="a0"/>
    <w:rsid w:val="009126F0"/>
    <w:pPr>
      <w:overflowPunct/>
      <w:autoSpaceDE/>
      <w:autoSpaceDN/>
      <w:adjustRightInd/>
      <w:spacing w:after="240"/>
      <w:jc w:val="center"/>
      <w:textAlignment w:val="auto"/>
    </w:pPr>
    <w:rPr>
      <w:b/>
      <w:sz w:val="28"/>
      <w:lang w:val="en-US"/>
    </w:rPr>
  </w:style>
  <w:style w:type="paragraph" w:customStyle="1" w:styleId="Style2">
    <w:name w:val="Style2"/>
    <w:basedOn w:val="a0"/>
    <w:link w:val="Style2Car"/>
    <w:qFormat/>
    <w:rsid w:val="009126F0"/>
    <w:pPr>
      <w:suppressAutoHyphens w:val="0"/>
      <w:overflowPunct/>
      <w:autoSpaceDE/>
      <w:autoSpaceDN/>
      <w:adjustRightInd/>
      <w:spacing w:after="200"/>
      <w:jc w:val="left"/>
      <w:textAlignment w:val="auto"/>
      <w:outlineLvl w:val="0"/>
    </w:pPr>
    <w:rPr>
      <w:b/>
      <w:kern w:val="28"/>
      <w:sz w:val="52"/>
    </w:rPr>
  </w:style>
  <w:style w:type="character" w:customStyle="1" w:styleId="Style2Car">
    <w:name w:val="Style2 Car"/>
    <w:link w:val="Style2"/>
    <w:rsid w:val="009126F0"/>
    <w:rPr>
      <w:rFonts w:eastAsia="ＭＳ 明朝"/>
      <w:b/>
      <w:kern w:val="28"/>
      <w:sz w:val="52"/>
      <w:lang w:val="fr-FR" w:eastAsia="fr-FR" w:bidi="ar-SA"/>
    </w:rPr>
  </w:style>
  <w:style w:type="paragraph" w:customStyle="1" w:styleId="S1-Header2">
    <w:name w:val="S1-Header 2"/>
    <w:basedOn w:val="Header1-Clauses"/>
    <w:link w:val="S1-Header2Car"/>
    <w:rsid w:val="005A0C64"/>
    <w:pPr>
      <w:tabs>
        <w:tab w:val="clear" w:pos="432"/>
      </w:tabs>
      <w:overflowPunct/>
      <w:autoSpaceDE/>
      <w:autoSpaceDN/>
      <w:adjustRightInd/>
      <w:ind w:left="0" w:firstLine="0"/>
      <w:textAlignment w:val="auto"/>
    </w:pPr>
    <w:rPr>
      <w:lang w:val="fr-FR"/>
    </w:rPr>
  </w:style>
  <w:style w:type="character" w:customStyle="1" w:styleId="S1-Header2Car">
    <w:name w:val="S1-Header 2 Car"/>
    <w:link w:val="S1-Header2"/>
    <w:rsid w:val="005A0C64"/>
    <w:rPr>
      <w:rFonts w:eastAsia="ＭＳ 明朝"/>
      <w:b/>
      <w:sz w:val="24"/>
      <w:lang w:val="fr-FR" w:eastAsia="fr-FR" w:bidi="ar-SA"/>
    </w:rPr>
  </w:style>
  <w:style w:type="paragraph" w:customStyle="1" w:styleId="SectionVIIarticle">
    <w:name w:val="Section VII article"/>
    <w:basedOn w:val="a0"/>
    <w:link w:val="SectionVIIarticleCar"/>
    <w:rsid w:val="007C71D1"/>
    <w:pPr>
      <w:suppressAutoHyphens w:val="0"/>
      <w:overflowPunct/>
      <w:autoSpaceDE/>
      <w:autoSpaceDN/>
      <w:adjustRightInd/>
      <w:jc w:val="left"/>
      <w:textAlignment w:val="auto"/>
    </w:pPr>
    <w:rPr>
      <w:b/>
      <w:sz w:val="20"/>
    </w:rPr>
  </w:style>
  <w:style w:type="character" w:customStyle="1" w:styleId="SectionVIIarticleCar">
    <w:name w:val="Section VII article Car"/>
    <w:link w:val="SectionVIIarticle"/>
    <w:rsid w:val="007C71D1"/>
    <w:rPr>
      <w:rFonts w:eastAsia="ＭＳ 明朝"/>
      <w:b/>
      <w:lang w:val="fr-FR" w:eastAsia="fr-FR" w:bidi="ar-SA"/>
    </w:rPr>
  </w:style>
  <w:style w:type="paragraph" w:customStyle="1" w:styleId="S1-Header20">
    <w:name w:val="S1-Header2"/>
    <w:basedOn w:val="a0"/>
    <w:autoRedefine/>
    <w:rsid w:val="008A28CD"/>
    <w:pPr>
      <w:suppressAutoHyphens w:val="0"/>
      <w:overflowPunct/>
      <w:autoSpaceDE/>
      <w:autoSpaceDN/>
      <w:adjustRightInd/>
      <w:spacing w:after="120"/>
      <w:ind w:left="357" w:hanging="357"/>
      <w:jc w:val="left"/>
      <w:textAlignment w:val="auto"/>
    </w:pPr>
    <w:rPr>
      <w:b/>
      <w:lang w:val="en-US" w:eastAsia="en-US"/>
    </w:rPr>
  </w:style>
  <w:style w:type="paragraph" w:customStyle="1" w:styleId="S1-subpara">
    <w:name w:val="S1-sub para"/>
    <w:basedOn w:val="a0"/>
    <w:link w:val="S1-subparaChar"/>
    <w:rsid w:val="007C71D1"/>
    <w:pPr>
      <w:numPr>
        <w:ilvl w:val="1"/>
        <w:numId w:val="16"/>
      </w:numPr>
      <w:suppressAutoHyphens w:val="0"/>
      <w:overflowPunct/>
      <w:autoSpaceDE/>
      <w:autoSpaceDN/>
      <w:adjustRightInd/>
      <w:spacing w:after="200"/>
      <w:textAlignment w:val="auto"/>
    </w:pPr>
    <w:rPr>
      <w:lang w:val="en-US" w:eastAsia="en-US"/>
    </w:rPr>
  </w:style>
  <w:style w:type="character" w:customStyle="1" w:styleId="S1-subparaChar">
    <w:name w:val="S1-sub para Char"/>
    <w:link w:val="S1-subpara"/>
    <w:rsid w:val="007C71D1"/>
    <w:rPr>
      <w:sz w:val="24"/>
      <w:lang w:eastAsia="en-US"/>
    </w:rPr>
  </w:style>
  <w:style w:type="paragraph" w:customStyle="1" w:styleId="SimpleLista">
    <w:name w:val="Simple List (a)"/>
    <w:rsid w:val="007C71D1"/>
    <w:pPr>
      <w:numPr>
        <w:numId w:val="17"/>
      </w:numPr>
      <w:spacing w:before="60" w:after="60"/>
    </w:pPr>
    <w:rPr>
      <w:rFonts w:eastAsia="SimSun"/>
      <w:sz w:val="24"/>
      <w:szCs w:val="28"/>
      <w:lang w:val="en-GB" w:eastAsia="zh-CN"/>
    </w:rPr>
  </w:style>
  <w:style w:type="paragraph" w:customStyle="1" w:styleId="HeadB22">
    <w:name w:val="Head B.2.2"/>
    <w:basedOn w:val="a0"/>
    <w:link w:val="HeadB22Char"/>
    <w:rsid w:val="007C71D1"/>
    <w:pPr>
      <w:keepLines/>
      <w:tabs>
        <w:tab w:val="left" w:pos="540"/>
      </w:tabs>
      <w:overflowPunct/>
      <w:autoSpaceDE/>
      <w:autoSpaceDN/>
      <w:adjustRightInd/>
      <w:spacing w:after="240"/>
      <w:ind w:left="547" w:hanging="547"/>
      <w:jc w:val="left"/>
      <w:textAlignment w:val="auto"/>
    </w:pPr>
    <w:rPr>
      <w:b/>
      <w:lang w:val="en-US"/>
    </w:rPr>
  </w:style>
  <w:style w:type="character" w:customStyle="1" w:styleId="HeadB22Char">
    <w:name w:val="Head B.2.2 Char"/>
    <w:link w:val="HeadB22"/>
    <w:rsid w:val="007C71D1"/>
    <w:rPr>
      <w:rFonts w:eastAsia="ＭＳ 明朝"/>
      <w:b/>
      <w:sz w:val="24"/>
      <w:lang w:val="en-US" w:eastAsia="fr-FR" w:bidi="ar-SA"/>
    </w:rPr>
  </w:style>
  <w:style w:type="paragraph" w:customStyle="1" w:styleId="Part1">
    <w:name w:val="Part 1"/>
    <w:basedOn w:val="a0"/>
    <w:link w:val="Part10"/>
    <w:autoRedefine/>
    <w:rsid w:val="00045C93"/>
    <w:pPr>
      <w:suppressAutoHyphens w:val="0"/>
      <w:overflowPunct/>
      <w:autoSpaceDE/>
      <w:autoSpaceDN/>
      <w:adjustRightInd/>
      <w:spacing w:before="3120" w:after="240"/>
      <w:jc w:val="center"/>
      <w:textAlignment w:val="auto"/>
    </w:pPr>
    <w:rPr>
      <w:b/>
      <w:sz w:val="72"/>
      <w:szCs w:val="72"/>
      <w:lang w:val="en-US" w:eastAsia="en-US"/>
    </w:rPr>
  </w:style>
  <w:style w:type="character" w:customStyle="1" w:styleId="Part10">
    <w:name w:val="Part 1 (文字) (文字)"/>
    <w:link w:val="Part1"/>
    <w:rsid w:val="00045C93"/>
    <w:rPr>
      <w:rFonts w:ascii="Cambria" w:eastAsia="ＭＳ 明朝" w:hAnsi="Cambria" w:cs="Times New Roman"/>
      <w:b/>
      <w:bCs/>
      <w:kern w:val="32"/>
      <w:sz w:val="72"/>
      <w:szCs w:val="72"/>
      <w:lang w:val="en-US" w:eastAsia="en-US" w:bidi="ar-SA"/>
    </w:rPr>
  </w:style>
  <w:style w:type="paragraph" w:customStyle="1" w:styleId="Option">
    <w:name w:val="Option"/>
    <w:basedOn w:val="10"/>
    <w:link w:val="OptionCar"/>
    <w:rsid w:val="008E6E66"/>
    <w:pPr>
      <w:suppressAutoHyphens w:val="0"/>
      <w:overflowPunct/>
      <w:autoSpaceDE/>
      <w:autoSpaceDN/>
      <w:adjustRightInd/>
      <w:spacing w:before="1800" w:after="120" w:line="1200" w:lineRule="exact"/>
      <w:textAlignment w:val="auto"/>
    </w:pPr>
    <w:rPr>
      <w:bCs/>
      <w:kern w:val="28"/>
      <w:sz w:val="48"/>
      <w:szCs w:val="24"/>
      <w:lang w:val="en-US" w:eastAsia="ja-JP"/>
    </w:rPr>
  </w:style>
  <w:style w:type="character" w:customStyle="1" w:styleId="OptionCar">
    <w:name w:val="Option Car"/>
    <w:link w:val="Option"/>
    <w:rsid w:val="008E6E66"/>
    <w:rPr>
      <w:rFonts w:eastAsia="ＭＳ 明朝"/>
      <w:b/>
      <w:bCs/>
      <w:kern w:val="28"/>
      <w:sz w:val="48"/>
      <w:szCs w:val="24"/>
      <w:lang w:val="en-US" w:eastAsia="ja-JP" w:bidi="ar-SA"/>
    </w:rPr>
  </w:style>
  <w:style w:type="paragraph" w:customStyle="1" w:styleId="S1-Header">
    <w:name w:val="S1-Header"/>
    <w:basedOn w:val="25"/>
    <w:link w:val="S1-HeaderCar"/>
    <w:rsid w:val="007C71D1"/>
    <w:pPr>
      <w:overflowPunct/>
      <w:autoSpaceDE/>
      <w:autoSpaceDN/>
      <w:adjustRightInd/>
      <w:spacing w:before="120" w:after="120"/>
      <w:ind w:left="0"/>
      <w:jc w:val="center"/>
      <w:textAlignment w:val="auto"/>
    </w:pPr>
    <w:rPr>
      <w:b/>
      <w:sz w:val="28"/>
      <w:lang w:val="fr-FR"/>
    </w:rPr>
  </w:style>
  <w:style w:type="character" w:customStyle="1" w:styleId="S1-HeaderCar">
    <w:name w:val="S1-Header Car"/>
    <w:link w:val="S1-Header"/>
    <w:rsid w:val="007C71D1"/>
    <w:rPr>
      <w:rFonts w:eastAsia="ＭＳ 明朝"/>
      <w:b/>
      <w:sz w:val="28"/>
      <w:lang w:val="fr-FR" w:eastAsia="fr-FR" w:bidi="ar-SA"/>
    </w:rPr>
  </w:style>
  <w:style w:type="character" w:customStyle="1" w:styleId="affa">
    <w:name w:val="(文字) (文字)"/>
    <w:rsid w:val="007C71D1"/>
    <w:rPr>
      <w:b/>
      <w:sz w:val="28"/>
      <w:lang w:val="es-ES_tradnl"/>
    </w:rPr>
  </w:style>
  <w:style w:type="paragraph" w:customStyle="1" w:styleId="S1b-Header2">
    <w:name w:val="S1b-Header2"/>
    <w:basedOn w:val="HeadB22"/>
    <w:rsid w:val="007C71D1"/>
    <w:rPr>
      <w:lang w:val="fr-FR"/>
    </w:rPr>
  </w:style>
  <w:style w:type="paragraph" w:customStyle="1" w:styleId="S1b-Header20">
    <w:name w:val="S1b-Header 2"/>
    <w:basedOn w:val="HeadB22"/>
    <w:link w:val="S1b-Header2Char"/>
    <w:rsid w:val="007C71D1"/>
    <w:pPr>
      <w:ind w:left="0" w:firstLine="0"/>
    </w:pPr>
    <w:rPr>
      <w:lang w:val="fr-FR"/>
    </w:rPr>
  </w:style>
  <w:style w:type="character" w:customStyle="1" w:styleId="S1b-Header2Char">
    <w:name w:val="S1b-Header 2 Char"/>
    <w:link w:val="S1b-Header20"/>
    <w:rsid w:val="007C71D1"/>
    <w:rPr>
      <w:rFonts w:eastAsia="ＭＳ 明朝"/>
      <w:b/>
      <w:sz w:val="24"/>
      <w:lang w:val="fr-FR" w:eastAsia="fr-FR" w:bidi="ar-SA"/>
    </w:rPr>
  </w:style>
  <w:style w:type="paragraph" w:customStyle="1" w:styleId="SectionVII">
    <w:name w:val="Section VII"/>
    <w:basedOn w:val="a0"/>
    <w:autoRedefine/>
    <w:rsid w:val="00E17F73"/>
    <w:pPr>
      <w:numPr>
        <w:numId w:val="18"/>
      </w:numPr>
      <w:tabs>
        <w:tab w:val="left" w:pos="2699"/>
      </w:tabs>
      <w:suppressAutoHyphens w:val="0"/>
      <w:overflowPunct/>
      <w:autoSpaceDE/>
      <w:autoSpaceDN/>
      <w:adjustRightInd/>
      <w:spacing w:after="120"/>
      <w:ind w:right="43"/>
      <w:textAlignment w:val="auto"/>
    </w:pPr>
    <w:rPr>
      <w:rFonts w:eastAsia="Arial Unicode MS"/>
      <w:bCs/>
      <w:szCs w:val="24"/>
      <w:lang w:val="en-GB" w:eastAsia="en-US"/>
    </w:rPr>
  </w:style>
  <w:style w:type="paragraph" w:customStyle="1" w:styleId="Style3">
    <w:name w:val="Style3"/>
    <w:basedOn w:val="Option"/>
    <w:link w:val="Style3Car"/>
    <w:qFormat/>
    <w:rsid w:val="007C71D1"/>
  </w:style>
  <w:style w:type="character" w:customStyle="1" w:styleId="Style3Car">
    <w:name w:val="Style3 Car"/>
    <w:basedOn w:val="OptionCar"/>
    <w:link w:val="Style3"/>
    <w:rsid w:val="007C71D1"/>
    <w:rPr>
      <w:rFonts w:eastAsia="ＭＳ 明朝"/>
      <w:b/>
      <w:bCs/>
      <w:kern w:val="28"/>
      <w:sz w:val="48"/>
      <w:szCs w:val="24"/>
      <w:lang w:val="en-US" w:eastAsia="ja-JP" w:bidi="ar-SA"/>
    </w:rPr>
  </w:style>
  <w:style w:type="paragraph" w:customStyle="1" w:styleId="Style4">
    <w:name w:val="Style4"/>
    <w:basedOn w:val="af5"/>
    <w:link w:val="Style4Car"/>
    <w:qFormat/>
    <w:rsid w:val="007C71D1"/>
    <w:rPr>
      <w:lang w:val="fr-FR"/>
    </w:rPr>
  </w:style>
  <w:style w:type="character" w:customStyle="1" w:styleId="Style4Car">
    <w:name w:val="Style4 Car"/>
    <w:link w:val="Style4"/>
    <w:rsid w:val="007C71D1"/>
    <w:rPr>
      <w:rFonts w:eastAsia="ＭＳ 明朝"/>
      <w:b/>
      <w:sz w:val="44"/>
      <w:lang w:val="fr-FR" w:eastAsia="fr-FR" w:bidi="ar-SA"/>
    </w:rPr>
  </w:style>
  <w:style w:type="character" w:customStyle="1" w:styleId="130">
    <w:name w:val="(文字) (文字)13"/>
    <w:rsid w:val="007C71D1"/>
    <w:rPr>
      <w:b/>
      <w:sz w:val="44"/>
      <w:lang w:val="es-ES_tradnl"/>
    </w:rPr>
  </w:style>
  <w:style w:type="paragraph" w:customStyle="1" w:styleId="Style7">
    <w:name w:val="Style7"/>
    <w:basedOn w:val="SectionXHeader3"/>
    <w:link w:val="Style7Car"/>
    <w:qFormat/>
    <w:rsid w:val="007C71D1"/>
    <w:pPr>
      <w:overflowPunct/>
      <w:autoSpaceDE/>
      <w:autoSpaceDN/>
      <w:adjustRightInd/>
      <w:ind w:left="1260" w:right="1620"/>
      <w:textAlignment w:val="auto"/>
      <w:outlineLvl w:val="0"/>
    </w:pPr>
  </w:style>
  <w:style w:type="character" w:customStyle="1" w:styleId="Style7Car">
    <w:name w:val="Style7 Car"/>
    <w:link w:val="Style7"/>
    <w:rsid w:val="007C71D1"/>
    <w:rPr>
      <w:rFonts w:eastAsia="ＭＳ 明朝"/>
      <w:b/>
      <w:sz w:val="40"/>
      <w:lang w:val="fr-FR" w:eastAsia="fr-FR" w:bidi="ar-SA"/>
    </w:rPr>
  </w:style>
  <w:style w:type="character" w:customStyle="1" w:styleId="Header1-ClausesChar">
    <w:name w:val="Header 1 - Clauses Char"/>
    <w:rsid w:val="0092219F"/>
    <w:rPr>
      <w:b/>
      <w:sz w:val="24"/>
      <w:lang w:val="en-US" w:eastAsia="en-US" w:bidi="ar-SA"/>
    </w:rPr>
  </w:style>
  <w:style w:type="paragraph" w:customStyle="1" w:styleId="S8Header1">
    <w:name w:val="S8 Header 1"/>
    <w:basedOn w:val="a0"/>
    <w:next w:val="a0"/>
    <w:rsid w:val="0092219F"/>
    <w:pPr>
      <w:suppressAutoHyphens w:val="0"/>
      <w:overflowPunct/>
      <w:autoSpaceDE/>
      <w:autoSpaceDN/>
      <w:adjustRightInd/>
      <w:spacing w:before="120" w:after="200"/>
      <w:textAlignment w:val="auto"/>
    </w:pPr>
    <w:rPr>
      <w:b/>
      <w:lang w:val="en-US" w:eastAsia="en-US"/>
    </w:rPr>
  </w:style>
  <w:style w:type="character" w:customStyle="1" w:styleId="410">
    <w:name w:val="(文字) (文字)41"/>
    <w:rsid w:val="00900FCA"/>
    <w:rPr>
      <w:lang w:val="es-ES_tradnl" w:eastAsia="fr-FR" w:bidi="ar-SA"/>
    </w:rPr>
  </w:style>
  <w:style w:type="paragraph" w:customStyle="1" w:styleId="17">
    <w:name w:val="副題1"/>
    <w:basedOn w:val="Subtitle2"/>
    <w:rsid w:val="00FC5C80"/>
  </w:style>
  <w:style w:type="paragraph" w:customStyle="1" w:styleId="SHeader">
    <w:name w:val="S Header"/>
    <w:basedOn w:val="a0"/>
    <w:rsid w:val="00FC5C80"/>
    <w:pPr>
      <w:suppressAutoHyphens w:val="0"/>
      <w:overflowPunct/>
      <w:autoSpaceDE/>
      <w:autoSpaceDN/>
      <w:adjustRightInd/>
      <w:spacing w:before="120" w:after="240"/>
      <w:jc w:val="center"/>
      <w:textAlignment w:val="auto"/>
    </w:pPr>
    <w:rPr>
      <w:b/>
      <w:sz w:val="44"/>
      <w:szCs w:val="72"/>
      <w:lang w:val="en-US" w:eastAsia="en-US"/>
    </w:rPr>
  </w:style>
  <w:style w:type="paragraph" w:customStyle="1" w:styleId="SecVI-Header3">
    <w:name w:val="Sec VI - Header 3"/>
    <w:basedOn w:val="SecVI-Header2"/>
    <w:rsid w:val="00773479"/>
    <w:rPr>
      <w:sz w:val="28"/>
    </w:rPr>
  </w:style>
  <w:style w:type="paragraph" w:customStyle="1" w:styleId="SecVI-Header4">
    <w:name w:val="Sec VI - Header 4"/>
    <w:basedOn w:val="a0"/>
    <w:rsid w:val="006328A8"/>
    <w:pPr>
      <w:suppressAutoHyphens w:val="0"/>
      <w:overflowPunct/>
      <w:autoSpaceDE/>
      <w:autoSpaceDN/>
      <w:adjustRightInd/>
      <w:ind w:left="539" w:hanging="539"/>
      <w:jc w:val="left"/>
      <w:textAlignment w:val="auto"/>
    </w:pPr>
    <w:rPr>
      <w:b/>
      <w:szCs w:val="24"/>
      <w:lang w:val="en-US" w:eastAsia="en-US"/>
    </w:rPr>
  </w:style>
  <w:style w:type="paragraph" w:customStyle="1" w:styleId="S9-appx">
    <w:name w:val="S9 - appx"/>
    <w:basedOn w:val="a0"/>
    <w:rsid w:val="002E7297"/>
    <w:pPr>
      <w:suppressAutoHyphens w:val="0"/>
      <w:overflowPunct/>
      <w:autoSpaceDE/>
      <w:autoSpaceDN/>
      <w:adjustRightInd/>
      <w:spacing w:before="120" w:after="240"/>
      <w:jc w:val="center"/>
      <w:textAlignment w:val="auto"/>
    </w:pPr>
    <w:rPr>
      <w:b/>
      <w:sz w:val="28"/>
      <w:lang w:val="en-US" w:eastAsia="en-US"/>
    </w:rPr>
  </w:style>
  <w:style w:type="paragraph" w:customStyle="1" w:styleId="S9HeaderCC">
    <w:name w:val="S9 Header CC"/>
    <w:basedOn w:val="S9Header"/>
    <w:rsid w:val="002E7297"/>
    <w:pPr>
      <w:overflowPunct/>
      <w:autoSpaceDE/>
      <w:autoSpaceDN/>
      <w:adjustRightInd/>
      <w:spacing w:before="120"/>
      <w:textAlignment w:val="auto"/>
    </w:pPr>
    <w:rPr>
      <w:sz w:val="36"/>
      <w:lang w:val="es-ES_tradnl" w:eastAsia="en-US"/>
    </w:rPr>
  </w:style>
  <w:style w:type="paragraph" w:customStyle="1" w:styleId="S9-note">
    <w:name w:val="S9 - note"/>
    <w:basedOn w:val="a0"/>
    <w:rsid w:val="002E7297"/>
    <w:pPr>
      <w:overflowPunct/>
      <w:autoSpaceDE/>
      <w:autoSpaceDN/>
      <w:adjustRightInd/>
      <w:textAlignment w:val="auto"/>
    </w:pPr>
    <w:rPr>
      <w:rFonts w:eastAsia="Times New Roman"/>
      <w:bCs/>
      <w:i/>
      <w:szCs w:val="24"/>
      <w:lang w:val="es-ES_tradnl" w:eastAsia="ja-JP"/>
    </w:rPr>
  </w:style>
  <w:style w:type="character" w:customStyle="1" w:styleId="Caractresdenotedebasdepage">
    <w:name w:val="Caractères de note de bas de page"/>
    <w:rsid w:val="002607D2"/>
    <w:rPr>
      <w:rFonts w:cs="Times New Roman"/>
      <w:vertAlign w:val="superscript"/>
    </w:rPr>
  </w:style>
  <w:style w:type="character" w:customStyle="1" w:styleId="aff8">
    <w:name w:val="リスト段落 (文字)"/>
    <w:aliases w:val="Citation List (文字),본문(내용) (文字),List Paragraph (numbered (a)) (文字),Citation List1 (文字),본문(내용)1 (文字),List Paragraph (numbered (a))1 (文字)"/>
    <w:link w:val="aff7"/>
    <w:locked/>
    <w:rsid w:val="006F129D"/>
    <w:rPr>
      <w:rFonts w:ascii="Century" w:hAnsi="Century"/>
      <w:sz w:val="21"/>
    </w:rPr>
  </w:style>
  <w:style w:type="paragraph" w:customStyle="1" w:styleId="Section1Header2">
    <w:name w:val="Section 1 Header 2"/>
    <w:basedOn w:val="a0"/>
    <w:rsid w:val="006F129D"/>
    <w:pPr>
      <w:tabs>
        <w:tab w:val="left" w:pos="342"/>
        <w:tab w:val="num" w:pos="720"/>
        <w:tab w:val="num" w:pos="1778"/>
      </w:tabs>
      <w:suppressAutoHyphens w:val="0"/>
      <w:overflowPunct/>
      <w:autoSpaceDE/>
      <w:autoSpaceDN/>
      <w:adjustRightInd/>
      <w:ind w:left="720"/>
      <w:jc w:val="left"/>
      <w:textAlignment w:val="auto"/>
    </w:pPr>
    <w:rPr>
      <w:b/>
      <w:bCs/>
      <w:lang w:val="en-US" w:eastAsia="en-US"/>
    </w:rPr>
  </w:style>
  <w:style w:type="paragraph" w:customStyle="1" w:styleId="ListParagraph1">
    <w:name w:val="List Paragraph1"/>
    <w:basedOn w:val="a0"/>
    <w:rsid w:val="006F129D"/>
    <w:pPr>
      <w:suppressAutoHyphens w:val="0"/>
      <w:overflowPunct/>
      <w:autoSpaceDE/>
      <w:autoSpaceDN/>
      <w:adjustRightInd/>
      <w:ind w:left="720"/>
      <w:contextualSpacing/>
      <w:textAlignment w:val="auto"/>
    </w:pPr>
    <w:rPr>
      <w:lang w:val="en-GB" w:eastAsia="en-US"/>
    </w:rPr>
  </w:style>
  <w:style w:type="paragraph" w:customStyle="1" w:styleId="OptB-S1-subpara">
    <w:name w:val="OptB-S1-sub para"/>
    <w:basedOn w:val="a0"/>
    <w:rsid w:val="007049A5"/>
    <w:pPr>
      <w:tabs>
        <w:tab w:val="num" w:pos="718"/>
      </w:tabs>
      <w:suppressAutoHyphens w:val="0"/>
      <w:overflowPunct/>
      <w:autoSpaceDE/>
      <w:autoSpaceDN/>
      <w:adjustRightInd/>
      <w:spacing w:after="200"/>
      <w:ind w:left="718" w:hanging="576"/>
      <w:textAlignment w:val="auto"/>
    </w:pPr>
    <w:rPr>
      <w:lang w:val="en-US" w:eastAsia="en-US"/>
    </w:rPr>
  </w:style>
  <w:style w:type="paragraph" w:customStyle="1" w:styleId="StyleHeader2-SubClausesBold">
    <w:name w:val="Style Header 2 - SubClauses + Bold"/>
    <w:basedOn w:val="a0"/>
    <w:link w:val="StyleHeader2-SubClausesBoldChar"/>
    <w:autoRedefine/>
    <w:rsid w:val="007049A5"/>
    <w:pPr>
      <w:numPr>
        <w:numId w:val="54"/>
      </w:numPr>
      <w:suppressAutoHyphens w:val="0"/>
      <w:overflowPunct/>
      <w:autoSpaceDE/>
      <w:autoSpaceDN/>
      <w:adjustRightInd/>
      <w:spacing w:before="120" w:after="200"/>
      <w:textAlignment w:val="auto"/>
    </w:pPr>
    <w:rPr>
      <w:b/>
      <w:bCs/>
      <w:lang w:val="es-ES_tradnl" w:eastAsia="en-US"/>
    </w:rPr>
  </w:style>
  <w:style w:type="character" w:customStyle="1" w:styleId="StyleHeader2-SubClausesBoldChar">
    <w:name w:val="Style Header 2 - SubClauses + Bold Char"/>
    <w:link w:val="StyleHeader2-SubClausesBold"/>
    <w:locked/>
    <w:rsid w:val="007049A5"/>
    <w:rPr>
      <w:b/>
      <w:bCs/>
      <w:sz w:val="24"/>
      <w:lang w:val="es-ES_tradnl" w:eastAsia="en-US"/>
    </w:rPr>
  </w:style>
  <w:style w:type="paragraph" w:styleId="affb">
    <w:name w:val="Revision"/>
    <w:hidden/>
    <w:uiPriority w:val="99"/>
    <w:semiHidden/>
    <w:rsid w:val="007049A5"/>
    <w:rPr>
      <w:sz w:val="24"/>
      <w:lang w:val="fr-FR" w:eastAsia="fr-FR"/>
    </w:rPr>
  </w:style>
  <w:style w:type="paragraph" w:customStyle="1" w:styleId="SectionIVHeading2">
    <w:name w:val="Section IV. Heading 2"/>
    <w:basedOn w:val="a0"/>
    <w:link w:val="SectionIVHeading20"/>
    <w:rsid w:val="007049A5"/>
    <w:pPr>
      <w:suppressAutoHyphens w:val="0"/>
      <w:overflowPunct/>
      <w:autoSpaceDE/>
      <w:autoSpaceDN/>
      <w:adjustRightInd/>
      <w:spacing w:before="120" w:after="200"/>
      <w:jc w:val="center"/>
      <w:textAlignment w:val="auto"/>
    </w:pPr>
    <w:rPr>
      <w:b/>
      <w:sz w:val="28"/>
      <w:lang w:val="es-ES_tradnl" w:eastAsia="en-US"/>
    </w:rPr>
  </w:style>
  <w:style w:type="character" w:customStyle="1" w:styleId="SectionIVHeading20">
    <w:name w:val="Section IV. Heading 2 (文字) (文字)"/>
    <w:link w:val="SectionIVHeading2"/>
    <w:rsid w:val="007049A5"/>
    <w:rPr>
      <w:b/>
      <w:sz w:val="28"/>
      <w:lang w:val="es-ES_tradnl" w:eastAsia="en-US"/>
    </w:rPr>
  </w:style>
  <w:style w:type="paragraph" w:customStyle="1" w:styleId="sec7-SubClause">
    <w:name w:val="sec7-SubClause"/>
    <w:basedOn w:val="Header1-Clauses"/>
    <w:rsid w:val="007049A5"/>
    <w:pPr>
      <w:tabs>
        <w:tab w:val="clear" w:pos="432"/>
        <w:tab w:val="left" w:pos="573"/>
      </w:tabs>
      <w:overflowPunct/>
      <w:autoSpaceDE/>
      <w:autoSpaceDN/>
      <w:adjustRightInd/>
      <w:ind w:left="576" w:hanging="576"/>
      <w:textAlignment w:val="auto"/>
    </w:pPr>
    <w:rPr>
      <w:bCs/>
      <w:szCs w:val="24"/>
      <w:lang w:val="en-US" w:eastAsia="en-US"/>
    </w:rPr>
  </w:style>
  <w:style w:type="paragraph" w:customStyle="1" w:styleId="Document1">
    <w:name w:val="Document 1"/>
    <w:rsid w:val="007049A5"/>
    <w:pPr>
      <w:keepNext/>
      <w:keepLines/>
      <w:tabs>
        <w:tab w:val="left" w:pos="-720"/>
      </w:tabs>
      <w:suppressAutoHyphens/>
    </w:pPr>
    <w:rPr>
      <w:rFonts w:ascii="Times" w:hAnsi="Times"/>
      <w:sz w:val="24"/>
      <w:lang w:eastAsia="en-US"/>
    </w:rPr>
  </w:style>
  <w:style w:type="paragraph" w:customStyle="1" w:styleId="SectionIVHeader">
    <w:name w:val="Section IV. Header"/>
    <w:basedOn w:val="a0"/>
    <w:rsid w:val="007049A5"/>
    <w:pPr>
      <w:suppressAutoHyphens w:val="0"/>
      <w:overflowPunct/>
      <w:autoSpaceDE/>
      <w:autoSpaceDN/>
      <w:adjustRightInd/>
      <w:jc w:val="center"/>
      <w:textAlignment w:val="auto"/>
    </w:pPr>
    <w:rPr>
      <w:b/>
      <w:sz w:val="36"/>
      <w:lang w:val="es-ES_tradnl" w:eastAsia="en-US"/>
    </w:rPr>
  </w:style>
  <w:style w:type="paragraph" w:customStyle="1" w:styleId="SectionIVoption">
    <w:name w:val="Section IV option"/>
    <w:basedOn w:val="a0"/>
    <w:rsid w:val="007049A5"/>
    <w:pPr>
      <w:suppressAutoHyphens w:val="0"/>
      <w:overflowPunct/>
      <w:autoSpaceDE/>
      <w:autoSpaceDN/>
      <w:adjustRightInd/>
      <w:textAlignment w:val="auto"/>
    </w:pPr>
    <w:rPr>
      <w:lang w:val="en-GB" w:eastAsia="ja-JP"/>
    </w:rPr>
  </w:style>
  <w:style w:type="paragraph" w:customStyle="1" w:styleId="SectionIVHeader-2">
    <w:name w:val="Section IV Header - 2"/>
    <w:basedOn w:val="a0"/>
    <w:rsid w:val="007049A5"/>
    <w:pPr>
      <w:jc w:val="center"/>
    </w:pPr>
    <w:rPr>
      <w:b/>
      <w:sz w:val="28"/>
    </w:rPr>
  </w:style>
  <w:style w:type="character" w:customStyle="1" w:styleId="SectionVHeaderChar">
    <w:name w:val="Section V. Header Char"/>
    <w:link w:val="SectionVHeader"/>
    <w:rsid w:val="007049A5"/>
    <w:rPr>
      <w:b/>
      <w:sz w:val="36"/>
      <w:lang w:val="es-ES_tradnl" w:eastAsia="fr-FR"/>
    </w:rPr>
  </w:style>
  <w:style w:type="character" w:customStyle="1" w:styleId="311">
    <w:name w:val="見出し 3 (文字)1"/>
    <w:aliases w:val="Section Header3 (文字)1,ClauseSub_No&amp;Name (文字),Heading 3 Char (文字),Section Header3 Char Char Char Char Char (文字),Section Header3 Char Char Char (文字),Section Header3 Char Char (文字)"/>
    <w:locked/>
    <w:rsid w:val="00F332DA"/>
    <w:rPr>
      <w:rFonts w:ascii="Cambria" w:hAnsi="Cambria" w:cs="Times New Roman"/>
      <w:b/>
      <w:bCs/>
      <w:sz w:val="26"/>
      <w:szCs w:val="26"/>
    </w:rPr>
  </w:style>
  <w:style w:type="paragraph" w:customStyle="1" w:styleId="Subtitle21">
    <w:name w:val="Subtitle 21"/>
    <w:basedOn w:val="ac"/>
    <w:autoRedefine/>
    <w:rsid w:val="00F332DA"/>
    <w:pPr>
      <w:tabs>
        <w:tab w:val="right" w:leader="underscore" w:pos="9504"/>
      </w:tabs>
      <w:suppressAutoHyphens w:val="0"/>
      <w:overflowPunct/>
      <w:autoSpaceDE/>
      <w:autoSpaceDN/>
      <w:adjustRightInd/>
      <w:jc w:val="center"/>
      <w:textAlignment w:val="auto"/>
      <w:outlineLvl w:val="1"/>
    </w:pPr>
    <w:rPr>
      <w:b/>
      <w:sz w:val="44"/>
      <w:szCs w:val="44"/>
      <w:lang w:val="en-US" w:eastAsia="ja-JP"/>
    </w:rPr>
  </w:style>
  <w:style w:type="paragraph" w:customStyle="1" w:styleId="SectionVHeader1">
    <w:name w:val="Section V. Header1"/>
    <w:basedOn w:val="a0"/>
    <w:rsid w:val="00F332DA"/>
    <w:pPr>
      <w:suppressAutoHyphens w:val="0"/>
      <w:jc w:val="center"/>
    </w:pPr>
    <w:rPr>
      <w:b/>
      <w:sz w:val="36"/>
      <w:lang w:val="es-ES_tradnl"/>
    </w:rPr>
  </w:style>
  <w:style w:type="character" w:customStyle="1" w:styleId="18">
    <w:name w:val="本文 (文字)1"/>
    <w:locked/>
    <w:rsid w:val="00F332DA"/>
    <w:rPr>
      <w:rFonts w:cs="Times New Roman"/>
      <w:sz w:val="24"/>
    </w:rPr>
  </w:style>
  <w:style w:type="paragraph" w:customStyle="1" w:styleId="ClauseSubPara1">
    <w:name w:val="ClauseSub_Para1"/>
    <w:link w:val="ClauseSubParaChar"/>
    <w:rsid w:val="00F332DA"/>
    <w:pPr>
      <w:spacing w:before="60" w:after="60"/>
      <w:ind w:left="2268"/>
    </w:pPr>
    <w:rPr>
      <w:sz w:val="22"/>
      <w:szCs w:val="22"/>
      <w:lang w:val="en-GB" w:eastAsia="en-US"/>
    </w:rPr>
  </w:style>
  <w:style w:type="character" w:customStyle="1" w:styleId="320">
    <w:name w:val="(文字) (文字)32"/>
    <w:rsid w:val="00F332DA"/>
    <w:rPr>
      <w:lang w:val="fr-FR" w:eastAsia="fr-FR" w:bidi="ar-SA"/>
    </w:rPr>
  </w:style>
  <w:style w:type="paragraph" w:customStyle="1" w:styleId="S1-Header21">
    <w:name w:val="S1-Header21"/>
    <w:basedOn w:val="a0"/>
    <w:autoRedefine/>
    <w:rsid w:val="00F332DA"/>
    <w:pPr>
      <w:tabs>
        <w:tab w:val="num" w:pos="432"/>
      </w:tabs>
      <w:suppressAutoHyphens w:val="0"/>
      <w:overflowPunct/>
      <w:autoSpaceDE/>
      <w:autoSpaceDN/>
      <w:adjustRightInd/>
      <w:spacing w:after="120"/>
      <w:ind w:left="432" w:hanging="432"/>
      <w:jc w:val="left"/>
      <w:textAlignment w:val="auto"/>
    </w:pPr>
    <w:rPr>
      <w:b/>
      <w:lang w:val="en-US" w:eastAsia="en-US"/>
    </w:rPr>
  </w:style>
  <w:style w:type="paragraph" w:customStyle="1" w:styleId="S1-subpara1">
    <w:name w:val="S1-sub para1"/>
    <w:basedOn w:val="a0"/>
    <w:rsid w:val="00F332DA"/>
    <w:pPr>
      <w:tabs>
        <w:tab w:val="num" w:pos="1001"/>
      </w:tabs>
      <w:suppressAutoHyphens w:val="0"/>
      <w:overflowPunct/>
      <w:autoSpaceDE/>
      <w:autoSpaceDN/>
      <w:adjustRightInd/>
      <w:spacing w:after="200"/>
      <w:ind w:left="1001" w:hanging="576"/>
      <w:textAlignment w:val="auto"/>
    </w:pPr>
    <w:rPr>
      <w:lang w:val="en-US" w:eastAsia="en-US"/>
    </w:rPr>
  </w:style>
  <w:style w:type="paragraph" w:customStyle="1" w:styleId="SimpleLista1">
    <w:name w:val="Simple List (a)1"/>
    <w:rsid w:val="00F332DA"/>
    <w:pPr>
      <w:tabs>
        <w:tab w:val="num" w:pos="1080"/>
      </w:tabs>
      <w:spacing w:before="60" w:after="60"/>
      <w:ind w:left="1080" w:hanging="360"/>
    </w:pPr>
    <w:rPr>
      <w:rFonts w:eastAsia="SimSun"/>
      <w:sz w:val="24"/>
      <w:szCs w:val="28"/>
      <w:lang w:val="en-GB" w:eastAsia="zh-CN"/>
    </w:rPr>
  </w:style>
  <w:style w:type="paragraph" w:customStyle="1" w:styleId="Part11">
    <w:name w:val="Part 11"/>
    <w:basedOn w:val="a0"/>
    <w:autoRedefine/>
    <w:rsid w:val="00F332DA"/>
    <w:pPr>
      <w:suppressAutoHyphens w:val="0"/>
      <w:overflowPunct/>
      <w:autoSpaceDE/>
      <w:autoSpaceDN/>
      <w:adjustRightInd/>
      <w:spacing w:before="240" w:after="240"/>
      <w:jc w:val="center"/>
      <w:textAlignment w:val="auto"/>
    </w:pPr>
    <w:rPr>
      <w:b/>
      <w:sz w:val="56"/>
      <w:szCs w:val="56"/>
      <w:lang w:eastAsia="en-US"/>
    </w:rPr>
  </w:style>
  <w:style w:type="character" w:customStyle="1" w:styleId="Part110">
    <w:name w:val="Part 1 (文字) (文字)1"/>
    <w:rsid w:val="00F332DA"/>
    <w:rPr>
      <w:b/>
      <w:sz w:val="56"/>
      <w:szCs w:val="56"/>
      <w:lang w:val="fr-FR" w:eastAsia="en-US"/>
    </w:rPr>
  </w:style>
  <w:style w:type="paragraph" w:customStyle="1" w:styleId="SectionVII1">
    <w:name w:val="Section VII1"/>
    <w:basedOn w:val="a0"/>
    <w:autoRedefine/>
    <w:rsid w:val="00F332DA"/>
    <w:pPr>
      <w:suppressAutoHyphens w:val="0"/>
      <w:overflowPunct/>
      <w:autoSpaceDE/>
      <w:autoSpaceDN/>
      <w:adjustRightInd/>
      <w:spacing w:after="200"/>
      <w:ind w:left="1026" w:hanging="425"/>
      <w:textAlignment w:val="auto"/>
    </w:pPr>
    <w:rPr>
      <w:rFonts w:eastAsia="Arial Unicode MS"/>
      <w:bCs/>
      <w:szCs w:val="24"/>
      <w:lang w:val="en-GB" w:eastAsia="en-US"/>
    </w:rPr>
  </w:style>
  <w:style w:type="character" w:customStyle="1" w:styleId="160">
    <w:name w:val="(文字) (文字)16"/>
    <w:rsid w:val="00F332DA"/>
    <w:rPr>
      <w:b/>
      <w:sz w:val="44"/>
      <w:lang w:val="es-ES_tradnl"/>
    </w:rPr>
  </w:style>
  <w:style w:type="character" w:customStyle="1" w:styleId="420">
    <w:name w:val="(文字) (文字)42"/>
    <w:rsid w:val="00F332DA"/>
    <w:rPr>
      <w:lang w:val="es-ES_tradnl" w:eastAsia="fr-FR" w:bidi="ar-SA"/>
    </w:rPr>
  </w:style>
  <w:style w:type="paragraph" w:customStyle="1" w:styleId="SectionIVHeading21">
    <w:name w:val="Section IV. Heading 21"/>
    <w:basedOn w:val="a0"/>
    <w:rsid w:val="00F332DA"/>
    <w:pPr>
      <w:suppressAutoHyphens w:val="0"/>
      <w:overflowPunct/>
      <w:autoSpaceDE/>
      <w:autoSpaceDN/>
      <w:adjustRightInd/>
      <w:spacing w:before="120" w:after="200"/>
      <w:jc w:val="center"/>
      <w:textAlignment w:val="auto"/>
    </w:pPr>
    <w:rPr>
      <w:b/>
      <w:sz w:val="28"/>
      <w:lang w:val="es-ES_tradnl" w:eastAsia="en-US"/>
    </w:rPr>
  </w:style>
  <w:style w:type="character" w:customStyle="1" w:styleId="SectionIVHeading210">
    <w:name w:val="Section IV. Heading 2 (文字) (文字)1"/>
    <w:rsid w:val="00F332DA"/>
    <w:rPr>
      <w:b/>
      <w:sz w:val="28"/>
      <w:lang w:val="es-ES_tradnl" w:eastAsia="en-US"/>
    </w:rPr>
  </w:style>
  <w:style w:type="paragraph" w:customStyle="1" w:styleId="sec7-SubClause1">
    <w:name w:val="sec7-SubClause1"/>
    <w:basedOn w:val="Header1-Clauses"/>
    <w:rsid w:val="00F332DA"/>
    <w:pPr>
      <w:tabs>
        <w:tab w:val="clear" w:pos="432"/>
        <w:tab w:val="left" w:pos="573"/>
      </w:tabs>
      <w:overflowPunct/>
      <w:autoSpaceDE/>
      <w:autoSpaceDN/>
      <w:adjustRightInd/>
      <w:ind w:left="576" w:hanging="576"/>
      <w:textAlignment w:val="auto"/>
    </w:pPr>
    <w:rPr>
      <w:bCs/>
      <w:szCs w:val="24"/>
      <w:lang w:val="en-US" w:eastAsia="en-US"/>
    </w:rPr>
  </w:style>
  <w:style w:type="paragraph" w:customStyle="1" w:styleId="Document11">
    <w:name w:val="Document 11"/>
    <w:rsid w:val="00F332DA"/>
    <w:pPr>
      <w:keepNext/>
      <w:keepLines/>
      <w:tabs>
        <w:tab w:val="left" w:pos="-720"/>
      </w:tabs>
      <w:suppressAutoHyphens/>
    </w:pPr>
    <w:rPr>
      <w:rFonts w:ascii="Times" w:hAnsi="Times"/>
      <w:sz w:val="24"/>
      <w:lang w:eastAsia="en-US"/>
    </w:rPr>
  </w:style>
  <w:style w:type="paragraph" w:customStyle="1" w:styleId="SectionIVHeader1">
    <w:name w:val="Section IV. Header1"/>
    <w:basedOn w:val="a0"/>
    <w:rsid w:val="00F332DA"/>
    <w:pPr>
      <w:suppressAutoHyphens w:val="0"/>
      <w:overflowPunct/>
      <w:autoSpaceDE/>
      <w:autoSpaceDN/>
      <w:adjustRightInd/>
      <w:jc w:val="center"/>
      <w:textAlignment w:val="auto"/>
    </w:pPr>
    <w:rPr>
      <w:b/>
      <w:sz w:val="36"/>
      <w:lang w:val="es-ES_tradnl" w:eastAsia="en-US"/>
    </w:rPr>
  </w:style>
  <w:style w:type="paragraph" w:customStyle="1" w:styleId="SectionIVoption1">
    <w:name w:val="Section IV option1"/>
    <w:basedOn w:val="a0"/>
    <w:rsid w:val="00F332DA"/>
    <w:pPr>
      <w:suppressAutoHyphens w:val="0"/>
      <w:overflowPunct/>
      <w:autoSpaceDE/>
      <w:autoSpaceDN/>
      <w:adjustRightInd/>
      <w:textAlignment w:val="auto"/>
    </w:pPr>
    <w:rPr>
      <w:lang w:val="en-GB" w:eastAsia="ja-JP"/>
    </w:rPr>
  </w:style>
  <w:style w:type="paragraph" w:customStyle="1" w:styleId="SectionIVHeader-21">
    <w:name w:val="Section IV Header - 21"/>
    <w:basedOn w:val="a0"/>
    <w:rsid w:val="00F332DA"/>
    <w:pPr>
      <w:jc w:val="center"/>
    </w:pPr>
    <w:rPr>
      <w:b/>
      <w:sz w:val="28"/>
    </w:rPr>
  </w:style>
  <w:style w:type="paragraph" w:customStyle="1" w:styleId="ClauseSubList">
    <w:name w:val="ClauseSub_List"/>
    <w:rsid w:val="00F332DA"/>
    <w:pPr>
      <w:tabs>
        <w:tab w:val="num" w:pos="3987"/>
      </w:tabs>
      <w:suppressAutoHyphens/>
      <w:ind w:left="3987" w:hanging="567"/>
    </w:pPr>
    <w:rPr>
      <w:sz w:val="22"/>
      <w:szCs w:val="22"/>
      <w:lang w:val="en-GB" w:eastAsia="en-US"/>
    </w:rPr>
  </w:style>
  <w:style w:type="character" w:customStyle="1" w:styleId="ClauseSubParaChar">
    <w:name w:val="ClauseSub_Para Char"/>
    <w:link w:val="ClauseSubPara1"/>
    <w:rsid w:val="00F332DA"/>
    <w:rPr>
      <w:sz w:val="22"/>
      <w:szCs w:val="22"/>
      <w:lang w:val="en-GB" w:eastAsia="en-US"/>
    </w:rPr>
  </w:style>
  <w:style w:type="table" w:customStyle="1" w:styleId="19">
    <w:name w:val="表 (格子)1"/>
    <w:basedOn w:val="a2"/>
    <w:next w:val="afb"/>
    <w:rsid w:val="00F332D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スタイル1"/>
    <w:rsid w:val="00F332DA"/>
    <w:pPr>
      <w:numPr>
        <w:numId w:val="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31.xml"/><Relationship Id="rId47" Type="http://schemas.openxmlformats.org/officeDocument/2006/relationships/header" Target="header36.xml"/><Relationship Id="rId63" Type="http://schemas.openxmlformats.org/officeDocument/2006/relationships/header" Target="header52.xml"/><Relationship Id="rId68" Type="http://schemas.openxmlformats.org/officeDocument/2006/relationships/header" Target="header57.xml"/><Relationship Id="rId84" Type="http://schemas.openxmlformats.org/officeDocument/2006/relationships/header" Target="header73.xml"/><Relationship Id="rId89" Type="http://schemas.openxmlformats.org/officeDocument/2006/relationships/header" Target="header78.xml"/><Relationship Id="rId7" Type="http://schemas.openxmlformats.org/officeDocument/2006/relationships/endnotes" Target="endnotes.xml"/><Relationship Id="rId71" Type="http://schemas.openxmlformats.org/officeDocument/2006/relationships/header" Target="header60.xml"/><Relationship Id="rId92" Type="http://schemas.openxmlformats.org/officeDocument/2006/relationships/header" Target="header8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07" Type="http://schemas.openxmlformats.org/officeDocument/2006/relationships/fontTable" Target="fontTable.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66" Type="http://schemas.openxmlformats.org/officeDocument/2006/relationships/header" Target="header55.xml"/><Relationship Id="rId74" Type="http://schemas.openxmlformats.org/officeDocument/2006/relationships/header" Target="header63.xml"/><Relationship Id="rId79" Type="http://schemas.openxmlformats.org/officeDocument/2006/relationships/header" Target="header68.xml"/><Relationship Id="rId87" Type="http://schemas.openxmlformats.org/officeDocument/2006/relationships/header" Target="header76.xml"/><Relationship Id="rId102" Type="http://schemas.openxmlformats.org/officeDocument/2006/relationships/header" Target="header90.xml"/><Relationship Id="rId5" Type="http://schemas.openxmlformats.org/officeDocument/2006/relationships/webSettings" Target="webSettings.xml"/><Relationship Id="rId61" Type="http://schemas.openxmlformats.org/officeDocument/2006/relationships/header" Target="header50.xml"/><Relationship Id="rId82" Type="http://schemas.openxmlformats.org/officeDocument/2006/relationships/header" Target="header71.xml"/><Relationship Id="rId90" Type="http://schemas.openxmlformats.org/officeDocument/2006/relationships/header" Target="header79.xml"/><Relationship Id="rId95" Type="http://schemas.openxmlformats.org/officeDocument/2006/relationships/header" Target="header83.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header" Target="header53.xml"/><Relationship Id="rId69" Type="http://schemas.openxmlformats.org/officeDocument/2006/relationships/header" Target="header58.xml"/><Relationship Id="rId77" Type="http://schemas.openxmlformats.org/officeDocument/2006/relationships/header" Target="header66.xml"/><Relationship Id="rId100" Type="http://schemas.openxmlformats.org/officeDocument/2006/relationships/header" Target="header88.xml"/><Relationship Id="rId105" Type="http://schemas.openxmlformats.org/officeDocument/2006/relationships/header" Target="header91.xml"/><Relationship Id="rId8" Type="http://schemas.openxmlformats.org/officeDocument/2006/relationships/image" Target="media/image1.jpeg"/><Relationship Id="rId51" Type="http://schemas.openxmlformats.org/officeDocument/2006/relationships/header" Target="header40.xml"/><Relationship Id="rId72" Type="http://schemas.openxmlformats.org/officeDocument/2006/relationships/header" Target="header61.xml"/><Relationship Id="rId80" Type="http://schemas.openxmlformats.org/officeDocument/2006/relationships/header" Target="header69.xml"/><Relationship Id="rId85" Type="http://schemas.openxmlformats.org/officeDocument/2006/relationships/header" Target="header74.xml"/><Relationship Id="rId93" Type="http://schemas.openxmlformats.org/officeDocument/2006/relationships/hyperlink" Target="https://www.jica.go.jp/english/our_work/types_of_assistance/" TargetMode="External"/><Relationship Id="rId98" Type="http://schemas.openxmlformats.org/officeDocument/2006/relationships/header" Target="header8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 Id="rId67" Type="http://schemas.openxmlformats.org/officeDocument/2006/relationships/header" Target="header56.xml"/><Relationship Id="rId103" Type="http://schemas.openxmlformats.org/officeDocument/2006/relationships/footer" Target="footer4.xml"/><Relationship Id="rId108"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51.xml"/><Relationship Id="rId70" Type="http://schemas.openxmlformats.org/officeDocument/2006/relationships/header" Target="header59.xml"/><Relationship Id="rId75" Type="http://schemas.openxmlformats.org/officeDocument/2006/relationships/header" Target="header64.xml"/><Relationship Id="rId83" Type="http://schemas.openxmlformats.org/officeDocument/2006/relationships/header" Target="header72.xml"/><Relationship Id="rId88" Type="http://schemas.openxmlformats.org/officeDocument/2006/relationships/header" Target="header77.xml"/><Relationship Id="rId91" Type="http://schemas.openxmlformats.org/officeDocument/2006/relationships/header" Target="header80.xml"/><Relationship Id="rId96" Type="http://schemas.openxmlformats.org/officeDocument/2006/relationships/header" Target="header8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106" Type="http://schemas.openxmlformats.org/officeDocument/2006/relationships/header" Target="header92.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header" Target="header54.xml"/><Relationship Id="rId73" Type="http://schemas.openxmlformats.org/officeDocument/2006/relationships/header" Target="header62.xml"/><Relationship Id="rId78" Type="http://schemas.openxmlformats.org/officeDocument/2006/relationships/header" Target="header67.xml"/><Relationship Id="rId81" Type="http://schemas.openxmlformats.org/officeDocument/2006/relationships/header" Target="header70.xml"/><Relationship Id="rId86" Type="http://schemas.openxmlformats.org/officeDocument/2006/relationships/header" Target="header75.xml"/><Relationship Id="rId94" Type="http://schemas.openxmlformats.org/officeDocument/2006/relationships/header" Target="header82.xml"/><Relationship Id="rId99" Type="http://schemas.openxmlformats.org/officeDocument/2006/relationships/header" Target="header87.xml"/><Relationship Id="rId101" Type="http://schemas.openxmlformats.org/officeDocument/2006/relationships/header" Target="header8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8.xml"/><Relationship Id="rId34" Type="http://schemas.openxmlformats.org/officeDocument/2006/relationships/header" Target="header23.xml"/><Relationship Id="rId50" Type="http://schemas.openxmlformats.org/officeDocument/2006/relationships/header" Target="header39.xml"/><Relationship Id="rId55" Type="http://schemas.openxmlformats.org/officeDocument/2006/relationships/header" Target="header44.xml"/><Relationship Id="rId76" Type="http://schemas.openxmlformats.org/officeDocument/2006/relationships/header" Target="header65.xml"/><Relationship Id="rId97" Type="http://schemas.openxmlformats.org/officeDocument/2006/relationships/header" Target="header85.xml"/><Relationship Id="rId104"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6E78-216B-431D-B685-FE918F4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36</Pages>
  <Words>122284</Words>
  <Characters>697025</Characters>
  <Application>Microsoft Office Word</Application>
  <DocSecurity>0</DocSecurity>
  <Lines>5808</Lines>
  <Paragraphs>1635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_Document de Travail</vt:lpstr>
      <vt:lpstr>_Document de Travail</vt:lpstr>
    </vt:vector>
  </TitlesOfParts>
  <Company>The World Bank Group</Company>
  <LinksUpToDate>false</LinksUpToDate>
  <CharactersWithSpaces>817674</CharactersWithSpaces>
  <SharedDoc>false</SharedDoc>
  <HLinks>
    <vt:vector size="1758" baseType="variant">
      <vt:variant>
        <vt:i4>1376310</vt:i4>
      </vt:variant>
      <vt:variant>
        <vt:i4>1688</vt:i4>
      </vt:variant>
      <vt:variant>
        <vt:i4>0</vt:i4>
      </vt:variant>
      <vt:variant>
        <vt:i4>5</vt:i4>
      </vt:variant>
      <vt:variant>
        <vt:lpwstr/>
      </vt:variant>
      <vt:variant>
        <vt:lpwstr>_Toc356552601</vt:lpwstr>
      </vt:variant>
      <vt:variant>
        <vt:i4>1376310</vt:i4>
      </vt:variant>
      <vt:variant>
        <vt:i4>1682</vt:i4>
      </vt:variant>
      <vt:variant>
        <vt:i4>0</vt:i4>
      </vt:variant>
      <vt:variant>
        <vt:i4>5</vt:i4>
      </vt:variant>
      <vt:variant>
        <vt:lpwstr/>
      </vt:variant>
      <vt:variant>
        <vt:lpwstr>_Toc356552600</vt:lpwstr>
      </vt:variant>
      <vt:variant>
        <vt:i4>1835061</vt:i4>
      </vt:variant>
      <vt:variant>
        <vt:i4>1676</vt:i4>
      </vt:variant>
      <vt:variant>
        <vt:i4>0</vt:i4>
      </vt:variant>
      <vt:variant>
        <vt:i4>5</vt:i4>
      </vt:variant>
      <vt:variant>
        <vt:lpwstr/>
      </vt:variant>
      <vt:variant>
        <vt:lpwstr>_Toc356552599</vt:lpwstr>
      </vt:variant>
      <vt:variant>
        <vt:i4>1835061</vt:i4>
      </vt:variant>
      <vt:variant>
        <vt:i4>1670</vt:i4>
      </vt:variant>
      <vt:variant>
        <vt:i4>0</vt:i4>
      </vt:variant>
      <vt:variant>
        <vt:i4>5</vt:i4>
      </vt:variant>
      <vt:variant>
        <vt:lpwstr/>
      </vt:variant>
      <vt:variant>
        <vt:lpwstr>_Toc356552598</vt:lpwstr>
      </vt:variant>
      <vt:variant>
        <vt:i4>1835061</vt:i4>
      </vt:variant>
      <vt:variant>
        <vt:i4>1664</vt:i4>
      </vt:variant>
      <vt:variant>
        <vt:i4>0</vt:i4>
      </vt:variant>
      <vt:variant>
        <vt:i4>5</vt:i4>
      </vt:variant>
      <vt:variant>
        <vt:lpwstr/>
      </vt:variant>
      <vt:variant>
        <vt:lpwstr>_Toc356552597</vt:lpwstr>
      </vt:variant>
      <vt:variant>
        <vt:i4>1835061</vt:i4>
      </vt:variant>
      <vt:variant>
        <vt:i4>1658</vt:i4>
      </vt:variant>
      <vt:variant>
        <vt:i4>0</vt:i4>
      </vt:variant>
      <vt:variant>
        <vt:i4>5</vt:i4>
      </vt:variant>
      <vt:variant>
        <vt:lpwstr/>
      </vt:variant>
      <vt:variant>
        <vt:lpwstr>_Toc356552596</vt:lpwstr>
      </vt:variant>
      <vt:variant>
        <vt:i4>1835061</vt:i4>
      </vt:variant>
      <vt:variant>
        <vt:i4>1652</vt:i4>
      </vt:variant>
      <vt:variant>
        <vt:i4>0</vt:i4>
      </vt:variant>
      <vt:variant>
        <vt:i4>5</vt:i4>
      </vt:variant>
      <vt:variant>
        <vt:lpwstr/>
      </vt:variant>
      <vt:variant>
        <vt:lpwstr>_Toc356552595</vt:lpwstr>
      </vt:variant>
      <vt:variant>
        <vt:i4>1835061</vt:i4>
      </vt:variant>
      <vt:variant>
        <vt:i4>1646</vt:i4>
      </vt:variant>
      <vt:variant>
        <vt:i4>0</vt:i4>
      </vt:variant>
      <vt:variant>
        <vt:i4>5</vt:i4>
      </vt:variant>
      <vt:variant>
        <vt:lpwstr/>
      </vt:variant>
      <vt:variant>
        <vt:lpwstr>_Toc356552594</vt:lpwstr>
      </vt:variant>
      <vt:variant>
        <vt:i4>1835061</vt:i4>
      </vt:variant>
      <vt:variant>
        <vt:i4>1640</vt:i4>
      </vt:variant>
      <vt:variant>
        <vt:i4>0</vt:i4>
      </vt:variant>
      <vt:variant>
        <vt:i4>5</vt:i4>
      </vt:variant>
      <vt:variant>
        <vt:lpwstr/>
      </vt:variant>
      <vt:variant>
        <vt:lpwstr>_Toc356552593</vt:lpwstr>
      </vt:variant>
      <vt:variant>
        <vt:i4>1835061</vt:i4>
      </vt:variant>
      <vt:variant>
        <vt:i4>1634</vt:i4>
      </vt:variant>
      <vt:variant>
        <vt:i4>0</vt:i4>
      </vt:variant>
      <vt:variant>
        <vt:i4>5</vt:i4>
      </vt:variant>
      <vt:variant>
        <vt:lpwstr/>
      </vt:variant>
      <vt:variant>
        <vt:lpwstr>_Toc356552592</vt:lpwstr>
      </vt:variant>
      <vt:variant>
        <vt:i4>1835061</vt:i4>
      </vt:variant>
      <vt:variant>
        <vt:i4>1628</vt:i4>
      </vt:variant>
      <vt:variant>
        <vt:i4>0</vt:i4>
      </vt:variant>
      <vt:variant>
        <vt:i4>5</vt:i4>
      </vt:variant>
      <vt:variant>
        <vt:lpwstr/>
      </vt:variant>
      <vt:variant>
        <vt:lpwstr>_Toc356552591</vt:lpwstr>
      </vt:variant>
      <vt:variant>
        <vt:i4>1835061</vt:i4>
      </vt:variant>
      <vt:variant>
        <vt:i4>1622</vt:i4>
      </vt:variant>
      <vt:variant>
        <vt:i4>0</vt:i4>
      </vt:variant>
      <vt:variant>
        <vt:i4>5</vt:i4>
      </vt:variant>
      <vt:variant>
        <vt:lpwstr/>
      </vt:variant>
      <vt:variant>
        <vt:lpwstr>_Toc356552590</vt:lpwstr>
      </vt:variant>
      <vt:variant>
        <vt:i4>1900597</vt:i4>
      </vt:variant>
      <vt:variant>
        <vt:i4>1616</vt:i4>
      </vt:variant>
      <vt:variant>
        <vt:i4>0</vt:i4>
      </vt:variant>
      <vt:variant>
        <vt:i4>5</vt:i4>
      </vt:variant>
      <vt:variant>
        <vt:lpwstr/>
      </vt:variant>
      <vt:variant>
        <vt:lpwstr>_Toc356552589</vt:lpwstr>
      </vt:variant>
      <vt:variant>
        <vt:i4>1900597</vt:i4>
      </vt:variant>
      <vt:variant>
        <vt:i4>1610</vt:i4>
      </vt:variant>
      <vt:variant>
        <vt:i4>0</vt:i4>
      </vt:variant>
      <vt:variant>
        <vt:i4>5</vt:i4>
      </vt:variant>
      <vt:variant>
        <vt:lpwstr/>
      </vt:variant>
      <vt:variant>
        <vt:lpwstr>_Toc356552588</vt:lpwstr>
      </vt:variant>
      <vt:variant>
        <vt:i4>1638454</vt:i4>
      </vt:variant>
      <vt:variant>
        <vt:i4>1601</vt:i4>
      </vt:variant>
      <vt:variant>
        <vt:i4>0</vt:i4>
      </vt:variant>
      <vt:variant>
        <vt:i4>5</vt:i4>
      </vt:variant>
      <vt:variant>
        <vt:lpwstr/>
      </vt:variant>
      <vt:variant>
        <vt:lpwstr>_Toc355961639</vt:lpwstr>
      </vt:variant>
      <vt:variant>
        <vt:i4>1638454</vt:i4>
      </vt:variant>
      <vt:variant>
        <vt:i4>1595</vt:i4>
      </vt:variant>
      <vt:variant>
        <vt:i4>0</vt:i4>
      </vt:variant>
      <vt:variant>
        <vt:i4>5</vt:i4>
      </vt:variant>
      <vt:variant>
        <vt:lpwstr/>
      </vt:variant>
      <vt:variant>
        <vt:lpwstr>_Toc355961638</vt:lpwstr>
      </vt:variant>
      <vt:variant>
        <vt:i4>1638454</vt:i4>
      </vt:variant>
      <vt:variant>
        <vt:i4>1589</vt:i4>
      </vt:variant>
      <vt:variant>
        <vt:i4>0</vt:i4>
      </vt:variant>
      <vt:variant>
        <vt:i4>5</vt:i4>
      </vt:variant>
      <vt:variant>
        <vt:lpwstr/>
      </vt:variant>
      <vt:variant>
        <vt:lpwstr>_Toc355961637</vt:lpwstr>
      </vt:variant>
      <vt:variant>
        <vt:i4>1638454</vt:i4>
      </vt:variant>
      <vt:variant>
        <vt:i4>1583</vt:i4>
      </vt:variant>
      <vt:variant>
        <vt:i4>0</vt:i4>
      </vt:variant>
      <vt:variant>
        <vt:i4>5</vt:i4>
      </vt:variant>
      <vt:variant>
        <vt:lpwstr/>
      </vt:variant>
      <vt:variant>
        <vt:lpwstr>_Toc355961636</vt:lpwstr>
      </vt:variant>
      <vt:variant>
        <vt:i4>1638454</vt:i4>
      </vt:variant>
      <vt:variant>
        <vt:i4>1577</vt:i4>
      </vt:variant>
      <vt:variant>
        <vt:i4>0</vt:i4>
      </vt:variant>
      <vt:variant>
        <vt:i4>5</vt:i4>
      </vt:variant>
      <vt:variant>
        <vt:lpwstr/>
      </vt:variant>
      <vt:variant>
        <vt:lpwstr>_Toc355961635</vt:lpwstr>
      </vt:variant>
      <vt:variant>
        <vt:i4>1638454</vt:i4>
      </vt:variant>
      <vt:variant>
        <vt:i4>1571</vt:i4>
      </vt:variant>
      <vt:variant>
        <vt:i4>0</vt:i4>
      </vt:variant>
      <vt:variant>
        <vt:i4>5</vt:i4>
      </vt:variant>
      <vt:variant>
        <vt:lpwstr/>
      </vt:variant>
      <vt:variant>
        <vt:lpwstr>_Toc355961634</vt:lpwstr>
      </vt:variant>
      <vt:variant>
        <vt:i4>1638454</vt:i4>
      </vt:variant>
      <vt:variant>
        <vt:i4>1565</vt:i4>
      </vt:variant>
      <vt:variant>
        <vt:i4>0</vt:i4>
      </vt:variant>
      <vt:variant>
        <vt:i4>5</vt:i4>
      </vt:variant>
      <vt:variant>
        <vt:lpwstr/>
      </vt:variant>
      <vt:variant>
        <vt:lpwstr>_Toc355961633</vt:lpwstr>
      </vt:variant>
      <vt:variant>
        <vt:i4>1638454</vt:i4>
      </vt:variant>
      <vt:variant>
        <vt:i4>1559</vt:i4>
      </vt:variant>
      <vt:variant>
        <vt:i4>0</vt:i4>
      </vt:variant>
      <vt:variant>
        <vt:i4>5</vt:i4>
      </vt:variant>
      <vt:variant>
        <vt:lpwstr/>
      </vt:variant>
      <vt:variant>
        <vt:lpwstr>_Toc355961632</vt:lpwstr>
      </vt:variant>
      <vt:variant>
        <vt:i4>1638454</vt:i4>
      </vt:variant>
      <vt:variant>
        <vt:i4>1553</vt:i4>
      </vt:variant>
      <vt:variant>
        <vt:i4>0</vt:i4>
      </vt:variant>
      <vt:variant>
        <vt:i4>5</vt:i4>
      </vt:variant>
      <vt:variant>
        <vt:lpwstr/>
      </vt:variant>
      <vt:variant>
        <vt:lpwstr>_Toc355961631</vt:lpwstr>
      </vt:variant>
      <vt:variant>
        <vt:i4>1638454</vt:i4>
      </vt:variant>
      <vt:variant>
        <vt:i4>1547</vt:i4>
      </vt:variant>
      <vt:variant>
        <vt:i4>0</vt:i4>
      </vt:variant>
      <vt:variant>
        <vt:i4>5</vt:i4>
      </vt:variant>
      <vt:variant>
        <vt:lpwstr/>
      </vt:variant>
      <vt:variant>
        <vt:lpwstr>_Toc355961630</vt:lpwstr>
      </vt:variant>
      <vt:variant>
        <vt:i4>1572918</vt:i4>
      </vt:variant>
      <vt:variant>
        <vt:i4>1541</vt:i4>
      </vt:variant>
      <vt:variant>
        <vt:i4>0</vt:i4>
      </vt:variant>
      <vt:variant>
        <vt:i4>5</vt:i4>
      </vt:variant>
      <vt:variant>
        <vt:lpwstr/>
      </vt:variant>
      <vt:variant>
        <vt:lpwstr>_Toc355961629</vt:lpwstr>
      </vt:variant>
      <vt:variant>
        <vt:i4>1114167</vt:i4>
      </vt:variant>
      <vt:variant>
        <vt:i4>1532</vt:i4>
      </vt:variant>
      <vt:variant>
        <vt:i4>0</vt:i4>
      </vt:variant>
      <vt:variant>
        <vt:i4>5</vt:i4>
      </vt:variant>
      <vt:variant>
        <vt:lpwstr/>
      </vt:variant>
      <vt:variant>
        <vt:lpwstr>_Toc355943593</vt:lpwstr>
      </vt:variant>
      <vt:variant>
        <vt:i4>1114167</vt:i4>
      </vt:variant>
      <vt:variant>
        <vt:i4>1526</vt:i4>
      </vt:variant>
      <vt:variant>
        <vt:i4>0</vt:i4>
      </vt:variant>
      <vt:variant>
        <vt:i4>5</vt:i4>
      </vt:variant>
      <vt:variant>
        <vt:lpwstr/>
      </vt:variant>
      <vt:variant>
        <vt:lpwstr>_Toc355943592</vt:lpwstr>
      </vt:variant>
      <vt:variant>
        <vt:i4>1114167</vt:i4>
      </vt:variant>
      <vt:variant>
        <vt:i4>1520</vt:i4>
      </vt:variant>
      <vt:variant>
        <vt:i4>0</vt:i4>
      </vt:variant>
      <vt:variant>
        <vt:i4>5</vt:i4>
      </vt:variant>
      <vt:variant>
        <vt:lpwstr/>
      </vt:variant>
      <vt:variant>
        <vt:lpwstr>_Toc355943591</vt:lpwstr>
      </vt:variant>
      <vt:variant>
        <vt:i4>1114167</vt:i4>
      </vt:variant>
      <vt:variant>
        <vt:i4>1514</vt:i4>
      </vt:variant>
      <vt:variant>
        <vt:i4>0</vt:i4>
      </vt:variant>
      <vt:variant>
        <vt:i4>5</vt:i4>
      </vt:variant>
      <vt:variant>
        <vt:lpwstr/>
      </vt:variant>
      <vt:variant>
        <vt:lpwstr>_Toc355943590</vt:lpwstr>
      </vt:variant>
      <vt:variant>
        <vt:i4>1048631</vt:i4>
      </vt:variant>
      <vt:variant>
        <vt:i4>1508</vt:i4>
      </vt:variant>
      <vt:variant>
        <vt:i4>0</vt:i4>
      </vt:variant>
      <vt:variant>
        <vt:i4>5</vt:i4>
      </vt:variant>
      <vt:variant>
        <vt:lpwstr/>
      </vt:variant>
      <vt:variant>
        <vt:lpwstr>_Toc355943589</vt:lpwstr>
      </vt:variant>
      <vt:variant>
        <vt:i4>1048631</vt:i4>
      </vt:variant>
      <vt:variant>
        <vt:i4>1502</vt:i4>
      </vt:variant>
      <vt:variant>
        <vt:i4>0</vt:i4>
      </vt:variant>
      <vt:variant>
        <vt:i4>5</vt:i4>
      </vt:variant>
      <vt:variant>
        <vt:lpwstr/>
      </vt:variant>
      <vt:variant>
        <vt:lpwstr>_Toc355943588</vt:lpwstr>
      </vt:variant>
      <vt:variant>
        <vt:i4>1048631</vt:i4>
      </vt:variant>
      <vt:variant>
        <vt:i4>1496</vt:i4>
      </vt:variant>
      <vt:variant>
        <vt:i4>0</vt:i4>
      </vt:variant>
      <vt:variant>
        <vt:i4>5</vt:i4>
      </vt:variant>
      <vt:variant>
        <vt:lpwstr/>
      </vt:variant>
      <vt:variant>
        <vt:lpwstr>_Toc355943587</vt:lpwstr>
      </vt:variant>
      <vt:variant>
        <vt:i4>1048631</vt:i4>
      </vt:variant>
      <vt:variant>
        <vt:i4>1490</vt:i4>
      </vt:variant>
      <vt:variant>
        <vt:i4>0</vt:i4>
      </vt:variant>
      <vt:variant>
        <vt:i4>5</vt:i4>
      </vt:variant>
      <vt:variant>
        <vt:lpwstr/>
      </vt:variant>
      <vt:variant>
        <vt:lpwstr>_Toc355943586</vt:lpwstr>
      </vt:variant>
      <vt:variant>
        <vt:i4>1048631</vt:i4>
      </vt:variant>
      <vt:variant>
        <vt:i4>1484</vt:i4>
      </vt:variant>
      <vt:variant>
        <vt:i4>0</vt:i4>
      </vt:variant>
      <vt:variant>
        <vt:i4>5</vt:i4>
      </vt:variant>
      <vt:variant>
        <vt:lpwstr/>
      </vt:variant>
      <vt:variant>
        <vt:lpwstr>_Toc355943585</vt:lpwstr>
      </vt:variant>
      <vt:variant>
        <vt:i4>1048631</vt:i4>
      </vt:variant>
      <vt:variant>
        <vt:i4>1478</vt:i4>
      </vt:variant>
      <vt:variant>
        <vt:i4>0</vt:i4>
      </vt:variant>
      <vt:variant>
        <vt:i4>5</vt:i4>
      </vt:variant>
      <vt:variant>
        <vt:lpwstr/>
      </vt:variant>
      <vt:variant>
        <vt:lpwstr>_Toc355943584</vt:lpwstr>
      </vt:variant>
      <vt:variant>
        <vt:i4>1048631</vt:i4>
      </vt:variant>
      <vt:variant>
        <vt:i4>1472</vt:i4>
      </vt:variant>
      <vt:variant>
        <vt:i4>0</vt:i4>
      </vt:variant>
      <vt:variant>
        <vt:i4>5</vt:i4>
      </vt:variant>
      <vt:variant>
        <vt:lpwstr/>
      </vt:variant>
      <vt:variant>
        <vt:lpwstr>_Toc355943583</vt:lpwstr>
      </vt:variant>
      <vt:variant>
        <vt:i4>1048631</vt:i4>
      </vt:variant>
      <vt:variant>
        <vt:i4>1466</vt:i4>
      </vt:variant>
      <vt:variant>
        <vt:i4>0</vt:i4>
      </vt:variant>
      <vt:variant>
        <vt:i4>5</vt:i4>
      </vt:variant>
      <vt:variant>
        <vt:lpwstr/>
      </vt:variant>
      <vt:variant>
        <vt:lpwstr>_Toc355943582</vt:lpwstr>
      </vt:variant>
      <vt:variant>
        <vt:i4>1048631</vt:i4>
      </vt:variant>
      <vt:variant>
        <vt:i4>1460</vt:i4>
      </vt:variant>
      <vt:variant>
        <vt:i4>0</vt:i4>
      </vt:variant>
      <vt:variant>
        <vt:i4>5</vt:i4>
      </vt:variant>
      <vt:variant>
        <vt:lpwstr/>
      </vt:variant>
      <vt:variant>
        <vt:lpwstr>_Toc355943581</vt:lpwstr>
      </vt:variant>
      <vt:variant>
        <vt:i4>1048631</vt:i4>
      </vt:variant>
      <vt:variant>
        <vt:i4>1454</vt:i4>
      </vt:variant>
      <vt:variant>
        <vt:i4>0</vt:i4>
      </vt:variant>
      <vt:variant>
        <vt:i4>5</vt:i4>
      </vt:variant>
      <vt:variant>
        <vt:lpwstr/>
      </vt:variant>
      <vt:variant>
        <vt:lpwstr>_Toc355943580</vt:lpwstr>
      </vt:variant>
      <vt:variant>
        <vt:i4>2031671</vt:i4>
      </vt:variant>
      <vt:variant>
        <vt:i4>1448</vt:i4>
      </vt:variant>
      <vt:variant>
        <vt:i4>0</vt:i4>
      </vt:variant>
      <vt:variant>
        <vt:i4>5</vt:i4>
      </vt:variant>
      <vt:variant>
        <vt:lpwstr/>
      </vt:variant>
      <vt:variant>
        <vt:lpwstr>_Toc355943579</vt:lpwstr>
      </vt:variant>
      <vt:variant>
        <vt:i4>2031671</vt:i4>
      </vt:variant>
      <vt:variant>
        <vt:i4>1442</vt:i4>
      </vt:variant>
      <vt:variant>
        <vt:i4>0</vt:i4>
      </vt:variant>
      <vt:variant>
        <vt:i4>5</vt:i4>
      </vt:variant>
      <vt:variant>
        <vt:lpwstr/>
      </vt:variant>
      <vt:variant>
        <vt:lpwstr>_Toc355943578</vt:lpwstr>
      </vt:variant>
      <vt:variant>
        <vt:i4>2031671</vt:i4>
      </vt:variant>
      <vt:variant>
        <vt:i4>1436</vt:i4>
      </vt:variant>
      <vt:variant>
        <vt:i4>0</vt:i4>
      </vt:variant>
      <vt:variant>
        <vt:i4>5</vt:i4>
      </vt:variant>
      <vt:variant>
        <vt:lpwstr/>
      </vt:variant>
      <vt:variant>
        <vt:lpwstr>_Toc355943577</vt:lpwstr>
      </vt:variant>
      <vt:variant>
        <vt:i4>2031671</vt:i4>
      </vt:variant>
      <vt:variant>
        <vt:i4>1430</vt:i4>
      </vt:variant>
      <vt:variant>
        <vt:i4>0</vt:i4>
      </vt:variant>
      <vt:variant>
        <vt:i4>5</vt:i4>
      </vt:variant>
      <vt:variant>
        <vt:lpwstr/>
      </vt:variant>
      <vt:variant>
        <vt:lpwstr>_Toc355943576</vt:lpwstr>
      </vt:variant>
      <vt:variant>
        <vt:i4>2031671</vt:i4>
      </vt:variant>
      <vt:variant>
        <vt:i4>1424</vt:i4>
      </vt:variant>
      <vt:variant>
        <vt:i4>0</vt:i4>
      </vt:variant>
      <vt:variant>
        <vt:i4>5</vt:i4>
      </vt:variant>
      <vt:variant>
        <vt:lpwstr/>
      </vt:variant>
      <vt:variant>
        <vt:lpwstr>_Toc355943575</vt:lpwstr>
      </vt:variant>
      <vt:variant>
        <vt:i4>2031671</vt:i4>
      </vt:variant>
      <vt:variant>
        <vt:i4>1418</vt:i4>
      </vt:variant>
      <vt:variant>
        <vt:i4>0</vt:i4>
      </vt:variant>
      <vt:variant>
        <vt:i4>5</vt:i4>
      </vt:variant>
      <vt:variant>
        <vt:lpwstr/>
      </vt:variant>
      <vt:variant>
        <vt:lpwstr>_Toc355943574</vt:lpwstr>
      </vt:variant>
      <vt:variant>
        <vt:i4>2031671</vt:i4>
      </vt:variant>
      <vt:variant>
        <vt:i4>1412</vt:i4>
      </vt:variant>
      <vt:variant>
        <vt:i4>0</vt:i4>
      </vt:variant>
      <vt:variant>
        <vt:i4>5</vt:i4>
      </vt:variant>
      <vt:variant>
        <vt:lpwstr/>
      </vt:variant>
      <vt:variant>
        <vt:lpwstr>_Toc355943573</vt:lpwstr>
      </vt:variant>
      <vt:variant>
        <vt:i4>2031671</vt:i4>
      </vt:variant>
      <vt:variant>
        <vt:i4>1406</vt:i4>
      </vt:variant>
      <vt:variant>
        <vt:i4>0</vt:i4>
      </vt:variant>
      <vt:variant>
        <vt:i4>5</vt:i4>
      </vt:variant>
      <vt:variant>
        <vt:lpwstr/>
      </vt:variant>
      <vt:variant>
        <vt:lpwstr>_Toc355943572</vt:lpwstr>
      </vt:variant>
      <vt:variant>
        <vt:i4>2031671</vt:i4>
      </vt:variant>
      <vt:variant>
        <vt:i4>1400</vt:i4>
      </vt:variant>
      <vt:variant>
        <vt:i4>0</vt:i4>
      </vt:variant>
      <vt:variant>
        <vt:i4>5</vt:i4>
      </vt:variant>
      <vt:variant>
        <vt:lpwstr/>
      </vt:variant>
      <vt:variant>
        <vt:lpwstr>_Toc355943571</vt:lpwstr>
      </vt:variant>
      <vt:variant>
        <vt:i4>2031671</vt:i4>
      </vt:variant>
      <vt:variant>
        <vt:i4>1394</vt:i4>
      </vt:variant>
      <vt:variant>
        <vt:i4>0</vt:i4>
      </vt:variant>
      <vt:variant>
        <vt:i4>5</vt:i4>
      </vt:variant>
      <vt:variant>
        <vt:lpwstr/>
      </vt:variant>
      <vt:variant>
        <vt:lpwstr>_Toc355943570</vt:lpwstr>
      </vt:variant>
      <vt:variant>
        <vt:i4>1966135</vt:i4>
      </vt:variant>
      <vt:variant>
        <vt:i4>1388</vt:i4>
      </vt:variant>
      <vt:variant>
        <vt:i4>0</vt:i4>
      </vt:variant>
      <vt:variant>
        <vt:i4>5</vt:i4>
      </vt:variant>
      <vt:variant>
        <vt:lpwstr/>
      </vt:variant>
      <vt:variant>
        <vt:lpwstr>_Toc355943569</vt:lpwstr>
      </vt:variant>
      <vt:variant>
        <vt:i4>1966135</vt:i4>
      </vt:variant>
      <vt:variant>
        <vt:i4>1382</vt:i4>
      </vt:variant>
      <vt:variant>
        <vt:i4>0</vt:i4>
      </vt:variant>
      <vt:variant>
        <vt:i4>5</vt:i4>
      </vt:variant>
      <vt:variant>
        <vt:lpwstr/>
      </vt:variant>
      <vt:variant>
        <vt:lpwstr>_Toc355943568</vt:lpwstr>
      </vt:variant>
      <vt:variant>
        <vt:i4>1966135</vt:i4>
      </vt:variant>
      <vt:variant>
        <vt:i4>1376</vt:i4>
      </vt:variant>
      <vt:variant>
        <vt:i4>0</vt:i4>
      </vt:variant>
      <vt:variant>
        <vt:i4>5</vt:i4>
      </vt:variant>
      <vt:variant>
        <vt:lpwstr/>
      </vt:variant>
      <vt:variant>
        <vt:lpwstr>_Toc355943567</vt:lpwstr>
      </vt:variant>
      <vt:variant>
        <vt:i4>1966135</vt:i4>
      </vt:variant>
      <vt:variant>
        <vt:i4>1370</vt:i4>
      </vt:variant>
      <vt:variant>
        <vt:i4>0</vt:i4>
      </vt:variant>
      <vt:variant>
        <vt:i4>5</vt:i4>
      </vt:variant>
      <vt:variant>
        <vt:lpwstr/>
      </vt:variant>
      <vt:variant>
        <vt:lpwstr>_Toc355943566</vt:lpwstr>
      </vt:variant>
      <vt:variant>
        <vt:i4>1966135</vt:i4>
      </vt:variant>
      <vt:variant>
        <vt:i4>1364</vt:i4>
      </vt:variant>
      <vt:variant>
        <vt:i4>0</vt:i4>
      </vt:variant>
      <vt:variant>
        <vt:i4>5</vt:i4>
      </vt:variant>
      <vt:variant>
        <vt:lpwstr/>
      </vt:variant>
      <vt:variant>
        <vt:lpwstr>_Toc355943565</vt:lpwstr>
      </vt:variant>
      <vt:variant>
        <vt:i4>1966135</vt:i4>
      </vt:variant>
      <vt:variant>
        <vt:i4>1358</vt:i4>
      </vt:variant>
      <vt:variant>
        <vt:i4>0</vt:i4>
      </vt:variant>
      <vt:variant>
        <vt:i4>5</vt:i4>
      </vt:variant>
      <vt:variant>
        <vt:lpwstr/>
      </vt:variant>
      <vt:variant>
        <vt:lpwstr>_Toc355943564</vt:lpwstr>
      </vt:variant>
      <vt:variant>
        <vt:i4>1966135</vt:i4>
      </vt:variant>
      <vt:variant>
        <vt:i4>1352</vt:i4>
      </vt:variant>
      <vt:variant>
        <vt:i4>0</vt:i4>
      </vt:variant>
      <vt:variant>
        <vt:i4>5</vt:i4>
      </vt:variant>
      <vt:variant>
        <vt:lpwstr/>
      </vt:variant>
      <vt:variant>
        <vt:lpwstr>_Toc355943563</vt:lpwstr>
      </vt:variant>
      <vt:variant>
        <vt:i4>1966135</vt:i4>
      </vt:variant>
      <vt:variant>
        <vt:i4>1346</vt:i4>
      </vt:variant>
      <vt:variant>
        <vt:i4>0</vt:i4>
      </vt:variant>
      <vt:variant>
        <vt:i4>5</vt:i4>
      </vt:variant>
      <vt:variant>
        <vt:lpwstr/>
      </vt:variant>
      <vt:variant>
        <vt:lpwstr>_Toc355943562</vt:lpwstr>
      </vt:variant>
      <vt:variant>
        <vt:i4>1966135</vt:i4>
      </vt:variant>
      <vt:variant>
        <vt:i4>1340</vt:i4>
      </vt:variant>
      <vt:variant>
        <vt:i4>0</vt:i4>
      </vt:variant>
      <vt:variant>
        <vt:i4>5</vt:i4>
      </vt:variant>
      <vt:variant>
        <vt:lpwstr/>
      </vt:variant>
      <vt:variant>
        <vt:lpwstr>_Toc355943561</vt:lpwstr>
      </vt:variant>
      <vt:variant>
        <vt:i4>1966135</vt:i4>
      </vt:variant>
      <vt:variant>
        <vt:i4>1334</vt:i4>
      </vt:variant>
      <vt:variant>
        <vt:i4>0</vt:i4>
      </vt:variant>
      <vt:variant>
        <vt:i4>5</vt:i4>
      </vt:variant>
      <vt:variant>
        <vt:lpwstr/>
      </vt:variant>
      <vt:variant>
        <vt:lpwstr>_Toc355943560</vt:lpwstr>
      </vt:variant>
      <vt:variant>
        <vt:i4>1900599</vt:i4>
      </vt:variant>
      <vt:variant>
        <vt:i4>1328</vt:i4>
      </vt:variant>
      <vt:variant>
        <vt:i4>0</vt:i4>
      </vt:variant>
      <vt:variant>
        <vt:i4>5</vt:i4>
      </vt:variant>
      <vt:variant>
        <vt:lpwstr/>
      </vt:variant>
      <vt:variant>
        <vt:lpwstr>_Toc355943559</vt:lpwstr>
      </vt:variant>
      <vt:variant>
        <vt:i4>1900599</vt:i4>
      </vt:variant>
      <vt:variant>
        <vt:i4>1322</vt:i4>
      </vt:variant>
      <vt:variant>
        <vt:i4>0</vt:i4>
      </vt:variant>
      <vt:variant>
        <vt:i4>5</vt:i4>
      </vt:variant>
      <vt:variant>
        <vt:lpwstr/>
      </vt:variant>
      <vt:variant>
        <vt:lpwstr>_Toc355943558</vt:lpwstr>
      </vt:variant>
      <vt:variant>
        <vt:i4>1900599</vt:i4>
      </vt:variant>
      <vt:variant>
        <vt:i4>1316</vt:i4>
      </vt:variant>
      <vt:variant>
        <vt:i4>0</vt:i4>
      </vt:variant>
      <vt:variant>
        <vt:i4>5</vt:i4>
      </vt:variant>
      <vt:variant>
        <vt:lpwstr/>
      </vt:variant>
      <vt:variant>
        <vt:lpwstr>_Toc355943557</vt:lpwstr>
      </vt:variant>
      <vt:variant>
        <vt:i4>1900599</vt:i4>
      </vt:variant>
      <vt:variant>
        <vt:i4>1310</vt:i4>
      </vt:variant>
      <vt:variant>
        <vt:i4>0</vt:i4>
      </vt:variant>
      <vt:variant>
        <vt:i4>5</vt:i4>
      </vt:variant>
      <vt:variant>
        <vt:lpwstr/>
      </vt:variant>
      <vt:variant>
        <vt:lpwstr>_Toc355943556</vt:lpwstr>
      </vt:variant>
      <vt:variant>
        <vt:i4>1900599</vt:i4>
      </vt:variant>
      <vt:variant>
        <vt:i4>1304</vt:i4>
      </vt:variant>
      <vt:variant>
        <vt:i4>0</vt:i4>
      </vt:variant>
      <vt:variant>
        <vt:i4>5</vt:i4>
      </vt:variant>
      <vt:variant>
        <vt:lpwstr/>
      </vt:variant>
      <vt:variant>
        <vt:lpwstr>_Toc355943555</vt:lpwstr>
      </vt:variant>
      <vt:variant>
        <vt:i4>1900599</vt:i4>
      </vt:variant>
      <vt:variant>
        <vt:i4>1298</vt:i4>
      </vt:variant>
      <vt:variant>
        <vt:i4>0</vt:i4>
      </vt:variant>
      <vt:variant>
        <vt:i4>5</vt:i4>
      </vt:variant>
      <vt:variant>
        <vt:lpwstr/>
      </vt:variant>
      <vt:variant>
        <vt:lpwstr>_Toc355943554</vt:lpwstr>
      </vt:variant>
      <vt:variant>
        <vt:i4>1900599</vt:i4>
      </vt:variant>
      <vt:variant>
        <vt:i4>1292</vt:i4>
      </vt:variant>
      <vt:variant>
        <vt:i4>0</vt:i4>
      </vt:variant>
      <vt:variant>
        <vt:i4>5</vt:i4>
      </vt:variant>
      <vt:variant>
        <vt:lpwstr/>
      </vt:variant>
      <vt:variant>
        <vt:lpwstr>_Toc355943553</vt:lpwstr>
      </vt:variant>
      <vt:variant>
        <vt:i4>1900599</vt:i4>
      </vt:variant>
      <vt:variant>
        <vt:i4>1286</vt:i4>
      </vt:variant>
      <vt:variant>
        <vt:i4>0</vt:i4>
      </vt:variant>
      <vt:variant>
        <vt:i4>5</vt:i4>
      </vt:variant>
      <vt:variant>
        <vt:lpwstr/>
      </vt:variant>
      <vt:variant>
        <vt:lpwstr>_Toc355943552</vt:lpwstr>
      </vt:variant>
      <vt:variant>
        <vt:i4>1900599</vt:i4>
      </vt:variant>
      <vt:variant>
        <vt:i4>1280</vt:i4>
      </vt:variant>
      <vt:variant>
        <vt:i4>0</vt:i4>
      </vt:variant>
      <vt:variant>
        <vt:i4>5</vt:i4>
      </vt:variant>
      <vt:variant>
        <vt:lpwstr/>
      </vt:variant>
      <vt:variant>
        <vt:lpwstr>_Toc355943551</vt:lpwstr>
      </vt:variant>
      <vt:variant>
        <vt:i4>1900599</vt:i4>
      </vt:variant>
      <vt:variant>
        <vt:i4>1274</vt:i4>
      </vt:variant>
      <vt:variant>
        <vt:i4>0</vt:i4>
      </vt:variant>
      <vt:variant>
        <vt:i4>5</vt:i4>
      </vt:variant>
      <vt:variant>
        <vt:lpwstr/>
      </vt:variant>
      <vt:variant>
        <vt:lpwstr>_Toc355943550</vt:lpwstr>
      </vt:variant>
      <vt:variant>
        <vt:i4>1835063</vt:i4>
      </vt:variant>
      <vt:variant>
        <vt:i4>1268</vt:i4>
      </vt:variant>
      <vt:variant>
        <vt:i4>0</vt:i4>
      </vt:variant>
      <vt:variant>
        <vt:i4>5</vt:i4>
      </vt:variant>
      <vt:variant>
        <vt:lpwstr/>
      </vt:variant>
      <vt:variant>
        <vt:lpwstr>_Toc355943549</vt:lpwstr>
      </vt:variant>
      <vt:variant>
        <vt:i4>1835063</vt:i4>
      </vt:variant>
      <vt:variant>
        <vt:i4>1262</vt:i4>
      </vt:variant>
      <vt:variant>
        <vt:i4>0</vt:i4>
      </vt:variant>
      <vt:variant>
        <vt:i4>5</vt:i4>
      </vt:variant>
      <vt:variant>
        <vt:lpwstr/>
      </vt:variant>
      <vt:variant>
        <vt:lpwstr>_Toc355943548</vt:lpwstr>
      </vt:variant>
      <vt:variant>
        <vt:i4>1835063</vt:i4>
      </vt:variant>
      <vt:variant>
        <vt:i4>1256</vt:i4>
      </vt:variant>
      <vt:variant>
        <vt:i4>0</vt:i4>
      </vt:variant>
      <vt:variant>
        <vt:i4>5</vt:i4>
      </vt:variant>
      <vt:variant>
        <vt:lpwstr/>
      </vt:variant>
      <vt:variant>
        <vt:lpwstr>_Toc355943547</vt:lpwstr>
      </vt:variant>
      <vt:variant>
        <vt:i4>1835063</vt:i4>
      </vt:variant>
      <vt:variant>
        <vt:i4>1250</vt:i4>
      </vt:variant>
      <vt:variant>
        <vt:i4>0</vt:i4>
      </vt:variant>
      <vt:variant>
        <vt:i4>5</vt:i4>
      </vt:variant>
      <vt:variant>
        <vt:lpwstr/>
      </vt:variant>
      <vt:variant>
        <vt:lpwstr>_Toc355943546</vt:lpwstr>
      </vt:variant>
      <vt:variant>
        <vt:i4>1835063</vt:i4>
      </vt:variant>
      <vt:variant>
        <vt:i4>1244</vt:i4>
      </vt:variant>
      <vt:variant>
        <vt:i4>0</vt:i4>
      </vt:variant>
      <vt:variant>
        <vt:i4>5</vt:i4>
      </vt:variant>
      <vt:variant>
        <vt:lpwstr/>
      </vt:variant>
      <vt:variant>
        <vt:lpwstr>_Toc355943545</vt:lpwstr>
      </vt:variant>
      <vt:variant>
        <vt:i4>1835063</vt:i4>
      </vt:variant>
      <vt:variant>
        <vt:i4>1238</vt:i4>
      </vt:variant>
      <vt:variant>
        <vt:i4>0</vt:i4>
      </vt:variant>
      <vt:variant>
        <vt:i4>5</vt:i4>
      </vt:variant>
      <vt:variant>
        <vt:lpwstr/>
      </vt:variant>
      <vt:variant>
        <vt:lpwstr>_Toc355943544</vt:lpwstr>
      </vt:variant>
      <vt:variant>
        <vt:i4>1835063</vt:i4>
      </vt:variant>
      <vt:variant>
        <vt:i4>1232</vt:i4>
      </vt:variant>
      <vt:variant>
        <vt:i4>0</vt:i4>
      </vt:variant>
      <vt:variant>
        <vt:i4>5</vt:i4>
      </vt:variant>
      <vt:variant>
        <vt:lpwstr/>
      </vt:variant>
      <vt:variant>
        <vt:lpwstr>_Toc355943543</vt:lpwstr>
      </vt:variant>
      <vt:variant>
        <vt:i4>1835063</vt:i4>
      </vt:variant>
      <vt:variant>
        <vt:i4>1226</vt:i4>
      </vt:variant>
      <vt:variant>
        <vt:i4>0</vt:i4>
      </vt:variant>
      <vt:variant>
        <vt:i4>5</vt:i4>
      </vt:variant>
      <vt:variant>
        <vt:lpwstr/>
      </vt:variant>
      <vt:variant>
        <vt:lpwstr>_Toc355943542</vt:lpwstr>
      </vt:variant>
      <vt:variant>
        <vt:i4>1835063</vt:i4>
      </vt:variant>
      <vt:variant>
        <vt:i4>1220</vt:i4>
      </vt:variant>
      <vt:variant>
        <vt:i4>0</vt:i4>
      </vt:variant>
      <vt:variant>
        <vt:i4>5</vt:i4>
      </vt:variant>
      <vt:variant>
        <vt:lpwstr/>
      </vt:variant>
      <vt:variant>
        <vt:lpwstr>_Toc355943541</vt:lpwstr>
      </vt:variant>
      <vt:variant>
        <vt:i4>1835063</vt:i4>
      </vt:variant>
      <vt:variant>
        <vt:i4>1214</vt:i4>
      </vt:variant>
      <vt:variant>
        <vt:i4>0</vt:i4>
      </vt:variant>
      <vt:variant>
        <vt:i4>5</vt:i4>
      </vt:variant>
      <vt:variant>
        <vt:lpwstr/>
      </vt:variant>
      <vt:variant>
        <vt:lpwstr>_Toc355943540</vt:lpwstr>
      </vt:variant>
      <vt:variant>
        <vt:i4>5963801</vt:i4>
      </vt:variant>
      <vt:variant>
        <vt:i4>1209</vt:i4>
      </vt:variant>
      <vt:variant>
        <vt:i4>0</vt:i4>
      </vt:variant>
      <vt:variant>
        <vt:i4>5</vt:i4>
      </vt:variant>
      <vt:variant>
        <vt:lpwstr>http://www.jica.go.jp/english/our_work/types_of_assistance/oda_loans/oda_op_info/guide/tender/spanish.html</vt:lpwstr>
      </vt:variant>
      <vt:variant>
        <vt:lpwstr/>
      </vt:variant>
      <vt:variant>
        <vt:i4>1703984</vt:i4>
      </vt:variant>
      <vt:variant>
        <vt:i4>1205</vt:i4>
      </vt:variant>
      <vt:variant>
        <vt:i4>0</vt:i4>
      </vt:variant>
      <vt:variant>
        <vt:i4>5</vt:i4>
      </vt:variant>
      <vt:variant>
        <vt:lpwstr/>
      </vt:variant>
      <vt:variant>
        <vt:lpwstr>_Toc357505484</vt:lpwstr>
      </vt:variant>
      <vt:variant>
        <vt:i4>1703984</vt:i4>
      </vt:variant>
      <vt:variant>
        <vt:i4>1202</vt:i4>
      </vt:variant>
      <vt:variant>
        <vt:i4>0</vt:i4>
      </vt:variant>
      <vt:variant>
        <vt:i4>5</vt:i4>
      </vt:variant>
      <vt:variant>
        <vt:lpwstr/>
      </vt:variant>
      <vt:variant>
        <vt:lpwstr>_Toc357505483</vt:lpwstr>
      </vt:variant>
      <vt:variant>
        <vt:i4>1703984</vt:i4>
      </vt:variant>
      <vt:variant>
        <vt:i4>1199</vt:i4>
      </vt:variant>
      <vt:variant>
        <vt:i4>0</vt:i4>
      </vt:variant>
      <vt:variant>
        <vt:i4>5</vt:i4>
      </vt:variant>
      <vt:variant>
        <vt:lpwstr/>
      </vt:variant>
      <vt:variant>
        <vt:lpwstr>_Toc357505482</vt:lpwstr>
      </vt:variant>
      <vt:variant>
        <vt:i4>1703984</vt:i4>
      </vt:variant>
      <vt:variant>
        <vt:i4>1196</vt:i4>
      </vt:variant>
      <vt:variant>
        <vt:i4>0</vt:i4>
      </vt:variant>
      <vt:variant>
        <vt:i4>5</vt:i4>
      </vt:variant>
      <vt:variant>
        <vt:lpwstr/>
      </vt:variant>
      <vt:variant>
        <vt:lpwstr>_Toc357505481</vt:lpwstr>
      </vt:variant>
      <vt:variant>
        <vt:i4>1703984</vt:i4>
      </vt:variant>
      <vt:variant>
        <vt:i4>1193</vt:i4>
      </vt:variant>
      <vt:variant>
        <vt:i4>0</vt:i4>
      </vt:variant>
      <vt:variant>
        <vt:i4>5</vt:i4>
      </vt:variant>
      <vt:variant>
        <vt:lpwstr/>
      </vt:variant>
      <vt:variant>
        <vt:lpwstr>_Toc357505480</vt:lpwstr>
      </vt:variant>
      <vt:variant>
        <vt:i4>1376304</vt:i4>
      </vt:variant>
      <vt:variant>
        <vt:i4>1190</vt:i4>
      </vt:variant>
      <vt:variant>
        <vt:i4>0</vt:i4>
      </vt:variant>
      <vt:variant>
        <vt:i4>5</vt:i4>
      </vt:variant>
      <vt:variant>
        <vt:lpwstr/>
      </vt:variant>
      <vt:variant>
        <vt:lpwstr>_Toc357505479</vt:lpwstr>
      </vt:variant>
      <vt:variant>
        <vt:i4>1376304</vt:i4>
      </vt:variant>
      <vt:variant>
        <vt:i4>1187</vt:i4>
      </vt:variant>
      <vt:variant>
        <vt:i4>0</vt:i4>
      </vt:variant>
      <vt:variant>
        <vt:i4>5</vt:i4>
      </vt:variant>
      <vt:variant>
        <vt:lpwstr/>
      </vt:variant>
      <vt:variant>
        <vt:lpwstr>_Toc357505478</vt:lpwstr>
      </vt:variant>
      <vt:variant>
        <vt:i4>1376304</vt:i4>
      </vt:variant>
      <vt:variant>
        <vt:i4>1184</vt:i4>
      </vt:variant>
      <vt:variant>
        <vt:i4>0</vt:i4>
      </vt:variant>
      <vt:variant>
        <vt:i4>5</vt:i4>
      </vt:variant>
      <vt:variant>
        <vt:lpwstr/>
      </vt:variant>
      <vt:variant>
        <vt:lpwstr>_Toc357505477</vt:lpwstr>
      </vt:variant>
      <vt:variant>
        <vt:i4>1900600</vt:i4>
      </vt:variant>
      <vt:variant>
        <vt:i4>1178</vt:i4>
      </vt:variant>
      <vt:variant>
        <vt:i4>0</vt:i4>
      </vt:variant>
      <vt:variant>
        <vt:i4>5</vt:i4>
      </vt:variant>
      <vt:variant>
        <vt:lpwstr/>
      </vt:variant>
      <vt:variant>
        <vt:lpwstr>_Toc354492691</vt:lpwstr>
      </vt:variant>
      <vt:variant>
        <vt:i4>1900600</vt:i4>
      </vt:variant>
      <vt:variant>
        <vt:i4>1175</vt:i4>
      </vt:variant>
      <vt:variant>
        <vt:i4>0</vt:i4>
      </vt:variant>
      <vt:variant>
        <vt:i4>5</vt:i4>
      </vt:variant>
      <vt:variant>
        <vt:lpwstr/>
      </vt:variant>
      <vt:variant>
        <vt:lpwstr>_Toc354492690</vt:lpwstr>
      </vt:variant>
      <vt:variant>
        <vt:i4>1835064</vt:i4>
      </vt:variant>
      <vt:variant>
        <vt:i4>1172</vt:i4>
      </vt:variant>
      <vt:variant>
        <vt:i4>0</vt:i4>
      </vt:variant>
      <vt:variant>
        <vt:i4>5</vt:i4>
      </vt:variant>
      <vt:variant>
        <vt:lpwstr/>
      </vt:variant>
      <vt:variant>
        <vt:lpwstr>_Toc354492689</vt:lpwstr>
      </vt:variant>
      <vt:variant>
        <vt:i4>1179703</vt:i4>
      </vt:variant>
      <vt:variant>
        <vt:i4>1163</vt:i4>
      </vt:variant>
      <vt:variant>
        <vt:i4>0</vt:i4>
      </vt:variant>
      <vt:variant>
        <vt:i4>5</vt:i4>
      </vt:variant>
      <vt:variant>
        <vt:lpwstr/>
      </vt:variant>
      <vt:variant>
        <vt:lpwstr>_Toc357514218</vt:lpwstr>
      </vt:variant>
      <vt:variant>
        <vt:i4>1179703</vt:i4>
      </vt:variant>
      <vt:variant>
        <vt:i4>1157</vt:i4>
      </vt:variant>
      <vt:variant>
        <vt:i4>0</vt:i4>
      </vt:variant>
      <vt:variant>
        <vt:i4>5</vt:i4>
      </vt:variant>
      <vt:variant>
        <vt:lpwstr/>
      </vt:variant>
      <vt:variant>
        <vt:lpwstr>_Toc357514217</vt:lpwstr>
      </vt:variant>
      <vt:variant>
        <vt:i4>1179703</vt:i4>
      </vt:variant>
      <vt:variant>
        <vt:i4>1151</vt:i4>
      </vt:variant>
      <vt:variant>
        <vt:i4>0</vt:i4>
      </vt:variant>
      <vt:variant>
        <vt:i4>5</vt:i4>
      </vt:variant>
      <vt:variant>
        <vt:lpwstr/>
      </vt:variant>
      <vt:variant>
        <vt:lpwstr>_Toc357514216</vt:lpwstr>
      </vt:variant>
      <vt:variant>
        <vt:i4>1179703</vt:i4>
      </vt:variant>
      <vt:variant>
        <vt:i4>1145</vt:i4>
      </vt:variant>
      <vt:variant>
        <vt:i4>0</vt:i4>
      </vt:variant>
      <vt:variant>
        <vt:i4>5</vt:i4>
      </vt:variant>
      <vt:variant>
        <vt:lpwstr/>
      </vt:variant>
      <vt:variant>
        <vt:lpwstr>_Toc357514215</vt:lpwstr>
      </vt:variant>
      <vt:variant>
        <vt:i4>1179703</vt:i4>
      </vt:variant>
      <vt:variant>
        <vt:i4>1139</vt:i4>
      </vt:variant>
      <vt:variant>
        <vt:i4>0</vt:i4>
      </vt:variant>
      <vt:variant>
        <vt:i4>5</vt:i4>
      </vt:variant>
      <vt:variant>
        <vt:lpwstr/>
      </vt:variant>
      <vt:variant>
        <vt:lpwstr>_Toc357514214</vt:lpwstr>
      </vt:variant>
      <vt:variant>
        <vt:i4>1179703</vt:i4>
      </vt:variant>
      <vt:variant>
        <vt:i4>1133</vt:i4>
      </vt:variant>
      <vt:variant>
        <vt:i4>0</vt:i4>
      </vt:variant>
      <vt:variant>
        <vt:i4>5</vt:i4>
      </vt:variant>
      <vt:variant>
        <vt:lpwstr/>
      </vt:variant>
      <vt:variant>
        <vt:lpwstr>_Toc357514213</vt:lpwstr>
      </vt:variant>
      <vt:variant>
        <vt:i4>1179703</vt:i4>
      </vt:variant>
      <vt:variant>
        <vt:i4>1127</vt:i4>
      </vt:variant>
      <vt:variant>
        <vt:i4>0</vt:i4>
      </vt:variant>
      <vt:variant>
        <vt:i4>5</vt:i4>
      </vt:variant>
      <vt:variant>
        <vt:lpwstr/>
      </vt:variant>
      <vt:variant>
        <vt:lpwstr>_Toc357514212</vt:lpwstr>
      </vt:variant>
      <vt:variant>
        <vt:i4>1179703</vt:i4>
      </vt:variant>
      <vt:variant>
        <vt:i4>1121</vt:i4>
      </vt:variant>
      <vt:variant>
        <vt:i4>0</vt:i4>
      </vt:variant>
      <vt:variant>
        <vt:i4>5</vt:i4>
      </vt:variant>
      <vt:variant>
        <vt:lpwstr/>
      </vt:variant>
      <vt:variant>
        <vt:lpwstr>_Toc357514211</vt:lpwstr>
      </vt:variant>
      <vt:variant>
        <vt:i4>1179703</vt:i4>
      </vt:variant>
      <vt:variant>
        <vt:i4>1115</vt:i4>
      </vt:variant>
      <vt:variant>
        <vt:i4>0</vt:i4>
      </vt:variant>
      <vt:variant>
        <vt:i4>5</vt:i4>
      </vt:variant>
      <vt:variant>
        <vt:lpwstr/>
      </vt:variant>
      <vt:variant>
        <vt:lpwstr>_Toc357514210</vt:lpwstr>
      </vt:variant>
      <vt:variant>
        <vt:i4>1245239</vt:i4>
      </vt:variant>
      <vt:variant>
        <vt:i4>1109</vt:i4>
      </vt:variant>
      <vt:variant>
        <vt:i4>0</vt:i4>
      </vt:variant>
      <vt:variant>
        <vt:i4>5</vt:i4>
      </vt:variant>
      <vt:variant>
        <vt:lpwstr/>
      </vt:variant>
      <vt:variant>
        <vt:lpwstr>_Toc357514209</vt:lpwstr>
      </vt:variant>
      <vt:variant>
        <vt:i4>1245239</vt:i4>
      </vt:variant>
      <vt:variant>
        <vt:i4>1103</vt:i4>
      </vt:variant>
      <vt:variant>
        <vt:i4>0</vt:i4>
      </vt:variant>
      <vt:variant>
        <vt:i4>5</vt:i4>
      </vt:variant>
      <vt:variant>
        <vt:lpwstr/>
      </vt:variant>
      <vt:variant>
        <vt:lpwstr>_Toc357514208</vt:lpwstr>
      </vt:variant>
      <vt:variant>
        <vt:i4>1245239</vt:i4>
      </vt:variant>
      <vt:variant>
        <vt:i4>1097</vt:i4>
      </vt:variant>
      <vt:variant>
        <vt:i4>0</vt:i4>
      </vt:variant>
      <vt:variant>
        <vt:i4>5</vt:i4>
      </vt:variant>
      <vt:variant>
        <vt:lpwstr/>
      </vt:variant>
      <vt:variant>
        <vt:lpwstr>_Toc357514207</vt:lpwstr>
      </vt:variant>
      <vt:variant>
        <vt:i4>1245239</vt:i4>
      </vt:variant>
      <vt:variant>
        <vt:i4>1091</vt:i4>
      </vt:variant>
      <vt:variant>
        <vt:i4>0</vt:i4>
      </vt:variant>
      <vt:variant>
        <vt:i4>5</vt:i4>
      </vt:variant>
      <vt:variant>
        <vt:lpwstr/>
      </vt:variant>
      <vt:variant>
        <vt:lpwstr>_Toc357514206</vt:lpwstr>
      </vt:variant>
      <vt:variant>
        <vt:i4>1245239</vt:i4>
      </vt:variant>
      <vt:variant>
        <vt:i4>1085</vt:i4>
      </vt:variant>
      <vt:variant>
        <vt:i4>0</vt:i4>
      </vt:variant>
      <vt:variant>
        <vt:i4>5</vt:i4>
      </vt:variant>
      <vt:variant>
        <vt:lpwstr/>
      </vt:variant>
      <vt:variant>
        <vt:lpwstr>_Toc357514205</vt:lpwstr>
      </vt:variant>
      <vt:variant>
        <vt:i4>1245239</vt:i4>
      </vt:variant>
      <vt:variant>
        <vt:i4>1079</vt:i4>
      </vt:variant>
      <vt:variant>
        <vt:i4>0</vt:i4>
      </vt:variant>
      <vt:variant>
        <vt:i4>5</vt:i4>
      </vt:variant>
      <vt:variant>
        <vt:lpwstr/>
      </vt:variant>
      <vt:variant>
        <vt:lpwstr>_Toc357514204</vt:lpwstr>
      </vt:variant>
      <vt:variant>
        <vt:i4>1245239</vt:i4>
      </vt:variant>
      <vt:variant>
        <vt:i4>1073</vt:i4>
      </vt:variant>
      <vt:variant>
        <vt:i4>0</vt:i4>
      </vt:variant>
      <vt:variant>
        <vt:i4>5</vt:i4>
      </vt:variant>
      <vt:variant>
        <vt:lpwstr/>
      </vt:variant>
      <vt:variant>
        <vt:lpwstr>_Toc357514203</vt:lpwstr>
      </vt:variant>
      <vt:variant>
        <vt:i4>1245239</vt:i4>
      </vt:variant>
      <vt:variant>
        <vt:i4>1067</vt:i4>
      </vt:variant>
      <vt:variant>
        <vt:i4>0</vt:i4>
      </vt:variant>
      <vt:variant>
        <vt:i4>5</vt:i4>
      </vt:variant>
      <vt:variant>
        <vt:lpwstr/>
      </vt:variant>
      <vt:variant>
        <vt:lpwstr>_Toc357514202</vt:lpwstr>
      </vt:variant>
      <vt:variant>
        <vt:i4>1048631</vt:i4>
      </vt:variant>
      <vt:variant>
        <vt:i4>1043</vt:i4>
      </vt:variant>
      <vt:variant>
        <vt:i4>0</vt:i4>
      </vt:variant>
      <vt:variant>
        <vt:i4>5</vt:i4>
      </vt:variant>
      <vt:variant>
        <vt:lpwstr/>
      </vt:variant>
      <vt:variant>
        <vt:lpwstr>_Toc357513244</vt:lpwstr>
      </vt:variant>
      <vt:variant>
        <vt:i4>1048631</vt:i4>
      </vt:variant>
      <vt:variant>
        <vt:i4>1037</vt:i4>
      </vt:variant>
      <vt:variant>
        <vt:i4>0</vt:i4>
      </vt:variant>
      <vt:variant>
        <vt:i4>5</vt:i4>
      </vt:variant>
      <vt:variant>
        <vt:lpwstr/>
      </vt:variant>
      <vt:variant>
        <vt:lpwstr>_Toc357513243</vt:lpwstr>
      </vt:variant>
      <vt:variant>
        <vt:i4>1048631</vt:i4>
      </vt:variant>
      <vt:variant>
        <vt:i4>1031</vt:i4>
      </vt:variant>
      <vt:variant>
        <vt:i4>0</vt:i4>
      </vt:variant>
      <vt:variant>
        <vt:i4>5</vt:i4>
      </vt:variant>
      <vt:variant>
        <vt:lpwstr/>
      </vt:variant>
      <vt:variant>
        <vt:lpwstr>_Toc357513242</vt:lpwstr>
      </vt:variant>
      <vt:variant>
        <vt:i4>1048631</vt:i4>
      </vt:variant>
      <vt:variant>
        <vt:i4>1025</vt:i4>
      </vt:variant>
      <vt:variant>
        <vt:i4>0</vt:i4>
      </vt:variant>
      <vt:variant>
        <vt:i4>5</vt:i4>
      </vt:variant>
      <vt:variant>
        <vt:lpwstr/>
      </vt:variant>
      <vt:variant>
        <vt:lpwstr>_Toc357513241</vt:lpwstr>
      </vt:variant>
      <vt:variant>
        <vt:i4>1048631</vt:i4>
      </vt:variant>
      <vt:variant>
        <vt:i4>1019</vt:i4>
      </vt:variant>
      <vt:variant>
        <vt:i4>0</vt:i4>
      </vt:variant>
      <vt:variant>
        <vt:i4>5</vt:i4>
      </vt:variant>
      <vt:variant>
        <vt:lpwstr/>
      </vt:variant>
      <vt:variant>
        <vt:lpwstr>_Toc357513240</vt:lpwstr>
      </vt:variant>
      <vt:variant>
        <vt:i4>1507383</vt:i4>
      </vt:variant>
      <vt:variant>
        <vt:i4>1013</vt:i4>
      </vt:variant>
      <vt:variant>
        <vt:i4>0</vt:i4>
      </vt:variant>
      <vt:variant>
        <vt:i4>5</vt:i4>
      </vt:variant>
      <vt:variant>
        <vt:lpwstr/>
      </vt:variant>
      <vt:variant>
        <vt:lpwstr>_Toc357513239</vt:lpwstr>
      </vt:variant>
      <vt:variant>
        <vt:i4>1507383</vt:i4>
      </vt:variant>
      <vt:variant>
        <vt:i4>1007</vt:i4>
      </vt:variant>
      <vt:variant>
        <vt:i4>0</vt:i4>
      </vt:variant>
      <vt:variant>
        <vt:i4>5</vt:i4>
      </vt:variant>
      <vt:variant>
        <vt:lpwstr/>
      </vt:variant>
      <vt:variant>
        <vt:lpwstr>_Toc357513238</vt:lpwstr>
      </vt:variant>
      <vt:variant>
        <vt:i4>1507383</vt:i4>
      </vt:variant>
      <vt:variant>
        <vt:i4>1001</vt:i4>
      </vt:variant>
      <vt:variant>
        <vt:i4>0</vt:i4>
      </vt:variant>
      <vt:variant>
        <vt:i4>5</vt:i4>
      </vt:variant>
      <vt:variant>
        <vt:lpwstr/>
      </vt:variant>
      <vt:variant>
        <vt:lpwstr>_Toc357513237</vt:lpwstr>
      </vt:variant>
      <vt:variant>
        <vt:i4>1507383</vt:i4>
      </vt:variant>
      <vt:variant>
        <vt:i4>995</vt:i4>
      </vt:variant>
      <vt:variant>
        <vt:i4>0</vt:i4>
      </vt:variant>
      <vt:variant>
        <vt:i4>5</vt:i4>
      </vt:variant>
      <vt:variant>
        <vt:lpwstr/>
      </vt:variant>
      <vt:variant>
        <vt:lpwstr>_Toc357513236</vt:lpwstr>
      </vt:variant>
      <vt:variant>
        <vt:i4>1507383</vt:i4>
      </vt:variant>
      <vt:variant>
        <vt:i4>989</vt:i4>
      </vt:variant>
      <vt:variant>
        <vt:i4>0</vt:i4>
      </vt:variant>
      <vt:variant>
        <vt:i4>5</vt:i4>
      </vt:variant>
      <vt:variant>
        <vt:lpwstr/>
      </vt:variant>
      <vt:variant>
        <vt:lpwstr>_Toc357513235</vt:lpwstr>
      </vt:variant>
      <vt:variant>
        <vt:i4>1507383</vt:i4>
      </vt:variant>
      <vt:variant>
        <vt:i4>983</vt:i4>
      </vt:variant>
      <vt:variant>
        <vt:i4>0</vt:i4>
      </vt:variant>
      <vt:variant>
        <vt:i4>5</vt:i4>
      </vt:variant>
      <vt:variant>
        <vt:lpwstr/>
      </vt:variant>
      <vt:variant>
        <vt:lpwstr>_Toc357513234</vt:lpwstr>
      </vt:variant>
      <vt:variant>
        <vt:i4>1507383</vt:i4>
      </vt:variant>
      <vt:variant>
        <vt:i4>977</vt:i4>
      </vt:variant>
      <vt:variant>
        <vt:i4>0</vt:i4>
      </vt:variant>
      <vt:variant>
        <vt:i4>5</vt:i4>
      </vt:variant>
      <vt:variant>
        <vt:lpwstr/>
      </vt:variant>
      <vt:variant>
        <vt:lpwstr>_Toc357513233</vt:lpwstr>
      </vt:variant>
      <vt:variant>
        <vt:i4>1507383</vt:i4>
      </vt:variant>
      <vt:variant>
        <vt:i4>971</vt:i4>
      </vt:variant>
      <vt:variant>
        <vt:i4>0</vt:i4>
      </vt:variant>
      <vt:variant>
        <vt:i4>5</vt:i4>
      </vt:variant>
      <vt:variant>
        <vt:lpwstr/>
      </vt:variant>
      <vt:variant>
        <vt:lpwstr>_Toc357513232</vt:lpwstr>
      </vt:variant>
      <vt:variant>
        <vt:i4>1507383</vt:i4>
      </vt:variant>
      <vt:variant>
        <vt:i4>965</vt:i4>
      </vt:variant>
      <vt:variant>
        <vt:i4>0</vt:i4>
      </vt:variant>
      <vt:variant>
        <vt:i4>5</vt:i4>
      </vt:variant>
      <vt:variant>
        <vt:lpwstr/>
      </vt:variant>
      <vt:variant>
        <vt:lpwstr>_Toc357513231</vt:lpwstr>
      </vt:variant>
      <vt:variant>
        <vt:i4>1507383</vt:i4>
      </vt:variant>
      <vt:variant>
        <vt:i4>959</vt:i4>
      </vt:variant>
      <vt:variant>
        <vt:i4>0</vt:i4>
      </vt:variant>
      <vt:variant>
        <vt:i4>5</vt:i4>
      </vt:variant>
      <vt:variant>
        <vt:lpwstr/>
      </vt:variant>
      <vt:variant>
        <vt:lpwstr>_Toc357513230</vt:lpwstr>
      </vt:variant>
      <vt:variant>
        <vt:i4>1441847</vt:i4>
      </vt:variant>
      <vt:variant>
        <vt:i4>953</vt:i4>
      </vt:variant>
      <vt:variant>
        <vt:i4>0</vt:i4>
      </vt:variant>
      <vt:variant>
        <vt:i4>5</vt:i4>
      </vt:variant>
      <vt:variant>
        <vt:lpwstr/>
      </vt:variant>
      <vt:variant>
        <vt:lpwstr>_Toc357513229</vt:lpwstr>
      </vt:variant>
      <vt:variant>
        <vt:i4>1441847</vt:i4>
      </vt:variant>
      <vt:variant>
        <vt:i4>947</vt:i4>
      </vt:variant>
      <vt:variant>
        <vt:i4>0</vt:i4>
      </vt:variant>
      <vt:variant>
        <vt:i4>5</vt:i4>
      </vt:variant>
      <vt:variant>
        <vt:lpwstr/>
      </vt:variant>
      <vt:variant>
        <vt:lpwstr>_Toc357513228</vt:lpwstr>
      </vt:variant>
      <vt:variant>
        <vt:i4>1441847</vt:i4>
      </vt:variant>
      <vt:variant>
        <vt:i4>941</vt:i4>
      </vt:variant>
      <vt:variant>
        <vt:i4>0</vt:i4>
      </vt:variant>
      <vt:variant>
        <vt:i4>5</vt:i4>
      </vt:variant>
      <vt:variant>
        <vt:lpwstr/>
      </vt:variant>
      <vt:variant>
        <vt:lpwstr>_Toc357513227</vt:lpwstr>
      </vt:variant>
      <vt:variant>
        <vt:i4>1441847</vt:i4>
      </vt:variant>
      <vt:variant>
        <vt:i4>935</vt:i4>
      </vt:variant>
      <vt:variant>
        <vt:i4>0</vt:i4>
      </vt:variant>
      <vt:variant>
        <vt:i4>5</vt:i4>
      </vt:variant>
      <vt:variant>
        <vt:lpwstr/>
      </vt:variant>
      <vt:variant>
        <vt:lpwstr>_Toc357513226</vt:lpwstr>
      </vt:variant>
      <vt:variant>
        <vt:i4>1441847</vt:i4>
      </vt:variant>
      <vt:variant>
        <vt:i4>929</vt:i4>
      </vt:variant>
      <vt:variant>
        <vt:i4>0</vt:i4>
      </vt:variant>
      <vt:variant>
        <vt:i4>5</vt:i4>
      </vt:variant>
      <vt:variant>
        <vt:lpwstr/>
      </vt:variant>
      <vt:variant>
        <vt:lpwstr>_Toc357513225</vt:lpwstr>
      </vt:variant>
      <vt:variant>
        <vt:i4>1441847</vt:i4>
      </vt:variant>
      <vt:variant>
        <vt:i4>923</vt:i4>
      </vt:variant>
      <vt:variant>
        <vt:i4>0</vt:i4>
      </vt:variant>
      <vt:variant>
        <vt:i4>5</vt:i4>
      </vt:variant>
      <vt:variant>
        <vt:lpwstr/>
      </vt:variant>
      <vt:variant>
        <vt:lpwstr>_Toc357513224</vt:lpwstr>
      </vt:variant>
      <vt:variant>
        <vt:i4>1441847</vt:i4>
      </vt:variant>
      <vt:variant>
        <vt:i4>917</vt:i4>
      </vt:variant>
      <vt:variant>
        <vt:i4>0</vt:i4>
      </vt:variant>
      <vt:variant>
        <vt:i4>5</vt:i4>
      </vt:variant>
      <vt:variant>
        <vt:lpwstr/>
      </vt:variant>
      <vt:variant>
        <vt:lpwstr>_Toc357513223</vt:lpwstr>
      </vt:variant>
      <vt:variant>
        <vt:i4>1441847</vt:i4>
      </vt:variant>
      <vt:variant>
        <vt:i4>911</vt:i4>
      </vt:variant>
      <vt:variant>
        <vt:i4>0</vt:i4>
      </vt:variant>
      <vt:variant>
        <vt:i4>5</vt:i4>
      </vt:variant>
      <vt:variant>
        <vt:lpwstr/>
      </vt:variant>
      <vt:variant>
        <vt:lpwstr>_Toc357513222</vt:lpwstr>
      </vt:variant>
      <vt:variant>
        <vt:i4>1441847</vt:i4>
      </vt:variant>
      <vt:variant>
        <vt:i4>905</vt:i4>
      </vt:variant>
      <vt:variant>
        <vt:i4>0</vt:i4>
      </vt:variant>
      <vt:variant>
        <vt:i4>5</vt:i4>
      </vt:variant>
      <vt:variant>
        <vt:lpwstr/>
      </vt:variant>
      <vt:variant>
        <vt:lpwstr>_Toc357513221</vt:lpwstr>
      </vt:variant>
      <vt:variant>
        <vt:i4>1441847</vt:i4>
      </vt:variant>
      <vt:variant>
        <vt:i4>899</vt:i4>
      </vt:variant>
      <vt:variant>
        <vt:i4>0</vt:i4>
      </vt:variant>
      <vt:variant>
        <vt:i4>5</vt:i4>
      </vt:variant>
      <vt:variant>
        <vt:lpwstr/>
      </vt:variant>
      <vt:variant>
        <vt:lpwstr>_Toc357513220</vt:lpwstr>
      </vt:variant>
      <vt:variant>
        <vt:i4>1376311</vt:i4>
      </vt:variant>
      <vt:variant>
        <vt:i4>893</vt:i4>
      </vt:variant>
      <vt:variant>
        <vt:i4>0</vt:i4>
      </vt:variant>
      <vt:variant>
        <vt:i4>5</vt:i4>
      </vt:variant>
      <vt:variant>
        <vt:lpwstr/>
      </vt:variant>
      <vt:variant>
        <vt:lpwstr>_Toc357513219</vt:lpwstr>
      </vt:variant>
      <vt:variant>
        <vt:i4>1376311</vt:i4>
      </vt:variant>
      <vt:variant>
        <vt:i4>887</vt:i4>
      </vt:variant>
      <vt:variant>
        <vt:i4>0</vt:i4>
      </vt:variant>
      <vt:variant>
        <vt:i4>5</vt:i4>
      </vt:variant>
      <vt:variant>
        <vt:lpwstr/>
      </vt:variant>
      <vt:variant>
        <vt:lpwstr>_Toc357513218</vt:lpwstr>
      </vt:variant>
      <vt:variant>
        <vt:i4>1376311</vt:i4>
      </vt:variant>
      <vt:variant>
        <vt:i4>881</vt:i4>
      </vt:variant>
      <vt:variant>
        <vt:i4>0</vt:i4>
      </vt:variant>
      <vt:variant>
        <vt:i4>5</vt:i4>
      </vt:variant>
      <vt:variant>
        <vt:lpwstr/>
      </vt:variant>
      <vt:variant>
        <vt:lpwstr>_Toc357513217</vt:lpwstr>
      </vt:variant>
      <vt:variant>
        <vt:i4>1376311</vt:i4>
      </vt:variant>
      <vt:variant>
        <vt:i4>875</vt:i4>
      </vt:variant>
      <vt:variant>
        <vt:i4>0</vt:i4>
      </vt:variant>
      <vt:variant>
        <vt:i4>5</vt:i4>
      </vt:variant>
      <vt:variant>
        <vt:lpwstr/>
      </vt:variant>
      <vt:variant>
        <vt:lpwstr>_Toc357513216</vt:lpwstr>
      </vt:variant>
      <vt:variant>
        <vt:i4>1376311</vt:i4>
      </vt:variant>
      <vt:variant>
        <vt:i4>869</vt:i4>
      </vt:variant>
      <vt:variant>
        <vt:i4>0</vt:i4>
      </vt:variant>
      <vt:variant>
        <vt:i4>5</vt:i4>
      </vt:variant>
      <vt:variant>
        <vt:lpwstr/>
      </vt:variant>
      <vt:variant>
        <vt:lpwstr>_Toc357513215</vt:lpwstr>
      </vt:variant>
      <vt:variant>
        <vt:i4>1376311</vt:i4>
      </vt:variant>
      <vt:variant>
        <vt:i4>863</vt:i4>
      </vt:variant>
      <vt:variant>
        <vt:i4>0</vt:i4>
      </vt:variant>
      <vt:variant>
        <vt:i4>5</vt:i4>
      </vt:variant>
      <vt:variant>
        <vt:lpwstr/>
      </vt:variant>
      <vt:variant>
        <vt:lpwstr>_Toc357513214</vt:lpwstr>
      </vt:variant>
      <vt:variant>
        <vt:i4>1376311</vt:i4>
      </vt:variant>
      <vt:variant>
        <vt:i4>857</vt:i4>
      </vt:variant>
      <vt:variant>
        <vt:i4>0</vt:i4>
      </vt:variant>
      <vt:variant>
        <vt:i4>5</vt:i4>
      </vt:variant>
      <vt:variant>
        <vt:lpwstr/>
      </vt:variant>
      <vt:variant>
        <vt:lpwstr>_Toc357513213</vt:lpwstr>
      </vt:variant>
      <vt:variant>
        <vt:i4>1376311</vt:i4>
      </vt:variant>
      <vt:variant>
        <vt:i4>851</vt:i4>
      </vt:variant>
      <vt:variant>
        <vt:i4>0</vt:i4>
      </vt:variant>
      <vt:variant>
        <vt:i4>5</vt:i4>
      </vt:variant>
      <vt:variant>
        <vt:lpwstr/>
      </vt:variant>
      <vt:variant>
        <vt:lpwstr>_Toc357513212</vt:lpwstr>
      </vt:variant>
      <vt:variant>
        <vt:i4>1376311</vt:i4>
      </vt:variant>
      <vt:variant>
        <vt:i4>845</vt:i4>
      </vt:variant>
      <vt:variant>
        <vt:i4>0</vt:i4>
      </vt:variant>
      <vt:variant>
        <vt:i4>5</vt:i4>
      </vt:variant>
      <vt:variant>
        <vt:lpwstr/>
      </vt:variant>
      <vt:variant>
        <vt:lpwstr>_Toc357513211</vt:lpwstr>
      </vt:variant>
      <vt:variant>
        <vt:i4>1376311</vt:i4>
      </vt:variant>
      <vt:variant>
        <vt:i4>839</vt:i4>
      </vt:variant>
      <vt:variant>
        <vt:i4>0</vt:i4>
      </vt:variant>
      <vt:variant>
        <vt:i4>5</vt:i4>
      </vt:variant>
      <vt:variant>
        <vt:lpwstr/>
      </vt:variant>
      <vt:variant>
        <vt:lpwstr>_Toc357513210</vt:lpwstr>
      </vt:variant>
      <vt:variant>
        <vt:i4>1310775</vt:i4>
      </vt:variant>
      <vt:variant>
        <vt:i4>833</vt:i4>
      </vt:variant>
      <vt:variant>
        <vt:i4>0</vt:i4>
      </vt:variant>
      <vt:variant>
        <vt:i4>5</vt:i4>
      </vt:variant>
      <vt:variant>
        <vt:lpwstr/>
      </vt:variant>
      <vt:variant>
        <vt:lpwstr>_Toc357513209</vt:lpwstr>
      </vt:variant>
      <vt:variant>
        <vt:i4>1310775</vt:i4>
      </vt:variant>
      <vt:variant>
        <vt:i4>827</vt:i4>
      </vt:variant>
      <vt:variant>
        <vt:i4>0</vt:i4>
      </vt:variant>
      <vt:variant>
        <vt:i4>5</vt:i4>
      </vt:variant>
      <vt:variant>
        <vt:lpwstr/>
      </vt:variant>
      <vt:variant>
        <vt:lpwstr>_Toc357513208</vt:lpwstr>
      </vt:variant>
      <vt:variant>
        <vt:i4>1310775</vt:i4>
      </vt:variant>
      <vt:variant>
        <vt:i4>821</vt:i4>
      </vt:variant>
      <vt:variant>
        <vt:i4>0</vt:i4>
      </vt:variant>
      <vt:variant>
        <vt:i4>5</vt:i4>
      </vt:variant>
      <vt:variant>
        <vt:lpwstr/>
      </vt:variant>
      <vt:variant>
        <vt:lpwstr>_Toc357513207</vt:lpwstr>
      </vt:variant>
      <vt:variant>
        <vt:i4>1310775</vt:i4>
      </vt:variant>
      <vt:variant>
        <vt:i4>815</vt:i4>
      </vt:variant>
      <vt:variant>
        <vt:i4>0</vt:i4>
      </vt:variant>
      <vt:variant>
        <vt:i4>5</vt:i4>
      </vt:variant>
      <vt:variant>
        <vt:lpwstr/>
      </vt:variant>
      <vt:variant>
        <vt:lpwstr>_Toc357513206</vt:lpwstr>
      </vt:variant>
      <vt:variant>
        <vt:i4>1310775</vt:i4>
      </vt:variant>
      <vt:variant>
        <vt:i4>809</vt:i4>
      </vt:variant>
      <vt:variant>
        <vt:i4>0</vt:i4>
      </vt:variant>
      <vt:variant>
        <vt:i4>5</vt:i4>
      </vt:variant>
      <vt:variant>
        <vt:lpwstr/>
      </vt:variant>
      <vt:variant>
        <vt:lpwstr>_Toc357513205</vt:lpwstr>
      </vt:variant>
      <vt:variant>
        <vt:i4>1310775</vt:i4>
      </vt:variant>
      <vt:variant>
        <vt:i4>803</vt:i4>
      </vt:variant>
      <vt:variant>
        <vt:i4>0</vt:i4>
      </vt:variant>
      <vt:variant>
        <vt:i4>5</vt:i4>
      </vt:variant>
      <vt:variant>
        <vt:lpwstr/>
      </vt:variant>
      <vt:variant>
        <vt:lpwstr>_Toc357513204</vt:lpwstr>
      </vt:variant>
      <vt:variant>
        <vt:i4>1310775</vt:i4>
      </vt:variant>
      <vt:variant>
        <vt:i4>797</vt:i4>
      </vt:variant>
      <vt:variant>
        <vt:i4>0</vt:i4>
      </vt:variant>
      <vt:variant>
        <vt:i4>5</vt:i4>
      </vt:variant>
      <vt:variant>
        <vt:lpwstr/>
      </vt:variant>
      <vt:variant>
        <vt:lpwstr>_Toc357513203</vt:lpwstr>
      </vt:variant>
      <vt:variant>
        <vt:i4>1310775</vt:i4>
      </vt:variant>
      <vt:variant>
        <vt:i4>791</vt:i4>
      </vt:variant>
      <vt:variant>
        <vt:i4>0</vt:i4>
      </vt:variant>
      <vt:variant>
        <vt:i4>5</vt:i4>
      </vt:variant>
      <vt:variant>
        <vt:lpwstr/>
      </vt:variant>
      <vt:variant>
        <vt:lpwstr>_Toc357513202</vt:lpwstr>
      </vt:variant>
      <vt:variant>
        <vt:i4>1310775</vt:i4>
      </vt:variant>
      <vt:variant>
        <vt:i4>785</vt:i4>
      </vt:variant>
      <vt:variant>
        <vt:i4>0</vt:i4>
      </vt:variant>
      <vt:variant>
        <vt:i4>5</vt:i4>
      </vt:variant>
      <vt:variant>
        <vt:lpwstr/>
      </vt:variant>
      <vt:variant>
        <vt:lpwstr>_Toc357513201</vt:lpwstr>
      </vt:variant>
      <vt:variant>
        <vt:i4>1048638</vt:i4>
      </vt:variant>
      <vt:variant>
        <vt:i4>776</vt:i4>
      </vt:variant>
      <vt:variant>
        <vt:i4>0</vt:i4>
      </vt:variant>
      <vt:variant>
        <vt:i4>5</vt:i4>
      </vt:variant>
      <vt:variant>
        <vt:lpwstr/>
      </vt:variant>
      <vt:variant>
        <vt:lpwstr>_Toc355186050</vt:lpwstr>
      </vt:variant>
      <vt:variant>
        <vt:i4>1114174</vt:i4>
      </vt:variant>
      <vt:variant>
        <vt:i4>770</vt:i4>
      </vt:variant>
      <vt:variant>
        <vt:i4>0</vt:i4>
      </vt:variant>
      <vt:variant>
        <vt:i4>5</vt:i4>
      </vt:variant>
      <vt:variant>
        <vt:lpwstr/>
      </vt:variant>
      <vt:variant>
        <vt:lpwstr>_Toc355186049</vt:lpwstr>
      </vt:variant>
      <vt:variant>
        <vt:i4>1114174</vt:i4>
      </vt:variant>
      <vt:variant>
        <vt:i4>764</vt:i4>
      </vt:variant>
      <vt:variant>
        <vt:i4>0</vt:i4>
      </vt:variant>
      <vt:variant>
        <vt:i4>5</vt:i4>
      </vt:variant>
      <vt:variant>
        <vt:lpwstr/>
      </vt:variant>
      <vt:variant>
        <vt:lpwstr>_Toc355186048</vt:lpwstr>
      </vt:variant>
      <vt:variant>
        <vt:i4>1114174</vt:i4>
      </vt:variant>
      <vt:variant>
        <vt:i4>758</vt:i4>
      </vt:variant>
      <vt:variant>
        <vt:i4>0</vt:i4>
      </vt:variant>
      <vt:variant>
        <vt:i4>5</vt:i4>
      </vt:variant>
      <vt:variant>
        <vt:lpwstr/>
      </vt:variant>
      <vt:variant>
        <vt:lpwstr>_Toc355186047</vt:lpwstr>
      </vt:variant>
      <vt:variant>
        <vt:i4>1114174</vt:i4>
      </vt:variant>
      <vt:variant>
        <vt:i4>752</vt:i4>
      </vt:variant>
      <vt:variant>
        <vt:i4>0</vt:i4>
      </vt:variant>
      <vt:variant>
        <vt:i4>5</vt:i4>
      </vt:variant>
      <vt:variant>
        <vt:lpwstr/>
      </vt:variant>
      <vt:variant>
        <vt:lpwstr>_Toc355186046</vt:lpwstr>
      </vt:variant>
      <vt:variant>
        <vt:i4>1114174</vt:i4>
      </vt:variant>
      <vt:variant>
        <vt:i4>746</vt:i4>
      </vt:variant>
      <vt:variant>
        <vt:i4>0</vt:i4>
      </vt:variant>
      <vt:variant>
        <vt:i4>5</vt:i4>
      </vt:variant>
      <vt:variant>
        <vt:lpwstr/>
      </vt:variant>
      <vt:variant>
        <vt:lpwstr>_Toc355186045</vt:lpwstr>
      </vt:variant>
      <vt:variant>
        <vt:i4>1114174</vt:i4>
      </vt:variant>
      <vt:variant>
        <vt:i4>740</vt:i4>
      </vt:variant>
      <vt:variant>
        <vt:i4>0</vt:i4>
      </vt:variant>
      <vt:variant>
        <vt:i4>5</vt:i4>
      </vt:variant>
      <vt:variant>
        <vt:lpwstr/>
      </vt:variant>
      <vt:variant>
        <vt:lpwstr>_Toc355186044</vt:lpwstr>
      </vt:variant>
      <vt:variant>
        <vt:i4>1114174</vt:i4>
      </vt:variant>
      <vt:variant>
        <vt:i4>734</vt:i4>
      </vt:variant>
      <vt:variant>
        <vt:i4>0</vt:i4>
      </vt:variant>
      <vt:variant>
        <vt:i4>5</vt:i4>
      </vt:variant>
      <vt:variant>
        <vt:lpwstr/>
      </vt:variant>
      <vt:variant>
        <vt:lpwstr>_Toc355186043</vt:lpwstr>
      </vt:variant>
      <vt:variant>
        <vt:i4>1114174</vt:i4>
      </vt:variant>
      <vt:variant>
        <vt:i4>728</vt:i4>
      </vt:variant>
      <vt:variant>
        <vt:i4>0</vt:i4>
      </vt:variant>
      <vt:variant>
        <vt:i4>5</vt:i4>
      </vt:variant>
      <vt:variant>
        <vt:lpwstr/>
      </vt:variant>
      <vt:variant>
        <vt:lpwstr>_Toc355186042</vt:lpwstr>
      </vt:variant>
      <vt:variant>
        <vt:i4>1114174</vt:i4>
      </vt:variant>
      <vt:variant>
        <vt:i4>722</vt:i4>
      </vt:variant>
      <vt:variant>
        <vt:i4>0</vt:i4>
      </vt:variant>
      <vt:variant>
        <vt:i4>5</vt:i4>
      </vt:variant>
      <vt:variant>
        <vt:lpwstr/>
      </vt:variant>
      <vt:variant>
        <vt:lpwstr>_Toc355186041</vt:lpwstr>
      </vt:variant>
      <vt:variant>
        <vt:i4>1114174</vt:i4>
      </vt:variant>
      <vt:variant>
        <vt:i4>716</vt:i4>
      </vt:variant>
      <vt:variant>
        <vt:i4>0</vt:i4>
      </vt:variant>
      <vt:variant>
        <vt:i4>5</vt:i4>
      </vt:variant>
      <vt:variant>
        <vt:lpwstr/>
      </vt:variant>
      <vt:variant>
        <vt:lpwstr>_Toc355186040</vt:lpwstr>
      </vt:variant>
      <vt:variant>
        <vt:i4>1441854</vt:i4>
      </vt:variant>
      <vt:variant>
        <vt:i4>710</vt:i4>
      </vt:variant>
      <vt:variant>
        <vt:i4>0</vt:i4>
      </vt:variant>
      <vt:variant>
        <vt:i4>5</vt:i4>
      </vt:variant>
      <vt:variant>
        <vt:lpwstr/>
      </vt:variant>
      <vt:variant>
        <vt:lpwstr>_Toc355186039</vt:lpwstr>
      </vt:variant>
      <vt:variant>
        <vt:i4>1441854</vt:i4>
      </vt:variant>
      <vt:variant>
        <vt:i4>704</vt:i4>
      </vt:variant>
      <vt:variant>
        <vt:i4>0</vt:i4>
      </vt:variant>
      <vt:variant>
        <vt:i4>5</vt:i4>
      </vt:variant>
      <vt:variant>
        <vt:lpwstr/>
      </vt:variant>
      <vt:variant>
        <vt:lpwstr>_Toc355186038</vt:lpwstr>
      </vt:variant>
      <vt:variant>
        <vt:i4>1441854</vt:i4>
      </vt:variant>
      <vt:variant>
        <vt:i4>698</vt:i4>
      </vt:variant>
      <vt:variant>
        <vt:i4>0</vt:i4>
      </vt:variant>
      <vt:variant>
        <vt:i4>5</vt:i4>
      </vt:variant>
      <vt:variant>
        <vt:lpwstr/>
      </vt:variant>
      <vt:variant>
        <vt:lpwstr>_Toc355186037</vt:lpwstr>
      </vt:variant>
      <vt:variant>
        <vt:i4>1441854</vt:i4>
      </vt:variant>
      <vt:variant>
        <vt:i4>692</vt:i4>
      </vt:variant>
      <vt:variant>
        <vt:i4>0</vt:i4>
      </vt:variant>
      <vt:variant>
        <vt:i4>5</vt:i4>
      </vt:variant>
      <vt:variant>
        <vt:lpwstr/>
      </vt:variant>
      <vt:variant>
        <vt:lpwstr>_Toc355186036</vt:lpwstr>
      </vt:variant>
      <vt:variant>
        <vt:i4>1441854</vt:i4>
      </vt:variant>
      <vt:variant>
        <vt:i4>686</vt:i4>
      </vt:variant>
      <vt:variant>
        <vt:i4>0</vt:i4>
      </vt:variant>
      <vt:variant>
        <vt:i4>5</vt:i4>
      </vt:variant>
      <vt:variant>
        <vt:lpwstr/>
      </vt:variant>
      <vt:variant>
        <vt:lpwstr>_Toc355186035</vt:lpwstr>
      </vt:variant>
      <vt:variant>
        <vt:i4>1441854</vt:i4>
      </vt:variant>
      <vt:variant>
        <vt:i4>680</vt:i4>
      </vt:variant>
      <vt:variant>
        <vt:i4>0</vt:i4>
      </vt:variant>
      <vt:variant>
        <vt:i4>5</vt:i4>
      </vt:variant>
      <vt:variant>
        <vt:lpwstr/>
      </vt:variant>
      <vt:variant>
        <vt:lpwstr>_Toc355186034</vt:lpwstr>
      </vt:variant>
      <vt:variant>
        <vt:i4>1441854</vt:i4>
      </vt:variant>
      <vt:variant>
        <vt:i4>674</vt:i4>
      </vt:variant>
      <vt:variant>
        <vt:i4>0</vt:i4>
      </vt:variant>
      <vt:variant>
        <vt:i4>5</vt:i4>
      </vt:variant>
      <vt:variant>
        <vt:lpwstr/>
      </vt:variant>
      <vt:variant>
        <vt:lpwstr>_Toc355186033</vt:lpwstr>
      </vt:variant>
      <vt:variant>
        <vt:i4>1441854</vt:i4>
      </vt:variant>
      <vt:variant>
        <vt:i4>668</vt:i4>
      </vt:variant>
      <vt:variant>
        <vt:i4>0</vt:i4>
      </vt:variant>
      <vt:variant>
        <vt:i4>5</vt:i4>
      </vt:variant>
      <vt:variant>
        <vt:lpwstr/>
      </vt:variant>
      <vt:variant>
        <vt:lpwstr>_Toc355186032</vt:lpwstr>
      </vt:variant>
      <vt:variant>
        <vt:i4>1441854</vt:i4>
      </vt:variant>
      <vt:variant>
        <vt:i4>662</vt:i4>
      </vt:variant>
      <vt:variant>
        <vt:i4>0</vt:i4>
      </vt:variant>
      <vt:variant>
        <vt:i4>5</vt:i4>
      </vt:variant>
      <vt:variant>
        <vt:lpwstr/>
      </vt:variant>
      <vt:variant>
        <vt:lpwstr>_Toc355186031</vt:lpwstr>
      </vt:variant>
      <vt:variant>
        <vt:i4>1441854</vt:i4>
      </vt:variant>
      <vt:variant>
        <vt:i4>656</vt:i4>
      </vt:variant>
      <vt:variant>
        <vt:i4>0</vt:i4>
      </vt:variant>
      <vt:variant>
        <vt:i4>5</vt:i4>
      </vt:variant>
      <vt:variant>
        <vt:lpwstr/>
      </vt:variant>
      <vt:variant>
        <vt:lpwstr>_Toc355186030</vt:lpwstr>
      </vt:variant>
      <vt:variant>
        <vt:i4>1507390</vt:i4>
      </vt:variant>
      <vt:variant>
        <vt:i4>650</vt:i4>
      </vt:variant>
      <vt:variant>
        <vt:i4>0</vt:i4>
      </vt:variant>
      <vt:variant>
        <vt:i4>5</vt:i4>
      </vt:variant>
      <vt:variant>
        <vt:lpwstr/>
      </vt:variant>
      <vt:variant>
        <vt:lpwstr>_Toc355186029</vt:lpwstr>
      </vt:variant>
      <vt:variant>
        <vt:i4>1507390</vt:i4>
      </vt:variant>
      <vt:variant>
        <vt:i4>644</vt:i4>
      </vt:variant>
      <vt:variant>
        <vt:i4>0</vt:i4>
      </vt:variant>
      <vt:variant>
        <vt:i4>5</vt:i4>
      </vt:variant>
      <vt:variant>
        <vt:lpwstr/>
      </vt:variant>
      <vt:variant>
        <vt:lpwstr>_Toc355186028</vt:lpwstr>
      </vt:variant>
      <vt:variant>
        <vt:i4>1507390</vt:i4>
      </vt:variant>
      <vt:variant>
        <vt:i4>638</vt:i4>
      </vt:variant>
      <vt:variant>
        <vt:i4>0</vt:i4>
      </vt:variant>
      <vt:variant>
        <vt:i4>5</vt:i4>
      </vt:variant>
      <vt:variant>
        <vt:lpwstr/>
      </vt:variant>
      <vt:variant>
        <vt:lpwstr>_Toc355186027</vt:lpwstr>
      </vt:variant>
      <vt:variant>
        <vt:i4>1507390</vt:i4>
      </vt:variant>
      <vt:variant>
        <vt:i4>632</vt:i4>
      </vt:variant>
      <vt:variant>
        <vt:i4>0</vt:i4>
      </vt:variant>
      <vt:variant>
        <vt:i4>5</vt:i4>
      </vt:variant>
      <vt:variant>
        <vt:lpwstr/>
      </vt:variant>
      <vt:variant>
        <vt:lpwstr>_Toc355186026</vt:lpwstr>
      </vt:variant>
      <vt:variant>
        <vt:i4>1507390</vt:i4>
      </vt:variant>
      <vt:variant>
        <vt:i4>626</vt:i4>
      </vt:variant>
      <vt:variant>
        <vt:i4>0</vt:i4>
      </vt:variant>
      <vt:variant>
        <vt:i4>5</vt:i4>
      </vt:variant>
      <vt:variant>
        <vt:lpwstr/>
      </vt:variant>
      <vt:variant>
        <vt:lpwstr>_Toc355186025</vt:lpwstr>
      </vt:variant>
      <vt:variant>
        <vt:i4>1507390</vt:i4>
      </vt:variant>
      <vt:variant>
        <vt:i4>620</vt:i4>
      </vt:variant>
      <vt:variant>
        <vt:i4>0</vt:i4>
      </vt:variant>
      <vt:variant>
        <vt:i4>5</vt:i4>
      </vt:variant>
      <vt:variant>
        <vt:lpwstr/>
      </vt:variant>
      <vt:variant>
        <vt:lpwstr>_Toc355186024</vt:lpwstr>
      </vt:variant>
      <vt:variant>
        <vt:i4>1507390</vt:i4>
      </vt:variant>
      <vt:variant>
        <vt:i4>614</vt:i4>
      </vt:variant>
      <vt:variant>
        <vt:i4>0</vt:i4>
      </vt:variant>
      <vt:variant>
        <vt:i4>5</vt:i4>
      </vt:variant>
      <vt:variant>
        <vt:lpwstr/>
      </vt:variant>
      <vt:variant>
        <vt:lpwstr>_Toc355186023</vt:lpwstr>
      </vt:variant>
      <vt:variant>
        <vt:i4>1507390</vt:i4>
      </vt:variant>
      <vt:variant>
        <vt:i4>608</vt:i4>
      </vt:variant>
      <vt:variant>
        <vt:i4>0</vt:i4>
      </vt:variant>
      <vt:variant>
        <vt:i4>5</vt:i4>
      </vt:variant>
      <vt:variant>
        <vt:lpwstr/>
      </vt:variant>
      <vt:variant>
        <vt:lpwstr>_Toc355186022</vt:lpwstr>
      </vt:variant>
      <vt:variant>
        <vt:i4>1507390</vt:i4>
      </vt:variant>
      <vt:variant>
        <vt:i4>602</vt:i4>
      </vt:variant>
      <vt:variant>
        <vt:i4>0</vt:i4>
      </vt:variant>
      <vt:variant>
        <vt:i4>5</vt:i4>
      </vt:variant>
      <vt:variant>
        <vt:lpwstr/>
      </vt:variant>
      <vt:variant>
        <vt:lpwstr>_Toc355186021</vt:lpwstr>
      </vt:variant>
      <vt:variant>
        <vt:i4>1507390</vt:i4>
      </vt:variant>
      <vt:variant>
        <vt:i4>596</vt:i4>
      </vt:variant>
      <vt:variant>
        <vt:i4>0</vt:i4>
      </vt:variant>
      <vt:variant>
        <vt:i4>5</vt:i4>
      </vt:variant>
      <vt:variant>
        <vt:lpwstr/>
      </vt:variant>
      <vt:variant>
        <vt:lpwstr>_Toc355186020</vt:lpwstr>
      </vt:variant>
      <vt:variant>
        <vt:i4>1310782</vt:i4>
      </vt:variant>
      <vt:variant>
        <vt:i4>590</vt:i4>
      </vt:variant>
      <vt:variant>
        <vt:i4>0</vt:i4>
      </vt:variant>
      <vt:variant>
        <vt:i4>5</vt:i4>
      </vt:variant>
      <vt:variant>
        <vt:lpwstr/>
      </vt:variant>
      <vt:variant>
        <vt:lpwstr>_Toc355186019</vt:lpwstr>
      </vt:variant>
      <vt:variant>
        <vt:i4>1310782</vt:i4>
      </vt:variant>
      <vt:variant>
        <vt:i4>584</vt:i4>
      </vt:variant>
      <vt:variant>
        <vt:i4>0</vt:i4>
      </vt:variant>
      <vt:variant>
        <vt:i4>5</vt:i4>
      </vt:variant>
      <vt:variant>
        <vt:lpwstr/>
      </vt:variant>
      <vt:variant>
        <vt:lpwstr>_Toc355186018</vt:lpwstr>
      </vt:variant>
      <vt:variant>
        <vt:i4>1310782</vt:i4>
      </vt:variant>
      <vt:variant>
        <vt:i4>578</vt:i4>
      </vt:variant>
      <vt:variant>
        <vt:i4>0</vt:i4>
      </vt:variant>
      <vt:variant>
        <vt:i4>5</vt:i4>
      </vt:variant>
      <vt:variant>
        <vt:lpwstr/>
      </vt:variant>
      <vt:variant>
        <vt:lpwstr>_Toc355186017</vt:lpwstr>
      </vt:variant>
      <vt:variant>
        <vt:i4>1310782</vt:i4>
      </vt:variant>
      <vt:variant>
        <vt:i4>572</vt:i4>
      </vt:variant>
      <vt:variant>
        <vt:i4>0</vt:i4>
      </vt:variant>
      <vt:variant>
        <vt:i4>5</vt:i4>
      </vt:variant>
      <vt:variant>
        <vt:lpwstr/>
      </vt:variant>
      <vt:variant>
        <vt:lpwstr>_Toc355186016</vt:lpwstr>
      </vt:variant>
      <vt:variant>
        <vt:i4>1310782</vt:i4>
      </vt:variant>
      <vt:variant>
        <vt:i4>566</vt:i4>
      </vt:variant>
      <vt:variant>
        <vt:i4>0</vt:i4>
      </vt:variant>
      <vt:variant>
        <vt:i4>5</vt:i4>
      </vt:variant>
      <vt:variant>
        <vt:lpwstr/>
      </vt:variant>
      <vt:variant>
        <vt:lpwstr>_Toc355186015</vt:lpwstr>
      </vt:variant>
      <vt:variant>
        <vt:i4>1310782</vt:i4>
      </vt:variant>
      <vt:variant>
        <vt:i4>560</vt:i4>
      </vt:variant>
      <vt:variant>
        <vt:i4>0</vt:i4>
      </vt:variant>
      <vt:variant>
        <vt:i4>5</vt:i4>
      </vt:variant>
      <vt:variant>
        <vt:lpwstr/>
      </vt:variant>
      <vt:variant>
        <vt:lpwstr>_Toc355186014</vt:lpwstr>
      </vt:variant>
      <vt:variant>
        <vt:i4>1310782</vt:i4>
      </vt:variant>
      <vt:variant>
        <vt:i4>554</vt:i4>
      </vt:variant>
      <vt:variant>
        <vt:i4>0</vt:i4>
      </vt:variant>
      <vt:variant>
        <vt:i4>5</vt:i4>
      </vt:variant>
      <vt:variant>
        <vt:lpwstr/>
      </vt:variant>
      <vt:variant>
        <vt:lpwstr>_Toc355186013</vt:lpwstr>
      </vt:variant>
      <vt:variant>
        <vt:i4>1310782</vt:i4>
      </vt:variant>
      <vt:variant>
        <vt:i4>548</vt:i4>
      </vt:variant>
      <vt:variant>
        <vt:i4>0</vt:i4>
      </vt:variant>
      <vt:variant>
        <vt:i4>5</vt:i4>
      </vt:variant>
      <vt:variant>
        <vt:lpwstr/>
      </vt:variant>
      <vt:variant>
        <vt:lpwstr>_Toc355186012</vt:lpwstr>
      </vt:variant>
      <vt:variant>
        <vt:i4>1310782</vt:i4>
      </vt:variant>
      <vt:variant>
        <vt:i4>542</vt:i4>
      </vt:variant>
      <vt:variant>
        <vt:i4>0</vt:i4>
      </vt:variant>
      <vt:variant>
        <vt:i4>5</vt:i4>
      </vt:variant>
      <vt:variant>
        <vt:lpwstr/>
      </vt:variant>
      <vt:variant>
        <vt:lpwstr>_Toc355186011</vt:lpwstr>
      </vt:variant>
      <vt:variant>
        <vt:i4>1310782</vt:i4>
      </vt:variant>
      <vt:variant>
        <vt:i4>536</vt:i4>
      </vt:variant>
      <vt:variant>
        <vt:i4>0</vt:i4>
      </vt:variant>
      <vt:variant>
        <vt:i4>5</vt:i4>
      </vt:variant>
      <vt:variant>
        <vt:lpwstr/>
      </vt:variant>
      <vt:variant>
        <vt:lpwstr>_Toc355186010</vt:lpwstr>
      </vt:variant>
      <vt:variant>
        <vt:i4>1376318</vt:i4>
      </vt:variant>
      <vt:variant>
        <vt:i4>530</vt:i4>
      </vt:variant>
      <vt:variant>
        <vt:i4>0</vt:i4>
      </vt:variant>
      <vt:variant>
        <vt:i4>5</vt:i4>
      </vt:variant>
      <vt:variant>
        <vt:lpwstr/>
      </vt:variant>
      <vt:variant>
        <vt:lpwstr>_Toc355186009</vt:lpwstr>
      </vt:variant>
      <vt:variant>
        <vt:i4>1376318</vt:i4>
      </vt:variant>
      <vt:variant>
        <vt:i4>524</vt:i4>
      </vt:variant>
      <vt:variant>
        <vt:i4>0</vt:i4>
      </vt:variant>
      <vt:variant>
        <vt:i4>5</vt:i4>
      </vt:variant>
      <vt:variant>
        <vt:lpwstr/>
      </vt:variant>
      <vt:variant>
        <vt:lpwstr>_Toc355186008</vt:lpwstr>
      </vt:variant>
      <vt:variant>
        <vt:i4>1376318</vt:i4>
      </vt:variant>
      <vt:variant>
        <vt:i4>518</vt:i4>
      </vt:variant>
      <vt:variant>
        <vt:i4>0</vt:i4>
      </vt:variant>
      <vt:variant>
        <vt:i4>5</vt:i4>
      </vt:variant>
      <vt:variant>
        <vt:lpwstr/>
      </vt:variant>
      <vt:variant>
        <vt:lpwstr>_Toc355186007</vt:lpwstr>
      </vt:variant>
      <vt:variant>
        <vt:i4>1376318</vt:i4>
      </vt:variant>
      <vt:variant>
        <vt:i4>512</vt:i4>
      </vt:variant>
      <vt:variant>
        <vt:i4>0</vt:i4>
      </vt:variant>
      <vt:variant>
        <vt:i4>5</vt:i4>
      </vt:variant>
      <vt:variant>
        <vt:lpwstr/>
      </vt:variant>
      <vt:variant>
        <vt:lpwstr>_Toc355186006</vt:lpwstr>
      </vt:variant>
      <vt:variant>
        <vt:i4>1376318</vt:i4>
      </vt:variant>
      <vt:variant>
        <vt:i4>506</vt:i4>
      </vt:variant>
      <vt:variant>
        <vt:i4>0</vt:i4>
      </vt:variant>
      <vt:variant>
        <vt:i4>5</vt:i4>
      </vt:variant>
      <vt:variant>
        <vt:lpwstr/>
      </vt:variant>
      <vt:variant>
        <vt:lpwstr>_Toc355186005</vt:lpwstr>
      </vt:variant>
      <vt:variant>
        <vt:i4>1376318</vt:i4>
      </vt:variant>
      <vt:variant>
        <vt:i4>500</vt:i4>
      </vt:variant>
      <vt:variant>
        <vt:i4>0</vt:i4>
      </vt:variant>
      <vt:variant>
        <vt:i4>5</vt:i4>
      </vt:variant>
      <vt:variant>
        <vt:lpwstr/>
      </vt:variant>
      <vt:variant>
        <vt:lpwstr>_Toc355186004</vt:lpwstr>
      </vt:variant>
      <vt:variant>
        <vt:i4>1376318</vt:i4>
      </vt:variant>
      <vt:variant>
        <vt:i4>494</vt:i4>
      </vt:variant>
      <vt:variant>
        <vt:i4>0</vt:i4>
      </vt:variant>
      <vt:variant>
        <vt:i4>5</vt:i4>
      </vt:variant>
      <vt:variant>
        <vt:lpwstr/>
      </vt:variant>
      <vt:variant>
        <vt:lpwstr>_Toc355186003</vt:lpwstr>
      </vt:variant>
      <vt:variant>
        <vt:i4>1376318</vt:i4>
      </vt:variant>
      <vt:variant>
        <vt:i4>488</vt:i4>
      </vt:variant>
      <vt:variant>
        <vt:i4>0</vt:i4>
      </vt:variant>
      <vt:variant>
        <vt:i4>5</vt:i4>
      </vt:variant>
      <vt:variant>
        <vt:lpwstr/>
      </vt:variant>
      <vt:variant>
        <vt:lpwstr>_Toc355186002</vt:lpwstr>
      </vt:variant>
      <vt:variant>
        <vt:i4>1376318</vt:i4>
      </vt:variant>
      <vt:variant>
        <vt:i4>482</vt:i4>
      </vt:variant>
      <vt:variant>
        <vt:i4>0</vt:i4>
      </vt:variant>
      <vt:variant>
        <vt:i4>5</vt:i4>
      </vt:variant>
      <vt:variant>
        <vt:lpwstr/>
      </vt:variant>
      <vt:variant>
        <vt:lpwstr>_Toc355186001</vt:lpwstr>
      </vt:variant>
      <vt:variant>
        <vt:i4>1376318</vt:i4>
      </vt:variant>
      <vt:variant>
        <vt:i4>476</vt:i4>
      </vt:variant>
      <vt:variant>
        <vt:i4>0</vt:i4>
      </vt:variant>
      <vt:variant>
        <vt:i4>5</vt:i4>
      </vt:variant>
      <vt:variant>
        <vt:lpwstr/>
      </vt:variant>
      <vt:variant>
        <vt:lpwstr>_Toc355186000</vt:lpwstr>
      </vt:variant>
      <vt:variant>
        <vt:i4>2031671</vt:i4>
      </vt:variant>
      <vt:variant>
        <vt:i4>470</vt:i4>
      </vt:variant>
      <vt:variant>
        <vt:i4>0</vt:i4>
      </vt:variant>
      <vt:variant>
        <vt:i4>5</vt:i4>
      </vt:variant>
      <vt:variant>
        <vt:lpwstr/>
      </vt:variant>
      <vt:variant>
        <vt:lpwstr>_Toc355185999</vt:lpwstr>
      </vt:variant>
      <vt:variant>
        <vt:i4>2031671</vt:i4>
      </vt:variant>
      <vt:variant>
        <vt:i4>464</vt:i4>
      </vt:variant>
      <vt:variant>
        <vt:i4>0</vt:i4>
      </vt:variant>
      <vt:variant>
        <vt:i4>5</vt:i4>
      </vt:variant>
      <vt:variant>
        <vt:lpwstr/>
      </vt:variant>
      <vt:variant>
        <vt:lpwstr>_Toc355185998</vt:lpwstr>
      </vt:variant>
      <vt:variant>
        <vt:i4>2031671</vt:i4>
      </vt:variant>
      <vt:variant>
        <vt:i4>458</vt:i4>
      </vt:variant>
      <vt:variant>
        <vt:i4>0</vt:i4>
      </vt:variant>
      <vt:variant>
        <vt:i4>5</vt:i4>
      </vt:variant>
      <vt:variant>
        <vt:lpwstr/>
      </vt:variant>
      <vt:variant>
        <vt:lpwstr>_Toc355185997</vt:lpwstr>
      </vt:variant>
      <vt:variant>
        <vt:i4>2031671</vt:i4>
      </vt:variant>
      <vt:variant>
        <vt:i4>452</vt:i4>
      </vt:variant>
      <vt:variant>
        <vt:i4>0</vt:i4>
      </vt:variant>
      <vt:variant>
        <vt:i4>5</vt:i4>
      </vt:variant>
      <vt:variant>
        <vt:lpwstr/>
      </vt:variant>
      <vt:variant>
        <vt:lpwstr>_Toc355185996</vt:lpwstr>
      </vt:variant>
      <vt:variant>
        <vt:i4>2031671</vt:i4>
      </vt:variant>
      <vt:variant>
        <vt:i4>446</vt:i4>
      </vt:variant>
      <vt:variant>
        <vt:i4>0</vt:i4>
      </vt:variant>
      <vt:variant>
        <vt:i4>5</vt:i4>
      </vt:variant>
      <vt:variant>
        <vt:lpwstr/>
      </vt:variant>
      <vt:variant>
        <vt:lpwstr>_Toc355185995</vt:lpwstr>
      </vt:variant>
      <vt:variant>
        <vt:i4>2031671</vt:i4>
      </vt:variant>
      <vt:variant>
        <vt:i4>440</vt:i4>
      </vt:variant>
      <vt:variant>
        <vt:i4>0</vt:i4>
      </vt:variant>
      <vt:variant>
        <vt:i4>5</vt:i4>
      </vt:variant>
      <vt:variant>
        <vt:lpwstr/>
      </vt:variant>
      <vt:variant>
        <vt:lpwstr>_Toc355185994</vt:lpwstr>
      </vt:variant>
      <vt:variant>
        <vt:i4>2031671</vt:i4>
      </vt:variant>
      <vt:variant>
        <vt:i4>434</vt:i4>
      </vt:variant>
      <vt:variant>
        <vt:i4>0</vt:i4>
      </vt:variant>
      <vt:variant>
        <vt:i4>5</vt:i4>
      </vt:variant>
      <vt:variant>
        <vt:lpwstr/>
      </vt:variant>
      <vt:variant>
        <vt:lpwstr>_Toc355185993</vt:lpwstr>
      </vt:variant>
      <vt:variant>
        <vt:i4>2031671</vt:i4>
      </vt:variant>
      <vt:variant>
        <vt:i4>428</vt:i4>
      </vt:variant>
      <vt:variant>
        <vt:i4>0</vt:i4>
      </vt:variant>
      <vt:variant>
        <vt:i4>5</vt:i4>
      </vt:variant>
      <vt:variant>
        <vt:lpwstr/>
      </vt:variant>
      <vt:variant>
        <vt:lpwstr>_Toc355185992</vt:lpwstr>
      </vt:variant>
      <vt:variant>
        <vt:i4>2031671</vt:i4>
      </vt:variant>
      <vt:variant>
        <vt:i4>422</vt:i4>
      </vt:variant>
      <vt:variant>
        <vt:i4>0</vt:i4>
      </vt:variant>
      <vt:variant>
        <vt:i4>5</vt:i4>
      </vt:variant>
      <vt:variant>
        <vt:lpwstr/>
      </vt:variant>
      <vt:variant>
        <vt:lpwstr>_Toc355185991</vt:lpwstr>
      </vt:variant>
      <vt:variant>
        <vt:i4>2031671</vt:i4>
      </vt:variant>
      <vt:variant>
        <vt:i4>416</vt:i4>
      </vt:variant>
      <vt:variant>
        <vt:i4>0</vt:i4>
      </vt:variant>
      <vt:variant>
        <vt:i4>5</vt:i4>
      </vt:variant>
      <vt:variant>
        <vt:lpwstr/>
      </vt:variant>
      <vt:variant>
        <vt:lpwstr>_Toc355185990</vt:lpwstr>
      </vt:variant>
      <vt:variant>
        <vt:i4>1966135</vt:i4>
      </vt:variant>
      <vt:variant>
        <vt:i4>410</vt:i4>
      </vt:variant>
      <vt:variant>
        <vt:i4>0</vt:i4>
      </vt:variant>
      <vt:variant>
        <vt:i4>5</vt:i4>
      </vt:variant>
      <vt:variant>
        <vt:lpwstr/>
      </vt:variant>
      <vt:variant>
        <vt:lpwstr>_Toc355185989</vt:lpwstr>
      </vt:variant>
      <vt:variant>
        <vt:i4>1966135</vt:i4>
      </vt:variant>
      <vt:variant>
        <vt:i4>404</vt:i4>
      </vt:variant>
      <vt:variant>
        <vt:i4>0</vt:i4>
      </vt:variant>
      <vt:variant>
        <vt:i4>5</vt:i4>
      </vt:variant>
      <vt:variant>
        <vt:lpwstr/>
      </vt:variant>
      <vt:variant>
        <vt:lpwstr>_Toc355185988</vt:lpwstr>
      </vt:variant>
      <vt:variant>
        <vt:i4>1966135</vt:i4>
      </vt:variant>
      <vt:variant>
        <vt:i4>398</vt:i4>
      </vt:variant>
      <vt:variant>
        <vt:i4>0</vt:i4>
      </vt:variant>
      <vt:variant>
        <vt:i4>5</vt:i4>
      </vt:variant>
      <vt:variant>
        <vt:lpwstr/>
      </vt:variant>
      <vt:variant>
        <vt:lpwstr>_Toc355185987</vt:lpwstr>
      </vt:variant>
      <vt:variant>
        <vt:i4>1966135</vt:i4>
      </vt:variant>
      <vt:variant>
        <vt:i4>392</vt:i4>
      </vt:variant>
      <vt:variant>
        <vt:i4>0</vt:i4>
      </vt:variant>
      <vt:variant>
        <vt:i4>5</vt:i4>
      </vt:variant>
      <vt:variant>
        <vt:lpwstr/>
      </vt:variant>
      <vt:variant>
        <vt:lpwstr>_Toc355185986</vt:lpwstr>
      </vt:variant>
      <vt:variant>
        <vt:i4>1966135</vt:i4>
      </vt:variant>
      <vt:variant>
        <vt:i4>386</vt:i4>
      </vt:variant>
      <vt:variant>
        <vt:i4>0</vt:i4>
      </vt:variant>
      <vt:variant>
        <vt:i4>5</vt:i4>
      </vt:variant>
      <vt:variant>
        <vt:lpwstr/>
      </vt:variant>
      <vt:variant>
        <vt:lpwstr>_Toc355185985</vt:lpwstr>
      </vt:variant>
      <vt:variant>
        <vt:i4>1966135</vt:i4>
      </vt:variant>
      <vt:variant>
        <vt:i4>380</vt:i4>
      </vt:variant>
      <vt:variant>
        <vt:i4>0</vt:i4>
      </vt:variant>
      <vt:variant>
        <vt:i4>5</vt:i4>
      </vt:variant>
      <vt:variant>
        <vt:lpwstr/>
      </vt:variant>
      <vt:variant>
        <vt:lpwstr>_Toc355185984</vt:lpwstr>
      </vt:variant>
      <vt:variant>
        <vt:i4>5963801</vt:i4>
      </vt:variant>
      <vt:variant>
        <vt:i4>375</vt:i4>
      </vt:variant>
      <vt:variant>
        <vt:i4>0</vt:i4>
      </vt:variant>
      <vt:variant>
        <vt:i4>5</vt:i4>
      </vt:variant>
      <vt:variant>
        <vt:lpwstr>http://www.jica.go.jp/english/our_work/types_of_assistance/oda_loans/oda_op_info/guide/tender/spanish.html</vt:lpwstr>
      </vt:variant>
      <vt:variant>
        <vt:lpwstr/>
      </vt:variant>
      <vt:variant>
        <vt:i4>1310770</vt:i4>
      </vt:variant>
      <vt:variant>
        <vt:i4>368</vt:i4>
      </vt:variant>
      <vt:variant>
        <vt:i4>0</vt:i4>
      </vt:variant>
      <vt:variant>
        <vt:i4>5</vt:i4>
      </vt:variant>
      <vt:variant>
        <vt:lpwstr/>
      </vt:variant>
      <vt:variant>
        <vt:lpwstr>_Toc354652020</vt:lpwstr>
      </vt:variant>
      <vt:variant>
        <vt:i4>1507378</vt:i4>
      </vt:variant>
      <vt:variant>
        <vt:i4>362</vt:i4>
      </vt:variant>
      <vt:variant>
        <vt:i4>0</vt:i4>
      </vt:variant>
      <vt:variant>
        <vt:i4>5</vt:i4>
      </vt:variant>
      <vt:variant>
        <vt:lpwstr/>
      </vt:variant>
      <vt:variant>
        <vt:lpwstr>_Toc354652019</vt:lpwstr>
      </vt:variant>
      <vt:variant>
        <vt:i4>1507378</vt:i4>
      </vt:variant>
      <vt:variant>
        <vt:i4>356</vt:i4>
      </vt:variant>
      <vt:variant>
        <vt:i4>0</vt:i4>
      </vt:variant>
      <vt:variant>
        <vt:i4>5</vt:i4>
      </vt:variant>
      <vt:variant>
        <vt:lpwstr/>
      </vt:variant>
      <vt:variant>
        <vt:lpwstr>_Toc354652018</vt:lpwstr>
      </vt:variant>
      <vt:variant>
        <vt:i4>1507378</vt:i4>
      </vt:variant>
      <vt:variant>
        <vt:i4>350</vt:i4>
      </vt:variant>
      <vt:variant>
        <vt:i4>0</vt:i4>
      </vt:variant>
      <vt:variant>
        <vt:i4>5</vt:i4>
      </vt:variant>
      <vt:variant>
        <vt:lpwstr/>
      </vt:variant>
      <vt:variant>
        <vt:lpwstr>_Toc354652017</vt:lpwstr>
      </vt:variant>
      <vt:variant>
        <vt:i4>1507378</vt:i4>
      </vt:variant>
      <vt:variant>
        <vt:i4>344</vt:i4>
      </vt:variant>
      <vt:variant>
        <vt:i4>0</vt:i4>
      </vt:variant>
      <vt:variant>
        <vt:i4>5</vt:i4>
      </vt:variant>
      <vt:variant>
        <vt:lpwstr/>
      </vt:variant>
      <vt:variant>
        <vt:lpwstr>_Toc354652016</vt:lpwstr>
      </vt:variant>
      <vt:variant>
        <vt:i4>1507378</vt:i4>
      </vt:variant>
      <vt:variant>
        <vt:i4>338</vt:i4>
      </vt:variant>
      <vt:variant>
        <vt:i4>0</vt:i4>
      </vt:variant>
      <vt:variant>
        <vt:i4>5</vt:i4>
      </vt:variant>
      <vt:variant>
        <vt:lpwstr/>
      </vt:variant>
      <vt:variant>
        <vt:lpwstr>_Toc354652015</vt:lpwstr>
      </vt:variant>
      <vt:variant>
        <vt:i4>1507378</vt:i4>
      </vt:variant>
      <vt:variant>
        <vt:i4>332</vt:i4>
      </vt:variant>
      <vt:variant>
        <vt:i4>0</vt:i4>
      </vt:variant>
      <vt:variant>
        <vt:i4>5</vt:i4>
      </vt:variant>
      <vt:variant>
        <vt:lpwstr/>
      </vt:variant>
      <vt:variant>
        <vt:lpwstr>_Toc354652014</vt:lpwstr>
      </vt:variant>
      <vt:variant>
        <vt:i4>1507378</vt:i4>
      </vt:variant>
      <vt:variant>
        <vt:i4>326</vt:i4>
      </vt:variant>
      <vt:variant>
        <vt:i4>0</vt:i4>
      </vt:variant>
      <vt:variant>
        <vt:i4>5</vt:i4>
      </vt:variant>
      <vt:variant>
        <vt:lpwstr/>
      </vt:variant>
      <vt:variant>
        <vt:lpwstr>_Toc354652013</vt:lpwstr>
      </vt:variant>
      <vt:variant>
        <vt:i4>1507378</vt:i4>
      </vt:variant>
      <vt:variant>
        <vt:i4>320</vt:i4>
      </vt:variant>
      <vt:variant>
        <vt:i4>0</vt:i4>
      </vt:variant>
      <vt:variant>
        <vt:i4>5</vt:i4>
      </vt:variant>
      <vt:variant>
        <vt:lpwstr/>
      </vt:variant>
      <vt:variant>
        <vt:lpwstr>_Toc354652012</vt:lpwstr>
      </vt:variant>
      <vt:variant>
        <vt:i4>1507378</vt:i4>
      </vt:variant>
      <vt:variant>
        <vt:i4>314</vt:i4>
      </vt:variant>
      <vt:variant>
        <vt:i4>0</vt:i4>
      </vt:variant>
      <vt:variant>
        <vt:i4>5</vt:i4>
      </vt:variant>
      <vt:variant>
        <vt:lpwstr/>
      </vt:variant>
      <vt:variant>
        <vt:lpwstr>_Toc354652011</vt:lpwstr>
      </vt:variant>
      <vt:variant>
        <vt:i4>1507378</vt:i4>
      </vt:variant>
      <vt:variant>
        <vt:i4>308</vt:i4>
      </vt:variant>
      <vt:variant>
        <vt:i4>0</vt:i4>
      </vt:variant>
      <vt:variant>
        <vt:i4>5</vt:i4>
      </vt:variant>
      <vt:variant>
        <vt:lpwstr/>
      </vt:variant>
      <vt:variant>
        <vt:lpwstr>_Toc354652010</vt:lpwstr>
      </vt:variant>
      <vt:variant>
        <vt:i4>1441842</vt:i4>
      </vt:variant>
      <vt:variant>
        <vt:i4>302</vt:i4>
      </vt:variant>
      <vt:variant>
        <vt:i4>0</vt:i4>
      </vt:variant>
      <vt:variant>
        <vt:i4>5</vt:i4>
      </vt:variant>
      <vt:variant>
        <vt:lpwstr/>
      </vt:variant>
      <vt:variant>
        <vt:lpwstr>_Toc354652009</vt:lpwstr>
      </vt:variant>
      <vt:variant>
        <vt:i4>1441842</vt:i4>
      </vt:variant>
      <vt:variant>
        <vt:i4>296</vt:i4>
      </vt:variant>
      <vt:variant>
        <vt:i4>0</vt:i4>
      </vt:variant>
      <vt:variant>
        <vt:i4>5</vt:i4>
      </vt:variant>
      <vt:variant>
        <vt:lpwstr/>
      </vt:variant>
      <vt:variant>
        <vt:lpwstr>_Toc354652008</vt:lpwstr>
      </vt:variant>
      <vt:variant>
        <vt:i4>1441842</vt:i4>
      </vt:variant>
      <vt:variant>
        <vt:i4>290</vt:i4>
      </vt:variant>
      <vt:variant>
        <vt:i4>0</vt:i4>
      </vt:variant>
      <vt:variant>
        <vt:i4>5</vt:i4>
      </vt:variant>
      <vt:variant>
        <vt:lpwstr/>
      </vt:variant>
      <vt:variant>
        <vt:lpwstr>_Toc354652007</vt:lpwstr>
      </vt:variant>
      <vt:variant>
        <vt:i4>1441842</vt:i4>
      </vt:variant>
      <vt:variant>
        <vt:i4>284</vt:i4>
      </vt:variant>
      <vt:variant>
        <vt:i4>0</vt:i4>
      </vt:variant>
      <vt:variant>
        <vt:i4>5</vt:i4>
      </vt:variant>
      <vt:variant>
        <vt:lpwstr/>
      </vt:variant>
      <vt:variant>
        <vt:lpwstr>_Toc354652006</vt:lpwstr>
      </vt:variant>
      <vt:variant>
        <vt:i4>1441842</vt:i4>
      </vt:variant>
      <vt:variant>
        <vt:i4>278</vt:i4>
      </vt:variant>
      <vt:variant>
        <vt:i4>0</vt:i4>
      </vt:variant>
      <vt:variant>
        <vt:i4>5</vt:i4>
      </vt:variant>
      <vt:variant>
        <vt:lpwstr/>
      </vt:variant>
      <vt:variant>
        <vt:lpwstr>_Toc354652005</vt:lpwstr>
      </vt:variant>
      <vt:variant>
        <vt:i4>1441842</vt:i4>
      </vt:variant>
      <vt:variant>
        <vt:i4>272</vt:i4>
      </vt:variant>
      <vt:variant>
        <vt:i4>0</vt:i4>
      </vt:variant>
      <vt:variant>
        <vt:i4>5</vt:i4>
      </vt:variant>
      <vt:variant>
        <vt:lpwstr/>
      </vt:variant>
      <vt:variant>
        <vt:lpwstr>_Toc354652004</vt:lpwstr>
      </vt:variant>
      <vt:variant>
        <vt:i4>1441842</vt:i4>
      </vt:variant>
      <vt:variant>
        <vt:i4>266</vt:i4>
      </vt:variant>
      <vt:variant>
        <vt:i4>0</vt:i4>
      </vt:variant>
      <vt:variant>
        <vt:i4>5</vt:i4>
      </vt:variant>
      <vt:variant>
        <vt:lpwstr/>
      </vt:variant>
      <vt:variant>
        <vt:lpwstr>_Toc354652003</vt:lpwstr>
      </vt:variant>
      <vt:variant>
        <vt:i4>1441842</vt:i4>
      </vt:variant>
      <vt:variant>
        <vt:i4>260</vt:i4>
      </vt:variant>
      <vt:variant>
        <vt:i4>0</vt:i4>
      </vt:variant>
      <vt:variant>
        <vt:i4>5</vt:i4>
      </vt:variant>
      <vt:variant>
        <vt:lpwstr/>
      </vt:variant>
      <vt:variant>
        <vt:lpwstr>_Toc354652002</vt:lpwstr>
      </vt:variant>
      <vt:variant>
        <vt:i4>1441842</vt:i4>
      </vt:variant>
      <vt:variant>
        <vt:i4>254</vt:i4>
      </vt:variant>
      <vt:variant>
        <vt:i4>0</vt:i4>
      </vt:variant>
      <vt:variant>
        <vt:i4>5</vt:i4>
      </vt:variant>
      <vt:variant>
        <vt:lpwstr/>
      </vt:variant>
      <vt:variant>
        <vt:lpwstr>_Toc354652001</vt:lpwstr>
      </vt:variant>
      <vt:variant>
        <vt:i4>1441842</vt:i4>
      </vt:variant>
      <vt:variant>
        <vt:i4>248</vt:i4>
      </vt:variant>
      <vt:variant>
        <vt:i4>0</vt:i4>
      </vt:variant>
      <vt:variant>
        <vt:i4>5</vt:i4>
      </vt:variant>
      <vt:variant>
        <vt:lpwstr/>
      </vt:variant>
      <vt:variant>
        <vt:lpwstr>_Toc354652000</vt:lpwstr>
      </vt:variant>
      <vt:variant>
        <vt:i4>1835067</vt:i4>
      </vt:variant>
      <vt:variant>
        <vt:i4>242</vt:i4>
      </vt:variant>
      <vt:variant>
        <vt:i4>0</vt:i4>
      </vt:variant>
      <vt:variant>
        <vt:i4>5</vt:i4>
      </vt:variant>
      <vt:variant>
        <vt:lpwstr/>
      </vt:variant>
      <vt:variant>
        <vt:lpwstr>_Toc354651999</vt:lpwstr>
      </vt:variant>
      <vt:variant>
        <vt:i4>1835067</vt:i4>
      </vt:variant>
      <vt:variant>
        <vt:i4>236</vt:i4>
      </vt:variant>
      <vt:variant>
        <vt:i4>0</vt:i4>
      </vt:variant>
      <vt:variant>
        <vt:i4>5</vt:i4>
      </vt:variant>
      <vt:variant>
        <vt:lpwstr/>
      </vt:variant>
      <vt:variant>
        <vt:lpwstr>_Toc354651998</vt:lpwstr>
      </vt:variant>
      <vt:variant>
        <vt:i4>1835067</vt:i4>
      </vt:variant>
      <vt:variant>
        <vt:i4>230</vt:i4>
      </vt:variant>
      <vt:variant>
        <vt:i4>0</vt:i4>
      </vt:variant>
      <vt:variant>
        <vt:i4>5</vt:i4>
      </vt:variant>
      <vt:variant>
        <vt:lpwstr/>
      </vt:variant>
      <vt:variant>
        <vt:lpwstr>_Toc354651997</vt:lpwstr>
      </vt:variant>
      <vt:variant>
        <vt:i4>1835067</vt:i4>
      </vt:variant>
      <vt:variant>
        <vt:i4>224</vt:i4>
      </vt:variant>
      <vt:variant>
        <vt:i4>0</vt:i4>
      </vt:variant>
      <vt:variant>
        <vt:i4>5</vt:i4>
      </vt:variant>
      <vt:variant>
        <vt:lpwstr/>
      </vt:variant>
      <vt:variant>
        <vt:lpwstr>_Toc354651996</vt:lpwstr>
      </vt:variant>
      <vt:variant>
        <vt:i4>1835067</vt:i4>
      </vt:variant>
      <vt:variant>
        <vt:i4>218</vt:i4>
      </vt:variant>
      <vt:variant>
        <vt:i4>0</vt:i4>
      </vt:variant>
      <vt:variant>
        <vt:i4>5</vt:i4>
      </vt:variant>
      <vt:variant>
        <vt:lpwstr/>
      </vt:variant>
      <vt:variant>
        <vt:lpwstr>_Toc354651995</vt:lpwstr>
      </vt:variant>
      <vt:variant>
        <vt:i4>1835067</vt:i4>
      </vt:variant>
      <vt:variant>
        <vt:i4>212</vt:i4>
      </vt:variant>
      <vt:variant>
        <vt:i4>0</vt:i4>
      </vt:variant>
      <vt:variant>
        <vt:i4>5</vt:i4>
      </vt:variant>
      <vt:variant>
        <vt:lpwstr/>
      </vt:variant>
      <vt:variant>
        <vt:lpwstr>_Toc354651994</vt:lpwstr>
      </vt:variant>
      <vt:variant>
        <vt:i4>1835067</vt:i4>
      </vt:variant>
      <vt:variant>
        <vt:i4>206</vt:i4>
      </vt:variant>
      <vt:variant>
        <vt:i4>0</vt:i4>
      </vt:variant>
      <vt:variant>
        <vt:i4>5</vt:i4>
      </vt:variant>
      <vt:variant>
        <vt:lpwstr/>
      </vt:variant>
      <vt:variant>
        <vt:lpwstr>_Toc354651993</vt:lpwstr>
      </vt:variant>
      <vt:variant>
        <vt:i4>1835067</vt:i4>
      </vt:variant>
      <vt:variant>
        <vt:i4>200</vt:i4>
      </vt:variant>
      <vt:variant>
        <vt:i4>0</vt:i4>
      </vt:variant>
      <vt:variant>
        <vt:i4>5</vt:i4>
      </vt:variant>
      <vt:variant>
        <vt:lpwstr/>
      </vt:variant>
      <vt:variant>
        <vt:lpwstr>_Toc354651992</vt:lpwstr>
      </vt:variant>
      <vt:variant>
        <vt:i4>1835067</vt:i4>
      </vt:variant>
      <vt:variant>
        <vt:i4>194</vt:i4>
      </vt:variant>
      <vt:variant>
        <vt:i4>0</vt:i4>
      </vt:variant>
      <vt:variant>
        <vt:i4>5</vt:i4>
      </vt:variant>
      <vt:variant>
        <vt:lpwstr/>
      </vt:variant>
      <vt:variant>
        <vt:lpwstr>_Toc354651991</vt:lpwstr>
      </vt:variant>
      <vt:variant>
        <vt:i4>1835067</vt:i4>
      </vt:variant>
      <vt:variant>
        <vt:i4>188</vt:i4>
      </vt:variant>
      <vt:variant>
        <vt:i4>0</vt:i4>
      </vt:variant>
      <vt:variant>
        <vt:i4>5</vt:i4>
      </vt:variant>
      <vt:variant>
        <vt:lpwstr/>
      </vt:variant>
      <vt:variant>
        <vt:lpwstr>_Toc354651990</vt:lpwstr>
      </vt:variant>
      <vt:variant>
        <vt:i4>1900603</vt:i4>
      </vt:variant>
      <vt:variant>
        <vt:i4>182</vt:i4>
      </vt:variant>
      <vt:variant>
        <vt:i4>0</vt:i4>
      </vt:variant>
      <vt:variant>
        <vt:i4>5</vt:i4>
      </vt:variant>
      <vt:variant>
        <vt:lpwstr/>
      </vt:variant>
      <vt:variant>
        <vt:lpwstr>_Toc354651989</vt:lpwstr>
      </vt:variant>
      <vt:variant>
        <vt:i4>1900603</vt:i4>
      </vt:variant>
      <vt:variant>
        <vt:i4>176</vt:i4>
      </vt:variant>
      <vt:variant>
        <vt:i4>0</vt:i4>
      </vt:variant>
      <vt:variant>
        <vt:i4>5</vt:i4>
      </vt:variant>
      <vt:variant>
        <vt:lpwstr/>
      </vt:variant>
      <vt:variant>
        <vt:lpwstr>_Toc354651988</vt:lpwstr>
      </vt:variant>
      <vt:variant>
        <vt:i4>1900603</vt:i4>
      </vt:variant>
      <vt:variant>
        <vt:i4>170</vt:i4>
      </vt:variant>
      <vt:variant>
        <vt:i4>0</vt:i4>
      </vt:variant>
      <vt:variant>
        <vt:i4>5</vt:i4>
      </vt:variant>
      <vt:variant>
        <vt:lpwstr/>
      </vt:variant>
      <vt:variant>
        <vt:lpwstr>_Toc354651987</vt:lpwstr>
      </vt:variant>
      <vt:variant>
        <vt:i4>1900603</vt:i4>
      </vt:variant>
      <vt:variant>
        <vt:i4>164</vt:i4>
      </vt:variant>
      <vt:variant>
        <vt:i4>0</vt:i4>
      </vt:variant>
      <vt:variant>
        <vt:i4>5</vt:i4>
      </vt:variant>
      <vt:variant>
        <vt:lpwstr/>
      </vt:variant>
      <vt:variant>
        <vt:lpwstr>_Toc354651986</vt:lpwstr>
      </vt:variant>
      <vt:variant>
        <vt:i4>1900603</vt:i4>
      </vt:variant>
      <vt:variant>
        <vt:i4>158</vt:i4>
      </vt:variant>
      <vt:variant>
        <vt:i4>0</vt:i4>
      </vt:variant>
      <vt:variant>
        <vt:i4>5</vt:i4>
      </vt:variant>
      <vt:variant>
        <vt:lpwstr/>
      </vt:variant>
      <vt:variant>
        <vt:lpwstr>_Toc354651985</vt:lpwstr>
      </vt:variant>
      <vt:variant>
        <vt:i4>1900603</vt:i4>
      </vt:variant>
      <vt:variant>
        <vt:i4>152</vt:i4>
      </vt:variant>
      <vt:variant>
        <vt:i4>0</vt:i4>
      </vt:variant>
      <vt:variant>
        <vt:i4>5</vt:i4>
      </vt:variant>
      <vt:variant>
        <vt:lpwstr/>
      </vt:variant>
      <vt:variant>
        <vt:lpwstr>_Toc354651984</vt:lpwstr>
      </vt:variant>
      <vt:variant>
        <vt:i4>1900603</vt:i4>
      </vt:variant>
      <vt:variant>
        <vt:i4>146</vt:i4>
      </vt:variant>
      <vt:variant>
        <vt:i4>0</vt:i4>
      </vt:variant>
      <vt:variant>
        <vt:i4>5</vt:i4>
      </vt:variant>
      <vt:variant>
        <vt:lpwstr/>
      </vt:variant>
      <vt:variant>
        <vt:lpwstr>_Toc354651983</vt:lpwstr>
      </vt:variant>
      <vt:variant>
        <vt:i4>1900603</vt:i4>
      </vt:variant>
      <vt:variant>
        <vt:i4>140</vt:i4>
      </vt:variant>
      <vt:variant>
        <vt:i4>0</vt:i4>
      </vt:variant>
      <vt:variant>
        <vt:i4>5</vt:i4>
      </vt:variant>
      <vt:variant>
        <vt:lpwstr/>
      </vt:variant>
      <vt:variant>
        <vt:lpwstr>_Toc354651982</vt:lpwstr>
      </vt:variant>
      <vt:variant>
        <vt:i4>1900603</vt:i4>
      </vt:variant>
      <vt:variant>
        <vt:i4>134</vt:i4>
      </vt:variant>
      <vt:variant>
        <vt:i4>0</vt:i4>
      </vt:variant>
      <vt:variant>
        <vt:i4>5</vt:i4>
      </vt:variant>
      <vt:variant>
        <vt:lpwstr/>
      </vt:variant>
      <vt:variant>
        <vt:lpwstr>_Toc354651981</vt:lpwstr>
      </vt:variant>
      <vt:variant>
        <vt:i4>1900603</vt:i4>
      </vt:variant>
      <vt:variant>
        <vt:i4>128</vt:i4>
      </vt:variant>
      <vt:variant>
        <vt:i4>0</vt:i4>
      </vt:variant>
      <vt:variant>
        <vt:i4>5</vt:i4>
      </vt:variant>
      <vt:variant>
        <vt:lpwstr/>
      </vt:variant>
      <vt:variant>
        <vt:lpwstr>_Toc354651980</vt:lpwstr>
      </vt:variant>
      <vt:variant>
        <vt:i4>1179707</vt:i4>
      </vt:variant>
      <vt:variant>
        <vt:i4>122</vt:i4>
      </vt:variant>
      <vt:variant>
        <vt:i4>0</vt:i4>
      </vt:variant>
      <vt:variant>
        <vt:i4>5</vt:i4>
      </vt:variant>
      <vt:variant>
        <vt:lpwstr/>
      </vt:variant>
      <vt:variant>
        <vt:lpwstr>_Toc354651979</vt:lpwstr>
      </vt:variant>
      <vt:variant>
        <vt:i4>1179707</vt:i4>
      </vt:variant>
      <vt:variant>
        <vt:i4>116</vt:i4>
      </vt:variant>
      <vt:variant>
        <vt:i4>0</vt:i4>
      </vt:variant>
      <vt:variant>
        <vt:i4>5</vt:i4>
      </vt:variant>
      <vt:variant>
        <vt:lpwstr/>
      </vt:variant>
      <vt:variant>
        <vt:lpwstr>_Toc354651978</vt:lpwstr>
      </vt:variant>
      <vt:variant>
        <vt:i4>1179707</vt:i4>
      </vt:variant>
      <vt:variant>
        <vt:i4>110</vt:i4>
      </vt:variant>
      <vt:variant>
        <vt:i4>0</vt:i4>
      </vt:variant>
      <vt:variant>
        <vt:i4>5</vt:i4>
      </vt:variant>
      <vt:variant>
        <vt:lpwstr/>
      </vt:variant>
      <vt:variant>
        <vt:lpwstr>_Toc354651977</vt:lpwstr>
      </vt:variant>
      <vt:variant>
        <vt:i4>1179707</vt:i4>
      </vt:variant>
      <vt:variant>
        <vt:i4>104</vt:i4>
      </vt:variant>
      <vt:variant>
        <vt:i4>0</vt:i4>
      </vt:variant>
      <vt:variant>
        <vt:i4>5</vt:i4>
      </vt:variant>
      <vt:variant>
        <vt:lpwstr/>
      </vt:variant>
      <vt:variant>
        <vt:lpwstr>_Toc354651976</vt:lpwstr>
      </vt:variant>
      <vt:variant>
        <vt:i4>1179707</vt:i4>
      </vt:variant>
      <vt:variant>
        <vt:i4>98</vt:i4>
      </vt:variant>
      <vt:variant>
        <vt:i4>0</vt:i4>
      </vt:variant>
      <vt:variant>
        <vt:i4>5</vt:i4>
      </vt:variant>
      <vt:variant>
        <vt:lpwstr/>
      </vt:variant>
      <vt:variant>
        <vt:lpwstr>_Toc354651975</vt:lpwstr>
      </vt:variant>
      <vt:variant>
        <vt:i4>1179707</vt:i4>
      </vt:variant>
      <vt:variant>
        <vt:i4>92</vt:i4>
      </vt:variant>
      <vt:variant>
        <vt:i4>0</vt:i4>
      </vt:variant>
      <vt:variant>
        <vt:i4>5</vt:i4>
      </vt:variant>
      <vt:variant>
        <vt:lpwstr/>
      </vt:variant>
      <vt:variant>
        <vt:lpwstr>_Toc354651974</vt:lpwstr>
      </vt:variant>
      <vt:variant>
        <vt:i4>1179707</vt:i4>
      </vt:variant>
      <vt:variant>
        <vt:i4>86</vt:i4>
      </vt:variant>
      <vt:variant>
        <vt:i4>0</vt:i4>
      </vt:variant>
      <vt:variant>
        <vt:i4>5</vt:i4>
      </vt:variant>
      <vt:variant>
        <vt:lpwstr/>
      </vt:variant>
      <vt:variant>
        <vt:lpwstr>_Toc354651973</vt:lpwstr>
      </vt:variant>
      <vt:variant>
        <vt:i4>1179707</vt:i4>
      </vt:variant>
      <vt:variant>
        <vt:i4>80</vt:i4>
      </vt:variant>
      <vt:variant>
        <vt:i4>0</vt:i4>
      </vt:variant>
      <vt:variant>
        <vt:i4>5</vt:i4>
      </vt:variant>
      <vt:variant>
        <vt:lpwstr/>
      </vt:variant>
      <vt:variant>
        <vt:lpwstr>_Toc354651972</vt:lpwstr>
      </vt:variant>
      <vt:variant>
        <vt:i4>1179707</vt:i4>
      </vt:variant>
      <vt:variant>
        <vt:i4>74</vt:i4>
      </vt:variant>
      <vt:variant>
        <vt:i4>0</vt:i4>
      </vt:variant>
      <vt:variant>
        <vt:i4>5</vt:i4>
      </vt:variant>
      <vt:variant>
        <vt:lpwstr/>
      </vt:variant>
      <vt:variant>
        <vt:lpwstr>_Toc354651971</vt:lpwstr>
      </vt:variant>
      <vt:variant>
        <vt:i4>5963801</vt:i4>
      </vt:variant>
      <vt:variant>
        <vt:i4>69</vt:i4>
      </vt:variant>
      <vt:variant>
        <vt:i4>0</vt:i4>
      </vt:variant>
      <vt:variant>
        <vt:i4>5</vt:i4>
      </vt:variant>
      <vt:variant>
        <vt:lpwstr>http://www.jica.go.jp/english/our_work/types_of_assistance/oda_loans/oda_op_info/guide/tender/spanish.html</vt:lpwstr>
      </vt:variant>
      <vt:variant>
        <vt:lpwstr/>
      </vt:variant>
      <vt:variant>
        <vt:i4>1114166</vt:i4>
      </vt:variant>
      <vt:variant>
        <vt:i4>65</vt:i4>
      </vt:variant>
      <vt:variant>
        <vt:i4>0</vt:i4>
      </vt:variant>
      <vt:variant>
        <vt:i4>5</vt:i4>
      </vt:variant>
      <vt:variant>
        <vt:lpwstr/>
      </vt:variant>
      <vt:variant>
        <vt:lpwstr>_Toc354567710</vt:lpwstr>
      </vt:variant>
      <vt:variant>
        <vt:i4>1048630</vt:i4>
      </vt:variant>
      <vt:variant>
        <vt:i4>62</vt:i4>
      </vt:variant>
      <vt:variant>
        <vt:i4>0</vt:i4>
      </vt:variant>
      <vt:variant>
        <vt:i4>5</vt:i4>
      </vt:variant>
      <vt:variant>
        <vt:lpwstr/>
      </vt:variant>
      <vt:variant>
        <vt:lpwstr>_Toc354567709</vt:lpwstr>
      </vt:variant>
      <vt:variant>
        <vt:i4>1048630</vt:i4>
      </vt:variant>
      <vt:variant>
        <vt:i4>59</vt:i4>
      </vt:variant>
      <vt:variant>
        <vt:i4>0</vt:i4>
      </vt:variant>
      <vt:variant>
        <vt:i4>5</vt:i4>
      </vt:variant>
      <vt:variant>
        <vt:lpwstr/>
      </vt:variant>
      <vt:variant>
        <vt:lpwstr>_Toc354567708</vt:lpwstr>
      </vt:variant>
      <vt:variant>
        <vt:i4>1048630</vt:i4>
      </vt:variant>
      <vt:variant>
        <vt:i4>56</vt:i4>
      </vt:variant>
      <vt:variant>
        <vt:i4>0</vt:i4>
      </vt:variant>
      <vt:variant>
        <vt:i4>5</vt:i4>
      </vt:variant>
      <vt:variant>
        <vt:lpwstr/>
      </vt:variant>
      <vt:variant>
        <vt:lpwstr>_Toc354567707</vt:lpwstr>
      </vt:variant>
      <vt:variant>
        <vt:i4>1048630</vt:i4>
      </vt:variant>
      <vt:variant>
        <vt:i4>53</vt:i4>
      </vt:variant>
      <vt:variant>
        <vt:i4>0</vt:i4>
      </vt:variant>
      <vt:variant>
        <vt:i4>5</vt:i4>
      </vt:variant>
      <vt:variant>
        <vt:lpwstr/>
      </vt:variant>
      <vt:variant>
        <vt:lpwstr>_Toc354567706</vt:lpwstr>
      </vt:variant>
      <vt:variant>
        <vt:i4>1048630</vt:i4>
      </vt:variant>
      <vt:variant>
        <vt:i4>50</vt:i4>
      </vt:variant>
      <vt:variant>
        <vt:i4>0</vt:i4>
      </vt:variant>
      <vt:variant>
        <vt:i4>5</vt:i4>
      </vt:variant>
      <vt:variant>
        <vt:lpwstr/>
      </vt:variant>
      <vt:variant>
        <vt:lpwstr>_Toc354567705</vt:lpwstr>
      </vt:variant>
      <vt:variant>
        <vt:i4>1048630</vt:i4>
      </vt:variant>
      <vt:variant>
        <vt:i4>47</vt:i4>
      </vt:variant>
      <vt:variant>
        <vt:i4>0</vt:i4>
      </vt:variant>
      <vt:variant>
        <vt:i4>5</vt:i4>
      </vt:variant>
      <vt:variant>
        <vt:lpwstr/>
      </vt:variant>
      <vt:variant>
        <vt:lpwstr>_Toc354567704</vt:lpwstr>
      </vt:variant>
      <vt:variant>
        <vt:i4>1048630</vt:i4>
      </vt:variant>
      <vt:variant>
        <vt:i4>44</vt:i4>
      </vt:variant>
      <vt:variant>
        <vt:i4>0</vt:i4>
      </vt:variant>
      <vt:variant>
        <vt:i4>5</vt:i4>
      </vt:variant>
      <vt:variant>
        <vt:lpwstr/>
      </vt:variant>
      <vt:variant>
        <vt:lpwstr>_Toc354567703</vt:lpwstr>
      </vt:variant>
      <vt:variant>
        <vt:i4>1048630</vt:i4>
      </vt:variant>
      <vt:variant>
        <vt:i4>41</vt:i4>
      </vt:variant>
      <vt:variant>
        <vt:i4>0</vt:i4>
      </vt:variant>
      <vt:variant>
        <vt:i4>5</vt:i4>
      </vt:variant>
      <vt:variant>
        <vt:lpwstr/>
      </vt:variant>
      <vt:variant>
        <vt:lpwstr>_Toc354567702</vt:lpwstr>
      </vt:variant>
      <vt:variant>
        <vt:i4>1048630</vt:i4>
      </vt:variant>
      <vt:variant>
        <vt:i4>38</vt:i4>
      </vt:variant>
      <vt:variant>
        <vt:i4>0</vt:i4>
      </vt:variant>
      <vt:variant>
        <vt:i4>5</vt:i4>
      </vt:variant>
      <vt:variant>
        <vt:lpwstr/>
      </vt:variant>
      <vt:variant>
        <vt:lpwstr>_Toc354567701</vt:lpwstr>
      </vt:variant>
      <vt:variant>
        <vt:i4>1048630</vt:i4>
      </vt:variant>
      <vt:variant>
        <vt:i4>35</vt:i4>
      </vt:variant>
      <vt:variant>
        <vt:i4>0</vt:i4>
      </vt:variant>
      <vt:variant>
        <vt:i4>5</vt:i4>
      </vt:variant>
      <vt:variant>
        <vt:lpwstr/>
      </vt:variant>
      <vt:variant>
        <vt:lpwstr>_Toc354567700</vt:lpwstr>
      </vt:variant>
      <vt:variant>
        <vt:i4>1638455</vt:i4>
      </vt:variant>
      <vt:variant>
        <vt:i4>32</vt:i4>
      </vt:variant>
      <vt:variant>
        <vt:i4>0</vt:i4>
      </vt:variant>
      <vt:variant>
        <vt:i4>5</vt:i4>
      </vt:variant>
      <vt:variant>
        <vt:lpwstr/>
      </vt:variant>
      <vt:variant>
        <vt:lpwstr>_Toc354567699</vt:lpwstr>
      </vt:variant>
      <vt:variant>
        <vt:i4>1638455</vt:i4>
      </vt:variant>
      <vt:variant>
        <vt:i4>29</vt:i4>
      </vt:variant>
      <vt:variant>
        <vt:i4>0</vt:i4>
      </vt:variant>
      <vt:variant>
        <vt:i4>5</vt:i4>
      </vt:variant>
      <vt:variant>
        <vt:lpwstr/>
      </vt:variant>
      <vt:variant>
        <vt:lpwstr>_Toc354567698</vt:lpwstr>
      </vt:variant>
      <vt:variant>
        <vt:i4>1638455</vt:i4>
      </vt:variant>
      <vt:variant>
        <vt:i4>26</vt:i4>
      </vt:variant>
      <vt:variant>
        <vt:i4>0</vt:i4>
      </vt:variant>
      <vt:variant>
        <vt:i4>5</vt:i4>
      </vt:variant>
      <vt:variant>
        <vt:lpwstr/>
      </vt:variant>
      <vt:variant>
        <vt:lpwstr>_Toc354567697</vt:lpwstr>
      </vt:variant>
      <vt:variant>
        <vt:i4>1638455</vt:i4>
      </vt:variant>
      <vt:variant>
        <vt:i4>23</vt:i4>
      </vt:variant>
      <vt:variant>
        <vt:i4>0</vt:i4>
      </vt:variant>
      <vt:variant>
        <vt:i4>5</vt:i4>
      </vt:variant>
      <vt:variant>
        <vt:lpwstr/>
      </vt:variant>
      <vt:variant>
        <vt:lpwstr>_Toc354567696</vt:lpwstr>
      </vt:variant>
      <vt:variant>
        <vt:i4>1638455</vt:i4>
      </vt:variant>
      <vt:variant>
        <vt:i4>20</vt:i4>
      </vt:variant>
      <vt:variant>
        <vt:i4>0</vt:i4>
      </vt:variant>
      <vt:variant>
        <vt:i4>5</vt:i4>
      </vt:variant>
      <vt:variant>
        <vt:lpwstr/>
      </vt:variant>
      <vt:variant>
        <vt:lpwstr>_Toc354567695</vt:lpwstr>
      </vt:variant>
      <vt:variant>
        <vt:i4>1638455</vt:i4>
      </vt:variant>
      <vt:variant>
        <vt:i4>17</vt:i4>
      </vt:variant>
      <vt:variant>
        <vt:i4>0</vt:i4>
      </vt:variant>
      <vt:variant>
        <vt:i4>5</vt:i4>
      </vt:variant>
      <vt:variant>
        <vt:lpwstr/>
      </vt:variant>
      <vt:variant>
        <vt:lpwstr>_Toc354567694</vt:lpwstr>
      </vt:variant>
      <vt:variant>
        <vt:i4>1638455</vt:i4>
      </vt:variant>
      <vt:variant>
        <vt:i4>14</vt:i4>
      </vt:variant>
      <vt:variant>
        <vt:i4>0</vt:i4>
      </vt:variant>
      <vt:variant>
        <vt:i4>5</vt:i4>
      </vt:variant>
      <vt:variant>
        <vt:lpwstr/>
      </vt:variant>
      <vt:variant>
        <vt:lpwstr>_Toc354567693</vt:lpwstr>
      </vt:variant>
      <vt:variant>
        <vt:i4>1638455</vt:i4>
      </vt:variant>
      <vt:variant>
        <vt:i4>11</vt:i4>
      </vt:variant>
      <vt:variant>
        <vt:i4>0</vt:i4>
      </vt:variant>
      <vt:variant>
        <vt:i4>5</vt:i4>
      </vt:variant>
      <vt:variant>
        <vt:lpwstr/>
      </vt:variant>
      <vt:variant>
        <vt:lpwstr>_Toc354567692</vt:lpwstr>
      </vt:variant>
      <vt:variant>
        <vt:i4>1638455</vt:i4>
      </vt:variant>
      <vt:variant>
        <vt:i4>8</vt:i4>
      </vt:variant>
      <vt:variant>
        <vt:i4>0</vt:i4>
      </vt:variant>
      <vt:variant>
        <vt:i4>5</vt:i4>
      </vt:variant>
      <vt:variant>
        <vt:lpwstr/>
      </vt:variant>
      <vt:variant>
        <vt:lpwstr>_Toc354567691</vt:lpwstr>
      </vt:variant>
      <vt:variant>
        <vt:i4>1638455</vt:i4>
      </vt:variant>
      <vt:variant>
        <vt:i4>5</vt:i4>
      </vt:variant>
      <vt:variant>
        <vt:i4>0</vt:i4>
      </vt:variant>
      <vt:variant>
        <vt:i4>5</vt:i4>
      </vt:variant>
      <vt:variant>
        <vt:lpwstr/>
      </vt:variant>
      <vt:variant>
        <vt:lpwstr>_Toc354567690</vt:lpwstr>
      </vt:variant>
      <vt:variant>
        <vt:i4>1572919</vt:i4>
      </vt:variant>
      <vt:variant>
        <vt:i4>2</vt:i4>
      </vt:variant>
      <vt:variant>
        <vt:i4>0</vt:i4>
      </vt:variant>
      <vt:variant>
        <vt:i4>5</vt:i4>
      </vt:variant>
      <vt:variant>
        <vt:lpwstr/>
      </vt:variant>
      <vt:variant>
        <vt:lpwstr>_Toc354567689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subject/>
  <dc:creator>Hélène J. Talon</dc:creator>
  <cp:keywords/>
  <dc:description/>
  <cp:lastModifiedBy>Komori, Akiko[小森 明子]</cp:lastModifiedBy>
  <cp:revision>103</cp:revision>
  <cp:lastPrinted>2023-09-27T06:18:00Z</cp:lastPrinted>
  <dcterms:created xsi:type="dcterms:W3CDTF">2022-10-12T03:27:00Z</dcterms:created>
  <dcterms:modified xsi:type="dcterms:W3CDTF">2023-09-27T06:19:00Z</dcterms:modified>
</cp:coreProperties>
</file>